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350E6E" w:rsidRPr="00F468A2" w14:paraId="58C10B1C" w14:textId="77777777" w:rsidTr="00350E6E">
        <w:tc>
          <w:tcPr>
            <w:tcW w:w="4843" w:type="dxa"/>
            <w:tcBorders>
              <w:bottom w:val="single" w:sz="4" w:space="0" w:color="auto"/>
            </w:tcBorders>
          </w:tcPr>
          <w:p w14:paraId="43CE3AB8" w14:textId="77777777" w:rsidR="00350E6E" w:rsidRPr="00F468A2" w:rsidRDefault="00350E6E" w:rsidP="0031289D">
            <w:pPr>
              <w:bidi/>
              <w:rPr>
                <w:rFonts w:ascii="Arabic Typesetting" w:hAnsi="Arabic Typesetting" w:cs="Arabic Typesetting"/>
                <w:sz w:val="36"/>
                <w:szCs w:val="36"/>
                <w:rtl/>
              </w:rPr>
            </w:pPr>
            <w:bookmarkStart w:id="2" w:name="_Toc450635399"/>
            <w:bookmarkStart w:id="3" w:name="_Toc455393364"/>
          </w:p>
        </w:tc>
        <w:tc>
          <w:tcPr>
            <w:tcW w:w="4223" w:type="dxa"/>
            <w:tcBorders>
              <w:bottom w:val="single" w:sz="4" w:space="0" w:color="auto"/>
            </w:tcBorders>
          </w:tcPr>
          <w:p w14:paraId="59AF6E59" w14:textId="77777777" w:rsidR="00350E6E" w:rsidRPr="00F468A2" w:rsidRDefault="00350E6E" w:rsidP="0031289D">
            <w:pPr>
              <w:bidi/>
              <w:spacing w:after="20"/>
              <w:rPr>
                <w:rFonts w:ascii="Arabic Typesetting" w:hAnsi="Arabic Typesetting" w:cs="Arabic Typesetting"/>
                <w:sz w:val="36"/>
                <w:szCs w:val="36"/>
                <w:rtl/>
              </w:rPr>
            </w:pPr>
            <w:r w:rsidRPr="00F468A2">
              <w:rPr>
                <w:noProof/>
              </w:rPr>
              <w:drawing>
                <wp:inline distT="0" distB="0" distL="0" distR="0" wp14:anchorId="2CB88860" wp14:editId="3E5486F8">
                  <wp:extent cx="1327150" cy="1263650"/>
                  <wp:effectExtent l="0" t="0" r="6350" b="0"/>
                  <wp:docPr id="36" name="Picture 36"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14:paraId="3A292D71" w14:textId="77777777" w:rsidR="00350E6E" w:rsidRPr="00F468A2" w:rsidRDefault="00350E6E" w:rsidP="0031289D">
            <w:pPr>
              <w:rPr>
                <w:b/>
                <w:bCs/>
                <w:sz w:val="40"/>
                <w:szCs w:val="40"/>
              </w:rPr>
            </w:pPr>
            <w:r w:rsidRPr="00F468A2">
              <w:rPr>
                <w:b/>
                <w:bCs/>
                <w:sz w:val="40"/>
                <w:szCs w:val="40"/>
              </w:rPr>
              <w:t>A</w:t>
            </w:r>
          </w:p>
        </w:tc>
      </w:tr>
      <w:tr w:rsidR="00350E6E" w:rsidRPr="00F468A2" w14:paraId="64FBBE20" w14:textId="77777777" w:rsidTr="00350E6E">
        <w:trPr>
          <w:trHeight w:val="333"/>
        </w:trPr>
        <w:tc>
          <w:tcPr>
            <w:tcW w:w="9571" w:type="dxa"/>
            <w:gridSpan w:val="3"/>
            <w:tcBorders>
              <w:top w:val="single" w:sz="4" w:space="0" w:color="auto"/>
            </w:tcBorders>
            <w:vAlign w:val="bottom"/>
          </w:tcPr>
          <w:p w14:paraId="00D420D2" w14:textId="77777777" w:rsidR="00350E6E" w:rsidRPr="00EA4756" w:rsidRDefault="00350E6E" w:rsidP="0031289D">
            <w:pPr>
              <w:pStyle w:val="DocumentCodeAR"/>
              <w:bidi/>
              <w:rPr>
                <w:rtl/>
              </w:rPr>
            </w:pPr>
            <w:r>
              <w:t>WO/PBC/</w:t>
            </w:r>
            <w:r w:rsidRPr="00F468A2">
              <w:t>26/</w:t>
            </w:r>
            <w:r>
              <w:t>2</w:t>
            </w:r>
          </w:p>
        </w:tc>
      </w:tr>
      <w:tr w:rsidR="00350E6E" w:rsidRPr="00F468A2" w14:paraId="7A240120" w14:textId="77777777" w:rsidTr="00350E6E">
        <w:tc>
          <w:tcPr>
            <w:tcW w:w="9571" w:type="dxa"/>
            <w:gridSpan w:val="3"/>
          </w:tcPr>
          <w:p w14:paraId="28B9C76A" w14:textId="77777777" w:rsidR="00350E6E" w:rsidRPr="00F468A2" w:rsidRDefault="00350E6E" w:rsidP="0031289D">
            <w:pPr>
              <w:pStyle w:val="DocumentLanguageAR"/>
              <w:bidi/>
              <w:rPr>
                <w:rtl/>
                <w:lang w:bidi="ar-EG"/>
              </w:rPr>
            </w:pPr>
            <w:r w:rsidRPr="00B6101C">
              <w:rPr>
                <w:rFonts w:hint="cs"/>
                <w:rtl/>
              </w:rPr>
              <w:t xml:space="preserve">الأصل: </w:t>
            </w:r>
            <w:r>
              <w:rPr>
                <w:rFonts w:hint="cs"/>
                <w:rtl/>
                <w:lang w:bidi="ar-EG"/>
              </w:rPr>
              <w:t>بالإنكليزية</w:t>
            </w:r>
          </w:p>
        </w:tc>
      </w:tr>
      <w:tr w:rsidR="00350E6E" w:rsidRPr="00F468A2" w14:paraId="4D1DB1E7" w14:textId="77777777" w:rsidTr="00350E6E">
        <w:tc>
          <w:tcPr>
            <w:tcW w:w="9571" w:type="dxa"/>
            <w:gridSpan w:val="3"/>
          </w:tcPr>
          <w:p w14:paraId="524C1DBD" w14:textId="77777777" w:rsidR="00350E6E" w:rsidRPr="00F468A2" w:rsidRDefault="00350E6E" w:rsidP="0031289D">
            <w:pPr>
              <w:pStyle w:val="DocumentDateAR"/>
              <w:bidi/>
              <w:rPr>
                <w:rtl/>
              </w:rPr>
            </w:pPr>
            <w:r w:rsidRPr="00F468A2">
              <w:rPr>
                <w:rFonts w:hint="cs"/>
                <w:rtl/>
              </w:rPr>
              <w:t xml:space="preserve">التاريخ: </w:t>
            </w:r>
            <w:r>
              <w:rPr>
                <w:rFonts w:hint="cs"/>
                <w:rtl/>
              </w:rPr>
              <w:t>15</w:t>
            </w:r>
            <w:r w:rsidRPr="00B6101C">
              <w:rPr>
                <w:rFonts w:hint="cs"/>
                <w:rtl/>
              </w:rPr>
              <w:t xml:space="preserve"> </w:t>
            </w:r>
            <w:r>
              <w:rPr>
                <w:rFonts w:hint="cs"/>
                <w:rtl/>
              </w:rPr>
              <w:t>مايو</w:t>
            </w:r>
            <w:r w:rsidRPr="00B6101C">
              <w:rPr>
                <w:rFonts w:hint="cs"/>
                <w:rtl/>
              </w:rPr>
              <w:t xml:space="preserve"> </w:t>
            </w:r>
            <w:r w:rsidRPr="00F468A2">
              <w:rPr>
                <w:rFonts w:hint="cs"/>
                <w:rtl/>
              </w:rPr>
              <w:t>2017</w:t>
            </w:r>
          </w:p>
        </w:tc>
      </w:tr>
    </w:tbl>
    <w:p w14:paraId="073EC762" w14:textId="77777777" w:rsidR="00350E6E" w:rsidRPr="001A28BF" w:rsidRDefault="00350E6E" w:rsidP="0031289D">
      <w:pPr>
        <w:bidi/>
        <w:spacing w:line="360" w:lineRule="exact"/>
        <w:rPr>
          <w:rFonts w:ascii="Arabic Typesetting" w:hAnsi="Arabic Typesetting" w:cs="Arabic Typesetting"/>
          <w:sz w:val="36"/>
          <w:szCs w:val="36"/>
          <w:rtl/>
        </w:rPr>
      </w:pPr>
    </w:p>
    <w:p w14:paraId="0E73B3A0" w14:textId="77777777" w:rsidR="00350E6E" w:rsidRPr="001A28BF" w:rsidRDefault="00350E6E" w:rsidP="0031289D">
      <w:pPr>
        <w:bidi/>
        <w:spacing w:line="360" w:lineRule="exact"/>
        <w:rPr>
          <w:rFonts w:ascii="Arabic Typesetting" w:hAnsi="Arabic Typesetting" w:cs="Arabic Typesetting"/>
          <w:sz w:val="36"/>
          <w:szCs w:val="36"/>
          <w:rtl/>
        </w:rPr>
      </w:pPr>
    </w:p>
    <w:p w14:paraId="07BEBD5F" w14:textId="77777777" w:rsidR="00350E6E" w:rsidRPr="001A28BF" w:rsidRDefault="00350E6E" w:rsidP="0031289D">
      <w:pPr>
        <w:bidi/>
        <w:spacing w:line="360" w:lineRule="exact"/>
        <w:rPr>
          <w:rFonts w:ascii="Arabic Typesetting" w:hAnsi="Arabic Typesetting" w:cs="Arabic Typesetting"/>
          <w:sz w:val="36"/>
          <w:szCs w:val="36"/>
          <w:rtl/>
        </w:rPr>
      </w:pPr>
    </w:p>
    <w:p w14:paraId="3B739A7D" w14:textId="77777777" w:rsidR="00350E6E" w:rsidRPr="001A28BF" w:rsidRDefault="00350E6E" w:rsidP="0031289D">
      <w:pPr>
        <w:bidi/>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البرنامج والميزانية</w:t>
      </w:r>
    </w:p>
    <w:p w14:paraId="5CFA70FE" w14:textId="77777777" w:rsidR="00350E6E" w:rsidRPr="001A28BF" w:rsidRDefault="00350E6E" w:rsidP="0031289D">
      <w:pPr>
        <w:bidi/>
        <w:spacing w:line="360" w:lineRule="exact"/>
        <w:rPr>
          <w:rFonts w:ascii="Arabic Typesetting" w:hAnsi="Arabic Typesetting" w:cs="Arabic Typesetting"/>
          <w:sz w:val="36"/>
          <w:szCs w:val="36"/>
          <w:rtl/>
        </w:rPr>
      </w:pPr>
    </w:p>
    <w:p w14:paraId="0ECDBA56" w14:textId="77777777" w:rsidR="00350E6E" w:rsidRPr="001A28BF" w:rsidRDefault="00350E6E" w:rsidP="0031289D">
      <w:pPr>
        <w:bidi/>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Pr>
          <w:rFonts w:ascii="Cambria Math" w:hAnsi="Cambria Math" w:cs="PT Bold Heading" w:hint="cs"/>
          <w:sz w:val="30"/>
          <w:szCs w:val="30"/>
          <w:rtl/>
        </w:rPr>
        <w:t>السادسة</w:t>
      </w:r>
      <w:r w:rsidRPr="001A28BF">
        <w:rPr>
          <w:rFonts w:ascii="Cambria Math" w:hAnsi="Cambria Math" w:cs="PT Bold Heading" w:hint="cs"/>
          <w:sz w:val="30"/>
          <w:szCs w:val="30"/>
          <w:rtl/>
        </w:rPr>
        <w:t xml:space="preserve"> والعشرون</w:t>
      </w:r>
    </w:p>
    <w:p w14:paraId="0572249A" w14:textId="77777777" w:rsidR="00350E6E" w:rsidRPr="001A28BF" w:rsidRDefault="00350E6E" w:rsidP="0031289D">
      <w:pPr>
        <w:bidi/>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Pr>
          <w:rFonts w:ascii="Arabic Typesetting" w:hAnsi="Arabic Typesetting" w:cs="Arabic Typesetting" w:hint="cs"/>
          <w:b/>
          <w:bCs/>
          <w:sz w:val="36"/>
          <w:szCs w:val="36"/>
          <w:rtl/>
        </w:rPr>
        <w:t>10 إلى 14 يوليو 2017</w:t>
      </w:r>
    </w:p>
    <w:p w14:paraId="06F2D3A2" w14:textId="77777777" w:rsidR="00350E6E" w:rsidRPr="001A28BF" w:rsidRDefault="00350E6E" w:rsidP="0031289D">
      <w:pPr>
        <w:bidi/>
        <w:spacing w:line="360" w:lineRule="exact"/>
        <w:rPr>
          <w:rFonts w:ascii="Arabic Typesetting" w:hAnsi="Arabic Typesetting" w:cs="Arabic Typesetting"/>
          <w:sz w:val="36"/>
          <w:szCs w:val="36"/>
          <w:rtl/>
        </w:rPr>
      </w:pPr>
    </w:p>
    <w:p w14:paraId="2CAD9D5C" w14:textId="77777777" w:rsidR="00350E6E" w:rsidRPr="001A28BF" w:rsidRDefault="00350E6E" w:rsidP="0031289D">
      <w:pPr>
        <w:bidi/>
        <w:spacing w:line="360" w:lineRule="exact"/>
        <w:rPr>
          <w:rFonts w:ascii="Arabic Typesetting" w:hAnsi="Arabic Typesetting" w:cs="Arabic Typesetting"/>
          <w:sz w:val="36"/>
          <w:szCs w:val="36"/>
          <w:rtl/>
        </w:rPr>
      </w:pPr>
    </w:p>
    <w:p w14:paraId="1B7A8C0B" w14:textId="77777777" w:rsidR="00350E6E" w:rsidRPr="001A28BF" w:rsidRDefault="00350E6E" w:rsidP="0031289D">
      <w:pPr>
        <w:bidi/>
        <w:spacing w:line="360" w:lineRule="exact"/>
        <w:rPr>
          <w:rFonts w:ascii="Arial Black" w:hAnsi="Arial Black" w:cs="PT Bold Heading"/>
          <w:sz w:val="26"/>
          <w:szCs w:val="26"/>
          <w:rtl/>
        </w:rPr>
      </w:pPr>
      <w:r>
        <w:rPr>
          <w:rFonts w:ascii="Arial Black" w:hAnsi="Arial Black" w:cs="PT Bold Heading" w:hint="cs"/>
          <w:sz w:val="26"/>
          <w:szCs w:val="26"/>
          <w:rtl/>
        </w:rPr>
        <w:t>تقرير أداء البرنامج 2016</w:t>
      </w:r>
    </w:p>
    <w:p w14:paraId="475B4F9F" w14:textId="77777777" w:rsidR="00350E6E" w:rsidRPr="001A28BF" w:rsidRDefault="00350E6E" w:rsidP="0031289D">
      <w:pPr>
        <w:bidi/>
        <w:spacing w:before="240" w:after="840" w:line="360" w:lineRule="exact"/>
        <w:rPr>
          <w:rFonts w:ascii="Arabic Typesetting" w:hAnsi="Arabic Typesetting" w:cs="Arabic Typesetting"/>
          <w:i/>
          <w:iCs/>
          <w:sz w:val="36"/>
          <w:szCs w:val="36"/>
          <w:rtl/>
        </w:rPr>
      </w:pPr>
      <w:r>
        <w:rPr>
          <w:rFonts w:ascii="Arabic Typesetting" w:hAnsi="Arabic Typesetting" w:cs="Arabic Typesetting" w:hint="cs"/>
          <w:i/>
          <w:iCs/>
          <w:sz w:val="36"/>
          <w:szCs w:val="36"/>
          <w:rtl/>
        </w:rPr>
        <w:t>يقدّمه المدير العام</w:t>
      </w:r>
    </w:p>
    <w:p w14:paraId="150A677F" w14:textId="4770749F" w:rsidR="00350E6E" w:rsidRPr="00BE7CD1" w:rsidRDefault="00350E6E" w:rsidP="00D94CDB">
      <w:pPr>
        <w:pStyle w:val="NumberedParaAR"/>
        <w:numPr>
          <w:ilvl w:val="0"/>
          <w:numId w:val="66"/>
        </w:numPr>
        <w:ind w:left="0" w:firstLine="0"/>
        <w:rPr>
          <w:rtl/>
        </w:rPr>
      </w:pPr>
      <w:r w:rsidRPr="00BE7CD1">
        <w:rPr>
          <w:rtl/>
        </w:rPr>
        <w:t xml:space="preserve">أعدّ تقرير أداء البرنامج </w:t>
      </w:r>
      <w:r>
        <w:rPr>
          <w:rFonts w:hint="cs"/>
          <w:rtl/>
        </w:rPr>
        <w:t>2016</w:t>
      </w:r>
      <w:r w:rsidRPr="00BE7CD1">
        <w:rPr>
          <w:rtl/>
        </w:rPr>
        <w:t xml:space="preserve"> وفقا لإطار إدارة </w:t>
      </w:r>
      <w:r w:rsidR="00EF74E8">
        <w:rPr>
          <w:rFonts w:hint="cs"/>
          <w:rtl/>
        </w:rPr>
        <w:t>الويبو</w:t>
      </w:r>
      <w:r w:rsidRPr="00BE7CD1">
        <w:rPr>
          <w:rtl/>
        </w:rPr>
        <w:t xml:space="preserve"> القائم على النتائج. ويستند هذا التقرير إلى معايير الأداء الموضوعة في وثيقة </w:t>
      </w:r>
      <w:r w:rsidRPr="00EA4756">
        <w:rPr>
          <w:rtl/>
          <w:lang w:val="fr-CH"/>
        </w:rPr>
        <w:t>البرنامج</w:t>
      </w:r>
      <w:r w:rsidRPr="00BE7CD1">
        <w:rPr>
          <w:rtl/>
        </w:rPr>
        <w:t xml:space="preserve"> والميزانية للثنائية </w:t>
      </w:r>
      <w:r>
        <w:rPr>
          <w:rFonts w:hint="cs"/>
          <w:rtl/>
        </w:rPr>
        <w:t>2016/17</w:t>
      </w:r>
      <w:r w:rsidRPr="00BE7CD1">
        <w:rPr>
          <w:rtl/>
        </w:rPr>
        <w:t xml:space="preserve"> كما أقرتها جمعيات الدول الأعضاء في الويبو في </w:t>
      </w:r>
      <w:r>
        <w:rPr>
          <w:rFonts w:hint="cs"/>
          <w:rtl/>
        </w:rPr>
        <w:t>أكتوبر 2015</w:t>
      </w:r>
      <w:r w:rsidRPr="00BE7CD1">
        <w:rPr>
          <w:rtl/>
        </w:rPr>
        <w:t xml:space="preserve"> (المنشور رقم </w:t>
      </w:r>
      <w:r>
        <w:t>360E</w:t>
      </w:r>
      <w:r w:rsidRPr="00BE7CD1">
        <w:t>/PB1</w:t>
      </w:r>
      <w:r>
        <w:t>6/17</w:t>
      </w:r>
      <w:r w:rsidRPr="00BE7CD1">
        <w:rPr>
          <w:rtl/>
        </w:rPr>
        <w:t>).</w:t>
      </w:r>
      <w:r>
        <w:rPr>
          <w:rFonts w:hint="cs"/>
          <w:rtl/>
        </w:rPr>
        <w:t xml:space="preserve"> </w:t>
      </w:r>
      <w:r w:rsidRPr="00EA4756">
        <w:rPr>
          <w:rtl/>
        </w:rPr>
        <w:t>ويقي</w:t>
      </w:r>
      <w:r>
        <w:rPr>
          <w:rFonts w:hint="cs"/>
          <w:rtl/>
        </w:rPr>
        <w:t>ِّ</w:t>
      </w:r>
      <w:r w:rsidRPr="00EA4756">
        <w:rPr>
          <w:rtl/>
        </w:rPr>
        <w:t xml:space="preserve">م التقرير التقدم المحرز في </w:t>
      </w:r>
      <w:r>
        <w:rPr>
          <w:rFonts w:hint="cs"/>
          <w:rtl/>
        </w:rPr>
        <w:t>2016</w:t>
      </w:r>
      <w:r w:rsidRPr="00EA4756">
        <w:rPr>
          <w:rtl/>
        </w:rPr>
        <w:t xml:space="preserve"> نحو تحقيق النتائج المرتقبة للثنائية </w:t>
      </w:r>
      <w:r>
        <w:rPr>
          <w:rFonts w:hint="cs"/>
          <w:rtl/>
        </w:rPr>
        <w:t>2016</w:t>
      </w:r>
      <w:r w:rsidRPr="00EA4756">
        <w:rPr>
          <w:rtl/>
        </w:rPr>
        <w:t>/</w:t>
      </w:r>
      <w:r>
        <w:rPr>
          <w:rFonts w:hint="cs"/>
          <w:rtl/>
        </w:rPr>
        <w:t>17</w:t>
      </w:r>
      <w:r w:rsidRPr="00EA4756">
        <w:rPr>
          <w:rtl/>
        </w:rPr>
        <w:t>.</w:t>
      </w:r>
    </w:p>
    <w:p w14:paraId="4B3139B8" w14:textId="77777777" w:rsidR="00350E6E" w:rsidRPr="00BE7CD1" w:rsidRDefault="00350E6E" w:rsidP="00D94CDB">
      <w:pPr>
        <w:pStyle w:val="NumberedParaAR"/>
        <w:numPr>
          <w:ilvl w:val="0"/>
          <w:numId w:val="66"/>
        </w:numPr>
        <w:ind w:left="0" w:firstLine="0"/>
        <w:rPr>
          <w:rtl/>
        </w:rPr>
      </w:pPr>
      <w:r w:rsidRPr="00BE7CD1">
        <w:rPr>
          <w:rtl/>
        </w:rPr>
        <w:t>وفيما يلي فقرة القرار المقترحة.</w:t>
      </w:r>
    </w:p>
    <w:p w14:paraId="3A8025BB" w14:textId="729C3E70" w:rsidR="00350E6E" w:rsidRDefault="00350E6E" w:rsidP="00D94CDB">
      <w:pPr>
        <w:pStyle w:val="DecisionParaAR"/>
        <w:numPr>
          <w:ilvl w:val="0"/>
          <w:numId w:val="66"/>
        </w:numPr>
        <w:ind w:left="5534" w:firstLine="0"/>
        <w:rPr>
          <w:rtl/>
        </w:rPr>
      </w:pPr>
      <w:r>
        <w:rPr>
          <w:rtl/>
        </w:rPr>
        <w:t xml:space="preserve">إن لجنة </w:t>
      </w:r>
      <w:r w:rsidRPr="00BE7CD1">
        <w:rPr>
          <w:rtl/>
          <w:lang w:val="fr-CH"/>
        </w:rPr>
        <w:t>البرنامج</w:t>
      </w:r>
      <w:r>
        <w:rPr>
          <w:rtl/>
        </w:rPr>
        <w:t xml:space="preserve"> والميزانية، إذ</w:t>
      </w:r>
      <w:r>
        <w:rPr>
          <w:rFonts w:hint="cs"/>
          <w:rtl/>
        </w:rPr>
        <w:t> </w:t>
      </w:r>
      <w:r>
        <w:rPr>
          <w:rtl/>
        </w:rPr>
        <w:t xml:space="preserve">استعرضت تقرير أداء البرنامج </w:t>
      </w:r>
      <w:r>
        <w:rPr>
          <w:rFonts w:hint="cs"/>
          <w:rtl/>
        </w:rPr>
        <w:t>2016</w:t>
      </w:r>
      <w:r>
        <w:rPr>
          <w:rtl/>
        </w:rPr>
        <w:t xml:space="preserve"> (الوثيقة</w:t>
      </w:r>
      <w:r>
        <w:rPr>
          <w:rFonts w:hint="cs"/>
          <w:rtl/>
        </w:rPr>
        <w:t> </w:t>
      </w:r>
      <w:r>
        <w:t>WO/PBC/26/2</w:t>
      </w:r>
      <w:r>
        <w:rPr>
          <w:rtl/>
        </w:rPr>
        <w:t xml:space="preserve">) وأقرّت بطبيعة التقرير كتقييم ذاتي للأمانة، أوصت بأن تقرّ جمعيات الويبو بمساهمة البرامج في تحقيق الأهداف المرتقبة في </w:t>
      </w:r>
      <w:r>
        <w:rPr>
          <w:rFonts w:hint="cs"/>
          <w:rtl/>
        </w:rPr>
        <w:t>2016</w:t>
      </w:r>
      <w:r>
        <w:rPr>
          <w:rtl/>
        </w:rPr>
        <w:t>.</w:t>
      </w:r>
    </w:p>
    <w:p w14:paraId="61344143" w14:textId="77777777" w:rsidR="00350E6E" w:rsidRDefault="00350E6E" w:rsidP="0031289D">
      <w:pPr>
        <w:pStyle w:val="EndofDocumentAR"/>
        <w:spacing w:before="720"/>
        <w:rPr>
          <w:rtl/>
        </w:rPr>
      </w:pPr>
      <w:r w:rsidRPr="00BE7CD1">
        <w:rPr>
          <w:rFonts w:hint="cs"/>
          <w:rtl/>
        </w:rPr>
        <w:t xml:space="preserve">[يلي ذلك </w:t>
      </w:r>
      <w:r w:rsidRPr="00BE7CD1">
        <w:rPr>
          <w:rtl/>
        </w:rPr>
        <w:t xml:space="preserve">تقرير أداء البرنامج </w:t>
      </w:r>
      <w:r>
        <w:rPr>
          <w:rFonts w:hint="cs"/>
          <w:rtl/>
        </w:rPr>
        <w:t>2016</w:t>
      </w:r>
      <w:r w:rsidRPr="00BE7CD1">
        <w:rPr>
          <w:rFonts w:hint="cs"/>
          <w:rtl/>
        </w:rPr>
        <w:t>]</w:t>
      </w:r>
    </w:p>
    <w:p w14:paraId="7EE78586" w14:textId="77777777" w:rsidR="00121288" w:rsidRDefault="00121288" w:rsidP="00121288">
      <w:pPr>
        <w:pStyle w:val="NormalParaAR"/>
        <w:rPr>
          <w:rtl/>
        </w:rPr>
      </w:pPr>
    </w:p>
    <w:p w14:paraId="12FA6AD5" w14:textId="77777777" w:rsidR="00121288" w:rsidRDefault="00121288" w:rsidP="00121288">
      <w:pPr>
        <w:pStyle w:val="NormalParaAR"/>
        <w:rPr>
          <w:rtl/>
        </w:rPr>
        <w:sectPr w:rsidR="00121288" w:rsidSect="00433C67">
          <w:headerReference w:type="even" r:id="rId10"/>
          <w:headerReference w:type="default" r:id="rId11"/>
          <w:footerReference w:type="even" r:id="rId12"/>
          <w:footerReference w:type="default" r:id="rId13"/>
          <w:pgSz w:w="11907" w:h="16840" w:code="9"/>
          <w:pgMar w:top="567" w:right="1418" w:bottom="1418" w:left="1134" w:header="510" w:footer="1021" w:gutter="0"/>
          <w:cols w:space="720"/>
          <w:titlePg/>
          <w:docGrid w:linePitch="299"/>
        </w:sectPr>
      </w:pPr>
    </w:p>
    <w:sdt>
      <w:sdtPr>
        <w:rPr>
          <w:rFonts w:ascii="Arabic Typesetting" w:eastAsia="Times New Roman" w:hAnsi="Arabic Typesetting" w:cs="Arabic Typesetting"/>
          <w:noProof/>
          <w:color w:val="auto"/>
          <w:sz w:val="34"/>
          <w:szCs w:val="34"/>
          <w:rtl/>
          <w:lang w:eastAsia="en-US" w:bidi="ar-EG"/>
        </w:rPr>
        <w:id w:val="1553652460"/>
        <w:docPartObj>
          <w:docPartGallery w:val="Table of Contents"/>
          <w:docPartUnique/>
        </w:docPartObj>
      </w:sdtPr>
      <w:sdtEndPr/>
      <w:sdtContent>
        <w:p w14:paraId="739A8364" w14:textId="5B676D4F" w:rsidR="00EF74E8" w:rsidRPr="00DF5846" w:rsidRDefault="00EF74E8" w:rsidP="00DF5846">
          <w:pPr>
            <w:pStyle w:val="TOCHeading"/>
            <w:bidi/>
            <w:spacing w:before="360" w:after="240"/>
            <w:jc w:val="center"/>
            <w:rPr>
              <w:rFonts w:ascii="Arabic Typesetting" w:hAnsi="Arabic Typesetting" w:cs="Arabic Typesetting"/>
              <w:color w:val="auto"/>
              <w:sz w:val="40"/>
              <w:szCs w:val="40"/>
              <w:rtl/>
              <w:lang w:bidi="ar-EG"/>
            </w:rPr>
          </w:pPr>
          <w:r w:rsidRPr="00DF5846">
            <w:rPr>
              <w:rFonts w:ascii="Arabic Typesetting" w:hAnsi="Arabic Typesetting" w:cs="Arabic Typesetting" w:hint="cs"/>
              <w:color w:val="auto"/>
              <w:sz w:val="40"/>
              <w:szCs w:val="40"/>
              <w:rtl/>
            </w:rPr>
            <w:t>تقرير أداء البرنامج 2016</w:t>
          </w:r>
        </w:p>
        <w:p w14:paraId="46AC72AA" w14:textId="09AF83A6" w:rsidR="00350E6E" w:rsidRPr="00DF5846" w:rsidRDefault="00EF74E8" w:rsidP="00DF5846">
          <w:pPr>
            <w:pStyle w:val="TOCHeading"/>
            <w:bidi/>
            <w:spacing w:before="120" w:after="240"/>
            <w:jc w:val="center"/>
            <w:rPr>
              <w:rFonts w:ascii="Arabic Typesetting" w:hAnsi="Arabic Typesetting" w:cs="Arabic Typesetting"/>
              <w:b w:val="0"/>
              <w:bCs w:val="0"/>
              <w:color w:val="auto"/>
              <w:sz w:val="40"/>
              <w:szCs w:val="40"/>
            </w:rPr>
          </w:pPr>
          <w:r w:rsidRPr="00DF5846">
            <w:rPr>
              <w:rFonts w:ascii="Arabic Typesetting" w:hAnsi="Arabic Typesetting" w:cs="Arabic Typesetting" w:hint="cs"/>
              <w:b w:val="0"/>
              <w:bCs w:val="0"/>
              <w:color w:val="auto"/>
              <w:sz w:val="40"/>
              <w:szCs w:val="40"/>
              <w:rtl/>
            </w:rPr>
            <w:t>المحتويات</w:t>
          </w:r>
        </w:p>
        <w:p w14:paraId="0BD386BA" w14:textId="77777777" w:rsidR="00AF6433" w:rsidRPr="00AF6433" w:rsidRDefault="00DF61DF" w:rsidP="00AF6433">
          <w:pPr>
            <w:pStyle w:val="TOC2"/>
            <w:rPr>
              <w:rFonts w:eastAsiaTheme="minorEastAsia"/>
              <w:b w:val="0"/>
              <w:bCs w:val="0"/>
              <w:sz w:val="30"/>
              <w:szCs w:val="30"/>
              <w:lang w:bidi="ar-SA"/>
            </w:rPr>
          </w:pPr>
          <w:r w:rsidRPr="00BD308F">
            <w:rPr>
              <w:sz w:val="30"/>
              <w:szCs w:val="30"/>
            </w:rPr>
            <w:fldChar w:fldCharType="begin"/>
          </w:r>
          <w:r w:rsidRPr="00BD308F">
            <w:rPr>
              <w:sz w:val="30"/>
              <w:szCs w:val="30"/>
            </w:rPr>
            <w:instrText xml:space="preserve"> TOC \o "1-4" \h \z \u </w:instrText>
          </w:r>
          <w:r w:rsidRPr="00BD308F">
            <w:rPr>
              <w:sz w:val="30"/>
              <w:szCs w:val="30"/>
            </w:rPr>
            <w:fldChar w:fldCharType="separate"/>
          </w:r>
          <w:hyperlink w:anchor="_Toc482782735" w:history="1">
            <w:r w:rsidR="00AF6433" w:rsidRPr="00AF6433">
              <w:rPr>
                <w:rStyle w:val="Hyperlink"/>
                <w:sz w:val="30"/>
                <w:szCs w:val="30"/>
                <w:rtl/>
              </w:rPr>
              <w:t>أولاً.</w:t>
            </w:r>
            <w:r w:rsidR="00AF6433" w:rsidRPr="00AF6433">
              <w:rPr>
                <w:rFonts w:eastAsiaTheme="minorEastAsia"/>
                <w:b w:val="0"/>
                <w:bCs w:val="0"/>
                <w:sz w:val="30"/>
                <w:szCs w:val="30"/>
                <w:lang w:bidi="ar-SA"/>
              </w:rPr>
              <w:tab/>
            </w:r>
            <w:r w:rsidR="00AF6433" w:rsidRPr="00AF6433">
              <w:rPr>
                <w:rStyle w:val="Hyperlink"/>
                <w:sz w:val="30"/>
                <w:szCs w:val="30"/>
                <w:rtl/>
              </w:rPr>
              <w:t>المقدمة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_Toc482782735 \h </w:instrText>
            </w:r>
            <w:r w:rsidR="00AF6433" w:rsidRPr="00AF6433">
              <w:rPr>
                <w:webHidden/>
                <w:sz w:val="30"/>
                <w:szCs w:val="30"/>
              </w:rPr>
            </w:r>
            <w:r w:rsidR="00AF6433" w:rsidRPr="00AF6433">
              <w:rPr>
                <w:webHidden/>
                <w:sz w:val="30"/>
                <w:szCs w:val="30"/>
              </w:rPr>
              <w:fldChar w:fldCharType="separate"/>
            </w:r>
            <w:r w:rsidR="000B74B5">
              <w:rPr>
                <w:webHidden/>
                <w:sz w:val="30"/>
                <w:szCs w:val="30"/>
                <w:rtl/>
              </w:rPr>
              <w:t>3</w:t>
            </w:r>
            <w:r w:rsidR="00AF6433" w:rsidRPr="00AF6433">
              <w:rPr>
                <w:webHidden/>
                <w:sz w:val="30"/>
                <w:szCs w:val="30"/>
              </w:rPr>
              <w:fldChar w:fldCharType="end"/>
            </w:r>
          </w:hyperlink>
        </w:p>
        <w:p w14:paraId="4CE441DF" w14:textId="77777777" w:rsidR="00AF6433" w:rsidRPr="00AF6433" w:rsidRDefault="000B74B5" w:rsidP="00AF6433">
          <w:pPr>
            <w:pStyle w:val="TOC2"/>
            <w:tabs>
              <w:tab w:val="left" w:pos="2870"/>
            </w:tabs>
            <w:rPr>
              <w:rFonts w:eastAsiaTheme="minorEastAsia"/>
              <w:b w:val="0"/>
              <w:bCs w:val="0"/>
              <w:sz w:val="30"/>
              <w:szCs w:val="30"/>
              <w:lang w:bidi="ar-SA"/>
            </w:rPr>
          </w:pPr>
          <w:hyperlink w:anchor="_Toc482782736" w:history="1">
            <w:r w:rsidR="00AF6433" w:rsidRPr="00AF6433">
              <w:rPr>
                <w:rStyle w:val="Hyperlink"/>
                <w:sz w:val="30"/>
                <w:szCs w:val="30"/>
                <w:rtl/>
              </w:rPr>
              <w:t>ثانياً.</w:t>
            </w:r>
            <w:r w:rsidR="00AF6433" w:rsidRPr="00AF6433">
              <w:rPr>
                <w:rFonts w:eastAsiaTheme="minorEastAsia"/>
                <w:b w:val="0"/>
                <w:bCs w:val="0"/>
                <w:sz w:val="30"/>
                <w:szCs w:val="30"/>
                <w:lang w:bidi="ar-SA"/>
              </w:rPr>
              <w:tab/>
            </w:r>
            <w:r w:rsidR="00AF6433" w:rsidRPr="00AF6433">
              <w:rPr>
                <w:rStyle w:val="Hyperlink"/>
                <w:sz w:val="30"/>
                <w:szCs w:val="30"/>
                <w:rtl/>
              </w:rPr>
              <w:t>الملخص التنفيذي – معالم 2016</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_Toc482782736 \h </w:instrText>
            </w:r>
            <w:r w:rsidR="00AF6433" w:rsidRPr="00AF6433">
              <w:rPr>
                <w:webHidden/>
                <w:sz w:val="30"/>
                <w:szCs w:val="30"/>
              </w:rPr>
            </w:r>
            <w:r w:rsidR="00AF6433" w:rsidRPr="00AF6433">
              <w:rPr>
                <w:webHidden/>
                <w:sz w:val="30"/>
                <w:szCs w:val="30"/>
              </w:rPr>
              <w:fldChar w:fldCharType="separate"/>
            </w:r>
            <w:r>
              <w:rPr>
                <w:webHidden/>
                <w:sz w:val="30"/>
                <w:szCs w:val="30"/>
                <w:rtl/>
              </w:rPr>
              <w:t>4</w:t>
            </w:r>
            <w:r w:rsidR="00AF6433" w:rsidRPr="00AF6433">
              <w:rPr>
                <w:webHidden/>
                <w:sz w:val="30"/>
                <w:szCs w:val="30"/>
              </w:rPr>
              <w:fldChar w:fldCharType="end"/>
            </w:r>
          </w:hyperlink>
        </w:p>
        <w:p w14:paraId="6BBFD99B" w14:textId="77777777" w:rsidR="00AF6433" w:rsidRPr="00AF6433" w:rsidRDefault="000B74B5" w:rsidP="00AF6433">
          <w:pPr>
            <w:pStyle w:val="TOC2"/>
            <w:tabs>
              <w:tab w:val="left" w:pos="2870"/>
            </w:tabs>
            <w:rPr>
              <w:rFonts w:eastAsiaTheme="minorEastAsia"/>
              <w:b w:val="0"/>
              <w:bCs w:val="0"/>
              <w:sz w:val="30"/>
              <w:szCs w:val="30"/>
              <w:lang w:bidi="ar-SA"/>
            </w:rPr>
          </w:pPr>
          <w:hyperlink w:anchor="_Toc482782737" w:history="1">
            <w:r w:rsidR="00AF6433" w:rsidRPr="00AF6433">
              <w:rPr>
                <w:rStyle w:val="Hyperlink"/>
                <w:sz w:val="30"/>
                <w:szCs w:val="30"/>
                <w:rtl/>
              </w:rPr>
              <w:t>ثالثاً.</w:t>
            </w:r>
            <w:r w:rsidR="00AF6433" w:rsidRPr="00AF6433">
              <w:rPr>
                <w:rFonts w:eastAsiaTheme="minorEastAsia"/>
                <w:b w:val="0"/>
                <w:bCs w:val="0"/>
                <w:sz w:val="30"/>
                <w:szCs w:val="30"/>
                <w:lang w:bidi="ar-SA"/>
              </w:rPr>
              <w:tab/>
            </w:r>
            <w:r w:rsidR="00AF6433" w:rsidRPr="00AF6433">
              <w:rPr>
                <w:rStyle w:val="Hyperlink"/>
                <w:sz w:val="30"/>
                <w:szCs w:val="30"/>
                <w:rtl/>
              </w:rPr>
              <w:t>تقرير عن تنفيذ تدابير الفعالية من حيث التكلفة في 2016</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_Toc482782737 \h </w:instrText>
            </w:r>
            <w:r w:rsidR="00AF6433" w:rsidRPr="00AF6433">
              <w:rPr>
                <w:webHidden/>
                <w:sz w:val="30"/>
                <w:szCs w:val="30"/>
              </w:rPr>
            </w:r>
            <w:r w:rsidR="00AF6433" w:rsidRPr="00AF6433">
              <w:rPr>
                <w:webHidden/>
                <w:sz w:val="30"/>
                <w:szCs w:val="30"/>
              </w:rPr>
              <w:fldChar w:fldCharType="separate"/>
            </w:r>
            <w:r>
              <w:rPr>
                <w:webHidden/>
                <w:sz w:val="30"/>
                <w:szCs w:val="30"/>
                <w:rtl/>
              </w:rPr>
              <w:t>25</w:t>
            </w:r>
            <w:r w:rsidR="00AF6433" w:rsidRPr="00AF6433">
              <w:rPr>
                <w:webHidden/>
                <w:sz w:val="30"/>
                <w:szCs w:val="30"/>
              </w:rPr>
              <w:fldChar w:fldCharType="end"/>
            </w:r>
          </w:hyperlink>
        </w:p>
        <w:p w14:paraId="3A0C0818" w14:textId="77777777" w:rsidR="00AF6433" w:rsidRPr="00AF6433" w:rsidRDefault="000B74B5" w:rsidP="00AF6433">
          <w:pPr>
            <w:pStyle w:val="TOC2"/>
            <w:tabs>
              <w:tab w:val="left" w:pos="2870"/>
            </w:tabs>
            <w:rPr>
              <w:rFonts w:eastAsiaTheme="minorEastAsia"/>
              <w:b w:val="0"/>
              <w:bCs w:val="0"/>
              <w:sz w:val="30"/>
              <w:szCs w:val="30"/>
              <w:lang w:bidi="ar-SA"/>
            </w:rPr>
          </w:pPr>
          <w:hyperlink w:anchor="_Toc482782738" w:history="1">
            <w:r w:rsidR="00AF6433" w:rsidRPr="00AF6433">
              <w:rPr>
                <w:rStyle w:val="Hyperlink"/>
                <w:sz w:val="30"/>
                <w:szCs w:val="30"/>
                <w:rtl/>
              </w:rPr>
              <w:t>رابعاً.</w:t>
            </w:r>
            <w:r w:rsidR="00AF6433" w:rsidRPr="00AF6433">
              <w:rPr>
                <w:rFonts w:eastAsiaTheme="minorEastAsia"/>
                <w:b w:val="0"/>
                <w:bCs w:val="0"/>
                <w:sz w:val="30"/>
                <w:szCs w:val="30"/>
                <w:lang w:bidi="ar-SA"/>
              </w:rPr>
              <w:tab/>
            </w:r>
            <w:r w:rsidR="00AF6433" w:rsidRPr="00AF6433">
              <w:rPr>
                <w:rStyle w:val="Hyperlink"/>
                <w:sz w:val="30"/>
                <w:szCs w:val="30"/>
                <w:rtl/>
              </w:rPr>
              <w:t>استعراض التقدم في 2016 حسب كل هدف استراتيجي</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_Toc482782738 \h </w:instrText>
            </w:r>
            <w:r w:rsidR="00AF6433" w:rsidRPr="00AF6433">
              <w:rPr>
                <w:webHidden/>
                <w:sz w:val="30"/>
                <w:szCs w:val="30"/>
              </w:rPr>
            </w:r>
            <w:r w:rsidR="00AF6433" w:rsidRPr="00AF6433">
              <w:rPr>
                <w:webHidden/>
                <w:sz w:val="30"/>
                <w:szCs w:val="30"/>
              </w:rPr>
              <w:fldChar w:fldCharType="separate"/>
            </w:r>
            <w:r>
              <w:rPr>
                <w:webHidden/>
                <w:sz w:val="30"/>
                <w:szCs w:val="30"/>
                <w:rtl/>
              </w:rPr>
              <w:t>30</w:t>
            </w:r>
            <w:r w:rsidR="00AF6433" w:rsidRPr="00AF6433">
              <w:rPr>
                <w:webHidden/>
                <w:sz w:val="30"/>
                <w:szCs w:val="30"/>
              </w:rPr>
              <w:fldChar w:fldCharType="end"/>
            </w:r>
          </w:hyperlink>
        </w:p>
        <w:p w14:paraId="7A9F5310" w14:textId="77777777" w:rsidR="00AF6433" w:rsidRPr="00AF6433" w:rsidRDefault="000B74B5" w:rsidP="00AF6433">
          <w:pPr>
            <w:pStyle w:val="TOC3"/>
            <w:rPr>
              <w:rFonts w:eastAsiaTheme="minorEastAsia"/>
              <w:sz w:val="30"/>
              <w:szCs w:val="30"/>
            </w:rPr>
          </w:pPr>
          <w:hyperlink w:anchor="_Toc482782739" w:history="1">
            <w:r w:rsidR="00AF6433" w:rsidRPr="00AF6433">
              <w:rPr>
                <w:rStyle w:val="Hyperlink"/>
                <w:sz w:val="30"/>
                <w:szCs w:val="30"/>
                <w:rtl/>
              </w:rPr>
              <w:t>الهدف الاستراتيجي الأول</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_Toc482782739 \h </w:instrText>
            </w:r>
            <w:r w:rsidR="00AF6433" w:rsidRPr="00AF6433">
              <w:rPr>
                <w:webHidden/>
                <w:sz w:val="30"/>
                <w:szCs w:val="30"/>
              </w:rPr>
            </w:r>
            <w:r w:rsidR="00AF6433" w:rsidRPr="00AF6433">
              <w:rPr>
                <w:webHidden/>
                <w:sz w:val="30"/>
                <w:szCs w:val="30"/>
              </w:rPr>
              <w:fldChar w:fldCharType="separate"/>
            </w:r>
            <w:r>
              <w:rPr>
                <w:webHidden/>
                <w:sz w:val="30"/>
                <w:szCs w:val="30"/>
                <w:rtl/>
              </w:rPr>
              <w:t>30</w:t>
            </w:r>
            <w:r w:rsidR="00AF6433" w:rsidRPr="00AF6433">
              <w:rPr>
                <w:webHidden/>
                <w:sz w:val="30"/>
                <w:szCs w:val="30"/>
              </w:rPr>
              <w:fldChar w:fldCharType="end"/>
            </w:r>
          </w:hyperlink>
        </w:p>
        <w:p w14:paraId="4D427E8E" w14:textId="77777777" w:rsidR="00AF6433" w:rsidRPr="00AF6433" w:rsidRDefault="000B74B5" w:rsidP="00AF6433">
          <w:pPr>
            <w:pStyle w:val="TOC3"/>
            <w:tabs>
              <w:tab w:val="left" w:pos="2321"/>
            </w:tabs>
            <w:rPr>
              <w:rFonts w:eastAsiaTheme="minorEastAsia"/>
              <w:sz w:val="30"/>
              <w:szCs w:val="30"/>
            </w:rPr>
          </w:pPr>
          <w:hyperlink w:anchor="_Toc482782740" w:history="1">
            <w:r w:rsidR="00AF6433" w:rsidRPr="00AF6433">
              <w:rPr>
                <w:rStyle w:val="Hyperlink"/>
                <w:sz w:val="30"/>
                <w:szCs w:val="30"/>
                <w:rtl/>
              </w:rPr>
              <w:t>البرنامج</w:t>
            </w:r>
            <w:r w:rsidR="00AF6433" w:rsidRPr="00AF6433">
              <w:rPr>
                <w:rStyle w:val="Hyperlink"/>
                <w:sz w:val="30"/>
                <w:szCs w:val="30"/>
              </w:rPr>
              <w:t xml:space="preserve"> </w:t>
            </w:r>
            <w:r w:rsidR="00AF6433" w:rsidRPr="00AF6433">
              <w:rPr>
                <w:rStyle w:val="Hyperlink"/>
                <w:sz w:val="30"/>
                <w:szCs w:val="30"/>
                <w:rtl/>
              </w:rPr>
              <w:t>1:</w:t>
            </w:r>
            <w:r w:rsidR="00AF6433" w:rsidRPr="00AF6433">
              <w:rPr>
                <w:rFonts w:eastAsiaTheme="minorEastAsia"/>
                <w:sz w:val="30"/>
                <w:szCs w:val="30"/>
              </w:rPr>
              <w:tab/>
            </w:r>
            <w:r w:rsidR="00AF6433" w:rsidRPr="00AF6433">
              <w:rPr>
                <w:rStyle w:val="Hyperlink"/>
                <w:sz w:val="30"/>
                <w:szCs w:val="30"/>
                <w:rtl/>
              </w:rPr>
              <w:t>قانون البراءات</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_Toc482782740 \h </w:instrText>
            </w:r>
            <w:r w:rsidR="00AF6433" w:rsidRPr="00AF6433">
              <w:rPr>
                <w:webHidden/>
                <w:sz w:val="30"/>
                <w:szCs w:val="30"/>
              </w:rPr>
            </w:r>
            <w:r w:rsidR="00AF6433" w:rsidRPr="00AF6433">
              <w:rPr>
                <w:webHidden/>
                <w:sz w:val="30"/>
                <w:szCs w:val="30"/>
              </w:rPr>
              <w:fldChar w:fldCharType="separate"/>
            </w:r>
            <w:r>
              <w:rPr>
                <w:webHidden/>
                <w:sz w:val="30"/>
                <w:szCs w:val="30"/>
                <w:rtl/>
              </w:rPr>
              <w:t>33</w:t>
            </w:r>
            <w:r w:rsidR="00AF6433" w:rsidRPr="00AF6433">
              <w:rPr>
                <w:webHidden/>
                <w:sz w:val="30"/>
                <w:szCs w:val="30"/>
              </w:rPr>
              <w:fldChar w:fldCharType="end"/>
            </w:r>
          </w:hyperlink>
        </w:p>
        <w:p w14:paraId="0AFDDD17" w14:textId="77777777" w:rsidR="00AF6433" w:rsidRPr="00AF6433" w:rsidRDefault="000B74B5" w:rsidP="00AF6433">
          <w:pPr>
            <w:pStyle w:val="TOC3"/>
            <w:tabs>
              <w:tab w:val="left" w:pos="4854"/>
            </w:tabs>
            <w:rPr>
              <w:rFonts w:eastAsiaTheme="minorEastAsia"/>
              <w:sz w:val="30"/>
              <w:szCs w:val="30"/>
            </w:rPr>
          </w:pPr>
          <w:hyperlink w:anchor="_Toc482782741" w:history="1">
            <w:r w:rsidR="00AF6433" w:rsidRPr="00AF6433">
              <w:rPr>
                <w:rStyle w:val="Hyperlink"/>
                <w:sz w:val="30"/>
                <w:szCs w:val="30"/>
                <w:rtl/>
              </w:rPr>
              <w:t>البرنامج 2:</w:t>
            </w:r>
            <w:r w:rsidR="00AF6433" w:rsidRPr="00AF6433">
              <w:rPr>
                <w:rFonts w:eastAsiaTheme="minorEastAsia"/>
                <w:sz w:val="30"/>
                <w:szCs w:val="30"/>
              </w:rPr>
              <w:tab/>
            </w:r>
            <w:r w:rsidR="00AF6433" w:rsidRPr="00AF6433">
              <w:rPr>
                <w:rStyle w:val="Hyperlink"/>
                <w:sz w:val="30"/>
                <w:szCs w:val="30"/>
                <w:rtl/>
              </w:rPr>
              <w:t>العلامات التجارية والتصاميم الصناعية والمؤشرات الجغرافية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_Toc482782741 \h </w:instrText>
            </w:r>
            <w:r w:rsidR="00AF6433" w:rsidRPr="00AF6433">
              <w:rPr>
                <w:webHidden/>
                <w:sz w:val="30"/>
                <w:szCs w:val="30"/>
              </w:rPr>
            </w:r>
            <w:r w:rsidR="00AF6433" w:rsidRPr="00AF6433">
              <w:rPr>
                <w:webHidden/>
                <w:sz w:val="30"/>
                <w:szCs w:val="30"/>
              </w:rPr>
              <w:fldChar w:fldCharType="separate"/>
            </w:r>
            <w:r>
              <w:rPr>
                <w:webHidden/>
                <w:sz w:val="30"/>
                <w:szCs w:val="30"/>
                <w:rtl/>
              </w:rPr>
              <w:t>36</w:t>
            </w:r>
            <w:r w:rsidR="00AF6433" w:rsidRPr="00AF6433">
              <w:rPr>
                <w:webHidden/>
                <w:sz w:val="30"/>
                <w:szCs w:val="30"/>
              </w:rPr>
              <w:fldChar w:fldCharType="end"/>
            </w:r>
          </w:hyperlink>
        </w:p>
        <w:p w14:paraId="4817641E" w14:textId="77777777" w:rsidR="00AF6433" w:rsidRPr="00AF6433" w:rsidRDefault="000B74B5" w:rsidP="00AF6433">
          <w:pPr>
            <w:pStyle w:val="TOC3"/>
            <w:tabs>
              <w:tab w:val="left" w:pos="2685"/>
            </w:tabs>
            <w:rPr>
              <w:rFonts w:eastAsiaTheme="minorEastAsia"/>
              <w:sz w:val="30"/>
              <w:szCs w:val="30"/>
            </w:rPr>
          </w:pPr>
          <w:hyperlink w:anchor="_Toc482782742" w:history="1">
            <w:r w:rsidR="00AF6433" w:rsidRPr="00AF6433">
              <w:rPr>
                <w:rStyle w:val="Hyperlink"/>
                <w:sz w:val="30"/>
                <w:szCs w:val="30"/>
                <w:rtl/>
              </w:rPr>
              <w:t>البرنامج 3:</w:t>
            </w:r>
            <w:r w:rsidR="00AF6433" w:rsidRPr="00AF6433">
              <w:rPr>
                <w:rFonts w:eastAsiaTheme="minorEastAsia"/>
                <w:sz w:val="30"/>
                <w:szCs w:val="30"/>
              </w:rPr>
              <w:tab/>
            </w:r>
            <w:r w:rsidR="00AF6433" w:rsidRPr="00AF6433">
              <w:rPr>
                <w:rStyle w:val="Hyperlink"/>
                <w:sz w:val="30"/>
                <w:szCs w:val="30"/>
                <w:rtl/>
              </w:rPr>
              <w:t>حق المؤلف والحقوق المجاورة</w:t>
            </w:r>
            <w:bookmarkStart w:id="4" w:name="_GoBack"/>
            <w:bookmarkEnd w:id="4"/>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_Toc482782742 \h </w:instrText>
            </w:r>
            <w:r w:rsidR="00AF6433" w:rsidRPr="00AF6433">
              <w:rPr>
                <w:webHidden/>
                <w:sz w:val="30"/>
                <w:szCs w:val="30"/>
              </w:rPr>
            </w:r>
            <w:r w:rsidR="00AF6433" w:rsidRPr="00AF6433">
              <w:rPr>
                <w:webHidden/>
                <w:sz w:val="30"/>
                <w:szCs w:val="30"/>
              </w:rPr>
              <w:fldChar w:fldCharType="separate"/>
            </w:r>
            <w:r>
              <w:rPr>
                <w:webHidden/>
                <w:sz w:val="30"/>
                <w:szCs w:val="30"/>
                <w:rtl/>
              </w:rPr>
              <w:t>40</w:t>
            </w:r>
            <w:r w:rsidR="00AF6433" w:rsidRPr="00AF6433">
              <w:rPr>
                <w:webHidden/>
                <w:sz w:val="30"/>
                <w:szCs w:val="30"/>
              </w:rPr>
              <w:fldChar w:fldCharType="end"/>
            </w:r>
          </w:hyperlink>
        </w:p>
        <w:p w14:paraId="4468A58B" w14:textId="77777777" w:rsidR="00AF6433" w:rsidRPr="00AF6433" w:rsidRDefault="000B74B5" w:rsidP="00AF6433">
          <w:pPr>
            <w:pStyle w:val="TOC3"/>
            <w:tabs>
              <w:tab w:val="left" w:pos="5333"/>
            </w:tabs>
            <w:rPr>
              <w:rFonts w:eastAsiaTheme="minorEastAsia"/>
              <w:sz w:val="30"/>
              <w:szCs w:val="30"/>
            </w:rPr>
          </w:pPr>
          <w:hyperlink w:anchor="_Toc482782743" w:history="1">
            <w:r w:rsidR="00AF6433" w:rsidRPr="00AF6433">
              <w:rPr>
                <w:rStyle w:val="Hyperlink"/>
                <w:sz w:val="30"/>
                <w:szCs w:val="30"/>
                <w:rtl/>
              </w:rPr>
              <w:t>البرنامج 4:</w:t>
            </w:r>
            <w:r w:rsidR="00AF6433" w:rsidRPr="00AF6433">
              <w:rPr>
                <w:rFonts w:eastAsiaTheme="minorEastAsia"/>
                <w:sz w:val="30"/>
                <w:szCs w:val="30"/>
              </w:rPr>
              <w:tab/>
            </w:r>
            <w:r w:rsidR="00AF6433" w:rsidRPr="00AF6433">
              <w:rPr>
                <w:rStyle w:val="Hyperlink"/>
                <w:sz w:val="30"/>
                <w:szCs w:val="30"/>
                <w:rtl/>
              </w:rPr>
              <w:t>المعارف التقليدية وأشكال التعبير الثقافي التقليدي والموارد الوراثية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_Toc482782743 \h </w:instrText>
            </w:r>
            <w:r w:rsidR="00AF6433" w:rsidRPr="00AF6433">
              <w:rPr>
                <w:webHidden/>
                <w:sz w:val="30"/>
                <w:szCs w:val="30"/>
              </w:rPr>
            </w:r>
            <w:r w:rsidR="00AF6433" w:rsidRPr="00AF6433">
              <w:rPr>
                <w:webHidden/>
                <w:sz w:val="30"/>
                <w:szCs w:val="30"/>
              </w:rPr>
              <w:fldChar w:fldCharType="separate"/>
            </w:r>
            <w:r>
              <w:rPr>
                <w:webHidden/>
                <w:sz w:val="30"/>
                <w:szCs w:val="30"/>
                <w:rtl/>
              </w:rPr>
              <w:t>47</w:t>
            </w:r>
            <w:r w:rsidR="00AF6433" w:rsidRPr="00AF6433">
              <w:rPr>
                <w:webHidden/>
                <w:sz w:val="30"/>
                <w:szCs w:val="30"/>
              </w:rPr>
              <w:fldChar w:fldCharType="end"/>
            </w:r>
          </w:hyperlink>
        </w:p>
        <w:p w14:paraId="7DA3ACBE" w14:textId="77777777" w:rsidR="00AF6433" w:rsidRPr="00AF6433" w:rsidRDefault="000B74B5" w:rsidP="00AF6433">
          <w:pPr>
            <w:pStyle w:val="TOC3"/>
            <w:rPr>
              <w:rFonts w:eastAsiaTheme="minorEastAsia"/>
              <w:sz w:val="30"/>
              <w:szCs w:val="30"/>
            </w:rPr>
          </w:pPr>
          <w:hyperlink w:anchor="_Toc482782744" w:history="1">
            <w:r w:rsidR="00AF6433" w:rsidRPr="00AF6433">
              <w:rPr>
                <w:rStyle w:val="Hyperlink"/>
                <w:sz w:val="30"/>
                <w:szCs w:val="30"/>
                <w:rtl/>
              </w:rPr>
              <w:t>الهدف الاستراتيجي الثاني</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_Toc482782744 \h </w:instrText>
            </w:r>
            <w:r w:rsidR="00AF6433" w:rsidRPr="00AF6433">
              <w:rPr>
                <w:webHidden/>
                <w:sz w:val="30"/>
                <w:szCs w:val="30"/>
              </w:rPr>
            </w:r>
            <w:r w:rsidR="00AF6433" w:rsidRPr="00AF6433">
              <w:rPr>
                <w:webHidden/>
                <w:sz w:val="30"/>
                <w:szCs w:val="30"/>
              </w:rPr>
              <w:fldChar w:fldCharType="separate"/>
            </w:r>
            <w:r>
              <w:rPr>
                <w:webHidden/>
                <w:sz w:val="30"/>
                <w:szCs w:val="30"/>
                <w:rtl/>
              </w:rPr>
              <w:t>49</w:t>
            </w:r>
            <w:r w:rsidR="00AF6433" w:rsidRPr="00AF6433">
              <w:rPr>
                <w:webHidden/>
                <w:sz w:val="30"/>
                <w:szCs w:val="30"/>
              </w:rPr>
              <w:fldChar w:fldCharType="end"/>
            </w:r>
          </w:hyperlink>
        </w:p>
        <w:p w14:paraId="0B2700C5" w14:textId="77777777" w:rsidR="00AF6433" w:rsidRPr="00AF6433" w:rsidRDefault="000B74B5" w:rsidP="00AF6433">
          <w:pPr>
            <w:pStyle w:val="TOC3"/>
            <w:tabs>
              <w:tab w:val="left" w:pos="3208"/>
            </w:tabs>
            <w:rPr>
              <w:rFonts w:eastAsiaTheme="minorEastAsia"/>
              <w:sz w:val="30"/>
              <w:szCs w:val="30"/>
            </w:rPr>
          </w:pPr>
          <w:hyperlink w:anchor="_Toc482782745" w:history="1">
            <w:r w:rsidR="00AF6433" w:rsidRPr="00AF6433">
              <w:rPr>
                <w:rStyle w:val="Hyperlink"/>
                <w:sz w:val="30"/>
                <w:szCs w:val="30"/>
                <w:rtl/>
              </w:rPr>
              <w:t>البرنامج 5:</w:t>
            </w:r>
            <w:r w:rsidR="00AF6433" w:rsidRPr="00AF6433">
              <w:rPr>
                <w:rFonts w:eastAsiaTheme="minorEastAsia"/>
                <w:sz w:val="30"/>
                <w:szCs w:val="30"/>
              </w:rPr>
              <w:tab/>
            </w:r>
            <w:r w:rsidR="00AF6433" w:rsidRPr="00AF6433">
              <w:rPr>
                <w:rStyle w:val="Hyperlink"/>
                <w:sz w:val="30"/>
                <w:szCs w:val="30"/>
                <w:rtl/>
              </w:rPr>
              <w:t>نظام معاهدة التعاون بشأن البراءات</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_Toc482782745 \h </w:instrText>
            </w:r>
            <w:r w:rsidR="00AF6433" w:rsidRPr="00AF6433">
              <w:rPr>
                <w:webHidden/>
                <w:sz w:val="30"/>
                <w:szCs w:val="30"/>
              </w:rPr>
            </w:r>
            <w:r w:rsidR="00AF6433" w:rsidRPr="00AF6433">
              <w:rPr>
                <w:webHidden/>
                <w:sz w:val="30"/>
                <w:szCs w:val="30"/>
              </w:rPr>
              <w:fldChar w:fldCharType="separate"/>
            </w:r>
            <w:r>
              <w:rPr>
                <w:webHidden/>
                <w:sz w:val="30"/>
                <w:szCs w:val="30"/>
                <w:rtl/>
              </w:rPr>
              <w:t>54</w:t>
            </w:r>
            <w:r w:rsidR="00AF6433" w:rsidRPr="00AF6433">
              <w:rPr>
                <w:webHidden/>
                <w:sz w:val="30"/>
                <w:szCs w:val="30"/>
              </w:rPr>
              <w:fldChar w:fldCharType="end"/>
            </w:r>
          </w:hyperlink>
        </w:p>
        <w:p w14:paraId="72552FE6" w14:textId="77777777" w:rsidR="00AF6433" w:rsidRPr="00AF6433" w:rsidRDefault="000B74B5" w:rsidP="00AF6433">
          <w:pPr>
            <w:pStyle w:val="TOC4"/>
            <w:rPr>
              <w:rFonts w:eastAsiaTheme="minorEastAsia"/>
              <w:i w:val="0"/>
              <w:iCs w:val="0"/>
              <w:sz w:val="30"/>
              <w:szCs w:val="30"/>
              <w:lang w:bidi="ar-SA"/>
            </w:rPr>
          </w:pPr>
          <w:hyperlink w:anchor="_Toc482782746" w:history="1">
            <w:r w:rsidR="00AF6433" w:rsidRPr="00AF6433">
              <w:rPr>
                <w:rStyle w:val="Hyperlink"/>
                <w:sz w:val="30"/>
                <w:szCs w:val="30"/>
                <w:rtl/>
              </w:rPr>
              <w:t>مرفق البرنامج 5: مؤشرات عمليات معاهدة التعاون بشأن البراءات</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_Toc482782746 \h </w:instrText>
            </w:r>
            <w:r w:rsidR="00AF6433" w:rsidRPr="00AF6433">
              <w:rPr>
                <w:webHidden/>
                <w:sz w:val="30"/>
                <w:szCs w:val="30"/>
              </w:rPr>
            </w:r>
            <w:r w:rsidR="00AF6433" w:rsidRPr="00AF6433">
              <w:rPr>
                <w:webHidden/>
                <w:sz w:val="30"/>
                <w:szCs w:val="30"/>
              </w:rPr>
              <w:fldChar w:fldCharType="separate"/>
            </w:r>
            <w:r>
              <w:rPr>
                <w:webHidden/>
                <w:sz w:val="30"/>
                <w:szCs w:val="30"/>
                <w:rtl/>
              </w:rPr>
              <w:t>59</w:t>
            </w:r>
            <w:r w:rsidR="00AF6433" w:rsidRPr="00AF6433">
              <w:rPr>
                <w:webHidden/>
                <w:sz w:val="30"/>
                <w:szCs w:val="30"/>
              </w:rPr>
              <w:fldChar w:fldCharType="end"/>
            </w:r>
          </w:hyperlink>
        </w:p>
        <w:p w14:paraId="491B7C72" w14:textId="77777777" w:rsidR="00AF6433" w:rsidRPr="00AF6433" w:rsidRDefault="000B74B5" w:rsidP="00AF6433">
          <w:pPr>
            <w:pStyle w:val="TOC3"/>
            <w:rPr>
              <w:rFonts w:eastAsiaTheme="minorEastAsia"/>
              <w:sz w:val="30"/>
              <w:szCs w:val="30"/>
            </w:rPr>
          </w:pPr>
          <w:hyperlink w:anchor="_Toc482782747" w:history="1">
            <w:r w:rsidR="00AF6433" w:rsidRPr="00AF6433">
              <w:rPr>
                <w:rStyle w:val="Hyperlink"/>
                <w:sz w:val="30"/>
                <w:szCs w:val="30"/>
                <w:rtl/>
              </w:rPr>
              <w:t>البرنامج 6:</w:t>
            </w:r>
            <w:r w:rsidR="00AF6433" w:rsidRPr="00AF6433">
              <w:rPr>
                <w:rFonts w:eastAsiaTheme="minorEastAsia"/>
                <w:sz w:val="30"/>
                <w:szCs w:val="30"/>
              </w:rPr>
              <w:tab/>
            </w:r>
            <w:r w:rsidR="00AF6433" w:rsidRPr="00AF6433">
              <w:rPr>
                <w:rStyle w:val="Hyperlink"/>
                <w:sz w:val="30"/>
                <w:szCs w:val="30"/>
                <w:rtl/>
              </w:rPr>
              <w:t>نظام مدريد</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_Toc482782747 \h </w:instrText>
            </w:r>
            <w:r w:rsidR="00AF6433" w:rsidRPr="00AF6433">
              <w:rPr>
                <w:webHidden/>
                <w:sz w:val="30"/>
                <w:szCs w:val="30"/>
              </w:rPr>
            </w:r>
            <w:r w:rsidR="00AF6433" w:rsidRPr="00AF6433">
              <w:rPr>
                <w:webHidden/>
                <w:sz w:val="30"/>
                <w:szCs w:val="30"/>
              </w:rPr>
              <w:fldChar w:fldCharType="separate"/>
            </w:r>
            <w:r>
              <w:rPr>
                <w:webHidden/>
                <w:sz w:val="30"/>
                <w:szCs w:val="30"/>
                <w:rtl/>
              </w:rPr>
              <w:t>71</w:t>
            </w:r>
            <w:r w:rsidR="00AF6433" w:rsidRPr="00AF6433">
              <w:rPr>
                <w:webHidden/>
                <w:sz w:val="30"/>
                <w:szCs w:val="30"/>
              </w:rPr>
              <w:fldChar w:fldCharType="end"/>
            </w:r>
          </w:hyperlink>
        </w:p>
        <w:p w14:paraId="3E81FEDA" w14:textId="77777777" w:rsidR="00AF6433" w:rsidRPr="00AF6433" w:rsidRDefault="000B74B5" w:rsidP="00AF6433">
          <w:pPr>
            <w:pStyle w:val="TOC4"/>
            <w:rPr>
              <w:rFonts w:eastAsiaTheme="minorEastAsia"/>
              <w:i w:val="0"/>
              <w:iCs w:val="0"/>
              <w:sz w:val="30"/>
              <w:szCs w:val="30"/>
              <w:lang w:bidi="ar-SA"/>
            </w:rPr>
          </w:pPr>
          <w:hyperlink w:anchor="_Toc482782748" w:history="1">
            <w:r w:rsidR="00AF6433" w:rsidRPr="00AF6433">
              <w:rPr>
                <w:rStyle w:val="Hyperlink"/>
                <w:sz w:val="30"/>
                <w:szCs w:val="30"/>
                <w:rtl/>
              </w:rPr>
              <w:t>مرفق البرنامج 6: مؤشرات عمليات نظام مدريد</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_Toc482782748 \h </w:instrText>
            </w:r>
            <w:r w:rsidR="00AF6433" w:rsidRPr="00AF6433">
              <w:rPr>
                <w:webHidden/>
                <w:sz w:val="30"/>
                <w:szCs w:val="30"/>
              </w:rPr>
            </w:r>
            <w:r w:rsidR="00AF6433" w:rsidRPr="00AF6433">
              <w:rPr>
                <w:webHidden/>
                <w:sz w:val="30"/>
                <w:szCs w:val="30"/>
              </w:rPr>
              <w:fldChar w:fldCharType="separate"/>
            </w:r>
            <w:r>
              <w:rPr>
                <w:webHidden/>
                <w:sz w:val="30"/>
                <w:szCs w:val="30"/>
                <w:rtl/>
              </w:rPr>
              <w:t>79</w:t>
            </w:r>
            <w:r w:rsidR="00AF6433" w:rsidRPr="00AF6433">
              <w:rPr>
                <w:webHidden/>
                <w:sz w:val="30"/>
                <w:szCs w:val="30"/>
              </w:rPr>
              <w:fldChar w:fldCharType="end"/>
            </w:r>
          </w:hyperlink>
        </w:p>
        <w:p w14:paraId="1C1AB814" w14:textId="77777777" w:rsidR="00AF6433" w:rsidRPr="00AF6433" w:rsidRDefault="000B74B5" w:rsidP="00AF6433">
          <w:pPr>
            <w:pStyle w:val="TOC3"/>
            <w:rPr>
              <w:rFonts w:eastAsiaTheme="minorEastAsia"/>
              <w:sz w:val="30"/>
              <w:szCs w:val="30"/>
            </w:rPr>
          </w:pPr>
          <w:hyperlink w:anchor="_Toc482782749" w:history="1">
            <w:r w:rsidR="00AF6433" w:rsidRPr="00AF6433">
              <w:rPr>
                <w:rStyle w:val="Hyperlink"/>
                <w:sz w:val="30"/>
                <w:szCs w:val="30"/>
                <w:rtl/>
              </w:rPr>
              <w:t>البرنامج 31:</w:t>
            </w:r>
            <w:r w:rsidR="00AF6433" w:rsidRPr="00AF6433">
              <w:rPr>
                <w:rFonts w:eastAsiaTheme="minorEastAsia"/>
                <w:sz w:val="30"/>
                <w:szCs w:val="30"/>
              </w:rPr>
              <w:tab/>
            </w:r>
            <w:r w:rsidR="00AF6433" w:rsidRPr="00AF6433">
              <w:rPr>
                <w:rStyle w:val="Hyperlink"/>
                <w:sz w:val="30"/>
                <w:szCs w:val="30"/>
                <w:rtl/>
              </w:rPr>
              <w:t>نظام لاهاي</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_Toc482782749 \h </w:instrText>
            </w:r>
            <w:r w:rsidR="00AF6433" w:rsidRPr="00AF6433">
              <w:rPr>
                <w:webHidden/>
                <w:sz w:val="30"/>
                <w:szCs w:val="30"/>
              </w:rPr>
            </w:r>
            <w:r w:rsidR="00AF6433" w:rsidRPr="00AF6433">
              <w:rPr>
                <w:webHidden/>
                <w:sz w:val="30"/>
                <w:szCs w:val="30"/>
              </w:rPr>
              <w:fldChar w:fldCharType="separate"/>
            </w:r>
            <w:r>
              <w:rPr>
                <w:webHidden/>
                <w:sz w:val="30"/>
                <w:szCs w:val="30"/>
                <w:rtl/>
              </w:rPr>
              <w:t>95</w:t>
            </w:r>
            <w:r w:rsidR="00AF6433" w:rsidRPr="00AF6433">
              <w:rPr>
                <w:webHidden/>
                <w:sz w:val="30"/>
                <w:szCs w:val="30"/>
              </w:rPr>
              <w:fldChar w:fldCharType="end"/>
            </w:r>
          </w:hyperlink>
        </w:p>
        <w:p w14:paraId="4814AAA9" w14:textId="77777777" w:rsidR="00AF6433" w:rsidRPr="00AF6433" w:rsidRDefault="000B74B5" w:rsidP="00AF6433">
          <w:pPr>
            <w:pStyle w:val="TOC4"/>
            <w:rPr>
              <w:rFonts w:eastAsiaTheme="minorEastAsia"/>
              <w:i w:val="0"/>
              <w:iCs w:val="0"/>
              <w:sz w:val="30"/>
              <w:szCs w:val="30"/>
              <w:lang w:bidi="ar-SA"/>
            </w:rPr>
          </w:pPr>
          <w:hyperlink w:anchor="_Toc482782750" w:history="1">
            <w:r w:rsidR="00AF6433" w:rsidRPr="00AF6433">
              <w:rPr>
                <w:rStyle w:val="Hyperlink"/>
                <w:sz w:val="30"/>
                <w:szCs w:val="30"/>
                <w:rtl/>
              </w:rPr>
              <w:t>مرفق البرنامج 31: مؤشرات عمليات نظام لاهاي</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_Toc482782750 \h </w:instrText>
            </w:r>
            <w:r w:rsidR="00AF6433" w:rsidRPr="00AF6433">
              <w:rPr>
                <w:webHidden/>
                <w:sz w:val="30"/>
                <w:szCs w:val="30"/>
              </w:rPr>
            </w:r>
            <w:r w:rsidR="00AF6433" w:rsidRPr="00AF6433">
              <w:rPr>
                <w:webHidden/>
                <w:sz w:val="30"/>
                <w:szCs w:val="30"/>
              </w:rPr>
              <w:fldChar w:fldCharType="separate"/>
            </w:r>
            <w:r>
              <w:rPr>
                <w:webHidden/>
                <w:sz w:val="30"/>
                <w:szCs w:val="30"/>
                <w:rtl/>
              </w:rPr>
              <w:t>99</w:t>
            </w:r>
            <w:r w:rsidR="00AF6433" w:rsidRPr="00AF6433">
              <w:rPr>
                <w:webHidden/>
                <w:sz w:val="30"/>
                <w:szCs w:val="30"/>
              </w:rPr>
              <w:fldChar w:fldCharType="end"/>
            </w:r>
          </w:hyperlink>
        </w:p>
        <w:p w14:paraId="5BE3F59A" w14:textId="77777777" w:rsidR="00AF6433" w:rsidRPr="00AF6433" w:rsidRDefault="000B74B5" w:rsidP="00AF6433">
          <w:pPr>
            <w:pStyle w:val="TOC3"/>
            <w:rPr>
              <w:rFonts w:eastAsiaTheme="minorEastAsia"/>
              <w:sz w:val="30"/>
              <w:szCs w:val="30"/>
            </w:rPr>
          </w:pPr>
          <w:hyperlink w:anchor="_Toc482782751" w:history="1">
            <w:r w:rsidR="00AF6433" w:rsidRPr="00AF6433">
              <w:rPr>
                <w:rStyle w:val="Hyperlink"/>
                <w:sz w:val="30"/>
                <w:szCs w:val="30"/>
                <w:rtl/>
              </w:rPr>
              <w:t>البرنامج 32:</w:t>
            </w:r>
            <w:r w:rsidR="00AF6433" w:rsidRPr="00AF6433">
              <w:rPr>
                <w:rFonts w:eastAsiaTheme="minorEastAsia"/>
                <w:sz w:val="30"/>
                <w:szCs w:val="30"/>
              </w:rPr>
              <w:tab/>
            </w:r>
            <w:r w:rsidR="00AF6433" w:rsidRPr="00AF6433">
              <w:rPr>
                <w:rStyle w:val="Hyperlink"/>
                <w:sz w:val="30"/>
                <w:szCs w:val="30"/>
                <w:rtl/>
              </w:rPr>
              <w:t>نظام لشبونة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_Toc482782751 \h </w:instrText>
            </w:r>
            <w:r w:rsidR="00AF6433" w:rsidRPr="00AF6433">
              <w:rPr>
                <w:webHidden/>
                <w:sz w:val="30"/>
                <w:szCs w:val="30"/>
              </w:rPr>
            </w:r>
            <w:r w:rsidR="00AF6433" w:rsidRPr="00AF6433">
              <w:rPr>
                <w:webHidden/>
                <w:sz w:val="30"/>
                <w:szCs w:val="30"/>
              </w:rPr>
              <w:fldChar w:fldCharType="separate"/>
            </w:r>
            <w:r>
              <w:rPr>
                <w:webHidden/>
                <w:sz w:val="30"/>
                <w:szCs w:val="30"/>
                <w:rtl/>
              </w:rPr>
              <w:t>108</w:t>
            </w:r>
            <w:r w:rsidR="00AF6433" w:rsidRPr="00AF6433">
              <w:rPr>
                <w:webHidden/>
                <w:sz w:val="30"/>
                <w:szCs w:val="30"/>
              </w:rPr>
              <w:fldChar w:fldCharType="end"/>
            </w:r>
          </w:hyperlink>
        </w:p>
        <w:p w14:paraId="5351F77A" w14:textId="77777777" w:rsidR="00AF6433" w:rsidRPr="00AF6433" w:rsidRDefault="000B74B5" w:rsidP="00AF6433">
          <w:pPr>
            <w:pStyle w:val="TOC3"/>
            <w:tabs>
              <w:tab w:val="left" w:pos="2814"/>
            </w:tabs>
            <w:rPr>
              <w:rFonts w:eastAsiaTheme="minorEastAsia"/>
              <w:sz w:val="30"/>
              <w:szCs w:val="30"/>
            </w:rPr>
          </w:pPr>
          <w:hyperlink w:anchor="_Toc482782752" w:history="1">
            <w:r w:rsidR="00AF6433" w:rsidRPr="00AF6433">
              <w:rPr>
                <w:rStyle w:val="Hyperlink"/>
                <w:sz w:val="30"/>
                <w:szCs w:val="30"/>
                <w:rtl/>
              </w:rPr>
              <w:t>البرنامج 7:</w:t>
            </w:r>
            <w:r w:rsidR="00AF6433" w:rsidRPr="00AF6433">
              <w:rPr>
                <w:rFonts w:eastAsiaTheme="minorEastAsia"/>
                <w:sz w:val="30"/>
                <w:szCs w:val="30"/>
              </w:rPr>
              <w:tab/>
            </w:r>
            <w:r w:rsidR="00AF6433" w:rsidRPr="00AF6433">
              <w:rPr>
                <w:rStyle w:val="Hyperlink"/>
                <w:sz w:val="30"/>
                <w:szCs w:val="30"/>
                <w:rtl/>
              </w:rPr>
              <w:t>مركز الويبو للتحكيم والوساطة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_Toc482782752 \h </w:instrText>
            </w:r>
            <w:r w:rsidR="00AF6433" w:rsidRPr="00AF6433">
              <w:rPr>
                <w:webHidden/>
                <w:sz w:val="30"/>
                <w:szCs w:val="30"/>
              </w:rPr>
            </w:r>
            <w:r w:rsidR="00AF6433" w:rsidRPr="00AF6433">
              <w:rPr>
                <w:webHidden/>
                <w:sz w:val="30"/>
                <w:szCs w:val="30"/>
              </w:rPr>
              <w:fldChar w:fldCharType="separate"/>
            </w:r>
            <w:r>
              <w:rPr>
                <w:webHidden/>
                <w:sz w:val="30"/>
                <w:szCs w:val="30"/>
                <w:rtl/>
              </w:rPr>
              <w:t>111</w:t>
            </w:r>
            <w:r w:rsidR="00AF6433" w:rsidRPr="00AF6433">
              <w:rPr>
                <w:webHidden/>
                <w:sz w:val="30"/>
                <w:szCs w:val="30"/>
              </w:rPr>
              <w:fldChar w:fldCharType="end"/>
            </w:r>
          </w:hyperlink>
        </w:p>
        <w:p w14:paraId="0A8FD7B1" w14:textId="77777777" w:rsidR="00AF6433" w:rsidRPr="00AF6433" w:rsidRDefault="000B74B5" w:rsidP="00AF6433">
          <w:pPr>
            <w:pStyle w:val="TOC3"/>
            <w:rPr>
              <w:rFonts w:eastAsiaTheme="minorEastAsia"/>
              <w:sz w:val="30"/>
              <w:szCs w:val="30"/>
            </w:rPr>
          </w:pPr>
          <w:hyperlink w:anchor="_Toc482782753" w:history="1">
            <w:r w:rsidR="00AF6433" w:rsidRPr="00AF6433">
              <w:rPr>
                <w:rStyle w:val="Hyperlink"/>
                <w:sz w:val="30"/>
                <w:szCs w:val="30"/>
                <w:rtl/>
              </w:rPr>
              <w:t xml:space="preserve">الهدف الاستراتيجي </w:t>
            </w:r>
            <w:r w:rsidR="00AF6433" w:rsidRPr="00AF6433">
              <w:rPr>
                <w:rStyle w:val="Hyperlink"/>
                <w:sz w:val="30"/>
                <w:szCs w:val="30"/>
                <w:rtl/>
                <w:lang w:bidi="ar-EG"/>
              </w:rPr>
              <w:t>الثالث</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_Toc482782753 \h </w:instrText>
            </w:r>
            <w:r w:rsidR="00AF6433" w:rsidRPr="00AF6433">
              <w:rPr>
                <w:webHidden/>
                <w:sz w:val="30"/>
                <w:szCs w:val="30"/>
              </w:rPr>
            </w:r>
            <w:r w:rsidR="00AF6433" w:rsidRPr="00AF6433">
              <w:rPr>
                <w:webHidden/>
                <w:sz w:val="30"/>
                <w:szCs w:val="30"/>
              </w:rPr>
              <w:fldChar w:fldCharType="separate"/>
            </w:r>
            <w:r>
              <w:rPr>
                <w:webHidden/>
                <w:sz w:val="30"/>
                <w:szCs w:val="30"/>
                <w:rtl/>
              </w:rPr>
              <w:t>116</w:t>
            </w:r>
            <w:r w:rsidR="00AF6433" w:rsidRPr="00AF6433">
              <w:rPr>
                <w:webHidden/>
                <w:sz w:val="30"/>
                <w:szCs w:val="30"/>
              </w:rPr>
              <w:fldChar w:fldCharType="end"/>
            </w:r>
          </w:hyperlink>
        </w:p>
        <w:p w14:paraId="4B526902" w14:textId="77777777" w:rsidR="00AF6433" w:rsidRPr="00AF6433" w:rsidRDefault="000B74B5" w:rsidP="00AF6433">
          <w:pPr>
            <w:pStyle w:val="TOC3"/>
            <w:tabs>
              <w:tab w:val="left" w:pos="2107"/>
            </w:tabs>
            <w:rPr>
              <w:rFonts w:eastAsiaTheme="minorEastAsia"/>
              <w:sz w:val="30"/>
              <w:szCs w:val="30"/>
            </w:rPr>
          </w:pPr>
          <w:hyperlink w:anchor="_Toc482782754" w:history="1">
            <w:r w:rsidR="00AF6433" w:rsidRPr="00AF6433">
              <w:rPr>
                <w:rStyle w:val="Hyperlink"/>
                <w:sz w:val="30"/>
                <w:szCs w:val="30"/>
                <w:rtl/>
              </w:rPr>
              <w:t>البرنامج 8:</w:t>
            </w:r>
            <w:r w:rsidR="00AF6433" w:rsidRPr="00AF6433">
              <w:rPr>
                <w:rFonts w:eastAsiaTheme="minorEastAsia"/>
                <w:sz w:val="30"/>
                <w:szCs w:val="30"/>
              </w:rPr>
              <w:tab/>
            </w:r>
            <w:r w:rsidR="00AF6433" w:rsidRPr="00AF6433">
              <w:rPr>
                <w:rStyle w:val="Hyperlink"/>
                <w:sz w:val="30"/>
                <w:szCs w:val="30"/>
                <w:rtl/>
              </w:rPr>
              <w:t>تنسيق أجندة التنمية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_Toc482782754 \h </w:instrText>
            </w:r>
            <w:r w:rsidR="00AF6433" w:rsidRPr="00AF6433">
              <w:rPr>
                <w:webHidden/>
                <w:sz w:val="30"/>
                <w:szCs w:val="30"/>
              </w:rPr>
            </w:r>
            <w:r w:rsidR="00AF6433" w:rsidRPr="00AF6433">
              <w:rPr>
                <w:webHidden/>
                <w:sz w:val="30"/>
                <w:szCs w:val="30"/>
              </w:rPr>
              <w:fldChar w:fldCharType="separate"/>
            </w:r>
            <w:r>
              <w:rPr>
                <w:webHidden/>
                <w:sz w:val="30"/>
                <w:szCs w:val="30"/>
                <w:rtl/>
              </w:rPr>
              <w:t>121</w:t>
            </w:r>
            <w:r w:rsidR="00AF6433" w:rsidRPr="00AF6433">
              <w:rPr>
                <w:webHidden/>
                <w:sz w:val="30"/>
                <w:szCs w:val="30"/>
              </w:rPr>
              <w:fldChar w:fldCharType="end"/>
            </w:r>
          </w:hyperlink>
        </w:p>
        <w:p w14:paraId="3393450C" w14:textId="77777777" w:rsidR="00AF6433" w:rsidRPr="00AF6433" w:rsidRDefault="000B74B5" w:rsidP="00AF6433">
          <w:pPr>
            <w:pStyle w:val="TOC3"/>
            <w:tabs>
              <w:tab w:val="left" w:pos="7462"/>
            </w:tabs>
            <w:rPr>
              <w:rFonts w:eastAsiaTheme="minorEastAsia"/>
              <w:sz w:val="30"/>
              <w:szCs w:val="30"/>
            </w:rPr>
          </w:pPr>
          <w:hyperlink w:anchor="_Toc482782755" w:history="1">
            <w:r w:rsidR="00AF6433" w:rsidRPr="00AF6433">
              <w:rPr>
                <w:rStyle w:val="Hyperlink"/>
                <w:sz w:val="30"/>
                <w:szCs w:val="30"/>
                <w:rtl/>
              </w:rPr>
              <w:t>البرنامج 9:</w:t>
            </w:r>
            <w:r w:rsidR="00AF6433" w:rsidRPr="00AF6433">
              <w:rPr>
                <w:rFonts w:eastAsiaTheme="minorEastAsia"/>
                <w:sz w:val="30"/>
                <w:szCs w:val="30"/>
              </w:rPr>
              <w:tab/>
            </w:r>
            <w:r w:rsidR="00AF6433" w:rsidRPr="00AF6433">
              <w:rPr>
                <w:rStyle w:val="Hyperlink"/>
                <w:sz w:val="30"/>
                <w:szCs w:val="30"/>
                <w:rtl/>
              </w:rPr>
              <w:t>أفريقيا والبلدان العربية وبلدان آسيا والمحيط الهادئ وأمريكا اللاتينية والكاريبي والبلدان الأقل نموا</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_Toc482782755 \h </w:instrText>
            </w:r>
            <w:r w:rsidR="00AF6433" w:rsidRPr="00AF6433">
              <w:rPr>
                <w:webHidden/>
                <w:sz w:val="30"/>
                <w:szCs w:val="30"/>
              </w:rPr>
            </w:r>
            <w:r w:rsidR="00AF6433" w:rsidRPr="00AF6433">
              <w:rPr>
                <w:webHidden/>
                <w:sz w:val="30"/>
                <w:szCs w:val="30"/>
              </w:rPr>
              <w:fldChar w:fldCharType="separate"/>
            </w:r>
            <w:r>
              <w:rPr>
                <w:webHidden/>
                <w:sz w:val="30"/>
                <w:szCs w:val="30"/>
                <w:rtl/>
              </w:rPr>
              <w:t>124</w:t>
            </w:r>
            <w:r w:rsidR="00AF6433" w:rsidRPr="00AF6433">
              <w:rPr>
                <w:webHidden/>
                <w:sz w:val="30"/>
                <w:szCs w:val="30"/>
              </w:rPr>
              <w:fldChar w:fldCharType="end"/>
            </w:r>
          </w:hyperlink>
        </w:p>
        <w:p w14:paraId="33CCB69A" w14:textId="77777777" w:rsidR="00AF6433" w:rsidRPr="00AF6433" w:rsidRDefault="000B74B5" w:rsidP="00AF6433">
          <w:pPr>
            <w:pStyle w:val="TOC3"/>
            <w:tabs>
              <w:tab w:val="left" w:pos="2980"/>
            </w:tabs>
            <w:rPr>
              <w:rFonts w:eastAsiaTheme="minorEastAsia"/>
              <w:sz w:val="30"/>
              <w:szCs w:val="30"/>
            </w:rPr>
          </w:pPr>
          <w:hyperlink w:anchor="_Toc482782756" w:history="1">
            <w:r w:rsidR="00AF6433" w:rsidRPr="00AF6433">
              <w:rPr>
                <w:rStyle w:val="Hyperlink"/>
                <w:sz w:val="30"/>
                <w:szCs w:val="30"/>
                <w:rtl/>
              </w:rPr>
              <w:t>البرنامج 10:</w:t>
            </w:r>
            <w:r w:rsidR="00AF6433" w:rsidRPr="00AF6433">
              <w:rPr>
                <w:rFonts w:eastAsiaTheme="minorEastAsia"/>
                <w:sz w:val="30"/>
                <w:szCs w:val="30"/>
              </w:rPr>
              <w:tab/>
            </w:r>
            <w:r w:rsidR="00AF6433" w:rsidRPr="00AF6433">
              <w:rPr>
                <w:rStyle w:val="Hyperlink"/>
                <w:sz w:val="30"/>
                <w:szCs w:val="30"/>
                <w:rtl/>
              </w:rPr>
              <w:t>البلدان المتحولة والبلدان المتقدمة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_Toc482782756 \h </w:instrText>
            </w:r>
            <w:r w:rsidR="00AF6433" w:rsidRPr="00AF6433">
              <w:rPr>
                <w:webHidden/>
                <w:sz w:val="30"/>
                <w:szCs w:val="30"/>
              </w:rPr>
            </w:r>
            <w:r w:rsidR="00AF6433" w:rsidRPr="00AF6433">
              <w:rPr>
                <w:webHidden/>
                <w:sz w:val="30"/>
                <w:szCs w:val="30"/>
              </w:rPr>
              <w:fldChar w:fldCharType="separate"/>
            </w:r>
            <w:r>
              <w:rPr>
                <w:webHidden/>
                <w:sz w:val="30"/>
                <w:szCs w:val="30"/>
                <w:rtl/>
              </w:rPr>
              <w:t>135</w:t>
            </w:r>
            <w:r w:rsidR="00AF6433" w:rsidRPr="00AF6433">
              <w:rPr>
                <w:webHidden/>
                <w:sz w:val="30"/>
                <w:szCs w:val="30"/>
              </w:rPr>
              <w:fldChar w:fldCharType="end"/>
            </w:r>
          </w:hyperlink>
        </w:p>
        <w:p w14:paraId="4F85F23C" w14:textId="77777777" w:rsidR="00AF6433" w:rsidRPr="00AF6433" w:rsidRDefault="000B74B5" w:rsidP="00AF6433">
          <w:pPr>
            <w:pStyle w:val="TOC3"/>
            <w:rPr>
              <w:rFonts w:eastAsiaTheme="minorEastAsia"/>
              <w:sz w:val="30"/>
              <w:szCs w:val="30"/>
            </w:rPr>
          </w:pPr>
          <w:hyperlink w:anchor="_Toc482782757" w:history="1">
            <w:r w:rsidR="00AF6433" w:rsidRPr="00AF6433">
              <w:rPr>
                <w:rStyle w:val="Hyperlink"/>
                <w:sz w:val="30"/>
                <w:szCs w:val="30"/>
                <w:rtl/>
              </w:rPr>
              <w:t>البرنامج 11:</w:t>
            </w:r>
            <w:r w:rsidR="00AF6433" w:rsidRPr="00AF6433">
              <w:rPr>
                <w:rFonts w:eastAsiaTheme="minorEastAsia"/>
                <w:sz w:val="30"/>
                <w:szCs w:val="30"/>
              </w:rPr>
              <w:tab/>
            </w:r>
            <w:r w:rsidR="00AF6433" w:rsidRPr="00AF6433">
              <w:rPr>
                <w:rStyle w:val="Hyperlink"/>
                <w:sz w:val="30"/>
                <w:szCs w:val="30"/>
                <w:rtl/>
              </w:rPr>
              <w:t>أكاديمية الويبو</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_Toc482782757 \h </w:instrText>
            </w:r>
            <w:r w:rsidR="00AF6433" w:rsidRPr="00AF6433">
              <w:rPr>
                <w:webHidden/>
                <w:sz w:val="30"/>
                <w:szCs w:val="30"/>
              </w:rPr>
            </w:r>
            <w:r w:rsidR="00AF6433" w:rsidRPr="00AF6433">
              <w:rPr>
                <w:webHidden/>
                <w:sz w:val="30"/>
                <w:szCs w:val="30"/>
              </w:rPr>
              <w:fldChar w:fldCharType="separate"/>
            </w:r>
            <w:r>
              <w:rPr>
                <w:webHidden/>
                <w:sz w:val="30"/>
                <w:szCs w:val="30"/>
                <w:rtl/>
              </w:rPr>
              <w:t>141</w:t>
            </w:r>
            <w:r w:rsidR="00AF6433" w:rsidRPr="00AF6433">
              <w:rPr>
                <w:webHidden/>
                <w:sz w:val="30"/>
                <w:szCs w:val="30"/>
              </w:rPr>
              <w:fldChar w:fldCharType="end"/>
            </w:r>
          </w:hyperlink>
        </w:p>
        <w:p w14:paraId="60AABBCA" w14:textId="77777777" w:rsidR="00AF6433" w:rsidRPr="00AF6433" w:rsidRDefault="000B74B5" w:rsidP="00AF6433">
          <w:pPr>
            <w:pStyle w:val="TOC3"/>
            <w:tabs>
              <w:tab w:val="left" w:pos="3575"/>
            </w:tabs>
            <w:rPr>
              <w:rFonts w:eastAsiaTheme="minorEastAsia"/>
              <w:sz w:val="30"/>
              <w:szCs w:val="30"/>
            </w:rPr>
          </w:pPr>
          <w:hyperlink w:anchor="_Toc482782758" w:history="1">
            <w:r w:rsidR="00AF6433" w:rsidRPr="00AF6433">
              <w:rPr>
                <w:rStyle w:val="Hyperlink"/>
                <w:sz w:val="30"/>
                <w:szCs w:val="30"/>
                <w:rtl/>
              </w:rPr>
              <w:t>البرنامج 30:</w:t>
            </w:r>
            <w:r w:rsidR="00AF6433" w:rsidRPr="00AF6433">
              <w:rPr>
                <w:rFonts w:eastAsiaTheme="minorEastAsia"/>
                <w:sz w:val="30"/>
                <w:szCs w:val="30"/>
              </w:rPr>
              <w:tab/>
            </w:r>
            <w:r w:rsidR="00AF6433" w:rsidRPr="00AF6433">
              <w:rPr>
                <w:rStyle w:val="Hyperlink"/>
                <w:sz w:val="30"/>
                <w:szCs w:val="30"/>
                <w:rtl/>
              </w:rPr>
              <w:t>الشركات الصغيرة والمتوسطة ودعم المقاولة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_Toc482782758 \h </w:instrText>
            </w:r>
            <w:r w:rsidR="00AF6433" w:rsidRPr="00AF6433">
              <w:rPr>
                <w:webHidden/>
                <w:sz w:val="30"/>
                <w:szCs w:val="30"/>
              </w:rPr>
            </w:r>
            <w:r w:rsidR="00AF6433" w:rsidRPr="00AF6433">
              <w:rPr>
                <w:webHidden/>
                <w:sz w:val="30"/>
                <w:szCs w:val="30"/>
              </w:rPr>
              <w:fldChar w:fldCharType="separate"/>
            </w:r>
            <w:r>
              <w:rPr>
                <w:webHidden/>
                <w:sz w:val="30"/>
                <w:szCs w:val="30"/>
                <w:rtl/>
              </w:rPr>
              <w:t>144</w:t>
            </w:r>
            <w:r w:rsidR="00AF6433" w:rsidRPr="00AF6433">
              <w:rPr>
                <w:webHidden/>
                <w:sz w:val="30"/>
                <w:szCs w:val="30"/>
              </w:rPr>
              <w:fldChar w:fldCharType="end"/>
            </w:r>
          </w:hyperlink>
        </w:p>
        <w:p w14:paraId="10F325FA" w14:textId="77777777" w:rsidR="00AF6433" w:rsidRPr="00AF6433" w:rsidRDefault="000B74B5" w:rsidP="00AF6433">
          <w:pPr>
            <w:pStyle w:val="TOC3"/>
            <w:rPr>
              <w:rFonts w:eastAsiaTheme="minorEastAsia"/>
              <w:sz w:val="30"/>
              <w:szCs w:val="30"/>
            </w:rPr>
          </w:pPr>
          <w:hyperlink w:anchor="_Toc482782759" w:history="1">
            <w:r w:rsidR="00AF6433" w:rsidRPr="00AF6433">
              <w:rPr>
                <w:rStyle w:val="Hyperlink"/>
                <w:sz w:val="30"/>
                <w:szCs w:val="30"/>
                <w:rtl/>
              </w:rPr>
              <w:t xml:space="preserve">الهدف الاستراتيجي </w:t>
            </w:r>
            <w:r w:rsidR="00AF6433" w:rsidRPr="00AF6433">
              <w:rPr>
                <w:rStyle w:val="Hyperlink"/>
                <w:sz w:val="30"/>
                <w:szCs w:val="30"/>
                <w:rtl/>
                <w:lang w:bidi="ar-EG"/>
              </w:rPr>
              <w:t>الرابع</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_Toc482782759 \h </w:instrText>
            </w:r>
            <w:r w:rsidR="00AF6433" w:rsidRPr="00AF6433">
              <w:rPr>
                <w:webHidden/>
                <w:sz w:val="30"/>
                <w:szCs w:val="30"/>
              </w:rPr>
            </w:r>
            <w:r w:rsidR="00AF6433" w:rsidRPr="00AF6433">
              <w:rPr>
                <w:webHidden/>
                <w:sz w:val="30"/>
                <w:szCs w:val="30"/>
              </w:rPr>
              <w:fldChar w:fldCharType="separate"/>
            </w:r>
            <w:r>
              <w:rPr>
                <w:webHidden/>
                <w:sz w:val="30"/>
                <w:szCs w:val="30"/>
                <w:rtl/>
              </w:rPr>
              <w:t>150</w:t>
            </w:r>
            <w:r w:rsidR="00AF6433" w:rsidRPr="00AF6433">
              <w:rPr>
                <w:webHidden/>
                <w:sz w:val="30"/>
                <w:szCs w:val="30"/>
              </w:rPr>
              <w:fldChar w:fldCharType="end"/>
            </w:r>
          </w:hyperlink>
        </w:p>
        <w:p w14:paraId="5B04A962" w14:textId="77777777" w:rsidR="00AF6433" w:rsidRPr="00AF6433" w:rsidRDefault="000B74B5" w:rsidP="00AF6433">
          <w:pPr>
            <w:pStyle w:val="TOC3"/>
            <w:tabs>
              <w:tab w:val="left" w:pos="2542"/>
            </w:tabs>
            <w:rPr>
              <w:rFonts w:eastAsiaTheme="minorEastAsia"/>
              <w:sz w:val="30"/>
              <w:szCs w:val="30"/>
            </w:rPr>
          </w:pPr>
          <w:hyperlink w:anchor="_Toc482782760" w:history="1">
            <w:r w:rsidR="00AF6433" w:rsidRPr="00AF6433">
              <w:rPr>
                <w:rStyle w:val="Hyperlink"/>
                <w:sz w:val="30"/>
                <w:szCs w:val="30"/>
                <w:rtl/>
              </w:rPr>
              <w:t>البرنامج 12:</w:t>
            </w:r>
            <w:r w:rsidR="00AF6433" w:rsidRPr="00AF6433">
              <w:rPr>
                <w:rFonts w:eastAsiaTheme="minorEastAsia"/>
                <w:sz w:val="30"/>
                <w:szCs w:val="30"/>
              </w:rPr>
              <w:tab/>
            </w:r>
            <w:r w:rsidR="00AF6433" w:rsidRPr="00AF6433">
              <w:rPr>
                <w:rStyle w:val="Hyperlink"/>
                <w:sz w:val="30"/>
                <w:szCs w:val="30"/>
                <w:rtl/>
              </w:rPr>
              <w:t>التصنيفات والمعايير الدولية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_Toc482782760 \h </w:instrText>
            </w:r>
            <w:r w:rsidR="00AF6433" w:rsidRPr="00AF6433">
              <w:rPr>
                <w:webHidden/>
                <w:sz w:val="30"/>
                <w:szCs w:val="30"/>
              </w:rPr>
            </w:r>
            <w:r w:rsidR="00AF6433" w:rsidRPr="00AF6433">
              <w:rPr>
                <w:webHidden/>
                <w:sz w:val="30"/>
                <w:szCs w:val="30"/>
              </w:rPr>
              <w:fldChar w:fldCharType="separate"/>
            </w:r>
            <w:r>
              <w:rPr>
                <w:webHidden/>
                <w:sz w:val="30"/>
                <w:szCs w:val="30"/>
                <w:rtl/>
              </w:rPr>
              <w:t>154</w:t>
            </w:r>
            <w:r w:rsidR="00AF6433" w:rsidRPr="00AF6433">
              <w:rPr>
                <w:webHidden/>
                <w:sz w:val="30"/>
                <w:szCs w:val="30"/>
              </w:rPr>
              <w:fldChar w:fldCharType="end"/>
            </w:r>
          </w:hyperlink>
        </w:p>
        <w:p w14:paraId="5CE2EBF7" w14:textId="77777777" w:rsidR="00AF6433" w:rsidRPr="00AF6433" w:rsidRDefault="000B74B5" w:rsidP="00AF6433">
          <w:pPr>
            <w:pStyle w:val="TOC3"/>
            <w:tabs>
              <w:tab w:val="left" w:pos="2197"/>
            </w:tabs>
            <w:rPr>
              <w:rFonts w:eastAsiaTheme="minorEastAsia"/>
              <w:sz w:val="30"/>
              <w:szCs w:val="30"/>
            </w:rPr>
          </w:pPr>
          <w:hyperlink w:anchor="_Toc482782761" w:history="1">
            <w:r w:rsidR="00AF6433" w:rsidRPr="00AF6433">
              <w:rPr>
                <w:rStyle w:val="Hyperlink"/>
                <w:sz w:val="30"/>
                <w:szCs w:val="30"/>
                <w:rtl/>
              </w:rPr>
              <w:t>البرنامج 13:</w:t>
            </w:r>
            <w:r w:rsidR="00AF6433" w:rsidRPr="00AF6433">
              <w:rPr>
                <w:rFonts w:eastAsiaTheme="minorEastAsia"/>
                <w:sz w:val="30"/>
                <w:szCs w:val="30"/>
              </w:rPr>
              <w:tab/>
            </w:r>
            <w:r w:rsidR="00AF6433" w:rsidRPr="00AF6433">
              <w:rPr>
                <w:rStyle w:val="Hyperlink"/>
                <w:sz w:val="30"/>
                <w:szCs w:val="30"/>
                <w:rtl/>
              </w:rPr>
              <w:t>قواعد البيانات العالمية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_Toc482782761 \h </w:instrText>
            </w:r>
            <w:r w:rsidR="00AF6433" w:rsidRPr="00AF6433">
              <w:rPr>
                <w:webHidden/>
                <w:sz w:val="30"/>
                <w:szCs w:val="30"/>
              </w:rPr>
            </w:r>
            <w:r w:rsidR="00AF6433" w:rsidRPr="00AF6433">
              <w:rPr>
                <w:webHidden/>
                <w:sz w:val="30"/>
                <w:szCs w:val="30"/>
              </w:rPr>
              <w:fldChar w:fldCharType="separate"/>
            </w:r>
            <w:r>
              <w:rPr>
                <w:webHidden/>
                <w:sz w:val="30"/>
                <w:szCs w:val="30"/>
                <w:rtl/>
              </w:rPr>
              <w:t>158</w:t>
            </w:r>
            <w:r w:rsidR="00AF6433" w:rsidRPr="00AF6433">
              <w:rPr>
                <w:webHidden/>
                <w:sz w:val="30"/>
                <w:szCs w:val="30"/>
              </w:rPr>
              <w:fldChar w:fldCharType="end"/>
            </w:r>
          </w:hyperlink>
        </w:p>
        <w:p w14:paraId="08835AFE" w14:textId="77777777" w:rsidR="00AF6433" w:rsidRPr="00AF6433" w:rsidRDefault="000B74B5" w:rsidP="00AF6433">
          <w:pPr>
            <w:pStyle w:val="TOC3"/>
            <w:tabs>
              <w:tab w:val="left" w:pos="3256"/>
            </w:tabs>
            <w:rPr>
              <w:rFonts w:eastAsiaTheme="minorEastAsia"/>
              <w:sz w:val="30"/>
              <w:szCs w:val="30"/>
            </w:rPr>
          </w:pPr>
          <w:hyperlink w:anchor="_Toc482782762" w:history="1">
            <w:r w:rsidR="00AF6433" w:rsidRPr="00AF6433">
              <w:rPr>
                <w:rStyle w:val="Hyperlink"/>
                <w:sz w:val="30"/>
                <w:szCs w:val="30"/>
                <w:rtl/>
              </w:rPr>
              <w:t>البرنامج 14:</w:t>
            </w:r>
            <w:r w:rsidR="00AF6433" w:rsidRPr="00AF6433">
              <w:rPr>
                <w:rFonts w:eastAsiaTheme="minorEastAsia"/>
                <w:sz w:val="30"/>
                <w:szCs w:val="30"/>
              </w:rPr>
              <w:tab/>
            </w:r>
            <w:r w:rsidR="00AF6433" w:rsidRPr="00AF6433">
              <w:rPr>
                <w:rStyle w:val="Hyperlink"/>
                <w:sz w:val="30"/>
                <w:szCs w:val="30"/>
                <w:rtl/>
              </w:rPr>
              <w:t>خدمات النفاذ إلى المعلومات والمعرفة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_Toc482782762 \h </w:instrText>
            </w:r>
            <w:r w:rsidR="00AF6433" w:rsidRPr="00AF6433">
              <w:rPr>
                <w:webHidden/>
                <w:sz w:val="30"/>
                <w:szCs w:val="30"/>
              </w:rPr>
            </w:r>
            <w:r w:rsidR="00AF6433" w:rsidRPr="00AF6433">
              <w:rPr>
                <w:webHidden/>
                <w:sz w:val="30"/>
                <w:szCs w:val="30"/>
              </w:rPr>
              <w:fldChar w:fldCharType="separate"/>
            </w:r>
            <w:r>
              <w:rPr>
                <w:webHidden/>
                <w:sz w:val="30"/>
                <w:szCs w:val="30"/>
                <w:rtl/>
              </w:rPr>
              <w:t>161</w:t>
            </w:r>
            <w:r w:rsidR="00AF6433" w:rsidRPr="00AF6433">
              <w:rPr>
                <w:webHidden/>
                <w:sz w:val="30"/>
                <w:szCs w:val="30"/>
              </w:rPr>
              <w:fldChar w:fldCharType="end"/>
            </w:r>
          </w:hyperlink>
        </w:p>
        <w:p w14:paraId="32468A35" w14:textId="77777777" w:rsidR="00AF6433" w:rsidRPr="00AF6433" w:rsidRDefault="000B74B5" w:rsidP="00AF6433">
          <w:pPr>
            <w:pStyle w:val="TOC3"/>
            <w:tabs>
              <w:tab w:val="left" w:pos="3328"/>
            </w:tabs>
            <w:rPr>
              <w:rFonts w:eastAsiaTheme="minorEastAsia"/>
              <w:sz w:val="30"/>
              <w:szCs w:val="30"/>
            </w:rPr>
          </w:pPr>
          <w:hyperlink w:anchor="_Toc482782763" w:history="1">
            <w:r w:rsidR="00AF6433" w:rsidRPr="00AF6433">
              <w:rPr>
                <w:rStyle w:val="Hyperlink"/>
                <w:sz w:val="30"/>
                <w:szCs w:val="30"/>
                <w:rtl/>
              </w:rPr>
              <w:t>البرنامج 15:</w:t>
            </w:r>
            <w:r w:rsidR="00AF6433" w:rsidRPr="00AF6433">
              <w:rPr>
                <w:rFonts w:eastAsiaTheme="minorEastAsia"/>
                <w:sz w:val="30"/>
                <w:szCs w:val="30"/>
              </w:rPr>
              <w:tab/>
            </w:r>
            <w:r w:rsidR="00AF6433" w:rsidRPr="00AF6433">
              <w:rPr>
                <w:rStyle w:val="Hyperlink"/>
                <w:sz w:val="30"/>
                <w:szCs w:val="30"/>
                <w:rtl/>
              </w:rPr>
              <w:t>الحلول التجارية لمكاتب الملكية الفكرية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_Toc482782763 \h </w:instrText>
            </w:r>
            <w:r w:rsidR="00AF6433" w:rsidRPr="00AF6433">
              <w:rPr>
                <w:webHidden/>
                <w:sz w:val="30"/>
                <w:szCs w:val="30"/>
              </w:rPr>
            </w:r>
            <w:r w:rsidR="00AF6433" w:rsidRPr="00AF6433">
              <w:rPr>
                <w:webHidden/>
                <w:sz w:val="30"/>
                <w:szCs w:val="30"/>
              </w:rPr>
              <w:fldChar w:fldCharType="separate"/>
            </w:r>
            <w:r>
              <w:rPr>
                <w:webHidden/>
                <w:sz w:val="30"/>
                <w:szCs w:val="30"/>
                <w:rtl/>
              </w:rPr>
              <w:t>165</w:t>
            </w:r>
            <w:r w:rsidR="00AF6433" w:rsidRPr="00AF6433">
              <w:rPr>
                <w:webHidden/>
                <w:sz w:val="30"/>
                <w:szCs w:val="30"/>
              </w:rPr>
              <w:fldChar w:fldCharType="end"/>
            </w:r>
          </w:hyperlink>
        </w:p>
        <w:p w14:paraId="5730D51D" w14:textId="77777777" w:rsidR="00AF6433" w:rsidRPr="00AF6433" w:rsidRDefault="000B74B5" w:rsidP="00AF6433">
          <w:pPr>
            <w:pStyle w:val="TOC3"/>
            <w:rPr>
              <w:rFonts w:eastAsiaTheme="minorEastAsia"/>
              <w:sz w:val="30"/>
              <w:szCs w:val="30"/>
            </w:rPr>
          </w:pPr>
          <w:hyperlink w:anchor="_Toc482782764" w:history="1">
            <w:r w:rsidR="00AF6433" w:rsidRPr="00AF6433">
              <w:rPr>
                <w:rStyle w:val="Hyperlink"/>
                <w:sz w:val="30"/>
                <w:szCs w:val="30"/>
                <w:rtl/>
              </w:rPr>
              <w:t xml:space="preserve">الهدف الاستراتيجي </w:t>
            </w:r>
            <w:r w:rsidR="00AF6433" w:rsidRPr="00AF6433">
              <w:rPr>
                <w:rStyle w:val="Hyperlink"/>
                <w:sz w:val="30"/>
                <w:szCs w:val="30"/>
                <w:rtl/>
                <w:lang w:bidi="ar-EG"/>
              </w:rPr>
              <w:t>الخامس</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_Toc482782764 \h </w:instrText>
            </w:r>
            <w:r w:rsidR="00AF6433" w:rsidRPr="00AF6433">
              <w:rPr>
                <w:webHidden/>
                <w:sz w:val="30"/>
                <w:szCs w:val="30"/>
              </w:rPr>
            </w:r>
            <w:r w:rsidR="00AF6433" w:rsidRPr="00AF6433">
              <w:rPr>
                <w:webHidden/>
                <w:sz w:val="30"/>
                <w:szCs w:val="30"/>
              </w:rPr>
              <w:fldChar w:fldCharType="separate"/>
            </w:r>
            <w:r>
              <w:rPr>
                <w:webHidden/>
                <w:sz w:val="30"/>
                <w:szCs w:val="30"/>
                <w:rtl/>
              </w:rPr>
              <w:t>168</w:t>
            </w:r>
            <w:r w:rsidR="00AF6433" w:rsidRPr="00AF6433">
              <w:rPr>
                <w:webHidden/>
                <w:sz w:val="30"/>
                <w:szCs w:val="30"/>
              </w:rPr>
              <w:fldChar w:fldCharType="end"/>
            </w:r>
          </w:hyperlink>
        </w:p>
        <w:p w14:paraId="076CACC7" w14:textId="77777777" w:rsidR="00AF6433" w:rsidRPr="00AF6433" w:rsidRDefault="000B74B5" w:rsidP="00AF6433">
          <w:pPr>
            <w:pStyle w:val="TOC3"/>
            <w:tabs>
              <w:tab w:val="left" w:pos="2044"/>
            </w:tabs>
            <w:rPr>
              <w:rFonts w:eastAsiaTheme="minorEastAsia"/>
              <w:sz w:val="30"/>
              <w:szCs w:val="30"/>
            </w:rPr>
          </w:pPr>
          <w:hyperlink w:anchor="_Toc482782765" w:history="1">
            <w:r w:rsidR="00AF6433" w:rsidRPr="00AF6433">
              <w:rPr>
                <w:rStyle w:val="Hyperlink"/>
                <w:sz w:val="30"/>
                <w:szCs w:val="30"/>
                <w:rtl/>
              </w:rPr>
              <w:t>البرنامج 16:</w:t>
            </w:r>
            <w:r w:rsidR="00AF6433" w:rsidRPr="00AF6433">
              <w:rPr>
                <w:rFonts w:eastAsiaTheme="minorEastAsia"/>
                <w:sz w:val="30"/>
                <w:szCs w:val="30"/>
              </w:rPr>
              <w:tab/>
            </w:r>
            <w:r w:rsidR="00AF6433" w:rsidRPr="00AF6433">
              <w:rPr>
                <w:rStyle w:val="Hyperlink"/>
                <w:sz w:val="30"/>
                <w:szCs w:val="30"/>
                <w:rtl/>
              </w:rPr>
              <w:t>الاقتصاد والإحصاء</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_Toc482782765 \h </w:instrText>
            </w:r>
            <w:r w:rsidR="00AF6433" w:rsidRPr="00AF6433">
              <w:rPr>
                <w:webHidden/>
                <w:sz w:val="30"/>
                <w:szCs w:val="30"/>
              </w:rPr>
            </w:r>
            <w:r w:rsidR="00AF6433" w:rsidRPr="00AF6433">
              <w:rPr>
                <w:webHidden/>
                <w:sz w:val="30"/>
                <w:szCs w:val="30"/>
              </w:rPr>
              <w:fldChar w:fldCharType="separate"/>
            </w:r>
            <w:r>
              <w:rPr>
                <w:webHidden/>
                <w:sz w:val="30"/>
                <w:szCs w:val="30"/>
                <w:rtl/>
              </w:rPr>
              <w:t>169</w:t>
            </w:r>
            <w:r w:rsidR="00AF6433" w:rsidRPr="00AF6433">
              <w:rPr>
                <w:webHidden/>
                <w:sz w:val="30"/>
                <w:szCs w:val="30"/>
              </w:rPr>
              <w:fldChar w:fldCharType="end"/>
            </w:r>
          </w:hyperlink>
        </w:p>
        <w:p w14:paraId="6F2D0FB4" w14:textId="77777777" w:rsidR="00AF6433" w:rsidRPr="00AF6433" w:rsidRDefault="000B74B5" w:rsidP="00AF6433">
          <w:pPr>
            <w:pStyle w:val="TOC3"/>
            <w:rPr>
              <w:rFonts w:eastAsiaTheme="minorEastAsia"/>
              <w:sz w:val="30"/>
              <w:szCs w:val="30"/>
            </w:rPr>
          </w:pPr>
          <w:hyperlink w:anchor="_Toc482782766" w:history="1">
            <w:r w:rsidR="00AF6433" w:rsidRPr="00AF6433">
              <w:rPr>
                <w:rStyle w:val="Hyperlink"/>
                <w:sz w:val="30"/>
                <w:szCs w:val="30"/>
                <w:rtl/>
              </w:rPr>
              <w:t xml:space="preserve">الهدف الاستراتيجي </w:t>
            </w:r>
            <w:r w:rsidR="00AF6433" w:rsidRPr="00AF6433">
              <w:rPr>
                <w:rStyle w:val="Hyperlink"/>
                <w:sz w:val="30"/>
                <w:szCs w:val="30"/>
                <w:rtl/>
                <w:lang w:bidi="ar-EG"/>
              </w:rPr>
              <w:t>السادس</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_Toc482782766 \h </w:instrText>
            </w:r>
            <w:r w:rsidR="00AF6433" w:rsidRPr="00AF6433">
              <w:rPr>
                <w:webHidden/>
                <w:sz w:val="30"/>
                <w:szCs w:val="30"/>
              </w:rPr>
            </w:r>
            <w:r w:rsidR="00AF6433" w:rsidRPr="00AF6433">
              <w:rPr>
                <w:webHidden/>
                <w:sz w:val="30"/>
                <w:szCs w:val="30"/>
              </w:rPr>
              <w:fldChar w:fldCharType="separate"/>
            </w:r>
            <w:r>
              <w:rPr>
                <w:webHidden/>
                <w:sz w:val="30"/>
                <w:szCs w:val="30"/>
                <w:rtl/>
              </w:rPr>
              <w:t>173</w:t>
            </w:r>
            <w:r w:rsidR="00AF6433" w:rsidRPr="00AF6433">
              <w:rPr>
                <w:webHidden/>
                <w:sz w:val="30"/>
                <w:szCs w:val="30"/>
              </w:rPr>
              <w:fldChar w:fldCharType="end"/>
            </w:r>
          </w:hyperlink>
        </w:p>
        <w:p w14:paraId="2EC05C2F" w14:textId="77777777" w:rsidR="00AF6433" w:rsidRPr="00AF6433" w:rsidRDefault="000B74B5" w:rsidP="00AF6433">
          <w:pPr>
            <w:pStyle w:val="TOC3"/>
            <w:tabs>
              <w:tab w:val="left" w:pos="2777"/>
            </w:tabs>
            <w:rPr>
              <w:rFonts w:eastAsiaTheme="minorEastAsia"/>
              <w:sz w:val="30"/>
              <w:szCs w:val="30"/>
            </w:rPr>
          </w:pPr>
          <w:hyperlink w:anchor="_Toc482782767" w:history="1">
            <w:r w:rsidR="00AF6433" w:rsidRPr="00AF6433">
              <w:rPr>
                <w:rStyle w:val="Hyperlink"/>
                <w:sz w:val="30"/>
                <w:szCs w:val="30"/>
                <w:rtl/>
              </w:rPr>
              <w:t>البرنامج 17:</w:t>
            </w:r>
            <w:r w:rsidR="00AF6433" w:rsidRPr="00AF6433">
              <w:rPr>
                <w:rFonts w:eastAsiaTheme="minorEastAsia"/>
                <w:sz w:val="30"/>
                <w:szCs w:val="30"/>
              </w:rPr>
              <w:tab/>
            </w:r>
            <w:r w:rsidR="00AF6433" w:rsidRPr="00AF6433">
              <w:rPr>
                <w:rStyle w:val="Hyperlink"/>
                <w:sz w:val="30"/>
                <w:szCs w:val="30"/>
                <w:rtl/>
              </w:rPr>
              <w:t>إذكاء الاحترام للملكية الفكرية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_Toc482782767 \h </w:instrText>
            </w:r>
            <w:r w:rsidR="00AF6433" w:rsidRPr="00AF6433">
              <w:rPr>
                <w:webHidden/>
                <w:sz w:val="30"/>
                <w:szCs w:val="30"/>
              </w:rPr>
            </w:r>
            <w:r w:rsidR="00AF6433" w:rsidRPr="00AF6433">
              <w:rPr>
                <w:webHidden/>
                <w:sz w:val="30"/>
                <w:szCs w:val="30"/>
              </w:rPr>
              <w:fldChar w:fldCharType="separate"/>
            </w:r>
            <w:r>
              <w:rPr>
                <w:webHidden/>
                <w:sz w:val="30"/>
                <w:szCs w:val="30"/>
                <w:rtl/>
              </w:rPr>
              <w:t>174</w:t>
            </w:r>
            <w:r w:rsidR="00AF6433" w:rsidRPr="00AF6433">
              <w:rPr>
                <w:webHidden/>
                <w:sz w:val="30"/>
                <w:szCs w:val="30"/>
              </w:rPr>
              <w:fldChar w:fldCharType="end"/>
            </w:r>
          </w:hyperlink>
        </w:p>
        <w:p w14:paraId="249D5137" w14:textId="77777777" w:rsidR="00AF6433" w:rsidRPr="00AF6433" w:rsidRDefault="000B74B5" w:rsidP="00AF6433">
          <w:pPr>
            <w:pStyle w:val="TOC3"/>
            <w:rPr>
              <w:rFonts w:eastAsiaTheme="minorEastAsia"/>
              <w:sz w:val="30"/>
              <w:szCs w:val="30"/>
            </w:rPr>
          </w:pPr>
          <w:hyperlink w:anchor="_Toc482782768" w:history="1">
            <w:r w:rsidR="00AF6433" w:rsidRPr="00AF6433">
              <w:rPr>
                <w:rStyle w:val="Hyperlink"/>
                <w:sz w:val="30"/>
                <w:szCs w:val="30"/>
                <w:rtl/>
              </w:rPr>
              <w:t xml:space="preserve">الهدف الاستراتيجي </w:t>
            </w:r>
            <w:r w:rsidR="00AF6433" w:rsidRPr="00AF6433">
              <w:rPr>
                <w:rStyle w:val="Hyperlink"/>
                <w:sz w:val="30"/>
                <w:szCs w:val="30"/>
                <w:rtl/>
                <w:lang w:bidi="ar-EG"/>
              </w:rPr>
              <w:t>السابع</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_Toc482782768 \h </w:instrText>
            </w:r>
            <w:r w:rsidR="00AF6433" w:rsidRPr="00AF6433">
              <w:rPr>
                <w:webHidden/>
                <w:sz w:val="30"/>
                <w:szCs w:val="30"/>
              </w:rPr>
            </w:r>
            <w:r w:rsidR="00AF6433" w:rsidRPr="00AF6433">
              <w:rPr>
                <w:webHidden/>
                <w:sz w:val="30"/>
                <w:szCs w:val="30"/>
              </w:rPr>
              <w:fldChar w:fldCharType="separate"/>
            </w:r>
            <w:r>
              <w:rPr>
                <w:webHidden/>
                <w:sz w:val="30"/>
                <w:szCs w:val="30"/>
                <w:rtl/>
              </w:rPr>
              <w:t>178</w:t>
            </w:r>
            <w:r w:rsidR="00AF6433" w:rsidRPr="00AF6433">
              <w:rPr>
                <w:webHidden/>
                <w:sz w:val="30"/>
                <w:szCs w:val="30"/>
              </w:rPr>
              <w:fldChar w:fldCharType="end"/>
            </w:r>
          </w:hyperlink>
        </w:p>
        <w:p w14:paraId="4241722A" w14:textId="77777777" w:rsidR="00AF6433" w:rsidRPr="00AF6433" w:rsidRDefault="000B74B5" w:rsidP="00AF6433">
          <w:pPr>
            <w:pStyle w:val="TOC3"/>
            <w:tabs>
              <w:tab w:val="left" w:pos="3006"/>
            </w:tabs>
            <w:rPr>
              <w:rFonts w:eastAsiaTheme="minorEastAsia"/>
              <w:sz w:val="30"/>
              <w:szCs w:val="30"/>
            </w:rPr>
          </w:pPr>
          <w:hyperlink w:anchor="_Toc482782769" w:history="1">
            <w:r w:rsidR="00AF6433" w:rsidRPr="00AF6433">
              <w:rPr>
                <w:rStyle w:val="Hyperlink"/>
                <w:sz w:val="30"/>
                <w:szCs w:val="30"/>
                <w:rtl/>
              </w:rPr>
              <w:t>البرنامج 18:</w:t>
            </w:r>
            <w:r w:rsidR="00AF6433" w:rsidRPr="00AF6433">
              <w:rPr>
                <w:rFonts w:eastAsiaTheme="minorEastAsia"/>
                <w:sz w:val="30"/>
                <w:szCs w:val="30"/>
              </w:rPr>
              <w:tab/>
            </w:r>
            <w:r w:rsidR="00AF6433" w:rsidRPr="00AF6433">
              <w:rPr>
                <w:rStyle w:val="Hyperlink"/>
                <w:sz w:val="30"/>
                <w:szCs w:val="30"/>
                <w:rtl/>
              </w:rPr>
              <w:t>الملكية الفكرية والتحديات العالمية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_Toc482782769 \h </w:instrText>
            </w:r>
            <w:r w:rsidR="00AF6433" w:rsidRPr="00AF6433">
              <w:rPr>
                <w:webHidden/>
                <w:sz w:val="30"/>
                <w:szCs w:val="30"/>
              </w:rPr>
            </w:r>
            <w:r w:rsidR="00AF6433" w:rsidRPr="00AF6433">
              <w:rPr>
                <w:webHidden/>
                <w:sz w:val="30"/>
                <w:szCs w:val="30"/>
              </w:rPr>
              <w:fldChar w:fldCharType="separate"/>
            </w:r>
            <w:r>
              <w:rPr>
                <w:webHidden/>
                <w:sz w:val="30"/>
                <w:szCs w:val="30"/>
                <w:rtl/>
              </w:rPr>
              <w:t>180</w:t>
            </w:r>
            <w:r w:rsidR="00AF6433" w:rsidRPr="00AF6433">
              <w:rPr>
                <w:webHidden/>
                <w:sz w:val="30"/>
                <w:szCs w:val="30"/>
              </w:rPr>
              <w:fldChar w:fldCharType="end"/>
            </w:r>
          </w:hyperlink>
        </w:p>
        <w:p w14:paraId="63C57E29" w14:textId="77777777" w:rsidR="00AF6433" w:rsidRPr="00AF6433" w:rsidRDefault="000B74B5" w:rsidP="00AF6433">
          <w:pPr>
            <w:pStyle w:val="TOC3"/>
            <w:rPr>
              <w:rFonts w:eastAsiaTheme="minorEastAsia"/>
              <w:sz w:val="30"/>
              <w:szCs w:val="30"/>
            </w:rPr>
          </w:pPr>
          <w:hyperlink w:anchor="_Toc482782770" w:history="1">
            <w:r w:rsidR="00AF6433" w:rsidRPr="00AF6433">
              <w:rPr>
                <w:rStyle w:val="Hyperlink"/>
                <w:sz w:val="30"/>
                <w:szCs w:val="30"/>
                <w:rtl/>
              </w:rPr>
              <w:t xml:space="preserve">الهدف الاستراتيجي </w:t>
            </w:r>
            <w:r w:rsidR="00AF6433" w:rsidRPr="00AF6433">
              <w:rPr>
                <w:rStyle w:val="Hyperlink"/>
                <w:sz w:val="30"/>
                <w:szCs w:val="30"/>
                <w:rtl/>
                <w:lang w:bidi="ar-EG"/>
              </w:rPr>
              <w:t>الثامن</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_Toc482782770 \h </w:instrText>
            </w:r>
            <w:r w:rsidR="00AF6433" w:rsidRPr="00AF6433">
              <w:rPr>
                <w:webHidden/>
                <w:sz w:val="30"/>
                <w:szCs w:val="30"/>
              </w:rPr>
            </w:r>
            <w:r w:rsidR="00AF6433" w:rsidRPr="00AF6433">
              <w:rPr>
                <w:webHidden/>
                <w:sz w:val="30"/>
                <w:szCs w:val="30"/>
              </w:rPr>
              <w:fldChar w:fldCharType="separate"/>
            </w:r>
            <w:r>
              <w:rPr>
                <w:webHidden/>
                <w:sz w:val="30"/>
                <w:szCs w:val="30"/>
                <w:rtl/>
              </w:rPr>
              <w:t>186</w:t>
            </w:r>
            <w:r w:rsidR="00AF6433" w:rsidRPr="00AF6433">
              <w:rPr>
                <w:webHidden/>
                <w:sz w:val="30"/>
                <w:szCs w:val="30"/>
              </w:rPr>
              <w:fldChar w:fldCharType="end"/>
            </w:r>
          </w:hyperlink>
        </w:p>
        <w:p w14:paraId="2A85E0FC" w14:textId="77777777" w:rsidR="00AF6433" w:rsidRPr="00AF6433" w:rsidRDefault="000B74B5" w:rsidP="00AF6433">
          <w:pPr>
            <w:pStyle w:val="TOC3"/>
            <w:rPr>
              <w:rFonts w:eastAsiaTheme="minorEastAsia"/>
              <w:sz w:val="30"/>
              <w:szCs w:val="30"/>
            </w:rPr>
          </w:pPr>
          <w:hyperlink w:anchor="_Toc482782771" w:history="1">
            <w:r w:rsidR="00AF6433" w:rsidRPr="00AF6433">
              <w:rPr>
                <w:rStyle w:val="Hyperlink"/>
                <w:sz w:val="30"/>
                <w:szCs w:val="30"/>
                <w:rtl/>
              </w:rPr>
              <w:t>البرنامج</w:t>
            </w:r>
            <w:r w:rsidR="00AF6433" w:rsidRPr="00AF6433">
              <w:rPr>
                <w:rStyle w:val="Hyperlink"/>
                <w:sz w:val="30"/>
                <w:szCs w:val="30"/>
                <w:rtl/>
                <w:lang w:bidi="ar-EG"/>
              </w:rPr>
              <w:t xml:space="preserve"> 19</w:t>
            </w:r>
            <w:r w:rsidR="00AF6433" w:rsidRPr="00AF6433">
              <w:rPr>
                <w:rStyle w:val="Hyperlink"/>
                <w:sz w:val="30"/>
                <w:szCs w:val="30"/>
                <w:rtl/>
              </w:rPr>
              <w:t>:</w:t>
            </w:r>
            <w:r w:rsidR="00AF6433" w:rsidRPr="00AF6433">
              <w:rPr>
                <w:rFonts w:eastAsiaTheme="minorEastAsia"/>
                <w:sz w:val="30"/>
                <w:szCs w:val="30"/>
              </w:rPr>
              <w:tab/>
            </w:r>
            <w:r w:rsidR="00AF6433" w:rsidRPr="00AF6433">
              <w:rPr>
                <w:rStyle w:val="Hyperlink"/>
                <w:sz w:val="30"/>
                <w:szCs w:val="30"/>
                <w:rtl/>
              </w:rPr>
              <w:t>التواصل</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_Toc482782771 \h </w:instrText>
            </w:r>
            <w:r w:rsidR="00AF6433" w:rsidRPr="00AF6433">
              <w:rPr>
                <w:webHidden/>
                <w:sz w:val="30"/>
                <w:szCs w:val="30"/>
              </w:rPr>
            </w:r>
            <w:r w:rsidR="00AF6433" w:rsidRPr="00AF6433">
              <w:rPr>
                <w:webHidden/>
                <w:sz w:val="30"/>
                <w:szCs w:val="30"/>
              </w:rPr>
              <w:fldChar w:fldCharType="separate"/>
            </w:r>
            <w:r>
              <w:rPr>
                <w:webHidden/>
                <w:sz w:val="30"/>
                <w:szCs w:val="30"/>
                <w:rtl/>
              </w:rPr>
              <w:t>189</w:t>
            </w:r>
            <w:r w:rsidR="00AF6433" w:rsidRPr="00AF6433">
              <w:rPr>
                <w:webHidden/>
                <w:sz w:val="30"/>
                <w:szCs w:val="30"/>
              </w:rPr>
              <w:fldChar w:fldCharType="end"/>
            </w:r>
          </w:hyperlink>
        </w:p>
        <w:p w14:paraId="6D14E136" w14:textId="77777777" w:rsidR="00AF6433" w:rsidRPr="00AF6433" w:rsidRDefault="000B74B5" w:rsidP="00AF6433">
          <w:pPr>
            <w:pStyle w:val="TOC3"/>
            <w:tabs>
              <w:tab w:val="left" w:pos="4107"/>
            </w:tabs>
            <w:rPr>
              <w:rFonts w:eastAsiaTheme="minorEastAsia"/>
              <w:sz w:val="30"/>
              <w:szCs w:val="30"/>
            </w:rPr>
          </w:pPr>
          <w:hyperlink w:anchor="_Toc482782772" w:history="1">
            <w:r w:rsidR="00AF6433" w:rsidRPr="00AF6433">
              <w:rPr>
                <w:rStyle w:val="Hyperlink"/>
                <w:sz w:val="30"/>
                <w:szCs w:val="30"/>
                <w:rtl/>
              </w:rPr>
              <w:t>البرنامج 20:</w:t>
            </w:r>
            <w:r w:rsidR="00AF6433" w:rsidRPr="00AF6433">
              <w:rPr>
                <w:rFonts w:eastAsiaTheme="minorEastAsia"/>
                <w:sz w:val="30"/>
                <w:szCs w:val="30"/>
              </w:rPr>
              <w:tab/>
            </w:r>
            <w:r w:rsidR="00AF6433" w:rsidRPr="00AF6433">
              <w:rPr>
                <w:rStyle w:val="Hyperlink"/>
                <w:sz w:val="30"/>
                <w:szCs w:val="30"/>
                <w:rtl/>
              </w:rPr>
              <w:t>العلاقات الخارجية والشراكات والمكاتب الخارجية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_Toc482782772 \h </w:instrText>
            </w:r>
            <w:r w:rsidR="00AF6433" w:rsidRPr="00AF6433">
              <w:rPr>
                <w:webHidden/>
                <w:sz w:val="30"/>
                <w:szCs w:val="30"/>
              </w:rPr>
            </w:r>
            <w:r w:rsidR="00AF6433" w:rsidRPr="00AF6433">
              <w:rPr>
                <w:webHidden/>
                <w:sz w:val="30"/>
                <w:szCs w:val="30"/>
              </w:rPr>
              <w:fldChar w:fldCharType="separate"/>
            </w:r>
            <w:r>
              <w:rPr>
                <w:webHidden/>
                <w:sz w:val="30"/>
                <w:szCs w:val="30"/>
                <w:rtl/>
              </w:rPr>
              <w:t>195</w:t>
            </w:r>
            <w:r w:rsidR="00AF6433" w:rsidRPr="00AF6433">
              <w:rPr>
                <w:webHidden/>
                <w:sz w:val="30"/>
                <w:szCs w:val="30"/>
              </w:rPr>
              <w:fldChar w:fldCharType="end"/>
            </w:r>
          </w:hyperlink>
        </w:p>
        <w:p w14:paraId="5510C143" w14:textId="77777777" w:rsidR="00AF6433" w:rsidRPr="00AF6433" w:rsidRDefault="000B74B5" w:rsidP="00AF6433">
          <w:pPr>
            <w:pStyle w:val="TOC3"/>
            <w:rPr>
              <w:rFonts w:eastAsiaTheme="minorEastAsia"/>
              <w:sz w:val="30"/>
              <w:szCs w:val="30"/>
            </w:rPr>
          </w:pPr>
          <w:hyperlink w:anchor="_Toc482782773" w:history="1">
            <w:r w:rsidR="00AF6433" w:rsidRPr="00AF6433">
              <w:rPr>
                <w:rStyle w:val="Hyperlink"/>
                <w:sz w:val="30"/>
                <w:szCs w:val="30"/>
                <w:rtl/>
              </w:rPr>
              <w:t xml:space="preserve">الهدف الاستراتيجي </w:t>
            </w:r>
            <w:r w:rsidR="00AF6433" w:rsidRPr="00AF6433">
              <w:rPr>
                <w:rStyle w:val="Hyperlink"/>
                <w:sz w:val="30"/>
                <w:szCs w:val="30"/>
                <w:rtl/>
                <w:lang w:bidi="ar-EG"/>
              </w:rPr>
              <w:t>التاسع</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_Toc482782773 \h </w:instrText>
            </w:r>
            <w:r w:rsidR="00AF6433" w:rsidRPr="00AF6433">
              <w:rPr>
                <w:webHidden/>
                <w:sz w:val="30"/>
                <w:szCs w:val="30"/>
              </w:rPr>
            </w:r>
            <w:r w:rsidR="00AF6433" w:rsidRPr="00AF6433">
              <w:rPr>
                <w:webHidden/>
                <w:sz w:val="30"/>
                <w:szCs w:val="30"/>
              </w:rPr>
              <w:fldChar w:fldCharType="separate"/>
            </w:r>
            <w:r>
              <w:rPr>
                <w:webHidden/>
                <w:sz w:val="30"/>
                <w:szCs w:val="30"/>
                <w:rtl/>
              </w:rPr>
              <w:t>207</w:t>
            </w:r>
            <w:r w:rsidR="00AF6433" w:rsidRPr="00AF6433">
              <w:rPr>
                <w:webHidden/>
                <w:sz w:val="30"/>
                <w:szCs w:val="30"/>
              </w:rPr>
              <w:fldChar w:fldCharType="end"/>
            </w:r>
          </w:hyperlink>
        </w:p>
        <w:p w14:paraId="7ED30FB6" w14:textId="77777777" w:rsidR="00AF6433" w:rsidRPr="00AF6433" w:rsidRDefault="000B74B5" w:rsidP="00AF6433">
          <w:pPr>
            <w:pStyle w:val="TOC3"/>
            <w:rPr>
              <w:rFonts w:eastAsiaTheme="minorEastAsia"/>
              <w:sz w:val="30"/>
              <w:szCs w:val="30"/>
            </w:rPr>
          </w:pPr>
          <w:hyperlink w:anchor="_Toc482782774" w:history="1">
            <w:r w:rsidR="00AF6433" w:rsidRPr="00AF6433">
              <w:rPr>
                <w:rStyle w:val="Hyperlink"/>
                <w:sz w:val="30"/>
                <w:szCs w:val="30"/>
                <w:rtl/>
              </w:rPr>
              <w:t>البرنامج</w:t>
            </w:r>
            <w:r w:rsidR="00AF6433" w:rsidRPr="00AF6433">
              <w:rPr>
                <w:rStyle w:val="Hyperlink"/>
                <w:sz w:val="30"/>
                <w:szCs w:val="30"/>
                <w:rtl/>
                <w:lang w:bidi="ar-EG"/>
              </w:rPr>
              <w:t xml:space="preserve"> 21</w:t>
            </w:r>
            <w:r w:rsidR="00AF6433" w:rsidRPr="00AF6433">
              <w:rPr>
                <w:rStyle w:val="Hyperlink"/>
                <w:sz w:val="30"/>
                <w:szCs w:val="30"/>
                <w:rtl/>
              </w:rPr>
              <w:t>:</w:t>
            </w:r>
            <w:r w:rsidR="00AF6433" w:rsidRPr="00AF6433">
              <w:rPr>
                <w:rFonts w:eastAsiaTheme="minorEastAsia"/>
                <w:sz w:val="30"/>
                <w:szCs w:val="30"/>
              </w:rPr>
              <w:tab/>
            </w:r>
            <w:r w:rsidR="00AF6433" w:rsidRPr="00AF6433">
              <w:rPr>
                <w:rStyle w:val="Hyperlink"/>
                <w:sz w:val="30"/>
                <w:szCs w:val="30"/>
                <w:rtl/>
              </w:rPr>
              <w:t>الإدارة التنفيذية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_Toc482782774 \h </w:instrText>
            </w:r>
            <w:r w:rsidR="00AF6433" w:rsidRPr="00AF6433">
              <w:rPr>
                <w:webHidden/>
                <w:sz w:val="30"/>
                <w:szCs w:val="30"/>
              </w:rPr>
            </w:r>
            <w:r w:rsidR="00AF6433" w:rsidRPr="00AF6433">
              <w:rPr>
                <w:webHidden/>
                <w:sz w:val="30"/>
                <w:szCs w:val="30"/>
              </w:rPr>
              <w:fldChar w:fldCharType="separate"/>
            </w:r>
            <w:r>
              <w:rPr>
                <w:webHidden/>
                <w:sz w:val="30"/>
                <w:szCs w:val="30"/>
                <w:rtl/>
              </w:rPr>
              <w:t>213</w:t>
            </w:r>
            <w:r w:rsidR="00AF6433" w:rsidRPr="00AF6433">
              <w:rPr>
                <w:webHidden/>
                <w:sz w:val="30"/>
                <w:szCs w:val="30"/>
              </w:rPr>
              <w:fldChar w:fldCharType="end"/>
            </w:r>
          </w:hyperlink>
        </w:p>
        <w:p w14:paraId="020EBA4C" w14:textId="77777777" w:rsidR="00AF6433" w:rsidRPr="00AF6433" w:rsidRDefault="000B74B5" w:rsidP="00AF6433">
          <w:pPr>
            <w:pStyle w:val="TOC3"/>
            <w:tabs>
              <w:tab w:val="left" w:pos="2100"/>
            </w:tabs>
            <w:rPr>
              <w:rFonts w:eastAsiaTheme="minorEastAsia"/>
              <w:sz w:val="30"/>
              <w:szCs w:val="30"/>
            </w:rPr>
          </w:pPr>
          <w:hyperlink w:anchor="_Toc482782775" w:history="1">
            <w:r w:rsidR="00AF6433" w:rsidRPr="00AF6433">
              <w:rPr>
                <w:rStyle w:val="Hyperlink"/>
                <w:sz w:val="30"/>
                <w:szCs w:val="30"/>
                <w:rtl/>
              </w:rPr>
              <w:t>البرنامج 22:</w:t>
            </w:r>
            <w:r w:rsidR="00AF6433" w:rsidRPr="00AF6433">
              <w:rPr>
                <w:rFonts w:eastAsiaTheme="minorEastAsia"/>
                <w:sz w:val="30"/>
                <w:szCs w:val="30"/>
              </w:rPr>
              <w:tab/>
            </w:r>
            <w:r w:rsidR="00AF6433" w:rsidRPr="00AF6433">
              <w:rPr>
                <w:rStyle w:val="Hyperlink"/>
                <w:sz w:val="30"/>
                <w:szCs w:val="30"/>
                <w:rtl/>
              </w:rPr>
              <w:t>إدارة البرامج والموارد</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_Toc482782775 \h </w:instrText>
            </w:r>
            <w:r w:rsidR="00AF6433" w:rsidRPr="00AF6433">
              <w:rPr>
                <w:webHidden/>
                <w:sz w:val="30"/>
                <w:szCs w:val="30"/>
              </w:rPr>
            </w:r>
            <w:r w:rsidR="00AF6433" w:rsidRPr="00AF6433">
              <w:rPr>
                <w:webHidden/>
                <w:sz w:val="30"/>
                <w:szCs w:val="30"/>
              </w:rPr>
              <w:fldChar w:fldCharType="separate"/>
            </w:r>
            <w:r>
              <w:rPr>
                <w:webHidden/>
                <w:sz w:val="30"/>
                <w:szCs w:val="30"/>
                <w:rtl/>
              </w:rPr>
              <w:t>219</w:t>
            </w:r>
            <w:r w:rsidR="00AF6433" w:rsidRPr="00AF6433">
              <w:rPr>
                <w:webHidden/>
                <w:sz w:val="30"/>
                <w:szCs w:val="30"/>
              </w:rPr>
              <w:fldChar w:fldCharType="end"/>
            </w:r>
          </w:hyperlink>
        </w:p>
        <w:p w14:paraId="0A0DAEC9" w14:textId="77777777" w:rsidR="00AF6433" w:rsidRPr="00AF6433" w:rsidRDefault="000B74B5" w:rsidP="00AF6433">
          <w:pPr>
            <w:pStyle w:val="TOC3"/>
            <w:tabs>
              <w:tab w:val="left" w:pos="2748"/>
            </w:tabs>
            <w:rPr>
              <w:rFonts w:eastAsiaTheme="minorEastAsia"/>
              <w:sz w:val="30"/>
              <w:szCs w:val="30"/>
            </w:rPr>
          </w:pPr>
          <w:hyperlink w:anchor="_Toc482782776" w:history="1">
            <w:r w:rsidR="00AF6433" w:rsidRPr="00AF6433">
              <w:rPr>
                <w:rStyle w:val="Hyperlink"/>
                <w:sz w:val="30"/>
                <w:szCs w:val="30"/>
                <w:rtl/>
              </w:rPr>
              <w:t>البرنامج 23:</w:t>
            </w:r>
            <w:r w:rsidR="00AF6433" w:rsidRPr="00AF6433">
              <w:rPr>
                <w:rFonts w:eastAsiaTheme="minorEastAsia"/>
                <w:sz w:val="30"/>
                <w:szCs w:val="30"/>
              </w:rPr>
              <w:tab/>
            </w:r>
            <w:r w:rsidR="00AF6433" w:rsidRPr="00AF6433">
              <w:rPr>
                <w:rStyle w:val="Hyperlink"/>
                <w:sz w:val="30"/>
                <w:szCs w:val="30"/>
                <w:rtl/>
              </w:rPr>
              <w:t>إدارة الموارد البشرية وتطويرها</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_Toc482782776 \h </w:instrText>
            </w:r>
            <w:r w:rsidR="00AF6433" w:rsidRPr="00AF6433">
              <w:rPr>
                <w:webHidden/>
                <w:sz w:val="30"/>
                <w:szCs w:val="30"/>
              </w:rPr>
            </w:r>
            <w:r w:rsidR="00AF6433" w:rsidRPr="00AF6433">
              <w:rPr>
                <w:webHidden/>
                <w:sz w:val="30"/>
                <w:szCs w:val="30"/>
              </w:rPr>
              <w:fldChar w:fldCharType="separate"/>
            </w:r>
            <w:r>
              <w:rPr>
                <w:webHidden/>
                <w:sz w:val="30"/>
                <w:szCs w:val="30"/>
                <w:rtl/>
              </w:rPr>
              <w:t>228</w:t>
            </w:r>
            <w:r w:rsidR="00AF6433" w:rsidRPr="00AF6433">
              <w:rPr>
                <w:webHidden/>
                <w:sz w:val="30"/>
                <w:szCs w:val="30"/>
              </w:rPr>
              <w:fldChar w:fldCharType="end"/>
            </w:r>
          </w:hyperlink>
        </w:p>
        <w:p w14:paraId="49F6F8D6" w14:textId="77777777" w:rsidR="00AF6433" w:rsidRPr="00AF6433" w:rsidRDefault="000B74B5" w:rsidP="00AF6433">
          <w:pPr>
            <w:pStyle w:val="TOC3"/>
            <w:tabs>
              <w:tab w:val="left" w:pos="2071"/>
            </w:tabs>
            <w:rPr>
              <w:rFonts w:eastAsiaTheme="minorEastAsia"/>
              <w:sz w:val="30"/>
              <w:szCs w:val="30"/>
            </w:rPr>
          </w:pPr>
          <w:hyperlink w:anchor="_Toc482782777" w:history="1">
            <w:r w:rsidR="00AF6433" w:rsidRPr="00AF6433">
              <w:rPr>
                <w:rStyle w:val="Hyperlink"/>
                <w:sz w:val="30"/>
                <w:szCs w:val="30"/>
                <w:rtl/>
              </w:rPr>
              <w:t>البرنامج 24:</w:t>
            </w:r>
            <w:r w:rsidR="00AF6433" w:rsidRPr="00AF6433">
              <w:rPr>
                <w:rFonts w:eastAsiaTheme="minorEastAsia"/>
                <w:sz w:val="30"/>
                <w:szCs w:val="30"/>
              </w:rPr>
              <w:tab/>
            </w:r>
            <w:r w:rsidR="00AF6433" w:rsidRPr="00AF6433">
              <w:rPr>
                <w:rStyle w:val="Hyperlink"/>
                <w:sz w:val="30"/>
                <w:szCs w:val="30"/>
                <w:rtl/>
              </w:rPr>
              <w:t>خدمات الدعم العامة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_Toc482782777 \h </w:instrText>
            </w:r>
            <w:r w:rsidR="00AF6433" w:rsidRPr="00AF6433">
              <w:rPr>
                <w:webHidden/>
                <w:sz w:val="30"/>
                <w:szCs w:val="30"/>
              </w:rPr>
            </w:r>
            <w:r w:rsidR="00AF6433" w:rsidRPr="00AF6433">
              <w:rPr>
                <w:webHidden/>
                <w:sz w:val="30"/>
                <w:szCs w:val="30"/>
              </w:rPr>
              <w:fldChar w:fldCharType="separate"/>
            </w:r>
            <w:r>
              <w:rPr>
                <w:webHidden/>
                <w:sz w:val="30"/>
                <w:szCs w:val="30"/>
                <w:rtl/>
              </w:rPr>
              <w:t>235</w:t>
            </w:r>
            <w:r w:rsidR="00AF6433" w:rsidRPr="00AF6433">
              <w:rPr>
                <w:webHidden/>
                <w:sz w:val="30"/>
                <w:szCs w:val="30"/>
              </w:rPr>
              <w:fldChar w:fldCharType="end"/>
            </w:r>
          </w:hyperlink>
        </w:p>
        <w:p w14:paraId="22B513D5" w14:textId="77777777" w:rsidR="00AF6433" w:rsidRPr="00AF6433" w:rsidRDefault="000B74B5" w:rsidP="00AF6433">
          <w:pPr>
            <w:pStyle w:val="TOC3"/>
            <w:tabs>
              <w:tab w:val="left" w:pos="2970"/>
            </w:tabs>
            <w:rPr>
              <w:rFonts w:eastAsiaTheme="minorEastAsia"/>
              <w:sz w:val="30"/>
              <w:szCs w:val="30"/>
            </w:rPr>
          </w:pPr>
          <w:hyperlink w:anchor="_Toc482782778" w:history="1">
            <w:r w:rsidR="00AF6433" w:rsidRPr="00AF6433">
              <w:rPr>
                <w:rStyle w:val="Hyperlink"/>
                <w:sz w:val="30"/>
                <w:szCs w:val="30"/>
                <w:rtl/>
              </w:rPr>
              <w:t>البرنامج 25:</w:t>
            </w:r>
            <w:r w:rsidR="00AF6433" w:rsidRPr="00AF6433">
              <w:rPr>
                <w:rFonts w:eastAsiaTheme="minorEastAsia"/>
                <w:sz w:val="30"/>
                <w:szCs w:val="30"/>
              </w:rPr>
              <w:tab/>
            </w:r>
            <w:r w:rsidR="00AF6433" w:rsidRPr="00AF6433">
              <w:rPr>
                <w:rStyle w:val="Hyperlink"/>
                <w:sz w:val="30"/>
                <w:szCs w:val="30"/>
                <w:rtl/>
              </w:rPr>
              <w:t>تكنولوجيا المعلومات والاتصالات</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_Toc482782778 \h </w:instrText>
            </w:r>
            <w:r w:rsidR="00AF6433" w:rsidRPr="00AF6433">
              <w:rPr>
                <w:webHidden/>
                <w:sz w:val="30"/>
                <w:szCs w:val="30"/>
              </w:rPr>
            </w:r>
            <w:r w:rsidR="00AF6433" w:rsidRPr="00AF6433">
              <w:rPr>
                <w:webHidden/>
                <w:sz w:val="30"/>
                <w:szCs w:val="30"/>
              </w:rPr>
              <w:fldChar w:fldCharType="separate"/>
            </w:r>
            <w:r>
              <w:rPr>
                <w:webHidden/>
                <w:sz w:val="30"/>
                <w:szCs w:val="30"/>
                <w:rtl/>
              </w:rPr>
              <w:t>242</w:t>
            </w:r>
            <w:r w:rsidR="00AF6433" w:rsidRPr="00AF6433">
              <w:rPr>
                <w:webHidden/>
                <w:sz w:val="30"/>
                <w:szCs w:val="30"/>
              </w:rPr>
              <w:fldChar w:fldCharType="end"/>
            </w:r>
          </w:hyperlink>
        </w:p>
        <w:p w14:paraId="17C6A4BA" w14:textId="77777777" w:rsidR="00AF6433" w:rsidRPr="00AF6433" w:rsidRDefault="000B74B5" w:rsidP="00AF6433">
          <w:pPr>
            <w:pStyle w:val="TOC3"/>
            <w:rPr>
              <w:rFonts w:eastAsiaTheme="minorEastAsia"/>
              <w:sz w:val="30"/>
              <w:szCs w:val="30"/>
            </w:rPr>
          </w:pPr>
          <w:hyperlink w:anchor="_Toc482782779" w:history="1">
            <w:r w:rsidR="00AF6433" w:rsidRPr="00AF6433">
              <w:rPr>
                <w:rStyle w:val="Hyperlink"/>
                <w:sz w:val="30"/>
                <w:szCs w:val="30"/>
                <w:rtl/>
              </w:rPr>
              <w:t>البرنامج 26:</w:t>
            </w:r>
            <w:r w:rsidR="00AF6433" w:rsidRPr="00AF6433">
              <w:rPr>
                <w:rFonts w:eastAsiaTheme="minorEastAsia"/>
                <w:sz w:val="30"/>
                <w:szCs w:val="30"/>
              </w:rPr>
              <w:tab/>
            </w:r>
            <w:r w:rsidR="00AF6433" w:rsidRPr="00AF6433">
              <w:rPr>
                <w:rStyle w:val="Hyperlink"/>
                <w:sz w:val="30"/>
                <w:szCs w:val="30"/>
                <w:rtl/>
              </w:rPr>
              <w:t>الرقابة الداخلية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_Toc482782779 \h </w:instrText>
            </w:r>
            <w:r w:rsidR="00AF6433" w:rsidRPr="00AF6433">
              <w:rPr>
                <w:webHidden/>
                <w:sz w:val="30"/>
                <w:szCs w:val="30"/>
              </w:rPr>
            </w:r>
            <w:r w:rsidR="00AF6433" w:rsidRPr="00AF6433">
              <w:rPr>
                <w:webHidden/>
                <w:sz w:val="30"/>
                <w:szCs w:val="30"/>
              </w:rPr>
              <w:fldChar w:fldCharType="separate"/>
            </w:r>
            <w:r>
              <w:rPr>
                <w:webHidden/>
                <w:sz w:val="30"/>
                <w:szCs w:val="30"/>
                <w:rtl/>
              </w:rPr>
              <w:t>247</w:t>
            </w:r>
            <w:r w:rsidR="00AF6433" w:rsidRPr="00AF6433">
              <w:rPr>
                <w:webHidden/>
                <w:sz w:val="30"/>
                <w:szCs w:val="30"/>
              </w:rPr>
              <w:fldChar w:fldCharType="end"/>
            </w:r>
          </w:hyperlink>
        </w:p>
        <w:p w14:paraId="3AAA3EF3" w14:textId="77777777" w:rsidR="00AF6433" w:rsidRPr="00AF6433" w:rsidRDefault="000B74B5" w:rsidP="00AF6433">
          <w:pPr>
            <w:pStyle w:val="TOC3"/>
            <w:tabs>
              <w:tab w:val="left" w:pos="2508"/>
            </w:tabs>
            <w:rPr>
              <w:rFonts w:eastAsiaTheme="minorEastAsia"/>
              <w:sz w:val="30"/>
              <w:szCs w:val="30"/>
            </w:rPr>
          </w:pPr>
          <w:hyperlink w:anchor="_Toc482782780" w:history="1">
            <w:r w:rsidR="00AF6433" w:rsidRPr="00AF6433">
              <w:rPr>
                <w:rStyle w:val="Hyperlink"/>
                <w:sz w:val="30"/>
                <w:szCs w:val="30"/>
                <w:rtl/>
              </w:rPr>
              <w:t>البرنامج 27:</w:t>
            </w:r>
            <w:r w:rsidR="00AF6433" w:rsidRPr="00AF6433">
              <w:rPr>
                <w:rFonts w:eastAsiaTheme="minorEastAsia"/>
                <w:sz w:val="30"/>
                <w:szCs w:val="30"/>
              </w:rPr>
              <w:tab/>
            </w:r>
            <w:r w:rsidR="00AF6433" w:rsidRPr="00AF6433">
              <w:rPr>
                <w:rStyle w:val="Hyperlink"/>
                <w:sz w:val="30"/>
                <w:szCs w:val="30"/>
                <w:rtl/>
              </w:rPr>
              <w:t>خدمات المؤتمرات واللغات</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_Toc482782780 \h </w:instrText>
            </w:r>
            <w:r w:rsidR="00AF6433" w:rsidRPr="00AF6433">
              <w:rPr>
                <w:webHidden/>
                <w:sz w:val="30"/>
                <w:szCs w:val="30"/>
              </w:rPr>
            </w:r>
            <w:r w:rsidR="00AF6433" w:rsidRPr="00AF6433">
              <w:rPr>
                <w:webHidden/>
                <w:sz w:val="30"/>
                <w:szCs w:val="30"/>
              </w:rPr>
              <w:fldChar w:fldCharType="separate"/>
            </w:r>
            <w:r>
              <w:rPr>
                <w:webHidden/>
                <w:sz w:val="30"/>
                <w:szCs w:val="30"/>
                <w:rtl/>
              </w:rPr>
              <w:t>250</w:t>
            </w:r>
            <w:r w:rsidR="00AF6433" w:rsidRPr="00AF6433">
              <w:rPr>
                <w:webHidden/>
                <w:sz w:val="30"/>
                <w:szCs w:val="30"/>
              </w:rPr>
              <w:fldChar w:fldCharType="end"/>
            </w:r>
          </w:hyperlink>
        </w:p>
        <w:p w14:paraId="303DBFC7" w14:textId="77777777" w:rsidR="00AF6433" w:rsidRPr="00AF6433" w:rsidRDefault="000B74B5" w:rsidP="00AF6433">
          <w:pPr>
            <w:pStyle w:val="TOC3"/>
            <w:tabs>
              <w:tab w:val="left" w:pos="3028"/>
            </w:tabs>
            <w:rPr>
              <w:rFonts w:eastAsiaTheme="minorEastAsia"/>
              <w:sz w:val="30"/>
              <w:szCs w:val="30"/>
            </w:rPr>
          </w:pPr>
          <w:hyperlink w:anchor="_Toc482782781" w:history="1">
            <w:r w:rsidR="00AF6433" w:rsidRPr="00AF6433">
              <w:rPr>
                <w:rStyle w:val="Hyperlink"/>
                <w:sz w:val="30"/>
                <w:szCs w:val="30"/>
                <w:rtl/>
              </w:rPr>
              <w:t>البرنامج 28:</w:t>
            </w:r>
            <w:r w:rsidR="00AF6433" w:rsidRPr="00AF6433">
              <w:rPr>
                <w:rFonts w:eastAsiaTheme="minorEastAsia"/>
                <w:sz w:val="30"/>
                <w:szCs w:val="30"/>
              </w:rPr>
              <w:tab/>
            </w:r>
            <w:r w:rsidR="00AF6433" w:rsidRPr="00AF6433">
              <w:rPr>
                <w:rStyle w:val="Hyperlink"/>
                <w:sz w:val="30"/>
                <w:szCs w:val="30"/>
                <w:rtl/>
              </w:rPr>
              <w:t>تأمين المعلومات والسلامة والأمن</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_Toc482782781 \h </w:instrText>
            </w:r>
            <w:r w:rsidR="00AF6433" w:rsidRPr="00AF6433">
              <w:rPr>
                <w:webHidden/>
                <w:sz w:val="30"/>
                <w:szCs w:val="30"/>
              </w:rPr>
            </w:r>
            <w:r w:rsidR="00AF6433" w:rsidRPr="00AF6433">
              <w:rPr>
                <w:webHidden/>
                <w:sz w:val="30"/>
                <w:szCs w:val="30"/>
              </w:rPr>
              <w:fldChar w:fldCharType="separate"/>
            </w:r>
            <w:r>
              <w:rPr>
                <w:webHidden/>
                <w:sz w:val="30"/>
                <w:szCs w:val="30"/>
                <w:rtl/>
              </w:rPr>
              <w:t>255</w:t>
            </w:r>
            <w:r w:rsidR="00AF6433" w:rsidRPr="00AF6433">
              <w:rPr>
                <w:webHidden/>
                <w:sz w:val="30"/>
                <w:szCs w:val="30"/>
              </w:rPr>
              <w:fldChar w:fldCharType="end"/>
            </w:r>
          </w:hyperlink>
        </w:p>
        <w:p w14:paraId="4BF3046B" w14:textId="77777777" w:rsidR="00AF6433" w:rsidRPr="00AF6433" w:rsidRDefault="000B74B5" w:rsidP="00AF6433">
          <w:pPr>
            <w:pStyle w:val="TOC2"/>
            <w:rPr>
              <w:rFonts w:eastAsiaTheme="minorEastAsia"/>
              <w:b w:val="0"/>
              <w:bCs w:val="0"/>
              <w:sz w:val="30"/>
              <w:szCs w:val="30"/>
              <w:lang w:bidi="ar-SA"/>
            </w:rPr>
          </w:pPr>
          <w:hyperlink w:anchor="_Toc482782782" w:history="1">
            <w:r w:rsidR="00AF6433" w:rsidRPr="00AF6433">
              <w:rPr>
                <w:rStyle w:val="Hyperlink"/>
                <w:sz w:val="30"/>
                <w:szCs w:val="30"/>
                <w:rtl/>
              </w:rPr>
              <w:t>خامساً.</w:t>
            </w:r>
            <w:r w:rsidR="00AF6433" w:rsidRPr="00AF6433">
              <w:rPr>
                <w:rFonts w:eastAsiaTheme="minorEastAsia"/>
                <w:b w:val="0"/>
                <w:bCs w:val="0"/>
                <w:sz w:val="30"/>
                <w:szCs w:val="30"/>
                <w:lang w:bidi="ar-SA"/>
              </w:rPr>
              <w:tab/>
            </w:r>
            <w:r w:rsidR="00AF6433" w:rsidRPr="00AF6433">
              <w:rPr>
                <w:rStyle w:val="Hyperlink"/>
                <w:sz w:val="30"/>
                <w:szCs w:val="30"/>
                <w:rtl/>
              </w:rPr>
              <w:t>الملحقات</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_Toc482782782 \h </w:instrText>
            </w:r>
            <w:r w:rsidR="00AF6433" w:rsidRPr="00AF6433">
              <w:rPr>
                <w:webHidden/>
                <w:sz w:val="30"/>
                <w:szCs w:val="30"/>
              </w:rPr>
            </w:r>
            <w:r w:rsidR="00AF6433" w:rsidRPr="00AF6433">
              <w:rPr>
                <w:webHidden/>
                <w:sz w:val="30"/>
                <w:szCs w:val="30"/>
              </w:rPr>
              <w:fldChar w:fldCharType="separate"/>
            </w:r>
            <w:r>
              <w:rPr>
                <w:webHidden/>
                <w:sz w:val="30"/>
                <w:szCs w:val="30"/>
                <w:rtl/>
              </w:rPr>
              <w:t>260</w:t>
            </w:r>
            <w:r w:rsidR="00AF6433" w:rsidRPr="00AF6433">
              <w:rPr>
                <w:webHidden/>
                <w:sz w:val="30"/>
                <w:szCs w:val="30"/>
              </w:rPr>
              <w:fldChar w:fldCharType="end"/>
            </w:r>
          </w:hyperlink>
        </w:p>
        <w:p w14:paraId="44FD4F84" w14:textId="77777777" w:rsidR="00AF6433" w:rsidRPr="00AF6433" w:rsidRDefault="000B74B5" w:rsidP="00AF6433">
          <w:pPr>
            <w:pStyle w:val="TOC3"/>
            <w:tabs>
              <w:tab w:val="left" w:pos="3012"/>
            </w:tabs>
            <w:rPr>
              <w:rFonts w:eastAsiaTheme="minorEastAsia"/>
              <w:sz w:val="30"/>
              <w:szCs w:val="30"/>
            </w:rPr>
          </w:pPr>
          <w:hyperlink w:anchor="_Toc482782783" w:history="1">
            <w:r w:rsidR="00AF6433" w:rsidRPr="00AF6433">
              <w:rPr>
                <w:rStyle w:val="Hyperlink"/>
                <w:sz w:val="30"/>
                <w:szCs w:val="30"/>
                <w:rtl/>
              </w:rPr>
              <w:t>الملحق الأول</w:t>
            </w:r>
            <w:r w:rsidR="00AF6433" w:rsidRPr="00AF6433">
              <w:rPr>
                <w:rFonts w:eastAsiaTheme="minorEastAsia"/>
                <w:sz w:val="30"/>
                <w:szCs w:val="30"/>
              </w:rPr>
              <w:tab/>
            </w:r>
            <w:r w:rsidR="00AF6433" w:rsidRPr="00AF6433">
              <w:rPr>
                <w:rStyle w:val="Hyperlink"/>
                <w:sz w:val="30"/>
                <w:szCs w:val="30"/>
                <w:rtl/>
              </w:rPr>
              <w:t>توزيع لتقييمات الأداء لكل برنامج</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_Toc482782783 \h </w:instrText>
            </w:r>
            <w:r w:rsidR="00AF6433" w:rsidRPr="00AF6433">
              <w:rPr>
                <w:webHidden/>
                <w:sz w:val="30"/>
                <w:szCs w:val="30"/>
              </w:rPr>
            </w:r>
            <w:r w:rsidR="00AF6433" w:rsidRPr="00AF6433">
              <w:rPr>
                <w:webHidden/>
                <w:sz w:val="30"/>
                <w:szCs w:val="30"/>
              </w:rPr>
              <w:fldChar w:fldCharType="separate"/>
            </w:r>
            <w:r>
              <w:rPr>
                <w:webHidden/>
                <w:sz w:val="30"/>
                <w:szCs w:val="30"/>
                <w:rtl/>
              </w:rPr>
              <w:t>260</w:t>
            </w:r>
            <w:r w:rsidR="00AF6433" w:rsidRPr="00AF6433">
              <w:rPr>
                <w:webHidden/>
                <w:sz w:val="30"/>
                <w:szCs w:val="30"/>
              </w:rPr>
              <w:fldChar w:fldCharType="end"/>
            </w:r>
          </w:hyperlink>
        </w:p>
        <w:p w14:paraId="44E06234" w14:textId="77777777" w:rsidR="00AF6433" w:rsidRPr="00AF6433" w:rsidRDefault="000B74B5" w:rsidP="00AF6433">
          <w:pPr>
            <w:pStyle w:val="TOC3"/>
            <w:tabs>
              <w:tab w:val="left" w:pos="3153"/>
            </w:tabs>
            <w:rPr>
              <w:rFonts w:eastAsiaTheme="minorEastAsia"/>
              <w:sz w:val="30"/>
              <w:szCs w:val="30"/>
            </w:rPr>
          </w:pPr>
          <w:hyperlink w:anchor="_Toc482782784" w:history="1">
            <w:r w:rsidR="00AF6433" w:rsidRPr="00AF6433">
              <w:rPr>
                <w:rStyle w:val="Hyperlink"/>
                <w:sz w:val="30"/>
                <w:szCs w:val="30"/>
                <w:rtl/>
              </w:rPr>
              <w:t>‏الملحق الثاني</w:t>
            </w:r>
            <w:r w:rsidR="00AF6433" w:rsidRPr="00AF6433">
              <w:rPr>
                <w:rFonts w:eastAsiaTheme="minorEastAsia"/>
                <w:sz w:val="30"/>
                <w:szCs w:val="30"/>
              </w:rPr>
              <w:tab/>
            </w:r>
            <w:r w:rsidR="00AF6433" w:rsidRPr="00AF6433">
              <w:rPr>
                <w:rStyle w:val="Hyperlink"/>
                <w:sz w:val="30"/>
                <w:szCs w:val="30"/>
                <w:rtl/>
              </w:rPr>
              <w:t>إنفاق الصناديق الاستئمانية 2016</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_Toc482782784 \h </w:instrText>
            </w:r>
            <w:r w:rsidR="00AF6433" w:rsidRPr="00AF6433">
              <w:rPr>
                <w:webHidden/>
                <w:sz w:val="30"/>
                <w:szCs w:val="30"/>
              </w:rPr>
            </w:r>
            <w:r w:rsidR="00AF6433" w:rsidRPr="00AF6433">
              <w:rPr>
                <w:webHidden/>
                <w:sz w:val="30"/>
                <w:szCs w:val="30"/>
              </w:rPr>
              <w:fldChar w:fldCharType="separate"/>
            </w:r>
            <w:r>
              <w:rPr>
                <w:webHidden/>
                <w:sz w:val="30"/>
                <w:szCs w:val="30"/>
                <w:rtl/>
              </w:rPr>
              <w:t>262</w:t>
            </w:r>
            <w:r w:rsidR="00AF6433" w:rsidRPr="00AF6433">
              <w:rPr>
                <w:webHidden/>
                <w:sz w:val="30"/>
                <w:szCs w:val="30"/>
              </w:rPr>
              <w:fldChar w:fldCharType="end"/>
            </w:r>
          </w:hyperlink>
        </w:p>
        <w:p w14:paraId="6F244A44" w14:textId="77777777" w:rsidR="00AF6433" w:rsidRPr="00AF6433" w:rsidRDefault="000B74B5" w:rsidP="00AF6433">
          <w:pPr>
            <w:pStyle w:val="TOC3"/>
            <w:tabs>
              <w:tab w:val="left" w:pos="5028"/>
            </w:tabs>
            <w:rPr>
              <w:rFonts w:eastAsiaTheme="minorEastAsia"/>
              <w:sz w:val="30"/>
              <w:szCs w:val="30"/>
            </w:rPr>
          </w:pPr>
          <w:hyperlink w:anchor="_Toc482782785" w:history="1">
            <w:r w:rsidR="00AF6433" w:rsidRPr="00AF6433">
              <w:rPr>
                <w:rStyle w:val="Hyperlink"/>
                <w:sz w:val="30"/>
                <w:szCs w:val="30"/>
                <w:rtl/>
              </w:rPr>
              <w:t>الملحق الثالث</w:t>
            </w:r>
            <w:r w:rsidR="00AF6433" w:rsidRPr="00AF6433">
              <w:rPr>
                <w:rFonts w:eastAsiaTheme="minorEastAsia"/>
                <w:sz w:val="30"/>
                <w:szCs w:val="30"/>
              </w:rPr>
              <w:tab/>
            </w:r>
            <w:r w:rsidR="00AF6433" w:rsidRPr="00AF6433">
              <w:rPr>
                <w:rStyle w:val="Hyperlink"/>
                <w:sz w:val="30"/>
                <w:szCs w:val="30"/>
                <w:rtl/>
              </w:rPr>
              <w:t>التقرير المرحلي لسنة 2016 بشأن الخطة الرأسمالية الرئيسية</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_Toc482782785 \h </w:instrText>
            </w:r>
            <w:r w:rsidR="00AF6433" w:rsidRPr="00AF6433">
              <w:rPr>
                <w:webHidden/>
                <w:sz w:val="30"/>
                <w:szCs w:val="30"/>
              </w:rPr>
            </w:r>
            <w:r w:rsidR="00AF6433" w:rsidRPr="00AF6433">
              <w:rPr>
                <w:webHidden/>
                <w:sz w:val="30"/>
                <w:szCs w:val="30"/>
              </w:rPr>
              <w:fldChar w:fldCharType="separate"/>
            </w:r>
            <w:r>
              <w:rPr>
                <w:webHidden/>
                <w:sz w:val="30"/>
                <w:szCs w:val="30"/>
                <w:rtl/>
              </w:rPr>
              <w:t>290</w:t>
            </w:r>
            <w:r w:rsidR="00AF6433" w:rsidRPr="00AF6433">
              <w:rPr>
                <w:webHidden/>
                <w:sz w:val="30"/>
                <w:szCs w:val="30"/>
              </w:rPr>
              <w:fldChar w:fldCharType="end"/>
            </w:r>
          </w:hyperlink>
        </w:p>
        <w:p w14:paraId="5E4209B0" w14:textId="77777777" w:rsidR="00AF6433" w:rsidRPr="00AF6433" w:rsidRDefault="000B74B5" w:rsidP="00AF6433">
          <w:pPr>
            <w:pStyle w:val="TOC4"/>
            <w:rPr>
              <w:rFonts w:eastAsiaTheme="minorEastAsia"/>
              <w:i w:val="0"/>
              <w:iCs w:val="0"/>
              <w:sz w:val="30"/>
              <w:szCs w:val="30"/>
              <w:lang w:bidi="ar-SA"/>
            </w:rPr>
          </w:pPr>
          <w:hyperlink w:anchor="_Toc482782786" w:history="1">
            <w:r w:rsidR="00AF6433" w:rsidRPr="00AF6433">
              <w:rPr>
                <w:rStyle w:val="Hyperlink"/>
                <w:sz w:val="30"/>
                <w:szCs w:val="30"/>
                <w:rtl/>
              </w:rPr>
              <w:t>المشروع 1: تعزيز الأمن: تشفير البيانات وإدارة المستخدمين (</w:t>
            </w:r>
            <w:r w:rsidR="00AF6433" w:rsidRPr="00AF6433">
              <w:rPr>
                <w:rStyle w:val="Hyperlink"/>
                <w:sz w:val="30"/>
                <w:szCs w:val="30"/>
              </w:rPr>
              <w:t>CMP 1</w:t>
            </w:r>
            <w:r w:rsidR="00AF6433" w:rsidRPr="00AF6433">
              <w:rPr>
                <w:rStyle w:val="Hyperlink"/>
                <w:sz w:val="30"/>
                <w:szCs w:val="30"/>
                <w:rtl/>
              </w:rPr>
              <w:t>)</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_Toc482782786 \h </w:instrText>
            </w:r>
            <w:r w:rsidR="00AF6433" w:rsidRPr="00AF6433">
              <w:rPr>
                <w:webHidden/>
                <w:sz w:val="30"/>
                <w:szCs w:val="30"/>
              </w:rPr>
            </w:r>
            <w:r w:rsidR="00AF6433" w:rsidRPr="00AF6433">
              <w:rPr>
                <w:webHidden/>
                <w:sz w:val="30"/>
                <w:szCs w:val="30"/>
              </w:rPr>
              <w:fldChar w:fldCharType="separate"/>
            </w:r>
            <w:r>
              <w:rPr>
                <w:webHidden/>
                <w:sz w:val="30"/>
                <w:szCs w:val="30"/>
                <w:rtl/>
              </w:rPr>
              <w:t>291</w:t>
            </w:r>
            <w:r w:rsidR="00AF6433" w:rsidRPr="00AF6433">
              <w:rPr>
                <w:webHidden/>
                <w:sz w:val="30"/>
                <w:szCs w:val="30"/>
              </w:rPr>
              <w:fldChar w:fldCharType="end"/>
            </w:r>
          </w:hyperlink>
        </w:p>
        <w:p w14:paraId="267A8FDD" w14:textId="77777777" w:rsidR="00AF6433" w:rsidRPr="00AF6433" w:rsidRDefault="000B74B5" w:rsidP="00AF6433">
          <w:pPr>
            <w:pStyle w:val="TOC4"/>
            <w:rPr>
              <w:rFonts w:eastAsiaTheme="minorEastAsia"/>
              <w:i w:val="0"/>
              <w:iCs w:val="0"/>
              <w:sz w:val="30"/>
              <w:szCs w:val="30"/>
              <w:lang w:bidi="ar-SA"/>
            </w:rPr>
          </w:pPr>
          <w:hyperlink w:anchor="_Toc482782787" w:history="1">
            <w:r w:rsidR="00AF6433" w:rsidRPr="00AF6433">
              <w:rPr>
                <w:rStyle w:val="Hyperlink"/>
                <w:sz w:val="30"/>
                <w:szCs w:val="30"/>
                <w:rtl/>
              </w:rPr>
              <w:t>المشروع 2: تنفيذ إدارة المعلومات المؤسسية (</w:t>
            </w:r>
            <w:r w:rsidR="00AF6433" w:rsidRPr="00AF6433">
              <w:rPr>
                <w:rStyle w:val="Hyperlink"/>
                <w:sz w:val="30"/>
                <w:szCs w:val="30"/>
              </w:rPr>
              <w:t>CMP 2</w:t>
            </w:r>
            <w:r w:rsidR="00AF6433" w:rsidRPr="00AF6433">
              <w:rPr>
                <w:rStyle w:val="Hyperlink"/>
                <w:sz w:val="30"/>
                <w:szCs w:val="30"/>
                <w:rtl/>
              </w:rPr>
              <w:t>)</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_Toc482782787 \h </w:instrText>
            </w:r>
            <w:r w:rsidR="00AF6433" w:rsidRPr="00AF6433">
              <w:rPr>
                <w:webHidden/>
                <w:sz w:val="30"/>
                <w:szCs w:val="30"/>
              </w:rPr>
            </w:r>
            <w:r w:rsidR="00AF6433" w:rsidRPr="00AF6433">
              <w:rPr>
                <w:webHidden/>
                <w:sz w:val="30"/>
                <w:szCs w:val="30"/>
              </w:rPr>
              <w:fldChar w:fldCharType="separate"/>
            </w:r>
            <w:r>
              <w:rPr>
                <w:webHidden/>
                <w:sz w:val="30"/>
                <w:szCs w:val="30"/>
                <w:rtl/>
              </w:rPr>
              <w:t>295</w:t>
            </w:r>
            <w:r w:rsidR="00AF6433" w:rsidRPr="00AF6433">
              <w:rPr>
                <w:webHidden/>
                <w:sz w:val="30"/>
                <w:szCs w:val="30"/>
              </w:rPr>
              <w:fldChar w:fldCharType="end"/>
            </w:r>
          </w:hyperlink>
        </w:p>
        <w:p w14:paraId="46EDCC7A" w14:textId="77777777" w:rsidR="00AF6433" w:rsidRPr="00AF6433" w:rsidRDefault="000B74B5" w:rsidP="00AF6433">
          <w:pPr>
            <w:pStyle w:val="TOC4"/>
            <w:rPr>
              <w:rFonts w:eastAsiaTheme="minorEastAsia"/>
              <w:i w:val="0"/>
              <w:iCs w:val="0"/>
              <w:sz w:val="30"/>
              <w:szCs w:val="30"/>
              <w:lang w:bidi="ar-SA"/>
            </w:rPr>
          </w:pPr>
          <w:hyperlink w:anchor="_Toc482782788" w:history="1">
            <w:r w:rsidR="00AF6433" w:rsidRPr="00AF6433">
              <w:rPr>
                <w:rStyle w:val="Hyperlink"/>
                <w:sz w:val="30"/>
                <w:szCs w:val="30"/>
                <w:rtl/>
              </w:rPr>
              <w:t>المشروع 3: تجديد الواجهات وتجهيزات التبريد/التدفئة في مبنى البراءات (</w:t>
            </w:r>
            <w:r w:rsidR="00AF6433" w:rsidRPr="00AF6433">
              <w:rPr>
                <w:rStyle w:val="Hyperlink"/>
                <w:sz w:val="30"/>
                <w:szCs w:val="30"/>
              </w:rPr>
              <w:t>CMP 3</w:t>
            </w:r>
            <w:r w:rsidR="00AF6433" w:rsidRPr="00AF6433">
              <w:rPr>
                <w:rStyle w:val="Hyperlink"/>
                <w:sz w:val="30"/>
                <w:szCs w:val="30"/>
                <w:rtl/>
              </w:rPr>
              <w:t>)</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_Toc482782788 \h </w:instrText>
            </w:r>
            <w:r w:rsidR="00AF6433" w:rsidRPr="00AF6433">
              <w:rPr>
                <w:webHidden/>
                <w:sz w:val="30"/>
                <w:szCs w:val="30"/>
              </w:rPr>
            </w:r>
            <w:r w:rsidR="00AF6433" w:rsidRPr="00AF6433">
              <w:rPr>
                <w:webHidden/>
                <w:sz w:val="30"/>
                <w:szCs w:val="30"/>
              </w:rPr>
              <w:fldChar w:fldCharType="separate"/>
            </w:r>
            <w:r>
              <w:rPr>
                <w:webHidden/>
                <w:sz w:val="30"/>
                <w:szCs w:val="30"/>
                <w:rtl/>
              </w:rPr>
              <w:t>302</w:t>
            </w:r>
            <w:r w:rsidR="00AF6433" w:rsidRPr="00AF6433">
              <w:rPr>
                <w:webHidden/>
                <w:sz w:val="30"/>
                <w:szCs w:val="30"/>
              </w:rPr>
              <w:fldChar w:fldCharType="end"/>
            </w:r>
          </w:hyperlink>
        </w:p>
        <w:p w14:paraId="2BCA5131" w14:textId="77777777" w:rsidR="00AF6433" w:rsidRPr="00AF6433" w:rsidRDefault="000B74B5" w:rsidP="00AF6433">
          <w:pPr>
            <w:pStyle w:val="TOC4"/>
            <w:rPr>
              <w:rFonts w:eastAsiaTheme="minorEastAsia"/>
              <w:i w:val="0"/>
              <w:iCs w:val="0"/>
              <w:sz w:val="30"/>
              <w:szCs w:val="30"/>
              <w:lang w:bidi="ar-SA"/>
            </w:rPr>
          </w:pPr>
          <w:hyperlink w:anchor="_Toc482782789" w:history="1">
            <w:r w:rsidR="00AF6433" w:rsidRPr="00AF6433">
              <w:rPr>
                <w:rStyle w:val="Hyperlink"/>
                <w:sz w:val="30"/>
                <w:szCs w:val="30"/>
                <w:rtl/>
              </w:rPr>
              <w:t>المشروع 4: تطبيق نظام التبريد بمياه بحيرة جنيف في مبنى أرباد بوكش ومبنى البراءات (</w:t>
            </w:r>
            <w:r w:rsidR="00AF6433" w:rsidRPr="00AF6433">
              <w:rPr>
                <w:rStyle w:val="Hyperlink"/>
                <w:sz w:val="30"/>
                <w:szCs w:val="30"/>
              </w:rPr>
              <w:t>CMP 4</w:t>
            </w:r>
            <w:r w:rsidR="00AF6433" w:rsidRPr="00AF6433">
              <w:rPr>
                <w:rStyle w:val="Hyperlink"/>
                <w:sz w:val="30"/>
                <w:szCs w:val="30"/>
                <w:rtl/>
              </w:rPr>
              <w:t>)</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_Toc482782789 \h </w:instrText>
            </w:r>
            <w:r w:rsidR="00AF6433" w:rsidRPr="00AF6433">
              <w:rPr>
                <w:webHidden/>
                <w:sz w:val="30"/>
                <w:szCs w:val="30"/>
              </w:rPr>
            </w:r>
            <w:r w:rsidR="00AF6433" w:rsidRPr="00AF6433">
              <w:rPr>
                <w:webHidden/>
                <w:sz w:val="30"/>
                <w:szCs w:val="30"/>
              </w:rPr>
              <w:fldChar w:fldCharType="separate"/>
            </w:r>
            <w:r>
              <w:rPr>
                <w:webHidden/>
                <w:sz w:val="30"/>
                <w:szCs w:val="30"/>
                <w:rtl/>
              </w:rPr>
              <w:t>306</w:t>
            </w:r>
            <w:r w:rsidR="00AF6433" w:rsidRPr="00AF6433">
              <w:rPr>
                <w:webHidden/>
                <w:sz w:val="30"/>
                <w:szCs w:val="30"/>
              </w:rPr>
              <w:fldChar w:fldCharType="end"/>
            </w:r>
          </w:hyperlink>
        </w:p>
        <w:p w14:paraId="0B999BB9" w14:textId="77777777" w:rsidR="00AF6433" w:rsidRDefault="000B74B5" w:rsidP="00AF6433">
          <w:pPr>
            <w:pStyle w:val="TOC4"/>
            <w:rPr>
              <w:rFonts w:asciiTheme="minorHAnsi" w:eastAsiaTheme="minorEastAsia" w:hAnsiTheme="minorHAnsi" w:cstheme="minorBidi"/>
              <w:i w:val="0"/>
              <w:iCs w:val="0"/>
              <w:sz w:val="22"/>
              <w:szCs w:val="22"/>
              <w:lang w:bidi="ar-SA"/>
            </w:rPr>
          </w:pPr>
          <w:hyperlink w:anchor="_Toc482782790" w:history="1">
            <w:r w:rsidR="00AF6433" w:rsidRPr="00AF6433">
              <w:rPr>
                <w:rStyle w:val="Hyperlink"/>
                <w:sz w:val="30"/>
                <w:szCs w:val="30"/>
                <w:rtl/>
              </w:rPr>
              <w:t>المشروع 5: مبنى أرباد بوكش - المرحلة الأولى من تجديد القبو (تغيير حجم مركز البيانات وتجديد المطبعة) (</w:t>
            </w:r>
            <w:r w:rsidR="00AF6433" w:rsidRPr="00AF6433">
              <w:rPr>
                <w:rStyle w:val="Hyperlink"/>
                <w:sz w:val="30"/>
                <w:szCs w:val="30"/>
              </w:rPr>
              <w:t>CMP 5</w:t>
            </w:r>
            <w:r w:rsidR="00AF6433" w:rsidRPr="00AF6433">
              <w:rPr>
                <w:rStyle w:val="Hyperlink"/>
                <w:sz w:val="30"/>
                <w:szCs w:val="30"/>
                <w:rtl/>
              </w:rPr>
              <w:t>)</w:t>
            </w:r>
            <w:r w:rsidR="00AF6433" w:rsidRPr="00AF6433">
              <w:rPr>
                <w:webHidden/>
                <w:sz w:val="30"/>
                <w:szCs w:val="30"/>
              </w:rPr>
              <w:tab/>
            </w:r>
            <w:r w:rsidR="00AF6433" w:rsidRPr="00AF6433">
              <w:rPr>
                <w:webHidden/>
                <w:sz w:val="30"/>
                <w:szCs w:val="30"/>
              </w:rPr>
              <w:fldChar w:fldCharType="begin"/>
            </w:r>
            <w:r w:rsidR="00AF6433" w:rsidRPr="00AF6433">
              <w:rPr>
                <w:webHidden/>
                <w:sz w:val="30"/>
                <w:szCs w:val="30"/>
              </w:rPr>
              <w:instrText xml:space="preserve"> PAGEREF _Toc482782790 \h </w:instrText>
            </w:r>
            <w:r w:rsidR="00AF6433" w:rsidRPr="00AF6433">
              <w:rPr>
                <w:webHidden/>
                <w:sz w:val="30"/>
                <w:szCs w:val="30"/>
              </w:rPr>
            </w:r>
            <w:r w:rsidR="00AF6433" w:rsidRPr="00AF6433">
              <w:rPr>
                <w:webHidden/>
                <w:sz w:val="30"/>
                <w:szCs w:val="30"/>
              </w:rPr>
              <w:fldChar w:fldCharType="separate"/>
            </w:r>
            <w:r>
              <w:rPr>
                <w:webHidden/>
                <w:sz w:val="30"/>
                <w:szCs w:val="30"/>
                <w:rtl/>
              </w:rPr>
              <w:t>310</w:t>
            </w:r>
            <w:r w:rsidR="00AF6433" w:rsidRPr="00AF6433">
              <w:rPr>
                <w:webHidden/>
                <w:sz w:val="30"/>
                <w:szCs w:val="30"/>
              </w:rPr>
              <w:fldChar w:fldCharType="end"/>
            </w:r>
          </w:hyperlink>
        </w:p>
        <w:p w14:paraId="1EF7B04C" w14:textId="77777777" w:rsidR="00AF6433" w:rsidRDefault="000B74B5" w:rsidP="00AF6433">
          <w:pPr>
            <w:pStyle w:val="TOC4"/>
            <w:rPr>
              <w:rFonts w:asciiTheme="minorHAnsi" w:eastAsiaTheme="minorEastAsia" w:hAnsiTheme="minorHAnsi" w:cstheme="minorBidi"/>
              <w:i w:val="0"/>
              <w:iCs w:val="0"/>
              <w:sz w:val="22"/>
              <w:szCs w:val="22"/>
              <w:lang w:bidi="ar-SA"/>
            </w:rPr>
          </w:pPr>
          <w:hyperlink w:anchor="_Toc482782791" w:history="1">
            <w:r w:rsidR="00AF6433" w:rsidRPr="00887B57">
              <w:rPr>
                <w:rStyle w:val="Hyperlink"/>
                <w:rFonts w:hint="eastAsia"/>
                <w:rtl/>
              </w:rPr>
              <w:t>المشروع</w:t>
            </w:r>
            <w:r w:rsidR="00AF6433" w:rsidRPr="00887B57">
              <w:rPr>
                <w:rStyle w:val="Hyperlink"/>
                <w:rtl/>
              </w:rPr>
              <w:t xml:space="preserve"> 6: </w:t>
            </w:r>
            <w:r w:rsidR="00AF6433" w:rsidRPr="00887B57">
              <w:rPr>
                <w:rStyle w:val="Hyperlink"/>
                <w:rFonts w:hint="eastAsia"/>
                <w:rtl/>
              </w:rPr>
              <w:t>مبنى</w:t>
            </w:r>
            <w:r w:rsidR="00AF6433" w:rsidRPr="00887B57">
              <w:rPr>
                <w:rStyle w:val="Hyperlink"/>
                <w:rtl/>
              </w:rPr>
              <w:t xml:space="preserve"> </w:t>
            </w:r>
            <w:r w:rsidR="00AF6433" w:rsidRPr="00887B57">
              <w:rPr>
                <w:rStyle w:val="Hyperlink"/>
                <w:rFonts w:hint="eastAsia"/>
                <w:rtl/>
              </w:rPr>
              <w:t>أرباد</w:t>
            </w:r>
            <w:r w:rsidR="00AF6433" w:rsidRPr="00887B57">
              <w:rPr>
                <w:rStyle w:val="Hyperlink"/>
                <w:rtl/>
              </w:rPr>
              <w:t xml:space="preserve"> </w:t>
            </w:r>
            <w:r w:rsidR="00AF6433" w:rsidRPr="00887B57">
              <w:rPr>
                <w:rStyle w:val="Hyperlink"/>
                <w:rFonts w:hint="eastAsia"/>
                <w:rtl/>
              </w:rPr>
              <w:t>بوكش</w:t>
            </w:r>
            <w:r w:rsidR="00AF6433" w:rsidRPr="00887B57">
              <w:rPr>
                <w:rStyle w:val="Hyperlink"/>
                <w:rtl/>
              </w:rPr>
              <w:t xml:space="preserve"> - </w:t>
            </w:r>
            <w:r w:rsidR="00AF6433" w:rsidRPr="00887B57">
              <w:rPr>
                <w:rStyle w:val="Hyperlink"/>
                <w:rFonts w:hint="eastAsia"/>
                <w:rtl/>
              </w:rPr>
              <w:t>استبدال</w:t>
            </w:r>
            <w:r w:rsidR="00AF6433" w:rsidRPr="00887B57">
              <w:rPr>
                <w:rStyle w:val="Hyperlink"/>
                <w:rtl/>
              </w:rPr>
              <w:t xml:space="preserve"> </w:t>
            </w:r>
            <w:r w:rsidR="00AF6433" w:rsidRPr="00887B57">
              <w:rPr>
                <w:rStyle w:val="Hyperlink"/>
                <w:rFonts w:hint="eastAsia"/>
                <w:rtl/>
              </w:rPr>
              <w:t>بعض</w:t>
            </w:r>
            <w:r w:rsidR="00AF6433" w:rsidRPr="00887B57">
              <w:rPr>
                <w:rStyle w:val="Hyperlink"/>
                <w:rtl/>
              </w:rPr>
              <w:t xml:space="preserve"> </w:t>
            </w:r>
            <w:r w:rsidR="00AF6433" w:rsidRPr="00887B57">
              <w:rPr>
                <w:rStyle w:val="Hyperlink"/>
                <w:rFonts w:hint="eastAsia"/>
                <w:rtl/>
              </w:rPr>
              <w:t>النوافذ</w:t>
            </w:r>
            <w:r w:rsidR="00AF6433" w:rsidRPr="00887B57">
              <w:rPr>
                <w:rStyle w:val="Hyperlink"/>
                <w:rtl/>
              </w:rPr>
              <w:t xml:space="preserve"> (</w:t>
            </w:r>
            <w:r w:rsidR="00AF6433" w:rsidRPr="00887B57">
              <w:rPr>
                <w:rStyle w:val="Hyperlink"/>
              </w:rPr>
              <w:t>CMP 6</w:t>
            </w:r>
            <w:r w:rsidR="00AF6433" w:rsidRPr="00887B57">
              <w:rPr>
                <w:rStyle w:val="Hyperlink"/>
                <w:rtl/>
              </w:rPr>
              <w:t>)</w:t>
            </w:r>
            <w:r w:rsidR="00AF6433">
              <w:rPr>
                <w:webHidden/>
              </w:rPr>
              <w:tab/>
            </w:r>
            <w:r w:rsidR="00AF6433">
              <w:rPr>
                <w:webHidden/>
              </w:rPr>
              <w:fldChar w:fldCharType="begin"/>
            </w:r>
            <w:r w:rsidR="00AF6433">
              <w:rPr>
                <w:webHidden/>
              </w:rPr>
              <w:instrText xml:space="preserve"> PAGEREF _Toc482782791 \h </w:instrText>
            </w:r>
            <w:r w:rsidR="00AF6433">
              <w:rPr>
                <w:webHidden/>
              </w:rPr>
            </w:r>
            <w:r w:rsidR="00AF6433">
              <w:rPr>
                <w:webHidden/>
              </w:rPr>
              <w:fldChar w:fldCharType="separate"/>
            </w:r>
            <w:r>
              <w:rPr>
                <w:webHidden/>
                <w:rtl/>
              </w:rPr>
              <w:t>313</w:t>
            </w:r>
            <w:r w:rsidR="00AF6433">
              <w:rPr>
                <w:webHidden/>
              </w:rPr>
              <w:fldChar w:fldCharType="end"/>
            </w:r>
          </w:hyperlink>
        </w:p>
        <w:p w14:paraId="1F330DE8" w14:textId="77777777" w:rsidR="00AF6433" w:rsidRDefault="000B74B5" w:rsidP="00AF6433">
          <w:pPr>
            <w:pStyle w:val="TOC4"/>
            <w:rPr>
              <w:rFonts w:asciiTheme="minorHAnsi" w:eastAsiaTheme="minorEastAsia" w:hAnsiTheme="minorHAnsi" w:cstheme="minorBidi"/>
              <w:i w:val="0"/>
              <w:iCs w:val="0"/>
              <w:sz w:val="22"/>
              <w:szCs w:val="22"/>
              <w:lang w:bidi="ar-SA"/>
            </w:rPr>
          </w:pPr>
          <w:hyperlink w:anchor="_Toc482782792" w:history="1">
            <w:r w:rsidR="00AF6433" w:rsidRPr="00887B57">
              <w:rPr>
                <w:rStyle w:val="Hyperlink"/>
                <w:rFonts w:hint="eastAsia"/>
                <w:rtl/>
              </w:rPr>
              <w:t>المشروع</w:t>
            </w:r>
            <w:r w:rsidR="00AF6433" w:rsidRPr="00887B57">
              <w:rPr>
                <w:rStyle w:val="Hyperlink"/>
                <w:rtl/>
              </w:rPr>
              <w:t xml:space="preserve"> 7: </w:t>
            </w:r>
            <w:r w:rsidR="00AF6433" w:rsidRPr="00887B57">
              <w:rPr>
                <w:rStyle w:val="Hyperlink"/>
                <w:rFonts w:hint="eastAsia"/>
                <w:rtl/>
              </w:rPr>
              <w:t>تدابير</w:t>
            </w:r>
            <w:r w:rsidR="00AF6433" w:rsidRPr="00887B57">
              <w:rPr>
                <w:rStyle w:val="Hyperlink"/>
                <w:rtl/>
              </w:rPr>
              <w:t xml:space="preserve"> </w:t>
            </w:r>
            <w:r w:rsidR="00AF6433" w:rsidRPr="00887B57">
              <w:rPr>
                <w:rStyle w:val="Hyperlink"/>
                <w:rFonts w:hint="eastAsia"/>
                <w:rtl/>
              </w:rPr>
              <w:t>السلامة</w:t>
            </w:r>
            <w:r w:rsidR="00AF6433" w:rsidRPr="00887B57">
              <w:rPr>
                <w:rStyle w:val="Hyperlink"/>
                <w:rtl/>
              </w:rPr>
              <w:t xml:space="preserve"> </w:t>
            </w:r>
            <w:r w:rsidR="00AF6433" w:rsidRPr="00887B57">
              <w:rPr>
                <w:rStyle w:val="Hyperlink"/>
                <w:rFonts w:hint="eastAsia"/>
                <w:rtl/>
              </w:rPr>
              <w:t>والحماية</w:t>
            </w:r>
            <w:r w:rsidR="00AF6433" w:rsidRPr="00887B57">
              <w:rPr>
                <w:rStyle w:val="Hyperlink"/>
                <w:rtl/>
              </w:rPr>
              <w:t xml:space="preserve"> </w:t>
            </w:r>
            <w:r w:rsidR="00AF6433" w:rsidRPr="00887B57">
              <w:rPr>
                <w:rStyle w:val="Hyperlink"/>
                <w:rFonts w:hint="eastAsia"/>
                <w:rtl/>
              </w:rPr>
              <w:t>من</w:t>
            </w:r>
            <w:r w:rsidR="00AF6433" w:rsidRPr="00887B57">
              <w:rPr>
                <w:rStyle w:val="Hyperlink"/>
                <w:rtl/>
              </w:rPr>
              <w:t xml:space="preserve"> </w:t>
            </w:r>
            <w:r w:rsidR="00AF6433" w:rsidRPr="00887B57">
              <w:rPr>
                <w:rStyle w:val="Hyperlink"/>
                <w:rFonts w:hint="eastAsia"/>
                <w:rtl/>
              </w:rPr>
              <w:t>الحريق</w:t>
            </w:r>
            <w:r w:rsidR="00AF6433" w:rsidRPr="00887B57">
              <w:rPr>
                <w:rStyle w:val="Hyperlink"/>
                <w:rtl/>
              </w:rPr>
              <w:t xml:space="preserve"> (</w:t>
            </w:r>
            <w:r w:rsidR="00AF6433" w:rsidRPr="00887B57">
              <w:rPr>
                <w:rStyle w:val="Hyperlink"/>
              </w:rPr>
              <w:t>CMP 7</w:t>
            </w:r>
            <w:r w:rsidR="00AF6433" w:rsidRPr="00887B57">
              <w:rPr>
                <w:rStyle w:val="Hyperlink"/>
                <w:rtl/>
              </w:rPr>
              <w:t>)</w:t>
            </w:r>
            <w:r w:rsidR="00AF6433">
              <w:rPr>
                <w:webHidden/>
              </w:rPr>
              <w:tab/>
            </w:r>
            <w:r w:rsidR="00AF6433">
              <w:rPr>
                <w:webHidden/>
              </w:rPr>
              <w:fldChar w:fldCharType="begin"/>
            </w:r>
            <w:r w:rsidR="00AF6433">
              <w:rPr>
                <w:webHidden/>
              </w:rPr>
              <w:instrText xml:space="preserve"> PAGEREF _Toc482782792 \h </w:instrText>
            </w:r>
            <w:r w:rsidR="00AF6433">
              <w:rPr>
                <w:webHidden/>
              </w:rPr>
            </w:r>
            <w:r w:rsidR="00AF6433">
              <w:rPr>
                <w:webHidden/>
              </w:rPr>
              <w:fldChar w:fldCharType="separate"/>
            </w:r>
            <w:r>
              <w:rPr>
                <w:webHidden/>
                <w:rtl/>
              </w:rPr>
              <w:t>316</w:t>
            </w:r>
            <w:r w:rsidR="00AF6433">
              <w:rPr>
                <w:webHidden/>
              </w:rPr>
              <w:fldChar w:fldCharType="end"/>
            </w:r>
          </w:hyperlink>
        </w:p>
        <w:p w14:paraId="04A93CE6" w14:textId="77777777" w:rsidR="00AF6433" w:rsidRDefault="000B74B5" w:rsidP="00AF6433">
          <w:pPr>
            <w:pStyle w:val="TOC3"/>
            <w:tabs>
              <w:tab w:val="left" w:pos="3727"/>
            </w:tabs>
            <w:rPr>
              <w:rFonts w:asciiTheme="minorHAnsi" w:eastAsiaTheme="minorEastAsia" w:hAnsiTheme="minorHAnsi" w:cstheme="minorBidi"/>
              <w:sz w:val="22"/>
              <w:szCs w:val="22"/>
            </w:rPr>
          </w:pPr>
          <w:hyperlink w:anchor="_Toc482782793" w:history="1">
            <w:r w:rsidR="00AF6433" w:rsidRPr="00887B57">
              <w:rPr>
                <w:rStyle w:val="Hyperlink"/>
                <w:rFonts w:hint="eastAsia"/>
                <w:rtl/>
              </w:rPr>
              <w:t>الملحق</w:t>
            </w:r>
            <w:r w:rsidR="00AF6433" w:rsidRPr="00887B57">
              <w:rPr>
                <w:rStyle w:val="Hyperlink"/>
                <w:rtl/>
              </w:rPr>
              <w:t xml:space="preserve"> </w:t>
            </w:r>
            <w:r w:rsidR="00AF6433" w:rsidRPr="00887B57">
              <w:rPr>
                <w:rStyle w:val="Hyperlink"/>
                <w:rFonts w:hint="eastAsia"/>
                <w:rtl/>
              </w:rPr>
              <w:t>الرابع</w:t>
            </w:r>
            <w:r w:rsidR="00AF6433">
              <w:rPr>
                <w:rFonts w:asciiTheme="minorHAnsi" w:eastAsiaTheme="minorEastAsia" w:hAnsiTheme="minorHAnsi" w:cstheme="minorBidi"/>
                <w:sz w:val="22"/>
                <w:szCs w:val="22"/>
              </w:rPr>
              <w:tab/>
            </w:r>
            <w:r w:rsidR="00AF6433" w:rsidRPr="00887B57">
              <w:rPr>
                <w:rStyle w:val="Hyperlink"/>
                <w:rFonts w:hint="eastAsia"/>
                <w:rtl/>
              </w:rPr>
              <w:t>قائمة</w:t>
            </w:r>
            <w:r w:rsidR="00AF6433" w:rsidRPr="00887B57">
              <w:rPr>
                <w:rStyle w:val="Hyperlink"/>
                <w:rtl/>
              </w:rPr>
              <w:t xml:space="preserve"> </w:t>
            </w:r>
            <w:r w:rsidR="00AF6433" w:rsidRPr="00887B57">
              <w:rPr>
                <w:rStyle w:val="Hyperlink"/>
                <w:rFonts w:hint="eastAsia"/>
                <w:rtl/>
              </w:rPr>
              <w:t>بالمختصرات</w:t>
            </w:r>
            <w:r w:rsidR="00AF6433" w:rsidRPr="00887B57">
              <w:rPr>
                <w:rStyle w:val="Hyperlink"/>
                <w:rtl/>
              </w:rPr>
              <w:t xml:space="preserve"> </w:t>
            </w:r>
            <w:r w:rsidR="00AF6433" w:rsidRPr="00887B57">
              <w:rPr>
                <w:rStyle w:val="Hyperlink"/>
                <w:rFonts w:hint="eastAsia"/>
                <w:rtl/>
              </w:rPr>
              <w:t>الواردة</w:t>
            </w:r>
            <w:r w:rsidR="00AF6433" w:rsidRPr="00887B57">
              <w:rPr>
                <w:rStyle w:val="Hyperlink"/>
                <w:rtl/>
              </w:rPr>
              <w:t xml:space="preserve"> </w:t>
            </w:r>
            <w:r w:rsidR="00AF6433" w:rsidRPr="00887B57">
              <w:rPr>
                <w:rStyle w:val="Hyperlink"/>
                <w:rFonts w:hint="eastAsia"/>
                <w:rtl/>
              </w:rPr>
              <w:t>في</w:t>
            </w:r>
            <w:r w:rsidR="00AF6433" w:rsidRPr="00887B57">
              <w:rPr>
                <w:rStyle w:val="Hyperlink"/>
                <w:rtl/>
              </w:rPr>
              <w:t xml:space="preserve"> </w:t>
            </w:r>
            <w:r w:rsidR="00AF6433" w:rsidRPr="00887B57">
              <w:rPr>
                <w:rStyle w:val="Hyperlink"/>
                <w:rFonts w:hint="eastAsia"/>
                <w:rtl/>
              </w:rPr>
              <w:t>النص</w:t>
            </w:r>
            <w:r w:rsidR="00AF6433" w:rsidRPr="00887B57">
              <w:rPr>
                <w:rStyle w:val="Hyperlink"/>
                <w:rtl/>
              </w:rPr>
              <w:t xml:space="preserve"> </w:t>
            </w:r>
            <w:r w:rsidR="00AF6433" w:rsidRPr="00887B57">
              <w:rPr>
                <w:rStyle w:val="Hyperlink"/>
                <w:rFonts w:hint="eastAsia"/>
                <w:rtl/>
              </w:rPr>
              <w:t>الإنكليزي</w:t>
            </w:r>
            <w:r w:rsidR="00AF6433">
              <w:rPr>
                <w:webHidden/>
              </w:rPr>
              <w:tab/>
            </w:r>
            <w:r w:rsidR="00AF6433">
              <w:rPr>
                <w:webHidden/>
              </w:rPr>
              <w:fldChar w:fldCharType="begin"/>
            </w:r>
            <w:r w:rsidR="00AF6433">
              <w:rPr>
                <w:webHidden/>
              </w:rPr>
              <w:instrText xml:space="preserve"> PAGEREF _Toc482782793 \h </w:instrText>
            </w:r>
            <w:r w:rsidR="00AF6433">
              <w:rPr>
                <w:webHidden/>
              </w:rPr>
            </w:r>
            <w:r w:rsidR="00AF6433">
              <w:rPr>
                <w:webHidden/>
              </w:rPr>
              <w:fldChar w:fldCharType="separate"/>
            </w:r>
            <w:r>
              <w:rPr>
                <w:webHidden/>
                <w:rtl/>
              </w:rPr>
              <w:t>320</w:t>
            </w:r>
            <w:r w:rsidR="00AF6433">
              <w:rPr>
                <w:webHidden/>
              </w:rPr>
              <w:fldChar w:fldCharType="end"/>
            </w:r>
          </w:hyperlink>
        </w:p>
        <w:p w14:paraId="65169FDF" w14:textId="77777777" w:rsidR="00DF5846" w:rsidRDefault="00DF61DF" w:rsidP="00DF5846">
          <w:pPr>
            <w:pStyle w:val="TOC2"/>
            <w:rPr>
              <w:rtl/>
            </w:rPr>
          </w:pPr>
          <w:r w:rsidRPr="00BD308F">
            <w:rPr>
              <w:sz w:val="30"/>
              <w:szCs w:val="30"/>
            </w:rPr>
            <w:fldChar w:fldCharType="end"/>
          </w:r>
        </w:p>
      </w:sdtContent>
    </w:sdt>
    <w:p w14:paraId="33B56904" w14:textId="4450A6AA" w:rsidR="00350E6E" w:rsidRPr="00DF5846" w:rsidRDefault="00350E6E" w:rsidP="0031289D">
      <w:pPr>
        <w:bidi/>
        <w:rPr>
          <w:rFonts w:ascii="Arabic Typesetting" w:eastAsia="SimSun" w:hAnsi="Arabic Typesetting" w:cs="Arabic Typesetting"/>
          <w:sz w:val="28"/>
          <w:szCs w:val="28"/>
          <w:rtl/>
          <w:lang w:val="fr-CH"/>
        </w:rPr>
      </w:pPr>
      <w:r w:rsidRPr="00DF5846">
        <w:rPr>
          <w:sz w:val="18"/>
          <w:szCs w:val="16"/>
          <w:rtl/>
        </w:rPr>
        <w:br w:type="page"/>
      </w:r>
    </w:p>
    <w:p w14:paraId="5D68EE29" w14:textId="330AE1CE" w:rsidR="00350E6E" w:rsidRPr="00975288" w:rsidRDefault="00F2534E" w:rsidP="0031289D">
      <w:pPr>
        <w:pStyle w:val="Heading2"/>
        <w:rPr>
          <w:rtl/>
        </w:rPr>
      </w:pPr>
      <w:bookmarkStart w:id="5" w:name="_Toc482782735"/>
      <w:r>
        <w:rPr>
          <w:rFonts w:hint="cs"/>
          <w:rtl/>
        </w:rPr>
        <w:lastRenderedPageBreak/>
        <w:t>أولاً.</w:t>
      </w:r>
      <w:r>
        <w:rPr>
          <w:rtl/>
        </w:rPr>
        <w:tab/>
      </w:r>
      <w:r>
        <w:rPr>
          <w:rFonts w:hint="cs"/>
          <w:rtl/>
        </w:rPr>
        <w:t>المقدمة</w:t>
      </w:r>
      <w:bookmarkEnd w:id="5"/>
    </w:p>
    <w:p w14:paraId="21491712" w14:textId="3C01BED6" w:rsidR="00433F0A" w:rsidRPr="00975288" w:rsidRDefault="00433F0A" w:rsidP="0031289D">
      <w:pPr>
        <w:pStyle w:val="NumberedParaAR"/>
        <w:tabs>
          <w:tab w:val="clear" w:pos="567"/>
        </w:tabs>
        <w:rPr>
          <w:sz w:val="34"/>
          <w:szCs w:val="34"/>
          <w:lang w:val="fr-CH" w:bidi="ar-EG"/>
        </w:rPr>
      </w:pPr>
      <w:r w:rsidRPr="00975288">
        <w:rPr>
          <w:sz w:val="34"/>
          <w:szCs w:val="34"/>
          <w:rtl/>
          <w:lang w:val="fr-CH" w:bidi="ar-EG"/>
        </w:rPr>
        <w:t>تقرير أداء البرنامج هو أداة المساءلة الرئيسية التي تُطلع الدول الأعضاء على الأداء المؤسسي للويبو، وهو جزء لا</w:t>
      </w:r>
      <w:r w:rsidR="004F7B54" w:rsidRPr="00975288">
        <w:rPr>
          <w:rFonts w:hint="cs"/>
          <w:sz w:val="34"/>
          <w:szCs w:val="34"/>
          <w:rtl/>
          <w:lang w:val="fr-CH" w:bidi="ar-EG"/>
        </w:rPr>
        <w:t> </w:t>
      </w:r>
      <w:r w:rsidRPr="00975288">
        <w:rPr>
          <w:sz w:val="34"/>
          <w:szCs w:val="34"/>
          <w:rtl/>
          <w:lang w:val="fr-CH" w:bidi="ar-EG"/>
        </w:rPr>
        <w:t>يتجزأ من إطار الويبو للإدارة القائمة على النتائج.</w:t>
      </w:r>
      <w:r w:rsidR="004F7B54" w:rsidRPr="00975288">
        <w:rPr>
          <w:rFonts w:hint="cs"/>
          <w:sz w:val="34"/>
          <w:szCs w:val="34"/>
          <w:rtl/>
          <w:lang w:val="fr-CH" w:bidi="ar-EG"/>
        </w:rPr>
        <w:t xml:space="preserve"> </w:t>
      </w:r>
      <w:r w:rsidRPr="00975288">
        <w:rPr>
          <w:sz w:val="34"/>
          <w:szCs w:val="34"/>
          <w:rtl/>
          <w:lang w:val="fr-CH" w:bidi="ar-EG"/>
        </w:rPr>
        <w:t>وهو أيضا بمثابة أداة تعلّم مهمة تضمن الاستفادة من الدروس المستخلصة من الأداء في الفترات السابقة، وتضمن إدراج تلك الدروس كما ينبغي في تنفيذ أنشطة الويبو في المستقبل.</w:t>
      </w:r>
      <w:r w:rsidR="004F7B54" w:rsidRPr="00975288">
        <w:rPr>
          <w:rFonts w:hint="cs"/>
          <w:sz w:val="34"/>
          <w:szCs w:val="34"/>
          <w:rtl/>
          <w:lang w:val="fr-CH" w:bidi="ar-EG"/>
        </w:rPr>
        <w:t xml:space="preserve"> </w:t>
      </w:r>
      <w:r w:rsidRPr="00975288">
        <w:rPr>
          <w:sz w:val="34"/>
          <w:szCs w:val="34"/>
          <w:rtl/>
          <w:lang w:val="fr-CH" w:bidi="ar-EG"/>
        </w:rPr>
        <w:t>وتقرير أداء البرنامج هو تقييم ذاتي يجريه المسؤولون عن البرامج بالاستناد إلى إطار النتائج الذي وافقت عليه الدول الأعضاء</w:t>
      </w:r>
      <w:r w:rsidR="004F7B54" w:rsidRPr="00975288">
        <w:rPr>
          <w:rFonts w:hint="cs"/>
          <w:sz w:val="34"/>
          <w:szCs w:val="34"/>
          <w:rtl/>
          <w:lang w:val="fr-CH" w:bidi="ar-EG"/>
        </w:rPr>
        <w:t xml:space="preserve"> في وثيقة البرنامج والميزانية للثنائية 2016/17</w:t>
      </w:r>
      <w:r w:rsidRPr="00975288">
        <w:rPr>
          <w:sz w:val="34"/>
          <w:szCs w:val="34"/>
          <w:rtl/>
          <w:lang w:val="fr-CH" w:bidi="ar-EG"/>
        </w:rPr>
        <w:t>.</w:t>
      </w:r>
      <w:r w:rsidR="004F7B54" w:rsidRPr="00975288">
        <w:rPr>
          <w:rFonts w:hint="cs"/>
          <w:sz w:val="34"/>
          <w:szCs w:val="34"/>
          <w:rtl/>
          <w:lang w:val="fr-CH" w:bidi="ar-EG"/>
        </w:rPr>
        <w:t xml:space="preserve"> </w:t>
      </w:r>
      <w:r w:rsidR="004F7B54" w:rsidRPr="00975288">
        <w:rPr>
          <w:sz w:val="34"/>
          <w:szCs w:val="34"/>
          <w:rtl/>
          <w:lang w:val="fr-CH" w:bidi="ar-EG"/>
        </w:rPr>
        <w:t>وسعياً إلى تعزيز صحة المعلومات الواردة في هذا التقرير، تثبت شعبة الرقابة الداخلية بيانات الأداء كل سنتين.</w:t>
      </w:r>
      <w:r w:rsidR="004F7B54" w:rsidRPr="00975288">
        <w:rPr>
          <w:rFonts w:hint="cs"/>
          <w:sz w:val="34"/>
          <w:szCs w:val="34"/>
          <w:rtl/>
          <w:lang w:val="fr-CH" w:bidi="ar-EG"/>
        </w:rPr>
        <w:t xml:space="preserve"> </w:t>
      </w:r>
      <w:r w:rsidR="004F7B54" w:rsidRPr="00975288">
        <w:rPr>
          <w:sz w:val="34"/>
          <w:szCs w:val="34"/>
          <w:rtl/>
          <w:lang w:val="fr-CH" w:bidi="ar-EG"/>
        </w:rPr>
        <w:t xml:space="preserve">وستجرى عملية التثبت التالية لتقرير أداء البرنامج </w:t>
      </w:r>
      <w:r w:rsidR="004F7B54" w:rsidRPr="00975288">
        <w:rPr>
          <w:rFonts w:hint="cs"/>
          <w:sz w:val="34"/>
          <w:szCs w:val="34"/>
          <w:rtl/>
          <w:lang w:val="fr-CH" w:bidi="ar-EG"/>
        </w:rPr>
        <w:t>2016/17</w:t>
      </w:r>
      <w:r w:rsidR="004F7B54" w:rsidRPr="00975288">
        <w:rPr>
          <w:sz w:val="34"/>
          <w:szCs w:val="34"/>
          <w:rtl/>
          <w:lang w:val="fr-CH" w:bidi="ar-EG"/>
        </w:rPr>
        <w:t>.</w:t>
      </w:r>
    </w:p>
    <w:p w14:paraId="54FC0912" w14:textId="504E199D" w:rsidR="00547E18" w:rsidRPr="00975288" w:rsidRDefault="00087144" w:rsidP="0031289D">
      <w:pPr>
        <w:pStyle w:val="NumberedParaAR"/>
        <w:tabs>
          <w:tab w:val="clear" w:pos="567"/>
        </w:tabs>
        <w:rPr>
          <w:sz w:val="34"/>
          <w:szCs w:val="34"/>
          <w:lang w:val="fr-CH" w:bidi="ar-EG"/>
        </w:rPr>
      </w:pPr>
      <w:r w:rsidRPr="00975288">
        <w:rPr>
          <w:rFonts w:hint="cs"/>
          <w:sz w:val="34"/>
          <w:szCs w:val="34"/>
          <w:rtl/>
          <w:lang w:val="fr-CH" w:bidi="ar-EG"/>
        </w:rPr>
        <w:t xml:space="preserve">وأُدخل نسق جديد ومبسط في تقرير أداء البرنامج 2016 لتحسين التمييز بين تقرير السنة الأولى (التقرير المرحلة) والسنة الثانية (الإنجازات) خلال الثنائية. </w:t>
      </w:r>
      <w:r w:rsidRPr="00975288">
        <w:rPr>
          <w:sz w:val="34"/>
          <w:szCs w:val="34"/>
          <w:rtl/>
          <w:lang w:val="fr-CH" w:bidi="ar-EG"/>
        </w:rPr>
        <w:t xml:space="preserve">واسترشدت عمليات تصميم أنشطة </w:t>
      </w:r>
      <w:r w:rsidRPr="00975288">
        <w:rPr>
          <w:rFonts w:hint="cs"/>
          <w:sz w:val="34"/>
          <w:szCs w:val="34"/>
          <w:rtl/>
          <w:lang w:val="fr-CH" w:bidi="ar-EG"/>
        </w:rPr>
        <w:t>الويبو</w:t>
      </w:r>
      <w:r w:rsidRPr="00975288">
        <w:rPr>
          <w:sz w:val="34"/>
          <w:szCs w:val="34"/>
          <w:rtl/>
          <w:lang w:val="fr-CH" w:bidi="ar-EG"/>
        </w:rPr>
        <w:t xml:space="preserve"> والتخطيط لها وتنفيذها بتوصيات </w:t>
      </w:r>
      <w:r w:rsidRPr="00975288">
        <w:rPr>
          <w:rFonts w:hint="cs"/>
          <w:sz w:val="34"/>
          <w:szCs w:val="34"/>
          <w:rtl/>
          <w:lang w:val="fr-CH" w:bidi="ar-EG"/>
        </w:rPr>
        <w:t>أجندة</w:t>
      </w:r>
      <w:r w:rsidRPr="00975288">
        <w:rPr>
          <w:sz w:val="34"/>
          <w:szCs w:val="34"/>
          <w:rtl/>
          <w:lang w:val="fr-CH" w:bidi="ar-EG"/>
        </w:rPr>
        <w:t xml:space="preserve"> التنمية المعنية</w:t>
      </w:r>
      <w:r w:rsidRPr="00975288">
        <w:rPr>
          <w:rFonts w:hint="cs"/>
          <w:sz w:val="34"/>
          <w:szCs w:val="34"/>
          <w:rtl/>
          <w:lang w:val="fr-CH" w:bidi="ar-EG"/>
        </w:rPr>
        <w:t xml:space="preserve"> في عام 2016. وسترد معلومات مفصلة عن تنفيذ أجندة التنمية في تقرير أداء البرنامج 2016/17.</w:t>
      </w:r>
    </w:p>
    <w:p w14:paraId="2EBC94BA" w14:textId="636D96B2" w:rsidR="00087144" w:rsidRPr="00975288" w:rsidRDefault="00547E18" w:rsidP="0031289D">
      <w:pPr>
        <w:pStyle w:val="NumberedParaAR"/>
        <w:tabs>
          <w:tab w:val="clear" w:pos="567"/>
        </w:tabs>
        <w:rPr>
          <w:sz w:val="34"/>
          <w:szCs w:val="34"/>
          <w:rtl/>
          <w:lang w:val="fr-CH" w:bidi="ar-EG"/>
        </w:rPr>
      </w:pPr>
      <w:r w:rsidRPr="00975288">
        <w:rPr>
          <w:sz w:val="34"/>
          <w:szCs w:val="34"/>
          <w:rtl/>
          <w:lang w:val="fr-CH" w:bidi="ar-EG"/>
        </w:rPr>
        <w:t xml:space="preserve">وتقرير أداء البرنامج </w:t>
      </w:r>
      <w:r w:rsidR="00087144" w:rsidRPr="00975288">
        <w:rPr>
          <w:rFonts w:hint="cs"/>
          <w:sz w:val="34"/>
          <w:szCs w:val="34"/>
          <w:rtl/>
          <w:lang w:val="fr-CH" w:bidi="ar-EG"/>
        </w:rPr>
        <w:t>2016</w:t>
      </w:r>
      <w:r w:rsidRPr="00975288">
        <w:rPr>
          <w:sz w:val="34"/>
          <w:szCs w:val="34"/>
          <w:rtl/>
          <w:lang w:val="fr-CH" w:bidi="ar-EG"/>
        </w:rPr>
        <w:t xml:space="preserve"> هو تقرير صادر في منتصف الثنائية يركز على التقدم المحرز نحو تحقيق النتائج المرتقبة (خلافاً لتقرير نهاية الثنائية الذي يركز على مدى تحقق النتائج المرتقبة)، قياساً بمؤشرات الأداء وبالموارد المعتمدة في وثيقة البرنامج والميزانية للثنائية </w:t>
      </w:r>
      <w:r w:rsidR="00087144" w:rsidRPr="00975288">
        <w:rPr>
          <w:rFonts w:hint="cs"/>
          <w:sz w:val="34"/>
          <w:szCs w:val="34"/>
          <w:rtl/>
          <w:lang w:val="fr-CH" w:bidi="ar-EG"/>
        </w:rPr>
        <w:t>2016</w:t>
      </w:r>
      <w:r w:rsidRPr="00975288">
        <w:rPr>
          <w:sz w:val="34"/>
          <w:szCs w:val="34"/>
          <w:rtl/>
          <w:lang w:val="fr-CH" w:bidi="ar-EG"/>
        </w:rPr>
        <w:t>/</w:t>
      </w:r>
      <w:r w:rsidR="00087144" w:rsidRPr="00975288">
        <w:rPr>
          <w:rFonts w:hint="cs"/>
          <w:sz w:val="34"/>
          <w:szCs w:val="34"/>
          <w:rtl/>
          <w:lang w:val="fr-CH" w:bidi="ar-EG"/>
        </w:rPr>
        <w:t>17</w:t>
      </w:r>
      <w:r w:rsidRPr="00975288">
        <w:rPr>
          <w:sz w:val="34"/>
          <w:szCs w:val="34"/>
          <w:rtl/>
          <w:lang w:val="fr-CH" w:bidi="ar-EG"/>
        </w:rPr>
        <w:t>.</w:t>
      </w:r>
      <w:r w:rsidRPr="00975288">
        <w:rPr>
          <w:rFonts w:hint="cs"/>
          <w:sz w:val="34"/>
          <w:szCs w:val="34"/>
          <w:rtl/>
          <w:lang w:val="fr-CH" w:bidi="ar-EG"/>
        </w:rPr>
        <w:t xml:space="preserve"> </w:t>
      </w:r>
      <w:r w:rsidR="00087144" w:rsidRPr="00975288">
        <w:rPr>
          <w:sz w:val="34"/>
          <w:szCs w:val="34"/>
          <w:rtl/>
          <w:lang w:val="fr-CH" w:bidi="ar-EG"/>
        </w:rPr>
        <w:t>ويمكن قياس مؤشر الأداء بهدف واحد أو أكثر.</w:t>
      </w:r>
      <w:r w:rsidR="00087144" w:rsidRPr="00975288">
        <w:rPr>
          <w:rFonts w:hint="cs"/>
          <w:sz w:val="34"/>
          <w:szCs w:val="34"/>
          <w:rtl/>
          <w:lang w:val="fr-CH" w:bidi="ar-EG"/>
        </w:rPr>
        <w:t xml:space="preserve"> </w:t>
      </w:r>
      <w:r w:rsidR="00087144" w:rsidRPr="00975288">
        <w:rPr>
          <w:sz w:val="34"/>
          <w:szCs w:val="34"/>
          <w:rtl/>
          <w:lang w:val="fr-CH" w:bidi="ar-EG"/>
        </w:rPr>
        <w:t xml:space="preserve">وفي </w:t>
      </w:r>
      <w:r w:rsidR="00087144" w:rsidRPr="00975288">
        <w:rPr>
          <w:rFonts w:hint="cs"/>
          <w:sz w:val="34"/>
          <w:szCs w:val="34"/>
          <w:rtl/>
          <w:lang w:val="fr-CH" w:bidi="ar-EG"/>
        </w:rPr>
        <w:t>تلك</w:t>
      </w:r>
      <w:r w:rsidR="00087144" w:rsidRPr="00975288">
        <w:rPr>
          <w:sz w:val="34"/>
          <w:szCs w:val="34"/>
          <w:rtl/>
          <w:lang w:val="fr-CH" w:bidi="ar-EG"/>
        </w:rPr>
        <w:t xml:space="preserve"> الحالات، تعطَى درجة لكل هدف، وهو ما ينتج عنه درجات متعددة.</w:t>
      </w:r>
      <w:r w:rsidR="00087144" w:rsidRPr="00975288">
        <w:rPr>
          <w:rFonts w:hint="cs"/>
          <w:sz w:val="34"/>
          <w:szCs w:val="34"/>
          <w:rtl/>
          <w:lang w:val="fr-CH" w:bidi="ar-EG"/>
        </w:rPr>
        <w:t xml:space="preserve"> </w:t>
      </w:r>
      <w:r w:rsidR="00087144" w:rsidRPr="00975288">
        <w:rPr>
          <w:sz w:val="34"/>
          <w:szCs w:val="34"/>
          <w:rtl/>
          <w:lang w:val="fr-CH" w:bidi="ar-EG"/>
        </w:rPr>
        <w:t xml:space="preserve">وقد استُخدمت معايير التقييم التالية في تقرير أداء البرنامج </w:t>
      </w:r>
      <w:r w:rsidR="00087144" w:rsidRPr="00975288">
        <w:rPr>
          <w:rFonts w:hint="cs"/>
          <w:sz w:val="34"/>
          <w:szCs w:val="34"/>
          <w:rtl/>
          <w:lang w:val="fr-CH" w:bidi="ar-EG"/>
        </w:rPr>
        <w:t>2016</w:t>
      </w:r>
      <w:r w:rsidR="00087144" w:rsidRPr="00975288">
        <w:rPr>
          <w:sz w:val="34"/>
          <w:szCs w:val="34"/>
          <w:rtl/>
          <w:lang w:val="fr-CH" w:bidi="ar-EG"/>
        </w:rPr>
        <w:t>:</w:t>
      </w:r>
    </w:p>
    <w:p w14:paraId="313419F4" w14:textId="4DE75FE6" w:rsidR="00087144" w:rsidRPr="00975288" w:rsidRDefault="00DF7342" w:rsidP="0031289D">
      <w:pPr>
        <w:pStyle w:val="NumberedParaAR"/>
        <w:tabs>
          <w:tab w:val="clear" w:pos="567"/>
        </w:tabs>
        <w:rPr>
          <w:sz w:val="34"/>
          <w:szCs w:val="34"/>
          <w:lang w:val="fr-CH" w:bidi="ar-EG"/>
        </w:rPr>
      </w:pPr>
      <w:r>
        <w:rPr>
          <w:rFonts w:hint="cs"/>
          <w:sz w:val="34"/>
          <w:szCs w:val="34"/>
          <w:rtl/>
          <w:lang w:val="fr-CH" w:bidi="ar-EG"/>
        </w:rPr>
        <w:t xml:space="preserve">وفيما يلي </w:t>
      </w:r>
      <w:r w:rsidR="00087144" w:rsidRPr="00975288">
        <w:rPr>
          <w:sz w:val="34"/>
          <w:szCs w:val="34"/>
          <w:rtl/>
          <w:lang w:val="fr-CH" w:bidi="ar-EG"/>
        </w:rPr>
        <w:t>مفتاح نظام إشارات السير:</w:t>
      </w:r>
    </w:p>
    <w:p w14:paraId="73060BFD" w14:textId="01B60DCB" w:rsidR="00975288" w:rsidRPr="00975288" w:rsidRDefault="00975288" w:rsidP="00D94CDB">
      <w:pPr>
        <w:numPr>
          <w:ilvl w:val="0"/>
          <w:numId w:val="67"/>
        </w:numPr>
        <w:bidi/>
        <w:spacing w:after="240" w:line="340" w:lineRule="exact"/>
        <w:ind w:left="924" w:hanging="357"/>
        <w:rPr>
          <w:rFonts w:ascii="Arabic Typesetting" w:hAnsi="Arabic Typesetting" w:cs="Arabic Typesetting"/>
          <w:sz w:val="34"/>
          <w:szCs w:val="34"/>
          <w:rtl/>
          <w:lang w:bidi="ar-EG"/>
        </w:rPr>
      </w:pPr>
      <w:r w:rsidRPr="00975288">
        <w:rPr>
          <w:rFonts w:ascii="Arabic Typesetting" w:hAnsi="Arabic Typesetting" w:cs="Arabic Typesetting"/>
          <w:b/>
          <w:bCs/>
          <w:color w:val="008000"/>
          <w:sz w:val="34"/>
          <w:szCs w:val="34"/>
          <w:rtl/>
          <w:lang w:bidi="ar-EG"/>
        </w:rPr>
        <w:t>"</w:t>
      </w:r>
      <w:r w:rsidRPr="00975288">
        <w:rPr>
          <w:rFonts w:ascii="Arabic Typesetting" w:hAnsi="Arabic Typesetting" w:cs="Arabic Typesetting" w:hint="cs"/>
          <w:b/>
          <w:bCs/>
          <w:color w:val="008000"/>
          <w:sz w:val="34"/>
          <w:szCs w:val="34"/>
          <w:rtl/>
          <w:lang w:bidi="ar-EG"/>
        </w:rPr>
        <w:t>ثابت</w:t>
      </w:r>
      <w:r w:rsidRPr="00975288">
        <w:rPr>
          <w:rFonts w:ascii="Arabic Typesetting" w:hAnsi="Arabic Typesetting" w:cs="Arabic Typesetting"/>
          <w:b/>
          <w:bCs/>
          <w:color w:val="008000"/>
          <w:sz w:val="34"/>
          <w:szCs w:val="34"/>
          <w:rtl/>
          <w:lang w:bidi="ar-EG"/>
        </w:rPr>
        <w:t>"</w:t>
      </w:r>
      <w:r w:rsidRPr="00975288">
        <w:rPr>
          <w:rFonts w:ascii="Arabic Typesetting" w:hAnsi="Arabic Typesetting" w:cs="Arabic Typesetting" w:hint="cs"/>
          <w:sz w:val="34"/>
          <w:szCs w:val="34"/>
          <w:rtl/>
          <w:lang w:bidi="ar-EG"/>
        </w:rPr>
        <w:t xml:space="preserve"> تستخ</w:t>
      </w:r>
      <w:r>
        <w:rPr>
          <w:rFonts w:ascii="Arabic Typesetting" w:hAnsi="Arabic Typesetting" w:cs="Arabic Typesetting" w:hint="cs"/>
          <w:sz w:val="34"/>
          <w:szCs w:val="34"/>
          <w:rtl/>
          <w:lang w:bidi="ar-EG"/>
        </w:rPr>
        <w:t xml:space="preserve">دم عندما يتضح </w:t>
      </w:r>
      <w:r w:rsidRPr="00975288">
        <w:rPr>
          <w:rFonts w:ascii="Arabic Typesetting" w:hAnsi="Arabic Typesetting" w:cs="Arabic Typesetting" w:hint="cs"/>
          <w:sz w:val="34"/>
          <w:szCs w:val="34"/>
          <w:rtl/>
          <w:lang w:bidi="ar-EG"/>
        </w:rPr>
        <w:t>أ</w:t>
      </w:r>
      <w:r w:rsidRPr="00975288">
        <w:rPr>
          <w:rFonts w:ascii="Arabic Typesetting" w:hAnsi="Arabic Typesetting" w:cs="Arabic Typesetting" w:hint="eastAsia"/>
          <w:sz w:val="34"/>
          <w:szCs w:val="34"/>
          <w:rtl/>
          <w:lang w:bidi="ar-EG"/>
        </w:rPr>
        <w:t>ن </w:t>
      </w:r>
      <w:r>
        <w:rPr>
          <w:rFonts w:ascii="Arabic Typesetting" w:hAnsi="Arabic Typesetting" w:cs="Arabic Typesetting" w:hint="cs"/>
          <w:sz w:val="34"/>
          <w:szCs w:val="34"/>
          <w:rtl/>
          <w:lang w:bidi="ar-EG"/>
        </w:rPr>
        <w:t>40</w:t>
      </w:r>
      <w:r w:rsidRPr="00975288">
        <w:rPr>
          <w:rFonts w:ascii="Arabic Typesetting" w:hAnsi="Arabic Typesetting" w:cs="Arabic Typesetting" w:hint="eastAsia"/>
          <w:sz w:val="34"/>
          <w:szCs w:val="34"/>
          <w:rtl/>
          <w:lang w:bidi="ar-EG"/>
        </w:rPr>
        <w:t xml:space="preserve">% </w:t>
      </w:r>
      <w:r w:rsidRPr="00975288">
        <w:rPr>
          <w:rFonts w:ascii="Arabic Typesetting" w:hAnsi="Arabic Typesetting" w:cs="Arabic Typesetting" w:hint="cs"/>
          <w:sz w:val="34"/>
          <w:szCs w:val="34"/>
          <w:rtl/>
          <w:lang w:bidi="ar-EG"/>
        </w:rPr>
        <w:t xml:space="preserve">أو أكثر </w:t>
      </w:r>
      <w:r w:rsidRPr="00975288">
        <w:rPr>
          <w:rFonts w:ascii="Arabic Typesetting" w:hAnsi="Arabic Typesetting" w:cs="Arabic Typesetting" w:hint="eastAsia"/>
          <w:sz w:val="34"/>
          <w:szCs w:val="34"/>
          <w:rtl/>
          <w:lang w:bidi="ar-EG"/>
        </w:rPr>
        <w:t>من مؤشر الأداء</w:t>
      </w:r>
      <w:r>
        <w:rPr>
          <w:rFonts w:ascii="Arabic Typesetting" w:hAnsi="Arabic Typesetting" w:cs="Arabic Typesetting" w:hint="cs"/>
          <w:sz w:val="34"/>
          <w:szCs w:val="34"/>
          <w:rtl/>
          <w:lang w:bidi="ar-EG"/>
        </w:rPr>
        <w:t xml:space="preserve"> قد تحقق؛</w:t>
      </w:r>
    </w:p>
    <w:p w14:paraId="4A06DA20" w14:textId="5B7278E4" w:rsidR="00975288" w:rsidRPr="00975288" w:rsidRDefault="00975288" w:rsidP="00D94CDB">
      <w:pPr>
        <w:numPr>
          <w:ilvl w:val="0"/>
          <w:numId w:val="67"/>
        </w:numPr>
        <w:bidi/>
        <w:spacing w:after="240" w:line="340" w:lineRule="exact"/>
        <w:ind w:left="924" w:hanging="357"/>
        <w:rPr>
          <w:rFonts w:ascii="Arabic Typesetting" w:hAnsi="Arabic Typesetting" w:cs="Arabic Typesetting"/>
          <w:sz w:val="34"/>
          <w:szCs w:val="34"/>
          <w:rtl/>
          <w:lang w:bidi="ar-EG"/>
        </w:rPr>
      </w:pPr>
      <w:r w:rsidRPr="00975288">
        <w:rPr>
          <w:rFonts w:ascii="Arabic Typesetting" w:hAnsi="Arabic Typesetting" w:cs="Arabic Typesetting"/>
          <w:b/>
          <w:bCs/>
          <w:color w:val="FF0000"/>
          <w:sz w:val="34"/>
          <w:szCs w:val="34"/>
          <w:rtl/>
          <w:lang w:bidi="ar-EG"/>
        </w:rPr>
        <w:t>"</w:t>
      </w:r>
      <w:r w:rsidRPr="00975288">
        <w:rPr>
          <w:rFonts w:ascii="Arabic Typesetting" w:hAnsi="Arabic Typesetting" w:cs="Arabic Typesetting" w:hint="cs"/>
          <w:b/>
          <w:bCs/>
          <w:color w:val="FF0000"/>
          <w:sz w:val="34"/>
          <w:szCs w:val="34"/>
          <w:rtl/>
          <w:lang w:bidi="ar-EG"/>
        </w:rPr>
        <w:t>غير ثابت</w:t>
      </w:r>
      <w:r w:rsidRPr="00975288">
        <w:rPr>
          <w:rFonts w:ascii="Arabic Typesetting" w:hAnsi="Arabic Typesetting" w:cs="Arabic Typesetting"/>
          <w:b/>
          <w:bCs/>
          <w:color w:val="FF0000"/>
          <w:sz w:val="34"/>
          <w:szCs w:val="34"/>
          <w:rtl/>
          <w:lang w:bidi="ar-EG"/>
        </w:rPr>
        <w:t>"</w:t>
      </w:r>
      <w:r w:rsidRPr="00975288">
        <w:rPr>
          <w:rFonts w:ascii="Arabic Typesetting" w:hAnsi="Arabic Typesetting" w:cs="Arabic Typesetting" w:hint="cs"/>
          <w:color w:val="FF0000"/>
          <w:sz w:val="34"/>
          <w:szCs w:val="34"/>
          <w:rtl/>
          <w:lang w:bidi="ar-EG"/>
        </w:rPr>
        <w:t xml:space="preserve"> </w:t>
      </w:r>
      <w:r w:rsidRPr="00975288">
        <w:rPr>
          <w:rFonts w:ascii="Arabic Typesetting" w:hAnsi="Arabic Typesetting" w:cs="Arabic Typesetting" w:hint="cs"/>
          <w:sz w:val="34"/>
          <w:szCs w:val="34"/>
          <w:rtl/>
          <w:lang w:bidi="ar-EG"/>
        </w:rPr>
        <w:t xml:space="preserve">تستخدم عندما </w:t>
      </w:r>
      <w:r>
        <w:rPr>
          <w:rFonts w:ascii="Arabic Typesetting" w:hAnsi="Arabic Typesetting" w:cs="Arabic Typesetting" w:hint="cs"/>
          <w:sz w:val="34"/>
          <w:szCs w:val="34"/>
          <w:rtl/>
          <w:lang w:bidi="ar-EG"/>
        </w:rPr>
        <w:t>أن أقل من 40% من مؤشر الأداء قد تحقق؛</w:t>
      </w:r>
    </w:p>
    <w:p w14:paraId="18F01B1E" w14:textId="69C48CB9" w:rsidR="00975288" w:rsidRDefault="00975288" w:rsidP="00D94CDB">
      <w:pPr>
        <w:numPr>
          <w:ilvl w:val="0"/>
          <w:numId w:val="67"/>
        </w:numPr>
        <w:bidi/>
        <w:spacing w:after="240" w:line="340" w:lineRule="exact"/>
        <w:ind w:left="924" w:hanging="357"/>
        <w:rPr>
          <w:rFonts w:ascii="Arabic Typesetting" w:hAnsi="Arabic Typesetting" w:cs="Arabic Typesetting"/>
          <w:sz w:val="34"/>
          <w:szCs w:val="34"/>
          <w:lang w:bidi="ar-EG"/>
        </w:rPr>
      </w:pPr>
      <w:r w:rsidRPr="00975288">
        <w:rPr>
          <w:rFonts w:ascii="Arabic Typesetting" w:hAnsi="Arabic Typesetting" w:cs="Arabic Typesetting"/>
          <w:b/>
          <w:bCs/>
          <w:color w:val="0070C0"/>
          <w:sz w:val="34"/>
          <w:szCs w:val="34"/>
          <w:rtl/>
          <w:lang w:bidi="ar-EG"/>
        </w:rPr>
        <w:t>"</w:t>
      </w:r>
      <w:r w:rsidRPr="00037B81">
        <w:rPr>
          <w:rFonts w:ascii="Arabic Typesetting" w:hAnsi="Arabic Typesetting" w:cs="Arabic Typesetting" w:hint="cs"/>
          <w:b/>
          <w:bCs/>
          <w:color w:val="0070C0"/>
          <w:sz w:val="34"/>
          <w:szCs w:val="34"/>
          <w:rtl/>
          <w:lang w:bidi="ar-EG"/>
        </w:rPr>
        <w:t>غير متاح في 2016</w:t>
      </w:r>
      <w:r w:rsidRPr="00975288">
        <w:rPr>
          <w:rFonts w:ascii="Arabic Typesetting" w:hAnsi="Arabic Typesetting" w:cs="Arabic Typesetting"/>
          <w:b/>
          <w:bCs/>
          <w:color w:val="0070C0"/>
          <w:sz w:val="34"/>
          <w:szCs w:val="34"/>
          <w:rtl/>
          <w:lang w:bidi="ar-EG"/>
        </w:rPr>
        <w:t>"</w:t>
      </w:r>
      <w:r w:rsidRPr="00975288">
        <w:rPr>
          <w:rFonts w:ascii="Arabic Typesetting" w:hAnsi="Arabic Typesetting" w:cs="Arabic Typesetting" w:hint="cs"/>
          <w:sz w:val="34"/>
          <w:szCs w:val="34"/>
          <w:rtl/>
          <w:lang w:bidi="ar-EG"/>
        </w:rPr>
        <w:t xml:space="preserve"> تستخدم عندما</w:t>
      </w:r>
      <w:r>
        <w:rPr>
          <w:rFonts w:ascii="Arabic Typesetting" w:hAnsi="Arabic Typesetting" w:cs="Arabic Typesetting" w:hint="cs"/>
          <w:sz w:val="34"/>
          <w:szCs w:val="34"/>
          <w:rtl/>
          <w:lang w:bidi="ar-EG"/>
        </w:rPr>
        <w:t xml:space="preserve"> تكون بيانات الأداء غير متاحة ي 2016 ولكن يتوقع توفرها في نهاية الثنائية؛</w:t>
      </w:r>
    </w:p>
    <w:p w14:paraId="403BC6B0" w14:textId="25C92883" w:rsidR="00975288" w:rsidRDefault="00975288" w:rsidP="00D94CDB">
      <w:pPr>
        <w:numPr>
          <w:ilvl w:val="0"/>
          <w:numId w:val="67"/>
        </w:numPr>
        <w:bidi/>
        <w:spacing w:after="240" w:line="340" w:lineRule="exact"/>
        <w:ind w:left="924" w:hanging="357"/>
        <w:rPr>
          <w:rFonts w:ascii="Arabic Typesetting" w:hAnsi="Arabic Typesetting" w:cs="Arabic Typesetting"/>
          <w:sz w:val="34"/>
          <w:szCs w:val="34"/>
          <w:lang w:bidi="ar-EG"/>
        </w:rPr>
      </w:pPr>
      <w:r w:rsidRPr="00975288">
        <w:rPr>
          <w:rFonts w:ascii="Arabic Typesetting" w:hAnsi="Arabic Typesetting" w:cs="Arabic Typesetting"/>
          <w:b/>
          <w:bCs/>
          <w:color w:val="808080"/>
          <w:sz w:val="34"/>
          <w:szCs w:val="34"/>
          <w:rtl/>
        </w:rPr>
        <w:t>"</w:t>
      </w:r>
      <w:r w:rsidRPr="00975288">
        <w:rPr>
          <w:rFonts w:ascii="Arabic Typesetting" w:hAnsi="Arabic Typesetting" w:cs="Arabic Typesetting" w:hint="cs"/>
          <w:b/>
          <w:bCs/>
          <w:color w:val="808080"/>
          <w:sz w:val="34"/>
          <w:szCs w:val="34"/>
          <w:rtl/>
        </w:rPr>
        <w:t>غير قابل للقياس</w:t>
      </w:r>
      <w:r w:rsidRPr="00975288">
        <w:rPr>
          <w:rFonts w:ascii="Arabic Typesetting" w:hAnsi="Arabic Typesetting" w:cs="Arabic Typesetting"/>
          <w:b/>
          <w:bCs/>
          <w:color w:val="808080"/>
          <w:sz w:val="34"/>
          <w:szCs w:val="34"/>
          <w:rtl/>
        </w:rPr>
        <w:t>"</w:t>
      </w:r>
      <w:r w:rsidRPr="00975288">
        <w:rPr>
          <w:b/>
          <w:bCs/>
          <w:color w:val="808080"/>
          <w:vertAlign w:val="superscript"/>
          <w:rtl/>
        </w:rPr>
        <w:footnoteReference w:id="1"/>
      </w:r>
      <w:r w:rsidRPr="00975288">
        <w:rPr>
          <w:rFonts w:ascii="Arabic Typesetting" w:hAnsi="Arabic Typesetting" w:cs="Arabic Typesetting"/>
          <w:sz w:val="34"/>
          <w:szCs w:val="34"/>
          <w:rtl/>
        </w:rPr>
        <w:t xml:space="preserve"> تستخدم عندما يتعذر تقييم الأداء بسبب عدم تحديد </w:t>
      </w:r>
      <w:r w:rsidRPr="00975288">
        <w:rPr>
          <w:rFonts w:ascii="Arabic Typesetting" w:hAnsi="Arabic Typesetting" w:cs="Arabic Typesetting" w:hint="cs"/>
          <w:sz w:val="34"/>
          <w:szCs w:val="34"/>
          <w:rtl/>
        </w:rPr>
        <w:t xml:space="preserve">الهدف </w:t>
      </w:r>
      <w:r w:rsidRPr="00975288">
        <w:rPr>
          <w:rFonts w:ascii="Arabic Typesetting" w:hAnsi="Arabic Typesetting" w:cs="Arabic Typesetting"/>
          <w:sz w:val="34"/>
          <w:szCs w:val="34"/>
          <w:rtl/>
        </w:rPr>
        <w:t xml:space="preserve">كما ينبغي </w:t>
      </w:r>
      <w:r>
        <w:rPr>
          <w:rFonts w:ascii="Arabic Typesetting" w:hAnsi="Arabic Typesetting" w:cs="Arabic Typesetting" w:hint="cs"/>
          <w:sz w:val="34"/>
          <w:szCs w:val="34"/>
          <w:rtl/>
        </w:rPr>
        <w:t xml:space="preserve">أو عندما يكون أساس المقارنة غير متاح </w:t>
      </w:r>
      <w:r w:rsidRPr="00975288">
        <w:rPr>
          <w:rFonts w:ascii="Arabic Typesetting" w:hAnsi="Arabic Typesetting" w:cs="Arabic Typesetting"/>
          <w:sz w:val="34"/>
          <w:szCs w:val="34"/>
          <w:rtl/>
        </w:rPr>
        <w:t>أو عندما تكون بيانات الأداء غير كافية لتحديد نظام إشارات السير.</w:t>
      </w:r>
    </w:p>
    <w:p w14:paraId="07FD3282" w14:textId="49D8D058" w:rsidR="00975288" w:rsidRPr="00975288" w:rsidRDefault="00975288" w:rsidP="00D94CDB">
      <w:pPr>
        <w:numPr>
          <w:ilvl w:val="0"/>
          <w:numId w:val="67"/>
        </w:numPr>
        <w:bidi/>
        <w:spacing w:after="240" w:line="340" w:lineRule="exact"/>
        <w:ind w:left="924" w:hanging="357"/>
        <w:rPr>
          <w:rFonts w:ascii="Arabic Typesetting" w:hAnsi="Arabic Typesetting" w:cs="Arabic Typesetting"/>
          <w:sz w:val="34"/>
          <w:szCs w:val="34"/>
          <w:rtl/>
          <w:lang w:bidi="ar-EG"/>
        </w:rPr>
      </w:pPr>
      <w:r w:rsidRPr="00975288">
        <w:rPr>
          <w:rFonts w:ascii="Arabic Typesetting" w:hAnsi="Arabic Typesetting" w:cs="Arabic Typesetting"/>
          <w:b/>
          <w:bCs/>
          <w:sz w:val="34"/>
          <w:szCs w:val="34"/>
          <w:rtl/>
          <w:lang w:bidi="ar-EG"/>
        </w:rPr>
        <w:t>"</w:t>
      </w:r>
      <w:r w:rsidRPr="00975288">
        <w:rPr>
          <w:rFonts w:ascii="Arabic Typesetting" w:hAnsi="Arabic Typesetting" w:cs="Arabic Typesetting" w:hint="cs"/>
          <w:b/>
          <w:bCs/>
          <w:sz w:val="34"/>
          <w:szCs w:val="34"/>
          <w:rtl/>
          <w:lang w:bidi="ar-EG"/>
        </w:rPr>
        <w:t>منقطع</w:t>
      </w:r>
      <w:r w:rsidRPr="00975288">
        <w:rPr>
          <w:rFonts w:ascii="Arabic Typesetting" w:hAnsi="Arabic Typesetting" w:cs="Arabic Typesetting"/>
          <w:b/>
          <w:bCs/>
          <w:sz w:val="34"/>
          <w:szCs w:val="34"/>
          <w:rtl/>
          <w:lang w:bidi="ar-EG"/>
        </w:rPr>
        <w:t>"</w:t>
      </w:r>
      <w:r w:rsidRPr="00975288">
        <w:rPr>
          <w:rFonts w:ascii="Arabic Typesetting" w:hAnsi="Arabic Typesetting" w:cs="Arabic Typesetting" w:hint="cs"/>
          <w:sz w:val="34"/>
          <w:szCs w:val="34"/>
          <w:rtl/>
          <w:lang w:bidi="ar-EG"/>
        </w:rPr>
        <w:t xml:space="preserve"> تستخدم عندما يتوقف استخدام مؤشر الأداء لقياس </w:t>
      </w:r>
      <w:r>
        <w:rPr>
          <w:rFonts w:ascii="Arabic Typesetting" w:hAnsi="Arabic Typesetting" w:cs="Arabic Typesetting" w:hint="cs"/>
          <w:sz w:val="34"/>
          <w:szCs w:val="34"/>
          <w:rtl/>
          <w:lang w:bidi="ar-EG"/>
        </w:rPr>
        <w:t>أداء البرنامج</w:t>
      </w:r>
      <w:r w:rsidRPr="00975288">
        <w:rPr>
          <w:rFonts w:ascii="Arabic Typesetting" w:hAnsi="Arabic Typesetting" w:cs="Arabic Typesetting" w:hint="cs"/>
          <w:sz w:val="34"/>
          <w:szCs w:val="34"/>
          <w:rtl/>
          <w:lang w:bidi="ar-EG"/>
        </w:rPr>
        <w:t>.</w:t>
      </w:r>
    </w:p>
    <w:p w14:paraId="178758C8" w14:textId="4D964267" w:rsidR="00975288" w:rsidRPr="00975288" w:rsidRDefault="00975288" w:rsidP="0031289D">
      <w:pPr>
        <w:numPr>
          <w:ilvl w:val="0"/>
          <w:numId w:val="2"/>
        </w:numPr>
        <w:tabs>
          <w:tab w:val="clear" w:pos="567"/>
        </w:tabs>
        <w:bidi/>
        <w:spacing w:after="240" w:line="320" w:lineRule="exact"/>
        <w:rPr>
          <w:rFonts w:ascii="Arabic Typesetting" w:hAnsi="Arabic Typesetting" w:cs="Arabic Typesetting"/>
          <w:sz w:val="34"/>
          <w:szCs w:val="34"/>
        </w:rPr>
      </w:pPr>
      <w:r w:rsidRPr="00975288">
        <w:rPr>
          <w:rFonts w:ascii="Arabic Typesetting" w:hAnsi="Arabic Typesetting" w:cs="Arabic Typesetting"/>
          <w:sz w:val="34"/>
          <w:szCs w:val="34"/>
          <w:rtl/>
        </w:rPr>
        <w:t xml:space="preserve">ومن مجموع </w:t>
      </w:r>
      <w:r>
        <w:rPr>
          <w:rFonts w:ascii="Arabic Typesetting" w:hAnsi="Arabic Typesetting" w:cs="Arabic Typesetting" w:hint="cs"/>
          <w:sz w:val="34"/>
          <w:szCs w:val="34"/>
          <w:rtl/>
        </w:rPr>
        <w:t>455</w:t>
      </w:r>
      <w:r w:rsidRPr="00975288">
        <w:rPr>
          <w:rFonts w:ascii="Arabic Typesetting" w:hAnsi="Arabic Typesetting" w:cs="Arabic Typesetting"/>
          <w:sz w:val="34"/>
          <w:szCs w:val="34"/>
          <w:rtl/>
        </w:rPr>
        <w:t xml:space="preserve"> مؤشر أداء </w:t>
      </w:r>
      <w:r w:rsidR="00037B81">
        <w:rPr>
          <w:rFonts w:ascii="Arabic Typesetting" w:hAnsi="Arabic Typesetting" w:cs="Arabic Typesetting" w:hint="cs"/>
          <w:sz w:val="34"/>
          <w:szCs w:val="34"/>
          <w:rtl/>
        </w:rPr>
        <w:t>ورد</w:t>
      </w:r>
      <w:r w:rsidRPr="00975288">
        <w:rPr>
          <w:rFonts w:ascii="Arabic Typesetting" w:hAnsi="Arabic Typesetting" w:cs="Arabic Typesetting"/>
          <w:sz w:val="34"/>
          <w:szCs w:val="34"/>
          <w:rtl/>
        </w:rPr>
        <w:t xml:space="preserve"> في وثيقة البرنامج والميزانية</w:t>
      </w:r>
      <w:r>
        <w:rPr>
          <w:rFonts w:ascii="Arabic Typesetting" w:hAnsi="Arabic Typesetting" w:cs="Arabic Typesetting" w:hint="cs"/>
          <w:sz w:val="34"/>
          <w:szCs w:val="34"/>
          <w:rtl/>
        </w:rPr>
        <w:t xml:space="preserve"> للثنائية</w:t>
      </w:r>
      <w:r w:rsidRPr="00975288">
        <w:rPr>
          <w:rFonts w:ascii="Arabic Typesetting" w:hAnsi="Arabic Typesetting" w:cs="Arabic Typesetting"/>
          <w:sz w:val="34"/>
          <w:szCs w:val="34"/>
          <w:rtl/>
        </w:rPr>
        <w:t xml:space="preserve"> </w:t>
      </w:r>
      <w:r>
        <w:rPr>
          <w:rFonts w:ascii="Arabic Typesetting" w:hAnsi="Arabic Typesetting" w:cs="Arabic Typesetting" w:hint="cs"/>
          <w:sz w:val="34"/>
          <w:szCs w:val="34"/>
          <w:rtl/>
        </w:rPr>
        <w:t>2016/17</w:t>
      </w:r>
      <w:r w:rsidRPr="00975288">
        <w:rPr>
          <w:rFonts w:ascii="Arabic Typesetting" w:hAnsi="Arabic Typesetting" w:cs="Arabic Typesetting"/>
          <w:sz w:val="34"/>
          <w:szCs w:val="34"/>
          <w:rtl/>
        </w:rPr>
        <w:t xml:space="preserve">، قُيّم أداء </w:t>
      </w:r>
      <w:r>
        <w:rPr>
          <w:rFonts w:ascii="Arabic Typesetting" w:hAnsi="Arabic Typesetting" w:cs="Arabic Typesetting" w:hint="cs"/>
          <w:sz w:val="34"/>
          <w:szCs w:val="34"/>
          <w:rtl/>
        </w:rPr>
        <w:t>329</w:t>
      </w:r>
      <w:r w:rsidRPr="00975288">
        <w:rPr>
          <w:rFonts w:ascii="Arabic Typesetting" w:hAnsi="Arabic Typesetting" w:cs="Arabic Typesetting"/>
          <w:sz w:val="34"/>
          <w:szCs w:val="34"/>
          <w:rtl/>
        </w:rPr>
        <w:t xml:space="preserve"> مؤشر</w:t>
      </w:r>
      <w:r w:rsidR="00037B81">
        <w:rPr>
          <w:rFonts w:ascii="Arabic Typesetting" w:hAnsi="Arabic Typesetting" w:cs="Arabic Typesetting" w:hint="cs"/>
          <w:sz w:val="34"/>
          <w:szCs w:val="34"/>
          <w:rtl/>
        </w:rPr>
        <w:t xml:space="preserve">اً، </w:t>
      </w:r>
      <w:r w:rsidR="00037B81" w:rsidRPr="00975288">
        <w:rPr>
          <w:rFonts w:ascii="Arabic Typesetting" w:hAnsi="Arabic Typesetting" w:cs="Arabic Typesetting"/>
          <w:sz w:val="34"/>
          <w:szCs w:val="34"/>
          <w:rtl/>
        </w:rPr>
        <w:t xml:space="preserve">أي ما نسبته </w:t>
      </w:r>
      <w:r w:rsidR="00037B81">
        <w:rPr>
          <w:rFonts w:ascii="Arabic Typesetting" w:hAnsi="Arabic Typesetting" w:cs="Arabic Typesetting" w:hint="cs"/>
          <w:sz w:val="34"/>
          <w:szCs w:val="34"/>
          <w:rtl/>
        </w:rPr>
        <w:t>72</w:t>
      </w:r>
      <w:r w:rsidR="00037B81">
        <w:rPr>
          <w:rFonts w:ascii="Arabic Typesetting" w:hAnsi="Arabic Typesetting" w:cs="Arabic Typesetting"/>
          <w:sz w:val="34"/>
          <w:szCs w:val="34"/>
          <w:rtl/>
        </w:rPr>
        <w:t xml:space="preserve"> بالمائة</w:t>
      </w:r>
      <w:r w:rsidR="00037B81">
        <w:rPr>
          <w:rFonts w:ascii="Arabic Typesetting" w:hAnsi="Arabic Typesetting" w:cs="Arabic Typesetting" w:hint="cs"/>
          <w:sz w:val="34"/>
          <w:szCs w:val="34"/>
          <w:rtl/>
        </w:rPr>
        <w:t>،</w:t>
      </w:r>
      <w:r w:rsidR="00037B81" w:rsidRPr="00975288">
        <w:rPr>
          <w:rFonts w:ascii="Arabic Typesetting" w:hAnsi="Arabic Typesetting" w:cs="Arabic Typesetting"/>
          <w:sz w:val="34"/>
          <w:szCs w:val="34"/>
          <w:rtl/>
        </w:rPr>
        <w:t xml:space="preserve"> </w:t>
      </w:r>
      <w:r w:rsidRPr="00975288">
        <w:rPr>
          <w:rFonts w:ascii="Arabic Typesetting" w:hAnsi="Arabic Typesetting" w:cs="Arabic Typesetting"/>
          <w:sz w:val="34"/>
          <w:szCs w:val="34"/>
          <w:rtl/>
        </w:rPr>
        <w:t xml:space="preserve">على أنه </w:t>
      </w:r>
      <w:r w:rsidRPr="00975288">
        <w:rPr>
          <w:rFonts w:ascii="Arabic Typesetting" w:hAnsi="Arabic Typesetting" w:cs="Arabic Typesetting"/>
          <w:b/>
          <w:bCs/>
          <w:color w:val="008000"/>
          <w:sz w:val="34"/>
          <w:szCs w:val="34"/>
          <w:rtl/>
          <w:lang w:bidi="ar-EG"/>
        </w:rPr>
        <w:t>"ثابت"</w:t>
      </w:r>
      <w:r w:rsidR="00037B81">
        <w:rPr>
          <w:rFonts w:ascii="Arabic Typesetting" w:hAnsi="Arabic Typesetting" w:cs="Arabic Typesetting"/>
          <w:sz w:val="34"/>
          <w:szCs w:val="34"/>
          <w:rtl/>
        </w:rPr>
        <w:t xml:space="preserve">. </w:t>
      </w:r>
      <w:r w:rsidRPr="00975288">
        <w:rPr>
          <w:rFonts w:ascii="Arabic Typesetting" w:hAnsi="Arabic Typesetting" w:cs="Arabic Typesetting"/>
          <w:sz w:val="34"/>
          <w:szCs w:val="34"/>
          <w:rtl/>
        </w:rPr>
        <w:t xml:space="preserve">وقُيّم أداء ما مجموعه </w:t>
      </w:r>
      <w:r w:rsidR="00037B81">
        <w:rPr>
          <w:rFonts w:ascii="Arabic Typesetting" w:hAnsi="Arabic Typesetting" w:cs="Arabic Typesetting" w:hint="cs"/>
          <w:sz w:val="34"/>
          <w:szCs w:val="34"/>
          <w:rtl/>
        </w:rPr>
        <w:t>82</w:t>
      </w:r>
      <w:r w:rsidR="00037B81">
        <w:rPr>
          <w:rFonts w:ascii="Arabic Typesetting" w:hAnsi="Arabic Typesetting" w:cs="Arabic Typesetting"/>
          <w:sz w:val="34"/>
          <w:szCs w:val="34"/>
          <w:rtl/>
        </w:rPr>
        <w:t xml:space="preserve"> مؤش</w:t>
      </w:r>
      <w:r w:rsidR="00037B81">
        <w:rPr>
          <w:rFonts w:ascii="Arabic Typesetting" w:hAnsi="Arabic Typesetting" w:cs="Arabic Typesetting" w:hint="cs"/>
          <w:sz w:val="34"/>
          <w:szCs w:val="34"/>
          <w:rtl/>
        </w:rPr>
        <w:t>راً</w:t>
      </w:r>
      <w:r w:rsidRPr="00975288">
        <w:rPr>
          <w:rFonts w:ascii="Arabic Typesetting" w:hAnsi="Arabic Typesetting" w:cs="Arabic Typesetting"/>
          <w:sz w:val="34"/>
          <w:szCs w:val="34"/>
          <w:rtl/>
        </w:rPr>
        <w:t xml:space="preserve">، أي ما نسبته </w:t>
      </w:r>
      <w:r w:rsidR="00037B81">
        <w:rPr>
          <w:rFonts w:ascii="Arabic Typesetting" w:hAnsi="Arabic Typesetting" w:cs="Arabic Typesetting" w:hint="cs"/>
          <w:sz w:val="34"/>
          <w:szCs w:val="34"/>
          <w:rtl/>
        </w:rPr>
        <w:t>18</w:t>
      </w:r>
      <w:r w:rsidRPr="00975288">
        <w:rPr>
          <w:rFonts w:ascii="Arabic Typesetting" w:hAnsi="Arabic Typesetting" w:cs="Arabic Typesetting"/>
          <w:sz w:val="34"/>
          <w:szCs w:val="34"/>
          <w:rtl/>
        </w:rPr>
        <w:t xml:space="preserve"> بالمائة</w:t>
      </w:r>
      <w:r w:rsidR="00037B81">
        <w:rPr>
          <w:rFonts w:ascii="Arabic Typesetting" w:hAnsi="Arabic Typesetting" w:cs="Arabic Typesetting" w:hint="cs"/>
          <w:sz w:val="34"/>
          <w:szCs w:val="34"/>
          <w:rtl/>
        </w:rPr>
        <w:t xml:space="preserve"> تقريباً</w:t>
      </w:r>
      <w:r w:rsidRPr="00975288">
        <w:rPr>
          <w:rFonts w:ascii="Arabic Typesetting" w:hAnsi="Arabic Typesetting" w:cs="Arabic Typesetting"/>
          <w:sz w:val="34"/>
          <w:szCs w:val="34"/>
          <w:rtl/>
        </w:rPr>
        <w:t xml:space="preserve">، على أنه </w:t>
      </w:r>
      <w:r w:rsidRPr="00975288">
        <w:rPr>
          <w:rFonts w:ascii="Arabic Typesetting" w:hAnsi="Arabic Typesetting" w:cs="Arabic Typesetting"/>
          <w:b/>
          <w:bCs/>
          <w:color w:val="FF0000"/>
          <w:sz w:val="34"/>
          <w:szCs w:val="34"/>
          <w:rtl/>
          <w:lang w:bidi="ar-EG"/>
        </w:rPr>
        <w:t>"غير ثابت"</w:t>
      </w:r>
      <w:r w:rsidRPr="00975288">
        <w:rPr>
          <w:rFonts w:ascii="Arabic Typesetting" w:hAnsi="Arabic Typesetting" w:cs="Arabic Typesetting"/>
          <w:sz w:val="34"/>
          <w:szCs w:val="34"/>
          <w:rtl/>
        </w:rPr>
        <w:t xml:space="preserve">، وقُيّم أداء </w:t>
      </w:r>
      <w:r w:rsidR="00037B81">
        <w:rPr>
          <w:rFonts w:ascii="Arabic Typesetting" w:hAnsi="Arabic Typesetting" w:cs="Arabic Typesetting" w:hint="cs"/>
          <w:sz w:val="34"/>
          <w:szCs w:val="34"/>
          <w:rtl/>
        </w:rPr>
        <w:t>20</w:t>
      </w:r>
      <w:r w:rsidRPr="00975288">
        <w:rPr>
          <w:rFonts w:ascii="Arabic Typesetting" w:hAnsi="Arabic Typesetting" w:cs="Arabic Typesetting"/>
          <w:sz w:val="34"/>
          <w:szCs w:val="34"/>
          <w:rtl/>
        </w:rPr>
        <w:t xml:space="preserve"> مؤشر</w:t>
      </w:r>
      <w:r w:rsidR="00037B81">
        <w:rPr>
          <w:rFonts w:ascii="Arabic Typesetting" w:hAnsi="Arabic Typesetting" w:cs="Arabic Typesetting" w:hint="cs"/>
          <w:sz w:val="34"/>
          <w:szCs w:val="34"/>
          <w:rtl/>
        </w:rPr>
        <w:t>اً</w:t>
      </w:r>
      <w:r w:rsidRPr="00975288">
        <w:rPr>
          <w:rFonts w:ascii="Arabic Typesetting" w:hAnsi="Arabic Typesetting" w:cs="Arabic Typesetting"/>
          <w:sz w:val="34"/>
          <w:szCs w:val="34"/>
          <w:rtl/>
        </w:rPr>
        <w:t xml:space="preserve">، أي ما نسبته </w:t>
      </w:r>
      <w:r w:rsidR="00037B81">
        <w:rPr>
          <w:rFonts w:ascii="Arabic Typesetting" w:hAnsi="Arabic Typesetting" w:cs="Arabic Typesetting" w:hint="cs"/>
          <w:sz w:val="34"/>
          <w:szCs w:val="34"/>
          <w:rtl/>
        </w:rPr>
        <w:t>4.4</w:t>
      </w:r>
      <w:r w:rsidRPr="00975288">
        <w:rPr>
          <w:rFonts w:ascii="Arabic Typesetting" w:hAnsi="Arabic Typesetting" w:cs="Arabic Typesetting"/>
          <w:sz w:val="34"/>
          <w:szCs w:val="34"/>
          <w:rtl/>
        </w:rPr>
        <w:t xml:space="preserve"> بالم</w:t>
      </w:r>
      <w:r w:rsidR="00037B81">
        <w:rPr>
          <w:rFonts w:ascii="Arabic Typesetting" w:hAnsi="Arabic Typesetting" w:cs="Arabic Typesetting"/>
          <w:sz w:val="34"/>
          <w:szCs w:val="34"/>
          <w:rtl/>
        </w:rPr>
        <w:t>ئة</w:t>
      </w:r>
      <w:r w:rsidRPr="00975288">
        <w:rPr>
          <w:rFonts w:ascii="Arabic Typesetting" w:hAnsi="Arabic Typesetting" w:cs="Arabic Typesetting"/>
          <w:sz w:val="34"/>
          <w:szCs w:val="34"/>
          <w:rtl/>
        </w:rPr>
        <w:t xml:space="preserve">، على أنه </w:t>
      </w:r>
      <w:r w:rsidRPr="00975288">
        <w:rPr>
          <w:rFonts w:ascii="Arabic Typesetting" w:hAnsi="Arabic Typesetting" w:cs="Arabic Typesetting"/>
          <w:b/>
          <w:bCs/>
          <w:color w:val="0070C0"/>
          <w:sz w:val="34"/>
          <w:szCs w:val="34"/>
          <w:rtl/>
        </w:rPr>
        <w:t>"</w:t>
      </w:r>
      <w:r w:rsidR="00037B81" w:rsidRPr="00037B81">
        <w:rPr>
          <w:rFonts w:ascii="Arabic Typesetting" w:hAnsi="Arabic Typesetting" w:cs="Arabic Typesetting" w:hint="cs"/>
          <w:b/>
          <w:bCs/>
          <w:color w:val="0070C0"/>
          <w:sz w:val="34"/>
          <w:szCs w:val="34"/>
          <w:rtl/>
        </w:rPr>
        <w:t>غير متاح</w:t>
      </w:r>
      <w:r w:rsidRPr="00975288">
        <w:rPr>
          <w:rFonts w:ascii="Arabic Typesetting" w:hAnsi="Arabic Typesetting" w:cs="Arabic Typesetting"/>
          <w:b/>
          <w:bCs/>
          <w:color w:val="0070C0"/>
          <w:sz w:val="34"/>
          <w:szCs w:val="34"/>
          <w:rtl/>
        </w:rPr>
        <w:t xml:space="preserve"> في </w:t>
      </w:r>
      <w:r w:rsidR="00037B81">
        <w:rPr>
          <w:rFonts w:ascii="Arabic Typesetting" w:hAnsi="Arabic Typesetting" w:cs="Arabic Typesetting" w:hint="cs"/>
          <w:b/>
          <w:bCs/>
          <w:color w:val="0070C0"/>
          <w:sz w:val="34"/>
          <w:szCs w:val="34"/>
          <w:rtl/>
        </w:rPr>
        <w:t>2016</w:t>
      </w:r>
      <w:r w:rsidR="00037B81" w:rsidRPr="00037B81">
        <w:rPr>
          <w:rFonts w:ascii="Arabic Typesetting" w:hAnsi="Arabic Typesetting" w:cs="Arabic Typesetting"/>
          <w:b/>
          <w:bCs/>
          <w:color w:val="0070C0"/>
          <w:sz w:val="34"/>
          <w:szCs w:val="34"/>
          <w:rtl/>
        </w:rPr>
        <w:t>"</w:t>
      </w:r>
      <w:r w:rsidR="00037B81">
        <w:rPr>
          <w:rFonts w:ascii="Arabic Typesetting" w:hAnsi="Arabic Typesetting" w:cs="Arabic Typesetting"/>
          <w:sz w:val="34"/>
          <w:szCs w:val="34"/>
          <w:rtl/>
        </w:rPr>
        <w:t>.</w:t>
      </w:r>
      <w:r w:rsidRPr="00975288">
        <w:rPr>
          <w:rFonts w:ascii="Arabic Typesetting" w:hAnsi="Arabic Typesetting" w:cs="Arabic Typesetting"/>
          <w:sz w:val="34"/>
          <w:szCs w:val="34"/>
          <w:rtl/>
        </w:rPr>
        <w:t xml:space="preserve"> وأتى نحو من </w:t>
      </w:r>
      <w:r w:rsidR="00037B81">
        <w:rPr>
          <w:rFonts w:ascii="Arabic Typesetting" w:hAnsi="Arabic Typesetting" w:cs="Arabic Typesetting" w:hint="cs"/>
          <w:sz w:val="34"/>
          <w:szCs w:val="34"/>
          <w:rtl/>
        </w:rPr>
        <w:t>18</w:t>
      </w:r>
      <w:r w:rsidRPr="00975288">
        <w:rPr>
          <w:rFonts w:ascii="Arabic Typesetting" w:hAnsi="Arabic Typesetting" w:cs="Arabic Typesetting"/>
          <w:sz w:val="34"/>
          <w:szCs w:val="34"/>
          <w:rtl/>
        </w:rPr>
        <w:t xml:space="preserve"> مؤشراً، أي ما نسبته </w:t>
      </w:r>
      <w:r w:rsidR="00037B81">
        <w:rPr>
          <w:rFonts w:ascii="Arabic Typesetting" w:hAnsi="Arabic Typesetting" w:cs="Arabic Typesetting" w:hint="cs"/>
          <w:sz w:val="34"/>
          <w:szCs w:val="34"/>
          <w:rtl/>
        </w:rPr>
        <w:t>4</w:t>
      </w:r>
      <w:r w:rsidRPr="00975288">
        <w:rPr>
          <w:rFonts w:ascii="Arabic Typesetting" w:hAnsi="Arabic Typesetting" w:cs="Arabic Typesetting"/>
          <w:sz w:val="34"/>
          <w:szCs w:val="34"/>
          <w:rtl/>
        </w:rPr>
        <w:t xml:space="preserve"> بالمئة، على أنه </w:t>
      </w:r>
      <w:r w:rsidRPr="00975288">
        <w:rPr>
          <w:rFonts w:ascii="Arabic Typesetting" w:hAnsi="Arabic Typesetting" w:cs="Arabic Typesetting"/>
          <w:b/>
          <w:bCs/>
          <w:color w:val="808080"/>
          <w:sz w:val="34"/>
          <w:szCs w:val="34"/>
          <w:rtl/>
        </w:rPr>
        <w:t>"</w:t>
      </w:r>
      <w:r w:rsidR="00037B81" w:rsidRPr="00037B81">
        <w:rPr>
          <w:rFonts w:ascii="Arabic Typesetting" w:hAnsi="Arabic Typesetting" w:cs="Arabic Typesetting" w:hint="cs"/>
          <w:b/>
          <w:bCs/>
          <w:color w:val="808080"/>
          <w:sz w:val="34"/>
          <w:szCs w:val="34"/>
          <w:rtl/>
        </w:rPr>
        <w:t>غير</w:t>
      </w:r>
      <w:r w:rsidR="00037B81">
        <w:rPr>
          <w:rFonts w:ascii="Arabic Typesetting" w:hAnsi="Arabic Typesetting" w:cs="Arabic Typesetting" w:hint="eastAsia"/>
          <w:b/>
          <w:bCs/>
          <w:color w:val="808080"/>
          <w:sz w:val="34"/>
          <w:szCs w:val="34"/>
          <w:rtl/>
        </w:rPr>
        <w:t> </w:t>
      </w:r>
      <w:r w:rsidR="00037B81" w:rsidRPr="00037B81">
        <w:rPr>
          <w:rFonts w:ascii="Arabic Typesetting" w:hAnsi="Arabic Typesetting" w:cs="Arabic Typesetting" w:hint="cs"/>
          <w:b/>
          <w:bCs/>
          <w:color w:val="808080"/>
          <w:sz w:val="34"/>
          <w:szCs w:val="34"/>
          <w:rtl/>
        </w:rPr>
        <w:t>قابل للقياس</w:t>
      </w:r>
      <w:r w:rsidRPr="00975288">
        <w:rPr>
          <w:rFonts w:ascii="Arabic Typesetting" w:hAnsi="Arabic Typesetting" w:cs="Arabic Typesetting"/>
          <w:b/>
          <w:bCs/>
          <w:color w:val="808080"/>
          <w:sz w:val="34"/>
          <w:szCs w:val="34"/>
          <w:rtl/>
        </w:rPr>
        <w:t>"</w:t>
      </w:r>
      <w:r w:rsidR="00037B81">
        <w:rPr>
          <w:rFonts w:ascii="Arabic Typesetting" w:hAnsi="Arabic Typesetting" w:cs="Arabic Typesetting" w:hint="cs"/>
          <w:sz w:val="34"/>
          <w:szCs w:val="34"/>
          <w:rtl/>
        </w:rPr>
        <w:t>؛</w:t>
      </w:r>
      <w:r w:rsidRPr="00975288">
        <w:rPr>
          <w:rFonts w:ascii="Arabic Typesetting" w:hAnsi="Arabic Typesetting" w:cs="Arabic Typesetting"/>
          <w:sz w:val="34"/>
          <w:szCs w:val="34"/>
          <w:rtl/>
        </w:rPr>
        <w:t xml:space="preserve"> </w:t>
      </w:r>
      <w:r w:rsidR="00037B81">
        <w:rPr>
          <w:rFonts w:ascii="Arabic Typesetting" w:hAnsi="Arabic Typesetting" w:cs="Arabic Typesetting" w:hint="cs"/>
          <w:sz w:val="34"/>
          <w:szCs w:val="34"/>
          <w:rtl/>
        </w:rPr>
        <w:t>و6</w:t>
      </w:r>
      <w:r w:rsidRPr="00975288">
        <w:rPr>
          <w:rFonts w:ascii="Arabic Typesetting" w:hAnsi="Arabic Typesetting" w:cs="Arabic Typesetting"/>
          <w:sz w:val="34"/>
          <w:szCs w:val="34"/>
          <w:rtl/>
        </w:rPr>
        <w:t xml:space="preserve"> مؤشرات، أي ما نسبته </w:t>
      </w:r>
      <w:r w:rsidR="00037B81">
        <w:rPr>
          <w:rFonts w:ascii="Arabic Typesetting" w:hAnsi="Arabic Typesetting" w:cs="Arabic Typesetting" w:hint="cs"/>
          <w:sz w:val="34"/>
          <w:szCs w:val="34"/>
          <w:rtl/>
        </w:rPr>
        <w:t>1.3</w:t>
      </w:r>
      <w:r w:rsidRPr="00975288">
        <w:rPr>
          <w:rFonts w:ascii="Arabic Typesetting" w:hAnsi="Arabic Typesetting" w:cs="Arabic Typesetting"/>
          <w:sz w:val="34"/>
          <w:szCs w:val="34"/>
          <w:rtl/>
        </w:rPr>
        <w:t xml:space="preserve"> بالمائة، على أنه </w:t>
      </w:r>
      <w:r w:rsidRPr="00975288">
        <w:rPr>
          <w:rFonts w:ascii="Arabic Typesetting" w:hAnsi="Arabic Typesetting" w:cs="Arabic Typesetting"/>
          <w:b/>
          <w:bCs/>
          <w:sz w:val="34"/>
          <w:szCs w:val="34"/>
          <w:rtl/>
          <w:lang w:bidi="ar-EG"/>
        </w:rPr>
        <w:t>"منقطع"</w:t>
      </w:r>
      <w:r w:rsidRPr="00975288">
        <w:rPr>
          <w:rFonts w:ascii="Arabic Typesetting" w:hAnsi="Arabic Typesetting" w:cs="Arabic Typesetting"/>
          <w:sz w:val="34"/>
          <w:szCs w:val="34"/>
          <w:rtl/>
        </w:rPr>
        <w:t>.</w:t>
      </w:r>
    </w:p>
    <w:p w14:paraId="0B270561" w14:textId="5EF9C91E" w:rsidR="00975288" w:rsidRDefault="00F2534E" w:rsidP="0031289D">
      <w:pPr>
        <w:pStyle w:val="NumberedParaAR"/>
        <w:keepNext/>
        <w:numPr>
          <w:ilvl w:val="0"/>
          <w:numId w:val="0"/>
        </w:numPr>
        <w:jc w:val="center"/>
        <w:rPr>
          <w:b/>
          <w:bCs/>
          <w:rtl/>
          <w:lang w:bidi="ar-EG"/>
        </w:rPr>
      </w:pPr>
      <w:r w:rsidRPr="00F2534E">
        <w:rPr>
          <w:rFonts w:hint="cs"/>
          <w:b/>
          <w:bCs/>
          <w:rtl/>
          <w:lang w:bidi="ar-EG"/>
        </w:rPr>
        <w:lastRenderedPageBreak/>
        <w:t>لمحة عامة عن التقدم المحرز في تحقيق النتائج المرتقبة في عام 2016</w:t>
      </w:r>
    </w:p>
    <w:p w14:paraId="568E1900" w14:textId="6699B141" w:rsidR="00F2534E" w:rsidRDefault="00D86F42" w:rsidP="0031289D">
      <w:pPr>
        <w:pStyle w:val="NumberedParaAR"/>
        <w:numPr>
          <w:ilvl w:val="0"/>
          <w:numId w:val="0"/>
        </w:numPr>
        <w:spacing w:line="240" w:lineRule="auto"/>
        <w:jc w:val="center"/>
        <w:rPr>
          <w:rtl/>
          <w:lang w:bidi="ar-EG"/>
        </w:rPr>
      </w:pPr>
      <w:r>
        <w:rPr>
          <w:noProof/>
        </w:rPr>
        <w:drawing>
          <wp:inline distT="0" distB="0" distL="0" distR="0" wp14:anchorId="410821AE" wp14:editId="64094CDD">
            <wp:extent cx="3571500" cy="216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500" cy="2160000"/>
                    </a:xfrm>
                    <a:prstGeom prst="rect">
                      <a:avLst/>
                    </a:prstGeom>
                    <a:noFill/>
                  </pic:spPr>
                </pic:pic>
              </a:graphicData>
            </a:graphic>
          </wp:inline>
        </w:drawing>
      </w:r>
    </w:p>
    <w:p w14:paraId="6EE6E336" w14:textId="6FB4A4DB" w:rsidR="00F2534E" w:rsidRPr="00975288" w:rsidRDefault="00F2534E" w:rsidP="0031289D">
      <w:pPr>
        <w:pStyle w:val="Heading2"/>
        <w:rPr>
          <w:rtl/>
        </w:rPr>
      </w:pPr>
      <w:bookmarkStart w:id="6" w:name="_Toc482782736"/>
      <w:r>
        <w:rPr>
          <w:rFonts w:hint="cs"/>
          <w:rtl/>
        </w:rPr>
        <w:t>ثانياً.</w:t>
      </w:r>
      <w:r>
        <w:rPr>
          <w:rtl/>
        </w:rPr>
        <w:tab/>
      </w:r>
      <w:r>
        <w:rPr>
          <w:rFonts w:hint="cs"/>
          <w:rtl/>
        </w:rPr>
        <w:t xml:space="preserve">الملخص التنفيذي </w:t>
      </w:r>
      <w:r>
        <w:rPr>
          <w:rtl/>
        </w:rPr>
        <w:t>–</w:t>
      </w:r>
      <w:r>
        <w:rPr>
          <w:rFonts w:hint="cs"/>
          <w:rtl/>
        </w:rPr>
        <w:t xml:space="preserve"> معالم 2016</w:t>
      </w:r>
      <w:bookmarkEnd w:id="6"/>
    </w:p>
    <w:p w14:paraId="002E2AB7" w14:textId="13F131D4" w:rsidR="008075C3" w:rsidRPr="000C34B5" w:rsidRDefault="00F2534E" w:rsidP="00D94CDB">
      <w:pPr>
        <w:pStyle w:val="NumberedParaAR"/>
        <w:numPr>
          <w:ilvl w:val="0"/>
          <w:numId w:val="69"/>
        </w:numPr>
        <w:tabs>
          <w:tab w:val="clear" w:pos="567"/>
        </w:tabs>
        <w:spacing w:after="120" w:line="340" w:lineRule="exact"/>
        <w:rPr>
          <w:sz w:val="34"/>
          <w:szCs w:val="34"/>
        </w:rPr>
      </w:pPr>
      <w:r w:rsidRPr="000C34B5">
        <w:rPr>
          <w:sz w:val="34"/>
          <w:szCs w:val="34"/>
          <w:rtl/>
        </w:rPr>
        <w:t xml:space="preserve">يتضمن تقرير أداء البرنامج </w:t>
      </w:r>
      <w:r w:rsidRPr="000C34B5">
        <w:rPr>
          <w:rFonts w:hint="cs"/>
          <w:sz w:val="34"/>
          <w:szCs w:val="34"/>
          <w:rtl/>
        </w:rPr>
        <w:t>2016</w:t>
      </w:r>
      <w:r w:rsidR="008075C3" w:rsidRPr="000C34B5">
        <w:rPr>
          <w:rFonts w:hint="cs"/>
          <w:sz w:val="34"/>
          <w:szCs w:val="34"/>
          <w:rtl/>
        </w:rPr>
        <w:t xml:space="preserve"> </w:t>
      </w:r>
      <w:r w:rsidRPr="000C34B5">
        <w:rPr>
          <w:sz w:val="34"/>
          <w:szCs w:val="34"/>
          <w:rtl/>
        </w:rPr>
        <w:t xml:space="preserve">لوحات لمتابعة أداء كلٍ من الأهداف </w:t>
      </w:r>
      <w:r w:rsidR="008075C3" w:rsidRPr="000C34B5">
        <w:rPr>
          <w:rFonts w:hint="cs"/>
          <w:sz w:val="34"/>
          <w:szCs w:val="34"/>
          <w:rtl/>
        </w:rPr>
        <w:t>الاستراتيجية التسعة</w:t>
      </w:r>
      <w:r w:rsidRPr="000C34B5">
        <w:rPr>
          <w:sz w:val="34"/>
          <w:szCs w:val="34"/>
          <w:rtl/>
        </w:rPr>
        <w:t xml:space="preserve">، مع تقديم </w:t>
      </w:r>
      <w:r w:rsidR="008075C3" w:rsidRPr="000C34B5">
        <w:rPr>
          <w:rFonts w:hint="cs"/>
          <w:sz w:val="34"/>
          <w:szCs w:val="34"/>
          <w:rtl/>
        </w:rPr>
        <w:t xml:space="preserve">رسم بياني </w:t>
      </w:r>
      <w:r w:rsidRPr="000C34B5">
        <w:rPr>
          <w:sz w:val="34"/>
          <w:szCs w:val="34"/>
          <w:rtl/>
        </w:rPr>
        <w:t xml:space="preserve">للتقدم المحرز نحو تحقيق النتائج المرتقبة في عام </w:t>
      </w:r>
      <w:r w:rsidR="008075C3" w:rsidRPr="000C34B5">
        <w:rPr>
          <w:rFonts w:hint="cs"/>
          <w:sz w:val="34"/>
          <w:szCs w:val="34"/>
          <w:rtl/>
        </w:rPr>
        <w:t>2016</w:t>
      </w:r>
      <w:r w:rsidRPr="000C34B5">
        <w:rPr>
          <w:sz w:val="34"/>
          <w:szCs w:val="34"/>
          <w:rtl/>
        </w:rPr>
        <w:t xml:space="preserve"> قياساً بمؤشرات الأداء في إطار البرامج التي تس</w:t>
      </w:r>
      <w:r w:rsidR="008075C3" w:rsidRPr="000C34B5">
        <w:rPr>
          <w:rFonts w:hint="cs"/>
          <w:sz w:val="34"/>
          <w:szCs w:val="34"/>
          <w:rtl/>
        </w:rPr>
        <w:t>ا</w:t>
      </w:r>
      <w:r w:rsidRPr="000C34B5">
        <w:rPr>
          <w:sz w:val="34"/>
          <w:szCs w:val="34"/>
          <w:rtl/>
        </w:rPr>
        <w:t>هم في</w:t>
      </w:r>
      <w:r w:rsidR="008075C3" w:rsidRPr="000C34B5">
        <w:rPr>
          <w:rFonts w:hint="cs"/>
          <w:sz w:val="34"/>
          <w:szCs w:val="34"/>
          <w:rtl/>
        </w:rPr>
        <w:t xml:space="preserve"> تحقيق</w:t>
      </w:r>
      <w:r w:rsidRPr="000C34B5">
        <w:rPr>
          <w:sz w:val="34"/>
          <w:szCs w:val="34"/>
          <w:rtl/>
        </w:rPr>
        <w:t xml:space="preserve"> </w:t>
      </w:r>
      <w:r w:rsidR="008075C3" w:rsidRPr="000C34B5">
        <w:rPr>
          <w:rFonts w:hint="cs"/>
          <w:sz w:val="34"/>
          <w:szCs w:val="34"/>
          <w:rtl/>
        </w:rPr>
        <w:t xml:space="preserve">ما يعنيها من </w:t>
      </w:r>
      <w:r w:rsidRPr="000C34B5">
        <w:rPr>
          <w:sz w:val="34"/>
          <w:szCs w:val="34"/>
          <w:rtl/>
        </w:rPr>
        <w:t xml:space="preserve">الأهداف الاستراتيجية. وفي معرض تقييم الأداء، روعي وقع المخاطر المحددة في وثيقة البرنامج والميزانية </w:t>
      </w:r>
      <w:r w:rsidR="008075C3" w:rsidRPr="000C34B5">
        <w:rPr>
          <w:rFonts w:hint="cs"/>
          <w:sz w:val="34"/>
          <w:szCs w:val="34"/>
          <w:rtl/>
        </w:rPr>
        <w:t>للثنائية 2016/17</w:t>
      </w:r>
      <w:r w:rsidRPr="000C34B5">
        <w:rPr>
          <w:sz w:val="34"/>
          <w:szCs w:val="34"/>
          <w:rtl/>
        </w:rPr>
        <w:t xml:space="preserve"> على النحو الواجب. </w:t>
      </w:r>
      <w:r w:rsidR="008075C3" w:rsidRPr="000C34B5">
        <w:rPr>
          <w:rFonts w:hint="cs"/>
          <w:sz w:val="34"/>
          <w:szCs w:val="34"/>
          <w:rtl/>
        </w:rPr>
        <w:t>وسيشتمل تقرير أداء البرنامج 2016/17 على معلومات عن المخاطر المواجهة أثناء الثنائية بما ي ذلك تحليل معمق للمخاطر وتأثيرها في تحقيق النتائج المرتقبة.</w:t>
      </w:r>
    </w:p>
    <w:p w14:paraId="51D965BB" w14:textId="31C4295F" w:rsidR="00F2534E" w:rsidRPr="00AA7C13" w:rsidRDefault="00F2534E" w:rsidP="00D94CDB">
      <w:pPr>
        <w:pStyle w:val="NumberedParaAR"/>
        <w:numPr>
          <w:ilvl w:val="0"/>
          <w:numId w:val="69"/>
        </w:numPr>
        <w:tabs>
          <w:tab w:val="clear" w:pos="567"/>
        </w:tabs>
        <w:spacing w:line="340" w:lineRule="exact"/>
        <w:rPr>
          <w:sz w:val="34"/>
          <w:szCs w:val="34"/>
          <w:rtl/>
        </w:rPr>
      </w:pPr>
      <w:r w:rsidRPr="00AA7C13">
        <w:rPr>
          <w:sz w:val="34"/>
          <w:szCs w:val="34"/>
          <w:rtl/>
        </w:rPr>
        <w:t xml:space="preserve">وفيما يلي موجز لأبرز جوانب الإنجازات نحو تحقيق الأهداف الاستراتيجية التسعة في عام </w:t>
      </w:r>
      <w:r w:rsidR="003C4619">
        <w:rPr>
          <w:rFonts w:hint="cs"/>
          <w:sz w:val="34"/>
          <w:szCs w:val="34"/>
          <w:rtl/>
        </w:rPr>
        <w:t>2016</w:t>
      </w:r>
      <w:r w:rsidRPr="00AA7C13">
        <w:rPr>
          <w:sz w:val="34"/>
          <w:szCs w:val="34"/>
          <w:rtl/>
        </w:rPr>
        <w:t>.</w:t>
      </w:r>
    </w:p>
    <w:p w14:paraId="5EE3A1B9" w14:textId="60D05A87" w:rsidR="003C4619" w:rsidRDefault="003C4619" w:rsidP="0031289D">
      <w:pPr>
        <w:pStyle w:val="NumberedParaAR"/>
        <w:numPr>
          <w:ilvl w:val="0"/>
          <w:numId w:val="0"/>
        </w:numPr>
        <w:jc w:val="center"/>
        <w:rPr>
          <w:b/>
          <w:bCs/>
          <w:rtl/>
          <w:lang w:bidi="ar-EG"/>
        </w:rPr>
      </w:pPr>
      <w:r w:rsidRPr="003C4619">
        <w:rPr>
          <w:b/>
          <w:bCs/>
          <w:rtl/>
          <w:lang w:bidi="ar-EG"/>
        </w:rPr>
        <w:t xml:space="preserve">عرض مجمَّع للتقدم المحرز في عام </w:t>
      </w:r>
      <w:r w:rsidRPr="003C4619">
        <w:rPr>
          <w:rFonts w:hint="cs"/>
          <w:b/>
          <w:bCs/>
          <w:rtl/>
          <w:lang w:bidi="ar-EG"/>
        </w:rPr>
        <w:t>2016</w:t>
      </w:r>
      <w:r w:rsidRPr="003C4619">
        <w:rPr>
          <w:b/>
          <w:bCs/>
          <w:rtl/>
          <w:lang w:bidi="ar-EG"/>
        </w:rPr>
        <w:t xml:space="preserve"> نحو تحقيق</w:t>
      </w:r>
      <w:r w:rsidRPr="003C4619">
        <w:rPr>
          <w:rFonts w:hint="cs"/>
          <w:b/>
          <w:bCs/>
          <w:rtl/>
          <w:lang w:bidi="ar-EG"/>
        </w:rPr>
        <w:t xml:space="preserve"> </w:t>
      </w:r>
      <w:r w:rsidRPr="003C4619">
        <w:rPr>
          <w:b/>
          <w:bCs/>
          <w:rtl/>
          <w:lang w:bidi="ar-EG"/>
        </w:rPr>
        <w:t>النتائج المرتقبة حسب الهدف الاستراتيجي</w:t>
      </w:r>
    </w:p>
    <w:p w14:paraId="342DC948" w14:textId="0F81654B" w:rsidR="003C4619" w:rsidRPr="003C4619" w:rsidRDefault="001344B7" w:rsidP="0031289D">
      <w:pPr>
        <w:pStyle w:val="NumberedParaAR"/>
        <w:numPr>
          <w:ilvl w:val="0"/>
          <w:numId w:val="0"/>
        </w:numPr>
        <w:spacing w:line="240" w:lineRule="auto"/>
        <w:jc w:val="center"/>
        <w:rPr>
          <w:rtl/>
          <w:lang w:bidi="ar-EG"/>
        </w:rPr>
      </w:pPr>
      <w:r>
        <w:rPr>
          <w:noProof/>
        </w:rPr>
        <w:drawing>
          <wp:inline distT="0" distB="0" distL="0" distR="0" wp14:anchorId="1CB5750D" wp14:editId="01B0922A">
            <wp:extent cx="5638195" cy="3153647"/>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7350" cy="3158768"/>
                    </a:xfrm>
                    <a:prstGeom prst="rect">
                      <a:avLst/>
                    </a:prstGeom>
                    <a:noFill/>
                  </pic:spPr>
                </pic:pic>
              </a:graphicData>
            </a:graphic>
          </wp:inline>
        </w:drawing>
      </w:r>
    </w:p>
    <w:p w14:paraId="428115B5" w14:textId="15C4730B" w:rsidR="003C4619" w:rsidRPr="003C4619" w:rsidRDefault="003C4619" w:rsidP="0031289D">
      <w:pPr>
        <w:rPr>
          <w:rFonts w:ascii="Arabic Typesetting" w:hAnsi="Arabic Typesetting" w:cs="Arabic Typesetting"/>
          <w:sz w:val="36"/>
          <w:szCs w:val="36"/>
          <w:rtl/>
          <w:lang w:bidi="ar-EG"/>
        </w:rPr>
      </w:pPr>
      <w:r>
        <w:rPr>
          <w:b/>
          <w:bCs/>
          <w:rtl/>
          <w:lang w:bidi="ar-EG"/>
        </w:rPr>
        <w:br w:type="page"/>
      </w:r>
    </w:p>
    <w:p w14:paraId="22CA3F50" w14:textId="3FD03474" w:rsidR="003C4619" w:rsidRPr="003C4619" w:rsidRDefault="003C4619" w:rsidP="0031289D">
      <w:pPr>
        <w:keepNext/>
        <w:bidi/>
        <w:spacing w:after="240" w:line="360" w:lineRule="exact"/>
        <w:jc w:val="center"/>
        <w:rPr>
          <w:rFonts w:ascii="Arabic Typesetting" w:hAnsi="Arabic Typesetting" w:cs="Arabic Typesetting"/>
          <w:b/>
          <w:bCs/>
          <w:sz w:val="36"/>
          <w:szCs w:val="36"/>
          <w:rtl/>
        </w:rPr>
      </w:pPr>
      <w:r w:rsidRPr="003C4619">
        <w:rPr>
          <w:rFonts w:ascii="Arabic Typesetting" w:hAnsi="Arabic Typesetting" w:cs="Arabic Typesetting"/>
          <w:b/>
          <w:bCs/>
          <w:sz w:val="36"/>
          <w:szCs w:val="36"/>
          <w:rtl/>
        </w:rPr>
        <w:lastRenderedPageBreak/>
        <w:t>الهدف الاستراتيجي الأول</w:t>
      </w:r>
      <w:r>
        <w:rPr>
          <w:rFonts w:ascii="Arabic Typesetting" w:hAnsi="Arabic Typesetting" w:cs="Arabic Typesetting" w:hint="cs"/>
          <w:b/>
          <w:bCs/>
          <w:sz w:val="36"/>
          <w:szCs w:val="36"/>
          <w:rtl/>
        </w:rPr>
        <w:t xml:space="preserve"> </w:t>
      </w:r>
      <w:r>
        <w:rPr>
          <w:rFonts w:ascii="Arabic Typesetting" w:hAnsi="Arabic Typesetting" w:cs="Arabic Typesetting"/>
          <w:b/>
          <w:bCs/>
          <w:sz w:val="36"/>
          <w:szCs w:val="36"/>
          <w:rtl/>
        </w:rPr>
        <w:t>–</w:t>
      </w:r>
      <w:r w:rsidRPr="003C4619">
        <w:rPr>
          <w:rFonts w:ascii="Arabic Typesetting" w:hAnsi="Arabic Typesetting" w:cs="Arabic Typesetting"/>
          <w:b/>
          <w:bCs/>
          <w:sz w:val="36"/>
          <w:szCs w:val="36"/>
          <w:rtl/>
        </w:rPr>
        <w:t xml:space="preserve"> تطور متوازن لوضع القواعد والمعايير الدولية بشأن الملكية الفكرية</w:t>
      </w:r>
    </w:p>
    <w:p w14:paraId="43EBAA78" w14:textId="25A8DA48" w:rsidR="003C4619" w:rsidRPr="00D86F42" w:rsidRDefault="00D86F42" w:rsidP="0031289D">
      <w:pPr>
        <w:bidi/>
        <w:spacing w:after="240"/>
        <w:jc w:val="center"/>
        <w:rPr>
          <w:rFonts w:ascii="Arabic Typesetting" w:hAnsi="Arabic Typesetting" w:cs="Arabic Typesetting"/>
          <w:sz w:val="40"/>
          <w:szCs w:val="40"/>
          <w:rtl/>
        </w:rPr>
      </w:pPr>
      <w:r>
        <w:rPr>
          <w:rFonts w:ascii="Arabic Typesetting" w:hAnsi="Arabic Typesetting" w:cs="Arabic Typesetting"/>
          <w:noProof/>
          <w:sz w:val="40"/>
          <w:szCs w:val="40"/>
        </w:rPr>
        <w:drawing>
          <wp:inline distT="0" distB="0" distL="0" distR="0" wp14:anchorId="1094A99F" wp14:editId="6EB5193D">
            <wp:extent cx="3568240" cy="216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240" cy="2160000"/>
                    </a:xfrm>
                    <a:prstGeom prst="rect">
                      <a:avLst/>
                    </a:prstGeom>
                    <a:noFill/>
                  </pic:spPr>
                </pic:pic>
              </a:graphicData>
            </a:graphic>
          </wp:inline>
        </w:drawing>
      </w:r>
    </w:p>
    <w:p w14:paraId="745E17BD" w14:textId="77777777" w:rsidR="003C4619" w:rsidRPr="003C4619" w:rsidRDefault="003C4619" w:rsidP="0031289D">
      <w:pPr>
        <w:pStyle w:val="NumberedParaAR"/>
        <w:tabs>
          <w:tab w:val="clear" w:pos="567"/>
        </w:tabs>
        <w:spacing w:after="120" w:line="320" w:lineRule="exact"/>
        <w:rPr>
          <w:sz w:val="34"/>
          <w:szCs w:val="34"/>
        </w:rPr>
      </w:pPr>
      <w:r w:rsidRPr="003C4619">
        <w:rPr>
          <w:sz w:val="34"/>
          <w:szCs w:val="34"/>
          <w:rtl/>
        </w:rPr>
        <w:t>تواصل إحراز تقدم في إطار هذا الهدف الاستراتيجي خلال عام 2016، وإن كان بمعدل أبطأ مما كان متوقعا</w:t>
      </w:r>
      <w:r w:rsidRPr="003C4619">
        <w:rPr>
          <w:rFonts w:hint="cs"/>
          <w:sz w:val="34"/>
          <w:szCs w:val="34"/>
          <w:rtl/>
        </w:rPr>
        <w:t>.</w:t>
      </w:r>
      <w:r w:rsidRPr="003C4619">
        <w:rPr>
          <w:sz w:val="34"/>
          <w:szCs w:val="34"/>
          <w:rtl/>
        </w:rPr>
        <w:t xml:space="preserve"> وبقيت لدى اللجان الدائمة عدة أمور معلقة في نهاية عام 2016</w:t>
      </w:r>
      <w:r w:rsidRPr="003C4619">
        <w:rPr>
          <w:sz w:val="34"/>
          <w:szCs w:val="34"/>
        </w:rPr>
        <w:t>.</w:t>
      </w:r>
    </w:p>
    <w:p w14:paraId="58C1ADC9" w14:textId="3FA2DA75" w:rsidR="003C4619" w:rsidRPr="003C4619" w:rsidRDefault="003C4619" w:rsidP="00BF5D93">
      <w:pPr>
        <w:numPr>
          <w:ilvl w:val="0"/>
          <w:numId w:val="68"/>
        </w:numPr>
        <w:bidi/>
        <w:spacing w:after="240" w:line="340" w:lineRule="exact"/>
        <w:ind w:left="567" w:hanging="567"/>
        <w:rPr>
          <w:rFonts w:ascii="Arabic Typesetting" w:hAnsi="Arabic Typesetting" w:cs="Arabic Typesetting"/>
          <w:sz w:val="34"/>
          <w:szCs w:val="34"/>
        </w:rPr>
      </w:pPr>
      <w:r w:rsidRPr="003C4619">
        <w:rPr>
          <w:rFonts w:ascii="Arabic Typesetting" w:hAnsi="Arabic Typesetting" w:cs="Arabic Typesetting"/>
          <w:sz w:val="34"/>
          <w:szCs w:val="34"/>
          <w:rtl/>
        </w:rPr>
        <w:t>من الإنجازات المميزة</w:t>
      </w:r>
      <w:r w:rsidRPr="003C4619">
        <w:rPr>
          <w:rFonts w:ascii="Arabic Typesetting" w:hAnsi="Arabic Typesetting" w:cs="Arabic Typesetting" w:hint="cs"/>
          <w:sz w:val="34"/>
          <w:szCs w:val="34"/>
          <w:rtl/>
        </w:rPr>
        <w:t xml:space="preserve"> في عام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hint="cs"/>
          <w:sz w:val="34"/>
          <w:szCs w:val="34"/>
          <w:rtl/>
        </w:rPr>
        <w:t xml:space="preserve">دخول معاهدة مراكش حيز النفاذ في </w:t>
      </w:r>
      <w:r w:rsidRPr="003C4619">
        <w:rPr>
          <w:rFonts w:ascii="Arabic Typesetting" w:hAnsi="Arabic Typesetting" w:cs="Arabic Typesetting" w:hint="cs"/>
          <w:sz w:val="34"/>
          <w:szCs w:val="34"/>
          <w:rtl/>
          <w:lang w:bidi="ar"/>
        </w:rPr>
        <w:t xml:space="preserve">30 </w:t>
      </w:r>
      <w:r w:rsidRPr="003C4619">
        <w:rPr>
          <w:rFonts w:ascii="Arabic Typesetting" w:hAnsi="Arabic Typesetting" w:cs="Arabic Typesetting" w:hint="cs"/>
          <w:sz w:val="34"/>
          <w:szCs w:val="34"/>
          <w:rtl/>
        </w:rPr>
        <w:t xml:space="preserve">سبتمبر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xml:space="preserve">، وقد بلغ مجموع أعضائها </w:t>
      </w:r>
      <w:r w:rsidRPr="003C4619">
        <w:rPr>
          <w:rFonts w:ascii="Arabic Typesetting" w:hAnsi="Arabic Typesetting" w:cs="Arabic Typesetting" w:hint="cs"/>
          <w:sz w:val="34"/>
          <w:szCs w:val="34"/>
          <w:rtl/>
          <w:lang w:bidi="ar"/>
        </w:rPr>
        <w:t>25</w:t>
      </w:r>
      <w:r w:rsidR="00BF5D93">
        <w:rPr>
          <w:rFonts w:ascii="Arabic Typesetting" w:hAnsi="Arabic Typesetting" w:cs="Arabic Typesetting" w:hint="eastAsia"/>
          <w:sz w:val="34"/>
          <w:szCs w:val="34"/>
          <w:rtl/>
          <w:lang w:bidi="ar"/>
        </w:rPr>
        <w:t> </w:t>
      </w:r>
      <w:r w:rsidRPr="003C4619">
        <w:rPr>
          <w:rFonts w:ascii="Arabic Typesetting" w:hAnsi="Arabic Typesetting" w:cs="Arabic Typesetting" w:hint="cs"/>
          <w:sz w:val="34"/>
          <w:szCs w:val="34"/>
          <w:rtl/>
        </w:rPr>
        <w:t>عضوا</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وعُقد الاجتماع الأول للمعاهدة أثناء انعقاد جمعيات الويبو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hint="cs"/>
          <w:sz w:val="34"/>
          <w:szCs w:val="34"/>
          <w:rtl/>
        </w:rPr>
        <w:t xml:space="preserve">وبصفة عامة، انضم إلى معاهدات الويبو بشأن حق المؤلف </w:t>
      </w:r>
      <w:r w:rsidRPr="003C4619">
        <w:rPr>
          <w:rFonts w:ascii="Arabic Typesetting" w:hAnsi="Arabic Typesetting" w:cs="Arabic Typesetting" w:hint="cs"/>
          <w:sz w:val="34"/>
          <w:szCs w:val="34"/>
          <w:rtl/>
          <w:lang w:bidi="ar"/>
        </w:rPr>
        <w:t xml:space="preserve">22 </w:t>
      </w:r>
      <w:r w:rsidRPr="003C4619">
        <w:rPr>
          <w:rFonts w:ascii="Arabic Typesetting" w:hAnsi="Arabic Typesetting" w:cs="Arabic Typesetting" w:hint="cs"/>
          <w:sz w:val="34"/>
          <w:szCs w:val="34"/>
          <w:rtl/>
        </w:rPr>
        <w:t xml:space="preserve">عضوا جديدا في عام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xml:space="preserve">، منها </w:t>
      </w:r>
      <w:r w:rsidRPr="003C4619">
        <w:rPr>
          <w:rFonts w:ascii="Arabic Typesetting" w:hAnsi="Arabic Typesetting" w:cs="Arabic Typesetting" w:hint="cs"/>
          <w:sz w:val="34"/>
          <w:szCs w:val="34"/>
          <w:rtl/>
          <w:lang w:bidi="ar"/>
        </w:rPr>
        <w:t xml:space="preserve">12 </w:t>
      </w:r>
      <w:r w:rsidRPr="003C4619">
        <w:rPr>
          <w:rFonts w:ascii="Arabic Typesetting" w:hAnsi="Arabic Typesetting" w:cs="Arabic Typesetting" w:hint="cs"/>
          <w:sz w:val="34"/>
          <w:szCs w:val="34"/>
          <w:rtl/>
        </w:rPr>
        <w:t xml:space="preserve">تصديقا إضافيا على معاهدة مراكش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بوتسوانا وكندا وشيلي وجمهورية كوريا الشعبية الديمقراطية وإكوادور وغواتيمالا وإسرائيل وليبيريا وبيرو وسانت فنسنت وجزر غرينادين وسريلانكا وتونس</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 xml:space="preserve">، وخمسة تصديقات إضافية على معاهدة بيجين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جمهورية كوريا الشعبية الديمقراطية والسلفادور وغابون وسانت فنسنت وجزر غرينادين بتونس</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 xml:space="preserve">، وبذلك يصل العدد التراكمي في نهاية العام إلى </w:t>
      </w:r>
      <w:r w:rsidRPr="003C4619">
        <w:rPr>
          <w:rFonts w:ascii="Arabic Typesetting" w:hAnsi="Arabic Typesetting" w:cs="Arabic Typesetting" w:hint="cs"/>
          <w:sz w:val="34"/>
          <w:szCs w:val="34"/>
          <w:rtl/>
          <w:lang w:bidi="ar"/>
        </w:rPr>
        <w:t xml:space="preserve">15 </w:t>
      </w:r>
      <w:r w:rsidRPr="003C4619">
        <w:rPr>
          <w:rFonts w:ascii="Arabic Typesetting" w:hAnsi="Arabic Typesetting" w:cs="Arabic Typesetting" w:hint="cs"/>
          <w:sz w:val="34"/>
          <w:szCs w:val="34"/>
          <w:rtl/>
          <w:lang w:bidi="ar-EG"/>
        </w:rPr>
        <w:t>عضوا</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وإضافة إلى ذلك، طلبت نحو </w:t>
      </w:r>
      <w:r w:rsidRPr="003C4619">
        <w:rPr>
          <w:rFonts w:ascii="Arabic Typesetting" w:hAnsi="Arabic Typesetting" w:cs="Arabic Typesetting" w:hint="cs"/>
          <w:sz w:val="34"/>
          <w:szCs w:val="34"/>
          <w:rtl/>
          <w:lang w:bidi="ar"/>
        </w:rPr>
        <w:t xml:space="preserve">17 </w:t>
      </w:r>
      <w:r w:rsidRPr="003C4619">
        <w:rPr>
          <w:rFonts w:ascii="Arabic Typesetting" w:hAnsi="Arabic Typesetting" w:cs="Arabic Typesetting" w:hint="cs"/>
          <w:sz w:val="34"/>
          <w:szCs w:val="34"/>
          <w:rtl/>
        </w:rPr>
        <w:t xml:space="preserve">دولة عضوا أو منظمة إقليمية مساعدة تشريعية من الويبو بشأن </w:t>
      </w:r>
      <w:r w:rsidRPr="003C4619">
        <w:rPr>
          <w:rFonts w:ascii="Arabic Typesetting" w:hAnsi="Arabic Typesetting" w:cs="Arabic Typesetting" w:hint="cs"/>
          <w:sz w:val="34"/>
          <w:szCs w:val="34"/>
          <w:rtl/>
          <w:lang w:bidi="ar"/>
        </w:rPr>
        <w:t xml:space="preserve">18 </w:t>
      </w:r>
      <w:r w:rsidR="00DF47AF">
        <w:rPr>
          <w:rFonts w:ascii="Arabic Typesetting" w:hAnsi="Arabic Typesetting" w:cs="Arabic Typesetting" w:hint="cs"/>
          <w:sz w:val="34"/>
          <w:szCs w:val="34"/>
          <w:rtl/>
        </w:rPr>
        <w:t xml:space="preserve">مسألة في </w:t>
      </w:r>
      <w:r w:rsidRPr="003C4619">
        <w:rPr>
          <w:rFonts w:ascii="Arabic Typesetting" w:hAnsi="Arabic Typesetting" w:cs="Arabic Typesetting" w:hint="cs"/>
          <w:sz w:val="34"/>
          <w:szCs w:val="34"/>
          <w:rtl/>
        </w:rPr>
        <w:t>مجال حق المؤلف، يتعلق العديد منها بعملية تحديث التشريعات في العصر الرقمي، أو بإدراج أحكام جديدة بغية الانضمام إلى معاهدات الويبو بشأن حق المؤلف</w:t>
      </w:r>
      <w:r w:rsidRPr="003C4619">
        <w:rPr>
          <w:rFonts w:ascii="Arabic Typesetting" w:hAnsi="Arabic Typesetting" w:cs="Arabic Typesetting" w:hint="cs"/>
          <w:sz w:val="34"/>
          <w:szCs w:val="34"/>
          <w:rtl/>
          <w:lang w:bidi="ar"/>
        </w:rPr>
        <w:t>.</w:t>
      </w:r>
    </w:p>
    <w:p w14:paraId="1934E917"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وعقدت اللجنة الدائمة المعنية بحق المؤلف والحقوق المجاورة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اللجنة الدائمة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مناقشات مثمرة بشأن التوصل إلى نص واحد لحماية هيئات البث؛ والمبادئ المتعلقة بالتقييدات والاستثناءات؛ واستلام نتائج دراسة شاملة عن التعليم؛ وبدء العمل على مسألتين إضافيتين تتعلقان بحق المؤلف في البيئة الرقمية؛ وحق التتبع</w:t>
      </w:r>
      <w:r w:rsidRPr="003C4619">
        <w:rPr>
          <w:rFonts w:ascii="Arabic Typesetting" w:hAnsi="Arabic Typesetting" w:cs="Arabic Typesetting" w:hint="cs"/>
          <w:sz w:val="34"/>
          <w:szCs w:val="34"/>
          <w:rtl/>
          <w:lang w:bidi="ar"/>
        </w:rPr>
        <w:t>.</w:t>
      </w:r>
    </w:p>
    <w:p w14:paraId="1DDECE81" w14:textId="3C4598F9"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في ظل الهدف الرامي إلى تعزيز التعاون فيما بين الدول الأعضاء بشأن مواصلة رسم السياسة العامة ووضع القواعد والمعايير بشكل متوازن من أجل نظام البراءات الدولي</w:t>
      </w:r>
      <w:r w:rsidRPr="003C4619">
        <w:rPr>
          <w:rFonts w:ascii="Arabic Typesetting" w:hAnsi="Arabic Typesetting" w:cs="Arabic Typesetting" w:hint="cs"/>
          <w:sz w:val="34"/>
          <w:szCs w:val="34"/>
          <w:rtl/>
        </w:rPr>
        <w:t xml:space="preserve">، </w:t>
      </w:r>
      <w:r w:rsidRPr="003C4619">
        <w:rPr>
          <w:rFonts w:ascii="Arabic Typesetting" w:hAnsi="Arabic Typesetting" w:cs="Arabic Typesetting"/>
          <w:sz w:val="34"/>
          <w:szCs w:val="34"/>
          <w:rtl/>
        </w:rPr>
        <w:t xml:space="preserve">تابعت </w:t>
      </w:r>
      <w:r w:rsidRPr="003C4619">
        <w:rPr>
          <w:rFonts w:ascii="Arabic Typesetting" w:hAnsi="Arabic Typesetting" w:cs="Arabic Typesetting" w:hint="cs"/>
          <w:sz w:val="34"/>
          <w:szCs w:val="34"/>
          <w:rtl/>
        </w:rPr>
        <w:t xml:space="preserve">اللجنة الدائمة المعنية بقانون البراءات، في دورتيها الرابعة والعشرين والخامسة والعشرين، المعقودتين في يونيه وديسمبر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hint="cs"/>
          <w:sz w:val="34"/>
          <w:szCs w:val="34"/>
          <w:rtl/>
        </w:rPr>
        <w:t>على التوالي مناقشة ال</w:t>
      </w:r>
      <w:r w:rsidRPr="003C4619">
        <w:rPr>
          <w:rFonts w:ascii="Arabic Typesetting" w:hAnsi="Arabic Typesetting" w:cs="Arabic Typesetting"/>
          <w:sz w:val="34"/>
          <w:szCs w:val="34"/>
          <w:rtl/>
        </w:rPr>
        <w:t xml:space="preserve">موضوعات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خمسة</w:t>
      </w:r>
      <w:r w:rsidR="00DF47AF">
        <w:rPr>
          <w:rFonts w:ascii="Arabic Typesetting" w:hAnsi="Arabic Typesetting" w:cs="Arabic Typesetting"/>
          <w:sz w:val="34"/>
          <w:szCs w:val="34"/>
          <w:rtl/>
        </w:rPr>
        <w:t xml:space="preserve"> </w:t>
      </w:r>
      <w:r w:rsidRPr="003C4619">
        <w:rPr>
          <w:rFonts w:ascii="Arabic Typesetting" w:hAnsi="Arabic Typesetting" w:cs="Arabic Typesetting" w:hint="cs"/>
          <w:sz w:val="34"/>
          <w:szCs w:val="34"/>
          <w:rtl/>
        </w:rPr>
        <w:t xml:space="preserve">التالية المدرجة على </w:t>
      </w:r>
      <w:r w:rsidRPr="003C4619">
        <w:rPr>
          <w:rFonts w:ascii="Arabic Typesetting" w:hAnsi="Arabic Typesetting" w:cs="Arabic Typesetting"/>
          <w:sz w:val="34"/>
          <w:szCs w:val="34"/>
          <w:rtl/>
        </w:rPr>
        <w:t xml:space="preserve">جدول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أعمال</w:t>
      </w:r>
      <w:r w:rsidRPr="003C4619">
        <w:rPr>
          <w:rFonts w:ascii="Arabic Typesetting" w:hAnsi="Arabic Typesetting" w:cs="Arabic Typesetting"/>
          <w:sz w:val="34"/>
          <w:szCs w:val="34"/>
          <w:rtl/>
          <w:lang w:bidi="ar"/>
        </w:rPr>
        <w:t xml:space="preserve">: "1" </w:t>
      </w:r>
      <w:r w:rsidRPr="003C4619">
        <w:rPr>
          <w:rFonts w:ascii="Arabic Typesetting" w:hAnsi="Arabic Typesetting" w:cs="Arabic Typesetting"/>
          <w:sz w:val="34"/>
          <w:szCs w:val="34"/>
          <w:rtl/>
        </w:rPr>
        <w:t xml:space="preserve">الاستثناءات والتقييدات المتعلقة بحقوق البراءة؛ </w:t>
      </w:r>
      <w:r w:rsidRPr="003C4619">
        <w:rPr>
          <w:rFonts w:ascii="Arabic Typesetting" w:hAnsi="Arabic Typesetting" w:cs="Arabic Typesetting"/>
          <w:sz w:val="34"/>
          <w:szCs w:val="34"/>
          <w:rtl/>
          <w:lang w:bidi="ar"/>
        </w:rPr>
        <w:t xml:space="preserve">"2" </w:t>
      </w:r>
      <w:r w:rsidRPr="003C4619">
        <w:rPr>
          <w:rFonts w:ascii="Arabic Typesetting" w:hAnsi="Arabic Typesetting" w:cs="Arabic Typesetting"/>
          <w:sz w:val="34"/>
          <w:szCs w:val="34"/>
          <w:rtl/>
        </w:rPr>
        <w:t xml:space="preserve">وجودة البراءات، بما في ذلك أنظمة الاعتراض؛ </w:t>
      </w:r>
      <w:r w:rsidRPr="003C4619">
        <w:rPr>
          <w:rFonts w:ascii="Arabic Typesetting" w:hAnsi="Arabic Typesetting" w:cs="Arabic Typesetting"/>
          <w:sz w:val="34"/>
          <w:szCs w:val="34"/>
          <w:rtl/>
          <w:lang w:bidi="ar"/>
        </w:rPr>
        <w:t xml:space="preserve">"3" </w:t>
      </w:r>
      <w:r w:rsidRPr="003C4619">
        <w:rPr>
          <w:rFonts w:ascii="Arabic Typesetting" w:hAnsi="Arabic Typesetting" w:cs="Arabic Typesetting"/>
          <w:sz w:val="34"/>
          <w:szCs w:val="34"/>
          <w:rtl/>
        </w:rPr>
        <w:t xml:space="preserve">والبراءات والصحة؛ </w:t>
      </w:r>
      <w:r w:rsidRPr="003C4619">
        <w:rPr>
          <w:rFonts w:ascii="Arabic Typesetting" w:hAnsi="Arabic Typesetting" w:cs="Arabic Typesetting"/>
          <w:sz w:val="34"/>
          <w:szCs w:val="34"/>
          <w:rtl/>
          <w:lang w:bidi="ar"/>
        </w:rPr>
        <w:t xml:space="preserve">"4" </w:t>
      </w:r>
      <w:r w:rsidRPr="003C4619">
        <w:rPr>
          <w:rFonts w:ascii="Arabic Typesetting" w:hAnsi="Arabic Typesetting" w:cs="Arabic Typesetting"/>
          <w:sz w:val="34"/>
          <w:szCs w:val="34"/>
          <w:rtl/>
        </w:rPr>
        <w:t xml:space="preserve">وسرية التواصل بين مستشاري البراءات وموكّليهم؛ </w:t>
      </w:r>
      <w:r w:rsidRPr="003C4619">
        <w:rPr>
          <w:rFonts w:ascii="Arabic Typesetting" w:hAnsi="Arabic Typesetting" w:cs="Arabic Typesetting"/>
          <w:sz w:val="34"/>
          <w:szCs w:val="34"/>
          <w:rtl/>
          <w:lang w:bidi="ar"/>
        </w:rPr>
        <w:t>"5"</w:t>
      </w:r>
      <w:r w:rsidRPr="003C4619">
        <w:rPr>
          <w:rFonts w:ascii="Arabic Typesetting" w:hAnsi="Arabic Typesetting" w:cs="Arabic Typesetting"/>
          <w:sz w:val="34"/>
          <w:szCs w:val="34"/>
          <w:rtl/>
        </w:rPr>
        <w:t>ونقل التكنولوجيا</w:t>
      </w:r>
      <w:r w:rsidRPr="003C4619">
        <w:rPr>
          <w:rFonts w:ascii="Arabic Typesetting" w:hAnsi="Arabic Typesetting" w:cs="Arabic Typesetting"/>
          <w:sz w:val="34"/>
          <w:szCs w:val="34"/>
          <w:rtl/>
          <w:lang w:bidi="ar"/>
        </w:rPr>
        <w:t>.</w:t>
      </w:r>
    </w:p>
    <w:p w14:paraId="07A4F8B8"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وفيما يتعلق بالمعاهدات التي تديرها الويبو في مجال البراءات، شهد عام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hint="cs"/>
          <w:sz w:val="34"/>
          <w:szCs w:val="34"/>
          <w:rtl/>
        </w:rPr>
        <w:t>انضمام كمبوديا وجيبوتي والكويت إلى معاهدة التعاون بشأن البراءات، وانضمام بيلاروس واليابان وليبريا إلى معاهدة قانون البراءات، وانضمام كولومبيا إلى معاهدة بودابست</w:t>
      </w:r>
      <w:r w:rsidRPr="003C4619">
        <w:rPr>
          <w:rFonts w:ascii="Arabic Typesetting" w:hAnsi="Arabic Typesetting" w:cs="Arabic Typesetting" w:hint="cs"/>
          <w:sz w:val="34"/>
          <w:szCs w:val="34"/>
          <w:rtl/>
          <w:lang w:bidi="ar"/>
        </w:rPr>
        <w:t>.</w:t>
      </w:r>
    </w:p>
    <w:p w14:paraId="5EE653C1" w14:textId="4C5FA998" w:rsidR="003C4619" w:rsidRPr="003C4619" w:rsidRDefault="003C4619" w:rsidP="00BF5D93">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وعلاوة على ذلك، واصلت الأمانة الإسهام في تعزيز زيادة الوعي بالمبادئ والممارسات القانونية لنظام البراءات، من خلال توفير المعلومات ذات الصلة للمنظمات الحكومية الدولية وهيئات الأمم المتحدة والمنظمات غير الحكومية وأطراف أخرى</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وفي</w:t>
      </w:r>
      <w:r w:rsidR="00BF5D93">
        <w:rPr>
          <w:rFonts w:ascii="Arabic Typesetting" w:hAnsi="Arabic Typesetting" w:cs="Arabic Typesetting" w:hint="eastAsia"/>
          <w:sz w:val="34"/>
          <w:szCs w:val="34"/>
          <w:rtl/>
        </w:rPr>
        <w:t> </w:t>
      </w:r>
      <w:r w:rsidRPr="003C4619">
        <w:rPr>
          <w:rFonts w:ascii="Arabic Typesetting" w:hAnsi="Arabic Typesetting" w:cs="Arabic Typesetting" w:hint="cs"/>
          <w:sz w:val="34"/>
          <w:szCs w:val="34"/>
          <w:rtl/>
        </w:rPr>
        <w:t xml:space="preserve">هذا الصدد، اجتمعت، في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الأمانة وسلطات الإيداع الدولية</w:t>
      </w:r>
      <w:r w:rsidR="00DF47AF">
        <w:rPr>
          <w:rFonts w:ascii="Arabic Typesetting" w:hAnsi="Arabic Typesetting" w:cs="Arabic Typesetting" w:hint="cs"/>
          <w:sz w:val="34"/>
          <w:szCs w:val="34"/>
          <w:rtl/>
        </w:rPr>
        <w:t xml:space="preserve"> (</w:t>
      </w:r>
      <w:r w:rsidR="00DF47AF" w:rsidRPr="00DF47AF">
        <w:rPr>
          <w:rFonts w:ascii="Arabic Typesetting" w:hAnsi="Arabic Typesetting" w:cs="Arabic Typesetting"/>
          <w:sz w:val="34"/>
          <w:szCs w:val="34"/>
        </w:rPr>
        <w:t>IDAs</w:t>
      </w:r>
      <w:r w:rsidR="00DF47AF">
        <w:rPr>
          <w:rFonts w:ascii="Arabic Typesetting" w:hAnsi="Arabic Typesetting" w:cs="Arabic Typesetting" w:hint="cs"/>
          <w:sz w:val="34"/>
          <w:szCs w:val="34"/>
          <w:rtl/>
        </w:rPr>
        <w:t xml:space="preserve">) </w:t>
      </w:r>
      <w:r w:rsidRPr="003C4619">
        <w:rPr>
          <w:rFonts w:ascii="Arabic Typesetting" w:hAnsi="Arabic Typesetting" w:cs="Arabic Typesetting" w:hint="cs"/>
          <w:sz w:val="34"/>
          <w:szCs w:val="34"/>
          <w:rtl/>
        </w:rPr>
        <w:t>لمناقشة الجوانب العملية لممارساتها البالغة التنوع في تنفيذ المهام في إطار المعاهدة، وذلك للمرة الأولى منذ اعتماد معاهدة بودابست في</w:t>
      </w:r>
      <w:r w:rsidR="00DF47AF">
        <w:rPr>
          <w:rFonts w:ascii="Arabic Typesetting" w:hAnsi="Arabic Typesetting" w:cs="Arabic Typesetting" w:hint="eastAsia"/>
          <w:sz w:val="34"/>
          <w:szCs w:val="34"/>
          <w:rtl/>
        </w:rPr>
        <w:t> </w:t>
      </w:r>
      <w:r w:rsidRPr="003C4619">
        <w:rPr>
          <w:rFonts w:ascii="Arabic Typesetting" w:hAnsi="Arabic Typesetting" w:cs="Arabic Typesetting" w:hint="cs"/>
          <w:sz w:val="34"/>
          <w:szCs w:val="34"/>
          <w:rtl/>
          <w:lang w:bidi="ar"/>
        </w:rPr>
        <w:t>1979.</w:t>
      </w:r>
    </w:p>
    <w:p w14:paraId="4527F3B2"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lastRenderedPageBreak/>
        <w:t xml:space="preserve">وفي أكتوبر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تم رسميا إطلاق برنامج مساعدة المخترعين</w:t>
      </w:r>
      <w:r w:rsidRPr="003C4619">
        <w:rPr>
          <w:rFonts w:ascii="Arabic Typesetting" w:hAnsi="Arabic Typesetting" w:cs="Arabic Typesetting"/>
          <w:sz w:val="34"/>
          <w:szCs w:val="34"/>
          <w:lang w:bidi="ar"/>
        </w:rPr>
        <w:t>(IAP)</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ويُنفذ البرنامج حاليا في ثلاثة بلدان، هي كولومبيا والمغرب والفلبين، وهو مفتوح لانضمام سائر الدول الأعضاء في الويبو تدريجيا</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ويعمل به الآن أكثر من </w:t>
      </w:r>
      <w:r w:rsidRPr="003C4619">
        <w:rPr>
          <w:rFonts w:ascii="Arabic Typesetting" w:hAnsi="Arabic Typesetting" w:cs="Arabic Typesetting" w:hint="cs"/>
          <w:sz w:val="34"/>
          <w:szCs w:val="34"/>
          <w:rtl/>
          <w:lang w:bidi="ar"/>
        </w:rPr>
        <w:t xml:space="preserve">50 </w:t>
      </w:r>
      <w:r w:rsidRPr="003C4619">
        <w:rPr>
          <w:rFonts w:ascii="Arabic Typesetting" w:hAnsi="Arabic Typesetting" w:cs="Arabic Typesetting" w:hint="cs"/>
          <w:sz w:val="34"/>
          <w:szCs w:val="34"/>
          <w:rtl/>
        </w:rPr>
        <w:t>محاميا في مجال البراءات، دون مقابل، يقدمون مشورة رفيعة المستوى للمخترعين في البلدان المستفيدة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وفي نهاية عام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xml:space="preserve">، كان أكثر من </w:t>
      </w:r>
      <w:r w:rsidRPr="003C4619">
        <w:rPr>
          <w:rFonts w:ascii="Arabic Typesetting" w:hAnsi="Arabic Typesetting" w:cs="Arabic Typesetting" w:hint="cs"/>
          <w:sz w:val="34"/>
          <w:szCs w:val="34"/>
          <w:rtl/>
          <w:lang w:bidi="ar"/>
        </w:rPr>
        <w:t xml:space="preserve">30 </w:t>
      </w:r>
      <w:r w:rsidRPr="003C4619">
        <w:rPr>
          <w:rFonts w:ascii="Arabic Typesetting" w:hAnsi="Arabic Typesetting" w:cs="Arabic Typesetting" w:hint="cs"/>
          <w:sz w:val="34"/>
          <w:szCs w:val="34"/>
          <w:rtl/>
        </w:rPr>
        <w:t>مخترعا قد تلقى مشورة قانونية وتقنية مجانية من خلال البرنامج</w:t>
      </w:r>
      <w:r w:rsidRPr="003C4619">
        <w:rPr>
          <w:rFonts w:ascii="Arabic Typesetting" w:hAnsi="Arabic Typesetting" w:cs="Arabic Typesetting" w:hint="cs"/>
          <w:sz w:val="34"/>
          <w:szCs w:val="34"/>
          <w:rtl/>
          <w:lang w:bidi="ar"/>
        </w:rPr>
        <w:t>.</w:t>
      </w:r>
    </w:p>
    <w:p w14:paraId="28BCD2AD" w14:textId="25BBA6C4"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وعُقدت الدورتان الخامسة والثلاثون والسادسة والثلاثون للجنة الدائمة المعنية بقانون العلامات التجارية والتصاميم الصناعية والبيانات الجغرافية في أبريل وأكتوبر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hint="cs"/>
          <w:sz w:val="34"/>
          <w:szCs w:val="34"/>
          <w:rtl/>
        </w:rPr>
        <w:t xml:space="preserve">وتجدر الإشارة إلى أن الجمعية العامة للويبو في دورتها السابعة والأربعين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الدورة العادية الثانية والعشرين</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المنعقدة في أكتوبر </w:t>
      </w:r>
      <w:r w:rsidRPr="003C4619">
        <w:rPr>
          <w:rFonts w:ascii="Arabic Typesetting" w:hAnsi="Arabic Typesetting" w:cs="Arabic Typesetting" w:hint="cs"/>
          <w:sz w:val="34"/>
          <w:szCs w:val="34"/>
          <w:rtl/>
          <w:lang w:bidi="ar"/>
        </w:rPr>
        <w:t>2015</w:t>
      </w:r>
      <w:r w:rsidRPr="003C4619">
        <w:rPr>
          <w:rFonts w:ascii="Arabic Typesetting" w:hAnsi="Arabic Typesetting" w:cs="Arabic Typesetting" w:hint="cs"/>
          <w:sz w:val="34"/>
          <w:szCs w:val="34"/>
          <w:rtl/>
        </w:rPr>
        <w:t xml:space="preserve">، قررت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sz w:val="34"/>
          <w:szCs w:val="34"/>
          <w:rtl/>
        </w:rPr>
        <w:t xml:space="preserve">عدم عقد مؤتمر دبلوماسي لاعتماد معاهدة قانون التصاميم في نهاية النصف الأول من عام </w:t>
      </w:r>
      <w:r w:rsidRPr="003C4619">
        <w:rPr>
          <w:rFonts w:ascii="Arabic Typesetting" w:hAnsi="Arabic Typesetting" w:cs="Arabic Typesetting"/>
          <w:sz w:val="34"/>
          <w:szCs w:val="34"/>
          <w:rtl/>
          <w:lang w:bidi="ar"/>
        </w:rPr>
        <w:t xml:space="preserve">2017 </w:t>
      </w:r>
      <w:r w:rsidRPr="003C4619">
        <w:rPr>
          <w:rFonts w:ascii="Arabic Typesetting" w:hAnsi="Arabic Typesetting" w:cs="Arabic Typesetting"/>
          <w:sz w:val="34"/>
          <w:szCs w:val="34"/>
          <w:rtl/>
        </w:rPr>
        <w:t xml:space="preserve">إلا إذا انتهت المناقشات الخاصة بالمساعدة التقنية </w:t>
      </w:r>
      <w:r w:rsidRPr="003C4619">
        <w:rPr>
          <w:rFonts w:ascii="Arabic Typesetting" w:hAnsi="Arabic Typesetting" w:cs="Arabic Typesetting" w:hint="cs"/>
          <w:sz w:val="34"/>
          <w:szCs w:val="34"/>
          <w:rtl/>
        </w:rPr>
        <w:t>والإفصاح</w:t>
      </w:r>
      <w:r w:rsidRPr="003C4619">
        <w:rPr>
          <w:rFonts w:ascii="Arabic Typesetting" w:hAnsi="Arabic Typesetting" w:cs="Arabic Typesetting"/>
          <w:sz w:val="34"/>
          <w:szCs w:val="34"/>
          <w:rtl/>
        </w:rPr>
        <w:t xml:space="preserve"> أثناء دورتي اللجنة الدائمة الرابعة والثلاثين والخامسة والثلاثين</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ونظرا إلى أن المناقشات لم تكتمل خلال الدورتين المعنيتين للجنة الدائمة، فقد أحيلت المسألة للعرض أمام الجمعية العامة للويبو، التي قررت في دورتها الثامنة والأربعين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الاستثنائية السادسة والعشرين</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 xml:space="preserve">، المنعقدة في أكتوبر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xml:space="preserve">،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 xml:space="preserve">مواصلة اللجنة في دورتها القادمة في أكتوبر </w:t>
      </w:r>
      <w:r w:rsidRPr="003C4619">
        <w:rPr>
          <w:rFonts w:ascii="Arabic Typesetting" w:hAnsi="Arabic Typesetting" w:cs="Arabic Typesetting" w:hint="cs"/>
          <w:sz w:val="34"/>
          <w:szCs w:val="34"/>
          <w:rtl/>
          <w:lang w:bidi="ar"/>
        </w:rPr>
        <w:t xml:space="preserve">2017 </w:t>
      </w:r>
      <w:r w:rsidRPr="003C4619">
        <w:rPr>
          <w:rFonts w:ascii="Arabic Typesetting" w:hAnsi="Arabic Typesetting" w:cs="Arabic Typesetting" w:hint="cs"/>
          <w:sz w:val="34"/>
          <w:szCs w:val="34"/>
          <w:rtl/>
        </w:rPr>
        <w:t xml:space="preserve">النظر في عقد مؤتمر دبلوماسي لاعتماد معاهدة قانون التصاميم في نهاية النصف الأول من عام </w:t>
      </w:r>
      <w:r w:rsidRPr="003C4619">
        <w:rPr>
          <w:rFonts w:ascii="Arabic Typesetting" w:hAnsi="Arabic Typesetting" w:cs="Arabic Typesetting" w:hint="cs"/>
          <w:sz w:val="34"/>
          <w:szCs w:val="34"/>
          <w:rtl/>
          <w:lang w:bidi="ar"/>
        </w:rPr>
        <w:t xml:space="preserve">2018." </w:t>
      </w:r>
      <w:r w:rsidRPr="003C4619">
        <w:rPr>
          <w:rFonts w:ascii="Arabic Typesetting" w:hAnsi="Arabic Typesetting" w:cs="Arabic Typesetting" w:hint="cs"/>
          <w:sz w:val="34"/>
          <w:szCs w:val="34"/>
          <w:rtl/>
        </w:rPr>
        <w:t xml:space="preserve">وفي الدورة السادسة والثلاثين للجنة الدائمة، خلُص الرئيس إلى أن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معاهدة قانون التصاميم، وإن كانت ستظل على أجندة اللجنة الدائمة ، فإنه ينبغي للجنة الدائمة أن تلتزم بقرار الجمعية العامة</w:t>
      </w:r>
      <w:r w:rsidRPr="003C4619">
        <w:rPr>
          <w:rFonts w:ascii="Arabic Typesetting" w:hAnsi="Arabic Typesetting" w:cs="Arabic Typesetting" w:hint="cs"/>
          <w:sz w:val="34"/>
          <w:szCs w:val="34"/>
          <w:rtl/>
          <w:lang w:bidi="ar"/>
        </w:rPr>
        <w:t>".</w:t>
      </w:r>
    </w:p>
    <w:p w14:paraId="6EEAF69C" w14:textId="6DECC8F3" w:rsidR="003C4619" w:rsidRPr="003C4619" w:rsidRDefault="003C4619" w:rsidP="00BF5D93">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وقد صدقت سبعة أطراف جديدة متعاقدة على معاهدة سنغافورة بشأن قانون العلامات التجارية أو انضمت إليها،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بنن</w:t>
      </w:r>
      <w:r w:rsidR="00BF5D93">
        <w:rPr>
          <w:rFonts w:ascii="Arabic Typesetting" w:hAnsi="Arabic Typesetting" w:cs="Arabic Typesetting" w:hint="eastAsia"/>
          <w:sz w:val="34"/>
          <w:szCs w:val="34"/>
          <w:rtl/>
        </w:rPr>
        <w:t> </w:t>
      </w:r>
      <w:r w:rsidRPr="003C4619">
        <w:rPr>
          <w:rFonts w:ascii="Arabic Typesetting" w:hAnsi="Arabic Typesetting" w:cs="Arabic Typesetting" w:hint="cs"/>
          <w:sz w:val="34"/>
          <w:szCs w:val="34"/>
          <w:rtl/>
        </w:rPr>
        <w:t>وجمهورية كوريا الشعبية الديمقراطية و</w:t>
      </w:r>
      <w:r w:rsidR="001344B7">
        <w:rPr>
          <w:rFonts w:ascii="Arabic Typesetting" w:hAnsi="Arabic Typesetting" w:cs="Arabic Typesetting" w:hint="cs"/>
          <w:sz w:val="34"/>
          <w:szCs w:val="34"/>
          <w:rtl/>
        </w:rPr>
        <w:t>آيرلندا</w:t>
      </w:r>
      <w:r w:rsidRPr="003C4619">
        <w:rPr>
          <w:rFonts w:ascii="Arabic Typesetting" w:hAnsi="Arabic Typesetting" w:cs="Arabic Typesetting" w:hint="cs"/>
          <w:sz w:val="34"/>
          <w:szCs w:val="34"/>
          <w:rtl/>
        </w:rPr>
        <w:t xml:space="preserve"> واليابان ومالي وجمهورية كوريا والمنظمة الأفريقية للملكية الفكرية</w:t>
      </w:r>
      <w:r w:rsidR="005766FE">
        <w:rPr>
          <w:rFonts w:ascii="Arabic Typesetting" w:hAnsi="Arabic Typesetting" w:cs="Arabic Typesetting" w:hint="cs"/>
          <w:sz w:val="34"/>
          <w:szCs w:val="34"/>
          <w:rtl/>
          <w:lang w:bidi="ar"/>
        </w:rPr>
        <w:t xml:space="preserve"> </w:t>
      </w:r>
      <w:r w:rsidR="005766FE">
        <w:rPr>
          <w:rFonts w:ascii="Arabic Typesetting" w:hAnsi="Arabic Typesetting" w:cs="Arabic Typesetting" w:hint="cs"/>
          <w:sz w:val="34"/>
          <w:szCs w:val="34"/>
          <w:rtl/>
          <w:lang w:bidi="ar-EG"/>
        </w:rPr>
        <w:t>(</w:t>
      </w:r>
      <w:r w:rsidR="005766FE">
        <w:rPr>
          <w:rFonts w:ascii="Arabic Typesetting" w:hAnsi="Arabic Typesetting" w:cs="Arabic Typesetting"/>
          <w:sz w:val="34"/>
          <w:szCs w:val="34"/>
          <w:lang w:bidi="ar-EG"/>
        </w:rPr>
        <w:t>OAPI</w:t>
      </w:r>
      <w:r w:rsidR="005766FE">
        <w:rPr>
          <w:rFonts w:ascii="Arabic Typesetting" w:hAnsi="Arabic Typesetting" w:cs="Arabic Typesetting" w:hint="cs"/>
          <w:sz w:val="34"/>
          <w:szCs w:val="34"/>
          <w:rtl/>
          <w:lang w:bidi="ar-EG"/>
        </w:rPr>
        <w:t>)</w:t>
      </w:r>
      <w:r w:rsidR="005766FE">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 xml:space="preserve">، ليبلغ إجمالي عدد الأطراف المتعاقدة </w:t>
      </w:r>
      <w:r w:rsidRPr="003C4619">
        <w:rPr>
          <w:rFonts w:ascii="Arabic Typesetting" w:hAnsi="Arabic Typesetting" w:cs="Arabic Typesetting" w:hint="cs"/>
          <w:sz w:val="34"/>
          <w:szCs w:val="34"/>
          <w:rtl/>
          <w:lang w:bidi="ar"/>
        </w:rPr>
        <w:t xml:space="preserve">45 </w:t>
      </w:r>
      <w:r w:rsidRPr="003C4619">
        <w:rPr>
          <w:rFonts w:ascii="Arabic Typesetting" w:hAnsi="Arabic Typesetting" w:cs="Arabic Typesetting" w:hint="cs"/>
          <w:sz w:val="34"/>
          <w:szCs w:val="34"/>
          <w:rtl/>
        </w:rPr>
        <w:t xml:space="preserve">طرفا في نهاية عام </w:t>
      </w:r>
      <w:r w:rsidRPr="003C4619">
        <w:rPr>
          <w:rFonts w:ascii="Arabic Typesetting" w:hAnsi="Arabic Typesetting" w:cs="Arabic Typesetting" w:hint="cs"/>
          <w:sz w:val="34"/>
          <w:szCs w:val="34"/>
          <w:rtl/>
          <w:lang w:bidi="ar"/>
        </w:rPr>
        <w:t>2016.</w:t>
      </w:r>
    </w:p>
    <w:p w14:paraId="4703AE9D" w14:textId="63088126" w:rsidR="003C4619" w:rsidRPr="003C4619" w:rsidRDefault="003C4619" w:rsidP="00BF5D93">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وقد انقضى عام </w:t>
      </w:r>
      <w:r w:rsidRPr="003C4619">
        <w:rPr>
          <w:rFonts w:ascii="Arabic Typesetting" w:hAnsi="Arabic Typesetting" w:cs="Arabic Typesetting" w:hint="cs"/>
          <w:sz w:val="34"/>
          <w:szCs w:val="34"/>
          <w:rtl/>
          <w:lang w:bidi="ar"/>
        </w:rPr>
        <w:t xml:space="preserve">2015 </w:t>
      </w:r>
      <w:r w:rsidRPr="003C4619">
        <w:rPr>
          <w:rFonts w:ascii="Arabic Typesetting" w:hAnsi="Arabic Typesetting" w:cs="Arabic Typesetting" w:hint="cs"/>
          <w:sz w:val="34"/>
          <w:szCs w:val="34"/>
          <w:rtl/>
        </w:rPr>
        <w:t xml:space="preserve">دون أن تجتمع لجنة الويبو الحكومية الدولية المعنية بالملكية الفكرية والموارد الوراثية والمعارف التقليدية والفولكلور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اللجنة الحكومية الدولية</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 xml:space="preserve">، وفي عام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hint="cs"/>
          <w:sz w:val="34"/>
          <w:szCs w:val="34"/>
          <w:rtl/>
        </w:rPr>
        <w:t xml:space="preserve">استأنفت اللجنة الاجتماعات، وأحرزت مزيدا من التقدم في مفاوضاتها القائمة على النصوص، في إطار ولايتها الجديدة للثنائية، على النحو الذي حددته الجمعية العامة للويبو في </w:t>
      </w:r>
      <w:r w:rsidRPr="003C4619">
        <w:rPr>
          <w:rFonts w:ascii="Arabic Typesetting" w:hAnsi="Arabic Typesetting" w:cs="Arabic Typesetting" w:hint="cs"/>
          <w:sz w:val="34"/>
          <w:szCs w:val="34"/>
          <w:rtl/>
          <w:lang w:bidi="ar"/>
        </w:rPr>
        <w:t xml:space="preserve">2015. </w:t>
      </w:r>
      <w:r w:rsidRPr="003C4619">
        <w:rPr>
          <w:rFonts w:ascii="Arabic Typesetting" w:hAnsi="Arabic Typesetting" w:cs="Arabic Typesetting" w:hint="cs"/>
          <w:sz w:val="34"/>
          <w:szCs w:val="34"/>
          <w:rtl/>
        </w:rPr>
        <w:t xml:space="preserve">وخلال أربع دورات عُقدت في عام </w:t>
      </w:r>
      <w:r w:rsidRPr="003C4619">
        <w:rPr>
          <w:rFonts w:ascii="Arabic Typesetting" w:hAnsi="Arabic Typesetting" w:cs="Arabic Typesetting" w:hint="cs"/>
          <w:sz w:val="34"/>
          <w:szCs w:val="34"/>
          <w:rtl/>
          <w:lang w:bidi="ar"/>
        </w:rPr>
        <w:t>2016 (</w:t>
      </w:r>
      <w:r w:rsidRPr="003C4619">
        <w:rPr>
          <w:rFonts w:ascii="Arabic Typesetting" w:hAnsi="Arabic Typesetting" w:cs="Arabic Typesetting" w:hint="cs"/>
          <w:sz w:val="34"/>
          <w:szCs w:val="34"/>
          <w:rtl/>
        </w:rPr>
        <w:t xml:space="preserve">اللجان الحكومية الدولية </w:t>
      </w:r>
      <w:r w:rsidRPr="003C4619">
        <w:rPr>
          <w:rFonts w:ascii="Arabic Typesetting" w:hAnsi="Arabic Typesetting" w:cs="Arabic Typesetting" w:hint="cs"/>
          <w:sz w:val="34"/>
          <w:szCs w:val="34"/>
          <w:rtl/>
          <w:lang w:bidi="ar"/>
        </w:rPr>
        <w:t xml:space="preserve">29 </w:t>
      </w:r>
      <w:r w:rsidRPr="003C4619">
        <w:rPr>
          <w:rFonts w:ascii="Arabic Typesetting" w:hAnsi="Arabic Typesetting" w:cs="Arabic Typesetting" w:hint="cs"/>
          <w:sz w:val="34"/>
          <w:szCs w:val="34"/>
          <w:rtl/>
        </w:rPr>
        <w:t>و</w:t>
      </w:r>
      <w:r w:rsidRPr="003C4619">
        <w:rPr>
          <w:rFonts w:ascii="Arabic Typesetting" w:hAnsi="Arabic Typesetting" w:cs="Arabic Typesetting" w:hint="cs"/>
          <w:sz w:val="34"/>
          <w:szCs w:val="34"/>
          <w:rtl/>
          <w:lang w:bidi="ar"/>
        </w:rPr>
        <w:t xml:space="preserve">30 </w:t>
      </w:r>
      <w:r w:rsidRPr="003C4619">
        <w:rPr>
          <w:rFonts w:ascii="Arabic Typesetting" w:hAnsi="Arabic Typesetting" w:cs="Arabic Typesetting" w:hint="cs"/>
          <w:sz w:val="34"/>
          <w:szCs w:val="34"/>
          <w:rtl/>
        </w:rPr>
        <w:t>و</w:t>
      </w:r>
      <w:r w:rsidRPr="003C4619">
        <w:rPr>
          <w:rFonts w:ascii="Arabic Typesetting" w:hAnsi="Arabic Typesetting" w:cs="Arabic Typesetting" w:hint="cs"/>
          <w:sz w:val="34"/>
          <w:szCs w:val="34"/>
          <w:rtl/>
          <w:lang w:bidi="ar"/>
        </w:rPr>
        <w:t xml:space="preserve">31 </w:t>
      </w:r>
      <w:r w:rsidRPr="003C4619">
        <w:rPr>
          <w:rFonts w:ascii="Arabic Typesetting" w:hAnsi="Arabic Typesetting" w:cs="Arabic Typesetting" w:hint="cs"/>
          <w:sz w:val="34"/>
          <w:szCs w:val="34"/>
          <w:rtl/>
        </w:rPr>
        <w:t>و</w:t>
      </w:r>
      <w:r w:rsidRPr="003C4619">
        <w:rPr>
          <w:rFonts w:ascii="Arabic Typesetting" w:hAnsi="Arabic Typesetting" w:cs="Arabic Typesetting" w:hint="cs"/>
          <w:sz w:val="34"/>
          <w:szCs w:val="34"/>
          <w:rtl/>
          <w:lang w:bidi="ar"/>
        </w:rPr>
        <w:t>32)</w:t>
      </w:r>
      <w:r w:rsidRPr="003C4619">
        <w:rPr>
          <w:rFonts w:ascii="Arabic Typesetting" w:hAnsi="Arabic Typesetting" w:cs="Arabic Typesetting" w:hint="cs"/>
          <w:sz w:val="34"/>
          <w:szCs w:val="34"/>
          <w:rtl/>
        </w:rPr>
        <w:t>، تم مواصلة تبسيط نصوص اللجنة الحكومية الدولية بشأن الموارد الوراثية والمعارف التقليدية، وزيادة إيضاح مواقف الوفود</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وقد نظمت الأمانة حلقتين دراسيتين أسهمتا في بناء المعارف على الصعيد </w:t>
      </w:r>
      <w:r w:rsidRPr="003C4619">
        <w:rPr>
          <w:rFonts w:ascii="Arabic Typesetting" w:hAnsi="Arabic Typesetting" w:cs="Arabic Typesetting"/>
          <w:sz w:val="34"/>
          <w:szCs w:val="34"/>
          <w:rtl/>
        </w:rPr>
        <w:t xml:space="preserve">الإقليمي </w:t>
      </w:r>
      <w:r w:rsidRPr="003C4619">
        <w:rPr>
          <w:rFonts w:ascii="Arabic Typesetting" w:hAnsi="Arabic Typesetting" w:cs="Arabic Typesetting" w:hint="cs"/>
          <w:sz w:val="34"/>
          <w:szCs w:val="34"/>
          <w:rtl/>
        </w:rPr>
        <w:t xml:space="preserve">وفيما بين </w:t>
      </w:r>
      <w:r w:rsidRPr="003C4619">
        <w:rPr>
          <w:rFonts w:ascii="Arabic Typesetting" w:hAnsi="Arabic Typesetting" w:cs="Arabic Typesetting"/>
          <w:sz w:val="34"/>
          <w:szCs w:val="34"/>
          <w:rtl/>
        </w:rPr>
        <w:t>الأقاليم</w:t>
      </w:r>
      <w:r w:rsidRPr="003C4619">
        <w:rPr>
          <w:rFonts w:ascii="Arabic Typesetting" w:hAnsi="Arabic Typesetting" w:cs="Arabic Typesetting" w:hint="cs"/>
          <w:sz w:val="34"/>
          <w:szCs w:val="34"/>
          <w:rtl/>
        </w:rPr>
        <w:t>، وفي التقدم الذي أحرزته اللجنة الحكومية الدولية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ولوحظ لأن عدد المشاركين من المجتمعات الأصلية والمحلية لم يزد في اجتماعات اللجنة الحكومية الدولية، ويُعزى ذلك جزئيا إلى استمرار استنزاف صندوق التبرعات للمجتمعات الأصلية والمحلية المعتمدة، وقد الأمانة واصلت العمل لتيسير مشاركة هذه المجتمعات في العملية إلى أقصى حد ممكن</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وستتناول اللجنة الحكومية الدولية أشكال التعبير الثقافي التقليدي في عام </w:t>
      </w:r>
      <w:r w:rsidRPr="003C4619">
        <w:rPr>
          <w:rFonts w:ascii="Arabic Typesetting" w:hAnsi="Arabic Typesetting" w:cs="Arabic Typesetting" w:hint="cs"/>
          <w:sz w:val="34"/>
          <w:szCs w:val="34"/>
          <w:rtl/>
          <w:lang w:bidi="ar"/>
        </w:rPr>
        <w:t xml:space="preserve">2017. </w:t>
      </w:r>
      <w:r w:rsidRPr="003C4619">
        <w:rPr>
          <w:rFonts w:ascii="Arabic Typesetting" w:hAnsi="Arabic Typesetting" w:cs="Arabic Typesetting" w:hint="cs"/>
          <w:sz w:val="34"/>
          <w:szCs w:val="34"/>
          <w:rtl/>
        </w:rPr>
        <w:t xml:space="preserve">كما ستقوم الجمعية العامة للويبو بتقييم التقدم الذي أحرزته اللجنة الحكومية الدولية في عامي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hint="cs"/>
          <w:sz w:val="34"/>
          <w:szCs w:val="34"/>
          <w:rtl/>
        </w:rPr>
        <w:t>و</w:t>
      </w:r>
      <w:r w:rsidRPr="003C4619">
        <w:rPr>
          <w:rFonts w:ascii="Arabic Typesetting" w:hAnsi="Arabic Typesetting" w:cs="Arabic Typesetting" w:hint="cs"/>
          <w:sz w:val="34"/>
          <w:szCs w:val="34"/>
          <w:rtl/>
          <w:lang w:bidi="ar"/>
        </w:rPr>
        <w:t xml:space="preserve">2017 </w:t>
      </w:r>
      <w:r w:rsidRPr="003C4619">
        <w:rPr>
          <w:rFonts w:ascii="Arabic Typesetting" w:hAnsi="Arabic Typesetting" w:cs="Arabic Typesetting" w:hint="cs"/>
          <w:sz w:val="34"/>
          <w:szCs w:val="34"/>
          <w:rtl/>
        </w:rPr>
        <w:t>في</w:t>
      </w:r>
      <w:r w:rsidR="00BF5D93">
        <w:rPr>
          <w:rFonts w:ascii="Arabic Typesetting" w:hAnsi="Arabic Typesetting" w:cs="Arabic Typesetting" w:hint="eastAsia"/>
          <w:sz w:val="34"/>
          <w:szCs w:val="34"/>
          <w:rtl/>
        </w:rPr>
        <w:t> </w:t>
      </w:r>
      <w:r w:rsidRPr="003C4619">
        <w:rPr>
          <w:rFonts w:ascii="Arabic Typesetting" w:hAnsi="Arabic Typesetting" w:cs="Arabic Typesetting" w:hint="cs"/>
          <w:sz w:val="34"/>
          <w:szCs w:val="34"/>
          <w:rtl/>
        </w:rPr>
        <w:t xml:space="preserve">اجتماعها المقبل في أكتوبر </w:t>
      </w:r>
      <w:r w:rsidRPr="003C4619">
        <w:rPr>
          <w:rFonts w:ascii="Arabic Typesetting" w:hAnsi="Arabic Typesetting" w:cs="Arabic Typesetting" w:hint="cs"/>
          <w:sz w:val="34"/>
          <w:szCs w:val="34"/>
          <w:rtl/>
          <w:lang w:bidi="ar"/>
        </w:rPr>
        <w:t>2017.</w:t>
      </w:r>
      <w:r w:rsidR="00105D1E" w:rsidRPr="00105D1E">
        <w:rPr>
          <w:b/>
          <w:noProof/>
          <w:sz w:val="18"/>
          <w:szCs w:val="16"/>
        </w:rPr>
        <w:t xml:space="preserve"> </w:t>
      </w:r>
    </w:p>
    <w:p w14:paraId="734EA51C" w14:textId="4AF249E3" w:rsidR="003C4619" w:rsidRPr="003C4619" w:rsidRDefault="003C4619" w:rsidP="0031289D">
      <w:pPr>
        <w:keepNext/>
        <w:bidi/>
        <w:spacing w:after="240" w:line="360" w:lineRule="exact"/>
        <w:jc w:val="center"/>
        <w:rPr>
          <w:rFonts w:ascii="Arabic Typesetting" w:hAnsi="Arabic Typesetting" w:cs="Arabic Typesetting"/>
          <w:b/>
          <w:bCs/>
          <w:sz w:val="36"/>
          <w:szCs w:val="36"/>
          <w:rtl/>
        </w:rPr>
      </w:pPr>
      <w:r w:rsidRPr="003C4619">
        <w:rPr>
          <w:rFonts w:ascii="Arabic Typesetting" w:hAnsi="Arabic Typesetting" w:cs="Arabic Typesetting"/>
          <w:b/>
          <w:bCs/>
          <w:sz w:val="36"/>
          <w:szCs w:val="36"/>
          <w:rtl/>
        </w:rPr>
        <w:lastRenderedPageBreak/>
        <w:t xml:space="preserve">الهدف الاستراتيجي الثاني </w:t>
      </w:r>
      <w:r w:rsidR="00121288">
        <w:rPr>
          <w:rFonts w:ascii="Arabic Typesetting" w:hAnsi="Arabic Typesetting" w:cs="Arabic Typesetting" w:hint="cs"/>
          <w:b/>
          <w:bCs/>
          <w:sz w:val="36"/>
          <w:szCs w:val="36"/>
          <w:rtl/>
        </w:rPr>
        <w:t xml:space="preserve">- </w:t>
      </w:r>
      <w:r w:rsidRPr="003C4619">
        <w:rPr>
          <w:rFonts w:ascii="Arabic Typesetting" w:hAnsi="Arabic Typesetting" w:cs="Arabic Typesetting"/>
          <w:b/>
          <w:bCs/>
          <w:sz w:val="36"/>
          <w:szCs w:val="36"/>
          <w:rtl/>
        </w:rPr>
        <w:t>تقديم خدمات عالمية في مجال الملكية الفكرية من الطراز الأول</w:t>
      </w:r>
    </w:p>
    <w:p w14:paraId="15940540" w14:textId="16D6A766" w:rsidR="003C4619" w:rsidRPr="00D86F42" w:rsidRDefault="00D86F42" w:rsidP="00D86F42">
      <w:pPr>
        <w:bidi/>
        <w:spacing w:after="240"/>
        <w:jc w:val="center"/>
        <w:rPr>
          <w:rFonts w:ascii="Arabic Typesetting" w:hAnsi="Arabic Typesetting" w:cs="Arabic Typesetting"/>
          <w:sz w:val="36"/>
          <w:szCs w:val="36"/>
          <w:rtl/>
          <w:lang w:bidi="ar-EG"/>
        </w:rPr>
      </w:pPr>
      <w:r>
        <w:rPr>
          <w:rFonts w:ascii="Arabic Typesetting" w:hAnsi="Arabic Typesetting" w:cs="Arabic Typesetting"/>
          <w:noProof/>
          <w:sz w:val="36"/>
          <w:szCs w:val="36"/>
        </w:rPr>
        <w:drawing>
          <wp:inline distT="0" distB="0" distL="0" distR="0" wp14:anchorId="52842760" wp14:editId="72DF9AD8">
            <wp:extent cx="3568240" cy="216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8240" cy="2160000"/>
                    </a:xfrm>
                    <a:prstGeom prst="rect">
                      <a:avLst/>
                    </a:prstGeom>
                    <a:noFill/>
                  </pic:spPr>
                </pic:pic>
              </a:graphicData>
            </a:graphic>
          </wp:inline>
        </w:drawing>
      </w:r>
    </w:p>
    <w:p w14:paraId="6A9A14C1" w14:textId="77777777" w:rsidR="003C4619" w:rsidRPr="003C4619" w:rsidRDefault="003C4619" w:rsidP="0031289D">
      <w:pPr>
        <w:pStyle w:val="NumberedParaAR"/>
        <w:tabs>
          <w:tab w:val="clear" w:pos="567"/>
        </w:tabs>
        <w:spacing w:after="120" w:line="320" w:lineRule="exact"/>
        <w:rPr>
          <w:sz w:val="34"/>
          <w:szCs w:val="34"/>
        </w:rPr>
      </w:pPr>
      <w:r w:rsidRPr="003C4619">
        <w:rPr>
          <w:rFonts w:hint="cs"/>
          <w:sz w:val="34"/>
          <w:szCs w:val="34"/>
          <w:rtl/>
        </w:rPr>
        <w:t>سجلت أنظمة الويبو للتسجيل الدولي رقما قياسيا جديدا في عام 2016، وهو ما يعد مؤشرا على ارتفاع معدلات النمو للسنة السابعة على التوالي.</w:t>
      </w:r>
    </w:p>
    <w:p w14:paraId="341B2C45" w14:textId="5C3E62F0" w:rsidR="003C4619" w:rsidRPr="00DF47AF" w:rsidRDefault="003C4619" w:rsidP="00DF47AF">
      <w:pPr>
        <w:numPr>
          <w:ilvl w:val="0"/>
          <w:numId w:val="68"/>
        </w:numPr>
        <w:bidi/>
        <w:spacing w:after="240" w:line="340" w:lineRule="exact"/>
        <w:ind w:left="567" w:hanging="567"/>
        <w:rPr>
          <w:rFonts w:ascii="Arabic Typesetting" w:hAnsi="Arabic Typesetting" w:cs="Arabic Typesetting"/>
          <w:sz w:val="34"/>
          <w:szCs w:val="34"/>
          <w:lang w:bidi="ar"/>
        </w:rPr>
      </w:pPr>
      <w:r w:rsidRPr="00DF47AF">
        <w:rPr>
          <w:rFonts w:ascii="Arabic Typesetting" w:hAnsi="Arabic Typesetting" w:cs="Arabic Typesetting" w:hint="cs"/>
          <w:sz w:val="34"/>
          <w:szCs w:val="34"/>
          <w:rtl/>
        </w:rPr>
        <w:t xml:space="preserve">وتلقى المكتب الدولي لمعاهدة التعاون بشأن البراءات </w:t>
      </w:r>
      <w:r w:rsidRPr="00DF47AF">
        <w:rPr>
          <w:rFonts w:ascii="Arabic Typesetting" w:hAnsi="Arabic Typesetting" w:cs="Arabic Typesetting"/>
          <w:sz w:val="34"/>
          <w:szCs w:val="34"/>
          <w:rtl/>
          <w:lang w:bidi="ar"/>
        </w:rPr>
        <w:t>(</w:t>
      </w:r>
      <w:r w:rsidRPr="00DF47AF">
        <w:rPr>
          <w:rFonts w:ascii="Arabic Typesetting" w:hAnsi="Arabic Typesetting" w:cs="Arabic Typesetting"/>
          <w:sz w:val="34"/>
          <w:szCs w:val="34"/>
          <w:rtl/>
        </w:rPr>
        <w:t>معاهدة البراءات</w:t>
      </w:r>
      <w:r w:rsidRPr="00DF47AF">
        <w:rPr>
          <w:rFonts w:ascii="Arabic Typesetting" w:hAnsi="Arabic Typesetting" w:cs="Arabic Typesetting"/>
          <w:sz w:val="34"/>
          <w:szCs w:val="34"/>
          <w:rtl/>
          <w:lang w:bidi="ar"/>
        </w:rPr>
        <w:t xml:space="preserve">) </w:t>
      </w:r>
      <w:r w:rsidRPr="00DF47AF">
        <w:rPr>
          <w:rFonts w:ascii="Arabic Typesetting" w:hAnsi="Arabic Typesetting" w:cs="Arabic Typesetting" w:hint="cs"/>
          <w:sz w:val="34"/>
          <w:szCs w:val="34"/>
          <w:rtl/>
        </w:rPr>
        <w:t>ما يقرب من</w:t>
      </w:r>
      <w:r w:rsidR="00DF47AF" w:rsidRPr="00DF47AF">
        <w:rPr>
          <w:rFonts w:ascii="Arabic Typesetting" w:hAnsi="Arabic Typesetting" w:cs="Arabic Typesetting" w:hint="cs"/>
          <w:sz w:val="34"/>
          <w:szCs w:val="34"/>
          <w:rtl/>
          <w:lang w:bidi="ar-EG"/>
        </w:rPr>
        <w:t xml:space="preserve"> 000 233 </w:t>
      </w:r>
      <w:r w:rsidRPr="00DF47AF">
        <w:rPr>
          <w:rFonts w:ascii="Arabic Typesetting" w:hAnsi="Arabic Typesetting" w:cs="Arabic Typesetting" w:hint="cs"/>
          <w:sz w:val="34"/>
          <w:szCs w:val="34"/>
          <w:rtl/>
        </w:rPr>
        <w:t xml:space="preserve">نسخة أصلية في </w:t>
      </w:r>
      <w:r w:rsidRPr="00DF47AF">
        <w:rPr>
          <w:rFonts w:ascii="Arabic Typesetting" w:hAnsi="Arabic Typesetting" w:cs="Arabic Typesetting" w:hint="cs"/>
          <w:sz w:val="34"/>
          <w:szCs w:val="34"/>
          <w:rtl/>
          <w:lang w:bidi="ar"/>
        </w:rPr>
        <w:t>2016</w:t>
      </w:r>
      <w:r w:rsidRPr="00DF47AF">
        <w:rPr>
          <w:rFonts w:ascii="Arabic Typesetting" w:hAnsi="Arabic Typesetting" w:cs="Arabic Typesetting" w:hint="cs"/>
          <w:sz w:val="34"/>
          <w:szCs w:val="34"/>
          <w:rtl/>
        </w:rPr>
        <w:t xml:space="preserve">، بزيادة قدرها </w:t>
      </w:r>
      <w:r w:rsidRPr="00DF47AF">
        <w:rPr>
          <w:rFonts w:ascii="Arabic Typesetting" w:hAnsi="Arabic Typesetting" w:cs="Arabic Typesetting" w:hint="cs"/>
          <w:sz w:val="34"/>
          <w:szCs w:val="34"/>
          <w:rtl/>
          <w:lang w:bidi="ar"/>
        </w:rPr>
        <w:t xml:space="preserve">7.4 </w:t>
      </w:r>
      <w:r w:rsidRPr="00DF47AF">
        <w:rPr>
          <w:rFonts w:ascii="Arabic Typesetting" w:hAnsi="Arabic Typesetting" w:cs="Arabic Typesetting" w:hint="cs"/>
          <w:sz w:val="34"/>
          <w:szCs w:val="34"/>
          <w:rtl/>
        </w:rPr>
        <w:t xml:space="preserve">في المائة بالمقارنة مع </w:t>
      </w:r>
      <w:r w:rsidRPr="00DF47AF">
        <w:rPr>
          <w:rFonts w:ascii="Arabic Typesetting" w:hAnsi="Arabic Typesetting" w:cs="Arabic Typesetting" w:hint="cs"/>
          <w:sz w:val="34"/>
          <w:szCs w:val="34"/>
          <w:rtl/>
          <w:lang w:bidi="ar"/>
        </w:rPr>
        <w:t xml:space="preserve">2015. </w:t>
      </w:r>
      <w:r w:rsidRPr="00DF47AF">
        <w:rPr>
          <w:rFonts w:ascii="Arabic Typesetting" w:hAnsi="Arabic Typesetting" w:cs="Arabic Typesetting" w:hint="cs"/>
          <w:sz w:val="34"/>
          <w:szCs w:val="34"/>
          <w:rtl/>
        </w:rPr>
        <w:t>وواصلت ثلاث شركات عملاقة للاتصالات من الصين والولايات المتحدة الأمريكية تَزعم نشاط إيداع طلبات البراءة دوليا</w:t>
      </w:r>
      <w:r w:rsidRPr="00DF47AF">
        <w:rPr>
          <w:rFonts w:ascii="Arabic Typesetting" w:hAnsi="Arabic Typesetting" w:cs="Arabic Typesetting" w:hint="cs"/>
          <w:sz w:val="34"/>
          <w:szCs w:val="34"/>
          <w:rtl/>
          <w:lang w:bidi="ar"/>
        </w:rPr>
        <w:t xml:space="preserve">. </w:t>
      </w:r>
      <w:r w:rsidRPr="00DF47AF">
        <w:rPr>
          <w:rFonts w:ascii="Arabic Typesetting" w:hAnsi="Arabic Typesetting" w:cs="Arabic Typesetting" w:hint="cs"/>
          <w:sz w:val="34"/>
          <w:szCs w:val="34"/>
          <w:rtl/>
        </w:rPr>
        <w:t>كما واصلت</w:t>
      </w:r>
      <w:r w:rsidRPr="00DF47AF">
        <w:rPr>
          <w:rFonts w:ascii="Arabic Typesetting" w:hAnsi="Arabic Typesetting" w:cs="Arabic Typesetting"/>
          <w:sz w:val="34"/>
          <w:szCs w:val="34"/>
          <w:rtl/>
        </w:rPr>
        <w:t xml:space="preserve"> حصة الإيداع الإلكتروني الكامل </w:t>
      </w:r>
      <w:r w:rsidRPr="00DF47AF">
        <w:rPr>
          <w:rFonts w:ascii="Arabic Typesetting" w:hAnsi="Arabic Typesetting" w:cs="Arabic Typesetting" w:hint="cs"/>
          <w:sz w:val="34"/>
          <w:szCs w:val="34"/>
          <w:rtl/>
        </w:rPr>
        <w:t xml:space="preserve">ارتفاعها، لتشكل </w:t>
      </w:r>
      <w:r w:rsidRPr="00DF47AF">
        <w:rPr>
          <w:rFonts w:ascii="Arabic Typesetting" w:hAnsi="Arabic Typesetting" w:cs="Arabic Typesetting" w:hint="cs"/>
          <w:sz w:val="34"/>
          <w:szCs w:val="34"/>
          <w:rtl/>
          <w:lang w:bidi="ar"/>
        </w:rPr>
        <w:t xml:space="preserve">96 </w:t>
      </w:r>
      <w:r w:rsidRPr="00DF47AF">
        <w:rPr>
          <w:rFonts w:ascii="Arabic Typesetting" w:hAnsi="Arabic Typesetting" w:cs="Arabic Typesetting" w:hint="cs"/>
          <w:sz w:val="34"/>
          <w:szCs w:val="34"/>
          <w:rtl/>
        </w:rPr>
        <w:t xml:space="preserve">في المائة من مجموع الإيداعات في عام </w:t>
      </w:r>
      <w:r w:rsidRPr="00DF47AF">
        <w:rPr>
          <w:rFonts w:ascii="Arabic Typesetting" w:hAnsi="Arabic Typesetting" w:cs="Arabic Typesetting" w:hint="cs"/>
          <w:sz w:val="34"/>
          <w:szCs w:val="34"/>
          <w:rtl/>
          <w:lang w:bidi="ar"/>
        </w:rPr>
        <w:t xml:space="preserve">2016. </w:t>
      </w:r>
      <w:r w:rsidRPr="00DF47AF">
        <w:rPr>
          <w:rFonts w:ascii="Arabic Typesetting" w:hAnsi="Arabic Typesetting" w:cs="Arabic Typesetting"/>
          <w:sz w:val="34"/>
          <w:szCs w:val="34"/>
          <w:rtl/>
        </w:rPr>
        <w:t>وفي حين أن اللغة الإنكليزية هي اللغة المستخدمة في أغلب الإيداعات</w:t>
      </w:r>
      <w:r w:rsidRPr="00DF47AF">
        <w:rPr>
          <w:rFonts w:ascii="Arabic Typesetting" w:hAnsi="Arabic Typesetting" w:cs="Arabic Typesetting" w:hint="cs"/>
          <w:sz w:val="34"/>
          <w:szCs w:val="34"/>
          <w:rtl/>
        </w:rPr>
        <w:t xml:space="preserve"> بنسبة</w:t>
      </w:r>
      <w:r w:rsidRPr="00DF47AF">
        <w:rPr>
          <w:rFonts w:ascii="Arabic Typesetting" w:hAnsi="Arabic Typesetting" w:cs="Arabic Typesetting"/>
          <w:sz w:val="34"/>
          <w:szCs w:val="34"/>
          <w:rtl/>
          <w:lang w:bidi="ar"/>
        </w:rPr>
        <w:t xml:space="preserve"> </w:t>
      </w:r>
      <w:r w:rsidRPr="00DF47AF">
        <w:rPr>
          <w:rFonts w:ascii="Arabic Typesetting" w:hAnsi="Arabic Typesetting" w:cs="Arabic Typesetting" w:hint="cs"/>
          <w:sz w:val="34"/>
          <w:szCs w:val="34"/>
          <w:rtl/>
          <w:lang w:bidi="ar"/>
        </w:rPr>
        <w:t>45</w:t>
      </w:r>
      <w:r w:rsidRPr="00DF47AF">
        <w:rPr>
          <w:rFonts w:ascii="Arabic Typesetting" w:hAnsi="Arabic Typesetting" w:cs="Arabic Typesetting"/>
          <w:sz w:val="34"/>
          <w:szCs w:val="34"/>
          <w:rtl/>
          <w:lang w:bidi="ar"/>
        </w:rPr>
        <w:t xml:space="preserve"> </w:t>
      </w:r>
      <w:r w:rsidRPr="00DF47AF">
        <w:rPr>
          <w:rFonts w:ascii="Arabic Typesetting" w:hAnsi="Arabic Typesetting" w:cs="Arabic Typesetting" w:hint="cs"/>
          <w:sz w:val="34"/>
          <w:szCs w:val="34"/>
          <w:rtl/>
        </w:rPr>
        <w:t xml:space="preserve">في </w:t>
      </w:r>
      <w:r w:rsidRPr="00DF47AF">
        <w:rPr>
          <w:rFonts w:ascii="Arabic Typesetting" w:hAnsi="Arabic Typesetting" w:cs="Arabic Typesetting"/>
          <w:sz w:val="34"/>
          <w:szCs w:val="34"/>
          <w:rtl/>
        </w:rPr>
        <w:t>الم</w:t>
      </w:r>
      <w:r w:rsidRPr="00DF47AF">
        <w:rPr>
          <w:rFonts w:ascii="Arabic Typesetting" w:hAnsi="Arabic Typesetting" w:cs="Arabic Typesetting" w:hint="cs"/>
          <w:sz w:val="34"/>
          <w:szCs w:val="34"/>
          <w:rtl/>
        </w:rPr>
        <w:t>ا</w:t>
      </w:r>
      <w:r w:rsidRPr="00DF47AF">
        <w:rPr>
          <w:rFonts w:ascii="Arabic Typesetting" w:hAnsi="Arabic Typesetting" w:cs="Arabic Typesetting"/>
          <w:sz w:val="34"/>
          <w:szCs w:val="34"/>
          <w:rtl/>
        </w:rPr>
        <w:t xml:space="preserve">ئة، </w:t>
      </w:r>
      <w:r w:rsidRPr="00DF47AF">
        <w:rPr>
          <w:rFonts w:ascii="Arabic Typesetting" w:hAnsi="Arabic Typesetting" w:cs="Arabic Typesetting" w:hint="cs"/>
          <w:sz w:val="34"/>
          <w:szCs w:val="34"/>
          <w:rtl/>
        </w:rPr>
        <w:t xml:space="preserve">استمرت </w:t>
      </w:r>
      <w:r w:rsidRPr="00DF47AF">
        <w:rPr>
          <w:rFonts w:ascii="Arabic Typesetting" w:hAnsi="Arabic Typesetting" w:cs="Arabic Typesetting"/>
          <w:sz w:val="34"/>
          <w:szCs w:val="34"/>
          <w:rtl/>
        </w:rPr>
        <w:t xml:space="preserve">حصة اللغات الأسيوية </w:t>
      </w:r>
      <w:r w:rsidRPr="00DF47AF">
        <w:rPr>
          <w:rFonts w:ascii="Arabic Typesetting" w:hAnsi="Arabic Typesetting" w:cs="Arabic Typesetting" w:hint="cs"/>
          <w:sz w:val="34"/>
          <w:szCs w:val="34"/>
          <w:rtl/>
        </w:rPr>
        <w:t>في ال</w:t>
      </w:r>
      <w:r w:rsidRPr="00DF47AF">
        <w:rPr>
          <w:rFonts w:ascii="Arabic Typesetting" w:hAnsi="Arabic Typesetting" w:cs="Arabic Typesetting"/>
          <w:sz w:val="34"/>
          <w:szCs w:val="34"/>
          <w:rtl/>
        </w:rPr>
        <w:t>تزايد</w:t>
      </w:r>
      <w:r w:rsidRPr="00DF47AF">
        <w:rPr>
          <w:rFonts w:ascii="Arabic Typesetting" w:hAnsi="Arabic Typesetting" w:cs="Arabic Typesetting"/>
          <w:sz w:val="34"/>
          <w:szCs w:val="34"/>
          <w:rtl/>
          <w:lang w:bidi="ar"/>
        </w:rPr>
        <w:t xml:space="preserve">. </w:t>
      </w:r>
      <w:r w:rsidRPr="00DF47AF">
        <w:rPr>
          <w:rFonts w:ascii="Arabic Typesetting" w:hAnsi="Arabic Typesetting" w:cs="Arabic Typesetting"/>
          <w:sz w:val="34"/>
          <w:szCs w:val="34"/>
          <w:rtl/>
        </w:rPr>
        <w:t xml:space="preserve">وارتفعت حصة الطلبات المودعة بناء على </w:t>
      </w:r>
      <w:r w:rsidRPr="00DF47AF">
        <w:rPr>
          <w:rFonts w:ascii="Arabic Typesetting" w:hAnsi="Arabic Typesetting" w:cs="Arabic Typesetting" w:hint="cs"/>
          <w:sz w:val="34"/>
          <w:szCs w:val="34"/>
          <w:rtl/>
        </w:rPr>
        <w:t>ال</w:t>
      </w:r>
      <w:r w:rsidRPr="00DF47AF">
        <w:rPr>
          <w:rFonts w:ascii="Arabic Typesetting" w:hAnsi="Arabic Typesetting" w:cs="Arabic Typesetting"/>
          <w:sz w:val="34"/>
          <w:szCs w:val="34"/>
          <w:rtl/>
        </w:rPr>
        <w:t xml:space="preserve">معاهدة باللغات اليابانية والصينية والكورية من </w:t>
      </w:r>
      <w:r w:rsidRPr="00DF47AF">
        <w:rPr>
          <w:rFonts w:ascii="Arabic Typesetting" w:hAnsi="Arabic Typesetting" w:cs="Arabic Typesetting"/>
          <w:sz w:val="34"/>
          <w:szCs w:val="34"/>
          <w:rtl/>
          <w:lang w:bidi="ar"/>
        </w:rPr>
        <w:t xml:space="preserve">29.5 </w:t>
      </w:r>
      <w:r w:rsidRPr="00DF47AF">
        <w:rPr>
          <w:rFonts w:ascii="Arabic Typesetting" w:hAnsi="Arabic Typesetting" w:cs="Arabic Typesetting" w:hint="cs"/>
          <w:sz w:val="34"/>
          <w:szCs w:val="34"/>
          <w:rtl/>
        </w:rPr>
        <w:t xml:space="preserve">في </w:t>
      </w:r>
      <w:r w:rsidRPr="00DF47AF">
        <w:rPr>
          <w:rFonts w:ascii="Arabic Typesetting" w:hAnsi="Arabic Typesetting" w:cs="Arabic Typesetting"/>
          <w:sz w:val="34"/>
          <w:szCs w:val="34"/>
          <w:rtl/>
        </w:rPr>
        <w:t>الم</w:t>
      </w:r>
      <w:r w:rsidRPr="00DF47AF">
        <w:rPr>
          <w:rFonts w:ascii="Arabic Typesetting" w:hAnsi="Arabic Typesetting" w:cs="Arabic Typesetting" w:hint="cs"/>
          <w:sz w:val="34"/>
          <w:szCs w:val="34"/>
          <w:rtl/>
        </w:rPr>
        <w:t>ا</w:t>
      </w:r>
      <w:r w:rsidRPr="00DF47AF">
        <w:rPr>
          <w:rFonts w:ascii="Arabic Typesetting" w:hAnsi="Arabic Typesetting" w:cs="Arabic Typesetting"/>
          <w:sz w:val="34"/>
          <w:szCs w:val="34"/>
          <w:rtl/>
        </w:rPr>
        <w:t xml:space="preserve">ئة في عام </w:t>
      </w:r>
      <w:r w:rsidRPr="00DF47AF">
        <w:rPr>
          <w:rFonts w:ascii="Arabic Typesetting" w:hAnsi="Arabic Typesetting" w:cs="Arabic Typesetting"/>
          <w:sz w:val="34"/>
          <w:szCs w:val="34"/>
          <w:rtl/>
          <w:lang w:bidi="ar"/>
        </w:rPr>
        <w:t>20</w:t>
      </w:r>
      <w:r w:rsidRPr="00DF47AF">
        <w:rPr>
          <w:rFonts w:ascii="Arabic Typesetting" w:hAnsi="Arabic Typesetting" w:cs="Arabic Typesetting" w:hint="cs"/>
          <w:sz w:val="34"/>
          <w:szCs w:val="34"/>
          <w:rtl/>
          <w:lang w:bidi="ar"/>
        </w:rPr>
        <w:t>10</w:t>
      </w:r>
      <w:r w:rsidRPr="00DF47AF">
        <w:rPr>
          <w:rFonts w:ascii="Arabic Typesetting" w:hAnsi="Arabic Typesetting" w:cs="Arabic Typesetting"/>
          <w:sz w:val="34"/>
          <w:szCs w:val="34"/>
          <w:rtl/>
        </w:rPr>
        <w:t xml:space="preserve"> إلى </w:t>
      </w:r>
      <w:r w:rsidRPr="00DF47AF">
        <w:rPr>
          <w:rFonts w:ascii="Arabic Typesetting" w:hAnsi="Arabic Typesetting" w:cs="Arabic Typesetting" w:hint="cs"/>
          <w:sz w:val="34"/>
          <w:szCs w:val="34"/>
          <w:rtl/>
          <w:lang w:bidi="ar"/>
        </w:rPr>
        <w:t>42</w:t>
      </w:r>
      <w:r w:rsidRPr="00DF47AF">
        <w:rPr>
          <w:rFonts w:ascii="Arabic Typesetting" w:hAnsi="Arabic Typesetting" w:cs="Arabic Typesetting"/>
          <w:sz w:val="34"/>
          <w:szCs w:val="34"/>
          <w:rtl/>
          <w:lang w:bidi="ar"/>
        </w:rPr>
        <w:t xml:space="preserve"> </w:t>
      </w:r>
      <w:r w:rsidRPr="00DF47AF">
        <w:rPr>
          <w:rFonts w:ascii="Arabic Typesetting" w:hAnsi="Arabic Typesetting" w:cs="Arabic Typesetting" w:hint="cs"/>
          <w:sz w:val="34"/>
          <w:szCs w:val="34"/>
          <w:rtl/>
        </w:rPr>
        <w:t xml:space="preserve">في </w:t>
      </w:r>
      <w:r w:rsidRPr="00DF47AF">
        <w:rPr>
          <w:rFonts w:ascii="Arabic Typesetting" w:hAnsi="Arabic Typesetting" w:cs="Arabic Typesetting"/>
          <w:sz w:val="34"/>
          <w:szCs w:val="34"/>
          <w:rtl/>
        </w:rPr>
        <w:t>الم</w:t>
      </w:r>
      <w:r w:rsidRPr="00DF47AF">
        <w:rPr>
          <w:rFonts w:ascii="Arabic Typesetting" w:hAnsi="Arabic Typesetting" w:cs="Arabic Typesetting" w:hint="cs"/>
          <w:sz w:val="34"/>
          <w:szCs w:val="34"/>
          <w:rtl/>
        </w:rPr>
        <w:t>ائة</w:t>
      </w:r>
      <w:r w:rsidRPr="00DF47AF">
        <w:rPr>
          <w:rFonts w:ascii="Arabic Typesetting" w:hAnsi="Arabic Typesetting" w:cs="Arabic Typesetting"/>
          <w:sz w:val="34"/>
          <w:szCs w:val="34"/>
          <w:rtl/>
        </w:rPr>
        <w:t xml:space="preserve"> في عام </w:t>
      </w:r>
      <w:r w:rsidRPr="00DF47AF">
        <w:rPr>
          <w:rFonts w:ascii="Arabic Typesetting" w:hAnsi="Arabic Typesetting" w:cs="Arabic Typesetting"/>
          <w:sz w:val="34"/>
          <w:szCs w:val="34"/>
          <w:rtl/>
          <w:lang w:bidi="ar"/>
        </w:rPr>
        <w:t>201</w:t>
      </w:r>
      <w:r w:rsidRPr="00DF47AF">
        <w:rPr>
          <w:rFonts w:ascii="Arabic Typesetting" w:hAnsi="Arabic Typesetting" w:cs="Arabic Typesetting" w:hint="cs"/>
          <w:sz w:val="34"/>
          <w:szCs w:val="34"/>
          <w:rtl/>
          <w:lang w:bidi="ar"/>
        </w:rPr>
        <w:t>6</w:t>
      </w:r>
      <w:r w:rsidRPr="00DF47AF">
        <w:rPr>
          <w:rFonts w:ascii="Arabic Typesetting" w:hAnsi="Arabic Typesetting" w:cs="Arabic Typesetting"/>
          <w:sz w:val="34"/>
          <w:szCs w:val="34"/>
          <w:rtl/>
          <w:lang w:bidi="ar"/>
        </w:rPr>
        <w:t>.</w:t>
      </w:r>
    </w:p>
    <w:p w14:paraId="117E2C16"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sz w:val="34"/>
          <w:szCs w:val="34"/>
          <w:rtl/>
        </w:rPr>
        <w:t>وواصل الفريق العامل المعني بمعاهدة البراءات في دورت</w:t>
      </w:r>
      <w:r w:rsidRPr="003C4619">
        <w:rPr>
          <w:rFonts w:ascii="Arabic Typesetting" w:hAnsi="Arabic Typesetting" w:cs="Arabic Typesetting" w:hint="cs"/>
          <w:sz w:val="34"/>
          <w:szCs w:val="34"/>
          <w:rtl/>
        </w:rPr>
        <w:t>ه</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التاسعة</w:t>
      </w:r>
      <w:r w:rsidRPr="003C4619">
        <w:rPr>
          <w:rFonts w:ascii="Arabic Typesetting" w:hAnsi="Arabic Typesetting" w:cs="Arabic Typesetting"/>
          <w:sz w:val="34"/>
          <w:szCs w:val="34"/>
          <w:rtl/>
        </w:rPr>
        <w:t xml:space="preserve"> الت</w:t>
      </w:r>
      <w:r w:rsidRPr="003C4619">
        <w:rPr>
          <w:rFonts w:ascii="Arabic Typesetting" w:hAnsi="Arabic Typesetting" w:cs="Arabic Typesetting" w:hint="cs"/>
          <w:sz w:val="34"/>
          <w:szCs w:val="34"/>
          <w:rtl/>
        </w:rPr>
        <w:t>ي</w:t>
      </w:r>
      <w:r w:rsidRPr="003C4619">
        <w:rPr>
          <w:rFonts w:ascii="Arabic Typesetting" w:hAnsi="Arabic Typesetting" w:cs="Arabic Typesetting"/>
          <w:sz w:val="34"/>
          <w:szCs w:val="34"/>
          <w:rtl/>
        </w:rPr>
        <w:t xml:space="preserve"> عقدت في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sz w:val="34"/>
          <w:szCs w:val="34"/>
          <w:rtl/>
        </w:rPr>
        <w:t xml:space="preserve"> مناقشاته بشأن عدد من المقترحات </w:t>
      </w:r>
      <w:r w:rsidRPr="003C4619">
        <w:rPr>
          <w:rFonts w:ascii="Arabic Typesetting" w:hAnsi="Arabic Typesetting" w:cs="Arabic Typesetting" w:hint="cs"/>
          <w:sz w:val="34"/>
          <w:szCs w:val="34"/>
          <w:rtl/>
        </w:rPr>
        <w:t xml:space="preserve">الرامية إلى تعزيز أهداف المعاهدة لصالح جميع أصحاب المصلحة، بما يتماشى مع توصيات خارطة طريق المعاهدة التي أقرتها الدول الأعضاء، </w:t>
      </w:r>
      <w:r w:rsidRPr="003C4619">
        <w:rPr>
          <w:rFonts w:ascii="Arabic Typesetting" w:hAnsi="Arabic Typesetting" w:cs="Arabic Typesetting"/>
          <w:sz w:val="34"/>
          <w:szCs w:val="34"/>
          <w:rtl/>
        </w:rPr>
        <w:t xml:space="preserve">والتي </w:t>
      </w:r>
      <w:r w:rsidRPr="003C4619">
        <w:rPr>
          <w:rFonts w:ascii="Arabic Typesetting" w:hAnsi="Arabic Typesetting" w:cs="Arabic Typesetting" w:hint="cs"/>
          <w:sz w:val="34"/>
          <w:szCs w:val="34"/>
          <w:rtl/>
        </w:rPr>
        <w:t>تضمنت</w:t>
      </w:r>
      <w:r w:rsidRPr="003C4619">
        <w:rPr>
          <w:rFonts w:ascii="Arabic Typesetting" w:hAnsi="Arabic Typesetting" w:cs="Arabic Typesetting"/>
          <w:sz w:val="34"/>
          <w:szCs w:val="34"/>
          <w:rtl/>
        </w:rPr>
        <w:t xml:space="preserve"> توصيات بشأن كيفية مواءمة التنمية المستقبلية للمعاهدة</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rPr>
        <w:t xml:space="preserve"> مع توصيات </w:t>
      </w:r>
      <w:r w:rsidRPr="003C4619">
        <w:rPr>
          <w:rFonts w:ascii="Arabic Typesetting" w:hAnsi="Arabic Typesetting" w:cs="Arabic Typesetting" w:hint="cs"/>
          <w:sz w:val="34"/>
          <w:szCs w:val="34"/>
          <w:rtl/>
        </w:rPr>
        <w:t>أجندة</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التنمية</w:t>
      </w:r>
      <w:r w:rsidRPr="003C4619">
        <w:rPr>
          <w:rFonts w:ascii="Arabic Typesetting" w:hAnsi="Arabic Typesetting" w:cs="Arabic Typesetting"/>
          <w:sz w:val="34"/>
          <w:szCs w:val="34"/>
          <w:rtl/>
        </w:rPr>
        <w:t xml:space="preserve"> المعمول بها، لا سيما التوصيات من الفئتين ألف</w:t>
      </w:r>
      <w:r w:rsidRPr="003C4619">
        <w:rPr>
          <w:rFonts w:ascii="Arabic Typesetting" w:hAnsi="Arabic Typesetting" w:cs="Arabic Typesetting"/>
          <w:sz w:val="34"/>
          <w:szCs w:val="34"/>
          <w:cs/>
          <w:lang w:bidi="ar"/>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وجيم</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 وقد نظر الفريق العامل في جملة أمور من بينها؛ مسائل الخدمات القائمة على تكنولوجيا المعلومات، التي تقدم الآن فرصا جديدة بالتعاون بين المكاتب؛ إيجاد سبل أكثر فعالية للعمل معا، وتحسين تقاسم المعلومات ؛ اقتراح بتخفيض رسوم المعاهدة للجامعات ومعاهد البحث العامة؛ تنسيق المساعدة التقنية المُقدمة بموجب المعاهدة ؛ </w:t>
      </w:r>
      <w:r w:rsidRPr="003C4619">
        <w:rPr>
          <w:rFonts w:ascii="Arabic Typesetting" w:hAnsi="Arabic Typesetting" w:cs="Arabic Typesetting"/>
          <w:sz w:val="34"/>
          <w:szCs w:val="34"/>
          <w:rtl/>
        </w:rPr>
        <w:t>التنسيق في مجال تدريب فاحصي البراءات</w:t>
      </w:r>
      <w:r w:rsidRPr="003C4619">
        <w:rPr>
          <w:rFonts w:ascii="Arabic Typesetting" w:hAnsi="Arabic Typesetting" w:cs="Arabic Typesetting" w:hint="cs"/>
          <w:sz w:val="34"/>
          <w:szCs w:val="34"/>
          <w:rtl/>
        </w:rPr>
        <w:t xml:space="preserve"> بين المكاتب</w:t>
      </w:r>
      <w:r w:rsidRPr="003C4619">
        <w:rPr>
          <w:rFonts w:ascii="Arabic Typesetting" w:hAnsi="Arabic Typesetting" w:cs="Arabic Typesetting" w:hint="cs"/>
          <w:sz w:val="34"/>
          <w:szCs w:val="34"/>
          <w:rtl/>
          <w:lang w:bidi="ar"/>
        </w:rPr>
        <w:t>.</w:t>
      </w:r>
    </w:p>
    <w:p w14:paraId="306DF360"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وزاد بصورة ملحوظة استخدام النظام الالكتروني لمعاهدة البراءات في عام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hint="cs"/>
          <w:sz w:val="34"/>
          <w:szCs w:val="34"/>
          <w:rtl/>
        </w:rPr>
        <w:t xml:space="preserve">وبحلول نهاية عام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xml:space="preserve">، بدأ </w:t>
      </w:r>
      <w:r w:rsidRPr="003C4619">
        <w:rPr>
          <w:rFonts w:ascii="Arabic Typesetting" w:hAnsi="Arabic Typesetting" w:cs="Arabic Typesetting" w:hint="cs"/>
          <w:sz w:val="34"/>
          <w:szCs w:val="34"/>
          <w:rtl/>
          <w:lang w:bidi="ar"/>
        </w:rPr>
        <w:t xml:space="preserve">45 </w:t>
      </w:r>
      <w:r w:rsidRPr="003C4619">
        <w:rPr>
          <w:rFonts w:ascii="Arabic Typesetting" w:hAnsi="Arabic Typesetting" w:cs="Arabic Typesetting" w:hint="cs"/>
          <w:sz w:val="34"/>
          <w:szCs w:val="34"/>
          <w:rtl/>
        </w:rPr>
        <w:t xml:space="preserve">مكتب استلام، بمساعدة المكتب الدولي، في قبول الطلبات المودعة عن طريق النظام الإلكتروني للمعاهدة، بزيادة قدرها </w:t>
      </w:r>
      <w:r w:rsidRPr="003C4619">
        <w:rPr>
          <w:rFonts w:ascii="Arabic Typesetting" w:hAnsi="Arabic Typesetting" w:cs="Arabic Typesetting" w:hint="cs"/>
          <w:sz w:val="34"/>
          <w:szCs w:val="34"/>
          <w:rtl/>
          <w:lang w:bidi="ar"/>
        </w:rPr>
        <w:t xml:space="preserve">29 </w:t>
      </w:r>
      <w:r w:rsidRPr="003C4619">
        <w:rPr>
          <w:rFonts w:ascii="Arabic Typesetting" w:hAnsi="Arabic Typesetting" w:cs="Arabic Typesetting" w:hint="cs"/>
          <w:sz w:val="34"/>
          <w:szCs w:val="34"/>
          <w:rtl/>
        </w:rPr>
        <w:t xml:space="preserve">طلبا بالمقارنة مع نهاية عام </w:t>
      </w:r>
      <w:r w:rsidRPr="003C4619">
        <w:rPr>
          <w:rFonts w:ascii="Arabic Typesetting" w:hAnsi="Arabic Typesetting" w:cs="Arabic Typesetting" w:hint="cs"/>
          <w:sz w:val="34"/>
          <w:szCs w:val="34"/>
          <w:rtl/>
          <w:lang w:bidi="ar"/>
        </w:rPr>
        <w:t xml:space="preserve">2015. </w:t>
      </w:r>
      <w:r w:rsidRPr="003C4619">
        <w:rPr>
          <w:rFonts w:ascii="Arabic Typesetting" w:hAnsi="Arabic Typesetting" w:cs="Arabic Typesetting" w:hint="cs"/>
          <w:sz w:val="34"/>
          <w:szCs w:val="34"/>
          <w:rtl/>
        </w:rPr>
        <w:t xml:space="preserve">وارتفعت الطلبات الدولية المودعة باستخدام النظام الالكتروني للمعاهدة بنسبة </w:t>
      </w:r>
      <w:r w:rsidRPr="003C4619">
        <w:rPr>
          <w:rFonts w:ascii="Arabic Typesetting" w:hAnsi="Arabic Typesetting" w:cs="Arabic Typesetting" w:hint="cs"/>
          <w:sz w:val="34"/>
          <w:szCs w:val="34"/>
          <w:rtl/>
          <w:lang w:bidi="ar"/>
        </w:rPr>
        <w:t xml:space="preserve">50 </w:t>
      </w:r>
      <w:r w:rsidRPr="003C4619">
        <w:rPr>
          <w:rFonts w:ascii="Arabic Typesetting" w:hAnsi="Arabic Typesetting" w:cs="Arabic Typesetting" w:hint="cs"/>
          <w:sz w:val="34"/>
          <w:szCs w:val="34"/>
          <w:rtl/>
        </w:rPr>
        <w:t xml:space="preserve">في المائة، من </w:t>
      </w:r>
      <w:r w:rsidRPr="003C4619">
        <w:rPr>
          <w:rFonts w:ascii="Arabic Typesetting" w:hAnsi="Arabic Typesetting" w:cs="Arabic Typesetting" w:hint="cs"/>
          <w:sz w:val="34"/>
          <w:szCs w:val="34"/>
          <w:rtl/>
          <w:lang w:bidi="ar"/>
        </w:rPr>
        <w:t xml:space="preserve">229 7 </w:t>
      </w:r>
      <w:r w:rsidRPr="003C4619">
        <w:rPr>
          <w:rFonts w:ascii="Arabic Typesetting" w:hAnsi="Arabic Typesetting" w:cs="Arabic Typesetting" w:hint="cs"/>
          <w:sz w:val="34"/>
          <w:szCs w:val="34"/>
          <w:rtl/>
        </w:rPr>
        <w:t xml:space="preserve">إلى </w:t>
      </w:r>
      <w:r w:rsidRPr="003C4619">
        <w:rPr>
          <w:rFonts w:ascii="Arabic Typesetting" w:hAnsi="Arabic Typesetting" w:cs="Arabic Typesetting" w:hint="cs"/>
          <w:sz w:val="34"/>
          <w:szCs w:val="34"/>
          <w:rtl/>
          <w:lang w:bidi="ar"/>
        </w:rPr>
        <w:t xml:space="preserve">843 10 </w:t>
      </w:r>
      <w:r w:rsidRPr="003C4619">
        <w:rPr>
          <w:rFonts w:ascii="Arabic Typesetting" w:hAnsi="Arabic Typesetting" w:cs="Arabic Typesetting" w:hint="cs"/>
          <w:sz w:val="34"/>
          <w:szCs w:val="34"/>
          <w:rtl/>
        </w:rPr>
        <w:t>طلبا</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وقد سمح ما يقرب من </w:t>
      </w:r>
      <w:r w:rsidRPr="003C4619">
        <w:rPr>
          <w:rFonts w:ascii="Arabic Typesetting" w:hAnsi="Arabic Typesetting" w:cs="Arabic Typesetting" w:hint="cs"/>
          <w:sz w:val="34"/>
          <w:szCs w:val="34"/>
          <w:rtl/>
          <w:lang w:bidi="ar"/>
        </w:rPr>
        <w:t xml:space="preserve">45 </w:t>
      </w:r>
      <w:r w:rsidRPr="003C4619">
        <w:rPr>
          <w:rFonts w:ascii="Arabic Typesetting" w:hAnsi="Arabic Typesetting" w:cs="Arabic Typesetting" w:hint="cs"/>
          <w:sz w:val="34"/>
          <w:szCs w:val="34"/>
          <w:rtl/>
        </w:rPr>
        <w:t xml:space="preserve">مكتب استلام و </w:t>
      </w:r>
      <w:r w:rsidRPr="003C4619">
        <w:rPr>
          <w:rFonts w:ascii="Arabic Typesetting" w:hAnsi="Arabic Typesetting" w:cs="Arabic Typesetting" w:hint="cs"/>
          <w:sz w:val="34"/>
          <w:szCs w:val="34"/>
          <w:rtl/>
          <w:lang w:bidi="ar"/>
        </w:rPr>
        <w:t xml:space="preserve">13 </w:t>
      </w:r>
      <w:r w:rsidRPr="003C4619">
        <w:rPr>
          <w:rFonts w:ascii="Arabic Typesetting" w:hAnsi="Arabic Typesetting" w:cs="Arabic Typesetting" w:hint="cs"/>
          <w:sz w:val="34"/>
          <w:szCs w:val="34"/>
          <w:rtl/>
        </w:rPr>
        <w:t>إدارة بحث دولي بتقديم وثائق ما بعد الإيداع عن طريق النظام الالكتروني للمعاهدة</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 xml:space="preserve">بالمقارنة مع </w:t>
      </w:r>
      <w:r w:rsidRPr="003C4619">
        <w:rPr>
          <w:rFonts w:ascii="Arabic Typesetting" w:hAnsi="Arabic Typesetting" w:cs="Arabic Typesetting" w:hint="cs"/>
          <w:sz w:val="34"/>
          <w:szCs w:val="34"/>
          <w:rtl/>
          <w:lang w:bidi="ar"/>
        </w:rPr>
        <w:t xml:space="preserve">34 </w:t>
      </w:r>
      <w:r w:rsidRPr="003C4619">
        <w:rPr>
          <w:rFonts w:ascii="Arabic Typesetting" w:hAnsi="Arabic Typesetting" w:cs="Arabic Typesetting" w:hint="cs"/>
          <w:sz w:val="34"/>
          <w:szCs w:val="34"/>
          <w:rtl/>
        </w:rPr>
        <w:t>و</w:t>
      </w:r>
      <w:r w:rsidRPr="003C4619">
        <w:rPr>
          <w:rFonts w:ascii="Arabic Typesetting" w:hAnsi="Arabic Typesetting" w:cs="Arabic Typesetting" w:hint="cs"/>
          <w:sz w:val="34"/>
          <w:szCs w:val="34"/>
          <w:rtl/>
          <w:lang w:bidi="ar"/>
        </w:rPr>
        <w:t xml:space="preserve">8 </w:t>
      </w:r>
      <w:r w:rsidRPr="003C4619">
        <w:rPr>
          <w:rFonts w:ascii="Arabic Typesetting" w:hAnsi="Arabic Typesetting" w:cs="Arabic Typesetting" w:hint="cs"/>
          <w:sz w:val="34"/>
          <w:szCs w:val="34"/>
          <w:rtl/>
        </w:rPr>
        <w:t>على التوالي</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وعلاوة على ذلك، أُطلقت خدمة تجريبية جديدة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sz w:val="34"/>
          <w:szCs w:val="34"/>
          <w:lang w:bidi="ar"/>
        </w:rPr>
        <w:t xml:space="preserve"> "eSearchCopy</w:t>
      </w:r>
      <w:r w:rsidRPr="003C4619">
        <w:rPr>
          <w:rFonts w:ascii="Arabic Typesetting" w:hAnsi="Arabic Typesetting" w:cs="Arabic Typesetting" w:hint="cs"/>
          <w:sz w:val="34"/>
          <w:szCs w:val="34"/>
          <w:rtl/>
        </w:rPr>
        <w:t xml:space="preserve"> في </w:t>
      </w:r>
      <w:r w:rsidRPr="003C4619">
        <w:rPr>
          <w:rFonts w:ascii="Arabic Typesetting" w:hAnsi="Arabic Typesetting" w:cs="Arabic Typesetting" w:hint="cs"/>
          <w:sz w:val="34"/>
          <w:szCs w:val="34"/>
          <w:rtl/>
          <w:lang w:bidi="ar"/>
        </w:rPr>
        <w:t>2014</w:t>
      </w:r>
      <w:r w:rsidRPr="003C4619">
        <w:rPr>
          <w:rFonts w:ascii="Arabic Typesetting" w:hAnsi="Arabic Typesetting" w:cs="Arabic Typesetting" w:hint="cs"/>
          <w:sz w:val="34"/>
          <w:szCs w:val="34"/>
          <w:rtl/>
        </w:rPr>
        <w:t xml:space="preserve">، </w:t>
      </w:r>
      <w:r w:rsidRPr="003C4619">
        <w:rPr>
          <w:rFonts w:ascii="Arabic Typesetting" w:hAnsi="Arabic Typesetting" w:cs="Arabic Typesetting"/>
          <w:sz w:val="34"/>
          <w:szCs w:val="34"/>
          <w:rtl/>
        </w:rPr>
        <w:t>حيث يعدُّ المكتب الدولي نسخ البحث ويحيلها إلى إدارة البحث الدولي باسم مكتب تسلّم الطلبات بغية إصدار البحث الدولي في الوقت المناسب وتعزيز فعاليته</w:t>
      </w:r>
      <w:r w:rsidRPr="003C4619">
        <w:rPr>
          <w:rFonts w:ascii="Arabic Typesetting" w:hAnsi="Arabic Typesetting" w:cs="Arabic Typesetting"/>
          <w:sz w:val="34"/>
          <w:szCs w:val="34"/>
          <w:rtl/>
          <w:lang w:bidi="ar"/>
        </w:rPr>
        <w:t>.</w:t>
      </w:r>
      <w:r w:rsidRPr="003C4619">
        <w:rPr>
          <w:rFonts w:ascii="Arabic Typesetting" w:hAnsi="Arabic Typesetting" w:cs="Arabic Typesetting" w:hint="cs"/>
          <w:sz w:val="34"/>
          <w:szCs w:val="34"/>
          <w:rtl/>
        </w:rPr>
        <w:t xml:space="preserve"> وقد اتسع نطاق </w:t>
      </w:r>
      <w:r w:rsidRPr="003C4619">
        <w:rPr>
          <w:rFonts w:ascii="Arabic Typesetting" w:hAnsi="Arabic Typesetting" w:cs="Arabic Typesetting"/>
          <w:sz w:val="34"/>
          <w:szCs w:val="34"/>
          <w:rtl/>
        </w:rPr>
        <w:t xml:space="preserve">هذه الخدمة </w:t>
      </w:r>
      <w:r w:rsidRPr="003C4619">
        <w:rPr>
          <w:rFonts w:ascii="Arabic Typesetting" w:hAnsi="Arabic Typesetting" w:cs="Arabic Typesetting" w:hint="cs"/>
          <w:sz w:val="34"/>
          <w:szCs w:val="34"/>
          <w:rtl/>
        </w:rPr>
        <w:t xml:space="preserve">من </w:t>
      </w:r>
      <w:r w:rsidRPr="003C4619">
        <w:rPr>
          <w:rFonts w:ascii="Arabic Typesetting" w:hAnsi="Arabic Typesetting" w:cs="Arabic Typesetting" w:hint="cs"/>
          <w:sz w:val="34"/>
          <w:szCs w:val="34"/>
          <w:rtl/>
          <w:lang w:bidi="ar"/>
        </w:rPr>
        <w:t xml:space="preserve">28 </w:t>
      </w:r>
      <w:r w:rsidRPr="003C4619">
        <w:rPr>
          <w:rFonts w:ascii="Arabic Typesetting" w:hAnsi="Arabic Typesetting" w:cs="Arabic Typesetting" w:hint="cs"/>
          <w:sz w:val="34"/>
          <w:szCs w:val="34"/>
          <w:rtl/>
        </w:rPr>
        <w:t xml:space="preserve">زوجا من المكاتب في نهاية عام </w:t>
      </w:r>
      <w:r w:rsidRPr="003C4619">
        <w:rPr>
          <w:rFonts w:ascii="Arabic Typesetting" w:hAnsi="Arabic Typesetting" w:cs="Arabic Typesetting" w:hint="cs"/>
          <w:sz w:val="34"/>
          <w:szCs w:val="34"/>
          <w:rtl/>
          <w:lang w:bidi="ar"/>
        </w:rPr>
        <w:t>2015</w:t>
      </w:r>
      <w:r w:rsidRPr="003C4619">
        <w:rPr>
          <w:rFonts w:ascii="Arabic Typesetting" w:hAnsi="Arabic Typesetting" w:cs="Arabic Typesetting" w:hint="cs"/>
          <w:sz w:val="34"/>
          <w:szCs w:val="34"/>
          <w:rtl/>
        </w:rPr>
        <w:t xml:space="preserve">، </w:t>
      </w:r>
      <w:r w:rsidRPr="003C4619">
        <w:rPr>
          <w:rFonts w:ascii="Arabic Typesetting" w:hAnsi="Arabic Typesetting" w:cs="Arabic Typesetting"/>
          <w:sz w:val="34"/>
          <w:szCs w:val="34"/>
          <w:rtl/>
        </w:rPr>
        <w:t>منها ست إدارات للبحث الدولي و</w:t>
      </w:r>
      <w:r w:rsidRPr="003C4619">
        <w:rPr>
          <w:rFonts w:ascii="Arabic Typesetting" w:hAnsi="Arabic Typesetting" w:cs="Arabic Typesetting"/>
          <w:sz w:val="34"/>
          <w:szCs w:val="34"/>
          <w:rtl/>
          <w:lang w:bidi="ar"/>
        </w:rPr>
        <w:t xml:space="preserve">15 </w:t>
      </w:r>
      <w:r w:rsidRPr="003C4619">
        <w:rPr>
          <w:rFonts w:ascii="Arabic Typesetting" w:hAnsi="Arabic Typesetting" w:cs="Arabic Typesetting"/>
          <w:sz w:val="34"/>
          <w:szCs w:val="34"/>
          <w:rtl/>
        </w:rPr>
        <w:t xml:space="preserve">مكتبا لتسلّم الطلبات بحلول عام </w:t>
      </w:r>
      <w:r w:rsidRPr="003C4619">
        <w:rPr>
          <w:rFonts w:ascii="Arabic Typesetting" w:hAnsi="Arabic Typesetting" w:cs="Arabic Typesetting"/>
          <w:sz w:val="34"/>
          <w:szCs w:val="34"/>
          <w:rtl/>
          <w:lang w:bidi="ar"/>
        </w:rPr>
        <w:t>2015.</w:t>
      </w:r>
      <w:r w:rsidRPr="003C4619">
        <w:rPr>
          <w:rFonts w:ascii="Arabic Typesetting" w:hAnsi="Arabic Typesetting" w:cs="Arabic Typesetting" w:hint="cs"/>
          <w:sz w:val="34"/>
          <w:szCs w:val="34"/>
          <w:rtl/>
        </w:rPr>
        <w:t xml:space="preserve"> ، ليصل إلى </w:t>
      </w:r>
      <w:r w:rsidRPr="003C4619">
        <w:rPr>
          <w:rFonts w:ascii="Arabic Typesetting" w:hAnsi="Arabic Typesetting" w:cs="Arabic Typesetting" w:hint="cs"/>
          <w:sz w:val="34"/>
          <w:szCs w:val="34"/>
          <w:rtl/>
          <w:lang w:bidi="ar"/>
        </w:rPr>
        <w:t xml:space="preserve">65 </w:t>
      </w:r>
      <w:r w:rsidRPr="003C4619">
        <w:rPr>
          <w:rFonts w:ascii="Arabic Typesetting" w:hAnsi="Arabic Typesetting" w:cs="Arabic Typesetting" w:hint="cs"/>
          <w:sz w:val="34"/>
          <w:szCs w:val="34"/>
          <w:rtl/>
        </w:rPr>
        <w:t xml:space="preserve">زوجا من المكاتب، منها </w:t>
      </w:r>
      <w:r w:rsidRPr="003C4619">
        <w:rPr>
          <w:rFonts w:ascii="Arabic Typesetting" w:hAnsi="Arabic Typesetting" w:cs="Arabic Typesetting" w:hint="cs"/>
          <w:sz w:val="34"/>
          <w:szCs w:val="34"/>
          <w:rtl/>
          <w:lang w:bidi="ar"/>
        </w:rPr>
        <w:t xml:space="preserve">13 </w:t>
      </w:r>
      <w:r w:rsidRPr="003C4619">
        <w:rPr>
          <w:rFonts w:ascii="Arabic Typesetting" w:hAnsi="Arabic Typesetting" w:cs="Arabic Typesetting" w:hint="cs"/>
          <w:sz w:val="34"/>
          <w:szCs w:val="34"/>
          <w:rtl/>
        </w:rPr>
        <w:t xml:space="preserve">إدارة للبحث الدولي و </w:t>
      </w:r>
      <w:r w:rsidRPr="003C4619">
        <w:rPr>
          <w:rFonts w:ascii="Arabic Typesetting" w:hAnsi="Arabic Typesetting" w:cs="Arabic Typesetting" w:hint="cs"/>
          <w:sz w:val="34"/>
          <w:szCs w:val="34"/>
          <w:rtl/>
          <w:lang w:bidi="ar"/>
        </w:rPr>
        <w:t xml:space="preserve">45 </w:t>
      </w:r>
      <w:r w:rsidRPr="003C4619">
        <w:rPr>
          <w:rFonts w:ascii="Arabic Typesetting" w:hAnsi="Arabic Typesetting" w:cs="Arabic Typesetting" w:hint="cs"/>
          <w:sz w:val="34"/>
          <w:szCs w:val="34"/>
          <w:rtl/>
        </w:rPr>
        <w:t>مكتبا لتسلم الطلبات</w:t>
      </w:r>
      <w:r w:rsidRPr="003C4619">
        <w:rPr>
          <w:rFonts w:ascii="Arabic Typesetting" w:hAnsi="Arabic Typesetting" w:cs="Arabic Typesetting" w:hint="cs"/>
          <w:sz w:val="34"/>
          <w:szCs w:val="34"/>
          <w:rtl/>
          <w:lang w:bidi="ar"/>
        </w:rPr>
        <w:t>.</w:t>
      </w:r>
    </w:p>
    <w:p w14:paraId="051E8A3D" w14:textId="41DF85E0" w:rsidR="003C4619" w:rsidRPr="003C4619" w:rsidRDefault="003C4619" w:rsidP="00DF47AF">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وسجل نظام مدريد رقما قياسيا عام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حيث بلغ عدد الطلبات الدولية المودعة</w:t>
      </w:r>
      <w:r w:rsidR="00DF47AF">
        <w:rPr>
          <w:rFonts w:ascii="Arabic Typesetting" w:hAnsi="Arabic Typesetting" w:cs="Arabic Typesetting" w:hint="cs"/>
          <w:sz w:val="34"/>
          <w:szCs w:val="34"/>
          <w:rtl/>
          <w:lang w:bidi="ar"/>
        </w:rPr>
        <w:t xml:space="preserve">550 52 </w:t>
      </w:r>
      <w:r w:rsidRPr="003C4619">
        <w:rPr>
          <w:rFonts w:ascii="Arabic Typesetting" w:hAnsi="Arabic Typesetting" w:cs="Arabic Typesetting" w:hint="cs"/>
          <w:sz w:val="34"/>
          <w:szCs w:val="34"/>
          <w:rtl/>
        </w:rPr>
        <w:t>طلبا، مما يمثل زيادة قدرها</w:t>
      </w:r>
      <w:r w:rsidR="00DF47AF">
        <w:rPr>
          <w:rFonts w:ascii="Arabic Typesetting" w:hAnsi="Arabic Typesetting" w:cs="Arabic Typesetting" w:hint="cs"/>
          <w:sz w:val="34"/>
          <w:szCs w:val="34"/>
          <w:rtl/>
        </w:rPr>
        <w:t xml:space="preserve"> </w:t>
      </w:r>
      <w:r w:rsidR="00DF47AF">
        <w:rPr>
          <w:rFonts w:ascii="Arabic Typesetting" w:hAnsi="Arabic Typesetting" w:cs="Arabic Typesetting" w:hint="cs"/>
          <w:sz w:val="34"/>
          <w:szCs w:val="34"/>
          <w:rtl/>
          <w:lang w:bidi="ar"/>
        </w:rPr>
        <w:t xml:space="preserve">7.2 </w:t>
      </w:r>
      <w:r w:rsidRPr="003C4619">
        <w:rPr>
          <w:rFonts w:ascii="Arabic Typesetting" w:hAnsi="Arabic Typesetting" w:cs="Arabic Typesetting" w:hint="cs"/>
          <w:sz w:val="34"/>
          <w:szCs w:val="34"/>
          <w:rtl/>
        </w:rPr>
        <w:t xml:space="preserve">في المائة في إيداعات </w:t>
      </w:r>
      <w:r w:rsidRPr="003C4619">
        <w:rPr>
          <w:rFonts w:ascii="Arabic Typesetting" w:hAnsi="Arabic Typesetting" w:cs="Arabic Typesetting" w:hint="cs"/>
          <w:sz w:val="34"/>
          <w:szCs w:val="34"/>
          <w:rtl/>
          <w:lang w:bidi="ar"/>
        </w:rPr>
        <w:t xml:space="preserve">2015. </w:t>
      </w:r>
      <w:r w:rsidRPr="003C4619">
        <w:rPr>
          <w:rFonts w:ascii="Arabic Typesetting" w:hAnsi="Arabic Typesetting" w:cs="Arabic Typesetting" w:hint="cs"/>
          <w:sz w:val="34"/>
          <w:szCs w:val="34"/>
          <w:rtl/>
        </w:rPr>
        <w:t xml:space="preserve">وبحلول نهاية العام، كان سجل مدريد يضم ما مجموعه </w:t>
      </w:r>
      <w:r w:rsidRPr="003C4619">
        <w:rPr>
          <w:rFonts w:ascii="Arabic Typesetting" w:hAnsi="Arabic Typesetting" w:cs="Arabic Typesetting" w:hint="cs"/>
          <w:sz w:val="34"/>
          <w:szCs w:val="34"/>
          <w:rtl/>
          <w:lang w:bidi="ar"/>
        </w:rPr>
        <w:t xml:space="preserve">587 641 </w:t>
      </w:r>
      <w:r w:rsidRPr="003C4619">
        <w:rPr>
          <w:rFonts w:ascii="Arabic Typesetting" w:hAnsi="Arabic Typesetting" w:cs="Arabic Typesetting" w:hint="cs"/>
          <w:sz w:val="34"/>
          <w:szCs w:val="34"/>
          <w:rtl/>
        </w:rPr>
        <w:t xml:space="preserve">طلبا دوليا أي ما يعادل </w:t>
      </w:r>
      <w:r w:rsidRPr="003C4619">
        <w:rPr>
          <w:rFonts w:ascii="Arabic Typesetting" w:hAnsi="Arabic Typesetting" w:cs="Arabic Typesetting" w:hint="cs"/>
          <w:sz w:val="34"/>
          <w:szCs w:val="34"/>
          <w:rtl/>
          <w:lang w:bidi="ar"/>
        </w:rPr>
        <w:t xml:space="preserve">5.71 </w:t>
      </w:r>
      <w:r w:rsidRPr="003C4619">
        <w:rPr>
          <w:rFonts w:ascii="Arabic Typesetting" w:hAnsi="Arabic Typesetting" w:cs="Arabic Typesetting" w:hint="cs"/>
          <w:sz w:val="34"/>
          <w:szCs w:val="34"/>
          <w:rtl/>
        </w:rPr>
        <w:t>مليون تسجيلا وطنيا أو إقليميا للعلامات التجارية</w:t>
      </w:r>
      <w:r w:rsidRPr="003C4619">
        <w:rPr>
          <w:rFonts w:ascii="Arabic Typesetting" w:hAnsi="Arabic Typesetting" w:cs="Arabic Typesetting" w:hint="cs"/>
          <w:sz w:val="34"/>
          <w:szCs w:val="34"/>
          <w:rtl/>
          <w:lang w:bidi="ar"/>
        </w:rPr>
        <w:t>.</w:t>
      </w:r>
    </w:p>
    <w:p w14:paraId="7FA9E9E6" w14:textId="77777777" w:rsidR="003C4619" w:rsidRPr="003C4619" w:rsidRDefault="003C4619" w:rsidP="00DF399F">
      <w:pPr>
        <w:numPr>
          <w:ilvl w:val="0"/>
          <w:numId w:val="68"/>
        </w:numPr>
        <w:bidi/>
        <w:spacing w:after="18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lastRenderedPageBreak/>
        <w:t xml:space="preserve">كما أحرز فريق عمل مدريد تقدما جيدا في عام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وأدخل عددا من التغييرات في القواعد التي اعتمدتها جمعية اتحاد مدريد</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وعلاوة على ذلك، أقر الفريق على خريطة طريق للعمل بشأن مواضيع محددة على المدى القصير والمتوسط والطويل</w:t>
      </w:r>
      <w:r w:rsidRPr="003C4619">
        <w:rPr>
          <w:rFonts w:ascii="Arabic Typesetting" w:hAnsi="Arabic Typesetting" w:cs="Arabic Typesetting" w:hint="cs"/>
          <w:sz w:val="34"/>
          <w:szCs w:val="34"/>
          <w:rtl/>
          <w:lang w:bidi="ar"/>
        </w:rPr>
        <w:t>.</w:t>
      </w:r>
    </w:p>
    <w:p w14:paraId="347F0F0C" w14:textId="4780E62B" w:rsidR="003C4619" w:rsidRPr="003C4619" w:rsidRDefault="003C4619" w:rsidP="00DF399F">
      <w:pPr>
        <w:numPr>
          <w:ilvl w:val="0"/>
          <w:numId w:val="68"/>
        </w:numPr>
        <w:bidi/>
        <w:spacing w:after="18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وتلقى نظام لاهاي رقما قياسيا من الطلبات لم يسبق له مثيل في عام </w:t>
      </w:r>
      <w:r w:rsidRPr="003C4619">
        <w:rPr>
          <w:rFonts w:ascii="Arabic Typesetting" w:hAnsi="Arabic Typesetting" w:cs="Arabic Typesetting" w:hint="cs"/>
          <w:sz w:val="34"/>
          <w:szCs w:val="34"/>
          <w:rtl/>
          <w:lang w:bidi="ar"/>
        </w:rPr>
        <w:t xml:space="preserve">2016 (562 5 </w:t>
      </w:r>
      <w:r w:rsidRPr="003C4619">
        <w:rPr>
          <w:rFonts w:ascii="Arabic Typesetting" w:hAnsi="Arabic Typesetting" w:cs="Arabic Typesetting" w:hint="cs"/>
          <w:sz w:val="34"/>
          <w:szCs w:val="34"/>
          <w:rtl/>
        </w:rPr>
        <w:t>طلبا</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 xml:space="preserve">، وهو ما يمثل معدل نمو أعلى بنسبة </w:t>
      </w:r>
      <w:r w:rsidRPr="003C4619">
        <w:rPr>
          <w:rFonts w:ascii="Arabic Typesetting" w:hAnsi="Arabic Typesetting" w:cs="Arabic Typesetting" w:hint="cs"/>
          <w:sz w:val="34"/>
          <w:szCs w:val="34"/>
          <w:rtl/>
          <w:lang w:bidi="ar"/>
        </w:rPr>
        <w:t xml:space="preserve">35 </w:t>
      </w:r>
      <w:r w:rsidRPr="003C4619">
        <w:rPr>
          <w:rFonts w:ascii="Arabic Typesetting" w:hAnsi="Arabic Typesetting" w:cs="Arabic Typesetting" w:hint="cs"/>
          <w:sz w:val="34"/>
          <w:szCs w:val="34"/>
          <w:rtl/>
        </w:rPr>
        <w:t xml:space="preserve">في المائة عن عام </w:t>
      </w:r>
      <w:r w:rsidRPr="003C4619">
        <w:rPr>
          <w:rFonts w:ascii="Arabic Typesetting" w:hAnsi="Arabic Typesetting" w:cs="Arabic Typesetting" w:hint="cs"/>
          <w:sz w:val="34"/>
          <w:szCs w:val="34"/>
          <w:rtl/>
          <w:lang w:bidi="ar"/>
        </w:rPr>
        <w:t xml:space="preserve">2015. </w:t>
      </w:r>
      <w:r w:rsidRPr="003C4619">
        <w:rPr>
          <w:rFonts w:ascii="Arabic Typesetting" w:hAnsi="Arabic Typesetting" w:cs="Arabic Typesetting" w:hint="cs"/>
          <w:sz w:val="34"/>
          <w:szCs w:val="34"/>
          <w:rtl/>
        </w:rPr>
        <w:t>وزاد أيضا عدد التصاميم</w:t>
      </w:r>
      <w:r w:rsidR="00DF47AF">
        <w:rPr>
          <w:rFonts w:ascii="Arabic Typesetting" w:hAnsi="Arabic Typesetting" w:cs="Arabic Typesetting" w:hint="cs"/>
          <w:sz w:val="34"/>
          <w:szCs w:val="34"/>
          <w:rtl/>
        </w:rPr>
        <w:t xml:space="preserve"> </w:t>
      </w:r>
      <w:r w:rsidRPr="003C4619">
        <w:rPr>
          <w:rFonts w:ascii="Arabic Typesetting" w:hAnsi="Arabic Typesetting" w:cs="Arabic Typesetting" w:hint="cs"/>
          <w:sz w:val="34"/>
          <w:szCs w:val="34"/>
          <w:rtl/>
        </w:rPr>
        <w:t xml:space="preserve">بنسبة </w:t>
      </w:r>
      <w:r w:rsidRPr="003C4619">
        <w:rPr>
          <w:rFonts w:ascii="Arabic Typesetting" w:hAnsi="Arabic Typesetting" w:cs="Arabic Typesetting" w:hint="cs"/>
          <w:sz w:val="34"/>
          <w:szCs w:val="34"/>
          <w:rtl/>
          <w:lang w:bidi="ar"/>
        </w:rPr>
        <w:t xml:space="preserve">14 </w:t>
      </w:r>
      <w:r w:rsidRPr="003C4619">
        <w:rPr>
          <w:rFonts w:ascii="Arabic Typesetting" w:hAnsi="Arabic Typesetting" w:cs="Arabic Typesetting" w:hint="cs"/>
          <w:sz w:val="34"/>
          <w:szCs w:val="34"/>
          <w:rtl/>
        </w:rPr>
        <w:t xml:space="preserve">في المائة عن عام </w:t>
      </w:r>
      <w:r w:rsidRPr="003C4619">
        <w:rPr>
          <w:rFonts w:ascii="Arabic Typesetting" w:hAnsi="Arabic Typesetting" w:cs="Arabic Typesetting" w:hint="cs"/>
          <w:sz w:val="34"/>
          <w:szCs w:val="34"/>
          <w:rtl/>
          <w:lang w:bidi="ar"/>
        </w:rPr>
        <w:t>2015</w:t>
      </w:r>
      <w:r w:rsidRPr="003C4619">
        <w:rPr>
          <w:rFonts w:ascii="Arabic Typesetting" w:hAnsi="Arabic Typesetting" w:cs="Arabic Typesetting" w:hint="cs"/>
          <w:sz w:val="34"/>
          <w:szCs w:val="34"/>
          <w:rtl/>
        </w:rPr>
        <w:t>، وإن كان بوتيرة أبطأ، مما يؤكد تراجعا في متوسط عدد التصاميم لكل طلب، ويُعزى ذلك إلى تزايد عدد الولايات القضائية المنوط بها الفحص جراء التوسع في نظام لاهاي</w:t>
      </w:r>
      <w:r w:rsidRPr="003C4619">
        <w:rPr>
          <w:rFonts w:ascii="Arabic Typesetting" w:hAnsi="Arabic Typesetting" w:cs="Arabic Typesetting" w:hint="cs"/>
          <w:sz w:val="34"/>
          <w:szCs w:val="34"/>
          <w:rtl/>
          <w:lang w:bidi="ar"/>
        </w:rPr>
        <w:t>.</w:t>
      </w:r>
    </w:p>
    <w:p w14:paraId="097107D2" w14:textId="77777777" w:rsidR="003C4619" w:rsidRPr="003C4619" w:rsidRDefault="003C4619" w:rsidP="00DF399F">
      <w:pPr>
        <w:numPr>
          <w:ilvl w:val="0"/>
          <w:numId w:val="68"/>
        </w:numPr>
        <w:bidi/>
        <w:spacing w:after="18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وقد ارتفع عدد أعضاء وثيقة </w:t>
      </w:r>
      <w:r w:rsidRPr="003C4619">
        <w:rPr>
          <w:rFonts w:ascii="Arabic Typesetting" w:hAnsi="Arabic Typesetting" w:cs="Arabic Typesetting" w:hint="cs"/>
          <w:sz w:val="34"/>
          <w:szCs w:val="34"/>
          <w:rtl/>
          <w:lang w:bidi="ar"/>
        </w:rPr>
        <w:t xml:space="preserve">1999 </w:t>
      </w:r>
      <w:r w:rsidRPr="003C4619">
        <w:rPr>
          <w:rFonts w:ascii="Arabic Typesetting" w:hAnsi="Arabic Typesetting" w:cs="Arabic Typesetting" w:hint="cs"/>
          <w:sz w:val="34"/>
          <w:szCs w:val="34"/>
          <w:rtl/>
        </w:rPr>
        <w:t xml:space="preserve">لنظام لاهاي إلى </w:t>
      </w:r>
      <w:r w:rsidRPr="003C4619">
        <w:rPr>
          <w:rFonts w:ascii="Arabic Typesetting" w:hAnsi="Arabic Typesetting" w:cs="Arabic Typesetting" w:hint="cs"/>
          <w:sz w:val="34"/>
          <w:szCs w:val="34"/>
          <w:rtl/>
          <w:lang w:bidi="ar"/>
        </w:rPr>
        <w:t xml:space="preserve">52 </w:t>
      </w:r>
      <w:r w:rsidRPr="003C4619">
        <w:rPr>
          <w:rFonts w:ascii="Arabic Typesetting" w:hAnsi="Arabic Typesetting" w:cs="Arabic Typesetting" w:hint="cs"/>
          <w:sz w:val="34"/>
          <w:szCs w:val="34"/>
          <w:rtl/>
        </w:rPr>
        <w:t>بلدا، عقب انضمام جمهورية كوريا الشعبية الديمقراطية وكمبوديا</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ويعني أيضا انضمام جمهورية كوريا انخفاض عدد البلدان التي تتقيد بأحكام وثيقة عام </w:t>
      </w:r>
      <w:r w:rsidRPr="003C4619">
        <w:rPr>
          <w:rFonts w:ascii="Arabic Typesetting" w:hAnsi="Arabic Typesetting" w:cs="Arabic Typesetting" w:hint="cs"/>
          <w:sz w:val="34"/>
          <w:szCs w:val="34"/>
          <w:rtl/>
          <w:lang w:bidi="ar"/>
        </w:rPr>
        <w:t xml:space="preserve">1960 </w:t>
      </w:r>
      <w:r w:rsidRPr="003C4619">
        <w:rPr>
          <w:rFonts w:ascii="Arabic Typesetting" w:hAnsi="Arabic Typesetting" w:cs="Arabic Typesetting" w:hint="cs"/>
          <w:sz w:val="34"/>
          <w:szCs w:val="34"/>
          <w:rtl/>
        </w:rPr>
        <w:t xml:space="preserve">دون سواها إلى ثلاثة بلدان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خارج عضوية الاتحاد الأوروبي والمنظمة الأفريقية للملكية الفكرية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وقد تم فعليا إنهاء قانون </w:t>
      </w:r>
      <w:r w:rsidRPr="003C4619">
        <w:rPr>
          <w:rFonts w:ascii="Arabic Typesetting" w:hAnsi="Arabic Typesetting" w:cs="Arabic Typesetting" w:hint="cs"/>
          <w:sz w:val="34"/>
          <w:szCs w:val="34"/>
          <w:rtl/>
          <w:lang w:bidi="ar"/>
        </w:rPr>
        <w:t xml:space="preserve">1934 </w:t>
      </w:r>
      <w:r w:rsidRPr="003C4619">
        <w:rPr>
          <w:rFonts w:ascii="Arabic Typesetting" w:hAnsi="Arabic Typesetting" w:cs="Arabic Typesetting" w:hint="cs"/>
          <w:sz w:val="34"/>
          <w:szCs w:val="34"/>
          <w:rtl/>
        </w:rPr>
        <w:t xml:space="preserve">اعتبارا من </w:t>
      </w:r>
      <w:r w:rsidRPr="003C4619">
        <w:rPr>
          <w:rFonts w:ascii="Arabic Typesetting" w:hAnsi="Arabic Typesetting" w:cs="Arabic Typesetting" w:hint="cs"/>
          <w:sz w:val="34"/>
          <w:szCs w:val="34"/>
          <w:rtl/>
          <w:lang w:bidi="ar"/>
        </w:rPr>
        <w:t xml:space="preserve">18 </w:t>
      </w:r>
      <w:r w:rsidRPr="003C4619">
        <w:rPr>
          <w:rFonts w:ascii="Arabic Typesetting" w:hAnsi="Arabic Typesetting" w:cs="Arabic Typesetting" w:hint="cs"/>
          <w:sz w:val="34"/>
          <w:szCs w:val="34"/>
          <w:rtl/>
        </w:rPr>
        <w:t xml:space="preserve">أكتوبر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عقب استلام الموافقة الأخيرة اللازمة لذلك</w:t>
      </w:r>
      <w:r w:rsidRPr="003C4619">
        <w:rPr>
          <w:rFonts w:ascii="Arabic Typesetting" w:hAnsi="Arabic Typesetting" w:cs="Arabic Typesetting" w:hint="cs"/>
          <w:sz w:val="34"/>
          <w:szCs w:val="34"/>
          <w:rtl/>
          <w:lang w:bidi="ar"/>
        </w:rPr>
        <w:t>.</w:t>
      </w:r>
    </w:p>
    <w:p w14:paraId="5045A934" w14:textId="77777777" w:rsidR="003C4619" w:rsidRPr="003C4619" w:rsidRDefault="003C4619" w:rsidP="00DF399F">
      <w:pPr>
        <w:numPr>
          <w:ilvl w:val="0"/>
          <w:numId w:val="68"/>
        </w:numPr>
        <w:bidi/>
        <w:spacing w:after="18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ووفقا لما قررته جمعية اتحاد لشبونة في عام </w:t>
      </w:r>
      <w:r w:rsidRPr="003C4619">
        <w:rPr>
          <w:rFonts w:ascii="Arabic Typesetting" w:hAnsi="Arabic Typesetting" w:cs="Arabic Typesetting" w:hint="cs"/>
          <w:sz w:val="34"/>
          <w:szCs w:val="34"/>
          <w:rtl/>
          <w:lang w:bidi="ar"/>
        </w:rPr>
        <w:t>2015</w:t>
      </w:r>
      <w:r w:rsidRPr="003C4619">
        <w:rPr>
          <w:rFonts w:ascii="Arabic Typesetting" w:hAnsi="Arabic Typesetting" w:cs="Arabic Typesetting" w:hint="cs"/>
          <w:sz w:val="34"/>
          <w:szCs w:val="34"/>
          <w:rtl/>
        </w:rPr>
        <w:t xml:space="preserve">، عُقدت في يونيه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hint="cs"/>
          <w:sz w:val="34"/>
          <w:szCs w:val="34"/>
          <w:rtl/>
        </w:rPr>
        <w:t>الدورة الأولى للفريق العامل المعني بإعداد اللوائح التنفيذية المشتركة بموجب اتفاق لشبونة، ووثيقة جنيف لاتفاق لشبونة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وإلى جانب استعراض مشروع اللائحة التنفيذية المشتركة، بحث الفريق العامل الوضع المالي لاتحاد لشبونة في الثنائية الحالية، والاستدامة المالية على المدى الطويل</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sz w:val="34"/>
          <w:szCs w:val="34"/>
          <w:rtl/>
        </w:rPr>
        <w:t xml:space="preserve">وتلقى سجل لشبونة </w:t>
      </w:r>
      <w:r w:rsidRPr="003C4619">
        <w:rPr>
          <w:rFonts w:ascii="Arabic Typesetting" w:hAnsi="Arabic Typesetting" w:cs="Arabic Typesetting"/>
          <w:sz w:val="34"/>
          <w:szCs w:val="34"/>
          <w:rtl/>
          <w:lang w:bidi="ar"/>
        </w:rPr>
        <w:t xml:space="preserve">25 </w:t>
      </w:r>
      <w:r w:rsidRPr="003C4619">
        <w:rPr>
          <w:rFonts w:ascii="Arabic Typesetting" w:hAnsi="Arabic Typesetting" w:cs="Arabic Typesetting"/>
          <w:sz w:val="34"/>
          <w:szCs w:val="34"/>
          <w:rtl/>
        </w:rPr>
        <w:t>طلبا جديدا لتسجيل تسميات المنشأ، و</w:t>
      </w:r>
      <w:r w:rsidRPr="003C4619">
        <w:rPr>
          <w:rFonts w:ascii="Arabic Typesetting" w:hAnsi="Arabic Typesetting" w:cs="Arabic Typesetting"/>
          <w:sz w:val="34"/>
          <w:szCs w:val="34"/>
          <w:rtl/>
          <w:lang w:bidi="ar"/>
        </w:rPr>
        <w:t xml:space="preserve">26 </w:t>
      </w:r>
      <w:r w:rsidRPr="003C4619">
        <w:rPr>
          <w:rFonts w:ascii="Arabic Typesetting" w:hAnsi="Arabic Typesetting" w:cs="Arabic Typesetting"/>
          <w:sz w:val="34"/>
          <w:szCs w:val="34"/>
          <w:rtl/>
        </w:rPr>
        <w:t>بيانا لمنح الحماية</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rPr>
        <w:t xml:space="preserve"> و</w:t>
      </w:r>
      <w:r w:rsidRPr="003C4619">
        <w:rPr>
          <w:rFonts w:ascii="Arabic Typesetting" w:hAnsi="Arabic Typesetting" w:cs="Arabic Typesetting"/>
          <w:sz w:val="34"/>
          <w:szCs w:val="34"/>
          <w:rtl/>
          <w:lang w:bidi="ar"/>
        </w:rPr>
        <w:t xml:space="preserve">15 </w:t>
      </w:r>
      <w:r w:rsidRPr="003C4619">
        <w:rPr>
          <w:rFonts w:ascii="Arabic Typesetting" w:hAnsi="Arabic Typesetting" w:cs="Arabic Typesetting"/>
          <w:sz w:val="34"/>
          <w:szCs w:val="34"/>
          <w:rtl/>
        </w:rPr>
        <w:t xml:space="preserve">إعلان رفض، ليبلغ المجموع الكلي للمعاملات </w:t>
      </w:r>
      <w:r w:rsidRPr="003C4619">
        <w:rPr>
          <w:rFonts w:ascii="Arabic Typesetting" w:hAnsi="Arabic Typesetting" w:cs="Arabic Typesetting"/>
          <w:sz w:val="34"/>
          <w:szCs w:val="34"/>
          <w:rtl/>
          <w:lang w:bidi="ar"/>
        </w:rPr>
        <w:t xml:space="preserve">89 </w:t>
      </w:r>
      <w:r w:rsidRPr="003C4619">
        <w:rPr>
          <w:rFonts w:ascii="Arabic Typesetting" w:hAnsi="Arabic Typesetting" w:cs="Arabic Typesetting"/>
          <w:sz w:val="34"/>
          <w:szCs w:val="34"/>
          <w:rtl/>
        </w:rPr>
        <w:t>معاملة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وقد ارتفع العدد الإجمالي للتسجيلات التي دخلت حيز النفاذ من </w:t>
      </w:r>
      <w:r w:rsidRPr="003C4619">
        <w:rPr>
          <w:rFonts w:ascii="Arabic Typesetting" w:hAnsi="Arabic Typesetting" w:cs="Arabic Typesetting" w:hint="cs"/>
          <w:sz w:val="34"/>
          <w:szCs w:val="34"/>
          <w:rtl/>
          <w:lang w:bidi="ar"/>
        </w:rPr>
        <w:t xml:space="preserve">931 </w:t>
      </w:r>
      <w:r w:rsidRPr="003C4619">
        <w:rPr>
          <w:rFonts w:ascii="Arabic Typesetting" w:hAnsi="Arabic Typesetting" w:cs="Arabic Typesetting" w:hint="cs"/>
          <w:sz w:val="34"/>
          <w:szCs w:val="34"/>
          <w:rtl/>
        </w:rPr>
        <w:t xml:space="preserve">في عام </w:t>
      </w:r>
      <w:r w:rsidRPr="003C4619">
        <w:rPr>
          <w:rFonts w:ascii="Arabic Typesetting" w:hAnsi="Arabic Typesetting" w:cs="Arabic Typesetting" w:hint="cs"/>
          <w:sz w:val="34"/>
          <w:szCs w:val="34"/>
          <w:rtl/>
          <w:lang w:bidi="ar"/>
        </w:rPr>
        <w:t xml:space="preserve">2015 </w:t>
      </w:r>
      <w:r w:rsidRPr="003C4619">
        <w:rPr>
          <w:rFonts w:ascii="Arabic Typesetting" w:hAnsi="Arabic Typesetting" w:cs="Arabic Typesetting" w:hint="cs"/>
          <w:sz w:val="34"/>
          <w:szCs w:val="34"/>
          <w:rtl/>
        </w:rPr>
        <w:t xml:space="preserve">إلى </w:t>
      </w:r>
      <w:r w:rsidRPr="003C4619">
        <w:rPr>
          <w:rFonts w:ascii="Arabic Typesetting" w:hAnsi="Arabic Typesetting" w:cs="Arabic Typesetting" w:hint="cs"/>
          <w:sz w:val="34"/>
          <w:szCs w:val="34"/>
          <w:rtl/>
          <w:lang w:bidi="ar"/>
        </w:rPr>
        <w:t xml:space="preserve">1020 </w:t>
      </w:r>
      <w:r w:rsidRPr="003C4619">
        <w:rPr>
          <w:rFonts w:ascii="Arabic Typesetting" w:hAnsi="Arabic Typesetting" w:cs="Arabic Typesetting" w:hint="cs"/>
          <w:sz w:val="34"/>
          <w:szCs w:val="34"/>
          <w:rtl/>
        </w:rPr>
        <w:t xml:space="preserve">في عام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hint="cs"/>
          <w:sz w:val="34"/>
          <w:szCs w:val="34"/>
          <w:rtl/>
        </w:rPr>
        <w:t xml:space="preserve">ومن بين هذه البلدان </w:t>
      </w:r>
      <w:r w:rsidRPr="003C4619">
        <w:rPr>
          <w:rFonts w:ascii="Arabic Typesetting" w:hAnsi="Arabic Typesetting" w:cs="Arabic Typesetting" w:hint="cs"/>
          <w:sz w:val="34"/>
          <w:szCs w:val="34"/>
          <w:rtl/>
          <w:lang w:bidi="ar"/>
        </w:rPr>
        <w:t xml:space="preserve">95 </w:t>
      </w:r>
      <w:r w:rsidRPr="003C4619">
        <w:rPr>
          <w:rFonts w:ascii="Arabic Typesetting" w:hAnsi="Arabic Typesetting" w:cs="Arabic Typesetting" w:hint="cs"/>
          <w:sz w:val="34"/>
          <w:szCs w:val="34"/>
          <w:rtl/>
        </w:rPr>
        <w:t xml:space="preserve">بلدا من البلدان النامية أو البلدان الأقل نموا </w:t>
      </w:r>
      <w:r w:rsidRPr="003C4619">
        <w:rPr>
          <w:rFonts w:ascii="Arabic Typesetting" w:hAnsi="Arabic Typesetting" w:cs="Arabic Typesetting" w:hint="cs"/>
          <w:sz w:val="34"/>
          <w:szCs w:val="34"/>
          <w:rtl/>
          <w:lang w:bidi="ar"/>
        </w:rPr>
        <w:t xml:space="preserve">(14 </w:t>
      </w:r>
      <w:r w:rsidRPr="003C4619">
        <w:rPr>
          <w:rFonts w:ascii="Arabic Typesetting" w:hAnsi="Arabic Typesetting" w:cs="Arabic Typesetting" w:hint="cs"/>
          <w:sz w:val="34"/>
          <w:szCs w:val="34"/>
          <w:rtl/>
        </w:rPr>
        <w:t>من المنطقة العربية و</w:t>
      </w:r>
      <w:r w:rsidRPr="003C4619">
        <w:rPr>
          <w:rFonts w:ascii="Arabic Typesetting" w:hAnsi="Arabic Typesetting" w:cs="Arabic Typesetting" w:hint="cs"/>
          <w:sz w:val="34"/>
          <w:szCs w:val="34"/>
          <w:rtl/>
          <w:lang w:bidi="ar"/>
        </w:rPr>
        <w:t xml:space="preserve">38 </w:t>
      </w:r>
      <w:r w:rsidRPr="003C4619">
        <w:rPr>
          <w:rFonts w:ascii="Arabic Typesetting" w:hAnsi="Arabic Typesetting" w:cs="Arabic Typesetting" w:hint="cs"/>
          <w:sz w:val="34"/>
          <w:szCs w:val="34"/>
          <w:rtl/>
        </w:rPr>
        <w:t>من آسيا والمحيط الهادئ و</w:t>
      </w:r>
      <w:r w:rsidRPr="003C4619">
        <w:rPr>
          <w:rFonts w:ascii="Arabic Typesetting" w:hAnsi="Arabic Typesetting" w:cs="Arabic Typesetting" w:hint="cs"/>
          <w:sz w:val="34"/>
          <w:szCs w:val="34"/>
          <w:rtl/>
          <w:lang w:bidi="ar"/>
        </w:rPr>
        <w:t xml:space="preserve">43 </w:t>
      </w:r>
      <w:r w:rsidRPr="003C4619">
        <w:rPr>
          <w:rFonts w:ascii="Arabic Typesetting" w:hAnsi="Arabic Typesetting" w:cs="Arabic Typesetting" w:hint="cs"/>
          <w:sz w:val="34"/>
          <w:szCs w:val="34"/>
          <w:rtl/>
        </w:rPr>
        <w:t>من أمريكا اللاتينية ومنطقة البحر الكاريبي</w:t>
      </w:r>
      <w:r w:rsidRPr="003C4619">
        <w:rPr>
          <w:rFonts w:ascii="Arabic Typesetting" w:hAnsi="Arabic Typesetting" w:cs="Arabic Typesetting" w:hint="cs"/>
          <w:sz w:val="34"/>
          <w:szCs w:val="34"/>
          <w:rtl/>
          <w:lang w:bidi="ar"/>
        </w:rPr>
        <w:t>).</w:t>
      </w:r>
    </w:p>
    <w:p w14:paraId="1B790649" w14:textId="77777777" w:rsidR="003C4619" w:rsidRPr="003C4619" w:rsidRDefault="003C4619" w:rsidP="00DF399F">
      <w:pPr>
        <w:numPr>
          <w:ilvl w:val="0"/>
          <w:numId w:val="68"/>
        </w:numPr>
        <w:bidi/>
        <w:spacing w:after="18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وحصّل المكتب الدولي ما يقرب من </w:t>
      </w:r>
      <w:r w:rsidRPr="003C4619">
        <w:rPr>
          <w:rFonts w:ascii="Arabic Typesetting" w:hAnsi="Arabic Typesetting" w:cs="Arabic Typesetting" w:hint="cs"/>
          <w:sz w:val="34"/>
          <w:szCs w:val="34"/>
          <w:rtl/>
          <w:lang w:bidi="ar"/>
        </w:rPr>
        <w:t xml:space="preserve">000 390 </w:t>
      </w:r>
      <w:r w:rsidRPr="003C4619">
        <w:rPr>
          <w:rFonts w:ascii="Arabic Typesetting" w:hAnsi="Arabic Typesetting" w:cs="Arabic Typesetting" w:hint="cs"/>
          <w:sz w:val="34"/>
          <w:szCs w:val="34"/>
          <w:rtl/>
        </w:rPr>
        <w:t xml:space="preserve">فرنك سويسري من أعضاء اتحاد لشبونة في شكل إعانات بموجب المادة </w:t>
      </w:r>
      <w:r w:rsidRPr="003C4619">
        <w:rPr>
          <w:rFonts w:ascii="Arabic Typesetting" w:hAnsi="Arabic Typesetting" w:cs="Arabic Typesetting" w:hint="cs"/>
          <w:sz w:val="34"/>
          <w:szCs w:val="34"/>
          <w:rtl/>
          <w:lang w:bidi="ar"/>
        </w:rPr>
        <w:t xml:space="preserve">11 (3) '3' </w:t>
      </w:r>
      <w:r w:rsidRPr="003C4619">
        <w:rPr>
          <w:rFonts w:ascii="Arabic Typesetting" w:hAnsi="Arabic Typesetting" w:cs="Arabic Typesetting" w:hint="cs"/>
          <w:sz w:val="34"/>
          <w:szCs w:val="34"/>
          <w:rtl/>
        </w:rPr>
        <w:t xml:space="preserve">من اتفاق لشبونة، في إطار التدابير التي قررتها جمعية اتحاد لشبونة في عام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rPr>
        <w:t xml:space="preserve"> بغرض </w:t>
      </w:r>
      <w:r w:rsidRPr="003C4619">
        <w:rPr>
          <w:rFonts w:ascii="Arabic Typesetting" w:hAnsi="Arabic Typesetting" w:cs="Arabic Typesetting" w:hint="cs"/>
          <w:sz w:val="34"/>
          <w:szCs w:val="34"/>
          <w:rtl/>
        </w:rPr>
        <w:t>القضاء على</w:t>
      </w:r>
      <w:r w:rsidRPr="003C4619">
        <w:rPr>
          <w:rFonts w:ascii="Arabic Typesetting" w:hAnsi="Arabic Typesetting" w:cs="Arabic Typesetting"/>
          <w:sz w:val="34"/>
          <w:szCs w:val="34"/>
          <w:rtl/>
        </w:rPr>
        <w:t xml:space="preserve"> عجز اتحاد لشبونة المرتقب خلال الثنائية</w:t>
      </w:r>
      <w:r w:rsidRPr="003C4619">
        <w:rPr>
          <w:rFonts w:ascii="Arabic Typesetting" w:hAnsi="Arabic Typesetting" w:cs="Arabic Typesetting" w:hint="cs"/>
          <w:sz w:val="34"/>
          <w:szCs w:val="34"/>
          <w:rtl/>
          <w:lang w:bidi="ar"/>
        </w:rPr>
        <w:t>.</w:t>
      </w:r>
    </w:p>
    <w:p w14:paraId="0CF2E28F" w14:textId="77777777" w:rsidR="003C4619" w:rsidRPr="003C4619" w:rsidRDefault="003C4619" w:rsidP="00DF399F">
      <w:pPr>
        <w:numPr>
          <w:ilvl w:val="0"/>
          <w:numId w:val="68"/>
        </w:numPr>
        <w:bidi/>
        <w:spacing w:after="18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وواصل مركز الويبو للتحكيم والوساطة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مركز الويبو</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العمل لل</w:t>
      </w:r>
      <w:r w:rsidRPr="003C4619">
        <w:rPr>
          <w:rFonts w:ascii="Arabic Typesetting" w:hAnsi="Arabic Typesetting" w:cs="Arabic Typesetting"/>
          <w:sz w:val="34"/>
          <w:szCs w:val="34"/>
          <w:rtl/>
        </w:rPr>
        <w:t>وصول بإجراءاته إلى المستوى الأمثل تلبية</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ل</w:t>
      </w:r>
      <w:r w:rsidRPr="003C4619">
        <w:rPr>
          <w:rFonts w:ascii="Arabic Typesetting" w:hAnsi="Arabic Typesetting" w:cs="Arabic Typesetting"/>
          <w:sz w:val="34"/>
          <w:szCs w:val="34"/>
          <w:rtl/>
        </w:rPr>
        <w:t>احتياجات أصحاب حقوق الملكية الفكرية والمنتفعين بها</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 xml:space="preserve">في </w:t>
      </w:r>
      <w:r w:rsidRPr="003C4619">
        <w:rPr>
          <w:rFonts w:ascii="Arabic Typesetting" w:hAnsi="Arabic Typesetting" w:cs="Arabic Typesetting"/>
          <w:sz w:val="34"/>
          <w:szCs w:val="34"/>
          <w:rtl/>
          <w:lang w:bidi="ar"/>
        </w:rPr>
        <w:t>2016</w:t>
      </w:r>
      <w:r w:rsidRPr="003C4619">
        <w:rPr>
          <w:rFonts w:ascii="Arabic Typesetting" w:hAnsi="Arabic Typesetting" w:cs="Arabic Typesetting"/>
          <w:sz w:val="34"/>
          <w:szCs w:val="34"/>
          <w:rtl/>
        </w:rPr>
        <w:t xml:space="preserve">، أحال مالكو العلامات التجارية عددا غير مسبوق من القضايا </w:t>
      </w:r>
      <w:r w:rsidRPr="003C4619">
        <w:rPr>
          <w:rFonts w:ascii="Arabic Typesetting" w:hAnsi="Arabic Typesetting" w:cs="Arabic Typesetting"/>
          <w:sz w:val="34"/>
          <w:szCs w:val="34"/>
          <w:rtl/>
          <w:lang w:bidi="ar"/>
        </w:rPr>
        <w:t xml:space="preserve">(3036 </w:t>
      </w:r>
      <w:r w:rsidRPr="003C4619">
        <w:rPr>
          <w:rFonts w:ascii="Arabic Typesetting" w:hAnsi="Arabic Typesetting" w:cs="Arabic Typesetting"/>
          <w:sz w:val="34"/>
          <w:szCs w:val="34"/>
          <w:rtl/>
        </w:rPr>
        <w:t>قضية</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للتسوية بموجب سياسة الويبو الموحدة لتسوية المنازعات المتعلقة بأسماء الحقول</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sz w:val="34"/>
          <w:szCs w:val="34"/>
          <w:lang w:bidi="ar"/>
        </w:rPr>
        <w:t>(UDRP)</w:t>
      </w:r>
      <w:r w:rsidRPr="003C4619">
        <w:rPr>
          <w:rFonts w:ascii="Arabic Typesetting" w:hAnsi="Arabic Typesetting" w:cs="Arabic Typesetting"/>
          <w:sz w:val="34"/>
          <w:szCs w:val="34"/>
          <w:rtl/>
        </w:rPr>
        <w:t xml:space="preserve">؛ أي بزيادة </w:t>
      </w:r>
      <w:r w:rsidRPr="003C4619">
        <w:rPr>
          <w:rFonts w:ascii="Arabic Typesetting" w:hAnsi="Arabic Typesetting" w:cs="Arabic Typesetting" w:hint="cs"/>
          <w:sz w:val="34"/>
          <w:szCs w:val="34"/>
          <w:rtl/>
        </w:rPr>
        <w:t>قدرها</w:t>
      </w:r>
      <w:r w:rsidRPr="003C4619">
        <w:rPr>
          <w:rFonts w:ascii="Arabic Typesetting" w:hAnsi="Arabic Typesetting" w:cs="Arabic Typesetting"/>
          <w:sz w:val="34"/>
          <w:szCs w:val="34"/>
          <w:rtl/>
          <w:lang w:bidi="ar"/>
        </w:rPr>
        <w:t xml:space="preserve"> 10% </w:t>
      </w:r>
      <w:r w:rsidRPr="003C4619">
        <w:rPr>
          <w:rFonts w:ascii="Arabic Typesetting" w:hAnsi="Arabic Typesetting" w:cs="Arabic Typesetting"/>
          <w:sz w:val="34"/>
          <w:szCs w:val="34"/>
          <w:rtl/>
        </w:rPr>
        <w:t>على العام السابق</w:t>
      </w:r>
      <w:r w:rsidRPr="003C4619">
        <w:rPr>
          <w:rFonts w:ascii="Arabic Typesetting" w:hAnsi="Arabic Typesetting" w:cs="Arabic Typesetting" w:hint="cs"/>
          <w:sz w:val="34"/>
          <w:szCs w:val="34"/>
          <w:rtl/>
        </w:rPr>
        <w:t>، وشاركت في</w:t>
      </w:r>
      <w:r w:rsidRPr="003C4619">
        <w:rPr>
          <w:rFonts w:ascii="Arabic Typesetting" w:hAnsi="Arabic Typesetting" w:cs="Arabic Typesetting"/>
          <w:sz w:val="34"/>
          <w:szCs w:val="34"/>
          <w:rtl/>
        </w:rPr>
        <w:t xml:space="preserve"> القضايا المعالجَة في إطار سياسة الويبو الموحدة أطراف من </w:t>
      </w:r>
      <w:r w:rsidRPr="003C4619">
        <w:rPr>
          <w:rFonts w:ascii="Arabic Typesetting" w:hAnsi="Arabic Typesetting" w:cs="Arabic Typesetting"/>
          <w:sz w:val="34"/>
          <w:szCs w:val="34"/>
          <w:rtl/>
          <w:lang w:bidi="ar"/>
        </w:rPr>
        <w:t xml:space="preserve">109 </w:t>
      </w:r>
      <w:r w:rsidRPr="003C4619">
        <w:rPr>
          <w:rFonts w:ascii="Arabic Typesetting" w:hAnsi="Arabic Typesetting" w:cs="Arabic Typesetting"/>
          <w:sz w:val="34"/>
          <w:szCs w:val="34"/>
          <w:rtl/>
        </w:rPr>
        <w:t>بلدان</w:t>
      </w:r>
      <w:r w:rsidRPr="003C4619">
        <w:rPr>
          <w:rFonts w:ascii="Arabic Typesetting" w:hAnsi="Arabic Typesetting" w:cs="Arabic Typesetting" w:hint="cs"/>
          <w:sz w:val="34"/>
          <w:szCs w:val="34"/>
          <w:rtl/>
        </w:rPr>
        <w:t>، وأديرت</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إجراءات بخمس عشرة لغة مختلفة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sz w:val="34"/>
          <w:szCs w:val="34"/>
          <w:rtl/>
        </w:rPr>
        <w:t xml:space="preserve">مع تفعيل أكثر من </w:t>
      </w:r>
      <w:r w:rsidRPr="003C4619">
        <w:rPr>
          <w:rFonts w:ascii="Arabic Typesetting" w:hAnsi="Arabic Typesetting" w:cs="Arabic Typesetting"/>
          <w:sz w:val="34"/>
          <w:szCs w:val="34"/>
          <w:rtl/>
          <w:lang w:bidi="ar"/>
        </w:rPr>
        <w:t xml:space="preserve">1200 </w:t>
      </w:r>
      <w:r w:rsidRPr="003C4619">
        <w:rPr>
          <w:rFonts w:ascii="Arabic Typesetting" w:hAnsi="Arabic Typesetting" w:cs="Arabic Typesetting"/>
          <w:sz w:val="34"/>
          <w:szCs w:val="34"/>
          <w:rtl/>
        </w:rPr>
        <w:t>اسم حقل جديد من أسماء الحقول العليا المكوّنة من أسماء عامة</w:t>
      </w:r>
      <w:r w:rsidRPr="003C4619">
        <w:rPr>
          <w:rFonts w:ascii="Arabic Typesetting" w:hAnsi="Arabic Typesetting" w:cs="Arabic Typesetting" w:hint="cs"/>
          <w:sz w:val="34"/>
          <w:szCs w:val="34"/>
          <w:rtl/>
        </w:rPr>
        <w:t xml:space="preserve">، ولوحظ أن </w:t>
      </w:r>
      <w:r w:rsidRPr="003C4619">
        <w:rPr>
          <w:rFonts w:ascii="Arabic Typesetting" w:hAnsi="Arabic Typesetting" w:cs="Arabic Typesetting" w:hint="cs"/>
          <w:sz w:val="34"/>
          <w:szCs w:val="34"/>
          <w:rtl/>
          <w:lang w:bidi="ar"/>
        </w:rPr>
        <w:t xml:space="preserve">16 </w:t>
      </w:r>
      <w:r w:rsidRPr="003C4619">
        <w:rPr>
          <w:rFonts w:ascii="Arabic Typesetting" w:hAnsi="Arabic Typesetting" w:cs="Arabic Typesetting" w:hint="cs"/>
          <w:sz w:val="34"/>
          <w:szCs w:val="34"/>
          <w:rtl/>
        </w:rPr>
        <w:t xml:space="preserve">في المائة من </w:t>
      </w:r>
      <w:r w:rsidRPr="003C4619">
        <w:rPr>
          <w:rFonts w:ascii="Arabic Typesetting" w:hAnsi="Arabic Typesetting" w:cs="Arabic Typesetting"/>
          <w:sz w:val="34"/>
          <w:szCs w:val="34"/>
          <w:rtl/>
        </w:rPr>
        <w:t xml:space="preserve">مجموع قضايا الويبو لعام </w:t>
      </w:r>
      <w:r w:rsidRPr="003C4619">
        <w:rPr>
          <w:rFonts w:ascii="Arabic Typesetting" w:hAnsi="Arabic Typesetting" w:cs="Arabic Typesetting"/>
          <w:sz w:val="34"/>
          <w:szCs w:val="34"/>
          <w:rtl/>
          <w:lang w:bidi="ar"/>
        </w:rPr>
        <w:t xml:space="preserve">2016 </w:t>
      </w:r>
      <w:r w:rsidRPr="003C4619">
        <w:rPr>
          <w:rFonts w:ascii="Arabic Typesetting" w:hAnsi="Arabic Typesetting" w:cs="Arabic Typesetting" w:hint="cs"/>
          <w:sz w:val="34"/>
          <w:szCs w:val="34"/>
          <w:rtl/>
        </w:rPr>
        <w:t>تتعلق بالتسجيلات في ال</w:t>
      </w:r>
      <w:r w:rsidRPr="003C4619">
        <w:rPr>
          <w:rFonts w:ascii="Arabic Typesetting" w:hAnsi="Arabic Typesetting" w:cs="Arabic Typesetting"/>
          <w:sz w:val="34"/>
          <w:szCs w:val="34"/>
          <w:rtl/>
        </w:rPr>
        <w:t xml:space="preserve">حقول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 xml:space="preserve">عليا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 xml:space="preserve">جديدة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مكوّنة من أسماء عامة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sz w:val="34"/>
          <w:szCs w:val="34"/>
          <w:rtl/>
        </w:rPr>
        <w:t>منذ أن أدار مركز الويبو أول قضية في إطار السياسة الموحدة في</w:t>
      </w:r>
      <w:r w:rsidRPr="003C4619">
        <w:rPr>
          <w:rFonts w:ascii="Arabic Typesetting" w:hAnsi="Arabic Typesetting" w:cs="Arabic Typesetting" w:hint="cs"/>
          <w:sz w:val="34"/>
          <w:szCs w:val="34"/>
          <w:rtl/>
        </w:rPr>
        <w:t xml:space="preserve"> عام</w:t>
      </w:r>
      <w:r w:rsidRPr="003C4619">
        <w:rPr>
          <w:rFonts w:ascii="Arabic Typesetting" w:hAnsi="Arabic Typesetting" w:cs="Arabic Typesetting"/>
          <w:sz w:val="34"/>
          <w:szCs w:val="34"/>
          <w:rtl/>
          <w:lang w:bidi="ar"/>
        </w:rPr>
        <w:t xml:space="preserve"> 1999</w:t>
      </w:r>
      <w:r w:rsidRPr="003C4619">
        <w:rPr>
          <w:rFonts w:ascii="Arabic Typesetting" w:hAnsi="Arabic Typesetting" w:cs="Arabic Typesetting"/>
          <w:sz w:val="34"/>
          <w:szCs w:val="34"/>
          <w:rtl/>
        </w:rPr>
        <w:t xml:space="preserve">، تجاوز مجموع القضايا المعروضة على الويبو ما عدده </w:t>
      </w:r>
      <w:r w:rsidRPr="003C4619">
        <w:rPr>
          <w:rFonts w:ascii="Arabic Typesetting" w:hAnsi="Arabic Typesetting" w:cs="Arabic Typesetting"/>
          <w:sz w:val="34"/>
          <w:szCs w:val="34"/>
          <w:rtl/>
          <w:lang w:bidi="ar"/>
        </w:rPr>
        <w:t xml:space="preserve">000 333 </w:t>
      </w:r>
      <w:r w:rsidRPr="003C4619">
        <w:rPr>
          <w:rFonts w:ascii="Arabic Typesetting" w:hAnsi="Arabic Typesetting" w:cs="Arabic Typesetting"/>
          <w:sz w:val="34"/>
          <w:szCs w:val="34"/>
          <w:rtl/>
        </w:rPr>
        <w:t xml:space="preserve">علامة ويشمل ذلك أكثر من </w:t>
      </w:r>
      <w:r w:rsidRPr="003C4619">
        <w:rPr>
          <w:rFonts w:ascii="Arabic Typesetting" w:hAnsi="Arabic Typesetting" w:cs="Arabic Typesetting"/>
          <w:sz w:val="34"/>
          <w:szCs w:val="34"/>
          <w:rtl/>
          <w:lang w:bidi="ar"/>
        </w:rPr>
        <w:t xml:space="preserve">000 61 </w:t>
      </w:r>
      <w:r w:rsidRPr="003C4619">
        <w:rPr>
          <w:rFonts w:ascii="Arabic Typesetting" w:hAnsi="Arabic Typesetting" w:cs="Arabic Typesetting"/>
          <w:sz w:val="34"/>
          <w:szCs w:val="34"/>
          <w:rtl/>
        </w:rPr>
        <w:t>اسم حقل</w:t>
      </w:r>
      <w:r w:rsidRPr="003C4619">
        <w:rPr>
          <w:rFonts w:ascii="Arabic Typesetting" w:hAnsi="Arabic Typesetting" w:cs="Arabic Typesetting"/>
          <w:sz w:val="34"/>
          <w:szCs w:val="34"/>
          <w:rtl/>
          <w:lang w:bidi="ar"/>
        </w:rPr>
        <w:t>.</w:t>
      </w:r>
    </w:p>
    <w:p w14:paraId="5CEA38BA" w14:textId="77777777" w:rsidR="003C4619" w:rsidRPr="003C4619" w:rsidRDefault="003C4619" w:rsidP="00DF399F">
      <w:pPr>
        <w:numPr>
          <w:ilvl w:val="0"/>
          <w:numId w:val="68"/>
        </w:numPr>
        <w:bidi/>
        <w:spacing w:after="18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 xml:space="preserve">بلغت القضايا المحالة إلى مركز الويبو </w:t>
      </w:r>
      <w:r w:rsidRPr="003C4619">
        <w:rPr>
          <w:rFonts w:ascii="Arabic Typesetting" w:hAnsi="Arabic Typesetting" w:cs="Arabic Typesetting" w:hint="cs"/>
          <w:sz w:val="34"/>
          <w:szCs w:val="34"/>
          <w:rtl/>
        </w:rPr>
        <w:t>بشأن</w:t>
      </w:r>
      <w:r w:rsidRPr="003C4619">
        <w:rPr>
          <w:rFonts w:ascii="Arabic Typesetting" w:hAnsi="Arabic Typesetting" w:cs="Arabic Typesetting"/>
          <w:sz w:val="34"/>
          <w:szCs w:val="34"/>
          <w:rtl/>
        </w:rPr>
        <w:t xml:space="preserve"> منازعات الملكية الفكرية </w:t>
      </w:r>
      <w:r w:rsidRPr="003C4619">
        <w:rPr>
          <w:rFonts w:ascii="Arabic Typesetting" w:hAnsi="Arabic Typesetting" w:cs="Arabic Typesetting"/>
          <w:sz w:val="34"/>
          <w:szCs w:val="34"/>
          <w:rtl/>
          <w:lang w:bidi="ar"/>
        </w:rPr>
        <w:t xml:space="preserve">60 </w:t>
      </w:r>
      <w:r w:rsidRPr="003C4619">
        <w:rPr>
          <w:rFonts w:ascii="Arabic Typesetting" w:hAnsi="Arabic Typesetting" w:cs="Arabic Typesetting"/>
          <w:sz w:val="34"/>
          <w:szCs w:val="34"/>
          <w:rtl/>
        </w:rPr>
        <w:t>قضية وساطة وتحكيم</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أكثرها شيوعا</w:t>
      </w:r>
      <w:r w:rsidRPr="003C4619">
        <w:rPr>
          <w:rFonts w:ascii="Arabic Typesetting" w:hAnsi="Arabic Typesetting" w:cs="Arabic Typesetting"/>
          <w:sz w:val="34"/>
          <w:szCs w:val="34"/>
          <w:rtl/>
        </w:rPr>
        <w:t xml:space="preserve"> المنازعات على البراءات</w:t>
      </w:r>
      <w:r w:rsidRPr="003C4619">
        <w:rPr>
          <w:rFonts w:ascii="Arabic Typesetting" w:hAnsi="Arabic Typesetting" w:cs="Arabic Typesetting" w:hint="cs"/>
          <w:sz w:val="34"/>
          <w:szCs w:val="34"/>
          <w:rtl/>
        </w:rPr>
        <w:t>، حيث</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 xml:space="preserve">بلغت </w:t>
      </w:r>
      <w:r w:rsidRPr="003C4619">
        <w:rPr>
          <w:rFonts w:ascii="Arabic Typesetting" w:hAnsi="Arabic Typesetting" w:cs="Arabic Typesetting"/>
          <w:sz w:val="34"/>
          <w:szCs w:val="34"/>
          <w:rtl/>
          <w:lang w:bidi="ar"/>
        </w:rPr>
        <w:t>(34%)</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rPr>
        <w:t xml:space="preserve"> تل</w:t>
      </w:r>
      <w:r w:rsidRPr="003C4619">
        <w:rPr>
          <w:rFonts w:ascii="Arabic Typesetting" w:hAnsi="Arabic Typesetting" w:cs="Arabic Typesetting" w:hint="cs"/>
          <w:sz w:val="34"/>
          <w:szCs w:val="34"/>
          <w:rtl/>
        </w:rPr>
        <w:t>يه</w:t>
      </w:r>
      <w:r w:rsidRPr="003C4619">
        <w:rPr>
          <w:rFonts w:ascii="Arabic Typesetting" w:hAnsi="Arabic Typesetting" w:cs="Arabic Typesetting"/>
          <w:sz w:val="34"/>
          <w:szCs w:val="34"/>
          <w:rtl/>
        </w:rPr>
        <w:t xml:space="preserve">ا تكنولوجيا المعلومات والاتصالات </w:t>
      </w:r>
      <w:r w:rsidRPr="003C4619">
        <w:rPr>
          <w:rFonts w:ascii="Arabic Typesetting" w:hAnsi="Arabic Typesetting" w:cs="Arabic Typesetting"/>
          <w:sz w:val="34"/>
          <w:szCs w:val="34"/>
          <w:rtl/>
          <w:lang w:bidi="ar"/>
        </w:rPr>
        <w:t xml:space="preserve">(20.5%) </w:t>
      </w:r>
      <w:r w:rsidRPr="003C4619">
        <w:rPr>
          <w:rFonts w:ascii="Arabic Typesetting" w:hAnsi="Arabic Typesetting" w:cs="Arabic Typesetting"/>
          <w:sz w:val="34"/>
          <w:szCs w:val="34"/>
          <w:rtl/>
        </w:rPr>
        <w:t xml:space="preserve">وحق المؤلف </w:t>
      </w:r>
      <w:r w:rsidRPr="003C4619">
        <w:rPr>
          <w:rFonts w:ascii="Arabic Typesetting" w:hAnsi="Arabic Typesetting" w:cs="Arabic Typesetting"/>
          <w:sz w:val="34"/>
          <w:szCs w:val="34"/>
          <w:rtl/>
          <w:lang w:bidi="ar"/>
        </w:rPr>
        <w:t xml:space="preserve">(13.6%) </w:t>
      </w:r>
      <w:r w:rsidRPr="003C4619">
        <w:rPr>
          <w:rFonts w:ascii="Arabic Typesetting" w:hAnsi="Arabic Typesetting" w:cs="Arabic Typesetting"/>
          <w:sz w:val="34"/>
          <w:szCs w:val="34"/>
          <w:rtl/>
        </w:rPr>
        <w:t xml:space="preserve">والعلامات التجارية </w:t>
      </w:r>
      <w:r w:rsidRPr="003C4619">
        <w:rPr>
          <w:rFonts w:ascii="Arabic Typesetting" w:hAnsi="Arabic Typesetting" w:cs="Arabic Typesetting"/>
          <w:sz w:val="34"/>
          <w:szCs w:val="34"/>
          <w:rtl/>
          <w:lang w:bidi="ar"/>
        </w:rPr>
        <w:t>(13.6%)</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 xml:space="preserve">فضلا عن </w:t>
      </w:r>
      <w:r w:rsidRPr="003C4619">
        <w:rPr>
          <w:rFonts w:ascii="Arabic Typesetting" w:hAnsi="Arabic Typesetting" w:cs="Arabic Typesetting"/>
          <w:sz w:val="34"/>
          <w:szCs w:val="34"/>
          <w:rtl/>
        </w:rPr>
        <w:t>منازعات</w:t>
      </w:r>
      <w:r w:rsidRPr="003C4619">
        <w:rPr>
          <w:rFonts w:ascii="Arabic Typesetting" w:hAnsi="Arabic Typesetting" w:cs="Arabic Typesetting" w:hint="cs"/>
          <w:sz w:val="34"/>
          <w:szCs w:val="34"/>
          <w:rtl/>
        </w:rPr>
        <w:t xml:space="preserve"> أخرى</w:t>
      </w:r>
      <w:r w:rsidRPr="003C4619">
        <w:rPr>
          <w:rFonts w:ascii="Arabic Typesetting" w:hAnsi="Arabic Typesetting" w:cs="Arabic Typesetting"/>
          <w:sz w:val="34"/>
          <w:szCs w:val="34"/>
          <w:rtl/>
        </w:rPr>
        <w:t xml:space="preserve"> ناجمة عن اتفاقات التوزيع ومنح حقوق الامتياز والتصاميم الصناعية والتراث الفني والثقافي</w:t>
      </w:r>
      <w:r w:rsidRPr="003C4619">
        <w:rPr>
          <w:rFonts w:ascii="Arabic Typesetting" w:hAnsi="Arabic Typesetting" w:cs="Arabic Typesetting"/>
          <w:sz w:val="34"/>
          <w:szCs w:val="34"/>
          <w:rtl/>
          <w:lang w:bidi="ar"/>
        </w:rPr>
        <w:t>.</w:t>
      </w:r>
    </w:p>
    <w:p w14:paraId="208F1AED"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وفي دراسة استقصائية بشأن استخدام التحكيم في المنازعات </w:t>
      </w:r>
      <w:r w:rsidRPr="003C4619">
        <w:rPr>
          <w:rFonts w:ascii="Arabic Typesetting" w:hAnsi="Arabic Typesetting" w:cs="Arabic Typesetting"/>
          <w:sz w:val="34"/>
          <w:szCs w:val="34"/>
          <w:rtl/>
        </w:rPr>
        <w:t>المتعلقة بالتكنولوجيا ووسائل الإعلام والاتصالات</w:t>
      </w:r>
      <w:r w:rsidRPr="003C4619">
        <w:rPr>
          <w:rFonts w:ascii="Arabic Typesetting" w:hAnsi="Arabic Typesetting" w:cs="Arabic Typesetting" w:hint="cs"/>
          <w:sz w:val="34"/>
          <w:szCs w:val="34"/>
          <w:rtl/>
        </w:rPr>
        <w:t xml:space="preserve"> أجرتها كلية التحكيم الدولي بجامعة كوين ماري في لندن، أشار المشاركون من ذوي الخبرة في منازعات الملكية الفكرية إلى أن مركز الويبو هو ثاني أكثر المؤسسات التي يتم اللجوء إليها في هذه المنازعات، و</w:t>
      </w:r>
      <w:r w:rsidRPr="003C4619">
        <w:rPr>
          <w:rFonts w:ascii="Arabic Typesetting" w:hAnsi="Arabic Typesetting" w:cs="Arabic Typesetting"/>
          <w:sz w:val="34"/>
          <w:szCs w:val="34"/>
          <w:rtl/>
        </w:rPr>
        <w:t>احتل مركز الويبو المرتبة الأولى</w:t>
      </w:r>
      <w:r w:rsidRPr="000C34B5">
        <w:rPr>
          <w:rFonts w:ascii="Arabic Typesetting" w:hAnsi="Arabic Typesetting" w:cs="Arabic Typesetting"/>
          <w:sz w:val="34"/>
          <w:szCs w:val="34"/>
          <w:rtl/>
          <w:lang w:bidi="ar"/>
        </w:rPr>
        <w:footnoteReference w:id="2"/>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sz w:val="34"/>
          <w:szCs w:val="34"/>
          <w:rtl/>
        </w:rPr>
        <w:t xml:space="preserve">من حيث </w:t>
      </w:r>
      <w:r w:rsidRPr="003C4619">
        <w:rPr>
          <w:rFonts w:ascii="Arabic Typesetting" w:hAnsi="Arabic Typesetting" w:cs="Arabic Typesetting" w:hint="cs"/>
          <w:sz w:val="34"/>
          <w:szCs w:val="34"/>
          <w:rtl/>
        </w:rPr>
        <w:t>تفضيل</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المشاركين</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لل</w:t>
      </w:r>
      <w:r w:rsidRPr="003C4619">
        <w:rPr>
          <w:rFonts w:ascii="Arabic Typesetting" w:hAnsi="Arabic Typesetting" w:cs="Arabic Typesetting"/>
          <w:sz w:val="34"/>
          <w:szCs w:val="34"/>
          <w:rtl/>
        </w:rPr>
        <w:t>مؤسسات في مجالات المنازعات المذكورة</w:t>
      </w:r>
      <w:r w:rsidRPr="003C4619">
        <w:rPr>
          <w:rFonts w:ascii="Arabic Typesetting" w:hAnsi="Arabic Typesetting" w:cs="Arabic Typesetting" w:hint="cs"/>
          <w:sz w:val="34"/>
          <w:szCs w:val="34"/>
          <w:rtl/>
          <w:lang w:bidi="ar"/>
        </w:rPr>
        <w:t>.</w:t>
      </w:r>
    </w:p>
    <w:p w14:paraId="7A9676FE" w14:textId="0DB0B534" w:rsidR="000C34B5" w:rsidRPr="003C4619" w:rsidRDefault="000C34B5" w:rsidP="0031289D">
      <w:pPr>
        <w:keepNext/>
        <w:bidi/>
        <w:spacing w:after="240" w:line="360" w:lineRule="exact"/>
        <w:jc w:val="center"/>
        <w:rPr>
          <w:rFonts w:ascii="Arabic Typesetting" w:hAnsi="Arabic Typesetting" w:cs="Arabic Typesetting"/>
          <w:b/>
          <w:bCs/>
          <w:sz w:val="36"/>
          <w:szCs w:val="36"/>
          <w:rtl/>
        </w:rPr>
      </w:pPr>
      <w:r w:rsidRPr="003C4619">
        <w:rPr>
          <w:rFonts w:ascii="Arabic Typesetting" w:hAnsi="Arabic Typesetting" w:cs="Arabic Typesetting"/>
          <w:b/>
          <w:bCs/>
          <w:sz w:val="36"/>
          <w:szCs w:val="36"/>
          <w:rtl/>
        </w:rPr>
        <w:lastRenderedPageBreak/>
        <w:t xml:space="preserve">الهدف الاستراتيجي الثالث </w:t>
      </w:r>
      <w:r>
        <w:rPr>
          <w:rFonts w:ascii="Arabic Typesetting" w:hAnsi="Arabic Typesetting" w:cs="Arabic Typesetting"/>
          <w:b/>
          <w:bCs/>
          <w:sz w:val="36"/>
          <w:szCs w:val="36"/>
          <w:rtl/>
        </w:rPr>
        <w:t>–</w:t>
      </w:r>
      <w:r>
        <w:rPr>
          <w:rFonts w:ascii="Arabic Typesetting" w:hAnsi="Arabic Typesetting" w:cs="Arabic Typesetting" w:hint="cs"/>
          <w:b/>
          <w:bCs/>
          <w:sz w:val="36"/>
          <w:szCs w:val="36"/>
          <w:rtl/>
        </w:rPr>
        <w:t xml:space="preserve"> </w:t>
      </w:r>
      <w:r w:rsidRPr="003C4619">
        <w:rPr>
          <w:rFonts w:ascii="Arabic Typesetting" w:hAnsi="Arabic Typesetting" w:cs="Arabic Typesetting"/>
          <w:b/>
          <w:bCs/>
          <w:sz w:val="36"/>
          <w:szCs w:val="36"/>
          <w:rtl/>
        </w:rPr>
        <w:t>تسهيل الانتفاع بالملكية الفكرية في سبيل التنمية</w:t>
      </w:r>
    </w:p>
    <w:p w14:paraId="795FD91E" w14:textId="5C7501FB" w:rsidR="000C34B5" w:rsidRPr="003C4619" w:rsidRDefault="00D86F42" w:rsidP="00D86F42">
      <w:pPr>
        <w:bidi/>
        <w:spacing w:after="240"/>
        <w:jc w:val="center"/>
        <w:rPr>
          <w:rFonts w:ascii="Arabic Typesetting" w:hAnsi="Arabic Typesetting" w:cs="Arabic Typesetting"/>
          <w:b/>
          <w:bCs/>
          <w:sz w:val="36"/>
          <w:szCs w:val="36"/>
          <w:rtl/>
        </w:rPr>
      </w:pPr>
      <w:r>
        <w:rPr>
          <w:rFonts w:ascii="Arabic Typesetting" w:hAnsi="Arabic Typesetting" w:cs="Arabic Typesetting"/>
          <w:b/>
          <w:bCs/>
          <w:noProof/>
          <w:sz w:val="36"/>
          <w:szCs w:val="36"/>
        </w:rPr>
        <w:drawing>
          <wp:inline distT="0" distB="0" distL="0" distR="0" wp14:anchorId="767445CC" wp14:editId="1C4C2614">
            <wp:extent cx="3568240" cy="216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8240" cy="2160000"/>
                    </a:xfrm>
                    <a:prstGeom prst="rect">
                      <a:avLst/>
                    </a:prstGeom>
                    <a:noFill/>
                  </pic:spPr>
                </pic:pic>
              </a:graphicData>
            </a:graphic>
          </wp:inline>
        </w:drawing>
      </w:r>
    </w:p>
    <w:p w14:paraId="5CA941C2" w14:textId="236D2CDB" w:rsidR="003C4619" w:rsidRPr="003C4619" w:rsidRDefault="003C4619" w:rsidP="0031289D">
      <w:pPr>
        <w:pStyle w:val="NumberedParaAR"/>
        <w:tabs>
          <w:tab w:val="clear" w:pos="567"/>
        </w:tabs>
        <w:spacing w:after="120" w:line="320" w:lineRule="exact"/>
        <w:rPr>
          <w:sz w:val="34"/>
          <w:szCs w:val="34"/>
        </w:rPr>
      </w:pPr>
      <w:r w:rsidRPr="003C4619">
        <w:rPr>
          <w:sz w:val="34"/>
          <w:szCs w:val="34"/>
          <w:rtl/>
        </w:rPr>
        <w:t>استمر على قائمة أولويات</w:t>
      </w:r>
      <w:r w:rsidRPr="003C4619">
        <w:rPr>
          <w:rFonts w:hint="cs"/>
          <w:sz w:val="34"/>
          <w:szCs w:val="34"/>
          <w:rtl/>
        </w:rPr>
        <w:t xml:space="preserve"> عام 2016</w:t>
      </w:r>
      <w:r w:rsidRPr="003C4619">
        <w:rPr>
          <w:sz w:val="34"/>
          <w:szCs w:val="34"/>
          <w:rtl/>
        </w:rPr>
        <w:t xml:space="preserve"> تسهيل الانتفاع بالملكية الفكرية </w:t>
      </w:r>
      <w:r w:rsidRPr="003C4619">
        <w:rPr>
          <w:rFonts w:hint="cs"/>
          <w:sz w:val="34"/>
          <w:szCs w:val="34"/>
          <w:rtl/>
        </w:rPr>
        <w:t>لغرض</w:t>
      </w:r>
      <w:r w:rsidRPr="003C4619">
        <w:rPr>
          <w:sz w:val="34"/>
          <w:szCs w:val="34"/>
          <w:rtl/>
        </w:rPr>
        <w:t xml:space="preserve"> التنمية</w:t>
      </w:r>
      <w:r w:rsidRPr="003C4619">
        <w:rPr>
          <w:rFonts w:hint="cs"/>
          <w:sz w:val="34"/>
          <w:szCs w:val="34"/>
          <w:rtl/>
        </w:rPr>
        <w:t>،</w:t>
      </w:r>
      <w:r w:rsidRPr="003C4619">
        <w:rPr>
          <w:sz w:val="34"/>
          <w:szCs w:val="34"/>
          <w:rtl/>
        </w:rPr>
        <w:t xml:space="preserve"> وتمكين البلدان النامية وأقل البلدان نمو</w:t>
      </w:r>
      <w:r w:rsidR="001344B7">
        <w:rPr>
          <w:sz w:val="34"/>
          <w:szCs w:val="34"/>
          <w:rtl/>
        </w:rPr>
        <w:t>اً</w:t>
      </w:r>
      <w:r w:rsidRPr="003C4619">
        <w:rPr>
          <w:sz w:val="34"/>
          <w:szCs w:val="34"/>
          <w:rtl/>
        </w:rPr>
        <w:t xml:space="preserve"> والبلدان التي تمر بمرحلة انتقالية من تسخير الملكية الفكرية لتعزيز الطاقات والقدرات الوطنية على الابتكار</w:t>
      </w:r>
      <w:r w:rsidRPr="003C4619">
        <w:rPr>
          <w:sz w:val="34"/>
          <w:szCs w:val="34"/>
        </w:rPr>
        <w:t>.</w:t>
      </w:r>
    </w:p>
    <w:p w14:paraId="644C89C3" w14:textId="7A806853"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sz w:val="34"/>
          <w:szCs w:val="34"/>
          <w:rtl/>
        </w:rPr>
        <w:t xml:space="preserve">وواصلت الويبو تقديم المساعدة للبلدان النامية </w:t>
      </w: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 xml:space="preserve">البلدان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أقل نمو</w:t>
      </w:r>
      <w:r w:rsidRPr="003C4619">
        <w:rPr>
          <w:rFonts w:ascii="Arabic Typesetting" w:hAnsi="Arabic Typesetting" w:cs="Arabic Typesetting" w:hint="cs"/>
          <w:sz w:val="34"/>
          <w:szCs w:val="34"/>
          <w:rtl/>
        </w:rPr>
        <w:t>ا</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في</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 xml:space="preserve">مجال </w:t>
      </w:r>
      <w:r w:rsidRPr="003C4619">
        <w:rPr>
          <w:rFonts w:ascii="Arabic Typesetting" w:hAnsi="Arabic Typesetting" w:cs="Arabic Typesetting"/>
          <w:sz w:val="34"/>
          <w:szCs w:val="34"/>
          <w:rtl/>
        </w:rPr>
        <w:t xml:space="preserve">صياغة استراتيجيات وطنية </w:t>
      </w:r>
      <w:r w:rsidRPr="003C4619">
        <w:rPr>
          <w:rFonts w:ascii="Arabic Typesetting" w:hAnsi="Arabic Typesetting" w:cs="Arabic Typesetting" w:hint="cs"/>
          <w:sz w:val="34"/>
          <w:szCs w:val="34"/>
          <w:rtl/>
        </w:rPr>
        <w:t>في مجال ا</w:t>
      </w:r>
      <w:r w:rsidRPr="003C4619">
        <w:rPr>
          <w:rFonts w:ascii="Arabic Typesetting" w:hAnsi="Arabic Typesetting" w:cs="Arabic Typesetting"/>
          <w:sz w:val="34"/>
          <w:szCs w:val="34"/>
          <w:rtl/>
        </w:rPr>
        <w:t>لملكية الفكرية وتطوير</w:t>
      </w:r>
      <w:r w:rsidRPr="003C4619">
        <w:rPr>
          <w:rFonts w:ascii="Arabic Typesetting" w:hAnsi="Arabic Typesetting" w:cs="Arabic Typesetting" w:hint="cs"/>
          <w:sz w:val="34"/>
          <w:szCs w:val="34"/>
          <w:rtl/>
        </w:rPr>
        <w:t>ها</w:t>
      </w:r>
      <w:r w:rsidRPr="003C4619">
        <w:rPr>
          <w:rFonts w:ascii="Arabic Typesetting" w:hAnsi="Arabic Typesetting" w:cs="Arabic Typesetting"/>
          <w:sz w:val="34"/>
          <w:szCs w:val="34"/>
          <w:rtl/>
        </w:rPr>
        <w:t xml:space="preserve"> وتنفيذ</w:t>
      </w:r>
      <w:r w:rsidRPr="003C4619">
        <w:rPr>
          <w:rFonts w:ascii="Arabic Typesetting" w:hAnsi="Arabic Typesetting" w:cs="Arabic Typesetting" w:hint="cs"/>
          <w:sz w:val="34"/>
          <w:szCs w:val="34"/>
          <w:rtl/>
        </w:rPr>
        <w:t>ها على نحو</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يتسق</w:t>
      </w:r>
      <w:r w:rsidRPr="003C4619">
        <w:rPr>
          <w:rFonts w:ascii="Arabic Typesetting" w:hAnsi="Arabic Typesetting" w:cs="Arabic Typesetting"/>
          <w:sz w:val="34"/>
          <w:szCs w:val="34"/>
          <w:rtl/>
        </w:rPr>
        <w:t xml:space="preserve"> مع خطط التنمية العامة</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وي</w:t>
      </w:r>
      <w:r w:rsidRPr="003C4619">
        <w:rPr>
          <w:rFonts w:ascii="Arabic Typesetting" w:hAnsi="Arabic Typesetting" w:cs="Arabic Typesetting"/>
          <w:sz w:val="34"/>
          <w:szCs w:val="34"/>
          <w:rtl/>
        </w:rPr>
        <w:t>شجع الابتكار والإبداع</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ولا يزال</w:t>
      </w:r>
      <w:r w:rsidRPr="003C4619">
        <w:rPr>
          <w:rFonts w:ascii="Arabic Typesetting" w:hAnsi="Arabic Typesetting" w:cs="Arabic Typesetting"/>
          <w:sz w:val="34"/>
          <w:szCs w:val="34"/>
          <w:rtl/>
        </w:rPr>
        <w:t xml:space="preserve"> تطبيق</w:t>
      </w:r>
      <w:r w:rsidRPr="003C4619">
        <w:rPr>
          <w:rFonts w:ascii="Arabic Typesetting" w:hAnsi="Arabic Typesetting" w:cs="Arabic Typesetting" w:hint="cs"/>
          <w:sz w:val="34"/>
          <w:szCs w:val="34"/>
          <w:rtl/>
        </w:rPr>
        <w:t xml:space="preserve"> هذه العملية يسترشد</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ب</w:t>
      </w:r>
      <w:r w:rsidRPr="003C4619">
        <w:rPr>
          <w:rFonts w:ascii="Arabic Typesetting" w:hAnsi="Arabic Typesetting" w:cs="Arabic Typesetting"/>
          <w:sz w:val="34"/>
          <w:szCs w:val="34"/>
          <w:rtl/>
        </w:rPr>
        <w:t>المنهجية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sz w:val="34"/>
          <w:szCs w:val="34"/>
          <w:rtl/>
        </w:rPr>
        <w:t xml:space="preserve">ومجموعة الأدوات العملية </w:t>
      </w:r>
      <w:r w:rsidRPr="003C4619">
        <w:rPr>
          <w:rFonts w:ascii="Arabic Typesetting" w:hAnsi="Arabic Typesetting" w:cs="Arabic Typesetting" w:hint="cs"/>
          <w:sz w:val="34"/>
          <w:szCs w:val="34"/>
          <w:rtl/>
        </w:rPr>
        <w:t>الموحدة</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والمرنة في الوقت ذاته</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في</w:t>
      </w:r>
      <w:r w:rsidRPr="003C4619">
        <w:rPr>
          <w:rFonts w:ascii="Arabic Typesetting" w:hAnsi="Arabic Typesetting" w:cs="Arabic Typesetting"/>
          <w:sz w:val="34"/>
          <w:szCs w:val="34"/>
          <w:rtl/>
        </w:rPr>
        <w:t xml:space="preserve"> صياغة استراتيجيات الملكية الفكرية وخططها على الصعيد الوطني، التي وُضعت ضمن مشروع </w:t>
      </w:r>
      <w:r w:rsidRPr="003C4619">
        <w:rPr>
          <w:rFonts w:ascii="Arabic Typesetting" w:hAnsi="Arabic Typesetting" w:cs="Arabic Typesetting" w:hint="cs"/>
          <w:sz w:val="34"/>
          <w:szCs w:val="34"/>
          <w:rtl/>
        </w:rPr>
        <w:t>أجندة</w:t>
      </w:r>
      <w:r w:rsidRPr="003C4619">
        <w:rPr>
          <w:rFonts w:ascii="Arabic Typesetting" w:hAnsi="Arabic Typesetting" w:cs="Arabic Typesetting"/>
          <w:sz w:val="34"/>
          <w:szCs w:val="34"/>
          <w:rtl/>
        </w:rPr>
        <w:t xml:space="preserve"> التنمية بشأن تحسين قدرات المؤسسات والمستخدمين على الأصعدة الوطنية ودون الإقليمية والإقليمية في عام </w:t>
      </w:r>
      <w:r w:rsidRPr="003C4619">
        <w:rPr>
          <w:rFonts w:ascii="Arabic Typesetting" w:hAnsi="Arabic Typesetting" w:cs="Arabic Typesetting"/>
          <w:sz w:val="34"/>
          <w:szCs w:val="34"/>
          <w:rtl/>
          <w:lang w:bidi="ar"/>
        </w:rPr>
        <w:t>2012</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sz w:val="34"/>
          <w:szCs w:val="34"/>
          <w:rtl/>
        </w:rPr>
        <w:t xml:space="preserve">وقد تمخض عن ذلك </w:t>
      </w:r>
      <w:r w:rsidRPr="003C4619">
        <w:rPr>
          <w:rFonts w:ascii="Arabic Typesetting" w:hAnsi="Arabic Typesetting" w:cs="Arabic Typesetting" w:hint="cs"/>
          <w:sz w:val="34"/>
          <w:szCs w:val="34"/>
          <w:rtl/>
        </w:rPr>
        <w:t>شروع</w:t>
      </w:r>
      <w:r w:rsidRPr="003C4619">
        <w:rPr>
          <w:rFonts w:ascii="Arabic Typesetting" w:hAnsi="Arabic Typesetting" w:cs="Arabic Typesetting"/>
          <w:sz w:val="34"/>
          <w:szCs w:val="34"/>
          <w:rtl/>
          <w:lang w:bidi="ar"/>
        </w:rPr>
        <w:t xml:space="preserve"> 1</w:t>
      </w:r>
      <w:r w:rsidRPr="003C4619">
        <w:rPr>
          <w:rFonts w:ascii="Arabic Typesetting" w:hAnsi="Arabic Typesetting" w:cs="Arabic Typesetting" w:hint="cs"/>
          <w:sz w:val="34"/>
          <w:szCs w:val="34"/>
          <w:rtl/>
          <w:lang w:bidi="ar"/>
        </w:rPr>
        <w:t>1</w:t>
      </w:r>
      <w:r w:rsidRPr="003C4619">
        <w:rPr>
          <w:rFonts w:ascii="Arabic Typesetting" w:hAnsi="Arabic Typesetting" w:cs="Arabic Typesetting"/>
          <w:sz w:val="34"/>
          <w:szCs w:val="34"/>
          <w:rtl/>
        </w:rPr>
        <w:t xml:space="preserve"> بلدا</w:t>
      </w:r>
      <w:r w:rsidRPr="003C4619">
        <w:rPr>
          <w:rFonts w:ascii="Arabic Typesetting" w:hAnsi="Arabic Typesetting" w:cs="Arabic Typesetting" w:hint="cs"/>
          <w:sz w:val="34"/>
          <w:szCs w:val="34"/>
          <w:rtl/>
        </w:rPr>
        <w:t xml:space="preserve"> إضافيا</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ثلاثة</w:t>
      </w:r>
      <w:r w:rsidRPr="003C4619">
        <w:rPr>
          <w:rFonts w:ascii="Arabic Typesetting" w:hAnsi="Arabic Typesetting" w:cs="Arabic Typesetting"/>
          <w:sz w:val="34"/>
          <w:szCs w:val="34"/>
          <w:rtl/>
        </w:rPr>
        <w:t xml:space="preserve"> في أفريقيا و</w:t>
      </w:r>
      <w:r w:rsidRPr="003C4619">
        <w:rPr>
          <w:rFonts w:ascii="Arabic Typesetting" w:hAnsi="Arabic Typesetting" w:cs="Arabic Typesetting" w:hint="cs"/>
          <w:sz w:val="34"/>
          <w:szCs w:val="34"/>
          <w:rtl/>
        </w:rPr>
        <w:t xml:space="preserve">اثنان في البلاد العربية </w:t>
      </w:r>
      <w:r w:rsidRPr="003C4619">
        <w:rPr>
          <w:rFonts w:ascii="Arabic Typesetting" w:hAnsi="Arabic Typesetting" w:cs="Arabic Typesetting"/>
          <w:sz w:val="34"/>
          <w:szCs w:val="34"/>
          <w:rtl/>
        </w:rPr>
        <w:t>و</w:t>
      </w:r>
      <w:r w:rsidR="00823608">
        <w:rPr>
          <w:rFonts w:ascii="Arabic Typesetting" w:hAnsi="Arabic Typesetting" w:cs="Arabic Typesetting" w:hint="cs"/>
          <w:sz w:val="34"/>
          <w:szCs w:val="34"/>
          <w:rtl/>
        </w:rPr>
        <w:t>اثنان في آسيا و</w:t>
      </w:r>
      <w:r w:rsidRPr="003C4619">
        <w:rPr>
          <w:rFonts w:ascii="Arabic Typesetting" w:hAnsi="Arabic Typesetting" w:cs="Arabic Typesetting"/>
          <w:sz w:val="34"/>
          <w:szCs w:val="34"/>
          <w:rtl/>
        </w:rPr>
        <w:t xml:space="preserve">المحيط الهادئ </w:t>
      </w:r>
      <w:r w:rsidR="00823608">
        <w:rPr>
          <w:rFonts w:ascii="Arabic Typesetting" w:hAnsi="Arabic Typesetting" w:cs="Arabic Typesetting" w:hint="cs"/>
          <w:sz w:val="34"/>
          <w:szCs w:val="34"/>
          <w:rtl/>
        </w:rPr>
        <w:t>وأربعة</w:t>
      </w:r>
      <w:r w:rsidRPr="003C4619">
        <w:rPr>
          <w:rFonts w:ascii="Arabic Typesetting" w:hAnsi="Arabic Typesetting" w:cs="Arabic Typesetting"/>
          <w:sz w:val="34"/>
          <w:szCs w:val="34"/>
          <w:rtl/>
        </w:rPr>
        <w:t xml:space="preserve"> في أمريكا اللاتينية والكاريبي</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 xml:space="preserve">في </w:t>
      </w:r>
      <w:r w:rsidRPr="003C4619">
        <w:rPr>
          <w:rFonts w:ascii="Arabic Typesetting" w:hAnsi="Arabic Typesetting" w:cs="Arabic Typesetting"/>
          <w:sz w:val="34"/>
          <w:szCs w:val="34"/>
          <w:rtl/>
        </w:rPr>
        <w:t>عملية صياغة استراتيجيات</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 xml:space="preserve">خطط تطوير وطنية </w:t>
      </w:r>
      <w:r w:rsidRPr="003C4619">
        <w:rPr>
          <w:rFonts w:ascii="Arabic Typesetting" w:hAnsi="Arabic Typesetting" w:cs="Arabic Typesetting" w:hint="cs"/>
          <w:sz w:val="34"/>
          <w:szCs w:val="34"/>
          <w:rtl/>
        </w:rPr>
        <w:t>في مجال ا</w:t>
      </w:r>
      <w:r w:rsidRPr="003C4619">
        <w:rPr>
          <w:rFonts w:ascii="Arabic Typesetting" w:hAnsi="Arabic Typesetting" w:cs="Arabic Typesetting"/>
          <w:sz w:val="34"/>
          <w:szCs w:val="34"/>
          <w:rtl/>
        </w:rPr>
        <w:t xml:space="preserve">لملكية الفكرية، </w:t>
      </w:r>
      <w:r w:rsidRPr="003C4619">
        <w:rPr>
          <w:rFonts w:ascii="Arabic Typesetting" w:hAnsi="Arabic Typesetting" w:cs="Arabic Typesetting" w:hint="cs"/>
          <w:sz w:val="34"/>
          <w:szCs w:val="34"/>
          <w:rtl/>
        </w:rPr>
        <w:t xml:space="preserve">وبحلول نهاية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اعتمد</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lang w:bidi="ar"/>
        </w:rPr>
        <w:t xml:space="preserve">42 </w:t>
      </w:r>
      <w:r w:rsidRPr="003C4619">
        <w:rPr>
          <w:rFonts w:ascii="Arabic Typesetting" w:hAnsi="Arabic Typesetting" w:cs="Arabic Typesetting" w:hint="cs"/>
          <w:sz w:val="34"/>
          <w:szCs w:val="34"/>
          <w:rtl/>
        </w:rPr>
        <w:t xml:space="preserve">بلدا </w:t>
      </w:r>
      <w:r w:rsidRPr="003C4619">
        <w:rPr>
          <w:rFonts w:ascii="Arabic Typesetting" w:hAnsi="Arabic Typesetting" w:cs="Arabic Typesetting"/>
          <w:sz w:val="34"/>
          <w:szCs w:val="34"/>
          <w:rtl/>
        </w:rPr>
        <w:t>استراتيجيات</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 xml:space="preserve">خطط تطوير وطنية </w:t>
      </w:r>
      <w:r w:rsidRPr="003C4619">
        <w:rPr>
          <w:rFonts w:ascii="Arabic Typesetting" w:hAnsi="Arabic Typesetting" w:cs="Arabic Typesetting" w:hint="cs"/>
          <w:sz w:val="34"/>
          <w:szCs w:val="34"/>
          <w:rtl/>
        </w:rPr>
        <w:t>في مجال ا</w:t>
      </w:r>
      <w:r w:rsidRPr="003C4619">
        <w:rPr>
          <w:rFonts w:ascii="Arabic Typesetting" w:hAnsi="Arabic Typesetting" w:cs="Arabic Typesetting"/>
          <w:sz w:val="34"/>
          <w:szCs w:val="34"/>
          <w:rtl/>
        </w:rPr>
        <w:t>لملكية الفكرية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sz w:val="34"/>
          <w:szCs w:val="34"/>
          <w:rtl/>
          <w:lang w:bidi="ar"/>
        </w:rPr>
        <w:t>(</w:t>
      </w:r>
      <w:r w:rsidRPr="003C4619">
        <w:rPr>
          <w:rFonts w:ascii="Arabic Typesetting" w:hAnsi="Arabic Typesetting" w:cs="Arabic Typesetting" w:hint="cs"/>
          <w:sz w:val="34"/>
          <w:szCs w:val="34"/>
          <w:rtl/>
          <w:lang w:bidi="ar"/>
        </w:rPr>
        <w:t>24</w:t>
      </w:r>
      <w:r w:rsidR="0097248B">
        <w:rPr>
          <w:rFonts w:ascii="Arabic Typesetting" w:hAnsi="Arabic Typesetting" w:cs="Arabic Typesetting" w:hint="cs"/>
          <w:sz w:val="34"/>
          <w:szCs w:val="34"/>
          <w:rtl/>
          <w:lang w:bidi="ar"/>
        </w:rPr>
        <w:t> </w:t>
      </w:r>
      <w:r w:rsidRPr="003C4619">
        <w:rPr>
          <w:rFonts w:ascii="Arabic Typesetting" w:hAnsi="Arabic Typesetting" w:cs="Arabic Typesetting"/>
          <w:sz w:val="34"/>
          <w:szCs w:val="34"/>
          <w:rtl/>
        </w:rPr>
        <w:t xml:space="preserve">في أفريقيا واثنان في المنطقة العربية </w:t>
      </w:r>
      <w:r w:rsidRPr="003C4619">
        <w:rPr>
          <w:rFonts w:ascii="Arabic Typesetting" w:hAnsi="Arabic Typesetting" w:cs="Arabic Typesetting" w:hint="cs"/>
          <w:sz w:val="34"/>
          <w:szCs w:val="34"/>
          <w:rtl/>
        </w:rPr>
        <w:t>وسبعة</w:t>
      </w:r>
      <w:r w:rsidRPr="003C4619">
        <w:rPr>
          <w:rFonts w:ascii="Arabic Typesetting" w:hAnsi="Arabic Typesetting" w:cs="Arabic Typesetting"/>
          <w:sz w:val="34"/>
          <w:szCs w:val="34"/>
          <w:rtl/>
        </w:rPr>
        <w:t xml:space="preserve"> في آسيا والمحيط الهادئ </w:t>
      </w:r>
      <w:r w:rsidRPr="003C4619">
        <w:rPr>
          <w:rFonts w:ascii="Arabic Typesetting" w:hAnsi="Arabic Typesetting" w:cs="Arabic Typesetting" w:hint="cs"/>
          <w:sz w:val="34"/>
          <w:szCs w:val="34"/>
          <w:rtl/>
        </w:rPr>
        <w:t>وثمانية</w:t>
      </w:r>
      <w:r w:rsidRPr="003C4619">
        <w:rPr>
          <w:rFonts w:ascii="Arabic Typesetting" w:hAnsi="Arabic Typesetting" w:cs="Arabic Typesetting"/>
          <w:sz w:val="34"/>
          <w:szCs w:val="34"/>
          <w:rtl/>
        </w:rPr>
        <w:t xml:space="preserve"> في أمريكا اللاتينية والكاريبي</w:t>
      </w:r>
      <w:r w:rsidRPr="003C4619">
        <w:rPr>
          <w:rFonts w:ascii="Arabic Typesetting" w:hAnsi="Arabic Typesetting" w:cs="Arabic Typesetting"/>
          <w:sz w:val="34"/>
          <w:szCs w:val="34"/>
          <w:rtl/>
          <w:lang w:bidi="ar"/>
        </w:rPr>
        <w:t>)</w:t>
      </w:r>
      <w:r w:rsidRPr="003C4619">
        <w:rPr>
          <w:rFonts w:ascii="Arabic Typesetting" w:hAnsi="Arabic Typesetting" w:cs="Arabic Typesetting" w:hint="cs"/>
          <w:sz w:val="34"/>
          <w:szCs w:val="34"/>
          <w:rtl/>
        </w:rPr>
        <w:t>، بينما لا تزال هذه العملية</w:t>
      </w:r>
      <w:r w:rsidRPr="003C4619">
        <w:rPr>
          <w:rFonts w:ascii="Arabic Typesetting" w:hAnsi="Arabic Typesetting" w:cs="Arabic Typesetting"/>
          <w:sz w:val="34"/>
          <w:szCs w:val="34"/>
          <w:rtl/>
        </w:rPr>
        <w:t xml:space="preserve"> قيد التنفيذ في </w:t>
      </w:r>
      <w:r w:rsidRPr="003C4619">
        <w:rPr>
          <w:rFonts w:ascii="Arabic Typesetting" w:hAnsi="Arabic Typesetting" w:cs="Arabic Typesetting"/>
          <w:sz w:val="34"/>
          <w:szCs w:val="34"/>
          <w:rtl/>
          <w:lang w:bidi="ar"/>
        </w:rPr>
        <w:t>4</w:t>
      </w:r>
      <w:r w:rsidRPr="003C4619">
        <w:rPr>
          <w:rFonts w:ascii="Arabic Typesetting" w:hAnsi="Arabic Typesetting" w:cs="Arabic Typesetting" w:hint="cs"/>
          <w:sz w:val="34"/>
          <w:szCs w:val="34"/>
          <w:rtl/>
          <w:lang w:bidi="ar"/>
        </w:rPr>
        <w:t>3</w:t>
      </w:r>
      <w:r w:rsidRPr="003C4619">
        <w:rPr>
          <w:rFonts w:ascii="Arabic Typesetting" w:hAnsi="Arabic Typesetting" w:cs="Arabic Typesetting"/>
          <w:sz w:val="34"/>
          <w:szCs w:val="34"/>
          <w:rtl/>
        </w:rPr>
        <w:t xml:space="preserve"> بلدا</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sz w:val="34"/>
          <w:szCs w:val="34"/>
          <w:rtl/>
          <w:lang w:bidi="ar"/>
        </w:rPr>
        <w:t>(2</w:t>
      </w:r>
      <w:r w:rsidRPr="003C4619">
        <w:rPr>
          <w:rFonts w:ascii="Arabic Typesetting" w:hAnsi="Arabic Typesetting" w:cs="Arabic Typesetting" w:hint="cs"/>
          <w:sz w:val="34"/>
          <w:szCs w:val="34"/>
          <w:rtl/>
          <w:lang w:bidi="ar"/>
        </w:rPr>
        <w:t>7</w:t>
      </w:r>
      <w:r w:rsidRPr="003C4619">
        <w:rPr>
          <w:rFonts w:ascii="Arabic Typesetting" w:hAnsi="Arabic Typesetting" w:cs="Arabic Typesetting"/>
          <w:sz w:val="34"/>
          <w:szCs w:val="34"/>
          <w:rtl/>
        </w:rPr>
        <w:t xml:space="preserve"> في أفريقيا واثنان في المنطقة العربية </w:t>
      </w:r>
      <w:r w:rsidRPr="003C4619">
        <w:rPr>
          <w:rFonts w:ascii="Arabic Typesetting" w:hAnsi="Arabic Typesetting" w:cs="Arabic Typesetting" w:hint="cs"/>
          <w:sz w:val="34"/>
          <w:szCs w:val="34"/>
          <w:rtl/>
        </w:rPr>
        <w:t>وتسعة</w:t>
      </w:r>
      <w:r w:rsidRPr="003C4619">
        <w:rPr>
          <w:rFonts w:ascii="Arabic Typesetting" w:hAnsi="Arabic Typesetting" w:cs="Arabic Typesetting"/>
          <w:sz w:val="34"/>
          <w:szCs w:val="34"/>
          <w:rtl/>
        </w:rPr>
        <w:t xml:space="preserve"> في آسيا والمحيط الهادئ </w:t>
      </w:r>
      <w:r w:rsidRPr="003C4619">
        <w:rPr>
          <w:rFonts w:ascii="Arabic Typesetting" w:hAnsi="Arabic Typesetting" w:cs="Arabic Typesetting" w:hint="cs"/>
          <w:sz w:val="34"/>
          <w:szCs w:val="34"/>
          <w:rtl/>
        </w:rPr>
        <w:t>وخمسة</w:t>
      </w:r>
      <w:r w:rsidRPr="003C4619">
        <w:rPr>
          <w:rFonts w:ascii="Arabic Typesetting" w:hAnsi="Arabic Typesetting" w:cs="Arabic Typesetting"/>
          <w:sz w:val="34"/>
          <w:szCs w:val="34"/>
          <w:rtl/>
        </w:rPr>
        <w:t xml:space="preserve"> في أمريكا اللاتينية والكاريبي</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 xml:space="preserve">منها </w:t>
      </w:r>
      <w:r w:rsidRPr="003C4619">
        <w:rPr>
          <w:rFonts w:ascii="Arabic Typesetting" w:hAnsi="Arabic Typesetting" w:cs="Arabic Typesetting" w:hint="cs"/>
          <w:sz w:val="34"/>
          <w:szCs w:val="34"/>
          <w:rtl/>
          <w:lang w:bidi="ar"/>
        </w:rPr>
        <w:t>20</w:t>
      </w:r>
      <w:r w:rsidRPr="003C4619">
        <w:rPr>
          <w:rFonts w:ascii="Arabic Typesetting" w:hAnsi="Arabic Typesetting" w:cs="Arabic Typesetting"/>
          <w:sz w:val="34"/>
          <w:szCs w:val="34"/>
          <w:rtl/>
        </w:rPr>
        <w:t xml:space="preserve"> من أقل البلدان نمو</w:t>
      </w:r>
      <w:r w:rsidR="001344B7">
        <w:rPr>
          <w:rFonts w:ascii="Arabic Typesetting" w:hAnsi="Arabic Typesetting" w:cs="Arabic Typesetting"/>
          <w:sz w:val="34"/>
          <w:szCs w:val="34"/>
          <w:rtl/>
        </w:rPr>
        <w:t>اً</w:t>
      </w:r>
      <w:r w:rsidRPr="003C4619">
        <w:rPr>
          <w:rFonts w:ascii="Arabic Typesetting" w:hAnsi="Arabic Typesetting" w:cs="Arabic Typesetting"/>
          <w:sz w:val="34"/>
          <w:szCs w:val="34"/>
          <w:rtl/>
          <w:lang w:bidi="ar"/>
        </w:rPr>
        <w:t>.</w:t>
      </w:r>
    </w:p>
    <w:p w14:paraId="674DF952" w14:textId="4F947691"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وظل تعزيز أهمية استراتيجيات الملكية الفكرية الوطنية أولوية في البلدان التي تمر اقتصاداتها بمرحلة انتقالية ضمن أولويات عام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hint="cs"/>
          <w:sz w:val="34"/>
          <w:szCs w:val="34"/>
          <w:rtl/>
        </w:rPr>
        <w:t>وقد اعتمد بلد واحد استراتيجية وطنية في مجال الملكية الفكرية، وتوجد ثلاثة بلدان أخرى في طور صياغة استراتيجيات الملكية الفكرية أو إعادة صياغتها، وبلدان أخرى بصدد الانتهاء من وضع هذه الاستراتيجيات في نهاية عام</w:t>
      </w:r>
      <w:r w:rsidR="0097248B">
        <w:rPr>
          <w:rFonts w:ascii="Arabic Typesetting" w:hAnsi="Arabic Typesetting" w:cs="Arabic Typesetting" w:hint="eastAsia"/>
          <w:sz w:val="34"/>
          <w:szCs w:val="34"/>
          <w:rtl/>
          <w:lang w:bidi="ar"/>
        </w:rPr>
        <w:t> </w:t>
      </w:r>
      <w:r w:rsidRPr="003C4619">
        <w:rPr>
          <w:rFonts w:ascii="Arabic Typesetting" w:hAnsi="Arabic Typesetting" w:cs="Arabic Typesetting" w:hint="cs"/>
          <w:sz w:val="34"/>
          <w:szCs w:val="34"/>
          <w:rtl/>
          <w:lang w:bidi="ar"/>
        </w:rPr>
        <w:t>2016.</w:t>
      </w:r>
    </w:p>
    <w:p w14:paraId="3562A5D1"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ووفقا لخطط التعاون والاستراتيجيات الوطنية في مجال الملكية الفكرية، وعقب تلقي المساعدة من الويبو، بما في ذلك الأنشطة الترويجية، عدّلت السبعة البلدان التالية تشريعاتها الوطنية للملكية الفكرية في عام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xml:space="preserve"> الاتحاد الروسي وألبانيا وجمهورية مولدوفا وكازاخستان ولاتفيا والجبل الأسود</w:t>
      </w:r>
      <w:r w:rsidRPr="003C4619">
        <w:rPr>
          <w:rFonts w:ascii="Arabic Typesetting" w:hAnsi="Arabic Typesetting" w:cs="Arabic Typesetting" w:hint="cs"/>
          <w:sz w:val="34"/>
          <w:szCs w:val="34"/>
          <w:rtl/>
          <w:lang w:bidi="ar"/>
        </w:rPr>
        <w:t>.</w:t>
      </w:r>
    </w:p>
    <w:p w14:paraId="24801367" w14:textId="7D84A49A" w:rsidR="003C4619" w:rsidRPr="00D70D19" w:rsidRDefault="003C4619" w:rsidP="00396976">
      <w:pPr>
        <w:numPr>
          <w:ilvl w:val="0"/>
          <w:numId w:val="68"/>
        </w:numPr>
        <w:bidi/>
        <w:spacing w:after="240" w:line="340" w:lineRule="exact"/>
        <w:ind w:left="567" w:hanging="567"/>
        <w:rPr>
          <w:rFonts w:ascii="Arabic Typesetting" w:hAnsi="Arabic Typesetting" w:cs="Arabic Typesetting"/>
          <w:sz w:val="34"/>
          <w:szCs w:val="34"/>
          <w:rtl/>
          <w:lang w:bidi="ar"/>
        </w:rPr>
      </w:pPr>
      <w:r w:rsidRPr="00D70D19">
        <w:rPr>
          <w:rFonts w:ascii="Arabic Typesetting" w:hAnsi="Arabic Typesetting" w:cs="Arabic Typesetting" w:hint="cs"/>
          <w:sz w:val="34"/>
          <w:szCs w:val="34"/>
          <w:rtl/>
        </w:rPr>
        <w:t xml:space="preserve">وفيما يتعلق ببرنامج التنمية المهنية، نُظم نحو </w:t>
      </w:r>
      <w:r w:rsidRPr="00D70D19">
        <w:rPr>
          <w:rFonts w:ascii="Arabic Typesetting" w:hAnsi="Arabic Typesetting" w:cs="Arabic Typesetting" w:hint="cs"/>
          <w:sz w:val="34"/>
          <w:szCs w:val="34"/>
          <w:rtl/>
          <w:lang w:bidi="ar"/>
        </w:rPr>
        <w:t xml:space="preserve">20 </w:t>
      </w:r>
      <w:r w:rsidRPr="00D70D19">
        <w:rPr>
          <w:rFonts w:ascii="Arabic Typesetting" w:hAnsi="Arabic Typesetting" w:cs="Arabic Typesetting" w:hint="cs"/>
          <w:sz w:val="34"/>
          <w:szCs w:val="34"/>
          <w:rtl/>
        </w:rPr>
        <w:t xml:space="preserve">دورة تدريبية بالاشتراك مع </w:t>
      </w:r>
      <w:r w:rsidRPr="00D70D19">
        <w:rPr>
          <w:rFonts w:ascii="Arabic Typesetting" w:hAnsi="Arabic Typesetting" w:cs="Arabic Typesetting" w:hint="cs"/>
          <w:sz w:val="34"/>
          <w:szCs w:val="34"/>
          <w:rtl/>
          <w:lang w:bidi="ar"/>
        </w:rPr>
        <w:t xml:space="preserve">23 </w:t>
      </w:r>
      <w:r w:rsidRPr="00D70D19">
        <w:rPr>
          <w:rFonts w:ascii="Arabic Typesetting" w:hAnsi="Arabic Typesetting" w:cs="Arabic Typesetting" w:hint="cs"/>
          <w:sz w:val="34"/>
          <w:szCs w:val="34"/>
          <w:rtl/>
        </w:rPr>
        <w:t>مؤسسة شريكة</w:t>
      </w:r>
      <w:r w:rsidRPr="00D70D19">
        <w:rPr>
          <w:rFonts w:ascii="Arabic Typesetting" w:hAnsi="Arabic Typesetting" w:cs="Arabic Typesetting" w:hint="cs"/>
          <w:sz w:val="34"/>
          <w:szCs w:val="34"/>
          <w:rtl/>
          <w:lang w:bidi="ar"/>
        </w:rPr>
        <w:t xml:space="preserve">. </w:t>
      </w:r>
      <w:r w:rsidRPr="00D70D19">
        <w:rPr>
          <w:rFonts w:ascii="Arabic Typesetting" w:hAnsi="Arabic Typesetting" w:cs="Arabic Typesetting" w:hint="cs"/>
          <w:sz w:val="34"/>
          <w:szCs w:val="34"/>
          <w:rtl/>
        </w:rPr>
        <w:t xml:space="preserve">واستفاد من البرامج </w:t>
      </w:r>
      <w:r w:rsidRPr="00D70D19">
        <w:rPr>
          <w:rFonts w:ascii="Arabic Typesetting" w:hAnsi="Arabic Typesetting" w:cs="Arabic Typesetting" w:hint="cs"/>
          <w:sz w:val="34"/>
          <w:szCs w:val="34"/>
          <w:rtl/>
          <w:lang w:bidi="ar"/>
        </w:rPr>
        <w:t xml:space="preserve">301 </w:t>
      </w:r>
      <w:r w:rsidR="00D70D19">
        <w:rPr>
          <w:rFonts w:ascii="Arabic Typesetting" w:hAnsi="Arabic Typesetting" w:cs="Arabic Typesetting" w:hint="cs"/>
          <w:sz w:val="34"/>
          <w:szCs w:val="34"/>
          <w:rtl/>
        </w:rPr>
        <w:t>موظف حكومي</w:t>
      </w:r>
      <w:r w:rsidRPr="00D70D19">
        <w:rPr>
          <w:rFonts w:ascii="Arabic Typesetting" w:hAnsi="Arabic Typesetting" w:cs="Arabic Typesetting" w:hint="cs"/>
          <w:sz w:val="34"/>
          <w:szCs w:val="34"/>
          <w:rtl/>
        </w:rPr>
        <w:t xml:space="preserve">، منهم </w:t>
      </w:r>
      <w:r w:rsidRPr="00D70D19">
        <w:rPr>
          <w:rFonts w:ascii="Arabic Typesetting" w:hAnsi="Arabic Typesetting" w:cs="Arabic Typesetting" w:hint="cs"/>
          <w:sz w:val="34"/>
          <w:szCs w:val="34"/>
          <w:rtl/>
          <w:lang w:bidi="ar"/>
        </w:rPr>
        <w:t xml:space="preserve">51 </w:t>
      </w:r>
      <w:r w:rsidRPr="00D70D19">
        <w:rPr>
          <w:rFonts w:ascii="Arabic Typesetting" w:hAnsi="Arabic Typesetting" w:cs="Arabic Typesetting" w:hint="cs"/>
          <w:sz w:val="34"/>
          <w:szCs w:val="34"/>
          <w:rtl/>
        </w:rPr>
        <w:t>في المائة من الإناث</w:t>
      </w:r>
      <w:r w:rsidRPr="00D70D19">
        <w:rPr>
          <w:rFonts w:ascii="Arabic Typesetting" w:hAnsi="Arabic Typesetting" w:cs="Arabic Typesetting" w:hint="cs"/>
          <w:sz w:val="34"/>
          <w:szCs w:val="34"/>
          <w:rtl/>
          <w:lang w:bidi="ar"/>
        </w:rPr>
        <w:t xml:space="preserve">. </w:t>
      </w:r>
      <w:r w:rsidRPr="00D70D19">
        <w:rPr>
          <w:rFonts w:ascii="Arabic Typesetting" w:hAnsi="Arabic Typesetting" w:cs="Arabic Typesetting" w:hint="cs"/>
          <w:sz w:val="34"/>
          <w:szCs w:val="34"/>
          <w:rtl/>
        </w:rPr>
        <w:t>وواصل برنامج التعلم عن بعد جذب المشاركين من طائفة واسعة من أصحاب المصلحة</w:t>
      </w:r>
      <w:r w:rsidRPr="00D70D19">
        <w:rPr>
          <w:rFonts w:ascii="Arabic Typesetting" w:hAnsi="Arabic Typesetting" w:cs="Arabic Typesetting" w:hint="cs"/>
          <w:sz w:val="34"/>
          <w:szCs w:val="34"/>
          <w:rtl/>
          <w:lang w:bidi="ar"/>
        </w:rPr>
        <w:t xml:space="preserve">. </w:t>
      </w:r>
      <w:r w:rsidRPr="00D70D19">
        <w:rPr>
          <w:rFonts w:ascii="Arabic Typesetting" w:hAnsi="Arabic Typesetting" w:cs="Arabic Typesetting" w:hint="cs"/>
          <w:sz w:val="34"/>
          <w:szCs w:val="34"/>
          <w:rtl/>
        </w:rPr>
        <w:t xml:space="preserve">وفي عام </w:t>
      </w:r>
      <w:r w:rsidRPr="00D70D19">
        <w:rPr>
          <w:rFonts w:ascii="Arabic Typesetting" w:hAnsi="Arabic Typesetting" w:cs="Arabic Typesetting" w:hint="cs"/>
          <w:sz w:val="34"/>
          <w:szCs w:val="34"/>
          <w:rtl/>
          <w:lang w:bidi="ar"/>
        </w:rPr>
        <w:t>2016</w:t>
      </w:r>
      <w:r w:rsidRPr="00D70D19">
        <w:rPr>
          <w:rFonts w:ascii="Arabic Typesetting" w:hAnsi="Arabic Typesetting" w:cs="Arabic Typesetting" w:hint="cs"/>
          <w:sz w:val="34"/>
          <w:szCs w:val="34"/>
          <w:rtl/>
        </w:rPr>
        <w:t>، استفاد من مركز التعلم الإلكتروني</w:t>
      </w:r>
      <w:r w:rsidR="00DF47AF" w:rsidRPr="00D70D19">
        <w:rPr>
          <w:rFonts w:ascii="Arabic Typesetting" w:hAnsi="Arabic Typesetting" w:cs="Arabic Typesetting" w:hint="cs"/>
          <w:sz w:val="34"/>
          <w:szCs w:val="34"/>
          <w:rtl/>
        </w:rPr>
        <w:t xml:space="preserve"> (</w:t>
      </w:r>
      <w:r w:rsidR="00DF47AF" w:rsidRPr="00D70D19">
        <w:rPr>
          <w:rFonts w:ascii="Arabic Typesetting" w:hAnsi="Arabic Typesetting" w:cs="Arabic Typesetting"/>
          <w:sz w:val="34"/>
          <w:szCs w:val="34"/>
        </w:rPr>
        <w:t>WeLC</w:t>
      </w:r>
      <w:r w:rsidR="00DF47AF" w:rsidRPr="00D70D19">
        <w:rPr>
          <w:rFonts w:ascii="Arabic Typesetting" w:hAnsi="Arabic Typesetting" w:cs="Arabic Typesetting" w:hint="cs"/>
          <w:sz w:val="34"/>
          <w:szCs w:val="34"/>
          <w:rtl/>
          <w:lang w:bidi="ar-EG"/>
        </w:rPr>
        <w:t xml:space="preserve">) </w:t>
      </w:r>
      <w:r w:rsidRPr="00D70D19">
        <w:rPr>
          <w:rFonts w:ascii="Arabic Typesetting" w:hAnsi="Arabic Typesetting" w:cs="Arabic Typesetting" w:hint="cs"/>
          <w:sz w:val="34"/>
          <w:szCs w:val="34"/>
          <w:rtl/>
        </w:rPr>
        <w:t>حوالي</w:t>
      </w:r>
      <w:r w:rsidR="00DF47AF" w:rsidRPr="00D70D19">
        <w:rPr>
          <w:rFonts w:ascii="Arabic Typesetting" w:hAnsi="Arabic Typesetting" w:cs="Arabic Typesetting" w:hint="cs"/>
          <w:sz w:val="34"/>
          <w:szCs w:val="34"/>
          <w:rtl/>
        </w:rPr>
        <w:t xml:space="preserve"> 596 54</w:t>
      </w:r>
      <w:r w:rsidRPr="00D70D19">
        <w:rPr>
          <w:rFonts w:ascii="Arabic Typesetting" w:hAnsi="Arabic Typesetting" w:cs="Arabic Typesetting" w:hint="cs"/>
          <w:sz w:val="34"/>
          <w:szCs w:val="34"/>
          <w:rtl/>
        </w:rPr>
        <w:t xml:space="preserve"> مشاركا </w:t>
      </w:r>
      <w:r w:rsidR="00D70D19" w:rsidRPr="00D70D19">
        <w:rPr>
          <w:rFonts w:ascii="Arabic Typesetting" w:hAnsi="Arabic Typesetting" w:cs="Arabic Typesetting" w:hint="cs"/>
          <w:sz w:val="34"/>
          <w:szCs w:val="34"/>
          <w:rtl/>
          <w:lang w:bidi="ar-EG"/>
        </w:rPr>
        <w:t>(</w:t>
      </w:r>
      <w:r w:rsidR="00D70D19" w:rsidRPr="00396976">
        <w:rPr>
          <w:rFonts w:ascii="Arabic Typesetting" w:hAnsi="Arabic Typesetting" w:cs="Arabic Typesetting"/>
          <w:sz w:val="34"/>
          <w:szCs w:val="34"/>
          <w:rtl/>
          <w:lang w:bidi="ar-EG"/>
        </w:rPr>
        <w:t>423</w:t>
      </w:r>
      <w:r w:rsidR="00E62D9A" w:rsidRPr="00396976">
        <w:rPr>
          <w:rFonts w:ascii="Arabic Typesetting" w:hAnsi="Arabic Typesetting" w:cs="Arabic Typesetting" w:hint="eastAsia"/>
          <w:sz w:val="34"/>
          <w:szCs w:val="34"/>
          <w:rtl/>
          <w:lang w:bidi="ar-EG"/>
        </w:rPr>
        <w:t> </w:t>
      </w:r>
      <w:r w:rsidR="00D70D19" w:rsidRPr="00396976">
        <w:rPr>
          <w:rFonts w:ascii="Arabic Typesetting" w:hAnsi="Arabic Typesetting" w:cs="Arabic Typesetting"/>
          <w:sz w:val="34"/>
          <w:szCs w:val="34"/>
          <w:rtl/>
          <w:lang w:bidi="ar-EG"/>
        </w:rPr>
        <w:t>44</w:t>
      </w:r>
      <w:r w:rsidR="00396976">
        <w:rPr>
          <w:rFonts w:ascii="Arabic Typesetting" w:hAnsi="Arabic Typesetting" w:cs="Arabic Typesetting" w:hint="eastAsia"/>
          <w:sz w:val="34"/>
          <w:szCs w:val="34"/>
          <w:rtl/>
          <w:lang w:bidi="ar-EG"/>
        </w:rPr>
        <w:t> </w:t>
      </w:r>
      <w:r w:rsidRPr="00D70D19">
        <w:rPr>
          <w:rFonts w:ascii="Arabic Typesetting" w:hAnsi="Arabic Typesetting" w:cs="Arabic Typesetting" w:hint="cs"/>
          <w:sz w:val="34"/>
          <w:szCs w:val="34"/>
          <w:rtl/>
        </w:rPr>
        <w:t>مشاركا في الدورات العامة و</w:t>
      </w:r>
      <w:r w:rsidRPr="00D70D19">
        <w:rPr>
          <w:rFonts w:ascii="Arabic Typesetting" w:hAnsi="Arabic Typesetting" w:cs="Arabic Typesetting" w:hint="cs"/>
          <w:sz w:val="34"/>
          <w:szCs w:val="34"/>
          <w:rtl/>
          <w:lang w:bidi="ar"/>
        </w:rPr>
        <w:t xml:space="preserve">173 10 </w:t>
      </w:r>
      <w:r w:rsidRPr="00D70D19">
        <w:rPr>
          <w:rFonts w:ascii="Arabic Typesetting" w:hAnsi="Arabic Typesetting" w:cs="Arabic Typesetting" w:hint="cs"/>
          <w:sz w:val="34"/>
          <w:szCs w:val="34"/>
          <w:rtl/>
        </w:rPr>
        <w:t>مشاركا في الدورات المتقدمة</w:t>
      </w:r>
      <w:r w:rsidRPr="00D70D19">
        <w:rPr>
          <w:rFonts w:ascii="Arabic Typesetting" w:hAnsi="Arabic Typesetting" w:cs="Arabic Typesetting" w:hint="cs"/>
          <w:sz w:val="34"/>
          <w:szCs w:val="34"/>
          <w:rtl/>
          <w:lang w:bidi="ar"/>
        </w:rPr>
        <w:t>)</w:t>
      </w:r>
      <w:r w:rsidRPr="00D70D19">
        <w:rPr>
          <w:rFonts w:ascii="Arabic Typesetting" w:hAnsi="Arabic Typesetting" w:cs="Arabic Typesetting" w:hint="cs"/>
          <w:sz w:val="34"/>
          <w:szCs w:val="34"/>
          <w:rtl/>
        </w:rPr>
        <w:t xml:space="preserve">، أي بزيادة قدرها </w:t>
      </w:r>
      <w:r w:rsidRPr="00D70D19">
        <w:rPr>
          <w:rFonts w:ascii="Arabic Typesetting" w:hAnsi="Arabic Typesetting" w:cs="Arabic Typesetting" w:hint="cs"/>
          <w:sz w:val="34"/>
          <w:szCs w:val="34"/>
          <w:rtl/>
          <w:lang w:bidi="ar"/>
        </w:rPr>
        <w:t xml:space="preserve">25 </w:t>
      </w:r>
      <w:r w:rsidRPr="00D70D19">
        <w:rPr>
          <w:rFonts w:ascii="Arabic Typesetting" w:hAnsi="Arabic Typesetting" w:cs="Arabic Typesetting" w:hint="cs"/>
          <w:sz w:val="34"/>
          <w:szCs w:val="34"/>
          <w:rtl/>
        </w:rPr>
        <w:t xml:space="preserve">في المائة عن عام </w:t>
      </w:r>
      <w:r w:rsidRPr="00D70D19">
        <w:rPr>
          <w:rFonts w:ascii="Arabic Typesetting" w:hAnsi="Arabic Typesetting" w:cs="Arabic Typesetting" w:hint="cs"/>
          <w:sz w:val="34"/>
          <w:szCs w:val="34"/>
          <w:rtl/>
          <w:lang w:bidi="ar"/>
        </w:rPr>
        <w:t xml:space="preserve">2015. </w:t>
      </w:r>
      <w:r w:rsidRPr="00D70D19">
        <w:rPr>
          <w:rFonts w:ascii="Arabic Typesetting" w:hAnsi="Arabic Typesetting" w:cs="Arabic Typesetting" w:hint="cs"/>
          <w:sz w:val="34"/>
          <w:szCs w:val="34"/>
          <w:rtl/>
        </w:rPr>
        <w:t>ويجدر بالذكر أن عام</w:t>
      </w:r>
      <w:r w:rsidRPr="00D70D19">
        <w:rPr>
          <w:rFonts w:ascii="Arabic Typesetting" w:hAnsi="Arabic Typesetting" w:cs="Arabic Typesetting" w:hint="cs"/>
          <w:sz w:val="34"/>
          <w:szCs w:val="34"/>
          <w:rtl/>
          <w:lang w:bidi="ar"/>
        </w:rPr>
        <w:t xml:space="preserve"> 2016 </w:t>
      </w:r>
      <w:r w:rsidRPr="00D70D19">
        <w:rPr>
          <w:rFonts w:ascii="Arabic Typesetting" w:hAnsi="Arabic Typesetting" w:cs="Arabic Typesetting" w:hint="cs"/>
          <w:sz w:val="34"/>
          <w:szCs w:val="34"/>
          <w:rtl/>
        </w:rPr>
        <w:t xml:space="preserve">شهد إطلاق الدورة العامة للتعلم بشأن الملكية الفكرية </w:t>
      </w:r>
      <w:r w:rsidRPr="00D70D19">
        <w:rPr>
          <w:rFonts w:ascii="Arabic Typesetting" w:hAnsi="Arabic Typesetting" w:cs="Arabic Typesetting"/>
          <w:sz w:val="34"/>
          <w:szCs w:val="34"/>
          <w:lang w:bidi="ar"/>
        </w:rPr>
        <w:t>(DL-101)</w:t>
      </w:r>
      <w:r w:rsidRPr="00D70D19">
        <w:rPr>
          <w:rFonts w:ascii="Arabic Typesetting" w:hAnsi="Arabic Typesetting" w:cs="Arabic Typesetting" w:hint="cs"/>
          <w:sz w:val="34"/>
          <w:szCs w:val="34"/>
          <w:rtl/>
        </w:rPr>
        <w:t xml:space="preserve"> للأشخاص العاجزين عن قراءة المطبوعات بسبع لغات</w:t>
      </w:r>
      <w:r w:rsidRPr="00D70D19">
        <w:rPr>
          <w:rFonts w:ascii="Arabic Typesetting" w:hAnsi="Arabic Typesetting" w:cs="Arabic Typesetting" w:hint="cs"/>
          <w:sz w:val="34"/>
          <w:szCs w:val="34"/>
          <w:rtl/>
          <w:lang w:bidi="ar"/>
        </w:rPr>
        <w:t xml:space="preserve">. </w:t>
      </w:r>
      <w:r w:rsidRPr="00D70D19">
        <w:rPr>
          <w:rFonts w:ascii="Arabic Typesetting" w:hAnsi="Arabic Typesetting" w:cs="Arabic Typesetting" w:hint="cs"/>
          <w:sz w:val="34"/>
          <w:szCs w:val="34"/>
          <w:rtl/>
        </w:rPr>
        <w:t xml:space="preserve">وذلك في لإطار الاحتفالات باليوم العالمي للملكية الفكرية لعام </w:t>
      </w:r>
      <w:r w:rsidRPr="00D70D19">
        <w:rPr>
          <w:rFonts w:ascii="Arabic Typesetting" w:hAnsi="Arabic Typesetting" w:cs="Arabic Typesetting" w:hint="cs"/>
          <w:sz w:val="34"/>
          <w:szCs w:val="34"/>
          <w:rtl/>
          <w:lang w:bidi="ar"/>
        </w:rPr>
        <w:t xml:space="preserve">2016. </w:t>
      </w:r>
      <w:r w:rsidRPr="00D70D19">
        <w:rPr>
          <w:rFonts w:ascii="Arabic Typesetting" w:hAnsi="Arabic Typesetting" w:cs="Arabic Typesetting" w:hint="cs"/>
          <w:sz w:val="34"/>
          <w:szCs w:val="34"/>
          <w:rtl/>
        </w:rPr>
        <w:t xml:space="preserve">ومنذ إطلاق البرنامج، شارك في الدورة ما يزيد على </w:t>
      </w:r>
      <w:r w:rsidRPr="00D70D19">
        <w:rPr>
          <w:rFonts w:ascii="Arabic Typesetting" w:hAnsi="Arabic Typesetting" w:cs="Arabic Typesetting" w:hint="cs"/>
          <w:sz w:val="34"/>
          <w:szCs w:val="34"/>
          <w:rtl/>
          <w:lang w:bidi="ar"/>
        </w:rPr>
        <w:t xml:space="preserve">500 </w:t>
      </w:r>
      <w:r w:rsidRPr="00D70D19">
        <w:rPr>
          <w:rFonts w:ascii="Arabic Typesetting" w:hAnsi="Arabic Typesetting" w:cs="Arabic Typesetting" w:hint="cs"/>
          <w:sz w:val="34"/>
          <w:szCs w:val="34"/>
          <w:rtl/>
        </w:rPr>
        <w:t>مشارك على الصعيد العالمي</w:t>
      </w:r>
      <w:r w:rsidRPr="00D70D19">
        <w:rPr>
          <w:rFonts w:ascii="Arabic Typesetting" w:hAnsi="Arabic Typesetting" w:cs="Arabic Typesetting" w:hint="cs"/>
          <w:sz w:val="34"/>
          <w:szCs w:val="34"/>
          <w:rtl/>
          <w:lang w:bidi="ar"/>
        </w:rPr>
        <w:t>.</w:t>
      </w:r>
    </w:p>
    <w:tbl>
      <w:tblPr>
        <w:tblStyle w:val="TableGrid"/>
        <w:bidiVisual/>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10"/>
      </w:tblGrid>
      <w:tr w:rsidR="003C4619" w:rsidRPr="003C4619" w14:paraId="6C6FC214" w14:textId="77777777" w:rsidTr="00B54D74">
        <w:tc>
          <w:tcPr>
            <w:tcW w:w="4785" w:type="dxa"/>
          </w:tcPr>
          <w:p w14:paraId="60750D0A" w14:textId="77777777" w:rsidR="003C4619" w:rsidRPr="003C4619" w:rsidRDefault="003C4619" w:rsidP="0031289D">
            <w:pPr>
              <w:bidi/>
              <w:spacing w:after="240" w:line="360" w:lineRule="exact"/>
              <w:rPr>
                <w:rFonts w:ascii="Arabic Typesetting" w:hAnsi="Arabic Typesetting" w:cs="Arabic Typesetting"/>
                <w:i/>
                <w:iCs/>
                <w:sz w:val="28"/>
                <w:szCs w:val="28"/>
                <w:rtl/>
                <w:lang w:bidi="ar-EG"/>
              </w:rPr>
            </w:pPr>
            <w:r w:rsidRPr="003C4619">
              <w:rPr>
                <w:rFonts w:ascii="Arabic Typesetting" w:hAnsi="Arabic Typesetting" w:cs="Arabic Typesetting" w:hint="cs"/>
                <w:i/>
                <w:iCs/>
                <w:sz w:val="28"/>
                <w:szCs w:val="28"/>
                <w:rtl/>
                <w:lang w:bidi="ar-EG"/>
              </w:rPr>
              <w:lastRenderedPageBreak/>
              <w:t>توزيع الملتحقين ببرنامج التعلم عن بعد حسب نوع الجنس في 2010</w:t>
            </w:r>
          </w:p>
        </w:tc>
        <w:tc>
          <w:tcPr>
            <w:tcW w:w="4786" w:type="dxa"/>
          </w:tcPr>
          <w:p w14:paraId="0582226F" w14:textId="77777777" w:rsidR="003C4619" w:rsidRPr="003C4619" w:rsidRDefault="003C4619" w:rsidP="0031289D">
            <w:pPr>
              <w:bidi/>
              <w:spacing w:after="240" w:line="360" w:lineRule="exact"/>
              <w:rPr>
                <w:rFonts w:ascii="Arabic Typesetting" w:hAnsi="Arabic Typesetting" w:cs="Arabic Typesetting"/>
                <w:i/>
                <w:iCs/>
                <w:sz w:val="28"/>
                <w:szCs w:val="28"/>
                <w:rtl/>
                <w:lang w:bidi="ar-EG"/>
              </w:rPr>
            </w:pPr>
            <w:r w:rsidRPr="003C4619">
              <w:rPr>
                <w:rFonts w:ascii="Arabic Typesetting" w:hAnsi="Arabic Typesetting" w:cs="Arabic Typesetting" w:hint="cs"/>
                <w:i/>
                <w:iCs/>
                <w:sz w:val="28"/>
                <w:szCs w:val="28"/>
                <w:rtl/>
                <w:lang w:bidi="ar-EG"/>
              </w:rPr>
              <w:t>توزيع الملتحقين ببرنامج التعلم عن بعد حسب نوع الجنس في 2016</w:t>
            </w:r>
          </w:p>
        </w:tc>
      </w:tr>
      <w:tr w:rsidR="003C4619" w:rsidRPr="003C4619" w14:paraId="5C674414" w14:textId="77777777" w:rsidTr="00B54D74">
        <w:trPr>
          <w:trHeight w:val="3419"/>
        </w:trPr>
        <w:tc>
          <w:tcPr>
            <w:tcW w:w="4785" w:type="dxa"/>
          </w:tcPr>
          <w:p w14:paraId="16757D98" w14:textId="0611A32A" w:rsidR="003C4619" w:rsidRPr="003C4619" w:rsidRDefault="00D343F8" w:rsidP="00D343F8">
            <w:pPr>
              <w:bidi/>
              <w:spacing w:after="240"/>
              <w:rPr>
                <w:rFonts w:ascii="Arabic Typesetting" w:hAnsi="Arabic Typesetting" w:cs="Arabic Typesetting"/>
                <w:sz w:val="36"/>
                <w:szCs w:val="36"/>
                <w:rtl/>
                <w:lang w:bidi="ar-EG"/>
              </w:rPr>
            </w:pPr>
            <w:r>
              <w:rPr>
                <w:rFonts w:ascii="Arabic Typesetting" w:hAnsi="Arabic Typesetting" w:cs="Arabic Typesetting"/>
                <w:noProof/>
                <w:sz w:val="36"/>
                <w:szCs w:val="36"/>
              </w:rPr>
              <w:drawing>
                <wp:inline distT="0" distB="0" distL="0" distR="0" wp14:anchorId="5A3963D7" wp14:editId="54A85506">
                  <wp:extent cx="2199780" cy="1910686"/>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9044" cy="1910047"/>
                          </a:xfrm>
                          <a:prstGeom prst="rect">
                            <a:avLst/>
                          </a:prstGeom>
                          <a:noFill/>
                        </pic:spPr>
                      </pic:pic>
                    </a:graphicData>
                  </a:graphic>
                </wp:inline>
              </w:drawing>
            </w:r>
          </w:p>
        </w:tc>
        <w:tc>
          <w:tcPr>
            <w:tcW w:w="4786" w:type="dxa"/>
          </w:tcPr>
          <w:p w14:paraId="345FDB27" w14:textId="046CF597" w:rsidR="003C4619" w:rsidRPr="003C4619" w:rsidRDefault="00D343F8" w:rsidP="00D343F8">
            <w:pPr>
              <w:bidi/>
              <w:spacing w:after="240"/>
              <w:rPr>
                <w:rFonts w:ascii="Arabic Typesetting" w:hAnsi="Arabic Typesetting" w:cs="Arabic Typesetting"/>
                <w:sz w:val="36"/>
                <w:szCs w:val="36"/>
                <w:rtl/>
                <w:lang w:bidi="ar-EG"/>
              </w:rPr>
            </w:pPr>
            <w:r>
              <w:rPr>
                <w:rFonts w:ascii="Arabic Typesetting" w:hAnsi="Arabic Typesetting" w:cs="Arabic Typesetting"/>
                <w:noProof/>
                <w:sz w:val="34"/>
                <w:szCs w:val="34"/>
              </w:rPr>
              <w:drawing>
                <wp:inline distT="0" distB="0" distL="0" distR="0" wp14:anchorId="63164C0A" wp14:editId="18E4B8C3">
                  <wp:extent cx="2203730" cy="19116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3730" cy="1911600"/>
                          </a:xfrm>
                          <a:prstGeom prst="rect">
                            <a:avLst/>
                          </a:prstGeom>
                          <a:noFill/>
                        </pic:spPr>
                      </pic:pic>
                    </a:graphicData>
                  </a:graphic>
                </wp:inline>
              </w:drawing>
            </w:r>
          </w:p>
        </w:tc>
      </w:tr>
    </w:tbl>
    <w:p w14:paraId="00AB961A" w14:textId="25499DA0"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 xml:space="preserve">وفي عام </w:t>
      </w:r>
      <w:r w:rsidRPr="003C4619">
        <w:rPr>
          <w:rFonts w:ascii="Arabic Typesetting" w:hAnsi="Arabic Typesetting" w:cs="Arabic Typesetting" w:hint="cs"/>
          <w:sz w:val="34"/>
          <w:szCs w:val="34"/>
          <w:rtl/>
          <w:lang w:bidi="ar"/>
        </w:rPr>
        <w:t>2016</w:t>
      </w:r>
      <w:r w:rsidRPr="003C4619">
        <w:rPr>
          <w:rFonts w:ascii="Arabic Typesetting" w:hAnsi="Arabic Typesetting" w:cs="Arabic Typesetting" w:hint="cs"/>
          <w:sz w:val="34"/>
          <w:szCs w:val="34"/>
          <w:rtl/>
        </w:rPr>
        <w:t xml:space="preserve">، بدأ تنفيذ مشروع أجندة التنمية </w:t>
      </w:r>
      <w:r w:rsidRPr="003C4619">
        <w:rPr>
          <w:rFonts w:ascii="Arabic Typesetting" w:hAnsi="Arabic Typesetting" w:cs="Arabic Typesetting"/>
          <w:sz w:val="34"/>
          <w:szCs w:val="34"/>
          <w:rtl/>
        </w:rPr>
        <w:t>بشأن التعاون على التنمية والتعليم والتدريب المهني في مجال حقوق الملكية الفكرية مع مؤسسات التدريب القضائي في البلدان النامية والبلدان الأقل نموا،</w:t>
      </w:r>
      <w:r w:rsidRPr="003C4619">
        <w:rPr>
          <w:rFonts w:ascii="Arabic Typesetting" w:hAnsi="Arabic Typesetting" w:cs="Arabic Typesetting" w:hint="cs"/>
          <w:sz w:val="34"/>
          <w:szCs w:val="34"/>
          <w:rtl/>
        </w:rPr>
        <w:t xml:space="preserve"> في البلدان الأربعة التجريبية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كوستاريكا ولبنان ونيبال ونيجيريا</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 التي تمثل المناطق المختلفة، بما فيها البلدان الأقل نموا، التي تتسم بتباين التقاليد والخلفيات القانونية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ويهدف المشروع إلى توفير المساعدة التقنية والمهنية لمؤسسات التدريب القضائية، تعزيزا لقدرات ومهارات قضاة التحقيق والقضاة والمدعين العامين، وتمكينهم من الفصل بكفاءة وفعالية في المنازعات المتعلقة بحقوق الملكية الفكرية، على نحو يكفل الاتساق مع الاحتياجات والأولويات الإنمائية المحددة للبلد المعني</w:t>
      </w:r>
      <w:r w:rsidRPr="003C4619">
        <w:rPr>
          <w:rFonts w:ascii="Arabic Typesetting" w:hAnsi="Arabic Typesetting" w:cs="Arabic Typesetting" w:hint="cs"/>
          <w:sz w:val="34"/>
          <w:szCs w:val="34"/>
          <w:rtl/>
          <w:lang w:bidi="ar"/>
        </w:rPr>
        <w:t>.</w:t>
      </w:r>
    </w:p>
    <w:p w14:paraId="51AA06F6"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وظل</w:t>
      </w:r>
      <w:r w:rsidRPr="003C4619">
        <w:rPr>
          <w:rFonts w:ascii="Arabic Typesetting" w:hAnsi="Arabic Typesetting" w:cs="Arabic Typesetting"/>
          <w:sz w:val="34"/>
          <w:szCs w:val="34"/>
          <w:rtl/>
        </w:rPr>
        <w:t xml:space="preserve"> تعزيز قدرات الموارد البشرية على التعامل مع النطاق العريض من متطلبات الاستخدام الفعال للملكية الفكرية من أجل التنمية ورعاية الابتكار والإبداع على قائمة الأولويات في </w:t>
      </w:r>
      <w:r w:rsidRPr="003C4619">
        <w:rPr>
          <w:rFonts w:ascii="Arabic Typesetting" w:hAnsi="Arabic Typesetting" w:cs="Arabic Typesetting" w:hint="cs"/>
          <w:sz w:val="34"/>
          <w:szCs w:val="34"/>
          <w:rtl/>
        </w:rPr>
        <w:t xml:space="preserve">عام </w:t>
      </w:r>
      <w:r w:rsidRPr="003C4619">
        <w:rPr>
          <w:rFonts w:ascii="Arabic Typesetting" w:hAnsi="Arabic Typesetting" w:cs="Arabic Typesetting" w:hint="cs"/>
          <w:sz w:val="34"/>
          <w:szCs w:val="34"/>
          <w:rtl/>
          <w:lang w:bidi="ar"/>
        </w:rPr>
        <w:t xml:space="preserve">2016. </w:t>
      </w:r>
      <w:r w:rsidRPr="003C4619">
        <w:rPr>
          <w:rFonts w:ascii="Arabic Typesetting" w:hAnsi="Arabic Typesetting" w:cs="Arabic Typesetting"/>
          <w:sz w:val="34"/>
          <w:szCs w:val="34"/>
          <w:rtl/>
        </w:rPr>
        <w:t xml:space="preserve">وقد نُفذت برامج </w:t>
      </w:r>
      <w:r w:rsidRPr="003C4619">
        <w:rPr>
          <w:rFonts w:ascii="Arabic Typesetting" w:hAnsi="Arabic Typesetting" w:cs="Arabic Typesetting" w:hint="cs"/>
          <w:sz w:val="34"/>
          <w:szCs w:val="34"/>
          <w:rtl/>
        </w:rPr>
        <w:t>بناء</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كفاءات وتنمية مهارات مجموعات مستهدفة محددة مثل المسؤولين الحكوميين وواضعي السياسات والمهنيين المتخصصين في الملكية الفكرية وموظفي الإنفاذ والباحثين والأكاديميين ورواد الأعمال ورجال الصناعة، علاوة على الشركات الصغيرة والمتوسطة، وذلك على الأصعدة الوطنية ودون الإقليمية والإقليمية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 xml:space="preserve">وقد نُفذ نحو </w:t>
      </w:r>
      <w:r w:rsidRPr="003C4619">
        <w:rPr>
          <w:rFonts w:ascii="Arabic Typesetting" w:hAnsi="Arabic Typesetting" w:cs="Arabic Typesetting" w:hint="cs"/>
          <w:sz w:val="34"/>
          <w:szCs w:val="34"/>
          <w:rtl/>
          <w:lang w:bidi="ar"/>
        </w:rPr>
        <w:t xml:space="preserve">17 </w:t>
      </w:r>
      <w:r w:rsidRPr="003C4619">
        <w:rPr>
          <w:rFonts w:ascii="Arabic Typesetting" w:hAnsi="Arabic Typesetting" w:cs="Arabic Typesetting" w:hint="cs"/>
          <w:sz w:val="34"/>
          <w:szCs w:val="34"/>
          <w:rtl/>
        </w:rPr>
        <w:t xml:space="preserve">برنامجا بشأن إدارة الشركات الصغيرة والمتوسطة لأصول الملكية الفكرية على نحو فعال، وشمل ذلك حلقة دراسية إقليمية عن الملكية الفكرية نظمها مكتب الويبو في سنغافورة للشركات الصغيرة والمتوسطة، وحلقة عمل دولية للنساء المخترعات ورواد الأعمال نظمتها الويبو والمكتب الكوري للملكية الفكرية، وجمعية المخترعات الكوريات، واستفاد منها أكثر من </w:t>
      </w:r>
      <w:r w:rsidRPr="003C4619">
        <w:rPr>
          <w:rFonts w:ascii="Arabic Typesetting" w:hAnsi="Arabic Typesetting" w:cs="Arabic Typesetting" w:hint="cs"/>
          <w:sz w:val="34"/>
          <w:szCs w:val="34"/>
          <w:rtl/>
          <w:lang w:bidi="ar"/>
        </w:rPr>
        <w:t xml:space="preserve">000 1 </w:t>
      </w:r>
      <w:r w:rsidRPr="003C4619">
        <w:rPr>
          <w:rFonts w:ascii="Arabic Typesetting" w:hAnsi="Arabic Typesetting" w:cs="Arabic Typesetting" w:hint="cs"/>
          <w:sz w:val="34"/>
          <w:szCs w:val="34"/>
          <w:rtl/>
        </w:rPr>
        <w:t xml:space="preserve">مشارك من </w:t>
      </w:r>
      <w:r w:rsidRPr="003C4619">
        <w:rPr>
          <w:rFonts w:ascii="Arabic Typesetting" w:hAnsi="Arabic Typesetting" w:cs="Arabic Typesetting" w:hint="cs"/>
          <w:sz w:val="34"/>
          <w:szCs w:val="34"/>
          <w:rtl/>
          <w:lang w:bidi="ar"/>
        </w:rPr>
        <w:t xml:space="preserve">125 </w:t>
      </w:r>
      <w:r w:rsidRPr="003C4619">
        <w:rPr>
          <w:rFonts w:ascii="Arabic Typesetting" w:hAnsi="Arabic Typesetting" w:cs="Arabic Typesetting" w:hint="cs"/>
          <w:sz w:val="34"/>
          <w:szCs w:val="34"/>
          <w:rtl/>
        </w:rPr>
        <w:t>بلدا، بهدف إيجاد كتلة حرجة من المدربين في بلدان محددة تتمتع بالمعارف والمهارات والخبرات لتوفير المساعدة الأساسية للمشاريع الصغيرة والمتوسطة الحجم في مجال إدارة أصول الملكية الفكرية</w:t>
      </w:r>
      <w:r w:rsidRPr="003C4619">
        <w:rPr>
          <w:rFonts w:ascii="Arabic Typesetting" w:hAnsi="Arabic Typesetting" w:cs="Arabic Typesetting" w:hint="cs"/>
          <w:sz w:val="34"/>
          <w:szCs w:val="34"/>
          <w:rtl/>
          <w:lang w:bidi="ar"/>
        </w:rPr>
        <w:t>.</w:t>
      </w:r>
    </w:p>
    <w:p w14:paraId="02D9E8F5"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sz w:val="34"/>
          <w:szCs w:val="34"/>
          <w:rtl/>
        </w:rPr>
        <w:t xml:space="preserve">كما عززت الويبو تعاونها مع البلدان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أقل نموا لوضع إطار للسياسات الوطنية بشأن الابتكار</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 xml:space="preserve">تقييم الاحتياجات </w:t>
      </w:r>
      <w:r w:rsidRPr="003C4619">
        <w:rPr>
          <w:rFonts w:ascii="Arabic Typesetting" w:hAnsi="Arabic Typesetting" w:cs="Arabic Typesetting" w:hint="cs"/>
          <w:sz w:val="34"/>
          <w:szCs w:val="34"/>
          <w:rtl/>
        </w:rPr>
        <w:t>من</w:t>
      </w:r>
      <w:r w:rsidRPr="003C4619">
        <w:rPr>
          <w:rFonts w:ascii="Arabic Typesetting" w:hAnsi="Arabic Typesetting" w:cs="Arabic Typesetting"/>
          <w:sz w:val="34"/>
          <w:szCs w:val="34"/>
          <w:rtl/>
        </w:rPr>
        <w:t xml:space="preserve"> المهارات التقنية، وتيسير النفاذ إلى منصات المعلومات التكنولوجية والعلمية العالمية، وإنشاء بنية تحتية لدعم الابتكار، ودعم قوائم الجرد </w:t>
      </w:r>
      <w:r w:rsidRPr="003C4619">
        <w:rPr>
          <w:rFonts w:ascii="Arabic Typesetting" w:hAnsi="Arabic Typesetting" w:cs="Arabic Typesetting" w:hint="cs"/>
          <w:sz w:val="34"/>
          <w:szCs w:val="34"/>
          <w:rtl/>
        </w:rPr>
        <w:t>وبناء</w:t>
      </w:r>
      <w:r w:rsidRPr="003C4619">
        <w:rPr>
          <w:rFonts w:ascii="Arabic Typesetting" w:hAnsi="Arabic Typesetting" w:cs="Arabic Typesetting"/>
          <w:sz w:val="34"/>
          <w:szCs w:val="34"/>
          <w:rtl/>
        </w:rPr>
        <w:t xml:space="preserve"> القدرات في </w:t>
      </w:r>
      <w:r w:rsidRPr="003C4619">
        <w:rPr>
          <w:rFonts w:ascii="Arabic Typesetting" w:hAnsi="Arabic Typesetting" w:cs="Arabic Typesetting" w:hint="cs"/>
          <w:sz w:val="34"/>
          <w:szCs w:val="34"/>
          <w:rtl/>
        </w:rPr>
        <w:t xml:space="preserve">مجال </w:t>
      </w:r>
      <w:r w:rsidRPr="003C4619">
        <w:rPr>
          <w:rFonts w:ascii="Arabic Typesetting" w:hAnsi="Arabic Typesetting" w:cs="Arabic Typesetting"/>
          <w:sz w:val="34"/>
          <w:szCs w:val="34"/>
          <w:rtl/>
        </w:rPr>
        <w:t>المعارف التقليدية</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 xml:space="preserve">وشهد </w:t>
      </w:r>
      <w:r w:rsidRPr="003C4619">
        <w:rPr>
          <w:rFonts w:ascii="Arabic Typesetting" w:hAnsi="Arabic Typesetting" w:cs="Arabic Typesetting"/>
          <w:sz w:val="34"/>
          <w:szCs w:val="34"/>
          <w:rtl/>
        </w:rPr>
        <w:t xml:space="preserve">عام </w:t>
      </w:r>
      <w:r w:rsidRPr="003C4619">
        <w:rPr>
          <w:rFonts w:ascii="Arabic Typesetting" w:hAnsi="Arabic Typesetting" w:cs="Arabic Typesetting"/>
          <w:sz w:val="34"/>
          <w:szCs w:val="34"/>
          <w:rtl/>
          <w:lang w:bidi="ar"/>
        </w:rPr>
        <w:t xml:space="preserve">2016 </w:t>
      </w:r>
      <w:r w:rsidRPr="003C4619">
        <w:rPr>
          <w:rFonts w:ascii="Arabic Typesetting" w:hAnsi="Arabic Typesetting" w:cs="Arabic Typesetting" w:hint="cs"/>
          <w:sz w:val="34"/>
          <w:szCs w:val="34"/>
          <w:rtl/>
        </w:rPr>
        <w:t>إحراز</w:t>
      </w:r>
      <w:r w:rsidRPr="003C4619">
        <w:rPr>
          <w:rFonts w:ascii="Arabic Typesetting" w:hAnsi="Arabic Typesetting" w:cs="Arabic Typesetting"/>
          <w:sz w:val="34"/>
          <w:szCs w:val="34"/>
          <w:rtl/>
        </w:rPr>
        <w:t xml:space="preserve"> تقدم جيد في تنفيذ</w:t>
      </w:r>
      <w:r w:rsidRPr="003C4619">
        <w:rPr>
          <w:rFonts w:ascii="Arabic Typesetting" w:hAnsi="Arabic Typesetting" w:cs="Arabic Typesetting" w:hint="cs"/>
          <w:sz w:val="34"/>
          <w:szCs w:val="34"/>
          <w:rtl/>
        </w:rPr>
        <w:t xml:space="preserve"> ذلك</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 xml:space="preserve">في </w:t>
      </w:r>
      <w:r w:rsidRPr="003C4619">
        <w:rPr>
          <w:rFonts w:ascii="Arabic Typesetting" w:hAnsi="Arabic Typesetting" w:cs="Arabic Typesetting"/>
          <w:sz w:val="34"/>
          <w:szCs w:val="34"/>
          <w:rtl/>
        </w:rPr>
        <w:t xml:space="preserve">ثلاثة من البلدان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 xml:space="preserve">أقل نموا </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إثيوبيا ورواندا وجمهورية تنزانيا المتحدة</w:t>
      </w:r>
      <w:r w:rsidRPr="003C4619">
        <w:rPr>
          <w:rFonts w:ascii="Arabic Typesetting" w:hAnsi="Arabic Typesetting" w:cs="Arabic Typesetting"/>
          <w:sz w:val="34"/>
          <w:szCs w:val="34"/>
          <w:rtl/>
          <w:lang w:bidi="ar"/>
        </w:rPr>
        <w:t>)</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rPr>
        <w:t xml:space="preserve"> في إطار المرحلة الثانية من مشروع أجندة التنمية بشأن </w:t>
      </w:r>
      <w:r w:rsidRPr="003C4619">
        <w:rPr>
          <w:rFonts w:ascii="Arabic Typesetting" w:hAnsi="Arabic Typesetting" w:cs="Arabic Typesetting" w:hint="cs"/>
          <w:sz w:val="34"/>
          <w:szCs w:val="34"/>
          <w:rtl/>
        </w:rPr>
        <w:t>بناء</w:t>
      </w:r>
      <w:r w:rsidRPr="003C4619">
        <w:rPr>
          <w:rFonts w:ascii="Arabic Typesetting" w:hAnsi="Arabic Typesetting" w:cs="Arabic Typesetting"/>
          <w:sz w:val="34"/>
          <w:szCs w:val="34"/>
          <w:rtl/>
        </w:rPr>
        <w:t xml:space="preserve"> الكفاءات في استخدام المعلومات التقنية والعلمية الملائمة من الناحية التكنولوجية كحل لتحديات إنمائية محددة</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وفي</w:t>
      </w:r>
      <w:r w:rsidRPr="003C4619">
        <w:rPr>
          <w:rFonts w:ascii="Arabic Typesetting" w:hAnsi="Arabic Typesetting" w:cs="Arabic Typesetting"/>
          <w:sz w:val="34"/>
          <w:szCs w:val="34"/>
          <w:rtl/>
        </w:rPr>
        <w:t xml:space="preserve"> نهاية عام </w:t>
      </w:r>
      <w:r w:rsidRPr="003C4619">
        <w:rPr>
          <w:rFonts w:ascii="Arabic Typesetting" w:hAnsi="Arabic Typesetting" w:cs="Arabic Typesetting"/>
          <w:sz w:val="34"/>
          <w:szCs w:val="34"/>
          <w:rtl/>
          <w:lang w:bidi="ar"/>
        </w:rPr>
        <w:t>2016</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 xml:space="preserve">تم </w:t>
      </w:r>
      <w:r w:rsidRPr="003C4619">
        <w:rPr>
          <w:rFonts w:ascii="Arabic Typesetting" w:hAnsi="Arabic Typesetting" w:cs="Arabic Typesetting"/>
          <w:sz w:val="34"/>
          <w:szCs w:val="34"/>
          <w:rtl/>
        </w:rPr>
        <w:t>في البلدان المستفيدة من المرحلة الأولى من المشروع تسويق</w:t>
      </w:r>
      <w:r w:rsidRPr="00EF4EA0">
        <w:rPr>
          <w:rFonts w:ascii="Arabic Typesetting" w:hAnsi="Arabic Typesetting" w:cs="Arabic Typesetting"/>
          <w:sz w:val="34"/>
          <w:szCs w:val="34"/>
          <w:rtl/>
          <w:lang w:bidi="ar"/>
        </w:rPr>
        <w:footnoteReference w:id="3"/>
      </w:r>
      <w:r w:rsidRPr="003C4619">
        <w:rPr>
          <w:rFonts w:ascii="Arabic Typesetting" w:hAnsi="Arabic Typesetting" w:cs="Arabic Typesetting"/>
          <w:sz w:val="34"/>
          <w:szCs w:val="34"/>
          <w:rtl/>
        </w:rPr>
        <w:t xml:space="preserve"> ثلاثة </w:t>
      </w:r>
      <w:r w:rsidRPr="003C4619">
        <w:rPr>
          <w:rFonts w:ascii="Arabic Typesetting" w:hAnsi="Arabic Typesetting" w:cs="Arabic Typesetting" w:hint="cs"/>
          <w:sz w:val="34"/>
          <w:szCs w:val="34"/>
          <w:rtl/>
        </w:rPr>
        <w:t xml:space="preserve">أنواع </w:t>
      </w:r>
      <w:r w:rsidRPr="003C4619">
        <w:rPr>
          <w:rFonts w:ascii="Arabic Typesetting" w:hAnsi="Arabic Typesetting" w:cs="Arabic Typesetting"/>
          <w:sz w:val="34"/>
          <w:szCs w:val="34"/>
          <w:rtl/>
        </w:rPr>
        <w:t xml:space="preserve">من هذه التكنولوجيات في البلدان أقل نموا </w:t>
      </w:r>
      <w:r w:rsidRPr="003C4619">
        <w:rPr>
          <w:rFonts w:ascii="Arabic Typesetting" w:hAnsi="Arabic Typesetting" w:cs="Arabic Typesetting"/>
          <w:sz w:val="34"/>
          <w:szCs w:val="34"/>
          <w:rtl/>
          <w:lang w:bidi="ar"/>
        </w:rPr>
        <w:t>(</w:t>
      </w:r>
      <w:r w:rsidRPr="003C4619">
        <w:rPr>
          <w:rFonts w:ascii="Arabic Typesetting" w:hAnsi="Arabic Typesetting" w:cs="Arabic Typesetting" w:hint="cs"/>
          <w:sz w:val="34"/>
          <w:szCs w:val="34"/>
          <w:rtl/>
        </w:rPr>
        <w:t>واحدة</w:t>
      </w:r>
      <w:r w:rsidRPr="003C4619">
        <w:rPr>
          <w:rFonts w:ascii="Arabic Typesetting" w:hAnsi="Arabic Typesetting" w:cs="Arabic Typesetting"/>
          <w:sz w:val="34"/>
          <w:szCs w:val="34"/>
          <w:rtl/>
        </w:rPr>
        <w:t xml:space="preserve"> في نيبال واثنتان في زامبيا</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 ويجري النظر في ثلاث تكنولوجيات متطورة لتسويق</w:t>
      </w:r>
      <w:r w:rsidRPr="003C4619">
        <w:rPr>
          <w:rFonts w:ascii="Arabic Typesetting" w:hAnsi="Arabic Typesetting" w:cs="Arabic Typesetting" w:hint="cs"/>
          <w:sz w:val="34"/>
          <w:szCs w:val="34"/>
          <w:rtl/>
        </w:rPr>
        <w:t>ها</w:t>
      </w:r>
      <w:r w:rsidRPr="003C4619">
        <w:rPr>
          <w:rFonts w:ascii="Arabic Typesetting" w:hAnsi="Arabic Typesetting" w:cs="Arabic Typesetting"/>
          <w:sz w:val="34"/>
          <w:szCs w:val="34"/>
          <w:rtl/>
        </w:rPr>
        <w:t xml:space="preserve"> على المستوى الحكومي</w:t>
      </w:r>
      <w:r w:rsidRPr="003C4619">
        <w:rPr>
          <w:rFonts w:ascii="Arabic Typesetting" w:hAnsi="Arabic Typesetting" w:cs="Arabic Typesetting"/>
          <w:sz w:val="34"/>
          <w:szCs w:val="34"/>
          <w:rtl/>
          <w:lang w:bidi="ar"/>
        </w:rPr>
        <w:t>.</w:t>
      </w:r>
    </w:p>
    <w:p w14:paraId="7CCAB8EC" w14:textId="77777777" w:rsidR="003C4619" w:rsidRPr="003C4619" w:rsidRDefault="003C4619" w:rsidP="00DF399F">
      <w:pPr>
        <w:keepLines/>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sz w:val="34"/>
          <w:szCs w:val="34"/>
          <w:rtl/>
        </w:rPr>
        <w:lastRenderedPageBreak/>
        <w:t xml:space="preserve">وبحلول نهاية عام </w:t>
      </w:r>
      <w:r w:rsidRPr="003C4619">
        <w:rPr>
          <w:rFonts w:ascii="Arabic Typesetting" w:hAnsi="Arabic Typesetting" w:cs="Arabic Typesetting"/>
          <w:sz w:val="34"/>
          <w:szCs w:val="34"/>
          <w:rtl/>
          <w:lang w:bidi="ar"/>
        </w:rPr>
        <w:t>2016</w:t>
      </w:r>
      <w:r w:rsidRPr="003C4619">
        <w:rPr>
          <w:rFonts w:ascii="Arabic Typesetting" w:hAnsi="Arabic Typesetting" w:cs="Arabic Typesetting"/>
          <w:sz w:val="34"/>
          <w:szCs w:val="34"/>
          <w:rtl/>
        </w:rPr>
        <w:t xml:space="preserve">، </w:t>
      </w:r>
      <w:r w:rsidRPr="003C4619">
        <w:rPr>
          <w:rFonts w:ascii="Arabic Typesetting" w:hAnsi="Arabic Typesetting" w:cs="Arabic Typesetting" w:hint="cs"/>
          <w:sz w:val="34"/>
          <w:szCs w:val="34"/>
          <w:rtl/>
        </w:rPr>
        <w:t>تم،</w:t>
      </w:r>
      <w:r w:rsidRPr="003C4619">
        <w:rPr>
          <w:rFonts w:ascii="Arabic Typesetting" w:hAnsi="Arabic Typesetting" w:cs="Arabic Typesetting"/>
          <w:sz w:val="34"/>
          <w:szCs w:val="34"/>
          <w:rtl/>
        </w:rPr>
        <w:t xml:space="preserve"> في البلدان </w:t>
      </w:r>
      <w:r w:rsidRPr="003C4619">
        <w:rPr>
          <w:rFonts w:ascii="Arabic Typesetting" w:hAnsi="Arabic Typesetting" w:cs="Arabic Typesetting" w:hint="cs"/>
          <w:sz w:val="34"/>
          <w:szCs w:val="34"/>
          <w:rtl/>
        </w:rPr>
        <w:t>التجريبية</w:t>
      </w:r>
      <w:r w:rsidRPr="003C4619">
        <w:rPr>
          <w:rFonts w:ascii="Arabic Typesetting" w:hAnsi="Arabic Typesetting" w:cs="Arabic Typesetting"/>
          <w:sz w:val="34"/>
          <w:szCs w:val="34"/>
          <w:rtl/>
        </w:rPr>
        <w:t xml:space="preserve"> الأربعة </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مصر وإكوادور وناميبيا وسريلانكا</w:t>
      </w:r>
      <w:r w:rsidRPr="003C4619">
        <w:rPr>
          <w:rFonts w:ascii="Arabic Typesetting" w:hAnsi="Arabic Typesetting" w:cs="Arabic Typesetting"/>
          <w:sz w:val="34"/>
          <w:szCs w:val="34"/>
          <w:rtl/>
          <w:lang w:bidi="ar"/>
        </w:rPr>
        <w:t>)</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sz w:val="34"/>
          <w:szCs w:val="34"/>
          <w:rtl/>
        </w:rPr>
        <w:t xml:space="preserve">تنفيذ مشروع </w:t>
      </w:r>
      <w:r w:rsidRPr="003C4619">
        <w:rPr>
          <w:rFonts w:ascii="Arabic Typesetting" w:hAnsi="Arabic Typesetting" w:cs="Arabic Typesetting" w:hint="cs"/>
          <w:sz w:val="34"/>
          <w:szCs w:val="34"/>
          <w:rtl/>
        </w:rPr>
        <w:t>أجندة</w:t>
      </w:r>
      <w:r w:rsidRPr="003C4619">
        <w:rPr>
          <w:rFonts w:ascii="Arabic Typesetting" w:hAnsi="Arabic Typesetting" w:cs="Arabic Typesetting"/>
          <w:sz w:val="34"/>
          <w:szCs w:val="34"/>
          <w:rtl/>
        </w:rPr>
        <w:t xml:space="preserve"> التنمية بشأن الملكية الفكرية والسياحة والثقافة</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دعم الأهداف الإنمائية والنهوض بالتراث الثقافي في مصر وغيرها من البلدان النامية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يهدف المشروع إلى تحليل دور نظام الملكية الفكرية ودعم</w:t>
      </w:r>
      <w:r w:rsidRPr="003C4619">
        <w:rPr>
          <w:rFonts w:ascii="Arabic Typesetting" w:hAnsi="Arabic Typesetting" w:cs="Arabic Typesetting" w:hint="cs"/>
          <w:sz w:val="34"/>
          <w:szCs w:val="34"/>
          <w:rtl/>
        </w:rPr>
        <w:t>ه</w:t>
      </w:r>
      <w:r w:rsidRPr="003C4619">
        <w:rPr>
          <w:rFonts w:ascii="Arabic Typesetting" w:hAnsi="Arabic Typesetting" w:cs="Arabic Typesetting"/>
          <w:sz w:val="34"/>
          <w:szCs w:val="34"/>
          <w:rtl/>
        </w:rPr>
        <w:t xml:space="preserve"> ورفع مستوى الوعي به في مجال النشاط الاقتصادي المتصل بالسياحة، بما في ذلك النشاط المتعلق بالنهوض بالمعارف والتقاليد والثقافة الوطنية و</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أو المحلية</w:t>
      </w:r>
      <w:r w:rsidRPr="003C4619">
        <w:rPr>
          <w:rFonts w:ascii="Arabic Typesetting" w:hAnsi="Arabic Typesetting" w:cs="Arabic Typesetting"/>
          <w:sz w:val="34"/>
          <w:szCs w:val="34"/>
          <w:rtl/>
          <w:lang w:bidi="ar"/>
        </w:rPr>
        <w:t xml:space="preserve">. </w:t>
      </w:r>
    </w:p>
    <w:p w14:paraId="08251F3D"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ف</w:t>
      </w:r>
      <w:r w:rsidRPr="003C4619">
        <w:rPr>
          <w:rFonts w:ascii="Arabic Typesetting" w:hAnsi="Arabic Typesetting" w:cs="Arabic Typesetting"/>
          <w:sz w:val="34"/>
          <w:szCs w:val="34"/>
          <w:rtl/>
        </w:rPr>
        <w:t xml:space="preserve">ي عام </w:t>
      </w:r>
      <w:r w:rsidRPr="003C4619">
        <w:rPr>
          <w:rFonts w:ascii="Arabic Typesetting" w:hAnsi="Arabic Typesetting" w:cs="Arabic Typesetting"/>
          <w:sz w:val="34"/>
          <w:szCs w:val="34"/>
          <w:rtl/>
          <w:lang w:bidi="ar"/>
        </w:rPr>
        <w:t>2016</w:t>
      </w:r>
      <w:r w:rsidRPr="003C4619">
        <w:rPr>
          <w:rFonts w:ascii="Arabic Typesetting" w:hAnsi="Arabic Typesetting" w:cs="Arabic Typesetting"/>
          <w:sz w:val="34"/>
          <w:szCs w:val="34"/>
          <w:rtl/>
        </w:rPr>
        <w:t>، نظرت اللجنة المعنية بالتنمية والملكية الفكرية</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hint="cs"/>
          <w:sz w:val="34"/>
          <w:szCs w:val="34"/>
          <w:rtl/>
        </w:rPr>
        <w:t>اللجنة</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sz w:val="34"/>
          <w:szCs w:val="34"/>
          <w:lang w:bidi="ar"/>
        </w:rPr>
        <w:t xml:space="preserve"> </w:t>
      </w:r>
      <w:r w:rsidRPr="003C4619">
        <w:rPr>
          <w:rFonts w:ascii="Arabic Typesetting" w:hAnsi="Arabic Typesetting" w:cs="Arabic Typesetting"/>
          <w:sz w:val="34"/>
          <w:szCs w:val="34"/>
          <w:rtl/>
        </w:rPr>
        <w:t xml:space="preserve">في مختلف الوثائق والدراسات وناقشتها، بما في ذلك وثيقة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sz w:val="34"/>
          <w:szCs w:val="34"/>
          <w:rtl/>
        </w:rPr>
        <w:t>خارطة أنشطة الويبو المتعلقة بتنفيذ أهداف التنمية المستدامة</w:t>
      </w:r>
      <w:r w:rsidRPr="003C4619">
        <w:rPr>
          <w:rFonts w:ascii="Arabic Typesetting" w:hAnsi="Arabic Typesetting" w:cs="Arabic Typesetting"/>
          <w:sz w:val="34"/>
          <w:szCs w:val="34"/>
          <w:rtl/>
          <w:lang w:bidi="ar"/>
        </w:rPr>
        <w:t>"</w:t>
      </w:r>
      <w:r w:rsidRPr="003C4619">
        <w:rPr>
          <w:rFonts w:ascii="Arabic Typesetting" w:hAnsi="Arabic Typesetting" w:cs="Arabic Typesetting" w:hint="cs"/>
          <w:sz w:val="34"/>
          <w:szCs w:val="34"/>
          <w:rtl/>
        </w:rPr>
        <w:t xml:space="preserve">، </w:t>
      </w:r>
      <w:r w:rsidRPr="003C4619">
        <w:rPr>
          <w:rFonts w:ascii="Arabic Typesetting" w:hAnsi="Arabic Typesetting" w:cs="Arabic Typesetting"/>
          <w:sz w:val="34"/>
          <w:szCs w:val="34"/>
          <w:rtl/>
        </w:rPr>
        <w:t xml:space="preserve">ووثيقة </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 xml:space="preserve">مجموعة </w:t>
      </w:r>
      <w:r w:rsidRPr="003C4619">
        <w:rPr>
          <w:rFonts w:ascii="Arabic Typesetting" w:hAnsi="Arabic Typesetting" w:cs="Arabic Typesetting" w:hint="cs"/>
          <w:sz w:val="34"/>
          <w:szCs w:val="34"/>
          <w:rtl/>
        </w:rPr>
        <w:t>إسهامات</w:t>
      </w:r>
      <w:r w:rsidRPr="003C4619">
        <w:rPr>
          <w:rFonts w:ascii="Arabic Typesetting" w:hAnsi="Arabic Typesetting" w:cs="Arabic Typesetting"/>
          <w:sz w:val="34"/>
          <w:szCs w:val="34"/>
          <w:rtl/>
        </w:rPr>
        <w:t xml:space="preserve"> الدول الأعضاء بشأن أهداف التنمية المستدامة المتعلقة بعمل الويبو</w:t>
      </w:r>
      <w:r w:rsidRPr="003C4619">
        <w:rPr>
          <w:rFonts w:ascii="Arabic Typesetting" w:hAnsi="Arabic Typesetting" w:cs="Arabic Typesetting"/>
          <w:sz w:val="34"/>
          <w:szCs w:val="34"/>
          <w:rtl/>
          <w:lang w:bidi="ar"/>
        </w:rPr>
        <w:t>"</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وطلبت</w:t>
      </w:r>
      <w:r w:rsidRPr="003C4619">
        <w:rPr>
          <w:rFonts w:ascii="Arabic Typesetting" w:hAnsi="Arabic Typesetting" w:cs="Arabic Typesetting"/>
          <w:sz w:val="34"/>
          <w:szCs w:val="34"/>
          <w:rtl/>
        </w:rPr>
        <w:t xml:space="preserve"> أن تقدم الأمانة تقريرا سنويا في أولى دور</w:t>
      </w:r>
      <w:r w:rsidRPr="003C4619">
        <w:rPr>
          <w:rFonts w:ascii="Arabic Typesetting" w:hAnsi="Arabic Typesetting" w:cs="Arabic Typesetting" w:hint="cs"/>
          <w:sz w:val="34"/>
          <w:szCs w:val="34"/>
          <w:rtl/>
        </w:rPr>
        <w:t>ات اللجنة في كل</w:t>
      </w:r>
      <w:r w:rsidRPr="003C4619">
        <w:rPr>
          <w:rFonts w:ascii="Arabic Typesetting" w:hAnsi="Arabic Typesetting" w:cs="Arabic Typesetting"/>
          <w:sz w:val="34"/>
          <w:szCs w:val="34"/>
          <w:rtl/>
        </w:rPr>
        <w:t xml:space="preserve"> سنة</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ي</w:t>
      </w:r>
      <w:r w:rsidRPr="003C4619">
        <w:rPr>
          <w:rFonts w:ascii="Arabic Typesetting" w:hAnsi="Arabic Typesetting" w:cs="Arabic Typesetting"/>
          <w:sz w:val="34"/>
          <w:szCs w:val="34"/>
          <w:rtl/>
        </w:rPr>
        <w:t xml:space="preserve">تضمن معلومات عن </w:t>
      </w:r>
      <w:r w:rsidRPr="003C4619">
        <w:rPr>
          <w:rFonts w:ascii="Arabic Typesetting" w:hAnsi="Arabic Typesetting" w:cs="Arabic Typesetting" w:hint="cs"/>
          <w:sz w:val="34"/>
          <w:szCs w:val="34"/>
          <w:rtl/>
        </w:rPr>
        <w:t>إسهامات</w:t>
      </w:r>
      <w:r w:rsidRPr="003C4619">
        <w:rPr>
          <w:rFonts w:ascii="Arabic Typesetting" w:hAnsi="Arabic Typesetting" w:cs="Arabic Typesetting"/>
          <w:sz w:val="34"/>
          <w:szCs w:val="34"/>
          <w:rtl/>
        </w:rPr>
        <w:t xml:space="preserve"> الويبو في تنفيذ أهداف التنمية المستدامة </w:t>
      </w:r>
      <w:r w:rsidRPr="003C4619">
        <w:rPr>
          <w:rFonts w:ascii="Arabic Typesetting" w:hAnsi="Arabic Typesetting" w:cs="Arabic Typesetting" w:hint="cs"/>
          <w:sz w:val="34"/>
          <w:szCs w:val="34"/>
          <w:rtl/>
        </w:rPr>
        <w:t>والغايات</w:t>
      </w:r>
      <w:r w:rsidRPr="003C4619">
        <w:rPr>
          <w:rFonts w:ascii="Arabic Typesetting" w:hAnsi="Arabic Typesetting" w:cs="Arabic Typesetting"/>
          <w:sz w:val="34"/>
          <w:szCs w:val="34"/>
          <w:rtl/>
        </w:rPr>
        <w:t xml:space="preserve"> المرتبطة بها</w:t>
      </w:r>
      <w:r w:rsidRPr="003C4619">
        <w:rPr>
          <w:rFonts w:ascii="Arabic Typesetting" w:hAnsi="Arabic Typesetting" w:cs="Arabic Typesetting"/>
          <w:sz w:val="34"/>
          <w:szCs w:val="34"/>
          <w:rtl/>
          <w:lang w:bidi="ar"/>
        </w:rPr>
        <w:t>.</w:t>
      </w:r>
    </w:p>
    <w:p w14:paraId="132C27FA"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 xml:space="preserve">ناقشت اللجنة في دورتها الثامنة عشرة وأحاطت علما بالاستعراض المستقل </w:t>
      </w:r>
      <w:r w:rsidRPr="003C4619">
        <w:rPr>
          <w:rFonts w:ascii="Arabic Typesetting" w:hAnsi="Arabic Typesetting" w:cs="Arabic Typesetting" w:hint="cs"/>
          <w:sz w:val="34"/>
          <w:szCs w:val="34"/>
          <w:rtl/>
        </w:rPr>
        <w:t xml:space="preserve">لتوصيات </w:t>
      </w:r>
      <w:r w:rsidRPr="003C4619">
        <w:rPr>
          <w:rFonts w:ascii="Arabic Typesetting" w:hAnsi="Arabic Typesetting" w:cs="Arabic Typesetting"/>
          <w:sz w:val="34"/>
          <w:szCs w:val="34"/>
          <w:rtl/>
        </w:rPr>
        <w:t>أجندة التنمية</w:t>
      </w:r>
      <w:r w:rsidRPr="00EF4EA0">
        <w:rPr>
          <w:rFonts w:ascii="Arabic Typesetting" w:hAnsi="Arabic Typesetting" w:cs="Arabic Typesetting"/>
          <w:sz w:val="34"/>
          <w:szCs w:val="34"/>
          <w:rtl/>
          <w:lang w:bidi="ar"/>
        </w:rPr>
        <w:footnoteReference w:id="4"/>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rPr>
        <w:t xml:space="preserve"> وطلبت إلى الأمانة إعداد وثيقة تتضمن ردها على التوصيات الموجهة إليها، بما في ذلك المد</w:t>
      </w:r>
      <w:r w:rsidRPr="003C4619">
        <w:rPr>
          <w:rFonts w:ascii="Arabic Typesetting" w:hAnsi="Arabic Typesetting" w:cs="Arabic Typesetting" w:hint="cs"/>
          <w:sz w:val="34"/>
          <w:szCs w:val="34"/>
          <w:rtl/>
        </w:rPr>
        <w:t>ا</w:t>
      </w:r>
      <w:r w:rsidRPr="003C4619">
        <w:rPr>
          <w:rFonts w:ascii="Arabic Typesetting" w:hAnsi="Arabic Typesetting" w:cs="Arabic Typesetting"/>
          <w:sz w:val="34"/>
          <w:szCs w:val="34"/>
          <w:rtl/>
        </w:rPr>
        <w:t>خلات المقدمة من الدول الأعضاء</w:t>
      </w:r>
      <w:r w:rsidRPr="003C4619">
        <w:rPr>
          <w:rFonts w:ascii="Arabic Typesetting" w:hAnsi="Arabic Typesetting" w:cs="Arabic Typesetting"/>
          <w:sz w:val="34"/>
          <w:szCs w:val="34"/>
          <w:rtl/>
          <w:lang w:bidi="ar"/>
        </w:rPr>
        <w:t>.</w:t>
      </w:r>
    </w:p>
    <w:p w14:paraId="200659DE"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rtl/>
          <w:lang w:bidi="ar"/>
        </w:rPr>
      </w:pPr>
      <w:r w:rsidRPr="003C4619">
        <w:rPr>
          <w:rFonts w:ascii="Arabic Typesetting" w:hAnsi="Arabic Typesetting" w:cs="Arabic Typesetting"/>
          <w:sz w:val="34"/>
          <w:szCs w:val="34"/>
          <w:rtl/>
        </w:rPr>
        <w:t>وأخيرا، وافقت اللجنة أيضا على المرحل</w:t>
      </w:r>
      <w:r w:rsidRPr="003C4619">
        <w:rPr>
          <w:rFonts w:ascii="Arabic Typesetting" w:hAnsi="Arabic Typesetting" w:cs="Arabic Typesetting" w:hint="cs"/>
          <w:sz w:val="34"/>
          <w:szCs w:val="34"/>
          <w:rtl/>
        </w:rPr>
        <w:t>ة</w:t>
      </w:r>
      <w:r w:rsidRPr="003C4619">
        <w:rPr>
          <w:rFonts w:ascii="Arabic Typesetting" w:hAnsi="Arabic Typesetting" w:cs="Arabic Typesetting"/>
          <w:sz w:val="34"/>
          <w:szCs w:val="34"/>
          <w:rtl/>
        </w:rPr>
        <w:t xml:space="preserve"> الثانية لمشروع واحد تم إنجازه وتقييمه</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rPr>
        <w:t xml:space="preserve"> و</w:t>
      </w:r>
      <w:r w:rsidRPr="003C4619">
        <w:rPr>
          <w:rFonts w:ascii="Arabic Typesetting" w:hAnsi="Arabic Typesetting" w:cs="Arabic Typesetting" w:hint="cs"/>
          <w:sz w:val="34"/>
          <w:szCs w:val="34"/>
          <w:rtl/>
        </w:rPr>
        <w:t xml:space="preserve">على </w:t>
      </w:r>
      <w:r w:rsidRPr="003C4619">
        <w:rPr>
          <w:rFonts w:ascii="Arabic Typesetting" w:hAnsi="Arabic Typesetting" w:cs="Arabic Typesetting"/>
          <w:sz w:val="34"/>
          <w:szCs w:val="34"/>
          <w:rtl/>
        </w:rPr>
        <w:t xml:space="preserve">مشروعين جديدين بشأن </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استخدام المعلومات الموجودة في الملك العام لأغراض التنمية الاقتصادية</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 xml:space="preserve">، </w:t>
      </w: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التعاون على التعليم والتدريب المهني في مجال حقوق الملكية الفكرية مع معاهد التدريب القضائي في البلدان النامية والبلدان الأقل نموا</w:t>
      </w:r>
      <w:r w:rsidRPr="003C4619">
        <w:rPr>
          <w:rFonts w:ascii="Arabic Typesetting" w:hAnsi="Arabic Typesetting" w:cs="Arabic Typesetting"/>
          <w:sz w:val="34"/>
          <w:szCs w:val="34"/>
          <w:rtl/>
          <w:lang w:bidi="ar"/>
        </w:rPr>
        <w:t>".</w:t>
      </w:r>
    </w:p>
    <w:p w14:paraId="2EB26E65" w14:textId="4C09682C" w:rsidR="003C4619" w:rsidRPr="003C4619" w:rsidRDefault="003C4619" w:rsidP="0031289D">
      <w:pPr>
        <w:bidi/>
        <w:spacing w:after="240" w:line="360" w:lineRule="exact"/>
        <w:jc w:val="center"/>
        <w:rPr>
          <w:rFonts w:ascii="Arabic Typesetting" w:hAnsi="Arabic Typesetting" w:cs="Arabic Typesetting"/>
          <w:b/>
          <w:bCs/>
          <w:sz w:val="36"/>
          <w:szCs w:val="36"/>
          <w:rtl/>
        </w:rPr>
      </w:pPr>
      <w:r w:rsidRPr="003C4619">
        <w:rPr>
          <w:rFonts w:ascii="Arabic Typesetting" w:hAnsi="Arabic Typesetting" w:cs="Arabic Typesetting"/>
          <w:b/>
          <w:bCs/>
          <w:sz w:val="36"/>
          <w:szCs w:val="36"/>
          <w:rtl/>
        </w:rPr>
        <w:t xml:space="preserve">الهدف الاستراتيجي الرابع </w:t>
      </w:r>
      <w:r w:rsidR="00121288">
        <w:rPr>
          <w:rFonts w:ascii="Arabic Typesetting" w:hAnsi="Arabic Typesetting" w:cs="Arabic Typesetting" w:hint="cs"/>
          <w:b/>
          <w:bCs/>
          <w:sz w:val="36"/>
          <w:szCs w:val="36"/>
          <w:rtl/>
        </w:rPr>
        <w:t xml:space="preserve">- </w:t>
      </w:r>
      <w:r w:rsidRPr="003C4619">
        <w:rPr>
          <w:rFonts w:ascii="Arabic Typesetting" w:hAnsi="Arabic Typesetting" w:cs="Arabic Typesetting"/>
          <w:b/>
          <w:bCs/>
          <w:sz w:val="36"/>
          <w:szCs w:val="36"/>
          <w:rtl/>
        </w:rPr>
        <w:t>تنسيق البنية التحتية العالمية للملكية الفكرية وتطويرها</w:t>
      </w:r>
    </w:p>
    <w:p w14:paraId="0E41DCE1" w14:textId="4980C166" w:rsidR="003C4619" w:rsidRPr="003C4619" w:rsidRDefault="00D86F42" w:rsidP="0031289D">
      <w:pPr>
        <w:bidi/>
        <w:spacing w:after="240"/>
        <w:jc w:val="center"/>
        <w:rPr>
          <w:rFonts w:ascii="Arabic Typesetting" w:hAnsi="Arabic Typesetting" w:cs="Arabic Typesetting"/>
          <w:sz w:val="36"/>
          <w:szCs w:val="36"/>
          <w:rtl/>
          <w:lang w:bidi="ar-EG"/>
        </w:rPr>
      </w:pPr>
      <w:r>
        <w:rPr>
          <w:rFonts w:ascii="Arabic Typesetting" w:hAnsi="Arabic Typesetting" w:cs="Arabic Typesetting"/>
          <w:noProof/>
          <w:sz w:val="36"/>
          <w:szCs w:val="36"/>
        </w:rPr>
        <w:drawing>
          <wp:inline distT="0" distB="0" distL="0" distR="0" wp14:anchorId="140158FF" wp14:editId="43EEE0F5">
            <wp:extent cx="3568240" cy="216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8240" cy="2160000"/>
                    </a:xfrm>
                    <a:prstGeom prst="rect">
                      <a:avLst/>
                    </a:prstGeom>
                    <a:noFill/>
                  </pic:spPr>
                </pic:pic>
              </a:graphicData>
            </a:graphic>
          </wp:inline>
        </w:drawing>
      </w:r>
    </w:p>
    <w:p w14:paraId="2E7ED3C9" w14:textId="77777777" w:rsidR="003C4619" w:rsidRPr="003C4619" w:rsidRDefault="003C4619" w:rsidP="0034295A">
      <w:pPr>
        <w:pStyle w:val="NumberedParaAR"/>
        <w:tabs>
          <w:tab w:val="clear" w:pos="567"/>
        </w:tabs>
        <w:spacing w:after="120" w:line="320" w:lineRule="exact"/>
        <w:rPr>
          <w:sz w:val="34"/>
          <w:szCs w:val="34"/>
          <w:rtl/>
        </w:rPr>
      </w:pPr>
      <w:r w:rsidRPr="003C4619">
        <w:rPr>
          <w:sz w:val="34"/>
          <w:szCs w:val="34"/>
          <w:rtl/>
        </w:rPr>
        <w:t>بغية تعزيز البنية التحتية العالمية للملكية الفكرية بهدف السعي إلى تلبية الاحتياجات العالمية المتزايدة بشأن نظام الملكية الفكرية</w:t>
      </w:r>
      <w:r w:rsidRPr="003C4619">
        <w:rPr>
          <w:rFonts w:hint="cs"/>
          <w:sz w:val="34"/>
          <w:szCs w:val="34"/>
          <w:rtl/>
        </w:rPr>
        <w:t>،</w:t>
      </w:r>
      <w:r w:rsidRPr="003C4619">
        <w:rPr>
          <w:sz w:val="34"/>
          <w:szCs w:val="34"/>
          <w:rtl/>
        </w:rPr>
        <w:t xml:space="preserve"> وتيسير مشاركة البلدان النامية </w:t>
      </w:r>
      <w:r w:rsidRPr="003C4619">
        <w:rPr>
          <w:rFonts w:hint="cs"/>
          <w:sz w:val="34"/>
          <w:szCs w:val="34"/>
          <w:rtl/>
        </w:rPr>
        <w:t>و</w:t>
      </w:r>
      <w:r w:rsidRPr="003C4619">
        <w:rPr>
          <w:sz w:val="34"/>
          <w:szCs w:val="34"/>
          <w:rtl/>
        </w:rPr>
        <w:t xml:space="preserve">البلدان </w:t>
      </w:r>
      <w:r w:rsidRPr="003C4619">
        <w:rPr>
          <w:rFonts w:hint="cs"/>
          <w:sz w:val="34"/>
          <w:szCs w:val="34"/>
          <w:rtl/>
        </w:rPr>
        <w:t>ال</w:t>
      </w:r>
      <w:r w:rsidRPr="003C4619">
        <w:rPr>
          <w:sz w:val="34"/>
          <w:szCs w:val="34"/>
          <w:rtl/>
        </w:rPr>
        <w:t xml:space="preserve">أقل نموا في النظام، </w:t>
      </w:r>
      <w:r w:rsidRPr="003C4619">
        <w:rPr>
          <w:rFonts w:hint="cs"/>
          <w:sz w:val="34"/>
          <w:szCs w:val="34"/>
          <w:rtl/>
        </w:rPr>
        <w:t xml:space="preserve">وقد </w:t>
      </w:r>
      <w:r w:rsidRPr="003C4619">
        <w:rPr>
          <w:sz w:val="34"/>
          <w:szCs w:val="34"/>
          <w:rtl/>
        </w:rPr>
        <w:t>أ</w:t>
      </w:r>
      <w:r w:rsidRPr="003C4619">
        <w:rPr>
          <w:rFonts w:hint="cs"/>
          <w:sz w:val="34"/>
          <w:szCs w:val="34"/>
          <w:rtl/>
        </w:rPr>
        <w:t>ُ</w:t>
      </w:r>
      <w:r w:rsidRPr="003C4619">
        <w:rPr>
          <w:sz w:val="34"/>
          <w:szCs w:val="34"/>
          <w:rtl/>
        </w:rPr>
        <w:t>حرز تقدم طيب في مجالات قواعد</w:t>
      </w:r>
      <w:r w:rsidRPr="003C4619">
        <w:rPr>
          <w:rFonts w:hint="cs"/>
          <w:sz w:val="34"/>
          <w:szCs w:val="34"/>
          <w:rtl/>
        </w:rPr>
        <w:t xml:space="preserve"> البيانات</w:t>
      </w:r>
      <w:r w:rsidRPr="003C4619">
        <w:rPr>
          <w:sz w:val="34"/>
          <w:szCs w:val="34"/>
          <w:rtl/>
        </w:rPr>
        <w:t xml:space="preserve"> العالمية للملكية الفكرية والتصنيفات وتحديث مكاتب الملكية الفكرية في عام 2016</w:t>
      </w:r>
      <w:r w:rsidRPr="003C4619">
        <w:rPr>
          <w:rFonts w:hint="cs"/>
          <w:sz w:val="34"/>
          <w:szCs w:val="34"/>
          <w:rtl/>
        </w:rPr>
        <w:t>.</w:t>
      </w:r>
    </w:p>
    <w:p w14:paraId="528FA062"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استحدثت أداة جديدة</w:t>
      </w:r>
      <w:r w:rsidRPr="003C4619">
        <w:rPr>
          <w:rFonts w:ascii="Arabic Typesetting" w:hAnsi="Arabic Typesetting" w:cs="Arabic Typesetting" w:hint="cs"/>
          <w:sz w:val="34"/>
          <w:szCs w:val="34"/>
          <w:rtl/>
        </w:rPr>
        <w:t xml:space="preserve"> متطورة</w:t>
      </w:r>
      <w:r w:rsidRPr="003C4619">
        <w:rPr>
          <w:rFonts w:ascii="Arabic Typesetting" w:hAnsi="Arabic Typesetting" w:cs="Arabic Typesetting"/>
          <w:sz w:val="34"/>
          <w:szCs w:val="34"/>
          <w:rtl/>
        </w:rPr>
        <w:t xml:space="preserve"> لترجمة وثائق </w:t>
      </w:r>
      <w:r w:rsidRPr="003C4619">
        <w:rPr>
          <w:rFonts w:ascii="Arabic Typesetting" w:hAnsi="Arabic Typesetting" w:cs="Arabic Typesetting" w:hint="cs"/>
          <w:sz w:val="34"/>
          <w:szCs w:val="34"/>
          <w:rtl/>
        </w:rPr>
        <w:t>البراءات</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تستند إلى تكنولوجي</w:t>
      </w:r>
      <w:r w:rsidRPr="003C4619">
        <w:rPr>
          <w:rFonts w:ascii="Arabic Typesetting" w:hAnsi="Arabic Typesetting" w:cs="Arabic Typesetting" w:hint="eastAsia"/>
          <w:sz w:val="34"/>
          <w:szCs w:val="34"/>
          <w:rtl/>
        </w:rPr>
        <w:t>ا</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ذكاء ا</w:t>
      </w:r>
      <w:r w:rsidRPr="003C4619">
        <w:rPr>
          <w:rFonts w:ascii="Arabic Typesetting" w:hAnsi="Arabic Typesetting" w:cs="Arabic Typesetting" w:hint="cs"/>
          <w:sz w:val="34"/>
          <w:szCs w:val="34"/>
          <w:rtl/>
        </w:rPr>
        <w:t>لا</w:t>
      </w:r>
      <w:r w:rsidRPr="003C4619">
        <w:rPr>
          <w:rFonts w:ascii="Arabic Typesetting" w:hAnsi="Arabic Typesetting" w:cs="Arabic Typesetting"/>
          <w:sz w:val="34"/>
          <w:szCs w:val="34"/>
          <w:rtl/>
        </w:rPr>
        <w:t>صطناعي</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وأُطلقت ب</w:t>
      </w:r>
      <w:r w:rsidRPr="003C4619">
        <w:rPr>
          <w:rFonts w:ascii="Arabic Typesetting" w:hAnsi="Arabic Typesetting" w:cs="Arabic Typesetting"/>
          <w:sz w:val="34"/>
          <w:szCs w:val="34"/>
          <w:rtl/>
        </w:rPr>
        <w:t xml:space="preserve">ثلاثة أزواج </w:t>
      </w:r>
      <w:r w:rsidRPr="003C4619">
        <w:rPr>
          <w:rFonts w:ascii="Arabic Typesetting" w:hAnsi="Arabic Typesetting" w:cs="Arabic Typesetting" w:hint="cs"/>
          <w:sz w:val="34"/>
          <w:szCs w:val="34"/>
          <w:rtl/>
        </w:rPr>
        <w:t>من اللغات</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 xml:space="preserve">الإنكليزية </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 xml:space="preserve">الصينية والإنكليزية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sz w:val="34"/>
          <w:szCs w:val="34"/>
          <w:rtl/>
        </w:rPr>
        <w:t xml:space="preserve">اليابانية والإنكليزية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sz w:val="34"/>
          <w:szCs w:val="34"/>
          <w:rtl/>
        </w:rPr>
        <w:t>الكورية</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 xml:space="preserve">، مما </w:t>
      </w:r>
      <w:r w:rsidRPr="003C4619">
        <w:rPr>
          <w:rFonts w:ascii="Arabic Typesetting" w:hAnsi="Arabic Typesetting" w:cs="Arabic Typesetting" w:hint="cs"/>
          <w:sz w:val="34"/>
          <w:szCs w:val="34"/>
          <w:rtl/>
        </w:rPr>
        <w:t>ييسر</w:t>
      </w:r>
      <w:r w:rsidRPr="003C4619">
        <w:rPr>
          <w:rFonts w:ascii="Arabic Typesetting" w:hAnsi="Arabic Typesetting" w:cs="Arabic Typesetting"/>
          <w:sz w:val="34"/>
          <w:szCs w:val="34"/>
          <w:rtl/>
        </w:rPr>
        <w:t xml:space="preserve"> للمبتكرين في جميع أنحاء العالم الوصول إل</w:t>
      </w:r>
      <w:r w:rsidRPr="003C4619">
        <w:rPr>
          <w:rFonts w:ascii="Arabic Typesetting" w:hAnsi="Arabic Typesetting" w:cs="Arabic Typesetting" w:hint="cs"/>
          <w:sz w:val="34"/>
          <w:szCs w:val="34"/>
          <w:rtl/>
        </w:rPr>
        <w:t>ى</w:t>
      </w:r>
      <w:r w:rsidRPr="003C4619">
        <w:rPr>
          <w:rFonts w:ascii="Arabic Typesetting" w:hAnsi="Arabic Typesetting" w:cs="Arabic Typesetting"/>
          <w:sz w:val="34"/>
          <w:szCs w:val="34"/>
          <w:rtl/>
        </w:rPr>
        <w:t xml:space="preserve"> معلومات </w:t>
      </w:r>
      <w:r w:rsidRPr="003C4619">
        <w:rPr>
          <w:rFonts w:ascii="Arabic Typesetting" w:hAnsi="Arabic Typesetting" w:cs="Arabic Typesetting" w:hint="cs"/>
          <w:sz w:val="34"/>
          <w:szCs w:val="34"/>
          <w:rtl/>
        </w:rPr>
        <w:t>بشأن ال</w:t>
      </w:r>
      <w:r w:rsidRPr="003C4619">
        <w:rPr>
          <w:rFonts w:ascii="Arabic Typesetting" w:hAnsi="Arabic Typesetting" w:cs="Arabic Typesetting"/>
          <w:sz w:val="34"/>
          <w:szCs w:val="34"/>
          <w:rtl/>
        </w:rPr>
        <w:t>براءات والتكنولوجيات الجديدة</w:t>
      </w:r>
      <w:r w:rsidRPr="003C4619">
        <w:rPr>
          <w:rFonts w:ascii="Arabic Typesetting" w:hAnsi="Arabic Typesetting" w:cs="Arabic Typesetting" w:hint="cs"/>
          <w:sz w:val="34"/>
          <w:szCs w:val="34"/>
          <w:rtl/>
          <w:lang w:bidi="ar"/>
        </w:rPr>
        <w:t>.</w:t>
      </w:r>
    </w:p>
    <w:p w14:paraId="6B08ABB0"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وواصلت</w:t>
      </w:r>
      <w:r w:rsidRPr="003C4619">
        <w:rPr>
          <w:rFonts w:ascii="Arabic Typesetting" w:hAnsi="Arabic Typesetting" w:cs="Arabic Typesetting"/>
          <w:sz w:val="34"/>
          <w:szCs w:val="34"/>
          <w:rtl/>
        </w:rPr>
        <w:t xml:space="preserve"> قواعد البيانات العالمية تلبية مطالب </w:t>
      </w:r>
      <w:r w:rsidRPr="003C4619">
        <w:rPr>
          <w:rFonts w:ascii="Arabic Typesetting" w:hAnsi="Arabic Typesetting" w:cs="Arabic Typesetting" w:hint="cs"/>
          <w:sz w:val="34"/>
          <w:szCs w:val="34"/>
          <w:rtl/>
        </w:rPr>
        <w:t>جمهور المستخدمين</w:t>
      </w:r>
      <w:r w:rsidRPr="003C4619">
        <w:rPr>
          <w:rFonts w:ascii="Arabic Typesetting" w:hAnsi="Arabic Typesetting" w:cs="Arabic Typesetting"/>
          <w:sz w:val="34"/>
          <w:szCs w:val="34"/>
          <w:rtl/>
        </w:rPr>
        <w:t xml:space="preserve"> القوية</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مما يبرهن على تمتعها ب</w:t>
      </w:r>
      <w:r w:rsidRPr="003C4619">
        <w:rPr>
          <w:rFonts w:ascii="Arabic Typesetting" w:hAnsi="Arabic Typesetting" w:cs="Arabic Typesetting"/>
          <w:sz w:val="34"/>
          <w:szCs w:val="34"/>
          <w:rtl/>
        </w:rPr>
        <w:t>قاعد</w:t>
      </w:r>
      <w:r w:rsidRPr="003C4619">
        <w:rPr>
          <w:rFonts w:ascii="Arabic Typesetting" w:hAnsi="Arabic Typesetting" w:cs="Arabic Typesetting" w:hint="cs"/>
          <w:sz w:val="34"/>
          <w:szCs w:val="34"/>
          <w:rtl/>
        </w:rPr>
        <w:t>ة</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 xml:space="preserve">راسخة </w:t>
      </w:r>
      <w:r w:rsidRPr="003C4619">
        <w:rPr>
          <w:rFonts w:ascii="Arabic Typesetting" w:hAnsi="Arabic Typesetting" w:cs="Arabic Typesetting"/>
          <w:sz w:val="34"/>
          <w:szCs w:val="34"/>
          <w:rtl/>
        </w:rPr>
        <w:t>من المستخدمين</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 xml:space="preserve">وما تشهده من </w:t>
      </w:r>
      <w:r w:rsidRPr="003C4619">
        <w:rPr>
          <w:rFonts w:ascii="Arabic Typesetting" w:hAnsi="Arabic Typesetting" w:cs="Arabic Typesetting"/>
          <w:sz w:val="34"/>
          <w:szCs w:val="34"/>
          <w:rtl/>
        </w:rPr>
        <w:t xml:space="preserve">زيادة مطردة في التغطية طوال عام </w:t>
      </w:r>
      <w:r w:rsidRPr="003C4619">
        <w:rPr>
          <w:rFonts w:ascii="Arabic Typesetting" w:hAnsi="Arabic Typesetting" w:cs="Arabic Typesetting"/>
          <w:sz w:val="34"/>
          <w:szCs w:val="34"/>
          <w:rtl/>
          <w:lang w:bidi="ar"/>
        </w:rPr>
        <w:t xml:space="preserve">2016. </w:t>
      </w:r>
      <w:r w:rsidRPr="003C4619">
        <w:rPr>
          <w:rFonts w:ascii="Arabic Typesetting" w:hAnsi="Arabic Typesetting" w:cs="Arabic Typesetting"/>
          <w:sz w:val="34"/>
          <w:szCs w:val="34"/>
          <w:rtl/>
        </w:rPr>
        <w:t xml:space="preserve">وإضافة إلى ذلك، </w:t>
      </w:r>
      <w:r w:rsidRPr="003C4619">
        <w:rPr>
          <w:rFonts w:ascii="Arabic Typesetting" w:hAnsi="Arabic Typesetting" w:cs="Arabic Typesetting" w:hint="cs"/>
          <w:sz w:val="34"/>
          <w:szCs w:val="34"/>
          <w:rtl/>
        </w:rPr>
        <w:t>جرى</w:t>
      </w:r>
      <w:r w:rsidRPr="003C4619">
        <w:rPr>
          <w:rFonts w:ascii="Arabic Typesetting" w:hAnsi="Arabic Typesetting" w:cs="Arabic Typesetting"/>
          <w:sz w:val="34"/>
          <w:szCs w:val="34"/>
          <w:rtl/>
        </w:rPr>
        <w:t xml:space="preserve"> في عام </w:t>
      </w:r>
      <w:r w:rsidRPr="003C4619">
        <w:rPr>
          <w:rFonts w:ascii="Arabic Typesetting" w:hAnsi="Arabic Typesetting" w:cs="Arabic Typesetting"/>
          <w:sz w:val="34"/>
          <w:szCs w:val="34"/>
          <w:rtl/>
          <w:lang w:bidi="ar"/>
        </w:rPr>
        <w:t xml:space="preserve">2016 </w:t>
      </w:r>
      <w:r w:rsidRPr="003C4619">
        <w:rPr>
          <w:rFonts w:ascii="Arabic Typesetting" w:hAnsi="Arabic Typesetting" w:cs="Arabic Typesetting"/>
          <w:sz w:val="34"/>
          <w:szCs w:val="34"/>
          <w:rtl/>
        </w:rPr>
        <w:t xml:space="preserve">توسيع نطاق </w:t>
      </w:r>
      <w:r w:rsidRPr="003C4619">
        <w:rPr>
          <w:rFonts w:ascii="Arabic Typesetting" w:hAnsi="Arabic Typesetting" w:cs="Arabic Typesetting" w:hint="cs"/>
          <w:sz w:val="34"/>
          <w:szCs w:val="34"/>
          <w:rtl/>
        </w:rPr>
        <w:t xml:space="preserve">أسرة </w:t>
      </w:r>
      <w:r w:rsidRPr="003C4619">
        <w:rPr>
          <w:rFonts w:ascii="Arabic Typesetting" w:hAnsi="Arabic Typesetting" w:cs="Arabic Typesetting"/>
          <w:sz w:val="34"/>
          <w:szCs w:val="34"/>
          <w:rtl/>
        </w:rPr>
        <w:t>قاعدة البيانات العالمية ل</w:t>
      </w:r>
      <w:r w:rsidRPr="003C4619">
        <w:rPr>
          <w:rFonts w:ascii="Arabic Typesetting" w:hAnsi="Arabic Typesetting" w:cs="Arabic Typesetting" w:hint="cs"/>
          <w:sz w:val="34"/>
          <w:szCs w:val="34"/>
          <w:rtl/>
        </w:rPr>
        <w:t>ت</w:t>
      </w:r>
      <w:r w:rsidRPr="003C4619">
        <w:rPr>
          <w:rFonts w:ascii="Arabic Typesetting" w:hAnsi="Arabic Typesetting" w:cs="Arabic Typesetting"/>
          <w:sz w:val="34"/>
          <w:szCs w:val="34"/>
          <w:rtl/>
        </w:rPr>
        <w:t xml:space="preserve">شمل الويبو ليكس </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sz w:val="34"/>
          <w:szCs w:val="34"/>
          <w:lang w:bidi="ar"/>
        </w:rPr>
        <w:t>WIPO Lex</w:t>
      </w:r>
      <w:r w:rsidRPr="003C4619">
        <w:rPr>
          <w:rFonts w:ascii="Arabic Typesetting" w:hAnsi="Arabic Typesetting" w:cs="Arabic Typesetting" w:hint="cs"/>
          <w:sz w:val="34"/>
          <w:szCs w:val="34"/>
          <w:rtl/>
          <w:lang w:bidi="ar"/>
        </w:rPr>
        <w:t>"</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rPr>
        <w:t xml:space="preserve"> التي </w:t>
      </w:r>
      <w:r w:rsidRPr="003C4619">
        <w:rPr>
          <w:rFonts w:ascii="Arabic Typesetting" w:hAnsi="Arabic Typesetting" w:cs="Arabic Typesetting" w:hint="cs"/>
          <w:sz w:val="34"/>
          <w:szCs w:val="34"/>
          <w:rtl/>
        </w:rPr>
        <w:t>خضعت لاستعراض</w:t>
      </w:r>
      <w:r w:rsidRPr="003C4619">
        <w:rPr>
          <w:rFonts w:ascii="Arabic Typesetting" w:hAnsi="Arabic Typesetting" w:cs="Arabic Typesetting"/>
          <w:sz w:val="34"/>
          <w:szCs w:val="34"/>
          <w:rtl/>
        </w:rPr>
        <w:t xml:space="preserve"> عمل</w:t>
      </w:r>
      <w:r w:rsidRPr="003C4619">
        <w:rPr>
          <w:rFonts w:ascii="Arabic Typesetting" w:hAnsi="Arabic Typesetting" w:cs="Arabic Typesetting" w:hint="cs"/>
          <w:sz w:val="34"/>
          <w:szCs w:val="34"/>
          <w:rtl/>
        </w:rPr>
        <w:t>ي</w:t>
      </w:r>
      <w:r w:rsidRPr="003C4619">
        <w:rPr>
          <w:rFonts w:ascii="Arabic Typesetting" w:hAnsi="Arabic Typesetting" w:cs="Arabic Typesetting"/>
          <w:sz w:val="34"/>
          <w:szCs w:val="34"/>
          <w:rtl/>
        </w:rPr>
        <w:t xml:space="preserve"> شامل، </w:t>
      </w: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إصلاح</w:t>
      </w:r>
      <w:r w:rsidRPr="003C4619">
        <w:rPr>
          <w:rFonts w:ascii="Arabic Typesetting" w:hAnsi="Arabic Typesetting" w:cs="Arabic Typesetting" w:hint="cs"/>
          <w:sz w:val="34"/>
          <w:szCs w:val="34"/>
          <w:rtl/>
        </w:rPr>
        <w:t xml:space="preserve"> كامل</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كما استمر</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تحسين</w:t>
      </w:r>
      <w:r w:rsidRPr="003C4619">
        <w:rPr>
          <w:rFonts w:ascii="Arabic Typesetting" w:hAnsi="Arabic Typesetting" w:cs="Arabic Typesetting"/>
          <w:sz w:val="34"/>
          <w:szCs w:val="34"/>
          <w:rtl/>
        </w:rPr>
        <w:t xml:space="preserve"> قدرة البحث في ركن البراءات </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lang w:bidi="ar"/>
        </w:rPr>
        <w:t>PATENTSCOPE</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 xml:space="preserve">لتشمل وظيفة بحث متخصصة للمركبات الكيميائية </w:t>
      </w:r>
      <w:r w:rsidRPr="003C4619">
        <w:rPr>
          <w:rFonts w:ascii="Arabic Typesetting" w:hAnsi="Arabic Typesetting" w:cs="Arabic Typesetting" w:hint="cs"/>
          <w:sz w:val="34"/>
          <w:szCs w:val="34"/>
          <w:rtl/>
        </w:rPr>
        <w:t>باستخدام</w:t>
      </w:r>
      <w:r w:rsidRPr="003C4619">
        <w:rPr>
          <w:rFonts w:ascii="Arabic Typesetting" w:hAnsi="Arabic Typesetting" w:cs="Arabic Typesetting"/>
          <w:sz w:val="34"/>
          <w:szCs w:val="34"/>
          <w:rtl/>
        </w:rPr>
        <w:t xml:space="preserve"> كل من الأسماء الدولية غير المسجلة الملكية والصيغة الكيميائية</w:t>
      </w:r>
      <w:r w:rsidRPr="003C4619">
        <w:rPr>
          <w:rFonts w:ascii="Arabic Typesetting" w:hAnsi="Arabic Typesetting" w:cs="Arabic Typesetting"/>
          <w:sz w:val="34"/>
          <w:szCs w:val="34"/>
          <w:rtl/>
          <w:lang w:bidi="ar"/>
        </w:rPr>
        <w:t>.</w:t>
      </w:r>
    </w:p>
    <w:p w14:paraId="46AF61D8" w14:textId="0C27E988" w:rsidR="003C4619" w:rsidRPr="00D70D19" w:rsidRDefault="003C4619" w:rsidP="00E62D9A">
      <w:pPr>
        <w:numPr>
          <w:ilvl w:val="0"/>
          <w:numId w:val="68"/>
        </w:numPr>
        <w:bidi/>
        <w:spacing w:after="240" w:line="340" w:lineRule="exact"/>
        <w:ind w:left="567" w:hanging="567"/>
        <w:rPr>
          <w:rFonts w:ascii="Arabic Typesetting" w:hAnsi="Arabic Typesetting" w:cs="Arabic Typesetting"/>
          <w:sz w:val="34"/>
          <w:szCs w:val="34"/>
          <w:lang w:bidi="ar"/>
        </w:rPr>
      </w:pPr>
      <w:r w:rsidRPr="00D70D19">
        <w:rPr>
          <w:rFonts w:ascii="Arabic Typesetting" w:hAnsi="Arabic Typesetting" w:cs="Arabic Typesetting" w:hint="cs"/>
          <w:sz w:val="34"/>
          <w:szCs w:val="34"/>
          <w:rtl/>
        </w:rPr>
        <w:lastRenderedPageBreak/>
        <w:t>وظلت معدلات</w:t>
      </w:r>
      <w:r w:rsidRPr="00D70D19">
        <w:rPr>
          <w:rFonts w:ascii="Arabic Typesetting" w:hAnsi="Arabic Typesetting" w:cs="Arabic Typesetting"/>
          <w:sz w:val="34"/>
          <w:szCs w:val="34"/>
          <w:rtl/>
        </w:rPr>
        <w:t xml:space="preserve"> استخدام ركن البراءات </w:t>
      </w:r>
      <w:r w:rsidRPr="00D70D19">
        <w:rPr>
          <w:rFonts w:ascii="Arabic Typesetting" w:hAnsi="Arabic Typesetting" w:cs="Arabic Typesetting" w:hint="cs"/>
          <w:sz w:val="34"/>
          <w:szCs w:val="34"/>
          <w:rtl/>
        </w:rPr>
        <w:t>ثابتة،</w:t>
      </w:r>
      <w:r w:rsidRPr="00D70D19">
        <w:rPr>
          <w:rFonts w:ascii="Arabic Typesetting" w:hAnsi="Arabic Typesetting" w:cs="Arabic Typesetting"/>
          <w:sz w:val="34"/>
          <w:szCs w:val="34"/>
          <w:rtl/>
        </w:rPr>
        <w:t xml:space="preserve"> مع </w:t>
      </w:r>
      <w:r w:rsidRPr="00D70D19">
        <w:rPr>
          <w:rFonts w:ascii="Arabic Typesetting" w:hAnsi="Arabic Typesetting" w:cs="Arabic Typesetting" w:hint="cs"/>
          <w:sz w:val="34"/>
          <w:szCs w:val="34"/>
          <w:rtl/>
        </w:rPr>
        <w:t>استقطابه لما يربو</w:t>
      </w:r>
      <w:r w:rsidRPr="00D70D19">
        <w:rPr>
          <w:rFonts w:ascii="Arabic Typesetting" w:hAnsi="Arabic Typesetting" w:cs="Arabic Typesetting"/>
          <w:sz w:val="34"/>
          <w:szCs w:val="34"/>
          <w:rtl/>
          <w:lang w:bidi="ar"/>
        </w:rPr>
        <w:t xml:space="preserve"> </w:t>
      </w:r>
      <w:r w:rsidRPr="00D70D19">
        <w:rPr>
          <w:rFonts w:ascii="Arabic Typesetting" w:hAnsi="Arabic Typesetting" w:cs="Arabic Typesetting" w:hint="cs"/>
          <w:sz w:val="34"/>
          <w:szCs w:val="34"/>
          <w:rtl/>
        </w:rPr>
        <w:t>على</w:t>
      </w:r>
      <w:r w:rsidR="00D70D19" w:rsidRPr="00D70D19">
        <w:rPr>
          <w:rFonts w:ascii="Arabic Typesetting" w:hAnsi="Arabic Typesetting" w:cs="Arabic Typesetting" w:hint="cs"/>
          <w:sz w:val="34"/>
          <w:szCs w:val="34"/>
          <w:rtl/>
          <w:lang w:bidi="ar-EG"/>
        </w:rPr>
        <w:t xml:space="preserve"> 000 245 </w:t>
      </w:r>
      <w:r w:rsidRPr="00D70D19">
        <w:rPr>
          <w:rFonts w:ascii="Arabic Typesetting" w:hAnsi="Arabic Typesetting" w:cs="Arabic Typesetting"/>
          <w:sz w:val="34"/>
          <w:szCs w:val="34"/>
          <w:rtl/>
        </w:rPr>
        <w:t xml:space="preserve">زائر كل </w:t>
      </w:r>
      <w:r w:rsidRPr="00D70D19">
        <w:rPr>
          <w:rFonts w:ascii="Arabic Typesetting" w:hAnsi="Arabic Typesetting" w:cs="Arabic Typesetting" w:hint="cs"/>
          <w:sz w:val="34"/>
          <w:szCs w:val="34"/>
          <w:rtl/>
        </w:rPr>
        <w:t>ثلاثة أشهر</w:t>
      </w:r>
      <w:r w:rsidRPr="00D70D19">
        <w:rPr>
          <w:rFonts w:ascii="Arabic Typesetting" w:hAnsi="Arabic Typesetting" w:cs="Arabic Typesetting"/>
          <w:sz w:val="34"/>
          <w:szCs w:val="34"/>
          <w:rtl/>
        </w:rPr>
        <w:t xml:space="preserve"> في </w:t>
      </w:r>
      <w:r w:rsidRPr="00D70D19">
        <w:rPr>
          <w:rFonts w:ascii="Arabic Typesetting" w:hAnsi="Arabic Typesetting" w:cs="Arabic Typesetting"/>
          <w:sz w:val="34"/>
          <w:szCs w:val="34"/>
          <w:rtl/>
          <w:lang w:bidi="ar"/>
        </w:rPr>
        <w:t xml:space="preserve">2016. </w:t>
      </w:r>
      <w:r w:rsidRPr="00D70D19">
        <w:rPr>
          <w:rFonts w:ascii="Arabic Typesetting" w:hAnsi="Arabic Typesetting" w:cs="Arabic Typesetting" w:hint="cs"/>
          <w:sz w:val="34"/>
          <w:szCs w:val="34"/>
          <w:rtl/>
        </w:rPr>
        <w:t>كما</w:t>
      </w:r>
      <w:r w:rsidR="00E62D9A">
        <w:rPr>
          <w:rFonts w:ascii="Arabic Typesetting" w:hAnsi="Arabic Typesetting" w:cs="Arabic Typesetting" w:hint="eastAsia"/>
          <w:sz w:val="34"/>
          <w:szCs w:val="34"/>
          <w:rtl/>
        </w:rPr>
        <w:t> </w:t>
      </w:r>
      <w:r w:rsidRPr="00D70D19">
        <w:rPr>
          <w:rFonts w:ascii="Arabic Typesetting" w:hAnsi="Arabic Typesetting" w:cs="Arabic Typesetting"/>
          <w:sz w:val="34"/>
          <w:szCs w:val="34"/>
          <w:rtl/>
        </w:rPr>
        <w:t xml:space="preserve">شهدت قاعدة البيانات العالمية لأدوات التوسيم زيادة قدرها </w:t>
      </w:r>
      <w:r w:rsidRPr="00D70D19">
        <w:rPr>
          <w:rFonts w:ascii="Arabic Typesetting" w:hAnsi="Arabic Typesetting" w:cs="Arabic Typesetting"/>
          <w:sz w:val="34"/>
          <w:szCs w:val="34"/>
          <w:rtl/>
          <w:lang w:bidi="ar"/>
        </w:rPr>
        <w:t>48</w:t>
      </w:r>
      <w:r w:rsidRPr="00D70D19">
        <w:rPr>
          <w:rFonts w:ascii="Arabic Typesetting" w:hAnsi="Arabic Typesetting" w:cs="Arabic Typesetting"/>
          <w:sz w:val="34"/>
          <w:szCs w:val="34"/>
          <w:rtl/>
        </w:rPr>
        <w:t xml:space="preserve">٪ في عدد الزوار </w:t>
      </w:r>
      <w:r w:rsidRPr="00D70D19">
        <w:rPr>
          <w:rFonts w:ascii="Arabic Typesetting" w:hAnsi="Arabic Typesetting" w:cs="Arabic Typesetting" w:hint="cs"/>
          <w:sz w:val="34"/>
          <w:szCs w:val="34"/>
          <w:rtl/>
        </w:rPr>
        <w:t>ليتجاوز</w:t>
      </w:r>
      <w:r w:rsidR="00D70D19" w:rsidRPr="00D70D19">
        <w:rPr>
          <w:rFonts w:ascii="Arabic Typesetting" w:hAnsi="Arabic Typesetting" w:cs="Arabic Typesetting" w:hint="cs"/>
          <w:sz w:val="34"/>
          <w:szCs w:val="34"/>
          <w:rtl/>
        </w:rPr>
        <w:t xml:space="preserve"> 000 119 </w:t>
      </w:r>
      <w:r w:rsidRPr="00D70D19">
        <w:rPr>
          <w:rFonts w:ascii="Arabic Typesetting" w:hAnsi="Arabic Typesetting" w:cs="Arabic Typesetting"/>
          <w:sz w:val="34"/>
          <w:szCs w:val="34"/>
          <w:rtl/>
        </w:rPr>
        <w:t xml:space="preserve">زائر كل </w:t>
      </w:r>
      <w:r w:rsidRPr="00D70D19">
        <w:rPr>
          <w:rFonts w:ascii="Arabic Typesetting" w:hAnsi="Arabic Typesetting" w:cs="Arabic Typesetting" w:hint="cs"/>
          <w:sz w:val="34"/>
          <w:szCs w:val="34"/>
          <w:rtl/>
        </w:rPr>
        <w:t>ثلاثة أشهر</w:t>
      </w:r>
      <w:r w:rsidRPr="00D70D19">
        <w:rPr>
          <w:rFonts w:ascii="Arabic Typesetting" w:hAnsi="Arabic Typesetting" w:cs="Arabic Typesetting"/>
          <w:sz w:val="34"/>
          <w:szCs w:val="34"/>
          <w:rtl/>
          <w:lang w:bidi="ar"/>
        </w:rPr>
        <w:t xml:space="preserve">. </w:t>
      </w:r>
      <w:r w:rsidRPr="00D70D19">
        <w:rPr>
          <w:rFonts w:ascii="Arabic Typesetting" w:hAnsi="Arabic Typesetting" w:cs="Arabic Typesetting" w:hint="cs"/>
          <w:sz w:val="34"/>
          <w:szCs w:val="34"/>
          <w:rtl/>
        </w:rPr>
        <w:t>وفي</w:t>
      </w:r>
      <w:r w:rsidRPr="00D70D19">
        <w:rPr>
          <w:rFonts w:ascii="Arabic Typesetting" w:hAnsi="Arabic Typesetting" w:cs="Arabic Typesetting"/>
          <w:sz w:val="34"/>
          <w:szCs w:val="34"/>
          <w:rtl/>
        </w:rPr>
        <w:t xml:space="preserve"> نهاية عام </w:t>
      </w:r>
      <w:r w:rsidRPr="00D70D19">
        <w:rPr>
          <w:rFonts w:ascii="Arabic Typesetting" w:hAnsi="Arabic Typesetting" w:cs="Arabic Typesetting"/>
          <w:sz w:val="34"/>
          <w:szCs w:val="34"/>
          <w:rtl/>
          <w:lang w:bidi="ar"/>
        </w:rPr>
        <w:t>2016</w:t>
      </w:r>
      <w:r w:rsidRPr="00D70D19">
        <w:rPr>
          <w:rFonts w:ascii="Arabic Typesetting" w:hAnsi="Arabic Typesetting" w:cs="Arabic Typesetting"/>
          <w:sz w:val="34"/>
          <w:szCs w:val="34"/>
          <w:rtl/>
        </w:rPr>
        <w:t xml:space="preserve">، وهي السنة الثانية </w:t>
      </w:r>
      <w:r w:rsidRPr="00D70D19">
        <w:rPr>
          <w:rFonts w:ascii="Arabic Typesetting" w:hAnsi="Arabic Typesetting" w:cs="Arabic Typesetting" w:hint="cs"/>
          <w:sz w:val="34"/>
          <w:szCs w:val="34"/>
          <w:rtl/>
        </w:rPr>
        <w:t>من تشغيله</w:t>
      </w:r>
      <w:r w:rsidRPr="00D70D19">
        <w:rPr>
          <w:rFonts w:ascii="Arabic Typesetting" w:hAnsi="Arabic Typesetting" w:cs="Arabic Typesetting"/>
          <w:sz w:val="34"/>
          <w:szCs w:val="34"/>
          <w:rtl/>
        </w:rPr>
        <w:t xml:space="preserve">، شهدت قاعدة </w:t>
      </w:r>
      <w:r w:rsidRPr="00D70D19">
        <w:rPr>
          <w:rFonts w:ascii="Arabic Typesetting" w:hAnsi="Arabic Typesetting" w:cs="Arabic Typesetting" w:hint="cs"/>
          <w:sz w:val="34"/>
          <w:szCs w:val="34"/>
          <w:rtl/>
        </w:rPr>
        <w:t>ال</w:t>
      </w:r>
      <w:r w:rsidRPr="00D70D19">
        <w:rPr>
          <w:rFonts w:ascii="Arabic Typesetting" w:hAnsi="Arabic Typesetting" w:cs="Arabic Typesetting"/>
          <w:sz w:val="34"/>
          <w:szCs w:val="34"/>
          <w:rtl/>
        </w:rPr>
        <w:t xml:space="preserve">بيانات العالمية </w:t>
      </w:r>
      <w:r w:rsidRPr="00D70D19">
        <w:rPr>
          <w:rFonts w:ascii="Arabic Typesetting" w:hAnsi="Arabic Typesetting" w:cs="Arabic Typesetting" w:hint="cs"/>
          <w:sz w:val="34"/>
          <w:szCs w:val="34"/>
          <w:rtl/>
        </w:rPr>
        <w:t>ل</w:t>
      </w:r>
      <w:r w:rsidRPr="00D70D19">
        <w:rPr>
          <w:rFonts w:ascii="Arabic Typesetting" w:hAnsi="Arabic Typesetting" w:cs="Arabic Typesetting"/>
          <w:sz w:val="34"/>
          <w:szCs w:val="34"/>
          <w:rtl/>
        </w:rPr>
        <w:t>لتص</w:t>
      </w:r>
      <w:r w:rsidRPr="00D70D19">
        <w:rPr>
          <w:rFonts w:ascii="Arabic Typesetting" w:hAnsi="Arabic Typesetting" w:cs="Arabic Typesetting" w:hint="cs"/>
          <w:sz w:val="34"/>
          <w:szCs w:val="34"/>
          <w:rtl/>
        </w:rPr>
        <w:t>ا</w:t>
      </w:r>
      <w:r w:rsidRPr="00D70D19">
        <w:rPr>
          <w:rFonts w:ascii="Arabic Typesetting" w:hAnsi="Arabic Typesetting" w:cs="Arabic Typesetting"/>
          <w:sz w:val="34"/>
          <w:szCs w:val="34"/>
          <w:rtl/>
        </w:rPr>
        <w:t xml:space="preserve">ميم زيادة </w:t>
      </w:r>
      <w:r w:rsidRPr="00D70D19">
        <w:rPr>
          <w:rFonts w:ascii="Arabic Typesetting" w:hAnsi="Arabic Typesetting" w:cs="Arabic Typesetting" w:hint="cs"/>
          <w:sz w:val="34"/>
          <w:szCs w:val="34"/>
          <w:rtl/>
        </w:rPr>
        <w:t>قدرها</w:t>
      </w:r>
      <w:r w:rsidRPr="00D70D19">
        <w:rPr>
          <w:rFonts w:ascii="Arabic Typesetting" w:hAnsi="Arabic Typesetting" w:cs="Arabic Typesetting"/>
          <w:sz w:val="34"/>
          <w:szCs w:val="34"/>
          <w:rtl/>
          <w:lang w:bidi="ar"/>
        </w:rPr>
        <w:t xml:space="preserve"> 6 </w:t>
      </w:r>
      <w:r w:rsidRPr="00D70D19">
        <w:rPr>
          <w:rFonts w:ascii="Arabic Typesetting" w:hAnsi="Arabic Typesetting" w:cs="Arabic Typesetting"/>
          <w:sz w:val="34"/>
          <w:szCs w:val="34"/>
          <w:rtl/>
        </w:rPr>
        <w:t>في المائة في عدد وثائق التصميم، ليصل إجمالي عدد</w:t>
      </w:r>
      <w:r w:rsidRPr="00D70D19">
        <w:rPr>
          <w:rFonts w:ascii="Arabic Typesetting" w:hAnsi="Arabic Typesetting" w:cs="Arabic Typesetting" w:hint="cs"/>
          <w:sz w:val="34"/>
          <w:szCs w:val="34"/>
          <w:rtl/>
        </w:rPr>
        <w:t xml:space="preserve"> الوثائق</w:t>
      </w:r>
      <w:r w:rsidRPr="00D70D19">
        <w:rPr>
          <w:rFonts w:ascii="Arabic Typesetting" w:hAnsi="Arabic Typesetting" w:cs="Arabic Typesetting"/>
          <w:sz w:val="34"/>
          <w:szCs w:val="34"/>
          <w:rtl/>
        </w:rPr>
        <w:t xml:space="preserve"> إلى </w:t>
      </w:r>
      <w:r w:rsidRPr="00D70D19">
        <w:rPr>
          <w:rFonts w:ascii="Arabic Typesetting" w:hAnsi="Arabic Typesetting" w:cs="Arabic Typesetting"/>
          <w:sz w:val="34"/>
          <w:szCs w:val="34"/>
          <w:rtl/>
          <w:lang w:bidi="ar"/>
        </w:rPr>
        <w:t xml:space="preserve">1.6 </w:t>
      </w:r>
      <w:r w:rsidRPr="00D70D19">
        <w:rPr>
          <w:rFonts w:ascii="Arabic Typesetting" w:hAnsi="Arabic Typesetting" w:cs="Arabic Typesetting"/>
          <w:sz w:val="34"/>
          <w:szCs w:val="34"/>
          <w:rtl/>
        </w:rPr>
        <w:t>مليون وثيقة</w:t>
      </w:r>
      <w:r w:rsidRPr="00D70D19">
        <w:rPr>
          <w:rFonts w:ascii="Arabic Typesetting" w:hAnsi="Arabic Typesetting" w:cs="Arabic Typesetting"/>
          <w:sz w:val="34"/>
          <w:szCs w:val="34"/>
          <w:rtl/>
          <w:lang w:bidi="ar"/>
        </w:rPr>
        <w:t xml:space="preserve">. </w:t>
      </w:r>
      <w:r w:rsidRPr="00D70D19">
        <w:rPr>
          <w:rFonts w:ascii="Arabic Typesetting" w:hAnsi="Arabic Typesetting" w:cs="Arabic Typesetting"/>
          <w:sz w:val="34"/>
          <w:szCs w:val="34"/>
          <w:rtl/>
        </w:rPr>
        <w:t xml:space="preserve">وتوضح الرسوم البيانية أدناه نمو عدد السجلات في قواعد البيانات </w:t>
      </w:r>
      <w:r w:rsidRPr="00D70D19">
        <w:rPr>
          <w:rFonts w:ascii="Arabic Typesetting" w:hAnsi="Arabic Typesetting" w:cs="Arabic Typesetting" w:hint="cs"/>
          <w:sz w:val="34"/>
          <w:szCs w:val="34"/>
          <w:rtl/>
        </w:rPr>
        <w:t xml:space="preserve">في الفترة </w:t>
      </w:r>
      <w:r w:rsidRPr="00D70D19">
        <w:rPr>
          <w:rFonts w:ascii="Arabic Typesetting" w:hAnsi="Arabic Typesetting" w:cs="Arabic Typesetting"/>
          <w:sz w:val="34"/>
          <w:szCs w:val="34"/>
          <w:rtl/>
        </w:rPr>
        <w:t xml:space="preserve">من </w:t>
      </w:r>
      <w:r w:rsidRPr="00D70D19">
        <w:rPr>
          <w:rFonts w:ascii="Arabic Typesetting" w:hAnsi="Arabic Typesetting" w:cs="Arabic Typesetting"/>
          <w:sz w:val="34"/>
          <w:szCs w:val="34"/>
          <w:rtl/>
          <w:lang w:bidi="ar"/>
        </w:rPr>
        <w:t xml:space="preserve">2014 </w:t>
      </w:r>
      <w:r w:rsidRPr="00D70D19">
        <w:rPr>
          <w:rFonts w:ascii="Arabic Typesetting" w:hAnsi="Arabic Typesetting" w:cs="Arabic Typesetting"/>
          <w:sz w:val="34"/>
          <w:szCs w:val="34"/>
          <w:rtl/>
        </w:rPr>
        <w:t xml:space="preserve">إلى </w:t>
      </w:r>
      <w:r w:rsidRPr="00D70D19">
        <w:rPr>
          <w:rFonts w:ascii="Arabic Typesetting" w:hAnsi="Arabic Typesetting" w:cs="Arabic Typesetting"/>
          <w:sz w:val="34"/>
          <w:szCs w:val="34"/>
          <w:rtl/>
          <w:lang w:bidi="ar"/>
        </w:rPr>
        <w:t xml:space="preserve">2016 </w:t>
      </w:r>
      <w:r w:rsidRPr="00D70D19">
        <w:rPr>
          <w:rFonts w:ascii="Arabic Typesetting" w:hAnsi="Arabic Typesetting" w:cs="Arabic Typesetting" w:hint="cs"/>
          <w:sz w:val="34"/>
          <w:szCs w:val="34"/>
          <w:rtl/>
        </w:rPr>
        <w:t>ل</w:t>
      </w:r>
      <w:r w:rsidRPr="00D70D19">
        <w:rPr>
          <w:rFonts w:ascii="Arabic Typesetting" w:hAnsi="Arabic Typesetting" w:cs="Arabic Typesetting"/>
          <w:sz w:val="34"/>
          <w:szCs w:val="34"/>
          <w:rtl/>
        </w:rPr>
        <w:t xml:space="preserve">ركن البراءات </w:t>
      </w:r>
      <w:r w:rsidRPr="00D70D19">
        <w:rPr>
          <w:rFonts w:ascii="Arabic Typesetting" w:hAnsi="Arabic Typesetting" w:cs="Arabic Typesetting" w:hint="cs"/>
          <w:sz w:val="34"/>
          <w:szCs w:val="34"/>
          <w:rtl/>
        </w:rPr>
        <w:t>و</w:t>
      </w:r>
      <w:r w:rsidRPr="00D70D19">
        <w:rPr>
          <w:rFonts w:ascii="Arabic Typesetting" w:hAnsi="Arabic Typesetting" w:cs="Arabic Typesetting"/>
          <w:sz w:val="34"/>
          <w:szCs w:val="34"/>
          <w:rtl/>
        </w:rPr>
        <w:t>قاعدة البيانات العالمية لأدوات التوسيم و</w:t>
      </w:r>
      <w:r w:rsidRPr="00D70D19">
        <w:rPr>
          <w:rFonts w:ascii="Arabic Typesetting" w:hAnsi="Arabic Typesetting" w:cs="Arabic Typesetting" w:hint="cs"/>
          <w:sz w:val="34"/>
          <w:szCs w:val="34"/>
          <w:rtl/>
        </w:rPr>
        <w:t xml:space="preserve">الفترة </w:t>
      </w:r>
      <w:r w:rsidRPr="00D70D19">
        <w:rPr>
          <w:rFonts w:ascii="Arabic Typesetting" w:hAnsi="Arabic Typesetting" w:cs="Arabic Typesetting"/>
          <w:sz w:val="34"/>
          <w:szCs w:val="34"/>
          <w:rtl/>
        </w:rPr>
        <w:t xml:space="preserve">من </w:t>
      </w:r>
      <w:r w:rsidRPr="00D70D19">
        <w:rPr>
          <w:rFonts w:ascii="Arabic Typesetting" w:hAnsi="Arabic Typesetting" w:cs="Arabic Typesetting"/>
          <w:sz w:val="34"/>
          <w:szCs w:val="34"/>
          <w:rtl/>
          <w:lang w:bidi="ar"/>
        </w:rPr>
        <w:t xml:space="preserve">2015 </w:t>
      </w:r>
      <w:r w:rsidRPr="00D70D19">
        <w:rPr>
          <w:rFonts w:ascii="Arabic Typesetting" w:hAnsi="Arabic Typesetting" w:cs="Arabic Typesetting"/>
          <w:sz w:val="34"/>
          <w:szCs w:val="34"/>
          <w:rtl/>
        </w:rPr>
        <w:t xml:space="preserve">إلى </w:t>
      </w:r>
      <w:r w:rsidRPr="00D70D19">
        <w:rPr>
          <w:rFonts w:ascii="Arabic Typesetting" w:hAnsi="Arabic Typesetting" w:cs="Arabic Typesetting"/>
          <w:sz w:val="34"/>
          <w:szCs w:val="34"/>
          <w:rtl/>
          <w:lang w:bidi="ar"/>
        </w:rPr>
        <w:t xml:space="preserve">2016 </w:t>
      </w:r>
      <w:r w:rsidRPr="00D70D19">
        <w:rPr>
          <w:rFonts w:ascii="Arabic Typesetting" w:hAnsi="Arabic Typesetting" w:cs="Arabic Typesetting" w:hint="cs"/>
          <w:sz w:val="34"/>
          <w:szCs w:val="34"/>
          <w:rtl/>
        </w:rPr>
        <w:t>لق</w:t>
      </w:r>
      <w:r w:rsidRPr="00D70D19">
        <w:rPr>
          <w:rFonts w:ascii="Arabic Typesetting" w:hAnsi="Arabic Typesetting" w:cs="Arabic Typesetting"/>
          <w:sz w:val="34"/>
          <w:szCs w:val="34"/>
          <w:rtl/>
        </w:rPr>
        <w:t>اعدة البيانات العالمية للتصاميم</w:t>
      </w:r>
      <w:r w:rsidRPr="00D70D19">
        <w:rPr>
          <w:rFonts w:ascii="Arabic Typesetting" w:hAnsi="Arabic Typesetting" w:cs="Arabic Typesetting" w:hint="cs"/>
          <w:sz w:val="34"/>
          <w:szCs w:val="34"/>
          <w:rtl/>
          <w:lang w:bidi="ar"/>
        </w:rPr>
        <w:t>.</w:t>
      </w:r>
    </w:p>
    <w:p w14:paraId="51496C51" w14:textId="77777777" w:rsidR="003C4619" w:rsidRPr="003C4619" w:rsidRDefault="003C4619" w:rsidP="0031289D">
      <w:pPr>
        <w:bidi/>
        <w:spacing w:after="240" w:line="360" w:lineRule="exact"/>
        <w:ind w:left="717"/>
        <w:jc w:val="center"/>
        <w:rPr>
          <w:rFonts w:ascii="Arabic Typesetting" w:hAnsi="Arabic Typesetting" w:cs="Arabic Typesetting"/>
          <w:b/>
          <w:bCs/>
          <w:sz w:val="28"/>
          <w:szCs w:val="28"/>
          <w:rtl/>
          <w:lang w:bidi="ar-EG"/>
        </w:rPr>
      </w:pPr>
      <w:r w:rsidRPr="003C4619">
        <w:rPr>
          <w:rFonts w:ascii="Arabic Typesetting" w:hAnsi="Arabic Typesetting" w:cs="Arabic Typesetting" w:hint="cs"/>
          <w:b/>
          <w:bCs/>
          <w:sz w:val="28"/>
          <w:szCs w:val="28"/>
          <w:rtl/>
          <w:lang w:bidi="ar-EG"/>
        </w:rPr>
        <w:t>سجلات ركن البراءات 2014-2016</w:t>
      </w:r>
    </w:p>
    <w:p w14:paraId="6B46365E" w14:textId="2D0AFC2B" w:rsidR="003C4619" w:rsidRPr="003C4619" w:rsidRDefault="00D343F8" w:rsidP="00D343F8">
      <w:pPr>
        <w:bidi/>
        <w:spacing w:after="240"/>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0D8FA992" wp14:editId="0D418FE7">
            <wp:extent cx="5525284" cy="266700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2241" cy="2670358"/>
                    </a:xfrm>
                    <a:prstGeom prst="rect">
                      <a:avLst/>
                    </a:prstGeom>
                    <a:noFill/>
                  </pic:spPr>
                </pic:pic>
              </a:graphicData>
            </a:graphic>
          </wp:inline>
        </w:drawing>
      </w:r>
    </w:p>
    <w:p w14:paraId="7FA09A6C" w14:textId="77777777" w:rsidR="003C4619" w:rsidRPr="003C4619" w:rsidRDefault="003C4619" w:rsidP="0031289D">
      <w:pPr>
        <w:bidi/>
        <w:spacing w:after="240" w:line="360" w:lineRule="exact"/>
        <w:jc w:val="center"/>
        <w:rPr>
          <w:rFonts w:ascii="Arabic Typesetting" w:hAnsi="Arabic Typesetting" w:cs="Arabic Typesetting"/>
          <w:b/>
          <w:bCs/>
          <w:sz w:val="28"/>
          <w:szCs w:val="28"/>
          <w:lang w:bidi="ar-EG"/>
        </w:rPr>
      </w:pPr>
      <w:r w:rsidRPr="003C4619">
        <w:rPr>
          <w:rFonts w:ascii="Arabic Typesetting" w:hAnsi="Arabic Typesetting" w:cs="Arabic Typesetting" w:hint="cs"/>
          <w:b/>
          <w:bCs/>
          <w:sz w:val="28"/>
          <w:szCs w:val="28"/>
          <w:rtl/>
          <w:lang w:bidi="ar-EG"/>
        </w:rPr>
        <w:t xml:space="preserve">سجلات </w:t>
      </w:r>
      <w:r w:rsidRPr="003C4619">
        <w:rPr>
          <w:rFonts w:ascii="Arabic Typesetting" w:hAnsi="Arabic Typesetting" w:cs="Arabic Typesetting"/>
          <w:b/>
          <w:bCs/>
          <w:sz w:val="28"/>
          <w:szCs w:val="28"/>
          <w:rtl/>
          <w:lang w:bidi="ar-EG"/>
        </w:rPr>
        <w:t>قاعدة البيانات العالمية لأدوات التوسيم</w:t>
      </w:r>
      <w:r w:rsidRPr="003C4619">
        <w:rPr>
          <w:rFonts w:ascii="Arabic Typesetting" w:hAnsi="Arabic Typesetting" w:cs="Arabic Typesetting" w:hint="cs"/>
          <w:b/>
          <w:bCs/>
          <w:sz w:val="28"/>
          <w:szCs w:val="28"/>
          <w:rtl/>
          <w:lang w:bidi="ar-EG"/>
        </w:rPr>
        <w:t xml:space="preserve"> 2014-2016</w:t>
      </w:r>
    </w:p>
    <w:p w14:paraId="4F511F30" w14:textId="7A0DACC3" w:rsidR="003C4619" w:rsidRPr="003C4619" w:rsidRDefault="00D343F8" w:rsidP="0031289D">
      <w:pPr>
        <w:bidi/>
        <w:spacing w:after="240"/>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5288B697" wp14:editId="0427884B">
            <wp:extent cx="5245870" cy="2700104"/>
            <wp:effectExtent l="0" t="0" r="0" b="508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5227" cy="2710067"/>
                    </a:xfrm>
                    <a:prstGeom prst="rect">
                      <a:avLst/>
                    </a:prstGeom>
                    <a:noFill/>
                  </pic:spPr>
                </pic:pic>
              </a:graphicData>
            </a:graphic>
          </wp:inline>
        </w:drawing>
      </w:r>
    </w:p>
    <w:p w14:paraId="51120A74" w14:textId="77777777" w:rsidR="003C4619" w:rsidRPr="003C4619" w:rsidRDefault="003C4619" w:rsidP="0031289D">
      <w:pPr>
        <w:keepNext/>
        <w:bidi/>
        <w:spacing w:after="240" w:line="360" w:lineRule="exact"/>
        <w:jc w:val="center"/>
        <w:rPr>
          <w:rFonts w:ascii="Arabic Typesetting" w:hAnsi="Arabic Typesetting" w:cs="Arabic Typesetting"/>
          <w:b/>
          <w:bCs/>
          <w:sz w:val="28"/>
          <w:szCs w:val="28"/>
          <w:rtl/>
          <w:lang w:bidi="ar-EG"/>
        </w:rPr>
      </w:pPr>
      <w:r w:rsidRPr="003C4619">
        <w:rPr>
          <w:rFonts w:ascii="Arabic Typesetting" w:hAnsi="Arabic Typesetting" w:cs="Arabic Typesetting" w:hint="cs"/>
          <w:b/>
          <w:bCs/>
          <w:sz w:val="28"/>
          <w:szCs w:val="28"/>
          <w:rtl/>
          <w:lang w:bidi="ar-EG"/>
        </w:rPr>
        <w:lastRenderedPageBreak/>
        <w:t>سجلات ق</w:t>
      </w:r>
      <w:r w:rsidRPr="003C4619">
        <w:rPr>
          <w:rFonts w:ascii="Arabic Typesetting" w:hAnsi="Arabic Typesetting" w:cs="Arabic Typesetting"/>
          <w:b/>
          <w:bCs/>
          <w:sz w:val="28"/>
          <w:szCs w:val="28"/>
          <w:rtl/>
          <w:lang w:bidi="ar-EG"/>
        </w:rPr>
        <w:t xml:space="preserve">اعدة البيانات العالمية للتصاميم </w:t>
      </w:r>
      <w:r w:rsidRPr="003C4619">
        <w:rPr>
          <w:rFonts w:ascii="Arabic Typesetting" w:hAnsi="Arabic Typesetting" w:cs="Arabic Typesetting" w:hint="cs"/>
          <w:b/>
          <w:bCs/>
          <w:sz w:val="28"/>
          <w:szCs w:val="28"/>
          <w:rtl/>
          <w:lang w:bidi="ar-EG"/>
        </w:rPr>
        <w:t>2015-2016</w:t>
      </w:r>
    </w:p>
    <w:p w14:paraId="3C27F80E" w14:textId="712C22E9" w:rsidR="003C4619" w:rsidRPr="003C4619" w:rsidRDefault="005F0B26" w:rsidP="0031289D">
      <w:pPr>
        <w:bidi/>
        <w:spacing w:after="240"/>
        <w:jc w:val="center"/>
        <w:rPr>
          <w:rFonts w:ascii="Arabic Typesetting" w:hAnsi="Arabic Typesetting" w:cs="Arabic Typesetting"/>
          <w:sz w:val="28"/>
          <w:szCs w:val="28"/>
          <w:rtl/>
          <w:lang w:bidi="ar-EG"/>
        </w:rPr>
      </w:pPr>
      <w:r>
        <w:rPr>
          <w:rFonts w:ascii="Arabic Typesetting" w:hAnsi="Arabic Typesetting" w:cs="Arabic Typesetting"/>
          <w:noProof/>
          <w:sz w:val="28"/>
          <w:szCs w:val="28"/>
        </w:rPr>
        <w:drawing>
          <wp:inline distT="0" distB="0" distL="0" distR="0" wp14:anchorId="74343097" wp14:editId="7C3BFD27">
            <wp:extent cx="5458188" cy="3062936"/>
            <wp:effectExtent l="0" t="0" r="0" b="444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7396" cy="3068103"/>
                    </a:xfrm>
                    <a:prstGeom prst="rect">
                      <a:avLst/>
                    </a:prstGeom>
                    <a:noFill/>
                  </pic:spPr>
                </pic:pic>
              </a:graphicData>
            </a:graphic>
          </wp:inline>
        </w:drawing>
      </w:r>
    </w:p>
    <w:p w14:paraId="17AFDB83"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 xml:space="preserve">فيما يتعلق بالتصنيفات الدولية ومعايير الويبو للملكية الفكرية، شهد عام </w:t>
      </w:r>
      <w:r w:rsidRPr="003C4619">
        <w:rPr>
          <w:rFonts w:ascii="Arabic Typesetting" w:hAnsi="Arabic Typesetting" w:cs="Arabic Typesetting"/>
          <w:sz w:val="34"/>
          <w:szCs w:val="34"/>
          <w:rtl/>
          <w:lang w:bidi="ar"/>
        </w:rPr>
        <w:t xml:space="preserve">2016 </w:t>
      </w:r>
      <w:r w:rsidRPr="003C4619">
        <w:rPr>
          <w:rFonts w:ascii="Arabic Typesetting" w:hAnsi="Arabic Typesetting" w:cs="Arabic Typesetting"/>
          <w:sz w:val="34"/>
          <w:szCs w:val="34"/>
          <w:rtl/>
        </w:rPr>
        <w:t>تقدما جيدا</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 xml:space="preserve">أما فيما يتعلق بمعايير الويبو </w:t>
      </w:r>
      <w:r w:rsidRPr="003C4619">
        <w:rPr>
          <w:rFonts w:ascii="Arabic Typesetting" w:hAnsi="Arabic Typesetting" w:cs="Arabic Typesetting" w:hint="cs"/>
          <w:sz w:val="34"/>
          <w:szCs w:val="34"/>
          <w:rtl/>
        </w:rPr>
        <w:t xml:space="preserve">فقد استعادت مركزها </w:t>
      </w:r>
      <w:r w:rsidRPr="003C4619">
        <w:rPr>
          <w:rFonts w:ascii="Arabic Typesetting" w:hAnsi="Arabic Typesetting" w:cs="Arabic Typesetting"/>
          <w:sz w:val="34"/>
          <w:szCs w:val="34"/>
          <w:rtl/>
        </w:rPr>
        <w:t xml:space="preserve">في عام </w:t>
      </w:r>
      <w:r w:rsidRPr="003C4619">
        <w:rPr>
          <w:rFonts w:ascii="Arabic Typesetting" w:hAnsi="Arabic Typesetting" w:cs="Arabic Typesetting"/>
          <w:sz w:val="34"/>
          <w:szCs w:val="34"/>
          <w:rtl/>
          <w:lang w:bidi="ar"/>
        </w:rPr>
        <w:t>2016</w:t>
      </w:r>
      <w:r w:rsidRPr="003C4619">
        <w:rPr>
          <w:rFonts w:ascii="Arabic Typesetting" w:hAnsi="Arabic Typesetting" w:cs="Arabic Typesetting"/>
          <w:sz w:val="34"/>
          <w:szCs w:val="34"/>
          <w:rtl/>
        </w:rPr>
        <w:t xml:space="preserve">، </w:t>
      </w:r>
      <w:r w:rsidRPr="003C4619">
        <w:rPr>
          <w:rFonts w:ascii="Arabic Typesetting" w:hAnsi="Arabic Typesetting" w:cs="Arabic Typesetting" w:hint="cs"/>
          <w:sz w:val="34"/>
          <w:szCs w:val="34"/>
          <w:rtl/>
        </w:rPr>
        <w:t>عقب</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إخفاقها في</w:t>
      </w:r>
      <w:r w:rsidRPr="003C4619">
        <w:rPr>
          <w:rFonts w:ascii="Arabic Typesetting" w:hAnsi="Arabic Typesetting" w:cs="Arabic Typesetting"/>
          <w:sz w:val="34"/>
          <w:szCs w:val="34"/>
          <w:rtl/>
        </w:rPr>
        <w:t xml:space="preserve"> التوصل إلى نتائج رسمية في عام </w:t>
      </w:r>
      <w:r w:rsidRPr="003C4619">
        <w:rPr>
          <w:rFonts w:ascii="Arabic Typesetting" w:hAnsi="Arabic Typesetting" w:cs="Arabic Typesetting"/>
          <w:sz w:val="34"/>
          <w:szCs w:val="34"/>
          <w:rtl/>
          <w:lang w:bidi="ar"/>
        </w:rPr>
        <w:t>2015</w:t>
      </w:r>
      <w:r w:rsidRPr="003C4619">
        <w:rPr>
          <w:rFonts w:ascii="Arabic Typesetting" w:hAnsi="Arabic Typesetting" w:cs="Arabic Typesetting"/>
          <w:sz w:val="34"/>
          <w:szCs w:val="34"/>
          <w:rtl/>
        </w:rPr>
        <w:t>، مع ا</w:t>
      </w:r>
      <w:r w:rsidRPr="003C4619">
        <w:rPr>
          <w:rFonts w:ascii="Arabic Typesetting" w:hAnsi="Arabic Typesetting" w:cs="Arabic Typesetting" w:hint="cs"/>
          <w:sz w:val="34"/>
          <w:szCs w:val="34"/>
          <w:rtl/>
        </w:rPr>
        <w:t>لا</w:t>
      </w:r>
      <w:r w:rsidRPr="003C4619">
        <w:rPr>
          <w:rFonts w:ascii="Arabic Typesetting" w:hAnsi="Arabic Typesetting" w:cs="Arabic Typesetting"/>
          <w:sz w:val="34"/>
          <w:szCs w:val="34"/>
          <w:rtl/>
        </w:rPr>
        <w:t xml:space="preserve">عتماد </w:t>
      </w:r>
      <w:r w:rsidRPr="003C4619">
        <w:rPr>
          <w:rFonts w:ascii="Arabic Typesetting" w:hAnsi="Arabic Typesetting" w:cs="Arabic Typesetting" w:hint="cs"/>
          <w:sz w:val="34"/>
          <w:szCs w:val="34"/>
          <w:rtl/>
        </w:rPr>
        <w:t>الرسمي ل</w:t>
      </w:r>
      <w:r w:rsidRPr="003C4619">
        <w:rPr>
          <w:rFonts w:ascii="Arabic Typesetting" w:hAnsi="Arabic Typesetting" w:cs="Arabic Typesetting"/>
          <w:sz w:val="34"/>
          <w:szCs w:val="34"/>
          <w:rtl/>
        </w:rPr>
        <w:t>معيارين جديدين وتنقيح ثلاثة معايير</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 xml:space="preserve">وفيما يتعلق بتصنيف نيس، أدخل ما مجموعه </w:t>
      </w:r>
      <w:r w:rsidRPr="003C4619">
        <w:rPr>
          <w:rFonts w:ascii="Arabic Typesetting" w:hAnsi="Arabic Typesetting" w:cs="Arabic Typesetting"/>
          <w:sz w:val="34"/>
          <w:szCs w:val="34"/>
          <w:rtl/>
          <w:lang w:bidi="ar"/>
        </w:rPr>
        <w:t xml:space="preserve">213 1 </w:t>
      </w:r>
      <w:r w:rsidRPr="003C4619">
        <w:rPr>
          <w:rFonts w:ascii="Arabic Typesetting" w:hAnsi="Arabic Typesetting" w:cs="Arabic Typesetting"/>
          <w:sz w:val="34"/>
          <w:szCs w:val="34"/>
          <w:rtl/>
        </w:rPr>
        <w:t xml:space="preserve">تعديلا </w:t>
      </w:r>
      <w:r w:rsidRPr="003C4619">
        <w:rPr>
          <w:rFonts w:ascii="Arabic Typesetting" w:hAnsi="Arabic Typesetting" w:cs="Arabic Typesetting"/>
          <w:sz w:val="34"/>
          <w:szCs w:val="34"/>
          <w:rtl/>
          <w:lang w:bidi="ar"/>
        </w:rPr>
        <w:t>(</w:t>
      </w:r>
      <w:r w:rsidRPr="003C4619">
        <w:rPr>
          <w:rFonts w:ascii="Arabic Typesetting" w:hAnsi="Arabic Typesetting" w:cs="Arabic Typesetting" w:hint="cs"/>
          <w:sz w:val="34"/>
          <w:szCs w:val="34"/>
          <w:rtl/>
        </w:rPr>
        <w:t>بال</w:t>
      </w:r>
      <w:r w:rsidRPr="003C4619">
        <w:rPr>
          <w:rFonts w:ascii="Arabic Typesetting" w:hAnsi="Arabic Typesetting" w:cs="Arabic Typesetting"/>
          <w:sz w:val="34"/>
          <w:szCs w:val="34"/>
          <w:rtl/>
        </w:rPr>
        <w:t xml:space="preserve">مقارنة </w:t>
      </w:r>
      <w:r w:rsidRPr="003C4619">
        <w:rPr>
          <w:rFonts w:ascii="Arabic Typesetting" w:hAnsi="Arabic Typesetting" w:cs="Arabic Typesetting" w:hint="cs"/>
          <w:sz w:val="34"/>
          <w:szCs w:val="34"/>
          <w:rtl/>
        </w:rPr>
        <w:t>مع</w:t>
      </w:r>
      <w:r w:rsidRPr="003C4619">
        <w:rPr>
          <w:rFonts w:ascii="Arabic Typesetting" w:hAnsi="Arabic Typesetting" w:cs="Arabic Typesetting"/>
          <w:sz w:val="34"/>
          <w:szCs w:val="34"/>
          <w:rtl/>
          <w:lang w:bidi="ar"/>
        </w:rPr>
        <w:t xml:space="preserve"> 920 </w:t>
      </w:r>
      <w:r w:rsidRPr="003C4619">
        <w:rPr>
          <w:rFonts w:ascii="Arabic Typesetting" w:hAnsi="Arabic Typesetting" w:cs="Arabic Typesetting"/>
          <w:sz w:val="34"/>
          <w:szCs w:val="34"/>
          <w:rtl/>
        </w:rPr>
        <w:t xml:space="preserve">تعديلا في عام </w:t>
      </w:r>
      <w:r w:rsidRPr="003C4619">
        <w:rPr>
          <w:rFonts w:ascii="Arabic Typesetting" w:hAnsi="Arabic Typesetting" w:cs="Arabic Typesetting"/>
          <w:sz w:val="34"/>
          <w:szCs w:val="34"/>
          <w:rtl/>
          <w:lang w:bidi="ar"/>
        </w:rPr>
        <w:t xml:space="preserve">2015) </w:t>
      </w:r>
      <w:r w:rsidRPr="003C4619">
        <w:rPr>
          <w:rFonts w:ascii="Arabic Typesetting" w:hAnsi="Arabic Typesetting" w:cs="Arabic Typesetting"/>
          <w:sz w:val="34"/>
          <w:szCs w:val="34"/>
          <w:rtl/>
        </w:rPr>
        <w:t>و</w:t>
      </w:r>
      <w:r w:rsidRPr="003C4619">
        <w:rPr>
          <w:rFonts w:ascii="Arabic Typesetting" w:hAnsi="Arabic Typesetting" w:cs="Arabic Typesetting"/>
          <w:sz w:val="34"/>
          <w:szCs w:val="34"/>
          <w:rtl/>
          <w:lang w:bidi="ar"/>
        </w:rPr>
        <w:t xml:space="preserve">30 </w:t>
      </w:r>
      <w:r w:rsidRPr="003C4619">
        <w:rPr>
          <w:rFonts w:ascii="Arabic Typesetting" w:hAnsi="Arabic Typesetting" w:cs="Arabic Typesetting"/>
          <w:sz w:val="34"/>
          <w:szCs w:val="34"/>
          <w:rtl/>
        </w:rPr>
        <w:t xml:space="preserve">ملفا جديدا للمعلومات </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 xml:space="preserve">بالمقارنة مع </w:t>
      </w:r>
      <w:r w:rsidRPr="003C4619">
        <w:rPr>
          <w:rFonts w:ascii="Arabic Typesetting" w:hAnsi="Arabic Typesetting" w:cs="Arabic Typesetting"/>
          <w:sz w:val="34"/>
          <w:szCs w:val="34"/>
          <w:rtl/>
          <w:lang w:bidi="ar"/>
        </w:rPr>
        <w:t xml:space="preserve">5 </w:t>
      </w:r>
      <w:r w:rsidRPr="003C4619">
        <w:rPr>
          <w:rFonts w:ascii="Arabic Typesetting" w:hAnsi="Arabic Typesetting" w:cs="Arabic Typesetting"/>
          <w:sz w:val="34"/>
          <w:szCs w:val="34"/>
          <w:rtl/>
        </w:rPr>
        <w:t xml:space="preserve">ملفات في عام </w:t>
      </w:r>
      <w:r w:rsidRPr="003C4619">
        <w:rPr>
          <w:rFonts w:ascii="Arabic Typesetting" w:hAnsi="Arabic Typesetting" w:cs="Arabic Typesetting"/>
          <w:sz w:val="34"/>
          <w:szCs w:val="34"/>
          <w:rtl/>
          <w:lang w:bidi="ar"/>
        </w:rPr>
        <w:t xml:space="preserve">2015) </w:t>
      </w:r>
      <w:r w:rsidRPr="003C4619">
        <w:rPr>
          <w:rFonts w:ascii="Arabic Typesetting" w:hAnsi="Arabic Typesetting" w:cs="Arabic Typesetting"/>
          <w:sz w:val="34"/>
          <w:szCs w:val="34"/>
          <w:rtl/>
        </w:rPr>
        <w:t>و</w:t>
      </w:r>
      <w:r w:rsidRPr="003C4619">
        <w:rPr>
          <w:rFonts w:ascii="Arabic Typesetting" w:hAnsi="Arabic Typesetting" w:cs="Arabic Typesetting" w:hint="cs"/>
          <w:sz w:val="34"/>
          <w:szCs w:val="34"/>
          <w:rtl/>
        </w:rPr>
        <w:t>ت</w:t>
      </w:r>
      <w:r w:rsidRPr="003C4619">
        <w:rPr>
          <w:rFonts w:ascii="Arabic Typesetting" w:hAnsi="Arabic Typesetting" w:cs="Arabic Typesetting"/>
          <w:sz w:val="34"/>
          <w:szCs w:val="34"/>
          <w:rtl/>
        </w:rPr>
        <w:t>نق</w:t>
      </w:r>
      <w:r w:rsidRPr="003C4619">
        <w:rPr>
          <w:rFonts w:ascii="Arabic Typesetting" w:hAnsi="Arabic Typesetting" w:cs="Arabic Typesetting" w:hint="cs"/>
          <w:sz w:val="34"/>
          <w:szCs w:val="34"/>
          <w:rtl/>
        </w:rPr>
        <w:t>ي</w:t>
      </w:r>
      <w:r w:rsidRPr="003C4619">
        <w:rPr>
          <w:rFonts w:ascii="Arabic Typesetting" w:hAnsi="Arabic Typesetting" w:cs="Arabic Typesetting"/>
          <w:sz w:val="34"/>
          <w:szCs w:val="34"/>
          <w:rtl/>
        </w:rPr>
        <w:t xml:space="preserve">ح </w:t>
      </w:r>
      <w:r w:rsidRPr="003C4619">
        <w:rPr>
          <w:rFonts w:ascii="Arabic Typesetting" w:hAnsi="Arabic Typesetting" w:cs="Arabic Typesetting"/>
          <w:sz w:val="34"/>
          <w:szCs w:val="34"/>
          <w:rtl/>
          <w:lang w:bidi="ar"/>
        </w:rPr>
        <w:t xml:space="preserve">148 </w:t>
      </w:r>
      <w:r w:rsidRPr="003C4619">
        <w:rPr>
          <w:rFonts w:ascii="Arabic Typesetting" w:hAnsi="Arabic Typesetting" w:cs="Arabic Typesetting"/>
          <w:sz w:val="34"/>
          <w:szCs w:val="34"/>
          <w:rtl/>
        </w:rPr>
        <w:t xml:space="preserve">ملفا للمعلومات </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 xml:space="preserve">بالمقارنة مع </w:t>
      </w:r>
      <w:r w:rsidRPr="003C4619">
        <w:rPr>
          <w:rFonts w:ascii="Arabic Typesetting" w:hAnsi="Arabic Typesetting" w:cs="Arabic Typesetting"/>
          <w:sz w:val="34"/>
          <w:szCs w:val="34"/>
          <w:rtl/>
          <w:lang w:bidi="ar"/>
        </w:rPr>
        <w:t xml:space="preserve">4 </w:t>
      </w:r>
      <w:r w:rsidRPr="003C4619">
        <w:rPr>
          <w:rFonts w:ascii="Arabic Typesetting" w:hAnsi="Arabic Typesetting" w:cs="Arabic Typesetting"/>
          <w:sz w:val="34"/>
          <w:szCs w:val="34"/>
          <w:rtl/>
        </w:rPr>
        <w:t xml:space="preserve">ملفات في عام </w:t>
      </w:r>
      <w:r w:rsidRPr="003C4619">
        <w:rPr>
          <w:rFonts w:ascii="Arabic Typesetting" w:hAnsi="Arabic Typesetting" w:cs="Arabic Typesetting"/>
          <w:sz w:val="34"/>
          <w:szCs w:val="34"/>
          <w:rtl/>
          <w:lang w:bidi="ar"/>
        </w:rPr>
        <w:t>2015).</w:t>
      </w:r>
    </w:p>
    <w:p w14:paraId="5084E93C"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sz w:val="34"/>
          <w:szCs w:val="34"/>
          <w:rtl/>
        </w:rPr>
        <w:t xml:space="preserve">وقد استوفى ما مجموعه </w:t>
      </w:r>
      <w:r w:rsidRPr="003C4619">
        <w:rPr>
          <w:rFonts w:ascii="Arabic Typesetting" w:hAnsi="Arabic Typesetting" w:cs="Arabic Typesetting"/>
          <w:sz w:val="34"/>
          <w:szCs w:val="34"/>
          <w:rtl/>
          <w:lang w:bidi="ar"/>
        </w:rPr>
        <w:t xml:space="preserve">28 </w:t>
      </w:r>
      <w:r w:rsidRPr="003C4619">
        <w:rPr>
          <w:rFonts w:ascii="Arabic Typesetting" w:hAnsi="Arabic Typesetting" w:cs="Arabic Typesetting"/>
          <w:sz w:val="34"/>
          <w:szCs w:val="34"/>
          <w:rtl/>
        </w:rPr>
        <w:t xml:space="preserve">مركزا لدعم التكنولوجيا والابتكار معايير للوصول إلى أحد مستويات النضج الثلاثة للاستدامة في عام </w:t>
      </w:r>
      <w:r w:rsidRPr="003C4619">
        <w:rPr>
          <w:rFonts w:ascii="Arabic Typesetting" w:hAnsi="Arabic Typesetting" w:cs="Arabic Typesetting"/>
          <w:sz w:val="34"/>
          <w:szCs w:val="34"/>
          <w:rtl/>
          <w:lang w:bidi="ar"/>
        </w:rPr>
        <w:t xml:space="preserve">2016. </w:t>
      </w:r>
      <w:r w:rsidRPr="003C4619">
        <w:rPr>
          <w:rFonts w:ascii="Arabic Typesetting" w:hAnsi="Arabic Typesetting" w:cs="Arabic Typesetting"/>
          <w:sz w:val="34"/>
          <w:szCs w:val="34"/>
          <w:rtl/>
        </w:rPr>
        <w:t xml:space="preserve">وفي هذا الصدد، قدمت ست مراكز دعم التكنولوجيا والابتكار خدمات تحليلية في مجال البراءات </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 xml:space="preserve">مستوى النضج </w:t>
      </w:r>
      <w:r w:rsidRPr="003C4619">
        <w:rPr>
          <w:rFonts w:ascii="Arabic Typesetting" w:hAnsi="Arabic Typesetting" w:cs="Arabic Typesetting"/>
          <w:sz w:val="34"/>
          <w:szCs w:val="34"/>
          <w:rtl/>
          <w:lang w:bidi="ar"/>
        </w:rPr>
        <w:t xml:space="preserve">3) </w:t>
      </w:r>
      <w:r w:rsidRPr="003C4619">
        <w:rPr>
          <w:rFonts w:ascii="Arabic Typesetting" w:hAnsi="Arabic Typesetting" w:cs="Arabic Typesetting"/>
          <w:sz w:val="34"/>
          <w:szCs w:val="34"/>
          <w:rtl/>
        </w:rPr>
        <w:t xml:space="preserve">بحلول نهاية عام </w:t>
      </w:r>
      <w:r w:rsidRPr="003C4619">
        <w:rPr>
          <w:rFonts w:ascii="Arabic Typesetting" w:hAnsi="Arabic Typesetting" w:cs="Arabic Typesetting"/>
          <w:sz w:val="34"/>
          <w:szCs w:val="34"/>
          <w:rtl/>
          <w:lang w:bidi="ar"/>
        </w:rPr>
        <w:t>2016.</w:t>
      </w:r>
    </w:p>
    <w:p w14:paraId="15F488ED" w14:textId="2249A66F" w:rsidR="003C4619" w:rsidRPr="003C4619" w:rsidRDefault="003C4619" w:rsidP="00E62D9A">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sz w:val="34"/>
          <w:szCs w:val="34"/>
          <w:rtl/>
        </w:rPr>
        <w:t xml:space="preserve">واستمر تطوير </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خدمات</w:t>
      </w:r>
      <w:r w:rsidRPr="003C4619">
        <w:rPr>
          <w:rFonts w:ascii="Arabic Typesetting" w:hAnsi="Arabic Typesetting" w:cs="Arabic Typesetting" w:hint="cs"/>
          <w:sz w:val="34"/>
          <w:szCs w:val="34"/>
          <w:rtl/>
        </w:rPr>
        <w:t xml:space="preserve"> الإكلينيكية</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ل</w:t>
      </w:r>
      <w:r w:rsidRPr="003C4619">
        <w:rPr>
          <w:rFonts w:ascii="Arabic Typesetting" w:hAnsi="Arabic Typesetting" w:cs="Arabic Typesetting"/>
          <w:sz w:val="34"/>
          <w:szCs w:val="34"/>
          <w:rtl/>
        </w:rPr>
        <w:t>مراكز دعم التكنولوجيا والابتكار بالتعاون مع برنامج مساعدة المخترعين</w:t>
      </w:r>
      <w:r w:rsidRPr="003C4619">
        <w:rPr>
          <w:rFonts w:ascii="Arabic Typesetting" w:hAnsi="Arabic Typesetting" w:cs="Arabic Typesetting" w:hint="cs"/>
          <w:sz w:val="34"/>
          <w:szCs w:val="34"/>
          <w:rtl/>
          <w:lang w:bidi="ar"/>
        </w:rPr>
        <w:t xml:space="preserve"> </w:t>
      </w:r>
      <w:r w:rsidRPr="003C4619">
        <w:rPr>
          <w:rFonts w:ascii="Arabic Typesetting" w:hAnsi="Arabic Typesetting" w:cs="Arabic Typesetting"/>
          <w:sz w:val="34"/>
          <w:szCs w:val="34"/>
          <w:rtl/>
        </w:rPr>
        <w:t>في كولومبيا والمغرب والفلبين</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rPr>
        <w:t xml:space="preserve"> حيث بلغ إجمالي الطلبات </w:t>
      </w:r>
      <w:r w:rsidRPr="003C4619">
        <w:rPr>
          <w:rFonts w:ascii="Arabic Typesetting" w:hAnsi="Arabic Typesetting" w:cs="Arabic Typesetting" w:hint="cs"/>
          <w:sz w:val="34"/>
          <w:szCs w:val="34"/>
          <w:rtl/>
        </w:rPr>
        <w:t>المستلمة</w:t>
      </w:r>
      <w:r w:rsidRPr="003C4619">
        <w:rPr>
          <w:rFonts w:ascii="Arabic Typesetting" w:hAnsi="Arabic Typesetting" w:cs="Arabic Typesetting"/>
          <w:sz w:val="34"/>
          <w:szCs w:val="34"/>
          <w:rtl/>
        </w:rPr>
        <w:t xml:space="preserve"> </w:t>
      </w:r>
      <w:r w:rsidRPr="003C4619">
        <w:rPr>
          <w:rFonts w:ascii="Arabic Typesetting" w:hAnsi="Arabic Typesetting" w:cs="Arabic Typesetting"/>
          <w:sz w:val="34"/>
          <w:szCs w:val="34"/>
          <w:rtl/>
          <w:lang w:bidi="ar"/>
        </w:rPr>
        <w:t xml:space="preserve">35 </w:t>
      </w:r>
      <w:r w:rsidRPr="003C4619">
        <w:rPr>
          <w:rFonts w:ascii="Arabic Typesetting" w:hAnsi="Arabic Typesetting" w:cs="Arabic Typesetting"/>
          <w:sz w:val="34"/>
          <w:szCs w:val="34"/>
          <w:rtl/>
        </w:rPr>
        <w:t>طلبا</w:t>
      </w:r>
      <w:r w:rsidR="00E62D9A" w:rsidRPr="00E62D9A">
        <w:rPr>
          <w:rFonts w:ascii="Arabic Typesetting" w:hAnsi="Arabic Typesetting" w:cs="Arabic Typesetting"/>
          <w:sz w:val="34"/>
          <w:szCs w:val="34"/>
          <w:rtl/>
        </w:rPr>
        <w:t xml:space="preserve"> </w:t>
      </w:r>
      <w:r w:rsidR="00E62D9A" w:rsidRPr="003C4619">
        <w:rPr>
          <w:rFonts w:ascii="Arabic Typesetting" w:hAnsi="Arabic Typesetting" w:cs="Arabic Typesetting"/>
          <w:sz w:val="34"/>
          <w:szCs w:val="34"/>
          <w:rtl/>
        </w:rPr>
        <w:t xml:space="preserve">في عام </w:t>
      </w:r>
      <w:r w:rsidR="00E62D9A">
        <w:rPr>
          <w:rFonts w:ascii="Arabic Typesetting" w:hAnsi="Arabic Typesetting" w:cs="Arabic Typesetting"/>
          <w:sz w:val="34"/>
          <w:szCs w:val="34"/>
          <w:rtl/>
          <w:lang w:bidi="ar"/>
        </w:rPr>
        <w:t>2016</w:t>
      </w:r>
      <w:r w:rsidRPr="003C4619">
        <w:rPr>
          <w:rFonts w:ascii="Arabic Typesetting" w:hAnsi="Arabic Typesetting" w:cs="Arabic Typesetting"/>
          <w:sz w:val="34"/>
          <w:szCs w:val="34"/>
          <w:rtl/>
        </w:rPr>
        <w:t xml:space="preserve">، وهو ما </w:t>
      </w:r>
      <w:r w:rsidRPr="003C4619">
        <w:rPr>
          <w:rFonts w:ascii="Arabic Typesetting" w:hAnsi="Arabic Typesetting" w:cs="Arabic Typesetting" w:hint="cs"/>
          <w:sz w:val="34"/>
          <w:szCs w:val="34"/>
          <w:rtl/>
        </w:rPr>
        <w:t>يفوق ال</w:t>
      </w:r>
      <w:r w:rsidRPr="003C4619">
        <w:rPr>
          <w:rFonts w:ascii="Arabic Typesetting" w:hAnsi="Arabic Typesetting" w:cs="Arabic Typesetting"/>
          <w:sz w:val="34"/>
          <w:szCs w:val="34"/>
          <w:rtl/>
        </w:rPr>
        <w:t>عد</w:t>
      </w:r>
      <w:r w:rsidRPr="003C4619">
        <w:rPr>
          <w:rFonts w:ascii="Arabic Typesetting" w:hAnsi="Arabic Typesetting" w:cs="Arabic Typesetting" w:hint="cs"/>
          <w:sz w:val="34"/>
          <w:szCs w:val="34"/>
          <w:rtl/>
        </w:rPr>
        <w:t xml:space="preserve">د الذي </w:t>
      </w:r>
      <w:r w:rsidRPr="003C4619">
        <w:rPr>
          <w:rFonts w:ascii="Arabic Typesetting" w:hAnsi="Arabic Typesetting" w:cs="Arabic Typesetting"/>
          <w:sz w:val="34"/>
          <w:szCs w:val="34"/>
          <w:rtl/>
        </w:rPr>
        <w:t>كان متوقعا في</w:t>
      </w:r>
      <w:r w:rsidR="0097248B">
        <w:rPr>
          <w:rFonts w:ascii="Arabic Typesetting" w:hAnsi="Arabic Typesetting" w:cs="Arabic Typesetting" w:hint="cs"/>
          <w:sz w:val="34"/>
          <w:szCs w:val="34"/>
          <w:rtl/>
          <w:lang w:bidi="ar"/>
        </w:rPr>
        <w:t> </w:t>
      </w:r>
      <w:r w:rsidRPr="003C4619">
        <w:rPr>
          <w:rFonts w:ascii="Arabic Typesetting" w:hAnsi="Arabic Typesetting" w:cs="Arabic Typesetting"/>
          <w:sz w:val="34"/>
          <w:szCs w:val="34"/>
          <w:rtl/>
        </w:rPr>
        <w:t>البداية</w:t>
      </w:r>
      <w:r w:rsidRPr="003C4619">
        <w:rPr>
          <w:rFonts w:ascii="Arabic Typesetting" w:hAnsi="Arabic Typesetting" w:cs="Arabic Typesetting"/>
          <w:sz w:val="34"/>
          <w:szCs w:val="34"/>
          <w:rtl/>
          <w:lang w:bidi="ar"/>
        </w:rPr>
        <w:t>.</w:t>
      </w:r>
    </w:p>
    <w:p w14:paraId="6135B5AD"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sz w:val="34"/>
          <w:szCs w:val="34"/>
          <w:rtl/>
        </w:rPr>
        <w:t>ويقدم الرسم البياني أدناه لمحة عامة عن الزيادة المطردة في استخدام أنظمة الويبو للملكية الفكرية على مدى السنوات السبع الماضية</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 xml:space="preserve">وفي نهاية عام </w:t>
      </w:r>
      <w:r w:rsidRPr="003C4619">
        <w:rPr>
          <w:rFonts w:ascii="Arabic Typesetting" w:hAnsi="Arabic Typesetting" w:cs="Arabic Typesetting"/>
          <w:sz w:val="34"/>
          <w:szCs w:val="34"/>
          <w:rtl/>
          <w:lang w:bidi="ar"/>
        </w:rPr>
        <w:t>2016</w:t>
      </w:r>
      <w:r w:rsidRPr="003C4619">
        <w:rPr>
          <w:rFonts w:ascii="Arabic Typesetting" w:hAnsi="Arabic Typesetting" w:cs="Arabic Typesetting"/>
          <w:sz w:val="34"/>
          <w:szCs w:val="34"/>
          <w:rtl/>
        </w:rPr>
        <w:t xml:space="preserve">، </w:t>
      </w:r>
      <w:r w:rsidRPr="003C4619">
        <w:rPr>
          <w:rFonts w:ascii="Arabic Typesetting" w:hAnsi="Arabic Typesetting" w:cs="Arabic Typesetting" w:hint="cs"/>
          <w:sz w:val="34"/>
          <w:szCs w:val="34"/>
          <w:rtl/>
        </w:rPr>
        <w:t>بلغ عدد</w:t>
      </w:r>
      <w:r w:rsidRPr="003C4619">
        <w:rPr>
          <w:rFonts w:ascii="Arabic Typesetting" w:hAnsi="Arabic Typesetting" w:cs="Arabic Typesetting"/>
          <w:sz w:val="34"/>
          <w:szCs w:val="34"/>
          <w:rtl/>
        </w:rPr>
        <w:t xml:space="preserve"> مك</w:t>
      </w:r>
      <w:r w:rsidRPr="003C4619">
        <w:rPr>
          <w:rFonts w:ascii="Arabic Typesetting" w:hAnsi="Arabic Typesetting" w:cs="Arabic Typesetting" w:hint="cs"/>
          <w:sz w:val="34"/>
          <w:szCs w:val="34"/>
          <w:rtl/>
        </w:rPr>
        <w:t>ا</w:t>
      </w:r>
      <w:r w:rsidRPr="003C4619">
        <w:rPr>
          <w:rFonts w:ascii="Arabic Typesetting" w:hAnsi="Arabic Typesetting" w:cs="Arabic Typesetting"/>
          <w:sz w:val="34"/>
          <w:szCs w:val="34"/>
          <w:rtl/>
        </w:rPr>
        <w:t xml:space="preserve">تب </w:t>
      </w:r>
      <w:r w:rsidRPr="003C4619">
        <w:rPr>
          <w:rFonts w:ascii="Arabic Typesetting" w:hAnsi="Arabic Typesetting" w:cs="Arabic Typesetting" w:hint="cs"/>
          <w:sz w:val="34"/>
          <w:szCs w:val="34"/>
          <w:rtl/>
        </w:rPr>
        <w:t>ا</w:t>
      </w:r>
      <w:r w:rsidRPr="003C4619">
        <w:rPr>
          <w:rFonts w:ascii="Arabic Typesetting" w:hAnsi="Arabic Typesetting" w:cs="Arabic Typesetting"/>
          <w:sz w:val="34"/>
          <w:szCs w:val="34"/>
          <w:rtl/>
        </w:rPr>
        <w:t xml:space="preserve">لملكية الفكرية </w:t>
      </w:r>
      <w:r w:rsidRPr="003C4619">
        <w:rPr>
          <w:rFonts w:ascii="Arabic Typesetting" w:hAnsi="Arabic Typesetting" w:cs="Arabic Typesetting" w:hint="cs"/>
          <w:sz w:val="34"/>
          <w:szCs w:val="34"/>
          <w:rtl/>
        </w:rPr>
        <w:t>التي ت</w:t>
      </w:r>
      <w:r w:rsidRPr="003C4619">
        <w:rPr>
          <w:rFonts w:ascii="Arabic Typesetting" w:hAnsi="Arabic Typesetting" w:cs="Arabic Typesetting"/>
          <w:sz w:val="34"/>
          <w:szCs w:val="34"/>
          <w:rtl/>
        </w:rPr>
        <w:t xml:space="preserve">ستخدم أنظمة الويبو </w:t>
      </w:r>
      <w:r w:rsidRPr="003C4619">
        <w:rPr>
          <w:rFonts w:ascii="Arabic Typesetting" w:hAnsi="Arabic Typesetting" w:cs="Arabic Typesetting" w:hint="cs"/>
          <w:sz w:val="34"/>
          <w:szCs w:val="34"/>
          <w:rtl/>
        </w:rPr>
        <w:t>ل</w:t>
      </w:r>
      <w:r w:rsidRPr="003C4619">
        <w:rPr>
          <w:rFonts w:ascii="Arabic Typesetting" w:hAnsi="Arabic Typesetting" w:cs="Arabic Typesetting"/>
          <w:sz w:val="34"/>
          <w:szCs w:val="34"/>
          <w:rtl/>
        </w:rPr>
        <w:t xml:space="preserve">مكاتب الملكية الفكرية في نحو </w:t>
      </w:r>
      <w:r w:rsidRPr="003C4619">
        <w:rPr>
          <w:rFonts w:ascii="Arabic Typesetting" w:hAnsi="Arabic Typesetting" w:cs="Arabic Typesetting"/>
          <w:sz w:val="34"/>
          <w:szCs w:val="34"/>
          <w:rtl/>
          <w:lang w:bidi="ar"/>
        </w:rPr>
        <w:t>81</w:t>
      </w:r>
      <w:r w:rsidRPr="003C4619">
        <w:rPr>
          <w:rFonts w:ascii="Arabic Typesetting" w:hAnsi="Arabic Typesetting" w:cs="Arabic Typesetting" w:hint="cs"/>
          <w:sz w:val="34"/>
          <w:szCs w:val="34"/>
          <w:rtl/>
        </w:rPr>
        <w:t xml:space="preserve"> مكتبا</w:t>
      </w:r>
      <w:r w:rsidRPr="003C4619">
        <w:rPr>
          <w:rFonts w:ascii="Arabic Typesetting" w:hAnsi="Arabic Typesetting" w:cs="Arabic Typesetting"/>
          <w:sz w:val="34"/>
          <w:szCs w:val="34"/>
          <w:rtl/>
          <w:lang w:bidi="ar"/>
        </w:rPr>
        <w:t>.</w:t>
      </w:r>
    </w:p>
    <w:p w14:paraId="648795EC" w14:textId="77777777" w:rsidR="003C4619" w:rsidRPr="003C4619" w:rsidRDefault="003C4619" w:rsidP="0031289D">
      <w:pPr>
        <w:keepNext/>
        <w:bidi/>
        <w:spacing w:after="240" w:line="360" w:lineRule="exact"/>
        <w:jc w:val="center"/>
        <w:rPr>
          <w:rFonts w:ascii="Arabic Typesetting" w:hAnsi="Arabic Typesetting" w:cs="Arabic Typesetting"/>
          <w:sz w:val="36"/>
          <w:szCs w:val="36"/>
          <w:rtl/>
          <w:lang w:bidi="ar-EG"/>
        </w:rPr>
      </w:pPr>
      <w:r w:rsidRPr="003C4619">
        <w:rPr>
          <w:rFonts w:ascii="Arabic Typesetting" w:hAnsi="Arabic Typesetting" w:cs="Arabic Typesetting"/>
          <w:b/>
          <w:bCs/>
          <w:sz w:val="28"/>
          <w:szCs w:val="28"/>
          <w:rtl/>
          <w:lang w:bidi="ar-EG"/>
        </w:rPr>
        <w:lastRenderedPageBreak/>
        <w:t xml:space="preserve">أنظمة الويبو </w:t>
      </w:r>
      <w:r w:rsidRPr="003C4619">
        <w:rPr>
          <w:rFonts w:ascii="Arabic Typesetting" w:hAnsi="Arabic Typesetting" w:cs="Arabic Typesetting" w:hint="cs"/>
          <w:b/>
          <w:bCs/>
          <w:sz w:val="28"/>
          <w:szCs w:val="28"/>
          <w:rtl/>
          <w:lang w:bidi="ar-EG"/>
        </w:rPr>
        <w:t xml:space="preserve">لأعمال </w:t>
      </w:r>
      <w:r w:rsidRPr="003C4619">
        <w:rPr>
          <w:rFonts w:ascii="Arabic Typesetting" w:hAnsi="Arabic Typesetting" w:cs="Arabic Typesetting"/>
          <w:b/>
          <w:bCs/>
          <w:sz w:val="28"/>
          <w:szCs w:val="28"/>
          <w:rtl/>
          <w:lang w:bidi="ar-EG"/>
        </w:rPr>
        <w:t>مكاتب الملكية الفكرية - الاستخدام حسب المنطقة</w:t>
      </w:r>
      <w:r w:rsidRPr="003C4619">
        <w:rPr>
          <w:rFonts w:ascii="Arabic Typesetting" w:hAnsi="Arabic Typesetting" w:cs="Arabic Typesetting"/>
          <w:sz w:val="28"/>
          <w:szCs w:val="28"/>
          <w:vertAlign w:val="superscript"/>
          <w:rtl/>
          <w:lang w:bidi="ar-EG"/>
        </w:rPr>
        <w:footnoteReference w:id="5"/>
      </w:r>
    </w:p>
    <w:p w14:paraId="408F640A" w14:textId="08FE5154" w:rsidR="003C4619" w:rsidRPr="003C4619" w:rsidRDefault="005F0B26" w:rsidP="0031289D">
      <w:pPr>
        <w:bidi/>
        <w:spacing w:after="240"/>
        <w:jc w:val="center"/>
        <w:rPr>
          <w:rFonts w:ascii="Arabic Typesetting" w:hAnsi="Arabic Typesetting" w:cs="Arabic Typesetting"/>
          <w:sz w:val="36"/>
          <w:szCs w:val="36"/>
          <w:rtl/>
          <w:lang w:bidi="ar-EG"/>
        </w:rPr>
      </w:pPr>
      <w:r>
        <w:rPr>
          <w:rFonts w:ascii="Arabic Typesetting" w:hAnsi="Arabic Typesetting" w:cs="Arabic Typesetting"/>
          <w:noProof/>
          <w:sz w:val="36"/>
          <w:szCs w:val="36"/>
        </w:rPr>
        <w:drawing>
          <wp:inline distT="0" distB="0" distL="0" distR="0" wp14:anchorId="7245E112" wp14:editId="6A4E67E8">
            <wp:extent cx="5396927" cy="3800475"/>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3106" cy="3804826"/>
                    </a:xfrm>
                    <a:prstGeom prst="rect">
                      <a:avLst/>
                    </a:prstGeom>
                    <a:noFill/>
                  </pic:spPr>
                </pic:pic>
              </a:graphicData>
            </a:graphic>
          </wp:inline>
        </w:drawing>
      </w:r>
    </w:p>
    <w:p w14:paraId="228DD7F2" w14:textId="77777777" w:rsidR="003C4619" w:rsidRPr="003C4619" w:rsidRDefault="003C4619" w:rsidP="00D94CDB">
      <w:pPr>
        <w:numPr>
          <w:ilvl w:val="0"/>
          <w:numId w:val="68"/>
        </w:numPr>
        <w:bidi/>
        <w:spacing w:after="240" w:line="340" w:lineRule="exact"/>
        <w:ind w:left="567" w:hanging="567"/>
        <w:rPr>
          <w:rFonts w:ascii="Arabic Typesetting" w:hAnsi="Arabic Typesetting" w:cs="Arabic Typesetting"/>
          <w:sz w:val="34"/>
          <w:szCs w:val="34"/>
          <w:lang w:bidi="ar"/>
        </w:rPr>
      </w:pPr>
      <w:r w:rsidRPr="003C4619">
        <w:rPr>
          <w:rFonts w:ascii="Arabic Typesetting" w:hAnsi="Arabic Typesetting" w:cs="Arabic Typesetting"/>
          <w:sz w:val="34"/>
          <w:szCs w:val="34"/>
          <w:rtl/>
        </w:rPr>
        <w:t xml:space="preserve">وفي عام </w:t>
      </w:r>
      <w:r w:rsidRPr="003C4619">
        <w:rPr>
          <w:rFonts w:ascii="Arabic Typesetting" w:hAnsi="Arabic Typesetting" w:cs="Arabic Typesetting"/>
          <w:sz w:val="34"/>
          <w:szCs w:val="34"/>
          <w:rtl/>
          <w:lang w:bidi="ar"/>
        </w:rPr>
        <w:t>2016</w:t>
      </w:r>
      <w:r w:rsidRPr="003C4619">
        <w:rPr>
          <w:rFonts w:ascii="Arabic Typesetting" w:hAnsi="Arabic Typesetting" w:cs="Arabic Typesetting"/>
          <w:sz w:val="34"/>
          <w:szCs w:val="34"/>
          <w:rtl/>
        </w:rPr>
        <w:t xml:space="preserve">، </w:t>
      </w:r>
      <w:r w:rsidRPr="003C4619">
        <w:rPr>
          <w:rFonts w:ascii="Arabic Typesetting" w:hAnsi="Arabic Typesetting" w:cs="Arabic Typesetting" w:hint="cs"/>
          <w:sz w:val="34"/>
          <w:szCs w:val="34"/>
          <w:rtl/>
        </w:rPr>
        <w:t>تم ال</w:t>
      </w:r>
      <w:r w:rsidRPr="003C4619">
        <w:rPr>
          <w:rFonts w:ascii="Arabic Typesetting" w:hAnsi="Arabic Typesetting" w:cs="Arabic Typesetting"/>
          <w:sz w:val="34"/>
          <w:szCs w:val="34"/>
          <w:rtl/>
        </w:rPr>
        <w:t xml:space="preserve">ربط </w:t>
      </w:r>
      <w:r w:rsidRPr="003C4619">
        <w:rPr>
          <w:rFonts w:ascii="Arabic Typesetting" w:hAnsi="Arabic Typesetting" w:cs="Arabic Typesetting" w:hint="cs"/>
          <w:sz w:val="34"/>
          <w:szCs w:val="34"/>
          <w:rtl/>
        </w:rPr>
        <w:t>بصورة كاملة بين</w:t>
      </w:r>
      <w:r w:rsidRPr="003C4619">
        <w:rPr>
          <w:rFonts w:ascii="Arabic Typesetting" w:hAnsi="Arabic Typesetting" w:cs="Arabic Typesetting"/>
          <w:sz w:val="34"/>
          <w:szCs w:val="34"/>
          <w:rtl/>
        </w:rPr>
        <w:t xml:space="preserve"> شبكة نظام النفاذ المركزي إلى البحث والفحص التابعة للويبو </w:t>
      </w:r>
      <w:r w:rsidRPr="003C4619">
        <w:rPr>
          <w:rFonts w:ascii="Arabic Typesetting" w:hAnsi="Arabic Typesetting" w:cs="Arabic Typesetting"/>
          <w:sz w:val="34"/>
          <w:szCs w:val="34"/>
          <w:rtl/>
          <w:lang w:bidi="ar"/>
        </w:rPr>
        <w:t>(</w:t>
      </w:r>
      <w:r w:rsidRPr="003C4619">
        <w:rPr>
          <w:rFonts w:ascii="Arabic Typesetting" w:hAnsi="Arabic Typesetting" w:cs="Arabic Typesetting"/>
          <w:sz w:val="34"/>
          <w:szCs w:val="34"/>
          <w:rtl/>
        </w:rPr>
        <w:t>ويبو كيس</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ملف البوابة الواحدة للمكاتب الأوروبية للبراءات ومكتب اليابان للبراءات والمكتب الكوري للملكية الفكرية و</w:t>
      </w:r>
      <w:r w:rsidRPr="003C4619">
        <w:rPr>
          <w:rFonts w:ascii="Arabic Typesetting" w:hAnsi="Arabic Typesetting" w:cs="Arabic Typesetting" w:hint="cs"/>
          <w:sz w:val="34"/>
          <w:szCs w:val="34"/>
          <w:rtl/>
        </w:rPr>
        <w:t>ال</w:t>
      </w:r>
      <w:r w:rsidRPr="003C4619">
        <w:rPr>
          <w:rFonts w:ascii="Arabic Typesetting" w:hAnsi="Arabic Typesetting" w:cs="Arabic Typesetting"/>
          <w:sz w:val="34"/>
          <w:szCs w:val="34"/>
          <w:rtl/>
        </w:rPr>
        <w:t xml:space="preserve">مكتب </w:t>
      </w:r>
      <w:r w:rsidRPr="003C4619">
        <w:rPr>
          <w:rFonts w:ascii="Arabic Typesetting" w:hAnsi="Arabic Typesetting" w:cs="Arabic Typesetting" w:hint="cs"/>
          <w:sz w:val="34"/>
          <w:szCs w:val="34"/>
          <w:rtl/>
        </w:rPr>
        <w:t>الحكومي</w:t>
      </w:r>
      <w:r w:rsidRPr="003C4619">
        <w:rPr>
          <w:rFonts w:ascii="Arabic Typesetting" w:hAnsi="Arabic Typesetting" w:cs="Arabic Typesetting"/>
          <w:sz w:val="34"/>
          <w:szCs w:val="34"/>
          <w:rtl/>
        </w:rPr>
        <w:t xml:space="preserve"> الصين</w:t>
      </w:r>
      <w:r w:rsidRPr="003C4619">
        <w:rPr>
          <w:rFonts w:ascii="Arabic Typesetting" w:hAnsi="Arabic Typesetting" w:cs="Arabic Typesetting" w:hint="cs"/>
          <w:sz w:val="34"/>
          <w:szCs w:val="34"/>
          <w:rtl/>
        </w:rPr>
        <w:t>ي</w:t>
      </w:r>
      <w:r w:rsidRPr="003C4619">
        <w:rPr>
          <w:rFonts w:ascii="Arabic Typesetting" w:hAnsi="Arabic Typesetting" w:cs="Arabic Typesetting"/>
          <w:sz w:val="34"/>
          <w:szCs w:val="34"/>
          <w:rtl/>
        </w:rPr>
        <w:t xml:space="preserve"> للملكية الفكرية </w:t>
      </w:r>
      <w:r w:rsidRPr="003C4619">
        <w:rPr>
          <w:rFonts w:ascii="Arabic Typesetting" w:hAnsi="Arabic Typesetting" w:cs="Arabic Typesetting" w:hint="cs"/>
          <w:sz w:val="34"/>
          <w:szCs w:val="34"/>
          <w:rtl/>
        </w:rPr>
        <w:t>و</w:t>
      </w:r>
      <w:r w:rsidRPr="003C4619">
        <w:rPr>
          <w:rFonts w:ascii="Arabic Typesetting" w:hAnsi="Arabic Typesetting" w:cs="Arabic Typesetting"/>
          <w:sz w:val="34"/>
          <w:szCs w:val="34"/>
          <w:rtl/>
        </w:rPr>
        <w:t xml:space="preserve">مكتب الولايات المتحدة </w:t>
      </w:r>
      <w:r w:rsidRPr="003C4619">
        <w:rPr>
          <w:rFonts w:ascii="Arabic Typesetting" w:hAnsi="Arabic Typesetting" w:cs="Arabic Typesetting" w:hint="cs"/>
          <w:sz w:val="34"/>
          <w:szCs w:val="34"/>
          <w:rtl/>
        </w:rPr>
        <w:t>لل</w:t>
      </w:r>
      <w:r w:rsidRPr="003C4619">
        <w:rPr>
          <w:rFonts w:ascii="Arabic Typesetting" w:hAnsi="Arabic Typesetting" w:cs="Arabic Typesetting"/>
          <w:sz w:val="34"/>
          <w:szCs w:val="34"/>
          <w:rtl/>
        </w:rPr>
        <w:t>براءات والعلامات التجارية</w:t>
      </w:r>
      <w:r w:rsidRPr="003C4619">
        <w:rPr>
          <w:rFonts w:ascii="Arabic Typesetting" w:hAnsi="Arabic Typesetting" w:cs="Arabic Typesetting"/>
          <w:sz w:val="34"/>
          <w:szCs w:val="34"/>
          <w:rtl/>
          <w:lang w:bidi="ar"/>
        </w:rPr>
        <w:t xml:space="preserve">. </w:t>
      </w:r>
      <w:r w:rsidRPr="003C4619">
        <w:rPr>
          <w:rFonts w:ascii="Arabic Typesetting" w:hAnsi="Arabic Typesetting" w:cs="Arabic Typesetting"/>
          <w:sz w:val="34"/>
          <w:szCs w:val="34"/>
          <w:rtl/>
        </w:rPr>
        <w:t>وازداد عدد المكاتب التي تستخدم</w:t>
      </w:r>
      <w:r w:rsidRPr="003C4619">
        <w:rPr>
          <w:rFonts w:ascii="Arabic Typesetting" w:hAnsi="Arabic Typesetting" w:cs="Arabic Typesetting" w:hint="cs"/>
          <w:sz w:val="34"/>
          <w:szCs w:val="34"/>
          <w:rtl/>
        </w:rPr>
        <w:t xml:space="preserve"> ناشر</w:t>
      </w:r>
      <w:r w:rsidRPr="003C4619">
        <w:rPr>
          <w:rFonts w:ascii="Arabic Typesetting" w:hAnsi="Arabic Typesetting" w:cs="Arabic Typesetting"/>
          <w:sz w:val="34"/>
          <w:szCs w:val="34"/>
          <w:rtl/>
        </w:rPr>
        <w:t xml:space="preserve"> الويبو </w:t>
      </w:r>
      <w:r w:rsidRPr="003C4619">
        <w:rPr>
          <w:rFonts w:ascii="Arabic Typesetting" w:hAnsi="Arabic Typesetting" w:cs="Arabic Typesetting"/>
          <w:sz w:val="34"/>
          <w:szCs w:val="34"/>
          <w:lang w:bidi="ar"/>
        </w:rPr>
        <w:t>WIPO Publish</w:t>
      </w:r>
      <w:r w:rsidRPr="003C4619">
        <w:rPr>
          <w:rFonts w:ascii="Arabic Typesetting" w:hAnsi="Arabic Typesetting" w:cs="Arabic Typesetting"/>
          <w:sz w:val="34"/>
          <w:szCs w:val="34"/>
          <w:rtl/>
        </w:rPr>
        <w:t>، والبرامج الحاسوبية، في جملة أمور</w:t>
      </w:r>
      <w:r w:rsidRPr="003C4619">
        <w:rPr>
          <w:rFonts w:ascii="Arabic Typesetting" w:hAnsi="Arabic Typesetting" w:cs="Arabic Typesetting" w:hint="cs"/>
          <w:sz w:val="34"/>
          <w:szCs w:val="34"/>
          <w:rtl/>
        </w:rPr>
        <w:t xml:space="preserve"> من بينها</w:t>
      </w:r>
      <w:r w:rsidRPr="003C4619">
        <w:rPr>
          <w:rFonts w:ascii="Arabic Typesetting" w:hAnsi="Arabic Typesetting" w:cs="Arabic Typesetting"/>
          <w:sz w:val="34"/>
          <w:szCs w:val="34"/>
          <w:rtl/>
        </w:rPr>
        <w:t>، دعم عمليات البحث والفحص الداخلي</w:t>
      </w:r>
      <w:r w:rsidRPr="003C4619">
        <w:rPr>
          <w:rFonts w:ascii="Arabic Typesetting" w:hAnsi="Arabic Typesetting" w:cs="Arabic Typesetting" w:hint="cs"/>
          <w:sz w:val="34"/>
          <w:szCs w:val="34"/>
          <w:rtl/>
        </w:rPr>
        <w:t>،</w:t>
      </w:r>
      <w:r w:rsidRPr="003C4619">
        <w:rPr>
          <w:rFonts w:ascii="Arabic Typesetting" w:hAnsi="Arabic Typesetting" w:cs="Arabic Typesetting"/>
          <w:sz w:val="34"/>
          <w:szCs w:val="34"/>
          <w:rtl/>
        </w:rPr>
        <w:t xml:space="preserve"> و </w:t>
      </w:r>
      <w:r w:rsidRPr="003C4619">
        <w:rPr>
          <w:rFonts w:ascii="Arabic Typesetting" w:hAnsi="Arabic Typesetting" w:cs="Arabic Typesetting" w:hint="cs"/>
          <w:sz w:val="34"/>
          <w:szCs w:val="34"/>
          <w:rtl/>
        </w:rPr>
        <w:t>إتاحة</w:t>
      </w:r>
      <w:r w:rsidRPr="003C4619">
        <w:rPr>
          <w:rFonts w:ascii="Arabic Typesetting" w:hAnsi="Arabic Typesetting" w:cs="Arabic Typesetting"/>
          <w:sz w:val="34"/>
          <w:szCs w:val="34"/>
          <w:rtl/>
        </w:rPr>
        <w:t xml:space="preserve"> البحث عبر الإنترنت للمستخدمين الخارجيين، إلى </w:t>
      </w:r>
      <w:r w:rsidRPr="003C4619">
        <w:rPr>
          <w:rFonts w:ascii="Arabic Typesetting" w:hAnsi="Arabic Typesetting" w:cs="Arabic Typesetting"/>
          <w:sz w:val="34"/>
          <w:szCs w:val="34"/>
          <w:rtl/>
          <w:lang w:bidi="ar"/>
        </w:rPr>
        <w:t xml:space="preserve">25 </w:t>
      </w:r>
      <w:r w:rsidRPr="003C4619">
        <w:rPr>
          <w:rFonts w:ascii="Arabic Typesetting" w:hAnsi="Arabic Typesetting" w:cs="Arabic Typesetting"/>
          <w:sz w:val="34"/>
          <w:szCs w:val="34"/>
          <w:rtl/>
        </w:rPr>
        <w:t xml:space="preserve">مكتبا في عام </w:t>
      </w:r>
      <w:r w:rsidRPr="003C4619">
        <w:rPr>
          <w:rFonts w:ascii="Arabic Typesetting" w:hAnsi="Arabic Typesetting" w:cs="Arabic Typesetting"/>
          <w:sz w:val="34"/>
          <w:szCs w:val="34"/>
          <w:rtl/>
          <w:lang w:bidi="ar"/>
        </w:rPr>
        <w:t xml:space="preserve">2016. </w:t>
      </w:r>
      <w:r w:rsidRPr="003C4619">
        <w:rPr>
          <w:rFonts w:ascii="Arabic Typesetting" w:hAnsi="Arabic Typesetting" w:cs="Arabic Typesetting"/>
          <w:sz w:val="34"/>
          <w:szCs w:val="34"/>
          <w:rtl/>
        </w:rPr>
        <w:t xml:space="preserve">وإضافة إلى ذلك، بدأت ستة مكاتب </w:t>
      </w:r>
      <w:r w:rsidRPr="003C4619">
        <w:rPr>
          <w:rFonts w:ascii="Arabic Typesetting" w:hAnsi="Arabic Typesetting" w:cs="Arabic Typesetting" w:hint="cs"/>
          <w:sz w:val="34"/>
          <w:szCs w:val="34"/>
          <w:rtl/>
        </w:rPr>
        <w:t>أخرى</w:t>
      </w:r>
      <w:r w:rsidRPr="003C4619">
        <w:rPr>
          <w:rFonts w:ascii="Arabic Typesetting" w:hAnsi="Arabic Typesetting" w:cs="Arabic Typesetting"/>
          <w:sz w:val="34"/>
          <w:szCs w:val="34"/>
          <w:rtl/>
        </w:rPr>
        <w:t xml:space="preserve"> في استخدام منصات البنية </w:t>
      </w:r>
      <w:r w:rsidRPr="003C4619">
        <w:rPr>
          <w:rFonts w:ascii="Arabic Typesetting" w:hAnsi="Arabic Typesetting" w:cs="Arabic Typesetting" w:hint="cs"/>
          <w:sz w:val="34"/>
          <w:szCs w:val="34"/>
          <w:rtl/>
        </w:rPr>
        <w:t>التحتية</w:t>
      </w:r>
      <w:r w:rsidRPr="003C4619">
        <w:rPr>
          <w:rFonts w:ascii="Arabic Typesetting" w:hAnsi="Arabic Typesetting" w:cs="Arabic Typesetting"/>
          <w:sz w:val="34"/>
          <w:szCs w:val="34"/>
          <w:rtl/>
        </w:rPr>
        <w:t xml:space="preserve"> للويبو</w:t>
      </w:r>
      <w:r w:rsidRPr="003C4619">
        <w:rPr>
          <w:rFonts w:ascii="Arabic Typesetting" w:hAnsi="Arabic Typesetting" w:cs="Arabic Typesetting"/>
          <w:sz w:val="34"/>
          <w:szCs w:val="34"/>
          <w:rtl/>
          <w:lang w:bidi="ar"/>
        </w:rPr>
        <w:t>.</w:t>
      </w:r>
    </w:p>
    <w:p w14:paraId="25927E33" w14:textId="1B5CE482" w:rsidR="00EF4EA0" w:rsidRPr="0034295A" w:rsidRDefault="003C4619" w:rsidP="00E62D9A">
      <w:pPr>
        <w:numPr>
          <w:ilvl w:val="0"/>
          <w:numId w:val="68"/>
        </w:numPr>
        <w:bidi/>
        <w:spacing w:after="240" w:line="340" w:lineRule="exact"/>
        <w:ind w:left="567" w:hanging="567"/>
        <w:rPr>
          <w:lang w:bidi="ar-EG"/>
        </w:rPr>
      </w:pPr>
      <w:r w:rsidRPr="0097248B">
        <w:rPr>
          <w:rFonts w:ascii="Arabic Typesetting" w:hAnsi="Arabic Typesetting" w:cs="Arabic Typesetting"/>
          <w:sz w:val="34"/>
          <w:szCs w:val="34"/>
          <w:rtl/>
        </w:rPr>
        <w:t xml:space="preserve">وقد </w:t>
      </w:r>
      <w:r w:rsidRPr="0097248B">
        <w:rPr>
          <w:rFonts w:ascii="Arabic Typesetting" w:hAnsi="Arabic Typesetting" w:cs="Arabic Typesetting" w:hint="cs"/>
          <w:sz w:val="34"/>
          <w:szCs w:val="34"/>
          <w:rtl/>
        </w:rPr>
        <w:t>حقق</w:t>
      </w:r>
      <w:r w:rsidRPr="0097248B">
        <w:rPr>
          <w:rFonts w:ascii="Arabic Typesetting" w:hAnsi="Arabic Typesetting" w:cs="Arabic Typesetting"/>
          <w:sz w:val="34"/>
          <w:szCs w:val="34"/>
          <w:rtl/>
          <w:lang w:bidi="ar"/>
        </w:rPr>
        <w:t xml:space="preserve"> "</w:t>
      </w:r>
      <w:r w:rsidRPr="0097248B">
        <w:rPr>
          <w:rFonts w:ascii="Arabic Typesetting" w:hAnsi="Arabic Typesetting" w:cs="Arabic Typesetting"/>
          <w:sz w:val="34"/>
          <w:szCs w:val="34"/>
          <w:rtl/>
        </w:rPr>
        <w:t xml:space="preserve">اتحاد الكتب الميسّرة </w:t>
      </w:r>
      <w:r w:rsidRPr="0097248B">
        <w:rPr>
          <w:rFonts w:ascii="Arabic Typesetting" w:hAnsi="Arabic Typesetting" w:cs="Arabic Typesetting"/>
          <w:sz w:val="34"/>
          <w:szCs w:val="34"/>
          <w:rtl/>
          <w:lang w:bidi="ar"/>
        </w:rPr>
        <w:t>(</w:t>
      </w:r>
      <w:r w:rsidRPr="0097248B">
        <w:rPr>
          <w:rFonts w:ascii="Arabic Typesetting" w:hAnsi="Arabic Typesetting" w:cs="Arabic Typesetting"/>
          <w:sz w:val="34"/>
          <w:szCs w:val="34"/>
          <w:lang w:bidi="ar"/>
        </w:rPr>
        <w:t>ABC</w:t>
      </w:r>
      <w:r w:rsidRPr="0097248B">
        <w:rPr>
          <w:rFonts w:ascii="Arabic Typesetting" w:hAnsi="Arabic Typesetting" w:cs="Arabic Typesetting"/>
          <w:sz w:val="34"/>
          <w:szCs w:val="34"/>
          <w:rtl/>
          <w:lang w:bidi="ar"/>
        </w:rPr>
        <w:t xml:space="preserve">) </w:t>
      </w:r>
      <w:r w:rsidRPr="0097248B">
        <w:rPr>
          <w:rFonts w:ascii="Arabic Typesetting" w:hAnsi="Arabic Typesetting" w:cs="Arabic Typesetting"/>
          <w:sz w:val="34"/>
          <w:szCs w:val="34"/>
          <w:rtl/>
        </w:rPr>
        <w:t xml:space="preserve">نتائج ممتازة في عام </w:t>
      </w:r>
      <w:r w:rsidRPr="0097248B">
        <w:rPr>
          <w:rFonts w:ascii="Arabic Typesetting" w:hAnsi="Arabic Typesetting" w:cs="Arabic Typesetting"/>
          <w:sz w:val="34"/>
          <w:szCs w:val="34"/>
          <w:rtl/>
          <w:lang w:bidi="ar"/>
        </w:rPr>
        <w:t>2016</w:t>
      </w:r>
      <w:r w:rsidRPr="0097248B">
        <w:rPr>
          <w:rFonts w:ascii="Arabic Typesetting" w:hAnsi="Arabic Typesetting" w:cs="Arabic Typesetting"/>
          <w:sz w:val="34"/>
          <w:szCs w:val="34"/>
          <w:rtl/>
        </w:rPr>
        <w:t xml:space="preserve">، </w:t>
      </w:r>
      <w:r w:rsidRPr="0097248B">
        <w:rPr>
          <w:rFonts w:ascii="Arabic Typesetting" w:hAnsi="Arabic Typesetting" w:cs="Arabic Typesetting" w:hint="cs"/>
          <w:sz w:val="34"/>
          <w:szCs w:val="34"/>
          <w:rtl/>
        </w:rPr>
        <w:t>وتم تقديم</w:t>
      </w:r>
      <w:r w:rsidRPr="0097248B">
        <w:rPr>
          <w:rFonts w:ascii="Arabic Typesetting" w:hAnsi="Arabic Typesetting" w:cs="Arabic Typesetting"/>
          <w:sz w:val="34"/>
          <w:szCs w:val="34"/>
          <w:rtl/>
          <w:lang w:bidi="ar"/>
        </w:rPr>
        <w:t xml:space="preserve"> 10 </w:t>
      </w:r>
      <w:r w:rsidRPr="0097248B">
        <w:rPr>
          <w:rFonts w:ascii="Arabic Typesetting" w:hAnsi="Arabic Typesetting" w:cs="Arabic Typesetting"/>
          <w:sz w:val="34"/>
          <w:szCs w:val="34"/>
          <w:rtl/>
        </w:rPr>
        <w:t xml:space="preserve">مكتبات جديدة للمكفوفين </w:t>
      </w:r>
      <w:r w:rsidRPr="0097248B">
        <w:rPr>
          <w:rFonts w:ascii="Arabic Typesetting" w:hAnsi="Arabic Typesetting" w:cs="Arabic Typesetting" w:hint="cs"/>
          <w:sz w:val="34"/>
          <w:szCs w:val="34"/>
          <w:rtl/>
        </w:rPr>
        <w:t>المشاركين في</w:t>
      </w:r>
      <w:r w:rsidRPr="0097248B">
        <w:rPr>
          <w:rFonts w:ascii="Arabic Typesetting" w:hAnsi="Arabic Typesetting" w:cs="Arabic Typesetting"/>
          <w:sz w:val="34"/>
          <w:szCs w:val="34"/>
          <w:rtl/>
        </w:rPr>
        <w:t xml:space="preserve"> خدمة الكتب التابعة لاتحاد الكتب الميسر</w:t>
      </w:r>
      <w:r w:rsidRPr="0097248B">
        <w:rPr>
          <w:rFonts w:ascii="Arabic Typesetting" w:hAnsi="Arabic Typesetting" w:cs="Arabic Typesetting" w:hint="cs"/>
          <w:sz w:val="34"/>
          <w:szCs w:val="34"/>
          <w:rtl/>
        </w:rPr>
        <w:t>ة</w:t>
      </w:r>
      <w:r w:rsidRPr="0097248B">
        <w:rPr>
          <w:rFonts w:ascii="Arabic Typesetting" w:hAnsi="Arabic Typesetting" w:cs="Arabic Typesetting"/>
          <w:sz w:val="34"/>
          <w:szCs w:val="34"/>
          <w:rtl/>
        </w:rPr>
        <w:t xml:space="preserve">، وهو فهرس دولي للكتب التي يمكن </w:t>
      </w:r>
      <w:r w:rsidRPr="0097248B">
        <w:rPr>
          <w:rFonts w:ascii="Arabic Typesetting" w:hAnsi="Arabic Typesetting" w:cs="Arabic Typesetting" w:hint="cs"/>
          <w:sz w:val="34"/>
          <w:szCs w:val="34"/>
          <w:rtl/>
        </w:rPr>
        <w:t>النفاذ</w:t>
      </w:r>
      <w:r w:rsidRPr="0097248B">
        <w:rPr>
          <w:rFonts w:ascii="Arabic Typesetting" w:hAnsi="Arabic Typesetting" w:cs="Arabic Typesetting"/>
          <w:sz w:val="34"/>
          <w:szCs w:val="34"/>
          <w:rtl/>
        </w:rPr>
        <w:t xml:space="preserve"> إليها</w:t>
      </w:r>
      <w:r w:rsidRPr="0097248B">
        <w:rPr>
          <w:rFonts w:ascii="Arabic Typesetting" w:hAnsi="Arabic Typesetting" w:cs="Arabic Typesetting"/>
          <w:sz w:val="34"/>
          <w:szCs w:val="34"/>
          <w:rtl/>
          <w:lang w:bidi="ar"/>
        </w:rPr>
        <w:t xml:space="preserve">. </w:t>
      </w:r>
      <w:r w:rsidRPr="0097248B">
        <w:rPr>
          <w:rFonts w:ascii="Arabic Typesetting" w:hAnsi="Arabic Typesetting" w:cs="Arabic Typesetting" w:hint="cs"/>
          <w:sz w:val="34"/>
          <w:szCs w:val="34"/>
          <w:rtl/>
        </w:rPr>
        <w:t xml:space="preserve">كما </w:t>
      </w:r>
      <w:r w:rsidRPr="0097248B">
        <w:rPr>
          <w:rFonts w:ascii="Arabic Typesetting" w:hAnsi="Arabic Typesetting" w:cs="Arabic Typesetting"/>
          <w:sz w:val="34"/>
          <w:szCs w:val="34"/>
          <w:rtl/>
        </w:rPr>
        <w:t>تم تقديم أكثر من</w:t>
      </w:r>
      <w:r w:rsidR="00D70D19">
        <w:rPr>
          <w:rFonts w:ascii="Arabic Typesetting" w:hAnsi="Arabic Typesetting" w:cs="Arabic Typesetting" w:hint="cs"/>
          <w:sz w:val="34"/>
          <w:szCs w:val="34"/>
          <w:rtl/>
        </w:rPr>
        <w:t xml:space="preserve"> </w:t>
      </w:r>
      <w:r w:rsidR="00D70D19" w:rsidRPr="001344B7">
        <w:rPr>
          <w:rFonts w:ascii="Arabic Typesetting" w:hAnsi="Arabic Typesetting" w:cs="Arabic Typesetting" w:hint="cs"/>
          <w:sz w:val="34"/>
          <w:szCs w:val="34"/>
          <w:rtl/>
        </w:rPr>
        <w:t>000</w:t>
      </w:r>
      <w:r w:rsidR="00E62D9A" w:rsidRPr="001344B7">
        <w:rPr>
          <w:rFonts w:ascii="Arabic Typesetting" w:hAnsi="Arabic Typesetting" w:cs="Arabic Typesetting" w:hint="eastAsia"/>
          <w:sz w:val="34"/>
          <w:szCs w:val="34"/>
          <w:rtl/>
        </w:rPr>
        <w:t> </w:t>
      </w:r>
      <w:r w:rsidR="00D70D19" w:rsidRPr="001344B7">
        <w:rPr>
          <w:rFonts w:ascii="Arabic Typesetting" w:hAnsi="Arabic Typesetting" w:cs="Arabic Typesetting" w:hint="cs"/>
          <w:sz w:val="34"/>
          <w:szCs w:val="34"/>
          <w:rtl/>
        </w:rPr>
        <w:t>100</w:t>
      </w:r>
      <w:r w:rsidR="00D70D19" w:rsidRPr="001344B7">
        <w:rPr>
          <w:rFonts w:ascii="Arabic Typesetting" w:hAnsi="Arabic Typesetting" w:cs="Arabic Typesetting" w:hint="cs"/>
          <w:sz w:val="34"/>
          <w:szCs w:val="34"/>
          <w:rtl/>
          <w:lang w:bidi="ar"/>
        </w:rPr>
        <w:t xml:space="preserve"> </w:t>
      </w:r>
      <w:r w:rsidRPr="001344B7">
        <w:rPr>
          <w:rFonts w:ascii="Arabic Typesetting" w:hAnsi="Arabic Typesetting" w:cs="Arabic Typesetting" w:hint="cs"/>
          <w:sz w:val="34"/>
          <w:szCs w:val="34"/>
          <w:rtl/>
        </w:rPr>
        <w:t>إعارة</w:t>
      </w:r>
      <w:r w:rsidRPr="0097248B">
        <w:rPr>
          <w:rFonts w:ascii="Arabic Typesetting" w:hAnsi="Arabic Typesetting" w:cs="Arabic Typesetting"/>
          <w:sz w:val="34"/>
          <w:szCs w:val="34"/>
          <w:rtl/>
          <w:lang w:bidi="ar"/>
        </w:rPr>
        <w:t xml:space="preserve"> </w:t>
      </w:r>
      <w:r w:rsidRPr="0097248B">
        <w:rPr>
          <w:rFonts w:ascii="Arabic Typesetting" w:hAnsi="Arabic Typesetting" w:cs="Arabic Typesetting" w:hint="cs"/>
          <w:sz w:val="34"/>
          <w:szCs w:val="34"/>
          <w:rtl/>
        </w:rPr>
        <w:t xml:space="preserve">من </w:t>
      </w:r>
      <w:r w:rsidRPr="0097248B">
        <w:rPr>
          <w:rFonts w:ascii="Arabic Typesetting" w:hAnsi="Arabic Typesetting" w:cs="Arabic Typesetting"/>
          <w:sz w:val="34"/>
          <w:szCs w:val="34"/>
          <w:rtl/>
        </w:rPr>
        <w:t xml:space="preserve">الكتب تم تحميلها من خلال </w:t>
      </w:r>
      <w:r w:rsidRPr="0097248B">
        <w:rPr>
          <w:rFonts w:ascii="Arabic Typesetting" w:hAnsi="Arabic Typesetting" w:cs="Arabic Typesetting" w:hint="cs"/>
          <w:sz w:val="34"/>
          <w:szCs w:val="34"/>
          <w:rtl/>
        </w:rPr>
        <w:t>هذه ال</w:t>
      </w:r>
      <w:r w:rsidRPr="0097248B">
        <w:rPr>
          <w:rFonts w:ascii="Arabic Typesetting" w:hAnsi="Arabic Typesetting" w:cs="Arabic Typesetting"/>
          <w:sz w:val="34"/>
          <w:szCs w:val="34"/>
          <w:rtl/>
        </w:rPr>
        <w:t>خدمة</w:t>
      </w:r>
      <w:r w:rsidRPr="0097248B">
        <w:rPr>
          <w:rFonts w:ascii="Arabic Typesetting" w:hAnsi="Arabic Typesetting" w:cs="Arabic Typesetting" w:hint="cs"/>
          <w:sz w:val="34"/>
          <w:szCs w:val="34"/>
          <w:rtl/>
        </w:rPr>
        <w:t xml:space="preserve"> ل</w:t>
      </w:r>
      <w:r w:rsidRPr="0097248B">
        <w:rPr>
          <w:rFonts w:ascii="Arabic Typesetting" w:hAnsi="Arabic Typesetting" w:cs="Arabic Typesetting"/>
          <w:sz w:val="34"/>
          <w:szCs w:val="34"/>
          <w:rtl/>
        </w:rPr>
        <w:t>ذوي الإعاق</w:t>
      </w:r>
      <w:r w:rsidRPr="0097248B">
        <w:rPr>
          <w:rFonts w:ascii="Arabic Typesetting" w:hAnsi="Arabic Typesetting" w:cs="Arabic Typesetting" w:hint="cs"/>
          <w:sz w:val="34"/>
          <w:szCs w:val="34"/>
          <w:rtl/>
        </w:rPr>
        <w:t>ات العاجزين عن قراءة</w:t>
      </w:r>
      <w:r w:rsidRPr="0097248B">
        <w:rPr>
          <w:rFonts w:ascii="Arabic Typesetting" w:hAnsi="Arabic Typesetting" w:cs="Arabic Typesetting"/>
          <w:sz w:val="34"/>
          <w:szCs w:val="34"/>
          <w:rtl/>
        </w:rPr>
        <w:t xml:space="preserve"> المطبوع</w:t>
      </w:r>
      <w:r w:rsidRPr="0097248B">
        <w:rPr>
          <w:rFonts w:ascii="Arabic Typesetting" w:hAnsi="Arabic Typesetting" w:cs="Arabic Typesetting" w:hint="cs"/>
          <w:sz w:val="34"/>
          <w:szCs w:val="34"/>
          <w:rtl/>
        </w:rPr>
        <w:t>ات</w:t>
      </w:r>
      <w:r w:rsidRPr="0097248B">
        <w:rPr>
          <w:rFonts w:ascii="Arabic Typesetting" w:hAnsi="Arabic Typesetting" w:cs="Arabic Typesetting"/>
          <w:sz w:val="34"/>
          <w:szCs w:val="34"/>
          <w:rtl/>
        </w:rPr>
        <w:t xml:space="preserve"> من خلال </w:t>
      </w:r>
      <w:r w:rsidRPr="0097248B">
        <w:rPr>
          <w:rFonts w:ascii="Arabic Typesetting" w:hAnsi="Arabic Typesetting" w:cs="Arabic Typesetting" w:hint="cs"/>
          <w:sz w:val="34"/>
          <w:szCs w:val="34"/>
          <w:rtl/>
        </w:rPr>
        <w:t xml:space="preserve">المشاركة في </w:t>
      </w:r>
      <w:r w:rsidRPr="0097248B">
        <w:rPr>
          <w:rFonts w:ascii="Arabic Typesetting" w:hAnsi="Arabic Typesetting" w:cs="Arabic Typesetting"/>
          <w:sz w:val="34"/>
          <w:szCs w:val="34"/>
          <w:rtl/>
        </w:rPr>
        <w:t>مكتبات ا</w:t>
      </w:r>
      <w:r w:rsidRPr="0097248B">
        <w:rPr>
          <w:rFonts w:ascii="Arabic Typesetting" w:hAnsi="Arabic Typesetting" w:cs="Arabic Typesetting" w:hint="cs"/>
          <w:sz w:val="34"/>
          <w:szCs w:val="34"/>
          <w:rtl/>
        </w:rPr>
        <w:t>لا</w:t>
      </w:r>
      <w:r w:rsidRPr="0097248B">
        <w:rPr>
          <w:rFonts w:ascii="Arabic Typesetting" w:hAnsi="Arabic Typesetting" w:cs="Arabic Typesetting"/>
          <w:sz w:val="34"/>
          <w:szCs w:val="34"/>
          <w:rtl/>
        </w:rPr>
        <w:t xml:space="preserve">تحاد، مما يمثل زيادة </w:t>
      </w:r>
      <w:r w:rsidRPr="0097248B">
        <w:rPr>
          <w:rFonts w:ascii="Arabic Typesetting" w:hAnsi="Arabic Typesetting" w:cs="Arabic Typesetting" w:hint="cs"/>
          <w:sz w:val="34"/>
          <w:szCs w:val="34"/>
          <w:rtl/>
        </w:rPr>
        <w:t>قدرها</w:t>
      </w:r>
      <w:r w:rsidRPr="0097248B">
        <w:rPr>
          <w:rFonts w:ascii="Arabic Typesetting" w:hAnsi="Arabic Typesetting" w:cs="Arabic Typesetting"/>
          <w:sz w:val="34"/>
          <w:szCs w:val="34"/>
          <w:rtl/>
          <w:lang w:bidi="ar"/>
        </w:rPr>
        <w:t xml:space="preserve"> 76 </w:t>
      </w:r>
      <w:r w:rsidRPr="0097248B">
        <w:rPr>
          <w:rFonts w:ascii="Arabic Typesetting" w:hAnsi="Arabic Typesetting" w:cs="Arabic Typesetting"/>
          <w:sz w:val="34"/>
          <w:szCs w:val="34"/>
          <w:rtl/>
        </w:rPr>
        <w:t>في الم</w:t>
      </w:r>
      <w:r w:rsidRPr="0097248B">
        <w:rPr>
          <w:rFonts w:ascii="Arabic Typesetting" w:hAnsi="Arabic Typesetting" w:cs="Arabic Typesetting" w:hint="cs"/>
          <w:sz w:val="34"/>
          <w:szCs w:val="34"/>
          <w:rtl/>
        </w:rPr>
        <w:t>ا</w:t>
      </w:r>
      <w:r w:rsidRPr="0097248B">
        <w:rPr>
          <w:rFonts w:ascii="Arabic Typesetting" w:hAnsi="Arabic Typesetting" w:cs="Arabic Typesetting"/>
          <w:sz w:val="34"/>
          <w:szCs w:val="34"/>
          <w:rtl/>
        </w:rPr>
        <w:t xml:space="preserve">ئة عن عام </w:t>
      </w:r>
      <w:r w:rsidRPr="0097248B">
        <w:rPr>
          <w:rFonts w:ascii="Arabic Typesetting" w:hAnsi="Arabic Typesetting" w:cs="Arabic Typesetting"/>
          <w:sz w:val="34"/>
          <w:szCs w:val="34"/>
          <w:rtl/>
          <w:lang w:bidi="ar"/>
        </w:rPr>
        <w:t xml:space="preserve">2015. </w:t>
      </w:r>
      <w:r w:rsidRPr="0097248B">
        <w:rPr>
          <w:rFonts w:ascii="Arabic Typesetting" w:hAnsi="Arabic Typesetting" w:cs="Arabic Typesetting" w:hint="cs"/>
          <w:sz w:val="34"/>
          <w:szCs w:val="34"/>
          <w:rtl/>
        </w:rPr>
        <w:t>و</w:t>
      </w:r>
      <w:r w:rsidRPr="0097248B">
        <w:rPr>
          <w:rFonts w:ascii="Arabic Typesetting" w:hAnsi="Arabic Typesetting" w:cs="Arabic Typesetting"/>
          <w:sz w:val="34"/>
          <w:szCs w:val="34"/>
          <w:rtl/>
        </w:rPr>
        <w:t xml:space="preserve">إضافة إلى ذلك، أصدر </w:t>
      </w:r>
      <w:r w:rsidRPr="0097248B">
        <w:rPr>
          <w:rFonts w:ascii="Arabic Typesetting" w:hAnsi="Arabic Typesetting" w:cs="Arabic Typesetting" w:hint="cs"/>
          <w:sz w:val="34"/>
          <w:szCs w:val="34"/>
          <w:rtl/>
        </w:rPr>
        <w:t>الاتحاد</w:t>
      </w:r>
      <w:r w:rsidRPr="0097248B">
        <w:rPr>
          <w:rFonts w:ascii="Arabic Typesetting" w:hAnsi="Arabic Typesetting" w:cs="Arabic Typesetting"/>
          <w:sz w:val="34"/>
          <w:szCs w:val="34"/>
          <w:rtl/>
          <w:lang w:bidi="ar"/>
        </w:rPr>
        <w:t xml:space="preserve"> "</w:t>
      </w:r>
      <w:r w:rsidRPr="0097248B">
        <w:rPr>
          <w:rFonts w:ascii="Arabic Typesetting" w:hAnsi="Arabic Typesetting" w:cs="Arabic Typesetting"/>
          <w:sz w:val="34"/>
          <w:szCs w:val="34"/>
          <w:rtl/>
        </w:rPr>
        <w:t>عُدة الانطلاق للنشر الميسر في البلدان النامية</w:t>
      </w:r>
      <w:r w:rsidR="00DF47AF">
        <w:rPr>
          <w:rFonts w:ascii="Arabic Typesetting" w:hAnsi="Arabic Typesetting" w:cs="Arabic Typesetting"/>
          <w:sz w:val="34"/>
          <w:szCs w:val="34"/>
          <w:rtl/>
        </w:rPr>
        <w:t xml:space="preserve"> </w:t>
      </w:r>
      <w:r w:rsidRPr="0097248B">
        <w:rPr>
          <w:rFonts w:ascii="Arabic Typesetting" w:hAnsi="Arabic Typesetting" w:cs="Arabic Typesetting" w:hint="cs"/>
          <w:sz w:val="34"/>
          <w:szCs w:val="34"/>
          <w:rtl/>
        </w:rPr>
        <w:t>والبلدان الأقل نموا</w:t>
      </w:r>
      <w:r w:rsidRPr="0097248B">
        <w:rPr>
          <w:rFonts w:ascii="Arabic Typesetting" w:hAnsi="Arabic Typesetting" w:cs="Arabic Typesetting"/>
          <w:sz w:val="34"/>
          <w:szCs w:val="34"/>
          <w:rtl/>
          <w:lang w:bidi="ar"/>
        </w:rPr>
        <w:t>"</w:t>
      </w:r>
      <w:r w:rsidRPr="0097248B">
        <w:rPr>
          <w:rFonts w:ascii="Arabic Typesetting" w:hAnsi="Arabic Typesetting" w:cs="Arabic Typesetting" w:hint="cs"/>
          <w:sz w:val="34"/>
          <w:szCs w:val="34"/>
          <w:rtl/>
        </w:rPr>
        <w:t>،</w:t>
      </w:r>
      <w:r w:rsidRPr="0097248B">
        <w:rPr>
          <w:rFonts w:ascii="Arabic Typesetting" w:hAnsi="Arabic Typesetting" w:cs="Arabic Typesetting"/>
          <w:sz w:val="34"/>
          <w:szCs w:val="34"/>
          <w:rtl/>
          <w:lang w:bidi="ar"/>
        </w:rPr>
        <w:t xml:space="preserve"> </w:t>
      </w:r>
      <w:r w:rsidRPr="0097248B">
        <w:rPr>
          <w:rFonts w:ascii="Arabic Typesetting" w:hAnsi="Arabic Typesetting" w:cs="Arabic Typesetting" w:hint="cs"/>
          <w:sz w:val="34"/>
          <w:szCs w:val="34"/>
          <w:rtl/>
        </w:rPr>
        <w:t xml:space="preserve">وأيضا </w:t>
      </w:r>
      <w:r w:rsidRPr="0097248B">
        <w:rPr>
          <w:rFonts w:ascii="Arabic Typesetting" w:hAnsi="Arabic Typesetting" w:cs="Arabic Typesetting"/>
          <w:sz w:val="34"/>
          <w:szCs w:val="34"/>
          <w:rtl/>
          <w:lang w:bidi="ar"/>
        </w:rPr>
        <w:t>"</w:t>
      </w:r>
      <w:r w:rsidRPr="0097248B">
        <w:rPr>
          <w:rFonts w:ascii="Arabic Typesetting" w:hAnsi="Arabic Typesetting" w:cs="Arabic Typesetting"/>
          <w:sz w:val="34"/>
          <w:szCs w:val="34"/>
          <w:rtl/>
        </w:rPr>
        <w:t xml:space="preserve">المبادئ التوجيهية </w:t>
      </w:r>
      <w:r w:rsidRPr="0097248B">
        <w:rPr>
          <w:rFonts w:ascii="Arabic Typesetting" w:hAnsi="Arabic Typesetting" w:cs="Arabic Typesetting" w:hint="cs"/>
          <w:sz w:val="34"/>
          <w:szCs w:val="34"/>
          <w:rtl/>
        </w:rPr>
        <w:t>للنفاذ الميسر لاتحاد الكتب الميسرة</w:t>
      </w:r>
      <w:r w:rsidRPr="0097248B">
        <w:rPr>
          <w:rFonts w:ascii="Arabic Typesetting" w:hAnsi="Arabic Typesetting" w:cs="Arabic Typesetting"/>
          <w:sz w:val="34"/>
          <w:szCs w:val="34"/>
          <w:rtl/>
        </w:rPr>
        <w:t xml:space="preserve"> لفائدة المؤلفين ذاتيي النشر</w:t>
      </w:r>
      <w:r w:rsidRPr="0097248B">
        <w:rPr>
          <w:rFonts w:ascii="Arabic Typesetting" w:hAnsi="Arabic Typesetting" w:cs="Arabic Typesetting" w:hint="cs"/>
          <w:sz w:val="34"/>
          <w:szCs w:val="34"/>
          <w:rtl/>
          <w:lang w:bidi="ar"/>
        </w:rPr>
        <w:t>"</w:t>
      </w:r>
      <w:r w:rsidRPr="0097248B">
        <w:rPr>
          <w:rFonts w:ascii="Arabic Typesetting" w:hAnsi="Arabic Typesetting" w:cs="Arabic Typesetting"/>
          <w:sz w:val="34"/>
          <w:szCs w:val="34"/>
          <w:rtl/>
          <w:lang w:bidi="ar"/>
        </w:rPr>
        <w:t>.</w:t>
      </w:r>
    </w:p>
    <w:p w14:paraId="782E07C8" w14:textId="7F9B794D" w:rsidR="0034295A" w:rsidRPr="0025268B" w:rsidRDefault="00121288" w:rsidP="0034295A">
      <w:pPr>
        <w:pStyle w:val="Heading2AR"/>
        <w:rPr>
          <w:iCs/>
          <w:rtl/>
        </w:rPr>
      </w:pPr>
      <w:r>
        <w:rPr>
          <w:rtl/>
          <w:lang w:eastAsia="ar"/>
        </w:rPr>
        <w:lastRenderedPageBreak/>
        <w:t>الهدف الاستراتيجي الخامس</w:t>
      </w:r>
      <w:r>
        <w:rPr>
          <w:rFonts w:hint="cs"/>
          <w:rtl/>
          <w:lang w:eastAsia="ar"/>
        </w:rPr>
        <w:t xml:space="preserve"> -</w:t>
      </w:r>
      <w:r w:rsidR="0034295A">
        <w:rPr>
          <w:rtl/>
          <w:lang w:eastAsia="ar"/>
        </w:rPr>
        <w:t xml:space="preserve"> </w:t>
      </w:r>
      <w:r w:rsidR="0034295A" w:rsidRPr="008869AE">
        <w:rPr>
          <w:rtl/>
          <w:lang w:eastAsia="ar"/>
        </w:rPr>
        <w:t>المصدر العالمي لمراجع المعلومات والدراسات المتعلقة بالملكية الفكرية</w:t>
      </w:r>
    </w:p>
    <w:p w14:paraId="18ED7793" w14:textId="1DD7DA2D" w:rsidR="0034295A" w:rsidRPr="00A178B6" w:rsidRDefault="00D86F42" w:rsidP="0034295A">
      <w:pPr>
        <w:keepNext/>
        <w:keepLines/>
        <w:bidi/>
        <w:jc w:val="center"/>
        <w:rPr>
          <w:sz w:val="18"/>
          <w:szCs w:val="18"/>
          <w:rtl/>
        </w:rPr>
      </w:pPr>
      <w:r>
        <w:rPr>
          <w:noProof/>
          <w:sz w:val="18"/>
          <w:szCs w:val="18"/>
        </w:rPr>
        <w:drawing>
          <wp:inline distT="0" distB="0" distL="0" distR="0" wp14:anchorId="6F2E9604" wp14:editId="17631B3A">
            <wp:extent cx="3568240" cy="216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8240" cy="2160000"/>
                    </a:xfrm>
                    <a:prstGeom prst="rect">
                      <a:avLst/>
                    </a:prstGeom>
                    <a:noFill/>
                  </pic:spPr>
                </pic:pic>
              </a:graphicData>
            </a:graphic>
          </wp:inline>
        </w:drawing>
      </w:r>
    </w:p>
    <w:p w14:paraId="6910F5E0" w14:textId="59BC98D8" w:rsidR="0034295A" w:rsidRPr="0034295A" w:rsidRDefault="0034295A" w:rsidP="00D94CDB">
      <w:pPr>
        <w:pStyle w:val="ListParagraph"/>
        <w:numPr>
          <w:ilvl w:val="0"/>
          <w:numId w:val="106"/>
        </w:numPr>
        <w:bidi/>
        <w:spacing w:after="120"/>
        <w:contextualSpacing w:val="0"/>
        <w:jc w:val="both"/>
        <w:rPr>
          <w:rFonts w:ascii="Arabic Typesetting" w:hAnsi="Arabic Typesetting" w:cs="Arabic Typesetting"/>
          <w:sz w:val="34"/>
          <w:szCs w:val="34"/>
          <w:rtl/>
          <w:lang w:bidi="ar"/>
        </w:rPr>
      </w:pPr>
      <w:r w:rsidRPr="0034295A">
        <w:rPr>
          <w:rFonts w:ascii="Arabic Typesetting" w:hAnsi="Arabic Typesetting" w:cs="Arabic Typesetting"/>
          <w:sz w:val="34"/>
          <w:szCs w:val="34"/>
          <w:rtl/>
        </w:rPr>
        <w:t xml:space="preserve">واصلت أعمال الويبو في مجال التحليل الاقتصادي إحراز تقدم كبير في عام </w:t>
      </w:r>
      <w:r w:rsidRPr="0034295A">
        <w:rPr>
          <w:rFonts w:ascii="Arabic Typesetting" w:hAnsi="Arabic Typesetting" w:cs="Arabic Typesetting"/>
          <w:sz w:val="34"/>
          <w:szCs w:val="34"/>
          <w:rtl/>
          <w:lang w:bidi="ar"/>
        </w:rPr>
        <w:t xml:space="preserve">2016 </w:t>
      </w:r>
      <w:r w:rsidRPr="0034295A">
        <w:rPr>
          <w:rFonts w:ascii="Arabic Typesetting" w:hAnsi="Arabic Typesetting" w:cs="Arabic Typesetting"/>
          <w:sz w:val="34"/>
          <w:szCs w:val="34"/>
          <w:rtl/>
        </w:rPr>
        <w:t>صوب تحقيق هدفها المتمثِّل في تعزيز التحليل العالي الجودة لمواجهة التحديات الاقتصادية في نظام الملكية الفكرية الدولي وتقييم الآثار الاقتصادية المترتبة على خيارات السياسة العامة في ميدان الملكية الفكرية</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 xml:space="preserve">وجاء إصدار مؤشر الابتكار العالمي لعام </w:t>
      </w:r>
      <w:r w:rsidRPr="0034295A">
        <w:rPr>
          <w:rFonts w:ascii="Arabic Typesetting" w:hAnsi="Arabic Typesetting" w:cs="Arabic Typesetting"/>
          <w:sz w:val="34"/>
          <w:szCs w:val="34"/>
          <w:rtl/>
          <w:lang w:bidi="ar"/>
        </w:rPr>
        <w:t xml:space="preserve">2016 </w:t>
      </w:r>
      <w:r w:rsidRPr="0034295A">
        <w:rPr>
          <w:rFonts w:ascii="Arabic Typesetting" w:hAnsi="Arabic Typesetting" w:cs="Arabic Typesetting"/>
          <w:sz w:val="34"/>
          <w:szCs w:val="34"/>
          <w:rtl/>
        </w:rPr>
        <w:t>ليواصل تحقيق مستويات جديدة ونطاق</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أوسع من التغطية في وسائل الإعلام الإخبارية ووسائل التواصل الاجتماعي مقارنة بالأعوام السابقة</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ويُنشر مؤشر الابتكار العالمي بالاشتراك مع جامعة كورنيل والمعهد الأوروبي لإدارة الأعمال، وقد صار مصدر</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مرجعيّ</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معروف</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تستعين به الجهات المعنية بالابتكار في جميع أنحاء العالم، كما يتبيَّن من الاستشهادات والاستفسارات عن البيانات وطلبات الخدمات الاستشارية</w:t>
      </w:r>
      <w:r w:rsidRPr="0034295A">
        <w:rPr>
          <w:rFonts w:ascii="Arabic Typesetting" w:hAnsi="Arabic Typesetting" w:cs="Arabic Typesetting"/>
          <w:sz w:val="34"/>
          <w:szCs w:val="34"/>
          <w:rtl/>
          <w:lang w:bidi="ar"/>
        </w:rPr>
        <w:t>.</w:t>
      </w:r>
    </w:p>
    <w:p w14:paraId="4AB58A69" w14:textId="34E9F7DF" w:rsidR="0034295A" w:rsidRPr="0034295A" w:rsidRDefault="0034295A" w:rsidP="00D94CDB">
      <w:pPr>
        <w:pStyle w:val="ListParagraph"/>
        <w:numPr>
          <w:ilvl w:val="0"/>
          <w:numId w:val="106"/>
        </w:numPr>
        <w:bidi/>
        <w:spacing w:after="120"/>
        <w:contextualSpacing w:val="0"/>
        <w:jc w:val="both"/>
        <w:rPr>
          <w:rFonts w:ascii="Arabic Typesetting" w:hAnsi="Arabic Typesetting" w:cs="Arabic Typesetting"/>
          <w:sz w:val="34"/>
          <w:szCs w:val="34"/>
          <w:rtl/>
          <w:lang w:bidi="ar"/>
        </w:rPr>
      </w:pPr>
      <w:r w:rsidRPr="0034295A">
        <w:rPr>
          <w:rFonts w:ascii="Arabic Typesetting" w:hAnsi="Arabic Typesetting" w:cs="Arabic Typesetting"/>
          <w:sz w:val="34"/>
          <w:szCs w:val="34"/>
          <w:rtl/>
        </w:rPr>
        <w:t xml:space="preserve">وشهد عام </w:t>
      </w:r>
      <w:r w:rsidRPr="0034295A">
        <w:rPr>
          <w:rFonts w:ascii="Arabic Typesetting" w:hAnsi="Arabic Typesetting" w:cs="Arabic Typesetting"/>
          <w:sz w:val="34"/>
          <w:szCs w:val="34"/>
          <w:rtl/>
          <w:lang w:bidi="ar"/>
        </w:rPr>
        <w:t xml:space="preserve">2016 </w:t>
      </w:r>
      <w:r w:rsidRPr="0034295A">
        <w:rPr>
          <w:rFonts w:ascii="Arabic Typesetting" w:hAnsi="Arabic Typesetting" w:cs="Arabic Typesetting"/>
          <w:sz w:val="34"/>
          <w:szCs w:val="34"/>
          <w:rtl/>
        </w:rPr>
        <w:t xml:space="preserve">التوسُّع في نطاق تغطية استقصاء الويبو الإحصائي السنوي ليشمل </w:t>
      </w:r>
      <w:r w:rsidRPr="0034295A">
        <w:rPr>
          <w:rFonts w:ascii="Arabic Typesetting" w:hAnsi="Arabic Typesetting" w:cs="Arabic Typesetting"/>
          <w:sz w:val="34"/>
          <w:szCs w:val="34"/>
          <w:rtl/>
          <w:lang w:bidi="ar"/>
        </w:rPr>
        <w:t xml:space="preserve">131 </w:t>
      </w:r>
      <w:r w:rsidRPr="0034295A">
        <w:rPr>
          <w:rFonts w:ascii="Arabic Typesetting" w:hAnsi="Arabic Typesetting" w:cs="Arabic Typesetting"/>
          <w:sz w:val="34"/>
          <w:szCs w:val="34"/>
          <w:rtl/>
        </w:rPr>
        <w:t>مكتب</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من مكاتب الملكية الفكرية الوطنية والإقليمية، ليتجاوز المتوسط البالغ </w:t>
      </w:r>
      <w:r w:rsidRPr="0034295A">
        <w:rPr>
          <w:rFonts w:ascii="Arabic Typesetting" w:hAnsi="Arabic Typesetting" w:cs="Arabic Typesetting"/>
          <w:sz w:val="34"/>
          <w:szCs w:val="34"/>
          <w:rtl/>
          <w:lang w:bidi="ar"/>
        </w:rPr>
        <w:t xml:space="preserve">127 </w:t>
      </w:r>
      <w:r w:rsidRPr="0034295A">
        <w:rPr>
          <w:rFonts w:ascii="Arabic Typesetting" w:hAnsi="Arabic Typesetting" w:cs="Arabic Typesetting"/>
          <w:sz w:val="34"/>
          <w:szCs w:val="34"/>
          <w:rtl/>
        </w:rPr>
        <w:t>مكتب</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في الثنائية </w:t>
      </w:r>
      <w:r w:rsidRPr="0034295A">
        <w:rPr>
          <w:rFonts w:ascii="Arabic Typesetting" w:hAnsi="Arabic Typesetting" w:cs="Arabic Typesetting"/>
          <w:sz w:val="34"/>
          <w:szCs w:val="34"/>
          <w:rtl/>
          <w:lang w:bidi="ar"/>
        </w:rPr>
        <w:t xml:space="preserve">2014/15. </w:t>
      </w:r>
      <w:r w:rsidRPr="0034295A">
        <w:rPr>
          <w:rFonts w:ascii="Arabic Typesetting" w:hAnsi="Arabic Typesetting" w:cs="Arabic Typesetting"/>
          <w:sz w:val="34"/>
          <w:szCs w:val="34"/>
          <w:rtl/>
        </w:rPr>
        <w:t xml:space="preserve">وكما جرت العادة خلال السنوات السابقة، أُتيحت مجموعات البيانات الإحصائية عبر طائفة من المنشورات والأدوات الشبكية </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ولا سيما تقرير مؤشرات الملكية الفكرية العالمية السنوية وتقرير الويبو بشأن حقائق وأرقام الملكية الفكرية؛ والاستعراضات السنوية لمعاهدة التعاون بشأن البراءات واتفاقي مدريد ولاهاي؛ ومركز البيانات الإحصائية للملكية الفكرية؛ والبيانات الإحصائية القطرية للملكية الفكرية</w:t>
      </w:r>
      <w:r w:rsidRPr="0034295A">
        <w:rPr>
          <w:rFonts w:ascii="Arabic Typesetting" w:hAnsi="Arabic Typesetting" w:cs="Arabic Typesetting"/>
          <w:sz w:val="34"/>
          <w:szCs w:val="34"/>
          <w:rtl/>
          <w:lang w:bidi="ar"/>
        </w:rPr>
        <w:t>.</w:t>
      </w:r>
    </w:p>
    <w:p w14:paraId="318BB789" w14:textId="6A2A93F8" w:rsidR="0034295A" w:rsidRPr="0034295A" w:rsidRDefault="0034295A" w:rsidP="00D94CDB">
      <w:pPr>
        <w:pStyle w:val="ListParagraph"/>
        <w:numPr>
          <w:ilvl w:val="0"/>
          <w:numId w:val="106"/>
        </w:numPr>
        <w:bidi/>
        <w:spacing w:after="120"/>
        <w:contextualSpacing w:val="0"/>
        <w:jc w:val="both"/>
        <w:rPr>
          <w:rFonts w:ascii="Arabic Typesetting" w:hAnsi="Arabic Typesetting" w:cs="Arabic Typesetting"/>
          <w:sz w:val="34"/>
          <w:szCs w:val="34"/>
          <w:rtl/>
          <w:lang w:bidi="ar"/>
        </w:rPr>
      </w:pPr>
      <w:r w:rsidRPr="0034295A">
        <w:rPr>
          <w:rFonts w:ascii="Arabic Typesetting" w:hAnsi="Arabic Typesetting" w:cs="Arabic Typesetting"/>
          <w:sz w:val="34"/>
          <w:szCs w:val="34"/>
          <w:rtl/>
        </w:rPr>
        <w:t>وأُحرز أيض</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تقدُّم كبير في تنفيذ الدراسات الاقتصادية، ويُتوخَّى الانتهاء من معظم هذه الدراسات في عام </w:t>
      </w:r>
      <w:r w:rsidRPr="0034295A">
        <w:rPr>
          <w:rFonts w:ascii="Arabic Typesetting" w:hAnsi="Arabic Typesetting" w:cs="Arabic Typesetting"/>
          <w:sz w:val="34"/>
          <w:szCs w:val="34"/>
          <w:rtl/>
          <w:lang w:bidi="ar"/>
        </w:rPr>
        <w:t>2017.</w:t>
      </w:r>
    </w:p>
    <w:p w14:paraId="7EBA9263" w14:textId="3937E4E7" w:rsidR="0034295A" w:rsidRDefault="00121288" w:rsidP="0034295A">
      <w:pPr>
        <w:pStyle w:val="Heading2AR"/>
        <w:rPr>
          <w:iCs/>
          <w:rtl/>
        </w:rPr>
      </w:pPr>
      <w:r>
        <w:rPr>
          <w:rtl/>
          <w:lang w:eastAsia="ar"/>
        </w:rPr>
        <w:lastRenderedPageBreak/>
        <w:t>الهدف الاستراتيجي السادس</w:t>
      </w:r>
      <w:r>
        <w:rPr>
          <w:rFonts w:hint="cs"/>
          <w:rtl/>
          <w:lang w:eastAsia="ar"/>
        </w:rPr>
        <w:t xml:space="preserve"> -</w:t>
      </w:r>
      <w:r w:rsidR="0034295A">
        <w:rPr>
          <w:rtl/>
          <w:lang w:eastAsia="ar"/>
        </w:rPr>
        <w:t xml:space="preserve"> </w:t>
      </w:r>
      <w:r w:rsidR="0034295A" w:rsidRPr="008869AE">
        <w:rPr>
          <w:rtl/>
          <w:lang w:eastAsia="ar"/>
        </w:rPr>
        <w:t>التعاون الدولي بشأن إذكاء الاحترام للملكية الفكرية</w:t>
      </w:r>
    </w:p>
    <w:p w14:paraId="4026DB38" w14:textId="15F647A7" w:rsidR="0034295A" w:rsidRDefault="00D86F42" w:rsidP="00D86F42">
      <w:pPr>
        <w:bidi/>
        <w:spacing w:after="120"/>
        <w:jc w:val="center"/>
        <w:rPr>
          <w:b/>
          <w:noProof/>
          <w:sz w:val="18"/>
          <w:szCs w:val="18"/>
          <w:rtl/>
        </w:rPr>
      </w:pPr>
      <w:r>
        <w:rPr>
          <w:b/>
          <w:noProof/>
          <w:sz w:val="18"/>
          <w:szCs w:val="18"/>
        </w:rPr>
        <w:drawing>
          <wp:inline distT="0" distB="0" distL="0" distR="0" wp14:anchorId="68594A3C" wp14:editId="5EFD0EFC">
            <wp:extent cx="3568240" cy="216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8240" cy="2160000"/>
                    </a:xfrm>
                    <a:prstGeom prst="rect">
                      <a:avLst/>
                    </a:prstGeom>
                    <a:noFill/>
                  </pic:spPr>
                </pic:pic>
              </a:graphicData>
            </a:graphic>
          </wp:inline>
        </w:drawing>
      </w:r>
    </w:p>
    <w:p w14:paraId="2DB4C7DD" w14:textId="605D5D83" w:rsidR="0034295A" w:rsidRPr="0034295A" w:rsidRDefault="0034295A" w:rsidP="00D94CDB">
      <w:pPr>
        <w:pStyle w:val="ListParagraph"/>
        <w:numPr>
          <w:ilvl w:val="0"/>
          <w:numId w:val="106"/>
        </w:numPr>
        <w:bidi/>
        <w:spacing w:after="120"/>
        <w:contextualSpacing w:val="0"/>
        <w:jc w:val="both"/>
        <w:rPr>
          <w:rFonts w:ascii="Arabic Typesetting" w:hAnsi="Arabic Typesetting" w:cs="Arabic Typesetting"/>
          <w:sz w:val="34"/>
          <w:szCs w:val="34"/>
          <w:rtl/>
          <w:lang w:bidi="ar"/>
        </w:rPr>
      </w:pPr>
      <w:r w:rsidRPr="0034295A">
        <w:rPr>
          <w:rFonts w:ascii="Arabic Typesetting" w:hAnsi="Arabic Typesetting" w:cs="Arabic Typesetting"/>
          <w:sz w:val="34"/>
          <w:szCs w:val="34"/>
          <w:rtl/>
        </w:rPr>
        <w:t xml:space="preserve">بغية إحراز تقدُّم في الحوار الدولي فيما بين الدول الأعضاء في الويبو بشأن السياسات العامة المتعلقة بإذكاء الاحترام للملكية الفكرية، شكَّلت الدورة الحادية عشرة للجنة الاستشارية المعنية بالإنفاذ </w:t>
      </w:r>
      <w:r w:rsidRPr="0034295A">
        <w:rPr>
          <w:rFonts w:ascii="Arabic Typesetting" w:hAnsi="Arabic Typesetting" w:cs="Arabic Typesetting"/>
          <w:sz w:val="34"/>
          <w:szCs w:val="34"/>
          <w:rtl/>
          <w:lang w:bidi="ar"/>
        </w:rPr>
        <w:t>(</w:t>
      </w:r>
      <w:r w:rsidRPr="0034295A">
        <w:rPr>
          <w:rFonts w:ascii="Arabic Typesetting" w:hAnsi="Arabic Typesetting" w:cs="Arabic Typesetting"/>
          <w:sz w:val="34"/>
          <w:szCs w:val="34"/>
          <w:rtl/>
        </w:rPr>
        <w:t xml:space="preserve">المعقودة في الفترة من </w:t>
      </w:r>
      <w:r w:rsidRPr="0034295A">
        <w:rPr>
          <w:rFonts w:ascii="Arabic Typesetting" w:hAnsi="Arabic Typesetting" w:cs="Arabic Typesetting"/>
          <w:sz w:val="34"/>
          <w:szCs w:val="34"/>
          <w:rtl/>
          <w:lang w:bidi="ar"/>
        </w:rPr>
        <w:t xml:space="preserve">5 </w:t>
      </w:r>
      <w:r w:rsidRPr="0034295A">
        <w:rPr>
          <w:rFonts w:ascii="Arabic Typesetting" w:hAnsi="Arabic Typesetting" w:cs="Arabic Typesetting"/>
          <w:sz w:val="34"/>
          <w:szCs w:val="34"/>
          <w:rtl/>
        </w:rPr>
        <w:t xml:space="preserve">إلى </w:t>
      </w:r>
      <w:r w:rsidRPr="0034295A">
        <w:rPr>
          <w:rFonts w:ascii="Arabic Typesetting" w:hAnsi="Arabic Typesetting" w:cs="Arabic Typesetting"/>
          <w:sz w:val="34"/>
          <w:szCs w:val="34"/>
          <w:rtl/>
          <w:lang w:bidi="ar"/>
        </w:rPr>
        <w:t xml:space="preserve">7 </w:t>
      </w:r>
      <w:r w:rsidRPr="0034295A">
        <w:rPr>
          <w:rFonts w:ascii="Arabic Typesetting" w:hAnsi="Arabic Typesetting" w:cs="Arabic Typesetting"/>
          <w:sz w:val="34"/>
          <w:szCs w:val="34"/>
          <w:rtl/>
        </w:rPr>
        <w:t xml:space="preserve">سبتمبر </w:t>
      </w:r>
      <w:r w:rsidRPr="0034295A">
        <w:rPr>
          <w:rFonts w:ascii="Arabic Typesetting" w:hAnsi="Arabic Typesetting" w:cs="Arabic Typesetting"/>
          <w:sz w:val="34"/>
          <w:szCs w:val="34"/>
          <w:rtl/>
          <w:lang w:bidi="ar"/>
        </w:rPr>
        <w:t xml:space="preserve">2016) </w:t>
      </w:r>
      <w:r w:rsidRPr="0034295A">
        <w:rPr>
          <w:rFonts w:ascii="Arabic Typesetting" w:hAnsi="Arabic Typesetting" w:cs="Arabic Typesetting"/>
          <w:sz w:val="34"/>
          <w:szCs w:val="34"/>
          <w:rtl/>
        </w:rPr>
        <w:t>محفل</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تبادلت فيه الدول الأعضاء المعلومات عن أنشطة إذكاء الوعي والحملات الاستراتيجية؛ والترتيبات المؤسسية المعنية بإنفاذ الملكية الفكرية؛ وأنشطة المساعدة التشريعية وبناء القدرات التي تضطلع بها الويبو</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وأسفرت العروض التي قدمها الخبراء وحلقات النقاش عن حوار ثري ومثمر</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وأُقيم بالاقتران مع الدورة الحادية عشرة معرضٌ للمواد السمعية البصرية حول احترام الملكية الفكرية والسياحة</w:t>
      </w:r>
      <w:r w:rsidRPr="0034295A">
        <w:rPr>
          <w:rFonts w:ascii="Arabic Typesetting" w:hAnsi="Arabic Typesetting" w:cs="Arabic Typesetting"/>
          <w:sz w:val="34"/>
          <w:szCs w:val="34"/>
          <w:rtl/>
          <w:lang w:bidi="ar"/>
        </w:rPr>
        <w:t xml:space="preserve">. </w:t>
      </w:r>
    </w:p>
    <w:p w14:paraId="0B643EEF" w14:textId="4336F538" w:rsidR="0034295A" w:rsidRPr="0034295A" w:rsidRDefault="0034295A" w:rsidP="00DF399F">
      <w:pPr>
        <w:pStyle w:val="ListParagraph"/>
        <w:numPr>
          <w:ilvl w:val="0"/>
          <w:numId w:val="106"/>
        </w:numPr>
        <w:bidi/>
        <w:spacing w:after="120"/>
        <w:contextualSpacing w:val="0"/>
        <w:jc w:val="both"/>
        <w:rPr>
          <w:rFonts w:ascii="Arabic Typesetting" w:hAnsi="Arabic Typesetting" w:cs="Arabic Typesetting"/>
          <w:sz w:val="34"/>
          <w:szCs w:val="34"/>
          <w:rtl/>
          <w:lang w:bidi="ar"/>
        </w:rPr>
      </w:pPr>
      <w:r w:rsidRPr="0034295A">
        <w:rPr>
          <w:rFonts w:ascii="Arabic Typesetting" w:hAnsi="Arabic Typesetting" w:cs="Arabic Typesetting"/>
          <w:sz w:val="34"/>
          <w:szCs w:val="34"/>
          <w:rtl/>
        </w:rPr>
        <w:t>ونظَّمت الويبو والحكومة الشعبية في بلدية شنغهاي، بدعم من المكتب الحكومي للملكية الفكرية في الصين، المؤتمر الدولي بشأن إذكاء الاحترام للملكية الفكرية، وجمع المؤتمر بين ممثلين رفيعي المستوى من الحكومة والقطاع الخاص، ووفَّر للمشاركين الفرصة لتقاسم الخبرات بشأن دور الملكية الفكرية في تحفيز الابتكار والدفع قُدُم</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بالتنمية والنمو</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 xml:space="preserve">وأكَّد المؤتمر، الذي عُقد في شنغهاي بالصين في </w:t>
      </w:r>
      <w:r w:rsidRPr="0034295A">
        <w:rPr>
          <w:rFonts w:ascii="Arabic Typesetting" w:hAnsi="Arabic Typesetting" w:cs="Arabic Typesetting"/>
          <w:sz w:val="34"/>
          <w:szCs w:val="34"/>
          <w:rtl/>
          <w:lang w:bidi="ar"/>
        </w:rPr>
        <w:t xml:space="preserve">17 </w:t>
      </w:r>
      <w:r w:rsidRPr="0034295A">
        <w:rPr>
          <w:rFonts w:ascii="Arabic Typesetting" w:hAnsi="Arabic Typesetting" w:cs="Arabic Typesetting"/>
          <w:sz w:val="34"/>
          <w:szCs w:val="34"/>
          <w:rtl/>
        </w:rPr>
        <w:t>و</w:t>
      </w:r>
      <w:r w:rsidRPr="0034295A">
        <w:rPr>
          <w:rFonts w:ascii="Arabic Typesetting" w:hAnsi="Arabic Typesetting" w:cs="Arabic Typesetting"/>
          <w:sz w:val="34"/>
          <w:szCs w:val="34"/>
          <w:rtl/>
          <w:lang w:bidi="ar"/>
        </w:rPr>
        <w:t xml:space="preserve">18 </w:t>
      </w:r>
      <w:r w:rsidRPr="0034295A">
        <w:rPr>
          <w:rFonts w:ascii="Arabic Typesetting" w:hAnsi="Arabic Typesetting" w:cs="Arabic Typesetting"/>
          <w:sz w:val="34"/>
          <w:szCs w:val="34"/>
          <w:rtl/>
        </w:rPr>
        <w:t xml:space="preserve">نوفمبر </w:t>
      </w:r>
      <w:r w:rsidRPr="0034295A">
        <w:rPr>
          <w:rFonts w:ascii="Arabic Typesetting" w:hAnsi="Arabic Typesetting" w:cs="Arabic Typesetting"/>
          <w:sz w:val="34"/>
          <w:szCs w:val="34"/>
          <w:rtl/>
          <w:lang w:bidi="ar"/>
        </w:rPr>
        <w:t>2016</w:t>
      </w:r>
      <w:r w:rsidRPr="0034295A">
        <w:rPr>
          <w:rFonts w:ascii="Arabic Typesetting" w:hAnsi="Arabic Typesetting" w:cs="Arabic Typesetting"/>
          <w:sz w:val="34"/>
          <w:szCs w:val="34"/>
          <w:rtl/>
        </w:rPr>
        <w:t>، الالتزام المشترك بمواصلة العمل على إذكاء الاحترام للملكية الفكرية عن طريق تقاسم المعلومات بشأن استراتيجيات إذكاء الوعي العام والمسائل المستجدة في الفصل في قضايا الملكية الفكرية والفقه القانوني ذي</w:t>
      </w:r>
      <w:r w:rsidR="00DF399F">
        <w:rPr>
          <w:rFonts w:ascii="Arabic Typesetting" w:hAnsi="Arabic Typesetting" w:cs="Arabic Typesetting" w:hint="cs"/>
          <w:sz w:val="34"/>
          <w:szCs w:val="34"/>
          <w:rtl/>
        </w:rPr>
        <w:t> </w:t>
      </w:r>
      <w:r w:rsidRPr="0034295A">
        <w:rPr>
          <w:rFonts w:ascii="Arabic Typesetting" w:hAnsi="Arabic Typesetting" w:cs="Arabic Typesetting"/>
          <w:sz w:val="34"/>
          <w:szCs w:val="34"/>
          <w:rtl/>
        </w:rPr>
        <w:t>الصلة</w:t>
      </w:r>
      <w:r w:rsidRPr="0034295A">
        <w:rPr>
          <w:rFonts w:ascii="Arabic Typesetting" w:hAnsi="Arabic Typesetting" w:cs="Arabic Typesetting"/>
          <w:sz w:val="34"/>
          <w:szCs w:val="34"/>
          <w:rtl/>
          <w:lang w:bidi="ar"/>
        </w:rPr>
        <w:t>.</w:t>
      </w:r>
    </w:p>
    <w:p w14:paraId="6294B71F" w14:textId="63DE2DDB" w:rsidR="0034295A" w:rsidRPr="0034295A" w:rsidRDefault="0034295A" w:rsidP="00D94CDB">
      <w:pPr>
        <w:pStyle w:val="ListParagraph"/>
        <w:numPr>
          <w:ilvl w:val="0"/>
          <w:numId w:val="106"/>
        </w:numPr>
        <w:bidi/>
        <w:spacing w:after="120"/>
        <w:contextualSpacing w:val="0"/>
        <w:jc w:val="both"/>
        <w:rPr>
          <w:rFonts w:ascii="Arabic Typesetting" w:hAnsi="Arabic Typesetting" w:cs="Arabic Typesetting"/>
          <w:sz w:val="34"/>
          <w:szCs w:val="34"/>
          <w:rtl/>
          <w:lang w:bidi="ar"/>
        </w:rPr>
      </w:pPr>
      <w:r w:rsidRPr="0034295A">
        <w:rPr>
          <w:rFonts w:ascii="Arabic Typesetting" w:hAnsi="Arabic Typesetting" w:cs="Arabic Typesetting"/>
          <w:sz w:val="34"/>
          <w:szCs w:val="34"/>
          <w:rtl/>
        </w:rPr>
        <w:t>وأخير</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حظي العمل الذي تضطلع به الويبو في وضع مفهوم متوازن لإذكاء الاحترام للملكية الفكرية، وفق</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للتوصية </w:t>
      </w:r>
      <w:r w:rsidRPr="0034295A">
        <w:rPr>
          <w:rFonts w:ascii="Arabic Typesetting" w:hAnsi="Arabic Typesetting" w:cs="Arabic Typesetting"/>
          <w:sz w:val="34"/>
          <w:szCs w:val="34"/>
          <w:rtl/>
          <w:lang w:bidi="ar"/>
        </w:rPr>
        <w:t xml:space="preserve">45 </w:t>
      </w:r>
      <w:r w:rsidRPr="0034295A">
        <w:rPr>
          <w:rFonts w:ascii="Arabic Typesetting" w:hAnsi="Arabic Typesetting" w:cs="Arabic Typesetting"/>
          <w:sz w:val="34"/>
          <w:szCs w:val="34"/>
          <w:rtl/>
        </w:rPr>
        <w:t xml:space="preserve">من التوصيات المعتمدة في إطار أجندة الويبو بشأن التنمية، وأنشطتها المتنوعة في بناء القدرات والمساعدة التقنية وتقاسم المعارف، والأهمية المتزايدة للجنة الاستشارية المعنية بالإنفاذ التابعة للويبو، بالتقدير من خلال حصول الويبو على جائزة مكافحة التزييف العالمية لعام </w:t>
      </w:r>
      <w:r w:rsidRPr="0034295A">
        <w:rPr>
          <w:rFonts w:ascii="Arabic Typesetting" w:hAnsi="Arabic Typesetting" w:cs="Arabic Typesetting"/>
          <w:sz w:val="34"/>
          <w:szCs w:val="34"/>
          <w:rtl/>
          <w:lang w:bidi="ar"/>
        </w:rPr>
        <w:t xml:space="preserve">2016 </w:t>
      </w:r>
      <w:r w:rsidRPr="0034295A">
        <w:rPr>
          <w:rFonts w:ascii="Arabic Typesetting" w:hAnsi="Arabic Typesetting" w:cs="Arabic Typesetting"/>
          <w:sz w:val="34"/>
          <w:szCs w:val="34"/>
          <w:rtl/>
        </w:rPr>
        <w:t>في فئة الهيئات العامة الدولية</w:t>
      </w:r>
      <w:r w:rsidRPr="0034295A">
        <w:rPr>
          <w:rFonts w:ascii="Arabic Typesetting" w:hAnsi="Arabic Typesetting" w:cs="Arabic Typesetting"/>
          <w:sz w:val="34"/>
          <w:szCs w:val="34"/>
          <w:rtl/>
          <w:lang w:bidi="ar"/>
        </w:rPr>
        <w:t>.</w:t>
      </w:r>
    </w:p>
    <w:p w14:paraId="7E41FFDE" w14:textId="53706156" w:rsidR="0034295A" w:rsidRPr="00F0504A" w:rsidRDefault="0034295A" w:rsidP="00121288">
      <w:pPr>
        <w:pStyle w:val="Heading2AR"/>
        <w:rPr>
          <w:iCs/>
          <w:rtl/>
        </w:rPr>
      </w:pPr>
      <w:r w:rsidRPr="00F0504A">
        <w:rPr>
          <w:rtl/>
          <w:lang w:eastAsia="ar"/>
        </w:rPr>
        <w:lastRenderedPageBreak/>
        <w:t>الهدف الاستراتيجي السابع</w:t>
      </w:r>
      <w:r w:rsidR="00121288">
        <w:rPr>
          <w:rFonts w:hint="cs"/>
          <w:rtl/>
          <w:lang w:eastAsia="ar"/>
        </w:rPr>
        <w:t xml:space="preserve"> -</w:t>
      </w:r>
      <w:r>
        <w:rPr>
          <w:rtl/>
          <w:lang w:eastAsia="ar"/>
        </w:rPr>
        <w:t xml:space="preserve"> </w:t>
      </w:r>
      <w:r w:rsidRPr="00F0504A">
        <w:rPr>
          <w:rtl/>
          <w:lang w:eastAsia="ar"/>
        </w:rPr>
        <w:t>الملكية الفكرية وقضايا السياسات العامة العالمية</w:t>
      </w:r>
    </w:p>
    <w:p w14:paraId="4501DF29" w14:textId="4C224E8B" w:rsidR="0034295A" w:rsidRPr="00613E9C" w:rsidRDefault="00D86F42" w:rsidP="0034295A">
      <w:pPr>
        <w:bidi/>
        <w:jc w:val="center"/>
        <w:rPr>
          <w:highlight w:val="yellow"/>
          <w:rtl/>
        </w:rPr>
      </w:pPr>
      <w:r w:rsidRPr="00D86F42">
        <w:rPr>
          <w:noProof/>
        </w:rPr>
        <w:drawing>
          <wp:inline distT="0" distB="0" distL="0" distR="0" wp14:anchorId="7E7FF4D8" wp14:editId="0100BC17">
            <wp:extent cx="3568240" cy="216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8240" cy="2160000"/>
                    </a:xfrm>
                    <a:prstGeom prst="rect">
                      <a:avLst/>
                    </a:prstGeom>
                    <a:noFill/>
                  </pic:spPr>
                </pic:pic>
              </a:graphicData>
            </a:graphic>
          </wp:inline>
        </w:drawing>
      </w:r>
    </w:p>
    <w:p w14:paraId="73DAF6F1" w14:textId="77777777" w:rsidR="0034295A" w:rsidRPr="0034295A" w:rsidRDefault="0034295A" w:rsidP="00DF399F">
      <w:pPr>
        <w:pStyle w:val="NumberedParaAR"/>
        <w:tabs>
          <w:tab w:val="clear" w:pos="567"/>
        </w:tabs>
        <w:spacing w:after="200" w:line="340" w:lineRule="exact"/>
        <w:rPr>
          <w:sz w:val="34"/>
          <w:szCs w:val="34"/>
          <w:rtl/>
        </w:rPr>
      </w:pPr>
      <w:r w:rsidRPr="0034295A">
        <w:rPr>
          <w:sz w:val="34"/>
          <w:szCs w:val="34"/>
          <w:rtl/>
        </w:rPr>
        <w:t>في هامش التقاطع بين القضايا العالمية المترابطة والملحة، ولا سيما قضايا الصحة العالمية وتغير المناخ والأمن الغذائي، استمر إحراز تقدم كبير في تحقيق فهم معمَّق لدى واضعي السياسات للعلاقة بين التحديات العالمية والابتكار والملكية الفكرية.</w:t>
      </w:r>
    </w:p>
    <w:p w14:paraId="6CB9253A" w14:textId="191E7160" w:rsidR="0034295A" w:rsidRPr="0034295A" w:rsidRDefault="0034295A" w:rsidP="00DF399F">
      <w:pPr>
        <w:pStyle w:val="ListParagraph"/>
        <w:numPr>
          <w:ilvl w:val="0"/>
          <w:numId w:val="106"/>
        </w:numPr>
        <w:bidi/>
        <w:spacing w:after="200" w:line="340" w:lineRule="exact"/>
        <w:contextualSpacing w:val="0"/>
        <w:jc w:val="both"/>
        <w:rPr>
          <w:rFonts w:ascii="Arabic Typesetting" w:hAnsi="Arabic Typesetting" w:cs="Arabic Typesetting"/>
          <w:sz w:val="34"/>
          <w:szCs w:val="34"/>
          <w:rtl/>
          <w:lang w:bidi="ar"/>
        </w:rPr>
      </w:pPr>
      <w:r w:rsidRPr="0034295A">
        <w:rPr>
          <w:rFonts w:ascii="Arabic Typesetting" w:hAnsi="Arabic Typesetting" w:cs="Arabic Typesetting"/>
          <w:sz w:val="34"/>
          <w:szCs w:val="34"/>
          <w:rtl/>
        </w:rPr>
        <w:t xml:space="preserve">تزايد الاعتراف بمشروع الويبو المتعلق بالبحث </w:t>
      </w:r>
      <w:r w:rsidRPr="0034295A">
        <w:rPr>
          <w:rFonts w:ascii="Arabic Typesetting" w:hAnsi="Arabic Typesetting" w:cs="Arabic Typesetting"/>
          <w:sz w:val="34"/>
          <w:szCs w:val="34"/>
          <w:rtl/>
          <w:lang w:bidi="ar"/>
        </w:rPr>
        <w:t>(</w:t>
      </w:r>
      <w:r w:rsidRPr="0034295A">
        <w:rPr>
          <w:rFonts w:ascii="Arabic Typesetting" w:hAnsi="Arabic Typesetting" w:cs="Arabic Typesetting"/>
          <w:sz w:val="34"/>
          <w:szCs w:val="34"/>
          <w:rtl/>
          <w:lang w:bidi="en-US"/>
        </w:rPr>
        <w:t>WIPO Re:Search</w:t>
      </w:r>
      <w:r w:rsidRPr="0034295A">
        <w:rPr>
          <w:rFonts w:ascii="Arabic Typesetting" w:hAnsi="Arabic Typesetting" w:cs="Arabic Typesetting"/>
          <w:sz w:val="34"/>
          <w:szCs w:val="34"/>
          <w:rtl/>
          <w:lang w:bidi="ar"/>
        </w:rPr>
        <w:t xml:space="preserve">) - </w:t>
      </w:r>
      <w:r w:rsidRPr="0034295A">
        <w:rPr>
          <w:rFonts w:ascii="Arabic Typesetting" w:hAnsi="Arabic Typesetting" w:cs="Arabic Typesetting"/>
          <w:sz w:val="34"/>
          <w:szCs w:val="34"/>
          <w:rtl/>
        </w:rPr>
        <w:t xml:space="preserve">تقاسم الابتكار في مكافحة الأمراض الاستوائية المهملة </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 xml:space="preserve">باعتباره منصة لدعم الابتكار والمعارف ونقل التكنولوجيا وبناء القدرات فيما يتعلق بالبحوث التي تتناول الأمراض الاستوائية المهملة والسل والملاريا، حيث حقَّق علامتين فارقتين في نفس الوقت بوصول عدد أعضائه إلى </w:t>
      </w:r>
      <w:r w:rsidRPr="0034295A">
        <w:rPr>
          <w:rFonts w:ascii="Arabic Typesetting" w:hAnsi="Arabic Typesetting" w:cs="Arabic Typesetting"/>
          <w:sz w:val="34"/>
          <w:szCs w:val="34"/>
          <w:rtl/>
          <w:lang w:bidi="ar"/>
        </w:rPr>
        <w:t xml:space="preserve">108 </w:t>
      </w:r>
      <w:r w:rsidR="00E62D9A">
        <w:rPr>
          <w:rFonts w:ascii="Arabic Typesetting" w:hAnsi="Arabic Typesetting" w:cs="Arabic Typesetting" w:hint="cs"/>
          <w:sz w:val="34"/>
          <w:szCs w:val="34"/>
          <w:rtl/>
        </w:rPr>
        <w:t>أعضاء</w:t>
      </w:r>
      <w:r w:rsidRPr="0034295A">
        <w:rPr>
          <w:rFonts w:ascii="Arabic Typesetting" w:hAnsi="Arabic Typesetting" w:cs="Arabic Typesetting"/>
          <w:sz w:val="34"/>
          <w:szCs w:val="34"/>
          <w:rtl/>
        </w:rPr>
        <w:t xml:space="preserve"> وعدد عمليات التعاون في إطاره إلى </w:t>
      </w:r>
      <w:r w:rsidRPr="0034295A">
        <w:rPr>
          <w:rFonts w:ascii="Arabic Typesetting" w:hAnsi="Arabic Typesetting" w:cs="Arabic Typesetting"/>
          <w:sz w:val="34"/>
          <w:szCs w:val="34"/>
          <w:rtl/>
          <w:lang w:bidi="ar"/>
        </w:rPr>
        <w:t xml:space="preserve">108 </w:t>
      </w:r>
      <w:r w:rsidR="00E62D9A">
        <w:rPr>
          <w:rFonts w:ascii="Arabic Typesetting" w:hAnsi="Arabic Typesetting" w:cs="Arabic Typesetting" w:hint="cs"/>
          <w:sz w:val="34"/>
          <w:szCs w:val="34"/>
          <w:rtl/>
        </w:rPr>
        <w:t>عمليات</w:t>
      </w:r>
      <w:r w:rsidRPr="0034295A">
        <w:rPr>
          <w:rFonts w:ascii="Arabic Typesetting" w:hAnsi="Arabic Typesetting" w:cs="Arabic Typesetting"/>
          <w:sz w:val="34"/>
          <w:szCs w:val="34"/>
          <w:rtl/>
        </w:rPr>
        <w:t xml:space="preserve"> بحلول نهاية عام </w:t>
      </w:r>
      <w:r w:rsidRPr="0034295A">
        <w:rPr>
          <w:rFonts w:ascii="Arabic Typesetting" w:hAnsi="Arabic Typesetting" w:cs="Arabic Typesetting"/>
          <w:sz w:val="34"/>
          <w:szCs w:val="34"/>
          <w:rtl/>
          <w:lang w:bidi="ar"/>
        </w:rPr>
        <w:t xml:space="preserve">2016. </w:t>
      </w:r>
      <w:r w:rsidRPr="0034295A">
        <w:rPr>
          <w:rFonts w:ascii="Arabic Typesetting" w:hAnsi="Arabic Typesetting" w:cs="Arabic Typesetting"/>
          <w:sz w:val="34"/>
          <w:szCs w:val="34"/>
          <w:rtl/>
        </w:rPr>
        <w:t xml:space="preserve">وفي مايو </w:t>
      </w:r>
      <w:r w:rsidRPr="0034295A">
        <w:rPr>
          <w:rFonts w:ascii="Arabic Typesetting" w:hAnsi="Arabic Typesetting" w:cs="Arabic Typesetting"/>
          <w:sz w:val="34"/>
          <w:szCs w:val="34"/>
          <w:rtl/>
          <w:lang w:bidi="ar"/>
        </w:rPr>
        <w:t>2016</w:t>
      </w:r>
      <w:r w:rsidRPr="0034295A">
        <w:rPr>
          <w:rFonts w:ascii="Arabic Typesetting" w:hAnsi="Arabic Typesetting" w:cs="Arabic Typesetting"/>
          <w:sz w:val="34"/>
          <w:szCs w:val="34"/>
          <w:rtl/>
        </w:rPr>
        <w:t>، سُلِّط الضوء على الإنجازات المتحققة خلال حدث جانبي عُقد على هامش جمعية الصحة العالمية، وافتتحه وزير الصحة في إثيوبيا</w:t>
      </w:r>
      <w:r w:rsidRPr="0034295A">
        <w:rPr>
          <w:rFonts w:ascii="Arabic Typesetting" w:hAnsi="Arabic Typesetting" w:cs="Arabic Typesetting"/>
          <w:sz w:val="34"/>
          <w:szCs w:val="34"/>
          <w:rtl/>
          <w:lang w:bidi="ar"/>
        </w:rPr>
        <w:t>.</w:t>
      </w:r>
    </w:p>
    <w:p w14:paraId="4EDA380C" w14:textId="3891D398" w:rsidR="0034295A" w:rsidRPr="0034295A" w:rsidRDefault="0034295A" w:rsidP="00DF399F">
      <w:pPr>
        <w:pStyle w:val="ListParagraph"/>
        <w:numPr>
          <w:ilvl w:val="0"/>
          <w:numId w:val="106"/>
        </w:numPr>
        <w:bidi/>
        <w:spacing w:after="200" w:line="340" w:lineRule="exact"/>
        <w:contextualSpacing w:val="0"/>
        <w:jc w:val="both"/>
        <w:rPr>
          <w:rFonts w:ascii="Arabic Typesetting" w:hAnsi="Arabic Typesetting" w:cs="Arabic Typesetting"/>
          <w:sz w:val="34"/>
          <w:szCs w:val="34"/>
          <w:rtl/>
          <w:lang w:bidi="ar"/>
        </w:rPr>
      </w:pPr>
      <w:r w:rsidRPr="0034295A">
        <w:rPr>
          <w:rFonts w:ascii="Arabic Typesetting" w:hAnsi="Arabic Typesetting" w:cs="Arabic Typesetting"/>
          <w:sz w:val="34"/>
          <w:szCs w:val="34"/>
          <w:rtl/>
        </w:rPr>
        <w:t xml:space="preserve">وواصلت مبادرة ويبو غرين </w:t>
      </w:r>
      <w:r w:rsidRPr="0034295A">
        <w:rPr>
          <w:rFonts w:ascii="Arabic Typesetting" w:hAnsi="Arabic Typesetting" w:cs="Arabic Typesetting"/>
          <w:sz w:val="34"/>
          <w:szCs w:val="34"/>
          <w:rtl/>
          <w:lang w:bidi="ar"/>
        </w:rPr>
        <w:t>(</w:t>
      </w:r>
      <w:r w:rsidR="00BD308F">
        <w:rPr>
          <w:rFonts w:ascii="Arabic Typesetting" w:hAnsi="Arabic Typesetting" w:cs="Arabic Typesetting"/>
          <w:sz w:val="34"/>
          <w:szCs w:val="34"/>
          <w:lang w:bidi="en-US"/>
        </w:rPr>
        <w:t>WIPO GREEN</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 xml:space="preserve">سوق التكنولوجيا المستدامة </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أيض</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تنمية شبكتها بنجاح، لتضيف إليها تسعة شركاء و</w:t>
      </w:r>
      <w:r w:rsidRPr="0034295A">
        <w:rPr>
          <w:rFonts w:ascii="Arabic Typesetting" w:hAnsi="Arabic Typesetting" w:cs="Arabic Typesetting"/>
          <w:sz w:val="34"/>
          <w:szCs w:val="34"/>
          <w:rtl/>
          <w:lang w:bidi="ar"/>
        </w:rPr>
        <w:t xml:space="preserve">318 </w:t>
      </w:r>
      <w:r w:rsidRPr="0034295A">
        <w:rPr>
          <w:rFonts w:ascii="Arabic Typesetting" w:hAnsi="Arabic Typesetting" w:cs="Arabic Typesetting"/>
          <w:sz w:val="34"/>
          <w:szCs w:val="34"/>
          <w:rtl/>
        </w:rPr>
        <w:t>مستخدم</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في عام </w:t>
      </w:r>
      <w:r w:rsidRPr="0034295A">
        <w:rPr>
          <w:rFonts w:ascii="Arabic Typesetting" w:hAnsi="Arabic Typesetting" w:cs="Arabic Typesetting"/>
          <w:sz w:val="34"/>
          <w:szCs w:val="34"/>
          <w:rtl/>
          <w:lang w:bidi="ar"/>
        </w:rPr>
        <w:t>2016</w:t>
      </w:r>
      <w:r w:rsidRPr="0034295A">
        <w:rPr>
          <w:rFonts w:ascii="Arabic Typesetting" w:hAnsi="Arabic Typesetting" w:cs="Arabic Typesetting"/>
          <w:sz w:val="34"/>
          <w:szCs w:val="34"/>
          <w:rtl/>
        </w:rPr>
        <w:t xml:space="preserve">، ليصل بذلك العدد الإجمالي إلى </w:t>
      </w:r>
      <w:r w:rsidRPr="0034295A">
        <w:rPr>
          <w:rFonts w:ascii="Arabic Typesetting" w:hAnsi="Arabic Typesetting" w:cs="Arabic Typesetting"/>
          <w:sz w:val="34"/>
          <w:szCs w:val="34"/>
          <w:rtl/>
          <w:lang w:bidi="ar"/>
        </w:rPr>
        <w:t xml:space="preserve">74 </w:t>
      </w:r>
      <w:r w:rsidRPr="0034295A">
        <w:rPr>
          <w:rFonts w:ascii="Arabic Typesetting" w:hAnsi="Arabic Typesetting" w:cs="Arabic Typesetting"/>
          <w:sz w:val="34"/>
          <w:szCs w:val="34"/>
          <w:rtl/>
        </w:rPr>
        <w:t>شريك</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و</w:t>
      </w:r>
      <w:r w:rsidRPr="0034295A">
        <w:rPr>
          <w:rFonts w:ascii="Arabic Typesetting" w:hAnsi="Arabic Typesetting" w:cs="Arabic Typesetting"/>
          <w:sz w:val="34"/>
          <w:szCs w:val="34"/>
          <w:rtl/>
          <w:lang w:bidi="ar"/>
        </w:rPr>
        <w:t xml:space="preserve">808 </w:t>
      </w:r>
      <w:r w:rsidRPr="0034295A">
        <w:rPr>
          <w:rFonts w:ascii="Arabic Typesetting" w:hAnsi="Arabic Typesetting" w:cs="Arabic Typesetting"/>
          <w:sz w:val="34"/>
          <w:szCs w:val="34"/>
          <w:rtl/>
        </w:rPr>
        <w:t>مستخدمين</w:t>
      </w:r>
      <w:r w:rsidRPr="0034295A">
        <w:rPr>
          <w:rFonts w:ascii="Arabic Typesetting" w:hAnsi="Arabic Typesetting" w:cs="Arabic Typesetting"/>
          <w:sz w:val="34"/>
          <w:szCs w:val="34"/>
          <w:rtl/>
          <w:lang w:bidi="ar"/>
        </w:rPr>
        <w:t>.</w:t>
      </w:r>
      <w:r w:rsidRPr="0034295A">
        <w:rPr>
          <w:rFonts w:ascii="Arabic Typesetting" w:hAnsi="Arabic Typesetting" w:cs="Arabic Typesetting"/>
          <w:sz w:val="34"/>
          <w:szCs w:val="34"/>
          <w:rtl/>
          <w:lang w:bidi="ar"/>
        </w:rPr>
        <w:br/>
        <w:t xml:space="preserve"> </w:t>
      </w:r>
      <w:r w:rsidRPr="0034295A">
        <w:rPr>
          <w:rFonts w:ascii="Arabic Typesetting" w:hAnsi="Arabic Typesetting" w:cs="Arabic Typesetting"/>
          <w:sz w:val="34"/>
          <w:szCs w:val="34"/>
          <w:rtl/>
        </w:rPr>
        <w:t xml:space="preserve">وبحلول نهاية العام، كانت قاعدة بيانات ويبو غرين تضمُّ أكثر من </w:t>
      </w:r>
      <w:r w:rsidRPr="0034295A">
        <w:rPr>
          <w:rFonts w:ascii="Arabic Typesetting" w:hAnsi="Arabic Typesetting" w:cs="Arabic Typesetting"/>
          <w:sz w:val="34"/>
          <w:szCs w:val="34"/>
          <w:rtl/>
          <w:lang w:bidi="ar"/>
        </w:rPr>
        <w:t xml:space="preserve">2600 </w:t>
      </w:r>
      <w:r w:rsidRPr="0034295A">
        <w:rPr>
          <w:rFonts w:ascii="Arabic Typesetting" w:hAnsi="Arabic Typesetting" w:cs="Arabic Typesetting"/>
          <w:sz w:val="34"/>
          <w:szCs w:val="34"/>
          <w:rtl/>
        </w:rPr>
        <w:t>من التكنولوجيات المتاحة للترخيص أو البيع أو التعاون، و</w:t>
      </w:r>
      <w:r w:rsidRPr="0034295A">
        <w:rPr>
          <w:rFonts w:ascii="Arabic Typesetting" w:hAnsi="Arabic Typesetting" w:cs="Arabic Typesetting"/>
          <w:sz w:val="34"/>
          <w:szCs w:val="34"/>
          <w:rtl/>
          <w:lang w:bidi="ar"/>
        </w:rPr>
        <w:t xml:space="preserve">150 </w:t>
      </w:r>
      <w:r w:rsidRPr="0034295A">
        <w:rPr>
          <w:rFonts w:ascii="Arabic Typesetting" w:hAnsi="Arabic Typesetting" w:cs="Arabic Typesetting"/>
          <w:sz w:val="34"/>
          <w:szCs w:val="34"/>
          <w:rtl/>
        </w:rPr>
        <w:t>احتياج</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w:t>
      </w:r>
      <w:r w:rsidRPr="0034295A">
        <w:rPr>
          <w:rFonts w:ascii="Arabic Typesetting" w:hAnsi="Arabic Typesetting" w:cs="Arabic Typesetting"/>
          <w:sz w:val="34"/>
          <w:szCs w:val="34"/>
          <w:rtl/>
          <w:lang w:bidi="ar"/>
        </w:rPr>
        <w:t>(</w:t>
      </w:r>
      <w:r w:rsidRPr="0034295A">
        <w:rPr>
          <w:rFonts w:ascii="Arabic Typesetting" w:hAnsi="Arabic Typesetting" w:cs="Arabic Typesetting"/>
          <w:sz w:val="34"/>
          <w:szCs w:val="34"/>
          <w:rtl/>
        </w:rPr>
        <w:t>معظمها من البلدان النامية</w:t>
      </w:r>
      <w:r w:rsidRPr="0034295A">
        <w:rPr>
          <w:rFonts w:ascii="Arabic Typesetting" w:hAnsi="Arabic Typesetting" w:cs="Arabic Typesetting"/>
          <w:sz w:val="34"/>
          <w:szCs w:val="34"/>
          <w:rtl/>
          <w:lang w:bidi="ar"/>
        </w:rPr>
        <w:t>)</w:t>
      </w:r>
      <w:r w:rsidRPr="0034295A">
        <w:rPr>
          <w:rFonts w:ascii="Arabic Typesetting" w:hAnsi="Arabic Typesetting" w:cs="Arabic Typesetting"/>
          <w:sz w:val="34"/>
          <w:szCs w:val="34"/>
          <w:rtl/>
        </w:rPr>
        <w:t xml:space="preserve">، بزيادة نسبتها </w:t>
      </w:r>
      <w:r w:rsidRPr="0034295A">
        <w:rPr>
          <w:rFonts w:ascii="Arabic Typesetting" w:hAnsi="Arabic Typesetting" w:cs="Arabic Typesetting"/>
          <w:sz w:val="34"/>
          <w:szCs w:val="34"/>
          <w:rtl/>
          <w:lang w:bidi="ar"/>
        </w:rPr>
        <w:t xml:space="preserve">20 </w:t>
      </w:r>
      <w:r w:rsidRPr="0034295A">
        <w:rPr>
          <w:rFonts w:ascii="Arabic Typesetting" w:hAnsi="Arabic Typesetting" w:cs="Arabic Typesetting"/>
          <w:sz w:val="34"/>
          <w:szCs w:val="34"/>
          <w:rtl/>
        </w:rPr>
        <w:t xml:space="preserve">في المائة مقارنة بعام </w:t>
      </w:r>
      <w:r w:rsidRPr="0034295A">
        <w:rPr>
          <w:rFonts w:ascii="Arabic Typesetting" w:hAnsi="Arabic Typesetting" w:cs="Arabic Typesetting"/>
          <w:sz w:val="34"/>
          <w:szCs w:val="34"/>
          <w:rtl/>
          <w:lang w:bidi="ar"/>
        </w:rPr>
        <w:t xml:space="preserve">2015. </w:t>
      </w:r>
      <w:r w:rsidRPr="0034295A">
        <w:rPr>
          <w:rFonts w:ascii="Arabic Typesetting" w:hAnsi="Arabic Typesetting" w:cs="Arabic Typesetting"/>
          <w:sz w:val="34"/>
          <w:szCs w:val="34"/>
          <w:rtl/>
        </w:rPr>
        <w:t xml:space="preserve">وبالإضافة إلى ذلك، يسَّرت مبادرة ويبو غرين </w:t>
      </w:r>
      <w:r w:rsidRPr="0034295A">
        <w:rPr>
          <w:rFonts w:ascii="Arabic Typesetting" w:hAnsi="Arabic Typesetting" w:cs="Arabic Typesetting"/>
          <w:sz w:val="34"/>
          <w:szCs w:val="34"/>
          <w:rtl/>
          <w:lang w:bidi="ar"/>
        </w:rPr>
        <w:t xml:space="preserve">127 </w:t>
      </w:r>
      <w:r w:rsidRPr="0034295A">
        <w:rPr>
          <w:rFonts w:ascii="Arabic Typesetting" w:hAnsi="Arabic Typesetting" w:cs="Arabic Typesetting"/>
          <w:sz w:val="34"/>
          <w:szCs w:val="34"/>
          <w:rtl/>
        </w:rPr>
        <w:t>صلة بين العارضين والطالبين من خلال قاعدة البيانات، وعقدت حدث</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للتوفيق بين العارضين والطالبين في شرق أفريقيا، ومعرض</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للمشاريع الابتكارية الصغيرة والمتوسطة الحجم في الدورة الثانية والعشرين لمؤتمر الأطراف في اتفاقية الأمم المتحدة الإطارية بشأن تغيُّر المناخ، واضطلعت بأنشطة أخرى للتوفيق بين العارضين والطالبين</w:t>
      </w:r>
      <w:r w:rsidRPr="0034295A">
        <w:rPr>
          <w:rFonts w:ascii="Arabic Typesetting" w:hAnsi="Arabic Typesetting" w:cs="Arabic Typesetting"/>
          <w:sz w:val="34"/>
          <w:szCs w:val="34"/>
          <w:rtl/>
          <w:lang w:bidi="ar"/>
        </w:rPr>
        <w:t>.</w:t>
      </w:r>
    </w:p>
    <w:p w14:paraId="689EDD5C" w14:textId="77777777" w:rsidR="0034295A" w:rsidRPr="0034295A" w:rsidRDefault="0034295A" w:rsidP="00DF399F">
      <w:pPr>
        <w:pStyle w:val="ListParagraph"/>
        <w:numPr>
          <w:ilvl w:val="0"/>
          <w:numId w:val="106"/>
        </w:numPr>
        <w:bidi/>
        <w:spacing w:after="200" w:line="340" w:lineRule="exact"/>
        <w:contextualSpacing w:val="0"/>
        <w:jc w:val="both"/>
        <w:rPr>
          <w:rFonts w:ascii="Arabic Typesetting" w:hAnsi="Arabic Typesetting" w:cs="Arabic Typesetting"/>
          <w:sz w:val="34"/>
          <w:szCs w:val="34"/>
          <w:rtl/>
          <w:lang w:bidi="ar"/>
        </w:rPr>
      </w:pPr>
      <w:r w:rsidRPr="0034295A">
        <w:rPr>
          <w:rFonts w:ascii="Arabic Typesetting" w:hAnsi="Arabic Typesetting" w:cs="Arabic Typesetting"/>
          <w:sz w:val="34"/>
          <w:szCs w:val="34"/>
          <w:rtl/>
        </w:rPr>
        <w:t xml:space="preserve">وفي إطار توفير محافل للمشاركين من أجل تقاسم الأفكار والخبرات والمعلومات المتعلقة بثلاثة مجالات رئيسية، عُرض المنشور المعنون موجز التحديات العالمية </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 xml:space="preserve">البراءات وقائمة منظمة الصحة العالمية النموذجية للأدوية الأساسية </w:t>
      </w:r>
      <w:r w:rsidRPr="0034295A">
        <w:rPr>
          <w:rFonts w:ascii="Arabic Typesetting" w:hAnsi="Arabic Typesetting" w:cs="Arabic Typesetting"/>
          <w:sz w:val="34"/>
          <w:szCs w:val="34"/>
          <w:rtl/>
          <w:lang w:bidi="ar"/>
        </w:rPr>
        <w:t>(</w:t>
      </w:r>
      <w:r w:rsidRPr="0034295A">
        <w:rPr>
          <w:rFonts w:ascii="Arabic Typesetting" w:hAnsi="Arabic Typesetting" w:cs="Arabic Typesetting"/>
          <w:sz w:val="34"/>
          <w:szCs w:val="34"/>
          <w:rtl/>
        </w:rPr>
        <w:t>الإصدار الثامن عشر</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 xml:space="preserve">توضيح النقاش حول الملكية الفكرية والحصول على الأدوية في حلقة دراسية بشأن التحديات العالمية في أبريل </w:t>
      </w:r>
      <w:r w:rsidRPr="0034295A">
        <w:rPr>
          <w:rFonts w:ascii="Arabic Typesetting" w:hAnsi="Arabic Typesetting" w:cs="Arabic Typesetting"/>
          <w:sz w:val="34"/>
          <w:szCs w:val="34"/>
          <w:rtl/>
          <w:lang w:bidi="ar"/>
        </w:rPr>
        <w:t xml:space="preserve">2016. </w:t>
      </w:r>
      <w:r w:rsidRPr="0034295A">
        <w:rPr>
          <w:rFonts w:ascii="Arabic Typesetting" w:hAnsi="Arabic Typesetting" w:cs="Arabic Typesetting"/>
          <w:sz w:val="34"/>
          <w:szCs w:val="34"/>
          <w:rtl/>
        </w:rPr>
        <w:t>ويلخِّص الموجزُ التقريرَ التقني، الذي يقدِّم إرشادات إلى الجهات الفاعلة في مجال الصحة على الصعيد العالمي بشأن الحد الأدنى من الأدوية التي ينبغي أن تتوفر في النظم الصحية، لفائدة واضعي السياسات</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وحظي العرض الإيضاحي الذي قدَّمه المؤلفون للتحليل الوارد في الموجز بحضور جيد، وجرت في ضوئه مناقشة مفعمة بالحيوية بشأن معلومات البراءات في مجال الأدوية</w:t>
      </w:r>
      <w:r w:rsidRPr="0034295A">
        <w:rPr>
          <w:rFonts w:ascii="Arabic Typesetting" w:hAnsi="Arabic Typesetting" w:cs="Arabic Typesetting"/>
          <w:sz w:val="34"/>
          <w:szCs w:val="34"/>
          <w:rtl/>
          <w:lang w:bidi="ar"/>
        </w:rPr>
        <w:t xml:space="preserve">. </w:t>
      </w:r>
    </w:p>
    <w:p w14:paraId="3E5838C6" w14:textId="3F9B9163" w:rsidR="0034295A" w:rsidRPr="0034295A" w:rsidRDefault="0034295A" w:rsidP="00DF399F">
      <w:pPr>
        <w:pStyle w:val="ListParagraph"/>
        <w:numPr>
          <w:ilvl w:val="0"/>
          <w:numId w:val="106"/>
        </w:numPr>
        <w:bidi/>
        <w:spacing w:after="200" w:line="340" w:lineRule="exact"/>
        <w:contextualSpacing w:val="0"/>
        <w:jc w:val="both"/>
        <w:rPr>
          <w:rFonts w:ascii="Arabic Typesetting" w:hAnsi="Arabic Typesetting" w:cs="Arabic Typesetting"/>
          <w:sz w:val="34"/>
          <w:szCs w:val="34"/>
          <w:rtl/>
          <w:lang w:bidi="ar"/>
        </w:rPr>
      </w:pPr>
      <w:r w:rsidRPr="0034295A">
        <w:rPr>
          <w:rFonts w:ascii="Arabic Typesetting" w:hAnsi="Arabic Typesetting" w:cs="Arabic Typesetting"/>
          <w:sz w:val="34"/>
          <w:szCs w:val="34"/>
          <w:rtl/>
        </w:rPr>
        <w:t xml:space="preserve">وشهد عام </w:t>
      </w:r>
      <w:r w:rsidRPr="0034295A">
        <w:rPr>
          <w:rFonts w:ascii="Arabic Typesetting" w:hAnsi="Arabic Typesetting" w:cs="Arabic Typesetting"/>
          <w:sz w:val="34"/>
          <w:szCs w:val="34"/>
          <w:rtl/>
          <w:lang w:bidi="ar"/>
        </w:rPr>
        <w:t xml:space="preserve">2016 </w:t>
      </w:r>
      <w:r w:rsidRPr="0034295A">
        <w:rPr>
          <w:rFonts w:ascii="Arabic Typesetting" w:hAnsi="Arabic Typesetting" w:cs="Arabic Typesetting"/>
          <w:sz w:val="34"/>
          <w:szCs w:val="34"/>
          <w:rtl/>
        </w:rPr>
        <w:t>إطلاق دورة دراسية للتعليم عن بعد بالاشتراك بين منظمة الصحة العالمية والويبو ومنظمة التجارة العالمية بعنوان تعزيز النفاذ إلى التكنولوجيا والابتكارات الطبية</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وتهدف الدورة الدراسية إلى تناول أوجه التقاطع بين مجالات الصحة العامة والملكية الفكرية والتجارة، ووُضعت في إطار اتفاق تعاون ثلاثي بين منظمة الصحة العالمية والويبو ومنظمة التجارة العالمية بالاشتراك مع أكاديمية الويبو</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 xml:space="preserve">وأُطلقت الدورة الدراسية خلال الندوة التقنية المشتركة بين منظمة الصحة العالمية والويبو ومنظمة التجارة العالمية عن </w:t>
      </w:r>
      <w:r w:rsidRPr="0034295A">
        <w:rPr>
          <w:rFonts w:ascii="Arabic Typesetting" w:hAnsi="Arabic Typesetting" w:cs="Arabic Typesetting"/>
          <w:sz w:val="34"/>
          <w:szCs w:val="34"/>
          <w:rtl/>
          <w:lang w:bidi="ar"/>
        </w:rPr>
        <w:t>"</w:t>
      </w:r>
      <w:r w:rsidRPr="0034295A">
        <w:rPr>
          <w:rFonts w:ascii="Arabic Typesetting" w:hAnsi="Arabic Typesetting" w:cs="Arabic Typesetting"/>
          <w:sz w:val="34"/>
          <w:szCs w:val="34"/>
          <w:rtl/>
        </w:rPr>
        <w:t>مقاومة مضادات الميكروبات</w:t>
      </w:r>
      <w:r w:rsidRPr="0034295A">
        <w:rPr>
          <w:rFonts w:ascii="Arabic Typesetting" w:hAnsi="Arabic Typesetting" w:cs="Arabic Typesetting"/>
          <w:sz w:val="34"/>
          <w:szCs w:val="34"/>
          <w:rtl/>
          <w:lang w:bidi="ar"/>
        </w:rPr>
        <w:t xml:space="preserve">: </w:t>
      </w:r>
      <w:r w:rsidRPr="0034295A">
        <w:rPr>
          <w:rFonts w:ascii="Arabic Typesetting" w:hAnsi="Arabic Typesetting" w:cs="Arabic Typesetting"/>
          <w:sz w:val="34"/>
          <w:szCs w:val="34"/>
          <w:rtl/>
        </w:rPr>
        <w:t>كيف يمكن تعزيز الابتكار في المضادات الحيوية وتحسين إمكانية الحصول عليها واستخدامها على نحو سليم؟</w:t>
      </w:r>
      <w:r w:rsidRPr="0034295A">
        <w:rPr>
          <w:rFonts w:ascii="Arabic Typesetting" w:hAnsi="Arabic Typesetting" w:cs="Arabic Typesetting"/>
          <w:sz w:val="34"/>
          <w:szCs w:val="34"/>
          <w:rtl/>
          <w:lang w:bidi="ar"/>
        </w:rPr>
        <w:t>"</w:t>
      </w:r>
      <w:r w:rsidRPr="0034295A">
        <w:rPr>
          <w:rFonts w:ascii="Arabic Typesetting" w:hAnsi="Arabic Typesetting" w:cs="Arabic Typesetting"/>
          <w:sz w:val="34"/>
          <w:szCs w:val="34"/>
          <w:rtl/>
        </w:rPr>
        <w:t xml:space="preserve">، التي اجتذبت ما يقارب </w:t>
      </w:r>
      <w:r w:rsidRPr="0034295A">
        <w:rPr>
          <w:rFonts w:ascii="Arabic Typesetting" w:hAnsi="Arabic Typesetting" w:cs="Arabic Typesetting"/>
          <w:sz w:val="34"/>
          <w:szCs w:val="34"/>
          <w:rtl/>
          <w:lang w:bidi="ar"/>
        </w:rPr>
        <w:t xml:space="preserve">300 </w:t>
      </w:r>
      <w:r w:rsidRPr="0034295A">
        <w:rPr>
          <w:rFonts w:ascii="Arabic Typesetting" w:hAnsi="Arabic Typesetting" w:cs="Arabic Typesetting"/>
          <w:sz w:val="34"/>
          <w:szCs w:val="34"/>
          <w:rtl/>
        </w:rPr>
        <w:t>مشارك ليتابعوا نقاش</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مكثَّف</w:t>
      </w:r>
      <w:r w:rsidR="001344B7">
        <w:rPr>
          <w:rFonts w:ascii="Arabic Typesetting" w:hAnsi="Arabic Typesetting" w:cs="Arabic Typesetting"/>
          <w:sz w:val="34"/>
          <w:szCs w:val="34"/>
          <w:rtl/>
        </w:rPr>
        <w:t>اً</w:t>
      </w:r>
      <w:r w:rsidRPr="0034295A">
        <w:rPr>
          <w:rFonts w:ascii="Arabic Typesetting" w:hAnsi="Arabic Typesetting" w:cs="Arabic Typesetting"/>
          <w:sz w:val="34"/>
          <w:szCs w:val="34"/>
          <w:rtl/>
        </w:rPr>
        <w:t xml:space="preserve"> حول أهمية التعاون العالمي من أجل ابتكار مضادات الميكروبات وإتاحة الحصول عليها، وكذلك من أجل استخدام المضادات الحيوية على نحو سليم</w:t>
      </w:r>
      <w:r w:rsidR="00DF399F">
        <w:rPr>
          <w:rFonts w:ascii="Arabic Typesetting" w:hAnsi="Arabic Typesetting" w:cs="Arabic Typesetting"/>
          <w:sz w:val="34"/>
          <w:szCs w:val="34"/>
          <w:rtl/>
          <w:lang w:bidi="ar"/>
        </w:rPr>
        <w:t>.</w:t>
      </w:r>
    </w:p>
    <w:p w14:paraId="22DA6410" w14:textId="2219A93B" w:rsidR="0034295A" w:rsidRPr="00B24A4C" w:rsidRDefault="0034295A" w:rsidP="00121288">
      <w:pPr>
        <w:pStyle w:val="Heading2AR"/>
        <w:pageBreakBefore w:val="0"/>
        <w:rPr>
          <w:iCs/>
          <w:rtl/>
        </w:rPr>
      </w:pPr>
      <w:r w:rsidRPr="00B24A4C">
        <w:rPr>
          <w:rtl/>
          <w:lang w:eastAsia="ar"/>
        </w:rPr>
        <w:lastRenderedPageBreak/>
        <w:t>الهدف الاستراتيجي الثامن</w:t>
      </w:r>
      <w:r w:rsidR="00121288">
        <w:rPr>
          <w:rFonts w:hint="cs"/>
          <w:rtl/>
          <w:lang w:eastAsia="ar"/>
        </w:rPr>
        <w:t xml:space="preserve"> -</w:t>
      </w:r>
      <w:r>
        <w:rPr>
          <w:rtl/>
          <w:lang w:eastAsia="ar"/>
        </w:rPr>
        <w:t xml:space="preserve"> </w:t>
      </w:r>
      <w:r w:rsidRPr="00B24A4C">
        <w:rPr>
          <w:rtl/>
          <w:lang w:eastAsia="ar"/>
        </w:rPr>
        <w:t>آلية تواصل متجاوب بين الويبو والأعضاء وجميع أصحاب المصالح</w:t>
      </w:r>
    </w:p>
    <w:p w14:paraId="2F3D89D6" w14:textId="67524518" w:rsidR="0034295A" w:rsidRPr="00B24A4C" w:rsidRDefault="00D86F42" w:rsidP="0034295A">
      <w:pPr>
        <w:bidi/>
        <w:jc w:val="center"/>
        <w:rPr>
          <w:rFonts w:ascii="Arabic Typesetting" w:hAnsi="Arabic Typesetting" w:cs="Arabic Typesetting"/>
          <w:b/>
          <w:sz w:val="36"/>
          <w:szCs w:val="36"/>
          <w:highlight w:val="yellow"/>
          <w:rtl/>
        </w:rPr>
      </w:pPr>
      <w:r w:rsidRPr="00D86F42">
        <w:rPr>
          <w:rFonts w:ascii="Arabic Typesetting" w:hAnsi="Arabic Typesetting" w:cs="Arabic Typesetting"/>
          <w:b/>
          <w:noProof/>
          <w:sz w:val="36"/>
          <w:szCs w:val="36"/>
        </w:rPr>
        <w:drawing>
          <wp:inline distT="0" distB="0" distL="0" distR="0" wp14:anchorId="4B8FBF07" wp14:editId="449F5DBB">
            <wp:extent cx="3568240" cy="216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8240" cy="2160000"/>
                    </a:xfrm>
                    <a:prstGeom prst="rect">
                      <a:avLst/>
                    </a:prstGeom>
                    <a:noFill/>
                  </pic:spPr>
                </pic:pic>
              </a:graphicData>
            </a:graphic>
          </wp:inline>
        </w:drawing>
      </w:r>
    </w:p>
    <w:p w14:paraId="66DDB048" w14:textId="77777777" w:rsidR="0034295A" w:rsidRPr="0034295A" w:rsidRDefault="0034295A" w:rsidP="0034295A">
      <w:pPr>
        <w:pStyle w:val="NumberedParaAR"/>
        <w:tabs>
          <w:tab w:val="clear" w:pos="567"/>
        </w:tabs>
        <w:spacing w:line="320" w:lineRule="exact"/>
        <w:rPr>
          <w:sz w:val="34"/>
          <w:szCs w:val="34"/>
          <w:rtl/>
        </w:rPr>
      </w:pPr>
      <w:r w:rsidRPr="0034295A">
        <w:rPr>
          <w:sz w:val="34"/>
          <w:szCs w:val="34"/>
          <w:rtl/>
        </w:rPr>
        <w:t>تشمل الأولويات في إطار هذا الهدف التركيز على إعداد وتقديم محتوى وجيه وعالي الجودة، وإبراز عمل الويبو أمام الجمهور وتحسين فهمهم له، وتعزيز ثقافة الخدمة داخل المنظمة.</w:t>
      </w:r>
    </w:p>
    <w:p w14:paraId="61C09651" w14:textId="09D679FB" w:rsidR="0034295A" w:rsidRPr="0034295A" w:rsidRDefault="0034295A" w:rsidP="00E62D9A">
      <w:pPr>
        <w:numPr>
          <w:ilvl w:val="0"/>
          <w:numId w:val="107"/>
        </w:numPr>
        <w:bidi/>
        <w:spacing w:after="120"/>
        <w:ind w:left="567" w:hanging="567"/>
        <w:jc w:val="both"/>
        <w:rPr>
          <w:rFonts w:ascii="Arabic Typesetting" w:hAnsi="Arabic Typesetting" w:cs="Arabic Typesetting"/>
          <w:sz w:val="34"/>
          <w:szCs w:val="34"/>
          <w:rtl/>
        </w:rPr>
      </w:pPr>
      <w:r w:rsidRPr="0034295A">
        <w:rPr>
          <w:rFonts w:ascii="Arabic Typesetting" w:hAnsi="Arabic Typesetting" w:cs="Arabic Typesetting"/>
          <w:i/>
          <w:iCs/>
          <w:sz w:val="34"/>
          <w:szCs w:val="34"/>
          <w:rtl/>
          <w:lang w:eastAsia="ar"/>
        </w:rPr>
        <w:t>هوية قوية لعلامة الويبو.</w:t>
      </w:r>
      <w:r w:rsidRPr="0034295A">
        <w:rPr>
          <w:rFonts w:ascii="Arabic Typesetting" w:hAnsi="Arabic Typesetting" w:cs="Arabic Typesetting"/>
          <w:sz w:val="34"/>
          <w:szCs w:val="34"/>
          <w:rtl/>
          <w:lang w:eastAsia="ar"/>
        </w:rPr>
        <w:t xml:space="preserve"> صدر مقطع الفيديو المعنون "ما هي الويبو؟" والذي تبلغ مدته ثلاث دقائق في أكتوبر 2016، وأثار ردود فعل إيجابية، وثبت أنَّه مورد جذاب لدعم التواصل بشأن علامة الويبو. ووصلت نشرة الويبو الإخبارية التي تصدر بعنوان خط الويبو الإخباري (بست لغات) إلى</w:t>
      </w:r>
      <w:r w:rsidR="00E62D9A">
        <w:rPr>
          <w:rFonts w:ascii="Arabic Typesetting" w:hAnsi="Arabic Typesetting" w:cs="Arabic Typesetting" w:hint="cs"/>
          <w:sz w:val="34"/>
          <w:szCs w:val="34"/>
          <w:rtl/>
          <w:lang w:eastAsia="ar"/>
        </w:rPr>
        <w:t xml:space="preserve"> 750 12 </w:t>
      </w:r>
      <w:r w:rsidRPr="0034295A">
        <w:rPr>
          <w:rFonts w:ascii="Arabic Typesetting" w:hAnsi="Arabic Typesetting" w:cs="Arabic Typesetting"/>
          <w:sz w:val="34"/>
          <w:szCs w:val="34"/>
          <w:rtl/>
          <w:lang w:eastAsia="ar"/>
        </w:rPr>
        <w:t>مشترك</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ورسَّخت موقعها باعتبارها القناة الأساسية التي يستخدمها متابعو الويبو. واستطلع استقصاء تصورات أصحاب المصلحة الذي يُجرى</w:t>
      </w:r>
      <w:r w:rsidR="00E62D9A">
        <w:rPr>
          <w:rFonts w:ascii="Arabic Typesetting" w:hAnsi="Arabic Typesetting" w:cs="Arabic Typesetting"/>
          <w:sz w:val="34"/>
          <w:szCs w:val="34"/>
          <w:rtl/>
          <w:lang w:eastAsia="ar"/>
        </w:rPr>
        <w:t xml:space="preserve"> كل سنتين آراء شريحة مكوَّنة من</w:t>
      </w:r>
      <w:r w:rsidR="00E62D9A">
        <w:rPr>
          <w:rFonts w:ascii="Arabic Typesetting" w:hAnsi="Arabic Typesetting" w:cs="Arabic Typesetting" w:hint="cs"/>
          <w:sz w:val="34"/>
          <w:szCs w:val="34"/>
          <w:rtl/>
          <w:lang w:eastAsia="ar"/>
        </w:rPr>
        <w:t xml:space="preserve"> </w:t>
      </w:r>
      <w:r w:rsidR="00E62D9A" w:rsidRPr="00396976">
        <w:rPr>
          <w:rFonts w:ascii="Arabic Typesetting" w:hAnsi="Arabic Typesetting" w:cs="Arabic Typesetting"/>
          <w:sz w:val="34"/>
          <w:szCs w:val="34"/>
          <w:rtl/>
          <w:lang w:eastAsia="ar"/>
        </w:rPr>
        <w:t>680</w:t>
      </w:r>
      <w:r w:rsidR="00E62D9A" w:rsidRPr="00396976">
        <w:rPr>
          <w:rFonts w:ascii="Arabic Typesetting" w:hAnsi="Arabic Typesetting" w:cs="Arabic Typesetting" w:hint="eastAsia"/>
          <w:sz w:val="34"/>
          <w:szCs w:val="34"/>
          <w:rtl/>
          <w:lang w:eastAsia="ar"/>
        </w:rPr>
        <w:t> </w:t>
      </w:r>
      <w:r w:rsidR="00E62D9A" w:rsidRPr="00396976">
        <w:rPr>
          <w:rFonts w:ascii="Arabic Typesetting" w:hAnsi="Arabic Typesetting" w:cs="Arabic Typesetting"/>
          <w:sz w:val="34"/>
          <w:szCs w:val="34"/>
          <w:rtl/>
          <w:lang w:eastAsia="ar"/>
        </w:rPr>
        <w:t>7</w:t>
      </w:r>
      <w:r w:rsidR="00E62D9A">
        <w:rPr>
          <w:rFonts w:ascii="Arabic Typesetting" w:hAnsi="Arabic Typesetting" w:cs="Arabic Typesetting" w:hint="cs"/>
          <w:sz w:val="34"/>
          <w:szCs w:val="34"/>
          <w:rtl/>
          <w:lang w:eastAsia="ar"/>
        </w:rPr>
        <w:t xml:space="preserve"> </w:t>
      </w:r>
      <w:r w:rsidRPr="0034295A">
        <w:rPr>
          <w:rFonts w:ascii="Arabic Typesetting" w:hAnsi="Arabic Typesetting" w:cs="Arabic Typesetting"/>
          <w:sz w:val="34"/>
          <w:szCs w:val="34"/>
          <w:rtl/>
          <w:lang w:eastAsia="ar"/>
        </w:rPr>
        <w:t>من أصحاب المصلحة، واعترف 74 في المائة من المجيبين بالويبو بوصفها المحفل العالمي للملكية الفكرية، في حين رأي 84 في المائ</w:t>
      </w:r>
      <w:r w:rsidR="00E62D9A">
        <w:rPr>
          <w:rFonts w:ascii="Arabic Typesetting" w:hAnsi="Arabic Typesetting" w:cs="Arabic Typesetting"/>
          <w:sz w:val="34"/>
          <w:szCs w:val="34"/>
          <w:rtl/>
          <w:lang w:eastAsia="ar"/>
        </w:rPr>
        <w:t>ة أنَّ الويبو تتمتع بسمعة جيدة.</w:t>
      </w:r>
    </w:p>
    <w:p w14:paraId="34538B4D" w14:textId="3496E9A1" w:rsidR="0034295A" w:rsidRPr="0034295A" w:rsidRDefault="0034295A" w:rsidP="00E62D9A">
      <w:pPr>
        <w:numPr>
          <w:ilvl w:val="0"/>
          <w:numId w:val="107"/>
        </w:numPr>
        <w:bidi/>
        <w:spacing w:after="120"/>
        <w:ind w:left="567" w:hanging="567"/>
        <w:jc w:val="both"/>
        <w:rPr>
          <w:rFonts w:ascii="Arabic Typesetting" w:hAnsi="Arabic Typesetting" w:cs="Arabic Typesetting"/>
          <w:sz w:val="34"/>
          <w:szCs w:val="34"/>
          <w:rtl/>
        </w:rPr>
      </w:pPr>
      <w:r w:rsidRPr="0034295A">
        <w:rPr>
          <w:rFonts w:ascii="Arabic Typesetting" w:hAnsi="Arabic Typesetting" w:cs="Arabic Typesetting"/>
          <w:i/>
          <w:iCs/>
          <w:sz w:val="34"/>
          <w:szCs w:val="34"/>
          <w:rtl/>
          <w:lang w:eastAsia="ar"/>
        </w:rPr>
        <w:t>وصول الويبو للجمهور وإبراز صورتها.</w:t>
      </w:r>
      <w:r w:rsidRPr="0034295A">
        <w:rPr>
          <w:rFonts w:ascii="Arabic Typesetting" w:hAnsi="Arabic Typesetting" w:cs="Arabic Typesetting"/>
          <w:sz w:val="34"/>
          <w:szCs w:val="34"/>
          <w:rtl/>
          <w:lang w:eastAsia="ar"/>
        </w:rPr>
        <w:t xml:space="preserve"> حقَّقت المنتجات والأحداث الرئيسية التي تقدِّمها الويبو، والتي حُدِّدت باعتبارها من أولويات التواصل الاستراتيجية، مزيد</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من الأثر ومن الوصول للجمهور نتيجة لجهود التوعية الإعلامية الموجَّهة والاتصالات المتكاملة المتعددة القنوات. وحاز إطلاق مؤشر الابتكار العالمي والمؤشرات العالمية للملكية الفكرية في عام 2016 على أعلى مستوى من التغطية الصحفية الدولية في تاريخ كل منهما</w:t>
      </w:r>
      <w:r w:rsidRPr="0034295A">
        <w:rPr>
          <w:rStyle w:val="FootnoteReference"/>
          <w:sz w:val="34"/>
          <w:szCs w:val="34"/>
          <w:rtl/>
          <w:lang w:eastAsia="ar"/>
        </w:rPr>
        <w:footnoteReference w:id="6"/>
      </w:r>
      <w:r w:rsidRPr="0034295A">
        <w:rPr>
          <w:rFonts w:ascii="Arabic Typesetting" w:hAnsi="Arabic Typesetting" w:cs="Arabic Typesetting"/>
          <w:sz w:val="34"/>
          <w:szCs w:val="34"/>
          <w:rtl/>
          <w:lang w:eastAsia="ar"/>
        </w:rPr>
        <w:t>، وهو ما عزَّز من الاعتراف العام بالويبو باعتبارها المصدر العالمي لمراجع المعلومات المتعلقة بالملكية الفكرية. كما تحقَّقت تغطية إعلامية عالية التأثير فيما يخصُّ أداة الويبو للترجمة ذات التكنولوجيا الرائدة، بما في ذلك ما يربو على 50 تقرير</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صحفيّ</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يصل جمهورها المحتم</w:t>
      </w:r>
      <w:r w:rsidR="00E62D9A">
        <w:rPr>
          <w:rFonts w:ascii="Arabic Typesetting" w:hAnsi="Arabic Typesetting" w:cs="Arabic Typesetting"/>
          <w:sz w:val="34"/>
          <w:szCs w:val="34"/>
          <w:rtl/>
          <w:lang w:eastAsia="ar"/>
        </w:rPr>
        <w:t>ل إلى 62.6 مليون قارئ، فضل</w:t>
      </w:r>
      <w:r w:rsidR="001344B7">
        <w:rPr>
          <w:rFonts w:ascii="Arabic Typesetting" w:hAnsi="Arabic Typesetting" w:cs="Arabic Typesetting"/>
          <w:sz w:val="34"/>
          <w:szCs w:val="34"/>
          <w:rtl/>
          <w:lang w:eastAsia="ar"/>
        </w:rPr>
        <w:t>اً</w:t>
      </w:r>
      <w:r w:rsidR="00E62D9A">
        <w:rPr>
          <w:rFonts w:ascii="Arabic Typesetting" w:hAnsi="Arabic Typesetting" w:cs="Arabic Typesetting"/>
          <w:sz w:val="34"/>
          <w:szCs w:val="34"/>
          <w:rtl/>
          <w:lang w:eastAsia="ar"/>
        </w:rPr>
        <w:t xml:space="preserve"> عن</w:t>
      </w:r>
      <w:r w:rsidRPr="0034295A">
        <w:rPr>
          <w:rFonts w:ascii="Arabic Typesetting" w:hAnsi="Arabic Typesetting" w:cs="Arabic Typesetting"/>
          <w:sz w:val="34"/>
          <w:szCs w:val="34"/>
          <w:rtl/>
          <w:lang w:eastAsia="ar"/>
        </w:rPr>
        <w:t xml:space="preserve"> </w:t>
      </w:r>
      <w:r w:rsidR="00E62D9A">
        <w:rPr>
          <w:rFonts w:ascii="Arabic Typesetting" w:hAnsi="Arabic Typesetting" w:cs="Arabic Typesetting" w:hint="cs"/>
          <w:sz w:val="34"/>
          <w:szCs w:val="34"/>
          <w:rtl/>
          <w:lang w:eastAsia="ar" w:bidi="ar-EG"/>
        </w:rPr>
        <w:t xml:space="preserve">200 7 </w:t>
      </w:r>
      <w:r w:rsidRPr="0034295A">
        <w:rPr>
          <w:rFonts w:ascii="Arabic Typesetting" w:hAnsi="Arabic Typesetting" w:cs="Arabic Typesetting"/>
          <w:sz w:val="34"/>
          <w:szCs w:val="34"/>
          <w:rtl/>
          <w:lang w:eastAsia="ar"/>
        </w:rPr>
        <w:t xml:space="preserve">مشاهدة للمحتوى الترويجي على شبكة الإنترنت. </w:t>
      </w:r>
    </w:p>
    <w:p w14:paraId="0413D5B4" w14:textId="661AEA0B" w:rsidR="0034295A" w:rsidRPr="00585B16" w:rsidRDefault="0034295A" w:rsidP="00585B16">
      <w:pPr>
        <w:keepLines/>
        <w:numPr>
          <w:ilvl w:val="0"/>
          <w:numId w:val="107"/>
        </w:numPr>
        <w:bidi/>
        <w:spacing w:after="120"/>
        <w:ind w:left="567" w:hanging="567"/>
        <w:jc w:val="both"/>
        <w:rPr>
          <w:rFonts w:ascii="Arabic Typesetting" w:hAnsi="Arabic Typesetting" w:cs="Arabic Typesetting"/>
          <w:sz w:val="34"/>
          <w:szCs w:val="34"/>
          <w:rtl/>
        </w:rPr>
      </w:pPr>
      <w:r w:rsidRPr="00585B16">
        <w:rPr>
          <w:rFonts w:ascii="Arabic Typesetting" w:hAnsi="Arabic Typesetting" w:cs="Arabic Typesetting"/>
          <w:i/>
          <w:iCs/>
          <w:sz w:val="34"/>
          <w:szCs w:val="34"/>
          <w:rtl/>
          <w:lang w:eastAsia="ar"/>
        </w:rPr>
        <w:lastRenderedPageBreak/>
        <w:t>إشراك أصحاب المصلحة.</w:t>
      </w:r>
      <w:r w:rsidRPr="00585B16">
        <w:rPr>
          <w:rFonts w:ascii="Arabic Typesetting" w:hAnsi="Arabic Typesetting" w:cs="Arabic Typesetting"/>
          <w:sz w:val="34"/>
          <w:szCs w:val="34"/>
          <w:rtl/>
          <w:lang w:eastAsia="ar"/>
        </w:rPr>
        <w:t xml:space="preserve"> نُفِّذت حملات رقمية متعددة المنصات دعم</w:t>
      </w:r>
      <w:r w:rsidR="001344B7">
        <w:rPr>
          <w:rFonts w:ascii="Arabic Typesetting" w:hAnsi="Arabic Typesetting" w:cs="Arabic Typesetting"/>
          <w:sz w:val="34"/>
          <w:szCs w:val="34"/>
          <w:rtl/>
          <w:lang w:eastAsia="ar"/>
        </w:rPr>
        <w:t>اً</w:t>
      </w:r>
      <w:r w:rsidRPr="00585B16">
        <w:rPr>
          <w:rFonts w:ascii="Arabic Typesetting" w:hAnsi="Arabic Typesetting" w:cs="Arabic Typesetting"/>
          <w:sz w:val="34"/>
          <w:szCs w:val="34"/>
          <w:rtl/>
          <w:lang w:eastAsia="ar"/>
        </w:rPr>
        <w:t xml:space="preserve"> لجميع الأحداث الرئيسية، بما في ذلك المؤتمر المعني بالسوق العالمية للمحتويات الرقمية (</w:t>
      </w:r>
      <w:r w:rsidR="00E62D9A" w:rsidRPr="00585B16">
        <w:rPr>
          <w:rFonts w:ascii="Arabic Typesetting" w:hAnsi="Arabic Typesetting" w:cs="Arabic Typesetting" w:hint="cs"/>
          <w:sz w:val="34"/>
          <w:szCs w:val="34"/>
          <w:rtl/>
          <w:lang w:eastAsia="ar"/>
        </w:rPr>
        <w:t xml:space="preserve">200 67 </w:t>
      </w:r>
      <w:r w:rsidRPr="00585B16">
        <w:rPr>
          <w:rFonts w:ascii="Arabic Typesetting" w:hAnsi="Arabic Typesetting" w:cs="Arabic Typesetting"/>
          <w:sz w:val="34"/>
          <w:szCs w:val="34"/>
          <w:rtl/>
          <w:lang w:eastAsia="ar"/>
        </w:rPr>
        <w:t>مشاهدة لأكثر التغريدات شعبية عبر رابط #</w:t>
      </w:r>
      <w:r w:rsidRPr="00585B16">
        <w:rPr>
          <w:rFonts w:ascii="Arabic Typesetting" w:hAnsi="Arabic Typesetting" w:cs="Arabic Typesetting"/>
          <w:sz w:val="34"/>
          <w:szCs w:val="34"/>
          <w:rtl/>
          <w:lang w:eastAsia="ar" w:bidi="en-US"/>
        </w:rPr>
        <w:t>GDCM</w:t>
      </w:r>
      <w:r w:rsidRPr="00585B16">
        <w:rPr>
          <w:rFonts w:ascii="Arabic Typesetting" w:hAnsi="Arabic Typesetting" w:cs="Arabic Typesetting"/>
          <w:sz w:val="34"/>
          <w:szCs w:val="34"/>
          <w:rtl/>
          <w:lang w:eastAsia="ar"/>
        </w:rPr>
        <w:t xml:space="preserve"> على تويتر)، ودخول معاهدة مراكش حيز النفاذ (أكثر من</w:t>
      </w:r>
      <w:r w:rsidR="00585B16" w:rsidRPr="00585B16">
        <w:rPr>
          <w:rFonts w:ascii="Arabic Typesetting" w:hAnsi="Arabic Typesetting" w:cs="Arabic Typesetting" w:hint="cs"/>
          <w:sz w:val="34"/>
          <w:szCs w:val="34"/>
          <w:rtl/>
          <w:lang w:eastAsia="ar"/>
        </w:rPr>
        <w:t xml:space="preserve"> 100 103 </w:t>
      </w:r>
      <w:r w:rsidRPr="00585B16">
        <w:rPr>
          <w:rFonts w:ascii="Arabic Typesetting" w:hAnsi="Arabic Typesetting" w:cs="Arabic Typesetting"/>
          <w:sz w:val="34"/>
          <w:szCs w:val="34"/>
          <w:rtl/>
          <w:lang w:eastAsia="ar"/>
        </w:rPr>
        <w:t>مشاهدة للتغريدة الأكثر شعبية). واجتذبت حملة اليوم العالمي للملكية الفكرية، بدعم من المكاتب الخارجية، أوسع مستوى من المشاركة فيها إلى الآن، حيث أُفيد بتنظيم 450 حدث</w:t>
      </w:r>
      <w:r w:rsidR="001344B7">
        <w:rPr>
          <w:rFonts w:ascii="Arabic Typesetting" w:hAnsi="Arabic Typesetting" w:cs="Arabic Typesetting"/>
          <w:sz w:val="34"/>
          <w:szCs w:val="34"/>
          <w:rtl/>
          <w:lang w:eastAsia="ar"/>
        </w:rPr>
        <w:t>اً</w:t>
      </w:r>
      <w:r w:rsidRPr="00585B16">
        <w:rPr>
          <w:rFonts w:ascii="Arabic Typesetting" w:hAnsi="Arabic Typesetting" w:cs="Arabic Typesetting"/>
          <w:sz w:val="34"/>
          <w:szCs w:val="34"/>
          <w:rtl/>
          <w:lang w:eastAsia="ar"/>
        </w:rPr>
        <w:t xml:space="preserve"> في 122 بلد</w:t>
      </w:r>
      <w:r w:rsidR="001344B7">
        <w:rPr>
          <w:rFonts w:ascii="Arabic Typesetting" w:hAnsi="Arabic Typesetting" w:cs="Arabic Typesetting"/>
          <w:sz w:val="34"/>
          <w:szCs w:val="34"/>
          <w:rtl/>
          <w:lang w:eastAsia="ar"/>
        </w:rPr>
        <w:t>اً</w:t>
      </w:r>
      <w:r w:rsidRPr="00585B16">
        <w:rPr>
          <w:rFonts w:ascii="Arabic Typesetting" w:hAnsi="Arabic Typesetting" w:cs="Arabic Typesetting"/>
          <w:sz w:val="34"/>
          <w:szCs w:val="34"/>
          <w:rtl/>
          <w:lang w:eastAsia="ar"/>
        </w:rPr>
        <w:t>، وتشكَّلت قاعدة عالمية من المعجبين بالحملة على فيسبوك، وفي صدارتهم المعجبون من الهند والولايات المتحدة الأمريكية والمكسيك ومصر والبرازيل على التوالي، حيث بلغ إجمالي عدد الجمهور الذي يصل إلى صفحة الحملة يومي</w:t>
      </w:r>
      <w:r w:rsidR="001344B7">
        <w:rPr>
          <w:rFonts w:ascii="Arabic Typesetting" w:hAnsi="Arabic Typesetting" w:cs="Arabic Typesetting"/>
          <w:sz w:val="34"/>
          <w:szCs w:val="34"/>
          <w:rtl/>
          <w:lang w:eastAsia="ar"/>
        </w:rPr>
        <w:t>اً</w:t>
      </w:r>
      <w:r w:rsidRPr="00585B16">
        <w:rPr>
          <w:rFonts w:ascii="Arabic Typesetting" w:hAnsi="Arabic Typesetting" w:cs="Arabic Typesetting"/>
          <w:sz w:val="34"/>
          <w:szCs w:val="34"/>
          <w:rtl/>
          <w:lang w:eastAsia="ar"/>
        </w:rPr>
        <w:t xml:space="preserve"> بطريقة طبيعية (أي غير ترويجية) ما يزيد على</w:t>
      </w:r>
      <w:r w:rsidR="00585B16" w:rsidRPr="00585B16">
        <w:rPr>
          <w:rFonts w:ascii="Arabic Typesetting" w:hAnsi="Arabic Typesetting" w:cs="Arabic Typesetting" w:hint="cs"/>
          <w:sz w:val="34"/>
          <w:szCs w:val="34"/>
          <w:rtl/>
          <w:lang w:eastAsia="ar"/>
        </w:rPr>
        <w:t xml:space="preserve"> 800 363 </w:t>
      </w:r>
      <w:r w:rsidRPr="00585B16">
        <w:rPr>
          <w:rFonts w:ascii="Arabic Typesetting" w:hAnsi="Arabic Typesetting" w:cs="Arabic Typesetting"/>
          <w:sz w:val="34"/>
          <w:szCs w:val="34"/>
          <w:rtl/>
          <w:lang w:eastAsia="ar"/>
        </w:rPr>
        <w:t>شخص. وعلى تويتر، أظهر معدَّل التفاعلات الإيجابية مع المحتوى الذي تنشئه الويبو (نحو</w:t>
      </w:r>
      <w:r w:rsidR="00585B16" w:rsidRPr="00585B16">
        <w:rPr>
          <w:rFonts w:ascii="Arabic Typesetting" w:hAnsi="Arabic Typesetting" w:cs="Arabic Typesetting" w:hint="cs"/>
          <w:sz w:val="34"/>
          <w:szCs w:val="34"/>
          <w:rtl/>
          <w:lang w:eastAsia="ar"/>
        </w:rPr>
        <w:t xml:space="preserve"> 700 19</w:t>
      </w:r>
      <w:r w:rsidRPr="00585B16">
        <w:rPr>
          <w:rFonts w:ascii="Arabic Typesetting" w:hAnsi="Arabic Typesetting" w:cs="Arabic Typesetting"/>
          <w:sz w:val="34"/>
          <w:szCs w:val="34"/>
          <w:rtl/>
          <w:lang w:eastAsia="ar"/>
        </w:rPr>
        <w:t xml:space="preserve"> إعادة تغريد) مقارنة بعدد المتابعين (أكثر من </w:t>
      </w:r>
      <w:r w:rsidR="00585B16">
        <w:rPr>
          <w:rFonts w:ascii="Arabic Typesetting" w:hAnsi="Arabic Typesetting" w:cs="Arabic Typesetting" w:hint="cs"/>
          <w:sz w:val="34"/>
          <w:szCs w:val="34"/>
          <w:rtl/>
          <w:lang w:eastAsia="ar"/>
        </w:rPr>
        <w:t>000 40</w:t>
      </w:r>
      <w:r w:rsidRPr="00585B16">
        <w:rPr>
          <w:rFonts w:ascii="Arabic Typesetting" w:hAnsi="Arabic Typesetting" w:cs="Arabic Typesetting"/>
          <w:sz w:val="34"/>
          <w:szCs w:val="34"/>
          <w:rtl/>
          <w:lang w:eastAsia="ar"/>
        </w:rPr>
        <w:t xml:space="preserve">) مستوى مرتفع من مشاركة الجمهور. </w:t>
      </w:r>
    </w:p>
    <w:p w14:paraId="07FA0DDF" w14:textId="17BC670C"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rPr>
      </w:pPr>
      <w:r w:rsidRPr="0034295A">
        <w:rPr>
          <w:rFonts w:ascii="Arabic Typesetting" w:hAnsi="Arabic Typesetting" w:cs="Arabic Typesetting"/>
          <w:i/>
          <w:iCs/>
          <w:sz w:val="34"/>
          <w:szCs w:val="34"/>
          <w:rtl/>
          <w:lang w:eastAsia="ar"/>
        </w:rPr>
        <w:t>زيادة فرص الحصول على المنشورات وتوسيع النطاق الجغرافي لتوافرها.</w:t>
      </w:r>
      <w:r w:rsidRPr="0034295A">
        <w:rPr>
          <w:rFonts w:ascii="Arabic Typesetting" w:hAnsi="Arabic Typesetting" w:cs="Arabic Typesetting"/>
          <w:sz w:val="34"/>
          <w:szCs w:val="34"/>
          <w:rtl/>
          <w:lang w:eastAsia="ar"/>
        </w:rPr>
        <w:t xml:space="preserve"> أطلقت الويبو سياسة النفاذ المفتوح بهدف تيسير إعادة استخدام منشوراتها وترجمتها إلى مختلف اللغات مجان</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وأُعيد إصدار 81 منشور</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بموجب أكثر رخص المشاع الإبداعي تسامح</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(رخصة "نسب المصنف" (</w:t>
      </w:r>
      <w:r w:rsidRPr="0034295A">
        <w:rPr>
          <w:rFonts w:ascii="Arabic Typesetting" w:hAnsi="Arabic Typesetting" w:cs="Arabic Typesetting"/>
          <w:sz w:val="34"/>
          <w:szCs w:val="34"/>
          <w:rtl/>
          <w:lang w:eastAsia="ar" w:bidi="en-US"/>
        </w:rPr>
        <w:t>CC BY</w:t>
      </w:r>
      <w:r w:rsidRPr="0034295A">
        <w:rPr>
          <w:rFonts w:ascii="Arabic Typesetting" w:hAnsi="Arabic Typesetting" w:cs="Arabic Typesetting"/>
          <w:sz w:val="34"/>
          <w:szCs w:val="34"/>
          <w:rtl/>
          <w:lang w:eastAsia="ar"/>
        </w:rPr>
        <w:t>)). وزُوِّدت أربع دول إضافية بمكتبات إيداع منشورات الويبو، ليصل إجمالي مكتبات الإيداع إلى 109 مكتبات. وعمل</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بالتزام الويبو بميثاق النشر الميسَّر، نُشر أول 17 منشور</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في أنساق ميسَّرة لفائدة القراء معاقي البصر.</w:t>
      </w:r>
    </w:p>
    <w:p w14:paraId="1EF2CF53" w14:textId="2C11B098"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rPr>
      </w:pPr>
      <w:r w:rsidRPr="0034295A">
        <w:rPr>
          <w:rFonts w:ascii="Arabic Typesetting" w:hAnsi="Arabic Typesetting" w:cs="Arabic Typesetting"/>
          <w:i/>
          <w:iCs/>
          <w:sz w:val="34"/>
          <w:szCs w:val="34"/>
          <w:rtl/>
          <w:lang w:eastAsia="ar"/>
        </w:rPr>
        <w:t>التوجُّه نحو الخدمات.</w:t>
      </w:r>
      <w:r w:rsidRPr="0034295A">
        <w:rPr>
          <w:rFonts w:ascii="Arabic Typesetting" w:hAnsi="Arabic Typesetting" w:cs="Arabic Typesetting"/>
          <w:sz w:val="34"/>
          <w:szCs w:val="34"/>
          <w:rtl/>
          <w:lang w:eastAsia="ar"/>
        </w:rPr>
        <w:t xml:space="preserve"> بدأ مجلس خدمة العملاء المنشأ حديث</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برئاسة المدير العام، توحيد عملية التعامل مع استفسارات العملاء في جميع النظم العالمية للملكية الفكرية وغيرها من الخدمات، بما في ذلك في المكاتب الخارجية.</w:t>
      </w:r>
    </w:p>
    <w:p w14:paraId="6408562D" w14:textId="3983990F"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rPr>
      </w:pPr>
      <w:r w:rsidRPr="0034295A">
        <w:rPr>
          <w:rFonts w:ascii="Arabic Typesetting" w:hAnsi="Arabic Typesetting" w:cs="Arabic Typesetting"/>
          <w:sz w:val="34"/>
          <w:szCs w:val="34"/>
          <w:rtl/>
          <w:lang w:eastAsia="ar"/>
        </w:rPr>
        <w:t>وفيما يتعلق بالعلاقات الخارجية، بدأ خلال عام 2016 تنفيذ عدَّة عمليات حكومية دولية وفي إطار منظومة الأمم المتحدة لها صلة بولاية الويبو، بما في ذلك، من بين عمليات أخرى، خطة التنمية المستدامة لعام 2030، والمؤتمر الثالث لتمويل التنمية، واتفاق باريس بموجب اتفاقية الأمم المتحدة الإطارية بشأن تغير المناخ، والدورة الرابعة عشرة لمؤتمر الأمم المتحدة للتجارة والتنمية (الأونكتاد). وواصلت الويبو، بصفتها إحدى وكالات الأمم المتحدة المتخصصة، ووفق</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لولايتها وللتوصيتين 30 و40 من التوصيات المعتمدة في إطار أجندة الويبو بشأن التنمية، تأدية دورها في دعم تلك العمليات من خلال مشاركتها الاستراتيجية وتوفير المعلومات المتوازنة والمستندة إلى القرائن، فضل</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عن دورها في الاستجابة في الوقت المناسب للطلبات المحدَّدة التي ترد إليها لتقديم المساهمات أو التعاون. </w:t>
      </w:r>
    </w:p>
    <w:p w14:paraId="2EDEF0F0" w14:textId="4C12A7B5"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rPr>
      </w:pPr>
      <w:r w:rsidRPr="0034295A">
        <w:rPr>
          <w:rFonts w:ascii="Arabic Typesetting" w:hAnsi="Arabic Typesetting" w:cs="Arabic Typesetting"/>
          <w:sz w:val="34"/>
          <w:szCs w:val="34"/>
          <w:rtl/>
          <w:lang w:eastAsia="ar"/>
        </w:rPr>
        <w:t>وساعدت الويبو، بصفتها عضو</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في فريق العمل المشترك بين وكالات الأمم المتحدة المعني بتسخير العلم والتكنولوجيا والابتكار لأغراض أهداف التنمية المستدامة، في تنظيم أول منتدى متعدد أصحاب المصلحة معني بتسخير العلم والتكنولوجيا والابتكار لأغراض أهداف التنمية المستدامة. وقد انعقد المنتدى بدعوة من رئيس المجلس الاقتصادي والاجتماعي، وكان موضوعه "تسخير إمكانات العلم والتكنولوجيا والابتكار حتى يحقِّق الجميع أهداف التنمية المستدامة". ودعمت الويبو أيض</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بصفة مراقب، عمل فريق الخبراء المشترك بين الوكالات المعني بمؤشرات أهداف التنمية المستدامة واللجنة الإحصائية، وأتاحت ما لديها من مجموعات البيانات ومنهجيات البيانات بناء على طلب الدول الأعضاء.</w:t>
      </w:r>
    </w:p>
    <w:p w14:paraId="39CDF2F1" w14:textId="03918A3C"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rPr>
      </w:pPr>
      <w:r w:rsidRPr="0034295A">
        <w:rPr>
          <w:rFonts w:ascii="Arabic Typesetting" w:hAnsi="Arabic Typesetting" w:cs="Arabic Typesetting"/>
          <w:sz w:val="34"/>
          <w:szCs w:val="34"/>
          <w:rtl/>
          <w:lang w:eastAsia="ar"/>
        </w:rPr>
        <w:t>واستمرت شبكة الويبو من المكاتب الخارجية تشكِّل جزء</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لا يتجزأ من المنظمة </w:t>
      </w:r>
      <w:r w:rsidR="00823608">
        <w:rPr>
          <w:rFonts w:ascii="Arabic Typesetting" w:hAnsi="Arabic Typesetting" w:cs="Arabic Typesetting" w:hint="cs"/>
          <w:sz w:val="34"/>
          <w:szCs w:val="34"/>
          <w:rtl/>
          <w:lang w:eastAsia="ar"/>
        </w:rPr>
        <w:t>تقريباً</w:t>
      </w:r>
      <w:r w:rsidRPr="0034295A">
        <w:rPr>
          <w:rFonts w:ascii="Arabic Typesetting" w:hAnsi="Arabic Typesetting" w:cs="Arabic Typesetting"/>
          <w:sz w:val="34"/>
          <w:szCs w:val="34"/>
          <w:rtl/>
          <w:lang w:eastAsia="ar"/>
        </w:rPr>
        <w:t xml:space="preserve"> </w:t>
      </w:r>
      <w:r w:rsidR="00823608">
        <w:rPr>
          <w:rFonts w:ascii="Arabic Typesetting" w:hAnsi="Arabic Typesetting" w:cs="Arabic Typesetting" w:hint="cs"/>
          <w:sz w:val="34"/>
          <w:szCs w:val="34"/>
          <w:rtl/>
          <w:lang w:eastAsia="ar"/>
        </w:rPr>
        <w:t>ل</w:t>
      </w:r>
      <w:r w:rsidRPr="0034295A">
        <w:rPr>
          <w:rFonts w:ascii="Arabic Typesetting" w:hAnsi="Arabic Typesetting" w:cs="Arabic Typesetting"/>
          <w:sz w:val="34"/>
          <w:szCs w:val="34"/>
          <w:rtl/>
          <w:lang w:eastAsia="ar"/>
        </w:rPr>
        <w:t xml:space="preserve">خدمات الويبو وتعاونها إلى الدول الأعضاء وأصحاب المصلحة والشركاء، ومن ثمَّ تعزيز الكفاءة والفعالية في تنفيذ البرامج، علاوةً على الاستجابة للاحتياجات والأولويات المحددة في البلدان والمناطق التي تعمل على خدمتها. وفي عام 2016، ركَّزت المكاتب جهودها على الترويج لما توفِّره الويبو من أنظمة التسجيل الدولية والمنصات وأنظمة مكاتب الملكية الفكرية، إلى جانب تعزيز العلاقات مع طائفة متنوعة من أصحاب المصلحة. </w:t>
      </w:r>
    </w:p>
    <w:p w14:paraId="3AD8C2ED" w14:textId="7569384B" w:rsidR="0034295A" w:rsidRPr="00B24A4C" w:rsidRDefault="0034295A" w:rsidP="00121288">
      <w:pPr>
        <w:pStyle w:val="Heading2AR"/>
        <w:rPr>
          <w:iCs/>
          <w:rtl/>
        </w:rPr>
      </w:pPr>
      <w:r w:rsidRPr="00B24A4C">
        <w:rPr>
          <w:rtl/>
          <w:lang w:eastAsia="ar"/>
        </w:rPr>
        <w:lastRenderedPageBreak/>
        <w:t>الهدف الاستراتيجي التاسع</w:t>
      </w:r>
      <w:r w:rsidR="00121288">
        <w:rPr>
          <w:rFonts w:hint="cs"/>
          <w:rtl/>
          <w:lang w:eastAsia="ar"/>
        </w:rPr>
        <w:t xml:space="preserve"> -</w:t>
      </w:r>
      <w:r>
        <w:rPr>
          <w:rtl/>
          <w:lang w:eastAsia="ar"/>
        </w:rPr>
        <w:t xml:space="preserve"> </w:t>
      </w:r>
      <w:r w:rsidRPr="00B24A4C">
        <w:rPr>
          <w:rtl/>
          <w:lang w:eastAsia="ar"/>
        </w:rPr>
        <w:t>دعم إداري ومالي فعال لتمكين الويبو من تنفيذ برامجها</w:t>
      </w:r>
    </w:p>
    <w:p w14:paraId="28BAD29E" w14:textId="69A612D0" w:rsidR="0034295A" w:rsidRPr="00B24A4C" w:rsidRDefault="00D86F42" w:rsidP="0034295A">
      <w:pPr>
        <w:bidi/>
        <w:jc w:val="center"/>
        <w:rPr>
          <w:rFonts w:ascii="Arabic Typesetting" w:hAnsi="Arabic Typesetting" w:cs="Arabic Typesetting"/>
          <w:sz w:val="36"/>
          <w:szCs w:val="36"/>
          <w:rtl/>
          <w:lang w:val="en"/>
        </w:rPr>
      </w:pPr>
      <w:r>
        <w:rPr>
          <w:rFonts w:ascii="Arabic Typesetting" w:hAnsi="Arabic Typesetting" w:cs="Arabic Typesetting"/>
          <w:noProof/>
          <w:sz w:val="36"/>
          <w:szCs w:val="36"/>
        </w:rPr>
        <w:drawing>
          <wp:inline distT="0" distB="0" distL="0" distR="0" wp14:anchorId="1FA63FE6" wp14:editId="7184E9B5">
            <wp:extent cx="3568240" cy="216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8240" cy="2160000"/>
                    </a:xfrm>
                    <a:prstGeom prst="rect">
                      <a:avLst/>
                    </a:prstGeom>
                    <a:noFill/>
                  </pic:spPr>
                </pic:pic>
              </a:graphicData>
            </a:graphic>
          </wp:inline>
        </w:drawing>
      </w:r>
    </w:p>
    <w:p w14:paraId="222ECD0B" w14:textId="77777777" w:rsidR="0034295A" w:rsidRPr="0034295A" w:rsidRDefault="0034295A" w:rsidP="0034295A">
      <w:pPr>
        <w:pStyle w:val="NumberedParaAR"/>
        <w:tabs>
          <w:tab w:val="clear" w:pos="567"/>
        </w:tabs>
        <w:spacing w:line="320" w:lineRule="exact"/>
        <w:rPr>
          <w:sz w:val="34"/>
          <w:szCs w:val="34"/>
          <w:rtl/>
        </w:rPr>
      </w:pPr>
      <w:r w:rsidRPr="0034295A">
        <w:rPr>
          <w:sz w:val="34"/>
          <w:szCs w:val="34"/>
          <w:rtl/>
        </w:rPr>
        <w:t>استمر في عام 2016 تعزيز إدارة برامج الويبو وماليتها من أجل توظيف الموارد بمزيدٍ من الفعالية ولإرساء أفضل الممارسات في مجال من مجالات الإدارة يعالج التخطيط وإدارة الأداء وتوفير التيسير والدعم لمختلف الأنشطة التشغيلية عبر المنظمة.</w:t>
      </w:r>
    </w:p>
    <w:p w14:paraId="787CEA12" w14:textId="618B3FE8"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وأنهت الويبو العام بنتيجة إجمالية إيجابية بلغت 32 مليون فرنك سويسري بناءً على المعايير المحاسبية الدولية للقطاع العام. ووصل الدخل في عام 2016 قبل التسويات المحاسبية وفق</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للمعايير المذكورة إلى 384.7 مليون فرنك سويسري، وهو ما يزيد بمبلغ 11.4 مليون فرنك سويسري عن الهدف الخطي البالغ 373.3 مليون فرنك سويسري. وبلغ إجمالي النفقات من الميزانية 92.6 في المائة من الهدف الخطي المقابل (322.2 مليون فرنك سويسري مقارنة بالهدف الخطي البالغ 347.9 مليون فرنك سويسري في عام 2016).</w:t>
      </w:r>
    </w:p>
    <w:p w14:paraId="6B2CB4E4" w14:textId="77777777"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 xml:space="preserve">استمر تحسين عمليات تخطيط العمل السنوية في عام 2016، حيث استُحدث أسلوب أكثر منهجية لاستعراض تنفيذ خطط العمل، بما في ذلك إجراء استعراض على نطاق المنظمة بأسرها في منتصف العام وفي آخر العام. </w:t>
      </w:r>
    </w:p>
    <w:p w14:paraId="2D246E83" w14:textId="2EDEBB00"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وأُحرز تقدُّم في عدَّة مشاريع في إطار نظام التخطيط للموارد المؤسسية، بما في ذلك إدارة المواهب وإدارة جهات الاتصال وإدارة الوقت والخدمة الذاتية. وأُجري استعراض شامل لهيكل المدفوعات في إطار مشروع إدارة الإيرادات. ونُفِّذت بنجاح مجموعة عناصر الأجر المنقَّحة التي اقترحتها لجنة الخدمة المدنية الدولية، وجرى تحسين توقع التكاليف ووضع الميزانيات فيما يتعلق بالترجمة في إطار معاهدة التعاون بشأن البراءات من خلال استخدام أداة تخطيط الويبو. وانخفض وقت التعيين إلى 18.81 أسبوع</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في عام 2016، مقارنة بفترة 26.32 أسبوع</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في عام 2016، حيث استقرت أداة التوظيف تاليو (</w:t>
      </w:r>
      <w:r w:rsidRPr="0034295A">
        <w:rPr>
          <w:rFonts w:ascii="Arabic Typesetting" w:hAnsi="Arabic Typesetting" w:cs="Arabic Typesetting"/>
          <w:sz w:val="34"/>
          <w:szCs w:val="34"/>
          <w:rtl/>
          <w:lang w:eastAsia="ar" w:bidi="en-US"/>
        </w:rPr>
        <w:t>Taleo</w:t>
      </w:r>
      <w:r w:rsidRPr="0034295A">
        <w:rPr>
          <w:rFonts w:ascii="Arabic Typesetting" w:hAnsi="Arabic Typesetting" w:cs="Arabic Typesetting"/>
          <w:sz w:val="34"/>
          <w:szCs w:val="34"/>
          <w:rtl/>
          <w:lang w:eastAsia="ar"/>
        </w:rPr>
        <w:t>) خلال عام 2016.</w:t>
      </w:r>
    </w:p>
    <w:p w14:paraId="69B06FC7" w14:textId="77777777"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وجرى تعزيز الإبلاغ عن المخاطر بحيث يُقدَّم تقرير ربع سنوي يضمُّ لمحة عامة رفيعة المستوى عن محفظة المخاطر، بالاقتران مع الإبلاغ عن المخاطر الخارجية، التي تؤثر على بيئة التشغيل والمخاطر التي تعمل فيها المنظمة.</w:t>
      </w:r>
    </w:p>
    <w:p w14:paraId="30BD1D7B" w14:textId="14F5CE98"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وأُحرز تقدُّم كبير في تعزيز ضوابط الويبو الداخلية، حيث طُبِّق تقييم ذاتي منهجي على 39 من الضوابط المعمول بها على مستوى المنظمة بأسرها بهدف تقييم فعالية تلك الضوابط ومدى نضجها. وكان هذا التقييم بمثابة الأساس الذي اعتمد عليه كبار الموظفين في التوقيع على خطابات التمثيل الإداري استناد</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إلى القرائن في إطار الإقفال المالي للعام. </w:t>
      </w:r>
    </w:p>
    <w:p w14:paraId="6220B8A5" w14:textId="0C08F77D" w:rsidR="0034295A" w:rsidRPr="0034295A" w:rsidRDefault="0034295A" w:rsidP="00BF5D93">
      <w:pPr>
        <w:keepLines/>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lastRenderedPageBreak/>
        <w:t>وبغية توفير المزيد من المرونة وتحسين الخدمات المقدَّمة للعملاء، ففي عام 2016: "1" نُفِّذ نظام التحويل الدينامي للعملة، وهو ما أدى إلى تراجع هامش البطاقات الائتمانية من 2.2 في المائة إلى 1.4 في المائة وتخفيض الرسوم وإتاحة المزيد من الخيارات للعملاء؛ "2" وجرى توسيع نطاق استخدام منصة الدفع الإلكتروني ليشمل مركز الويبو للتحكيم والوساطة؛ "3"</w:t>
      </w:r>
      <w:r w:rsidR="00BF5D93">
        <w:rPr>
          <w:rFonts w:ascii="Arabic Typesetting" w:hAnsi="Arabic Typesetting" w:cs="Arabic Typesetting" w:hint="cs"/>
          <w:sz w:val="34"/>
          <w:szCs w:val="34"/>
          <w:rtl/>
          <w:lang w:eastAsia="ar"/>
        </w:rPr>
        <w:t> </w:t>
      </w:r>
      <w:r w:rsidRPr="0034295A">
        <w:rPr>
          <w:rFonts w:ascii="Arabic Typesetting" w:hAnsi="Arabic Typesetting" w:cs="Arabic Typesetting"/>
          <w:sz w:val="34"/>
          <w:szCs w:val="34"/>
          <w:rtl/>
          <w:lang w:eastAsia="ar"/>
        </w:rPr>
        <w:t>وأُدخلت تحسينات على نظام الحسابات الجارية بحيث يقدِّم للعملاء خيارات أيسر للتسوية وفتح الحسابات والإبقاء</w:t>
      </w:r>
      <w:r w:rsidR="00BF5D93">
        <w:rPr>
          <w:rFonts w:ascii="Arabic Typesetting" w:hAnsi="Arabic Typesetting" w:cs="Arabic Typesetting" w:hint="cs"/>
          <w:sz w:val="34"/>
          <w:szCs w:val="34"/>
          <w:rtl/>
          <w:lang w:eastAsia="ar"/>
        </w:rPr>
        <w:t> </w:t>
      </w:r>
      <w:r w:rsidRPr="0034295A">
        <w:rPr>
          <w:rFonts w:ascii="Arabic Typesetting" w:hAnsi="Arabic Typesetting" w:cs="Arabic Typesetting"/>
          <w:sz w:val="34"/>
          <w:szCs w:val="34"/>
          <w:rtl/>
          <w:lang w:eastAsia="ar"/>
        </w:rPr>
        <w:t xml:space="preserve">عليها. </w:t>
      </w:r>
    </w:p>
    <w:p w14:paraId="1C587E4A" w14:textId="6B450339" w:rsidR="0034295A" w:rsidRPr="0034295A" w:rsidRDefault="0034295A" w:rsidP="001344B7">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 xml:space="preserve">وبدأ سداد القرض إلى </w:t>
      </w:r>
      <w:r w:rsidR="001344B7">
        <w:rPr>
          <w:rFonts w:ascii="Arabic Typesetting" w:hAnsi="Arabic Typesetting" w:cs="Arabic Typesetting"/>
          <w:sz w:val="34"/>
          <w:szCs w:val="34"/>
          <w:rtl/>
          <w:lang w:eastAsia="ar"/>
        </w:rPr>
        <w:t>مصرف</w:t>
      </w:r>
      <w:r w:rsidRPr="0034295A">
        <w:rPr>
          <w:rFonts w:ascii="Arabic Typesetting" w:hAnsi="Arabic Typesetting" w:cs="Arabic Typesetting"/>
          <w:sz w:val="34"/>
          <w:szCs w:val="34"/>
          <w:rtl/>
          <w:lang w:eastAsia="ar"/>
        </w:rPr>
        <w:t xml:space="preserve"> </w:t>
      </w:r>
      <w:r w:rsidR="005F0B26">
        <w:rPr>
          <w:rFonts w:ascii="Arabic Typesetting" w:hAnsi="Arabic Typesetting" w:cs="Arabic Typesetting"/>
          <w:sz w:val="34"/>
          <w:szCs w:val="34"/>
          <w:lang w:eastAsia="ar" w:bidi="en-US"/>
        </w:rPr>
        <w:t>Banque Cantonale de Genève</w:t>
      </w:r>
      <w:r w:rsidRPr="0034295A">
        <w:rPr>
          <w:rFonts w:ascii="Arabic Typesetting" w:hAnsi="Arabic Typesetting" w:cs="Arabic Typesetting"/>
          <w:sz w:val="34"/>
          <w:szCs w:val="34"/>
          <w:rtl/>
          <w:lang w:eastAsia="ar"/>
        </w:rPr>
        <w:t xml:space="preserve"> باستخدام أرصدة السيولة الأساسية، وهو ما أسفر عن توفير مبلغ 0.3 مليون فرنك سويسري نتيجة خفض نفقات الفوائد. كما شهدت أرصدة السيولة التشغيلية زيادة في الأمان وتنويع المخاطر عن طريق توسيع قاعدة أطراف الاستثمار المناظرة المتاحة بنسبة 33 في المائة في عام 2016 لتشمل مصارف إضافية (</w:t>
      </w:r>
      <w:r w:rsidR="001344B7">
        <w:rPr>
          <w:rFonts w:ascii="Arabic Typesetting" w:hAnsi="Arabic Typesetting" w:cs="Arabic Typesetting"/>
          <w:sz w:val="34"/>
          <w:szCs w:val="34"/>
          <w:rtl/>
          <w:lang w:eastAsia="ar"/>
        </w:rPr>
        <w:t>مصرف</w:t>
      </w:r>
      <w:r w:rsidRPr="0034295A">
        <w:rPr>
          <w:rFonts w:ascii="Arabic Typesetting" w:hAnsi="Arabic Typesetting" w:cs="Arabic Typesetting"/>
          <w:sz w:val="34"/>
          <w:szCs w:val="34"/>
          <w:rtl/>
          <w:lang w:eastAsia="ar"/>
        </w:rPr>
        <w:t xml:space="preserve"> </w:t>
      </w:r>
      <w:r w:rsidRPr="0034295A">
        <w:rPr>
          <w:rFonts w:ascii="Arabic Typesetting" w:hAnsi="Arabic Typesetting" w:cs="Arabic Typesetting"/>
          <w:sz w:val="34"/>
          <w:szCs w:val="34"/>
          <w:rtl/>
          <w:lang w:eastAsia="ar" w:bidi="en-US"/>
        </w:rPr>
        <w:t>Barclays Bank PLC</w:t>
      </w:r>
      <w:r w:rsidRPr="0034295A">
        <w:rPr>
          <w:rFonts w:ascii="Arabic Typesetting" w:hAnsi="Arabic Typesetting" w:cs="Arabic Typesetting"/>
          <w:sz w:val="34"/>
          <w:szCs w:val="34"/>
          <w:rtl/>
          <w:lang w:eastAsia="ar"/>
        </w:rPr>
        <w:t>، و</w:t>
      </w:r>
      <w:r w:rsidR="001344B7">
        <w:rPr>
          <w:rFonts w:ascii="Arabic Typesetting" w:hAnsi="Arabic Typesetting" w:cs="Arabic Typesetting"/>
          <w:sz w:val="34"/>
          <w:szCs w:val="34"/>
          <w:rtl/>
          <w:lang w:eastAsia="ar"/>
        </w:rPr>
        <w:t>مصرف</w:t>
      </w:r>
      <w:r w:rsidRPr="0034295A">
        <w:rPr>
          <w:rFonts w:ascii="Arabic Typesetting" w:hAnsi="Arabic Typesetting" w:cs="Arabic Typesetting"/>
          <w:sz w:val="34"/>
          <w:szCs w:val="34"/>
          <w:rtl/>
          <w:lang w:eastAsia="ar"/>
        </w:rPr>
        <w:t xml:space="preserve"> </w:t>
      </w:r>
      <w:r w:rsidR="005F0B26">
        <w:rPr>
          <w:rFonts w:ascii="Arabic Typesetting" w:hAnsi="Arabic Typesetting" w:cs="Arabic Typesetting"/>
          <w:sz w:val="34"/>
          <w:szCs w:val="34"/>
          <w:lang w:eastAsia="ar" w:bidi="ar-EG"/>
        </w:rPr>
        <w:t>Credit Mutuel</w:t>
      </w:r>
      <w:r w:rsidRPr="0034295A">
        <w:rPr>
          <w:rFonts w:ascii="Arabic Typesetting" w:hAnsi="Arabic Typesetting" w:cs="Arabic Typesetting"/>
          <w:sz w:val="34"/>
          <w:szCs w:val="34"/>
          <w:rtl/>
          <w:lang w:eastAsia="ar"/>
        </w:rPr>
        <w:t>، و</w:t>
      </w:r>
      <w:r w:rsidR="001344B7">
        <w:rPr>
          <w:rFonts w:ascii="Arabic Typesetting" w:hAnsi="Arabic Typesetting" w:cs="Arabic Typesetting"/>
          <w:sz w:val="34"/>
          <w:szCs w:val="34"/>
          <w:rtl/>
          <w:lang w:eastAsia="ar"/>
        </w:rPr>
        <w:t>مصرف</w:t>
      </w:r>
      <w:r w:rsidRPr="0034295A">
        <w:rPr>
          <w:rFonts w:ascii="Arabic Typesetting" w:hAnsi="Arabic Typesetting" w:cs="Arabic Typesetting"/>
          <w:sz w:val="34"/>
          <w:szCs w:val="34"/>
          <w:rtl/>
          <w:lang w:eastAsia="ar"/>
        </w:rPr>
        <w:t xml:space="preserve"> </w:t>
      </w:r>
      <w:r w:rsidRPr="0034295A">
        <w:rPr>
          <w:rFonts w:ascii="Arabic Typesetting" w:hAnsi="Arabic Typesetting" w:cs="Arabic Typesetting"/>
          <w:sz w:val="34"/>
          <w:szCs w:val="34"/>
          <w:rtl/>
          <w:lang w:eastAsia="ar" w:bidi="en-US"/>
        </w:rPr>
        <w:t>Raiffeisen</w:t>
      </w:r>
      <w:r w:rsidRPr="0034295A">
        <w:rPr>
          <w:rFonts w:ascii="Arabic Typesetting" w:hAnsi="Arabic Typesetting" w:cs="Arabic Typesetting"/>
          <w:sz w:val="34"/>
          <w:szCs w:val="34"/>
          <w:rtl/>
          <w:lang w:eastAsia="ar"/>
        </w:rPr>
        <w:t xml:space="preserve">) تفي بمعايير الويبو فيما يتعلق بالتصنيف الائتماني. </w:t>
      </w:r>
    </w:p>
    <w:p w14:paraId="09F1A963" w14:textId="77777777"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وعقب تنفيذ سياسة الاستثمار الجديدة في أواخر عام 2015، اكتملت عملية طلب العروض لإدارة صناديق الاستثمار في عام 2016، وبدأت عملية جديدة لطلب العروض لتولي دور المتعهد العام.</w:t>
      </w:r>
    </w:p>
    <w:p w14:paraId="16FBFFE7" w14:textId="711E135D" w:rsidR="0034295A" w:rsidRPr="0034295A" w:rsidRDefault="0034295A" w:rsidP="00D02C02">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 xml:space="preserve">وشملت المبادرات الأخرى المتعلقة بالخزانة ما يلي: "1" زيادة القدرات التشغيلية وكفاءة التسعير اللازمة للتعامل في العقود الآجلة وعقود المقايضة من </w:t>
      </w:r>
      <w:r w:rsidR="001344B7">
        <w:rPr>
          <w:rFonts w:ascii="Arabic Typesetting" w:hAnsi="Arabic Typesetting" w:cs="Arabic Typesetting"/>
          <w:sz w:val="34"/>
          <w:szCs w:val="34"/>
          <w:rtl/>
          <w:lang w:eastAsia="ar"/>
        </w:rPr>
        <w:t>مصرف</w:t>
      </w:r>
      <w:r w:rsidRPr="0034295A">
        <w:rPr>
          <w:rFonts w:ascii="Arabic Typesetting" w:hAnsi="Arabic Typesetting" w:cs="Arabic Typesetting"/>
          <w:sz w:val="34"/>
          <w:szCs w:val="34"/>
          <w:rtl/>
          <w:lang w:eastAsia="ar"/>
        </w:rPr>
        <w:t xml:space="preserve"> </w:t>
      </w:r>
      <w:r w:rsidRPr="0034295A">
        <w:rPr>
          <w:rFonts w:ascii="Arabic Typesetting" w:hAnsi="Arabic Typesetting" w:cs="Arabic Typesetting"/>
          <w:sz w:val="34"/>
          <w:szCs w:val="34"/>
          <w:rtl/>
          <w:lang w:eastAsia="ar" w:bidi="en-US"/>
        </w:rPr>
        <w:t>Credit Suisse</w:t>
      </w:r>
      <w:r w:rsidRPr="0034295A">
        <w:rPr>
          <w:rFonts w:ascii="Arabic Typesetting" w:hAnsi="Arabic Typesetting" w:cs="Arabic Typesetting"/>
          <w:sz w:val="34"/>
          <w:szCs w:val="34"/>
          <w:rtl/>
          <w:lang w:eastAsia="ar"/>
        </w:rPr>
        <w:t xml:space="preserve"> لتشمل </w:t>
      </w:r>
      <w:r w:rsidR="001344B7">
        <w:rPr>
          <w:rFonts w:ascii="Arabic Typesetting" w:hAnsi="Arabic Typesetting" w:cs="Arabic Typesetting"/>
          <w:sz w:val="34"/>
          <w:szCs w:val="34"/>
          <w:rtl/>
          <w:lang w:eastAsia="ar"/>
        </w:rPr>
        <w:t>مصرف</w:t>
      </w:r>
      <w:r w:rsidRPr="0034295A">
        <w:rPr>
          <w:rFonts w:ascii="Arabic Typesetting" w:hAnsi="Arabic Typesetting" w:cs="Arabic Typesetting"/>
          <w:sz w:val="34"/>
          <w:szCs w:val="34"/>
          <w:rtl/>
          <w:lang w:eastAsia="ar"/>
        </w:rPr>
        <w:t xml:space="preserve"> </w:t>
      </w:r>
      <w:r w:rsidRPr="0034295A">
        <w:rPr>
          <w:rFonts w:ascii="Arabic Typesetting" w:hAnsi="Arabic Typesetting" w:cs="Arabic Typesetting"/>
          <w:sz w:val="34"/>
          <w:szCs w:val="34"/>
          <w:rtl/>
          <w:lang w:eastAsia="ar" w:bidi="en-US"/>
        </w:rPr>
        <w:t>UBS</w:t>
      </w:r>
      <w:r w:rsidRPr="0034295A">
        <w:rPr>
          <w:rFonts w:ascii="Arabic Typesetting" w:hAnsi="Arabic Typesetting" w:cs="Arabic Typesetting"/>
          <w:sz w:val="34"/>
          <w:szCs w:val="34"/>
          <w:rtl/>
          <w:lang w:eastAsia="ar"/>
        </w:rPr>
        <w:t>، و</w:t>
      </w:r>
      <w:r w:rsidR="001344B7">
        <w:rPr>
          <w:rFonts w:ascii="Arabic Typesetting" w:hAnsi="Arabic Typesetting" w:cs="Arabic Typesetting"/>
          <w:sz w:val="34"/>
          <w:szCs w:val="34"/>
          <w:rtl/>
          <w:lang w:eastAsia="ar"/>
        </w:rPr>
        <w:t>مصرف</w:t>
      </w:r>
      <w:r w:rsidRPr="0034295A">
        <w:rPr>
          <w:rFonts w:ascii="Arabic Typesetting" w:hAnsi="Arabic Typesetting" w:cs="Arabic Typesetting"/>
          <w:sz w:val="34"/>
          <w:szCs w:val="34"/>
          <w:rtl/>
          <w:lang w:eastAsia="ar"/>
        </w:rPr>
        <w:t xml:space="preserve"> </w:t>
      </w:r>
      <w:r w:rsidRPr="0034295A">
        <w:rPr>
          <w:rFonts w:ascii="Arabic Typesetting" w:hAnsi="Arabic Typesetting" w:cs="Arabic Typesetting"/>
          <w:sz w:val="34"/>
          <w:szCs w:val="34"/>
          <w:rtl/>
          <w:lang w:eastAsia="ar" w:bidi="en-US"/>
        </w:rPr>
        <w:t>Société Générale</w:t>
      </w:r>
      <w:r w:rsidRPr="0034295A">
        <w:rPr>
          <w:rFonts w:ascii="Arabic Typesetting" w:hAnsi="Arabic Typesetting" w:cs="Arabic Typesetting"/>
          <w:sz w:val="34"/>
          <w:szCs w:val="34"/>
          <w:rtl/>
          <w:lang w:eastAsia="ar"/>
        </w:rPr>
        <w:t>، و</w:t>
      </w:r>
      <w:r w:rsidR="001344B7">
        <w:rPr>
          <w:rFonts w:ascii="Arabic Typesetting" w:hAnsi="Arabic Typesetting" w:cs="Arabic Typesetting"/>
          <w:sz w:val="34"/>
          <w:szCs w:val="34"/>
          <w:rtl/>
          <w:lang w:eastAsia="ar"/>
        </w:rPr>
        <w:t>مصرف</w:t>
      </w:r>
      <w:r w:rsidRPr="0034295A">
        <w:rPr>
          <w:rFonts w:ascii="Arabic Typesetting" w:hAnsi="Arabic Typesetting" w:cs="Arabic Typesetting"/>
          <w:sz w:val="34"/>
          <w:szCs w:val="34"/>
          <w:rtl/>
          <w:lang w:eastAsia="ar"/>
        </w:rPr>
        <w:t xml:space="preserve"> </w:t>
      </w:r>
      <w:r w:rsidR="00D02C02">
        <w:rPr>
          <w:rFonts w:ascii="Arabic Typesetting" w:hAnsi="Arabic Typesetting" w:cs="Arabic Typesetting"/>
          <w:sz w:val="34"/>
          <w:szCs w:val="34"/>
          <w:lang w:eastAsia="ar" w:bidi="en-US"/>
        </w:rPr>
        <w:t>Bank of America</w:t>
      </w:r>
      <w:r w:rsidRPr="0034295A">
        <w:rPr>
          <w:rFonts w:ascii="Arabic Typesetting" w:hAnsi="Arabic Typesetting" w:cs="Arabic Typesetting"/>
          <w:sz w:val="34"/>
          <w:szCs w:val="34"/>
          <w:rtl/>
          <w:lang w:eastAsia="ar"/>
        </w:rPr>
        <w:t xml:space="preserve">؛ "2" وإجراء حسابات الحالة اليومية للأموال النقدية لدى الويبو وتنبؤات التدفقات النقدية على مدار 3 أشهر من أجل إدارة حالة السيولة لدى المنظمة، والرسوم الناتجة عن أسعار الفائدة السلبية، وضمان أنَّ المنظمة لديها في جميع الأحوال إمكانية الوصول إلى موارد نقدية كافية للوفاء بالتزاماتها المالية؛ "3" وضمان كفاءة التسعير وزيادة المنافسة في معاملات الصرف الأجنبي الآنية، عن طريق توسيع قاعدة الجهات التي توفِّر السيولة الأجنبية لتشمل </w:t>
      </w:r>
      <w:r w:rsidR="001344B7">
        <w:rPr>
          <w:rFonts w:ascii="Arabic Typesetting" w:hAnsi="Arabic Typesetting" w:cs="Arabic Typesetting"/>
          <w:sz w:val="34"/>
          <w:szCs w:val="34"/>
          <w:rtl/>
          <w:lang w:eastAsia="ar"/>
        </w:rPr>
        <w:t>مصرف</w:t>
      </w:r>
      <w:r w:rsidRPr="0034295A">
        <w:rPr>
          <w:rFonts w:ascii="Arabic Typesetting" w:hAnsi="Arabic Typesetting" w:cs="Arabic Typesetting"/>
          <w:sz w:val="34"/>
          <w:szCs w:val="34"/>
          <w:rtl/>
          <w:lang w:eastAsia="ar"/>
        </w:rPr>
        <w:t xml:space="preserve"> </w:t>
      </w:r>
      <w:r w:rsidRPr="0034295A">
        <w:rPr>
          <w:rFonts w:ascii="Arabic Typesetting" w:hAnsi="Arabic Typesetting" w:cs="Arabic Typesetting"/>
          <w:sz w:val="34"/>
          <w:szCs w:val="34"/>
          <w:rtl/>
          <w:lang w:eastAsia="ar" w:bidi="en-US"/>
        </w:rPr>
        <w:t>Société Générale</w:t>
      </w:r>
      <w:r w:rsidRPr="0034295A">
        <w:rPr>
          <w:rFonts w:ascii="Arabic Typesetting" w:hAnsi="Arabic Typesetting" w:cs="Arabic Typesetting"/>
          <w:sz w:val="34"/>
          <w:szCs w:val="34"/>
          <w:rtl/>
          <w:lang w:eastAsia="ar"/>
        </w:rPr>
        <w:t>، و</w:t>
      </w:r>
      <w:r w:rsidR="001344B7">
        <w:rPr>
          <w:rFonts w:ascii="Arabic Typesetting" w:hAnsi="Arabic Typesetting" w:cs="Arabic Typesetting"/>
          <w:sz w:val="34"/>
          <w:szCs w:val="34"/>
          <w:rtl/>
          <w:lang w:eastAsia="ar"/>
        </w:rPr>
        <w:t>مصرف</w:t>
      </w:r>
      <w:r w:rsidRPr="0034295A">
        <w:rPr>
          <w:rFonts w:ascii="Arabic Typesetting" w:hAnsi="Arabic Typesetting" w:cs="Arabic Typesetting"/>
          <w:sz w:val="34"/>
          <w:szCs w:val="34"/>
          <w:rtl/>
          <w:lang w:eastAsia="ar"/>
        </w:rPr>
        <w:t xml:space="preserve"> </w:t>
      </w:r>
      <w:r w:rsidRPr="0034295A">
        <w:rPr>
          <w:rFonts w:ascii="Arabic Typesetting" w:hAnsi="Arabic Typesetting" w:cs="Arabic Typesetting"/>
          <w:sz w:val="34"/>
          <w:szCs w:val="34"/>
          <w:rtl/>
          <w:lang w:eastAsia="ar" w:bidi="en-US"/>
        </w:rPr>
        <w:t>Bank of America</w:t>
      </w:r>
      <w:r w:rsidRPr="0034295A">
        <w:rPr>
          <w:rFonts w:ascii="Arabic Typesetting" w:hAnsi="Arabic Typesetting" w:cs="Arabic Typesetting"/>
          <w:sz w:val="34"/>
          <w:szCs w:val="34"/>
          <w:rtl/>
          <w:lang w:eastAsia="ar"/>
        </w:rPr>
        <w:t xml:space="preserve">. </w:t>
      </w:r>
    </w:p>
    <w:p w14:paraId="5C94F897" w14:textId="5DB11203" w:rsidR="0034295A" w:rsidRPr="0034295A" w:rsidRDefault="0034295A" w:rsidP="00D02C02">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واضطُلع بقدر كبير من العمل في عام 2016 بغية إقامة علاقات جديدة وتدعيم العلاقات القائمة مع المؤسسات المصرفية في البلدان التي تستضيف المكاتب الخارجية، من أجل تيسير العمليات اليومية التي تقوم بها المكاتب وتعزيز الإدارة المالية</w:t>
      </w:r>
      <w:r w:rsidR="00D02C02">
        <w:rPr>
          <w:rFonts w:ascii="Arabic Typesetting" w:hAnsi="Arabic Typesetting" w:cs="Arabic Typesetting" w:hint="cs"/>
          <w:sz w:val="34"/>
          <w:szCs w:val="34"/>
          <w:rtl/>
          <w:lang w:eastAsia="ar"/>
        </w:rPr>
        <w:t> </w:t>
      </w:r>
      <w:r w:rsidRPr="0034295A">
        <w:rPr>
          <w:rFonts w:ascii="Arabic Typesetting" w:hAnsi="Arabic Typesetting" w:cs="Arabic Typesetting"/>
          <w:sz w:val="34"/>
          <w:szCs w:val="34"/>
          <w:rtl/>
          <w:lang w:eastAsia="ar"/>
        </w:rPr>
        <w:t>عموم</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w:t>
      </w:r>
    </w:p>
    <w:p w14:paraId="5A11911F" w14:textId="77777777"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 xml:space="preserve">واستمر تعزيز تخطيط القوة العاملة في عام 2016 من خلال عملية ذات توجُّه أكثر استراتيجية وأرفع مستوى وأكثر استباقية لتخطيط القوة العاملة، ترمي إلى تحليل الثغرات/المخاطر في القطاعات/البرامج في إطار زمني يتراوح بين ثلاث وخمس سنوات، بهدف تحسين المعلومات التي يُسترشد بها في التخطيط لفترة السنتين. </w:t>
      </w:r>
    </w:p>
    <w:p w14:paraId="6EF92B0D" w14:textId="5B2A7E2C"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استمر في عام 2016 التزام الويبو بتعميم المنظور الجنساني في أنشطة الويبو وبتحقيق هدف التوازن بين الجنسين في جميع مستويات التوظيف في غضون فترة زمنية محددة. وفي سبيل ذلك، أُدمجت المؤشرات الجنسانية في عمليات التخطيط. وفي حين أنَّ النسبة المئوية للنساء في الرتبة ف-4 (45.6 في المائة) قد شهدت تراجع</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بنقطة مئوية واحدة مقارنة بعام 2015، فإنَّ نسبة النساء في الرتبتين ف-5 ود-1 شهدت زيادة قدرها 4.3 و13.2 في المائة على التوالي. واستمر الاتجاه المتناقص لنسبة النساء في الرتبة د-2، حيث شهدت تراجع</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قدره 5.5 في المائة مقارنة بعام 2015. </w:t>
      </w:r>
    </w:p>
    <w:p w14:paraId="4E9394D1" w14:textId="77777777" w:rsidR="0034295A" w:rsidRPr="00B24A4C" w:rsidRDefault="0034295A" w:rsidP="0034295A">
      <w:pPr>
        <w:pStyle w:val="Caption"/>
        <w:keepNext/>
        <w:bidi/>
        <w:jc w:val="center"/>
        <w:rPr>
          <w:rFonts w:ascii="Arabic Typesetting" w:hAnsi="Arabic Typesetting" w:cs="Arabic Typesetting"/>
          <w:b w:val="0"/>
          <w:i/>
          <w:sz w:val="36"/>
          <w:szCs w:val="36"/>
          <w:rtl/>
        </w:rPr>
      </w:pPr>
      <w:r w:rsidRPr="00B24A4C">
        <w:rPr>
          <w:rFonts w:ascii="Arabic Typesetting" w:hAnsi="Arabic Typesetting" w:cs="Arabic Typesetting"/>
          <w:b w:val="0"/>
          <w:bCs w:val="0"/>
          <w:noProof/>
          <w:sz w:val="36"/>
          <w:szCs w:val="36"/>
          <w:rtl/>
          <w:lang w:eastAsia="ar"/>
        </w:rPr>
        <w:lastRenderedPageBreak/>
        <w:t>النسبة المئوية لموظفي الفئة الفنية والفئات العليا بحسب نوع الجنس 2013-2016</w:t>
      </w:r>
    </w:p>
    <w:p w14:paraId="0EC10546" w14:textId="1E358662" w:rsidR="0034295A" w:rsidRPr="00B24A4C" w:rsidRDefault="001344B7" w:rsidP="0034295A">
      <w:pPr>
        <w:bidi/>
        <w:spacing w:after="120"/>
        <w:contextualSpacing/>
        <w:jc w:val="center"/>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505D1704" wp14:editId="549788AD">
            <wp:extent cx="4330181" cy="24054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1871" cy="2406368"/>
                    </a:xfrm>
                    <a:prstGeom prst="rect">
                      <a:avLst/>
                    </a:prstGeom>
                    <a:noFill/>
                  </pic:spPr>
                </pic:pic>
              </a:graphicData>
            </a:graphic>
          </wp:inline>
        </w:drawing>
      </w:r>
    </w:p>
    <w:p w14:paraId="34813863" w14:textId="7746907B" w:rsidR="0034295A" w:rsidRPr="0034295A" w:rsidRDefault="0034295A" w:rsidP="00DF399F">
      <w:pPr>
        <w:numPr>
          <w:ilvl w:val="0"/>
          <w:numId w:val="107"/>
        </w:numPr>
        <w:bidi/>
        <w:spacing w:before="240" w:after="24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وفيما يتعلق بالتنوع الجغرافي، شهدت النسبة المئوية للموظفين من مناطق أفريقيا، وآسيا والمحيط الهادئ، وأوروبا الشرقية والوسطى، وآسيا الوسطى، والشرق الأوسط زيادات في عام 2016، في حين شهدت نسبة الموظفين الوافدين من منطقتي أمريكا اللاتينية والبحر الكاريبي وأمريكا الشمالية تراجع</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طفيف</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وشهدت نسبة الموظفين القادمين من أوروبا الغربية تراجع</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أكبر بمقدار 3.6 في المائة.</w:t>
      </w:r>
    </w:p>
    <w:p w14:paraId="75215C9D" w14:textId="77777777" w:rsidR="0034295A" w:rsidRPr="00B24A4C" w:rsidRDefault="0034295A" w:rsidP="0034295A">
      <w:pPr>
        <w:pStyle w:val="Caption"/>
        <w:keepNext/>
        <w:bidi/>
        <w:jc w:val="center"/>
        <w:rPr>
          <w:rFonts w:ascii="Arabic Typesetting" w:hAnsi="Arabic Typesetting" w:cs="Arabic Typesetting"/>
          <w:b w:val="0"/>
          <w:i/>
          <w:sz w:val="36"/>
          <w:szCs w:val="36"/>
          <w:rtl/>
        </w:rPr>
      </w:pPr>
      <w:r w:rsidRPr="00B24A4C">
        <w:rPr>
          <w:rFonts w:ascii="Arabic Typesetting" w:hAnsi="Arabic Typesetting" w:cs="Arabic Typesetting"/>
          <w:b w:val="0"/>
          <w:bCs w:val="0"/>
          <w:sz w:val="36"/>
          <w:szCs w:val="36"/>
          <w:rtl/>
          <w:lang w:eastAsia="ar"/>
        </w:rPr>
        <w:t>النسبة المئوية لموظفي الفئة الفنية والفئات العليا بحسب المنطقة الإقليمية 2012-2016</w:t>
      </w:r>
    </w:p>
    <w:p w14:paraId="1BEADF9C" w14:textId="45BF801E" w:rsidR="0034295A" w:rsidRPr="00B24A4C" w:rsidRDefault="001344B7" w:rsidP="0034295A">
      <w:pPr>
        <w:bidi/>
        <w:spacing w:after="120"/>
        <w:contextualSpacing/>
        <w:jc w:val="center"/>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06DCAEE0" wp14:editId="7722FF15">
            <wp:extent cx="5128953" cy="267958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1260" cy="2686019"/>
                    </a:xfrm>
                    <a:prstGeom prst="rect">
                      <a:avLst/>
                    </a:prstGeom>
                    <a:noFill/>
                  </pic:spPr>
                </pic:pic>
              </a:graphicData>
            </a:graphic>
          </wp:inline>
        </w:drawing>
      </w:r>
    </w:p>
    <w:p w14:paraId="0657114A" w14:textId="77777777"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 xml:space="preserve">وأُطلقت مبادرات في مجال المشتريات في عام 2016، بغية ترشيد تكاليف السلع والخدمات التي تشتريها الويبو وتبسيط عملياتها، وهو ما أسفر عن وفورات إجمالية بلغت 1.8 مليون فرنك سويسري. وفيما يتعلق بنفقات السفر، حقَّقت أداة الحجز عبر الإنترنت مزيدًا من التخفيضات في رسوم الخدمات (من 95 فرنك سويسري إلى 92 فرنك سويسري) والمتوسط العالمي لأسعار التذاكر (من 1481 فرنك سويسري إلى 1315 فرنك سويسري). وزادت نسبة السلع والخدمات ذات المصدر المحلي من إجمالي المبلغ المخصص لنشاط التنمية إلى 60.3 في المائة في عام 2016، بزيادة قدرها ثلاث نقاط مئوية مقارنة بعام 2015. </w:t>
      </w:r>
    </w:p>
    <w:p w14:paraId="553EF88E" w14:textId="4B52027E" w:rsidR="0034295A" w:rsidRPr="0034295A" w:rsidRDefault="0034295A" w:rsidP="00D94CDB">
      <w:pPr>
        <w:keepLines/>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lastRenderedPageBreak/>
        <w:t>وحصلت الويبو على جائزة "التصميم الجيد الأخضر" (</w:t>
      </w:r>
      <w:r w:rsidRPr="0034295A">
        <w:rPr>
          <w:rFonts w:ascii="Arabic Typesetting" w:hAnsi="Arabic Typesetting" w:cs="Arabic Typesetting"/>
          <w:sz w:val="34"/>
          <w:szCs w:val="34"/>
          <w:rtl/>
          <w:lang w:eastAsia="ar" w:bidi="en-US"/>
        </w:rPr>
        <w:t>Green Good Design</w:t>
      </w:r>
      <w:r w:rsidRPr="0034295A">
        <w:rPr>
          <w:rFonts w:ascii="Arabic Typesetting" w:hAnsi="Arabic Typesetting" w:cs="Arabic Typesetting"/>
          <w:sz w:val="34"/>
          <w:szCs w:val="34"/>
          <w:rtl/>
          <w:lang w:eastAsia="ar"/>
        </w:rPr>
        <w:t>) لعام 2016 عن قاعة مؤتمرات الويبو (بناءً على الهيكل الخشبي وكثافة استخدام الأخشاب في التشطيبات الداخلية والخارجية)، والتي يمنحها متحف شيكاغو أثنيوم للهندسة المعمارية والتصميم. وحصلت الويبو أيض</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على شهادة من الشركة التي توفِّر الكهرباء تفيد بأنَّ المنظمة اختارت أن تحصل على 100% من طاقتها من مصادر كهرومائية للسنوات من 2015 إلى 2017، ومن ثمَّ المساهمة في تطوير الطاقة المتجددة. </w:t>
      </w:r>
    </w:p>
    <w:p w14:paraId="6BD25406" w14:textId="77777777"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وفيما يتعلق بالتحسينات في مجال تكنولوجيا المعلومات والاتصالات، فقد شملت الإنجازات المحدَّدة التي تحقَّقت في عام 2016 ما يلي: تحقيق وفورات في التكاليف بمبلغ 300000 فرنك سويسري، بعد تنفيذ سياسة جديدة للنسخ الاحتياطي في نهاية عام 2015، مما أدى إلى تخفيض السعة المطلوبة لتخزين البيانات؛ وتقليل عدد الحوادث المتوسطة التأثير أو البالغة التأثير التي تطرأ على خدمة تكنولوجيا المعلومات والاتصالات بنسبة تزيد على 30 في المائة؛ وتعزيز قدرة البنية الأساسية لتكنولوجيا المعلومات والاتصالات على الصمود وعلى استمرارية الخدمات بما يشمل الخدمات الأساسية المتبقية مثل النظام الخارجي لإدارة الهوية والنفاذ، وخدمات الملفات والطباعة عبر الشبكات؛ ونشر منصة جديدة للتعافي من الكوارث لنظام البريد الإلكتروني؛ وبدء تنفيذ حل هندسة المكتب العالمي الخاص بمكاتب الويبو الخارجية في مكتبين خارجيين إضافيين (مكتب الويبو في الصين، ومكتب الويبو في البرازيل).</w:t>
      </w:r>
    </w:p>
    <w:p w14:paraId="7EEE4E5B" w14:textId="77777777"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 xml:space="preserve">واعتمدت الجمعية ميثاق الرقابة الداخلية المنقَّح في أكتوبر 2016. وشملت التغييرات الأساسية ما يلي:"1" وضع أحكام تفصيلية فيما يتعلق بالتحقيقات بشأن مزاعم سوء التصرف من جانب المدير العام ونوابه ومساعديه وكذلك مدير شعبة الرقابة الداخلية؛ "2" وإضفاء المزيد من التحسين والتوضيح على تعريف استقلالية شعبة الرقابة الداخلية على المستويين التشغيلي والوظيفي؛ "3" وتمكين الدول الأعضاء من الحصول على النسخ الكاملة من تقارير التدقيق والتقييم والتقارير عن دور الإدارة، في حالة حجب أجزاء من هذه التقارير أو عدم الكشف عنها بأكملها. </w:t>
      </w:r>
    </w:p>
    <w:p w14:paraId="1740F3B8" w14:textId="5819FBE8"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واستمر تنفيذ سياسة الويبو للغات بفعالية، وذلك بتوسيع نطاق التغطية باللغات الست ليشمل الأفرقة العاملة على نحو تدريجي وفعال من حيث التكلفة. ووفق</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للجدول الزمني الذي وضعته الدول الأعضاء، جرى توسيع نطاق التغطية في عام 2016 ليشمل كلٍ من: "1" الفريق العامل المعني بإعداد اللائحة التنفيذية المشتركة لاتفاق لشبونة ووثيقة جنيف لاتفاق لشبونة؛ "2" ولجنة خبراء اتحاد التصنيف الدولي للبراءات.</w:t>
      </w:r>
    </w:p>
    <w:p w14:paraId="31D29AA8" w14:textId="77777777" w:rsidR="0034295A" w:rsidRPr="0034295A" w:rsidRDefault="0034295A" w:rsidP="00D94CDB">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 xml:space="preserve">وانخفضت تكاليف البريد الإجمالية بنسبة تسعة في المائة في عام 2016، نتيجة لمزيج من تدابير تحقيق الكفاءة من حيث التكلفة، وزيادة وعي الموظفين، وانخفاض أعداد المواد المرسلة بالبريد. </w:t>
      </w:r>
    </w:p>
    <w:p w14:paraId="7783FD70" w14:textId="611491D0" w:rsidR="0034295A" w:rsidRPr="0034295A" w:rsidRDefault="0034295A" w:rsidP="00585B16">
      <w:pPr>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t xml:space="preserve">وفي مجال تأمين المعلومات، وفي إطار عملية التحسين المستمر التي يشجعها معيار </w:t>
      </w:r>
      <w:r w:rsidR="00585B16">
        <w:rPr>
          <w:rFonts w:ascii="Arabic Typesetting" w:hAnsi="Arabic Typesetting" w:cs="Arabic Typesetting"/>
          <w:sz w:val="34"/>
          <w:szCs w:val="34"/>
          <w:lang w:eastAsia="ar" w:bidi="en-US"/>
        </w:rPr>
        <w:t>ISO 27001</w:t>
      </w:r>
      <w:r w:rsidRPr="0034295A">
        <w:rPr>
          <w:rFonts w:ascii="Arabic Typesetting" w:hAnsi="Arabic Typesetting" w:cs="Arabic Typesetting"/>
          <w:sz w:val="34"/>
          <w:szCs w:val="34"/>
          <w:rtl/>
          <w:lang w:eastAsia="ar"/>
        </w:rPr>
        <w:t>، جرى تصحيح عمليات معاهدة التعاون بشأن البراءات واتفاقي مدريد ولاهاي وفق</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للمعيار الدولي، مع إضافة مركز الويبو لخدمات الوساطة والتحكيم إلى نطاق شهادة الاعتماد طبق</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للمعيار المذكور. ولم تُرصد أي أوجه لعدم الامتثال، كبيرة كانت أم صغيرة.</w:t>
      </w:r>
    </w:p>
    <w:p w14:paraId="1D9EACCC" w14:textId="51D7A929" w:rsidR="0034295A" w:rsidRPr="0034295A" w:rsidRDefault="0034295A" w:rsidP="00D94CDB">
      <w:pPr>
        <w:keepLines/>
        <w:numPr>
          <w:ilvl w:val="0"/>
          <w:numId w:val="107"/>
        </w:numPr>
        <w:bidi/>
        <w:spacing w:after="120"/>
        <w:ind w:left="567" w:hanging="567"/>
        <w:jc w:val="both"/>
        <w:rPr>
          <w:rFonts w:ascii="Arabic Typesetting" w:hAnsi="Arabic Typesetting" w:cs="Arabic Typesetting"/>
          <w:sz w:val="34"/>
          <w:szCs w:val="34"/>
          <w:rtl/>
          <w:lang w:eastAsia="ar"/>
        </w:rPr>
      </w:pPr>
      <w:r w:rsidRPr="0034295A">
        <w:rPr>
          <w:rFonts w:ascii="Arabic Typesetting" w:hAnsi="Arabic Typesetting" w:cs="Arabic Typesetting"/>
          <w:sz w:val="34"/>
          <w:szCs w:val="34"/>
          <w:rtl/>
          <w:lang w:eastAsia="ar"/>
        </w:rPr>
        <w:lastRenderedPageBreak/>
        <w:t>ونُفِّذت مبادرات للتوعية بأمن المعلومات، بهدف زيادة وعي المستخدمين بالتهديدات التي تواجه أمن المعلومات وتدريب موظفي تكنولوجيا المعلومات والاتصالات على مواضيع أمن المعلومات. وأُطلقت دورة تدريبية إلزامية جديدة باستعمال الحاسوب في أكتوبر تتناول أساسيات السلامة في مجال أمن المعلومات، وقد استكمل هذه الدورة التدريبية أكثر من 70 في المائة من الموظفين والمتعاقدين في عام 2016. وروَّج برنامج التوعية بأمن المعلومات أيض</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لأربع عمليات محاكاة لحملات تصيُّد احتيالي، أسفرت عن مواصلة إذكاء وعي المستخدمين بالتهديدات التي تواجه أمن المعلومات، كما تبيَّن من الزيادة الكبيرة في عدد الموظفين الذين أبلغوا عن رسائل تصيُّد احتيالي بالبريد الإلكتروني (46 في المائة في المتوسط في عام 2016، ارتفاع</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من 25 في المائة في عام 2015)</w:t>
      </w:r>
    </w:p>
    <w:p w14:paraId="6B57D25E" w14:textId="1FB5B52B" w:rsidR="0034295A" w:rsidRDefault="0034295A" w:rsidP="00D94CDB">
      <w:pPr>
        <w:numPr>
          <w:ilvl w:val="0"/>
          <w:numId w:val="107"/>
        </w:numPr>
        <w:bidi/>
        <w:spacing w:after="120"/>
        <w:ind w:left="567" w:hanging="567"/>
        <w:jc w:val="both"/>
        <w:rPr>
          <w:rFonts w:ascii="Arabic Typesetting" w:hAnsi="Arabic Typesetting" w:cs="Arabic Typesetting"/>
          <w:sz w:val="34"/>
          <w:szCs w:val="34"/>
          <w:lang w:eastAsia="ar"/>
        </w:rPr>
      </w:pPr>
      <w:r w:rsidRPr="0034295A">
        <w:rPr>
          <w:rFonts w:ascii="Arabic Typesetting" w:hAnsi="Arabic Typesetting" w:cs="Arabic Typesetting"/>
          <w:sz w:val="34"/>
          <w:szCs w:val="34"/>
          <w:rtl/>
          <w:lang w:eastAsia="ar"/>
        </w:rPr>
        <w:t>وفي حين أنَّ سياق السلامة والأمن الذي عملت فيه الويبو في عام 2016 ظل معقَّد</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على الصعيد العالمي، فقد كان مستقر</w:t>
      </w:r>
      <w:r w:rsidR="001344B7">
        <w:rPr>
          <w:rFonts w:ascii="Arabic Typesetting" w:hAnsi="Arabic Typesetting" w:cs="Arabic Typesetting"/>
          <w:sz w:val="34"/>
          <w:szCs w:val="34"/>
          <w:rtl/>
          <w:lang w:eastAsia="ar"/>
        </w:rPr>
        <w:t>اً</w:t>
      </w:r>
      <w:r w:rsidRPr="0034295A">
        <w:rPr>
          <w:rFonts w:ascii="Arabic Typesetting" w:hAnsi="Arabic Typesetting" w:cs="Arabic Typesetting"/>
          <w:sz w:val="34"/>
          <w:szCs w:val="34"/>
          <w:rtl/>
          <w:lang w:eastAsia="ar"/>
        </w:rPr>
        <w:t xml:space="preserve"> على وجه العموم في البلدان التي يوجد للويبو حضور فيها. وظلت سلامة موظفي الويبو في رحلات السفر الدولي من بين مجالات التركيز المحورية في عام 2016، حيث إنَّ العديد من المناطق التي زارها الموظفون كانت تعاني من عدم الاستقرار أو من أحداث ذات صلة بالأمن. ونُفِّذت تدابير إضافية للسلامة والأمن في عام 2016، بما في ذلك تعزيز ت</w:t>
      </w:r>
      <w:r>
        <w:rPr>
          <w:rFonts w:ascii="Arabic Typesetting" w:hAnsi="Arabic Typesetting" w:cs="Arabic Typesetting"/>
          <w:sz w:val="34"/>
          <w:szCs w:val="34"/>
          <w:rtl/>
          <w:lang w:eastAsia="ar"/>
        </w:rPr>
        <w:t>عاون المنظمة مع الدولة المضيفة.</w:t>
      </w:r>
    </w:p>
    <w:p w14:paraId="1FAFD111" w14:textId="77777777" w:rsidR="00EF3FA1" w:rsidRDefault="00EF3FA1" w:rsidP="00EF3FA1">
      <w:pPr>
        <w:bidi/>
        <w:spacing w:after="120"/>
        <w:jc w:val="both"/>
        <w:rPr>
          <w:rFonts w:ascii="Arabic Typesetting" w:hAnsi="Arabic Typesetting" w:cs="Arabic Typesetting"/>
          <w:sz w:val="34"/>
          <w:szCs w:val="34"/>
          <w:lang w:eastAsia="ar"/>
        </w:rPr>
      </w:pPr>
    </w:p>
    <w:p w14:paraId="36F44AA0" w14:textId="77777777" w:rsidR="00EF3FA1" w:rsidRDefault="00EF3FA1" w:rsidP="00EF3FA1">
      <w:pPr>
        <w:bidi/>
        <w:spacing w:after="120"/>
        <w:jc w:val="both"/>
        <w:rPr>
          <w:rFonts w:ascii="Arabic Typesetting" w:hAnsi="Arabic Typesetting" w:cs="Arabic Typesetting"/>
          <w:sz w:val="34"/>
          <w:szCs w:val="34"/>
          <w:rtl/>
          <w:lang w:eastAsia="ar"/>
        </w:rPr>
        <w:sectPr w:rsidR="00EF3FA1" w:rsidSect="00DF5846">
          <w:footerReference w:type="first" r:id="rId33"/>
          <w:type w:val="oddPage"/>
          <w:pgSz w:w="11907" w:h="16840" w:code="9"/>
          <w:pgMar w:top="567" w:right="1418" w:bottom="1418" w:left="1134" w:header="510" w:footer="1021" w:gutter="0"/>
          <w:pgNumType w:start="1"/>
          <w:cols w:space="720"/>
          <w:titlePg/>
          <w:docGrid w:linePitch="299"/>
        </w:sectPr>
      </w:pPr>
    </w:p>
    <w:p w14:paraId="2A08FAC4" w14:textId="5EB054F8" w:rsidR="00B54D74" w:rsidRPr="00D52D83" w:rsidRDefault="00B54D74" w:rsidP="0031289D">
      <w:pPr>
        <w:pStyle w:val="Heading2"/>
        <w:pageBreakBefore/>
      </w:pPr>
      <w:bookmarkStart w:id="7" w:name="_Toc454544459"/>
      <w:bookmarkStart w:id="8" w:name="_Toc482782737"/>
      <w:r w:rsidRPr="00D52D83">
        <w:rPr>
          <w:rFonts w:hint="cs"/>
          <w:rtl/>
        </w:rPr>
        <w:lastRenderedPageBreak/>
        <w:t>ثالثا</w:t>
      </w:r>
      <w:r>
        <w:rPr>
          <w:rFonts w:hint="cs"/>
          <w:rtl/>
        </w:rPr>
        <w:t>ً.</w:t>
      </w:r>
      <w:r w:rsidRPr="00D52D83">
        <w:rPr>
          <w:rtl/>
        </w:rPr>
        <w:tab/>
        <w:t>تقرير عن تنفيذ تدابير الفعالية من حيث التكلفة في 2016</w:t>
      </w:r>
      <w:bookmarkStart w:id="9" w:name="_Toc391987560"/>
      <w:bookmarkEnd w:id="7"/>
      <w:bookmarkEnd w:id="8"/>
      <w:bookmarkEnd w:id="9"/>
    </w:p>
    <w:p w14:paraId="3588EE6C" w14:textId="77777777" w:rsidR="00B54D74" w:rsidRPr="00D52D83" w:rsidRDefault="00B54D74" w:rsidP="0031289D">
      <w:pPr>
        <w:bidi/>
        <w:jc w:val="center"/>
        <w:rPr>
          <w:rFonts w:ascii="Arabic Typesetting" w:eastAsia="SimSun" w:hAnsi="Arabic Typesetting" w:cs="Arabic Typesetting"/>
          <w:sz w:val="28"/>
          <w:szCs w:val="28"/>
          <w:lang w:eastAsia="zh-CN" w:bidi="ar-EG"/>
        </w:rPr>
      </w:pPr>
      <w:r w:rsidRPr="00D52D83">
        <w:rPr>
          <w:rFonts w:ascii="Arabic Typesetting" w:eastAsia="SimSun" w:hAnsi="Arabic Typesetting" w:cs="Arabic Typesetting"/>
          <w:sz w:val="28"/>
          <w:szCs w:val="28"/>
          <w:rtl/>
          <w:lang w:eastAsia="zh-CN" w:bidi="ar-EG"/>
        </w:rPr>
        <w:t>أوجه الفعالية من حيث التكلفة في 2016</w:t>
      </w:r>
    </w:p>
    <w:p w14:paraId="612F6812" w14:textId="77777777" w:rsidR="00B54D74" w:rsidRPr="00D52D83" w:rsidRDefault="00B54D74" w:rsidP="0031289D">
      <w:pPr>
        <w:bidi/>
        <w:spacing w:after="240"/>
        <w:jc w:val="center"/>
        <w:rPr>
          <w:rFonts w:ascii="Arabic Typesetting" w:eastAsia="SimSun" w:hAnsi="Arabic Typesetting" w:cs="Arabic Typesetting"/>
          <w:sz w:val="28"/>
          <w:szCs w:val="28"/>
          <w:lang w:eastAsia="zh-CN" w:bidi="ar-EG"/>
        </w:rPr>
      </w:pPr>
      <w:r w:rsidRPr="00D52D83">
        <w:rPr>
          <w:rFonts w:ascii="Arabic Typesetting" w:eastAsia="SimSun" w:hAnsi="Arabic Typesetting" w:cs="Arabic Typesetting"/>
          <w:sz w:val="28"/>
          <w:szCs w:val="28"/>
          <w:rtl/>
          <w:lang w:eastAsia="zh-CN" w:bidi="ar-EG"/>
        </w:rPr>
        <w:t>(بالفرنك السويسري)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2465"/>
        <w:gridCol w:w="1854"/>
        <w:gridCol w:w="1854"/>
        <w:gridCol w:w="2131"/>
        <w:gridCol w:w="2131"/>
        <w:gridCol w:w="4636"/>
      </w:tblGrid>
      <w:tr w:rsidR="00B54D74" w:rsidRPr="00D52D83" w14:paraId="0BC01793" w14:textId="77777777" w:rsidTr="00EF3FA1">
        <w:trPr>
          <w:cantSplit/>
          <w:trHeight w:val="20"/>
          <w:tblHeader/>
        </w:trPr>
        <w:tc>
          <w:tcPr>
            <w:tcW w:w="818" w:type="pct"/>
            <w:tcBorders>
              <w:bottom w:val="single" w:sz="4" w:space="0" w:color="auto"/>
            </w:tcBorders>
            <w:shd w:val="clear" w:color="000000" w:fill="8DB4E2"/>
            <w:tcMar>
              <w:top w:w="85" w:type="dxa"/>
              <w:bottom w:w="85" w:type="dxa"/>
            </w:tcMar>
            <w:vAlign w:val="center"/>
            <w:hideMark/>
          </w:tcPr>
          <w:p w14:paraId="72B85546" w14:textId="77777777" w:rsidR="00B54D74" w:rsidRPr="00D52D83" w:rsidRDefault="00B54D74" w:rsidP="0031289D">
            <w:pPr>
              <w:bidi/>
              <w:spacing w:line="280" w:lineRule="exact"/>
              <w:jc w:val="center"/>
              <w:rPr>
                <w:rFonts w:ascii="Arabic Typesetting" w:eastAsia="SimSun" w:hAnsi="Arabic Typesetting" w:cs="Arabic Typesetting"/>
                <w:b/>
                <w:bCs/>
                <w:color w:val="000000"/>
                <w:sz w:val="28"/>
                <w:szCs w:val="28"/>
                <w:lang w:eastAsia="zh-CN" w:bidi="ar-EG"/>
              </w:rPr>
            </w:pPr>
            <w:r w:rsidRPr="00D52D83">
              <w:rPr>
                <w:rFonts w:ascii="Arabic Typesetting" w:eastAsia="SimSun" w:hAnsi="Arabic Typesetting" w:cs="Arabic Typesetting"/>
                <w:b/>
                <w:bCs/>
                <w:color w:val="000000"/>
                <w:sz w:val="28"/>
                <w:szCs w:val="28"/>
                <w:rtl/>
                <w:lang w:eastAsia="zh-CN" w:bidi="ar-EG"/>
              </w:rPr>
              <w:t>المجال</w:t>
            </w:r>
          </w:p>
        </w:tc>
        <w:tc>
          <w:tcPr>
            <w:tcW w:w="615" w:type="pct"/>
            <w:tcBorders>
              <w:bottom w:val="single" w:sz="4" w:space="0" w:color="auto"/>
            </w:tcBorders>
            <w:shd w:val="clear" w:color="000000" w:fill="8DB4E2"/>
            <w:tcMar>
              <w:top w:w="85" w:type="dxa"/>
              <w:bottom w:w="85" w:type="dxa"/>
            </w:tcMar>
            <w:vAlign w:val="center"/>
            <w:hideMark/>
          </w:tcPr>
          <w:p w14:paraId="24AC5D5C" w14:textId="77777777" w:rsidR="00B54D74" w:rsidRPr="00D52D83" w:rsidRDefault="00B54D74" w:rsidP="0031289D">
            <w:pPr>
              <w:bidi/>
              <w:spacing w:line="280" w:lineRule="exact"/>
              <w:jc w:val="center"/>
              <w:rPr>
                <w:rFonts w:ascii="Arabic Typesetting" w:eastAsia="SimSun" w:hAnsi="Arabic Typesetting" w:cs="Arabic Typesetting"/>
                <w:b/>
                <w:bCs/>
                <w:color w:val="000000"/>
                <w:sz w:val="28"/>
                <w:szCs w:val="28"/>
                <w:lang w:eastAsia="zh-CN" w:bidi="ar-EG"/>
              </w:rPr>
            </w:pPr>
            <w:r w:rsidRPr="00D52D83">
              <w:rPr>
                <w:rFonts w:ascii="Arabic Typesetting" w:eastAsia="SimSun" w:hAnsi="Arabic Typesetting" w:cs="Arabic Typesetting"/>
                <w:b/>
                <w:bCs/>
                <w:color w:val="000000"/>
                <w:sz w:val="28"/>
                <w:szCs w:val="28"/>
                <w:rtl/>
                <w:lang w:eastAsia="zh-CN" w:bidi="ar-EG"/>
              </w:rPr>
              <w:t>مجموع الوفورات</w:t>
            </w:r>
            <w:r w:rsidRPr="00D52D83">
              <w:rPr>
                <w:rFonts w:ascii="Arabic Typesetting" w:eastAsia="SimSun" w:hAnsi="Arabic Typesetting" w:cs="Arabic Typesetting"/>
                <w:b/>
                <w:bCs/>
                <w:color w:val="000000"/>
                <w:sz w:val="28"/>
                <w:szCs w:val="28"/>
                <w:lang w:eastAsia="zh-CN" w:bidi="ar-EG"/>
              </w:rPr>
              <w:br/>
            </w:r>
            <w:r w:rsidRPr="00D52D83">
              <w:rPr>
                <w:rFonts w:ascii="Arabic Typesetting" w:eastAsia="SimSun" w:hAnsi="Arabic Typesetting" w:cs="Arabic Typesetting"/>
                <w:b/>
                <w:bCs/>
                <w:color w:val="000000"/>
                <w:sz w:val="28"/>
                <w:szCs w:val="28"/>
                <w:rtl/>
                <w:lang w:eastAsia="zh-CN" w:bidi="ar-EG"/>
              </w:rPr>
              <w:t>2015*</w:t>
            </w:r>
          </w:p>
        </w:tc>
        <w:tc>
          <w:tcPr>
            <w:tcW w:w="615" w:type="pct"/>
            <w:tcBorders>
              <w:bottom w:val="single" w:sz="4" w:space="0" w:color="auto"/>
            </w:tcBorders>
            <w:shd w:val="clear" w:color="000000" w:fill="8DB4E2"/>
            <w:tcMar>
              <w:top w:w="85" w:type="dxa"/>
              <w:bottom w:w="85" w:type="dxa"/>
            </w:tcMar>
            <w:vAlign w:val="center"/>
            <w:hideMark/>
          </w:tcPr>
          <w:p w14:paraId="038660BA" w14:textId="77777777" w:rsidR="00B54D74" w:rsidRPr="00D52D83" w:rsidRDefault="00B54D74" w:rsidP="0031289D">
            <w:pPr>
              <w:bidi/>
              <w:spacing w:line="280" w:lineRule="exact"/>
              <w:jc w:val="center"/>
              <w:rPr>
                <w:rFonts w:ascii="Arabic Typesetting" w:eastAsia="SimSun" w:hAnsi="Arabic Typesetting" w:cs="Arabic Typesetting"/>
                <w:b/>
                <w:bCs/>
                <w:color w:val="000000"/>
                <w:sz w:val="28"/>
                <w:szCs w:val="28"/>
                <w:lang w:eastAsia="zh-CN" w:bidi="ar-EG"/>
              </w:rPr>
            </w:pPr>
            <w:r w:rsidRPr="00D52D83">
              <w:rPr>
                <w:rFonts w:ascii="Arabic Typesetting" w:eastAsia="SimSun" w:hAnsi="Arabic Typesetting" w:cs="Arabic Typesetting"/>
                <w:b/>
                <w:bCs/>
                <w:color w:val="000000"/>
                <w:sz w:val="28"/>
                <w:szCs w:val="28"/>
                <w:rtl/>
                <w:lang w:eastAsia="zh-CN" w:bidi="ar-EG"/>
              </w:rPr>
              <w:t>مجموع الوفورات</w:t>
            </w:r>
            <w:r w:rsidRPr="00D52D83">
              <w:rPr>
                <w:rFonts w:ascii="Arabic Typesetting" w:eastAsia="SimSun" w:hAnsi="Arabic Typesetting" w:cs="Arabic Typesetting"/>
                <w:b/>
                <w:bCs/>
                <w:color w:val="000000"/>
                <w:sz w:val="28"/>
                <w:szCs w:val="28"/>
                <w:lang w:eastAsia="zh-CN" w:bidi="ar-EG"/>
              </w:rPr>
              <w:br/>
            </w:r>
            <w:r w:rsidRPr="00D52D83">
              <w:rPr>
                <w:rFonts w:ascii="Arabic Typesetting" w:eastAsia="SimSun" w:hAnsi="Arabic Typesetting" w:cs="Arabic Typesetting"/>
                <w:b/>
                <w:bCs/>
                <w:color w:val="000000"/>
                <w:sz w:val="28"/>
                <w:szCs w:val="28"/>
                <w:rtl/>
                <w:lang w:eastAsia="zh-CN" w:bidi="ar-EG"/>
              </w:rPr>
              <w:t>2016**</w:t>
            </w:r>
          </w:p>
        </w:tc>
        <w:tc>
          <w:tcPr>
            <w:tcW w:w="707" w:type="pct"/>
            <w:tcBorders>
              <w:bottom w:val="single" w:sz="4" w:space="0" w:color="auto"/>
            </w:tcBorders>
            <w:shd w:val="clear" w:color="000000" w:fill="8DB4E2"/>
            <w:tcMar>
              <w:top w:w="85" w:type="dxa"/>
              <w:bottom w:w="85" w:type="dxa"/>
            </w:tcMar>
            <w:vAlign w:val="center"/>
            <w:hideMark/>
          </w:tcPr>
          <w:p w14:paraId="55396BED" w14:textId="77777777" w:rsidR="00B54D74" w:rsidRPr="00D52D83" w:rsidRDefault="00B54D74" w:rsidP="0031289D">
            <w:pPr>
              <w:bidi/>
              <w:spacing w:line="280" w:lineRule="exact"/>
              <w:jc w:val="center"/>
              <w:rPr>
                <w:rFonts w:ascii="Arabic Typesetting" w:eastAsia="SimSun" w:hAnsi="Arabic Typesetting" w:cs="Arabic Typesetting"/>
                <w:b/>
                <w:bCs/>
                <w:color w:val="000000"/>
                <w:sz w:val="28"/>
                <w:szCs w:val="28"/>
                <w:lang w:eastAsia="zh-CN" w:bidi="ar-EG"/>
              </w:rPr>
            </w:pPr>
            <w:r w:rsidRPr="00D52D83">
              <w:rPr>
                <w:rFonts w:ascii="Arabic Typesetting" w:eastAsia="SimSun" w:hAnsi="Arabic Typesetting" w:cs="Arabic Typesetting"/>
                <w:b/>
                <w:bCs/>
                <w:color w:val="000000"/>
                <w:sz w:val="28"/>
                <w:szCs w:val="28"/>
                <w:rtl/>
                <w:lang w:eastAsia="zh-CN" w:bidi="ar-EG"/>
              </w:rPr>
              <w:t>الوفورات في تكلفة</w:t>
            </w:r>
            <w:r>
              <w:rPr>
                <w:rFonts w:ascii="Arabic Typesetting" w:eastAsia="SimSun" w:hAnsi="Arabic Typesetting" w:cs="Arabic Typesetting" w:hint="cs"/>
                <w:b/>
                <w:bCs/>
                <w:color w:val="000000"/>
                <w:sz w:val="28"/>
                <w:szCs w:val="28"/>
                <w:rtl/>
                <w:lang w:eastAsia="zh-CN" w:bidi="ar-EG"/>
              </w:rPr>
              <w:t> </w:t>
            </w:r>
            <w:r w:rsidRPr="00D52D83">
              <w:rPr>
                <w:rFonts w:ascii="Arabic Typesetting" w:eastAsia="SimSun" w:hAnsi="Arabic Typesetting" w:cs="Arabic Typesetting"/>
                <w:b/>
                <w:bCs/>
                <w:color w:val="000000"/>
                <w:sz w:val="28"/>
                <w:szCs w:val="28"/>
                <w:rtl/>
                <w:lang w:eastAsia="zh-CN" w:bidi="ar-EG"/>
              </w:rPr>
              <w:t>الوحدة</w:t>
            </w:r>
            <w:r w:rsidRPr="00D52D83">
              <w:rPr>
                <w:rFonts w:ascii="Arabic Typesetting" w:eastAsia="SimSun" w:hAnsi="Arabic Typesetting" w:cs="Arabic Typesetting"/>
                <w:b/>
                <w:bCs/>
                <w:color w:val="000000"/>
                <w:sz w:val="28"/>
                <w:szCs w:val="28"/>
                <w:lang w:eastAsia="zh-CN" w:bidi="ar-EG"/>
              </w:rPr>
              <w:br/>
            </w:r>
            <w:r w:rsidRPr="00D52D83">
              <w:rPr>
                <w:rFonts w:ascii="Arabic Typesetting" w:eastAsia="SimSun" w:hAnsi="Arabic Typesetting" w:cs="Arabic Typesetting"/>
                <w:b/>
                <w:bCs/>
                <w:color w:val="000000"/>
                <w:sz w:val="28"/>
                <w:szCs w:val="28"/>
                <w:rtl/>
                <w:lang w:eastAsia="zh-CN" w:bidi="ar-EG"/>
              </w:rPr>
              <w:t>2015</w:t>
            </w:r>
          </w:p>
        </w:tc>
        <w:tc>
          <w:tcPr>
            <w:tcW w:w="707" w:type="pct"/>
            <w:tcBorders>
              <w:bottom w:val="single" w:sz="4" w:space="0" w:color="auto"/>
            </w:tcBorders>
            <w:shd w:val="clear" w:color="000000" w:fill="8DB4E2"/>
            <w:tcMar>
              <w:top w:w="85" w:type="dxa"/>
              <w:bottom w:w="85" w:type="dxa"/>
            </w:tcMar>
            <w:vAlign w:val="center"/>
            <w:hideMark/>
          </w:tcPr>
          <w:p w14:paraId="16EE5152" w14:textId="77777777" w:rsidR="00B54D74" w:rsidRPr="00D52D83" w:rsidRDefault="00B54D74" w:rsidP="0031289D">
            <w:pPr>
              <w:bidi/>
              <w:spacing w:line="280" w:lineRule="exact"/>
              <w:jc w:val="center"/>
              <w:rPr>
                <w:rFonts w:ascii="Arabic Typesetting" w:eastAsia="SimSun" w:hAnsi="Arabic Typesetting" w:cs="Arabic Typesetting"/>
                <w:b/>
                <w:bCs/>
                <w:color w:val="000000"/>
                <w:sz w:val="28"/>
                <w:szCs w:val="28"/>
                <w:lang w:eastAsia="zh-CN" w:bidi="ar-EG"/>
              </w:rPr>
            </w:pPr>
            <w:r w:rsidRPr="00D52D83">
              <w:rPr>
                <w:rFonts w:ascii="Arabic Typesetting" w:eastAsia="SimSun" w:hAnsi="Arabic Typesetting" w:cs="Arabic Typesetting"/>
                <w:b/>
                <w:bCs/>
                <w:color w:val="000000"/>
                <w:sz w:val="28"/>
                <w:szCs w:val="28"/>
                <w:rtl/>
                <w:lang w:eastAsia="zh-CN" w:bidi="ar-EG"/>
              </w:rPr>
              <w:t>الوفورات في تكلفة</w:t>
            </w:r>
            <w:r>
              <w:rPr>
                <w:rFonts w:ascii="Arabic Typesetting" w:eastAsia="SimSun" w:hAnsi="Arabic Typesetting" w:cs="Arabic Typesetting" w:hint="cs"/>
                <w:b/>
                <w:bCs/>
                <w:color w:val="000000"/>
                <w:sz w:val="28"/>
                <w:szCs w:val="28"/>
                <w:rtl/>
                <w:lang w:eastAsia="zh-CN" w:bidi="ar-EG"/>
              </w:rPr>
              <w:t> </w:t>
            </w:r>
            <w:r w:rsidRPr="00D52D83">
              <w:rPr>
                <w:rFonts w:ascii="Arabic Typesetting" w:eastAsia="SimSun" w:hAnsi="Arabic Typesetting" w:cs="Arabic Typesetting"/>
                <w:b/>
                <w:bCs/>
                <w:color w:val="000000"/>
                <w:sz w:val="28"/>
                <w:szCs w:val="28"/>
                <w:rtl/>
                <w:lang w:eastAsia="zh-CN" w:bidi="ar-EG"/>
              </w:rPr>
              <w:t>الوحدة</w:t>
            </w:r>
            <w:r w:rsidRPr="00D52D83">
              <w:rPr>
                <w:rFonts w:ascii="Arabic Typesetting" w:eastAsia="SimSun" w:hAnsi="Arabic Typesetting" w:cs="Arabic Typesetting"/>
                <w:b/>
                <w:bCs/>
                <w:color w:val="000000"/>
                <w:sz w:val="28"/>
                <w:szCs w:val="28"/>
                <w:lang w:eastAsia="zh-CN" w:bidi="ar-EG"/>
              </w:rPr>
              <w:br/>
            </w:r>
            <w:r w:rsidRPr="00D52D83">
              <w:rPr>
                <w:rFonts w:ascii="Arabic Typesetting" w:eastAsia="SimSun" w:hAnsi="Arabic Typesetting" w:cs="Arabic Typesetting"/>
                <w:b/>
                <w:bCs/>
                <w:color w:val="000000"/>
                <w:sz w:val="28"/>
                <w:szCs w:val="28"/>
                <w:rtl/>
                <w:lang w:eastAsia="zh-CN" w:bidi="ar-EG"/>
              </w:rPr>
              <w:t>2016***</w:t>
            </w:r>
          </w:p>
        </w:tc>
        <w:tc>
          <w:tcPr>
            <w:tcW w:w="1537" w:type="pct"/>
            <w:tcBorders>
              <w:bottom w:val="single" w:sz="4" w:space="0" w:color="auto"/>
            </w:tcBorders>
            <w:shd w:val="clear" w:color="000000" w:fill="8DB4E2"/>
            <w:tcMar>
              <w:top w:w="85" w:type="dxa"/>
              <w:bottom w:w="85" w:type="dxa"/>
            </w:tcMar>
            <w:vAlign w:val="center"/>
            <w:hideMark/>
          </w:tcPr>
          <w:p w14:paraId="4FB271AF" w14:textId="77777777" w:rsidR="00B54D74" w:rsidRPr="00D52D83" w:rsidRDefault="00B54D74" w:rsidP="0031289D">
            <w:pPr>
              <w:bidi/>
              <w:spacing w:line="280" w:lineRule="exact"/>
              <w:jc w:val="center"/>
              <w:rPr>
                <w:rFonts w:ascii="Arabic Typesetting" w:eastAsia="SimSun" w:hAnsi="Arabic Typesetting" w:cs="Arabic Typesetting"/>
                <w:b/>
                <w:bCs/>
                <w:color w:val="000000"/>
                <w:sz w:val="28"/>
                <w:szCs w:val="28"/>
                <w:lang w:eastAsia="zh-CN" w:bidi="ar-EG"/>
              </w:rPr>
            </w:pPr>
            <w:r w:rsidRPr="00D52D83">
              <w:rPr>
                <w:rFonts w:ascii="Arabic Typesetting" w:eastAsia="SimSun" w:hAnsi="Arabic Typesetting" w:cs="Arabic Typesetting"/>
                <w:b/>
                <w:bCs/>
                <w:color w:val="000000"/>
                <w:sz w:val="28"/>
                <w:szCs w:val="28"/>
                <w:rtl/>
                <w:lang w:eastAsia="zh-CN" w:bidi="ar-EG"/>
              </w:rPr>
              <w:t>التعليقات</w:t>
            </w:r>
          </w:p>
        </w:tc>
      </w:tr>
      <w:tr w:rsidR="00B54D74" w:rsidRPr="00D52D83" w14:paraId="543D7300" w14:textId="77777777" w:rsidTr="00EF3FA1">
        <w:trPr>
          <w:cantSplit/>
          <w:trHeight w:val="20"/>
        </w:trPr>
        <w:tc>
          <w:tcPr>
            <w:tcW w:w="5000" w:type="pct"/>
            <w:gridSpan w:val="6"/>
            <w:shd w:val="clear" w:color="auto" w:fill="8DB4E2"/>
            <w:tcMar>
              <w:top w:w="57" w:type="dxa"/>
              <w:bottom w:w="57" w:type="dxa"/>
            </w:tcMar>
            <w:vAlign w:val="center"/>
          </w:tcPr>
          <w:p w14:paraId="63552370" w14:textId="77777777" w:rsidR="00B54D74" w:rsidRPr="00D52D83" w:rsidRDefault="00B54D74" w:rsidP="0031289D">
            <w:pPr>
              <w:keepNext/>
              <w:bidi/>
              <w:spacing w:line="280" w:lineRule="exact"/>
              <w:rPr>
                <w:rFonts w:ascii="Arabic Typesetting" w:eastAsia="Arabic Typesetting" w:hAnsi="Arabic Typesetting" w:cs="Arabic Typesetting"/>
                <w:sz w:val="28"/>
                <w:szCs w:val="28"/>
                <w:lang w:eastAsia="zh-CN" w:bidi="ar-EG"/>
              </w:rPr>
            </w:pPr>
            <w:r w:rsidRPr="00D52D83">
              <w:rPr>
                <w:rFonts w:ascii="Arabic Typesetting" w:eastAsia="SimSun" w:hAnsi="Arabic Typesetting" w:cs="Arabic Typesetting"/>
                <w:b/>
                <w:bCs/>
                <w:color w:val="000000"/>
                <w:sz w:val="28"/>
                <w:szCs w:val="28"/>
                <w:rtl/>
                <w:lang w:eastAsia="zh-CN" w:bidi="ar-EG"/>
              </w:rPr>
              <w:t>1</w:t>
            </w:r>
            <w:r>
              <w:rPr>
                <w:rFonts w:ascii="Arabic Typesetting" w:eastAsia="SimSun" w:hAnsi="Arabic Typesetting" w:cs="Arabic Typesetting"/>
                <w:b/>
                <w:bCs/>
                <w:color w:val="000000"/>
                <w:sz w:val="28"/>
                <w:szCs w:val="28"/>
                <w:rtl/>
                <w:lang w:eastAsia="zh-CN" w:bidi="ar-EG"/>
              </w:rPr>
              <w:t>.</w:t>
            </w:r>
            <w:r w:rsidRPr="00D52D83">
              <w:rPr>
                <w:rFonts w:ascii="Arabic Typesetting" w:eastAsia="SimSun" w:hAnsi="Arabic Typesetting" w:cs="Arabic Typesetting"/>
                <w:b/>
                <w:bCs/>
                <w:color w:val="000000"/>
                <w:sz w:val="28"/>
                <w:szCs w:val="28"/>
                <w:rtl/>
                <w:lang w:eastAsia="zh-CN" w:bidi="ar-EG"/>
              </w:rPr>
              <w:t xml:space="preserve"> أنظمة التسجيل</w:t>
            </w:r>
          </w:p>
        </w:tc>
      </w:tr>
      <w:tr w:rsidR="00B54D74" w:rsidRPr="00D52D83" w14:paraId="44EAD856" w14:textId="77777777" w:rsidTr="00EF3FA1">
        <w:trPr>
          <w:cantSplit/>
          <w:trHeight w:val="810"/>
        </w:trPr>
        <w:tc>
          <w:tcPr>
            <w:tcW w:w="818" w:type="pct"/>
            <w:shd w:val="clear" w:color="auto" w:fill="auto"/>
            <w:hideMark/>
          </w:tcPr>
          <w:p w14:paraId="5471B5BE"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وحدة معالجة طلبات معاهدة البراءات</w:t>
            </w:r>
          </w:p>
        </w:tc>
        <w:tc>
          <w:tcPr>
            <w:tcW w:w="615" w:type="pct"/>
            <w:shd w:val="clear" w:color="000000" w:fill="D9D9D9"/>
            <w:noWrap/>
            <w:hideMark/>
          </w:tcPr>
          <w:p w14:paraId="295625B2"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615" w:type="pct"/>
            <w:shd w:val="clear" w:color="000000" w:fill="D9D9D9"/>
            <w:noWrap/>
            <w:hideMark/>
          </w:tcPr>
          <w:p w14:paraId="68F0F82D"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auto" w:fill="auto"/>
            <w:hideMark/>
          </w:tcPr>
          <w:p w14:paraId="7F6DC05E"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زيادة قدرها 73 فرنكاً سويسرياً (+11%) من 662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2014 إلى </w:t>
            </w:r>
            <w:r>
              <w:rPr>
                <w:rFonts w:ascii="Arabic Typesetting" w:eastAsia="SimSun" w:hAnsi="Arabic Typesetting" w:cs="Arabic Typesetting"/>
                <w:color w:val="000000"/>
                <w:sz w:val="28"/>
                <w:szCs w:val="28"/>
                <w:rtl/>
                <w:lang w:eastAsia="zh-CN" w:bidi="ar-EG"/>
              </w:rPr>
              <w:t>735 فرنكاً سويسرياً في عام 2015</w:t>
            </w:r>
          </w:p>
        </w:tc>
        <w:tc>
          <w:tcPr>
            <w:tcW w:w="707" w:type="pct"/>
            <w:shd w:val="clear" w:color="auto" w:fill="auto"/>
            <w:hideMark/>
          </w:tcPr>
          <w:p w14:paraId="3079D72D"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rtl/>
                <w:lang w:eastAsia="zh-CN" w:bidi="ar-EG"/>
              </w:rPr>
            </w:pPr>
            <w:r w:rsidRPr="00D52D83">
              <w:rPr>
                <w:rFonts w:ascii="Arabic Typesetting" w:eastAsia="SimSun" w:hAnsi="Arabic Typesetting" w:cs="Arabic Typesetting"/>
                <w:color w:val="000000"/>
                <w:sz w:val="28"/>
                <w:szCs w:val="28"/>
                <w:rtl/>
                <w:lang w:eastAsia="zh-CN" w:bidi="ar-EG"/>
              </w:rPr>
              <w:t>انخفاض قدره 50 فرنكاً سويسرياً (</w:t>
            </w:r>
            <w:r>
              <w:rPr>
                <w:rFonts w:ascii="Arabic Typesetting" w:eastAsia="SimSun" w:hAnsi="Arabic Typesetting" w:cs="Arabic Typesetting"/>
                <w:color w:val="000000"/>
                <w:sz w:val="28"/>
                <w:szCs w:val="28"/>
                <w:rtl/>
                <w:lang w:eastAsia="zh-CN" w:bidi="ar-EG"/>
              </w:rPr>
              <w:noBreakHyphen/>
            </w:r>
            <w:r w:rsidRPr="00D52D83">
              <w:rPr>
                <w:rFonts w:ascii="Arabic Typesetting" w:eastAsia="SimSun" w:hAnsi="Arabic Typesetting" w:cs="Arabic Typesetting"/>
                <w:color w:val="000000"/>
                <w:sz w:val="28"/>
                <w:szCs w:val="28"/>
                <w:rtl/>
                <w:lang w:eastAsia="zh-CN" w:bidi="ar-EG"/>
              </w:rPr>
              <w:t>6</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8%) من 735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 إلى 6</w:t>
            </w:r>
            <w:r>
              <w:rPr>
                <w:rFonts w:ascii="Arabic Typesetting" w:eastAsia="SimSun" w:hAnsi="Arabic Typesetting" w:cs="Arabic Typesetting"/>
                <w:color w:val="000000"/>
                <w:sz w:val="28"/>
                <w:szCs w:val="28"/>
                <w:rtl/>
                <w:lang w:eastAsia="zh-CN" w:bidi="ar-EG"/>
              </w:rPr>
              <w:t>85 فرنكاً سويسرياً في عام 2016</w:t>
            </w:r>
          </w:p>
        </w:tc>
        <w:tc>
          <w:tcPr>
            <w:tcW w:w="1537" w:type="pct"/>
            <w:shd w:val="clear" w:color="auto" w:fill="auto"/>
            <w:hideMark/>
          </w:tcPr>
          <w:p w14:paraId="4D40AAF2" w14:textId="77777777" w:rsidR="00B54D74" w:rsidRPr="00D52D83" w:rsidRDefault="00B54D74" w:rsidP="0031289D">
            <w:pPr>
              <w:bidi/>
              <w:spacing w:line="280" w:lineRule="exact"/>
              <w:rPr>
                <w:rFonts w:ascii="Arabic Typesetting" w:eastAsia="Arabic Typesetting" w:hAnsi="Arabic Typesetting" w:cs="Arabic Typesetting"/>
                <w:sz w:val="28"/>
                <w:szCs w:val="28"/>
                <w:rtl/>
                <w:lang w:eastAsia="zh-CN" w:bidi="ar-EG"/>
              </w:rPr>
            </w:pPr>
            <w:r>
              <w:rPr>
                <w:rFonts w:ascii="Arabic Typesetting" w:eastAsia="SimSun" w:hAnsi="Arabic Typesetting" w:cs="Arabic Typesetting" w:hint="cs"/>
                <w:sz w:val="28"/>
                <w:szCs w:val="28"/>
                <w:rtl/>
                <w:lang w:eastAsia="zh-CN" w:bidi="ar-EG"/>
              </w:rPr>
              <w:t>انخفضت</w:t>
            </w:r>
            <w:r w:rsidRPr="00D52D83">
              <w:rPr>
                <w:rFonts w:ascii="Arabic Typesetting" w:eastAsia="SimSun" w:hAnsi="Arabic Typesetting" w:cs="Arabic Typesetting"/>
                <w:sz w:val="28"/>
                <w:szCs w:val="28"/>
                <w:rtl/>
                <w:lang w:eastAsia="zh-CN" w:bidi="ar-EG"/>
              </w:rPr>
              <w:t xml:space="preserve"> التكلفة الإجمالية لمعالجة طلبات معاهدة البراءات إثر انخفاض نسبته 2</w:t>
            </w:r>
            <w:r>
              <w:rPr>
                <w:rFonts w:ascii="Arabic Typesetting" w:eastAsia="SimSun" w:hAnsi="Arabic Typesetting" w:cs="Arabic Typesetting"/>
                <w:sz w:val="28"/>
                <w:szCs w:val="28"/>
                <w:rtl/>
                <w:lang w:eastAsia="zh-CN" w:bidi="ar-EG"/>
              </w:rPr>
              <w:t>.</w:t>
            </w:r>
            <w:r w:rsidRPr="00D52D83">
              <w:rPr>
                <w:rFonts w:ascii="Arabic Typesetting" w:eastAsia="SimSun" w:hAnsi="Arabic Typesetting" w:cs="Arabic Typesetting"/>
                <w:sz w:val="28"/>
                <w:szCs w:val="28"/>
                <w:rtl/>
                <w:lang w:eastAsia="zh-CN" w:bidi="ar-EG"/>
              </w:rPr>
              <w:t>3% في تكلفة الإنتاج الإجمالي فضلاً عن ز</w:t>
            </w:r>
            <w:r>
              <w:rPr>
                <w:rFonts w:ascii="Arabic Typesetting" w:eastAsia="SimSun" w:hAnsi="Arabic Typesetting" w:cs="Arabic Typesetting"/>
                <w:sz w:val="28"/>
                <w:szCs w:val="28"/>
                <w:rtl/>
                <w:lang w:eastAsia="zh-CN" w:bidi="ar-EG"/>
              </w:rPr>
              <w:t>يادة نسبتها 4.7% في عدد الطلبا</w:t>
            </w:r>
            <w:r>
              <w:rPr>
                <w:rFonts w:ascii="Arabic Typesetting" w:eastAsia="SimSun" w:hAnsi="Arabic Typesetting" w:cs="Arabic Typesetting" w:hint="cs"/>
                <w:sz w:val="28"/>
                <w:szCs w:val="28"/>
                <w:rtl/>
                <w:lang w:eastAsia="zh-CN" w:bidi="ar-EG"/>
              </w:rPr>
              <w:t>ت</w:t>
            </w:r>
            <w:r>
              <w:rPr>
                <w:rFonts w:ascii="Arabic Typesetting" w:eastAsia="SimSun" w:hAnsi="Arabic Typesetting" w:cs="Arabic Typesetting"/>
                <w:sz w:val="28"/>
                <w:szCs w:val="28"/>
                <w:lang w:eastAsia="zh-CN" w:bidi="ar-EG"/>
              </w:rPr>
              <w:t>.</w:t>
            </w:r>
          </w:p>
        </w:tc>
      </w:tr>
      <w:tr w:rsidR="00B54D74" w:rsidRPr="00D52D83" w14:paraId="374D26E0" w14:textId="77777777" w:rsidTr="00EF3FA1">
        <w:trPr>
          <w:cantSplit/>
          <w:trHeight w:val="825"/>
        </w:trPr>
        <w:tc>
          <w:tcPr>
            <w:tcW w:w="818" w:type="pct"/>
            <w:shd w:val="clear" w:color="auto" w:fill="auto"/>
            <w:hideMark/>
          </w:tcPr>
          <w:p w14:paraId="007A2D98"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وحدة معالجة معاملات نظام مدريد</w:t>
            </w:r>
          </w:p>
        </w:tc>
        <w:tc>
          <w:tcPr>
            <w:tcW w:w="615" w:type="pct"/>
            <w:shd w:val="clear" w:color="000000" w:fill="D9D9D9"/>
            <w:noWrap/>
            <w:hideMark/>
          </w:tcPr>
          <w:p w14:paraId="6A33C53B"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615" w:type="pct"/>
            <w:shd w:val="clear" w:color="000000" w:fill="D9D9D9"/>
            <w:noWrap/>
            <w:hideMark/>
          </w:tcPr>
          <w:p w14:paraId="5F225E4C"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auto" w:fill="auto"/>
            <w:hideMark/>
          </w:tcPr>
          <w:p w14:paraId="44886433"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انخفاض قدره 94 فرنكاً سويسرياً (</w:t>
            </w:r>
            <w:r>
              <w:rPr>
                <w:rFonts w:ascii="Arabic Typesetting" w:eastAsia="SimSun" w:hAnsi="Arabic Typesetting" w:cs="Arabic Typesetting"/>
                <w:color w:val="000000"/>
                <w:sz w:val="28"/>
                <w:szCs w:val="28"/>
                <w:rtl/>
                <w:lang w:eastAsia="zh-CN" w:bidi="ar-EG"/>
              </w:rPr>
              <w:noBreakHyphen/>
            </w:r>
            <w:r w:rsidRPr="00D52D83">
              <w:rPr>
                <w:rFonts w:ascii="Arabic Typesetting" w:eastAsia="SimSun" w:hAnsi="Arabic Typesetting" w:cs="Arabic Typesetting"/>
                <w:color w:val="000000"/>
                <w:sz w:val="28"/>
                <w:szCs w:val="28"/>
                <w:rtl/>
                <w:lang w:eastAsia="zh-CN" w:bidi="ar-EG"/>
              </w:rPr>
              <w:t>11</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2%) من 837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2014 إلى 743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w:t>
            </w:r>
          </w:p>
        </w:tc>
        <w:tc>
          <w:tcPr>
            <w:tcW w:w="707" w:type="pct"/>
            <w:shd w:val="clear" w:color="auto" w:fill="auto"/>
            <w:hideMark/>
          </w:tcPr>
          <w:p w14:paraId="3F78C328"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زيادة طفيفة قدرها 3 فرنكات سويسرية (+0</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4%) من 743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 إلى 7</w:t>
            </w:r>
            <w:r>
              <w:rPr>
                <w:rFonts w:ascii="Arabic Typesetting" w:eastAsia="SimSun" w:hAnsi="Arabic Typesetting" w:cs="Arabic Typesetting"/>
                <w:color w:val="000000"/>
                <w:sz w:val="28"/>
                <w:szCs w:val="28"/>
                <w:rtl/>
                <w:lang w:eastAsia="zh-CN" w:bidi="ar-EG"/>
              </w:rPr>
              <w:t>46 فرنكاً سويسرياً في عام 2016</w:t>
            </w:r>
          </w:p>
        </w:tc>
        <w:tc>
          <w:tcPr>
            <w:tcW w:w="1537" w:type="pct"/>
            <w:shd w:val="clear" w:color="auto" w:fill="auto"/>
            <w:hideMark/>
          </w:tcPr>
          <w:p w14:paraId="16E3AC14"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انخفاض تكلفة معالجة تسجيل دولي جديد أو</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مجدَّد في إطار نظام مدريد</w:t>
            </w:r>
            <w:r>
              <w:rPr>
                <w:rFonts w:ascii="Arabic Typesetting" w:eastAsia="SimSun" w:hAnsi="Arabic Typesetting" w:cs="Arabic Typesetting"/>
                <w:color w:val="000000"/>
                <w:sz w:val="28"/>
                <w:szCs w:val="28"/>
                <w:rtl/>
                <w:lang w:eastAsia="zh-CN" w:bidi="ar-EG"/>
              </w:rPr>
              <w:t>.</w:t>
            </w:r>
          </w:p>
        </w:tc>
      </w:tr>
      <w:tr w:rsidR="00B54D74" w:rsidRPr="00D52D83" w14:paraId="3843B811" w14:textId="77777777" w:rsidTr="00EF3FA1">
        <w:trPr>
          <w:cantSplit/>
          <w:trHeight w:val="1620"/>
        </w:trPr>
        <w:tc>
          <w:tcPr>
            <w:tcW w:w="818" w:type="pct"/>
            <w:tcBorders>
              <w:bottom w:val="single" w:sz="4" w:space="0" w:color="auto"/>
            </w:tcBorders>
            <w:shd w:val="clear" w:color="auto" w:fill="auto"/>
            <w:hideMark/>
          </w:tcPr>
          <w:p w14:paraId="25D92E47"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وحدة معالجة معاملات نظام لاهاي</w:t>
            </w:r>
          </w:p>
        </w:tc>
        <w:tc>
          <w:tcPr>
            <w:tcW w:w="615" w:type="pct"/>
            <w:tcBorders>
              <w:bottom w:val="single" w:sz="4" w:space="0" w:color="auto"/>
            </w:tcBorders>
            <w:shd w:val="clear" w:color="000000" w:fill="D9D9D9"/>
            <w:noWrap/>
            <w:hideMark/>
          </w:tcPr>
          <w:p w14:paraId="17D11789"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615" w:type="pct"/>
            <w:tcBorders>
              <w:bottom w:val="single" w:sz="4" w:space="0" w:color="auto"/>
            </w:tcBorders>
            <w:shd w:val="clear" w:color="000000" w:fill="D9D9D9"/>
            <w:noWrap/>
            <w:hideMark/>
          </w:tcPr>
          <w:p w14:paraId="4B80B005"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tcBorders>
              <w:bottom w:val="single" w:sz="4" w:space="0" w:color="auto"/>
            </w:tcBorders>
            <w:shd w:val="clear" w:color="auto" w:fill="auto"/>
            <w:hideMark/>
          </w:tcPr>
          <w:p w14:paraId="22ED9413" w14:textId="42A8BD58"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انخفاض قدره 29 فرنكاً سويسرياً (</w:t>
            </w:r>
            <w:r>
              <w:rPr>
                <w:rFonts w:ascii="Arabic Typesetting" w:eastAsia="SimSun" w:hAnsi="Arabic Typesetting" w:cs="Arabic Typesetting"/>
                <w:color w:val="000000"/>
                <w:sz w:val="28"/>
                <w:szCs w:val="28"/>
                <w:rtl/>
                <w:lang w:eastAsia="zh-CN" w:bidi="ar-EG"/>
              </w:rPr>
              <w:noBreakHyphen/>
            </w:r>
            <w:r w:rsidRPr="00D52D83">
              <w:rPr>
                <w:rFonts w:ascii="Arabic Typesetting" w:eastAsia="SimSun" w:hAnsi="Arabic Typesetting" w:cs="Arabic Typesetting"/>
                <w:color w:val="000000"/>
                <w:sz w:val="28"/>
                <w:szCs w:val="28"/>
                <w:rtl/>
                <w:lang w:eastAsia="zh-CN" w:bidi="ar-EG"/>
              </w:rPr>
              <w:t xml:space="preserve">8%) من 366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2014 إلى 337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 </w:t>
            </w:r>
            <w:r w:rsidRPr="00D52D83">
              <w:rPr>
                <w:rFonts w:ascii="Arabic Typesetting" w:hAnsi="Arabic Typesetting" w:cs="Arabic Typesetting"/>
                <w:color w:val="000000"/>
                <w:sz w:val="28"/>
                <w:szCs w:val="28"/>
                <w:lang w:eastAsia="zh-CN" w:bidi="ar-EG"/>
              </w:rPr>
              <w:br/>
            </w:r>
            <w:r w:rsidRPr="00D52D83">
              <w:rPr>
                <w:rFonts w:ascii="Arabic Typesetting" w:eastAsia="SimSun" w:hAnsi="Arabic Typesetting" w:cs="Arabic Typesetting"/>
                <w:color w:val="000000"/>
                <w:sz w:val="28"/>
                <w:szCs w:val="28"/>
                <w:rtl/>
                <w:lang w:eastAsia="zh-CN" w:bidi="ar-EG"/>
              </w:rPr>
              <w:t>وانخفاض قدره 330 فرنكاً سويسرياً (</w:t>
            </w:r>
            <w:r>
              <w:rPr>
                <w:rFonts w:ascii="Arabic Typesetting" w:eastAsia="SimSun" w:hAnsi="Arabic Typesetting" w:cs="Arabic Typesetting"/>
                <w:color w:val="000000"/>
                <w:sz w:val="28"/>
                <w:szCs w:val="28"/>
                <w:rtl/>
                <w:lang w:eastAsia="zh-CN" w:bidi="ar-EG"/>
              </w:rPr>
              <w:noBreakHyphen/>
            </w:r>
            <w:r w:rsidRPr="00D52D83">
              <w:rPr>
                <w:rFonts w:ascii="Arabic Typesetting" w:eastAsia="SimSun" w:hAnsi="Arabic Typesetting" w:cs="Arabic Typesetting"/>
                <w:color w:val="000000"/>
                <w:sz w:val="28"/>
                <w:szCs w:val="28"/>
                <w:rtl/>
                <w:lang w:eastAsia="zh-CN" w:bidi="ar-EG"/>
              </w:rPr>
              <w:t>22</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3%) عن كل وثيقة مدوَّنة من 1483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2014 إلى 1153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w:t>
            </w:r>
            <w:r>
              <w:rPr>
                <w:rFonts w:ascii="Arabic Typesetting" w:eastAsia="SimSun" w:hAnsi="Arabic Typesetting" w:cs="Arabic Typesetting"/>
                <w:color w:val="000000"/>
                <w:sz w:val="28"/>
                <w:szCs w:val="28"/>
                <w:rtl/>
                <w:lang w:eastAsia="zh-CN" w:bidi="ar-EG"/>
              </w:rPr>
              <w:t>.</w:t>
            </w:r>
          </w:p>
        </w:tc>
        <w:tc>
          <w:tcPr>
            <w:tcW w:w="707" w:type="pct"/>
            <w:tcBorders>
              <w:bottom w:val="single" w:sz="4" w:space="0" w:color="auto"/>
            </w:tcBorders>
            <w:shd w:val="clear" w:color="auto" w:fill="auto"/>
            <w:hideMark/>
          </w:tcPr>
          <w:p w14:paraId="0F5651BB" w14:textId="3E839ACB"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زيادة قدرها 106 فرنكات سويسرية (+31%) من 337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2015 إلى 443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 </w:t>
            </w:r>
            <w:r w:rsidRPr="00D52D83">
              <w:rPr>
                <w:rFonts w:ascii="Arabic Typesetting" w:hAnsi="Arabic Typesetting" w:cs="Arabic Typesetting"/>
                <w:color w:val="000000"/>
                <w:sz w:val="28"/>
                <w:szCs w:val="28"/>
                <w:lang w:eastAsia="zh-CN" w:bidi="ar-EG"/>
              </w:rPr>
              <w:br/>
            </w:r>
            <w:r w:rsidRPr="00D52D83">
              <w:rPr>
                <w:rFonts w:ascii="Arabic Typesetting" w:eastAsia="SimSun" w:hAnsi="Arabic Typesetting" w:cs="Arabic Typesetting"/>
                <w:color w:val="000000"/>
                <w:sz w:val="28"/>
                <w:szCs w:val="28"/>
                <w:rtl/>
                <w:lang w:eastAsia="zh-CN" w:bidi="ar-EG"/>
              </w:rPr>
              <w:t xml:space="preserve">وزيادة قدرها 19 فرنكاً سويسرياً (+2%) عن كل وثيقة مدوَّنة من 1153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 إلى 1172 فرنكاً سويسرياً في</w:t>
            </w:r>
            <w:r>
              <w:rPr>
                <w:rFonts w:ascii="Arabic Typesetting" w:eastAsia="SimSun" w:hAnsi="Arabic Typesetting" w:cs="Arabic Typesetting"/>
                <w:color w:val="000000"/>
                <w:sz w:val="28"/>
                <w:szCs w:val="28"/>
                <w:rtl/>
                <w:lang w:eastAsia="zh-CN" w:bidi="ar-EG"/>
              </w:rPr>
              <w:t xml:space="preserve"> عام 2016.</w:t>
            </w:r>
          </w:p>
        </w:tc>
        <w:tc>
          <w:tcPr>
            <w:tcW w:w="1537" w:type="pct"/>
            <w:tcBorders>
              <w:bottom w:val="single" w:sz="4" w:space="0" w:color="auto"/>
            </w:tcBorders>
            <w:shd w:val="clear" w:color="auto" w:fill="auto"/>
            <w:hideMark/>
          </w:tcPr>
          <w:p w14:paraId="7D8A2894"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تُعزى الزيادة في </w:t>
            </w:r>
            <w:r>
              <w:rPr>
                <w:rFonts w:ascii="Arabic Typesetting" w:eastAsia="SimSun" w:hAnsi="Arabic Typesetting" w:cs="Arabic Typesetting" w:hint="cs"/>
                <w:color w:val="000000"/>
                <w:sz w:val="28"/>
                <w:szCs w:val="28"/>
                <w:rtl/>
                <w:lang w:eastAsia="zh-CN" w:bidi="ar-EG"/>
              </w:rPr>
              <w:t>تكلفة</w:t>
            </w:r>
            <w:r w:rsidRPr="00D52D83">
              <w:rPr>
                <w:rFonts w:ascii="Arabic Typesetting" w:eastAsia="SimSun" w:hAnsi="Arabic Typesetting" w:cs="Arabic Typesetting"/>
                <w:color w:val="000000"/>
                <w:sz w:val="28"/>
                <w:szCs w:val="28"/>
                <w:rtl/>
                <w:lang w:eastAsia="zh-CN" w:bidi="ar-EG"/>
              </w:rPr>
              <w:t xml:space="preserve"> الوحدة إلى تحسينات في منهجية حساب تكلفة الوحدة أدت إلى تحسين توزيع التكاليف بين سجلَي مدريد ولاهاي (للمزيد من المعلومات، يرجى النظر </w:t>
            </w:r>
            <w:r>
              <w:rPr>
                <w:rFonts w:ascii="Arabic Typesetting" w:eastAsia="SimSun" w:hAnsi="Arabic Typesetting" w:cs="Arabic Typesetting"/>
                <w:color w:val="000000"/>
                <w:sz w:val="28"/>
                <w:szCs w:val="28"/>
                <w:rtl/>
                <w:lang w:eastAsia="zh-CN" w:bidi="ar-EG"/>
              </w:rPr>
              <w:t>في المرفق الخاص بمؤشرات لاهاي).</w:t>
            </w:r>
          </w:p>
        </w:tc>
      </w:tr>
      <w:tr w:rsidR="00B54D74" w:rsidRPr="00D52D83" w14:paraId="2C14F967" w14:textId="77777777" w:rsidTr="00EF3FA1">
        <w:trPr>
          <w:cantSplit/>
          <w:trHeight w:val="20"/>
        </w:trPr>
        <w:tc>
          <w:tcPr>
            <w:tcW w:w="5000" w:type="pct"/>
            <w:gridSpan w:val="6"/>
            <w:shd w:val="clear" w:color="auto" w:fill="8DB4E2"/>
            <w:tcMar>
              <w:top w:w="57" w:type="dxa"/>
              <w:bottom w:w="57" w:type="dxa"/>
            </w:tcMar>
            <w:vAlign w:val="center"/>
          </w:tcPr>
          <w:p w14:paraId="18F93939" w14:textId="77777777" w:rsidR="00B54D74" w:rsidRPr="00D52D83" w:rsidRDefault="00B54D74" w:rsidP="0031289D">
            <w:pPr>
              <w:keepNext/>
              <w:bidi/>
              <w:spacing w:line="280" w:lineRule="exact"/>
              <w:rPr>
                <w:rFonts w:ascii="Arabic Typesetting" w:eastAsia="Arabic Typesetting" w:hAnsi="Arabic Typesetting" w:cs="Arabic Typesetting"/>
                <w:b/>
                <w:bCs/>
                <w:color w:val="000000"/>
                <w:sz w:val="28"/>
                <w:szCs w:val="28"/>
                <w:lang w:eastAsia="zh-CN" w:bidi="ar-EG"/>
              </w:rPr>
            </w:pPr>
            <w:r w:rsidRPr="00D52D83">
              <w:rPr>
                <w:rFonts w:ascii="Arabic Typesetting" w:eastAsia="SimSun" w:hAnsi="Arabic Typesetting" w:cs="Arabic Typesetting"/>
                <w:b/>
                <w:bCs/>
                <w:color w:val="000000"/>
                <w:sz w:val="28"/>
                <w:szCs w:val="28"/>
                <w:rtl/>
                <w:lang w:eastAsia="zh-CN" w:bidi="ar-EG"/>
              </w:rPr>
              <w:lastRenderedPageBreak/>
              <w:t>2</w:t>
            </w:r>
            <w:r>
              <w:rPr>
                <w:rFonts w:ascii="Arabic Typesetting" w:eastAsia="SimSun" w:hAnsi="Arabic Typesetting" w:cs="Arabic Typesetting"/>
                <w:b/>
                <w:bCs/>
                <w:color w:val="000000"/>
                <w:sz w:val="28"/>
                <w:szCs w:val="28"/>
                <w:rtl/>
                <w:lang w:eastAsia="zh-CN" w:bidi="ar-EG"/>
              </w:rPr>
              <w:t>.</w:t>
            </w:r>
            <w:r w:rsidRPr="00D52D83">
              <w:rPr>
                <w:rFonts w:ascii="Arabic Typesetting" w:eastAsia="SimSun" w:hAnsi="Arabic Typesetting" w:cs="Arabic Typesetting"/>
                <w:b/>
                <w:bCs/>
                <w:color w:val="000000"/>
                <w:sz w:val="28"/>
                <w:szCs w:val="28"/>
                <w:rtl/>
                <w:lang w:eastAsia="zh-CN" w:bidi="ar-EG"/>
              </w:rPr>
              <w:t xml:space="preserve"> الأسفار</w:t>
            </w:r>
          </w:p>
        </w:tc>
      </w:tr>
      <w:tr w:rsidR="00B54D74" w:rsidRPr="00D52D83" w14:paraId="6348B1E1" w14:textId="77777777" w:rsidTr="00EF3FA1">
        <w:trPr>
          <w:cantSplit/>
          <w:trHeight w:val="945"/>
        </w:trPr>
        <w:tc>
          <w:tcPr>
            <w:tcW w:w="818" w:type="pct"/>
            <w:shd w:val="clear" w:color="auto" w:fill="auto"/>
            <w:noWrap/>
            <w:hideMark/>
          </w:tcPr>
          <w:p w14:paraId="3BB0B903"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السفر في إجازة للوطن</w:t>
            </w:r>
          </w:p>
        </w:tc>
        <w:tc>
          <w:tcPr>
            <w:tcW w:w="615" w:type="pct"/>
            <w:shd w:val="clear" w:color="auto" w:fill="auto"/>
            <w:noWrap/>
            <w:hideMark/>
          </w:tcPr>
          <w:p w14:paraId="05B684B5" w14:textId="0F500A14" w:rsidR="00B54D74" w:rsidRPr="00D52D83" w:rsidRDefault="00B54D74" w:rsidP="00585B16">
            <w:pPr>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267</w:t>
            </w:r>
            <w:r w:rsidR="00585B16">
              <w:rPr>
                <w:rFonts w:ascii="Arabic Typesetting" w:eastAsia="SimSun" w:hAnsi="Arabic Typesetting" w:cs="Arabic Typesetting"/>
                <w:color w:val="000000"/>
                <w:sz w:val="28"/>
                <w:szCs w:val="28"/>
                <w:lang w:eastAsia="zh-CN" w:bidi="ar-EG"/>
              </w:rPr>
              <w:t xml:space="preserve"> </w:t>
            </w:r>
            <w:r w:rsidRPr="00D52D83">
              <w:rPr>
                <w:rFonts w:ascii="Arabic Typesetting" w:eastAsia="SimSun" w:hAnsi="Arabic Typesetting" w:cs="Arabic Typesetting"/>
                <w:color w:val="000000"/>
                <w:sz w:val="28"/>
                <w:szCs w:val="28"/>
                <w:rtl/>
                <w:lang w:eastAsia="zh-CN" w:bidi="ar-EG"/>
              </w:rPr>
              <w:t>000</w:t>
            </w:r>
          </w:p>
        </w:tc>
        <w:tc>
          <w:tcPr>
            <w:tcW w:w="615" w:type="pct"/>
            <w:shd w:val="clear" w:color="auto" w:fill="auto"/>
            <w:noWrap/>
            <w:hideMark/>
          </w:tcPr>
          <w:p w14:paraId="460DB459" w14:textId="5FDAEF77" w:rsidR="00B54D74" w:rsidRPr="00D52D83" w:rsidRDefault="00B54D74" w:rsidP="00585B16">
            <w:pPr>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1</w:t>
            </w:r>
            <w:r w:rsidR="00585B16">
              <w:rPr>
                <w:rFonts w:ascii="Arabic Typesetting" w:eastAsia="SimSun" w:hAnsi="Arabic Typesetting" w:cs="Arabic Typesetting"/>
                <w:color w:val="000000"/>
                <w:sz w:val="28"/>
                <w:szCs w:val="28"/>
                <w:lang w:eastAsia="zh-CN" w:bidi="ar-EG"/>
              </w:rPr>
              <w:t xml:space="preserve"> </w:t>
            </w:r>
            <w:r w:rsidRPr="00D52D83">
              <w:rPr>
                <w:rFonts w:ascii="Arabic Typesetting" w:eastAsia="SimSun" w:hAnsi="Arabic Typesetting" w:cs="Arabic Typesetting"/>
                <w:color w:val="000000"/>
                <w:sz w:val="28"/>
                <w:szCs w:val="28"/>
                <w:rtl/>
                <w:lang w:eastAsia="zh-CN" w:bidi="ar-EG"/>
              </w:rPr>
              <w:t>091</w:t>
            </w:r>
            <w:r w:rsidR="00585B16">
              <w:rPr>
                <w:rFonts w:ascii="Arabic Typesetting" w:eastAsia="SimSun" w:hAnsi="Arabic Typesetting" w:cs="Arabic Typesetting"/>
                <w:color w:val="000000"/>
                <w:sz w:val="28"/>
                <w:szCs w:val="28"/>
                <w:lang w:eastAsia="zh-CN" w:bidi="ar-EG"/>
              </w:rPr>
              <w:t xml:space="preserve"> </w:t>
            </w:r>
            <w:r w:rsidRPr="00D52D83">
              <w:rPr>
                <w:rFonts w:ascii="Arabic Typesetting" w:eastAsia="SimSun" w:hAnsi="Arabic Typesetting" w:cs="Arabic Typesetting"/>
                <w:color w:val="000000"/>
                <w:sz w:val="28"/>
                <w:szCs w:val="28"/>
                <w:rtl/>
                <w:lang w:eastAsia="zh-CN" w:bidi="ar-EG"/>
              </w:rPr>
              <w:t>811</w:t>
            </w:r>
          </w:p>
        </w:tc>
        <w:tc>
          <w:tcPr>
            <w:tcW w:w="707" w:type="pct"/>
            <w:shd w:val="clear" w:color="000000" w:fill="D9D9D9"/>
            <w:noWrap/>
            <w:hideMark/>
          </w:tcPr>
          <w:p w14:paraId="16CC94B3"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noWrap/>
            <w:hideMark/>
          </w:tcPr>
          <w:p w14:paraId="41714CC0"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329A44A8" w14:textId="77777777" w:rsidR="00B54D74" w:rsidRPr="00D52D83" w:rsidRDefault="00B54D74" w:rsidP="0031289D">
            <w:pPr>
              <w:bidi/>
              <w:spacing w:line="280" w:lineRule="exact"/>
              <w:rPr>
                <w:rFonts w:ascii="Arabic Typesetting" w:eastAsia="Arabic Typesetting" w:hAnsi="Arabic Typesetting" w:cs="Arabic Typesetting"/>
                <w:sz w:val="28"/>
                <w:szCs w:val="28"/>
                <w:lang w:eastAsia="zh-CN" w:bidi="ar-EG"/>
              </w:rPr>
            </w:pPr>
            <w:r w:rsidRPr="00D52D83">
              <w:rPr>
                <w:rFonts w:ascii="Arabic Typesetting" w:eastAsia="SimSun" w:hAnsi="Arabic Typesetting" w:cs="Arabic Typesetting"/>
                <w:sz w:val="28"/>
                <w:szCs w:val="28"/>
                <w:rtl/>
                <w:lang w:eastAsia="zh-CN" w:bidi="ar-EG"/>
              </w:rPr>
              <w:t xml:space="preserve">بعد الفترة الانتقالية للثنائية 2014/15، استفاد </w:t>
            </w:r>
            <w:r>
              <w:rPr>
                <w:rFonts w:ascii="Arabic Typesetting" w:eastAsia="SimSun" w:hAnsi="Arabic Typesetting" w:cs="Arabic Typesetting"/>
                <w:sz w:val="28"/>
                <w:szCs w:val="28"/>
                <w:rtl/>
                <w:lang w:eastAsia="zh-CN" w:bidi="ar-EG"/>
              </w:rPr>
              <w:t>عام </w:t>
            </w:r>
            <w:r w:rsidRPr="00D52D83">
              <w:rPr>
                <w:rFonts w:ascii="Arabic Typesetting" w:eastAsia="SimSun" w:hAnsi="Arabic Typesetting" w:cs="Arabic Typesetting"/>
                <w:sz w:val="28"/>
                <w:szCs w:val="28"/>
                <w:rtl/>
                <w:lang w:eastAsia="zh-CN" w:bidi="ar-EG"/>
              </w:rPr>
              <w:t xml:space="preserve">2016 من التنفيذ الكامل للسياسة الجديدة لإجازة الوطن؛ فأدى ذلك إلى وفورات كبيرة بين تكلفة </w:t>
            </w:r>
            <w:r>
              <w:rPr>
                <w:rFonts w:ascii="Arabic Typesetting" w:eastAsia="SimSun" w:hAnsi="Arabic Typesetting" w:cs="Arabic Typesetting" w:hint="cs"/>
                <w:sz w:val="28"/>
                <w:szCs w:val="28"/>
                <w:rtl/>
                <w:lang w:eastAsia="zh-CN" w:bidi="ar-EG"/>
              </w:rPr>
              <w:t>ا</w:t>
            </w:r>
            <w:r w:rsidRPr="00D52D83">
              <w:rPr>
                <w:rFonts w:ascii="Arabic Typesetting" w:eastAsia="SimSun" w:hAnsi="Arabic Typesetting" w:cs="Arabic Typesetting"/>
                <w:sz w:val="28"/>
                <w:szCs w:val="28"/>
                <w:rtl/>
                <w:lang w:eastAsia="zh-CN" w:bidi="ar-EG"/>
              </w:rPr>
              <w:t>لدرجة الاقتصادية ودرجة الأعمال السابقة</w:t>
            </w:r>
            <w:r>
              <w:rPr>
                <w:rFonts w:ascii="Arabic Typesetting" w:eastAsia="SimSun" w:hAnsi="Arabic Typesetting" w:cs="Arabic Typesetting"/>
                <w:sz w:val="28"/>
                <w:szCs w:val="28"/>
                <w:rtl/>
                <w:lang w:eastAsia="zh-CN" w:bidi="ar-EG"/>
              </w:rPr>
              <w:t>.</w:t>
            </w:r>
          </w:p>
        </w:tc>
      </w:tr>
      <w:tr w:rsidR="00B54D74" w:rsidRPr="00D52D83" w14:paraId="6E5A1B4B" w14:textId="77777777" w:rsidTr="00EF3FA1">
        <w:trPr>
          <w:cantSplit/>
          <w:trHeight w:val="1425"/>
        </w:trPr>
        <w:tc>
          <w:tcPr>
            <w:tcW w:w="818" w:type="pct"/>
            <w:shd w:val="clear" w:color="auto" w:fill="auto"/>
            <w:hideMark/>
          </w:tcPr>
          <w:p w14:paraId="76DCDE33"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تكاليف السفر في بعثة رسمية (المتوسط</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العالمي لأسعار التذاكر)</w:t>
            </w:r>
          </w:p>
        </w:tc>
        <w:tc>
          <w:tcPr>
            <w:tcW w:w="615" w:type="pct"/>
            <w:shd w:val="clear" w:color="000000" w:fill="D9D9D9"/>
            <w:noWrap/>
            <w:hideMark/>
          </w:tcPr>
          <w:p w14:paraId="12454616" w14:textId="77777777" w:rsidR="00B54D74" w:rsidRPr="00D52D83" w:rsidRDefault="00B54D74" w:rsidP="0031289D">
            <w:pPr>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615" w:type="pct"/>
            <w:shd w:val="clear" w:color="000000" w:fill="D9D9D9"/>
            <w:noWrap/>
            <w:hideMark/>
          </w:tcPr>
          <w:p w14:paraId="069E81B4" w14:textId="77777777" w:rsidR="00B54D74" w:rsidRPr="00D52D83" w:rsidRDefault="00B54D74" w:rsidP="0031289D">
            <w:pPr>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auto" w:fill="auto"/>
            <w:hideMark/>
          </w:tcPr>
          <w:p w14:paraId="09E2835A" w14:textId="2303997F"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انخفاض بنسبة 7</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3% </w:t>
            </w:r>
            <w:r>
              <w:rPr>
                <w:rFonts w:ascii="Arabic Typesetting" w:eastAsia="SimSun" w:hAnsi="Arabic Typesetting" w:cs="Arabic Typesetting" w:hint="cs"/>
                <w:color w:val="000000"/>
                <w:sz w:val="28"/>
                <w:szCs w:val="28"/>
                <w:rtl/>
                <w:lang w:eastAsia="zh-CN" w:bidi="ar-EG"/>
              </w:rPr>
              <w:t>إلى</w:t>
            </w:r>
            <w:r w:rsidRPr="00D52D83">
              <w:rPr>
                <w:rFonts w:ascii="Arabic Typesetting" w:eastAsia="SimSun" w:hAnsi="Arabic Typesetting" w:cs="Arabic Typesetting"/>
                <w:color w:val="000000"/>
                <w:sz w:val="28"/>
                <w:szCs w:val="28"/>
                <w:rtl/>
                <w:lang w:eastAsia="zh-CN" w:bidi="ar-EG"/>
              </w:rPr>
              <w:t xml:space="preserve"> 14</w:t>
            </w:r>
            <w:r>
              <w:rPr>
                <w:rFonts w:ascii="Arabic Typesetting" w:eastAsia="SimSun" w:hAnsi="Arabic Typesetting" w:cs="Arabic Typesetting"/>
                <w:color w:val="000000"/>
                <w:sz w:val="28"/>
                <w:szCs w:val="28"/>
                <w:rtl/>
                <w:lang w:eastAsia="zh-CN" w:bidi="ar-EG"/>
              </w:rPr>
              <w:t>81 فرنكاً سويسرياً في عام 2015</w:t>
            </w:r>
          </w:p>
        </w:tc>
        <w:tc>
          <w:tcPr>
            <w:tcW w:w="707" w:type="pct"/>
            <w:shd w:val="clear" w:color="auto" w:fill="auto"/>
            <w:hideMark/>
          </w:tcPr>
          <w:p w14:paraId="51D5C692" w14:textId="021A5B3A"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انخفاض بنسبة 11</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2% </w:t>
            </w:r>
            <w:r>
              <w:rPr>
                <w:rFonts w:ascii="Arabic Typesetting" w:eastAsia="SimSun" w:hAnsi="Arabic Typesetting" w:cs="Arabic Typesetting" w:hint="cs"/>
                <w:color w:val="000000"/>
                <w:sz w:val="28"/>
                <w:szCs w:val="28"/>
                <w:rtl/>
                <w:lang w:eastAsia="zh-CN" w:bidi="ar-EG"/>
              </w:rPr>
              <w:t>إلى</w:t>
            </w:r>
            <w:r w:rsidRPr="00D52D83">
              <w:rPr>
                <w:rFonts w:ascii="Arabic Typesetting" w:eastAsia="SimSun" w:hAnsi="Arabic Typesetting" w:cs="Arabic Typesetting"/>
                <w:color w:val="000000"/>
                <w:sz w:val="28"/>
                <w:szCs w:val="28"/>
                <w:rtl/>
                <w:lang w:eastAsia="zh-CN" w:bidi="ar-EG"/>
              </w:rPr>
              <w:t xml:space="preserve"> 1</w:t>
            </w:r>
            <w:r>
              <w:rPr>
                <w:rFonts w:ascii="Arabic Typesetting" w:eastAsia="SimSun" w:hAnsi="Arabic Typesetting" w:cs="Arabic Typesetting"/>
                <w:color w:val="000000"/>
                <w:sz w:val="28"/>
                <w:szCs w:val="28"/>
                <w:rtl/>
                <w:lang w:eastAsia="zh-CN" w:bidi="ar-EG"/>
              </w:rPr>
              <w:t>315 فرنكاً سويسرياً في عام 2016</w:t>
            </w:r>
          </w:p>
        </w:tc>
        <w:tc>
          <w:tcPr>
            <w:tcW w:w="1537" w:type="pct"/>
            <w:shd w:val="clear" w:color="auto" w:fill="auto"/>
            <w:hideMark/>
          </w:tcPr>
          <w:p w14:paraId="112FB5B2"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يُعزى الانخفاض المسجَّل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2016 إلى تطبيق أدوات تكنولوجية جديدة للسفر (أداة الحجز الشبكي) ودورات تدريبية لترويج الحجز </w:t>
            </w:r>
            <w:r>
              <w:rPr>
                <w:rFonts w:ascii="Arabic Typesetting" w:eastAsia="SimSun" w:hAnsi="Arabic Typesetting" w:cs="Arabic Typesetting"/>
                <w:color w:val="000000"/>
                <w:sz w:val="28"/>
                <w:szCs w:val="28"/>
                <w:rtl/>
                <w:lang w:eastAsia="zh-CN" w:bidi="ar-EG"/>
              </w:rPr>
              <w:t>المبكر للتذاكر.</w:t>
            </w:r>
            <w:r w:rsidRPr="00D52D83">
              <w:rPr>
                <w:rFonts w:ascii="Arabic Typesetting" w:eastAsia="SimSun" w:hAnsi="Arabic Typesetting" w:cs="Arabic Typesetting"/>
                <w:color w:val="000000"/>
                <w:sz w:val="28"/>
                <w:szCs w:val="28"/>
                <w:rtl/>
                <w:lang w:eastAsia="zh-CN" w:bidi="ar-EG"/>
              </w:rPr>
              <w:t xml:space="preserve"> وساهم انخفاض مبلغ أسفار الموظفين وخلاف الموظفين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 (انخفاض نسبته 7</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9% مقارنة ب</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 في انخفاض التكلفة الإجمالية للأسفار</w:t>
            </w:r>
            <w:r>
              <w:rPr>
                <w:rFonts w:ascii="Arabic Typesetting" w:eastAsia="SimSun" w:hAnsi="Arabic Typesetting" w:cs="Arabic Typesetting"/>
                <w:color w:val="000000"/>
                <w:sz w:val="28"/>
                <w:szCs w:val="28"/>
                <w:rtl/>
                <w:lang w:eastAsia="zh-CN" w:bidi="ar-EG"/>
              </w:rPr>
              <w:t>.</w:t>
            </w:r>
          </w:p>
        </w:tc>
      </w:tr>
      <w:tr w:rsidR="00B54D74" w:rsidRPr="00D52D83" w14:paraId="2EC8515C" w14:textId="77777777" w:rsidTr="00EF3FA1">
        <w:trPr>
          <w:cantSplit/>
          <w:trHeight w:val="100"/>
        </w:trPr>
        <w:tc>
          <w:tcPr>
            <w:tcW w:w="818" w:type="pct"/>
            <w:tcBorders>
              <w:bottom w:val="single" w:sz="4" w:space="0" w:color="auto"/>
            </w:tcBorders>
            <w:shd w:val="clear" w:color="auto" w:fill="auto"/>
            <w:noWrap/>
            <w:hideMark/>
          </w:tcPr>
          <w:p w14:paraId="11D5FDD7"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رسم وكالة السفر</w:t>
            </w:r>
          </w:p>
        </w:tc>
        <w:tc>
          <w:tcPr>
            <w:tcW w:w="615" w:type="pct"/>
            <w:tcBorders>
              <w:bottom w:val="single" w:sz="4" w:space="0" w:color="auto"/>
            </w:tcBorders>
            <w:shd w:val="clear" w:color="000000" w:fill="D9D9D9"/>
            <w:noWrap/>
            <w:hideMark/>
          </w:tcPr>
          <w:p w14:paraId="5977E2AB"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615" w:type="pct"/>
            <w:tcBorders>
              <w:bottom w:val="single" w:sz="4" w:space="0" w:color="auto"/>
            </w:tcBorders>
            <w:shd w:val="clear" w:color="000000" w:fill="D9D9D9"/>
            <w:noWrap/>
            <w:hideMark/>
          </w:tcPr>
          <w:p w14:paraId="673F917C"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tcBorders>
              <w:bottom w:val="single" w:sz="4" w:space="0" w:color="auto"/>
            </w:tcBorders>
            <w:shd w:val="clear" w:color="auto" w:fill="auto"/>
            <w:noWrap/>
            <w:hideMark/>
          </w:tcPr>
          <w:p w14:paraId="0CBD3A4F"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color w:val="000000"/>
                <w:sz w:val="28"/>
                <w:szCs w:val="28"/>
                <w:rtl/>
                <w:lang w:eastAsia="zh-CN" w:bidi="ar-EG"/>
              </w:rPr>
              <w:t>95 فرنكاً سويسرياً</w:t>
            </w:r>
          </w:p>
        </w:tc>
        <w:tc>
          <w:tcPr>
            <w:tcW w:w="707" w:type="pct"/>
            <w:tcBorders>
              <w:bottom w:val="single" w:sz="4" w:space="0" w:color="auto"/>
            </w:tcBorders>
            <w:shd w:val="clear" w:color="auto" w:fill="auto"/>
            <w:noWrap/>
            <w:hideMark/>
          </w:tcPr>
          <w:p w14:paraId="5272B0A1"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color w:val="000000"/>
                <w:sz w:val="28"/>
                <w:szCs w:val="28"/>
                <w:rtl/>
                <w:lang w:eastAsia="zh-CN" w:bidi="ar-EG"/>
              </w:rPr>
              <w:t>92 فرنكاً سويسرياً</w:t>
            </w:r>
          </w:p>
        </w:tc>
        <w:tc>
          <w:tcPr>
            <w:tcW w:w="1537" w:type="pct"/>
            <w:tcBorders>
              <w:bottom w:val="single" w:sz="4" w:space="0" w:color="auto"/>
            </w:tcBorders>
            <w:shd w:val="clear" w:color="auto" w:fill="auto"/>
            <w:hideMark/>
          </w:tcPr>
          <w:p w14:paraId="14EEF8B7"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يُعزى الانخفاض في رسوم المعاملات التي يدفعها برنامج الأمم المتحدة الإنمائي وشركة إدارة الأسفار (</w:t>
            </w:r>
            <w:r w:rsidRPr="00D52D83">
              <w:rPr>
                <w:rFonts w:ascii="Arabic Typesetting" w:eastAsia="SimSun" w:hAnsi="Arabic Typesetting" w:cs="Arabic Typesetting"/>
                <w:color w:val="000000"/>
                <w:sz w:val="28"/>
                <w:szCs w:val="28"/>
                <w:lang w:eastAsia="zh-CN" w:bidi="ar-EG"/>
              </w:rPr>
              <w:t>TMC</w:t>
            </w:r>
            <w:r w:rsidRPr="00D52D83">
              <w:rPr>
                <w:rFonts w:ascii="Arabic Typesetting" w:eastAsia="SimSun" w:hAnsi="Arabic Typesetting" w:cs="Arabic Typesetting"/>
                <w:color w:val="000000"/>
                <w:sz w:val="28"/>
                <w:szCs w:val="28"/>
                <w:rtl/>
                <w:lang w:eastAsia="zh-CN" w:bidi="ar-EG"/>
              </w:rPr>
              <w:t>) أساساً إلى زيادة معدل اللجوء إلى أداة الحجز الشبكي (شراء</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69% من كل التذاكر عبر أداة الحجز</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الشبكي)</w:t>
            </w:r>
            <w:r>
              <w:rPr>
                <w:rFonts w:ascii="Arabic Typesetting" w:eastAsia="SimSun" w:hAnsi="Arabic Typesetting" w:cs="Arabic Typesetting"/>
                <w:color w:val="000000"/>
                <w:sz w:val="28"/>
                <w:szCs w:val="28"/>
                <w:rtl/>
                <w:lang w:eastAsia="zh-CN" w:bidi="ar-EG"/>
              </w:rPr>
              <w:t>.</w:t>
            </w:r>
          </w:p>
        </w:tc>
      </w:tr>
      <w:tr w:rsidR="00B54D74" w:rsidRPr="00D52D83" w14:paraId="7261962B" w14:textId="77777777" w:rsidTr="00EF3FA1">
        <w:trPr>
          <w:cantSplit/>
          <w:trHeight w:val="20"/>
        </w:trPr>
        <w:tc>
          <w:tcPr>
            <w:tcW w:w="5000" w:type="pct"/>
            <w:gridSpan w:val="6"/>
            <w:shd w:val="clear" w:color="auto" w:fill="8DB4E2"/>
            <w:tcMar>
              <w:top w:w="57" w:type="dxa"/>
              <w:bottom w:w="57" w:type="dxa"/>
            </w:tcMar>
            <w:vAlign w:val="center"/>
          </w:tcPr>
          <w:p w14:paraId="55E5F7D5" w14:textId="77777777" w:rsidR="00B54D74" w:rsidRPr="00D52D83" w:rsidRDefault="00B54D74" w:rsidP="0031289D">
            <w:pPr>
              <w:keepNext/>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b/>
                <w:bCs/>
                <w:color w:val="000000"/>
                <w:sz w:val="28"/>
                <w:szCs w:val="28"/>
                <w:rtl/>
                <w:lang w:eastAsia="zh-CN" w:bidi="ar-EG"/>
              </w:rPr>
              <w:t>3</w:t>
            </w:r>
            <w:r>
              <w:rPr>
                <w:rFonts w:ascii="Arabic Typesetting" w:eastAsia="SimSun" w:hAnsi="Arabic Typesetting" w:cs="Arabic Typesetting"/>
                <w:b/>
                <w:bCs/>
                <w:color w:val="000000"/>
                <w:sz w:val="28"/>
                <w:szCs w:val="28"/>
                <w:rtl/>
                <w:lang w:eastAsia="zh-CN" w:bidi="ar-EG"/>
              </w:rPr>
              <w:t>.</w:t>
            </w:r>
            <w:r w:rsidRPr="00D52D83">
              <w:rPr>
                <w:rFonts w:ascii="Arabic Typesetting" w:eastAsia="SimSun" w:hAnsi="Arabic Typesetting" w:cs="Arabic Typesetting"/>
                <w:b/>
                <w:bCs/>
                <w:color w:val="000000"/>
                <w:sz w:val="28"/>
                <w:szCs w:val="28"/>
                <w:rtl/>
                <w:lang w:eastAsia="zh-CN" w:bidi="ar-EG"/>
              </w:rPr>
              <w:t xml:space="preserve"> المباني</w:t>
            </w:r>
          </w:p>
        </w:tc>
      </w:tr>
      <w:tr w:rsidR="00B54D74" w:rsidRPr="00D52D83" w14:paraId="17D82761" w14:textId="77777777" w:rsidTr="00EF3FA1">
        <w:trPr>
          <w:cantSplit/>
          <w:trHeight w:val="1185"/>
        </w:trPr>
        <w:tc>
          <w:tcPr>
            <w:tcW w:w="818" w:type="pct"/>
            <w:shd w:val="clear" w:color="auto" w:fill="auto"/>
            <w:hideMark/>
          </w:tcPr>
          <w:p w14:paraId="24CAF020"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استهلاك الطاقة</w:t>
            </w:r>
          </w:p>
        </w:tc>
        <w:tc>
          <w:tcPr>
            <w:tcW w:w="615" w:type="pct"/>
            <w:shd w:val="clear" w:color="auto" w:fill="auto"/>
            <w:noWrap/>
            <w:hideMark/>
          </w:tcPr>
          <w:p w14:paraId="186AC2E2" w14:textId="69790A33" w:rsidR="00B54D74" w:rsidRPr="00D52D83" w:rsidRDefault="00585B16" w:rsidP="00585B16">
            <w:pPr>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000 75</w:t>
            </w:r>
          </w:p>
        </w:tc>
        <w:tc>
          <w:tcPr>
            <w:tcW w:w="615" w:type="pct"/>
            <w:shd w:val="clear" w:color="auto" w:fill="auto"/>
            <w:noWrap/>
            <w:hideMark/>
          </w:tcPr>
          <w:p w14:paraId="52C327F9" w14:textId="5E1CC299" w:rsidR="00B54D74" w:rsidRPr="00D52D83" w:rsidRDefault="00585B16" w:rsidP="00585B16">
            <w:pPr>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800 33</w:t>
            </w:r>
          </w:p>
        </w:tc>
        <w:tc>
          <w:tcPr>
            <w:tcW w:w="707" w:type="pct"/>
            <w:shd w:val="clear" w:color="000000" w:fill="D9D9D9"/>
            <w:noWrap/>
            <w:hideMark/>
          </w:tcPr>
          <w:p w14:paraId="23E16D6D"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noWrap/>
            <w:hideMark/>
          </w:tcPr>
          <w:p w14:paraId="1A2FACA4"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31FED257" w14:textId="6670147E" w:rsidR="00B54D74" w:rsidRPr="00D52D83" w:rsidRDefault="00B54D74" w:rsidP="00585B16">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يُعزى الانخفاض في استهلاك الكهرباء إلى تركيب نظام التبريد بمياه بحيرة جنيف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2015 الذي لا </w:t>
            </w:r>
            <w:r w:rsidR="00D02C02" w:rsidRPr="00D52D83">
              <w:rPr>
                <w:rFonts w:ascii="Arabic Typesetting" w:eastAsia="SimSun" w:hAnsi="Arabic Typesetting" w:cs="Arabic Typesetting" w:hint="cs"/>
                <w:color w:val="000000"/>
                <w:sz w:val="28"/>
                <w:szCs w:val="28"/>
                <w:rtl/>
                <w:lang w:eastAsia="zh-CN" w:bidi="ar-EG"/>
              </w:rPr>
              <w:t>يتطل</w:t>
            </w:r>
            <w:r w:rsidR="00D02C02">
              <w:rPr>
                <w:rFonts w:ascii="Arabic Typesetting" w:eastAsia="SimSun" w:hAnsi="Arabic Typesetting" w:cs="Arabic Typesetting" w:hint="cs"/>
                <w:color w:val="000000"/>
                <w:sz w:val="28"/>
                <w:szCs w:val="28"/>
                <w:rtl/>
                <w:lang w:eastAsia="zh-CN" w:bidi="ar-EG"/>
              </w:rPr>
              <w:t>ب</w:t>
            </w:r>
            <w:r>
              <w:rPr>
                <w:rFonts w:ascii="Arabic Typesetting" w:eastAsia="SimSun" w:hAnsi="Arabic Typesetting" w:cs="Arabic Typesetting"/>
                <w:color w:val="000000"/>
                <w:sz w:val="28"/>
                <w:szCs w:val="28"/>
                <w:rtl/>
                <w:lang w:eastAsia="zh-CN" w:bidi="ar-EG"/>
              </w:rPr>
              <w:t xml:space="preserve"> أنظمة إضافية لتبريد المياه. </w:t>
            </w:r>
            <w:r>
              <w:rPr>
                <w:rFonts w:ascii="Arabic Typesetting" w:eastAsia="SimSun" w:hAnsi="Arabic Typesetting" w:cs="Arabic Typesetting" w:hint="cs"/>
                <w:color w:val="000000"/>
                <w:sz w:val="28"/>
                <w:szCs w:val="28"/>
                <w:rtl/>
                <w:lang w:eastAsia="zh-CN" w:bidi="ar-EG"/>
              </w:rPr>
              <w:t>و</w:t>
            </w:r>
            <w:r w:rsidRPr="00D52D83">
              <w:rPr>
                <w:rFonts w:ascii="Arabic Typesetting" w:eastAsia="SimSun" w:hAnsi="Arabic Typesetting" w:cs="Arabic Typesetting"/>
                <w:color w:val="000000"/>
                <w:sz w:val="28"/>
                <w:szCs w:val="28"/>
                <w:rtl/>
                <w:lang w:eastAsia="zh-CN" w:bidi="ar-EG"/>
              </w:rPr>
              <w:t>بلغت قيمة الوفورات الخاصة بمبنى معاهدة البراءات</w:t>
            </w:r>
            <w:r w:rsidR="00585B16">
              <w:rPr>
                <w:rFonts w:ascii="Arabic Typesetting" w:eastAsia="SimSun" w:hAnsi="Arabic Typesetting" w:cs="Arabic Typesetting" w:hint="cs"/>
                <w:color w:val="000000"/>
                <w:sz w:val="28"/>
                <w:szCs w:val="28"/>
                <w:rtl/>
                <w:lang w:eastAsia="zh-CN" w:bidi="ar-EG"/>
              </w:rPr>
              <w:t xml:space="preserve"> 800 33</w:t>
            </w:r>
            <w:r w:rsidRPr="00D52D83">
              <w:rPr>
                <w:rFonts w:ascii="Arabic Typesetting" w:eastAsia="SimSun" w:hAnsi="Arabic Typesetting" w:cs="Arabic Typesetting"/>
                <w:color w:val="000000"/>
                <w:sz w:val="28"/>
                <w:szCs w:val="28"/>
                <w:rtl/>
                <w:lang w:eastAsia="zh-CN" w:bidi="ar-EG"/>
              </w:rPr>
              <w:t xml:space="preserve"> فرنك سويسري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w:t>
            </w:r>
            <w:r>
              <w:rPr>
                <w:rFonts w:ascii="Arabic Typesetting" w:eastAsia="SimSun" w:hAnsi="Arabic Typesetting" w:cs="Arabic Typesetting"/>
                <w:color w:val="000000"/>
                <w:sz w:val="28"/>
                <w:szCs w:val="28"/>
                <w:rtl/>
                <w:lang w:eastAsia="zh-CN" w:bidi="ar-EG"/>
              </w:rPr>
              <w:t>.</w:t>
            </w:r>
          </w:p>
        </w:tc>
      </w:tr>
      <w:tr w:rsidR="00B54D74" w:rsidRPr="00D52D83" w14:paraId="3FBC5EFD" w14:textId="77777777" w:rsidTr="00EF3FA1">
        <w:trPr>
          <w:cantSplit/>
          <w:trHeight w:val="870"/>
        </w:trPr>
        <w:tc>
          <w:tcPr>
            <w:tcW w:w="818" w:type="pct"/>
            <w:shd w:val="clear" w:color="auto" w:fill="auto"/>
            <w:hideMark/>
          </w:tcPr>
          <w:p w14:paraId="5A6B6A8F"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استهلاك الضوء</w:t>
            </w:r>
          </w:p>
        </w:tc>
        <w:tc>
          <w:tcPr>
            <w:tcW w:w="615" w:type="pct"/>
            <w:shd w:val="clear" w:color="auto" w:fill="auto"/>
            <w:noWrap/>
            <w:hideMark/>
          </w:tcPr>
          <w:p w14:paraId="65E3E43C" w14:textId="32B82BA9" w:rsidR="00B54D74" w:rsidRPr="00D52D83" w:rsidRDefault="00585B16" w:rsidP="00585B16">
            <w:pPr>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000 45</w:t>
            </w:r>
          </w:p>
        </w:tc>
        <w:tc>
          <w:tcPr>
            <w:tcW w:w="615" w:type="pct"/>
            <w:shd w:val="clear" w:color="auto" w:fill="auto"/>
            <w:noWrap/>
            <w:hideMark/>
          </w:tcPr>
          <w:p w14:paraId="72B7CE66" w14:textId="3BA7ED0C" w:rsidR="00B54D74" w:rsidRPr="00D52D83" w:rsidRDefault="00585B16" w:rsidP="00585B16">
            <w:pPr>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610 25</w:t>
            </w:r>
          </w:p>
        </w:tc>
        <w:tc>
          <w:tcPr>
            <w:tcW w:w="707" w:type="pct"/>
            <w:shd w:val="clear" w:color="000000" w:fill="D9D9D9"/>
            <w:noWrap/>
            <w:hideMark/>
          </w:tcPr>
          <w:p w14:paraId="107621E2"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noWrap/>
            <w:hideMark/>
          </w:tcPr>
          <w:p w14:paraId="1EFE9420"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27854BDF"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الوفورات متأتية من تركيب حساسات حركة ومصابيح إضاءة موفرة للطاقة ومؤقت للضوء في موقف السيارات وخزانات كهرباء أكثر</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فعالية</w:t>
            </w:r>
            <w:r>
              <w:rPr>
                <w:rFonts w:ascii="Arabic Typesetting" w:eastAsia="SimSun" w:hAnsi="Arabic Typesetting" w:cs="Arabic Typesetting"/>
                <w:color w:val="000000"/>
                <w:sz w:val="28"/>
                <w:szCs w:val="28"/>
                <w:rtl/>
                <w:lang w:eastAsia="zh-CN" w:bidi="ar-EG"/>
              </w:rPr>
              <w:t>.</w:t>
            </w:r>
          </w:p>
        </w:tc>
      </w:tr>
      <w:tr w:rsidR="00B54D74" w:rsidRPr="00D52D83" w14:paraId="55F6EE1F" w14:textId="77777777" w:rsidTr="00EF3FA1">
        <w:trPr>
          <w:cantSplit/>
          <w:trHeight w:val="720"/>
        </w:trPr>
        <w:tc>
          <w:tcPr>
            <w:tcW w:w="818" w:type="pct"/>
            <w:shd w:val="clear" w:color="auto" w:fill="auto"/>
            <w:hideMark/>
          </w:tcPr>
          <w:p w14:paraId="3894D37F"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استهلاك المياه</w:t>
            </w:r>
          </w:p>
        </w:tc>
        <w:tc>
          <w:tcPr>
            <w:tcW w:w="615" w:type="pct"/>
            <w:shd w:val="clear" w:color="auto" w:fill="auto"/>
            <w:noWrap/>
            <w:hideMark/>
          </w:tcPr>
          <w:p w14:paraId="408282D5" w14:textId="3CD982F8" w:rsidR="00B54D74" w:rsidRPr="00D52D83" w:rsidRDefault="00585B16" w:rsidP="00585B16">
            <w:pPr>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500 125</w:t>
            </w:r>
          </w:p>
        </w:tc>
        <w:tc>
          <w:tcPr>
            <w:tcW w:w="615" w:type="pct"/>
            <w:shd w:val="clear" w:color="auto" w:fill="auto"/>
            <w:noWrap/>
            <w:hideMark/>
          </w:tcPr>
          <w:p w14:paraId="69E1FB18" w14:textId="20B11A68" w:rsidR="00B54D74" w:rsidRPr="00D52D83" w:rsidRDefault="00B54D74" w:rsidP="00585B16">
            <w:pPr>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color w:val="000000"/>
                <w:sz w:val="28"/>
                <w:szCs w:val="28"/>
                <w:rtl/>
                <w:lang w:eastAsia="zh-CN" w:bidi="ar-EG"/>
              </w:rPr>
              <w:t>2500</w:t>
            </w:r>
          </w:p>
        </w:tc>
        <w:tc>
          <w:tcPr>
            <w:tcW w:w="707" w:type="pct"/>
            <w:shd w:val="clear" w:color="000000" w:fill="D9D9D9"/>
            <w:noWrap/>
            <w:hideMark/>
          </w:tcPr>
          <w:p w14:paraId="1D6AC022"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noWrap/>
            <w:hideMark/>
          </w:tcPr>
          <w:p w14:paraId="235987DC"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3CBDBC8B"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انخفاض استهلاك المياه بفضل استخدام مياه البحيرة عوضاً عن مياه المدينة</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 </w:t>
            </w:r>
            <w:r>
              <w:rPr>
                <w:rFonts w:ascii="Arabic Typesetting" w:eastAsia="SimSun" w:hAnsi="Arabic Typesetting" w:cs="Arabic Typesetting" w:hint="cs"/>
                <w:color w:val="000000"/>
                <w:sz w:val="28"/>
                <w:szCs w:val="28"/>
                <w:rtl/>
                <w:lang w:eastAsia="zh-CN" w:bidi="ar-EG"/>
              </w:rPr>
              <w:t>و</w:t>
            </w:r>
            <w:r w:rsidRPr="00D52D83">
              <w:rPr>
                <w:rFonts w:ascii="Arabic Typesetting" w:eastAsia="SimSun" w:hAnsi="Arabic Typesetting" w:cs="Arabic Typesetting"/>
                <w:color w:val="000000"/>
                <w:sz w:val="28"/>
                <w:szCs w:val="28"/>
                <w:rtl/>
                <w:lang w:eastAsia="zh-CN" w:bidi="ar-EG"/>
              </w:rPr>
              <w:t xml:space="preserve">لم تُحقق وفورات كبيرة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 لأن انخفاض الاستهلاك قاب</w:t>
            </w:r>
            <w:r>
              <w:rPr>
                <w:rFonts w:ascii="Arabic Typesetting" w:eastAsia="SimSun" w:hAnsi="Arabic Typesetting" w:cs="Arabic Typesetting" w:hint="cs"/>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له زيادة طفيفة في أسعار المياه</w:t>
            </w:r>
            <w:r>
              <w:rPr>
                <w:rFonts w:ascii="Arabic Typesetting" w:eastAsia="SimSun" w:hAnsi="Arabic Typesetting" w:cs="Arabic Typesetting"/>
                <w:color w:val="000000"/>
                <w:sz w:val="28"/>
                <w:szCs w:val="28"/>
                <w:rtl/>
                <w:lang w:eastAsia="zh-CN" w:bidi="ar-EG"/>
              </w:rPr>
              <w:t>.</w:t>
            </w:r>
          </w:p>
        </w:tc>
      </w:tr>
      <w:tr w:rsidR="00B54D74" w:rsidRPr="00D52D83" w14:paraId="447B05DE" w14:textId="77777777" w:rsidTr="00EF3FA1">
        <w:trPr>
          <w:cantSplit/>
          <w:trHeight w:val="1035"/>
        </w:trPr>
        <w:tc>
          <w:tcPr>
            <w:tcW w:w="818" w:type="pct"/>
            <w:shd w:val="clear" w:color="auto" w:fill="auto"/>
            <w:hideMark/>
          </w:tcPr>
          <w:p w14:paraId="7D19FBFE"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lastRenderedPageBreak/>
              <w:t>تكلفة استهلاك الكهرباء</w:t>
            </w:r>
          </w:p>
        </w:tc>
        <w:tc>
          <w:tcPr>
            <w:tcW w:w="615" w:type="pct"/>
            <w:shd w:val="clear" w:color="auto" w:fill="auto"/>
            <w:noWrap/>
            <w:hideMark/>
          </w:tcPr>
          <w:p w14:paraId="68E52C38" w14:textId="2D3AF280" w:rsidR="00B54D74" w:rsidRPr="00D52D83" w:rsidRDefault="00585B16" w:rsidP="0031289D">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000 164</w:t>
            </w:r>
          </w:p>
        </w:tc>
        <w:tc>
          <w:tcPr>
            <w:tcW w:w="615" w:type="pct"/>
            <w:shd w:val="clear" w:color="auto" w:fill="auto"/>
            <w:noWrap/>
            <w:hideMark/>
          </w:tcPr>
          <w:p w14:paraId="3ADE3E3B"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w:t>
            </w:r>
          </w:p>
        </w:tc>
        <w:tc>
          <w:tcPr>
            <w:tcW w:w="707" w:type="pct"/>
            <w:shd w:val="clear" w:color="000000" w:fill="D9D9D9"/>
            <w:noWrap/>
            <w:hideMark/>
          </w:tcPr>
          <w:p w14:paraId="7B0627C2"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noWrap/>
            <w:hideMark/>
          </w:tcPr>
          <w:p w14:paraId="363044DF"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74CF018A" w14:textId="518112B6" w:rsidR="00B54D74" w:rsidRPr="00585B16" w:rsidRDefault="00B54D74" w:rsidP="00585B16">
            <w:pPr>
              <w:bidi/>
              <w:spacing w:line="280" w:lineRule="exact"/>
              <w:rPr>
                <w:rFonts w:ascii="Arabic Typesetting" w:eastAsia="SimSun"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لم تُحقق وفورات إضافية في </w:t>
            </w:r>
            <w:r>
              <w:rPr>
                <w:rFonts w:ascii="Arabic Typesetting" w:eastAsia="SimSun" w:hAnsi="Arabic Typesetting" w:cs="Arabic Typesetting"/>
                <w:color w:val="000000"/>
                <w:sz w:val="28"/>
                <w:szCs w:val="28"/>
                <w:rtl/>
                <w:lang w:eastAsia="zh-CN" w:bidi="ar-EG"/>
              </w:rPr>
              <w:t>عام 2016 مقارنة بعام 2015.</w:t>
            </w:r>
            <w:r w:rsidRPr="00D52D83">
              <w:rPr>
                <w:rFonts w:ascii="Arabic Typesetting" w:eastAsia="SimSun" w:hAnsi="Arabic Typesetting" w:cs="Arabic Typesetting"/>
                <w:color w:val="000000"/>
                <w:sz w:val="28"/>
                <w:szCs w:val="28"/>
                <w:rtl/>
                <w:lang w:eastAsia="zh-CN" w:bidi="ar-EG"/>
              </w:rPr>
              <w:t xml:space="preserve"> ولكن قامت تكاليف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2016 على أسعار أقل اتُفق عليها في يناير </w:t>
            </w:r>
            <w:r>
              <w:rPr>
                <w:rFonts w:ascii="Arabic Typesetting" w:eastAsia="SimSun" w:hAnsi="Arabic Typesetting" w:cs="Arabic Typesetting"/>
                <w:color w:val="000000"/>
                <w:sz w:val="28"/>
                <w:szCs w:val="28"/>
                <w:rtl/>
                <w:lang w:eastAsia="zh-CN" w:bidi="ar-EG"/>
              </w:rPr>
              <w:t xml:space="preserve">2015 لمدة ثلاث سنوات. </w:t>
            </w:r>
            <w:r w:rsidRPr="00D52D83">
              <w:rPr>
                <w:rFonts w:ascii="Arabic Typesetting" w:eastAsia="SimSun" w:hAnsi="Arabic Typesetting" w:cs="Arabic Typesetting"/>
                <w:color w:val="000000"/>
                <w:sz w:val="28"/>
                <w:szCs w:val="28"/>
                <w:rtl/>
                <w:lang w:eastAsia="zh-CN" w:bidi="ar-EG"/>
              </w:rPr>
              <w:t>وتبلغ الوفورات</w:t>
            </w:r>
            <w:r>
              <w:rPr>
                <w:rFonts w:ascii="Arabic Typesetting" w:eastAsia="SimSun" w:hAnsi="Arabic Typesetting" w:cs="Arabic Typesetting" w:hint="cs"/>
                <w:color w:val="000000"/>
                <w:sz w:val="28"/>
                <w:szCs w:val="28"/>
                <w:rtl/>
                <w:lang w:eastAsia="zh-CN" w:bidi="ar-EG"/>
              </w:rPr>
              <w:t xml:space="preserve"> المحققة</w:t>
            </w:r>
            <w:r w:rsidRPr="00D52D83">
              <w:rPr>
                <w:rFonts w:ascii="Arabic Typesetting" w:eastAsia="SimSun" w:hAnsi="Arabic Typesetting" w:cs="Arabic Typesetting"/>
                <w:color w:val="000000"/>
                <w:sz w:val="28"/>
                <w:szCs w:val="28"/>
                <w:rtl/>
                <w:lang w:eastAsia="zh-CN" w:bidi="ar-EG"/>
              </w:rPr>
              <w:t xml:space="preserve">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2016 مقارنة بالأسعار السابقة </w:t>
            </w:r>
            <w:r>
              <w:rPr>
                <w:rFonts w:ascii="Arabic Typesetting" w:eastAsia="SimSun" w:hAnsi="Arabic Typesetting" w:cs="Arabic Typesetting" w:hint="cs"/>
                <w:color w:val="000000"/>
                <w:sz w:val="28"/>
                <w:szCs w:val="28"/>
                <w:rtl/>
                <w:lang w:eastAsia="zh-CN" w:bidi="ar-EG"/>
              </w:rPr>
              <w:t>المستخدمة</w:t>
            </w:r>
            <w:r w:rsidRPr="00D52D83">
              <w:rPr>
                <w:rFonts w:ascii="Arabic Typesetting" w:eastAsia="SimSun" w:hAnsi="Arabic Typesetting" w:cs="Arabic Typesetting"/>
                <w:color w:val="000000"/>
                <w:sz w:val="28"/>
                <w:szCs w:val="28"/>
                <w:rtl/>
                <w:lang w:eastAsia="zh-CN" w:bidi="ar-EG"/>
              </w:rPr>
              <w:t xml:space="preserve"> أساس</w:t>
            </w:r>
            <w:r>
              <w:rPr>
                <w:rFonts w:ascii="Arabic Typesetting" w:eastAsia="SimSun" w:hAnsi="Arabic Typesetting" w:cs="Arabic Typesetting" w:hint="cs"/>
                <w:color w:val="000000"/>
                <w:sz w:val="28"/>
                <w:szCs w:val="28"/>
                <w:rtl/>
                <w:lang w:eastAsia="zh-CN" w:bidi="ar-EG"/>
              </w:rPr>
              <w:t>اً</w:t>
            </w:r>
            <w:r w:rsidRPr="00D52D83">
              <w:rPr>
                <w:rFonts w:ascii="Arabic Typesetting" w:eastAsia="SimSun" w:hAnsi="Arabic Typesetting" w:cs="Arabic Typesetting"/>
                <w:color w:val="000000"/>
                <w:sz w:val="28"/>
                <w:szCs w:val="28"/>
                <w:rtl/>
                <w:lang w:eastAsia="zh-CN" w:bidi="ar-EG"/>
              </w:rPr>
              <w:t xml:space="preserve"> </w:t>
            </w:r>
            <w:r>
              <w:rPr>
                <w:rFonts w:ascii="Arabic Typesetting" w:eastAsia="SimSun" w:hAnsi="Arabic Typesetting" w:cs="Arabic Typesetting" w:hint="cs"/>
                <w:color w:val="000000"/>
                <w:sz w:val="28"/>
                <w:szCs w:val="28"/>
                <w:rtl/>
                <w:lang w:eastAsia="zh-CN" w:bidi="ar-EG"/>
              </w:rPr>
              <w:t>ل</w:t>
            </w:r>
            <w:r w:rsidRPr="00D52D83">
              <w:rPr>
                <w:rFonts w:ascii="Arabic Typesetting" w:eastAsia="SimSun" w:hAnsi="Arabic Typesetting" w:cs="Arabic Typesetting"/>
                <w:color w:val="000000"/>
                <w:sz w:val="28"/>
                <w:szCs w:val="28"/>
                <w:rtl/>
                <w:lang w:eastAsia="zh-CN" w:bidi="ar-EG"/>
              </w:rPr>
              <w:t>لمقارنة</w:t>
            </w:r>
            <w:r w:rsidR="00585B16">
              <w:rPr>
                <w:rFonts w:ascii="Arabic Typesetting" w:eastAsia="SimSun" w:hAnsi="Arabic Typesetting" w:cs="Arabic Typesetting" w:hint="cs"/>
                <w:color w:val="000000"/>
                <w:sz w:val="28"/>
                <w:szCs w:val="28"/>
                <w:rtl/>
                <w:lang w:eastAsia="zh-CN" w:bidi="ar-EG"/>
              </w:rPr>
              <w:t xml:space="preserve"> 000 155 </w:t>
            </w:r>
            <w:r w:rsidRPr="00D52D83">
              <w:rPr>
                <w:rFonts w:ascii="Arabic Typesetting" w:eastAsia="SimSun" w:hAnsi="Arabic Typesetting" w:cs="Arabic Typesetting"/>
                <w:color w:val="000000"/>
                <w:sz w:val="28"/>
                <w:szCs w:val="28"/>
                <w:rtl/>
                <w:lang w:eastAsia="zh-CN" w:bidi="ar-EG"/>
              </w:rPr>
              <w:t>فرنك سويسري</w:t>
            </w:r>
            <w:r>
              <w:rPr>
                <w:rFonts w:ascii="Arabic Typesetting" w:eastAsia="SimSun" w:hAnsi="Arabic Typesetting" w:cs="Arabic Typesetting"/>
                <w:color w:val="000000"/>
                <w:sz w:val="28"/>
                <w:szCs w:val="28"/>
                <w:rtl/>
                <w:lang w:eastAsia="zh-CN" w:bidi="ar-EG"/>
              </w:rPr>
              <w:t>.</w:t>
            </w:r>
          </w:p>
        </w:tc>
      </w:tr>
      <w:tr w:rsidR="00B54D74" w:rsidRPr="00D52D83" w14:paraId="7A0F5612" w14:textId="77777777" w:rsidTr="00EF3FA1">
        <w:trPr>
          <w:cantSplit/>
          <w:trHeight w:val="825"/>
        </w:trPr>
        <w:tc>
          <w:tcPr>
            <w:tcW w:w="818" w:type="pct"/>
            <w:shd w:val="clear" w:color="auto" w:fill="auto"/>
            <w:hideMark/>
          </w:tcPr>
          <w:p w14:paraId="3E9CDD5B"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مساحات التخزين (إنهاء</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عقود</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الإيجار)</w:t>
            </w:r>
          </w:p>
        </w:tc>
        <w:tc>
          <w:tcPr>
            <w:tcW w:w="615" w:type="pct"/>
            <w:shd w:val="clear" w:color="auto" w:fill="auto"/>
            <w:noWrap/>
            <w:hideMark/>
          </w:tcPr>
          <w:p w14:paraId="22E4BF62" w14:textId="192BB7EF"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150 54</w:t>
            </w:r>
          </w:p>
        </w:tc>
        <w:tc>
          <w:tcPr>
            <w:tcW w:w="615" w:type="pct"/>
            <w:shd w:val="clear" w:color="auto" w:fill="auto"/>
            <w:noWrap/>
            <w:hideMark/>
          </w:tcPr>
          <w:p w14:paraId="3C8EC57A"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w:t>
            </w:r>
          </w:p>
        </w:tc>
        <w:tc>
          <w:tcPr>
            <w:tcW w:w="707" w:type="pct"/>
            <w:shd w:val="clear" w:color="000000" w:fill="D9D9D9"/>
            <w:noWrap/>
            <w:hideMark/>
          </w:tcPr>
          <w:p w14:paraId="4C3ABFF9"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noWrap/>
            <w:hideMark/>
          </w:tcPr>
          <w:p w14:paraId="04E38775"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27D0385F"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لم تُحقق وفورات إضافية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2016 لأنه كان من المعتزم إنهاء عقود الإيجار المتبقية لمساحات التخزين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w:t>
            </w:r>
            <w:r>
              <w:rPr>
                <w:rFonts w:ascii="Arabic Typesetting" w:eastAsia="SimSun" w:hAnsi="Arabic Typesetting" w:cs="Arabic Typesetting"/>
                <w:color w:val="000000"/>
                <w:sz w:val="28"/>
                <w:szCs w:val="28"/>
                <w:rtl/>
                <w:lang w:eastAsia="zh-CN" w:bidi="ar-EG"/>
              </w:rPr>
              <w:t>.</w:t>
            </w:r>
          </w:p>
        </w:tc>
      </w:tr>
      <w:tr w:rsidR="00B54D74" w:rsidRPr="00D52D83" w14:paraId="376B312B" w14:textId="77777777" w:rsidTr="00EF3FA1">
        <w:trPr>
          <w:cantSplit/>
          <w:trHeight w:val="1110"/>
        </w:trPr>
        <w:tc>
          <w:tcPr>
            <w:tcW w:w="818" w:type="pct"/>
            <w:shd w:val="clear" w:color="auto" w:fill="auto"/>
            <w:hideMark/>
          </w:tcPr>
          <w:p w14:paraId="3965EE45"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موقف السيارات ("مرأب</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الأمم")</w:t>
            </w:r>
          </w:p>
        </w:tc>
        <w:tc>
          <w:tcPr>
            <w:tcW w:w="615" w:type="pct"/>
            <w:shd w:val="clear" w:color="auto" w:fill="auto"/>
            <w:noWrap/>
            <w:hideMark/>
          </w:tcPr>
          <w:p w14:paraId="16729EF7" w14:textId="345EB928" w:rsidR="00B54D74" w:rsidRPr="00585B16" w:rsidRDefault="00585B16" w:rsidP="00585B16">
            <w:pPr>
              <w:bidi/>
              <w:spacing w:line="280" w:lineRule="exact"/>
              <w:rPr>
                <w:rFonts w:ascii="Arabic Typesetting" w:eastAsia="SimSun"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492 123</w:t>
            </w:r>
          </w:p>
        </w:tc>
        <w:tc>
          <w:tcPr>
            <w:tcW w:w="615" w:type="pct"/>
            <w:shd w:val="clear" w:color="auto" w:fill="auto"/>
            <w:noWrap/>
            <w:hideMark/>
          </w:tcPr>
          <w:p w14:paraId="464931A9" w14:textId="7A9CD10E" w:rsidR="00B54D74" w:rsidRPr="00585B16" w:rsidRDefault="00585B16" w:rsidP="00585B16">
            <w:pPr>
              <w:bidi/>
              <w:spacing w:line="280" w:lineRule="exact"/>
              <w:rPr>
                <w:rFonts w:ascii="Arabic Typesetting" w:eastAsia="SimSun"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280 25</w:t>
            </w:r>
          </w:p>
        </w:tc>
        <w:tc>
          <w:tcPr>
            <w:tcW w:w="707" w:type="pct"/>
            <w:shd w:val="clear" w:color="000000" w:fill="D9D9D9"/>
            <w:noWrap/>
            <w:hideMark/>
          </w:tcPr>
          <w:p w14:paraId="010308A0"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noWrap/>
            <w:hideMark/>
          </w:tcPr>
          <w:p w14:paraId="6C6E88A3"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677CBCFD"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يخص مبلغ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2015 وفورات عقب إنهاء 52 اشتراكاً في مرأب الأمم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w:t>
            </w:r>
            <w:r>
              <w:rPr>
                <w:rFonts w:ascii="Arabic Typesetting" w:eastAsia="SimSun" w:hAnsi="Arabic Typesetting" w:cs="Arabic Typesetting"/>
                <w:color w:val="000000"/>
                <w:sz w:val="28"/>
                <w:szCs w:val="28"/>
                <w:rtl/>
                <w:lang w:eastAsia="zh-CN" w:bidi="ar-EG"/>
              </w:rPr>
              <w:t>.</w:t>
            </w:r>
            <w:r w:rsidRPr="00D52D83">
              <w:rPr>
                <w:rFonts w:ascii="Arabic Typesetting" w:hAnsi="Arabic Typesetting" w:cs="Arabic Typesetting"/>
                <w:color w:val="000000"/>
                <w:sz w:val="28"/>
                <w:szCs w:val="28"/>
                <w:lang w:eastAsia="zh-CN" w:bidi="ar-EG"/>
              </w:rPr>
              <w:br/>
            </w:r>
            <w:r w:rsidRPr="00D52D83">
              <w:rPr>
                <w:rFonts w:ascii="Arabic Typesetting" w:eastAsia="SimSun" w:hAnsi="Arabic Typesetting" w:cs="Arabic Typesetting"/>
                <w:color w:val="000000"/>
                <w:sz w:val="28"/>
                <w:szCs w:val="28"/>
                <w:rtl/>
                <w:lang w:eastAsia="zh-CN" w:bidi="ar-EG"/>
              </w:rPr>
              <w:t xml:space="preserve">ويخص مبلغ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2016 وفورات عقب إنهاء 35 اشتراكاً إضافياً في مرأب الأمم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w:t>
            </w:r>
            <w:r>
              <w:rPr>
                <w:rFonts w:ascii="Arabic Typesetting" w:eastAsia="SimSun" w:hAnsi="Arabic Typesetting" w:cs="Arabic Typesetting"/>
                <w:color w:val="000000"/>
                <w:sz w:val="28"/>
                <w:szCs w:val="28"/>
                <w:rtl/>
                <w:lang w:eastAsia="zh-CN" w:bidi="ar-EG"/>
              </w:rPr>
              <w:t>.</w:t>
            </w:r>
          </w:p>
        </w:tc>
      </w:tr>
      <w:tr w:rsidR="00B54D74" w:rsidRPr="00D52D83" w14:paraId="1354F84C" w14:textId="77777777" w:rsidTr="00EF3FA1">
        <w:trPr>
          <w:cantSplit/>
          <w:trHeight w:val="1110"/>
        </w:trPr>
        <w:tc>
          <w:tcPr>
            <w:tcW w:w="818" w:type="pct"/>
            <w:shd w:val="clear" w:color="auto" w:fill="auto"/>
            <w:hideMark/>
          </w:tcPr>
          <w:p w14:paraId="264A10BF"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color w:val="000000"/>
                <w:sz w:val="28"/>
                <w:szCs w:val="28"/>
                <w:rtl/>
                <w:lang w:eastAsia="zh-CN" w:bidi="ar-EG"/>
              </w:rPr>
              <w:t xml:space="preserve">تكلفة </w:t>
            </w:r>
            <w:r>
              <w:rPr>
                <w:rFonts w:ascii="Arabic Typesetting" w:eastAsia="SimSun" w:hAnsi="Arabic Typesetting" w:cs="Arabic Typesetting" w:hint="cs"/>
                <w:color w:val="000000"/>
                <w:sz w:val="28"/>
                <w:szCs w:val="28"/>
                <w:rtl/>
                <w:lang w:eastAsia="zh-CN" w:bidi="ar-EG"/>
              </w:rPr>
              <w:t>موقف السيارات</w:t>
            </w:r>
            <w:r w:rsidRPr="00D52D83">
              <w:rPr>
                <w:rFonts w:ascii="Arabic Typesetting" w:eastAsia="SimSun" w:hAnsi="Arabic Typesetting" w:cs="Arabic Typesetting"/>
                <w:color w:val="000000"/>
                <w:sz w:val="28"/>
                <w:szCs w:val="28"/>
                <w:rtl/>
                <w:lang w:eastAsia="zh-CN" w:bidi="ar-EG"/>
              </w:rPr>
              <w:t xml:space="preserve"> (مبنى</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الكام)</w:t>
            </w:r>
          </w:p>
        </w:tc>
        <w:tc>
          <w:tcPr>
            <w:tcW w:w="615" w:type="pct"/>
            <w:shd w:val="clear" w:color="auto" w:fill="auto"/>
            <w:noWrap/>
            <w:hideMark/>
          </w:tcPr>
          <w:p w14:paraId="027125DD" w14:textId="25020928"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8</w:t>
            </w:r>
            <w:r>
              <w:rPr>
                <w:rFonts w:ascii="Arabic Typesetting" w:eastAsia="SimSun" w:hAnsi="Arabic Typesetting" w:cs="Arabic Typesetting"/>
                <w:color w:val="000000"/>
                <w:sz w:val="28"/>
                <w:szCs w:val="28"/>
                <w:rtl/>
                <w:lang w:eastAsia="zh-CN" w:bidi="ar-EG"/>
              </w:rPr>
              <w:t>340</w:t>
            </w:r>
          </w:p>
        </w:tc>
        <w:tc>
          <w:tcPr>
            <w:tcW w:w="615" w:type="pct"/>
            <w:shd w:val="clear" w:color="auto" w:fill="auto"/>
            <w:noWrap/>
            <w:hideMark/>
          </w:tcPr>
          <w:p w14:paraId="49C644C9" w14:textId="020EC515"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190 29</w:t>
            </w:r>
          </w:p>
        </w:tc>
        <w:tc>
          <w:tcPr>
            <w:tcW w:w="707" w:type="pct"/>
            <w:shd w:val="clear" w:color="000000" w:fill="D9D9D9"/>
            <w:noWrap/>
            <w:hideMark/>
          </w:tcPr>
          <w:p w14:paraId="5649A105"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noWrap/>
            <w:hideMark/>
          </w:tcPr>
          <w:p w14:paraId="61B33107"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326CCF2E"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يخص مبلغ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 وفورات عقب إنهاء 5</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اشتراكات في مرأب مبنى الكام في</w:t>
            </w:r>
            <w:r>
              <w:rPr>
                <w:rFonts w:ascii="Arabic Typesetting" w:eastAsia="SimSun" w:hAnsi="Arabic Typesetting" w:cs="Arabic Typesetting" w:hint="cs"/>
                <w:color w:val="000000"/>
                <w:sz w:val="28"/>
                <w:szCs w:val="28"/>
                <w:rtl/>
                <w:lang w:eastAsia="zh-CN" w:bidi="ar-EG"/>
              </w:rPr>
              <w:t>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w:t>
            </w:r>
            <w:r>
              <w:rPr>
                <w:rFonts w:ascii="Arabic Typesetting" w:eastAsia="SimSun" w:hAnsi="Arabic Typesetting" w:cs="Arabic Typesetting"/>
                <w:color w:val="000000"/>
                <w:sz w:val="28"/>
                <w:szCs w:val="28"/>
                <w:rtl/>
                <w:lang w:eastAsia="zh-CN" w:bidi="ar-EG"/>
              </w:rPr>
              <w:t>.</w:t>
            </w:r>
            <w:r w:rsidRPr="00D52D83">
              <w:rPr>
                <w:rFonts w:ascii="Arabic Typesetting" w:hAnsi="Arabic Typesetting" w:cs="Arabic Typesetting"/>
                <w:color w:val="000000"/>
                <w:sz w:val="28"/>
                <w:szCs w:val="28"/>
                <w:lang w:eastAsia="zh-CN" w:bidi="ar-EG"/>
              </w:rPr>
              <w:br/>
            </w:r>
            <w:r w:rsidRPr="00D52D83">
              <w:rPr>
                <w:rFonts w:ascii="Arabic Typesetting" w:eastAsia="SimSun" w:hAnsi="Arabic Typesetting" w:cs="Arabic Typesetting"/>
                <w:color w:val="000000"/>
                <w:sz w:val="28"/>
                <w:szCs w:val="28"/>
                <w:rtl/>
                <w:lang w:eastAsia="zh-CN" w:bidi="ar-EG"/>
              </w:rPr>
              <w:t xml:space="preserve">ويخص مبلغ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2016 وفورات عقب إنهاء 30 اشتراكاً إضافياً في مرأب مبنى الكام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w:t>
            </w:r>
            <w:r>
              <w:rPr>
                <w:rFonts w:ascii="Arabic Typesetting" w:eastAsia="SimSun" w:hAnsi="Arabic Typesetting" w:cs="Arabic Typesetting"/>
                <w:color w:val="000000"/>
                <w:sz w:val="28"/>
                <w:szCs w:val="28"/>
                <w:rtl/>
                <w:lang w:eastAsia="zh-CN" w:bidi="ar-EG"/>
              </w:rPr>
              <w:t>.</w:t>
            </w:r>
          </w:p>
        </w:tc>
      </w:tr>
      <w:tr w:rsidR="00B54D74" w:rsidRPr="00D52D83" w14:paraId="53BBB5F1" w14:textId="77777777" w:rsidTr="00EF3FA1">
        <w:trPr>
          <w:cantSplit/>
          <w:trHeight w:val="675"/>
        </w:trPr>
        <w:tc>
          <w:tcPr>
            <w:tcW w:w="818" w:type="pct"/>
            <w:tcBorders>
              <w:bottom w:val="single" w:sz="4" w:space="0" w:color="auto"/>
            </w:tcBorders>
            <w:shd w:val="clear" w:color="auto" w:fill="auto"/>
            <w:hideMark/>
          </w:tcPr>
          <w:p w14:paraId="3DC63441"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لوازم المكاتب</w:t>
            </w:r>
          </w:p>
        </w:tc>
        <w:tc>
          <w:tcPr>
            <w:tcW w:w="615" w:type="pct"/>
            <w:tcBorders>
              <w:bottom w:val="single" w:sz="4" w:space="0" w:color="auto"/>
            </w:tcBorders>
            <w:shd w:val="clear" w:color="auto" w:fill="auto"/>
            <w:noWrap/>
            <w:hideMark/>
          </w:tcPr>
          <w:p w14:paraId="77CF87BD" w14:textId="02BA7D44"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color w:val="000000"/>
                <w:sz w:val="28"/>
                <w:szCs w:val="28"/>
                <w:rtl/>
                <w:lang w:eastAsia="zh-CN" w:bidi="ar-EG"/>
              </w:rPr>
              <w:t>9269</w:t>
            </w:r>
          </w:p>
        </w:tc>
        <w:tc>
          <w:tcPr>
            <w:tcW w:w="615" w:type="pct"/>
            <w:tcBorders>
              <w:bottom w:val="single" w:sz="4" w:space="0" w:color="auto"/>
            </w:tcBorders>
            <w:shd w:val="clear" w:color="auto" w:fill="auto"/>
            <w:noWrap/>
            <w:hideMark/>
          </w:tcPr>
          <w:p w14:paraId="6F974D9A"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w:t>
            </w:r>
          </w:p>
        </w:tc>
        <w:tc>
          <w:tcPr>
            <w:tcW w:w="707" w:type="pct"/>
            <w:tcBorders>
              <w:bottom w:val="single" w:sz="4" w:space="0" w:color="auto"/>
            </w:tcBorders>
            <w:shd w:val="clear" w:color="000000" w:fill="D9D9D9"/>
            <w:noWrap/>
            <w:hideMark/>
          </w:tcPr>
          <w:p w14:paraId="1A88F506"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tcBorders>
              <w:bottom w:val="single" w:sz="4" w:space="0" w:color="auto"/>
            </w:tcBorders>
            <w:shd w:val="clear" w:color="000000" w:fill="D9D9D9"/>
            <w:noWrap/>
            <w:hideMark/>
          </w:tcPr>
          <w:p w14:paraId="132CA633"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tcBorders>
              <w:bottom w:val="single" w:sz="4" w:space="0" w:color="auto"/>
            </w:tcBorders>
            <w:shd w:val="clear" w:color="auto" w:fill="auto"/>
            <w:hideMark/>
          </w:tcPr>
          <w:p w14:paraId="32F09CCA"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color w:val="000000"/>
                <w:sz w:val="28"/>
                <w:szCs w:val="28"/>
                <w:rtl/>
                <w:lang w:eastAsia="zh-CN" w:bidi="ar-EG"/>
              </w:rPr>
              <w:t>ل</w:t>
            </w:r>
            <w:r>
              <w:rPr>
                <w:rFonts w:ascii="Arabic Typesetting" w:eastAsia="SimSun" w:hAnsi="Arabic Typesetting" w:cs="Arabic Typesetting" w:hint="cs"/>
                <w:color w:val="000000"/>
                <w:sz w:val="28"/>
                <w:szCs w:val="28"/>
                <w:rtl/>
                <w:lang w:eastAsia="zh-CN" w:bidi="ar-EG"/>
              </w:rPr>
              <w:t>م تُحقق</w:t>
            </w:r>
            <w:r w:rsidRPr="00D52D83">
              <w:rPr>
                <w:rFonts w:ascii="Arabic Typesetting" w:eastAsia="SimSun" w:hAnsi="Arabic Typesetting" w:cs="Arabic Typesetting"/>
                <w:color w:val="000000"/>
                <w:sz w:val="28"/>
                <w:szCs w:val="28"/>
                <w:rtl/>
                <w:lang w:eastAsia="zh-CN" w:bidi="ar-EG"/>
              </w:rPr>
              <w:t xml:space="preserve"> وفورات في </w:t>
            </w:r>
            <w:r>
              <w:rPr>
                <w:rFonts w:ascii="Arabic Typesetting" w:eastAsia="SimSun" w:hAnsi="Arabic Typesetting" w:cs="Arabic Typesetting"/>
                <w:color w:val="000000"/>
                <w:sz w:val="28"/>
                <w:szCs w:val="28"/>
                <w:rtl/>
                <w:lang w:eastAsia="zh-CN" w:bidi="ar-EG"/>
              </w:rPr>
              <w:t xml:space="preserve">2016. </w:t>
            </w:r>
            <w:r>
              <w:rPr>
                <w:rFonts w:ascii="Arabic Typesetting" w:eastAsia="SimSun" w:hAnsi="Arabic Typesetting" w:cs="Arabic Typesetting" w:hint="cs"/>
                <w:color w:val="000000"/>
                <w:sz w:val="28"/>
                <w:szCs w:val="28"/>
                <w:rtl/>
                <w:lang w:eastAsia="zh-CN" w:bidi="ar-EG"/>
              </w:rPr>
              <w:t>و</w:t>
            </w:r>
            <w:r w:rsidRPr="00D52D83">
              <w:rPr>
                <w:rFonts w:ascii="Arabic Typesetting" w:eastAsia="SimSun" w:hAnsi="Arabic Typesetting" w:cs="Arabic Typesetting"/>
                <w:color w:val="000000"/>
                <w:sz w:val="28"/>
                <w:szCs w:val="28"/>
                <w:rtl/>
                <w:lang w:eastAsia="zh-CN" w:bidi="ar-EG"/>
              </w:rPr>
              <w:t xml:space="preserve">ظل استخدام لوازم المكاتب مستقراً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 مقارنة ب</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w:t>
            </w:r>
            <w:r>
              <w:rPr>
                <w:rFonts w:ascii="Arabic Typesetting" w:eastAsia="SimSun" w:hAnsi="Arabic Typesetting" w:cs="Arabic Typesetting"/>
                <w:color w:val="000000"/>
                <w:sz w:val="28"/>
                <w:szCs w:val="28"/>
                <w:rtl/>
                <w:lang w:eastAsia="zh-CN" w:bidi="ar-EG"/>
              </w:rPr>
              <w:t>.</w:t>
            </w:r>
          </w:p>
        </w:tc>
      </w:tr>
      <w:tr w:rsidR="00B54D74" w:rsidRPr="00D52D83" w14:paraId="1FB9B8AF" w14:textId="77777777" w:rsidTr="00EF3FA1">
        <w:trPr>
          <w:cantSplit/>
          <w:trHeight w:val="20"/>
        </w:trPr>
        <w:tc>
          <w:tcPr>
            <w:tcW w:w="5000" w:type="pct"/>
            <w:gridSpan w:val="6"/>
            <w:shd w:val="clear" w:color="auto" w:fill="8DB4E2"/>
            <w:noWrap/>
            <w:tcMar>
              <w:top w:w="57" w:type="dxa"/>
              <w:bottom w:w="57" w:type="dxa"/>
            </w:tcMar>
            <w:vAlign w:val="center"/>
          </w:tcPr>
          <w:p w14:paraId="633FC01B" w14:textId="77777777" w:rsidR="00B54D74" w:rsidRPr="00D52D83" w:rsidRDefault="00B54D74" w:rsidP="0031289D">
            <w:pPr>
              <w:keepNext/>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b/>
                <w:bCs/>
                <w:color w:val="000000"/>
                <w:sz w:val="28"/>
                <w:szCs w:val="28"/>
                <w:rtl/>
                <w:lang w:eastAsia="zh-CN" w:bidi="ar-EG"/>
              </w:rPr>
              <w:t>4</w:t>
            </w:r>
            <w:r>
              <w:rPr>
                <w:rFonts w:ascii="Arabic Typesetting" w:eastAsia="SimSun" w:hAnsi="Arabic Typesetting" w:cs="Arabic Typesetting"/>
                <w:b/>
                <w:bCs/>
                <w:color w:val="000000"/>
                <w:sz w:val="28"/>
                <w:szCs w:val="28"/>
                <w:rtl/>
                <w:lang w:eastAsia="zh-CN" w:bidi="ar-EG"/>
              </w:rPr>
              <w:t>.</w:t>
            </w:r>
            <w:r w:rsidRPr="00D52D83">
              <w:rPr>
                <w:rFonts w:ascii="Arabic Typesetting" w:eastAsia="SimSun" w:hAnsi="Arabic Typesetting" w:cs="Arabic Typesetting"/>
                <w:b/>
                <w:bCs/>
                <w:color w:val="000000"/>
                <w:sz w:val="28"/>
                <w:szCs w:val="28"/>
                <w:rtl/>
                <w:lang w:eastAsia="zh-CN" w:bidi="ar-EG"/>
              </w:rPr>
              <w:t xml:space="preserve"> تكنولوجيا المعلومات والاتصالات</w:t>
            </w:r>
          </w:p>
        </w:tc>
      </w:tr>
      <w:tr w:rsidR="00B54D74" w:rsidRPr="00D52D83" w14:paraId="20D6907E" w14:textId="77777777" w:rsidTr="00EF3FA1">
        <w:trPr>
          <w:cantSplit/>
          <w:trHeight w:val="639"/>
        </w:trPr>
        <w:tc>
          <w:tcPr>
            <w:tcW w:w="818" w:type="pct"/>
            <w:shd w:val="clear" w:color="auto" w:fill="auto"/>
            <w:noWrap/>
            <w:hideMark/>
          </w:tcPr>
          <w:p w14:paraId="32EEC221"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تكلفة الاتصالات </w:t>
            </w:r>
            <w:r>
              <w:rPr>
                <w:rFonts w:ascii="Arabic Typesetting" w:eastAsia="SimSun" w:hAnsi="Arabic Typesetting" w:cs="Arabic Typesetting" w:hint="cs"/>
                <w:color w:val="000000"/>
                <w:sz w:val="28"/>
                <w:szCs w:val="28"/>
                <w:rtl/>
                <w:lang w:eastAsia="zh-CN" w:bidi="ar-EG"/>
              </w:rPr>
              <w:t>بالأجهزة المحمولة</w:t>
            </w:r>
          </w:p>
        </w:tc>
        <w:tc>
          <w:tcPr>
            <w:tcW w:w="615" w:type="pct"/>
            <w:shd w:val="clear" w:color="auto" w:fill="auto"/>
            <w:noWrap/>
            <w:hideMark/>
          </w:tcPr>
          <w:p w14:paraId="0C9A3A71" w14:textId="0B84BFC4" w:rsidR="00B54D74" w:rsidRPr="00585B16" w:rsidRDefault="00585B16" w:rsidP="00585B16">
            <w:pPr>
              <w:bidi/>
              <w:spacing w:line="280" w:lineRule="exact"/>
              <w:rPr>
                <w:rFonts w:ascii="Arabic Typesetting" w:eastAsia="SimSun"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540 227</w:t>
            </w:r>
          </w:p>
        </w:tc>
        <w:tc>
          <w:tcPr>
            <w:tcW w:w="615" w:type="pct"/>
            <w:shd w:val="clear" w:color="auto" w:fill="auto"/>
            <w:noWrap/>
            <w:hideMark/>
          </w:tcPr>
          <w:p w14:paraId="13C0BB59" w14:textId="1B31E3AA" w:rsidR="00B54D74" w:rsidRPr="00585B16" w:rsidRDefault="00585B16" w:rsidP="00585B16">
            <w:pPr>
              <w:bidi/>
              <w:spacing w:line="280" w:lineRule="exact"/>
              <w:rPr>
                <w:rFonts w:ascii="Arabic Typesetting" w:eastAsia="SimSun"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253 45</w:t>
            </w:r>
          </w:p>
        </w:tc>
        <w:tc>
          <w:tcPr>
            <w:tcW w:w="707" w:type="pct"/>
            <w:shd w:val="clear" w:color="auto" w:fill="auto"/>
            <w:hideMark/>
          </w:tcPr>
          <w:p w14:paraId="63E004F2"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انخفاض متوسط تكلفة الاشتراك الشهري للهواتف المحمولة من 177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2013 إلى 115 فرنكاً سويسرياً في </w:t>
            </w:r>
            <w:r>
              <w:rPr>
                <w:rFonts w:ascii="Arabic Typesetting" w:eastAsia="SimSun" w:hAnsi="Arabic Typesetting" w:cs="Arabic Typesetting"/>
                <w:color w:val="000000"/>
                <w:sz w:val="28"/>
                <w:szCs w:val="28"/>
                <w:rtl/>
                <w:lang w:eastAsia="zh-CN" w:bidi="ar-EG"/>
              </w:rPr>
              <w:t>عام 2015 (انخفاض بنسبة 35%)</w:t>
            </w:r>
          </w:p>
        </w:tc>
        <w:tc>
          <w:tcPr>
            <w:tcW w:w="707" w:type="pct"/>
            <w:shd w:val="clear" w:color="auto" w:fill="auto"/>
            <w:hideMark/>
          </w:tcPr>
          <w:p w14:paraId="242A99EC"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انخفاض متوسط تكلفة الاشتراك الشهري للهواتف المحمولة من 115 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2015 إلى 108 فرنكات سويسرية في </w:t>
            </w:r>
            <w:r>
              <w:rPr>
                <w:rFonts w:ascii="Arabic Typesetting" w:eastAsia="SimSun" w:hAnsi="Arabic Typesetting" w:cs="Arabic Typesetting"/>
                <w:color w:val="000000"/>
                <w:sz w:val="28"/>
                <w:szCs w:val="28"/>
                <w:rtl/>
                <w:lang w:eastAsia="zh-CN" w:bidi="ar-EG"/>
              </w:rPr>
              <w:t>عام 2016 (انخفاض بنسبة 6%)</w:t>
            </w:r>
          </w:p>
        </w:tc>
        <w:tc>
          <w:tcPr>
            <w:tcW w:w="1537" w:type="pct"/>
            <w:shd w:val="clear" w:color="auto" w:fill="auto"/>
            <w:hideMark/>
          </w:tcPr>
          <w:p w14:paraId="115FBCB1" w14:textId="12D51B4F" w:rsidR="00B54D74" w:rsidRPr="00585B16" w:rsidRDefault="00B54D74" w:rsidP="00585B16">
            <w:pPr>
              <w:bidi/>
              <w:spacing w:line="280" w:lineRule="exact"/>
              <w:rPr>
                <w:rFonts w:ascii="Arabic Typesetting" w:eastAsia="SimSun"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2015: بلغ إجمالي النفقات</w:t>
            </w:r>
            <w:r w:rsidR="00585B16">
              <w:rPr>
                <w:rFonts w:ascii="Arabic Typesetting" w:eastAsia="SimSun" w:hAnsi="Arabic Typesetting" w:cs="Arabic Typesetting" w:hint="cs"/>
                <w:color w:val="000000"/>
                <w:sz w:val="28"/>
                <w:szCs w:val="28"/>
                <w:rtl/>
                <w:lang w:eastAsia="zh-CN" w:bidi="ar-EG"/>
              </w:rPr>
              <w:t xml:space="preserve"> 276 522 </w:t>
            </w:r>
            <w:r w:rsidRPr="00D52D83">
              <w:rPr>
                <w:rFonts w:ascii="Arabic Typesetting" w:eastAsia="SimSun" w:hAnsi="Arabic Typesetting" w:cs="Arabic Typesetting"/>
                <w:color w:val="000000"/>
                <w:sz w:val="28"/>
                <w:szCs w:val="28"/>
                <w:rtl/>
                <w:lang w:eastAsia="zh-CN" w:bidi="ar-EG"/>
              </w:rPr>
              <w:t>فرنكاً سويسرياً (378 اشتراكاً في المتوسط خلال</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السنة)</w:t>
            </w:r>
            <w:r>
              <w:rPr>
                <w:rFonts w:ascii="Arabic Typesetting" w:eastAsia="SimSun" w:hAnsi="Arabic Typesetting" w:cs="Arabic Typesetting"/>
                <w:color w:val="000000"/>
                <w:sz w:val="28"/>
                <w:szCs w:val="28"/>
                <w:rtl/>
                <w:lang w:eastAsia="zh-CN" w:bidi="ar-EG"/>
              </w:rPr>
              <w:t>.</w:t>
            </w:r>
            <w:r w:rsidRPr="00D52D83">
              <w:rPr>
                <w:rFonts w:ascii="Arabic Typesetting" w:hAnsi="Arabic Typesetting" w:cs="Arabic Typesetting"/>
                <w:color w:val="000000"/>
                <w:sz w:val="28"/>
                <w:szCs w:val="28"/>
                <w:lang w:eastAsia="zh-CN" w:bidi="ar-EG"/>
              </w:rPr>
              <w:br/>
            </w:r>
            <w:r w:rsidRPr="00D52D83">
              <w:rPr>
                <w:rFonts w:ascii="Arabic Typesetting" w:eastAsia="SimSun" w:hAnsi="Arabic Typesetting" w:cs="Arabic Typesetting"/>
                <w:color w:val="000000"/>
                <w:sz w:val="28"/>
                <w:szCs w:val="28"/>
                <w:rtl/>
                <w:lang w:eastAsia="zh-CN" w:bidi="ar-EG"/>
              </w:rPr>
              <w:t>2016: بلغ إجمالي النفقات</w:t>
            </w:r>
            <w:r w:rsidR="00585B16">
              <w:rPr>
                <w:rFonts w:ascii="Arabic Typesetting" w:eastAsia="SimSun" w:hAnsi="Arabic Typesetting" w:cs="Arabic Typesetting" w:hint="cs"/>
                <w:color w:val="000000"/>
                <w:sz w:val="28"/>
                <w:szCs w:val="28"/>
                <w:rtl/>
                <w:lang w:eastAsia="zh-CN" w:bidi="ar-EG"/>
              </w:rPr>
              <w:t xml:space="preserve"> 023 477 </w:t>
            </w:r>
            <w:r w:rsidRPr="00D52D83">
              <w:rPr>
                <w:rFonts w:ascii="Arabic Typesetting" w:eastAsia="SimSun" w:hAnsi="Arabic Typesetting" w:cs="Arabic Typesetting"/>
                <w:color w:val="000000"/>
                <w:sz w:val="28"/>
                <w:szCs w:val="28"/>
                <w:rtl/>
                <w:lang w:eastAsia="zh-CN" w:bidi="ar-EG"/>
              </w:rPr>
              <w:t>فرنكاً سويسرياً (370 اشتراكاً في المتوسط خلال</w:t>
            </w:r>
            <w:r>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السنة)</w:t>
            </w:r>
            <w:r>
              <w:rPr>
                <w:rFonts w:ascii="Arabic Typesetting" w:eastAsia="SimSun" w:hAnsi="Arabic Typesetting" w:cs="Arabic Typesetting"/>
                <w:color w:val="000000"/>
                <w:sz w:val="28"/>
                <w:szCs w:val="28"/>
                <w:rtl/>
                <w:lang w:eastAsia="zh-CN" w:bidi="ar-EG"/>
              </w:rPr>
              <w:t>.</w:t>
            </w:r>
          </w:p>
        </w:tc>
      </w:tr>
      <w:tr w:rsidR="00B54D74" w:rsidRPr="00D52D83" w14:paraId="70CAF3F2" w14:textId="77777777" w:rsidTr="00EF3FA1">
        <w:trPr>
          <w:cantSplit/>
          <w:trHeight w:val="1230"/>
        </w:trPr>
        <w:tc>
          <w:tcPr>
            <w:tcW w:w="818" w:type="pct"/>
            <w:shd w:val="clear" w:color="auto" w:fill="auto"/>
            <w:hideMark/>
          </w:tcPr>
          <w:p w14:paraId="62720278"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lastRenderedPageBreak/>
              <w:t>تكلفة إدارة البريد الإلكتروني</w:t>
            </w:r>
          </w:p>
        </w:tc>
        <w:tc>
          <w:tcPr>
            <w:tcW w:w="615" w:type="pct"/>
            <w:shd w:val="clear" w:color="auto" w:fill="auto"/>
            <w:noWrap/>
            <w:hideMark/>
          </w:tcPr>
          <w:p w14:paraId="4AD5A77C" w14:textId="0862864C"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000 70</w:t>
            </w:r>
            <w:r w:rsidR="00B54D74" w:rsidRPr="00D52D83">
              <w:rPr>
                <w:rFonts w:ascii="Arabic Typesetting" w:eastAsia="SimSun" w:hAnsi="Arabic Typesetting" w:cs="Arabic Typesetting"/>
                <w:color w:val="000000"/>
                <w:sz w:val="28"/>
                <w:szCs w:val="28"/>
                <w:rtl/>
                <w:lang w:eastAsia="zh-CN" w:bidi="ar-EG"/>
              </w:rPr>
              <w:t>****</w:t>
            </w:r>
          </w:p>
        </w:tc>
        <w:tc>
          <w:tcPr>
            <w:tcW w:w="615" w:type="pct"/>
            <w:shd w:val="clear" w:color="auto" w:fill="auto"/>
            <w:noWrap/>
            <w:hideMark/>
          </w:tcPr>
          <w:p w14:paraId="01871D7D" w14:textId="15FFF6E6" w:rsidR="00B54D74" w:rsidRPr="00585B16" w:rsidRDefault="00585B16" w:rsidP="00585B16">
            <w:pPr>
              <w:bidi/>
              <w:spacing w:line="280" w:lineRule="exact"/>
              <w:rPr>
                <w:rFonts w:ascii="Arabic Typesetting" w:eastAsia="SimSun"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675 38</w:t>
            </w:r>
          </w:p>
        </w:tc>
        <w:tc>
          <w:tcPr>
            <w:tcW w:w="707" w:type="pct"/>
            <w:shd w:val="clear" w:color="000000" w:fill="D9D9D9"/>
            <w:hideMark/>
          </w:tcPr>
          <w:p w14:paraId="3782E4EE"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hideMark/>
          </w:tcPr>
          <w:p w14:paraId="339551DC"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02722A3C" w14:textId="10DE0C61" w:rsidR="00B54D74" w:rsidRPr="00585B16" w:rsidRDefault="00B54D74" w:rsidP="00585B16">
            <w:pPr>
              <w:bidi/>
              <w:spacing w:line="280" w:lineRule="exact"/>
              <w:rPr>
                <w:rFonts w:ascii="Arabic Typesetting" w:eastAsia="SimSun"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تُعزى الوفورات إلى انخفاض عدد صناديق البريد من متوسط 3300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2015 إلى متوسط 2650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2016 (نُفِّذت السياسة في الفصل الرابع من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 وارتفعت التكلفة الإجمالية لإدارة صناديق البريد من</w:t>
            </w:r>
            <w:r w:rsidR="00585B16">
              <w:rPr>
                <w:rFonts w:ascii="Arabic Typesetting" w:eastAsia="SimSun" w:hAnsi="Arabic Typesetting" w:cs="Arabic Typesetting" w:hint="cs"/>
                <w:color w:val="000000"/>
                <w:sz w:val="28"/>
                <w:szCs w:val="28"/>
                <w:rtl/>
                <w:lang w:eastAsia="zh-CN" w:bidi="ar-EG"/>
              </w:rPr>
              <w:t xml:space="preserve"> 182 288 </w:t>
            </w:r>
            <w:r w:rsidRPr="00D52D83">
              <w:rPr>
                <w:rFonts w:ascii="Arabic Typesetting" w:eastAsia="SimSun" w:hAnsi="Arabic Typesetting" w:cs="Arabic Typesetting"/>
                <w:color w:val="000000"/>
                <w:sz w:val="28"/>
                <w:szCs w:val="28"/>
                <w:rtl/>
                <w:lang w:eastAsia="zh-CN" w:bidi="ar-EG"/>
              </w:rPr>
              <w:t>فرنكاً سويسرياً إلى</w:t>
            </w:r>
            <w:r w:rsidR="00585B16">
              <w:rPr>
                <w:rFonts w:ascii="Arabic Typesetting" w:eastAsia="SimSun" w:hAnsi="Arabic Typesetting" w:cs="Arabic Typesetting" w:hint="cs"/>
                <w:color w:val="000000"/>
                <w:sz w:val="28"/>
                <w:szCs w:val="28"/>
                <w:rtl/>
                <w:lang w:eastAsia="zh-CN" w:bidi="ar-EG"/>
              </w:rPr>
              <w:t xml:space="preserve"> 258 291 </w:t>
            </w:r>
            <w:r w:rsidRPr="00D52D83">
              <w:rPr>
                <w:rFonts w:ascii="Arabic Typesetting" w:eastAsia="SimSun" w:hAnsi="Arabic Typesetting" w:cs="Arabic Typesetting"/>
                <w:color w:val="000000"/>
                <w:sz w:val="28"/>
                <w:szCs w:val="28"/>
                <w:rtl/>
                <w:lang w:eastAsia="zh-CN" w:bidi="ar-EG"/>
              </w:rPr>
              <w:t xml:space="preserve">فرنكاً 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 وتُعزى هذه الزيادة إلى إضافة خدمات منها الفهرسة والبحث</w:t>
            </w:r>
            <w:r w:rsidR="00585B16">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المتقدم</w:t>
            </w:r>
            <w:r>
              <w:rPr>
                <w:rFonts w:ascii="Arabic Typesetting" w:eastAsia="SimSun" w:hAnsi="Arabic Typesetting" w:cs="Arabic Typesetting"/>
                <w:color w:val="000000"/>
                <w:sz w:val="28"/>
                <w:szCs w:val="28"/>
                <w:rtl/>
                <w:lang w:eastAsia="zh-CN" w:bidi="ar-EG"/>
              </w:rPr>
              <w:t>.</w:t>
            </w:r>
          </w:p>
        </w:tc>
      </w:tr>
      <w:tr w:rsidR="00B54D74" w:rsidRPr="00D52D83" w14:paraId="0AD80CD0" w14:textId="77777777" w:rsidTr="00EF3FA1">
        <w:trPr>
          <w:cantSplit/>
          <w:trHeight w:val="1260"/>
        </w:trPr>
        <w:tc>
          <w:tcPr>
            <w:tcW w:w="818" w:type="pct"/>
            <w:tcBorders>
              <w:bottom w:val="single" w:sz="4" w:space="0" w:color="auto"/>
            </w:tcBorders>
            <w:shd w:val="clear" w:color="auto" w:fill="auto"/>
            <w:hideMark/>
          </w:tcPr>
          <w:p w14:paraId="34FD74F1"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التخزين الاحتياطي للبيانات</w:t>
            </w:r>
          </w:p>
        </w:tc>
        <w:tc>
          <w:tcPr>
            <w:tcW w:w="615" w:type="pct"/>
            <w:tcBorders>
              <w:bottom w:val="single" w:sz="4" w:space="0" w:color="auto"/>
            </w:tcBorders>
            <w:shd w:val="clear" w:color="auto" w:fill="auto"/>
            <w:noWrap/>
            <w:hideMark/>
          </w:tcPr>
          <w:p w14:paraId="7A7C0CDA"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color w:val="000000"/>
                <w:sz w:val="28"/>
                <w:szCs w:val="28"/>
                <w:rtl/>
                <w:lang w:eastAsia="zh-CN" w:bidi="ar-EG"/>
              </w:rPr>
              <w:t>غير متاحة</w:t>
            </w:r>
          </w:p>
        </w:tc>
        <w:tc>
          <w:tcPr>
            <w:tcW w:w="615" w:type="pct"/>
            <w:tcBorders>
              <w:bottom w:val="single" w:sz="4" w:space="0" w:color="auto"/>
            </w:tcBorders>
            <w:shd w:val="clear" w:color="auto" w:fill="auto"/>
            <w:noWrap/>
            <w:hideMark/>
          </w:tcPr>
          <w:p w14:paraId="0405F618" w14:textId="1CD50596"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000 300</w:t>
            </w:r>
          </w:p>
        </w:tc>
        <w:tc>
          <w:tcPr>
            <w:tcW w:w="707" w:type="pct"/>
            <w:tcBorders>
              <w:bottom w:val="single" w:sz="4" w:space="0" w:color="auto"/>
            </w:tcBorders>
            <w:shd w:val="clear" w:color="000000" w:fill="D9D9D9"/>
            <w:hideMark/>
          </w:tcPr>
          <w:p w14:paraId="73BEA399"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tcBorders>
              <w:bottom w:val="single" w:sz="4" w:space="0" w:color="auto"/>
            </w:tcBorders>
            <w:shd w:val="clear" w:color="000000" w:fill="D9D9D9"/>
            <w:hideMark/>
          </w:tcPr>
          <w:p w14:paraId="73971D37"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tcBorders>
              <w:bottom w:val="single" w:sz="4" w:space="0" w:color="auto"/>
            </w:tcBorders>
            <w:shd w:val="clear" w:color="auto" w:fill="auto"/>
            <w:hideMark/>
          </w:tcPr>
          <w:p w14:paraId="0748B1C2" w14:textId="56C45BDE" w:rsidR="00B54D74" w:rsidRPr="00D52D83" w:rsidRDefault="00B54D74" w:rsidP="00585B16">
            <w:pPr>
              <w:bidi/>
              <w:spacing w:line="280" w:lineRule="exact"/>
              <w:rPr>
                <w:rFonts w:ascii="Arabic Typesetting" w:eastAsia="Arabic Typesetting" w:hAnsi="Arabic Typesetting" w:cs="Arabic Typesetting"/>
                <w:sz w:val="28"/>
                <w:szCs w:val="28"/>
                <w:lang w:eastAsia="zh-CN" w:bidi="ar-EG"/>
              </w:rPr>
            </w:pPr>
            <w:r w:rsidRPr="00D52D83">
              <w:rPr>
                <w:rFonts w:ascii="Arabic Typesetting" w:eastAsia="SimSun" w:hAnsi="Arabic Typesetting" w:cs="Arabic Typesetting"/>
                <w:sz w:val="28"/>
                <w:szCs w:val="28"/>
                <w:rtl/>
                <w:lang w:eastAsia="zh-CN" w:bidi="ar-EG"/>
              </w:rPr>
              <w:t xml:space="preserve">أدى تنفيذ سياسة جديدة للتخزين الاحتياطي في الفصل الثالث من </w:t>
            </w:r>
            <w:r>
              <w:rPr>
                <w:rFonts w:ascii="Arabic Typesetting" w:eastAsia="SimSun" w:hAnsi="Arabic Typesetting" w:cs="Arabic Typesetting"/>
                <w:sz w:val="28"/>
                <w:szCs w:val="28"/>
                <w:rtl/>
                <w:lang w:eastAsia="zh-CN" w:bidi="ar-EG"/>
              </w:rPr>
              <w:t>عام </w:t>
            </w:r>
            <w:r w:rsidRPr="00D52D83">
              <w:rPr>
                <w:rFonts w:ascii="Arabic Typesetting" w:eastAsia="SimSun" w:hAnsi="Arabic Typesetting" w:cs="Arabic Typesetting"/>
                <w:sz w:val="28"/>
                <w:szCs w:val="28"/>
                <w:rtl/>
                <w:lang w:eastAsia="zh-CN" w:bidi="ar-EG"/>
              </w:rPr>
              <w:t>2015 إلى انخفاض حجم البيانات الواجب تخزينها</w:t>
            </w:r>
            <w:r>
              <w:rPr>
                <w:rFonts w:ascii="Arabic Typesetting" w:eastAsia="SimSun" w:hAnsi="Arabic Typesetting" w:cs="Arabic Typesetting"/>
                <w:sz w:val="28"/>
                <w:szCs w:val="28"/>
                <w:rtl/>
                <w:lang w:eastAsia="zh-CN" w:bidi="ar-EG"/>
              </w:rPr>
              <w:t>.</w:t>
            </w:r>
            <w:r w:rsidRPr="00D52D83">
              <w:rPr>
                <w:rFonts w:ascii="Arabic Typesetting" w:eastAsia="SimSun" w:hAnsi="Arabic Typesetting" w:cs="Arabic Typesetting"/>
                <w:sz w:val="28"/>
                <w:szCs w:val="28"/>
                <w:rtl/>
                <w:lang w:eastAsia="zh-CN" w:bidi="ar-EG"/>
              </w:rPr>
              <w:t xml:space="preserve"> وأدى انخفاض حجم البيانات إلى انخفاض شهري في التكلفة قدره </w:t>
            </w:r>
            <w:r w:rsidR="00585B16">
              <w:rPr>
                <w:rFonts w:ascii="Arabic Typesetting" w:eastAsia="SimSun" w:hAnsi="Arabic Typesetting" w:cs="Arabic Typesetting" w:hint="cs"/>
                <w:sz w:val="28"/>
                <w:szCs w:val="28"/>
                <w:rtl/>
                <w:lang w:eastAsia="zh-CN" w:bidi="ar-EG"/>
              </w:rPr>
              <w:t>000 25</w:t>
            </w:r>
            <w:r w:rsidRPr="00D52D83">
              <w:rPr>
                <w:rFonts w:ascii="Arabic Typesetting" w:eastAsia="SimSun" w:hAnsi="Arabic Typesetting" w:cs="Arabic Typesetting"/>
                <w:sz w:val="28"/>
                <w:szCs w:val="28"/>
                <w:rtl/>
                <w:lang w:eastAsia="zh-CN" w:bidi="ar-EG"/>
              </w:rPr>
              <w:t xml:space="preserve"> فرنك سويسري</w:t>
            </w:r>
            <w:r>
              <w:rPr>
                <w:rFonts w:ascii="Arabic Typesetting" w:eastAsia="SimSun" w:hAnsi="Arabic Typesetting" w:cs="Arabic Typesetting"/>
                <w:sz w:val="28"/>
                <w:szCs w:val="28"/>
                <w:rtl/>
                <w:lang w:eastAsia="zh-CN" w:bidi="ar-EG"/>
              </w:rPr>
              <w:t>.</w:t>
            </w:r>
            <w:r w:rsidRPr="00D52D83">
              <w:rPr>
                <w:rFonts w:ascii="Arabic Typesetting" w:eastAsia="SimSun" w:hAnsi="Arabic Typesetting" w:cs="Arabic Typesetting"/>
                <w:sz w:val="28"/>
                <w:szCs w:val="28"/>
                <w:rtl/>
                <w:lang w:eastAsia="zh-CN" w:bidi="ar-EG"/>
              </w:rPr>
              <w:t xml:space="preserve"> واعتُمد نمط خطي للوفورات الشهرية في </w:t>
            </w:r>
            <w:r>
              <w:rPr>
                <w:rFonts w:ascii="Arabic Typesetting" w:eastAsia="SimSun" w:hAnsi="Arabic Typesetting" w:cs="Arabic Typesetting"/>
                <w:sz w:val="28"/>
                <w:szCs w:val="28"/>
                <w:rtl/>
                <w:lang w:eastAsia="zh-CN" w:bidi="ar-EG"/>
              </w:rPr>
              <w:t>عام </w:t>
            </w:r>
            <w:r w:rsidRPr="00D52D83">
              <w:rPr>
                <w:rFonts w:ascii="Arabic Typesetting" w:eastAsia="SimSun" w:hAnsi="Arabic Typesetting" w:cs="Arabic Typesetting"/>
                <w:sz w:val="28"/>
                <w:szCs w:val="28"/>
                <w:rtl/>
                <w:lang w:eastAsia="zh-CN" w:bidi="ar-EG"/>
              </w:rPr>
              <w:t>2016</w:t>
            </w:r>
            <w:r>
              <w:rPr>
                <w:rFonts w:ascii="Arabic Typesetting" w:eastAsia="SimSun" w:hAnsi="Arabic Typesetting" w:cs="Arabic Typesetting"/>
                <w:sz w:val="28"/>
                <w:szCs w:val="28"/>
                <w:rtl/>
                <w:lang w:eastAsia="zh-CN" w:bidi="ar-EG"/>
              </w:rPr>
              <w:t>.</w:t>
            </w:r>
            <w:r w:rsidRPr="00D52D83">
              <w:rPr>
                <w:rFonts w:ascii="Arabic Typesetting" w:eastAsia="SimSun" w:hAnsi="Arabic Typesetting" w:cs="Arabic Typesetting"/>
                <w:sz w:val="28"/>
                <w:szCs w:val="28"/>
                <w:rtl/>
                <w:lang w:eastAsia="zh-CN" w:bidi="ar-EG"/>
              </w:rPr>
              <w:t xml:space="preserve"> وتبلغ الوفورات السنوية المبلغ عنها </w:t>
            </w:r>
            <w:r w:rsidR="00585B16">
              <w:rPr>
                <w:rFonts w:ascii="Arabic Typesetting" w:eastAsia="SimSun" w:hAnsi="Arabic Typesetting" w:cs="Arabic Typesetting" w:hint="cs"/>
                <w:sz w:val="28"/>
                <w:szCs w:val="28"/>
                <w:rtl/>
                <w:lang w:eastAsia="zh-CN" w:bidi="ar-EG"/>
              </w:rPr>
              <w:t>000 300</w:t>
            </w:r>
            <w:r w:rsidRPr="00D52D83">
              <w:rPr>
                <w:rFonts w:ascii="Arabic Typesetting" w:eastAsia="SimSun" w:hAnsi="Arabic Typesetting" w:cs="Arabic Typesetting"/>
                <w:sz w:val="28"/>
                <w:szCs w:val="28"/>
                <w:rtl/>
                <w:lang w:eastAsia="zh-CN" w:bidi="ar-EG"/>
              </w:rPr>
              <w:t xml:space="preserve"> فرنك سويسري (25000 </w:t>
            </w:r>
            <w:r w:rsidRPr="003422FC">
              <w:rPr>
                <w:rFonts w:eastAsia="SimSun" w:cs="Arabic Typesetting"/>
                <w:sz w:val="16"/>
                <w:szCs w:val="28"/>
                <w:lang w:eastAsia="zh-CN" w:bidi="ar-EG"/>
              </w:rPr>
              <w:t>X</w:t>
            </w:r>
            <w:r w:rsidRPr="00D52D83">
              <w:rPr>
                <w:rFonts w:ascii="Arabic Typesetting" w:eastAsia="SimSun" w:hAnsi="Arabic Typesetting" w:cs="Arabic Typesetting"/>
                <w:sz w:val="28"/>
                <w:szCs w:val="28"/>
                <w:rtl/>
                <w:lang w:eastAsia="zh-CN" w:bidi="ar-EG"/>
              </w:rPr>
              <w:t xml:space="preserve"> 12)</w:t>
            </w:r>
          </w:p>
        </w:tc>
      </w:tr>
      <w:tr w:rsidR="00B54D74" w:rsidRPr="00D52D83" w14:paraId="74F7A76A" w14:textId="77777777" w:rsidTr="00EF3FA1">
        <w:trPr>
          <w:cantSplit/>
          <w:trHeight w:val="20"/>
        </w:trPr>
        <w:tc>
          <w:tcPr>
            <w:tcW w:w="5000" w:type="pct"/>
            <w:gridSpan w:val="6"/>
            <w:shd w:val="clear" w:color="auto" w:fill="8DB4E2"/>
            <w:noWrap/>
            <w:tcMar>
              <w:top w:w="57" w:type="dxa"/>
              <w:bottom w:w="57" w:type="dxa"/>
            </w:tcMar>
            <w:vAlign w:val="center"/>
          </w:tcPr>
          <w:p w14:paraId="1D7036EB" w14:textId="77777777" w:rsidR="00B54D74" w:rsidRPr="00D52D83" w:rsidRDefault="00B54D74" w:rsidP="0031289D">
            <w:pPr>
              <w:keepNext/>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b/>
                <w:bCs/>
                <w:color w:val="000000"/>
                <w:sz w:val="28"/>
                <w:szCs w:val="28"/>
                <w:rtl/>
                <w:lang w:eastAsia="zh-CN" w:bidi="ar-EG"/>
              </w:rPr>
              <w:t>5</w:t>
            </w:r>
            <w:r>
              <w:rPr>
                <w:rFonts w:ascii="Arabic Typesetting" w:eastAsia="SimSun" w:hAnsi="Arabic Typesetting" w:cs="Arabic Typesetting"/>
                <w:b/>
                <w:bCs/>
                <w:color w:val="000000"/>
                <w:sz w:val="28"/>
                <w:szCs w:val="28"/>
                <w:rtl/>
                <w:lang w:eastAsia="zh-CN" w:bidi="ar-EG"/>
              </w:rPr>
              <w:t>.</w:t>
            </w:r>
            <w:r w:rsidRPr="00D52D83">
              <w:rPr>
                <w:rFonts w:ascii="Arabic Typesetting" w:eastAsia="SimSun" w:hAnsi="Arabic Typesetting" w:cs="Arabic Typesetting"/>
                <w:b/>
                <w:bCs/>
                <w:color w:val="000000"/>
                <w:sz w:val="28"/>
                <w:szCs w:val="28"/>
                <w:rtl/>
                <w:lang w:eastAsia="zh-CN" w:bidi="ar-EG"/>
              </w:rPr>
              <w:t xml:space="preserve"> مجالات أخرى</w:t>
            </w:r>
          </w:p>
        </w:tc>
      </w:tr>
      <w:tr w:rsidR="00B54D74" w:rsidRPr="00D52D83" w14:paraId="23F4F6E9" w14:textId="77777777" w:rsidTr="00EF3FA1">
        <w:trPr>
          <w:cantSplit/>
          <w:trHeight w:val="885"/>
        </w:trPr>
        <w:tc>
          <w:tcPr>
            <w:tcW w:w="818" w:type="pct"/>
            <w:shd w:val="clear" w:color="auto" w:fill="auto"/>
            <w:noWrap/>
            <w:hideMark/>
          </w:tcPr>
          <w:p w14:paraId="5BDE89BD"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الترجمة</w:t>
            </w:r>
          </w:p>
        </w:tc>
        <w:tc>
          <w:tcPr>
            <w:tcW w:w="615" w:type="pct"/>
            <w:shd w:val="clear" w:color="auto" w:fill="auto"/>
            <w:noWrap/>
            <w:hideMark/>
          </w:tcPr>
          <w:p w14:paraId="0356F7A6" w14:textId="77A93706"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084 601</w:t>
            </w:r>
          </w:p>
        </w:tc>
        <w:tc>
          <w:tcPr>
            <w:tcW w:w="615" w:type="pct"/>
            <w:shd w:val="clear" w:color="auto" w:fill="auto"/>
            <w:noWrap/>
            <w:hideMark/>
          </w:tcPr>
          <w:p w14:paraId="3A674291" w14:textId="31FA793B"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587 313</w:t>
            </w:r>
          </w:p>
        </w:tc>
        <w:tc>
          <w:tcPr>
            <w:tcW w:w="707" w:type="pct"/>
            <w:shd w:val="clear" w:color="auto" w:fill="auto"/>
            <w:hideMark/>
          </w:tcPr>
          <w:p w14:paraId="26719569"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انخفاض في تكلفة الكلمة قدره 0</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02 فرنك سويسري من 0</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59 فرنك سويسري في 201</w:t>
            </w:r>
            <w:r>
              <w:rPr>
                <w:rFonts w:ascii="Arabic Typesetting" w:eastAsia="SimSun" w:hAnsi="Arabic Typesetting" w:cs="Arabic Typesetting"/>
                <w:color w:val="000000"/>
                <w:sz w:val="28"/>
                <w:szCs w:val="28"/>
                <w:rtl/>
                <w:lang w:eastAsia="zh-CN" w:bidi="ar-EG"/>
              </w:rPr>
              <w:t>4 إلى 0.57 فرنك سويسري في 2015</w:t>
            </w:r>
          </w:p>
        </w:tc>
        <w:tc>
          <w:tcPr>
            <w:tcW w:w="707" w:type="pct"/>
            <w:shd w:val="clear" w:color="auto" w:fill="auto"/>
            <w:hideMark/>
          </w:tcPr>
          <w:p w14:paraId="6E7DA3B9"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انخفاض في تكلفة الكلمة قدره 0</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02 فرنك سويسري من 0</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57 فرنك سويسري في 20</w:t>
            </w:r>
            <w:r>
              <w:rPr>
                <w:rFonts w:ascii="Arabic Typesetting" w:eastAsia="SimSun" w:hAnsi="Arabic Typesetting" w:cs="Arabic Typesetting"/>
                <w:color w:val="000000"/>
                <w:sz w:val="28"/>
                <w:szCs w:val="28"/>
                <w:rtl/>
                <w:lang w:eastAsia="zh-CN" w:bidi="ar-EG"/>
              </w:rPr>
              <w:t>15 إلى 0.55 فرنك سويسري في 2016</w:t>
            </w:r>
          </w:p>
        </w:tc>
        <w:tc>
          <w:tcPr>
            <w:tcW w:w="1537" w:type="pct"/>
            <w:shd w:val="clear" w:color="auto" w:fill="auto"/>
            <w:hideMark/>
          </w:tcPr>
          <w:p w14:paraId="64FEF474"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تتأتى الوفورات في التكلفة من إعادة التفاوض على العقود مع المترجمين الخارجيين وعرض عطاءات جديدة للترجمة العربية والصينية والروسية واستخدام أدوات الترجمة وحفظ المصطلحات بمساعدة الحاسوب</w:t>
            </w:r>
            <w:r>
              <w:rPr>
                <w:rFonts w:ascii="Arabic Typesetting" w:eastAsia="SimSun" w:hAnsi="Arabic Typesetting" w:cs="Arabic Typesetting"/>
                <w:color w:val="000000"/>
                <w:sz w:val="28"/>
                <w:szCs w:val="28"/>
                <w:rtl/>
                <w:lang w:eastAsia="zh-CN" w:bidi="ar-EG"/>
              </w:rPr>
              <w:t>.</w:t>
            </w:r>
          </w:p>
        </w:tc>
      </w:tr>
      <w:tr w:rsidR="00B54D74" w:rsidRPr="00D52D83" w14:paraId="4761B48A" w14:textId="77777777" w:rsidTr="00EF3FA1">
        <w:trPr>
          <w:cantSplit/>
          <w:trHeight w:val="1155"/>
        </w:trPr>
        <w:tc>
          <w:tcPr>
            <w:tcW w:w="818" w:type="pct"/>
            <w:shd w:val="clear" w:color="auto" w:fill="auto"/>
            <w:noWrap/>
            <w:hideMark/>
          </w:tcPr>
          <w:p w14:paraId="07B10A49"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الطباعة</w:t>
            </w:r>
          </w:p>
        </w:tc>
        <w:tc>
          <w:tcPr>
            <w:tcW w:w="615" w:type="pct"/>
            <w:shd w:val="clear" w:color="auto" w:fill="auto"/>
            <w:noWrap/>
            <w:hideMark/>
          </w:tcPr>
          <w:p w14:paraId="2DE44A7E" w14:textId="5E314E65"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000 399</w:t>
            </w:r>
          </w:p>
        </w:tc>
        <w:tc>
          <w:tcPr>
            <w:tcW w:w="615" w:type="pct"/>
            <w:shd w:val="clear" w:color="auto" w:fill="auto"/>
            <w:noWrap/>
            <w:hideMark/>
          </w:tcPr>
          <w:p w14:paraId="2A0A918D" w14:textId="19391FD7"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947 26</w:t>
            </w:r>
          </w:p>
        </w:tc>
        <w:tc>
          <w:tcPr>
            <w:tcW w:w="707" w:type="pct"/>
            <w:shd w:val="clear" w:color="auto" w:fill="auto"/>
            <w:hideMark/>
          </w:tcPr>
          <w:p w14:paraId="727E9687"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لم تتغير تكلفة الصفحة البالغة 0</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153 فرنك سويسري بين عامي 2014 و2015</w:t>
            </w:r>
          </w:p>
        </w:tc>
        <w:tc>
          <w:tcPr>
            <w:tcW w:w="707" w:type="pct"/>
            <w:shd w:val="clear" w:color="auto" w:fill="auto"/>
            <w:hideMark/>
          </w:tcPr>
          <w:p w14:paraId="7D619DBE"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زيادة تكلفة الصفحة إلى 0</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161 فرنك سويسري في </w:t>
            </w:r>
            <w:r>
              <w:rPr>
                <w:rFonts w:ascii="Arabic Typesetting" w:eastAsia="SimSun" w:hAnsi="Arabic Typesetting" w:cs="Arabic Typesetting"/>
                <w:color w:val="000000"/>
                <w:sz w:val="28"/>
                <w:szCs w:val="28"/>
                <w:rtl/>
                <w:lang w:eastAsia="zh-CN" w:bidi="ar-EG"/>
              </w:rPr>
              <w:t>عام 2016 (+5%</w:t>
            </w:r>
            <w:r>
              <w:rPr>
                <w:rFonts w:ascii="Arabic Typesetting" w:eastAsia="SimSun" w:hAnsi="Arabic Typesetting" w:cs="Arabic Typesetting" w:hint="cs"/>
                <w:color w:val="000000"/>
                <w:sz w:val="28"/>
                <w:szCs w:val="28"/>
                <w:rtl/>
                <w:lang w:eastAsia="zh-CN" w:bidi="ar-EG"/>
              </w:rPr>
              <w:t> </w:t>
            </w:r>
            <w:r>
              <w:rPr>
                <w:rFonts w:ascii="Arabic Typesetting" w:eastAsia="SimSun" w:hAnsi="Arabic Typesetting" w:cs="Arabic Typesetting"/>
                <w:color w:val="000000"/>
                <w:sz w:val="28"/>
                <w:szCs w:val="28"/>
                <w:rtl/>
                <w:lang w:eastAsia="zh-CN" w:bidi="ar-EG"/>
              </w:rPr>
              <w:t>مقارنة بعام 2015)</w:t>
            </w:r>
          </w:p>
        </w:tc>
        <w:tc>
          <w:tcPr>
            <w:tcW w:w="1537" w:type="pct"/>
            <w:shd w:val="clear" w:color="auto" w:fill="auto"/>
            <w:hideMark/>
          </w:tcPr>
          <w:p w14:paraId="24ED8706" w14:textId="57B6B1A2" w:rsidR="00B54D74" w:rsidRPr="00D52D83" w:rsidRDefault="00B54D74" w:rsidP="00585B16">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على الرغم من انخفاض التكاليف الإجمالية للمطبعة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 (2</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4 مليون فرنك سويسري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 مقارنة مع 2</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58 مليون فرنك سويسري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 كان عدد النسخ المطبوعة أقل بكثير (14</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9</w:t>
            </w:r>
            <w:r w:rsidR="00585B16">
              <w:rPr>
                <w:rFonts w:ascii="Arabic Typesetting" w:eastAsia="SimSun" w:hAnsi="Arabic Typesetting" w:cs="Arabic Typesetting" w:hint="cs"/>
                <w:color w:val="000000"/>
                <w:sz w:val="28"/>
                <w:szCs w:val="28"/>
                <w:rtl/>
                <w:lang w:eastAsia="zh-CN" w:bidi="ar-EG"/>
              </w:rPr>
              <w:t> </w:t>
            </w:r>
            <w:r w:rsidRPr="00D52D83">
              <w:rPr>
                <w:rFonts w:ascii="Arabic Typesetting" w:eastAsia="SimSun" w:hAnsi="Arabic Typesetting" w:cs="Arabic Typesetting"/>
                <w:color w:val="000000"/>
                <w:sz w:val="28"/>
                <w:szCs w:val="28"/>
                <w:rtl/>
                <w:lang w:eastAsia="zh-CN" w:bidi="ar-EG"/>
              </w:rPr>
              <w:t xml:space="preserve">مليون نسخة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 مقارنة مع 16</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9 مليون نسخة في</w:t>
            </w:r>
            <w:r w:rsidR="00585B16">
              <w:rPr>
                <w:rFonts w:ascii="Arabic Typesetting" w:eastAsia="SimSun" w:hAnsi="Arabic Typesetting" w:cs="Arabic Typesetting" w:hint="cs"/>
                <w:color w:val="000000"/>
                <w:sz w:val="28"/>
                <w:szCs w:val="28"/>
                <w:rtl/>
                <w:lang w:eastAsia="zh-CN" w:bidi="ar-EG"/>
              </w:rPr>
              <w:t>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2015) ومن ثم زادت تكلفة الصفحة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w:t>
            </w:r>
            <w:r>
              <w:rPr>
                <w:rFonts w:ascii="Arabic Typesetting" w:eastAsia="SimSun" w:hAnsi="Arabic Typesetting" w:cs="Arabic Typesetting"/>
                <w:color w:val="000000"/>
                <w:sz w:val="28"/>
                <w:szCs w:val="28"/>
                <w:rtl/>
                <w:lang w:eastAsia="zh-CN" w:bidi="ar-EG"/>
              </w:rPr>
              <w:t>.</w:t>
            </w:r>
          </w:p>
        </w:tc>
      </w:tr>
      <w:tr w:rsidR="00B54D74" w:rsidRPr="00D52D83" w14:paraId="3BBDBAE3" w14:textId="77777777" w:rsidTr="00EF3FA1">
        <w:trPr>
          <w:cantSplit/>
          <w:trHeight w:val="22"/>
        </w:trPr>
        <w:tc>
          <w:tcPr>
            <w:tcW w:w="818" w:type="pct"/>
            <w:shd w:val="clear" w:color="auto" w:fill="auto"/>
            <w:noWrap/>
            <w:hideMark/>
          </w:tcPr>
          <w:p w14:paraId="0A57F74A"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البريد</w:t>
            </w:r>
          </w:p>
        </w:tc>
        <w:tc>
          <w:tcPr>
            <w:tcW w:w="615" w:type="pct"/>
            <w:shd w:val="clear" w:color="auto" w:fill="auto"/>
            <w:noWrap/>
            <w:hideMark/>
          </w:tcPr>
          <w:p w14:paraId="6BB68D99" w14:textId="555FD04F"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367 189</w:t>
            </w:r>
          </w:p>
        </w:tc>
        <w:tc>
          <w:tcPr>
            <w:tcW w:w="615" w:type="pct"/>
            <w:shd w:val="clear" w:color="auto" w:fill="auto"/>
            <w:noWrap/>
            <w:hideMark/>
          </w:tcPr>
          <w:p w14:paraId="55631DDE" w14:textId="46DA747E"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477 135</w:t>
            </w:r>
          </w:p>
        </w:tc>
        <w:tc>
          <w:tcPr>
            <w:tcW w:w="707" w:type="pct"/>
            <w:shd w:val="clear" w:color="000000" w:fill="D9D9D9"/>
            <w:hideMark/>
          </w:tcPr>
          <w:p w14:paraId="567DAE15"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hideMark/>
          </w:tcPr>
          <w:p w14:paraId="2E8C2CB4"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529BBD65" w14:textId="6D1E95FF" w:rsidR="00B54D74" w:rsidRPr="00D52D83" w:rsidRDefault="00B54D74" w:rsidP="00585B16">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انخفاض تكاليف البريد بنسبة 9%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 (</w:t>
            </w:r>
            <w:r w:rsidR="00585B16">
              <w:rPr>
                <w:rFonts w:ascii="Arabic Typesetting" w:eastAsia="SimSun" w:hAnsi="Arabic Typesetting" w:cs="Arabic Typesetting" w:hint="cs"/>
                <w:color w:val="000000"/>
                <w:sz w:val="28"/>
                <w:szCs w:val="28"/>
                <w:rtl/>
                <w:lang w:eastAsia="zh-CN" w:bidi="ar-EG"/>
              </w:rPr>
              <w:t>137 381 1</w:t>
            </w:r>
            <w:r w:rsidRPr="00D52D83">
              <w:rPr>
                <w:rFonts w:ascii="Arabic Typesetting" w:eastAsia="SimSun" w:hAnsi="Arabic Typesetting" w:cs="Arabic Typesetting"/>
                <w:color w:val="000000"/>
                <w:sz w:val="28"/>
                <w:szCs w:val="28"/>
                <w:rtl/>
                <w:lang w:eastAsia="zh-CN" w:bidi="ar-EG"/>
              </w:rPr>
              <w:t xml:space="preserve"> فرنكاً سويسرياً) مقارنة ب</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 (</w:t>
            </w:r>
            <w:r w:rsidR="00585B16">
              <w:rPr>
                <w:rFonts w:ascii="Arabic Typesetting" w:eastAsia="SimSun" w:hAnsi="Arabic Typesetting" w:cs="Arabic Typesetting" w:hint="cs"/>
                <w:color w:val="000000"/>
                <w:sz w:val="28"/>
                <w:szCs w:val="28"/>
                <w:rtl/>
                <w:lang w:eastAsia="zh-CN" w:bidi="ar-EG"/>
              </w:rPr>
              <w:t>614 516 1</w:t>
            </w:r>
            <w:r>
              <w:rPr>
                <w:rFonts w:ascii="Arabic Typesetting" w:eastAsia="SimSun" w:hAnsi="Arabic Typesetting" w:cs="Arabic Typesetting"/>
                <w:color w:val="000000"/>
                <w:sz w:val="28"/>
                <w:szCs w:val="28"/>
                <w:lang w:eastAsia="zh-CN" w:bidi="ar-EG"/>
              </w:rPr>
              <w:t> </w:t>
            </w:r>
            <w:r w:rsidRPr="00D52D83">
              <w:rPr>
                <w:rFonts w:ascii="Arabic Typesetting" w:eastAsia="SimSun" w:hAnsi="Arabic Typesetting" w:cs="Arabic Typesetting"/>
                <w:color w:val="000000"/>
                <w:sz w:val="28"/>
                <w:szCs w:val="28"/>
                <w:rtl/>
                <w:lang w:eastAsia="zh-CN" w:bidi="ar-EG"/>
              </w:rPr>
              <w:t>فرنكاً</w:t>
            </w:r>
            <w:r>
              <w:rPr>
                <w:rFonts w:ascii="Arabic Typesetting" w:eastAsia="SimSun" w:hAnsi="Arabic Typesetting" w:cs="Arabic Typesetting"/>
                <w:color w:val="000000"/>
                <w:sz w:val="28"/>
                <w:szCs w:val="28"/>
                <w:lang w:eastAsia="zh-CN" w:bidi="ar-EG"/>
              </w:rPr>
              <w:t> </w:t>
            </w:r>
            <w:r w:rsidRPr="00D52D83">
              <w:rPr>
                <w:rFonts w:ascii="Arabic Typesetting" w:eastAsia="SimSun" w:hAnsi="Arabic Typesetting" w:cs="Arabic Typesetting"/>
                <w:color w:val="000000"/>
                <w:sz w:val="28"/>
                <w:szCs w:val="28"/>
                <w:rtl/>
                <w:lang w:eastAsia="zh-CN" w:bidi="ar-EG"/>
              </w:rPr>
              <w:t>سويسرياً)</w:t>
            </w:r>
            <w:r>
              <w:rPr>
                <w:rFonts w:ascii="Arabic Typesetting" w:eastAsia="SimSun" w:hAnsi="Arabic Typesetting" w:cs="Arabic Typesetting"/>
                <w:color w:val="000000"/>
                <w:sz w:val="28"/>
                <w:szCs w:val="28"/>
                <w:rtl/>
                <w:lang w:eastAsia="zh-CN" w:bidi="ar-EG"/>
              </w:rPr>
              <w:t>.</w:t>
            </w:r>
          </w:p>
        </w:tc>
      </w:tr>
      <w:tr w:rsidR="00B54D74" w:rsidRPr="00D52D83" w14:paraId="63073CA5" w14:textId="77777777" w:rsidTr="00EF3FA1">
        <w:trPr>
          <w:cantSplit/>
          <w:trHeight w:val="242"/>
        </w:trPr>
        <w:tc>
          <w:tcPr>
            <w:tcW w:w="818" w:type="pct"/>
            <w:shd w:val="clear" w:color="auto" w:fill="auto"/>
            <w:noWrap/>
            <w:hideMark/>
          </w:tcPr>
          <w:p w14:paraId="78B75F38"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تكلفة حراس الأمن</w:t>
            </w:r>
          </w:p>
        </w:tc>
        <w:tc>
          <w:tcPr>
            <w:tcW w:w="615" w:type="pct"/>
            <w:shd w:val="clear" w:color="auto" w:fill="auto"/>
            <w:noWrap/>
            <w:hideMark/>
          </w:tcPr>
          <w:p w14:paraId="2DCCCF7F" w14:textId="786CE8C2"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739 708</w:t>
            </w:r>
          </w:p>
        </w:tc>
        <w:tc>
          <w:tcPr>
            <w:tcW w:w="615" w:type="pct"/>
            <w:shd w:val="clear" w:color="auto" w:fill="auto"/>
            <w:noWrap/>
            <w:hideMark/>
          </w:tcPr>
          <w:p w14:paraId="2541010C" w14:textId="6CF61E9B" w:rsidR="00B54D74" w:rsidRPr="00D52D83" w:rsidRDefault="00585B16" w:rsidP="00585B16">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(163 160)</w:t>
            </w:r>
          </w:p>
        </w:tc>
        <w:tc>
          <w:tcPr>
            <w:tcW w:w="707" w:type="pct"/>
            <w:shd w:val="clear" w:color="000000" w:fill="D9D9D9"/>
            <w:hideMark/>
          </w:tcPr>
          <w:p w14:paraId="49D1EEE4"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hideMark/>
          </w:tcPr>
          <w:p w14:paraId="15C69040"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7D989E8B" w14:textId="4236419B" w:rsidR="00B54D74" w:rsidRPr="00D52D83" w:rsidRDefault="00B54D74" w:rsidP="002E5A89">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انخفضت قيمة العقود الأساسية من 3</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13 مليون فرنك سويسري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 إلى 3</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07 مليون فرنك سويسري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 في حين ارتفعت تكلفة متطلبات الحراسة من</w:t>
            </w:r>
            <w:r w:rsidR="00585B16">
              <w:rPr>
                <w:rFonts w:ascii="Arabic Typesetting" w:eastAsia="SimSun" w:hAnsi="Arabic Typesetting" w:cs="Arabic Typesetting" w:hint="cs"/>
                <w:color w:val="000000"/>
                <w:sz w:val="28"/>
                <w:szCs w:val="28"/>
                <w:rtl/>
                <w:lang w:eastAsia="zh-CN" w:bidi="ar-EG"/>
              </w:rPr>
              <w:t xml:space="preserve"> 352 143</w:t>
            </w:r>
            <w:r w:rsidRPr="00D52D83">
              <w:rPr>
                <w:rFonts w:ascii="Arabic Typesetting" w:eastAsia="SimSun" w:hAnsi="Arabic Typesetting" w:cs="Arabic Typesetting"/>
                <w:color w:val="000000"/>
                <w:sz w:val="28"/>
                <w:szCs w:val="28"/>
                <w:rtl/>
                <w:lang w:eastAsia="zh-CN" w:bidi="ar-EG"/>
              </w:rPr>
              <w:t xml:space="preserve"> فرنكاً سويسرياً إلى </w:t>
            </w:r>
            <w:r w:rsidR="002E5A89" w:rsidRPr="00396976">
              <w:rPr>
                <w:rFonts w:ascii="Arabic Typesetting" w:eastAsia="SimSun" w:hAnsi="Arabic Typesetting" w:cs="Arabic Typesetting"/>
                <w:color w:val="000000"/>
                <w:sz w:val="28"/>
                <w:szCs w:val="28"/>
                <w:rtl/>
                <w:lang w:eastAsia="zh-CN" w:bidi="ar-EG"/>
              </w:rPr>
              <w:t>807</w:t>
            </w:r>
            <w:r w:rsidR="002E5A89" w:rsidRPr="00396976">
              <w:rPr>
                <w:rFonts w:ascii="Arabic Typesetting" w:eastAsia="SimSun" w:hAnsi="Arabic Typesetting" w:cs="Arabic Typesetting" w:hint="eastAsia"/>
                <w:color w:val="000000"/>
                <w:sz w:val="28"/>
                <w:szCs w:val="28"/>
                <w:rtl/>
                <w:lang w:eastAsia="zh-CN" w:bidi="ar-EG"/>
              </w:rPr>
              <w:t> </w:t>
            </w:r>
            <w:r w:rsidR="002E5A89" w:rsidRPr="00396976">
              <w:rPr>
                <w:rFonts w:ascii="Arabic Typesetting" w:eastAsia="SimSun" w:hAnsi="Arabic Typesetting" w:cs="Arabic Typesetting"/>
                <w:color w:val="000000"/>
                <w:sz w:val="28"/>
                <w:szCs w:val="28"/>
                <w:rtl/>
                <w:lang w:eastAsia="zh-CN" w:bidi="ar-EG"/>
              </w:rPr>
              <w:t>359</w:t>
            </w:r>
            <w:r w:rsidRPr="00D52D83">
              <w:rPr>
                <w:rFonts w:ascii="Arabic Typesetting" w:eastAsia="SimSun" w:hAnsi="Arabic Typesetting" w:cs="Arabic Typesetting"/>
                <w:color w:val="000000"/>
                <w:sz w:val="28"/>
                <w:szCs w:val="28"/>
                <w:rtl/>
                <w:lang w:eastAsia="zh-CN" w:bidi="ar-EG"/>
              </w:rPr>
              <w:t xml:space="preserve"> فرنكات سويسرية</w:t>
            </w:r>
            <w:r>
              <w:rPr>
                <w:rFonts w:ascii="Arabic Typesetting" w:eastAsia="SimSun" w:hAnsi="Arabic Typesetting" w:cs="Arabic Typesetting"/>
                <w:color w:val="000000"/>
                <w:sz w:val="28"/>
                <w:szCs w:val="28"/>
                <w:rtl/>
                <w:lang w:eastAsia="zh-CN" w:bidi="ar-EG"/>
              </w:rPr>
              <w:t>.</w:t>
            </w:r>
            <w:r w:rsidRPr="00D52D83">
              <w:rPr>
                <w:rFonts w:ascii="Arabic Typesetting" w:eastAsia="SimSun" w:hAnsi="Arabic Typesetting" w:cs="Arabic Typesetting"/>
                <w:color w:val="000000"/>
                <w:sz w:val="28"/>
                <w:szCs w:val="28"/>
                <w:rtl/>
                <w:lang w:eastAsia="zh-CN" w:bidi="ar-EG"/>
              </w:rPr>
              <w:t xml:space="preserve"> وأدى ذلك إلى زيادة في التكلفة الإجمالية قدرها </w:t>
            </w:r>
            <w:r w:rsidR="00585B16">
              <w:rPr>
                <w:rFonts w:ascii="Arabic Typesetting" w:eastAsia="SimSun" w:hAnsi="Arabic Typesetting" w:cs="Arabic Typesetting" w:hint="cs"/>
                <w:color w:val="000000"/>
                <w:sz w:val="28"/>
                <w:szCs w:val="28"/>
                <w:rtl/>
                <w:lang w:eastAsia="zh-CN" w:bidi="ar-EG"/>
              </w:rPr>
              <w:t>163 160</w:t>
            </w:r>
            <w:r w:rsidRPr="00D52D83">
              <w:rPr>
                <w:rFonts w:ascii="Arabic Typesetting" w:eastAsia="SimSun" w:hAnsi="Arabic Typesetting" w:cs="Arabic Typesetting"/>
                <w:color w:val="000000"/>
                <w:sz w:val="28"/>
                <w:szCs w:val="28"/>
                <w:rtl/>
                <w:lang w:eastAsia="zh-CN" w:bidi="ar-EG"/>
              </w:rPr>
              <w:t xml:space="preserve"> فرنكاً</w:t>
            </w:r>
            <w:r>
              <w:rPr>
                <w:rFonts w:ascii="Arabic Typesetting" w:eastAsia="SimSun" w:hAnsi="Arabic Typesetting" w:cs="Arabic Typesetting"/>
                <w:color w:val="000000"/>
                <w:sz w:val="28"/>
                <w:szCs w:val="28"/>
                <w:lang w:eastAsia="zh-CN" w:bidi="ar-EG"/>
              </w:rPr>
              <w:t> </w:t>
            </w:r>
            <w:r w:rsidRPr="00D52D83">
              <w:rPr>
                <w:rFonts w:ascii="Arabic Typesetting" w:eastAsia="SimSun" w:hAnsi="Arabic Typesetting" w:cs="Arabic Typesetting"/>
                <w:color w:val="000000"/>
                <w:sz w:val="28"/>
                <w:szCs w:val="28"/>
                <w:rtl/>
                <w:lang w:eastAsia="zh-CN" w:bidi="ar-EG"/>
              </w:rPr>
              <w:t xml:space="preserve">سويسرياً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w:t>
            </w:r>
            <w:r>
              <w:rPr>
                <w:rFonts w:ascii="Arabic Typesetting" w:eastAsia="SimSun" w:hAnsi="Arabic Typesetting" w:cs="Arabic Typesetting"/>
                <w:color w:val="000000"/>
                <w:sz w:val="28"/>
                <w:szCs w:val="28"/>
                <w:rtl/>
                <w:lang w:eastAsia="zh-CN" w:bidi="ar-EG"/>
              </w:rPr>
              <w:t>.</w:t>
            </w:r>
          </w:p>
        </w:tc>
      </w:tr>
      <w:tr w:rsidR="00B54D74" w:rsidRPr="00D52D83" w14:paraId="53D18B3E" w14:textId="77777777" w:rsidTr="00EF3FA1">
        <w:trPr>
          <w:cantSplit/>
          <w:trHeight w:val="720"/>
        </w:trPr>
        <w:tc>
          <w:tcPr>
            <w:tcW w:w="818" w:type="pct"/>
            <w:shd w:val="clear" w:color="auto" w:fill="auto"/>
            <w:hideMark/>
          </w:tcPr>
          <w:p w14:paraId="27AE736A"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lastRenderedPageBreak/>
              <w:t>تأمين الموظفين ضد حوادث العمل</w:t>
            </w:r>
          </w:p>
        </w:tc>
        <w:tc>
          <w:tcPr>
            <w:tcW w:w="615" w:type="pct"/>
            <w:shd w:val="clear" w:color="auto" w:fill="auto"/>
            <w:noWrap/>
            <w:hideMark/>
          </w:tcPr>
          <w:p w14:paraId="6A8E6B71" w14:textId="59940DC8" w:rsidR="00B54D74" w:rsidRPr="00D52D83" w:rsidRDefault="002E5A89" w:rsidP="0031289D">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000 200</w:t>
            </w:r>
          </w:p>
        </w:tc>
        <w:tc>
          <w:tcPr>
            <w:tcW w:w="615" w:type="pct"/>
            <w:shd w:val="clear" w:color="auto" w:fill="auto"/>
            <w:noWrap/>
            <w:hideMark/>
          </w:tcPr>
          <w:p w14:paraId="74BCC842" w14:textId="31B74166" w:rsidR="00B54D74" w:rsidRPr="00D52D83" w:rsidRDefault="002E5A89" w:rsidP="0031289D">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(000 55)</w:t>
            </w:r>
          </w:p>
        </w:tc>
        <w:tc>
          <w:tcPr>
            <w:tcW w:w="707" w:type="pct"/>
            <w:shd w:val="clear" w:color="000000" w:fill="D9D9D9"/>
            <w:hideMark/>
          </w:tcPr>
          <w:p w14:paraId="095B6FA3"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hideMark/>
          </w:tcPr>
          <w:p w14:paraId="13D663A9"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22B9FAA7"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xml:space="preserve">تُعزى زيادة التكاليف في </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2016 مقارنة ب</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 xml:space="preserve">2015 إلى تغيير شركة التأمين في </w:t>
            </w:r>
            <w:r>
              <w:rPr>
                <w:rFonts w:ascii="Arabic Typesetting" w:eastAsia="SimSun" w:hAnsi="Arabic Typesetting" w:cs="Arabic Typesetting"/>
                <w:color w:val="000000"/>
                <w:sz w:val="28"/>
                <w:szCs w:val="28"/>
                <w:rtl/>
                <w:lang w:eastAsia="zh-CN" w:bidi="ar-EG"/>
              </w:rPr>
              <w:t xml:space="preserve">عام 2016 </w:t>
            </w:r>
            <w:r>
              <w:rPr>
                <w:rFonts w:ascii="Arabic Typesetting" w:eastAsia="SimSun" w:hAnsi="Arabic Typesetting" w:cs="Arabic Typesetting" w:hint="cs"/>
                <w:color w:val="000000"/>
                <w:sz w:val="28"/>
                <w:szCs w:val="28"/>
                <w:rtl/>
                <w:lang w:eastAsia="zh-CN" w:bidi="ar-EG"/>
              </w:rPr>
              <w:t xml:space="preserve">وإدخال </w:t>
            </w:r>
            <w:r w:rsidRPr="00D52D83">
              <w:rPr>
                <w:rFonts w:ascii="Arabic Typesetting" w:eastAsia="SimSun" w:hAnsi="Arabic Typesetting" w:cs="Arabic Typesetting"/>
                <w:color w:val="000000"/>
                <w:sz w:val="28"/>
                <w:szCs w:val="28"/>
                <w:rtl/>
                <w:lang w:eastAsia="zh-CN" w:bidi="ar-EG"/>
              </w:rPr>
              <w:t>تحسينات في نوعية الخدمات ونطاقها مقارنة ب</w:t>
            </w:r>
            <w:r>
              <w:rPr>
                <w:rFonts w:ascii="Arabic Typesetting" w:eastAsia="SimSun" w:hAnsi="Arabic Typesetting" w:cs="Arabic Typesetting"/>
                <w:color w:val="000000"/>
                <w:sz w:val="28"/>
                <w:szCs w:val="28"/>
                <w:rtl/>
                <w:lang w:eastAsia="zh-CN" w:bidi="ar-EG"/>
              </w:rPr>
              <w:t>عام </w:t>
            </w:r>
            <w:r w:rsidRPr="00D52D83">
              <w:rPr>
                <w:rFonts w:ascii="Arabic Typesetting" w:eastAsia="SimSun" w:hAnsi="Arabic Typesetting" w:cs="Arabic Typesetting"/>
                <w:color w:val="000000"/>
                <w:sz w:val="28"/>
                <w:szCs w:val="28"/>
                <w:rtl/>
                <w:lang w:eastAsia="zh-CN" w:bidi="ar-EG"/>
              </w:rPr>
              <w:t>2015</w:t>
            </w:r>
            <w:r>
              <w:rPr>
                <w:rFonts w:ascii="Arabic Typesetting" w:eastAsia="SimSun" w:hAnsi="Arabic Typesetting" w:cs="Arabic Typesetting"/>
                <w:color w:val="000000"/>
                <w:sz w:val="28"/>
                <w:szCs w:val="28"/>
                <w:rtl/>
                <w:lang w:eastAsia="zh-CN" w:bidi="ar-EG"/>
              </w:rPr>
              <w:t>.</w:t>
            </w:r>
          </w:p>
        </w:tc>
      </w:tr>
      <w:tr w:rsidR="00B54D74" w:rsidRPr="00D52D83" w14:paraId="5F23FC5D" w14:textId="77777777" w:rsidTr="00EF3FA1">
        <w:trPr>
          <w:cantSplit/>
          <w:trHeight w:val="1140"/>
        </w:trPr>
        <w:tc>
          <w:tcPr>
            <w:tcW w:w="818" w:type="pct"/>
            <w:shd w:val="clear" w:color="auto" w:fill="auto"/>
            <w:hideMark/>
          </w:tcPr>
          <w:p w14:paraId="28D7BAAB"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شراء السلع والخدمات</w:t>
            </w:r>
          </w:p>
        </w:tc>
        <w:tc>
          <w:tcPr>
            <w:tcW w:w="615" w:type="pct"/>
            <w:shd w:val="clear" w:color="auto" w:fill="auto"/>
            <w:noWrap/>
            <w:hideMark/>
          </w:tcPr>
          <w:p w14:paraId="7720F03C" w14:textId="6F3302F8" w:rsidR="00B54D74" w:rsidRPr="00D52D83" w:rsidRDefault="002E5A89" w:rsidP="002E5A89">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361 826 3</w:t>
            </w:r>
          </w:p>
        </w:tc>
        <w:tc>
          <w:tcPr>
            <w:tcW w:w="615" w:type="pct"/>
            <w:shd w:val="clear" w:color="auto" w:fill="auto"/>
            <w:noWrap/>
            <w:hideMark/>
          </w:tcPr>
          <w:p w14:paraId="45AD1DE4" w14:textId="3299696E" w:rsidR="00B54D74" w:rsidRPr="00D52D83" w:rsidRDefault="002E5A89" w:rsidP="002E5A89">
            <w:pPr>
              <w:bidi/>
              <w:spacing w:line="280" w:lineRule="exact"/>
              <w:rPr>
                <w:rFonts w:ascii="Arabic Typesetting" w:eastAsia="Arabic Typesetting" w:hAnsi="Arabic Typesetting" w:cs="Arabic Typesetting"/>
                <w:color w:val="000000"/>
                <w:sz w:val="28"/>
                <w:szCs w:val="28"/>
                <w:lang w:eastAsia="zh-CN" w:bidi="ar-EG"/>
              </w:rPr>
            </w:pPr>
            <w:r>
              <w:rPr>
                <w:rFonts w:ascii="Arabic Typesetting" w:eastAsia="SimSun" w:hAnsi="Arabic Typesetting" w:cs="Arabic Typesetting" w:hint="cs"/>
                <w:color w:val="000000"/>
                <w:sz w:val="28"/>
                <w:szCs w:val="28"/>
                <w:rtl/>
                <w:lang w:eastAsia="zh-CN" w:bidi="ar-EG"/>
              </w:rPr>
              <w:t>919 801 1</w:t>
            </w:r>
          </w:p>
        </w:tc>
        <w:tc>
          <w:tcPr>
            <w:tcW w:w="707" w:type="pct"/>
            <w:shd w:val="clear" w:color="000000" w:fill="D9D9D9"/>
            <w:noWrap/>
            <w:hideMark/>
          </w:tcPr>
          <w:p w14:paraId="1D60837B"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707" w:type="pct"/>
            <w:shd w:val="clear" w:color="000000" w:fill="D9D9D9"/>
            <w:noWrap/>
            <w:hideMark/>
          </w:tcPr>
          <w:p w14:paraId="1AA0BC62" w14:textId="77777777" w:rsidR="00B54D74" w:rsidRPr="00D52D83" w:rsidRDefault="00B54D74" w:rsidP="0031289D">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 </w:t>
            </w:r>
          </w:p>
        </w:tc>
        <w:tc>
          <w:tcPr>
            <w:tcW w:w="1537" w:type="pct"/>
            <w:shd w:val="clear" w:color="auto" w:fill="auto"/>
            <w:hideMark/>
          </w:tcPr>
          <w:p w14:paraId="2367C602" w14:textId="5D80D726" w:rsidR="00B54D74" w:rsidRPr="00D52D83" w:rsidRDefault="00B54D74" w:rsidP="002E5A89">
            <w:pPr>
              <w:bidi/>
              <w:spacing w:line="280" w:lineRule="exact"/>
              <w:rPr>
                <w:rFonts w:ascii="Arabic Typesetting" w:eastAsia="Arabic Typesetting" w:hAnsi="Arabic Typesetting" w:cs="Arabic Typesetting"/>
                <w:color w:val="000000"/>
                <w:sz w:val="28"/>
                <w:szCs w:val="28"/>
                <w:lang w:eastAsia="zh-CN" w:bidi="ar-EG"/>
              </w:rPr>
            </w:pPr>
            <w:r w:rsidRPr="00D52D83">
              <w:rPr>
                <w:rFonts w:ascii="Arabic Typesetting" w:eastAsia="SimSun" w:hAnsi="Arabic Typesetting" w:cs="Arabic Typesetting"/>
                <w:color w:val="000000"/>
                <w:sz w:val="28"/>
                <w:szCs w:val="28"/>
                <w:rtl/>
                <w:lang w:eastAsia="zh-CN" w:bidi="ar-EG"/>
              </w:rPr>
              <w:t>مجموع الوفورات يساوي الوفورات التي حققها فريق الأمم المتحدة المعني بأنشطة المشتريات المشتركة وقدرها</w:t>
            </w:r>
            <w:r w:rsidR="002E5A89">
              <w:rPr>
                <w:rFonts w:ascii="Arabic Typesetting" w:eastAsia="SimSun" w:hAnsi="Arabic Typesetting" w:cs="Arabic Typesetting" w:hint="cs"/>
                <w:color w:val="000000"/>
                <w:sz w:val="28"/>
                <w:szCs w:val="28"/>
                <w:rtl/>
                <w:lang w:eastAsia="zh-CN" w:bidi="ar-EG"/>
              </w:rPr>
              <w:t xml:space="preserve"> 901 760</w:t>
            </w:r>
            <w:r w:rsidRPr="00D52D83">
              <w:rPr>
                <w:rFonts w:ascii="Arabic Typesetting" w:eastAsia="SimSun" w:hAnsi="Arabic Typesetting" w:cs="Arabic Typesetting"/>
                <w:color w:val="000000"/>
                <w:sz w:val="28"/>
                <w:szCs w:val="28"/>
                <w:rtl/>
                <w:lang w:eastAsia="zh-CN" w:bidi="ar-EG"/>
              </w:rPr>
              <w:t xml:space="preserve"> فرنك سويسري زائد خصومات في العقود تفاوض عليها وقدرها</w:t>
            </w:r>
            <w:r w:rsidR="002E5A89">
              <w:rPr>
                <w:rFonts w:ascii="Arabic Typesetting" w:eastAsia="SimSun" w:hAnsi="Arabic Typesetting" w:cs="Arabic Typesetting" w:hint="cs"/>
                <w:color w:val="000000"/>
                <w:sz w:val="28"/>
                <w:szCs w:val="28"/>
                <w:rtl/>
                <w:lang w:eastAsia="zh-CN" w:bidi="ar-EG"/>
              </w:rPr>
              <w:t xml:space="preserve"> 892 106</w:t>
            </w:r>
            <w:r w:rsidRPr="00D52D83">
              <w:rPr>
                <w:rFonts w:ascii="Arabic Typesetting" w:eastAsia="SimSun" w:hAnsi="Arabic Typesetting" w:cs="Arabic Typesetting"/>
                <w:color w:val="000000"/>
                <w:sz w:val="28"/>
                <w:szCs w:val="28"/>
                <w:rtl/>
                <w:lang w:eastAsia="zh-CN" w:bidi="ar-EG"/>
              </w:rPr>
              <w:t xml:space="preserve"> فرنكاً سويسرياً</w:t>
            </w:r>
            <w:r>
              <w:rPr>
                <w:rFonts w:ascii="Arabic Typesetting" w:eastAsia="SimSun" w:hAnsi="Arabic Typesetting" w:cs="Arabic Typesetting"/>
                <w:color w:val="000000"/>
                <w:sz w:val="28"/>
                <w:szCs w:val="28"/>
                <w:rtl/>
                <w:lang w:eastAsia="zh-CN" w:bidi="ar-EG"/>
              </w:rPr>
              <w:t>.</w:t>
            </w:r>
            <w:r w:rsidRPr="00D52D83">
              <w:rPr>
                <w:rFonts w:ascii="Arabic Typesetting" w:hAnsi="Arabic Typesetting" w:cs="Arabic Typesetting"/>
                <w:color w:val="000000"/>
                <w:sz w:val="28"/>
                <w:szCs w:val="28"/>
                <w:lang w:eastAsia="zh-CN" w:bidi="ar-EG"/>
              </w:rPr>
              <w:br/>
            </w:r>
            <w:r w:rsidRPr="00D52D83">
              <w:rPr>
                <w:rFonts w:ascii="Arabic Typesetting" w:eastAsia="SimSun" w:hAnsi="Arabic Typesetting" w:cs="Arabic Typesetting"/>
                <w:color w:val="000000"/>
                <w:sz w:val="28"/>
                <w:szCs w:val="28"/>
                <w:rtl/>
                <w:lang w:eastAsia="zh-CN" w:bidi="ar-EG"/>
              </w:rPr>
              <w:t>وتُحسب الوفورات السنوية بضرب الخصم المتفاوض عليه مقارنة بالسعر الأصلي/قائمة الأسعار في 12 شهراً</w:t>
            </w:r>
            <w:r>
              <w:rPr>
                <w:rFonts w:ascii="Arabic Typesetting" w:eastAsia="SimSun" w:hAnsi="Arabic Typesetting" w:cs="Arabic Typesetting"/>
                <w:color w:val="000000"/>
                <w:sz w:val="28"/>
                <w:szCs w:val="28"/>
                <w:rtl/>
                <w:lang w:eastAsia="zh-CN" w:bidi="ar-EG"/>
              </w:rPr>
              <w:t>.</w:t>
            </w:r>
          </w:p>
        </w:tc>
      </w:tr>
    </w:tbl>
    <w:p w14:paraId="02955A20" w14:textId="77777777" w:rsidR="00B54D74" w:rsidRPr="00D52D83" w:rsidRDefault="00B54D74" w:rsidP="0031289D">
      <w:pPr>
        <w:bidi/>
        <w:rPr>
          <w:rFonts w:ascii="Arabic Typesetting" w:eastAsia="SimSun" w:hAnsi="Arabic Typesetting" w:cs="Arabic Typesetting"/>
          <w:sz w:val="28"/>
          <w:szCs w:val="28"/>
          <w:lang w:eastAsia="zh-CN" w:bidi="ar-EG"/>
        </w:rPr>
      </w:pPr>
    </w:p>
    <w:tbl>
      <w:tblPr>
        <w:bidiVisual/>
        <w:tblW w:w="9325" w:type="dxa"/>
        <w:tblInd w:w="93" w:type="dxa"/>
        <w:tblLook w:val="04A0" w:firstRow="1" w:lastRow="0" w:firstColumn="1" w:lastColumn="0" w:noHBand="0" w:noVBand="1"/>
      </w:tblPr>
      <w:tblGrid>
        <w:gridCol w:w="9325"/>
      </w:tblGrid>
      <w:tr w:rsidR="00B54D74" w:rsidRPr="00D52D83" w14:paraId="782CB8F0" w14:textId="77777777" w:rsidTr="00B54D74">
        <w:trPr>
          <w:trHeight w:val="255"/>
        </w:trPr>
        <w:tc>
          <w:tcPr>
            <w:tcW w:w="9325" w:type="dxa"/>
            <w:tcBorders>
              <w:top w:val="nil"/>
              <w:left w:val="nil"/>
              <w:bottom w:val="nil"/>
              <w:right w:val="nil"/>
            </w:tcBorders>
            <w:shd w:val="clear" w:color="auto" w:fill="auto"/>
            <w:noWrap/>
            <w:vAlign w:val="bottom"/>
            <w:hideMark/>
          </w:tcPr>
          <w:p w14:paraId="36AF250A" w14:textId="77777777" w:rsidR="00B54D74" w:rsidRPr="00D52D83" w:rsidRDefault="00B54D74" w:rsidP="0031289D">
            <w:pPr>
              <w:bidi/>
              <w:rPr>
                <w:rFonts w:ascii="Arabic Typesetting" w:eastAsia="Arabic Typesetting" w:hAnsi="Arabic Typesetting" w:cs="Arabic Typesetting"/>
                <w:i/>
                <w:sz w:val="28"/>
                <w:szCs w:val="28"/>
                <w:lang w:eastAsia="zh-CN" w:bidi="ar-EG"/>
              </w:rPr>
            </w:pPr>
            <w:r w:rsidRPr="00D52D83">
              <w:rPr>
                <w:rFonts w:ascii="Arabic Typesetting" w:eastAsia="SimSun" w:hAnsi="Arabic Typesetting" w:cs="Arabic Typesetting"/>
                <w:i/>
                <w:iCs/>
                <w:sz w:val="28"/>
                <w:szCs w:val="28"/>
                <w:rtl/>
                <w:lang w:eastAsia="zh-CN" w:bidi="ar-EG"/>
              </w:rPr>
              <w:t xml:space="preserve">* يمكن الاطلاع على المعلومات الخاصة بالفعالية من حيث التكلفة في </w:t>
            </w:r>
            <w:r>
              <w:rPr>
                <w:rFonts w:ascii="Arabic Typesetting" w:eastAsia="SimSun" w:hAnsi="Arabic Typesetting" w:cs="Arabic Typesetting"/>
                <w:i/>
                <w:iCs/>
                <w:sz w:val="28"/>
                <w:szCs w:val="28"/>
                <w:rtl/>
                <w:lang w:eastAsia="zh-CN" w:bidi="ar-EG"/>
              </w:rPr>
              <w:t>عام </w:t>
            </w:r>
            <w:r w:rsidRPr="00D52D83">
              <w:rPr>
                <w:rFonts w:ascii="Arabic Typesetting" w:eastAsia="SimSun" w:hAnsi="Arabic Typesetting" w:cs="Arabic Typesetting"/>
                <w:i/>
                <w:iCs/>
                <w:sz w:val="28"/>
                <w:szCs w:val="28"/>
                <w:rtl/>
                <w:lang w:eastAsia="zh-CN" w:bidi="ar-EG"/>
              </w:rPr>
              <w:t>2015 في القسم "خامساً" من تقرير أداء البرنامج 2014/15</w:t>
            </w:r>
            <w:r>
              <w:rPr>
                <w:rFonts w:ascii="Arabic Typesetting" w:eastAsia="SimSun" w:hAnsi="Arabic Typesetting" w:cs="Arabic Typesetting"/>
                <w:i/>
                <w:iCs/>
                <w:sz w:val="28"/>
                <w:szCs w:val="28"/>
                <w:rtl/>
                <w:lang w:eastAsia="zh-CN" w:bidi="ar-EG"/>
              </w:rPr>
              <w:t>.</w:t>
            </w:r>
          </w:p>
        </w:tc>
      </w:tr>
      <w:tr w:rsidR="00B54D74" w:rsidRPr="00D52D83" w14:paraId="66D788D5" w14:textId="77777777" w:rsidTr="00B54D74">
        <w:trPr>
          <w:trHeight w:val="255"/>
        </w:trPr>
        <w:tc>
          <w:tcPr>
            <w:tcW w:w="9325" w:type="dxa"/>
            <w:tcBorders>
              <w:top w:val="nil"/>
              <w:left w:val="nil"/>
              <w:bottom w:val="nil"/>
              <w:right w:val="nil"/>
            </w:tcBorders>
            <w:shd w:val="clear" w:color="auto" w:fill="auto"/>
            <w:noWrap/>
            <w:vAlign w:val="bottom"/>
            <w:hideMark/>
          </w:tcPr>
          <w:p w14:paraId="66BFCAE4" w14:textId="77777777" w:rsidR="00B54D74" w:rsidRPr="00D52D83" w:rsidRDefault="00B54D74" w:rsidP="0031289D">
            <w:pPr>
              <w:bidi/>
              <w:rPr>
                <w:rFonts w:ascii="Arabic Typesetting" w:eastAsia="Arabic Typesetting" w:hAnsi="Arabic Typesetting" w:cs="Arabic Typesetting"/>
                <w:i/>
                <w:sz w:val="28"/>
                <w:szCs w:val="28"/>
                <w:lang w:eastAsia="zh-CN" w:bidi="ar-EG"/>
              </w:rPr>
            </w:pPr>
            <w:r w:rsidRPr="00D52D83">
              <w:rPr>
                <w:rFonts w:ascii="Arabic Typesetting" w:eastAsia="SimSun" w:hAnsi="Arabic Typesetting" w:cs="Arabic Typesetting"/>
                <w:i/>
                <w:iCs/>
                <w:sz w:val="28"/>
                <w:szCs w:val="28"/>
                <w:rtl/>
                <w:lang w:eastAsia="zh-CN" w:bidi="ar-EG"/>
              </w:rPr>
              <w:t xml:space="preserve">** الوفورات السنوية في </w:t>
            </w:r>
            <w:r>
              <w:rPr>
                <w:rFonts w:ascii="Arabic Typesetting" w:eastAsia="SimSun" w:hAnsi="Arabic Typesetting" w:cs="Arabic Typesetting"/>
                <w:i/>
                <w:iCs/>
                <w:sz w:val="28"/>
                <w:szCs w:val="28"/>
                <w:rtl/>
                <w:lang w:eastAsia="zh-CN" w:bidi="ar-EG"/>
              </w:rPr>
              <w:t>عام </w:t>
            </w:r>
            <w:r w:rsidRPr="00D52D83">
              <w:rPr>
                <w:rFonts w:ascii="Arabic Typesetting" w:eastAsia="SimSun" w:hAnsi="Arabic Typesetting" w:cs="Arabic Typesetting"/>
                <w:i/>
                <w:iCs/>
                <w:sz w:val="28"/>
                <w:szCs w:val="28"/>
                <w:rtl/>
                <w:lang w:eastAsia="zh-CN" w:bidi="ar-EG"/>
              </w:rPr>
              <w:t>2016 مقارنة ب</w:t>
            </w:r>
            <w:r>
              <w:rPr>
                <w:rFonts w:ascii="Arabic Typesetting" w:eastAsia="SimSun" w:hAnsi="Arabic Typesetting" w:cs="Arabic Typesetting"/>
                <w:i/>
                <w:iCs/>
                <w:sz w:val="28"/>
                <w:szCs w:val="28"/>
                <w:rtl/>
                <w:lang w:eastAsia="zh-CN" w:bidi="ar-EG"/>
              </w:rPr>
              <w:t>عام </w:t>
            </w:r>
            <w:r w:rsidRPr="00D52D83">
              <w:rPr>
                <w:rFonts w:ascii="Arabic Typesetting" w:eastAsia="SimSun" w:hAnsi="Arabic Typesetting" w:cs="Arabic Typesetting"/>
                <w:i/>
                <w:iCs/>
                <w:sz w:val="28"/>
                <w:szCs w:val="28"/>
                <w:rtl/>
                <w:lang w:eastAsia="zh-CN" w:bidi="ar-EG"/>
              </w:rPr>
              <w:t>2015</w:t>
            </w:r>
            <w:r>
              <w:rPr>
                <w:rFonts w:ascii="Arabic Typesetting" w:eastAsia="SimSun" w:hAnsi="Arabic Typesetting" w:cs="Arabic Typesetting"/>
                <w:i/>
                <w:iCs/>
                <w:sz w:val="28"/>
                <w:szCs w:val="28"/>
                <w:rtl/>
                <w:lang w:eastAsia="zh-CN" w:bidi="ar-EG"/>
              </w:rPr>
              <w:t>.</w:t>
            </w:r>
          </w:p>
        </w:tc>
      </w:tr>
      <w:tr w:rsidR="00B54D74" w:rsidRPr="00D52D83" w14:paraId="79C20646" w14:textId="77777777" w:rsidTr="00B54D74">
        <w:trPr>
          <w:trHeight w:val="255"/>
        </w:trPr>
        <w:tc>
          <w:tcPr>
            <w:tcW w:w="9325" w:type="dxa"/>
            <w:tcBorders>
              <w:top w:val="nil"/>
              <w:left w:val="nil"/>
              <w:bottom w:val="nil"/>
              <w:right w:val="nil"/>
            </w:tcBorders>
            <w:shd w:val="clear" w:color="auto" w:fill="auto"/>
            <w:noWrap/>
            <w:vAlign w:val="bottom"/>
            <w:hideMark/>
          </w:tcPr>
          <w:p w14:paraId="75A944D1" w14:textId="77777777" w:rsidR="00B54D74" w:rsidRPr="00D52D83" w:rsidRDefault="00B54D74" w:rsidP="0031289D">
            <w:pPr>
              <w:bidi/>
              <w:rPr>
                <w:rFonts w:ascii="Arabic Typesetting" w:eastAsia="Arabic Typesetting" w:hAnsi="Arabic Typesetting" w:cs="Arabic Typesetting"/>
                <w:i/>
                <w:sz w:val="28"/>
                <w:szCs w:val="28"/>
                <w:lang w:eastAsia="zh-CN" w:bidi="ar-EG"/>
              </w:rPr>
            </w:pPr>
            <w:r w:rsidRPr="00D52D83">
              <w:rPr>
                <w:rFonts w:ascii="Arabic Typesetting" w:eastAsia="SimSun" w:hAnsi="Arabic Typesetting" w:cs="Arabic Typesetting"/>
                <w:i/>
                <w:iCs/>
                <w:sz w:val="28"/>
                <w:szCs w:val="28"/>
                <w:rtl/>
                <w:lang w:eastAsia="zh-CN" w:bidi="ar-EG"/>
              </w:rPr>
              <w:t xml:space="preserve">*** </w:t>
            </w:r>
            <w:r>
              <w:rPr>
                <w:rFonts w:ascii="Arabic Typesetting" w:eastAsia="SimSun" w:hAnsi="Arabic Typesetting" w:cs="Arabic Typesetting" w:hint="cs"/>
                <w:i/>
                <w:iCs/>
                <w:sz w:val="28"/>
                <w:szCs w:val="28"/>
                <w:rtl/>
                <w:lang w:eastAsia="zh-CN" w:bidi="ar-EG"/>
              </w:rPr>
              <w:t>انخفاض</w:t>
            </w:r>
            <w:r w:rsidRPr="00D52D83">
              <w:rPr>
                <w:rFonts w:ascii="Arabic Typesetting" w:eastAsia="SimSun" w:hAnsi="Arabic Typesetting" w:cs="Arabic Typesetting"/>
                <w:i/>
                <w:iCs/>
                <w:sz w:val="28"/>
                <w:szCs w:val="28"/>
                <w:rtl/>
                <w:lang w:eastAsia="zh-CN" w:bidi="ar-EG"/>
              </w:rPr>
              <w:t xml:space="preserve"> تكلفة الوحدة في </w:t>
            </w:r>
            <w:r>
              <w:rPr>
                <w:rFonts w:ascii="Arabic Typesetting" w:eastAsia="SimSun" w:hAnsi="Arabic Typesetting" w:cs="Arabic Typesetting"/>
                <w:i/>
                <w:iCs/>
                <w:sz w:val="28"/>
                <w:szCs w:val="28"/>
                <w:rtl/>
                <w:lang w:eastAsia="zh-CN" w:bidi="ar-EG"/>
              </w:rPr>
              <w:t>عام </w:t>
            </w:r>
            <w:r w:rsidRPr="00D52D83">
              <w:rPr>
                <w:rFonts w:ascii="Arabic Typesetting" w:eastAsia="SimSun" w:hAnsi="Arabic Typesetting" w:cs="Arabic Typesetting"/>
                <w:i/>
                <w:iCs/>
                <w:sz w:val="28"/>
                <w:szCs w:val="28"/>
                <w:rtl/>
                <w:lang w:eastAsia="zh-CN" w:bidi="ar-EG"/>
              </w:rPr>
              <w:t>2016 مقارنة ب</w:t>
            </w:r>
            <w:r>
              <w:rPr>
                <w:rFonts w:ascii="Arabic Typesetting" w:eastAsia="SimSun" w:hAnsi="Arabic Typesetting" w:cs="Arabic Typesetting"/>
                <w:i/>
                <w:iCs/>
                <w:sz w:val="28"/>
                <w:szCs w:val="28"/>
                <w:rtl/>
                <w:lang w:eastAsia="zh-CN" w:bidi="ar-EG"/>
              </w:rPr>
              <w:t>عام </w:t>
            </w:r>
            <w:r w:rsidRPr="00D52D83">
              <w:rPr>
                <w:rFonts w:ascii="Arabic Typesetting" w:eastAsia="SimSun" w:hAnsi="Arabic Typesetting" w:cs="Arabic Typesetting"/>
                <w:i/>
                <w:iCs/>
                <w:sz w:val="28"/>
                <w:szCs w:val="28"/>
                <w:rtl/>
                <w:lang w:eastAsia="zh-CN" w:bidi="ar-EG"/>
              </w:rPr>
              <w:t>2015</w:t>
            </w:r>
            <w:r>
              <w:rPr>
                <w:rFonts w:ascii="Arabic Typesetting" w:eastAsia="SimSun" w:hAnsi="Arabic Typesetting" w:cs="Arabic Typesetting"/>
                <w:i/>
                <w:iCs/>
                <w:sz w:val="28"/>
                <w:szCs w:val="28"/>
                <w:rtl/>
                <w:lang w:eastAsia="zh-CN" w:bidi="ar-EG"/>
              </w:rPr>
              <w:t>.</w:t>
            </w:r>
          </w:p>
        </w:tc>
      </w:tr>
      <w:tr w:rsidR="00B54D74" w:rsidRPr="00D52D83" w14:paraId="41E06D83" w14:textId="77777777" w:rsidTr="00B54D74">
        <w:trPr>
          <w:trHeight w:val="255"/>
        </w:trPr>
        <w:tc>
          <w:tcPr>
            <w:tcW w:w="9325" w:type="dxa"/>
            <w:tcBorders>
              <w:top w:val="nil"/>
              <w:left w:val="nil"/>
              <w:bottom w:val="nil"/>
              <w:right w:val="nil"/>
            </w:tcBorders>
            <w:shd w:val="clear" w:color="auto" w:fill="auto"/>
            <w:noWrap/>
            <w:vAlign w:val="bottom"/>
            <w:hideMark/>
          </w:tcPr>
          <w:p w14:paraId="2377B17A" w14:textId="77777777" w:rsidR="00B54D74" w:rsidRPr="00D52D83" w:rsidRDefault="00B54D74" w:rsidP="0031289D">
            <w:pPr>
              <w:bidi/>
              <w:rPr>
                <w:rFonts w:ascii="Arabic Typesetting" w:eastAsia="Arabic Typesetting" w:hAnsi="Arabic Typesetting" w:cs="Arabic Typesetting"/>
                <w:i/>
                <w:sz w:val="28"/>
                <w:szCs w:val="28"/>
                <w:lang w:eastAsia="zh-CN" w:bidi="ar-EG"/>
              </w:rPr>
            </w:pPr>
            <w:r w:rsidRPr="00D52D83">
              <w:rPr>
                <w:rFonts w:ascii="Arabic Typesetting" w:eastAsia="SimSun" w:hAnsi="Arabic Typesetting" w:cs="Arabic Typesetting"/>
                <w:i/>
                <w:iCs/>
                <w:sz w:val="28"/>
                <w:szCs w:val="28"/>
                <w:rtl/>
                <w:lang w:eastAsia="zh-CN" w:bidi="ar-EG"/>
              </w:rPr>
              <w:t xml:space="preserve">**** الوفورات السنوية المقدَّرة (12 شهراً) على أساس الوفورات الشهرية المسجَّلة في الفصل الرابع من </w:t>
            </w:r>
            <w:r>
              <w:rPr>
                <w:rFonts w:ascii="Arabic Typesetting" w:eastAsia="SimSun" w:hAnsi="Arabic Typesetting" w:cs="Arabic Typesetting"/>
                <w:i/>
                <w:iCs/>
                <w:sz w:val="28"/>
                <w:szCs w:val="28"/>
                <w:rtl/>
                <w:lang w:eastAsia="zh-CN" w:bidi="ar-EG"/>
              </w:rPr>
              <w:t>عام </w:t>
            </w:r>
            <w:r w:rsidRPr="00D52D83">
              <w:rPr>
                <w:rFonts w:ascii="Arabic Typesetting" w:eastAsia="SimSun" w:hAnsi="Arabic Typesetting" w:cs="Arabic Typesetting"/>
                <w:i/>
                <w:iCs/>
                <w:sz w:val="28"/>
                <w:szCs w:val="28"/>
                <w:rtl/>
                <w:lang w:eastAsia="zh-CN" w:bidi="ar-EG"/>
              </w:rPr>
              <w:t>2015</w:t>
            </w:r>
            <w:r>
              <w:rPr>
                <w:rFonts w:ascii="Arabic Typesetting" w:eastAsia="SimSun" w:hAnsi="Arabic Typesetting" w:cs="Arabic Typesetting"/>
                <w:i/>
                <w:iCs/>
                <w:sz w:val="28"/>
                <w:szCs w:val="28"/>
                <w:rtl/>
                <w:lang w:eastAsia="zh-CN" w:bidi="ar-EG"/>
              </w:rPr>
              <w:t>.</w:t>
            </w:r>
          </w:p>
        </w:tc>
      </w:tr>
    </w:tbl>
    <w:p w14:paraId="2A82AB12" w14:textId="77777777" w:rsidR="00EF3FA1" w:rsidRDefault="00EF3FA1" w:rsidP="0031289D">
      <w:pPr>
        <w:pStyle w:val="NumberedParaAR"/>
        <w:numPr>
          <w:ilvl w:val="0"/>
          <w:numId w:val="0"/>
        </w:numPr>
        <w:spacing w:line="240" w:lineRule="auto"/>
        <w:rPr>
          <w:rtl/>
          <w:lang w:bidi="ar-EG"/>
        </w:rPr>
        <w:sectPr w:rsidR="00EF3FA1" w:rsidSect="00EF3FA1">
          <w:pgSz w:w="16840" w:h="11907" w:orient="landscape" w:code="9"/>
          <w:pgMar w:top="1134" w:right="567" w:bottom="1418" w:left="1418" w:header="510" w:footer="1021" w:gutter="0"/>
          <w:cols w:space="720"/>
          <w:titlePg/>
          <w:docGrid w:linePitch="299"/>
        </w:sectPr>
      </w:pPr>
    </w:p>
    <w:p w14:paraId="109E7800" w14:textId="6725A6F3" w:rsidR="00B54D74" w:rsidRDefault="00B54D74" w:rsidP="0031289D">
      <w:pPr>
        <w:pStyle w:val="NumberedParaAR"/>
        <w:numPr>
          <w:ilvl w:val="0"/>
          <w:numId w:val="0"/>
        </w:numPr>
        <w:spacing w:line="240" w:lineRule="auto"/>
        <w:rPr>
          <w:rtl/>
          <w:lang w:bidi="ar-EG"/>
        </w:rPr>
      </w:pPr>
    </w:p>
    <w:p w14:paraId="42CE43B1" w14:textId="1E48B572" w:rsidR="00B54D74" w:rsidRDefault="00B54D74" w:rsidP="0031289D">
      <w:pPr>
        <w:pStyle w:val="Heading2"/>
        <w:spacing w:before="0"/>
        <w:rPr>
          <w:rtl/>
        </w:rPr>
      </w:pPr>
      <w:bookmarkStart w:id="10" w:name="_Toc482782738"/>
      <w:r>
        <w:rPr>
          <w:rFonts w:hint="cs"/>
          <w:rtl/>
        </w:rPr>
        <w:t>رابعاً.</w:t>
      </w:r>
      <w:r>
        <w:rPr>
          <w:rtl/>
        </w:rPr>
        <w:tab/>
        <w:t xml:space="preserve">استعراض التقدم في </w:t>
      </w:r>
      <w:r>
        <w:rPr>
          <w:rFonts w:hint="cs"/>
          <w:rtl/>
        </w:rPr>
        <w:t>2016</w:t>
      </w:r>
      <w:r>
        <w:rPr>
          <w:rtl/>
        </w:rPr>
        <w:t xml:space="preserve"> حسب كل هدف استراتيجي</w:t>
      </w:r>
      <w:bookmarkEnd w:id="10"/>
    </w:p>
    <w:p w14:paraId="7E07B231" w14:textId="77777777" w:rsidR="00B54D74" w:rsidRDefault="00B54D74" w:rsidP="0031289D">
      <w:pPr>
        <w:pStyle w:val="Heading3"/>
        <w:pageBreakBefore w:val="0"/>
        <w:spacing w:after="240"/>
        <w:ind w:left="1134" w:hanging="1134"/>
        <w:jc w:val="center"/>
        <w:rPr>
          <w:rtl/>
        </w:rPr>
      </w:pPr>
      <w:bookmarkStart w:id="11" w:name="_Toc482782739"/>
      <w:r>
        <w:rPr>
          <w:rtl/>
        </w:rPr>
        <w:t>الهدف الاستراتيجي الأول</w:t>
      </w:r>
      <w:bookmarkEnd w:id="11"/>
    </w:p>
    <w:p w14:paraId="084BFA4A" w14:textId="12B61F30" w:rsidR="00B54D74" w:rsidRPr="00B54D74" w:rsidRDefault="00B54D74" w:rsidP="0031289D">
      <w:pPr>
        <w:pStyle w:val="NormalParaAR"/>
        <w:jc w:val="center"/>
        <w:rPr>
          <w:b/>
          <w:bCs/>
          <w:rtl/>
        </w:rPr>
      </w:pPr>
      <w:r w:rsidRPr="00B54D74">
        <w:rPr>
          <w:b/>
          <w:bCs/>
          <w:rtl/>
        </w:rPr>
        <w:t>تطور متوازن لوضع القواعد والمعايير الدولية بشأن الملكية الفكرية</w:t>
      </w:r>
    </w:p>
    <w:p w14:paraId="65CD9F5B" w14:textId="2C14AE54" w:rsidR="00B54D74" w:rsidRPr="00B54D74" w:rsidRDefault="00B54D74" w:rsidP="0031289D">
      <w:pPr>
        <w:pStyle w:val="NormalParaAR"/>
        <w:jc w:val="center"/>
        <w:rPr>
          <w:b/>
          <w:bCs/>
          <w:rtl/>
        </w:rPr>
      </w:pPr>
      <w:r w:rsidRPr="00B54D74">
        <w:rPr>
          <w:b/>
          <w:bCs/>
          <w:rtl/>
        </w:rPr>
        <w:t>لوحة بيانات الأداء في منتصف المدة (</w:t>
      </w:r>
      <w:r>
        <w:rPr>
          <w:rFonts w:hint="cs"/>
          <w:b/>
          <w:bCs/>
          <w:rtl/>
        </w:rPr>
        <w:t>2016</w:t>
      </w:r>
      <w:r w:rsidRPr="00B54D74">
        <w:rPr>
          <w:b/>
          <w:bCs/>
          <w:rtl/>
        </w:rPr>
        <w:t>)</w:t>
      </w:r>
    </w:p>
    <w:p w14:paraId="70B263A1" w14:textId="39060902" w:rsidR="00B54D74" w:rsidRDefault="00B54D74" w:rsidP="0031289D">
      <w:pPr>
        <w:pStyle w:val="NormalParaAR"/>
        <w:rPr>
          <w:rtl/>
        </w:rPr>
      </w:pPr>
      <w:r>
        <w:rPr>
          <w:rtl/>
        </w:rPr>
        <w:t xml:space="preserve">توجز لوحة البيانات </w:t>
      </w:r>
      <w:r>
        <w:rPr>
          <w:rFonts w:hint="cs"/>
          <w:rtl/>
        </w:rPr>
        <w:t xml:space="preserve">التالية </w:t>
      </w:r>
      <w:r>
        <w:rPr>
          <w:rtl/>
        </w:rPr>
        <w:t xml:space="preserve">التقدم المحرز </w:t>
      </w:r>
      <w:r>
        <w:rPr>
          <w:rFonts w:hint="cs"/>
          <w:rtl/>
        </w:rPr>
        <w:t>نحو</w:t>
      </w:r>
      <w:r>
        <w:rPr>
          <w:rtl/>
        </w:rPr>
        <w:t xml:space="preserve"> تحقيق النتائج</w:t>
      </w:r>
      <w:r>
        <w:rPr>
          <w:rFonts w:hint="cs"/>
          <w:rtl/>
        </w:rPr>
        <w:t xml:space="preserve"> المرتقبة</w:t>
      </w:r>
      <w:r>
        <w:rPr>
          <w:rtl/>
        </w:rPr>
        <w:t xml:space="preserve"> في عام </w:t>
      </w:r>
      <w:r>
        <w:rPr>
          <w:rFonts w:hint="cs"/>
          <w:rtl/>
        </w:rPr>
        <w:t>2016</w:t>
      </w:r>
      <w:r>
        <w:rPr>
          <w:rtl/>
        </w:rPr>
        <w:t xml:space="preserve"> قياسا</w:t>
      </w:r>
      <w:r>
        <w:rPr>
          <w:rFonts w:hint="cs"/>
          <w:rtl/>
        </w:rPr>
        <w:t>ً</w:t>
      </w:r>
      <w:r>
        <w:rPr>
          <w:rtl/>
        </w:rPr>
        <w:t xml:space="preserve"> بمؤشرات الأداء </w:t>
      </w:r>
      <w:r>
        <w:rPr>
          <w:rFonts w:hint="cs"/>
          <w:rtl/>
        </w:rPr>
        <w:t>في إطار</w:t>
      </w:r>
      <w:r>
        <w:rPr>
          <w:rtl/>
        </w:rPr>
        <w:t xml:space="preserve"> البرامج التي تس</w:t>
      </w:r>
      <w:r>
        <w:rPr>
          <w:rFonts w:hint="cs"/>
          <w:rtl/>
        </w:rPr>
        <w:t>ا</w:t>
      </w:r>
      <w:r>
        <w:rPr>
          <w:rtl/>
        </w:rPr>
        <w:t>هم في تحقيق هذا الهدف الاستراتيجي</w:t>
      </w:r>
      <w:r>
        <w:rPr>
          <w:rFonts w:hint="cs"/>
          <w:rtl/>
        </w:rPr>
        <w:t>.</w:t>
      </w:r>
    </w:p>
    <w:p w14:paraId="0FBBF72C" w14:textId="2ED0E1F0" w:rsidR="00B54D74" w:rsidRDefault="00D86F42" w:rsidP="0031289D">
      <w:pPr>
        <w:pStyle w:val="NormalParaAR"/>
        <w:spacing w:line="240" w:lineRule="auto"/>
        <w:jc w:val="center"/>
      </w:pPr>
      <w:r>
        <w:rPr>
          <w:noProof/>
        </w:rPr>
        <w:drawing>
          <wp:inline distT="0" distB="0" distL="0" distR="0" wp14:anchorId="709B1498" wp14:editId="1B0E476C">
            <wp:extent cx="3568240" cy="21600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8240" cy="2160000"/>
                    </a:xfrm>
                    <a:prstGeom prst="rect">
                      <a:avLst/>
                    </a:prstGeom>
                    <a:noFill/>
                  </pic:spPr>
                </pic:pic>
              </a:graphicData>
            </a:graphic>
          </wp:inline>
        </w:drawing>
      </w:r>
    </w:p>
    <w:tbl>
      <w:tblPr>
        <w:bidiVisual/>
        <w:tblW w:w="9216" w:type="dxa"/>
        <w:tblInd w:w="108" w:type="dxa"/>
        <w:tblLayout w:type="fixed"/>
        <w:tblCellMar>
          <w:left w:w="115" w:type="dxa"/>
          <w:right w:w="115" w:type="dxa"/>
        </w:tblCellMar>
        <w:tblLook w:val="0000" w:firstRow="0" w:lastRow="0" w:firstColumn="0" w:lastColumn="0" w:noHBand="0" w:noVBand="0"/>
      </w:tblPr>
      <w:tblGrid>
        <w:gridCol w:w="2726"/>
        <w:gridCol w:w="3854"/>
        <w:gridCol w:w="1587"/>
        <w:gridCol w:w="1049"/>
      </w:tblGrid>
      <w:tr w:rsidR="0097248B" w:rsidRPr="0097248B" w14:paraId="184172ED" w14:textId="77777777" w:rsidTr="00263723">
        <w:trPr>
          <w:trHeight w:val="535"/>
          <w:tblHeader/>
        </w:trPr>
        <w:tc>
          <w:tcPr>
            <w:tcW w:w="1479" w:type="pct"/>
            <w:shd w:val="clear" w:color="auto" w:fill="B8CCE4" w:themeFill="accent1" w:themeFillTint="66"/>
            <w:tcMar>
              <w:top w:w="113" w:type="dxa"/>
              <w:bottom w:w="113" w:type="dxa"/>
            </w:tcMar>
            <w:vAlign w:val="center"/>
          </w:tcPr>
          <w:p w14:paraId="38578642" w14:textId="77777777" w:rsidR="0097248B" w:rsidRPr="0097248B" w:rsidRDefault="0097248B" w:rsidP="0031289D">
            <w:pPr>
              <w:bidi/>
              <w:spacing w:before="120" w:after="120" w:line="280" w:lineRule="exact"/>
              <w:jc w:val="center"/>
              <w:rPr>
                <w:rFonts w:ascii="Arabic Typesetting" w:eastAsia="Arabic Typesetting" w:hAnsi="Arabic Typesetting" w:cs="Arabic Typesetting"/>
                <w:bCs/>
                <w:sz w:val="28"/>
                <w:szCs w:val="28"/>
                <w:lang w:eastAsia="ar-EG" w:bidi="ar-EG"/>
              </w:rPr>
            </w:pPr>
            <w:r w:rsidRPr="0097248B">
              <w:rPr>
                <w:rFonts w:ascii="Arabic Typesetting" w:eastAsia="Arabic Typesetting" w:hAnsi="Arabic Typesetting" w:cs="Arabic Typesetting"/>
                <w:bCs/>
                <w:sz w:val="28"/>
                <w:szCs w:val="28"/>
                <w:rtl/>
                <w:lang w:eastAsia="ar-EG" w:bidi="ar-EG"/>
              </w:rPr>
              <w:t>النتائج المرتقبة</w:t>
            </w:r>
          </w:p>
        </w:tc>
        <w:tc>
          <w:tcPr>
            <w:tcW w:w="2091" w:type="pct"/>
            <w:shd w:val="clear" w:color="auto" w:fill="B8CCE4" w:themeFill="accent1" w:themeFillTint="66"/>
            <w:tcMar>
              <w:top w:w="113" w:type="dxa"/>
              <w:bottom w:w="113" w:type="dxa"/>
            </w:tcMar>
            <w:vAlign w:val="center"/>
          </w:tcPr>
          <w:p w14:paraId="10C66779" w14:textId="77777777" w:rsidR="0097248B" w:rsidRPr="0097248B" w:rsidRDefault="0097248B" w:rsidP="0031289D">
            <w:pPr>
              <w:bidi/>
              <w:spacing w:before="120" w:after="120" w:line="280" w:lineRule="exact"/>
              <w:jc w:val="center"/>
              <w:rPr>
                <w:rFonts w:ascii="Arabic Typesetting" w:eastAsia="Arabic Typesetting" w:hAnsi="Arabic Typesetting" w:cs="Arabic Typesetting"/>
                <w:bCs/>
                <w:sz w:val="28"/>
                <w:szCs w:val="28"/>
                <w:lang w:eastAsia="ar-EG" w:bidi="ar-EG"/>
              </w:rPr>
            </w:pPr>
            <w:r w:rsidRPr="0097248B">
              <w:rPr>
                <w:rFonts w:ascii="Arabic Typesetting" w:eastAsia="Arabic Typesetting" w:hAnsi="Arabic Typesetting" w:cs="Arabic Typesetting"/>
                <w:bCs/>
                <w:sz w:val="28"/>
                <w:szCs w:val="28"/>
                <w:rtl/>
                <w:lang w:eastAsia="ar-EG" w:bidi="ar-EG"/>
              </w:rPr>
              <w:t>مؤشرات الأداء</w:t>
            </w:r>
          </w:p>
        </w:tc>
        <w:tc>
          <w:tcPr>
            <w:tcW w:w="861" w:type="pct"/>
            <w:shd w:val="clear" w:color="auto" w:fill="B8CCE4" w:themeFill="accent1" w:themeFillTint="66"/>
            <w:tcMar>
              <w:top w:w="113" w:type="dxa"/>
              <w:bottom w:w="113" w:type="dxa"/>
            </w:tcMar>
            <w:vAlign w:val="center"/>
          </w:tcPr>
          <w:p w14:paraId="267C4A1A" w14:textId="77777777" w:rsidR="0097248B" w:rsidRPr="0097248B" w:rsidRDefault="0097248B" w:rsidP="0031289D">
            <w:pPr>
              <w:bidi/>
              <w:spacing w:before="120" w:after="120" w:line="280" w:lineRule="exact"/>
              <w:jc w:val="center"/>
              <w:rPr>
                <w:rFonts w:ascii="Arabic Typesetting" w:eastAsia="Arabic Typesetting" w:hAnsi="Arabic Typesetting" w:cs="Arabic Typesetting"/>
                <w:bCs/>
                <w:sz w:val="28"/>
                <w:szCs w:val="28"/>
                <w:lang w:eastAsia="ar-EG" w:bidi="ar-EG"/>
              </w:rPr>
            </w:pPr>
            <w:r w:rsidRPr="0097248B">
              <w:rPr>
                <w:rFonts w:ascii="Arabic Typesetting" w:eastAsia="Arabic Typesetting" w:hAnsi="Arabic Typesetting" w:cs="Arabic Typesetting"/>
                <w:bCs/>
                <w:sz w:val="28"/>
                <w:szCs w:val="28"/>
                <w:rtl/>
                <w:lang w:eastAsia="ar-EG" w:bidi="ar-EG"/>
              </w:rPr>
              <w:t>البرامج المسؤولة</w:t>
            </w:r>
          </w:p>
        </w:tc>
        <w:tc>
          <w:tcPr>
            <w:tcW w:w="569" w:type="pct"/>
            <w:shd w:val="clear" w:color="auto" w:fill="B8CCE4" w:themeFill="accent1" w:themeFillTint="66"/>
            <w:vAlign w:val="center"/>
          </w:tcPr>
          <w:p w14:paraId="09338351" w14:textId="77777777" w:rsidR="0097248B" w:rsidRPr="0097248B" w:rsidRDefault="0097248B" w:rsidP="0031289D">
            <w:pPr>
              <w:bidi/>
              <w:spacing w:before="120" w:after="120" w:line="280" w:lineRule="exact"/>
              <w:ind w:left="85"/>
              <w:rPr>
                <w:rFonts w:ascii="Arabic Typesetting" w:eastAsia="Arabic Typesetting" w:hAnsi="Arabic Typesetting" w:cs="Arabic Typesetting"/>
                <w:bCs/>
                <w:sz w:val="28"/>
                <w:szCs w:val="28"/>
                <w:lang w:eastAsia="ar-EG" w:bidi="ar-EG"/>
              </w:rPr>
            </w:pPr>
            <w:r w:rsidRPr="0097248B">
              <w:rPr>
                <w:rFonts w:ascii="Arabic Typesetting" w:eastAsia="Arabic Typesetting" w:hAnsi="Arabic Typesetting" w:cs="Arabic Typesetting" w:hint="cs"/>
                <w:bCs/>
                <w:sz w:val="28"/>
                <w:szCs w:val="28"/>
                <w:rtl/>
                <w:lang w:eastAsia="ar-EG" w:bidi="ar-EG"/>
              </w:rPr>
              <w:t>السير</w:t>
            </w:r>
          </w:p>
        </w:tc>
      </w:tr>
      <w:tr w:rsidR="0097248B" w:rsidRPr="0097248B" w14:paraId="2B69DA98" w14:textId="77777777" w:rsidTr="00263723">
        <w:trPr>
          <w:trHeight w:val="353"/>
        </w:trPr>
        <w:tc>
          <w:tcPr>
            <w:tcW w:w="1479" w:type="pct"/>
            <w:vMerge w:val="restart"/>
            <w:shd w:val="clear" w:color="auto" w:fill="auto"/>
            <w:tcMar>
              <w:top w:w="57" w:type="dxa"/>
              <w:bottom w:w="113" w:type="dxa"/>
            </w:tcMar>
          </w:tcPr>
          <w:p w14:paraId="21E29FED" w14:textId="10BEADAF"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sz w:val="28"/>
                <w:szCs w:val="28"/>
                <w:rtl/>
                <w:lang w:eastAsia="ar-EG"/>
              </w:rPr>
              <w:t xml:space="preserve">ه1.1 </w:t>
            </w:r>
            <w:r w:rsidR="009834BA">
              <w:rPr>
                <w:rFonts w:ascii="Arabic Typesetting" w:eastAsia="Arabic Typesetting" w:hAnsi="Arabic Typesetting" w:cs="Arabic Typesetting"/>
                <w:sz w:val="28"/>
                <w:szCs w:val="28"/>
                <w:rtl/>
                <w:lang w:eastAsia="ar-EG"/>
              </w:rPr>
              <w:t>تعاون معزز بين الدول الأعضاء في وضع أطر تقنينية دولية متوازنة في مجال الملكية الفكرية</w:t>
            </w:r>
          </w:p>
        </w:tc>
        <w:tc>
          <w:tcPr>
            <w:tcW w:w="2091" w:type="pct"/>
            <w:shd w:val="clear" w:color="auto" w:fill="auto"/>
            <w:tcMar>
              <w:top w:w="57" w:type="dxa"/>
              <w:bottom w:w="0" w:type="dxa"/>
            </w:tcMar>
          </w:tcPr>
          <w:p w14:paraId="0E1E18EC"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SimSun" w:hAnsi="Arabic Typesetting" w:cs="Arabic Typesetting"/>
                <w:b/>
                <w:sz w:val="28"/>
                <w:szCs w:val="28"/>
                <w:rtl/>
                <w:lang w:eastAsia="zh-CN" w:bidi="ar-EG"/>
              </w:rPr>
              <w:t>مستوى رضا المشاركين في حلقات عمل/ندوات محددة الهدف ومعقودة بشأن قضايا محددة تتعلق بالبراءات</w:t>
            </w:r>
          </w:p>
        </w:tc>
        <w:tc>
          <w:tcPr>
            <w:tcW w:w="861" w:type="pct"/>
            <w:shd w:val="clear" w:color="auto" w:fill="auto"/>
            <w:tcMar>
              <w:top w:w="57" w:type="dxa"/>
              <w:bottom w:w="0" w:type="dxa"/>
            </w:tcMar>
          </w:tcPr>
          <w:p w14:paraId="33AED6B3"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1</w:t>
            </w:r>
          </w:p>
        </w:tc>
        <w:tc>
          <w:tcPr>
            <w:tcW w:w="569" w:type="pct"/>
            <w:shd w:val="clear" w:color="auto" w:fill="auto"/>
            <w:tcMar>
              <w:top w:w="57" w:type="dxa"/>
            </w:tcMar>
          </w:tcPr>
          <w:p w14:paraId="556F5702"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0F63EF13" w14:textId="77777777" w:rsidTr="00263723">
        <w:tc>
          <w:tcPr>
            <w:tcW w:w="1479" w:type="pct"/>
            <w:vMerge/>
            <w:shd w:val="clear" w:color="auto" w:fill="auto"/>
            <w:tcMar>
              <w:top w:w="57" w:type="dxa"/>
              <w:bottom w:w="113" w:type="dxa"/>
            </w:tcMar>
          </w:tcPr>
          <w:p w14:paraId="16F3BE28"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1FD2BC35"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SimSun" w:hAnsi="Arabic Typesetting" w:cs="Arabic Typesetting"/>
                <w:b/>
                <w:sz w:val="28"/>
                <w:szCs w:val="28"/>
                <w:rtl/>
                <w:lang w:eastAsia="zh-CN" w:bidi="ar-EG"/>
              </w:rPr>
              <w:t>مستوى رضا المشاركين في برنامج مساعدة المخترعين</w:t>
            </w:r>
          </w:p>
        </w:tc>
        <w:tc>
          <w:tcPr>
            <w:tcW w:w="861" w:type="pct"/>
            <w:shd w:val="clear" w:color="auto" w:fill="auto"/>
            <w:tcMar>
              <w:top w:w="57" w:type="dxa"/>
              <w:bottom w:w="0" w:type="dxa"/>
            </w:tcMar>
          </w:tcPr>
          <w:p w14:paraId="728AEF27"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1</w:t>
            </w:r>
          </w:p>
        </w:tc>
        <w:tc>
          <w:tcPr>
            <w:tcW w:w="569" w:type="pct"/>
            <w:shd w:val="clear" w:color="auto" w:fill="auto"/>
            <w:tcMar>
              <w:top w:w="57" w:type="dxa"/>
            </w:tcMar>
          </w:tcPr>
          <w:p w14:paraId="5705AA52"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103CB545" w14:textId="77777777" w:rsidTr="00263723">
        <w:trPr>
          <w:trHeight w:val="345"/>
        </w:trPr>
        <w:tc>
          <w:tcPr>
            <w:tcW w:w="1479" w:type="pct"/>
            <w:vMerge/>
            <w:shd w:val="clear" w:color="auto" w:fill="auto"/>
            <w:tcMar>
              <w:top w:w="57" w:type="dxa"/>
              <w:bottom w:w="113" w:type="dxa"/>
            </w:tcMar>
          </w:tcPr>
          <w:p w14:paraId="07D752DE"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6A92D381"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SimSun" w:hAnsi="Arabic Typesetting" w:cs="Arabic Typesetting"/>
                <w:b/>
                <w:sz w:val="28"/>
                <w:szCs w:val="28"/>
                <w:rtl/>
                <w:lang w:eastAsia="zh-CN"/>
              </w:rPr>
              <w:t xml:space="preserve">التقدم المحرز في تنفيذ العمل المتفق عليه وفقا لجدول أعمال </w:t>
            </w:r>
            <w:r w:rsidRPr="0097248B">
              <w:rPr>
                <w:rFonts w:ascii="Arabic Typesetting" w:eastAsia="SimSun" w:hAnsi="Arabic Typesetting" w:cs="Arabic Typesetting" w:hint="cs"/>
                <w:b/>
                <w:sz w:val="28"/>
                <w:szCs w:val="28"/>
                <w:rtl/>
                <w:lang w:eastAsia="zh-CN"/>
              </w:rPr>
              <w:t>لجنة البراءات</w:t>
            </w:r>
          </w:p>
        </w:tc>
        <w:tc>
          <w:tcPr>
            <w:tcW w:w="861" w:type="pct"/>
            <w:shd w:val="clear" w:color="auto" w:fill="auto"/>
            <w:tcMar>
              <w:top w:w="57" w:type="dxa"/>
              <w:bottom w:w="0" w:type="dxa"/>
            </w:tcMar>
          </w:tcPr>
          <w:p w14:paraId="1DC8F94C"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1</w:t>
            </w:r>
          </w:p>
        </w:tc>
        <w:tc>
          <w:tcPr>
            <w:tcW w:w="569" w:type="pct"/>
            <w:shd w:val="clear" w:color="auto" w:fill="auto"/>
            <w:tcMar>
              <w:top w:w="57" w:type="dxa"/>
            </w:tcMar>
          </w:tcPr>
          <w:p w14:paraId="42108EA2"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0DEE4398" w14:textId="77777777" w:rsidTr="00263723">
        <w:trPr>
          <w:trHeight w:val="124"/>
        </w:trPr>
        <w:tc>
          <w:tcPr>
            <w:tcW w:w="1479" w:type="pct"/>
            <w:vMerge/>
            <w:shd w:val="clear" w:color="auto" w:fill="auto"/>
            <w:tcMar>
              <w:top w:w="57" w:type="dxa"/>
              <w:bottom w:w="113" w:type="dxa"/>
            </w:tcMar>
          </w:tcPr>
          <w:p w14:paraId="0402D86F"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7C35CEEC"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SimSun" w:hAnsi="Arabic Typesetting" w:cs="Arabic Typesetting"/>
                <w:b/>
                <w:sz w:val="28"/>
                <w:szCs w:val="28"/>
                <w:rtl/>
                <w:lang w:eastAsia="zh-CN" w:bidi="ar-EG"/>
              </w:rPr>
              <w:t>عدد حالات التصديق على/الانضمام إلى معاهدة سنغافورة</w:t>
            </w:r>
          </w:p>
        </w:tc>
        <w:tc>
          <w:tcPr>
            <w:tcW w:w="861" w:type="pct"/>
            <w:shd w:val="clear" w:color="auto" w:fill="auto"/>
            <w:tcMar>
              <w:top w:w="57" w:type="dxa"/>
              <w:bottom w:w="0" w:type="dxa"/>
            </w:tcMar>
          </w:tcPr>
          <w:p w14:paraId="37502135" w14:textId="77777777" w:rsidR="0097248B" w:rsidRPr="0097248B" w:rsidRDefault="0097248B" w:rsidP="0031289D">
            <w:pPr>
              <w:bidi/>
              <w:spacing w:before="120" w:after="120" w:line="280" w:lineRule="exact"/>
              <w:ind w:left="184"/>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2</w:t>
            </w:r>
          </w:p>
          <w:p w14:paraId="1816B045" w14:textId="77777777" w:rsidR="0097248B" w:rsidRPr="0097248B" w:rsidRDefault="0097248B" w:rsidP="0031289D">
            <w:pPr>
              <w:bidi/>
              <w:spacing w:before="120" w:after="120" w:line="280" w:lineRule="exact"/>
              <w:ind w:left="184"/>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20</w:t>
            </w:r>
          </w:p>
        </w:tc>
        <w:tc>
          <w:tcPr>
            <w:tcW w:w="569" w:type="pct"/>
            <w:shd w:val="clear" w:color="auto" w:fill="auto"/>
            <w:tcMar>
              <w:top w:w="57" w:type="dxa"/>
            </w:tcMar>
          </w:tcPr>
          <w:p w14:paraId="3974FB84" w14:textId="77777777" w:rsidR="0097248B" w:rsidRPr="0097248B" w:rsidRDefault="0097248B"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p w14:paraId="57E1D67C"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022567D0" w14:textId="77777777" w:rsidTr="00263723">
        <w:trPr>
          <w:trHeight w:val="162"/>
        </w:trPr>
        <w:tc>
          <w:tcPr>
            <w:tcW w:w="1479" w:type="pct"/>
            <w:vMerge/>
            <w:shd w:val="clear" w:color="auto" w:fill="auto"/>
            <w:tcMar>
              <w:top w:w="57" w:type="dxa"/>
              <w:bottom w:w="113" w:type="dxa"/>
            </w:tcMar>
          </w:tcPr>
          <w:p w14:paraId="08A3CAF4"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0" w:type="dxa"/>
              <w:bottom w:w="0" w:type="dxa"/>
            </w:tcMar>
          </w:tcPr>
          <w:p w14:paraId="0EADB6FB"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SimSun" w:hAnsi="Arabic Typesetting" w:cs="Arabic Typesetting"/>
                <w:b/>
                <w:sz w:val="28"/>
                <w:szCs w:val="28"/>
                <w:rtl/>
                <w:lang w:eastAsia="zh-CN" w:bidi="ar-EG"/>
              </w:rPr>
              <w:t>التقدم المحرز نحو الاتفاق على القضايا المدرجة حاليا في جدول أعمال لجنة العلامات</w:t>
            </w:r>
          </w:p>
        </w:tc>
        <w:tc>
          <w:tcPr>
            <w:tcW w:w="861" w:type="pct"/>
            <w:shd w:val="clear" w:color="auto" w:fill="auto"/>
            <w:tcMar>
              <w:top w:w="0" w:type="dxa"/>
              <w:bottom w:w="0" w:type="dxa"/>
            </w:tcMar>
          </w:tcPr>
          <w:p w14:paraId="39516179"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2</w:t>
            </w:r>
          </w:p>
        </w:tc>
        <w:tc>
          <w:tcPr>
            <w:tcW w:w="569" w:type="pct"/>
            <w:shd w:val="clear" w:color="auto" w:fill="auto"/>
            <w:tcMar>
              <w:top w:w="0" w:type="dxa"/>
            </w:tcMar>
          </w:tcPr>
          <w:p w14:paraId="021531D5" w14:textId="77777777" w:rsidR="0097248B" w:rsidRPr="0097248B" w:rsidRDefault="0097248B" w:rsidP="0031289D">
            <w:pPr>
              <w:bidi/>
              <w:spacing w:before="120" w:after="120" w:line="280" w:lineRule="exact"/>
              <w:jc w:val="center"/>
              <w:rPr>
                <w:rFonts w:ascii="Arabic Typesetting" w:eastAsia="SimSun" w:hAnsi="Arabic Typesetting" w:cs="Arabic Typesetting"/>
                <w:b/>
                <w:bCs/>
                <w:sz w:val="28"/>
                <w:szCs w:val="28"/>
                <w:lang w:eastAsia="zh-CN"/>
              </w:rPr>
            </w:pPr>
            <w:r w:rsidRPr="0097248B">
              <w:rPr>
                <w:rFonts w:ascii="Arabic Typesetting" w:eastAsia="SimSun" w:hAnsi="Arabic Typesetting" w:cs="Arabic Typesetting"/>
                <w:color w:val="FF0000"/>
                <w:sz w:val="28"/>
                <w:szCs w:val="28"/>
                <w:lang w:eastAsia="zh-CN"/>
              </w:rPr>
              <w:sym w:font="Wingdings" w:char="F06C"/>
            </w:r>
          </w:p>
        </w:tc>
      </w:tr>
      <w:tr w:rsidR="0097248B" w:rsidRPr="0097248B" w14:paraId="711FBB2F" w14:textId="77777777" w:rsidTr="00263723">
        <w:trPr>
          <w:trHeight w:val="197"/>
        </w:trPr>
        <w:tc>
          <w:tcPr>
            <w:tcW w:w="1479" w:type="pct"/>
            <w:vMerge/>
            <w:shd w:val="clear" w:color="auto" w:fill="auto"/>
            <w:tcMar>
              <w:top w:w="57" w:type="dxa"/>
              <w:bottom w:w="113" w:type="dxa"/>
            </w:tcMar>
          </w:tcPr>
          <w:p w14:paraId="700C4937"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2261ABBA"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التقدم المحرز في تنفيذ العمل المتفق عليه وفقا لجدول أعمال لجنة حق المؤلف</w:t>
            </w:r>
          </w:p>
        </w:tc>
        <w:tc>
          <w:tcPr>
            <w:tcW w:w="861" w:type="pct"/>
            <w:shd w:val="clear" w:color="auto" w:fill="auto"/>
            <w:tcMar>
              <w:top w:w="57" w:type="dxa"/>
              <w:bottom w:w="0" w:type="dxa"/>
            </w:tcMar>
          </w:tcPr>
          <w:p w14:paraId="1805CE39"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hint="cs"/>
                <w:sz w:val="28"/>
                <w:szCs w:val="28"/>
                <w:rtl/>
                <w:lang w:eastAsia="zh-CN"/>
              </w:rPr>
              <w:t>البرنامج 3</w:t>
            </w:r>
          </w:p>
        </w:tc>
        <w:tc>
          <w:tcPr>
            <w:tcW w:w="569" w:type="pct"/>
            <w:shd w:val="clear" w:color="auto" w:fill="auto"/>
            <w:tcMar>
              <w:top w:w="57" w:type="dxa"/>
            </w:tcMar>
          </w:tcPr>
          <w:p w14:paraId="31C51768" w14:textId="77777777" w:rsidR="0097248B" w:rsidRPr="0097248B" w:rsidRDefault="0097248B" w:rsidP="0031289D">
            <w:pPr>
              <w:bidi/>
              <w:spacing w:before="120" w:after="120" w:line="280" w:lineRule="exact"/>
              <w:jc w:val="center"/>
              <w:rPr>
                <w:rFonts w:ascii="Arabic Typesetting" w:eastAsia="SimSun" w:hAnsi="Arabic Typesetting" w:cs="Arabic Typesetting"/>
                <w:b/>
                <w:bCs/>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455F777A" w14:textId="77777777" w:rsidTr="00263723">
        <w:trPr>
          <w:trHeight w:val="551"/>
        </w:trPr>
        <w:tc>
          <w:tcPr>
            <w:tcW w:w="1479" w:type="pct"/>
            <w:vMerge/>
            <w:shd w:val="clear" w:color="auto" w:fill="auto"/>
            <w:tcMar>
              <w:top w:w="57" w:type="dxa"/>
              <w:bottom w:w="113" w:type="dxa"/>
            </w:tcMar>
          </w:tcPr>
          <w:p w14:paraId="695CE213"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2B59D13D"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bidi="ar-EG"/>
              </w:rPr>
              <w:t xml:space="preserve">التقدم نحو تنفيذ الأنشطة المعيارية في مجال الملكية الفكرية والموارد الوراثية والمعارف التقليدية وأشكال التعبير الثقافي التقليدي </w:t>
            </w:r>
            <w:r w:rsidRPr="0097248B">
              <w:rPr>
                <w:rFonts w:ascii="Arabic Typesetting" w:eastAsia="SimSun" w:hAnsi="Arabic Typesetting" w:cs="Arabic Typesetting" w:hint="cs"/>
                <w:sz w:val="28"/>
                <w:szCs w:val="28"/>
                <w:rtl/>
                <w:lang w:eastAsia="zh-CN" w:bidi="ar-EG"/>
              </w:rPr>
              <w:t>التي اتفقت عليها</w:t>
            </w:r>
            <w:r w:rsidRPr="0097248B">
              <w:rPr>
                <w:rFonts w:ascii="Arabic Typesetting" w:eastAsia="SimSun" w:hAnsi="Arabic Typesetting" w:cs="Arabic Typesetting"/>
                <w:sz w:val="28"/>
                <w:szCs w:val="28"/>
                <w:rtl/>
                <w:lang w:eastAsia="zh-CN" w:bidi="ar-EG"/>
              </w:rPr>
              <w:t xml:space="preserve"> الدول الأعضاء</w:t>
            </w:r>
          </w:p>
        </w:tc>
        <w:tc>
          <w:tcPr>
            <w:tcW w:w="861" w:type="pct"/>
            <w:shd w:val="clear" w:color="auto" w:fill="auto"/>
            <w:tcMar>
              <w:top w:w="57" w:type="dxa"/>
              <w:bottom w:w="0" w:type="dxa"/>
            </w:tcMar>
          </w:tcPr>
          <w:p w14:paraId="2FBCDEF0"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w:t>
            </w:r>
            <w:r w:rsidRPr="0097248B">
              <w:rPr>
                <w:rFonts w:ascii="Arabic Typesetting" w:eastAsia="SimSun" w:hAnsi="Arabic Typesetting" w:cs="Arabic Typesetting" w:hint="cs"/>
                <w:sz w:val="28"/>
                <w:szCs w:val="28"/>
                <w:rtl/>
                <w:lang w:eastAsia="zh-CN"/>
              </w:rPr>
              <w:t xml:space="preserve"> 4</w:t>
            </w:r>
          </w:p>
        </w:tc>
        <w:tc>
          <w:tcPr>
            <w:tcW w:w="569" w:type="pct"/>
            <w:shd w:val="clear" w:color="auto" w:fill="auto"/>
            <w:tcMar>
              <w:top w:w="57" w:type="dxa"/>
            </w:tcMar>
          </w:tcPr>
          <w:p w14:paraId="7BC1657D" w14:textId="77777777" w:rsidR="0097248B" w:rsidRPr="0097248B" w:rsidRDefault="0097248B" w:rsidP="0031289D">
            <w:pPr>
              <w:bidi/>
              <w:spacing w:before="120" w:after="120" w:line="280" w:lineRule="exact"/>
              <w:jc w:val="center"/>
              <w:rPr>
                <w:rFonts w:ascii="Arabic Typesetting" w:eastAsia="SimSun" w:hAnsi="Arabic Typesetting" w:cs="Arabic Typesetting"/>
                <w:b/>
                <w:bCs/>
                <w:sz w:val="28"/>
                <w:szCs w:val="28"/>
                <w:lang w:eastAsia="zh-CN"/>
              </w:rPr>
            </w:pPr>
            <w:r w:rsidRPr="0097248B">
              <w:rPr>
                <w:rFonts w:ascii="Arabic Typesetting" w:eastAsia="SimSun" w:hAnsi="Arabic Typesetting" w:cs="Arabic Typesetting"/>
                <w:color w:val="0070C0"/>
                <w:sz w:val="28"/>
                <w:szCs w:val="28"/>
                <w:lang w:eastAsia="zh-CN"/>
              </w:rPr>
              <w:sym w:font="Wingdings" w:char="F06C"/>
            </w:r>
          </w:p>
        </w:tc>
      </w:tr>
      <w:tr w:rsidR="0097248B" w:rsidRPr="0097248B" w14:paraId="5C18B3C9" w14:textId="77777777" w:rsidTr="00263723">
        <w:tc>
          <w:tcPr>
            <w:tcW w:w="1479" w:type="pct"/>
            <w:vMerge/>
            <w:shd w:val="clear" w:color="auto" w:fill="auto"/>
            <w:tcMar>
              <w:top w:w="57" w:type="dxa"/>
              <w:bottom w:w="113" w:type="dxa"/>
            </w:tcMar>
          </w:tcPr>
          <w:p w14:paraId="7A7761F4"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50F5B74A"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عدد البلدان التي صدقت على معاهدة بيجين أو انضمت إليها</w:t>
            </w:r>
          </w:p>
        </w:tc>
        <w:tc>
          <w:tcPr>
            <w:tcW w:w="861" w:type="pct"/>
            <w:shd w:val="clear" w:color="auto" w:fill="auto"/>
            <w:tcMar>
              <w:top w:w="57" w:type="dxa"/>
              <w:bottom w:w="0" w:type="dxa"/>
            </w:tcMar>
          </w:tcPr>
          <w:p w14:paraId="7D857010"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20</w:t>
            </w:r>
          </w:p>
        </w:tc>
        <w:tc>
          <w:tcPr>
            <w:tcW w:w="569" w:type="pct"/>
            <w:shd w:val="clear" w:color="auto" w:fill="auto"/>
            <w:tcMar>
              <w:top w:w="57" w:type="dxa"/>
            </w:tcMar>
          </w:tcPr>
          <w:p w14:paraId="03292262" w14:textId="77777777" w:rsidR="0097248B" w:rsidRPr="0097248B" w:rsidRDefault="0097248B" w:rsidP="0031289D">
            <w:pPr>
              <w:bidi/>
              <w:spacing w:before="120" w:after="120" w:line="280" w:lineRule="exact"/>
              <w:jc w:val="center"/>
              <w:rPr>
                <w:rFonts w:ascii="Arabic Typesetting" w:eastAsia="SimSun" w:hAnsi="Arabic Typesetting" w:cs="Arabic Typesetting"/>
                <w:b/>
                <w:bCs/>
                <w:sz w:val="28"/>
                <w:szCs w:val="28"/>
                <w:lang w:eastAsia="zh-CN"/>
              </w:rPr>
            </w:pPr>
            <w:r w:rsidRPr="0097248B">
              <w:rPr>
                <w:rFonts w:ascii="Arabic Typesetting" w:eastAsia="SimSun" w:hAnsi="Arabic Typesetting" w:cs="Arabic Typesetting"/>
                <w:color w:val="FF0000"/>
                <w:sz w:val="28"/>
                <w:szCs w:val="28"/>
                <w:lang w:eastAsia="zh-CN"/>
              </w:rPr>
              <w:sym w:font="Wingdings" w:char="F06C"/>
            </w:r>
          </w:p>
        </w:tc>
      </w:tr>
      <w:tr w:rsidR="0097248B" w:rsidRPr="0097248B" w14:paraId="45B4563E" w14:textId="77777777" w:rsidTr="00263723">
        <w:trPr>
          <w:trHeight w:val="271"/>
        </w:trPr>
        <w:tc>
          <w:tcPr>
            <w:tcW w:w="1479" w:type="pct"/>
            <w:vMerge/>
            <w:shd w:val="clear" w:color="auto" w:fill="auto"/>
            <w:tcMar>
              <w:top w:w="57" w:type="dxa"/>
              <w:bottom w:w="113" w:type="dxa"/>
            </w:tcMar>
          </w:tcPr>
          <w:p w14:paraId="3AB609FA"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74A99223" w14:textId="5CAF260B" w:rsidR="0097248B" w:rsidRPr="0097248B" w:rsidRDefault="00EF3FA1" w:rsidP="0031289D">
            <w:pPr>
              <w:bidi/>
              <w:spacing w:before="120" w:after="120" w:line="280" w:lineRule="exact"/>
              <w:rPr>
                <w:rFonts w:ascii="Arabic Typesetting" w:eastAsia="SimSun" w:hAnsi="Arabic Typesetting" w:cs="Arabic Typesetting"/>
                <w:color w:val="9C0006"/>
                <w:sz w:val="28"/>
                <w:szCs w:val="28"/>
                <w:lang w:eastAsia="zh-CN"/>
              </w:rPr>
            </w:pPr>
            <w:r w:rsidRPr="000D515F">
              <w:rPr>
                <w:rFonts w:ascii="Arabic Typesetting" w:hAnsi="Arabic Typesetting" w:cs="Arabic Typesetting"/>
                <w:color w:val="000000"/>
                <w:sz w:val="28"/>
                <w:szCs w:val="28"/>
                <w:rtl/>
              </w:rPr>
              <w:t>عدد حالات التصديق على معاهدات الإنترنت و/أو حالات الانضمام إليها</w:t>
            </w:r>
          </w:p>
        </w:tc>
        <w:tc>
          <w:tcPr>
            <w:tcW w:w="861" w:type="pct"/>
            <w:shd w:val="clear" w:color="auto" w:fill="auto"/>
            <w:tcMar>
              <w:top w:w="57" w:type="dxa"/>
              <w:bottom w:w="0" w:type="dxa"/>
            </w:tcMar>
          </w:tcPr>
          <w:p w14:paraId="28582C25"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20</w:t>
            </w:r>
          </w:p>
        </w:tc>
        <w:tc>
          <w:tcPr>
            <w:tcW w:w="569" w:type="pct"/>
            <w:shd w:val="clear" w:color="auto" w:fill="auto"/>
            <w:tcMar>
              <w:top w:w="57" w:type="dxa"/>
            </w:tcMar>
          </w:tcPr>
          <w:p w14:paraId="59A262C7" w14:textId="77777777" w:rsidR="0097248B" w:rsidRPr="0097248B" w:rsidRDefault="0097248B" w:rsidP="0031289D">
            <w:pPr>
              <w:bidi/>
              <w:spacing w:before="120" w:after="120" w:line="280" w:lineRule="exact"/>
              <w:jc w:val="center"/>
              <w:rPr>
                <w:rFonts w:ascii="Arabic Typesetting" w:eastAsia="SimSun" w:hAnsi="Arabic Typesetting" w:cs="Arabic Typesetting"/>
                <w:b/>
                <w:bCs/>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63C00B5D" w14:textId="77777777" w:rsidTr="00263723">
        <w:trPr>
          <w:trHeight w:val="415"/>
        </w:trPr>
        <w:tc>
          <w:tcPr>
            <w:tcW w:w="1479" w:type="pct"/>
            <w:vMerge/>
            <w:shd w:val="clear" w:color="auto" w:fill="auto"/>
            <w:tcMar>
              <w:top w:w="57" w:type="dxa"/>
              <w:bottom w:w="113" w:type="dxa"/>
            </w:tcMar>
          </w:tcPr>
          <w:p w14:paraId="325D5C38"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42A7A610" w14:textId="41DC9329" w:rsidR="0097248B" w:rsidRPr="0097248B" w:rsidRDefault="00EF3FA1" w:rsidP="0031289D">
            <w:pPr>
              <w:bidi/>
              <w:spacing w:before="120" w:after="120" w:line="280" w:lineRule="exact"/>
              <w:rPr>
                <w:rFonts w:ascii="Arabic Typesetting" w:eastAsia="SimSun" w:hAnsi="Arabic Typesetting" w:cs="Arabic Typesetting"/>
                <w:sz w:val="28"/>
                <w:szCs w:val="28"/>
                <w:lang w:eastAsia="zh-CN"/>
              </w:rPr>
            </w:pPr>
            <w:r w:rsidRPr="00EF3FA1">
              <w:rPr>
                <w:rFonts w:ascii="Arabic Typesetting" w:eastAsia="SimSun" w:hAnsi="Arabic Typesetting" w:cs="Arabic Typesetting"/>
                <w:b/>
                <w:sz w:val="28"/>
                <w:szCs w:val="28"/>
                <w:rtl/>
                <w:lang w:eastAsia="zh-CN" w:bidi="ar-EG"/>
              </w:rPr>
              <w:t>عدد حالات التصديق على معاهدة مراكش و/أو حالات الانضمام إليها</w:t>
            </w:r>
          </w:p>
        </w:tc>
        <w:tc>
          <w:tcPr>
            <w:tcW w:w="861" w:type="pct"/>
            <w:shd w:val="clear" w:color="auto" w:fill="auto"/>
            <w:tcMar>
              <w:top w:w="57" w:type="dxa"/>
              <w:bottom w:w="0" w:type="dxa"/>
            </w:tcMar>
          </w:tcPr>
          <w:p w14:paraId="349A85DC"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20</w:t>
            </w:r>
          </w:p>
        </w:tc>
        <w:tc>
          <w:tcPr>
            <w:tcW w:w="569" w:type="pct"/>
            <w:shd w:val="clear" w:color="auto" w:fill="auto"/>
            <w:tcMar>
              <w:top w:w="57" w:type="dxa"/>
            </w:tcMar>
          </w:tcPr>
          <w:p w14:paraId="270E1ECB" w14:textId="77777777" w:rsidR="0097248B" w:rsidRPr="0097248B" w:rsidRDefault="0097248B" w:rsidP="0031289D">
            <w:pPr>
              <w:bidi/>
              <w:spacing w:before="120" w:after="120" w:line="280" w:lineRule="exact"/>
              <w:jc w:val="center"/>
              <w:rPr>
                <w:rFonts w:ascii="Arabic Typesetting" w:eastAsia="SimSun" w:hAnsi="Arabic Typesetting" w:cs="Arabic Typesetting"/>
                <w:b/>
                <w:bCs/>
                <w:sz w:val="28"/>
                <w:szCs w:val="28"/>
                <w:lang w:eastAsia="zh-CN"/>
              </w:rPr>
            </w:pPr>
            <w:r w:rsidRPr="0097248B">
              <w:rPr>
                <w:rFonts w:ascii="Arabic Typesetting" w:eastAsia="SimSun" w:hAnsi="Arabic Typesetting" w:cs="Arabic Typesetting"/>
                <w:color w:val="FF0000"/>
                <w:sz w:val="28"/>
                <w:szCs w:val="28"/>
                <w:lang w:eastAsia="zh-CN"/>
              </w:rPr>
              <w:sym w:font="Wingdings" w:char="F06C"/>
            </w:r>
          </w:p>
        </w:tc>
      </w:tr>
      <w:tr w:rsidR="0097248B" w:rsidRPr="0097248B" w14:paraId="7076151A" w14:textId="77777777" w:rsidTr="00263723">
        <w:tc>
          <w:tcPr>
            <w:tcW w:w="1479" w:type="pct"/>
            <w:shd w:val="clear" w:color="auto" w:fill="auto"/>
            <w:tcMar>
              <w:top w:w="57" w:type="dxa"/>
              <w:bottom w:w="113" w:type="dxa"/>
            </w:tcMar>
          </w:tcPr>
          <w:p w14:paraId="5980E2C6" w14:textId="344648F0"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ه2.1</w:t>
            </w:r>
            <w:r w:rsidRPr="0097248B">
              <w:rPr>
                <w:rFonts w:ascii="Arabic Typesetting" w:eastAsia="Arabic Typesetting" w:hAnsi="Arabic Typesetting" w:cs="Arabic Typesetting" w:hint="cs"/>
                <w:sz w:val="28"/>
                <w:szCs w:val="28"/>
                <w:rtl/>
                <w:lang w:eastAsia="ar-EG" w:bidi="ar-EG"/>
              </w:rPr>
              <w:t xml:space="preserve"> </w:t>
            </w:r>
            <w:r w:rsidR="009834BA">
              <w:rPr>
                <w:rFonts w:ascii="Arabic Typesetting" w:eastAsia="Arabic Typesetting" w:hAnsi="Arabic Typesetting" w:cs="Arabic Typesetting"/>
                <w:color w:val="000000"/>
                <w:sz w:val="28"/>
                <w:szCs w:val="28"/>
                <w:rtl/>
                <w:lang w:eastAsia="ar-EG" w:bidi="ar-EG"/>
              </w:rPr>
              <w:t>أطر تشريعية وتنظيمية وسياسية مكيّفة ومتوازنة في مجال الملكية الفكرية</w:t>
            </w:r>
          </w:p>
        </w:tc>
        <w:tc>
          <w:tcPr>
            <w:tcW w:w="2091" w:type="pct"/>
            <w:shd w:val="clear" w:color="auto" w:fill="auto"/>
            <w:tcMar>
              <w:top w:w="57" w:type="dxa"/>
              <w:bottom w:w="0" w:type="dxa"/>
            </w:tcMar>
          </w:tcPr>
          <w:p w14:paraId="4088A6AA"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SimSun" w:hAnsi="Arabic Typesetting" w:cs="Arabic Typesetting"/>
                <w:b/>
                <w:sz w:val="28"/>
                <w:szCs w:val="28"/>
                <w:rtl/>
                <w:lang w:eastAsia="zh-CN" w:bidi="ar-EG"/>
              </w:rPr>
              <w:t xml:space="preserve">النسبة المئوية للجهات </w:t>
            </w:r>
            <w:r w:rsidRPr="0097248B">
              <w:rPr>
                <w:rFonts w:ascii="Arabic Typesetting" w:eastAsia="SimSun" w:hAnsi="Arabic Typesetting" w:cs="Arabic Typesetting" w:hint="cs"/>
                <w:b/>
                <w:sz w:val="28"/>
                <w:szCs w:val="28"/>
                <w:rtl/>
                <w:lang w:eastAsia="zh-CN" w:bidi="ar-EG"/>
              </w:rPr>
              <w:t>المستفيدة</w:t>
            </w:r>
            <w:r w:rsidRPr="0097248B">
              <w:rPr>
                <w:rFonts w:ascii="Arabic Typesetting" w:eastAsia="SimSun" w:hAnsi="Arabic Typesetting" w:cs="Arabic Typesetting"/>
                <w:b/>
                <w:sz w:val="28"/>
                <w:szCs w:val="28"/>
                <w:rtl/>
                <w:lang w:eastAsia="zh-CN" w:bidi="ar-EG"/>
              </w:rPr>
              <w:t xml:space="preserve"> التي وجدت المعلومات المقدمة بشأن المبادئ والممارسات القانونية لأنظمة البراءات ونماذج المنفعة والدوائر المتكاملة، بما</w:t>
            </w:r>
            <w:r w:rsidRPr="0097248B">
              <w:rPr>
                <w:rFonts w:ascii="Arabic Typesetting" w:eastAsia="SimSun" w:hAnsi="Arabic Typesetting" w:cs="Arabic Typesetting" w:hint="cs"/>
                <w:b/>
                <w:sz w:val="28"/>
                <w:szCs w:val="28"/>
                <w:rtl/>
                <w:lang w:eastAsia="zh-CN" w:bidi="ar-EG"/>
              </w:rPr>
              <w:t> </w:t>
            </w:r>
            <w:r w:rsidRPr="0097248B">
              <w:rPr>
                <w:rFonts w:ascii="Arabic Typesetting" w:eastAsia="SimSun" w:hAnsi="Arabic Typesetting" w:cs="Arabic Typesetting"/>
                <w:b/>
                <w:sz w:val="28"/>
                <w:szCs w:val="28"/>
                <w:rtl/>
                <w:lang w:eastAsia="zh-CN" w:bidi="ar-EG"/>
              </w:rPr>
              <w:t>فيها</w:t>
            </w:r>
            <w:r w:rsidRPr="0097248B">
              <w:rPr>
                <w:rFonts w:ascii="Arabic Typesetting" w:eastAsia="SimSun" w:hAnsi="Arabic Typesetting" w:cs="Arabic Typesetting" w:hint="cs"/>
                <w:b/>
                <w:sz w:val="28"/>
                <w:szCs w:val="28"/>
                <w:rtl/>
                <w:lang w:eastAsia="zh-CN" w:bidi="ar-EG"/>
              </w:rPr>
              <w:t> </w:t>
            </w:r>
            <w:r w:rsidRPr="0097248B">
              <w:rPr>
                <w:rFonts w:ascii="Arabic Typesetting" w:eastAsia="SimSun" w:hAnsi="Arabic Typesetting" w:cs="Arabic Typesetting"/>
                <w:b/>
                <w:sz w:val="28"/>
                <w:szCs w:val="28"/>
                <w:rtl/>
                <w:lang w:eastAsia="zh-CN" w:bidi="ar-EG"/>
              </w:rPr>
              <w:t>مواطن المرونة، معلومات مفيدة</w:t>
            </w:r>
          </w:p>
        </w:tc>
        <w:tc>
          <w:tcPr>
            <w:tcW w:w="861" w:type="pct"/>
            <w:shd w:val="clear" w:color="auto" w:fill="auto"/>
            <w:tcMar>
              <w:top w:w="57" w:type="dxa"/>
              <w:bottom w:w="0" w:type="dxa"/>
            </w:tcMar>
          </w:tcPr>
          <w:p w14:paraId="556E8E57"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1</w:t>
            </w:r>
          </w:p>
        </w:tc>
        <w:tc>
          <w:tcPr>
            <w:tcW w:w="569" w:type="pct"/>
            <w:shd w:val="clear" w:color="auto" w:fill="auto"/>
            <w:tcMar>
              <w:top w:w="57" w:type="dxa"/>
            </w:tcMar>
          </w:tcPr>
          <w:p w14:paraId="0D577D7E"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6437C6D0" w14:textId="77777777" w:rsidTr="00263723">
        <w:tc>
          <w:tcPr>
            <w:tcW w:w="1479" w:type="pct"/>
            <w:shd w:val="clear" w:color="auto" w:fill="auto"/>
            <w:tcMar>
              <w:top w:w="57" w:type="dxa"/>
              <w:bottom w:w="113" w:type="dxa"/>
            </w:tcMar>
          </w:tcPr>
          <w:p w14:paraId="7D146779"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12D295DB"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bidi="ar-EG"/>
              </w:rPr>
              <w:t xml:space="preserve">عدد الدول الأعضاء الراضية </w:t>
            </w:r>
            <w:r w:rsidRPr="0097248B">
              <w:rPr>
                <w:rFonts w:ascii="Arabic Typesetting" w:eastAsia="SimSun" w:hAnsi="Arabic Typesetting" w:cs="Arabic Typesetting" w:hint="cs"/>
                <w:sz w:val="28"/>
                <w:szCs w:val="28"/>
                <w:rtl/>
                <w:lang w:eastAsia="zh-CN" w:bidi="ar-EG"/>
              </w:rPr>
              <w:t xml:space="preserve">عن جودة المشورة القانونية والسياسية المقدمة </w:t>
            </w:r>
            <w:r w:rsidRPr="0097248B">
              <w:rPr>
                <w:rFonts w:ascii="Arabic Typesetting" w:eastAsia="SimSun" w:hAnsi="Arabic Typesetting" w:cs="Arabic Typesetting"/>
                <w:sz w:val="28"/>
                <w:szCs w:val="28"/>
                <w:rtl/>
                <w:lang w:eastAsia="zh-CN" w:bidi="ar-EG"/>
              </w:rPr>
              <w:t>والنسبة</w:t>
            </w:r>
            <w:r w:rsidRPr="0097248B">
              <w:rPr>
                <w:rFonts w:ascii="Arabic Typesetting" w:eastAsia="SimSun" w:hAnsi="Arabic Typesetting" w:cs="Arabic Typesetting" w:hint="cs"/>
                <w:sz w:val="28"/>
                <w:szCs w:val="28"/>
                <w:rtl/>
                <w:lang w:eastAsia="zh-CN" w:bidi="ar-EG"/>
              </w:rPr>
              <w:t> </w:t>
            </w:r>
            <w:r w:rsidRPr="0097248B">
              <w:rPr>
                <w:rFonts w:ascii="Arabic Typesetting" w:eastAsia="SimSun" w:hAnsi="Arabic Typesetting" w:cs="Arabic Typesetting"/>
                <w:sz w:val="28"/>
                <w:szCs w:val="28"/>
                <w:rtl/>
                <w:lang w:eastAsia="zh-CN" w:bidi="ar-EG"/>
              </w:rPr>
              <w:t xml:space="preserve">المئوية </w:t>
            </w:r>
            <w:r w:rsidRPr="0097248B">
              <w:rPr>
                <w:rFonts w:ascii="Arabic Typesetting" w:eastAsia="SimSun" w:hAnsi="Arabic Typesetting" w:cs="Arabic Typesetting" w:hint="cs"/>
                <w:sz w:val="28"/>
                <w:szCs w:val="28"/>
                <w:rtl/>
                <w:lang w:eastAsia="zh-CN" w:bidi="ar-EG"/>
              </w:rPr>
              <w:t>لتلك</w:t>
            </w:r>
            <w:r w:rsidRPr="0097248B">
              <w:rPr>
                <w:rFonts w:ascii="Arabic Typesetting" w:eastAsia="SimSun" w:hAnsi="Arabic Typesetting" w:cs="Arabic Typesetting"/>
                <w:sz w:val="28"/>
                <w:szCs w:val="28"/>
                <w:rtl/>
                <w:lang w:eastAsia="zh-CN" w:bidi="ar-EG"/>
              </w:rPr>
              <w:t xml:space="preserve"> الدول</w:t>
            </w:r>
          </w:p>
        </w:tc>
        <w:tc>
          <w:tcPr>
            <w:tcW w:w="861" w:type="pct"/>
            <w:shd w:val="clear" w:color="auto" w:fill="auto"/>
            <w:tcMar>
              <w:top w:w="57" w:type="dxa"/>
              <w:bottom w:w="0" w:type="dxa"/>
            </w:tcMar>
          </w:tcPr>
          <w:p w14:paraId="33CBA0A4"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1</w:t>
            </w:r>
          </w:p>
        </w:tc>
        <w:tc>
          <w:tcPr>
            <w:tcW w:w="569" w:type="pct"/>
            <w:shd w:val="clear" w:color="auto" w:fill="auto"/>
            <w:tcMar>
              <w:top w:w="57" w:type="dxa"/>
            </w:tcMar>
          </w:tcPr>
          <w:p w14:paraId="25DE8241"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4AF8F0AE" w14:textId="77777777" w:rsidTr="00263723">
        <w:tc>
          <w:tcPr>
            <w:tcW w:w="1479" w:type="pct"/>
            <w:shd w:val="clear" w:color="auto" w:fill="auto"/>
            <w:tcMar>
              <w:top w:w="57" w:type="dxa"/>
              <w:bottom w:w="113" w:type="dxa"/>
            </w:tcMar>
          </w:tcPr>
          <w:p w14:paraId="4AD2F32D"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19C7E87B"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SimSun" w:hAnsi="Arabic Typesetting" w:cs="Arabic Typesetting"/>
                <w:b/>
                <w:sz w:val="28"/>
                <w:szCs w:val="28"/>
                <w:rtl/>
                <w:lang w:eastAsia="zh-CN"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والمؤشرات الجغرافية، والنسبة المئوية لتلك الدول والمنظمات</w:t>
            </w:r>
          </w:p>
        </w:tc>
        <w:tc>
          <w:tcPr>
            <w:tcW w:w="861" w:type="pct"/>
            <w:shd w:val="clear" w:color="auto" w:fill="auto"/>
            <w:tcMar>
              <w:top w:w="57" w:type="dxa"/>
              <w:bottom w:w="0" w:type="dxa"/>
            </w:tcMar>
          </w:tcPr>
          <w:p w14:paraId="252E7613"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2</w:t>
            </w:r>
          </w:p>
        </w:tc>
        <w:tc>
          <w:tcPr>
            <w:tcW w:w="569" w:type="pct"/>
            <w:shd w:val="clear" w:color="auto" w:fill="auto"/>
            <w:tcMar>
              <w:top w:w="57" w:type="dxa"/>
            </w:tcMar>
          </w:tcPr>
          <w:p w14:paraId="02748402"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72421EDD" w14:textId="77777777" w:rsidTr="00263723">
        <w:tc>
          <w:tcPr>
            <w:tcW w:w="1479" w:type="pct"/>
            <w:shd w:val="clear" w:color="auto" w:fill="auto"/>
            <w:tcMar>
              <w:top w:w="57" w:type="dxa"/>
              <w:bottom w:w="113" w:type="dxa"/>
            </w:tcMar>
          </w:tcPr>
          <w:p w14:paraId="4B3626A5"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777553D7"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النسبة المئوية للبلدان التي قدمت تعقيبات إيجابية على مشورة الويبو التشريعية</w:t>
            </w:r>
          </w:p>
        </w:tc>
        <w:tc>
          <w:tcPr>
            <w:tcW w:w="861" w:type="pct"/>
            <w:shd w:val="clear" w:color="auto" w:fill="auto"/>
            <w:tcMar>
              <w:top w:w="57" w:type="dxa"/>
              <w:bottom w:w="0" w:type="dxa"/>
            </w:tcMar>
          </w:tcPr>
          <w:p w14:paraId="6B1E5F61"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3</w:t>
            </w:r>
          </w:p>
        </w:tc>
        <w:tc>
          <w:tcPr>
            <w:tcW w:w="569" w:type="pct"/>
            <w:shd w:val="clear" w:color="auto" w:fill="auto"/>
            <w:tcMar>
              <w:top w:w="57" w:type="dxa"/>
            </w:tcMar>
          </w:tcPr>
          <w:p w14:paraId="073E0B3F"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5313B99B" w14:textId="77777777" w:rsidTr="00263723">
        <w:tc>
          <w:tcPr>
            <w:tcW w:w="1479" w:type="pct"/>
            <w:shd w:val="clear" w:color="auto" w:fill="auto"/>
            <w:tcMar>
              <w:top w:w="57" w:type="dxa"/>
              <w:bottom w:w="113" w:type="dxa"/>
            </w:tcMar>
          </w:tcPr>
          <w:p w14:paraId="6DA70037"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3AC02874"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عدد البلدان التي صدقت على معاهدة بيجين أو انضمت إليها</w:t>
            </w:r>
          </w:p>
        </w:tc>
        <w:tc>
          <w:tcPr>
            <w:tcW w:w="861" w:type="pct"/>
            <w:shd w:val="clear" w:color="auto" w:fill="auto"/>
            <w:tcMar>
              <w:top w:w="57" w:type="dxa"/>
              <w:bottom w:w="0" w:type="dxa"/>
            </w:tcMar>
          </w:tcPr>
          <w:p w14:paraId="78DCC853"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3</w:t>
            </w:r>
          </w:p>
        </w:tc>
        <w:tc>
          <w:tcPr>
            <w:tcW w:w="569" w:type="pct"/>
            <w:shd w:val="clear" w:color="auto" w:fill="auto"/>
            <w:tcMar>
              <w:top w:w="57" w:type="dxa"/>
            </w:tcMar>
          </w:tcPr>
          <w:p w14:paraId="48FDFE5B"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FF0000"/>
                <w:sz w:val="28"/>
                <w:szCs w:val="28"/>
                <w:lang w:eastAsia="zh-CN"/>
              </w:rPr>
              <w:sym w:font="Wingdings" w:char="F06C"/>
            </w:r>
          </w:p>
        </w:tc>
      </w:tr>
      <w:tr w:rsidR="0097248B" w:rsidRPr="0097248B" w14:paraId="1693E38A" w14:textId="77777777" w:rsidTr="00263723">
        <w:tc>
          <w:tcPr>
            <w:tcW w:w="1479" w:type="pct"/>
            <w:shd w:val="clear" w:color="auto" w:fill="auto"/>
            <w:tcMar>
              <w:top w:w="57" w:type="dxa"/>
              <w:bottom w:w="113" w:type="dxa"/>
            </w:tcMar>
          </w:tcPr>
          <w:p w14:paraId="36C45344"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24BB1705" w14:textId="3ECACEDA" w:rsidR="0097248B" w:rsidRPr="0097248B" w:rsidRDefault="0097248B" w:rsidP="00BF5D93">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عدد البلدان التي صدقت على معاهدة مراكش أو</w:t>
            </w:r>
            <w:r w:rsidR="00BF5D93">
              <w:rPr>
                <w:rFonts w:ascii="Arabic Typesetting" w:eastAsia="Arabic Typesetting" w:hAnsi="Arabic Typesetting" w:cs="Arabic Typesetting" w:hint="cs"/>
                <w:color w:val="000000"/>
                <w:sz w:val="28"/>
                <w:szCs w:val="28"/>
                <w:rtl/>
                <w:lang w:eastAsia="ar-EG" w:bidi="ar-EG"/>
              </w:rPr>
              <w:t> </w:t>
            </w:r>
            <w:r w:rsidRPr="0097248B">
              <w:rPr>
                <w:rFonts w:ascii="Arabic Typesetting" w:eastAsia="Arabic Typesetting" w:hAnsi="Arabic Typesetting" w:cs="Arabic Typesetting"/>
                <w:color w:val="000000"/>
                <w:sz w:val="28"/>
                <w:szCs w:val="28"/>
                <w:rtl/>
                <w:lang w:eastAsia="ar-EG" w:bidi="ar-EG"/>
              </w:rPr>
              <w:t>انضمت</w:t>
            </w:r>
            <w:r w:rsidR="00BF5D93">
              <w:rPr>
                <w:rFonts w:ascii="Arabic Typesetting" w:eastAsia="Arabic Typesetting" w:hAnsi="Arabic Typesetting" w:cs="Arabic Typesetting" w:hint="cs"/>
                <w:color w:val="000000"/>
                <w:sz w:val="28"/>
                <w:szCs w:val="28"/>
                <w:rtl/>
                <w:lang w:eastAsia="ar-EG" w:bidi="ar-EG"/>
              </w:rPr>
              <w:t> </w:t>
            </w:r>
            <w:r w:rsidRPr="0097248B">
              <w:rPr>
                <w:rFonts w:ascii="Arabic Typesetting" w:eastAsia="Arabic Typesetting" w:hAnsi="Arabic Typesetting" w:cs="Arabic Typesetting"/>
                <w:color w:val="000000"/>
                <w:sz w:val="28"/>
                <w:szCs w:val="28"/>
                <w:rtl/>
                <w:lang w:eastAsia="ar-EG" w:bidi="ar-EG"/>
              </w:rPr>
              <w:t>إليها</w:t>
            </w:r>
          </w:p>
        </w:tc>
        <w:tc>
          <w:tcPr>
            <w:tcW w:w="861" w:type="pct"/>
            <w:shd w:val="clear" w:color="auto" w:fill="auto"/>
            <w:tcMar>
              <w:top w:w="57" w:type="dxa"/>
              <w:bottom w:w="0" w:type="dxa"/>
            </w:tcMar>
          </w:tcPr>
          <w:p w14:paraId="386EE0F3"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3</w:t>
            </w:r>
          </w:p>
        </w:tc>
        <w:tc>
          <w:tcPr>
            <w:tcW w:w="569" w:type="pct"/>
            <w:shd w:val="clear" w:color="auto" w:fill="auto"/>
            <w:tcMar>
              <w:top w:w="57" w:type="dxa"/>
            </w:tcMar>
          </w:tcPr>
          <w:p w14:paraId="10B8A4B8"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576F7069" w14:textId="77777777" w:rsidTr="00263723">
        <w:tc>
          <w:tcPr>
            <w:tcW w:w="1479" w:type="pct"/>
            <w:shd w:val="clear" w:color="auto" w:fill="auto"/>
            <w:tcMar>
              <w:top w:w="57" w:type="dxa"/>
              <w:bottom w:w="113" w:type="dxa"/>
            </w:tcMar>
          </w:tcPr>
          <w:p w14:paraId="428CDD8E"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311C61CF"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sz w:val="28"/>
                <w:szCs w:val="28"/>
                <w:rtl/>
                <w:lang w:eastAsia="ar-EG" w:bidi="ar-EG"/>
              </w:rPr>
              <w:t>عدد حالات التصديق على معاهدات حق المؤلف السارية، بما في ذلك معاهدة برن ومعاهدة روما والمعاهدات الخاصة بالإنترنت، أو حالات الانضمام إليها</w:t>
            </w:r>
          </w:p>
        </w:tc>
        <w:tc>
          <w:tcPr>
            <w:tcW w:w="861" w:type="pct"/>
            <w:shd w:val="clear" w:color="auto" w:fill="auto"/>
            <w:tcMar>
              <w:top w:w="57" w:type="dxa"/>
              <w:bottom w:w="0" w:type="dxa"/>
            </w:tcMar>
          </w:tcPr>
          <w:p w14:paraId="28E11825"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3</w:t>
            </w:r>
          </w:p>
        </w:tc>
        <w:tc>
          <w:tcPr>
            <w:tcW w:w="569" w:type="pct"/>
            <w:shd w:val="clear" w:color="auto" w:fill="auto"/>
            <w:tcMar>
              <w:top w:w="57" w:type="dxa"/>
            </w:tcMar>
          </w:tcPr>
          <w:p w14:paraId="5E680407"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0BDF703A" w14:textId="77777777" w:rsidTr="00263723">
        <w:tc>
          <w:tcPr>
            <w:tcW w:w="1479" w:type="pct"/>
            <w:shd w:val="clear" w:color="auto" w:fill="auto"/>
            <w:tcMar>
              <w:top w:w="57" w:type="dxa"/>
              <w:bottom w:w="113" w:type="dxa"/>
            </w:tcMar>
          </w:tcPr>
          <w:p w14:paraId="69384D40"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2FF879AD"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 xml:space="preserve">عدد و/أو نسبة البلدان التي تقدم رأيا إيجابيا في المشورة التشريعية والسياسية التي </w:t>
            </w:r>
            <w:r w:rsidRPr="0097248B">
              <w:rPr>
                <w:rFonts w:ascii="Arabic Typesetting" w:eastAsia="Arabic Typesetting" w:hAnsi="Arabic Typesetting" w:cs="Arabic Typesetting" w:hint="cs"/>
                <w:color w:val="000000"/>
                <w:sz w:val="28"/>
                <w:szCs w:val="28"/>
                <w:rtl/>
                <w:lang w:eastAsia="ar-EG" w:bidi="ar-EG"/>
              </w:rPr>
              <w:t>تسديها</w:t>
            </w:r>
            <w:r w:rsidRPr="0097248B">
              <w:rPr>
                <w:rFonts w:ascii="Arabic Typesetting" w:eastAsia="Arabic Typesetting" w:hAnsi="Arabic Typesetting" w:cs="Arabic Typesetting"/>
                <w:color w:val="000000"/>
                <w:sz w:val="28"/>
                <w:szCs w:val="28"/>
                <w:rtl/>
                <w:lang w:eastAsia="ar-EG" w:bidi="ar-EG"/>
              </w:rPr>
              <w:t xml:space="preserve"> الويبو</w:t>
            </w:r>
          </w:p>
        </w:tc>
        <w:tc>
          <w:tcPr>
            <w:tcW w:w="861" w:type="pct"/>
            <w:shd w:val="clear" w:color="auto" w:fill="auto"/>
            <w:tcMar>
              <w:top w:w="57" w:type="dxa"/>
              <w:bottom w:w="0" w:type="dxa"/>
            </w:tcMar>
          </w:tcPr>
          <w:p w14:paraId="6A60AB20"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9</w:t>
            </w:r>
          </w:p>
        </w:tc>
        <w:tc>
          <w:tcPr>
            <w:tcW w:w="569" w:type="pct"/>
            <w:shd w:val="clear" w:color="auto" w:fill="auto"/>
            <w:tcMar>
              <w:top w:w="57" w:type="dxa"/>
            </w:tcMar>
          </w:tcPr>
          <w:p w14:paraId="1991DD31"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29457AB6" w14:textId="77777777" w:rsidTr="00263723">
        <w:trPr>
          <w:trHeight w:val="20"/>
        </w:trPr>
        <w:tc>
          <w:tcPr>
            <w:tcW w:w="1479" w:type="pct"/>
            <w:shd w:val="clear" w:color="auto" w:fill="auto"/>
            <w:tcMar>
              <w:top w:w="57" w:type="dxa"/>
              <w:bottom w:w="113" w:type="dxa"/>
            </w:tcMar>
          </w:tcPr>
          <w:p w14:paraId="15E1293B"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79F76CD6"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عدد التصديقات على المعاهدات التي تديرها الويبو</w:t>
            </w:r>
          </w:p>
        </w:tc>
        <w:tc>
          <w:tcPr>
            <w:tcW w:w="861" w:type="pct"/>
            <w:shd w:val="clear" w:color="auto" w:fill="auto"/>
            <w:tcMar>
              <w:top w:w="57" w:type="dxa"/>
              <w:bottom w:w="0" w:type="dxa"/>
            </w:tcMar>
          </w:tcPr>
          <w:p w14:paraId="2417349F"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10</w:t>
            </w:r>
          </w:p>
        </w:tc>
        <w:tc>
          <w:tcPr>
            <w:tcW w:w="569" w:type="pct"/>
            <w:shd w:val="clear" w:color="auto" w:fill="auto"/>
            <w:tcMar>
              <w:top w:w="57" w:type="dxa"/>
            </w:tcMar>
          </w:tcPr>
          <w:p w14:paraId="294A7A60"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1C49B068" w14:textId="77777777" w:rsidTr="00263723">
        <w:trPr>
          <w:trHeight w:val="41"/>
        </w:trPr>
        <w:tc>
          <w:tcPr>
            <w:tcW w:w="1479" w:type="pct"/>
            <w:shd w:val="clear" w:color="auto" w:fill="auto"/>
            <w:tcMar>
              <w:top w:w="57" w:type="dxa"/>
              <w:bottom w:w="113" w:type="dxa"/>
            </w:tcMar>
          </w:tcPr>
          <w:p w14:paraId="698156AE"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21E744C1" w14:textId="7A9C40B3"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 xml:space="preserve">عدد </w:t>
            </w:r>
            <w:r w:rsidR="00AF6433">
              <w:rPr>
                <w:rFonts w:ascii="Arabic Typesetting" w:eastAsia="Arabic Typesetting" w:hAnsi="Arabic Typesetting" w:cs="Arabic Typesetting"/>
                <w:color w:val="000000"/>
                <w:sz w:val="28"/>
                <w:szCs w:val="28"/>
                <w:rtl/>
                <w:lang w:eastAsia="ar-EG" w:bidi="ar-EG"/>
              </w:rPr>
              <w:t>البلدان المتحولة</w:t>
            </w:r>
            <w:r w:rsidRPr="0097248B">
              <w:rPr>
                <w:rFonts w:ascii="Arabic Typesetting" w:eastAsia="Arabic Typesetting" w:hAnsi="Arabic Typesetting" w:cs="Arabic Typesetting"/>
                <w:color w:val="000000"/>
                <w:sz w:val="28"/>
                <w:szCs w:val="28"/>
                <w:rtl/>
                <w:lang w:eastAsia="ar-EG" w:bidi="ar-EG"/>
              </w:rPr>
              <w:t xml:space="preserve"> وبها قوانين ولوائح وطنية مُحدَّثة</w:t>
            </w:r>
          </w:p>
        </w:tc>
        <w:tc>
          <w:tcPr>
            <w:tcW w:w="861" w:type="pct"/>
            <w:shd w:val="clear" w:color="auto" w:fill="auto"/>
            <w:tcMar>
              <w:top w:w="57" w:type="dxa"/>
              <w:bottom w:w="0" w:type="dxa"/>
            </w:tcMar>
          </w:tcPr>
          <w:p w14:paraId="40455709"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10</w:t>
            </w:r>
          </w:p>
        </w:tc>
        <w:tc>
          <w:tcPr>
            <w:tcW w:w="569" w:type="pct"/>
            <w:shd w:val="clear" w:color="auto" w:fill="auto"/>
            <w:tcMar>
              <w:top w:w="57" w:type="dxa"/>
            </w:tcMar>
          </w:tcPr>
          <w:p w14:paraId="3F28D394"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7BBCB454" w14:textId="77777777" w:rsidTr="00263723">
        <w:tc>
          <w:tcPr>
            <w:tcW w:w="1479" w:type="pct"/>
            <w:shd w:val="clear" w:color="auto" w:fill="auto"/>
            <w:tcMar>
              <w:top w:w="57" w:type="dxa"/>
              <w:bottom w:w="113" w:type="dxa"/>
            </w:tcMar>
          </w:tcPr>
          <w:p w14:paraId="52013EE0"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14D600F4"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عدد البلدان التي اعتمدت و/أو</w:t>
            </w:r>
            <w:r w:rsidRPr="0097248B">
              <w:rPr>
                <w:rFonts w:ascii="Arabic Typesetting" w:eastAsia="Arabic Typesetting" w:hAnsi="Arabic Typesetting" w:cs="Arabic Typesetting" w:hint="cs"/>
                <w:color w:val="000000"/>
                <w:sz w:val="28"/>
                <w:szCs w:val="28"/>
                <w:rtl/>
                <w:lang w:eastAsia="ar-EG" w:bidi="ar-EG"/>
              </w:rPr>
              <w:t> </w:t>
            </w:r>
            <w:r w:rsidRPr="0097248B">
              <w:rPr>
                <w:rFonts w:ascii="Arabic Typesetting" w:eastAsia="Arabic Typesetting" w:hAnsi="Arabic Typesetting" w:cs="Arabic Typesetting"/>
                <w:color w:val="000000"/>
                <w:sz w:val="28"/>
                <w:szCs w:val="28"/>
                <w:rtl/>
                <w:lang w:eastAsia="ar-EG" w:bidi="ar-EG"/>
              </w:rPr>
              <w:t>طبّقت استراتيجيةً وطنيةً بشأن إذكاء الاحترام للملكية الفكرية، أو في طريقها إلى القيام بذلك، بمساعدة الويبو</w:t>
            </w:r>
          </w:p>
        </w:tc>
        <w:tc>
          <w:tcPr>
            <w:tcW w:w="861" w:type="pct"/>
            <w:shd w:val="clear" w:color="auto" w:fill="auto"/>
            <w:tcMar>
              <w:top w:w="57" w:type="dxa"/>
              <w:bottom w:w="0" w:type="dxa"/>
            </w:tcMar>
          </w:tcPr>
          <w:p w14:paraId="70EF417E"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hint="cs"/>
                <w:sz w:val="28"/>
                <w:szCs w:val="28"/>
                <w:rtl/>
                <w:lang w:eastAsia="zh-CN"/>
              </w:rPr>
              <w:t>البرنامج 17</w:t>
            </w:r>
          </w:p>
        </w:tc>
        <w:tc>
          <w:tcPr>
            <w:tcW w:w="569" w:type="pct"/>
            <w:shd w:val="clear" w:color="auto" w:fill="auto"/>
            <w:tcMar>
              <w:top w:w="57" w:type="dxa"/>
            </w:tcMar>
          </w:tcPr>
          <w:p w14:paraId="25B06919"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55D7AFF7" w14:textId="77777777" w:rsidTr="00263723">
        <w:tc>
          <w:tcPr>
            <w:tcW w:w="1479" w:type="pct"/>
            <w:shd w:val="clear" w:color="auto" w:fill="auto"/>
            <w:tcMar>
              <w:top w:w="57" w:type="dxa"/>
              <w:bottom w:w="113" w:type="dxa"/>
            </w:tcMar>
          </w:tcPr>
          <w:p w14:paraId="115EE8F7"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011BF52C"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 xml:space="preserve">عدد البلدان أو المنظمات الإقليمية التي اعتمدت أو عدَّلت أطراً من أجل الإنفاذ الفعال للملكية الفكرية في ضوء الجزء الثالث من اتفاق تريبس والتوصية 45 من توصيات </w:t>
            </w:r>
            <w:r w:rsidRPr="0097248B">
              <w:rPr>
                <w:rFonts w:ascii="Arabic Typesetting" w:eastAsia="Arabic Typesetting" w:hAnsi="Arabic Typesetting" w:cs="Arabic Typesetting" w:hint="cs"/>
                <w:color w:val="000000"/>
                <w:sz w:val="28"/>
                <w:szCs w:val="28"/>
                <w:rtl/>
                <w:lang w:eastAsia="ar-EG" w:bidi="ar-EG"/>
              </w:rPr>
              <w:t>أجندة</w:t>
            </w:r>
            <w:r w:rsidRPr="0097248B">
              <w:rPr>
                <w:rFonts w:ascii="Arabic Typesetting" w:eastAsia="Arabic Typesetting" w:hAnsi="Arabic Typesetting" w:cs="Arabic Typesetting"/>
                <w:color w:val="000000"/>
                <w:sz w:val="28"/>
                <w:szCs w:val="28"/>
                <w:rtl/>
                <w:lang w:eastAsia="ar-EG" w:bidi="ar-EG"/>
              </w:rPr>
              <w:t xml:space="preserve"> التنمية، أو</w:t>
            </w:r>
            <w:r w:rsidRPr="0097248B">
              <w:rPr>
                <w:rFonts w:ascii="Arabic Typesetting" w:eastAsia="Arabic Typesetting" w:hAnsi="Arabic Typesetting" w:cs="Arabic Typesetting" w:hint="cs"/>
                <w:color w:val="000000"/>
                <w:sz w:val="28"/>
                <w:szCs w:val="28"/>
                <w:rtl/>
                <w:lang w:eastAsia="ar-EG" w:bidi="ar-EG"/>
              </w:rPr>
              <w:t> </w:t>
            </w:r>
            <w:r w:rsidRPr="0097248B">
              <w:rPr>
                <w:rFonts w:ascii="Arabic Typesetting" w:eastAsia="Arabic Typesetting" w:hAnsi="Arabic Typesetting" w:cs="Arabic Typesetting"/>
                <w:color w:val="000000"/>
                <w:sz w:val="28"/>
                <w:szCs w:val="28"/>
                <w:rtl/>
                <w:lang w:eastAsia="ar-EG" w:bidi="ar-EG"/>
              </w:rPr>
              <w:t xml:space="preserve">في طريقها إلى القيام بذلك، </w:t>
            </w:r>
            <w:r w:rsidRPr="0097248B">
              <w:rPr>
                <w:rFonts w:ascii="Arabic Typesetting" w:eastAsia="Arabic Typesetting" w:hAnsi="Arabic Typesetting" w:cs="Arabic Typesetting" w:hint="cs"/>
                <w:color w:val="000000"/>
                <w:sz w:val="28"/>
                <w:szCs w:val="28"/>
                <w:rtl/>
                <w:lang w:eastAsia="ar-EG" w:bidi="ar-EG"/>
              </w:rPr>
              <w:t>فضلاً عن</w:t>
            </w:r>
            <w:r w:rsidRPr="0097248B">
              <w:rPr>
                <w:rFonts w:ascii="Arabic Typesetting" w:eastAsia="Arabic Typesetting" w:hAnsi="Arabic Typesetting" w:cs="Arabic Typesetting"/>
                <w:color w:val="000000"/>
                <w:sz w:val="28"/>
                <w:szCs w:val="28"/>
                <w:rtl/>
                <w:lang w:eastAsia="ar-EG" w:bidi="ar-EG"/>
              </w:rPr>
              <w:t xml:space="preserve"> مساعدة الويبو</w:t>
            </w:r>
          </w:p>
        </w:tc>
        <w:tc>
          <w:tcPr>
            <w:tcW w:w="861" w:type="pct"/>
            <w:shd w:val="clear" w:color="auto" w:fill="auto"/>
            <w:tcMar>
              <w:top w:w="57" w:type="dxa"/>
              <w:bottom w:w="0" w:type="dxa"/>
            </w:tcMar>
          </w:tcPr>
          <w:p w14:paraId="28993742"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hint="cs"/>
                <w:sz w:val="28"/>
                <w:szCs w:val="28"/>
                <w:rtl/>
                <w:lang w:eastAsia="zh-CN"/>
              </w:rPr>
              <w:t>البرنامج 17</w:t>
            </w:r>
          </w:p>
        </w:tc>
        <w:tc>
          <w:tcPr>
            <w:tcW w:w="569" w:type="pct"/>
            <w:shd w:val="clear" w:color="auto" w:fill="auto"/>
            <w:tcMar>
              <w:top w:w="57" w:type="dxa"/>
            </w:tcMar>
          </w:tcPr>
          <w:p w14:paraId="18E9A124"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4EBEFA16" w14:textId="77777777" w:rsidTr="00263723">
        <w:tc>
          <w:tcPr>
            <w:tcW w:w="1479" w:type="pct"/>
            <w:shd w:val="clear" w:color="auto" w:fill="auto"/>
            <w:tcMar>
              <w:top w:w="57" w:type="dxa"/>
              <w:bottom w:w="113" w:type="dxa"/>
            </w:tcMar>
          </w:tcPr>
          <w:p w14:paraId="4E867CAB"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18699DDD"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861" w:type="pct"/>
            <w:shd w:val="clear" w:color="auto" w:fill="auto"/>
            <w:tcMar>
              <w:top w:w="57" w:type="dxa"/>
              <w:bottom w:w="0" w:type="dxa"/>
            </w:tcMar>
          </w:tcPr>
          <w:p w14:paraId="26D9F6C9"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hint="cs"/>
                <w:sz w:val="28"/>
                <w:szCs w:val="28"/>
                <w:rtl/>
                <w:lang w:eastAsia="zh-CN"/>
              </w:rPr>
              <w:t>البرنامج 18</w:t>
            </w:r>
          </w:p>
        </w:tc>
        <w:tc>
          <w:tcPr>
            <w:tcW w:w="569" w:type="pct"/>
            <w:shd w:val="clear" w:color="auto" w:fill="auto"/>
            <w:tcMar>
              <w:top w:w="57" w:type="dxa"/>
            </w:tcMar>
          </w:tcPr>
          <w:p w14:paraId="12DD4C26"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09B7EDA5" w14:textId="77777777" w:rsidTr="00263723">
        <w:tc>
          <w:tcPr>
            <w:tcW w:w="1479" w:type="pct"/>
            <w:shd w:val="clear" w:color="auto" w:fill="auto"/>
            <w:tcMar>
              <w:top w:w="57" w:type="dxa"/>
              <w:bottom w:w="113" w:type="dxa"/>
            </w:tcMar>
          </w:tcPr>
          <w:p w14:paraId="0F8D053F" w14:textId="77777777" w:rsidR="0097248B" w:rsidRPr="0097248B" w:rsidRDefault="0097248B" w:rsidP="0031289D">
            <w:pPr>
              <w:bidi/>
              <w:spacing w:before="120" w:after="120" w:line="280" w:lineRule="exact"/>
              <w:rPr>
                <w:rFonts w:ascii="Arabic Typesetting" w:eastAsia="SimSun" w:hAnsi="Arabic Typesetting" w:cs="Arabic Typesetting"/>
                <w:bCs/>
                <w:sz w:val="28"/>
                <w:szCs w:val="28"/>
                <w:lang w:eastAsia="zh-CN"/>
              </w:rPr>
            </w:pPr>
          </w:p>
        </w:tc>
        <w:tc>
          <w:tcPr>
            <w:tcW w:w="2091" w:type="pct"/>
            <w:shd w:val="clear" w:color="auto" w:fill="auto"/>
            <w:tcMar>
              <w:top w:w="57" w:type="dxa"/>
              <w:bottom w:w="0" w:type="dxa"/>
            </w:tcMar>
          </w:tcPr>
          <w:p w14:paraId="300F00E7"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Arabic Typesetting" w:hAnsi="Arabic Typesetting" w:cs="Arabic Typesetting"/>
                <w:color w:val="000000"/>
                <w:sz w:val="28"/>
                <w:szCs w:val="28"/>
                <w:rtl/>
                <w:lang w:eastAsia="ar-EG" w:bidi="ar-EG"/>
              </w:rPr>
              <w:t>عدد البلدان التي تلتمس مساهمات خصوصية من الويبو بشأن الملكية الفكرية فيما يتعلق بالقضايا المتعلقة بسياسة المنافسة</w:t>
            </w:r>
          </w:p>
        </w:tc>
        <w:tc>
          <w:tcPr>
            <w:tcW w:w="861" w:type="pct"/>
            <w:shd w:val="clear" w:color="auto" w:fill="auto"/>
            <w:tcMar>
              <w:top w:w="57" w:type="dxa"/>
              <w:bottom w:w="0" w:type="dxa"/>
            </w:tcMar>
          </w:tcPr>
          <w:p w14:paraId="4AA26E8A"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hint="cs"/>
                <w:sz w:val="28"/>
                <w:szCs w:val="28"/>
                <w:rtl/>
                <w:lang w:eastAsia="zh-CN"/>
              </w:rPr>
              <w:t>البرنامج 18</w:t>
            </w:r>
          </w:p>
        </w:tc>
        <w:tc>
          <w:tcPr>
            <w:tcW w:w="569" w:type="pct"/>
            <w:shd w:val="clear" w:color="auto" w:fill="auto"/>
            <w:tcMar>
              <w:top w:w="57" w:type="dxa"/>
            </w:tcMar>
          </w:tcPr>
          <w:p w14:paraId="54778F0E" w14:textId="77777777" w:rsidR="0097248B" w:rsidRPr="0097248B" w:rsidRDefault="0097248B" w:rsidP="0031289D">
            <w:pPr>
              <w:bidi/>
              <w:spacing w:before="120" w:after="120" w:line="280" w:lineRule="exact"/>
              <w:jc w:val="center"/>
              <w:rPr>
                <w:rFonts w:ascii="Arabic Typesetting" w:eastAsia="SimSun" w:hAnsi="Arabic Typesetting" w:cs="Arabic Typesetting"/>
                <w:b/>
                <w:bCs/>
                <w:sz w:val="28"/>
                <w:szCs w:val="28"/>
                <w:lang w:eastAsia="zh-CN"/>
              </w:rPr>
            </w:pPr>
            <w:r w:rsidRPr="0097248B">
              <w:rPr>
                <w:rFonts w:ascii="Arabic Typesetting" w:eastAsia="SimSun" w:hAnsi="Arabic Typesetting" w:cs="Arabic Typesetting"/>
                <w:color w:val="FF0000"/>
                <w:sz w:val="28"/>
                <w:szCs w:val="28"/>
                <w:lang w:eastAsia="zh-CN"/>
              </w:rPr>
              <w:sym w:font="Wingdings" w:char="F06C"/>
            </w:r>
          </w:p>
        </w:tc>
      </w:tr>
      <w:tr w:rsidR="0097248B" w:rsidRPr="0097248B" w14:paraId="7EB0C8C6" w14:textId="77777777" w:rsidTr="00263723">
        <w:trPr>
          <w:trHeight w:val="663"/>
        </w:trPr>
        <w:tc>
          <w:tcPr>
            <w:tcW w:w="1479" w:type="pct"/>
            <w:shd w:val="clear" w:color="auto" w:fill="auto"/>
            <w:tcMar>
              <w:top w:w="57" w:type="dxa"/>
              <w:bottom w:w="113" w:type="dxa"/>
            </w:tcMar>
          </w:tcPr>
          <w:p w14:paraId="70249972" w14:textId="77777777" w:rsidR="0097248B" w:rsidRPr="0097248B" w:rsidRDefault="0097248B" w:rsidP="0031289D">
            <w:pPr>
              <w:bidi/>
              <w:spacing w:before="120" w:after="120" w:line="280" w:lineRule="exact"/>
              <w:rPr>
                <w:rFonts w:ascii="Arabic Typesetting" w:eastAsia="SimSun" w:hAnsi="Arabic Typesetting" w:cs="Arabic Typesetting"/>
                <w:b/>
                <w:sz w:val="28"/>
                <w:szCs w:val="28"/>
                <w:lang w:eastAsia="zh-CN" w:bidi="ar-EG"/>
              </w:rPr>
            </w:pPr>
            <w:r w:rsidRPr="0097248B">
              <w:rPr>
                <w:rFonts w:ascii="Arabic Typesetting" w:eastAsia="SimSun" w:hAnsi="Arabic Typesetting" w:cs="Arabic Typesetting"/>
                <w:b/>
                <w:sz w:val="28"/>
                <w:szCs w:val="28"/>
                <w:rtl/>
                <w:lang w:eastAsia="zh-CN" w:bidi="ar-EG"/>
              </w:rPr>
              <w:t>ه3.1 حماية متزايدة لشعارات وأسماء المنظمات الحكومية الدولية وشعاراتها</w:t>
            </w:r>
          </w:p>
        </w:tc>
        <w:tc>
          <w:tcPr>
            <w:tcW w:w="2091" w:type="pct"/>
            <w:shd w:val="clear" w:color="auto" w:fill="auto"/>
            <w:tcMar>
              <w:top w:w="57" w:type="dxa"/>
              <w:bottom w:w="113" w:type="dxa"/>
            </w:tcMar>
          </w:tcPr>
          <w:p w14:paraId="471FA7B2" w14:textId="77777777"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SimSun" w:hAnsi="Arabic Typesetting" w:cs="Arabic Typesetting"/>
                <w:b/>
                <w:sz w:val="28"/>
                <w:szCs w:val="28"/>
                <w:rtl/>
                <w:lang w:eastAsia="zh-CN" w:bidi="ar-EG"/>
              </w:rPr>
              <w:t>عدد الشعارات الواردة في قاعدة بيانات المادة 6 (ثالثا)</w:t>
            </w:r>
          </w:p>
        </w:tc>
        <w:tc>
          <w:tcPr>
            <w:tcW w:w="861" w:type="pct"/>
            <w:shd w:val="clear" w:color="auto" w:fill="auto"/>
            <w:tcMar>
              <w:top w:w="57" w:type="dxa"/>
              <w:bottom w:w="0" w:type="dxa"/>
            </w:tcMar>
          </w:tcPr>
          <w:p w14:paraId="2471261E"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2</w:t>
            </w:r>
          </w:p>
        </w:tc>
        <w:tc>
          <w:tcPr>
            <w:tcW w:w="569" w:type="pct"/>
            <w:shd w:val="clear" w:color="auto" w:fill="auto"/>
            <w:tcMar>
              <w:top w:w="57" w:type="dxa"/>
            </w:tcMar>
          </w:tcPr>
          <w:p w14:paraId="23D00732" w14:textId="77777777" w:rsidR="0097248B" w:rsidRPr="0097248B" w:rsidRDefault="0097248B" w:rsidP="0031289D">
            <w:pPr>
              <w:bidi/>
              <w:spacing w:before="120" w:after="120" w:line="280" w:lineRule="exact"/>
              <w:jc w:val="center"/>
              <w:rPr>
                <w:rFonts w:ascii="Arabic Typesetting" w:eastAsia="SimSun" w:hAnsi="Arabic Typesetting" w:cs="Arabic Typesetting"/>
                <w:b/>
                <w:bCs/>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r w:rsidR="0097248B" w:rsidRPr="0097248B" w14:paraId="1DB15FAE" w14:textId="77777777" w:rsidTr="00263723">
        <w:tc>
          <w:tcPr>
            <w:tcW w:w="1479" w:type="pct"/>
            <w:shd w:val="clear" w:color="auto" w:fill="auto"/>
            <w:tcMar>
              <w:top w:w="57" w:type="dxa"/>
              <w:bottom w:w="113" w:type="dxa"/>
            </w:tcMar>
          </w:tcPr>
          <w:p w14:paraId="5F135C4C" w14:textId="5C0EE83A" w:rsidR="0097248B" w:rsidRPr="0097248B" w:rsidRDefault="0097248B" w:rsidP="0031289D">
            <w:pPr>
              <w:bidi/>
              <w:spacing w:before="120" w:after="120" w:line="280" w:lineRule="exact"/>
              <w:rPr>
                <w:rFonts w:ascii="Arabic Typesetting" w:eastAsia="SimSun" w:hAnsi="Arabic Typesetting" w:cs="Arabic Typesetting"/>
                <w:b/>
                <w:sz w:val="28"/>
                <w:szCs w:val="28"/>
                <w:lang w:eastAsia="zh-CN" w:bidi="ar-EG"/>
              </w:rPr>
            </w:pPr>
            <w:r w:rsidRPr="0097248B">
              <w:rPr>
                <w:rFonts w:ascii="Arabic Typesetting" w:eastAsia="SimSun" w:hAnsi="Arabic Typesetting" w:cs="Arabic Typesetting"/>
                <w:b/>
                <w:sz w:val="28"/>
                <w:szCs w:val="28"/>
                <w:rtl/>
                <w:lang w:eastAsia="zh-CN" w:bidi="ar-EG"/>
              </w:rPr>
              <w:t>ه</w:t>
            </w:r>
            <w:r w:rsidRPr="0097248B">
              <w:rPr>
                <w:rFonts w:ascii="Arabic Typesetting" w:eastAsia="SimSun" w:hAnsi="Arabic Typesetting" w:cs="Arabic Typesetting" w:hint="cs"/>
                <w:b/>
                <w:sz w:val="28"/>
                <w:szCs w:val="28"/>
                <w:rtl/>
                <w:lang w:eastAsia="zh-CN" w:bidi="ar-EG"/>
              </w:rPr>
              <w:t xml:space="preserve">4.1 </w:t>
            </w:r>
            <w:r w:rsidRPr="0097248B">
              <w:rPr>
                <w:rFonts w:ascii="Arabic Typesetting" w:eastAsia="SimSun" w:hAnsi="Arabic Typesetting" w:cs="Arabic Typesetting"/>
                <w:b/>
                <w:sz w:val="28"/>
                <w:szCs w:val="28"/>
                <w:rtl/>
                <w:lang w:eastAsia="zh-CN" w:bidi="ar-EG"/>
              </w:rPr>
              <w:t>اهتمام متزايد بالويبو كمحفل لتحليل القضايا فيما يتعلق بالحماية الدولية للبراءات ونماذج المنفعة وتصاميم (</w:t>
            </w:r>
            <w:r w:rsidR="00D02C02">
              <w:rPr>
                <w:rFonts w:ascii="Arabic Typesetting" w:eastAsia="SimSun" w:hAnsi="Arabic Typesetting" w:cs="Arabic Typesetting"/>
                <w:b/>
                <w:sz w:val="28"/>
                <w:szCs w:val="28"/>
                <w:rtl/>
                <w:lang w:eastAsia="zh-CN" w:bidi="ar-EG"/>
              </w:rPr>
              <w:t>طوبوغرافيات</w:t>
            </w:r>
            <w:r w:rsidRPr="0097248B">
              <w:rPr>
                <w:rFonts w:ascii="Arabic Typesetting" w:eastAsia="SimSun" w:hAnsi="Arabic Typesetting" w:cs="Arabic Typesetting"/>
                <w:b/>
                <w:sz w:val="28"/>
                <w:szCs w:val="28"/>
                <w:rtl/>
                <w:lang w:eastAsia="zh-CN" w:bidi="ar-EG"/>
              </w:rPr>
              <w:t>) الدوائر المتكاملة والمعلومات السرية</w:t>
            </w:r>
          </w:p>
        </w:tc>
        <w:tc>
          <w:tcPr>
            <w:tcW w:w="2091" w:type="pct"/>
            <w:shd w:val="clear" w:color="auto" w:fill="auto"/>
            <w:tcMar>
              <w:top w:w="57" w:type="dxa"/>
              <w:bottom w:w="113" w:type="dxa"/>
            </w:tcMar>
          </w:tcPr>
          <w:p w14:paraId="04C8BFEE" w14:textId="096ED8CC" w:rsidR="0097248B" w:rsidRPr="0097248B" w:rsidRDefault="0097248B" w:rsidP="0031289D">
            <w:pPr>
              <w:bidi/>
              <w:spacing w:before="120" w:after="120" w:line="280" w:lineRule="exact"/>
              <w:rPr>
                <w:rFonts w:ascii="Arabic Typesetting" w:eastAsia="SimSun" w:hAnsi="Arabic Typesetting" w:cs="Arabic Typesetting"/>
                <w:sz w:val="28"/>
                <w:szCs w:val="28"/>
                <w:lang w:eastAsia="zh-CN"/>
              </w:rPr>
            </w:pPr>
            <w:r w:rsidRPr="0097248B">
              <w:rPr>
                <w:rFonts w:ascii="Arabic Typesetting" w:eastAsia="SimSun" w:hAnsi="Arabic Typesetting" w:cs="Arabic Typesetting"/>
                <w:b/>
                <w:sz w:val="28"/>
                <w:szCs w:val="28"/>
                <w:rtl/>
                <w:lang w:eastAsia="zh-CN" w:bidi="ar-EG"/>
              </w:rPr>
              <w:t xml:space="preserve">النسبة المئوية للجهات </w:t>
            </w:r>
            <w:r w:rsidRPr="0097248B">
              <w:rPr>
                <w:rFonts w:ascii="Arabic Typesetting" w:eastAsia="SimSun" w:hAnsi="Arabic Typesetting" w:cs="Arabic Typesetting" w:hint="cs"/>
                <w:b/>
                <w:sz w:val="28"/>
                <w:szCs w:val="28"/>
                <w:rtl/>
                <w:lang w:eastAsia="zh-CN" w:bidi="ar-EG"/>
              </w:rPr>
              <w:t>المستفيدة</w:t>
            </w:r>
            <w:r w:rsidRPr="0097248B">
              <w:rPr>
                <w:rFonts w:ascii="Arabic Typesetting" w:eastAsia="SimSun" w:hAnsi="Arabic Typesetting" w:cs="Arabic Typesetting"/>
                <w:b/>
                <w:sz w:val="28"/>
                <w:szCs w:val="28"/>
                <w:rtl/>
                <w:lang w:eastAsia="zh-CN" w:bidi="ar-EG"/>
              </w:rPr>
              <w:t xml:space="preserve"> التي وجدت المعلومات المقدمة بشأن المبادئ والممارسات القانونية</w:t>
            </w:r>
            <w:r w:rsidRPr="0097248B">
              <w:rPr>
                <w:rFonts w:ascii="Arabic Typesetting" w:eastAsia="SimSun" w:hAnsi="Arabic Typesetting" w:cs="Arabic Typesetting" w:hint="cs"/>
                <w:b/>
                <w:sz w:val="28"/>
                <w:szCs w:val="28"/>
                <w:rtl/>
                <w:lang w:eastAsia="zh-CN" w:bidi="ar-EG"/>
              </w:rPr>
              <w:t xml:space="preserve"> لحماية نماذج المنفعة </w:t>
            </w:r>
            <w:r w:rsidRPr="0097248B">
              <w:rPr>
                <w:rFonts w:ascii="Arabic Typesetting" w:eastAsia="SimSun" w:hAnsi="Arabic Typesetting" w:cs="Arabic Typesetting"/>
                <w:b/>
                <w:sz w:val="28"/>
                <w:szCs w:val="28"/>
                <w:rtl/>
                <w:lang w:eastAsia="zh-CN" w:bidi="ar-EG"/>
              </w:rPr>
              <w:t>وتصاميم (</w:t>
            </w:r>
            <w:r w:rsidR="00D02C02">
              <w:rPr>
                <w:rFonts w:ascii="Arabic Typesetting" w:eastAsia="SimSun" w:hAnsi="Arabic Typesetting" w:cs="Arabic Typesetting"/>
                <w:b/>
                <w:sz w:val="28"/>
                <w:szCs w:val="28"/>
                <w:rtl/>
                <w:lang w:eastAsia="zh-CN" w:bidi="ar-EG"/>
              </w:rPr>
              <w:t>طوبوغرافيات</w:t>
            </w:r>
            <w:r w:rsidRPr="0097248B">
              <w:rPr>
                <w:rFonts w:ascii="Arabic Typesetting" w:eastAsia="SimSun" w:hAnsi="Arabic Typesetting" w:cs="Arabic Typesetting"/>
                <w:b/>
                <w:sz w:val="28"/>
                <w:szCs w:val="28"/>
                <w:rtl/>
                <w:lang w:eastAsia="zh-CN" w:bidi="ar-EG"/>
              </w:rPr>
              <w:t>) الدوائر المتكاملة والمعلومات السرية</w:t>
            </w:r>
            <w:r w:rsidRPr="0097248B">
              <w:rPr>
                <w:rFonts w:ascii="Arabic Typesetting" w:eastAsia="SimSun" w:hAnsi="Arabic Typesetting" w:cs="Arabic Typesetting" w:hint="cs"/>
                <w:b/>
                <w:sz w:val="28"/>
                <w:szCs w:val="28"/>
                <w:rtl/>
                <w:lang w:eastAsia="zh-CN" w:bidi="ar-EG"/>
              </w:rPr>
              <w:t>، معلومات مفيدة</w:t>
            </w:r>
          </w:p>
        </w:tc>
        <w:tc>
          <w:tcPr>
            <w:tcW w:w="861" w:type="pct"/>
            <w:shd w:val="clear" w:color="auto" w:fill="auto"/>
            <w:tcMar>
              <w:top w:w="57" w:type="dxa"/>
              <w:bottom w:w="0" w:type="dxa"/>
            </w:tcMar>
          </w:tcPr>
          <w:p w14:paraId="2477CBA7" w14:textId="77777777" w:rsidR="0097248B" w:rsidRPr="0097248B" w:rsidRDefault="0097248B" w:rsidP="0031289D">
            <w:pPr>
              <w:bidi/>
              <w:spacing w:before="120" w:after="120" w:line="280" w:lineRule="exact"/>
              <w:jc w:val="center"/>
              <w:rPr>
                <w:rFonts w:ascii="Arabic Typesetting" w:eastAsia="SimSun" w:hAnsi="Arabic Typesetting" w:cs="Arabic Typesetting"/>
                <w:sz w:val="28"/>
                <w:szCs w:val="28"/>
                <w:lang w:eastAsia="zh-CN"/>
              </w:rPr>
            </w:pPr>
            <w:r w:rsidRPr="0097248B">
              <w:rPr>
                <w:rFonts w:ascii="Arabic Typesetting" w:eastAsia="SimSun" w:hAnsi="Arabic Typesetting" w:cs="Arabic Typesetting"/>
                <w:sz w:val="28"/>
                <w:szCs w:val="28"/>
                <w:rtl/>
                <w:lang w:eastAsia="zh-CN"/>
              </w:rPr>
              <w:t>البرنامج 1</w:t>
            </w:r>
          </w:p>
        </w:tc>
        <w:tc>
          <w:tcPr>
            <w:tcW w:w="569" w:type="pct"/>
            <w:shd w:val="clear" w:color="auto" w:fill="auto"/>
            <w:tcMar>
              <w:top w:w="57" w:type="dxa"/>
            </w:tcMar>
          </w:tcPr>
          <w:p w14:paraId="22CC965E" w14:textId="77777777" w:rsidR="0097248B" w:rsidRPr="0097248B" w:rsidRDefault="0097248B" w:rsidP="0031289D">
            <w:pPr>
              <w:bidi/>
              <w:spacing w:before="120" w:after="120" w:line="280" w:lineRule="exact"/>
              <w:jc w:val="center"/>
              <w:rPr>
                <w:rFonts w:ascii="Arabic Typesetting" w:eastAsia="SimSun" w:hAnsi="Arabic Typesetting" w:cs="Arabic Typesetting"/>
                <w:b/>
                <w:bCs/>
                <w:sz w:val="28"/>
                <w:szCs w:val="28"/>
                <w:lang w:eastAsia="zh-CN"/>
              </w:rPr>
            </w:pPr>
            <w:r w:rsidRPr="0097248B">
              <w:rPr>
                <w:rFonts w:ascii="Arabic Typesetting" w:eastAsia="SimSun" w:hAnsi="Arabic Typesetting" w:cs="Arabic Typesetting"/>
                <w:color w:val="00B050"/>
                <w:sz w:val="28"/>
                <w:szCs w:val="28"/>
                <w:lang w:eastAsia="zh-CN"/>
              </w:rPr>
              <w:sym w:font="Wingdings" w:char="F06C"/>
            </w:r>
          </w:p>
        </w:tc>
      </w:tr>
    </w:tbl>
    <w:p w14:paraId="5031A060" w14:textId="77777777" w:rsidR="00B54D74" w:rsidRPr="003C4619" w:rsidRDefault="00B54D74" w:rsidP="0031289D">
      <w:pPr>
        <w:pStyle w:val="NormalParaAR"/>
        <w:spacing w:line="240" w:lineRule="auto"/>
        <w:rPr>
          <w:rtl/>
        </w:rPr>
      </w:pPr>
    </w:p>
    <w:p w14:paraId="2D3B936D" w14:textId="6CEE4FD3" w:rsidR="00BA024D" w:rsidRPr="00DB0677" w:rsidRDefault="00BA024D" w:rsidP="00DA7DF7">
      <w:pPr>
        <w:pStyle w:val="Heading3"/>
        <w:spacing w:after="240"/>
        <w:ind w:left="1984" w:hanging="1984"/>
      </w:pPr>
      <w:bookmarkStart w:id="12" w:name="_Toc482782740"/>
      <w:r w:rsidRPr="00DB0677">
        <w:rPr>
          <w:rtl/>
        </w:rPr>
        <w:lastRenderedPageBreak/>
        <w:t>البرنامج</w:t>
      </w:r>
      <w:r w:rsidRPr="00DB0677">
        <w:t xml:space="preserve"> </w:t>
      </w:r>
      <w:r w:rsidRPr="00DB0677">
        <w:rPr>
          <w:rFonts w:hint="cs"/>
          <w:rtl/>
        </w:rPr>
        <w:t>1:</w:t>
      </w:r>
      <w:r w:rsidRPr="00DB0677">
        <w:tab/>
      </w:r>
      <w:r w:rsidRPr="00DB0677">
        <w:rPr>
          <w:rFonts w:hint="cs"/>
          <w:rtl/>
        </w:rPr>
        <w:t>قانون البراءات</w:t>
      </w:r>
      <w:bookmarkEnd w:id="2"/>
      <w:bookmarkEnd w:id="3"/>
      <w:bookmarkEnd w:id="12"/>
    </w:p>
    <w:p w14:paraId="61937611" w14:textId="77777777" w:rsidR="00BA024D" w:rsidRDefault="00BA024D"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FE3908">
        <w:rPr>
          <w:rFonts w:ascii="Arabic Typesetting" w:hAnsi="Arabic Typesetting" w:cs="Arabic Typesetting" w:hint="cs"/>
          <w:b/>
          <w:bCs/>
          <w:sz w:val="36"/>
          <w:szCs w:val="36"/>
          <w:rtl/>
          <w:lang w:val="fr-CH"/>
        </w:rPr>
        <w:t xml:space="preserve">السيد </w:t>
      </w:r>
      <w:r>
        <w:rPr>
          <w:rFonts w:ascii="Arabic Typesetting" w:hAnsi="Arabic Typesetting" w:cs="Arabic Typesetting" w:hint="cs"/>
          <w:b/>
          <w:bCs/>
          <w:sz w:val="36"/>
          <w:szCs w:val="36"/>
          <w:rtl/>
          <w:lang w:val="fr-CH"/>
        </w:rPr>
        <w:t>جون</w:t>
      </w:r>
      <w:r w:rsidRPr="00FE3908">
        <w:rPr>
          <w:rFonts w:ascii="Arabic Typesetting" w:hAnsi="Arabic Typesetting" w:cs="Arabic Typesetting" w:hint="cs"/>
          <w:b/>
          <w:bCs/>
          <w:sz w:val="36"/>
          <w:szCs w:val="36"/>
          <w:rtl/>
          <w:lang w:val="fr-CH"/>
        </w:rPr>
        <w:t xml:space="preserve"> </w:t>
      </w:r>
      <w:r>
        <w:rPr>
          <w:rFonts w:ascii="Arabic Typesetting" w:hAnsi="Arabic Typesetting" w:cs="Arabic Typesetting" w:hint="cs"/>
          <w:b/>
          <w:bCs/>
          <w:sz w:val="36"/>
          <w:szCs w:val="36"/>
          <w:rtl/>
          <w:lang w:val="fr-CH"/>
        </w:rPr>
        <w:t>سانديج</w:t>
      </w:r>
    </w:p>
    <w:p w14:paraId="7125503A" w14:textId="77777777" w:rsidR="00FD20EC" w:rsidRDefault="00441176" w:rsidP="0031289D">
      <w:pPr>
        <w:bidi/>
        <w:spacing w:after="120"/>
        <w:jc w:val="center"/>
        <w:rPr>
          <w:rFonts w:ascii="Arabic Typesetting" w:hAnsi="Arabic Typesetting" w:cs="Arabic Typesetting"/>
          <w:noProof/>
          <w:sz w:val="36"/>
          <w:szCs w:val="36"/>
          <w:rtl/>
        </w:rPr>
      </w:pPr>
      <w:r>
        <w:rPr>
          <w:rFonts w:ascii="Arabic Typesetting" w:hAnsi="Arabic Typesetting" w:cs="Arabic Typesetting"/>
          <w:noProof/>
          <w:sz w:val="36"/>
          <w:szCs w:val="36"/>
        </w:rPr>
        <w:drawing>
          <wp:inline distT="0" distB="0" distL="0" distR="0" wp14:anchorId="4D283358" wp14:editId="30A548CB">
            <wp:extent cx="3600000" cy="216470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2164702"/>
                    </a:xfrm>
                    <a:prstGeom prst="rect">
                      <a:avLst/>
                    </a:prstGeom>
                    <a:noFill/>
                  </pic:spPr>
                </pic:pic>
              </a:graphicData>
            </a:graphic>
          </wp:inline>
        </w:drawing>
      </w:r>
    </w:p>
    <w:tbl>
      <w:tblPr>
        <w:bidiVisual/>
        <w:tblW w:w="5000" w:type="pct"/>
        <w:tblLook w:val="0000" w:firstRow="0" w:lastRow="0" w:firstColumn="0" w:lastColumn="0" w:noHBand="0" w:noVBand="0"/>
      </w:tblPr>
      <w:tblGrid>
        <w:gridCol w:w="1964"/>
        <w:gridCol w:w="3400"/>
        <w:gridCol w:w="825"/>
        <w:gridCol w:w="2787"/>
        <w:gridCol w:w="595"/>
      </w:tblGrid>
      <w:tr w:rsidR="00BA024D" w:rsidRPr="00211D55" w14:paraId="391F5445" w14:textId="77777777" w:rsidTr="00E5593D">
        <w:trPr>
          <w:cantSplit/>
          <w:trHeight w:val="20"/>
        </w:trPr>
        <w:tc>
          <w:tcPr>
            <w:tcW w:w="5000" w:type="pct"/>
            <w:gridSpan w:val="5"/>
            <w:shd w:val="clear" w:color="auto" w:fill="C6D9F1" w:themeFill="text2" w:themeFillTint="33"/>
            <w:tcMar>
              <w:top w:w="0" w:type="dxa"/>
            </w:tcMar>
            <w:vAlign w:val="center"/>
          </w:tcPr>
          <w:p w14:paraId="3F83AA0C" w14:textId="77777777" w:rsidR="00BA024D" w:rsidRPr="00211D55" w:rsidRDefault="00BA024D" w:rsidP="0031289D">
            <w:pPr>
              <w:keepNext/>
              <w:bidi/>
              <w:spacing w:before="60" w:after="60" w:line="280" w:lineRule="exact"/>
              <w:rPr>
                <w:rFonts w:ascii="Arabic Typesetting" w:hAnsi="Arabic Typesetting" w:cs="Arabic Typesetting"/>
                <w:b/>
                <w:bCs/>
                <w:sz w:val="28"/>
                <w:szCs w:val="28"/>
                <w:lang w:bidi="ar-EG"/>
              </w:rPr>
            </w:pPr>
            <w:r w:rsidRPr="00715467">
              <w:rPr>
                <w:rFonts w:ascii="Arabic Typesetting" w:hAnsi="Arabic Typesetting" w:cs="Arabic Typesetting"/>
                <w:bCs/>
                <w:sz w:val="28"/>
                <w:szCs w:val="28"/>
                <w:shd w:val="clear" w:color="auto" w:fill="C6D9F1"/>
                <w:rtl/>
                <w:lang w:bidi="ar-EG"/>
              </w:rPr>
              <w:t>النتيجة</w:t>
            </w:r>
            <w:r w:rsidRPr="00211D55">
              <w:rPr>
                <w:rFonts w:ascii="Arabic Typesetting" w:hAnsi="Arabic Typesetting" w:cs="Arabic Typesetting"/>
                <w:b/>
                <w:bCs/>
                <w:sz w:val="28"/>
                <w:szCs w:val="28"/>
                <w:rtl/>
                <w:lang w:bidi="ar-EG"/>
              </w:rPr>
              <w:t xml:space="preserve"> المرتقبة: </w:t>
            </w:r>
            <w:r w:rsidRPr="00211D55">
              <w:rPr>
                <w:rFonts w:ascii="Arabic Typesetting" w:hAnsi="Arabic Typesetting" w:cs="Arabic Typesetting"/>
                <w:sz w:val="28"/>
                <w:szCs w:val="28"/>
                <w:rtl/>
                <w:lang w:bidi="ar-EG"/>
              </w:rPr>
              <w:tab/>
            </w:r>
            <w:r>
              <w:rPr>
                <w:rFonts w:ascii="Arabic Typesetting" w:hAnsi="Arabic Typesetting" w:cs="Arabic Typesetting"/>
                <w:sz w:val="28"/>
                <w:szCs w:val="28"/>
                <w:rtl/>
                <w:lang w:bidi="ar-EG"/>
              </w:rPr>
              <w:t>ه1.1 تعاون معزز بين الدول الأعضاء في تطوير أطر معيارية دولية متوازنة للملكية الفكرية</w:t>
            </w:r>
          </w:p>
        </w:tc>
      </w:tr>
      <w:tr w:rsidR="00441176" w:rsidRPr="00211D55" w14:paraId="58241763" w14:textId="77777777" w:rsidTr="00E5593D">
        <w:trPr>
          <w:cantSplit/>
          <w:trHeight w:val="20"/>
        </w:trPr>
        <w:tc>
          <w:tcPr>
            <w:tcW w:w="1026" w:type="pct"/>
            <w:tcMar>
              <w:top w:w="110" w:type="dxa"/>
            </w:tcMar>
          </w:tcPr>
          <w:p w14:paraId="01F0A09B" w14:textId="77777777" w:rsidR="00BA024D" w:rsidRPr="00211D55" w:rsidRDefault="00BA024D"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1776" w:type="pct"/>
            <w:shd w:val="clear" w:color="auto" w:fill="FFFFFF" w:themeFill="background1"/>
            <w:tcMar>
              <w:top w:w="110" w:type="dxa"/>
            </w:tcMar>
          </w:tcPr>
          <w:p w14:paraId="074DFD01" w14:textId="77777777" w:rsidR="00BA024D" w:rsidRPr="00211D55" w:rsidRDefault="00BA024D" w:rsidP="0031289D">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431" w:type="pct"/>
          </w:tcPr>
          <w:p w14:paraId="55EFC6A9" w14:textId="77777777" w:rsidR="00BA024D" w:rsidRPr="00211D55" w:rsidRDefault="00BA024D"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1456" w:type="pct"/>
            <w:tcMar>
              <w:top w:w="110" w:type="dxa"/>
            </w:tcMar>
          </w:tcPr>
          <w:p w14:paraId="6AA5342C" w14:textId="77777777" w:rsidR="00BA024D" w:rsidRPr="00211D55" w:rsidRDefault="00BA024D"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311" w:type="pct"/>
            <w:tcMar>
              <w:top w:w="110" w:type="dxa"/>
            </w:tcMar>
          </w:tcPr>
          <w:p w14:paraId="5ECF7764" w14:textId="77777777" w:rsidR="00BA024D" w:rsidRPr="00211D55" w:rsidRDefault="00BA024D"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441176" w:rsidRPr="00211D55" w14:paraId="371644B6" w14:textId="77777777" w:rsidTr="00E5593D">
        <w:trPr>
          <w:cantSplit/>
          <w:trHeight w:val="20"/>
        </w:trPr>
        <w:tc>
          <w:tcPr>
            <w:tcW w:w="1026" w:type="pct"/>
            <w:tcMar>
              <w:top w:w="110" w:type="dxa"/>
            </w:tcMar>
          </w:tcPr>
          <w:p w14:paraId="7BA2058E" w14:textId="597E5127" w:rsidR="00BA024D" w:rsidRPr="00211D55" w:rsidRDefault="00ED382B" w:rsidP="0031289D">
            <w:pPr>
              <w:bidi/>
              <w:spacing w:before="60" w:after="60" w:line="280" w:lineRule="exact"/>
              <w:rPr>
                <w:rFonts w:ascii="Arabic Typesetting" w:hAnsi="Arabic Typesetting" w:cs="Arabic Typesetting"/>
                <w:b/>
                <w:sz w:val="28"/>
                <w:szCs w:val="28"/>
                <w:rtl/>
                <w:lang w:bidi="ar-EG"/>
              </w:rPr>
            </w:pPr>
            <w:r w:rsidRPr="00ED382B">
              <w:rPr>
                <w:rFonts w:ascii="Arabic Typesetting" w:hAnsi="Arabic Typesetting" w:cs="Arabic Typesetting"/>
                <w:b/>
                <w:sz w:val="28"/>
                <w:szCs w:val="28"/>
                <w:rtl/>
              </w:rPr>
              <w:t xml:space="preserve">التقدم المحرز في تنفيذ العمل المتفق عليه وفقا لجدول أعمال </w:t>
            </w:r>
            <w:r w:rsidR="00DB0677">
              <w:rPr>
                <w:rFonts w:ascii="Arabic Typesetting" w:hAnsi="Arabic Typesetting" w:cs="Arabic Typesetting" w:hint="cs"/>
                <w:b/>
                <w:sz w:val="28"/>
                <w:szCs w:val="28"/>
                <w:rtl/>
              </w:rPr>
              <w:t>لجنة البراءات</w:t>
            </w:r>
          </w:p>
        </w:tc>
        <w:tc>
          <w:tcPr>
            <w:tcW w:w="1776" w:type="pct"/>
            <w:shd w:val="clear" w:color="auto" w:fill="auto"/>
            <w:tcMar>
              <w:top w:w="110" w:type="dxa"/>
            </w:tcMar>
          </w:tcPr>
          <w:p w14:paraId="56F5FC55" w14:textId="77777777" w:rsidR="00EC6408" w:rsidRDefault="00BA024D" w:rsidP="0031289D">
            <w:pPr>
              <w:bidi/>
              <w:spacing w:line="280" w:lineRule="exact"/>
              <w:rPr>
                <w:rFonts w:ascii="Arabic Typesetting" w:hAnsi="Arabic Typesetting" w:cs="Arabic Typesetting"/>
                <w:b/>
                <w:i/>
                <w:iCs/>
                <w:color w:val="002060"/>
                <w:spacing w:val="-4"/>
                <w:sz w:val="28"/>
                <w:szCs w:val="28"/>
                <w:rtl/>
                <w:lang w:bidi="ar-EG"/>
              </w:rPr>
            </w:pPr>
            <w:r w:rsidRPr="00ED382B">
              <w:rPr>
                <w:rFonts w:ascii="Arabic Typesetting" w:hAnsi="Arabic Typesetting" w:cs="Arabic Typesetting"/>
                <w:b/>
                <w:i/>
                <w:iCs/>
                <w:color w:val="002060"/>
                <w:spacing w:val="-4"/>
                <w:sz w:val="28"/>
                <w:szCs w:val="28"/>
                <w:rtl/>
                <w:lang w:bidi="ar-EG"/>
              </w:rPr>
              <w:t>أس</w:t>
            </w:r>
            <w:r w:rsidR="00DB0677">
              <w:rPr>
                <w:rFonts w:ascii="Arabic Typesetting" w:hAnsi="Arabic Typesetting" w:cs="Arabic Typesetting" w:hint="cs"/>
                <w:b/>
                <w:i/>
                <w:iCs/>
                <w:color w:val="002060"/>
                <w:spacing w:val="-4"/>
                <w:sz w:val="28"/>
                <w:szCs w:val="28"/>
                <w:rtl/>
                <w:lang w:bidi="ar-EG"/>
              </w:rPr>
              <w:t>ا</w:t>
            </w:r>
            <w:r w:rsidR="00DB0677">
              <w:rPr>
                <w:rFonts w:ascii="Arabic Typesetting" w:hAnsi="Arabic Typesetting" w:cs="Arabic Typesetting"/>
                <w:b/>
                <w:i/>
                <w:iCs/>
                <w:color w:val="002060"/>
                <w:spacing w:val="-4"/>
                <w:sz w:val="28"/>
                <w:szCs w:val="28"/>
                <w:rtl/>
                <w:lang w:bidi="ar-EG"/>
              </w:rPr>
              <w:t>س المقارنة المحدّث</w:t>
            </w:r>
            <w:r w:rsidRPr="00ED382B">
              <w:rPr>
                <w:rFonts w:ascii="Arabic Typesetting" w:hAnsi="Arabic Typesetting" w:cs="Arabic Typesetting"/>
                <w:b/>
                <w:i/>
                <w:iCs/>
                <w:color w:val="002060"/>
                <w:spacing w:val="-4"/>
                <w:sz w:val="28"/>
                <w:szCs w:val="28"/>
                <w:rtl/>
                <w:lang w:bidi="ar-EG"/>
              </w:rPr>
              <w:t xml:space="preserve"> في نهاية </w:t>
            </w:r>
            <w:r w:rsidR="00ED382B" w:rsidRPr="00ED382B">
              <w:rPr>
                <w:rFonts w:ascii="Arabic Typesetting" w:hAnsi="Arabic Typesetting" w:cs="Arabic Typesetting" w:hint="cs"/>
                <w:b/>
                <w:i/>
                <w:iCs/>
                <w:color w:val="002060"/>
                <w:spacing w:val="-4"/>
                <w:sz w:val="28"/>
                <w:szCs w:val="28"/>
                <w:rtl/>
                <w:lang w:bidi="ar-EG"/>
              </w:rPr>
              <w:t>2015</w:t>
            </w:r>
            <w:r w:rsidRPr="00ED382B">
              <w:rPr>
                <w:rFonts w:ascii="Arabic Typesetting" w:hAnsi="Arabic Typesetting" w:cs="Arabic Typesetting"/>
                <w:b/>
                <w:i/>
                <w:iCs/>
                <w:color w:val="002060"/>
                <w:spacing w:val="-4"/>
                <w:sz w:val="28"/>
                <w:szCs w:val="28"/>
                <w:rtl/>
                <w:lang w:bidi="ar-EG"/>
              </w:rPr>
              <w:t>:</w:t>
            </w:r>
          </w:p>
          <w:p w14:paraId="787A2A44" w14:textId="35DE1BD3" w:rsidR="003A74C2" w:rsidRPr="00211D55" w:rsidRDefault="003A74C2" w:rsidP="0031289D">
            <w:pPr>
              <w:bidi/>
              <w:spacing w:after="120" w:line="280" w:lineRule="exact"/>
              <w:rPr>
                <w:rFonts w:ascii="Arabic Typesetting" w:hAnsi="Arabic Typesetting" w:cs="Arabic Typesetting"/>
                <w:b/>
                <w:color w:val="002060"/>
                <w:sz w:val="28"/>
                <w:szCs w:val="28"/>
                <w:rtl/>
                <w:lang w:bidi="ar-EG"/>
              </w:rPr>
            </w:pPr>
            <w:r w:rsidRPr="003A74C2">
              <w:rPr>
                <w:rFonts w:ascii="Arabic Typesetting" w:hAnsi="Arabic Typesetting" w:cs="Arabic Typesetting"/>
                <w:b/>
                <w:color w:val="002060"/>
                <w:sz w:val="28"/>
                <w:szCs w:val="28"/>
                <w:rtl/>
                <w:lang w:bidi="ar-EG"/>
              </w:rPr>
              <w:t xml:space="preserve">ركزت </w:t>
            </w:r>
            <w:r w:rsidR="00DB0677">
              <w:rPr>
                <w:rFonts w:ascii="Arabic Typesetting" w:hAnsi="Arabic Typesetting" w:cs="Arabic Typesetting" w:hint="cs"/>
                <w:b/>
                <w:color w:val="002060"/>
                <w:sz w:val="28"/>
                <w:szCs w:val="28"/>
                <w:rtl/>
                <w:lang w:bidi="ar-EG"/>
              </w:rPr>
              <w:t xml:space="preserve">لجنة </w:t>
            </w:r>
            <w:r w:rsidRPr="003A74C2">
              <w:rPr>
                <w:rFonts w:ascii="Arabic Typesetting" w:hAnsi="Arabic Typesetting" w:cs="Arabic Typesetting"/>
                <w:b/>
                <w:color w:val="002060"/>
                <w:sz w:val="28"/>
                <w:szCs w:val="28"/>
                <w:rtl/>
                <w:lang w:bidi="ar-EG"/>
              </w:rPr>
              <w:t>البراءات جهودها على إحراز تقدم في الموضوعات الخمسة المدرجة في جدول أعمالها، والمضي</w:t>
            </w:r>
            <w:r w:rsidR="00DB0677">
              <w:rPr>
                <w:rFonts w:ascii="Arabic Typesetting" w:hAnsi="Arabic Typesetting" w:cs="Arabic Typesetting" w:hint="cs"/>
                <w:b/>
                <w:color w:val="002060"/>
                <w:sz w:val="28"/>
                <w:szCs w:val="28"/>
                <w:rtl/>
                <w:lang w:bidi="ar-EG"/>
              </w:rPr>
              <w:t> </w:t>
            </w:r>
            <w:r w:rsidRPr="003A74C2">
              <w:rPr>
                <w:rFonts w:ascii="Arabic Typesetting" w:hAnsi="Arabic Typesetting" w:cs="Arabic Typesetting"/>
                <w:b/>
                <w:color w:val="002060"/>
                <w:sz w:val="28"/>
                <w:szCs w:val="28"/>
                <w:rtl/>
                <w:lang w:bidi="ar-EG"/>
              </w:rPr>
              <w:t>قدما بمناقشاتها من خلال عدة إجراءات منها</w:t>
            </w:r>
            <w:r w:rsidR="00DB0677">
              <w:rPr>
                <w:rFonts w:ascii="Arabic Typesetting" w:hAnsi="Arabic Typesetting" w:cs="Arabic Typesetting"/>
                <w:b/>
                <w:color w:val="002060"/>
                <w:sz w:val="28"/>
                <w:szCs w:val="28"/>
                <w:rtl/>
                <w:lang w:bidi="ar-EG"/>
              </w:rPr>
              <w:t xml:space="preserve"> مثلا إعداد دراسات وجمع </w:t>
            </w:r>
            <w:r w:rsidRPr="003A74C2">
              <w:rPr>
                <w:rFonts w:ascii="Arabic Typesetting" w:hAnsi="Arabic Typesetting" w:cs="Arabic Typesetting"/>
                <w:b/>
                <w:color w:val="002060"/>
                <w:sz w:val="28"/>
                <w:szCs w:val="28"/>
                <w:rtl/>
                <w:lang w:bidi="ar-EG"/>
              </w:rPr>
              <w:t>معلومات عن القوانين والممارسات الوطنية وتبادل الخبرات الوطنية بين الدول الأعضاء. واستندت المنا</w:t>
            </w:r>
            <w:r w:rsidR="00DB0677">
              <w:rPr>
                <w:rFonts w:ascii="Arabic Typesetting" w:hAnsi="Arabic Typesetting" w:cs="Arabic Typesetting"/>
                <w:b/>
                <w:color w:val="002060"/>
                <w:sz w:val="28"/>
                <w:szCs w:val="28"/>
                <w:rtl/>
                <w:lang w:bidi="ar-EG"/>
              </w:rPr>
              <w:t xml:space="preserve">قشات إلى اقتراحات (12) قدمتها وفود ووثائق (27) </w:t>
            </w:r>
            <w:r>
              <w:rPr>
                <w:rFonts w:ascii="Arabic Typesetting" w:hAnsi="Arabic Typesetting" w:cs="Arabic Typesetting"/>
                <w:b/>
                <w:color w:val="002060"/>
                <w:sz w:val="28"/>
                <w:szCs w:val="28"/>
                <w:rtl/>
                <w:lang w:bidi="ar-EG"/>
              </w:rPr>
              <w:t>أعدتها الأمانة خلال الثنائية</w:t>
            </w:r>
          </w:p>
          <w:p w14:paraId="1E5FFECF" w14:textId="17D63DAA" w:rsidR="00F934E4" w:rsidRDefault="00BA024D" w:rsidP="0031289D">
            <w:pPr>
              <w:bidi/>
              <w:spacing w:line="280" w:lineRule="exact"/>
              <w:rPr>
                <w:rFonts w:ascii="Arabic Typesetting" w:hAnsi="Arabic Typesetting" w:cs="Arabic Typesetting"/>
                <w:b/>
                <w:i/>
                <w:iCs/>
                <w:sz w:val="28"/>
                <w:szCs w:val="28"/>
                <w:lang w:bidi="ar-EG"/>
              </w:rPr>
            </w:pPr>
            <w:r w:rsidRPr="003A74C2">
              <w:rPr>
                <w:rFonts w:ascii="Arabic Typesetting" w:hAnsi="Arabic Typesetting" w:cs="Arabic Typesetting"/>
                <w:b/>
                <w:i/>
                <w:iCs/>
                <w:sz w:val="28"/>
                <w:szCs w:val="28"/>
                <w:rtl/>
                <w:lang w:bidi="ar-EG"/>
              </w:rPr>
              <w:t>أس</w:t>
            </w:r>
            <w:r w:rsidR="00DB0677">
              <w:rPr>
                <w:rFonts w:ascii="Arabic Typesetting" w:hAnsi="Arabic Typesetting" w:cs="Arabic Typesetting" w:hint="cs"/>
                <w:b/>
                <w:i/>
                <w:iCs/>
                <w:sz w:val="28"/>
                <w:szCs w:val="28"/>
                <w:rtl/>
                <w:lang w:bidi="ar-EG"/>
              </w:rPr>
              <w:t>ا</w:t>
            </w:r>
            <w:r w:rsidR="00DB0677">
              <w:rPr>
                <w:rFonts w:ascii="Arabic Typesetting" w:hAnsi="Arabic Typesetting" w:cs="Arabic Typesetting"/>
                <w:b/>
                <w:i/>
                <w:iCs/>
                <w:sz w:val="28"/>
                <w:szCs w:val="28"/>
                <w:rtl/>
                <w:lang w:bidi="ar-EG"/>
              </w:rPr>
              <w:t>س المقارنة الأصلي</w:t>
            </w:r>
            <w:r w:rsidRPr="003A74C2">
              <w:rPr>
                <w:rFonts w:ascii="Arabic Typesetting" w:hAnsi="Arabic Typesetting" w:cs="Arabic Typesetting"/>
                <w:b/>
                <w:i/>
                <w:iCs/>
                <w:sz w:val="28"/>
                <w:szCs w:val="28"/>
                <w:rtl/>
                <w:lang w:bidi="ar-EG"/>
              </w:rPr>
              <w:t>:</w:t>
            </w:r>
            <w:r w:rsidR="00F934E4">
              <w:rPr>
                <w:rFonts w:ascii="Arabic Typesetting" w:hAnsi="Arabic Typesetting" w:cs="Arabic Typesetting"/>
                <w:b/>
                <w:i/>
                <w:iCs/>
                <w:sz w:val="28"/>
                <w:szCs w:val="28"/>
                <w:lang w:bidi="ar-EG"/>
              </w:rPr>
              <w:t xml:space="preserve"> </w:t>
            </w:r>
            <w:r w:rsidRPr="003A74C2">
              <w:rPr>
                <w:rFonts w:ascii="Arabic Typesetting" w:hAnsi="Arabic Typesetting" w:cs="Arabic Typesetting"/>
                <w:b/>
                <w:i/>
                <w:iCs/>
                <w:sz w:val="28"/>
                <w:szCs w:val="28"/>
                <w:rtl/>
                <w:lang w:bidi="ar-EG"/>
              </w:rPr>
              <w:t xml:space="preserve">برنامج وميزانية </w:t>
            </w:r>
            <w:r w:rsidR="003A74C2" w:rsidRPr="003A74C2">
              <w:rPr>
                <w:rFonts w:ascii="Arabic Typesetting" w:hAnsi="Arabic Typesetting" w:cs="Arabic Typesetting" w:hint="cs"/>
                <w:b/>
                <w:i/>
                <w:iCs/>
                <w:sz w:val="28"/>
                <w:szCs w:val="28"/>
                <w:rtl/>
                <w:lang w:bidi="ar-EG"/>
              </w:rPr>
              <w:t>2016</w:t>
            </w:r>
            <w:r w:rsidRPr="003A74C2">
              <w:rPr>
                <w:rFonts w:ascii="Arabic Typesetting" w:hAnsi="Arabic Typesetting" w:cs="Arabic Typesetting"/>
                <w:b/>
                <w:i/>
                <w:iCs/>
                <w:sz w:val="28"/>
                <w:szCs w:val="28"/>
                <w:rtl/>
                <w:lang w:bidi="ar-EG"/>
              </w:rPr>
              <w:t>/</w:t>
            </w:r>
            <w:r w:rsidR="003A74C2" w:rsidRPr="003A74C2">
              <w:rPr>
                <w:rFonts w:ascii="Arabic Typesetting" w:hAnsi="Arabic Typesetting" w:cs="Arabic Typesetting" w:hint="cs"/>
                <w:b/>
                <w:i/>
                <w:iCs/>
                <w:sz w:val="28"/>
                <w:szCs w:val="28"/>
                <w:rtl/>
                <w:lang w:bidi="ar-EG"/>
              </w:rPr>
              <w:t>17</w:t>
            </w:r>
            <w:r w:rsidRPr="003A74C2">
              <w:rPr>
                <w:rFonts w:ascii="Arabic Typesetting" w:hAnsi="Arabic Typesetting" w:cs="Arabic Typesetting"/>
                <w:b/>
                <w:i/>
                <w:iCs/>
                <w:sz w:val="28"/>
                <w:szCs w:val="28"/>
                <w:rtl/>
                <w:lang w:bidi="ar-EG"/>
              </w:rPr>
              <w:t>:</w:t>
            </w:r>
          </w:p>
          <w:p w14:paraId="02BD1F34" w14:textId="63BF1BE5" w:rsidR="00BA024D" w:rsidRPr="00211D55" w:rsidRDefault="003A74C2" w:rsidP="0031289D">
            <w:pPr>
              <w:bidi/>
              <w:spacing w:before="60" w:after="60" w:line="280" w:lineRule="exact"/>
              <w:rPr>
                <w:rFonts w:ascii="Arabic Typesetting" w:hAnsi="Arabic Typesetting" w:cs="Arabic Typesetting"/>
                <w:b/>
                <w:sz w:val="28"/>
                <w:szCs w:val="28"/>
                <w:rtl/>
                <w:lang w:bidi="ar-EG"/>
              </w:rPr>
            </w:pPr>
            <w:r w:rsidRPr="003A74C2">
              <w:rPr>
                <w:rFonts w:ascii="Arabic Typesetting" w:hAnsi="Arabic Typesetting" w:cs="Arabic Typesetting"/>
                <w:b/>
                <w:sz w:val="28"/>
                <w:szCs w:val="28"/>
                <w:rtl/>
                <w:lang w:bidi="ar-EG"/>
              </w:rPr>
              <w:t>الوضع الحالي للعمل في اللجنة كما هو موثق في تقرير</w:t>
            </w:r>
            <w:r w:rsidR="004D7137">
              <w:rPr>
                <w:rFonts w:ascii="Arabic Typesetting" w:hAnsi="Arabic Typesetting" w:cs="Arabic Typesetting" w:hint="cs"/>
                <w:b/>
                <w:sz w:val="28"/>
                <w:szCs w:val="28"/>
                <w:rtl/>
                <w:lang w:bidi="ar-EG"/>
              </w:rPr>
              <w:t> </w:t>
            </w:r>
            <w:r w:rsidR="00DB0677">
              <w:rPr>
                <w:rFonts w:ascii="Arabic Typesetting" w:hAnsi="Arabic Typesetting" w:cs="Arabic Typesetting" w:hint="cs"/>
                <w:b/>
                <w:sz w:val="28"/>
                <w:szCs w:val="28"/>
                <w:rtl/>
                <w:lang w:bidi="ar-EG"/>
              </w:rPr>
              <w:t>دورتها الحادية والعشرين</w:t>
            </w:r>
          </w:p>
        </w:tc>
        <w:tc>
          <w:tcPr>
            <w:tcW w:w="431" w:type="pct"/>
          </w:tcPr>
          <w:p w14:paraId="2C62B203" w14:textId="77777777" w:rsidR="00BA024D" w:rsidRPr="00211D55" w:rsidRDefault="00ED382B" w:rsidP="0031289D">
            <w:pPr>
              <w:bidi/>
              <w:spacing w:before="60" w:after="60" w:line="280" w:lineRule="exact"/>
              <w:rPr>
                <w:rFonts w:ascii="Arabic Typesetting" w:hAnsi="Arabic Typesetting" w:cs="Arabic Typesetting"/>
                <w:b/>
                <w:sz w:val="28"/>
                <w:szCs w:val="28"/>
                <w:lang w:bidi="ar-EG"/>
              </w:rPr>
            </w:pPr>
            <w:r w:rsidRPr="00ED382B">
              <w:rPr>
                <w:rFonts w:ascii="Arabic Typesetting" w:hAnsi="Arabic Typesetting" w:cs="Arabic Typesetting"/>
                <w:b/>
                <w:sz w:val="28"/>
                <w:szCs w:val="28"/>
                <w:rtl/>
                <w:lang w:bidi="ar-EG"/>
              </w:rPr>
              <w:t>نتائج اللجنة المتفق عليها</w:t>
            </w:r>
          </w:p>
        </w:tc>
        <w:tc>
          <w:tcPr>
            <w:tcW w:w="1456" w:type="pct"/>
            <w:tcMar>
              <w:top w:w="110" w:type="dxa"/>
            </w:tcMar>
          </w:tcPr>
          <w:p w14:paraId="6153D654" w14:textId="77777777" w:rsidR="00BA024D" w:rsidRPr="00211D55" w:rsidRDefault="003A74C2" w:rsidP="0031289D">
            <w:pPr>
              <w:bidi/>
              <w:spacing w:before="60" w:after="60" w:line="280" w:lineRule="exact"/>
              <w:rPr>
                <w:rFonts w:ascii="Arabic Typesetting" w:hAnsi="Arabic Typesetting" w:cs="Arabic Typesetting"/>
                <w:b/>
                <w:sz w:val="28"/>
                <w:szCs w:val="28"/>
                <w:rtl/>
                <w:lang w:bidi="ar-EG"/>
              </w:rPr>
            </w:pPr>
            <w:r>
              <w:rPr>
                <w:rFonts w:ascii="Arabic Typesetting" w:hAnsi="Arabic Typesetting" w:cs="Arabic Typesetting" w:hint="cs"/>
                <w:b/>
                <w:sz w:val="28"/>
                <w:szCs w:val="28"/>
                <w:rtl/>
                <w:lang w:bidi="ar-EG"/>
              </w:rPr>
              <w:t>عقدت اللجنة دورتين في عام 2016 (24</w:t>
            </w:r>
            <w:r>
              <w:rPr>
                <w:rFonts w:ascii="Arabic Typesetting" w:hAnsi="Arabic Typesetting" w:cs="Arabic Typesetting" w:hint="eastAsia"/>
                <w:b/>
                <w:sz w:val="28"/>
                <w:szCs w:val="28"/>
                <w:rtl/>
                <w:lang w:bidi="ar-EG"/>
              </w:rPr>
              <w:t> </w:t>
            </w:r>
            <w:r>
              <w:rPr>
                <w:rFonts w:ascii="Arabic Typesetting" w:hAnsi="Arabic Typesetting" w:cs="Arabic Typesetting" w:hint="cs"/>
                <w:b/>
                <w:sz w:val="28"/>
                <w:szCs w:val="28"/>
                <w:rtl/>
                <w:lang w:bidi="ar-EG"/>
              </w:rPr>
              <w:t>و25) وغطيت النتائج المتفق عليها في الدورتين السابقتين (الفقرتان 20 و21 من ملخص الرئيس للدورة 23</w:t>
            </w:r>
            <w:r>
              <w:rPr>
                <w:rStyle w:val="FootnoteReference"/>
                <w:b/>
                <w:rtl/>
                <w:lang w:bidi="ar-EG"/>
              </w:rPr>
              <w:footnoteReference w:id="7"/>
            </w:r>
            <w:r>
              <w:rPr>
                <w:rFonts w:ascii="Arabic Typesetting" w:hAnsi="Arabic Typesetting" w:cs="Arabic Typesetting" w:hint="cs"/>
                <w:b/>
                <w:sz w:val="28"/>
                <w:szCs w:val="28"/>
                <w:rtl/>
                <w:lang w:bidi="ar-EG"/>
              </w:rPr>
              <w:t xml:space="preserve"> والفقرة 17 من ملخص الرئيس للدورة 24</w:t>
            </w:r>
            <w:r>
              <w:rPr>
                <w:rStyle w:val="FootnoteReference"/>
                <w:b/>
                <w:rtl/>
                <w:lang w:bidi="ar-EG"/>
              </w:rPr>
              <w:footnoteReference w:id="8"/>
            </w:r>
            <w:r>
              <w:rPr>
                <w:rFonts w:ascii="Arabic Typesetting" w:hAnsi="Arabic Typesetting" w:cs="Arabic Typesetting" w:hint="cs"/>
                <w:b/>
                <w:sz w:val="28"/>
                <w:szCs w:val="28"/>
                <w:rtl/>
                <w:lang w:bidi="ar-EG"/>
              </w:rPr>
              <w:t>) تغطية كاملة في الدورتين التاليتين (24</w:t>
            </w:r>
            <w:r>
              <w:rPr>
                <w:rStyle w:val="FootnoteReference"/>
                <w:b/>
                <w:rtl/>
                <w:lang w:bidi="ar-EG"/>
              </w:rPr>
              <w:footnoteReference w:id="9"/>
            </w:r>
            <w:r>
              <w:rPr>
                <w:rFonts w:ascii="Arabic Typesetting" w:hAnsi="Arabic Typesetting" w:cs="Arabic Typesetting" w:hint="cs"/>
                <w:b/>
                <w:sz w:val="28"/>
                <w:szCs w:val="28"/>
                <w:rtl/>
                <w:lang w:bidi="ar-EG"/>
              </w:rPr>
              <w:t xml:space="preserve"> و25</w:t>
            </w:r>
            <w:r>
              <w:rPr>
                <w:rStyle w:val="FootnoteReference"/>
                <w:b/>
                <w:rtl/>
                <w:lang w:bidi="ar-EG"/>
              </w:rPr>
              <w:footnoteReference w:id="10"/>
            </w:r>
            <w:r>
              <w:rPr>
                <w:rFonts w:ascii="Arabic Typesetting" w:hAnsi="Arabic Typesetting" w:cs="Arabic Typesetting" w:hint="cs"/>
                <w:b/>
                <w:sz w:val="28"/>
                <w:szCs w:val="28"/>
                <w:rtl/>
                <w:lang w:bidi="ar-EG"/>
              </w:rPr>
              <w:t>).</w:t>
            </w:r>
          </w:p>
        </w:tc>
        <w:tc>
          <w:tcPr>
            <w:tcW w:w="311" w:type="pct"/>
            <w:tcMar>
              <w:top w:w="110" w:type="dxa"/>
            </w:tcMar>
          </w:tcPr>
          <w:p w14:paraId="68524462" w14:textId="77777777" w:rsidR="00BA024D" w:rsidRPr="001F6EA1" w:rsidRDefault="003A74C2" w:rsidP="0031289D">
            <w:pPr>
              <w:keepNext/>
              <w:bidi/>
              <w:spacing w:before="60" w:after="60" w:line="280" w:lineRule="exact"/>
              <w:rPr>
                <w:rFonts w:ascii="Arabic Typesetting" w:eastAsia="Arabic Typesetting" w:hAnsi="Arabic Typesetting" w:cs="Arabic Typesetting"/>
                <w:b/>
                <w:bCs/>
                <w:color w:val="00B050"/>
                <w:sz w:val="28"/>
                <w:szCs w:val="28"/>
                <w:rtl/>
                <w:lang w:eastAsia="ar-EG" w:bidi="ar-EG"/>
              </w:rPr>
            </w:pPr>
            <w:r w:rsidRPr="001F6EA1">
              <w:rPr>
                <w:rFonts w:ascii="Arabic Typesetting" w:eastAsia="Arabic Typesetting" w:hAnsi="Arabic Typesetting" w:cs="Arabic Typesetting" w:hint="cs"/>
                <w:b/>
                <w:bCs/>
                <w:color w:val="00B050"/>
                <w:sz w:val="28"/>
                <w:szCs w:val="28"/>
                <w:rtl/>
                <w:lang w:eastAsia="ar-EG" w:bidi="ar-EG"/>
              </w:rPr>
              <w:t>ثابت</w:t>
            </w:r>
          </w:p>
        </w:tc>
      </w:tr>
      <w:tr w:rsidR="00441176" w:rsidRPr="00211D55" w14:paraId="34C5B8D7" w14:textId="77777777" w:rsidTr="00E5593D">
        <w:trPr>
          <w:cantSplit/>
          <w:trHeight w:val="20"/>
        </w:trPr>
        <w:tc>
          <w:tcPr>
            <w:tcW w:w="1026" w:type="pct"/>
            <w:tcMar>
              <w:top w:w="110" w:type="dxa"/>
            </w:tcMar>
          </w:tcPr>
          <w:p w14:paraId="6C56BD2D" w14:textId="77777777" w:rsidR="00BA024D" w:rsidRPr="00211D55" w:rsidRDefault="00427290" w:rsidP="0031289D">
            <w:pPr>
              <w:bidi/>
              <w:spacing w:before="60" w:after="60" w:line="280" w:lineRule="exact"/>
              <w:rPr>
                <w:rFonts w:ascii="Arabic Typesetting" w:hAnsi="Arabic Typesetting" w:cs="Arabic Typesetting"/>
                <w:b/>
                <w:sz w:val="28"/>
                <w:szCs w:val="28"/>
                <w:rtl/>
                <w:lang w:bidi="ar-EG"/>
              </w:rPr>
            </w:pPr>
            <w:r w:rsidRPr="00427290">
              <w:rPr>
                <w:rFonts w:ascii="Arabic Typesetting" w:hAnsi="Arabic Typesetting" w:cs="Arabic Typesetting"/>
                <w:b/>
                <w:sz w:val="28"/>
                <w:szCs w:val="28"/>
                <w:rtl/>
                <w:lang w:bidi="ar-EG"/>
              </w:rPr>
              <w:t>مستوى رضا المشاركين في حلقات عمل/ندوات محددة الهدف ومعقودة بشأن قضايا محددة تتعلق بالبراءات</w:t>
            </w:r>
          </w:p>
        </w:tc>
        <w:tc>
          <w:tcPr>
            <w:tcW w:w="1776" w:type="pct"/>
            <w:shd w:val="clear" w:color="auto" w:fill="auto"/>
            <w:tcMar>
              <w:top w:w="110" w:type="dxa"/>
            </w:tcMar>
          </w:tcPr>
          <w:p w14:paraId="44E60DB0" w14:textId="77777777" w:rsidR="00EC6408" w:rsidRDefault="00BA024D" w:rsidP="0031289D">
            <w:pPr>
              <w:bidi/>
              <w:spacing w:before="60" w:line="28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أس</w:t>
            </w:r>
            <w:r w:rsidR="00DB0677">
              <w:rPr>
                <w:rFonts w:ascii="Arabic Typesetting" w:hAnsi="Arabic Typesetting" w:cs="Arabic Typesetting" w:hint="cs"/>
                <w:b/>
                <w:i/>
                <w:iCs/>
                <w:color w:val="002060"/>
                <w:sz w:val="28"/>
                <w:szCs w:val="28"/>
                <w:rtl/>
                <w:lang w:bidi="ar-EG"/>
              </w:rPr>
              <w:t>ا</w:t>
            </w:r>
            <w:r w:rsidR="00DB0677">
              <w:rPr>
                <w:rFonts w:ascii="Arabic Typesetting" w:hAnsi="Arabic Typesetting" w:cs="Arabic Typesetting"/>
                <w:b/>
                <w:i/>
                <w:iCs/>
                <w:color w:val="002060"/>
                <w:sz w:val="28"/>
                <w:szCs w:val="28"/>
                <w:rtl/>
                <w:lang w:bidi="ar-EG"/>
              </w:rPr>
              <w:t>س المقارنة المحدّث</w:t>
            </w:r>
            <w:r w:rsidRPr="00211D55">
              <w:rPr>
                <w:rFonts w:ascii="Arabic Typesetting" w:hAnsi="Arabic Typesetting" w:cs="Arabic Typesetting"/>
                <w:b/>
                <w:i/>
                <w:iCs/>
                <w:color w:val="002060"/>
                <w:sz w:val="28"/>
                <w:szCs w:val="28"/>
                <w:rtl/>
                <w:lang w:bidi="ar-EG"/>
              </w:rPr>
              <w:t xml:space="preserve"> في نهاية </w:t>
            </w:r>
            <w:r w:rsidR="00427290">
              <w:rPr>
                <w:rFonts w:ascii="Arabic Typesetting" w:hAnsi="Arabic Typesetting" w:cs="Arabic Typesetting" w:hint="cs"/>
                <w:b/>
                <w:i/>
                <w:iCs/>
                <w:color w:val="002060"/>
                <w:sz w:val="28"/>
                <w:szCs w:val="28"/>
                <w:rtl/>
                <w:lang w:bidi="ar-EG"/>
              </w:rPr>
              <w:t>2015</w:t>
            </w:r>
            <w:r w:rsidRPr="00211D55">
              <w:rPr>
                <w:rFonts w:ascii="Arabic Typesetting" w:hAnsi="Arabic Typesetting" w:cs="Arabic Typesetting"/>
                <w:b/>
                <w:i/>
                <w:iCs/>
                <w:color w:val="002060"/>
                <w:sz w:val="28"/>
                <w:szCs w:val="28"/>
                <w:rtl/>
                <w:lang w:bidi="ar-EG"/>
              </w:rPr>
              <w:t>:</w:t>
            </w:r>
          </w:p>
          <w:p w14:paraId="56A456FD" w14:textId="48A7E909" w:rsidR="00BA024D" w:rsidRPr="00211D55" w:rsidRDefault="00427290" w:rsidP="0031289D">
            <w:pPr>
              <w:bidi/>
              <w:spacing w:after="120" w:line="280" w:lineRule="exact"/>
              <w:rPr>
                <w:rFonts w:ascii="Arabic Typesetting" w:hAnsi="Arabic Typesetting" w:cs="Arabic Typesetting"/>
                <w:b/>
                <w:color w:val="002060"/>
                <w:sz w:val="28"/>
                <w:szCs w:val="28"/>
                <w:rtl/>
                <w:lang w:bidi="ar-EG"/>
              </w:rPr>
            </w:pPr>
            <w:r>
              <w:rPr>
                <w:rFonts w:ascii="Arabic Typesetting" w:hAnsi="Arabic Typesetting" w:cs="Arabic Typesetting" w:hint="cs"/>
                <w:b/>
                <w:color w:val="002060"/>
                <w:sz w:val="28"/>
                <w:szCs w:val="28"/>
                <w:rtl/>
                <w:lang w:bidi="ar-EG"/>
              </w:rPr>
              <w:t>96.85%</w:t>
            </w:r>
          </w:p>
          <w:p w14:paraId="193891E1" w14:textId="20251251" w:rsidR="00EC6408" w:rsidRDefault="00BA024D" w:rsidP="0031289D">
            <w:pPr>
              <w:bidi/>
              <w:spacing w:before="60" w:after="60" w:line="280" w:lineRule="exact"/>
              <w:rPr>
                <w:rFonts w:ascii="Arabic Typesetting" w:hAnsi="Arabic Typesetting" w:cs="Arabic Typesetting"/>
                <w:b/>
                <w:i/>
                <w:iCs/>
                <w:sz w:val="28"/>
                <w:szCs w:val="28"/>
                <w:rtl/>
                <w:lang w:bidi="ar-EG"/>
              </w:rPr>
            </w:pPr>
            <w:r w:rsidRPr="00211D55">
              <w:rPr>
                <w:rFonts w:ascii="Arabic Typesetting" w:hAnsi="Arabic Typesetting" w:cs="Arabic Typesetting"/>
                <w:b/>
                <w:i/>
                <w:iCs/>
                <w:sz w:val="28"/>
                <w:szCs w:val="28"/>
                <w:rtl/>
                <w:lang w:bidi="ar-EG"/>
              </w:rPr>
              <w:t>أس</w:t>
            </w:r>
            <w:r w:rsidR="00DB0677">
              <w:rPr>
                <w:rFonts w:ascii="Arabic Typesetting" w:hAnsi="Arabic Typesetting" w:cs="Arabic Typesetting" w:hint="cs"/>
                <w:b/>
                <w:i/>
                <w:iCs/>
                <w:sz w:val="28"/>
                <w:szCs w:val="28"/>
                <w:rtl/>
                <w:lang w:bidi="ar-EG"/>
              </w:rPr>
              <w:t>ا</w:t>
            </w:r>
            <w:r w:rsidR="00DB0677">
              <w:rPr>
                <w:rFonts w:ascii="Arabic Typesetting" w:hAnsi="Arabic Typesetting" w:cs="Arabic Typesetting"/>
                <w:b/>
                <w:i/>
                <w:iCs/>
                <w:sz w:val="28"/>
                <w:szCs w:val="28"/>
                <w:rtl/>
                <w:lang w:bidi="ar-EG"/>
              </w:rPr>
              <w:t>س المقارنة الأصلي</w:t>
            </w:r>
            <w:r w:rsidRPr="00211D55">
              <w:rPr>
                <w:rFonts w:ascii="Arabic Typesetting" w:hAnsi="Arabic Typesetting" w:cs="Arabic Typesetting"/>
                <w:b/>
                <w:i/>
                <w:iCs/>
                <w:sz w:val="28"/>
                <w:szCs w:val="28"/>
                <w:rtl/>
                <w:lang w:bidi="ar-EG"/>
              </w:rPr>
              <w:t>:</w:t>
            </w:r>
            <w:r w:rsidR="00EC6408">
              <w:rPr>
                <w:rFonts w:ascii="Arabic Typesetting" w:hAnsi="Arabic Typesetting" w:cs="Arabic Typesetting" w:hint="cs"/>
                <w:b/>
                <w:i/>
                <w:iCs/>
                <w:sz w:val="28"/>
                <w:szCs w:val="28"/>
                <w:rtl/>
                <w:lang w:bidi="ar-EG"/>
              </w:rPr>
              <w:t xml:space="preserve"> </w:t>
            </w:r>
            <w:r w:rsidRPr="00427290">
              <w:rPr>
                <w:rFonts w:ascii="Arabic Typesetting" w:hAnsi="Arabic Typesetting" w:cs="Arabic Typesetting"/>
                <w:b/>
                <w:i/>
                <w:iCs/>
                <w:sz w:val="28"/>
                <w:szCs w:val="28"/>
                <w:rtl/>
                <w:lang w:bidi="ar-EG"/>
              </w:rPr>
              <w:t xml:space="preserve">برنامج وميزانية </w:t>
            </w:r>
            <w:r w:rsidR="00427290" w:rsidRPr="00427290">
              <w:rPr>
                <w:rFonts w:ascii="Arabic Typesetting" w:hAnsi="Arabic Typesetting" w:cs="Arabic Typesetting" w:hint="cs"/>
                <w:b/>
                <w:i/>
                <w:iCs/>
                <w:sz w:val="28"/>
                <w:szCs w:val="28"/>
                <w:rtl/>
                <w:lang w:bidi="ar-EG"/>
              </w:rPr>
              <w:t>2016</w:t>
            </w:r>
            <w:r w:rsidRPr="00427290">
              <w:rPr>
                <w:rFonts w:ascii="Arabic Typesetting" w:hAnsi="Arabic Typesetting" w:cs="Arabic Typesetting"/>
                <w:b/>
                <w:i/>
                <w:iCs/>
                <w:sz w:val="28"/>
                <w:szCs w:val="28"/>
                <w:rtl/>
                <w:lang w:bidi="ar-EG"/>
              </w:rPr>
              <w:t>/</w:t>
            </w:r>
            <w:r w:rsidR="00427290" w:rsidRPr="00427290">
              <w:rPr>
                <w:rFonts w:ascii="Arabic Typesetting" w:hAnsi="Arabic Typesetting" w:cs="Arabic Typesetting" w:hint="cs"/>
                <w:b/>
                <w:i/>
                <w:iCs/>
                <w:sz w:val="28"/>
                <w:szCs w:val="28"/>
                <w:rtl/>
                <w:lang w:bidi="ar-EG"/>
              </w:rPr>
              <w:t>17</w:t>
            </w:r>
            <w:r w:rsidR="00427290" w:rsidRPr="00427290">
              <w:rPr>
                <w:rFonts w:ascii="Arabic Typesetting" w:hAnsi="Arabic Typesetting" w:cs="Arabic Typesetting"/>
                <w:b/>
                <w:i/>
                <w:iCs/>
                <w:sz w:val="28"/>
                <w:szCs w:val="28"/>
                <w:rtl/>
                <w:lang w:bidi="ar-EG"/>
              </w:rPr>
              <w:t>:</w:t>
            </w:r>
          </w:p>
          <w:p w14:paraId="0DCC497D" w14:textId="2A412494" w:rsidR="00BA024D" w:rsidRPr="00211D55" w:rsidRDefault="00DB0677" w:rsidP="0031289D">
            <w:pPr>
              <w:bidi/>
              <w:spacing w:before="60" w:after="60" w:line="280" w:lineRule="exact"/>
              <w:rPr>
                <w:rFonts w:ascii="Arabic Typesetting" w:hAnsi="Arabic Typesetting" w:cs="Arabic Typesetting"/>
                <w:b/>
                <w:color w:val="002060"/>
                <w:sz w:val="28"/>
                <w:szCs w:val="28"/>
                <w:rtl/>
                <w:lang w:bidi="ar-EG"/>
              </w:rPr>
            </w:pPr>
            <w:r>
              <w:rPr>
                <w:rFonts w:ascii="Arabic Typesetting" w:hAnsi="Arabic Typesetting" w:cs="Arabic Typesetting" w:hint="cs"/>
                <w:b/>
                <w:sz w:val="28"/>
                <w:szCs w:val="28"/>
                <w:rtl/>
                <w:lang w:bidi="ar-EG"/>
              </w:rPr>
              <w:t xml:space="preserve">92.75% - استقصاء </w:t>
            </w:r>
            <w:r w:rsidR="00427290">
              <w:rPr>
                <w:rFonts w:ascii="Arabic Typesetting" w:hAnsi="Arabic Typesetting" w:cs="Arabic Typesetting" w:hint="cs"/>
                <w:b/>
                <w:sz w:val="28"/>
                <w:szCs w:val="28"/>
                <w:rtl/>
                <w:lang w:bidi="ar-EG"/>
              </w:rPr>
              <w:t>2014</w:t>
            </w:r>
          </w:p>
        </w:tc>
        <w:tc>
          <w:tcPr>
            <w:tcW w:w="431" w:type="pct"/>
          </w:tcPr>
          <w:p w14:paraId="712C0079" w14:textId="77777777" w:rsidR="00BA024D" w:rsidRPr="00211D55" w:rsidRDefault="00BA024D" w:rsidP="0031289D">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90%</w:t>
            </w:r>
          </w:p>
        </w:tc>
        <w:tc>
          <w:tcPr>
            <w:tcW w:w="1456" w:type="pct"/>
            <w:tcMar>
              <w:top w:w="110" w:type="dxa"/>
            </w:tcMar>
          </w:tcPr>
          <w:p w14:paraId="401B0769" w14:textId="59F2CBCA" w:rsidR="00BA024D" w:rsidRPr="00211D55" w:rsidRDefault="00427290" w:rsidP="0031289D">
            <w:pPr>
              <w:bidi/>
              <w:spacing w:before="60" w:after="60" w:line="280" w:lineRule="exact"/>
              <w:rPr>
                <w:rFonts w:ascii="Arabic Typesetting" w:hAnsi="Arabic Typesetting" w:cs="Arabic Typesetting"/>
                <w:b/>
                <w:sz w:val="28"/>
                <w:szCs w:val="28"/>
                <w:rtl/>
                <w:lang w:bidi="ar-EG"/>
              </w:rPr>
            </w:pPr>
            <w:r>
              <w:rPr>
                <w:rFonts w:ascii="Arabic Typesetting" w:hAnsi="Arabic Typesetting" w:cs="Arabic Typesetting" w:hint="cs"/>
                <w:b/>
                <w:sz w:val="28"/>
                <w:szCs w:val="28"/>
                <w:rtl/>
                <w:lang w:bidi="ar-EG"/>
              </w:rPr>
              <w:t xml:space="preserve">89% استناداً إلى 276 رداً من مشاركين في 11 ندوة (أفريقيا (1)؛ </w:t>
            </w:r>
            <w:r w:rsidR="00485390">
              <w:rPr>
                <w:rFonts w:ascii="Arabic Typesetting" w:hAnsi="Arabic Typesetting" w:cs="Arabic Typesetting" w:hint="cs"/>
                <w:b/>
                <w:sz w:val="28"/>
                <w:szCs w:val="28"/>
                <w:rtl/>
                <w:lang w:bidi="ar-EG"/>
              </w:rPr>
              <w:t>البلدان</w:t>
            </w:r>
            <w:r>
              <w:rPr>
                <w:rFonts w:ascii="Arabic Typesetting" w:hAnsi="Arabic Typesetting" w:cs="Arabic Typesetting" w:hint="cs"/>
                <w:b/>
                <w:sz w:val="28"/>
                <w:szCs w:val="28"/>
                <w:rtl/>
                <w:lang w:bidi="ar-EG"/>
              </w:rPr>
              <w:t xml:space="preserve"> العربية (1)؛ آسيا والمحيط الهادئ (4)؛ أمريكا</w:t>
            </w:r>
            <w:r w:rsidR="00DB0677">
              <w:rPr>
                <w:rFonts w:ascii="Arabic Typesetting" w:hAnsi="Arabic Typesetting" w:cs="Arabic Typesetting" w:hint="eastAsia"/>
                <w:b/>
                <w:sz w:val="28"/>
                <w:szCs w:val="28"/>
                <w:rtl/>
                <w:lang w:bidi="ar-EG"/>
              </w:rPr>
              <w:t> </w:t>
            </w:r>
            <w:r>
              <w:rPr>
                <w:rFonts w:ascii="Arabic Typesetting" w:hAnsi="Arabic Typesetting" w:cs="Arabic Typesetting" w:hint="cs"/>
                <w:b/>
                <w:sz w:val="28"/>
                <w:szCs w:val="28"/>
                <w:rtl/>
                <w:lang w:bidi="ar-EG"/>
              </w:rPr>
              <w:t>اللاتينية والكاريبي (4)؛ آخر (1))</w:t>
            </w:r>
          </w:p>
        </w:tc>
        <w:tc>
          <w:tcPr>
            <w:tcW w:w="311" w:type="pct"/>
            <w:tcMar>
              <w:top w:w="110" w:type="dxa"/>
            </w:tcMar>
          </w:tcPr>
          <w:p w14:paraId="67F81EE2" w14:textId="77777777" w:rsidR="00BA024D" w:rsidRPr="001F6EA1" w:rsidRDefault="00427290" w:rsidP="0031289D">
            <w:pPr>
              <w:keepNext/>
              <w:bidi/>
              <w:spacing w:before="60" w:after="60" w:line="280" w:lineRule="exact"/>
              <w:rPr>
                <w:rFonts w:ascii="Arabic Typesetting" w:eastAsia="Arabic Typesetting" w:hAnsi="Arabic Typesetting" w:cs="Arabic Typesetting"/>
                <w:b/>
                <w:bCs/>
                <w:color w:val="00B050"/>
                <w:sz w:val="28"/>
                <w:szCs w:val="28"/>
                <w:rtl/>
                <w:lang w:eastAsia="ar-EG" w:bidi="ar-EG"/>
              </w:rPr>
            </w:pPr>
            <w:r w:rsidRPr="001F6EA1">
              <w:rPr>
                <w:rFonts w:ascii="Arabic Typesetting" w:eastAsia="Arabic Typesetting" w:hAnsi="Arabic Typesetting" w:cs="Arabic Typesetting" w:hint="cs"/>
                <w:b/>
                <w:bCs/>
                <w:color w:val="00B050"/>
                <w:sz w:val="28"/>
                <w:szCs w:val="28"/>
                <w:rtl/>
                <w:lang w:eastAsia="ar-EG" w:bidi="ar-EG"/>
              </w:rPr>
              <w:t>ثابت</w:t>
            </w:r>
          </w:p>
        </w:tc>
      </w:tr>
      <w:tr w:rsidR="00332BC9" w:rsidRPr="00211D55" w14:paraId="1DA5B26A" w14:textId="77777777" w:rsidTr="00E5593D">
        <w:trPr>
          <w:cantSplit/>
          <w:trHeight w:val="20"/>
        </w:trPr>
        <w:tc>
          <w:tcPr>
            <w:tcW w:w="1026" w:type="pct"/>
            <w:tcMar>
              <w:top w:w="110" w:type="dxa"/>
            </w:tcMar>
          </w:tcPr>
          <w:p w14:paraId="2050E9CC" w14:textId="77777777" w:rsidR="00427290" w:rsidRPr="00427290" w:rsidRDefault="00427290" w:rsidP="0031289D">
            <w:pPr>
              <w:bidi/>
              <w:spacing w:before="60" w:after="60" w:line="280" w:lineRule="exact"/>
              <w:rPr>
                <w:rFonts w:ascii="Arabic Typesetting" w:hAnsi="Arabic Typesetting" w:cs="Arabic Typesetting"/>
                <w:b/>
                <w:sz w:val="28"/>
                <w:szCs w:val="28"/>
                <w:rtl/>
                <w:lang w:bidi="ar-EG"/>
              </w:rPr>
            </w:pPr>
            <w:r w:rsidRPr="00427290">
              <w:rPr>
                <w:rFonts w:ascii="Arabic Typesetting" w:hAnsi="Arabic Typesetting" w:cs="Arabic Typesetting"/>
                <w:b/>
                <w:sz w:val="28"/>
                <w:szCs w:val="28"/>
                <w:rtl/>
                <w:lang w:bidi="ar-EG"/>
              </w:rPr>
              <w:t>مستوى رضا المشاركين في برنامج مساعدة المخترعين</w:t>
            </w:r>
          </w:p>
        </w:tc>
        <w:tc>
          <w:tcPr>
            <w:tcW w:w="1776" w:type="pct"/>
            <w:shd w:val="clear" w:color="auto" w:fill="auto"/>
            <w:tcMar>
              <w:top w:w="110" w:type="dxa"/>
            </w:tcMar>
          </w:tcPr>
          <w:p w14:paraId="335A973B" w14:textId="77777777" w:rsidR="00415FB2" w:rsidRDefault="00DB0677" w:rsidP="0031289D">
            <w:pPr>
              <w:bidi/>
              <w:spacing w:before="60" w:line="280" w:lineRule="exact"/>
              <w:rPr>
                <w:rFonts w:ascii="Arabic Typesetting" w:hAnsi="Arabic Typesetting" w:cs="Arabic Typesetting"/>
                <w:b/>
                <w:i/>
                <w:iCs/>
                <w:color w:val="002060"/>
                <w:sz w:val="28"/>
                <w:szCs w:val="28"/>
                <w:rtl/>
                <w:lang w:bidi="ar-EG"/>
              </w:rPr>
            </w:pPr>
            <w:r>
              <w:rPr>
                <w:rFonts w:ascii="Arabic Typesetting" w:hAnsi="Arabic Typesetting" w:cs="Arabic Typesetting"/>
                <w:b/>
                <w:i/>
                <w:iCs/>
                <w:color w:val="002060"/>
                <w:sz w:val="28"/>
                <w:szCs w:val="28"/>
                <w:rtl/>
                <w:lang w:bidi="ar-EG"/>
              </w:rPr>
              <w:t>أساس المقارنة المحدّث</w:t>
            </w:r>
            <w:r w:rsidR="00427290" w:rsidRPr="00211D55">
              <w:rPr>
                <w:rFonts w:ascii="Arabic Typesetting" w:hAnsi="Arabic Typesetting" w:cs="Arabic Typesetting"/>
                <w:b/>
                <w:i/>
                <w:iCs/>
                <w:color w:val="002060"/>
                <w:sz w:val="28"/>
                <w:szCs w:val="28"/>
                <w:rtl/>
                <w:lang w:bidi="ar-EG"/>
              </w:rPr>
              <w:t xml:space="preserve"> في نهاية </w:t>
            </w:r>
            <w:r w:rsidR="00427290">
              <w:rPr>
                <w:rFonts w:ascii="Arabic Typesetting" w:hAnsi="Arabic Typesetting" w:cs="Arabic Typesetting" w:hint="cs"/>
                <w:b/>
                <w:i/>
                <w:iCs/>
                <w:color w:val="002060"/>
                <w:sz w:val="28"/>
                <w:szCs w:val="28"/>
                <w:rtl/>
                <w:lang w:bidi="ar-EG"/>
              </w:rPr>
              <w:t>2015</w:t>
            </w:r>
            <w:r w:rsidR="00715467">
              <w:rPr>
                <w:rFonts w:ascii="Arabic Typesetting" w:hAnsi="Arabic Typesetting" w:cs="Arabic Typesetting" w:hint="cs"/>
                <w:b/>
                <w:i/>
                <w:iCs/>
                <w:color w:val="002060"/>
                <w:sz w:val="28"/>
                <w:szCs w:val="28"/>
                <w:rtl/>
                <w:lang w:bidi="ar-EG"/>
              </w:rPr>
              <w:t>:</w:t>
            </w:r>
          </w:p>
          <w:p w14:paraId="5B25FAD8" w14:textId="356883BB" w:rsidR="00427290" w:rsidRPr="00211D55" w:rsidRDefault="00427290" w:rsidP="0031289D">
            <w:pPr>
              <w:bidi/>
              <w:spacing w:after="120" w:line="280" w:lineRule="exact"/>
              <w:rPr>
                <w:rFonts w:ascii="Arabic Typesetting" w:hAnsi="Arabic Typesetting" w:cs="Arabic Typesetting"/>
                <w:b/>
                <w:color w:val="002060"/>
                <w:sz w:val="28"/>
                <w:szCs w:val="28"/>
                <w:rtl/>
                <w:lang w:bidi="ar-EG"/>
              </w:rPr>
            </w:pPr>
            <w:r>
              <w:rPr>
                <w:rFonts w:ascii="Arabic Typesetting" w:hAnsi="Arabic Typesetting" w:cs="Arabic Typesetting" w:hint="cs"/>
                <w:b/>
                <w:color w:val="002060"/>
                <w:sz w:val="28"/>
                <w:szCs w:val="28"/>
                <w:rtl/>
                <w:lang w:bidi="ar-EG"/>
              </w:rPr>
              <w:t>90% استناداً إلى استقصاء في أعضاء اللجنة</w:t>
            </w:r>
            <w:r w:rsidR="00715467">
              <w:rPr>
                <w:rFonts w:ascii="Arabic Typesetting" w:hAnsi="Arabic Typesetting" w:cs="Arabic Typesetting" w:hint="eastAsia"/>
                <w:b/>
                <w:color w:val="002060"/>
                <w:sz w:val="28"/>
                <w:szCs w:val="28"/>
                <w:rtl/>
                <w:lang w:bidi="ar-EG"/>
              </w:rPr>
              <w:t> </w:t>
            </w:r>
            <w:r>
              <w:rPr>
                <w:rFonts w:ascii="Arabic Typesetting" w:hAnsi="Arabic Typesetting" w:cs="Arabic Typesetting" w:hint="cs"/>
                <w:b/>
                <w:color w:val="002060"/>
                <w:sz w:val="28"/>
                <w:szCs w:val="28"/>
                <w:rtl/>
                <w:lang w:bidi="ar-EG"/>
              </w:rPr>
              <w:t>التوجيهية</w:t>
            </w:r>
          </w:p>
          <w:p w14:paraId="52643CEC" w14:textId="133F15C9" w:rsidR="00427290" w:rsidRPr="00211D55" w:rsidRDefault="00DB0677" w:rsidP="0031289D">
            <w:pPr>
              <w:bidi/>
              <w:spacing w:before="60" w:after="60" w:line="280" w:lineRule="exact"/>
              <w:rPr>
                <w:rFonts w:ascii="Arabic Typesetting" w:hAnsi="Arabic Typesetting" w:cs="Arabic Typesetting"/>
                <w:b/>
                <w:i/>
                <w:iCs/>
                <w:color w:val="002060"/>
                <w:sz w:val="28"/>
                <w:szCs w:val="28"/>
                <w:rtl/>
                <w:lang w:bidi="ar-EG"/>
              </w:rPr>
            </w:pPr>
            <w:r>
              <w:rPr>
                <w:rFonts w:ascii="Arabic Typesetting" w:hAnsi="Arabic Typesetting" w:cs="Arabic Typesetting"/>
                <w:b/>
                <w:i/>
                <w:iCs/>
                <w:sz w:val="28"/>
                <w:szCs w:val="28"/>
                <w:rtl/>
                <w:lang w:bidi="ar-EG"/>
              </w:rPr>
              <w:t>أساس المقارنة الأصلي</w:t>
            </w:r>
            <w:r w:rsidR="00427290" w:rsidRPr="00211D55">
              <w:rPr>
                <w:rFonts w:ascii="Arabic Typesetting" w:hAnsi="Arabic Typesetting" w:cs="Arabic Typesetting"/>
                <w:b/>
                <w:i/>
                <w:iCs/>
                <w:sz w:val="28"/>
                <w:szCs w:val="28"/>
                <w:rtl/>
                <w:lang w:bidi="ar-EG"/>
              </w:rPr>
              <w:t>:</w:t>
            </w:r>
            <w:r w:rsidR="00415FB2" w:rsidRPr="00427290">
              <w:rPr>
                <w:rFonts w:ascii="Arabic Typesetting" w:hAnsi="Arabic Typesetting" w:cs="Arabic Typesetting"/>
                <w:b/>
                <w:i/>
                <w:iCs/>
                <w:sz w:val="28"/>
                <w:szCs w:val="28"/>
                <w:rtl/>
                <w:lang w:bidi="ar-EG"/>
              </w:rPr>
              <w:t xml:space="preserve"> </w:t>
            </w:r>
            <w:r w:rsidR="00427290" w:rsidRPr="00427290">
              <w:rPr>
                <w:rFonts w:ascii="Arabic Typesetting" w:hAnsi="Arabic Typesetting" w:cs="Arabic Typesetting"/>
                <w:b/>
                <w:i/>
                <w:iCs/>
                <w:sz w:val="28"/>
                <w:szCs w:val="28"/>
                <w:rtl/>
                <w:lang w:bidi="ar-EG"/>
              </w:rPr>
              <w:t xml:space="preserve">برنامج وميزانية </w:t>
            </w:r>
            <w:r w:rsidR="00427290" w:rsidRPr="00427290">
              <w:rPr>
                <w:rFonts w:ascii="Arabic Typesetting" w:hAnsi="Arabic Typesetting" w:cs="Arabic Typesetting" w:hint="cs"/>
                <w:b/>
                <w:i/>
                <w:iCs/>
                <w:sz w:val="28"/>
                <w:szCs w:val="28"/>
                <w:rtl/>
                <w:lang w:bidi="ar-EG"/>
              </w:rPr>
              <w:t>2016</w:t>
            </w:r>
            <w:r w:rsidR="00427290" w:rsidRPr="00427290">
              <w:rPr>
                <w:rFonts w:ascii="Arabic Typesetting" w:hAnsi="Arabic Typesetting" w:cs="Arabic Typesetting"/>
                <w:b/>
                <w:i/>
                <w:iCs/>
                <w:sz w:val="28"/>
                <w:szCs w:val="28"/>
                <w:rtl/>
                <w:lang w:bidi="ar-EG"/>
              </w:rPr>
              <w:t>/</w:t>
            </w:r>
            <w:r w:rsidR="00427290" w:rsidRPr="00427290">
              <w:rPr>
                <w:rFonts w:ascii="Arabic Typesetting" w:hAnsi="Arabic Typesetting" w:cs="Arabic Typesetting" w:hint="cs"/>
                <w:b/>
                <w:i/>
                <w:iCs/>
                <w:sz w:val="28"/>
                <w:szCs w:val="28"/>
                <w:rtl/>
                <w:lang w:bidi="ar-EG"/>
              </w:rPr>
              <w:t>17</w:t>
            </w:r>
            <w:r w:rsidR="00427290" w:rsidRPr="00427290">
              <w:rPr>
                <w:rFonts w:ascii="Arabic Typesetting" w:hAnsi="Arabic Typesetting" w:cs="Arabic Typesetting"/>
                <w:b/>
                <w:i/>
                <w:iCs/>
                <w:sz w:val="28"/>
                <w:szCs w:val="28"/>
                <w:rtl/>
                <w:lang w:bidi="ar-EG"/>
              </w:rPr>
              <w:t>:</w:t>
            </w:r>
            <w:r w:rsidR="00415FB2">
              <w:rPr>
                <w:rFonts w:ascii="Arabic Typesetting" w:hAnsi="Arabic Typesetting" w:cs="Arabic Typesetting" w:hint="cs"/>
                <w:b/>
                <w:sz w:val="28"/>
                <w:szCs w:val="28"/>
                <w:rtl/>
                <w:lang w:bidi="ar-EG"/>
              </w:rPr>
              <w:t xml:space="preserve"> </w:t>
            </w:r>
            <w:r w:rsidR="00427290">
              <w:rPr>
                <w:rFonts w:ascii="Arabic Typesetting" w:hAnsi="Arabic Typesetting" w:cs="Arabic Typesetting" w:hint="cs"/>
                <w:b/>
                <w:sz w:val="28"/>
                <w:szCs w:val="28"/>
                <w:rtl/>
                <w:lang w:bidi="ar-EG"/>
              </w:rPr>
              <w:t>غير متاح</w:t>
            </w:r>
          </w:p>
        </w:tc>
        <w:tc>
          <w:tcPr>
            <w:tcW w:w="431" w:type="pct"/>
          </w:tcPr>
          <w:p w14:paraId="6A81FC87" w14:textId="77777777" w:rsidR="00427290" w:rsidRPr="00211D55" w:rsidRDefault="00427290" w:rsidP="0031289D">
            <w:pPr>
              <w:bidi/>
              <w:spacing w:before="60" w:after="60" w:line="280" w:lineRule="exact"/>
              <w:rPr>
                <w:rFonts w:ascii="Arabic Typesetting" w:hAnsi="Arabic Typesetting" w:cs="Arabic Typesetting"/>
                <w:b/>
                <w:sz w:val="28"/>
                <w:szCs w:val="28"/>
                <w:rtl/>
                <w:lang w:bidi="ar-EG"/>
              </w:rPr>
            </w:pPr>
            <w:r>
              <w:rPr>
                <w:rFonts w:ascii="Arabic Typesetting" w:hAnsi="Arabic Typesetting" w:cs="Arabic Typesetting" w:hint="cs"/>
                <w:b/>
                <w:sz w:val="28"/>
                <w:szCs w:val="28"/>
                <w:rtl/>
                <w:lang w:bidi="ar-EG"/>
              </w:rPr>
              <w:t>90%</w:t>
            </w:r>
          </w:p>
        </w:tc>
        <w:tc>
          <w:tcPr>
            <w:tcW w:w="1456" w:type="pct"/>
            <w:tcMar>
              <w:top w:w="110" w:type="dxa"/>
            </w:tcMar>
          </w:tcPr>
          <w:p w14:paraId="17C1BC3C" w14:textId="2025BA03" w:rsidR="00427290" w:rsidRDefault="00427290" w:rsidP="0031289D">
            <w:pPr>
              <w:bidi/>
              <w:spacing w:before="60" w:after="60" w:line="280" w:lineRule="exact"/>
              <w:rPr>
                <w:rFonts w:ascii="Arabic Typesetting" w:hAnsi="Arabic Typesetting" w:cs="Arabic Typesetting"/>
                <w:b/>
                <w:sz w:val="28"/>
                <w:szCs w:val="28"/>
                <w:rtl/>
                <w:lang w:bidi="ar-EG"/>
              </w:rPr>
            </w:pPr>
            <w:r>
              <w:rPr>
                <w:rFonts w:ascii="Arabic Typesetting" w:hAnsi="Arabic Typesetting" w:cs="Arabic Typesetting" w:hint="cs"/>
                <w:b/>
                <w:sz w:val="28"/>
                <w:szCs w:val="28"/>
                <w:rtl/>
                <w:lang w:bidi="ar-EG"/>
              </w:rPr>
              <w:t>84% استناداً إلى 4 ردود من مخترعين و7</w:t>
            </w:r>
            <w:r>
              <w:rPr>
                <w:rFonts w:ascii="Arabic Typesetting" w:hAnsi="Arabic Typesetting" w:cs="Arabic Typesetting" w:hint="eastAsia"/>
                <w:b/>
                <w:sz w:val="28"/>
                <w:szCs w:val="28"/>
                <w:rtl/>
                <w:lang w:bidi="ar-EG"/>
              </w:rPr>
              <w:t> </w:t>
            </w:r>
            <w:r>
              <w:rPr>
                <w:rFonts w:ascii="Arabic Typesetting" w:hAnsi="Arabic Typesetting" w:cs="Arabic Typesetting" w:hint="cs"/>
                <w:b/>
                <w:sz w:val="28"/>
                <w:szCs w:val="28"/>
                <w:rtl/>
                <w:lang w:bidi="ar-EG"/>
              </w:rPr>
              <w:t>من مشاركين</w:t>
            </w:r>
            <w:r w:rsidR="00DB0677">
              <w:rPr>
                <w:rFonts w:ascii="Arabic Typesetting" w:hAnsi="Arabic Typesetting" w:cs="Arabic Typesetting" w:hint="cs"/>
                <w:b/>
                <w:sz w:val="28"/>
                <w:szCs w:val="28"/>
                <w:rtl/>
                <w:lang w:bidi="ar-EG"/>
              </w:rPr>
              <w:t xml:space="preserve"> </w:t>
            </w:r>
            <w:r w:rsidR="00D02C02">
              <w:rPr>
                <w:rFonts w:ascii="Arabic Typesetting" w:hAnsi="Arabic Typesetting" w:cs="Arabic Typesetting" w:hint="cs"/>
                <w:b/>
                <w:sz w:val="28"/>
                <w:szCs w:val="28"/>
                <w:rtl/>
                <w:lang w:bidi="ar-EG"/>
              </w:rPr>
              <w:t>أخرى</w:t>
            </w:r>
            <w:r w:rsidR="00DB0677">
              <w:rPr>
                <w:rFonts w:ascii="Arabic Typesetting" w:hAnsi="Arabic Typesetting" w:cs="Arabic Typesetting" w:hint="cs"/>
                <w:b/>
                <w:sz w:val="28"/>
                <w:szCs w:val="28"/>
                <w:rtl/>
                <w:lang w:bidi="ar-EG"/>
              </w:rPr>
              <w:t>ن</w:t>
            </w:r>
          </w:p>
        </w:tc>
        <w:tc>
          <w:tcPr>
            <w:tcW w:w="311" w:type="pct"/>
            <w:tcMar>
              <w:top w:w="110" w:type="dxa"/>
            </w:tcMar>
          </w:tcPr>
          <w:p w14:paraId="7E5F0091" w14:textId="77777777" w:rsidR="00427290" w:rsidRPr="001F6EA1" w:rsidRDefault="00427290" w:rsidP="0031289D">
            <w:pPr>
              <w:keepNext/>
              <w:bidi/>
              <w:spacing w:before="60" w:after="60" w:line="280" w:lineRule="exact"/>
              <w:rPr>
                <w:rFonts w:ascii="Arabic Typesetting" w:eastAsia="Arabic Typesetting" w:hAnsi="Arabic Typesetting" w:cs="Arabic Typesetting"/>
                <w:b/>
                <w:bCs/>
                <w:color w:val="00B050"/>
                <w:sz w:val="28"/>
                <w:szCs w:val="28"/>
                <w:rtl/>
                <w:lang w:eastAsia="ar-EG" w:bidi="ar-EG"/>
              </w:rPr>
            </w:pPr>
            <w:r w:rsidRPr="001F6EA1">
              <w:rPr>
                <w:rFonts w:ascii="Arabic Typesetting" w:eastAsia="Arabic Typesetting" w:hAnsi="Arabic Typesetting" w:cs="Arabic Typesetting" w:hint="cs"/>
                <w:b/>
                <w:bCs/>
                <w:color w:val="00B050"/>
                <w:sz w:val="28"/>
                <w:szCs w:val="28"/>
                <w:rtl/>
                <w:lang w:eastAsia="ar-EG" w:bidi="ar-EG"/>
              </w:rPr>
              <w:t>ثابت</w:t>
            </w:r>
          </w:p>
        </w:tc>
      </w:tr>
      <w:tr w:rsidR="00441176" w:rsidRPr="00211D55" w14:paraId="1DBC66A2" w14:textId="77777777" w:rsidTr="00E5593D">
        <w:trPr>
          <w:cantSplit/>
          <w:trHeight w:val="20"/>
        </w:trPr>
        <w:tc>
          <w:tcPr>
            <w:tcW w:w="5000" w:type="pct"/>
            <w:gridSpan w:val="5"/>
            <w:shd w:val="clear" w:color="auto" w:fill="C6D9F1"/>
            <w:tcMar>
              <w:top w:w="0" w:type="dxa"/>
            </w:tcMar>
            <w:vAlign w:val="center"/>
          </w:tcPr>
          <w:p w14:paraId="78BA4A2C" w14:textId="61293315" w:rsidR="00441176" w:rsidRPr="00211D55" w:rsidRDefault="00441176" w:rsidP="0031289D">
            <w:pPr>
              <w:keepNext/>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Cs/>
                <w:sz w:val="28"/>
                <w:szCs w:val="28"/>
                <w:shd w:val="clear" w:color="auto" w:fill="C6D9F1"/>
                <w:rtl/>
                <w:lang w:bidi="ar-EG"/>
              </w:rPr>
              <w:lastRenderedPageBreak/>
              <w:t xml:space="preserve">النتيجة المرتقبة: </w:t>
            </w:r>
            <w:r w:rsidRPr="00211D55">
              <w:rPr>
                <w:rFonts w:ascii="Arabic Typesetting" w:hAnsi="Arabic Typesetting" w:cs="Arabic Typesetting"/>
                <w:b/>
                <w:sz w:val="28"/>
                <w:szCs w:val="28"/>
                <w:shd w:val="clear" w:color="auto" w:fill="C6D9F1"/>
                <w:rtl/>
                <w:lang w:bidi="ar-EG"/>
              </w:rPr>
              <w:tab/>
            </w:r>
            <w:r>
              <w:rPr>
                <w:rFonts w:ascii="Arabic Typesetting" w:hAnsi="Arabic Typesetting" w:cs="Arabic Typesetting"/>
                <w:b/>
                <w:sz w:val="28"/>
                <w:szCs w:val="28"/>
                <w:shd w:val="clear" w:color="auto" w:fill="C6D9F1"/>
                <w:rtl/>
                <w:lang w:bidi="ar-EG"/>
              </w:rPr>
              <w:t xml:space="preserve">ه2.1 </w:t>
            </w:r>
            <w:r w:rsidR="009834BA">
              <w:rPr>
                <w:rFonts w:ascii="Arabic Typesetting" w:hAnsi="Arabic Typesetting" w:cs="Arabic Typesetting"/>
                <w:b/>
                <w:sz w:val="28"/>
                <w:szCs w:val="28"/>
                <w:shd w:val="clear" w:color="auto" w:fill="C6D9F1"/>
                <w:rtl/>
                <w:lang w:bidi="ar-EG"/>
              </w:rPr>
              <w:t>أطر تشريعية وتنظيمية وسياسية مكيّفة ومتوازنة في مجال الملكية الفكرية</w:t>
            </w:r>
          </w:p>
        </w:tc>
      </w:tr>
      <w:tr w:rsidR="00441176" w:rsidRPr="00715467" w14:paraId="07CFD09F" w14:textId="77777777" w:rsidTr="00E5593D">
        <w:trPr>
          <w:cantSplit/>
          <w:trHeight w:val="20"/>
        </w:trPr>
        <w:tc>
          <w:tcPr>
            <w:tcW w:w="1026" w:type="pct"/>
            <w:tcMar>
              <w:top w:w="110" w:type="dxa"/>
            </w:tcMar>
          </w:tcPr>
          <w:p w14:paraId="5FBA1703" w14:textId="77777777" w:rsidR="00441176" w:rsidRPr="00211D55" w:rsidRDefault="00441176"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1776" w:type="pct"/>
            <w:shd w:val="clear" w:color="auto" w:fill="auto"/>
            <w:tcMar>
              <w:top w:w="110" w:type="dxa"/>
            </w:tcMar>
          </w:tcPr>
          <w:p w14:paraId="0111B6D8" w14:textId="77777777" w:rsidR="00441176" w:rsidRPr="00715467" w:rsidRDefault="00441176" w:rsidP="0031289D">
            <w:pPr>
              <w:keepNext/>
              <w:bidi/>
              <w:spacing w:before="60" w:after="60" w:line="280" w:lineRule="exact"/>
              <w:rPr>
                <w:rFonts w:ascii="Arabic Typesetting" w:hAnsi="Arabic Typesetting" w:cs="Arabic Typesetting"/>
                <w:b/>
                <w:bCs/>
                <w:sz w:val="28"/>
                <w:szCs w:val="28"/>
                <w:rtl/>
                <w:lang w:bidi="ar-EG"/>
              </w:rPr>
            </w:pPr>
            <w:r w:rsidRPr="00715467">
              <w:rPr>
                <w:rFonts w:ascii="Arabic Typesetting" w:hAnsi="Arabic Typesetting" w:cs="Arabic Typesetting"/>
                <w:b/>
                <w:bCs/>
                <w:sz w:val="28"/>
                <w:szCs w:val="28"/>
                <w:rtl/>
                <w:lang w:bidi="ar-EG"/>
              </w:rPr>
              <w:t>أسس المقارنة</w:t>
            </w:r>
          </w:p>
        </w:tc>
        <w:tc>
          <w:tcPr>
            <w:tcW w:w="431" w:type="pct"/>
          </w:tcPr>
          <w:p w14:paraId="1FA02D66" w14:textId="77777777" w:rsidR="00441176" w:rsidRPr="00211D55" w:rsidRDefault="00441176"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1456" w:type="pct"/>
            <w:tcMar>
              <w:top w:w="110" w:type="dxa"/>
            </w:tcMar>
          </w:tcPr>
          <w:p w14:paraId="5EFA6CFC" w14:textId="77777777" w:rsidR="00441176" w:rsidRPr="00211D55" w:rsidRDefault="00441176"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311" w:type="pct"/>
            <w:tcMar>
              <w:top w:w="110" w:type="dxa"/>
            </w:tcMar>
          </w:tcPr>
          <w:p w14:paraId="4833D71A" w14:textId="77777777" w:rsidR="00441176" w:rsidRPr="00211D55" w:rsidRDefault="00441176"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441176" w:rsidRPr="00211D55" w14:paraId="2F5838FE" w14:textId="77777777" w:rsidTr="00E5593D">
        <w:trPr>
          <w:cantSplit/>
          <w:trHeight w:val="20"/>
        </w:trPr>
        <w:tc>
          <w:tcPr>
            <w:tcW w:w="1026" w:type="pct"/>
            <w:tcMar>
              <w:top w:w="110" w:type="dxa"/>
            </w:tcMar>
          </w:tcPr>
          <w:p w14:paraId="4A8324E0" w14:textId="68DF8B4D" w:rsidR="00441176" w:rsidRPr="00427290" w:rsidRDefault="00441176" w:rsidP="0031289D">
            <w:pPr>
              <w:bidi/>
              <w:spacing w:before="60" w:after="60" w:line="280" w:lineRule="exact"/>
              <w:rPr>
                <w:rFonts w:ascii="Arabic Typesetting" w:hAnsi="Arabic Typesetting" w:cs="Arabic Typesetting"/>
                <w:b/>
                <w:sz w:val="28"/>
                <w:szCs w:val="28"/>
                <w:rtl/>
                <w:lang w:bidi="ar-EG"/>
              </w:rPr>
            </w:pPr>
            <w:r w:rsidRPr="00332BC9">
              <w:rPr>
                <w:rFonts w:ascii="Arabic Typesetting" w:hAnsi="Arabic Typesetting" w:cs="Arabic Typesetting"/>
                <w:b/>
                <w:sz w:val="28"/>
                <w:szCs w:val="28"/>
                <w:rtl/>
                <w:lang w:bidi="ar-EG"/>
              </w:rPr>
              <w:t xml:space="preserve">النسبة المئوية للجهات </w:t>
            </w:r>
            <w:r w:rsidR="00DB0677">
              <w:rPr>
                <w:rFonts w:ascii="Arabic Typesetting" w:hAnsi="Arabic Typesetting" w:cs="Arabic Typesetting" w:hint="cs"/>
                <w:b/>
                <w:sz w:val="28"/>
                <w:szCs w:val="28"/>
                <w:rtl/>
                <w:lang w:bidi="ar-EG"/>
              </w:rPr>
              <w:t>المستفيدة</w:t>
            </w:r>
            <w:r w:rsidRPr="00332BC9">
              <w:rPr>
                <w:rFonts w:ascii="Arabic Typesetting" w:hAnsi="Arabic Typesetting" w:cs="Arabic Typesetting"/>
                <w:b/>
                <w:sz w:val="28"/>
                <w:szCs w:val="28"/>
                <w:rtl/>
                <w:lang w:bidi="ar-EG"/>
              </w:rPr>
              <w:t xml:space="preserve"> التي وجدت المعلومات المقدمة بشأن المبادئ والممارسات القانونية لأنظمة البراءات ونماذج المنفعة والدوائر المتكاملة، بما</w:t>
            </w:r>
            <w:r w:rsidR="00DB0677">
              <w:rPr>
                <w:rFonts w:ascii="Arabic Typesetting" w:hAnsi="Arabic Typesetting" w:cs="Arabic Typesetting" w:hint="cs"/>
                <w:b/>
                <w:sz w:val="28"/>
                <w:szCs w:val="28"/>
                <w:rtl/>
                <w:lang w:bidi="ar-EG"/>
              </w:rPr>
              <w:t> </w:t>
            </w:r>
            <w:r w:rsidRPr="00332BC9">
              <w:rPr>
                <w:rFonts w:ascii="Arabic Typesetting" w:hAnsi="Arabic Typesetting" w:cs="Arabic Typesetting"/>
                <w:b/>
                <w:sz w:val="28"/>
                <w:szCs w:val="28"/>
                <w:rtl/>
                <w:lang w:bidi="ar-EG"/>
              </w:rPr>
              <w:t>فيها</w:t>
            </w:r>
            <w:r w:rsidR="00DB0677">
              <w:rPr>
                <w:rFonts w:ascii="Arabic Typesetting" w:hAnsi="Arabic Typesetting" w:cs="Arabic Typesetting" w:hint="cs"/>
                <w:b/>
                <w:sz w:val="28"/>
                <w:szCs w:val="28"/>
                <w:rtl/>
                <w:lang w:bidi="ar-EG"/>
              </w:rPr>
              <w:t> </w:t>
            </w:r>
            <w:r w:rsidRPr="00332BC9">
              <w:rPr>
                <w:rFonts w:ascii="Arabic Typesetting" w:hAnsi="Arabic Typesetting" w:cs="Arabic Typesetting"/>
                <w:b/>
                <w:sz w:val="28"/>
                <w:szCs w:val="28"/>
                <w:rtl/>
                <w:lang w:bidi="ar-EG"/>
              </w:rPr>
              <w:t>مواطن المرونة، معلومات مفيدة</w:t>
            </w:r>
          </w:p>
        </w:tc>
        <w:tc>
          <w:tcPr>
            <w:tcW w:w="1776" w:type="pct"/>
            <w:shd w:val="clear" w:color="auto" w:fill="auto"/>
            <w:tcMar>
              <w:top w:w="110" w:type="dxa"/>
            </w:tcMar>
          </w:tcPr>
          <w:p w14:paraId="63910645" w14:textId="77777777" w:rsidR="00866114" w:rsidRDefault="00DB0677" w:rsidP="0031289D">
            <w:pPr>
              <w:bidi/>
              <w:spacing w:before="60" w:after="60" w:line="280" w:lineRule="exact"/>
              <w:rPr>
                <w:rFonts w:ascii="Arabic Typesetting" w:hAnsi="Arabic Typesetting" w:cs="Arabic Typesetting"/>
                <w:b/>
                <w:i/>
                <w:iCs/>
                <w:color w:val="002060"/>
                <w:sz w:val="28"/>
                <w:szCs w:val="28"/>
                <w:rtl/>
                <w:lang w:bidi="ar-EG"/>
              </w:rPr>
            </w:pPr>
            <w:r>
              <w:rPr>
                <w:rFonts w:ascii="Arabic Typesetting" w:hAnsi="Arabic Typesetting" w:cs="Arabic Typesetting"/>
                <w:b/>
                <w:i/>
                <w:iCs/>
                <w:color w:val="002060"/>
                <w:sz w:val="28"/>
                <w:szCs w:val="28"/>
                <w:rtl/>
                <w:lang w:bidi="ar-EG"/>
              </w:rPr>
              <w:t>أساس المقارنة المحدّث</w:t>
            </w:r>
            <w:r w:rsidR="00441176" w:rsidRPr="00211D55">
              <w:rPr>
                <w:rFonts w:ascii="Arabic Typesetting" w:hAnsi="Arabic Typesetting" w:cs="Arabic Typesetting"/>
                <w:b/>
                <w:i/>
                <w:iCs/>
                <w:color w:val="002060"/>
                <w:sz w:val="28"/>
                <w:szCs w:val="28"/>
                <w:rtl/>
                <w:lang w:bidi="ar-EG"/>
              </w:rPr>
              <w:t xml:space="preserve"> في نهاية </w:t>
            </w:r>
            <w:r w:rsidR="00441176">
              <w:rPr>
                <w:rFonts w:ascii="Arabic Typesetting" w:hAnsi="Arabic Typesetting" w:cs="Arabic Typesetting" w:hint="cs"/>
                <w:b/>
                <w:i/>
                <w:iCs/>
                <w:color w:val="002060"/>
                <w:sz w:val="28"/>
                <w:szCs w:val="28"/>
                <w:rtl/>
                <w:lang w:bidi="ar-EG"/>
              </w:rPr>
              <w:t>2015</w:t>
            </w:r>
            <w:r w:rsidR="00441176" w:rsidRPr="00211D55">
              <w:rPr>
                <w:rFonts w:ascii="Arabic Typesetting" w:hAnsi="Arabic Typesetting" w:cs="Arabic Typesetting"/>
                <w:b/>
                <w:i/>
                <w:iCs/>
                <w:color w:val="002060"/>
                <w:sz w:val="28"/>
                <w:szCs w:val="28"/>
                <w:rtl/>
                <w:lang w:bidi="ar-EG"/>
              </w:rPr>
              <w:t>:</w:t>
            </w:r>
          </w:p>
          <w:p w14:paraId="0C7C1CDF" w14:textId="4DAA6CB1" w:rsidR="00441176" w:rsidRPr="00211D55" w:rsidRDefault="00441176" w:rsidP="0031289D">
            <w:pPr>
              <w:bidi/>
              <w:spacing w:before="60" w:after="120" w:line="280" w:lineRule="exact"/>
              <w:rPr>
                <w:rFonts w:ascii="Arabic Typesetting" w:hAnsi="Arabic Typesetting" w:cs="Arabic Typesetting"/>
                <w:b/>
                <w:color w:val="002060"/>
                <w:sz w:val="28"/>
                <w:szCs w:val="28"/>
                <w:rtl/>
                <w:lang w:bidi="ar-EG"/>
              </w:rPr>
            </w:pPr>
            <w:r>
              <w:rPr>
                <w:rFonts w:ascii="Arabic Typesetting" w:hAnsi="Arabic Typesetting" w:cs="Arabic Typesetting" w:hint="cs"/>
                <w:b/>
                <w:color w:val="002060"/>
                <w:sz w:val="28"/>
                <w:szCs w:val="28"/>
                <w:rtl/>
                <w:lang w:bidi="ar-EG"/>
              </w:rPr>
              <w:t>95.24% استناداً إلى 24 رداً</w:t>
            </w:r>
          </w:p>
          <w:p w14:paraId="54F848A5" w14:textId="22FDAF56" w:rsidR="00866114" w:rsidRPr="00866114" w:rsidRDefault="00DB0677" w:rsidP="0031289D">
            <w:pPr>
              <w:bidi/>
              <w:spacing w:before="60" w:after="60" w:line="280" w:lineRule="exact"/>
              <w:rPr>
                <w:rFonts w:ascii="Arabic Typesetting" w:hAnsi="Arabic Typesetting" w:cs="Arabic Typesetting"/>
                <w:b/>
                <w:sz w:val="28"/>
                <w:szCs w:val="28"/>
                <w:rtl/>
                <w:lang w:bidi="ar-EG"/>
              </w:rPr>
            </w:pPr>
            <w:r>
              <w:rPr>
                <w:rFonts w:ascii="Arabic Typesetting" w:hAnsi="Arabic Typesetting" w:cs="Arabic Typesetting"/>
                <w:b/>
                <w:i/>
                <w:iCs/>
                <w:sz w:val="28"/>
                <w:szCs w:val="28"/>
                <w:rtl/>
                <w:lang w:bidi="ar-EG"/>
              </w:rPr>
              <w:t>أساس المقارنة الأصلي</w:t>
            </w:r>
            <w:r w:rsidR="00441176" w:rsidRPr="00211D55">
              <w:rPr>
                <w:rFonts w:ascii="Arabic Typesetting" w:hAnsi="Arabic Typesetting" w:cs="Arabic Typesetting"/>
                <w:b/>
                <w:i/>
                <w:iCs/>
                <w:sz w:val="28"/>
                <w:szCs w:val="28"/>
                <w:rtl/>
                <w:lang w:bidi="ar-EG"/>
              </w:rPr>
              <w:t>:</w:t>
            </w:r>
            <w:r w:rsidR="00866114">
              <w:rPr>
                <w:rFonts w:ascii="Arabic Typesetting" w:hAnsi="Arabic Typesetting" w:cs="Arabic Typesetting" w:hint="cs"/>
                <w:b/>
                <w:sz w:val="28"/>
                <w:szCs w:val="28"/>
                <w:rtl/>
                <w:lang w:bidi="ar-EG"/>
              </w:rPr>
              <w:t xml:space="preserve"> </w:t>
            </w:r>
            <w:r w:rsidR="00441176" w:rsidRPr="00427290">
              <w:rPr>
                <w:rFonts w:ascii="Arabic Typesetting" w:hAnsi="Arabic Typesetting" w:cs="Arabic Typesetting"/>
                <w:b/>
                <w:i/>
                <w:iCs/>
                <w:sz w:val="28"/>
                <w:szCs w:val="28"/>
                <w:rtl/>
                <w:lang w:bidi="ar-EG"/>
              </w:rPr>
              <w:t xml:space="preserve">برنامج وميزانية </w:t>
            </w:r>
            <w:r w:rsidR="00441176" w:rsidRPr="00427290">
              <w:rPr>
                <w:rFonts w:ascii="Arabic Typesetting" w:hAnsi="Arabic Typesetting" w:cs="Arabic Typesetting" w:hint="cs"/>
                <w:b/>
                <w:i/>
                <w:iCs/>
                <w:sz w:val="28"/>
                <w:szCs w:val="28"/>
                <w:rtl/>
                <w:lang w:bidi="ar-EG"/>
              </w:rPr>
              <w:t>2016</w:t>
            </w:r>
            <w:r w:rsidR="00441176" w:rsidRPr="00427290">
              <w:rPr>
                <w:rFonts w:ascii="Arabic Typesetting" w:hAnsi="Arabic Typesetting" w:cs="Arabic Typesetting"/>
                <w:b/>
                <w:i/>
                <w:iCs/>
                <w:sz w:val="28"/>
                <w:szCs w:val="28"/>
                <w:rtl/>
                <w:lang w:bidi="ar-EG"/>
              </w:rPr>
              <w:t>/</w:t>
            </w:r>
            <w:r w:rsidR="00441176" w:rsidRPr="00427290">
              <w:rPr>
                <w:rFonts w:ascii="Arabic Typesetting" w:hAnsi="Arabic Typesetting" w:cs="Arabic Typesetting" w:hint="cs"/>
                <w:b/>
                <w:i/>
                <w:iCs/>
                <w:sz w:val="28"/>
                <w:szCs w:val="28"/>
                <w:rtl/>
                <w:lang w:bidi="ar-EG"/>
              </w:rPr>
              <w:t>17</w:t>
            </w:r>
            <w:r w:rsidR="00441176" w:rsidRPr="00427290">
              <w:rPr>
                <w:rFonts w:ascii="Arabic Typesetting" w:hAnsi="Arabic Typesetting" w:cs="Arabic Typesetting"/>
                <w:b/>
                <w:i/>
                <w:iCs/>
                <w:sz w:val="28"/>
                <w:szCs w:val="28"/>
                <w:rtl/>
                <w:lang w:bidi="ar-EG"/>
              </w:rPr>
              <w:t>:</w:t>
            </w:r>
          </w:p>
          <w:p w14:paraId="282CEFA8" w14:textId="40EF6F48" w:rsidR="00441176" w:rsidRPr="00211D55" w:rsidRDefault="00441176" w:rsidP="0031289D">
            <w:pPr>
              <w:bidi/>
              <w:spacing w:before="60" w:after="60" w:line="280" w:lineRule="exact"/>
              <w:rPr>
                <w:rFonts w:ascii="Arabic Typesetting" w:hAnsi="Arabic Typesetting" w:cs="Arabic Typesetting"/>
                <w:b/>
                <w:i/>
                <w:iCs/>
                <w:color w:val="002060"/>
                <w:sz w:val="28"/>
                <w:szCs w:val="28"/>
                <w:lang w:bidi="ar-EG"/>
              </w:rPr>
            </w:pPr>
            <w:r>
              <w:rPr>
                <w:rFonts w:ascii="Arabic Typesetting" w:hAnsi="Arabic Typesetting" w:cs="Arabic Typesetting" w:hint="cs"/>
                <w:b/>
                <w:sz w:val="28"/>
                <w:szCs w:val="28"/>
                <w:rtl/>
                <w:lang w:bidi="ar-EG"/>
              </w:rPr>
              <w:t>7 بلدان/مشاركين (</w:t>
            </w:r>
            <w:r w:rsidR="00866114">
              <w:rPr>
                <w:rFonts w:ascii="Arabic Typesetting" w:hAnsi="Arabic Typesetting" w:cs="Arabic Typesetting" w:hint="cs"/>
                <w:b/>
                <w:sz w:val="28"/>
                <w:szCs w:val="28"/>
                <w:rtl/>
                <w:lang w:bidi="ar-EG"/>
              </w:rPr>
              <w:t>85.7</w:t>
            </w:r>
            <w:r>
              <w:rPr>
                <w:rFonts w:ascii="Arabic Typesetting" w:hAnsi="Arabic Typesetting" w:cs="Arabic Typesetting" w:hint="cs"/>
                <w:b/>
                <w:sz w:val="28"/>
                <w:szCs w:val="28"/>
                <w:rtl/>
                <w:lang w:bidi="ar-EG"/>
              </w:rPr>
              <w:t>%) - استقصاء 2014</w:t>
            </w:r>
          </w:p>
        </w:tc>
        <w:tc>
          <w:tcPr>
            <w:tcW w:w="431" w:type="pct"/>
          </w:tcPr>
          <w:p w14:paraId="5EF2D573" w14:textId="77777777" w:rsidR="00441176" w:rsidRPr="00211D55" w:rsidRDefault="00441176" w:rsidP="0031289D">
            <w:pPr>
              <w:bidi/>
              <w:spacing w:before="60" w:after="60" w:line="280" w:lineRule="exact"/>
              <w:rPr>
                <w:rFonts w:ascii="Arabic Typesetting" w:hAnsi="Arabic Typesetting" w:cs="Arabic Typesetting"/>
                <w:b/>
                <w:sz w:val="28"/>
                <w:szCs w:val="28"/>
                <w:rtl/>
                <w:lang w:bidi="ar-EG"/>
              </w:rPr>
            </w:pPr>
            <w:r>
              <w:rPr>
                <w:rFonts w:ascii="Arabic Typesetting" w:hAnsi="Arabic Typesetting" w:cs="Arabic Typesetting" w:hint="cs"/>
                <w:b/>
                <w:sz w:val="28"/>
                <w:szCs w:val="28"/>
                <w:rtl/>
                <w:lang w:bidi="ar-EG"/>
              </w:rPr>
              <w:t>90%</w:t>
            </w:r>
          </w:p>
        </w:tc>
        <w:tc>
          <w:tcPr>
            <w:tcW w:w="1456" w:type="pct"/>
            <w:tcMar>
              <w:top w:w="110" w:type="dxa"/>
            </w:tcMar>
          </w:tcPr>
          <w:p w14:paraId="24F37951" w14:textId="77777777" w:rsidR="00441176" w:rsidRDefault="00441176" w:rsidP="0031289D">
            <w:pPr>
              <w:bidi/>
              <w:spacing w:before="60" w:after="60" w:line="280" w:lineRule="exact"/>
              <w:rPr>
                <w:rFonts w:ascii="Arabic Typesetting" w:hAnsi="Arabic Typesetting" w:cs="Arabic Typesetting"/>
                <w:b/>
                <w:sz w:val="28"/>
                <w:szCs w:val="28"/>
                <w:rtl/>
                <w:lang w:bidi="ar-EG"/>
              </w:rPr>
            </w:pPr>
            <w:r>
              <w:rPr>
                <w:rFonts w:ascii="Arabic Typesetting" w:hAnsi="Arabic Typesetting" w:cs="Arabic Typesetting" w:hint="cs"/>
                <w:b/>
                <w:sz w:val="28"/>
                <w:szCs w:val="28"/>
                <w:rtl/>
                <w:lang w:bidi="ar-EG"/>
              </w:rPr>
              <w:t>100% استناداً إلى 24 رداً من مشاركين في نشاطين تدريبيين (بيلاروس والفلبين)</w:t>
            </w:r>
          </w:p>
        </w:tc>
        <w:tc>
          <w:tcPr>
            <w:tcW w:w="311" w:type="pct"/>
            <w:tcMar>
              <w:top w:w="110" w:type="dxa"/>
            </w:tcMar>
          </w:tcPr>
          <w:p w14:paraId="2B81D86B" w14:textId="77777777" w:rsidR="00441176" w:rsidRPr="00427290" w:rsidRDefault="00441176" w:rsidP="0031289D">
            <w:pPr>
              <w:bidi/>
              <w:spacing w:before="60" w:after="60" w:line="280" w:lineRule="exact"/>
              <w:rPr>
                <w:rFonts w:ascii="Arabic Typesetting" w:hAnsi="Arabic Typesetting" w:cs="Arabic Typesetting"/>
                <w:b/>
                <w:bCs/>
                <w:color w:val="00B050"/>
                <w:sz w:val="28"/>
                <w:szCs w:val="28"/>
                <w:rtl/>
                <w:lang w:bidi="ar-EG"/>
              </w:rPr>
            </w:pPr>
            <w:r>
              <w:rPr>
                <w:rFonts w:ascii="Arabic Typesetting" w:hAnsi="Arabic Typesetting" w:cs="Arabic Typesetting" w:hint="cs"/>
                <w:b/>
                <w:bCs/>
                <w:color w:val="00B050"/>
                <w:sz w:val="28"/>
                <w:szCs w:val="28"/>
                <w:rtl/>
                <w:lang w:bidi="ar-EG"/>
              </w:rPr>
              <w:t>ثابت</w:t>
            </w:r>
          </w:p>
        </w:tc>
      </w:tr>
      <w:tr w:rsidR="00441176" w:rsidRPr="00211D55" w14:paraId="2E13419C" w14:textId="77777777" w:rsidTr="00E5593D">
        <w:trPr>
          <w:cantSplit/>
          <w:trHeight w:val="20"/>
        </w:trPr>
        <w:tc>
          <w:tcPr>
            <w:tcW w:w="1026" w:type="pct"/>
            <w:tcMar>
              <w:top w:w="110" w:type="dxa"/>
            </w:tcMar>
          </w:tcPr>
          <w:p w14:paraId="668F43FC" w14:textId="2B3E51FD" w:rsidR="00441176" w:rsidRPr="005D404A" w:rsidRDefault="00441176" w:rsidP="0031289D">
            <w:pPr>
              <w:bidi/>
              <w:spacing w:before="60" w:after="60" w:line="280" w:lineRule="exact"/>
              <w:rPr>
                <w:rFonts w:ascii="Arabic Typesetting" w:hAnsi="Arabic Typesetting" w:cs="Arabic Typesetting"/>
                <w:sz w:val="28"/>
                <w:szCs w:val="28"/>
                <w:rtl/>
                <w:lang w:bidi="ar-EG"/>
              </w:rPr>
            </w:pPr>
            <w:r w:rsidRPr="005D404A">
              <w:rPr>
                <w:rFonts w:ascii="Arabic Typesetting" w:hAnsi="Arabic Typesetting" w:cs="Arabic Typesetting"/>
                <w:sz w:val="28"/>
                <w:szCs w:val="28"/>
                <w:rtl/>
                <w:lang w:bidi="ar-EG"/>
              </w:rPr>
              <w:t xml:space="preserve">عدد الدول الأعضاء الراضية </w:t>
            </w:r>
            <w:r w:rsidRPr="005D404A">
              <w:rPr>
                <w:rFonts w:ascii="Arabic Typesetting" w:hAnsi="Arabic Typesetting" w:cs="Arabic Typesetting" w:hint="cs"/>
                <w:sz w:val="28"/>
                <w:szCs w:val="28"/>
                <w:rtl/>
                <w:lang w:bidi="ar-EG"/>
              </w:rPr>
              <w:t xml:space="preserve">عن جودة المشورة القانونية والسياسية المقدمة </w:t>
            </w:r>
            <w:r w:rsidRPr="005D404A">
              <w:rPr>
                <w:rFonts w:ascii="Arabic Typesetting" w:hAnsi="Arabic Typesetting" w:cs="Arabic Typesetting"/>
                <w:sz w:val="28"/>
                <w:szCs w:val="28"/>
                <w:rtl/>
                <w:lang w:bidi="ar-EG"/>
              </w:rPr>
              <w:t>والنسبة</w:t>
            </w:r>
            <w:r w:rsidR="00DB0677">
              <w:rPr>
                <w:rFonts w:ascii="Arabic Typesetting" w:hAnsi="Arabic Typesetting" w:cs="Arabic Typesetting" w:hint="cs"/>
                <w:sz w:val="28"/>
                <w:szCs w:val="28"/>
                <w:rtl/>
                <w:lang w:bidi="ar-EG"/>
              </w:rPr>
              <w:t> </w:t>
            </w:r>
            <w:r w:rsidRPr="005D404A">
              <w:rPr>
                <w:rFonts w:ascii="Arabic Typesetting" w:hAnsi="Arabic Typesetting" w:cs="Arabic Typesetting"/>
                <w:sz w:val="28"/>
                <w:szCs w:val="28"/>
                <w:rtl/>
                <w:lang w:bidi="ar-EG"/>
              </w:rPr>
              <w:t xml:space="preserve">المئوية </w:t>
            </w:r>
            <w:r w:rsidRPr="005D404A">
              <w:rPr>
                <w:rFonts w:ascii="Arabic Typesetting" w:hAnsi="Arabic Typesetting" w:cs="Arabic Typesetting" w:hint="cs"/>
                <w:sz w:val="28"/>
                <w:szCs w:val="28"/>
                <w:rtl/>
                <w:lang w:bidi="ar-EG"/>
              </w:rPr>
              <w:t>لتلك</w:t>
            </w:r>
            <w:r w:rsidRPr="005D404A">
              <w:rPr>
                <w:rFonts w:ascii="Arabic Typesetting" w:hAnsi="Arabic Typesetting" w:cs="Arabic Typesetting"/>
                <w:sz w:val="28"/>
                <w:szCs w:val="28"/>
                <w:rtl/>
                <w:lang w:bidi="ar-EG"/>
              </w:rPr>
              <w:t xml:space="preserve"> الدول</w:t>
            </w:r>
          </w:p>
        </w:tc>
        <w:tc>
          <w:tcPr>
            <w:tcW w:w="1776" w:type="pct"/>
            <w:shd w:val="clear" w:color="auto" w:fill="auto"/>
            <w:tcMar>
              <w:top w:w="110" w:type="dxa"/>
            </w:tcMar>
          </w:tcPr>
          <w:p w14:paraId="0776601B" w14:textId="77777777" w:rsidR="00866114" w:rsidRDefault="00441176" w:rsidP="0031289D">
            <w:pPr>
              <w:bidi/>
              <w:spacing w:before="60" w:after="60" w:line="280" w:lineRule="exact"/>
              <w:rPr>
                <w:rFonts w:ascii="Arabic Typesetting" w:hAnsi="Arabic Typesetting" w:cs="Arabic Typesetting"/>
                <w:iCs/>
                <w:color w:val="002060"/>
                <w:sz w:val="28"/>
                <w:szCs w:val="28"/>
                <w:rtl/>
                <w:lang w:bidi="ar-EG"/>
              </w:rPr>
            </w:pPr>
            <w:r w:rsidRPr="005D404A">
              <w:rPr>
                <w:rFonts w:ascii="Arabic Typesetting" w:hAnsi="Arabic Typesetting" w:cs="Arabic Typesetting" w:hint="cs"/>
                <w:iCs/>
                <w:color w:val="002060"/>
                <w:sz w:val="28"/>
                <w:szCs w:val="28"/>
                <w:rtl/>
                <w:lang w:bidi="ar-EG"/>
              </w:rPr>
              <w:t>أس</w:t>
            </w:r>
            <w:r w:rsidR="00DB0677">
              <w:rPr>
                <w:rFonts w:ascii="Arabic Typesetting" w:hAnsi="Arabic Typesetting" w:cs="Arabic Typesetting" w:hint="cs"/>
                <w:iCs/>
                <w:color w:val="002060"/>
                <w:sz w:val="28"/>
                <w:szCs w:val="28"/>
                <w:rtl/>
                <w:lang w:bidi="ar-EG"/>
              </w:rPr>
              <w:t>ا</w:t>
            </w:r>
            <w:r w:rsidRPr="005D404A">
              <w:rPr>
                <w:rFonts w:ascii="Arabic Typesetting" w:hAnsi="Arabic Typesetting" w:cs="Arabic Typesetting" w:hint="cs"/>
                <w:iCs/>
                <w:color w:val="002060"/>
                <w:sz w:val="28"/>
                <w:szCs w:val="28"/>
                <w:rtl/>
                <w:lang w:bidi="ar-EG"/>
              </w:rPr>
              <w:t>س المقارنة المحد</w:t>
            </w:r>
            <w:r w:rsidR="00DB0677">
              <w:rPr>
                <w:rFonts w:ascii="Arabic Typesetting" w:hAnsi="Arabic Typesetting" w:cs="Arabic Typesetting" w:hint="cs"/>
                <w:iCs/>
                <w:color w:val="002060"/>
                <w:sz w:val="28"/>
                <w:szCs w:val="28"/>
                <w:rtl/>
                <w:lang w:bidi="ar-EG"/>
              </w:rPr>
              <w:t>ّث</w:t>
            </w:r>
            <w:r w:rsidRPr="005D404A">
              <w:rPr>
                <w:rFonts w:ascii="Arabic Typesetting" w:hAnsi="Arabic Typesetting" w:cs="Arabic Typesetting" w:hint="cs"/>
                <w:iCs/>
                <w:color w:val="002060"/>
                <w:sz w:val="28"/>
                <w:szCs w:val="28"/>
                <w:rtl/>
                <w:lang w:bidi="ar-EG"/>
              </w:rPr>
              <w:t xml:space="preserve"> في نهاية 2015:</w:t>
            </w:r>
          </w:p>
          <w:p w14:paraId="49A235E9" w14:textId="635198D7" w:rsidR="00441176" w:rsidRPr="005D404A" w:rsidRDefault="00441176" w:rsidP="0031289D">
            <w:pPr>
              <w:bidi/>
              <w:spacing w:before="60" w:after="120" w:line="280" w:lineRule="exact"/>
              <w:rPr>
                <w:rFonts w:ascii="Arabic Typesetting" w:hAnsi="Arabic Typesetting" w:cs="Arabic Typesetting"/>
                <w:color w:val="002060"/>
                <w:sz w:val="28"/>
                <w:szCs w:val="28"/>
                <w:rtl/>
                <w:lang w:bidi="ar-EG"/>
              </w:rPr>
            </w:pPr>
            <w:r w:rsidRPr="005D404A">
              <w:rPr>
                <w:rFonts w:ascii="Arabic Typesetting" w:hAnsi="Arabic Typesetting" w:cs="Arabic Typesetting" w:hint="cs"/>
                <w:color w:val="002060"/>
                <w:sz w:val="28"/>
                <w:szCs w:val="28"/>
                <w:rtl/>
                <w:lang w:bidi="ar-EG"/>
              </w:rPr>
              <w:t>في 2014/15، أفاد 9 مجيبين نسبة رضا متوسطة تبلغ 94% (أفريقيا (3)؛ البلدان العربية (1)؛ آسيا والمحيط الهادئ (2)؛ بعض بلدان أوروبا وآسيا (2)؛ أمريكا اللاتينية والكاريبي (1)</w:t>
            </w:r>
            <w:r w:rsidR="005A5A84">
              <w:rPr>
                <w:rFonts w:ascii="Arabic Typesetting" w:hAnsi="Arabic Typesetting" w:cs="Arabic Typesetting" w:hint="cs"/>
                <w:color w:val="002060"/>
                <w:sz w:val="28"/>
                <w:szCs w:val="28"/>
                <w:rtl/>
                <w:lang w:bidi="ar-EG"/>
              </w:rPr>
              <w:t>)</w:t>
            </w:r>
          </w:p>
          <w:p w14:paraId="38A55E90" w14:textId="77777777" w:rsidR="00866114" w:rsidRDefault="00DB0677" w:rsidP="0031289D">
            <w:pPr>
              <w:bidi/>
              <w:spacing w:before="60" w:after="60" w:line="280" w:lineRule="exact"/>
              <w:rPr>
                <w:rFonts w:ascii="Arabic Typesetting" w:hAnsi="Arabic Typesetting" w:cs="Arabic Typesetting"/>
                <w:iCs/>
                <w:sz w:val="28"/>
                <w:szCs w:val="28"/>
                <w:rtl/>
                <w:lang w:bidi="ar-EG"/>
              </w:rPr>
            </w:pPr>
            <w:r>
              <w:rPr>
                <w:rFonts w:ascii="Arabic Typesetting" w:hAnsi="Arabic Typesetting" w:cs="Arabic Typesetting"/>
                <w:iCs/>
                <w:sz w:val="28"/>
                <w:szCs w:val="28"/>
                <w:rtl/>
                <w:lang w:bidi="ar-EG"/>
              </w:rPr>
              <w:t>أساس المقارنة الأصلي</w:t>
            </w:r>
            <w:r w:rsidR="00441176" w:rsidRPr="005D404A">
              <w:rPr>
                <w:rFonts w:ascii="Arabic Typesetting" w:hAnsi="Arabic Typesetting" w:cs="Arabic Typesetting"/>
                <w:iCs/>
                <w:sz w:val="28"/>
                <w:szCs w:val="28"/>
                <w:rtl/>
                <w:lang w:bidi="ar-EG"/>
              </w:rPr>
              <w:t>:</w:t>
            </w:r>
            <w:r w:rsidR="00866114" w:rsidRPr="005D404A">
              <w:rPr>
                <w:rFonts w:ascii="Arabic Typesetting" w:hAnsi="Arabic Typesetting" w:cs="Arabic Typesetting"/>
                <w:iCs/>
                <w:sz w:val="28"/>
                <w:szCs w:val="28"/>
                <w:rtl/>
                <w:lang w:bidi="ar-EG"/>
              </w:rPr>
              <w:t xml:space="preserve"> </w:t>
            </w:r>
            <w:r w:rsidR="00441176" w:rsidRPr="005D404A">
              <w:rPr>
                <w:rFonts w:ascii="Arabic Typesetting" w:hAnsi="Arabic Typesetting" w:cs="Arabic Typesetting"/>
                <w:iCs/>
                <w:sz w:val="28"/>
                <w:szCs w:val="28"/>
                <w:rtl/>
                <w:lang w:bidi="ar-EG"/>
              </w:rPr>
              <w:t xml:space="preserve">برنامج وميزانية </w:t>
            </w:r>
            <w:r w:rsidR="00441176" w:rsidRPr="005D404A">
              <w:rPr>
                <w:rFonts w:ascii="Arabic Typesetting" w:hAnsi="Arabic Typesetting" w:cs="Arabic Typesetting" w:hint="cs"/>
                <w:iCs/>
                <w:sz w:val="28"/>
                <w:szCs w:val="28"/>
                <w:rtl/>
                <w:lang w:bidi="ar-EG"/>
              </w:rPr>
              <w:t>2016</w:t>
            </w:r>
            <w:r w:rsidR="00441176" w:rsidRPr="005D404A">
              <w:rPr>
                <w:rFonts w:ascii="Arabic Typesetting" w:hAnsi="Arabic Typesetting" w:cs="Arabic Typesetting"/>
                <w:iCs/>
                <w:sz w:val="28"/>
                <w:szCs w:val="28"/>
                <w:rtl/>
                <w:lang w:bidi="ar-EG"/>
              </w:rPr>
              <w:t>/</w:t>
            </w:r>
            <w:r w:rsidR="00441176" w:rsidRPr="005D404A">
              <w:rPr>
                <w:rFonts w:ascii="Arabic Typesetting" w:hAnsi="Arabic Typesetting" w:cs="Arabic Typesetting" w:hint="cs"/>
                <w:iCs/>
                <w:sz w:val="28"/>
                <w:szCs w:val="28"/>
                <w:rtl/>
                <w:lang w:bidi="ar-EG"/>
              </w:rPr>
              <w:t>17</w:t>
            </w:r>
            <w:r w:rsidR="00441176" w:rsidRPr="005D404A">
              <w:rPr>
                <w:rFonts w:ascii="Arabic Typesetting" w:hAnsi="Arabic Typesetting" w:cs="Arabic Typesetting"/>
                <w:iCs/>
                <w:sz w:val="28"/>
                <w:szCs w:val="28"/>
                <w:rtl/>
                <w:lang w:bidi="ar-EG"/>
              </w:rPr>
              <w:t>:</w:t>
            </w:r>
          </w:p>
          <w:p w14:paraId="2EB7FB9A" w14:textId="3B298DA2" w:rsidR="00441176" w:rsidRPr="005D404A" w:rsidRDefault="00441176" w:rsidP="0031289D">
            <w:pPr>
              <w:bidi/>
              <w:spacing w:before="60" w:after="60" w:line="280" w:lineRule="exact"/>
              <w:rPr>
                <w:rFonts w:ascii="Arabic Typesetting" w:hAnsi="Arabic Typesetting" w:cs="Arabic Typesetting"/>
                <w:color w:val="002060"/>
                <w:sz w:val="28"/>
                <w:szCs w:val="28"/>
                <w:lang w:bidi="ar-EG"/>
              </w:rPr>
            </w:pPr>
            <w:r w:rsidRPr="005D404A">
              <w:rPr>
                <w:rFonts w:ascii="Arabic Typesetting" w:hAnsi="Arabic Typesetting" w:cs="Arabic Typesetting" w:hint="cs"/>
                <w:sz w:val="28"/>
                <w:szCs w:val="28"/>
                <w:rtl/>
                <w:lang w:bidi="ar-EG"/>
              </w:rPr>
              <w:t>8 دول أعضاء (</w:t>
            </w:r>
            <w:r w:rsidRPr="005D404A">
              <w:rPr>
                <w:rFonts w:ascii="Arabic Typesetting" w:hAnsi="Arabic Typesetting" w:cs="Arabic Typesetting"/>
                <w:sz w:val="28"/>
                <w:szCs w:val="28"/>
                <w:lang w:bidi="ar-EG"/>
              </w:rPr>
              <w:t>90</w:t>
            </w:r>
            <w:r w:rsidRPr="005D404A">
              <w:rPr>
                <w:rFonts w:ascii="Arabic Typesetting" w:hAnsi="Arabic Typesetting" w:cs="Arabic Typesetting" w:hint="cs"/>
                <w:sz w:val="28"/>
                <w:szCs w:val="28"/>
                <w:rtl/>
                <w:lang w:bidi="ar-EG"/>
              </w:rPr>
              <w:t>%) - استقصاء 2014</w:t>
            </w:r>
          </w:p>
        </w:tc>
        <w:tc>
          <w:tcPr>
            <w:tcW w:w="431" w:type="pct"/>
          </w:tcPr>
          <w:p w14:paraId="633BFE83" w14:textId="77777777" w:rsidR="00441176" w:rsidRPr="005D404A" w:rsidRDefault="00441176" w:rsidP="0031289D">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90%</w:t>
            </w:r>
          </w:p>
        </w:tc>
        <w:tc>
          <w:tcPr>
            <w:tcW w:w="1456" w:type="pct"/>
            <w:tcMar>
              <w:top w:w="110" w:type="dxa"/>
            </w:tcMar>
          </w:tcPr>
          <w:p w14:paraId="0F9FD0F1" w14:textId="412B3BCE" w:rsidR="00441176" w:rsidRPr="005D404A" w:rsidRDefault="00441176" w:rsidP="0031289D">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مستوى الرضا 92% وفق 7 مجيبين (أفريقيا</w:t>
            </w:r>
            <w:r>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(1)؛ البلدان العربية (1)؛ آسيا</w:t>
            </w:r>
            <w:r w:rsidR="005A5A84">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والمحيط الهادئ (2)؛ أمريكا</w:t>
            </w:r>
            <w:r w:rsidR="005A5A84">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اللاتينية</w:t>
            </w:r>
            <w:r w:rsidR="005A5A84">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والكاريبي (3))</w:t>
            </w:r>
          </w:p>
        </w:tc>
        <w:tc>
          <w:tcPr>
            <w:tcW w:w="311" w:type="pct"/>
            <w:tcMar>
              <w:top w:w="110" w:type="dxa"/>
            </w:tcMar>
          </w:tcPr>
          <w:p w14:paraId="011F6FDE" w14:textId="77777777" w:rsidR="00441176" w:rsidRDefault="00441176" w:rsidP="0031289D">
            <w:pPr>
              <w:bidi/>
              <w:spacing w:before="60" w:after="60" w:line="280" w:lineRule="exact"/>
              <w:rPr>
                <w:rFonts w:ascii="Arabic Typesetting" w:hAnsi="Arabic Typesetting" w:cs="Arabic Typesetting"/>
                <w:b/>
                <w:bCs/>
                <w:color w:val="00B050"/>
                <w:sz w:val="28"/>
                <w:szCs w:val="28"/>
                <w:rtl/>
                <w:lang w:bidi="ar-EG"/>
              </w:rPr>
            </w:pPr>
            <w:r>
              <w:rPr>
                <w:rFonts w:ascii="Arabic Typesetting" w:hAnsi="Arabic Typesetting" w:cs="Arabic Typesetting" w:hint="cs"/>
                <w:b/>
                <w:bCs/>
                <w:color w:val="00B050"/>
                <w:sz w:val="28"/>
                <w:szCs w:val="28"/>
                <w:rtl/>
                <w:lang w:bidi="ar-EG"/>
              </w:rPr>
              <w:t>ثابت</w:t>
            </w:r>
          </w:p>
        </w:tc>
      </w:tr>
      <w:tr w:rsidR="00441176" w:rsidRPr="00211D55" w14:paraId="3962AC63" w14:textId="77777777" w:rsidTr="00E5593D">
        <w:trPr>
          <w:cantSplit/>
          <w:trHeight w:val="20"/>
        </w:trPr>
        <w:tc>
          <w:tcPr>
            <w:tcW w:w="5000" w:type="pct"/>
            <w:gridSpan w:val="5"/>
            <w:shd w:val="clear" w:color="auto" w:fill="C6D9F1"/>
            <w:tcMar>
              <w:top w:w="0" w:type="dxa"/>
            </w:tcMar>
            <w:vAlign w:val="center"/>
          </w:tcPr>
          <w:p w14:paraId="33C8CCB9" w14:textId="610643F8" w:rsidR="00441176" w:rsidRPr="00211D55" w:rsidRDefault="00441176" w:rsidP="0031289D">
            <w:pPr>
              <w:keepNext/>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Cs/>
                <w:sz w:val="28"/>
                <w:szCs w:val="28"/>
                <w:shd w:val="clear" w:color="auto" w:fill="C6D9F1"/>
                <w:rtl/>
                <w:lang w:bidi="ar-EG"/>
              </w:rPr>
              <w:t xml:space="preserve">النتيجة المرتقبة: </w:t>
            </w:r>
            <w:r w:rsidRPr="00211D55">
              <w:rPr>
                <w:rFonts w:ascii="Arabic Typesetting" w:hAnsi="Arabic Typesetting" w:cs="Arabic Typesetting"/>
                <w:b/>
                <w:sz w:val="28"/>
                <w:szCs w:val="28"/>
                <w:shd w:val="clear" w:color="auto" w:fill="C6D9F1"/>
                <w:rtl/>
                <w:lang w:bidi="ar-EG"/>
              </w:rPr>
              <w:tab/>
            </w:r>
            <w:r>
              <w:rPr>
                <w:rFonts w:ascii="Arabic Typesetting" w:hAnsi="Arabic Typesetting" w:cs="Arabic Typesetting"/>
                <w:b/>
                <w:sz w:val="28"/>
                <w:szCs w:val="28"/>
                <w:shd w:val="clear" w:color="auto" w:fill="C6D9F1"/>
                <w:rtl/>
                <w:lang w:bidi="ar-EG"/>
              </w:rPr>
              <w:t>ه</w:t>
            </w:r>
            <w:r>
              <w:rPr>
                <w:rFonts w:ascii="Arabic Typesetting" w:hAnsi="Arabic Typesetting" w:cs="Arabic Typesetting" w:hint="cs"/>
                <w:b/>
                <w:sz w:val="28"/>
                <w:szCs w:val="28"/>
                <w:shd w:val="clear" w:color="auto" w:fill="C6D9F1"/>
                <w:rtl/>
                <w:lang w:bidi="ar-EG"/>
              </w:rPr>
              <w:t xml:space="preserve">4.1 </w:t>
            </w:r>
            <w:r w:rsidRPr="005D404A">
              <w:rPr>
                <w:rFonts w:ascii="Arabic Typesetting" w:hAnsi="Arabic Typesetting" w:cs="Arabic Typesetting"/>
                <w:b/>
                <w:sz w:val="28"/>
                <w:szCs w:val="28"/>
                <w:shd w:val="clear" w:color="auto" w:fill="C6D9F1"/>
                <w:rtl/>
                <w:lang w:bidi="ar-EG"/>
              </w:rPr>
              <w:t>اهتمام متزايد بالويبو كمحفل لتحليل القضايا فيما يتعلق بالحماية الدولية للبراءات ونماذج المنفعة وتصاميم (</w:t>
            </w:r>
            <w:r w:rsidR="00D02C02">
              <w:rPr>
                <w:rFonts w:ascii="Arabic Typesetting" w:hAnsi="Arabic Typesetting" w:cs="Arabic Typesetting"/>
                <w:b/>
                <w:sz w:val="28"/>
                <w:szCs w:val="28"/>
                <w:shd w:val="clear" w:color="auto" w:fill="C6D9F1"/>
                <w:rtl/>
                <w:lang w:bidi="ar-EG"/>
              </w:rPr>
              <w:t>طوبوغرافيات</w:t>
            </w:r>
            <w:r w:rsidRPr="005D404A">
              <w:rPr>
                <w:rFonts w:ascii="Arabic Typesetting" w:hAnsi="Arabic Typesetting" w:cs="Arabic Typesetting"/>
                <w:b/>
                <w:sz w:val="28"/>
                <w:szCs w:val="28"/>
                <w:shd w:val="clear" w:color="auto" w:fill="C6D9F1"/>
                <w:rtl/>
                <w:lang w:bidi="ar-EG"/>
              </w:rPr>
              <w:t>) الدوائر المتكاملة والمعلومات السرية</w:t>
            </w:r>
          </w:p>
        </w:tc>
      </w:tr>
      <w:tr w:rsidR="00441176" w:rsidRPr="00211D55" w14:paraId="67DBA69E" w14:textId="77777777" w:rsidTr="00E5593D">
        <w:trPr>
          <w:cantSplit/>
          <w:trHeight w:val="20"/>
        </w:trPr>
        <w:tc>
          <w:tcPr>
            <w:tcW w:w="1026" w:type="pct"/>
            <w:tcMar>
              <w:top w:w="110" w:type="dxa"/>
            </w:tcMar>
          </w:tcPr>
          <w:p w14:paraId="197C25A0" w14:textId="77777777" w:rsidR="00441176" w:rsidRPr="00211D55" w:rsidRDefault="00441176"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1776" w:type="pct"/>
            <w:shd w:val="clear" w:color="auto" w:fill="auto"/>
            <w:tcMar>
              <w:top w:w="110" w:type="dxa"/>
            </w:tcMar>
          </w:tcPr>
          <w:p w14:paraId="4ABC2A37" w14:textId="77777777" w:rsidR="00441176" w:rsidRPr="00211D55" w:rsidRDefault="00441176" w:rsidP="0031289D">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431" w:type="pct"/>
          </w:tcPr>
          <w:p w14:paraId="2FAC5793" w14:textId="77777777" w:rsidR="00441176" w:rsidRPr="00211D55" w:rsidRDefault="00441176"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1456" w:type="pct"/>
            <w:tcMar>
              <w:top w:w="110" w:type="dxa"/>
            </w:tcMar>
          </w:tcPr>
          <w:p w14:paraId="01A862D8" w14:textId="77777777" w:rsidR="00441176" w:rsidRPr="00211D55" w:rsidRDefault="00441176"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311" w:type="pct"/>
            <w:tcMar>
              <w:top w:w="110" w:type="dxa"/>
            </w:tcMar>
          </w:tcPr>
          <w:p w14:paraId="33E4B40A" w14:textId="77777777" w:rsidR="00441176" w:rsidRPr="00211D55" w:rsidRDefault="00441176" w:rsidP="0031289D">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441176" w:rsidRPr="00211D55" w14:paraId="6D46DDAA" w14:textId="77777777" w:rsidTr="00E5593D">
        <w:trPr>
          <w:cantSplit/>
          <w:trHeight w:val="20"/>
        </w:trPr>
        <w:tc>
          <w:tcPr>
            <w:tcW w:w="1026" w:type="pct"/>
            <w:tcMar>
              <w:top w:w="110" w:type="dxa"/>
            </w:tcMar>
          </w:tcPr>
          <w:p w14:paraId="7093EF92" w14:textId="36A78C89" w:rsidR="00441176" w:rsidRPr="00427290" w:rsidRDefault="00441176" w:rsidP="0031289D">
            <w:pPr>
              <w:bidi/>
              <w:spacing w:before="60" w:after="60" w:line="280" w:lineRule="exact"/>
              <w:rPr>
                <w:rFonts w:ascii="Arabic Typesetting" w:hAnsi="Arabic Typesetting" w:cs="Arabic Typesetting"/>
                <w:b/>
                <w:sz w:val="28"/>
                <w:szCs w:val="28"/>
                <w:rtl/>
                <w:lang w:bidi="ar-EG"/>
              </w:rPr>
            </w:pPr>
            <w:r w:rsidRPr="00332BC9">
              <w:rPr>
                <w:rFonts w:ascii="Arabic Typesetting" w:hAnsi="Arabic Typesetting" w:cs="Arabic Typesetting"/>
                <w:b/>
                <w:sz w:val="28"/>
                <w:szCs w:val="28"/>
                <w:rtl/>
                <w:lang w:bidi="ar-EG"/>
              </w:rPr>
              <w:t xml:space="preserve">النسبة المئوية للجهات </w:t>
            </w:r>
            <w:r w:rsidR="005A5A84">
              <w:rPr>
                <w:rFonts w:ascii="Arabic Typesetting" w:hAnsi="Arabic Typesetting" w:cs="Arabic Typesetting" w:hint="cs"/>
                <w:b/>
                <w:sz w:val="28"/>
                <w:szCs w:val="28"/>
                <w:rtl/>
                <w:lang w:bidi="ar-EG"/>
              </w:rPr>
              <w:t>المستفيدة</w:t>
            </w:r>
            <w:r w:rsidRPr="00332BC9">
              <w:rPr>
                <w:rFonts w:ascii="Arabic Typesetting" w:hAnsi="Arabic Typesetting" w:cs="Arabic Typesetting"/>
                <w:b/>
                <w:sz w:val="28"/>
                <w:szCs w:val="28"/>
                <w:rtl/>
                <w:lang w:bidi="ar-EG"/>
              </w:rPr>
              <w:t xml:space="preserve"> التي وجدت المعلومات المقدمة بشأن المبادئ والممارسات القانونية</w:t>
            </w:r>
            <w:r>
              <w:rPr>
                <w:rFonts w:ascii="Arabic Typesetting" w:hAnsi="Arabic Typesetting" w:cs="Arabic Typesetting" w:hint="cs"/>
                <w:b/>
                <w:sz w:val="28"/>
                <w:szCs w:val="28"/>
                <w:rtl/>
                <w:lang w:bidi="ar-EG"/>
              </w:rPr>
              <w:t xml:space="preserve"> لحماية نماذج ال</w:t>
            </w:r>
            <w:r w:rsidR="00F02798">
              <w:rPr>
                <w:rFonts w:ascii="Arabic Typesetting" w:hAnsi="Arabic Typesetting" w:cs="Arabic Typesetting" w:hint="cs"/>
                <w:b/>
                <w:sz w:val="28"/>
                <w:szCs w:val="28"/>
                <w:rtl/>
                <w:lang w:bidi="ar-EG"/>
              </w:rPr>
              <w:t>م</w:t>
            </w:r>
            <w:r>
              <w:rPr>
                <w:rFonts w:ascii="Arabic Typesetting" w:hAnsi="Arabic Typesetting" w:cs="Arabic Typesetting" w:hint="cs"/>
                <w:b/>
                <w:sz w:val="28"/>
                <w:szCs w:val="28"/>
                <w:rtl/>
                <w:lang w:bidi="ar-EG"/>
              </w:rPr>
              <w:t xml:space="preserve">نفعة </w:t>
            </w:r>
            <w:r w:rsidRPr="00FD20EC">
              <w:rPr>
                <w:rFonts w:ascii="Arabic Typesetting" w:hAnsi="Arabic Typesetting" w:cs="Arabic Typesetting"/>
                <w:b/>
                <w:sz w:val="28"/>
                <w:szCs w:val="28"/>
                <w:rtl/>
                <w:lang w:bidi="ar-EG"/>
              </w:rPr>
              <w:t>وتصاميم (</w:t>
            </w:r>
            <w:r w:rsidR="00D02C02">
              <w:rPr>
                <w:rFonts w:ascii="Arabic Typesetting" w:hAnsi="Arabic Typesetting" w:cs="Arabic Typesetting"/>
                <w:b/>
                <w:sz w:val="28"/>
                <w:szCs w:val="28"/>
                <w:rtl/>
                <w:lang w:bidi="ar-EG"/>
              </w:rPr>
              <w:t>طوبوغرافيات</w:t>
            </w:r>
            <w:r w:rsidRPr="00FD20EC">
              <w:rPr>
                <w:rFonts w:ascii="Arabic Typesetting" w:hAnsi="Arabic Typesetting" w:cs="Arabic Typesetting"/>
                <w:b/>
                <w:sz w:val="28"/>
                <w:szCs w:val="28"/>
                <w:rtl/>
                <w:lang w:bidi="ar-EG"/>
              </w:rPr>
              <w:t>) الدوائر المتكاملة والمعلومات السرية</w:t>
            </w:r>
            <w:r>
              <w:rPr>
                <w:rFonts w:ascii="Arabic Typesetting" w:hAnsi="Arabic Typesetting" w:cs="Arabic Typesetting" w:hint="cs"/>
                <w:b/>
                <w:sz w:val="28"/>
                <w:szCs w:val="28"/>
                <w:rtl/>
                <w:lang w:bidi="ar-EG"/>
              </w:rPr>
              <w:t>، معلومات مفيدة</w:t>
            </w:r>
          </w:p>
        </w:tc>
        <w:tc>
          <w:tcPr>
            <w:tcW w:w="1776" w:type="pct"/>
            <w:shd w:val="clear" w:color="auto" w:fill="auto"/>
            <w:tcMar>
              <w:top w:w="110" w:type="dxa"/>
            </w:tcMar>
          </w:tcPr>
          <w:p w14:paraId="765AB969" w14:textId="19CAD0CE" w:rsidR="00441176" w:rsidRPr="00FD20EC" w:rsidRDefault="00441176" w:rsidP="0031289D">
            <w:pPr>
              <w:bidi/>
              <w:spacing w:before="60" w:after="60" w:line="280" w:lineRule="exact"/>
              <w:rPr>
                <w:rFonts w:ascii="Arabic Typesetting" w:hAnsi="Arabic Typesetting" w:cs="Arabic Typesetting"/>
                <w:b/>
                <w:color w:val="002060"/>
                <w:sz w:val="28"/>
                <w:szCs w:val="28"/>
                <w:lang w:bidi="ar-EG"/>
              </w:rPr>
            </w:pPr>
            <w:r w:rsidRPr="00FD20EC">
              <w:rPr>
                <w:rFonts w:ascii="Arabic Typesetting" w:hAnsi="Arabic Typesetting" w:cs="Arabic Typesetting" w:hint="cs"/>
                <w:b/>
                <w:sz w:val="28"/>
                <w:szCs w:val="28"/>
                <w:rtl/>
                <w:lang w:bidi="ar-EG"/>
              </w:rPr>
              <w:t>غير متاح</w:t>
            </w:r>
          </w:p>
        </w:tc>
        <w:tc>
          <w:tcPr>
            <w:tcW w:w="431" w:type="pct"/>
          </w:tcPr>
          <w:p w14:paraId="1187D746" w14:textId="77777777" w:rsidR="00441176" w:rsidRPr="00211D55" w:rsidRDefault="00441176" w:rsidP="0031289D">
            <w:pPr>
              <w:bidi/>
              <w:spacing w:before="60" w:after="60" w:line="280" w:lineRule="exact"/>
              <w:rPr>
                <w:rFonts w:ascii="Arabic Typesetting" w:hAnsi="Arabic Typesetting" w:cs="Arabic Typesetting"/>
                <w:b/>
                <w:sz w:val="28"/>
                <w:szCs w:val="28"/>
                <w:rtl/>
                <w:lang w:bidi="ar-EG"/>
              </w:rPr>
            </w:pPr>
            <w:r>
              <w:rPr>
                <w:rFonts w:ascii="Arabic Typesetting" w:hAnsi="Arabic Typesetting" w:cs="Arabic Typesetting" w:hint="cs"/>
                <w:b/>
                <w:sz w:val="28"/>
                <w:szCs w:val="28"/>
                <w:rtl/>
                <w:lang w:bidi="ar-EG"/>
              </w:rPr>
              <w:t>90%</w:t>
            </w:r>
          </w:p>
        </w:tc>
        <w:tc>
          <w:tcPr>
            <w:tcW w:w="1456" w:type="pct"/>
            <w:tcMar>
              <w:top w:w="110" w:type="dxa"/>
            </w:tcMar>
          </w:tcPr>
          <w:p w14:paraId="235A6216" w14:textId="77777777" w:rsidR="00441176" w:rsidRDefault="00441176" w:rsidP="0031289D">
            <w:pPr>
              <w:bidi/>
              <w:spacing w:before="60" w:after="60" w:line="280" w:lineRule="exact"/>
              <w:rPr>
                <w:rFonts w:ascii="Arabic Typesetting" w:hAnsi="Arabic Typesetting" w:cs="Arabic Typesetting"/>
                <w:b/>
                <w:sz w:val="28"/>
                <w:szCs w:val="28"/>
                <w:rtl/>
                <w:lang w:bidi="ar-EG"/>
              </w:rPr>
            </w:pPr>
            <w:r>
              <w:rPr>
                <w:rFonts w:ascii="Arabic Typesetting" w:hAnsi="Arabic Typesetting" w:cs="Arabic Typesetting" w:hint="cs"/>
                <w:b/>
                <w:sz w:val="28"/>
                <w:szCs w:val="28"/>
                <w:rtl/>
                <w:lang w:bidi="ar-EG"/>
              </w:rPr>
              <w:t>81% استناداً إلى 18 رداً</w:t>
            </w:r>
          </w:p>
        </w:tc>
        <w:tc>
          <w:tcPr>
            <w:tcW w:w="311" w:type="pct"/>
            <w:tcMar>
              <w:top w:w="110" w:type="dxa"/>
            </w:tcMar>
          </w:tcPr>
          <w:p w14:paraId="5D71AEAC" w14:textId="77777777" w:rsidR="00441176" w:rsidRPr="00427290" w:rsidRDefault="00441176" w:rsidP="0031289D">
            <w:pPr>
              <w:bidi/>
              <w:spacing w:before="60" w:after="60" w:line="280" w:lineRule="exact"/>
              <w:rPr>
                <w:rFonts w:ascii="Arabic Typesetting" w:hAnsi="Arabic Typesetting" w:cs="Arabic Typesetting"/>
                <w:b/>
                <w:bCs/>
                <w:color w:val="00B050"/>
                <w:sz w:val="28"/>
                <w:szCs w:val="28"/>
                <w:rtl/>
                <w:lang w:bidi="ar-EG"/>
              </w:rPr>
            </w:pPr>
            <w:r>
              <w:rPr>
                <w:rFonts w:ascii="Arabic Typesetting" w:hAnsi="Arabic Typesetting" w:cs="Arabic Typesetting" w:hint="cs"/>
                <w:b/>
                <w:bCs/>
                <w:color w:val="00B050"/>
                <w:sz w:val="28"/>
                <w:szCs w:val="28"/>
                <w:rtl/>
                <w:lang w:bidi="ar-EG"/>
              </w:rPr>
              <w:t>ثابت</w:t>
            </w:r>
          </w:p>
        </w:tc>
      </w:tr>
    </w:tbl>
    <w:tbl>
      <w:tblPr>
        <w:tblStyle w:val="TableGrid"/>
        <w:bidiVisual/>
        <w:tblW w:w="0" w:type="auto"/>
        <w:tblLook w:val="04A0" w:firstRow="1" w:lastRow="0" w:firstColumn="1" w:lastColumn="0" w:noHBand="0" w:noVBand="1"/>
      </w:tblPr>
      <w:tblGrid>
        <w:gridCol w:w="9571"/>
      </w:tblGrid>
      <w:tr w:rsidR="00A2672B" w14:paraId="1D9FF718" w14:textId="77777777" w:rsidTr="00A2672B">
        <w:tc>
          <w:tcPr>
            <w:tcW w:w="9571" w:type="dxa"/>
            <w:tcBorders>
              <w:top w:val="nil"/>
              <w:left w:val="nil"/>
              <w:bottom w:val="nil"/>
              <w:right w:val="nil"/>
            </w:tcBorders>
            <w:shd w:val="clear" w:color="auto" w:fill="C6D9F1"/>
            <w:vAlign w:val="center"/>
          </w:tcPr>
          <w:p w14:paraId="2C8FA454" w14:textId="77777777" w:rsidR="00A2672B" w:rsidRPr="00A2672B" w:rsidRDefault="00A2672B" w:rsidP="0031289D">
            <w:pPr>
              <w:keepNext/>
              <w:pageBreakBefore/>
              <w:bidi/>
              <w:spacing w:before="60" w:after="60" w:line="28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sidRPr="00A2672B">
              <w:rPr>
                <w:rFonts w:ascii="Arabic Typesetting" w:hAnsi="Arabic Typesetting" w:cs="Arabic Typesetting"/>
                <w:b/>
                <w:bCs/>
                <w:sz w:val="34"/>
                <w:szCs w:val="34"/>
                <w:rtl/>
                <w:lang w:bidi="ar-EG"/>
              </w:rPr>
              <w:t>ام موارد البرنامج 1</w:t>
            </w:r>
          </w:p>
        </w:tc>
      </w:tr>
    </w:tbl>
    <w:p w14:paraId="1CD71FA0" w14:textId="77777777" w:rsidR="00BA024D" w:rsidRPr="00FE3908" w:rsidRDefault="00BA024D"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03E4F0AE" w14:textId="77777777" w:rsidR="00BA024D" w:rsidRDefault="00BA024D" w:rsidP="0031289D">
      <w:pPr>
        <w:keepNext/>
        <w:bidi/>
        <w:spacing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A024D" w:rsidRPr="00211D55" w14:paraId="05C9DAB3" w14:textId="77777777" w:rsidTr="00A2672B">
        <w:trPr>
          <w:trHeight w:val="825"/>
        </w:trPr>
        <w:tc>
          <w:tcPr>
            <w:tcW w:w="2753" w:type="pct"/>
            <w:gridSpan w:val="2"/>
            <w:shd w:val="clear" w:color="auto" w:fill="C6D9F1"/>
            <w:noWrap/>
            <w:tcMar>
              <w:top w:w="15" w:type="dxa"/>
              <w:left w:w="15" w:type="dxa"/>
              <w:bottom w:w="0" w:type="dxa"/>
              <w:right w:w="15" w:type="dxa"/>
            </w:tcMar>
            <w:vAlign w:val="center"/>
            <w:hideMark/>
          </w:tcPr>
          <w:p w14:paraId="00F1F57E" w14:textId="77777777" w:rsidR="00BA024D" w:rsidRPr="00A2672B" w:rsidRDefault="00BA024D" w:rsidP="0031289D">
            <w:pPr>
              <w:bidi/>
              <w:spacing w:before="60" w:after="60" w:line="280" w:lineRule="exact"/>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5D6391AD" w14:textId="77777777" w:rsidR="00BA024D" w:rsidRPr="00A2672B" w:rsidRDefault="00BA024D" w:rsidP="0031289D">
            <w:pPr>
              <w:bidi/>
              <w:spacing w:before="60" w:after="60" w:line="280" w:lineRule="exact"/>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00A2672B"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4FD88ED0" w14:textId="77777777" w:rsidR="00BA024D" w:rsidRPr="00A2672B" w:rsidRDefault="00427177" w:rsidP="0031289D">
            <w:pPr>
              <w:bidi/>
              <w:spacing w:before="60" w:after="60" w:line="280" w:lineRule="exact"/>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41EB9542" w14:textId="77777777" w:rsidR="00BA024D" w:rsidRPr="00A2672B" w:rsidRDefault="00BA024D" w:rsidP="0031289D">
            <w:pPr>
              <w:bidi/>
              <w:spacing w:before="60" w:after="60" w:line="280" w:lineRule="exact"/>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sidR="00A2672B">
              <w:rPr>
                <w:rFonts w:ascii="Arabic Typesetting" w:hAnsi="Arabic Typesetting" w:cs="Arabic Typesetting" w:hint="cs"/>
                <w:b/>
                <w:bCs/>
                <w:i/>
                <w:iCs/>
                <w:sz w:val="28"/>
                <w:szCs w:val="28"/>
                <w:rtl/>
              </w:rPr>
              <w:t>2016*</w:t>
            </w:r>
          </w:p>
        </w:tc>
      </w:tr>
      <w:tr w:rsidR="00A2672B" w:rsidRPr="00211D55" w14:paraId="1EB3522A" w14:textId="77777777" w:rsidTr="00A2672B">
        <w:trPr>
          <w:trHeight w:val="55"/>
        </w:trPr>
        <w:tc>
          <w:tcPr>
            <w:tcW w:w="413" w:type="pct"/>
            <w:shd w:val="clear" w:color="auto" w:fill="auto"/>
            <w:noWrap/>
            <w:tcMar>
              <w:top w:w="15" w:type="dxa"/>
              <w:left w:w="15" w:type="dxa"/>
              <w:bottom w:w="0" w:type="dxa"/>
              <w:right w:w="15" w:type="dxa"/>
            </w:tcMar>
            <w:vAlign w:val="center"/>
            <w:hideMark/>
          </w:tcPr>
          <w:p w14:paraId="2BD7B0B6" w14:textId="77777777" w:rsidR="00A2672B" w:rsidRPr="00211D55" w:rsidRDefault="00A2672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ھ1.1</w:t>
            </w:r>
          </w:p>
        </w:tc>
        <w:tc>
          <w:tcPr>
            <w:tcW w:w="2340" w:type="pct"/>
            <w:shd w:val="clear" w:color="auto" w:fill="auto"/>
            <w:tcMar>
              <w:top w:w="15" w:type="dxa"/>
              <w:left w:w="15" w:type="dxa"/>
              <w:bottom w:w="0" w:type="dxa"/>
              <w:right w:w="15" w:type="dxa"/>
            </w:tcMar>
            <w:vAlign w:val="center"/>
            <w:hideMark/>
          </w:tcPr>
          <w:p w14:paraId="0CA30BFD" w14:textId="77777777" w:rsidR="00A2672B" w:rsidRPr="00280D1A" w:rsidRDefault="00A2672B" w:rsidP="0031289D">
            <w:pPr>
              <w:bidi/>
              <w:spacing w:before="120" w:after="120"/>
              <w:rPr>
                <w:rFonts w:ascii="Arabic Typesetting" w:hAnsi="Arabic Typesetting" w:cs="Arabic Typesetting"/>
                <w:sz w:val="28"/>
                <w:szCs w:val="28"/>
              </w:rPr>
            </w:pPr>
            <w:r w:rsidRPr="00280D1A">
              <w:rPr>
                <w:rFonts w:ascii="Arabic Typesetting" w:hAnsi="Arabic Typesetting" w:cs="Arabic Typesetting"/>
                <w:sz w:val="28"/>
                <w:szCs w:val="28"/>
                <w:rtl/>
              </w:rPr>
              <w:t>تعاون معزز بين الدول الأعضاء في تطوير أطر معيارية دولية متوازنة للملكية الفكرية</w:t>
            </w:r>
          </w:p>
        </w:tc>
        <w:tc>
          <w:tcPr>
            <w:tcW w:w="749" w:type="pct"/>
            <w:shd w:val="clear" w:color="auto" w:fill="auto"/>
            <w:tcMar>
              <w:top w:w="15" w:type="dxa"/>
              <w:left w:w="15" w:type="dxa"/>
              <w:bottom w:w="0" w:type="dxa"/>
              <w:right w:w="15" w:type="dxa"/>
            </w:tcMar>
            <w:vAlign w:val="center"/>
            <w:hideMark/>
          </w:tcPr>
          <w:p w14:paraId="660FA287" w14:textId="6F668530" w:rsidR="00A2672B" w:rsidRPr="00280D1A" w:rsidRDefault="00A2672B"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w:t>
            </w:r>
            <w:r w:rsidR="005A5A84" w:rsidRPr="00280D1A">
              <w:rPr>
                <w:rFonts w:ascii="Arabic Typesetting" w:hAnsi="Arabic Typesetting" w:cs="Arabic Typesetting"/>
                <w:color w:val="000000"/>
                <w:sz w:val="28"/>
                <w:szCs w:val="28"/>
              </w:rPr>
              <w:t> </w:t>
            </w:r>
            <w:r w:rsidRPr="00280D1A">
              <w:rPr>
                <w:rFonts w:ascii="Arabic Typesetting" w:hAnsi="Arabic Typesetting" w:cs="Arabic Typesetting"/>
                <w:color w:val="000000"/>
                <w:sz w:val="28"/>
                <w:szCs w:val="28"/>
              </w:rPr>
              <w:t>239</w:t>
            </w:r>
          </w:p>
        </w:tc>
        <w:tc>
          <w:tcPr>
            <w:tcW w:w="749" w:type="pct"/>
            <w:shd w:val="clear" w:color="auto" w:fill="auto"/>
            <w:tcMar>
              <w:top w:w="15" w:type="dxa"/>
              <w:left w:w="15" w:type="dxa"/>
              <w:bottom w:w="0" w:type="dxa"/>
              <w:right w:w="15" w:type="dxa"/>
            </w:tcMar>
            <w:vAlign w:val="center"/>
            <w:hideMark/>
          </w:tcPr>
          <w:p w14:paraId="00DB0909" w14:textId="46950BCA" w:rsidR="00A2672B" w:rsidRPr="00280D1A" w:rsidRDefault="00A2672B"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w:t>
            </w:r>
            <w:r w:rsidR="005A5A84" w:rsidRPr="00280D1A">
              <w:rPr>
                <w:rFonts w:ascii="Arabic Typesetting" w:hAnsi="Arabic Typesetting" w:cs="Arabic Typesetting"/>
                <w:color w:val="000000"/>
                <w:sz w:val="28"/>
                <w:szCs w:val="28"/>
              </w:rPr>
              <w:t> </w:t>
            </w:r>
            <w:r w:rsidRPr="00280D1A">
              <w:rPr>
                <w:rFonts w:ascii="Arabic Typesetting" w:hAnsi="Arabic Typesetting" w:cs="Arabic Typesetting"/>
                <w:color w:val="000000"/>
                <w:sz w:val="28"/>
                <w:szCs w:val="28"/>
              </w:rPr>
              <w:t>721</w:t>
            </w:r>
          </w:p>
        </w:tc>
        <w:tc>
          <w:tcPr>
            <w:tcW w:w="749" w:type="pct"/>
            <w:shd w:val="clear" w:color="auto" w:fill="auto"/>
            <w:noWrap/>
            <w:tcMar>
              <w:top w:w="15" w:type="dxa"/>
              <w:left w:w="15" w:type="dxa"/>
              <w:bottom w:w="0" w:type="dxa"/>
              <w:right w:w="15" w:type="dxa"/>
            </w:tcMar>
            <w:vAlign w:val="center"/>
            <w:hideMark/>
          </w:tcPr>
          <w:p w14:paraId="6DF658A3" w14:textId="2CEA426B" w:rsidR="00A2672B" w:rsidRPr="00280D1A" w:rsidRDefault="00A2672B"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w:t>
            </w:r>
            <w:r w:rsidR="005A5A84" w:rsidRPr="00280D1A">
              <w:rPr>
                <w:rFonts w:ascii="Arabic Typesetting" w:hAnsi="Arabic Typesetting" w:cs="Arabic Typesetting"/>
                <w:color w:val="000000"/>
                <w:sz w:val="28"/>
                <w:szCs w:val="28"/>
              </w:rPr>
              <w:t> </w:t>
            </w:r>
            <w:r w:rsidRPr="00280D1A">
              <w:rPr>
                <w:rFonts w:ascii="Arabic Typesetting" w:hAnsi="Arabic Typesetting" w:cs="Arabic Typesetting"/>
                <w:color w:val="000000"/>
                <w:sz w:val="28"/>
                <w:szCs w:val="28"/>
              </w:rPr>
              <w:t>267</w:t>
            </w:r>
          </w:p>
        </w:tc>
      </w:tr>
      <w:tr w:rsidR="00A2672B" w:rsidRPr="00211D55" w14:paraId="4E4BA17B" w14:textId="77777777" w:rsidTr="00A2672B">
        <w:trPr>
          <w:trHeight w:val="55"/>
        </w:trPr>
        <w:tc>
          <w:tcPr>
            <w:tcW w:w="413" w:type="pct"/>
            <w:shd w:val="clear" w:color="auto" w:fill="auto"/>
            <w:noWrap/>
            <w:tcMar>
              <w:top w:w="15" w:type="dxa"/>
              <w:left w:w="15" w:type="dxa"/>
              <w:bottom w:w="0" w:type="dxa"/>
              <w:right w:w="15" w:type="dxa"/>
            </w:tcMar>
            <w:vAlign w:val="center"/>
          </w:tcPr>
          <w:p w14:paraId="6063D851" w14:textId="77777777" w:rsidR="00A2672B" w:rsidRPr="00211D55" w:rsidRDefault="00A2672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ھ2.1</w:t>
            </w:r>
          </w:p>
        </w:tc>
        <w:tc>
          <w:tcPr>
            <w:tcW w:w="2340" w:type="pct"/>
            <w:shd w:val="clear" w:color="auto" w:fill="auto"/>
            <w:tcMar>
              <w:top w:w="15" w:type="dxa"/>
              <w:left w:w="15" w:type="dxa"/>
              <w:bottom w:w="0" w:type="dxa"/>
              <w:right w:w="15" w:type="dxa"/>
            </w:tcMar>
            <w:vAlign w:val="center"/>
          </w:tcPr>
          <w:p w14:paraId="716E8B11" w14:textId="15D8E0F1" w:rsidR="00A2672B" w:rsidRPr="00280D1A" w:rsidRDefault="009834BA" w:rsidP="0031289D">
            <w:pPr>
              <w:bidi/>
              <w:spacing w:before="120" w:after="120"/>
              <w:rPr>
                <w:rFonts w:ascii="Arabic Typesetting" w:hAnsi="Arabic Typesetting" w:cs="Arabic Typesetting"/>
                <w:sz w:val="28"/>
                <w:szCs w:val="28"/>
              </w:rPr>
            </w:pPr>
            <w:r w:rsidRPr="00280D1A">
              <w:rPr>
                <w:rFonts w:ascii="Arabic Typesetting" w:hAnsi="Arabic Typesetting" w:cs="Arabic Typesetting"/>
                <w:sz w:val="28"/>
                <w:szCs w:val="28"/>
                <w:rtl/>
              </w:rPr>
              <w:t>أطر تشريعية وتنظيمية وسياسية مكيّفة ومتوازنة في مجال الملكية الفكرية</w:t>
            </w:r>
          </w:p>
        </w:tc>
        <w:tc>
          <w:tcPr>
            <w:tcW w:w="749" w:type="pct"/>
            <w:shd w:val="clear" w:color="auto" w:fill="auto"/>
            <w:tcMar>
              <w:top w:w="15" w:type="dxa"/>
              <w:left w:w="15" w:type="dxa"/>
              <w:bottom w:w="0" w:type="dxa"/>
              <w:right w:w="15" w:type="dxa"/>
            </w:tcMar>
            <w:vAlign w:val="center"/>
          </w:tcPr>
          <w:p w14:paraId="38D9FDBE" w14:textId="4DF2C3B1" w:rsidR="00A2672B" w:rsidRPr="00280D1A" w:rsidRDefault="00A2672B"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w:t>
            </w:r>
            <w:r w:rsidR="005A5A84" w:rsidRPr="00280D1A">
              <w:rPr>
                <w:rFonts w:ascii="Arabic Typesetting" w:hAnsi="Arabic Typesetting" w:cs="Arabic Typesetting"/>
                <w:color w:val="000000"/>
                <w:sz w:val="28"/>
                <w:szCs w:val="28"/>
              </w:rPr>
              <w:t> </w:t>
            </w:r>
            <w:r w:rsidRPr="00280D1A">
              <w:rPr>
                <w:rFonts w:ascii="Arabic Typesetting" w:hAnsi="Arabic Typesetting" w:cs="Arabic Typesetting"/>
                <w:color w:val="000000"/>
                <w:sz w:val="28"/>
                <w:szCs w:val="28"/>
              </w:rPr>
              <w:t>559</w:t>
            </w:r>
          </w:p>
        </w:tc>
        <w:tc>
          <w:tcPr>
            <w:tcW w:w="749" w:type="pct"/>
            <w:shd w:val="clear" w:color="auto" w:fill="auto"/>
            <w:tcMar>
              <w:top w:w="15" w:type="dxa"/>
              <w:left w:w="15" w:type="dxa"/>
              <w:bottom w:w="0" w:type="dxa"/>
              <w:right w:w="15" w:type="dxa"/>
            </w:tcMar>
            <w:vAlign w:val="center"/>
          </w:tcPr>
          <w:p w14:paraId="1DE83186" w14:textId="2AB5AA90" w:rsidR="00A2672B" w:rsidRPr="00280D1A" w:rsidRDefault="00A2672B"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w:t>
            </w:r>
            <w:r w:rsidR="005A5A84" w:rsidRPr="00280D1A">
              <w:rPr>
                <w:rFonts w:ascii="Arabic Typesetting" w:hAnsi="Arabic Typesetting" w:cs="Arabic Typesetting"/>
                <w:color w:val="000000"/>
                <w:sz w:val="28"/>
                <w:szCs w:val="28"/>
              </w:rPr>
              <w:t> </w:t>
            </w:r>
            <w:r w:rsidRPr="00280D1A">
              <w:rPr>
                <w:rFonts w:ascii="Arabic Typesetting" w:hAnsi="Arabic Typesetting" w:cs="Arabic Typesetting"/>
                <w:color w:val="000000"/>
                <w:sz w:val="28"/>
                <w:szCs w:val="28"/>
              </w:rPr>
              <w:t>130</w:t>
            </w:r>
          </w:p>
        </w:tc>
        <w:tc>
          <w:tcPr>
            <w:tcW w:w="749" w:type="pct"/>
            <w:shd w:val="clear" w:color="auto" w:fill="auto"/>
            <w:noWrap/>
            <w:tcMar>
              <w:top w:w="15" w:type="dxa"/>
              <w:left w:w="15" w:type="dxa"/>
              <w:bottom w:w="0" w:type="dxa"/>
              <w:right w:w="15" w:type="dxa"/>
            </w:tcMar>
            <w:vAlign w:val="center"/>
          </w:tcPr>
          <w:p w14:paraId="6FC0B0CD" w14:textId="21C44A87" w:rsidR="00A2672B" w:rsidRPr="00280D1A" w:rsidRDefault="00A2672B"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w:t>
            </w:r>
            <w:r w:rsidR="005A5A84" w:rsidRPr="00280D1A">
              <w:rPr>
                <w:rFonts w:ascii="Arabic Typesetting" w:hAnsi="Arabic Typesetting" w:cs="Arabic Typesetting"/>
                <w:color w:val="000000"/>
                <w:sz w:val="28"/>
                <w:szCs w:val="28"/>
              </w:rPr>
              <w:t> </w:t>
            </w:r>
            <w:r w:rsidRPr="00280D1A">
              <w:rPr>
                <w:rFonts w:ascii="Arabic Typesetting" w:hAnsi="Arabic Typesetting" w:cs="Arabic Typesetting"/>
                <w:color w:val="000000"/>
                <w:sz w:val="28"/>
                <w:szCs w:val="28"/>
              </w:rPr>
              <w:t>150</w:t>
            </w:r>
          </w:p>
        </w:tc>
      </w:tr>
      <w:tr w:rsidR="00A2672B" w:rsidRPr="00211D55" w14:paraId="68C24537" w14:textId="77777777" w:rsidTr="00A2672B">
        <w:trPr>
          <w:trHeight w:val="735"/>
        </w:trPr>
        <w:tc>
          <w:tcPr>
            <w:tcW w:w="413" w:type="pct"/>
            <w:shd w:val="clear" w:color="auto" w:fill="auto"/>
            <w:noWrap/>
            <w:tcMar>
              <w:top w:w="15" w:type="dxa"/>
              <w:left w:w="15" w:type="dxa"/>
              <w:bottom w:w="0" w:type="dxa"/>
              <w:right w:w="15" w:type="dxa"/>
            </w:tcMar>
            <w:vAlign w:val="center"/>
          </w:tcPr>
          <w:p w14:paraId="467ED302" w14:textId="77777777" w:rsidR="00A2672B" w:rsidRPr="00211D55" w:rsidRDefault="00A2672B" w:rsidP="0031289D">
            <w:pPr>
              <w:bidi/>
              <w:spacing w:before="120" w:after="120"/>
              <w:rPr>
                <w:rFonts w:ascii="Arabic Typesetting" w:hAnsi="Arabic Typesetting" w:cs="Arabic Typesetting"/>
                <w:sz w:val="28"/>
                <w:szCs w:val="28"/>
              </w:rPr>
            </w:pPr>
            <w:r w:rsidRPr="00A2672B">
              <w:rPr>
                <w:rFonts w:ascii="Arabic Typesetting" w:hAnsi="Arabic Typesetting" w:cs="Arabic Typesetting"/>
                <w:sz w:val="28"/>
                <w:szCs w:val="28"/>
                <w:rtl/>
              </w:rPr>
              <w:t>ه4.1</w:t>
            </w:r>
          </w:p>
        </w:tc>
        <w:tc>
          <w:tcPr>
            <w:tcW w:w="2340" w:type="pct"/>
            <w:shd w:val="clear" w:color="auto" w:fill="auto"/>
            <w:tcMar>
              <w:top w:w="15" w:type="dxa"/>
              <w:left w:w="15" w:type="dxa"/>
              <w:bottom w:w="0" w:type="dxa"/>
              <w:right w:w="15" w:type="dxa"/>
            </w:tcMar>
            <w:vAlign w:val="center"/>
          </w:tcPr>
          <w:p w14:paraId="0A71E014" w14:textId="796588EB" w:rsidR="00A2672B" w:rsidRPr="00280D1A" w:rsidRDefault="00A2672B" w:rsidP="0031289D">
            <w:pPr>
              <w:bidi/>
              <w:spacing w:before="120" w:after="120"/>
              <w:rPr>
                <w:rFonts w:ascii="Arabic Typesetting" w:hAnsi="Arabic Typesetting" w:cs="Arabic Typesetting"/>
                <w:sz w:val="28"/>
                <w:szCs w:val="28"/>
              </w:rPr>
            </w:pPr>
            <w:r w:rsidRPr="00280D1A">
              <w:rPr>
                <w:rFonts w:ascii="Arabic Typesetting" w:hAnsi="Arabic Typesetting" w:cs="Arabic Typesetting"/>
                <w:sz w:val="28"/>
                <w:szCs w:val="28"/>
                <w:rtl/>
              </w:rPr>
              <w:t>اهتمام متزايد بالويبو كمحفل لتحليل القضايا فيما يتعلق بالحماية الدولية للبراءات ونماذج المنفعة وتصاميم (</w:t>
            </w:r>
            <w:r w:rsidR="00D02C02" w:rsidRPr="00280D1A">
              <w:rPr>
                <w:rFonts w:ascii="Arabic Typesetting" w:hAnsi="Arabic Typesetting" w:cs="Arabic Typesetting"/>
                <w:sz w:val="28"/>
                <w:szCs w:val="28"/>
                <w:rtl/>
              </w:rPr>
              <w:t>طوبوغرافيات</w:t>
            </w:r>
            <w:r w:rsidRPr="00280D1A">
              <w:rPr>
                <w:rFonts w:ascii="Arabic Typesetting" w:hAnsi="Arabic Typesetting" w:cs="Arabic Typesetting"/>
                <w:sz w:val="28"/>
                <w:szCs w:val="28"/>
                <w:rtl/>
              </w:rPr>
              <w:t>) الدوائر المتكاملة والمعلومات السرية</w:t>
            </w:r>
          </w:p>
        </w:tc>
        <w:tc>
          <w:tcPr>
            <w:tcW w:w="749" w:type="pct"/>
            <w:shd w:val="clear" w:color="auto" w:fill="auto"/>
            <w:tcMar>
              <w:top w:w="15" w:type="dxa"/>
              <w:left w:w="15" w:type="dxa"/>
              <w:bottom w:w="0" w:type="dxa"/>
              <w:right w:w="15" w:type="dxa"/>
            </w:tcMar>
            <w:vAlign w:val="center"/>
          </w:tcPr>
          <w:p w14:paraId="4DAE0567" w14:textId="77777777" w:rsidR="00A2672B" w:rsidRPr="00280D1A" w:rsidRDefault="00A2672B"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494</w:t>
            </w:r>
          </w:p>
        </w:tc>
        <w:tc>
          <w:tcPr>
            <w:tcW w:w="749" w:type="pct"/>
            <w:shd w:val="clear" w:color="auto" w:fill="auto"/>
            <w:tcMar>
              <w:top w:w="15" w:type="dxa"/>
              <w:left w:w="15" w:type="dxa"/>
              <w:bottom w:w="0" w:type="dxa"/>
              <w:right w:w="15" w:type="dxa"/>
            </w:tcMar>
            <w:vAlign w:val="center"/>
          </w:tcPr>
          <w:p w14:paraId="28122BB8" w14:textId="77777777" w:rsidR="00A2672B" w:rsidRPr="00280D1A" w:rsidRDefault="00A2672B"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368</w:t>
            </w:r>
          </w:p>
        </w:tc>
        <w:tc>
          <w:tcPr>
            <w:tcW w:w="749" w:type="pct"/>
            <w:shd w:val="clear" w:color="auto" w:fill="auto"/>
            <w:noWrap/>
            <w:tcMar>
              <w:top w:w="15" w:type="dxa"/>
              <w:left w:w="15" w:type="dxa"/>
              <w:bottom w:w="0" w:type="dxa"/>
              <w:right w:w="15" w:type="dxa"/>
            </w:tcMar>
            <w:vAlign w:val="center"/>
          </w:tcPr>
          <w:p w14:paraId="5C23E984" w14:textId="77777777" w:rsidR="00A2672B" w:rsidRPr="00280D1A" w:rsidRDefault="00A2672B"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164</w:t>
            </w:r>
          </w:p>
        </w:tc>
      </w:tr>
      <w:tr w:rsidR="00A2672B" w:rsidRPr="00211D55" w14:paraId="33141ED4" w14:textId="77777777" w:rsidTr="00A2672B">
        <w:trPr>
          <w:trHeight w:val="225"/>
        </w:trPr>
        <w:tc>
          <w:tcPr>
            <w:tcW w:w="413" w:type="pct"/>
            <w:shd w:val="clear" w:color="auto" w:fill="C6D9F1"/>
            <w:noWrap/>
            <w:tcMar>
              <w:top w:w="15" w:type="dxa"/>
              <w:left w:w="15" w:type="dxa"/>
              <w:bottom w:w="0" w:type="dxa"/>
              <w:right w:w="15" w:type="dxa"/>
            </w:tcMar>
            <w:vAlign w:val="bottom"/>
            <w:hideMark/>
          </w:tcPr>
          <w:p w14:paraId="7FE64E21" w14:textId="77777777" w:rsidR="00A2672B" w:rsidRPr="00211D55" w:rsidRDefault="00A2672B"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4150518F" w14:textId="77777777" w:rsidR="00A2672B" w:rsidRPr="00280D1A" w:rsidRDefault="00A2672B"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4155A14F" w14:textId="547DD996" w:rsidR="00A2672B" w:rsidRPr="00280D1A" w:rsidRDefault="00A2672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5</w:t>
            </w:r>
            <w:r w:rsidR="005A5A84" w:rsidRPr="00280D1A">
              <w:rPr>
                <w:rFonts w:ascii="Arabic Typesetting" w:hAnsi="Arabic Typesetting" w:cs="Arabic Typesetting"/>
                <w:b/>
                <w:bCs/>
                <w:color w:val="000000"/>
                <w:sz w:val="28"/>
                <w:szCs w:val="28"/>
              </w:rPr>
              <w:t> </w:t>
            </w:r>
            <w:r w:rsidRPr="00280D1A">
              <w:rPr>
                <w:rFonts w:ascii="Arabic Typesetting" w:hAnsi="Arabic Typesetting" w:cs="Arabic Typesetting"/>
                <w:b/>
                <w:bCs/>
                <w:color w:val="000000"/>
                <w:sz w:val="28"/>
                <w:szCs w:val="28"/>
              </w:rPr>
              <w:t>291</w:t>
            </w:r>
          </w:p>
        </w:tc>
        <w:tc>
          <w:tcPr>
            <w:tcW w:w="749" w:type="pct"/>
            <w:shd w:val="clear" w:color="auto" w:fill="C6D9F1"/>
            <w:noWrap/>
            <w:tcMar>
              <w:top w:w="15" w:type="dxa"/>
              <w:left w:w="15" w:type="dxa"/>
              <w:bottom w:w="0" w:type="dxa"/>
              <w:right w:w="15" w:type="dxa"/>
            </w:tcMar>
            <w:vAlign w:val="center"/>
          </w:tcPr>
          <w:p w14:paraId="0D1A1CAF" w14:textId="2DD89F4F" w:rsidR="00A2672B" w:rsidRPr="00280D1A" w:rsidRDefault="00A2672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5</w:t>
            </w:r>
            <w:r w:rsidR="005A5A84" w:rsidRPr="00280D1A">
              <w:rPr>
                <w:rFonts w:ascii="Arabic Typesetting" w:hAnsi="Arabic Typesetting" w:cs="Arabic Typesetting"/>
                <w:b/>
                <w:bCs/>
                <w:color w:val="000000"/>
                <w:sz w:val="28"/>
                <w:szCs w:val="28"/>
              </w:rPr>
              <w:t> </w:t>
            </w:r>
            <w:r w:rsidRPr="00280D1A">
              <w:rPr>
                <w:rFonts w:ascii="Arabic Typesetting" w:hAnsi="Arabic Typesetting" w:cs="Arabic Typesetting"/>
                <w:b/>
                <w:bCs/>
                <w:color w:val="000000"/>
                <w:sz w:val="28"/>
                <w:szCs w:val="28"/>
              </w:rPr>
              <w:t>219</w:t>
            </w:r>
          </w:p>
        </w:tc>
        <w:tc>
          <w:tcPr>
            <w:tcW w:w="749" w:type="pct"/>
            <w:shd w:val="clear" w:color="auto" w:fill="C6D9F1"/>
            <w:noWrap/>
            <w:tcMar>
              <w:top w:w="15" w:type="dxa"/>
              <w:left w:w="15" w:type="dxa"/>
              <w:bottom w:w="0" w:type="dxa"/>
              <w:right w:w="15" w:type="dxa"/>
            </w:tcMar>
            <w:vAlign w:val="center"/>
          </w:tcPr>
          <w:p w14:paraId="3DCB15E7" w14:textId="76A67B46" w:rsidR="00A2672B" w:rsidRPr="00280D1A" w:rsidRDefault="00A2672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w:t>
            </w:r>
            <w:r w:rsidR="005A5A84" w:rsidRPr="00280D1A">
              <w:rPr>
                <w:rFonts w:ascii="Arabic Typesetting" w:hAnsi="Arabic Typesetting" w:cs="Arabic Typesetting"/>
                <w:b/>
                <w:bCs/>
                <w:color w:val="000000"/>
                <w:sz w:val="28"/>
                <w:szCs w:val="28"/>
              </w:rPr>
              <w:t> </w:t>
            </w:r>
            <w:r w:rsidRPr="00280D1A">
              <w:rPr>
                <w:rFonts w:ascii="Arabic Typesetting" w:hAnsi="Arabic Typesetting" w:cs="Arabic Typesetting"/>
                <w:b/>
                <w:bCs/>
                <w:color w:val="000000"/>
                <w:sz w:val="28"/>
                <w:szCs w:val="28"/>
              </w:rPr>
              <w:t>581</w:t>
            </w:r>
          </w:p>
        </w:tc>
      </w:tr>
      <w:tr w:rsidR="00A2672B" w:rsidRPr="00211D55" w14:paraId="6DE8B856" w14:textId="77777777" w:rsidTr="00A2672B">
        <w:trPr>
          <w:trHeight w:val="225"/>
        </w:trPr>
        <w:tc>
          <w:tcPr>
            <w:tcW w:w="5000" w:type="pct"/>
            <w:gridSpan w:val="5"/>
            <w:shd w:val="clear" w:color="auto" w:fill="auto"/>
            <w:noWrap/>
            <w:tcMar>
              <w:top w:w="15" w:type="dxa"/>
              <w:left w:w="15" w:type="dxa"/>
              <w:bottom w:w="0" w:type="dxa"/>
              <w:right w:w="15" w:type="dxa"/>
            </w:tcMar>
            <w:vAlign w:val="bottom"/>
          </w:tcPr>
          <w:p w14:paraId="25EF71AD" w14:textId="77777777" w:rsidR="00A2672B" w:rsidRPr="00A2672B" w:rsidRDefault="00A2672B"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sidR="00D41845">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sidR="00D41845">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13F4A7D1" w14:textId="77777777" w:rsidR="00BA024D" w:rsidRPr="00252762" w:rsidRDefault="00BA024D"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2BD6B80C" w14:textId="77777777" w:rsidR="00BA024D" w:rsidRPr="00DF1D8A" w:rsidRDefault="00BA024D"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D41845" w:rsidRPr="00211D55" w14:paraId="26E861EE" w14:textId="77777777" w:rsidTr="00D41845">
        <w:trPr>
          <w:trHeight w:val="645"/>
        </w:trPr>
        <w:tc>
          <w:tcPr>
            <w:tcW w:w="1120" w:type="pct"/>
            <w:shd w:val="clear" w:color="auto" w:fill="C6D9F1"/>
            <w:noWrap/>
            <w:vAlign w:val="center"/>
            <w:hideMark/>
          </w:tcPr>
          <w:p w14:paraId="675F63E6" w14:textId="77777777" w:rsidR="00BA024D" w:rsidRPr="00211D55" w:rsidRDefault="00BA024D" w:rsidP="0031289D">
            <w:pPr>
              <w:bidi/>
              <w:spacing w:before="60" w:after="60" w:line="280" w:lineRule="exact"/>
              <w:jc w:val="center"/>
              <w:rPr>
                <w:rFonts w:ascii="Arabic Typesetting" w:hAnsi="Arabic Typesetting" w:cs="Arabic Typesetting"/>
                <w:b/>
                <w:bCs/>
                <w:i/>
                <w:iCs/>
                <w:sz w:val="28"/>
                <w:szCs w:val="28"/>
              </w:rPr>
            </w:pPr>
          </w:p>
        </w:tc>
        <w:tc>
          <w:tcPr>
            <w:tcW w:w="970" w:type="pct"/>
            <w:shd w:val="clear" w:color="auto" w:fill="C6D9F1"/>
            <w:vAlign w:val="center"/>
            <w:hideMark/>
          </w:tcPr>
          <w:p w14:paraId="51884998" w14:textId="77777777" w:rsidR="00BA024D" w:rsidRPr="00211D55" w:rsidRDefault="00BA024D" w:rsidP="0031289D">
            <w:pPr>
              <w:bidi/>
              <w:spacing w:before="60" w:after="60" w:line="280" w:lineRule="exact"/>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D41845">
              <w:rPr>
                <w:rFonts w:ascii="Arabic Typesetting" w:hAnsi="Arabic Typesetting" w:cs="Arabic Typesetting" w:hint="cs"/>
                <w:b/>
                <w:bCs/>
                <w:i/>
                <w:iCs/>
                <w:sz w:val="28"/>
                <w:szCs w:val="28"/>
                <w:rtl/>
              </w:rPr>
              <w:t>2016/17</w:t>
            </w:r>
          </w:p>
        </w:tc>
        <w:tc>
          <w:tcPr>
            <w:tcW w:w="970" w:type="pct"/>
            <w:shd w:val="clear" w:color="auto" w:fill="C6D9F1"/>
            <w:vAlign w:val="center"/>
            <w:hideMark/>
          </w:tcPr>
          <w:p w14:paraId="747C1A4B" w14:textId="77777777" w:rsidR="00BA024D" w:rsidRPr="00211D55" w:rsidRDefault="00427177" w:rsidP="0031289D">
            <w:pPr>
              <w:bidi/>
              <w:spacing w:before="60" w:after="60" w:line="280" w:lineRule="exact"/>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5809936D" w14:textId="77777777" w:rsidR="00BA024D" w:rsidRPr="00211D55" w:rsidRDefault="00BA024D" w:rsidP="0031289D">
            <w:pPr>
              <w:bidi/>
              <w:spacing w:before="60" w:after="60" w:line="280" w:lineRule="exact"/>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D41845">
              <w:rPr>
                <w:rFonts w:ascii="Arabic Typesetting" w:hAnsi="Arabic Typesetting" w:cs="Arabic Typesetting" w:hint="cs"/>
                <w:b/>
                <w:bCs/>
                <w:i/>
                <w:iCs/>
                <w:sz w:val="28"/>
                <w:szCs w:val="28"/>
                <w:rtl/>
              </w:rPr>
              <w:t>2016*</w:t>
            </w:r>
          </w:p>
        </w:tc>
        <w:tc>
          <w:tcPr>
            <w:tcW w:w="970" w:type="pct"/>
            <w:shd w:val="clear" w:color="auto" w:fill="C6D9F1"/>
            <w:vAlign w:val="center"/>
            <w:hideMark/>
          </w:tcPr>
          <w:p w14:paraId="026990E5" w14:textId="77777777" w:rsidR="00BA024D" w:rsidRPr="00211D55" w:rsidRDefault="00BA024D" w:rsidP="0031289D">
            <w:pPr>
              <w:bidi/>
              <w:spacing w:before="60" w:after="60" w:line="280" w:lineRule="exact"/>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427177" w:rsidRPr="00211D55" w14:paraId="0A605E92" w14:textId="77777777" w:rsidTr="00D41845">
        <w:trPr>
          <w:trHeight w:val="70"/>
        </w:trPr>
        <w:tc>
          <w:tcPr>
            <w:tcW w:w="1120" w:type="pct"/>
            <w:shd w:val="clear" w:color="auto" w:fill="auto"/>
            <w:noWrap/>
            <w:vAlign w:val="center"/>
            <w:hideMark/>
          </w:tcPr>
          <w:p w14:paraId="3C01BEE8" w14:textId="77777777" w:rsidR="00D41845" w:rsidRPr="00280D1A" w:rsidRDefault="00D41845" w:rsidP="0031289D">
            <w:pPr>
              <w:bidi/>
              <w:spacing w:before="120" w:after="120"/>
              <w:rPr>
                <w:rFonts w:ascii="Arabic Typesetting" w:hAnsi="Arabic Typesetting" w:cs="Arabic Typesetting"/>
                <w:sz w:val="28"/>
                <w:szCs w:val="28"/>
              </w:rPr>
            </w:pPr>
            <w:r w:rsidRPr="00280D1A">
              <w:rPr>
                <w:rFonts w:ascii="Arabic Typesetting" w:hAnsi="Arabic Typesetting" w:cs="Arabic Typesetting"/>
                <w:sz w:val="28"/>
                <w:szCs w:val="28"/>
                <w:rtl/>
              </w:rPr>
              <w:t>موارد الموظفين</w:t>
            </w:r>
          </w:p>
        </w:tc>
        <w:tc>
          <w:tcPr>
            <w:tcW w:w="970" w:type="pct"/>
            <w:shd w:val="clear" w:color="auto" w:fill="auto"/>
            <w:vAlign w:val="center"/>
            <w:hideMark/>
          </w:tcPr>
          <w:p w14:paraId="2A0593CA" w14:textId="6D197B5D" w:rsidR="00D41845" w:rsidRPr="00280D1A" w:rsidRDefault="00D41845"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w:t>
            </w:r>
            <w:r w:rsidR="005A5A84" w:rsidRPr="00280D1A">
              <w:rPr>
                <w:rFonts w:ascii="Arabic Typesetting" w:hAnsi="Arabic Typesetting" w:cs="Arabic Typesetting"/>
                <w:color w:val="000000"/>
                <w:sz w:val="28"/>
                <w:szCs w:val="28"/>
              </w:rPr>
              <w:t> </w:t>
            </w:r>
            <w:r w:rsidRPr="00280D1A">
              <w:rPr>
                <w:rFonts w:ascii="Arabic Typesetting" w:hAnsi="Arabic Typesetting" w:cs="Arabic Typesetting"/>
                <w:color w:val="000000"/>
                <w:sz w:val="28"/>
                <w:szCs w:val="28"/>
              </w:rPr>
              <w:t xml:space="preserve">953 </w:t>
            </w:r>
          </w:p>
        </w:tc>
        <w:tc>
          <w:tcPr>
            <w:tcW w:w="970" w:type="pct"/>
            <w:shd w:val="clear" w:color="auto" w:fill="auto"/>
            <w:vAlign w:val="center"/>
            <w:hideMark/>
          </w:tcPr>
          <w:p w14:paraId="33036721" w14:textId="6016036C" w:rsidR="00D41845" w:rsidRPr="00280D1A" w:rsidRDefault="00D41845"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w:t>
            </w:r>
            <w:r w:rsidR="005A5A84" w:rsidRPr="00280D1A">
              <w:rPr>
                <w:rFonts w:ascii="Arabic Typesetting" w:hAnsi="Arabic Typesetting" w:cs="Arabic Typesetting"/>
                <w:color w:val="000000"/>
                <w:sz w:val="28"/>
                <w:szCs w:val="28"/>
              </w:rPr>
              <w:t> </w:t>
            </w:r>
            <w:r w:rsidRPr="00280D1A">
              <w:rPr>
                <w:rFonts w:ascii="Arabic Typesetting" w:hAnsi="Arabic Typesetting" w:cs="Arabic Typesetting"/>
                <w:color w:val="000000"/>
                <w:sz w:val="28"/>
                <w:szCs w:val="28"/>
              </w:rPr>
              <w:t xml:space="preserve">888 </w:t>
            </w:r>
          </w:p>
        </w:tc>
        <w:tc>
          <w:tcPr>
            <w:tcW w:w="970" w:type="pct"/>
            <w:shd w:val="clear" w:color="auto" w:fill="auto"/>
            <w:vAlign w:val="center"/>
            <w:hideMark/>
          </w:tcPr>
          <w:p w14:paraId="2498200D" w14:textId="29339CA9" w:rsidR="00D41845" w:rsidRPr="00280D1A" w:rsidRDefault="00D41845"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w:t>
            </w:r>
            <w:r w:rsidR="005A5A84" w:rsidRPr="00280D1A">
              <w:rPr>
                <w:rFonts w:ascii="Arabic Typesetting" w:hAnsi="Arabic Typesetting" w:cs="Arabic Typesetting"/>
                <w:color w:val="000000"/>
                <w:sz w:val="28"/>
                <w:szCs w:val="28"/>
              </w:rPr>
              <w:t> </w:t>
            </w:r>
            <w:r w:rsidRPr="00280D1A">
              <w:rPr>
                <w:rFonts w:ascii="Arabic Typesetting" w:hAnsi="Arabic Typesetting" w:cs="Arabic Typesetting"/>
                <w:color w:val="000000"/>
                <w:sz w:val="28"/>
                <w:szCs w:val="28"/>
              </w:rPr>
              <w:t xml:space="preserve">928 </w:t>
            </w:r>
          </w:p>
        </w:tc>
        <w:tc>
          <w:tcPr>
            <w:tcW w:w="970" w:type="pct"/>
            <w:shd w:val="clear" w:color="auto" w:fill="auto"/>
            <w:vAlign w:val="center"/>
            <w:hideMark/>
          </w:tcPr>
          <w:p w14:paraId="7B125C00" w14:textId="77777777" w:rsidR="00D41845" w:rsidRPr="00280D1A" w:rsidRDefault="00D41845" w:rsidP="0031289D">
            <w:pPr>
              <w:bidi/>
              <w:spacing w:before="120" w:after="120"/>
              <w:jc w:val="center"/>
              <w:rPr>
                <w:rFonts w:ascii="Arabic Typesetting" w:hAnsi="Arabic Typesetting" w:cs="Arabic Typesetting"/>
                <w:color w:val="000000"/>
                <w:sz w:val="28"/>
                <w:szCs w:val="28"/>
                <w:rtl/>
                <w:lang w:bidi="ar-EG"/>
              </w:rPr>
            </w:pPr>
            <w:r w:rsidRPr="00280D1A">
              <w:rPr>
                <w:rFonts w:ascii="Arabic Typesetting" w:hAnsi="Arabic Typesetting" w:cs="Arabic Typesetting"/>
                <w:color w:val="000000"/>
                <w:sz w:val="28"/>
                <w:szCs w:val="28"/>
              </w:rPr>
              <w:t>50</w:t>
            </w:r>
            <w:r w:rsidRPr="00280D1A">
              <w:rPr>
                <w:rFonts w:ascii="Arabic Typesetting" w:hAnsi="Arabic Typesetting" w:cs="Arabic Typesetting"/>
                <w:color w:val="000000"/>
                <w:sz w:val="28"/>
                <w:szCs w:val="28"/>
                <w:rtl/>
                <w:lang w:bidi="ar-EG"/>
              </w:rPr>
              <w:t>%</w:t>
            </w:r>
          </w:p>
        </w:tc>
      </w:tr>
      <w:tr w:rsidR="00427177" w:rsidRPr="00211D55" w14:paraId="75D1801E" w14:textId="77777777" w:rsidTr="00D41845">
        <w:trPr>
          <w:trHeight w:val="70"/>
        </w:trPr>
        <w:tc>
          <w:tcPr>
            <w:tcW w:w="1120" w:type="pct"/>
            <w:shd w:val="clear" w:color="auto" w:fill="auto"/>
            <w:noWrap/>
            <w:vAlign w:val="center"/>
            <w:hideMark/>
          </w:tcPr>
          <w:p w14:paraId="2E18B02D" w14:textId="77777777" w:rsidR="00D41845" w:rsidRPr="00280D1A" w:rsidRDefault="00D41845" w:rsidP="0031289D">
            <w:pPr>
              <w:bidi/>
              <w:spacing w:before="120" w:after="120"/>
              <w:rPr>
                <w:rFonts w:ascii="Arabic Typesetting" w:hAnsi="Arabic Typesetting" w:cs="Arabic Typesetting"/>
                <w:sz w:val="28"/>
                <w:szCs w:val="28"/>
              </w:rPr>
            </w:pPr>
            <w:r w:rsidRPr="00280D1A">
              <w:rPr>
                <w:rFonts w:ascii="Arabic Typesetting" w:hAnsi="Arabic Typesetting" w:cs="Arabic Typesetting"/>
                <w:sz w:val="28"/>
                <w:szCs w:val="28"/>
                <w:rtl/>
              </w:rPr>
              <w:t>خلاف موارد الموظفين</w:t>
            </w:r>
          </w:p>
        </w:tc>
        <w:tc>
          <w:tcPr>
            <w:tcW w:w="970" w:type="pct"/>
            <w:shd w:val="clear" w:color="auto" w:fill="auto"/>
            <w:vAlign w:val="center"/>
            <w:hideMark/>
          </w:tcPr>
          <w:p w14:paraId="042B7D7A" w14:textId="5F550D61" w:rsidR="00D41845" w:rsidRPr="00280D1A" w:rsidRDefault="00D41845"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w:t>
            </w:r>
            <w:r w:rsidR="005A5A84" w:rsidRPr="00280D1A">
              <w:rPr>
                <w:rFonts w:ascii="Arabic Typesetting" w:hAnsi="Arabic Typesetting" w:cs="Arabic Typesetting"/>
                <w:color w:val="000000"/>
                <w:sz w:val="28"/>
                <w:szCs w:val="28"/>
              </w:rPr>
              <w:t> </w:t>
            </w:r>
            <w:r w:rsidRPr="00280D1A">
              <w:rPr>
                <w:rFonts w:ascii="Arabic Typesetting" w:hAnsi="Arabic Typesetting" w:cs="Arabic Typesetting"/>
                <w:color w:val="000000"/>
                <w:sz w:val="28"/>
                <w:szCs w:val="28"/>
              </w:rPr>
              <w:t xml:space="preserve">339 </w:t>
            </w:r>
          </w:p>
        </w:tc>
        <w:tc>
          <w:tcPr>
            <w:tcW w:w="970" w:type="pct"/>
            <w:shd w:val="clear" w:color="auto" w:fill="auto"/>
            <w:vAlign w:val="center"/>
            <w:hideMark/>
          </w:tcPr>
          <w:p w14:paraId="13795D9B" w14:textId="4F907CDD" w:rsidR="00D41845" w:rsidRPr="00280D1A" w:rsidRDefault="00D41845"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w:t>
            </w:r>
            <w:r w:rsidR="005A5A84" w:rsidRPr="00280D1A">
              <w:rPr>
                <w:rFonts w:ascii="Arabic Typesetting" w:hAnsi="Arabic Typesetting" w:cs="Arabic Typesetting"/>
                <w:color w:val="000000"/>
                <w:sz w:val="28"/>
                <w:szCs w:val="28"/>
              </w:rPr>
              <w:t> </w:t>
            </w:r>
            <w:r w:rsidRPr="00280D1A">
              <w:rPr>
                <w:rFonts w:ascii="Arabic Typesetting" w:hAnsi="Arabic Typesetting" w:cs="Arabic Typesetting"/>
                <w:color w:val="000000"/>
                <w:sz w:val="28"/>
                <w:szCs w:val="28"/>
              </w:rPr>
              <w:t xml:space="preserve">331 </w:t>
            </w:r>
          </w:p>
        </w:tc>
        <w:tc>
          <w:tcPr>
            <w:tcW w:w="970" w:type="pct"/>
            <w:shd w:val="clear" w:color="auto" w:fill="auto"/>
            <w:vAlign w:val="center"/>
            <w:hideMark/>
          </w:tcPr>
          <w:p w14:paraId="3208C433" w14:textId="77777777" w:rsidR="00D41845" w:rsidRPr="00280D1A" w:rsidRDefault="00D41845" w:rsidP="0031289D">
            <w:pPr>
              <w:spacing w:before="120" w:after="120"/>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653 </w:t>
            </w:r>
          </w:p>
        </w:tc>
        <w:tc>
          <w:tcPr>
            <w:tcW w:w="970" w:type="pct"/>
            <w:shd w:val="clear" w:color="auto" w:fill="auto"/>
            <w:vAlign w:val="center"/>
            <w:hideMark/>
          </w:tcPr>
          <w:p w14:paraId="155B978C" w14:textId="77777777" w:rsidR="00D41845" w:rsidRPr="00280D1A" w:rsidRDefault="00D41845" w:rsidP="0031289D">
            <w:pPr>
              <w:bidi/>
              <w:spacing w:before="120" w:after="120"/>
              <w:jc w:val="center"/>
              <w:rPr>
                <w:rFonts w:ascii="Arabic Typesetting" w:hAnsi="Arabic Typesetting" w:cs="Arabic Typesetting"/>
                <w:color w:val="000000"/>
                <w:sz w:val="28"/>
                <w:szCs w:val="28"/>
                <w:rtl/>
                <w:lang w:bidi="ar-EG"/>
              </w:rPr>
            </w:pPr>
            <w:r w:rsidRPr="00280D1A">
              <w:rPr>
                <w:rFonts w:ascii="Arabic Typesetting" w:hAnsi="Arabic Typesetting" w:cs="Arabic Typesetting"/>
                <w:color w:val="000000"/>
                <w:sz w:val="28"/>
                <w:szCs w:val="28"/>
              </w:rPr>
              <w:t>49</w:t>
            </w:r>
            <w:r w:rsidRPr="00280D1A">
              <w:rPr>
                <w:rFonts w:ascii="Arabic Typesetting" w:hAnsi="Arabic Typesetting" w:cs="Arabic Typesetting"/>
                <w:color w:val="000000"/>
                <w:sz w:val="28"/>
                <w:szCs w:val="28"/>
                <w:rtl/>
                <w:lang w:bidi="ar-EG"/>
              </w:rPr>
              <w:t>%</w:t>
            </w:r>
          </w:p>
        </w:tc>
      </w:tr>
      <w:tr w:rsidR="00427177" w:rsidRPr="00211D55" w14:paraId="5172A409" w14:textId="77777777" w:rsidTr="00AF6433">
        <w:trPr>
          <w:trHeight w:val="70"/>
        </w:trPr>
        <w:tc>
          <w:tcPr>
            <w:tcW w:w="1120" w:type="pct"/>
            <w:shd w:val="clear" w:color="auto" w:fill="C6D9F1"/>
            <w:noWrap/>
            <w:vAlign w:val="center"/>
            <w:hideMark/>
          </w:tcPr>
          <w:p w14:paraId="012CE9D3" w14:textId="77777777" w:rsidR="00D41845" w:rsidRPr="00280D1A" w:rsidRDefault="00D41845"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970" w:type="pct"/>
            <w:shd w:val="clear" w:color="auto" w:fill="C6D9F1"/>
            <w:vAlign w:val="center"/>
            <w:hideMark/>
          </w:tcPr>
          <w:p w14:paraId="3312FEEC" w14:textId="2938A9C8" w:rsidR="00D41845" w:rsidRPr="00280D1A" w:rsidRDefault="00D41845"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5</w:t>
            </w:r>
            <w:r w:rsidR="005A5A84" w:rsidRPr="00280D1A">
              <w:rPr>
                <w:rFonts w:ascii="Arabic Typesetting" w:hAnsi="Arabic Typesetting" w:cs="Arabic Typesetting"/>
                <w:b/>
                <w:bCs/>
                <w:color w:val="000000"/>
                <w:sz w:val="28"/>
                <w:szCs w:val="28"/>
              </w:rPr>
              <w:t> </w:t>
            </w:r>
            <w:r w:rsidRPr="00280D1A">
              <w:rPr>
                <w:rFonts w:ascii="Arabic Typesetting" w:hAnsi="Arabic Typesetting" w:cs="Arabic Typesetting"/>
                <w:b/>
                <w:bCs/>
                <w:color w:val="000000"/>
                <w:sz w:val="28"/>
                <w:szCs w:val="28"/>
              </w:rPr>
              <w:t xml:space="preserve">291 </w:t>
            </w:r>
          </w:p>
        </w:tc>
        <w:tc>
          <w:tcPr>
            <w:tcW w:w="970" w:type="pct"/>
            <w:shd w:val="clear" w:color="auto" w:fill="C6D9F1"/>
            <w:vAlign w:val="center"/>
            <w:hideMark/>
          </w:tcPr>
          <w:p w14:paraId="7ACA7135" w14:textId="0EAC97B2" w:rsidR="00D41845" w:rsidRPr="00280D1A" w:rsidRDefault="00D41845"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5</w:t>
            </w:r>
            <w:r w:rsidR="005A5A84" w:rsidRPr="00280D1A">
              <w:rPr>
                <w:rFonts w:ascii="Arabic Typesetting" w:hAnsi="Arabic Typesetting" w:cs="Arabic Typesetting"/>
                <w:b/>
                <w:bCs/>
                <w:color w:val="000000"/>
                <w:sz w:val="28"/>
                <w:szCs w:val="28"/>
              </w:rPr>
              <w:t> </w:t>
            </w:r>
            <w:r w:rsidRPr="00280D1A">
              <w:rPr>
                <w:rFonts w:ascii="Arabic Typesetting" w:hAnsi="Arabic Typesetting" w:cs="Arabic Typesetting"/>
                <w:b/>
                <w:bCs/>
                <w:color w:val="000000"/>
                <w:sz w:val="28"/>
                <w:szCs w:val="28"/>
              </w:rPr>
              <w:t xml:space="preserve">219 </w:t>
            </w:r>
          </w:p>
        </w:tc>
        <w:tc>
          <w:tcPr>
            <w:tcW w:w="970" w:type="pct"/>
            <w:shd w:val="clear" w:color="auto" w:fill="C6D9F1"/>
            <w:vAlign w:val="center"/>
            <w:hideMark/>
          </w:tcPr>
          <w:p w14:paraId="436602EA" w14:textId="01513D0E" w:rsidR="00D41845" w:rsidRPr="00280D1A" w:rsidRDefault="00D41845"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w:t>
            </w:r>
            <w:r w:rsidR="005A5A84" w:rsidRPr="00280D1A">
              <w:rPr>
                <w:rFonts w:ascii="Arabic Typesetting" w:hAnsi="Arabic Typesetting" w:cs="Arabic Typesetting"/>
                <w:b/>
                <w:bCs/>
                <w:color w:val="000000"/>
                <w:sz w:val="28"/>
                <w:szCs w:val="28"/>
              </w:rPr>
              <w:t> </w:t>
            </w:r>
            <w:r w:rsidRPr="00280D1A">
              <w:rPr>
                <w:rFonts w:ascii="Arabic Typesetting" w:hAnsi="Arabic Typesetting" w:cs="Arabic Typesetting"/>
                <w:b/>
                <w:bCs/>
                <w:color w:val="000000"/>
                <w:sz w:val="28"/>
                <w:szCs w:val="28"/>
              </w:rPr>
              <w:t xml:space="preserve">581 </w:t>
            </w:r>
          </w:p>
        </w:tc>
        <w:tc>
          <w:tcPr>
            <w:tcW w:w="970" w:type="pct"/>
            <w:shd w:val="clear" w:color="auto" w:fill="C6D9F1"/>
            <w:vAlign w:val="center"/>
            <w:hideMark/>
          </w:tcPr>
          <w:p w14:paraId="3B8AA898" w14:textId="77777777" w:rsidR="00D41845" w:rsidRPr="00280D1A" w:rsidRDefault="00D41845" w:rsidP="0031289D">
            <w:pPr>
              <w:bidi/>
              <w:jc w:val="center"/>
              <w:rPr>
                <w:rFonts w:ascii="Arabic Typesetting" w:hAnsi="Arabic Typesetting" w:cs="Arabic Typesetting"/>
                <w:b/>
                <w:bCs/>
                <w:color w:val="000000"/>
                <w:sz w:val="28"/>
                <w:szCs w:val="28"/>
                <w:rtl/>
                <w:lang w:bidi="ar-EG"/>
              </w:rPr>
            </w:pPr>
            <w:r w:rsidRPr="00280D1A">
              <w:rPr>
                <w:rFonts w:ascii="Arabic Typesetting" w:hAnsi="Arabic Typesetting" w:cs="Arabic Typesetting"/>
                <w:b/>
                <w:bCs/>
                <w:color w:val="000000"/>
                <w:sz w:val="28"/>
                <w:szCs w:val="28"/>
              </w:rPr>
              <w:t>49</w:t>
            </w:r>
            <w:r w:rsidRPr="00280D1A">
              <w:rPr>
                <w:rFonts w:ascii="Arabic Typesetting" w:hAnsi="Arabic Typesetting" w:cs="Arabic Typesetting"/>
                <w:b/>
                <w:bCs/>
                <w:color w:val="000000"/>
                <w:sz w:val="28"/>
                <w:szCs w:val="28"/>
                <w:rtl/>
                <w:lang w:bidi="ar-EG"/>
              </w:rPr>
              <w:t>%</w:t>
            </w:r>
          </w:p>
        </w:tc>
      </w:tr>
      <w:tr w:rsidR="00D41845" w:rsidRPr="00211D55" w14:paraId="2FE2434F" w14:textId="77777777" w:rsidTr="00D41845">
        <w:trPr>
          <w:trHeight w:val="540"/>
        </w:trPr>
        <w:tc>
          <w:tcPr>
            <w:tcW w:w="5000" w:type="pct"/>
            <w:gridSpan w:val="5"/>
            <w:shd w:val="clear" w:color="auto" w:fill="auto"/>
            <w:noWrap/>
            <w:vAlign w:val="center"/>
          </w:tcPr>
          <w:p w14:paraId="006EA5FB" w14:textId="0C4D3E31" w:rsidR="00D41845" w:rsidRPr="00D41845" w:rsidRDefault="00D41845"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tc>
      </w:tr>
    </w:tbl>
    <w:p w14:paraId="0A579F97" w14:textId="36C845AE" w:rsidR="0076593C" w:rsidRPr="0076593C" w:rsidRDefault="0076593C" w:rsidP="0031289D">
      <w:pPr>
        <w:keepNext/>
        <w:bidi/>
        <w:spacing w:before="120" w:after="240" w:line="360" w:lineRule="exact"/>
        <w:rPr>
          <w:rFonts w:ascii="Arabic Typesetting" w:hAnsi="Arabic Typesetting" w:cs="Arabic Typesetting"/>
          <w:sz w:val="28"/>
          <w:szCs w:val="28"/>
          <w:rtl/>
          <w:lang w:bidi="ar-EG"/>
        </w:rPr>
      </w:pPr>
      <w:r w:rsidRPr="0076593C">
        <w:rPr>
          <w:rFonts w:ascii="Arabic Typesetting" w:hAnsi="Arabic Typesetting" w:cs="Arabic Typesetting"/>
          <w:i/>
          <w:iCs/>
          <w:sz w:val="28"/>
          <w:szCs w:val="28"/>
          <w:rtl/>
          <w:lang w:bidi="ar-EG"/>
        </w:rPr>
        <w:t>ملاحظة: تظهر الميزانية بعد التحويلات 2016/17</w:t>
      </w:r>
      <w:r w:rsidRPr="0076593C">
        <w:rPr>
          <w:rFonts w:ascii="Arabic Typesetting" w:hAnsi="Arabic Typesetting" w:cs="Arabic Typesetting" w:hint="cs"/>
          <w:i/>
          <w:iCs/>
          <w:sz w:val="28"/>
          <w:szCs w:val="28"/>
          <w:rtl/>
          <w:lang w:bidi="ar-EG"/>
        </w:rPr>
        <w:t xml:space="preserve"> التحويلات التي أجريت بناء على المادة 5.5 من النظام المالي حتى</w:t>
      </w:r>
      <w:r w:rsidRPr="0076593C">
        <w:rPr>
          <w:rFonts w:ascii="Arabic Typesetting" w:hAnsi="Arabic Typesetting" w:cs="Arabic Typesetting"/>
          <w:i/>
          <w:iCs/>
          <w:sz w:val="28"/>
          <w:szCs w:val="28"/>
          <w:rtl/>
          <w:lang w:bidi="ar-EG"/>
        </w:rPr>
        <w:t xml:space="preserve"> 8 مارس 2017 </w:t>
      </w:r>
      <w:r w:rsidRPr="0076593C">
        <w:rPr>
          <w:rFonts w:ascii="Arabic Typesetting" w:hAnsi="Arabic Typesetting" w:cs="Arabic Typesetting" w:hint="cs"/>
          <w:i/>
          <w:iCs/>
          <w:sz w:val="28"/>
          <w:szCs w:val="28"/>
          <w:rtl/>
          <w:lang w:bidi="ar-EG"/>
        </w:rPr>
        <w:t>لتغطية</w:t>
      </w:r>
      <w:r w:rsidRPr="0076593C">
        <w:rPr>
          <w:rFonts w:ascii="Arabic Typesetting" w:hAnsi="Arabic Typesetting" w:cs="Arabic Typesetting"/>
          <w:i/>
          <w:iCs/>
          <w:sz w:val="28"/>
          <w:szCs w:val="28"/>
          <w:rtl/>
          <w:lang w:bidi="ar-EG"/>
        </w:rPr>
        <w:t xml:space="preserve"> الاحتياجات خلال الثنائية 2016/17</w:t>
      </w:r>
      <w:r w:rsidRPr="0076593C">
        <w:rPr>
          <w:rFonts w:ascii="Arabic Typesetting" w:hAnsi="Arabic Typesetting" w:cs="Arabic Typesetting" w:hint="cs"/>
          <w:i/>
          <w:iCs/>
          <w:sz w:val="28"/>
          <w:szCs w:val="28"/>
          <w:rtl/>
          <w:lang w:bidi="ar-EG"/>
        </w:rPr>
        <w:t>.</w:t>
      </w:r>
    </w:p>
    <w:p w14:paraId="163CFF3A" w14:textId="77777777" w:rsidR="00BA024D" w:rsidRPr="00706F20" w:rsidRDefault="00BA024D"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427177">
        <w:rPr>
          <w:rFonts w:ascii="Arabic Typesetting" w:hAnsi="Arabic Typesetting" w:cs="Arabic Typesetting" w:hint="cs"/>
          <w:sz w:val="34"/>
          <w:szCs w:val="34"/>
          <w:u w:val="single"/>
          <w:rtl/>
          <w:lang w:bidi="ar-EG"/>
        </w:rPr>
        <w:t>ميزانية 2016/17 بعد التحويلات</w:t>
      </w:r>
    </w:p>
    <w:p w14:paraId="3D1804A9" w14:textId="04B71DF6" w:rsidR="00427177" w:rsidRDefault="00427177" w:rsidP="0031289D">
      <w:pPr>
        <w:numPr>
          <w:ilvl w:val="1"/>
          <w:numId w:val="3"/>
        </w:numPr>
        <w:bidi/>
        <w:spacing w:after="240" w:line="360" w:lineRule="exact"/>
        <w:ind w:left="1" w:hanging="1"/>
        <w:rPr>
          <w:rFonts w:ascii="Arabic Typesetting" w:hAnsi="Arabic Typesetting" w:cs="Arabic Typesetting"/>
          <w:sz w:val="34"/>
          <w:szCs w:val="34"/>
        </w:rPr>
      </w:pPr>
      <w:r>
        <w:rPr>
          <w:rFonts w:ascii="Arabic Typesetting" w:hAnsi="Arabic Typesetting" w:cs="Arabic Typesetting" w:hint="cs"/>
          <w:sz w:val="34"/>
          <w:szCs w:val="34"/>
          <w:rtl/>
          <w:lang w:bidi="ar-EG"/>
        </w:rPr>
        <w:t>يُعزى الانخفاض الطفيف في موارد الموظفين مقارنة بالميزانية المعتمدة 2016/17 إلى "1" النقل المؤقت لمستشار قانوني كبير إلى البرنامج 3 (حق المؤلف والحقوق المجاورة) كما هو مبيَّن في النتيجة المرتقبة ه2.1 (المشورة التشريعية)؛ "2" وإعادة</w:t>
      </w:r>
      <w:r w:rsidR="00F54075">
        <w:rPr>
          <w:rFonts w:ascii="Arabic Typesetting" w:hAnsi="Arabic Typesetting" w:cs="Arabic Typesetting" w:hint="eastAsia"/>
          <w:sz w:val="34"/>
          <w:szCs w:val="34"/>
          <w:rtl/>
          <w:lang w:bidi="ar-EG"/>
        </w:rPr>
        <w:t> </w:t>
      </w:r>
      <w:r w:rsidR="00E91390">
        <w:rPr>
          <w:rFonts w:ascii="Arabic Typesetting" w:hAnsi="Arabic Typesetting" w:cs="Arabic Typesetting" w:hint="cs"/>
          <w:sz w:val="34"/>
          <w:szCs w:val="34"/>
          <w:rtl/>
          <w:lang w:bidi="ar-EG"/>
        </w:rPr>
        <w:t>توزيع</w:t>
      </w:r>
      <w:r>
        <w:rPr>
          <w:rFonts w:ascii="Arabic Typesetting" w:hAnsi="Arabic Typesetting" w:cs="Arabic Typesetting" w:hint="cs"/>
          <w:sz w:val="34"/>
          <w:szCs w:val="34"/>
          <w:rtl/>
          <w:lang w:bidi="ar-EG"/>
        </w:rPr>
        <w:t xml:space="preserve"> وفورات الموظفين المتراكمة في</w:t>
      </w:r>
      <w:r w:rsidR="00E91390">
        <w:rPr>
          <w:rFonts w:ascii="Arabic Typesetting" w:hAnsi="Arabic Typesetting" w:cs="Arabic Typesetting" w:hint="cs"/>
          <w:sz w:val="34"/>
          <w:szCs w:val="34"/>
          <w:rtl/>
          <w:lang w:bidi="ar-EG"/>
        </w:rPr>
        <w:t xml:space="preserve"> البرنامج على </w:t>
      </w:r>
      <w:r>
        <w:rPr>
          <w:rFonts w:ascii="Arabic Typesetting" w:hAnsi="Arabic Typesetting" w:cs="Arabic Typesetting" w:hint="cs"/>
          <w:sz w:val="34"/>
          <w:szCs w:val="34"/>
          <w:rtl/>
          <w:lang w:bidi="ar-EG"/>
        </w:rPr>
        <w:t xml:space="preserve">أولويات تنظيمية أخرى وتخصيص أموال إضافية للبرنامج من أجل تغطية وظيفة مستمرة كما هو مبيَّن في النتيجة المرتقبة ه1.1 (تعاون معزز بين الدول الأعضاء). ويعزى الانخفاض في خلاف موارد الموظفين إلى </w:t>
      </w:r>
      <w:r w:rsidR="00F54075">
        <w:rPr>
          <w:rFonts w:ascii="Arabic Typesetting" w:hAnsi="Arabic Typesetting" w:cs="Arabic Typesetting" w:hint="cs"/>
          <w:sz w:val="34"/>
          <w:szCs w:val="34"/>
          <w:rtl/>
          <w:lang w:bidi="ar-EG"/>
        </w:rPr>
        <w:t>تحويل</w:t>
      </w:r>
      <w:r>
        <w:rPr>
          <w:rFonts w:ascii="Arabic Typesetting" w:hAnsi="Arabic Typesetting" w:cs="Arabic Typesetting" w:hint="cs"/>
          <w:sz w:val="34"/>
          <w:szCs w:val="34"/>
          <w:rtl/>
          <w:lang w:bidi="ar-EG"/>
        </w:rPr>
        <w:t xml:space="preserve"> موارد </w:t>
      </w:r>
      <w:r w:rsidR="006D3799">
        <w:rPr>
          <w:rFonts w:ascii="Arabic Typesetting" w:hAnsi="Arabic Typesetting" w:cs="Arabic Typesetting" w:hint="cs"/>
          <w:sz w:val="34"/>
          <w:szCs w:val="34"/>
          <w:rtl/>
          <w:lang w:bidi="ar-EG"/>
        </w:rPr>
        <w:t>للمتدربين</w:t>
      </w:r>
      <w:r>
        <w:rPr>
          <w:rFonts w:ascii="Arabic Typesetting" w:hAnsi="Arabic Typesetting" w:cs="Arabic Typesetting" w:hint="cs"/>
          <w:sz w:val="34"/>
          <w:szCs w:val="34"/>
          <w:rtl/>
          <w:lang w:bidi="ar-EG"/>
        </w:rPr>
        <w:t xml:space="preserve"> </w:t>
      </w:r>
      <w:r w:rsidR="00441176">
        <w:rPr>
          <w:rFonts w:ascii="Arabic Typesetting" w:hAnsi="Arabic Typesetting" w:cs="Arabic Typesetting" w:hint="cs"/>
          <w:sz w:val="34"/>
          <w:szCs w:val="34"/>
          <w:rtl/>
          <w:lang w:bidi="ar-EG"/>
        </w:rPr>
        <w:t>إلى إدارة الموارد البشرية التي تتولى الإدارة المركزية للمتدربين.</w:t>
      </w:r>
    </w:p>
    <w:p w14:paraId="5D77AC82" w14:textId="77777777" w:rsidR="00BA024D" w:rsidRPr="00706F20" w:rsidRDefault="00BA024D"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 xml:space="preserve">استخدام ميزانية </w:t>
      </w:r>
      <w:r w:rsidR="00441176">
        <w:rPr>
          <w:rFonts w:ascii="Arabic Typesetting" w:hAnsi="Arabic Typesetting" w:cs="Arabic Typesetting" w:hint="cs"/>
          <w:sz w:val="34"/>
          <w:szCs w:val="34"/>
          <w:u w:val="single"/>
          <w:rtl/>
          <w:lang w:bidi="ar-EG"/>
        </w:rPr>
        <w:t>2016/17</w:t>
      </w:r>
    </w:p>
    <w:p w14:paraId="4138F206" w14:textId="05748A2A" w:rsidR="00441176" w:rsidRPr="0076593C" w:rsidRDefault="00441176" w:rsidP="0031289D">
      <w:pPr>
        <w:numPr>
          <w:ilvl w:val="1"/>
          <w:numId w:val="3"/>
        </w:numPr>
        <w:bidi/>
        <w:spacing w:after="240" w:line="360" w:lineRule="exact"/>
        <w:ind w:left="1" w:hanging="1"/>
        <w:rPr>
          <w:rFonts w:ascii="Arabic Typesetting" w:hAnsi="Arabic Typesetting" w:cs="Arabic Typesetting"/>
          <w:sz w:val="34"/>
          <w:szCs w:val="34"/>
        </w:rPr>
      </w:pPr>
      <w:r w:rsidRPr="00F54075">
        <w:rPr>
          <w:rFonts w:ascii="Arabic Typesetting" w:hAnsi="Arabic Typesetting" w:cs="Arabic Typesetting" w:hint="cs"/>
          <w:sz w:val="34"/>
          <w:szCs w:val="34"/>
          <w:rtl/>
        </w:rPr>
        <w:t xml:space="preserve">كانت نسبة استخدام الميزانية </w:t>
      </w:r>
      <w:r w:rsidR="005606B9" w:rsidRPr="00F54075">
        <w:rPr>
          <w:rFonts w:ascii="Arabic Typesetting" w:hAnsi="Arabic Typesetting" w:cs="Arabic Typesetting" w:hint="cs"/>
          <w:sz w:val="34"/>
          <w:szCs w:val="34"/>
          <w:rtl/>
        </w:rPr>
        <w:t>ضمن</w:t>
      </w:r>
      <w:r w:rsidRPr="00F54075">
        <w:rPr>
          <w:rFonts w:ascii="Arabic Typesetting" w:hAnsi="Arabic Typesetting" w:cs="Arabic Typesetting" w:hint="cs"/>
          <w:sz w:val="34"/>
          <w:szCs w:val="34"/>
          <w:rtl/>
        </w:rPr>
        <w:t xml:space="preserve"> النطاق المتوقع المتراوح بين 40 و60 بالمئة للسنة الأولى من الثنائية.</w:t>
      </w:r>
    </w:p>
    <w:p w14:paraId="498C8DAD" w14:textId="77777777" w:rsidR="00AE137A" w:rsidRPr="000B74B5" w:rsidRDefault="00AE137A" w:rsidP="00DA7DF7">
      <w:pPr>
        <w:pStyle w:val="Heading3"/>
        <w:ind w:left="1984" w:hanging="1984"/>
        <w:rPr>
          <w:lang w:val="en-US"/>
        </w:rPr>
      </w:pPr>
      <w:bookmarkStart w:id="13" w:name="_Toc482782741"/>
      <w:r w:rsidRPr="009F0B4E">
        <w:rPr>
          <w:rtl/>
        </w:rPr>
        <w:lastRenderedPageBreak/>
        <w:t>البرنامج</w:t>
      </w:r>
      <w:r w:rsidRPr="009F0B4E">
        <w:rPr>
          <w:rFonts w:hint="cs"/>
          <w:rtl/>
        </w:rPr>
        <w:t xml:space="preserve"> 2:</w:t>
      </w:r>
      <w:r w:rsidRPr="000B74B5">
        <w:rPr>
          <w:lang w:val="en-US"/>
        </w:rPr>
        <w:tab/>
      </w:r>
      <w:r w:rsidRPr="009F0B4E">
        <w:rPr>
          <w:rtl/>
        </w:rPr>
        <w:t>العلامات التجارية</w:t>
      </w:r>
      <w:r w:rsidRPr="009F0B4E">
        <w:rPr>
          <w:rFonts w:hint="cs"/>
          <w:rtl/>
        </w:rPr>
        <w:t xml:space="preserve"> والتصاميم</w:t>
      </w:r>
      <w:r w:rsidRPr="009F0B4E">
        <w:rPr>
          <w:rtl/>
        </w:rPr>
        <w:t xml:space="preserve"> الصناعية و</w:t>
      </w:r>
      <w:r w:rsidRPr="009F0B4E">
        <w:rPr>
          <w:rFonts w:hint="cs"/>
          <w:rtl/>
        </w:rPr>
        <w:t>المؤشرات الجغرافية</w:t>
      </w:r>
      <w:bookmarkEnd w:id="13"/>
    </w:p>
    <w:p w14:paraId="3023F486" w14:textId="77777777" w:rsidR="00AE137A" w:rsidRDefault="00AE137A"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w:t>
      </w:r>
      <w:r>
        <w:rPr>
          <w:rFonts w:ascii="Arabic Typesetting" w:hAnsi="Arabic Typesetting" w:cs="Arabic Typesetting" w:hint="cs"/>
          <w:b/>
          <w:bCs/>
          <w:sz w:val="36"/>
          <w:szCs w:val="36"/>
          <w:rtl/>
          <w:lang w:val="fr-CH"/>
        </w:rPr>
        <w:t>ة</w:t>
      </w:r>
      <w:r w:rsidRPr="00FE3908">
        <w:rPr>
          <w:rFonts w:ascii="Arabic Typesetting" w:hAnsi="Arabic Typesetting" w:cs="Arabic Typesetting"/>
          <w:b/>
          <w:bCs/>
          <w:sz w:val="36"/>
          <w:szCs w:val="36"/>
          <w:rtl/>
          <w:lang w:val="fr-CH"/>
        </w:rPr>
        <w:t xml:space="preserve"> عن البرنامج</w:t>
      </w:r>
      <w:r w:rsidRPr="00FE3908">
        <w:rPr>
          <w:rFonts w:ascii="Arabic Typesetting" w:hAnsi="Arabic Typesetting" w:cs="Arabic Typesetting" w:hint="cs"/>
          <w:b/>
          <w:bCs/>
          <w:sz w:val="36"/>
          <w:szCs w:val="36"/>
          <w:rtl/>
          <w:lang w:val="fr-CH"/>
        </w:rPr>
        <w:t>:</w:t>
      </w:r>
      <w:r w:rsidRPr="000B74B5">
        <w:rPr>
          <w:rFonts w:ascii="Arabic Typesetting" w:hAnsi="Arabic Typesetting" w:cs="Arabic Typesetting"/>
          <w:b/>
          <w:bCs/>
          <w:sz w:val="36"/>
          <w:szCs w:val="36"/>
        </w:rPr>
        <w:tab/>
      </w:r>
      <w:r w:rsidRPr="0073396D">
        <w:rPr>
          <w:rFonts w:ascii="Arabic Typesetting" w:hAnsi="Arabic Typesetting" w:cs="Arabic Typesetting"/>
          <w:b/>
          <w:bCs/>
          <w:sz w:val="36"/>
          <w:szCs w:val="36"/>
          <w:rtl/>
          <w:lang w:val="fr-CH"/>
        </w:rPr>
        <w:t>السيدة بينينغ وانغ</w:t>
      </w:r>
    </w:p>
    <w:p w14:paraId="6E6887E0" w14:textId="0230F3C9" w:rsidR="00AE137A" w:rsidRDefault="007B75FB"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4BF91A4E" wp14:editId="580964C9">
            <wp:extent cx="3576500" cy="216000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6500" cy="2160000"/>
                    </a:xfrm>
                    <a:prstGeom prst="rect">
                      <a:avLst/>
                    </a:prstGeom>
                    <a:noFill/>
                  </pic:spPr>
                </pic:pic>
              </a:graphicData>
            </a:graphic>
          </wp:inline>
        </w:drawing>
      </w:r>
    </w:p>
    <w:tbl>
      <w:tblPr>
        <w:bidiVisual/>
        <w:tblW w:w="5000" w:type="pct"/>
        <w:tblLook w:val="0000" w:firstRow="0" w:lastRow="0" w:firstColumn="0" w:lastColumn="0" w:noHBand="0" w:noVBand="0"/>
      </w:tblPr>
      <w:tblGrid>
        <w:gridCol w:w="1890"/>
        <w:gridCol w:w="2950"/>
        <w:gridCol w:w="972"/>
        <w:gridCol w:w="3053"/>
        <w:gridCol w:w="706"/>
      </w:tblGrid>
      <w:tr w:rsidR="00AE137A" w:rsidRPr="000C0B35" w14:paraId="79480BD3" w14:textId="77777777" w:rsidTr="00BB3820">
        <w:trPr>
          <w:cantSplit/>
          <w:trHeight w:val="68"/>
        </w:trPr>
        <w:tc>
          <w:tcPr>
            <w:tcW w:w="5000" w:type="pct"/>
            <w:gridSpan w:val="5"/>
            <w:shd w:val="clear" w:color="auto" w:fill="C6D9F1" w:themeFill="text2" w:themeFillTint="33"/>
            <w:tcMar>
              <w:top w:w="0" w:type="dxa"/>
            </w:tcMar>
            <w:vAlign w:val="center"/>
          </w:tcPr>
          <w:p w14:paraId="3B319C5A" w14:textId="77777777" w:rsidR="00AE137A" w:rsidRPr="000C0B35" w:rsidRDefault="00AE137A" w:rsidP="0031289D">
            <w:pPr>
              <w:keepNext/>
              <w:bidi/>
              <w:spacing w:before="60" w:after="60" w:line="280" w:lineRule="exact"/>
              <w:ind w:left="1168" w:hanging="1168"/>
              <w:rPr>
                <w:rFonts w:ascii="Arabic Typesetting" w:hAnsi="Arabic Typesetting" w:cs="Arabic Typesetting"/>
                <w:b/>
                <w:bCs/>
                <w:sz w:val="28"/>
                <w:szCs w:val="28"/>
                <w:lang w:bidi="ar-EG"/>
              </w:rPr>
            </w:pPr>
            <w:r w:rsidRPr="000C0B35">
              <w:rPr>
                <w:rFonts w:ascii="Arabic Typesetting" w:hAnsi="Arabic Typesetting" w:cs="Arabic Typesetting"/>
                <w:b/>
                <w:bCs/>
                <w:sz w:val="28"/>
                <w:szCs w:val="28"/>
                <w:rtl/>
                <w:lang w:bidi="ar-EG"/>
              </w:rPr>
              <w:t xml:space="preserve">النتيجة المرتقبة: </w:t>
            </w:r>
            <w:r w:rsidRPr="000C0B35">
              <w:rPr>
                <w:rFonts w:ascii="Arabic Typesetting" w:hAnsi="Arabic Typesetting" w:cs="Arabic Typesetting"/>
                <w:sz w:val="28"/>
                <w:szCs w:val="28"/>
                <w:rtl/>
                <w:lang w:bidi="ar-EG"/>
              </w:rPr>
              <w:tab/>
              <w:t>ه1.1 تعاون معزز بين الدول الأعضاء في تطوير أطر معيارية دولية متوازنة للملكية</w:t>
            </w:r>
            <w:r>
              <w:rPr>
                <w:rFonts w:ascii="Arabic Typesetting" w:hAnsi="Arabic Typesetting" w:cs="Arabic Typesetting" w:hint="cs"/>
                <w:sz w:val="28"/>
                <w:szCs w:val="28"/>
                <w:rtl/>
                <w:lang w:bidi="ar-EG"/>
              </w:rPr>
              <w:t xml:space="preserve"> </w:t>
            </w:r>
            <w:r w:rsidRPr="000C0B35">
              <w:rPr>
                <w:rFonts w:ascii="Arabic Typesetting" w:hAnsi="Arabic Typesetting" w:cs="Arabic Typesetting"/>
                <w:sz w:val="28"/>
                <w:szCs w:val="28"/>
                <w:rtl/>
                <w:lang w:bidi="ar-EG"/>
              </w:rPr>
              <w:t>الفكرية</w:t>
            </w:r>
          </w:p>
        </w:tc>
      </w:tr>
      <w:tr w:rsidR="00AE137A" w:rsidRPr="000C0B35" w14:paraId="2E665984" w14:textId="77777777" w:rsidTr="00BB3820">
        <w:trPr>
          <w:cantSplit/>
          <w:trHeight w:val="150"/>
        </w:trPr>
        <w:tc>
          <w:tcPr>
            <w:tcW w:w="987" w:type="pct"/>
            <w:tcMar>
              <w:top w:w="110" w:type="dxa"/>
            </w:tcMar>
          </w:tcPr>
          <w:p w14:paraId="5BFA8367"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مؤشرات الأداء</w:t>
            </w:r>
          </w:p>
        </w:tc>
        <w:tc>
          <w:tcPr>
            <w:tcW w:w="1541" w:type="pct"/>
            <w:shd w:val="clear" w:color="auto" w:fill="FFFFFF" w:themeFill="background1"/>
            <w:tcMar>
              <w:top w:w="110" w:type="dxa"/>
            </w:tcMar>
          </w:tcPr>
          <w:p w14:paraId="348FFA09" w14:textId="77777777" w:rsidR="00AE137A" w:rsidRPr="000C0B35" w:rsidRDefault="00AE137A" w:rsidP="0031289D">
            <w:pPr>
              <w:keepNext/>
              <w:bidi/>
              <w:spacing w:before="60" w:after="60" w:line="280" w:lineRule="exact"/>
              <w:rPr>
                <w:rFonts w:ascii="Arabic Typesetting" w:hAnsi="Arabic Typesetting" w:cs="Arabic Typesetting"/>
                <w:bCs/>
                <w:sz w:val="28"/>
                <w:szCs w:val="28"/>
                <w:rtl/>
                <w:lang w:bidi="ar-EG"/>
              </w:rPr>
            </w:pPr>
            <w:r w:rsidRPr="000C0B35">
              <w:rPr>
                <w:rFonts w:ascii="Arabic Typesetting" w:hAnsi="Arabic Typesetting" w:cs="Arabic Typesetting"/>
                <w:bCs/>
                <w:sz w:val="28"/>
                <w:szCs w:val="28"/>
                <w:rtl/>
                <w:lang w:bidi="ar-EG"/>
              </w:rPr>
              <w:t>أسس المقارنة</w:t>
            </w:r>
          </w:p>
        </w:tc>
        <w:tc>
          <w:tcPr>
            <w:tcW w:w="508" w:type="pct"/>
          </w:tcPr>
          <w:p w14:paraId="1277E92A"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الأهداف</w:t>
            </w:r>
          </w:p>
        </w:tc>
        <w:tc>
          <w:tcPr>
            <w:tcW w:w="1595" w:type="pct"/>
            <w:tcMar>
              <w:top w:w="110" w:type="dxa"/>
            </w:tcMar>
          </w:tcPr>
          <w:p w14:paraId="1D38A516"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بيانات الأداء</w:t>
            </w:r>
          </w:p>
        </w:tc>
        <w:tc>
          <w:tcPr>
            <w:tcW w:w="369" w:type="pct"/>
            <w:tcMar>
              <w:top w:w="110" w:type="dxa"/>
            </w:tcMar>
          </w:tcPr>
          <w:p w14:paraId="2121F2A5"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السير</w:t>
            </w:r>
          </w:p>
        </w:tc>
      </w:tr>
      <w:tr w:rsidR="00AE137A" w:rsidRPr="000C0B35" w14:paraId="03DAC346" w14:textId="77777777" w:rsidTr="00BB3820">
        <w:trPr>
          <w:cantSplit/>
          <w:trHeight w:val="20"/>
        </w:trPr>
        <w:tc>
          <w:tcPr>
            <w:tcW w:w="987" w:type="pct"/>
            <w:tcMar>
              <w:top w:w="110" w:type="dxa"/>
            </w:tcMar>
          </w:tcPr>
          <w:p w14:paraId="2784F1EC" w14:textId="77777777" w:rsidR="00AE137A" w:rsidRPr="000C0B35" w:rsidRDefault="00AE137A" w:rsidP="0031289D">
            <w:pPr>
              <w:bidi/>
              <w:spacing w:before="60" w:after="60" w:line="300" w:lineRule="exact"/>
              <w:rPr>
                <w:rFonts w:ascii="Arabic Typesetting" w:hAnsi="Arabic Typesetting" w:cs="Arabic Typesetting"/>
                <w:b/>
                <w:sz w:val="28"/>
                <w:szCs w:val="28"/>
                <w:rtl/>
                <w:lang w:bidi="ar-EG"/>
              </w:rPr>
            </w:pPr>
            <w:r w:rsidRPr="000C0B35">
              <w:rPr>
                <w:rFonts w:ascii="Arabic Typesetting" w:hAnsi="Arabic Typesetting" w:cs="Arabic Typesetting"/>
                <w:b/>
                <w:sz w:val="28"/>
                <w:szCs w:val="28"/>
                <w:rtl/>
                <w:lang w:bidi="ar-EG"/>
              </w:rPr>
              <w:t>التقدم المحرز نحو الاتفاق على القضايا المدرجة حاليا في جدول أعمال لجنة العلامات</w:t>
            </w:r>
          </w:p>
        </w:tc>
        <w:tc>
          <w:tcPr>
            <w:tcW w:w="1541" w:type="pct"/>
            <w:shd w:val="clear" w:color="auto" w:fill="auto"/>
            <w:tcMar>
              <w:top w:w="110" w:type="dxa"/>
            </w:tcMar>
          </w:tcPr>
          <w:p w14:paraId="24665838" w14:textId="77777777" w:rsidR="004F52D2" w:rsidRDefault="00AE137A" w:rsidP="0031289D">
            <w:pPr>
              <w:bidi/>
              <w:spacing w:before="60" w:after="60" w:line="300" w:lineRule="exact"/>
              <w:ind w:right="34"/>
              <w:rPr>
                <w:rFonts w:ascii="Arabic Typesetting" w:hAnsi="Arabic Typesetting" w:cs="Arabic Typesetting"/>
                <w:b/>
                <w:color w:val="002060"/>
                <w:sz w:val="28"/>
                <w:szCs w:val="28"/>
                <w:rtl/>
                <w:lang w:bidi="ar-EG"/>
              </w:rPr>
            </w:pPr>
            <w:r>
              <w:rPr>
                <w:rFonts w:ascii="Arabic Typesetting" w:hAnsi="Arabic Typesetting" w:cs="Arabic Typesetting"/>
                <w:b/>
                <w:i/>
                <w:iCs/>
                <w:color w:val="002060"/>
                <w:sz w:val="28"/>
                <w:szCs w:val="28"/>
                <w:rtl/>
                <w:lang w:bidi="ar-EG"/>
              </w:rPr>
              <w:t>أساس المقارنة المحدّث</w:t>
            </w:r>
            <w:r w:rsidRPr="000C0B35">
              <w:rPr>
                <w:rFonts w:ascii="Arabic Typesetting" w:hAnsi="Arabic Typesetting" w:cs="Arabic Typesetting"/>
                <w:b/>
                <w:i/>
                <w:iCs/>
                <w:color w:val="002060"/>
                <w:sz w:val="28"/>
                <w:szCs w:val="28"/>
                <w:rtl/>
                <w:lang w:bidi="ar-EG"/>
              </w:rPr>
              <w:t xml:space="preserve"> في نهاية 2015:</w:t>
            </w:r>
            <w:r w:rsidRPr="000C0B35">
              <w:rPr>
                <w:rFonts w:ascii="Arabic Typesetting" w:hAnsi="Arabic Typesetting" w:cs="Arabic Typesetting"/>
                <w:b/>
                <w:color w:val="002060"/>
                <w:sz w:val="28"/>
                <w:szCs w:val="28"/>
                <w:rtl/>
                <w:lang w:bidi="ar-EG"/>
              </w:rPr>
              <w:t xml:space="preserve"> </w:t>
            </w:r>
          </w:p>
          <w:p w14:paraId="3241C3D3" w14:textId="05532002" w:rsidR="00AE137A" w:rsidRPr="000C0B35" w:rsidRDefault="00AE137A" w:rsidP="0031289D">
            <w:pPr>
              <w:bidi/>
              <w:spacing w:before="60" w:after="120" w:line="300" w:lineRule="exact"/>
              <w:ind w:right="34"/>
              <w:rPr>
                <w:rFonts w:ascii="Arabic Typesetting" w:hAnsi="Arabic Typesetting" w:cs="Arabic Typesetting"/>
                <w:color w:val="002060"/>
                <w:sz w:val="28"/>
                <w:szCs w:val="28"/>
                <w:rtl/>
                <w:lang w:bidi="ar-EG"/>
              </w:rPr>
            </w:pPr>
            <w:r w:rsidRPr="000C0B35">
              <w:rPr>
                <w:rFonts w:ascii="Arabic Typesetting" w:hAnsi="Arabic Typesetting" w:cs="Arabic Typesetting"/>
                <w:b/>
                <w:color w:val="002060"/>
                <w:sz w:val="28"/>
                <w:szCs w:val="28"/>
                <w:rtl/>
                <w:lang w:bidi="ar-EG"/>
              </w:rPr>
              <w:t xml:space="preserve">حالة التقدم في عمل لجنة العلامات في نهاية 2015 وفقاً </w:t>
            </w:r>
            <w:r w:rsidRPr="000C0B35">
              <w:rPr>
                <w:rFonts w:ascii="Arabic Typesetting" w:hAnsi="Arabic Typesetting" w:cs="Arabic Typesetting"/>
                <w:color w:val="002060"/>
                <w:sz w:val="28"/>
                <w:szCs w:val="28"/>
                <w:rtl/>
                <w:lang w:bidi="ar-EG"/>
              </w:rPr>
              <w:t xml:space="preserve">للوثيقة </w:t>
            </w:r>
            <w:r w:rsidRPr="000C0B35">
              <w:rPr>
                <w:rFonts w:ascii="Arabic Typesetting" w:hAnsi="Arabic Typesetting" w:cs="Arabic Typesetting"/>
                <w:color w:val="002060"/>
                <w:sz w:val="28"/>
                <w:szCs w:val="28"/>
                <w:lang w:bidi="ar-EG"/>
              </w:rPr>
              <w:t>SCT/34/7</w:t>
            </w:r>
          </w:p>
          <w:p w14:paraId="49D15B24" w14:textId="77777777" w:rsidR="004F52D2" w:rsidRDefault="00AE137A" w:rsidP="0031289D">
            <w:pPr>
              <w:bidi/>
              <w:spacing w:before="60" w:line="300" w:lineRule="exact"/>
              <w:ind w:right="34"/>
              <w:rPr>
                <w:rFonts w:ascii="Arabic Typesetting" w:hAnsi="Arabic Typesetting" w:cs="Arabic Typesetting"/>
                <w:b/>
                <w:sz w:val="28"/>
                <w:szCs w:val="28"/>
                <w:rtl/>
                <w:lang w:bidi="ar-EG"/>
              </w:rPr>
            </w:pPr>
            <w:r>
              <w:rPr>
                <w:rFonts w:ascii="Arabic Typesetting" w:hAnsi="Arabic Typesetting" w:cs="Arabic Typesetting"/>
                <w:b/>
                <w:i/>
                <w:iCs/>
                <w:sz w:val="28"/>
                <w:szCs w:val="28"/>
                <w:rtl/>
                <w:lang w:bidi="ar-EG"/>
              </w:rPr>
              <w:t>أساس المقارنة الأصلي</w:t>
            </w:r>
            <w:r w:rsidRPr="000C0B35">
              <w:rPr>
                <w:rFonts w:ascii="Arabic Typesetting" w:hAnsi="Arabic Typesetting" w:cs="Arabic Typesetting"/>
                <w:b/>
                <w:i/>
                <w:iCs/>
                <w:sz w:val="28"/>
                <w:szCs w:val="28"/>
                <w:rtl/>
                <w:lang w:bidi="ar-EG"/>
              </w:rPr>
              <w:t>:</w:t>
            </w:r>
          </w:p>
          <w:p w14:paraId="73E44648" w14:textId="77777777" w:rsidR="004F52D2" w:rsidRDefault="00AE137A" w:rsidP="0031289D">
            <w:pPr>
              <w:bidi/>
              <w:spacing w:line="300" w:lineRule="exact"/>
              <w:ind w:right="34"/>
              <w:rPr>
                <w:rFonts w:ascii="Arabic Typesetting" w:hAnsi="Arabic Typesetting" w:cs="Arabic Typesetting"/>
                <w:b/>
                <w:i/>
                <w:iCs/>
                <w:sz w:val="28"/>
                <w:szCs w:val="28"/>
                <w:rtl/>
                <w:lang w:bidi="ar-EG"/>
              </w:rPr>
            </w:pPr>
            <w:r w:rsidRPr="000C0B35">
              <w:rPr>
                <w:rFonts w:ascii="Arabic Typesetting" w:hAnsi="Arabic Typesetting" w:cs="Arabic Typesetting"/>
                <w:b/>
                <w:i/>
                <w:iCs/>
                <w:sz w:val="28"/>
                <w:szCs w:val="28"/>
                <w:rtl/>
                <w:lang w:bidi="ar-EG"/>
              </w:rPr>
              <w:t>برنامج وميزانية 2016/17:</w:t>
            </w:r>
          </w:p>
          <w:p w14:paraId="20024E5F" w14:textId="176934FD" w:rsidR="00AE137A" w:rsidRPr="000C0B35" w:rsidRDefault="00AE137A" w:rsidP="0031289D">
            <w:pPr>
              <w:bidi/>
              <w:spacing w:after="60" w:line="300" w:lineRule="exact"/>
              <w:ind w:right="34"/>
              <w:rPr>
                <w:rFonts w:ascii="Arabic Typesetting" w:hAnsi="Arabic Typesetting" w:cs="Arabic Typesetting"/>
                <w:b/>
                <w:sz w:val="28"/>
                <w:szCs w:val="28"/>
                <w:rtl/>
                <w:lang w:bidi="ar-EG"/>
              </w:rPr>
            </w:pPr>
            <w:r w:rsidRPr="000C0B35">
              <w:rPr>
                <w:rFonts w:ascii="Arabic Typesetting" w:hAnsi="Arabic Typesetting" w:cs="Arabic Typesetting"/>
                <w:b/>
                <w:sz w:val="28"/>
                <w:szCs w:val="28"/>
                <w:rtl/>
                <w:lang w:bidi="ar-EG"/>
              </w:rPr>
              <w:t>حالة التقدم في عمل لجنة العلامات في نهاية 2015 وفقاً لوثائق العمل المعنية</w:t>
            </w:r>
          </w:p>
        </w:tc>
        <w:tc>
          <w:tcPr>
            <w:tcW w:w="508" w:type="pct"/>
          </w:tcPr>
          <w:p w14:paraId="13854863" w14:textId="77777777" w:rsidR="00AE137A" w:rsidRPr="000C0B35" w:rsidRDefault="00AE137A" w:rsidP="0031289D">
            <w:pPr>
              <w:bidi/>
              <w:spacing w:before="60" w:after="60" w:line="300" w:lineRule="exact"/>
              <w:rPr>
                <w:rFonts w:ascii="Arabic Typesetting" w:hAnsi="Arabic Typesetting" w:cs="Arabic Typesetting"/>
                <w:sz w:val="28"/>
                <w:szCs w:val="28"/>
                <w:rtl/>
                <w:lang w:bidi="ar-EG"/>
              </w:rPr>
            </w:pPr>
            <w:r w:rsidRPr="000C0B35">
              <w:rPr>
                <w:rFonts w:ascii="Arabic Typesetting" w:hAnsi="Arabic Typesetting" w:cs="Arabic Typesetting"/>
                <w:sz w:val="28"/>
                <w:szCs w:val="28"/>
                <w:rtl/>
                <w:lang w:bidi="ar-EG"/>
              </w:rPr>
              <w:t>نتائج اللجنة المتفق عليها</w:t>
            </w:r>
          </w:p>
        </w:tc>
        <w:tc>
          <w:tcPr>
            <w:tcW w:w="1595" w:type="pct"/>
            <w:tcMar>
              <w:top w:w="110" w:type="dxa"/>
            </w:tcMar>
          </w:tcPr>
          <w:p w14:paraId="7B36C871" w14:textId="77777777" w:rsidR="00AE137A" w:rsidRPr="000C0B35" w:rsidRDefault="00AE137A" w:rsidP="0031289D">
            <w:pPr>
              <w:bidi/>
              <w:spacing w:before="60" w:after="60" w:line="300" w:lineRule="exact"/>
              <w:rPr>
                <w:rFonts w:ascii="Arabic Typesetting" w:hAnsi="Arabic Typesetting" w:cs="Arabic Typesetting"/>
                <w:sz w:val="28"/>
                <w:szCs w:val="28"/>
                <w:rtl/>
                <w:lang w:bidi="ar-EG"/>
              </w:rPr>
            </w:pPr>
            <w:r w:rsidRPr="000C0B35">
              <w:rPr>
                <w:rFonts w:ascii="Arabic Typesetting" w:hAnsi="Arabic Typesetting" w:cs="Arabic Typesetting"/>
                <w:sz w:val="28"/>
                <w:szCs w:val="28"/>
                <w:rtl/>
                <w:lang w:bidi="ar-EG"/>
              </w:rPr>
              <w:t>إن الجمعية العامة للويبو 2016 قرّرت أنها "ستواصل، في دورتها المقبلة في أكتوبر 2017، النظر في الدعوة إلى عقد مؤتمر دبلوماسي بشأن معاهدة قانون التصاميم، يُنظَّم في نهاية النصف الأول من سنة 2018". (الوثيقة </w:t>
            </w:r>
            <w:r w:rsidRPr="000C0B35">
              <w:rPr>
                <w:rFonts w:ascii="Arabic Typesetting" w:hAnsi="Arabic Typesetting" w:cs="Arabic Typesetting"/>
                <w:sz w:val="28"/>
                <w:szCs w:val="28"/>
                <w:lang w:bidi="ar-EG"/>
              </w:rPr>
              <w:t>A/56/16 ADD.4</w:t>
            </w:r>
            <w:r w:rsidRPr="000C0B35">
              <w:rPr>
                <w:rFonts w:ascii="Arabic Typesetting" w:hAnsi="Arabic Typesetting" w:cs="Arabic Typesetting"/>
                <w:sz w:val="28"/>
                <w:szCs w:val="28"/>
                <w:rtl/>
                <w:lang w:bidi="ar-EG"/>
              </w:rPr>
              <w:t>)</w:t>
            </w:r>
            <w:r w:rsidRPr="000C0B35">
              <w:rPr>
                <w:rStyle w:val="FootnoteReference"/>
                <w:lang w:bidi="ar-EG"/>
              </w:rPr>
              <w:footnoteReference w:id="11"/>
            </w:r>
          </w:p>
          <w:p w14:paraId="7FB48604" w14:textId="77777777" w:rsidR="00AE137A" w:rsidRPr="000C0B35" w:rsidRDefault="00AE137A" w:rsidP="0031289D">
            <w:pPr>
              <w:bidi/>
              <w:spacing w:before="60" w:after="60" w:line="30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و</w:t>
            </w:r>
            <w:r w:rsidRPr="000C0B35">
              <w:rPr>
                <w:rFonts w:ascii="Arabic Typesetting" w:hAnsi="Arabic Typesetting" w:cs="Arabic Typesetting"/>
                <w:sz w:val="28"/>
                <w:szCs w:val="28"/>
                <w:rtl/>
                <w:lang w:bidi="ar-EG"/>
              </w:rPr>
              <w:t>قامت لجنة العلامات بما يلي في دورتها السادسة والثلاثين:</w:t>
            </w:r>
          </w:p>
          <w:p w14:paraId="4B86481B" w14:textId="77777777" w:rsidR="00AE137A" w:rsidRPr="000C0B35" w:rsidRDefault="00AE137A" w:rsidP="0031289D">
            <w:pPr>
              <w:pStyle w:val="ListParagraph"/>
              <w:numPr>
                <w:ilvl w:val="0"/>
                <w:numId w:val="4"/>
              </w:numPr>
              <w:bidi/>
              <w:spacing w:before="60" w:after="60" w:line="300" w:lineRule="exact"/>
              <w:ind w:left="284" w:hanging="284"/>
              <w:rPr>
                <w:rFonts w:ascii="Arabic Typesetting" w:hAnsi="Arabic Typesetting" w:cs="Arabic Typesetting"/>
                <w:sz w:val="28"/>
                <w:szCs w:val="28"/>
                <w:lang w:bidi="ar-EG"/>
              </w:rPr>
            </w:pPr>
            <w:r w:rsidRPr="000C0B35">
              <w:rPr>
                <w:rFonts w:ascii="Arabic Typesetting" w:hAnsi="Arabic Typesetting" w:cs="Arabic Typesetting"/>
                <w:sz w:val="28"/>
                <w:szCs w:val="28"/>
                <w:rtl/>
                <w:lang w:bidi="ar-EG"/>
              </w:rPr>
              <w:t>نظرت في تجميع لردود استبيان بشأن تصاميم واجهات المستخدم المصورة والأيقونات والمحارف/الخطوط (الوثيقة </w:t>
            </w:r>
            <w:r w:rsidRPr="000C0B35">
              <w:rPr>
                <w:rFonts w:ascii="Arabic Typesetting" w:hAnsi="Arabic Typesetting" w:cs="Arabic Typesetting"/>
                <w:sz w:val="28"/>
                <w:szCs w:val="28"/>
                <w:lang w:bidi="ar-EG"/>
              </w:rPr>
              <w:t>SCT/36/2 REV</w:t>
            </w:r>
            <w:r w:rsidRPr="000C0B35">
              <w:rPr>
                <w:rFonts w:ascii="Arabic Typesetting" w:hAnsi="Arabic Typesetting" w:cs="Arabic Typesetting"/>
                <w:sz w:val="28"/>
                <w:szCs w:val="28"/>
                <w:rtl/>
                <w:lang w:bidi="ar-EG"/>
              </w:rPr>
              <w:t>)</w:t>
            </w:r>
            <w:r w:rsidRPr="000C0B35">
              <w:rPr>
                <w:rStyle w:val="FootnoteReference"/>
                <w:rtl/>
                <w:lang w:bidi="ar-EG"/>
              </w:rPr>
              <w:footnoteReference w:id="12"/>
            </w:r>
            <w:r w:rsidRPr="000C0B35">
              <w:rPr>
                <w:rFonts w:ascii="Arabic Typesetting" w:hAnsi="Arabic Typesetting" w:cs="Arabic Typesetting"/>
                <w:sz w:val="28"/>
                <w:szCs w:val="28"/>
                <w:rtl/>
                <w:lang w:bidi="ar-EG"/>
              </w:rPr>
              <w:t>؛</w:t>
            </w:r>
          </w:p>
          <w:p w14:paraId="79890900" w14:textId="77777777" w:rsidR="00AE137A" w:rsidRPr="000C0B35" w:rsidRDefault="00AE137A" w:rsidP="0031289D">
            <w:pPr>
              <w:pStyle w:val="ListParagraph"/>
              <w:numPr>
                <w:ilvl w:val="0"/>
                <w:numId w:val="4"/>
              </w:numPr>
              <w:bidi/>
              <w:spacing w:before="60" w:after="60" w:line="300" w:lineRule="exact"/>
              <w:ind w:left="284" w:hanging="284"/>
              <w:rPr>
                <w:rFonts w:ascii="Arabic Typesetting" w:hAnsi="Arabic Typesetting" w:cs="Arabic Typesetting"/>
                <w:sz w:val="28"/>
                <w:szCs w:val="28"/>
                <w:lang w:bidi="ar-EG"/>
              </w:rPr>
            </w:pPr>
            <w:r w:rsidRPr="000C0B35">
              <w:rPr>
                <w:rFonts w:ascii="Arabic Typesetting" w:hAnsi="Arabic Typesetting" w:cs="Arabic Typesetting"/>
                <w:sz w:val="28"/>
                <w:szCs w:val="28"/>
                <w:rtl/>
                <w:lang w:bidi="ar-EG"/>
              </w:rPr>
              <w:t>ونظرت في مجالات التوافق الممكنة بشأن حماية أسماء البلدان من تسجيلها واستخدامها كعلامات تجارية (الوثيقة</w:t>
            </w:r>
            <w:r>
              <w:rPr>
                <w:rFonts w:ascii="Arabic Typesetting" w:hAnsi="Arabic Typesetting" w:cs="Arabic Typesetting" w:hint="cs"/>
                <w:sz w:val="28"/>
                <w:szCs w:val="28"/>
                <w:rtl/>
                <w:lang w:bidi="ar-EG"/>
              </w:rPr>
              <w:t> </w:t>
            </w:r>
            <w:r w:rsidRPr="000C0B35">
              <w:rPr>
                <w:rFonts w:ascii="Arabic Typesetting" w:hAnsi="Arabic Typesetting" w:cs="Arabic Typesetting"/>
                <w:sz w:val="28"/>
                <w:szCs w:val="28"/>
                <w:lang w:bidi="ar-EG"/>
              </w:rPr>
              <w:t>SCT/35/4</w:t>
            </w:r>
            <w:r w:rsidRPr="000C0B35">
              <w:rPr>
                <w:rFonts w:ascii="Arabic Typesetting" w:hAnsi="Arabic Typesetting" w:cs="Arabic Typesetting"/>
                <w:sz w:val="28"/>
                <w:szCs w:val="28"/>
                <w:rtl/>
                <w:lang w:bidi="ar-EG"/>
              </w:rPr>
              <w:t>)</w:t>
            </w:r>
            <w:r w:rsidRPr="000C0B35">
              <w:rPr>
                <w:rStyle w:val="FootnoteReference"/>
                <w:rtl/>
                <w:lang w:bidi="ar-EG"/>
              </w:rPr>
              <w:footnoteReference w:id="13"/>
            </w:r>
            <w:r w:rsidRPr="000C0B35">
              <w:rPr>
                <w:rFonts w:ascii="Arabic Typesetting" w:hAnsi="Arabic Typesetting" w:cs="Arabic Typesetting"/>
                <w:sz w:val="28"/>
                <w:szCs w:val="28"/>
                <w:rtl/>
                <w:lang w:bidi="ar-EG"/>
              </w:rPr>
              <w:t>؛</w:t>
            </w:r>
          </w:p>
          <w:p w14:paraId="192B32FF" w14:textId="77777777" w:rsidR="00AE137A" w:rsidRPr="000C0B35" w:rsidRDefault="00AE137A" w:rsidP="0031289D">
            <w:pPr>
              <w:pStyle w:val="ListParagraph"/>
              <w:numPr>
                <w:ilvl w:val="0"/>
                <w:numId w:val="4"/>
              </w:numPr>
              <w:bidi/>
              <w:spacing w:before="60" w:after="60" w:line="300" w:lineRule="exact"/>
              <w:ind w:left="284" w:hanging="284"/>
              <w:rPr>
                <w:rFonts w:ascii="Arabic Typesetting" w:hAnsi="Arabic Typesetting" w:cs="Arabic Typesetting"/>
                <w:sz w:val="28"/>
                <w:szCs w:val="28"/>
                <w:rtl/>
                <w:lang w:bidi="ar-EG"/>
              </w:rPr>
            </w:pPr>
            <w:r w:rsidRPr="000C0B35">
              <w:rPr>
                <w:rFonts w:ascii="Arabic Typesetting" w:hAnsi="Arabic Typesetting" w:cs="Arabic Typesetting"/>
                <w:sz w:val="28"/>
                <w:szCs w:val="28"/>
                <w:rtl/>
                <w:lang w:bidi="ar-EG"/>
              </w:rPr>
              <w:t>وقررت عقد جلسة إعلامية بشأن المؤشرات الجغرافية إبّان دورتها السابعة والثلاثين عقب مناقشات إضافية عن برنامج عملها في هذا الصدد (الفقرة</w:t>
            </w:r>
            <w:r>
              <w:rPr>
                <w:rFonts w:ascii="Arabic Typesetting" w:hAnsi="Arabic Typesetting" w:cs="Arabic Typesetting" w:hint="cs"/>
                <w:sz w:val="28"/>
                <w:szCs w:val="28"/>
                <w:rtl/>
                <w:lang w:bidi="ar-EG"/>
              </w:rPr>
              <w:t> </w:t>
            </w:r>
            <w:r w:rsidRPr="000C0B35">
              <w:rPr>
                <w:rFonts w:ascii="Arabic Typesetting" w:hAnsi="Arabic Typesetting" w:cs="Arabic Typesetting"/>
                <w:sz w:val="28"/>
                <w:szCs w:val="28"/>
                <w:rtl/>
                <w:lang w:bidi="ar-EG"/>
              </w:rPr>
              <w:t>15</w:t>
            </w:r>
            <w:r>
              <w:rPr>
                <w:rFonts w:ascii="Arabic Typesetting" w:hAnsi="Arabic Typesetting" w:cs="Arabic Typesetting" w:hint="cs"/>
                <w:sz w:val="28"/>
                <w:szCs w:val="28"/>
                <w:rtl/>
                <w:lang w:bidi="ar-EG"/>
              </w:rPr>
              <w:t> </w:t>
            </w:r>
            <w:r w:rsidRPr="000C0B35">
              <w:rPr>
                <w:rFonts w:ascii="Arabic Typesetting" w:hAnsi="Arabic Typesetting" w:cs="Arabic Typesetting"/>
                <w:sz w:val="28"/>
                <w:szCs w:val="28"/>
                <w:rtl/>
                <w:lang w:bidi="ar-EG"/>
              </w:rPr>
              <w:t>من</w:t>
            </w:r>
            <w:r>
              <w:rPr>
                <w:rFonts w:ascii="Arabic Typesetting" w:hAnsi="Arabic Typesetting" w:cs="Arabic Typesetting" w:hint="cs"/>
                <w:sz w:val="28"/>
                <w:szCs w:val="28"/>
                <w:rtl/>
                <w:lang w:bidi="ar-EG"/>
              </w:rPr>
              <w:t> </w:t>
            </w:r>
            <w:r w:rsidRPr="000C0B35">
              <w:rPr>
                <w:rFonts w:ascii="Arabic Typesetting" w:hAnsi="Arabic Typesetting" w:cs="Arabic Typesetting"/>
                <w:sz w:val="28"/>
                <w:szCs w:val="28"/>
                <w:rtl/>
                <w:lang w:bidi="ar-EG"/>
              </w:rPr>
              <w:t xml:space="preserve">الوثيقة </w:t>
            </w:r>
            <w:r w:rsidRPr="000C0B35">
              <w:rPr>
                <w:rFonts w:ascii="Arabic Typesetting" w:hAnsi="Arabic Typesetting" w:cs="Arabic Typesetting"/>
                <w:sz w:val="28"/>
                <w:szCs w:val="28"/>
                <w:lang w:bidi="ar-EG"/>
              </w:rPr>
              <w:t>SCT/36/5</w:t>
            </w:r>
            <w:r w:rsidRPr="000C0B35">
              <w:rPr>
                <w:rFonts w:ascii="Arabic Typesetting" w:hAnsi="Arabic Typesetting" w:cs="Arabic Typesetting"/>
                <w:sz w:val="28"/>
                <w:szCs w:val="28"/>
                <w:rtl/>
                <w:lang w:bidi="ar-EG"/>
              </w:rPr>
              <w:t>)</w:t>
            </w:r>
            <w:r w:rsidRPr="000C0B35">
              <w:rPr>
                <w:rStyle w:val="FootnoteReference"/>
                <w:rtl/>
                <w:lang w:bidi="ar-EG"/>
              </w:rPr>
              <w:footnoteReference w:id="14"/>
            </w:r>
            <w:r w:rsidRPr="000C0B35">
              <w:rPr>
                <w:rFonts w:ascii="Arabic Typesetting" w:hAnsi="Arabic Typesetting" w:cs="Arabic Typesetting"/>
                <w:sz w:val="28"/>
                <w:szCs w:val="28"/>
                <w:rtl/>
                <w:lang w:bidi="ar-EG"/>
              </w:rPr>
              <w:t>.</w:t>
            </w:r>
          </w:p>
        </w:tc>
        <w:tc>
          <w:tcPr>
            <w:tcW w:w="369" w:type="pct"/>
            <w:tcMar>
              <w:top w:w="110" w:type="dxa"/>
            </w:tcMar>
          </w:tcPr>
          <w:p w14:paraId="29502CFE" w14:textId="34AA0C59" w:rsidR="00AE137A" w:rsidRPr="000C0B35" w:rsidRDefault="00823608" w:rsidP="0031289D">
            <w:pPr>
              <w:bidi/>
              <w:spacing w:before="60" w:after="60" w:line="300" w:lineRule="exact"/>
              <w:rPr>
                <w:rFonts w:ascii="Arabic Typesetting" w:eastAsia="Arabic Typesetting" w:hAnsi="Arabic Typesetting" w:cs="Arabic Typesetting"/>
                <w:b/>
                <w:bCs/>
                <w:color w:val="00B050"/>
                <w:sz w:val="28"/>
                <w:szCs w:val="28"/>
                <w:rtl/>
                <w:lang w:eastAsia="ar-EG" w:bidi="ar-EG"/>
              </w:rPr>
            </w:pPr>
            <w:r w:rsidRPr="00823608">
              <w:rPr>
                <w:rFonts w:ascii="Arabic Typesetting" w:eastAsia="Arabic Typesetting" w:hAnsi="Arabic Typesetting" w:cs="Arabic Typesetting" w:hint="cs"/>
                <w:b/>
                <w:bCs/>
                <w:color w:val="FF0000"/>
                <w:sz w:val="28"/>
                <w:szCs w:val="28"/>
                <w:rtl/>
                <w:lang w:eastAsia="ar-EG" w:bidi="ar-EG"/>
              </w:rPr>
              <w:t>غير ثابت</w:t>
            </w:r>
          </w:p>
        </w:tc>
      </w:tr>
      <w:tr w:rsidR="00AE137A" w:rsidRPr="000C0B35" w14:paraId="5928740F" w14:textId="77777777" w:rsidTr="00BB3820">
        <w:trPr>
          <w:cantSplit/>
          <w:trHeight w:val="20"/>
        </w:trPr>
        <w:tc>
          <w:tcPr>
            <w:tcW w:w="987" w:type="pct"/>
            <w:tcMar>
              <w:top w:w="110" w:type="dxa"/>
            </w:tcMar>
          </w:tcPr>
          <w:p w14:paraId="7A821457" w14:textId="77777777" w:rsidR="00AE137A" w:rsidRPr="000C0B35" w:rsidRDefault="00AE137A" w:rsidP="0031289D">
            <w:pPr>
              <w:bidi/>
              <w:spacing w:before="60" w:after="60" w:line="300" w:lineRule="exact"/>
              <w:rPr>
                <w:rFonts w:ascii="Arabic Typesetting" w:hAnsi="Arabic Typesetting" w:cs="Arabic Typesetting"/>
                <w:b/>
                <w:sz w:val="28"/>
                <w:szCs w:val="28"/>
                <w:rtl/>
                <w:lang w:bidi="ar-EG"/>
              </w:rPr>
            </w:pPr>
            <w:r w:rsidRPr="000C0B35">
              <w:rPr>
                <w:rFonts w:ascii="Arabic Typesetting" w:hAnsi="Arabic Typesetting" w:cs="Arabic Typesetting"/>
                <w:b/>
                <w:sz w:val="28"/>
                <w:szCs w:val="28"/>
                <w:rtl/>
                <w:lang w:bidi="ar-EG"/>
              </w:rPr>
              <w:lastRenderedPageBreak/>
              <w:t>عدد حالات التصديق على/الانضمام إلى معاهدة سنغافورة</w:t>
            </w:r>
          </w:p>
        </w:tc>
        <w:tc>
          <w:tcPr>
            <w:tcW w:w="1541" w:type="pct"/>
            <w:shd w:val="clear" w:color="auto" w:fill="auto"/>
            <w:tcMar>
              <w:top w:w="110" w:type="dxa"/>
            </w:tcMar>
          </w:tcPr>
          <w:p w14:paraId="55029CCC" w14:textId="77777777" w:rsidR="00331292" w:rsidRDefault="00AE137A" w:rsidP="0031289D">
            <w:pPr>
              <w:bidi/>
              <w:spacing w:before="60" w:line="300" w:lineRule="exact"/>
              <w:ind w:right="34"/>
              <w:rPr>
                <w:rFonts w:ascii="Arabic Typesetting" w:hAnsi="Arabic Typesetting" w:cs="Arabic Typesetting"/>
                <w:b/>
                <w:i/>
                <w:iCs/>
                <w:color w:val="002060"/>
                <w:sz w:val="28"/>
                <w:szCs w:val="28"/>
                <w:rtl/>
                <w:lang w:bidi="ar-EG"/>
              </w:rPr>
            </w:pPr>
            <w:r>
              <w:rPr>
                <w:rFonts w:ascii="Arabic Typesetting" w:hAnsi="Arabic Typesetting" w:cs="Arabic Typesetting"/>
                <w:b/>
                <w:i/>
                <w:iCs/>
                <w:color w:val="002060"/>
                <w:sz w:val="28"/>
                <w:szCs w:val="28"/>
                <w:rtl/>
                <w:lang w:bidi="ar-EG"/>
              </w:rPr>
              <w:t>أساس المقارنة المحدّث</w:t>
            </w:r>
            <w:r w:rsidRPr="000C0B35">
              <w:rPr>
                <w:rFonts w:ascii="Arabic Typesetting" w:hAnsi="Arabic Typesetting" w:cs="Arabic Typesetting"/>
                <w:b/>
                <w:i/>
                <w:iCs/>
                <w:color w:val="002060"/>
                <w:sz w:val="28"/>
                <w:szCs w:val="28"/>
                <w:rtl/>
                <w:lang w:bidi="ar-EG"/>
              </w:rPr>
              <w:t xml:space="preserve"> في نهاية 2015:</w:t>
            </w:r>
          </w:p>
          <w:p w14:paraId="6B534B7C" w14:textId="6046231C" w:rsidR="00AE137A" w:rsidRPr="000C0B35" w:rsidRDefault="00AE137A" w:rsidP="0031289D">
            <w:pPr>
              <w:bidi/>
              <w:spacing w:after="120" w:line="300" w:lineRule="exact"/>
              <w:ind w:right="34"/>
              <w:rPr>
                <w:rFonts w:ascii="Arabic Typesetting" w:hAnsi="Arabic Typesetting" w:cs="Arabic Typesetting"/>
                <w:b/>
                <w:color w:val="002060"/>
                <w:sz w:val="28"/>
                <w:szCs w:val="28"/>
                <w:rtl/>
                <w:lang w:bidi="ar-EG"/>
              </w:rPr>
            </w:pPr>
            <w:r w:rsidRPr="000C0B35">
              <w:rPr>
                <w:rFonts w:ascii="Arabic Typesetting" w:hAnsi="Arabic Typesetting" w:cs="Arabic Typesetting"/>
                <w:b/>
                <w:color w:val="002060"/>
                <w:sz w:val="28"/>
                <w:szCs w:val="28"/>
                <w:rtl/>
                <w:lang w:bidi="ar-EG"/>
              </w:rPr>
              <w:t>العدد الإجمالي 38 طرفاً متعاقداً</w:t>
            </w:r>
          </w:p>
          <w:p w14:paraId="78D4635F" w14:textId="77777777" w:rsidR="00331292" w:rsidRDefault="00AE137A" w:rsidP="0031289D">
            <w:pPr>
              <w:bidi/>
              <w:spacing w:before="60" w:line="300" w:lineRule="exact"/>
              <w:ind w:right="34"/>
              <w:rPr>
                <w:rFonts w:ascii="Arabic Typesetting" w:hAnsi="Arabic Typesetting" w:cs="Arabic Typesetting"/>
                <w:b/>
                <w:sz w:val="28"/>
                <w:szCs w:val="28"/>
                <w:rtl/>
                <w:lang w:bidi="ar-EG"/>
              </w:rPr>
            </w:pPr>
            <w:r>
              <w:rPr>
                <w:rFonts w:ascii="Arabic Typesetting" w:hAnsi="Arabic Typesetting" w:cs="Arabic Typesetting"/>
                <w:b/>
                <w:i/>
                <w:iCs/>
                <w:sz w:val="28"/>
                <w:szCs w:val="28"/>
                <w:rtl/>
                <w:lang w:bidi="ar-EG"/>
              </w:rPr>
              <w:t>أساس المقارنة الأصلي</w:t>
            </w:r>
            <w:r w:rsidRPr="000C0B35">
              <w:rPr>
                <w:rFonts w:ascii="Arabic Typesetting" w:hAnsi="Arabic Typesetting" w:cs="Arabic Typesetting"/>
                <w:b/>
                <w:i/>
                <w:iCs/>
                <w:sz w:val="28"/>
                <w:szCs w:val="28"/>
                <w:rtl/>
                <w:lang w:bidi="ar-EG"/>
              </w:rPr>
              <w:t>:</w:t>
            </w:r>
          </w:p>
          <w:p w14:paraId="158865E7" w14:textId="77777777" w:rsidR="00331292" w:rsidRDefault="00AE137A" w:rsidP="0031289D">
            <w:pPr>
              <w:bidi/>
              <w:spacing w:line="300" w:lineRule="exact"/>
              <w:ind w:right="34"/>
              <w:rPr>
                <w:rFonts w:ascii="Arabic Typesetting" w:hAnsi="Arabic Typesetting" w:cs="Arabic Typesetting"/>
                <w:b/>
                <w:i/>
                <w:iCs/>
                <w:sz w:val="28"/>
                <w:szCs w:val="28"/>
                <w:rtl/>
                <w:lang w:bidi="ar-EG"/>
              </w:rPr>
            </w:pPr>
            <w:r w:rsidRPr="000C0B35">
              <w:rPr>
                <w:rFonts w:ascii="Arabic Typesetting" w:hAnsi="Arabic Typesetting" w:cs="Arabic Typesetting"/>
                <w:b/>
                <w:i/>
                <w:iCs/>
                <w:sz w:val="28"/>
                <w:szCs w:val="28"/>
                <w:rtl/>
                <w:lang w:bidi="ar-EG"/>
              </w:rPr>
              <w:t>برنامج وميزانية 2016/17:</w:t>
            </w:r>
          </w:p>
          <w:p w14:paraId="7583B3E1" w14:textId="2CBA0FE2" w:rsidR="00AE137A" w:rsidRPr="000C0B35" w:rsidRDefault="00AE137A" w:rsidP="0031289D">
            <w:pPr>
              <w:bidi/>
              <w:spacing w:after="60" w:line="300" w:lineRule="exact"/>
              <w:ind w:right="34"/>
              <w:rPr>
                <w:rFonts w:ascii="Arabic Typesetting" w:hAnsi="Arabic Typesetting" w:cs="Arabic Typesetting"/>
                <w:b/>
                <w:sz w:val="28"/>
                <w:szCs w:val="28"/>
                <w:rtl/>
                <w:lang w:bidi="ar-EG"/>
              </w:rPr>
            </w:pPr>
            <w:r w:rsidRPr="000C0B35">
              <w:rPr>
                <w:rFonts w:ascii="Arabic Typesetting" w:hAnsi="Arabic Typesetting" w:cs="Arabic Typesetting"/>
                <w:b/>
                <w:sz w:val="28"/>
                <w:szCs w:val="28"/>
                <w:rtl/>
                <w:lang w:bidi="ar-EG"/>
              </w:rPr>
              <w:t xml:space="preserve">سبعة أطراف متعاقدة جديدة </w:t>
            </w:r>
            <w:r>
              <w:rPr>
                <w:rFonts w:ascii="Arabic Typesetting" w:hAnsi="Arabic Typesetting" w:cs="Arabic Typesetting" w:hint="cs"/>
                <w:b/>
                <w:sz w:val="28"/>
                <w:szCs w:val="28"/>
                <w:rtl/>
                <w:lang w:bidi="ar-EG"/>
              </w:rPr>
              <w:t>في 2014:</w:t>
            </w:r>
            <w:r w:rsidRPr="000C0B35">
              <w:rPr>
                <w:rFonts w:ascii="Arabic Typesetting" w:hAnsi="Arabic Typesetting" w:cs="Arabic Typesetting"/>
                <w:b/>
                <w:sz w:val="28"/>
                <w:szCs w:val="28"/>
                <w:rtl/>
                <w:lang w:bidi="ar-EG"/>
              </w:rPr>
              <w:t xml:space="preserve"> بيلاروس وبلجيكا ومنظمة بنيلوكس للملكية الفكرية والع</w:t>
            </w:r>
            <w:r>
              <w:rPr>
                <w:rFonts w:ascii="Arabic Typesetting" w:hAnsi="Arabic Typesetting" w:cs="Arabic Typesetting"/>
                <w:b/>
                <w:sz w:val="28"/>
                <w:szCs w:val="28"/>
                <w:rtl/>
                <w:lang w:bidi="ar-EG"/>
              </w:rPr>
              <w:t>راق ولكسمبرغ وهولندا وطاجيكستان</w:t>
            </w:r>
            <w:r w:rsidRPr="000C0B35">
              <w:rPr>
                <w:rFonts w:ascii="Arabic Typesetting" w:hAnsi="Arabic Typesetting" w:cs="Arabic Typesetting"/>
                <w:b/>
                <w:sz w:val="28"/>
                <w:szCs w:val="28"/>
                <w:rtl/>
                <w:lang w:bidi="ar-EG"/>
              </w:rPr>
              <w:t xml:space="preserve"> ليصل بذلك </w:t>
            </w:r>
            <w:r>
              <w:rPr>
                <w:rFonts w:ascii="Arabic Typesetting" w:hAnsi="Arabic Typesetting" w:cs="Arabic Typesetting" w:hint="cs"/>
                <w:b/>
                <w:sz w:val="28"/>
                <w:szCs w:val="28"/>
                <w:rtl/>
                <w:lang w:bidi="ar-EG"/>
              </w:rPr>
              <w:t>عددها الإجمالي</w:t>
            </w:r>
            <w:r w:rsidRPr="000C0B35">
              <w:rPr>
                <w:rFonts w:ascii="Arabic Typesetting" w:hAnsi="Arabic Typesetting" w:cs="Arabic Typesetting"/>
                <w:b/>
                <w:sz w:val="28"/>
                <w:szCs w:val="28"/>
                <w:rtl/>
                <w:lang w:bidi="ar-EG"/>
              </w:rPr>
              <w:t xml:space="preserve"> إلى 38 في نهاية</w:t>
            </w:r>
            <w:r>
              <w:rPr>
                <w:rFonts w:ascii="Arabic Typesetting" w:hAnsi="Arabic Typesetting" w:cs="Arabic Typesetting" w:hint="cs"/>
                <w:b/>
                <w:sz w:val="28"/>
                <w:szCs w:val="28"/>
                <w:rtl/>
                <w:lang w:bidi="ar-EG"/>
              </w:rPr>
              <w:t xml:space="preserve"> عام </w:t>
            </w:r>
            <w:r w:rsidRPr="000C0B35">
              <w:rPr>
                <w:rFonts w:ascii="Arabic Typesetting" w:hAnsi="Arabic Typesetting" w:cs="Arabic Typesetting"/>
                <w:b/>
                <w:sz w:val="28"/>
                <w:szCs w:val="28"/>
                <w:rtl/>
                <w:lang w:bidi="ar-EG"/>
              </w:rPr>
              <w:t>2014.</w:t>
            </w:r>
          </w:p>
        </w:tc>
        <w:tc>
          <w:tcPr>
            <w:tcW w:w="508" w:type="pct"/>
          </w:tcPr>
          <w:p w14:paraId="5898A4DD" w14:textId="77777777" w:rsidR="00AE137A" w:rsidRPr="000C0B35" w:rsidRDefault="00AE137A" w:rsidP="0031289D">
            <w:pPr>
              <w:bidi/>
              <w:spacing w:before="60" w:after="60" w:line="300" w:lineRule="exact"/>
              <w:rPr>
                <w:rFonts w:ascii="Arabic Typesetting" w:hAnsi="Arabic Typesetting" w:cs="Arabic Typesetting"/>
                <w:sz w:val="28"/>
                <w:szCs w:val="28"/>
                <w:rtl/>
                <w:lang w:bidi="ar-EG"/>
              </w:rPr>
            </w:pPr>
            <w:r w:rsidRPr="000C0B35">
              <w:rPr>
                <w:rFonts w:ascii="Arabic Typesetting" w:hAnsi="Arabic Typesetting" w:cs="Arabic Typesetting"/>
                <w:sz w:val="28"/>
                <w:szCs w:val="28"/>
                <w:rtl/>
                <w:lang w:bidi="ar-EG"/>
              </w:rPr>
              <w:t>ثمان</w:t>
            </w:r>
            <w:r>
              <w:rPr>
                <w:rFonts w:ascii="Arabic Typesetting" w:hAnsi="Arabic Typesetting" w:cs="Arabic Typesetting" w:hint="cs"/>
                <w:sz w:val="28"/>
                <w:szCs w:val="28"/>
                <w:rtl/>
                <w:lang w:bidi="ar-EG"/>
              </w:rPr>
              <w:t>ي</w:t>
            </w:r>
            <w:r w:rsidRPr="000C0B35">
              <w:rPr>
                <w:rFonts w:ascii="Arabic Typesetting" w:hAnsi="Arabic Typesetting" w:cs="Arabic Typesetting"/>
                <w:sz w:val="28"/>
                <w:szCs w:val="28"/>
                <w:rtl/>
                <w:lang w:bidi="ar-EG"/>
              </w:rPr>
              <w:t xml:space="preserve"> حالات تصديق/ انضمام جديدة</w:t>
            </w:r>
          </w:p>
        </w:tc>
        <w:tc>
          <w:tcPr>
            <w:tcW w:w="1595" w:type="pct"/>
            <w:tcMar>
              <w:top w:w="110" w:type="dxa"/>
            </w:tcMar>
          </w:tcPr>
          <w:p w14:paraId="72F9A24D" w14:textId="416EEF60" w:rsidR="00AE137A" w:rsidRPr="000C0B35" w:rsidRDefault="00AE137A" w:rsidP="0031289D">
            <w:pPr>
              <w:bidi/>
              <w:spacing w:before="60" w:after="60" w:line="300" w:lineRule="exact"/>
              <w:rPr>
                <w:rFonts w:ascii="Arabic Typesetting" w:hAnsi="Arabic Typesetting" w:cs="Arabic Typesetting"/>
                <w:b/>
                <w:sz w:val="28"/>
                <w:szCs w:val="28"/>
                <w:rtl/>
                <w:lang w:bidi="ar-EG"/>
              </w:rPr>
            </w:pPr>
            <w:r w:rsidRPr="000C0B35">
              <w:rPr>
                <w:rFonts w:ascii="Arabic Typesetting" w:hAnsi="Arabic Typesetting" w:cs="Arabic Typesetting"/>
                <w:b/>
                <w:sz w:val="28"/>
                <w:szCs w:val="28"/>
                <w:rtl/>
                <w:lang w:bidi="ar-EG"/>
              </w:rPr>
              <w:t>سبعة أطراف متعاقدة جديدة: بنن وجمهورية</w:t>
            </w:r>
            <w:r>
              <w:rPr>
                <w:rFonts w:ascii="Arabic Typesetting" w:hAnsi="Arabic Typesetting" w:cs="Arabic Typesetting" w:hint="cs"/>
                <w:b/>
                <w:sz w:val="28"/>
                <w:szCs w:val="28"/>
                <w:rtl/>
                <w:lang w:bidi="ar-EG"/>
              </w:rPr>
              <w:t> </w:t>
            </w:r>
            <w:r w:rsidRPr="000C0B35">
              <w:rPr>
                <w:rFonts w:ascii="Arabic Typesetting" w:hAnsi="Arabic Typesetting" w:cs="Arabic Typesetting"/>
                <w:b/>
                <w:sz w:val="28"/>
                <w:szCs w:val="28"/>
                <w:rtl/>
                <w:lang w:bidi="ar-EG"/>
              </w:rPr>
              <w:t>كوريا الشعبية الديمقراطية و</w:t>
            </w:r>
            <w:r w:rsidR="001344B7">
              <w:rPr>
                <w:rFonts w:ascii="Arabic Typesetting" w:hAnsi="Arabic Typesetting" w:cs="Arabic Typesetting"/>
                <w:b/>
                <w:sz w:val="28"/>
                <w:szCs w:val="28"/>
                <w:rtl/>
                <w:lang w:bidi="ar-EG"/>
              </w:rPr>
              <w:t>آيرلندا</w:t>
            </w:r>
            <w:r w:rsidRPr="000C0B35">
              <w:rPr>
                <w:rFonts w:ascii="Arabic Typesetting" w:hAnsi="Arabic Typesetting" w:cs="Arabic Typesetting"/>
                <w:b/>
                <w:sz w:val="28"/>
                <w:szCs w:val="28"/>
                <w:rtl/>
                <w:lang w:bidi="ar-EG"/>
              </w:rPr>
              <w:t xml:space="preserve"> واليابان ومالي وجمهورية كوريا والمنظمة</w:t>
            </w:r>
            <w:r>
              <w:rPr>
                <w:rFonts w:ascii="Arabic Typesetting" w:hAnsi="Arabic Typesetting" w:cs="Arabic Typesetting" w:hint="cs"/>
                <w:b/>
                <w:sz w:val="28"/>
                <w:szCs w:val="28"/>
                <w:rtl/>
                <w:lang w:bidi="ar-EG"/>
              </w:rPr>
              <w:t> </w:t>
            </w:r>
            <w:r w:rsidRPr="000C0B35">
              <w:rPr>
                <w:rFonts w:ascii="Arabic Typesetting" w:hAnsi="Arabic Typesetting" w:cs="Arabic Typesetting"/>
                <w:b/>
                <w:sz w:val="28"/>
                <w:szCs w:val="28"/>
                <w:rtl/>
                <w:lang w:bidi="ar-EG"/>
              </w:rPr>
              <w:t>الأفريقية</w:t>
            </w:r>
            <w:r>
              <w:rPr>
                <w:rFonts w:ascii="Arabic Typesetting" w:hAnsi="Arabic Typesetting" w:cs="Arabic Typesetting" w:hint="cs"/>
                <w:b/>
                <w:sz w:val="28"/>
                <w:szCs w:val="28"/>
                <w:rtl/>
                <w:lang w:bidi="ar-EG"/>
              </w:rPr>
              <w:t> </w:t>
            </w:r>
            <w:r w:rsidRPr="000C0B35">
              <w:rPr>
                <w:rFonts w:ascii="Arabic Typesetting" w:hAnsi="Arabic Typesetting" w:cs="Arabic Typesetting"/>
                <w:b/>
                <w:sz w:val="28"/>
                <w:szCs w:val="28"/>
                <w:rtl/>
                <w:lang w:bidi="ar-EG"/>
              </w:rPr>
              <w:t>للملكية الفكرية</w:t>
            </w:r>
          </w:p>
          <w:p w14:paraId="6DD45304" w14:textId="77777777" w:rsidR="00AE137A" w:rsidRPr="000C0B35" w:rsidRDefault="00AE137A" w:rsidP="0031289D">
            <w:pPr>
              <w:bidi/>
              <w:spacing w:before="60" w:after="60" w:line="300" w:lineRule="exact"/>
              <w:rPr>
                <w:rFonts w:ascii="Arabic Typesetting" w:hAnsi="Arabic Typesetting" w:cs="Arabic Typesetting"/>
                <w:sz w:val="28"/>
                <w:szCs w:val="28"/>
                <w:rtl/>
                <w:lang w:bidi="ar-EG"/>
              </w:rPr>
            </w:pPr>
            <w:r w:rsidRPr="000C0B35">
              <w:rPr>
                <w:rFonts w:ascii="Arabic Typesetting" w:hAnsi="Arabic Typesetting" w:cs="Arabic Typesetting"/>
                <w:b/>
                <w:sz w:val="28"/>
                <w:szCs w:val="28"/>
                <w:rtl/>
                <w:lang w:bidi="ar-EG"/>
              </w:rPr>
              <w:t>وصل العدد الإجمالي للأطراف المتعاقدة إلى 45 في نهاية عام 2016</w:t>
            </w:r>
          </w:p>
        </w:tc>
        <w:tc>
          <w:tcPr>
            <w:tcW w:w="369" w:type="pct"/>
            <w:tcMar>
              <w:top w:w="110" w:type="dxa"/>
            </w:tcMar>
          </w:tcPr>
          <w:p w14:paraId="0581A1CA" w14:textId="77777777" w:rsidR="00AE137A" w:rsidRPr="000C0B35" w:rsidRDefault="00AE137A" w:rsidP="0031289D">
            <w:pPr>
              <w:bidi/>
              <w:spacing w:before="60" w:after="60" w:line="300" w:lineRule="exact"/>
              <w:rPr>
                <w:rFonts w:ascii="Arabic Typesetting" w:eastAsia="Arabic Typesetting" w:hAnsi="Arabic Typesetting" w:cs="Arabic Typesetting"/>
                <w:b/>
                <w:bCs/>
                <w:color w:val="00B050"/>
                <w:sz w:val="28"/>
                <w:szCs w:val="28"/>
                <w:rtl/>
                <w:lang w:eastAsia="ar-EG" w:bidi="ar-EG"/>
              </w:rPr>
            </w:pPr>
            <w:r w:rsidRPr="000C0B35">
              <w:rPr>
                <w:rFonts w:ascii="Arabic Typesetting" w:eastAsia="Arabic Typesetting" w:hAnsi="Arabic Typesetting" w:cs="Arabic Typesetting"/>
                <w:b/>
                <w:bCs/>
                <w:color w:val="00B050"/>
                <w:sz w:val="28"/>
                <w:szCs w:val="28"/>
                <w:rtl/>
                <w:lang w:eastAsia="ar-EG" w:bidi="ar-EG"/>
              </w:rPr>
              <w:t>ثابت</w:t>
            </w:r>
          </w:p>
        </w:tc>
      </w:tr>
      <w:tr w:rsidR="00AE137A" w:rsidRPr="000C0B35" w14:paraId="1A26953C" w14:textId="77777777" w:rsidTr="00BB3820">
        <w:trPr>
          <w:cantSplit/>
          <w:trHeight w:val="20"/>
        </w:trPr>
        <w:tc>
          <w:tcPr>
            <w:tcW w:w="5000" w:type="pct"/>
            <w:gridSpan w:val="5"/>
            <w:shd w:val="clear" w:color="auto" w:fill="C6D9F1"/>
            <w:tcMar>
              <w:top w:w="0" w:type="dxa"/>
            </w:tcMar>
            <w:vAlign w:val="center"/>
          </w:tcPr>
          <w:p w14:paraId="7FF94DB2" w14:textId="2293E765" w:rsidR="00AE137A" w:rsidRPr="000C0B35" w:rsidRDefault="00AE137A" w:rsidP="0031289D">
            <w:pPr>
              <w:keepNext/>
              <w:bidi/>
              <w:spacing w:before="60" w:after="60" w:line="280" w:lineRule="exact"/>
              <w:ind w:left="1167" w:hanging="1167"/>
              <w:rPr>
                <w:rFonts w:ascii="Arabic Typesetting" w:hAnsi="Arabic Typesetting" w:cs="Arabic Typesetting"/>
                <w:bCs/>
                <w:sz w:val="28"/>
                <w:szCs w:val="28"/>
                <w:lang w:bidi="ar-EG"/>
              </w:rPr>
            </w:pPr>
            <w:r w:rsidRPr="00BF32DA">
              <w:rPr>
                <w:rFonts w:ascii="Arabic Typesetting" w:hAnsi="Arabic Typesetting" w:cs="Arabic Typesetting"/>
                <w:b/>
                <w:bCs/>
                <w:sz w:val="28"/>
                <w:szCs w:val="28"/>
                <w:rtl/>
                <w:lang w:bidi="ar-EG"/>
              </w:rPr>
              <w:t>النتيجة</w:t>
            </w:r>
            <w:r w:rsidRPr="000C0B35">
              <w:rPr>
                <w:rFonts w:ascii="Arabic Typesetting" w:hAnsi="Arabic Typesetting" w:cs="Arabic Typesetting"/>
                <w:bCs/>
                <w:sz w:val="28"/>
                <w:szCs w:val="28"/>
                <w:shd w:val="clear" w:color="auto" w:fill="C6D9F1"/>
                <w:rtl/>
                <w:lang w:bidi="ar-EG"/>
              </w:rPr>
              <w:t xml:space="preserve"> المرتقبة: </w:t>
            </w:r>
            <w:r w:rsidRPr="000C0B35">
              <w:rPr>
                <w:rFonts w:ascii="Arabic Typesetting" w:hAnsi="Arabic Typesetting" w:cs="Arabic Typesetting"/>
                <w:b/>
                <w:sz w:val="28"/>
                <w:szCs w:val="28"/>
                <w:shd w:val="clear" w:color="auto" w:fill="C6D9F1"/>
                <w:rtl/>
                <w:lang w:bidi="ar-EG"/>
              </w:rPr>
              <w:tab/>
              <w:t xml:space="preserve">ه2.1 </w:t>
            </w:r>
            <w:r w:rsidR="009834BA">
              <w:rPr>
                <w:rFonts w:ascii="Arabic Typesetting" w:hAnsi="Arabic Typesetting" w:cs="Arabic Typesetting"/>
                <w:b/>
                <w:sz w:val="28"/>
                <w:szCs w:val="28"/>
                <w:shd w:val="clear" w:color="auto" w:fill="C6D9F1"/>
                <w:rtl/>
                <w:lang w:bidi="ar-EG"/>
              </w:rPr>
              <w:t>أطر تشريعية وتنظيمية وسياسية مكيّفة ومتوازنة في مجال الملكية الفكرية</w:t>
            </w:r>
          </w:p>
        </w:tc>
      </w:tr>
      <w:tr w:rsidR="00AE137A" w:rsidRPr="000C0B35" w14:paraId="411B3B8B" w14:textId="77777777" w:rsidTr="00BB3820">
        <w:trPr>
          <w:cantSplit/>
          <w:trHeight w:val="20"/>
        </w:trPr>
        <w:tc>
          <w:tcPr>
            <w:tcW w:w="987" w:type="pct"/>
            <w:tcMar>
              <w:top w:w="110" w:type="dxa"/>
            </w:tcMar>
          </w:tcPr>
          <w:p w14:paraId="5537E41B"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مؤشرات الأداء</w:t>
            </w:r>
          </w:p>
        </w:tc>
        <w:tc>
          <w:tcPr>
            <w:tcW w:w="1541" w:type="pct"/>
            <w:shd w:val="clear" w:color="auto" w:fill="auto"/>
            <w:tcMar>
              <w:top w:w="110" w:type="dxa"/>
            </w:tcMar>
          </w:tcPr>
          <w:p w14:paraId="5C36BA52" w14:textId="77777777" w:rsidR="00AE137A" w:rsidRPr="00BF32DA" w:rsidRDefault="00AE137A" w:rsidP="0031289D">
            <w:pPr>
              <w:keepNext/>
              <w:bidi/>
              <w:spacing w:before="60" w:after="60" w:line="280" w:lineRule="exact"/>
              <w:rPr>
                <w:rFonts w:ascii="Arabic Typesetting" w:hAnsi="Arabic Typesetting" w:cs="Arabic Typesetting"/>
                <w:b/>
                <w:bCs/>
                <w:sz w:val="28"/>
                <w:szCs w:val="28"/>
                <w:rtl/>
                <w:lang w:bidi="ar-EG"/>
              </w:rPr>
            </w:pPr>
            <w:r w:rsidRPr="00BF32DA">
              <w:rPr>
                <w:rFonts w:ascii="Arabic Typesetting" w:hAnsi="Arabic Typesetting" w:cs="Arabic Typesetting"/>
                <w:b/>
                <w:bCs/>
                <w:sz w:val="28"/>
                <w:szCs w:val="28"/>
                <w:rtl/>
                <w:lang w:bidi="ar-EG"/>
              </w:rPr>
              <w:t>أسس المقارنة</w:t>
            </w:r>
          </w:p>
        </w:tc>
        <w:tc>
          <w:tcPr>
            <w:tcW w:w="508" w:type="pct"/>
          </w:tcPr>
          <w:p w14:paraId="3A96C5D0"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الأهداف</w:t>
            </w:r>
          </w:p>
        </w:tc>
        <w:tc>
          <w:tcPr>
            <w:tcW w:w="1595" w:type="pct"/>
            <w:tcMar>
              <w:top w:w="110" w:type="dxa"/>
            </w:tcMar>
          </w:tcPr>
          <w:p w14:paraId="452F973A"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بيانات الأداء</w:t>
            </w:r>
          </w:p>
        </w:tc>
        <w:tc>
          <w:tcPr>
            <w:tcW w:w="369" w:type="pct"/>
            <w:tcMar>
              <w:top w:w="110" w:type="dxa"/>
            </w:tcMar>
          </w:tcPr>
          <w:p w14:paraId="4DC95DAB"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السير</w:t>
            </w:r>
          </w:p>
        </w:tc>
      </w:tr>
      <w:tr w:rsidR="00AE137A" w:rsidRPr="000C0B35" w14:paraId="74C6B632" w14:textId="77777777" w:rsidTr="00BB3820">
        <w:trPr>
          <w:cantSplit/>
          <w:trHeight w:val="20"/>
        </w:trPr>
        <w:tc>
          <w:tcPr>
            <w:tcW w:w="987" w:type="pct"/>
            <w:tcMar>
              <w:top w:w="110" w:type="dxa"/>
            </w:tcMar>
          </w:tcPr>
          <w:p w14:paraId="4CC815D8" w14:textId="77777777" w:rsidR="00AE137A" w:rsidRPr="000C0B35" w:rsidRDefault="00AE137A" w:rsidP="0031289D">
            <w:pPr>
              <w:bidi/>
              <w:spacing w:before="60" w:after="60" w:line="300" w:lineRule="exact"/>
              <w:rPr>
                <w:rFonts w:ascii="Arabic Typesetting" w:hAnsi="Arabic Typesetting" w:cs="Arabic Typesetting"/>
                <w:b/>
                <w:sz w:val="28"/>
                <w:szCs w:val="28"/>
                <w:rtl/>
                <w:lang w:bidi="ar-EG"/>
              </w:rPr>
            </w:pPr>
            <w:r w:rsidRPr="001564DF">
              <w:rPr>
                <w:rFonts w:ascii="Arabic Typesetting" w:hAnsi="Arabic Typesetting" w:cs="Arabic Typesetting"/>
                <w:b/>
                <w:sz w:val="28"/>
                <w:szCs w:val="28"/>
                <w:rtl/>
                <w:lang w:bidi="ar-EG"/>
              </w:rPr>
              <w:t>عدد الدول الأعضاء/المنظمات الإقليمية التي قدمت تع</w:t>
            </w:r>
            <w:r w:rsidRPr="000C0B35">
              <w:rPr>
                <w:rFonts w:ascii="Arabic Typesetting" w:hAnsi="Arabic Typesetting" w:cs="Arabic Typesetting"/>
                <w:b/>
                <w:sz w:val="28"/>
                <w:szCs w:val="28"/>
                <w:rtl/>
                <w:lang w:bidi="ar-EG"/>
              </w:rPr>
              <w:t>ليقات إيجابية على المشورة التشريعية المقدمة في مجال العلامات التجارية والتصاميم الصناعية والمؤشرات الجغرافية، والنسبة المئوية لتلك الدول والمنظمات</w:t>
            </w:r>
          </w:p>
        </w:tc>
        <w:tc>
          <w:tcPr>
            <w:tcW w:w="1541" w:type="pct"/>
            <w:shd w:val="clear" w:color="auto" w:fill="auto"/>
            <w:tcMar>
              <w:top w:w="110" w:type="dxa"/>
            </w:tcMar>
          </w:tcPr>
          <w:p w14:paraId="2EB84792" w14:textId="77777777" w:rsidR="00A22A8B" w:rsidRDefault="00AE137A" w:rsidP="0031289D">
            <w:pPr>
              <w:bidi/>
              <w:spacing w:before="60" w:line="300" w:lineRule="exact"/>
              <w:ind w:right="34"/>
              <w:rPr>
                <w:rFonts w:ascii="Arabic Typesetting" w:hAnsi="Arabic Typesetting" w:cs="Arabic Typesetting"/>
                <w:b/>
                <w:i/>
                <w:iCs/>
                <w:color w:val="002060"/>
                <w:sz w:val="28"/>
                <w:szCs w:val="28"/>
                <w:rtl/>
                <w:lang w:bidi="ar-EG"/>
              </w:rPr>
            </w:pPr>
            <w:r>
              <w:rPr>
                <w:rFonts w:ascii="Arabic Typesetting" w:hAnsi="Arabic Typesetting" w:cs="Arabic Typesetting"/>
                <w:b/>
                <w:i/>
                <w:iCs/>
                <w:color w:val="002060"/>
                <w:sz w:val="28"/>
                <w:szCs w:val="28"/>
                <w:rtl/>
                <w:lang w:bidi="ar-EG"/>
              </w:rPr>
              <w:t>أساس المقارنة المحدّث</w:t>
            </w:r>
            <w:r w:rsidRPr="000C0B35">
              <w:rPr>
                <w:rFonts w:ascii="Arabic Typesetting" w:hAnsi="Arabic Typesetting" w:cs="Arabic Typesetting"/>
                <w:b/>
                <w:i/>
                <w:iCs/>
                <w:color w:val="002060"/>
                <w:sz w:val="28"/>
                <w:szCs w:val="28"/>
                <w:rtl/>
                <w:lang w:bidi="ar-EG"/>
              </w:rPr>
              <w:t xml:space="preserve"> في نهاية 2015:</w:t>
            </w:r>
          </w:p>
          <w:p w14:paraId="32FACAD9" w14:textId="6E9E8593" w:rsidR="00AE137A" w:rsidRPr="000C0B35" w:rsidRDefault="00AE137A" w:rsidP="0031289D">
            <w:pPr>
              <w:bidi/>
              <w:spacing w:after="120" w:line="300" w:lineRule="exact"/>
              <w:ind w:right="34"/>
              <w:rPr>
                <w:rFonts w:ascii="Arabic Typesetting" w:hAnsi="Arabic Typesetting" w:cs="Arabic Typesetting"/>
                <w:color w:val="002060"/>
                <w:sz w:val="28"/>
                <w:szCs w:val="28"/>
                <w:rtl/>
                <w:lang w:bidi="ar-EG"/>
              </w:rPr>
            </w:pPr>
            <w:r w:rsidRPr="000C0B35">
              <w:rPr>
                <w:rFonts w:ascii="Arabic Typesetting" w:hAnsi="Arabic Typesetting" w:cs="Arabic Typesetting"/>
                <w:b/>
                <w:color w:val="002060"/>
                <w:sz w:val="28"/>
                <w:szCs w:val="28"/>
                <w:rtl/>
                <w:lang w:bidi="ar-EG"/>
              </w:rPr>
              <w:t xml:space="preserve">وردت تعليقات من 10 مجيبين </w:t>
            </w:r>
            <w:r w:rsidRPr="000C0B35">
              <w:rPr>
                <w:rFonts w:ascii="Arabic Typesetting" w:hAnsi="Arabic Typesetting" w:cs="Arabic Typesetting"/>
                <w:color w:val="002060"/>
                <w:sz w:val="28"/>
                <w:szCs w:val="28"/>
                <w:rtl/>
                <w:lang w:bidi="ar-EG"/>
              </w:rPr>
              <w:t>أعربوا كلهم (</w:t>
            </w:r>
            <w:r w:rsidRPr="000C0B35">
              <w:rPr>
                <w:rFonts w:ascii="Arabic Typesetting" w:hAnsi="Arabic Typesetting" w:cs="Arabic Typesetting"/>
                <w:color w:val="002060"/>
                <w:sz w:val="28"/>
                <w:szCs w:val="28"/>
                <w:lang w:bidi="ar-EG"/>
              </w:rPr>
              <w:t>100</w:t>
            </w:r>
            <w:r w:rsidRPr="000C0B35">
              <w:rPr>
                <w:rFonts w:ascii="Arabic Typesetting" w:hAnsi="Arabic Typesetting" w:cs="Arabic Typesetting"/>
                <w:color w:val="002060"/>
                <w:sz w:val="28"/>
                <w:szCs w:val="28"/>
                <w:rtl/>
                <w:lang w:bidi="ar-EG"/>
              </w:rPr>
              <w:t>%) عن رضاهم عن المشورة المقدمة</w:t>
            </w:r>
          </w:p>
          <w:p w14:paraId="47E81FF9" w14:textId="77777777" w:rsidR="00A22A8B" w:rsidRDefault="00AE137A" w:rsidP="0031289D">
            <w:pPr>
              <w:bidi/>
              <w:spacing w:before="60" w:line="300" w:lineRule="exact"/>
              <w:rPr>
                <w:rFonts w:ascii="Arabic Typesetting" w:hAnsi="Arabic Typesetting" w:cs="Arabic Typesetting"/>
                <w:b/>
                <w:sz w:val="28"/>
                <w:szCs w:val="28"/>
                <w:rtl/>
                <w:lang w:bidi="ar-EG"/>
              </w:rPr>
            </w:pPr>
            <w:r>
              <w:rPr>
                <w:rFonts w:ascii="Arabic Typesetting" w:hAnsi="Arabic Typesetting" w:cs="Arabic Typesetting"/>
                <w:b/>
                <w:i/>
                <w:iCs/>
                <w:sz w:val="28"/>
                <w:szCs w:val="28"/>
                <w:rtl/>
                <w:lang w:bidi="ar-EG"/>
              </w:rPr>
              <w:t>أساس المقارنة الأصلي</w:t>
            </w:r>
            <w:r w:rsidRPr="000C0B35">
              <w:rPr>
                <w:rFonts w:ascii="Arabic Typesetting" w:hAnsi="Arabic Typesetting" w:cs="Arabic Typesetting"/>
                <w:b/>
                <w:i/>
                <w:iCs/>
                <w:sz w:val="28"/>
                <w:szCs w:val="28"/>
                <w:rtl/>
                <w:lang w:bidi="ar-EG"/>
              </w:rPr>
              <w:t>:</w:t>
            </w:r>
          </w:p>
          <w:p w14:paraId="2EC416AE" w14:textId="77777777" w:rsidR="00A22A8B" w:rsidRDefault="00AE137A" w:rsidP="0031289D">
            <w:pPr>
              <w:bidi/>
              <w:spacing w:line="300" w:lineRule="exact"/>
              <w:rPr>
                <w:rFonts w:ascii="Arabic Typesetting" w:hAnsi="Arabic Typesetting" w:cs="Arabic Typesetting"/>
                <w:b/>
                <w:i/>
                <w:iCs/>
                <w:sz w:val="28"/>
                <w:szCs w:val="28"/>
                <w:rtl/>
                <w:lang w:bidi="ar-EG"/>
              </w:rPr>
            </w:pPr>
            <w:r w:rsidRPr="000C0B35">
              <w:rPr>
                <w:rFonts w:ascii="Arabic Typesetting" w:hAnsi="Arabic Typesetting" w:cs="Arabic Typesetting"/>
                <w:b/>
                <w:i/>
                <w:iCs/>
                <w:sz w:val="28"/>
                <w:szCs w:val="28"/>
                <w:rtl/>
                <w:lang w:bidi="ar-EG"/>
              </w:rPr>
              <w:t>برنامج وميزانية 2016/17:</w:t>
            </w:r>
          </w:p>
          <w:p w14:paraId="5A44B654" w14:textId="33A6EA9A" w:rsidR="00AE137A" w:rsidRPr="000C0B35" w:rsidRDefault="00AE137A" w:rsidP="0031289D">
            <w:pPr>
              <w:bidi/>
              <w:spacing w:after="60" w:line="300" w:lineRule="exact"/>
              <w:rPr>
                <w:rFonts w:ascii="Arabic Typesetting" w:hAnsi="Arabic Typesetting" w:cs="Arabic Typesetting"/>
                <w:b/>
                <w:color w:val="002060"/>
                <w:sz w:val="28"/>
                <w:szCs w:val="28"/>
                <w:lang w:bidi="ar-EG"/>
              </w:rPr>
            </w:pPr>
            <w:r w:rsidRPr="000C0B35">
              <w:rPr>
                <w:rFonts w:ascii="Arabic Typesetting" w:hAnsi="Arabic Typesetting" w:cs="Arabic Typesetting"/>
                <w:b/>
                <w:sz w:val="28"/>
                <w:szCs w:val="28"/>
                <w:rtl/>
                <w:lang w:bidi="ar-EG"/>
              </w:rPr>
              <w:t xml:space="preserve">2014: قدمت المشورة إلى 20 دولة عضوا/منظمة إقليمية. ووردت تعليقات من سبعة مجيبين أعربوا كلهم </w:t>
            </w:r>
            <w:r w:rsidRPr="00C73CED">
              <w:rPr>
                <w:rFonts w:ascii="Arabic Typesetting" w:hAnsi="Arabic Typesetting" w:cs="Arabic Typesetting"/>
                <w:sz w:val="28"/>
                <w:szCs w:val="28"/>
                <w:rtl/>
                <w:lang w:bidi="ar-EG"/>
              </w:rPr>
              <w:t>(</w:t>
            </w:r>
            <w:r w:rsidRPr="00C73CED">
              <w:rPr>
                <w:rFonts w:ascii="Arabic Typesetting" w:hAnsi="Arabic Typesetting" w:cs="Arabic Typesetting"/>
                <w:sz w:val="28"/>
                <w:szCs w:val="28"/>
                <w:lang w:bidi="ar-EG"/>
              </w:rPr>
              <w:t>100</w:t>
            </w:r>
            <w:r w:rsidRPr="00C73CED">
              <w:rPr>
                <w:rFonts w:ascii="Arabic Typesetting" w:hAnsi="Arabic Typesetting" w:cs="Arabic Typesetting" w:hint="cs"/>
                <w:sz w:val="28"/>
                <w:szCs w:val="28"/>
                <w:rtl/>
                <w:lang w:bidi="ar-EG"/>
              </w:rPr>
              <w:t>%</w:t>
            </w:r>
            <w:r w:rsidRPr="000C0B35">
              <w:rPr>
                <w:rFonts w:ascii="Arabic Typesetting" w:hAnsi="Arabic Typesetting" w:cs="Arabic Typesetting"/>
                <w:b/>
                <w:sz w:val="28"/>
                <w:szCs w:val="28"/>
                <w:rtl/>
                <w:lang w:bidi="ar-EG"/>
              </w:rPr>
              <w:t>) عن رضاهم عن المشورة المقدمة</w:t>
            </w:r>
          </w:p>
        </w:tc>
        <w:tc>
          <w:tcPr>
            <w:tcW w:w="508" w:type="pct"/>
          </w:tcPr>
          <w:p w14:paraId="1913AA02" w14:textId="77777777" w:rsidR="00AE137A" w:rsidRPr="000C0B35" w:rsidRDefault="00AE137A" w:rsidP="0031289D">
            <w:pPr>
              <w:bidi/>
              <w:spacing w:before="60" w:after="60" w:line="300" w:lineRule="exact"/>
              <w:rPr>
                <w:rFonts w:ascii="Arabic Typesetting" w:hAnsi="Arabic Typesetting" w:cs="Arabic Typesetting"/>
                <w:b/>
                <w:sz w:val="28"/>
                <w:szCs w:val="28"/>
                <w:rtl/>
                <w:lang w:bidi="ar-EG"/>
              </w:rPr>
            </w:pPr>
            <w:r w:rsidRPr="000C0B35">
              <w:rPr>
                <w:rFonts w:ascii="Arabic Typesetting" w:hAnsi="Arabic Typesetting" w:cs="Arabic Typesetting"/>
                <w:b/>
                <w:sz w:val="28"/>
                <w:szCs w:val="28"/>
                <w:rtl/>
                <w:lang w:bidi="ar-EG"/>
              </w:rPr>
              <w:t>أعرب 90% من المجيبين عن رضاهم عن المشورة المقدمة</w:t>
            </w:r>
          </w:p>
        </w:tc>
        <w:tc>
          <w:tcPr>
            <w:tcW w:w="1595" w:type="pct"/>
            <w:tcMar>
              <w:top w:w="110" w:type="dxa"/>
            </w:tcMar>
          </w:tcPr>
          <w:p w14:paraId="226DBB03" w14:textId="77777777" w:rsidR="00AE137A" w:rsidRPr="000C0B35" w:rsidRDefault="00AE137A" w:rsidP="0031289D">
            <w:pPr>
              <w:bidi/>
              <w:spacing w:before="60" w:after="60" w:line="300" w:lineRule="exact"/>
              <w:rPr>
                <w:rFonts w:ascii="Arabic Typesetting" w:hAnsi="Arabic Typesetting" w:cs="Arabic Typesetting"/>
                <w:b/>
                <w:sz w:val="28"/>
                <w:szCs w:val="28"/>
                <w:rtl/>
                <w:lang w:bidi="ar-EG"/>
              </w:rPr>
            </w:pPr>
            <w:r w:rsidRPr="000C0B35">
              <w:rPr>
                <w:rFonts w:ascii="Arabic Typesetting" w:hAnsi="Arabic Typesetting" w:cs="Arabic Typesetting"/>
                <w:b/>
                <w:sz w:val="28"/>
                <w:szCs w:val="28"/>
                <w:rtl/>
                <w:lang w:bidi="ar-EG"/>
              </w:rPr>
              <w:t>قدمت المشورة إلى 12 دولة عضوا. ووردت</w:t>
            </w:r>
            <w:r>
              <w:rPr>
                <w:rFonts w:ascii="Arabic Typesetting" w:hAnsi="Arabic Typesetting" w:cs="Arabic Typesetting" w:hint="cs"/>
                <w:b/>
                <w:sz w:val="28"/>
                <w:szCs w:val="28"/>
                <w:rtl/>
                <w:lang w:bidi="ar-EG"/>
              </w:rPr>
              <w:t> </w:t>
            </w:r>
            <w:r w:rsidRPr="00C73CED">
              <w:rPr>
                <w:rFonts w:ascii="Arabic Typesetting" w:hAnsi="Arabic Typesetting" w:cs="Arabic Typesetting"/>
                <w:sz w:val="28"/>
                <w:szCs w:val="28"/>
                <w:rtl/>
                <w:lang w:bidi="ar-EG"/>
              </w:rPr>
              <w:t>تعليقات من مجيبَين أعربا كلاهما (</w:t>
            </w:r>
            <w:r w:rsidRPr="00C73CED">
              <w:rPr>
                <w:rFonts w:ascii="Arabic Typesetting" w:hAnsi="Arabic Typesetting" w:cs="Arabic Typesetting"/>
                <w:sz w:val="28"/>
                <w:szCs w:val="28"/>
                <w:lang w:bidi="ar-EG"/>
              </w:rPr>
              <w:t>100</w:t>
            </w:r>
            <w:r w:rsidRPr="00C73CED">
              <w:rPr>
                <w:rFonts w:ascii="Arabic Typesetting" w:hAnsi="Arabic Typesetting" w:cs="Arabic Typesetting" w:hint="cs"/>
                <w:sz w:val="28"/>
                <w:szCs w:val="28"/>
                <w:rtl/>
                <w:lang w:bidi="ar-EG"/>
              </w:rPr>
              <w:t>%</w:t>
            </w:r>
            <w:r w:rsidRPr="000C0B35">
              <w:rPr>
                <w:rFonts w:ascii="Arabic Typesetting" w:hAnsi="Arabic Typesetting" w:cs="Arabic Typesetting"/>
                <w:b/>
                <w:sz w:val="28"/>
                <w:szCs w:val="28"/>
                <w:rtl/>
                <w:lang w:bidi="ar-EG"/>
              </w:rPr>
              <w:t>) عن رضاهما عن المشورة المقدمة</w:t>
            </w:r>
          </w:p>
        </w:tc>
        <w:tc>
          <w:tcPr>
            <w:tcW w:w="369" w:type="pct"/>
            <w:tcMar>
              <w:top w:w="110" w:type="dxa"/>
            </w:tcMar>
          </w:tcPr>
          <w:p w14:paraId="66AC22FA" w14:textId="77777777" w:rsidR="00AE137A" w:rsidRPr="000C0B35" w:rsidRDefault="00AE137A" w:rsidP="0031289D">
            <w:pPr>
              <w:bidi/>
              <w:spacing w:before="60" w:after="60" w:line="300" w:lineRule="exact"/>
              <w:rPr>
                <w:rFonts w:ascii="Arabic Typesetting" w:eastAsia="Arabic Typesetting" w:hAnsi="Arabic Typesetting" w:cs="Arabic Typesetting"/>
                <w:b/>
                <w:bCs/>
                <w:color w:val="00B050"/>
                <w:sz w:val="28"/>
                <w:szCs w:val="28"/>
                <w:rtl/>
                <w:lang w:eastAsia="ar-EG" w:bidi="ar-EG"/>
              </w:rPr>
            </w:pPr>
            <w:r w:rsidRPr="000C0B35">
              <w:rPr>
                <w:rFonts w:ascii="Arabic Typesetting" w:eastAsia="Arabic Typesetting" w:hAnsi="Arabic Typesetting" w:cs="Arabic Typesetting"/>
                <w:b/>
                <w:bCs/>
                <w:color w:val="00B050"/>
                <w:sz w:val="28"/>
                <w:szCs w:val="28"/>
                <w:rtl/>
                <w:lang w:eastAsia="ar-EG" w:bidi="ar-EG"/>
              </w:rPr>
              <w:t>ثابت</w:t>
            </w:r>
          </w:p>
        </w:tc>
      </w:tr>
      <w:tr w:rsidR="00AE137A" w:rsidRPr="000C0B35" w14:paraId="294203BB" w14:textId="77777777" w:rsidTr="00BB3820">
        <w:trPr>
          <w:cantSplit/>
          <w:trHeight w:val="20"/>
        </w:trPr>
        <w:tc>
          <w:tcPr>
            <w:tcW w:w="5000" w:type="pct"/>
            <w:gridSpan w:val="5"/>
            <w:shd w:val="clear" w:color="auto" w:fill="C6D9F1"/>
            <w:tcMar>
              <w:top w:w="0" w:type="dxa"/>
            </w:tcMar>
            <w:vAlign w:val="center"/>
          </w:tcPr>
          <w:p w14:paraId="06489327" w14:textId="77777777" w:rsidR="00AE137A" w:rsidRPr="000C0B35" w:rsidRDefault="00AE137A" w:rsidP="0031289D">
            <w:pPr>
              <w:keepNext/>
              <w:bidi/>
              <w:spacing w:before="60" w:after="60" w:line="280" w:lineRule="exact"/>
              <w:ind w:left="1167" w:hanging="1167"/>
              <w:rPr>
                <w:rFonts w:ascii="Arabic Typesetting" w:hAnsi="Arabic Typesetting" w:cs="Arabic Typesetting"/>
                <w:bCs/>
                <w:sz w:val="28"/>
                <w:szCs w:val="28"/>
                <w:lang w:bidi="ar-EG"/>
              </w:rPr>
            </w:pPr>
            <w:r w:rsidRPr="000C0B35">
              <w:rPr>
                <w:rFonts w:ascii="Arabic Typesetting" w:hAnsi="Arabic Typesetting" w:cs="Arabic Typesetting"/>
                <w:bCs/>
                <w:sz w:val="28"/>
                <w:szCs w:val="28"/>
                <w:shd w:val="clear" w:color="auto" w:fill="C6D9F1"/>
                <w:rtl/>
                <w:lang w:bidi="ar-EG"/>
              </w:rPr>
              <w:t xml:space="preserve">النتيجة المرتقبة: </w:t>
            </w:r>
            <w:r w:rsidRPr="000C0B35">
              <w:rPr>
                <w:rFonts w:ascii="Arabic Typesetting" w:hAnsi="Arabic Typesetting" w:cs="Arabic Typesetting"/>
                <w:b/>
                <w:sz w:val="28"/>
                <w:szCs w:val="28"/>
                <w:shd w:val="clear" w:color="auto" w:fill="C6D9F1"/>
                <w:rtl/>
                <w:lang w:bidi="ar-EG"/>
              </w:rPr>
              <w:tab/>
              <w:t>ه3.1 حماية متزايدة لشعارات وأسماء المنظمات الحكومية الدولية وشعاراتها</w:t>
            </w:r>
          </w:p>
        </w:tc>
      </w:tr>
      <w:tr w:rsidR="00AE137A" w:rsidRPr="000C0B35" w14:paraId="729DED93" w14:textId="77777777" w:rsidTr="00BB3820">
        <w:trPr>
          <w:cantSplit/>
          <w:trHeight w:val="20"/>
        </w:trPr>
        <w:tc>
          <w:tcPr>
            <w:tcW w:w="987" w:type="pct"/>
            <w:tcMar>
              <w:top w:w="110" w:type="dxa"/>
            </w:tcMar>
          </w:tcPr>
          <w:p w14:paraId="6495D820"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مؤشرات الأداء</w:t>
            </w:r>
          </w:p>
        </w:tc>
        <w:tc>
          <w:tcPr>
            <w:tcW w:w="1541" w:type="pct"/>
            <w:shd w:val="clear" w:color="auto" w:fill="auto"/>
            <w:tcMar>
              <w:top w:w="110" w:type="dxa"/>
            </w:tcMar>
          </w:tcPr>
          <w:p w14:paraId="6391307E" w14:textId="77777777" w:rsidR="00AE137A" w:rsidRPr="00BF32DA" w:rsidRDefault="00AE137A" w:rsidP="0031289D">
            <w:pPr>
              <w:keepNext/>
              <w:bidi/>
              <w:spacing w:before="60" w:after="60" w:line="280" w:lineRule="exact"/>
              <w:rPr>
                <w:rFonts w:ascii="Arabic Typesetting" w:hAnsi="Arabic Typesetting" w:cs="Arabic Typesetting"/>
                <w:b/>
                <w:bCs/>
                <w:sz w:val="28"/>
                <w:szCs w:val="28"/>
                <w:rtl/>
                <w:lang w:bidi="ar-EG"/>
              </w:rPr>
            </w:pPr>
            <w:r w:rsidRPr="00BF32DA">
              <w:rPr>
                <w:rFonts w:ascii="Arabic Typesetting" w:hAnsi="Arabic Typesetting" w:cs="Arabic Typesetting"/>
                <w:b/>
                <w:bCs/>
                <w:sz w:val="28"/>
                <w:szCs w:val="28"/>
                <w:rtl/>
                <w:lang w:bidi="ar-EG"/>
              </w:rPr>
              <w:t>أسس المقارنة</w:t>
            </w:r>
          </w:p>
        </w:tc>
        <w:tc>
          <w:tcPr>
            <w:tcW w:w="508" w:type="pct"/>
          </w:tcPr>
          <w:p w14:paraId="53FE4F0D"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الأهداف</w:t>
            </w:r>
          </w:p>
        </w:tc>
        <w:tc>
          <w:tcPr>
            <w:tcW w:w="1595" w:type="pct"/>
            <w:tcMar>
              <w:top w:w="110" w:type="dxa"/>
            </w:tcMar>
          </w:tcPr>
          <w:p w14:paraId="5E2B9A89"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بيانات الأداء</w:t>
            </w:r>
          </w:p>
        </w:tc>
        <w:tc>
          <w:tcPr>
            <w:tcW w:w="369" w:type="pct"/>
            <w:tcMar>
              <w:top w:w="110" w:type="dxa"/>
            </w:tcMar>
          </w:tcPr>
          <w:p w14:paraId="49D45A6D" w14:textId="77777777" w:rsidR="00AE137A" w:rsidRPr="000C0B35" w:rsidRDefault="00AE137A" w:rsidP="0031289D">
            <w:pPr>
              <w:keepNext/>
              <w:bidi/>
              <w:spacing w:before="60" w:after="60" w:line="280" w:lineRule="exact"/>
              <w:rPr>
                <w:rFonts w:ascii="Arabic Typesetting" w:hAnsi="Arabic Typesetting" w:cs="Arabic Typesetting"/>
                <w:b/>
                <w:bCs/>
                <w:sz w:val="28"/>
                <w:szCs w:val="28"/>
                <w:rtl/>
                <w:lang w:bidi="ar-EG"/>
              </w:rPr>
            </w:pPr>
            <w:r w:rsidRPr="000C0B35">
              <w:rPr>
                <w:rFonts w:ascii="Arabic Typesetting" w:hAnsi="Arabic Typesetting" w:cs="Arabic Typesetting"/>
                <w:b/>
                <w:bCs/>
                <w:sz w:val="28"/>
                <w:szCs w:val="28"/>
                <w:rtl/>
                <w:lang w:bidi="ar-EG"/>
              </w:rPr>
              <w:t>السير</w:t>
            </w:r>
          </w:p>
        </w:tc>
      </w:tr>
      <w:tr w:rsidR="00AE137A" w:rsidRPr="000C0B35" w14:paraId="1445771D" w14:textId="77777777" w:rsidTr="00BB3820">
        <w:trPr>
          <w:cantSplit/>
          <w:trHeight w:val="20"/>
        </w:trPr>
        <w:tc>
          <w:tcPr>
            <w:tcW w:w="987" w:type="pct"/>
            <w:tcMar>
              <w:top w:w="110" w:type="dxa"/>
            </w:tcMar>
          </w:tcPr>
          <w:p w14:paraId="2FB00269" w14:textId="77777777" w:rsidR="00AE137A" w:rsidRPr="000C0B35" w:rsidRDefault="00AE137A" w:rsidP="0031289D">
            <w:pPr>
              <w:bidi/>
              <w:spacing w:before="60" w:after="60" w:line="300" w:lineRule="exact"/>
              <w:rPr>
                <w:rFonts w:ascii="Arabic Typesetting" w:hAnsi="Arabic Typesetting" w:cs="Arabic Typesetting"/>
                <w:b/>
                <w:sz w:val="28"/>
                <w:szCs w:val="28"/>
                <w:rtl/>
                <w:lang w:bidi="ar-EG"/>
              </w:rPr>
            </w:pPr>
            <w:r w:rsidRPr="000C0B35">
              <w:rPr>
                <w:rFonts w:ascii="Arabic Typesetting" w:hAnsi="Arabic Typesetting" w:cs="Arabic Typesetting"/>
                <w:b/>
                <w:sz w:val="28"/>
                <w:szCs w:val="28"/>
                <w:rtl/>
                <w:lang w:bidi="ar-EG"/>
              </w:rPr>
              <w:t>عدد الشعارات الواردة في قاعدة بيانات المادة 6 (ثالثا)</w:t>
            </w:r>
          </w:p>
        </w:tc>
        <w:tc>
          <w:tcPr>
            <w:tcW w:w="1541" w:type="pct"/>
            <w:shd w:val="clear" w:color="auto" w:fill="auto"/>
            <w:tcMar>
              <w:top w:w="110" w:type="dxa"/>
            </w:tcMar>
          </w:tcPr>
          <w:p w14:paraId="7852181E" w14:textId="77777777" w:rsidR="00720E84" w:rsidRDefault="00AE137A" w:rsidP="0031289D">
            <w:pPr>
              <w:bidi/>
              <w:spacing w:before="60" w:line="300" w:lineRule="exact"/>
              <w:ind w:right="34"/>
              <w:rPr>
                <w:rFonts w:ascii="Arabic Typesetting" w:hAnsi="Arabic Typesetting" w:cs="Arabic Typesetting"/>
                <w:b/>
                <w:i/>
                <w:iCs/>
                <w:color w:val="002060"/>
                <w:sz w:val="28"/>
                <w:szCs w:val="28"/>
                <w:rtl/>
                <w:lang w:bidi="ar-EG"/>
              </w:rPr>
            </w:pPr>
            <w:r>
              <w:rPr>
                <w:rFonts w:ascii="Arabic Typesetting" w:hAnsi="Arabic Typesetting" w:cs="Arabic Typesetting"/>
                <w:b/>
                <w:i/>
                <w:iCs/>
                <w:color w:val="002060"/>
                <w:sz w:val="28"/>
                <w:szCs w:val="28"/>
                <w:rtl/>
                <w:lang w:bidi="ar-EG"/>
              </w:rPr>
              <w:t>أساس المقارنة المحدّث</w:t>
            </w:r>
            <w:r w:rsidRPr="000C0B35">
              <w:rPr>
                <w:rFonts w:ascii="Arabic Typesetting" w:hAnsi="Arabic Typesetting" w:cs="Arabic Typesetting"/>
                <w:b/>
                <w:i/>
                <w:iCs/>
                <w:color w:val="002060"/>
                <w:sz w:val="28"/>
                <w:szCs w:val="28"/>
                <w:rtl/>
                <w:lang w:bidi="ar-EG"/>
              </w:rPr>
              <w:t xml:space="preserve"> في نهاية 2015:</w:t>
            </w:r>
          </w:p>
          <w:p w14:paraId="0E59401A" w14:textId="00742725" w:rsidR="00AE137A" w:rsidRPr="000C0B35" w:rsidRDefault="00AE137A" w:rsidP="0031289D">
            <w:pPr>
              <w:bidi/>
              <w:spacing w:after="120" w:line="300" w:lineRule="exact"/>
              <w:ind w:right="34"/>
              <w:rPr>
                <w:rFonts w:ascii="Arabic Typesetting" w:hAnsi="Arabic Typesetting" w:cs="Arabic Typesetting"/>
                <w:b/>
                <w:color w:val="002060"/>
                <w:sz w:val="28"/>
                <w:szCs w:val="28"/>
                <w:rtl/>
                <w:lang w:bidi="ar-EG"/>
              </w:rPr>
            </w:pPr>
            <w:r w:rsidRPr="000C0B35">
              <w:rPr>
                <w:rFonts w:ascii="Arabic Typesetting" w:hAnsi="Arabic Typesetting" w:cs="Arabic Typesetting"/>
                <w:b/>
                <w:color w:val="002060"/>
                <w:sz w:val="28"/>
                <w:szCs w:val="28"/>
                <w:rtl/>
                <w:lang w:bidi="ar-EG"/>
              </w:rPr>
              <w:t>العدد الإجمالي للعلامات الواردة في قاعدة البيانات الخاصة بالمادة 6 (ثالثا): 3157</w:t>
            </w:r>
          </w:p>
          <w:p w14:paraId="5B91E794" w14:textId="77777777" w:rsidR="00720E84" w:rsidRDefault="00AE137A" w:rsidP="0031289D">
            <w:pPr>
              <w:bidi/>
              <w:spacing w:before="60" w:line="300" w:lineRule="exact"/>
              <w:rPr>
                <w:rFonts w:ascii="Arabic Typesetting" w:hAnsi="Arabic Typesetting" w:cs="Arabic Typesetting"/>
                <w:b/>
                <w:sz w:val="28"/>
                <w:szCs w:val="28"/>
                <w:rtl/>
                <w:lang w:bidi="ar-EG"/>
              </w:rPr>
            </w:pPr>
            <w:r>
              <w:rPr>
                <w:rFonts w:ascii="Arabic Typesetting" w:hAnsi="Arabic Typesetting" w:cs="Arabic Typesetting"/>
                <w:b/>
                <w:i/>
                <w:iCs/>
                <w:sz w:val="28"/>
                <w:szCs w:val="28"/>
                <w:rtl/>
                <w:lang w:bidi="ar-EG"/>
              </w:rPr>
              <w:t>أساس المقارنة الأصلي</w:t>
            </w:r>
            <w:r w:rsidRPr="000C0B35">
              <w:rPr>
                <w:rFonts w:ascii="Arabic Typesetting" w:hAnsi="Arabic Typesetting" w:cs="Arabic Typesetting"/>
                <w:b/>
                <w:i/>
                <w:iCs/>
                <w:sz w:val="28"/>
                <w:szCs w:val="28"/>
                <w:rtl/>
                <w:lang w:bidi="ar-EG"/>
              </w:rPr>
              <w:t>:</w:t>
            </w:r>
          </w:p>
          <w:p w14:paraId="0DC7DADD" w14:textId="77777777" w:rsidR="00720E84" w:rsidRDefault="00AE137A" w:rsidP="0031289D">
            <w:pPr>
              <w:bidi/>
              <w:spacing w:line="300" w:lineRule="exact"/>
              <w:rPr>
                <w:rFonts w:ascii="Arabic Typesetting" w:hAnsi="Arabic Typesetting" w:cs="Arabic Typesetting"/>
                <w:b/>
                <w:i/>
                <w:iCs/>
                <w:sz w:val="28"/>
                <w:szCs w:val="28"/>
                <w:rtl/>
                <w:lang w:bidi="ar-EG"/>
              </w:rPr>
            </w:pPr>
            <w:r w:rsidRPr="000C0B35">
              <w:rPr>
                <w:rFonts w:ascii="Arabic Typesetting" w:hAnsi="Arabic Typesetting" w:cs="Arabic Typesetting"/>
                <w:b/>
                <w:i/>
                <w:iCs/>
                <w:sz w:val="28"/>
                <w:szCs w:val="28"/>
                <w:rtl/>
                <w:lang w:bidi="ar-EG"/>
              </w:rPr>
              <w:t>برنامج وميزانية 2016/17:</w:t>
            </w:r>
          </w:p>
          <w:p w14:paraId="10FCE3A4" w14:textId="4723F886" w:rsidR="00AE137A" w:rsidRPr="000C0B35" w:rsidRDefault="00AE137A" w:rsidP="0031289D">
            <w:pPr>
              <w:bidi/>
              <w:spacing w:after="60" w:line="300" w:lineRule="exact"/>
              <w:rPr>
                <w:rFonts w:ascii="Arabic Typesetting" w:hAnsi="Arabic Typesetting" w:cs="Arabic Typesetting"/>
                <w:b/>
                <w:color w:val="002060"/>
                <w:sz w:val="28"/>
                <w:szCs w:val="28"/>
                <w:lang w:bidi="ar-EG"/>
              </w:rPr>
            </w:pPr>
            <w:r w:rsidRPr="000C0B35">
              <w:rPr>
                <w:rFonts w:ascii="Arabic Typesetting" w:hAnsi="Arabic Typesetting" w:cs="Arabic Typesetting"/>
                <w:b/>
                <w:sz w:val="28"/>
                <w:szCs w:val="28"/>
                <w:rtl/>
                <w:lang w:bidi="ar-EG"/>
              </w:rPr>
              <w:t>3103 (في 15 أبريل 2015)</w:t>
            </w:r>
          </w:p>
        </w:tc>
        <w:tc>
          <w:tcPr>
            <w:tcW w:w="508" w:type="pct"/>
          </w:tcPr>
          <w:p w14:paraId="50B5B4E9" w14:textId="77777777" w:rsidR="00AE137A" w:rsidRPr="000C0B35" w:rsidRDefault="00AE137A" w:rsidP="0031289D">
            <w:pPr>
              <w:bidi/>
              <w:spacing w:before="60" w:after="60" w:line="300" w:lineRule="exact"/>
              <w:rPr>
                <w:rFonts w:ascii="Arabic Typesetting" w:hAnsi="Arabic Typesetting" w:cs="Arabic Typesetting"/>
                <w:b/>
                <w:sz w:val="28"/>
                <w:szCs w:val="28"/>
                <w:rtl/>
                <w:lang w:bidi="ar-EG"/>
              </w:rPr>
            </w:pPr>
            <w:r w:rsidRPr="000C0B35">
              <w:rPr>
                <w:rFonts w:ascii="Arabic Typesetting" w:hAnsi="Arabic Typesetting" w:cs="Arabic Typesetting"/>
                <w:b/>
                <w:sz w:val="28"/>
                <w:szCs w:val="28"/>
                <w:rtl/>
                <w:lang w:bidi="ar-EG"/>
              </w:rPr>
              <w:t>120 علامة جديدة منشورة خلال الثنائية</w:t>
            </w:r>
          </w:p>
        </w:tc>
        <w:tc>
          <w:tcPr>
            <w:tcW w:w="1595" w:type="pct"/>
            <w:tcMar>
              <w:top w:w="110" w:type="dxa"/>
            </w:tcMar>
          </w:tcPr>
          <w:p w14:paraId="65EA4089" w14:textId="77777777" w:rsidR="00AE137A" w:rsidRPr="000C0B35" w:rsidRDefault="00AE137A" w:rsidP="0031289D">
            <w:pPr>
              <w:bidi/>
              <w:spacing w:before="60" w:after="60" w:line="300" w:lineRule="exact"/>
              <w:rPr>
                <w:rFonts w:ascii="Arabic Typesetting" w:hAnsi="Arabic Typesetting" w:cs="Arabic Typesetting"/>
                <w:b/>
                <w:sz w:val="28"/>
                <w:szCs w:val="28"/>
                <w:rtl/>
                <w:lang w:bidi="ar-EG"/>
              </w:rPr>
            </w:pPr>
            <w:r w:rsidRPr="000C0B35">
              <w:rPr>
                <w:rFonts w:ascii="Arabic Typesetting" w:hAnsi="Arabic Typesetting" w:cs="Arabic Typesetting"/>
                <w:b/>
                <w:sz w:val="28"/>
                <w:szCs w:val="28"/>
                <w:rtl/>
                <w:lang w:bidi="ar-EG"/>
              </w:rPr>
              <w:t>137 علامة جديدة منشورة</w:t>
            </w:r>
          </w:p>
          <w:p w14:paraId="66BAA534" w14:textId="77777777" w:rsidR="00AE137A" w:rsidRPr="000C0B35" w:rsidRDefault="00AE137A" w:rsidP="0031289D">
            <w:pPr>
              <w:bidi/>
              <w:spacing w:before="60" w:after="60" w:line="300" w:lineRule="exact"/>
              <w:rPr>
                <w:rFonts w:ascii="Arabic Typesetting" w:hAnsi="Arabic Typesetting" w:cs="Arabic Typesetting"/>
                <w:b/>
                <w:sz w:val="28"/>
                <w:szCs w:val="28"/>
                <w:rtl/>
                <w:lang w:bidi="ar-EG"/>
              </w:rPr>
            </w:pPr>
            <w:r w:rsidRPr="000C0B35">
              <w:rPr>
                <w:rFonts w:ascii="Arabic Typesetting" w:hAnsi="Arabic Typesetting" w:cs="Arabic Typesetting"/>
                <w:b/>
                <w:sz w:val="28"/>
                <w:szCs w:val="28"/>
                <w:rtl/>
                <w:lang w:bidi="ar-EG"/>
              </w:rPr>
              <w:t>بلغ العدد الإجمالي للعلامات الواردة في قاعدة البيانات الخاصة بالمادة 6 (ثالثا) 3294 في نهاية عام 2016</w:t>
            </w:r>
          </w:p>
        </w:tc>
        <w:tc>
          <w:tcPr>
            <w:tcW w:w="369" w:type="pct"/>
            <w:tcMar>
              <w:top w:w="110" w:type="dxa"/>
            </w:tcMar>
          </w:tcPr>
          <w:p w14:paraId="2160A923" w14:textId="77777777" w:rsidR="00AE137A" w:rsidRPr="000C0B35" w:rsidRDefault="00AE137A" w:rsidP="0031289D">
            <w:pPr>
              <w:bidi/>
              <w:spacing w:before="60" w:after="60" w:line="300" w:lineRule="exact"/>
              <w:rPr>
                <w:rFonts w:ascii="Arabic Typesetting" w:hAnsi="Arabic Typesetting" w:cs="Arabic Typesetting"/>
                <w:b/>
                <w:bCs/>
                <w:color w:val="00B050"/>
                <w:sz w:val="28"/>
                <w:szCs w:val="28"/>
                <w:rtl/>
                <w:lang w:bidi="ar-EG"/>
              </w:rPr>
            </w:pPr>
            <w:r w:rsidRPr="000C0B35">
              <w:rPr>
                <w:rFonts w:ascii="Arabic Typesetting" w:hAnsi="Arabic Typesetting" w:cs="Arabic Typesetting"/>
                <w:b/>
                <w:bCs/>
                <w:color w:val="00B050"/>
                <w:sz w:val="28"/>
                <w:szCs w:val="28"/>
                <w:rtl/>
                <w:lang w:bidi="ar-EG"/>
              </w:rPr>
              <w:t>ثابت</w:t>
            </w:r>
          </w:p>
        </w:tc>
      </w:tr>
    </w:tbl>
    <w:p w14:paraId="47F74D61" w14:textId="77777777" w:rsidR="00AE137A" w:rsidRDefault="00AE137A" w:rsidP="0031289D">
      <w:pPr>
        <w:bidi/>
        <w:spacing w:before="60" w:after="60" w:line="300" w:lineRule="exact"/>
      </w:pPr>
    </w:p>
    <w:tbl>
      <w:tblPr>
        <w:tblStyle w:val="TableGrid"/>
        <w:bidiVisual/>
        <w:tblW w:w="0" w:type="auto"/>
        <w:tblLook w:val="04A0" w:firstRow="1" w:lastRow="0" w:firstColumn="1" w:lastColumn="0" w:noHBand="0" w:noVBand="1"/>
      </w:tblPr>
      <w:tblGrid>
        <w:gridCol w:w="9571"/>
      </w:tblGrid>
      <w:tr w:rsidR="00AE137A" w14:paraId="0E06ADF0" w14:textId="77777777" w:rsidTr="00BB3820">
        <w:tc>
          <w:tcPr>
            <w:tcW w:w="9571" w:type="dxa"/>
            <w:tcBorders>
              <w:top w:val="nil"/>
              <w:left w:val="nil"/>
              <w:bottom w:val="nil"/>
              <w:right w:val="nil"/>
            </w:tcBorders>
            <w:shd w:val="clear" w:color="auto" w:fill="C6D9F1"/>
            <w:vAlign w:val="center"/>
          </w:tcPr>
          <w:p w14:paraId="756064C4" w14:textId="77777777" w:rsidR="00AE137A" w:rsidRPr="00A2672B" w:rsidRDefault="00AE137A"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ام موارد البرنام</w:t>
            </w:r>
            <w:r>
              <w:rPr>
                <w:rFonts w:ascii="Arabic Typesetting" w:hAnsi="Arabic Typesetting" w:cs="Arabic Typesetting" w:hint="cs"/>
                <w:b/>
                <w:bCs/>
                <w:sz w:val="34"/>
                <w:szCs w:val="34"/>
                <w:rtl/>
                <w:lang w:bidi="ar-EG"/>
              </w:rPr>
              <w:t>ج 2</w:t>
            </w:r>
          </w:p>
        </w:tc>
      </w:tr>
    </w:tbl>
    <w:p w14:paraId="314B980C" w14:textId="77777777" w:rsidR="00AE137A" w:rsidRPr="00FE3908" w:rsidRDefault="00AE137A"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3C14BF41" w14:textId="77777777" w:rsidR="00AE137A" w:rsidRDefault="00AE137A"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AE137A" w:rsidRPr="00211D55" w14:paraId="7FFDA627"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02F9F19D" w14:textId="77777777" w:rsidR="00AE137A" w:rsidRPr="00A2672B" w:rsidRDefault="00AE137A" w:rsidP="0031289D">
            <w:pPr>
              <w:keepNext/>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49B6D513" w14:textId="77777777" w:rsidR="00AE137A" w:rsidRPr="00A2672B" w:rsidRDefault="00AE137A" w:rsidP="0031289D">
            <w:pPr>
              <w:keepNext/>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061906DC" w14:textId="77777777" w:rsidR="00AE137A" w:rsidRPr="00A2672B" w:rsidRDefault="00AE137A" w:rsidP="0031289D">
            <w:pPr>
              <w:keepNext/>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0928DEF2" w14:textId="77777777" w:rsidR="00AE137A" w:rsidRPr="00A2672B" w:rsidRDefault="00AE137A" w:rsidP="0031289D">
            <w:pPr>
              <w:keepNext/>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AE137A" w:rsidRPr="00211D55" w14:paraId="77895073" w14:textId="77777777" w:rsidTr="00BB3820">
        <w:trPr>
          <w:trHeight w:val="55"/>
        </w:trPr>
        <w:tc>
          <w:tcPr>
            <w:tcW w:w="413" w:type="pct"/>
            <w:shd w:val="clear" w:color="auto" w:fill="auto"/>
            <w:noWrap/>
            <w:tcMar>
              <w:top w:w="15" w:type="dxa"/>
              <w:left w:w="15" w:type="dxa"/>
              <w:bottom w:w="0" w:type="dxa"/>
              <w:right w:w="15" w:type="dxa"/>
            </w:tcMar>
            <w:vAlign w:val="center"/>
          </w:tcPr>
          <w:p w14:paraId="40DC27DE" w14:textId="77777777" w:rsidR="00AE137A" w:rsidRPr="00211D55" w:rsidRDefault="00AE137A" w:rsidP="0031289D">
            <w:pPr>
              <w:keepNext/>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ه1.1</w:t>
            </w:r>
          </w:p>
        </w:tc>
        <w:tc>
          <w:tcPr>
            <w:tcW w:w="2340" w:type="pct"/>
            <w:shd w:val="clear" w:color="auto" w:fill="auto"/>
            <w:tcMar>
              <w:top w:w="15" w:type="dxa"/>
              <w:left w:w="15" w:type="dxa"/>
              <w:bottom w:w="0" w:type="dxa"/>
              <w:right w:w="15" w:type="dxa"/>
            </w:tcMar>
            <w:vAlign w:val="center"/>
          </w:tcPr>
          <w:p w14:paraId="58F259AC" w14:textId="77777777" w:rsidR="00AE137A" w:rsidRPr="002A7AFB" w:rsidRDefault="00AE137A" w:rsidP="0031289D">
            <w:pPr>
              <w:keepNext/>
              <w:bidi/>
              <w:spacing w:before="120" w:after="120"/>
              <w:rPr>
                <w:rFonts w:ascii="Arabic Typesetting" w:hAnsi="Arabic Typesetting" w:cs="Arabic Typesetting"/>
                <w:sz w:val="28"/>
                <w:szCs w:val="28"/>
              </w:rPr>
            </w:pPr>
            <w:r w:rsidRPr="002A7AFB">
              <w:rPr>
                <w:rFonts w:ascii="Arabic Typesetting" w:hAnsi="Arabic Typesetting" w:cs="Arabic Typesetting"/>
                <w:sz w:val="28"/>
                <w:szCs w:val="28"/>
                <w:rtl/>
              </w:rPr>
              <w:t>تعاون معزز بين الدول الأعضاء في تطوير أطر معيارية دولية متوازنة للملكية الفكرية</w:t>
            </w:r>
          </w:p>
        </w:tc>
        <w:tc>
          <w:tcPr>
            <w:tcW w:w="749" w:type="pct"/>
            <w:shd w:val="clear" w:color="auto" w:fill="auto"/>
            <w:tcMar>
              <w:top w:w="15" w:type="dxa"/>
              <w:left w:w="15" w:type="dxa"/>
              <w:bottom w:w="0" w:type="dxa"/>
              <w:right w:w="15" w:type="dxa"/>
            </w:tcMar>
            <w:vAlign w:val="center"/>
          </w:tcPr>
          <w:p w14:paraId="6466F625"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2A7AFB">
              <w:rPr>
                <w:rFonts w:ascii="Arabic Typesetting" w:hAnsi="Arabic Typesetting" w:cs="Arabic Typesetting"/>
                <w:color w:val="000000"/>
                <w:sz w:val="28"/>
                <w:szCs w:val="28"/>
              </w:rPr>
              <w:t>210</w:t>
            </w:r>
          </w:p>
        </w:tc>
        <w:tc>
          <w:tcPr>
            <w:tcW w:w="749" w:type="pct"/>
            <w:shd w:val="clear" w:color="auto" w:fill="auto"/>
            <w:tcMar>
              <w:top w:w="15" w:type="dxa"/>
              <w:left w:w="15" w:type="dxa"/>
              <w:bottom w:w="0" w:type="dxa"/>
              <w:right w:w="15" w:type="dxa"/>
            </w:tcMar>
            <w:vAlign w:val="center"/>
          </w:tcPr>
          <w:p w14:paraId="5CFDE166"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2A7AFB">
              <w:rPr>
                <w:rFonts w:ascii="Arabic Typesetting" w:hAnsi="Arabic Typesetting" w:cs="Arabic Typesetting"/>
                <w:color w:val="000000"/>
                <w:sz w:val="28"/>
                <w:szCs w:val="28"/>
              </w:rPr>
              <w:t>439</w:t>
            </w:r>
          </w:p>
        </w:tc>
        <w:tc>
          <w:tcPr>
            <w:tcW w:w="749" w:type="pct"/>
            <w:shd w:val="clear" w:color="auto" w:fill="auto"/>
            <w:noWrap/>
            <w:tcMar>
              <w:top w:w="15" w:type="dxa"/>
              <w:left w:w="15" w:type="dxa"/>
              <w:bottom w:w="0" w:type="dxa"/>
              <w:right w:w="15" w:type="dxa"/>
            </w:tcMar>
            <w:vAlign w:val="center"/>
          </w:tcPr>
          <w:p w14:paraId="12BCFED8"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2A7AFB">
              <w:rPr>
                <w:rFonts w:ascii="Arabic Typesetting" w:hAnsi="Arabic Typesetting" w:cs="Arabic Typesetting"/>
                <w:color w:val="000000"/>
                <w:sz w:val="28"/>
                <w:szCs w:val="28"/>
              </w:rPr>
              <w:t>472</w:t>
            </w:r>
          </w:p>
        </w:tc>
      </w:tr>
      <w:tr w:rsidR="00AE137A" w:rsidRPr="00211D55" w14:paraId="7191F52C" w14:textId="77777777" w:rsidTr="00BB3820">
        <w:trPr>
          <w:trHeight w:val="55"/>
        </w:trPr>
        <w:tc>
          <w:tcPr>
            <w:tcW w:w="413" w:type="pct"/>
            <w:shd w:val="clear" w:color="auto" w:fill="auto"/>
            <w:noWrap/>
            <w:tcMar>
              <w:top w:w="15" w:type="dxa"/>
              <w:left w:w="15" w:type="dxa"/>
              <w:bottom w:w="0" w:type="dxa"/>
              <w:right w:w="15" w:type="dxa"/>
            </w:tcMar>
            <w:vAlign w:val="center"/>
          </w:tcPr>
          <w:p w14:paraId="69E03D84" w14:textId="77777777" w:rsidR="00AE137A" w:rsidRPr="00211D55" w:rsidRDefault="00AE137A" w:rsidP="0031289D">
            <w:pPr>
              <w:bidi/>
              <w:spacing w:before="120" w:after="120"/>
              <w:rPr>
                <w:rFonts w:ascii="Arabic Typesetting" w:hAnsi="Arabic Typesetting" w:cs="Arabic Typesetting"/>
                <w:sz w:val="28"/>
                <w:szCs w:val="28"/>
              </w:rPr>
            </w:pPr>
            <w:r>
              <w:rPr>
                <w:rFonts w:ascii="Arabic Typesetting" w:hAnsi="Arabic Typesetting" w:cs="Arabic Typesetting" w:hint="cs"/>
                <w:sz w:val="28"/>
                <w:szCs w:val="28"/>
                <w:rtl/>
              </w:rPr>
              <w:t>ه2.1</w:t>
            </w:r>
          </w:p>
        </w:tc>
        <w:tc>
          <w:tcPr>
            <w:tcW w:w="2340" w:type="pct"/>
            <w:shd w:val="clear" w:color="auto" w:fill="auto"/>
            <w:tcMar>
              <w:top w:w="15" w:type="dxa"/>
              <w:left w:w="15" w:type="dxa"/>
              <w:bottom w:w="0" w:type="dxa"/>
              <w:right w:w="15" w:type="dxa"/>
            </w:tcMar>
            <w:vAlign w:val="center"/>
          </w:tcPr>
          <w:p w14:paraId="5AA4E6F7" w14:textId="47F570E7" w:rsidR="00AE137A" w:rsidRPr="002A7AFB" w:rsidRDefault="009834B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مكيّفة ومتوازنة في مجال الملكية الفكرية</w:t>
            </w:r>
          </w:p>
        </w:tc>
        <w:tc>
          <w:tcPr>
            <w:tcW w:w="749" w:type="pct"/>
            <w:shd w:val="clear" w:color="auto" w:fill="auto"/>
            <w:tcMar>
              <w:top w:w="15" w:type="dxa"/>
              <w:left w:w="15" w:type="dxa"/>
              <w:bottom w:w="0" w:type="dxa"/>
              <w:right w:w="15" w:type="dxa"/>
            </w:tcMar>
            <w:vAlign w:val="center"/>
          </w:tcPr>
          <w:p w14:paraId="033D6ECC"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2A7AFB">
              <w:rPr>
                <w:rFonts w:ascii="Arabic Typesetting" w:hAnsi="Arabic Typesetting" w:cs="Arabic Typesetting"/>
                <w:color w:val="000000"/>
                <w:sz w:val="28"/>
                <w:szCs w:val="28"/>
              </w:rPr>
              <w:t>100</w:t>
            </w:r>
          </w:p>
        </w:tc>
        <w:tc>
          <w:tcPr>
            <w:tcW w:w="749" w:type="pct"/>
            <w:shd w:val="clear" w:color="auto" w:fill="auto"/>
            <w:tcMar>
              <w:top w:w="15" w:type="dxa"/>
              <w:left w:w="15" w:type="dxa"/>
              <w:bottom w:w="0" w:type="dxa"/>
              <w:right w:w="15" w:type="dxa"/>
            </w:tcMar>
            <w:vAlign w:val="center"/>
          </w:tcPr>
          <w:p w14:paraId="66D02C26"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939</w:t>
            </w:r>
          </w:p>
        </w:tc>
        <w:tc>
          <w:tcPr>
            <w:tcW w:w="749" w:type="pct"/>
            <w:shd w:val="clear" w:color="auto" w:fill="auto"/>
            <w:noWrap/>
            <w:tcMar>
              <w:top w:w="15" w:type="dxa"/>
              <w:left w:w="15" w:type="dxa"/>
              <w:bottom w:w="0" w:type="dxa"/>
              <w:right w:w="15" w:type="dxa"/>
            </w:tcMar>
            <w:vAlign w:val="center"/>
          </w:tcPr>
          <w:p w14:paraId="5B3A95CE"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440</w:t>
            </w:r>
          </w:p>
        </w:tc>
      </w:tr>
      <w:tr w:rsidR="00AE137A" w:rsidRPr="00211D55" w14:paraId="302F2A32" w14:textId="77777777" w:rsidTr="00BB3820">
        <w:trPr>
          <w:trHeight w:val="735"/>
        </w:trPr>
        <w:tc>
          <w:tcPr>
            <w:tcW w:w="413" w:type="pct"/>
            <w:shd w:val="clear" w:color="auto" w:fill="auto"/>
            <w:noWrap/>
            <w:tcMar>
              <w:top w:w="15" w:type="dxa"/>
              <w:left w:w="15" w:type="dxa"/>
              <w:bottom w:w="0" w:type="dxa"/>
              <w:right w:w="15" w:type="dxa"/>
            </w:tcMar>
            <w:vAlign w:val="center"/>
          </w:tcPr>
          <w:p w14:paraId="07778410" w14:textId="77777777" w:rsidR="00AE137A" w:rsidRPr="00211D55" w:rsidRDefault="00AE137A" w:rsidP="0031289D">
            <w:pPr>
              <w:bidi/>
              <w:spacing w:before="120" w:after="120"/>
              <w:rPr>
                <w:rFonts w:ascii="Arabic Typesetting" w:hAnsi="Arabic Typesetting" w:cs="Arabic Typesetting"/>
                <w:sz w:val="28"/>
                <w:szCs w:val="28"/>
              </w:rPr>
            </w:pPr>
            <w:r>
              <w:rPr>
                <w:rFonts w:ascii="Arabic Typesetting" w:hAnsi="Arabic Typesetting" w:cs="Arabic Typesetting" w:hint="cs"/>
                <w:sz w:val="28"/>
                <w:szCs w:val="28"/>
                <w:rtl/>
              </w:rPr>
              <w:t>ه3.1</w:t>
            </w:r>
          </w:p>
        </w:tc>
        <w:tc>
          <w:tcPr>
            <w:tcW w:w="2340" w:type="pct"/>
            <w:shd w:val="clear" w:color="auto" w:fill="auto"/>
            <w:tcMar>
              <w:top w:w="15" w:type="dxa"/>
              <w:left w:w="15" w:type="dxa"/>
              <w:bottom w:w="0" w:type="dxa"/>
              <w:right w:w="15" w:type="dxa"/>
            </w:tcMar>
            <w:vAlign w:val="center"/>
          </w:tcPr>
          <w:p w14:paraId="0F11FCA8" w14:textId="77777777" w:rsidR="00AE137A" w:rsidRPr="002A7AFB" w:rsidRDefault="00AE137A" w:rsidP="0031289D">
            <w:pPr>
              <w:bidi/>
              <w:spacing w:before="120" w:after="120"/>
              <w:rPr>
                <w:rFonts w:ascii="Arabic Typesetting" w:hAnsi="Arabic Typesetting" w:cs="Arabic Typesetting"/>
                <w:sz w:val="28"/>
                <w:szCs w:val="28"/>
              </w:rPr>
            </w:pPr>
            <w:r w:rsidRPr="002A7AFB">
              <w:rPr>
                <w:rFonts w:ascii="Arabic Typesetting" w:hAnsi="Arabic Typesetting" w:cs="Arabic Typesetting"/>
                <w:sz w:val="28"/>
                <w:szCs w:val="28"/>
                <w:rtl/>
              </w:rPr>
              <w:t>حماية متزايدة لشعارات وأسماء المنظمات الحكومية الدولية وشعاراتها</w:t>
            </w:r>
          </w:p>
        </w:tc>
        <w:tc>
          <w:tcPr>
            <w:tcW w:w="749" w:type="pct"/>
            <w:shd w:val="clear" w:color="auto" w:fill="auto"/>
            <w:tcMar>
              <w:top w:w="15" w:type="dxa"/>
              <w:left w:w="15" w:type="dxa"/>
              <w:bottom w:w="0" w:type="dxa"/>
              <w:right w:w="15" w:type="dxa"/>
            </w:tcMar>
            <w:vAlign w:val="center"/>
          </w:tcPr>
          <w:p w14:paraId="40167E44"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544</w:t>
            </w:r>
          </w:p>
        </w:tc>
        <w:tc>
          <w:tcPr>
            <w:tcW w:w="749" w:type="pct"/>
            <w:shd w:val="clear" w:color="auto" w:fill="auto"/>
            <w:tcMar>
              <w:top w:w="15" w:type="dxa"/>
              <w:left w:w="15" w:type="dxa"/>
              <w:bottom w:w="0" w:type="dxa"/>
              <w:right w:w="15" w:type="dxa"/>
            </w:tcMar>
            <w:vAlign w:val="center"/>
          </w:tcPr>
          <w:p w14:paraId="39F6CA40"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560</w:t>
            </w:r>
          </w:p>
        </w:tc>
        <w:tc>
          <w:tcPr>
            <w:tcW w:w="749" w:type="pct"/>
            <w:shd w:val="clear" w:color="auto" w:fill="auto"/>
            <w:noWrap/>
            <w:tcMar>
              <w:top w:w="15" w:type="dxa"/>
              <w:left w:w="15" w:type="dxa"/>
              <w:bottom w:w="0" w:type="dxa"/>
              <w:right w:w="15" w:type="dxa"/>
            </w:tcMar>
            <w:vAlign w:val="center"/>
          </w:tcPr>
          <w:p w14:paraId="4BB9C108"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287</w:t>
            </w:r>
          </w:p>
        </w:tc>
      </w:tr>
      <w:tr w:rsidR="00AE137A" w:rsidRPr="00211D55" w14:paraId="559DA09B" w14:textId="77777777" w:rsidTr="00BB3820">
        <w:trPr>
          <w:trHeight w:val="735"/>
        </w:trPr>
        <w:tc>
          <w:tcPr>
            <w:tcW w:w="413" w:type="pct"/>
            <w:shd w:val="clear" w:color="auto" w:fill="auto"/>
            <w:noWrap/>
            <w:tcMar>
              <w:top w:w="15" w:type="dxa"/>
              <w:left w:w="15" w:type="dxa"/>
              <w:bottom w:w="0" w:type="dxa"/>
              <w:right w:w="15" w:type="dxa"/>
            </w:tcMar>
            <w:vAlign w:val="center"/>
          </w:tcPr>
          <w:p w14:paraId="1C729549" w14:textId="77777777" w:rsidR="00AE137A" w:rsidRDefault="00AE137A" w:rsidP="0031289D">
            <w:pPr>
              <w:bidi/>
              <w:spacing w:before="120" w:after="120"/>
              <w:rPr>
                <w:rFonts w:ascii="Arabic Typesetting" w:hAnsi="Arabic Typesetting" w:cs="Arabic Typesetting"/>
                <w:sz w:val="28"/>
                <w:szCs w:val="28"/>
                <w:rtl/>
              </w:rPr>
            </w:pPr>
            <w:r>
              <w:rPr>
                <w:rFonts w:ascii="Arabic Typesetting" w:hAnsi="Arabic Typesetting" w:cs="Arabic Typesetting" w:hint="cs"/>
                <w:sz w:val="28"/>
                <w:szCs w:val="28"/>
                <w:rtl/>
              </w:rPr>
              <w:t>ه4.3</w:t>
            </w:r>
          </w:p>
        </w:tc>
        <w:tc>
          <w:tcPr>
            <w:tcW w:w="2340" w:type="pct"/>
            <w:shd w:val="clear" w:color="auto" w:fill="auto"/>
            <w:tcMar>
              <w:top w:w="15" w:type="dxa"/>
              <w:left w:w="15" w:type="dxa"/>
              <w:bottom w:w="0" w:type="dxa"/>
              <w:right w:w="15" w:type="dxa"/>
            </w:tcMar>
            <w:vAlign w:val="center"/>
          </w:tcPr>
          <w:p w14:paraId="72D5D22E" w14:textId="77777777" w:rsidR="00AE137A" w:rsidRPr="002A7AFB" w:rsidRDefault="00AE137A" w:rsidP="0031289D">
            <w:pPr>
              <w:bidi/>
              <w:spacing w:before="120" w:after="120"/>
              <w:rPr>
                <w:rFonts w:ascii="Arabic Typesetting" w:hAnsi="Arabic Typesetting" w:cs="Arabic Typesetting"/>
                <w:sz w:val="28"/>
                <w:szCs w:val="28"/>
              </w:rPr>
            </w:pPr>
            <w:r w:rsidRPr="002A7AFB">
              <w:rPr>
                <w:rFonts w:ascii="Arabic Typesetting" w:hAnsi="Arabic Typesetting" w:cs="Arabic Typesetting"/>
                <w:sz w:val="28"/>
                <w:szCs w:val="28"/>
                <w:rtl/>
              </w:rPr>
              <w:t>آليات وبرامج تعاونية معزّزة ومكيّفة حسب احتياجات البلدان النامية والبلدان الأقل نموا</w:t>
            </w:r>
          </w:p>
        </w:tc>
        <w:tc>
          <w:tcPr>
            <w:tcW w:w="749" w:type="pct"/>
            <w:shd w:val="clear" w:color="auto" w:fill="auto"/>
            <w:tcMar>
              <w:top w:w="15" w:type="dxa"/>
              <w:left w:w="15" w:type="dxa"/>
              <w:bottom w:w="0" w:type="dxa"/>
              <w:right w:w="15" w:type="dxa"/>
            </w:tcMar>
            <w:vAlign w:val="center"/>
          </w:tcPr>
          <w:p w14:paraId="0FED258D"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0</w:t>
            </w:r>
          </w:p>
        </w:tc>
        <w:tc>
          <w:tcPr>
            <w:tcW w:w="749" w:type="pct"/>
            <w:shd w:val="clear" w:color="auto" w:fill="auto"/>
            <w:tcMar>
              <w:top w:w="15" w:type="dxa"/>
              <w:left w:w="15" w:type="dxa"/>
              <w:bottom w:w="0" w:type="dxa"/>
              <w:right w:w="15" w:type="dxa"/>
            </w:tcMar>
            <w:vAlign w:val="center"/>
          </w:tcPr>
          <w:p w14:paraId="17C648FF"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109</w:t>
            </w:r>
          </w:p>
        </w:tc>
        <w:tc>
          <w:tcPr>
            <w:tcW w:w="749" w:type="pct"/>
            <w:shd w:val="clear" w:color="auto" w:fill="auto"/>
            <w:noWrap/>
            <w:tcMar>
              <w:top w:w="15" w:type="dxa"/>
              <w:left w:w="15" w:type="dxa"/>
              <w:bottom w:w="0" w:type="dxa"/>
              <w:right w:w="15" w:type="dxa"/>
            </w:tcMar>
            <w:vAlign w:val="center"/>
          </w:tcPr>
          <w:p w14:paraId="2CEB3003" w14:textId="77777777" w:rsidR="00AE137A" w:rsidRPr="002A7AFB" w:rsidRDefault="00AE137A" w:rsidP="0031289D">
            <w:pPr>
              <w:keepNext/>
              <w:keepLines/>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93</w:t>
            </w:r>
          </w:p>
        </w:tc>
      </w:tr>
      <w:tr w:rsidR="00AE137A" w:rsidRPr="00211D55" w14:paraId="44BE211A"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1B273905" w14:textId="77777777" w:rsidR="00AE137A" w:rsidRPr="00211D55" w:rsidRDefault="00AE137A"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4AC33F12" w14:textId="77777777" w:rsidR="00AE137A" w:rsidRPr="00280D1A" w:rsidRDefault="00AE137A"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3F576F9A" w14:textId="77777777" w:rsidR="00AE137A" w:rsidRPr="00280D1A" w:rsidRDefault="00AE137A"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4 854</w:t>
            </w:r>
          </w:p>
        </w:tc>
        <w:tc>
          <w:tcPr>
            <w:tcW w:w="749" w:type="pct"/>
            <w:shd w:val="clear" w:color="auto" w:fill="C6D9F1"/>
            <w:noWrap/>
            <w:tcMar>
              <w:top w:w="15" w:type="dxa"/>
              <w:left w:w="15" w:type="dxa"/>
              <w:bottom w:w="0" w:type="dxa"/>
              <w:right w:w="15" w:type="dxa"/>
            </w:tcMar>
            <w:vAlign w:val="center"/>
          </w:tcPr>
          <w:p w14:paraId="18614D86" w14:textId="77777777" w:rsidR="00AE137A" w:rsidRPr="00280D1A" w:rsidRDefault="00AE137A"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5 047</w:t>
            </w:r>
          </w:p>
        </w:tc>
        <w:tc>
          <w:tcPr>
            <w:tcW w:w="749" w:type="pct"/>
            <w:shd w:val="clear" w:color="auto" w:fill="C6D9F1"/>
            <w:noWrap/>
            <w:tcMar>
              <w:top w:w="15" w:type="dxa"/>
              <w:left w:w="15" w:type="dxa"/>
              <w:bottom w:w="0" w:type="dxa"/>
              <w:right w:w="15" w:type="dxa"/>
            </w:tcMar>
            <w:vAlign w:val="center"/>
          </w:tcPr>
          <w:p w14:paraId="67E7DAB4" w14:textId="77777777" w:rsidR="00AE137A" w:rsidRPr="00280D1A" w:rsidRDefault="00AE137A"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2 293</w:t>
            </w:r>
          </w:p>
        </w:tc>
      </w:tr>
      <w:tr w:rsidR="00AE137A" w:rsidRPr="00211D55" w14:paraId="653A1686"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4D08C9FF" w14:textId="77777777" w:rsidR="00AE137A" w:rsidRPr="00A2672B" w:rsidRDefault="00AE137A"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007EF930" w14:textId="77777777" w:rsidR="00AE137A" w:rsidRPr="00252762" w:rsidRDefault="00AE137A"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222A4622" w14:textId="77777777" w:rsidR="00AE137A" w:rsidRPr="00DF1D8A" w:rsidRDefault="00AE137A"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2"/>
        <w:gridCol w:w="1858"/>
        <w:gridCol w:w="1857"/>
        <w:gridCol w:w="1857"/>
        <w:gridCol w:w="1857"/>
      </w:tblGrid>
      <w:tr w:rsidR="00AE137A" w:rsidRPr="00211D55" w14:paraId="674712B6" w14:textId="77777777" w:rsidTr="00BB3820">
        <w:trPr>
          <w:trHeight w:val="645"/>
        </w:trPr>
        <w:tc>
          <w:tcPr>
            <w:tcW w:w="1120" w:type="pct"/>
            <w:shd w:val="clear" w:color="auto" w:fill="C6D9F1"/>
            <w:noWrap/>
            <w:vAlign w:val="center"/>
            <w:hideMark/>
          </w:tcPr>
          <w:p w14:paraId="4AD159D3" w14:textId="77777777" w:rsidR="00AE137A" w:rsidRPr="00211D55" w:rsidRDefault="00AE137A" w:rsidP="0031289D">
            <w:pPr>
              <w:bidi/>
              <w:jc w:val="center"/>
              <w:rPr>
                <w:rFonts w:ascii="Arabic Typesetting" w:hAnsi="Arabic Typesetting" w:cs="Arabic Typesetting"/>
                <w:b/>
                <w:bCs/>
                <w:i/>
                <w:iCs/>
                <w:sz w:val="28"/>
                <w:szCs w:val="28"/>
              </w:rPr>
            </w:pPr>
          </w:p>
        </w:tc>
        <w:tc>
          <w:tcPr>
            <w:tcW w:w="970" w:type="pct"/>
            <w:shd w:val="clear" w:color="auto" w:fill="C6D9F1"/>
            <w:vAlign w:val="center"/>
            <w:hideMark/>
          </w:tcPr>
          <w:p w14:paraId="5C6FBFF7" w14:textId="77777777" w:rsidR="00AE137A" w:rsidRPr="00211D55" w:rsidRDefault="00AE137A"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0" w:type="pct"/>
            <w:shd w:val="clear" w:color="auto" w:fill="C6D9F1"/>
            <w:vAlign w:val="center"/>
            <w:hideMark/>
          </w:tcPr>
          <w:p w14:paraId="462453D3" w14:textId="77777777" w:rsidR="00AE137A" w:rsidRPr="00211D55" w:rsidRDefault="00AE137A"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7AB0B179" w14:textId="77777777" w:rsidR="00AE137A" w:rsidRPr="00211D55" w:rsidRDefault="00AE137A"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67955768" w14:textId="77777777" w:rsidR="00AE137A" w:rsidRPr="00211D55" w:rsidRDefault="00AE137A"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AE137A" w:rsidRPr="00211D55" w14:paraId="1FC33254" w14:textId="77777777" w:rsidTr="00BB3820">
        <w:trPr>
          <w:trHeight w:val="70"/>
        </w:trPr>
        <w:tc>
          <w:tcPr>
            <w:tcW w:w="1120" w:type="pct"/>
            <w:shd w:val="clear" w:color="auto" w:fill="auto"/>
            <w:noWrap/>
            <w:vAlign w:val="center"/>
            <w:hideMark/>
          </w:tcPr>
          <w:p w14:paraId="2CA5B978" w14:textId="77777777" w:rsidR="00AE137A" w:rsidRPr="00211D55" w:rsidRDefault="00AE137A"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shd w:val="clear" w:color="auto" w:fill="auto"/>
            <w:vAlign w:val="center"/>
          </w:tcPr>
          <w:p w14:paraId="6CC8F2E7" w14:textId="77777777" w:rsidR="00AE137A" w:rsidRPr="002A7AFB" w:rsidRDefault="00AE137A" w:rsidP="0031289D">
            <w:pPr>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2A7AFB">
              <w:rPr>
                <w:rFonts w:ascii="Arabic Typesetting" w:hAnsi="Arabic Typesetting" w:cs="Arabic Typesetting"/>
                <w:color w:val="000000"/>
                <w:sz w:val="28"/>
                <w:szCs w:val="28"/>
              </w:rPr>
              <w:t xml:space="preserve">089 </w:t>
            </w:r>
          </w:p>
        </w:tc>
        <w:tc>
          <w:tcPr>
            <w:tcW w:w="970" w:type="pct"/>
            <w:shd w:val="clear" w:color="auto" w:fill="auto"/>
            <w:vAlign w:val="center"/>
          </w:tcPr>
          <w:p w14:paraId="741B7E9A" w14:textId="77777777" w:rsidR="00AE137A" w:rsidRPr="002A7AFB" w:rsidRDefault="00AE137A" w:rsidP="0031289D">
            <w:pPr>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2A7AFB">
              <w:rPr>
                <w:rFonts w:ascii="Arabic Typesetting" w:hAnsi="Arabic Typesetting" w:cs="Arabic Typesetting"/>
                <w:color w:val="000000"/>
                <w:sz w:val="28"/>
                <w:szCs w:val="28"/>
              </w:rPr>
              <w:t xml:space="preserve">752 </w:t>
            </w:r>
          </w:p>
        </w:tc>
        <w:tc>
          <w:tcPr>
            <w:tcW w:w="970" w:type="pct"/>
            <w:shd w:val="clear" w:color="auto" w:fill="auto"/>
            <w:vAlign w:val="center"/>
          </w:tcPr>
          <w:p w14:paraId="5DD4CF5B" w14:textId="77777777" w:rsidR="00AE137A" w:rsidRPr="002A7AFB" w:rsidRDefault="00AE137A" w:rsidP="0031289D">
            <w:pPr>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2A7AFB">
              <w:rPr>
                <w:rFonts w:ascii="Arabic Typesetting" w:hAnsi="Arabic Typesetting" w:cs="Arabic Typesetting"/>
                <w:color w:val="000000"/>
                <w:sz w:val="28"/>
                <w:szCs w:val="28"/>
              </w:rPr>
              <w:t xml:space="preserve">863 </w:t>
            </w:r>
          </w:p>
        </w:tc>
        <w:tc>
          <w:tcPr>
            <w:tcW w:w="970" w:type="pct"/>
            <w:shd w:val="clear" w:color="auto" w:fill="auto"/>
            <w:vAlign w:val="center"/>
          </w:tcPr>
          <w:p w14:paraId="4823C82D" w14:textId="77777777" w:rsidR="00AE137A" w:rsidRPr="002A7AFB" w:rsidRDefault="00AE137A" w:rsidP="0031289D">
            <w:pPr>
              <w:bidi/>
              <w:jc w:val="center"/>
              <w:rPr>
                <w:rFonts w:ascii="Arabic Typesetting" w:hAnsi="Arabic Typesetting" w:cs="Arabic Typesetting"/>
                <w:color w:val="000000"/>
                <w:sz w:val="28"/>
                <w:szCs w:val="28"/>
                <w:rtl/>
                <w:lang w:bidi="ar-EG"/>
              </w:rPr>
            </w:pPr>
            <w:r>
              <w:rPr>
                <w:rFonts w:ascii="Arabic Typesetting" w:hAnsi="Arabic Typesetting" w:cs="Arabic Typesetting"/>
                <w:color w:val="000000"/>
                <w:sz w:val="28"/>
                <w:szCs w:val="28"/>
                <w:lang w:bidi="ar-EG"/>
              </w:rPr>
              <w:t>50</w:t>
            </w:r>
            <w:r>
              <w:rPr>
                <w:rFonts w:ascii="Arabic Typesetting" w:hAnsi="Arabic Typesetting" w:cs="Arabic Typesetting" w:hint="cs"/>
                <w:color w:val="000000"/>
                <w:sz w:val="28"/>
                <w:szCs w:val="28"/>
                <w:rtl/>
                <w:lang w:bidi="ar-EG"/>
              </w:rPr>
              <w:t>%</w:t>
            </w:r>
          </w:p>
        </w:tc>
      </w:tr>
      <w:tr w:rsidR="00AE137A" w:rsidRPr="00211D55" w14:paraId="10FC7070" w14:textId="77777777" w:rsidTr="00BB3820">
        <w:trPr>
          <w:trHeight w:val="70"/>
        </w:trPr>
        <w:tc>
          <w:tcPr>
            <w:tcW w:w="1120" w:type="pct"/>
            <w:shd w:val="clear" w:color="auto" w:fill="auto"/>
            <w:noWrap/>
            <w:vAlign w:val="center"/>
            <w:hideMark/>
          </w:tcPr>
          <w:p w14:paraId="1E6E7B09" w14:textId="77777777" w:rsidR="00AE137A" w:rsidRPr="00211D55" w:rsidRDefault="00AE137A"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shd w:val="clear" w:color="auto" w:fill="auto"/>
            <w:vAlign w:val="center"/>
          </w:tcPr>
          <w:p w14:paraId="0F72DCCB" w14:textId="77777777" w:rsidR="00AE137A" w:rsidRPr="002A7AFB" w:rsidRDefault="00AE137A" w:rsidP="0031289D">
            <w:pPr>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 xml:space="preserve">765 </w:t>
            </w:r>
          </w:p>
        </w:tc>
        <w:tc>
          <w:tcPr>
            <w:tcW w:w="970" w:type="pct"/>
            <w:shd w:val="clear" w:color="auto" w:fill="auto"/>
            <w:vAlign w:val="center"/>
          </w:tcPr>
          <w:p w14:paraId="448D0707" w14:textId="77777777" w:rsidR="00AE137A" w:rsidRPr="002A7AFB" w:rsidRDefault="00AE137A" w:rsidP="0031289D">
            <w:pPr>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2A7AFB">
              <w:rPr>
                <w:rFonts w:ascii="Arabic Typesetting" w:hAnsi="Arabic Typesetting" w:cs="Arabic Typesetting"/>
                <w:color w:val="000000"/>
                <w:sz w:val="28"/>
                <w:szCs w:val="28"/>
              </w:rPr>
              <w:t xml:space="preserve">295 </w:t>
            </w:r>
          </w:p>
        </w:tc>
        <w:tc>
          <w:tcPr>
            <w:tcW w:w="970" w:type="pct"/>
            <w:shd w:val="clear" w:color="auto" w:fill="auto"/>
            <w:vAlign w:val="center"/>
          </w:tcPr>
          <w:p w14:paraId="7153629E" w14:textId="77777777" w:rsidR="00AE137A" w:rsidRPr="002A7AFB" w:rsidRDefault="00AE137A" w:rsidP="0031289D">
            <w:pPr>
              <w:jc w:val="center"/>
              <w:rPr>
                <w:rFonts w:ascii="Arabic Typesetting" w:hAnsi="Arabic Typesetting" w:cs="Arabic Typesetting"/>
                <w:color w:val="000000"/>
                <w:sz w:val="28"/>
                <w:szCs w:val="28"/>
              </w:rPr>
            </w:pPr>
            <w:r w:rsidRPr="002A7AFB">
              <w:rPr>
                <w:rFonts w:ascii="Arabic Typesetting" w:hAnsi="Arabic Typesetting" w:cs="Arabic Typesetting"/>
                <w:color w:val="000000"/>
                <w:sz w:val="28"/>
                <w:szCs w:val="28"/>
              </w:rPr>
              <w:t xml:space="preserve">431 </w:t>
            </w:r>
          </w:p>
        </w:tc>
        <w:tc>
          <w:tcPr>
            <w:tcW w:w="970" w:type="pct"/>
            <w:shd w:val="clear" w:color="auto" w:fill="auto"/>
            <w:vAlign w:val="center"/>
          </w:tcPr>
          <w:p w14:paraId="26FB47C1" w14:textId="77777777" w:rsidR="00AE137A" w:rsidRPr="002A7AFB" w:rsidRDefault="00AE137A" w:rsidP="0031289D">
            <w:pPr>
              <w:bidi/>
              <w:jc w:val="center"/>
              <w:rPr>
                <w:rFonts w:ascii="Arabic Typesetting" w:hAnsi="Arabic Typesetting" w:cs="Arabic Typesetting"/>
                <w:color w:val="000000"/>
                <w:sz w:val="28"/>
                <w:szCs w:val="28"/>
                <w:rtl/>
                <w:lang w:bidi="ar-EG"/>
              </w:rPr>
            </w:pPr>
            <w:r>
              <w:rPr>
                <w:rFonts w:ascii="Arabic Typesetting" w:hAnsi="Arabic Typesetting" w:cs="Arabic Typesetting"/>
                <w:color w:val="000000"/>
                <w:sz w:val="28"/>
                <w:szCs w:val="28"/>
              </w:rPr>
              <w:t>33</w:t>
            </w:r>
            <w:r>
              <w:rPr>
                <w:rFonts w:ascii="Arabic Typesetting" w:hAnsi="Arabic Typesetting" w:cs="Arabic Typesetting" w:hint="cs"/>
                <w:color w:val="000000"/>
                <w:sz w:val="28"/>
                <w:szCs w:val="28"/>
                <w:rtl/>
                <w:lang w:bidi="ar-EG"/>
              </w:rPr>
              <w:t>%</w:t>
            </w:r>
          </w:p>
        </w:tc>
      </w:tr>
      <w:tr w:rsidR="00AE137A" w:rsidRPr="00211D55" w14:paraId="1FD9AD0B" w14:textId="77777777" w:rsidTr="00AF6433">
        <w:trPr>
          <w:trHeight w:val="70"/>
        </w:trPr>
        <w:tc>
          <w:tcPr>
            <w:tcW w:w="1120" w:type="pct"/>
            <w:shd w:val="clear" w:color="auto" w:fill="C6D9F1"/>
            <w:noWrap/>
            <w:vAlign w:val="center"/>
            <w:hideMark/>
          </w:tcPr>
          <w:p w14:paraId="3F722A71" w14:textId="77777777" w:rsidR="00AE137A" w:rsidRPr="00211D55" w:rsidRDefault="00AE137A"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shd w:val="clear" w:color="auto" w:fill="C6D9F1"/>
            <w:vAlign w:val="center"/>
          </w:tcPr>
          <w:p w14:paraId="19D2FBE8" w14:textId="77777777" w:rsidR="00AE137A" w:rsidRPr="002A7AFB" w:rsidRDefault="00AE137A" w:rsidP="0031289D">
            <w:pPr>
              <w:jc w:val="center"/>
              <w:rPr>
                <w:rFonts w:ascii="Arabic Typesetting" w:hAnsi="Arabic Typesetting" w:cs="Arabic Typesetting"/>
                <w:b/>
                <w:bCs/>
                <w:color w:val="000000"/>
                <w:sz w:val="28"/>
                <w:szCs w:val="28"/>
              </w:rPr>
            </w:pPr>
            <w:r w:rsidRPr="002A7AFB">
              <w:rPr>
                <w:rFonts w:ascii="Arabic Typesetting" w:hAnsi="Arabic Typesetting" w:cs="Arabic Typesetting"/>
                <w:b/>
                <w:bCs/>
                <w:color w:val="000000"/>
                <w:sz w:val="28"/>
                <w:szCs w:val="28"/>
              </w:rPr>
              <w:t>4</w:t>
            </w:r>
            <w:r>
              <w:rPr>
                <w:rFonts w:ascii="Arabic Typesetting" w:hAnsi="Arabic Typesetting" w:cs="Arabic Typesetting"/>
                <w:b/>
                <w:bCs/>
                <w:color w:val="000000"/>
                <w:sz w:val="28"/>
                <w:szCs w:val="28"/>
              </w:rPr>
              <w:t> </w:t>
            </w:r>
            <w:r w:rsidRPr="002A7AFB">
              <w:rPr>
                <w:rFonts w:ascii="Arabic Typesetting" w:hAnsi="Arabic Typesetting" w:cs="Arabic Typesetting"/>
                <w:b/>
                <w:bCs/>
                <w:color w:val="000000"/>
                <w:sz w:val="28"/>
                <w:szCs w:val="28"/>
              </w:rPr>
              <w:t xml:space="preserve">854 </w:t>
            </w:r>
          </w:p>
        </w:tc>
        <w:tc>
          <w:tcPr>
            <w:tcW w:w="970" w:type="pct"/>
            <w:shd w:val="clear" w:color="auto" w:fill="C6D9F1"/>
            <w:vAlign w:val="center"/>
          </w:tcPr>
          <w:p w14:paraId="4E16B85D" w14:textId="77777777" w:rsidR="00AE137A" w:rsidRPr="002A7AFB" w:rsidRDefault="00AE137A" w:rsidP="0031289D">
            <w:pPr>
              <w:jc w:val="center"/>
              <w:rPr>
                <w:rFonts w:ascii="Arabic Typesetting" w:hAnsi="Arabic Typesetting" w:cs="Arabic Typesetting"/>
                <w:b/>
                <w:bCs/>
                <w:color w:val="000000"/>
                <w:sz w:val="28"/>
                <w:szCs w:val="28"/>
              </w:rPr>
            </w:pPr>
            <w:r w:rsidRPr="002A7AFB">
              <w:rPr>
                <w:rFonts w:ascii="Arabic Typesetting" w:hAnsi="Arabic Typesetting" w:cs="Arabic Typesetting"/>
                <w:b/>
                <w:bCs/>
                <w:color w:val="000000"/>
                <w:sz w:val="28"/>
                <w:szCs w:val="28"/>
              </w:rPr>
              <w:t>5</w:t>
            </w:r>
            <w:r>
              <w:rPr>
                <w:rFonts w:ascii="Arabic Typesetting" w:hAnsi="Arabic Typesetting" w:cs="Arabic Typesetting"/>
                <w:b/>
                <w:bCs/>
                <w:color w:val="000000"/>
                <w:sz w:val="28"/>
                <w:szCs w:val="28"/>
              </w:rPr>
              <w:t> </w:t>
            </w:r>
            <w:r w:rsidRPr="002A7AFB">
              <w:rPr>
                <w:rFonts w:ascii="Arabic Typesetting" w:hAnsi="Arabic Typesetting" w:cs="Arabic Typesetting"/>
                <w:b/>
                <w:bCs/>
                <w:color w:val="000000"/>
                <w:sz w:val="28"/>
                <w:szCs w:val="28"/>
              </w:rPr>
              <w:t xml:space="preserve">047 </w:t>
            </w:r>
          </w:p>
        </w:tc>
        <w:tc>
          <w:tcPr>
            <w:tcW w:w="970" w:type="pct"/>
            <w:shd w:val="clear" w:color="auto" w:fill="C6D9F1"/>
            <w:vAlign w:val="center"/>
          </w:tcPr>
          <w:p w14:paraId="58ABB3C1" w14:textId="77777777" w:rsidR="00AE137A" w:rsidRPr="002A7AFB" w:rsidRDefault="00AE137A" w:rsidP="0031289D">
            <w:pPr>
              <w:jc w:val="center"/>
              <w:rPr>
                <w:rFonts w:ascii="Arabic Typesetting" w:hAnsi="Arabic Typesetting" w:cs="Arabic Typesetting"/>
                <w:b/>
                <w:bCs/>
                <w:color w:val="000000"/>
                <w:sz w:val="28"/>
                <w:szCs w:val="28"/>
              </w:rPr>
            </w:pPr>
            <w:r w:rsidRPr="002A7AFB">
              <w:rPr>
                <w:rFonts w:ascii="Arabic Typesetting" w:hAnsi="Arabic Typesetting" w:cs="Arabic Typesetting"/>
                <w:b/>
                <w:bCs/>
                <w:color w:val="000000"/>
                <w:sz w:val="28"/>
                <w:szCs w:val="28"/>
              </w:rPr>
              <w:t>2</w:t>
            </w:r>
            <w:r>
              <w:rPr>
                <w:rFonts w:ascii="Arabic Typesetting" w:hAnsi="Arabic Typesetting" w:cs="Arabic Typesetting"/>
                <w:b/>
                <w:bCs/>
                <w:color w:val="000000"/>
                <w:sz w:val="28"/>
                <w:szCs w:val="28"/>
              </w:rPr>
              <w:t> </w:t>
            </w:r>
            <w:r w:rsidRPr="002A7AFB">
              <w:rPr>
                <w:rFonts w:ascii="Arabic Typesetting" w:hAnsi="Arabic Typesetting" w:cs="Arabic Typesetting"/>
                <w:b/>
                <w:bCs/>
                <w:color w:val="000000"/>
                <w:sz w:val="28"/>
                <w:szCs w:val="28"/>
              </w:rPr>
              <w:t xml:space="preserve">293 </w:t>
            </w:r>
          </w:p>
        </w:tc>
        <w:tc>
          <w:tcPr>
            <w:tcW w:w="970" w:type="pct"/>
            <w:shd w:val="clear" w:color="auto" w:fill="C6D9F1"/>
            <w:vAlign w:val="center"/>
          </w:tcPr>
          <w:p w14:paraId="4E1BE980" w14:textId="77777777" w:rsidR="00AE137A" w:rsidRPr="002A7AFB" w:rsidRDefault="00AE137A" w:rsidP="0031289D">
            <w:pPr>
              <w:bidi/>
              <w:jc w:val="center"/>
              <w:rPr>
                <w:rFonts w:ascii="Arabic Typesetting" w:hAnsi="Arabic Typesetting" w:cs="Arabic Typesetting"/>
                <w:b/>
                <w:bCs/>
                <w:color w:val="000000"/>
                <w:sz w:val="28"/>
                <w:szCs w:val="28"/>
                <w:rtl/>
                <w:lang w:bidi="ar-EG"/>
              </w:rPr>
            </w:pPr>
            <w:r>
              <w:rPr>
                <w:rFonts w:ascii="Arabic Typesetting" w:hAnsi="Arabic Typesetting" w:cs="Arabic Typesetting"/>
                <w:b/>
                <w:bCs/>
                <w:color w:val="000000"/>
                <w:sz w:val="28"/>
                <w:szCs w:val="28"/>
              </w:rPr>
              <w:t>45</w:t>
            </w:r>
            <w:r>
              <w:rPr>
                <w:rFonts w:ascii="Arabic Typesetting" w:hAnsi="Arabic Typesetting" w:cs="Arabic Typesetting" w:hint="cs"/>
                <w:b/>
                <w:bCs/>
                <w:color w:val="000000"/>
                <w:sz w:val="28"/>
                <w:szCs w:val="28"/>
                <w:rtl/>
                <w:lang w:bidi="ar-EG"/>
              </w:rPr>
              <w:t>%</w:t>
            </w:r>
          </w:p>
        </w:tc>
      </w:tr>
      <w:tr w:rsidR="00AE137A" w:rsidRPr="00211D55" w14:paraId="6A5D5590" w14:textId="77777777" w:rsidTr="00BB3820">
        <w:trPr>
          <w:trHeight w:val="540"/>
        </w:trPr>
        <w:tc>
          <w:tcPr>
            <w:tcW w:w="5000" w:type="pct"/>
            <w:gridSpan w:val="5"/>
            <w:shd w:val="clear" w:color="auto" w:fill="auto"/>
            <w:noWrap/>
            <w:vAlign w:val="center"/>
          </w:tcPr>
          <w:p w14:paraId="7CD034CB" w14:textId="77777777" w:rsidR="00AE137A" w:rsidRDefault="00AE137A"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5A86399E" w14:textId="77777777" w:rsidR="00AE137A" w:rsidRPr="00D41845" w:rsidRDefault="00AE137A"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 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19A8561F" w14:textId="77777777" w:rsidR="00AE137A" w:rsidRPr="00706F20" w:rsidRDefault="00AE137A" w:rsidP="0031289D">
      <w:pPr>
        <w:keepNext/>
        <w:pageBreakBefore/>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69FCB0CF" w14:textId="77777777" w:rsidR="00AE137A" w:rsidRDefault="00AE137A" w:rsidP="00D94CDB">
      <w:pPr>
        <w:numPr>
          <w:ilvl w:val="1"/>
          <w:numId w:val="64"/>
        </w:numPr>
        <w:bidi/>
        <w:spacing w:after="240" w:line="36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تُعزى الزيادة في خلاف موارد الموظفين إلى تحويل موارد إضافية لتغطية "1" عقد الدورة الثانية للجنة العلامات في عام</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2017 كما هو مبيَّن في النتيجة المرتقبة ه1.1 (تعاون معزز بين الدول الأعضاء)؛ "2" وتغطية تكاليف إضافية للندوة العالمية بشأن المؤشرات الجغرافية المعقودة في الصين؛ "3" وتقديم دعم أكثر فعالية للطلب المتزايد على المشورة التشريعية.</w:t>
      </w:r>
    </w:p>
    <w:p w14:paraId="1E17F554" w14:textId="77777777" w:rsidR="00AE137A" w:rsidRDefault="00AE137A" w:rsidP="00D94CDB">
      <w:pPr>
        <w:numPr>
          <w:ilvl w:val="1"/>
          <w:numId w:val="64"/>
        </w:numPr>
        <w:bidi/>
        <w:spacing w:after="240" w:line="36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ويُعزى الانخفاض في موارد الموظفين مقارنة بالميزانية المعتمدة 2016/17 إلى إعادة توزيع الوفورات المتراكمة في البرنامج على أولويات تنظيمية أخرى.</w:t>
      </w:r>
    </w:p>
    <w:p w14:paraId="182B6239" w14:textId="01335DB2" w:rsidR="00AE137A" w:rsidRDefault="00AE137A" w:rsidP="00D94CDB">
      <w:pPr>
        <w:numPr>
          <w:ilvl w:val="1"/>
          <w:numId w:val="64"/>
        </w:numPr>
        <w:bidi/>
        <w:spacing w:after="240" w:line="36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ويُعزى الانخفاض الطفيف في الموارد المخصصة للنتيجة المرتقبة ه2.1 (المشورة التشريعية) إلى إعادة تخصيص موارد الموظفين للنتيجة المرتقبة ه1.1 من أجل دعم الدورة الثانية للجنة العلامات في عام 2017 وللنتيجة المرتقبة ه3.1 (حماية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متزايدة</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لشعارات</w:t>
      </w:r>
      <w:r w:rsidR="00FB05FB">
        <w:rPr>
          <w:rFonts w:ascii="Arabic Typesetting" w:hAnsi="Arabic Typesetting" w:cs="Arabic Typesetting" w:hint="eastAsia"/>
          <w:sz w:val="34"/>
          <w:szCs w:val="34"/>
          <w:rtl/>
        </w:rPr>
        <w:t> </w:t>
      </w:r>
      <w:r>
        <w:rPr>
          <w:rFonts w:ascii="Arabic Typesetting" w:hAnsi="Arabic Typesetting" w:cs="Arabic Typesetting" w:hint="cs"/>
          <w:sz w:val="34"/>
          <w:szCs w:val="34"/>
          <w:rtl/>
        </w:rPr>
        <w:t>الدول).</w:t>
      </w:r>
    </w:p>
    <w:p w14:paraId="5363DBDA" w14:textId="6DC0ACB8" w:rsidR="00AE137A" w:rsidRDefault="00AE137A" w:rsidP="00D94CDB">
      <w:pPr>
        <w:numPr>
          <w:ilvl w:val="1"/>
          <w:numId w:val="64"/>
        </w:numPr>
        <w:bidi/>
        <w:spacing w:after="240" w:line="360" w:lineRule="exact"/>
        <w:ind w:left="0" w:hanging="1"/>
        <w:rPr>
          <w:rFonts w:ascii="Arabic Typesetting" w:hAnsi="Arabic Typesetting" w:cs="Arabic Typesetting"/>
          <w:sz w:val="34"/>
          <w:szCs w:val="34"/>
        </w:rPr>
      </w:pPr>
      <w:r>
        <w:rPr>
          <w:rFonts w:ascii="Arabic Typesetting" w:hAnsi="Arabic Typesetting" w:cs="Arabic Typesetting" w:hint="cs"/>
          <w:sz w:val="34"/>
          <w:szCs w:val="34"/>
          <w:rtl/>
        </w:rPr>
        <w:t>وتظهر الموارد المخصصة للنتيجة المرتقبة ه4.3 (آليات تعاونية معززة) المو</w:t>
      </w:r>
      <w:r w:rsidR="000764CB">
        <w:rPr>
          <w:rFonts w:ascii="Arabic Typesetting" w:hAnsi="Arabic Typesetting" w:cs="Arabic Typesetting" w:hint="cs"/>
          <w:sz w:val="34"/>
          <w:szCs w:val="34"/>
          <w:rtl/>
        </w:rPr>
        <w:t>ار</w:t>
      </w:r>
      <w:r>
        <w:rPr>
          <w:rFonts w:ascii="Arabic Typesetting" w:hAnsi="Arabic Typesetting" w:cs="Arabic Typesetting" w:hint="cs"/>
          <w:sz w:val="34"/>
          <w:szCs w:val="34"/>
          <w:rtl/>
        </w:rPr>
        <w:t>د المخصصة لمشروع أجندة التنمية بشأن الملكية الفكرية وإنشاء التصاميم.</w:t>
      </w:r>
    </w:p>
    <w:p w14:paraId="38F62E69" w14:textId="77777777" w:rsidR="00AE137A" w:rsidRPr="00706F20" w:rsidRDefault="00AE137A"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575F416B" w14:textId="77777777" w:rsidR="00AE137A" w:rsidRDefault="00AE137A" w:rsidP="00D94CDB">
      <w:pPr>
        <w:numPr>
          <w:ilvl w:val="1"/>
          <w:numId w:val="64"/>
        </w:numPr>
        <w:bidi/>
        <w:spacing w:after="240" w:line="360" w:lineRule="exact"/>
        <w:ind w:left="0" w:hanging="1"/>
        <w:rPr>
          <w:rFonts w:ascii="Arabic Typesetting" w:hAnsi="Arabic Typesetting" w:cs="Arabic Typesetting"/>
          <w:sz w:val="34"/>
          <w:szCs w:val="34"/>
        </w:rPr>
      </w:pPr>
      <w:r>
        <w:rPr>
          <w:rFonts w:ascii="Arabic Typesetting" w:hAnsi="Arabic Typesetting" w:cs="Arabic Typesetting" w:hint="cs"/>
          <w:sz w:val="34"/>
          <w:szCs w:val="34"/>
          <w:rtl/>
        </w:rPr>
        <w:t>كانت نسبة استخدام الميزانية ضمن النطاق المتوقع المتراوح بين 40 و60 بالمئة للسنة الأولى من الثنائية.</w:t>
      </w:r>
    </w:p>
    <w:p w14:paraId="7C5D8673" w14:textId="2FE1E6CE" w:rsidR="00AE137A" w:rsidRDefault="00AE137A"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7B013AB8" w14:textId="77777777" w:rsidR="00AE137A" w:rsidRPr="00C97E85" w:rsidRDefault="00AE137A" w:rsidP="00DA7DF7">
      <w:pPr>
        <w:pStyle w:val="Heading3"/>
        <w:ind w:left="1984" w:hanging="1984"/>
        <w:rPr>
          <w:rtl/>
        </w:rPr>
      </w:pPr>
      <w:bookmarkStart w:id="14" w:name="_Toc482782742"/>
      <w:r w:rsidRPr="00C97E85">
        <w:rPr>
          <w:rtl/>
        </w:rPr>
        <w:lastRenderedPageBreak/>
        <w:t>البرنامج</w:t>
      </w:r>
      <w:r w:rsidRPr="00C97E85">
        <w:rPr>
          <w:rFonts w:hint="cs"/>
          <w:rtl/>
        </w:rPr>
        <w:t xml:space="preserve"> 3:</w:t>
      </w:r>
      <w:r w:rsidRPr="00C97E85">
        <w:tab/>
      </w:r>
      <w:r w:rsidRPr="00C97E85">
        <w:rPr>
          <w:rtl/>
        </w:rPr>
        <w:t>حق المؤلف والحقوق المجاورة</w:t>
      </w:r>
      <w:bookmarkEnd w:id="14"/>
    </w:p>
    <w:p w14:paraId="79369E86" w14:textId="26E21085" w:rsidR="00AE137A" w:rsidRDefault="00AE137A"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w:t>
      </w:r>
      <w:r>
        <w:rPr>
          <w:rFonts w:ascii="Arabic Typesetting" w:hAnsi="Arabic Typesetting" w:cs="Arabic Typesetting" w:hint="cs"/>
          <w:b/>
          <w:bCs/>
          <w:sz w:val="36"/>
          <w:szCs w:val="36"/>
          <w:rtl/>
          <w:lang w:val="fr-CH"/>
        </w:rPr>
        <w:t>ة</w:t>
      </w:r>
      <w:r w:rsidRPr="00FE3908">
        <w:rPr>
          <w:rFonts w:ascii="Arabic Typesetting" w:hAnsi="Arabic Typesetting" w:cs="Arabic Typesetting"/>
          <w:b/>
          <w:bCs/>
          <w:sz w:val="36"/>
          <w:szCs w:val="36"/>
          <w:rtl/>
          <w:lang w:val="fr-CH"/>
        </w:rPr>
        <w:t xml:space="preserve">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F20129">
        <w:rPr>
          <w:rFonts w:ascii="Arabic Typesetting" w:hAnsi="Arabic Typesetting" w:cs="Arabic Typesetting"/>
          <w:b/>
          <w:bCs/>
          <w:sz w:val="36"/>
          <w:szCs w:val="36"/>
          <w:rtl/>
          <w:lang w:val="fr-CH"/>
        </w:rPr>
        <w:t>السيدة</w:t>
      </w:r>
      <w:r w:rsidR="00B21DCA">
        <w:rPr>
          <w:rFonts w:ascii="Arabic Typesetting" w:hAnsi="Arabic Typesetting" w:cs="Arabic Typesetting" w:hint="cs"/>
          <w:b/>
          <w:bCs/>
          <w:sz w:val="36"/>
          <w:szCs w:val="36"/>
          <w:rtl/>
          <w:lang w:val="fr-CH"/>
        </w:rPr>
        <w:t>:</w:t>
      </w:r>
      <w:r w:rsidRPr="00F20129">
        <w:rPr>
          <w:rFonts w:ascii="Arabic Typesetting" w:hAnsi="Arabic Typesetting" w:cs="Arabic Typesetting"/>
          <w:b/>
          <w:bCs/>
          <w:sz w:val="36"/>
          <w:szCs w:val="36"/>
          <w:rtl/>
          <w:lang w:val="fr-CH"/>
        </w:rPr>
        <w:t xml:space="preserve"> </w:t>
      </w:r>
      <w:r w:rsidR="00B21DCA">
        <w:rPr>
          <w:rFonts w:ascii="Arabic Typesetting" w:hAnsi="Arabic Typesetting" w:cs="Arabic Typesetting" w:hint="cs"/>
          <w:b/>
          <w:bCs/>
          <w:sz w:val="36"/>
          <w:szCs w:val="36"/>
          <w:rtl/>
          <w:lang w:val="fr-CH"/>
        </w:rPr>
        <w:t>س</w:t>
      </w:r>
      <w:r w:rsidR="0097248B">
        <w:rPr>
          <w:rFonts w:ascii="Arabic Typesetting" w:hAnsi="Arabic Typesetting" w:cs="Arabic Typesetting" w:hint="cs"/>
          <w:b/>
          <w:bCs/>
          <w:sz w:val="36"/>
          <w:szCs w:val="36"/>
          <w:rtl/>
          <w:lang w:val="fr-CH"/>
        </w:rPr>
        <w:t>يلفي</w:t>
      </w:r>
      <w:r w:rsidR="00B21DCA">
        <w:rPr>
          <w:rFonts w:ascii="Arabic Typesetting" w:hAnsi="Arabic Typesetting" w:cs="Arabic Typesetting" w:hint="cs"/>
          <w:b/>
          <w:bCs/>
          <w:sz w:val="36"/>
          <w:szCs w:val="36"/>
          <w:rtl/>
          <w:lang w:val="fr-CH"/>
        </w:rPr>
        <w:t xml:space="preserve"> فوربين</w:t>
      </w:r>
    </w:p>
    <w:p w14:paraId="3F6C7A48" w14:textId="77777777" w:rsidR="00AE137A" w:rsidRDefault="00AE137A"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4DEDBA3E" wp14:editId="50374E64">
            <wp:extent cx="3640074"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0074" cy="2160000"/>
                    </a:xfrm>
                    <a:prstGeom prst="rect">
                      <a:avLst/>
                    </a:prstGeom>
                    <a:noFill/>
                  </pic:spPr>
                </pic:pic>
              </a:graphicData>
            </a:graphic>
          </wp:inline>
        </w:drawing>
      </w:r>
    </w:p>
    <w:tbl>
      <w:tblPr>
        <w:bidiVisual/>
        <w:tblW w:w="5000" w:type="pct"/>
        <w:tblCellMar>
          <w:left w:w="115" w:type="dxa"/>
          <w:right w:w="115" w:type="dxa"/>
        </w:tblCellMar>
        <w:tblLook w:val="0000" w:firstRow="0" w:lastRow="0" w:firstColumn="0" w:lastColumn="0" w:noHBand="0" w:noVBand="0"/>
      </w:tblPr>
      <w:tblGrid>
        <w:gridCol w:w="1938"/>
        <w:gridCol w:w="2800"/>
        <w:gridCol w:w="1277"/>
        <w:gridCol w:w="2193"/>
        <w:gridCol w:w="1263"/>
      </w:tblGrid>
      <w:tr w:rsidR="00AE137A" w:rsidRPr="00F20129" w14:paraId="5F277310" w14:textId="77777777" w:rsidTr="00BB3820">
        <w:trPr>
          <w:cantSplit/>
          <w:trHeight w:val="565"/>
        </w:trPr>
        <w:tc>
          <w:tcPr>
            <w:tcW w:w="5000" w:type="pct"/>
            <w:gridSpan w:val="5"/>
            <w:shd w:val="clear" w:color="auto" w:fill="C6D9F1"/>
            <w:tcMar>
              <w:left w:w="58" w:type="dxa"/>
              <w:right w:w="58" w:type="dxa"/>
            </w:tcMar>
            <w:vAlign w:val="center"/>
          </w:tcPr>
          <w:p w14:paraId="3F9C02E2" w14:textId="3D42D8BB" w:rsidR="00AE137A" w:rsidRPr="00F20129" w:rsidRDefault="00AE137A"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‏النتيجة المرتقبة:</w:t>
            </w:r>
            <w:r w:rsidRPr="00F20129">
              <w:rPr>
                <w:rFonts w:ascii="Arabic Typesetting" w:eastAsia="Arabic Typesetting" w:hAnsi="Arabic Typesetting" w:cs="Arabic Typesetting"/>
                <w:sz w:val="28"/>
                <w:szCs w:val="28"/>
                <w:lang w:eastAsia="ar-EG" w:bidi="ar-EG"/>
              </w:rPr>
              <w:tab/>
            </w:r>
            <w:r w:rsidRPr="00F20129">
              <w:rPr>
                <w:rFonts w:ascii="Arabic Typesetting" w:eastAsia="Arabic Typesetting" w:hAnsi="Arabic Typesetting" w:cs="Arabic Typesetting"/>
                <w:sz w:val="28"/>
                <w:szCs w:val="28"/>
                <w:rtl/>
                <w:lang w:eastAsia="ar-EG" w:bidi="ar-EG"/>
              </w:rPr>
              <w:t>ه1.1</w:t>
            </w:r>
            <w:r>
              <w:rPr>
                <w:rFonts w:ascii="Arabic Typesetting" w:eastAsia="Arabic Typesetting" w:hAnsi="Arabic Typesetting" w:cs="Arabic Typesetting" w:hint="cs"/>
                <w:sz w:val="28"/>
                <w:szCs w:val="28"/>
                <w:rtl/>
                <w:lang w:eastAsia="ar-EG" w:bidi="ar-EG"/>
              </w:rPr>
              <w:t xml:space="preserve"> </w:t>
            </w:r>
            <w:r w:rsidR="009834BA">
              <w:rPr>
                <w:rFonts w:ascii="Arabic Typesetting" w:hAnsi="Arabic Typesetting" w:cs="Arabic Typesetting"/>
                <w:sz w:val="28"/>
                <w:szCs w:val="28"/>
                <w:rtl/>
                <w:lang w:bidi="ar-EG"/>
              </w:rPr>
              <w:t>تعاون معزز بين الدول الأعضاء في وضع أطر تقنينية دولية متوازنة في مجال الملكية الفكرية</w:t>
            </w:r>
          </w:p>
        </w:tc>
      </w:tr>
      <w:tr w:rsidR="00AE137A" w:rsidRPr="00F20129" w14:paraId="77AD3B18" w14:textId="77777777" w:rsidTr="00BB3820">
        <w:trPr>
          <w:cantSplit/>
        </w:trPr>
        <w:tc>
          <w:tcPr>
            <w:tcW w:w="1023" w:type="pct"/>
            <w:shd w:val="clear" w:color="auto" w:fill="auto"/>
            <w:tcMar>
              <w:left w:w="58" w:type="dxa"/>
              <w:right w:w="58" w:type="dxa"/>
            </w:tcMar>
            <w:vAlign w:val="center"/>
          </w:tcPr>
          <w:p w14:paraId="07761A49" w14:textId="77777777" w:rsidR="00AE137A" w:rsidRPr="00F20129" w:rsidRDefault="00AE137A" w:rsidP="0031289D">
            <w:pPr>
              <w:keepNext/>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مؤشرات الأداء</w:t>
            </w:r>
          </w:p>
        </w:tc>
        <w:tc>
          <w:tcPr>
            <w:tcW w:w="1478" w:type="pct"/>
            <w:shd w:val="clear" w:color="auto" w:fill="auto"/>
            <w:tcMar>
              <w:left w:w="58" w:type="dxa"/>
              <w:right w:w="58" w:type="dxa"/>
            </w:tcMar>
            <w:vAlign w:val="center"/>
          </w:tcPr>
          <w:p w14:paraId="58DB2475" w14:textId="77777777" w:rsidR="00AE137A" w:rsidRPr="00F20129" w:rsidRDefault="00AE137A" w:rsidP="0031289D">
            <w:pPr>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أسس المقارنة</w:t>
            </w:r>
          </w:p>
        </w:tc>
        <w:tc>
          <w:tcPr>
            <w:tcW w:w="674" w:type="pct"/>
            <w:shd w:val="clear" w:color="auto" w:fill="auto"/>
            <w:tcMar>
              <w:top w:w="110" w:type="dxa"/>
              <w:left w:w="29" w:type="dxa"/>
              <w:right w:w="29" w:type="dxa"/>
            </w:tcMar>
            <w:vAlign w:val="center"/>
          </w:tcPr>
          <w:p w14:paraId="6A127059" w14:textId="77777777" w:rsidR="00AE137A" w:rsidRPr="00F20129" w:rsidRDefault="00AE137A" w:rsidP="0031289D">
            <w:pPr>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الأهداف</w:t>
            </w:r>
          </w:p>
        </w:tc>
        <w:tc>
          <w:tcPr>
            <w:tcW w:w="1158" w:type="pct"/>
            <w:shd w:val="clear" w:color="auto" w:fill="FFFFFF"/>
            <w:tcMar>
              <w:top w:w="110" w:type="dxa"/>
              <w:left w:w="58" w:type="dxa"/>
              <w:right w:w="58" w:type="dxa"/>
            </w:tcMar>
            <w:vAlign w:val="center"/>
          </w:tcPr>
          <w:p w14:paraId="606CE9FC" w14:textId="77777777" w:rsidR="00AE137A" w:rsidRPr="00F20129" w:rsidRDefault="00AE137A" w:rsidP="0031289D">
            <w:pPr>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بيانات الأداء</w:t>
            </w:r>
          </w:p>
        </w:tc>
        <w:tc>
          <w:tcPr>
            <w:tcW w:w="667" w:type="pct"/>
            <w:shd w:val="clear" w:color="auto" w:fill="auto"/>
            <w:tcMar>
              <w:top w:w="110" w:type="dxa"/>
              <w:left w:w="58" w:type="dxa"/>
              <w:right w:w="58" w:type="dxa"/>
            </w:tcMar>
            <w:vAlign w:val="center"/>
          </w:tcPr>
          <w:p w14:paraId="4D5958B7" w14:textId="77777777" w:rsidR="00AE137A" w:rsidRPr="00F20129" w:rsidRDefault="00AE137A" w:rsidP="0031289D">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AE137A" w:rsidRPr="00F20129" w14:paraId="5A904CD7" w14:textId="77777777" w:rsidTr="00BB3820">
        <w:trPr>
          <w:cantSplit/>
          <w:trHeight w:val="2500"/>
        </w:trPr>
        <w:tc>
          <w:tcPr>
            <w:tcW w:w="1023" w:type="pct"/>
            <w:shd w:val="clear" w:color="auto" w:fill="auto"/>
            <w:tcMar>
              <w:left w:w="58" w:type="dxa"/>
              <w:right w:w="58" w:type="dxa"/>
            </w:tcMar>
          </w:tcPr>
          <w:p w14:paraId="4BC10706" w14:textId="5835ED0C"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 xml:space="preserve">التقدم المحرز في تنفيذ العمل المتفق عليه </w:t>
            </w:r>
            <w:r w:rsidR="00D95EA7">
              <w:rPr>
                <w:rFonts w:ascii="Arabic Typesetting" w:eastAsia="Arabic Typesetting" w:hAnsi="Arabic Typesetting" w:cs="Arabic Typesetting"/>
                <w:color w:val="000000"/>
                <w:sz w:val="28"/>
                <w:szCs w:val="28"/>
                <w:rtl/>
                <w:lang w:eastAsia="ar-EG" w:bidi="ar-EG"/>
              </w:rPr>
              <w:t>وفقا لجدول أعمال لجنة حق المؤلف</w:t>
            </w:r>
          </w:p>
        </w:tc>
        <w:tc>
          <w:tcPr>
            <w:tcW w:w="1478" w:type="pct"/>
            <w:shd w:val="clear" w:color="auto" w:fill="auto"/>
            <w:tcMar>
              <w:left w:w="58" w:type="dxa"/>
              <w:right w:w="58" w:type="dxa"/>
            </w:tcMar>
          </w:tcPr>
          <w:p w14:paraId="47373C08" w14:textId="77777777" w:rsidR="00AE137A" w:rsidRPr="00F20129"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لم تتوصل لجنة حق المؤلف والجمعية العامة للويبو إلى اتفاق على الخطوات التي ينبغي اتخاذها من أجل الدعوة إلى عقد مؤتمر دبلوماسي لاعتماد</w:t>
            </w:r>
            <w:r>
              <w:rPr>
                <w:rFonts w:ascii="Arabic Typesetting" w:eastAsia="Arabic Typesetting" w:hAnsi="Arabic Typesetting" w:cs="Arabic Typesetting"/>
                <w:color w:val="002060"/>
                <w:sz w:val="28"/>
                <w:szCs w:val="28"/>
                <w:rtl/>
                <w:lang w:eastAsia="ar-EG" w:bidi="ar-EG"/>
              </w:rPr>
              <w:t xml:space="preserve"> معاهدة بشأن حماية هيئات</w:t>
            </w:r>
            <w:r>
              <w:rPr>
                <w:rFonts w:ascii="Arabic Typesetting" w:eastAsia="Arabic Typesetting" w:hAnsi="Arabic Typesetting" w:cs="Arabic Typesetting" w:hint="cs"/>
                <w:color w:val="002060"/>
                <w:sz w:val="28"/>
                <w:szCs w:val="28"/>
                <w:rtl/>
                <w:lang w:eastAsia="ar-EG" w:bidi="ar-EG"/>
              </w:rPr>
              <w:t> </w:t>
            </w:r>
            <w:r>
              <w:rPr>
                <w:rFonts w:ascii="Arabic Typesetting" w:eastAsia="Arabic Typesetting" w:hAnsi="Arabic Typesetting" w:cs="Arabic Typesetting"/>
                <w:color w:val="002060"/>
                <w:sz w:val="28"/>
                <w:szCs w:val="28"/>
                <w:rtl/>
                <w:lang w:eastAsia="ar-EG" w:bidi="ar-EG"/>
              </w:rPr>
              <w:t>البث.</w:t>
            </w:r>
          </w:p>
          <w:p w14:paraId="2D06EA5B"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color w:val="002060"/>
                <w:sz w:val="28"/>
                <w:szCs w:val="28"/>
                <w:rtl/>
                <w:lang w:eastAsia="ar-EG" w:bidi="ar-EG"/>
              </w:rPr>
              <w:t>التقدم المحرز كما هو مبيَّن في ملخص الرئيس</w:t>
            </w:r>
            <w:r w:rsidRPr="00F20129">
              <w:rPr>
                <w:rFonts w:ascii="Arabic Typesetting" w:eastAsia="Arabic Typesetting" w:hAnsi="Arabic Typesetting" w:cs="Arabic Typesetting"/>
                <w:color w:val="002060"/>
                <w:sz w:val="28"/>
                <w:szCs w:val="28"/>
                <w:vertAlign w:val="superscript"/>
                <w:lang w:eastAsia="ar-EG" w:bidi="ar-EG"/>
              </w:rPr>
              <w:footnoteReference w:id="15"/>
            </w:r>
          </w:p>
          <w:p w14:paraId="7D596AAA"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لم تتوصل لجنة حق المؤلف والجمعية العامة للويبو لعام 2014 إلى اتفاق بشأن اتخاذ خطوات من أجل عقد مؤتمر دبلوماسي لمعاهدة بشأن حماية هيئات البث (تقرير</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أداء</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البرنامج 2014)</w:t>
            </w:r>
          </w:p>
        </w:tc>
        <w:tc>
          <w:tcPr>
            <w:tcW w:w="674" w:type="pct"/>
            <w:shd w:val="clear" w:color="auto" w:fill="auto"/>
            <w:tcMar>
              <w:top w:w="110" w:type="dxa"/>
              <w:left w:w="29" w:type="dxa"/>
              <w:right w:w="29" w:type="dxa"/>
            </w:tcMar>
          </w:tcPr>
          <w:p w14:paraId="6A5DF224"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نتائج اللجنة المتفق</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عليها</w:t>
            </w:r>
          </w:p>
        </w:tc>
        <w:tc>
          <w:tcPr>
            <w:tcW w:w="1158" w:type="pct"/>
            <w:shd w:val="clear" w:color="auto" w:fill="FFFFFF"/>
            <w:tcMar>
              <w:top w:w="110" w:type="dxa"/>
              <w:left w:w="58" w:type="dxa"/>
              <w:right w:w="58" w:type="dxa"/>
            </w:tcMar>
          </w:tcPr>
          <w:p w14:paraId="311F4EFB"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sz w:val="28"/>
                <w:szCs w:val="28"/>
                <w:rtl/>
                <w:lang w:eastAsia="ar-EG" w:bidi="ar-EG"/>
              </w:rPr>
              <w:t>أحرزت لجنة حق المؤلف تقدماً في مختلف البنود الموضوعية لجدول أعمالها كما هو مبيَّن في ملخصَي الرئيس (للدورة 32</w:t>
            </w:r>
            <w:r>
              <w:rPr>
                <w:rFonts w:ascii="Arabic Typesetting" w:eastAsia="Arabic Typesetting" w:hAnsi="Arabic Typesetting" w:cs="Arabic Typesetting" w:hint="cs"/>
                <w:sz w:val="28"/>
                <w:szCs w:val="28"/>
                <w:rtl/>
                <w:lang w:eastAsia="ar-EG" w:bidi="ar-EG"/>
              </w:rPr>
              <w:t xml:space="preserve"> </w:t>
            </w:r>
            <w:r w:rsidRPr="00F20129">
              <w:rPr>
                <w:rFonts w:ascii="Arabic Typesetting" w:eastAsia="Arabic Typesetting" w:hAnsi="Arabic Typesetting" w:cs="Arabic Typesetting"/>
                <w:color w:val="000000"/>
                <w:sz w:val="28"/>
                <w:szCs w:val="28"/>
                <w:vertAlign w:val="superscript"/>
                <w:lang w:eastAsia="ar-EG" w:bidi="ar-EG"/>
              </w:rPr>
              <w:footnoteReference w:id="16"/>
            </w:r>
            <w:r>
              <w:rPr>
                <w:rFonts w:ascii="Arabic Typesetting" w:eastAsia="Arabic Typesetting" w:hAnsi="Arabic Typesetting" w:cs="Arabic Typesetting" w:hint="cs"/>
                <w:sz w:val="28"/>
                <w:szCs w:val="28"/>
                <w:rtl/>
                <w:lang w:eastAsia="ar-EG" w:bidi="ar-EG"/>
              </w:rPr>
              <w:t xml:space="preserve"> </w:t>
            </w:r>
            <w:r w:rsidRPr="00F20129">
              <w:rPr>
                <w:rFonts w:ascii="Arabic Typesetting" w:eastAsia="Arabic Typesetting" w:hAnsi="Arabic Typesetting" w:cs="Arabic Typesetting"/>
                <w:sz w:val="28"/>
                <w:szCs w:val="28"/>
                <w:rtl/>
                <w:lang w:eastAsia="ar-EG" w:bidi="ar-EG"/>
              </w:rPr>
              <w:t>و33</w:t>
            </w:r>
            <w:r>
              <w:rPr>
                <w:rFonts w:ascii="Arabic Typesetting" w:eastAsia="Arabic Typesetting" w:hAnsi="Arabic Typesetting" w:cs="Arabic Typesetting" w:hint="cs"/>
                <w:sz w:val="28"/>
                <w:szCs w:val="28"/>
                <w:rtl/>
                <w:lang w:eastAsia="ar-EG" w:bidi="ar-EG"/>
              </w:rPr>
              <w:t xml:space="preserve"> </w:t>
            </w:r>
            <w:r w:rsidRPr="00F20129">
              <w:rPr>
                <w:rFonts w:ascii="Arabic Typesetting" w:eastAsia="Arabic Typesetting" w:hAnsi="Arabic Typesetting" w:cs="Arabic Typesetting"/>
                <w:sz w:val="28"/>
                <w:szCs w:val="28"/>
                <w:vertAlign w:val="superscript"/>
                <w:lang w:eastAsia="ar-EG" w:bidi="ar-EG"/>
              </w:rPr>
              <w:footnoteReference w:id="17"/>
            </w:r>
            <w:r w:rsidRPr="00F20129">
              <w:rPr>
                <w:rFonts w:ascii="Arabic Typesetting" w:eastAsia="Arabic Typesetting" w:hAnsi="Arabic Typesetting" w:cs="Arabic Typesetting"/>
                <w:sz w:val="28"/>
                <w:szCs w:val="28"/>
                <w:rtl/>
                <w:lang w:eastAsia="ar-EG" w:bidi="ar-EG"/>
              </w:rPr>
              <w:t>) ووجهت الجمعية العامة للويبو لعام 2016 اللجنة إلى مواصلة عملها</w:t>
            </w:r>
          </w:p>
        </w:tc>
        <w:tc>
          <w:tcPr>
            <w:tcW w:w="667" w:type="pct"/>
            <w:shd w:val="clear" w:color="auto" w:fill="auto"/>
            <w:tcMar>
              <w:top w:w="110" w:type="dxa"/>
              <w:left w:w="58" w:type="dxa"/>
              <w:right w:w="58" w:type="dxa"/>
            </w:tcMar>
          </w:tcPr>
          <w:p w14:paraId="1925CF59" w14:textId="77777777" w:rsidR="00AE137A" w:rsidRPr="00F20129" w:rsidRDefault="00AE137A" w:rsidP="0031289D">
            <w:pPr>
              <w:bidi/>
              <w:spacing w:after="120" w:line="280" w:lineRule="exact"/>
              <w:jc w:val="center"/>
              <w:rPr>
                <w:rFonts w:ascii="Arabic Typesetting" w:eastAsia="Arabic Typesetting" w:hAnsi="Arabic Typesetting" w:cs="Arabic Typesetting"/>
                <w:b/>
                <w:bCs/>
                <w:i/>
                <w:color w:val="000000"/>
                <w:sz w:val="28"/>
                <w:szCs w:val="28"/>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r w:rsidR="00AE137A" w:rsidRPr="00F20129" w14:paraId="0646A302" w14:textId="77777777" w:rsidTr="00BB3820">
        <w:trPr>
          <w:cantSplit/>
          <w:trHeight w:val="432"/>
        </w:trPr>
        <w:tc>
          <w:tcPr>
            <w:tcW w:w="5000" w:type="pct"/>
            <w:gridSpan w:val="5"/>
            <w:shd w:val="clear" w:color="auto" w:fill="C6D9F1"/>
            <w:tcMar>
              <w:left w:w="29" w:type="dxa"/>
              <w:right w:w="29" w:type="dxa"/>
            </w:tcMar>
            <w:vAlign w:val="center"/>
          </w:tcPr>
          <w:p w14:paraId="6CE0C731" w14:textId="4BA4E192" w:rsidR="00AE137A" w:rsidRPr="00F20129" w:rsidRDefault="00AE137A"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lastRenderedPageBreak/>
              <w:t>‏النتيجة المرتقبة:</w:t>
            </w:r>
            <w:r w:rsidRPr="00F20129">
              <w:rPr>
                <w:rFonts w:ascii="Arabic Typesetting" w:eastAsia="Arabic Typesetting" w:hAnsi="Arabic Typesetting" w:cs="Arabic Typesetting"/>
                <w:sz w:val="28"/>
                <w:szCs w:val="28"/>
                <w:lang w:eastAsia="ar-EG" w:bidi="ar-EG"/>
              </w:rPr>
              <w:tab/>
            </w:r>
            <w:r w:rsidRPr="00F20129">
              <w:rPr>
                <w:rFonts w:ascii="Arabic Typesetting" w:eastAsia="Arabic Typesetting" w:hAnsi="Arabic Typesetting" w:cs="Arabic Typesetting"/>
                <w:color w:val="000000"/>
                <w:sz w:val="28"/>
                <w:szCs w:val="28"/>
                <w:rtl/>
                <w:lang w:eastAsia="ar-EG" w:bidi="ar-EG"/>
              </w:rPr>
              <w:t>ه2.1</w:t>
            </w:r>
            <w:r>
              <w:rPr>
                <w:rFonts w:ascii="Arabic Typesetting" w:eastAsia="Arabic Typesetting" w:hAnsi="Arabic Typesetting" w:cs="Arabic Typesetting" w:hint="cs"/>
                <w:sz w:val="28"/>
                <w:szCs w:val="28"/>
                <w:rtl/>
                <w:lang w:eastAsia="ar-EG" w:bidi="ar-EG"/>
              </w:rPr>
              <w:t xml:space="preserve"> </w:t>
            </w:r>
            <w:r w:rsidR="009834BA">
              <w:rPr>
                <w:rFonts w:ascii="Arabic Typesetting" w:eastAsia="Arabic Typesetting" w:hAnsi="Arabic Typesetting" w:cs="Arabic Typesetting"/>
                <w:color w:val="000000"/>
                <w:sz w:val="28"/>
                <w:szCs w:val="28"/>
                <w:rtl/>
                <w:lang w:eastAsia="ar-EG" w:bidi="ar-EG"/>
              </w:rPr>
              <w:t>أطر تشريعية وتنظيمية وسياسية مكيّفة ومتوازنة في مجال الملكية الفكرية</w:t>
            </w:r>
          </w:p>
        </w:tc>
      </w:tr>
      <w:tr w:rsidR="00AE137A" w:rsidRPr="00F20129" w14:paraId="7115063F" w14:textId="77777777" w:rsidTr="00BB3820">
        <w:trPr>
          <w:cantSplit/>
        </w:trPr>
        <w:tc>
          <w:tcPr>
            <w:tcW w:w="1023" w:type="pct"/>
            <w:shd w:val="clear" w:color="auto" w:fill="auto"/>
            <w:tcMar>
              <w:left w:w="58" w:type="dxa"/>
              <w:right w:w="58" w:type="dxa"/>
            </w:tcMar>
            <w:vAlign w:val="center"/>
          </w:tcPr>
          <w:p w14:paraId="5EE82F1C" w14:textId="77777777" w:rsidR="00AE137A" w:rsidRPr="00F20129" w:rsidRDefault="00AE137A" w:rsidP="0031289D">
            <w:pPr>
              <w:keepNext/>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مؤشرات الأداء</w:t>
            </w:r>
          </w:p>
        </w:tc>
        <w:tc>
          <w:tcPr>
            <w:tcW w:w="1478" w:type="pct"/>
            <w:shd w:val="clear" w:color="auto" w:fill="auto"/>
            <w:tcMar>
              <w:left w:w="58" w:type="dxa"/>
              <w:right w:w="58" w:type="dxa"/>
            </w:tcMar>
            <w:vAlign w:val="center"/>
          </w:tcPr>
          <w:p w14:paraId="0C642588" w14:textId="77777777" w:rsidR="00AE137A" w:rsidRPr="00F20129" w:rsidRDefault="00AE137A" w:rsidP="0031289D">
            <w:pPr>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أسس المقارنة</w:t>
            </w:r>
          </w:p>
        </w:tc>
        <w:tc>
          <w:tcPr>
            <w:tcW w:w="674" w:type="pct"/>
            <w:shd w:val="clear" w:color="auto" w:fill="auto"/>
            <w:tcMar>
              <w:top w:w="110" w:type="dxa"/>
              <w:left w:w="29" w:type="dxa"/>
              <w:right w:w="29" w:type="dxa"/>
            </w:tcMar>
            <w:vAlign w:val="center"/>
          </w:tcPr>
          <w:p w14:paraId="79009C82" w14:textId="77777777" w:rsidR="00AE137A" w:rsidRPr="00F20129" w:rsidRDefault="00AE137A" w:rsidP="0031289D">
            <w:pPr>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الأهداف</w:t>
            </w:r>
          </w:p>
        </w:tc>
        <w:tc>
          <w:tcPr>
            <w:tcW w:w="1158" w:type="pct"/>
            <w:shd w:val="clear" w:color="auto" w:fill="FFFFFF"/>
            <w:tcMar>
              <w:top w:w="110" w:type="dxa"/>
              <w:left w:w="58" w:type="dxa"/>
              <w:right w:w="58" w:type="dxa"/>
            </w:tcMar>
            <w:vAlign w:val="center"/>
          </w:tcPr>
          <w:p w14:paraId="278119B8" w14:textId="77777777" w:rsidR="00AE137A" w:rsidRPr="00F20129" w:rsidRDefault="00AE137A" w:rsidP="0031289D">
            <w:pPr>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بيانات الأداء</w:t>
            </w:r>
          </w:p>
        </w:tc>
        <w:tc>
          <w:tcPr>
            <w:tcW w:w="667" w:type="pct"/>
            <w:shd w:val="clear" w:color="auto" w:fill="auto"/>
            <w:tcMar>
              <w:top w:w="110" w:type="dxa"/>
              <w:left w:w="58" w:type="dxa"/>
              <w:right w:w="58" w:type="dxa"/>
            </w:tcMar>
            <w:vAlign w:val="center"/>
          </w:tcPr>
          <w:p w14:paraId="1EC4704D" w14:textId="77777777" w:rsidR="00AE137A" w:rsidRPr="00F20129" w:rsidRDefault="00AE137A" w:rsidP="0031289D">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AE137A" w:rsidRPr="00F20129" w14:paraId="29BA00FC" w14:textId="77777777" w:rsidTr="00BB3820">
        <w:trPr>
          <w:cantSplit/>
          <w:trHeight w:val="1258"/>
        </w:trPr>
        <w:tc>
          <w:tcPr>
            <w:tcW w:w="1023" w:type="pct"/>
            <w:shd w:val="clear" w:color="auto" w:fill="auto"/>
            <w:tcMar>
              <w:left w:w="58" w:type="dxa"/>
              <w:right w:w="58" w:type="dxa"/>
            </w:tcMar>
          </w:tcPr>
          <w:p w14:paraId="4E9D9BA4" w14:textId="77777777" w:rsidR="00AE137A" w:rsidRPr="00F20129" w:rsidRDefault="00AE137A" w:rsidP="0031289D">
            <w:pPr>
              <w:bidi/>
              <w:spacing w:after="120" w:line="280" w:lineRule="exact"/>
              <w:rPr>
                <w:rFonts w:ascii="Arabic Typesetting" w:eastAsia="Arabic Typesetting" w:hAnsi="Arabic Typesetting" w:cs="Arabic Typesetting"/>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عدد البلدان التي صدقت على معاهدة بيجين أو انضمت إليها</w:t>
            </w:r>
          </w:p>
        </w:tc>
        <w:tc>
          <w:tcPr>
            <w:tcW w:w="1478" w:type="pct"/>
            <w:shd w:val="clear" w:color="auto" w:fill="auto"/>
            <w:tcMar>
              <w:left w:w="58" w:type="dxa"/>
              <w:right w:w="58" w:type="dxa"/>
            </w:tcMar>
          </w:tcPr>
          <w:p w14:paraId="0F68CD0E"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10 بلدان إجمالاً (بوتسوانا وشيلي والصين واليابان وقطر وجمهورية مولدوفا والاتحاد الروسي وسلوفاكيا والجمهورية العربية السورية والإمارات العربية المتحدة)</w:t>
            </w:r>
          </w:p>
          <w:p w14:paraId="428F49D5"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6 (نهاية 2014)</w:t>
            </w:r>
          </w:p>
        </w:tc>
        <w:tc>
          <w:tcPr>
            <w:tcW w:w="674" w:type="pct"/>
            <w:shd w:val="clear" w:color="auto" w:fill="auto"/>
            <w:tcMar>
              <w:top w:w="110" w:type="dxa"/>
              <w:left w:w="29" w:type="dxa"/>
              <w:right w:w="29" w:type="dxa"/>
            </w:tcMar>
          </w:tcPr>
          <w:p w14:paraId="0E104F9E"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30 (تراكمي)</w:t>
            </w:r>
          </w:p>
        </w:tc>
        <w:tc>
          <w:tcPr>
            <w:tcW w:w="1158" w:type="pct"/>
            <w:shd w:val="clear" w:color="auto" w:fill="FFFFFF"/>
            <w:tcMar>
              <w:top w:w="110" w:type="dxa"/>
              <w:left w:w="58" w:type="dxa"/>
              <w:right w:w="58" w:type="dxa"/>
            </w:tcMar>
          </w:tcPr>
          <w:p w14:paraId="22CB0EB5" w14:textId="77777777" w:rsidR="00AE137A" w:rsidRPr="00F20129" w:rsidRDefault="00AE137A" w:rsidP="0031289D">
            <w:pPr>
              <w:bidi/>
              <w:spacing w:after="120" w:line="280" w:lineRule="exact"/>
              <w:rPr>
                <w:rFonts w:ascii="Arabic Typesetting" w:eastAsia="Arabic Typesetting" w:hAnsi="Arabic Typesetting" w:cs="Arabic Typesetting"/>
                <w:sz w:val="28"/>
                <w:szCs w:val="28"/>
                <w:lang w:eastAsia="ar-EG" w:bidi="ar-EG"/>
              </w:rPr>
            </w:pPr>
            <w:r w:rsidRPr="00F20129">
              <w:rPr>
                <w:rFonts w:ascii="Arabic Typesetting" w:eastAsia="Arabic Typesetting" w:hAnsi="Arabic Typesetting" w:cs="Arabic Typesetting"/>
                <w:sz w:val="28"/>
                <w:szCs w:val="28"/>
                <w:rtl/>
                <w:lang w:eastAsia="ar-EG" w:bidi="ar-EG"/>
              </w:rPr>
              <w:t>5 بلدان إضافية</w:t>
            </w:r>
            <w:r>
              <w:rPr>
                <w:rFonts w:ascii="Arabic Typesetting" w:eastAsia="Arabic Typesetting" w:hAnsi="Arabic Typesetting" w:cs="Arabic Typesetting" w:hint="cs"/>
                <w:sz w:val="28"/>
                <w:szCs w:val="28"/>
                <w:rtl/>
                <w:lang w:eastAsia="ar-EG" w:bidi="ar-EG"/>
              </w:rPr>
              <w:t xml:space="preserve"> </w:t>
            </w:r>
            <w:r w:rsidRPr="00F20129">
              <w:rPr>
                <w:rFonts w:ascii="Arabic Typesetting" w:eastAsia="Arabic Typesetting" w:hAnsi="Arabic Typesetting" w:cs="Arabic Typesetting"/>
                <w:sz w:val="28"/>
                <w:szCs w:val="28"/>
                <w:rtl/>
                <w:lang w:eastAsia="ar-EG" w:bidi="ar-EG"/>
              </w:rPr>
              <w:t>(جمهورية كوريا الشعبية الديمقراطية والسلفادور وغابون وسانت فنسنت وجزر غرينادين وتونس)</w:t>
            </w:r>
          </w:p>
          <w:p w14:paraId="62FFF2F8"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sz w:val="28"/>
                <w:szCs w:val="28"/>
                <w:rtl/>
                <w:lang w:eastAsia="ar-EG" w:bidi="ar-EG"/>
              </w:rPr>
              <w:t>(التراكمي 15 بنهاية 2016)</w:t>
            </w:r>
          </w:p>
        </w:tc>
        <w:tc>
          <w:tcPr>
            <w:tcW w:w="667" w:type="pct"/>
            <w:shd w:val="clear" w:color="auto" w:fill="auto"/>
            <w:tcMar>
              <w:top w:w="110" w:type="dxa"/>
              <w:left w:w="58" w:type="dxa"/>
              <w:right w:w="58" w:type="dxa"/>
            </w:tcMar>
          </w:tcPr>
          <w:p w14:paraId="1018FD4C"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FF0000"/>
                <w:sz w:val="28"/>
                <w:szCs w:val="28"/>
                <w:rtl/>
                <w:lang w:eastAsia="ar-EG" w:bidi="ar-EG"/>
              </w:rPr>
              <w:t>غير ثابت</w:t>
            </w:r>
          </w:p>
        </w:tc>
      </w:tr>
      <w:tr w:rsidR="00AE137A" w:rsidRPr="00F20129" w14:paraId="4EA4FB9D" w14:textId="77777777" w:rsidTr="00BB3820">
        <w:trPr>
          <w:cantSplit/>
          <w:trHeight w:val="306"/>
        </w:trPr>
        <w:tc>
          <w:tcPr>
            <w:tcW w:w="1023" w:type="pct"/>
            <w:shd w:val="clear" w:color="auto" w:fill="auto"/>
            <w:tcMar>
              <w:left w:w="58" w:type="dxa"/>
              <w:right w:w="58" w:type="dxa"/>
            </w:tcMar>
          </w:tcPr>
          <w:p w14:paraId="5FC49C1C" w14:textId="77777777" w:rsidR="00AE137A" w:rsidRPr="00F20129" w:rsidRDefault="00AE137A" w:rsidP="0031289D">
            <w:pPr>
              <w:bidi/>
              <w:spacing w:after="120" w:line="280" w:lineRule="exact"/>
              <w:rPr>
                <w:rFonts w:ascii="Arabic Typesetting" w:eastAsia="Arabic Typesetting" w:hAnsi="Arabic Typesetting" w:cs="Arabic Typesetting"/>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عدد البلدان التي صدقت على معاهدة مراكش أو انضمت إليها</w:t>
            </w:r>
          </w:p>
        </w:tc>
        <w:tc>
          <w:tcPr>
            <w:tcW w:w="1478" w:type="pct"/>
            <w:shd w:val="clear" w:color="auto" w:fill="auto"/>
            <w:tcMar>
              <w:left w:w="58" w:type="dxa"/>
              <w:right w:w="58" w:type="dxa"/>
            </w:tcMar>
          </w:tcPr>
          <w:p w14:paraId="14A5D2D7"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13 بلدان إجمالاً (الأرجنتين وأستراليا والبرازيل والسلفادور والهند ومالي والمكسيك ومنغوليا وباراغواي وجمهورية كوريا وسنغافورة والإمارات العربية المتحدة وأوروغواي)</w:t>
            </w:r>
          </w:p>
          <w:p w14:paraId="38962E77" w14:textId="77777777" w:rsidR="00AE137A" w:rsidRPr="00F20129" w:rsidRDefault="00AE137A"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5 (نهاية 2014)</w:t>
            </w:r>
          </w:p>
        </w:tc>
        <w:tc>
          <w:tcPr>
            <w:tcW w:w="674" w:type="pct"/>
            <w:shd w:val="clear" w:color="auto" w:fill="auto"/>
            <w:tcMar>
              <w:top w:w="110" w:type="dxa"/>
              <w:left w:w="29" w:type="dxa"/>
              <w:right w:w="29" w:type="dxa"/>
            </w:tcMar>
          </w:tcPr>
          <w:p w14:paraId="74815315"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20 (تراكمي)</w:t>
            </w:r>
          </w:p>
        </w:tc>
        <w:tc>
          <w:tcPr>
            <w:tcW w:w="1158" w:type="pct"/>
            <w:shd w:val="clear" w:color="auto" w:fill="FFFFFF"/>
            <w:tcMar>
              <w:top w:w="110" w:type="dxa"/>
              <w:left w:w="58" w:type="dxa"/>
              <w:right w:w="58" w:type="dxa"/>
            </w:tcMar>
          </w:tcPr>
          <w:p w14:paraId="205D5440" w14:textId="77777777" w:rsidR="00AE137A" w:rsidRPr="00F20129" w:rsidRDefault="00AE137A" w:rsidP="0031289D">
            <w:pPr>
              <w:bidi/>
              <w:spacing w:after="120" w:line="280" w:lineRule="exact"/>
              <w:rPr>
                <w:rFonts w:ascii="Arabic Typesetting" w:eastAsia="Arabic Typesetting" w:hAnsi="Arabic Typesetting" w:cs="Arabic Typesetting"/>
                <w:sz w:val="28"/>
                <w:szCs w:val="28"/>
                <w:lang w:eastAsia="ar-EG" w:bidi="ar-EG"/>
              </w:rPr>
            </w:pPr>
            <w:r w:rsidRPr="00F20129">
              <w:rPr>
                <w:rFonts w:ascii="Arabic Typesetting" w:eastAsia="Arabic Typesetting" w:hAnsi="Arabic Typesetting" w:cs="Arabic Typesetting"/>
                <w:sz w:val="28"/>
                <w:szCs w:val="28"/>
                <w:rtl/>
                <w:lang w:eastAsia="ar-EG" w:bidi="ar-EG"/>
              </w:rPr>
              <w:t>12 بلدا</w:t>
            </w:r>
            <w:r>
              <w:rPr>
                <w:rFonts w:ascii="Arabic Typesetting" w:eastAsia="Arabic Typesetting" w:hAnsi="Arabic Typesetting" w:cs="Arabic Typesetting" w:hint="cs"/>
                <w:sz w:val="28"/>
                <w:szCs w:val="28"/>
                <w:rtl/>
                <w:lang w:eastAsia="ar-EG" w:bidi="ar-EG"/>
              </w:rPr>
              <w:t>ً</w:t>
            </w:r>
            <w:r>
              <w:rPr>
                <w:rFonts w:ascii="Arabic Typesetting" w:eastAsia="Arabic Typesetting" w:hAnsi="Arabic Typesetting" w:cs="Arabic Typesetting"/>
                <w:sz w:val="28"/>
                <w:szCs w:val="28"/>
                <w:rtl/>
                <w:lang w:eastAsia="ar-EG" w:bidi="ar-EG"/>
              </w:rPr>
              <w:t xml:space="preserve"> إضافي</w:t>
            </w:r>
            <w:r>
              <w:rPr>
                <w:rFonts w:ascii="Arabic Typesetting" w:eastAsia="Arabic Typesetting" w:hAnsi="Arabic Typesetting" w:cs="Arabic Typesetting" w:hint="cs"/>
                <w:sz w:val="28"/>
                <w:szCs w:val="28"/>
                <w:rtl/>
                <w:lang w:eastAsia="ar-EG" w:bidi="ar-EG"/>
              </w:rPr>
              <w:t xml:space="preserve">اً </w:t>
            </w:r>
            <w:r w:rsidRPr="00F20129">
              <w:rPr>
                <w:rFonts w:ascii="Arabic Typesetting" w:eastAsia="Arabic Typesetting" w:hAnsi="Arabic Typesetting" w:cs="Arabic Typesetting"/>
                <w:sz w:val="28"/>
                <w:szCs w:val="28"/>
                <w:rtl/>
                <w:lang w:eastAsia="ar-EG" w:bidi="ar-EG"/>
              </w:rPr>
              <w:t>(بوتسوانا وكندا وشيلي وجمهورية كوريا الشعبية الديمقراطية وإكوادور وغواتيمالا وإسرائيل وليبيريا وبيرو سانت فنسنت وجزر غرينادين وسري لانكا وتونس)</w:t>
            </w:r>
          </w:p>
          <w:p w14:paraId="3775EC66" w14:textId="77777777" w:rsidR="00AE137A" w:rsidRPr="00F20129" w:rsidRDefault="00AE137A" w:rsidP="0031289D">
            <w:pPr>
              <w:bidi/>
              <w:spacing w:after="120" w:line="280" w:lineRule="exact"/>
              <w:rPr>
                <w:rFonts w:ascii="Arabic Typesetting" w:eastAsia="Arabic Typesetting" w:hAnsi="Arabic Typesetting" w:cs="Arabic Typesetting"/>
                <w:sz w:val="28"/>
                <w:szCs w:val="28"/>
                <w:lang w:eastAsia="ar-EG" w:bidi="ar-EG"/>
              </w:rPr>
            </w:pPr>
            <w:r w:rsidRPr="00F20129">
              <w:rPr>
                <w:rFonts w:ascii="Arabic Typesetting" w:eastAsia="Arabic Typesetting" w:hAnsi="Arabic Typesetting" w:cs="Arabic Typesetting"/>
                <w:sz w:val="28"/>
                <w:szCs w:val="28"/>
                <w:rtl/>
                <w:lang w:eastAsia="ar-EG" w:bidi="ar-EG"/>
              </w:rPr>
              <w:t>(التراكمي 25)</w:t>
            </w:r>
          </w:p>
        </w:tc>
        <w:tc>
          <w:tcPr>
            <w:tcW w:w="667" w:type="pct"/>
            <w:shd w:val="clear" w:color="auto" w:fill="auto"/>
            <w:tcMar>
              <w:top w:w="110" w:type="dxa"/>
              <w:left w:w="58" w:type="dxa"/>
              <w:right w:w="58" w:type="dxa"/>
            </w:tcMar>
          </w:tcPr>
          <w:p w14:paraId="41FAD408"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r w:rsidR="00AE137A" w:rsidRPr="00F20129" w14:paraId="61806D17" w14:textId="77777777" w:rsidTr="00BB3820">
        <w:trPr>
          <w:cantSplit/>
          <w:trHeight w:val="1389"/>
        </w:trPr>
        <w:tc>
          <w:tcPr>
            <w:tcW w:w="1023" w:type="pct"/>
            <w:shd w:val="clear" w:color="auto" w:fill="auto"/>
            <w:tcMar>
              <w:left w:w="58" w:type="dxa"/>
              <w:right w:w="58" w:type="dxa"/>
            </w:tcMar>
          </w:tcPr>
          <w:p w14:paraId="2A55A588" w14:textId="77777777" w:rsidR="00AE137A" w:rsidRPr="00F20129" w:rsidRDefault="00AE137A" w:rsidP="0031289D">
            <w:pPr>
              <w:bidi/>
              <w:spacing w:after="120" w:line="280" w:lineRule="exact"/>
              <w:rPr>
                <w:rFonts w:ascii="Arabic Typesetting" w:eastAsia="Arabic Typesetting" w:hAnsi="Arabic Typesetting" w:cs="Arabic Typesetting"/>
                <w:sz w:val="28"/>
                <w:szCs w:val="28"/>
                <w:lang w:eastAsia="ar-EG" w:bidi="ar-EG"/>
              </w:rPr>
            </w:pPr>
            <w:r w:rsidRPr="00F20129">
              <w:rPr>
                <w:rFonts w:ascii="Arabic Typesetting" w:eastAsia="Arabic Typesetting" w:hAnsi="Arabic Typesetting" w:cs="Arabic Typesetting"/>
                <w:sz w:val="28"/>
                <w:szCs w:val="28"/>
                <w:rtl/>
                <w:lang w:eastAsia="ar-EG" w:bidi="ar-EG"/>
              </w:rPr>
              <w:t>عدد حالات التصديق على معاهدات حق المؤلف السارية، بما في ذلك معاهدة برن ومعاهدة روما والمعاهدات الخاصة بالإنترنت، أو حالات الانضمام إليها</w:t>
            </w:r>
          </w:p>
        </w:tc>
        <w:tc>
          <w:tcPr>
            <w:tcW w:w="1478" w:type="pct"/>
            <w:shd w:val="clear" w:color="auto" w:fill="auto"/>
            <w:tcMar>
              <w:left w:w="58" w:type="dxa"/>
              <w:right w:w="58" w:type="dxa"/>
            </w:tcMar>
          </w:tcPr>
          <w:p w14:paraId="32BC10AC"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5 تصديقات جديدة في 2014/15</w:t>
            </w:r>
          </w:p>
          <w:p w14:paraId="73D86E26"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غير متاح (مؤشر مراجع)</w:t>
            </w:r>
          </w:p>
        </w:tc>
        <w:tc>
          <w:tcPr>
            <w:tcW w:w="674" w:type="pct"/>
            <w:shd w:val="clear" w:color="auto" w:fill="auto"/>
            <w:tcMar>
              <w:top w:w="110" w:type="dxa"/>
              <w:left w:w="29" w:type="dxa"/>
              <w:right w:w="29" w:type="dxa"/>
            </w:tcMar>
          </w:tcPr>
          <w:p w14:paraId="51069593"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10 حالات جديدة في كل المعاهدات</w:t>
            </w:r>
          </w:p>
        </w:tc>
        <w:tc>
          <w:tcPr>
            <w:tcW w:w="1158" w:type="pct"/>
            <w:shd w:val="clear" w:color="auto" w:fill="FFFFFF"/>
            <w:tcMar>
              <w:top w:w="110" w:type="dxa"/>
              <w:left w:w="58" w:type="dxa"/>
              <w:right w:w="58" w:type="dxa"/>
            </w:tcMar>
          </w:tcPr>
          <w:p w14:paraId="04A5064B" w14:textId="77777777" w:rsidR="00AE137A" w:rsidRPr="00F20129" w:rsidRDefault="00AE137A" w:rsidP="0031289D">
            <w:pPr>
              <w:bidi/>
              <w:spacing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5 تصديقات جديدة:</w:t>
            </w:r>
          </w:p>
          <w:p w14:paraId="49EF0F36"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اتفاقية برن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3 (التراكمي 171)</w:t>
            </w:r>
          </w:p>
          <w:p w14:paraId="73276BA6"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معاهدات الإنترنت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1 (التراكمي 189)</w:t>
            </w:r>
          </w:p>
          <w:p w14:paraId="4A59A1C3" w14:textId="7D96F495"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 xml:space="preserve">‏اتفاقية </w:t>
            </w:r>
            <w:r w:rsidR="00D02C02" w:rsidRPr="00D02C02">
              <w:rPr>
                <w:rFonts w:ascii="Arabic Typesetting" w:eastAsia="Arabic Typesetting" w:hAnsi="Arabic Typesetting" w:cs="Arabic Typesetting"/>
                <w:color w:val="000000"/>
                <w:sz w:val="28"/>
                <w:szCs w:val="28"/>
                <w:rtl/>
                <w:lang w:eastAsia="ar-EG" w:bidi="ar-EG"/>
              </w:rPr>
              <w:t>التسجيلات الصوتية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1 (التراكمي 79)</w:t>
            </w:r>
          </w:p>
        </w:tc>
        <w:tc>
          <w:tcPr>
            <w:tcW w:w="667" w:type="pct"/>
            <w:shd w:val="clear" w:color="auto" w:fill="auto"/>
            <w:tcMar>
              <w:top w:w="110" w:type="dxa"/>
              <w:left w:w="58" w:type="dxa"/>
              <w:right w:w="58" w:type="dxa"/>
            </w:tcMar>
          </w:tcPr>
          <w:p w14:paraId="6B9F8363"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r w:rsidR="00AE137A" w:rsidRPr="00F20129" w14:paraId="70FC226A" w14:textId="77777777" w:rsidTr="00BB3820">
        <w:trPr>
          <w:cantSplit/>
          <w:trHeight w:val="1600"/>
        </w:trPr>
        <w:tc>
          <w:tcPr>
            <w:tcW w:w="1023" w:type="pct"/>
            <w:shd w:val="clear" w:color="auto" w:fill="auto"/>
            <w:tcMar>
              <w:left w:w="58" w:type="dxa"/>
              <w:right w:w="58" w:type="dxa"/>
            </w:tcMar>
          </w:tcPr>
          <w:p w14:paraId="16E5FC93" w14:textId="77777777" w:rsidR="00AE137A" w:rsidRPr="00F20129" w:rsidRDefault="00AE137A" w:rsidP="0031289D">
            <w:pPr>
              <w:bidi/>
              <w:spacing w:after="120" w:line="280" w:lineRule="exact"/>
              <w:rPr>
                <w:rFonts w:ascii="Arabic Typesetting" w:eastAsia="Arabic Typesetting" w:hAnsi="Arabic Typesetting" w:cs="Arabic Typesetting"/>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النسبة المئوية للبلدان التي قدمت تعقيبات إيجابية على مشورة الويبو التشريعية</w:t>
            </w:r>
          </w:p>
        </w:tc>
        <w:tc>
          <w:tcPr>
            <w:tcW w:w="1478" w:type="pct"/>
            <w:shd w:val="clear" w:color="auto" w:fill="auto"/>
            <w:tcMar>
              <w:left w:w="58" w:type="dxa"/>
              <w:right w:w="58" w:type="dxa"/>
            </w:tcMar>
          </w:tcPr>
          <w:p w14:paraId="1017587D"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25 بلدا تلقى مشورة تشريعية في 2014/15</w:t>
            </w:r>
            <w:r>
              <w:rPr>
                <w:rFonts w:ascii="Arabic Typesetting" w:eastAsia="Arabic Typesetting" w:hAnsi="Arabic Typesetting" w:cs="Arabic Typesetting"/>
                <w:color w:val="002060"/>
                <w:sz w:val="28"/>
                <w:szCs w:val="28"/>
                <w:rtl/>
                <w:lang w:eastAsia="ar-EG" w:bidi="ar-EG"/>
              </w:rPr>
              <w:t xml:space="preserve"> </w:t>
            </w:r>
            <w:r w:rsidRPr="00F20129">
              <w:rPr>
                <w:rFonts w:ascii="Arabic Typesetting" w:eastAsia="Arabic Typesetting" w:hAnsi="Arabic Typesetting" w:cs="Arabic Typesetting"/>
                <w:color w:val="002060"/>
                <w:sz w:val="28"/>
                <w:szCs w:val="28"/>
                <w:rtl/>
                <w:lang w:eastAsia="ar-EG" w:bidi="ar-EG"/>
              </w:rPr>
              <w:t>(‏أفريقيا (9) والمنطقة العربية (3) وآسيا والمحيط الهادئ (5) وأمريكا اللاتينية والكاريبي (6) وآخر (2))</w:t>
            </w:r>
          </w:p>
          <w:p w14:paraId="6AAA7904"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color w:val="002060"/>
                <w:sz w:val="28"/>
                <w:szCs w:val="28"/>
                <w:rtl/>
                <w:lang w:eastAsia="ar-EG" w:bidi="ar-EG"/>
              </w:rPr>
              <w:t>100% من الردود على الاستقصاء كانت تعليقات إيجابية (درجة 5 أو 6 من بين 1-6) على المشورة التشريعية التي تقدمها الويبو في مجال حق المؤلف</w:t>
            </w:r>
          </w:p>
          <w:p w14:paraId="28F184D7"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غير متاح في 2014 (ستجرى دراسة استقصائية للثنائية في عام 2015)</w:t>
            </w:r>
          </w:p>
        </w:tc>
        <w:tc>
          <w:tcPr>
            <w:tcW w:w="674" w:type="pct"/>
            <w:shd w:val="clear" w:color="auto" w:fill="auto"/>
            <w:tcMar>
              <w:top w:w="110" w:type="dxa"/>
              <w:left w:w="29" w:type="dxa"/>
              <w:right w:w="29" w:type="dxa"/>
            </w:tcMar>
          </w:tcPr>
          <w:p w14:paraId="548205A5"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80%</w:t>
            </w:r>
          </w:p>
          <w:p w14:paraId="1B1F671B"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الهدف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70% </w:t>
            </w:r>
            <w:r w:rsidRPr="00F20129">
              <w:rPr>
                <w:rFonts w:ascii="Arabic Typesetting" w:eastAsia="Arabic Typesetting" w:hAnsi="Arabic Typesetting" w:cs="Arabic Typesetting"/>
                <w:color w:val="000000"/>
                <w:sz w:val="28"/>
                <w:szCs w:val="28"/>
                <w:rtl/>
                <w:lang w:eastAsia="ar-EG" w:bidi="ar-EG"/>
              </w:rPr>
              <w:t>من المجيبين راضون عن المشورة</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المُقدَّمة</w:t>
            </w:r>
          </w:p>
        </w:tc>
        <w:tc>
          <w:tcPr>
            <w:tcW w:w="1158" w:type="pct"/>
            <w:shd w:val="clear" w:color="auto" w:fill="FFFFFF"/>
            <w:tcMar>
              <w:top w:w="110" w:type="dxa"/>
              <w:left w:w="58" w:type="dxa"/>
              <w:right w:w="58" w:type="dxa"/>
            </w:tcMar>
          </w:tcPr>
          <w:p w14:paraId="1EC33A52" w14:textId="41BF30C1" w:rsidR="00AE137A"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‏تلقى 17 بلداً أو مجموعة إقليمية مشورة تشريعية في 2016 (أفريقيا (2) وآسيا والهادئ (7) وأمريكا اللاتينية والكاريبي (4) و</w:t>
            </w:r>
            <w:r w:rsidR="00AF6433">
              <w:rPr>
                <w:rFonts w:ascii="Arabic Typesetting" w:eastAsia="Arabic Typesetting" w:hAnsi="Arabic Typesetting" w:cs="Arabic Typesetting"/>
                <w:color w:val="000000"/>
                <w:sz w:val="28"/>
                <w:szCs w:val="28"/>
                <w:rtl/>
                <w:lang w:eastAsia="ar-EG" w:bidi="ar-EG"/>
              </w:rPr>
              <w:t>البلدان المتحولة</w:t>
            </w:r>
            <w:r>
              <w:rPr>
                <w:rFonts w:ascii="Arabic Typesetting" w:eastAsia="Arabic Typesetting" w:hAnsi="Arabic Typesetting" w:cs="Arabic Typesetting"/>
                <w:color w:val="000000"/>
                <w:sz w:val="28"/>
                <w:szCs w:val="28"/>
                <w:rtl/>
                <w:lang w:eastAsia="ar-EG" w:bidi="ar-EG"/>
              </w:rPr>
              <w:t xml:space="preserve"> (4))</w:t>
            </w:r>
          </w:p>
          <w:p w14:paraId="42A12884"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2060"/>
                <w:sz w:val="28"/>
                <w:szCs w:val="28"/>
                <w:rtl/>
                <w:lang w:eastAsia="ar-EG" w:bidi="ar-EG"/>
              </w:rPr>
              <w:t>100% من الردود على الاستقصاء كانت تعليقات إيجابية (درجة 5 أو</w:t>
            </w:r>
            <w:r>
              <w:rPr>
                <w:rFonts w:ascii="Arabic Typesetting" w:eastAsia="Arabic Typesetting" w:hAnsi="Arabic Typesetting" w:cs="Arabic Typesetting" w:hint="cs"/>
                <w:color w:val="002060"/>
                <w:sz w:val="28"/>
                <w:szCs w:val="28"/>
                <w:rtl/>
                <w:lang w:eastAsia="ar-EG" w:bidi="ar-EG"/>
              </w:rPr>
              <w:t> </w:t>
            </w:r>
            <w:r w:rsidRPr="00F20129">
              <w:rPr>
                <w:rFonts w:ascii="Arabic Typesetting" w:eastAsia="Arabic Typesetting" w:hAnsi="Arabic Typesetting" w:cs="Arabic Typesetting"/>
                <w:color w:val="002060"/>
                <w:sz w:val="28"/>
                <w:szCs w:val="28"/>
                <w:rtl/>
                <w:lang w:eastAsia="ar-EG" w:bidi="ar-EG"/>
              </w:rPr>
              <w:t>6 من بين 1-6) على المشورة التشريعية التي تقدمها الويبو في مجال حق المؤلف</w:t>
            </w:r>
          </w:p>
        </w:tc>
        <w:tc>
          <w:tcPr>
            <w:tcW w:w="667" w:type="pct"/>
            <w:shd w:val="clear" w:color="auto" w:fill="auto"/>
            <w:tcMar>
              <w:top w:w="110" w:type="dxa"/>
              <w:left w:w="58" w:type="dxa"/>
              <w:right w:w="58" w:type="dxa"/>
            </w:tcMar>
          </w:tcPr>
          <w:p w14:paraId="3B9C29CB" w14:textId="77777777" w:rsidR="00AE137A" w:rsidRPr="00F20129" w:rsidRDefault="00AE137A"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r w:rsidR="00AE137A" w:rsidRPr="00F20129" w14:paraId="7731A4A3" w14:textId="77777777" w:rsidTr="00BB3820">
        <w:trPr>
          <w:cantSplit/>
          <w:trHeight w:val="648"/>
        </w:trPr>
        <w:tc>
          <w:tcPr>
            <w:tcW w:w="5000" w:type="pct"/>
            <w:gridSpan w:val="5"/>
            <w:shd w:val="clear" w:color="auto" w:fill="C6D9F1"/>
            <w:tcMar>
              <w:left w:w="29" w:type="dxa"/>
              <w:right w:w="29" w:type="dxa"/>
            </w:tcMar>
            <w:vAlign w:val="center"/>
          </w:tcPr>
          <w:p w14:paraId="13C13C43" w14:textId="77777777" w:rsidR="00AE137A" w:rsidRPr="00F20129" w:rsidRDefault="00AE137A"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lastRenderedPageBreak/>
              <w:t>‏النتيجة المرتقبة:</w:t>
            </w:r>
            <w:r w:rsidRPr="00F20129">
              <w:rPr>
                <w:rFonts w:ascii="Arabic Typesetting" w:eastAsia="Arabic Typesetting" w:hAnsi="Arabic Typesetting" w:cs="Arabic Typesetting"/>
                <w:sz w:val="28"/>
                <w:szCs w:val="28"/>
                <w:lang w:eastAsia="ar-EG" w:bidi="ar-EG"/>
              </w:rPr>
              <w:tab/>
            </w:r>
            <w:r w:rsidRPr="00F20129">
              <w:rPr>
                <w:rFonts w:ascii="Arabic Typesetting" w:eastAsia="Arabic Typesetting" w:hAnsi="Arabic Typesetting" w:cs="Arabic Typesetting"/>
                <w:color w:val="000000"/>
                <w:sz w:val="28"/>
                <w:szCs w:val="28"/>
                <w:rtl/>
                <w:lang w:eastAsia="ar-EG" w:bidi="ar-EG"/>
              </w:rPr>
              <w:t>‏ه</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cs/>
                <w:lang w:eastAsia="ar-EG" w:bidi="ar-EG"/>
              </w:rPr>
              <w:t>2.3</w:t>
            </w:r>
            <w:r w:rsidRPr="00F20129">
              <w:rPr>
                <w:rFonts w:ascii="Arabic Typesetting" w:eastAsia="Arabic Typesetting" w:hAnsi="Arabic Typesetting" w:cs="Arabic Typesetting"/>
                <w:color w:val="000000"/>
                <w:sz w:val="28"/>
                <w:szCs w:val="28"/>
                <w:rtl/>
                <w:lang w:eastAsia="ar-EG" w:bidi="ar-EG"/>
              </w:rPr>
              <w:t>‏ كفاءات</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w:t>
            </w:r>
            <w:r w:rsidRPr="00F20129">
              <w:rPr>
                <w:rFonts w:ascii="Arabic Typesetting" w:hAnsi="Arabic Typesetting" w:cs="Arabic Typesetting"/>
                <w:sz w:val="28"/>
                <w:szCs w:val="28"/>
                <w:rtl/>
                <w:lang w:bidi="ar-EG"/>
              </w:rPr>
              <w:t>معزَّزة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‏للموارد</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‏البشرية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‏القادرة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‏على</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‏تلبية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‏تشكيلة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‏واسعة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‏من</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‏المتطلبات</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‏لتسخير</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‏الملكية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‏الفكرية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‏بفعالية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‏لأغراض</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‏التنمية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‏في</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‏البلدان</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‏النامية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‏والبلدان</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‏الأقل</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‏نموا</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‏والبلدان</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‏المنتقلة</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‏إلى</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نظام الاقتصاد</w:t>
            </w:r>
            <w:r w:rsidRPr="00F20129">
              <w:rPr>
                <w:rFonts w:ascii="Arabic Typesetting" w:eastAsia="Arabic Typesetting" w:hAnsi="Arabic Typesetting" w:cs="Arabic Typesetting"/>
                <w:color w:val="000000"/>
                <w:sz w:val="28"/>
                <w:szCs w:val="28"/>
                <w:cs/>
                <w:lang w:eastAsia="ar-EG" w:bidi="ar-EG"/>
              </w:rPr>
              <w:t>‎</w:t>
            </w:r>
            <w:r w:rsidRPr="00F20129">
              <w:rPr>
                <w:rFonts w:ascii="Arabic Typesetting" w:eastAsia="Arabic Typesetting" w:hAnsi="Arabic Typesetting" w:cs="Arabic Typesetting"/>
                <w:color w:val="000000"/>
                <w:sz w:val="28"/>
                <w:szCs w:val="28"/>
                <w:rtl/>
                <w:lang w:eastAsia="ar-EG" w:bidi="ar-EG"/>
              </w:rPr>
              <w:t xml:space="preserve"> ‏الحر</w:t>
            </w:r>
          </w:p>
        </w:tc>
      </w:tr>
      <w:tr w:rsidR="00AE137A" w:rsidRPr="00F20129" w14:paraId="543D04F3" w14:textId="77777777" w:rsidTr="00BB3820">
        <w:trPr>
          <w:cantSplit/>
        </w:trPr>
        <w:tc>
          <w:tcPr>
            <w:tcW w:w="1023" w:type="pct"/>
            <w:shd w:val="clear" w:color="auto" w:fill="auto"/>
            <w:tcMar>
              <w:left w:w="58" w:type="dxa"/>
              <w:right w:w="58" w:type="dxa"/>
            </w:tcMar>
            <w:vAlign w:val="center"/>
          </w:tcPr>
          <w:p w14:paraId="4685FA4D" w14:textId="77777777" w:rsidR="00AE137A" w:rsidRPr="00F20129" w:rsidRDefault="00AE137A" w:rsidP="0031289D">
            <w:pPr>
              <w:keepNext/>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مؤشرات الأداء</w:t>
            </w:r>
          </w:p>
        </w:tc>
        <w:tc>
          <w:tcPr>
            <w:tcW w:w="1478" w:type="pct"/>
            <w:shd w:val="clear" w:color="auto" w:fill="auto"/>
            <w:tcMar>
              <w:left w:w="58" w:type="dxa"/>
              <w:right w:w="58" w:type="dxa"/>
            </w:tcMar>
            <w:vAlign w:val="center"/>
          </w:tcPr>
          <w:p w14:paraId="1CE023D5" w14:textId="77777777" w:rsidR="00AE137A" w:rsidRPr="00F20129" w:rsidRDefault="00AE137A" w:rsidP="0031289D">
            <w:pPr>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أسس المقارنة</w:t>
            </w:r>
          </w:p>
        </w:tc>
        <w:tc>
          <w:tcPr>
            <w:tcW w:w="674" w:type="pct"/>
            <w:shd w:val="clear" w:color="auto" w:fill="auto"/>
            <w:tcMar>
              <w:top w:w="110" w:type="dxa"/>
              <w:left w:w="29" w:type="dxa"/>
              <w:right w:w="29" w:type="dxa"/>
            </w:tcMar>
            <w:vAlign w:val="center"/>
          </w:tcPr>
          <w:p w14:paraId="5DCB5D45" w14:textId="77777777" w:rsidR="00AE137A" w:rsidRPr="00F20129" w:rsidRDefault="00AE137A" w:rsidP="0031289D">
            <w:pPr>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الأهداف</w:t>
            </w:r>
          </w:p>
        </w:tc>
        <w:tc>
          <w:tcPr>
            <w:tcW w:w="1158" w:type="pct"/>
            <w:shd w:val="clear" w:color="auto" w:fill="FFFFFF"/>
            <w:tcMar>
              <w:top w:w="110" w:type="dxa"/>
              <w:left w:w="58" w:type="dxa"/>
              <w:right w:w="58" w:type="dxa"/>
            </w:tcMar>
            <w:vAlign w:val="center"/>
          </w:tcPr>
          <w:p w14:paraId="5DC6176D" w14:textId="77777777" w:rsidR="00AE137A" w:rsidRPr="00F20129" w:rsidRDefault="00AE137A" w:rsidP="0031289D">
            <w:pPr>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بيانات الأداء</w:t>
            </w:r>
          </w:p>
        </w:tc>
        <w:tc>
          <w:tcPr>
            <w:tcW w:w="667" w:type="pct"/>
            <w:shd w:val="clear" w:color="auto" w:fill="auto"/>
            <w:tcMar>
              <w:top w:w="110" w:type="dxa"/>
              <w:left w:w="58" w:type="dxa"/>
              <w:right w:w="58" w:type="dxa"/>
            </w:tcMar>
            <w:vAlign w:val="center"/>
          </w:tcPr>
          <w:p w14:paraId="137D9800" w14:textId="77777777" w:rsidR="00AE137A" w:rsidRPr="00F20129" w:rsidRDefault="00AE137A" w:rsidP="0031289D">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AE137A" w:rsidRPr="00F20129" w14:paraId="4DD4FF69" w14:textId="77777777" w:rsidTr="00BB3820">
        <w:trPr>
          <w:cantSplit/>
          <w:trHeight w:val="866"/>
        </w:trPr>
        <w:tc>
          <w:tcPr>
            <w:tcW w:w="1023" w:type="pct"/>
            <w:shd w:val="clear" w:color="auto" w:fill="auto"/>
            <w:tcMar>
              <w:left w:w="58" w:type="dxa"/>
              <w:right w:w="58" w:type="dxa"/>
            </w:tcMar>
          </w:tcPr>
          <w:p w14:paraId="43F3CD05"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عدد المكاتب الوطنية لحق المؤلف المشاركة بفعالية في العملية التشاورية بشأن الشفافية والمساءلة وحسن الإدارة (</w:t>
            </w:r>
            <w:r w:rsidRPr="00F20129">
              <w:rPr>
                <w:rFonts w:ascii="Arabic Typesetting" w:eastAsia="Arabic Typesetting" w:hAnsi="Arabic Typesetting" w:cs="Arabic Typesetting"/>
                <w:color w:val="000000"/>
                <w:sz w:val="28"/>
                <w:szCs w:val="28"/>
                <w:lang w:eastAsia="ar-EG" w:bidi="ar-EG"/>
              </w:rPr>
              <w:t>TAG</w:t>
            </w:r>
            <w:r w:rsidRPr="00F20129">
              <w:rPr>
                <w:rFonts w:ascii="Arabic Typesetting" w:eastAsia="Arabic Typesetting" w:hAnsi="Arabic Typesetting" w:cs="Arabic Typesetting"/>
                <w:color w:val="000000"/>
                <w:sz w:val="28"/>
                <w:szCs w:val="28"/>
                <w:rtl/>
                <w:lang w:eastAsia="ar-EG" w:bidi="ar-EG"/>
              </w:rPr>
              <w:t>)</w:t>
            </w:r>
          </w:p>
        </w:tc>
        <w:tc>
          <w:tcPr>
            <w:tcW w:w="1478" w:type="pct"/>
            <w:shd w:val="clear" w:color="auto" w:fill="auto"/>
            <w:tcMar>
              <w:left w:w="58" w:type="dxa"/>
              <w:right w:w="58" w:type="dxa"/>
            </w:tcMar>
          </w:tcPr>
          <w:p w14:paraId="7B0D247C" w14:textId="77777777" w:rsidR="00AE137A" w:rsidRDefault="00AE137A" w:rsidP="0031289D">
            <w:pPr>
              <w:bidi/>
              <w:spacing w:after="120" w:line="280" w:lineRule="exact"/>
              <w:rPr>
                <w:rFonts w:ascii="Arabic Typesetting" w:eastAsia="Arabic Typesetting" w:hAnsi="Arabic Typesetting" w:cs="Arabic Typesetting"/>
                <w:i/>
                <w:sz w:val="28"/>
                <w:szCs w:val="28"/>
                <w:rtl/>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hint="cs"/>
                <w:color w:val="002060"/>
                <w:sz w:val="28"/>
                <w:szCs w:val="28"/>
                <w:rtl/>
                <w:lang w:eastAsia="ar-EG" w:bidi="ar-EG"/>
              </w:rPr>
              <w:t>صفر</w:t>
            </w:r>
          </w:p>
          <w:p w14:paraId="423DA9EC"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غير متاح</w:t>
            </w:r>
          </w:p>
        </w:tc>
        <w:tc>
          <w:tcPr>
            <w:tcW w:w="674" w:type="pct"/>
            <w:shd w:val="clear" w:color="auto" w:fill="auto"/>
            <w:tcMar>
              <w:top w:w="110" w:type="dxa"/>
              <w:left w:w="29" w:type="dxa"/>
              <w:right w:w="29" w:type="dxa"/>
            </w:tcMar>
          </w:tcPr>
          <w:p w14:paraId="52ACACC2"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25 مكتباً وطنياً لحق المؤلف</w:t>
            </w:r>
          </w:p>
        </w:tc>
        <w:tc>
          <w:tcPr>
            <w:tcW w:w="1158" w:type="pct"/>
            <w:shd w:val="clear" w:color="auto" w:fill="FFFFFF"/>
            <w:tcMar>
              <w:top w:w="110" w:type="dxa"/>
              <w:left w:w="58" w:type="dxa"/>
              <w:right w:w="58" w:type="dxa"/>
            </w:tcMar>
          </w:tcPr>
          <w:p w14:paraId="456C6924" w14:textId="77777777" w:rsidR="00AE137A"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أكثر من 90 مكتباً لحق المؤلف على مدى عام 2016</w:t>
            </w:r>
          </w:p>
          <w:p w14:paraId="6B0A5BAC"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وفي نهاية 2016، اتخذ قرار بعدم مواصلة مشروع التميز بشأن الشفافية والمساءلة وحسن الإدارة بشكله الحالي</w:t>
            </w:r>
          </w:p>
        </w:tc>
        <w:tc>
          <w:tcPr>
            <w:tcW w:w="667" w:type="pct"/>
            <w:shd w:val="clear" w:color="auto" w:fill="auto"/>
            <w:tcMar>
              <w:top w:w="110" w:type="dxa"/>
              <w:left w:w="58" w:type="dxa"/>
              <w:right w:w="58" w:type="dxa"/>
            </w:tcMar>
          </w:tcPr>
          <w:p w14:paraId="076BCE46" w14:textId="77777777" w:rsidR="00AE137A" w:rsidRPr="00F20129" w:rsidRDefault="00AE137A" w:rsidP="0031289D">
            <w:pPr>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0000"/>
                <w:sz w:val="28"/>
                <w:szCs w:val="28"/>
                <w:rtl/>
                <w:lang w:eastAsia="ar-EG" w:bidi="ar-EG"/>
              </w:rPr>
              <w:t>‏منقطع</w:t>
            </w:r>
          </w:p>
        </w:tc>
      </w:tr>
      <w:tr w:rsidR="00AE137A" w:rsidRPr="00F20129" w14:paraId="466D5492" w14:textId="77777777" w:rsidTr="00BB3820">
        <w:trPr>
          <w:cantSplit/>
          <w:trHeight w:val="1518"/>
        </w:trPr>
        <w:tc>
          <w:tcPr>
            <w:tcW w:w="1023" w:type="pct"/>
            <w:shd w:val="clear" w:color="auto" w:fill="auto"/>
            <w:tcMar>
              <w:left w:w="58" w:type="dxa"/>
              <w:right w:w="58" w:type="dxa"/>
            </w:tcMar>
          </w:tcPr>
          <w:p w14:paraId="7F5750E2" w14:textId="3C487C10"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rtl/>
                <w:lang w:eastAsia="ar-EG" w:bidi="ar-EG"/>
              </w:rPr>
            </w:pPr>
            <w:r w:rsidRPr="00F20129">
              <w:rPr>
                <w:rFonts w:ascii="Arabic Typesetting" w:eastAsia="Arabic Typesetting" w:hAnsi="Arabic Typesetting" w:cs="Arabic Typesetting"/>
                <w:color w:val="000000"/>
                <w:sz w:val="28"/>
                <w:szCs w:val="28"/>
                <w:rtl/>
                <w:lang w:eastAsia="ar-EG" w:bidi="ar-EG"/>
              </w:rPr>
              <w:t>عدد منظمات الإدارة الجماعية المتقدمة للحصول على اعتماد الشفافية والمساءلة وحسن</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الإدارة</w:t>
            </w:r>
            <w:r w:rsidR="004B40B5">
              <w:rPr>
                <w:rFonts w:ascii="Arabic Typesetting" w:eastAsia="Arabic Typesetting" w:hAnsi="Arabic Typesetting" w:cs="Arabic Typesetting" w:hint="cs"/>
                <w:color w:val="000000"/>
                <w:sz w:val="28"/>
                <w:szCs w:val="28"/>
                <w:rtl/>
                <w:lang w:eastAsia="ar-EG" w:bidi="ar-EG"/>
              </w:rPr>
              <w:t xml:space="preserve"> (</w:t>
            </w:r>
            <w:r w:rsidR="004B40B5">
              <w:rPr>
                <w:rFonts w:ascii="Arabic Typesetting" w:eastAsia="Arabic Typesetting" w:hAnsi="Arabic Typesetting" w:cs="Arabic Typesetting"/>
                <w:color w:val="000000"/>
                <w:sz w:val="28"/>
                <w:szCs w:val="28"/>
                <w:lang w:eastAsia="ar-EG" w:bidi="ar-EG"/>
              </w:rPr>
              <w:t>TAG</w:t>
            </w:r>
            <w:r w:rsidR="004B40B5">
              <w:rPr>
                <w:rFonts w:ascii="Arabic Typesetting" w:eastAsia="Arabic Typesetting" w:hAnsi="Arabic Typesetting" w:cs="Arabic Typesetting" w:hint="cs"/>
                <w:color w:val="000000"/>
                <w:sz w:val="28"/>
                <w:szCs w:val="28"/>
                <w:rtl/>
                <w:lang w:eastAsia="ar-EG" w:bidi="ar-EG"/>
              </w:rPr>
              <w:t>)</w:t>
            </w:r>
          </w:p>
        </w:tc>
        <w:tc>
          <w:tcPr>
            <w:tcW w:w="1478" w:type="pct"/>
            <w:shd w:val="clear" w:color="auto" w:fill="auto"/>
            <w:tcMar>
              <w:left w:w="58" w:type="dxa"/>
              <w:right w:w="58" w:type="dxa"/>
            </w:tcMar>
          </w:tcPr>
          <w:p w14:paraId="53C6E3F6"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hint="cs"/>
                <w:color w:val="002060"/>
                <w:sz w:val="28"/>
                <w:szCs w:val="28"/>
                <w:rtl/>
                <w:lang w:eastAsia="ar-EG" w:bidi="ar-EG"/>
              </w:rPr>
              <w:t>صفر</w:t>
            </w:r>
          </w:p>
          <w:p w14:paraId="102449EF"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صفر</w:t>
            </w:r>
            <w:r w:rsidRPr="00F20129">
              <w:rPr>
                <w:rFonts w:ascii="Arabic Typesetting" w:eastAsia="Arabic Typesetting" w:hAnsi="Arabic Typesetting" w:cs="Arabic Typesetting"/>
                <w:color w:val="000000"/>
                <w:sz w:val="28"/>
                <w:szCs w:val="28"/>
                <w:rtl/>
                <w:lang w:eastAsia="ar-EG" w:bidi="ar-EG"/>
              </w:rPr>
              <w:t xml:space="preserve"> (نهاية 2014)</w:t>
            </w:r>
          </w:p>
        </w:tc>
        <w:tc>
          <w:tcPr>
            <w:tcW w:w="674" w:type="pct"/>
            <w:shd w:val="clear" w:color="auto" w:fill="auto"/>
            <w:tcMar>
              <w:top w:w="110" w:type="dxa"/>
              <w:left w:w="29" w:type="dxa"/>
              <w:right w:w="29" w:type="dxa"/>
            </w:tcMar>
          </w:tcPr>
          <w:p w14:paraId="5B350913"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صفر </w:t>
            </w:r>
            <w:r>
              <w:rPr>
                <w:rFonts w:ascii="Arabic Typesetting" w:eastAsia="Arabic Typesetting" w:hAnsi="Arabic Typesetting" w:cs="Arabic Typesetting"/>
                <w:color w:val="000000"/>
                <w:sz w:val="28"/>
                <w:szCs w:val="28"/>
                <w:rtl/>
                <w:lang w:eastAsia="ar-EG" w:bidi="ar-EG"/>
              </w:rPr>
              <w:t>(2016)</w:t>
            </w:r>
          </w:p>
          <w:p w14:paraId="1CAA0109"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منظمتان من منظمات الإدارة الجماعية متقدمتان للحصول على الاعتماد (2017)</w:t>
            </w:r>
            <w:r w:rsidRPr="00F20129">
              <w:rPr>
                <w:rFonts w:ascii="Arabic Typesetting" w:eastAsia="Arabic Typesetting" w:hAnsi="Arabic Typesetting" w:cs="Arabic Typesetting"/>
                <w:sz w:val="28"/>
                <w:szCs w:val="28"/>
                <w:vertAlign w:val="superscript"/>
                <w:rtl/>
                <w:lang w:eastAsia="ar-EG" w:bidi="ar-EG"/>
              </w:rPr>
              <w:t xml:space="preserve"> </w:t>
            </w:r>
          </w:p>
        </w:tc>
        <w:tc>
          <w:tcPr>
            <w:tcW w:w="1158" w:type="pct"/>
            <w:shd w:val="clear" w:color="auto" w:fill="FFFFFF"/>
            <w:tcMar>
              <w:top w:w="110" w:type="dxa"/>
              <w:left w:w="58" w:type="dxa"/>
              <w:right w:w="58" w:type="dxa"/>
            </w:tcMar>
          </w:tcPr>
          <w:p w14:paraId="40F675A9"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في يونيو 2016، أقر الائتلاف المعني بالشفافية والمساءلة وحسن الإدارة قراراً بتركيز المزيد من الجهود على دليل التميز والبرنامج التعليمي المتعلقين بالشفافية والمساءلة وحسن</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الإدارة</w:t>
            </w:r>
          </w:p>
          <w:p w14:paraId="4A0CA17F"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 xml:space="preserve">وفي نهاية 2016، اتخذ قرار بعدم مواصلة مشروع </w:t>
            </w:r>
            <w:r w:rsidRPr="00F20129">
              <w:rPr>
                <w:rFonts w:ascii="Arabic Typesetting" w:eastAsia="Arabic Typesetting" w:hAnsi="Arabic Typesetting" w:cs="Arabic Typesetting"/>
                <w:color w:val="000000"/>
                <w:sz w:val="28"/>
                <w:szCs w:val="28"/>
                <w:lang w:eastAsia="ar-EG" w:bidi="ar-EG"/>
              </w:rPr>
              <w:t>TAG</w:t>
            </w:r>
            <w:r w:rsidRPr="00F20129">
              <w:rPr>
                <w:rFonts w:ascii="Arabic Typesetting" w:eastAsia="Arabic Typesetting" w:hAnsi="Arabic Typesetting" w:cs="Arabic Typesetting"/>
                <w:color w:val="000000"/>
                <w:sz w:val="28"/>
                <w:szCs w:val="28"/>
                <w:rtl/>
                <w:lang w:eastAsia="ar-EG" w:bidi="ar-EG"/>
              </w:rPr>
              <w:t xml:space="preserve"> بشكله</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الحالي</w:t>
            </w:r>
          </w:p>
        </w:tc>
        <w:tc>
          <w:tcPr>
            <w:tcW w:w="667" w:type="pct"/>
            <w:shd w:val="clear" w:color="auto" w:fill="auto"/>
            <w:tcMar>
              <w:top w:w="110" w:type="dxa"/>
              <w:left w:w="58" w:type="dxa"/>
              <w:right w:w="58" w:type="dxa"/>
            </w:tcMar>
          </w:tcPr>
          <w:p w14:paraId="619C5B74"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0000"/>
                <w:sz w:val="28"/>
                <w:szCs w:val="28"/>
                <w:rtl/>
                <w:lang w:eastAsia="ar-EG" w:bidi="ar-EG"/>
              </w:rPr>
              <w:t>‏منقطع</w:t>
            </w:r>
          </w:p>
        </w:tc>
      </w:tr>
      <w:tr w:rsidR="00AE137A" w:rsidRPr="00F20129" w14:paraId="1A021686" w14:textId="77777777" w:rsidTr="00BB3820">
        <w:trPr>
          <w:cantSplit/>
          <w:trHeight w:val="1150"/>
        </w:trPr>
        <w:tc>
          <w:tcPr>
            <w:tcW w:w="1023" w:type="pct"/>
            <w:shd w:val="clear" w:color="auto" w:fill="auto"/>
            <w:tcMar>
              <w:left w:w="58" w:type="dxa"/>
              <w:right w:w="58" w:type="dxa"/>
            </w:tcMar>
          </w:tcPr>
          <w:p w14:paraId="6B52404D"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النسبة المئوية للمشاركين الذين يقدمون تقارير إيجابية عن برامج تكوين كفاءات الإدارة الجماعية</w:t>
            </w:r>
          </w:p>
        </w:tc>
        <w:tc>
          <w:tcPr>
            <w:tcW w:w="1478" w:type="pct"/>
            <w:shd w:val="clear" w:color="auto" w:fill="auto"/>
            <w:tcMar>
              <w:left w:w="58" w:type="dxa"/>
              <w:right w:w="58" w:type="dxa"/>
            </w:tcMar>
          </w:tcPr>
          <w:p w14:paraId="4D79ACF4"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60%</w:t>
            </w:r>
          </w:p>
          <w:p w14:paraId="4FECE488"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صفر </w:t>
            </w:r>
            <w:r w:rsidRPr="00F20129">
              <w:rPr>
                <w:rFonts w:ascii="Arabic Typesetting" w:eastAsia="Arabic Typesetting" w:hAnsi="Arabic Typesetting" w:cs="Arabic Typesetting"/>
                <w:color w:val="000000"/>
                <w:sz w:val="28"/>
                <w:szCs w:val="28"/>
                <w:rtl/>
                <w:lang w:eastAsia="ar-EG" w:bidi="ar-EG"/>
              </w:rPr>
              <w:t>(نهاية 2014)</w:t>
            </w:r>
          </w:p>
        </w:tc>
        <w:tc>
          <w:tcPr>
            <w:tcW w:w="674" w:type="pct"/>
            <w:shd w:val="clear" w:color="auto" w:fill="auto"/>
            <w:tcMar>
              <w:top w:w="110" w:type="dxa"/>
              <w:left w:w="29" w:type="dxa"/>
              <w:right w:w="29" w:type="dxa"/>
            </w:tcMar>
          </w:tcPr>
          <w:p w14:paraId="4E0811B8"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70% </w:t>
            </w:r>
            <w:r w:rsidRPr="00F20129">
              <w:rPr>
                <w:rFonts w:ascii="Arabic Typesetting" w:eastAsia="Arabic Typesetting" w:hAnsi="Arabic Typesetting" w:cs="Arabic Typesetting"/>
                <w:color w:val="000000"/>
                <w:sz w:val="28"/>
                <w:szCs w:val="28"/>
                <w:rtl/>
                <w:lang w:eastAsia="ar-EG" w:bidi="ar-EG"/>
              </w:rPr>
              <w:t>من المشاركين الذين شمله</w:t>
            </w:r>
            <w:r>
              <w:rPr>
                <w:rFonts w:ascii="Arabic Typesetting" w:eastAsia="Arabic Typesetting" w:hAnsi="Arabic Typesetting" w:cs="Arabic Typesetting"/>
                <w:color w:val="000000"/>
                <w:sz w:val="28"/>
                <w:szCs w:val="28"/>
                <w:rtl/>
                <w:lang w:eastAsia="ar-EG" w:bidi="ar-EG"/>
              </w:rPr>
              <w:t>م الاستقصاء راضون أو راضون بشدة</w:t>
            </w:r>
          </w:p>
        </w:tc>
        <w:tc>
          <w:tcPr>
            <w:tcW w:w="1158" w:type="pct"/>
            <w:shd w:val="clear" w:color="auto" w:fill="FFFFFF"/>
            <w:tcMar>
              <w:top w:w="110" w:type="dxa"/>
              <w:left w:w="58" w:type="dxa"/>
              <w:right w:w="58" w:type="dxa"/>
            </w:tcMar>
          </w:tcPr>
          <w:p w14:paraId="269C914B"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أكثر من 80% من المشاركين الذين شاركوا في الاستقصاء راضون أو</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راضون بشدة</w:t>
            </w:r>
          </w:p>
        </w:tc>
        <w:tc>
          <w:tcPr>
            <w:tcW w:w="667" w:type="pct"/>
            <w:shd w:val="clear" w:color="auto" w:fill="auto"/>
            <w:tcMar>
              <w:top w:w="110" w:type="dxa"/>
              <w:left w:w="58" w:type="dxa"/>
              <w:right w:w="58" w:type="dxa"/>
            </w:tcMar>
          </w:tcPr>
          <w:p w14:paraId="5F7EAEBB"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r w:rsidR="00AE137A" w:rsidRPr="00F20129" w14:paraId="0B307FEE" w14:textId="77777777" w:rsidTr="00BB3820">
        <w:trPr>
          <w:cantSplit/>
          <w:trHeight w:val="159"/>
        </w:trPr>
        <w:tc>
          <w:tcPr>
            <w:tcW w:w="1023" w:type="pct"/>
            <w:shd w:val="clear" w:color="auto" w:fill="auto"/>
            <w:tcMar>
              <w:left w:w="58" w:type="dxa"/>
              <w:right w:w="58" w:type="dxa"/>
            </w:tcMar>
          </w:tcPr>
          <w:p w14:paraId="5D26DD4F"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عدد زيارات البوابة الإلكترونية الخاصة بالبنية التحتية لحق</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المؤلف</w:t>
            </w:r>
          </w:p>
        </w:tc>
        <w:tc>
          <w:tcPr>
            <w:tcW w:w="1478" w:type="pct"/>
            <w:shd w:val="clear" w:color="auto" w:fill="auto"/>
            <w:tcMar>
              <w:left w:w="58" w:type="dxa"/>
              <w:right w:w="58" w:type="dxa"/>
            </w:tcMar>
          </w:tcPr>
          <w:p w14:paraId="3704F63E" w14:textId="77777777" w:rsidR="00AE137A" w:rsidRPr="00F20129"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000 52</w:t>
            </w:r>
          </w:p>
          <w:p w14:paraId="54677A7E"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صفر</w:t>
            </w:r>
            <w:r w:rsidRPr="00F20129">
              <w:rPr>
                <w:rFonts w:ascii="Arabic Typesetting" w:eastAsia="Arabic Typesetting" w:hAnsi="Arabic Typesetting" w:cs="Arabic Typesetting"/>
                <w:color w:val="000000"/>
                <w:sz w:val="28"/>
                <w:szCs w:val="28"/>
                <w:rtl/>
                <w:lang w:eastAsia="ar-EG" w:bidi="ar-EG"/>
              </w:rPr>
              <w:t xml:space="preserve"> (نهاية 2014)</w:t>
            </w:r>
          </w:p>
        </w:tc>
        <w:tc>
          <w:tcPr>
            <w:tcW w:w="674" w:type="pct"/>
            <w:shd w:val="clear" w:color="auto" w:fill="auto"/>
            <w:tcMar>
              <w:top w:w="110" w:type="dxa"/>
              <w:left w:w="29" w:type="dxa"/>
              <w:right w:w="29" w:type="dxa"/>
            </w:tcMar>
          </w:tcPr>
          <w:p w14:paraId="20D3290A" w14:textId="77777777" w:rsidR="00AE137A"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000 57 زيارة للبوابة الإلكترونية</w:t>
            </w:r>
          </w:p>
          <w:p w14:paraId="5FDA225F" w14:textId="77777777" w:rsidR="00AE137A" w:rsidRPr="00F20129" w:rsidRDefault="00AE137A" w:rsidP="0031289D">
            <w:pPr>
              <w:bidi/>
              <w:spacing w:after="120" w:line="280" w:lineRule="exact"/>
              <w:rPr>
                <w:rFonts w:ascii="Arabic Typesetting" w:eastAsia="Arabic Typesetting" w:hAnsi="Arabic Typesetting" w:cs="Arabic Typesetting"/>
                <w:i/>
                <w:color w:val="000000"/>
                <w:sz w:val="28"/>
                <w:szCs w:val="28"/>
                <w:lang w:eastAsia="ar-EG" w:bidi="ar-EG"/>
              </w:rPr>
            </w:pPr>
            <w:r w:rsidRPr="00F20129">
              <w:rPr>
                <w:rFonts w:ascii="Arabic Typesetting" w:eastAsia="Arabic Typesetting" w:hAnsi="Arabic Typesetting" w:cs="Arabic Typesetting"/>
                <w:i/>
                <w:iCs/>
                <w:color w:val="000000"/>
                <w:sz w:val="28"/>
                <w:szCs w:val="28"/>
                <w:rtl/>
                <w:lang w:eastAsia="ar-EG" w:bidi="ar-EG"/>
              </w:rPr>
              <w:t>الهدف الأصلي:</w:t>
            </w:r>
            <w:r w:rsidRPr="00F20129">
              <w:rPr>
                <w:rFonts w:ascii="Arabic Typesetting" w:eastAsia="Arabic Typesetting" w:hAnsi="Arabic Typesetting" w:cs="Arabic Typesetting"/>
                <w:i/>
                <w:color w:val="000000"/>
                <w:sz w:val="28"/>
                <w:szCs w:val="28"/>
                <w:lang w:eastAsia="ar-EG" w:bidi="ar-EG"/>
              </w:rPr>
              <w:br/>
            </w:r>
            <w:r w:rsidRPr="00F20129">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‏500 زيارة للبوابة الإلكترونية</w:t>
            </w:r>
          </w:p>
        </w:tc>
        <w:tc>
          <w:tcPr>
            <w:tcW w:w="1158" w:type="pct"/>
            <w:shd w:val="clear" w:color="auto" w:fill="FFFFFF"/>
            <w:tcMar>
              <w:top w:w="110" w:type="dxa"/>
              <w:left w:w="58" w:type="dxa"/>
              <w:right w:w="58" w:type="dxa"/>
            </w:tcMar>
          </w:tcPr>
          <w:p w14:paraId="4E658A20"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أُجِّل تطوير البوابة الإلكترونية ال</w:t>
            </w:r>
            <w:r>
              <w:rPr>
                <w:rFonts w:ascii="Arabic Typesetting" w:eastAsia="Arabic Typesetting" w:hAnsi="Arabic Typesetting" w:cs="Arabic Typesetting"/>
                <w:color w:val="000000"/>
                <w:sz w:val="28"/>
                <w:szCs w:val="28"/>
                <w:rtl/>
                <w:lang w:eastAsia="ar-EG" w:bidi="ar-EG"/>
              </w:rPr>
              <w:t>خاصة بالبنية التحتية لحق المؤلف</w:t>
            </w:r>
          </w:p>
        </w:tc>
        <w:tc>
          <w:tcPr>
            <w:tcW w:w="667" w:type="pct"/>
            <w:shd w:val="clear" w:color="auto" w:fill="auto"/>
            <w:tcMar>
              <w:top w:w="110" w:type="dxa"/>
              <w:left w:w="58" w:type="dxa"/>
              <w:right w:w="58" w:type="dxa"/>
            </w:tcMar>
          </w:tcPr>
          <w:p w14:paraId="2870D1E1"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70C0"/>
                <w:sz w:val="28"/>
                <w:szCs w:val="28"/>
                <w:lang w:eastAsia="ar-EG" w:bidi="ar-EG"/>
              </w:rPr>
            </w:pPr>
            <w:r w:rsidRPr="00F20129">
              <w:rPr>
                <w:rFonts w:ascii="Arabic Typesetting" w:eastAsia="Arabic Typesetting" w:hAnsi="Arabic Typesetting" w:cs="Arabic Typesetting"/>
                <w:b/>
                <w:bCs/>
                <w:color w:val="0070C0"/>
                <w:sz w:val="28"/>
                <w:szCs w:val="28"/>
                <w:rtl/>
                <w:lang w:eastAsia="ar-EG" w:bidi="ar-EG"/>
              </w:rPr>
              <w:t>غير متاح في 2016</w:t>
            </w:r>
          </w:p>
        </w:tc>
      </w:tr>
      <w:tr w:rsidR="00AE137A" w:rsidRPr="00F20129" w14:paraId="3F856099" w14:textId="77777777" w:rsidTr="00BB3820">
        <w:trPr>
          <w:cantSplit/>
          <w:trHeight w:val="336"/>
        </w:trPr>
        <w:tc>
          <w:tcPr>
            <w:tcW w:w="1023" w:type="pct"/>
            <w:shd w:val="clear" w:color="auto" w:fill="auto"/>
            <w:tcMar>
              <w:left w:w="58" w:type="dxa"/>
              <w:right w:w="58" w:type="dxa"/>
            </w:tcMar>
          </w:tcPr>
          <w:p w14:paraId="5EA8831C"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عدد الناشرين الموقعين على ميثاق نشر المطبوعات المُيسَّرة الخاص باتحاد الكتب المُيسَّرة ("الميثاق")</w:t>
            </w:r>
          </w:p>
        </w:tc>
        <w:tc>
          <w:tcPr>
            <w:tcW w:w="1478" w:type="pct"/>
            <w:shd w:val="clear" w:color="auto" w:fill="auto"/>
            <w:tcMar>
              <w:left w:w="58" w:type="dxa"/>
              <w:right w:w="58" w:type="dxa"/>
            </w:tcMar>
          </w:tcPr>
          <w:p w14:paraId="01BAA51D" w14:textId="4CC36110"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12</w:t>
            </w:r>
            <w:r w:rsidR="00D02C02">
              <w:rPr>
                <w:rFonts w:ascii="Arabic Typesetting" w:eastAsia="Arabic Typesetting" w:hAnsi="Arabic Typesetting" w:cs="Arabic Typesetting"/>
                <w:color w:val="002060"/>
                <w:sz w:val="28"/>
                <w:szCs w:val="28"/>
                <w:rtl/>
                <w:lang w:eastAsia="ar-EG" w:bidi="ar-EG"/>
              </w:rPr>
              <w:t xml:space="preserve"> ناشراً وقعوا ميثاق اتحاد الكتب</w:t>
            </w:r>
            <w:r w:rsidRPr="00F20129">
              <w:rPr>
                <w:rFonts w:ascii="Arabic Typesetting" w:eastAsia="Arabic Typesetting" w:hAnsi="Arabic Typesetting" w:cs="Arabic Typesetting"/>
                <w:color w:val="002060"/>
                <w:sz w:val="28"/>
                <w:szCs w:val="28"/>
                <w:rtl/>
                <w:lang w:eastAsia="ar-EG" w:bidi="ar-EG"/>
              </w:rPr>
              <w:t xml:space="preserve"> المُيسَّرة</w:t>
            </w:r>
          </w:p>
          <w:p w14:paraId="705CF823"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تسعة ناشرين وقعوا ميثاق اتحاد الكتب المُيسَّرة</w:t>
            </w:r>
          </w:p>
        </w:tc>
        <w:tc>
          <w:tcPr>
            <w:tcW w:w="674" w:type="pct"/>
            <w:shd w:val="clear" w:color="auto" w:fill="auto"/>
            <w:tcMar>
              <w:top w:w="110" w:type="dxa"/>
              <w:left w:w="29" w:type="dxa"/>
              <w:right w:w="29" w:type="dxa"/>
            </w:tcMar>
          </w:tcPr>
          <w:p w14:paraId="39A8562C"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توقيع 15 ناشراً (تراكمي)</w:t>
            </w:r>
          </w:p>
        </w:tc>
        <w:tc>
          <w:tcPr>
            <w:tcW w:w="1158" w:type="pct"/>
            <w:shd w:val="clear" w:color="auto" w:fill="FFFFFF"/>
            <w:tcMar>
              <w:top w:w="110" w:type="dxa"/>
              <w:left w:w="58" w:type="dxa"/>
              <w:right w:w="58" w:type="dxa"/>
            </w:tcMar>
          </w:tcPr>
          <w:p w14:paraId="09FE9F58"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اتخذ مجلس اتحاد الكتب المُيسَّرة، بما في ذلك رابطة الناشرين الدولية، قراراً في أوائل عام 2016 بعدم ترويج ميثاق اتحاد الكتب المُيسَّرة لدى ناشرين تجاريين</w:t>
            </w:r>
          </w:p>
        </w:tc>
        <w:tc>
          <w:tcPr>
            <w:tcW w:w="667" w:type="pct"/>
            <w:shd w:val="clear" w:color="auto" w:fill="auto"/>
            <w:tcMar>
              <w:top w:w="110" w:type="dxa"/>
              <w:left w:w="58" w:type="dxa"/>
              <w:right w:w="58" w:type="dxa"/>
            </w:tcMar>
          </w:tcPr>
          <w:p w14:paraId="08339FC8"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0000"/>
                <w:sz w:val="28"/>
                <w:szCs w:val="28"/>
                <w:rtl/>
                <w:lang w:eastAsia="ar-EG" w:bidi="ar-EG"/>
              </w:rPr>
              <w:t>‏منقطع</w:t>
            </w:r>
          </w:p>
        </w:tc>
      </w:tr>
      <w:tr w:rsidR="00AE137A" w:rsidRPr="00F20129" w14:paraId="6CBB9433" w14:textId="77777777" w:rsidTr="00BB3820">
        <w:trPr>
          <w:cantSplit/>
          <w:trHeight w:val="1155"/>
        </w:trPr>
        <w:tc>
          <w:tcPr>
            <w:tcW w:w="1023" w:type="pct"/>
            <w:shd w:val="clear" w:color="auto" w:fill="auto"/>
            <w:tcMar>
              <w:left w:w="58" w:type="dxa"/>
              <w:right w:w="58" w:type="dxa"/>
            </w:tcMar>
          </w:tcPr>
          <w:p w14:paraId="7AD7961C"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lastRenderedPageBreak/>
              <w:t>‏عدد الكتب المنشورة في أنساق مُيسَّرة المُعارة لأشخاص عاجزين عن قراءة المطبوعات</w:t>
            </w:r>
          </w:p>
        </w:tc>
        <w:tc>
          <w:tcPr>
            <w:tcW w:w="1478" w:type="pct"/>
            <w:shd w:val="clear" w:color="auto" w:fill="auto"/>
            <w:tcMar>
              <w:left w:w="58" w:type="dxa"/>
              <w:right w:w="58" w:type="dxa"/>
            </w:tcMar>
          </w:tcPr>
          <w:p w14:paraId="3BA6A9C8"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أعير أكثر من 000 58 كتاب ميسّر لأشخاص من ذوي الإعاقات في قراءة المطبوعات (تراكمي)</w:t>
            </w:r>
          </w:p>
          <w:p w14:paraId="03CC3002" w14:textId="77777777" w:rsidR="00AE137A" w:rsidRPr="00F20129" w:rsidRDefault="00AE137A"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F20129">
              <w:rPr>
                <w:rFonts w:ascii="Arabic Typesetting" w:eastAsia="Arabic Typesetting" w:hAnsi="Arabic Typesetting" w:cs="Arabic Typesetting"/>
                <w:color w:val="000000"/>
                <w:sz w:val="28"/>
                <w:szCs w:val="28"/>
                <w:rtl/>
                <w:lang w:eastAsia="ar-EG" w:bidi="ar-EG"/>
              </w:rPr>
              <w:t>000 16 إعارة لأشخاص من ذوي الإعاقات في قراءة المطبوعات</w:t>
            </w:r>
          </w:p>
        </w:tc>
        <w:tc>
          <w:tcPr>
            <w:tcW w:w="674" w:type="pct"/>
            <w:shd w:val="clear" w:color="auto" w:fill="auto"/>
            <w:tcMar>
              <w:top w:w="110" w:type="dxa"/>
              <w:left w:w="29" w:type="dxa"/>
              <w:right w:w="29" w:type="dxa"/>
            </w:tcMar>
          </w:tcPr>
          <w:p w14:paraId="4B5A61BE"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000 130 إعارة (تراكمي)</w:t>
            </w:r>
          </w:p>
          <w:p w14:paraId="65648585"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الهدف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F20129">
              <w:rPr>
                <w:rFonts w:ascii="Arabic Typesetting" w:eastAsia="Arabic Typesetting" w:hAnsi="Arabic Typesetting" w:cs="Arabic Typesetting"/>
                <w:color w:val="000000"/>
                <w:sz w:val="28"/>
                <w:szCs w:val="28"/>
                <w:rtl/>
                <w:lang w:eastAsia="ar-EG" w:bidi="ar-EG"/>
              </w:rPr>
              <w:t>20</w:t>
            </w:r>
            <w:r>
              <w:rPr>
                <w:rFonts w:ascii="Arabic Typesetting" w:eastAsia="Arabic Typesetting" w:hAnsi="Arabic Typesetting" w:cs="Arabic Typesetting"/>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000 إعارة (عدد تراكمي)</w:t>
            </w:r>
          </w:p>
        </w:tc>
        <w:tc>
          <w:tcPr>
            <w:tcW w:w="1158" w:type="pct"/>
            <w:shd w:val="clear" w:color="auto" w:fill="FFFFFF"/>
            <w:tcMar>
              <w:top w:w="110" w:type="dxa"/>
              <w:left w:w="58" w:type="dxa"/>
              <w:right w:w="58" w:type="dxa"/>
            </w:tcMar>
          </w:tcPr>
          <w:p w14:paraId="5C6334CD"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 xml:space="preserve">إعارة أكثر من 000 42 كتاب ميسّر لأشخاص من </w:t>
            </w:r>
            <w:r>
              <w:rPr>
                <w:rFonts w:ascii="Arabic Typesetting" w:eastAsia="Arabic Typesetting" w:hAnsi="Arabic Typesetting" w:cs="Arabic Typesetting"/>
                <w:color w:val="000000"/>
                <w:sz w:val="28"/>
                <w:szCs w:val="28"/>
                <w:rtl/>
                <w:lang w:eastAsia="ar-EG" w:bidi="ar-EG"/>
              </w:rPr>
              <w:t>ذوي الإعاقات في قراءة المطبوعات</w:t>
            </w:r>
          </w:p>
          <w:p w14:paraId="64ED957B"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(التراكمي 000 100 إعارة)</w:t>
            </w:r>
          </w:p>
        </w:tc>
        <w:tc>
          <w:tcPr>
            <w:tcW w:w="667" w:type="pct"/>
            <w:shd w:val="clear" w:color="auto" w:fill="auto"/>
            <w:tcMar>
              <w:top w:w="110" w:type="dxa"/>
              <w:left w:w="58" w:type="dxa"/>
              <w:right w:w="58" w:type="dxa"/>
            </w:tcMar>
          </w:tcPr>
          <w:p w14:paraId="098C76F0"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r w:rsidR="00AE137A" w:rsidRPr="00F20129" w14:paraId="14ADA71D" w14:textId="77777777" w:rsidTr="00BB3820">
        <w:trPr>
          <w:cantSplit/>
          <w:trHeight w:val="1240"/>
        </w:trPr>
        <w:tc>
          <w:tcPr>
            <w:tcW w:w="1023" w:type="pct"/>
            <w:shd w:val="clear" w:color="auto" w:fill="auto"/>
            <w:tcMar>
              <w:left w:w="58" w:type="dxa"/>
              <w:right w:w="58" w:type="dxa"/>
            </w:tcMar>
          </w:tcPr>
          <w:p w14:paraId="73315F83"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النسبة المئوية لتقييم المشاركين الإيجابي لجدوى الاجتماعات وحلقات العمل الخاصة بتكوين الكفاءات في مجال حق المؤلف والحقوق المجاورة</w:t>
            </w:r>
          </w:p>
        </w:tc>
        <w:tc>
          <w:tcPr>
            <w:tcW w:w="1478" w:type="pct"/>
            <w:shd w:val="clear" w:color="auto" w:fill="auto"/>
            <w:tcMar>
              <w:left w:w="58" w:type="dxa"/>
              <w:right w:w="58" w:type="dxa"/>
            </w:tcMar>
          </w:tcPr>
          <w:p w14:paraId="482A0F83"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أكثر من 80% من المشاركين يوافقون أو</w:t>
            </w:r>
            <w:r>
              <w:rPr>
                <w:rFonts w:ascii="Arabic Typesetting" w:eastAsia="Arabic Typesetting" w:hAnsi="Arabic Typesetting" w:cs="Arabic Typesetting" w:hint="cs"/>
                <w:color w:val="002060"/>
                <w:sz w:val="28"/>
                <w:szCs w:val="28"/>
                <w:rtl/>
                <w:lang w:eastAsia="ar-EG" w:bidi="ar-EG"/>
              </w:rPr>
              <w:t> </w:t>
            </w:r>
            <w:r w:rsidRPr="00F20129">
              <w:rPr>
                <w:rFonts w:ascii="Arabic Typesetting" w:eastAsia="Arabic Typesetting" w:hAnsi="Arabic Typesetting" w:cs="Arabic Typesetting"/>
                <w:color w:val="002060"/>
                <w:sz w:val="28"/>
                <w:szCs w:val="28"/>
                <w:rtl/>
                <w:lang w:eastAsia="ar-EG" w:bidi="ar-EG"/>
              </w:rPr>
              <w:t>يوافقون بشدة</w:t>
            </w:r>
          </w:p>
          <w:p w14:paraId="10A1F63A"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70%</w:t>
            </w:r>
          </w:p>
        </w:tc>
        <w:tc>
          <w:tcPr>
            <w:tcW w:w="674" w:type="pct"/>
            <w:shd w:val="clear" w:color="auto" w:fill="auto"/>
            <w:tcMar>
              <w:top w:w="110" w:type="dxa"/>
              <w:left w:w="29" w:type="dxa"/>
              <w:right w:w="29" w:type="dxa"/>
            </w:tcMar>
          </w:tcPr>
          <w:p w14:paraId="306FB62F"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hint="cs"/>
                <w:color w:val="002060"/>
                <w:sz w:val="28"/>
                <w:szCs w:val="28"/>
                <w:rtl/>
                <w:lang w:eastAsia="ar-EG" w:bidi="ar-EG"/>
              </w:rPr>
              <w:t xml:space="preserve">80% </w:t>
            </w:r>
            <w:r w:rsidRPr="00F20129">
              <w:rPr>
                <w:rFonts w:ascii="Arabic Typesetting" w:eastAsia="Arabic Typesetting" w:hAnsi="Arabic Typesetting" w:cs="Arabic Typesetting"/>
                <w:color w:val="002060"/>
                <w:sz w:val="28"/>
                <w:szCs w:val="28"/>
                <w:rtl/>
                <w:lang w:eastAsia="ar-EG" w:bidi="ar-EG"/>
              </w:rPr>
              <w:t>من المشاركين يوافقون أو</w:t>
            </w:r>
            <w:r>
              <w:rPr>
                <w:rFonts w:ascii="Arabic Typesetting" w:eastAsia="Arabic Typesetting" w:hAnsi="Arabic Typesetting" w:cs="Arabic Typesetting" w:hint="cs"/>
                <w:color w:val="002060"/>
                <w:sz w:val="28"/>
                <w:szCs w:val="28"/>
                <w:rtl/>
                <w:lang w:eastAsia="ar-EG" w:bidi="ar-EG"/>
              </w:rPr>
              <w:t> </w:t>
            </w:r>
            <w:r w:rsidRPr="00F20129">
              <w:rPr>
                <w:rFonts w:ascii="Arabic Typesetting" w:eastAsia="Arabic Typesetting" w:hAnsi="Arabic Typesetting" w:cs="Arabic Typesetting"/>
                <w:color w:val="002060"/>
                <w:sz w:val="28"/>
                <w:szCs w:val="28"/>
                <w:rtl/>
                <w:lang w:eastAsia="ar-EG" w:bidi="ar-EG"/>
              </w:rPr>
              <w:t>يوافقون</w:t>
            </w:r>
            <w:r>
              <w:rPr>
                <w:rFonts w:ascii="Arabic Typesetting" w:eastAsia="Arabic Typesetting" w:hAnsi="Arabic Typesetting" w:cs="Arabic Typesetting" w:hint="cs"/>
                <w:color w:val="002060"/>
                <w:sz w:val="28"/>
                <w:szCs w:val="28"/>
                <w:rtl/>
                <w:lang w:eastAsia="ar-EG" w:bidi="ar-EG"/>
              </w:rPr>
              <w:t> </w:t>
            </w:r>
            <w:r w:rsidRPr="00F20129">
              <w:rPr>
                <w:rFonts w:ascii="Arabic Typesetting" w:eastAsia="Arabic Typesetting" w:hAnsi="Arabic Typesetting" w:cs="Arabic Typesetting"/>
                <w:color w:val="002060"/>
                <w:sz w:val="28"/>
                <w:szCs w:val="28"/>
                <w:rtl/>
                <w:lang w:eastAsia="ar-EG" w:bidi="ar-EG"/>
              </w:rPr>
              <w:t>بشدة</w:t>
            </w:r>
          </w:p>
          <w:p w14:paraId="48ACFBDF"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الهدف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70% </w:t>
            </w:r>
            <w:r w:rsidRPr="00F20129">
              <w:rPr>
                <w:rFonts w:ascii="Arabic Typesetting" w:eastAsia="Arabic Typesetting" w:hAnsi="Arabic Typesetting" w:cs="Arabic Typesetting"/>
                <w:color w:val="000000"/>
                <w:sz w:val="28"/>
                <w:szCs w:val="28"/>
                <w:rtl/>
                <w:lang w:eastAsia="ar-EG" w:bidi="ar-EG"/>
              </w:rPr>
              <w:t>من المشاركين يوافقون أو</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يوافقون</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بشدة</w:t>
            </w:r>
          </w:p>
        </w:tc>
        <w:tc>
          <w:tcPr>
            <w:tcW w:w="1158" w:type="pct"/>
            <w:shd w:val="clear" w:color="auto" w:fill="FFFFFF"/>
            <w:tcMar>
              <w:top w:w="110" w:type="dxa"/>
              <w:left w:w="58" w:type="dxa"/>
              <w:right w:w="58" w:type="dxa"/>
            </w:tcMar>
          </w:tcPr>
          <w:p w14:paraId="2F4768D6"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أكثر من 80% من المشاركين يوافقون أو يوافقون بشدة على أن اجتماعات وحلقات تكوين الكفاءات في مجال حق المؤلف والحقوق المجاورة كانت مفيدة</w:t>
            </w:r>
          </w:p>
        </w:tc>
        <w:tc>
          <w:tcPr>
            <w:tcW w:w="667" w:type="pct"/>
            <w:shd w:val="clear" w:color="auto" w:fill="auto"/>
            <w:tcMar>
              <w:top w:w="110" w:type="dxa"/>
              <w:left w:w="58" w:type="dxa"/>
              <w:right w:w="58" w:type="dxa"/>
            </w:tcMar>
          </w:tcPr>
          <w:p w14:paraId="618DB6E0"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highlight w:val="yellow"/>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r w:rsidR="00AE137A" w:rsidRPr="00F20129" w14:paraId="3FE3E8AB" w14:textId="77777777" w:rsidTr="00BB3820">
        <w:trPr>
          <w:cantSplit/>
          <w:trHeight w:val="1330"/>
        </w:trPr>
        <w:tc>
          <w:tcPr>
            <w:tcW w:w="1023" w:type="pct"/>
            <w:shd w:val="clear" w:color="auto" w:fill="auto"/>
            <w:tcMar>
              <w:left w:w="58" w:type="dxa"/>
              <w:right w:w="58" w:type="dxa"/>
            </w:tcMar>
          </w:tcPr>
          <w:p w14:paraId="64F0C10D"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‏النسبة المئوية للمشاركين في حلقات عمل تكوين الكفاءات المتعلقة بحق المؤلف الذين أبلغوا عن الانتفاع العملي بالمعارف بعد تسعة أشهر من حلقة العمل</w:t>
            </w:r>
          </w:p>
        </w:tc>
        <w:tc>
          <w:tcPr>
            <w:tcW w:w="1478" w:type="pct"/>
            <w:shd w:val="clear" w:color="auto" w:fill="auto"/>
            <w:tcMar>
              <w:left w:w="58" w:type="dxa"/>
              <w:right w:w="58" w:type="dxa"/>
            </w:tcMar>
          </w:tcPr>
          <w:p w14:paraId="032AEE70" w14:textId="77777777" w:rsidR="00AE137A" w:rsidRDefault="00AE137A" w:rsidP="0031289D">
            <w:p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أكثر من 80% من المشاركين يوافقون أو</w:t>
            </w:r>
            <w:r>
              <w:rPr>
                <w:rFonts w:ascii="Arabic Typesetting" w:eastAsia="Arabic Typesetting" w:hAnsi="Arabic Typesetting" w:cs="Arabic Typesetting" w:hint="cs"/>
                <w:color w:val="002060"/>
                <w:sz w:val="28"/>
                <w:szCs w:val="28"/>
                <w:rtl/>
                <w:lang w:eastAsia="ar-EG" w:bidi="ar-EG"/>
              </w:rPr>
              <w:t> </w:t>
            </w:r>
            <w:r>
              <w:rPr>
                <w:rFonts w:ascii="Arabic Typesetting" w:eastAsia="Arabic Typesetting" w:hAnsi="Arabic Typesetting" w:cs="Arabic Typesetting"/>
                <w:color w:val="002060"/>
                <w:sz w:val="28"/>
                <w:szCs w:val="28"/>
                <w:rtl/>
                <w:lang w:eastAsia="ar-EG" w:bidi="ar-EG"/>
              </w:rPr>
              <w:t>يوافقون بشدة</w:t>
            </w:r>
          </w:p>
          <w:p w14:paraId="2109E295"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نحو 70%</w:t>
            </w:r>
          </w:p>
        </w:tc>
        <w:tc>
          <w:tcPr>
            <w:tcW w:w="674" w:type="pct"/>
            <w:shd w:val="clear" w:color="auto" w:fill="auto"/>
            <w:tcMar>
              <w:top w:w="110" w:type="dxa"/>
              <w:left w:w="29" w:type="dxa"/>
              <w:right w:w="29" w:type="dxa"/>
            </w:tcMar>
          </w:tcPr>
          <w:p w14:paraId="134621D6"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نحو 80% من المشاركين</w:t>
            </w:r>
          </w:p>
        </w:tc>
        <w:tc>
          <w:tcPr>
            <w:tcW w:w="1158" w:type="pct"/>
            <w:shd w:val="clear" w:color="auto" w:fill="FFFFFF"/>
            <w:tcMar>
              <w:top w:w="110" w:type="dxa"/>
              <w:left w:w="58" w:type="dxa"/>
              <w:right w:w="58" w:type="dxa"/>
            </w:tcMar>
          </w:tcPr>
          <w:p w14:paraId="048CBF99"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highlight w:val="yellow"/>
                <w:lang w:eastAsia="ar-EG" w:bidi="ar-EG"/>
              </w:rPr>
            </w:pPr>
            <w:r w:rsidRPr="00F20129">
              <w:rPr>
                <w:rFonts w:ascii="Arabic Typesetting" w:eastAsia="Arabic Typesetting" w:hAnsi="Arabic Typesetting" w:cs="Arabic Typesetting"/>
                <w:color w:val="000000"/>
                <w:sz w:val="28"/>
                <w:szCs w:val="28"/>
                <w:rtl/>
                <w:lang w:eastAsia="ar-EG" w:bidi="ar-EG"/>
              </w:rPr>
              <w:t>أكثر من 80% من المشاركين أفادوا بتطبيقهم للمعارف المكتسبة بعد 9</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أشهر من حلقة العمل</w:t>
            </w:r>
          </w:p>
        </w:tc>
        <w:tc>
          <w:tcPr>
            <w:tcW w:w="667" w:type="pct"/>
            <w:shd w:val="clear" w:color="auto" w:fill="auto"/>
            <w:tcMar>
              <w:top w:w="110" w:type="dxa"/>
              <w:left w:w="58" w:type="dxa"/>
              <w:right w:w="58" w:type="dxa"/>
            </w:tcMar>
          </w:tcPr>
          <w:p w14:paraId="269F148B"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r w:rsidR="00AE137A" w:rsidRPr="00F20129" w14:paraId="0734BEB9" w14:textId="77777777" w:rsidTr="00BB3820">
        <w:trPr>
          <w:cantSplit/>
          <w:trHeight w:val="973"/>
        </w:trPr>
        <w:tc>
          <w:tcPr>
            <w:tcW w:w="1023" w:type="pct"/>
            <w:shd w:val="clear" w:color="auto" w:fill="auto"/>
            <w:tcMar>
              <w:left w:w="58" w:type="dxa"/>
              <w:right w:w="58" w:type="dxa"/>
            </w:tcMar>
          </w:tcPr>
          <w:p w14:paraId="2561CF99"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النسبة المئوية للمشاركين الذين</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يتمتعون بمعارف ومهارات مُحسَّنة في</w:t>
            </w:r>
            <w:r>
              <w:rPr>
                <w:rFonts w:ascii="Arabic Typesetting" w:eastAsia="Arabic Typesetting" w:hAnsi="Arabic Typesetting" w:cs="Arabic Typesetting"/>
                <w:color w:val="000000"/>
                <w:sz w:val="28"/>
                <w:szCs w:val="28"/>
                <w:rtl/>
                <w:lang w:eastAsia="ar-EG" w:bidi="ar-EG"/>
              </w:rPr>
              <w:t xml:space="preserve"> تنفيذ أنشطة تدريبية في بلدانهم</w:t>
            </w:r>
          </w:p>
        </w:tc>
        <w:tc>
          <w:tcPr>
            <w:tcW w:w="1478" w:type="pct"/>
            <w:shd w:val="clear" w:color="auto" w:fill="auto"/>
            <w:tcMar>
              <w:left w:w="58" w:type="dxa"/>
              <w:right w:w="58" w:type="dxa"/>
            </w:tcMar>
          </w:tcPr>
          <w:p w14:paraId="3465F481"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غير متاح (مؤشر جديد)</w:t>
            </w:r>
          </w:p>
        </w:tc>
        <w:tc>
          <w:tcPr>
            <w:tcW w:w="674" w:type="pct"/>
            <w:shd w:val="clear" w:color="auto" w:fill="auto"/>
            <w:tcMar>
              <w:top w:w="110" w:type="dxa"/>
              <w:left w:w="29" w:type="dxa"/>
              <w:right w:w="29" w:type="dxa"/>
            </w:tcMar>
          </w:tcPr>
          <w:p w14:paraId="4661BD1F"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70% </w:t>
            </w:r>
            <w:r w:rsidRPr="00F20129">
              <w:rPr>
                <w:rFonts w:ascii="Arabic Typesetting" w:eastAsia="Arabic Typesetting" w:hAnsi="Arabic Typesetting" w:cs="Arabic Typesetting"/>
                <w:color w:val="000000"/>
                <w:sz w:val="28"/>
                <w:szCs w:val="28"/>
                <w:rtl/>
                <w:lang w:eastAsia="ar-EG" w:bidi="ar-EG"/>
              </w:rPr>
              <w:t>من المشاركين الذين تلقوا التدريب</w:t>
            </w:r>
          </w:p>
        </w:tc>
        <w:tc>
          <w:tcPr>
            <w:tcW w:w="1158" w:type="pct"/>
            <w:shd w:val="clear" w:color="auto" w:fill="FFFFFF"/>
            <w:tcMar>
              <w:top w:w="110" w:type="dxa"/>
              <w:left w:w="58" w:type="dxa"/>
              <w:right w:w="58" w:type="dxa"/>
            </w:tcMar>
          </w:tcPr>
          <w:p w14:paraId="2EA13A4F"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70% من المشاركين أفادو</w:t>
            </w:r>
            <w:r>
              <w:rPr>
                <w:rFonts w:ascii="Arabic Typesetting" w:eastAsia="Arabic Typesetting" w:hAnsi="Arabic Typesetting" w:cs="Arabic Typesetting" w:hint="cs"/>
                <w:color w:val="000000"/>
                <w:sz w:val="28"/>
                <w:szCs w:val="28"/>
                <w:rtl/>
                <w:lang w:eastAsia="ar-EG" w:bidi="ar-EG"/>
              </w:rPr>
              <w:t>ا</w:t>
            </w:r>
            <w:r w:rsidRPr="00F20129">
              <w:rPr>
                <w:rFonts w:ascii="Arabic Typesetting" w:eastAsia="Arabic Typesetting" w:hAnsi="Arabic Typesetting" w:cs="Arabic Typesetting"/>
                <w:color w:val="000000"/>
                <w:sz w:val="28"/>
                <w:szCs w:val="28"/>
                <w:rtl/>
                <w:lang w:eastAsia="ar-EG" w:bidi="ar-EG"/>
              </w:rPr>
              <w:t xml:space="preserve"> بتحسن في معارفهم ومهاراتهم في تنفيذ أنشطة تدريبية في بلدانهم</w:t>
            </w:r>
          </w:p>
        </w:tc>
        <w:tc>
          <w:tcPr>
            <w:tcW w:w="667" w:type="pct"/>
            <w:shd w:val="clear" w:color="auto" w:fill="auto"/>
            <w:tcMar>
              <w:top w:w="110" w:type="dxa"/>
              <w:left w:w="58" w:type="dxa"/>
              <w:right w:w="58" w:type="dxa"/>
            </w:tcMar>
          </w:tcPr>
          <w:p w14:paraId="7A46BFB0"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r w:rsidR="00AE137A" w:rsidRPr="00F20129" w14:paraId="53F4F097" w14:textId="77777777" w:rsidTr="00BB3820">
        <w:trPr>
          <w:cantSplit/>
          <w:trHeight w:val="565"/>
        </w:trPr>
        <w:tc>
          <w:tcPr>
            <w:tcW w:w="5000" w:type="pct"/>
            <w:gridSpan w:val="5"/>
            <w:shd w:val="clear" w:color="auto" w:fill="C6D9F1"/>
            <w:tcMar>
              <w:left w:w="29" w:type="dxa"/>
              <w:right w:w="29" w:type="dxa"/>
            </w:tcMar>
            <w:vAlign w:val="center"/>
          </w:tcPr>
          <w:p w14:paraId="0D857562" w14:textId="6D4AE363" w:rsidR="00AE137A" w:rsidRPr="00F20129" w:rsidRDefault="00AE137A"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lastRenderedPageBreak/>
              <w:t>‏النتيجة المرتقبة:</w:t>
            </w:r>
            <w:r w:rsidRPr="00F20129">
              <w:rPr>
                <w:rFonts w:ascii="Arabic Typesetting" w:eastAsia="Arabic Typesetting" w:hAnsi="Arabic Typesetting" w:cs="Arabic Typesetting"/>
                <w:sz w:val="28"/>
                <w:szCs w:val="28"/>
                <w:lang w:eastAsia="ar-EG" w:bidi="ar-EG"/>
              </w:rPr>
              <w:tab/>
            </w:r>
            <w:r w:rsidRPr="00F20129">
              <w:rPr>
                <w:rFonts w:ascii="Arabic Typesetting" w:eastAsia="Arabic Typesetting" w:hAnsi="Arabic Typesetting" w:cs="Arabic Typesetting"/>
                <w:color w:val="000000"/>
                <w:sz w:val="28"/>
                <w:szCs w:val="28"/>
                <w:rtl/>
                <w:lang w:eastAsia="ar-EG" w:bidi="ar-EG"/>
              </w:rPr>
              <w:t xml:space="preserve">ھ2.4 </w:t>
            </w:r>
            <w:r w:rsidR="007B1E0A">
              <w:rPr>
                <w:rFonts w:ascii="Arabic Typesetting" w:eastAsia="Arabic Typesetting" w:hAnsi="Arabic Typesetting" w:cs="Arabic Typesetting"/>
                <w:color w:val="000000"/>
                <w:sz w:val="28"/>
                <w:szCs w:val="28"/>
                <w:rtl/>
                <w:lang w:eastAsia="ar-EG" w:bidi="ar-EG"/>
              </w:rPr>
              <w:t>نفاذ محسّن إلى المعلومات المتعلقة بالملكية الفكرية واستخدامها من قبل مؤسسات الملكية الفكرية والجمهور لتشجيع الابتكار والإبداع</w:t>
            </w:r>
          </w:p>
        </w:tc>
      </w:tr>
      <w:tr w:rsidR="00AE137A" w:rsidRPr="00F20129" w14:paraId="10FAE812" w14:textId="77777777" w:rsidTr="00BB3820">
        <w:trPr>
          <w:cantSplit/>
        </w:trPr>
        <w:tc>
          <w:tcPr>
            <w:tcW w:w="1023" w:type="pct"/>
            <w:shd w:val="clear" w:color="auto" w:fill="auto"/>
            <w:tcMar>
              <w:left w:w="58" w:type="dxa"/>
              <w:right w:w="58" w:type="dxa"/>
            </w:tcMar>
            <w:vAlign w:val="center"/>
          </w:tcPr>
          <w:p w14:paraId="76BEAF56" w14:textId="77777777" w:rsidR="00AE137A" w:rsidRPr="00F20129" w:rsidRDefault="00AE137A" w:rsidP="0031289D">
            <w:pPr>
              <w:keepNext/>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مؤشرات الأداء</w:t>
            </w:r>
          </w:p>
        </w:tc>
        <w:tc>
          <w:tcPr>
            <w:tcW w:w="1478" w:type="pct"/>
            <w:shd w:val="clear" w:color="auto" w:fill="auto"/>
            <w:tcMar>
              <w:left w:w="58" w:type="dxa"/>
              <w:right w:w="58" w:type="dxa"/>
            </w:tcMar>
            <w:vAlign w:val="center"/>
          </w:tcPr>
          <w:p w14:paraId="0C597852" w14:textId="77777777" w:rsidR="00AE137A" w:rsidRPr="00F20129" w:rsidRDefault="00AE137A"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أسس المقارنة</w:t>
            </w:r>
          </w:p>
        </w:tc>
        <w:tc>
          <w:tcPr>
            <w:tcW w:w="674" w:type="pct"/>
            <w:shd w:val="clear" w:color="auto" w:fill="auto"/>
            <w:tcMar>
              <w:top w:w="110" w:type="dxa"/>
              <w:left w:w="29" w:type="dxa"/>
              <w:right w:w="29" w:type="dxa"/>
            </w:tcMar>
            <w:vAlign w:val="center"/>
          </w:tcPr>
          <w:p w14:paraId="5F69A1DA" w14:textId="77777777" w:rsidR="00AE137A" w:rsidRPr="00F20129" w:rsidRDefault="00AE137A"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الأهداف</w:t>
            </w:r>
          </w:p>
        </w:tc>
        <w:tc>
          <w:tcPr>
            <w:tcW w:w="1158" w:type="pct"/>
            <w:shd w:val="clear" w:color="auto" w:fill="FFFFFF"/>
            <w:tcMar>
              <w:top w:w="110" w:type="dxa"/>
              <w:left w:w="58" w:type="dxa"/>
              <w:right w:w="58" w:type="dxa"/>
            </w:tcMar>
            <w:vAlign w:val="center"/>
          </w:tcPr>
          <w:p w14:paraId="72730DA5" w14:textId="77777777" w:rsidR="00AE137A" w:rsidRPr="00F20129" w:rsidRDefault="00AE137A"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F20129">
              <w:rPr>
                <w:rFonts w:ascii="Arabic Typesetting" w:eastAsia="Arabic Typesetting" w:hAnsi="Arabic Typesetting" w:cs="Arabic Typesetting"/>
                <w:b/>
                <w:bCs/>
                <w:sz w:val="28"/>
                <w:szCs w:val="28"/>
                <w:rtl/>
                <w:lang w:eastAsia="ar-EG" w:bidi="ar-EG"/>
              </w:rPr>
              <w:t>بيانات الأداء</w:t>
            </w:r>
          </w:p>
        </w:tc>
        <w:tc>
          <w:tcPr>
            <w:tcW w:w="667" w:type="pct"/>
            <w:shd w:val="clear" w:color="auto" w:fill="auto"/>
            <w:tcMar>
              <w:top w:w="110" w:type="dxa"/>
              <w:left w:w="58" w:type="dxa"/>
              <w:right w:w="58" w:type="dxa"/>
            </w:tcMar>
            <w:vAlign w:val="center"/>
          </w:tcPr>
          <w:p w14:paraId="42DF70E5" w14:textId="77777777" w:rsidR="00AE137A" w:rsidRPr="00F20129" w:rsidRDefault="00AE137A"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AE137A" w:rsidRPr="00F20129" w14:paraId="2FAE4C24" w14:textId="77777777" w:rsidTr="00BB3820">
        <w:trPr>
          <w:cantSplit/>
          <w:trHeight w:val="2553"/>
        </w:trPr>
        <w:tc>
          <w:tcPr>
            <w:tcW w:w="1023" w:type="pct"/>
            <w:shd w:val="clear" w:color="auto" w:fill="auto"/>
            <w:tcMar>
              <w:left w:w="58" w:type="dxa"/>
              <w:right w:w="58" w:type="dxa"/>
            </w:tcMar>
          </w:tcPr>
          <w:p w14:paraId="04A5BD14" w14:textId="77777777" w:rsidR="00AE137A" w:rsidRPr="00F20129" w:rsidRDefault="00AE137A"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‏عدد الأعضاء المؤسسين لاتحاد</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الكتب المُيسَّرة</w:t>
            </w:r>
          </w:p>
        </w:tc>
        <w:tc>
          <w:tcPr>
            <w:tcW w:w="1478" w:type="pct"/>
            <w:shd w:val="clear" w:color="auto" w:fill="auto"/>
            <w:tcMar>
              <w:left w:w="58" w:type="dxa"/>
              <w:right w:w="58" w:type="dxa"/>
            </w:tcMar>
          </w:tcPr>
          <w:p w14:paraId="65536721" w14:textId="77777777" w:rsidR="00AE137A" w:rsidRDefault="00AE137A" w:rsidP="0031289D">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15 عضواً مؤسساً لاتحاد الكتب المُيسَّرة</w:t>
            </w:r>
          </w:p>
          <w:p w14:paraId="4BA8460A" w14:textId="77777777" w:rsidR="00AE137A" w:rsidRPr="00F20129" w:rsidRDefault="00AE137A"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10 أعضاء مؤسسين لاتحاد الكتب المُيسَّرة</w:t>
            </w:r>
          </w:p>
        </w:tc>
        <w:tc>
          <w:tcPr>
            <w:tcW w:w="674" w:type="pct"/>
            <w:shd w:val="clear" w:color="auto" w:fill="auto"/>
            <w:tcMar>
              <w:top w:w="110" w:type="dxa"/>
              <w:left w:w="29" w:type="dxa"/>
              <w:right w:w="29" w:type="dxa"/>
            </w:tcMar>
          </w:tcPr>
          <w:p w14:paraId="1193BA70" w14:textId="77777777" w:rsidR="00AE137A" w:rsidRDefault="00AE137A" w:rsidP="0031289D">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28 عضواً مؤسساً مسجلاً لاتحاد الكتب المُيسَّرة (تراكمي)</w:t>
            </w:r>
          </w:p>
          <w:p w14:paraId="6B641521" w14:textId="77777777" w:rsidR="00AE137A" w:rsidRPr="00F20129" w:rsidRDefault="00AE137A"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الهدف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15 عضواً مؤسساً مسجلاً لاتحاد الكتب المُيسَّرة (تراكمي)</w:t>
            </w:r>
          </w:p>
        </w:tc>
        <w:tc>
          <w:tcPr>
            <w:tcW w:w="1158" w:type="pct"/>
            <w:shd w:val="clear" w:color="auto" w:fill="FFFFFF"/>
            <w:tcMar>
              <w:top w:w="110" w:type="dxa"/>
              <w:left w:w="58" w:type="dxa"/>
              <w:right w:w="58" w:type="dxa"/>
            </w:tcMar>
          </w:tcPr>
          <w:p w14:paraId="798B86E6" w14:textId="77777777" w:rsidR="00AE137A" w:rsidRPr="00F20129" w:rsidRDefault="00AE137A"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 xml:space="preserve">10 أعضاء مؤسسين </w:t>
            </w:r>
            <w:r>
              <w:rPr>
                <w:rFonts w:ascii="Arabic Typesetting" w:eastAsia="Arabic Typesetting" w:hAnsi="Arabic Typesetting" w:cs="Arabic Typesetting"/>
                <w:color w:val="000000"/>
                <w:sz w:val="28"/>
                <w:szCs w:val="28"/>
                <w:rtl/>
                <w:lang w:eastAsia="ar-EG" w:bidi="ar-EG"/>
              </w:rPr>
              <w:t>إضافيين لاتحاد الكتب المُيسَّرة</w:t>
            </w:r>
          </w:p>
          <w:p w14:paraId="78C325C1" w14:textId="77777777" w:rsidR="00AE137A" w:rsidRPr="00F20129" w:rsidRDefault="00AE137A"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 xml:space="preserve">(التراكمي 25) </w:t>
            </w:r>
          </w:p>
        </w:tc>
        <w:tc>
          <w:tcPr>
            <w:tcW w:w="667" w:type="pct"/>
            <w:shd w:val="clear" w:color="auto" w:fill="auto"/>
            <w:tcMar>
              <w:top w:w="110" w:type="dxa"/>
              <w:left w:w="58" w:type="dxa"/>
              <w:right w:w="58" w:type="dxa"/>
            </w:tcMar>
          </w:tcPr>
          <w:p w14:paraId="718C5538" w14:textId="77777777" w:rsidR="00AE137A" w:rsidRPr="00F20129" w:rsidRDefault="00AE137A"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r w:rsidR="00AE137A" w:rsidRPr="00F20129" w14:paraId="75D6DC93" w14:textId="77777777" w:rsidTr="00BB3820">
        <w:trPr>
          <w:cantSplit/>
          <w:trHeight w:val="546"/>
        </w:trPr>
        <w:tc>
          <w:tcPr>
            <w:tcW w:w="1023" w:type="pct"/>
            <w:shd w:val="clear" w:color="auto" w:fill="auto"/>
            <w:tcMar>
              <w:left w:w="58" w:type="dxa"/>
              <w:right w:w="58" w:type="dxa"/>
            </w:tcMar>
          </w:tcPr>
          <w:p w14:paraId="4CABD23A"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عدد الجهات المانحة</w:t>
            </w:r>
          </w:p>
        </w:tc>
        <w:tc>
          <w:tcPr>
            <w:tcW w:w="1478" w:type="pct"/>
            <w:shd w:val="clear" w:color="auto" w:fill="auto"/>
            <w:tcMar>
              <w:left w:w="58" w:type="dxa"/>
              <w:right w:w="58" w:type="dxa"/>
            </w:tcMar>
          </w:tcPr>
          <w:p w14:paraId="76ACCA0B"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تقديم جهتين مانحتين مساهمة مالية:</w:t>
            </w:r>
          </w:p>
          <w:p w14:paraId="5DCFF311" w14:textId="77777777" w:rsidR="00AE137A" w:rsidRPr="00F20129" w:rsidRDefault="00AE137A" w:rsidP="0031289D">
            <w:pPr>
              <w:bidi/>
              <w:spacing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 أستراليا</w:t>
            </w:r>
          </w:p>
          <w:p w14:paraId="0DACC2BF" w14:textId="77777777" w:rsidR="00AE137A" w:rsidRPr="00F20129" w:rsidRDefault="00AE137A"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 جمهورية كوريا</w:t>
            </w:r>
          </w:p>
        </w:tc>
        <w:tc>
          <w:tcPr>
            <w:tcW w:w="674" w:type="pct"/>
            <w:shd w:val="clear" w:color="auto" w:fill="auto"/>
            <w:tcMar>
              <w:top w:w="110" w:type="dxa"/>
              <w:left w:w="29" w:type="dxa"/>
              <w:right w:w="29" w:type="dxa"/>
            </w:tcMar>
          </w:tcPr>
          <w:p w14:paraId="37B7DE9F"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تقديم أربع جهات مانحة لمساهمة مالية (تراكمي)</w:t>
            </w:r>
          </w:p>
        </w:tc>
        <w:tc>
          <w:tcPr>
            <w:tcW w:w="1158" w:type="pct"/>
            <w:shd w:val="clear" w:color="auto" w:fill="FFFFFF"/>
            <w:tcMar>
              <w:top w:w="110" w:type="dxa"/>
              <w:left w:w="58" w:type="dxa"/>
              <w:right w:w="58" w:type="dxa"/>
            </w:tcMar>
          </w:tcPr>
          <w:p w14:paraId="23E44D4F"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مساهمة جهتين مانحتين إضافيتين:</w:t>
            </w:r>
          </w:p>
          <w:p w14:paraId="0876977C"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 مؤسسة سكول</w:t>
            </w:r>
            <w:r>
              <w:rPr>
                <w:rFonts w:ascii="Arabic Typesetting" w:eastAsia="Arabic Typesetting" w:hAnsi="Arabic Typesetting" w:cs="Arabic Typesetting"/>
                <w:color w:val="000000"/>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 صندوق الأمم المتحدة للشراكات</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الدولية</w:t>
            </w:r>
            <w:r>
              <w:rPr>
                <w:rFonts w:ascii="Arabic Typesetting" w:eastAsia="Arabic Typesetting" w:hAnsi="Arabic Typesetting" w:cs="Arabic Typesetting"/>
                <w:color w:val="000000"/>
                <w:sz w:val="28"/>
                <w:szCs w:val="28"/>
                <w:rtl/>
                <w:lang w:eastAsia="ar-EG" w:bidi="ar-EG"/>
              </w:rPr>
              <w:br/>
            </w:r>
            <w:r w:rsidRPr="00F20129">
              <w:rPr>
                <w:rFonts w:ascii="Arabic Typesetting" w:eastAsia="Arabic Typesetting" w:hAnsi="Arabic Typesetting" w:cs="Arabic Typesetting"/>
                <w:color w:val="000000"/>
                <w:sz w:val="28"/>
                <w:szCs w:val="28"/>
                <w:rtl/>
                <w:lang w:eastAsia="ar-EG" w:bidi="ar-EG"/>
              </w:rPr>
              <w:t>(التراكمي 4)</w:t>
            </w:r>
          </w:p>
        </w:tc>
        <w:tc>
          <w:tcPr>
            <w:tcW w:w="667" w:type="pct"/>
            <w:shd w:val="clear" w:color="auto" w:fill="auto"/>
            <w:tcMar>
              <w:top w:w="110" w:type="dxa"/>
              <w:left w:w="58" w:type="dxa"/>
              <w:right w:w="58" w:type="dxa"/>
            </w:tcMar>
          </w:tcPr>
          <w:p w14:paraId="489E23F9"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r w:rsidR="00AE137A" w:rsidRPr="00F20129" w14:paraId="62510286" w14:textId="77777777" w:rsidTr="00BB3820">
        <w:trPr>
          <w:cantSplit/>
          <w:trHeight w:val="255"/>
        </w:trPr>
        <w:tc>
          <w:tcPr>
            <w:tcW w:w="1023" w:type="pct"/>
            <w:shd w:val="clear" w:color="auto" w:fill="auto"/>
            <w:tcMar>
              <w:left w:w="58" w:type="dxa"/>
              <w:right w:w="58" w:type="dxa"/>
            </w:tcMar>
          </w:tcPr>
          <w:p w14:paraId="4ED8DA6E"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عدد الصكوك القانونية والمبادئ التوجيهية وبيانات المبادئ بخلاف الصكوك الملزمة بمشاركة أصحاب المصالح المعنيين في مجالات مثل معاهدات حق المؤلف الجديدة وحق المؤلف في</w:t>
            </w:r>
            <w:r>
              <w:rPr>
                <w:rFonts w:ascii="Arabic Typesetting" w:eastAsia="Arabic Typesetting" w:hAnsi="Arabic Typesetting" w:cs="Arabic Typesetting" w:hint="cs"/>
                <w:color w:val="000000"/>
                <w:sz w:val="28"/>
                <w:szCs w:val="28"/>
                <w:rtl/>
                <w:lang w:eastAsia="ar-EG" w:bidi="ar-EG"/>
              </w:rPr>
              <w:t> </w:t>
            </w:r>
            <w:r w:rsidRPr="00F20129">
              <w:rPr>
                <w:rFonts w:ascii="Arabic Typesetting" w:eastAsia="Arabic Typesetting" w:hAnsi="Arabic Typesetting" w:cs="Arabic Typesetting"/>
                <w:color w:val="000000"/>
                <w:sz w:val="28"/>
                <w:szCs w:val="28"/>
                <w:rtl/>
                <w:lang w:eastAsia="ar-EG" w:bidi="ar-EG"/>
              </w:rPr>
              <w:t>البيئة الرقمية</w:t>
            </w:r>
          </w:p>
        </w:tc>
        <w:tc>
          <w:tcPr>
            <w:tcW w:w="1478" w:type="pct"/>
            <w:shd w:val="clear" w:color="auto" w:fill="auto"/>
            <w:tcMar>
              <w:left w:w="58" w:type="dxa"/>
              <w:right w:w="58" w:type="dxa"/>
            </w:tcMar>
          </w:tcPr>
          <w:p w14:paraId="70407E82" w14:textId="77777777" w:rsidR="00AE137A" w:rsidRPr="00F20129" w:rsidRDefault="00AE137A" w:rsidP="0031289D">
            <w:pPr>
              <w:bidi/>
              <w:spacing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F20129">
              <w:rPr>
                <w:rFonts w:ascii="Arabic Typesetting" w:eastAsia="Arabic Typesetting" w:hAnsi="Arabic Typesetting" w:cs="Arabic Typesetting"/>
                <w:color w:val="002060"/>
                <w:sz w:val="28"/>
                <w:szCs w:val="28"/>
                <w:rtl/>
                <w:lang w:eastAsia="ar-EG" w:bidi="ar-EG"/>
              </w:rPr>
              <w:t>اثنتان:</w:t>
            </w:r>
          </w:p>
          <w:p w14:paraId="7542252E" w14:textId="77777777" w:rsidR="00AE137A" w:rsidRPr="009A4E62" w:rsidRDefault="00AE137A" w:rsidP="0031289D">
            <w:pPr>
              <w:pStyle w:val="ListParagraph"/>
              <w:numPr>
                <w:ilvl w:val="0"/>
                <w:numId w:val="5"/>
              </w:numPr>
              <w:bidi/>
              <w:spacing w:after="120" w:line="280" w:lineRule="exact"/>
              <w:rPr>
                <w:rFonts w:ascii="Arabic Typesetting" w:eastAsia="Arabic Typesetting" w:hAnsi="Arabic Typesetting" w:cs="Arabic Typesetting"/>
                <w:color w:val="002060"/>
                <w:sz w:val="28"/>
                <w:szCs w:val="28"/>
                <w:lang w:eastAsia="ar-EG" w:bidi="ar-EG"/>
              </w:rPr>
            </w:pPr>
            <w:r w:rsidRPr="009A4E62">
              <w:rPr>
                <w:rFonts w:ascii="Arabic Typesetting" w:eastAsia="Arabic Typesetting" w:hAnsi="Arabic Typesetting" w:cs="Arabic Typesetting"/>
                <w:color w:val="002060"/>
                <w:sz w:val="28"/>
                <w:szCs w:val="28"/>
                <w:rtl/>
                <w:lang w:eastAsia="ar-EG" w:bidi="ar-EG"/>
              </w:rPr>
              <w:t>مراجعة الويبو للاعتبارات التعاقدية في القطاع السمعي البصري</w:t>
            </w:r>
          </w:p>
          <w:p w14:paraId="05993B8B" w14:textId="77777777" w:rsidR="00AE137A" w:rsidRDefault="00AE137A" w:rsidP="0031289D">
            <w:pPr>
              <w:pStyle w:val="ListParagraph"/>
              <w:numPr>
                <w:ilvl w:val="0"/>
                <w:numId w:val="5"/>
              </w:numPr>
              <w:bidi/>
              <w:spacing w:after="120" w:line="280" w:lineRule="exact"/>
              <w:rPr>
                <w:rFonts w:ascii="Arabic Typesetting" w:eastAsia="Arabic Typesetting" w:hAnsi="Arabic Typesetting" w:cs="Arabic Typesetting"/>
                <w:color w:val="002060"/>
                <w:sz w:val="28"/>
                <w:szCs w:val="28"/>
                <w:lang w:eastAsia="ar-EG" w:bidi="ar-EG"/>
              </w:rPr>
            </w:pPr>
            <w:r w:rsidRPr="00F20129">
              <w:rPr>
                <w:rFonts w:ascii="Arabic Typesetting" w:eastAsia="Arabic Typesetting" w:hAnsi="Arabic Typesetting" w:cs="Arabic Typesetting"/>
                <w:color w:val="002060"/>
                <w:sz w:val="28"/>
                <w:szCs w:val="28"/>
                <w:rtl/>
                <w:lang w:eastAsia="ar-EG" w:bidi="ar-EG"/>
              </w:rPr>
              <w:t>مشروع مبادئ الويبو التوجيهية بشأن تقييم الوقع الاقتصادي والاجتماعي والثقافي لحق المؤلف في الاقتصاد</w:t>
            </w:r>
            <w:r w:rsidRPr="00F20129">
              <w:rPr>
                <w:rFonts w:ascii="Arabic Typesetting" w:eastAsia="Arabic Typesetting" w:hAnsi="Arabic Typesetting" w:cs="Arabic Typesetting"/>
                <w:color w:val="002060"/>
                <w:sz w:val="28"/>
                <w:szCs w:val="28"/>
                <w:vertAlign w:val="superscript"/>
                <w:lang w:eastAsia="ar-EG" w:bidi="ar-EG"/>
              </w:rPr>
              <w:footnoteReference w:id="18"/>
            </w:r>
          </w:p>
          <w:p w14:paraId="628DF147"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i/>
                <w:iCs/>
                <w:sz w:val="28"/>
                <w:szCs w:val="28"/>
                <w:rtl/>
                <w:lang w:eastAsia="ar-EG" w:bidi="ar-EG"/>
              </w:rPr>
              <w:t>‏أساس المقارنة الأصلي:</w:t>
            </w:r>
            <w:r w:rsidRPr="00F20129">
              <w:rPr>
                <w:rFonts w:ascii="Arabic Typesetting" w:eastAsia="Arabic Typesetting" w:hAnsi="Arabic Typesetting" w:cs="Arabic Typesetting"/>
                <w:i/>
                <w:sz w:val="28"/>
                <w:szCs w:val="28"/>
                <w:lang w:eastAsia="ar-EG" w:bidi="ar-EG"/>
              </w:rPr>
              <w:br/>
            </w:r>
            <w:r w:rsidRPr="00F2012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F20129">
              <w:rPr>
                <w:rFonts w:ascii="Arabic Typesetting" w:eastAsia="Arabic Typesetting" w:hAnsi="Arabic Typesetting" w:cs="Arabic Typesetting"/>
                <w:color w:val="000000"/>
                <w:sz w:val="28"/>
                <w:szCs w:val="28"/>
                <w:rtl/>
                <w:lang w:eastAsia="ar-EG" w:bidi="ar-EG"/>
              </w:rPr>
              <w:t>واحد (مبادئ توجيهية للملكية الفكرية</w:t>
            </w:r>
            <w:r>
              <w:rPr>
                <w:rFonts w:ascii="Arabic Typesetting" w:eastAsia="Arabic Typesetting" w:hAnsi="Arabic Typesetting" w:cs="Arabic Typesetting"/>
                <w:color w:val="000000"/>
                <w:sz w:val="28"/>
                <w:szCs w:val="28"/>
                <w:lang w:eastAsia="ar-EG" w:bidi="ar-EG"/>
              </w:rPr>
              <w:t> </w:t>
            </w:r>
            <w:r w:rsidRPr="00F20129">
              <w:rPr>
                <w:rFonts w:ascii="Arabic Typesetting" w:eastAsia="Arabic Typesetting" w:hAnsi="Arabic Typesetting" w:cs="Arabic Typesetting"/>
                <w:color w:val="000000"/>
                <w:sz w:val="28"/>
                <w:szCs w:val="28"/>
                <w:rtl/>
                <w:lang w:eastAsia="ar-EG" w:bidi="ar-EG"/>
              </w:rPr>
              <w:t>والرياضة)</w:t>
            </w:r>
            <w:r w:rsidRPr="00F20129">
              <w:rPr>
                <w:rFonts w:ascii="Arabic Typesetting" w:eastAsia="Arabic Typesetting" w:hAnsi="Arabic Typesetting" w:cs="Arabic Typesetting"/>
                <w:color w:val="002060"/>
                <w:sz w:val="28"/>
                <w:szCs w:val="28"/>
                <w:vertAlign w:val="superscript"/>
                <w:lang w:eastAsia="ar-EG" w:bidi="ar-EG"/>
              </w:rPr>
              <w:footnoteReference w:id="19"/>
            </w:r>
          </w:p>
        </w:tc>
        <w:tc>
          <w:tcPr>
            <w:tcW w:w="674" w:type="pct"/>
            <w:shd w:val="clear" w:color="auto" w:fill="auto"/>
            <w:tcMar>
              <w:top w:w="110" w:type="dxa"/>
              <w:left w:w="29" w:type="dxa"/>
              <w:right w:w="29" w:type="dxa"/>
            </w:tcMar>
          </w:tcPr>
          <w:p w14:paraId="7A6E09F4" w14:textId="77777777" w:rsidR="00AE137A" w:rsidRPr="00F20129" w:rsidRDefault="00AE137A" w:rsidP="0031289D">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color w:val="000000"/>
                <w:sz w:val="28"/>
                <w:szCs w:val="28"/>
                <w:rtl/>
                <w:lang w:eastAsia="ar-EG" w:bidi="ar-EG"/>
              </w:rPr>
              <w:t>واحد (إضافي)</w:t>
            </w:r>
          </w:p>
        </w:tc>
        <w:tc>
          <w:tcPr>
            <w:tcW w:w="1158" w:type="pct"/>
            <w:shd w:val="clear" w:color="auto" w:fill="FFFFFF"/>
            <w:tcMar>
              <w:top w:w="110" w:type="dxa"/>
              <w:left w:w="58" w:type="dxa"/>
              <w:right w:w="58" w:type="dxa"/>
            </w:tcMar>
          </w:tcPr>
          <w:p w14:paraId="6A80DBAF" w14:textId="77777777" w:rsidR="00AE137A" w:rsidRDefault="00AE137A" w:rsidP="0031289D">
            <w:pPr>
              <w:bidi/>
              <w:spacing w:after="120" w:line="280" w:lineRule="exact"/>
              <w:rPr>
                <w:rFonts w:ascii="Arabic Typesetting" w:eastAsia="Arabic Typesetting" w:hAnsi="Arabic Typesetting" w:cs="Arabic Typesetting"/>
                <w:sz w:val="28"/>
                <w:szCs w:val="28"/>
                <w:lang w:eastAsia="ar-EG" w:bidi="ar-EG"/>
              </w:rPr>
            </w:pPr>
            <w:r w:rsidRPr="00F20129">
              <w:rPr>
                <w:rFonts w:ascii="Arabic Typesetting" w:eastAsia="Arabic Typesetting" w:hAnsi="Arabic Typesetting" w:cs="Arabic Typesetting"/>
                <w:sz w:val="28"/>
                <w:szCs w:val="28"/>
                <w:rtl/>
                <w:lang w:eastAsia="ar-EG" w:bidi="ar-EG"/>
              </w:rPr>
              <w:t>المبادئ التوجيهية للملكية الفكرية والرياضة قيد الإعداد.</w:t>
            </w:r>
          </w:p>
          <w:p w14:paraId="6C78C720" w14:textId="161C43B2" w:rsidR="00AE137A" w:rsidRPr="00F20129" w:rsidRDefault="00AE137A" w:rsidP="00D02C02">
            <w:pPr>
              <w:bidi/>
              <w:spacing w:after="120" w:line="280" w:lineRule="exact"/>
              <w:rPr>
                <w:rFonts w:ascii="Arabic Typesetting" w:eastAsia="Arabic Typesetting" w:hAnsi="Arabic Typesetting" w:cs="Arabic Typesetting"/>
                <w:color w:val="000000"/>
                <w:sz w:val="28"/>
                <w:szCs w:val="28"/>
                <w:lang w:eastAsia="ar-EG" w:bidi="ar-EG"/>
              </w:rPr>
            </w:pPr>
            <w:r w:rsidRPr="00F20129">
              <w:rPr>
                <w:rFonts w:ascii="Arabic Typesetting" w:eastAsia="Arabic Typesetting" w:hAnsi="Arabic Typesetting" w:cs="Arabic Typesetting"/>
                <w:sz w:val="28"/>
                <w:szCs w:val="28"/>
                <w:rtl/>
                <w:lang w:eastAsia="ar-EG" w:bidi="ar-EG"/>
              </w:rPr>
              <w:t>وأصدر اتحاد الكتب المُيسَّرة "عُدة</w:t>
            </w:r>
            <w:r>
              <w:rPr>
                <w:rFonts w:ascii="Arabic Typesetting" w:eastAsia="Arabic Typesetting" w:hAnsi="Arabic Typesetting" w:cs="Arabic Typesetting" w:hint="cs"/>
                <w:sz w:val="28"/>
                <w:szCs w:val="28"/>
                <w:rtl/>
                <w:lang w:eastAsia="ar-EG" w:bidi="ar-EG"/>
              </w:rPr>
              <w:t> </w:t>
            </w:r>
            <w:r w:rsidRPr="00F20129">
              <w:rPr>
                <w:rFonts w:ascii="Arabic Typesetting" w:eastAsia="Arabic Typesetting" w:hAnsi="Arabic Typesetting" w:cs="Arabic Typesetting"/>
                <w:sz w:val="28"/>
                <w:szCs w:val="28"/>
                <w:rtl/>
                <w:lang w:eastAsia="ar-EG" w:bidi="ar-EG"/>
              </w:rPr>
              <w:t xml:space="preserve">الانطلاق للنشر الميسر في البلدان النامية والبلدان الأقل نموا" و"المبادئ التوجيهية </w:t>
            </w:r>
            <w:r w:rsidR="00D02C02">
              <w:rPr>
                <w:rFonts w:ascii="Arabic Typesetting" w:eastAsia="Arabic Typesetting" w:hAnsi="Arabic Typesetting" w:cs="Arabic Typesetting" w:hint="cs"/>
                <w:sz w:val="28"/>
                <w:szCs w:val="28"/>
                <w:rtl/>
                <w:lang w:eastAsia="ar-EG" w:bidi="ar-EG"/>
              </w:rPr>
              <w:t>للنفاذ</w:t>
            </w:r>
            <w:r>
              <w:rPr>
                <w:rFonts w:ascii="Arabic Typesetting" w:eastAsia="Arabic Typesetting" w:hAnsi="Arabic Typesetting" w:cs="Arabic Typesetting"/>
                <w:sz w:val="28"/>
                <w:szCs w:val="28"/>
                <w:rtl/>
                <w:lang w:eastAsia="ar-EG" w:bidi="ar-EG"/>
              </w:rPr>
              <w:t xml:space="preserve"> لفائدة المؤلفين ذاتيي النشر".</w:t>
            </w:r>
          </w:p>
        </w:tc>
        <w:tc>
          <w:tcPr>
            <w:tcW w:w="667" w:type="pct"/>
            <w:shd w:val="clear" w:color="auto" w:fill="auto"/>
            <w:tcMar>
              <w:top w:w="110" w:type="dxa"/>
              <w:left w:w="58" w:type="dxa"/>
              <w:right w:w="58" w:type="dxa"/>
            </w:tcMar>
          </w:tcPr>
          <w:p w14:paraId="707C0ECF" w14:textId="77777777" w:rsidR="00AE137A" w:rsidRPr="00F20129" w:rsidRDefault="00AE137A"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F20129">
              <w:rPr>
                <w:rFonts w:ascii="Arabic Typesetting" w:eastAsia="Arabic Typesetting" w:hAnsi="Arabic Typesetting" w:cs="Arabic Typesetting"/>
                <w:b/>
                <w:bCs/>
                <w:color w:val="00B050"/>
                <w:sz w:val="28"/>
                <w:szCs w:val="28"/>
                <w:rtl/>
                <w:lang w:eastAsia="ar-EG" w:bidi="ar-EG"/>
              </w:rPr>
              <w:t>ثابت</w:t>
            </w:r>
          </w:p>
        </w:tc>
      </w:tr>
    </w:tbl>
    <w:p w14:paraId="58DABB1A" w14:textId="77777777" w:rsidR="00AE137A" w:rsidRDefault="00AE137A" w:rsidP="0031289D">
      <w:pPr>
        <w:bidi/>
      </w:pPr>
    </w:p>
    <w:tbl>
      <w:tblPr>
        <w:tblStyle w:val="TableGrid"/>
        <w:bidiVisual/>
        <w:tblW w:w="0" w:type="auto"/>
        <w:tblLook w:val="04A0" w:firstRow="1" w:lastRow="0" w:firstColumn="1" w:lastColumn="0" w:noHBand="0" w:noVBand="1"/>
      </w:tblPr>
      <w:tblGrid>
        <w:gridCol w:w="9571"/>
      </w:tblGrid>
      <w:tr w:rsidR="00AE137A" w14:paraId="305EA32F" w14:textId="77777777" w:rsidTr="00BB3820">
        <w:tc>
          <w:tcPr>
            <w:tcW w:w="9571" w:type="dxa"/>
            <w:tcBorders>
              <w:top w:val="nil"/>
              <w:left w:val="nil"/>
              <w:bottom w:val="nil"/>
              <w:right w:val="nil"/>
            </w:tcBorders>
            <w:shd w:val="clear" w:color="auto" w:fill="C6D9F1"/>
            <w:vAlign w:val="center"/>
          </w:tcPr>
          <w:p w14:paraId="5A48A7EA" w14:textId="77777777" w:rsidR="00AE137A" w:rsidRPr="00A2672B" w:rsidRDefault="00AE137A"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3</w:t>
            </w:r>
          </w:p>
        </w:tc>
      </w:tr>
    </w:tbl>
    <w:p w14:paraId="39A7207C" w14:textId="77777777" w:rsidR="00AE137A" w:rsidRPr="00FE3908" w:rsidRDefault="00AE137A"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5B9609CA" w14:textId="77777777" w:rsidR="00AE137A" w:rsidRDefault="00AE137A"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AE137A" w:rsidRPr="00211D55" w14:paraId="6056AB84"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260274EF" w14:textId="77777777" w:rsidR="00AE137A" w:rsidRPr="00A2672B" w:rsidRDefault="00AE137A"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474CB38A" w14:textId="77777777" w:rsidR="00AE137A" w:rsidRPr="00A2672B" w:rsidRDefault="00AE137A"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6490903E" w14:textId="77777777" w:rsidR="00AE137A" w:rsidRPr="00A2672B" w:rsidRDefault="00AE137A"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18FA95EF" w14:textId="77777777" w:rsidR="00AE137A" w:rsidRPr="00A2672B" w:rsidRDefault="00AE137A"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AE137A" w:rsidRPr="00211D55" w14:paraId="1F530996" w14:textId="77777777" w:rsidTr="00BB3820">
        <w:trPr>
          <w:trHeight w:val="55"/>
        </w:trPr>
        <w:tc>
          <w:tcPr>
            <w:tcW w:w="413" w:type="pct"/>
            <w:shd w:val="clear" w:color="auto" w:fill="auto"/>
            <w:noWrap/>
            <w:tcMar>
              <w:top w:w="15" w:type="dxa"/>
              <w:left w:w="15" w:type="dxa"/>
              <w:bottom w:w="0" w:type="dxa"/>
              <w:right w:w="15" w:type="dxa"/>
            </w:tcMar>
            <w:vAlign w:val="center"/>
          </w:tcPr>
          <w:p w14:paraId="77FEE1E8" w14:textId="77777777" w:rsidR="00AE137A" w:rsidRPr="00F20129" w:rsidRDefault="00AE137A" w:rsidP="0031289D">
            <w:pPr>
              <w:bidi/>
              <w:spacing w:before="120" w:after="120"/>
              <w:rPr>
                <w:rFonts w:ascii="Arabic Typesetting" w:hAnsi="Arabic Typesetting" w:cs="Arabic Typesetting"/>
                <w:sz w:val="28"/>
                <w:szCs w:val="28"/>
              </w:rPr>
            </w:pPr>
            <w:r w:rsidRPr="00F20129">
              <w:rPr>
                <w:rFonts w:ascii="Arabic Typesetting" w:hAnsi="Arabic Typesetting" w:cs="Arabic Typesetting"/>
                <w:sz w:val="28"/>
                <w:szCs w:val="28"/>
                <w:rtl/>
              </w:rPr>
              <w:t>ه1.1</w:t>
            </w:r>
          </w:p>
        </w:tc>
        <w:tc>
          <w:tcPr>
            <w:tcW w:w="2340" w:type="pct"/>
            <w:shd w:val="clear" w:color="auto" w:fill="auto"/>
            <w:tcMar>
              <w:top w:w="15" w:type="dxa"/>
              <w:left w:w="15" w:type="dxa"/>
              <w:bottom w:w="0" w:type="dxa"/>
              <w:right w:w="15" w:type="dxa"/>
            </w:tcMar>
            <w:vAlign w:val="center"/>
          </w:tcPr>
          <w:p w14:paraId="082D8442" w14:textId="2686C7CB" w:rsidR="00AE137A" w:rsidRPr="00F20129" w:rsidRDefault="009834B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تعاون معزز بين الدول الأعضاء في وضع أطر تقنينية دولية متوازنة في مجال الملكية الفكرية</w:t>
            </w:r>
          </w:p>
        </w:tc>
        <w:tc>
          <w:tcPr>
            <w:tcW w:w="749" w:type="pct"/>
            <w:shd w:val="clear" w:color="auto" w:fill="auto"/>
            <w:tcMar>
              <w:top w:w="15" w:type="dxa"/>
              <w:left w:w="15" w:type="dxa"/>
              <w:bottom w:w="0" w:type="dxa"/>
              <w:right w:w="15" w:type="dxa"/>
            </w:tcMar>
            <w:vAlign w:val="center"/>
          </w:tcPr>
          <w:p w14:paraId="55379EEF"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339</w:t>
            </w:r>
          </w:p>
        </w:tc>
        <w:tc>
          <w:tcPr>
            <w:tcW w:w="749" w:type="pct"/>
            <w:shd w:val="clear" w:color="auto" w:fill="auto"/>
            <w:tcMar>
              <w:top w:w="15" w:type="dxa"/>
              <w:left w:w="15" w:type="dxa"/>
              <w:bottom w:w="0" w:type="dxa"/>
              <w:right w:w="15" w:type="dxa"/>
            </w:tcMar>
            <w:vAlign w:val="center"/>
          </w:tcPr>
          <w:p w14:paraId="51D91130"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623</w:t>
            </w:r>
          </w:p>
        </w:tc>
        <w:tc>
          <w:tcPr>
            <w:tcW w:w="749" w:type="pct"/>
            <w:shd w:val="clear" w:color="auto" w:fill="auto"/>
            <w:noWrap/>
            <w:tcMar>
              <w:top w:w="15" w:type="dxa"/>
              <w:left w:w="15" w:type="dxa"/>
              <w:bottom w:w="0" w:type="dxa"/>
              <w:right w:w="15" w:type="dxa"/>
            </w:tcMar>
            <w:vAlign w:val="center"/>
          </w:tcPr>
          <w:p w14:paraId="0F753A87"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273</w:t>
            </w:r>
          </w:p>
        </w:tc>
      </w:tr>
      <w:tr w:rsidR="00AE137A" w:rsidRPr="00211D55" w14:paraId="1941F7ED" w14:textId="77777777" w:rsidTr="00BB3820">
        <w:trPr>
          <w:trHeight w:val="55"/>
        </w:trPr>
        <w:tc>
          <w:tcPr>
            <w:tcW w:w="413" w:type="pct"/>
            <w:shd w:val="clear" w:color="auto" w:fill="auto"/>
            <w:noWrap/>
            <w:tcMar>
              <w:top w:w="15" w:type="dxa"/>
              <w:left w:w="15" w:type="dxa"/>
              <w:bottom w:w="0" w:type="dxa"/>
              <w:right w:w="15" w:type="dxa"/>
            </w:tcMar>
            <w:vAlign w:val="center"/>
          </w:tcPr>
          <w:p w14:paraId="4FA39057" w14:textId="77777777" w:rsidR="00AE137A" w:rsidRPr="00F20129" w:rsidRDefault="00AE137A" w:rsidP="0031289D">
            <w:pPr>
              <w:bidi/>
              <w:spacing w:before="120" w:after="120"/>
              <w:rPr>
                <w:rFonts w:ascii="Arabic Typesetting" w:hAnsi="Arabic Typesetting" w:cs="Arabic Typesetting"/>
                <w:sz w:val="28"/>
                <w:szCs w:val="28"/>
              </w:rPr>
            </w:pPr>
            <w:r w:rsidRPr="00F20129">
              <w:rPr>
                <w:rFonts w:ascii="Arabic Typesetting" w:hAnsi="Arabic Typesetting" w:cs="Arabic Typesetting"/>
                <w:sz w:val="28"/>
                <w:szCs w:val="28"/>
                <w:rtl/>
              </w:rPr>
              <w:t>ه2.1</w:t>
            </w:r>
          </w:p>
        </w:tc>
        <w:tc>
          <w:tcPr>
            <w:tcW w:w="2340" w:type="pct"/>
            <w:shd w:val="clear" w:color="auto" w:fill="auto"/>
            <w:tcMar>
              <w:top w:w="15" w:type="dxa"/>
              <w:left w:w="15" w:type="dxa"/>
              <w:bottom w:w="0" w:type="dxa"/>
              <w:right w:w="15" w:type="dxa"/>
            </w:tcMar>
            <w:vAlign w:val="center"/>
          </w:tcPr>
          <w:p w14:paraId="50E53312" w14:textId="1A4D77AF" w:rsidR="00AE137A" w:rsidRPr="00F20129" w:rsidRDefault="009834B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مكيّفة ومتوازنة في مجال الملكية الفكرية</w:t>
            </w:r>
          </w:p>
        </w:tc>
        <w:tc>
          <w:tcPr>
            <w:tcW w:w="749" w:type="pct"/>
            <w:shd w:val="clear" w:color="auto" w:fill="auto"/>
            <w:tcMar>
              <w:top w:w="15" w:type="dxa"/>
              <w:left w:w="15" w:type="dxa"/>
              <w:bottom w:w="0" w:type="dxa"/>
              <w:right w:w="15" w:type="dxa"/>
            </w:tcMar>
            <w:vAlign w:val="center"/>
          </w:tcPr>
          <w:p w14:paraId="03E50EBD"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325</w:t>
            </w:r>
          </w:p>
        </w:tc>
        <w:tc>
          <w:tcPr>
            <w:tcW w:w="749" w:type="pct"/>
            <w:shd w:val="clear" w:color="auto" w:fill="auto"/>
            <w:tcMar>
              <w:top w:w="15" w:type="dxa"/>
              <w:left w:w="15" w:type="dxa"/>
              <w:bottom w:w="0" w:type="dxa"/>
              <w:right w:w="15" w:type="dxa"/>
            </w:tcMar>
            <w:vAlign w:val="center"/>
          </w:tcPr>
          <w:p w14:paraId="057309EF"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620</w:t>
            </w:r>
          </w:p>
        </w:tc>
        <w:tc>
          <w:tcPr>
            <w:tcW w:w="749" w:type="pct"/>
            <w:shd w:val="clear" w:color="auto" w:fill="auto"/>
            <w:noWrap/>
            <w:tcMar>
              <w:top w:w="15" w:type="dxa"/>
              <w:left w:w="15" w:type="dxa"/>
              <w:bottom w:w="0" w:type="dxa"/>
              <w:right w:w="15" w:type="dxa"/>
            </w:tcMar>
            <w:vAlign w:val="center"/>
          </w:tcPr>
          <w:p w14:paraId="2950BBD1"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284</w:t>
            </w:r>
          </w:p>
        </w:tc>
      </w:tr>
      <w:tr w:rsidR="00AE137A" w:rsidRPr="00211D55" w14:paraId="4E704774" w14:textId="77777777" w:rsidTr="00BB3820">
        <w:trPr>
          <w:trHeight w:val="735"/>
        </w:trPr>
        <w:tc>
          <w:tcPr>
            <w:tcW w:w="413" w:type="pct"/>
            <w:shd w:val="clear" w:color="auto" w:fill="auto"/>
            <w:noWrap/>
            <w:tcMar>
              <w:top w:w="15" w:type="dxa"/>
              <w:left w:w="15" w:type="dxa"/>
              <w:bottom w:w="0" w:type="dxa"/>
              <w:right w:w="15" w:type="dxa"/>
            </w:tcMar>
            <w:vAlign w:val="center"/>
          </w:tcPr>
          <w:p w14:paraId="12D0FF04" w14:textId="77777777" w:rsidR="00AE137A" w:rsidRPr="00F20129" w:rsidRDefault="00AE137A" w:rsidP="0031289D">
            <w:pPr>
              <w:bidi/>
              <w:spacing w:before="120" w:after="120"/>
              <w:rPr>
                <w:rFonts w:ascii="Arabic Typesetting" w:hAnsi="Arabic Typesetting" w:cs="Arabic Typesetting"/>
                <w:sz w:val="28"/>
                <w:szCs w:val="28"/>
              </w:rPr>
            </w:pPr>
            <w:r w:rsidRPr="00F20129">
              <w:rPr>
                <w:rFonts w:ascii="Arabic Typesetting" w:hAnsi="Arabic Typesetting" w:cs="Arabic Typesetting"/>
                <w:sz w:val="28"/>
                <w:szCs w:val="28"/>
                <w:rtl/>
              </w:rPr>
              <w:t>ه2.3</w:t>
            </w:r>
          </w:p>
        </w:tc>
        <w:tc>
          <w:tcPr>
            <w:tcW w:w="2340" w:type="pct"/>
            <w:shd w:val="clear" w:color="auto" w:fill="auto"/>
            <w:tcMar>
              <w:top w:w="15" w:type="dxa"/>
              <w:left w:w="15" w:type="dxa"/>
              <w:bottom w:w="0" w:type="dxa"/>
              <w:right w:w="15" w:type="dxa"/>
            </w:tcMar>
            <w:vAlign w:val="center"/>
          </w:tcPr>
          <w:p w14:paraId="76D3ED9A" w14:textId="77777777" w:rsidR="00AE137A" w:rsidRPr="00F20129" w:rsidRDefault="00AE137A" w:rsidP="0031289D">
            <w:pPr>
              <w:bidi/>
              <w:spacing w:before="120" w:after="120"/>
              <w:rPr>
                <w:rFonts w:ascii="Arabic Typesetting" w:hAnsi="Arabic Typesetting" w:cs="Arabic Typesetting"/>
                <w:sz w:val="28"/>
                <w:szCs w:val="28"/>
              </w:rPr>
            </w:pPr>
            <w:r w:rsidRPr="00506699">
              <w:rPr>
                <w:rFonts w:ascii="Arabic Typesetting" w:hAnsi="Arabic Typesetting" w:cs="Arabic Typesetting"/>
                <w:sz w:val="28"/>
                <w:szCs w:val="28"/>
                <w:rtl/>
              </w:rPr>
              <w:t>كفاءات</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‏معزَّزة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‏للموارد</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‏البشرية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‏القادرة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‏على</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‏تلبية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‏تشكيلة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‏واسعة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‏من</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‏المتطلبات</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‏لتسخير</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‏الملكية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‏الفكرية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‏بفعالية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‏لأغراض</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‏التنمية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‏في</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‏البلدان</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‏النامية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‏والبلدان</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‏الأقل</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‏نموا</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‏والبلدان</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‏المنتقلة</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‏إلى</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‏نظام الاقتصاد</w:t>
            </w:r>
            <w:r w:rsidRPr="00506699">
              <w:rPr>
                <w:rFonts w:ascii="Arabic Typesetting" w:hAnsi="Arabic Typesetting" w:cs="Arabic Typesetting"/>
                <w:sz w:val="28"/>
                <w:szCs w:val="28"/>
                <w:cs/>
              </w:rPr>
              <w:t>‎</w:t>
            </w:r>
            <w:r w:rsidRPr="00506699">
              <w:rPr>
                <w:rFonts w:ascii="Arabic Typesetting" w:hAnsi="Arabic Typesetting" w:cs="Arabic Typesetting"/>
                <w:sz w:val="28"/>
                <w:szCs w:val="28"/>
                <w:rtl/>
              </w:rPr>
              <w:t xml:space="preserve"> ‏الحر</w:t>
            </w:r>
          </w:p>
        </w:tc>
        <w:tc>
          <w:tcPr>
            <w:tcW w:w="749" w:type="pct"/>
            <w:shd w:val="clear" w:color="auto" w:fill="auto"/>
            <w:tcMar>
              <w:top w:w="15" w:type="dxa"/>
              <w:left w:w="15" w:type="dxa"/>
              <w:bottom w:w="0" w:type="dxa"/>
              <w:right w:w="15" w:type="dxa"/>
            </w:tcMar>
            <w:vAlign w:val="center"/>
          </w:tcPr>
          <w:p w14:paraId="3B4F3324"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8</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409</w:t>
            </w:r>
          </w:p>
        </w:tc>
        <w:tc>
          <w:tcPr>
            <w:tcW w:w="749" w:type="pct"/>
            <w:shd w:val="clear" w:color="auto" w:fill="auto"/>
            <w:tcMar>
              <w:top w:w="15" w:type="dxa"/>
              <w:left w:w="15" w:type="dxa"/>
              <w:bottom w:w="0" w:type="dxa"/>
              <w:right w:w="15" w:type="dxa"/>
            </w:tcMar>
            <w:vAlign w:val="center"/>
          </w:tcPr>
          <w:p w14:paraId="6869D234"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8</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563</w:t>
            </w:r>
          </w:p>
        </w:tc>
        <w:tc>
          <w:tcPr>
            <w:tcW w:w="749" w:type="pct"/>
            <w:shd w:val="clear" w:color="auto" w:fill="auto"/>
            <w:noWrap/>
            <w:tcMar>
              <w:top w:w="15" w:type="dxa"/>
              <w:left w:w="15" w:type="dxa"/>
              <w:bottom w:w="0" w:type="dxa"/>
              <w:right w:w="15" w:type="dxa"/>
            </w:tcMar>
            <w:vAlign w:val="center"/>
          </w:tcPr>
          <w:p w14:paraId="3EB204D5"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668</w:t>
            </w:r>
          </w:p>
        </w:tc>
      </w:tr>
      <w:tr w:rsidR="00AE137A" w:rsidRPr="00211D55" w14:paraId="36C4BC10" w14:textId="77777777" w:rsidTr="00BB3820">
        <w:trPr>
          <w:trHeight w:val="735"/>
        </w:trPr>
        <w:tc>
          <w:tcPr>
            <w:tcW w:w="413" w:type="pct"/>
            <w:shd w:val="clear" w:color="auto" w:fill="auto"/>
            <w:noWrap/>
            <w:tcMar>
              <w:top w:w="15" w:type="dxa"/>
              <w:left w:w="15" w:type="dxa"/>
              <w:bottom w:w="0" w:type="dxa"/>
              <w:right w:w="15" w:type="dxa"/>
            </w:tcMar>
            <w:vAlign w:val="center"/>
          </w:tcPr>
          <w:p w14:paraId="44721272" w14:textId="77777777" w:rsidR="00AE137A" w:rsidRPr="00F20129" w:rsidRDefault="00AE137A" w:rsidP="0031289D">
            <w:pPr>
              <w:bidi/>
              <w:spacing w:before="120" w:after="120"/>
              <w:rPr>
                <w:rFonts w:ascii="Arabic Typesetting" w:hAnsi="Arabic Typesetting" w:cs="Arabic Typesetting"/>
                <w:sz w:val="28"/>
                <w:szCs w:val="28"/>
              </w:rPr>
            </w:pPr>
            <w:r w:rsidRPr="00F20129">
              <w:rPr>
                <w:rFonts w:ascii="Arabic Typesetting" w:hAnsi="Arabic Typesetting" w:cs="Arabic Typesetting"/>
                <w:sz w:val="28"/>
                <w:szCs w:val="28"/>
                <w:rtl/>
              </w:rPr>
              <w:t>ه2.4</w:t>
            </w:r>
          </w:p>
        </w:tc>
        <w:tc>
          <w:tcPr>
            <w:tcW w:w="2340" w:type="pct"/>
            <w:shd w:val="clear" w:color="auto" w:fill="auto"/>
            <w:tcMar>
              <w:top w:w="15" w:type="dxa"/>
              <w:left w:w="15" w:type="dxa"/>
              <w:bottom w:w="0" w:type="dxa"/>
              <w:right w:w="15" w:type="dxa"/>
            </w:tcMar>
            <w:vAlign w:val="center"/>
          </w:tcPr>
          <w:p w14:paraId="673A6911" w14:textId="07EAAF53" w:rsidR="00AE137A" w:rsidRPr="00F20129" w:rsidRDefault="007B1E0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نفاذ محسّن إلى المعلومات المتعلقة بالملكية الفكرية واستخدامها من قبل مؤسسات الملكية الفكرية والجمهور لتشجيع الابتكار والإبداع</w:t>
            </w:r>
          </w:p>
        </w:tc>
        <w:tc>
          <w:tcPr>
            <w:tcW w:w="749" w:type="pct"/>
            <w:shd w:val="clear" w:color="auto" w:fill="auto"/>
            <w:tcMar>
              <w:top w:w="15" w:type="dxa"/>
              <w:left w:w="15" w:type="dxa"/>
              <w:bottom w:w="0" w:type="dxa"/>
              <w:right w:w="15" w:type="dxa"/>
            </w:tcMar>
            <w:vAlign w:val="center"/>
          </w:tcPr>
          <w:p w14:paraId="46DDA038"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640</w:t>
            </w:r>
          </w:p>
        </w:tc>
        <w:tc>
          <w:tcPr>
            <w:tcW w:w="749" w:type="pct"/>
            <w:shd w:val="clear" w:color="auto" w:fill="auto"/>
            <w:tcMar>
              <w:top w:w="15" w:type="dxa"/>
              <w:left w:w="15" w:type="dxa"/>
              <w:bottom w:w="0" w:type="dxa"/>
              <w:right w:w="15" w:type="dxa"/>
            </w:tcMar>
            <w:vAlign w:val="center"/>
          </w:tcPr>
          <w:p w14:paraId="3F586587"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615</w:t>
            </w:r>
          </w:p>
        </w:tc>
        <w:tc>
          <w:tcPr>
            <w:tcW w:w="749" w:type="pct"/>
            <w:shd w:val="clear" w:color="auto" w:fill="auto"/>
            <w:noWrap/>
            <w:tcMar>
              <w:top w:w="15" w:type="dxa"/>
              <w:left w:w="15" w:type="dxa"/>
              <w:bottom w:w="0" w:type="dxa"/>
              <w:right w:w="15" w:type="dxa"/>
            </w:tcMar>
            <w:vAlign w:val="center"/>
          </w:tcPr>
          <w:p w14:paraId="3D3BB613"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123</w:t>
            </w:r>
          </w:p>
        </w:tc>
      </w:tr>
      <w:tr w:rsidR="00AE137A" w:rsidRPr="00211D55" w14:paraId="16FCA02C" w14:textId="77777777" w:rsidTr="00BB3820">
        <w:trPr>
          <w:trHeight w:val="735"/>
        </w:trPr>
        <w:tc>
          <w:tcPr>
            <w:tcW w:w="413" w:type="pct"/>
            <w:shd w:val="clear" w:color="auto" w:fill="auto"/>
            <w:noWrap/>
            <w:tcMar>
              <w:top w:w="15" w:type="dxa"/>
              <w:left w:w="15" w:type="dxa"/>
              <w:bottom w:w="0" w:type="dxa"/>
              <w:right w:w="15" w:type="dxa"/>
            </w:tcMar>
            <w:vAlign w:val="center"/>
          </w:tcPr>
          <w:p w14:paraId="346F7E64" w14:textId="77777777" w:rsidR="00AE137A" w:rsidRPr="00F20129" w:rsidRDefault="00AE137A" w:rsidP="0031289D">
            <w:pPr>
              <w:bidi/>
              <w:spacing w:before="120" w:after="120"/>
              <w:rPr>
                <w:rFonts w:ascii="Arabic Typesetting" w:hAnsi="Arabic Typesetting" w:cs="Arabic Typesetting"/>
                <w:sz w:val="28"/>
                <w:szCs w:val="28"/>
              </w:rPr>
            </w:pPr>
            <w:r w:rsidRPr="00F20129">
              <w:rPr>
                <w:rFonts w:ascii="Arabic Typesetting" w:hAnsi="Arabic Typesetting" w:cs="Arabic Typesetting"/>
                <w:sz w:val="28"/>
                <w:szCs w:val="28"/>
                <w:rtl/>
              </w:rPr>
              <w:t>ه1.8</w:t>
            </w:r>
          </w:p>
        </w:tc>
        <w:tc>
          <w:tcPr>
            <w:tcW w:w="2340" w:type="pct"/>
            <w:shd w:val="clear" w:color="auto" w:fill="auto"/>
            <w:tcMar>
              <w:top w:w="15" w:type="dxa"/>
              <w:left w:w="15" w:type="dxa"/>
              <w:bottom w:w="0" w:type="dxa"/>
              <w:right w:w="15" w:type="dxa"/>
            </w:tcMar>
            <w:vAlign w:val="center"/>
          </w:tcPr>
          <w:p w14:paraId="34508E3B" w14:textId="77777777" w:rsidR="00AE137A" w:rsidRPr="00F20129" w:rsidRDefault="00AE137A" w:rsidP="0031289D">
            <w:pPr>
              <w:bidi/>
              <w:spacing w:before="120" w:after="120"/>
              <w:rPr>
                <w:rFonts w:ascii="Arabic Typesetting" w:hAnsi="Arabic Typesetting" w:cs="Arabic Typesetting"/>
                <w:sz w:val="28"/>
                <w:szCs w:val="28"/>
              </w:rPr>
            </w:pPr>
            <w:r w:rsidRPr="00F20129">
              <w:rPr>
                <w:rFonts w:ascii="Arabic Typesetting" w:hAnsi="Arabic Typesetting" w:cs="Arabic Typesetting"/>
                <w:sz w:val="28"/>
                <w:szCs w:val="28"/>
                <w:rtl/>
              </w:rPr>
              <w:t>التواصل بفعالية أكبر مع جمهور أوسع بشأن الملكية الفكرية ودور الويبو</w:t>
            </w:r>
          </w:p>
        </w:tc>
        <w:tc>
          <w:tcPr>
            <w:tcW w:w="749" w:type="pct"/>
            <w:shd w:val="clear" w:color="auto" w:fill="auto"/>
            <w:tcMar>
              <w:top w:w="15" w:type="dxa"/>
              <w:left w:w="15" w:type="dxa"/>
              <w:bottom w:w="0" w:type="dxa"/>
              <w:right w:w="15" w:type="dxa"/>
            </w:tcMar>
            <w:vAlign w:val="center"/>
          </w:tcPr>
          <w:p w14:paraId="116D475A"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20</w:t>
            </w:r>
          </w:p>
        </w:tc>
        <w:tc>
          <w:tcPr>
            <w:tcW w:w="749" w:type="pct"/>
            <w:shd w:val="clear" w:color="auto" w:fill="auto"/>
            <w:tcMar>
              <w:top w:w="15" w:type="dxa"/>
              <w:left w:w="15" w:type="dxa"/>
              <w:bottom w:w="0" w:type="dxa"/>
              <w:right w:w="15" w:type="dxa"/>
            </w:tcMar>
            <w:vAlign w:val="center"/>
          </w:tcPr>
          <w:p w14:paraId="2856F9F9"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0</w:t>
            </w:r>
          </w:p>
        </w:tc>
        <w:tc>
          <w:tcPr>
            <w:tcW w:w="749" w:type="pct"/>
            <w:shd w:val="clear" w:color="auto" w:fill="auto"/>
            <w:noWrap/>
            <w:tcMar>
              <w:top w:w="15" w:type="dxa"/>
              <w:left w:w="15" w:type="dxa"/>
              <w:bottom w:w="0" w:type="dxa"/>
              <w:right w:w="15" w:type="dxa"/>
            </w:tcMar>
            <w:vAlign w:val="center"/>
          </w:tcPr>
          <w:p w14:paraId="2BC09ABA" w14:textId="77777777" w:rsidR="00AE137A" w:rsidRPr="00F20129" w:rsidRDefault="00AE137A" w:rsidP="0031289D">
            <w:pPr>
              <w:keepNext/>
              <w:keepLines/>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0</w:t>
            </w:r>
          </w:p>
        </w:tc>
      </w:tr>
      <w:tr w:rsidR="00AE137A" w:rsidRPr="00211D55" w14:paraId="547B8E46"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74998036" w14:textId="77777777" w:rsidR="00AE137A" w:rsidRPr="00211D55" w:rsidRDefault="00AE137A"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3FD89BB7" w14:textId="77777777" w:rsidR="00AE137A" w:rsidRPr="00280D1A" w:rsidRDefault="00AE137A"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73DA9E4F" w14:textId="77777777" w:rsidR="00AE137A" w:rsidRPr="00280D1A" w:rsidRDefault="00AE137A"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16 733</w:t>
            </w:r>
          </w:p>
        </w:tc>
        <w:tc>
          <w:tcPr>
            <w:tcW w:w="749" w:type="pct"/>
            <w:shd w:val="clear" w:color="auto" w:fill="C6D9F1"/>
            <w:noWrap/>
            <w:tcMar>
              <w:top w:w="15" w:type="dxa"/>
              <w:left w:w="15" w:type="dxa"/>
              <w:bottom w:w="0" w:type="dxa"/>
              <w:right w:w="15" w:type="dxa"/>
            </w:tcMar>
            <w:vAlign w:val="center"/>
          </w:tcPr>
          <w:p w14:paraId="24F82CF2" w14:textId="77777777" w:rsidR="00AE137A" w:rsidRPr="00280D1A" w:rsidRDefault="00AE137A"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17 421</w:t>
            </w:r>
          </w:p>
        </w:tc>
        <w:tc>
          <w:tcPr>
            <w:tcW w:w="749" w:type="pct"/>
            <w:shd w:val="clear" w:color="auto" w:fill="C6D9F1"/>
            <w:noWrap/>
            <w:tcMar>
              <w:top w:w="15" w:type="dxa"/>
              <w:left w:w="15" w:type="dxa"/>
              <w:bottom w:w="0" w:type="dxa"/>
              <w:right w:w="15" w:type="dxa"/>
            </w:tcMar>
            <w:vAlign w:val="center"/>
          </w:tcPr>
          <w:p w14:paraId="5FE0F749" w14:textId="77777777" w:rsidR="00AE137A" w:rsidRPr="00280D1A" w:rsidRDefault="00AE137A"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7 348</w:t>
            </w:r>
          </w:p>
        </w:tc>
      </w:tr>
      <w:tr w:rsidR="00AE137A" w:rsidRPr="00211D55" w14:paraId="6AA46718"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230DFCB5" w14:textId="77777777" w:rsidR="00AE137A" w:rsidRPr="00A2672B" w:rsidRDefault="00AE137A"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4013FE87" w14:textId="77777777" w:rsidR="00AE137A" w:rsidRPr="00252762" w:rsidRDefault="00AE137A"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5A184FB7" w14:textId="77777777" w:rsidR="00AE137A" w:rsidRPr="00DF1D8A" w:rsidRDefault="00AE137A"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AE137A" w:rsidRPr="00211D55" w14:paraId="6E61B14D" w14:textId="77777777" w:rsidTr="00BB3820">
        <w:trPr>
          <w:trHeight w:val="645"/>
        </w:trPr>
        <w:tc>
          <w:tcPr>
            <w:tcW w:w="1118" w:type="pct"/>
            <w:shd w:val="clear" w:color="auto" w:fill="C6D9F1"/>
            <w:noWrap/>
            <w:vAlign w:val="center"/>
            <w:hideMark/>
          </w:tcPr>
          <w:p w14:paraId="71B7150A" w14:textId="77777777" w:rsidR="00AE137A" w:rsidRPr="00211D55" w:rsidRDefault="00AE137A"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17AF209D" w14:textId="77777777" w:rsidR="00AE137A" w:rsidRPr="00211D55" w:rsidRDefault="00AE137A"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3482E3CE" w14:textId="77777777" w:rsidR="00AE137A" w:rsidRPr="00211D55" w:rsidRDefault="00AE137A"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1C6A153A" w14:textId="77777777" w:rsidR="00AE137A" w:rsidRPr="00211D55" w:rsidRDefault="00AE137A"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2CBD1F2C" w14:textId="77777777" w:rsidR="00AE137A" w:rsidRPr="00211D55" w:rsidRDefault="00AE137A"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AE137A" w:rsidRPr="00211D55" w14:paraId="364684BE" w14:textId="77777777" w:rsidTr="00BB3820">
        <w:trPr>
          <w:trHeight w:val="70"/>
        </w:trPr>
        <w:tc>
          <w:tcPr>
            <w:tcW w:w="1118" w:type="pct"/>
            <w:shd w:val="clear" w:color="auto" w:fill="auto"/>
            <w:noWrap/>
            <w:vAlign w:val="center"/>
            <w:hideMark/>
          </w:tcPr>
          <w:p w14:paraId="34DBBA67" w14:textId="77777777" w:rsidR="00AE137A" w:rsidRPr="00211D55" w:rsidRDefault="00AE137A"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6C8ADCC1" w14:textId="77777777" w:rsidR="00AE137A" w:rsidRPr="00F20129" w:rsidRDefault="00AE137A" w:rsidP="0031289D">
            <w:pPr>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9</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 xml:space="preserve">919 </w:t>
            </w:r>
          </w:p>
        </w:tc>
        <w:tc>
          <w:tcPr>
            <w:tcW w:w="971" w:type="pct"/>
            <w:shd w:val="clear" w:color="auto" w:fill="auto"/>
            <w:vAlign w:val="center"/>
          </w:tcPr>
          <w:p w14:paraId="2643C210" w14:textId="77777777" w:rsidR="00AE137A" w:rsidRPr="00F20129" w:rsidRDefault="00AE137A" w:rsidP="0031289D">
            <w:pPr>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9</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 xml:space="preserve">468 </w:t>
            </w:r>
          </w:p>
        </w:tc>
        <w:tc>
          <w:tcPr>
            <w:tcW w:w="970" w:type="pct"/>
            <w:shd w:val="clear" w:color="auto" w:fill="auto"/>
            <w:vAlign w:val="center"/>
          </w:tcPr>
          <w:p w14:paraId="1078B3A9" w14:textId="77777777" w:rsidR="00AE137A" w:rsidRPr="00F20129" w:rsidRDefault="00AE137A" w:rsidP="0031289D">
            <w:pPr>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 xml:space="preserve">448 </w:t>
            </w:r>
          </w:p>
        </w:tc>
        <w:tc>
          <w:tcPr>
            <w:tcW w:w="970" w:type="pct"/>
            <w:shd w:val="clear" w:color="auto" w:fill="auto"/>
            <w:vAlign w:val="center"/>
          </w:tcPr>
          <w:p w14:paraId="019117B1" w14:textId="77777777" w:rsidR="00AE137A" w:rsidRPr="00F20129" w:rsidRDefault="00AE137A"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%47</w:t>
            </w:r>
          </w:p>
        </w:tc>
      </w:tr>
      <w:tr w:rsidR="00AE137A" w:rsidRPr="00211D55" w14:paraId="43C45615" w14:textId="77777777" w:rsidTr="00BB3820">
        <w:trPr>
          <w:trHeight w:val="70"/>
        </w:trPr>
        <w:tc>
          <w:tcPr>
            <w:tcW w:w="1118" w:type="pct"/>
            <w:shd w:val="clear" w:color="auto" w:fill="auto"/>
            <w:noWrap/>
            <w:vAlign w:val="center"/>
            <w:hideMark/>
          </w:tcPr>
          <w:p w14:paraId="4A5F43A4" w14:textId="77777777" w:rsidR="00AE137A" w:rsidRPr="00211D55" w:rsidRDefault="00AE137A"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43B2CEFB" w14:textId="77777777" w:rsidR="00AE137A" w:rsidRPr="00F20129" w:rsidRDefault="00AE137A" w:rsidP="0031289D">
            <w:pPr>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6</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 xml:space="preserve">815 </w:t>
            </w:r>
          </w:p>
        </w:tc>
        <w:tc>
          <w:tcPr>
            <w:tcW w:w="971" w:type="pct"/>
            <w:shd w:val="clear" w:color="auto" w:fill="auto"/>
            <w:vAlign w:val="center"/>
          </w:tcPr>
          <w:p w14:paraId="3DBB5C4F" w14:textId="77777777" w:rsidR="00AE137A" w:rsidRPr="00F20129" w:rsidRDefault="00AE137A" w:rsidP="0031289D">
            <w:pPr>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7</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 xml:space="preserve">953 </w:t>
            </w:r>
          </w:p>
        </w:tc>
        <w:tc>
          <w:tcPr>
            <w:tcW w:w="970" w:type="pct"/>
            <w:shd w:val="clear" w:color="auto" w:fill="auto"/>
            <w:vAlign w:val="center"/>
          </w:tcPr>
          <w:p w14:paraId="57D11678" w14:textId="77777777" w:rsidR="00AE137A" w:rsidRPr="00F20129" w:rsidRDefault="00AE137A" w:rsidP="0031289D">
            <w:pPr>
              <w:jc w:val="center"/>
              <w:rPr>
                <w:rFonts w:ascii="Arabic Typesetting" w:hAnsi="Arabic Typesetting" w:cs="Arabic Typesetting"/>
                <w:color w:val="000000"/>
                <w:sz w:val="28"/>
                <w:szCs w:val="28"/>
              </w:rPr>
            </w:pPr>
            <w:r w:rsidRPr="00F20129">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F20129">
              <w:rPr>
                <w:rFonts w:ascii="Arabic Typesetting" w:hAnsi="Arabic Typesetting" w:cs="Arabic Typesetting"/>
                <w:color w:val="000000"/>
                <w:sz w:val="28"/>
                <w:szCs w:val="28"/>
              </w:rPr>
              <w:t xml:space="preserve">901 </w:t>
            </w:r>
          </w:p>
        </w:tc>
        <w:tc>
          <w:tcPr>
            <w:tcW w:w="970" w:type="pct"/>
            <w:shd w:val="clear" w:color="auto" w:fill="auto"/>
            <w:vAlign w:val="center"/>
          </w:tcPr>
          <w:p w14:paraId="0B57D649" w14:textId="77777777" w:rsidR="00AE137A" w:rsidRPr="00F20129" w:rsidRDefault="00AE137A"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%36</w:t>
            </w:r>
          </w:p>
        </w:tc>
      </w:tr>
      <w:tr w:rsidR="00AE137A" w:rsidRPr="00211D55" w14:paraId="05377198" w14:textId="77777777" w:rsidTr="00AF6433">
        <w:trPr>
          <w:trHeight w:val="70"/>
        </w:trPr>
        <w:tc>
          <w:tcPr>
            <w:tcW w:w="1118" w:type="pct"/>
            <w:shd w:val="clear" w:color="auto" w:fill="C6D9F1"/>
            <w:noWrap/>
            <w:vAlign w:val="center"/>
            <w:hideMark/>
          </w:tcPr>
          <w:p w14:paraId="5E2739DF" w14:textId="77777777" w:rsidR="00AE137A" w:rsidRPr="00211D55" w:rsidRDefault="00AE137A"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21E3FC7A" w14:textId="77777777" w:rsidR="00AE137A" w:rsidRPr="00F20129" w:rsidRDefault="00AE137A" w:rsidP="0031289D">
            <w:pPr>
              <w:jc w:val="center"/>
              <w:rPr>
                <w:rFonts w:ascii="Arabic Typesetting" w:hAnsi="Arabic Typesetting" w:cs="Arabic Typesetting"/>
                <w:b/>
                <w:bCs/>
                <w:color w:val="000000"/>
                <w:sz w:val="28"/>
                <w:szCs w:val="28"/>
              </w:rPr>
            </w:pPr>
            <w:r w:rsidRPr="00F20129">
              <w:rPr>
                <w:rFonts w:ascii="Arabic Typesetting" w:hAnsi="Arabic Typesetting" w:cs="Arabic Typesetting"/>
                <w:b/>
                <w:bCs/>
                <w:color w:val="000000"/>
                <w:sz w:val="28"/>
                <w:szCs w:val="28"/>
              </w:rPr>
              <w:t>16</w:t>
            </w:r>
            <w:r>
              <w:rPr>
                <w:rFonts w:ascii="Arabic Typesetting" w:hAnsi="Arabic Typesetting" w:cs="Arabic Typesetting"/>
                <w:b/>
                <w:bCs/>
                <w:color w:val="000000"/>
                <w:sz w:val="28"/>
                <w:szCs w:val="28"/>
              </w:rPr>
              <w:t> </w:t>
            </w:r>
            <w:r w:rsidRPr="00F20129">
              <w:rPr>
                <w:rFonts w:ascii="Arabic Typesetting" w:hAnsi="Arabic Typesetting" w:cs="Arabic Typesetting"/>
                <w:b/>
                <w:bCs/>
                <w:color w:val="000000"/>
                <w:sz w:val="28"/>
                <w:szCs w:val="28"/>
              </w:rPr>
              <w:t xml:space="preserve">733 </w:t>
            </w:r>
          </w:p>
        </w:tc>
        <w:tc>
          <w:tcPr>
            <w:tcW w:w="971" w:type="pct"/>
            <w:shd w:val="clear" w:color="auto" w:fill="C6D9F1"/>
            <w:vAlign w:val="center"/>
          </w:tcPr>
          <w:p w14:paraId="42598D57" w14:textId="77777777" w:rsidR="00AE137A" w:rsidRPr="00F20129" w:rsidRDefault="00AE137A" w:rsidP="0031289D">
            <w:pPr>
              <w:jc w:val="center"/>
              <w:rPr>
                <w:rFonts w:ascii="Arabic Typesetting" w:hAnsi="Arabic Typesetting" w:cs="Arabic Typesetting"/>
                <w:b/>
                <w:bCs/>
                <w:color w:val="000000"/>
                <w:sz w:val="28"/>
                <w:szCs w:val="28"/>
              </w:rPr>
            </w:pPr>
            <w:r w:rsidRPr="00F20129">
              <w:rPr>
                <w:rFonts w:ascii="Arabic Typesetting" w:hAnsi="Arabic Typesetting" w:cs="Arabic Typesetting"/>
                <w:b/>
                <w:bCs/>
                <w:color w:val="000000"/>
                <w:sz w:val="28"/>
                <w:szCs w:val="28"/>
              </w:rPr>
              <w:t>17</w:t>
            </w:r>
            <w:r>
              <w:rPr>
                <w:rFonts w:ascii="Arabic Typesetting" w:hAnsi="Arabic Typesetting" w:cs="Arabic Typesetting"/>
                <w:b/>
                <w:bCs/>
                <w:color w:val="000000"/>
                <w:sz w:val="28"/>
                <w:szCs w:val="28"/>
              </w:rPr>
              <w:t> </w:t>
            </w:r>
            <w:r w:rsidRPr="00F20129">
              <w:rPr>
                <w:rFonts w:ascii="Arabic Typesetting" w:hAnsi="Arabic Typesetting" w:cs="Arabic Typesetting"/>
                <w:b/>
                <w:bCs/>
                <w:color w:val="000000"/>
                <w:sz w:val="28"/>
                <w:szCs w:val="28"/>
              </w:rPr>
              <w:t xml:space="preserve">421 </w:t>
            </w:r>
          </w:p>
        </w:tc>
        <w:tc>
          <w:tcPr>
            <w:tcW w:w="970" w:type="pct"/>
            <w:shd w:val="clear" w:color="auto" w:fill="C6D9F1"/>
            <w:vAlign w:val="center"/>
          </w:tcPr>
          <w:p w14:paraId="00902537" w14:textId="77777777" w:rsidR="00AE137A" w:rsidRPr="00F20129" w:rsidRDefault="00AE137A" w:rsidP="0031289D">
            <w:pPr>
              <w:jc w:val="center"/>
              <w:rPr>
                <w:rFonts w:ascii="Arabic Typesetting" w:hAnsi="Arabic Typesetting" w:cs="Arabic Typesetting"/>
                <w:b/>
                <w:bCs/>
                <w:color w:val="000000"/>
                <w:sz w:val="28"/>
                <w:szCs w:val="28"/>
              </w:rPr>
            </w:pPr>
            <w:r w:rsidRPr="00F20129">
              <w:rPr>
                <w:rFonts w:ascii="Arabic Typesetting" w:hAnsi="Arabic Typesetting" w:cs="Arabic Typesetting"/>
                <w:b/>
                <w:bCs/>
                <w:color w:val="000000"/>
                <w:sz w:val="28"/>
                <w:szCs w:val="28"/>
              </w:rPr>
              <w:t>7</w:t>
            </w:r>
            <w:r>
              <w:rPr>
                <w:rFonts w:ascii="Arabic Typesetting" w:hAnsi="Arabic Typesetting" w:cs="Arabic Typesetting"/>
                <w:b/>
                <w:bCs/>
                <w:color w:val="000000"/>
                <w:sz w:val="28"/>
                <w:szCs w:val="28"/>
              </w:rPr>
              <w:t> </w:t>
            </w:r>
            <w:r w:rsidRPr="00F20129">
              <w:rPr>
                <w:rFonts w:ascii="Arabic Typesetting" w:hAnsi="Arabic Typesetting" w:cs="Arabic Typesetting"/>
                <w:b/>
                <w:bCs/>
                <w:color w:val="000000"/>
                <w:sz w:val="28"/>
                <w:szCs w:val="28"/>
              </w:rPr>
              <w:t xml:space="preserve">348 </w:t>
            </w:r>
          </w:p>
        </w:tc>
        <w:tc>
          <w:tcPr>
            <w:tcW w:w="970" w:type="pct"/>
            <w:shd w:val="clear" w:color="auto" w:fill="C6D9F1"/>
            <w:vAlign w:val="center"/>
          </w:tcPr>
          <w:p w14:paraId="34F063F5" w14:textId="77777777" w:rsidR="00AE137A" w:rsidRPr="00F20129" w:rsidRDefault="00AE137A" w:rsidP="0031289D">
            <w:pPr>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%42</w:t>
            </w:r>
          </w:p>
        </w:tc>
      </w:tr>
      <w:tr w:rsidR="00AE137A" w:rsidRPr="00211D55" w14:paraId="351B14C7" w14:textId="77777777" w:rsidTr="00BB3820">
        <w:trPr>
          <w:trHeight w:val="540"/>
        </w:trPr>
        <w:tc>
          <w:tcPr>
            <w:tcW w:w="5000" w:type="pct"/>
            <w:gridSpan w:val="5"/>
            <w:shd w:val="clear" w:color="auto" w:fill="auto"/>
            <w:noWrap/>
            <w:vAlign w:val="center"/>
          </w:tcPr>
          <w:p w14:paraId="3B0D8D0D" w14:textId="77777777" w:rsidR="00AE137A" w:rsidRDefault="00AE137A"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11E91018" w14:textId="77777777" w:rsidR="00AE137A" w:rsidRPr="00D41845" w:rsidRDefault="00AE137A"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6AF8E8A3" w14:textId="77777777" w:rsidR="00AE137A" w:rsidRPr="00706F20" w:rsidRDefault="00AE137A"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6A01A6F4" w14:textId="77777777" w:rsidR="00AE137A" w:rsidRPr="00F20129" w:rsidRDefault="00AE137A" w:rsidP="00D94CDB">
      <w:pPr>
        <w:keepLines/>
        <w:numPr>
          <w:ilvl w:val="1"/>
          <w:numId w:val="65"/>
        </w:numPr>
        <w:bidi/>
        <w:spacing w:after="240" w:line="360" w:lineRule="exact"/>
        <w:ind w:left="0" w:firstLine="0"/>
        <w:rPr>
          <w:rFonts w:ascii="Arabic Typesetting" w:hAnsi="Arabic Typesetting" w:cs="Arabic Typesetting"/>
          <w:sz w:val="34"/>
          <w:szCs w:val="34"/>
        </w:rPr>
      </w:pPr>
      <w:r w:rsidRPr="00F20129">
        <w:rPr>
          <w:rFonts w:ascii="Arabic Typesetting" w:hAnsi="Arabic Typesetting" w:cs="Arabic Typesetting"/>
          <w:sz w:val="34"/>
          <w:szCs w:val="34"/>
          <w:rtl/>
        </w:rPr>
        <w:t>تُعزى الزيادة في ميزانية 2016/17 بعد التحويلات مقارنة بالميزانية المعتمدة 2016/17 أساساً إلى زيادة في موارد الموظفين من أجل تغطية</w:t>
      </w:r>
      <w:r>
        <w:rPr>
          <w:rFonts w:ascii="Arabic Typesetting" w:hAnsi="Arabic Typesetting" w:cs="Arabic Typesetting"/>
          <w:sz w:val="34"/>
          <w:szCs w:val="34"/>
          <w:rtl/>
        </w:rPr>
        <w:t xml:space="preserve"> </w:t>
      </w:r>
      <w:r w:rsidRPr="00F20129">
        <w:rPr>
          <w:rFonts w:ascii="Arabic Typesetting" w:hAnsi="Arabic Typesetting" w:cs="Arabic Typesetting"/>
          <w:sz w:val="34"/>
          <w:szCs w:val="34"/>
          <w:rtl/>
        </w:rPr>
        <w:t>"1" مؤتمر الويبو الدولي بشأن أسواق المواد الرقمية العالمية في 2016 و2017 في إطار النتيجة المرتقبة ه2.4 (تحسين النفاذ إلى المعلومات المتعلقة بالملكية الفكرية)؛ "2" وترويج معاهدتي مراكش وبيجين في إطار النتيجة المرتقبة ه2.1</w:t>
      </w:r>
      <w:r>
        <w:rPr>
          <w:rFonts w:ascii="Arabic Typesetting" w:hAnsi="Arabic Typesetting" w:cs="Arabic Typesetting" w:hint="cs"/>
          <w:sz w:val="34"/>
          <w:szCs w:val="34"/>
          <w:rtl/>
        </w:rPr>
        <w:t> </w:t>
      </w:r>
      <w:r w:rsidRPr="00F20129">
        <w:rPr>
          <w:rFonts w:ascii="Arabic Typesetting" w:hAnsi="Arabic Typesetting" w:cs="Arabic Typesetting"/>
          <w:sz w:val="34"/>
          <w:szCs w:val="34"/>
          <w:rtl/>
        </w:rPr>
        <w:t>(المشورة التشريعية)؛ "3" ومشاريع الإدارة الجماعية في المنطقة العربية في إطار النتيجة المرتقبة ه2.3 (كفاءات معزَّزة للموارد البشرية).</w:t>
      </w:r>
      <w:r>
        <w:rPr>
          <w:rFonts w:ascii="Arabic Typesetting" w:hAnsi="Arabic Typesetting" w:cs="Arabic Typesetting"/>
          <w:sz w:val="34"/>
          <w:szCs w:val="34"/>
          <w:rtl/>
        </w:rPr>
        <w:t xml:space="preserve"> </w:t>
      </w:r>
      <w:r w:rsidRPr="00F20129">
        <w:rPr>
          <w:rFonts w:ascii="Arabic Typesetting" w:hAnsi="Arabic Typesetting" w:cs="Arabic Typesetting"/>
          <w:sz w:val="34"/>
          <w:szCs w:val="34"/>
          <w:rtl/>
        </w:rPr>
        <w:t>وانخفضت الزيادة في خلاف موارد الموظفين جزئياً بسبب انخفاض موارد الموظفين في مجال البنية التحتية لحق المؤلف نتيجة لإعادة هيكلة داخلية.</w:t>
      </w:r>
    </w:p>
    <w:p w14:paraId="5C6ED4A7" w14:textId="77777777" w:rsidR="00AE137A" w:rsidRPr="00706F20" w:rsidRDefault="00AE137A"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22E0E7BB" w14:textId="77777777" w:rsidR="00AE137A" w:rsidRDefault="00AE137A" w:rsidP="00D94CDB">
      <w:pPr>
        <w:numPr>
          <w:ilvl w:val="1"/>
          <w:numId w:val="65"/>
        </w:numPr>
        <w:bidi/>
        <w:spacing w:after="240" w:line="360" w:lineRule="exact"/>
        <w:ind w:left="0" w:hanging="1"/>
        <w:rPr>
          <w:rFonts w:ascii="Arabic Typesetting" w:hAnsi="Arabic Typesetting" w:cs="Arabic Typesetting"/>
          <w:sz w:val="34"/>
          <w:szCs w:val="34"/>
        </w:rPr>
      </w:pPr>
      <w:r w:rsidRPr="00F20129">
        <w:rPr>
          <w:rFonts w:ascii="Arabic Typesetting" w:hAnsi="Arabic Typesetting" w:cs="Arabic Typesetting"/>
          <w:sz w:val="34"/>
          <w:szCs w:val="34"/>
          <w:rtl/>
        </w:rPr>
        <w:t>كانت نسبة استخدام ميزانية الموظفين ضمن النطاق المتوقع المتراوح بين 40 و60 بالمئة للسنة الأولى من الثنائية.</w:t>
      </w:r>
      <w:r>
        <w:rPr>
          <w:rFonts w:ascii="Arabic Typesetting" w:hAnsi="Arabic Typesetting" w:cs="Arabic Typesetting"/>
          <w:sz w:val="34"/>
          <w:szCs w:val="34"/>
          <w:rtl/>
        </w:rPr>
        <w:t xml:space="preserve"> </w:t>
      </w:r>
      <w:r w:rsidRPr="00F20129">
        <w:rPr>
          <w:rFonts w:ascii="Arabic Typesetting" w:hAnsi="Arabic Typesetting" w:cs="Arabic Typesetting"/>
          <w:sz w:val="34"/>
          <w:szCs w:val="34"/>
          <w:rtl/>
        </w:rPr>
        <w:t>وكانت نسبة إنفاق خلاف موارد الموظفين للبرنامج أقل من المتوقع بسبب التنفيذ الأبطأ من المتوقع لمشروع أجندة التنمية بشأن تعزيز وتنمية القطاع السمعي البصري في بوركينا فاصو وبعض البلدان الأفريقية فضلاً عن تنفيذ أنشطة أجندة التنمية المتعلقة باستخدام حق المؤلف في تعزيز النفاذ إلى المعلومات والمحتوى الإبداعي وتأجيل بعض الأنشطة المتعلقة بالبنية التحتية لحق المؤلف (مشروع</w:t>
      </w:r>
      <w:r>
        <w:rPr>
          <w:rFonts w:ascii="Arabic Typesetting" w:hAnsi="Arabic Typesetting" w:cs="Arabic Typesetting" w:hint="cs"/>
          <w:sz w:val="34"/>
          <w:szCs w:val="34"/>
          <w:rtl/>
        </w:rPr>
        <w:t> </w:t>
      </w:r>
      <w:r w:rsidRPr="00F20129">
        <w:rPr>
          <w:rFonts w:ascii="Arabic Typesetting" w:hAnsi="Arabic Typesetting" w:cs="Arabic Typesetting"/>
          <w:sz w:val="34"/>
          <w:szCs w:val="34"/>
          <w:rtl/>
        </w:rPr>
        <w:t>الشفافية والمسألة وحسن الإدارة (</w:t>
      </w:r>
      <w:r w:rsidRPr="00F20129">
        <w:rPr>
          <w:rFonts w:ascii="Arabic Typesetting" w:hAnsi="Arabic Typesetting" w:cs="Arabic Typesetting"/>
          <w:sz w:val="34"/>
          <w:szCs w:val="34"/>
        </w:rPr>
        <w:t>TAG</w:t>
      </w:r>
      <w:r w:rsidRPr="00F20129">
        <w:rPr>
          <w:rFonts w:ascii="Arabic Typesetting" w:hAnsi="Arabic Typesetting" w:cs="Arabic Typesetting"/>
          <w:sz w:val="34"/>
          <w:szCs w:val="34"/>
          <w:rtl/>
        </w:rPr>
        <w:t>) واتحاد الكتب المُيسَّرة).</w:t>
      </w:r>
    </w:p>
    <w:p w14:paraId="2926BB57" w14:textId="20073A80" w:rsidR="00430DD7" w:rsidRDefault="00430DD7"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0B391374" w14:textId="77777777" w:rsidR="00430DD7" w:rsidRPr="00A14BB9" w:rsidRDefault="00430DD7" w:rsidP="00DA7DF7">
      <w:pPr>
        <w:pStyle w:val="Heading3"/>
        <w:ind w:left="1984" w:hanging="1984"/>
        <w:rPr>
          <w:rtl/>
        </w:rPr>
      </w:pPr>
      <w:bookmarkStart w:id="15" w:name="_Toc482782743"/>
      <w:r w:rsidRPr="00A14BB9">
        <w:rPr>
          <w:rtl/>
        </w:rPr>
        <w:lastRenderedPageBreak/>
        <w:t>البرنامج</w:t>
      </w:r>
      <w:r w:rsidRPr="00A14BB9">
        <w:rPr>
          <w:rFonts w:hint="cs"/>
          <w:rtl/>
        </w:rPr>
        <w:t xml:space="preserve"> 4:</w:t>
      </w:r>
      <w:r w:rsidRPr="00A14BB9">
        <w:tab/>
      </w:r>
      <w:r w:rsidRPr="00A14BB9">
        <w:rPr>
          <w:rtl/>
        </w:rPr>
        <w:t>المعارف التقليدية وأشكال التعبير الثقافي التقليدي والموارد الوراثية</w:t>
      </w:r>
      <w:bookmarkEnd w:id="15"/>
    </w:p>
    <w:p w14:paraId="27ABFE91" w14:textId="77777777" w:rsidR="00430DD7" w:rsidRDefault="00430DD7"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393F32">
        <w:rPr>
          <w:rFonts w:ascii="Arabic Typesetting" w:hAnsi="Arabic Typesetting" w:cs="Arabic Typesetting"/>
          <w:b/>
          <w:bCs/>
          <w:sz w:val="36"/>
          <w:szCs w:val="36"/>
          <w:rtl/>
          <w:lang w:val="fr-CH"/>
        </w:rPr>
        <w:t>السيد مينيليك غيتاهون</w:t>
      </w:r>
    </w:p>
    <w:p w14:paraId="0C51C7B6" w14:textId="77777777" w:rsidR="00430DD7" w:rsidRDefault="00430DD7" w:rsidP="0031289D">
      <w:pPr>
        <w:bidi/>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6D85F366" wp14:editId="46D770B6">
            <wp:extent cx="3442354" cy="2065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5719" cy="2085144"/>
                    </a:xfrm>
                    <a:prstGeom prst="rect">
                      <a:avLst/>
                    </a:prstGeom>
                    <a:noFill/>
                  </pic:spPr>
                </pic:pic>
              </a:graphicData>
            </a:graphic>
          </wp:inline>
        </w:drawing>
      </w:r>
    </w:p>
    <w:tbl>
      <w:tblPr>
        <w:bidiVisual/>
        <w:tblW w:w="0" w:type="auto"/>
        <w:tblLook w:val="0000" w:firstRow="0" w:lastRow="0" w:firstColumn="0" w:lastColumn="0" w:noHBand="0" w:noVBand="0"/>
      </w:tblPr>
      <w:tblGrid>
        <w:gridCol w:w="1903"/>
        <w:gridCol w:w="3451"/>
        <w:gridCol w:w="1134"/>
        <w:gridCol w:w="2428"/>
        <w:gridCol w:w="655"/>
      </w:tblGrid>
      <w:tr w:rsidR="00430DD7" w:rsidRPr="00211D55" w14:paraId="6DDEBFF5" w14:textId="77777777" w:rsidTr="00BB3820">
        <w:trPr>
          <w:cantSplit/>
          <w:trHeight w:val="537"/>
        </w:trPr>
        <w:tc>
          <w:tcPr>
            <w:tcW w:w="9571" w:type="dxa"/>
            <w:gridSpan w:val="5"/>
            <w:shd w:val="clear" w:color="auto" w:fill="C6D9F1" w:themeFill="text2" w:themeFillTint="33"/>
            <w:tcMar>
              <w:top w:w="0" w:type="dxa"/>
            </w:tcMar>
            <w:vAlign w:val="center"/>
          </w:tcPr>
          <w:p w14:paraId="38674C16" w14:textId="77777777" w:rsidR="00430DD7" w:rsidRPr="00211D55" w:rsidRDefault="00430DD7" w:rsidP="0031289D">
            <w:pPr>
              <w:keepNext/>
              <w:bidi/>
              <w:spacing w:before="120" w:after="120" w:line="280" w:lineRule="exact"/>
              <w:ind w:left="1167" w:hanging="1167"/>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 xml:space="preserve">النتيجة المرتقبة: </w:t>
            </w:r>
            <w:r w:rsidRPr="00211D55">
              <w:rPr>
                <w:rFonts w:ascii="Arabic Typesetting" w:hAnsi="Arabic Typesetting" w:cs="Arabic Typesetting"/>
                <w:sz w:val="28"/>
                <w:szCs w:val="28"/>
                <w:rtl/>
                <w:lang w:bidi="ar-EG"/>
              </w:rPr>
              <w:tab/>
            </w:r>
            <w:r w:rsidRPr="00393F32">
              <w:rPr>
                <w:rFonts w:ascii="Arabic Typesetting" w:hAnsi="Arabic Typesetting" w:cs="Arabic Typesetting"/>
                <w:sz w:val="28"/>
                <w:szCs w:val="28"/>
                <w:rtl/>
                <w:lang w:bidi="ar-EG"/>
              </w:rPr>
              <w:t>ه1.1 تعاون معزز بين الدول الأعضاء في تطوير أطر معيارية دولية متوازنة للملكية الفكرية</w:t>
            </w:r>
          </w:p>
        </w:tc>
      </w:tr>
      <w:tr w:rsidR="00430DD7" w:rsidRPr="00211D55" w14:paraId="5556F96C" w14:textId="77777777" w:rsidTr="00BB3820">
        <w:trPr>
          <w:cantSplit/>
          <w:trHeight w:val="186"/>
        </w:trPr>
        <w:tc>
          <w:tcPr>
            <w:tcW w:w="1903" w:type="dxa"/>
            <w:tcMar>
              <w:top w:w="110" w:type="dxa"/>
            </w:tcMar>
          </w:tcPr>
          <w:p w14:paraId="1576FD49" w14:textId="77777777" w:rsidR="00430DD7" w:rsidRPr="00211D55" w:rsidRDefault="00430DD7" w:rsidP="0031289D">
            <w:pPr>
              <w:keepNext/>
              <w:bidi/>
              <w:spacing w:after="12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3451" w:type="dxa"/>
            <w:shd w:val="clear" w:color="auto" w:fill="FFFFFF" w:themeFill="background1"/>
            <w:tcMar>
              <w:top w:w="110" w:type="dxa"/>
            </w:tcMar>
          </w:tcPr>
          <w:p w14:paraId="10DFA6EC" w14:textId="77777777" w:rsidR="00430DD7" w:rsidRPr="00211D55" w:rsidRDefault="00430DD7" w:rsidP="0031289D">
            <w:pPr>
              <w:keepNext/>
              <w:bidi/>
              <w:spacing w:after="12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1134" w:type="dxa"/>
          </w:tcPr>
          <w:p w14:paraId="6F13778F" w14:textId="77777777" w:rsidR="00430DD7" w:rsidRPr="00211D55" w:rsidRDefault="00430DD7" w:rsidP="0031289D">
            <w:pPr>
              <w:keepNext/>
              <w:bidi/>
              <w:spacing w:after="12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428" w:type="dxa"/>
            <w:tcMar>
              <w:top w:w="110" w:type="dxa"/>
            </w:tcMar>
          </w:tcPr>
          <w:p w14:paraId="58DEA242" w14:textId="77777777" w:rsidR="00430DD7" w:rsidRPr="00211D55" w:rsidRDefault="00430DD7" w:rsidP="0031289D">
            <w:pPr>
              <w:keepNext/>
              <w:bidi/>
              <w:spacing w:after="12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655" w:type="dxa"/>
            <w:tcMar>
              <w:top w:w="110" w:type="dxa"/>
            </w:tcMar>
          </w:tcPr>
          <w:p w14:paraId="70039ACF" w14:textId="77777777" w:rsidR="00430DD7" w:rsidRPr="00211D55" w:rsidRDefault="00430DD7" w:rsidP="0031289D">
            <w:pPr>
              <w:keepNext/>
              <w:bidi/>
              <w:spacing w:after="12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430DD7" w:rsidRPr="00211D55" w14:paraId="43BBFF16" w14:textId="77777777" w:rsidTr="00BB3820">
        <w:trPr>
          <w:cantSplit/>
          <w:trHeight w:val="18"/>
        </w:trPr>
        <w:tc>
          <w:tcPr>
            <w:tcW w:w="1903" w:type="dxa"/>
            <w:tcMar>
              <w:top w:w="110" w:type="dxa"/>
            </w:tcMar>
          </w:tcPr>
          <w:p w14:paraId="04AB98C0" w14:textId="77777777" w:rsidR="00430DD7" w:rsidRPr="007A7FD7" w:rsidRDefault="00430DD7" w:rsidP="0031289D">
            <w:pPr>
              <w:bidi/>
              <w:spacing w:after="120" w:line="280" w:lineRule="exact"/>
              <w:rPr>
                <w:rFonts w:ascii="Arabic Typesetting" w:hAnsi="Arabic Typesetting" w:cs="Arabic Typesetting"/>
                <w:sz w:val="28"/>
                <w:szCs w:val="28"/>
                <w:rtl/>
                <w:lang w:bidi="ar-EG"/>
              </w:rPr>
            </w:pPr>
            <w:r w:rsidRPr="007A7FD7">
              <w:rPr>
                <w:rFonts w:ascii="Arabic Typesetting" w:hAnsi="Arabic Typesetting" w:cs="Arabic Typesetting"/>
                <w:sz w:val="28"/>
                <w:szCs w:val="28"/>
                <w:rtl/>
                <w:lang w:bidi="ar-EG"/>
              </w:rPr>
              <w:t xml:space="preserve">التقدم نحو تنفيذ الأنشطة المعيارية في مجال الملكية الفكرية والموارد الوراثية والمعارف التقليدية وأشكال التعبير الثقافي التقليدي </w:t>
            </w:r>
            <w:r>
              <w:rPr>
                <w:rFonts w:ascii="Arabic Typesetting" w:hAnsi="Arabic Typesetting" w:cs="Arabic Typesetting" w:hint="cs"/>
                <w:sz w:val="28"/>
                <w:szCs w:val="28"/>
                <w:rtl/>
                <w:lang w:bidi="ar-EG"/>
              </w:rPr>
              <w:t>التي اتفقت عليها</w:t>
            </w:r>
            <w:r w:rsidRPr="007A7FD7">
              <w:rPr>
                <w:rFonts w:ascii="Arabic Typesetting" w:hAnsi="Arabic Typesetting" w:cs="Arabic Typesetting"/>
                <w:sz w:val="28"/>
                <w:szCs w:val="28"/>
                <w:rtl/>
                <w:lang w:bidi="ar-EG"/>
              </w:rPr>
              <w:t xml:space="preserve"> الدول الأعضاء</w:t>
            </w:r>
          </w:p>
        </w:tc>
        <w:tc>
          <w:tcPr>
            <w:tcW w:w="3451" w:type="dxa"/>
            <w:shd w:val="clear" w:color="auto" w:fill="auto"/>
            <w:tcMar>
              <w:top w:w="110" w:type="dxa"/>
            </w:tcMar>
          </w:tcPr>
          <w:p w14:paraId="460FC289" w14:textId="77777777" w:rsidR="00430DD7" w:rsidRDefault="00430DD7" w:rsidP="0031289D">
            <w:pPr>
              <w:bidi/>
              <w:spacing w:after="120" w:line="280" w:lineRule="exact"/>
              <w:rPr>
                <w:rFonts w:ascii="Arabic Typesetting" w:hAnsi="Arabic Typesetting" w:cs="Arabic Typesetting"/>
                <w:color w:val="002060"/>
                <w:sz w:val="28"/>
                <w:szCs w:val="28"/>
                <w:rtl/>
                <w:lang w:bidi="ar-EG"/>
              </w:rPr>
            </w:pPr>
            <w:r>
              <w:rPr>
                <w:rFonts w:ascii="Arabic Typesetting" w:hAnsi="Arabic Typesetting" w:cs="Arabic Typesetting"/>
                <w:i/>
                <w:iCs/>
                <w:color w:val="002060"/>
                <w:sz w:val="28"/>
                <w:szCs w:val="28"/>
                <w:rtl/>
                <w:lang w:bidi="ar-EG"/>
              </w:rPr>
              <w:t>أساس المقارنة المحدّث</w:t>
            </w:r>
            <w:r w:rsidRPr="007A7FD7">
              <w:rPr>
                <w:rFonts w:ascii="Arabic Typesetting" w:hAnsi="Arabic Typesetting" w:cs="Arabic Typesetting" w:hint="cs"/>
                <w:i/>
                <w:iCs/>
                <w:color w:val="002060"/>
                <w:sz w:val="28"/>
                <w:szCs w:val="28"/>
                <w:rtl/>
                <w:lang w:bidi="ar-EG"/>
              </w:rPr>
              <w:t xml:space="preserve"> في </w:t>
            </w:r>
            <w:r w:rsidRPr="007A7FD7">
              <w:rPr>
                <w:rFonts w:ascii="Arabic Typesetting" w:hAnsi="Arabic Typesetting" w:cs="Arabic Typesetting"/>
                <w:i/>
                <w:iCs/>
                <w:color w:val="002060"/>
                <w:sz w:val="28"/>
                <w:szCs w:val="28"/>
                <w:rtl/>
                <w:lang w:bidi="ar-EG"/>
              </w:rPr>
              <w:t xml:space="preserve">نهاية </w:t>
            </w:r>
            <w:r>
              <w:rPr>
                <w:rFonts w:ascii="Arabic Typesetting" w:hAnsi="Arabic Typesetting" w:cs="Arabic Typesetting" w:hint="cs"/>
                <w:i/>
                <w:iCs/>
                <w:color w:val="002060"/>
                <w:sz w:val="28"/>
                <w:szCs w:val="28"/>
                <w:rtl/>
                <w:lang w:bidi="ar-EG"/>
              </w:rPr>
              <w:t>2015</w:t>
            </w:r>
            <w:r w:rsidRPr="007A7FD7">
              <w:rPr>
                <w:rFonts w:ascii="Arabic Typesetting" w:hAnsi="Arabic Typesetting" w:cs="Arabic Typesetting"/>
                <w:i/>
                <w:iCs/>
                <w:color w:val="002060"/>
                <w:sz w:val="28"/>
                <w:szCs w:val="28"/>
                <w:rtl/>
                <w:lang w:bidi="ar-EG"/>
              </w:rPr>
              <w:t>:</w:t>
            </w:r>
            <w:r>
              <w:rPr>
                <w:rFonts w:ascii="Arabic Typesetting" w:hAnsi="Arabic Typesetting" w:cs="Arabic Typesetting"/>
                <w:i/>
                <w:iCs/>
                <w:color w:val="002060"/>
                <w:sz w:val="28"/>
                <w:szCs w:val="28"/>
                <w:rtl/>
                <w:lang w:bidi="ar-EG"/>
              </w:rPr>
              <w:br/>
            </w:r>
            <w:r w:rsidRPr="007A7FD7">
              <w:rPr>
                <w:rFonts w:ascii="Arabic Typesetting" w:hAnsi="Arabic Typesetting" w:cs="Arabic Typesetting"/>
                <w:color w:val="002060"/>
                <w:sz w:val="28"/>
                <w:szCs w:val="28"/>
                <w:rtl/>
                <w:lang w:bidi="ar-EG"/>
              </w:rPr>
              <w:t xml:space="preserve">لم تتفق الجمعية العامة للويبو في أكتوبر 2014 على برنامج عمل </w:t>
            </w:r>
            <w:r>
              <w:rPr>
                <w:rFonts w:ascii="Arabic Typesetting" w:hAnsi="Arabic Typesetting" w:cs="Arabic Typesetting" w:hint="cs"/>
                <w:color w:val="002060"/>
                <w:sz w:val="28"/>
                <w:szCs w:val="28"/>
                <w:rtl/>
                <w:lang w:bidi="ar-EG"/>
              </w:rPr>
              <w:t>للجنة المعارف التقليدية</w:t>
            </w:r>
            <w:r>
              <w:rPr>
                <w:rFonts w:ascii="Arabic Typesetting" w:hAnsi="Arabic Typesetting" w:cs="Arabic Typesetting"/>
                <w:color w:val="002060"/>
                <w:sz w:val="28"/>
                <w:szCs w:val="28"/>
                <w:rtl/>
                <w:lang w:bidi="ar-EG"/>
              </w:rPr>
              <w:t xml:space="preserve"> في عام 2015</w:t>
            </w:r>
            <w:r>
              <w:rPr>
                <w:rFonts w:ascii="Arabic Typesetting" w:hAnsi="Arabic Typesetting" w:cs="Arabic Typesetting" w:hint="cs"/>
                <w:color w:val="002060"/>
                <w:sz w:val="28"/>
                <w:szCs w:val="28"/>
                <w:rtl/>
                <w:lang w:bidi="ar-EG"/>
              </w:rPr>
              <w:t xml:space="preserve"> وعليه لم تجتمع في عام 2015. واتفقت الجمعية العامة للويبو في أكتوبر 2015 على تجديد ولاية لجنة المعارف التقليدية وبرنامج عملها للثنائية 2016/17</w:t>
            </w:r>
          </w:p>
          <w:p w14:paraId="65A6D1DE" w14:textId="77777777" w:rsidR="00430DD7" w:rsidRPr="007A7FD7" w:rsidRDefault="00430DD7" w:rsidP="0031289D">
            <w:pPr>
              <w:bidi/>
              <w:spacing w:after="120" w:line="280" w:lineRule="exact"/>
              <w:rPr>
                <w:rFonts w:ascii="Arabic Typesetting" w:hAnsi="Arabic Typesetting" w:cs="Arabic Typesetting"/>
                <w:sz w:val="28"/>
                <w:szCs w:val="28"/>
                <w:rtl/>
                <w:lang w:bidi="ar-EG"/>
              </w:rPr>
            </w:pPr>
            <w:r>
              <w:rPr>
                <w:rFonts w:ascii="Arabic Typesetting" w:hAnsi="Arabic Typesetting" w:cs="Arabic Typesetting"/>
                <w:i/>
                <w:iCs/>
                <w:sz w:val="28"/>
                <w:szCs w:val="28"/>
                <w:rtl/>
                <w:lang w:bidi="ar-EG"/>
              </w:rPr>
              <w:t>أساس المقارنة الأصلي</w:t>
            </w:r>
            <w:r>
              <w:rPr>
                <w:rFonts w:ascii="Arabic Typesetting" w:hAnsi="Arabic Typesetting" w:cs="Arabic Typesetting" w:hint="cs"/>
                <w:i/>
                <w:iCs/>
                <w:sz w:val="28"/>
                <w:szCs w:val="28"/>
                <w:rtl/>
                <w:lang w:bidi="ar-EG"/>
              </w:rPr>
              <w:t>:</w:t>
            </w:r>
            <w:r>
              <w:rPr>
                <w:rFonts w:ascii="Arabic Typesetting" w:hAnsi="Arabic Typesetting" w:cs="Arabic Typesetting"/>
                <w:i/>
                <w:iCs/>
                <w:sz w:val="28"/>
                <w:szCs w:val="28"/>
                <w:rtl/>
                <w:lang w:bidi="ar-EG"/>
              </w:rPr>
              <w:br/>
            </w:r>
            <w:r w:rsidRPr="007A7FD7">
              <w:rPr>
                <w:rFonts w:ascii="Arabic Typesetting" w:hAnsi="Arabic Typesetting" w:cs="Arabic Typesetting"/>
                <w:i/>
                <w:iCs/>
                <w:sz w:val="28"/>
                <w:szCs w:val="28"/>
                <w:rtl/>
                <w:lang w:bidi="ar-EG"/>
              </w:rPr>
              <w:t>برنامج وميزانية</w:t>
            </w:r>
            <w:r w:rsidRPr="007A7FD7">
              <w:rPr>
                <w:rFonts w:ascii="Arabic Typesetting" w:hAnsi="Arabic Typesetting" w:cs="Arabic Typesetting" w:hint="cs"/>
                <w:i/>
                <w:iCs/>
                <w:sz w:val="28"/>
                <w:szCs w:val="28"/>
                <w:rtl/>
                <w:lang w:bidi="ar-EG"/>
              </w:rPr>
              <w:t xml:space="preserve"> </w:t>
            </w:r>
            <w:r>
              <w:rPr>
                <w:rFonts w:ascii="Arabic Typesetting" w:hAnsi="Arabic Typesetting" w:cs="Arabic Typesetting" w:hint="cs"/>
                <w:i/>
                <w:iCs/>
                <w:sz w:val="28"/>
                <w:szCs w:val="28"/>
                <w:rtl/>
                <w:lang w:bidi="ar-EG"/>
              </w:rPr>
              <w:t>2016/17</w:t>
            </w:r>
            <w:r w:rsidRPr="007A7FD7">
              <w:rPr>
                <w:rFonts w:ascii="Arabic Typesetting" w:hAnsi="Arabic Typesetting" w:cs="Arabic Typesetting" w:hint="cs"/>
                <w:i/>
                <w:iCs/>
                <w:sz w:val="28"/>
                <w:szCs w:val="28"/>
                <w:rtl/>
                <w:lang w:bidi="ar-EG"/>
              </w:rPr>
              <w:t>:</w:t>
            </w:r>
            <w:r w:rsidRPr="007A7FD7">
              <w:rPr>
                <w:rFonts w:ascii="Arabic Typesetting" w:hAnsi="Arabic Typesetting" w:cs="Arabic Typesetting"/>
                <w:i/>
                <w:iCs/>
                <w:sz w:val="28"/>
                <w:szCs w:val="28"/>
                <w:rtl/>
                <w:lang w:bidi="ar-EG"/>
              </w:rPr>
              <w:br/>
            </w:r>
            <w:r w:rsidRPr="007A7FD7">
              <w:rPr>
                <w:rFonts w:ascii="Arabic Typesetting" w:hAnsi="Arabic Typesetting" w:cs="Arabic Typesetting"/>
                <w:sz w:val="28"/>
                <w:szCs w:val="28"/>
                <w:rtl/>
                <w:lang w:bidi="ar-EG"/>
              </w:rPr>
              <w:t>الوضع الحالي للمفاوضات بين الدول الأعضاء بشأن الملكية الفكرية والموارد الوراثية والمعارف التقليدية وأشكال ال</w:t>
            </w:r>
            <w:r>
              <w:rPr>
                <w:rFonts w:ascii="Arabic Typesetting" w:hAnsi="Arabic Typesetting" w:cs="Arabic Typesetting"/>
                <w:sz w:val="28"/>
                <w:szCs w:val="28"/>
                <w:rtl/>
                <w:lang w:bidi="ar-EG"/>
              </w:rPr>
              <w:t>تعبير الثقافي التقليدي كما هو و</w:t>
            </w:r>
            <w:r w:rsidRPr="007A7FD7">
              <w:rPr>
                <w:rFonts w:ascii="Arabic Typesetting" w:hAnsi="Arabic Typesetting" w:cs="Arabic Typesetting"/>
                <w:sz w:val="28"/>
                <w:szCs w:val="28"/>
                <w:rtl/>
                <w:lang w:bidi="ar-EG"/>
              </w:rPr>
              <w:t>ا</w:t>
            </w:r>
            <w:r>
              <w:rPr>
                <w:rFonts w:ascii="Arabic Typesetting" w:hAnsi="Arabic Typesetting" w:cs="Arabic Typesetting" w:hint="cs"/>
                <w:sz w:val="28"/>
                <w:szCs w:val="28"/>
                <w:rtl/>
                <w:lang w:bidi="ar-EG"/>
              </w:rPr>
              <w:t>ر</w:t>
            </w:r>
            <w:r w:rsidRPr="007A7FD7">
              <w:rPr>
                <w:rFonts w:ascii="Arabic Typesetting" w:hAnsi="Arabic Typesetting" w:cs="Arabic Typesetting"/>
                <w:sz w:val="28"/>
                <w:szCs w:val="28"/>
                <w:rtl/>
                <w:lang w:bidi="ar-EG"/>
              </w:rPr>
              <w:t>د في الوثائق</w:t>
            </w:r>
            <w:r>
              <w:rPr>
                <w:rFonts w:ascii="Arabic Typesetting" w:hAnsi="Arabic Typesetting" w:cs="Arabic Typesetting" w:hint="eastAsia"/>
                <w:sz w:val="28"/>
                <w:szCs w:val="28"/>
                <w:rtl/>
                <w:lang w:bidi="ar-EG"/>
              </w:rPr>
              <w:t> </w:t>
            </w:r>
            <w:r w:rsidRPr="007A7FD7">
              <w:rPr>
                <w:rFonts w:ascii="Arabic Typesetting" w:hAnsi="Arabic Typesetting" w:cs="Arabic Typesetting"/>
                <w:sz w:val="28"/>
                <w:szCs w:val="28"/>
                <w:lang w:bidi="ar-EG"/>
              </w:rPr>
              <w:t>WIPO/GRTKF/IC/28/4</w:t>
            </w:r>
            <w:r>
              <w:rPr>
                <w:rFonts w:ascii="Arabic Typesetting" w:hAnsi="Arabic Typesetting" w:cs="Arabic Typesetting" w:hint="cs"/>
                <w:sz w:val="28"/>
                <w:szCs w:val="28"/>
                <w:rtl/>
                <w:lang w:bidi="ar-EG"/>
              </w:rPr>
              <w:t xml:space="preserve"> </w:t>
            </w:r>
            <w:r w:rsidRPr="007A7FD7">
              <w:rPr>
                <w:rFonts w:ascii="Arabic Typesetting" w:hAnsi="Arabic Typesetting" w:cs="Arabic Typesetting"/>
                <w:sz w:val="28"/>
                <w:szCs w:val="28"/>
                <w:rtl/>
                <w:lang w:bidi="ar-EG"/>
              </w:rPr>
              <w:t>و</w:t>
            </w:r>
            <w:r w:rsidRPr="007A7FD7">
              <w:rPr>
                <w:rFonts w:ascii="Arabic Typesetting" w:hAnsi="Arabic Typesetting" w:cs="Arabic Typesetting"/>
                <w:sz w:val="28"/>
                <w:szCs w:val="28"/>
                <w:lang w:bidi="ar-EG"/>
              </w:rPr>
              <w:t>WIPO/GRTKF/IC/28/5</w:t>
            </w:r>
            <w:r w:rsidRPr="007A7FD7">
              <w:rPr>
                <w:rFonts w:ascii="Arabic Typesetting" w:hAnsi="Arabic Typesetting" w:cs="Arabic Typesetting" w:hint="cs"/>
                <w:sz w:val="28"/>
                <w:szCs w:val="28"/>
                <w:rtl/>
                <w:lang w:bidi="ar-EG"/>
              </w:rPr>
              <w:t xml:space="preserve"> </w:t>
            </w:r>
            <w:r w:rsidRPr="007A7FD7">
              <w:rPr>
                <w:rFonts w:ascii="Arabic Typesetting" w:hAnsi="Arabic Typesetting" w:cs="Arabic Typesetting"/>
                <w:sz w:val="28"/>
                <w:szCs w:val="28"/>
                <w:rtl/>
                <w:lang w:bidi="ar-EG"/>
              </w:rPr>
              <w:t>و</w:t>
            </w:r>
            <w:r w:rsidRPr="007A7FD7">
              <w:rPr>
                <w:rFonts w:ascii="Arabic Typesetting" w:hAnsi="Arabic Typesetting" w:cs="Arabic Typesetting"/>
                <w:sz w:val="28"/>
                <w:szCs w:val="28"/>
                <w:lang w:bidi="ar-EG"/>
              </w:rPr>
              <w:t>WIPO/GRTKF/IC/28/6</w:t>
            </w:r>
            <w:r w:rsidRPr="007A7FD7">
              <w:rPr>
                <w:rFonts w:ascii="Arabic Typesetting" w:hAnsi="Arabic Typesetting" w:cs="Arabic Typesetting" w:hint="cs"/>
                <w:sz w:val="28"/>
                <w:szCs w:val="28"/>
                <w:rtl/>
                <w:lang w:bidi="ar-EG"/>
              </w:rPr>
              <w:t xml:space="preserve"> </w:t>
            </w:r>
            <w:r w:rsidRPr="007A7FD7">
              <w:rPr>
                <w:rFonts w:ascii="Arabic Typesetting" w:hAnsi="Arabic Typesetting" w:cs="Arabic Typesetting"/>
                <w:sz w:val="28"/>
                <w:szCs w:val="28"/>
                <w:rtl/>
                <w:lang w:bidi="ar-EG"/>
              </w:rPr>
              <w:t>على التوالي</w:t>
            </w:r>
          </w:p>
        </w:tc>
        <w:tc>
          <w:tcPr>
            <w:tcW w:w="1134" w:type="dxa"/>
          </w:tcPr>
          <w:p w14:paraId="4BCE1228" w14:textId="77777777" w:rsidR="00430DD7" w:rsidRPr="007A7FD7" w:rsidRDefault="00430DD7" w:rsidP="0031289D">
            <w:pPr>
              <w:bidi/>
              <w:spacing w:after="120" w:line="280" w:lineRule="exact"/>
              <w:rPr>
                <w:rFonts w:ascii="Arabic Typesetting" w:hAnsi="Arabic Typesetting" w:cs="Arabic Typesetting"/>
                <w:sz w:val="28"/>
                <w:szCs w:val="28"/>
                <w:rtl/>
                <w:lang w:bidi="ar-EG"/>
              </w:rPr>
            </w:pPr>
            <w:r w:rsidRPr="007A7FD7">
              <w:rPr>
                <w:rFonts w:ascii="Arabic Typesetting" w:hAnsi="Arabic Typesetting" w:cs="Arabic Typesetting"/>
                <w:sz w:val="28"/>
                <w:szCs w:val="28"/>
                <w:rtl/>
                <w:lang w:bidi="ar-EG"/>
              </w:rPr>
              <w:t>نتائج الأنشطة المعيارية المتفق عليها</w:t>
            </w:r>
          </w:p>
        </w:tc>
        <w:tc>
          <w:tcPr>
            <w:tcW w:w="2428" w:type="dxa"/>
            <w:tcMar>
              <w:top w:w="110" w:type="dxa"/>
            </w:tcMar>
          </w:tcPr>
          <w:p w14:paraId="3B9B6093" w14:textId="77777777" w:rsidR="00430DD7" w:rsidRPr="007A7FD7" w:rsidRDefault="00430DD7" w:rsidP="0031289D">
            <w:pPr>
              <w:bidi/>
              <w:spacing w:after="12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الجمعية العامة للويبو ستحيط فقط علماً بالتقدم المحرز في عمل لجنة المعارف التقليدية في أكتوبر 2017</w:t>
            </w:r>
          </w:p>
        </w:tc>
        <w:tc>
          <w:tcPr>
            <w:tcW w:w="655" w:type="dxa"/>
            <w:tcMar>
              <w:top w:w="110" w:type="dxa"/>
            </w:tcMar>
          </w:tcPr>
          <w:p w14:paraId="52D4AB49" w14:textId="77777777" w:rsidR="00430DD7" w:rsidRPr="007A7FD7" w:rsidRDefault="00430DD7" w:rsidP="0031289D">
            <w:pPr>
              <w:keepNext/>
              <w:bidi/>
              <w:spacing w:after="120" w:line="280" w:lineRule="exact"/>
              <w:rPr>
                <w:rFonts w:ascii="Arabic Typesetting" w:hAnsi="Arabic Typesetting" w:cs="Arabic Typesetting"/>
                <w:b/>
                <w:bCs/>
                <w:color w:val="0070C0"/>
                <w:sz w:val="28"/>
                <w:szCs w:val="28"/>
                <w:rtl/>
                <w:lang w:bidi="ar-EG"/>
              </w:rPr>
            </w:pPr>
            <w:r w:rsidRPr="007A7FD7">
              <w:rPr>
                <w:rFonts w:ascii="Arabic Typesetting" w:hAnsi="Arabic Typesetting" w:cs="Arabic Typesetting" w:hint="cs"/>
                <w:b/>
                <w:bCs/>
                <w:color w:val="0070C0"/>
                <w:sz w:val="28"/>
                <w:szCs w:val="28"/>
                <w:rtl/>
                <w:lang w:bidi="ar-EG"/>
              </w:rPr>
              <w:t>غير متاح في 2016</w:t>
            </w:r>
          </w:p>
        </w:tc>
      </w:tr>
      <w:tr w:rsidR="00430DD7" w:rsidRPr="00211D55" w14:paraId="130FA667" w14:textId="77777777" w:rsidTr="00BB3820">
        <w:trPr>
          <w:cantSplit/>
          <w:trHeight w:val="537"/>
        </w:trPr>
        <w:tc>
          <w:tcPr>
            <w:tcW w:w="9571" w:type="dxa"/>
            <w:gridSpan w:val="5"/>
            <w:shd w:val="clear" w:color="auto" w:fill="C6D9F1"/>
            <w:tcMar>
              <w:top w:w="0" w:type="dxa"/>
            </w:tcMar>
            <w:vAlign w:val="center"/>
          </w:tcPr>
          <w:p w14:paraId="1E35DA97" w14:textId="1B7495EC" w:rsidR="00430DD7" w:rsidRPr="00211D55" w:rsidRDefault="00430DD7" w:rsidP="0031289D">
            <w:pPr>
              <w:keepNext/>
              <w:bidi/>
              <w:spacing w:before="120" w:after="120" w:line="280" w:lineRule="exact"/>
              <w:ind w:left="1167" w:hanging="1167"/>
              <w:rPr>
                <w:rFonts w:ascii="Arabic Typesetting" w:hAnsi="Arabic Typesetting" w:cs="Arabic Typesetting"/>
                <w:bCs/>
                <w:sz w:val="28"/>
                <w:szCs w:val="28"/>
                <w:lang w:bidi="ar-EG"/>
              </w:rPr>
            </w:pPr>
            <w:r w:rsidRPr="00CF5EC6">
              <w:rPr>
                <w:rFonts w:ascii="Arabic Typesetting" w:hAnsi="Arabic Typesetting" w:cs="Arabic Typesetting"/>
                <w:b/>
                <w:bCs/>
                <w:sz w:val="28"/>
                <w:szCs w:val="28"/>
                <w:rtl/>
                <w:lang w:bidi="ar-EG"/>
              </w:rPr>
              <w:t>النتيجة</w:t>
            </w:r>
            <w:r w:rsidRPr="00211D55">
              <w:rPr>
                <w:rFonts w:ascii="Arabic Typesetting" w:hAnsi="Arabic Typesetting" w:cs="Arabic Typesetting"/>
                <w:bCs/>
                <w:sz w:val="28"/>
                <w:szCs w:val="28"/>
                <w:shd w:val="clear" w:color="auto" w:fill="C6D9F1"/>
                <w:rtl/>
                <w:lang w:bidi="ar-EG"/>
              </w:rPr>
              <w:t xml:space="preserve"> المرتقبة: </w:t>
            </w:r>
            <w:r w:rsidRPr="00211D55">
              <w:rPr>
                <w:rFonts w:ascii="Arabic Typesetting" w:hAnsi="Arabic Typesetting" w:cs="Arabic Typesetting"/>
                <w:b/>
                <w:sz w:val="28"/>
                <w:szCs w:val="28"/>
                <w:shd w:val="clear" w:color="auto" w:fill="C6D9F1"/>
                <w:rtl/>
                <w:lang w:bidi="ar-EG"/>
              </w:rPr>
              <w:tab/>
            </w:r>
            <w:r w:rsidRPr="00393F32">
              <w:rPr>
                <w:rFonts w:ascii="Arabic Typesetting" w:hAnsi="Arabic Typesetting" w:cs="Arabic Typesetting"/>
                <w:b/>
                <w:sz w:val="28"/>
                <w:szCs w:val="28"/>
                <w:shd w:val="clear" w:color="auto" w:fill="C6D9F1"/>
                <w:rtl/>
                <w:lang w:bidi="ar-EG"/>
              </w:rPr>
              <w:t xml:space="preserve">ه2.3 </w:t>
            </w:r>
            <w:r w:rsidR="009834BA">
              <w:rPr>
                <w:rFonts w:ascii="Arabic Typesetting" w:hAnsi="Arabic Typesetting" w:cs="Arabic Typesetting"/>
                <w:b/>
                <w:sz w:val="28"/>
                <w:szCs w:val="28"/>
                <w:shd w:val="clear" w:color="auto" w:fill="C6D9F1"/>
                <w:rtl/>
                <w:lang w:bidi="ar-EG"/>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المتحولة</w:t>
            </w:r>
          </w:p>
        </w:tc>
      </w:tr>
      <w:tr w:rsidR="00430DD7" w:rsidRPr="00211D55" w14:paraId="725678CD" w14:textId="77777777" w:rsidTr="00BB3820">
        <w:trPr>
          <w:cantSplit/>
          <w:trHeight w:val="18"/>
        </w:trPr>
        <w:tc>
          <w:tcPr>
            <w:tcW w:w="1903" w:type="dxa"/>
            <w:tcMar>
              <w:top w:w="110" w:type="dxa"/>
            </w:tcMar>
          </w:tcPr>
          <w:p w14:paraId="5A6F8533" w14:textId="77777777" w:rsidR="00430DD7" w:rsidRPr="00211D55" w:rsidRDefault="00430DD7" w:rsidP="0031289D">
            <w:pPr>
              <w:keepNext/>
              <w:bidi/>
              <w:spacing w:after="12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3451" w:type="dxa"/>
            <w:shd w:val="clear" w:color="auto" w:fill="auto"/>
            <w:tcMar>
              <w:top w:w="110" w:type="dxa"/>
            </w:tcMar>
          </w:tcPr>
          <w:p w14:paraId="0355CFD2" w14:textId="77777777" w:rsidR="00430DD7" w:rsidRPr="00211D55" w:rsidRDefault="00430DD7" w:rsidP="0031289D">
            <w:pPr>
              <w:keepNext/>
              <w:bidi/>
              <w:spacing w:after="12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1134" w:type="dxa"/>
          </w:tcPr>
          <w:p w14:paraId="0E125A0C" w14:textId="77777777" w:rsidR="00430DD7" w:rsidRPr="00211D55" w:rsidRDefault="00430DD7" w:rsidP="0031289D">
            <w:pPr>
              <w:keepNext/>
              <w:bidi/>
              <w:spacing w:after="12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428" w:type="dxa"/>
            <w:tcMar>
              <w:top w:w="110" w:type="dxa"/>
            </w:tcMar>
          </w:tcPr>
          <w:p w14:paraId="71153F05" w14:textId="77777777" w:rsidR="00430DD7" w:rsidRPr="00211D55" w:rsidRDefault="00430DD7" w:rsidP="0031289D">
            <w:pPr>
              <w:keepNext/>
              <w:bidi/>
              <w:spacing w:after="12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655" w:type="dxa"/>
            <w:tcMar>
              <w:top w:w="110" w:type="dxa"/>
            </w:tcMar>
          </w:tcPr>
          <w:p w14:paraId="571F99A7" w14:textId="77777777" w:rsidR="00430DD7" w:rsidRPr="00211D55" w:rsidRDefault="00430DD7" w:rsidP="0031289D">
            <w:pPr>
              <w:keepNext/>
              <w:bidi/>
              <w:spacing w:after="12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430DD7" w:rsidRPr="00211D55" w14:paraId="50499D94" w14:textId="77777777" w:rsidTr="00BB3820">
        <w:trPr>
          <w:cantSplit/>
          <w:trHeight w:val="18"/>
        </w:trPr>
        <w:tc>
          <w:tcPr>
            <w:tcW w:w="1903" w:type="dxa"/>
            <w:tcMar>
              <w:top w:w="110" w:type="dxa"/>
            </w:tcMar>
          </w:tcPr>
          <w:p w14:paraId="7A654834" w14:textId="77777777" w:rsidR="00430DD7" w:rsidRPr="008E7236" w:rsidRDefault="00430DD7" w:rsidP="0031289D">
            <w:pPr>
              <w:bidi/>
              <w:spacing w:after="120" w:line="280" w:lineRule="exact"/>
              <w:rPr>
                <w:rFonts w:ascii="Arabic Typesetting" w:hAnsi="Arabic Typesetting" w:cs="Arabic Typesetting"/>
                <w:sz w:val="28"/>
                <w:szCs w:val="28"/>
                <w:lang w:bidi="ar-EG"/>
              </w:rPr>
            </w:pPr>
            <w:r w:rsidRPr="008E7236">
              <w:rPr>
                <w:rFonts w:ascii="Arabic Typesetting" w:hAnsi="Arabic Typesetting" w:cs="Arabic Typesetting" w:hint="cs"/>
                <w:sz w:val="28"/>
                <w:szCs w:val="28"/>
                <w:rtl/>
              </w:rPr>
              <w:t>نسبة المشاركين في أنشطة الويبو التي تسفر عن تقارير حول كفاءات معززة لفهم مبادئ وأنظمة وأدوات الملكية الفكرية والانتفاع بها من أجل حماية المعارف التقليدية وأشكال التعبير الثقافي التقليدي وإدارة</w:t>
            </w:r>
            <w:r w:rsidRPr="008E7236">
              <w:rPr>
                <w:rFonts w:ascii="Arabic Typesetting" w:hAnsi="Arabic Typesetting" w:cs="Arabic Typesetting"/>
                <w:sz w:val="28"/>
                <w:szCs w:val="28"/>
                <w:rtl/>
              </w:rPr>
              <w:t xml:space="preserve"> العلاقة بين الملكية الفكرية والموارد الوراثية</w:t>
            </w:r>
          </w:p>
        </w:tc>
        <w:tc>
          <w:tcPr>
            <w:tcW w:w="3451" w:type="dxa"/>
            <w:shd w:val="clear" w:color="auto" w:fill="auto"/>
            <w:tcMar>
              <w:top w:w="110" w:type="dxa"/>
            </w:tcMar>
          </w:tcPr>
          <w:p w14:paraId="1A8FFD49" w14:textId="77777777" w:rsidR="00430DD7" w:rsidRPr="008E7236" w:rsidRDefault="00430DD7" w:rsidP="0031289D">
            <w:pPr>
              <w:bidi/>
              <w:spacing w:after="120" w:line="280" w:lineRule="exact"/>
              <w:rPr>
                <w:rFonts w:ascii="Arabic Typesetting" w:hAnsi="Arabic Typesetting" w:cs="Arabic Typesetting"/>
                <w:color w:val="002060"/>
                <w:sz w:val="28"/>
                <w:szCs w:val="28"/>
                <w:rtl/>
                <w:lang w:bidi="ar-EG"/>
              </w:rPr>
            </w:pPr>
            <w:r>
              <w:rPr>
                <w:rFonts w:ascii="Arabic Typesetting" w:hAnsi="Arabic Typesetting" w:cs="Arabic Typesetting"/>
                <w:i/>
                <w:iCs/>
                <w:color w:val="002060"/>
                <w:sz w:val="28"/>
                <w:szCs w:val="28"/>
                <w:rtl/>
                <w:lang w:bidi="ar-EG"/>
              </w:rPr>
              <w:t>أساس المقارنة المحدّث</w:t>
            </w:r>
            <w:r w:rsidRPr="008E7236">
              <w:rPr>
                <w:rFonts w:ascii="Arabic Typesetting" w:hAnsi="Arabic Typesetting" w:cs="Arabic Typesetting" w:hint="cs"/>
                <w:i/>
                <w:iCs/>
                <w:color w:val="002060"/>
                <w:sz w:val="28"/>
                <w:szCs w:val="28"/>
                <w:rtl/>
                <w:lang w:bidi="ar-EG"/>
              </w:rPr>
              <w:t xml:space="preserve"> في </w:t>
            </w:r>
            <w:r w:rsidRPr="008E7236">
              <w:rPr>
                <w:rFonts w:ascii="Arabic Typesetting" w:hAnsi="Arabic Typesetting" w:cs="Arabic Typesetting"/>
                <w:i/>
                <w:iCs/>
                <w:color w:val="002060"/>
                <w:sz w:val="28"/>
                <w:szCs w:val="28"/>
                <w:rtl/>
                <w:lang w:bidi="ar-EG"/>
              </w:rPr>
              <w:t xml:space="preserve">نهاية </w:t>
            </w:r>
            <w:r w:rsidRPr="008E7236">
              <w:rPr>
                <w:rFonts w:ascii="Arabic Typesetting" w:hAnsi="Arabic Typesetting" w:cs="Arabic Typesetting" w:hint="cs"/>
                <w:i/>
                <w:iCs/>
                <w:color w:val="002060"/>
                <w:sz w:val="28"/>
                <w:szCs w:val="28"/>
                <w:rtl/>
                <w:lang w:bidi="ar-EG"/>
              </w:rPr>
              <w:t>2015:</w:t>
            </w:r>
            <w:r>
              <w:rPr>
                <w:rFonts w:ascii="Arabic Typesetting" w:hAnsi="Arabic Typesetting" w:cs="Arabic Typesetting"/>
                <w:i/>
                <w:iCs/>
                <w:color w:val="002060"/>
                <w:sz w:val="28"/>
                <w:szCs w:val="28"/>
                <w:rtl/>
                <w:lang w:bidi="ar-EG"/>
              </w:rPr>
              <w:br/>
            </w:r>
            <w:r>
              <w:rPr>
                <w:rFonts w:ascii="Arabic Typesetting" w:hAnsi="Arabic Typesetting" w:cs="Arabic Typesetting" w:hint="cs"/>
                <w:color w:val="002060"/>
                <w:sz w:val="28"/>
                <w:szCs w:val="28"/>
                <w:rtl/>
                <w:lang w:bidi="ar-EG"/>
              </w:rPr>
              <w:t>92</w:t>
            </w:r>
            <w:r w:rsidRPr="008E7236">
              <w:rPr>
                <w:rFonts w:ascii="Arabic Typesetting" w:hAnsi="Arabic Typesetting" w:cs="Arabic Typesetting" w:hint="cs"/>
                <w:color w:val="002060"/>
                <w:sz w:val="28"/>
                <w:szCs w:val="28"/>
                <w:rtl/>
                <w:lang w:bidi="ar-EG"/>
              </w:rPr>
              <w:t>% (</w:t>
            </w:r>
            <w:r>
              <w:rPr>
                <w:rFonts w:ascii="Arabic Typesetting" w:hAnsi="Arabic Typesetting" w:cs="Arabic Typesetting" w:hint="cs"/>
                <w:color w:val="002060"/>
                <w:sz w:val="28"/>
                <w:szCs w:val="28"/>
                <w:rtl/>
                <w:lang w:bidi="ar-EG"/>
              </w:rPr>
              <w:t xml:space="preserve">370 </w:t>
            </w:r>
            <w:r w:rsidRPr="008E7236">
              <w:rPr>
                <w:rFonts w:ascii="Arabic Typesetting" w:hAnsi="Arabic Typesetting" w:cs="Arabic Typesetting" w:hint="cs"/>
                <w:color w:val="002060"/>
                <w:sz w:val="28"/>
                <w:szCs w:val="28"/>
                <w:rtl/>
                <w:lang w:bidi="ar-EG"/>
              </w:rPr>
              <w:t xml:space="preserve">من أصل </w:t>
            </w:r>
            <w:r>
              <w:rPr>
                <w:rFonts w:ascii="Arabic Typesetting" w:hAnsi="Arabic Typesetting" w:cs="Arabic Typesetting" w:hint="cs"/>
                <w:color w:val="002060"/>
                <w:sz w:val="28"/>
                <w:szCs w:val="28"/>
                <w:rtl/>
                <w:lang w:bidi="ar-EG"/>
              </w:rPr>
              <w:t>398</w:t>
            </w:r>
            <w:r w:rsidRPr="008E7236">
              <w:rPr>
                <w:rFonts w:ascii="Arabic Typesetting" w:hAnsi="Arabic Typesetting" w:cs="Arabic Typesetting" w:hint="cs"/>
                <w:color w:val="002060"/>
                <w:sz w:val="28"/>
                <w:szCs w:val="28"/>
                <w:rtl/>
                <w:lang w:bidi="ar-EG"/>
              </w:rPr>
              <w:t xml:space="preserve">) من المشاركين قدموا تقارير إيجابية (استخدام استبيان التعليقات في </w:t>
            </w:r>
            <w:r>
              <w:rPr>
                <w:rFonts w:ascii="Arabic Typesetting" w:hAnsi="Arabic Typesetting" w:cs="Arabic Typesetting" w:hint="cs"/>
                <w:color w:val="002060"/>
                <w:sz w:val="28"/>
                <w:szCs w:val="28"/>
                <w:rtl/>
                <w:lang w:bidi="ar-EG"/>
              </w:rPr>
              <w:t>خمسة</w:t>
            </w:r>
            <w:r>
              <w:rPr>
                <w:rFonts w:ascii="Arabic Typesetting" w:hAnsi="Arabic Typesetting" w:cs="Arabic Typesetting" w:hint="eastAsia"/>
                <w:color w:val="002060"/>
                <w:sz w:val="28"/>
                <w:szCs w:val="28"/>
                <w:rtl/>
                <w:lang w:bidi="ar-EG"/>
              </w:rPr>
              <w:t> </w:t>
            </w:r>
            <w:r>
              <w:rPr>
                <w:rFonts w:ascii="Arabic Typesetting" w:hAnsi="Arabic Typesetting" w:cs="Arabic Typesetting" w:hint="cs"/>
                <w:color w:val="002060"/>
                <w:sz w:val="28"/>
                <w:szCs w:val="28"/>
                <w:rtl/>
                <w:lang w:bidi="ar-EG"/>
              </w:rPr>
              <w:t>عشر</w:t>
            </w:r>
            <w:r>
              <w:rPr>
                <w:rFonts w:ascii="Arabic Typesetting" w:hAnsi="Arabic Typesetting" w:cs="Arabic Typesetting" w:hint="eastAsia"/>
                <w:color w:val="002060"/>
                <w:sz w:val="28"/>
                <w:szCs w:val="28"/>
                <w:rtl/>
                <w:lang w:bidi="ar-EG"/>
              </w:rPr>
              <w:t> </w:t>
            </w:r>
            <w:r>
              <w:rPr>
                <w:rFonts w:ascii="Arabic Typesetting" w:hAnsi="Arabic Typesetting" w:cs="Arabic Typesetting" w:hint="cs"/>
                <w:color w:val="002060"/>
                <w:sz w:val="28"/>
                <w:szCs w:val="28"/>
                <w:rtl/>
                <w:lang w:bidi="ar-EG"/>
              </w:rPr>
              <w:t xml:space="preserve">نشاطا </w:t>
            </w:r>
            <w:r w:rsidRPr="008E7236">
              <w:rPr>
                <w:rFonts w:ascii="Arabic Typesetting" w:hAnsi="Arabic Typesetting" w:cs="Arabic Typesetting" w:hint="cs"/>
                <w:color w:val="002060"/>
                <w:sz w:val="28"/>
                <w:szCs w:val="28"/>
                <w:rtl/>
                <w:lang w:bidi="ar-EG"/>
              </w:rPr>
              <w:t>من تنظيم شعبة المعارف التقليدية في الثنائية</w:t>
            </w:r>
            <w:r w:rsidRPr="008E7236">
              <w:rPr>
                <w:rFonts w:ascii="Arabic Typesetting" w:hAnsi="Arabic Typesetting" w:cs="Arabic Typesetting" w:hint="eastAsia"/>
                <w:color w:val="002060"/>
                <w:sz w:val="28"/>
                <w:szCs w:val="28"/>
                <w:rtl/>
                <w:lang w:bidi="ar-EG"/>
              </w:rPr>
              <w:t> </w:t>
            </w:r>
            <w:r>
              <w:rPr>
                <w:rFonts w:ascii="Arabic Typesetting" w:hAnsi="Arabic Typesetting" w:cs="Arabic Typesetting" w:hint="cs"/>
                <w:color w:val="002060"/>
                <w:sz w:val="28"/>
                <w:szCs w:val="28"/>
                <w:rtl/>
                <w:lang w:bidi="ar-EG"/>
              </w:rPr>
              <w:t>2014/15</w:t>
            </w:r>
            <w:r w:rsidRPr="008E7236">
              <w:rPr>
                <w:rFonts w:ascii="Arabic Typesetting" w:hAnsi="Arabic Typesetting" w:cs="Arabic Typesetting" w:hint="cs"/>
                <w:color w:val="002060"/>
                <w:sz w:val="28"/>
                <w:szCs w:val="28"/>
                <w:rtl/>
                <w:lang w:bidi="ar-EG"/>
              </w:rPr>
              <w:t>)</w:t>
            </w:r>
          </w:p>
          <w:p w14:paraId="20F49FE1" w14:textId="77777777" w:rsidR="00430DD7" w:rsidRPr="008E7236" w:rsidRDefault="00430DD7" w:rsidP="0031289D">
            <w:pPr>
              <w:bidi/>
              <w:spacing w:after="120" w:line="280" w:lineRule="exact"/>
              <w:rPr>
                <w:rFonts w:ascii="Arabic Typesetting" w:hAnsi="Arabic Typesetting" w:cs="Arabic Typesetting"/>
                <w:sz w:val="28"/>
                <w:szCs w:val="28"/>
                <w:rtl/>
              </w:rPr>
            </w:pPr>
            <w:r>
              <w:rPr>
                <w:rFonts w:ascii="Arabic Typesetting" w:hAnsi="Arabic Typesetting" w:cs="Arabic Typesetting"/>
                <w:i/>
                <w:iCs/>
                <w:sz w:val="28"/>
                <w:szCs w:val="28"/>
                <w:rtl/>
                <w:lang w:bidi="ar-EG"/>
              </w:rPr>
              <w:t>أساس المقارنة الأصلي</w:t>
            </w:r>
            <w:r w:rsidRPr="008E7236">
              <w:rPr>
                <w:rFonts w:ascii="Arabic Typesetting" w:hAnsi="Arabic Typesetting" w:cs="Arabic Typesetting"/>
                <w:i/>
                <w:iCs/>
                <w:sz w:val="28"/>
                <w:szCs w:val="28"/>
                <w:rtl/>
                <w:lang w:bidi="ar-EG"/>
              </w:rPr>
              <w:t>:</w:t>
            </w:r>
            <w:r>
              <w:rPr>
                <w:rFonts w:ascii="Arabic Typesetting" w:hAnsi="Arabic Typesetting" w:cs="Arabic Typesetting"/>
                <w:i/>
                <w:iCs/>
                <w:sz w:val="28"/>
                <w:szCs w:val="28"/>
                <w:rtl/>
                <w:lang w:bidi="ar-EG"/>
              </w:rPr>
              <w:br/>
            </w:r>
            <w:r w:rsidRPr="008E7236">
              <w:rPr>
                <w:rFonts w:ascii="Arabic Typesetting" w:hAnsi="Arabic Typesetting" w:cs="Arabic Typesetting"/>
                <w:i/>
                <w:iCs/>
                <w:sz w:val="28"/>
                <w:szCs w:val="28"/>
                <w:rtl/>
                <w:lang w:bidi="ar-EG"/>
              </w:rPr>
              <w:t>برنامج وميزانية</w:t>
            </w:r>
            <w:r w:rsidRPr="008E7236">
              <w:rPr>
                <w:rFonts w:ascii="Arabic Typesetting" w:hAnsi="Arabic Typesetting" w:cs="Arabic Typesetting" w:hint="cs"/>
                <w:i/>
                <w:iCs/>
                <w:sz w:val="28"/>
                <w:szCs w:val="28"/>
                <w:rtl/>
                <w:lang w:bidi="ar-EG"/>
              </w:rPr>
              <w:t xml:space="preserve"> </w:t>
            </w:r>
            <w:r>
              <w:rPr>
                <w:rFonts w:ascii="Arabic Typesetting" w:hAnsi="Arabic Typesetting" w:cs="Arabic Typesetting" w:hint="cs"/>
                <w:i/>
                <w:iCs/>
                <w:sz w:val="28"/>
                <w:szCs w:val="28"/>
                <w:rtl/>
                <w:lang w:bidi="ar-EG"/>
              </w:rPr>
              <w:t>2016/17</w:t>
            </w:r>
            <w:r w:rsidRPr="008E7236">
              <w:rPr>
                <w:rFonts w:ascii="Arabic Typesetting" w:hAnsi="Arabic Typesetting" w:cs="Arabic Typesetting" w:hint="cs"/>
                <w:i/>
                <w:iCs/>
                <w:sz w:val="28"/>
                <w:szCs w:val="28"/>
                <w:rtl/>
                <w:lang w:bidi="ar-EG"/>
              </w:rPr>
              <w:t>:</w:t>
            </w:r>
            <w:r>
              <w:rPr>
                <w:rFonts w:ascii="Arabic Typesetting" w:hAnsi="Arabic Typesetting" w:cs="Arabic Typesetting"/>
                <w:i/>
                <w:iCs/>
                <w:sz w:val="28"/>
                <w:szCs w:val="28"/>
                <w:rtl/>
                <w:lang w:bidi="ar-EG"/>
              </w:rPr>
              <w:br/>
            </w:r>
            <w:r>
              <w:rPr>
                <w:rFonts w:ascii="Arabic Typesetting" w:hAnsi="Arabic Typesetting" w:cs="Arabic Typesetting" w:hint="cs"/>
                <w:sz w:val="28"/>
                <w:szCs w:val="28"/>
                <w:rtl/>
                <w:lang w:bidi="ar-EG"/>
              </w:rPr>
              <w:t>91% (163 من أصل 179) من المشاركين قدموا تقارير إيجابية (استخدام استبيان التعليقات في تسعة أنشطة من تنظيم شعبة المعارف التقليدية في</w:t>
            </w:r>
            <w:r>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2014)</w:t>
            </w:r>
          </w:p>
        </w:tc>
        <w:tc>
          <w:tcPr>
            <w:tcW w:w="1134" w:type="dxa"/>
          </w:tcPr>
          <w:p w14:paraId="63A643B7" w14:textId="77777777" w:rsidR="00430DD7" w:rsidRPr="008E7236" w:rsidRDefault="00430DD7" w:rsidP="0031289D">
            <w:pPr>
              <w:bidi/>
              <w:spacing w:after="120" w:line="280" w:lineRule="exact"/>
              <w:rPr>
                <w:rFonts w:ascii="Arabic Typesetting" w:hAnsi="Arabic Typesetting" w:cs="Arabic Typesetting"/>
                <w:color w:val="002060"/>
                <w:sz w:val="28"/>
                <w:szCs w:val="28"/>
                <w:rtl/>
                <w:lang w:bidi="ar-EG"/>
              </w:rPr>
            </w:pPr>
            <w:r w:rsidRPr="008E7236">
              <w:rPr>
                <w:rFonts w:ascii="Arabic Typesetting" w:hAnsi="Arabic Typesetting" w:cs="Arabic Typesetting" w:hint="cs"/>
                <w:i/>
                <w:iCs/>
                <w:color w:val="002060"/>
                <w:sz w:val="28"/>
                <w:szCs w:val="28"/>
                <w:rtl/>
                <w:lang w:bidi="ar-EG"/>
              </w:rPr>
              <w:t>الهدف المحدَّث:</w:t>
            </w:r>
            <w:r w:rsidRPr="008E7236">
              <w:rPr>
                <w:rFonts w:ascii="Arabic Typesetting" w:hAnsi="Arabic Typesetting" w:cs="Arabic Typesetting"/>
                <w:i/>
                <w:iCs/>
                <w:color w:val="002060"/>
                <w:sz w:val="28"/>
                <w:szCs w:val="28"/>
                <w:rtl/>
                <w:lang w:bidi="ar-EG"/>
              </w:rPr>
              <w:br/>
            </w:r>
            <w:r w:rsidRPr="008E7236">
              <w:rPr>
                <w:rFonts w:ascii="Arabic Typesetting" w:hAnsi="Arabic Typesetting" w:cs="Arabic Typesetting" w:hint="cs"/>
                <w:color w:val="002060"/>
                <w:sz w:val="28"/>
                <w:szCs w:val="28"/>
                <w:rtl/>
                <w:lang w:bidi="ar-EG"/>
              </w:rPr>
              <w:t>90%</w:t>
            </w:r>
          </w:p>
          <w:p w14:paraId="7C80C088" w14:textId="77777777" w:rsidR="00430DD7" w:rsidRPr="008E7236" w:rsidRDefault="00430DD7" w:rsidP="0031289D">
            <w:pPr>
              <w:bidi/>
              <w:spacing w:after="120" w:line="280" w:lineRule="exact"/>
              <w:rPr>
                <w:rFonts w:ascii="Arabic Typesetting" w:hAnsi="Arabic Typesetting" w:cs="Arabic Typesetting"/>
                <w:i/>
                <w:iCs/>
                <w:sz w:val="28"/>
                <w:szCs w:val="28"/>
                <w:rtl/>
                <w:lang w:bidi="ar-EG"/>
              </w:rPr>
            </w:pPr>
            <w:r>
              <w:rPr>
                <w:rFonts w:ascii="Arabic Typesetting" w:hAnsi="Arabic Typesetting" w:cs="Arabic Typesetting" w:hint="cs"/>
                <w:i/>
                <w:iCs/>
                <w:sz w:val="28"/>
                <w:szCs w:val="28"/>
                <w:rtl/>
                <w:lang w:bidi="ar-EG"/>
              </w:rPr>
              <w:t>الهدف الأصلي: برنامج وميزانية 2016/17:</w:t>
            </w:r>
            <w:r>
              <w:rPr>
                <w:rFonts w:ascii="Arabic Typesetting" w:hAnsi="Arabic Typesetting" w:cs="Arabic Typesetting"/>
                <w:i/>
                <w:iCs/>
                <w:sz w:val="28"/>
                <w:szCs w:val="28"/>
                <w:rtl/>
                <w:lang w:bidi="ar-EG"/>
              </w:rPr>
              <w:br/>
            </w:r>
            <w:r w:rsidRPr="008E7236">
              <w:rPr>
                <w:rFonts w:ascii="Arabic Typesetting" w:hAnsi="Arabic Typesetting" w:cs="Arabic Typesetting" w:hint="cs"/>
                <w:sz w:val="28"/>
                <w:szCs w:val="28"/>
                <w:rtl/>
                <w:lang w:bidi="ar-EG"/>
              </w:rPr>
              <w:t>80%</w:t>
            </w:r>
          </w:p>
        </w:tc>
        <w:tc>
          <w:tcPr>
            <w:tcW w:w="2428" w:type="dxa"/>
            <w:tcMar>
              <w:top w:w="110" w:type="dxa"/>
            </w:tcMar>
          </w:tcPr>
          <w:p w14:paraId="726727AD" w14:textId="77777777" w:rsidR="00430DD7" w:rsidRPr="008E7236" w:rsidRDefault="00430DD7" w:rsidP="0031289D">
            <w:pPr>
              <w:bidi/>
              <w:spacing w:after="120" w:line="280" w:lineRule="exact"/>
              <w:rPr>
                <w:rFonts w:ascii="Arabic Typesetting" w:hAnsi="Arabic Typesetting" w:cs="Arabic Typesetting"/>
                <w:sz w:val="28"/>
                <w:szCs w:val="28"/>
                <w:lang w:bidi="ar-EG"/>
              </w:rPr>
            </w:pPr>
            <w:r w:rsidRPr="008E7236">
              <w:rPr>
                <w:rFonts w:ascii="Arabic Typesetting" w:hAnsi="Arabic Typesetting" w:cs="Arabic Typesetting" w:hint="cs"/>
                <w:sz w:val="28"/>
                <w:szCs w:val="28"/>
                <w:rtl/>
                <w:lang w:bidi="ar-EG"/>
              </w:rPr>
              <w:t>92</w:t>
            </w:r>
            <w:r w:rsidRPr="008E7236">
              <w:rPr>
                <w:rFonts w:ascii="Arabic Typesetting" w:hAnsi="Arabic Typesetting" w:cs="Arabic Typesetting"/>
                <w:sz w:val="28"/>
                <w:szCs w:val="28"/>
                <w:rtl/>
                <w:lang w:bidi="ar-EG"/>
              </w:rPr>
              <w:t xml:space="preserve">% </w:t>
            </w:r>
            <w:r>
              <w:rPr>
                <w:rFonts w:ascii="Arabic Typesetting" w:hAnsi="Arabic Typesetting" w:cs="Arabic Typesetting" w:hint="cs"/>
                <w:sz w:val="28"/>
                <w:szCs w:val="28"/>
                <w:rtl/>
                <w:lang w:bidi="ar-EG"/>
              </w:rPr>
              <w:t xml:space="preserve">( 46 من أصل 50 في 4 أنشطة) </w:t>
            </w:r>
            <w:r w:rsidRPr="008E7236">
              <w:rPr>
                <w:rFonts w:ascii="Arabic Typesetting" w:hAnsi="Arabic Typesetting" w:cs="Arabic Typesetting"/>
                <w:sz w:val="28"/>
                <w:szCs w:val="28"/>
                <w:rtl/>
                <w:lang w:bidi="ar-EG"/>
              </w:rPr>
              <w:t>قدموا تقارير إيجابية</w:t>
            </w:r>
          </w:p>
        </w:tc>
        <w:tc>
          <w:tcPr>
            <w:tcW w:w="655" w:type="dxa"/>
            <w:tcMar>
              <w:top w:w="110" w:type="dxa"/>
            </w:tcMar>
          </w:tcPr>
          <w:p w14:paraId="7A6A04DD" w14:textId="77777777" w:rsidR="00430DD7" w:rsidRPr="007A7FD7" w:rsidRDefault="00430DD7" w:rsidP="0031289D">
            <w:pPr>
              <w:bidi/>
              <w:spacing w:after="120" w:line="280" w:lineRule="exact"/>
              <w:rPr>
                <w:rFonts w:ascii="Arabic Typesetting" w:hAnsi="Arabic Typesetting" w:cs="Arabic Typesetting"/>
                <w:b/>
                <w:bCs/>
                <w:color w:val="00B050"/>
                <w:sz w:val="28"/>
                <w:szCs w:val="28"/>
                <w:rtl/>
                <w:lang w:bidi="ar-EG"/>
              </w:rPr>
            </w:pPr>
            <w:r w:rsidRPr="007A7FD7">
              <w:rPr>
                <w:rFonts w:ascii="Arabic Typesetting" w:hAnsi="Arabic Typesetting" w:cs="Arabic Typesetting" w:hint="cs"/>
                <w:b/>
                <w:bCs/>
                <w:color w:val="00B050"/>
                <w:sz w:val="28"/>
                <w:szCs w:val="28"/>
                <w:rtl/>
                <w:lang w:bidi="ar-EG"/>
              </w:rPr>
              <w:t>ثابت</w:t>
            </w:r>
          </w:p>
        </w:tc>
      </w:tr>
    </w:tbl>
    <w:p w14:paraId="332F0405" w14:textId="77777777" w:rsidR="00430DD7" w:rsidRPr="00CF5EC6" w:rsidRDefault="00430DD7" w:rsidP="0031289D">
      <w:pPr>
        <w:bidi/>
        <w:rPr>
          <w:sz w:val="2"/>
          <w:szCs w:val="2"/>
        </w:rPr>
      </w:pPr>
    </w:p>
    <w:tbl>
      <w:tblPr>
        <w:tblStyle w:val="TableGrid"/>
        <w:bidiVisual/>
        <w:tblW w:w="0" w:type="auto"/>
        <w:tblLook w:val="04A0" w:firstRow="1" w:lastRow="0" w:firstColumn="1" w:lastColumn="0" w:noHBand="0" w:noVBand="1"/>
      </w:tblPr>
      <w:tblGrid>
        <w:gridCol w:w="9571"/>
      </w:tblGrid>
      <w:tr w:rsidR="00430DD7" w14:paraId="517A87F1" w14:textId="77777777" w:rsidTr="00BB3820">
        <w:tc>
          <w:tcPr>
            <w:tcW w:w="9571" w:type="dxa"/>
            <w:tcBorders>
              <w:top w:val="nil"/>
              <w:left w:val="nil"/>
              <w:bottom w:val="nil"/>
              <w:right w:val="nil"/>
            </w:tcBorders>
            <w:shd w:val="clear" w:color="auto" w:fill="C6D9F1"/>
            <w:vAlign w:val="center"/>
          </w:tcPr>
          <w:p w14:paraId="2DB9F1B5" w14:textId="77777777" w:rsidR="00430DD7" w:rsidRPr="00A2672B" w:rsidRDefault="00430DD7" w:rsidP="0031289D">
            <w:pPr>
              <w:keepNext/>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4</w:t>
            </w:r>
          </w:p>
        </w:tc>
      </w:tr>
    </w:tbl>
    <w:p w14:paraId="64BE0490" w14:textId="77777777" w:rsidR="00430DD7" w:rsidRPr="00FE3908" w:rsidRDefault="00430DD7"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68C1E43F" w14:textId="77777777" w:rsidR="00430DD7" w:rsidRDefault="00430DD7"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430DD7" w:rsidRPr="00211D55" w14:paraId="31E6B262"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715E4037" w14:textId="77777777" w:rsidR="00430DD7" w:rsidRPr="00A2672B" w:rsidRDefault="00430DD7" w:rsidP="0031289D">
            <w:pPr>
              <w:keepNext/>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47D27D6F" w14:textId="77777777" w:rsidR="00430DD7" w:rsidRPr="00A2672B" w:rsidRDefault="00430DD7" w:rsidP="0031289D">
            <w:pPr>
              <w:keepNext/>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7122E41D" w14:textId="77777777" w:rsidR="00430DD7" w:rsidRPr="00A2672B" w:rsidRDefault="00430DD7" w:rsidP="0031289D">
            <w:pPr>
              <w:keepNext/>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62960FBD" w14:textId="77777777" w:rsidR="00430DD7" w:rsidRPr="00A2672B" w:rsidRDefault="00430DD7" w:rsidP="0031289D">
            <w:pPr>
              <w:keepNext/>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430DD7" w:rsidRPr="00211D55" w14:paraId="762A12DE" w14:textId="77777777" w:rsidTr="00BB3820">
        <w:trPr>
          <w:trHeight w:val="55"/>
        </w:trPr>
        <w:tc>
          <w:tcPr>
            <w:tcW w:w="413" w:type="pct"/>
            <w:shd w:val="clear" w:color="auto" w:fill="auto"/>
            <w:noWrap/>
            <w:tcMar>
              <w:top w:w="15" w:type="dxa"/>
              <w:left w:w="15" w:type="dxa"/>
              <w:bottom w:w="0" w:type="dxa"/>
              <w:right w:w="15" w:type="dxa"/>
            </w:tcMar>
            <w:vAlign w:val="center"/>
          </w:tcPr>
          <w:p w14:paraId="7A562294" w14:textId="77777777" w:rsidR="00430DD7" w:rsidRPr="00211D55" w:rsidRDefault="00430DD7" w:rsidP="0031289D">
            <w:pPr>
              <w:bidi/>
              <w:spacing w:before="120" w:after="120"/>
              <w:rPr>
                <w:rFonts w:ascii="Arabic Typesetting" w:hAnsi="Arabic Typesetting" w:cs="Arabic Typesetting"/>
                <w:sz w:val="28"/>
                <w:szCs w:val="28"/>
              </w:rPr>
            </w:pPr>
            <w:r w:rsidRPr="00393F32">
              <w:rPr>
                <w:rFonts w:ascii="Arabic Typesetting" w:hAnsi="Arabic Typesetting" w:cs="Arabic Typesetting"/>
                <w:sz w:val="28"/>
                <w:szCs w:val="28"/>
                <w:rtl/>
              </w:rPr>
              <w:t>ه1.1</w:t>
            </w:r>
          </w:p>
        </w:tc>
        <w:tc>
          <w:tcPr>
            <w:tcW w:w="2340" w:type="pct"/>
            <w:shd w:val="clear" w:color="auto" w:fill="auto"/>
            <w:tcMar>
              <w:top w:w="15" w:type="dxa"/>
              <w:left w:w="15" w:type="dxa"/>
              <w:bottom w:w="0" w:type="dxa"/>
              <w:right w:w="15" w:type="dxa"/>
            </w:tcMar>
            <w:vAlign w:val="center"/>
          </w:tcPr>
          <w:p w14:paraId="557984D2" w14:textId="77777777" w:rsidR="00430DD7" w:rsidRPr="00211D55" w:rsidRDefault="00430DD7" w:rsidP="0031289D">
            <w:pPr>
              <w:bidi/>
              <w:spacing w:before="120" w:after="120"/>
              <w:rPr>
                <w:rFonts w:ascii="Arabic Typesetting" w:hAnsi="Arabic Typesetting" w:cs="Arabic Typesetting"/>
                <w:sz w:val="28"/>
                <w:szCs w:val="28"/>
              </w:rPr>
            </w:pPr>
            <w:r w:rsidRPr="00393F32">
              <w:rPr>
                <w:rFonts w:ascii="Arabic Typesetting" w:hAnsi="Arabic Typesetting" w:cs="Arabic Typesetting"/>
                <w:sz w:val="28"/>
                <w:szCs w:val="28"/>
                <w:rtl/>
              </w:rPr>
              <w:t>تعاون معزز بين الدول الأعضاء في تطوير أطر معيارية دولية متوازنة للملكية الفكرية</w:t>
            </w:r>
          </w:p>
        </w:tc>
        <w:tc>
          <w:tcPr>
            <w:tcW w:w="749" w:type="pct"/>
            <w:shd w:val="clear" w:color="auto" w:fill="auto"/>
            <w:tcMar>
              <w:top w:w="15" w:type="dxa"/>
              <w:left w:w="15" w:type="dxa"/>
              <w:bottom w:w="0" w:type="dxa"/>
              <w:right w:w="15" w:type="dxa"/>
            </w:tcMar>
            <w:vAlign w:val="center"/>
          </w:tcPr>
          <w:p w14:paraId="31E94C46"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034300">
              <w:rPr>
                <w:rFonts w:ascii="Arabic Typesetting" w:hAnsi="Arabic Typesetting" w:cs="Arabic Typesetting"/>
                <w:color w:val="000000"/>
                <w:sz w:val="28"/>
                <w:szCs w:val="28"/>
              </w:rPr>
              <w:t>116</w:t>
            </w:r>
          </w:p>
        </w:tc>
        <w:tc>
          <w:tcPr>
            <w:tcW w:w="749" w:type="pct"/>
            <w:shd w:val="clear" w:color="auto" w:fill="auto"/>
            <w:tcMar>
              <w:top w:w="15" w:type="dxa"/>
              <w:left w:w="15" w:type="dxa"/>
              <w:bottom w:w="0" w:type="dxa"/>
              <w:right w:w="15" w:type="dxa"/>
            </w:tcMar>
            <w:vAlign w:val="center"/>
          </w:tcPr>
          <w:p w14:paraId="5E1FE70E"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034300">
              <w:rPr>
                <w:rFonts w:ascii="Arabic Typesetting" w:hAnsi="Arabic Typesetting" w:cs="Arabic Typesetting"/>
                <w:color w:val="000000"/>
                <w:sz w:val="28"/>
                <w:szCs w:val="28"/>
              </w:rPr>
              <w:t>052</w:t>
            </w:r>
          </w:p>
        </w:tc>
        <w:tc>
          <w:tcPr>
            <w:tcW w:w="749" w:type="pct"/>
            <w:shd w:val="clear" w:color="auto" w:fill="auto"/>
            <w:noWrap/>
            <w:tcMar>
              <w:top w:w="15" w:type="dxa"/>
              <w:left w:w="15" w:type="dxa"/>
              <w:bottom w:w="0" w:type="dxa"/>
              <w:right w:w="15" w:type="dxa"/>
            </w:tcMar>
            <w:vAlign w:val="center"/>
          </w:tcPr>
          <w:p w14:paraId="08EFE4D2"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034300">
              <w:rPr>
                <w:rFonts w:ascii="Arabic Typesetting" w:hAnsi="Arabic Typesetting" w:cs="Arabic Typesetting"/>
                <w:color w:val="000000"/>
                <w:sz w:val="28"/>
                <w:szCs w:val="28"/>
              </w:rPr>
              <w:t>147</w:t>
            </w:r>
          </w:p>
        </w:tc>
      </w:tr>
      <w:tr w:rsidR="00430DD7" w:rsidRPr="00211D55" w14:paraId="06DC8125" w14:textId="77777777" w:rsidTr="00BB3820">
        <w:trPr>
          <w:trHeight w:val="55"/>
        </w:trPr>
        <w:tc>
          <w:tcPr>
            <w:tcW w:w="413" w:type="pct"/>
            <w:shd w:val="clear" w:color="auto" w:fill="auto"/>
            <w:noWrap/>
            <w:tcMar>
              <w:top w:w="15" w:type="dxa"/>
              <w:left w:w="15" w:type="dxa"/>
              <w:bottom w:w="0" w:type="dxa"/>
              <w:right w:w="15" w:type="dxa"/>
            </w:tcMar>
            <w:vAlign w:val="center"/>
          </w:tcPr>
          <w:p w14:paraId="4722D2E6" w14:textId="77777777" w:rsidR="00430DD7" w:rsidRPr="00211D55" w:rsidRDefault="00430DD7" w:rsidP="0031289D">
            <w:pPr>
              <w:bidi/>
              <w:spacing w:before="120" w:after="120"/>
              <w:rPr>
                <w:rFonts w:ascii="Arabic Typesetting" w:hAnsi="Arabic Typesetting" w:cs="Arabic Typesetting"/>
                <w:sz w:val="28"/>
                <w:szCs w:val="28"/>
              </w:rPr>
            </w:pPr>
            <w:r w:rsidRPr="00393F32">
              <w:rPr>
                <w:rFonts w:ascii="Arabic Typesetting" w:hAnsi="Arabic Typesetting" w:cs="Arabic Typesetting"/>
                <w:sz w:val="28"/>
                <w:szCs w:val="28"/>
                <w:rtl/>
              </w:rPr>
              <w:t>ه2.3</w:t>
            </w:r>
          </w:p>
        </w:tc>
        <w:tc>
          <w:tcPr>
            <w:tcW w:w="2340" w:type="pct"/>
            <w:shd w:val="clear" w:color="auto" w:fill="auto"/>
            <w:tcMar>
              <w:top w:w="15" w:type="dxa"/>
              <w:left w:w="15" w:type="dxa"/>
              <w:bottom w:w="0" w:type="dxa"/>
              <w:right w:w="15" w:type="dxa"/>
            </w:tcMar>
            <w:vAlign w:val="center"/>
          </w:tcPr>
          <w:p w14:paraId="1E018BF6" w14:textId="6998336B" w:rsidR="00430DD7" w:rsidRPr="00211D55" w:rsidRDefault="009834B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المتحولة</w:t>
            </w:r>
          </w:p>
        </w:tc>
        <w:tc>
          <w:tcPr>
            <w:tcW w:w="749" w:type="pct"/>
            <w:shd w:val="clear" w:color="auto" w:fill="auto"/>
            <w:tcMar>
              <w:top w:w="15" w:type="dxa"/>
              <w:left w:w="15" w:type="dxa"/>
              <w:bottom w:w="0" w:type="dxa"/>
              <w:right w:w="15" w:type="dxa"/>
            </w:tcMar>
            <w:vAlign w:val="center"/>
          </w:tcPr>
          <w:p w14:paraId="3C631E01"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34300">
              <w:rPr>
                <w:rFonts w:ascii="Arabic Typesetting" w:hAnsi="Arabic Typesetting" w:cs="Arabic Typesetting"/>
                <w:color w:val="000000"/>
                <w:sz w:val="28"/>
                <w:szCs w:val="28"/>
              </w:rPr>
              <w:t>999</w:t>
            </w:r>
          </w:p>
        </w:tc>
        <w:tc>
          <w:tcPr>
            <w:tcW w:w="749" w:type="pct"/>
            <w:shd w:val="clear" w:color="auto" w:fill="auto"/>
            <w:tcMar>
              <w:top w:w="15" w:type="dxa"/>
              <w:left w:w="15" w:type="dxa"/>
              <w:bottom w:w="0" w:type="dxa"/>
              <w:right w:w="15" w:type="dxa"/>
            </w:tcMar>
            <w:vAlign w:val="center"/>
          </w:tcPr>
          <w:p w14:paraId="4182EAB3"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034300">
              <w:rPr>
                <w:rFonts w:ascii="Arabic Typesetting" w:hAnsi="Arabic Typesetting" w:cs="Arabic Typesetting"/>
                <w:color w:val="000000"/>
                <w:sz w:val="28"/>
                <w:szCs w:val="28"/>
              </w:rPr>
              <w:t>635</w:t>
            </w:r>
          </w:p>
        </w:tc>
        <w:tc>
          <w:tcPr>
            <w:tcW w:w="749" w:type="pct"/>
            <w:shd w:val="clear" w:color="auto" w:fill="auto"/>
            <w:noWrap/>
            <w:tcMar>
              <w:top w:w="15" w:type="dxa"/>
              <w:left w:w="15" w:type="dxa"/>
              <w:bottom w:w="0" w:type="dxa"/>
              <w:right w:w="15" w:type="dxa"/>
            </w:tcMar>
            <w:vAlign w:val="center"/>
          </w:tcPr>
          <w:p w14:paraId="5672A2CD"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898</w:t>
            </w:r>
          </w:p>
        </w:tc>
      </w:tr>
      <w:tr w:rsidR="00430DD7" w:rsidRPr="00211D55" w14:paraId="1D734700"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545326C8" w14:textId="77777777" w:rsidR="00430DD7" w:rsidRPr="00211D55" w:rsidRDefault="00430DD7"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1503A54B" w14:textId="77777777" w:rsidR="00430DD7" w:rsidRPr="00D41845" w:rsidRDefault="00430DD7" w:rsidP="0031289D">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47E8F188" w14:textId="77777777" w:rsidR="00430DD7" w:rsidRPr="00034300" w:rsidRDefault="00430DD7" w:rsidP="0031289D">
            <w:pPr>
              <w:jc w:val="center"/>
              <w:rPr>
                <w:rFonts w:ascii="Arabic Typesetting" w:hAnsi="Arabic Typesetting" w:cs="Arabic Typesetting"/>
                <w:b/>
                <w:bCs/>
                <w:color w:val="000000"/>
                <w:sz w:val="28"/>
                <w:szCs w:val="28"/>
              </w:rPr>
            </w:pPr>
            <w:r w:rsidRPr="00034300">
              <w:rPr>
                <w:rFonts w:ascii="Arabic Typesetting" w:hAnsi="Arabic Typesetting" w:cs="Arabic Typesetting"/>
                <w:b/>
                <w:bCs/>
                <w:color w:val="000000"/>
                <w:sz w:val="28"/>
                <w:szCs w:val="28"/>
              </w:rPr>
              <w:t>6</w:t>
            </w:r>
            <w:r>
              <w:rPr>
                <w:rFonts w:ascii="Arabic Typesetting" w:hAnsi="Arabic Typesetting" w:cs="Arabic Typesetting"/>
                <w:b/>
                <w:bCs/>
                <w:color w:val="000000"/>
                <w:sz w:val="28"/>
                <w:szCs w:val="28"/>
              </w:rPr>
              <w:t> </w:t>
            </w:r>
            <w:r w:rsidRPr="00034300">
              <w:rPr>
                <w:rFonts w:ascii="Arabic Typesetting" w:hAnsi="Arabic Typesetting" w:cs="Arabic Typesetting"/>
                <w:b/>
                <w:bCs/>
                <w:color w:val="000000"/>
                <w:sz w:val="28"/>
                <w:szCs w:val="28"/>
              </w:rPr>
              <w:t>115</w:t>
            </w:r>
          </w:p>
        </w:tc>
        <w:tc>
          <w:tcPr>
            <w:tcW w:w="749" w:type="pct"/>
            <w:shd w:val="clear" w:color="auto" w:fill="C6D9F1"/>
            <w:noWrap/>
            <w:tcMar>
              <w:top w:w="15" w:type="dxa"/>
              <w:left w:w="15" w:type="dxa"/>
              <w:bottom w:w="0" w:type="dxa"/>
              <w:right w:w="15" w:type="dxa"/>
            </w:tcMar>
            <w:vAlign w:val="center"/>
          </w:tcPr>
          <w:p w14:paraId="4E86CC97" w14:textId="77777777" w:rsidR="00430DD7" w:rsidRPr="00034300" w:rsidRDefault="00430DD7" w:rsidP="0031289D">
            <w:pPr>
              <w:jc w:val="center"/>
              <w:rPr>
                <w:rFonts w:ascii="Arabic Typesetting" w:hAnsi="Arabic Typesetting" w:cs="Arabic Typesetting"/>
                <w:b/>
                <w:bCs/>
                <w:color w:val="000000"/>
                <w:sz w:val="28"/>
                <w:szCs w:val="28"/>
              </w:rPr>
            </w:pPr>
            <w:r w:rsidRPr="00034300">
              <w:rPr>
                <w:rFonts w:ascii="Arabic Typesetting" w:hAnsi="Arabic Typesetting" w:cs="Arabic Typesetting"/>
                <w:b/>
                <w:bCs/>
                <w:color w:val="000000"/>
                <w:sz w:val="28"/>
                <w:szCs w:val="28"/>
              </w:rPr>
              <w:t>6</w:t>
            </w:r>
            <w:r>
              <w:rPr>
                <w:rFonts w:ascii="Arabic Typesetting" w:hAnsi="Arabic Typesetting" w:cs="Arabic Typesetting"/>
                <w:b/>
                <w:bCs/>
                <w:color w:val="000000"/>
                <w:sz w:val="28"/>
                <w:szCs w:val="28"/>
              </w:rPr>
              <w:t> </w:t>
            </w:r>
            <w:r w:rsidRPr="00034300">
              <w:rPr>
                <w:rFonts w:ascii="Arabic Typesetting" w:hAnsi="Arabic Typesetting" w:cs="Arabic Typesetting"/>
                <w:b/>
                <w:bCs/>
                <w:color w:val="000000"/>
                <w:sz w:val="28"/>
                <w:szCs w:val="28"/>
              </w:rPr>
              <w:t>686</w:t>
            </w:r>
          </w:p>
        </w:tc>
        <w:tc>
          <w:tcPr>
            <w:tcW w:w="749" w:type="pct"/>
            <w:shd w:val="clear" w:color="auto" w:fill="C6D9F1"/>
            <w:noWrap/>
            <w:tcMar>
              <w:top w:w="15" w:type="dxa"/>
              <w:left w:w="15" w:type="dxa"/>
              <w:bottom w:w="0" w:type="dxa"/>
              <w:right w:w="15" w:type="dxa"/>
            </w:tcMar>
            <w:vAlign w:val="center"/>
          </w:tcPr>
          <w:p w14:paraId="2463A30F" w14:textId="77777777" w:rsidR="00430DD7" w:rsidRPr="00034300" w:rsidRDefault="00430DD7" w:rsidP="0031289D">
            <w:pPr>
              <w:jc w:val="center"/>
              <w:rPr>
                <w:rFonts w:ascii="Arabic Typesetting" w:hAnsi="Arabic Typesetting" w:cs="Arabic Typesetting"/>
                <w:b/>
                <w:bCs/>
                <w:color w:val="000000"/>
                <w:sz w:val="28"/>
                <w:szCs w:val="28"/>
              </w:rPr>
            </w:pPr>
            <w:r w:rsidRPr="00034300">
              <w:rPr>
                <w:rFonts w:ascii="Arabic Typesetting" w:hAnsi="Arabic Typesetting" w:cs="Arabic Typesetting"/>
                <w:b/>
                <w:bCs/>
                <w:color w:val="000000"/>
                <w:sz w:val="28"/>
                <w:szCs w:val="28"/>
              </w:rPr>
              <w:t>3</w:t>
            </w:r>
            <w:r>
              <w:rPr>
                <w:rFonts w:ascii="Arabic Typesetting" w:hAnsi="Arabic Typesetting" w:cs="Arabic Typesetting"/>
                <w:b/>
                <w:bCs/>
                <w:color w:val="000000"/>
                <w:sz w:val="28"/>
                <w:szCs w:val="28"/>
              </w:rPr>
              <w:t> </w:t>
            </w:r>
            <w:r w:rsidRPr="00034300">
              <w:rPr>
                <w:rFonts w:ascii="Arabic Typesetting" w:hAnsi="Arabic Typesetting" w:cs="Arabic Typesetting"/>
                <w:b/>
                <w:bCs/>
                <w:color w:val="000000"/>
                <w:sz w:val="28"/>
                <w:szCs w:val="28"/>
              </w:rPr>
              <w:t>045</w:t>
            </w:r>
          </w:p>
        </w:tc>
      </w:tr>
      <w:tr w:rsidR="00430DD7" w:rsidRPr="00211D55" w14:paraId="06BFEE89"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6A778897" w14:textId="77777777" w:rsidR="00430DD7" w:rsidRPr="00A2672B" w:rsidRDefault="00430DD7"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0C2EC3E8" w14:textId="77777777" w:rsidR="00430DD7" w:rsidRPr="00252762" w:rsidRDefault="00430DD7"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791E4F5A" w14:textId="77777777" w:rsidR="00430DD7" w:rsidRPr="00DF1D8A" w:rsidRDefault="00430DD7"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430DD7" w:rsidRPr="00211D55" w14:paraId="087AE90A" w14:textId="77777777" w:rsidTr="00BB3820">
        <w:trPr>
          <w:trHeight w:val="645"/>
        </w:trPr>
        <w:tc>
          <w:tcPr>
            <w:tcW w:w="1118" w:type="pct"/>
            <w:shd w:val="clear" w:color="auto" w:fill="C6D9F1"/>
            <w:noWrap/>
            <w:vAlign w:val="center"/>
            <w:hideMark/>
          </w:tcPr>
          <w:p w14:paraId="1AD7391E" w14:textId="77777777" w:rsidR="00430DD7" w:rsidRPr="00211D55" w:rsidRDefault="00430DD7"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4DB6EC78" w14:textId="77777777" w:rsidR="00430DD7" w:rsidRPr="00211D55" w:rsidRDefault="00430DD7"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7D9A96C0" w14:textId="77777777" w:rsidR="00430DD7" w:rsidRPr="00211D55" w:rsidRDefault="00430DD7"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2E9637D1" w14:textId="77777777" w:rsidR="00430DD7" w:rsidRPr="00211D55" w:rsidRDefault="00430DD7"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53E80E56" w14:textId="77777777" w:rsidR="00430DD7" w:rsidRPr="00211D55" w:rsidRDefault="00430DD7"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430DD7" w:rsidRPr="00211D55" w14:paraId="16944309" w14:textId="77777777" w:rsidTr="00BB3820">
        <w:trPr>
          <w:trHeight w:val="70"/>
        </w:trPr>
        <w:tc>
          <w:tcPr>
            <w:tcW w:w="1118" w:type="pct"/>
            <w:shd w:val="clear" w:color="auto" w:fill="auto"/>
            <w:noWrap/>
            <w:vAlign w:val="center"/>
            <w:hideMark/>
          </w:tcPr>
          <w:p w14:paraId="6E4AD868" w14:textId="77777777" w:rsidR="00430DD7" w:rsidRPr="00211D55" w:rsidRDefault="00430DD7"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485CFB54"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034300">
              <w:rPr>
                <w:rFonts w:ascii="Arabic Typesetting" w:hAnsi="Arabic Typesetting" w:cs="Arabic Typesetting"/>
                <w:color w:val="000000"/>
                <w:sz w:val="28"/>
                <w:szCs w:val="28"/>
              </w:rPr>
              <w:t xml:space="preserve">581 </w:t>
            </w:r>
          </w:p>
        </w:tc>
        <w:tc>
          <w:tcPr>
            <w:tcW w:w="971" w:type="pct"/>
            <w:shd w:val="clear" w:color="auto" w:fill="auto"/>
            <w:vAlign w:val="center"/>
          </w:tcPr>
          <w:p w14:paraId="32228E92"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034300">
              <w:rPr>
                <w:rFonts w:ascii="Arabic Typesetting" w:hAnsi="Arabic Typesetting" w:cs="Arabic Typesetting"/>
                <w:color w:val="000000"/>
                <w:sz w:val="28"/>
                <w:szCs w:val="28"/>
              </w:rPr>
              <w:t xml:space="preserve">160 </w:t>
            </w:r>
          </w:p>
        </w:tc>
        <w:tc>
          <w:tcPr>
            <w:tcW w:w="970" w:type="pct"/>
            <w:shd w:val="clear" w:color="auto" w:fill="auto"/>
            <w:vAlign w:val="center"/>
          </w:tcPr>
          <w:p w14:paraId="72C454B2"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34300">
              <w:rPr>
                <w:rFonts w:ascii="Arabic Typesetting" w:hAnsi="Arabic Typesetting" w:cs="Arabic Typesetting"/>
                <w:color w:val="000000"/>
                <w:sz w:val="28"/>
                <w:szCs w:val="28"/>
              </w:rPr>
              <w:t xml:space="preserve">730 </w:t>
            </w:r>
          </w:p>
        </w:tc>
        <w:tc>
          <w:tcPr>
            <w:tcW w:w="970" w:type="pct"/>
            <w:shd w:val="clear" w:color="auto" w:fill="auto"/>
            <w:vAlign w:val="center"/>
          </w:tcPr>
          <w:p w14:paraId="70F232D0" w14:textId="77777777" w:rsidR="00430DD7" w:rsidRPr="00034300" w:rsidRDefault="00430DD7" w:rsidP="0031289D">
            <w:pPr>
              <w:bidi/>
              <w:spacing w:before="120" w:after="120"/>
              <w:jc w:val="center"/>
              <w:rPr>
                <w:rFonts w:ascii="Arabic Typesetting" w:hAnsi="Arabic Typesetting" w:cs="Arabic Typesetting"/>
                <w:color w:val="000000"/>
                <w:sz w:val="28"/>
                <w:szCs w:val="28"/>
                <w:rtl/>
                <w:lang w:bidi="ar-EG"/>
              </w:rPr>
            </w:pPr>
            <w:r w:rsidRPr="00034300">
              <w:rPr>
                <w:rFonts w:ascii="Arabic Typesetting" w:hAnsi="Arabic Typesetting" w:cs="Arabic Typesetting"/>
                <w:color w:val="000000"/>
                <w:sz w:val="28"/>
                <w:szCs w:val="28"/>
                <w:lang w:bidi="ar-EG"/>
              </w:rPr>
              <w:t>42</w:t>
            </w:r>
            <w:r w:rsidRPr="00034300">
              <w:rPr>
                <w:rFonts w:ascii="Arabic Typesetting" w:hAnsi="Arabic Typesetting" w:cs="Arabic Typesetting"/>
                <w:color w:val="000000"/>
                <w:sz w:val="28"/>
                <w:szCs w:val="28"/>
                <w:rtl/>
                <w:lang w:bidi="ar-EG"/>
              </w:rPr>
              <w:t>%</w:t>
            </w:r>
          </w:p>
        </w:tc>
      </w:tr>
      <w:tr w:rsidR="00430DD7" w:rsidRPr="00211D55" w14:paraId="3AF544AE" w14:textId="77777777" w:rsidTr="00BB3820">
        <w:trPr>
          <w:trHeight w:val="70"/>
        </w:trPr>
        <w:tc>
          <w:tcPr>
            <w:tcW w:w="1118" w:type="pct"/>
            <w:shd w:val="clear" w:color="auto" w:fill="auto"/>
            <w:noWrap/>
            <w:vAlign w:val="center"/>
            <w:hideMark/>
          </w:tcPr>
          <w:p w14:paraId="50DC7248" w14:textId="77777777" w:rsidR="00430DD7" w:rsidRPr="00211D55" w:rsidRDefault="00430DD7"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34190EF8"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034300">
              <w:rPr>
                <w:rFonts w:ascii="Arabic Typesetting" w:hAnsi="Arabic Typesetting" w:cs="Arabic Typesetting"/>
                <w:color w:val="000000"/>
                <w:sz w:val="28"/>
                <w:szCs w:val="28"/>
              </w:rPr>
              <w:t xml:space="preserve">534 </w:t>
            </w:r>
          </w:p>
        </w:tc>
        <w:tc>
          <w:tcPr>
            <w:tcW w:w="971" w:type="pct"/>
            <w:shd w:val="clear" w:color="auto" w:fill="auto"/>
            <w:vAlign w:val="center"/>
          </w:tcPr>
          <w:p w14:paraId="40601FA1"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034300">
              <w:rPr>
                <w:rFonts w:ascii="Arabic Typesetting" w:hAnsi="Arabic Typesetting" w:cs="Arabic Typesetting"/>
                <w:color w:val="000000"/>
                <w:sz w:val="28"/>
                <w:szCs w:val="28"/>
              </w:rPr>
              <w:t xml:space="preserve">526 </w:t>
            </w:r>
          </w:p>
        </w:tc>
        <w:tc>
          <w:tcPr>
            <w:tcW w:w="970" w:type="pct"/>
            <w:shd w:val="clear" w:color="auto" w:fill="auto"/>
            <w:vAlign w:val="center"/>
          </w:tcPr>
          <w:p w14:paraId="42AA2DAB" w14:textId="77777777" w:rsidR="00430DD7" w:rsidRPr="00034300" w:rsidRDefault="00430DD7" w:rsidP="0031289D">
            <w:pPr>
              <w:jc w:val="center"/>
              <w:rPr>
                <w:rFonts w:ascii="Arabic Typesetting" w:hAnsi="Arabic Typesetting" w:cs="Arabic Typesetting"/>
                <w:color w:val="000000"/>
                <w:sz w:val="28"/>
                <w:szCs w:val="28"/>
              </w:rPr>
            </w:pPr>
            <w:r w:rsidRPr="00034300">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34300">
              <w:rPr>
                <w:rFonts w:ascii="Arabic Typesetting" w:hAnsi="Arabic Typesetting" w:cs="Arabic Typesetting"/>
                <w:color w:val="000000"/>
                <w:sz w:val="28"/>
                <w:szCs w:val="28"/>
              </w:rPr>
              <w:t xml:space="preserve">315 </w:t>
            </w:r>
          </w:p>
        </w:tc>
        <w:tc>
          <w:tcPr>
            <w:tcW w:w="970" w:type="pct"/>
            <w:shd w:val="clear" w:color="auto" w:fill="auto"/>
            <w:vAlign w:val="center"/>
          </w:tcPr>
          <w:p w14:paraId="15A6CC38" w14:textId="77777777" w:rsidR="00430DD7" w:rsidRPr="00034300" w:rsidRDefault="00430DD7" w:rsidP="0031289D">
            <w:pPr>
              <w:bidi/>
              <w:spacing w:before="120" w:after="120"/>
              <w:jc w:val="center"/>
              <w:rPr>
                <w:rFonts w:ascii="Arabic Typesetting" w:hAnsi="Arabic Typesetting" w:cs="Arabic Typesetting"/>
                <w:color w:val="000000"/>
                <w:sz w:val="28"/>
                <w:szCs w:val="28"/>
                <w:rtl/>
                <w:lang w:bidi="ar-EG"/>
              </w:rPr>
            </w:pPr>
            <w:r w:rsidRPr="00034300">
              <w:rPr>
                <w:rFonts w:ascii="Arabic Typesetting" w:hAnsi="Arabic Typesetting" w:cs="Arabic Typesetting"/>
                <w:color w:val="000000"/>
                <w:sz w:val="28"/>
                <w:szCs w:val="28"/>
                <w:lang w:bidi="ar-EG"/>
              </w:rPr>
              <w:t>52</w:t>
            </w:r>
            <w:r w:rsidRPr="00034300">
              <w:rPr>
                <w:rFonts w:ascii="Arabic Typesetting" w:hAnsi="Arabic Typesetting" w:cs="Arabic Typesetting"/>
                <w:color w:val="000000"/>
                <w:sz w:val="28"/>
                <w:szCs w:val="28"/>
                <w:rtl/>
                <w:lang w:bidi="ar-EG"/>
              </w:rPr>
              <w:t>%</w:t>
            </w:r>
          </w:p>
        </w:tc>
      </w:tr>
      <w:tr w:rsidR="00430DD7" w:rsidRPr="00211D55" w14:paraId="1FCF4661" w14:textId="77777777" w:rsidTr="00AF6433">
        <w:trPr>
          <w:trHeight w:val="70"/>
        </w:trPr>
        <w:tc>
          <w:tcPr>
            <w:tcW w:w="1118" w:type="pct"/>
            <w:shd w:val="clear" w:color="auto" w:fill="C6D9F1"/>
            <w:noWrap/>
            <w:vAlign w:val="center"/>
            <w:hideMark/>
          </w:tcPr>
          <w:p w14:paraId="6E5893DC" w14:textId="77777777" w:rsidR="00430DD7" w:rsidRPr="00211D55" w:rsidRDefault="00430DD7"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572D5828" w14:textId="77777777" w:rsidR="00430DD7" w:rsidRPr="00034300" w:rsidRDefault="00430DD7" w:rsidP="0031289D">
            <w:pPr>
              <w:jc w:val="center"/>
              <w:rPr>
                <w:rFonts w:ascii="Arabic Typesetting" w:hAnsi="Arabic Typesetting" w:cs="Arabic Typesetting"/>
                <w:b/>
                <w:bCs/>
                <w:color w:val="000000"/>
                <w:sz w:val="28"/>
                <w:szCs w:val="28"/>
              </w:rPr>
            </w:pPr>
            <w:r w:rsidRPr="00034300">
              <w:rPr>
                <w:rFonts w:ascii="Arabic Typesetting" w:hAnsi="Arabic Typesetting" w:cs="Arabic Typesetting"/>
                <w:b/>
                <w:bCs/>
                <w:color w:val="000000"/>
                <w:sz w:val="28"/>
                <w:szCs w:val="28"/>
              </w:rPr>
              <w:t>6</w:t>
            </w:r>
            <w:r>
              <w:rPr>
                <w:rFonts w:ascii="Arabic Typesetting" w:hAnsi="Arabic Typesetting" w:cs="Arabic Typesetting"/>
                <w:b/>
                <w:bCs/>
                <w:color w:val="000000"/>
                <w:sz w:val="28"/>
                <w:szCs w:val="28"/>
              </w:rPr>
              <w:t> </w:t>
            </w:r>
            <w:r w:rsidRPr="00034300">
              <w:rPr>
                <w:rFonts w:ascii="Arabic Typesetting" w:hAnsi="Arabic Typesetting" w:cs="Arabic Typesetting"/>
                <w:b/>
                <w:bCs/>
                <w:color w:val="000000"/>
                <w:sz w:val="28"/>
                <w:szCs w:val="28"/>
              </w:rPr>
              <w:t xml:space="preserve">115 </w:t>
            </w:r>
          </w:p>
        </w:tc>
        <w:tc>
          <w:tcPr>
            <w:tcW w:w="971" w:type="pct"/>
            <w:shd w:val="clear" w:color="auto" w:fill="C6D9F1"/>
            <w:vAlign w:val="center"/>
          </w:tcPr>
          <w:p w14:paraId="019BCC7A" w14:textId="77777777" w:rsidR="00430DD7" w:rsidRPr="00034300" w:rsidRDefault="00430DD7" w:rsidP="0031289D">
            <w:pPr>
              <w:jc w:val="center"/>
              <w:rPr>
                <w:rFonts w:ascii="Arabic Typesetting" w:hAnsi="Arabic Typesetting" w:cs="Arabic Typesetting"/>
                <w:b/>
                <w:bCs/>
                <w:color w:val="000000"/>
                <w:sz w:val="28"/>
                <w:szCs w:val="28"/>
              </w:rPr>
            </w:pPr>
            <w:r w:rsidRPr="00034300">
              <w:rPr>
                <w:rFonts w:ascii="Arabic Typesetting" w:hAnsi="Arabic Typesetting" w:cs="Arabic Typesetting"/>
                <w:b/>
                <w:bCs/>
                <w:color w:val="000000"/>
                <w:sz w:val="28"/>
                <w:szCs w:val="28"/>
              </w:rPr>
              <w:t>6</w:t>
            </w:r>
            <w:r>
              <w:rPr>
                <w:rFonts w:ascii="Arabic Typesetting" w:hAnsi="Arabic Typesetting" w:cs="Arabic Typesetting"/>
                <w:b/>
                <w:bCs/>
                <w:color w:val="000000"/>
                <w:sz w:val="28"/>
                <w:szCs w:val="28"/>
              </w:rPr>
              <w:t> </w:t>
            </w:r>
            <w:r w:rsidRPr="00034300">
              <w:rPr>
                <w:rFonts w:ascii="Arabic Typesetting" w:hAnsi="Arabic Typesetting" w:cs="Arabic Typesetting"/>
                <w:b/>
                <w:bCs/>
                <w:color w:val="000000"/>
                <w:sz w:val="28"/>
                <w:szCs w:val="28"/>
              </w:rPr>
              <w:t xml:space="preserve">686 </w:t>
            </w:r>
          </w:p>
        </w:tc>
        <w:tc>
          <w:tcPr>
            <w:tcW w:w="970" w:type="pct"/>
            <w:shd w:val="clear" w:color="auto" w:fill="C6D9F1"/>
            <w:vAlign w:val="center"/>
          </w:tcPr>
          <w:p w14:paraId="510024E8" w14:textId="77777777" w:rsidR="00430DD7" w:rsidRPr="00034300" w:rsidRDefault="00430DD7" w:rsidP="0031289D">
            <w:pPr>
              <w:jc w:val="center"/>
              <w:rPr>
                <w:rFonts w:ascii="Arabic Typesetting" w:hAnsi="Arabic Typesetting" w:cs="Arabic Typesetting"/>
                <w:b/>
                <w:bCs/>
                <w:color w:val="000000"/>
                <w:sz w:val="28"/>
                <w:szCs w:val="28"/>
              </w:rPr>
            </w:pPr>
            <w:r w:rsidRPr="00034300">
              <w:rPr>
                <w:rFonts w:ascii="Arabic Typesetting" w:hAnsi="Arabic Typesetting" w:cs="Arabic Typesetting"/>
                <w:b/>
                <w:bCs/>
                <w:color w:val="000000"/>
                <w:sz w:val="28"/>
                <w:szCs w:val="28"/>
              </w:rPr>
              <w:t>3</w:t>
            </w:r>
            <w:r>
              <w:rPr>
                <w:rFonts w:ascii="Arabic Typesetting" w:hAnsi="Arabic Typesetting" w:cs="Arabic Typesetting"/>
                <w:b/>
                <w:bCs/>
                <w:color w:val="000000"/>
                <w:sz w:val="28"/>
                <w:szCs w:val="28"/>
              </w:rPr>
              <w:t> </w:t>
            </w:r>
            <w:r w:rsidRPr="00034300">
              <w:rPr>
                <w:rFonts w:ascii="Arabic Typesetting" w:hAnsi="Arabic Typesetting" w:cs="Arabic Typesetting"/>
                <w:b/>
                <w:bCs/>
                <w:color w:val="000000"/>
                <w:sz w:val="28"/>
                <w:szCs w:val="28"/>
              </w:rPr>
              <w:t xml:space="preserve">045 </w:t>
            </w:r>
          </w:p>
        </w:tc>
        <w:tc>
          <w:tcPr>
            <w:tcW w:w="970" w:type="pct"/>
            <w:shd w:val="clear" w:color="auto" w:fill="C6D9F1"/>
            <w:vAlign w:val="center"/>
          </w:tcPr>
          <w:p w14:paraId="0D94C827" w14:textId="77777777" w:rsidR="00430DD7" w:rsidRPr="00034300" w:rsidRDefault="00430DD7" w:rsidP="0031289D">
            <w:pPr>
              <w:bidi/>
              <w:jc w:val="center"/>
              <w:rPr>
                <w:rFonts w:ascii="Arabic Typesetting" w:hAnsi="Arabic Typesetting" w:cs="Arabic Typesetting"/>
                <w:b/>
                <w:bCs/>
                <w:color w:val="000000"/>
                <w:sz w:val="28"/>
                <w:szCs w:val="28"/>
                <w:rtl/>
                <w:lang w:bidi="ar-EG"/>
              </w:rPr>
            </w:pPr>
            <w:r w:rsidRPr="00034300">
              <w:rPr>
                <w:rFonts w:ascii="Arabic Typesetting" w:hAnsi="Arabic Typesetting" w:cs="Arabic Typesetting"/>
                <w:b/>
                <w:bCs/>
                <w:color w:val="000000"/>
                <w:sz w:val="28"/>
                <w:szCs w:val="28"/>
                <w:lang w:bidi="ar-EG"/>
              </w:rPr>
              <w:t>46</w:t>
            </w:r>
            <w:r w:rsidRPr="00034300">
              <w:rPr>
                <w:rFonts w:ascii="Arabic Typesetting" w:hAnsi="Arabic Typesetting" w:cs="Arabic Typesetting"/>
                <w:b/>
                <w:bCs/>
                <w:color w:val="000000"/>
                <w:sz w:val="28"/>
                <w:szCs w:val="28"/>
                <w:rtl/>
                <w:lang w:bidi="ar-EG"/>
              </w:rPr>
              <w:t>%</w:t>
            </w:r>
          </w:p>
        </w:tc>
      </w:tr>
      <w:tr w:rsidR="00430DD7" w:rsidRPr="00211D55" w14:paraId="5B177897" w14:textId="77777777" w:rsidTr="00BB3820">
        <w:trPr>
          <w:trHeight w:val="540"/>
        </w:trPr>
        <w:tc>
          <w:tcPr>
            <w:tcW w:w="5000" w:type="pct"/>
            <w:gridSpan w:val="5"/>
            <w:shd w:val="clear" w:color="auto" w:fill="auto"/>
            <w:noWrap/>
            <w:vAlign w:val="center"/>
          </w:tcPr>
          <w:p w14:paraId="6DCBB248" w14:textId="77777777" w:rsidR="00430DD7" w:rsidRDefault="00430DD7"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3A835317" w14:textId="77777777" w:rsidR="00430DD7" w:rsidRPr="00D41845" w:rsidRDefault="00430DD7"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 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2E7A0D87" w14:textId="77777777" w:rsidR="00430DD7" w:rsidRPr="00706F20" w:rsidRDefault="00430DD7"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1B65B143" w14:textId="7AA874B7" w:rsidR="00430DD7" w:rsidRDefault="00430DD7" w:rsidP="00D94CDB">
      <w:pPr>
        <w:numPr>
          <w:ilvl w:val="1"/>
          <w:numId w:val="70"/>
        </w:numPr>
        <w:bidi/>
        <w:spacing w:after="240" w:line="360" w:lineRule="exact"/>
        <w:ind w:left="0" w:hanging="1"/>
        <w:rPr>
          <w:rFonts w:ascii="Arabic Typesetting" w:hAnsi="Arabic Typesetting" w:cs="Arabic Typesetting"/>
          <w:sz w:val="34"/>
          <w:szCs w:val="34"/>
        </w:rPr>
      </w:pPr>
      <w:r>
        <w:rPr>
          <w:rFonts w:ascii="Arabic Typesetting" w:hAnsi="Arabic Typesetting" w:cs="Arabic Typesetting" w:hint="cs"/>
          <w:sz w:val="34"/>
          <w:szCs w:val="34"/>
          <w:rtl/>
          <w:lang w:bidi="ar-EG"/>
        </w:rPr>
        <w:t xml:space="preserve">تُعزى الزيادة في موارد الموظفين إلى نقل موظفَين اثنين من الملكية الفكرية والتحديات العالمية (البرنامج 18) والإدارة التنفيذية (البرنامج 21) إلى إدارة المعارف التقليدية والتحديات العالمية كما هو مبيَّن </w:t>
      </w:r>
      <w:r>
        <w:rPr>
          <w:rFonts w:ascii="Arabic Typesetting" w:hAnsi="Arabic Typesetting" w:cs="Arabic Typesetting" w:hint="cs"/>
          <w:sz w:val="34"/>
          <w:szCs w:val="34"/>
          <w:rtl/>
        </w:rPr>
        <w:t>في</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النتيجة المرتقبة ه2.3 (كفاءات معززة للموارد البشرية).</w:t>
      </w:r>
    </w:p>
    <w:p w14:paraId="274E1A2D" w14:textId="77777777" w:rsidR="00430DD7" w:rsidRPr="00706F20" w:rsidRDefault="00430DD7"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7A4F0B15" w14:textId="77777777" w:rsidR="00430DD7" w:rsidRDefault="00430DD7" w:rsidP="00D94CDB">
      <w:pPr>
        <w:numPr>
          <w:ilvl w:val="1"/>
          <w:numId w:val="70"/>
        </w:numPr>
        <w:bidi/>
        <w:spacing w:after="240" w:line="360" w:lineRule="exact"/>
        <w:ind w:left="0" w:hanging="1"/>
        <w:rPr>
          <w:rFonts w:ascii="Arabic Typesetting" w:hAnsi="Arabic Typesetting" w:cs="Arabic Typesetting"/>
          <w:sz w:val="34"/>
          <w:szCs w:val="34"/>
        </w:rPr>
      </w:pPr>
      <w:r>
        <w:rPr>
          <w:rFonts w:ascii="Arabic Typesetting" w:hAnsi="Arabic Typesetting" w:cs="Arabic Typesetting" w:hint="cs"/>
          <w:sz w:val="34"/>
          <w:szCs w:val="34"/>
          <w:rtl/>
        </w:rPr>
        <w:t>كانت نسبة استخدام الميزانية ضمن النطاق المتوقع المتراوح بين 40 و60 بالمئة للسنة الأولى من الثنائية.</w:t>
      </w:r>
    </w:p>
    <w:p w14:paraId="4569238F" w14:textId="520BDC3E" w:rsidR="00430DD7" w:rsidRDefault="00430DD7"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7722562D" w14:textId="692A7D15" w:rsidR="008855A8" w:rsidRDefault="008855A8" w:rsidP="0031289D">
      <w:pPr>
        <w:pStyle w:val="Heading3"/>
        <w:pageBreakBefore w:val="0"/>
        <w:spacing w:after="240"/>
        <w:ind w:left="1134" w:hanging="1134"/>
        <w:jc w:val="center"/>
        <w:rPr>
          <w:rtl/>
        </w:rPr>
      </w:pPr>
      <w:bookmarkStart w:id="16" w:name="_Toc482782744"/>
      <w:r>
        <w:rPr>
          <w:rtl/>
        </w:rPr>
        <w:lastRenderedPageBreak/>
        <w:t xml:space="preserve">الهدف الاستراتيجي </w:t>
      </w:r>
      <w:r>
        <w:rPr>
          <w:rFonts w:hint="cs"/>
          <w:rtl/>
        </w:rPr>
        <w:t>الثاني</w:t>
      </w:r>
      <w:bookmarkEnd w:id="16"/>
    </w:p>
    <w:p w14:paraId="7B50F80D" w14:textId="3377C180" w:rsidR="008855A8" w:rsidRPr="00B54D74" w:rsidRDefault="008855A8" w:rsidP="0031289D">
      <w:pPr>
        <w:pStyle w:val="NormalParaAR"/>
        <w:jc w:val="center"/>
        <w:rPr>
          <w:b/>
          <w:bCs/>
          <w:rtl/>
        </w:rPr>
      </w:pPr>
      <w:r w:rsidRPr="008855A8">
        <w:rPr>
          <w:b/>
          <w:bCs/>
          <w:rtl/>
        </w:rPr>
        <w:t>تقديم خدمات</w:t>
      </w:r>
      <w:r>
        <w:rPr>
          <w:rFonts w:hint="cs"/>
          <w:b/>
          <w:bCs/>
          <w:rtl/>
        </w:rPr>
        <w:t xml:space="preserve"> </w:t>
      </w:r>
      <w:r w:rsidRPr="008855A8">
        <w:rPr>
          <w:b/>
          <w:bCs/>
          <w:rtl/>
        </w:rPr>
        <w:t>عالمية في مجال الملكية الفكرية من الطراز الأول</w:t>
      </w:r>
    </w:p>
    <w:p w14:paraId="6C4906BA" w14:textId="77777777" w:rsidR="008855A8" w:rsidRPr="00B54D74" w:rsidRDefault="008855A8" w:rsidP="0031289D">
      <w:pPr>
        <w:pStyle w:val="NormalParaAR"/>
        <w:jc w:val="center"/>
        <w:rPr>
          <w:b/>
          <w:bCs/>
          <w:rtl/>
        </w:rPr>
      </w:pPr>
      <w:r w:rsidRPr="00B54D74">
        <w:rPr>
          <w:b/>
          <w:bCs/>
          <w:rtl/>
        </w:rPr>
        <w:t>لوحة بيانات الأداء في منتصف المدة (</w:t>
      </w:r>
      <w:r>
        <w:rPr>
          <w:rFonts w:hint="cs"/>
          <w:b/>
          <w:bCs/>
          <w:rtl/>
        </w:rPr>
        <w:t>2016</w:t>
      </w:r>
      <w:r w:rsidRPr="00B54D74">
        <w:rPr>
          <w:b/>
          <w:bCs/>
          <w:rtl/>
        </w:rPr>
        <w:t>)</w:t>
      </w:r>
    </w:p>
    <w:p w14:paraId="4893FF16" w14:textId="2D6FFABB" w:rsidR="008855A8" w:rsidRDefault="008855A8" w:rsidP="0031289D">
      <w:pPr>
        <w:pStyle w:val="NormalParaAR"/>
        <w:rPr>
          <w:rtl/>
        </w:rPr>
      </w:pPr>
      <w:r>
        <w:rPr>
          <w:rtl/>
        </w:rPr>
        <w:t xml:space="preserve">توجز لوحة البيانات </w:t>
      </w:r>
      <w:r>
        <w:rPr>
          <w:rFonts w:hint="cs"/>
          <w:rtl/>
        </w:rPr>
        <w:t xml:space="preserve">التالية </w:t>
      </w:r>
      <w:r>
        <w:rPr>
          <w:rtl/>
        </w:rPr>
        <w:t xml:space="preserve">التقدم المحرز </w:t>
      </w:r>
      <w:r>
        <w:rPr>
          <w:rFonts w:hint="cs"/>
          <w:rtl/>
        </w:rPr>
        <w:t>نحو</w:t>
      </w:r>
      <w:r>
        <w:rPr>
          <w:rtl/>
        </w:rPr>
        <w:t xml:space="preserve"> تحقيق النتائج</w:t>
      </w:r>
      <w:r>
        <w:rPr>
          <w:rFonts w:hint="cs"/>
          <w:rtl/>
        </w:rPr>
        <w:t xml:space="preserve"> المرتقبة</w:t>
      </w:r>
      <w:r>
        <w:rPr>
          <w:rtl/>
        </w:rPr>
        <w:t xml:space="preserve"> في عام </w:t>
      </w:r>
      <w:r>
        <w:rPr>
          <w:rFonts w:hint="cs"/>
          <w:rtl/>
        </w:rPr>
        <w:t>2016</w:t>
      </w:r>
      <w:r>
        <w:rPr>
          <w:rtl/>
        </w:rPr>
        <w:t xml:space="preserve"> قياسا</w:t>
      </w:r>
      <w:r>
        <w:rPr>
          <w:rFonts w:hint="cs"/>
          <w:rtl/>
        </w:rPr>
        <w:t>ً</w:t>
      </w:r>
      <w:r>
        <w:rPr>
          <w:rtl/>
        </w:rPr>
        <w:t xml:space="preserve"> بمؤشرات الأداء </w:t>
      </w:r>
      <w:r>
        <w:rPr>
          <w:rFonts w:hint="cs"/>
          <w:rtl/>
        </w:rPr>
        <w:t>في إطار</w:t>
      </w:r>
      <w:r>
        <w:rPr>
          <w:rtl/>
        </w:rPr>
        <w:t xml:space="preserve"> البرامج التي تس</w:t>
      </w:r>
      <w:r>
        <w:rPr>
          <w:rFonts w:hint="cs"/>
          <w:rtl/>
        </w:rPr>
        <w:t>ا</w:t>
      </w:r>
      <w:r>
        <w:rPr>
          <w:rtl/>
        </w:rPr>
        <w:t>هم في تحقيق هذا الهدف الاستراتيجي</w:t>
      </w:r>
      <w:r>
        <w:rPr>
          <w:rFonts w:hint="cs"/>
          <w:rtl/>
        </w:rPr>
        <w:t>.</w:t>
      </w:r>
    </w:p>
    <w:p w14:paraId="75568B20" w14:textId="50481C19" w:rsidR="008855A8" w:rsidRDefault="007B75FB" w:rsidP="0031289D">
      <w:pPr>
        <w:bidi/>
        <w:spacing w:after="240"/>
        <w:jc w:val="center"/>
        <w:rPr>
          <w:noProof/>
          <w:sz w:val="20"/>
        </w:rPr>
      </w:pPr>
      <w:r>
        <w:rPr>
          <w:noProof/>
          <w:sz w:val="20"/>
        </w:rPr>
        <w:drawing>
          <wp:inline distT="0" distB="0" distL="0" distR="0" wp14:anchorId="08A85183" wp14:editId="5DA764C9">
            <wp:extent cx="3544296" cy="216000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4296" cy="2160000"/>
                    </a:xfrm>
                    <a:prstGeom prst="rect">
                      <a:avLst/>
                    </a:prstGeom>
                    <a:noFill/>
                  </pic:spPr>
                </pic:pic>
              </a:graphicData>
            </a:graphic>
          </wp:inline>
        </w:drawing>
      </w:r>
    </w:p>
    <w:tbl>
      <w:tblPr>
        <w:bidiVisual/>
        <w:tblW w:w="5000" w:type="pct"/>
        <w:tblLook w:val="0000" w:firstRow="0" w:lastRow="0" w:firstColumn="0" w:lastColumn="0" w:noHBand="0" w:noVBand="0"/>
      </w:tblPr>
      <w:tblGrid>
        <w:gridCol w:w="2767"/>
        <w:gridCol w:w="3949"/>
        <w:gridCol w:w="1593"/>
        <w:gridCol w:w="1262"/>
      </w:tblGrid>
      <w:tr w:rsidR="00263723" w:rsidRPr="00263723" w14:paraId="7CAC96EE" w14:textId="77777777" w:rsidTr="007B75FB">
        <w:trPr>
          <w:cantSplit/>
          <w:tblHeader/>
        </w:trPr>
        <w:tc>
          <w:tcPr>
            <w:tcW w:w="1446" w:type="pct"/>
            <w:shd w:val="clear" w:color="auto" w:fill="B8CCE4" w:themeFill="accent1" w:themeFillTint="66"/>
            <w:tcMar>
              <w:top w:w="113" w:type="dxa"/>
              <w:bottom w:w="113" w:type="dxa"/>
            </w:tcMar>
            <w:vAlign w:val="center"/>
          </w:tcPr>
          <w:p w14:paraId="7D63C57A" w14:textId="77777777" w:rsidR="00263723" w:rsidRPr="00263723" w:rsidRDefault="00263723" w:rsidP="0031289D">
            <w:pPr>
              <w:bidi/>
              <w:spacing w:before="120" w:after="120" w:line="280" w:lineRule="exact"/>
              <w:jc w:val="center"/>
              <w:rPr>
                <w:rFonts w:ascii="Arabic Typesetting" w:eastAsia="SimSun" w:hAnsi="Arabic Typesetting" w:cs="Arabic Typesetting"/>
                <w:bCs/>
                <w:sz w:val="28"/>
                <w:szCs w:val="28"/>
                <w:lang w:eastAsia="ar-EG" w:bidi="ar-EG"/>
              </w:rPr>
            </w:pPr>
            <w:r w:rsidRPr="00263723">
              <w:rPr>
                <w:rFonts w:ascii="Arabic Typesetting" w:eastAsia="SimSun" w:hAnsi="Arabic Typesetting" w:cs="Arabic Typesetting"/>
                <w:bCs/>
                <w:sz w:val="28"/>
                <w:szCs w:val="28"/>
                <w:rtl/>
                <w:lang w:eastAsia="ar-EG" w:bidi="ar-EG"/>
              </w:rPr>
              <w:t>النتائج المرتقبة</w:t>
            </w:r>
          </w:p>
        </w:tc>
        <w:tc>
          <w:tcPr>
            <w:tcW w:w="2063" w:type="pct"/>
            <w:shd w:val="clear" w:color="auto" w:fill="B8CCE4" w:themeFill="accent1" w:themeFillTint="66"/>
            <w:tcMar>
              <w:top w:w="113" w:type="dxa"/>
              <w:bottom w:w="113" w:type="dxa"/>
            </w:tcMar>
            <w:vAlign w:val="center"/>
          </w:tcPr>
          <w:p w14:paraId="779BC297" w14:textId="77777777" w:rsidR="00263723" w:rsidRPr="00263723" w:rsidRDefault="00263723" w:rsidP="0031289D">
            <w:pPr>
              <w:bidi/>
              <w:spacing w:before="120" w:after="120" w:line="280" w:lineRule="exact"/>
              <w:jc w:val="center"/>
              <w:rPr>
                <w:rFonts w:ascii="Arabic Typesetting" w:eastAsia="SimSun" w:hAnsi="Arabic Typesetting" w:cs="Arabic Typesetting"/>
                <w:bCs/>
                <w:sz w:val="28"/>
                <w:szCs w:val="28"/>
                <w:lang w:eastAsia="ar-EG" w:bidi="ar-EG"/>
              </w:rPr>
            </w:pPr>
            <w:r w:rsidRPr="00263723">
              <w:rPr>
                <w:rFonts w:ascii="Arabic Typesetting" w:eastAsia="SimSun" w:hAnsi="Arabic Typesetting" w:cs="Arabic Typesetting"/>
                <w:bCs/>
                <w:sz w:val="28"/>
                <w:szCs w:val="28"/>
                <w:rtl/>
                <w:lang w:eastAsia="ar-EG" w:bidi="ar-EG"/>
              </w:rPr>
              <w:t>مؤشرات الأداء</w:t>
            </w:r>
          </w:p>
        </w:tc>
        <w:tc>
          <w:tcPr>
            <w:tcW w:w="832" w:type="pct"/>
            <w:shd w:val="clear" w:color="auto" w:fill="B8CCE4" w:themeFill="accent1" w:themeFillTint="66"/>
            <w:tcMar>
              <w:top w:w="113" w:type="dxa"/>
              <w:bottom w:w="113" w:type="dxa"/>
            </w:tcMar>
            <w:vAlign w:val="center"/>
          </w:tcPr>
          <w:p w14:paraId="2D852300" w14:textId="77777777" w:rsidR="00263723" w:rsidRPr="00263723" w:rsidRDefault="00263723" w:rsidP="0031289D">
            <w:pPr>
              <w:bidi/>
              <w:spacing w:before="120" w:after="120" w:line="280" w:lineRule="exact"/>
              <w:jc w:val="center"/>
              <w:rPr>
                <w:rFonts w:ascii="Arabic Typesetting" w:eastAsia="SimSun" w:hAnsi="Arabic Typesetting" w:cs="Arabic Typesetting"/>
                <w:bCs/>
                <w:sz w:val="28"/>
                <w:szCs w:val="28"/>
                <w:lang w:eastAsia="ar-EG" w:bidi="ar-EG"/>
              </w:rPr>
            </w:pPr>
            <w:r w:rsidRPr="00263723">
              <w:rPr>
                <w:rFonts w:ascii="Arabic Typesetting" w:eastAsia="SimSun" w:hAnsi="Arabic Typesetting" w:cs="Arabic Typesetting"/>
                <w:bCs/>
                <w:sz w:val="28"/>
                <w:szCs w:val="28"/>
                <w:rtl/>
                <w:lang w:eastAsia="ar-EG" w:bidi="ar-EG"/>
              </w:rPr>
              <w:t>البرامج المسؤولة</w:t>
            </w:r>
          </w:p>
        </w:tc>
        <w:tc>
          <w:tcPr>
            <w:tcW w:w="659" w:type="pct"/>
            <w:shd w:val="clear" w:color="auto" w:fill="B8CCE4" w:themeFill="accent1" w:themeFillTint="66"/>
            <w:vAlign w:val="center"/>
          </w:tcPr>
          <w:p w14:paraId="679C927C" w14:textId="77777777" w:rsidR="00263723" w:rsidRPr="00263723" w:rsidRDefault="00263723" w:rsidP="0031289D">
            <w:pPr>
              <w:bidi/>
              <w:spacing w:before="120" w:after="120" w:line="280" w:lineRule="exact"/>
              <w:ind w:left="85"/>
              <w:rPr>
                <w:rFonts w:ascii="Arabic Typesetting" w:eastAsia="Arabic Typesetting" w:hAnsi="Arabic Typesetting" w:cs="Arabic Typesetting"/>
                <w:bCs/>
                <w:sz w:val="28"/>
                <w:szCs w:val="28"/>
                <w:lang w:eastAsia="ar-EG" w:bidi="ar-EG"/>
              </w:rPr>
            </w:pPr>
            <w:r w:rsidRPr="00263723">
              <w:rPr>
                <w:rFonts w:ascii="Arabic Typesetting" w:eastAsia="Arabic Typesetting" w:hAnsi="Arabic Typesetting" w:cs="Arabic Typesetting" w:hint="cs"/>
                <w:bCs/>
                <w:sz w:val="28"/>
                <w:szCs w:val="28"/>
                <w:rtl/>
                <w:lang w:eastAsia="ar-EG" w:bidi="ar-EG"/>
              </w:rPr>
              <w:t>السير</w:t>
            </w:r>
          </w:p>
        </w:tc>
      </w:tr>
      <w:tr w:rsidR="00263723" w:rsidRPr="00263723" w14:paraId="2A93B0EB" w14:textId="77777777" w:rsidTr="007B75FB">
        <w:trPr>
          <w:cantSplit/>
          <w:trHeight w:val="617"/>
        </w:trPr>
        <w:tc>
          <w:tcPr>
            <w:tcW w:w="1446" w:type="pct"/>
            <w:vMerge w:val="restart"/>
            <w:shd w:val="clear" w:color="auto" w:fill="auto"/>
            <w:tcMar>
              <w:top w:w="57" w:type="dxa"/>
              <w:bottom w:w="113" w:type="dxa"/>
            </w:tcMar>
          </w:tcPr>
          <w:p w14:paraId="04271A48"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bidi="ar-EG"/>
              </w:rPr>
              <w:t>ھ1.2 استخدام نظام معاهدة التعاون بشأن البراءات على نطاق أوسع وبفعالية أكبر لإيداع طلبات البراءات الدولية</w:t>
            </w:r>
          </w:p>
        </w:tc>
        <w:tc>
          <w:tcPr>
            <w:tcW w:w="2063" w:type="pct"/>
            <w:shd w:val="clear" w:color="auto" w:fill="auto"/>
            <w:tcMar>
              <w:top w:w="57" w:type="dxa"/>
              <w:bottom w:w="113" w:type="dxa"/>
            </w:tcMar>
          </w:tcPr>
          <w:p w14:paraId="6B27EC55"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b/>
                <w:sz w:val="28"/>
                <w:szCs w:val="28"/>
                <w:rtl/>
                <w:lang w:eastAsia="zh-CN" w:bidi="ar-EG"/>
              </w:rPr>
              <w:t>مواصلة تطوير نظام معاهدة البراءات، ولا سيما تنفيذ توصيات خارطة طريق معاهدة البراءات التي أقرتها الدول الأعضاء في معاهدة</w:t>
            </w:r>
            <w:r w:rsidRPr="00263723">
              <w:rPr>
                <w:rFonts w:ascii="Arabic Typesetting" w:eastAsia="SimSun" w:hAnsi="Arabic Typesetting" w:cs="Arabic Typesetting" w:hint="cs"/>
                <w:b/>
                <w:sz w:val="28"/>
                <w:szCs w:val="28"/>
                <w:rtl/>
                <w:lang w:eastAsia="zh-CN" w:bidi="ar-EG"/>
              </w:rPr>
              <w:t> </w:t>
            </w:r>
            <w:r w:rsidRPr="00263723">
              <w:rPr>
                <w:rFonts w:ascii="Arabic Typesetting" w:eastAsia="SimSun" w:hAnsi="Arabic Typesetting" w:cs="Arabic Typesetting"/>
                <w:b/>
                <w:sz w:val="28"/>
                <w:szCs w:val="28"/>
                <w:rtl/>
                <w:lang w:eastAsia="zh-CN" w:bidi="ar-EG"/>
              </w:rPr>
              <w:t>البراءات</w:t>
            </w:r>
          </w:p>
        </w:tc>
        <w:tc>
          <w:tcPr>
            <w:tcW w:w="832" w:type="pct"/>
            <w:shd w:val="clear" w:color="auto" w:fill="FFFFFF"/>
            <w:tcMar>
              <w:top w:w="57" w:type="dxa"/>
              <w:bottom w:w="113" w:type="dxa"/>
            </w:tcMar>
          </w:tcPr>
          <w:p w14:paraId="75A27136"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5</w:t>
            </w:r>
          </w:p>
        </w:tc>
        <w:tc>
          <w:tcPr>
            <w:tcW w:w="659" w:type="pct"/>
            <w:shd w:val="clear" w:color="auto" w:fill="FFFFFF"/>
            <w:tcMar>
              <w:top w:w="57" w:type="dxa"/>
            </w:tcMar>
          </w:tcPr>
          <w:p w14:paraId="73DE19E1" w14:textId="77777777" w:rsidR="00263723" w:rsidRPr="00263723" w:rsidRDefault="00263723" w:rsidP="0031289D">
            <w:pPr>
              <w:bidi/>
              <w:spacing w:before="120" w:after="120" w:line="280" w:lineRule="exact"/>
              <w:jc w:val="center"/>
              <w:rPr>
                <w:rFonts w:ascii="Arabic Typesetting" w:eastAsia="SimSun" w:hAnsi="Arabic Typesetting" w:cs="Arabic Typesetting"/>
                <w:b/>
                <w:bCs/>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10BAC47B" w14:textId="77777777" w:rsidTr="007B75FB">
        <w:trPr>
          <w:cantSplit/>
          <w:trHeight w:val="380"/>
        </w:trPr>
        <w:tc>
          <w:tcPr>
            <w:tcW w:w="1446" w:type="pct"/>
            <w:vMerge/>
            <w:shd w:val="clear" w:color="auto" w:fill="auto"/>
            <w:tcMar>
              <w:top w:w="57" w:type="dxa"/>
              <w:bottom w:w="113" w:type="dxa"/>
            </w:tcMar>
          </w:tcPr>
          <w:p w14:paraId="7EF6FBA9"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64218FDB"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b/>
                <w:sz w:val="28"/>
                <w:szCs w:val="28"/>
                <w:rtl/>
                <w:lang w:eastAsia="zh-CN" w:bidi="ar-EG"/>
              </w:rPr>
              <w:t>مستوى رضا مستخدمي معاهدة البراءات على المشورة القانونية الخاصة بالمعاهدة والمعلومات والتدريب وخدمة الزبائن</w:t>
            </w:r>
          </w:p>
        </w:tc>
        <w:tc>
          <w:tcPr>
            <w:tcW w:w="832" w:type="pct"/>
            <w:shd w:val="clear" w:color="auto" w:fill="FFFFFF"/>
            <w:tcMar>
              <w:top w:w="57" w:type="dxa"/>
              <w:bottom w:w="113" w:type="dxa"/>
            </w:tcMar>
          </w:tcPr>
          <w:p w14:paraId="7698C25C"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5</w:t>
            </w:r>
          </w:p>
        </w:tc>
        <w:tc>
          <w:tcPr>
            <w:tcW w:w="659" w:type="pct"/>
            <w:shd w:val="clear" w:color="auto" w:fill="FFFFFF"/>
            <w:tcMar>
              <w:top w:w="57" w:type="dxa"/>
            </w:tcMar>
          </w:tcPr>
          <w:p w14:paraId="5D6542A6"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70C0"/>
                <w:sz w:val="28"/>
                <w:szCs w:val="28"/>
                <w:lang w:eastAsia="zh-CN"/>
              </w:rPr>
              <w:sym w:font="Wingdings" w:char="F06C"/>
            </w:r>
          </w:p>
        </w:tc>
      </w:tr>
      <w:tr w:rsidR="00263723" w:rsidRPr="00263723" w14:paraId="73BAE0DC" w14:textId="77777777" w:rsidTr="007B75FB">
        <w:trPr>
          <w:cantSplit/>
          <w:trHeight w:val="116"/>
        </w:trPr>
        <w:tc>
          <w:tcPr>
            <w:tcW w:w="1446" w:type="pct"/>
            <w:vMerge/>
            <w:shd w:val="clear" w:color="auto" w:fill="auto"/>
            <w:tcMar>
              <w:top w:w="57" w:type="dxa"/>
              <w:bottom w:w="113" w:type="dxa"/>
            </w:tcMar>
          </w:tcPr>
          <w:p w14:paraId="681064EB"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57FC7B17"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b/>
                <w:sz w:val="28"/>
                <w:szCs w:val="28"/>
                <w:rtl/>
                <w:lang w:eastAsia="zh-CN" w:bidi="ar-EG"/>
              </w:rPr>
              <w:t>رضا المكاتب والإدارات الدولية على الأنشطة التعاونية لمعاهدة البراءات</w:t>
            </w:r>
          </w:p>
        </w:tc>
        <w:tc>
          <w:tcPr>
            <w:tcW w:w="832" w:type="pct"/>
            <w:shd w:val="clear" w:color="auto" w:fill="FFFFFF"/>
            <w:tcMar>
              <w:top w:w="57" w:type="dxa"/>
              <w:bottom w:w="113" w:type="dxa"/>
            </w:tcMar>
          </w:tcPr>
          <w:p w14:paraId="0C0AF488"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5</w:t>
            </w:r>
          </w:p>
        </w:tc>
        <w:tc>
          <w:tcPr>
            <w:tcW w:w="659" w:type="pct"/>
            <w:shd w:val="clear" w:color="auto" w:fill="FFFFFF"/>
            <w:tcMar>
              <w:top w:w="57" w:type="dxa"/>
            </w:tcMar>
          </w:tcPr>
          <w:p w14:paraId="1B53AA59"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70C0"/>
                <w:sz w:val="28"/>
                <w:szCs w:val="28"/>
                <w:lang w:eastAsia="zh-CN"/>
              </w:rPr>
              <w:sym w:font="Wingdings" w:char="F06C"/>
            </w:r>
          </w:p>
        </w:tc>
      </w:tr>
      <w:tr w:rsidR="00263723" w:rsidRPr="00263723" w14:paraId="4034688E" w14:textId="77777777" w:rsidTr="007B75FB">
        <w:trPr>
          <w:cantSplit/>
          <w:trHeight w:val="30"/>
        </w:trPr>
        <w:tc>
          <w:tcPr>
            <w:tcW w:w="1446" w:type="pct"/>
            <w:vMerge/>
            <w:shd w:val="clear" w:color="auto" w:fill="auto"/>
            <w:tcMar>
              <w:top w:w="57" w:type="dxa"/>
              <w:bottom w:w="113" w:type="dxa"/>
            </w:tcMar>
          </w:tcPr>
          <w:p w14:paraId="63515187"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41B1A0C1"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b/>
                <w:sz w:val="28"/>
                <w:szCs w:val="28"/>
                <w:rtl/>
                <w:lang w:eastAsia="zh-CN" w:bidi="ar-EG"/>
              </w:rPr>
              <w:t>تحسن الخدمات الإلكترونية المقدمة للمودعين و</w:t>
            </w:r>
            <w:r w:rsidRPr="00263723">
              <w:rPr>
                <w:rFonts w:ascii="Arabic Typesetting" w:eastAsia="SimSun" w:hAnsi="Arabic Typesetting" w:cs="Arabic Typesetting" w:hint="cs"/>
                <w:b/>
                <w:sz w:val="28"/>
                <w:szCs w:val="28"/>
                <w:rtl/>
                <w:lang w:eastAsia="zh-CN" w:bidi="ar-EG"/>
              </w:rPr>
              <w:t>ا</w:t>
            </w:r>
            <w:r w:rsidRPr="00263723">
              <w:rPr>
                <w:rFonts w:ascii="Arabic Typesetting" w:eastAsia="SimSun" w:hAnsi="Arabic Typesetting" w:cs="Arabic Typesetting"/>
                <w:b/>
                <w:sz w:val="28"/>
                <w:szCs w:val="28"/>
                <w:rtl/>
                <w:lang w:eastAsia="zh-CN" w:bidi="ar-EG"/>
              </w:rPr>
              <w:t>لغير</w:t>
            </w:r>
            <w:r w:rsidRPr="00263723">
              <w:rPr>
                <w:rFonts w:ascii="Arabic Typesetting" w:eastAsia="SimSun" w:hAnsi="Arabic Typesetting" w:cs="Arabic Typesetting" w:hint="cs"/>
                <w:b/>
                <w:sz w:val="28"/>
                <w:szCs w:val="28"/>
                <w:rtl/>
                <w:lang w:eastAsia="zh-CN" w:bidi="ar-EG"/>
              </w:rPr>
              <w:t xml:space="preserve"> </w:t>
            </w:r>
            <w:r w:rsidRPr="00263723">
              <w:rPr>
                <w:rFonts w:ascii="Arabic Typesetting" w:eastAsia="SimSun" w:hAnsi="Arabic Typesetting" w:cs="Arabic Typesetting"/>
                <w:b/>
                <w:sz w:val="28"/>
                <w:szCs w:val="28"/>
                <w:rtl/>
                <w:lang w:eastAsia="zh-CN" w:bidi="ar-EG"/>
              </w:rPr>
              <w:t>و</w:t>
            </w:r>
            <w:r w:rsidRPr="00263723">
              <w:rPr>
                <w:rFonts w:ascii="Arabic Typesetting" w:eastAsia="SimSun" w:hAnsi="Arabic Typesetting" w:cs="Arabic Typesetting" w:hint="cs"/>
                <w:b/>
                <w:sz w:val="28"/>
                <w:szCs w:val="28"/>
                <w:rtl/>
                <w:lang w:eastAsia="zh-CN" w:bidi="ar-EG"/>
              </w:rPr>
              <w:t>ا</w:t>
            </w:r>
            <w:r w:rsidRPr="00263723">
              <w:rPr>
                <w:rFonts w:ascii="Arabic Typesetting" w:eastAsia="SimSun" w:hAnsi="Arabic Typesetting" w:cs="Arabic Typesetting"/>
                <w:b/>
                <w:sz w:val="28"/>
                <w:szCs w:val="28"/>
                <w:rtl/>
                <w:lang w:eastAsia="zh-CN" w:bidi="ar-EG"/>
              </w:rPr>
              <w:t>لمكات</w:t>
            </w:r>
            <w:r w:rsidRPr="00263723">
              <w:rPr>
                <w:rFonts w:ascii="Arabic Typesetting" w:eastAsia="SimSun" w:hAnsi="Arabic Typesetting" w:cs="Arabic Typesetting" w:hint="cs"/>
                <w:b/>
                <w:sz w:val="28"/>
                <w:szCs w:val="28"/>
                <w:rtl/>
                <w:lang w:eastAsia="zh-CN" w:bidi="ar-EG"/>
              </w:rPr>
              <w:t>ب</w:t>
            </w:r>
            <w:r w:rsidRPr="00263723">
              <w:rPr>
                <w:rFonts w:ascii="Arabic Typesetting" w:eastAsia="SimSun" w:hAnsi="Arabic Typesetting" w:cs="Arabic Typesetting"/>
                <w:b/>
                <w:sz w:val="28"/>
                <w:szCs w:val="28"/>
                <w:rtl/>
                <w:lang w:eastAsia="zh-CN" w:bidi="ar-EG"/>
              </w:rPr>
              <w:t xml:space="preserve"> و</w:t>
            </w:r>
            <w:r w:rsidRPr="00263723">
              <w:rPr>
                <w:rFonts w:ascii="Arabic Typesetting" w:eastAsia="SimSun" w:hAnsi="Arabic Typesetting" w:cs="Arabic Typesetting" w:hint="cs"/>
                <w:b/>
                <w:sz w:val="28"/>
                <w:szCs w:val="28"/>
                <w:rtl/>
                <w:lang w:eastAsia="zh-CN" w:bidi="ar-EG"/>
              </w:rPr>
              <w:t>ا</w:t>
            </w:r>
            <w:r w:rsidRPr="00263723">
              <w:rPr>
                <w:rFonts w:ascii="Arabic Typesetting" w:eastAsia="SimSun" w:hAnsi="Arabic Typesetting" w:cs="Arabic Typesetting"/>
                <w:b/>
                <w:sz w:val="28"/>
                <w:szCs w:val="28"/>
                <w:rtl/>
                <w:lang w:eastAsia="zh-CN" w:bidi="ar-EG"/>
              </w:rPr>
              <w:t>لإدارات</w:t>
            </w:r>
          </w:p>
        </w:tc>
        <w:tc>
          <w:tcPr>
            <w:tcW w:w="832" w:type="pct"/>
            <w:shd w:val="clear" w:color="auto" w:fill="FFFFFF"/>
            <w:tcMar>
              <w:top w:w="57" w:type="dxa"/>
              <w:bottom w:w="113" w:type="dxa"/>
            </w:tcMar>
          </w:tcPr>
          <w:p w14:paraId="5670D77D"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5</w:t>
            </w:r>
          </w:p>
        </w:tc>
        <w:tc>
          <w:tcPr>
            <w:tcW w:w="659" w:type="pct"/>
            <w:shd w:val="clear" w:color="auto" w:fill="FFFFFF"/>
            <w:tcMar>
              <w:top w:w="57" w:type="dxa"/>
            </w:tcMar>
          </w:tcPr>
          <w:p w14:paraId="4207CC46"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FF0000"/>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710561EF" w14:textId="77777777" w:rsidTr="007B75FB">
        <w:trPr>
          <w:cantSplit/>
          <w:trHeight w:val="457"/>
        </w:trPr>
        <w:tc>
          <w:tcPr>
            <w:tcW w:w="1446" w:type="pct"/>
            <w:vMerge/>
            <w:shd w:val="clear" w:color="auto" w:fill="auto"/>
            <w:tcMar>
              <w:top w:w="57" w:type="dxa"/>
              <w:bottom w:w="113" w:type="dxa"/>
            </w:tcMar>
          </w:tcPr>
          <w:p w14:paraId="359BE23C"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3842D8B0" w14:textId="77777777" w:rsidR="00263723" w:rsidRPr="00263723" w:rsidRDefault="00263723" w:rsidP="0031289D">
            <w:pPr>
              <w:bidi/>
              <w:spacing w:before="120" w:after="120" w:line="280" w:lineRule="exact"/>
              <w:rPr>
                <w:rFonts w:ascii="Arabic Typesetting" w:eastAsia="SimSun" w:hAnsi="Arabic Typesetting" w:cs="Arabic Typesetting"/>
                <w:color w:val="9C0006"/>
                <w:sz w:val="28"/>
                <w:szCs w:val="28"/>
                <w:lang w:eastAsia="zh-CN"/>
              </w:rPr>
            </w:pPr>
            <w:r w:rsidRPr="00263723">
              <w:rPr>
                <w:rFonts w:ascii="Arabic Typesetting" w:eastAsia="Arabic Typesetting" w:hAnsi="Arabic Typesetting" w:cs="Arabic Typesetting"/>
                <w:color w:val="000000"/>
                <w:sz w:val="28"/>
                <w:szCs w:val="28"/>
                <w:rtl/>
                <w:lang w:eastAsia="ar-EG" w:bidi="ar-EG"/>
              </w:rPr>
              <w:t>عدد الطلبات المودعة بناء على معاهدة البراءات والصادرة من البلدان النامية والبلدان</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‏المنتقلة</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‏إلى</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‏نظام الاقتصاد ‏الحر</w:t>
            </w:r>
            <w:r w:rsidRPr="00263723">
              <w:rPr>
                <w:rFonts w:ascii="Arabic Typesetting" w:eastAsia="Arabic Typesetting" w:hAnsi="Arabic Typesetting" w:cs="Arabic Typesetting" w:hint="cs"/>
                <w:color w:val="000000"/>
                <w:sz w:val="28"/>
                <w:szCs w:val="28"/>
                <w:rtl/>
                <w:lang w:eastAsia="ar-EG" w:bidi="ar-EG"/>
              </w:rPr>
              <w:t xml:space="preserve"> والبلدان المتقدمة</w:t>
            </w:r>
          </w:p>
        </w:tc>
        <w:tc>
          <w:tcPr>
            <w:tcW w:w="832" w:type="pct"/>
            <w:shd w:val="clear" w:color="auto" w:fill="FFFFFF"/>
            <w:tcMar>
              <w:top w:w="57" w:type="dxa"/>
              <w:bottom w:w="113" w:type="dxa"/>
            </w:tcMar>
          </w:tcPr>
          <w:p w14:paraId="777F96F3" w14:textId="6B60DAF4"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9</w:t>
            </w:r>
          </w:p>
          <w:p w14:paraId="3F57F843" w14:textId="3B2DE96D"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10</w:t>
            </w:r>
          </w:p>
          <w:p w14:paraId="0F9134F0"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20</w:t>
            </w:r>
          </w:p>
        </w:tc>
        <w:tc>
          <w:tcPr>
            <w:tcW w:w="659" w:type="pct"/>
            <w:shd w:val="clear" w:color="auto" w:fill="FFFFFF"/>
            <w:tcMar>
              <w:top w:w="57" w:type="dxa"/>
            </w:tcMar>
          </w:tcPr>
          <w:p w14:paraId="50A8879F"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FF000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p w14:paraId="6C67AD95"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FF0000"/>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p w14:paraId="607B30A0"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FF0000"/>
                <w:sz w:val="28"/>
                <w:szCs w:val="28"/>
                <w:lang w:eastAsia="zh-CN"/>
              </w:rPr>
              <w:sym w:font="Wingdings" w:char="F06C"/>
            </w:r>
            <w:r w:rsidRPr="00263723">
              <w:rPr>
                <w:rFonts w:ascii="Arabic Typesetting" w:eastAsia="SimSun" w:hAnsi="Arabic Typesetting" w:cs="Arabic Typesetting"/>
                <w:color w:val="FF0000"/>
                <w:sz w:val="28"/>
                <w:szCs w:val="28"/>
                <w:lang w:eastAsia="zh-CN"/>
              </w:rPr>
              <w:sym w:font="Wingdings" w:char="F06C"/>
            </w:r>
          </w:p>
        </w:tc>
      </w:tr>
      <w:tr w:rsidR="00263723" w:rsidRPr="00263723" w14:paraId="54163923" w14:textId="77777777" w:rsidTr="007B75FB">
        <w:trPr>
          <w:cantSplit/>
          <w:trHeight w:val="399"/>
        </w:trPr>
        <w:tc>
          <w:tcPr>
            <w:tcW w:w="1446" w:type="pct"/>
            <w:vMerge/>
            <w:shd w:val="clear" w:color="auto" w:fill="auto"/>
            <w:tcMar>
              <w:top w:w="57" w:type="dxa"/>
              <w:bottom w:w="113" w:type="dxa"/>
            </w:tcMar>
          </w:tcPr>
          <w:p w14:paraId="768AF8AB"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4C72B912"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hint="cs"/>
                <w:color w:val="000000"/>
                <w:sz w:val="28"/>
                <w:szCs w:val="28"/>
                <w:rtl/>
                <w:lang w:eastAsia="ar-EG" w:bidi="ar-EG"/>
              </w:rPr>
              <w:t>نسبة ا</w:t>
            </w:r>
            <w:r w:rsidRPr="00263723">
              <w:rPr>
                <w:rFonts w:ascii="Arabic Typesetting" w:eastAsia="Arabic Typesetting" w:hAnsi="Arabic Typesetting" w:cs="Arabic Typesetting"/>
                <w:color w:val="000000"/>
                <w:sz w:val="28"/>
                <w:szCs w:val="28"/>
                <w:rtl/>
                <w:lang w:eastAsia="ar-EG" w:bidi="ar-EG"/>
              </w:rPr>
              <w:t>لمشاركين في الاستقصاء الذين أفادوا بزيادة في استخدام خدمات الويبو في غضون 6 أشهر من حضور الحلقات الدراسية الجوالة بشأن خدمات الويبو ومبادراتها</w:t>
            </w:r>
          </w:p>
        </w:tc>
        <w:tc>
          <w:tcPr>
            <w:tcW w:w="832" w:type="pct"/>
            <w:shd w:val="clear" w:color="auto" w:fill="FFFFFF"/>
            <w:tcMar>
              <w:top w:w="57" w:type="dxa"/>
              <w:bottom w:w="113" w:type="dxa"/>
            </w:tcMar>
          </w:tcPr>
          <w:p w14:paraId="6832D89B"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10</w:t>
            </w:r>
          </w:p>
        </w:tc>
        <w:tc>
          <w:tcPr>
            <w:tcW w:w="659" w:type="pct"/>
            <w:shd w:val="clear" w:color="auto" w:fill="FFFFFF"/>
            <w:tcMar>
              <w:top w:w="57" w:type="dxa"/>
            </w:tcMar>
          </w:tcPr>
          <w:p w14:paraId="01AC8FD3"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22C68DC7" w14:textId="77777777" w:rsidTr="007B75FB">
        <w:trPr>
          <w:cantSplit/>
          <w:trHeight w:val="58"/>
        </w:trPr>
        <w:tc>
          <w:tcPr>
            <w:tcW w:w="1446" w:type="pct"/>
            <w:vMerge/>
            <w:shd w:val="clear" w:color="auto" w:fill="auto"/>
            <w:tcMar>
              <w:top w:w="57" w:type="dxa"/>
              <w:bottom w:w="113" w:type="dxa"/>
            </w:tcMar>
          </w:tcPr>
          <w:p w14:paraId="739AE95A"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18F71949" w14:textId="41A1AD77" w:rsidR="00263723" w:rsidRPr="00263723" w:rsidRDefault="00EF3FA1" w:rsidP="0031289D">
            <w:pPr>
              <w:bidi/>
              <w:spacing w:before="120" w:after="120" w:line="280" w:lineRule="exact"/>
              <w:rPr>
                <w:rFonts w:ascii="Arabic Typesetting" w:eastAsia="SimSun" w:hAnsi="Arabic Typesetting" w:cs="Arabic Typesetting"/>
                <w:color w:val="9C0006"/>
                <w:sz w:val="28"/>
                <w:szCs w:val="28"/>
                <w:lang w:eastAsia="zh-CN"/>
              </w:rPr>
            </w:pPr>
            <w:r w:rsidRPr="000D515F">
              <w:rPr>
                <w:rFonts w:ascii="Arabic Typesetting" w:hAnsi="Arabic Typesetting" w:cs="Arabic Typesetting"/>
                <w:color w:val="000000"/>
                <w:sz w:val="28"/>
                <w:szCs w:val="28"/>
                <w:rtl/>
              </w:rPr>
              <w:t>النسبة المئوية لواضعي السياسات والمسؤولين الحكوميين والعاملين في مجال الملكية الفكرية والمشاركين في حلقات العمل المستهدفة ممن لديهم فهم معمّق لمعاهدة التعاون بشأن البراءات وما يتعلق بها من موضوعات</w:t>
            </w:r>
          </w:p>
        </w:tc>
        <w:tc>
          <w:tcPr>
            <w:tcW w:w="832" w:type="pct"/>
            <w:shd w:val="clear" w:color="auto" w:fill="FFFFFF"/>
            <w:tcMar>
              <w:top w:w="57" w:type="dxa"/>
              <w:bottom w:w="113" w:type="dxa"/>
            </w:tcMar>
          </w:tcPr>
          <w:p w14:paraId="5A91B519"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20</w:t>
            </w:r>
          </w:p>
        </w:tc>
        <w:tc>
          <w:tcPr>
            <w:tcW w:w="659" w:type="pct"/>
            <w:shd w:val="clear" w:color="auto" w:fill="FFFFFF"/>
            <w:tcMar>
              <w:top w:w="57" w:type="dxa"/>
            </w:tcMar>
          </w:tcPr>
          <w:p w14:paraId="22DD6709"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80808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574BEB53" w14:textId="77777777" w:rsidTr="007B75FB">
        <w:trPr>
          <w:cantSplit/>
          <w:trHeight w:val="195"/>
        </w:trPr>
        <w:tc>
          <w:tcPr>
            <w:tcW w:w="1446" w:type="pct"/>
            <w:vMerge w:val="restart"/>
            <w:shd w:val="clear" w:color="auto" w:fill="auto"/>
            <w:tcMar>
              <w:top w:w="57" w:type="dxa"/>
              <w:bottom w:w="113" w:type="dxa"/>
            </w:tcMar>
          </w:tcPr>
          <w:p w14:paraId="3639C60A" w14:textId="77777777" w:rsidR="00263723" w:rsidRPr="00BD308F" w:rsidRDefault="00263723" w:rsidP="0031289D">
            <w:pPr>
              <w:bidi/>
              <w:spacing w:before="120" w:after="120" w:line="280" w:lineRule="exact"/>
              <w:rPr>
                <w:rFonts w:ascii="Arabic Typesetting" w:eastAsia="Arabic Typesetting" w:hAnsi="Arabic Typesetting" w:cs="Arabic Typesetting"/>
                <w:color w:val="000000"/>
                <w:sz w:val="28"/>
                <w:szCs w:val="28"/>
                <w:lang w:eastAsia="ar-EG" w:bidi="ar-EG"/>
              </w:rPr>
            </w:pPr>
            <w:r w:rsidRPr="00BD308F">
              <w:rPr>
                <w:rFonts w:ascii="Arabic Typesetting" w:eastAsia="Arabic Typesetting" w:hAnsi="Arabic Typesetting" w:cs="Arabic Typesetting"/>
                <w:color w:val="000000"/>
                <w:sz w:val="28"/>
                <w:szCs w:val="28"/>
                <w:rtl/>
                <w:lang w:eastAsia="ar-EG" w:bidi="ar-EG"/>
              </w:rPr>
              <w:t>ه3.2 إنتاجية وجودة خدمات محسّنة في عمليات معاهدة التعاون بشأن البراءات</w:t>
            </w:r>
            <w:r w:rsidRPr="00BD308F">
              <w:rPr>
                <w:rFonts w:ascii="Arabic Typesetting" w:eastAsia="Arabic Typesetting" w:hAnsi="Arabic Typesetting" w:cs="Arabic Typesetting"/>
                <w:color w:val="000000"/>
                <w:sz w:val="28"/>
                <w:szCs w:val="28"/>
                <w:lang w:eastAsia="ar-EG" w:bidi="ar-EG"/>
              </w:rPr>
              <w:t xml:space="preserve"> </w:t>
            </w:r>
          </w:p>
        </w:tc>
        <w:tc>
          <w:tcPr>
            <w:tcW w:w="2063" w:type="pct"/>
            <w:shd w:val="clear" w:color="auto" w:fill="auto"/>
            <w:tcMar>
              <w:top w:w="57" w:type="dxa"/>
              <w:bottom w:w="113" w:type="dxa"/>
            </w:tcMar>
          </w:tcPr>
          <w:p w14:paraId="616F30B1" w14:textId="7CEA32AE"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noProof/>
                <w:sz w:val="28"/>
                <w:szCs w:val="28"/>
                <w:rtl/>
                <w:lang w:eastAsia="zh-CN"/>
              </w:rPr>
              <w:t>الجودة الإجمالية لإجراءات الفحص الشكلية (بما في ذلك احترام</w:t>
            </w:r>
            <w:r>
              <w:rPr>
                <w:rFonts w:hint="cs"/>
                <w:rtl/>
                <w:lang w:eastAsia="zh-CN"/>
              </w:rPr>
              <w:t> </w:t>
            </w:r>
            <w:r w:rsidRPr="00263723">
              <w:rPr>
                <w:rFonts w:ascii="Arabic Typesetting" w:eastAsia="SimSun" w:hAnsi="Arabic Typesetting" w:cs="Arabic Typesetting"/>
                <w:noProof/>
                <w:sz w:val="28"/>
                <w:szCs w:val="28"/>
                <w:rtl/>
                <w:lang w:eastAsia="zh-CN"/>
              </w:rPr>
              <w:t>المواعيد)</w:t>
            </w:r>
          </w:p>
        </w:tc>
        <w:tc>
          <w:tcPr>
            <w:tcW w:w="832" w:type="pct"/>
            <w:shd w:val="clear" w:color="auto" w:fill="FFFFFF"/>
            <w:tcMar>
              <w:top w:w="57" w:type="dxa"/>
              <w:bottom w:w="113" w:type="dxa"/>
            </w:tcMar>
          </w:tcPr>
          <w:p w14:paraId="01ABE5F3"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5</w:t>
            </w:r>
          </w:p>
        </w:tc>
        <w:tc>
          <w:tcPr>
            <w:tcW w:w="659" w:type="pct"/>
            <w:shd w:val="clear" w:color="auto" w:fill="FFFFFF"/>
            <w:tcMar>
              <w:top w:w="57" w:type="dxa"/>
            </w:tcMar>
          </w:tcPr>
          <w:p w14:paraId="3AA1411E"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1DF73344" w14:textId="77777777" w:rsidTr="007B75FB">
        <w:trPr>
          <w:cantSplit/>
          <w:trHeight w:val="20"/>
        </w:trPr>
        <w:tc>
          <w:tcPr>
            <w:tcW w:w="1446" w:type="pct"/>
            <w:vMerge/>
            <w:shd w:val="clear" w:color="auto" w:fill="auto"/>
            <w:tcMar>
              <w:top w:w="57" w:type="dxa"/>
              <w:bottom w:w="113" w:type="dxa"/>
            </w:tcMar>
          </w:tcPr>
          <w:p w14:paraId="168FAE50" w14:textId="77777777" w:rsidR="00263723" w:rsidRPr="00BD308F" w:rsidRDefault="00263723" w:rsidP="0031289D">
            <w:pPr>
              <w:bidi/>
              <w:spacing w:before="120" w:after="120" w:line="280" w:lineRule="exact"/>
              <w:rPr>
                <w:rFonts w:ascii="Arabic Typesetting" w:eastAsia="Arabic Typesetting" w:hAnsi="Arabic Typesetting" w:cs="Arabic Typesetting"/>
                <w:color w:val="000000"/>
                <w:sz w:val="28"/>
                <w:szCs w:val="28"/>
                <w:lang w:eastAsia="ar-EG" w:bidi="ar-EG"/>
              </w:rPr>
            </w:pPr>
          </w:p>
        </w:tc>
        <w:tc>
          <w:tcPr>
            <w:tcW w:w="2063" w:type="pct"/>
            <w:shd w:val="clear" w:color="auto" w:fill="auto"/>
            <w:tcMar>
              <w:top w:w="57" w:type="dxa"/>
              <w:bottom w:w="113" w:type="dxa"/>
            </w:tcMar>
          </w:tcPr>
          <w:p w14:paraId="211F00C4"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noProof/>
                <w:sz w:val="28"/>
                <w:szCs w:val="28"/>
                <w:rtl/>
                <w:lang w:eastAsia="zh-CN"/>
              </w:rPr>
              <w:t>تكلفة كل طلب</w:t>
            </w:r>
          </w:p>
        </w:tc>
        <w:tc>
          <w:tcPr>
            <w:tcW w:w="832" w:type="pct"/>
            <w:shd w:val="clear" w:color="auto" w:fill="FFFFFF"/>
            <w:tcMar>
              <w:top w:w="57" w:type="dxa"/>
              <w:bottom w:w="113" w:type="dxa"/>
            </w:tcMar>
          </w:tcPr>
          <w:p w14:paraId="3D6D208B"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5</w:t>
            </w:r>
          </w:p>
        </w:tc>
        <w:tc>
          <w:tcPr>
            <w:tcW w:w="659" w:type="pct"/>
            <w:shd w:val="clear" w:color="auto" w:fill="FFFFFF"/>
            <w:tcMar>
              <w:top w:w="57" w:type="dxa"/>
            </w:tcMar>
          </w:tcPr>
          <w:p w14:paraId="1E8636F6"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7FFD3E52" w14:textId="77777777" w:rsidTr="007B75FB">
        <w:trPr>
          <w:cantSplit/>
          <w:trHeight w:val="20"/>
        </w:trPr>
        <w:tc>
          <w:tcPr>
            <w:tcW w:w="1446" w:type="pct"/>
            <w:vMerge/>
            <w:shd w:val="clear" w:color="auto" w:fill="auto"/>
            <w:tcMar>
              <w:top w:w="57" w:type="dxa"/>
              <w:bottom w:w="113" w:type="dxa"/>
            </w:tcMar>
          </w:tcPr>
          <w:p w14:paraId="2F767E83" w14:textId="77777777" w:rsidR="00263723" w:rsidRPr="00BD308F" w:rsidRDefault="00263723" w:rsidP="0031289D">
            <w:pPr>
              <w:bidi/>
              <w:spacing w:before="120" w:after="120" w:line="280" w:lineRule="exact"/>
              <w:rPr>
                <w:rFonts w:ascii="Arabic Typesetting" w:eastAsia="Arabic Typesetting" w:hAnsi="Arabic Typesetting" w:cs="Arabic Typesetting"/>
                <w:color w:val="000000"/>
                <w:sz w:val="28"/>
                <w:szCs w:val="28"/>
                <w:lang w:eastAsia="ar-EG" w:bidi="ar-EG"/>
              </w:rPr>
            </w:pPr>
          </w:p>
        </w:tc>
        <w:tc>
          <w:tcPr>
            <w:tcW w:w="2063" w:type="pct"/>
            <w:shd w:val="clear" w:color="auto" w:fill="auto"/>
            <w:tcMar>
              <w:top w:w="57" w:type="dxa"/>
              <w:bottom w:w="113" w:type="dxa"/>
            </w:tcMar>
          </w:tcPr>
          <w:p w14:paraId="6FE03404"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noProof/>
                <w:sz w:val="28"/>
                <w:szCs w:val="28"/>
                <w:rtl/>
                <w:lang w:eastAsia="zh-CN"/>
              </w:rPr>
              <w:t>مستويات خدمة أنظمة المعلومات</w:t>
            </w:r>
          </w:p>
        </w:tc>
        <w:tc>
          <w:tcPr>
            <w:tcW w:w="832" w:type="pct"/>
            <w:shd w:val="clear" w:color="auto" w:fill="FFFFFF"/>
            <w:tcMar>
              <w:top w:w="57" w:type="dxa"/>
              <w:bottom w:w="113" w:type="dxa"/>
            </w:tcMar>
          </w:tcPr>
          <w:p w14:paraId="073861C9"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5</w:t>
            </w:r>
          </w:p>
        </w:tc>
        <w:tc>
          <w:tcPr>
            <w:tcW w:w="659" w:type="pct"/>
            <w:shd w:val="clear" w:color="auto" w:fill="FFFFFF"/>
            <w:tcMar>
              <w:top w:w="57" w:type="dxa"/>
            </w:tcMar>
          </w:tcPr>
          <w:p w14:paraId="190C17E4"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07F31D3B" w14:textId="77777777" w:rsidTr="007B75FB">
        <w:trPr>
          <w:cantSplit/>
          <w:trHeight w:val="20"/>
        </w:trPr>
        <w:tc>
          <w:tcPr>
            <w:tcW w:w="1446" w:type="pct"/>
            <w:vMerge/>
            <w:shd w:val="clear" w:color="auto" w:fill="auto"/>
            <w:tcMar>
              <w:top w:w="57" w:type="dxa"/>
              <w:bottom w:w="113" w:type="dxa"/>
            </w:tcMar>
          </w:tcPr>
          <w:p w14:paraId="314CCE58" w14:textId="77777777" w:rsidR="00263723" w:rsidRPr="00BD308F" w:rsidRDefault="00263723" w:rsidP="0031289D">
            <w:pPr>
              <w:bidi/>
              <w:spacing w:before="120" w:after="120" w:line="280" w:lineRule="exact"/>
              <w:rPr>
                <w:rFonts w:ascii="Arabic Typesetting" w:eastAsia="Arabic Typesetting" w:hAnsi="Arabic Typesetting" w:cs="Arabic Typesetting"/>
                <w:color w:val="000000"/>
                <w:sz w:val="28"/>
                <w:szCs w:val="28"/>
                <w:lang w:eastAsia="ar-EG" w:bidi="ar-EG"/>
              </w:rPr>
            </w:pPr>
          </w:p>
        </w:tc>
        <w:tc>
          <w:tcPr>
            <w:tcW w:w="2063" w:type="pct"/>
            <w:shd w:val="clear" w:color="auto" w:fill="auto"/>
            <w:tcMar>
              <w:top w:w="57" w:type="dxa"/>
              <w:bottom w:w="113" w:type="dxa"/>
            </w:tcMar>
          </w:tcPr>
          <w:p w14:paraId="6A94D7DD"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noProof/>
                <w:sz w:val="28"/>
                <w:szCs w:val="28"/>
                <w:rtl/>
                <w:lang w:eastAsia="zh-CN"/>
              </w:rPr>
              <w:t>جودة تطوير البرمجيات</w:t>
            </w:r>
          </w:p>
        </w:tc>
        <w:tc>
          <w:tcPr>
            <w:tcW w:w="832" w:type="pct"/>
            <w:shd w:val="clear" w:color="auto" w:fill="FFFFFF"/>
            <w:tcMar>
              <w:top w:w="57" w:type="dxa"/>
              <w:bottom w:w="113" w:type="dxa"/>
            </w:tcMar>
          </w:tcPr>
          <w:p w14:paraId="6B2A2794"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5</w:t>
            </w:r>
          </w:p>
        </w:tc>
        <w:tc>
          <w:tcPr>
            <w:tcW w:w="659" w:type="pct"/>
            <w:shd w:val="clear" w:color="auto" w:fill="FFFFFF"/>
            <w:tcMar>
              <w:top w:w="57" w:type="dxa"/>
            </w:tcMar>
          </w:tcPr>
          <w:p w14:paraId="4B3D40FE"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246849F2" w14:textId="77777777" w:rsidTr="007B75FB">
        <w:trPr>
          <w:cantSplit/>
          <w:trHeight w:val="20"/>
        </w:trPr>
        <w:tc>
          <w:tcPr>
            <w:tcW w:w="1446" w:type="pct"/>
            <w:vMerge/>
            <w:shd w:val="clear" w:color="auto" w:fill="auto"/>
            <w:tcMar>
              <w:top w:w="57" w:type="dxa"/>
              <w:bottom w:w="113" w:type="dxa"/>
            </w:tcMar>
          </w:tcPr>
          <w:p w14:paraId="14B50274" w14:textId="77777777" w:rsidR="00263723" w:rsidRPr="00BD308F" w:rsidRDefault="00263723" w:rsidP="0031289D">
            <w:pPr>
              <w:bidi/>
              <w:spacing w:before="120" w:after="120" w:line="280" w:lineRule="exact"/>
              <w:rPr>
                <w:rFonts w:ascii="Arabic Typesetting" w:eastAsia="Arabic Typesetting" w:hAnsi="Arabic Typesetting" w:cs="Arabic Typesetting"/>
                <w:color w:val="000000"/>
                <w:sz w:val="28"/>
                <w:szCs w:val="28"/>
                <w:lang w:eastAsia="ar-EG" w:bidi="ar-EG"/>
              </w:rPr>
            </w:pPr>
          </w:p>
        </w:tc>
        <w:tc>
          <w:tcPr>
            <w:tcW w:w="2063" w:type="pct"/>
            <w:shd w:val="clear" w:color="auto" w:fill="auto"/>
            <w:tcMar>
              <w:top w:w="57" w:type="dxa"/>
              <w:bottom w:w="113" w:type="dxa"/>
            </w:tcMar>
          </w:tcPr>
          <w:p w14:paraId="7F2BE172"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noProof/>
                <w:sz w:val="28"/>
                <w:szCs w:val="28"/>
                <w:rtl/>
                <w:lang w:eastAsia="zh-CN"/>
              </w:rPr>
              <w:t>جودة الترجمة</w:t>
            </w:r>
          </w:p>
        </w:tc>
        <w:tc>
          <w:tcPr>
            <w:tcW w:w="832" w:type="pct"/>
            <w:shd w:val="clear" w:color="auto" w:fill="FFFFFF"/>
            <w:tcMar>
              <w:top w:w="57" w:type="dxa"/>
              <w:bottom w:w="113" w:type="dxa"/>
            </w:tcMar>
          </w:tcPr>
          <w:p w14:paraId="5174D34A"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5</w:t>
            </w:r>
          </w:p>
        </w:tc>
        <w:tc>
          <w:tcPr>
            <w:tcW w:w="659" w:type="pct"/>
            <w:shd w:val="clear" w:color="auto" w:fill="FFFFFF"/>
            <w:tcMar>
              <w:top w:w="57" w:type="dxa"/>
            </w:tcMar>
          </w:tcPr>
          <w:p w14:paraId="09DAA7E9"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56114AAC" w14:textId="77777777" w:rsidTr="007B75FB">
        <w:trPr>
          <w:cantSplit/>
          <w:trHeight w:val="26"/>
        </w:trPr>
        <w:tc>
          <w:tcPr>
            <w:tcW w:w="1446" w:type="pct"/>
            <w:shd w:val="clear" w:color="auto" w:fill="auto"/>
            <w:tcMar>
              <w:top w:w="57" w:type="dxa"/>
              <w:bottom w:w="113" w:type="dxa"/>
            </w:tcMar>
          </w:tcPr>
          <w:p w14:paraId="4FE99A83" w14:textId="77777777" w:rsidR="00263723" w:rsidRPr="00BD308F" w:rsidRDefault="00263723" w:rsidP="0031289D">
            <w:pPr>
              <w:bidi/>
              <w:spacing w:before="120" w:after="120" w:line="280" w:lineRule="exact"/>
              <w:rPr>
                <w:rFonts w:ascii="Arabic Typesetting" w:eastAsia="Arabic Typesetting" w:hAnsi="Arabic Typesetting" w:cs="Arabic Typesetting"/>
                <w:color w:val="000000"/>
                <w:sz w:val="28"/>
                <w:szCs w:val="28"/>
                <w:lang w:eastAsia="ar-EG" w:bidi="ar-EG"/>
              </w:rPr>
            </w:pPr>
          </w:p>
        </w:tc>
        <w:tc>
          <w:tcPr>
            <w:tcW w:w="2063" w:type="pct"/>
            <w:shd w:val="clear" w:color="auto" w:fill="auto"/>
            <w:tcMar>
              <w:top w:w="57" w:type="dxa"/>
              <w:bottom w:w="113" w:type="dxa"/>
            </w:tcMar>
          </w:tcPr>
          <w:p w14:paraId="4FD96603"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noProof/>
                <w:sz w:val="28"/>
                <w:szCs w:val="28"/>
                <w:rtl/>
                <w:lang w:eastAsia="zh-CN"/>
              </w:rPr>
              <w:t>احترام المواعيد في ترجمة التقارير</w:t>
            </w:r>
          </w:p>
        </w:tc>
        <w:tc>
          <w:tcPr>
            <w:tcW w:w="832" w:type="pct"/>
            <w:shd w:val="clear" w:color="auto" w:fill="FFFFFF"/>
            <w:tcMar>
              <w:top w:w="57" w:type="dxa"/>
              <w:bottom w:w="113" w:type="dxa"/>
            </w:tcMar>
          </w:tcPr>
          <w:p w14:paraId="622B536F"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5</w:t>
            </w:r>
          </w:p>
        </w:tc>
        <w:tc>
          <w:tcPr>
            <w:tcW w:w="659" w:type="pct"/>
            <w:shd w:val="clear" w:color="auto" w:fill="FFFFFF"/>
            <w:tcMar>
              <w:top w:w="57" w:type="dxa"/>
            </w:tcMar>
          </w:tcPr>
          <w:p w14:paraId="332CBB11"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61AFB8F1" w14:textId="77777777" w:rsidTr="007B75FB">
        <w:trPr>
          <w:cantSplit/>
          <w:trHeight w:val="30"/>
        </w:trPr>
        <w:tc>
          <w:tcPr>
            <w:tcW w:w="1446" w:type="pct"/>
            <w:vMerge w:val="restart"/>
            <w:shd w:val="clear" w:color="auto" w:fill="auto"/>
            <w:tcMar>
              <w:top w:w="57" w:type="dxa"/>
              <w:bottom w:w="113" w:type="dxa"/>
            </w:tcMar>
          </w:tcPr>
          <w:p w14:paraId="706A9DF8" w14:textId="77777777" w:rsidR="00263723" w:rsidRPr="00BD308F" w:rsidRDefault="00263723" w:rsidP="0031289D">
            <w:pPr>
              <w:bidi/>
              <w:spacing w:before="120" w:after="120" w:line="280" w:lineRule="exact"/>
              <w:rPr>
                <w:rFonts w:ascii="Arabic Typesetting" w:eastAsia="Arabic Typesetting" w:hAnsi="Arabic Typesetting" w:cs="Arabic Typesetting"/>
                <w:color w:val="000000"/>
                <w:sz w:val="28"/>
                <w:szCs w:val="28"/>
                <w:lang w:eastAsia="ar-EG" w:bidi="ar-EG"/>
              </w:rPr>
            </w:pPr>
            <w:r w:rsidRPr="00263723">
              <w:rPr>
                <w:rFonts w:ascii="Arabic Typesetting" w:eastAsia="Arabic Typesetting" w:hAnsi="Arabic Typesetting" w:cs="Arabic Typesetting"/>
                <w:color w:val="000000"/>
                <w:sz w:val="28"/>
                <w:szCs w:val="28"/>
                <w:rtl/>
                <w:lang w:eastAsia="ar-EG" w:bidi="ar-EG"/>
              </w:rPr>
              <w:t>ه4.2 استخدام نظام لاهاي على نطاق أوسع وبفعالية أكبر، بما في ذلك من قبل البلدان النامية والبلدان الأقل نموا</w:t>
            </w:r>
            <w:r w:rsidRPr="00BD308F">
              <w:rPr>
                <w:rFonts w:ascii="Arabic Typesetting" w:eastAsia="Arabic Typesetting" w:hAnsi="Arabic Typesetting" w:cs="Arabic Typesetting"/>
                <w:color w:val="000000"/>
                <w:sz w:val="28"/>
                <w:szCs w:val="28"/>
                <w:lang w:eastAsia="ar-EG" w:bidi="ar-EG"/>
              </w:rPr>
              <w:t xml:space="preserve"> </w:t>
            </w:r>
          </w:p>
        </w:tc>
        <w:tc>
          <w:tcPr>
            <w:tcW w:w="2063" w:type="pct"/>
            <w:shd w:val="clear" w:color="auto" w:fill="auto"/>
            <w:tcMar>
              <w:top w:w="57" w:type="dxa"/>
              <w:bottom w:w="113" w:type="dxa"/>
            </w:tcMar>
          </w:tcPr>
          <w:p w14:paraId="453B2C1A" w14:textId="3F6E22BD" w:rsidR="00263723" w:rsidRPr="00263723" w:rsidRDefault="00263723" w:rsidP="0031289D">
            <w:pPr>
              <w:bidi/>
              <w:spacing w:before="120" w:after="120" w:line="280" w:lineRule="exact"/>
              <w:rPr>
                <w:rFonts w:ascii="Arabic Typesetting" w:eastAsia="SimSun" w:hAnsi="Arabic Typesetting" w:cs="Arabic Typesetting"/>
                <w:color w:val="000000" w:themeColor="text1"/>
                <w:sz w:val="28"/>
                <w:szCs w:val="28"/>
                <w:lang w:eastAsia="zh-CN"/>
              </w:rPr>
            </w:pPr>
            <w:r w:rsidRPr="00263723">
              <w:rPr>
                <w:rFonts w:ascii="Arabic Typesetting" w:eastAsia="Arabic Typesetting" w:hAnsi="Arabic Typesetting" w:cs="Arabic Typesetting"/>
                <w:color w:val="000000"/>
                <w:sz w:val="28"/>
                <w:szCs w:val="28"/>
                <w:rtl/>
                <w:lang w:eastAsia="ar-EG" w:bidi="ar-EG"/>
              </w:rPr>
              <w:t xml:space="preserve">عدد الطلبات المودعة بناء على نظام لاهاي والصادرة من </w:t>
            </w:r>
            <w:r w:rsidRPr="00263723">
              <w:rPr>
                <w:rFonts w:ascii="Arabic Typesetting" w:eastAsia="Arabic Typesetting" w:hAnsi="Arabic Typesetting" w:cs="Arabic Typesetting" w:hint="cs"/>
                <w:color w:val="000000"/>
                <w:sz w:val="28"/>
                <w:szCs w:val="28"/>
                <w:rtl/>
                <w:lang w:eastAsia="ar-EG" w:bidi="ar-EG"/>
              </w:rPr>
              <w:t>البلدان النامية و</w:t>
            </w:r>
            <w:r w:rsidR="00AF6433">
              <w:rPr>
                <w:rFonts w:ascii="Arabic Typesetting" w:eastAsia="Arabic Typesetting" w:hAnsi="Arabic Typesetting" w:cs="Arabic Typesetting"/>
                <w:color w:val="000000"/>
                <w:sz w:val="28"/>
                <w:szCs w:val="28"/>
                <w:rtl/>
                <w:lang w:eastAsia="ar-EG" w:bidi="ar-EG"/>
              </w:rPr>
              <w:t>البلدان المتحولة</w:t>
            </w:r>
            <w:r w:rsidRPr="00263723">
              <w:rPr>
                <w:rFonts w:ascii="Arabic Typesetting" w:eastAsia="Arabic Typesetting" w:hAnsi="Arabic Typesetting" w:cs="Arabic Typesetting"/>
                <w:color w:val="000000"/>
                <w:sz w:val="28"/>
                <w:szCs w:val="28"/>
                <w:rtl/>
                <w:lang w:eastAsia="ar-EG" w:bidi="ar-EG"/>
              </w:rPr>
              <w:t xml:space="preserve"> والبلدان المتقدمة</w:t>
            </w:r>
          </w:p>
        </w:tc>
        <w:tc>
          <w:tcPr>
            <w:tcW w:w="832" w:type="pct"/>
            <w:shd w:val="clear" w:color="auto" w:fill="FFFFFF"/>
            <w:tcMar>
              <w:top w:w="57" w:type="dxa"/>
              <w:bottom w:w="113" w:type="dxa"/>
            </w:tcMar>
          </w:tcPr>
          <w:p w14:paraId="0A17C8C6" w14:textId="3FA73193"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9</w:t>
            </w:r>
          </w:p>
          <w:p w14:paraId="79B4F282" w14:textId="0C25B1B1"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10</w:t>
            </w:r>
          </w:p>
          <w:p w14:paraId="78C602B6"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20</w:t>
            </w:r>
          </w:p>
        </w:tc>
        <w:tc>
          <w:tcPr>
            <w:tcW w:w="659" w:type="pct"/>
            <w:shd w:val="clear" w:color="auto" w:fill="FFFFFF"/>
            <w:tcMar>
              <w:top w:w="57" w:type="dxa"/>
            </w:tcMar>
          </w:tcPr>
          <w:p w14:paraId="5F62FEBF"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FF000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p w14:paraId="73D3BE2D"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p w14:paraId="1D33A78E"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7E764E3D" w14:textId="77777777" w:rsidTr="007B75FB">
        <w:trPr>
          <w:cantSplit/>
          <w:trHeight w:val="397"/>
        </w:trPr>
        <w:tc>
          <w:tcPr>
            <w:tcW w:w="1446" w:type="pct"/>
            <w:vMerge/>
            <w:shd w:val="clear" w:color="auto" w:fill="auto"/>
            <w:tcMar>
              <w:top w:w="57" w:type="dxa"/>
              <w:bottom w:w="113" w:type="dxa"/>
            </w:tcMar>
          </w:tcPr>
          <w:p w14:paraId="2D56E4E5"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7997FBE1" w14:textId="397B1465" w:rsidR="00263723" w:rsidRPr="00263723" w:rsidRDefault="00EF3FA1" w:rsidP="0031289D">
            <w:pPr>
              <w:bidi/>
              <w:spacing w:before="120" w:after="120" w:line="280" w:lineRule="exact"/>
              <w:rPr>
                <w:rFonts w:ascii="Arabic Typesetting" w:eastAsia="SimSun" w:hAnsi="Arabic Typesetting" w:cs="Arabic Typesetting"/>
                <w:sz w:val="28"/>
                <w:szCs w:val="28"/>
                <w:lang w:eastAsia="zh-CN"/>
              </w:rPr>
            </w:pPr>
            <w:r w:rsidRPr="000D515F">
              <w:rPr>
                <w:rFonts w:ascii="Arabic Typesetting" w:hAnsi="Arabic Typesetting" w:cs="Arabic Typesetting"/>
                <w:color w:val="000000"/>
                <w:sz w:val="28"/>
                <w:szCs w:val="28"/>
                <w:rtl/>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لاهاي</w:t>
            </w:r>
          </w:p>
        </w:tc>
        <w:tc>
          <w:tcPr>
            <w:tcW w:w="832" w:type="pct"/>
            <w:shd w:val="clear" w:color="auto" w:fill="FFFFFF"/>
            <w:tcMar>
              <w:top w:w="57" w:type="dxa"/>
              <w:bottom w:w="113" w:type="dxa"/>
            </w:tcMar>
          </w:tcPr>
          <w:p w14:paraId="56A6ED02"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20</w:t>
            </w:r>
          </w:p>
        </w:tc>
        <w:tc>
          <w:tcPr>
            <w:tcW w:w="659" w:type="pct"/>
            <w:shd w:val="clear" w:color="auto" w:fill="FFFFFF"/>
            <w:tcMar>
              <w:top w:w="57" w:type="dxa"/>
            </w:tcMar>
          </w:tcPr>
          <w:p w14:paraId="5CDF52BF"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808080"/>
                <w:sz w:val="28"/>
                <w:szCs w:val="28"/>
                <w:lang w:eastAsia="zh-CN"/>
              </w:rPr>
              <w:sym w:font="Wingdings" w:char="F06C"/>
            </w:r>
            <w:r w:rsidRPr="00263723">
              <w:rPr>
                <w:rFonts w:ascii="Arabic Typesetting" w:eastAsia="SimSun" w:hAnsi="Arabic Typesetting" w:cs="Arabic Typesetting"/>
                <w:color w:val="FF000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01C925C5" w14:textId="77777777" w:rsidTr="007B75FB">
        <w:trPr>
          <w:cantSplit/>
          <w:trHeight w:val="170"/>
        </w:trPr>
        <w:tc>
          <w:tcPr>
            <w:tcW w:w="1446" w:type="pct"/>
            <w:shd w:val="clear" w:color="auto" w:fill="auto"/>
            <w:tcMar>
              <w:top w:w="57" w:type="dxa"/>
              <w:bottom w:w="113" w:type="dxa"/>
            </w:tcMar>
          </w:tcPr>
          <w:p w14:paraId="1BA466BC"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0D05F56B"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عضوية وثيقة جنيف (1999)</w:t>
            </w:r>
          </w:p>
        </w:tc>
        <w:tc>
          <w:tcPr>
            <w:tcW w:w="832" w:type="pct"/>
            <w:shd w:val="clear" w:color="auto" w:fill="FFFFFF"/>
            <w:tcMar>
              <w:top w:w="57" w:type="dxa"/>
              <w:bottom w:w="113" w:type="dxa"/>
            </w:tcMar>
          </w:tcPr>
          <w:p w14:paraId="38A4C969"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20</w:t>
            </w:r>
          </w:p>
          <w:p w14:paraId="24CF9C2F"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31</w:t>
            </w:r>
          </w:p>
        </w:tc>
        <w:tc>
          <w:tcPr>
            <w:tcW w:w="659" w:type="pct"/>
            <w:shd w:val="clear" w:color="auto" w:fill="FFFFFF"/>
            <w:tcMar>
              <w:top w:w="57" w:type="dxa"/>
            </w:tcMar>
          </w:tcPr>
          <w:p w14:paraId="4BA78526"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FF0000"/>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p w14:paraId="74ABE6FB"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tc>
      </w:tr>
      <w:tr w:rsidR="00263723" w:rsidRPr="00263723" w14:paraId="693B362E" w14:textId="77777777" w:rsidTr="007B75FB">
        <w:trPr>
          <w:cantSplit/>
          <w:trHeight w:val="108"/>
        </w:trPr>
        <w:tc>
          <w:tcPr>
            <w:tcW w:w="1446" w:type="pct"/>
            <w:shd w:val="clear" w:color="auto" w:fill="auto"/>
            <w:tcMar>
              <w:top w:w="57" w:type="dxa"/>
              <w:bottom w:w="113" w:type="dxa"/>
            </w:tcMar>
          </w:tcPr>
          <w:p w14:paraId="1CBAB057"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410BAECF"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إيداعات وتجديدات في نظام</w:t>
            </w:r>
            <w:r w:rsidRPr="00263723">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لاهاي</w:t>
            </w:r>
          </w:p>
        </w:tc>
        <w:tc>
          <w:tcPr>
            <w:tcW w:w="832" w:type="pct"/>
            <w:shd w:val="clear" w:color="auto" w:fill="FFFFFF"/>
            <w:tcMar>
              <w:top w:w="57" w:type="dxa"/>
              <w:bottom w:w="113" w:type="dxa"/>
            </w:tcMar>
          </w:tcPr>
          <w:p w14:paraId="783E0453"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31</w:t>
            </w:r>
          </w:p>
        </w:tc>
        <w:tc>
          <w:tcPr>
            <w:tcW w:w="659" w:type="pct"/>
            <w:shd w:val="clear" w:color="auto" w:fill="FFFFFF"/>
            <w:tcMar>
              <w:top w:w="57" w:type="dxa"/>
            </w:tcMar>
          </w:tcPr>
          <w:p w14:paraId="7E38EF24"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FF000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6AE575A6" w14:textId="77777777" w:rsidTr="007B75FB">
        <w:trPr>
          <w:cantSplit/>
          <w:trHeight w:val="26"/>
        </w:trPr>
        <w:tc>
          <w:tcPr>
            <w:tcW w:w="1446" w:type="pct"/>
            <w:shd w:val="clear" w:color="auto" w:fill="auto"/>
            <w:tcMar>
              <w:top w:w="57" w:type="dxa"/>
              <w:bottom w:w="113" w:type="dxa"/>
            </w:tcMar>
          </w:tcPr>
          <w:p w14:paraId="1F9A7787"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03E83057" w14:textId="09701D89"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حصة المكاتب المعنية التي تقدم معلومات عن نظام لاهاي</w:t>
            </w:r>
            <w:r>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لمستخدميها</w:t>
            </w:r>
          </w:p>
        </w:tc>
        <w:tc>
          <w:tcPr>
            <w:tcW w:w="832" w:type="pct"/>
            <w:shd w:val="clear" w:color="auto" w:fill="FFFFFF"/>
            <w:tcMar>
              <w:top w:w="57" w:type="dxa"/>
              <w:bottom w:w="113" w:type="dxa"/>
            </w:tcMar>
          </w:tcPr>
          <w:p w14:paraId="7D933937"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31</w:t>
            </w:r>
          </w:p>
        </w:tc>
        <w:tc>
          <w:tcPr>
            <w:tcW w:w="659" w:type="pct"/>
            <w:shd w:val="clear" w:color="auto" w:fill="FFFFFF"/>
            <w:tcMar>
              <w:top w:w="57" w:type="dxa"/>
            </w:tcMar>
          </w:tcPr>
          <w:p w14:paraId="1406FB5A"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3B069215" w14:textId="77777777" w:rsidTr="007B75FB">
        <w:trPr>
          <w:cantSplit/>
          <w:trHeight w:val="30"/>
        </w:trPr>
        <w:tc>
          <w:tcPr>
            <w:tcW w:w="1446" w:type="pct"/>
            <w:vMerge w:val="restart"/>
            <w:shd w:val="clear" w:color="auto" w:fill="auto"/>
            <w:tcMar>
              <w:top w:w="57" w:type="dxa"/>
              <w:bottom w:w="113" w:type="dxa"/>
            </w:tcMar>
          </w:tcPr>
          <w:p w14:paraId="7FDF45DB"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hint="cs"/>
                <w:sz w:val="28"/>
                <w:szCs w:val="28"/>
                <w:rtl/>
                <w:lang w:eastAsia="zh-CN"/>
              </w:rPr>
              <w:t xml:space="preserve">ه5.2 </w:t>
            </w:r>
            <w:r w:rsidRPr="00263723">
              <w:rPr>
                <w:rFonts w:ascii="Arabic Typesetting" w:eastAsia="SimSun" w:hAnsi="Arabic Typesetting" w:cs="Arabic Typesetting"/>
                <w:sz w:val="28"/>
                <w:szCs w:val="28"/>
                <w:rtl/>
                <w:lang w:eastAsia="zh-CN"/>
              </w:rPr>
              <w:t>إنتاجية وجودة خدمات محسّنة في عمليات نظام</w:t>
            </w:r>
            <w:r w:rsidRPr="00263723">
              <w:rPr>
                <w:rFonts w:ascii="Arabic Typesetting" w:eastAsia="SimSun" w:hAnsi="Arabic Typesetting" w:cs="Arabic Typesetting" w:hint="cs"/>
                <w:sz w:val="28"/>
                <w:szCs w:val="28"/>
                <w:rtl/>
                <w:lang w:eastAsia="zh-CN"/>
              </w:rPr>
              <w:t xml:space="preserve"> لاهاي</w:t>
            </w:r>
          </w:p>
        </w:tc>
        <w:tc>
          <w:tcPr>
            <w:tcW w:w="2063" w:type="pct"/>
            <w:shd w:val="clear" w:color="auto" w:fill="auto"/>
            <w:tcMar>
              <w:top w:w="57" w:type="dxa"/>
              <w:bottom w:w="113" w:type="dxa"/>
            </w:tcMar>
          </w:tcPr>
          <w:p w14:paraId="7DB4745C" w14:textId="4E3F29EB" w:rsidR="00263723" w:rsidRPr="00263723" w:rsidRDefault="00263723" w:rsidP="0031289D">
            <w:pPr>
              <w:bidi/>
              <w:spacing w:before="120" w:after="120" w:line="280" w:lineRule="exact"/>
              <w:ind w:right="-57"/>
              <w:rPr>
                <w:rFonts w:ascii="Arabic Typesetting" w:eastAsia="Arabic Typesetting" w:hAnsi="Arabic Typesetting" w:cs="Arabic Typesetting"/>
                <w:color w:val="000000"/>
                <w:sz w:val="28"/>
                <w:szCs w:val="28"/>
                <w:lang w:eastAsia="ar-EG" w:bidi="ar-EG"/>
              </w:rPr>
            </w:pPr>
            <w:r w:rsidRPr="00263723">
              <w:rPr>
                <w:rFonts w:ascii="Arabic Typesetting" w:eastAsia="Arabic Typesetting" w:hAnsi="Arabic Typesetting" w:cs="Arabic Typesetting"/>
                <w:color w:val="000000"/>
                <w:sz w:val="28"/>
                <w:szCs w:val="28"/>
                <w:rtl/>
                <w:lang w:eastAsia="ar-EG" w:bidi="ar-EG"/>
              </w:rPr>
              <w:t>3 إصدارات من نظام معلومات السجل الدولي للتصاميم (</w:t>
            </w:r>
            <w:r w:rsidRPr="00263723">
              <w:rPr>
                <w:rFonts w:ascii="Arabic Typesetting" w:eastAsia="Arabic Typesetting" w:hAnsi="Arabic Typesetting" w:cs="Arabic Typesetting"/>
                <w:color w:val="000000"/>
                <w:sz w:val="28"/>
                <w:szCs w:val="28"/>
                <w:lang w:eastAsia="ar-EG" w:bidi="ar-EG"/>
              </w:rPr>
              <w:t>DIRIS</w:t>
            </w:r>
            <w:r w:rsidRPr="00263723">
              <w:rPr>
                <w:rFonts w:ascii="Arabic Typesetting" w:eastAsia="Arabic Typesetting" w:hAnsi="Arabic Typesetting" w:cs="Arabic Typesetting"/>
                <w:color w:val="000000"/>
                <w:sz w:val="28"/>
                <w:szCs w:val="28"/>
                <w:rtl/>
                <w:lang w:eastAsia="ar-EG" w:bidi="ar-EG"/>
              </w:rPr>
              <w:t>) منشورة، و3 إصدارات من نظام لاهاي منشورة</w:t>
            </w:r>
          </w:p>
        </w:tc>
        <w:tc>
          <w:tcPr>
            <w:tcW w:w="832" w:type="pct"/>
            <w:shd w:val="clear" w:color="auto" w:fill="FFFFFF"/>
            <w:tcMar>
              <w:top w:w="57" w:type="dxa"/>
              <w:bottom w:w="113" w:type="dxa"/>
            </w:tcMar>
          </w:tcPr>
          <w:p w14:paraId="0EE0F831"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31</w:t>
            </w:r>
          </w:p>
        </w:tc>
        <w:tc>
          <w:tcPr>
            <w:tcW w:w="659" w:type="pct"/>
            <w:shd w:val="clear" w:color="auto" w:fill="FFFFFF"/>
            <w:tcMar>
              <w:top w:w="57" w:type="dxa"/>
            </w:tcMar>
          </w:tcPr>
          <w:p w14:paraId="679E328F"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435D298F" w14:textId="77777777" w:rsidTr="007B75FB">
        <w:trPr>
          <w:cantSplit/>
          <w:trHeight w:val="30"/>
        </w:trPr>
        <w:tc>
          <w:tcPr>
            <w:tcW w:w="1446" w:type="pct"/>
            <w:vMerge/>
            <w:shd w:val="clear" w:color="auto" w:fill="auto"/>
            <w:tcMar>
              <w:top w:w="57" w:type="dxa"/>
              <w:bottom w:w="113" w:type="dxa"/>
            </w:tcMar>
          </w:tcPr>
          <w:p w14:paraId="061F0C52"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70284D59"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مرونة البيانات المدونة في السجل الدولي</w:t>
            </w:r>
          </w:p>
        </w:tc>
        <w:tc>
          <w:tcPr>
            <w:tcW w:w="832" w:type="pct"/>
            <w:shd w:val="clear" w:color="auto" w:fill="FFFFFF"/>
            <w:tcMar>
              <w:top w:w="57" w:type="dxa"/>
              <w:bottom w:w="113" w:type="dxa"/>
            </w:tcMar>
          </w:tcPr>
          <w:p w14:paraId="552C4BF0"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31</w:t>
            </w:r>
          </w:p>
        </w:tc>
        <w:tc>
          <w:tcPr>
            <w:tcW w:w="659" w:type="pct"/>
            <w:shd w:val="clear" w:color="auto" w:fill="FFFFFF"/>
            <w:tcMar>
              <w:top w:w="57" w:type="dxa"/>
            </w:tcMar>
          </w:tcPr>
          <w:p w14:paraId="1F6A12BA"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tc>
      </w:tr>
      <w:tr w:rsidR="00263723" w:rsidRPr="00263723" w14:paraId="20C24E7E" w14:textId="77777777" w:rsidTr="007B75FB">
        <w:trPr>
          <w:cantSplit/>
          <w:trHeight w:val="30"/>
        </w:trPr>
        <w:tc>
          <w:tcPr>
            <w:tcW w:w="1446" w:type="pct"/>
            <w:vMerge/>
            <w:shd w:val="clear" w:color="auto" w:fill="auto"/>
            <w:tcMar>
              <w:top w:w="57" w:type="dxa"/>
              <w:bottom w:w="113" w:type="dxa"/>
            </w:tcMar>
          </w:tcPr>
          <w:p w14:paraId="6810316F"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50454B09"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تحسّن سير عمل سجل لاهاي، بما في ذلك العمليات والإجراءات الإلكترونية</w:t>
            </w:r>
          </w:p>
        </w:tc>
        <w:tc>
          <w:tcPr>
            <w:tcW w:w="832" w:type="pct"/>
            <w:shd w:val="clear" w:color="auto" w:fill="FFFFFF"/>
            <w:tcMar>
              <w:top w:w="57" w:type="dxa"/>
              <w:bottom w:w="113" w:type="dxa"/>
            </w:tcMar>
          </w:tcPr>
          <w:p w14:paraId="0D5C7EB3"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31</w:t>
            </w:r>
          </w:p>
        </w:tc>
        <w:tc>
          <w:tcPr>
            <w:tcW w:w="659" w:type="pct"/>
            <w:shd w:val="clear" w:color="auto" w:fill="FFFFFF"/>
            <w:tcMar>
              <w:top w:w="57" w:type="dxa"/>
            </w:tcMar>
          </w:tcPr>
          <w:p w14:paraId="3075581E"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tc>
      </w:tr>
      <w:tr w:rsidR="00263723" w:rsidRPr="00263723" w14:paraId="4605A8C9" w14:textId="77777777" w:rsidTr="007B75FB">
        <w:trPr>
          <w:cantSplit/>
          <w:trHeight w:val="30"/>
        </w:trPr>
        <w:tc>
          <w:tcPr>
            <w:tcW w:w="1446" w:type="pct"/>
            <w:vMerge/>
            <w:shd w:val="clear" w:color="auto" w:fill="auto"/>
            <w:tcMar>
              <w:top w:w="57" w:type="dxa"/>
              <w:bottom w:w="113" w:type="dxa"/>
            </w:tcMar>
          </w:tcPr>
          <w:p w14:paraId="5949F836"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05C4118D"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هيمنة وثيقة جنيف (1999) في نظام لاهاي</w:t>
            </w:r>
          </w:p>
        </w:tc>
        <w:tc>
          <w:tcPr>
            <w:tcW w:w="832" w:type="pct"/>
            <w:shd w:val="clear" w:color="auto" w:fill="FFFFFF"/>
            <w:tcMar>
              <w:top w:w="57" w:type="dxa"/>
              <w:bottom w:w="113" w:type="dxa"/>
            </w:tcMar>
          </w:tcPr>
          <w:p w14:paraId="4DE21135"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31</w:t>
            </w:r>
          </w:p>
        </w:tc>
        <w:tc>
          <w:tcPr>
            <w:tcW w:w="659" w:type="pct"/>
            <w:shd w:val="clear" w:color="auto" w:fill="FFFFFF"/>
            <w:tcMar>
              <w:top w:w="57" w:type="dxa"/>
            </w:tcMar>
          </w:tcPr>
          <w:p w14:paraId="74BB06ED"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322D612C" w14:textId="77777777" w:rsidTr="007B75FB">
        <w:trPr>
          <w:cantSplit/>
          <w:trHeight w:val="395"/>
        </w:trPr>
        <w:tc>
          <w:tcPr>
            <w:tcW w:w="1446" w:type="pct"/>
            <w:shd w:val="clear" w:color="auto" w:fill="auto"/>
            <w:tcMar>
              <w:top w:w="57" w:type="dxa"/>
              <w:bottom w:w="113" w:type="dxa"/>
            </w:tcMar>
          </w:tcPr>
          <w:p w14:paraId="6228F611"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5874DC37" w14:textId="36773544"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العمليات والإجراءات مكيفة مع التطور الجغرافي والقانوني</w:t>
            </w:r>
            <w:r>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للنظام</w:t>
            </w:r>
          </w:p>
        </w:tc>
        <w:tc>
          <w:tcPr>
            <w:tcW w:w="832" w:type="pct"/>
            <w:shd w:val="clear" w:color="auto" w:fill="FFFFFF"/>
            <w:tcMar>
              <w:top w:w="57" w:type="dxa"/>
              <w:bottom w:w="113" w:type="dxa"/>
            </w:tcMar>
          </w:tcPr>
          <w:p w14:paraId="1631155B"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31</w:t>
            </w:r>
          </w:p>
        </w:tc>
        <w:tc>
          <w:tcPr>
            <w:tcW w:w="659" w:type="pct"/>
            <w:shd w:val="clear" w:color="auto" w:fill="FFFFFF"/>
            <w:tcMar>
              <w:top w:w="57" w:type="dxa"/>
            </w:tcMar>
          </w:tcPr>
          <w:p w14:paraId="740D02B2"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7A183301" w14:textId="77777777" w:rsidTr="007B75FB">
        <w:trPr>
          <w:cantSplit/>
          <w:trHeight w:val="30"/>
        </w:trPr>
        <w:tc>
          <w:tcPr>
            <w:tcW w:w="1446" w:type="pct"/>
            <w:shd w:val="clear" w:color="auto" w:fill="auto"/>
            <w:tcMar>
              <w:top w:w="57" w:type="dxa"/>
              <w:bottom w:w="113" w:type="dxa"/>
            </w:tcMar>
          </w:tcPr>
          <w:p w14:paraId="11F5AE3A"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1929A75D"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التقدم المحرز نحو تعزيز الإطار</w:t>
            </w:r>
            <w:r w:rsidRPr="00263723">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القانوني</w:t>
            </w:r>
          </w:p>
        </w:tc>
        <w:tc>
          <w:tcPr>
            <w:tcW w:w="832" w:type="pct"/>
            <w:shd w:val="clear" w:color="auto" w:fill="FFFFFF"/>
            <w:tcMar>
              <w:top w:w="57" w:type="dxa"/>
              <w:bottom w:w="113" w:type="dxa"/>
            </w:tcMar>
          </w:tcPr>
          <w:p w14:paraId="6E06486A"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31</w:t>
            </w:r>
          </w:p>
        </w:tc>
        <w:tc>
          <w:tcPr>
            <w:tcW w:w="659" w:type="pct"/>
            <w:shd w:val="clear" w:color="auto" w:fill="FFFFFF"/>
            <w:tcMar>
              <w:top w:w="57" w:type="dxa"/>
            </w:tcMar>
          </w:tcPr>
          <w:p w14:paraId="0214FC1A"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418C73F2" w14:textId="77777777" w:rsidTr="007B75FB">
        <w:trPr>
          <w:cantSplit/>
          <w:trHeight w:val="30"/>
        </w:trPr>
        <w:tc>
          <w:tcPr>
            <w:tcW w:w="1446" w:type="pct"/>
            <w:shd w:val="clear" w:color="auto" w:fill="auto"/>
            <w:tcMar>
              <w:top w:w="57" w:type="dxa"/>
              <w:bottom w:w="113" w:type="dxa"/>
            </w:tcMar>
          </w:tcPr>
          <w:p w14:paraId="0D69AB19"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29D5A08C"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التقديم المستقر لخدمات تكنولوجيا المعلومات المتطورة من قبل مكاتب نظام لاهاي</w:t>
            </w:r>
            <w:r w:rsidRPr="00263723">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الخلفية</w:t>
            </w:r>
          </w:p>
        </w:tc>
        <w:tc>
          <w:tcPr>
            <w:tcW w:w="832" w:type="pct"/>
            <w:shd w:val="clear" w:color="auto" w:fill="FFFFFF"/>
            <w:tcMar>
              <w:top w:w="57" w:type="dxa"/>
              <w:bottom w:w="113" w:type="dxa"/>
            </w:tcMar>
          </w:tcPr>
          <w:p w14:paraId="037CD2C3"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31</w:t>
            </w:r>
          </w:p>
        </w:tc>
        <w:tc>
          <w:tcPr>
            <w:tcW w:w="659" w:type="pct"/>
            <w:shd w:val="clear" w:color="auto" w:fill="FFFFFF"/>
            <w:tcMar>
              <w:top w:w="57" w:type="dxa"/>
            </w:tcMar>
          </w:tcPr>
          <w:p w14:paraId="66AE2348"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64767EEC" w14:textId="77777777" w:rsidTr="007B75FB">
        <w:trPr>
          <w:cantSplit/>
          <w:trHeight w:val="34"/>
        </w:trPr>
        <w:tc>
          <w:tcPr>
            <w:tcW w:w="1446" w:type="pct"/>
            <w:vMerge w:val="restart"/>
            <w:shd w:val="clear" w:color="auto" w:fill="auto"/>
            <w:tcMar>
              <w:top w:w="57" w:type="dxa"/>
              <w:bottom w:w="113" w:type="dxa"/>
            </w:tcMar>
          </w:tcPr>
          <w:p w14:paraId="4448EF3E" w14:textId="7E1D89DF"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 xml:space="preserve">ه6.2 استخدام نظام مدريد على نطاق </w:t>
            </w:r>
            <w:r w:rsidRPr="00263723">
              <w:rPr>
                <w:rFonts w:ascii="Arabic Typesetting" w:eastAsia="Arabic Typesetting" w:hAnsi="Arabic Typesetting" w:cs="Arabic Typesetting"/>
                <w:sz w:val="28"/>
                <w:szCs w:val="28"/>
                <w:rtl/>
                <w:lang w:eastAsia="ar-EG" w:bidi="ar-EG"/>
              </w:rPr>
              <w:t>أوسع</w:t>
            </w:r>
            <w:r w:rsidRPr="00263723">
              <w:rPr>
                <w:rFonts w:ascii="Arabic Typesetting" w:eastAsia="Arabic Typesetting" w:hAnsi="Arabic Typesetting" w:cs="Arabic Typesetting"/>
                <w:color w:val="000000"/>
                <w:sz w:val="28"/>
                <w:szCs w:val="28"/>
                <w:rtl/>
                <w:lang w:eastAsia="ar-EG" w:bidi="ar-EG"/>
              </w:rPr>
              <w:t xml:space="preserve"> وبفعالية أكبر، بما في ذلك من قبل البلدان النامية والبلدان الأقل نموا</w:t>
            </w:r>
          </w:p>
        </w:tc>
        <w:tc>
          <w:tcPr>
            <w:tcW w:w="2063" w:type="pct"/>
            <w:shd w:val="clear" w:color="auto" w:fill="auto"/>
            <w:tcMar>
              <w:top w:w="57" w:type="dxa"/>
              <w:bottom w:w="113" w:type="dxa"/>
            </w:tcMar>
          </w:tcPr>
          <w:p w14:paraId="3D0EFFAE"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معدل الإيداع (مدريد)</w:t>
            </w:r>
          </w:p>
        </w:tc>
        <w:tc>
          <w:tcPr>
            <w:tcW w:w="832" w:type="pct"/>
            <w:shd w:val="clear" w:color="auto" w:fill="FFFFFF"/>
            <w:tcMar>
              <w:top w:w="57" w:type="dxa"/>
              <w:bottom w:w="113" w:type="dxa"/>
            </w:tcMar>
          </w:tcPr>
          <w:p w14:paraId="03738E1B"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031F57C3"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3C4B9FB9" w14:textId="77777777" w:rsidTr="007B75FB">
        <w:trPr>
          <w:cantSplit/>
          <w:trHeight w:val="30"/>
        </w:trPr>
        <w:tc>
          <w:tcPr>
            <w:tcW w:w="1446" w:type="pct"/>
            <w:vMerge/>
            <w:shd w:val="clear" w:color="auto" w:fill="auto"/>
            <w:tcMar>
              <w:top w:w="57" w:type="dxa"/>
              <w:bottom w:w="113" w:type="dxa"/>
            </w:tcMar>
          </w:tcPr>
          <w:p w14:paraId="30F00E96"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046C5BB9"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إدخال تحسينات وظيفية في نظام مدريد</w:t>
            </w:r>
          </w:p>
        </w:tc>
        <w:tc>
          <w:tcPr>
            <w:tcW w:w="832" w:type="pct"/>
            <w:shd w:val="clear" w:color="auto" w:fill="FFFFFF"/>
            <w:tcMar>
              <w:top w:w="57" w:type="dxa"/>
              <w:bottom w:w="113" w:type="dxa"/>
            </w:tcMar>
          </w:tcPr>
          <w:p w14:paraId="4C0789C5"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583D21EF"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63BB514E" w14:textId="77777777" w:rsidTr="007B75FB">
        <w:trPr>
          <w:cantSplit/>
          <w:trHeight w:val="60"/>
        </w:trPr>
        <w:tc>
          <w:tcPr>
            <w:tcW w:w="1446" w:type="pct"/>
            <w:vMerge/>
            <w:shd w:val="clear" w:color="auto" w:fill="auto"/>
            <w:tcMar>
              <w:top w:w="57" w:type="dxa"/>
              <w:bottom w:w="113" w:type="dxa"/>
            </w:tcMar>
          </w:tcPr>
          <w:p w14:paraId="3C3B4424"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48B1DAF1"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معدل المخالفة</w:t>
            </w:r>
            <w:r w:rsidRPr="00263723">
              <w:rPr>
                <w:rFonts w:ascii="Arabic Typesetting" w:eastAsia="Arabic Typesetting" w:hAnsi="Arabic Typesetting" w:cs="Arabic Typesetting" w:hint="cs"/>
                <w:color w:val="000000"/>
                <w:sz w:val="28"/>
                <w:szCs w:val="28"/>
                <w:rtl/>
                <w:lang w:eastAsia="ar-EG" w:bidi="ar-EG"/>
              </w:rPr>
              <w:t xml:space="preserve"> </w:t>
            </w:r>
            <w:r w:rsidRPr="00263723">
              <w:rPr>
                <w:rFonts w:ascii="Arabic Typesetting" w:eastAsia="Arabic Typesetting" w:hAnsi="Arabic Typesetting" w:cs="Arabic Typesetting"/>
                <w:color w:val="000000"/>
                <w:sz w:val="28"/>
                <w:szCs w:val="28"/>
                <w:rtl/>
                <w:lang w:eastAsia="ar-EG" w:bidi="ar-EG"/>
              </w:rPr>
              <w:t>(المادتان 12 و13) (مدريد)</w:t>
            </w:r>
          </w:p>
        </w:tc>
        <w:tc>
          <w:tcPr>
            <w:tcW w:w="832" w:type="pct"/>
            <w:shd w:val="clear" w:color="auto" w:fill="FFFFFF"/>
            <w:tcMar>
              <w:top w:w="57" w:type="dxa"/>
              <w:bottom w:w="113" w:type="dxa"/>
            </w:tcMar>
          </w:tcPr>
          <w:p w14:paraId="6A291C6D"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46346960"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3F7E92EA" w14:textId="77777777" w:rsidTr="007B75FB">
        <w:trPr>
          <w:cantSplit/>
          <w:trHeight w:val="65"/>
        </w:trPr>
        <w:tc>
          <w:tcPr>
            <w:tcW w:w="1446" w:type="pct"/>
            <w:vMerge/>
            <w:shd w:val="clear" w:color="auto" w:fill="auto"/>
            <w:tcMar>
              <w:top w:w="57" w:type="dxa"/>
              <w:bottom w:w="113" w:type="dxa"/>
            </w:tcMar>
          </w:tcPr>
          <w:p w14:paraId="242AF77A"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1F64CA81"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 xml:space="preserve">الحصة </w:t>
            </w:r>
            <w:r w:rsidRPr="00263723">
              <w:rPr>
                <w:rFonts w:ascii="Arabic Typesetting" w:eastAsia="Arabic Typesetting" w:hAnsi="Arabic Typesetting" w:cs="Arabic Typesetting" w:hint="cs"/>
                <w:color w:val="000000"/>
                <w:sz w:val="28"/>
                <w:szCs w:val="28"/>
                <w:rtl/>
                <w:lang w:eastAsia="ar-EG" w:bidi="ar-EG"/>
              </w:rPr>
              <w:t xml:space="preserve">السوقية </w:t>
            </w:r>
            <w:r w:rsidRPr="00263723">
              <w:rPr>
                <w:rFonts w:ascii="Arabic Typesetting" w:eastAsia="Arabic Typesetting" w:hAnsi="Arabic Typesetting" w:cs="Arabic Typesetting"/>
                <w:color w:val="000000"/>
                <w:sz w:val="28"/>
                <w:szCs w:val="28"/>
                <w:rtl/>
                <w:lang w:eastAsia="ar-EG" w:bidi="ar-EG"/>
              </w:rPr>
              <w:t>(أيْ المسار الوطني مقابل مسار مدريد) (مدريد)</w:t>
            </w:r>
          </w:p>
        </w:tc>
        <w:tc>
          <w:tcPr>
            <w:tcW w:w="832" w:type="pct"/>
            <w:shd w:val="clear" w:color="auto" w:fill="FFFFFF"/>
            <w:tcMar>
              <w:top w:w="57" w:type="dxa"/>
              <w:bottom w:w="113" w:type="dxa"/>
            </w:tcMar>
          </w:tcPr>
          <w:p w14:paraId="78B97FC4"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7F677849"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3366FF"/>
                <w:sz w:val="28"/>
                <w:szCs w:val="28"/>
                <w:lang w:eastAsia="zh-CN"/>
              </w:rPr>
            </w:pPr>
            <w:r w:rsidRPr="00263723">
              <w:rPr>
                <w:rFonts w:ascii="Arabic Typesetting" w:eastAsia="SimSun" w:hAnsi="Arabic Typesetting" w:cs="Arabic Typesetting"/>
                <w:color w:val="0070C0"/>
                <w:sz w:val="28"/>
                <w:szCs w:val="28"/>
                <w:lang w:eastAsia="zh-CN"/>
              </w:rPr>
              <w:sym w:font="Wingdings" w:char="F06C"/>
            </w:r>
          </w:p>
        </w:tc>
      </w:tr>
      <w:tr w:rsidR="00263723" w:rsidRPr="00263723" w14:paraId="759AC6EB" w14:textId="77777777" w:rsidTr="007B75FB">
        <w:trPr>
          <w:cantSplit/>
          <w:trHeight w:val="30"/>
        </w:trPr>
        <w:tc>
          <w:tcPr>
            <w:tcW w:w="1446" w:type="pct"/>
            <w:vMerge/>
            <w:shd w:val="clear" w:color="auto" w:fill="auto"/>
            <w:tcMar>
              <w:top w:w="57" w:type="dxa"/>
              <w:bottom w:w="113" w:type="dxa"/>
            </w:tcMar>
          </w:tcPr>
          <w:p w14:paraId="75D6E15D"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4F909C21"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التسجيلات (مدريد)</w:t>
            </w:r>
          </w:p>
        </w:tc>
        <w:tc>
          <w:tcPr>
            <w:tcW w:w="832" w:type="pct"/>
            <w:shd w:val="clear" w:color="auto" w:fill="FFFFFF"/>
            <w:tcMar>
              <w:top w:w="57" w:type="dxa"/>
              <w:bottom w:w="113" w:type="dxa"/>
            </w:tcMar>
          </w:tcPr>
          <w:p w14:paraId="79C274AD"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3366FF"/>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3403171F"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674C0F06" w14:textId="77777777" w:rsidTr="007B75FB">
        <w:trPr>
          <w:cantSplit/>
          <w:trHeight w:val="30"/>
        </w:trPr>
        <w:tc>
          <w:tcPr>
            <w:tcW w:w="1446" w:type="pct"/>
            <w:shd w:val="clear" w:color="auto" w:fill="auto"/>
            <w:tcMar>
              <w:top w:w="57" w:type="dxa"/>
              <w:bottom w:w="113" w:type="dxa"/>
            </w:tcMar>
          </w:tcPr>
          <w:p w14:paraId="4DCE0A39"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746B1946"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التجديدات (مدريد)</w:t>
            </w:r>
          </w:p>
        </w:tc>
        <w:tc>
          <w:tcPr>
            <w:tcW w:w="832" w:type="pct"/>
            <w:shd w:val="clear" w:color="auto" w:fill="FFFFFF"/>
            <w:tcMar>
              <w:top w:w="57" w:type="dxa"/>
              <w:bottom w:w="113" w:type="dxa"/>
            </w:tcMar>
          </w:tcPr>
          <w:p w14:paraId="4BB59A33"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10E97577"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78474BCC" w14:textId="77777777" w:rsidTr="007B75FB">
        <w:trPr>
          <w:cantSplit/>
          <w:trHeight w:val="30"/>
        </w:trPr>
        <w:tc>
          <w:tcPr>
            <w:tcW w:w="1446" w:type="pct"/>
            <w:shd w:val="clear" w:color="auto" w:fill="auto"/>
            <w:tcMar>
              <w:top w:w="57" w:type="dxa"/>
              <w:bottom w:w="113" w:type="dxa"/>
            </w:tcMar>
          </w:tcPr>
          <w:p w14:paraId="6BE94D3E"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70452B39"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إجمالي أعضاء نظام مدريد</w:t>
            </w:r>
          </w:p>
        </w:tc>
        <w:tc>
          <w:tcPr>
            <w:tcW w:w="832" w:type="pct"/>
            <w:shd w:val="clear" w:color="auto" w:fill="FFFFFF"/>
            <w:tcMar>
              <w:top w:w="57" w:type="dxa"/>
              <w:bottom w:w="113" w:type="dxa"/>
            </w:tcMar>
          </w:tcPr>
          <w:p w14:paraId="28981289"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6D0BC9BD"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tc>
      </w:tr>
      <w:tr w:rsidR="00263723" w:rsidRPr="00263723" w14:paraId="6C20D4DE" w14:textId="77777777" w:rsidTr="007B75FB">
        <w:trPr>
          <w:cantSplit/>
          <w:trHeight w:val="240"/>
        </w:trPr>
        <w:tc>
          <w:tcPr>
            <w:tcW w:w="1446" w:type="pct"/>
            <w:shd w:val="clear" w:color="auto" w:fill="auto"/>
            <w:tcMar>
              <w:top w:w="57" w:type="dxa"/>
              <w:bottom w:w="113" w:type="dxa"/>
            </w:tcMar>
          </w:tcPr>
          <w:p w14:paraId="6233BFC7"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76511A12"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إجمالي عدد التعيينات (مدريد)</w:t>
            </w:r>
          </w:p>
        </w:tc>
        <w:tc>
          <w:tcPr>
            <w:tcW w:w="832" w:type="pct"/>
            <w:shd w:val="clear" w:color="auto" w:fill="FFFFFF"/>
            <w:tcMar>
              <w:top w:w="57" w:type="dxa"/>
              <w:bottom w:w="113" w:type="dxa"/>
            </w:tcMar>
          </w:tcPr>
          <w:p w14:paraId="20620A25"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6C2BEC9B"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04E3577F" w14:textId="77777777" w:rsidTr="007B75FB">
        <w:trPr>
          <w:cantSplit/>
          <w:trHeight w:val="103"/>
        </w:trPr>
        <w:tc>
          <w:tcPr>
            <w:tcW w:w="1446" w:type="pct"/>
            <w:shd w:val="clear" w:color="auto" w:fill="auto"/>
            <w:tcMar>
              <w:top w:w="57" w:type="dxa"/>
              <w:bottom w:w="113" w:type="dxa"/>
            </w:tcMar>
          </w:tcPr>
          <w:p w14:paraId="42932B54"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22F217E6"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إجمالي عدد التسجيلات (مدريد)</w:t>
            </w:r>
          </w:p>
        </w:tc>
        <w:tc>
          <w:tcPr>
            <w:tcW w:w="832" w:type="pct"/>
            <w:shd w:val="clear" w:color="auto" w:fill="FFFFFF"/>
            <w:tcMar>
              <w:top w:w="57" w:type="dxa"/>
              <w:bottom w:w="113" w:type="dxa"/>
            </w:tcMar>
          </w:tcPr>
          <w:p w14:paraId="3C8B98FD"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5278F1DC"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4415BEC2" w14:textId="77777777" w:rsidTr="007B75FB">
        <w:trPr>
          <w:cantSplit/>
          <w:trHeight w:val="48"/>
        </w:trPr>
        <w:tc>
          <w:tcPr>
            <w:tcW w:w="1446" w:type="pct"/>
            <w:shd w:val="clear" w:color="auto" w:fill="auto"/>
            <w:tcMar>
              <w:top w:w="57" w:type="dxa"/>
              <w:bottom w:w="113" w:type="dxa"/>
            </w:tcMar>
          </w:tcPr>
          <w:p w14:paraId="20A05D0F"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431ECB96" w14:textId="10B6C819"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عدد الطلبات المودعة بناء على نظام مدريد والصادرة من البلدان النامية و</w:t>
            </w:r>
            <w:r w:rsidR="00AF6433">
              <w:rPr>
                <w:rFonts w:ascii="Arabic Typesetting" w:eastAsia="Arabic Typesetting" w:hAnsi="Arabic Typesetting" w:cs="Arabic Typesetting"/>
                <w:color w:val="000000"/>
                <w:sz w:val="28"/>
                <w:szCs w:val="28"/>
                <w:rtl/>
                <w:lang w:eastAsia="ar-EG" w:bidi="ar-EG"/>
              </w:rPr>
              <w:t>البلدان المتحولة</w:t>
            </w:r>
            <w:r w:rsidRPr="00263723">
              <w:rPr>
                <w:rFonts w:ascii="Arabic Typesetting" w:eastAsia="Arabic Typesetting" w:hAnsi="Arabic Typesetting" w:cs="Arabic Typesetting" w:hint="cs"/>
                <w:color w:val="000000"/>
                <w:sz w:val="28"/>
                <w:szCs w:val="28"/>
                <w:rtl/>
                <w:lang w:eastAsia="ar-EG" w:bidi="ar-EG"/>
              </w:rPr>
              <w:t xml:space="preserve"> والبلدان المتقدمة</w:t>
            </w:r>
          </w:p>
        </w:tc>
        <w:tc>
          <w:tcPr>
            <w:tcW w:w="832" w:type="pct"/>
            <w:shd w:val="clear" w:color="auto" w:fill="FFFFFF"/>
            <w:tcMar>
              <w:top w:w="57" w:type="dxa"/>
              <w:bottom w:w="113" w:type="dxa"/>
            </w:tcMar>
          </w:tcPr>
          <w:p w14:paraId="0F7509BE"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9</w:t>
            </w:r>
          </w:p>
          <w:p w14:paraId="5A3C899B"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10</w:t>
            </w:r>
          </w:p>
          <w:p w14:paraId="16649ADD"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20</w:t>
            </w:r>
          </w:p>
        </w:tc>
        <w:tc>
          <w:tcPr>
            <w:tcW w:w="659" w:type="pct"/>
            <w:shd w:val="clear" w:color="auto" w:fill="FFFFFF"/>
            <w:tcMar>
              <w:top w:w="57" w:type="dxa"/>
            </w:tcMar>
          </w:tcPr>
          <w:p w14:paraId="2C95D2AC"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FF0000"/>
                <w:sz w:val="28"/>
                <w:szCs w:val="28"/>
                <w:lang w:eastAsia="zh-CN"/>
              </w:rPr>
            </w:pPr>
            <w:r w:rsidRPr="00263723">
              <w:rPr>
                <w:rFonts w:ascii="Arabic Typesetting" w:eastAsia="SimSun" w:hAnsi="Arabic Typesetting" w:cs="Arabic Typesetting"/>
                <w:color w:val="FF0000"/>
                <w:sz w:val="28"/>
                <w:szCs w:val="28"/>
                <w:lang w:eastAsia="zh-CN"/>
              </w:rPr>
              <w:sym w:font="Wingdings" w:char="F06C"/>
            </w:r>
            <w:r w:rsidRPr="00263723">
              <w:rPr>
                <w:rFonts w:ascii="Arabic Typesetting" w:eastAsia="SimSun" w:hAnsi="Arabic Typesetting" w:cs="Arabic Typesetting"/>
                <w:color w:val="FF000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FF0000"/>
                <w:sz w:val="28"/>
                <w:szCs w:val="28"/>
                <w:lang w:eastAsia="zh-CN"/>
              </w:rPr>
              <w:sym w:font="Wingdings" w:char="F06C"/>
            </w:r>
          </w:p>
          <w:p w14:paraId="0ABFE7C8"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p w14:paraId="7F2B8838"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80808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780CC311" w14:textId="77777777" w:rsidTr="007B75FB">
        <w:trPr>
          <w:cantSplit/>
          <w:trHeight w:val="500"/>
        </w:trPr>
        <w:tc>
          <w:tcPr>
            <w:tcW w:w="1446" w:type="pct"/>
            <w:shd w:val="clear" w:color="auto" w:fill="auto"/>
            <w:tcMar>
              <w:top w:w="57" w:type="dxa"/>
              <w:bottom w:w="113" w:type="dxa"/>
            </w:tcMar>
          </w:tcPr>
          <w:p w14:paraId="11440068"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78D046C8" w14:textId="15345C40" w:rsidR="00263723" w:rsidRPr="00263723" w:rsidRDefault="00EF3FA1" w:rsidP="0031289D">
            <w:pPr>
              <w:bidi/>
              <w:spacing w:before="120" w:after="120" w:line="280" w:lineRule="exact"/>
              <w:rPr>
                <w:rFonts w:ascii="Arabic Typesetting" w:eastAsia="SimSun" w:hAnsi="Arabic Typesetting" w:cs="Arabic Typesetting"/>
                <w:sz w:val="28"/>
                <w:szCs w:val="28"/>
                <w:lang w:eastAsia="zh-CN"/>
              </w:rPr>
            </w:pPr>
            <w:r w:rsidRPr="000D515F">
              <w:rPr>
                <w:rFonts w:ascii="Arabic Typesetting" w:hAnsi="Arabic Typesetting" w:cs="Arabic Typesetting"/>
                <w:color w:val="000000"/>
                <w:sz w:val="28"/>
                <w:szCs w:val="28"/>
                <w:rtl/>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مدريد</w:t>
            </w:r>
          </w:p>
        </w:tc>
        <w:tc>
          <w:tcPr>
            <w:tcW w:w="832" w:type="pct"/>
            <w:shd w:val="clear" w:color="auto" w:fill="FFFFFF"/>
            <w:tcMar>
              <w:top w:w="57" w:type="dxa"/>
              <w:bottom w:w="113" w:type="dxa"/>
            </w:tcMar>
          </w:tcPr>
          <w:p w14:paraId="69385EEA"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20</w:t>
            </w:r>
          </w:p>
        </w:tc>
        <w:tc>
          <w:tcPr>
            <w:tcW w:w="659" w:type="pct"/>
            <w:shd w:val="clear" w:color="auto" w:fill="FFFFFF"/>
            <w:tcMar>
              <w:top w:w="57" w:type="dxa"/>
            </w:tcMar>
          </w:tcPr>
          <w:p w14:paraId="329E2561"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7731F7F5" w14:textId="77777777" w:rsidTr="007B75FB">
        <w:trPr>
          <w:cantSplit/>
          <w:trHeight w:val="30"/>
        </w:trPr>
        <w:tc>
          <w:tcPr>
            <w:tcW w:w="1446" w:type="pct"/>
            <w:shd w:val="clear" w:color="auto" w:fill="auto"/>
            <w:tcMar>
              <w:top w:w="57" w:type="dxa"/>
              <w:bottom w:w="113" w:type="dxa"/>
            </w:tcMar>
          </w:tcPr>
          <w:p w14:paraId="1CA4524C"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66F5EF78" w14:textId="70AB0C41" w:rsidR="00263723" w:rsidRPr="00263723" w:rsidRDefault="00EF3FA1" w:rsidP="0031289D">
            <w:pPr>
              <w:bidi/>
              <w:spacing w:before="120" w:after="120" w:line="280" w:lineRule="exact"/>
              <w:rPr>
                <w:rFonts w:ascii="Arabic Typesetting" w:eastAsia="SimSun" w:hAnsi="Arabic Typesetting" w:cs="Arabic Typesetting"/>
                <w:sz w:val="28"/>
                <w:szCs w:val="28"/>
                <w:lang w:eastAsia="zh-CN"/>
              </w:rPr>
            </w:pPr>
            <w:r w:rsidRPr="000D515F">
              <w:rPr>
                <w:rFonts w:ascii="Arabic Typesetting" w:hAnsi="Arabic Typesetting" w:cs="Arabic Typesetting"/>
                <w:color w:val="000000"/>
                <w:sz w:val="28"/>
                <w:szCs w:val="28"/>
                <w:rtl/>
              </w:rPr>
              <w:t>إجمالي أعضاء نظام مدريد</w:t>
            </w:r>
          </w:p>
        </w:tc>
        <w:tc>
          <w:tcPr>
            <w:tcW w:w="832" w:type="pct"/>
            <w:shd w:val="clear" w:color="auto" w:fill="FFFFFF"/>
            <w:tcMar>
              <w:top w:w="57" w:type="dxa"/>
              <w:bottom w:w="113" w:type="dxa"/>
            </w:tcMar>
          </w:tcPr>
          <w:p w14:paraId="03F0C1D6"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20</w:t>
            </w:r>
          </w:p>
        </w:tc>
        <w:tc>
          <w:tcPr>
            <w:tcW w:w="659" w:type="pct"/>
            <w:shd w:val="clear" w:color="auto" w:fill="FFFFFF"/>
            <w:tcMar>
              <w:top w:w="57" w:type="dxa"/>
            </w:tcMar>
          </w:tcPr>
          <w:p w14:paraId="4648F028"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tc>
      </w:tr>
      <w:tr w:rsidR="00263723" w:rsidRPr="00263723" w14:paraId="58368CA5" w14:textId="77777777" w:rsidTr="007B75FB">
        <w:trPr>
          <w:cantSplit/>
          <w:trHeight w:val="387"/>
        </w:trPr>
        <w:tc>
          <w:tcPr>
            <w:tcW w:w="1446" w:type="pct"/>
            <w:vMerge w:val="restart"/>
            <w:shd w:val="clear" w:color="auto" w:fill="auto"/>
            <w:tcMar>
              <w:top w:w="57" w:type="dxa"/>
              <w:bottom w:w="113" w:type="dxa"/>
            </w:tcMar>
          </w:tcPr>
          <w:p w14:paraId="53027281"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إنتاجية وجودة خدمات محسّنة في عمليات نظام مدريد</w:t>
            </w:r>
            <w:r w:rsidRPr="00263723">
              <w:rPr>
                <w:rFonts w:ascii="Arabic Typesetting" w:eastAsia="SimSun" w:hAnsi="Arabic Typesetting" w:cs="Arabic Typesetting"/>
                <w:sz w:val="28"/>
                <w:szCs w:val="28"/>
                <w:lang w:eastAsia="zh-CN"/>
              </w:rPr>
              <w:t xml:space="preserve"> </w:t>
            </w:r>
          </w:p>
        </w:tc>
        <w:tc>
          <w:tcPr>
            <w:tcW w:w="2063" w:type="pct"/>
            <w:shd w:val="clear" w:color="auto" w:fill="auto"/>
            <w:tcMar>
              <w:top w:w="57" w:type="dxa"/>
              <w:bottom w:w="113" w:type="dxa"/>
            </w:tcMar>
          </w:tcPr>
          <w:p w14:paraId="1FEFAC7C"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إطلاق 3 إصدارات من نظام مدريد لمعلومات التسجيل الدولي (</w:t>
            </w:r>
            <w:r w:rsidRPr="00263723">
              <w:rPr>
                <w:rFonts w:ascii="Arabic Typesetting" w:eastAsia="Arabic Typesetting" w:hAnsi="Arabic Typesetting" w:cs="Arabic Typesetting"/>
                <w:color w:val="000000"/>
                <w:sz w:val="28"/>
                <w:szCs w:val="28"/>
                <w:lang w:eastAsia="ar-EG" w:bidi="ar-EG"/>
              </w:rPr>
              <w:t>MIRIS</w:t>
            </w:r>
            <w:r w:rsidRPr="00263723">
              <w:rPr>
                <w:rFonts w:ascii="Arabic Typesetting" w:eastAsia="Arabic Typesetting" w:hAnsi="Arabic Typesetting" w:cs="Arabic Typesetting"/>
                <w:color w:val="000000"/>
                <w:sz w:val="28"/>
                <w:szCs w:val="28"/>
                <w:rtl/>
                <w:lang w:eastAsia="ar-EG" w:bidi="ar-EG"/>
              </w:rPr>
              <w:t xml:space="preserve">) و3 إصدارات من خدمة الإيداع الإلكتروني في نظام مدريد (نظام دمج عمليات التسجيل الدولي - </w:t>
            </w:r>
            <w:r w:rsidRPr="00263723">
              <w:rPr>
                <w:rFonts w:ascii="Arabic Typesetting" w:eastAsia="Arabic Typesetting" w:hAnsi="Arabic Typesetting" w:cs="Arabic Typesetting"/>
                <w:color w:val="000000"/>
                <w:sz w:val="28"/>
                <w:szCs w:val="28"/>
                <w:lang w:eastAsia="ar-EG" w:bidi="ar-EG"/>
              </w:rPr>
              <w:t>IRPI</w:t>
            </w:r>
            <w:r w:rsidRPr="00263723">
              <w:rPr>
                <w:rFonts w:ascii="Arabic Typesetting" w:eastAsia="Arabic Typesetting" w:hAnsi="Arabic Typesetting" w:cs="Arabic Typesetting"/>
                <w:color w:val="000000"/>
                <w:sz w:val="28"/>
                <w:szCs w:val="28"/>
                <w:rtl/>
                <w:lang w:eastAsia="ar-EG" w:bidi="ar-EG"/>
              </w:rPr>
              <w:t>)</w:t>
            </w:r>
          </w:p>
        </w:tc>
        <w:tc>
          <w:tcPr>
            <w:tcW w:w="832" w:type="pct"/>
            <w:shd w:val="clear" w:color="auto" w:fill="FFFFFF"/>
            <w:tcMar>
              <w:top w:w="57" w:type="dxa"/>
              <w:bottom w:w="113" w:type="dxa"/>
            </w:tcMar>
          </w:tcPr>
          <w:p w14:paraId="48B8E0EC"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77998955"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2EF2A841" w14:textId="77777777" w:rsidTr="007B75FB">
        <w:trPr>
          <w:cantSplit/>
          <w:trHeight w:val="30"/>
        </w:trPr>
        <w:tc>
          <w:tcPr>
            <w:tcW w:w="1446" w:type="pct"/>
            <w:vMerge/>
            <w:shd w:val="clear" w:color="auto" w:fill="auto"/>
            <w:tcMar>
              <w:top w:w="57" w:type="dxa"/>
              <w:bottom w:w="113" w:type="dxa"/>
            </w:tcMar>
          </w:tcPr>
          <w:p w14:paraId="3FBE7F11"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0A1D82F3"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رضا الزبائن (مدريد)</w:t>
            </w:r>
          </w:p>
        </w:tc>
        <w:tc>
          <w:tcPr>
            <w:tcW w:w="832" w:type="pct"/>
            <w:shd w:val="clear" w:color="auto" w:fill="FFFFFF"/>
            <w:tcMar>
              <w:top w:w="57" w:type="dxa"/>
              <w:bottom w:w="113" w:type="dxa"/>
            </w:tcMar>
          </w:tcPr>
          <w:p w14:paraId="29355A9A"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7EE193DE"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70C0"/>
                <w:sz w:val="28"/>
                <w:szCs w:val="28"/>
                <w:lang w:eastAsia="zh-CN"/>
              </w:rPr>
              <w:sym w:font="Wingdings" w:char="F06C"/>
            </w:r>
          </w:p>
        </w:tc>
      </w:tr>
      <w:tr w:rsidR="00263723" w:rsidRPr="00263723" w14:paraId="21EB2C07" w14:textId="77777777" w:rsidTr="007B75FB">
        <w:trPr>
          <w:cantSplit/>
          <w:trHeight w:val="30"/>
        </w:trPr>
        <w:tc>
          <w:tcPr>
            <w:tcW w:w="1446" w:type="pct"/>
            <w:vMerge/>
            <w:shd w:val="clear" w:color="auto" w:fill="auto"/>
            <w:tcMar>
              <w:top w:w="57" w:type="dxa"/>
              <w:bottom w:w="113" w:type="dxa"/>
            </w:tcMar>
          </w:tcPr>
          <w:p w14:paraId="2E2DA227"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27B27229"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تحسُّن سير عمل سجل مدريد، بما في ذلك العمليات والإجراءات الإلكترونية (مدريد)</w:t>
            </w:r>
          </w:p>
        </w:tc>
        <w:tc>
          <w:tcPr>
            <w:tcW w:w="832" w:type="pct"/>
            <w:shd w:val="clear" w:color="auto" w:fill="FFFFFF"/>
            <w:tcMar>
              <w:top w:w="57" w:type="dxa"/>
              <w:bottom w:w="113" w:type="dxa"/>
            </w:tcMar>
          </w:tcPr>
          <w:p w14:paraId="03D24705"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34FB402B"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p w14:paraId="25D971B0"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FF000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5AC1AA89" w14:textId="77777777" w:rsidTr="007B75FB">
        <w:trPr>
          <w:cantSplit/>
          <w:trHeight w:val="30"/>
        </w:trPr>
        <w:tc>
          <w:tcPr>
            <w:tcW w:w="1446" w:type="pct"/>
            <w:shd w:val="clear" w:color="auto" w:fill="auto"/>
            <w:tcMar>
              <w:top w:w="57" w:type="dxa"/>
              <w:bottom w:w="113" w:type="dxa"/>
            </w:tcMar>
          </w:tcPr>
          <w:p w14:paraId="5604E022"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14175F28"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الجودة (مدريد)</w:t>
            </w:r>
          </w:p>
        </w:tc>
        <w:tc>
          <w:tcPr>
            <w:tcW w:w="832" w:type="pct"/>
            <w:shd w:val="clear" w:color="auto" w:fill="FFFFFF"/>
            <w:tcMar>
              <w:top w:w="57" w:type="dxa"/>
              <w:bottom w:w="113" w:type="dxa"/>
            </w:tcMar>
          </w:tcPr>
          <w:p w14:paraId="5FAA3D19"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20F6D16F"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p w14:paraId="37CD51A3"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FF000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27B2C850" w14:textId="77777777" w:rsidTr="007B75FB">
        <w:trPr>
          <w:cantSplit/>
          <w:trHeight w:val="30"/>
        </w:trPr>
        <w:tc>
          <w:tcPr>
            <w:tcW w:w="1446" w:type="pct"/>
            <w:shd w:val="clear" w:color="auto" w:fill="auto"/>
            <w:tcMar>
              <w:top w:w="57" w:type="dxa"/>
              <w:bottom w:w="113" w:type="dxa"/>
            </w:tcMar>
          </w:tcPr>
          <w:p w14:paraId="52B83F2E"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015CB9C2"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التقديم المستقر لخدمات تكنولوجيا المعلومات المتطورة من قبل مكاتب نظام مدريد الخلفية</w:t>
            </w:r>
          </w:p>
        </w:tc>
        <w:tc>
          <w:tcPr>
            <w:tcW w:w="832" w:type="pct"/>
            <w:shd w:val="clear" w:color="auto" w:fill="FFFFFF"/>
            <w:tcMar>
              <w:top w:w="57" w:type="dxa"/>
              <w:bottom w:w="113" w:type="dxa"/>
            </w:tcMar>
          </w:tcPr>
          <w:p w14:paraId="5D4EE61F"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36DF1844"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E36C0A" w:themeColor="accent6" w:themeShade="BF"/>
                <w:sz w:val="28"/>
                <w:szCs w:val="28"/>
                <w:lang w:eastAsia="zh-CN"/>
              </w:rPr>
            </w:pPr>
            <w:r w:rsidRPr="00263723">
              <w:rPr>
                <w:rFonts w:ascii="Arabic Typesetting" w:eastAsia="SimSun" w:hAnsi="Arabic Typesetting" w:cs="Arabic Typesetting"/>
                <w:color w:val="FF000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30F45A7D" w14:textId="77777777" w:rsidTr="007B75FB">
        <w:trPr>
          <w:cantSplit/>
          <w:trHeight w:val="30"/>
        </w:trPr>
        <w:tc>
          <w:tcPr>
            <w:tcW w:w="1446" w:type="pct"/>
            <w:shd w:val="clear" w:color="auto" w:fill="auto"/>
            <w:tcMar>
              <w:top w:w="57" w:type="dxa"/>
              <w:bottom w:w="113" w:type="dxa"/>
            </w:tcMar>
          </w:tcPr>
          <w:p w14:paraId="10BB7637"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02B2C498"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توقيت المعاملات</w:t>
            </w:r>
            <w:r w:rsidRPr="00263723">
              <w:rPr>
                <w:rFonts w:ascii="Arabic Typesetting" w:eastAsia="Arabic Typesetting" w:hAnsi="Arabic Typesetting" w:cs="Arabic Typesetting" w:hint="cs"/>
                <w:color w:val="000000"/>
                <w:sz w:val="28"/>
                <w:szCs w:val="28"/>
                <w:rtl/>
                <w:lang w:eastAsia="ar-EG" w:bidi="ar-EG"/>
              </w:rPr>
              <w:t xml:space="preserve"> </w:t>
            </w:r>
            <w:r w:rsidRPr="00263723">
              <w:rPr>
                <w:rFonts w:ascii="Arabic Typesetting" w:eastAsia="Arabic Typesetting" w:hAnsi="Arabic Typesetting" w:cs="Arabic Typesetting"/>
                <w:color w:val="000000"/>
                <w:sz w:val="28"/>
                <w:szCs w:val="28"/>
                <w:rtl/>
                <w:lang w:eastAsia="ar-EG" w:bidi="ar-EG"/>
              </w:rPr>
              <w:t>(بالأيام)</w:t>
            </w:r>
            <w:r w:rsidRPr="00263723">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(مدريد)</w:t>
            </w:r>
          </w:p>
        </w:tc>
        <w:tc>
          <w:tcPr>
            <w:tcW w:w="832" w:type="pct"/>
            <w:shd w:val="clear" w:color="auto" w:fill="FFFFFF"/>
            <w:tcMar>
              <w:top w:w="57" w:type="dxa"/>
              <w:bottom w:w="113" w:type="dxa"/>
            </w:tcMar>
          </w:tcPr>
          <w:p w14:paraId="1F2CBFEE"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12CBD699"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E36C0A" w:themeColor="accent6" w:themeShade="BF"/>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tc>
      </w:tr>
      <w:tr w:rsidR="00263723" w:rsidRPr="00263723" w14:paraId="503B0899" w14:textId="77777777" w:rsidTr="007B75FB">
        <w:trPr>
          <w:cantSplit/>
          <w:trHeight w:val="30"/>
        </w:trPr>
        <w:tc>
          <w:tcPr>
            <w:tcW w:w="1446" w:type="pct"/>
            <w:shd w:val="clear" w:color="auto" w:fill="auto"/>
            <w:tcMar>
              <w:top w:w="57" w:type="dxa"/>
              <w:bottom w:w="113" w:type="dxa"/>
            </w:tcMar>
          </w:tcPr>
          <w:p w14:paraId="29403C03"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204B0753"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تكلفة الوحدة (مدريد)</w:t>
            </w:r>
          </w:p>
        </w:tc>
        <w:tc>
          <w:tcPr>
            <w:tcW w:w="832" w:type="pct"/>
            <w:shd w:val="clear" w:color="auto" w:fill="FFFFFF"/>
            <w:tcMar>
              <w:top w:w="57" w:type="dxa"/>
              <w:bottom w:w="113" w:type="dxa"/>
            </w:tcMar>
          </w:tcPr>
          <w:p w14:paraId="7964B285"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6</w:t>
            </w:r>
          </w:p>
        </w:tc>
        <w:tc>
          <w:tcPr>
            <w:tcW w:w="659" w:type="pct"/>
            <w:shd w:val="clear" w:color="auto" w:fill="FFFFFF"/>
            <w:tcMar>
              <w:top w:w="57" w:type="dxa"/>
            </w:tcMar>
          </w:tcPr>
          <w:p w14:paraId="2721A170"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E36C0A" w:themeColor="accent6" w:themeShade="BF"/>
                <w:sz w:val="28"/>
                <w:szCs w:val="28"/>
                <w:lang w:eastAsia="zh-CN"/>
              </w:rPr>
            </w:pPr>
            <w:r w:rsidRPr="00263723">
              <w:rPr>
                <w:rFonts w:ascii="Arabic Typesetting" w:eastAsia="SimSun" w:hAnsi="Arabic Typesetting" w:cs="Arabic Typesetting"/>
                <w:color w:val="808080"/>
                <w:sz w:val="28"/>
                <w:szCs w:val="28"/>
                <w:lang w:eastAsia="zh-CN"/>
              </w:rPr>
              <w:sym w:font="Wingdings" w:char="F06C"/>
            </w:r>
            <w:r w:rsidRPr="00263723">
              <w:rPr>
                <w:rFonts w:ascii="Arabic Typesetting" w:eastAsia="SimSun" w:hAnsi="Arabic Typesetting" w:cs="Arabic Typesetting"/>
                <w:color w:val="808080"/>
                <w:sz w:val="28"/>
                <w:szCs w:val="28"/>
                <w:lang w:eastAsia="zh-CN"/>
              </w:rPr>
              <w:sym w:font="Wingdings" w:char="F06C"/>
            </w:r>
          </w:p>
        </w:tc>
      </w:tr>
      <w:tr w:rsidR="00263723" w:rsidRPr="00263723" w14:paraId="39C54FB1" w14:textId="77777777" w:rsidTr="007B75FB">
        <w:trPr>
          <w:cantSplit/>
          <w:trHeight w:val="500"/>
        </w:trPr>
        <w:tc>
          <w:tcPr>
            <w:tcW w:w="1446" w:type="pct"/>
            <w:vMerge w:val="restart"/>
            <w:shd w:val="clear" w:color="auto" w:fill="auto"/>
            <w:tcMar>
              <w:top w:w="57" w:type="dxa"/>
              <w:bottom w:w="113" w:type="dxa"/>
            </w:tcMar>
          </w:tcPr>
          <w:p w14:paraId="03C5B74B"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hint="cs"/>
                <w:color w:val="000000"/>
                <w:sz w:val="28"/>
                <w:szCs w:val="28"/>
                <w:rtl/>
                <w:lang w:eastAsia="ar-EG" w:bidi="ar-EG"/>
              </w:rPr>
              <w:t xml:space="preserve">ه8.2 </w:t>
            </w:r>
            <w:r w:rsidRPr="00263723">
              <w:rPr>
                <w:rFonts w:ascii="Arabic Typesetting" w:eastAsia="Arabic Typesetting" w:hAnsi="Arabic Typesetting" w:cs="Arabic Typesetting"/>
                <w:color w:val="000000"/>
                <w:sz w:val="28"/>
                <w:szCs w:val="28"/>
                <w:rtl/>
                <w:lang w:eastAsia="ar-EG" w:bidi="ar-EG"/>
              </w:rPr>
              <w:t>تزايد</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‏تفادي</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‏نشوء</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‏المنازعات</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‏المتعلقة</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‏بالملكية</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‏الفكرية</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‏دوليا</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‏وداخليا</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‏وتسويتها</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‏عبر</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‏الوساطة</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‏والتحكيم</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‏وغيرها</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‏من</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‏أساليب</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‏الويبو</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‏البديلة</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‏لتسوية</w:t>
            </w:r>
            <w:r w:rsidRPr="00263723">
              <w:rPr>
                <w:rFonts w:ascii="Arabic Typesetting" w:eastAsia="Arabic Typesetting" w:hAnsi="Arabic Typesetting" w:cs="Arabic Typesetting"/>
                <w:color w:val="000000"/>
                <w:sz w:val="28"/>
                <w:szCs w:val="28"/>
                <w:cs/>
                <w:lang w:eastAsia="ar-EG" w:bidi="ar-EG"/>
              </w:rPr>
              <w:t>‎</w:t>
            </w:r>
            <w:r w:rsidRPr="00263723">
              <w:rPr>
                <w:rFonts w:ascii="Arabic Typesetting" w:eastAsia="Arabic Typesetting" w:hAnsi="Arabic Typesetting" w:cs="Arabic Typesetting"/>
                <w:color w:val="000000"/>
                <w:sz w:val="28"/>
                <w:szCs w:val="28"/>
                <w:rtl/>
                <w:lang w:eastAsia="ar-EG" w:bidi="ar-EG"/>
              </w:rPr>
              <w:t xml:space="preserve"> ‏المنازعات</w:t>
            </w:r>
          </w:p>
        </w:tc>
        <w:tc>
          <w:tcPr>
            <w:tcW w:w="2063" w:type="pct"/>
            <w:shd w:val="clear" w:color="auto" w:fill="auto"/>
            <w:tcMar>
              <w:top w:w="57" w:type="dxa"/>
              <w:bottom w:w="113" w:type="dxa"/>
            </w:tcMar>
          </w:tcPr>
          <w:p w14:paraId="53156653" w14:textId="0DE576DB"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زيادة الاستعانة بخدمات وشروط بديلة لتسوية المنازعات في الصفقات والتسجيلات المتعلقة بالملكية الفكرية، بما في ذلك عبر</w:t>
            </w:r>
            <w:r>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إجراءات الويبو</w:t>
            </w:r>
          </w:p>
        </w:tc>
        <w:tc>
          <w:tcPr>
            <w:tcW w:w="832" w:type="pct"/>
            <w:shd w:val="clear" w:color="auto" w:fill="FFFFFF"/>
            <w:tcMar>
              <w:top w:w="57" w:type="dxa"/>
              <w:bottom w:w="113" w:type="dxa"/>
            </w:tcMar>
          </w:tcPr>
          <w:p w14:paraId="77037330"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7</w:t>
            </w:r>
          </w:p>
        </w:tc>
        <w:tc>
          <w:tcPr>
            <w:tcW w:w="659" w:type="pct"/>
            <w:shd w:val="clear" w:color="auto" w:fill="FFFFFF"/>
            <w:tcMar>
              <w:top w:w="57" w:type="dxa"/>
            </w:tcMar>
          </w:tcPr>
          <w:p w14:paraId="5A66EE00"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E36C0A" w:themeColor="accent6" w:themeShade="BF"/>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09FE3D50" w14:textId="77777777" w:rsidTr="007B75FB">
        <w:trPr>
          <w:cantSplit/>
          <w:trHeight w:val="500"/>
        </w:trPr>
        <w:tc>
          <w:tcPr>
            <w:tcW w:w="1446" w:type="pct"/>
            <w:vMerge/>
            <w:shd w:val="clear" w:color="auto" w:fill="auto"/>
            <w:tcMar>
              <w:top w:w="57" w:type="dxa"/>
              <w:bottom w:w="113" w:type="dxa"/>
            </w:tcMar>
          </w:tcPr>
          <w:p w14:paraId="618EFD09"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458E23E7" w14:textId="7D3FD872" w:rsidR="00263723" w:rsidRPr="00263723" w:rsidRDefault="00263723" w:rsidP="0031289D">
            <w:pPr>
              <w:bidi/>
              <w:spacing w:before="120" w:after="120" w:line="280" w:lineRule="exact"/>
              <w:rPr>
                <w:rFonts w:ascii="Arabic Typesetting" w:eastAsia="SimSun" w:hAnsi="Arabic Typesetting" w:cs="Arabic Typesetting"/>
                <w:color w:val="000000"/>
                <w:sz w:val="28"/>
                <w:szCs w:val="28"/>
                <w:lang w:eastAsia="zh-CN"/>
              </w:rPr>
            </w:pPr>
            <w:r w:rsidRPr="00263723">
              <w:rPr>
                <w:rFonts w:ascii="Arabic Typesetting" w:eastAsia="Arabic Typesetting" w:hAnsi="Arabic Typesetting" w:cs="Arabic Typesetting"/>
                <w:color w:val="000000"/>
                <w:sz w:val="28"/>
                <w:szCs w:val="28"/>
                <w:rtl/>
                <w:lang w:eastAsia="ar-EG" w:bidi="ar-EG"/>
              </w:rPr>
              <w:t>السياسات البديلة لتسوية المنازعات التي ساهم المركز في</w:t>
            </w:r>
            <w:r>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وضعها</w:t>
            </w:r>
            <w:r>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وتنفيذها</w:t>
            </w:r>
          </w:p>
        </w:tc>
        <w:tc>
          <w:tcPr>
            <w:tcW w:w="832" w:type="pct"/>
            <w:shd w:val="clear" w:color="auto" w:fill="FFFFFF"/>
            <w:tcMar>
              <w:top w:w="57" w:type="dxa"/>
              <w:bottom w:w="113" w:type="dxa"/>
            </w:tcMar>
          </w:tcPr>
          <w:p w14:paraId="79042264"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7</w:t>
            </w:r>
          </w:p>
        </w:tc>
        <w:tc>
          <w:tcPr>
            <w:tcW w:w="659" w:type="pct"/>
            <w:shd w:val="clear" w:color="auto" w:fill="FFFFFF"/>
            <w:tcMar>
              <w:top w:w="57" w:type="dxa"/>
            </w:tcMar>
          </w:tcPr>
          <w:p w14:paraId="2EA84F7D"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E36C0A" w:themeColor="accent6" w:themeShade="BF"/>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5A4819CE" w14:textId="77777777" w:rsidTr="007B75FB">
        <w:trPr>
          <w:cantSplit/>
          <w:trHeight w:val="500"/>
        </w:trPr>
        <w:tc>
          <w:tcPr>
            <w:tcW w:w="1446" w:type="pct"/>
            <w:shd w:val="clear" w:color="auto" w:fill="auto"/>
            <w:tcMar>
              <w:top w:w="57" w:type="dxa"/>
              <w:bottom w:w="113" w:type="dxa"/>
            </w:tcMar>
          </w:tcPr>
          <w:p w14:paraId="7982E3CD"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2D6A2317" w14:textId="29DC7581"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 xml:space="preserve">عدد منازعات الملكية الفكرية التي بدأت في </w:t>
            </w:r>
            <w:r w:rsidR="00AF6433">
              <w:rPr>
                <w:rFonts w:ascii="Arabic Typesetting" w:eastAsia="Arabic Typesetting" w:hAnsi="Arabic Typesetting" w:cs="Arabic Typesetting"/>
                <w:color w:val="000000"/>
                <w:sz w:val="28"/>
                <w:szCs w:val="28"/>
                <w:rtl/>
                <w:lang w:eastAsia="ar-EG" w:bidi="ar-EG"/>
              </w:rPr>
              <w:t>البلدان المتحولة</w:t>
            </w:r>
            <w:r w:rsidRPr="00263723">
              <w:rPr>
                <w:rFonts w:ascii="Arabic Typesetting" w:eastAsia="Arabic Typesetting" w:hAnsi="Arabic Typesetting" w:cs="Arabic Typesetting"/>
                <w:color w:val="000000"/>
                <w:sz w:val="28"/>
                <w:szCs w:val="28"/>
                <w:rtl/>
                <w:lang w:eastAsia="ar-EG" w:bidi="ar-EG"/>
              </w:rPr>
              <w:t xml:space="preserve"> والمتقدمة التي تم منعها أو حلها عن طريق الوساطة والتحكيم وغيرها من أساليب الويبو البديلة لتسوية</w:t>
            </w:r>
            <w:r>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المنازعات</w:t>
            </w:r>
          </w:p>
        </w:tc>
        <w:tc>
          <w:tcPr>
            <w:tcW w:w="832" w:type="pct"/>
            <w:shd w:val="clear" w:color="auto" w:fill="FFFFFF"/>
            <w:tcMar>
              <w:top w:w="57" w:type="dxa"/>
              <w:bottom w:w="113" w:type="dxa"/>
            </w:tcMar>
          </w:tcPr>
          <w:p w14:paraId="5BD0E752"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10</w:t>
            </w:r>
          </w:p>
        </w:tc>
        <w:tc>
          <w:tcPr>
            <w:tcW w:w="659" w:type="pct"/>
            <w:shd w:val="clear" w:color="auto" w:fill="FFFFFF"/>
            <w:tcMar>
              <w:top w:w="57" w:type="dxa"/>
            </w:tcMar>
          </w:tcPr>
          <w:p w14:paraId="784716F1"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E36C0A" w:themeColor="accent6" w:themeShade="BF"/>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70EB6E7B" w14:textId="77777777" w:rsidTr="007B75FB">
        <w:trPr>
          <w:cantSplit/>
          <w:trHeight w:val="500"/>
        </w:trPr>
        <w:tc>
          <w:tcPr>
            <w:tcW w:w="1446" w:type="pct"/>
            <w:vMerge w:val="restart"/>
            <w:shd w:val="clear" w:color="auto" w:fill="auto"/>
            <w:tcMar>
              <w:top w:w="57" w:type="dxa"/>
              <w:bottom w:w="113" w:type="dxa"/>
            </w:tcMar>
          </w:tcPr>
          <w:p w14:paraId="1B12D03A" w14:textId="526A24D9"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ھ9.2 حماية فعالة للملكية الفكرية في الحقول العليا المكونة من أسماء عامة والحقول العليا المكونة من رموز البلدان</w:t>
            </w:r>
          </w:p>
        </w:tc>
        <w:tc>
          <w:tcPr>
            <w:tcW w:w="2063" w:type="pct"/>
            <w:shd w:val="clear" w:color="auto" w:fill="auto"/>
            <w:tcMar>
              <w:top w:w="57" w:type="dxa"/>
              <w:bottom w:w="113" w:type="dxa"/>
            </w:tcMar>
          </w:tcPr>
          <w:p w14:paraId="3BCAF31F"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سياسات تسوية المنازعات التي أسهم المركز في وضعها وتنفيذها في سياق نظام أسماء الحقول</w:t>
            </w:r>
          </w:p>
        </w:tc>
        <w:tc>
          <w:tcPr>
            <w:tcW w:w="832" w:type="pct"/>
            <w:shd w:val="clear" w:color="auto" w:fill="FFFFFF"/>
            <w:tcMar>
              <w:top w:w="57" w:type="dxa"/>
              <w:bottom w:w="113" w:type="dxa"/>
            </w:tcMar>
          </w:tcPr>
          <w:p w14:paraId="73DDD2FC"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7</w:t>
            </w:r>
          </w:p>
        </w:tc>
        <w:tc>
          <w:tcPr>
            <w:tcW w:w="659" w:type="pct"/>
            <w:shd w:val="clear" w:color="auto" w:fill="FFFFFF"/>
            <w:tcMar>
              <w:top w:w="57" w:type="dxa"/>
            </w:tcMar>
          </w:tcPr>
          <w:p w14:paraId="1FF40EE0"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E36C0A" w:themeColor="accent6" w:themeShade="BF"/>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70CBA24F" w14:textId="77777777" w:rsidTr="007B75FB">
        <w:trPr>
          <w:cantSplit/>
          <w:trHeight w:val="349"/>
        </w:trPr>
        <w:tc>
          <w:tcPr>
            <w:tcW w:w="1446" w:type="pct"/>
            <w:vMerge/>
            <w:shd w:val="clear" w:color="auto" w:fill="auto"/>
            <w:tcMar>
              <w:top w:w="57" w:type="dxa"/>
              <w:bottom w:w="113" w:type="dxa"/>
            </w:tcMar>
          </w:tcPr>
          <w:p w14:paraId="12FA4CFD"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27683365" w14:textId="27DFA208"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عدد الحالات التي عالجها المركز فيما يتعلق بالحقول العليا المكونة من أسماء عامة والحقول العليا المكونة من رموز البلدان في إطار السياسة الموحدة لتسوية المنازعات المتعلقة بأسماء</w:t>
            </w:r>
            <w:r>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الحقول</w:t>
            </w:r>
          </w:p>
        </w:tc>
        <w:tc>
          <w:tcPr>
            <w:tcW w:w="832" w:type="pct"/>
            <w:shd w:val="clear" w:color="auto" w:fill="FFFFFF"/>
            <w:tcMar>
              <w:top w:w="57" w:type="dxa"/>
              <w:bottom w:w="113" w:type="dxa"/>
            </w:tcMar>
          </w:tcPr>
          <w:p w14:paraId="638866FB"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7</w:t>
            </w:r>
          </w:p>
        </w:tc>
        <w:tc>
          <w:tcPr>
            <w:tcW w:w="659" w:type="pct"/>
            <w:shd w:val="clear" w:color="auto" w:fill="FFFFFF"/>
            <w:tcMar>
              <w:top w:w="57" w:type="dxa"/>
            </w:tcMar>
          </w:tcPr>
          <w:p w14:paraId="02E39B5B"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E36C0A" w:themeColor="accent6" w:themeShade="BF"/>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4D80A31E" w14:textId="77777777" w:rsidTr="007B75FB">
        <w:trPr>
          <w:cantSplit/>
          <w:trHeight w:val="500"/>
        </w:trPr>
        <w:tc>
          <w:tcPr>
            <w:tcW w:w="1446" w:type="pct"/>
            <w:vMerge w:val="restart"/>
            <w:shd w:val="clear" w:color="auto" w:fill="auto"/>
            <w:tcMar>
              <w:top w:w="57" w:type="dxa"/>
              <w:bottom w:w="113" w:type="dxa"/>
            </w:tcMar>
          </w:tcPr>
          <w:p w14:paraId="4F1EB001" w14:textId="4E2E8A15"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sz w:val="28"/>
                <w:szCs w:val="28"/>
                <w:rtl/>
                <w:lang w:eastAsia="ar-EG" w:bidi="ar-EG"/>
              </w:rPr>
              <w:lastRenderedPageBreak/>
              <w:t xml:space="preserve">ه10.2 استخدام نظام لشبونة على نطاق أوسع وبفعالية أكبر، بما في ذلك من قبل </w:t>
            </w:r>
            <w:r w:rsidRPr="00263723">
              <w:rPr>
                <w:rFonts w:ascii="Arabic Typesetting" w:eastAsia="Arabic Typesetting" w:hAnsi="Arabic Typesetting" w:cs="Arabic Typesetting"/>
                <w:color w:val="000000"/>
                <w:sz w:val="28"/>
                <w:szCs w:val="28"/>
                <w:rtl/>
                <w:lang w:eastAsia="ar-EG" w:bidi="ar-EG"/>
              </w:rPr>
              <w:t>البلدان</w:t>
            </w:r>
            <w:r w:rsidRPr="00263723">
              <w:rPr>
                <w:rFonts w:ascii="Arabic Typesetting" w:eastAsia="Arabic Typesetting" w:hAnsi="Arabic Typesetting" w:cs="Arabic Typesetting"/>
                <w:sz w:val="28"/>
                <w:szCs w:val="28"/>
                <w:rtl/>
                <w:lang w:eastAsia="ar-EG" w:bidi="ar-EG"/>
              </w:rPr>
              <w:t xml:space="preserve"> النامية والبلدان الأقل نموا</w:t>
            </w:r>
          </w:p>
        </w:tc>
        <w:tc>
          <w:tcPr>
            <w:tcW w:w="2063" w:type="pct"/>
            <w:shd w:val="clear" w:color="auto" w:fill="auto"/>
            <w:tcMar>
              <w:top w:w="57" w:type="dxa"/>
              <w:bottom w:w="113" w:type="dxa"/>
            </w:tcMar>
          </w:tcPr>
          <w:p w14:paraId="6752F825"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عدد التسجيلات الدولية من البلدان النامية والبلدان الأقل نمواً السارية بموجب نظام لشبونة (بالنسبة إلى مجموعها)</w:t>
            </w:r>
          </w:p>
        </w:tc>
        <w:tc>
          <w:tcPr>
            <w:tcW w:w="832" w:type="pct"/>
            <w:shd w:val="clear" w:color="auto" w:fill="FFFFFF"/>
            <w:tcMar>
              <w:top w:w="57" w:type="dxa"/>
              <w:bottom w:w="113" w:type="dxa"/>
            </w:tcMar>
          </w:tcPr>
          <w:p w14:paraId="75067EDA" w14:textId="1DA63896"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9</w:t>
            </w:r>
          </w:p>
          <w:p w14:paraId="153D621D"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32</w:t>
            </w:r>
          </w:p>
        </w:tc>
        <w:tc>
          <w:tcPr>
            <w:tcW w:w="659" w:type="pct"/>
            <w:shd w:val="clear" w:color="auto" w:fill="FFFFFF"/>
            <w:tcMar>
              <w:top w:w="57" w:type="dxa"/>
            </w:tcMar>
          </w:tcPr>
          <w:p w14:paraId="6EE9C22E"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FF0000"/>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p w14:paraId="18CB6223"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tc>
      </w:tr>
      <w:tr w:rsidR="00263723" w:rsidRPr="00263723" w14:paraId="48DBB3BD" w14:textId="77777777" w:rsidTr="007B75FB">
        <w:trPr>
          <w:cantSplit/>
          <w:trHeight w:val="369"/>
        </w:trPr>
        <w:tc>
          <w:tcPr>
            <w:tcW w:w="1446" w:type="pct"/>
            <w:vMerge/>
            <w:shd w:val="clear" w:color="auto" w:fill="auto"/>
            <w:tcMar>
              <w:top w:w="57" w:type="dxa"/>
              <w:bottom w:w="113" w:type="dxa"/>
            </w:tcMar>
          </w:tcPr>
          <w:p w14:paraId="5AFE9DE6"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74FC5EE3" w14:textId="239C1250"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 xml:space="preserve">عدد التسجيلات الدولية السارية بناء على نظام لشبونة </w:t>
            </w:r>
            <w:r w:rsidRPr="00263723">
              <w:rPr>
                <w:rFonts w:ascii="Arabic Typesetting" w:eastAsia="Arabic Typesetting" w:hAnsi="Arabic Typesetting" w:cs="Arabic Typesetting" w:hint="cs"/>
                <w:color w:val="000000"/>
                <w:sz w:val="28"/>
                <w:szCs w:val="28"/>
                <w:rtl/>
                <w:lang w:eastAsia="ar-EG" w:bidi="ar-EG"/>
              </w:rPr>
              <w:t xml:space="preserve">في </w:t>
            </w:r>
            <w:r w:rsidR="00AF6433">
              <w:rPr>
                <w:rFonts w:ascii="Arabic Typesetting" w:eastAsia="Arabic Typesetting" w:hAnsi="Arabic Typesetting" w:cs="Arabic Typesetting" w:hint="cs"/>
                <w:color w:val="000000"/>
                <w:sz w:val="28"/>
                <w:szCs w:val="28"/>
                <w:rtl/>
                <w:lang w:eastAsia="ar-EG" w:bidi="ar-EG"/>
              </w:rPr>
              <w:t>البلدان المتحولة</w:t>
            </w:r>
            <w:r w:rsidRPr="00263723">
              <w:rPr>
                <w:rFonts w:ascii="Arabic Typesetting" w:eastAsia="Arabic Typesetting" w:hAnsi="Arabic Typesetting" w:cs="Arabic Typesetting"/>
                <w:color w:val="000000"/>
                <w:sz w:val="28"/>
                <w:szCs w:val="28"/>
                <w:rtl/>
                <w:lang w:eastAsia="ar-EG" w:bidi="ar-EG"/>
              </w:rPr>
              <w:t xml:space="preserve"> والبلدان المتقدمة</w:t>
            </w:r>
          </w:p>
        </w:tc>
        <w:tc>
          <w:tcPr>
            <w:tcW w:w="832" w:type="pct"/>
            <w:shd w:val="clear" w:color="auto" w:fill="FFFFFF"/>
            <w:tcMar>
              <w:top w:w="57" w:type="dxa"/>
              <w:bottom w:w="113" w:type="dxa"/>
            </w:tcMar>
          </w:tcPr>
          <w:p w14:paraId="10D11E9B"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10</w:t>
            </w:r>
          </w:p>
        </w:tc>
        <w:tc>
          <w:tcPr>
            <w:tcW w:w="659" w:type="pct"/>
            <w:shd w:val="clear" w:color="auto" w:fill="FFFFFF"/>
            <w:tcMar>
              <w:top w:w="57" w:type="dxa"/>
            </w:tcMar>
          </w:tcPr>
          <w:p w14:paraId="418FE89D"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4AE7B1D0" w14:textId="77777777" w:rsidTr="007B75FB">
        <w:trPr>
          <w:cantSplit/>
          <w:trHeight w:val="521"/>
        </w:trPr>
        <w:tc>
          <w:tcPr>
            <w:tcW w:w="1446" w:type="pct"/>
            <w:shd w:val="clear" w:color="auto" w:fill="auto"/>
            <w:tcMar>
              <w:top w:w="57" w:type="dxa"/>
              <w:bottom w:w="113" w:type="dxa"/>
            </w:tcMar>
          </w:tcPr>
          <w:p w14:paraId="2F8B384C"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0AFB7EE6" w14:textId="48F1C4F3"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النسبة المئوية للمشاركين في تظاهرات نظام لشبونة الذين يعبرون عن رضاهم ويبلغون عن زيادة وعيهم بعد حضور</w:t>
            </w:r>
            <w:r>
              <w:rPr>
                <w:rFonts w:ascii="Arabic Typesetting" w:eastAsia="Arabic Typesetting" w:hAnsi="Arabic Typesetting" w:cs="Arabic Typesetting" w:hint="cs"/>
                <w:color w:val="000000"/>
                <w:sz w:val="28"/>
                <w:szCs w:val="28"/>
                <w:rtl/>
                <w:lang w:eastAsia="ar-EG" w:bidi="ar-EG"/>
              </w:rPr>
              <w:t> </w:t>
            </w:r>
            <w:r w:rsidRPr="00263723">
              <w:rPr>
                <w:rFonts w:ascii="Arabic Typesetting" w:eastAsia="Arabic Typesetting" w:hAnsi="Arabic Typesetting" w:cs="Arabic Typesetting"/>
                <w:color w:val="000000"/>
                <w:sz w:val="28"/>
                <w:szCs w:val="28"/>
                <w:rtl/>
                <w:lang w:eastAsia="ar-EG" w:bidi="ar-EG"/>
              </w:rPr>
              <w:t>التظاهرة</w:t>
            </w:r>
          </w:p>
        </w:tc>
        <w:tc>
          <w:tcPr>
            <w:tcW w:w="832" w:type="pct"/>
            <w:shd w:val="clear" w:color="auto" w:fill="FFFFFF"/>
            <w:tcMar>
              <w:top w:w="57" w:type="dxa"/>
              <w:bottom w:w="113" w:type="dxa"/>
            </w:tcMar>
          </w:tcPr>
          <w:p w14:paraId="6D3FF560"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32</w:t>
            </w:r>
          </w:p>
        </w:tc>
        <w:tc>
          <w:tcPr>
            <w:tcW w:w="659" w:type="pct"/>
            <w:shd w:val="clear" w:color="auto" w:fill="FFFFFF"/>
            <w:tcMar>
              <w:top w:w="57" w:type="dxa"/>
            </w:tcMar>
          </w:tcPr>
          <w:p w14:paraId="49B54A14"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591D989A" w14:textId="77777777" w:rsidTr="007B75FB">
        <w:trPr>
          <w:cantSplit/>
          <w:trHeight w:val="220"/>
        </w:trPr>
        <w:tc>
          <w:tcPr>
            <w:tcW w:w="1446" w:type="pct"/>
            <w:shd w:val="clear" w:color="auto" w:fill="auto"/>
            <w:tcMar>
              <w:top w:w="57" w:type="dxa"/>
              <w:bottom w:w="113" w:type="dxa"/>
            </w:tcMar>
          </w:tcPr>
          <w:p w14:paraId="359D5C85"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70F319A1"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توسيع نطاق التغطية الجغرافية لنظام لشبونة</w:t>
            </w:r>
          </w:p>
        </w:tc>
        <w:tc>
          <w:tcPr>
            <w:tcW w:w="832" w:type="pct"/>
            <w:shd w:val="clear" w:color="auto" w:fill="FFFFFF"/>
            <w:tcMar>
              <w:top w:w="57" w:type="dxa"/>
              <w:bottom w:w="113" w:type="dxa"/>
            </w:tcMar>
          </w:tcPr>
          <w:p w14:paraId="392B21FC"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32</w:t>
            </w:r>
          </w:p>
        </w:tc>
        <w:tc>
          <w:tcPr>
            <w:tcW w:w="659" w:type="pct"/>
            <w:shd w:val="clear" w:color="auto" w:fill="FFFFFF"/>
            <w:tcMar>
              <w:top w:w="57" w:type="dxa"/>
            </w:tcMar>
          </w:tcPr>
          <w:p w14:paraId="46C39AFC"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tc>
      </w:tr>
      <w:tr w:rsidR="00263723" w:rsidRPr="00263723" w14:paraId="74728D25" w14:textId="77777777" w:rsidTr="007B75FB">
        <w:trPr>
          <w:cantSplit/>
          <w:trHeight w:val="351"/>
        </w:trPr>
        <w:tc>
          <w:tcPr>
            <w:tcW w:w="1446" w:type="pct"/>
            <w:shd w:val="clear" w:color="auto" w:fill="auto"/>
            <w:tcMar>
              <w:top w:w="57" w:type="dxa"/>
              <w:bottom w:w="113" w:type="dxa"/>
            </w:tcMar>
          </w:tcPr>
          <w:p w14:paraId="5F742ABA"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06981929"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عدد الطلبات الدولية وغيرها من المعاملات (لشبونة)</w:t>
            </w:r>
          </w:p>
        </w:tc>
        <w:tc>
          <w:tcPr>
            <w:tcW w:w="832" w:type="pct"/>
            <w:shd w:val="clear" w:color="auto" w:fill="FFFFFF"/>
            <w:tcMar>
              <w:top w:w="57" w:type="dxa"/>
              <w:bottom w:w="113" w:type="dxa"/>
            </w:tcMar>
          </w:tcPr>
          <w:p w14:paraId="1409E97A"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32</w:t>
            </w:r>
          </w:p>
        </w:tc>
        <w:tc>
          <w:tcPr>
            <w:tcW w:w="659" w:type="pct"/>
            <w:shd w:val="clear" w:color="auto" w:fill="FFFFFF"/>
            <w:tcMar>
              <w:top w:w="57" w:type="dxa"/>
            </w:tcMar>
          </w:tcPr>
          <w:p w14:paraId="5B4EADE8"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00B050"/>
                <w:sz w:val="28"/>
                <w:szCs w:val="28"/>
                <w:lang w:eastAsia="zh-CN"/>
              </w:rPr>
              <w:sym w:font="Wingdings" w:char="F06C"/>
            </w:r>
          </w:p>
        </w:tc>
      </w:tr>
      <w:tr w:rsidR="00263723" w:rsidRPr="00263723" w14:paraId="3651D746" w14:textId="77777777" w:rsidTr="007B75FB">
        <w:trPr>
          <w:cantSplit/>
          <w:trHeight w:val="255"/>
        </w:trPr>
        <w:tc>
          <w:tcPr>
            <w:tcW w:w="1446" w:type="pct"/>
            <w:vMerge w:val="restart"/>
            <w:shd w:val="clear" w:color="auto" w:fill="auto"/>
            <w:tcMar>
              <w:top w:w="57" w:type="dxa"/>
              <w:bottom w:w="113" w:type="dxa"/>
            </w:tcMar>
          </w:tcPr>
          <w:p w14:paraId="699DCBE9" w14:textId="6A741BC5"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 xml:space="preserve">ه11.2 </w:t>
            </w:r>
            <w:r w:rsidRPr="00263723">
              <w:rPr>
                <w:rFonts w:ascii="Arabic Typesetting" w:eastAsia="Arabic Typesetting" w:hAnsi="Arabic Typesetting" w:cs="Arabic Typesetting" w:hint="cs"/>
                <w:color w:val="000000"/>
                <w:sz w:val="28"/>
                <w:szCs w:val="28"/>
                <w:rtl/>
                <w:lang w:eastAsia="ar-EG" w:bidi="ar-EG"/>
              </w:rPr>
              <w:t>إنتاجية وجودة خدمات محسّنة</w:t>
            </w:r>
            <w:r w:rsidRPr="00263723">
              <w:rPr>
                <w:rFonts w:ascii="Arabic Typesetting" w:eastAsia="Arabic Typesetting" w:hAnsi="Arabic Typesetting" w:cs="Arabic Typesetting"/>
                <w:color w:val="000000"/>
                <w:sz w:val="28"/>
                <w:szCs w:val="28"/>
                <w:rtl/>
                <w:lang w:eastAsia="ar-EG" w:bidi="ar-EG"/>
              </w:rPr>
              <w:t xml:space="preserve"> في عمليات نظام لشبونة</w:t>
            </w:r>
          </w:p>
        </w:tc>
        <w:tc>
          <w:tcPr>
            <w:tcW w:w="2063" w:type="pct"/>
            <w:shd w:val="clear" w:color="auto" w:fill="auto"/>
            <w:tcMar>
              <w:top w:w="57" w:type="dxa"/>
              <w:bottom w:w="113" w:type="dxa"/>
            </w:tcMar>
          </w:tcPr>
          <w:p w14:paraId="65A49311"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اعتماد أحكام تبسيط الإطار القانوني لنظام لشبونة</w:t>
            </w:r>
          </w:p>
        </w:tc>
        <w:tc>
          <w:tcPr>
            <w:tcW w:w="832" w:type="pct"/>
            <w:shd w:val="clear" w:color="auto" w:fill="FFFFFF"/>
            <w:tcMar>
              <w:top w:w="57" w:type="dxa"/>
              <w:bottom w:w="113" w:type="dxa"/>
            </w:tcMar>
          </w:tcPr>
          <w:p w14:paraId="75AAE2D1"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32</w:t>
            </w:r>
          </w:p>
        </w:tc>
        <w:tc>
          <w:tcPr>
            <w:tcW w:w="659" w:type="pct"/>
            <w:shd w:val="clear" w:color="auto" w:fill="FFFFFF"/>
            <w:tcMar>
              <w:top w:w="57" w:type="dxa"/>
            </w:tcMar>
          </w:tcPr>
          <w:p w14:paraId="37CC5E7E"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00B050"/>
                <w:sz w:val="28"/>
                <w:szCs w:val="28"/>
                <w:lang w:eastAsia="zh-CN"/>
              </w:rPr>
              <w:sym w:font="Wingdings" w:char="F06C"/>
            </w:r>
          </w:p>
        </w:tc>
      </w:tr>
      <w:tr w:rsidR="00263723" w:rsidRPr="00263723" w14:paraId="65B57827" w14:textId="77777777" w:rsidTr="007B75FB">
        <w:trPr>
          <w:cantSplit/>
          <w:trHeight w:val="291"/>
        </w:trPr>
        <w:tc>
          <w:tcPr>
            <w:tcW w:w="1446" w:type="pct"/>
            <w:vMerge/>
            <w:shd w:val="clear" w:color="auto" w:fill="auto"/>
            <w:tcMar>
              <w:top w:w="57" w:type="dxa"/>
              <w:bottom w:w="113" w:type="dxa"/>
            </w:tcMar>
          </w:tcPr>
          <w:p w14:paraId="7CBC678D"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62DD853B"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تحسين الخدمات الإلكترونية لسجل لشبونة</w:t>
            </w:r>
          </w:p>
        </w:tc>
        <w:tc>
          <w:tcPr>
            <w:tcW w:w="832" w:type="pct"/>
            <w:shd w:val="clear" w:color="auto" w:fill="FFFFFF"/>
            <w:tcMar>
              <w:top w:w="57" w:type="dxa"/>
              <w:bottom w:w="113" w:type="dxa"/>
            </w:tcMar>
          </w:tcPr>
          <w:p w14:paraId="674D0FC2"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32</w:t>
            </w:r>
          </w:p>
        </w:tc>
        <w:tc>
          <w:tcPr>
            <w:tcW w:w="659" w:type="pct"/>
            <w:shd w:val="clear" w:color="auto" w:fill="FFFFFF"/>
            <w:tcMar>
              <w:top w:w="57" w:type="dxa"/>
            </w:tcMar>
          </w:tcPr>
          <w:p w14:paraId="126271D3"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FF0000"/>
                <w:sz w:val="28"/>
                <w:szCs w:val="28"/>
                <w:lang w:eastAsia="zh-CN"/>
              </w:rPr>
              <w:sym w:font="Wingdings" w:char="F06C"/>
            </w:r>
          </w:p>
        </w:tc>
      </w:tr>
      <w:tr w:rsidR="00263723" w:rsidRPr="00263723" w14:paraId="2540F733" w14:textId="77777777" w:rsidTr="007B75FB">
        <w:trPr>
          <w:cantSplit/>
          <w:trHeight w:val="500"/>
        </w:trPr>
        <w:tc>
          <w:tcPr>
            <w:tcW w:w="1446" w:type="pct"/>
            <w:shd w:val="clear" w:color="auto" w:fill="auto"/>
            <w:tcMar>
              <w:top w:w="57" w:type="dxa"/>
              <w:bottom w:w="113" w:type="dxa"/>
            </w:tcMar>
          </w:tcPr>
          <w:p w14:paraId="7DCF5B76"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p>
        </w:tc>
        <w:tc>
          <w:tcPr>
            <w:tcW w:w="2063" w:type="pct"/>
            <w:shd w:val="clear" w:color="auto" w:fill="auto"/>
            <w:tcMar>
              <w:top w:w="57" w:type="dxa"/>
              <w:bottom w:w="113" w:type="dxa"/>
            </w:tcMar>
          </w:tcPr>
          <w:p w14:paraId="16F4C245" w14:textId="77777777" w:rsidR="00263723" w:rsidRPr="00263723" w:rsidRDefault="00263723" w:rsidP="0031289D">
            <w:pPr>
              <w:bidi/>
              <w:spacing w:before="120" w:after="120" w:line="280" w:lineRule="exact"/>
              <w:rPr>
                <w:rFonts w:ascii="Arabic Typesetting" w:eastAsia="SimSun" w:hAnsi="Arabic Typesetting" w:cs="Arabic Typesetting"/>
                <w:sz w:val="28"/>
                <w:szCs w:val="28"/>
                <w:lang w:eastAsia="zh-CN"/>
              </w:rPr>
            </w:pPr>
            <w:r w:rsidRPr="00263723">
              <w:rPr>
                <w:rFonts w:ascii="Arabic Typesetting" w:eastAsia="Arabic Typesetting" w:hAnsi="Arabic Typesetting" w:cs="Arabic Typesetting"/>
                <w:color w:val="000000"/>
                <w:sz w:val="28"/>
                <w:szCs w:val="28"/>
                <w:rtl/>
                <w:lang w:eastAsia="ar-EG" w:bidi="ar-EG"/>
              </w:rPr>
              <w:t>زيادة استخدام الوسائل الإلكترونية لإيداع ومعالجة الطلبات الدولية وغيرها من المعاملات (لشبونة)</w:t>
            </w:r>
          </w:p>
        </w:tc>
        <w:tc>
          <w:tcPr>
            <w:tcW w:w="832" w:type="pct"/>
            <w:shd w:val="clear" w:color="auto" w:fill="FFFFFF"/>
            <w:tcMar>
              <w:top w:w="57" w:type="dxa"/>
              <w:bottom w:w="113" w:type="dxa"/>
            </w:tcMar>
          </w:tcPr>
          <w:p w14:paraId="46CD830B" w14:textId="77777777" w:rsidR="00263723" w:rsidRPr="00263723" w:rsidRDefault="00263723" w:rsidP="0031289D">
            <w:pPr>
              <w:bidi/>
              <w:spacing w:before="120" w:after="120" w:line="280" w:lineRule="exact"/>
              <w:jc w:val="center"/>
              <w:rPr>
                <w:rFonts w:ascii="Arabic Typesetting" w:eastAsia="SimSun" w:hAnsi="Arabic Typesetting" w:cs="Arabic Typesetting"/>
                <w:sz w:val="28"/>
                <w:szCs w:val="28"/>
                <w:lang w:eastAsia="zh-CN"/>
              </w:rPr>
            </w:pPr>
            <w:r w:rsidRPr="00263723">
              <w:rPr>
                <w:rFonts w:ascii="Arabic Typesetting" w:eastAsia="SimSun" w:hAnsi="Arabic Typesetting" w:cs="Arabic Typesetting"/>
                <w:sz w:val="28"/>
                <w:szCs w:val="28"/>
                <w:rtl/>
                <w:lang w:eastAsia="zh-CN"/>
              </w:rPr>
              <w:t>البرنامج 32</w:t>
            </w:r>
          </w:p>
        </w:tc>
        <w:tc>
          <w:tcPr>
            <w:tcW w:w="659" w:type="pct"/>
            <w:shd w:val="clear" w:color="auto" w:fill="FFFFFF"/>
            <w:tcMar>
              <w:top w:w="57" w:type="dxa"/>
            </w:tcMar>
          </w:tcPr>
          <w:p w14:paraId="55291CC1" w14:textId="77777777" w:rsidR="00263723" w:rsidRPr="00263723" w:rsidRDefault="00263723" w:rsidP="0031289D">
            <w:pPr>
              <w:bidi/>
              <w:spacing w:before="120" w:after="120" w:line="280" w:lineRule="exact"/>
              <w:jc w:val="center"/>
              <w:rPr>
                <w:rFonts w:ascii="Arabic Typesetting" w:eastAsia="SimSun" w:hAnsi="Arabic Typesetting" w:cs="Arabic Typesetting"/>
                <w:color w:val="00B050"/>
                <w:sz w:val="28"/>
                <w:szCs w:val="28"/>
                <w:lang w:eastAsia="zh-CN"/>
              </w:rPr>
            </w:pPr>
            <w:r w:rsidRPr="00263723">
              <w:rPr>
                <w:rFonts w:ascii="Arabic Typesetting" w:eastAsia="SimSun" w:hAnsi="Arabic Typesetting" w:cs="Arabic Typesetting"/>
                <w:color w:val="00B050"/>
                <w:sz w:val="28"/>
                <w:szCs w:val="28"/>
                <w:lang w:eastAsia="zh-CN"/>
              </w:rPr>
              <w:sym w:font="Wingdings" w:char="F06C"/>
            </w:r>
            <w:r w:rsidRPr="00263723">
              <w:rPr>
                <w:rFonts w:ascii="Arabic Typesetting" w:eastAsia="SimSun" w:hAnsi="Arabic Typesetting" w:cs="Arabic Typesetting"/>
                <w:color w:val="FF0000"/>
                <w:sz w:val="28"/>
                <w:szCs w:val="28"/>
                <w:lang w:eastAsia="zh-CN"/>
              </w:rPr>
              <w:sym w:font="Wingdings" w:char="F06C"/>
            </w:r>
          </w:p>
        </w:tc>
      </w:tr>
    </w:tbl>
    <w:p w14:paraId="4E7FF950" w14:textId="77777777" w:rsidR="008855A8" w:rsidRDefault="008855A8" w:rsidP="0031289D">
      <w:pPr>
        <w:bidi/>
        <w:spacing w:after="240"/>
        <w:rPr>
          <w:rFonts w:ascii="Arabic Typesetting" w:hAnsi="Arabic Typesetting" w:cs="Arabic Typesetting"/>
          <w:sz w:val="34"/>
          <w:szCs w:val="34"/>
          <w:rtl/>
        </w:rPr>
      </w:pPr>
    </w:p>
    <w:p w14:paraId="256B30D3" w14:textId="77777777" w:rsidR="00CE6E0B" w:rsidRPr="00321536" w:rsidRDefault="00CE6E0B" w:rsidP="00DA7DF7">
      <w:pPr>
        <w:pStyle w:val="Heading3"/>
        <w:ind w:left="1984" w:hanging="1984"/>
      </w:pPr>
      <w:bookmarkStart w:id="17" w:name="_Toc482782745"/>
      <w:r w:rsidRPr="00321536">
        <w:rPr>
          <w:rtl/>
        </w:rPr>
        <w:lastRenderedPageBreak/>
        <w:t>البرنامج</w:t>
      </w:r>
      <w:r w:rsidRPr="00321536">
        <w:rPr>
          <w:rFonts w:hint="cs"/>
          <w:rtl/>
        </w:rPr>
        <w:t xml:space="preserve"> 5:</w:t>
      </w:r>
      <w:r w:rsidRPr="00321536">
        <w:tab/>
      </w:r>
      <w:r w:rsidRPr="00321536">
        <w:rPr>
          <w:rFonts w:hint="cs"/>
          <w:rtl/>
        </w:rPr>
        <w:t>نظام معاهدة التعاون بشأن البراءات</w:t>
      </w:r>
      <w:bookmarkEnd w:id="17"/>
    </w:p>
    <w:p w14:paraId="1C3CD277" w14:textId="77777777" w:rsidR="00CE6E0B" w:rsidRDefault="00CE6E0B"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530066">
        <w:rPr>
          <w:rFonts w:ascii="Arabic Typesetting" w:hAnsi="Arabic Typesetting" w:cs="Arabic Typesetting"/>
          <w:b/>
          <w:bCs/>
          <w:sz w:val="36"/>
          <w:szCs w:val="36"/>
          <w:rtl/>
          <w:lang w:val="fr-CH"/>
        </w:rPr>
        <w:t>السيد جون سانديج</w:t>
      </w:r>
    </w:p>
    <w:p w14:paraId="6462E177" w14:textId="59FF4F9E" w:rsidR="00CE6E0B" w:rsidRDefault="007B75FB"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6B50E098" wp14:editId="3EDC8662">
            <wp:extent cx="3577718" cy="21600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0" w:type="auto"/>
        <w:tblLook w:val="0000" w:firstRow="0" w:lastRow="0" w:firstColumn="0" w:lastColumn="0" w:noHBand="0" w:noVBand="0"/>
      </w:tblPr>
      <w:tblGrid>
        <w:gridCol w:w="1900"/>
        <w:gridCol w:w="3303"/>
        <w:gridCol w:w="1427"/>
        <w:gridCol w:w="2095"/>
        <w:gridCol w:w="846"/>
      </w:tblGrid>
      <w:tr w:rsidR="00CE6E0B" w:rsidRPr="00E07EE3" w14:paraId="37361A73" w14:textId="77777777" w:rsidTr="00BB3820">
        <w:trPr>
          <w:cantSplit/>
          <w:trHeight w:val="537"/>
        </w:trPr>
        <w:tc>
          <w:tcPr>
            <w:tcW w:w="9571" w:type="dxa"/>
            <w:gridSpan w:val="5"/>
            <w:shd w:val="clear" w:color="auto" w:fill="C6D9F1" w:themeFill="text2" w:themeFillTint="33"/>
            <w:tcMar>
              <w:top w:w="0" w:type="dxa"/>
            </w:tcMar>
            <w:vAlign w:val="center"/>
          </w:tcPr>
          <w:p w14:paraId="407081F3" w14:textId="77777777" w:rsidR="00CE6E0B" w:rsidRPr="00E07EE3" w:rsidRDefault="00CE6E0B" w:rsidP="0031289D">
            <w:pPr>
              <w:keepNext/>
              <w:bidi/>
              <w:spacing w:before="120" w:after="120" w:line="280" w:lineRule="exact"/>
              <w:ind w:left="1167" w:hanging="1167"/>
              <w:rPr>
                <w:rFonts w:ascii="Arabic Typesetting" w:hAnsi="Arabic Typesetting" w:cs="Arabic Typesetting"/>
                <w:b/>
                <w:bCs/>
                <w:sz w:val="28"/>
                <w:szCs w:val="28"/>
                <w:lang w:bidi="ar-EG"/>
              </w:rPr>
            </w:pPr>
            <w:r w:rsidRPr="00E07EE3">
              <w:rPr>
                <w:rFonts w:ascii="Arabic Typesetting" w:hAnsi="Arabic Typesetting" w:cs="Arabic Typesetting"/>
                <w:b/>
                <w:bCs/>
                <w:sz w:val="28"/>
                <w:szCs w:val="28"/>
                <w:rtl/>
                <w:lang w:bidi="ar-EG"/>
              </w:rPr>
              <w:t xml:space="preserve">النتيجة المرتقبة: </w:t>
            </w:r>
            <w:r w:rsidRPr="00E07EE3">
              <w:rPr>
                <w:rFonts w:ascii="Arabic Typesetting" w:hAnsi="Arabic Typesetting" w:cs="Arabic Typesetting"/>
                <w:sz w:val="28"/>
                <w:szCs w:val="28"/>
                <w:rtl/>
                <w:lang w:bidi="ar-EG"/>
              </w:rPr>
              <w:tab/>
            </w:r>
            <w:r>
              <w:rPr>
                <w:rFonts w:ascii="Arabic Typesetting" w:hAnsi="Arabic Typesetting" w:cs="Arabic Typesetting"/>
                <w:sz w:val="28"/>
                <w:szCs w:val="28"/>
                <w:rtl/>
                <w:lang w:bidi="ar-EG"/>
              </w:rPr>
              <w:t xml:space="preserve">ھ1.2 </w:t>
            </w:r>
            <w:r w:rsidRPr="006F1A05">
              <w:rPr>
                <w:rFonts w:ascii="Arabic Typesetting" w:hAnsi="Arabic Typesetting" w:cs="Arabic Typesetting"/>
                <w:sz w:val="28"/>
                <w:szCs w:val="28"/>
                <w:rtl/>
                <w:lang w:bidi="ar-EG"/>
              </w:rPr>
              <w:t>استخدام نظام معاهدة التعاون بشأن البراءات على نطاق أوسع وبفعالية أكبر لإيداع طلبات البراءات الدولية</w:t>
            </w:r>
          </w:p>
        </w:tc>
      </w:tr>
      <w:tr w:rsidR="00CE6E0B" w:rsidRPr="00E07EE3" w14:paraId="5D63D66D" w14:textId="77777777" w:rsidTr="00BB3820">
        <w:trPr>
          <w:cantSplit/>
          <w:trHeight w:val="186"/>
        </w:trPr>
        <w:tc>
          <w:tcPr>
            <w:tcW w:w="1900" w:type="dxa"/>
            <w:tcMar>
              <w:top w:w="110" w:type="dxa"/>
            </w:tcMar>
          </w:tcPr>
          <w:p w14:paraId="31A17915" w14:textId="77777777" w:rsidR="00CE6E0B" w:rsidRPr="00E07EE3" w:rsidRDefault="00CE6E0B" w:rsidP="0031289D">
            <w:pPr>
              <w:keepNext/>
              <w:bidi/>
              <w:spacing w:after="120" w:line="280" w:lineRule="exact"/>
              <w:rPr>
                <w:rFonts w:ascii="Arabic Typesetting" w:hAnsi="Arabic Typesetting" w:cs="Arabic Typesetting"/>
                <w:b/>
                <w:bCs/>
                <w:sz w:val="28"/>
                <w:szCs w:val="28"/>
                <w:rtl/>
                <w:lang w:bidi="ar-EG"/>
              </w:rPr>
            </w:pPr>
            <w:r w:rsidRPr="00E07EE3">
              <w:rPr>
                <w:rFonts w:ascii="Arabic Typesetting" w:hAnsi="Arabic Typesetting" w:cs="Arabic Typesetting"/>
                <w:b/>
                <w:bCs/>
                <w:sz w:val="28"/>
                <w:szCs w:val="28"/>
                <w:rtl/>
                <w:lang w:bidi="ar-EG"/>
              </w:rPr>
              <w:t>مؤشرات الأداء</w:t>
            </w:r>
          </w:p>
        </w:tc>
        <w:tc>
          <w:tcPr>
            <w:tcW w:w="3303" w:type="dxa"/>
            <w:shd w:val="clear" w:color="auto" w:fill="FFFFFF" w:themeFill="background1"/>
            <w:tcMar>
              <w:top w:w="110" w:type="dxa"/>
            </w:tcMar>
          </w:tcPr>
          <w:p w14:paraId="1AAEE329" w14:textId="77777777" w:rsidR="00CE6E0B" w:rsidRPr="00E07EE3" w:rsidRDefault="00CE6E0B" w:rsidP="0031289D">
            <w:pPr>
              <w:keepNext/>
              <w:bidi/>
              <w:spacing w:after="120" w:line="280" w:lineRule="exact"/>
              <w:rPr>
                <w:rFonts w:ascii="Arabic Typesetting" w:hAnsi="Arabic Typesetting" w:cs="Arabic Typesetting"/>
                <w:bCs/>
                <w:sz w:val="28"/>
                <w:szCs w:val="28"/>
                <w:rtl/>
                <w:lang w:bidi="ar-EG"/>
              </w:rPr>
            </w:pPr>
            <w:r w:rsidRPr="00E07EE3">
              <w:rPr>
                <w:rFonts w:ascii="Arabic Typesetting" w:hAnsi="Arabic Typesetting" w:cs="Arabic Typesetting"/>
                <w:bCs/>
                <w:sz w:val="28"/>
                <w:szCs w:val="28"/>
                <w:rtl/>
                <w:lang w:bidi="ar-EG"/>
              </w:rPr>
              <w:t>أسس المقارنة</w:t>
            </w:r>
          </w:p>
        </w:tc>
        <w:tc>
          <w:tcPr>
            <w:tcW w:w="1427" w:type="dxa"/>
          </w:tcPr>
          <w:p w14:paraId="424D6F24" w14:textId="77777777" w:rsidR="00CE6E0B" w:rsidRPr="00E07EE3" w:rsidRDefault="00CE6E0B" w:rsidP="0031289D">
            <w:pPr>
              <w:keepNext/>
              <w:bidi/>
              <w:spacing w:after="120" w:line="280" w:lineRule="exact"/>
              <w:rPr>
                <w:rFonts w:ascii="Arabic Typesetting" w:hAnsi="Arabic Typesetting" w:cs="Arabic Typesetting"/>
                <w:b/>
                <w:bCs/>
                <w:sz w:val="28"/>
                <w:szCs w:val="28"/>
                <w:rtl/>
                <w:lang w:bidi="ar-EG"/>
              </w:rPr>
            </w:pPr>
            <w:r w:rsidRPr="00E07EE3">
              <w:rPr>
                <w:rFonts w:ascii="Arabic Typesetting" w:hAnsi="Arabic Typesetting" w:cs="Arabic Typesetting"/>
                <w:b/>
                <w:bCs/>
                <w:sz w:val="28"/>
                <w:szCs w:val="28"/>
                <w:rtl/>
                <w:lang w:bidi="ar-EG"/>
              </w:rPr>
              <w:t>الأهداف</w:t>
            </w:r>
          </w:p>
        </w:tc>
        <w:tc>
          <w:tcPr>
            <w:tcW w:w="2095" w:type="dxa"/>
            <w:tcMar>
              <w:top w:w="110" w:type="dxa"/>
            </w:tcMar>
          </w:tcPr>
          <w:p w14:paraId="2FAD8A5A" w14:textId="77777777" w:rsidR="00CE6E0B" w:rsidRPr="00E07EE3" w:rsidRDefault="00CE6E0B" w:rsidP="0031289D">
            <w:pPr>
              <w:keepNext/>
              <w:bidi/>
              <w:spacing w:after="120" w:line="280" w:lineRule="exact"/>
              <w:rPr>
                <w:rFonts w:ascii="Arabic Typesetting" w:hAnsi="Arabic Typesetting" w:cs="Arabic Typesetting"/>
                <w:b/>
                <w:bCs/>
                <w:sz w:val="28"/>
                <w:szCs w:val="28"/>
                <w:rtl/>
                <w:lang w:bidi="ar-EG"/>
              </w:rPr>
            </w:pPr>
            <w:r w:rsidRPr="00E07EE3">
              <w:rPr>
                <w:rFonts w:ascii="Arabic Typesetting" w:hAnsi="Arabic Typesetting" w:cs="Arabic Typesetting"/>
                <w:b/>
                <w:bCs/>
                <w:sz w:val="28"/>
                <w:szCs w:val="28"/>
                <w:rtl/>
                <w:lang w:bidi="ar-EG"/>
              </w:rPr>
              <w:t>بيانات الأداء</w:t>
            </w:r>
          </w:p>
        </w:tc>
        <w:tc>
          <w:tcPr>
            <w:tcW w:w="846" w:type="dxa"/>
            <w:tcMar>
              <w:top w:w="110" w:type="dxa"/>
            </w:tcMar>
          </w:tcPr>
          <w:p w14:paraId="2FA1631B" w14:textId="77777777" w:rsidR="00CE6E0B" w:rsidRPr="00E07EE3" w:rsidRDefault="00CE6E0B" w:rsidP="0031289D">
            <w:pPr>
              <w:keepNext/>
              <w:bidi/>
              <w:spacing w:after="120" w:line="280" w:lineRule="exact"/>
              <w:rPr>
                <w:rFonts w:ascii="Arabic Typesetting" w:hAnsi="Arabic Typesetting" w:cs="Arabic Typesetting"/>
                <w:b/>
                <w:bCs/>
                <w:sz w:val="28"/>
                <w:szCs w:val="28"/>
                <w:rtl/>
                <w:lang w:bidi="ar-EG"/>
              </w:rPr>
            </w:pPr>
            <w:r w:rsidRPr="00E07EE3">
              <w:rPr>
                <w:rFonts w:ascii="Arabic Typesetting" w:hAnsi="Arabic Typesetting" w:cs="Arabic Typesetting"/>
                <w:b/>
                <w:bCs/>
                <w:sz w:val="28"/>
                <w:szCs w:val="28"/>
                <w:rtl/>
                <w:lang w:bidi="ar-EG"/>
              </w:rPr>
              <w:t>السير</w:t>
            </w:r>
          </w:p>
        </w:tc>
      </w:tr>
      <w:tr w:rsidR="00CE6E0B" w:rsidRPr="00E07EE3" w14:paraId="1BF2DB6A" w14:textId="77777777" w:rsidTr="00BB3820">
        <w:trPr>
          <w:cantSplit/>
          <w:trHeight w:val="18"/>
        </w:trPr>
        <w:tc>
          <w:tcPr>
            <w:tcW w:w="1900" w:type="dxa"/>
            <w:tcMar>
              <w:top w:w="110" w:type="dxa"/>
            </w:tcMar>
          </w:tcPr>
          <w:p w14:paraId="5A2608B6" w14:textId="77777777" w:rsidR="00CE6E0B" w:rsidRPr="00E07EE3" w:rsidRDefault="00CE6E0B" w:rsidP="0031289D">
            <w:pPr>
              <w:bidi/>
              <w:spacing w:after="120" w:line="280" w:lineRule="exact"/>
              <w:rPr>
                <w:rFonts w:ascii="Arabic Typesetting" w:hAnsi="Arabic Typesetting" w:cs="Arabic Typesetting"/>
                <w:b/>
                <w:sz w:val="28"/>
                <w:szCs w:val="28"/>
                <w:rtl/>
                <w:lang w:bidi="ar-EG"/>
              </w:rPr>
            </w:pPr>
            <w:r w:rsidRPr="00E07EE3">
              <w:rPr>
                <w:rFonts w:ascii="Arabic Typesetting" w:hAnsi="Arabic Typesetting" w:cs="Arabic Typesetting"/>
                <w:b/>
                <w:sz w:val="28"/>
                <w:szCs w:val="28"/>
                <w:rtl/>
                <w:lang w:bidi="ar-EG"/>
              </w:rPr>
              <w:t>مستوى رضا مستخدمي معاهدة البراءات على المشورة القانونية الخاصة بالمعاهدة والمعلومات والتدريب وخدمة الزبائن</w:t>
            </w:r>
          </w:p>
        </w:tc>
        <w:tc>
          <w:tcPr>
            <w:tcW w:w="3303" w:type="dxa"/>
            <w:shd w:val="clear" w:color="auto" w:fill="auto"/>
            <w:tcMar>
              <w:top w:w="110" w:type="dxa"/>
            </w:tcMar>
          </w:tcPr>
          <w:p w14:paraId="0029044A" w14:textId="77777777" w:rsidR="00CE6E0B" w:rsidRPr="00E07EE3" w:rsidRDefault="00CE6E0B" w:rsidP="0031289D">
            <w:pPr>
              <w:bidi/>
              <w:spacing w:after="120" w:line="280" w:lineRule="exact"/>
              <w:rPr>
                <w:rFonts w:ascii="Arabic Typesetting" w:hAnsi="Arabic Typesetting" w:cs="Arabic Typesetting"/>
                <w:color w:val="002060"/>
                <w:sz w:val="28"/>
                <w:szCs w:val="28"/>
                <w:lang w:bidi="ar-EG"/>
              </w:rPr>
            </w:pPr>
            <w:r>
              <w:rPr>
                <w:rFonts w:ascii="Arabic Typesetting" w:hAnsi="Arabic Typesetting" w:cs="Arabic Typesetting"/>
                <w:i/>
                <w:iCs/>
                <w:color w:val="002060"/>
                <w:sz w:val="28"/>
                <w:szCs w:val="28"/>
                <w:rtl/>
                <w:lang w:bidi="ar-EG"/>
              </w:rPr>
              <w:t>أساس المقارنة المحدّث</w:t>
            </w:r>
            <w:r w:rsidRPr="00E07EE3">
              <w:rPr>
                <w:rFonts w:ascii="Arabic Typesetting" w:hAnsi="Arabic Typesetting" w:cs="Arabic Typesetting"/>
                <w:i/>
                <w:iCs/>
                <w:color w:val="002060"/>
                <w:sz w:val="28"/>
                <w:szCs w:val="28"/>
                <w:rtl/>
                <w:lang w:bidi="ar-EG"/>
              </w:rPr>
              <w:t xml:space="preserve"> في نهاية 2015:</w:t>
            </w:r>
            <w:r>
              <w:rPr>
                <w:rFonts w:ascii="Arabic Typesetting" w:hAnsi="Arabic Typesetting" w:cs="Arabic Typesetting"/>
                <w:i/>
                <w:iCs/>
                <w:color w:val="002060"/>
                <w:sz w:val="28"/>
                <w:szCs w:val="28"/>
                <w:lang w:bidi="ar-EG"/>
              </w:rPr>
              <w:br/>
            </w:r>
            <w:r w:rsidRPr="00E07EE3">
              <w:rPr>
                <w:rFonts w:ascii="Arabic Typesetting" w:hAnsi="Arabic Typesetting" w:cs="Arabic Typesetting"/>
                <w:color w:val="002060"/>
                <w:sz w:val="28"/>
                <w:szCs w:val="28"/>
                <w:rtl/>
                <w:lang w:bidi="ar-EG"/>
              </w:rPr>
              <w:t>ارتفع مستوى رضا المنتفعين بالخدمات التي تقدمها الويبو في إطار معاهدة التعاون بشأن البراءات بنسبة 11% منذ عام 2009 ليصل إلى 89%</w:t>
            </w:r>
          </w:p>
          <w:p w14:paraId="40963A03" w14:textId="77777777" w:rsidR="00CE6E0B" w:rsidRPr="004F0A7D" w:rsidRDefault="00CE6E0B" w:rsidP="0031289D">
            <w:pPr>
              <w:bidi/>
              <w:spacing w:after="120" w:line="280" w:lineRule="exact"/>
              <w:rPr>
                <w:rFonts w:ascii="Arabic Typesetting" w:hAnsi="Arabic Typesetting" w:cs="Arabic Typesetting"/>
                <w:b/>
                <w:sz w:val="28"/>
                <w:szCs w:val="28"/>
                <w:rtl/>
                <w:lang w:bidi="ar-EG"/>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w:t>
            </w:r>
            <w:r>
              <w:rPr>
                <w:rFonts w:ascii="Arabic Typesetting" w:hAnsi="Arabic Typesetting" w:cs="Arabic Typesetting"/>
                <w:i/>
                <w:iCs/>
                <w:sz w:val="28"/>
                <w:szCs w:val="28"/>
                <w:lang w:bidi="ar-EG"/>
              </w:rPr>
              <w:br/>
            </w:r>
            <w:r w:rsidRPr="00E07EE3">
              <w:rPr>
                <w:rFonts w:ascii="Arabic Typesetting" w:hAnsi="Arabic Typesetting" w:cs="Arabic Typesetting"/>
                <w:i/>
                <w:iCs/>
                <w:sz w:val="28"/>
                <w:szCs w:val="28"/>
                <w:rtl/>
                <w:lang w:bidi="ar-EG"/>
              </w:rPr>
              <w:t>برنامج وميزانية 2016/17:</w:t>
            </w:r>
            <w:r>
              <w:rPr>
                <w:rFonts w:ascii="Arabic Typesetting" w:hAnsi="Arabic Typesetting" w:cs="Arabic Typesetting"/>
                <w:i/>
                <w:iCs/>
                <w:sz w:val="28"/>
                <w:szCs w:val="28"/>
                <w:lang w:bidi="ar-EG"/>
              </w:rPr>
              <w:br/>
            </w:r>
            <w:r w:rsidRPr="00E07EE3">
              <w:rPr>
                <w:rFonts w:ascii="Arabic Typesetting" w:hAnsi="Arabic Typesetting" w:cs="Arabic Typesetting"/>
                <w:sz w:val="28"/>
                <w:szCs w:val="28"/>
                <w:rtl/>
                <w:lang w:bidi="ar-EG"/>
              </w:rPr>
              <w:t>نتائج استقصاءات 2009 و2015</w:t>
            </w:r>
          </w:p>
        </w:tc>
        <w:tc>
          <w:tcPr>
            <w:tcW w:w="1427" w:type="dxa"/>
          </w:tcPr>
          <w:p w14:paraId="5E3C6898" w14:textId="77777777" w:rsidR="00CE6E0B" w:rsidRPr="00E07EE3" w:rsidRDefault="00CE6E0B" w:rsidP="0031289D">
            <w:pPr>
              <w:bidi/>
              <w:spacing w:after="120" w:line="280" w:lineRule="exact"/>
              <w:rPr>
                <w:rFonts w:ascii="Arabic Typesetting" w:hAnsi="Arabic Typesetting" w:cs="Arabic Typesetting"/>
                <w:b/>
                <w:sz w:val="28"/>
                <w:szCs w:val="28"/>
                <w:lang w:bidi="ar-EG"/>
              </w:rPr>
            </w:pPr>
            <w:r w:rsidRPr="00E07EE3">
              <w:rPr>
                <w:rFonts w:ascii="Arabic Typesetting" w:hAnsi="Arabic Typesetting" w:cs="Arabic Typesetting"/>
                <w:b/>
                <w:sz w:val="28"/>
                <w:szCs w:val="28"/>
                <w:rtl/>
                <w:lang w:bidi="ar-EG"/>
              </w:rPr>
              <w:t>زيادة مستوى رضا مستخدمي معاهدة البراءات أو</w:t>
            </w:r>
            <w:r>
              <w:rPr>
                <w:rFonts w:ascii="Arabic Typesetting" w:hAnsi="Arabic Typesetting" w:cs="Arabic Typesetting"/>
                <w:b/>
                <w:sz w:val="28"/>
                <w:szCs w:val="28"/>
                <w:lang w:bidi="ar-EG"/>
              </w:rPr>
              <w:t> </w:t>
            </w:r>
            <w:r w:rsidRPr="00E07EE3">
              <w:rPr>
                <w:rFonts w:ascii="Arabic Typesetting" w:hAnsi="Arabic Typesetting" w:cs="Arabic Typesetting"/>
                <w:b/>
                <w:sz w:val="28"/>
                <w:szCs w:val="28"/>
                <w:rtl/>
                <w:lang w:bidi="ar-EG"/>
              </w:rPr>
              <w:t>الاحتفاظ به على الأقل</w:t>
            </w:r>
          </w:p>
        </w:tc>
        <w:tc>
          <w:tcPr>
            <w:tcW w:w="2095" w:type="dxa"/>
            <w:tcMar>
              <w:top w:w="110" w:type="dxa"/>
            </w:tcMar>
          </w:tcPr>
          <w:p w14:paraId="4E857FD6" w14:textId="77777777" w:rsidR="00CE6E0B" w:rsidRPr="00E07EE3" w:rsidRDefault="00CE6E0B" w:rsidP="0031289D">
            <w:pPr>
              <w:bidi/>
              <w:spacing w:after="120" w:line="280" w:lineRule="exact"/>
              <w:rPr>
                <w:rFonts w:ascii="Arabic Typesetting" w:hAnsi="Arabic Typesetting" w:cs="Arabic Typesetting"/>
                <w:b/>
                <w:sz w:val="28"/>
                <w:szCs w:val="28"/>
                <w:rtl/>
                <w:lang w:bidi="ar-EG"/>
              </w:rPr>
            </w:pPr>
            <w:r w:rsidRPr="00E07EE3">
              <w:rPr>
                <w:rFonts w:ascii="Arabic Typesetting" w:hAnsi="Arabic Typesetting" w:cs="Arabic Typesetting"/>
                <w:b/>
                <w:sz w:val="28"/>
                <w:szCs w:val="28"/>
                <w:rtl/>
                <w:lang w:bidi="ar-EG"/>
              </w:rPr>
              <w:t>يجرى استقصاء الرضا مرة في الثنائية، وسيجرى الاستقصاء المقبل في 2017</w:t>
            </w:r>
          </w:p>
        </w:tc>
        <w:tc>
          <w:tcPr>
            <w:tcW w:w="846" w:type="dxa"/>
            <w:tcMar>
              <w:top w:w="110" w:type="dxa"/>
            </w:tcMar>
          </w:tcPr>
          <w:p w14:paraId="72860ECE" w14:textId="77777777" w:rsidR="00CE6E0B" w:rsidRPr="006F1A05" w:rsidRDefault="00CE6E0B" w:rsidP="0031289D">
            <w:pPr>
              <w:keepNext/>
              <w:bidi/>
              <w:spacing w:after="120" w:line="280" w:lineRule="exact"/>
              <w:rPr>
                <w:rFonts w:ascii="Arabic Typesetting" w:hAnsi="Arabic Typesetting" w:cs="Arabic Typesetting"/>
                <w:b/>
                <w:bCs/>
                <w:color w:val="0070C0"/>
                <w:sz w:val="28"/>
                <w:szCs w:val="28"/>
                <w:rtl/>
                <w:lang w:bidi="ar-EG"/>
              </w:rPr>
            </w:pPr>
            <w:r w:rsidRPr="00E07EE3">
              <w:rPr>
                <w:rFonts w:ascii="Arabic Typesetting" w:hAnsi="Arabic Typesetting" w:cs="Arabic Typesetting"/>
                <w:b/>
                <w:bCs/>
                <w:color w:val="0070C0"/>
                <w:sz w:val="28"/>
                <w:szCs w:val="28"/>
                <w:rtl/>
                <w:lang w:bidi="ar-EG"/>
              </w:rPr>
              <w:t>غير متاح في</w:t>
            </w:r>
            <w:r>
              <w:rPr>
                <w:rFonts w:ascii="Arabic Typesetting" w:hAnsi="Arabic Typesetting" w:cs="Arabic Typesetting" w:hint="cs"/>
                <w:b/>
                <w:bCs/>
                <w:color w:val="0070C0"/>
                <w:sz w:val="28"/>
                <w:szCs w:val="28"/>
                <w:rtl/>
                <w:lang w:bidi="ar-EG"/>
              </w:rPr>
              <w:t> </w:t>
            </w:r>
            <w:r w:rsidRPr="00E07EE3">
              <w:rPr>
                <w:rFonts w:ascii="Arabic Typesetting" w:hAnsi="Arabic Typesetting" w:cs="Arabic Typesetting"/>
                <w:b/>
                <w:bCs/>
                <w:color w:val="0070C0"/>
                <w:sz w:val="28"/>
                <w:szCs w:val="28"/>
                <w:rtl/>
                <w:lang w:bidi="ar-EG"/>
              </w:rPr>
              <w:t>2016</w:t>
            </w:r>
          </w:p>
        </w:tc>
      </w:tr>
      <w:tr w:rsidR="00CE6E0B" w:rsidRPr="00E07EE3" w14:paraId="71A2F98C" w14:textId="77777777" w:rsidTr="00BB3820">
        <w:trPr>
          <w:cantSplit/>
          <w:trHeight w:val="18"/>
        </w:trPr>
        <w:tc>
          <w:tcPr>
            <w:tcW w:w="1900" w:type="dxa"/>
            <w:tcMar>
              <w:top w:w="110" w:type="dxa"/>
            </w:tcMar>
          </w:tcPr>
          <w:p w14:paraId="4ED83E9C" w14:textId="77777777" w:rsidR="00CE6E0B" w:rsidRPr="00E07EE3" w:rsidRDefault="00CE6E0B" w:rsidP="0031289D">
            <w:pPr>
              <w:bidi/>
              <w:spacing w:after="120" w:line="280" w:lineRule="exact"/>
              <w:rPr>
                <w:rFonts w:ascii="Arabic Typesetting" w:hAnsi="Arabic Typesetting" w:cs="Arabic Typesetting"/>
                <w:b/>
                <w:sz w:val="28"/>
                <w:szCs w:val="28"/>
                <w:rtl/>
                <w:lang w:bidi="ar-EG"/>
              </w:rPr>
            </w:pPr>
            <w:r w:rsidRPr="00E07EE3">
              <w:rPr>
                <w:rFonts w:ascii="Arabic Typesetting" w:hAnsi="Arabic Typesetting" w:cs="Arabic Typesetting"/>
                <w:b/>
                <w:sz w:val="28"/>
                <w:szCs w:val="28"/>
                <w:rtl/>
                <w:lang w:bidi="ar-EG"/>
              </w:rPr>
              <w:t>رضا المكاتب والإدارات الدولية على الأنشطة التعاونية لمعاهدة البراءات</w:t>
            </w:r>
          </w:p>
        </w:tc>
        <w:tc>
          <w:tcPr>
            <w:tcW w:w="3303" w:type="dxa"/>
            <w:shd w:val="clear" w:color="auto" w:fill="auto"/>
            <w:tcMar>
              <w:top w:w="110" w:type="dxa"/>
            </w:tcMar>
          </w:tcPr>
          <w:p w14:paraId="58E6BCFD" w14:textId="77777777" w:rsidR="00CE6E0B" w:rsidRPr="00E07EE3" w:rsidRDefault="00CE6E0B" w:rsidP="0031289D">
            <w:pPr>
              <w:bidi/>
              <w:spacing w:after="120" w:line="280" w:lineRule="exact"/>
              <w:rPr>
                <w:rFonts w:ascii="Arabic Typesetting" w:hAnsi="Arabic Typesetting" w:cs="Arabic Typesetting"/>
                <w:color w:val="002060"/>
                <w:sz w:val="28"/>
                <w:szCs w:val="28"/>
                <w:rtl/>
                <w:lang w:bidi="ar-EG"/>
              </w:rPr>
            </w:pPr>
            <w:r>
              <w:rPr>
                <w:rFonts w:ascii="Arabic Typesetting" w:hAnsi="Arabic Typesetting" w:cs="Arabic Typesetting"/>
                <w:i/>
                <w:iCs/>
                <w:color w:val="002060"/>
                <w:sz w:val="28"/>
                <w:szCs w:val="28"/>
                <w:rtl/>
                <w:lang w:bidi="ar-EG"/>
              </w:rPr>
              <w:t>أساس المقارنة المحدّث</w:t>
            </w:r>
            <w:r w:rsidRPr="00E07EE3">
              <w:rPr>
                <w:rFonts w:ascii="Arabic Typesetting" w:hAnsi="Arabic Typesetting" w:cs="Arabic Typesetting"/>
                <w:i/>
                <w:iCs/>
                <w:color w:val="002060"/>
                <w:sz w:val="28"/>
                <w:szCs w:val="28"/>
                <w:rtl/>
                <w:lang w:bidi="ar-EG"/>
              </w:rPr>
              <w:t xml:space="preserve"> في نهاية 2015:</w:t>
            </w:r>
            <w:r>
              <w:rPr>
                <w:rFonts w:ascii="Arabic Typesetting" w:hAnsi="Arabic Typesetting" w:cs="Arabic Typesetting"/>
                <w:i/>
                <w:iCs/>
                <w:color w:val="002060"/>
                <w:sz w:val="28"/>
                <w:szCs w:val="28"/>
                <w:lang w:bidi="ar-EG"/>
              </w:rPr>
              <w:br/>
            </w:r>
            <w:r w:rsidRPr="00E07EE3">
              <w:rPr>
                <w:rFonts w:ascii="Arabic Typesetting" w:hAnsi="Arabic Typesetting" w:cs="Arabic Typesetting"/>
                <w:color w:val="002060"/>
                <w:sz w:val="28"/>
                <w:szCs w:val="28"/>
                <w:rtl/>
                <w:lang w:bidi="ar-EG"/>
              </w:rPr>
              <w:t>96% (58 من أصل 60 مستفيداً من الأنشطة التعاونية للمعاهدة؛</w:t>
            </w:r>
            <w:r w:rsidRPr="00E07EE3">
              <w:rPr>
                <w:rFonts w:ascii="Arabic Typesetting" w:hAnsi="Arabic Typesetting" w:cs="Arabic Typesetting"/>
                <w:color w:val="002060"/>
                <w:sz w:val="28"/>
                <w:szCs w:val="28"/>
                <w:rtl/>
                <w:lang w:bidi="ar-EG"/>
              </w:rPr>
              <w:br/>
              <w:t>95% من أصل 61 مجيباً عن الاستقصاء) (استقصاء 2016)</w:t>
            </w:r>
          </w:p>
          <w:p w14:paraId="26ED1958" w14:textId="77777777" w:rsidR="00CE6E0B" w:rsidRPr="004F0A7D" w:rsidRDefault="00CE6E0B" w:rsidP="0031289D">
            <w:pPr>
              <w:bidi/>
              <w:spacing w:after="120" w:line="280" w:lineRule="exact"/>
              <w:rPr>
                <w:rFonts w:ascii="Arabic Typesetting" w:hAnsi="Arabic Typesetting" w:cs="Arabic Typesetting"/>
                <w:b/>
                <w:color w:val="002060"/>
                <w:sz w:val="28"/>
                <w:szCs w:val="28"/>
                <w:rtl/>
                <w:lang w:bidi="ar-EG"/>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w:t>
            </w:r>
            <w:r>
              <w:rPr>
                <w:rFonts w:ascii="Arabic Typesetting" w:hAnsi="Arabic Typesetting" w:cs="Arabic Typesetting"/>
                <w:i/>
                <w:iCs/>
                <w:sz w:val="28"/>
                <w:szCs w:val="28"/>
                <w:lang w:bidi="ar-EG"/>
              </w:rPr>
              <w:br/>
            </w:r>
            <w:r w:rsidRPr="00E07EE3">
              <w:rPr>
                <w:rFonts w:ascii="Arabic Typesetting" w:hAnsi="Arabic Typesetting" w:cs="Arabic Typesetting"/>
                <w:i/>
                <w:iCs/>
                <w:sz w:val="28"/>
                <w:szCs w:val="28"/>
                <w:rtl/>
                <w:lang w:bidi="ar-EG"/>
              </w:rPr>
              <w:t>برنامج وميزانية 2016/17:</w:t>
            </w:r>
            <w:r>
              <w:rPr>
                <w:rFonts w:ascii="Arabic Typesetting" w:hAnsi="Arabic Typesetting" w:cs="Arabic Typesetting"/>
                <w:i/>
                <w:iCs/>
                <w:sz w:val="28"/>
                <w:szCs w:val="28"/>
                <w:lang w:bidi="ar-EG"/>
              </w:rPr>
              <w:br/>
            </w:r>
            <w:r w:rsidRPr="00E07EE3">
              <w:rPr>
                <w:rFonts w:ascii="Arabic Typesetting" w:hAnsi="Arabic Typesetting" w:cs="Arabic Typesetting"/>
                <w:sz w:val="28"/>
                <w:szCs w:val="28"/>
                <w:rtl/>
                <w:lang w:bidi="ar-EG"/>
              </w:rPr>
              <w:t>56 مجيبا (95% من أصل 59 مستفيدا من الأنشطة التعاونية للمعاهدة؛</w:t>
            </w:r>
            <w:r w:rsidRPr="00E07EE3">
              <w:rPr>
                <w:rFonts w:ascii="Arabic Typesetting" w:hAnsi="Arabic Typesetting" w:cs="Arabic Typesetting"/>
                <w:sz w:val="28"/>
                <w:szCs w:val="28"/>
                <w:rtl/>
                <w:lang w:bidi="ar-EG"/>
              </w:rPr>
              <w:br/>
              <w:t xml:space="preserve">85% من أصل 66 مجيبا </w:t>
            </w:r>
            <w:r>
              <w:rPr>
                <w:rFonts w:ascii="Arabic Typesetting" w:hAnsi="Arabic Typesetting" w:cs="Arabic Typesetting" w:hint="cs"/>
                <w:sz w:val="28"/>
                <w:szCs w:val="28"/>
                <w:rtl/>
                <w:lang w:bidi="ar-EG"/>
              </w:rPr>
              <w:t>عن</w:t>
            </w:r>
            <w:r w:rsidRPr="00E07EE3">
              <w:rPr>
                <w:rFonts w:ascii="Arabic Typesetting" w:hAnsi="Arabic Typesetting" w:cs="Arabic Typesetting"/>
                <w:sz w:val="28"/>
                <w:szCs w:val="28"/>
                <w:rtl/>
                <w:lang w:bidi="ar-EG"/>
              </w:rPr>
              <w:t xml:space="preserve"> الاستقصاء) (استقصاء 2012)</w:t>
            </w:r>
            <w:r>
              <w:rPr>
                <w:rFonts w:ascii="Arabic Typesetting" w:hAnsi="Arabic Typesetting" w:cs="Arabic Typesetting" w:hint="cs"/>
                <w:sz w:val="28"/>
                <w:szCs w:val="28"/>
                <w:rtl/>
                <w:lang w:bidi="ar-EG"/>
              </w:rPr>
              <w:t>.</w:t>
            </w:r>
            <w:r>
              <w:rPr>
                <w:rFonts w:ascii="Arabic Typesetting" w:hAnsi="Arabic Typesetting" w:cs="Arabic Typesetting"/>
                <w:sz w:val="28"/>
                <w:szCs w:val="28"/>
                <w:rtl/>
                <w:lang w:bidi="ar-EG"/>
              </w:rPr>
              <w:br/>
            </w:r>
            <w:r>
              <w:rPr>
                <w:rFonts w:ascii="Arabic Typesetting" w:hAnsi="Arabic Typesetting" w:cs="Arabic Typesetting" w:hint="cs"/>
                <w:sz w:val="28"/>
                <w:szCs w:val="28"/>
                <w:rtl/>
                <w:lang w:bidi="ar-EG"/>
              </w:rPr>
              <w:t>و</w:t>
            </w:r>
            <w:r w:rsidRPr="00E07EE3">
              <w:rPr>
                <w:rFonts w:ascii="Arabic Typesetting" w:hAnsi="Arabic Typesetting" w:cs="Arabic Typesetting"/>
                <w:sz w:val="28"/>
                <w:szCs w:val="28"/>
                <w:rtl/>
                <w:lang w:bidi="ar-EG"/>
              </w:rPr>
              <w:t>يُجرى استقصاء الرضا مرة في الثنائية.</w:t>
            </w:r>
          </w:p>
        </w:tc>
        <w:tc>
          <w:tcPr>
            <w:tcW w:w="1427" w:type="dxa"/>
          </w:tcPr>
          <w:p w14:paraId="70F1F9DE" w14:textId="77777777" w:rsidR="00CE6E0B" w:rsidRPr="00E07EE3" w:rsidRDefault="00CE6E0B" w:rsidP="0031289D">
            <w:pPr>
              <w:bidi/>
              <w:spacing w:after="120" w:line="280" w:lineRule="exact"/>
              <w:rPr>
                <w:rFonts w:ascii="Arabic Typesetting" w:hAnsi="Arabic Typesetting" w:cs="Arabic Typesetting"/>
                <w:b/>
                <w:sz w:val="28"/>
                <w:szCs w:val="28"/>
                <w:rtl/>
                <w:lang w:bidi="ar-EG"/>
              </w:rPr>
            </w:pPr>
            <w:r w:rsidRPr="00E07EE3">
              <w:rPr>
                <w:rFonts w:ascii="Arabic Typesetting" w:hAnsi="Arabic Typesetting" w:cs="Arabic Typesetting"/>
                <w:b/>
                <w:noProof/>
                <w:sz w:val="28"/>
                <w:szCs w:val="28"/>
                <w:rtl/>
              </w:rPr>
              <w:t>الاحتفاظ بمستوى رضا المكاتب والإدارات الدولية في عام 2015</w:t>
            </w:r>
          </w:p>
        </w:tc>
        <w:tc>
          <w:tcPr>
            <w:tcW w:w="2095" w:type="dxa"/>
            <w:tcMar>
              <w:top w:w="110" w:type="dxa"/>
            </w:tcMar>
          </w:tcPr>
          <w:p w14:paraId="0E0B9CA2" w14:textId="77777777" w:rsidR="00CE6E0B" w:rsidRPr="00E07EE3" w:rsidRDefault="00CE6E0B" w:rsidP="0031289D">
            <w:pPr>
              <w:bidi/>
              <w:spacing w:after="120" w:line="280" w:lineRule="exact"/>
              <w:rPr>
                <w:rFonts w:ascii="Arabic Typesetting" w:hAnsi="Arabic Typesetting" w:cs="Arabic Typesetting"/>
                <w:b/>
                <w:sz w:val="28"/>
                <w:szCs w:val="28"/>
                <w:rtl/>
                <w:lang w:bidi="ar-EG"/>
              </w:rPr>
            </w:pPr>
            <w:r w:rsidRPr="00E07EE3">
              <w:rPr>
                <w:rFonts w:ascii="Arabic Typesetting" w:hAnsi="Arabic Typesetting" w:cs="Arabic Typesetting"/>
                <w:b/>
                <w:noProof/>
                <w:sz w:val="28"/>
                <w:szCs w:val="28"/>
                <w:rtl/>
              </w:rPr>
              <w:t>يجرى استقصاء الرضا مرة في الثنائية، وسيجرى الاستقصاء المقبل في 2017</w:t>
            </w:r>
          </w:p>
        </w:tc>
        <w:tc>
          <w:tcPr>
            <w:tcW w:w="846" w:type="dxa"/>
            <w:tcMar>
              <w:top w:w="110" w:type="dxa"/>
            </w:tcMar>
          </w:tcPr>
          <w:p w14:paraId="6E84A460" w14:textId="77777777" w:rsidR="00CE6E0B" w:rsidRPr="006F1A05" w:rsidRDefault="00CE6E0B" w:rsidP="0031289D">
            <w:pPr>
              <w:keepNext/>
              <w:bidi/>
              <w:spacing w:after="120" w:line="280" w:lineRule="exact"/>
              <w:rPr>
                <w:rFonts w:ascii="Arabic Typesetting" w:hAnsi="Arabic Typesetting" w:cs="Arabic Typesetting"/>
                <w:b/>
                <w:bCs/>
                <w:color w:val="0070C0"/>
                <w:sz w:val="28"/>
                <w:szCs w:val="28"/>
                <w:rtl/>
                <w:lang w:bidi="ar-EG"/>
              </w:rPr>
            </w:pPr>
            <w:r w:rsidRPr="00E07EE3">
              <w:rPr>
                <w:rFonts w:ascii="Arabic Typesetting" w:hAnsi="Arabic Typesetting" w:cs="Arabic Typesetting"/>
                <w:b/>
                <w:bCs/>
                <w:color w:val="0070C0"/>
                <w:sz w:val="28"/>
                <w:szCs w:val="28"/>
                <w:rtl/>
                <w:lang w:bidi="ar-EG"/>
              </w:rPr>
              <w:t>غير متاح في 2016</w:t>
            </w:r>
          </w:p>
        </w:tc>
      </w:tr>
      <w:tr w:rsidR="00CE6E0B" w:rsidRPr="00E07EE3" w14:paraId="253AFB23" w14:textId="77777777" w:rsidTr="00BB3820">
        <w:trPr>
          <w:cantSplit/>
          <w:trHeight w:val="18"/>
        </w:trPr>
        <w:tc>
          <w:tcPr>
            <w:tcW w:w="1900" w:type="dxa"/>
            <w:tcMar>
              <w:top w:w="110" w:type="dxa"/>
            </w:tcMar>
          </w:tcPr>
          <w:p w14:paraId="144C67AC" w14:textId="77777777" w:rsidR="00CE6E0B" w:rsidRPr="00E07EE3" w:rsidRDefault="00CE6E0B" w:rsidP="0031289D">
            <w:pPr>
              <w:bidi/>
              <w:spacing w:after="120" w:line="280" w:lineRule="exact"/>
              <w:rPr>
                <w:rFonts w:ascii="Arabic Typesetting" w:hAnsi="Arabic Typesetting" w:cs="Arabic Typesetting"/>
                <w:b/>
                <w:sz w:val="28"/>
                <w:szCs w:val="28"/>
                <w:rtl/>
                <w:lang w:bidi="ar-EG"/>
              </w:rPr>
            </w:pPr>
            <w:r w:rsidRPr="00E07EE3">
              <w:rPr>
                <w:rFonts w:ascii="Arabic Typesetting" w:hAnsi="Arabic Typesetting" w:cs="Arabic Typesetting"/>
                <w:b/>
                <w:sz w:val="28"/>
                <w:szCs w:val="28"/>
                <w:rtl/>
                <w:lang w:bidi="ar-EG"/>
              </w:rPr>
              <w:lastRenderedPageBreak/>
              <w:t>مواصلة تطوير نظام معاهدة البراءات، ولا سيما تنفيذ توصيات خارطة طريق معاهدة البراءات التي أقرتها الدول الأعضاء في معاهدة</w:t>
            </w:r>
            <w:r>
              <w:rPr>
                <w:rFonts w:ascii="Arabic Typesetting" w:hAnsi="Arabic Typesetting" w:cs="Arabic Typesetting" w:hint="cs"/>
                <w:b/>
                <w:sz w:val="28"/>
                <w:szCs w:val="28"/>
                <w:rtl/>
                <w:lang w:bidi="ar-EG"/>
              </w:rPr>
              <w:t> </w:t>
            </w:r>
            <w:r w:rsidRPr="00E07EE3">
              <w:rPr>
                <w:rFonts w:ascii="Arabic Typesetting" w:hAnsi="Arabic Typesetting" w:cs="Arabic Typesetting"/>
                <w:b/>
                <w:sz w:val="28"/>
                <w:szCs w:val="28"/>
                <w:rtl/>
                <w:lang w:bidi="ar-EG"/>
              </w:rPr>
              <w:t>البراءات</w:t>
            </w:r>
          </w:p>
        </w:tc>
        <w:tc>
          <w:tcPr>
            <w:tcW w:w="3303" w:type="dxa"/>
            <w:shd w:val="clear" w:color="auto" w:fill="auto"/>
            <w:tcMar>
              <w:top w:w="110" w:type="dxa"/>
            </w:tcMar>
          </w:tcPr>
          <w:p w14:paraId="5231F60B" w14:textId="77777777" w:rsidR="00CE6E0B" w:rsidRPr="00E07EE3" w:rsidRDefault="00CE6E0B" w:rsidP="0031289D">
            <w:pPr>
              <w:bidi/>
              <w:spacing w:after="120" w:line="280" w:lineRule="exact"/>
              <w:rPr>
                <w:rFonts w:ascii="Arabic Typesetting" w:hAnsi="Arabic Typesetting" w:cs="Arabic Typesetting"/>
                <w:color w:val="002060"/>
                <w:sz w:val="28"/>
                <w:szCs w:val="28"/>
                <w:rtl/>
                <w:lang w:bidi="ar-EG"/>
              </w:rPr>
            </w:pPr>
            <w:r>
              <w:rPr>
                <w:rFonts w:ascii="Arabic Typesetting" w:hAnsi="Arabic Typesetting" w:cs="Arabic Typesetting"/>
                <w:i/>
                <w:iCs/>
                <w:color w:val="002060"/>
                <w:sz w:val="28"/>
                <w:szCs w:val="28"/>
                <w:rtl/>
                <w:lang w:bidi="ar-EG"/>
              </w:rPr>
              <w:t>أساس المقارنة المحدّث</w:t>
            </w:r>
            <w:r w:rsidRPr="00E07EE3">
              <w:rPr>
                <w:rFonts w:ascii="Arabic Typesetting" w:hAnsi="Arabic Typesetting" w:cs="Arabic Typesetting"/>
                <w:i/>
                <w:iCs/>
                <w:color w:val="002060"/>
                <w:sz w:val="28"/>
                <w:szCs w:val="28"/>
                <w:rtl/>
                <w:lang w:bidi="ar-EG"/>
              </w:rPr>
              <w:t xml:space="preserve"> في نهاية 2015:</w:t>
            </w:r>
            <w:r>
              <w:rPr>
                <w:rFonts w:ascii="Arabic Typesetting" w:hAnsi="Arabic Typesetting" w:cs="Arabic Typesetting"/>
                <w:i/>
                <w:iCs/>
                <w:color w:val="002060"/>
                <w:sz w:val="28"/>
                <w:szCs w:val="28"/>
                <w:rtl/>
                <w:lang w:bidi="ar-EG"/>
              </w:rPr>
              <w:br/>
            </w:r>
            <w:r w:rsidRPr="00E07EE3">
              <w:rPr>
                <w:rFonts w:ascii="Arabic Typesetting" w:hAnsi="Arabic Typesetting" w:cs="Arabic Typesetting"/>
                <w:color w:val="002060"/>
                <w:sz w:val="28"/>
                <w:szCs w:val="28"/>
                <w:rtl/>
                <w:lang w:bidi="ar-EG"/>
              </w:rPr>
              <w:t>شهدت الثنائية 2014/15 تقدما في تعزيز أهداف المعاهدة لفائدة جميع أصحاب المصلحة وفقا لتوصيات خارطة الطريق التي اعتمدتها الدول الأعضاء:</w:t>
            </w:r>
            <w:r>
              <w:rPr>
                <w:rFonts w:ascii="Arabic Typesetting" w:hAnsi="Arabic Typesetting" w:cs="Arabic Typesetting"/>
                <w:color w:val="002060"/>
                <w:sz w:val="28"/>
                <w:szCs w:val="28"/>
                <w:rtl/>
                <w:lang w:bidi="ar-EG"/>
              </w:rPr>
              <w:br/>
            </w:r>
            <w:r w:rsidRPr="00E07EE3">
              <w:rPr>
                <w:rFonts w:ascii="Arabic Typesetting" w:hAnsi="Arabic Typesetting" w:cs="Arabic Typesetting"/>
                <w:color w:val="002060"/>
                <w:sz w:val="28"/>
                <w:szCs w:val="28"/>
                <w:rtl/>
                <w:lang w:bidi="ar-EG"/>
              </w:rPr>
              <w:t>(أ) اتفاق الدول الأعضاء على معايير الاستفادة من تخفيضات الرسوم؛</w:t>
            </w:r>
            <w:r>
              <w:rPr>
                <w:rFonts w:ascii="Arabic Typesetting" w:hAnsi="Arabic Typesetting" w:cs="Arabic Typesetting"/>
                <w:color w:val="002060"/>
                <w:sz w:val="28"/>
                <w:szCs w:val="28"/>
                <w:rtl/>
                <w:lang w:bidi="ar-EG"/>
              </w:rPr>
              <w:br/>
            </w:r>
            <w:r w:rsidRPr="00E07EE3">
              <w:rPr>
                <w:rFonts w:ascii="Arabic Typesetting" w:hAnsi="Arabic Typesetting" w:cs="Arabic Typesetting"/>
                <w:color w:val="002060"/>
                <w:sz w:val="28"/>
                <w:szCs w:val="28"/>
                <w:rtl/>
                <w:lang w:bidi="ar-EG"/>
              </w:rPr>
              <w:t>(ب) اتفاق الدول الأعضاء على إجراء معدل لتعيين إدارات البحث الدولي والفحص التمهيدي الدولي؛</w:t>
            </w:r>
            <w:r>
              <w:rPr>
                <w:rFonts w:ascii="Arabic Typesetting" w:hAnsi="Arabic Typesetting" w:cs="Arabic Typesetting"/>
                <w:color w:val="002060"/>
                <w:sz w:val="28"/>
                <w:szCs w:val="28"/>
                <w:rtl/>
                <w:lang w:bidi="ar-EG"/>
              </w:rPr>
              <w:br/>
            </w:r>
            <w:r w:rsidRPr="00E07EE3">
              <w:rPr>
                <w:rFonts w:ascii="Arabic Typesetting" w:hAnsi="Arabic Typesetting" w:cs="Arabic Typesetting"/>
                <w:color w:val="002060"/>
                <w:sz w:val="28"/>
                <w:szCs w:val="28"/>
                <w:rtl/>
                <w:lang w:bidi="ar-EG"/>
              </w:rPr>
              <w:t>(ج) اتفاق الدول الأعضاء على تبادل نتائج عمل البحث الخاص بالطلبات السابقة بغية تحسين الجودة واحترام الآجال في إصدار منتجات أعمال نظام المعاهدة؛</w:t>
            </w:r>
            <w:r>
              <w:rPr>
                <w:rFonts w:ascii="Arabic Typesetting" w:hAnsi="Arabic Typesetting" w:cs="Arabic Typesetting"/>
                <w:color w:val="002060"/>
                <w:sz w:val="28"/>
                <w:szCs w:val="28"/>
                <w:rtl/>
                <w:lang w:bidi="ar-EG"/>
              </w:rPr>
              <w:br/>
            </w:r>
            <w:r w:rsidRPr="00E07EE3">
              <w:rPr>
                <w:rFonts w:ascii="Arabic Typesetting" w:hAnsi="Arabic Typesetting" w:cs="Arabic Typesetting"/>
                <w:color w:val="002060"/>
                <w:sz w:val="28"/>
                <w:szCs w:val="28"/>
                <w:rtl/>
                <w:lang w:bidi="ar-EG"/>
              </w:rPr>
              <w:t xml:space="preserve">(د) تنفيذ خدمة </w:t>
            </w:r>
            <w:r w:rsidRPr="00E07EE3">
              <w:rPr>
                <w:rFonts w:ascii="Arabic Typesetting" w:hAnsi="Arabic Typesetting" w:cs="Arabic Typesetting"/>
                <w:color w:val="002060"/>
                <w:sz w:val="28"/>
                <w:szCs w:val="28"/>
                <w:lang w:bidi="ar-EG"/>
              </w:rPr>
              <w:t>eSearchCopy</w:t>
            </w:r>
            <w:r w:rsidRPr="00E07EE3">
              <w:rPr>
                <w:rFonts w:ascii="Arabic Typesetting" w:hAnsi="Arabic Typesetting" w:cs="Arabic Typesetting"/>
                <w:color w:val="002060"/>
                <w:sz w:val="28"/>
                <w:szCs w:val="28"/>
                <w:rtl/>
                <w:lang w:bidi="ar-EG"/>
              </w:rPr>
              <w:t xml:space="preserve"> الجديدة لتحقيق المزيد من السرعة والفعالية في إحالة طلبات البحث الدولي؛</w:t>
            </w:r>
            <w:r>
              <w:rPr>
                <w:rFonts w:ascii="Arabic Typesetting" w:hAnsi="Arabic Typesetting" w:cs="Arabic Typesetting"/>
                <w:color w:val="002060"/>
                <w:sz w:val="28"/>
                <w:szCs w:val="28"/>
                <w:rtl/>
                <w:lang w:bidi="ar-EG"/>
              </w:rPr>
              <w:br/>
            </w:r>
            <w:r w:rsidRPr="00E07EE3">
              <w:rPr>
                <w:rFonts w:ascii="Arabic Typesetting" w:hAnsi="Arabic Typesetting" w:cs="Arabic Typesetting"/>
                <w:color w:val="002060"/>
                <w:sz w:val="28"/>
                <w:szCs w:val="28"/>
                <w:rtl/>
                <w:lang w:bidi="ar-EG"/>
              </w:rPr>
              <w:t>(ه) الاتفاق على أن توافي المكاتب المكتب الدولي في الوقت المناسب ببيانات عن طلبات المرحلة الوطنية بغية تحسين المعلومات الخاصة بوضع البراءات.</w:t>
            </w:r>
          </w:p>
          <w:p w14:paraId="61B8E58D" w14:textId="77777777" w:rsidR="00CE6E0B" w:rsidRPr="00E07EE3" w:rsidRDefault="00CE6E0B" w:rsidP="0031289D">
            <w:pPr>
              <w:bidi/>
              <w:spacing w:after="120" w:line="280" w:lineRule="exact"/>
              <w:rPr>
                <w:rFonts w:ascii="Arabic Typesetting" w:hAnsi="Arabic Typesetting" w:cs="Arabic Typesetting"/>
                <w:b/>
                <w:i/>
                <w:iCs/>
                <w:color w:val="002060"/>
                <w:sz w:val="28"/>
                <w:szCs w:val="28"/>
                <w:rtl/>
                <w:lang w:bidi="ar-EG"/>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 برنامج وميزانية 2016/17:</w:t>
            </w:r>
            <w:r>
              <w:rPr>
                <w:rFonts w:ascii="Arabic Typesetting" w:hAnsi="Arabic Typesetting" w:cs="Arabic Typesetting"/>
                <w:i/>
                <w:iCs/>
                <w:sz w:val="28"/>
                <w:szCs w:val="28"/>
                <w:rtl/>
                <w:lang w:bidi="ar-EG"/>
              </w:rPr>
              <w:br/>
            </w:r>
            <w:r w:rsidRPr="00E07EE3">
              <w:rPr>
                <w:rFonts w:ascii="Arabic Typesetting" w:hAnsi="Arabic Typesetting" w:cs="Arabic Typesetting"/>
                <w:sz w:val="28"/>
                <w:szCs w:val="28"/>
                <w:rtl/>
                <w:lang w:bidi="ar-EG"/>
              </w:rPr>
              <w:t>القرارات الصادرة عن هيئات المعاهدة المختصة حتى نهاية 2014 (الوثيقة </w:t>
            </w:r>
            <w:r w:rsidRPr="00E07EE3">
              <w:rPr>
                <w:rFonts w:ascii="Arabic Typesetting" w:hAnsi="Arabic Typesetting" w:cs="Arabic Typesetting"/>
                <w:sz w:val="28"/>
                <w:szCs w:val="28"/>
                <w:lang w:bidi="ar-EG"/>
              </w:rPr>
              <w:t>PCT/A/46/6</w:t>
            </w:r>
            <w:r w:rsidRPr="00E07EE3">
              <w:rPr>
                <w:rFonts w:ascii="Arabic Typesetting" w:hAnsi="Arabic Typesetting" w:cs="Arabic Typesetting"/>
                <w:sz w:val="28"/>
                <w:szCs w:val="28"/>
                <w:rtl/>
                <w:lang w:bidi="ar-EG"/>
              </w:rPr>
              <w:t>)</w:t>
            </w:r>
          </w:p>
        </w:tc>
        <w:tc>
          <w:tcPr>
            <w:tcW w:w="1427" w:type="dxa"/>
          </w:tcPr>
          <w:p w14:paraId="0D4B3F19" w14:textId="77777777" w:rsidR="00CE6E0B" w:rsidRPr="00E07EE3" w:rsidRDefault="00CE6E0B" w:rsidP="0031289D">
            <w:pPr>
              <w:bidi/>
              <w:spacing w:after="120" w:line="280" w:lineRule="exact"/>
              <w:rPr>
                <w:rFonts w:ascii="Arabic Typesetting" w:hAnsi="Arabic Typesetting" w:cs="Arabic Typesetting"/>
                <w:b/>
                <w:sz w:val="28"/>
                <w:szCs w:val="28"/>
                <w:rtl/>
                <w:lang w:bidi="ar-EG"/>
              </w:rPr>
            </w:pPr>
            <w:r w:rsidRPr="00E07EE3">
              <w:rPr>
                <w:rFonts w:ascii="Arabic Typesetting" w:hAnsi="Arabic Typesetting" w:cs="Arabic Typesetting"/>
                <w:b/>
                <w:sz w:val="28"/>
                <w:szCs w:val="28"/>
                <w:rtl/>
                <w:lang w:bidi="ar-EG"/>
              </w:rPr>
              <w:t xml:space="preserve">القرارات الصادرة عن هيئات </w:t>
            </w:r>
            <w:r>
              <w:rPr>
                <w:rFonts w:ascii="Arabic Typesetting" w:hAnsi="Arabic Typesetting" w:cs="Arabic Typesetting"/>
                <w:b/>
                <w:sz w:val="28"/>
                <w:szCs w:val="28"/>
                <w:rtl/>
                <w:lang w:bidi="ar-EG"/>
              </w:rPr>
              <w:t>المعاهدة المختصة حتى نهاية 2017</w:t>
            </w:r>
          </w:p>
        </w:tc>
        <w:tc>
          <w:tcPr>
            <w:tcW w:w="2095" w:type="dxa"/>
            <w:tcMar>
              <w:top w:w="110" w:type="dxa"/>
            </w:tcMar>
          </w:tcPr>
          <w:p w14:paraId="1AC052A3" w14:textId="77777777" w:rsidR="00CE6E0B" w:rsidRPr="00E07EE3" w:rsidRDefault="00CE6E0B" w:rsidP="0031289D">
            <w:pPr>
              <w:keepNext/>
              <w:keepLines/>
              <w:bidi/>
              <w:spacing w:after="60" w:line="280" w:lineRule="exact"/>
              <w:rPr>
                <w:rFonts w:ascii="Arabic Typesetting" w:hAnsi="Arabic Typesetting" w:cs="Arabic Typesetting"/>
                <w:b/>
                <w:noProof/>
                <w:sz w:val="28"/>
                <w:szCs w:val="28"/>
                <w:rtl/>
                <w:lang w:bidi="ar-EG"/>
              </w:rPr>
            </w:pPr>
            <w:r w:rsidRPr="00E07EE3">
              <w:rPr>
                <w:rFonts w:ascii="Arabic Typesetting" w:hAnsi="Arabic Typesetting" w:cs="Arabic Typesetting"/>
                <w:b/>
                <w:noProof/>
                <w:sz w:val="28"/>
                <w:szCs w:val="28"/>
                <w:rtl/>
              </w:rPr>
              <w:t xml:space="preserve">في عام 2016، واصل الفريق العمل </w:t>
            </w:r>
            <w:r w:rsidRPr="00E07EE3">
              <w:rPr>
                <w:rFonts w:ascii="Arabic Typesetting" w:hAnsi="Arabic Typesetting" w:cs="Arabic Typesetting"/>
                <w:b/>
                <w:noProof/>
                <w:sz w:val="28"/>
                <w:szCs w:val="28"/>
                <w:rtl/>
                <w:lang w:bidi="ar-EG"/>
              </w:rPr>
              <w:t>لمعاهدة البراءات مناقشاته من أجل مواصلة تحقيق أهداف المعاهدة لصالح كل أصحاب المصلحة تماشياً مع توصيات خارطة طريق معاهدة البراءات التي اعتمدتها الدول الأعضاء. ونظر الفريق العامل في عدة قضايا منها ما يلي:</w:t>
            </w:r>
          </w:p>
          <w:p w14:paraId="5F2F05AA" w14:textId="77777777" w:rsidR="00CE6E0B" w:rsidRPr="00E07EE3" w:rsidRDefault="00CE6E0B" w:rsidP="0031289D">
            <w:pPr>
              <w:keepNext/>
              <w:keepLines/>
              <w:bidi/>
              <w:spacing w:line="280" w:lineRule="exact"/>
              <w:ind w:left="440" w:hanging="440"/>
              <w:rPr>
                <w:rFonts w:ascii="Arabic Typesetting" w:hAnsi="Arabic Typesetting" w:cs="Arabic Typesetting"/>
                <w:b/>
                <w:noProof/>
                <w:sz w:val="28"/>
                <w:szCs w:val="28"/>
                <w:rtl/>
                <w:lang w:bidi="ar-EG"/>
              </w:rPr>
            </w:pPr>
            <w:r w:rsidRPr="00E07EE3">
              <w:rPr>
                <w:rFonts w:ascii="Arabic Typesetting" w:hAnsi="Arabic Typesetting" w:cs="Arabic Typesetting"/>
                <w:b/>
                <w:noProof/>
                <w:sz w:val="28"/>
                <w:szCs w:val="28"/>
                <w:rtl/>
                <w:lang w:bidi="ar-EG"/>
              </w:rPr>
              <w:t>(أ)</w:t>
            </w:r>
            <w:r w:rsidRPr="00E07EE3">
              <w:rPr>
                <w:rFonts w:ascii="Arabic Typesetting" w:hAnsi="Arabic Typesetting" w:cs="Arabic Typesetting"/>
                <w:b/>
                <w:noProof/>
                <w:sz w:val="28"/>
                <w:szCs w:val="28"/>
                <w:rtl/>
                <w:lang w:bidi="ar-EG"/>
              </w:rPr>
              <w:tab/>
              <w:t>الخدمات المعلوماتية باتت توفر فرصاً جديدة بالتعاون بين المكاتب؛</w:t>
            </w:r>
          </w:p>
          <w:p w14:paraId="29F92B6B" w14:textId="77777777" w:rsidR="00CE6E0B" w:rsidRPr="00E07EE3" w:rsidRDefault="00CE6E0B" w:rsidP="0031289D">
            <w:pPr>
              <w:keepNext/>
              <w:keepLines/>
              <w:bidi/>
              <w:spacing w:line="280" w:lineRule="exact"/>
              <w:ind w:left="440" w:hanging="440"/>
              <w:rPr>
                <w:rFonts w:ascii="Arabic Typesetting" w:hAnsi="Arabic Typesetting" w:cs="Arabic Typesetting"/>
                <w:b/>
                <w:noProof/>
                <w:sz w:val="28"/>
                <w:szCs w:val="28"/>
                <w:rtl/>
                <w:lang w:bidi="ar-EG"/>
              </w:rPr>
            </w:pPr>
            <w:r w:rsidRPr="00E07EE3">
              <w:rPr>
                <w:rFonts w:ascii="Arabic Typesetting" w:hAnsi="Arabic Typesetting" w:cs="Arabic Typesetting"/>
                <w:b/>
                <w:noProof/>
                <w:sz w:val="28"/>
                <w:szCs w:val="28"/>
                <w:rtl/>
                <w:lang w:bidi="ar-EG"/>
              </w:rPr>
              <w:t>(ب)</w:t>
            </w:r>
            <w:r w:rsidRPr="00E07EE3">
              <w:rPr>
                <w:rFonts w:ascii="Arabic Typesetting" w:hAnsi="Arabic Typesetting" w:cs="Arabic Typesetting"/>
                <w:b/>
                <w:noProof/>
                <w:sz w:val="28"/>
                <w:szCs w:val="28"/>
                <w:rtl/>
                <w:lang w:bidi="ar-EG"/>
              </w:rPr>
              <w:tab/>
              <w:t xml:space="preserve">ووسائل أكثر فعالية للتعاون </w:t>
            </w:r>
            <w:r>
              <w:rPr>
                <w:rFonts w:ascii="Arabic Typesetting" w:hAnsi="Arabic Typesetting" w:cs="Arabic Typesetting" w:hint="cs"/>
                <w:b/>
                <w:noProof/>
                <w:sz w:val="28"/>
                <w:szCs w:val="28"/>
                <w:rtl/>
                <w:lang w:bidi="ar-EG"/>
              </w:rPr>
              <w:t>و</w:t>
            </w:r>
            <w:r w:rsidRPr="00E07EE3">
              <w:rPr>
                <w:rFonts w:ascii="Arabic Typesetting" w:hAnsi="Arabic Typesetting" w:cs="Arabic Typesetting"/>
                <w:b/>
                <w:noProof/>
                <w:sz w:val="28"/>
                <w:szCs w:val="28"/>
                <w:rtl/>
                <w:lang w:bidi="ar-EG"/>
              </w:rPr>
              <w:t>تبادل المعلومات</w:t>
            </w:r>
            <w:r>
              <w:rPr>
                <w:rFonts w:ascii="Arabic Typesetting" w:hAnsi="Arabic Typesetting" w:cs="Arabic Typesetting" w:hint="cs"/>
                <w:b/>
                <w:noProof/>
                <w:sz w:val="28"/>
                <w:szCs w:val="28"/>
                <w:rtl/>
                <w:lang w:bidi="ar-EG"/>
              </w:rPr>
              <w:t xml:space="preserve"> على نحو أفضل</w:t>
            </w:r>
            <w:r w:rsidRPr="00E07EE3">
              <w:rPr>
                <w:rFonts w:ascii="Arabic Typesetting" w:hAnsi="Arabic Typesetting" w:cs="Arabic Typesetting"/>
                <w:b/>
                <w:noProof/>
                <w:sz w:val="28"/>
                <w:szCs w:val="28"/>
                <w:rtl/>
                <w:lang w:bidi="ar-EG"/>
              </w:rPr>
              <w:t>؛</w:t>
            </w:r>
          </w:p>
          <w:p w14:paraId="5703677C" w14:textId="77777777" w:rsidR="00CE6E0B" w:rsidRPr="00E07EE3" w:rsidRDefault="00CE6E0B" w:rsidP="0031289D">
            <w:pPr>
              <w:keepNext/>
              <w:keepLines/>
              <w:bidi/>
              <w:spacing w:line="280" w:lineRule="exact"/>
              <w:ind w:left="440" w:hanging="440"/>
              <w:rPr>
                <w:rFonts w:ascii="Arabic Typesetting" w:hAnsi="Arabic Typesetting" w:cs="Arabic Typesetting"/>
                <w:b/>
                <w:noProof/>
                <w:sz w:val="28"/>
                <w:szCs w:val="28"/>
                <w:rtl/>
                <w:lang w:bidi="ar-EG"/>
              </w:rPr>
            </w:pPr>
            <w:r w:rsidRPr="00E07EE3">
              <w:rPr>
                <w:rFonts w:ascii="Arabic Typesetting" w:hAnsi="Arabic Typesetting" w:cs="Arabic Typesetting"/>
                <w:b/>
                <w:noProof/>
                <w:sz w:val="28"/>
                <w:szCs w:val="28"/>
                <w:rtl/>
                <w:lang w:bidi="ar-EG"/>
              </w:rPr>
              <w:t>(ج)</w:t>
            </w:r>
            <w:r w:rsidRPr="00E07EE3">
              <w:rPr>
                <w:rFonts w:ascii="Arabic Typesetting" w:hAnsi="Arabic Typesetting" w:cs="Arabic Typesetting"/>
                <w:b/>
                <w:noProof/>
                <w:sz w:val="28"/>
                <w:szCs w:val="28"/>
                <w:rtl/>
                <w:lang w:bidi="ar-EG"/>
              </w:rPr>
              <w:tab/>
              <w:t>واقتراح لتخفيض رسوم المعاهدة للجامعات ومؤسسات البحث العامة؛</w:t>
            </w:r>
          </w:p>
          <w:p w14:paraId="38A5E20E" w14:textId="77777777" w:rsidR="00CE6E0B" w:rsidRPr="00E07EE3" w:rsidRDefault="00CE6E0B" w:rsidP="0031289D">
            <w:pPr>
              <w:keepNext/>
              <w:keepLines/>
              <w:bidi/>
              <w:spacing w:line="280" w:lineRule="exact"/>
              <w:ind w:left="440" w:hanging="440"/>
              <w:rPr>
                <w:rFonts w:ascii="Arabic Typesetting" w:hAnsi="Arabic Typesetting" w:cs="Arabic Typesetting"/>
                <w:b/>
                <w:noProof/>
                <w:sz w:val="28"/>
                <w:szCs w:val="28"/>
                <w:rtl/>
                <w:lang w:bidi="ar-EG"/>
              </w:rPr>
            </w:pPr>
            <w:r w:rsidRPr="00E07EE3">
              <w:rPr>
                <w:rFonts w:ascii="Arabic Typesetting" w:hAnsi="Arabic Typesetting" w:cs="Arabic Typesetting"/>
                <w:b/>
                <w:noProof/>
                <w:sz w:val="28"/>
                <w:szCs w:val="28"/>
                <w:rtl/>
                <w:lang w:bidi="ar-EG"/>
              </w:rPr>
              <w:t>(د)</w:t>
            </w:r>
            <w:r w:rsidRPr="00E07EE3">
              <w:rPr>
                <w:rFonts w:ascii="Arabic Typesetting" w:hAnsi="Arabic Typesetting" w:cs="Arabic Typesetting"/>
                <w:b/>
                <w:noProof/>
                <w:sz w:val="28"/>
                <w:szCs w:val="28"/>
                <w:rtl/>
                <w:lang w:bidi="ar-EG"/>
              </w:rPr>
              <w:tab/>
              <w:t>وتنسيق</w:t>
            </w:r>
            <w:r>
              <w:rPr>
                <w:rFonts w:ascii="Arabic Typesetting" w:hAnsi="Arabic Typesetting" w:cs="Arabic Typesetting"/>
                <w:b/>
                <w:noProof/>
                <w:sz w:val="28"/>
                <w:szCs w:val="28"/>
                <w:rtl/>
                <w:lang w:bidi="ar-EG"/>
              </w:rPr>
              <w:t xml:space="preserve"> المساعدة التقنية المقدَّمة في </w:t>
            </w:r>
            <w:r>
              <w:rPr>
                <w:rFonts w:ascii="Arabic Typesetting" w:hAnsi="Arabic Typesetting" w:cs="Arabic Typesetting" w:hint="cs"/>
                <w:b/>
                <w:noProof/>
                <w:sz w:val="28"/>
                <w:szCs w:val="28"/>
                <w:rtl/>
                <w:lang w:bidi="ar-EG"/>
              </w:rPr>
              <w:t>إط</w:t>
            </w:r>
            <w:r w:rsidRPr="00E07EE3">
              <w:rPr>
                <w:rFonts w:ascii="Arabic Typesetting" w:hAnsi="Arabic Typesetting" w:cs="Arabic Typesetting"/>
                <w:b/>
                <w:noProof/>
                <w:sz w:val="28"/>
                <w:szCs w:val="28"/>
                <w:rtl/>
                <w:lang w:bidi="ar-EG"/>
              </w:rPr>
              <w:t>ار المعاهدة؛</w:t>
            </w:r>
          </w:p>
          <w:p w14:paraId="4EDDFD0A" w14:textId="77777777" w:rsidR="00CE6E0B" w:rsidRPr="00E07EE3" w:rsidRDefault="00CE6E0B" w:rsidP="0031289D">
            <w:pPr>
              <w:keepNext/>
              <w:keepLines/>
              <w:bidi/>
              <w:spacing w:line="280" w:lineRule="exact"/>
              <w:ind w:left="440" w:hanging="440"/>
              <w:rPr>
                <w:rFonts w:ascii="Arabic Typesetting" w:hAnsi="Arabic Typesetting" w:cs="Arabic Typesetting"/>
                <w:b/>
                <w:sz w:val="28"/>
                <w:szCs w:val="28"/>
                <w:rtl/>
                <w:lang w:bidi="ar-EG"/>
              </w:rPr>
            </w:pPr>
            <w:r w:rsidRPr="00E07EE3">
              <w:rPr>
                <w:rFonts w:ascii="Arabic Typesetting" w:hAnsi="Arabic Typesetting" w:cs="Arabic Typesetting"/>
                <w:b/>
                <w:noProof/>
                <w:sz w:val="28"/>
                <w:szCs w:val="28"/>
                <w:rtl/>
                <w:lang w:bidi="ar-EG"/>
              </w:rPr>
              <w:t>(ه)</w:t>
            </w:r>
            <w:r w:rsidRPr="00E07EE3">
              <w:rPr>
                <w:rFonts w:ascii="Arabic Typesetting" w:hAnsi="Arabic Typesetting" w:cs="Arabic Typesetting"/>
                <w:b/>
                <w:noProof/>
                <w:sz w:val="28"/>
                <w:szCs w:val="28"/>
                <w:rtl/>
                <w:lang w:bidi="ar-EG"/>
              </w:rPr>
              <w:tab/>
              <w:t>وتحسين تنسيق تدريب فاحصي البراءات بين المكاتب.</w:t>
            </w:r>
          </w:p>
        </w:tc>
        <w:tc>
          <w:tcPr>
            <w:tcW w:w="846" w:type="dxa"/>
            <w:tcMar>
              <w:top w:w="110" w:type="dxa"/>
            </w:tcMar>
          </w:tcPr>
          <w:p w14:paraId="35414D30" w14:textId="77777777" w:rsidR="00CE6E0B" w:rsidRPr="00E07EE3" w:rsidRDefault="00CE6E0B" w:rsidP="0031289D">
            <w:pPr>
              <w:keepNext/>
              <w:bidi/>
              <w:spacing w:after="120" w:line="280" w:lineRule="exact"/>
              <w:rPr>
                <w:rFonts w:ascii="Arabic Typesetting" w:hAnsi="Arabic Typesetting" w:cs="Arabic Typesetting"/>
                <w:b/>
                <w:bCs/>
                <w:color w:val="00B050"/>
                <w:sz w:val="28"/>
                <w:szCs w:val="28"/>
                <w:rtl/>
                <w:lang w:bidi="ar-EG"/>
              </w:rPr>
            </w:pPr>
            <w:r w:rsidRPr="00E07EE3">
              <w:rPr>
                <w:rFonts w:ascii="Arabic Typesetting" w:hAnsi="Arabic Typesetting" w:cs="Arabic Typesetting"/>
                <w:b/>
                <w:bCs/>
                <w:color w:val="00B050"/>
                <w:sz w:val="28"/>
                <w:szCs w:val="28"/>
                <w:rtl/>
                <w:lang w:bidi="ar-EG"/>
              </w:rPr>
              <w:t>ثابت</w:t>
            </w:r>
          </w:p>
        </w:tc>
      </w:tr>
      <w:tr w:rsidR="00CE6E0B" w:rsidRPr="00E07EE3" w14:paraId="34D4CB19" w14:textId="77777777" w:rsidTr="00BB3820">
        <w:trPr>
          <w:cantSplit/>
          <w:trHeight w:val="18"/>
        </w:trPr>
        <w:tc>
          <w:tcPr>
            <w:tcW w:w="1900" w:type="dxa"/>
            <w:tcMar>
              <w:top w:w="110" w:type="dxa"/>
            </w:tcMar>
          </w:tcPr>
          <w:p w14:paraId="62C1393E" w14:textId="77777777" w:rsidR="00CE6E0B" w:rsidRPr="00E07EE3" w:rsidRDefault="00CE6E0B" w:rsidP="0031289D">
            <w:pPr>
              <w:bidi/>
              <w:spacing w:after="120" w:line="280" w:lineRule="exact"/>
              <w:rPr>
                <w:rFonts w:ascii="Arabic Typesetting" w:hAnsi="Arabic Typesetting" w:cs="Arabic Typesetting"/>
                <w:b/>
                <w:sz w:val="28"/>
                <w:szCs w:val="28"/>
                <w:rtl/>
                <w:lang w:bidi="ar-EG"/>
              </w:rPr>
            </w:pPr>
            <w:r w:rsidRPr="00E07EE3">
              <w:rPr>
                <w:rFonts w:ascii="Arabic Typesetting" w:hAnsi="Arabic Typesetting" w:cs="Arabic Typesetting"/>
                <w:b/>
                <w:sz w:val="28"/>
                <w:szCs w:val="28"/>
                <w:rtl/>
                <w:lang w:bidi="ar-EG"/>
              </w:rPr>
              <w:t>تحسن الخدم</w:t>
            </w:r>
            <w:r>
              <w:rPr>
                <w:rFonts w:ascii="Arabic Typesetting" w:hAnsi="Arabic Typesetting" w:cs="Arabic Typesetting"/>
                <w:b/>
                <w:sz w:val="28"/>
                <w:szCs w:val="28"/>
                <w:rtl/>
                <w:lang w:bidi="ar-EG"/>
              </w:rPr>
              <w:t>ات الإلكترونية المقدمة للمودعين</w:t>
            </w:r>
            <w:r w:rsidRPr="00E07EE3">
              <w:rPr>
                <w:rFonts w:ascii="Arabic Typesetting" w:hAnsi="Arabic Typesetting" w:cs="Arabic Typesetting"/>
                <w:b/>
                <w:sz w:val="28"/>
                <w:szCs w:val="28"/>
                <w:rtl/>
                <w:lang w:bidi="ar-EG"/>
              </w:rPr>
              <w:t xml:space="preserve"> و</w:t>
            </w:r>
            <w:r>
              <w:rPr>
                <w:rFonts w:ascii="Arabic Typesetting" w:hAnsi="Arabic Typesetting" w:cs="Arabic Typesetting" w:hint="cs"/>
                <w:b/>
                <w:sz w:val="28"/>
                <w:szCs w:val="28"/>
                <w:rtl/>
                <w:lang w:bidi="ar-EG"/>
              </w:rPr>
              <w:t>ا</w:t>
            </w:r>
            <w:r>
              <w:rPr>
                <w:rFonts w:ascii="Arabic Typesetting" w:hAnsi="Arabic Typesetting" w:cs="Arabic Typesetting"/>
                <w:b/>
                <w:sz w:val="28"/>
                <w:szCs w:val="28"/>
                <w:rtl/>
                <w:lang w:bidi="ar-EG"/>
              </w:rPr>
              <w:t>لغير</w:t>
            </w:r>
            <w:r>
              <w:rPr>
                <w:rFonts w:ascii="Arabic Typesetting" w:hAnsi="Arabic Typesetting" w:cs="Arabic Typesetting" w:hint="cs"/>
                <w:b/>
                <w:sz w:val="28"/>
                <w:szCs w:val="28"/>
                <w:rtl/>
                <w:lang w:bidi="ar-EG"/>
              </w:rPr>
              <w:t xml:space="preserve"> </w:t>
            </w:r>
            <w:r w:rsidRPr="00E07EE3">
              <w:rPr>
                <w:rFonts w:ascii="Arabic Typesetting" w:hAnsi="Arabic Typesetting" w:cs="Arabic Typesetting"/>
                <w:b/>
                <w:sz w:val="28"/>
                <w:szCs w:val="28"/>
                <w:rtl/>
                <w:lang w:bidi="ar-EG"/>
              </w:rPr>
              <w:t>و</w:t>
            </w:r>
            <w:r>
              <w:rPr>
                <w:rFonts w:ascii="Arabic Typesetting" w:hAnsi="Arabic Typesetting" w:cs="Arabic Typesetting" w:hint="cs"/>
                <w:b/>
                <w:sz w:val="28"/>
                <w:szCs w:val="28"/>
                <w:rtl/>
                <w:lang w:bidi="ar-EG"/>
              </w:rPr>
              <w:t>ا</w:t>
            </w:r>
            <w:r>
              <w:rPr>
                <w:rFonts w:ascii="Arabic Typesetting" w:hAnsi="Arabic Typesetting" w:cs="Arabic Typesetting"/>
                <w:b/>
                <w:sz w:val="28"/>
                <w:szCs w:val="28"/>
                <w:rtl/>
                <w:lang w:bidi="ar-EG"/>
              </w:rPr>
              <w:t>لمكات</w:t>
            </w:r>
            <w:r>
              <w:rPr>
                <w:rFonts w:ascii="Arabic Typesetting" w:hAnsi="Arabic Typesetting" w:cs="Arabic Typesetting" w:hint="cs"/>
                <w:b/>
                <w:sz w:val="28"/>
                <w:szCs w:val="28"/>
                <w:rtl/>
                <w:lang w:bidi="ar-EG"/>
              </w:rPr>
              <w:t>ب</w:t>
            </w:r>
            <w:r w:rsidRPr="00E07EE3">
              <w:rPr>
                <w:rFonts w:ascii="Arabic Typesetting" w:hAnsi="Arabic Typesetting" w:cs="Arabic Typesetting"/>
                <w:b/>
                <w:sz w:val="28"/>
                <w:szCs w:val="28"/>
                <w:rtl/>
                <w:lang w:bidi="ar-EG"/>
              </w:rPr>
              <w:t xml:space="preserve"> و</w:t>
            </w:r>
            <w:r>
              <w:rPr>
                <w:rFonts w:ascii="Arabic Typesetting" w:hAnsi="Arabic Typesetting" w:cs="Arabic Typesetting" w:hint="cs"/>
                <w:b/>
                <w:sz w:val="28"/>
                <w:szCs w:val="28"/>
                <w:rtl/>
                <w:lang w:bidi="ar-EG"/>
              </w:rPr>
              <w:t>ا</w:t>
            </w:r>
            <w:r w:rsidRPr="00E07EE3">
              <w:rPr>
                <w:rFonts w:ascii="Arabic Typesetting" w:hAnsi="Arabic Typesetting" w:cs="Arabic Typesetting"/>
                <w:b/>
                <w:sz w:val="28"/>
                <w:szCs w:val="28"/>
                <w:rtl/>
                <w:lang w:bidi="ar-EG"/>
              </w:rPr>
              <w:t>لإدارات</w:t>
            </w:r>
          </w:p>
        </w:tc>
        <w:tc>
          <w:tcPr>
            <w:tcW w:w="3303" w:type="dxa"/>
            <w:shd w:val="clear" w:color="auto" w:fill="auto"/>
            <w:tcMar>
              <w:top w:w="110" w:type="dxa"/>
            </w:tcMar>
          </w:tcPr>
          <w:p w14:paraId="29BDDCF6" w14:textId="77777777" w:rsidR="00CE6E0B" w:rsidRPr="00E07EE3" w:rsidRDefault="00CE6E0B" w:rsidP="0031289D">
            <w:pPr>
              <w:bidi/>
              <w:spacing w:after="60" w:line="280" w:lineRule="exact"/>
              <w:rPr>
                <w:rFonts w:ascii="Arabic Typesetting" w:hAnsi="Arabic Typesetting" w:cs="Arabic Typesetting"/>
                <w:color w:val="002060"/>
                <w:sz w:val="28"/>
                <w:szCs w:val="28"/>
                <w:rtl/>
                <w:lang w:bidi="ar-EG"/>
              </w:rPr>
            </w:pPr>
            <w:r>
              <w:rPr>
                <w:rFonts w:ascii="Arabic Typesetting" w:hAnsi="Arabic Typesetting" w:cs="Arabic Typesetting"/>
                <w:i/>
                <w:iCs/>
                <w:color w:val="002060"/>
                <w:sz w:val="28"/>
                <w:szCs w:val="28"/>
                <w:rtl/>
                <w:lang w:bidi="ar-EG"/>
              </w:rPr>
              <w:t>أساس المقارنة المحدّث</w:t>
            </w:r>
            <w:r w:rsidRPr="00E07EE3">
              <w:rPr>
                <w:rFonts w:ascii="Arabic Typesetting" w:hAnsi="Arabic Typesetting" w:cs="Arabic Typesetting"/>
                <w:i/>
                <w:iCs/>
                <w:color w:val="002060"/>
                <w:sz w:val="28"/>
                <w:szCs w:val="28"/>
                <w:rtl/>
                <w:lang w:bidi="ar-EG"/>
              </w:rPr>
              <w:t xml:space="preserve"> في نهاية 2015:</w:t>
            </w:r>
            <w:r>
              <w:rPr>
                <w:rFonts w:ascii="Arabic Typesetting" w:hAnsi="Arabic Typesetting" w:cs="Arabic Typesetting"/>
                <w:i/>
                <w:iCs/>
                <w:color w:val="002060"/>
                <w:sz w:val="28"/>
                <w:szCs w:val="28"/>
                <w:rtl/>
                <w:lang w:bidi="ar-EG"/>
              </w:rPr>
              <w:br/>
            </w:r>
            <w:r w:rsidRPr="00E07EE3">
              <w:rPr>
                <w:rFonts w:ascii="Arabic Typesetting" w:hAnsi="Arabic Typesetting" w:cs="Arabic Typesetting"/>
                <w:color w:val="002060"/>
                <w:sz w:val="28"/>
                <w:szCs w:val="28"/>
                <w:rtl/>
                <w:lang w:bidi="ar-EG"/>
              </w:rPr>
              <w:t>29 مكتباً تقبل الإيداع الإلكتروني عبر منصة</w:t>
            </w:r>
            <w:r>
              <w:rPr>
                <w:rFonts w:ascii="Arabic Typesetting" w:hAnsi="Arabic Typesetting" w:cs="Arabic Typesetting" w:hint="cs"/>
                <w:color w:val="002060"/>
                <w:sz w:val="28"/>
                <w:szCs w:val="28"/>
                <w:rtl/>
                <w:lang w:bidi="ar-EG"/>
              </w:rPr>
              <w:t> </w:t>
            </w:r>
            <w:r w:rsidRPr="00E07EE3">
              <w:rPr>
                <w:rFonts w:ascii="Arabic Typesetting" w:hAnsi="Arabic Typesetting" w:cs="Arabic Typesetting"/>
                <w:color w:val="002060"/>
                <w:sz w:val="28"/>
                <w:szCs w:val="28"/>
                <w:lang w:bidi="ar-EG"/>
              </w:rPr>
              <w:t>ePCT</w:t>
            </w:r>
          </w:p>
          <w:p w14:paraId="73D2903F" w14:textId="77777777" w:rsidR="00CE6E0B" w:rsidRPr="00E07EE3" w:rsidRDefault="00CE6E0B" w:rsidP="0031289D">
            <w:pPr>
              <w:bidi/>
              <w:spacing w:after="60" w:line="280" w:lineRule="exact"/>
              <w:rPr>
                <w:rFonts w:ascii="Arabic Typesetting" w:hAnsi="Arabic Typesetting" w:cs="Arabic Typesetting"/>
                <w:color w:val="002060"/>
                <w:sz w:val="28"/>
                <w:szCs w:val="28"/>
                <w:rtl/>
                <w:lang w:bidi="ar-EG"/>
              </w:rPr>
            </w:pPr>
            <w:r w:rsidRPr="00E07EE3">
              <w:rPr>
                <w:rFonts w:ascii="Arabic Typesetting" w:hAnsi="Arabic Typesetting" w:cs="Arabic Typesetting"/>
                <w:color w:val="002060"/>
                <w:sz w:val="28"/>
                <w:szCs w:val="28"/>
                <w:rtl/>
                <w:lang w:bidi="ar-EG"/>
              </w:rPr>
              <w:t>34 مكتباً لتسلم الطلبات و8 إدارات دولية تقبل الوثائق التي يرسلها المودعون</w:t>
            </w:r>
          </w:p>
          <w:p w14:paraId="6FF4BAA5" w14:textId="77777777" w:rsidR="00CE6E0B" w:rsidRPr="00E07EE3" w:rsidRDefault="00CE6E0B" w:rsidP="0031289D">
            <w:pPr>
              <w:bidi/>
              <w:spacing w:after="120" w:line="280" w:lineRule="exact"/>
              <w:rPr>
                <w:rFonts w:ascii="Arabic Typesetting" w:hAnsi="Arabic Typesetting" w:cs="Arabic Typesetting"/>
                <w:color w:val="002060"/>
                <w:sz w:val="28"/>
                <w:szCs w:val="28"/>
                <w:rtl/>
                <w:lang w:bidi="ar-EG"/>
              </w:rPr>
            </w:pPr>
            <w:r w:rsidRPr="00E07EE3">
              <w:rPr>
                <w:rFonts w:ascii="Arabic Typesetting" w:hAnsi="Arabic Typesetting" w:cs="Arabic Typesetting"/>
                <w:color w:val="002060"/>
                <w:sz w:val="28"/>
                <w:szCs w:val="28"/>
                <w:rtl/>
                <w:lang w:bidi="ar-EG"/>
              </w:rPr>
              <w:t xml:space="preserve">7229 إيداعاً باستخدام منصة </w:t>
            </w:r>
            <w:r w:rsidRPr="00E07EE3">
              <w:rPr>
                <w:rFonts w:ascii="Arabic Typesetting" w:hAnsi="Arabic Typesetting" w:cs="Arabic Typesetting"/>
                <w:color w:val="002060"/>
                <w:sz w:val="28"/>
                <w:szCs w:val="28"/>
                <w:lang w:bidi="ar-EG"/>
              </w:rPr>
              <w:t>ePCT</w:t>
            </w:r>
            <w:r w:rsidRPr="00E07EE3">
              <w:rPr>
                <w:rFonts w:ascii="Arabic Typesetting" w:hAnsi="Arabic Typesetting" w:cs="Arabic Typesetting"/>
                <w:color w:val="002060"/>
                <w:sz w:val="28"/>
                <w:szCs w:val="28"/>
                <w:rtl/>
                <w:lang w:bidi="ar-EG"/>
              </w:rPr>
              <w:t xml:space="preserve"> في 2015</w:t>
            </w:r>
          </w:p>
          <w:p w14:paraId="1AA92C3A" w14:textId="77777777" w:rsidR="00CE6E0B" w:rsidRPr="00E07EE3" w:rsidRDefault="00CE6E0B" w:rsidP="0031289D">
            <w:pPr>
              <w:bidi/>
              <w:spacing w:after="60" w:line="280" w:lineRule="exact"/>
              <w:rPr>
                <w:rFonts w:ascii="Arabic Typesetting" w:hAnsi="Arabic Typesetting" w:cs="Arabic Typesetting"/>
                <w:sz w:val="28"/>
                <w:szCs w:val="28"/>
                <w:rtl/>
                <w:lang w:bidi="ar-EG"/>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w:t>
            </w:r>
            <w:r>
              <w:rPr>
                <w:rFonts w:ascii="Arabic Typesetting" w:hAnsi="Arabic Typesetting" w:cs="Arabic Typesetting" w:hint="cs"/>
                <w:i/>
                <w:iCs/>
                <w:sz w:val="28"/>
                <w:szCs w:val="28"/>
                <w:rtl/>
                <w:lang w:bidi="ar-EG"/>
              </w:rPr>
              <w:t xml:space="preserve"> </w:t>
            </w:r>
            <w:r w:rsidRPr="00E07EE3">
              <w:rPr>
                <w:rFonts w:ascii="Arabic Typesetting" w:hAnsi="Arabic Typesetting" w:cs="Arabic Typesetting"/>
                <w:i/>
                <w:iCs/>
                <w:sz w:val="28"/>
                <w:szCs w:val="28"/>
                <w:rtl/>
                <w:lang w:bidi="ar-EG"/>
              </w:rPr>
              <w:t>برنامج وميزانية 2016/17:</w:t>
            </w:r>
            <w:r>
              <w:rPr>
                <w:rFonts w:ascii="Arabic Typesetting" w:hAnsi="Arabic Typesetting" w:cs="Arabic Typesetting"/>
                <w:i/>
                <w:iCs/>
                <w:sz w:val="28"/>
                <w:szCs w:val="28"/>
                <w:rtl/>
                <w:lang w:bidi="ar-EG"/>
              </w:rPr>
              <w:br/>
            </w:r>
            <w:r w:rsidRPr="00E07EE3">
              <w:rPr>
                <w:rFonts w:ascii="Arabic Typesetting" w:hAnsi="Arabic Typesetting" w:cs="Arabic Typesetting"/>
                <w:sz w:val="28"/>
                <w:szCs w:val="28"/>
                <w:rtl/>
                <w:lang w:bidi="ar-EG"/>
              </w:rPr>
              <w:t>في نهاية 2014، مقارنة بنهاية 2013:</w:t>
            </w:r>
          </w:p>
          <w:p w14:paraId="67127047" w14:textId="77777777" w:rsidR="00CE6E0B" w:rsidRPr="00E07EE3" w:rsidRDefault="00CE6E0B" w:rsidP="0031289D">
            <w:pPr>
              <w:bidi/>
              <w:spacing w:after="60" w:line="280" w:lineRule="exact"/>
              <w:rPr>
                <w:rFonts w:ascii="Arabic Typesetting" w:hAnsi="Arabic Typesetting" w:cs="Arabic Typesetting"/>
                <w:sz w:val="28"/>
                <w:szCs w:val="28"/>
                <w:rtl/>
                <w:lang w:bidi="ar-EG"/>
              </w:rPr>
            </w:pPr>
            <w:r w:rsidRPr="00E07EE3">
              <w:rPr>
                <w:rFonts w:ascii="Arabic Typesetting" w:hAnsi="Arabic Typesetting" w:cs="Arabic Typesetting"/>
                <w:sz w:val="28"/>
                <w:szCs w:val="28"/>
                <w:rtl/>
                <w:lang w:bidi="ar-EG"/>
              </w:rPr>
              <w:t>+32% بالنسبة للمودعين من القطاع العام؛</w:t>
            </w:r>
          </w:p>
          <w:p w14:paraId="496A515F" w14:textId="77777777" w:rsidR="00CE6E0B" w:rsidRPr="00E07EE3" w:rsidRDefault="00CE6E0B" w:rsidP="0031289D">
            <w:pPr>
              <w:bidi/>
              <w:spacing w:after="60" w:line="280" w:lineRule="exact"/>
              <w:rPr>
                <w:rFonts w:ascii="Arabic Typesetting" w:hAnsi="Arabic Typesetting" w:cs="Arabic Typesetting"/>
                <w:sz w:val="28"/>
                <w:szCs w:val="28"/>
                <w:rtl/>
                <w:lang w:bidi="ar-EG"/>
              </w:rPr>
            </w:pPr>
            <w:r w:rsidRPr="00E07EE3">
              <w:rPr>
                <w:rFonts w:ascii="Arabic Typesetting" w:hAnsi="Arabic Typesetting" w:cs="Arabic Typesetting"/>
                <w:sz w:val="28"/>
                <w:szCs w:val="28"/>
                <w:rtl/>
                <w:lang w:bidi="ar-EG"/>
              </w:rPr>
              <w:t>+100% بالنسبة للمودعين من القطاع الخاص؛</w:t>
            </w:r>
          </w:p>
          <w:p w14:paraId="0EC093D7" w14:textId="77777777" w:rsidR="00CE6E0B" w:rsidRDefault="00CE6E0B" w:rsidP="0031289D">
            <w:pPr>
              <w:bidi/>
              <w:spacing w:after="60" w:line="280" w:lineRule="exact"/>
              <w:rPr>
                <w:rFonts w:ascii="Arabic Typesetting" w:hAnsi="Arabic Typesetting" w:cs="Arabic Typesetting"/>
                <w:sz w:val="28"/>
                <w:szCs w:val="28"/>
                <w:rtl/>
                <w:lang w:bidi="ar-EG"/>
              </w:rPr>
            </w:pPr>
            <w:r w:rsidRPr="00E07EE3">
              <w:rPr>
                <w:rFonts w:ascii="Arabic Typesetting" w:hAnsi="Arabic Typesetting" w:cs="Arabic Typesetting"/>
                <w:sz w:val="28"/>
                <w:szCs w:val="28"/>
                <w:rtl/>
                <w:lang w:bidi="ar-EG"/>
              </w:rPr>
              <w:t>+</w:t>
            </w:r>
            <w:r>
              <w:rPr>
                <w:rFonts w:ascii="Arabic Typesetting" w:hAnsi="Arabic Typesetting" w:cs="Arabic Typesetting"/>
                <w:sz w:val="28"/>
                <w:szCs w:val="28"/>
                <w:rtl/>
                <w:lang w:bidi="ar-EG"/>
              </w:rPr>
              <w:t>25% بالنسبة للغير من المراقبين؛</w:t>
            </w:r>
          </w:p>
          <w:p w14:paraId="0CF448EB" w14:textId="77777777" w:rsidR="00CE6E0B" w:rsidRPr="00E07EE3" w:rsidRDefault="00CE6E0B" w:rsidP="0031289D">
            <w:pPr>
              <w:bidi/>
              <w:spacing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w:t>
            </w:r>
            <w:r w:rsidRPr="00E07EE3">
              <w:rPr>
                <w:rFonts w:ascii="Arabic Typesetting" w:hAnsi="Arabic Typesetting" w:cs="Arabic Typesetting"/>
                <w:sz w:val="28"/>
                <w:szCs w:val="28"/>
                <w:rtl/>
                <w:lang w:bidi="ar-EG"/>
              </w:rPr>
              <w:t xml:space="preserve">329% بالنسبة لمكاتب تسلم الطلبات؛ </w:t>
            </w:r>
          </w:p>
          <w:p w14:paraId="129E207D" w14:textId="544AE2C6" w:rsidR="00CE6E0B" w:rsidRPr="00E07EE3" w:rsidRDefault="00CE6E0B" w:rsidP="0031289D">
            <w:pPr>
              <w:bidi/>
              <w:spacing w:after="120" w:line="280" w:lineRule="exact"/>
              <w:rPr>
                <w:rFonts w:ascii="Arabic Typesetting" w:hAnsi="Arabic Typesetting" w:cs="Arabic Typesetting"/>
                <w:i/>
                <w:iCs/>
                <w:color w:val="002060"/>
                <w:sz w:val="28"/>
                <w:szCs w:val="28"/>
                <w:rtl/>
                <w:lang w:bidi="ar-EG"/>
              </w:rPr>
            </w:pPr>
            <w:r w:rsidRPr="00E07EE3">
              <w:rPr>
                <w:rFonts w:ascii="Arabic Typesetting" w:hAnsi="Arabic Typesetting" w:cs="Arabic Typesetting"/>
                <w:sz w:val="28"/>
                <w:szCs w:val="28"/>
                <w:rtl/>
                <w:lang w:bidi="ar-EG"/>
              </w:rPr>
              <w:t xml:space="preserve">-73% بالنسبة </w:t>
            </w:r>
            <w:r w:rsidR="00D02C02" w:rsidRPr="00E07EE3">
              <w:rPr>
                <w:rFonts w:ascii="Arabic Typesetting" w:hAnsi="Arabic Typesetting" w:cs="Arabic Typesetting" w:hint="cs"/>
                <w:sz w:val="28"/>
                <w:szCs w:val="28"/>
                <w:rtl/>
                <w:lang w:bidi="ar-EG"/>
              </w:rPr>
              <w:t>للإدارا</w:t>
            </w:r>
            <w:r w:rsidR="00D02C02" w:rsidRPr="00E07EE3">
              <w:rPr>
                <w:rFonts w:ascii="Arabic Typesetting" w:hAnsi="Arabic Typesetting" w:cs="Arabic Typesetting" w:hint="eastAsia"/>
                <w:sz w:val="28"/>
                <w:szCs w:val="28"/>
                <w:rtl/>
                <w:lang w:bidi="ar-EG"/>
              </w:rPr>
              <w:t>ت</w:t>
            </w:r>
            <w:r w:rsidRPr="00E07EE3">
              <w:rPr>
                <w:rFonts w:ascii="Arabic Typesetting" w:hAnsi="Arabic Typesetting" w:cs="Arabic Typesetting"/>
                <w:sz w:val="28"/>
                <w:szCs w:val="28"/>
                <w:rtl/>
                <w:lang w:bidi="ar-EG"/>
              </w:rPr>
              <w:t xml:space="preserve"> الدولية (انتقل أكبر المكاتب المستخدِمة إلى المستوى التالي من الأتمتة)</w:t>
            </w:r>
          </w:p>
        </w:tc>
        <w:tc>
          <w:tcPr>
            <w:tcW w:w="1427" w:type="dxa"/>
          </w:tcPr>
          <w:p w14:paraId="575108F7" w14:textId="77777777" w:rsidR="00CE6E0B" w:rsidRPr="00E07EE3" w:rsidRDefault="00CE6E0B" w:rsidP="0031289D">
            <w:pPr>
              <w:widowControl w:val="0"/>
              <w:autoSpaceDE w:val="0"/>
              <w:autoSpaceDN w:val="0"/>
              <w:bidi/>
              <w:adjustRightInd w:val="0"/>
              <w:spacing w:after="120" w:line="280" w:lineRule="exact"/>
              <w:rPr>
                <w:rFonts w:ascii="Arabic Typesetting" w:hAnsi="Arabic Typesetting" w:cs="Arabic Typesetting"/>
                <w:b/>
                <w:noProof/>
                <w:sz w:val="28"/>
                <w:szCs w:val="28"/>
                <w:rtl/>
              </w:rPr>
            </w:pPr>
            <w:r w:rsidRPr="00E07EE3">
              <w:rPr>
                <w:rFonts w:ascii="Arabic Typesetting" w:hAnsi="Arabic Typesetting" w:cs="Arabic Typesetting"/>
                <w:b/>
                <w:noProof/>
                <w:sz w:val="28"/>
                <w:szCs w:val="28"/>
                <w:rtl/>
              </w:rPr>
              <w:t>زيادة عدد:</w:t>
            </w:r>
          </w:p>
          <w:p w14:paraId="5AD1D65A" w14:textId="77777777" w:rsidR="00CE6E0B" w:rsidRPr="00E07EE3" w:rsidRDefault="00CE6E0B" w:rsidP="0031289D">
            <w:pPr>
              <w:widowControl w:val="0"/>
              <w:autoSpaceDE w:val="0"/>
              <w:autoSpaceDN w:val="0"/>
              <w:bidi/>
              <w:adjustRightInd w:val="0"/>
              <w:spacing w:after="120" w:line="280" w:lineRule="exact"/>
              <w:rPr>
                <w:rFonts w:ascii="Arabic Typesetting" w:hAnsi="Arabic Typesetting" w:cs="Arabic Typesetting"/>
                <w:b/>
                <w:noProof/>
                <w:sz w:val="28"/>
                <w:szCs w:val="28"/>
                <w:rtl/>
              </w:rPr>
            </w:pPr>
            <w:r w:rsidRPr="00E07EE3">
              <w:rPr>
                <w:rFonts w:ascii="Arabic Typesetting" w:hAnsi="Arabic Typesetting" w:cs="Arabic Typesetting"/>
                <w:b/>
                <w:noProof/>
                <w:sz w:val="28"/>
                <w:szCs w:val="28"/>
                <w:rtl/>
              </w:rPr>
              <w:t xml:space="preserve">المكاتب التي تقبل الإيداع الإلكتروني باستخدام منصة </w:t>
            </w:r>
            <w:r w:rsidRPr="00E07EE3">
              <w:rPr>
                <w:rFonts w:ascii="Arabic Typesetting" w:hAnsi="Arabic Typesetting" w:cs="Arabic Typesetting"/>
                <w:bCs/>
                <w:noProof/>
                <w:sz w:val="28"/>
                <w:szCs w:val="28"/>
              </w:rPr>
              <w:t>ePCT</w:t>
            </w:r>
            <w:r w:rsidRPr="00E07EE3">
              <w:rPr>
                <w:rFonts w:ascii="Arabic Typesetting" w:hAnsi="Arabic Typesetting" w:cs="Arabic Typesetting"/>
                <w:b/>
                <w:noProof/>
                <w:sz w:val="28"/>
                <w:szCs w:val="28"/>
                <w:rtl/>
              </w:rPr>
              <w:t>؛</w:t>
            </w:r>
          </w:p>
          <w:p w14:paraId="3F1926BE" w14:textId="77777777" w:rsidR="00CE6E0B" w:rsidRPr="00E07EE3" w:rsidRDefault="00CE6E0B" w:rsidP="0031289D">
            <w:pPr>
              <w:widowControl w:val="0"/>
              <w:autoSpaceDE w:val="0"/>
              <w:autoSpaceDN w:val="0"/>
              <w:bidi/>
              <w:adjustRightInd w:val="0"/>
              <w:spacing w:after="120" w:line="280" w:lineRule="exact"/>
              <w:rPr>
                <w:rFonts w:ascii="Arabic Typesetting" w:hAnsi="Arabic Typesetting" w:cs="Arabic Typesetting"/>
                <w:b/>
                <w:noProof/>
                <w:sz w:val="28"/>
                <w:szCs w:val="28"/>
                <w:rtl/>
              </w:rPr>
            </w:pPr>
            <w:r w:rsidRPr="00E07EE3">
              <w:rPr>
                <w:rFonts w:ascii="Arabic Typesetting" w:hAnsi="Arabic Typesetting" w:cs="Arabic Typesetting"/>
                <w:b/>
                <w:noProof/>
                <w:sz w:val="28"/>
                <w:szCs w:val="28"/>
                <w:rtl/>
              </w:rPr>
              <w:t>والمكاتب التي تستخدم هذه المنصة أو تقبل الوثائق التي يحيلها المودعون باستخدام المنصة؛</w:t>
            </w:r>
          </w:p>
          <w:p w14:paraId="42F01E04" w14:textId="77777777" w:rsidR="00CE6E0B" w:rsidRPr="00E07EE3" w:rsidRDefault="00CE6E0B" w:rsidP="0031289D">
            <w:pPr>
              <w:bidi/>
              <w:spacing w:after="120" w:line="280" w:lineRule="exact"/>
              <w:rPr>
                <w:rFonts w:ascii="Arabic Typesetting" w:hAnsi="Arabic Typesetting" w:cs="Arabic Typesetting"/>
                <w:b/>
                <w:sz w:val="28"/>
                <w:szCs w:val="28"/>
                <w:rtl/>
                <w:lang w:bidi="ar-EG"/>
              </w:rPr>
            </w:pPr>
            <w:r w:rsidRPr="00E07EE3">
              <w:rPr>
                <w:rFonts w:ascii="Arabic Typesetting" w:hAnsi="Arabic Typesetting" w:cs="Arabic Typesetting"/>
                <w:b/>
                <w:noProof/>
                <w:sz w:val="28"/>
                <w:szCs w:val="28"/>
                <w:rtl/>
              </w:rPr>
              <w:t>والطلبات المودعة باستخدام المنصة</w:t>
            </w:r>
            <w:r>
              <w:rPr>
                <w:rFonts w:ascii="Arabic Typesetting" w:hAnsi="Arabic Typesetting" w:cs="Arabic Typesetting" w:hint="cs"/>
                <w:b/>
                <w:noProof/>
                <w:sz w:val="28"/>
                <w:szCs w:val="28"/>
                <w:rtl/>
              </w:rPr>
              <w:t>.</w:t>
            </w:r>
          </w:p>
        </w:tc>
        <w:tc>
          <w:tcPr>
            <w:tcW w:w="2095" w:type="dxa"/>
            <w:tcMar>
              <w:top w:w="110" w:type="dxa"/>
            </w:tcMar>
          </w:tcPr>
          <w:p w14:paraId="10BC54E0" w14:textId="77777777" w:rsidR="00CE6E0B" w:rsidRPr="00E07EE3" w:rsidRDefault="00CE6E0B" w:rsidP="0031289D">
            <w:pPr>
              <w:widowControl w:val="0"/>
              <w:autoSpaceDE w:val="0"/>
              <w:autoSpaceDN w:val="0"/>
              <w:bidi/>
              <w:adjustRightInd w:val="0"/>
              <w:spacing w:after="120" w:line="280" w:lineRule="exact"/>
              <w:rPr>
                <w:rFonts w:ascii="Arabic Typesetting" w:hAnsi="Arabic Typesetting" w:cs="Arabic Typesetting"/>
                <w:noProof/>
                <w:sz w:val="28"/>
                <w:szCs w:val="28"/>
                <w:rtl/>
              </w:rPr>
            </w:pPr>
            <w:r w:rsidRPr="00E07EE3">
              <w:rPr>
                <w:rFonts w:ascii="Arabic Typesetting" w:hAnsi="Arabic Typesetting" w:cs="Arabic Typesetting"/>
                <w:b/>
                <w:noProof/>
                <w:sz w:val="28"/>
                <w:szCs w:val="28"/>
                <w:rtl/>
              </w:rPr>
              <w:t>في نهاية 2016:</w:t>
            </w:r>
          </w:p>
          <w:p w14:paraId="2410CB8D" w14:textId="77777777" w:rsidR="00CE6E0B" w:rsidRPr="00E07EE3" w:rsidRDefault="00CE6E0B" w:rsidP="0031289D">
            <w:pPr>
              <w:widowControl w:val="0"/>
              <w:autoSpaceDE w:val="0"/>
              <w:autoSpaceDN w:val="0"/>
              <w:bidi/>
              <w:adjustRightInd w:val="0"/>
              <w:spacing w:after="720" w:line="280" w:lineRule="exact"/>
              <w:rPr>
                <w:rFonts w:ascii="Arabic Typesetting" w:hAnsi="Arabic Typesetting" w:cs="Arabic Typesetting"/>
                <w:noProof/>
                <w:sz w:val="28"/>
                <w:szCs w:val="28"/>
                <w:rtl/>
                <w:lang w:bidi="ar-EG"/>
              </w:rPr>
            </w:pPr>
            <w:r w:rsidRPr="00E07EE3">
              <w:rPr>
                <w:rFonts w:ascii="Arabic Typesetting" w:hAnsi="Arabic Typesetting" w:cs="Arabic Typesetting"/>
                <w:noProof/>
                <w:sz w:val="28"/>
                <w:szCs w:val="28"/>
                <w:rtl/>
              </w:rPr>
              <w:t xml:space="preserve">45 مكتباً تقبل الإيداع الإلكتروني باستخدام منصة </w:t>
            </w:r>
            <w:r w:rsidRPr="00E07EE3">
              <w:rPr>
                <w:rFonts w:ascii="Arabic Typesetting" w:hAnsi="Arabic Typesetting" w:cs="Arabic Typesetting"/>
                <w:noProof/>
                <w:sz w:val="28"/>
                <w:szCs w:val="28"/>
              </w:rPr>
              <w:t>ePCT</w:t>
            </w:r>
            <w:r>
              <w:rPr>
                <w:rFonts w:ascii="Arabic Typesetting" w:hAnsi="Arabic Typesetting" w:cs="Arabic Typesetting"/>
                <w:noProof/>
                <w:sz w:val="28"/>
                <w:szCs w:val="28"/>
                <w:rtl/>
                <w:lang w:bidi="ar-EG"/>
              </w:rPr>
              <w:br/>
            </w:r>
            <w:r w:rsidRPr="00E07EE3">
              <w:rPr>
                <w:rFonts w:ascii="Arabic Typesetting" w:hAnsi="Arabic Typesetting" w:cs="Arabic Typesetting"/>
                <w:noProof/>
                <w:sz w:val="28"/>
                <w:szCs w:val="28"/>
                <w:rtl/>
                <w:lang w:bidi="ar-EG"/>
              </w:rPr>
              <w:t>(+55% مقارنة بعام 2015)</w:t>
            </w:r>
          </w:p>
          <w:p w14:paraId="335DA036" w14:textId="77777777" w:rsidR="00CE6E0B" w:rsidRPr="00E07EE3" w:rsidRDefault="00CE6E0B" w:rsidP="0031289D">
            <w:pPr>
              <w:widowControl w:val="0"/>
              <w:autoSpaceDE w:val="0"/>
              <w:autoSpaceDN w:val="0"/>
              <w:bidi/>
              <w:adjustRightInd w:val="0"/>
              <w:spacing w:after="600" w:line="280" w:lineRule="exact"/>
              <w:rPr>
                <w:rFonts w:ascii="Arabic Typesetting" w:hAnsi="Arabic Typesetting" w:cs="Arabic Typesetting"/>
                <w:noProof/>
                <w:sz w:val="28"/>
                <w:szCs w:val="28"/>
                <w:rtl/>
                <w:lang w:bidi="ar-EG"/>
              </w:rPr>
            </w:pPr>
            <w:r w:rsidRPr="00E07EE3">
              <w:rPr>
                <w:rFonts w:ascii="Arabic Typesetting" w:hAnsi="Arabic Typesetting" w:cs="Arabic Typesetting"/>
                <w:noProof/>
                <w:sz w:val="28"/>
                <w:szCs w:val="28"/>
                <w:rtl/>
                <w:lang w:bidi="ar-EG"/>
              </w:rPr>
              <w:t>45 مكتباً لتسلم الطلبات</w:t>
            </w:r>
            <w:r>
              <w:rPr>
                <w:rFonts w:ascii="Arabic Typesetting" w:hAnsi="Arabic Typesetting" w:cs="Arabic Typesetting"/>
                <w:noProof/>
                <w:sz w:val="28"/>
                <w:szCs w:val="28"/>
                <w:rtl/>
                <w:lang w:bidi="ar-EG"/>
              </w:rPr>
              <w:br/>
            </w:r>
            <w:r w:rsidRPr="00E07EE3">
              <w:rPr>
                <w:rFonts w:ascii="Arabic Typesetting" w:hAnsi="Arabic Typesetting" w:cs="Arabic Typesetting"/>
                <w:noProof/>
                <w:sz w:val="28"/>
                <w:szCs w:val="28"/>
                <w:rtl/>
                <w:lang w:bidi="ar-EG"/>
              </w:rPr>
              <w:t>(+32% مقارنة بعام 2015)</w:t>
            </w:r>
            <w:r>
              <w:rPr>
                <w:rFonts w:ascii="Arabic Typesetting" w:hAnsi="Arabic Typesetting" w:cs="Arabic Typesetting"/>
                <w:noProof/>
                <w:sz w:val="28"/>
                <w:szCs w:val="28"/>
                <w:rtl/>
                <w:lang w:bidi="ar-EG"/>
              </w:rPr>
              <w:br/>
            </w:r>
            <w:r>
              <w:rPr>
                <w:rFonts w:ascii="Arabic Typesetting" w:hAnsi="Arabic Typesetting" w:cs="Arabic Typesetting" w:hint="cs"/>
                <w:noProof/>
                <w:sz w:val="28"/>
                <w:szCs w:val="28"/>
                <w:rtl/>
                <w:lang w:bidi="ar-EG"/>
              </w:rPr>
              <w:t>و</w:t>
            </w:r>
            <w:r w:rsidRPr="00E07EE3">
              <w:rPr>
                <w:rFonts w:ascii="Arabic Typesetting" w:hAnsi="Arabic Typesetting" w:cs="Arabic Typesetting"/>
                <w:noProof/>
                <w:sz w:val="28"/>
                <w:szCs w:val="28"/>
                <w:rtl/>
                <w:lang w:bidi="ar-EG"/>
              </w:rPr>
              <w:t>13 إدارة دولية (+63% مقارنة بعام</w:t>
            </w:r>
            <w:r>
              <w:rPr>
                <w:rFonts w:ascii="Arabic Typesetting" w:hAnsi="Arabic Typesetting" w:cs="Arabic Typesetting" w:hint="cs"/>
                <w:noProof/>
                <w:sz w:val="28"/>
                <w:szCs w:val="28"/>
                <w:rtl/>
                <w:lang w:bidi="ar-EG"/>
              </w:rPr>
              <w:t> </w:t>
            </w:r>
            <w:r w:rsidRPr="00E07EE3">
              <w:rPr>
                <w:rFonts w:ascii="Arabic Typesetting" w:hAnsi="Arabic Typesetting" w:cs="Arabic Typesetting"/>
                <w:noProof/>
                <w:sz w:val="28"/>
                <w:szCs w:val="28"/>
                <w:rtl/>
                <w:lang w:bidi="ar-EG"/>
              </w:rPr>
              <w:t>2015) تقبل الوثائق التي يرسلها المودعون</w:t>
            </w:r>
          </w:p>
          <w:p w14:paraId="29D8161A" w14:textId="77777777" w:rsidR="00CE6E0B" w:rsidRPr="00E07EE3" w:rsidRDefault="00CE6E0B" w:rsidP="0031289D">
            <w:pPr>
              <w:keepNext/>
              <w:keepLines/>
              <w:bidi/>
              <w:spacing w:after="120" w:line="280" w:lineRule="exact"/>
              <w:rPr>
                <w:rFonts w:ascii="Arabic Typesetting" w:hAnsi="Arabic Typesetting" w:cs="Arabic Typesetting"/>
                <w:b/>
                <w:noProof/>
                <w:sz w:val="28"/>
                <w:szCs w:val="28"/>
                <w:rtl/>
              </w:rPr>
            </w:pPr>
            <w:r w:rsidRPr="00E07EE3">
              <w:rPr>
                <w:rFonts w:ascii="Arabic Typesetting" w:hAnsi="Arabic Typesetting" w:cs="Arabic Typesetting"/>
                <w:noProof/>
                <w:sz w:val="28"/>
                <w:szCs w:val="28"/>
                <w:rtl/>
                <w:lang w:bidi="ar-EG"/>
              </w:rPr>
              <w:t xml:space="preserve">10 843 إيداعاً باستخدام منصة </w:t>
            </w:r>
            <w:r w:rsidRPr="00E07EE3">
              <w:rPr>
                <w:rFonts w:ascii="Arabic Typesetting" w:hAnsi="Arabic Typesetting" w:cs="Arabic Typesetting"/>
                <w:noProof/>
                <w:sz w:val="28"/>
                <w:szCs w:val="28"/>
                <w:lang w:bidi="ar-EG"/>
              </w:rPr>
              <w:t>ePCT</w:t>
            </w:r>
            <w:r w:rsidRPr="00E07EE3">
              <w:rPr>
                <w:rFonts w:ascii="Arabic Typesetting" w:hAnsi="Arabic Typesetting" w:cs="Arabic Typesetting"/>
                <w:noProof/>
                <w:sz w:val="28"/>
                <w:szCs w:val="28"/>
                <w:rtl/>
                <w:lang w:bidi="ar-EG"/>
              </w:rPr>
              <w:t xml:space="preserve"> (+50% مقارنة بعام 2015)</w:t>
            </w:r>
          </w:p>
        </w:tc>
        <w:tc>
          <w:tcPr>
            <w:tcW w:w="846" w:type="dxa"/>
            <w:tcMar>
              <w:top w:w="110" w:type="dxa"/>
            </w:tcMar>
          </w:tcPr>
          <w:p w14:paraId="61D4BF28" w14:textId="77777777" w:rsidR="00CE6E0B" w:rsidRPr="00E07EE3" w:rsidRDefault="00CE6E0B" w:rsidP="0031289D">
            <w:pPr>
              <w:keepNext/>
              <w:bidi/>
              <w:spacing w:before="400" w:after="1200" w:line="280" w:lineRule="exact"/>
              <w:rPr>
                <w:rFonts w:ascii="Arabic Typesetting" w:hAnsi="Arabic Typesetting" w:cs="Arabic Typesetting"/>
                <w:b/>
                <w:bCs/>
                <w:color w:val="00B050"/>
                <w:sz w:val="28"/>
                <w:szCs w:val="28"/>
                <w:rtl/>
                <w:lang w:bidi="ar-EG"/>
              </w:rPr>
            </w:pPr>
            <w:r w:rsidRPr="00E07EE3">
              <w:rPr>
                <w:rFonts w:ascii="Arabic Typesetting" w:hAnsi="Arabic Typesetting" w:cs="Arabic Typesetting"/>
                <w:b/>
                <w:bCs/>
                <w:color w:val="00B050"/>
                <w:sz w:val="28"/>
                <w:szCs w:val="28"/>
                <w:rtl/>
                <w:lang w:bidi="ar-EG"/>
              </w:rPr>
              <w:t>ثابت</w:t>
            </w:r>
          </w:p>
          <w:p w14:paraId="39B647F5" w14:textId="77777777" w:rsidR="00CE6E0B" w:rsidRPr="00E07EE3" w:rsidRDefault="00CE6E0B" w:rsidP="0031289D">
            <w:pPr>
              <w:keepNext/>
              <w:bidi/>
              <w:spacing w:after="1800" w:line="280" w:lineRule="exact"/>
              <w:rPr>
                <w:rFonts w:ascii="Arabic Typesetting" w:hAnsi="Arabic Typesetting" w:cs="Arabic Typesetting"/>
                <w:b/>
                <w:bCs/>
                <w:color w:val="00B050"/>
                <w:sz w:val="28"/>
                <w:szCs w:val="28"/>
                <w:rtl/>
                <w:lang w:bidi="ar-EG"/>
              </w:rPr>
            </w:pPr>
            <w:r w:rsidRPr="00E07EE3">
              <w:rPr>
                <w:rFonts w:ascii="Arabic Typesetting" w:hAnsi="Arabic Typesetting" w:cs="Arabic Typesetting"/>
                <w:b/>
                <w:bCs/>
                <w:color w:val="00B050"/>
                <w:sz w:val="28"/>
                <w:szCs w:val="28"/>
                <w:rtl/>
                <w:lang w:bidi="ar-EG"/>
              </w:rPr>
              <w:t>ثابت</w:t>
            </w:r>
          </w:p>
          <w:p w14:paraId="20F36776" w14:textId="77777777" w:rsidR="00CE6E0B" w:rsidRPr="00E07EE3" w:rsidRDefault="00CE6E0B" w:rsidP="0031289D">
            <w:pPr>
              <w:keepNext/>
              <w:bidi/>
              <w:spacing w:after="120" w:line="280" w:lineRule="exact"/>
              <w:rPr>
                <w:rFonts w:ascii="Arabic Typesetting" w:hAnsi="Arabic Typesetting" w:cs="Arabic Typesetting"/>
                <w:b/>
                <w:bCs/>
                <w:color w:val="00B050"/>
                <w:sz w:val="28"/>
                <w:szCs w:val="28"/>
                <w:rtl/>
                <w:lang w:bidi="ar-EG"/>
              </w:rPr>
            </w:pPr>
            <w:r w:rsidRPr="00E07EE3">
              <w:rPr>
                <w:rFonts w:ascii="Arabic Typesetting" w:hAnsi="Arabic Typesetting" w:cs="Arabic Typesetting"/>
                <w:b/>
                <w:bCs/>
                <w:color w:val="00B050"/>
                <w:sz w:val="28"/>
                <w:szCs w:val="28"/>
                <w:rtl/>
                <w:lang w:bidi="ar-EG"/>
              </w:rPr>
              <w:t>ثابت</w:t>
            </w:r>
          </w:p>
        </w:tc>
      </w:tr>
      <w:tr w:rsidR="00CE6E0B" w:rsidRPr="00E07EE3" w14:paraId="6CEB563F" w14:textId="77777777" w:rsidTr="00BB3820">
        <w:trPr>
          <w:cantSplit/>
          <w:trHeight w:val="537"/>
        </w:trPr>
        <w:tc>
          <w:tcPr>
            <w:tcW w:w="9571" w:type="dxa"/>
            <w:gridSpan w:val="5"/>
            <w:shd w:val="clear" w:color="auto" w:fill="C6D9F1"/>
            <w:tcMar>
              <w:top w:w="0" w:type="dxa"/>
            </w:tcMar>
            <w:vAlign w:val="center"/>
          </w:tcPr>
          <w:p w14:paraId="62803E85" w14:textId="77777777" w:rsidR="00CE6E0B" w:rsidRPr="00E07EE3" w:rsidRDefault="00CE6E0B" w:rsidP="0031289D">
            <w:pPr>
              <w:keepNext/>
              <w:bidi/>
              <w:spacing w:before="120" w:after="120" w:line="280" w:lineRule="exact"/>
              <w:ind w:left="1167" w:hanging="1167"/>
              <w:rPr>
                <w:rFonts w:ascii="Arabic Typesetting" w:hAnsi="Arabic Typesetting" w:cs="Arabic Typesetting"/>
                <w:bCs/>
                <w:sz w:val="28"/>
                <w:szCs w:val="28"/>
                <w:lang w:bidi="ar-EG"/>
              </w:rPr>
            </w:pPr>
            <w:r w:rsidRPr="00E07EE3">
              <w:rPr>
                <w:rFonts w:ascii="Arabic Typesetting" w:hAnsi="Arabic Typesetting" w:cs="Arabic Typesetting"/>
                <w:bCs/>
                <w:sz w:val="28"/>
                <w:szCs w:val="28"/>
                <w:shd w:val="clear" w:color="auto" w:fill="C6D9F1"/>
                <w:rtl/>
                <w:lang w:bidi="ar-EG"/>
              </w:rPr>
              <w:lastRenderedPageBreak/>
              <w:t xml:space="preserve">النتيجة المرتقبة: </w:t>
            </w:r>
            <w:r w:rsidRPr="00E07EE3">
              <w:rPr>
                <w:rFonts w:ascii="Arabic Typesetting" w:hAnsi="Arabic Typesetting" w:cs="Arabic Typesetting"/>
                <w:b/>
                <w:sz w:val="28"/>
                <w:szCs w:val="28"/>
                <w:shd w:val="clear" w:color="auto" w:fill="C6D9F1"/>
                <w:rtl/>
                <w:lang w:bidi="ar-EG"/>
              </w:rPr>
              <w:tab/>
            </w:r>
            <w:r>
              <w:rPr>
                <w:rFonts w:ascii="Arabic Typesetting" w:hAnsi="Arabic Typesetting" w:cs="Arabic Typesetting"/>
                <w:b/>
                <w:sz w:val="28"/>
                <w:szCs w:val="28"/>
                <w:shd w:val="clear" w:color="auto" w:fill="C6D9F1"/>
                <w:rtl/>
                <w:lang w:bidi="ar-EG"/>
              </w:rPr>
              <w:t xml:space="preserve">ه3.2 </w:t>
            </w:r>
            <w:r w:rsidRPr="00093853">
              <w:rPr>
                <w:rFonts w:ascii="Arabic Typesetting" w:hAnsi="Arabic Typesetting" w:cs="Arabic Typesetting"/>
                <w:b/>
                <w:sz w:val="28"/>
                <w:szCs w:val="28"/>
                <w:shd w:val="clear" w:color="auto" w:fill="C6D9F1"/>
                <w:rtl/>
                <w:lang w:bidi="ar-EG"/>
              </w:rPr>
              <w:t>إنتاجية وجودة خدمات محسّنة في عمليات معاهدة التعاون بشأن البراءات</w:t>
            </w:r>
          </w:p>
        </w:tc>
      </w:tr>
      <w:tr w:rsidR="00CE6E0B" w:rsidRPr="00E07EE3" w14:paraId="731BC984" w14:textId="77777777" w:rsidTr="00BB3820">
        <w:trPr>
          <w:cantSplit/>
          <w:trHeight w:val="18"/>
        </w:trPr>
        <w:tc>
          <w:tcPr>
            <w:tcW w:w="1900" w:type="dxa"/>
            <w:tcMar>
              <w:top w:w="110" w:type="dxa"/>
            </w:tcMar>
          </w:tcPr>
          <w:p w14:paraId="1B58983D" w14:textId="77777777" w:rsidR="00CE6E0B" w:rsidRPr="00E07EE3" w:rsidRDefault="00CE6E0B" w:rsidP="0031289D">
            <w:pPr>
              <w:keepNext/>
              <w:bidi/>
              <w:spacing w:after="120" w:line="280" w:lineRule="exact"/>
              <w:rPr>
                <w:rFonts w:ascii="Arabic Typesetting" w:hAnsi="Arabic Typesetting" w:cs="Arabic Typesetting"/>
                <w:b/>
                <w:bCs/>
                <w:sz w:val="28"/>
                <w:szCs w:val="28"/>
                <w:rtl/>
                <w:lang w:bidi="ar-EG"/>
              </w:rPr>
            </w:pPr>
            <w:r w:rsidRPr="00E07EE3">
              <w:rPr>
                <w:rFonts w:ascii="Arabic Typesetting" w:hAnsi="Arabic Typesetting" w:cs="Arabic Typesetting"/>
                <w:b/>
                <w:bCs/>
                <w:sz w:val="28"/>
                <w:szCs w:val="28"/>
                <w:rtl/>
                <w:lang w:bidi="ar-EG"/>
              </w:rPr>
              <w:t>مؤشرات الأداء</w:t>
            </w:r>
          </w:p>
        </w:tc>
        <w:tc>
          <w:tcPr>
            <w:tcW w:w="3303" w:type="dxa"/>
            <w:shd w:val="clear" w:color="auto" w:fill="auto"/>
            <w:tcMar>
              <w:top w:w="110" w:type="dxa"/>
            </w:tcMar>
          </w:tcPr>
          <w:p w14:paraId="30D51E9F" w14:textId="77777777" w:rsidR="00CE6E0B" w:rsidRPr="00E07EE3" w:rsidRDefault="00CE6E0B" w:rsidP="0031289D">
            <w:pPr>
              <w:keepNext/>
              <w:bidi/>
              <w:spacing w:after="120" w:line="280" w:lineRule="exact"/>
              <w:rPr>
                <w:rFonts w:ascii="Arabic Typesetting" w:hAnsi="Arabic Typesetting" w:cs="Arabic Typesetting"/>
                <w:bCs/>
                <w:sz w:val="28"/>
                <w:szCs w:val="28"/>
                <w:rtl/>
                <w:lang w:bidi="ar-EG"/>
              </w:rPr>
            </w:pPr>
            <w:r w:rsidRPr="00E07EE3">
              <w:rPr>
                <w:rFonts w:ascii="Arabic Typesetting" w:hAnsi="Arabic Typesetting" w:cs="Arabic Typesetting"/>
                <w:bCs/>
                <w:sz w:val="28"/>
                <w:szCs w:val="28"/>
                <w:rtl/>
                <w:lang w:bidi="ar-EG"/>
              </w:rPr>
              <w:t>أسس المقارنة</w:t>
            </w:r>
          </w:p>
        </w:tc>
        <w:tc>
          <w:tcPr>
            <w:tcW w:w="1427" w:type="dxa"/>
          </w:tcPr>
          <w:p w14:paraId="7B049805" w14:textId="77777777" w:rsidR="00CE6E0B" w:rsidRPr="00E07EE3" w:rsidRDefault="00CE6E0B" w:rsidP="0031289D">
            <w:pPr>
              <w:keepNext/>
              <w:bidi/>
              <w:spacing w:after="120" w:line="280" w:lineRule="exact"/>
              <w:rPr>
                <w:rFonts w:ascii="Arabic Typesetting" w:hAnsi="Arabic Typesetting" w:cs="Arabic Typesetting"/>
                <w:b/>
                <w:bCs/>
                <w:sz w:val="28"/>
                <w:szCs w:val="28"/>
                <w:rtl/>
                <w:lang w:bidi="ar-EG"/>
              </w:rPr>
            </w:pPr>
            <w:r w:rsidRPr="00E07EE3">
              <w:rPr>
                <w:rFonts w:ascii="Arabic Typesetting" w:hAnsi="Arabic Typesetting" w:cs="Arabic Typesetting"/>
                <w:b/>
                <w:bCs/>
                <w:sz w:val="28"/>
                <w:szCs w:val="28"/>
                <w:rtl/>
                <w:lang w:bidi="ar-EG"/>
              </w:rPr>
              <w:t>الأهداف</w:t>
            </w:r>
          </w:p>
        </w:tc>
        <w:tc>
          <w:tcPr>
            <w:tcW w:w="2095" w:type="dxa"/>
            <w:tcMar>
              <w:top w:w="110" w:type="dxa"/>
            </w:tcMar>
          </w:tcPr>
          <w:p w14:paraId="7A48E4FC" w14:textId="77777777" w:rsidR="00CE6E0B" w:rsidRPr="00E07EE3" w:rsidRDefault="00CE6E0B" w:rsidP="0031289D">
            <w:pPr>
              <w:keepNext/>
              <w:bidi/>
              <w:spacing w:after="120" w:line="280" w:lineRule="exact"/>
              <w:rPr>
                <w:rFonts w:ascii="Arabic Typesetting" w:hAnsi="Arabic Typesetting" w:cs="Arabic Typesetting"/>
                <w:b/>
                <w:bCs/>
                <w:sz w:val="28"/>
                <w:szCs w:val="28"/>
                <w:rtl/>
                <w:lang w:bidi="ar-EG"/>
              </w:rPr>
            </w:pPr>
            <w:r w:rsidRPr="00E07EE3">
              <w:rPr>
                <w:rFonts w:ascii="Arabic Typesetting" w:hAnsi="Arabic Typesetting" w:cs="Arabic Typesetting"/>
                <w:b/>
                <w:bCs/>
                <w:sz w:val="28"/>
                <w:szCs w:val="28"/>
                <w:rtl/>
                <w:lang w:bidi="ar-EG"/>
              </w:rPr>
              <w:t>بيانات الأداء</w:t>
            </w:r>
          </w:p>
        </w:tc>
        <w:tc>
          <w:tcPr>
            <w:tcW w:w="846" w:type="dxa"/>
            <w:tcMar>
              <w:top w:w="110" w:type="dxa"/>
            </w:tcMar>
          </w:tcPr>
          <w:p w14:paraId="59858A69" w14:textId="77777777" w:rsidR="00CE6E0B" w:rsidRPr="00E07EE3" w:rsidRDefault="00CE6E0B" w:rsidP="0031289D">
            <w:pPr>
              <w:keepNext/>
              <w:bidi/>
              <w:spacing w:after="120" w:line="280" w:lineRule="exact"/>
              <w:rPr>
                <w:rFonts w:ascii="Arabic Typesetting" w:hAnsi="Arabic Typesetting" w:cs="Arabic Typesetting"/>
                <w:b/>
                <w:bCs/>
                <w:sz w:val="28"/>
                <w:szCs w:val="28"/>
                <w:rtl/>
                <w:lang w:bidi="ar-EG"/>
              </w:rPr>
            </w:pPr>
            <w:r w:rsidRPr="00E07EE3">
              <w:rPr>
                <w:rFonts w:ascii="Arabic Typesetting" w:hAnsi="Arabic Typesetting" w:cs="Arabic Typesetting"/>
                <w:b/>
                <w:bCs/>
                <w:sz w:val="28"/>
                <w:szCs w:val="28"/>
                <w:rtl/>
                <w:lang w:bidi="ar-EG"/>
              </w:rPr>
              <w:t>السير</w:t>
            </w:r>
          </w:p>
        </w:tc>
      </w:tr>
      <w:tr w:rsidR="00CE6E0B" w:rsidRPr="00E07EE3" w14:paraId="0DE81BDD" w14:textId="77777777" w:rsidTr="00BB3820">
        <w:trPr>
          <w:cantSplit/>
          <w:trHeight w:val="18"/>
        </w:trPr>
        <w:tc>
          <w:tcPr>
            <w:tcW w:w="1900" w:type="dxa"/>
            <w:tcMar>
              <w:top w:w="110" w:type="dxa"/>
            </w:tcMar>
          </w:tcPr>
          <w:p w14:paraId="0C0EB1F6" w14:textId="77777777" w:rsidR="00CE6E0B" w:rsidRPr="00E07EE3" w:rsidRDefault="00CE6E0B" w:rsidP="0031289D">
            <w:pPr>
              <w:widowControl w:val="0"/>
              <w:autoSpaceDE w:val="0"/>
              <w:autoSpaceDN w:val="0"/>
              <w:bidi/>
              <w:adjustRightInd w:val="0"/>
              <w:spacing w:after="120" w:line="280" w:lineRule="exact"/>
              <w:rPr>
                <w:rFonts w:ascii="Arabic Typesetting" w:eastAsia="SimSun" w:hAnsi="Arabic Typesetting" w:cs="Arabic Typesetting"/>
                <w:color w:val="000000"/>
                <w:sz w:val="28"/>
                <w:szCs w:val="28"/>
              </w:rPr>
            </w:pPr>
            <w:r w:rsidRPr="00E07EE3">
              <w:rPr>
                <w:rFonts w:ascii="Arabic Typesetting" w:hAnsi="Arabic Typesetting" w:cs="Arabic Typesetting"/>
                <w:noProof/>
                <w:sz w:val="28"/>
                <w:szCs w:val="28"/>
                <w:rtl/>
              </w:rPr>
              <w:t>تكلفة كل طلب</w:t>
            </w:r>
          </w:p>
        </w:tc>
        <w:tc>
          <w:tcPr>
            <w:tcW w:w="3303" w:type="dxa"/>
            <w:shd w:val="clear" w:color="auto" w:fill="auto"/>
            <w:tcMar>
              <w:top w:w="110" w:type="dxa"/>
            </w:tcMar>
          </w:tcPr>
          <w:p w14:paraId="78F328DC" w14:textId="77777777" w:rsidR="00823608" w:rsidRDefault="00CE6E0B" w:rsidP="00823608">
            <w:pPr>
              <w:bidi/>
              <w:spacing w:after="120" w:line="280" w:lineRule="exact"/>
              <w:rPr>
                <w:rFonts w:ascii="Arabic Typesetting" w:hAnsi="Arabic Typesetting" w:cs="Arabic Typesetting"/>
                <w:color w:val="002060"/>
                <w:sz w:val="28"/>
                <w:szCs w:val="28"/>
                <w:rtl/>
                <w:lang w:bidi="ar-EG"/>
              </w:rPr>
            </w:pPr>
            <w:r>
              <w:rPr>
                <w:rFonts w:ascii="Arabic Typesetting" w:hAnsi="Arabic Typesetting" w:cs="Arabic Typesetting"/>
                <w:i/>
                <w:iCs/>
                <w:color w:val="002060"/>
                <w:sz w:val="28"/>
                <w:szCs w:val="28"/>
                <w:rtl/>
                <w:lang w:bidi="ar-EG"/>
              </w:rPr>
              <w:t>أساس المقارنة المحدّث</w:t>
            </w:r>
            <w:r w:rsidRPr="00E07EE3">
              <w:rPr>
                <w:rFonts w:ascii="Arabic Typesetting" w:hAnsi="Arabic Typesetting" w:cs="Arabic Typesetting"/>
                <w:i/>
                <w:iCs/>
                <w:color w:val="002060"/>
                <w:sz w:val="28"/>
                <w:szCs w:val="28"/>
                <w:rtl/>
                <w:lang w:bidi="ar-EG"/>
              </w:rPr>
              <w:t xml:space="preserve"> في نهاية 2015:</w:t>
            </w:r>
            <w:r>
              <w:rPr>
                <w:rFonts w:ascii="Arabic Typesetting" w:hAnsi="Arabic Typesetting" w:cs="Arabic Typesetting"/>
                <w:i/>
                <w:iCs/>
                <w:color w:val="002060"/>
                <w:sz w:val="28"/>
                <w:szCs w:val="28"/>
                <w:rtl/>
                <w:lang w:bidi="ar-EG"/>
              </w:rPr>
              <w:br/>
            </w:r>
            <w:r w:rsidRPr="00E07EE3">
              <w:rPr>
                <w:rFonts w:ascii="Arabic Typesetting" w:hAnsi="Arabic Typesetting" w:cs="Arabic Typesetting"/>
                <w:color w:val="002060"/>
                <w:sz w:val="28"/>
                <w:szCs w:val="28"/>
                <w:rtl/>
                <w:lang w:bidi="ar-EG"/>
              </w:rPr>
              <w:t>662 فرنكا سويسريا (2014)</w:t>
            </w:r>
            <w:r>
              <w:rPr>
                <w:rFonts w:ascii="Arabic Typesetting" w:hAnsi="Arabic Typesetting" w:cs="Arabic Typesetting"/>
                <w:color w:val="002060"/>
                <w:sz w:val="28"/>
                <w:szCs w:val="28"/>
                <w:rtl/>
                <w:lang w:bidi="ar-EG"/>
              </w:rPr>
              <w:br/>
            </w:r>
            <w:r w:rsidRPr="00E07EE3">
              <w:rPr>
                <w:rFonts w:ascii="Arabic Typesetting" w:hAnsi="Arabic Typesetting" w:cs="Arabic Typesetting"/>
                <w:color w:val="002060"/>
                <w:sz w:val="28"/>
                <w:szCs w:val="28"/>
                <w:rtl/>
                <w:lang w:bidi="ar-EG"/>
              </w:rPr>
              <w:t>735 فرنكا سويسريا (2015)</w:t>
            </w:r>
          </w:p>
          <w:p w14:paraId="35EA02F8" w14:textId="22828C4E" w:rsidR="00CE6E0B" w:rsidRPr="00E07EE3" w:rsidRDefault="00CE6E0B" w:rsidP="00823608">
            <w:pPr>
              <w:bidi/>
              <w:spacing w:after="120" w:line="280" w:lineRule="exact"/>
              <w:rPr>
                <w:rFonts w:ascii="Arabic Typesetting" w:hAnsi="Arabic Typesetting" w:cs="Arabic Typesetting"/>
                <w:sz w:val="28"/>
                <w:szCs w:val="28"/>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w:t>
            </w:r>
            <w:r>
              <w:rPr>
                <w:rFonts w:ascii="Arabic Typesetting" w:hAnsi="Arabic Typesetting" w:cs="Arabic Typesetting" w:hint="cs"/>
                <w:i/>
                <w:iCs/>
                <w:sz w:val="28"/>
                <w:szCs w:val="28"/>
                <w:rtl/>
                <w:lang w:bidi="ar-EG"/>
              </w:rPr>
              <w:t xml:space="preserve"> </w:t>
            </w:r>
            <w:r w:rsidRPr="00E07EE3">
              <w:rPr>
                <w:rFonts w:ascii="Arabic Typesetting" w:hAnsi="Arabic Typesetting" w:cs="Arabic Typesetting"/>
                <w:i/>
                <w:iCs/>
                <w:sz w:val="28"/>
                <w:szCs w:val="28"/>
                <w:rtl/>
                <w:lang w:bidi="ar-EG"/>
              </w:rPr>
              <w:t>برنامج وميزانية 2016/17:</w:t>
            </w:r>
            <w:r>
              <w:rPr>
                <w:rFonts w:ascii="Arabic Typesetting" w:hAnsi="Arabic Typesetting" w:cs="Arabic Typesetting"/>
                <w:i/>
                <w:iCs/>
                <w:sz w:val="28"/>
                <w:szCs w:val="28"/>
                <w:rtl/>
                <w:lang w:bidi="ar-EG"/>
              </w:rPr>
              <w:br/>
            </w:r>
            <w:r w:rsidRPr="00E07EE3">
              <w:rPr>
                <w:rFonts w:ascii="Arabic Typesetting" w:hAnsi="Arabic Typesetting" w:cs="Arabic Typesetting"/>
                <w:sz w:val="28"/>
                <w:szCs w:val="28"/>
                <w:rtl/>
              </w:rPr>
              <w:t>662 فرنكا سويسريا (2014)</w:t>
            </w:r>
          </w:p>
        </w:tc>
        <w:tc>
          <w:tcPr>
            <w:tcW w:w="1427" w:type="dxa"/>
          </w:tcPr>
          <w:p w14:paraId="6D80C3C6" w14:textId="054D3F71" w:rsidR="00CE6E0B" w:rsidRPr="00E07EE3" w:rsidRDefault="00CE6E0B" w:rsidP="0031289D">
            <w:pPr>
              <w:bidi/>
              <w:spacing w:after="120" w:line="280" w:lineRule="exact"/>
              <w:rPr>
                <w:rFonts w:ascii="Arabic Typesetting" w:hAnsi="Arabic Typesetting" w:cs="Arabic Typesetting"/>
                <w:i/>
                <w:iCs/>
                <w:color w:val="002060"/>
                <w:sz w:val="28"/>
                <w:szCs w:val="28"/>
                <w:rtl/>
                <w:lang w:bidi="ar-EG"/>
              </w:rPr>
            </w:pPr>
            <w:r>
              <w:rPr>
                <w:rFonts w:ascii="Arabic Typesetting" w:hAnsi="Arabic Typesetting" w:cs="Arabic Typesetting" w:hint="cs"/>
                <w:i/>
                <w:iCs/>
                <w:color w:val="002060"/>
                <w:sz w:val="28"/>
                <w:szCs w:val="28"/>
                <w:rtl/>
                <w:lang w:bidi="ar-EG"/>
              </w:rPr>
              <w:t>ال</w:t>
            </w:r>
            <w:r w:rsidRPr="00E07EE3">
              <w:rPr>
                <w:rFonts w:ascii="Arabic Typesetting" w:hAnsi="Arabic Typesetting" w:cs="Arabic Typesetting"/>
                <w:i/>
                <w:iCs/>
                <w:color w:val="002060"/>
                <w:sz w:val="28"/>
                <w:szCs w:val="28"/>
                <w:rtl/>
                <w:lang w:bidi="ar-EG"/>
              </w:rPr>
              <w:t xml:space="preserve">هدف </w:t>
            </w:r>
            <w:r>
              <w:rPr>
                <w:rFonts w:ascii="Arabic Typesetting" w:hAnsi="Arabic Typesetting" w:cs="Arabic Typesetting" w:hint="cs"/>
                <w:i/>
                <w:iCs/>
                <w:color w:val="002060"/>
                <w:sz w:val="28"/>
                <w:szCs w:val="28"/>
                <w:rtl/>
                <w:lang w:bidi="ar-EG"/>
              </w:rPr>
              <w:t>ال</w:t>
            </w:r>
            <w:r w:rsidRPr="00E07EE3">
              <w:rPr>
                <w:rFonts w:ascii="Arabic Typesetting" w:hAnsi="Arabic Typesetting" w:cs="Arabic Typesetting"/>
                <w:i/>
                <w:iCs/>
                <w:color w:val="002060"/>
                <w:sz w:val="28"/>
                <w:szCs w:val="28"/>
                <w:rtl/>
                <w:lang w:bidi="ar-EG"/>
              </w:rPr>
              <w:t>محدَّث:</w:t>
            </w:r>
            <w:r>
              <w:rPr>
                <w:rFonts w:ascii="Arabic Typesetting" w:hAnsi="Arabic Typesetting" w:cs="Arabic Typesetting"/>
                <w:i/>
                <w:iCs/>
                <w:color w:val="002060"/>
                <w:sz w:val="28"/>
                <w:szCs w:val="28"/>
                <w:rtl/>
                <w:lang w:bidi="ar-EG"/>
              </w:rPr>
              <w:br/>
            </w:r>
            <w:r w:rsidRPr="00E07EE3">
              <w:rPr>
                <w:rFonts w:ascii="Arabic Typesetting" w:hAnsi="Arabic Typesetting" w:cs="Arabic Typesetting"/>
                <w:i/>
                <w:iCs/>
                <w:color w:val="002060"/>
                <w:sz w:val="28"/>
                <w:szCs w:val="28"/>
                <w:rtl/>
                <w:lang w:bidi="ar-EG"/>
              </w:rPr>
              <w:t>تخفيض نسبته 10%</w:t>
            </w:r>
            <w:r w:rsidR="00823608">
              <w:rPr>
                <w:rFonts w:ascii="Arabic Typesetting" w:hAnsi="Arabic Typesetting" w:cs="Arabic Typesetting" w:hint="cs"/>
                <w:i/>
                <w:iCs/>
                <w:color w:val="002060"/>
                <w:sz w:val="28"/>
                <w:szCs w:val="28"/>
                <w:rtl/>
                <w:lang w:bidi="ar-EG"/>
              </w:rPr>
              <w:t xml:space="preserve"> خلال الثنائية</w:t>
            </w:r>
            <w:r w:rsidRPr="00E07EE3">
              <w:rPr>
                <w:rFonts w:ascii="Arabic Typesetting" w:hAnsi="Arabic Typesetting" w:cs="Arabic Typesetting"/>
                <w:i/>
                <w:iCs/>
                <w:color w:val="002060"/>
                <w:sz w:val="28"/>
                <w:szCs w:val="28"/>
                <w:rtl/>
                <w:lang w:bidi="ar-EG"/>
              </w:rPr>
              <w:t xml:space="preserve"> في تكلفة الوحدة</w:t>
            </w:r>
          </w:p>
          <w:p w14:paraId="7FE38168" w14:textId="77777777" w:rsidR="00CE6E0B" w:rsidRPr="00E07EE3" w:rsidRDefault="00CE6E0B" w:rsidP="0031289D">
            <w:pPr>
              <w:bidi/>
              <w:spacing w:after="120" w:line="280" w:lineRule="exact"/>
              <w:rPr>
                <w:rFonts w:ascii="Arabic Typesetting" w:eastAsia="SimSun" w:hAnsi="Arabic Typesetting" w:cs="Arabic Typesetting"/>
                <w:color w:val="000000"/>
                <w:sz w:val="28"/>
                <w:szCs w:val="28"/>
              </w:rPr>
            </w:pPr>
            <w:r>
              <w:rPr>
                <w:rFonts w:ascii="Arabic Typesetting" w:hAnsi="Arabic Typesetting" w:cs="Arabic Typesetting"/>
                <w:i/>
                <w:iCs/>
                <w:sz w:val="28"/>
                <w:szCs w:val="28"/>
                <w:rtl/>
                <w:lang w:bidi="ar-EG"/>
              </w:rPr>
              <w:t>الهدف الأصلي:</w:t>
            </w:r>
            <w:r>
              <w:rPr>
                <w:rFonts w:ascii="Arabic Typesetting" w:hAnsi="Arabic Typesetting" w:cs="Arabic Typesetting"/>
                <w:i/>
                <w:iCs/>
                <w:sz w:val="28"/>
                <w:szCs w:val="28"/>
                <w:rtl/>
                <w:lang w:bidi="ar-EG"/>
              </w:rPr>
              <w:br/>
            </w:r>
            <w:r w:rsidRPr="00E07EE3">
              <w:rPr>
                <w:rFonts w:ascii="Arabic Typesetting" w:hAnsi="Arabic Typesetting" w:cs="Arabic Typesetting"/>
                <w:i/>
                <w:iCs/>
                <w:sz w:val="28"/>
                <w:szCs w:val="28"/>
                <w:rtl/>
                <w:lang w:bidi="ar-EG"/>
              </w:rPr>
              <w:t>برنامج وميزانية 2016/17:</w:t>
            </w:r>
            <w:r>
              <w:rPr>
                <w:rFonts w:ascii="Arabic Typesetting" w:hAnsi="Arabic Typesetting" w:cs="Arabic Typesetting"/>
                <w:i/>
                <w:iCs/>
                <w:sz w:val="28"/>
                <w:szCs w:val="28"/>
                <w:rtl/>
                <w:lang w:bidi="ar-EG"/>
              </w:rPr>
              <w:br/>
            </w:r>
            <w:r w:rsidRPr="00E07EE3">
              <w:rPr>
                <w:rFonts w:ascii="Arabic Typesetting" w:hAnsi="Arabic Typesetting" w:cs="Arabic Typesetting"/>
                <w:b/>
                <w:noProof/>
                <w:sz w:val="28"/>
                <w:szCs w:val="28"/>
                <w:rtl/>
              </w:rPr>
              <w:t>الإبقاء على تكلفة الوحدة بالرغم من الاستثمارات المتوقعة لتعزيز مرونة نظام معاهدة البراءات ومستوى أمنه</w:t>
            </w:r>
          </w:p>
        </w:tc>
        <w:tc>
          <w:tcPr>
            <w:tcW w:w="2095" w:type="dxa"/>
            <w:tcMar>
              <w:top w:w="110" w:type="dxa"/>
            </w:tcMar>
          </w:tcPr>
          <w:p w14:paraId="55E863FF" w14:textId="73DF82C8" w:rsidR="00CE6E0B" w:rsidRPr="00E07EE3" w:rsidRDefault="00823608" w:rsidP="00823608">
            <w:pPr>
              <w:bidi/>
              <w:spacing w:after="120" w:line="280" w:lineRule="exact"/>
              <w:rPr>
                <w:rFonts w:ascii="Arabic Typesetting" w:hAnsi="Arabic Typesetting" w:cs="Arabic Typesetting"/>
                <w:color w:val="000000"/>
                <w:sz w:val="28"/>
                <w:szCs w:val="28"/>
                <w:rtl/>
              </w:rPr>
            </w:pPr>
            <w:r>
              <w:rPr>
                <w:rFonts w:ascii="Arabic Typesetting" w:hAnsi="Arabic Typesetting" w:cs="Arabic Typesetting"/>
                <w:color w:val="000000"/>
                <w:sz w:val="28"/>
                <w:szCs w:val="28"/>
                <w:rtl/>
              </w:rPr>
              <w:t>685 فرنكاً سويسرياً</w:t>
            </w:r>
          </w:p>
          <w:p w14:paraId="4F511929" w14:textId="77777777" w:rsidR="00CE6E0B" w:rsidRPr="00E07EE3" w:rsidRDefault="00CE6E0B" w:rsidP="0031289D">
            <w:pPr>
              <w:bidi/>
              <w:spacing w:after="120" w:line="280" w:lineRule="exact"/>
              <w:rPr>
                <w:rFonts w:ascii="Arabic Typesetting" w:hAnsi="Arabic Typesetting" w:cs="Arabic Typesetting"/>
                <w:color w:val="000000"/>
                <w:sz w:val="28"/>
                <w:szCs w:val="28"/>
              </w:rPr>
            </w:pPr>
            <w:r w:rsidRPr="00E07EE3">
              <w:rPr>
                <w:rFonts w:ascii="Arabic Typesetting" w:hAnsi="Arabic Typesetting" w:cs="Arabic Typesetting"/>
                <w:color w:val="000000"/>
                <w:sz w:val="28"/>
                <w:szCs w:val="28"/>
                <w:rtl/>
              </w:rPr>
              <w:t>(-6.8%) مقارنة بعام 2015</w:t>
            </w:r>
          </w:p>
        </w:tc>
        <w:tc>
          <w:tcPr>
            <w:tcW w:w="846" w:type="dxa"/>
            <w:tcMar>
              <w:top w:w="110" w:type="dxa"/>
            </w:tcMar>
          </w:tcPr>
          <w:p w14:paraId="753F0678" w14:textId="77777777" w:rsidR="00CE6E0B" w:rsidRPr="00E07EE3" w:rsidRDefault="00CE6E0B" w:rsidP="0031289D">
            <w:pPr>
              <w:keepNext/>
              <w:bidi/>
              <w:spacing w:after="120" w:line="280" w:lineRule="exact"/>
              <w:rPr>
                <w:rFonts w:ascii="Arabic Typesetting" w:hAnsi="Arabic Typesetting" w:cs="Arabic Typesetting"/>
                <w:b/>
                <w:bCs/>
                <w:color w:val="00B050"/>
                <w:sz w:val="28"/>
                <w:szCs w:val="28"/>
                <w:rtl/>
                <w:lang w:bidi="ar-EG"/>
              </w:rPr>
            </w:pPr>
            <w:r w:rsidRPr="00E07EE3">
              <w:rPr>
                <w:rFonts w:ascii="Arabic Typesetting" w:hAnsi="Arabic Typesetting" w:cs="Arabic Typesetting"/>
                <w:b/>
                <w:bCs/>
                <w:color w:val="00B050"/>
                <w:sz w:val="28"/>
                <w:szCs w:val="28"/>
                <w:rtl/>
                <w:lang w:bidi="ar-EG"/>
              </w:rPr>
              <w:t>ثابت</w:t>
            </w:r>
          </w:p>
        </w:tc>
      </w:tr>
      <w:tr w:rsidR="00CE6E0B" w:rsidRPr="00E07EE3" w14:paraId="2692AB99" w14:textId="77777777" w:rsidTr="00BB3820">
        <w:trPr>
          <w:cantSplit/>
          <w:trHeight w:val="18"/>
        </w:trPr>
        <w:tc>
          <w:tcPr>
            <w:tcW w:w="1900" w:type="dxa"/>
            <w:tcMar>
              <w:top w:w="110" w:type="dxa"/>
            </w:tcMar>
          </w:tcPr>
          <w:p w14:paraId="1C81A0EA" w14:textId="77777777" w:rsidR="00CE6E0B" w:rsidRPr="00E07EE3" w:rsidRDefault="00CE6E0B" w:rsidP="0031289D">
            <w:pPr>
              <w:bidi/>
              <w:adjustRightInd w:val="0"/>
              <w:snapToGrid w:val="0"/>
              <w:spacing w:after="120" w:line="280" w:lineRule="exact"/>
              <w:rPr>
                <w:rFonts w:ascii="Arabic Typesetting" w:hAnsi="Arabic Typesetting" w:cs="Arabic Typesetting"/>
                <w:sz w:val="28"/>
                <w:szCs w:val="28"/>
              </w:rPr>
            </w:pPr>
            <w:r w:rsidRPr="00E07EE3">
              <w:rPr>
                <w:rFonts w:ascii="Arabic Typesetting" w:hAnsi="Arabic Typesetting" w:cs="Arabic Typesetting"/>
                <w:noProof/>
                <w:sz w:val="28"/>
                <w:szCs w:val="28"/>
                <w:rtl/>
              </w:rPr>
              <w:t>الجودة الإجمالية لإجراءات الفحص الشكلية (بما في ذلك احترام المواعيد)</w:t>
            </w:r>
          </w:p>
        </w:tc>
        <w:tc>
          <w:tcPr>
            <w:tcW w:w="3303" w:type="dxa"/>
            <w:shd w:val="clear" w:color="auto" w:fill="auto"/>
            <w:tcMar>
              <w:top w:w="110" w:type="dxa"/>
            </w:tcMar>
          </w:tcPr>
          <w:p w14:paraId="3406EA41" w14:textId="56F6E952" w:rsidR="00CE6E0B" w:rsidRPr="00E07EE3" w:rsidRDefault="00CE6E0B" w:rsidP="00823608">
            <w:pPr>
              <w:bidi/>
              <w:spacing w:after="120" w:line="280" w:lineRule="exact"/>
              <w:rPr>
                <w:rFonts w:ascii="Arabic Typesetting" w:hAnsi="Arabic Typesetting" w:cs="Arabic Typesetting"/>
                <w:color w:val="000000"/>
                <w:sz w:val="28"/>
                <w:szCs w:val="28"/>
              </w:rPr>
            </w:pPr>
            <w:r>
              <w:rPr>
                <w:rFonts w:ascii="Arabic Typesetting" w:hAnsi="Arabic Typesetting" w:cs="Arabic Typesetting"/>
                <w:i/>
                <w:iCs/>
                <w:color w:val="002060"/>
                <w:sz w:val="28"/>
                <w:szCs w:val="28"/>
                <w:rtl/>
                <w:lang w:bidi="ar-EG"/>
              </w:rPr>
              <w:t>أساس المقارنة المحدّث</w:t>
            </w:r>
            <w:r w:rsidRPr="00E07EE3">
              <w:rPr>
                <w:rFonts w:ascii="Arabic Typesetting" w:hAnsi="Arabic Typesetting" w:cs="Arabic Typesetting"/>
                <w:i/>
                <w:iCs/>
                <w:color w:val="002060"/>
                <w:sz w:val="28"/>
                <w:szCs w:val="28"/>
                <w:rtl/>
                <w:lang w:bidi="ar-EG"/>
              </w:rPr>
              <w:t xml:space="preserve"> في نهاية 2015:</w:t>
            </w:r>
            <w:r>
              <w:rPr>
                <w:rFonts w:ascii="Arabic Typesetting" w:hAnsi="Arabic Typesetting" w:cs="Arabic Typesetting"/>
                <w:i/>
                <w:iCs/>
                <w:color w:val="002060"/>
                <w:sz w:val="28"/>
                <w:szCs w:val="28"/>
                <w:rtl/>
                <w:lang w:bidi="ar-EG"/>
              </w:rPr>
              <w:br/>
            </w:r>
            <w:r w:rsidRPr="00E07EE3">
              <w:rPr>
                <w:rFonts w:ascii="Arabic Typesetting" w:hAnsi="Arabic Typesetting" w:cs="Arabic Typesetting"/>
                <w:color w:val="002060"/>
                <w:sz w:val="28"/>
                <w:szCs w:val="28"/>
                <w:rtl/>
                <w:lang w:bidi="ar-EG"/>
              </w:rPr>
              <w:t>92.7%</w:t>
            </w:r>
          </w:p>
          <w:p w14:paraId="085590C4" w14:textId="77777777" w:rsidR="00CE6E0B" w:rsidRPr="00E07EE3" w:rsidRDefault="00CE6E0B" w:rsidP="0031289D">
            <w:pPr>
              <w:bidi/>
              <w:spacing w:after="120" w:line="280" w:lineRule="exact"/>
              <w:rPr>
                <w:rFonts w:ascii="Arabic Typesetting" w:eastAsia="SimSun" w:hAnsi="Arabic Typesetting" w:cs="Arabic Typesetting"/>
                <w:color w:val="000000"/>
                <w:sz w:val="28"/>
                <w:szCs w:val="28"/>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w:t>
            </w:r>
            <w:r>
              <w:rPr>
                <w:rFonts w:ascii="Arabic Typesetting" w:hAnsi="Arabic Typesetting" w:cs="Arabic Typesetting" w:hint="cs"/>
                <w:i/>
                <w:iCs/>
                <w:sz w:val="28"/>
                <w:szCs w:val="28"/>
                <w:rtl/>
                <w:lang w:bidi="ar-EG"/>
              </w:rPr>
              <w:t xml:space="preserve"> </w:t>
            </w:r>
            <w:r w:rsidRPr="00E07EE3">
              <w:rPr>
                <w:rFonts w:ascii="Arabic Typesetting" w:hAnsi="Arabic Typesetting" w:cs="Arabic Typesetting"/>
                <w:i/>
                <w:iCs/>
                <w:sz w:val="28"/>
                <w:szCs w:val="28"/>
                <w:rtl/>
                <w:lang w:bidi="ar-EG"/>
              </w:rPr>
              <w:t>برنامج وميزانية 2016/17:</w:t>
            </w:r>
            <w:r>
              <w:rPr>
                <w:rFonts w:ascii="Arabic Typesetting" w:hAnsi="Arabic Typesetting" w:cs="Arabic Typesetting"/>
                <w:i/>
                <w:iCs/>
                <w:sz w:val="28"/>
                <w:szCs w:val="28"/>
                <w:rtl/>
                <w:lang w:bidi="ar-EG"/>
              </w:rPr>
              <w:br/>
            </w:r>
            <w:r w:rsidRPr="00E07EE3">
              <w:rPr>
                <w:rFonts w:ascii="Arabic Typesetting" w:eastAsia="SimSun" w:hAnsi="Arabic Typesetting" w:cs="Arabic Typesetting"/>
                <w:color w:val="000000"/>
                <w:sz w:val="28"/>
                <w:szCs w:val="28"/>
                <w:rtl/>
              </w:rPr>
              <w:t>93.1% (2014)</w:t>
            </w:r>
          </w:p>
        </w:tc>
        <w:tc>
          <w:tcPr>
            <w:tcW w:w="1427" w:type="dxa"/>
          </w:tcPr>
          <w:p w14:paraId="187E0775" w14:textId="12ADAA50" w:rsidR="00823608" w:rsidRPr="00823608" w:rsidRDefault="00823608" w:rsidP="00823608">
            <w:pPr>
              <w:bidi/>
              <w:spacing w:after="120" w:line="280" w:lineRule="exact"/>
              <w:rPr>
                <w:rFonts w:ascii="Arabic Typesetting" w:hAnsi="Arabic Typesetting" w:cs="Arabic Typesetting"/>
                <w:color w:val="002060"/>
                <w:sz w:val="28"/>
                <w:szCs w:val="28"/>
                <w:rtl/>
                <w:lang w:bidi="ar-EG"/>
              </w:rPr>
            </w:pPr>
            <w:r w:rsidRPr="00823608">
              <w:rPr>
                <w:rFonts w:ascii="Arabic Typesetting" w:hAnsi="Arabic Typesetting" w:cs="Arabic Typesetting" w:hint="cs"/>
                <w:i/>
                <w:iCs/>
                <w:color w:val="002060"/>
                <w:sz w:val="28"/>
                <w:szCs w:val="28"/>
                <w:rtl/>
                <w:lang w:bidi="ar-EG"/>
              </w:rPr>
              <w:t>الهدف المحدَّث:</w:t>
            </w:r>
            <w:r>
              <w:rPr>
                <w:rFonts w:ascii="Arabic Typesetting" w:hAnsi="Arabic Typesetting" w:cs="Arabic Typesetting"/>
                <w:i/>
                <w:iCs/>
                <w:color w:val="002060"/>
                <w:sz w:val="28"/>
                <w:szCs w:val="28"/>
                <w:rtl/>
                <w:lang w:bidi="ar-EG"/>
              </w:rPr>
              <w:br/>
            </w:r>
            <w:r w:rsidRPr="00823608">
              <w:rPr>
                <w:rFonts w:ascii="Arabic Typesetting" w:hAnsi="Arabic Typesetting" w:cs="Arabic Typesetting" w:hint="cs"/>
                <w:color w:val="002060"/>
                <w:sz w:val="28"/>
                <w:szCs w:val="28"/>
                <w:rtl/>
                <w:lang w:bidi="ar-EG"/>
              </w:rPr>
              <w:t>95% (</w:t>
            </w:r>
            <w:r w:rsidR="00E6194D">
              <w:rPr>
                <w:rFonts w:ascii="Arabic Typesetting" w:hAnsi="Arabic Typesetting" w:cs="Arabic Typesetting" w:hint="cs"/>
                <w:color w:val="002060"/>
                <w:sz w:val="28"/>
                <w:szCs w:val="28"/>
                <w:rtl/>
                <w:lang w:bidi="ar-EG"/>
              </w:rPr>
              <w:t>+</w:t>
            </w:r>
            <w:r w:rsidRPr="00823608">
              <w:rPr>
                <w:rFonts w:ascii="Arabic Typesetting" w:hAnsi="Arabic Typesetting" w:cs="Arabic Typesetting" w:hint="cs"/>
                <w:color w:val="002060"/>
                <w:sz w:val="28"/>
                <w:szCs w:val="28"/>
                <w:rtl/>
                <w:lang w:bidi="ar-EG"/>
              </w:rPr>
              <w:t>/- 2%)</w:t>
            </w:r>
          </w:p>
          <w:p w14:paraId="559F57D0" w14:textId="13BE24E4" w:rsidR="00CE6E0B" w:rsidRPr="00E07EE3" w:rsidRDefault="00823608" w:rsidP="00823608">
            <w:pPr>
              <w:widowControl w:val="0"/>
              <w:autoSpaceDE w:val="0"/>
              <w:autoSpaceDN w:val="0"/>
              <w:bidi/>
              <w:adjustRightInd w:val="0"/>
              <w:spacing w:after="120" w:line="280" w:lineRule="exact"/>
              <w:rPr>
                <w:rFonts w:ascii="Arabic Typesetting" w:eastAsia="SimSun" w:hAnsi="Arabic Typesetting" w:cs="Arabic Typesetting"/>
                <w:color w:val="000000"/>
                <w:sz w:val="28"/>
                <w:szCs w:val="28"/>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w:t>
            </w:r>
            <w:r>
              <w:rPr>
                <w:rFonts w:ascii="Arabic Typesetting" w:hAnsi="Arabic Typesetting" w:cs="Arabic Typesetting" w:hint="cs"/>
                <w:i/>
                <w:iCs/>
                <w:sz w:val="28"/>
                <w:szCs w:val="28"/>
                <w:rtl/>
                <w:lang w:bidi="ar-EG"/>
              </w:rPr>
              <w:br/>
            </w:r>
            <w:r w:rsidRPr="00E07EE3">
              <w:rPr>
                <w:rFonts w:ascii="Arabic Typesetting" w:hAnsi="Arabic Typesetting" w:cs="Arabic Typesetting"/>
                <w:i/>
                <w:iCs/>
                <w:sz w:val="28"/>
                <w:szCs w:val="28"/>
                <w:rtl/>
                <w:lang w:bidi="ar-EG"/>
              </w:rPr>
              <w:t>برنامج</w:t>
            </w:r>
            <w:r>
              <w:rPr>
                <w:rFonts w:ascii="Arabic Typesetting" w:hAnsi="Arabic Typesetting" w:cs="Arabic Typesetting" w:hint="cs"/>
                <w:i/>
                <w:iCs/>
                <w:sz w:val="28"/>
                <w:szCs w:val="28"/>
                <w:rtl/>
                <w:lang w:bidi="ar-EG"/>
              </w:rPr>
              <w:t> </w:t>
            </w:r>
            <w:r w:rsidRPr="00E07EE3">
              <w:rPr>
                <w:rFonts w:ascii="Arabic Typesetting" w:hAnsi="Arabic Typesetting" w:cs="Arabic Typesetting"/>
                <w:i/>
                <w:iCs/>
                <w:sz w:val="28"/>
                <w:szCs w:val="28"/>
                <w:rtl/>
                <w:lang w:bidi="ar-EG"/>
              </w:rPr>
              <w:t>وميزانية 2016/17:</w:t>
            </w:r>
            <w:r>
              <w:rPr>
                <w:rFonts w:ascii="Arabic Typesetting" w:hAnsi="Arabic Typesetting" w:cs="Arabic Typesetting" w:hint="cs"/>
                <w:i/>
                <w:iCs/>
                <w:sz w:val="28"/>
                <w:szCs w:val="28"/>
                <w:rtl/>
                <w:lang w:bidi="ar-EG"/>
              </w:rPr>
              <w:br/>
            </w:r>
            <w:r w:rsidR="00CE6E0B" w:rsidRPr="00E07EE3">
              <w:rPr>
                <w:rFonts w:ascii="Arabic Typesetting" w:hAnsi="Arabic Typesetting" w:cs="Arabic Typesetting"/>
                <w:b/>
                <w:noProof/>
                <w:sz w:val="28"/>
                <w:szCs w:val="28"/>
                <w:rtl/>
              </w:rPr>
              <w:t>جودة أعلى</w:t>
            </w:r>
          </w:p>
        </w:tc>
        <w:tc>
          <w:tcPr>
            <w:tcW w:w="2095" w:type="dxa"/>
            <w:tcMar>
              <w:top w:w="110" w:type="dxa"/>
            </w:tcMar>
          </w:tcPr>
          <w:p w14:paraId="5CF8B1A2" w14:textId="78745726" w:rsidR="00CE6E0B" w:rsidRPr="00E07EE3" w:rsidRDefault="00CE6E0B" w:rsidP="0031289D">
            <w:pPr>
              <w:keepNext/>
              <w:keepLines/>
              <w:bidi/>
              <w:spacing w:after="120" w:line="280" w:lineRule="exact"/>
              <w:rPr>
                <w:rFonts w:ascii="Arabic Typesetting" w:hAnsi="Arabic Typesetting" w:cs="Arabic Typesetting"/>
                <w:color w:val="000000"/>
                <w:sz w:val="28"/>
                <w:szCs w:val="28"/>
              </w:rPr>
            </w:pPr>
            <w:r w:rsidRPr="00E07EE3">
              <w:rPr>
                <w:rFonts w:ascii="Arabic Typesetting" w:hAnsi="Arabic Typesetting" w:cs="Arabic Typesetting"/>
                <w:color w:val="000000"/>
                <w:sz w:val="28"/>
                <w:szCs w:val="28"/>
                <w:rtl/>
              </w:rPr>
              <w:t>95.1%</w:t>
            </w:r>
          </w:p>
        </w:tc>
        <w:tc>
          <w:tcPr>
            <w:tcW w:w="846" w:type="dxa"/>
            <w:tcMar>
              <w:top w:w="110" w:type="dxa"/>
            </w:tcMar>
          </w:tcPr>
          <w:p w14:paraId="4BC38358" w14:textId="77777777" w:rsidR="00CE6E0B" w:rsidRPr="00E07EE3" w:rsidRDefault="00CE6E0B" w:rsidP="0031289D">
            <w:pPr>
              <w:keepNext/>
              <w:bidi/>
              <w:spacing w:after="120" w:line="280" w:lineRule="exact"/>
              <w:rPr>
                <w:rFonts w:ascii="Arabic Typesetting" w:hAnsi="Arabic Typesetting" w:cs="Arabic Typesetting"/>
                <w:b/>
                <w:bCs/>
                <w:color w:val="00B050"/>
                <w:sz w:val="28"/>
                <w:szCs w:val="28"/>
                <w:rtl/>
                <w:lang w:bidi="ar-EG"/>
              </w:rPr>
            </w:pPr>
            <w:r w:rsidRPr="00E07EE3">
              <w:rPr>
                <w:rFonts w:ascii="Arabic Typesetting" w:hAnsi="Arabic Typesetting" w:cs="Arabic Typesetting"/>
                <w:b/>
                <w:bCs/>
                <w:color w:val="00B050"/>
                <w:sz w:val="28"/>
                <w:szCs w:val="28"/>
                <w:rtl/>
                <w:lang w:bidi="ar-EG"/>
              </w:rPr>
              <w:t>ثابت</w:t>
            </w:r>
          </w:p>
        </w:tc>
      </w:tr>
      <w:tr w:rsidR="00CE6E0B" w:rsidRPr="00E07EE3" w14:paraId="0AE88451" w14:textId="77777777" w:rsidTr="00BB3820">
        <w:trPr>
          <w:cantSplit/>
          <w:trHeight w:val="18"/>
        </w:trPr>
        <w:tc>
          <w:tcPr>
            <w:tcW w:w="1900" w:type="dxa"/>
            <w:tcMar>
              <w:top w:w="110" w:type="dxa"/>
            </w:tcMar>
          </w:tcPr>
          <w:p w14:paraId="63CDE43F" w14:textId="35F0DD89" w:rsidR="00CE6E0B" w:rsidRPr="00E07EE3" w:rsidRDefault="00CE6E0B" w:rsidP="0031289D">
            <w:pPr>
              <w:bidi/>
              <w:adjustRightInd w:val="0"/>
              <w:snapToGrid w:val="0"/>
              <w:spacing w:after="120" w:line="280" w:lineRule="exact"/>
              <w:rPr>
                <w:rFonts w:ascii="Arabic Typesetting" w:hAnsi="Arabic Typesetting" w:cs="Arabic Typesetting"/>
                <w:sz w:val="28"/>
                <w:szCs w:val="28"/>
              </w:rPr>
            </w:pPr>
            <w:r w:rsidRPr="00E07EE3">
              <w:rPr>
                <w:rFonts w:ascii="Arabic Typesetting" w:hAnsi="Arabic Typesetting" w:cs="Arabic Typesetting"/>
                <w:noProof/>
                <w:sz w:val="28"/>
                <w:szCs w:val="28"/>
                <w:rtl/>
              </w:rPr>
              <w:t>احترام المواعيد في ترجمة التقارير</w:t>
            </w:r>
          </w:p>
        </w:tc>
        <w:tc>
          <w:tcPr>
            <w:tcW w:w="3303" w:type="dxa"/>
            <w:shd w:val="clear" w:color="auto" w:fill="auto"/>
            <w:tcMar>
              <w:top w:w="110" w:type="dxa"/>
            </w:tcMar>
          </w:tcPr>
          <w:p w14:paraId="6CBA32A7" w14:textId="77777777" w:rsidR="00CE6E0B" w:rsidRPr="00E07EE3" w:rsidRDefault="00CE6E0B" w:rsidP="0031289D">
            <w:pPr>
              <w:bidi/>
              <w:spacing w:after="120" w:line="280" w:lineRule="exact"/>
              <w:rPr>
                <w:rFonts w:ascii="Arabic Typesetting" w:hAnsi="Arabic Typesetting" w:cs="Arabic Typesetting"/>
                <w:color w:val="002060"/>
                <w:sz w:val="28"/>
                <w:szCs w:val="28"/>
                <w:rtl/>
              </w:rPr>
            </w:pPr>
            <w:r>
              <w:rPr>
                <w:rFonts w:ascii="Arabic Typesetting" w:hAnsi="Arabic Typesetting" w:cs="Arabic Typesetting"/>
                <w:i/>
                <w:iCs/>
                <w:color w:val="002060"/>
                <w:sz w:val="28"/>
                <w:szCs w:val="28"/>
                <w:rtl/>
                <w:lang w:bidi="ar-EG"/>
              </w:rPr>
              <w:t>أساس المقارنة المحدّث</w:t>
            </w:r>
            <w:r w:rsidRPr="00E07EE3">
              <w:rPr>
                <w:rFonts w:ascii="Arabic Typesetting" w:hAnsi="Arabic Typesetting" w:cs="Arabic Typesetting"/>
                <w:i/>
                <w:iCs/>
                <w:color w:val="002060"/>
                <w:sz w:val="28"/>
                <w:szCs w:val="28"/>
                <w:rtl/>
                <w:lang w:bidi="ar-EG"/>
              </w:rPr>
              <w:t xml:space="preserve"> في نهاية 2015:</w:t>
            </w:r>
            <w:r>
              <w:rPr>
                <w:rFonts w:ascii="Arabic Typesetting" w:hAnsi="Arabic Typesetting" w:cs="Arabic Typesetting"/>
                <w:i/>
                <w:iCs/>
                <w:color w:val="002060"/>
                <w:sz w:val="28"/>
                <w:szCs w:val="28"/>
                <w:rtl/>
                <w:lang w:bidi="ar-EG"/>
              </w:rPr>
              <w:br/>
            </w:r>
            <w:r w:rsidRPr="00E07EE3">
              <w:rPr>
                <w:rFonts w:ascii="Arabic Typesetting" w:hAnsi="Arabic Typesetting" w:cs="Arabic Typesetting"/>
                <w:color w:val="002060"/>
                <w:sz w:val="28"/>
                <w:szCs w:val="28"/>
                <w:rtl/>
              </w:rPr>
              <w:t>90.0% (2015)</w:t>
            </w:r>
          </w:p>
          <w:p w14:paraId="3E3634D8" w14:textId="77777777" w:rsidR="00CE6E0B" w:rsidRPr="000F274E" w:rsidRDefault="00CE6E0B" w:rsidP="0031289D">
            <w:pPr>
              <w:bidi/>
              <w:spacing w:after="120" w:line="280" w:lineRule="exact"/>
              <w:rPr>
                <w:rFonts w:ascii="Arabic Typesetting" w:hAnsi="Arabic Typesetting" w:cs="Arabic Typesetting"/>
                <w:i/>
                <w:sz w:val="28"/>
                <w:szCs w:val="28"/>
                <w:lang w:bidi="th-TH"/>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 برنامج وميزانية 2016/17:</w:t>
            </w:r>
            <w:r>
              <w:rPr>
                <w:rFonts w:ascii="Arabic Typesetting" w:hAnsi="Arabic Typesetting" w:cs="Cordia New"/>
                <w:i/>
                <w:sz w:val="28"/>
                <w:szCs w:val="28"/>
                <w:cs/>
                <w:lang w:bidi="th-TH"/>
              </w:rPr>
              <w:br/>
            </w:r>
            <w:r w:rsidRPr="00E07EE3">
              <w:rPr>
                <w:rFonts w:ascii="Arabic Typesetting" w:eastAsia="SimSun" w:hAnsi="Arabic Typesetting" w:cs="Arabic Typesetting"/>
                <w:color w:val="000000"/>
                <w:sz w:val="28"/>
                <w:szCs w:val="28"/>
                <w:rtl/>
              </w:rPr>
              <w:t>82.5% (2014)</w:t>
            </w:r>
          </w:p>
        </w:tc>
        <w:tc>
          <w:tcPr>
            <w:tcW w:w="1427" w:type="dxa"/>
          </w:tcPr>
          <w:p w14:paraId="78CFE031" w14:textId="1112A0C0" w:rsidR="00E6194D" w:rsidRPr="00823608" w:rsidRDefault="00E6194D" w:rsidP="00E6194D">
            <w:pPr>
              <w:bidi/>
              <w:spacing w:after="120" w:line="280" w:lineRule="exact"/>
              <w:rPr>
                <w:rFonts w:ascii="Arabic Typesetting" w:hAnsi="Arabic Typesetting" w:cs="Arabic Typesetting"/>
                <w:color w:val="002060"/>
                <w:sz w:val="28"/>
                <w:szCs w:val="28"/>
                <w:rtl/>
                <w:lang w:bidi="ar-EG"/>
              </w:rPr>
            </w:pPr>
            <w:r w:rsidRPr="00823608">
              <w:rPr>
                <w:rFonts w:ascii="Arabic Typesetting" w:hAnsi="Arabic Typesetting" w:cs="Arabic Typesetting" w:hint="cs"/>
                <w:i/>
                <w:iCs/>
                <w:color w:val="002060"/>
                <w:sz w:val="28"/>
                <w:szCs w:val="28"/>
                <w:rtl/>
                <w:lang w:bidi="ar-EG"/>
              </w:rPr>
              <w:t>الهدف المحدَّث:</w:t>
            </w:r>
            <w:r>
              <w:rPr>
                <w:rFonts w:ascii="Arabic Typesetting" w:hAnsi="Arabic Typesetting" w:cs="Arabic Typesetting"/>
                <w:i/>
                <w:iCs/>
                <w:color w:val="002060"/>
                <w:sz w:val="28"/>
                <w:szCs w:val="28"/>
                <w:rtl/>
                <w:lang w:bidi="ar-EG"/>
              </w:rPr>
              <w:br/>
            </w:r>
            <w:r>
              <w:rPr>
                <w:rFonts w:ascii="Arabic Typesetting" w:hAnsi="Arabic Typesetting" w:cs="Arabic Typesetting" w:hint="cs"/>
                <w:color w:val="002060"/>
                <w:sz w:val="28"/>
                <w:szCs w:val="28"/>
                <w:rtl/>
                <w:lang w:bidi="ar-EG"/>
              </w:rPr>
              <w:t>91</w:t>
            </w:r>
            <w:r w:rsidRPr="00823608">
              <w:rPr>
                <w:rFonts w:ascii="Arabic Typesetting" w:hAnsi="Arabic Typesetting" w:cs="Arabic Typesetting" w:hint="cs"/>
                <w:color w:val="002060"/>
                <w:sz w:val="28"/>
                <w:szCs w:val="28"/>
                <w:rtl/>
                <w:lang w:bidi="ar-EG"/>
              </w:rPr>
              <w:t>% (</w:t>
            </w:r>
            <w:r>
              <w:rPr>
                <w:rFonts w:ascii="Arabic Typesetting" w:hAnsi="Arabic Typesetting" w:cs="Arabic Typesetting" w:hint="cs"/>
                <w:color w:val="002060"/>
                <w:sz w:val="28"/>
                <w:szCs w:val="28"/>
                <w:rtl/>
                <w:lang w:bidi="ar-EG"/>
              </w:rPr>
              <w:t>+</w:t>
            </w:r>
            <w:r w:rsidRPr="00823608">
              <w:rPr>
                <w:rFonts w:ascii="Arabic Typesetting" w:hAnsi="Arabic Typesetting" w:cs="Arabic Typesetting" w:hint="cs"/>
                <w:color w:val="002060"/>
                <w:sz w:val="28"/>
                <w:szCs w:val="28"/>
                <w:rtl/>
                <w:lang w:bidi="ar-EG"/>
              </w:rPr>
              <w:t>/- 2%)</w:t>
            </w:r>
          </w:p>
          <w:p w14:paraId="409605D4" w14:textId="09424DF9" w:rsidR="00CE6E0B" w:rsidRPr="00E07EE3" w:rsidRDefault="00E6194D" w:rsidP="00E6194D">
            <w:pPr>
              <w:widowControl w:val="0"/>
              <w:autoSpaceDE w:val="0"/>
              <w:autoSpaceDN w:val="0"/>
              <w:bidi/>
              <w:adjustRightInd w:val="0"/>
              <w:spacing w:after="120" w:line="280" w:lineRule="exact"/>
              <w:rPr>
                <w:rFonts w:ascii="Arabic Typesetting" w:eastAsia="SimSun" w:hAnsi="Arabic Typesetting" w:cs="Arabic Typesetting"/>
                <w:color w:val="000000"/>
                <w:sz w:val="28"/>
                <w:szCs w:val="28"/>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w:t>
            </w:r>
            <w:r>
              <w:rPr>
                <w:rFonts w:ascii="Arabic Typesetting" w:hAnsi="Arabic Typesetting" w:cs="Arabic Typesetting" w:hint="cs"/>
                <w:i/>
                <w:iCs/>
                <w:sz w:val="28"/>
                <w:szCs w:val="28"/>
                <w:rtl/>
                <w:lang w:bidi="ar-EG"/>
              </w:rPr>
              <w:br/>
            </w:r>
            <w:r w:rsidRPr="00E07EE3">
              <w:rPr>
                <w:rFonts w:ascii="Arabic Typesetting" w:hAnsi="Arabic Typesetting" w:cs="Arabic Typesetting"/>
                <w:i/>
                <w:iCs/>
                <w:sz w:val="28"/>
                <w:szCs w:val="28"/>
                <w:rtl/>
                <w:lang w:bidi="ar-EG"/>
              </w:rPr>
              <w:t>برنامج</w:t>
            </w:r>
            <w:r>
              <w:rPr>
                <w:rFonts w:ascii="Arabic Typesetting" w:hAnsi="Arabic Typesetting" w:cs="Arabic Typesetting" w:hint="cs"/>
                <w:i/>
                <w:iCs/>
                <w:sz w:val="28"/>
                <w:szCs w:val="28"/>
                <w:rtl/>
                <w:lang w:bidi="ar-EG"/>
              </w:rPr>
              <w:t> </w:t>
            </w:r>
            <w:r w:rsidRPr="00E07EE3">
              <w:rPr>
                <w:rFonts w:ascii="Arabic Typesetting" w:hAnsi="Arabic Typesetting" w:cs="Arabic Typesetting"/>
                <w:i/>
                <w:iCs/>
                <w:sz w:val="28"/>
                <w:szCs w:val="28"/>
                <w:rtl/>
                <w:lang w:bidi="ar-EG"/>
              </w:rPr>
              <w:t>وميزانية 2016/17:</w:t>
            </w:r>
            <w:r>
              <w:rPr>
                <w:rFonts w:ascii="Arabic Typesetting" w:hAnsi="Arabic Typesetting" w:cs="Arabic Typesetting" w:hint="cs"/>
                <w:i/>
                <w:iCs/>
                <w:sz w:val="28"/>
                <w:szCs w:val="28"/>
                <w:rtl/>
                <w:lang w:bidi="ar-EG"/>
              </w:rPr>
              <w:br/>
            </w:r>
            <w:r w:rsidR="00CE6E0B" w:rsidRPr="00E07EE3">
              <w:rPr>
                <w:rFonts w:ascii="Arabic Typesetting" w:hAnsi="Arabic Typesetting" w:cs="Arabic Typesetting"/>
                <w:b/>
                <w:noProof/>
                <w:sz w:val="28"/>
                <w:szCs w:val="28"/>
                <w:rtl/>
              </w:rPr>
              <w:t>تحسّن</w:t>
            </w:r>
          </w:p>
        </w:tc>
        <w:tc>
          <w:tcPr>
            <w:tcW w:w="2095" w:type="dxa"/>
            <w:tcMar>
              <w:top w:w="110" w:type="dxa"/>
            </w:tcMar>
          </w:tcPr>
          <w:p w14:paraId="566A7B2B" w14:textId="0E7F21A3" w:rsidR="00CE6E0B" w:rsidRPr="00E07EE3" w:rsidRDefault="00CE6E0B" w:rsidP="00823608">
            <w:pPr>
              <w:bidi/>
              <w:spacing w:after="120" w:line="280" w:lineRule="exact"/>
              <w:rPr>
                <w:rFonts w:ascii="Arabic Typesetting" w:hAnsi="Arabic Typesetting" w:cs="Arabic Typesetting"/>
                <w:color w:val="000000"/>
                <w:sz w:val="28"/>
                <w:szCs w:val="28"/>
              </w:rPr>
            </w:pPr>
            <w:r w:rsidRPr="00E07EE3">
              <w:rPr>
                <w:rFonts w:ascii="Arabic Typesetting" w:hAnsi="Arabic Typesetting" w:cs="Arabic Typesetting"/>
                <w:color w:val="000000"/>
                <w:sz w:val="28"/>
                <w:szCs w:val="28"/>
                <w:rtl/>
              </w:rPr>
              <w:t>89.1%</w:t>
            </w:r>
          </w:p>
        </w:tc>
        <w:tc>
          <w:tcPr>
            <w:tcW w:w="846" w:type="dxa"/>
            <w:tcMar>
              <w:top w:w="110" w:type="dxa"/>
            </w:tcMar>
          </w:tcPr>
          <w:p w14:paraId="4E0402B4" w14:textId="78340F42" w:rsidR="00CE6E0B" w:rsidRPr="000F274E" w:rsidRDefault="00823608" w:rsidP="00823608">
            <w:pPr>
              <w:keepNext/>
              <w:bidi/>
              <w:spacing w:after="120" w:line="280" w:lineRule="exact"/>
              <w:rPr>
                <w:rFonts w:ascii="Arabic Typesetting" w:hAnsi="Arabic Typesetting" w:cs="Arabic Typesetting"/>
                <w:b/>
                <w:bCs/>
                <w:color w:val="FF0000"/>
                <w:sz w:val="28"/>
                <w:szCs w:val="28"/>
                <w:rtl/>
                <w:lang w:bidi="ar-EG"/>
              </w:rPr>
            </w:pPr>
            <w:r w:rsidRPr="00E07EE3">
              <w:rPr>
                <w:rFonts w:ascii="Arabic Typesetting" w:hAnsi="Arabic Typesetting" w:cs="Arabic Typesetting"/>
                <w:b/>
                <w:bCs/>
                <w:color w:val="00B050"/>
                <w:sz w:val="28"/>
                <w:szCs w:val="28"/>
                <w:rtl/>
                <w:lang w:bidi="ar-EG"/>
              </w:rPr>
              <w:t>ثابت</w:t>
            </w:r>
          </w:p>
        </w:tc>
      </w:tr>
      <w:tr w:rsidR="00CE6E0B" w:rsidRPr="00E07EE3" w14:paraId="2ECF9666" w14:textId="77777777" w:rsidTr="00BB3820">
        <w:trPr>
          <w:cantSplit/>
          <w:trHeight w:val="18"/>
        </w:trPr>
        <w:tc>
          <w:tcPr>
            <w:tcW w:w="1900" w:type="dxa"/>
            <w:tcMar>
              <w:top w:w="110" w:type="dxa"/>
            </w:tcMar>
          </w:tcPr>
          <w:p w14:paraId="1528D180" w14:textId="77777777" w:rsidR="00CE6E0B" w:rsidRPr="00E07EE3" w:rsidRDefault="00CE6E0B" w:rsidP="0031289D">
            <w:pPr>
              <w:bidi/>
              <w:adjustRightInd w:val="0"/>
              <w:snapToGrid w:val="0"/>
              <w:spacing w:after="120" w:line="280" w:lineRule="exact"/>
              <w:rPr>
                <w:rFonts w:ascii="Arabic Typesetting" w:hAnsi="Arabic Typesetting" w:cs="Arabic Typesetting"/>
                <w:sz w:val="28"/>
                <w:szCs w:val="28"/>
              </w:rPr>
            </w:pPr>
            <w:r w:rsidRPr="00E07EE3">
              <w:rPr>
                <w:rFonts w:ascii="Arabic Typesetting" w:hAnsi="Arabic Typesetting" w:cs="Arabic Typesetting"/>
                <w:noProof/>
                <w:sz w:val="28"/>
                <w:szCs w:val="28"/>
                <w:rtl/>
              </w:rPr>
              <w:t>جودة الترجمة</w:t>
            </w:r>
          </w:p>
        </w:tc>
        <w:tc>
          <w:tcPr>
            <w:tcW w:w="3303" w:type="dxa"/>
            <w:shd w:val="clear" w:color="auto" w:fill="auto"/>
            <w:tcMar>
              <w:top w:w="110" w:type="dxa"/>
            </w:tcMar>
          </w:tcPr>
          <w:p w14:paraId="59F9C635" w14:textId="77777777" w:rsidR="00CE6E0B" w:rsidRPr="00E07EE3" w:rsidRDefault="00CE6E0B" w:rsidP="0031289D">
            <w:pPr>
              <w:bidi/>
              <w:spacing w:after="120" w:line="280" w:lineRule="exact"/>
              <w:rPr>
                <w:rFonts w:ascii="Arabic Typesetting" w:hAnsi="Arabic Typesetting" w:cs="Arabic Typesetting"/>
                <w:color w:val="000000"/>
                <w:sz w:val="28"/>
                <w:szCs w:val="28"/>
              </w:rPr>
            </w:pPr>
            <w:r>
              <w:rPr>
                <w:rFonts w:ascii="Arabic Typesetting" w:hAnsi="Arabic Typesetting" w:cs="Arabic Typesetting"/>
                <w:i/>
                <w:iCs/>
                <w:color w:val="002060"/>
                <w:sz w:val="28"/>
                <w:szCs w:val="28"/>
                <w:rtl/>
                <w:lang w:bidi="ar-EG"/>
              </w:rPr>
              <w:t>أساس المقارنة المحدّث</w:t>
            </w:r>
            <w:r w:rsidRPr="00E07EE3">
              <w:rPr>
                <w:rFonts w:ascii="Arabic Typesetting" w:hAnsi="Arabic Typesetting" w:cs="Arabic Typesetting"/>
                <w:i/>
                <w:iCs/>
                <w:color w:val="002060"/>
                <w:sz w:val="28"/>
                <w:szCs w:val="28"/>
                <w:rtl/>
                <w:lang w:bidi="ar-EG"/>
              </w:rPr>
              <w:t xml:space="preserve"> في نهاية 2015:</w:t>
            </w:r>
            <w:r>
              <w:rPr>
                <w:rFonts w:ascii="Arabic Typesetting" w:hAnsi="Arabic Typesetting" w:cs="Arabic Typesetting"/>
                <w:i/>
                <w:iCs/>
                <w:color w:val="002060"/>
                <w:sz w:val="28"/>
                <w:szCs w:val="28"/>
                <w:rtl/>
                <w:lang w:bidi="ar-EG"/>
              </w:rPr>
              <w:br/>
            </w:r>
            <w:r w:rsidRPr="00E07EE3">
              <w:rPr>
                <w:rFonts w:ascii="Arabic Typesetting" w:eastAsia="Batang" w:hAnsi="Arabic Typesetting" w:cs="Arabic Typesetting"/>
                <w:color w:val="002060"/>
                <w:sz w:val="28"/>
                <w:szCs w:val="28"/>
                <w:rtl/>
                <w:lang w:eastAsia="ja-JP"/>
              </w:rPr>
              <w:t>87.6% (2015)</w:t>
            </w:r>
          </w:p>
          <w:p w14:paraId="5E35CD9F" w14:textId="77777777" w:rsidR="00CE6E0B" w:rsidRPr="00E07EE3" w:rsidRDefault="00CE6E0B" w:rsidP="0031289D">
            <w:pPr>
              <w:bidi/>
              <w:spacing w:after="120" w:line="280" w:lineRule="exact"/>
              <w:rPr>
                <w:rFonts w:ascii="Arabic Typesetting" w:hAnsi="Arabic Typesetting" w:cs="Arabic Typesetting"/>
                <w:i/>
                <w:sz w:val="28"/>
                <w:szCs w:val="28"/>
                <w:lang w:bidi="th-TH"/>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 برنامج وميزانية 2016/17:</w:t>
            </w:r>
            <w:r>
              <w:rPr>
                <w:rFonts w:ascii="Arabic Typesetting" w:hAnsi="Arabic Typesetting" w:cs="Arabic Typesetting"/>
                <w:i/>
                <w:iCs/>
                <w:sz w:val="28"/>
                <w:szCs w:val="28"/>
                <w:rtl/>
                <w:lang w:bidi="ar-EG"/>
              </w:rPr>
              <w:br/>
            </w:r>
            <w:r w:rsidRPr="00E07EE3">
              <w:rPr>
                <w:rFonts w:ascii="Arabic Typesetting" w:eastAsia="SimSun" w:hAnsi="Arabic Typesetting" w:cs="Arabic Typesetting"/>
                <w:color w:val="000000"/>
                <w:sz w:val="28"/>
                <w:szCs w:val="28"/>
                <w:rtl/>
              </w:rPr>
              <w:t>86% (2014)</w:t>
            </w:r>
          </w:p>
        </w:tc>
        <w:tc>
          <w:tcPr>
            <w:tcW w:w="1427" w:type="dxa"/>
          </w:tcPr>
          <w:p w14:paraId="7C8C5A01" w14:textId="3CDD07EF" w:rsidR="00E6194D" w:rsidRPr="00823608" w:rsidRDefault="00E6194D" w:rsidP="00E6194D">
            <w:pPr>
              <w:bidi/>
              <w:spacing w:after="120" w:line="280" w:lineRule="exact"/>
              <w:rPr>
                <w:rFonts w:ascii="Arabic Typesetting" w:hAnsi="Arabic Typesetting" w:cs="Arabic Typesetting"/>
                <w:color w:val="002060"/>
                <w:sz w:val="28"/>
                <w:szCs w:val="28"/>
                <w:rtl/>
                <w:lang w:bidi="ar-EG"/>
              </w:rPr>
            </w:pPr>
            <w:r w:rsidRPr="00823608">
              <w:rPr>
                <w:rFonts w:ascii="Arabic Typesetting" w:hAnsi="Arabic Typesetting" w:cs="Arabic Typesetting" w:hint="cs"/>
                <w:i/>
                <w:iCs/>
                <w:color w:val="002060"/>
                <w:sz w:val="28"/>
                <w:szCs w:val="28"/>
                <w:rtl/>
                <w:lang w:bidi="ar-EG"/>
              </w:rPr>
              <w:t>الهدف المحدَّث:</w:t>
            </w:r>
            <w:r>
              <w:rPr>
                <w:rFonts w:ascii="Arabic Typesetting" w:hAnsi="Arabic Typesetting" w:cs="Arabic Typesetting"/>
                <w:i/>
                <w:iCs/>
                <w:color w:val="002060"/>
                <w:sz w:val="28"/>
                <w:szCs w:val="28"/>
                <w:rtl/>
                <w:lang w:bidi="ar-EG"/>
              </w:rPr>
              <w:br/>
            </w:r>
            <w:r>
              <w:rPr>
                <w:rFonts w:ascii="Arabic Typesetting" w:hAnsi="Arabic Typesetting" w:cs="Arabic Typesetting" w:hint="cs"/>
                <w:color w:val="002060"/>
                <w:sz w:val="28"/>
                <w:szCs w:val="28"/>
                <w:rtl/>
                <w:lang w:bidi="ar-EG"/>
              </w:rPr>
              <w:t>88%</w:t>
            </w:r>
            <w:r>
              <w:rPr>
                <w:rFonts w:ascii="Arabic Typesetting" w:hAnsi="Arabic Typesetting" w:cs="Arabic Typesetting"/>
                <w:color w:val="002060"/>
                <w:sz w:val="28"/>
                <w:szCs w:val="28"/>
                <w:rtl/>
                <w:lang w:bidi="ar-EG"/>
              </w:rPr>
              <w:br/>
            </w:r>
            <w:r w:rsidRPr="00823608">
              <w:rPr>
                <w:rFonts w:ascii="Arabic Typesetting" w:hAnsi="Arabic Typesetting" w:cs="Arabic Typesetting" w:hint="cs"/>
                <w:color w:val="002060"/>
                <w:sz w:val="28"/>
                <w:szCs w:val="28"/>
                <w:rtl/>
                <w:lang w:bidi="ar-EG"/>
              </w:rPr>
              <w:t>(</w:t>
            </w:r>
            <w:r>
              <w:rPr>
                <w:rFonts w:ascii="Arabic Typesetting" w:hAnsi="Arabic Typesetting" w:cs="Arabic Typesetting" w:hint="cs"/>
                <w:color w:val="002060"/>
                <w:sz w:val="28"/>
                <w:szCs w:val="28"/>
                <w:rtl/>
                <w:lang w:bidi="ar-EG"/>
              </w:rPr>
              <w:t>+</w:t>
            </w:r>
            <w:r w:rsidRPr="00823608">
              <w:rPr>
                <w:rFonts w:ascii="Arabic Typesetting" w:hAnsi="Arabic Typesetting" w:cs="Arabic Typesetting" w:hint="cs"/>
                <w:color w:val="002060"/>
                <w:sz w:val="28"/>
                <w:szCs w:val="28"/>
                <w:rtl/>
                <w:lang w:bidi="ar-EG"/>
              </w:rPr>
              <w:t>/- 2%)</w:t>
            </w:r>
            <w:r>
              <w:rPr>
                <w:rStyle w:val="FootnoteReference"/>
                <w:color w:val="002060"/>
                <w:rtl/>
                <w:lang w:bidi="ar-EG"/>
              </w:rPr>
              <w:footnoteReference w:id="20"/>
            </w:r>
          </w:p>
          <w:p w14:paraId="511E3BF4" w14:textId="54348D2E" w:rsidR="00CE6E0B" w:rsidRPr="00E07EE3" w:rsidRDefault="00E6194D" w:rsidP="00E6194D">
            <w:pPr>
              <w:widowControl w:val="0"/>
              <w:autoSpaceDE w:val="0"/>
              <w:autoSpaceDN w:val="0"/>
              <w:bidi/>
              <w:adjustRightInd w:val="0"/>
              <w:spacing w:after="120" w:line="280" w:lineRule="exact"/>
              <w:rPr>
                <w:rFonts w:ascii="Arabic Typesetting" w:eastAsia="SimSun" w:hAnsi="Arabic Typesetting" w:cs="Arabic Typesetting"/>
                <w:color w:val="000000"/>
                <w:sz w:val="28"/>
                <w:szCs w:val="28"/>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w:t>
            </w:r>
            <w:r>
              <w:rPr>
                <w:rFonts w:ascii="Arabic Typesetting" w:hAnsi="Arabic Typesetting" w:cs="Arabic Typesetting" w:hint="cs"/>
                <w:i/>
                <w:iCs/>
                <w:sz w:val="28"/>
                <w:szCs w:val="28"/>
                <w:rtl/>
                <w:lang w:bidi="ar-EG"/>
              </w:rPr>
              <w:br/>
            </w:r>
            <w:r w:rsidRPr="00E07EE3">
              <w:rPr>
                <w:rFonts w:ascii="Arabic Typesetting" w:hAnsi="Arabic Typesetting" w:cs="Arabic Typesetting"/>
                <w:i/>
                <w:iCs/>
                <w:sz w:val="28"/>
                <w:szCs w:val="28"/>
                <w:rtl/>
                <w:lang w:bidi="ar-EG"/>
              </w:rPr>
              <w:t>برنامج</w:t>
            </w:r>
            <w:r>
              <w:rPr>
                <w:rFonts w:ascii="Arabic Typesetting" w:hAnsi="Arabic Typesetting" w:cs="Arabic Typesetting" w:hint="cs"/>
                <w:i/>
                <w:iCs/>
                <w:sz w:val="28"/>
                <w:szCs w:val="28"/>
                <w:rtl/>
                <w:lang w:bidi="ar-EG"/>
              </w:rPr>
              <w:t> </w:t>
            </w:r>
            <w:r w:rsidRPr="00E07EE3">
              <w:rPr>
                <w:rFonts w:ascii="Arabic Typesetting" w:hAnsi="Arabic Typesetting" w:cs="Arabic Typesetting"/>
                <w:i/>
                <w:iCs/>
                <w:sz w:val="28"/>
                <w:szCs w:val="28"/>
                <w:rtl/>
                <w:lang w:bidi="ar-EG"/>
              </w:rPr>
              <w:t>وميزانية 2016/17:</w:t>
            </w:r>
            <w:r>
              <w:rPr>
                <w:rFonts w:ascii="Arabic Typesetting" w:hAnsi="Arabic Typesetting" w:cs="Arabic Typesetting" w:hint="cs"/>
                <w:i/>
                <w:iCs/>
                <w:sz w:val="28"/>
                <w:szCs w:val="28"/>
                <w:rtl/>
                <w:lang w:bidi="ar-EG"/>
              </w:rPr>
              <w:br/>
            </w:r>
            <w:r w:rsidR="00CE6E0B" w:rsidRPr="00E07EE3">
              <w:rPr>
                <w:rFonts w:ascii="Arabic Typesetting" w:hAnsi="Arabic Typesetting" w:cs="Arabic Typesetting"/>
                <w:b/>
                <w:noProof/>
                <w:sz w:val="28"/>
                <w:szCs w:val="28"/>
                <w:rtl/>
              </w:rPr>
              <w:t>جودة أعلى</w:t>
            </w:r>
          </w:p>
        </w:tc>
        <w:tc>
          <w:tcPr>
            <w:tcW w:w="2095" w:type="dxa"/>
            <w:tcMar>
              <w:top w:w="110" w:type="dxa"/>
            </w:tcMar>
          </w:tcPr>
          <w:p w14:paraId="0FEEEEC3" w14:textId="5A7E5EA8" w:rsidR="00CE6E0B" w:rsidRPr="00E07EE3" w:rsidRDefault="00CE6E0B" w:rsidP="00E6194D">
            <w:pPr>
              <w:keepNext/>
              <w:keepLines/>
              <w:bidi/>
              <w:spacing w:after="120" w:line="280" w:lineRule="exact"/>
              <w:rPr>
                <w:rFonts w:ascii="Arabic Typesetting" w:hAnsi="Arabic Typesetting" w:cs="Arabic Typesetting"/>
                <w:color w:val="000000"/>
                <w:sz w:val="28"/>
                <w:szCs w:val="28"/>
              </w:rPr>
            </w:pPr>
            <w:r w:rsidRPr="00E07EE3">
              <w:rPr>
                <w:rFonts w:ascii="Arabic Typesetting" w:hAnsi="Arabic Typesetting" w:cs="Arabic Typesetting"/>
                <w:sz w:val="28"/>
                <w:szCs w:val="28"/>
                <w:rtl/>
              </w:rPr>
              <w:t>86%</w:t>
            </w:r>
          </w:p>
        </w:tc>
        <w:tc>
          <w:tcPr>
            <w:tcW w:w="846" w:type="dxa"/>
            <w:tcMar>
              <w:top w:w="110" w:type="dxa"/>
            </w:tcMar>
          </w:tcPr>
          <w:p w14:paraId="5C4A70A0" w14:textId="36057BBF" w:rsidR="00CE6E0B" w:rsidRPr="000F274E" w:rsidRDefault="00E6194D" w:rsidP="0031289D">
            <w:pPr>
              <w:keepNext/>
              <w:bidi/>
              <w:spacing w:after="120" w:line="280" w:lineRule="exact"/>
              <w:rPr>
                <w:rFonts w:ascii="Arabic Typesetting" w:hAnsi="Arabic Typesetting" w:cs="Arabic Typesetting"/>
                <w:b/>
                <w:bCs/>
                <w:color w:val="FF0000"/>
                <w:sz w:val="28"/>
                <w:szCs w:val="28"/>
                <w:rtl/>
                <w:lang w:bidi="ar-EG"/>
              </w:rPr>
            </w:pPr>
            <w:r w:rsidRPr="00E07EE3">
              <w:rPr>
                <w:rFonts w:ascii="Arabic Typesetting" w:hAnsi="Arabic Typesetting" w:cs="Arabic Typesetting"/>
                <w:b/>
                <w:bCs/>
                <w:color w:val="00B050"/>
                <w:sz w:val="28"/>
                <w:szCs w:val="28"/>
                <w:rtl/>
                <w:lang w:bidi="ar-EG"/>
              </w:rPr>
              <w:t>ثابت</w:t>
            </w:r>
          </w:p>
        </w:tc>
      </w:tr>
      <w:tr w:rsidR="00CE6E0B" w:rsidRPr="00E07EE3" w14:paraId="6CE03C1F" w14:textId="77777777" w:rsidTr="00BB3820">
        <w:trPr>
          <w:cantSplit/>
          <w:trHeight w:val="18"/>
        </w:trPr>
        <w:tc>
          <w:tcPr>
            <w:tcW w:w="1900" w:type="dxa"/>
            <w:tcMar>
              <w:top w:w="110" w:type="dxa"/>
            </w:tcMar>
          </w:tcPr>
          <w:p w14:paraId="6CC98C96" w14:textId="77777777" w:rsidR="00CE6E0B" w:rsidRPr="00E07EE3" w:rsidRDefault="00CE6E0B" w:rsidP="0031289D">
            <w:pPr>
              <w:bidi/>
              <w:adjustRightInd w:val="0"/>
              <w:snapToGrid w:val="0"/>
              <w:spacing w:after="120" w:line="280" w:lineRule="exact"/>
              <w:rPr>
                <w:rFonts w:ascii="Arabic Typesetting" w:hAnsi="Arabic Typesetting" w:cs="Arabic Typesetting"/>
                <w:sz w:val="28"/>
                <w:szCs w:val="28"/>
              </w:rPr>
            </w:pPr>
            <w:r w:rsidRPr="00E07EE3">
              <w:rPr>
                <w:rFonts w:ascii="Arabic Typesetting" w:hAnsi="Arabic Typesetting" w:cs="Arabic Typesetting"/>
                <w:noProof/>
                <w:sz w:val="28"/>
                <w:szCs w:val="28"/>
                <w:rtl/>
              </w:rPr>
              <w:lastRenderedPageBreak/>
              <w:t>جودة تطوير البرمجيات</w:t>
            </w:r>
          </w:p>
        </w:tc>
        <w:tc>
          <w:tcPr>
            <w:tcW w:w="3303" w:type="dxa"/>
            <w:shd w:val="clear" w:color="auto" w:fill="auto"/>
            <w:tcMar>
              <w:top w:w="110" w:type="dxa"/>
            </w:tcMar>
          </w:tcPr>
          <w:p w14:paraId="0B2345EA" w14:textId="77777777" w:rsidR="00CE6E0B" w:rsidRPr="00E07EE3" w:rsidRDefault="00CE6E0B" w:rsidP="0031289D">
            <w:pPr>
              <w:bidi/>
              <w:spacing w:after="120" w:line="280" w:lineRule="exact"/>
              <w:rPr>
                <w:rFonts w:ascii="Arabic Typesetting" w:hAnsi="Arabic Typesetting" w:cs="Arabic Typesetting"/>
                <w:color w:val="002060"/>
                <w:sz w:val="28"/>
                <w:szCs w:val="28"/>
                <w:rtl/>
              </w:rPr>
            </w:pPr>
            <w:r>
              <w:rPr>
                <w:rFonts w:ascii="Arabic Typesetting" w:hAnsi="Arabic Typesetting" w:cs="Arabic Typesetting"/>
                <w:i/>
                <w:iCs/>
                <w:color w:val="002060"/>
                <w:sz w:val="28"/>
                <w:szCs w:val="28"/>
                <w:rtl/>
                <w:lang w:bidi="ar-EG"/>
              </w:rPr>
              <w:t>أساس المقارنة المحدّث</w:t>
            </w:r>
            <w:r w:rsidRPr="00E07EE3">
              <w:rPr>
                <w:rFonts w:ascii="Arabic Typesetting" w:hAnsi="Arabic Typesetting" w:cs="Arabic Typesetting"/>
                <w:i/>
                <w:iCs/>
                <w:color w:val="002060"/>
                <w:sz w:val="28"/>
                <w:szCs w:val="28"/>
                <w:rtl/>
                <w:lang w:bidi="ar-EG"/>
              </w:rPr>
              <w:t xml:space="preserve"> في نهاية 2015:</w:t>
            </w:r>
            <w:r>
              <w:rPr>
                <w:rFonts w:ascii="Arabic Typesetting" w:hAnsi="Arabic Typesetting" w:cs="Arabic Typesetting"/>
                <w:i/>
                <w:iCs/>
                <w:color w:val="002060"/>
                <w:sz w:val="28"/>
                <w:szCs w:val="28"/>
                <w:rtl/>
                <w:lang w:bidi="ar-EG"/>
              </w:rPr>
              <w:br/>
            </w:r>
            <w:r w:rsidRPr="00E07EE3">
              <w:rPr>
                <w:rFonts w:ascii="Arabic Typesetting" w:hAnsi="Arabic Typesetting" w:cs="Arabic Typesetting"/>
                <w:color w:val="002060"/>
                <w:sz w:val="28"/>
                <w:szCs w:val="28"/>
                <w:rtl/>
              </w:rPr>
              <w:t>91.9% (2015)</w:t>
            </w:r>
            <w:r>
              <w:rPr>
                <w:rFonts w:ascii="Arabic Typesetting" w:hAnsi="Arabic Typesetting" w:cs="Arabic Typesetting"/>
                <w:color w:val="002060"/>
                <w:sz w:val="28"/>
                <w:szCs w:val="28"/>
                <w:rtl/>
              </w:rPr>
              <w:br/>
            </w:r>
            <w:r w:rsidRPr="00E07EE3">
              <w:rPr>
                <w:rFonts w:ascii="Arabic Typesetting" w:hAnsi="Arabic Typesetting" w:cs="Arabic Typesetting"/>
                <w:color w:val="002060"/>
                <w:sz w:val="28"/>
                <w:szCs w:val="28"/>
                <w:rtl/>
              </w:rPr>
              <w:t>94.5% (2014)</w:t>
            </w:r>
            <w:r w:rsidRPr="00E07EE3">
              <w:rPr>
                <w:rStyle w:val="FootnoteReference"/>
                <w:color w:val="002060"/>
                <w:rtl/>
              </w:rPr>
              <w:footnoteReference w:id="21"/>
            </w:r>
          </w:p>
          <w:p w14:paraId="633DD961" w14:textId="77777777" w:rsidR="00CE6E0B" w:rsidRPr="00E07EE3" w:rsidRDefault="00CE6E0B" w:rsidP="0031289D">
            <w:pPr>
              <w:bidi/>
              <w:spacing w:after="120" w:line="280" w:lineRule="exact"/>
              <w:rPr>
                <w:rFonts w:ascii="Arabic Typesetting" w:eastAsia="SimSun" w:hAnsi="Arabic Typesetting" w:cs="Arabic Typesetting"/>
                <w:color w:val="000000"/>
                <w:sz w:val="28"/>
                <w:szCs w:val="28"/>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 برنامج وميزانية 2016/17:</w:t>
            </w:r>
            <w:r>
              <w:rPr>
                <w:rFonts w:ascii="Arabic Typesetting" w:hAnsi="Arabic Typesetting" w:cs="Arabic Typesetting"/>
                <w:i/>
                <w:iCs/>
                <w:sz w:val="28"/>
                <w:szCs w:val="28"/>
                <w:rtl/>
                <w:lang w:bidi="ar-EG"/>
              </w:rPr>
              <w:br/>
            </w:r>
            <w:r w:rsidRPr="00E07EE3">
              <w:rPr>
                <w:rFonts w:ascii="Arabic Typesetting" w:eastAsia="SimSun" w:hAnsi="Arabic Typesetting" w:cs="Arabic Typesetting"/>
                <w:color w:val="000000"/>
                <w:sz w:val="28"/>
                <w:szCs w:val="28"/>
                <w:rtl/>
              </w:rPr>
              <w:t>94.3% (2014)</w:t>
            </w:r>
          </w:p>
        </w:tc>
        <w:tc>
          <w:tcPr>
            <w:tcW w:w="1427" w:type="dxa"/>
          </w:tcPr>
          <w:p w14:paraId="31C12FB4" w14:textId="60464CAD" w:rsidR="00E6194D" w:rsidRPr="00823608" w:rsidRDefault="00E6194D" w:rsidP="00E6194D">
            <w:pPr>
              <w:bidi/>
              <w:spacing w:after="120" w:line="280" w:lineRule="exact"/>
              <w:rPr>
                <w:rFonts w:ascii="Arabic Typesetting" w:hAnsi="Arabic Typesetting" w:cs="Arabic Typesetting"/>
                <w:color w:val="002060"/>
                <w:sz w:val="28"/>
                <w:szCs w:val="28"/>
                <w:rtl/>
                <w:lang w:bidi="ar-EG"/>
              </w:rPr>
            </w:pPr>
            <w:r w:rsidRPr="00823608">
              <w:rPr>
                <w:rFonts w:ascii="Arabic Typesetting" w:hAnsi="Arabic Typesetting" w:cs="Arabic Typesetting" w:hint="cs"/>
                <w:i/>
                <w:iCs/>
                <w:color w:val="002060"/>
                <w:sz w:val="28"/>
                <w:szCs w:val="28"/>
                <w:rtl/>
                <w:lang w:bidi="ar-EG"/>
              </w:rPr>
              <w:t>الهدف المحدَّث:</w:t>
            </w:r>
            <w:r>
              <w:rPr>
                <w:rFonts w:ascii="Arabic Typesetting" w:hAnsi="Arabic Typesetting" w:cs="Arabic Typesetting"/>
                <w:i/>
                <w:iCs/>
                <w:color w:val="002060"/>
                <w:sz w:val="28"/>
                <w:szCs w:val="28"/>
                <w:rtl/>
                <w:lang w:bidi="ar-EG"/>
              </w:rPr>
              <w:br/>
            </w:r>
            <w:r>
              <w:rPr>
                <w:rFonts w:ascii="Arabic Typesetting" w:hAnsi="Arabic Typesetting" w:cs="Arabic Typesetting" w:hint="cs"/>
                <w:color w:val="002060"/>
                <w:sz w:val="28"/>
                <w:szCs w:val="28"/>
                <w:rtl/>
                <w:lang w:bidi="ar-EG"/>
              </w:rPr>
              <w:t>95</w:t>
            </w:r>
            <w:r w:rsidRPr="00823608">
              <w:rPr>
                <w:rFonts w:ascii="Arabic Typesetting" w:hAnsi="Arabic Typesetting" w:cs="Arabic Typesetting" w:hint="cs"/>
                <w:color w:val="002060"/>
                <w:sz w:val="28"/>
                <w:szCs w:val="28"/>
                <w:rtl/>
                <w:lang w:bidi="ar-EG"/>
              </w:rPr>
              <w:t>% (</w:t>
            </w:r>
            <w:r>
              <w:rPr>
                <w:rFonts w:ascii="Arabic Typesetting" w:hAnsi="Arabic Typesetting" w:cs="Arabic Typesetting" w:hint="cs"/>
                <w:color w:val="002060"/>
                <w:sz w:val="28"/>
                <w:szCs w:val="28"/>
                <w:rtl/>
                <w:lang w:bidi="ar-EG"/>
              </w:rPr>
              <w:t>+</w:t>
            </w:r>
            <w:r w:rsidRPr="00823608">
              <w:rPr>
                <w:rFonts w:ascii="Arabic Typesetting" w:hAnsi="Arabic Typesetting" w:cs="Arabic Typesetting" w:hint="cs"/>
                <w:color w:val="002060"/>
                <w:sz w:val="28"/>
                <w:szCs w:val="28"/>
                <w:rtl/>
                <w:lang w:bidi="ar-EG"/>
              </w:rPr>
              <w:t>/- 2%)</w:t>
            </w:r>
          </w:p>
          <w:p w14:paraId="56C940FE" w14:textId="356CA7B5" w:rsidR="00CE6E0B" w:rsidRPr="00E07EE3" w:rsidRDefault="00E6194D" w:rsidP="00E6194D">
            <w:pPr>
              <w:widowControl w:val="0"/>
              <w:autoSpaceDE w:val="0"/>
              <w:autoSpaceDN w:val="0"/>
              <w:bidi/>
              <w:adjustRightInd w:val="0"/>
              <w:spacing w:after="120" w:line="280" w:lineRule="exact"/>
              <w:rPr>
                <w:rFonts w:ascii="Arabic Typesetting" w:eastAsia="SimSun" w:hAnsi="Arabic Typesetting" w:cs="Arabic Typesetting"/>
                <w:color w:val="000000"/>
                <w:sz w:val="28"/>
                <w:szCs w:val="28"/>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w:t>
            </w:r>
            <w:r>
              <w:rPr>
                <w:rFonts w:ascii="Arabic Typesetting" w:hAnsi="Arabic Typesetting" w:cs="Arabic Typesetting" w:hint="cs"/>
                <w:i/>
                <w:iCs/>
                <w:sz w:val="28"/>
                <w:szCs w:val="28"/>
                <w:rtl/>
                <w:lang w:bidi="ar-EG"/>
              </w:rPr>
              <w:br/>
            </w:r>
            <w:r w:rsidRPr="00E07EE3">
              <w:rPr>
                <w:rFonts w:ascii="Arabic Typesetting" w:hAnsi="Arabic Typesetting" w:cs="Arabic Typesetting"/>
                <w:i/>
                <w:iCs/>
                <w:sz w:val="28"/>
                <w:szCs w:val="28"/>
                <w:rtl/>
                <w:lang w:bidi="ar-EG"/>
              </w:rPr>
              <w:t>برنامج</w:t>
            </w:r>
            <w:r>
              <w:rPr>
                <w:rFonts w:ascii="Arabic Typesetting" w:hAnsi="Arabic Typesetting" w:cs="Arabic Typesetting" w:hint="cs"/>
                <w:i/>
                <w:iCs/>
                <w:sz w:val="28"/>
                <w:szCs w:val="28"/>
                <w:rtl/>
                <w:lang w:bidi="ar-EG"/>
              </w:rPr>
              <w:t> </w:t>
            </w:r>
            <w:r w:rsidRPr="00E07EE3">
              <w:rPr>
                <w:rFonts w:ascii="Arabic Typesetting" w:hAnsi="Arabic Typesetting" w:cs="Arabic Typesetting"/>
                <w:i/>
                <w:iCs/>
                <w:sz w:val="28"/>
                <w:szCs w:val="28"/>
                <w:rtl/>
                <w:lang w:bidi="ar-EG"/>
              </w:rPr>
              <w:t>وميزانية 2016/17:</w:t>
            </w:r>
            <w:r>
              <w:rPr>
                <w:rFonts w:ascii="Arabic Typesetting" w:hAnsi="Arabic Typesetting" w:cs="Arabic Typesetting" w:hint="cs"/>
                <w:i/>
                <w:iCs/>
                <w:sz w:val="28"/>
                <w:szCs w:val="28"/>
                <w:rtl/>
                <w:lang w:bidi="ar-EG"/>
              </w:rPr>
              <w:br/>
            </w:r>
            <w:r w:rsidR="00CE6E0B" w:rsidRPr="00E07EE3">
              <w:rPr>
                <w:rFonts w:ascii="Arabic Typesetting" w:hAnsi="Arabic Typesetting" w:cs="Arabic Typesetting"/>
                <w:sz w:val="28"/>
                <w:szCs w:val="28"/>
                <w:rtl/>
              </w:rPr>
              <w:t>جودة أكبر في تطوير البرمجيات</w:t>
            </w:r>
          </w:p>
        </w:tc>
        <w:tc>
          <w:tcPr>
            <w:tcW w:w="2095" w:type="dxa"/>
            <w:tcMar>
              <w:top w:w="110" w:type="dxa"/>
            </w:tcMar>
          </w:tcPr>
          <w:p w14:paraId="01CF398D" w14:textId="3D024140" w:rsidR="00CE6E0B" w:rsidRPr="00E07EE3" w:rsidRDefault="00CE6E0B" w:rsidP="00E6194D">
            <w:pPr>
              <w:keepNext/>
              <w:keepLines/>
              <w:bidi/>
              <w:spacing w:after="120" w:line="280" w:lineRule="exact"/>
              <w:rPr>
                <w:rFonts w:ascii="Arabic Typesetting" w:hAnsi="Arabic Typesetting" w:cs="Arabic Typesetting"/>
                <w:color w:val="000000"/>
                <w:sz w:val="28"/>
                <w:szCs w:val="28"/>
              </w:rPr>
            </w:pPr>
            <w:r w:rsidRPr="00E07EE3">
              <w:rPr>
                <w:rFonts w:ascii="Arabic Typesetting" w:hAnsi="Arabic Typesetting" w:cs="Arabic Typesetting"/>
                <w:color w:val="000000"/>
                <w:sz w:val="28"/>
                <w:szCs w:val="28"/>
                <w:rtl/>
              </w:rPr>
              <w:t>93.3%</w:t>
            </w:r>
          </w:p>
        </w:tc>
        <w:tc>
          <w:tcPr>
            <w:tcW w:w="846" w:type="dxa"/>
            <w:tcMar>
              <w:top w:w="110" w:type="dxa"/>
            </w:tcMar>
          </w:tcPr>
          <w:p w14:paraId="05DF9192" w14:textId="77777777" w:rsidR="00CE6E0B" w:rsidRPr="00E07EE3" w:rsidRDefault="00CE6E0B" w:rsidP="0031289D">
            <w:pPr>
              <w:keepNext/>
              <w:bidi/>
              <w:spacing w:after="120" w:line="280" w:lineRule="exact"/>
              <w:rPr>
                <w:rFonts w:ascii="Arabic Typesetting" w:hAnsi="Arabic Typesetting" w:cs="Arabic Typesetting"/>
                <w:b/>
                <w:bCs/>
                <w:color w:val="00B050"/>
                <w:sz w:val="28"/>
                <w:szCs w:val="28"/>
                <w:rtl/>
                <w:lang w:bidi="ar-EG"/>
              </w:rPr>
            </w:pPr>
            <w:r w:rsidRPr="00E07EE3">
              <w:rPr>
                <w:rFonts w:ascii="Arabic Typesetting" w:hAnsi="Arabic Typesetting" w:cs="Arabic Typesetting"/>
                <w:b/>
                <w:bCs/>
                <w:color w:val="00B050"/>
                <w:sz w:val="28"/>
                <w:szCs w:val="28"/>
                <w:rtl/>
                <w:lang w:bidi="ar-EG"/>
              </w:rPr>
              <w:t>ثابت</w:t>
            </w:r>
          </w:p>
        </w:tc>
      </w:tr>
      <w:tr w:rsidR="00CE6E0B" w:rsidRPr="00E07EE3" w14:paraId="64853F5A" w14:textId="77777777" w:rsidTr="00BB3820">
        <w:trPr>
          <w:cantSplit/>
          <w:trHeight w:val="18"/>
        </w:trPr>
        <w:tc>
          <w:tcPr>
            <w:tcW w:w="1900" w:type="dxa"/>
            <w:tcMar>
              <w:top w:w="110" w:type="dxa"/>
            </w:tcMar>
          </w:tcPr>
          <w:p w14:paraId="716F56ED" w14:textId="77777777" w:rsidR="00CE6E0B" w:rsidRPr="00E07EE3" w:rsidRDefault="00CE6E0B" w:rsidP="0031289D">
            <w:pPr>
              <w:bidi/>
              <w:adjustRightInd w:val="0"/>
              <w:snapToGrid w:val="0"/>
              <w:spacing w:after="120" w:line="280" w:lineRule="exact"/>
              <w:rPr>
                <w:rFonts w:ascii="Arabic Typesetting" w:hAnsi="Arabic Typesetting" w:cs="Arabic Typesetting"/>
                <w:sz w:val="28"/>
                <w:szCs w:val="28"/>
              </w:rPr>
            </w:pPr>
            <w:r w:rsidRPr="00E07EE3">
              <w:rPr>
                <w:rFonts w:ascii="Arabic Typesetting" w:hAnsi="Arabic Typesetting" w:cs="Arabic Typesetting"/>
                <w:noProof/>
                <w:sz w:val="28"/>
                <w:szCs w:val="28"/>
                <w:rtl/>
              </w:rPr>
              <w:t>مستويات خدمة أنظمة المعلومات</w:t>
            </w:r>
          </w:p>
        </w:tc>
        <w:tc>
          <w:tcPr>
            <w:tcW w:w="3303" w:type="dxa"/>
            <w:shd w:val="clear" w:color="auto" w:fill="auto"/>
            <w:tcMar>
              <w:top w:w="110" w:type="dxa"/>
            </w:tcMar>
          </w:tcPr>
          <w:p w14:paraId="5766C5BF" w14:textId="77777777" w:rsidR="00CE6E0B" w:rsidRPr="00E07EE3" w:rsidRDefault="00CE6E0B" w:rsidP="0031289D">
            <w:pPr>
              <w:bidi/>
              <w:spacing w:after="120" w:line="280" w:lineRule="exact"/>
              <w:rPr>
                <w:rFonts w:ascii="Arabic Typesetting" w:hAnsi="Arabic Typesetting" w:cs="Arabic Typesetting"/>
                <w:color w:val="002060"/>
                <w:sz w:val="28"/>
                <w:szCs w:val="28"/>
                <w:rtl/>
              </w:rPr>
            </w:pPr>
            <w:r>
              <w:rPr>
                <w:rFonts w:ascii="Arabic Typesetting" w:hAnsi="Arabic Typesetting" w:cs="Arabic Typesetting"/>
                <w:i/>
                <w:iCs/>
                <w:color w:val="002060"/>
                <w:sz w:val="28"/>
                <w:szCs w:val="28"/>
                <w:rtl/>
                <w:lang w:bidi="ar-EG"/>
              </w:rPr>
              <w:t>أساس المقارنة المحدّث</w:t>
            </w:r>
            <w:r w:rsidRPr="00E07EE3">
              <w:rPr>
                <w:rFonts w:ascii="Arabic Typesetting" w:hAnsi="Arabic Typesetting" w:cs="Arabic Typesetting"/>
                <w:i/>
                <w:iCs/>
                <w:color w:val="002060"/>
                <w:sz w:val="28"/>
                <w:szCs w:val="28"/>
                <w:rtl/>
                <w:lang w:bidi="ar-EG"/>
              </w:rPr>
              <w:t xml:space="preserve"> في نهاية 2015:</w:t>
            </w:r>
            <w:r>
              <w:rPr>
                <w:rFonts w:ascii="Arabic Typesetting" w:hAnsi="Arabic Typesetting" w:cs="Arabic Typesetting"/>
                <w:i/>
                <w:iCs/>
                <w:color w:val="002060"/>
                <w:sz w:val="28"/>
                <w:szCs w:val="28"/>
                <w:rtl/>
                <w:lang w:bidi="ar-EG"/>
              </w:rPr>
              <w:br/>
            </w:r>
            <w:r w:rsidRPr="00E07EE3">
              <w:rPr>
                <w:rFonts w:ascii="Arabic Typesetting" w:hAnsi="Arabic Typesetting" w:cs="Arabic Typesetting"/>
                <w:color w:val="002060"/>
                <w:sz w:val="28"/>
                <w:szCs w:val="28"/>
                <w:rtl/>
              </w:rPr>
              <w:t>96.5% (2015)</w:t>
            </w:r>
            <w:r>
              <w:rPr>
                <w:rFonts w:ascii="Arabic Typesetting" w:hAnsi="Arabic Typesetting" w:cs="Arabic Typesetting"/>
                <w:color w:val="002060"/>
                <w:sz w:val="28"/>
                <w:szCs w:val="28"/>
                <w:rtl/>
              </w:rPr>
              <w:br/>
            </w:r>
            <w:r w:rsidRPr="00E07EE3">
              <w:rPr>
                <w:rFonts w:ascii="Arabic Typesetting" w:hAnsi="Arabic Typesetting" w:cs="Arabic Typesetting"/>
                <w:color w:val="002060"/>
                <w:sz w:val="28"/>
                <w:szCs w:val="28"/>
                <w:rtl/>
              </w:rPr>
              <w:t>95.1% (2014)</w:t>
            </w:r>
            <w:r w:rsidRPr="00E07EE3">
              <w:rPr>
                <w:rStyle w:val="FootnoteReference"/>
                <w:color w:val="002060"/>
                <w:rtl/>
              </w:rPr>
              <w:footnoteReference w:id="22"/>
            </w:r>
          </w:p>
          <w:p w14:paraId="1CBD0FC6" w14:textId="77777777" w:rsidR="00CE6E0B" w:rsidRPr="00E07EE3" w:rsidRDefault="00CE6E0B" w:rsidP="0031289D">
            <w:pPr>
              <w:bidi/>
              <w:spacing w:after="120" w:line="280" w:lineRule="exact"/>
              <w:rPr>
                <w:rFonts w:ascii="Arabic Typesetting" w:eastAsia="SimSun" w:hAnsi="Arabic Typesetting" w:cs="Arabic Typesetting"/>
                <w:color w:val="000000"/>
                <w:sz w:val="28"/>
                <w:szCs w:val="28"/>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 برنامج وميزانية 2016/17:</w:t>
            </w:r>
            <w:r>
              <w:rPr>
                <w:rFonts w:ascii="Arabic Typesetting" w:hAnsi="Arabic Typesetting" w:cs="Arabic Typesetting"/>
                <w:i/>
                <w:iCs/>
                <w:sz w:val="28"/>
                <w:szCs w:val="28"/>
                <w:rtl/>
                <w:lang w:bidi="ar-EG"/>
              </w:rPr>
              <w:br/>
            </w:r>
            <w:r w:rsidRPr="00E07EE3">
              <w:rPr>
                <w:rFonts w:ascii="Arabic Typesetting" w:eastAsia="SimSun" w:hAnsi="Arabic Typesetting" w:cs="Arabic Typesetting"/>
                <w:color w:val="000000"/>
                <w:sz w:val="28"/>
                <w:szCs w:val="28"/>
                <w:rtl/>
              </w:rPr>
              <w:t>95.3% (2014)</w:t>
            </w:r>
          </w:p>
        </w:tc>
        <w:tc>
          <w:tcPr>
            <w:tcW w:w="1427" w:type="dxa"/>
          </w:tcPr>
          <w:p w14:paraId="239C32F8" w14:textId="132BEDAD" w:rsidR="00E6194D" w:rsidRPr="00823608" w:rsidRDefault="00E6194D" w:rsidP="00E6194D">
            <w:pPr>
              <w:bidi/>
              <w:spacing w:after="120" w:line="280" w:lineRule="exact"/>
              <w:rPr>
                <w:rFonts w:ascii="Arabic Typesetting" w:hAnsi="Arabic Typesetting" w:cs="Arabic Typesetting"/>
                <w:color w:val="002060"/>
                <w:sz w:val="28"/>
                <w:szCs w:val="28"/>
                <w:rtl/>
                <w:lang w:bidi="ar-EG"/>
              </w:rPr>
            </w:pPr>
            <w:r w:rsidRPr="00823608">
              <w:rPr>
                <w:rFonts w:ascii="Arabic Typesetting" w:hAnsi="Arabic Typesetting" w:cs="Arabic Typesetting" w:hint="cs"/>
                <w:i/>
                <w:iCs/>
                <w:color w:val="002060"/>
                <w:sz w:val="28"/>
                <w:szCs w:val="28"/>
                <w:rtl/>
                <w:lang w:bidi="ar-EG"/>
              </w:rPr>
              <w:t>الهدف المحدَّث:</w:t>
            </w:r>
            <w:r>
              <w:rPr>
                <w:rFonts w:ascii="Arabic Typesetting" w:hAnsi="Arabic Typesetting" w:cs="Arabic Typesetting"/>
                <w:i/>
                <w:iCs/>
                <w:color w:val="002060"/>
                <w:sz w:val="28"/>
                <w:szCs w:val="28"/>
                <w:rtl/>
                <w:lang w:bidi="ar-EG"/>
              </w:rPr>
              <w:br/>
            </w:r>
            <w:r>
              <w:rPr>
                <w:rFonts w:ascii="Arabic Typesetting" w:hAnsi="Arabic Typesetting" w:cs="Arabic Typesetting" w:hint="cs"/>
                <w:color w:val="002060"/>
                <w:sz w:val="28"/>
                <w:szCs w:val="28"/>
                <w:rtl/>
                <w:lang w:bidi="ar-EG"/>
              </w:rPr>
              <w:t>97</w:t>
            </w:r>
            <w:r w:rsidRPr="00823608">
              <w:rPr>
                <w:rFonts w:ascii="Arabic Typesetting" w:hAnsi="Arabic Typesetting" w:cs="Arabic Typesetting" w:hint="cs"/>
                <w:color w:val="002060"/>
                <w:sz w:val="28"/>
                <w:szCs w:val="28"/>
                <w:rtl/>
                <w:lang w:bidi="ar-EG"/>
              </w:rPr>
              <w:t>% (</w:t>
            </w:r>
            <w:r>
              <w:rPr>
                <w:rFonts w:ascii="Arabic Typesetting" w:hAnsi="Arabic Typesetting" w:cs="Arabic Typesetting" w:hint="cs"/>
                <w:color w:val="002060"/>
                <w:sz w:val="28"/>
                <w:szCs w:val="28"/>
                <w:rtl/>
                <w:lang w:bidi="ar-EG"/>
              </w:rPr>
              <w:t>+</w:t>
            </w:r>
            <w:r w:rsidRPr="00823608">
              <w:rPr>
                <w:rFonts w:ascii="Arabic Typesetting" w:hAnsi="Arabic Typesetting" w:cs="Arabic Typesetting" w:hint="cs"/>
                <w:color w:val="002060"/>
                <w:sz w:val="28"/>
                <w:szCs w:val="28"/>
                <w:rtl/>
                <w:lang w:bidi="ar-EG"/>
              </w:rPr>
              <w:t>/- 2%)</w:t>
            </w:r>
          </w:p>
          <w:p w14:paraId="1C12DB2D" w14:textId="1A07311F" w:rsidR="00CE6E0B" w:rsidRPr="00E07EE3" w:rsidRDefault="00E6194D" w:rsidP="00E6194D">
            <w:pPr>
              <w:widowControl w:val="0"/>
              <w:autoSpaceDE w:val="0"/>
              <w:autoSpaceDN w:val="0"/>
              <w:bidi/>
              <w:adjustRightInd w:val="0"/>
              <w:spacing w:after="120" w:line="280" w:lineRule="exact"/>
              <w:rPr>
                <w:rFonts w:ascii="Arabic Typesetting" w:eastAsia="SimSun" w:hAnsi="Arabic Typesetting" w:cs="Arabic Typesetting"/>
                <w:color w:val="000000"/>
                <w:sz w:val="28"/>
                <w:szCs w:val="28"/>
              </w:rPr>
            </w:pPr>
            <w:r>
              <w:rPr>
                <w:rFonts w:ascii="Arabic Typesetting" w:hAnsi="Arabic Typesetting" w:cs="Arabic Typesetting"/>
                <w:i/>
                <w:iCs/>
                <w:sz w:val="28"/>
                <w:szCs w:val="28"/>
                <w:rtl/>
                <w:lang w:bidi="ar-EG"/>
              </w:rPr>
              <w:t>أساس المقارنة الأصلي</w:t>
            </w:r>
            <w:r w:rsidRPr="00E07EE3">
              <w:rPr>
                <w:rFonts w:ascii="Arabic Typesetting" w:hAnsi="Arabic Typesetting" w:cs="Arabic Typesetting"/>
                <w:i/>
                <w:iCs/>
                <w:sz w:val="28"/>
                <w:szCs w:val="28"/>
                <w:rtl/>
                <w:lang w:bidi="ar-EG"/>
              </w:rPr>
              <w:t>:</w:t>
            </w:r>
            <w:r>
              <w:rPr>
                <w:rFonts w:ascii="Arabic Typesetting" w:hAnsi="Arabic Typesetting" w:cs="Arabic Typesetting" w:hint="cs"/>
                <w:i/>
                <w:iCs/>
                <w:sz w:val="28"/>
                <w:szCs w:val="28"/>
                <w:rtl/>
                <w:lang w:bidi="ar-EG"/>
              </w:rPr>
              <w:br/>
            </w:r>
            <w:r w:rsidRPr="00E07EE3">
              <w:rPr>
                <w:rFonts w:ascii="Arabic Typesetting" w:hAnsi="Arabic Typesetting" w:cs="Arabic Typesetting"/>
                <w:i/>
                <w:iCs/>
                <w:sz w:val="28"/>
                <w:szCs w:val="28"/>
                <w:rtl/>
                <w:lang w:bidi="ar-EG"/>
              </w:rPr>
              <w:t>برنامج</w:t>
            </w:r>
            <w:r>
              <w:rPr>
                <w:rFonts w:ascii="Arabic Typesetting" w:hAnsi="Arabic Typesetting" w:cs="Arabic Typesetting" w:hint="cs"/>
                <w:i/>
                <w:iCs/>
                <w:sz w:val="28"/>
                <w:szCs w:val="28"/>
                <w:rtl/>
                <w:lang w:bidi="ar-EG"/>
              </w:rPr>
              <w:t> </w:t>
            </w:r>
            <w:r w:rsidRPr="00E07EE3">
              <w:rPr>
                <w:rFonts w:ascii="Arabic Typesetting" w:hAnsi="Arabic Typesetting" w:cs="Arabic Typesetting"/>
                <w:i/>
                <w:iCs/>
                <w:sz w:val="28"/>
                <w:szCs w:val="28"/>
                <w:rtl/>
                <w:lang w:bidi="ar-EG"/>
              </w:rPr>
              <w:t>وميزانية 2016/17:</w:t>
            </w:r>
            <w:r>
              <w:rPr>
                <w:rFonts w:ascii="Arabic Typesetting" w:hAnsi="Arabic Typesetting" w:cs="Arabic Typesetting" w:hint="cs"/>
                <w:i/>
                <w:iCs/>
                <w:sz w:val="28"/>
                <w:szCs w:val="28"/>
                <w:rtl/>
                <w:lang w:bidi="ar-EG"/>
              </w:rPr>
              <w:br/>
            </w:r>
            <w:r w:rsidR="00CE6E0B" w:rsidRPr="00E07EE3">
              <w:rPr>
                <w:rFonts w:ascii="Arabic Typesetting" w:hAnsi="Arabic Typesetting" w:cs="Arabic Typesetting"/>
                <w:sz w:val="28"/>
                <w:szCs w:val="28"/>
                <w:rtl/>
              </w:rPr>
              <w:t>مستويات أكبر في خدمات أنظمة المعلومات</w:t>
            </w:r>
          </w:p>
        </w:tc>
        <w:tc>
          <w:tcPr>
            <w:tcW w:w="2095" w:type="dxa"/>
            <w:tcMar>
              <w:top w:w="110" w:type="dxa"/>
            </w:tcMar>
          </w:tcPr>
          <w:p w14:paraId="1A6F0253" w14:textId="1A8E1582" w:rsidR="00CE6E0B" w:rsidRPr="00E07EE3" w:rsidRDefault="00CE6E0B" w:rsidP="00E6194D">
            <w:pPr>
              <w:keepNext/>
              <w:keepLines/>
              <w:bidi/>
              <w:spacing w:after="120" w:line="280" w:lineRule="exact"/>
              <w:rPr>
                <w:rFonts w:ascii="Arabic Typesetting" w:hAnsi="Arabic Typesetting" w:cs="Arabic Typesetting"/>
                <w:color w:val="000000"/>
                <w:sz w:val="28"/>
                <w:szCs w:val="28"/>
              </w:rPr>
            </w:pPr>
            <w:r w:rsidRPr="00E07EE3">
              <w:rPr>
                <w:rFonts w:ascii="Arabic Typesetting" w:hAnsi="Arabic Typesetting" w:cs="Arabic Typesetting"/>
                <w:color w:val="000000"/>
                <w:sz w:val="28"/>
                <w:szCs w:val="28"/>
                <w:rtl/>
              </w:rPr>
              <w:t>97.1%</w:t>
            </w:r>
          </w:p>
        </w:tc>
        <w:tc>
          <w:tcPr>
            <w:tcW w:w="846" w:type="dxa"/>
            <w:tcMar>
              <w:top w:w="110" w:type="dxa"/>
            </w:tcMar>
          </w:tcPr>
          <w:p w14:paraId="2FB8EDBD" w14:textId="77777777" w:rsidR="00CE6E0B" w:rsidRPr="00E07EE3" w:rsidRDefault="00CE6E0B" w:rsidP="0031289D">
            <w:pPr>
              <w:keepNext/>
              <w:bidi/>
              <w:spacing w:after="120" w:line="280" w:lineRule="exact"/>
              <w:rPr>
                <w:rFonts w:ascii="Arabic Typesetting" w:hAnsi="Arabic Typesetting" w:cs="Arabic Typesetting"/>
                <w:b/>
                <w:bCs/>
                <w:color w:val="00B050"/>
                <w:sz w:val="28"/>
                <w:szCs w:val="28"/>
                <w:rtl/>
                <w:lang w:bidi="ar-EG"/>
              </w:rPr>
            </w:pPr>
            <w:r w:rsidRPr="00E07EE3">
              <w:rPr>
                <w:rFonts w:ascii="Arabic Typesetting" w:hAnsi="Arabic Typesetting" w:cs="Arabic Typesetting"/>
                <w:b/>
                <w:bCs/>
                <w:color w:val="00B050"/>
                <w:sz w:val="28"/>
                <w:szCs w:val="28"/>
                <w:rtl/>
                <w:lang w:bidi="ar-EG"/>
              </w:rPr>
              <w:t>ثابت</w:t>
            </w:r>
          </w:p>
        </w:tc>
      </w:tr>
    </w:tbl>
    <w:p w14:paraId="66DC5BC6" w14:textId="77777777" w:rsidR="00CE6E0B" w:rsidRDefault="00CE6E0B" w:rsidP="0031289D">
      <w:pPr>
        <w:bidi/>
      </w:pPr>
    </w:p>
    <w:tbl>
      <w:tblPr>
        <w:tblStyle w:val="TableGrid"/>
        <w:bidiVisual/>
        <w:tblW w:w="0" w:type="auto"/>
        <w:tblLook w:val="04A0" w:firstRow="1" w:lastRow="0" w:firstColumn="1" w:lastColumn="0" w:noHBand="0" w:noVBand="1"/>
      </w:tblPr>
      <w:tblGrid>
        <w:gridCol w:w="9571"/>
      </w:tblGrid>
      <w:tr w:rsidR="00CE6E0B" w14:paraId="2521E67A" w14:textId="77777777" w:rsidTr="00BB3820">
        <w:tc>
          <w:tcPr>
            <w:tcW w:w="9571" w:type="dxa"/>
            <w:tcBorders>
              <w:top w:val="nil"/>
              <w:left w:val="nil"/>
              <w:bottom w:val="nil"/>
              <w:right w:val="nil"/>
            </w:tcBorders>
            <w:shd w:val="clear" w:color="auto" w:fill="C6D9F1"/>
            <w:vAlign w:val="center"/>
          </w:tcPr>
          <w:p w14:paraId="2EB9B357" w14:textId="77777777" w:rsidR="00CE6E0B" w:rsidRPr="00A2672B" w:rsidRDefault="00CE6E0B"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5</w:t>
            </w:r>
          </w:p>
        </w:tc>
      </w:tr>
    </w:tbl>
    <w:p w14:paraId="20938FF1" w14:textId="77777777" w:rsidR="00CE6E0B" w:rsidRPr="00FE3908"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5805DE2D" w14:textId="77777777" w:rsidR="00CE6E0B" w:rsidRDefault="00CE6E0B"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E6E0B" w:rsidRPr="00211D55" w14:paraId="2A627D90"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74294514"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6E4BFD35"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743DDEA6" w14:textId="77777777" w:rsidR="00CE6E0B" w:rsidRPr="00A2672B" w:rsidRDefault="00CE6E0B"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04938503"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CE6E0B" w:rsidRPr="00211D55" w14:paraId="716A71A1" w14:textId="77777777" w:rsidTr="00BB3820">
        <w:trPr>
          <w:trHeight w:val="55"/>
        </w:trPr>
        <w:tc>
          <w:tcPr>
            <w:tcW w:w="413" w:type="pct"/>
            <w:shd w:val="clear" w:color="auto" w:fill="auto"/>
            <w:noWrap/>
            <w:tcMar>
              <w:top w:w="15" w:type="dxa"/>
              <w:left w:w="15" w:type="dxa"/>
              <w:bottom w:w="0" w:type="dxa"/>
              <w:right w:w="15" w:type="dxa"/>
            </w:tcMar>
            <w:vAlign w:val="center"/>
          </w:tcPr>
          <w:p w14:paraId="1F77BD01" w14:textId="77777777" w:rsidR="00CE6E0B" w:rsidRPr="00211D55" w:rsidRDefault="00CE6E0B" w:rsidP="0031289D">
            <w:pPr>
              <w:bidi/>
              <w:spacing w:before="120" w:after="120"/>
              <w:rPr>
                <w:rFonts w:ascii="Arabic Typesetting" w:hAnsi="Arabic Typesetting" w:cs="Arabic Typesetting"/>
                <w:sz w:val="28"/>
                <w:szCs w:val="28"/>
              </w:rPr>
            </w:pPr>
            <w:r w:rsidRPr="00530066">
              <w:rPr>
                <w:rFonts w:ascii="Arabic Typesetting" w:hAnsi="Arabic Typesetting" w:cs="Arabic Typesetting"/>
                <w:sz w:val="28"/>
                <w:szCs w:val="28"/>
                <w:rtl/>
              </w:rPr>
              <w:t>ھ1.2</w:t>
            </w:r>
          </w:p>
        </w:tc>
        <w:tc>
          <w:tcPr>
            <w:tcW w:w="2340" w:type="pct"/>
            <w:shd w:val="clear" w:color="auto" w:fill="auto"/>
            <w:tcMar>
              <w:top w:w="15" w:type="dxa"/>
              <w:left w:w="15" w:type="dxa"/>
              <w:bottom w:w="0" w:type="dxa"/>
              <w:right w:w="15" w:type="dxa"/>
            </w:tcMar>
            <w:vAlign w:val="center"/>
          </w:tcPr>
          <w:p w14:paraId="4F9A91F9" w14:textId="77777777" w:rsidR="00CE6E0B" w:rsidRPr="00211D55" w:rsidRDefault="00CE6E0B" w:rsidP="0031289D">
            <w:pPr>
              <w:bidi/>
              <w:spacing w:before="120" w:after="120"/>
              <w:rPr>
                <w:rFonts w:ascii="Arabic Typesetting" w:hAnsi="Arabic Typesetting" w:cs="Arabic Typesetting"/>
                <w:sz w:val="28"/>
                <w:szCs w:val="28"/>
              </w:rPr>
            </w:pPr>
            <w:r w:rsidRPr="006F1A05">
              <w:rPr>
                <w:rFonts w:ascii="Arabic Typesetting" w:hAnsi="Arabic Typesetting" w:cs="Arabic Typesetting"/>
                <w:sz w:val="28"/>
                <w:szCs w:val="28"/>
                <w:rtl/>
              </w:rPr>
              <w:t>استخدام نظام معاهدة التعاون بشأن البراءات على نطاق أوسع وبفعالية أكبر لإيداع طلبات البراءات الدولية</w:t>
            </w:r>
          </w:p>
        </w:tc>
        <w:tc>
          <w:tcPr>
            <w:tcW w:w="749" w:type="pct"/>
            <w:shd w:val="clear" w:color="auto" w:fill="auto"/>
            <w:tcMar>
              <w:top w:w="15" w:type="dxa"/>
              <w:left w:w="15" w:type="dxa"/>
              <w:bottom w:w="0" w:type="dxa"/>
              <w:right w:w="15" w:type="dxa"/>
            </w:tcMar>
            <w:vAlign w:val="center"/>
          </w:tcPr>
          <w:p w14:paraId="77DEE9A7"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27</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129</w:t>
            </w:r>
          </w:p>
        </w:tc>
        <w:tc>
          <w:tcPr>
            <w:tcW w:w="749" w:type="pct"/>
            <w:shd w:val="clear" w:color="auto" w:fill="auto"/>
            <w:tcMar>
              <w:top w:w="15" w:type="dxa"/>
              <w:left w:w="15" w:type="dxa"/>
              <w:bottom w:w="0" w:type="dxa"/>
              <w:right w:w="15" w:type="dxa"/>
            </w:tcMar>
            <w:vAlign w:val="center"/>
          </w:tcPr>
          <w:p w14:paraId="3DB69099"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26</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074</w:t>
            </w:r>
          </w:p>
        </w:tc>
        <w:tc>
          <w:tcPr>
            <w:tcW w:w="749" w:type="pct"/>
            <w:shd w:val="clear" w:color="auto" w:fill="auto"/>
            <w:noWrap/>
            <w:tcMar>
              <w:top w:w="15" w:type="dxa"/>
              <w:left w:w="15" w:type="dxa"/>
              <w:bottom w:w="0" w:type="dxa"/>
              <w:right w:w="15" w:type="dxa"/>
            </w:tcMar>
            <w:vAlign w:val="center"/>
          </w:tcPr>
          <w:p w14:paraId="1FD60AD6"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11</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973</w:t>
            </w:r>
          </w:p>
        </w:tc>
      </w:tr>
      <w:tr w:rsidR="00CE6E0B" w:rsidRPr="00211D55" w14:paraId="4E11C98D" w14:textId="77777777" w:rsidTr="00BB3820">
        <w:trPr>
          <w:trHeight w:val="55"/>
        </w:trPr>
        <w:tc>
          <w:tcPr>
            <w:tcW w:w="413" w:type="pct"/>
            <w:shd w:val="clear" w:color="auto" w:fill="auto"/>
            <w:noWrap/>
            <w:tcMar>
              <w:top w:w="15" w:type="dxa"/>
              <w:left w:w="15" w:type="dxa"/>
              <w:bottom w:w="0" w:type="dxa"/>
              <w:right w:w="15" w:type="dxa"/>
            </w:tcMar>
            <w:vAlign w:val="center"/>
          </w:tcPr>
          <w:p w14:paraId="1B962F0B" w14:textId="77777777" w:rsidR="00CE6E0B" w:rsidRPr="00211D55" w:rsidRDefault="00CE6E0B" w:rsidP="0031289D">
            <w:pPr>
              <w:bidi/>
              <w:spacing w:before="120" w:after="120"/>
              <w:rPr>
                <w:rFonts w:ascii="Arabic Typesetting" w:hAnsi="Arabic Typesetting" w:cs="Arabic Typesetting"/>
                <w:sz w:val="28"/>
                <w:szCs w:val="28"/>
              </w:rPr>
            </w:pPr>
            <w:r w:rsidRPr="00530066">
              <w:rPr>
                <w:rFonts w:ascii="Arabic Typesetting" w:hAnsi="Arabic Typesetting" w:cs="Arabic Typesetting"/>
                <w:sz w:val="28"/>
                <w:szCs w:val="28"/>
                <w:rtl/>
              </w:rPr>
              <w:t>ه3.2</w:t>
            </w:r>
          </w:p>
        </w:tc>
        <w:tc>
          <w:tcPr>
            <w:tcW w:w="2340" w:type="pct"/>
            <w:shd w:val="clear" w:color="auto" w:fill="auto"/>
            <w:tcMar>
              <w:top w:w="15" w:type="dxa"/>
              <w:left w:w="15" w:type="dxa"/>
              <w:bottom w:w="0" w:type="dxa"/>
              <w:right w:w="15" w:type="dxa"/>
            </w:tcMar>
            <w:vAlign w:val="center"/>
          </w:tcPr>
          <w:p w14:paraId="6B976EB8" w14:textId="77777777" w:rsidR="00CE6E0B" w:rsidRPr="00211D55" w:rsidRDefault="00CE6E0B" w:rsidP="0031289D">
            <w:pPr>
              <w:bidi/>
              <w:spacing w:before="120" w:after="120"/>
              <w:rPr>
                <w:rFonts w:ascii="Arabic Typesetting" w:hAnsi="Arabic Typesetting" w:cs="Arabic Typesetting"/>
                <w:sz w:val="28"/>
                <w:szCs w:val="28"/>
              </w:rPr>
            </w:pPr>
            <w:r w:rsidRPr="00093853">
              <w:rPr>
                <w:rFonts w:ascii="Arabic Typesetting" w:hAnsi="Arabic Typesetting" w:cs="Arabic Typesetting"/>
                <w:sz w:val="28"/>
                <w:szCs w:val="28"/>
                <w:rtl/>
              </w:rPr>
              <w:t>إنتاجية وجودة خدمات محسّنة في عمليات معاهدة التعاون بشأن البراءات</w:t>
            </w:r>
          </w:p>
        </w:tc>
        <w:tc>
          <w:tcPr>
            <w:tcW w:w="749" w:type="pct"/>
            <w:shd w:val="clear" w:color="auto" w:fill="auto"/>
            <w:tcMar>
              <w:top w:w="15" w:type="dxa"/>
              <w:left w:w="15" w:type="dxa"/>
              <w:bottom w:w="0" w:type="dxa"/>
              <w:right w:w="15" w:type="dxa"/>
            </w:tcMar>
            <w:vAlign w:val="center"/>
          </w:tcPr>
          <w:p w14:paraId="2B7F6BC0"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181</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080</w:t>
            </w:r>
          </w:p>
        </w:tc>
        <w:tc>
          <w:tcPr>
            <w:tcW w:w="749" w:type="pct"/>
            <w:shd w:val="clear" w:color="auto" w:fill="auto"/>
            <w:tcMar>
              <w:top w:w="15" w:type="dxa"/>
              <w:left w:w="15" w:type="dxa"/>
              <w:bottom w:w="0" w:type="dxa"/>
              <w:right w:w="15" w:type="dxa"/>
            </w:tcMar>
            <w:vAlign w:val="center"/>
          </w:tcPr>
          <w:p w14:paraId="52557599"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177</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330</w:t>
            </w:r>
          </w:p>
        </w:tc>
        <w:tc>
          <w:tcPr>
            <w:tcW w:w="749" w:type="pct"/>
            <w:shd w:val="clear" w:color="auto" w:fill="auto"/>
            <w:noWrap/>
            <w:tcMar>
              <w:top w:w="15" w:type="dxa"/>
              <w:left w:w="15" w:type="dxa"/>
              <w:bottom w:w="0" w:type="dxa"/>
              <w:right w:w="15" w:type="dxa"/>
            </w:tcMar>
            <w:vAlign w:val="center"/>
          </w:tcPr>
          <w:p w14:paraId="338D480C"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81</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888</w:t>
            </w:r>
          </w:p>
        </w:tc>
      </w:tr>
      <w:tr w:rsidR="00CE6E0B" w:rsidRPr="00211D55" w14:paraId="389211A7"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1B6E1438" w14:textId="77777777" w:rsidR="00CE6E0B" w:rsidRPr="00211D55" w:rsidRDefault="00CE6E0B"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690A74B2" w14:textId="77777777" w:rsidR="00CE6E0B" w:rsidRPr="00D41845" w:rsidRDefault="00CE6E0B" w:rsidP="0031289D">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512BAE06" w14:textId="77777777" w:rsidR="00CE6E0B" w:rsidRPr="00462798" w:rsidRDefault="00CE6E0B" w:rsidP="0031289D">
            <w:pPr>
              <w:jc w:val="center"/>
              <w:rPr>
                <w:rFonts w:ascii="Arabic Typesetting" w:hAnsi="Arabic Typesetting" w:cs="Arabic Typesetting"/>
                <w:b/>
                <w:bCs/>
                <w:color w:val="000000"/>
                <w:sz w:val="28"/>
                <w:szCs w:val="28"/>
              </w:rPr>
            </w:pPr>
            <w:r w:rsidRPr="00462798">
              <w:rPr>
                <w:rFonts w:ascii="Arabic Typesetting" w:hAnsi="Arabic Typesetting" w:cs="Arabic Typesetting"/>
                <w:b/>
                <w:bCs/>
                <w:color w:val="000000"/>
                <w:sz w:val="28"/>
                <w:szCs w:val="28"/>
              </w:rPr>
              <w:t>208</w:t>
            </w:r>
            <w:r>
              <w:rPr>
                <w:rFonts w:ascii="Arabic Typesetting" w:hAnsi="Arabic Typesetting" w:cs="Arabic Typesetting"/>
                <w:b/>
                <w:bCs/>
                <w:color w:val="000000"/>
                <w:sz w:val="28"/>
                <w:szCs w:val="28"/>
              </w:rPr>
              <w:t> </w:t>
            </w:r>
            <w:r w:rsidRPr="00462798">
              <w:rPr>
                <w:rFonts w:ascii="Arabic Typesetting" w:hAnsi="Arabic Typesetting" w:cs="Arabic Typesetting"/>
                <w:b/>
                <w:bCs/>
                <w:color w:val="000000"/>
                <w:sz w:val="28"/>
                <w:szCs w:val="28"/>
              </w:rPr>
              <w:t>209</w:t>
            </w:r>
          </w:p>
        </w:tc>
        <w:tc>
          <w:tcPr>
            <w:tcW w:w="749" w:type="pct"/>
            <w:shd w:val="clear" w:color="auto" w:fill="C6D9F1"/>
            <w:noWrap/>
            <w:tcMar>
              <w:top w:w="15" w:type="dxa"/>
              <w:left w:w="15" w:type="dxa"/>
              <w:bottom w:w="0" w:type="dxa"/>
              <w:right w:w="15" w:type="dxa"/>
            </w:tcMar>
            <w:vAlign w:val="center"/>
          </w:tcPr>
          <w:p w14:paraId="13C00276" w14:textId="77777777" w:rsidR="00CE6E0B" w:rsidRPr="00462798" w:rsidRDefault="00CE6E0B" w:rsidP="0031289D">
            <w:pPr>
              <w:jc w:val="center"/>
              <w:rPr>
                <w:rFonts w:ascii="Arabic Typesetting" w:hAnsi="Arabic Typesetting" w:cs="Arabic Typesetting"/>
                <w:b/>
                <w:bCs/>
                <w:color w:val="000000"/>
                <w:sz w:val="28"/>
                <w:szCs w:val="28"/>
              </w:rPr>
            </w:pPr>
            <w:r w:rsidRPr="00462798">
              <w:rPr>
                <w:rFonts w:ascii="Arabic Typesetting" w:hAnsi="Arabic Typesetting" w:cs="Arabic Typesetting"/>
                <w:b/>
                <w:bCs/>
                <w:color w:val="000000"/>
                <w:sz w:val="28"/>
                <w:szCs w:val="28"/>
              </w:rPr>
              <w:t>203</w:t>
            </w:r>
            <w:r>
              <w:rPr>
                <w:rFonts w:ascii="Arabic Typesetting" w:hAnsi="Arabic Typesetting" w:cs="Arabic Typesetting"/>
                <w:b/>
                <w:bCs/>
                <w:color w:val="000000"/>
                <w:sz w:val="28"/>
                <w:szCs w:val="28"/>
              </w:rPr>
              <w:t> </w:t>
            </w:r>
            <w:r w:rsidRPr="00462798">
              <w:rPr>
                <w:rFonts w:ascii="Arabic Typesetting" w:hAnsi="Arabic Typesetting" w:cs="Arabic Typesetting"/>
                <w:b/>
                <w:bCs/>
                <w:color w:val="000000"/>
                <w:sz w:val="28"/>
                <w:szCs w:val="28"/>
              </w:rPr>
              <w:t>404</w:t>
            </w:r>
          </w:p>
        </w:tc>
        <w:tc>
          <w:tcPr>
            <w:tcW w:w="749" w:type="pct"/>
            <w:shd w:val="clear" w:color="auto" w:fill="C6D9F1"/>
            <w:noWrap/>
            <w:tcMar>
              <w:top w:w="15" w:type="dxa"/>
              <w:left w:w="15" w:type="dxa"/>
              <w:bottom w:w="0" w:type="dxa"/>
              <w:right w:w="15" w:type="dxa"/>
            </w:tcMar>
            <w:vAlign w:val="center"/>
          </w:tcPr>
          <w:p w14:paraId="482B1A05" w14:textId="77777777" w:rsidR="00CE6E0B" w:rsidRPr="00462798" w:rsidRDefault="00CE6E0B" w:rsidP="0031289D">
            <w:pPr>
              <w:jc w:val="center"/>
              <w:rPr>
                <w:rFonts w:ascii="Arabic Typesetting" w:hAnsi="Arabic Typesetting" w:cs="Arabic Typesetting"/>
                <w:b/>
                <w:bCs/>
                <w:color w:val="000000"/>
                <w:sz w:val="28"/>
                <w:szCs w:val="28"/>
              </w:rPr>
            </w:pPr>
            <w:r w:rsidRPr="00462798">
              <w:rPr>
                <w:rFonts w:ascii="Arabic Typesetting" w:hAnsi="Arabic Typesetting" w:cs="Arabic Typesetting"/>
                <w:b/>
                <w:bCs/>
                <w:color w:val="000000"/>
                <w:sz w:val="28"/>
                <w:szCs w:val="28"/>
              </w:rPr>
              <w:t>93</w:t>
            </w:r>
            <w:r>
              <w:rPr>
                <w:rFonts w:ascii="Arabic Typesetting" w:hAnsi="Arabic Typesetting" w:cs="Arabic Typesetting"/>
                <w:b/>
                <w:bCs/>
                <w:color w:val="000000"/>
                <w:sz w:val="28"/>
                <w:szCs w:val="28"/>
              </w:rPr>
              <w:t> </w:t>
            </w:r>
            <w:r w:rsidRPr="00462798">
              <w:rPr>
                <w:rFonts w:ascii="Arabic Typesetting" w:hAnsi="Arabic Typesetting" w:cs="Arabic Typesetting"/>
                <w:b/>
                <w:bCs/>
                <w:color w:val="000000"/>
                <w:sz w:val="28"/>
                <w:szCs w:val="28"/>
              </w:rPr>
              <w:t>861</w:t>
            </w:r>
          </w:p>
        </w:tc>
      </w:tr>
      <w:tr w:rsidR="00CE6E0B" w:rsidRPr="00211D55" w14:paraId="0373D30A"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56BBF35B" w14:textId="77777777" w:rsidR="00CE6E0B" w:rsidRPr="00A2672B" w:rsidRDefault="00CE6E0B"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0D73C61B" w14:textId="77777777" w:rsidR="00CE6E0B" w:rsidRPr="00252762"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2D83B860" w14:textId="77777777" w:rsidR="00CE6E0B" w:rsidRPr="00DF1D8A" w:rsidRDefault="00CE6E0B"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CE6E0B" w:rsidRPr="00211D55" w14:paraId="75665B3B" w14:textId="77777777" w:rsidTr="00BB3820">
        <w:trPr>
          <w:trHeight w:val="645"/>
        </w:trPr>
        <w:tc>
          <w:tcPr>
            <w:tcW w:w="1118" w:type="pct"/>
            <w:shd w:val="clear" w:color="auto" w:fill="C6D9F1"/>
            <w:noWrap/>
            <w:vAlign w:val="center"/>
            <w:hideMark/>
          </w:tcPr>
          <w:p w14:paraId="3145080D" w14:textId="77777777" w:rsidR="00CE6E0B" w:rsidRPr="00211D55" w:rsidRDefault="00CE6E0B"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4052B802"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406A0409"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3E29A8E8"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5F41ABBD"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CE6E0B" w:rsidRPr="00211D55" w14:paraId="7400181F" w14:textId="77777777" w:rsidTr="00BB3820">
        <w:trPr>
          <w:trHeight w:val="70"/>
        </w:trPr>
        <w:tc>
          <w:tcPr>
            <w:tcW w:w="1118" w:type="pct"/>
            <w:shd w:val="clear" w:color="auto" w:fill="auto"/>
            <w:noWrap/>
            <w:vAlign w:val="center"/>
            <w:hideMark/>
          </w:tcPr>
          <w:p w14:paraId="72C6E403"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5326316A"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133</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 xml:space="preserve">970 </w:t>
            </w:r>
          </w:p>
        </w:tc>
        <w:tc>
          <w:tcPr>
            <w:tcW w:w="971" w:type="pct"/>
            <w:shd w:val="clear" w:color="auto" w:fill="auto"/>
            <w:vAlign w:val="center"/>
          </w:tcPr>
          <w:p w14:paraId="7B427FC1"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129</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 xml:space="preserve">909 </w:t>
            </w:r>
          </w:p>
        </w:tc>
        <w:tc>
          <w:tcPr>
            <w:tcW w:w="970" w:type="pct"/>
            <w:shd w:val="clear" w:color="auto" w:fill="auto"/>
            <w:vAlign w:val="center"/>
          </w:tcPr>
          <w:p w14:paraId="412BFD8F"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59</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 xml:space="preserve">294 </w:t>
            </w:r>
          </w:p>
        </w:tc>
        <w:tc>
          <w:tcPr>
            <w:tcW w:w="970" w:type="pct"/>
            <w:shd w:val="clear" w:color="auto" w:fill="auto"/>
            <w:vAlign w:val="center"/>
          </w:tcPr>
          <w:p w14:paraId="4FAB26E6" w14:textId="77777777" w:rsidR="00CE6E0B" w:rsidRPr="00462798" w:rsidRDefault="00CE6E0B" w:rsidP="0031289D">
            <w:pPr>
              <w:bidi/>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%46</w:t>
            </w:r>
          </w:p>
        </w:tc>
      </w:tr>
      <w:tr w:rsidR="00CE6E0B" w:rsidRPr="00211D55" w14:paraId="4895317F" w14:textId="77777777" w:rsidTr="00BB3820">
        <w:trPr>
          <w:trHeight w:val="70"/>
        </w:trPr>
        <w:tc>
          <w:tcPr>
            <w:tcW w:w="1118" w:type="pct"/>
            <w:shd w:val="clear" w:color="auto" w:fill="auto"/>
            <w:noWrap/>
            <w:vAlign w:val="center"/>
            <w:hideMark/>
          </w:tcPr>
          <w:p w14:paraId="42AA63E8"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1DC7A4DC"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74</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 xml:space="preserve">239 </w:t>
            </w:r>
          </w:p>
        </w:tc>
        <w:tc>
          <w:tcPr>
            <w:tcW w:w="971" w:type="pct"/>
            <w:shd w:val="clear" w:color="auto" w:fill="auto"/>
            <w:vAlign w:val="center"/>
          </w:tcPr>
          <w:p w14:paraId="0F0C3CC7"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73</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 xml:space="preserve">495 </w:t>
            </w:r>
          </w:p>
        </w:tc>
        <w:tc>
          <w:tcPr>
            <w:tcW w:w="970" w:type="pct"/>
            <w:shd w:val="clear" w:color="auto" w:fill="auto"/>
            <w:vAlign w:val="center"/>
          </w:tcPr>
          <w:p w14:paraId="63846240" w14:textId="77777777" w:rsidR="00CE6E0B" w:rsidRPr="00462798" w:rsidRDefault="00CE6E0B" w:rsidP="0031289D">
            <w:pPr>
              <w:jc w:val="center"/>
              <w:rPr>
                <w:rFonts w:ascii="Arabic Typesetting" w:hAnsi="Arabic Typesetting" w:cs="Arabic Typesetting"/>
                <w:color w:val="000000"/>
                <w:sz w:val="28"/>
                <w:szCs w:val="28"/>
              </w:rPr>
            </w:pPr>
            <w:r w:rsidRPr="00462798">
              <w:rPr>
                <w:rFonts w:ascii="Arabic Typesetting" w:hAnsi="Arabic Typesetting" w:cs="Arabic Typesetting"/>
                <w:color w:val="000000"/>
                <w:sz w:val="28"/>
                <w:szCs w:val="28"/>
              </w:rPr>
              <w:t>34</w:t>
            </w:r>
            <w:r>
              <w:rPr>
                <w:rFonts w:ascii="Arabic Typesetting" w:hAnsi="Arabic Typesetting" w:cs="Arabic Typesetting"/>
                <w:color w:val="000000"/>
                <w:sz w:val="28"/>
                <w:szCs w:val="28"/>
              </w:rPr>
              <w:t> </w:t>
            </w:r>
            <w:r w:rsidRPr="00462798">
              <w:rPr>
                <w:rFonts w:ascii="Arabic Typesetting" w:hAnsi="Arabic Typesetting" w:cs="Arabic Typesetting"/>
                <w:color w:val="000000"/>
                <w:sz w:val="28"/>
                <w:szCs w:val="28"/>
              </w:rPr>
              <w:t xml:space="preserve">567 </w:t>
            </w:r>
          </w:p>
        </w:tc>
        <w:tc>
          <w:tcPr>
            <w:tcW w:w="970" w:type="pct"/>
            <w:shd w:val="clear" w:color="auto" w:fill="auto"/>
            <w:vAlign w:val="center"/>
          </w:tcPr>
          <w:p w14:paraId="68BA27C9" w14:textId="77777777" w:rsidR="00CE6E0B" w:rsidRPr="00462798" w:rsidRDefault="00CE6E0B" w:rsidP="0031289D">
            <w:pPr>
              <w:bidi/>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%47</w:t>
            </w:r>
          </w:p>
        </w:tc>
      </w:tr>
      <w:tr w:rsidR="00CE6E0B" w:rsidRPr="00211D55" w14:paraId="6195C4B6" w14:textId="77777777" w:rsidTr="00AF6433">
        <w:trPr>
          <w:trHeight w:val="70"/>
        </w:trPr>
        <w:tc>
          <w:tcPr>
            <w:tcW w:w="1118" w:type="pct"/>
            <w:shd w:val="clear" w:color="auto" w:fill="C6D9F1"/>
            <w:noWrap/>
            <w:vAlign w:val="center"/>
            <w:hideMark/>
          </w:tcPr>
          <w:p w14:paraId="1E98A90F" w14:textId="77777777" w:rsidR="00CE6E0B" w:rsidRPr="00211D55" w:rsidRDefault="00CE6E0B"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619A68B5" w14:textId="77777777" w:rsidR="00CE6E0B" w:rsidRPr="00462798" w:rsidRDefault="00CE6E0B" w:rsidP="0031289D">
            <w:pPr>
              <w:jc w:val="center"/>
              <w:rPr>
                <w:rFonts w:ascii="Arabic Typesetting" w:hAnsi="Arabic Typesetting" w:cs="Arabic Typesetting"/>
                <w:b/>
                <w:bCs/>
                <w:color w:val="000000"/>
                <w:sz w:val="28"/>
                <w:szCs w:val="28"/>
              </w:rPr>
            </w:pPr>
            <w:r w:rsidRPr="00462798">
              <w:rPr>
                <w:rFonts w:ascii="Arabic Typesetting" w:hAnsi="Arabic Typesetting" w:cs="Arabic Typesetting"/>
                <w:b/>
                <w:bCs/>
                <w:color w:val="000000"/>
                <w:sz w:val="28"/>
                <w:szCs w:val="28"/>
              </w:rPr>
              <w:t>208</w:t>
            </w:r>
            <w:r>
              <w:rPr>
                <w:rFonts w:ascii="Arabic Typesetting" w:hAnsi="Arabic Typesetting" w:cs="Arabic Typesetting"/>
                <w:b/>
                <w:bCs/>
                <w:color w:val="000000"/>
                <w:sz w:val="28"/>
                <w:szCs w:val="28"/>
              </w:rPr>
              <w:t> </w:t>
            </w:r>
            <w:r w:rsidRPr="00462798">
              <w:rPr>
                <w:rFonts w:ascii="Arabic Typesetting" w:hAnsi="Arabic Typesetting" w:cs="Arabic Typesetting"/>
                <w:b/>
                <w:bCs/>
                <w:color w:val="000000"/>
                <w:sz w:val="28"/>
                <w:szCs w:val="28"/>
              </w:rPr>
              <w:t xml:space="preserve">209 </w:t>
            </w:r>
          </w:p>
        </w:tc>
        <w:tc>
          <w:tcPr>
            <w:tcW w:w="971" w:type="pct"/>
            <w:shd w:val="clear" w:color="auto" w:fill="C6D9F1"/>
            <w:vAlign w:val="center"/>
          </w:tcPr>
          <w:p w14:paraId="7BAFD3CC" w14:textId="77777777" w:rsidR="00CE6E0B" w:rsidRPr="00462798" w:rsidRDefault="00CE6E0B" w:rsidP="0031289D">
            <w:pPr>
              <w:jc w:val="center"/>
              <w:rPr>
                <w:rFonts w:ascii="Arabic Typesetting" w:hAnsi="Arabic Typesetting" w:cs="Arabic Typesetting"/>
                <w:b/>
                <w:bCs/>
                <w:color w:val="000000"/>
                <w:sz w:val="28"/>
                <w:szCs w:val="28"/>
              </w:rPr>
            </w:pPr>
            <w:r w:rsidRPr="00462798">
              <w:rPr>
                <w:rFonts w:ascii="Arabic Typesetting" w:hAnsi="Arabic Typesetting" w:cs="Arabic Typesetting"/>
                <w:b/>
                <w:bCs/>
                <w:color w:val="000000"/>
                <w:sz w:val="28"/>
                <w:szCs w:val="28"/>
              </w:rPr>
              <w:t>203</w:t>
            </w:r>
            <w:r>
              <w:rPr>
                <w:rFonts w:ascii="Arabic Typesetting" w:hAnsi="Arabic Typesetting" w:cs="Arabic Typesetting"/>
                <w:b/>
                <w:bCs/>
                <w:color w:val="000000"/>
                <w:sz w:val="28"/>
                <w:szCs w:val="28"/>
              </w:rPr>
              <w:t> </w:t>
            </w:r>
            <w:r w:rsidRPr="00462798">
              <w:rPr>
                <w:rFonts w:ascii="Arabic Typesetting" w:hAnsi="Arabic Typesetting" w:cs="Arabic Typesetting"/>
                <w:b/>
                <w:bCs/>
                <w:color w:val="000000"/>
                <w:sz w:val="28"/>
                <w:szCs w:val="28"/>
              </w:rPr>
              <w:t xml:space="preserve">404 </w:t>
            </w:r>
          </w:p>
        </w:tc>
        <w:tc>
          <w:tcPr>
            <w:tcW w:w="970" w:type="pct"/>
            <w:shd w:val="clear" w:color="auto" w:fill="C6D9F1"/>
            <w:vAlign w:val="center"/>
          </w:tcPr>
          <w:p w14:paraId="235D3677" w14:textId="77777777" w:rsidR="00CE6E0B" w:rsidRPr="00462798" w:rsidRDefault="00CE6E0B" w:rsidP="0031289D">
            <w:pPr>
              <w:jc w:val="center"/>
              <w:rPr>
                <w:rFonts w:ascii="Arabic Typesetting" w:hAnsi="Arabic Typesetting" w:cs="Arabic Typesetting"/>
                <w:b/>
                <w:bCs/>
                <w:color w:val="000000"/>
                <w:sz w:val="28"/>
                <w:szCs w:val="28"/>
              </w:rPr>
            </w:pPr>
            <w:r w:rsidRPr="00462798">
              <w:rPr>
                <w:rFonts w:ascii="Arabic Typesetting" w:hAnsi="Arabic Typesetting" w:cs="Arabic Typesetting"/>
                <w:b/>
                <w:bCs/>
                <w:color w:val="000000"/>
                <w:sz w:val="28"/>
                <w:szCs w:val="28"/>
              </w:rPr>
              <w:t>93</w:t>
            </w:r>
            <w:r>
              <w:rPr>
                <w:rFonts w:ascii="Arabic Typesetting" w:hAnsi="Arabic Typesetting" w:cs="Arabic Typesetting"/>
                <w:b/>
                <w:bCs/>
                <w:color w:val="000000"/>
                <w:sz w:val="28"/>
                <w:szCs w:val="28"/>
              </w:rPr>
              <w:t> </w:t>
            </w:r>
            <w:r w:rsidRPr="00462798">
              <w:rPr>
                <w:rFonts w:ascii="Arabic Typesetting" w:hAnsi="Arabic Typesetting" w:cs="Arabic Typesetting"/>
                <w:b/>
                <w:bCs/>
                <w:color w:val="000000"/>
                <w:sz w:val="28"/>
                <w:szCs w:val="28"/>
              </w:rPr>
              <w:t xml:space="preserve">861 </w:t>
            </w:r>
          </w:p>
        </w:tc>
        <w:tc>
          <w:tcPr>
            <w:tcW w:w="970" w:type="pct"/>
            <w:shd w:val="clear" w:color="auto" w:fill="C6D9F1"/>
            <w:vAlign w:val="center"/>
          </w:tcPr>
          <w:p w14:paraId="49FF48B9" w14:textId="77777777" w:rsidR="00CE6E0B" w:rsidRPr="00462798" w:rsidRDefault="00CE6E0B" w:rsidP="0031289D">
            <w:pPr>
              <w:bidi/>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%46</w:t>
            </w:r>
          </w:p>
        </w:tc>
      </w:tr>
      <w:tr w:rsidR="00CE6E0B" w:rsidRPr="00211D55" w14:paraId="1C93ACFE" w14:textId="77777777" w:rsidTr="00BB3820">
        <w:trPr>
          <w:trHeight w:val="540"/>
        </w:trPr>
        <w:tc>
          <w:tcPr>
            <w:tcW w:w="5000" w:type="pct"/>
            <w:gridSpan w:val="5"/>
            <w:shd w:val="clear" w:color="auto" w:fill="auto"/>
            <w:noWrap/>
            <w:vAlign w:val="center"/>
          </w:tcPr>
          <w:p w14:paraId="49A85C59" w14:textId="77777777" w:rsidR="00CE6E0B" w:rsidRDefault="00CE6E0B"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5AEBA131" w14:textId="77777777" w:rsidR="00CE6E0B" w:rsidRPr="00D41845" w:rsidRDefault="00CE6E0B"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 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68605E18" w14:textId="77777777" w:rsidR="00CE6E0B" w:rsidRPr="00706F20" w:rsidRDefault="00CE6E0B"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5406A60B" w14:textId="4C9E9DA9" w:rsidR="00CE6E0B" w:rsidRPr="00E6194D" w:rsidRDefault="00CE6E0B" w:rsidP="00D94CDB">
      <w:pPr>
        <w:numPr>
          <w:ilvl w:val="1"/>
          <w:numId w:val="75"/>
        </w:numPr>
        <w:bidi/>
        <w:spacing w:after="240" w:line="360" w:lineRule="exact"/>
        <w:ind w:left="0" w:hanging="1"/>
        <w:rPr>
          <w:rFonts w:ascii="Arabic Typesetting" w:hAnsi="Arabic Typesetting" w:cs="Arabic Typesetting"/>
          <w:sz w:val="34"/>
          <w:szCs w:val="34"/>
        </w:rPr>
      </w:pPr>
      <w:r w:rsidRPr="00E6194D">
        <w:rPr>
          <w:rFonts w:ascii="Arabic Typesetting" w:hAnsi="Arabic Typesetting" w:cs="Arabic Typesetting" w:hint="cs"/>
          <w:sz w:val="34"/>
          <w:szCs w:val="34"/>
          <w:rtl/>
        </w:rPr>
        <w:t>يُعزى الانخفاض الإجمالي في الميزانية بعد التحويلات مقارنة بالميزانية المعتمدة 2016/17 إلى</w:t>
      </w:r>
      <w:r w:rsidR="00E6194D">
        <w:rPr>
          <w:rFonts w:ascii="Arabic Typesetting" w:hAnsi="Arabic Typesetting" w:cs="Arabic Typesetting" w:hint="cs"/>
          <w:sz w:val="34"/>
          <w:szCs w:val="34"/>
          <w:rtl/>
        </w:rPr>
        <w:t xml:space="preserve"> التوجه المستمر</w:t>
      </w:r>
      <w:r w:rsidR="00E6194D" w:rsidRPr="00E6194D">
        <w:rPr>
          <w:rFonts w:ascii="Arabic Typesetting" w:hAnsi="Arabic Typesetting" w:cs="Arabic Typesetting" w:hint="cs"/>
          <w:sz w:val="34"/>
          <w:szCs w:val="34"/>
          <w:rtl/>
        </w:rPr>
        <w:t xml:space="preserve"> والطويل </w:t>
      </w:r>
      <w:r w:rsidR="00E6194D">
        <w:rPr>
          <w:rFonts w:ascii="Arabic Typesetting" w:hAnsi="Arabic Typesetting" w:cs="Arabic Typesetting" w:hint="cs"/>
          <w:sz w:val="34"/>
          <w:szCs w:val="34"/>
          <w:rtl/>
        </w:rPr>
        <w:t xml:space="preserve">نحو </w:t>
      </w:r>
      <w:r w:rsidR="00E6194D" w:rsidRPr="00E6194D">
        <w:rPr>
          <w:rFonts w:ascii="Arabic Typesetting" w:hAnsi="Arabic Typesetting" w:cs="Arabic Typesetting" w:hint="cs"/>
          <w:sz w:val="34"/>
          <w:szCs w:val="34"/>
          <w:rtl/>
        </w:rPr>
        <w:t xml:space="preserve">زيادة الإنتاجية في عمليات نظام معاهدة البراءات. وتجلى ذلك أساساً في </w:t>
      </w:r>
      <w:r w:rsidRPr="00E6194D">
        <w:rPr>
          <w:rFonts w:ascii="Arabic Typesetting" w:hAnsi="Arabic Typesetting" w:cs="Arabic Typesetting" w:hint="cs"/>
          <w:sz w:val="34"/>
          <w:szCs w:val="34"/>
          <w:rtl/>
        </w:rPr>
        <w:t xml:space="preserve">تخفيض في موارد الموظفين وهو النتيجة الصافية للتحويلات وإعادة تصنيف الوظائف والتسويات المنجزة للوظائف المستمرة وإعادة توزيع وفورات </w:t>
      </w:r>
      <w:r w:rsidRPr="00E6194D">
        <w:rPr>
          <w:rFonts w:ascii="Arabic Typesetting" w:hAnsi="Arabic Typesetting" w:cs="Arabic Typesetting" w:hint="cs"/>
          <w:sz w:val="34"/>
          <w:szCs w:val="34"/>
          <w:rtl/>
          <w:lang w:bidi="ar-EG"/>
        </w:rPr>
        <w:t>الموظفين</w:t>
      </w:r>
      <w:r w:rsidRPr="00E6194D">
        <w:rPr>
          <w:rFonts w:ascii="Arabic Typesetting" w:hAnsi="Arabic Typesetting" w:cs="Arabic Typesetting" w:hint="cs"/>
          <w:sz w:val="34"/>
          <w:szCs w:val="34"/>
          <w:rtl/>
        </w:rPr>
        <w:t xml:space="preserve"> المتراكمة (المحققة من الوظائف الشاغرة وترتيبات العمل بدوام جزئي) في البرنامج على أولويات تنظيمية أخرى. ويُعزى</w:t>
      </w:r>
      <w:r w:rsidRPr="00E6194D">
        <w:rPr>
          <w:rFonts w:ascii="Arabic Typesetting" w:hAnsi="Arabic Typesetting" w:cs="Arabic Typesetting" w:hint="eastAsia"/>
          <w:sz w:val="34"/>
          <w:szCs w:val="34"/>
          <w:rtl/>
        </w:rPr>
        <w:t> </w:t>
      </w:r>
      <w:r w:rsidRPr="00E6194D">
        <w:rPr>
          <w:rFonts w:ascii="Arabic Typesetting" w:hAnsi="Arabic Typesetting" w:cs="Arabic Typesetting" w:hint="cs"/>
          <w:sz w:val="34"/>
          <w:szCs w:val="34"/>
          <w:rtl/>
        </w:rPr>
        <w:t>انخفاض خلاف موارد الموظفين أساساً إلى انخفاض الميزانية المتوقعة المخصصة لخدمات الترجمة في إطار معاهدة البراءات تحسباً للوفور</w:t>
      </w:r>
      <w:r w:rsidR="00257704" w:rsidRPr="00E6194D">
        <w:rPr>
          <w:rFonts w:ascii="Arabic Typesetting" w:hAnsi="Arabic Typesetting" w:cs="Arabic Typesetting" w:hint="cs"/>
          <w:sz w:val="34"/>
          <w:szCs w:val="34"/>
          <w:rtl/>
          <w:lang w:bidi="ar-EG"/>
        </w:rPr>
        <w:t>ا</w:t>
      </w:r>
      <w:r w:rsidRPr="00E6194D">
        <w:rPr>
          <w:rFonts w:ascii="Arabic Typesetting" w:hAnsi="Arabic Typesetting" w:cs="Arabic Typesetting" w:hint="cs"/>
          <w:sz w:val="34"/>
          <w:szCs w:val="34"/>
          <w:rtl/>
        </w:rPr>
        <w:t>ت المتوقعة في تكاليف الترجمة.</w:t>
      </w:r>
    </w:p>
    <w:p w14:paraId="1E1CE058" w14:textId="77777777" w:rsidR="00CE6E0B" w:rsidRPr="00706F20" w:rsidRDefault="00CE6E0B"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54D75C78" w14:textId="77777777" w:rsidR="00CE6E0B" w:rsidRDefault="00CE6E0B" w:rsidP="00D94CDB">
      <w:pPr>
        <w:numPr>
          <w:ilvl w:val="1"/>
          <w:numId w:val="75"/>
        </w:numPr>
        <w:bidi/>
        <w:spacing w:after="240" w:line="360" w:lineRule="exact"/>
        <w:ind w:left="0" w:hanging="1"/>
        <w:rPr>
          <w:rFonts w:ascii="Arabic Typesetting" w:hAnsi="Arabic Typesetting" w:cs="Arabic Typesetting"/>
          <w:sz w:val="34"/>
          <w:szCs w:val="34"/>
        </w:rPr>
      </w:pPr>
      <w:r>
        <w:rPr>
          <w:rFonts w:ascii="Arabic Typesetting" w:hAnsi="Arabic Typesetting" w:cs="Arabic Typesetting" w:hint="cs"/>
          <w:sz w:val="34"/>
          <w:szCs w:val="34"/>
          <w:rtl/>
          <w:lang w:bidi="ar-EG"/>
        </w:rPr>
        <w:t>كانت نسبة استخدام الميزانية ضمن النطاق المتوقع المتراوح بين 40 و60 بالمئة للسنة الأولى من الثنائية.</w:t>
      </w:r>
    </w:p>
    <w:p w14:paraId="1A390380" w14:textId="30CE7FD5" w:rsidR="00257704" w:rsidRPr="00257704" w:rsidRDefault="00257704" w:rsidP="0031289D">
      <w:pPr>
        <w:pStyle w:val="Heading4"/>
        <w:rPr>
          <w:rtl/>
        </w:rPr>
      </w:pPr>
      <w:bookmarkStart w:id="18" w:name="_Toc480815245"/>
      <w:bookmarkStart w:id="19" w:name="_Toc482782746"/>
      <w:r w:rsidRPr="00257704">
        <w:rPr>
          <w:rFonts w:hint="cs"/>
          <w:rtl/>
        </w:rPr>
        <w:lastRenderedPageBreak/>
        <w:t xml:space="preserve">مرفق </w:t>
      </w:r>
      <w:r w:rsidRPr="00257704">
        <w:rPr>
          <w:rtl/>
        </w:rPr>
        <w:t>البرنامج 5</w:t>
      </w:r>
      <w:bookmarkEnd w:id="18"/>
      <w:r w:rsidR="00DF61DF">
        <w:rPr>
          <w:rFonts w:hint="cs"/>
          <w:rtl/>
        </w:rPr>
        <w:t xml:space="preserve">: </w:t>
      </w:r>
      <w:r w:rsidRPr="00257704">
        <w:rPr>
          <w:rtl/>
        </w:rPr>
        <w:t>مؤشرات عمليات معاهدة التعاون بشأن البراءات</w:t>
      </w:r>
      <w:bookmarkEnd w:id="19"/>
    </w:p>
    <w:p w14:paraId="1BAEA5ED" w14:textId="77777777" w:rsidR="00257704" w:rsidRPr="00257704" w:rsidRDefault="00257704" w:rsidP="0031289D">
      <w:pPr>
        <w:keepNext/>
        <w:bidi/>
        <w:spacing w:line="360" w:lineRule="exact"/>
        <w:rPr>
          <w:rFonts w:ascii="Arabic Typesetting" w:eastAsia="SimSun" w:hAnsi="Arabic Typesetting" w:cs="Arabic Typesetting"/>
          <w:sz w:val="40"/>
          <w:szCs w:val="40"/>
          <w:lang w:eastAsia="zh-CN"/>
        </w:rPr>
      </w:pPr>
      <w:r w:rsidRPr="00257704">
        <w:rPr>
          <w:rFonts w:ascii="Arabic Typesetting" w:eastAsia="SimSun" w:hAnsi="Arabic Typesetting" w:cs="Arabic Typesetting"/>
          <w:sz w:val="40"/>
          <w:szCs w:val="40"/>
          <w:rtl/>
          <w:lang w:eastAsia="zh-CN"/>
        </w:rPr>
        <w:t>مؤشرات الأداء للنتيجة المرتقبة</w:t>
      </w:r>
    </w:p>
    <w:p w14:paraId="16203BC2" w14:textId="77777777" w:rsidR="00257704" w:rsidRPr="00257704" w:rsidRDefault="00257704" w:rsidP="0031289D">
      <w:pPr>
        <w:bidi/>
        <w:spacing w:after="240" w:line="360" w:lineRule="exact"/>
        <w:rPr>
          <w:rFonts w:ascii="Arabic Typesetting" w:eastAsia="SimSun" w:hAnsi="Arabic Typesetting" w:cs="Arabic Typesetting"/>
          <w:sz w:val="40"/>
          <w:szCs w:val="40"/>
          <w:lang w:eastAsia="zh-CN"/>
        </w:rPr>
      </w:pPr>
      <w:r w:rsidRPr="00257704">
        <w:rPr>
          <w:rFonts w:ascii="Arabic Typesetting" w:eastAsia="SimSun" w:hAnsi="Arabic Typesetting" w:cs="Arabic Typesetting" w:hint="cs"/>
          <w:sz w:val="40"/>
          <w:szCs w:val="40"/>
          <w:rtl/>
          <w:lang w:eastAsia="zh-CN"/>
        </w:rPr>
        <w:t>"</w:t>
      </w:r>
      <w:r w:rsidRPr="00257704">
        <w:rPr>
          <w:rFonts w:ascii="Arabic Typesetting" w:eastAsia="SimSun" w:hAnsi="Arabic Typesetting" w:cs="Arabic Typesetting"/>
          <w:sz w:val="40"/>
          <w:szCs w:val="40"/>
          <w:rtl/>
          <w:lang w:eastAsia="zh-CN"/>
        </w:rPr>
        <w:t>إنتاجية وجودة خدمات محسّنة في عمليات معاهدة التعاون بشأن البراءات</w:t>
      </w:r>
      <w:r w:rsidRPr="00257704">
        <w:rPr>
          <w:rFonts w:ascii="Arabic Typesetting" w:eastAsia="SimSun" w:hAnsi="Arabic Typesetting" w:cs="Arabic Typesetting" w:hint="cs"/>
          <w:sz w:val="40"/>
          <w:szCs w:val="40"/>
          <w:rtl/>
          <w:lang w:eastAsia="zh-CN"/>
        </w:rPr>
        <w:t>"</w:t>
      </w:r>
    </w:p>
    <w:p w14:paraId="6DA13FF7" w14:textId="77777777" w:rsidR="00257704" w:rsidRPr="00257704" w:rsidRDefault="00257704" w:rsidP="0031289D">
      <w:pPr>
        <w:bidi/>
        <w:spacing w:after="240" w:line="360" w:lineRule="exact"/>
        <w:rPr>
          <w:rFonts w:ascii="Arabic Typesetting" w:eastAsia="SimSun" w:hAnsi="Arabic Typesetting" w:cs="Arabic Typesetting"/>
          <w:bCs/>
          <w:sz w:val="34"/>
          <w:szCs w:val="34"/>
          <w:lang w:eastAsia="zh-CN"/>
        </w:rPr>
      </w:pPr>
      <w:r w:rsidRPr="00257704">
        <w:rPr>
          <w:rFonts w:ascii="Arabic Typesetting" w:eastAsia="SimSun" w:hAnsi="Arabic Typesetting" w:cs="Arabic Typesetting"/>
          <w:bCs/>
          <w:sz w:val="34"/>
          <w:szCs w:val="34"/>
          <w:rtl/>
          <w:lang w:eastAsia="zh-CN"/>
        </w:rPr>
        <w:t>ملاحظات عامة</w:t>
      </w:r>
    </w:p>
    <w:p w14:paraId="5E1FD34D"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lang w:val="en-GB"/>
        </w:rPr>
      </w:pPr>
      <w:r w:rsidRPr="00257704">
        <w:rPr>
          <w:rFonts w:ascii="Arabic Typesetting" w:hAnsi="Arabic Typesetting" w:cs="Arabic Typesetting" w:hint="cs"/>
          <w:sz w:val="34"/>
          <w:szCs w:val="34"/>
          <w:rtl/>
          <w:lang w:val="en-GB"/>
        </w:rPr>
        <w:t xml:space="preserve">لا بد من </w:t>
      </w:r>
      <w:r w:rsidRPr="00257704">
        <w:rPr>
          <w:rFonts w:ascii="Arabic Typesetting" w:hAnsi="Arabic Typesetting" w:cs="Arabic Typesetting"/>
          <w:sz w:val="34"/>
          <w:szCs w:val="34"/>
          <w:rtl/>
          <w:lang w:val="en-GB"/>
        </w:rPr>
        <w:t xml:space="preserve">معرفة تطورات </w:t>
      </w:r>
      <w:r w:rsidRPr="00257704">
        <w:rPr>
          <w:rFonts w:ascii="Arabic Typesetting" w:hAnsi="Arabic Typesetting" w:cs="Arabic Typesetting" w:hint="cs"/>
          <w:sz w:val="34"/>
          <w:szCs w:val="34"/>
          <w:rtl/>
          <w:lang w:val="en-GB"/>
        </w:rPr>
        <w:t>العوامل</w:t>
      </w:r>
      <w:r w:rsidRPr="00257704">
        <w:rPr>
          <w:rFonts w:ascii="Arabic Typesetting" w:hAnsi="Arabic Typesetting" w:cs="Arabic Typesetting"/>
          <w:sz w:val="34"/>
          <w:szCs w:val="34"/>
          <w:rtl/>
          <w:lang w:val="en-GB"/>
        </w:rPr>
        <w:t xml:space="preserve"> التالية، كمعلومات أساسية عن مؤشرات أداء النتيجة المرتقبة "إنتاجية وجودة خدمات محسّنة في عمليات معاهدة التعاون بشأن البراءات</w:t>
      </w:r>
      <w:r w:rsidRPr="00257704">
        <w:rPr>
          <w:rFonts w:ascii="Arabic Typesetting" w:hAnsi="Arabic Typesetting" w:cs="Arabic Typesetting" w:hint="cs"/>
          <w:sz w:val="34"/>
          <w:szCs w:val="34"/>
          <w:rtl/>
          <w:lang w:val="en-GB"/>
        </w:rPr>
        <w:t>":</w:t>
      </w:r>
    </w:p>
    <w:p w14:paraId="05FA1275" w14:textId="77777777" w:rsidR="00257704" w:rsidRPr="00257704" w:rsidRDefault="00257704" w:rsidP="00D94CDB">
      <w:pPr>
        <w:numPr>
          <w:ilvl w:val="0"/>
          <w:numId w:val="72"/>
        </w:numPr>
        <w:tabs>
          <w:tab w:val="clear" w:pos="720"/>
        </w:tabs>
        <w:bidi/>
        <w:spacing w:after="240" w:line="360" w:lineRule="exact"/>
        <w:ind w:left="567" w:firstLine="0"/>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أعباء عمل معاهدة التعاون بشأن البراءات؛</w:t>
      </w:r>
    </w:p>
    <w:p w14:paraId="65A2D20B" w14:textId="77777777" w:rsidR="00257704" w:rsidRPr="00257704" w:rsidRDefault="00257704" w:rsidP="00D94CDB">
      <w:pPr>
        <w:numPr>
          <w:ilvl w:val="0"/>
          <w:numId w:val="72"/>
        </w:numPr>
        <w:tabs>
          <w:tab w:val="clear" w:pos="720"/>
        </w:tabs>
        <w:bidi/>
        <w:spacing w:after="240" w:line="360" w:lineRule="exact"/>
        <w:ind w:left="567" w:firstLine="0"/>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التوزيع اللغوي لهذه الأعباء؛</w:t>
      </w:r>
    </w:p>
    <w:p w14:paraId="3260CB09" w14:textId="77777777" w:rsidR="00257704" w:rsidRPr="00257704" w:rsidRDefault="00257704" w:rsidP="00D94CDB">
      <w:pPr>
        <w:numPr>
          <w:ilvl w:val="0"/>
          <w:numId w:val="72"/>
        </w:numPr>
        <w:tabs>
          <w:tab w:val="clear" w:pos="720"/>
        </w:tabs>
        <w:bidi/>
        <w:spacing w:after="240" w:line="360" w:lineRule="exact"/>
        <w:ind w:left="567" w:firstLine="0"/>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عدد الموظفين المكلفين بتناول هذه الأعباء؛</w:t>
      </w:r>
    </w:p>
    <w:p w14:paraId="4659E658" w14:textId="77777777" w:rsidR="00257704" w:rsidRPr="00257704" w:rsidRDefault="00257704" w:rsidP="00D94CDB">
      <w:pPr>
        <w:numPr>
          <w:ilvl w:val="0"/>
          <w:numId w:val="72"/>
        </w:numPr>
        <w:tabs>
          <w:tab w:val="clear" w:pos="720"/>
        </w:tabs>
        <w:bidi/>
        <w:spacing w:after="240" w:line="360" w:lineRule="exact"/>
        <w:ind w:left="567" w:firstLine="0"/>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مستوى الأتمتة.</w:t>
      </w:r>
    </w:p>
    <w:p w14:paraId="01E6A227" w14:textId="77777777" w:rsidR="00257704" w:rsidRPr="00257704" w:rsidRDefault="00257704" w:rsidP="0031289D">
      <w:pPr>
        <w:bidi/>
        <w:spacing w:after="240" w:line="360" w:lineRule="exact"/>
        <w:rPr>
          <w:rFonts w:ascii="Arabic Typesetting" w:hAnsi="Arabic Typesetting" w:cs="Arabic Typesetting"/>
          <w:iCs/>
          <w:sz w:val="34"/>
          <w:szCs w:val="34"/>
          <w:rtl/>
          <w:lang w:val="en-GB" w:bidi="ar-EG"/>
        </w:rPr>
      </w:pPr>
      <w:r w:rsidRPr="00257704">
        <w:rPr>
          <w:rFonts w:ascii="Arabic Typesetting" w:hAnsi="Arabic Typesetting" w:cs="Arabic Typesetting" w:hint="cs"/>
          <w:iCs/>
          <w:sz w:val="34"/>
          <w:szCs w:val="34"/>
          <w:rtl/>
          <w:lang w:val="en-GB"/>
        </w:rPr>
        <w:t>أعباء العمل</w:t>
      </w:r>
    </w:p>
    <w:p w14:paraId="07E76007" w14:textId="77777777" w:rsidR="00257704" w:rsidRPr="00257704" w:rsidRDefault="00257704" w:rsidP="00D94CDB">
      <w:pPr>
        <w:numPr>
          <w:ilvl w:val="0"/>
          <w:numId w:val="73"/>
        </w:numPr>
        <w:tabs>
          <w:tab w:val="clear" w:pos="567"/>
        </w:tabs>
        <w:bidi/>
        <w:spacing w:after="240" w:line="360" w:lineRule="exact"/>
        <w:rPr>
          <w:rFonts w:ascii="Arabic Typesetting" w:hAnsi="Arabic Typesetting" w:cs="Arabic Typesetting"/>
          <w:sz w:val="34"/>
          <w:szCs w:val="34"/>
          <w:lang w:val="en-GB"/>
        </w:rPr>
      </w:pPr>
      <w:r w:rsidRPr="00257704">
        <w:rPr>
          <w:rFonts w:ascii="Arabic Typesetting" w:hAnsi="Arabic Typesetting" w:cs="Arabic Typesetting"/>
          <w:sz w:val="34"/>
          <w:szCs w:val="34"/>
          <w:rtl/>
          <w:lang w:val="en-GB"/>
        </w:rPr>
        <w:t>تُتابع أعباء العمل بالاستناد إلى عدد النسخ الأصلية التي يتسلمها المكتب الدولي في كل عام.</w:t>
      </w:r>
      <w:r w:rsidRPr="00257704">
        <w:rPr>
          <w:rFonts w:ascii="Arabic Typesetting" w:hAnsi="Arabic Typesetting" w:cs="Arabic Typesetting"/>
          <w:sz w:val="34"/>
          <w:szCs w:val="34"/>
          <w:vertAlign w:val="superscript"/>
          <w:lang w:val="en-GB"/>
        </w:rPr>
        <w:footnoteReference w:id="23"/>
      </w:r>
    </w:p>
    <w:p w14:paraId="525BA650" w14:textId="77777777" w:rsidR="00257704" w:rsidRPr="00257704" w:rsidRDefault="00257704" w:rsidP="0031289D">
      <w:pPr>
        <w:keepNext/>
        <w:keepLines/>
        <w:bidi/>
        <w:spacing w:after="240" w:line="360" w:lineRule="exact"/>
        <w:ind w:left="144"/>
        <w:jc w:val="center"/>
        <w:rPr>
          <w:rFonts w:ascii="Arabic Typesetting" w:hAnsi="Arabic Typesetting" w:cs="Arabic Typesetting"/>
          <w:bCs/>
          <w:sz w:val="34"/>
          <w:szCs w:val="34"/>
        </w:rPr>
      </w:pPr>
      <w:r w:rsidRPr="00257704">
        <w:rPr>
          <w:rFonts w:ascii="Arabic Typesetting" w:hAnsi="Arabic Typesetting" w:cs="Arabic Typesetting"/>
          <w:bCs/>
          <w:sz w:val="34"/>
          <w:szCs w:val="34"/>
          <w:rtl/>
        </w:rPr>
        <w:t>تطور إيداع النسخ الأصلية بحسب طريقة الإيداع</w:t>
      </w:r>
    </w:p>
    <w:p w14:paraId="21083D9F" w14:textId="220FB2F2" w:rsidR="00257704" w:rsidRPr="00257704" w:rsidRDefault="004733FC" w:rsidP="0031289D">
      <w:pPr>
        <w:bidi/>
        <w:spacing w:after="240" w:line="276" w:lineRule="auto"/>
        <w:jc w:val="center"/>
        <w:rPr>
          <w:rFonts w:ascii="Arabic Typesetting" w:hAnsi="Arabic Typesetting" w:cs="Arabic Typesetting"/>
          <w:b/>
          <w:bCs/>
          <w:sz w:val="34"/>
          <w:szCs w:val="34"/>
          <w:lang w:val="en-GB"/>
        </w:rPr>
      </w:pPr>
      <w:r>
        <w:rPr>
          <w:rFonts w:ascii="Arabic Typesetting" w:hAnsi="Arabic Typesetting" w:cs="Arabic Typesetting"/>
          <w:b/>
          <w:bCs/>
          <w:noProof/>
          <w:sz w:val="34"/>
          <w:szCs w:val="34"/>
        </w:rPr>
        <w:drawing>
          <wp:inline distT="0" distB="0" distL="0" distR="0" wp14:anchorId="412A8D05" wp14:editId="2B7584B9">
            <wp:extent cx="5141334" cy="219442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0279" cy="2215311"/>
                    </a:xfrm>
                    <a:prstGeom prst="rect">
                      <a:avLst/>
                    </a:prstGeom>
                    <a:noFill/>
                  </pic:spPr>
                </pic:pic>
              </a:graphicData>
            </a:graphic>
          </wp:inline>
        </w:drawing>
      </w:r>
    </w:p>
    <w:p w14:paraId="5430BCE6" w14:textId="77777777" w:rsidR="00257704" w:rsidRPr="00257704" w:rsidRDefault="00257704" w:rsidP="00D94CDB">
      <w:pPr>
        <w:numPr>
          <w:ilvl w:val="0"/>
          <w:numId w:val="71"/>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تسلم المكتب الدولي زهاء </w:t>
      </w:r>
      <w:r w:rsidRPr="00257704">
        <w:rPr>
          <w:rFonts w:ascii="Arabic Typesetting" w:eastAsiaTheme="minorHAnsi" w:hAnsi="Arabic Typesetting" w:cs="Arabic Typesetting" w:hint="cs"/>
          <w:sz w:val="34"/>
          <w:szCs w:val="34"/>
          <w:rtl/>
        </w:rPr>
        <w:t>000 233</w:t>
      </w:r>
      <w:r w:rsidRPr="00257704">
        <w:rPr>
          <w:rFonts w:ascii="Arabic Typesetting" w:eastAsiaTheme="minorHAnsi" w:hAnsi="Arabic Typesetting" w:cs="Arabic Typesetting"/>
          <w:sz w:val="34"/>
          <w:szCs w:val="34"/>
          <w:rtl/>
        </w:rPr>
        <w:t xml:space="preserve"> نسخة أصل</w:t>
      </w:r>
      <w:r w:rsidRPr="00257704">
        <w:rPr>
          <w:rFonts w:ascii="Arabic Typesetting" w:eastAsiaTheme="minorHAnsi" w:hAnsi="Arabic Typesetting" w:cs="Arabic Typesetting" w:hint="cs"/>
          <w:sz w:val="34"/>
          <w:szCs w:val="34"/>
          <w:rtl/>
        </w:rPr>
        <w:t>ي</w:t>
      </w:r>
      <w:r w:rsidRPr="00257704">
        <w:rPr>
          <w:rFonts w:ascii="Arabic Typesetting" w:eastAsiaTheme="minorHAnsi" w:hAnsi="Arabic Typesetting" w:cs="Arabic Typesetting"/>
          <w:sz w:val="34"/>
          <w:szCs w:val="34"/>
          <w:rtl/>
        </w:rPr>
        <w:t>ة في عام 201</w:t>
      </w:r>
      <w:r w:rsidRPr="00257704">
        <w:rPr>
          <w:rFonts w:ascii="Arabic Typesetting" w:eastAsiaTheme="minorHAnsi" w:hAnsi="Arabic Typesetting" w:cs="Arabic Typesetting" w:hint="cs"/>
          <w:sz w:val="34"/>
          <w:szCs w:val="34"/>
          <w:rtl/>
        </w:rPr>
        <w:t>6</w:t>
      </w:r>
      <w:r w:rsidRPr="00257704">
        <w:rPr>
          <w:rFonts w:ascii="Arabic Typesetting" w:eastAsiaTheme="minorHAnsi" w:hAnsi="Arabic Typesetting" w:cs="Arabic Typesetting"/>
          <w:sz w:val="34"/>
          <w:szCs w:val="34"/>
          <w:rtl/>
        </w:rPr>
        <w:t xml:space="preserve">، أي بزيادة بلغت نسبتها </w:t>
      </w:r>
      <w:r w:rsidRPr="00257704">
        <w:rPr>
          <w:rFonts w:ascii="Arabic Typesetting" w:eastAsiaTheme="minorHAnsi" w:hAnsi="Arabic Typesetting" w:cs="Arabic Typesetting" w:hint="cs"/>
          <w:sz w:val="34"/>
          <w:szCs w:val="34"/>
          <w:rtl/>
        </w:rPr>
        <w:t>7.4</w:t>
      </w:r>
      <w:r w:rsidRPr="00257704">
        <w:rPr>
          <w:rFonts w:ascii="Arabic Typesetting" w:eastAsiaTheme="minorHAnsi" w:hAnsi="Arabic Typesetting" w:cs="Arabic Typesetting"/>
          <w:sz w:val="34"/>
          <w:szCs w:val="34"/>
          <w:rtl/>
        </w:rPr>
        <w:t xml:space="preserve"> في المائة مقارنة بعام 201</w:t>
      </w:r>
      <w:r w:rsidRPr="00257704">
        <w:rPr>
          <w:rFonts w:ascii="Arabic Typesetting" w:eastAsiaTheme="minorHAnsi" w:hAnsi="Arabic Typesetting" w:cs="Arabic Typesetting" w:hint="cs"/>
          <w:sz w:val="34"/>
          <w:szCs w:val="34"/>
          <w:rtl/>
        </w:rPr>
        <w:t>5.</w:t>
      </w:r>
    </w:p>
    <w:p w14:paraId="6CCBAFF9" w14:textId="70560921" w:rsidR="00257704" w:rsidRPr="00257704" w:rsidRDefault="00257704" w:rsidP="00D94CDB">
      <w:pPr>
        <w:numPr>
          <w:ilvl w:val="0"/>
          <w:numId w:val="71"/>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لم تفتأ </w:t>
      </w:r>
      <w:r w:rsidRPr="00257704">
        <w:rPr>
          <w:rFonts w:ascii="Arabic Typesetting" w:eastAsiaTheme="minorHAnsi" w:hAnsi="Arabic Typesetting" w:cs="Arabic Typesetting" w:hint="cs"/>
          <w:sz w:val="34"/>
          <w:szCs w:val="34"/>
          <w:rtl/>
        </w:rPr>
        <w:t>نسبة</w:t>
      </w:r>
      <w:r w:rsidRPr="00257704">
        <w:rPr>
          <w:rFonts w:ascii="Arabic Typesetting" w:eastAsiaTheme="minorHAnsi" w:hAnsi="Arabic Typesetting" w:cs="Arabic Typesetting"/>
          <w:sz w:val="34"/>
          <w:szCs w:val="34"/>
          <w:rtl/>
        </w:rPr>
        <w:t xml:space="preserve"> أساليب الإيداع الإلكتروني بالكامل تزداد في عام 201</w:t>
      </w:r>
      <w:r w:rsidRPr="00257704">
        <w:rPr>
          <w:rFonts w:ascii="Arabic Typesetting" w:eastAsiaTheme="minorHAnsi" w:hAnsi="Arabic Typesetting" w:cs="Arabic Typesetting" w:hint="cs"/>
          <w:sz w:val="34"/>
          <w:szCs w:val="34"/>
          <w:rtl/>
        </w:rPr>
        <w:t>6</w:t>
      </w:r>
      <w:r w:rsidRPr="00257704">
        <w:rPr>
          <w:rFonts w:ascii="Arabic Typesetting" w:eastAsiaTheme="minorHAnsi" w:hAnsi="Arabic Typesetting" w:cs="Arabic Typesetting"/>
          <w:sz w:val="34"/>
          <w:szCs w:val="34"/>
          <w:rtl/>
        </w:rPr>
        <w:t xml:space="preserve">، وهي </w:t>
      </w:r>
      <w:r w:rsidRPr="00257704">
        <w:rPr>
          <w:rFonts w:ascii="Arabic Typesetting" w:eastAsiaTheme="minorHAnsi" w:hAnsi="Arabic Typesetting" w:cs="Arabic Typesetting" w:hint="cs"/>
          <w:sz w:val="34"/>
          <w:szCs w:val="34"/>
          <w:rtl/>
        </w:rPr>
        <w:t>تبلغ</w:t>
      </w:r>
      <w:r w:rsidRPr="00257704">
        <w:rPr>
          <w:rFonts w:ascii="Arabic Typesetting" w:eastAsiaTheme="minorHAnsi" w:hAnsi="Arabic Typesetting" w:cs="Arabic Typesetting"/>
          <w:sz w:val="34"/>
          <w:szCs w:val="34"/>
          <w:rtl/>
        </w:rPr>
        <w:t xml:space="preserve"> الآن 9</w:t>
      </w:r>
      <w:r w:rsidRPr="00257704">
        <w:rPr>
          <w:rFonts w:ascii="Arabic Typesetting" w:eastAsiaTheme="minorHAnsi" w:hAnsi="Arabic Typesetting" w:cs="Arabic Typesetting" w:hint="cs"/>
          <w:sz w:val="34"/>
          <w:szCs w:val="34"/>
          <w:rtl/>
        </w:rPr>
        <w:t>5</w:t>
      </w:r>
      <w:r w:rsidRPr="00257704">
        <w:rPr>
          <w:rFonts w:ascii="Arabic Typesetting" w:eastAsiaTheme="minorHAnsi" w:hAnsi="Arabic Typesetting" w:cs="Arabic Typesetting"/>
          <w:sz w:val="34"/>
          <w:szCs w:val="34"/>
          <w:rtl/>
        </w:rPr>
        <w:t xml:space="preserve"> في المائة من مجموع</w:t>
      </w:r>
      <w:r>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الإيداعات.</w:t>
      </w:r>
    </w:p>
    <w:p w14:paraId="5D2ADD4A" w14:textId="77777777" w:rsidR="00257704" w:rsidRPr="00257704" w:rsidRDefault="00257704" w:rsidP="0031289D">
      <w:pPr>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lastRenderedPageBreak/>
        <w:t>التوزيع اللغوي</w:t>
      </w:r>
    </w:p>
    <w:p w14:paraId="5078470F" w14:textId="77777777" w:rsidR="00257704" w:rsidRPr="00257704" w:rsidRDefault="00257704" w:rsidP="00D94CDB">
      <w:pPr>
        <w:numPr>
          <w:ilvl w:val="0"/>
          <w:numId w:val="73"/>
        </w:numPr>
        <w:tabs>
          <w:tab w:val="clear" w:pos="567"/>
        </w:tabs>
        <w:bidi/>
        <w:spacing w:after="240" w:line="360" w:lineRule="exact"/>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من التطورات الأساسية التي تؤدي إلى إدخال تغيير </w:t>
      </w:r>
      <w:r w:rsidRPr="00257704">
        <w:rPr>
          <w:rFonts w:ascii="Arabic Typesetting" w:eastAsiaTheme="minorHAnsi" w:hAnsi="Arabic Typesetting" w:cs="Arabic Typesetting" w:hint="cs"/>
          <w:sz w:val="34"/>
          <w:szCs w:val="34"/>
          <w:rtl/>
        </w:rPr>
        <w:t>في</w:t>
      </w:r>
      <w:r w:rsidRPr="00257704">
        <w:rPr>
          <w:rFonts w:ascii="Arabic Typesetting" w:eastAsiaTheme="minorHAnsi" w:hAnsi="Arabic Typesetting" w:cs="Arabic Typesetting"/>
          <w:sz w:val="34"/>
          <w:szCs w:val="34"/>
          <w:rtl/>
        </w:rPr>
        <w:t xml:space="preserve"> المكتب الدولي، هي تزايد التنوع اللغوي للطلبات المودعة، الناجم على وجه الخصوص عن زيادة الانتفاع بنظام معاهدة التعاون بشأن البراءات في بلدان شرق آسيا</w:t>
      </w:r>
      <w:r w:rsidRPr="00257704">
        <w:rPr>
          <w:rFonts w:ascii="Arabic Typesetting" w:eastAsiaTheme="minorHAnsi" w:hAnsi="Arabic Typesetting" w:cs="Arabic Typesetting" w:hint="cs"/>
          <w:sz w:val="34"/>
          <w:szCs w:val="34"/>
          <w:rtl/>
        </w:rPr>
        <w:t>.</w:t>
      </w:r>
    </w:p>
    <w:p w14:paraId="314AE8DC" w14:textId="77777777" w:rsidR="00257704" w:rsidRPr="00257704" w:rsidRDefault="00257704" w:rsidP="0031289D">
      <w:pPr>
        <w:keepNext/>
        <w:keepLines/>
        <w:bidi/>
        <w:spacing w:after="240" w:line="360" w:lineRule="exact"/>
        <w:ind w:left="144"/>
        <w:jc w:val="center"/>
        <w:rPr>
          <w:rFonts w:ascii="Arabic Typesetting" w:hAnsi="Arabic Typesetting" w:cs="Arabic Typesetting"/>
          <w:b/>
          <w:i/>
          <w:iCs/>
          <w:sz w:val="34"/>
          <w:szCs w:val="34"/>
        </w:rPr>
      </w:pPr>
      <w:r w:rsidRPr="00257704">
        <w:rPr>
          <w:rFonts w:ascii="Arabic Typesetting" w:hAnsi="Arabic Typesetting" w:cs="Arabic Typesetting"/>
          <w:bCs/>
          <w:sz w:val="34"/>
          <w:szCs w:val="34"/>
          <w:rtl/>
        </w:rPr>
        <w:t xml:space="preserve">لغات الإيداع </w:t>
      </w:r>
      <w:r w:rsidRPr="00257704">
        <w:rPr>
          <w:rFonts w:ascii="Arabic Typesetting" w:hAnsi="Arabic Typesetting" w:cs="Arabic Typesetting"/>
          <w:b/>
          <w:i/>
          <w:iCs/>
          <w:sz w:val="34"/>
          <w:szCs w:val="34"/>
          <w:rtl/>
        </w:rPr>
        <w:t>(جميع اللغات)</w:t>
      </w:r>
    </w:p>
    <w:p w14:paraId="21D414AB" w14:textId="3088A30E" w:rsidR="00257704" w:rsidRPr="00257704" w:rsidRDefault="00433C78" w:rsidP="0031289D">
      <w:pPr>
        <w:keepNext/>
        <w:keepLines/>
        <w:bidi/>
        <w:spacing w:after="240" w:line="276" w:lineRule="auto"/>
        <w:jc w:val="center"/>
        <w:rPr>
          <w:rFonts w:ascii="Arabic Typesetting" w:hAnsi="Arabic Typesetting" w:cs="Arabic Typesetting"/>
          <w:i/>
          <w:sz w:val="34"/>
          <w:szCs w:val="34"/>
        </w:rPr>
      </w:pPr>
      <w:r>
        <w:rPr>
          <w:rFonts w:ascii="Arabic Typesetting" w:hAnsi="Arabic Typesetting" w:cs="Arabic Typesetting"/>
          <w:i/>
          <w:noProof/>
          <w:sz w:val="34"/>
          <w:szCs w:val="34"/>
        </w:rPr>
        <w:drawing>
          <wp:inline distT="0" distB="0" distL="0" distR="0" wp14:anchorId="0A9D12F7" wp14:editId="536246EF">
            <wp:extent cx="5041638" cy="2571648"/>
            <wp:effectExtent l="0" t="0" r="6985" b="63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52735" cy="2577308"/>
                    </a:xfrm>
                    <a:prstGeom prst="rect">
                      <a:avLst/>
                    </a:prstGeom>
                    <a:noFill/>
                  </pic:spPr>
                </pic:pic>
              </a:graphicData>
            </a:graphic>
          </wp:inline>
        </w:drawing>
      </w:r>
    </w:p>
    <w:p w14:paraId="6029A84E" w14:textId="77777777" w:rsidR="00257704" w:rsidRPr="00257704" w:rsidRDefault="00257704" w:rsidP="00D94CDB">
      <w:pPr>
        <w:numPr>
          <w:ilvl w:val="0"/>
          <w:numId w:val="73"/>
        </w:numPr>
        <w:tabs>
          <w:tab w:val="clear" w:pos="567"/>
        </w:tabs>
        <w:bidi/>
        <w:spacing w:after="240" w:line="360" w:lineRule="exact"/>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و</w:t>
      </w:r>
      <w:r w:rsidRPr="00257704">
        <w:rPr>
          <w:rFonts w:ascii="Arabic Typesetting" w:eastAsiaTheme="minorHAnsi" w:hAnsi="Arabic Typesetting" w:cs="Arabic Typesetting" w:hint="cs"/>
          <w:sz w:val="34"/>
          <w:szCs w:val="34"/>
          <w:rtl/>
        </w:rPr>
        <w:t>تستأثر ا</w:t>
      </w:r>
      <w:r w:rsidRPr="00257704">
        <w:rPr>
          <w:rFonts w:ascii="Arabic Typesetting" w:eastAsiaTheme="minorHAnsi" w:hAnsi="Arabic Typesetting" w:cs="Arabic Typesetting"/>
          <w:sz w:val="34"/>
          <w:szCs w:val="34"/>
          <w:rtl/>
        </w:rPr>
        <w:t>للغة الإنكليزية</w:t>
      </w:r>
      <w:r w:rsidRPr="00257704">
        <w:rPr>
          <w:rFonts w:ascii="Arabic Typesetting" w:eastAsiaTheme="minorHAnsi" w:hAnsi="Arabic Typesetting" w:cs="Arabic Typesetting" w:hint="cs"/>
          <w:sz w:val="34"/>
          <w:szCs w:val="34"/>
          <w:rtl/>
        </w:rPr>
        <w:t>، كما هو مُلاحظ،</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 xml:space="preserve">بالنصيب الأكبر من الإيداعات </w:t>
      </w:r>
      <w:r w:rsidRPr="00257704">
        <w:rPr>
          <w:rFonts w:ascii="Arabic Typesetting" w:eastAsiaTheme="minorHAnsi" w:hAnsi="Arabic Typesetting" w:cs="Arabic Typesetting"/>
          <w:sz w:val="34"/>
          <w:szCs w:val="34"/>
          <w:rtl/>
        </w:rPr>
        <w:t xml:space="preserve">بنسبة </w:t>
      </w:r>
      <w:r w:rsidRPr="00257704">
        <w:rPr>
          <w:rFonts w:ascii="Arabic Typesetting" w:eastAsiaTheme="minorHAnsi" w:hAnsi="Arabic Typesetting" w:cs="Arabic Typesetting" w:hint="cs"/>
          <w:sz w:val="34"/>
          <w:szCs w:val="34"/>
          <w:rtl/>
        </w:rPr>
        <w:t>45</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 xml:space="preserve">في </w:t>
      </w:r>
      <w:r w:rsidRPr="00257704">
        <w:rPr>
          <w:rFonts w:ascii="Arabic Typesetting" w:eastAsiaTheme="minorHAnsi" w:hAnsi="Arabic Typesetting" w:cs="Arabic Typesetting"/>
          <w:sz w:val="34"/>
          <w:szCs w:val="34"/>
          <w:rtl/>
        </w:rPr>
        <w:t>الم</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ئة من الإيداعات في عام</w:t>
      </w:r>
      <w:r w:rsidRPr="00257704">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201</w:t>
      </w:r>
      <w:r w:rsidRPr="00257704">
        <w:rPr>
          <w:rFonts w:ascii="Arabic Typesetting" w:eastAsiaTheme="minorHAnsi" w:hAnsi="Arabic Typesetting" w:cs="Arabic Typesetting" w:hint="cs"/>
          <w:sz w:val="34"/>
          <w:szCs w:val="34"/>
          <w:rtl/>
        </w:rPr>
        <w:t>6</w:t>
      </w:r>
      <w:r w:rsidRPr="00257704">
        <w:rPr>
          <w:rFonts w:ascii="Arabic Typesetting" w:eastAsiaTheme="minorHAnsi" w:hAnsi="Arabic Typesetting" w:cs="Arabic Typesetting"/>
          <w:sz w:val="34"/>
          <w:szCs w:val="34"/>
          <w:rtl/>
        </w:rPr>
        <w:t xml:space="preserve">، غير أن حصص اللغات الآسيوية زادت على مدى العقد المنصرم. </w:t>
      </w:r>
      <w:r w:rsidRPr="00257704">
        <w:rPr>
          <w:rFonts w:ascii="Arabic Typesetting" w:eastAsiaTheme="minorHAnsi" w:hAnsi="Arabic Typesetting" w:cs="Arabic Typesetting" w:hint="cs"/>
          <w:sz w:val="34"/>
          <w:szCs w:val="34"/>
          <w:rtl/>
        </w:rPr>
        <w:t>فقد</w:t>
      </w:r>
      <w:r w:rsidRPr="00257704">
        <w:rPr>
          <w:rFonts w:ascii="Arabic Typesetting" w:eastAsiaTheme="minorHAnsi" w:hAnsi="Arabic Typesetting" w:cs="Arabic Typesetting"/>
          <w:sz w:val="34"/>
          <w:szCs w:val="34"/>
          <w:rtl/>
        </w:rPr>
        <w:t xml:space="preserve"> زادت الحصة المجمعة للطلبات المودعة بناء</w:t>
      </w:r>
      <w:r w:rsidRPr="00257704">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 xml:space="preserve">على معاهدة التعاون بشأن البراءات باللغات اليابانية والصينية والكورية من 29.5 </w:t>
      </w:r>
      <w:r w:rsidRPr="00257704">
        <w:rPr>
          <w:rFonts w:ascii="Arabic Typesetting" w:eastAsiaTheme="minorHAnsi" w:hAnsi="Arabic Typesetting" w:cs="Arabic Typesetting" w:hint="cs"/>
          <w:sz w:val="34"/>
          <w:szCs w:val="34"/>
          <w:rtl/>
        </w:rPr>
        <w:t xml:space="preserve">في </w:t>
      </w:r>
      <w:r w:rsidRPr="00257704">
        <w:rPr>
          <w:rFonts w:ascii="Arabic Typesetting" w:eastAsiaTheme="minorHAnsi" w:hAnsi="Arabic Typesetting" w:cs="Arabic Typesetting"/>
          <w:sz w:val="34"/>
          <w:szCs w:val="34"/>
          <w:rtl/>
        </w:rPr>
        <w:t>الم</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ئة في عام 20</w:t>
      </w:r>
      <w:r w:rsidRPr="00257704">
        <w:rPr>
          <w:rFonts w:ascii="Arabic Typesetting" w:eastAsiaTheme="minorHAnsi" w:hAnsi="Arabic Typesetting" w:cs="Arabic Typesetting" w:hint="cs"/>
          <w:sz w:val="34"/>
          <w:szCs w:val="34"/>
          <w:rtl/>
        </w:rPr>
        <w:t>10</w:t>
      </w:r>
      <w:r w:rsidRPr="00257704">
        <w:rPr>
          <w:rFonts w:ascii="Arabic Typesetting" w:eastAsiaTheme="minorHAnsi" w:hAnsi="Arabic Typesetting" w:cs="Arabic Typesetting"/>
          <w:sz w:val="34"/>
          <w:szCs w:val="34"/>
          <w:rtl/>
        </w:rPr>
        <w:t xml:space="preserve"> إلى </w:t>
      </w:r>
      <w:r w:rsidRPr="00257704">
        <w:rPr>
          <w:rFonts w:ascii="Arabic Typesetting" w:eastAsiaTheme="minorHAnsi" w:hAnsi="Arabic Typesetting" w:cs="Arabic Typesetting" w:hint="cs"/>
          <w:sz w:val="34"/>
          <w:szCs w:val="34"/>
          <w:rtl/>
        </w:rPr>
        <w:t>42</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في</w:t>
      </w:r>
      <w:r w:rsidRPr="00257704">
        <w:rPr>
          <w:rFonts w:ascii="Arabic Typesetting" w:eastAsiaTheme="minorHAnsi" w:hAnsi="Arabic Typesetting" w:cs="Arabic Typesetting" w:hint="eastAsia"/>
          <w:sz w:val="34"/>
          <w:szCs w:val="34"/>
          <w:rtl/>
        </w:rPr>
        <w:t> </w:t>
      </w:r>
      <w:r w:rsidRPr="00257704">
        <w:rPr>
          <w:rFonts w:ascii="Arabic Typesetting" w:eastAsiaTheme="minorHAnsi" w:hAnsi="Arabic Typesetting" w:cs="Arabic Typesetting"/>
          <w:sz w:val="34"/>
          <w:szCs w:val="34"/>
          <w:rtl/>
        </w:rPr>
        <w:t>الم</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ئة في عام 201</w:t>
      </w:r>
      <w:r w:rsidRPr="00257704">
        <w:rPr>
          <w:rFonts w:ascii="Arabic Typesetting" w:eastAsiaTheme="minorHAnsi" w:hAnsi="Arabic Typesetting" w:cs="Arabic Typesetting" w:hint="cs"/>
          <w:sz w:val="34"/>
          <w:szCs w:val="34"/>
          <w:rtl/>
        </w:rPr>
        <w:t>6</w:t>
      </w:r>
      <w:r w:rsidRPr="00257704">
        <w:rPr>
          <w:rFonts w:ascii="Arabic Typesetting" w:eastAsiaTheme="minorHAnsi" w:hAnsi="Arabic Typesetting" w:cs="Arabic Typesetting"/>
          <w:sz w:val="34"/>
          <w:szCs w:val="34"/>
          <w:rtl/>
        </w:rPr>
        <w:t xml:space="preserve">. وفيما يلي رسم بياني يركز على اللغات </w:t>
      </w:r>
      <w:r w:rsidRPr="00257704">
        <w:rPr>
          <w:rFonts w:ascii="Arabic Typesetting" w:eastAsiaTheme="minorHAnsi" w:hAnsi="Arabic Typesetting" w:cs="Arabic Typesetting" w:hint="cs"/>
          <w:sz w:val="34"/>
          <w:szCs w:val="34"/>
          <w:rtl/>
        </w:rPr>
        <w:t>الأخرى بخلاف اللغة</w:t>
      </w:r>
      <w:r w:rsidRPr="00257704">
        <w:rPr>
          <w:rFonts w:ascii="Arabic Typesetting" w:eastAsiaTheme="minorHAnsi" w:hAnsi="Arabic Typesetting" w:cs="Arabic Typesetting"/>
          <w:sz w:val="34"/>
          <w:szCs w:val="34"/>
          <w:rtl/>
        </w:rPr>
        <w:t xml:space="preserve"> الإنكليزية:</w:t>
      </w:r>
    </w:p>
    <w:p w14:paraId="392A9D6A" w14:textId="77777777" w:rsidR="00257704" w:rsidRPr="00257704" w:rsidRDefault="00257704" w:rsidP="0031289D">
      <w:pPr>
        <w:keepNext/>
        <w:keepLines/>
        <w:bidi/>
        <w:spacing w:after="240" w:line="360" w:lineRule="exact"/>
        <w:ind w:left="144"/>
        <w:jc w:val="center"/>
        <w:rPr>
          <w:rFonts w:ascii="Arabic Typesetting" w:hAnsi="Arabic Typesetting" w:cs="Arabic Typesetting"/>
          <w:bCs/>
          <w:sz w:val="34"/>
          <w:szCs w:val="34"/>
        </w:rPr>
      </w:pPr>
      <w:r w:rsidRPr="00257704">
        <w:rPr>
          <w:rFonts w:ascii="Arabic Typesetting" w:hAnsi="Arabic Typesetting" w:cs="Arabic Typesetting"/>
          <w:bCs/>
          <w:sz w:val="34"/>
          <w:szCs w:val="34"/>
          <w:rtl/>
        </w:rPr>
        <w:t xml:space="preserve">لغات الإيداع </w:t>
      </w:r>
      <w:r w:rsidRPr="00257704">
        <w:rPr>
          <w:rFonts w:ascii="Arabic Typesetting" w:hAnsi="Arabic Typesetting" w:cs="Arabic Typesetting"/>
          <w:b/>
          <w:i/>
          <w:iCs/>
          <w:sz w:val="34"/>
          <w:szCs w:val="34"/>
          <w:rtl/>
        </w:rPr>
        <w:t xml:space="preserve">(جميع اللغات </w:t>
      </w:r>
      <w:r w:rsidRPr="00257704">
        <w:rPr>
          <w:rFonts w:ascii="Arabic Typesetting" w:hAnsi="Arabic Typesetting" w:cs="Arabic Typesetting" w:hint="cs"/>
          <w:b/>
          <w:i/>
          <w:iCs/>
          <w:sz w:val="34"/>
          <w:szCs w:val="34"/>
          <w:rtl/>
        </w:rPr>
        <w:t>ما عدا</w:t>
      </w:r>
      <w:r w:rsidRPr="00257704">
        <w:rPr>
          <w:rFonts w:ascii="Arabic Typesetting" w:hAnsi="Arabic Typesetting" w:cs="Arabic Typesetting"/>
          <w:b/>
          <w:i/>
          <w:iCs/>
          <w:sz w:val="34"/>
          <w:szCs w:val="34"/>
          <w:rtl/>
        </w:rPr>
        <w:t xml:space="preserve"> اللغة الإنكليزية)</w:t>
      </w:r>
    </w:p>
    <w:p w14:paraId="32E5C69F" w14:textId="69B44DD8" w:rsidR="00257704" w:rsidRPr="00257704" w:rsidRDefault="00781094" w:rsidP="0031289D">
      <w:pPr>
        <w:bidi/>
        <w:spacing w:after="240" w:line="276" w:lineRule="auto"/>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72C221E6" wp14:editId="3A8AC9E4">
            <wp:extent cx="5648630" cy="3048096"/>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0908" cy="3049325"/>
                    </a:xfrm>
                    <a:prstGeom prst="rect">
                      <a:avLst/>
                    </a:prstGeom>
                    <a:noFill/>
                  </pic:spPr>
                </pic:pic>
              </a:graphicData>
            </a:graphic>
          </wp:inline>
        </w:drawing>
      </w:r>
    </w:p>
    <w:p w14:paraId="340196CE"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lang w:val="en-GB"/>
        </w:rPr>
      </w:pPr>
      <w:r w:rsidRPr="00257704">
        <w:rPr>
          <w:rFonts w:ascii="Arabic Typesetting" w:hAnsi="Arabic Typesetting" w:cs="Arabic Typesetting"/>
          <w:sz w:val="34"/>
          <w:szCs w:val="34"/>
          <w:rtl/>
          <w:lang w:val="en-GB"/>
        </w:rPr>
        <w:lastRenderedPageBreak/>
        <w:t>وتضغط الزيادة الحادة في الطلبات المودعة باللغات الآسيوية في السنوات الأخيرة ضغطاً هائلاً على المكتب الدولي نظراً إلى عدد الموارد المحدودة من الموظفين القادرين على العمل بهذه اللغات. ولعل التخفيف من وقع هذه المسألة يتسنى عن طريق أتمتة بعض المهام وتعيين موظفين قادرين على العمل بهذه اللغات.</w:t>
      </w:r>
    </w:p>
    <w:p w14:paraId="3C033CE5"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t>الموظفون</w:t>
      </w:r>
    </w:p>
    <w:p w14:paraId="6343F1C9" w14:textId="77777777" w:rsidR="00257704" w:rsidRPr="00257704" w:rsidRDefault="00257704" w:rsidP="00D94CDB">
      <w:pPr>
        <w:keepNext/>
        <w:keepLines/>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 xml:space="preserve">يبين الشكل التالي عدد موظفي </w:t>
      </w:r>
      <w:r w:rsidRPr="00257704">
        <w:rPr>
          <w:rFonts w:ascii="Arabic Typesetting" w:hAnsi="Arabic Typesetting" w:cs="Arabic Typesetting" w:hint="cs"/>
          <w:sz w:val="34"/>
          <w:szCs w:val="34"/>
          <w:rtl/>
        </w:rPr>
        <w:t>عمليات</w:t>
      </w:r>
      <w:r w:rsidRPr="00257704">
        <w:rPr>
          <w:rFonts w:ascii="Arabic Typesetting" w:hAnsi="Arabic Typesetting" w:cs="Arabic Typesetting"/>
          <w:sz w:val="34"/>
          <w:szCs w:val="34"/>
          <w:rtl/>
        </w:rPr>
        <w:t xml:space="preserve"> معاهدة التعاون بشأن البراءات منذ عام 2001، المبين بمكافئ عدد الموظفين المتفرغين (أي عدد الموظفين المتفرغين زائد عدد المتفرغين الذي يكافئ مجموع الموظفين غير المتفرغين).</w:t>
      </w:r>
    </w:p>
    <w:p w14:paraId="409F88A2" w14:textId="77777777" w:rsidR="00257704" w:rsidRPr="00257704" w:rsidRDefault="00257704" w:rsidP="0031289D">
      <w:pPr>
        <w:keepNext/>
        <w:keepLines/>
        <w:bidi/>
        <w:spacing w:after="240" w:line="360" w:lineRule="exact"/>
        <w:ind w:left="144"/>
        <w:jc w:val="center"/>
        <w:rPr>
          <w:rFonts w:ascii="Arabic Typesetting" w:hAnsi="Arabic Typesetting" w:cs="Arabic Typesetting"/>
          <w:bCs/>
          <w:sz w:val="34"/>
          <w:szCs w:val="34"/>
        </w:rPr>
      </w:pPr>
      <w:r w:rsidRPr="00257704">
        <w:rPr>
          <w:rFonts w:ascii="Arabic Typesetting" w:hAnsi="Arabic Typesetting" w:cs="Arabic Typesetting"/>
          <w:bCs/>
          <w:sz w:val="34"/>
          <w:szCs w:val="34"/>
          <w:rtl/>
        </w:rPr>
        <w:t>عدد الموظفين في عمليات معاهدة التعاون بشأن البراءات</w:t>
      </w:r>
    </w:p>
    <w:p w14:paraId="434975CF" w14:textId="13196EB3" w:rsidR="00257704" w:rsidRPr="00257704" w:rsidRDefault="00557CEF" w:rsidP="0031289D">
      <w:pPr>
        <w:bidi/>
        <w:spacing w:after="240" w:line="276" w:lineRule="auto"/>
        <w:jc w:val="center"/>
        <w:rPr>
          <w:rFonts w:ascii="Arabic Typesetting" w:hAnsi="Arabic Typesetting" w:cs="Arabic Typesetting"/>
          <w:bCs/>
          <w:sz w:val="34"/>
          <w:szCs w:val="34"/>
        </w:rPr>
      </w:pPr>
      <w:r>
        <w:rPr>
          <w:rFonts w:ascii="Arabic Typesetting" w:hAnsi="Arabic Typesetting" w:cs="Arabic Typesetting"/>
          <w:bCs/>
          <w:noProof/>
          <w:sz w:val="34"/>
          <w:szCs w:val="34"/>
        </w:rPr>
        <w:drawing>
          <wp:inline distT="0" distB="0" distL="0" distR="0" wp14:anchorId="1DCE4D7F" wp14:editId="67E57E18">
            <wp:extent cx="4676775" cy="3310631"/>
            <wp:effectExtent l="0" t="0" r="0" b="444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4340" cy="3315986"/>
                    </a:xfrm>
                    <a:prstGeom prst="rect">
                      <a:avLst/>
                    </a:prstGeom>
                    <a:noFill/>
                  </pic:spPr>
                </pic:pic>
              </a:graphicData>
            </a:graphic>
          </wp:inline>
        </w:drawing>
      </w:r>
    </w:p>
    <w:p w14:paraId="7439608F" w14:textId="77777777" w:rsidR="00257704" w:rsidRPr="00257704" w:rsidRDefault="00257704" w:rsidP="00D94CDB">
      <w:pPr>
        <w:numPr>
          <w:ilvl w:val="0"/>
          <w:numId w:val="71"/>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تواصل انخفاض عدد موظفي شعبة عمليات معاهدة التعاون بشأن البراءات في عام 201</w:t>
      </w:r>
      <w:r w:rsidRPr="00257704">
        <w:rPr>
          <w:rFonts w:ascii="Arabic Typesetting" w:eastAsiaTheme="minorHAnsi" w:hAnsi="Arabic Typesetting" w:cs="Arabic Typesetting" w:hint="cs"/>
          <w:sz w:val="34"/>
          <w:szCs w:val="34"/>
          <w:rtl/>
        </w:rPr>
        <w:t>6</w:t>
      </w:r>
      <w:r w:rsidRPr="00257704">
        <w:rPr>
          <w:rFonts w:ascii="Arabic Typesetting" w:eastAsiaTheme="minorHAnsi" w:hAnsi="Arabic Typesetting" w:cs="Arabic Typesetting"/>
          <w:sz w:val="34"/>
          <w:szCs w:val="34"/>
          <w:rtl/>
        </w:rPr>
        <w:t>.</w:t>
      </w:r>
    </w:p>
    <w:p w14:paraId="583A5066"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t>تكلفة وحدة معالجة الطلب</w:t>
      </w:r>
    </w:p>
    <w:p w14:paraId="502B3C09"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 xml:space="preserve">يمكن قياس </w:t>
      </w:r>
      <w:r w:rsidRPr="00257704">
        <w:rPr>
          <w:rFonts w:ascii="Arabic Typesetting" w:hAnsi="Arabic Typesetting" w:cs="Arabic Typesetting" w:hint="cs"/>
          <w:sz w:val="34"/>
          <w:szCs w:val="34"/>
          <w:rtl/>
        </w:rPr>
        <w:t>كفاءة</w:t>
      </w:r>
      <w:r w:rsidRPr="00257704">
        <w:rPr>
          <w:rFonts w:ascii="Arabic Typesetting" w:hAnsi="Arabic Typesetting" w:cs="Arabic Typesetting"/>
          <w:sz w:val="34"/>
          <w:szCs w:val="34"/>
          <w:rtl/>
        </w:rPr>
        <w:t xml:space="preserve"> المكتب الدولي في معالجة الطلبات المودعة بناء على معاهدة التعاون بشأن البراءات بتكلفة وحدة معالجة الطلب، المعرّفة بمتوسط التكلفة الإجمالية اللازمة لنشر طلب من طلبات معاهدة التعاون بشأن البراءات. وتشمل تكلفة الإنتاج الإجمالية النفقات المتعلقة بنظام معاهدة البراءات حصراً ونفقات الأنشطة التي تدعم نظام معاهدة</w:t>
      </w:r>
      <w:r w:rsidRPr="00257704">
        <w:rPr>
          <w:rFonts w:ascii="Arabic Typesetting" w:hAnsi="Arabic Typesetting" w:cs="Arabic Typesetting" w:hint="cs"/>
          <w:sz w:val="34"/>
          <w:szCs w:val="34"/>
          <w:rtl/>
        </w:rPr>
        <w:t> </w:t>
      </w:r>
      <w:r w:rsidRPr="00257704">
        <w:rPr>
          <w:rFonts w:ascii="Arabic Typesetting" w:hAnsi="Arabic Typesetting" w:cs="Arabic Typesetting"/>
          <w:sz w:val="34"/>
          <w:szCs w:val="34"/>
          <w:rtl/>
        </w:rPr>
        <w:t>البراءات.</w:t>
      </w:r>
    </w:p>
    <w:p w14:paraId="25AAFD16"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وتشمل النفقات المتعلقة حصراً بنظام معاهدة البراءات النفقات المتعلقة بالبرنامج 5 (نظام معاهدة التعاون بشأن</w:t>
      </w:r>
      <w:r w:rsidRPr="00257704">
        <w:rPr>
          <w:rFonts w:ascii="Arabic Typesetting" w:hAnsi="Arabic Typesetting" w:cs="Arabic Typesetting" w:hint="cs"/>
          <w:sz w:val="34"/>
          <w:szCs w:val="34"/>
          <w:rtl/>
        </w:rPr>
        <w:t> </w:t>
      </w:r>
      <w:r w:rsidRPr="00257704">
        <w:rPr>
          <w:rFonts w:ascii="Arabic Typesetting" w:hAnsi="Arabic Typesetting" w:cs="Arabic Typesetting"/>
          <w:sz w:val="34"/>
          <w:szCs w:val="34"/>
          <w:rtl/>
        </w:rPr>
        <w:t>البراءات).</w:t>
      </w:r>
    </w:p>
    <w:p w14:paraId="2BBC0A56"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وتشمل نفقات أنشطة دعم نظام معاهدة البراءات نفقات الخدمات التالية: خدمات المؤتمرات واللغات، وأعمال البناء، والإدارة التنفيذية، والمالية والميزانية، وخدمات الدعم العامة، وإدارة الموارد البشرية، والرقابة الداخلية، وتكنولوجيا المعلومات، والسلامة والأمن. وتخص حصة صغيرة من هذه النفقات (تكلفة استضافة الخادوم في المركز الدولي للحوسبة التابع للأمم المتحدة، والتكلفة المقدرة لنشر المصدر الأصلي لطلبات معاهدة البراءات (ركن البراءات) وحصة التكلفة من قسم الإيرادات في المالية) نظام معاهدة البراءات مباشرةً في حين تحسب باقي النفقات المتصلة بنظام معاهدة البراءات استناداً إلى عدد الموظفين (ومنهم الموظفون ذوو العقود المحددة المدة والموظفون المؤقت</w:t>
      </w:r>
      <w:r w:rsidRPr="00257704">
        <w:rPr>
          <w:rFonts w:ascii="Arabic Typesetting" w:hAnsi="Arabic Typesetting" w:cs="Arabic Typesetting" w:hint="cs"/>
          <w:sz w:val="34"/>
          <w:szCs w:val="34"/>
          <w:rtl/>
        </w:rPr>
        <w:t>ون</w:t>
      </w:r>
      <w:r w:rsidRPr="00257704">
        <w:rPr>
          <w:rFonts w:ascii="Arabic Typesetting" w:hAnsi="Arabic Typesetting" w:cs="Arabic Typesetting"/>
          <w:sz w:val="34"/>
          <w:szCs w:val="34"/>
          <w:rtl/>
        </w:rPr>
        <w:t xml:space="preserve"> و</w:t>
      </w:r>
      <w:r w:rsidRPr="00257704">
        <w:rPr>
          <w:rFonts w:ascii="Arabic Typesetting" w:hAnsi="Arabic Typesetting" w:cs="Arabic Typesetting" w:hint="cs"/>
          <w:sz w:val="34"/>
          <w:szCs w:val="34"/>
          <w:rtl/>
        </w:rPr>
        <w:t>المستفيدون من المنح</w:t>
      </w:r>
      <w:r w:rsidRPr="00257704">
        <w:rPr>
          <w:rFonts w:ascii="Arabic Typesetting" w:hAnsi="Arabic Typesetting" w:cs="Arabic Typesetting"/>
          <w:sz w:val="34"/>
          <w:szCs w:val="34"/>
          <w:rtl/>
        </w:rPr>
        <w:t>).</w:t>
      </w:r>
    </w:p>
    <w:p w14:paraId="67E55ACF" w14:textId="77777777" w:rsidR="00257704" w:rsidRPr="00257704" w:rsidRDefault="00257704" w:rsidP="00D94CDB">
      <w:pPr>
        <w:keepLines/>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lastRenderedPageBreak/>
        <w:t>وروجعت منهجية حساب تكلفة الوحدة في عام 2013 لمواءمتها مع سائر حسابات تكاليف الوحدات في الويبو، ولكي تبين على نحو أفضل البيئة السريعة التغير.</w:t>
      </w:r>
      <w:r w:rsidRPr="00257704">
        <w:rPr>
          <w:rFonts w:ascii="Arabic Typesetting" w:hAnsi="Arabic Typesetting" w:cs="Arabic Typesetting" w:hint="cs"/>
          <w:sz w:val="34"/>
          <w:szCs w:val="34"/>
          <w:rtl/>
        </w:rPr>
        <w:t xml:space="preserve"> </w:t>
      </w:r>
      <w:r w:rsidRPr="00257704">
        <w:rPr>
          <w:rFonts w:ascii="Arabic Typesetting" w:hAnsi="Arabic Typesetting" w:cs="Arabic Typesetting"/>
          <w:sz w:val="34"/>
          <w:szCs w:val="34"/>
          <w:rtl/>
        </w:rPr>
        <w:t>فعلى سبيل المثال كانت تشمل المنهجية القديمة، التي صممت في عام</w:t>
      </w:r>
      <w:r w:rsidRPr="00257704">
        <w:rPr>
          <w:rFonts w:ascii="Arabic Typesetting" w:hAnsi="Arabic Typesetting" w:cs="Arabic Typesetting" w:hint="cs"/>
          <w:sz w:val="34"/>
          <w:szCs w:val="34"/>
          <w:rtl/>
        </w:rPr>
        <w:t> </w:t>
      </w:r>
      <w:r w:rsidRPr="00257704">
        <w:rPr>
          <w:rFonts w:ascii="Arabic Typesetting" w:hAnsi="Arabic Typesetting" w:cs="Arabic Typesetting"/>
          <w:sz w:val="34"/>
          <w:szCs w:val="34"/>
          <w:rtl/>
        </w:rPr>
        <w:t>2007، تكلفة التخزين (لأكثر من 30 عاماً) في المخازن، في حين بلغت نسبة إيداع الطلبات الورقية (بما فيها الإيداعات بناء على نظام</w:t>
      </w:r>
      <w:r w:rsidRPr="00257704">
        <w:rPr>
          <w:rFonts w:ascii="Arabic Typesetting" w:hAnsi="Arabic Typesetting" w:cs="Arabic Typesetting" w:hint="cs"/>
          <w:sz w:val="34"/>
          <w:szCs w:val="34"/>
          <w:rtl/>
        </w:rPr>
        <w:t xml:space="preserve"> </w:t>
      </w:r>
      <w:r w:rsidRPr="00257704">
        <w:rPr>
          <w:rFonts w:ascii="Arabic Typesetting" w:hAnsi="Arabic Typesetting" w:cs="Arabic Typesetting"/>
          <w:sz w:val="34"/>
          <w:szCs w:val="34"/>
        </w:rPr>
        <w:t>PCT EASY</w:t>
      </w:r>
      <w:r w:rsidRPr="00257704">
        <w:rPr>
          <w:rFonts w:ascii="Arabic Typesetting" w:hAnsi="Arabic Typesetting" w:cs="Arabic Typesetting" w:hint="cs"/>
          <w:sz w:val="34"/>
          <w:szCs w:val="34"/>
          <w:rtl/>
        </w:rPr>
        <w:t xml:space="preserve">) أقل من 10 </w:t>
      </w:r>
      <w:r w:rsidRPr="00257704">
        <w:rPr>
          <w:rFonts w:ascii="Arabic Typesetting" w:hAnsi="Arabic Typesetting" w:cs="Arabic Typesetting"/>
          <w:sz w:val="34"/>
          <w:szCs w:val="34"/>
          <w:rtl/>
        </w:rPr>
        <w:t>في المائة من الإيداعات في عام 2013. وحسبت تكلفة الوحدة في معاهدة التعاون بشأن البراءات لعام 2012 باستخدام المنهجيتين. وبلغت تكلفة الوحدة 680 فرنكا سويسريا في عام 2012 باستخدام المنهجية القديمة في حين بلغت 712 فرنكا سويسريا باستخدام المنهجية الجديدة. ويعزى الفارق بين المبلغين وقدره 32 فرنكا سويسريا إلى المنهجية الجديدة لتخصيص التكاليف غير المباشرة</w:t>
      </w:r>
      <w:r w:rsidRPr="00257704">
        <w:rPr>
          <w:rFonts w:ascii="Arabic Typesetting" w:hAnsi="Arabic Typesetting" w:cs="Arabic Typesetting"/>
          <w:sz w:val="34"/>
          <w:szCs w:val="34"/>
        </w:rPr>
        <w:t>.</w:t>
      </w:r>
    </w:p>
    <w:p w14:paraId="64D9A1AC" w14:textId="77777777" w:rsid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وتعرف تكلفة الوحدة رسميا على النحو التالي:</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1619"/>
      </w:tblGrid>
      <w:tr w:rsidR="00557CEF" w14:paraId="331448E0" w14:textId="77777777" w:rsidTr="00DA5904">
        <w:trPr>
          <w:jc w:val="center"/>
        </w:trPr>
        <w:tc>
          <w:tcPr>
            <w:tcW w:w="0" w:type="auto"/>
            <w:vMerge w:val="restart"/>
            <w:vAlign w:val="center"/>
          </w:tcPr>
          <w:p w14:paraId="7A8B95C4" w14:textId="7B0ADA6C" w:rsidR="00557CEF" w:rsidRDefault="00557CEF" w:rsidP="00DA5904">
            <w:pPr>
              <w:bidi/>
              <w:spacing w:after="240" w:line="360" w:lineRule="exact"/>
              <w:jc w:val="center"/>
              <w:rPr>
                <w:rFonts w:ascii="Arabic Typesetting" w:hAnsi="Arabic Typesetting" w:cs="Arabic Typesetting"/>
                <w:sz w:val="34"/>
                <w:szCs w:val="34"/>
                <w:rtl/>
              </w:rPr>
            </w:pPr>
            <w:r w:rsidRPr="00557CEF">
              <w:rPr>
                <w:rFonts w:ascii="Arabic Typesetting" w:hAnsi="Arabic Typesetting" w:cs="Arabic Typesetting"/>
                <w:sz w:val="34"/>
                <w:szCs w:val="34"/>
                <w:rtl/>
              </w:rPr>
              <w:t>تكلفة الوحدة =</w:t>
            </w:r>
          </w:p>
        </w:tc>
        <w:tc>
          <w:tcPr>
            <w:tcW w:w="0" w:type="auto"/>
            <w:tcBorders>
              <w:bottom w:val="single" w:sz="4" w:space="0" w:color="auto"/>
            </w:tcBorders>
          </w:tcPr>
          <w:p w14:paraId="57FD7F95" w14:textId="0D542102" w:rsidR="00557CEF" w:rsidRDefault="00557CEF" w:rsidP="00847E34">
            <w:pPr>
              <w:bidi/>
              <w:spacing w:after="120" w:line="360" w:lineRule="exact"/>
              <w:jc w:val="center"/>
              <w:rPr>
                <w:rFonts w:ascii="Arabic Typesetting" w:hAnsi="Arabic Typesetting" w:cs="Arabic Typesetting"/>
                <w:sz w:val="34"/>
                <w:szCs w:val="34"/>
                <w:rtl/>
              </w:rPr>
            </w:pPr>
            <w:r>
              <w:rPr>
                <w:rFonts w:ascii="Arabic Typesetting" w:hAnsi="Arabic Typesetting" w:cs="Arabic Typesetting" w:hint="cs"/>
                <w:sz w:val="34"/>
                <w:szCs w:val="34"/>
                <w:rtl/>
              </w:rPr>
              <w:t>إجمالي تكلفة الإنتاج</w:t>
            </w:r>
          </w:p>
        </w:tc>
      </w:tr>
      <w:tr w:rsidR="00557CEF" w14:paraId="2D0ABA8C" w14:textId="77777777" w:rsidTr="00557CEF">
        <w:trPr>
          <w:jc w:val="center"/>
        </w:trPr>
        <w:tc>
          <w:tcPr>
            <w:tcW w:w="0" w:type="auto"/>
            <w:vMerge/>
          </w:tcPr>
          <w:p w14:paraId="2C3C99BC" w14:textId="77777777" w:rsidR="00557CEF" w:rsidRDefault="00557CEF" w:rsidP="00557CEF">
            <w:pPr>
              <w:bidi/>
              <w:spacing w:after="240" w:line="360" w:lineRule="exact"/>
              <w:jc w:val="center"/>
              <w:rPr>
                <w:rFonts w:ascii="Arabic Typesetting" w:hAnsi="Arabic Typesetting" w:cs="Arabic Typesetting"/>
                <w:sz w:val="34"/>
                <w:szCs w:val="34"/>
                <w:rtl/>
              </w:rPr>
            </w:pPr>
          </w:p>
        </w:tc>
        <w:tc>
          <w:tcPr>
            <w:tcW w:w="0" w:type="auto"/>
            <w:tcBorders>
              <w:top w:val="single" w:sz="4" w:space="0" w:color="auto"/>
            </w:tcBorders>
          </w:tcPr>
          <w:p w14:paraId="2BE28B67" w14:textId="0FE7DDAD" w:rsidR="00557CEF" w:rsidRDefault="00557CEF" w:rsidP="00557CEF">
            <w:pPr>
              <w:bidi/>
              <w:spacing w:after="240" w:line="360" w:lineRule="exact"/>
              <w:jc w:val="center"/>
              <w:rPr>
                <w:rFonts w:ascii="Arabic Typesetting" w:hAnsi="Arabic Typesetting" w:cs="Arabic Typesetting"/>
                <w:sz w:val="34"/>
                <w:szCs w:val="34"/>
                <w:rtl/>
              </w:rPr>
            </w:pPr>
            <w:r>
              <w:rPr>
                <w:rFonts w:ascii="Arabic Typesetting" w:hAnsi="Arabic Typesetting" w:cs="Arabic Typesetting" w:hint="cs"/>
                <w:sz w:val="34"/>
                <w:szCs w:val="34"/>
                <w:rtl/>
              </w:rPr>
              <w:t>عدد المنشورات</w:t>
            </w:r>
          </w:p>
        </w:tc>
      </w:tr>
    </w:tbl>
    <w:p w14:paraId="2E41A374"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lang w:val="en-GB"/>
        </w:rPr>
      </w:pPr>
      <w:r w:rsidRPr="00257704">
        <w:rPr>
          <w:rFonts w:ascii="Arabic Typesetting" w:hAnsi="Arabic Typesetting" w:cs="Arabic Typesetting" w:hint="cs"/>
          <w:sz w:val="34"/>
          <w:szCs w:val="34"/>
          <w:rtl/>
          <w:lang w:val="en-GB"/>
        </w:rPr>
        <w:t>و</w:t>
      </w:r>
      <w:r w:rsidRPr="00257704">
        <w:rPr>
          <w:rFonts w:ascii="Arabic Typesetting" w:hAnsi="Arabic Typesetting" w:cs="Arabic Typesetting"/>
          <w:sz w:val="34"/>
          <w:szCs w:val="34"/>
          <w:rtl/>
          <w:lang w:val="en-GB"/>
        </w:rPr>
        <w:t>يبين الشكلان التاليان تطور تكلفة وحدة المعالجة من عام 2004 إلى عام 2012 باستخدام المنهجية القديمة ومن عام 2012 إلى عام 201</w:t>
      </w:r>
      <w:r w:rsidRPr="00257704">
        <w:rPr>
          <w:rFonts w:ascii="Arabic Typesetting" w:hAnsi="Arabic Typesetting" w:cs="Arabic Typesetting" w:hint="cs"/>
          <w:sz w:val="34"/>
          <w:szCs w:val="34"/>
          <w:rtl/>
          <w:lang w:val="en-GB"/>
        </w:rPr>
        <w:t>6</w:t>
      </w:r>
      <w:r w:rsidRPr="00257704">
        <w:rPr>
          <w:rFonts w:ascii="Arabic Typesetting" w:hAnsi="Arabic Typesetting" w:cs="Arabic Typesetting"/>
          <w:sz w:val="34"/>
          <w:szCs w:val="34"/>
          <w:rtl/>
          <w:lang w:val="en-GB"/>
        </w:rPr>
        <w:t xml:space="preserve"> باستخدام المنهجية الجديدة، بما في ذلك تفصيل لحصة التكاليف المباشرة وغير المباشرة</w:t>
      </w:r>
      <w:r w:rsidRPr="00257704">
        <w:rPr>
          <w:rFonts w:ascii="Arabic Typesetting" w:hAnsi="Arabic Typesetting" w:cs="Arabic Typesetting"/>
          <w:sz w:val="34"/>
          <w:szCs w:val="34"/>
          <w:cs/>
          <w:lang w:val="en-GB"/>
        </w:rPr>
        <w:t>‎</w:t>
      </w:r>
      <w:r w:rsidRPr="00257704">
        <w:rPr>
          <w:rFonts w:ascii="Arabic Typesetting" w:hAnsi="Arabic Typesetting" w:cs="Arabic Typesetting" w:hint="cs"/>
          <w:sz w:val="34"/>
          <w:szCs w:val="34"/>
          <w:rtl/>
          <w:lang w:val="en-GB"/>
        </w:rPr>
        <w:t>.</w:t>
      </w:r>
    </w:p>
    <w:p w14:paraId="27286DD0" w14:textId="5812F007" w:rsidR="00257704" w:rsidRDefault="00257704" w:rsidP="0031289D">
      <w:pPr>
        <w:bidi/>
        <w:spacing w:after="240" w:line="360" w:lineRule="exact"/>
        <w:jc w:val="center"/>
        <w:rPr>
          <w:rFonts w:ascii="Arabic Typesetting" w:hAnsi="Arabic Typesetting" w:cs="Arabic Typesetting"/>
          <w:b/>
          <w:bCs/>
          <w:sz w:val="34"/>
          <w:szCs w:val="34"/>
          <w:rtl/>
          <w:lang w:val="en-GB"/>
        </w:rPr>
      </w:pPr>
      <w:r w:rsidRPr="00257704">
        <w:rPr>
          <w:rFonts w:ascii="Arabic Typesetting" w:hAnsi="Arabic Typesetting" w:cs="Arabic Typesetting"/>
          <w:b/>
          <w:bCs/>
          <w:sz w:val="34"/>
          <w:szCs w:val="34"/>
          <w:rtl/>
          <w:lang w:val="en-GB"/>
        </w:rPr>
        <w:t>تكلفة وحدة معالجة طلب منشور بناء على معاهدة التعاون بشأن البراءات</w:t>
      </w:r>
    </w:p>
    <w:p w14:paraId="698F1C4D" w14:textId="06F82EC6" w:rsidR="00DF399F" w:rsidRDefault="00DF399F" w:rsidP="00DF399F">
      <w:pPr>
        <w:bidi/>
        <w:spacing w:after="240" w:line="360" w:lineRule="exact"/>
        <w:jc w:val="center"/>
        <w:rPr>
          <w:rFonts w:ascii="Arabic Typesetting" w:hAnsi="Arabic Typesetting" w:cs="Arabic Typesetting"/>
          <w:b/>
          <w:bCs/>
          <w:sz w:val="34"/>
          <w:szCs w:val="34"/>
          <w:rtl/>
          <w:lang w:val="en-GB"/>
        </w:rPr>
      </w:pPr>
      <w:r>
        <w:rPr>
          <w:rFonts w:ascii="Arabic Typesetting" w:hAnsi="Arabic Typesetting" w:cs="Arabic Typesetting" w:hint="cs"/>
          <w:b/>
          <w:bCs/>
          <w:sz w:val="34"/>
          <w:szCs w:val="34"/>
          <w:rtl/>
          <w:lang w:val="en-GB"/>
        </w:rPr>
        <w:t>الطريقة القديمة</w:t>
      </w:r>
    </w:p>
    <w:p w14:paraId="7A270CEF" w14:textId="1660231E" w:rsidR="00DF399F" w:rsidRPr="00257704" w:rsidRDefault="00DF399F" w:rsidP="00F9431D">
      <w:pPr>
        <w:bidi/>
        <w:spacing w:after="240"/>
        <w:jc w:val="center"/>
        <w:rPr>
          <w:rFonts w:ascii="Arabic Typesetting" w:hAnsi="Arabic Typesetting" w:cs="Arabic Typesetting"/>
          <w:b/>
          <w:bCs/>
          <w:sz w:val="34"/>
          <w:szCs w:val="34"/>
          <w:lang w:val="en-GB"/>
        </w:rPr>
      </w:pPr>
      <w:r>
        <w:rPr>
          <w:rFonts w:ascii="Arabic Typesetting" w:hAnsi="Arabic Typesetting" w:cs="Arabic Typesetting"/>
          <w:noProof/>
          <w:sz w:val="34"/>
          <w:szCs w:val="34"/>
        </w:rPr>
        <w:drawing>
          <wp:inline distT="0" distB="0" distL="0" distR="0" wp14:anchorId="012FF3CB" wp14:editId="30EAD64F">
            <wp:extent cx="5357933" cy="331470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70778" cy="3322646"/>
                    </a:xfrm>
                    <a:prstGeom prst="rect">
                      <a:avLst/>
                    </a:prstGeom>
                    <a:noFill/>
                  </pic:spPr>
                </pic:pic>
              </a:graphicData>
            </a:graphic>
          </wp:inline>
        </w:drawing>
      </w:r>
    </w:p>
    <w:p w14:paraId="3048B2D5" w14:textId="23C1F466" w:rsidR="00257704" w:rsidRDefault="00DF399F" w:rsidP="00DF399F">
      <w:pPr>
        <w:keepNext/>
        <w:bidi/>
        <w:spacing w:after="240" w:line="360" w:lineRule="exact"/>
        <w:jc w:val="center"/>
        <w:rPr>
          <w:rFonts w:ascii="Arabic Typesetting" w:hAnsi="Arabic Typesetting" w:cs="Arabic Typesetting"/>
          <w:bCs/>
          <w:sz w:val="34"/>
          <w:szCs w:val="34"/>
          <w:rtl/>
        </w:rPr>
      </w:pPr>
      <w:r w:rsidRPr="00257704">
        <w:rPr>
          <w:rFonts w:ascii="Arabic Typesetting" w:hAnsi="Arabic Typesetting" w:cs="Arabic Typesetting"/>
          <w:bCs/>
          <w:sz w:val="34"/>
          <w:szCs w:val="34"/>
          <w:rtl/>
        </w:rPr>
        <w:lastRenderedPageBreak/>
        <w:t>الطريقة الجديدة</w:t>
      </w:r>
    </w:p>
    <w:p w14:paraId="62C9B4FC" w14:textId="13671B04" w:rsidR="00DF399F" w:rsidRPr="00257704" w:rsidRDefault="00F9431D" w:rsidP="00DF399F">
      <w:pPr>
        <w:bidi/>
        <w:spacing w:after="240"/>
        <w:jc w:val="center"/>
        <w:rPr>
          <w:rFonts w:ascii="Arabic Typesetting" w:hAnsi="Arabic Typesetting" w:cs="Arabic Typesetting"/>
          <w:sz w:val="34"/>
          <w:szCs w:val="34"/>
          <w:highlight w:val="lightGray"/>
          <w:lang w:bidi="ar-EG"/>
        </w:rPr>
      </w:pPr>
      <w:r>
        <w:rPr>
          <w:rFonts w:ascii="Arabic Typesetting" w:hAnsi="Arabic Typesetting" w:cs="Arabic Typesetting"/>
          <w:noProof/>
          <w:sz w:val="34"/>
          <w:szCs w:val="34"/>
        </w:rPr>
        <w:drawing>
          <wp:inline distT="0" distB="0" distL="0" distR="0" wp14:anchorId="6ECC1278" wp14:editId="4CD23B9F">
            <wp:extent cx="5162550" cy="3286462"/>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4673" cy="3294179"/>
                    </a:xfrm>
                    <a:prstGeom prst="rect">
                      <a:avLst/>
                    </a:prstGeom>
                    <a:noFill/>
                  </pic:spPr>
                </pic:pic>
              </a:graphicData>
            </a:graphic>
          </wp:inline>
        </w:drawing>
      </w:r>
    </w:p>
    <w:p w14:paraId="79309A44" w14:textId="74361F79" w:rsidR="00257704" w:rsidRPr="00257704" w:rsidRDefault="00257704" w:rsidP="00D94CDB">
      <w:pPr>
        <w:numPr>
          <w:ilvl w:val="0"/>
          <w:numId w:val="71"/>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بلغ متوسط تكلفة معالجة طلب منشور بناء على معاهدة التعاون بشأن البراءات 685 فرنكا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سويسريا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في عام</w:t>
      </w:r>
      <w:r w:rsidRPr="00257704">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2016، أي بانخفاض نسبته 6.8 في المائة مقارنة بعام 2015</w:t>
      </w:r>
      <w:r w:rsidRPr="00257704">
        <w:rPr>
          <w:rFonts w:ascii="Arabic Typesetting" w:eastAsiaTheme="minorHAnsi" w:hAnsi="Arabic Typesetting" w:cs="Arabic Typesetting" w:hint="cs"/>
          <w:sz w:val="34"/>
          <w:szCs w:val="34"/>
          <w:rtl/>
        </w:rPr>
        <w:t xml:space="preserve">. </w:t>
      </w:r>
      <w:r w:rsidRPr="00257704">
        <w:rPr>
          <w:rFonts w:ascii="Arabic Typesetting" w:eastAsiaTheme="minorHAnsi" w:hAnsi="Arabic Typesetting" w:cs="Arabic Typesetting"/>
          <w:sz w:val="34"/>
          <w:szCs w:val="34"/>
          <w:rtl/>
        </w:rPr>
        <w:t>و</w:t>
      </w:r>
      <w:r w:rsidRPr="00257704">
        <w:rPr>
          <w:rFonts w:ascii="Arabic Typesetting" w:eastAsiaTheme="minorHAnsi" w:hAnsi="Arabic Typesetting" w:cs="Arabic Typesetting" w:hint="cs"/>
          <w:sz w:val="34"/>
          <w:szCs w:val="34"/>
          <w:rtl/>
        </w:rPr>
        <w:t xml:space="preserve">كان </w:t>
      </w:r>
      <w:r w:rsidRPr="00257704">
        <w:rPr>
          <w:rFonts w:ascii="Arabic Typesetting" w:eastAsiaTheme="minorHAnsi" w:hAnsi="Arabic Typesetting" w:cs="Arabic Typesetting"/>
          <w:sz w:val="34"/>
          <w:szCs w:val="34"/>
          <w:rtl/>
        </w:rPr>
        <w:t>هذا ال</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 xml:space="preserve">نخفاض </w:t>
      </w:r>
      <w:r w:rsidRPr="00257704">
        <w:rPr>
          <w:rFonts w:ascii="Arabic Typesetting" w:eastAsiaTheme="minorHAnsi" w:hAnsi="Arabic Typesetting" w:cs="Arabic Typesetting" w:hint="cs"/>
          <w:sz w:val="34"/>
          <w:szCs w:val="34"/>
          <w:rtl/>
        </w:rPr>
        <w:t xml:space="preserve">بسبب </w:t>
      </w:r>
      <w:r w:rsidRPr="00257704">
        <w:rPr>
          <w:rFonts w:ascii="Arabic Typesetting" w:eastAsiaTheme="minorHAnsi" w:hAnsi="Arabic Typesetting" w:cs="Arabic Typesetting"/>
          <w:sz w:val="34"/>
          <w:szCs w:val="34"/>
          <w:rtl/>
        </w:rPr>
        <w:t>انخفاض إجمالي تكلفة ا</w:t>
      </w:r>
      <w:r w:rsidRPr="00257704">
        <w:rPr>
          <w:rFonts w:ascii="Arabic Typesetting" w:eastAsiaTheme="minorHAnsi" w:hAnsi="Arabic Typesetting" w:cs="Arabic Typesetting" w:hint="cs"/>
          <w:sz w:val="34"/>
          <w:szCs w:val="34"/>
          <w:rtl/>
        </w:rPr>
        <w:t>ل</w:t>
      </w:r>
      <w:r w:rsidRPr="00257704">
        <w:rPr>
          <w:rFonts w:ascii="Arabic Typesetting" w:eastAsiaTheme="minorHAnsi" w:hAnsi="Arabic Typesetting" w:cs="Arabic Typesetting"/>
          <w:sz w:val="34"/>
          <w:szCs w:val="34"/>
          <w:rtl/>
        </w:rPr>
        <w:t>إنتاج على الرغم من الزيادة في العدد ا</w:t>
      </w:r>
      <w:r w:rsidRPr="00257704">
        <w:rPr>
          <w:rFonts w:ascii="Arabic Typesetting" w:eastAsiaTheme="minorHAnsi" w:hAnsi="Arabic Typesetting" w:cs="Arabic Typesetting" w:hint="cs"/>
          <w:sz w:val="34"/>
          <w:szCs w:val="34"/>
          <w:rtl/>
        </w:rPr>
        <w:t>ل</w:t>
      </w:r>
      <w:r w:rsidRPr="00257704">
        <w:rPr>
          <w:rFonts w:ascii="Arabic Typesetting" w:eastAsiaTheme="minorHAnsi" w:hAnsi="Arabic Typesetting" w:cs="Arabic Typesetting"/>
          <w:sz w:val="34"/>
          <w:szCs w:val="34"/>
          <w:rtl/>
        </w:rPr>
        <w:t>إجمالي لل</w:t>
      </w:r>
      <w:r w:rsidRPr="00257704">
        <w:rPr>
          <w:rFonts w:ascii="Arabic Typesetting" w:eastAsiaTheme="minorHAnsi" w:hAnsi="Arabic Typesetting" w:cs="Arabic Typesetting" w:hint="cs"/>
          <w:sz w:val="34"/>
          <w:szCs w:val="34"/>
          <w:rtl/>
        </w:rPr>
        <w:t>طلبات المنشورة بناء على معاهدة التعاون بشأن البراءات</w:t>
      </w:r>
      <w:r w:rsidRPr="00257704">
        <w:rPr>
          <w:rFonts w:ascii="Arabic Typesetting" w:eastAsiaTheme="minorHAnsi" w:hAnsi="Arabic Typesetting" w:cs="Arabic Typesetting"/>
          <w:sz w:val="34"/>
          <w:szCs w:val="34"/>
          <w:rtl/>
        </w:rPr>
        <w:t xml:space="preserve">. وكان هذا أقل متوسط للتكلفة للفترة </w:t>
      </w:r>
      <w:r w:rsidRPr="00257704">
        <w:rPr>
          <w:rFonts w:ascii="Arabic Typesetting" w:eastAsiaTheme="minorHAnsi" w:hAnsi="Arabic Typesetting" w:cs="Arabic Typesetting" w:hint="cs"/>
          <w:sz w:val="34"/>
          <w:szCs w:val="34"/>
          <w:rtl/>
        </w:rPr>
        <w:t xml:space="preserve">من </w:t>
      </w:r>
      <w:r w:rsidRPr="00257704">
        <w:rPr>
          <w:rFonts w:ascii="Arabic Typesetting" w:eastAsiaTheme="minorHAnsi" w:hAnsi="Arabic Typesetting" w:cs="Arabic Typesetting"/>
          <w:sz w:val="34"/>
          <w:szCs w:val="34"/>
          <w:rtl/>
        </w:rPr>
        <w:t>2012</w:t>
      </w:r>
      <w:r w:rsidRPr="00257704">
        <w:rPr>
          <w:rFonts w:ascii="Arabic Typesetting" w:eastAsiaTheme="minorHAnsi" w:hAnsi="Arabic Typesetting" w:cs="Arabic Typesetting" w:hint="cs"/>
          <w:sz w:val="34"/>
          <w:szCs w:val="34"/>
          <w:rtl/>
        </w:rPr>
        <w:t xml:space="preserve"> إلى 20</w:t>
      </w:r>
      <w:r w:rsidRPr="00257704">
        <w:rPr>
          <w:rFonts w:ascii="Arabic Typesetting" w:eastAsiaTheme="minorHAnsi" w:hAnsi="Arabic Typesetting" w:cs="Arabic Typesetting"/>
          <w:sz w:val="34"/>
          <w:szCs w:val="34"/>
          <w:rtl/>
        </w:rPr>
        <w:t>16، بعد انخفاض تكلفة الوحدة بشكل استثنائي في عام</w:t>
      </w:r>
      <w:r>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2014.</w:t>
      </w:r>
    </w:p>
    <w:p w14:paraId="589B26BA"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t>إنتاجية فحص الإجراءات الشكلية</w:t>
      </w:r>
    </w:p>
    <w:p w14:paraId="5329895B"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lang w:val="en-GB"/>
        </w:rPr>
      </w:pPr>
      <w:r w:rsidRPr="00257704">
        <w:rPr>
          <w:rFonts w:ascii="Arabic Typesetting" w:hAnsi="Arabic Typesetting" w:cs="Arabic Typesetting"/>
          <w:sz w:val="34"/>
          <w:szCs w:val="34"/>
          <w:rtl/>
          <w:lang w:val="en-GB"/>
        </w:rPr>
        <w:t>ت</w:t>
      </w:r>
      <w:r w:rsidRPr="00257704">
        <w:rPr>
          <w:rFonts w:ascii="Arabic Typesetting" w:hAnsi="Arabic Typesetting" w:cs="Arabic Typesetting" w:hint="cs"/>
          <w:sz w:val="34"/>
          <w:szCs w:val="34"/>
          <w:rtl/>
          <w:lang w:val="en-GB"/>
        </w:rPr>
        <w:t>ُ</w:t>
      </w:r>
      <w:r w:rsidRPr="00257704">
        <w:rPr>
          <w:rFonts w:ascii="Arabic Typesetting" w:hAnsi="Arabic Typesetting" w:cs="Arabic Typesetting"/>
          <w:sz w:val="34"/>
          <w:szCs w:val="34"/>
          <w:rtl/>
          <w:lang w:val="en-GB"/>
        </w:rPr>
        <w:t>عر</w:t>
      </w:r>
      <w:r w:rsidRPr="00257704">
        <w:rPr>
          <w:rFonts w:ascii="Arabic Typesetting" w:hAnsi="Arabic Typesetting" w:cs="Arabic Typesetting" w:hint="cs"/>
          <w:sz w:val="34"/>
          <w:szCs w:val="34"/>
          <w:rtl/>
          <w:lang w:val="en-GB"/>
        </w:rPr>
        <w:t>َّ</w:t>
      </w:r>
      <w:r w:rsidRPr="00257704">
        <w:rPr>
          <w:rFonts w:ascii="Arabic Typesetting" w:hAnsi="Arabic Typesetting" w:cs="Arabic Typesetting"/>
          <w:sz w:val="34"/>
          <w:szCs w:val="34"/>
          <w:rtl/>
          <w:lang w:val="en-GB"/>
        </w:rPr>
        <w:t>ف إنتاجية الموظفين على أنها المخرجات (أي عدد منشورات معاهدة التعاون بشأن البراءات) مقسمة على عدد الموظفين المتاحين لفحص الإجراءات الشكلية.</w:t>
      </w:r>
    </w:p>
    <w:p w14:paraId="7B875573" w14:textId="77777777" w:rsidR="00257704" w:rsidRPr="00257704" w:rsidRDefault="00257704" w:rsidP="0031289D">
      <w:pPr>
        <w:keepNext/>
        <w:keepLines/>
        <w:bidi/>
        <w:spacing w:after="240" w:line="360" w:lineRule="exact"/>
        <w:ind w:left="144"/>
        <w:jc w:val="center"/>
        <w:rPr>
          <w:rFonts w:ascii="Arabic Typesetting" w:hAnsi="Arabic Typesetting" w:cs="Arabic Typesetting"/>
          <w:bCs/>
          <w:sz w:val="34"/>
          <w:szCs w:val="34"/>
        </w:rPr>
      </w:pPr>
      <w:r w:rsidRPr="00257704">
        <w:rPr>
          <w:rFonts w:ascii="Arabic Typesetting" w:hAnsi="Arabic Typesetting" w:cs="Arabic Typesetting"/>
          <w:bCs/>
          <w:sz w:val="34"/>
          <w:szCs w:val="34"/>
          <w:rtl/>
        </w:rPr>
        <w:t>إنتاجية فحص الإجراءات الشكلية</w:t>
      </w:r>
    </w:p>
    <w:p w14:paraId="11E6247A" w14:textId="16DB89B5" w:rsidR="00257704" w:rsidRPr="00257704" w:rsidRDefault="003D16F1" w:rsidP="0031289D">
      <w:pPr>
        <w:bidi/>
        <w:spacing w:after="240" w:line="276" w:lineRule="auto"/>
        <w:jc w:val="center"/>
        <w:rPr>
          <w:rFonts w:ascii="Arabic Typesetting" w:hAnsi="Arabic Typesetting" w:cs="Arabic Typesetting"/>
          <w:bCs/>
          <w:sz w:val="34"/>
          <w:szCs w:val="34"/>
          <w:highlight w:val="red"/>
          <w:lang w:val="en-GB"/>
        </w:rPr>
      </w:pPr>
      <w:r>
        <w:rPr>
          <w:rFonts w:ascii="Arabic Typesetting" w:hAnsi="Arabic Typesetting" w:cs="Arabic Typesetting"/>
          <w:bCs/>
          <w:noProof/>
          <w:sz w:val="34"/>
          <w:szCs w:val="34"/>
        </w:rPr>
        <w:drawing>
          <wp:inline distT="0" distB="0" distL="0" distR="0" wp14:anchorId="36F159E9" wp14:editId="64FE3B4A">
            <wp:extent cx="4934442" cy="2524620"/>
            <wp:effectExtent l="0" t="0" r="8255" b="444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4442" cy="2524620"/>
                    </a:xfrm>
                    <a:prstGeom prst="rect">
                      <a:avLst/>
                    </a:prstGeom>
                    <a:noFill/>
                  </pic:spPr>
                </pic:pic>
              </a:graphicData>
            </a:graphic>
          </wp:inline>
        </w:drawing>
      </w:r>
    </w:p>
    <w:p w14:paraId="45120DFF" w14:textId="77777777" w:rsidR="00257704" w:rsidRPr="00257704" w:rsidRDefault="00257704" w:rsidP="00D94CDB">
      <w:pPr>
        <w:numPr>
          <w:ilvl w:val="0"/>
          <w:numId w:val="71"/>
        </w:numPr>
        <w:tabs>
          <w:tab w:val="clear" w:pos="720"/>
        </w:tabs>
        <w:bidi/>
        <w:spacing w:after="240" w:line="360" w:lineRule="exact"/>
        <w:ind w:left="1134" w:hanging="567"/>
        <w:jc w:val="both"/>
        <w:rPr>
          <w:rFonts w:ascii="Arabic Typesetting" w:hAnsi="Arabic Typesetting" w:cs="Arabic Typesetting"/>
          <w:sz w:val="34"/>
          <w:szCs w:val="34"/>
          <w:lang w:val="en-GB"/>
        </w:rPr>
      </w:pPr>
      <w:r w:rsidRPr="00257704">
        <w:rPr>
          <w:rFonts w:ascii="Arabic Typesetting" w:hAnsi="Arabic Typesetting" w:cs="Arabic Typesetting" w:hint="cs"/>
          <w:sz w:val="34"/>
          <w:szCs w:val="34"/>
          <w:rtl/>
          <w:lang w:val="en-GB"/>
        </w:rPr>
        <w:lastRenderedPageBreak/>
        <w:t xml:space="preserve">تزداد </w:t>
      </w:r>
      <w:r w:rsidRPr="00257704">
        <w:rPr>
          <w:rFonts w:ascii="Arabic Typesetting" w:hAnsi="Arabic Typesetting" w:cs="Arabic Typesetting"/>
          <w:sz w:val="34"/>
          <w:szCs w:val="34"/>
          <w:rtl/>
          <w:lang w:val="en-GB"/>
        </w:rPr>
        <w:t xml:space="preserve">إنتاجية فحص الإجراءات الشكلية </w:t>
      </w:r>
      <w:r w:rsidRPr="00257704">
        <w:rPr>
          <w:rFonts w:ascii="Arabic Typesetting" w:hAnsi="Arabic Typesetting" w:cs="Arabic Typesetting" w:hint="cs"/>
          <w:sz w:val="34"/>
          <w:szCs w:val="34"/>
          <w:rtl/>
          <w:lang w:val="en-GB"/>
        </w:rPr>
        <w:t>ب</w:t>
      </w:r>
      <w:r w:rsidRPr="00257704">
        <w:rPr>
          <w:rFonts w:ascii="Arabic Typesetting" w:hAnsi="Arabic Typesetting" w:cs="Arabic Typesetting"/>
          <w:sz w:val="34"/>
          <w:szCs w:val="34"/>
          <w:rtl/>
          <w:lang w:val="en-GB"/>
        </w:rPr>
        <w:t>مرور الوقت، ويرجع ذلك</w:t>
      </w:r>
      <w:r w:rsidRPr="00257704">
        <w:rPr>
          <w:rFonts w:ascii="Arabic Typesetting" w:hAnsi="Arabic Typesetting" w:cs="Arabic Typesetting" w:hint="cs"/>
          <w:sz w:val="34"/>
          <w:szCs w:val="34"/>
          <w:rtl/>
          <w:lang w:val="en-GB"/>
        </w:rPr>
        <w:t xml:space="preserve"> في المقام الأول</w:t>
      </w:r>
      <w:r w:rsidRPr="00257704">
        <w:rPr>
          <w:rFonts w:ascii="Arabic Typesetting" w:hAnsi="Arabic Typesetting" w:cs="Arabic Typesetting"/>
          <w:sz w:val="34"/>
          <w:szCs w:val="34"/>
          <w:rtl/>
          <w:lang w:val="en-GB"/>
        </w:rPr>
        <w:t xml:space="preserve"> إلى</w:t>
      </w:r>
      <w:r w:rsidRPr="00257704">
        <w:rPr>
          <w:rFonts w:ascii="Arabic Typesetting" w:hAnsi="Arabic Typesetting" w:cs="Arabic Typesetting" w:hint="cs"/>
          <w:sz w:val="34"/>
          <w:szCs w:val="34"/>
          <w:rtl/>
          <w:lang w:val="en-GB"/>
        </w:rPr>
        <w:t xml:space="preserve"> الأتمتة، مما يسمح بمعالجة </w:t>
      </w:r>
      <w:r w:rsidRPr="00257704">
        <w:rPr>
          <w:rFonts w:ascii="Arabic Typesetting" w:hAnsi="Arabic Typesetting" w:cs="Arabic Typesetting"/>
          <w:sz w:val="34"/>
          <w:szCs w:val="34"/>
          <w:rtl/>
          <w:lang w:val="en-GB"/>
        </w:rPr>
        <w:t xml:space="preserve">أعباء عمل أكبر بكثير </w:t>
      </w:r>
      <w:r w:rsidRPr="00257704">
        <w:rPr>
          <w:rFonts w:ascii="Arabic Typesetting" w:hAnsi="Arabic Typesetting" w:cs="Arabic Typesetting" w:hint="cs"/>
          <w:sz w:val="34"/>
          <w:szCs w:val="34"/>
          <w:rtl/>
          <w:lang w:val="en-GB"/>
        </w:rPr>
        <w:t>بعدد أقل أو مساو من ال</w:t>
      </w:r>
      <w:r w:rsidRPr="00257704">
        <w:rPr>
          <w:rFonts w:ascii="Arabic Typesetting" w:hAnsi="Arabic Typesetting" w:cs="Arabic Typesetting"/>
          <w:sz w:val="34"/>
          <w:szCs w:val="34"/>
          <w:rtl/>
          <w:lang w:val="en-GB"/>
        </w:rPr>
        <w:t>موظفين.</w:t>
      </w:r>
    </w:p>
    <w:p w14:paraId="60AFD9E2" w14:textId="77777777" w:rsidR="00257704" w:rsidRPr="00257704" w:rsidRDefault="00257704" w:rsidP="00D94CDB">
      <w:pPr>
        <w:numPr>
          <w:ilvl w:val="0"/>
          <w:numId w:val="71"/>
        </w:numPr>
        <w:tabs>
          <w:tab w:val="clear" w:pos="720"/>
        </w:tabs>
        <w:bidi/>
        <w:spacing w:after="240" w:line="360" w:lineRule="exact"/>
        <w:ind w:left="1134" w:hanging="567"/>
        <w:jc w:val="both"/>
        <w:rPr>
          <w:rFonts w:ascii="Arabic Typesetting" w:hAnsi="Arabic Typesetting" w:cs="Arabic Typesetting"/>
          <w:sz w:val="34"/>
          <w:szCs w:val="34"/>
          <w:lang w:val="en-GB"/>
        </w:rPr>
      </w:pPr>
      <w:r w:rsidRPr="00257704">
        <w:rPr>
          <w:rFonts w:ascii="Arabic Typesetting" w:hAnsi="Arabic Typesetting" w:cs="Arabic Typesetting"/>
          <w:sz w:val="34"/>
          <w:szCs w:val="34"/>
          <w:rtl/>
          <w:lang w:val="en-GB"/>
        </w:rPr>
        <w:t xml:space="preserve">في عام 2016، زادت إنتاجية فحص </w:t>
      </w:r>
      <w:r w:rsidRPr="00257704">
        <w:rPr>
          <w:rFonts w:ascii="Arabic Typesetting" w:hAnsi="Arabic Typesetting" w:cs="Arabic Typesetting" w:hint="cs"/>
          <w:sz w:val="34"/>
          <w:szCs w:val="34"/>
          <w:rtl/>
          <w:lang w:val="en-GB"/>
        </w:rPr>
        <w:t xml:space="preserve">الإجراءات </w:t>
      </w:r>
      <w:r w:rsidRPr="00257704">
        <w:rPr>
          <w:rFonts w:ascii="Arabic Typesetting" w:hAnsi="Arabic Typesetting" w:cs="Arabic Typesetting"/>
          <w:sz w:val="34"/>
          <w:szCs w:val="34"/>
          <w:rtl/>
          <w:lang w:val="en-GB"/>
        </w:rPr>
        <w:t>الشكلي</w:t>
      </w:r>
      <w:r w:rsidRPr="00257704">
        <w:rPr>
          <w:rFonts w:ascii="Arabic Typesetting" w:hAnsi="Arabic Typesetting" w:cs="Arabic Typesetting" w:hint="cs"/>
          <w:sz w:val="34"/>
          <w:szCs w:val="34"/>
          <w:rtl/>
          <w:lang w:val="en-GB"/>
        </w:rPr>
        <w:t>ة</w:t>
      </w:r>
      <w:r w:rsidRPr="00257704">
        <w:rPr>
          <w:rFonts w:ascii="Arabic Typesetting" w:hAnsi="Arabic Typesetting" w:cs="Arabic Typesetting"/>
          <w:sz w:val="34"/>
          <w:szCs w:val="34"/>
          <w:rtl/>
          <w:lang w:val="en-GB"/>
        </w:rPr>
        <w:t xml:space="preserve"> بنسبة 5.4 في المائة مقارنة بعام 2015.</w:t>
      </w:r>
    </w:p>
    <w:p w14:paraId="5546A2AB"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t>الجودة الإجمالية لفحص الإجراءات الشكلية</w:t>
      </w:r>
    </w:p>
    <w:p w14:paraId="11DB65B9"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lang w:val="en-GB"/>
        </w:rPr>
      </w:pPr>
      <w:r w:rsidRPr="00257704">
        <w:rPr>
          <w:rFonts w:ascii="Arabic Typesetting" w:hAnsi="Arabic Typesetting" w:cs="Arabic Typesetting"/>
          <w:sz w:val="34"/>
          <w:szCs w:val="34"/>
          <w:rtl/>
          <w:lang w:val="en-GB"/>
        </w:rPr>
        <w:t>سعيا إلى قياس جودة العمل الذي يضطلع به المكتب الدولي بطريقة بسيطة وشاملة، طور المكتب مؤشرا للجودة الإجمالية، يحسب كمتوسط أربعة مؤشرات رئيسية للجودة، تقوم ثلاثة منها على توقيت المعاملات الرئيسية في نظام المعاهدة: وهي الإشعار باستلام النسخة الأصلية والنشر وإعادة النشر. ويبين المؤشر الرابع عدد الأخطاء المرتكبة خلال معالجة طلبات معاهدة التعاون بشأن البراءات.</w:t>
      </w:r>
    </w:p>
    <w:p w14:paraId="28DA1764" w14:textId="77777777" w:rsidR="00257704" w:rsidRPr="00257704" w:rsidRDefault="00257704" w:rsidP="0031289D">
      <w:pPr>
        <w:keepNext/>
        <w:keepLines/>
        <w:bidi/>
        <w:spacing w:after="240" w:line="360" w:lineRule="exact"/>
        <w:ind w:left="144"/>
        <w:jc w:val="center"/>
        <w:rPr>
          <w:rFonts w:ascii="Arabic Typesetting" w:hAnsi="Arabic Typesetting" w:cs="Arabic Typesetting"/>
          <w:bCs/>
          <w:sz w:val="34"/>
          <w:szCs w:val="34"/>
        </w:rPr>
      </w:pPr>
      <w:r w:rsidRPr="00257704">
        <w:rPr>
          <w:rFonts w:ascii="Arabic Typesetting" w:hAnsi="Arabic Typesetting" w:cs="Arabic Typesetting"/>
          <w:bCs/>
          <w:sz w:val="34"/>
          <w:szCs w:val="34"/>
          <w:rtl/>
        </w:rPr>
        <w:t>مؤشر جودة فحص الإجراءات الشكلية</w:t>
      </w:r>
    </w:p>
    <w:p w14:paraId="51C01F1C" w14:textId="59B9E8F3" w:rsidR="00257704" w:rsidRPr="00257704" w:rsidRDefault="003D16F1" w:rsidP="0031289D">
      <w:pPr>
        <w:keepNext/>
        <w:keepLines/>
        <w:bidi/>
        <w:spacing w:after="240" w:line="276" w:lineRule="auto"/>
        <w:jc w:val="center"/>
        <w:rPr>
          <w:rFonts w:ascii="Arabic Typesetting" w:hAnsi="Arabic Typesetting" w:cs="Arabic Typesetting"/>
          <w:b/>
          <w:bCs/>
          <w:sz w:val="36"/>
          <w:szCs w:val="36"/>
          <w:lang w:val="en-GB"/>
        </w:rPr>
      </w:pPr>
      <w:r>
        <w:rPr>
          <w:rFonts w:ascii="Arabic Typesetting" w:hAnsi="Arabic Typesetting" w:cs="Arabic Typesetting"/>
          <w:b/>
          <w:bCs/>
          <w:noProof/>
          <w:sz w:val="36"/>
          <w:szCs w:val="36"/>
        </w:rPr>
        <w:drawing>
          <wp:inline distT="0" distB="0" distL="0" distR="0" wp14:anchorId="1B54ADCA" wp14:editId="5A5C8E96">
            <wp:extent cx="5495925" cy="2499155"/>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0797" cy="2501370"/>
                    </a:xfrm>
                    <a:prstGeom prst="rect">
                      <a:avLst/>
                    </a:prstGeom>
                    <a:noFill/>
                  </pic:spPr>
                </pic:pic>
              </a:graphicData>
            </a:graphic>
          </wp:inline>
        </w:drawing>
      </w:r>
    </w:p>
    <w:p w14:paraId="52764F76" w14:textId="77777777" w:rsidR="00257704" w:rsidRPr="00257704" w:rsidRDefault="00257704" w:rsidP="00D94CDB">
      <w:pPr>
        <w:numPr>
          <w:ilvl w:val="0"/>
          <w:numId w:val="71"/>
        </w:numPr>
        <w:tabs>
          <w:tab w:val="clear" w:pos="720"/>
        </w:tabs>
        <w:bidi/>
        <w:spacing w:after="240" w:line="360" w:lineRule="exact"/>
        <w:ind w:left="1134" w:hanging="567"/>
        <w:jc w:val="both"/>
        <w:rPr>
          <w:rFonts w:ascii="Arabic Typesetting" w:hAnsi="Arabic Typesetting" w:cs="Arabic Typesetting"/>
          <w:sz w:val="34"/>
          <w:szCs w:val="34"/>
          <w:lang w:val="en-GB"/>
        </w:rPr>
      </w:pPr>
      <w:r w:rsidRPr="00257704">
        <w:rPr>
          <w:rFonts w:ascii="Arabic Typesetting" w:hAnsi="Arabic Typesetting" w:cs="Arabic Typesetting"/>
          <w:sz w:val="34"/>
          <w:szCs w:val="34"/>
          <w:rtl/>
          <w:lang w:val="en-GB"/>
        </w:rPr>
        <w:t>تحسنت الجودة الإجمالية، المقاسة بالمؤشر المركب، تحسنا</w:t>
      </w:r>
      <w:r w:rsidRPr="00257704">
        <w:rPr>
          <w:rFonts w:ascii="Arabic Typesetting" w:hAnsi="Arabic Typesetting" w:cs="Arabic Typesetting" w:hint="cs"/>
          <w:sz w:val="34"/>
          <w:szCs w:val="34"/>
          <w:rtl/>
          <w:lang w:val="en-GB"/>
        </w:rPr>
        <w:t>ً</w:t>
      </w:r>
      <w:r w:rsidRPr="00257704">
        <w:rPr>
          <w:rFonts w:ascii="Arabic Typesetting" w:hAnsi="Arabic Typesetting" w:cs="Arabic Typesetting"/>
          <w:sz w:val="34"/>
          <w:szCs w:val="34"/>
          <w:rtl/>
          <w:lang w:val="en-GB"/>
        </w:rPr>
        <w:t xml:space="preserve"> ملحوظا</w:t>
      </w:r>
      <w:r w:rsidRPr="00257704">
        <w:rPr>
          <w:rFonts w:ascii="Arabic Typesetting" w:hAnsi="Arabic Typesetting" w:cs="Arabic Typesetting" w:hint="cs"/>
          <w:sz w:val="34"/>
          <w:szCs w:val="34"/>
          <w:rtl/>
          <w:lang w:val="en-GB"/>
        </w:rPr>
        <w:t>ً</w:t>
      </w:r>
      <w:r w:rsidRPr="00257704">
        <w:rPr>
          <w:rFonts w:ascii="Arabic Typesetting" w:hAnsi="Arabic Typesetting" w:cs="Arabic Typesetting"/>
          <w:sz w:val="34"/>
          <w:szCs w:val="34"/>
          <w:rtl/>
          <w:lang w:val="en-GB"/>
        </w:rPr>
        <w:t xml:space="preserve"> من متوسط قدره 81 في المائة في عام</w:t>
      </w:r>
      <w:r w:rsidRPr="00257704">
        <w:rPr>
          <w:rFonts w:ascii="Arabic Typesetting" w:hAnsi="Arabic Typesetting" w:cs="Arabic Typesetting" w:hint="cs"/>
          <w:sz w:val="34"/>
          <w:szCs w:val="34"/>
          <w:rtl/>
          <w:lang w:val="en-GB"/>
        </w:rPr>
        <w:t> </w:t>
      </w:r>
      <w:r w:rsidRPr="00257704">
        <w:rPr>
          <w:rFonts w:ascii="Arabic Typesetting" w:hAnsi="Arabic Typesetting" w:cs="Arabic Typesetting"/>
          <w:sz w:val="34"/>
          <w:szCs w:val="34"/>
          <w:rtl/>
          <w:lang w:val="en-GB"/>
        </w:rPr>
        <w:t>2007 إلى 95.1 في المائة في عام 2016.</w:t>
      </w:r>
    </w:p>
    <w:p w14:paraId="1FD336FD"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t>توقيت فحص الإجراءات الشكلية</w:t>
      </w:r>
    </w:p>
    <w:p w14:paraId="04F14894"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b/>
          <w:sz w:val="34"/>
          <w:szCs w:val="34"/>
        </w:rPr>
      </w:pPr>
      <w:r w:rsidRPr="00257704">
        <w:rPr>
          <w:rFonts w:ascii="Arabic Typesetting" w:hAnsi="Arabic Typesetting" w:cs="Arabic Typesetting"/>
          <w:b/>
          <w:sz w:val="34"/>
          <w:szCs w:val="34"/>
          <w:rtl/>
        </w:rPr>
        <w:t>يبين هذا المؤشر بمزيد من التفاصيل أحد عناصر مؤشر الجودة المركب، وهو الوقت اللازم للمكتب الدولي لإصدار الاستمارة 301. وتصدر هذه الاستمارة عقب استكمال فحص الإجراءات الشكلية للطلب. ويحبذ المودعون تلقي هذه الاستمارة في أسرع وقت ممكن لأن ذلك فيه إشعار بتسلم المكتب الدولي للطلب، ويسمح لهم بمعرفة إن كان طلبهم تتخلله أية نواقص شكلية.</w:t>
      </w:r>
    </w:p>
    <w:p w14:paraId="3779FFE0" w14:textId="77777777" w:rsidR="00257704" w:rsidRPr="00257704" w:rsidRDefault="00257704" w:rsidP="0031289D">
      <w:pPr>
        <w:keepNext/>
        <w:keepLines/>
        <w:bidi/>
        <w:spacing w:after="240" w:line="360" w:lineRule="exact"/>
        <w:ind w:left="144"/>
        <w:jc w:val="center"/>
        <w:rPr>
          <w:rFonts w:ascii="Arabic Typesetting" w:hAnsi="Arabic Typesetting" w:cs="Arabic Typesetting"/>
          <w:bCs/>
          <w:sz w:val="34"/>
          <w:szCs w:val="34"/>
        </w:rPr>
      </w:pPr>
      <w:r w:rsidRPr="00257704">
        <w:rPr>
          <w:rFonts w:ascii="Arabic Typesetting" w:hAnsi="Arabic Typesetting" w:cs="Arabic Typesetting"/>
          <w:bCs/>
          <w:sz w:val="34"/>
          <w:szCs w:val="34"/>
          <w:rtl/>
        </w:rPr>
        <w:lastRenderedPageBreak/>
        <w:t>توقيت فحص الإجراءات الشكلية</w:t>
      </w:r>
    </w:p>
    <w:p w14:paraId="5E5A115C" w14:textId="04AAFB5D" w:rsidR="00257704" w:rsidRPr="00257704" w:rsidRDefault="005042B9" w:rsidP="0031289D">
      <w:pPr>
        <w:bidi/>
        <w:spacing w:after="240" w:line="276" w:lineRule="auto"/>
        <w:ind w:left="142"/>
        <w:jc w:val="center"/>
        <w:rPr>
          <w:rFonts w:ascii="Arabic Typesetting" w:hAnsi="Arabic Typesetting" w:cs="Arabic Typesetting"/>
          <w:bCs/>
          <w:i/>
          <w:sz w:val="36"/>
          <w:szCs w:val="36"/>
          <w:rtl/>
          <w:lang w:bidi="ar-EG"/>
        </w:rPr>
      </w:pPr>
      <w:r>
        <w:rPr>
          <w:rFonts w:ascii="Arabic Typesetting" w:hAnsi="Arabic Typesetting" w:cs="Arabic Typesetting"/>
          <w:bCs/>
          <w:i/>
          <w:noProof/>
          <w:sz w:val="36"/>
          <w:szCs w:val="36"/>
        </w:rPr>
        <w:drawing>
          <wp:inline distT="0" distB="0" distL="0" distR="0" wp14:anchorId="17E888F0" wp14:editId="151AA6CC">
            <wp:extent cx="4490664" cy="1951340"/>
            <wp:effectExtent l="0" t="0" r="571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14179" cy="1961558"/>
                    </a:xfrm>
                    <a:prstGeom prst="rect">
                      <a:avLst/>
                    </a:prstGeom>
                    <a:noFill/>
                  </pic:spPr>
                </pic:pic>
              </a:graphicData>
            </a:graphic>
          </wp:inline>
        </w:drawing>
      </w:r>
    </w:p>
    <w:p w14:paraId="4058E039"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t>توقيت النشر</w:t>
      </w:r>
    </w:p>
    <w:p w14:paraId="2C9EB077"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يبين هذا المؤشر بمزيد من التفاصيل أحد عناصر مؤشر الجودة المركب، وهو الوقت اللازم للمكتب الدولي لنشر الطلب. وتنص المادة 21(2)(أ) من معاهدة التعاون بشأن البراءات على أن "[...] يُجرى النشر الدولي للطلب الدولي فور انقضاء 18 شهرا من تاريخ أولوية هذا الطلب"</w:t>
      </w:r>
      <w:r w:rsidRPr="00257704">
        <w:rPr>
          <w:rFonts w:ascii="Arabic Typesetting" w:hAnsi="Arabic Typesetting" w:cs="Arabic Typesetting" w:hint="cs"/>
          <w:sz w:val="34"/>
          <w:szCs w:val="34"/>
          <w:rtl/>
        </w:rPr>
        <w:t>.</w:t>
      </w:r>
    </w:p>
    <w:p w14:paraId="5EE4A330" w14:textId="77777777" w:rsidR="00257704" w:rsidRPr="00257704" w:rsidRDefault="00257704" w:rsidP="0031289D">
      <w:pPr>
        <w:keepNext/>
        <w:keepLines/>
        <w:bidi/>
        <w:spacing w:after="240" w:line="360" w:lineRule="exact"/>
        <w:ind w:left="144"/>
        <w:jc w:val="center"/>
        <w:rPr>
          <w:rFonts w:ascii="Arabic Typesetting" w:hAnsi="Arabic Typesetting" w:cs="Arabic Typesetting"/>
          <w:bCs/>
          <w:sz w:val="34"/>
          <w:szCs w:val="34"/>
        </w:rPr>
      </w:pPr>
      <w:r w:rsidRPr="00257704">
        <w:rPr>
          <w:rFonts w:ascii="Arabic Typesetting" w:hAnsi="Arabic Typesetting" w:cs="Arabic Typesetting"/>
          <w:bCs/>
          <w:sz w:val="34"/>
          <w:szCs w:val="34"/>
          <w:rtl/>
        </w:rPr>
        <w:t>توقيت النشر</w:t>
      </w:r>
    </w:p>
    <w:p w14:paraId="0455601A" w14:textId="39C91A24" w:rsidR="00257704" w:rsidRPr="00257704" w:rsidRDefault="005042B9" w:rsidP="0031289D">
      <w:pPr>
        <w:bidi/>
        <w:spacing w:after="240" w:line="276" w:lineRule="auto"/>
        <w:ind w:left="144"/>
        <w:jc w:val="center"/>
        <w:rPr>
          <w:rFonts w:ascii="Arabic Typesetting" w:hAnsi="Arabic Typesetting" w:cs="Arabic Typesetting"/>
          <w:bCs/>
          <w:sz w:val="36"/>
          <w:szCs w:val="36"/>
        </w:rPr>
      </w:pPr>
      <w:r>
        <w:rPr>
          <w:rFonts w:ascii="Arabic Typesetting" w:hAnsi="Arabic Typesetting" w:cs="Arabic Typesetting"/>
          <w:bCs/>
          <w:noProof/>
          <w:sz w:val="36"/>
          <w:szCs w:val="36"/>
        </w:rPr>
        <w:drawing>
          <wp:inline distT="0" distB="0" distL="0" distR="0" wp14:anchorId="5F9B68AA" wp14:editId="75B0910A">
            <wp:extent cx="4596906" cy="2097874"/>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03396" cy="2100836"/>
                    </a:xfrm>
                    <a:prstGeom prst="rect">
                      <a:avLst/>
                    </a:prstGeom>
                    <a:noFill/>
                  </pic:spPr>
                </pic:pic>
              </a:graphicData>
            </a:graphic>
          </wp:inline>
        </w:drawing>
      </w:r>
    </w:p>
    <w:p w14:paraId="5A547BFE"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t>توقيت إعادة النشر</w:t>
      </w:r>
    </w:p>
    <w:p w14:paraId="7625A21A"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يبين هذا المؤشر بمزيد من التفاصيل أحد عناصر مؤشر الجودة المركب، وهو الوقت اللازم للمكتب الدولي لإعادة نشر الطلب مع تقرير البحث الدولي. ونظراً إلى تأخر إدارات البحث الدولي في تقديم تقارير البحث الدولي، ينشر عدد من الطلبات الدولية من دون هذه التقارير. وعندما تتاح هذه التقارير، سيلزم إعادة نشر الطلبات الدولية معها في أسرع وقت ممكن، لاستكمال النشر الدولي.</w:t>
      </w:r>
    </w:p>
    <w:p w14:paraId="1CC8AFB1" w14:textId="77777777" w:rsidR="00257704" w:rsidRPr="00257704" w:rsidRDefault="00257704" w:rsidP="0031289D">
      <w:pPr>
        <w:keepNext/>
        <w:keepLines/>
        <w:bidi/>
        <w:spacing w:after="240" w:line="360" w:lineRule="exact"/>
        <w:ind w:left="142"/>
        <w:jc w:val="center"/>
        <w:rPr>
          <w:rFonts w:ascii="Arabic Typesetting" w:hAnsi="Arabic Typesetting" w:cs="Arabic Typesetting"/>
          <w:bCs/>
          <w:sz w:val="34"/>
          <w:szCs w:val="34"/>
          <w:rtl/>
        </w:rPr>
      </w:pPr>
      <w:r w:rsidRPr="00257704">
        <w:rPr>
          <w:rFonts w:ascii="Arabic Typesetting" w:hAnsi="Arabic Typesetting" w:cs="Arabic Typesetting"/>
          <w:bCs/>
          <w:sz w:val="34"/>
          <w:szCs w:val="34"/>
          <w:rtl/>
        </w:rPr>
        <w:lastRenderedPageBreak/>
        <w:t>توقيت إعادة النشر</w:t>
      </w:r>
    </w:p>
    <w:p w14:paraId="5A08D086" w14:textId="35FCE42D" w:rsidR="00257704" w:rsidRPr="00257704" w:rsidRDefault="005042B9" w:rsidP="0031289D">
      <w:pPr>
        <w:bidi/>
        <w:spacing w:after="240" w:line="276" w:lineRule="auto"/>
        <w:ind w:left="142"/>
        <w:jc w:val="center"/>
        <w:rPr>
          <w:rFonts w:ascii="Arabic Typesetting" w:hAnsi="Arabic Typesetting" w:cs="Arabic Typesetting"/>
          <w:bCs/>
          <w:sz w:val="36"/>
          <w:szCs w:val="36"/>
        </w:rPr>
      </w:pPr>
      <w:r>
        <w:rPr>
          <w:rFonts w:ascii="Arabic Typesetting" w:hAnsi="Arabic Typesetting" w:cs="Arabic Typesetting"/>
          <w:bCs/>
          <w:noProof/>
          <w:sz w:val="36"/>
          <w:szCs w:val="36"/>
        </w:rPr>
        <w:drawing>
          <wp:inline distT="0" distB="0" distL="0" distR="0" wp14:anchorId="69530DE8" wp14:editId="08E1378C">
            <wp:extent cx="4897524" cy="227526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12972" cy="2282437"/>
                    </a:xfrm>
                    <a:prstGeom prst="rect">
                      <a:avLst/>
                    </a:prstGeom>
                    <a:noFill/>
                  </pic:spPr>
                </pic:pic>
              </a:graphicData>
            </a:graphic>
          </wp:inline>
        </w:drawing>
      </w:r>
    </w:p>
    <w:p w14:paraId="1F347980"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t>جودة الترجمة</w:t>
      </w:r>
    </w:p>
    <w:p w14:paraId="3B25EEA7"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ي</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ختار عشوائيا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عدد يحسب إحصائيا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من وثائق ترجمات الملخصات والتقارير التي تعد تحت مسؤولية المكتب الدولي لتخضع لاختبار جودة. ويحدد التقييم إذا كانت الترجمة "مقبولة" أو "غير مقبولة". ويجمع هذا المؤشر نتائج اختبار الجودة الذي يجريه المكتب الدولي في جميع توليفات اللغات وجميع أنواع الوثائق. وتقطع العلاقات مع أية وكالات تعتبر دائما نسبة أقل من 80 في المائة من ترجماتها "مقبولة" أو "منقطعة</w:t>
      </w:r>
      <w:r w:rsidRPr="00257704">
        <w:rPr>
          <w:rFonts w:ascii="Arabic Typesetting" w:hAnsi="Arabic Typesetting" w:cs="Arabic Typesetting" w:hint="cs"/>
          <w:sz w:val="34"/>
          <w:szCs w:val="34"/>
          <w:rtl/>
        </w:rPr>
        <w:t xml:space="preserve">". </w:t>
      </w:r>
      <w:r w:rsidRPr="00257704">
        <w:rPr>
          <w:rFonts w:ascii="Arabic Typesetting" w:hAnsi="Arabic Typesetting" w:cs="Arabic Typesetting"/>
          <w:sz w:val="34"/>
          <w:szCs w:val="34"/>
          <w:rtl/>
        </w:rPr>
        <w:t>ونجم انخفاض طفيف في ال</w:t>
      </w:r>
      <w:r w:rsidRPr="00257704">
        <w:rPr>
          <w:rFonts w:ascii="Arabic Typesetting" w:hAnsi="Arabic Typesetting" w:cs="Arabic Typesetting" w:hint="cs"/>
          <w:sz w:val="34"/>
          <w:szCs w:val="34"/>
          <w:rtl/>
        </w:rPr>
        <w:t xml:space="preserve">جودة </w:t>
      </w:r>
      <w:r w:rsidRPr="00257704">
        <w:rPr>
          <w:rFonts w:ascii="Arabic Typesetting" w:hAnsi="Arabic Typesetting" w:cs="Arabic Typesetting"/>
          <w:sz w:val="34"/>
          <w:szCs w:val="34"/>
          <w:rtl/>
        </w:rPr>
        <w:t>إلى 86 في المائة عن الجهود المبذولة لخفض التكاليف عن طريق التحرير اللاحق.</w:t>
      </w:r>
    </w:p>
    <w:p w14:paraId="39415DA0" w14:textId="77777777" w:rsidR="00257704" w:rsidRPr="00257704" w:rsidRDefault="00257704" w:rsidP="0031289D">
      <w:pPr>
        <w:keepNext/>
        <w:keepLines/>
        <w:bidi/>
        <w:spacing w:after="240" w:line="360" w:lineRule="exact"/>
        <w:jc w:val="center"/>
        <w:rPr>
          <w:rFonts w:ascii="Arabic Typesetting" w:hAnsi="Arabic Typesetting" w:cs="Arabic Typesetting"/>
          <w:bCs/>
          <w:sz w:val="34"/>
          <w:szCs w:val="34"/>
          <w:rtl/>
        </w:rPr>
      </w:pPr>
      <w:r w:rsidRPr="00257704">
        <w:rPr>
          <w:rFonts w:ascii="Arabic Typesetting" w:hAnsi="Arabic Typesetting" w:cs="Arabic Typesetting"/>
          <w:bCs/>
          <w:sz w:val="34"/>
          <w:szCs w:val="34"/>
          <w:rtl/>
        </w:rPr>
        <w:t xml:space="preserve">جودة </w:t>
      </w:r>
      <w:r w:rsidRPr="00257704">
        <w:rPr>
          <w:rFonts w:ascii="Arabic Typesetting" w:hAnsi="Arabic Typesetting" w:cs="Arabic Typesetting" w:hint="cs"/>
          <w:bCs/>
          <w:sz w:val="34"/>
          <w:szCs w:val="34"/>
          <w:rtl/>
        </w:rPr>
        <w:t>ال</w:t>
      </w:r>
      <w:r w:rsidRPr="00257704">
        <w:rPr>
          <w:rFonts w:ascii="Arabic Typesetting" w:hAnsi="Arabic Typesetting" w:cs="Arabic Typesetting"/>
          <w:bCs/>
          <w:sz w:val="34"/>
          <w:szCs w:val="34"/>
          <w:rtl/>
        </w:rPr>
        <w:t xml:space="preserve">ترجمة </w:t>
      </w:r>
      <w:r w:rsidRPr="00257704">
        <w:rPr>
          <w:rFonts w:ascii="Arabic Typesetting" w:hAnsi="Arabic Typesetting" w:cs="Arabic Typesetting" w:hint="cs"/>
          <w:bCs/>
          <w:sz w:val="34"/>
          <w:szCs w:val="34"/>
          <w:rtl/>
        </w:rPr>
        <w:t xml:space="preserve">في نظام </w:t>
      </w:r>
      <w:r w:rsidRPr="00257704">
        <w:rPr>
          <w:rFonts w:ascii="Arabic Typesetting" w:hAnsi="Arabic Typesetting" w:cs="Arabic Typesetting"/>
          <w:bCs/>
          <w:sz w:val="34"/>
          <w:szCs w:val="34"/>
          <w:rtl/>
        </w:rPr>
        <w:t>معاهدة التعاون بشأن البراءات</w:t>
      </w:r>
    </w:p>
    <w:p w14:paraId="1BB19E9D" w14:textId="6638A92F" w:rsidR="00257704" w:rsidRPr="00257704" w:rsidRDefault="00DA5904" w:rsidP="0031289D">
      <w:pPr>
        <w:bidi/>
        <w:spacing w:after="240" w:line="276" w:lineRule="auto"/>
        <w:jc w:val="center"/>
        <w:rPr>
          <w:rFonts w:ascii="Arabic Typesetting" w:hAnsi="Arabic Typesetting" w:cs="Arabic Typesetting"/>
          <w:bCs/>
          <w:sz w:val="36"/>
          <w:szCs w:val="36"/>
        </w:rPr>
      </w:pPr>
      <w:r>
        <w:rPr>
          <w:rFonts w:ascii="Arabic Typesetting" w:hAnsi="Arabic Typesetting" w:cs="Arabic Typesetting"/>
          <w:bCs/>
          <w:noProof/>
          <w:sz w:val="36"/>
          <w:szCs w:val="36"/>
        </w:rPr>
        <w:drawing>
          <wp:inline distT="0" distB="0" distL="0" distR="0" wp14:anchorId="0AB1204A" wp14:editId="469C9808">
            <wp:extent cx="4104568" cy="2546464"/>
            <wp:effectExtent l="0" t="0" r="0" b="635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25524" cy="2559465"/>
                    </a:xfrm>
                    <a:prstGeom prst="rect">
                      <a:avLst/>
                    </a:prstGeom>
                    <a:noFill/>
                  </pic:spPr>
                </pic:pic>
              </a:graphicData>
            </a:graphic>
          </wp:inline>
        </w:drawing>
      </w:r>
    </w:p>
    <w:p w14:paraId="081EBE90"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t>توقيت ترجمة</w:t>
      </w:r>
      <w:r w:rsidRPr="00257704">
        <w:rPr>
          <w:rFonts w:ascii="Arabic Typesetting" w:hAnsi="Arabic Typesetting" w:cs="Arabic Typesetting" w:hint="cs"/>
          <w:iCs/>
          <w:sz w:val="34"/>
          <w:szCs w:val="34"/>
          <w:rtl/>
          <w:lang w:val="en-GB"/>
        </w:rPr>
        <w:t xml:space="preserve"> التقرير</w:t>
      </w:r>
    </w:p>
    <w:p w14:paraId="1E813F68"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الغرض من هذا المؤشر هو تقديم معلومات عن التوقيت الذي يتيح المكتب الدولي خلاله ترجمات تقارير الأهلية للبراءة للمودعين والمكاتب</w:t>
      </w:r>
      <w:r w:rsidRPr="00257704">
        <w:rPr>
          <w:rFonts w:ascii="Arabic Typesetting" w:hAnsi="Arabic Typesetting" w:cs="Arabic Typesetting" w:hint="cs"/>
          <w:sz w:val="34"/>
          <w:szCs w:val="34"/>
          <w:rtl/>
        </w:rPr>
        <w:t xml:space="preserve">. </w:t>
      </w:r>
      <w:r w:rsidRPr="00257704">
        <w:rPr>
          <w:rFonts w:ascii="Arabic Typesetting" w:hAnsi="Arabic Typesetting" w:cs="Arabic Typesetting"/>
          <w:sz w:val="34"/>
          <w:szCs w:val="34"/>
          <w:rtl/>
        </w:rPr>
        <w:t xml:space="preserve">وقد زادت نسبة </w:t>
      </w:r>
      <w:r w:rsidRPr="00257704">
        <w:rPr>
          <w:rFonts w:ascii="Arabic Typesetting" w:hAnsi="Arabic Typesetting" w:cs="Arabic Typesetting" w:hint="cs"/>
          <w:sz w:val="34"/>
          <w:szCs w:val="34"/>
          <w:rtl/>
        </w:rPr>
        <w:t xml:space="preserve">ترجمات </w:t>
      </w:r>
      <w:r w:rsidRPr="00257704">
        <w:rPr>
          <w:rFonts w:ascii="Arabic Typesetting" w:hAnsi="Arabic Typesetting" w:cs="Arabic Typesetting"/>
          <w:sz w:val="34"/>
          <w:szCs w:val="34"/>
          <w:rtl/>
        </w:rPr>
        <w:t>تقارير الأهلية للبراءة المرسلة خلال 30 شهرا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من تاريخ أولوية الطلب </w:t>
      </w:r>
      <w:r w:rsidRPr="00257704">
        <w:rPr>
          <w:rFonts w:ascii="Arabic Typesetting" w:hAnsi="Arabic Typesetting" w:cs="Arabic Typesetting" w:hint="cs"/>
          <w:sz w:val="34"/>
          <w:szCs w:val="34"/>
          <w:rtl/>
        </w:rPr>
        <w:t xml:space="preserve">الدولي </w:t>
      </w:r>
      <w:r w:rsidRPr="00257704">
        <w:rPr>
          <w:rFonts w:ascii="Arabic Typesetting" w:hAnsi="Arabic Typesetting" w:cs="Arabic Typesetting"/>
          <w:sz w:val="34"/>
          <w:szCs w:val="34"/>
          <w:rtl/>
        </w:rPr>
        <w:t xml:space="preserve">زيادة مطردة </w:t>
      </w:r>
      <w:r w:rsidRPr="00257704">
        <w:rPr>
          <w:rFonts w:ascii="Arabic Typesetting" w:hAnsi="Arabic Typesetting" w:cs="Arabic Typesetting" w:hint="cs"/>
          <w:sz w:val="34"/>
          <w:szCs w:val="34"/>
          <w:rtl/>
        </w:rPr>
        <w:t>في الفترة من عام</w:t>
      </w:r>
      <w:r w:rsidRPr="00257704">
        <w:rPr>
          <w:rFonts w:ascii="Arabic Typesetting" w:hAnsi="Arabic Typesetting" w:cs="Arabic Typesetting"/>
          <w:sz w:val="34"/>
          <w:szCs w:val="34"/>
          <w:rtl/>
        </w:rPr>
        <w:t xml:space="preserve"> 2010</w:t>
      </w:r>
      <w:r w:rsidRPr="00257704">
        <w:rPr>
          <w:rFonts w:ascii="Arabic Typesetting" w:hAnsi="Arabic Typesetting" w:cs="Arabic Typesetting" w:hint="cs"/>
          <w:sz w:val="34"/>
          <w:szCs w:val="34"/>
          <w:rtl/>
        </w:rPr>
        <w:t xml:space="preserve"> إلى عام 2015، واستقرت منذ عام 2015.</w:t>
      </w:r>
      <w:r w:rsidRPr="00257704">
        <w:rPr>
          <w:rFonts w:ascii="Arabic Typesetting" w:hAnsi="Arabic Typesetting" w:cs="Arabic Typesetting"/>
          <w:sz w:val="34"/>
          <w:szCs w:val="34"/>
          <w:rtl/>
        </w:rPr>
        <w:t xml:space="preserve"> وفي عام 201</w:t>
      </w:r>
      <w:r w:rsidRPr="00257704">
        <w:rPr>
          <w:rFonts w:ascii="Arabic Typesetting" w:hAnsi="Arabic Typesetting" w:cs="Arabic Typesetting" w:hint="cs"/>
          <w:sz w:val="34"/>
          <w:szCs w:val="34"/>
          <w:rtl/>
        </w:rPr>
        <w:t>6،</w:t>
      </w:r>
      <w:r w:rsidRPr="00257704">
        <w:rPr>
          <w:rFonts w:ascii="Arabic Typesetting" w:hAnsi="Arabic Typesetting" w:cs="Arabic Typesetting"/>
          <w:sz w:val="34"/>
          <w:szCs w:val="34"/>
          <w:rtl/>
        </w:rPr>
        <w:t xml:space="preserve"> أرسل</w:t>
      </w:r>
      <w:r w:rsidRPr="00257704">
        <w:rPr>
          <w:rFonts w:ascii="Arabic Typesetting" w:hAnsi="Arabic Typesetting" w:cs="Arabic Typesetting" w:hint="cs"/>
          <w:sz w:val="34"/>
          <w:szCs w:val="34"/>
          <w:rtl/>
        </w:rPr>
        <w:t> 89</w:t>
      </w:r>
      <w:r w:rsidRPr="00257704">
        <w:rPr>
          <w:rFonts w:ascii="Arabic Typesetting" w:hAnsi="Arabic Typesetting" w:cs="Arabic Typesetting"/>
          <w:sz w:val="34"/>
          <w:szCs w:val="34"/>
          <w:rtl/>
        </w:rPr>
        <w:t xml:space="preserve"> في المائة من </w:t>
      </w:r>
      <w:r w:rsidRPr="00257704">
        <w:rPr>
          <w:rFonts w:ascii="Arabic Typesetting" w:hAnsi="Arabic Typesetting" w:cs="Arabic Typesetting" w:hint="cs"/>
          <w:sz w:val="34"/>
          <w:szCs w:val="34"/>
          <w:rtl/>
        </w:rPr>
        <w:t xml:space="preserve">ترجمات </w:t>
      </w:r>
      <w:r w:rsidRPr="00257704">
        <w:rPr>
          <w:rFonts w:ascii="Arabic Typesetting" w:hAnsi="Arabic Typesetting" w:cs="Arabic Typesetting"/>
          <w:sz w:val="34"/>
          <w:szCs w:val="34"/>
          <w:rtl/>
        </w:rPr>
        <w:t>تقارير الأهلية للبراءة خلال 30 شهراً</w:t>
      </w:r>
      <w:r w:rsidRPr="00257704">
        <w:rPr>
          <w:rFonts w:ascii="Arabic Typesetting" w:hAnsi="Arabic Typesetting" w:cs="Arabic Typesetting" w:hint="cs"/>
          <w:sz w:val="34"/>
          <w:szCs w:val="34"/>
          <w:rtl/>
        </w:rPr>
        <w:t>، وأُرسل 99 في المائة منها خلال 31 شهراً</w:t>
      </w:r>
      <w:r w:rsidRPr="00257704">
        <w:rPr>
          <w:rFonts w:ascii="Arabic Typesetting" w:hAnsi="Arabic Typesetting" w:cs="Arabic Typesetting"/>
          <w:sz w:val="34"/>
          <w:szCs w:val="34"/>
          <w:rtl/>
        </w:rPr>
        <w:t>.</w:t>
      </w:r>
    </w:p>
    <w:p w14:paraId="5F6A28E2" w14:textId="77777777" w:rsidR="00257704" w:rsidRPr="00257704" w:rsidRDefault="00257704" w:rsidP="0031289D">
      <w:pPr>
        <w:keepNext/>
        <w:keepLines/>
        <w:bidi/>
        <w:spacing w:after="240" w:line="360" w:lineRule="exact"/>
        <w:jc w:val="center"/>
        <w:rPr>
          <w:rFonts w:ascii="Arabic Typesetting" w:hAnsi="Arabic Typesetting" w:cs="Arabic Typesetting"/>
          <w:bCs/>
          <w:sz w:val="34"/>
          <w:szCs w:val="34"/>
          <w:rtl/>
        </w:rPr>
      </w:pPr>
      <w:r w:rsidRPr="00257704">
        <w:rPr>
          <w:rFonts w:ascii="Arabic Typesetting" w:hAnsi="Arabic Typesetting" w:cs="Arabic Typesetting"/>
          <w:bCs/>
          <w:sz w:val="34"/>
          <w:szCs w:val="34"/>
          <w:rtl/>
        </w:rPr>
        <w:lastRenderedPageBreak/>
        <w:t>توقيت ترجمة</w:t>
      </w:r>
      <w:r w:rsidRPr="00257704">
        <w:rPr>
          <w:rFonts w:ascii="Arabic Typesetting" w:hAnsi="Arabic Typesetting" w:cs="Arabic Typesetting" w:hint="cs"/>
          <w:bCs/>
          <w:sz w:val="34"/>
          <w:szCs w:val="34"/>
          <w:rtl/>
        </w:rPr>
        <w:t xml:space="preserve"> التقرير</w:t>
      </w:r>
    </w:p>
    <w:p w14:paraId="06AF5779" w14:textId="02B60301" w:rsidR="00257704" w:rsidRPr="00257704" w:rsidRDefault="00DA5904" w:rsidP="0031289D">
      <w:pPr>
        <w:bidi/>
        <w:spacing w:after="240" w:line="276" w:lineRule="auto"/>
        <w:jc w:val="center"/>
        <w:rPr>
          <w:rFonts w:ascii="Arabic Typesetting" w:hAnsi="Arabic Typesetting" w:cs="Arabic Typesetting"/>
          <w:bCs/>
          <w:sz w:val="36"/>
          <w:szCs w:val="36"/>
        </w:rPr>
      </w:pPr>
      <w:r>
        <w:rPr>
          <w:rFonts w:ascii="Arabic Typesetting" w:hAnsi="Arabic Typesetting" w:cs="Arabic Typesetting"/>
          <w:bCs/>
          <w:noProof/>
          <w:sz w:val="36"/>
          <w:szCs w:val="36"/>
        </w:rPr>
        <w:drawing>
          <wp:inline distT="0" distB="0" distL="0" distR="0" wp14:anchorId="410071C7" wp14:editId="7B212AF6">
            <wp:extent cx="4757202" cy="2117576"/>
            <wp:effectExtent l="0" t="0" r="5715"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93319" cy="2133653"/>
                    </a:xfrm>
                    <a:prstGeom prst="rect">
                      <a:avLst/>
                    </a:prstGeom>
                    <a:noFill/>
                  </pic:spPr>
                </pic:pic>
              </a:graphicData>
            </a:graphic>
          </wp:inline>
        </w:drawing>
      </w:r>
    </w:p>
    <w:p w14:paraId="0FBB699E"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t>جودة تطوير البرمجيات</w:t>
      </w:r>
    </w:p>
    <w:p w14:paraId="23CF8FC4"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lang w:val="en-GB"/>
        </w:rPr>
        <w:t>يتيح مؤشر جودة تطوير البرمجيات مقياسا</w:t>
      </w:r>
      <w:r w:rsidRPr="00257704">
        <w:rPr>
          <w:rFonts w:ascii="Arabic Typesetting" w:hAnsi="Arabic Typesetting" w:cs="Arabic Typesetting" w:hint="cs"/>
          <w:sz w:val="34"/>
          <w:szCs w:val="34"/>
          <w:rtl/>
          <w:lang w:val="en-GB"/>
        </w:rPr>
        <w:t>ً</w:t>
      </w:r>
      <w:r w:rsidRPr="00257704">
        <w:rPr>
          <w:rFonts w:ascii="Arabic Typesetting" w:hAnsi="Arabic Typesetting" w:cs="Arabic Typesetting"/>
          <w:sz w:val="34"/>
          <w:szCs w:val="34"/>
          <w:rtl/>
          <w:lang w:val="en-GB"/>
        </w:rPr>
        <w:t xml:space="preserve"> لجودة أكبر إصدارات البرمجيات لمشروعي الملفات الإلكترونية (</w:t>
      </w:r>
      <w:r w:rsidRPr="00257704">
        <w:rPr>
          <w:rFonts w:ascii="Arabic Typesetting" w:hAnsi="Arabic Typesetting" w:cs="Arabic Typesetting"/>
          <w:sz w:val="34"/>
          <w:szCs w:val="34"/>
          <w:lang w:val="en-GB"/>
        </w:rPr>
        <w:t>eDossier</w:t>
      </w:r>
      <w:r w:rsidRPr="00257704">
        <w:rPr>
          <w:rFonts w:ascii="Arabic Typesetting" w:hAnsi="Arabic Typesetting" w:cs="Arabic Typesetting"/>
          <w:sz w:val="34"/>
          <w:szCs w:val="34"/>
          <w:rtl/>
          <w:lang w:val="en-GB"/>
        </w:rPr>
        <w:t>) ونظام معاهدة التعاون بشأن البراءات الإلكتروني (</w:t>
      </w:r>
      <w:r w:rsidRPr="00257704">
        <w:rPr>
          <w:rFonts w:ascii="Arabic Typesetting" w:hAnsi="Arabic Typesetting" w:cs="Arabic Typesetting"/>
          <w:sz w:val="34"/>
          <w:szCs w:val="34"/>
          <w:lang w:val="en-GB"/>
        </w:rPr>
        <w:t>ePCT</w:t>
      </w:r>
      <w:r w:rsidRPr="00257704">
        <w:rPr>
          <w:rFonts w:ascii="Arabic Typesetting" w:hAnsi="Arabic Typesetting" w:cs="Arabic Typesetting"/>
          <w:sz w:val="34"/>
          <w:szCs w:val="34"/>
          <w:rtl/>
          <w:lang w:val="en-GB"/>
        </w:rPr>
        <w:t>).</w:t>
      </w:r>
      <w:r w:rsidRPr="00257704">
        <w:rPr>
          <w:rFonts w:ascii="Arabic Typesetting" w:hAnsi="Arabic Typesetting" w:cs="Arabic Typesetting" w:hint="cs"/>
          <w:sz w:val="34"/>
          <w:szCs w:val="34"/>
          <w:rtl/>
          <w:lang w:val="en-GB"/>
        </w:rPr>
        <w:t xml:space="preserve"> </w:t>
      </w:r>
      <w:r w:rsidRPr="00257704">
        <w:rPr>
          <w:rFonts w:ascii="Arabic Typesetting" w:hAnsi="Arabic Typesetting" w:cs="Arabic Typesetting"/>
          <w:sz w:val="34"/>
          <w:szCs w:val="34"/>
          <w:rtl/>
        </w:rPr>
        <w:t>ويبين هذا المؤشر الحصة المستغرقة من الوقت لإصدار وظائف جديدة في النسخ الصادرة (أي العمل) من إجمالي الوقت المستغرق (أي العمل + إعادة العمل). وإعادة العمل هو الوقت المستغرق لتصويب الأعمال المعيبة المحددة في بيئة الإنتاج</w:t>
      </w:r>
      <w:r w:rsidRPr="00257704">
        <w:rPr>
          <w:rFonts w:ascii="Arabic Typesetting" w:hAnsi="Arabic Typesetting" w:cs="Arabic Typesetting" w:hint="cs"/>
          <w:sz w:val="34"/>
          <w:szCs w:val="34"/>
          <w:rtl/>
        </w:rPr>
        <w:t>.</w:t>
      </w:r>
    </w:p>
    <w:p w14:paraId="6CCB22F9"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وفي ظل هذه المقاربة ستعتبر مخرجات التطوير التي تحتوي على مستويات أدنى من إعادة العمل عالية الجودة لأنها تعكس مدى القيمة المضافة للمنتج من خلال استحداث السمات الجديدة</w:t>
      </w:r>
      <w:r w:rsidRPr="00257704">
        <w:rPr>
          <w:rFonts w:ascii="Arabic Typesetting" w:hAnsi="Arabic Typesetting" w:cs="Arabic Typesetting" w:hint="cs"/>
          <w:sz w:val="34"/>
          <w:szCs w:val="34"/>
          <w:rtl/>
        </w:rPr>
        <w:t>.</w:t>
      </w:r>
    </w:p>
    <w:p w14:paraId="4809A351" w14:textId="554D20F0" w:rsid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ويعرف مؤشر جودة تطوير البرمجيات على النحو التالي:</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675"/>
        <w:gridCol w:w="784"/>
      </w:tblGrid>
      <w:tr w:rsidR="00DA5904" w14:paraId="0A4B50EF" w14:textId="30A8D53F" w:rsidTr="00DA5904">
        <w:trPr>
          <w:jc w:val="center"/>
        </w:trPr>
        <w:tc>
          <w:tcPr>
            <w:tcW w:w="0" w:type="auto"/>
            <w:vMerge w:val="restart"/>
            <w:vAlign w:val="center"/>
          </w:tcPr>
          <w:p w14:paraId="07D9E3D7" w14:textId="1947281F" w:rsidR="00DA5904" w:rsidRDefault="00DA5904" w:rsidP="00DA5904">
            <w:pPr>
              <w:bidi/>
              <w:spacing w:after="240" w:line="360" w:lineRule="exact"/>
              <w:jc w:val="center"/>
              <w:rPr>
                <w:rFonts w:ascii="Arabic Typesetting" w:hAnsi="Arabic Typesetting" w:cs="Arabic Typesetting"/>
                <w:sz w:val="34"/>
                <w:szCs w:val="34"/>
                <w:rtl/>
              </w:rPr>
            </w:pPr>
            <w:r>
              <w:rPr>
                <w:rFonts w:ascii="Arabic Typesetting" w:hAnsi="Arabic Typesetting" w:cs="Arabic Typesetting" w:hint="cs"/>
                <w:sz w:val="34"/>
                <w:szCs w:val="34"/>
                <w:rtl/>
              </w:rPr>
              <w:t>جودة تطوير البرمجيات</w:t>
            </w:r>
            <w:r w:rsidRPr="00557CEF">
              <w:rPr>
                <w:rFonts w:ascii="Arabic Typesetting" w:hAnsi="Arabic Typesetting" w:cs="Arabic Typesetting"/>
                <w:sz w:val="34"/>
                <w:szCs w:val="34"/>
                <w:rtl/>
              </w:rPr>
              <w:t xml:space="preserve"> =</w:t>
            </w:r>
          </w:p>
        </w:tc>
        <w:tc>
          <w:tcPr>
            <w:tcW w:w="0" w:type="auto"/>
            <w:tcBorders>
              <w:bottom w:val="single" w:sz="4" w:space="0" w:color="auto"/>
            </w:tcBorders>
          </w:tcPr>
          <w:p w14:paraId="4D066B33" w14:textId="599F7D1F" w:rsidR="00DA5904" w:rsidRDefault="00DA5904" w:rsidP="00396976">
            <w:pPr>
              <w:bidi/>
              <w:spacing w:after="120" w:line="360" w:lineRule="exact"/>
              <w:jc w:val="center"/>
              <w:rPr>
                <w:rFonts w:ascii="Arabic Typesetting" w:hAnsi="Arabic Typesetting" w:cs="Arabic Typesetting"/>
                <w:sz w:val="34"/>
                <w:szCs w:val="34"/>
                <w:rtl/>
              </w:rPr>
            </w:pPr>
            <w:r>
              <w:rPr>
                <w:rFonts w:ascii="Arabic Typesetting" w:hAnsi="Arabic Typesetting" w:cs="Arabic Typesetting" w:hint="cs"/>
                <w:sz w:val="34"/>
                <w:szCs w:val="34"/>
                <w:rtl/>
              </w:rPr>
              <w:t>العمل</w:t>
            </w:r>
          </w:p>
        </w:tc>
        <w:tc>
          <w:tcPr>
            <w:tcW w:w="0" w:type="auto"/>
            <w:vMerge w:val="restart"/>
            <w:vAlign w:val="center"/>
          </w:tcPr>
          <w:p w14:paraId="5809A01C" w14:textId="34E4D363" w:rsidR="00DA5904" w:rsidRPr="00DA5904" w:rsidRDefault="00DA5904" w:rsidP="00DA5904">
            <w:pPr>
              <w:bidi/>
              <w:spacing w:after="240" w:line="360" w:lineRule="exact"/>
              <w:rPr>
                <w:rFonts w:ascii="Arabic Typesetting" w:hAnsi="Arabic Typesetting" w:cs="Arabic Typesetting"/>
                <w:sz w:val="34"/>
                <w:szCs w:val="34"/>
                <w:rtl/>
              </w:rPr>
            </w:pPr>
            <w:r>
              <w:rPr>
                <w:rFonts w:ascii="Arabic Typesetting" w:hAnsi="Arabic Typesetting" w:cs="Arabic Typesetting"/>
                <w:sz w:val="34"/>
                <w:szCs w:val="34"/>
              </w:rPr>
              <w:t>X</w:t>
            </w:r>
            <w:r>
              <w:rPr>
                <w:rFonts w:ascii="Arabic Typesetting" w:hAnsi="Arabic Typesetting" w:cs="Arabic Typesetting" w:hint="cs"/>
                <w:sz w:val="34"/>
                <w:szCs w:val="34"/>
                <w:rtl/>
                <w:lang w:bidi="ar-EG"/>
              </w:rPr>
              <w:t xml:space="preserve"> </w:t>
            </w:r>
            <w:r w:rsidRPr="00DA5904">
              <w:rPr>
                <w:rFonts w:ascii="Arabic Typesetting" w:hAnsi="Arabic Typesetting" w:cs="Arabic Typesetting" w:hint="cs"/>
                <w:sz w:val="34"/>
                <w:szCs w:val="34"/>
                <w:rtl/>
              </w:rPr>
              <w:t>100</w:t>
            </w:r>
          </w:p>
        </w:tc>
      </w:tr>
      <w:tr w:rsidR="00DA5904" w14:paraId="23957CC7" w14:textId="0450444B" w:rsidTr="00396976">
        <w:trPr>
          <w:jc w:val="center"/>
        </w:trPr>
        <w:tc>
          <w:tcPr>
            <w:tcW w:w="0" w:type="auto"/>
            <w:vMerge/>
          </w:tcPr>
          <w:p w14:paraId="066C864B" w14:textId="77777777" w:rsidR="00DA5904" w:rsidRDefault="00DA5904" w:rsidP="00396976">
            <w:pPr>
              <w:bidi/>
              <w:spacing w:after="240" w:line="360" w:lineRule="exact"/>
              <w:jc w:val="center"/>
              <w:rPr>
                <w:rFonts w:ascii="Arabic Typesetting" w:hAnsi="Arabic Typesetting" w:cs="Arabic Typesetting"/>
                <w:sz w:val="34"/>
                <w:szCs w:val="34"/>
                <w:rtl/>
              </w:rPr>
            </w:pPr>
          </w:p>
        </w:tc>
        <w:tc>
          <w:tcPr>
            <w:tcW w:w="0" w:type="auto"/>
            <w:tcBorders>
              <w:top w:val="single" w:sz="4" w:space="0" w:color="auto"/>
            </w:tcBorders>
          </w:tcPr>
          <w:p w14:paraId="0C6897D5" w14:textId="70E0675A" w:rsidR="00DA5904" w:rsidRDefault="00DA5904" w:rsidP="00396976">
            <w:pPr>
              <w:bidi/>
              <w:spacing w:after="240" w:line="360" w:lineRule="exact"/>
              <w:jc w:val="center"/>
              <w:rPr>
                <w:rFonts w:ascii="Arabic Typesetting" w:hAnsi="Arabic Typesetting" w:cs="Arabic Typesetting"/>
                <w:sz w:val="34"/>
                <w:szCs w:val="34"/>
                <w:rtl/>
              </w:rPr>
            </w:pPr>
            <w:r>
              <w:rPr>
                <w:rFonts w:ascii="Arabic Typesetting" w:hAnsi="Arabic Typesetting" w:cs="Arabic Typesetting" w:hint="cs"/>
                <w:sz w:val="34"/>
                <w:szCs w:val="34"/>
                <w:rtl/>
              </w:rPr>
              <w:t>العمل + إعادة العمل</w:t>
            </w:r>
          </w:p>
        </w:tc>
        <w:tc>
          <w:tcPr>
            <w:tcW w:w="0" w:type="auto"/>
            <w:vMerge/>
          </w:tcPr>
          <w:p w14:paraId="165896DD" w14:textId="77777777" w:rsidR="00DA5904" w:rsidRDefault="00DA5904" w:rsidP="00396976">
            <w:pPr>
              <w:bidi/>
              <w:spacing w:after="240" w:line="360" w:lineRule="exact"/>
              <w:jc w:val="center"/>
              <w:rPr>
                <w:rFonts w:ascii="Arabic Typesetting" w:hAnsi="Arabic Typesetting" w:cs="Arabic Typesetting"/>
                <w:sz w:val="34"/>
                <w:szCs w:val="34"/>
                <w:rtl/>
              </w:rPr>
            </w:pPr>
          </w:p>
        </w:tc>
      </w:tr>
    </w:tbl>
    <w:p w14:paraId="34CB33D1" w14:textId="77777777" w:rsidR="00257704" w:rsidRPr="00257704" w:rsidRDefault="00257704" w:rsidP="0031289D">
      <w:pPr>
        <w:keepNext/>
        <w:keepLines/>
        <w:bidi/>
        <w:spacing w:after="240" w:line="360" w:lineRule="exact"/>
        <w:jc w:val="center"/>
        <w:rPr>
          <w:rFonts w:ascii="Arabic Typesetting" w:hAnsi="Arabic Typesetting" w:cs="Arabic Typesetting"/>
          <w:bCs/>
          <w:sz w:val="34"/>
          <w:szCs w:val="34"/>
          <w:rtl/>
        </w:rPr>
      </w:pPr>
      <w:r w:rsidRPr="00257704">
        <w:rPr>
          <w:rFonts w:ascii="Arabic Typesetting" w:hAnsi="Arabic Typesetting" w:cs="Arabic Typesetting"/>
          <w:bCs/>
          <w:sz w:val="34"/>
          <w:szCs w:val="34"/>
          <w:rtl/>
        </w:rPr>
        <w:t>جودة تطوير البرمجيات</w:t>
      </w:r>
    </w:p>
    <w:p w14:paraId="728FA726" w14:textId="26A2C444" w:rsidR="00257704" w:rsidRPr="00257704" w:rsidRDefault="00DA5904" w:rsidP="0031289D">
      <w:pPr>
        <w:bidi/>
        <w:spacing w:after="240" w:line="276" w:lineRule="auto"/>
        <w:jc w:val="center"/>
        <w:rPr>
          <w:rFonts w:ascii="Arabic Typesetting" w:hAnsi="Arabic Typesetting" w:cs="Arabic Typesetting"/>
          <w:bCs/>
          <w:sz w:val="36"/>
          <w:szCs w:val="36"/>
        </w:rPr>
      </w:pPr>
      <w:r>
        <w:rPr>
          <w:rFonts w:ascii="Arabic Typesetting" w:hAnsi="Arabic Typesetting" w:cs="Arabic Typesetting"/>
          <w:bCs/>
          <w:noProof/>
          <w:sz w:val="36"/>
          <w:szCs w:val="36"/>
        </w:rPr>
        <w:drawing>
          <wp:inline distT="0" distB="0" distL="0" distR="0" wp14:anchorId="0F793ABD" wp14:editId="5A5EE25F">
            <wp:extent cx="4209010" cy="2686232"/>
            <wp:effectExtent l="0" t="0" r="127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9379" cy="2699232"/>
                    </a:xfrm>
                    <a:prstGeom prst="rect">
                      <a:avLst/>
                    </a:prstGeom>
                    <a:noFill/>
                  </pic:spPr>
                </pic:pic>
              </a:graphicData>
            </a:graphic>
          </wp:inline>
        </w:drawing>
      </w:r>
    </w:p>
    <w:p w14:paraId="0C0C4EED"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lastRenderedPageBreak/>
        <w:t>مستويات خدمة أنظمة المعلومات</w:t>
      </w:r>
    </w:p>
    <w:p w14:paraId="4F3C7FC9" w14:textId="77777777" w:rsidR="00257704" w:rsidRPr="00257704" w:rsidRDefault="00257704" w:rsidP="00D94CDB">
      <w:pPr>
        <w:numPr>
          <w:ilvl w:val="0"/>
          <w:numId w:val="73"/>
        </w:numPr>
        <w:tabs>
          <w:tab w:val="clear" w:pos="567"/>
        </w:tabs>
        <w:bidi/>
        <w:spacing w:after="240" w:line="360" w:lineRule="exact"/>
        <w:rPr>
          <w:rFonts w:ascii="Arabic Typesetting" w:hAnsi="Arabic Typesetting" w:cs="Arabic Typesetting"/>
          <w:color w:val="000000"/>
          <w:sz w:val="34"/>
          <w:szCs w:val="34"/>
          <w:lang w:val="en-GB" w:eastAsia="en-GB"/>
        </w:rPr>
      </w:pPr>
      <w:r w:rsidRPr="00257704">
        <w:rPr>
          <w:rFonts w:ascii="Arabic Typesetting" w:hAnsi="Arabic Typesetting" w:cs="Arabic Typesetting"/>
          <w:sz w:val="34"/>
          <w:szCs w:val="34"/>
          <w:rtl/>
          <w:lang w:val="en-GB"/>
        </w:rPr>
        <w:t>يعكس مؤشر الأداء "مستو</w:t>
      </w:r>
      <w:r w:rsidRPr="00257704">
        <w:rPr>
          <w:rFonts w:ascii="Arabic Typesetting" w:hAnsi="Arabic Typesetting" w:cs="Arabic Typesetting" w:hint="cs"/>
          <w:sz w:val="34"/>
          <w:szCs w:val="34"/>
          <w:rtl/>
          <w:lang w:val="en-GB" w:bidi="ar-EG"/>
        </w:rPr>
        <w:t>ي</w:t>
      </w:r>
      <w:r w:rsidRPr="00257704">
        <w:rPr>
          <w:rFonts w:ascii="Arabic Typesetting" w:hAnsi="Arabic Typesetting" w:cs="Arabic Typesetting" w:hint="cs"/>
          <w:sz w:val="34"/>
          <w:szCs w:val="34"/>
          <w:rtl/>
          <w:lang w:val="en-GB"/>
        </w:rPr>
        <w:t>ات</w:t>
      </w:r>
      <w:r w:rsidRPr="00257704">
        <w:rPr>
          <w:rFonts w:ascii="Arabic Typesetting" w:hAnsi="Arabic Typesetting" w:cs="Arabic Typesetting"/>
          <w:sz w:val="34"/>
          <w:szCs w:val="34"/>
          <w:rtl/>
          <w:lang w:val="en-GB"/>
        </w:rPr>
        <w:t xml:space="preserve"> خدم</w:t>
      </w:r>
      <w:r w:rsidRPr="00257704">
        <w:rPr>
          <w:rFonts w:ascii="Arabic Typesetting" w:hAnsi="Arabic Typesetting" w:cs="Arabic Typesetting" w:hint="cs"/>
          <w:sz w:val="34"/>
          <w:szCs w:val="34"/>
          <w:rtl/>
          <w:lang w:val="en-GB"/>
        </w:rPr>
        <w:t>ة</w:t>
      </w:r>
      <w:r w:rsidRPr="00257704">
        <w:rPr>
          <w:rFonts w:ascii="Arabic Typesetting" w:hAnsi="Arabic Typesetting" w:cs="Arabic Typesetting"/>
          <w:sz w:val="34"/>
          <w:szCs w:val="34"/>
          <w:rtl/>
          <w:lang w:val="en-GB"/>
        </w:rPr>
        <w:t xml:space="preserve"> </w:t>
      </w:r>
      <w:r w:rsidRPr="00257704">
        <w:rPr>
          <w:rFonts w:ascii="Arabic Typesetting" w:hAnsi="Arabic Typesetting" w:cs="Arabic Typesetting" w:hint="cs"/>
          <w:sz w:val="34"/>
          <w:szCs w:val="34"/>
          <w:rtl/>
          <w:lang w:val="en-GB"/>
        </w:rPr>
        <w:t>أنظمة</w:t>
      </w:r>
      <w:r w:rsidRPr="00257704">
        <w:rPr>
          <w:rFonts w:ascii="Arabic Typesetting" w:hAnsi="Arabic Typesetting" w:cs="Arabic Typesetting"/>
          <w:sz w:val="34"/>
          <w:szCs w:val="34"/>
          <w:rtl/>
          <w:lang w:val="en-GB"/>
        </w:rPr>
        <w:t xml:space="preserve"> المعلومات" (</w:t>
      </w:r>
      <w:r w:rsidRPr="00257704">
        <w:rPr>
          <w:rFonts w:ascii="Arabic Typesetting" w:hAnsi="Arabic Typesetting" w:cs="Arabic Typesetting"/>
          <w:sz w:val="34"/>
          <w:szCs w:val="34"/>
          <w:lang w:val="en-GB"/>
        </w:rPr>
        <w:t>ISSL</w:t>
      </w:r>
      <w:r w:rsidRPr="00257704">
        <w:rPr>
          <w:rFonts w:ascii="Arabic Typesetting" w:hAnsi="Arabic Typesetting" w:cs="Arabic Typesetting"/>
          <w:sz w:val="34"/>
          <w:szCs w:val="34"/>
          <w:rtl/>
          <w:lang w:val="en-GB"/>
        </w:rPr>
        <w:t xml:space="preserve">) أداء الخدمة التي تقدمها أنظمة معلومات </w:t>
      </w:r>
      <w:r w:rsidRPr="00257704">
        <w:rPr>
          <w:rFonts w:ascii="Arabic Typesetting" w:hAnsi="Arabic Typesetting" w:cs="Arabic Typesetting" w:hint="cs"/>
          <w:sz w:val="34"/>
          <w:szCs w:val="34"/>
          <w:rtl/>
          <w:lang w:val="en-GB"/>
        </w:rPr>
        <w:t xml:space="preserve">نظام </w:t>
      </w:r>
      <w:r w:rsidRPr="00257704">
        <w:rPr>
          <w:rFonts w:ascii="Arabic Typesetting" w:hAnsi="Arabic Typesetting" w:cs="Arabic Typesetting"/>
          <w:sz w:val="34"/>
          <w:szCs w:val="34"/>
          <w:rtl/>
          <w:lang w:val="en-GB"/>
        </w:rPr>
        <w:t xml:space="preserve">معاهدة التعاون بشأن البراءات </w:t>
      </w:r>
      <w:r w:rsidRPr="00257704">
        <w:rPr>
          <w:rFonts w:ascii="Arabic Typesetting" w:hAnsi="Arabic Typesetting" w:cs="Arabic Typesetting" w:hint="cs"/>
          <w:sz w:val="34"/>
          <w:szCs w:val="34"/>
          <w:rtl/>
          <w:lang w:val="en-GB"/>
        </w:rPr>
        <w:t>إلى ا</w:t>
      </w:r>
      <w:r w:rsidRPr="00257704">
        <w:rPr>
          <w:rFonts w:ascii="Arabic Typesetting" w:hAnsi="Arabic Typesetting" w:cs="Arabic Typesetting"/>
          <w:sz w:val="34"/>
          <w:szCs w:val="34"/>
          <w:rtl/>
          <w:lang w:val="en-GB"/>
        </w:rPr>
        <w:t>لمستخدمين</w:t>
      </w:r>
      <w:r w:rsidRPr="00257704">
        <w:rPr>
          <w:rFonts w:ascii="Arabic Typesetting" w:hAnsi="Arabic Typesetting" w:cs="Arabic Typesetting" w:hint="cs"/>
          <w:sz w:val="34"/>
          <w:szCs w:val="34"/>
          <w:rtl/>
          <w:lang w:val="en-GB"/>
        </w:rPr>
        <w:t>،</w:t>
      </w:r>
      <w:r w:rsidRPr="00257704">
        <w:rPr>
          <w:rFonts w:ascii="Arabic Typesetting" w:hAnsi="Arabic Typesetting" w:cs="Arabic Typesetting"/>
          <w:sz w:val="34"/>
          <w:szCs w:val="34"/>
          <w:rtl/>
          <w:lang w:val="en-GB"/>
        </w:rPr>
        <w:t xml:space="preserve"> استنادا</w:t>
      </w:r>
      <w:r w:rsidRPr="00257704">
        <w:rPr>
          <w:rFonts w:ascii="Arabic Typesetting" w:hAnsi="Arabic Typesetting" w:cs="Arabic Typesetting" w:hint="cs"/>
          <w:sz w:val="34"/>
          <w:szCs w:val="34"/>
          <w:rtl/>
          <w:lang w:val="en-GB"/>
        </w:rPr>
        <w:t>ً</w:t>
      </w:r>
      <w:r w:rsidRPr="00257704">
        <w:rPr>
          <w:rFonts w:ascii="Arabic Typesetting" w:hAnsi="Arabic Typesetting" w:cs="Arabic Typesetting"/>
          <w:sz w:val="34"/>
          <w:szCs w:val="34"/>
          <w:rtl/>
          <w:lang w:val="en-GB"/>
        </w:rPr>
        <w:t xml:space="preserve"> إلى قدرتها على تحقيق الأهداف المتفق عليها.</w:t>
      </w:r>
    </w:p>
    <w:p w14:paraId="5EFF29DE" w14:textId="77777777" w:rsidR="00257704" w:rsidRPr="00257704" w:rsidRDefault="00257704" w:rsidP="00D94CDB">
      <w:pPr>
        <w:numPr>
          <w:ilvl w:val="0"/>
          <w:numId w:val="73"/>
        </w:numPr>
        <w:tabs>
          <w:tab w:val="clear" w:pos="567"/>
        </w:tabs>
        <w:bidi/>
        <w:spacing w:after="240" w:line="360" w:lineRule="exact"/>
        <w:rPr>
          <w:rFonts w:ascii="Arabic Typesetting" w:hAnsi="Arabic Typesetting" w:cs="Arabic Typesetting"/>
          <w:color w:val="000000"/>
          <w:sz w:val="34"/>
          <w:szCs w:val="34"/>
          <w:lang w:val="en-GB" w:eastAsia="en-GB"/>
        </w:rPr>
      </w:pPr>
      <w:r w:rsidRPr="00257704">
        <w:rPr>
          <w:rFonts w:ascii="Arabic Typesetting" w:hAnsi="Arabic Typesetting" w:cs="Arabic Typesetting"/>
          <w:color w:val="000000"/>
          <w:sz w:val="34"/>
          <w:szCs w:val="34"/>
          <w:rtl/>
          <w:lang w:val="en-GB" w:eastAsia="en-GB"/>
        </w:rPr>
        <w:t>ويحسب هذا المؤشر المركب باستخدام متوسط خمسة مؤشرات أداء تقوم على الأهداف.</w:t>
      </w:r>
      <w:r w:rsidRPr="00257704">
        <w:rPr>
          <w:rFonts w:ascii="Arabic Typesetting" w:hAnsi="Arabic Typesetting" w:cs="Arabic Typesetting"/>
          <w:color w:val="000000"/>
          <w:sz w:val="34"/>
          <w:szCs w:val="34"/>
          <w:vertAlign w:val="superscript"/>
          <w:rtl/>
          <w:lang w:val="en-GB" w:eastAsia="en-GB"/>
        </w:rPr>
        <w:footnoteReference w:id="24"/>
      </w:r>
      <w:r w:rsidRPr="00257704">
        <w:rPr>
          <w:rFonts w:ascii="Arabic Typesetting" w:hAnsi="Arabic Typesetting" w:cs="Arabic Typesetting"/>
          <w:color w:val="000000"/>
          <w:sz w:val="34"/>
          <w:szCs w:val="34"/>
          <w:rtl/>
          <w:lang w:val="en-GB" w:eastAsia="en-GB"/>
        </w:rPr>
        <w:t xml:space="preserve"> ويُعب</w:t>
      </w:r>
      <w:r w:rsidRPr="00257704">
        <w:rPr>
          <w:rFonts w:ascii="Arabic Typesetting" w:hAnsi="Arabic Typesetting" w:cs="Arabic Typesetting" w:hint="cs"/>
          <w:color w:val="000000"/>
          <w:sz w:val="34"/>
          <w:szCs w:val="34"/>
          <w:rtl/>
          <w:lang w:val="en-GB" w:eastAsia="en-GB"/>
        </w:rPr>
        <w:t>َّ</w:t>
      </w:r>
      <w:r w:rsidRPr="00257704">
        <w:rPr>
          <w:rFonts w:ascii="Arabic Typesetting" w:hAnsi="Arabic Typesetting" w:cs="Arabic Typesetting"/>
          <w:color w:val="000000"/>
          <w:sz w:val="34"/>
          <w:szCs w:val="34"/>
          <w:rtl/>
          <w:lang w:val="en-GB" w:eastAsia="en-GB"/>
        </w:rPr>
        <w:t>ر عن كل مؤشر كنسبة من الهدف المحقق بالفعل</w:t>
      </w:r>
      <w:r w:rsidRPr="00257704">
        <w:rPr>
          <w:rFonts w:ascii="Arabic Typesetting" w:hAnsi="Arabic Typesetting" w:cs="Arabic Typesetting" w:hint="cs"/>
          <w:color w:val="000000"/>
          <w:sz w:val="34"/>
          <w:szCs w:val="34"/>
          <w:rtl/>
          <w:lang w:val="en-GB" w:eastAsia="en-GB"/>
        </w:rPr>
        <w:t>.</w:t>
      </w:r>
    </w:p>
    <w:p w14:paraId="7DF62068" w14:textId="77777777" w:rsidR="00257704" w:rsidRPr="00257704" w:rsidRDefault="00257704" w:rsidP="00D94CDB">
      <w:pPr>
        <w:numPr>
          <w:ilvl w:val="0"/>
          <w:numId w:val="73"/>
        </w:numPr>
        <w:tabs>
          <w:tab w:val="clear" w:pos="567"/>
        </w:tabs>
        <w:autoSpaceDE w:val="0"/>
        <w:autoSpaceDN w:val="0"/>
        <w:bidi/>
        <w:adjustRightInd w:val="0"/>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وفي عام 2016، تحسن المستوى العام للخدمة للسنة الثالثة على التوالي ليصل إلى مستوى 97.1 في المائة.</w:t>
      </w:r>
    </w:p>
    <w:p w14:paraId="66463229" w14:textId="77777777" w:rsidR="00257704" w:rsidRPr="00257704" w:rsidRDefault="00257704" w:rsidP="0031289D">
      <w:pPr>
        <w:keepNext/>
        <w:keepLines/>
        <w:bidi/>
        <w:spacing w:after="240" w:line="360" w:lineRule="exact"/>
        <w:jc w:val="center"/>
        <w:rPr>
          <w:rFonts w:ascii="Arabic Typesetting" w:hAnsi="Arabic Typesetting" w:cs="Arabic Typesetting"/>
          <w:bCs/>
          <w:sz w:val="34"/>
          <w:szCs w:val="34"/>
          <w:rtl/>
        </w:rPr>
      </w:pPr>
      <w:r w:rsidRPr="00257704">
        <w:rPr>
          <w:rFonts w:ascii="Arabic Typesetting" w:hAnsi="Arabic Typesetting" w:cs="Arabic Typesetting"/>
          <w:bCs/>
          <w:sz w:val="34"/>
          <w:szCs w:val="34"/>
          <w:rtl/>
        </w:rPr>
        <w:t>مستويات خدمة أنظمة المعلومات</w:t>
      </w:r>
    </w:p>
    <w:p w14:paraId="650FAD0A" w14:textId="1E6F1C68" w:rsidR="00DA5904" w:rsidRPr="00DA5904" w:rsidRDefault="00DA5904" w:rsidP="00DA5904">
      <w:pPr>
        <w:bidi/>
        <w:spacing w:after="240" w:line="276" w:lineRule="auto"/>
        <w:jc w:val="center"/>
        <w:rPr>
          <w:rFonts w:ascii="Arabic Typesetting" w:hAnsi="Arabic Typesetting" w:cs="Arabic Typesetting"/>
          <w:b/>
          <w:sz w:val="36"/>
          <w:szCs w:val="36"/>
          <w:rtl/>
          <w:lang w:bidi="ar-EG"/>
        </w:rPr>
      </w:pPr>
      <w:r w:rsidRPr="00DA5904">
        <w:rPr>
          <w:rFonts w:hint="cs"/>
          <w:noProof/>
          <w:szCs w:val="22"/>
          <w:rtl/>
        </w:rPr>
        <w:drawing>
          <wp:inline distT="0" distB="0" distL="0" distR="0" wp14:anchorId="504BEE61" wp14:editId="4CB890B4">
            <wp:extent cx="5834056" cy="3616325"/>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1083" cy="3620681"/>
                    </a:xfrm>
                    <a:prstGeom prst="rect">
                      <a:avLst/>
                    </a:prstGeom>
                    <a:noFill/>
                    <a:ln>
                      <a:noFill/>
                    </a:ln>
                  </pic:spPr>
                </pic:pic>
              </a:graphicData>
            </a:graphic>
          </wp:inline>
        </w:drawing>
      </w:r>
    </w:p>
    <w:p w14:paraId="33CCE34F" w14:textId="77777777" w:rsidR="00257704" w:rsidRPr="00257704" w:rsidRDefault="00257704" w:rsidP="0031289D">
      <w:pPr>
        <w:bidi/>
        <w:spacing w:after="240" w:line="360" w:lineRule="exact"/>
        <w:rPr>
          <w:rFonts w:ascii="Arabic Typesetting" w:eastAsiaTheme="minorHAnsi" w:hAnsi="Arabic Typesetting" w:cs="Arabic Typesetting"/>
          <w:bCs/>
          <w:sz w:val="34"/>
          <w:szCs w:val="34"/>
        </w:rPr>
      </w:pPr>
      <w:r w:rsidRPr="00257704">
        <w:rPr>
          <w:rFonts w:ascii="Arabic Typesetting" w:eastAsiaTheme="minorHAnsi" w:hAnsi="Arabic Typesetting" w:cs="Arabic Typesetting"/>
          <w:bCs/>
          <w:sz w:val="34"/>
          <w:szCs w:val="34"/>
          <w:rtl/>
        </w:rPr>
        <w:t>المكتب الدولي بوصفه مكتبا</w:t>
      </w:r>
      <w:r w:rsidRPr="00257704">
        <w:rPr>
          <w:rFonts w:ascii="Arabic Typesetting" w:eastAsiaTheme="minorHAnsi" w:hAnsi="Arabic Typesetting" w:cs="Arabic Typesetting" w:hint="cs"/>
          <w:bCs/>
          <w:sz w:val="34"/>
          <w:szCs w:val="34"/>
          <w:rtl/>
        </w:rPr>
        <w:t>ً</w:t>
      </w:r>
      <w:r w:rsidRPr="00257704">
        <w:rPr>
          <w:rFonts w:ascii="Arabic Typesetting" w:eastAsiaTheme="minorHAnsi" w:hAnsi="Arabic Typesetting" w:cs="Arabic Typesetting"/>
          <w:bCs/>
          <w:sz w:val="34"/>
          <w:szCs w:val="34"/>
          <w:rtl/>
        </w:rPr>
        <w:t xml:space="preserve"> لتسلم الطلبات</w:t>
      </w:r>
    </w:p>
    <w:p w14:paraId="56392F2E" w14:textId="77777777" w:rsidR="00257704" w:rsidRPr="00257704" w:rsidRDefault="00257704" w:rsidP="0031289D">
      <w:pPr>
        <w:keepNext/>
        <w:keepLines/>
        <w:bidi/>
        <w:spacing w:after="240" w:line="360" w:lineRule="exact"/>
        <w:rPr>
          <w:rFonts w:ascii="Arabic Typesetting" w:hAnsi="Arabic Typesetting" w:cs="Arabic Typesetting"/>
          <w:iCs/>
          <w:sz w:val="34"/>
          <w:szCs w:val="34"/>
          <w:rtl/>
          <w:lang w:val="en-GB" w:bidi="ar-EG"/>
        </w:rPr>
      </w:pPr>
      <w:r w:rsidRPr="00257704">
        <w:rPr>
          <w:rFonts w:ascii="Arabic Typesetting" w:hAnsi="Arabic Typesetting" w:cs="Arabic Typesetting"/>
          <w:iCs/>
          <w:sz w:val="34"/>
          <w:szCs w:val="34"/>
          <w:rtl/>
          <w:lang w:val="en-GB"/>
        </w:rPr>
        <w:t>الإيداعات</w:t>
      </w:r>
    </w:p>
    <w:p w14:paraId="6AD3DD9C"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يوضح الجدول التالي الإيداعات بناء على معاهدة التعاون بشأن البراءات لدى أكبر عشرة مكاتب لتسلم الطلبات خلال الأعوام الخمسة الماضية وحتى عام 201</w:t>
      </w:r>
      <w:r w:rsidRPr="00257704">
        <w:rPr>
          <w:rFonts w:ascii="Arabic Typesetting" w:hAnsi="Arabic Typesetting" w:cs="Arabic Typesetting" w:hint="cs"/>
          <w:sz w:val="34"/>
          <w:szCs w:val="34"/>
          <w:rtl/>
        </w:rPr>
        <w:t>6</w:t>
      </w:r>
      <w:r w:rsidRPr="00257704">
        <w:rPr>
          <w:rFonts w:ascii="Arabic Typesetting" w:hAnsi="Arabic Typesetting" w:cs="Arabic Typesetting"/>
          <w:sz w:val="34"/>
          <w:szCs w:val="34"/>
          <w:rtl/>
        </w:rPr>
        <w:t>.</w:t>
      </w:r>
      <w:r w:rsidRPr="00257704">
        <w:rPr>
          <w:rFonts w:ascii="Arabic Typesetting" w:hAnsi="Arabic Typesetting" w:cs="Arabic Typesetting" w:hint="cs"/>
          <w:sz w:val="34"/>
          <w:szCs w:val="34"/>
          <w:rtl/>
        </w:rPr>
        <w:t xml:space="preserve"> </w:t>
      </w:r>
      <w:r w:rsidRPr="00257704">
        <w:rPr>
          <w:rFonts w:ascii="Arabic Typesetting" w:hAnsi="Arabic Typesetting" w:cs="Arabic Typesetting"/>
          <w:sz w:val="34"/>
          <w:szCs w:val="34"/>
          <w:rtl/>
        </w:rPr>
        <w:t>ومن حيث المبدأ</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w:t>
      </w:r>
      <w:r w:rsidRPr="00257704">
        <w:rPr>
          <w:rFonts w:ascii="Arabic Typesetting" w:hAnsi="Arabic Typesetting" w:cs="Arabic Typesetting" w:hint="cs"/>
          <w:sz w:val="34"/>
          <w:szCs w:val="34"/>
          <w:rtl/>
        </w:rPr>
        <w:t xml:space="preserve">. </w:t>
      </w:r>
      <w:r w:rsidRPr="00257704">
        <w:rPr>
          <w:rFonts w:ascii="Arabic Typesetting" w:hAnsi="Arabic Typesetting" w:cs="Arabic Typesetting"/>
          <w:sz w:val="34"/>
          <w:szCs w:val="34"/>
          <w:rtl/>
        </w:rPr>
        <w:t>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w:t>
      </w:r>
      <w:r w:rsidRPr="00257704">
        <w:rPr>
          <w:rFonts w:ascii="Arabic Typesetting" w:hAnsi="Arabic Typesetting" w:cs="Arabic Typesetting" w:hint="cs"/>
          <w:sz w:val="34"/>
          <w:szCs w:val="34"/>
          <w:rtl/>
        </w:rPr>
        <w:t>.</w:t>
      </w:r>
    </w:p>
    <w:p w14:paraId="5CE9AB12" w14:textId="77777777" w:rsidR="00257704" w:rsidRPr="00257704" w:rsidRDefault="00257704" w:rsidP="0031289D">
      <w:pPr>
        <w:keepNext/>
        <w:keepLines/>
        <w:bidi/>
        <w:spacing w:after="240" w:line="360" w:lineRule="exact"/>
        <w:jc w:val="center"/>
        <w:rPr>
          <w:rFonts w:ascii="Arabic Typesetting" w:eastAsia="SimSun" w:hAnsi="Arabic Typesetting" w:cs="Arabic Typesetting"/>
          <w:bCs/>
          <w:sz w:val="34"/>
          <w:szCs w:val="34"/>
          <w:rtl/>
          <w:lang w:eastAsia="zh-CN"/>
        </w:rPr>
      </w:pPr>
      <w:r w:rsidRPr="00257704">
        <w:rPr>
          <w:rFonts w:ascii="Arabic Typesetting" w:eastAsia="SimSun" w:hAnsi="Arabic Typesetting" w:cs="Arabic Typesetting"/>
          <w:bCs/>
          <w:sz w:val="34"/>
          <w:szCs w:val="34"/>
          <w:rtl/>
          <w:lang w:eastAsia="zh-CN"/>
        </w:rPr>
        <w:lastRenderedPageBreak/>
        <w:t>طلبات معاهدة التعاون بشأن البراءات التي تلقاها أكبر عشرة مكاتب لتسلم الطلبات</w:t>
      </w:r>
    </w:p>
    <w:p w14:paraId="0B54C60E" w14:textId="0F164F84" w:rsidR="00257704" w:rsidRPr="00257704" w:rsidRDefault="00781094" w:rsidP="0031289D">
      <w:pPr>
        <w:keepNext/>
        <w:keepLines/>
        <w:bidi/>
        <w:spacing w:after="240" w:line="276" w:lineRule="auto"/>
        <w:jc w:val="center"/>
        <w:rPr>
          <w:rFonts w:ascii="Arabic Typesetting" w:hAnsi="Arabic Typesetting" w:cs="Arabic Typesetting"/>
          <w:bCs/>
          <w:sz w:val="36"/>
          <w:szCs w:val="36"/>
        </w:rPr>
      </w:pPr>
      <w:r w:rsidRPr="00781094">
        <w:rPr>
          <w:noProof/>
          <w:szCs w:val="22"/>
          <w:rtl/>
        </w:rPr>
        <w:drawing>
          <wp:inline distT="0" distB="0" distL="0" distR="0" wp14:anchorId="4C484779" wp14:editId="6740CF44">
            <wp:extent cx="4510222" cy="338255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0222" cy="3382554"/>
                    </a:xfrm>
                    <a:prstGeom prst="rect">
                      <a:avLst/>
                    </a:prstGeom>
                    <a:noFill/>
                    <a:ln>
                      <a:noFill/>
                    </a:ln>
                  </pic:spPr>
                </pic:pic>
              </a:graphicData>
            </a:graphic>
          </wp:inline>
        </w:drawing>
      </w:r>
    </w:p>
    <w:p w14:paraId="4E3ECBDF" w14:textId="77777777" w:rsidR="00257704" w:rsidRPr="00257704" w:rsidRDefault="00257704" w:rsidP="0031289D">
      <w:pPr>
        <w:keepNext/>
        <w:keepLines/>
        <w:bidi/>
        <w:spacing w:after="240" w:line="360" w:lineRule="exact"/>
        <w:rPr>
          <w:rFonts w:ascii="Arabic Typesetting" w:hAnsi="Arabic Typesetting" w:cs="Arabic Typesetting"/>
          <w:iCs/>
          <w:sz w:val="34"/>
          <w:szCs w:val="34"/>
          <w:lang w:val="en-GB"/>
        </w:rPr>
      </w:pPr>
      <w:r w:rsidRPr="00257704">
        <w:rPr>
          <w:rFonts w:ascii="Arabic Typesetting" w:hAnsi="Arabic Typesetting" w:cs="Arabic Typesetting"/>
          <w:iCs/>
          <w:sz w:val="34"/>
          <w:szCs w:val="34"/>
          <w:rtl/>
          <w:lang w:val="en-GB"/>
        </w:rPr>
        <w:t>توقيت الإخطار بتاريخ الإيداع الدولي</w:t>
      </w:r>
    </w:p>
    <w:p w14:paraId="5A1FFA1C" w14:textId="3ED6BDC8"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rPr>
        <w:t>يبين هذا المؤشر الوقت اللازم للمكتب الدولي بصفته مكتبا لتسلم الطلبات لإصدار الاستمارة 105. وتصدر هذه الاستمارة بعد منح تاريخ الإيداع الدولي. ويحبذ المودعون تسلم هذه الاستمارة في أسرع وقت ممكن لأن الطلب الدولي يكون له أثر الطلب الوطني العادي في كل دولة معينة اعتبارا من تاريخ الإيداع الدولي الذي يجب أن يعتبر تاريخ الإيداع الفعلي في كل دولة</w:t>
      </w:r>
      <w:r>
        <w:rPr>
          <w:rFonts w:ascii="Arabic Typesetting" w:hAnsi="Arabic Typesetting" w:cs="Arabic Typesetting" w:hint="cs"/>
          <w:sz w:val="34"/>
          <w:szCs w:val="34"/>
          <w:rtl/>
        </w:rPr>
        <w:t> </w:t>
      </w:r>
      <w:r w:rsidRPr="00257704">
        <w:rPr>
          <w:rFonts w:ascii="Arabic Typesetting" w:hAnsi="Arabic Typesetting" w:cs="Arabic Typesetting"/>
          <w:sz w:val="34"/>
          <w:szCs w:val="34"/>
          <w:rtl/>
        </w:rPr>
        <w:t>معينة.</w:t>
      </w:r>
    </w:p>
    <w:p w14:paraId="17CAE4AF" w14:textId="77777777" w:rsidR="00257704" w:rsidRPr="00257704" w:rsidRDefault="00257704" w:rsidP="0031289D">
      <w:pPr>
        <w:keepNext/>
        <w:keepLines/>
        <w:bidi/>
        <w:spacing w:after="240" w:line="360" w:lineRule="exact"/>
        <w:jc w:val="center"/>
        <w:rPr>
          <w:rFonts w:ascii="Arabic Typesetting" w:eastAsia="SimSun" w:hAnsi="Arabic Typesetting" w:cs="Arabic Typesetting"/>
          <w:bCs/>
          <w:sz w:val="34"/>
          <w:szCs w:val="34"/>
          <w:rtl/>
          <w:lang w:eastAsia="zh-CN"/>
        </w:rPr>
      </w:pPr>
      <w:r w:rsidRPr="00257704">
        <w:rPr>
          <w:rFonts w:ascii="Arabic Typesetting" w:eastAsia="SimSun" w:hAnsi="Arabic Typesetting" w:cs="Arabic Typesetting"/>
          <w:bCs/>
          <w:sz w:val="34"/>
          <w:szCs w:val="34"/>
          <w:rtl/>
          <w:lang w:eastAsia="zh-CN"/>
        </w:rPr>
        <w:t>توقيت الإخطار بتاريخ الإيداع الدولي</w:t>
      </w:r>
    </w:p>
    <w:p w14:paraId="5DB3BF40" w14:textId="1E65A3B2" w:rsidR="00257704" w:rsidRPr="00257704" w:rsidRDefault="00781094" w:rsidP="0031289D">
      <w:pPr>
        <w:bidi/>
        <w:spacing w:after="240" w:line="276" w:lineRule="auto"/>
        <w:jc w:val="center"/>
        <w:rPr>
          <w:rFonts w:ascii="Arabic Typesetting" w:eastAsia="SimSun" w:hAnsi="Arabic Typesetting" w:cs="Arabic Typesetting"/>
          <w:bCs/>
          <w:sz w:val="36"/>
          <w:szCs w:val="36"/>
          <w:lang w:eastAsia="zh-CN" w:bidi="ar-EG"/>
        </w:rPr>
      </w:pPr>
      <w:r>
        <w:rPr>
          <w:rFonts w:ascii="Arabic Typesetting" w:eastAsia="SimSun" w:hAnsi="Arabic Typesetting" w:cs="Arabic Typesetting"/>
          <w:bCs/>
          <w:noProof/>
          <w:sz w:val="36"/>
          <w:szCs w:val="36"/>
        </w:rPr>
        <w:drawing>
          <wp:inline distT="0" distB="0" distL="0" distR="0" wp14:anchorId="6DC11235" wp14:editId="5F21D4E9">
            <wp:extent cx="5387990" cy="2621722"/>
            <wp:effectExtent l="0" t="0" r="317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8245" cy="2636443"/>
                    </a:xfrm>
                    <a:prstGeom prst="rect">
                      <a:avLst/>
                    </a:prstGeom>
                    <a:noFill/>
                  </pic:spPr>
                </pic:pic>
              </a:graphicData>
            </a:graphic>
          </wp:inline>
        </w:drawing>
      </w:r>
    </w:p>
    <w:p w14:paraId="53BCE47F" w14:textId="77777777" w:rsidR="00257704" w:rsidRPr="00257704" w:rsidRDefault="00257704" w:rsidP="0031289D">
      <w:pPr>
        <w:keepNext/>
        <w:keepLines/>
        <w:bidi/>
        <w:spacing w:after="240" w:line="360" w:lineRule="exact"/>
        <w:rPr>
          <w:rFonts w:ascii="Arabic Typesetting" w:hAnsi="Arabic Typesetting" w:cs="Arabic Typesetting"/>
          <w:iCs/>
          <w:sz w:val="34"/>
          <w:szCs w:val="34"/>
          <w:highlight w:val="yellow"/>
          <w:lang w:val="en-GB"/>
        </w:rPr>
      </w:pPr>
      <w:r w:rsidRPr="00257704">
        <w:rPr>
          <w:rFonts w:ascii="Arabic Typesetting" w:hAnsi="Arabic Typesetting" w:cs="Arabic Typesetting"/>
          <w:iCs/>
          <w:sz w:val="34"/>
          <w:szCs w:val="34"/>
          <w:rtl/>
          <w:lang w:val="en-GB"/>
        </w:rPr>
        <w:lastRenderedPageBreak/>
        <w:t>توقيت إرسال نسخة البحث</w:t>
      </w:r>
    </w:p>
    <w:p w14:paraId="1096CBB5" w14:textId="77777777" w:rsidR="00257704" w:rsidRPr="00257704" w:rsidRDefault="00257704" w:rsidP="00D94CDB">
      <w:pPr>
        <w:numPr>
          <w:ilvl w:val="0"/>
          <w:numId w:val="73"/>
        </w:numPr>
        <w:tabs>
          <w:tab w:val="clear" w:pos="567"/>
        </w:tabs>
        <w:bidi/>
        <w:spacing w:after="240" w:line="360" w:lineRule="exact"/>
        <w:jc w:val="both"/>
        <w:rPr>
          <w:rFonts w:ascii="Arabic Typesetting" w:hAnsi="Arabic Typesetting" w:cs="Arabic Typesetting"/>
          <w:sz w:val="34"/>
          <w:szCs w:val="34"/>
        </w:rPr>
      </w:pPr>
      <w:r w:rsidRPr="00257704">
        <w:rPr>
          <w:rFonts w:ascii="Arabic Typesetting" w:hAnsi="Arabic Typesetting" w:cs="Arabic Typesetting"/>
          <w:sz w:val="34"/>
          <w:szCs w:val="34"/>
          <w:rtl/>
          <w:lang w:val="en-GB"/>
        </w:rPr>
        <w:t>يبين هذا المؤشر الوقت اللازم للمكتب الدولي بصفته مكتبا</w:t>
      </w:r>
      <w:r w:rsidRPr="00257704">
        <w:rPr>
          <w:rFonts w:ascii="Arabic Typesetting" w:hAnsi="Arabic Typesetting" w:cs="Arabic Typesetting" w:hint="cs"/>
          <w:sz w:val="34"/>
          <w:szCs w:val="34"/>
          <w:rtl/>
          <w:lang w:val="en-GB"/>
        </w:rPr>
        <w:t>ً</w:t>
      </w:r>
      <w:r w:rsidRPr="00257704">
        <w:rPr>
          <w:rFonts w:ascii="Arabic Typesetting" w:hAnsi="Arabic Typesetting" w:cs="Arabic Typesetting"/>
          <w:sz w:val="34"/>
          <w:szCs w:val="34"/>
          <w:rtl/>
          <w:lang w:val="en-GB"/>
        </w:rPr>
        <w:t xml:space="preserve"> لتسلم الطلبات </w:t>
      </w:r>
      <w:r w:rsidRPr="00257704">
        <w:rPr>
          <w:rFonts w:ascii="Arabic Typesetting" w:hAnsi="Arabic Typesetting" w:cs="Arabic Typesetting" w:hint="cs"/>
          <w:sz w:val="34"/>
          <w:szCs w:val="34"/>
          <w:rtl/>
          <w:lang w:val="en-GB"/>
        </w:rPr>
        <w:t>لإرسال</w:t>
      </w:r>
      <w:r w:rsidRPr="00257704">
        <w:rPr>
          <w:rFonts w:ascii="Arabic Typesetting" w:hAnsi="Arabic Typesetting" w:cs="Arabic Typesetting"/>
          <w:sz w:val="34"/>
          <w:szCs w:val="34"/>
          <w:rtl/>
          <w:lang w:val="en-GB"/>
        </w:rPr>
        <w:t xml:space="preserve"> نسخ البحث إلى إدارات البحث الدولي.</w:t>
      </w:r>
      <w:r w:rsidRPr="00257704">
        <w:rPr>
          <w:rFonts w:ascii="Arabic Typesetting" w:hAnsi="Arabic Typesetting" w:cs="Arabic Typesetting" w:hint="cs"/>
          <w:sz w:val="34"/>
          <w:szCs w:val="34"/>
          <w:rtl/>
        </w:rPr>
        <w:t xml:space="preserve"> وتُرسل</w:t>
      </w:r>
      <w:r w:rsidRPr="00257704">
        <w:rPr>
          <w:rFonts w:ascii="Arabic Typesetting" w:hAnsi="Arabic Typesetting" w:cs="Arabic Typesetting"/>
          <w:sz w:val="34"/>
          <w:szCs w:val="34"/>
          <w:rtl/>
        </w:rPr>
        <w:t xml:space="preserve"> نسخ البحث سريعا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بعد سداد رسم البحث، كي تتمكن إدارات البحث الدولي من إعداد تقرير البحث الدولي في إطار المهلة المحددة في الإطار التنظيمي لمعاهدة التعاون بشأن البراءات. والتأخير في دفع الرسم سيؤخر </w:t>
      </w:r>
      <w:r w:rsidRPr="00257704">
        <w:rPr>
          <w:rFonts w:ascii="Arabic Typesetting" w:hAnsi="Arabic Typesetting" w:cs="Arabic Typesetting" w:hint="cs"/>
          <w:sz w:val="34"/>
          <w:szCs w:val="34"/>
          <w:rtl/>
        </w:rPr>
        <w:t>إرسال</w:t>
      </w:r>
      <w:r w:rsidRPr="00257704">
        <w:rPr>
          <w:rFonts w:ascii="Arabic Typesetting" w:hAnsi="Arabic Typesetting" w:cs="Arabic Typesetting"/>
          <w:sz w:val="34"/>
          <w:szCs w:val="34"/>
          <w:rtl/>
        </w:rPr>
        <w:t xml:space="preserve"> نسخ البحث إلى</w:t>
      </w:r>
      <w:r w:rsidRPr="00257704">
        <w:rPr>
          <w:rFonts w:ascii="Arabic Typesetting" w:hAnsi="Arabic Typesetting" w:cs="Arabic Typesetting" w:hint="cs"/>
          <w:sz w:val="34"/>
          <w:szCs w:val="34"/>
          <w:rtl/>
        </w:rPr>
        <w:t xml:space="preserve"> إدارات البحث الدولي، مما سوف يؤثر سلباً في قدر</w:t>
      </w:r>
      <w:r w:rsidRPr="00257704">
        <w:rPr>
          <w:rFonts w:ascii="Arabic Typesetting" w:hAnsi="Arabic Typesetting" w:cs="Arabic Typesetting"/>
          <w:sz w:val="34"/>
          <w:szCs w:val="34"/>
          <w:rtl/>
        </w:rPr>
        <w:t>ة إدارات البحث الدولي على الوفاء بهذه</w:t>
      </w:r>
      <w:r w:rsidRPr="00257704">
        <w:rPr>
          <w:rFonts w:ascii="Arabic Typesetting" w:hAnsi="Arabic Typesetting" w:cs="Arabic Typesetting" w:hint="cs"/>
          <w:sz w:val="34"/>
          <w:szCs w:val="34"/>
          <w:rtl/>
        </w:rPr>
        <w:t> </w:t>
      </w:r>
      <w:r w:rsidRPr="00257704">
        <w:rPr>
          <w:rFonts w:ascii="Arabic Typesetting" w:hAnsi="Arabic Typesetting" w:cs="Arabic Typesetting"/>
          <w:sz w:val="34"/>
          <w:szCs w:val="34"/>
          <w:rtl/>
        </w:rPr>
        <w:t>المهل</w:t>
      </w:r>
      <w:r w:rsidRPr="00257704">
        <w:rPr>
          <w:rFonts w:ascii="Arabic Typesetting" w:hAnsi="Arabic Typesetting" w:cs="Arabic Typesetting" w:hint="cs"/>
          <w:sz w:val="34"/>
          <w:szCs w:val="34"/>
          <w:rtl/>
        </w:rPr>
        <w:t>.</w:t>
      </w:r>
    </w:p>
    <w:p w14:paraId="0411A3FE" w14:textId="77777777" w:rsidR="00257704" w:rsidRPr="00257704" w:rsidRDefault="00257704" w:rsidP="0031289D">
      <w:pPr>
        <w:keepNext/>
        <w:keepLines/>
        <w:bidi/>
        <w:spacing w:after="240" w:line="360" w:lineRule="exact"/>
        <w:jc w:val="center"/>
        <w:rPr>
          <w:rFonts w:ascii="Arabic Typesetting" w:eastAsia="SimSun" w:hAnsi="Arabic Typesetting" w:cs="Arabic Typesetting"/>
          <w:bCs/>
          <w:sz w:val="34"/>
          <w:szCs w:val="34"/>
          <w:rtl/>
          <w:lang w:eastAsia="zh-CN"/>
        </w:rPr>
      </w:pPr>
      <w:r w:rsidRPr="00257704">
        <w:rPr>
          <w:rFonts w:ascii="Arabic Typesetting" w:eastAsia="SimSun" w:hAnsi="Arabic Typesetting" w:cs="Arabic Typesetting"/>
          <w:bCs/>
          <w:sz w:val="34"/>
          <w:szCs w:val="34"/>
          <w:rtl/>
          <w:lang w:eastAsia="zh-CN"/>
        </w:rPr>
        <w:t>توقيت إرسال نسخة البحث</w:t>
      </w:r>
    </w:p>
    <w:p w14:paraId="33CCF475" w14:textId="034D98A1" w:rsidR="00257704" w:rsidRPr="00257704" w:rsidRDefault="00781094" w:rsidP="0031289D">
      <w:pPr>
        <w:keepNext/>
        <w:keepLines/>
        <w:bidi/>
        <w:spacing w:after="240" w:line="276" w:lineRule="auto"/>
        <w:jc w:val="center"/>
        <w:rPr>
          <w:rFonts w:ascii="Arabic Typesetting" w:eastAsia="SimSun" w:hAnsi="Arabic Typesetting" w:cs="Arabic Typesetting"/>
          <w:bCs/>
          <w:sz w:val="36"/>
          <w:szCs w:val="36"/>
          <w:highlight w:val="yellow"/>
          <w:lang w:eastAsia="zh-CN"/>
        </w:rPr>
      </w:pPr>
      <w:r w:rsidRPr="00781094">
        <w:rPr>
          <w:rFonts w:ascii="Arabic Typesetting" w:eastAsia="SimSun" w:hAnsi="Arabic Typesetting" w:cs="Arabic Typesetting"/>
          <w:bCs/>
          <w:noProof/>
          <w:sz w:val="36"/>
          <w:szCs w:val="36"/>
        </w:rPr>
        <w:drawing>
          <wp:inline distT="0" distB="0" distL="0" distR="0" wp14:anchorId="615995DA" wp14:editId="602E7E70">
            <wp:extent cx="4604634" cy="2302316"/>
            <wp:effectExtent l="0" t="0" r="571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09733" cy="2304865"/>
                    </a:xfrm>
                    <a:prstGeom prst="rect">
                      <a:avLst/>
                    </a:prstGeom>
                    <a:noFill/>
                  </pic:spPr>
                </pic:pic>
              </a:graphicData>
            </a:graphic>
          </wp:inline>
        </w:drawing>
      </w:r>
    </w:p>
    <w:p w14:paraId="58CAF449" w14:textId="77777777" w:rsidR="00257704" w:rsidRPr="00257704" w:rsidRDefault="00257704" w:rsidP="0031289D">
      <w:pPr>
        <w:bidi/>
        <w:spacing w:after="240" w:line="360" w:lineRule="exact"/>
        <w:ind w:hanging="11"/>
        <w:jc w:val="right"/>
        <w:rPr>
          <w:rFonts w:ascii="Arabic Typesetting" w:hAnsi="Arabic Typesetting" w:cs="Arabic Typesetting"/>
          <w:sz w:val="36"/>
          <w:szCs w:val="36"/>
          <w:rtl/>
          <w:lang w:bidi="ar-EG"/>
        </w:rPr>
      </w:pPr>
      <w:r w:rsidRPr="00257704">
        <w:rPr>
          <w:rFonts w:ascii="Arabic Typesetting" w:hAnsi="Arabic Typesetting" w:cs="Arabic Typesetting"/>
          <w:sz w:val="36"/>
          <w:szCs w:val="36"/>
          <w:rtl/>
        </w:rPr>
        <w:t>[نهاية المرفق]</w:t>
      </w:r>
    </w:p>
    <w:p w14:paraId="2C0D2678" w14:textId="52F1F1F7" w:rsidR="00CE6E0B" w:rsidRDefault="00CE6E0B" w:rsidP="00781094">
      <w:pPr>
        <w:bidi/>
        <w:rPr>
          <w:rFonts w:ascii="Arabic Typesetting" w:hAnsi="Arabic Typesetting" w:cs="Arabic Typesetting"/>
          <w:sz w:val="34"/>
          <w:szCs w:val="34"/>
          <w:rtl/>
        </w:rPr>
      </w:pPr>
      <w:r>
        <w:rPr>
          <w:rFonts w:ascii="Arabic Typesetting" w:hAnsi="Arabic Typesetting" w:cs="Arabic Typesetting"/>
          <w:sz w:val="34"/>
          <w:szCs w:val="34"/>
          <w:rtl/>
        </w:rPr>
        <w:br w:type="page"/>
      </w:r>
    </w:p>
    <w:p w14:paraId="71A36377" w14:textId="77777777" w:rsidR="00CE6E0B" w:rsidRPr="000B74B5" w:rsidRDefault="00CE6E0B" w:rsidP="00DA7DF7">
      <w:pPr>
        <w:pStyle w:val="Heading3"/>
        <w:ind w:left="1984" w:hanging="1984"/>
        <w:rPr>
          <w:lang w:val="en-US"/>
        </w:rPr>
      </w:pPr>
      <w:bookmarkStart w:id="20" w:name="_Toc482782747"/>
      <w:r w:rsidRPr="00254297">
        <w:rPr>
          <w:rtl/>
        </w:rPr>
        <w:lastRenderedPageBreak/>
        <w:t>البرنامج</w:t>
      </w:r>
      <w:r>
        <w:rPr>
          <w:rFonts w:hint="cs"/>
          <w:rtl/>
        </w:rPr>
        <w:t xml:space="preserve"> 6</w:t>
      </w:r>
      <w:r w:rsidRPr="00254297">
        <w:rPr>
          <w:rFonts w:hint="cs"/>
          <w:rtl/>
        </w:rPr>
        <w:t>:</w:t>
      </w:r>
      <w:r w:rsidRPr="000B74B5">
        <w:rPr>
          <w:lang w:val="en-US"/>
        </w:rPr>
        <w:tab/>
      </w:r>
      <w:r>
        <w:rPr>
          <w:rFonts w:hint="cs"/>
          <w:rtl/>
        </w:rPr>
        <w:t>نظام مدريد</w:t>
      </w:r>
      <w:bookmarkEnd w:id="20"/>
    </w:p>
    <w:p w14:paraId="242BB86E" w14:textId="77777777" w:rsidR="00CE6E0B" w:rsidRDefault="00CE6E0B" w:rsidP="0031289D">
      <w:pPr>
        <w:keepNext/>
        <w:bidi/>
        <w:spacing w:after="240" w:line="340" w:lineRule="exact"/>
        <w:ind w:left="1984" w:hanging="1984"/>
        <w:rPr>
          <w:rFonts w:ascii="Arabic Typesetting" w:hAnsi="Arabic Typesetting" w:cs="Arabic Typesetting"/>
          <w:b/>
          <w:bCs/>
          <w:sz w:val="36"/>
          <w:szCs w:val="36"/>
          <w:rtl/>
          <w:lang w:val="fr-CH"/>
        </w:rPr>
      </w:pPr>
      <w:r>
        <w:rPr>
          <w:rFonts w:ascii="Arabic Typesetting" w:hAnsi="Arabic Typesetting" w:cs="Arabic Typesetting"/>
          <w:b/>
          <w:bCs/>
          <w:sz w:val="36"/>
          <w:szCs w:val="36"/>
          <w:rtl/>
          <w:lang w:val="fr-CH"/>
        </w:rPr>
        <w:t>المسؤولة عن البرنامج:</w:t>
      </w:r>
      <w:r>
        <w:rPr>
          <w:rFonts w:ascii="Arabic Typesetting" w:hAnsi="Arabic Typesetting" w:cs="Arabic Typesetting"/>
          <w:b/>
          <w:bCs/>
          <w:sz w:val="36"/>
          <w:szCs w:val="36"/>
          <w:rtl/>
          <w:lang w:val="fr-CH"/>
        </w:rPr>
        <w:tab/>
      </w:r>
      <w:r w:rsidRPr="00A6112B">
        <w:rPr>
          <w:rFonts w:ascii="Arabic Typesetting" w:hAnsi="Arabic Typesetting" w:cs="Arabic Typesetting"/>
          <w:b/>
          <w:bCs/>
          <w:sz w:val="36"/>
          <w:szCs w:val="36"/>
          <w:rtl/>
          <w:lang w:val="fr-CH"/>
        </w:rPr>
        <w:t>السيدة بينينغ وانغ</w:t>
      </w:r>
    </w:p>
    <w:p w14:paraId="3C4F1287" w14:textId="092E13A2" w:rsidR="00CE6E0B" w:rsidRDefault="007B75FB"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1F931629" wp14:editId="27FE0EBB">
            <wp:extent cx="3577718" cy="216000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9185" w:type="dxa"/>
        <w:tblInd w:w="57" w:type="dxa"/>
        <w:tblLayout w:type="fixed"/>
        <w:tblCellMar>
          <w:left w:w="115" w:type="dxa"/>
          <w:right w:w="115" w:type="dxa"/>
        </w:tblCellMar>
        <w:tblLook w:val="0000" w:firstRow="0" w:lastRow="0" w:firstColumn="0" w:lastColumn="0" w:noHBand="0" w:noVBand="0"/>
      </w:tblPr>
      <w:tblGrid>
        <w:gridCol w:w="1958"/>
        <w:gridCol w:w="2581"/>
        <w:gridCol w:w="1986"/>
        <w:gridCol w:w="1701"/>
        <w:gridCol w:w="959"/>
      </w:tblGrid>
      <w:tr w:rsidR="00CE6E0B" w:rsidRPr="00A6112B" w14:paraId="05A44BA2" w14:textId="77777777" w:rsidTr="00BB3820">
        <w:trPr>
          <w:cantSplit/>
          <w:trHeight w:val="624"/>
        </w:trPr>
        <w:tc>
          <w:tcPr>
            <w:tcW w:w="5000" w:type="pct"/>
            <w:gridSpan w:val="5"/>
            <w:shd w:val="clear" w:color="auto" w:fill="C6D9F1"/>
            <w:tcMar>
              <w:left w:w="58" w:type="dxa"/>
              <w:right w:w="58" w:type="dxa"/>
            </w:tcMar>
            <w:vAlign w:val="center"/>
          </w:tcPr>
          <w:p w14:paraId="40869238" w14:textId="77777777" w:rsidR="00CE6E0B" w:rsidRPr="00A6112B"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‏النتيجة المرتقبة:</w:t>
            </w:r>
            <w:r w:rsidRPr="00A6112B">
              <w:rPr>
                <w:rFonts w:ascii="Arabic Typesetting" w:eastAsia="Arabic Typesetting" w:hAnsi="Arabic Typesetting" w:cs="Arabic Typesetting"/>
                <w:sz w:val="28"/>
                <w:szCs w:val="28"/>
                <w:lang w:eastAsia="ar-EG" w:bidi="ar-EG"/>
              </w:rPr>
              <w:tab/>
            </w:r>
            <w:r w:rsidRPr="00A6112B">
              <w:rPr>
                <w:rFonts w:ascii="Arabic Typesetting" w:eastAsia="Arabic Typesetting" w:hAnsi="Arabic Typesetting" w:cs="Arabic Typesetting"/>
                <w:color w:val="000000"/>
                <w:sz w:val="28"/>
                <w:szCs w:val="28"/>
                <w:rtl/>
                <w:lang w:eastAsia="ar-EG" w:bidi="ar-EG"/>
              </w:rPr>
              <w:t xml:space="preserve">ه6.2 استخدام نظام مدريد على نطاق </w:t>
            </w:r>
            <w:r w:rsidRPr="009D64E3">
              <w:rPr>
                <w:rFonts w:ascii="Arabic Typesetting" w:eastAsia="Arabic Typesetting" w:hAnsi="Arabic Typesetting" w:cs="Arabic Typesetting"/>
                <w:sz w:val="28"/>
                <w:szCs w:val="28"/>
                <w:rtl/>
                <w:lang w:eastAsia="ar-EG" w:bidi="ar-EG"/>
              </w:rPr>
              <w:t>أوسع</w:t>
            </w:r>
            <w:r w:rsidRPr="00A6112B">
              <w:rPr>
                <w:rFonts w:ascii="Arabic Typesetting" w:eastAsia="Arabic Typesetting" w:hAnsi="Arabic Typesetting" w:cs="Arabic Typesetting"/>
                <w:color w:val="000000"/>
                <w:sz w:val="28"/>
                <w:szCs w:val="28"/>
                <w:rtl/>
                <w:lang w:eastAsia="ar-EG" w:bidi="ar-EG"/>
              </w:rPr>
              <w:t xml:space="preserve"> وبفعالية أكبر، بما في ذلك من قبل البلدان النامية والبلدان الأقل نموا</w:t>
            </w:r>
          </w:p>
        </w:tc>
      </w:tr>
      <w:tr w:rsidR="00CE6E0B" w:rsidRPr="00A6112B" w14:paraId="45A9CBF1" w14:textId="77777777" w:rsidTr="00BB3820">
        <w:trPr>
          <w:cantSplit/>
          <w:trHeight w:val="213"/>
        </w:trPr>
        <w:tc>
          <w:tcPr>
            <w:tcW w:w="1066" w:type="pct"/>
            <w:shd w:val="clear" w:color="auto" w:fill="auto"/>
            <w:tcMar>
              <w:left w:w="58" w:type="dxa"/>
              <w:right w:w="58" w:type="dxa"/>
            </w:tcMar>
            <w:vAlign w:val="center"/>
          </w:tcPr>
          <w:p w14:paraId="0AF63ECD" w14:textId="77777777" w:rsidR="00CE6E0B" w:rsidRPr="00A6112B"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مؤشرات الأداء</w:t>
            </w:r>
          </w:p>
        </w:tc>
        <w:tc>
          <w:tcPr>
            <w:tcW w:w="1405" w:type="pct"/>
            <w:shd w:val="clear" w:color="auto" w:fill="auto"/>
            <w:tcMar>
              <w:left w:w="58" w:type="dxa"/>
              <w:right w:w="58" w:type="dxa"/>
            </w:tcMar>
            <w:vAlign w:val="center"/>
          </w:tcPr>
          <w:p w14:paraId="23D3F3C0" w14:textId="77777777" w:rsidR="00CE6E0B" w:rsidRPr="00A6112B"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أسس المقارنة</w:t>
            </w:r>
          </w:p>
        </w:tc>
        <w:tc>
          <w:tcPr>
            <w:tcW w:w="1081" w:type="pct"/>
            <w:shd w:val="clear" w:color="auto" w:fill="auto"/>
            <w:tcMar>
              <w:top w:w="110" w:type="dxa"/>
              <w:left w:w="58" w:type="dxa"/>
              <w:right w:w="58" w:type="dxa"/>
            </w:tcMar>
            <w:vAlign w:val="center"/>
          </w:tcPr>
          <w:p w14:paraId="153AC5D9" w14:textId="77777777" w:rsidR="00CE6E0B" w:rsidRPr="00A6112B"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الأهداف</w:t>
            </w:r>
          </w:p>
        </w:tc>
        <w:tc>
          <w:tcPr>
            <w:tcW w:w="926" w:type="pct"/>
            <w:shd w:val="clear" w:color="auto" w:fill="FFFFFF"/>
            <w:tcMar>
              <w:top w:w="110" w:type="dxa"/>
              <w:left w:w="58" w:type="dxa"/>
              <w:right w:w="58" w:type="dxa"/>
            </w:tcMar>
            <w:vAlign w:val="center"/>
          </w:tcPr>
          <w:p w14:paraId="0AC4D90C" w14:textId="77777777" w:rsidR="00CE6E0B" w:rsidRPr="00A6112B"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بيانات الأداء</w:t>
            </w:r>
          </w:p>
        </w:tc>
        <w:tc>
          <w:tcPr>
            <w:tcW w:w="522" w:type="pct"/>
            <w:shd w:val="clear" w:color="auto" w:fill="auto"/>
            <w:tcMar>
              <w:top w:w="110" w:type="dxa"/>
              <w:left w:w="58" w:type="dxa"/>
              <w:right w:w="58" w:type="dxa"/>
            </w:tcMar>
            <w:vAlign w:val="center"/>
          </w:tcPr>
          <w:p w14:paraId="3CC75237"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السير</w:t>
            </w:r>
          </w:p>
        </w:tc>
      </w:tr>
      <w:tr w:rsidR="00CE6E0B" w:rsidRPr="00A6112B" w14:paraId="6AAE4415" w14:textId="77777777" w:rsidTr="00BB3820">
        <w:trPr>
          <w:cantSplit/>
          <w:trHeight w:val="1508"/>
        </w:trPr>
        <w:tc>
          <w:tcPr>
            <w:tcW w:w="1066" w:type="pct"/>
            <w:shd w:val="clear" w:color="auto" w:fill="auto"/>
            <w:tcMar>
              <w:left w:w="58" w:type="dxa"/>
              <w:right w:w="58" w:type="dxa"/>
            </w:tcMar>
          </w:tcPr>
          <w:p w14:paraId="1E01ACBA" w14:textId="77777777" w:rsidR="00CE6E0B" w:rsidRPr="00A6112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إجمالي أعضاء نظام مدريد</w:t>
            </w:r>
          </w:p>
        </w:tc>
        <w:tc>
          <w:tcPr>
            <w:tcW w:w="1405" w:type="pct"/>
            <w:shd w:val="clear" w:color="auto" w:fill="auto"/>
            <w:tcMar>
              <w:left w:w="58" w:type="dxa"/>
              <w:right w:w="58" w:type="dxa"/>
            </w:tcMar>
          </w:tcPr>
          <w:p w14:paraId="414C1CAF"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 xml:space="preserve">96 طرفاً متعاقداً يشمل 112 بلداً بحلول نهاية 2015 </w:t>
            </w:r>
            <w:r w:rsidRPr="00A6112B">
              <w:rPr>
                <w:rFonts w:ascii="Arabic Typesetting" w:eastAsia="Arabic Typesetting" w:hAnsi="Arabic Typesetting" w:cs="Arabic Typesetting"/>
                <w:color w:val="002060"/>
                <w:sz w:val="28"/>
                <w:szCs w:val="28"/>
                <w:vertAlign w:val="superscript"/>
                <w:lang w:eastAsia="ar-EG" w:bidi="ar-EG"/>
              </w:rPr>
              <w:footnoteReference w:id="25"/>
            </w:r>
          </w:p>
          <w:p w14:paraId="1FF5397F"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95 عضواً (في 15 أبريل 2015)</w:t>
            </w:r>
          </w:p>
        </w:tc>
        <w:tc>
          <w:tcPr>
            <w:tcW w:w="1081" w:type="pct"/>
            <w:shd w:val="clear" w:color="auto" w:fill="auto"/>
            <w:tcMar>
              <w:top w:w="110" w:type="dxa"/>
              <w:left w:w="58" w:type="dxa"/>
              <w:right w:w="58" w:type="dxa"/>
            </w:tcMar>
          </w:tcPr>
          <w:p w14:paraId="1DAB8166"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103</w:t>
            </w:r>
          </w:p>
        </w:tc>
        <w:tc>
          <w:tcPr>
            <w:tcW w:w="926" w:type="pct"/>
            <w:shd w:val="clear" w:color="auto" w:fill="FFFFFF"/>
            <w:tcMar>
              <w:top w:w="110" w:type="dxa"/>
              <w:left w:w="58" w:type="dxa"/>
              <w:right w:w="58" w:type="dxa"/>
            </w:tcMar>
          </w:tcPr>
          <w:p w14:paraId="578FEBBD"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97 طرفاً متعاقداً يشمل 113</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بلداً</w:t>
            </w:r>
          </w:p>
        </w:tc>
        <w:tc>
          <w:tcPr>
            <w:tcW w:w="522" w:type="pct"/>
            <w:shd w:val="clear" w:color="auto" w:fill="auto"/>
            <w:tcMar>
              <w:top w:w="110" w:type="dxa"/>
              <w:left w:w="58" w:type="dxa"/>
              <w:right w:w="58" w:type="dxa"/>
            </w:tcMar>
          </w:tcPr>
          <w:p w14:paraId="475388A7"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b/>
                <w:color w:val="FF0000"/>
                <w:sz w:val="28"/>
                <w:szCs w:val="28"/>
                <w:lang w:eastAsia="ar-EG" w:bidi="ar-EG"/>
              </w:rPr>
            </w:pPr>
            <w:r w:rsidRPr="00A6112B">
              <w:rPr>
                <w:rFonts w:ascii="Arabic Typesetting" w:eastAsia="Arabic Typesetting" w:hAnsi="Arabic Typesetting" w:cs="Arabic Typesetting"/>
                <w:b/>
                <w:bCs/>
                <w:color w:val="FF0000"/>
                <w:sz w:val="28"/>
                <w:szCs w:val="28"/>
                <w:rtl/>
                <w:lang w:eastAsia="ar-EG" w:bidi="ar-EG"/>
              </w:rPr>
              <w:t>غير ثابت</w:t>
            </w:r>
          </w:p>
        </w:tc>
      </w:tr>
      <w:tr w:rsidR="00CE6E0B" w:rsidRPr="00A6112B" w14:paraId="2C4BB3D0" w14:textId="77777777" w:rsidTr="00BB3820">
        <w:trPr>
          <w:cantSplit/>
          <w:trHeight w:val="1494"/>
        </w:trPr>
        <w:tc>
          <w:tcPr>
            <w:tcW w:w="1066" w:type="pct"/>
            <w:shd w:val="clear" w:color="auto" w:fill="auto"/>
            <w:tcMar>
              <w:left w:w="58" w:type="dxa"/>
              <w:right w:w="58" w:type="dxa"/>
            </w:tcMar>
          </w:tcPr>
          <w:p w14:paraId="3A76DC87"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 xml:space="preserve">الحصة </w:t>
            </w:r>
            <w:r>
              <w:rPr>
                <w:rFonts w:ascii="Arabic Typesetting" w:eastAsia="Arabic Typesetting" w:hAnsi="Arabic Typesetting" w:cs="Arabic Typesetting" w:hint="cs"/>
                <w:color w:val="000000"/>
                <w:sz w:val="28"/>
                <w:szCs w:val="28"/>
                <w:rtl/>
                <w:lang w:eastAsia="ar-EG" w:bidi="ar-EG"/>
              </w:rPr>
              <w:t xml:space="preserve">السوقية </w:t>
            </w:r>
            <w:r w:rsidRPr="00A6112B">
              <w:rPr>
                <w:rFonts w:ascii="Arabic Typesetting" w:eastAsia="Arabic Typesetting" w:hAnsi="Arabic Typesetting" w:cs="Arabic Typesetting"/>
                <w:color w:val="000000"/>
                <w:sz w:val="28"/>
                <w:szCs w:val="28"/>
                <w:rtl/>
                <w:lang w:eastAsia="ar-EG" w:bidi="ar-EG"/>
              </w:rPr>
              <w:t>(أيْ المسار الوطني مقابل مسار مدريد) (مدريد)</w:t>
            </w:r>
          </w:p>
        </w:tc>
        <w:tc>
          <w:tcPr>
            <w:tcW w:w="1405" w:type="pct"/>
            <w:shd w:val="clear" w:color="auto" w:fill="auto"/>
            <w:tcMar>
              <w:left w:w="58" w:type="dxa"/>
              <w:right w:w="58" w:type="dxa"/>
            </w:tcMar>
          </w:tcPr>
          <w:p w14:paraId="7CF70D64"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color w:val="002060"/>
                <w:sz w:val="28"/>
                <w:szCs w:val="28"/>
                <w:rtl/>
                <w:lang w:eastAsia="ar-EG" w:bidi="ar-EG"/>
              </w:rPr>
              <w:t>الحصة السوقية</w:t>
            </w:r>
            <w:r w:rsidRPr="00A6112B">
              <w:rPr>
                <w:rFonts w:ascii="Arabic Typesetting" w:eastAsia="Arabic Typesetting" w:hAnsi="Arabic Typesetting" w:cs="Arabic Typesetting"/>
                <w:color w:val="002060"/>
                <w:sz w:val="28"/>
                <w:szCs w:val="28"/>
                <w:rtl/>
                <w:lang w:eastAsia="ar-EG" w:bidi="ar-EG"/>
              </w:rPr>
              <w:t xml:space="preserve"> 62.6% (2015)</w:t>
            </w:r>
            <w:r>
              <w:rPr>
                <w:rFonts w:ascii="Arabic Typesetting" w:eastAsia="Arabic Typesetting" w:hAnsi="Arabic Typesetting" w:cs="Arabic Typesetting"/>
                <w:color w:val="002060"/>
                <w:sz w:val="28"/>
                <w:szCs w:val="28"/>
                <w:rtl/>
                <w:lang w:eastAsia="ar-EG" w:bidi="ar-EG"/>
              </w:rPr>
              <w:br/>
              <w:t>الحصة السوقية</w:t>
            </w:r>
            <w:r w:rsidRPr="00A6112B">
              <w:rPr>
                <w:rFonts w:ascii="Arabic Typesetting" w:eastAsia="Arabic Typesetting" w:hAnsi="Arabic Typesetting" w:cs="Arabic Typesetting"/>
                <w:color w:val="002060"/>
                <w:sz w:val="28"/>
                <w:szCs w:val="28"/>
                <w:rtl/>
                <w:lang w:eastAsia="ar-EG" w:bidi="ar-EG"/>
              </w:rPr>
              <w:t xml:space="preserve"> 65.3% (2014)</w:t>
            </w:r>
            <w:r w:rsidRPr="00A6112B">
              <w:rPr>
                <w:rFonts w:ascii="Arabic Typesetting" w:eastAsia="Arabic Typesetting" w:hAnsi="Arabic Typesetting" w:cs="Arabic Typesetting"/>
                <w:color w:val="002060"/>
                <w:sz w:val="28"/>
                <w:szCs w:val="28"/>
                <w:vertAlign w:val="superscript"/>
                <w:lang w:eastAsia="ar-EG" w:bidi="ar-EG"/>
              </w:rPr>
              <w:footnoteReference w:id="26"/>
            </w:r>
          </w:p>
          <w:p w14:paraId="2CC9BA2D"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الحصة السوقية</w:t>
            </w:r>
            <w:r w:rsidRPr="00A6112B">
              <w:rPr>
                <w:rFonts w:ascii="Arabic Typesetting" w:eastAsia="Arabic Typesetting" w:hAnsi="Arabic Typesetting" w:cs="Arabic Typesetting"/>
                <w:color w:val="000000"/>
                <w:sz w:val="28"/>
                <w:szCs w:val="28"/>
                <w:rtl/>
                <w:lang w:eastAsia="ar-EG" w:bidi="ar-EG"/>
              </w:rPr>
              <w:t xml:space="preserve"> 63.4%</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(في 31 ديسمبر 2012)</w:t>
            </w:r>
          </w:p>
        </w:tc>
        <w:tc>
          <w:tcPr>
            <w:tcW w:w="1081" w:type="pct"/>
            <w:shd w:val="clear" w:color="auto" w:fill="auto"/>
            <w:tcMar>
              <w:top w:w="110" w:type="dxa"/>
              <w:left w:w="58" w:type="dxa"/>
              <w:right w:w="58" w:type="dxa"/>
            </w:tcMar>
          </w:tcPr>
          <w:p w14:paraId="51F82C22" w14:textId="77777777" w:rsidR="00CE6E0B" w:rsidRPr="00A6112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 xml:space="preserve">زيادة </w:t>
            </w:r>
            <w:r>
              <w:rPr>
                <w:rFonts w:ascii="Arabic Typesetting" w:eastAsia="Arabic Typesetting" w:hAnsi="Arabic Typesetting" w:cs="Arabic Typesetting"/>
                <w:color w:val="000000"/>
                <w:sz w:val="28"/>
                <w:szCs w:val="28"/>
                <w:rtl/>
                <w:lang w:eastAsia="ar-EG" w:bidi="ar-EG"/>
              </w:rPr>
              <w:t>الحصة السوقية</w:t>
            </w:r>
          </w:p>
        </w:tc>
        <w:tc>
          <w:tcPr>
            <w:tcW w:w="926" w:type="pct"/>
            <w:shd w:val="clear" w:color="auto" w:fill="FFFFFF"/>
            <w:tcMar>
              <w:top w:w="110" w:type="dxa"/>
              <w:left w:w="58" w:type="dxa"/>
              <w:right w:w="58" w:type="dxa"/>
            </w:tcMar>
          </w:tcPr>
          <w:p w14:paraId="38C201BF" w14:textId="77777777" w:rsidR="00CE6E0B" w:rsidRPr="00A6112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لن تكون بيانات عام</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2016 متاحة قبل</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نهاية 2017</w:t>
            </w:r>
          </w:p>
        </w:tc>
        <w:tc>
          <w:tcPr>
            <w:tcW w:w="522" w:type="pct"/>
            <w:shd w:val="clear" w:color="auto" w:fill="auto"/>
            <w:tcMar>
              <w:top w:w="110" w:type="dxa"/>
              <w:left w:w="58" w:type="dxa"/>
              <w:right w:w="58" w:type="dxa"/>
            </w:tcMar>
          </w:tcPr>
          <w:p w14:paraId="05C9DDB9"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1F497D"/>
                <w:sz w:val="28"/>
                <w:szCs w:val="28"/>
                <w:rtl/>
                <w:lang w:eastAsia="ar-EG" w:bidi="ar-EG"/>
              </w:rPr>
              <w:t>غير متاح في 2016</w:t>
            </w:r>
          </w:p>
        </w:tc>
      </w:tr>
      <w:tr w:rsidR="00CE6E0B" w:rsidRPr="00A6112B" w14:paraId="2B50DEF2" w14:textId="77777777" w:rsidTr="00BB3820">
        <w:trPr>
          <w:cantSplit/>
          <w:trHeight w:val="1793"/>
        </w:trPr>
        <w:tc>
          <w:tcPr>
            <w:tcW w:w="1066" w:type="pct"/>
            <w:shd w:val="clear" w:color="auto" w:fill="auto"/>
            <w:tcMar>
              <w:left w:w="58" w:type="dxa"/>
              <w:right w:w="58" w:type="dxa"/>
            </w:tcMar>
          </w:tcPr>
          <w:p w14:paraId="6F3DEF7A"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lastRenderedPageBreak/>
              <w:t>معدل الإيداع (مدريد)</w:t>
            </w:r>
          </w:p>
        </w:tc>
        <w:tc>
          <w:tcPr>
            <w:tcW w:w="1405" w:type="pct"/>
            <w:shd w:val="clear" w:color="auto" w:fill="auto"/>
            <w:tcMar>
              <w:left w:w="58" w:type="dxa"/>
              <w:right w:w="58" w:type="dxa"/>
            </w:tcMar>
          </w:tcPr>
          <w:p w14:paraId="36190F03" w14:textId="4284B4EC" w:rsidR="00CE6E0B" w:rsidRDefault="00CE6E0B" w:rsidP="00D67DEC">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00D67DEC">
              <w:rPr>
                <w:rFonts w:ascii="Arabic Typesetting" w:eastAsia="Arabic Typesetting" w:hAnsi="Arabic Typesetting" w:cs="Arabic Typesetting" w:hint="cs"/>
                <w:color w:val="002060"/>
                <w:sz w:val="28"/>
                <w:szCs w:val="28"/>
                <w:rtl/>
                <w:lang w:eastAsia="ar-EG" w:bidi="ar-EG"/>
              </w:rPr>
              <w:t>013 49</w:t>
            </w:r>
            <w:r w:rsidRPr="00A6112B">
              <w:rPr>
                <w:rFonts w:ascii="Arabic Typesetting" w:eastAsia="Arabic Typesetting" w:hAnsi="Arabic Typesetting" w:cs="Arabic Typesetting"/>
                <w:color w:val="002060"/>
                <w:sz w:val="28"/>
                <w:szCs w:val="28"/>
                <w:rtl/>
                <w:lang w:eastAsia="ar-EG" w:bidi="ar-EG"/>
              </w:rPr>
              <w:t xml:space="preserve"> طلباً</w:t>
            </w:r>
            <w:r>
              <w:rPr>
                <w:rFonts w:ascii="Arabic Typesetting" w:eastAsia="Arabic Typesetting" w:hAnsi="Arabic Typesetting" w:cs="Arabic Typesetting"/>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 xml:space="preserve">زيادة معدل الإيداع بنسبة </w:t>
            </w:r>
            <w:r>
              <w:rPr>
                <w:rFonts w:ascii="Arabic Typesetting" w:eastAsia="Arabic Typesetting" w:hAnsi="Arabic Typesetting" w:cs="Arabic Typesetting"/>
                <w:color w:val="002060"/>
                <w:sz w:val="28"/>
                <w:szCs w:val="28"/>
                <w:rtl/>
                <w:lang w:eastAsia="ar-EG" w:bidi="ar-EG"/>
              </w:rPr>
              <w:t>1%</w:t>
            </w:r>
            <w:r>
              <w:rPr>
                <w:rFonts w:ascii="Arabic Typesetting" w:eastAsia="Arabic Typesetting" w:hAnsi="Arabic Typesetting" w:cs="Arabic Typesetting"/>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 xml:space="preserve">(مقارنة مع </w:t>
            </w:r>
            <w:r w:rsidR="00D67DEC">
              <w:rPr>
                <w:rFonts w:ascii="Arabic Typesetting" w:eastAsia="Arabic Typesetting" w:hAnsi="Arabic Typesetting" w:cs="Arabic Typesetting" w:hint="cs"/>
                <w:color w:val="002060"/>
                <w:sz w:val="28"/>
                <w:szCs w:val="28"/>
                <w:rtl/>
                <w:lang w:eastAsia="ar-EG" w:bidi="ar-EG"/>
              </w:rPr>
              <w:t>013 49</w:t>
            </w:r>
            <w:r w:rsidRPr="00A6112B">
              <w:rPr>
                <w:rFonts w:ascii="Arabic Typesetting" w:eastAsia="Arabic Typesetting" w:hAnsi="Arabic Typesetting" w:cs="Arabic Typesetting"/>
                <w:color w:val="002060"/>
                <w:sz w:val="28"/>
                <w:szCs w:val="28"/>
                <w:rtl/>
                <w:lang w:eastAsia="ar-EG" w:bidi="ar-EG"/>
              </w:rPr>
              <w:t xml:space="preserve"> طلباً في عام</w:t>
            </w:r>
            <w:r>
              <w:rPr>
                <w:rFonts w:ascii="Arabic Typesetting" w:eastAsia="Arabic Typesetting" w:hAnsi="Arabic Typesetting" w:cs="Arabic Typesetting" w:hint="cs"/>
                <w:color w:val="002060"/>
                <w:sz w:val="28"/>
                <w:szCs w:val="28"/>
                <w:rtl/>
                <w:lang w:eastAsia="ar-EG" w:bidi="ar-EG"/>
              </w:rPr>
              <w:t> </w:t>
            </w:r>
            <w:r w:rsidRPr="00A6112B">
              <w:rPr>
                <w:rFonts w:ascii="Arabic Typesetting" w:eastAsia="Arabic Typesetting" w:hAnsi="Arabic Typesetting" w:cs="Arabic Typesetting"/>
                <w:color w:val="002060"/>
                <w:sz w:val="28"/>
                <w:szCs w:val="28"/>
                <w:rtl/>
                <w:lang w:eastAsia="ar-EG" w:bidi="ar-EG"/>
              </w:rPr>
              <w:t>2014)</w:t>
            </w:r>
            <w:r w:rsidRPr="00A6112B">
              <w:rPr>
                <w:rFonts w:ascii="Arabic Typesetting" w:eastAsia="Arabic Typesetting" w:hAnsi="Arabic Typesetting" w:cs="Arabic Typesetting"/>
                <w:color w:val="000000"/>
                <w:sz w:val="28"/>
                <w:szCs w:val="28"/>
                <w:vertAlign w:val="superscript"/>
                <w:lang w:eastAsia="ar-EG" w:bidi="ar-EG"/>
              </w:rPr>
              <w:footnoteReference w:id="27"/>
            </w:r>
          </w:p>
          <w:p w14:paraId="7A61AAF2" w14:textId="7B942618" w:rsidR="00CE6E0B" w:rsidRPr="00A6112B" w:rsidRDefault="00CE6E0B" w:rsidP="00D67DEC">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00D67DEC">
              <w:rPr>
                <w:rFonts w:ascii="Arabic Typesetting" w:eastAsia="Arabic Typesetting" w:hAnsi="Arabic Typesetting" w:cs="Arabic Typesetting" w:hint="cs"/>
                <w:color w:val="000000"/>
                <w:sz w:val="28"/>
                <w:szCs w:val="28"/>
                <w:rtl/>
                <w:lang w:eastAsia="ar-EG" w:bidi="ar-EG"/>
              </w:rPr>
              <w:t>885 47</w:t>
            </w:r>
            <w:r>
              <w:rPr>
                <w:rFonts w:ascii="Arabic Typesetting" w:eastAsia="Arabic Typesetting" w:hAnsi="Arabic Typesetting" w:cs="Arabic Typesetting"/>
                <w:color w:val="000000"/>
                <w:sz w:val="28"/>
                <w:szCs w:val="28"/>
                <w:rtl/>
                <w:lang w:eastAsia="ar-EG" w:bidi="ar-EG"/>
              </w:rPr>
              <w:t xml:space="preserve"> طلباً</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زيادة معدل الإيداع بنسبة 2.3% (في</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31 ديسمبر 2014) مقارنة</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بعام</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2013</w:t>
            </w:r>
          </w:p>
        </w:tc>
        <w:tc>
          <w:tcPr>
            <w:tcW w:w="1081" w:type="pct"/>
            <w:shd w:val="clear" w:color="auto" w:fill="auto"/>
            <w:tcMar>
              <w:top w:w="110" w:type="dxa"/>
              <w:left w:w="58" w:type="dxa"/>
              <w:right w:w="58" w:type="dxa"/>
            </w:tcMar>
          </w:tcPr>
          <w:p w14:paraId="0FE80359"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rtl/>
                <w:lang w:eastAsia="ar-EG" w:bidi="ar-EG"/>
              </w:rPr>
            </w:pPr>
            <w:r w:rsidRPr="00A6112B">
              <w:rPr>
                <w:rFonts w:ascii="Arabic Typesetting" w:eastAsia="Arabic Typesetting" w:hAnsi="Arabic Typesetting" w:cs="Arabic Typesetting"/>
                <w:color w:val="000000"/>
                <w:sz w:val="28"/>
                <w:szCs w:val="28"/>
                <w:rtl/>
                <w:lang w:eastAsia="ar-EG" w:bidi="ar-EG"/>
              </w:rPr>
              <w:t>2016</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زيادة معدل الإيداع بنسبة 4.6%</w:t>
            </w:r>
          </w:p>
          <w:p w14:paraId="52D52381"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2017</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زيادة معدل الإيداع بنسبة 2.3%</w:t>
            </w:r>
          </w:p>
        </w:tc>
        <w:tc>
          <w:tcPr>
            <w:tcW w:w="926" w:type="pct"/>
            <w:shd w:val="clear" w:color="auto" w:fill="FFFFFF"/>
            <w:tcMar>
              <w:top w:w="110" w:type="dxa"/>
              <w:left w:w="58" w:type="dxa"/>
              <w:right w:w="58" w:type="dxa"/>
            </w:tcMar>
          </w:tcPr>
          <w:p w14:paraId="55BFF237" w14:textId="0B0893A5" w:rsidR="00CE6E0B" w:rsidRPr="00A6112B" w:rsidRDefault="00D67DEC" w:rsidP="00D67DEC">
            <w:pPr>
              <w:keepNext/>
              <w:keepLines/>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550 52</w:t>
            </w:r>
            <w:r w:rsidR="00CE6E0B">
              <w:rPr>
                <w:rFonts w:ascii="Arabic Typesetting" w:eastAsia="Arabic Typesetting" w:hAnsi="Arabic Typesetting" w:cs="Arabic Typesetting"/>
                <w:color w:val="000000"/>
                <w:sz w:val="28"/>
                <w:szCs w:val="28"/>
                <w:rtl/>
                <w:lang w:eastAsia="ar-EG" w:bidi="ar-EG"/>
              </w:rPr>
              <w:t xml:space="preserve"> طلباً</w:t>
            </w:r>
            <w:r w:rsidR="00CE6E0B">
              <w:rPr>
                <w:rFonts w:ascii="Arabic Typesetting" w:eastAsia="Arabic Typesetting" w:hAnsi="Arabic Typesetting" w:cs="Arabic Typesetting"/>
                <w:color w:val="000000"/>
                <w:sz w:val="28"/>
                <w:szCs w:val="28"/>
                <w:rtl/>
                <w:lang w:eastAsia="ar-EG" w:bidi="ar-EG"/>
              </w:rPr>
              <w:br/>
            </w:r>
            <w:r w:rsidR="00CE6E0B" w:rsidRPr="00A6112B">
              <w:rPr>
                <w:rFonts w:ascii="Arabic Typesetting" w:eastAsia="Arabic Typesetting" w:hAnsi="Arabic Typesetting" w:cs="Arabic Typesetting"/>
                <w:color w:val="000000"/>
                <w:sz w:val="28"/>
                <w:szCs w:val="28"/>
                <w:rtl/>
                <w:lang w:eastAsia="ar-EG" w:bidi="ar-EG"/>
              </w:rPr>
              <w:t>(زيادة بنسبة 7.2% مقارنة بعام</w:t>
            </w:r>
            <w:r w:rsidR="00CE6E0B">
              <w:rPr>
                <w:rFonts w:ascii="Arabic Typesetting" w:eastAsia="Arabic Typesetting" w:hAnsi="Arabic Typesetting" w:cs="Arabic Typesetting" w:hint="cs"/>
                <w:color w:val="000000"/>
                <w:sz w:val="28"/>
                <w:szCs w:val="28"/>
                <w:rtl/>
                <w:lang w:eastAsia="ar-EG" w:bidi="ar-EG"/>
              </w:rPr>
              <w:t> </w:t>
            </w:r>
            <w:r w:rsidR="00CE6E0B" w:rsidRPr="00A6112B">
              <w:rPr>
                <w:rFonts w:ascii="Arabic Typesetting" w:eastAsia="Arabic Typesetting" w:hAnsi="Arabic Typesetting" w:cs="Arabic Typesetting"/>
                <w:color w:val="000000"/>
                <w:sz w:val="28"/>
                <w:szCs w:val="28"/>
                <w:rtl/>
                <w:lang w:eastAsia="ar-EG" w:bidi="ar-EG"/>
              </w:rPr>
              <w:t>2015)</w:t>
            </w:r>
          </w:p>
        </w:tc>
        <w:tc>
          <w:tcPr>
            <w:tcW w:w="522" w:type="pct"/>
            <w:shd w:val="clear" w:color="auto" w:fill="auto"/>
            <w:tcMar>
              <w:top w:w="110" w:type="dxa"/>
              <w:left w:w="58" w:type="dxa"/>
              <w:right w:w="58" w:type="dxa"/>
            </w:tcMar>
          </w:tcPr>
          <w:p w14:paraId="3FBC0677"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tc>
      </w:tr>
      <w:tr w:rsidR="00CE6E0B" w:rsidRPr="00A6112B" w14:paraId="50C16DB1" w14:textId="77777777" w:rsidTr="00BB3820">
        <w:trPr>
          <w:cantSplit/>
          <w:trHeight w:val="1397"/>
        </w:trPr>
        <w:tc>
          <w:tcPr>
            <w:tcW w:w="1066" w:type="pct"/>
            <w:shd w:val="clear" w:color="auto" w:fill="auto"/>
            <w:tcMar>
              <w:left w:w="58" w:type="dxa"/>
              <w:right w:w="58" w:type="dxa"/>
            </w:tcMar>
          </w:tcPr>
          <w:p w14:paraId="5885A9FA"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التسجيلات (مدريد)</w:t>
            </w:r>
          </w:p>
        </w:tc>
        <w:tc>
          <w:tcPr>
            <w:tcW w:w="1405" w:type="pct"/>
            <w:shd w:val="clear" w:color="auto" w:fill="auto"/>
            <w:tcMar>
              <w:left w:w="58" w:type="dxa"/>
              <w:right w:w="58" w:type="dxa"/>
            </w:tcMar>
          </w:tcPr>
          <w:p w14:paraId="1AD6C147" w14:textId="24B4C788" w:rsidR="00CE6E0B" w:rsidRDefault="00CE6E0B" w:rsidP="00D67DEC">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00D67DEC">
              <w:rPr>
                <w:rFonts w:ascii="Arabic Typesetting" w:eastAsia="Arabic Typesetting" w:hAnsi="Arabic Typesetting" w:cs="Arabic Typesetting" w:hint="cs"/>
                <w:color w:val="002060"/>
                <w:sz w:val="28"/>
                <w:szCs w:val="28"/>
                <w:rtl/>
                <w:lang w:eastAsia="ar-EG" w:bidi="ar-EG"/>
              </w:rPr>
              <w:t>938 51</w:t>
            </w:r>
            <w:r w:rsidRPr="00A6112B">
              <w:rPr>
                <w:rFonts w:ascii="Arabic Typesetting" w:eastAsia="Arabic Typesetting" w:hAnsi="Arabic Typesetting" w:cs="Arabic Typesetting"/>
                <w:color w:val="002060"/>
                <w:sz w:val="28"/>
                <w:szCs w:val="28"/>
                <w:rtl/>
                <w:lang w:eastAsia="ar-EG" w:bidi="ar-EG"/>
              </w:rPr>
              <w:t xml:space="preserve"> (2015)</w:t>
            </w:r>
          </w:p>
          <w:p w14:paraId="3BC17205" w14:textId="74608990" w:rsidR="00CE6E0B" w:rsidRPr="00A6112B" w:rsidRDefault="00CE6E0B" w:rsidP="00D67DEC">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00D67DEC">
              <w:rPr>
                <w:rFonts w:ascii="Arabic Typesetting" w:eastAsia="Arabic Typesetting" w:hAnsi="Arabic Typesetting" w:cs="Arabic Typesetting" w:hint="cs"/>
                <w:color w:val="000000"/>
                <w:sz w:val="28"/>
                <w:szCs w:val="28"/>
                <w:rtl/>
                <w:lang w:eastAsia="ar-EG" w:bidi="ar-EG"/>
              </w:rPr>
              <w:t>430 42</w:t>
            </w:r>
            <w:r w:rsidRPr="00A6112B">
              <w:rPr>
                <w:rFonts w:ascii="Arabic Typesetting" w:eastAsia="Arabic Typesetting" w:hAnsi="Arabic Typesetting" w:cs="Arabic Typesetting"/>
                <w:color w:val="000000"/>
                <w:sz w:val="28"/>
                <w:szCs w:val="28"/>
                <w:rtl/>
                <w:lang w:eastAsia="ar-EG" w:bidi="ar-EG"/>
              </w:rPr>
              <w:t xml:space="preserve"> (2014)</w:t>
            </w:r>
          </w:p>
        </w:tc>
        <w:tc>
          <w:tcPr>
            <w:tcW w:w="1081" w:type="pct"/>
            <w:shd w:val="clear" w:color="auto" w:fill="auto"/>
            <w:tcMar>
              <w:top w:w="110" w:type="dxa"/>
              <w:left w:w="58" w:type="dxa"/>
              <w:right w:w="58" w:type="dxa"/>
            </w:tcMar>
          </w:tcPr>
          <w:p w14:paraId="0740109F" w14:textId="6F95007B" w:rsidR="00CE6E0B" w:rsidRDefault="00CE6E0B" w:rsidP="00D67DEC">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أكثر من</w:t>
            </w:r>
            <w:r w:rsidR="00D67DEC">
              <w:rPr>
                <w:rFonts w:ascii="Arabic Typesetting" w:eastAsia="Arabic Typesetting" w:hAnsi="Arabic Typesetting" w:cs="Arabic Typesetting" w:hint="cs"/>
                <w:color w:val="002060"/>
                <w:sz w:val="28"/>
                <w:szCs w:val="28"/>
                <w:rtl/>
                <w:lang w:eastAsia="ar-EG" w:bidi="ar-EG"/>
              </w:rPr>
              <w:t xml:space="preserve"> 500 47</w:t>
            </w:r>
            <w:r w:rsidRPr="00A6112B">
              <w:rPr>
                <w:rFonts w:ascii="Arabic Typesetting" w:eastAsia="Arabic Typesetting" w:hAnsi="Arabic Typesetting" w:cs="Arabic Typesetting"/>
                <w:color w:val="002060"/>
                <w:sz w:val="28"/>
                <w:szCs w:val="28"/>
                <w:rtl/>
                <w:lang w:eastAsia="ar-EG" w:bidi="ar-EG"/>
              </w:rPr>
              <w:t xml:space="preserve"> (2016)</w:t>
            </w:r>
            <w:r>
              <w:rPr>
                <w:rFonts w:ascii="Arabic Typesetting" w:eastAsia="Arabic Typesetting" w:hAnsi="Arabic Typesetting" w:cs="Arabic Typesetting"/>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أكثر من</w:t>
            </w:r>
            <w:r w:rsidR="00D67DEC">
              <w:rPr>
                <w:rFonts w:ascii="Arabic Typesetting" w:eastAsia="Arabic Typesetting" w:hAnsi="Arabic Typesetting" w:cs="Arabic Typesetting" w:hint="cs"/>
                <w:color w:val="002060"/>
                <w:sz w:val="28"/>
                <w:szCs w:val="28"/>
                <w:rtl/>
                <w:lang w:eastAsia="ar-EG" w:bidi="ar-EG"/>
              </w:rPr>
              <w:t xml:space="preserve"> 000 52</w:t>
            </w:r>
            <w:r w:rsidRPr="00A6112B">
              <w:rPr>
                <w:rFonts w:ascii="Arabic Typesetting" w:eastAsia="Arabic Typesetting" w:hAnsi="Arabic Typesetting" w:cs="Arabic Typesetting"/>
                <w:color w:val="002060"/>
                <w:sz w:val="28"/>
                <w:szCs w:val="28"/>
                <w:rtl/>
                <w:lang w:eastAsia="ar-EG" w:bidi="ar-EG"/>
              </w:rPr>
              <w:t xml:space="preserve"> (2017)</w:t>
            </w:r>
          </w:p>
          <w:p w14:paraId="3FCA5F54" w14:textId="5C7F30D8" w:rsidR="00CE6E0B" w:rsidRPr="00A6112B" w:rsidRDefault="00CE6E0B" w:rsidP="000C4432">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الهدف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w:t>
            </w:r>
            <w:r w:rsidR="000C4432">
              <w:rPr>
                <w:rFonts w:ascii="Arabic Typesetting" w:eastAsia="Arabic Typesetting" w:hAnsi="Arabic Typesetting" w:cs="Arabic Typesetting" w:hint="cs"/>
                <w:i/>
                <w:iCs/>
                <w:sz w:val="28"/>
                <w:szCs w:val="28"/>
                <w:rtl/>
                <w:lang w:eastAsia="ar-EG" w:bidi="ar-EG"/>
              </w:rPr>
              <w:t>/17:</w:t>
            </w:r>
            <w:r>
              <w:rPr>
                <w:rFonts w:ascii="Arabic Typesetting" w:eastAsia="Arabic Typesetting" w:hAnsi="Arabic Typesetting" w:cs="Arabic Typesetting"/>
                <w:i/>
                <w:iCs/>
                <w:sz w:val="28"/>
                <w:szCs w:val="28"/>
                <w:rtl/>
                <w:lang w:eastAsia="ar-EG" w:bidi="ar-EG"/>
              </w:rPr>
              <w:br/>
            </w:r>
            <w:r w:rsidR="00D67DEC">
              <w:rPr>
                <w:rFonts w:ascii="Arabic Typesetting" w:eastAsia="Arabic Typesetting" w:hAnsi="Arabic Typesetting" w:cs="Arabic Typesetting" w:hint="cs"/>
                <w:color w:val="000000"/>
                <w:sz w:val="28"/>
                <w:szCs w:val="28"/>
                <w:rtl/>
                <w:lang w:eastAsia="ar-EG" w:bidi="ar-EG"/>
              </w:rPr>
              <w:t>387 47</w:t>
            </w:r>
            <w:r w:rsidRPr="00A6112B">
              <w:rPr>
                <w:rFonts w:ascii="Arabic Typesetting" w:eastAsia="Arabic Typesetting" w:hAnsi="Arabic Typesetting" w:cs="Arabic Typesetting"/>
                <w:color w:val="000000"/>
                <w:sz w:val="28"/>
                <w:szCs w:val="28"/>
                <w:rtl/>
                <w:lang w:eastAsia="ar-EG" w:bidi="ar-EG"/>
              </w:rPr>
              <w:t xml:space="preserve"> (2016)</w:t>
            </w:r>
            <w:r>
              <w:rPr>
                <w:rFonts w:ascii="Arabic Typesetting" w:eastAsia="Arabic Typesetting" w:hAnsi="Arabic Typesetting" w:cs="Arabic Typesetting"/>
                <w:color w:val="000000"/>
                <w:sz w:val="28"/>
                <w:szCs w:val="28"/>
                <w:rtl/>
                <w:lang w:eastAsia="ar-EG" w:bidi="ar-EG"/>
              </w:rPr>
              <w:br/>
            </w:r>
            <w:r w:rsidR="00D67DEC">
              <w:rPr>
                <w:rFonts w:ascii="Arabic Typesetting" w:eastAsia="Arabic Typesetting" w:hAnsi="Arabic Typesetting" w:cs="Arabic Typesetting" w:hint="cs"/>
                <w:color w:val="000000"/>
                <w:sz w:val="28"/>
                <w:szCs w:val="28"/>
                <w:rtl/>
                <w:lang w:eastAsia="ar-EG" w:bidi="ar-EG"/>
              </w:rPr>
              <w:t>652 48</w:t>
            </w:r>
            <w:r w:rsidRPr="00A6112B">
              <w:rPr>
                <w:rFonts w:ascii="Arabic Typesetting" w:eastAsia="Arabic Typesetting" w:hAnsi="Arabic Typesetting" w:cs="Arabic Typesetting"/>
                <w:color w:val="000000"/>
                <w:sz w:val="28"/>
                <w:szCs w:val="28"/>
                <w:rtl/>
                <w:lang w:eastAsia="ar-EG" w:bidi="ar-EG"/>
              </w:rPr>
              <w:t xml:space="preserve"> (2017)</w:t>
            </w:r>
          </w:p>
        </w:tc>
        <w:tc>
          <w:tcPr>
            <w:tcW w:w="926" w:type="pct"/>
            <w:shd w:val="clear" w:color="auto" w:fill="FFFFFF"/>
            <w:tcMar>
              <w:top w:w="110" w:type="dxa"/>
              <w:left w:w="58" w:type="dxa"/>
              <w:right w:w="58" w:type="dxa"/>
            </w:tcMar>
          </w:tcPr>
          <w:p w14:paraId="51B802DD" w14:textId="7E770C87" w:rsidR="00CE6E0B" w:rsidRPr="00A6112B" w:rsidRDefault="00D67DEC" w:rsidP="00D67DEC">
            <w:pPr>
              <w:keepNext/>
              <w:keepLines/>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726 44</w:t>
            </w:r>
            <w:r w:rsidR="00CE6E0B" w:rsidRPr="00A6112B">
              <w:rPr>
                <w:rFonts w:ascii="Arabic Typesetting" w:eastAsia="Arabic Typesetting" w:hAnsi="Arabic Typesetting" w:cs="Arabic Typesetting"/>
                <w:color w:val="000000"/>
                <w:sz w:val="28"/>
                <w:szCs w:val="28"/>
                <w:rtl/>
                <w:lang w:eastAsia="ar-EG" w:bidi="ar-EG"/>
              </w:rPr>
              <w:t xml:space="preserve"> تسجيلاً</w:t>
            </w:r>
          </w:p>
        </w:tc>
        <w:tc>
          <w:tcPr>
            <w:tcW w:w="522" w:type="pct"/>
            <w:shd w:val="clear" w:color="auto" w:fill="auto"/>
            <w:tcMar>
              <w:top w:w="110" w:type="dxa"/>
              <w:left w:w="58" w:type="dxa"/>
              <w:right w:w="58" w:type="dxa"/>
            </w:tcMar>
          </w:tcPr>
          <w:p w14:paraId="1B52C0F6"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b/>
                <w:color w:val="FF000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tc>
      </w:tr>
      <w:tr w:rsidR="00CE6E0B" w:rsidRPr="00A6112B" w14:paraId="08518686" w14:textId="77777777" w:rsidTr="00BB3820">
        <w:trPr>
          <w:cantSplit/>
          <w:trHeight w:val="1311"/>
        </w:trPr>
        <w:tc>
          <w:tcPr>
            <w:tcW w:w="1066" w:type="pct"/>
            <w:shd w:val="clear" w:color="auto" w:fill="auto"/>
            <w:tcMar>
              <w:left w:w="58" w:type="dxa"/>
              <w:right w:w="58" w:type="dxa"/>
            </w:tcMar>
          </w:tcPr>
          <w:p w14:paraId="2799EE5A"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التجديدات (مدريد)</w:t>
            </w:r>
          </w:p>
        </w:tc>
        <w:tc>
          <w:tcPr>
            <w:tcW w:w="1405" w:type="pct"/>
            <w:shd w:val="clear" w:color="auto" w:fill="auto"/>
            <w:tcMar>
              <w:left w:w="58" w:type="dxa"/>
              <w:right w:w="58" w:type="dxa"/>
            </w:tcMar>
          </w:tcPr>
          <w:p w14:paraId="5759BE5F" w14:textId="095A46B0" w:rsidR="00CE6E0B" w:rsidRDefault="00CE6E0B" w:rsidP="00D67DEC">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00D67DEC">
              <w:rPr>
                <w:rFonts w:ascii="Arabic Typesetting" w:eastAsia="Arabic Typesetting" w:hAnsi="Arabic Typesetting" w:cs="Arabic Typesetting" w:hint="cs"/>
                <w:color w:val="002060"/>
                <w:sz w:val="28"/>
                <w:szCs w:val="28"/>
                <w:rtl/>
                <w:lang w:eastAsia="ar-EG" w:bidi="ar-EG"/>
              </w:rPr>
              <w:t>384 28</w:t>
            </w:r>
            <w:r w:rsidRPr="00A6112B">
              <w:rPr>
                <w:rFonts w:ascii="Arabic Typesetting" w:eastAsia="Arabic Typesetting" w:hAnsi="Arabic Typesetting" w:cs="Arabic Typesetting"/>
                <w:color w:val="002060"/>
                <w:sz w:val="28"/>
                <w:szCs w:val="28"/>
                <w:rtl/>
                <w:lang w:eastAsia="ar-EG" w:bidi="ar-EG"/>
              </w:rPr>
              <w:t xml:space="preserve"> تجديداً</w:t>
            </w:r>
          </w:p>
          <w:p w14:paraId="28E92DE3" w14:textId="127CE6D0" w:rsidR="00CE6E0B" w:rsidRPr="00A6112B" w:rsidRDefault="00CE6E0B" w:rsidP="00D67DEC">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00D67DEC">
              <w:rPr>
                <w:rFonts w:ascii="Arabic Typesetting" w:eastAsia="Arabic Typesetting" w:hAnsi="Arabic Typesetting" w:cs="Arabic Typesetting" w:hint="cs"/>
                <w:color w:val="000000"/>
                <w:sz w:val="28"/>
                <w:szCs w:val="28"/>
                <w:rtl/>
                <w:lang w:eastAsia="ar-EG" w:bidi="ar-EG"/>
              </w:rPr>
              <w:t>729 25</w:t>
            </w:r>
            <w:r w:rsidRPr="00A6112B">
              <w:rPr>
                <w:rFonts w:ascii="Arabic Typesetting" w:eastAsia="Arabic Typesetting" w:hAnsi="Arabic Typesetting" w:cs="Arabic Typesetting"/>
                <w:color w:val="000000"/>
                <w:sz w:val="28"/>
                <w:szCs w:val="28"/>
                <w:rtl/>
                <w:lang w:eastAsia="ar-EG" w:bidi="ar-EG"/>
              </w:rPr>
              <w:t xml:space="preserve"> (2014)</w:t>
            </w:r>
          </w:p>
        </w:tc>
        <w:tc>
          <w:tcPr>
            <w:tcW w:w="1081" w:type="pct"/>
            <w:shd w:val="clear" w:color="auto" w:fill="auto"/>
            <w:tcMar>
              <w:top w:w="110" w:type="dxa"/>
              <w:left w:w="58" w:type="dxa"/>
              <w:right w:w="58" w:type="dxa"/>
            </w:tcMar>
          </w:tcPr>
          <w:p w14:paraId="14921C1C" w14:textId="0A3FF76A" w:rsidR="00CE6E0B" w:rsidRPr="00A6112B" w:rsidRDefault="00D67DEC" w:rsidP="00D67DEC">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850 29</w:t>
            </w:r>
            <w:r w:rsidR="00CE6E0B" w:rsidRPr="00A6112B">
              <w:rPr>
                <w:rFonts w:ascii="Arabic Typesetting" w:eastAsia="Arabic Typesetting" w:hAnsi="Arabic Typesetting" w:cs="Arabic Typesetting"/>
                <w:color w:val="000000"/>
                <w:sz w:val="28"/>
                <w:szCs w:val="28"/>
                <w:rtl/>
                <w:lang w:eastAsia="ar-EG" w:bidi="ar-EG"/>
              </w:rPr>
              <w:t xml:space="preserve"> (2016)</w:t>
            </w:r>
            <w:r w:rsidR="00CE6E0B">
              <w:rPr>
                <w:rFonts w:ascii="Arabic Typesetting" w:eastAsia="Arabic Typesetting" w:hAnsi="Arabic Typesetting" w:cs="Arabic Typesetting"/>
                <w:color w:val="000000"/>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020 31</w:t>
            </w:r>
            <w:r w:rsidR="00CE6E0B" w:rsidRPr="00A6112B">
              <w:rPr>
                <w:rFonts w:ascii="Arabic Typesetting" w:eastAsia="Arabic Typesetting" w:hAnsi="Arabic Typesetting" w:cs="Arabic Typesetting"/>
                <w:color w:val="000000"/>
                <w:sz w:val="28"/>
                <w:szCs w:val="28"/>
                <w:rtl/>
                <w:lang w:eastAsia="ar-EG" w:bidi="ar-EG"/>
              </w:rPr>
              <w:t xml:space="preserve"> (2017)</w:t>
            </w:r>
          </w:p>
        </w:tc>
        <w:tc>
          <w:tcPr>
            <w:tcW w:w="926" w:type="pct"/>
            <w:shd w:val="clear" w:color="auto" w:fill="FFFFFF"/>
            <w:tcMar>
              <w:top w:w="110" w:type="dxa"/>
              <w:left w:w="58" w:type="dxa"/>
              <w:right w:w="58" w:type="dxa"/>
            </w:tcMar>
          </w:tcPr>
          <w:p w14:paraId="444D0BF4" w14:textId="42382AC1" w:rsidR="00CE6E0B" w:rsidRPr="00A6112B" w:rsidRDefault="00D67DEC" w:rsidP="00D67DEC">
            <w:pPr>
              <w:keepNext/>
              <w:keepLines/>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103 30</w:t>
            </w:r>
            <w:r w:rsidR="00CE6E0B" w:rsidRPr="00A6112B">
              <w:rPr>
                <w:rFonts w:ascii="Arabic Typesetting" w:eastAsia="Arabic Typesetting" w:hAnsi="Arabic Typesetting" w:cs="Arabic Typesetting"/>
                <w:color w:val="000000"/>
                <w:sz w:val="28"/>
                <w:szCs w:val="28"/>
                <w:rtl/>
                <w:lang w:eastAsia="ar-EG" w:bidi="ar-EG"/>
              </w:rPr>
              <w:t xml:space="preserve"> تجديدات</w:t>
            </w:r>
          </w:p>
        </w:tc>
        <w:tc>
          <w:tcPr>
            <w:tcW w:w="522" w:type="pct"/>
            <w:shd w:val="clear" w:color="auto" w:fill="auto"/>
            <w:tcMar>
              <w:top w:w="110" w:type="dxa"/>
              <w:left w:w="58" w:type="dxa"/>
              <w:right w:w="58" w:type="dxa"/>
            </w:tcMar>
          </w:tcPr>
          <w:p w14:paraId="5AD068CE"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tc>
      </w:tr>
      <w:tr w:rsidR="00CE6E0B" w:rsidRPr="00A6112B" w14:paraId="199BCE9A" w14:textId="77777777" w:rsidTr="00BB3820">
        <w:trPr>
          <w:cantSplit/>
          <w:trHeight w:val="1461"/>
        </w:trPr>
        <w:tc>
          <w:tcPr>
            <w:tcW w:w="1066" w:type="pct"/>
            <w:shd w:val="clear" w:color="auto" w:fill="auto"/>
            <w:tcMar>
              <w:left w:w="58" w:type="dxa"/>
              <w:right w:w="58" w:type="dxa"/>
            </w:tcMar>
          </w:tcPr>
          <w:p w14:paraId="3AA2746F"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إجمالي عدد التسجيلات (مدريد)</w:t>
            </w:r>
          </w:p>
        </w:tc>
        <w:tc>
          <w:tcPr>
            <w:tcW w:w="1405" w:type="pct"/>
            <w:shd w:val="clear" w:color="auto" w:fill="auto"/>
            <w:tcMar>
              <w:left w:w="58" w:type="dxa"/>
              <w:right w:w="58" w:type="dxa"/>
            </w:tcMar>
          </w:tcPr>
          <w:p w14:paraId="0559912E" w14:textId="6B9298D2" w:rsidR="00CE6E0B" w:rsidRDefault="00CE6E0B" w:rsidP="00D67DEC">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00D67DEC">
              <w:rPr>
                <w:rFonts w:ascii="Arabic Typesetting" w:eastAsia="Arabic Typesetting" w:hAnsi="Arabic Typesetting" w:cs="Arabic Typesetting" w:hint="cs"/>
                <w:color w:val="002060"/>
                <w:sz w:val="28"/>
                <w:szCs w:val="28"/>
                <w:rtl/>
                <w:lang w:eastAsia="ar-EG" w:bidi="ar-EG"/>
              </w:rPr>
              <w:t>765 625</w:t>
            </w:r>
            <w:r>
              <w:rPr>
                <w:rFonts w:ascii="Arabic Typesetting" w:eastAsia="Arabic Typesetting" w:hAnsi="Arabic Typesetting" w:cs="Arabic Typesetting"/>
                <w:color w:val="002060"/>
                <w:sz w:val="28"/>
                <w:szCs w:val="28"/>
                <w:rtl/>
                <w:lang w:eastAsia="ar-EG" w:bidi="ar-EG"/>
              </w:rPr>
              <w:t xml:space="preserve"> تسجيلاً سارياً</w:t>
            </w:r>
            <w:r>
              <w:rPr>
                <w:rFonts w:ascii="Arabic Typesetting" w:eastAsia="Arabic Typesetting" w:hAnsi="Arabic Typesetting" w:cs="Arabic Typesetting"/>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(في 31 ديسمبر 2015)</w:t>
            </w:r>
            <w:r w:rsidRPr="00A6112B">
              <w:rPr>
                <w:rFonts w:ascii="Arabic Typesetting" w:eastAsia="Arabic Typesetting" w:hAnsi="Arabic Typesetting" w:cs="Arabic Typesetting"/>
                <w:color w:val="002060"/>
                <w:sz w:val="28"/>
                <w:szCs w:val="28"/>
                <w:vertAlign w:val="superscript"/>
                <w:lang w:eastAsia="ar-EG" w:bidi="ar-EG"/>
              </w:rPr>
              <w:footnoteReference w:id="28"/>
            </w:r>
          </w:p>
          <w:p w14:paraId="582356CB" w14:textId="4F986A24" w:rsidR="00CE6E0B" w:rsidRPr="00A6112B" w:rsidRDefault="00CE6E0B" w:rsidP="00D67DEC">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00D67DEC">
              <w:rPr>
                <w:rFonts w:ascii="Arabic Typesetting" w:eastAsia="Arabic Typesetting" w:hAnsi="Arabic Typesetting" w:cs="Arabic Typesetting" w:hint="cs"/>
                <w:color w:val="000000"/>
                <w:sz w:val="28"/>
                <w:szCs w:val="28"/>
                <w:rtl/>
                <w:lang w:eastAsia="ar-EG" w:bidi="ar-EG"/>
              </w:rPr>
              <w:t>477 594</w:t>
            </w:r>
            <w:r>
              <w:rPr>
                <w:rFonts w:ascii="Arabic Typesetting" w:eastAsia="Arabic Typesetting" w:hAnsi="Arabic Typesetting" w:cs="Arabic Typesetting"/>
                <w:color w:val="000000"/>
                <w:sz w:val="28"/>
                <w:szCs w:val="28"/>
                <w:rtl/>
                <w:lang w:eastAsia="ar-EG" w:bidi="ar-EG"/>
              </w:rPr>
              <w:t xml:space="preserve"> تسجيلاً</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(في 31 ديسمبر 2014)</w:t>
            </w:r>
          </w:p>
        </w:tc>
        <w:tc>
          <w:tcPr>
            <w:tcW w:w="1081" w:type="pct"/>
            <w:shd w:val="clear" w:color="auto" w:fill="auto"/>
            <w:tcMar>
              <w:top w:w="110" w:type="dxa"/>
              <w:left w:w="58" w:type="dxa"/>
              <w:right w:w="58" w:type="dxa"/>
            </w:tcMar>
          </w:tcPr>
          <w:p w14:paraId="5EC595B7" w14:textId="184452B1" w:rsidR="00CE6E0B" w:rsidRPr="00A6112B" w:rsidRDefault="00CE6E0B" w:rsidP="00D67DEC">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2016</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D67DEC">
              <w:rPr>
                <w:rFonts w:ascii="Arabic Typesetting" w:eastAsia="Arabic Typesetting" w:hAnsi="Arabic Typesetting" w:cs="Arabic Typesetting" w:hint="cs"/>
                <w:color w:val="000000"/>
                <w:sz w:val="28"/>
                <w:szCs w:val="28"/>
                <w:rtl/>
                <w:lang w:eastAsia="ar-EG" w:bidi="ar-EG"/>
              </w:rPr>
              <w:t>000 630</w:t>
            </w:r>
            <w:r w:rsidRPr="00A6112B">
              <w:rPr>
                <w:rFonts w:ascii="Arabic Typesetting" w:eastAsia="Arabic Typesetting" w:hAnsi="Arabic Typesetting" w:cs="Arabic Typesetting"/>
                <w:color w:val="000000"/>
                <w:sz w:val="28"/>
                <w:szCs w:val="28"/>
                <w:rtl/>
                <w:lang w:eastAsia="ar-EG" w:bidi="ar-EG"/>
              </w:rPr>
              <w:t xml:space="preserve"> تسجيل</w:t>
            </w:r>
            <w:r w:rsidRPr="00A6112B">
              <w:rPr>
                <w:rFonts w:ascii="Arabic Typesetting" w:eastAsia="Arabic Typesetting" w:hAnsi="Arabic Typesetting" w:cs="Arabic Typesetting"/>
                <w:color w:val="000000"/>
                <w:sz w:val="28"/>
                <w:szCs w:val="28"/>
                <w:lang w:eastAsia="ar-EG" w:bidi="ar-EG"/>
              </w:rPr>
              <w:br/>
            </w:r>
            <w:r w:rsidRPr="00A6112B">
              <w:rPr>
                <w:rFonts w:ascii="Arabic Typesetting" w:eastAsia="Arabic Typesetting" w:hAnsi="Arabic Typesetting" w:cs="Arabic Typesetting"/>
                <w:color w:val="000000"/>
                <w:sz w:val="28"/>
                <w:szCs w:val="28"/>
                <w:rtl/>
                <w:lang w:eastAsia="ar-EG" w:bidi="ar-EG"/>
              </w:rPr>
              <w:t>2017</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D67DEC">
              <w:rPr>
                <w:rFonts w:ascii="Arabic Typesetting" w:eastAsia="Arabic Typesetting" w:hAnsi="Arabic Typesetting" w:cs="Arabic Typesetting" w:hint="cs"/>
                <w:color w:val="000000"/>
                <w:sz w:val="28"/>
                <w:szCs w:val="28"/>
                <w:rtl/>
                <w:lang w:eastAsia="ar-EG" w:bidi="ar-EG"/>
              </w:rPr>
              <w:t>000 650</w:t>
            </w:r>
            <w:r w:rsidRPr="00A6112B">
              <w:rPr>
                <w:rFonts w:ascii="Arabic Typesetting" w:eastAsia="Arabic Typesetting" w:hAnsi="Arabic Typesetting" w:cs="Arabic Typesetting"/>
                <w:color w:val="000000"/>
                <w:sz w:val="28"/>
                <w:szCs w:val="28"/>
                <w:rtl/>
                <w:lang w:eastAsia="ar-EG" w:bidi="ar-EG"/>
              </w:rPr>
              <w:t xml:space="preserve"> تسجيل</w:t>
            </w:r>
          </w:p>
        </w:tc>
        <w:tc>
          <w:tcPr>
            <w:tcW w:w="926" w:type="pct"/>
            <w:shd w:val="clear" w:color="auto" w:fill="FFFFFF"/>
            <w:tcMar>
              <w:top w:w="110" w:type="dxa"/>
              <w:left w:w="58" w:type="dxa"/>
              <w:right w:w="58" w:type="dxa"/>
            </w:tcMar>
          </w:tcPr>
          <w:p w14:paraId="5D0D83DE" w14:textId="66AD6E39" w:rsidR="00CE6E0B" w:rsidRPr="00A6112B" w:rsidRDefault="00D67DEC" w:rsidP="00D67DEC">
            <w:pPr>
              <w:keepNext/>
              <w:keepLines/>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587 641</w:t>
            </w:r>
            <w:r w:rsidR="00CE6E0B">
              <w:rPr>
                <w:rFonts w:ascii="Arabic Typesetting" w:eastAsia="Arabic Typesetting" w:hAnsi="Arabic Typesetting" w:cs="Arabic Typesetting"/>
                <w:color w:val="000000"/>
                <w:sz w:val="28"/>
                <w:szCs w:val="28"/>
                <w:rtl/>
                <w:lang w:eastAsia="ar-EG" w:bidi="ar-EG"/>
              </w:rPr>
              <w:t xml:space="preserve"> تسجيلاً</w:t>
            </w:r>
          </w:p>
        </w:tc>
        <w:tc>
          <w:tcPr>
            <w:tcW w:w="522" w:type="pct"/>
            <w:shd w:val="clear" w:color="auto" w:fill="auto"/>
            <w:tcMar>
              <w:top w:w="110" w:type="dxa"/>
              <w:left w:w="58" w:type="dxa"/>
              <w:right w:w="58" w:type="dxa"/>
            </w:tcMar>
          </w:tcPr>
          <w:p w14:paraId="6A88B52F"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tc>
      </w:tr>
      <w:tr w:rsidR="00CE6E0B" w:rsidRPr="00A6112B" w14:paraId="0E50F8D0" w14:textId="77777777" w:rsidTr="00BB3820">
        <w:trPr>
          <w:cantSplit/>
          <w:trHeight w:val="1560"/>
        </w:trPr>
        <w:tc>
          <w:tcPr>
            <w:tcW w:w="1066" w:type="pct"/>
            <w:shd w:val="clear" w:color="auto" w:fill="auto"/>
            <w:tcMar>
              <w:left w:w="58" w:type="dxa"/>
              <w:right w:w="58" w:type="dxa"/>
            </w:tcMar>
          </w:tcPr>
          <w:p w14:paraId="0951AD76"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إجمالي عدد التعيينات (مدريد)</w:t>
            </w:r>
          </w:p>
        </w:tc>
        <w:tc>
          <w:tcPr>
            <w:tcW w:w="1405" w:type="pct"/>
            <w:shd w:val="clear" w:color="auto" w:fill="auto"/>
            <w:tcMar>
              <w:left w:w="58" w:type="dxa"/>
              <w:right w:w="58" w:type="dxa"/>
            </w:tcMar>
          </w:tcPr>
          <w:p w14:paraId="1D782E3C"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color w:val="002060"/>
                <w:sz w:val="28"/>
                <w:szCs w:val="28"/>
                <w:rtl/>
                <w:lang w:eastAsia="ar-EG" w:bidi="ar-EG"/>
              </w:rPr>
              <w:t>5.66 مليون تعيين سارٍ</w:t>
            </w:r>
            <w:r>
              <w:rPr>
                <w:rFonts w:ascii="Arabic Typesetting" w:eastAsia="Arabic Typesetting" w:hAnsi="Arabic Typesetting" w:cs="Arabic Typesetting"/>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(في 31 ديسمبر 2015)</w:t>
            </w:r>
          </w:p>
          <w:p w14:paraId="26926746" w14:textId="77777777" w:rsidR="00CE6E0B" w:rsidRPr="00A6112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5.61 مليون تعيين</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(في 31 ديسمبر 2014)</w:t>
            </w:r>
          </w:p>
        </w:tc>
        <w:tc>
          <w:tcPr>
            <w:tcW w:w="1081" w:type="pct"/>
            <w:shd w:val="clear" w:color="auto" w:fill="auto"/>
            <w:tcMar>
              <w:top w:w="110" w:type="dxa"/>
              <w:left w:w="58" w:type="dxa"/>
              <w:right w:w="58" w:type="dxa"/>
            </w:tcMar>
          </w:tcPr>
          <w:p w14:paraId="5990BA1A"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rtl/>
                <w:lang w:eastAsia="ar-EG" w:bidi="ar-EG"/>
              </w:rPr>
            </w:pPr>
            <w:r w:rsidRPr="00A6112B">
              <w:rPr>
                <w:rFonts w:ascii="Arabic Typesetting" w:eastAsia="Arabic Typesetting" w:hAnsi="Arabic Typesetting" w:cs="Arabic Typesetting"/>
                <w:color w:val="000000"/>
                <w:sz w:val="28"/>
                <w:szCs w:val="28"/>
                <w:rtl/>
                <w:lang w:eastAsia="ar-EG" w:bidi="ar-EG"/>
              </w:rPr>
              <w:t>2016</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5.68 مليون تعيين</w:t>
            </w:r>
          </w:p>
          <w:p w14:paraId="204050D6" w14:textId="77777777" w:rsidR="00CE6E0B" w:rsidRPr="00A6112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2017</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5.7 مليون تعيين</w:t>
            </w:r>
          </w:p>
        </w:tc>
        <w:tc>
          <w:tcPr>
            <w:tcW w:w="926" w:type="pct"/>
            <w:shd w:val="clear" w:color="auto" w:fill="FFFFFF"/>
            <w:tcMar>
              <w:top w:w="110" w:type="dxa"/>
              <w:left w:w="58" w:type="dxa"/>
              <w:right w:w="58" w:type="dxa"/>
            </w:tcMar>
          </w:tcPr>
          <w:p w14:paraId="5E69EFF7" w14:textId="77777777" w:rsidR="00CE6E0B" w:rsidRPr="00A6112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5.69 مليون تعيين</w:t>
            </w:r>
          </w:p>
        </w:tc>
        <w:tc>
          <w:tcPr>
            <w:tcW w:w="522" w:type="pct"/>
            <w:shd w:val="clear" w:color="auto" w:fill="auto"/>
            <w:tcMar>
              <w:top w:w="110" w:type="dxa"/>
              <w:left w:w="58" w:type="dxa"/>
              <w:right w:w="58" w:type="dxa"/>
            </w:tcMar>
          </w:tcPr>
          <w:p w14:paraId="2127C8D9"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tc>
      </w:tr>
      <w:tr w:rsidR="00CE6E0B" w:rsidRPr="00A6112B" w14:paraId="7990D10B" w14:textId="77777777" w:rsidTr="00BB3820">
        <w:trPr>
          <w:cantSplit/>
          <w:trHeight w:val="1793"/>
        </w:trPr>
        <w:tc>
          <w:tcPr>
            <w:tcW w:w="1066" w:type="pct"/>
            <w:shd w:val="clear" w:color="auto" w:fill="auto"/>
            <w:tcMar>
              <w:left w:w="58" w:type="dxa"/>
              <w:right w:w="58" w:type="dxa"/>
            </w:tcMar>
          </w:tcPr>
          <w:p w14:paraId="5365FE15"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lastRenderedPageBreak/>
              <w:t>معدل المخالفة</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(المادتان 12 و13) (مدريد)</w:t>
            </w:r>
          </w:p>
        </w:tc>
        <w:tc>
          <w:tcPr>
            <w:tcW w:w="1405" w:type="pct"/>
            <w:shd w:val="clear" w:color="auto" w:fill="auto"/>
            <w:tcMar>
              <w:left w:w="58" w:type="dxa"/>
              <w:right w:w="58" w:type="dxa"/>
            </w:tcMar>
          </w:tcPr>
          <w:p w14:paraId="0AD14027" w14:textId="77777777" w:rsidR="00CE6E0B" w:rsidRDefault="00CE6E0B" w:rsidP="0031289D">
            <w:pPr>
              <w:bidi/>
              <w:spacing w:line="280" w:lineRule="exact"/>
              <w:ind w:left="115"/>
              <w:rPr>
                <w:rFonts w:ascii="Arabic Typesetting" w:eastAsia="Arabic Typesetting" w:hAnsi="Arabic Typesetting" w:cs="Arabic Typesetting"/>
                <w:i/>
                <w:iCs/>
                <w:color w:val="002060"/>
                <w:sz w:val="28"/>
                <w:szCs w:val="28"/>
                <w:rtl/>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p>
          <w:p w14:paraId="1896C773" w14:textId="4AED465B" w:rsidR="00CE6E0B" w:rsidRPr="00A6112B" w:rsidRDefault="00CE6E0B" w:rsidP="00D67DEC">
            <w:pPr>
              <w:bidi/>
              <w:spacing w:line="280" w:lineRule="exact"/>
              <w:ind w:left="251" w:hanging="131"/>
              <w:rPr>
                <w:rFonts w:ascii="Arabic Typesetting" w:eastAsia="Arabic Typesetting" w:hAnsi="Arabic Typesetting" w:cs="Arabic Typesetting"/>
                <w:b/>
                <w:color w:val="002060"/>
                <w:sz w:val="28"/>
                <w:szCs w:val="28"/>
                <w:lang w:eastAsia="ar-EG" w:bidi="ar-EG"/>
              </w:rPr>
            </w:pP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tab/>
            </w:r>
            <w:r w:rsidRPr="00A6112B">
              <w:rPr>
                <w:rFonts w:ascii="Arabic Typesetting" w:eastAsia="Arabic Typesetting" w:hAnsi="Arabic Typesetting" w:cs="Arabic Typesetting"/>
                <w:color w:val="002060"/>
                <w:sz w:val="28"/>
                <w:szCs w:val="28"/>
                <w:rtl/>
                <w:lang w:eastAsia="ar-EG" w:bidi="ar-EG"/>
              </w:rPr>
              <w:t>2015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t>39% أي</w:t>
            </w:r>
            <w:r w:rsidR="00D67DEC">
              <w:rPr>
                <w:rFonts w:ascii="Arabic Typesetting" w:eastAsia="Arabic Typesetting" w:hAnsi="Arabic Typesetting" w:cs="Arabic Typesetting" w:hint="cs"/>
                <w:color w:val="002060"/>
                <w:sz w:val="28"/>
                <w:szCs w:val="28"/>
                <w:rtl/>
                <w:lang w:eastAsia="ar-EG" w:bidi="ar-EG"/>
              </w:rPr>
              <w:t xml:space="preserve"> 216 19</w:t>
            </w:r>
            <w:r>
              <w:rPr>
                <w:rFonts w:ascii="Arabic Typesetting" w:eastAsia="Arabic Typesetting" w:hAnsi="Arabic Typesetting" w:cs="Arabic Typesetting"/>
                <w:color w:val="002060"/>
                <w:sz w:val="28"/>
                <w:szCs w:val="28"/>
                <w:rtl/>
                <w:lang w:eastAsia="ar-EG" w:bidi="ar-EG"/>
              </w:rPr>
              <w:t xml:space="preserve"> طلباً مخالفاً</w:t>
            </w:r>
          </w:p>
          <w:p w14:paraId="6B6E51DA" w14:textId="7A34BF22" w:rsidR="00CE6E0B" w:rsidRDefault="00CE6E0B" w:rsidP="00B17489">
            <w:pPr>
              <w:bidi/>
              <w:spacing w:after="120" w:line="280" w:lineRule="exact"/>
              <w:ind w:left="251" w:hanging="131"/>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tab/>
            </w:r>
            <w:r w:rsidRPr="00A6112B">
              <w:rPr>
                <w:rFonts w:ascii="Arabic Typesetting" w:eastAsia="Arabic Typesetting" w:hAnsi="Arabic Typesetting" w:cs="Arabic Typesetting"/>
                <w:color w:val="002060"/>
                <w:sz w:val="28"/>
                <w:szCs w:val="28"/>
                <w:rtl/>
                <w:lang w:eastAsia="ar-EG" w:bidi="ar-EG"/>
              </w:rPr>
              <w:t>2014</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t>34%</w:t>
            </w:r>
            <w:r w:rsidRPr="00A6112B">
              <w:rPr>
                <w:rFonts w:ascii="Arabic Typesetting" w:eastAsia="Arabic Typesetting" w:hAnsi="Arabic Typesetting" w:cs="Arabic Typesetting"/>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vertAlign w:val="superscript"/>
                <w:lang w:eastAsia="ar-EG" w:bidi="ar-EG"/>
              </w:rPr>
              <w:footnoteReference w:id="29"/>
            </w:r>
            <w:r>
              <w:rPr>
                <w:rFonts w:ascii="Arabic Typesetting" w:eastAsia="Arabic Typesetting" w:hAnsi="Arabic Typesetting" w:cs="Arabic Typesetting"/>
                <w:color w:val="002060"/>
                <w:sz w:val="28"/>
                <w:szCs w:val="28"/>
                <w:rtl/>
                <w:lang w:eastAsia="ar-EG" w:bidi="ar-EG"/>
              </w:rPr>
              <w:t xml:space="preserve"> أي </w:t>
            </w:r>
            <w:r w:rsidR="00B17489">
              <w:rPr>
                <w:rFonts w:ascii="Arabic Typesetting" w:eastAsia="Arabic Typesetting" w:hAnsi="Arabic Typesetting" w:cs="Arabic Typesetting" w:hint="cs"/>
                <w:color w:val="002060"/>
                <w:sz w:val="28"/>
                <w:szCs w:val="28"/>
                <w:rtl/>
                <w:lang w:eastAsia="ar-EG" w:bidi="ar-EG"/>
              </w:rPr>
              <w:t xml:space="preserve">281 16 </w:t>
            </w:r>
            <w:r>
              <w:rPr>
                <w:rFonts w:ascii="Arabic Typesetting" w:eastAsia="Arabic Typesetting" w:hAnsi="Arabic Typesetting" w:cs="Arabic Typesetting"/>
                <w:color w:val="002060"/>
                <w:sz w:val="28"/>
                <w:szCs w:val="28"/>
                <w:rtl/>
                <w:lang w:eastAsia="ar-EG" w:bidi="ar-EG"/>
              </w:rPr>
              <w:t>طلباً مخالفاً</w:t>
            </w:r>
          </w:p>
          <w:p w14:paraId="0247188D" w14:textId="72C193A0" w:rsidR="00CE6E0B" w:rsidRDefault="00D02C02" w:rsidP="00B17489">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hint="cs"/>
                <w:color w:val="002060"/>
                <w:sz w:val="28"/>
                <w:szCs w:val="28"/>
                <w:rtl/>
                <w:lang w:eastAsia="ar-EG" w:bidi="ar-EG"/>
              </w:rPr>
              <w:t>المصطلحا</w:t>
            </w:r>
            <w:r w:rsidRPr="00A6112B">
              <w:rPr>
                <w:rFonts w:ascii="Arabic Typesetting" w:eastAsia="Arabic Typesetting" w:hAnsi="Arabic Typesetting" w:cs="Arabic Typesetting" w:hint="eastAsia"/>
                <w:color w:val="002060"/>
                <w:sz w:val="28"/>
                <w:szCs w:val="28"/>
                <w:rtl/>
                <w:lang w:eastAsia="ar-EG" w:bidi="ar-EG"/>
              </w:rPr>
              <w:t>ت</w:t>
            </w:r>
            <w:r w:rsidR="00CE6E0B" w:rsidRPr="00A6112B">
              <w:rPr>
                <w:rFonts w:ascii="Arabic Typesetting" w:eastAsia="Arabic Typesetting" w:hAnsi="Arabic Typesetting" w:cs="Arabic Typesetting"/>
                <w:color w:val="002060"/>
                <w:sz w:val="28"/>
                <w:szCs w:val="28"/>
                <w:rtl/>
                <w:lang w:eastAsia="ar-EG" w:bidi="ar-EG"/>
              </w:rPr>
              <w:t xml:space="preserve"> المقبولة في قاعدة بيانات السل</w:t>
            </w:r>
            <w:r w:rsidR="00CE6E0B">
              <w:rPr>
                <w:rFonts w:ascii="Arabic Typesetting" w:eastAsia="Arabic Typesetting" w:hAnsi="Arabic Typesetting" w:cs="Arabic Typesetting"/>
                <w:color w:val="002060"/>
                <w:sz w:val="28"/>
                <w:szCs w:val="28"/>
                <w:rtl/>
                <w:lang w:eastAsia="ar-EG" w:bidi="ar-EG"/>
              </w:rPr>
              <w:t>ع والخدمات (بالإنكليزية)</w:t>
            </w:r>
            <w:r w:rsidR="00B17489">
              <w:rPr>
                <w:rFonts w:ascii="Arabic Typesetting" w:eastAsia="Arabic Typesetting" w:hAnsi="Arabic Typesetting" w:cs="Arabic Typesetting" w:hint="cs"/>
                <w:color w:val="002060"/>
                <w:sz w:val="28"/>
                <w:szCs w:val="28"/>
                <w:rtl/>
                <w:lang w:eastAsia="ar-EG" w:bidi="ar-EG"/>
              </w:rPr>
              <w:t xml:space="preserve"> 300 76</w:t>
            </w:r>
            <w:r w:rsidR="00CE6E0B">
              <w:rPr>
                <w:rFonts w:ascii="Arabic Typesetting" w:eastAsia="Arabic Typesetting" w:hAnsi="Arabic Typesetting" w:cs="Arabic Typesetting"/>
                <w:color w:val="002060"/>
                <w:sz w:val="28"/>
                <w:szCs w:val="28"/>
                <w:rtl/>
                <w:lang w:eastAsia="ar-EG" w:bidi="ar-EG"/>
              </w:rPr>
              <w:br/>
            </w:r>
            <w:r w:rsidR="00CE6E0B" w:rsidRPr="00A6112B">
              <w:rPr>
                <w:rFonts w:ascii="Arabic Typesetting" w:eastAsia="Arabic Typesetting" w:hAnsi="Arabic Typesetting" w:cs="Arabic Typesetting"/>
                <w:color w:val="002060"/>
                <w:sz w:val="28"/>
                <w:szCs w:val="28"/>
                <w:rtl/>
                <w:lang w:eastAsia="ar-EG" w:bidi="ar-EG"/>
              </w:rPr>
              <w:t>(في 31 ديسمبر 2015)</w:t>
            </w:r>
          </w:p>
          <w:p w14:paraId="7C85928A" w14:textId="77777777" w:rsidR="00CE6E0B" w:rsidRDefault="00CE6E0B" w:rsidP="0031289D">
            <w:pPr>
              <w:bidi/>
              <w:spacing w:after="120" w:line="280" w:lineRule="exact"/>
              <w:rPr>
                <w:rFonts w:ascii="Arabic Typesetting" w:eastAsia="Arabic Typesetting" w:hAnsi="Arabic Typesetting" w:cs="Arabic Typesetting"/>
                <w:sz w:val="28"/>
                <w:szCs w:val="28"/>
                <w:rtl/>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‏معدل المخالفة 36%</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sz w:val="28"/>
                <w:szCs w:val="28"/>
                <w:rtl/>
                <w:lang w:eastAsia="ar-EG" w:bidi="ar-EG"/>
              </w:rPr>
              <w:t>(في 31 ديسمبر 2014)</w:t>
            </w:r>
          </w:p>
          <w:p w14:paraId="2B53B69E" w14:textId="4C387308" w:rsidR="00CE6E0B" w:rsidRPr="00A6112B" w:rsidRDefault="00D02C02" w:rsidP="00B17489">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hint="cs"/>
                <w:sz w:val="28"/>
                <w:szCs w:val="28"/>
                <w:rtl/>
                <w:lang w:eastAsia="ar-EG" w:bidi="ar-EG"/>
              </w:rPr>
              <w:t>المصطلحا</w:t>
            </w:r>
            <w:r w:rsidRPr="00A6112B">
              <w:rPr>
                <w:rFonts w:ascii="Arabic Typesetting" w:eastAsia="Arabic Typesetting" w:hAnsi="Arabic Typesetting" w:cs="Arabic Typesetting" w:hint="eastAsia"/>
                <w:sz w:val="28"/>
                <w:szCs w:val="28"/>
                <w:rtl/>
                <w:lang w:eastAsia="ar-EG" w:bidi="ar-EG"/>
              </w:rPr>
              <w:t>ت</w:t>
            </w:r>
            <w:r w:rsidR="00CE6E0B" w:rsidRPr="00A6112B">
              <w:rPr>
                <w:rFonts w:ascii="Arabic Typesetting" w:eastAsia="Arabic Typesetting" w:hAnsi="Arabic Typesetting" w:cs="Arabic Typesetting"/>
                <w:sz w:val="28"/>
                <w:szCs w:val="28"/>
                <w:rtl/>
                <w:lang w:eastAsia="ar-EG" w:bidi="ar-EG"/>
              </w:rPr>
              <w:t xml:space="preserve"> المقبولة في قاعدة بيانات السلع والخدمات (بالإنكليزية) </w:t>
            </w:r>
            <w:r w:rsidR="00B17489">
              <w:rPr>
                <w:rFonts w:ascii="Arabic Typesetting" w:eastAsia="Arabic Typesetting" w:hAnsi="Arabic Typesetting" w:cs="Arabic Typesetting" w:hint="cs"/>
                <w:sz w:val="28"/>
                <w:szCs w:val="28"/>
                <w:rtl/>
                <w:lang w:eastAsia="ar-EG" w:bidi="ar-EG"/>
              </w:rPr>
              <w:t>050 67</w:t>
            </w:r>
            <w:r w:rsidR="00CE6E0B" w:rsidRPr="00A6112B">
              <w:rPr>
                <w:rFonts w:ascii="Arabic Typesetting" w:eastAsia="Arabic Typesetting" w:hAnsi="Arabic Typesetting" w:cs="Arabic Typesetting"/>
                <w:sz w:val="28"/>
                <w:szCs w:val="28"/>
                <w:rtl/>
                <w:lang w:eastAsia="ar-EG" w:bidi="ar-EG"/>
              </w:rPr>
              <w:t xml:space="preserve"> (مايو</w:t>
            </w:r>
            <w:r w:rsidR="00CE6E0B">
              <w:rPr>
                <w:rFonts w:ascii="Arabic Typesetting" w:eastAsia="Arabic Typesetting" w:hAnsi="Arabic Typesetting" w:cs="Arabic Typesetting" w:hint="cs"/>
                <w:sz w:val="28"/>
                <w:szCs w:val="28"/>
                <w:rtl/>
                <w:lang w:eastAsia="ar-EG" w:bidi="ar-EG"/>
              </w:rPr>
              <w:t> </w:t>
            </w:r>
            <w:r w:rsidR="00CE6E0B" w:rsidRPr="00A6112B">
              <w:rPr>
                <w:rFonts w:ascii="Arabic Typesetting" w:eastAsia="Arabic Typesetting" w:hAnsi="Arabic Typesetting" w:cs="Arabic Typesetting"/>
                <w:sz w:val="28"/>
                <w:szCs w:val="28"/>
                <w:rtl/>
                <w:lang w:eastAsia="ar-EG" w:bidi="ar-EG"/>
              </w:rPr>
              <w:t>2015)</w:t>
            </w:r>
          </w:p>
        </w:tc>
        <w:tc>
          <w:tcPr>
            <w:tcW w:w="1081" w:type="pct"/>
            <w:shd w:val="clear" w:color="auto" w:fill="auto"/>
            <w:tcMar>
              <w:top w:w="110" w:type="dxa"/>
              <w:left w:w="58" w:type="dxa"/>
              <w:right w:w="58" w:type="dxa"/>
            </w:tcMar>
          </w:tcPr>
          <w:p w14:paraId="459186F7" w14:textId="77777777" w:rsidR="00CE6E0B" w:rsidRDefault="00CE6E0B" w:rsidP="0031289D">
            <w:pPr>
              <w:bidi/>
              <w:spacing w:after="120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انخفاض</w:t>
            </w:r>
          </w:p>
          <w:p w14:paraId="7AF39B14" w14:textId="4A17D5E0" w:rsidR="00CE6E0B" w:rsidRDefault="00CE6E0B" w:rsidP="00B17489">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2016</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B17489">
              <w:rPr>
                <w:rFonts w:ascii="Arabic Typesetting" w:eastAsia="Arabic Typesetting" w:hAnsi="Arabic Typesetting" w:cs="Arabic Typesetting" w:hint="cs"/>
                <w:color w:val="002060"/>
                <w:sz w:val="28"/>
                <w:szCs w:val="28"/>
                <w:rtl/>
                <w:lang w:eastAsia="ar-EG" w:bidi="ar-EG"/>
              </w:rPr>
              <w:t>000 80</w:t>
            </w:r>
            <w:r>
              <w:rPr>
                <w:rFonts w:ascii="Arabic Typesetting" w:eastAsia="Arabic Typesetting" w:hAnsi="Arabic Typesetting" w:cs="Arabic Typesetting"/>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2017</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B17489">
              <w:rPr>
                <w:rFonts w:ascii="Arabic Typesetting" w:eastAsia="Arabic Typesetting" w:hAnsi="Arabic Typesetting" w:cs="Arabic Typesetting" w:hint="cs"/>
                <w:color w:val="002060"/>
                <w:sz w:val="28"/>
                <w:szCs w:val="28"/>
                <w:rtl/>
                <w:lang w:eastAsia="ar-EG" w:bidi="ar-EG"/>
              </w:rPr>
              <w:t>000 90</w:t>
            </w:r>
          </w:p>
          <w:p w14:paraId="6E9136F0" w14:textId="01BF9963" w:rsidR="00CE6E0B" w:rsidRPr="00A6112B" w:rsidRDefault="00CE6E0B" w:rsidP="00B17489">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الهدف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00B17489">
              <w:rPr>
                <w:rFonts w:ascii="Arabic Typesetting" w:eastAsia="Arabic Typesetting" w:hAnsi="Arabic Typesetting" w:cs="Arabic Typesetting" w:hint="cs"/>
                <w:color w:val="000000"/>
                <w:sz w:val="28"/>
                <w:szCs w:val="28"/>
                <w:rtl/>
                <w:lang w:eastAsia="ar-EG" w:bidi="ar-EG"/>
              </w:rPr>
              <w:t>000 80</w:t>
            </w:r>
          </w:p>
        </w:tc>
        <w:tc>
          <w:tcPr>
            <w:tcW w:w="926" w:type="pct"/>
            <w:shd w:val="clear" w:color="auto" w:fill="FFFFFF"/>
            <w:tcMar>
              <w:top w:w="110" w:type="dxa"/>
              <w:left w:w="58" w:type="dxa"/>
              <w:right w:w="58" w:type="dxa"/>
            </w:tcMar>
          </w:tcPr>
          <w:p w14:paraId="53F58BF3" w14:textId="77777777" w:rsidR="00CE6E0B" w:rsidRDefault="00CE6E0B" w:rsidP="0031289D">
            <w:pPr>
              <w:keepNext/>
              <w:keepLines/>
              <w:bidi/>
              <w:spacing w:after="120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‏معدل المخالفة 38%</w:t>
            </w:r>
          </w:p>
          <w:p w14:paraId="0E06BF60" w14:textId="7C884701" w:rsidR="00CE6E0B" w:rsidRPr="00A6112B" w:rsidRDefault="00B17489"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400 86</w:t>
            </w:r>
            <w:r w:rsidR="00CE6E0B" w:rsidRPr="00A6112B">
              <w:rPr>
                <w:rFonts w:ascii="Arabic Typesetting" w:eastAsia="Arabic Typesetting" w:hAnsi="Arabic Typesetting" w:cs="Arabic Typesetting"/>
                <w:color w:val="000000"/>
                <w:sz w:val="28"/>
                <w:szCs w:val="28"/>
                <w:rtl/>
                <w:lang w:eastAsia="ar-EG" w:bidi="ar-EG"/>
              </w:rPr>
              <w:t xml:space="preserve"> مصطلح بالإنكليزية</w:t>
            </w:r>
          </w:p>
        </w:tc>
        <w:tc>
          <w:tcPr>
            <w:tcW w:w="522" w:type="pct"/>
            <w:shd w:val="clear" w:color="auto" w:fill="auto"/>
            <w:tcMar>
              <w:top w:w="110" w:type="dxa"/>
              <w:left w:w="58" w:type="dxa"/>
              <w:right w:w="58" w:type="dxa"/>
            </w:tcMar>
          </w:tcPr>
          <w:p w14:paraId="33E86E0A" w14:textId="77777777" w:rsidR="00CE6E0B" w:rsidRDefault="00CE6E0B" w:rsidP="0031289D">
            <w:pPr>
              <w:keepNext/>
              <w:keepLines/>
              <w:bidi/>
              <w:spacing w:after="120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76D236E4"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tc>
      </w:tr>
      <w:tr w:rsidR="00CE6E0B" w:rsidRPr="00A6112B" w14:paraId="278818D3" w14:textId="77777777" w:rsidTr="00BB3820">
        <w:trPr>
          <w:cantSplit/>
          <w:trHeight w:val="1964"/>
        </w:trPr>
        <w:tc>
          <w:tcPr>
            <w:tcW w:w="1066" w:type="pct"/>
            <w:shd w:val="clear" w:color="auto" w:fill="auto"/>
            <w:tcMar>
              <w:left w:w="58" w:type="dxa"/>
              <w:right w:w="58" w:type="dxa"/>
            </w:tcMar>
          </w:tcPr>
          <w:p w14:paraId="43B09BE4"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إدخال تحسينات وظيفية في نظام مدريد</w:t>
            </w:r>
          </w:p>
        </w:tc>
        <w:tc>
          <w:tcPr>
            <w:tcW w:w="1405" w:type="pct"/>
            <w:shd w:val="clear" w:color="auto" w:fill="auto"/>
            <w:tcMar>
              <w:left w:w="58" w:type="dxa"/>
              <w:right w:w="58" w:type="dxa"/>
            </w:tcMar>
          </w:tcPr>
          <w:p w14:paraId="69594E45" w14:textId="77777777" w:rsidR="00CE6E0B" w:rsidRPr="00231F29" w:rsidRDefault="00CE6E0B" w:rsidP="0031289D">
            <w:pPr>
              <w:bidi/>
              <w:spacing w:after="120" w:line="280" w:lineRule="exact"/>
              <w:rPr>
                <w:rFonts w:ascii="Arabic Typesetting" w:eastAsia="Arabic Typesetting" w:hAnsi="Arabic Typesetting" w:cs="Arabic Typesetting"/>
                <w:color w:val="002060"/>
                <w:spacing w:val="-1"/>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231F29">
              <w:rPr>
                <w:rFonts w:ascii="Arabic Typesetting" w:eastAsia="Arabic Typesetting" w:hAnsi="Arabic Typesetting" w:cs="Arabic Typesetting"/>
                <w:color w:val="002060"/>
                <w:spacing w:val="-1"/>
                <w:sz w:val="28"/>
                <w:szCs w:val="28"/>
                <w:rtl/>
                <w:lang w:eastAsia="ar-EG" w:bidi="ar-EG"/>
              </w:rPr>
              <w:t xml:space="preserve">اللائحة التنفيذية المشتركة والتعليمات الإدارية السارية في 31 ديسمبر 2015 </w:t>
            </w:r>
            <w:r w:rsidRPr="00231F29">
              <w:rPr>
                <w:rFonts w:ascii="Arabic Typesetting" w:eastAsia="Arabic Typesetting" w:hAnsi="Arabic Typesetting" w:cs="Arabic Typesetting"/>
                <w:color w:val="002060"/>
                <w:spacing w:val="-1"/>
                <w:sz w:val="28"/>
                <w:szCs w:val="28"/>
                <w:vertAlign w:val="superscript"/>
                <w:lang w:eastAsia="ar-EG" w:bidi="ar-EG"/>
              </w:rPr>
              <w:footnoteReference w:id="30"/>
            </w:r>
          </w:p>
          <w:p w14:paraId="221CA21B"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اللائحة التنفيذية المشتركة والتعليمات الإدارية السارية في 31 ديسمبر 2014</w:t>
            </w:r>
          </w:p>
        </w:tc>
        <w:tc>
          <w:tcPr>
            <w:tcW w:w="1081" w:type="pct"/>
            <w:shd w:val="clear" w:color="auto" w:fill="auto"/>
            <w:tcMar>
              <w:top w:w="110" w:type="dxa"/>
              <w:left w:w="58" w:type="dxa"/>
              <w:right w:w="58" w:type="dxa"/>
            </w:tcMar>
          </w:tcPr>
          <w:p w14:paraId="3F83B502"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إدخال تعديلات على اللائحة التنفيذية المشتركة والتعليمات</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الإدارية</w:t>
            </w:r>
          </w:p>
        </w:tc>
        <w:tc>
          <w:tcPr>
            <w:tcW w:w="926" w:type="pct"/>
            <w:shd w:val="clear" w:color="auto" w:fill="FFFFFF"/>
            <w:tcMar>
              <w:top w:w="110" w:type="dxa"/>
              <w:left w:w="58" w:type="dxa"/>
              <w:right w:w="58" w:type="dxa"/>
            </w:tcMar>
          </w:tcPr>
          <w:p w14:paraId="3AC3E757"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اللائحة التنفيذية المشتركة والتعليمات الإدارية السارية في</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 xml:space="preserve">31 ديسمبر 2016 </w:t>
            </w:r>
            <w:r w:rsidRPr="00A6112B">
              <w:rPr>
                <w:rFonts w:ascii="Arabic Typesetting" w:eastAsia="Arabic Typesetting" w:hAnsi="Arabic Typesetting" w:cs="Arabic Typesetting"/>
                <w:color w:val="000000"/>
                <w:sz w:val="28"/>
                <w:szCs w:val="28"/>
                <w:vertAlign w:val="superscript"/>
                <w:lang w:eastAsia="ar-EG" w:bidi="ar-EG"/>
              </w:rPr>
              <w:footnoteReference w:id="31"/>
            </w:r>
          </w:p>
          <w:p w14:paraId="088ED7BD" w14:textId="77777777" w:rsidR="00CE6E0B" w:rsidRPr="00A6112B" w:rsidRDefault="00CE6E0B"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تعديلات اعتمدتها جمعية اتحاد مدريد في أكتوبر 2016 (القواعد 3 و12 و18</w:t>
            </w:r>
            <w:r w:rsidRPr="00A6112B">
              <w:rPr>
                <w:rFonts w:ascii="Arabic Typesetting" w:eastAsia="Arabic Typesetting" w:hAnsi="Arabic Typesetting" w:cs="Arabic Typesetting"/>
                <w:color w:val="000000"/>
                <w:sz w:val="28"/>
                <w:szCs w:val="28"/>
                <w:vertAlign w:val="superscript"/>
                <w:rtl/>
                <w:lang w:eastAsia="ar-EG" w:bidi="ar-EG"/>
              </w:rPr>
              <w:t>(ثالثا)</w:t>
            </w:r>
            <w:r w:rsidRPr="00A6112B">
              <w:rPr>
                <w:rFonts w:ascii="Arabic Typesetting" w:eastAsia="Arabic Typesetting" w:hAnsi="Arabic Typesetting" w:cs="Arabic Typesetting"/>
                <w:color w:val="000000"/>
                <w:sz w:val="28"/>
                <w:szCs w:val="28"/>
                <w:rtl/>
                <w:lang w:eastAsia="ar-EG" w:bidi="ar-EG"/>
              </w:rPr>
              <w:t xml:space="preserve"> و22 و23</w:t>
            </w:r>
            <w:r w:rsidRPr="00A6112B">
              <w:rPr>
                <w:rFonts w:ascii="Arabic Typesetting" w:eastAsia="Arabic Typesetting" w:hAnsi="Arabic Typesetting" w:cs="Arabic Typesetting"/>
                <w:color w:val="000000"/>
                <w:sz w:val="28"/>
                <w:szCs w:val="28"/>
                <w:vertAlign w:val="superscript"/>
                <w:rtl/>
                <w:lang w:eastAsia="ar-EG" w:bidi="ar-EG"/>
              </w:rPr>
              <w:t>(ثانيا)</w:t>
            </w:r>
            <w:r w:rsidRPr="00A6112B">
              <w:rPr>
                <w:rFonts w:ascii="Arabic Typesetting" w:eastAsia="Arabic Typesetting" w:hAnsi="Arabic Typesetting" w:cs="Arabic Typesetting"/>
                <w:color w:val="000000"/>
                <w:sz w:val="28"/>
                <w:szCs w:val="28"/>
                <w:rtl/>
                <w:lang w:eastAsia="ar-EG" w:bidi="ar-EG"/>
              </w:rPr>
              <w:t xml:space="preserve"> و25 إلى 27 و27</w:t>
            </w:r>
            <w:r w:rsidRPr="00A6112B">
              <w:rPr>
                <w:rFonts w:ascii="Arabic Typesetting" w:eastAsia="Arabic Typesetting" w:hAnsi="Arabic Typesetting" w:cs="Arabic Typesetting"/>
                <w:color w:val="000000"/>
                <w:sz w:val="28"/>
                <w:szCs w:val="28"/>
                <w:vertAlign w:val="superscript"/>
                <w:rtl/>
                <w:lang w:eastAsia="ar-EG" w:bidi="ar-EG"/>
              </w:rPr>
              <w:t>(ثانيا)</w:t>
            </w:r>
            <w:r w:rsidRPr="00A6112B">
              <w:rPr>
                <w:rFonts w:ascii="Arabic Typesetting" w:eastAsia="Arabic Typesetting" w:hAnsi="Arabic Typesetting" w:cs="Arabic Typesetting"/>
                <w:color w:val="000000"/>
                <w:sz w:val="28"/>
                <w:szCs w:val="28"/>
                <w:rtl/>
                <w:lang w:eastAsia="ar-EG" w:bidi="ar-EG"/>
              </w:rPr>
              <w:t xml:space="preserve"> و27</w:t>
            </w:r>
            <w:r w:rsidRPr="00A6112B">
              <w:rPr>
                <w:rFonts w:ascii="Arabic Typesetting" w:eastAsia="Arabic Typesetting" w:hAnsi="Arabic Typesetting" w:cs="Arabic Typesetting"/>
                <w:color w:val="000000"/>
                <w:sz w:val="28"/>
                <w:szCs w:val="28"/>
                <w:vertAlign w:val="superscript"/>
                <w:rtl/>
                <w:lang w:eastAsia="ar-EG" w:bidi="ar-EG"/>
              </w:rPr>
              <w:t>(ثالثا)</w:t>
            </w:r>
            <w:r w:rsidRPr="00A6112B">
              <w:rPr>
                <w:rFonts w:ascii="Arabic Typesetting" w:eastAsia="Arabic Typesetting" w:hAnsi="Arabic Typesetting" w:cs="Arabic Typesetting"/>
                <w:color w:val="000000"/>
                <w:sz w:val="28"/>
                <w:szCs w:val="28"/>
                <w:rtl/>
                <w:lang w:eastAsia="ar-EG" w:bidi="ar-EG"/>
              </w:rPr>
              <w:t xml:space="preserve"> و32 و40 وجدول الرسوم</w:t>
            </w:r>
            <w:r w:rsidRPr="00A6112B">
              <w:rPr>
                <w:rFonts w:ascii="Arabic Typesetting" w:eastAsia="Arabic Typesetting" w:hAnsi="Arabic Typesetting" w:cs="Arabic Typesetting"/>
                <w:color w:val="000000"/>
                <w:sz w:val="28"/>
                <w:szCs w:val="28"/>
                <w:vertAlign w:val="superscript"/>
                <w:lang w:eastAsia="ar-EG" w:bidi="ar-EG"/>
              </w:rPr>
              <w:footnoteReference w:id="32"/>
            </w:r>
          </w:p>
        </w:tc>
        <w:tc>
          <w:tcPr>
            <w:tcW w:w="522" w:type="pct"/>
            <w:shd w:val="clear" w:color="auto" w:fill="auto"/>
            <w:tcMar>
              <w:top w:w="110" w:type="dxa"/>
              <w:left w:w="58" w:type="dxa"/>
              <w:right w:w="58" w:type="dxa"/>
            </w:tcMar>
          </w:tcPr>
          <w:p w14:paraId="6AF72D0C"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tc>
      </w:tr>
      <w:tr w:rsidR="00CE6E0B" w:rsidRPr="00A6112B" w14:paraId="7F25E964" w14:textId="77777777" w:rsidTr="00BB3820">
        <w:trPr>
          <w:cantSplit/>
          <w:trHeight w:val="624"/>
        </w:trPr>
        <w:tc>
          <w:tcPr>
            <w:tcW w:w="5000" w:type="pct"/>
            <w:gridSpan w:val="5"/>
            <w:shd w:val="clear" w:color="auto" w:fill="C6D9F1"/>
            <w:tcMar>
              <w:left w:w="58" w:type="dxa"/>
              <w:right w:w="58" w:type="dxa"/>
            </w:tcMar>
            <w:vAlign w:val="center"/>
          </w:tcPr>
          <w:p w14:paraId="2B2D2D0C" w14:textId="77777777" w:rsidR="00CE6E0B" w:rsidRPr="00A6112B"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‏النتيجة المرتقبة:</w:t>
            </w:r>
            <w:r w:rsidRPr="00A6112B">
              <w:rPr>
                <w:rFonts w:ascii="Arabic Typesetting" w:eastAsia="Arabic Typesetting" w:hAnsi="Arabic Typesetting" w:cs="Arabic Typesetting"/>
                <w:sz w:val="28"/>
                <w:szCs w:val="28"/>
                <w:lang w:eastAsia="ar-EG" w:bidi="ar-EG"/>
              </w:rPr>
              <w:tab/>
            </w:r>
            <w:r w:rsidRPr="00A6112B">
              <w:rPr>
                <w:rFonts w:ascii="Arabic Typesetting" w:eastAsia="Arabic Typesetting" w:hAnsi="Arabic Typesetting" w:cs="Arabic Typesetting"/>
                <w:color w:val="000000"/>
                <w:sz w:val="28"/>
                <w:szCs w:val="28"/>
                <w:rtl/>
                <w:lang w:eastAsia="ar-EG" w:bidi="ar-EG"/>
              </w:rPr>
              <w:t xml:space="preserve">ه7.2 إنتاجية وجودة خدمات </w:t>
            </w:r>
            <w:r w:rsidRPr="00231F29">
              <w:rPr>
                <w:rFonts w:ascii="Arabic Typesetting" w:hAnsi="Arabic Typesetting" w:cs="Arabic Typesetting"/>
                <w:sz w:val="28"/>
                <w:szCs w:val="28"/>
                <w:rtl/>
                <w:lang w:bidi="ar-EG"/>
              </w:rPr>
              <w:t>محسّنة</w:t>
            </w:r>
            <w:r w:rsidRPr="00A6112B">
              <w:rPr>
                <w:rFonts w:ascii="Arabic Typesetting" w:eastAsia="Arabic Typesetting" w:hAnsi="Arabic Typesetting" w:cs="Arabic Typesetting"/>
                <w:color w:val="000000"/>
                <w:sz w:val="28"/>
                <w:szCs w:val="28"/>
                <w:rtl/>
                <w:lang w:eastAsia="ar-EG" w:bidi="ar-EG"/>
              </w:rPr>
              <w:t xml:space="preserve"> في عمليات نظام </w:t>
            </w:r>
            <w:r w:rsidRPr="009D64E3">
              <w:rPr>
                <w:rFonts w:ascii="Arabic Typesetting" w:eastAsia="Arabic Typesetting" w:hAnsi="Arabic Typesetting" w:cs="Arabic Typesetting"/>
                <w:sz w:val="28"/>
                <w:szCs w:val="28"/>
                <w:rtl/>
                <w:lang w:eastAsia="ar-EG" w:bidi="ar-EG"/>
              </w:rPr>
              <w:t>مدريد</w:t>
            </w:r>
          </w:p>
        </w:tc>
      </w:tr>
      <w:tr w:rsidR="00CE6E0B" w:rsidRPr="00A6112B" w14:paraId="50BDDE97" w14:textId="77777777" w:rsidTr="00BB3820">
        <w:trPr>
          <w:cantSplit/>
          <w:trHeight w:val="213"/>
        </w:trPr>
        <w:tc>
          <w:tcPr>
            <w:tcW w:w="1066" w:type="pct"/>
            <w:shd w:val="clear" w:color="auto" w:fill="auto"/>
            <w:tcMar>
              <w:left w:w="58" w:type="dxa"/>
              <w:right w:w="58" w:type="dxa"/>
            </w:tcMar>
            <w:vAlign w:val="center"/>
          </w:tcPr>
          <w:p w14:paraId="6C779ED5" w14:textId="77777777" w:rsidR="00CE6E0B" w:rsidRPr="00A6112B"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مؤشرات الأداء</w:t>
            </w:r>
          </w:p>
        </w:tc>
        <w:tc>
          <w:tcPr>
            <w:tcW w:w="1405" w:type="pct"/>
            <w:shd w:val="clear" w:color="auto" w:fill="auto"/>
            <w:tcMar>
              <w:left w:w="58" w:type="dxa"/>
              <w:right w:w="58" w:type="dxa"/>
            </w:tcMar>
            <w:vAlign w:val="center"/>
          </w:tcPr>
          <w:p w14:paraId="441534CF" w14:textId="77777777" w:rsidR="00CE6E0B" w:rsidRPr="00A6112B"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أسس المقارنة</w:t>
            </w:r>
          </w:p>
        </w:tc>
        <w:tc>
          <w:tcPr>
            <w:tcW w:w="1081" w:type="pct"/>
            <w:shd w:val="clear" w:color="auto" w:fill="auto"/>
            <w:tcMar>
              <w:top w:w="110" w:type="dxa"/>
              <w:left w:w="58" w:type="dxa"/>
              <w:right w:w="58" w:type="dxa"/>
            </w:tcMar>
            <w:vAlign w:val="center"/>
          </w:tcPr>
          <w:p w14:paraId="7C97C489" w14:textId="77777777" w:rsidR="00CE6E0B" w:rsidRPr="00A6112B"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الأهداف</w:t>
            </w:r>
          </w:p>
        </w:tc>
        <w:tc>
          <w:tcPr>
            <w:tcW w:w="926" w:type="pct"/>
            <w:shd w:val="clear" w:color="auto" w:fill="FFFFFF"/>
            <w:tcMar>
              <w:top w:w="110" w:type="dxa"/>
              <w:left w:w="58" w:type="dxa"/>
              <w:right w:w="58" w:type="dxa"/>
            </w:tcMar>
            <w:vAlign w:val="center"/>
          </w:tcPr>
          <w:p w14:paraId="655BA5B7" w14:textId="77777777" w:rsidR="00CE6E0B" w:rsidRPr="00A6112B"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بيانات الأداء</w:t>
            </w:r>
          </w:p>
        </w:tc>
        <w:tc>
          <w:tcPr>
            <w:tcW w:w="522" w:type="pct"/>
            <w:shd w:val="clear" w:color="auto" w:fill="auto"/>
            <w:tcMar>
              <w:top w:w="110" w:type="dxa"/>
              <w:left w:w="58" w:type="dxa"/>
              <w:right w:w="58" w:type="dxa"/>
            </w:tcMar>
            <w:vAlign w:val="center"/>
          </w:tcPr>
          <w:p w14:paraId="07F157B1"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A6112B">
              <w:rPr>
                <w:rFonts w:ascii="Arabic Typesetting" w:eastAsia="Arabic Typesetting" w:hAnsi="Arabic Typesetting" w:cs="Arabic Typesetting"/>
                <w:b/>
                <w:bCs/>
                <w:sz w:val="28"/>
                <w:szCs w:val="28"/>
                <w:rtl/>
                <w:lang w:eastAsia="ar-EG" w:bidi="ar-EG"/>
              </w:rPr>
              <w:t>السير</w:t>
            </w:r>
          </w:p>
        </w:tc>
      </w:tr>
      <w:tr w:rsidR="00CE6E0B" w:rsidRPr="00A6112B" w14:paraId="3D03979A" w14:textId="77777777" w:rsidTr="00BB3820">
        <w:trPr>
          <w:cantSplit/>
          <w:trHeight w:val="1363"/>
        </w:trPr>
        <w:tc>
          <w:tcPr>
            <w:tcW w:w="1066" w:type="pct"/>
            <w:shd w:val="clear" w:color="auto" w:fill="auto"/>
            <w:tcMar>
              <w:left w:w="58" w:type="dxa"/>
              <w:right w:w="58" w:type="dxa"/>
            </w:tcMar>
          </w:tcPr>
          <w:p w14:paraId="1F113707"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رضا الزبائن (مدريد)</w:t>
            </w:r>
          </w:p>
        </w:tc>
        <w:tc>
          <w:tcPr>
            <w:tcW w:w="1405" w:type="pct"/>
            <w:shd w:val="clear" w:color="auto" w:fill="auto"/>
            <w:tcMar>
              <w:left w:w="58" w:type="dxa"/>
              <w:right w:w="58" w:type="dxa"/>
            </w:tcMar>
          </w:tcPr>
          <w:p w14:paraId="7278B7CB"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لم يُجرَ استقصاءٌ في عام 2015</w:t>
            </w:r>
          </w:p>
          <w:p w14:paraId="1C2FE60D"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مؤشر التوجه نحو تقديم الخدمات في عام</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2014 (39)</w:t>
            </w:r>
          </w:p>
        </w:tc>
        <w:tc>
          <w:tcPr>
            <w:tcW w:w="1081" w:type="pct"/>
            <w:shd w:val="clear" w:color="auto" w:fill="auto"/>
            <w:tcMar>
              <w:top w:w="110" w:type="dxa"/>
              <w:left w:w="58" w:type="dxa"/>
              <w:right w:w="58" w:type="dxa"/>
            </w:tcMar>
          </w:tcPr>
          <w:p w14:paraId="74994B93"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تحسن في المؤشر</w:t>
            </w:r>
          </w:p>
        </w:tc>
        <w:tc>
          <w:tcPr>
            <w:tcW w:w="926" w:type="pct"/>
            <w:shd w:val="clear" w:color="auto" w:fill="FFFFFF"/>
            <w:tcMar>
              <w:top w:w="110" w:type="dxa"/>
              <w:left w:w="58" w:type="dxa"/>
              <w:right w:w="58" w:type="dxa"/>
            </w:tcMar>
          </w:tcPr>
          <w:p w14:paraId="37F531DA"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لم يُجرَ استقصاءٌ في عام</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2016</w:t>
            </w:r>
          </w:p>
        </w:tc>
        <w:tc>
          <w:tcPr>
            <w:tcW w:w="522" w:type="pct"/>
            <w:shd w:val="clear" w:color="auto" w:fill="auto"/>
            <w:tcMar>
              <w:top w:w="110" w:type="dxa"/>
              <w:left w:w="58" w:type="dxa"/>
              <w:right w:w="58" w:type="dxa"/>
            </w:tcMar>
          </w:tcPr>
          <w:p w14:paraId="54863DF4" w14:textId="77777777" w:rsidR="00CE6E0B" w:rsidRPr="00A6112B" w:rsidRDefault="00CE6E0B"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b/>
                <w:bCs/>
                <w:color w:val="0070C0"/>
                <w:sz w:val="28"/>
                <w:szCs w:val="28"/>
                <w:rtl/>
                <w:lang w:eastAsia="ar-EG" w:bidi="ar-EG"/>
              </w:rPr>
              <w:t>غير متاح في 2016</w:t>
            </w:r>
          </w:p>
        </w:tc>
      </w:tr>
      <w:tr w:rsidR="00CE6E0B" w:rsidRPr="00A6112B" w14:paraId="5D360C00" w14:textId="77777777" w:rsidTr="00BB3820">
        <w:trPr>
          <w:cantSplit/>
          <w:trHeight w:val="2508"/>
        </w:trPr>
        <w:tc>
          <w:tcPr>
            <w:tcW w:w="1066" w:type="pct"/>
            <w:shd w:val="clear" w:color="auto" w:fill="auto"/>
            <w:tcMar>
              <w:left w:w="58" w:type="dxa"/>
              <w:right w:w="58" w:type="dxa"/>
            </w:tcMar>
          </w:tcPr>
          <w:p w14:paraId="4DDBC03E"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lastRenderedPageBreak/>
              <w:t>تكلفة الوحدة (مدريد)</w:t>
            </w:r>
          </w:p>
        </w:tc>
        <w:tc>
          <w:tcPr>
            <w:tcW w:w="1405" w:type="pct"/>
            <w:shd w:val="clear" w:color="auto" w:fill="auto"/>
            <w:tcMar>
              <w:left w:w="58" w:type="dxa"/>
              <w:right w:w="58" w:type="dxa"/>
            </w:tcMar>
          </w:tcPr>
          <w:p w14:paraId="026AE770" w14:textId="77777777" w:rsidR="00CE6E0B" w:rsidRDefault="00CE6E0B" w:rsidP="0031289D">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‏تكلفة التسجيل/التجديد</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t>743 فرنكاً سويسرياً (2015)</w:t>
            </w:r>
            <w:r>
              <w:rPr>
                <w:rFonts w:ascii="Arabic Typesetting" w:eastAsia="Arabic Typesetting" w:hAnsi="Arabic Typesetting" w:cs="Arabic Typesetting"/>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837 فرنكاً سويسرياً (2014)</w:t>
            </w:r>
          </w:p>
          <w:p w14:paraId="5A3D7027" w14:textId="77777777" w:rsidR="00CE6E0B" w:rsidRDefault="00CE6E0B" w:rsidP="0031289D">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تكلفة وحدة التدوين:</w:t>
            </w:r>
            <w:r>
              <w:rPr>
                <w:rFonts w:ascii="Arabic Typesetting" w:eastAsia="Arabic Typesetting" w:hAnsi="Arabic Typesetting" w:cs="Arabic Typesetting"/>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323 فرنكاً سويسرياً (2015)</w:t>
            </w:r>
            <w:r>
              <w:rPr>
                <w:rFonts w:ascii="Arabic Typesetting" w:eastAsia="Arabic Typesetting" w:hAnsi="Arabic Typesetting" w:cs="Arabic Typesetting"/>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322 فرنكاً سويسرياً (2014)</w:t>
            </w:r>
          </w:p>
          <w:p w14:paraId="0204786B"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‏تكلفة التسجيل/التجديد</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837 فرنكاً سويسرياً</w:t>
            </w:r>
            <w:r w:rsidRPr="00A6112B">
              <w:rPr>
                <w:rFonts w:ascii="Arabic Typesetting" w:eastAsia="Arabic Typesetting" w:hAnsi="Arabic Typesetting" w:cs="Arabic Typesetting"/>
                <w:color w:val="000000"/>
                <w:sz w:val="28"/>
                <w:szCs w:val="28"/>
                <w:lang w:eastAsia="ar-EG" w:bidi="ar-EG"/>
              </w:rPr>
              <w:br/>
            </w:r>
            <w:r w:rsidRPr="00A6112B">
              <w:rPr>
                <w:rFonts w:ascii="Arabic Typesetting" w:eastAsia="Arabic Typesetting" w:hAnsi="Arabic Typesetting" w:cs="Arabic Typesetting"/>
                <w:color w:val="000000"/>
                <w:sz w:val="28"/>
                <w:szCs w:val="28"/>
                <w:rtl/>
                <w:lang w:eastAsia="ar-EG" w:bidi="ar-EG"/>
              </w:rPr>
              <w:t>تكلفة وحدة التدوين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320 فرنكاً سويسرياً</w:t>
            </w:r>
          </w:p>
        </w:tc>
        <w:tc>
          <w:tcPr>
            <w:tcW w:w="1081" w:type="pct"/>
            <w:shd w:val="clear" w:color="auto" w:fill="auto"/>
            <w:tcMar>
              <w:top w:w="110" w:type="dxa"/>
              <w:left w:w="58" w:type="dxa"/>
              <w:right w:w="58" w:type="dxa"/>
            </w:tcMar>
          </w:tcPr>
          <w:p w14:paraId="008C48BD"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انخفاض في فئتي تكلفة</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الوحدة</w:t>
            </w:r>
          </w:p>
        </w:tc>
        <w:tc>
          <w:tcPr>
            <w:tcW w:w="926" w:type="pct"/>
            <w:shd w:val="clear" w:color="auto" w:fill="FFFFFF"/>
            <w:tcMar>
              <w:top w:w="110" w:type="dxa"/>
              <w:left w:w="58" w:type="dxa"/>
              <w:right w:w="58" w:type="dxa"/>
            </w:tcMar>
          </w:tcPr>
          <w:p w14:paraId="20CF200E"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‏تكلفة التسجيل/التجديد</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746 فرنكاً سويسرياً</w:t>
            </w:r>
            <w:r w:rsidRPr="00A6112B">
              <w:rPr>
                <w:rFonts w:ascii="Arabic Typesetting" w:eastAsia="Arabic Typesetting" w:hAnsi="Arabic Typesetting" w:cs="Arabic Typesetting"/>
                <w:color w:val="000000"/>
                <w:sz w:val="28"/>
                <w:szCs w:val="28"/>
                <w:vertAlign w:val="superscript"/>
                <w:lang w:eastAsia="ar-EG" w:bidi="ar-EG"/>
              </w:rPr>
              <w:footnoteReference w:id="33"/>
            </w:r>
          </w:p>
          <w:p w14:paraId="450D75B2" w14:textId="77777777" w:rsidR="00CE6E0B" w:rsidRPr="00A6112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تكلفة وحدة التدوين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318 فرنكاً سويسرياً</w:t>
            </w:r>
            <w:r w:rsidRPr="00A6112B">
              <w:rPr>
                <w:rFonts w:ascii="Arabic Typesetting" w:eastAsia="Arabic Typesetting" w:hAnsi="Arabic Typesetting" w:cs="Arabic Typesetting"/>
                <w:color w:val="000000"/>
                <w:sz w:val="28"/>
                <w:szCs w:val="28"/>
                <w:vertAlign w:val="superscript"/>
                <w:lang w:eastAsia="ar-EG" w:bidi="ar-EG"/>
              </w:rPr>
              <w:footnoteReference w:id="34"/>
            </w:r>
          </w:p>
        </w:tc>
        <w:tc>
          <w:tcPr>
            <w:tcW w:w="522" w:type="pct"/>
            <w:shd w:val="clear" w:color="auto" w:fill="auto"/>
            <w:tcMar>
              <w:top w:w="110" w:type="dxa"/>
              <w:left w:w="58" w:type="dxa"/>
              <w:right w:w="58" w:type="dxa"/>
            </w:tcMar>
          </w:tcPr>
          <w:p w14:paraId="306918B3" w14:textId="77777777" w:rsidR="00CE6E0B" w:rsidRPr="00D317B7" w:rsidRDefault="00CE6E0B" w:rsidP="0031289D">
            <w:pPr>
              <w:keepNext/>
              <w:keepLines/>
              <w:bidi/>
              <w:spacing w:after="360" w:line="280" w:lineRule="exact"/>
              <w:jc w:val="center"/>
              <w:rPr>
                <w:rFonts w:ascii="Arabic Typesetting" w:eastAsia="Arabic Typesetting" w:hAnsi="Arabic Typesetting" w:cs="Arabic Typesetting"/>
                <w:b/>
                <w:color w:val="A6A6A6"/>
                <w:spacing w:val="-2"/>
                <w:w w:val="95"/>
                <w:sz w:val="26"/>
                <w:szCs w:val="26"/>
                <w:lang w:eastAsia="ar-EG" w:bidi="ar-EG"/>
              </w:rPr>
            </w:pPr>
            <w:r w:rsidRPr="00A6112B">
              <w:rPr>
                <w:rFonts w:ascii="Arabic Typesetting" w:eastAsia="Arabic Typesetting" w:hAnsi="Arabic Typesetting" w:cs="Arabic Typesetting"/>
                <w:b/>
                <w:bCs/>
                <w:color w:val="A6A6A6"/>
                <w:sz w:val="28"/>
                <w:szCs w:val="28"/>
                <w:rtl/>
                <w:lang w:eastAsia="ar-EG" w:bidi="ar-EG"/>
              </w:rPr>
              <w:t>‏</w:t>
            </w:r>
            <w:r w:rsidRPr="00D317B7">
              <w:rPr>
                <w:rFonts w:ascii="Arabic Typesetting" w:eastAsia="Arabic Typesetting" w:hAnsi="Arabic Typesetting" w:cs="Arabic Typesetting"/>
                <w:b/>
                <w:bCs/>
                <w:color w:val="A6A6A6"/>
                <w:spacing w:val="-2"/>
                <w:w w:val="95"/>
                <w:sz w:val="26"/>
                <w:szCs w:val="26"/>
                <w:rtl/>
                <w:lang w:eastAsia="ar-EG" w:bidi="ar-EG"/>
              </w:rPr>
              <w:t>غير قابل للقياس</w:t>
            </w:r>
          </w:p>
          <w:p w14:paraId="4AE563E4" w14:textId="77777777" w:rsidR="00CE6E0B" w:rsidRPr="00231F29" w:rsidRDefault="00CE6E0B" w:rsidP="0031289D">
            <w:pPr>
              <w:keepNext/>
              <w:keepLines/>
              <w:bidi/>
              <w:spacing w:after="120" w:line="280" w:lineRule="exact"/>
              <w:jc w:val="center"/>
              <w:rPr>
                <w:rFonts w:ascii="Arabic Typesetting" w:eastAsia="Arabic Typesetting" w:hAnsi="Arabic Typesetting" w:cs="Arabic Typesetting"/>
                <w:b/>
                <w:color w:val="A6A6A6"/>
                <w:sz w:val="28"/>
                <w:szCs w:val="28"/>
                <w:lang w:eastAsia="ar-EG" w:bidi="ar-EG"/>
              </w:rPr>
            </w:pPr>
            <w:r w:rsidRPr="00D317B7">
              <w:rPr>
                <w:rFonts w:ascii="Arabic Typesetting" w:eastAsia="Arabic Typesetting" w:hAnsi="Arabic Typesetting" w:cs="Arabic Typesetting"/>
                <w:b/>
                <w:bCs/>
                <w:color w:val="A6A6A6"/>
                <w:spacing w:val="-2"/>
                <w:w w:val="95"/>
                <w:sz w:val="26"/>
                <w:szCs w:val="26"/>
                <w:rtl/>
                <w:lang w:eastAsia="ar-EG" w:bidi="ar-EG"/>
              </w:rPr>
              <w:t>‏غير قابل للقياس</w:t>
            </w:r>
          </w:p>
        </w:tc>
      </w:tr>
      <w:tr w:rsidR="00CE6E0B" w:rsidRPr="00A6112B" w14:paraId="2B79982C" w14:textId="77777777" w:rsidTr="00BB3820">
        <w:trPr>
          <w:cantSplit/>
          <w:trHeight w:val="3361"/>
        </w:trPr>
        <w:tc>
          <w:tcPr>
            <w:tcW w:w="1066" w:type="pct"/>
            <w:shd w:val="clear" w:color="auto" w:fill="auto"/>
            <w:tcMar>
              <w:left w:w="58" w:type="dxa"/>
              <w:right w:w="58" w:type="dxa"/>
            </w:tcMar>
          </w:tcPr>
          <w:p w14:paraId="7D774499"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‏توقيت المعاملات</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(بالأيام)</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(مدريد)</w:t>
            </w:r>
          </w:p>
        </w:tc>
        <w:tc>
          <w:tcPr>
            <w:tcW w:w="1405" w:type="pct"/>
            <w:shd w:val="clear" w:color="auto" w:fill="auto"/>
            <w:tcMar>
              <w:left w:w="58" w:type="dxa"/>
              <w:right w:w="58" w:type="dxa"/>
            </w:tcMar>
          </w:tcPr>
          <w:p w14:paraId="638F914C" w14:textId="77777777" w:rsidR="00CE6E0B" w:rsidRDefault="00CE6E0B" w:rsidP="0031289D">
            <w:pPr>
              <w:bidi/>
              <w:spacing w:after="120" w:line="280" w:lineRule="exact"/>
              <w:contextualSpacing/>
              <w:rPr>
                <w:rFonts w:ascii="Arabic Typesetting" w:eastAsia="Arabic Typesetting" w:hAnsi="Arabic Typesetting" w:cs="Arabic Typesetting"/>
                <w:i/>
                <w:iCs/>
                <w:color w:val="002060"/>
                <w:sz w:val="28"/>
                <w:szCs w:val="28"/>
                <w:rtl/>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p>
          <w:p w14:paraId="15C60A39" w14:textId="77777777" w:rsidR="00CE6E0B" w:rsidRPr="00A6112B" w:rsidRDefault="00CE6E0B" w:rsidP="0031289D">
            <w:pPr>
              <w:numPr>
                <w:ilvl w:val="0"/>
                <w:numId w:val="9"/>
              </w:numPr>
              <w:bidi/>
              <w:spacing w:after="120" w:line="280" w:lineRule="exact"/>
              <w:ind w:hanging="21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الطلبات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57</w:t>
            </w:r>
          </w:p>
          <w:p w14:paraId="6982D89D" w14:textId="77777777" w:rsidR="00CE6E0B" w:rsidRPr="00A6112B" w:rsidRDefault="00CE6E0B" w:rsidP="0031289D">
            <w:pPr>
              <w:numPr>
                <w:ilvl w:val="0"/>
                <w:numId w:val="9"/>
              </w:numPr>
              <w:bidi/>
              <w:spacing w:after="120" w:line="280" w:lineRule="exact"/>
              <w:ind w:hanging="21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‏التجديدات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56</w:t>
            </w:r>
          </w:p>
          <w:p w14:paraId="5BBCE9CE" w14:textId="77777777" w:rsidR="00CE6E0B" w:rsidRPr="00A6112B" w:rsidRDefault="00CE6E0B" w:rsidP="0031289D">
            <w:pPr>
              <w:numPr>
                <w:ilvl w:val="0"/>
                <w:numId w:val="9"/>
              </w:numPr>
              <w:bidi/>
              <w:spacing w:after="120" w:line="280" w:lineRule="exact"/>
              <w:ind w:hanging="21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التعيينات اللاحقة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Pr>
                <w:rFonts w:ascii="Arabic Typesetting" w:eastAsia="Arabic Typesetting" w:hAnsi="Arabic Typesetting" w:cs="Arabic Typesetting"/>
                <w:color w:val="002060"/>
                <w:sz w:val="28"/>
                <w:szCs w:val="28"/>
                <w:rtl/>
                <w:lang w:eastAsia="ar-EG" w:bidi="ar-EG"/>
              </w:rPr>
              <w:t>32</w:t>
            </w:r>
          </w:p>
          <w:p w14:paraId="79627DD1" w14:textId="77777777" w:rsidR="00CE6E0B" w:rsidRPr="00A6112B" w:rsidRDefault="00CE6E0B" w:rsidP="0031289D">
            <w:pPr>
              <w:numPr>
                <w:ilvl w:val="0"/>
                <w:numId w:val="9"/>
              </w:numPr>
              <w:bidi/>
              <w:spacing w:after="120" w:line="280" w:lineRule="exact"/>
              <w:ind w:hanging="21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القرارات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11</w:t>
            </w:r>
          </w:p>
          <w:p w14:paraId="5281B00A" w14:textId="77777777" w:rsidR="00CE6E0B" w:rsidRPr="00A6112B" w:rsidRDefault="00CE6E0B" w:rsidP="0031289D">
            <w:pPr>
              <w:numPr>
                <w:ilvl w:val="0"/>
                <w:numId w:val="9"/>
              </w:numPr>
              <w:bidi/>
              <w:spacing w:after="120" w:line="280" w:lineRule="exact"/>
              <w:ind w:hanging="21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t>التغييرات:</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56</w:t>
            </w:r>
          </w:p>
          <w:p w14:paraId="544B45E0" w14:textId="77777777" w:rsidR="00CE6E0B" w:rsidRDefault="00CE6E0B" w:rsidP="0031289D">
            <w:pPr>
              <w:numPr>
                <w:ilvl w:val="0"/>
                <w:numId w:val="9"/>
              </w:numPr>
              <w:bidi/>
              <w:spacing w:after="120" w:line="280" w:lineRule="exact"/>
              <w:ind w:hanging="210"/>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التصحيحات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12</w:t>
            </w:r>
          </w:p>
          <w:p w14:paraId="66C47ED6"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الطلبات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70</w:t>
            </w:r>
            <w:r w:rsidRPr="00A6112B">
              <w:rPr>
                <w:rFonts w:ascii="Arabic Typesetting" w:eastAsia="Arabic Typesetting" w:hAnsi="Arabic Typesetting" w:cs="Arabic Typesetting"/>
                <w:color w:val="000000"/>
                <w:sz w:val="28"/>
                <w:szCs w:val="28"/>
                <w:lang w:eastAsia="ar-EG" w:bidi="ar-EG"/>
              </w:rPr>
              <w:br/>
            </w:r>
            <w:r w:rsidRPr="00A6112B">
              <w:rPr>
                <w:rFonts w:ascii="Arabic Typesetting" w:eastAsia="Arabic Typesetting" w:hAnsi="Arabic Typesetting" w:cs="Arabic Typesetting"/>
                <w:color w:val="000000"/>
                <w:sz w:val="28"/>
                <w:szCs w:val="28"/>
                <w:rtl/>
                <w:lang w:eastAsia="ar-EG" w:bidi="ar-EG"/>
              </w:rPr>
              <w:t>التجديدات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63</w:t>
            </w:r>
            <w:r w:rsidRPr="00A6112B">
              <w:rPr>
                <w:rFonts w:ascii="Arabic Typesetting" w:eastAsia="Arabic Typesetting" w:hAnsi="Arabic Typesetting" w:cs="Arabic Typesetting"/>
                <w:color w:val="000000"/>
                <w:sz w:val="28"/>
                <w:szCs w:val="28"/>
                <w:lang w:eastAsia="ar-EG" w:bidi="ar-EG"/>
              </w:rPr>
              <w:br/>
            </w:r>
            <w:r w:rsidRPr="00A6112B">
              <w:rPr>
                <w:rFonts w:ascii="Arabic Typesetting" w:eastAsia="Arabic Typesetting" w:hAnsi="Arabic Typesetting" w:cs="Arabic Typesetting"/>
                <w:color w:val="000000"/>
                <w:sz w:val="28"/>
                <w:szCs w:val="28"/>
                <w:rtl/>
                <w:lang w:eastAsia="ar-EG" w:bidi="ar-EG"/>
              </w:rPr>
              <w:t>التعيينات اللاحقة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56</w:t>
            </w:r>
            <w:r w:rsidRPr="00A6112B">
              <w:rPr>
                <w:rFonts w:ascii="Arabic Typesetting" w:eastAsia="Arabic Typesetting" w:hAnsi="Arabic Typesetting" w:cs="Arabic Typesetting"/>
                <w:color w:val="000000"/>
                <w:sz w:val="28"/>
                <w:szCs w:val="28"/>
                <w:lang w:eastAsia="ar-EG" w:bidi="ar-EG"/>
              </w:rPr>
              <w:br/>
            </w:r>
            <w:r w:rsidRPr="00A6112B">
              <w:rPr>
                <w:rFonts w:ascii="Arabic Typesetting" w:eastAsia="Arabic Typesetting" w:hAnsi="Arabic Typesetting" w:cs="Arabic Typesetting"/>
                <w:color w:val="000000"/>
                <w:sz w:val="28"/>
                <w:szCs w:val="28"/>
                <w:rtl/>
                <w:lang w:eastAsia="ar-EG" w:bidi="ar-EG"/>
              </w:rPr>
              <w:t>القرارات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12</w:t>
            </w:r>
            <w:r w:rsidRPr="00A6112B">
              <w:rPr>
                <w:rFonts w:ascii="Arabic Typesetting" w:eastAsia="Arabic Typesetting" w:hAnsi="Arabic Typesetting" w:cs="Arabic Typesetting"/>
                <w:color w:val="000000"/>
                <w:sz w:val="28"/>
                <w:szCs w:val="28"/>
                <w:lang w:eastAsia="ar-EG" w:bidi="ar-EG"/>
              </w:rPr>
              <w:br/>
            </w:r>
            <w:r w:rsidRPr="00A6112B">
              <w:rPr>
                <w:rFonts w:ascii="Arabic Typesetting" w:eastAsia="Arabic Typesetting" w:hAnsi="Arabic Typesetting" w:cs="Arabic Typesetting"/>
                <w:color w:val="000000"/>
                <w:sz w:val="28"/>
                <w:szCs w:val="28"/>
                <w:rtl/>
                <w:lang w:eastAsia="ar-EG" w:bidi="ar-EG"/>
              </w:rPr>
              <w:t>التغييرات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79</w:t>
            </w:r>
            <w:r w:rsidRPr="00A6112B">
              <w:rPr>
                <w:rFonts w:ascii="Arabic Typesetting" w:eastAsia="Arabic Typesetting" w:hAnsi="Arabic Typesetting" w:cs="Arabic Typesetting"/>
                <w:color w:val="000000"/>
                <w:sz w:val="28"/>
                <w:szCs w:val="28"/>
                <w:lang w:eastAsia="ar-EG" w:bidi="ar-EG"/>
              </w:rPr>
              <w:br/>
            </w:r>
            <w:r w:rsidRPr="00A6112B">
              <w:rPr>
                <w:rFonts w:ascii="Arabic Typesetting" w:eastAsia="Arabic Typesetting" w:hAnsi="Arabic Typesetting" w:cs="Arabic Typesetting"/>
                <w:color w:val="000000"/>
                <w:sz w:val="28"/>
                <w:szCs w:val="28"/>
                <w:rtl/>
                <w:lang w:eastAsia="ar-EG" w:bidi="ar-EG"/>
              </w:rPr>
              <w:t>التصحيحات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232</w:t>
            </w:r>
            <w:r w:rsidRPr="00A6112B">
              <w:rPr>
                <w:rFonts w:ascii="Arabic Typesetting" w:eastAsia="Arabic Typesetting" w:hAnsi="Arabic Typesetting" w:cs="Arabic Typesetting"/>
                <w:color w:val="000000"/>
                <w:sz w:val="28"/>
                <w:szCs w:val="28"/>
                <w:lang w:eastAsia="ar-EG" w:bidi="ar-EG"/>
              </w:rPr>
              <w:br/>
            </w:r>
            <w:r w:rsidRPr="00A6112B">
              <w:rPr>
                <w:rFonts w:ascii="Arabic Typesetting" w:eastAsia="Arabic Typesetting" w:hAnsi="Arabic Typesetting" w:cs="Arabic Typesetting"/>
                <w:color w:val="000000"/>
                <w:sz w:val="28"/>
                <w:szCs w:val="28"/>
                <w:rtl/>
                <w:lang w:eastAsia="ar-EG" w:bidi="ar-EG"/>
              </w:rPr>
              <w:t>(في 31 ديسمبر 2014)</w:t>
            </w:r>
          </w:p>
        </w:tc>
        <w:tc>
          <w:tcPr>
            <w:tcW w:w="1081" w:type="pct"/>
            <w:shd w:val="clear" w:color="auto" w:fill="auto"/>
            <w:tcMar>
              <w:top w:w="110" w:type="dxa"/>
              <w:left w:w="58" w:type="dxa"/>
              <w:right w:w="58" w:type="dxa"/>
            </w:tcMar>
          </w:tcPr>
          <w:p w14:paraId="1B42B721"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تحسن في جميع المعاملات</w:t>
            </w:r>
          </w:p>
        </w:tc>
        <w:tc>
          <w:tcPr>
            <w:tcW w:w="926" w:type="pct"/>
            <w:shd w:val="clear" w:color="auto" w:fill="FFFFFF"/>
            <w:tcMar>
              <w:top w:w="110" w:type="dxa"/>
              <w:left w:w="58" w:type="dxa"/>
              <w:right w:w="58" w:type="dxa"/>
            </w:tcMar>
          </w:tcPr>
          <w:p w14:paraId="6978293A" w14:textId="77777777" w:rsidR="00CE6E0B" w:rsidRPr="00A6112B" w:rsidRDefault="00CE6E0B" w:rsidP="0031289D">
            <w:pPr>
              <w:numPr>
                <w:ilvl w:val="0"/>
                <w:numId w:val="9"/>
              </w:numPr>
              <w:bidi/>
              <w:spacing w:after="120" w:line="280" w:lineRule="exact"/>
              <w:ind w:hanging="210"/>
              <w:contextualSpacing/>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sz w:val="28"/>
                <w:szCs w:val="28"/>
                <w:rtl/>
                <w:lang w:eastAsia="ar-EG" w:bidi="ar-EG"/>
              </w:rPr>
              <w:t>الطلبات</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A6112B">
              <w:rPr>
                <w:rFonts w:ascii="Arabic Typesetting" w:eastAsia="Arabic Typesetting" w:hAnsi="Arabic Typesetting" w:cs="Arabic Typesetting"/>
                <w:sz w:val="28"/>
                <w:szCs w:val="28"/>
                <w:rtl/>
                <w:lang w:eastAsia="ar-EG" w:bidi="ar-EG"/>
              </w:rPr>
              <w:t>64</w:t>
            </w:r>
          </w:p>
          <w:p w14:paraId="41D297C5" w14:textId="77777777" w:rsidR="00CE6E0B" w:rsidRPr="00A6112B" w:rsidRDefault="00CE6E0B" w:rsidP="0031289D">
            <w:pPr>
              <w:numPr>
                <w:ilvl w:val="0"/>
                <w:numId w:val="9"/>
              </w:numPr>
              <w:bidi/>
              <w:spacing w:after="120" w:line="280" w:lineRule="exact"/>
              <w:ind w:hanging="210"/>
              <w:contextualSpacing/>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sz w:val="28"/>
                <w:szCs w:val="28"/>
                <w:rtl/>
                <w:lang w:eastAsia="ar-EG" w:bidi="ar-EG"/>
              </w:rPr>
              <w:t>‏التجديدات</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A6112B">
              <w:rPr>
                <w:rFonts w:ascii="Arabic Typesetting" w:eastAsia="Arabic Typesetting" w:hAnsi="Arabic Typesetting" w:cs="Arabic Typesetting"/>
                <w:sz w:val="28"/>
                <w:szCs w:val="28"/>
                <w:rtl/>
                <w:lang w:eastAsia="ar-EG" w:bidi="ar-EG"/>
              </w:rPr>
              <w:t>65</w:t>
            </w:r>
          </w:p>
          <w:p w14:paraId="47154A84" w14:textId="77777777" w:rsidR="00CE6E0B" w:rsidRPr="00A6112B" w:rsidRDefault="00CE6E0B" w:rsidP="0031289D">
            <w:pPr>
              <w:numPr>
                <w:ilvl w:val="0"/>
                <w:numId w:val="9"/>
              </w:numPr>
              <w:bidi/>
              <w:spacing w:after="120" w:line="280" w:lineRule="exact"/>
              <w:ind w:hanging="210"/>
              <w:contextualSpacing/>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sz w:val="28"/>
                <w:szCs w:val="28"/>
                <w:rtl/>
                <w:lang w:eastAsia="ar-EG" w:bidi="ar-EG"/>
              </w:rPr>
              <w:t>التعيينات اللاحقة</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A6112B">
              <w:rPr>
                <w:rFonts w:ascii="Arabic Typesetting" w:eastAsia="Arabic Typesetting" w:hAnsi="Arabic Typesetting" w:cs="Arabic Typesetting"/>
                <w:sz w:val="28"/>
                <w:szCs w:val="28"/>
                <w:rtl/>
                <w:lang w:eastAsia="ar-EG" w:bidi="ar-EG"/>
              </w:rPr>
              <w:t>42</w:t>
            </w:r>
          </w:p>
          <w:p w14:paraId="16D87DA7" w14:textId="77777777" w:rsidR="00CE6E0B" w:rsidRPr="00A6112B" w:rsidRDefault="00CE6E0B" w:rsidP="0031289D">
            <w:pPr>
              <w:numPr>
                <w:ilvl w:val="0"/>
                <w:numId w:val="9"/>
              </w:numPr>
              <w:bidi/>
              <w:spacing w:after="120" w:line="280" w:lineRule="exact"/>
              <w:ind w:hanging="210"/>
              <w:contextualSpacing/>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sz w:val="28"/>
                <w:szCs w:val="28"/>
                <w:rtl/>
                <w:lang w:eastAsia="ar-EG" w:bidi="ar-EG"/>
              </w:rPr>
              <w:t>القرارات</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A6112B">
              <w:rPr>
                <w:rFonts w:ascii="Arabic Typesetting" w:eastAsia="Arabic Typesetting" w:hAnsi="Arabic Typesetting" w:cs="Arabic Typesetting"/>
                <w:sz w:val="28"/>
                <w:szCs w:val="28"/>
                <w:rtl/>
                <w:lang w:eastAsia="ar-EG" w:bidi="ar-EG"/>
              </w:rPr>
              <w:t>24</w:t>
            </w:r>
          </w:p>
          <w:p w14:paraId="0A591F07" w14:textId="77777777" w:rsidR="00CE6E0B" w:rsidRPr="00A6112B" w:rsidRDefault="00CE6E0B" w:rsidP="0031289D">
            <w:pPr>
              <w:numPr>
                <w:ilvl w:val="0"/>
                <w:numId w:val="9"/>
              </w:numPr>
              <w:bidi/>
              <w:spacing w:after="120" w:line="280" w:lineRule="exact"/>
              <w:ind w:hanging="210"/>
              <w:contextualSpacing/>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التغييرات</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A6112B">
              <w:rPr>
                <w:rFonts w:ascii="Arabic Typesetting" w:eastAsia="Arabic Typesetting" w:hAnsi="Arabic Typesetting" w:cs="Arabic Typesetting"/>
                <w:sz w:val="28"/>
                <w:szCs w:val="28"/>
                <w:rtl/>
                <w:lang w:eastAsia="ar-EG" w:bidi="ar-EG"/>
              </w:rPr>
              <w:t>62</w:t>
            </w:r>
          </w:p>
          <w:p w14:paraId="1807FB3B" w14:textId="77777777" w:rsidR="00CE6E0B" w:rsidRPr="00D317B7" w:rsidRDefault="00CE6E0B" w:rsidP="0031289D">
            <w:pPr>
              <w:numPr>
                <w:ilvl w:val="0"/>
                <w:numId w:val="9"/>
              </w:numPr>
              <w:bidi/>
              <w:spacing w:after="120" w:line="280" w:lineRule="exact"/>
              <w:ind w:hanging="210"/>
              <w:contextualSpacing/>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sz w:val="28"/>
                <w:szCs w:val="28"/>
                <w:rtl/>
                <w:lang w:eastAsia="ar-EG" w:bidi="ar-EG"/>
              </w:rPr>
              <w:t>التصحيحات</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A6112B">
              <w:rPr>
                <w:rFonts w:ascii="Arabic Typesetting" w:eastAsia="Arabic Typesetting" w:hAnsi="Arabic Typesetting" w:cs="Arabic Typesetting"/>
                <w:sz w:val="28"/>
                <w:szCs w:val="28"/>
                <w:rtl/>
                <w:lang w:eastAsia="ar-EG" w:bidi="ar-EG"/>
              </w:rPr>
              <w:t>140</w:t>
            </w:r>
          </w:p>
        </w:tc>
        <w:tc>
          <w:tcPr>
            <w:tcW w:w="522" w:type="pct"/>
            <w:shd w:val="clear" w:color="auto" w:fill="auto"/>
            <w:tcMar>
              <w:top w:w="110" w:type="dxa"/>
              <w:left w:w="58" w:type="dxa"/>
              <w:right w:w="58" w:type="dxa"/>
            </w:tcMar>
          </w:tcPr>
          <w:p w14:paraId="053DB5F1" w14:textId="77777777" w:rsidR="00CE6E0B" w:rsidRPr="00D317B7" w:rsidRDefault="00CE6E0B" w:rsidP="0031289D">
            <w:pPr>
              <w:keepNext/>
              <w:keepLines/>
              <w:bidi/>
              <w:spacing w:after="120" w:line="280" w:lineRule="exact"/>
              <w:jc w:val="center"/>
              <w:rPr>
                <w:rFonts w:ascii="Arabic Typesetting" w:eastAsia="Arabic Typesetting" w:hAnsi="Arabic Typesetting" w:cs="Arabic Typesetting"/>
                <w:b/>
                <w:color w:val="FF0000"/>
                <w:sz w:val="28"/>
                <w:szCs w:val="28"/>
                <w:lang w:eastAsia="ar-EG" w:bidi="ar-EG"/>
              </w:rPr>
            </w:pPr>
            <w:r w:rsidRPr="00A6112B">
              <w:rPr>
                <w:rFonts w:ascii="Arabic Typesetting" w:eastAsia="Arabic Typesetting" w:hAnsi="Arabic Typesetting" w:cs="Arabic Typesetting"/>
                <w:b/>
                <w:bCs/>
                <w:color w:val="FF0000"/>
                <w:sz w:val="28"/>
                <w:szCs w:val="28"/>
                <w:rtl/>
                <w:lang w:eastAsia="ar-EG" w:bidi="ar-EG"/>
              </w:rPr>
              <w:t>غير ثابت</w:t>
            </w:r>
          </w:p>
        </w:tc>
      </w:tr>
      <w:tr w:rsidR="00CE6E0B" w:rsidRPr="00A6112B" w14:paraId="7AEF5C67" w14:textId="77777777" w:rsidTr="00BB3820">
        <w:trPr>
          <w:cantSplit/>
          <w:trHeight w:val="1020"/>
        </w:trPr>
        <w:tc>
          <w:tcPr>
            <w:tcW w:w="1066" w:type="pct"/>
            <w:shd w:val="clear" w:color="auto" w:fill="auto"/>
            <w:tcMar>
              <w:left w:w="58" w:type="dxa"/>
              <w:right w:w="58" w:type="dxa"/>
            </w:tcMar>
          </w:tcPr>
          <w:p w14:paraId="72CF9D9B"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lastRenderedPageBreak/>
              <w:t>الجودة (مدريد)</w:t>
            </w:r>
          </w:p>
        </w:tc>
        <w:tc>
          <w:tcPr>
            <w:tcW w:w="1405" w:type="pct"/>
            <w:shd w:val="clear" w:color="auto" w:fill="auto"/>
            <w:tcMar>
              <w:left w:w="58" w:type="dxa"/>
              <w:right w:w="58" w:type="dxa"/>
            </w:tcMar>
          </w:tcPr>
          <w:p w14:paraId="21DE4A68" w14:textId="77777777" w:rsidR="00CE6E0B" w:rsidRDefault="00CE6E0B" w:rsidP="0031289D">
            <w:pPr>
              <w:bidi/>
              <w:spacing w:after="120" w:line="280" w:lineRule="exact"/>
              <w:contextualSpacing/>
              <w:rPr>
                <w:rFonts w:ascii="Arabic Typesetting" w:eastAsia="Arabic Typesetting" w:hAnsi="Arabic Typesetting" w:cs="Arabic Typesetting"/>
                <w:color w:val="002060"/>
                <w:sz w:val="28"/>
                <w:szCs w:val="28"/>
                <w:rtl/>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p>
          <w:p w14:paraId="67D93E70" w14:textId="77777777" w:rsidR="00CE6E0B" w:rsidRPr="00A6112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hint="cs"/>
                <w:color w:val="002060"/>
                <w:sz w:val="28"/>
                <w:szCs w:val="28"/>
                <w:rtl/>
                <w:lang w:eastAsia="ar-EG" w:bidi="ar-EG"/>
              </w:rPr>
              <w:t>ن</w:t>
            </w:r>
            <w:r w:rsidRPr="00A6112B">
              <w:rPr>
                <w:rFonts w:ascii="Arabic Typesetting" w:eastAsia="Arabic Typesetting" w:hAnsi="Arabic Typesetting" w:cs="Arabic Typesetting"/>
                <w:color w:val="002060"/>
                <w:sz w:val="28"/>
                <w:szCs w:val="28"/>
                <w:rtl/>
                <w:lang w:eastAsia="ar-EG" w:bidi="ar-EG"/>
              </w:rPr>
              <w:t>يس</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89%</w:t>
            </w:r>
          </w:p>
          <w:p w14:paraId="143D338B" w14:textId="77777777" w:rsidR="00CE6E0B" w:rsidRPr="00A6112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عمليات الفحص الشكلي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95%</w:t>
            </w:r>
          </w:p>
          <w:p w14:paraId="0AEF21B5" w14:textId="77777777" w:rsidR="00CE6E0B" w:rsidRPr="00A6112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القرارات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99%</w:t>
            </w:r>
          </w:p>
          <w:p w14:paraId="12ECD7CD" w14:textId="77777777" w:rsidR="00CE6E0B" w:rsidRPr="00A6112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t>التغييرات:</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95%</w:t>
            </w:r>
          </w:p>
          <w:p w14:paraId="231F8C0C" w14:textId="77777777" w:rsidR="00CE6E0B" w:rsidRPr="00A6112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‏التجديدات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92%</w:t>
            </w:r>
          </w:p>
          <w:p w14:paraId="0C4C6129" w14:textId="77777777" w:rsidR="00CE6E0B" w:rsidRPr="00A6112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سجلات الزبائن</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100%</w:t>
            </w:r>
          </w:p>
          <w:p w14:paraId="6938093B" w14:textId="77777777" w:rsidR="00CE6E0B" w:rsidRPr="00A6112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خدمة الزبائن</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79%</w:t>
            </w:r>
          </w:p>
          <w:p w14:paraId="25C70423" w14:textId="77777777" w:rsidR="00CE6E0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‏الترجمة</w:t>
            </w:r>
            <w:r>
              <w:rPr>
                <w:rFonts w:ascii="Arabic Typesetting" w:eastAsia="Arabic Typesetting" w:hAnsi="Arabic Typesetting" w:cs="Arabic Typesetting"/>
                <w:color w:val="002060"/>
                <w:sz w:val="28"/>
                <w:szCs w:val="28"/>
                <w:rtl/>
                <w:lang w:eastAsia="ar-EG" w:bidi="ar-EG"/>
              </w:rPr>
              <w:t>:</w:t>
            </w:r>
          </w:p>
          <w:p w14:paraId="5EF6752D" w14:textId="77777777" w:rsidR="00CE6E0B" w:rsidRDefault="00CE6E0B" w:rsidP="0031289D">
            <w:pPr>
              <w:bidi/>
              <w:spacing w:after="120" w:line="280" w:lineRule="exact"/>
              <w:ind w:left="120"/>
              <w:contextualSpacing/>
              <w:rPr>
                <w:rFonts w:ascii="Arabic Typesetting" w:eastAsia="Arabic Typesetting" w:hAnsi="Arabic Typesetting" w:cs="Arabic Typesetting"/>
                <w:color w:val="002060"/>
                <w:sz w:val="28"/>
                <w:szCs w:val="28"/>
                <w:rtl/>
                <w:lang w:eastAsia="ar-EG" w:bidi="ar-EG"/>
              </w:rPr>
            </w:pPr>
            <w:r w:rsidRPr="00A6112B">
              <w:rPr>
                <w:rFonts w:ascii="Arabic Typesetting" w:eastAsia="Arabic Typesetting" w:hAnsi="Arabic Typesetting" w:cs="Arabic Typesetting"/>
                <w:color w:val="002060"/>
                <w:sz w:val="28"/>
                <w:szCs w:val="28"/>
                <w:rtl/>
                <w:lang w:eastAsia="ar-EG" w:bidi="ar-EG"/>
              </w:rPr>
              <w:t>الإنكليزية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100%</w:t>
            </w:r>
            <w:r>
              <w:rPr>
                <w:rFonts w:ascii="Arabic Typesetting" w:eastAsia="Arabic Typesetting" w:hAnsi="Arabic Typesetting" w:cs="Arabic Typesetting"/>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الفرنسية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98%</w:t>
            </w:r>
          </w:p>
          <w:p w14:paraId="2FFA1D9C" w14:textId="77777777" w:rsidR="00CE6E0B" w:rsidRDefault="00CE6E0B" w:rsidP="0031289D">
            <w:pPr>
              <w:bidi/>
              <w:spacing w:after="120" w:line="280" w:lineRule="exact"/>
              <w:ind w:left="119"/>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الإسبانية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96%</w:t>
            </w:r>
          </w:p>
          <w:p w14:paraId="294EB07B" w14:textId="77777777" w:rsidR="00CE6E0B" w:rsidRPr="00A6112B" w:rsidRDefault="00CE6E0B" w:rsidP="0031289D">
            <w:pPr>
              <w:bidi/>
              <w:spacing w:after="120" w:line="280" w:lineRule="exact"/>
              <w:rPr>
                <w:rFonts w:ascii="Arabic Typesetting" w:eastAsia="Arabic Typesetting" w:hAnsi="Arabic Typesetting" w:cs="Arabic Typesetting"/>
                <w:i/>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يحدَّد لاحقاً</w:t>
            </w:r>
          </w:p>
        </w:tc>
        <w:tc>
          <w:tcPr>
            <w:tcW w:w="1081" w:type="pct"/>
            <w:shd w:val="clear" w:color="auto" w:fill="auto"/>
            <w:tcMar>
              <w:top w:w="110" w:type="dxa"/>
              <w:left w:w="58" w:type="dxa"/>
              <w:right w:w="58" w:type="dxa"/>
            </w:tcMar>
          </w:tcPr>
          <w:p w14:paraId="4AD52B1C" w14:textId="77777777" w:rsidR="00CE6E0B" w:rsidRPr="00A6112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الهدف المحدد:</w:t>
            </w:r>
            <w:r>
              <w:rPr>
                <w:rFonts w:ascii="Arabic Typesetting" w:eastAsia="Arabic Typesetting" w:hAnsi="Arabic Typesetting" w:cs="Arabic Typesetting"/>
                <w:i/>
                <w:iCs/>
                <w:color w:val="002060"/>
                <w:sz w:val="28"/>
                <w:szCs w:val="28"/>
                <w:rtl/>
                <w:lang w:eastAsia="ar-EG" w:bidi="ar-EG"/>
              </w:rPr>
              <w:br/>
            </w:r>
            <w:r w:rsidRPr="00A6112B">
              <w:rPr>
                <w:rFonts w:ascii="Arabic Typesetting" w:eastAsia="Arabic Typesetting" w:hAnsi="Arabic Typesetting" w:cs="Arabic Typesetting"/>
                <w:color w:val="002060"/>
                <w:sz w:val="28"/>
                <w:szCs w:val="28"/>
                <w:rtl/>
                <w:lang w:eastAsia="ar-EG" w:bidi="ar-EG"/>
              </w:rPr>
              <w:t>مستوى الجودة المقبول في نيس</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90%</w:t>
            </w:r>
          </w:p>
          <w:p w14:paraId="6EE3B580" w14:textId="77777777" w:rsidR="00CE6E0B" w:rsidRPr="00A6112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مستوى الجودة المقبول في عمليات الفحص الشكلي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95%</w:t>
            </w:r>
          </w:p>
          <w:p w14:paraId="30B6D1A8" w14:textId="77777777" w:rsidR="00CE6E0B" w:rsidRPr="00A6112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مستوى الجودة المقبول في القرارات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97%</w:t>
            </w:r>
          </w:p>
          <w:p w14:paraId="7095F212" w14:textId="77777777" w:rsidR="00CE6E0B" w:rsidRPr="00A6112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مستوى الجودة المقبول في التغييرات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95%</w:t>
            </w:r>
          </w:p>
          <w:p w14:paraId="437486CA" w14:textId="77777777" w:rsidR="00CE6E0B" w:rsidRPr="00A6112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مستوى الجودة المقبول في التجديدات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95%</w:t>
            </w:r>
          </w:p>
          <w:p w14:paraId="6863BCBC" w14:textId="77777777" w:rsidR="00CE6E0B" w:rsidRPr="00A6112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مستوى الجودة المقبول في سجلات الزبائن</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99%</w:t>
            </w:r>
          </w:p>
          <w:p w14:paraId="554C71D4" w14:textId="77777777" w:rsidR="00CE6E0B" w:rsidRPr="00A6112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مستوى الجودة المقبول في خدمة الزبائن</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90%</w:t>
            </w:r>
          </w:p>
          <w:p w14:paraId="70B7C3AE"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مستوى الجودة المقبول في الترجمة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6112B">
              <w:rPr>
                <w:rFonts w:ascii="Arabic Typesetting" w:eastAsia="Arabic Typesetting" w:hAnsi="Arabic Typesetting" w:cs="Arabic Typesetting"/>
                <w:color w:val="002060"/>
                <w:sz w:val="28"/>
                <w:szCs w:val="28"/>
                <w:rtl/>
                <w:lang w:eastAsia="ar-EG" w:bidi="ar-EG"/>
              </w:rPr>
              <w:t>95%</w:t>
            </w:r>
          </w:p>
          <w:p w14:paraId="54DAD91B" w14:textId="77777777" w:rsidR="00CE6E0B" w:rsidRPr="00A6112B" w:rsidRDefault="00CE6E0B" w:rsidP="0031289D">
            <w:pPr>
              <w:bidi/>
              <w:spacing w:after="120" w:line="280" w:lineRule="exact"/>
              <w:rPr>
                <w:rFonts w:ascii="Arabic Typesetting" w:eastAsia="Arabic Typesetting" w:hAnsi="Arabic Typesetting" w:cs="Arabic Typesetting"/>
                <w:i/>
                <w:sz w:val="28"/>
                <w:szCs w:val="28"/>
                <w:lang w:eastAsia="ar-EG" w:bidi="ar-EG"/>
              </w:rPr>
            </w:pPr>
            <w:r w:rsidRPr="00A6112B">
              <w:rPr>
                <w:rFonts w:ascii="Arabic Typesetting" w:eastAsia="Arabic Typesetting" w:hAnsi="Arabic Typesetting" w:cs="Arabic Typesetting"/>
                <w:i/>
                <w:iCs/>
                <w:sz w:val="28"/>
                <w:szCs w:val="28"/>
                <w:rtl/>
                <w:lang w:eastAsia="ar-EG" w:bidi="ar-EG"/>
              </w:rPr>
              <w:t>الهدف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يحدَّد لاحقاً</w:t>
            </w:r>
          </w:p>
        </w:tc>
        <w:tc>
          <w:tcPr>
            <w:tcW w:w="926" w:type="pct"/>
            <w:shd w:val="clear" w:color="auto" w:fill="FFFFFF"/>
            <w:tcMar>
              <w:top w:w="110" w:type="dxa"/>
              <w:left w:w="58" w:type="dxa"/>
              <w:right w:w="58" w:type="dxa"/>
            </w:tcMar>
          </w:tcPr>
          <w:p w14:paraId="6AC7B40D" w14:textId="77777777" w:rsidR="00CE6E0B" w:rsidRPr="00A6112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نيس</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91%</w:t>
            </w:r>
          </w:p>
          <w:p w14:paraId="0A534F5C"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عمليات الفحص الشكلي</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94%</w:t>
            </w:r>
          </w:p>
          <w:p w14:paraId="391840FB"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القرارات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96%</w:t>
            </w:r>
          </w:p>
          <w:p w14:paraId="7281BEBD"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التغييرات:</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95%</w:t>
            </w:r>
          </w:p>
          <w:p w14:paraId="767F4587"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‏التجديدات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96%</w:t>
            </w:r>
          </w:p>
          <w:p w14:paraId="0B9B4967"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سجلات الزبائن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100%</w:t>
            </w:r>
          </w:p>
          <w:p w14:paraId="5F5BA38C"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خدمة الزبائن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83%</w:t>
            </w:r>
          </w:p>
          <w:p w14:paraId="599E155D" w14:textId="77777777" w:rsidR="00CE6E0B" w:rsidRPr="00A6112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‏الترجمة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الإنكليزية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99%</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الفرنسية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99%</w:t>
            </w:r>
            <w:r>
              <w:rPr>
                <w:rFonts w:ascii="Arabic Typesetting" w:eastAsia="Arabic Typesetting" w:hAnsi="Arabic Typesetting" w:cs="Arabic Typesetting"/>
                <w:color w:val="000000"/>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الإسبانية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6112B">
              <w:rPr>
                <w:rFonts w:ascii="Arabic Typesetting" w:eastAsia="Arabic Typesetting" w:hAnsi="Arabic Typesetting" w:cs="Arabic Typesetting"/>
                <w:color w:val="000000"/>
                <w:sz w:val="28"/>
                <w:szCs w:val="28"/>
                <w:rtl/>
                <w:lang w:eastAsia="ar-EG" w:bidi="ar-EG"/>
              </w:rPr>
              <w:t>97%</w:t>
            </w:r>
          </w:p>
        </w:tc>
        <w:tc>
          <w:tcPr>
            <w:tcW w:w="522" w:type="pct"/>
            <w:shd w:val="clear" w:color="auto" w:fill="auto"/>
            <w:tcMar>
              <w:top w:w="110" w:type="dxa"/>
              <w:left w:w="58" w:type="dxa"/>
              <w:right w:w="58" w:type="dxa"/>
            </w:tcMar>
          </w:tcPr>
          <w:p w14:paraId="20A67305" w14:textId="77777777" w:rsidR="00CE6E0B" w:rsidRDefault="00CE6E0B" w:rsidP="0031289D">
            <w:pPr>
              <w:keepNext/>
              <w:keepLines/>
              <w:bidi/>
              <w:spacing w:after="120" w:line="280" w:lineRule="exact"/>
              <w:jc w:val="center"/>
              <w:rPr>
                <w:rFonts w:ascii="Arabic Typesetting" w:eastAsia="Arabic Typesetting" w:hAnsi="Arabic Typesetting" w:cs="Arabic Typesetting"/>
                <w:b/>
                <w:bCs/>
                <w:color w:val="00B050"/>
                <w:sz w:val="28"/>
                <w:szCs w:val="28"/>
                <w:rtl/>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184DFD25" w14:textId="77777777" w:rsidR="00E6194D" w:rsidRPr="00A6112B" w:rsidRDefault="00E6194D" w:rsidP="00E6194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154DAE69" w14:textId="77777777" w:rsidR="00E6194D" w:rsidRDefault="00E6194D" w:rsidP="00E6194D">
            <w:pPr>
              <w:keepNext/>
              <w:keepLines/>
              <w:bidi/>
              <w:spacing w:line="280" w:lineRule="exact"/>
              <w:jc w:val="center"/>
              <w:rPr>
                <w:rFonts w:ascii="Arabic Typesetting" w:eastAsia="Arabic Typesetting" w:hAnsi="Arabic Typesetting" w:cs="Arabic Typesetting"/>
                <w:b/>
                <w:bCs/>
                <w:color w:val="00B050"/>
                <w:sz w:val="28"/>
                <w:szCs w:val="28"/>
                <w:rtl/>
                <w:lang w:eastAsia="ar-EG" w:bidi="ar-EG"/>
              </w:rPr>
            </w:pPr>
          </w:p>
          <w:p w14:paraId="02F53DBA" w14:textId="77777777" w:rsidR="00E6194D" w:rsidRPr="00A6112B" w:rsidRDefault="00E6194D" w:rsidP="00E6194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6028C192" w14:textId="77777777" w:rsidR="00E6194D" w:rsidRPr="00A6112B" w:rsidRDefault="00E6194D" w:rsidP="00E6194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1696DD33" w14:textId="77777777" w:rsidR="00E6194D" w:rsidRPr="00A6112B" w:rsidRDefault="00E6194D" w:rsidP="00E6194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34B0BB3B" w14:textId="77777777" w:rsidR="00E6194D" w:rsidRPr="00A6112B" w:rsidRDefault="00E6194D" w:rsidP="00E6194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2C973F50" w14:textId="77777777" w:rsidR="00CE6E0B" w:rsidRDefault="00CE6E0B" w:rsidP="0031289D">
            <w:pPr>
              <w:keepNext/>
              <w:keepLines/>
              <w:bidi/>
              <w:spacing w:after="360" w:line="280" w:lineRule="exact"/>
              <w:jc w:val="center"/>
              <w:rPr>
                <w:rFonts w:ascii="Arabic Typesetting" w:eastAsia="Arabic Typesetting" w:hAnsi="Arabic Typesetting" w:cs="Arabic Typesetting"/>
                <w:b/>
                <w:color w:val="FF0000"/>
                <w:sz w:val="28"/>
                <w:szCs w:val="28"/>
                <w:lang w:eastAsia="ar-EG" w:bidi="ar-EG"/>
              </w:rPr>
            </w:pPr>
            <w:r w:rsidRPr="00A6112B">
              <w:rPr>
                <w:rFonts w:ascii="Arabic Typesetting" w:eastAsia="Arabic Typesetting" w:hAnsi="Arabic Typesetting" w:cs="Arabic Typesetting"/>
                <w:b/>
                <w:bCs/>
                <w:color w:val="FF0000"/>
                <w:sz w:val="28"/>
                <w:szCs w:val="28"/>
                <w:rtl/>
                <w:lang w:eastAsia="ar-EG" w:bidi="ar-EG"/>
              </w:rPr>
              <w:t>غير ثابت</w:t>
            </w:r>
          </w:p>
          <w:p w14:paraId="2959F3EC" w14:textId="307F1F95" w:rsidR="00CE6E0B" w:rsidRPr="00D317B7" w:rsidRDefault="00CE6E0B" w:rsidP="00E6194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tc>
      </w:tr>
      <w:tr w:rsidR="00CE6E0B" w:rsidRPr="00A6112B" w14:paraId="220CCF6C" w14:textId="77777777" w:rsidTr="00BB3820">
        <w:trPr>
          <w:cantSplit/>
          <w:trHeight w:val="606"/>
        </w:trPr>
        <w:tc>
          <w:tcPr>
            <w:tcW w:w="1066" w:type="pct"/>
            <w:shd w:val="clear" w:color="auto" w:fill="auto"/>
            <w:tcMar>
              <w:left w:w="58" w:type="dxa"/>
              <w:right w:w="58" w:type="dxa"/>
            </w:tcMar>
          </w:tcPr>
          <w:p w14:paraId="4BB8DA0C"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lastRenderedPageBreak/>
              <w:t>‏تحسُّن سير عمل سجل مدريد، بما في ذلك العمليات والإجراءات الإلكترونية (مدريد)</w:t>
            </w:r>
          </w:p>
        </w:tc>
        <w:tc>
          <w:tcPr>
            <w:tcW w:w="1405" w:type="pct"/>
            <w:shd w:val="clear" w:color="auto" w:fill="auto"/>
            <w:tcMar>
              <w:left w:w="58" w:type="dxa"/>
              <w:right w:w="58" w:type="dxa"/>
            </w:tcMar>
          </w:tcPr>
          <w:p w14:paraId="0D91D74D" w14:textId="77777777" w:rsidR="00CE6E0B" w:rsidRDefault="00CE6E0B" w:rsidP="0031289D">
            <w:pPr>
              <w:bidi/>
              <w:spacing w:after="120" w:line="280" w:lineRule="exact"/>
              <w:contextualSpacing/>
              <w:rPr>
                <w:rFonts w:ascii="Arabic Typesetting" w:eastAsia="Arabic Typesetting" w:hAnsi="Arabic Typesetting" w:cs="Arabic Typesetting"/>
                <w:i/>
                <w:iCs/>
                <w:color w:val="002060"/>
                <w:sz w:val="28"/>
                <w:szCs w:val="28"/>
                <w:rtl/>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p>
          <w:p w14:paraId="2EFD6FC1" w14:textId="77777777" w:rsidR="00CE6E0B" w:rsidRPr="00A6112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تسلم 79% من الوثائق إلكترونياً</w:t>
            </w:r>
          </w:p>
          <w:p w14:paraId="4BB4FD3A" w14:textId="4BDE2AA1" w:rsidR="00CE6E0B" w:rsidRPr="00A6112B" w:rsidRDefault="00B17489" w:rsidP="00B17489">
            <w:pPr>
              <w:numPr>
                <w:ilvl w:val="0"/>
                <w:numId w:val="8"/>
              </w:numPr>
              <w:bidi/>
              <w:spacing w:after="120" w:line="280" w:lineRule="exact"/>
              <w:ind w:hanging="120"/>
              <w:contextualSpacing/>
              <w:rPr>
                <w:rFonts w:ascii="Arabic Typesetting" w:eastAsia="Arabic Typesetting" w:hAnsi="Arabic Typesetting" w:cs="Arabic Typesetting"/>
                <w:color w:val="000000"/>
                <w:sz w:val="28"/>
                <w:szCs w:val="28"/>
                <w:lang w:eastAsia="ar-EG" w:bidi="ar-EG"/>
              </w:rPr>
            </w:pPr>
            <w:r w:rsidRPr="00B17489">
              <w:rPr>
                <w:rFonts w:ascii="Arabic Typesetting" w:eastAsia="Arabic Typesetting" w:hAnsi="Arabic Typesetting" w:cs="Arabic Typesetting" w:hint="cs"/>
                <w:color w:val="002060"/>
                <w:sz w:val="28"/>
                <w:szCs w:val="28"/>
                <w:rtl/>
                <w:lang w:eastAsia="ar-EG" w:bidi="ar-EG"/>
              </w:rPr>
              <w:t>000 325</w:t>
            </w:r>
            <w:r w:rsidR="00CE6E0B" w:rsidRPr="00A6112B">
              <w:rPr>
                <w:rFonts w:ascii="Arabic Typesetting" w:eastAsia="Arabic Typesetting" w:hAnsi="Arabic Typesetting" w:cs="Arabic Typesetting"/>
                <w:color w:val="002060"/>
                <w:sz w:val="28"/>
                <w:szCs w:val="28"/>
                <w:rtl/>
                <w:lang w:eastAsia="ar-EG" w:bidi="ar-EG"/>
              </w:rPr>
              <w:t xml:space="preserve"> إشعار بالبريد الإلكتروني</w:t>
            </w:r>
          </w:p>
          <w:p w14:paraId="79638A29" w14:textId="77777777" w:rsidR="00CE6E0B" w:rsidRPr="00A6112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2752 عميلاً يستخدم أداة إدارة المحفظات</w:t>
            </w:r>
          </w:p>
          <w:p w14:paraId="7AB83CE7" w14:textId="77777777" w:rsidR="00CE6E0B" w:rsidRPr="00A6112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27 مكتباً يرسل الطلبات بلغة الترميز الموسعة (</w:t>
            </w:r>
            <w:r w:rsidRPr="00A6112B">
              <w:rPr>
                <w:rFonts w:ascii="Arabic Typesetting" w:eastAsia="Arabic Typesetting" w:hAnsi="Arabic Typesetting" w:cs="Arabic Typesetting"/>
                <w:color w:val="002060"/>
                <w:sz w:val="28"/>
                <w:szCs w:val="28"/>
                <w:lang w:eastAsia="ar-EG" w:bidi="ar-EG"/>
              </w:rPr>
              <w:t>XML</w:t>
            </w:r>
            <w:r w:rsidRPr="00A6112B">
              <w:rPr>
                <w:rFonts w:ascii="Arabic Typesetting" w:eastAsia="Arabic Typesetting" w:hAnsi="Arabic Typesetting" w:cs="Arabic Typesetting"/>
                <w:color w:val="002060"/>
                <w:sz w:val="28"/>
                <w:szCs w:val="28"/>
                <w:rtl/>
                <w:lang w:eastAsia="ar-EG" w:bidi="ar-EG"/>
              </w:rPr>
              <w:t>)</w:t>
            </w:r>
          </w:p>
          <w:p w14:paraId="09056D6C" w14:textId="77777777" w:rsidR="00CE6E0B" w:rsidRPr="00A6112B" w:rsidRDefault="00CE6E0B" w:rsidP="0031289D">
            <w:pPr>
              <w:numPr>
                <w:ilvl w:val="0"/>
                <w:numId w:val="8"/>
              </w:numPr>
              <w:bidi/>
              <w:spacing w:after="120" w:line="280" w:lineRule="exact"/>
              <w:ind w:hanging="120"/>
              <w:contextualSpacing/>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استمارة شبكية ذكية واحدة</w:t>
            </w:r>
          </w:p>
          <w:p w14:paraId="30437352" w14:textId="180EA646" w:rsidR="00CE6E0B" w:rsidRPr="00A6112B" w:rsidRDefault="00B17489" w:rsidP="00B17489">
            <w:pPr>
              <w:numPr>
                <w:ilvl w:val="0"/>
                <w:numId w:val="8"/>
              </w:numPr>
              <w:bidi/>
              <w:spacing w:after="120" w:line="280" w:lineRule="exact"/>
              <w:ind w:hanging="120"/>
              <w:contextualSpacing/>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2060"/>
                <w:sz w:val="28"/>
                <w:szCs w:val="28"/>
                <w:rtl/>
                <w:lang w:eastAsia="ar-EG" w:bidi="ar-EG"/>
              </w:rPr>
              <w:t xml:space="preserve">000 690 </w:t>
            </w:r>
            <w:r w:rsidR="00CE6E0B" w:rsidRPr="00A6112B">
              <w:rPr>
                <w:rFonts w:ascii="Arabic Typesetting" w:eastAsia="Arabic Typesetting" w:hAnsi="Arabic Typesetting" w:cs="Arabic Typesetting"/>
                <w:color w:val="002060"/>
                <w:sz w:val="28"/>
                <w:szCs w:val="28"/>
                <w:rtl/>
                <w:lang w:eastAsia="ar-EG" w:bidi="ar-EG"/>
              </w:rPr>
              <w:t>وثيقة واردة</w:t>
            </w:r>
          </w:p>
          <w:p w14:paraId="26ABD547" w14:textId="7D3626E5" w:rsidR="00CE6E0B" w:rsidRDefault="00B17489" w:rsidP="0031289D">
            <w:pPr>
              <w:numPr>
                <w:ilvl w:val="0"/>
                <w:numId w:val="8"/>
              </w:numPr>
              <w:bidi/>
              <w:spacing w:after="120" w:line="280" w:lineRule="exact"/>
              <w:ind w:left="119" w:hanging="119"/>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2060"/>
                <w:sz w:val="28"/>
                <w:szCs w:val="28"/>
                <w:rtl/>
                <w:lang w:eastAsia="ar-EG" w:bidi="ar-EG"/>
              </w:rPr>
              <w:t>000 750 1</w:t>
            </w:r>
            <w:r w:rsidR="00CE6E0B" w:rsidRPr="00A6112B">
              <w:rPr>
                <w:rFonts w:ascii="Arabic Typesetting" w:eastAsia="Arabic Typesetting" w:hAnsi="Arabic Typesetting" w:cs="Arabic Typesetting"/>
                <w:color w:val="002060"/>
                <w:sz w:val="28"/>
                <w:szCs w:val="28"/>
                <w:rtl/>
                <w:lang w:eastAsia="ar-EG" w:bidi="ar-EG"/>
              </w:rPr>
              <w:t xml:space="preserve"> وثيقة صادرة</w:t>
            </w:r>
          </w:p>
          <w:p w14:paraId="2921B905" w14:textId="77777777" w:rsidR="00CE6E0B" w:rsidRDefault="00CE6E0B" w:rsidP="0031289D">
            <w:pPr>
              <w:bidi/>
              <w:spacing w:line="280" w:lineRule="exact"/>
              <w:rPr>
                <w:rFonts w:ascii="Arabic Typesetting" w:eastAsia="Arabic Typesetting" w:hAnsi="Arabic Typesetting" w:cs="Arabic Typesetting"/>
                <w:color w:val="000000"/>
                <w:sz w:val="28"/>
                <w:szCs w:val="28"/>
                <w:rtl/>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تسلم 70% من الوثائق إلكترونياً</w:t>
            </w:r>
          </w:p>
          <w:p w14:paraId="0DC3BF73" w14:textId="77777777" w:rsidR="00CE6E0B" w:rsidRDefault="00CE6E0B" w:rsidP="0031289D">
            <w:pPr>
              <w:bidi/>
              <w:spacing w:line="280" w:lineRule="exact"/>
              <w:ind w:left="110" w:hanging="110"/>
              <w:rPr>
                <w:rFonts w:ascii="Arabic Typesetting" w:eastAsia="Arabic Typesetting" w:hAnsi="Arabic Typesetting" w:cs="Arabic Typesetting"/>
                <w:color w:val="000000"/>
                <w:sz w:val="28"/>
                <w:szCs w:val="28"/>
                <w:rtl/>
                <w:lang w:eastAsia="ar-EG" w:bidi="ar-EG"/>
              </w:rPr>
            </w:pPr>
            <w:r w:rsidRPr="00A6112B">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ab/>
            </w:r>
            <w:r w:rsidRPr="00A6112B">
              <w:rPr>
                <w:rFonts w:ascii="Arabic Typesetting" w:eastAsia="Arabic Typesetting" w:hAnsi="Arabic Typesetting" w:cs="Arabic Typesetting"/>
                <w:color w:val="000000"/>
                <w:sz w:val="28"/>
                <w:szCs w:val="28"/>
                <w:rtl/>
                <w:lang w:eastAsia="ar-EG" w:bidi="ar-EG"/>
              </w:rPr>
              <w:t>000 220 إشعار بالبريد الالكتروني</w:t>
            </w:r>
          </w:p>
          <w:p w14:paraId="29944EF5" w14:textId="77777777" w:rsidR="00CE6E0B" w:rsidRPr="00F6529E" w:rsidRDefault="00CE6E0B" w:rsidP="0031289D">
            <w:pPr>
              <w:bidi/>
              <w:spacing w:line="280" w:lineRule="exact"/>
              <w:ind w:left="110" w:hanging="110"/>
              <w:rPr>
                <w:rFonts w:ascii="Arabic Typesetting" w:eastAsia="Arabic Typesetting" w:hAnsi="Arabic Typesetting" w:cs="Arabic Typesetting"/>
                <w:color w:val="000000"/>
                <w:sz w:val="26"/>
                <w:szCs w:val="26"/>
                <w:rtl/>
                <w:lang w:eastAsia="ar-EG" w:bidi="ar-EG"/>
              </w:rPr>
            </w:pPr>
            <w:r w:rsidRPr="00F6529E">
              <w:rPr>
                <w:rFonts w:ascii="Arabic Typesetting" w:eastAsia="Arabic Typesetting" w:hAnsi="Arabic Typesetting" w:cs="Arabic Typesetting" w:hint="cs"/>
                <w:color w:val="000000"/>
                <w:sz w:val="26"/>
                <w:szCs w:val="26"/>
                <w:rtl/>
                <w:lang w:eastAsia="ar-EG" w:bidi="ar-EG"/>
              </w:rPr>
              <w:t>-</w:t>
            </w:r>
            <w:r w:rsidRPr="00F6529E">
              <w:rPr>
                <w:rFonts w:ascii="Arabic Typesetting" w:eastAsia="Arabic Typesetting" w:hAnsi="Arabic Typesetting" w:cs="Arabic Typesetting"/>
                <w:color w:val="000000"/>
                <w:sz w:val="26"/>
                <w:szCs w:val="26"/>
                <w:rtl/>
                <w:lang w:eastAsia="ar-EG" w:bidi="ar-EG"/>
              </w:rPr>
              <w:tab/>
              <w:t>1800 عميل يستخدم أداة إدارة المحفظات</w:t>
            </w:r>
          </w:p>
          <w:p w14:paraId="39A5DEFA" w14:textId="77777777" w:rsidR="00CE6E0B" w:rsidRDefault="00CE6E0B" w:rsidP="0031289D">
            <w:pPr>
              <w:bidi/>
              <w:spacing w:line="280" w:lineRule="exact"/>
              <w:ind w:left="110" w:hanging="110"/>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ab/>
            </w:r>
            <w:r w:rsidRPr="00A6112B">
              <w:rPr>
                <w:rFonts w:ascii="Arabic Typesetting" w:eastAsia="Arabic Typesetting" w:hAnsi="Arabic Typesetting" w:cs="Arabic Typesetting"/>
                <w:color w:val="000000"/>
                <w:sz w:val="28"/>
                <w:szCs w:val="28"/>
                <w:rtl/>
                <w:lang w:eastAsia="ar-EG" w:bidi="ar-EG"/>
              </w:rPr>
              <w:t>17 مكتباً يرسل الطلبات بلغة الترميز الموسعة (</w:t>
            </w:r>
            <w:r w:rsidRPr="00A6112B">
              <w:rPr>
                <w:rFonts w:ascii="Arabic Typesetting" w:eastAsia="Arabic Typesetting" w:hAnsi="Arabic Typesetting" w:cs="Arabic Typesetting"/>
                <w:color w:val="000000"/>
                <w:sz w:val="28"/>
                <w:szCs w:val="28"/>
                <w:cs/>
                <w:lang w:eastAsia="ar-EG" w:bidi="ar-EG"/>
              </w:rPr>
              <w:t>‎</w:t>
            </w:r>
            <w:r w:rsidRPr="00A6112B">
              <w:rPr>
                <w:rFonts w:ascii="Arabic Typesetting" w:eastAsia="Arabic Typesetting" w:hAnsi="Arabic Typesetting" w:cs="Arabic Typesetting"/>
                <w:color w:val="000000"/>
                <w:sz w:val="28"/>
                <w:szCs w:val="28"/>
                <w:rtl/>
                <w:cs/>
                <w:lang w:eastAsia="ar-EG" w:bidi="ar-EG"/>
              </w:rPr>
              <w:t>XML</w:t>
            </w:r>
            <w:r w:rsidRPr="00A6112B">
              <w:rPr>
                <w:rFonts w:ascii="Arabic Typesetting" w:eastAsia="Arabic Typesetting" w:hAnsi="Arabic Typesetting" w:cs="Arabic Typesetting"/>
                <w:color w:val="000000"/>
                <w:sz w:val="28"/>
                <w:szCs w:val="28"/>
                <w:rtl/>
                <w:lang w:eastAsia="ar-EG" w:bidi="ar-EG"/>
              </w:rPr>
              <w:t>‏)</w:t>
            </w:r>
          </w:p>
          <w:p w14:paraId="2B67EBB9" w14:textId="77777777" w:rsidR="00CE6E0B" w:rsidRDefault="00CE6E0B" w:rsidP="0031289D">
            <w:pPr>
              <w:bidi/>
              <w:spacing w:line="280" w:lineRule="exact"/>
              <w:ind w:left="110" w:hanging="110"/>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ab/>
            </w:r>
            <w:r w:rsidRPr="00A6112B">
              <w:rPr>
                <w:rFonts w:ascii="Arabic Typesetting" w:eastAsia="Arabic Typesetting" w:hAnsi="Arabic Typesetting" w:cs="Arabic Typesetting"/>
                <w:color w:val="000000"/>
                <w:sz w:val="28"/>
                <w:szCs w:val="28"/>
                <w:rtl/>
                <w:lang w:eastAsia="ar-EG" w:bidi="ar-EG"/>
              </w:rPr>
              <w:t>استمارة شبكية ذكية واحدة</w:t>
            </w:r>
          </w:p>
          <w:p w14:paraId="4CCAD5F3" w14:textId="77777777" w:rsidR="00CE6E0B" w:rsidRDefault="00CE6E0B" w:rsidP="0031289D">
            <w:pPr>
              <w:bidi/>
              <w:spacing w:line="280" w:lineRule="exact"/>
              <w:ind w:left="110" w:hanging="110"/>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ab/>
            </w:r>
            <w:r w:rsidRPr="00A6112B">
              <w:rPr>
                <w:rFonts w:ascii="Arabic Typesetting" w:eastAsia="Arabic Typesetting" w:hAnsi="Arabic Typesetting" w:cs="Arabic Typesetting"/>
                <w:color w:val="000000"/>
                <w:sz w:val="28"/>
                <w:szCs w:val="28"/>
                <w:rtl/>
                <w:lang w:eastAsia="ar-EG" w:bidi="ar-EG"/>
              </w:rPr>
              <w:t>000 690 وثيقة واردة</w:t>
            </w:r>
          </w:p>
          <w:p w14:paraId="1C7E9888" w14:textId="15C3C0E8" w:rsidR="00CE6E0B" w:rsidRPr="00A6112B" w:rsidRDefault="00CE6E0B" w:rsidP="00B17489">
            <w:pPr>
              <w:bidi/>
              <w:spacing w:after="120" w:line="280" w:lineRule="exact"/>
              <w:ind w:left="110" w:hanging="110"/>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ab/>
            </w:r>
            <w:r w:rsidR="00B17489">
              <w:rPr>
                <w:rFonts w:ascii="Arabic Typesetting" w:eastAsia="Arabic Typesetting" w:hAnsi="Arabic Typesetting" w:cs="Arabic Typesetting" w:hint="cs"/>
                <w:color w:val="000000"/>
                <w:sz w:val="28"/>
                <w:szCs w:val="28"/>
                <w:rtl/>
                <w:lang w:eastAsia="ar-EG" w:bidi="ar-EG"/>
              </w:rPr>
              <w:t>000 750 1</w:t>
            </w:r>
            <w:r w:rsidRPr="00A6112B">
              <w:rPr>
                <w:rFonts w:ascii="Arabic Typesetting" w:eastAsia="Arabic Typesetting" w:hAnsi="Arabic Typesetting" w:cs="Arabic Typesetting"/>
                <w:color w:val="000000"/>
                <w:sz w:val="28"/>
                <w:szCs w:val="28"/>
                <w:rtl/>
                <w:lang w:eastAsia="ar-EG" w:bidi="ar-EG"/>
              </w:rPr>
              <w:t xml:space="preserve"> وثيقة صادرة</w:t>
            </w:r>
          </w:p>
        </w:tc>
        <w:tc>
          <w:tcPr>
            <w:tcW w:w="1081" w:type="pct"/>
            <w:shd w:val="clear" w:color="auto" w:fill="auto"/>
            <w:tcMar>
              <w:top w:w="110" w:type="dxa"/>
              <w:left w:w="58" w:type="dxa"/>
              <w:right w:w="58" w:type="dxa"/>
            </w:tcMar>
          </w:tcPr>
          <w:p w14:paraId="3FAE574C" w14:textId="77777777" w:rsidR="00CE6E0B" w:rsidRDefault="00CE6E0B" w:rsidP="0031289D">
            <w:pPr>
              <w:keepNext/>
              <w:keepLines/>
              <w:bidi/>
              <w:spacing w:after="120" w:line="280" w:lineRule="exact"/>
              <w:contextualSpacing/>
              <w:rPr>
                <w:rFonts w:ascii="Arabic Typesetting" w:eastAsia="Arabic Typesetting" w:hAnsi="Arabic Typesetting" w:cs="Arabic Typesetting"/>
                <w:i/>
                <w:iCs/>
                <w:color w:val="002060"/>
                <w:sz w:val="28"/>
                <w:szCs w:val="28"/>
                <w:rtl/>
                <w:lang w:eastAsia="ar-EG" w:bidi="ar-EG"/>
              </w:rPr>
            </w:pPr>
            <w:r w:rsidRPr="00A6112B">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p>
          <w:p w14:paraId="1E57D9CD" w14:textId="77777777" w:rsidR="00CE6E0B" w:rsidRPr="00A6112B" w:rsidRDefault="00CE6E0B" w:rsidP="0031289D">
            <w:pPr>
              <w:keepNext/>
              <w:keepLines/>
              <w:numPr>
                <w:ilvl w:val="0"/>
                <w:numId w:val="6"/>
              </w:numPr>
              <w:bidi/>
              <w:spacing w:after="120" w:line="280" w:lineRule="exact"/>
              <w:ind w:left="194" w:hanging="194"/>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تسلم أكثر من 79% من الوثائق إلكترونياً (سنوياً)</w:t>
            </w:r>
          </w:p>
          <w:p w14:paraId="2B4B431F" w14:textId="293A3206" w:rsidR="00CE6E0B" w:rsidRPr="00A6112B" w:rsidRDefault="00CE6E0B" w:rsidP="00B17489">
            <w:pPr>
              <w:keepNext/>
              <w:keepLines/>
              <w:numPr>
                <w:ilvl w:val="0"/>
                <w:numId w:val="6"/>
              </w:numPr>
              <w:bidi/>
              <w:spacing w:after="120" w:line="280" w:lineRule="exact"/>
              <w:ind w:left="194" w:hanging="194"/>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 xml:space="preserve">أكثر من </w:t>
            </w:r>
            <w:r w:rsidR="00B17489">
              <w:rPr>
                <w:rFonts w:ascii="Arabic Typesetting" w:eastAsia="Arabic Typesetting" w:hAnsi="Arabic Typesetting" w:cs="Arabic Typesetting" w:hint="cs"/>
                <w:color w:val="002060"/>
                <w:sz w:val="28"/>
                <w:szCs w:val="28"/>
                <w:rtl/>
                <w:lang w:eastAsia="ar-EG" w:bidi="ar-EG"/>
              </w:rPr>
              <w:t>000 325</w:t>
            </w:r>
            <w:r w:rsidRPr="00A6112B">
              <w:rPr>
                <w:rFonts w:ascii="Arabic Typesetting" w:eastAsia="Arabic Typesetting" w:hAnsi="Arabic Typesetting" w:cs="Arabic Typesetting"/>
                <w:color w:val="002060"/>
                <w:sz w:val="28"/>
                <w:szCs w:val="28"/>
                <w:rtl/>
                <w:lang w:eastAsia="ar-EG" w:bidi="ar-EG"/>
              </w:rPr>
              <w:t xml:space="preserve"> إخطار بالبريد الإلكتروني (سنوياً)</w:t>
            </w:r>
          </w:p>
          <w:p w14:paraId="015AD834" w14:textId="77777777" w:rsidR="00CE6E0B" w:rsidRPr="00A6112B" w:rsidRDefault="00CE6E0B" w:rsidP="0031289D">
            <w:pPr>
              <w:keepNext/>
              <w:keepLines/>
              <w:numPr>
                <w:ilvl w:val="0"/>
                <w:numId w:val="6"/>
              </w:numPr>
              <w:bidi/>
              <w:spacing w:after="120" w:line="280" w:lineRule="exact"/>
              <w:ind w:left="194" w:hanging="194"/>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أكثر من 2752 عميلاً يستخدم أداة إدارة المحفظات (في الثنائية)</w:t>
            </w:r>
          </w:p>
          <w:p w14:paraId="1524F180" w14:textId="77777777" w:rsidR="00CE6E0B" w:rsidRPr="00A6112B" w:rsidRDefault="00CE6E0B" w:rsidP="0031289D">
            <w:pPr>
              <w:keepNext/>
              <w:keepLines/>
              <w:numPr>
                <w:ilvl w:val="0"/>
                <w:numId w:val="6"/>
              </w:numPr>
              <w:bidi/>
              <w:spacing w:after="120" w:line="280" w:lineRule="exact"/>
              <w:ind w:left="194" w:hanging="194"/>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أكثر من 27 مكتباً يرسل الطلبات بلغة الترميز الموسعة (</w:t>
            </w:r>
            <w:r w:rsidRPr="00A6112B">
              <w:rPr>
                <w:rFonts w:ascii="Arabic Typesetting" w:eastAsia="Arabic Typesetting" w:hAnsi="Arabic Typesetting" w:cs="Arabic Typesetting"/>
                <w:color w:val="002060"/>
                <w:sz w:val="28"/>
                <w:szCs w:val="28"/>
                <w:lang w:eastAsia="ar-EG" w:bidi="ar-EG"/>
              </w:rPr>
              <w:t>XML</w:t>
            </w:r>
            <w:r w:rsidRPr="00A6112B">
              <w:rPr>
                <w:rFonts w:ascii="Arabic Typesetting" w:eastAsia="Arabic Typesetting" w:hAnsi="Arabic Typesetting" w:cs="Arabic Typesetting"/>
                <w:color w:val="002060"/>
                <w:sz w:val="28"/>
                <w:szCs w:val="28"/>
                <w:rtl/>
                <w:lang w:eastAsia="ar-EG" w:bidi="ar-EG"/>
              </w:rPr>
              <w:t>) (في الثنائية)</w:t>
            </w:r>
          </w:p>
          <w:p w14:paraId="45516E3A" w14:textId="77777777" w:rsidR="00CE6E0B" w:rsidRPr="00A6112B" w:rsidRDefault="00CE6E0B" w:rsidP="0031289D">
            <w:pPr>
              <w:keepNext/>
              <w:keepLines/>
              <w:numPr>
                <w:ilvl w:val="0"/>
                <w:numId w:val="6"/>
              </w:numPr>
              <w:bidi/>
              <w:spacing w:after="120" w:line="280" w:lineRule="exact"/>
              <w:ind w:left="194" w:hanging="194"/>
              <w:contextualSpacing/>
              <w:rPr>
                <w:rFonts w:ascii="Arabic Typesetting" w:eastAsia="Arabic Typesetting" w:hAnsi="Arabic Typesetting" w:cs="Arabic Typesetting"/>
                <w:color w:val="002060"/>
                <w:sz w:val="28"/>
                <w:szCs w:val="28"/>
                <w:lang w:eastAsia="ar-EG" w:bidi="ar-EG"/>
              </w:rPr>
            </w:pPr>
            <w:r w:rsidRPr="00A6112B">
              <w:rPr>
                <w:rFonts w:ascii="Arabic Typesetting" w:eastAsia="Arabic Typesetting" w:hAnsi="Arabic Typesetting" w:cs="Arabic Typesetting"/>
                <w:color w:val="002060"/>
                <w:sz w:val="28"/>
                <w:szCs w:val="28"/>
                <w:rtl/>
                <w:lang w:eastAsia="ar-EG" w:bidi="ar-EG"/>
              </w:rPr>
              <w:t>6 استمارات شبكية ذكية (في الثنائية)</w:t>
            </w:r>
          </w:p>
          <w:p w14:paraId="5FFE8B49" w14:textId="3AF9DC93" w:rsidR="00CE6E0B" w:rsidRPr="00A6112B" w:rsidRDefault="00B17489" w:rsidP="0031289D">
            <w:pPr>
              <w:keepNext/>
              <w:keepLines/>
              <w:numPr>
                <w:ilvl w:val="0"/>
                <w:numId w:val="6"/>
              </w:numPr>
              <w:bidi/>
              <w:spacing w:after="120" w:line="280" w:lineRule="exact"/>
              <w:ind w:left="194" w:hanging="194"/>
              <w:contextualSpacing/>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hint="cs"/>
                <w:color w:val="002060"/>
                <w:sz w:val="28"/>
                <w:szCs w:val="28"/>
                <w:rtl/>
                <w:lang w:eastAsia="ar-EG" w:bidi="ar-EG"/>
              </w:rPr>
              <w:t>000 750</w:t>
            </w:r>
            <w:r w:rsidR="00CE6E0B" w:rsidRPr="00A6112B">
              <w:rPr>
                <w:rFonts w:ascii="Arabic Typesetting" w:eastAsia="Arabic Typesetting" w:hAnsi="Arabic Typesetting" w:cs="Arabic Typesetting"/>
                <w:color w:val="002060"/>
                <w:sz w:val="28"/>
                <w:szCs w:val="28"/>
                <w:rtl/>
                <w:lang w:eastAsia="ar-EG" w:bidi="ar-EG"/>
              </w:rPr>
              <w:t xml:space="preserve"> وثيقة واردة (سنوياً)</w:t>
            </w:r>
          </w:p>
          <w:p w14:paraId="43325A5E" w14:textId="51E9121C" w:rsidR="00CE6E0B" w:rsidRDefault="00B17489" w:rsidP="0031289D">
            <w:pPr>
              <w:keepNext/>
              <w:keepLines/>
              <w:numPr>
                <w:ilvl w:val="0"/>
                <w:numId w:val="6"/>
              </w:numPr>
              <w:bidi/>
              <w:spacing w:after="120" w:line="280" w:lineRule="exact"/>
              <w:ind w:left="193" w:hanging="193"/>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hint="cs"/>
                <w:color w:val="002060"/>
                <w:sz w:val="28"/>
                <w:szCs w:val="28"/>
                <w:rtl/>
                <w:lang w:eastAsia="ar-EG" w:bidi="ar-EG"/>
              </w:rPr>
              <w:t>000 000 2</w:t>
            </w:r>
            <w:r w:rsidR="00CE6E0B" w:rsidRPr="00A6112B">
              <w:rPr>
                <w:rFonts w:ascii="Arabic Typesetting" w:eastAsia="Arabic Typesetting" w:hAnsi="Arabic Typesetting" w:cs="Arabic Typesetting"/>
                <w:color w:val="002060"/>
                <w:sz w:val="28"/>
                <w:szCs w:val="28"/>
                <w:rtl/>
                <w:lang w:eastAsia="ar-EG" w:bidi="ar-EG"/>
              </w:rPr>
              <w:t xml:space="preserve"> وثيقة صادرة (سنوياً)</w:t>
            </w:r>
          </w:p>
          <w:p w14:paraId="7DC1A2BC" w14:textId="77777777" w:rsidR="00CE6E0B" w:rsidRPr="00A6112B" w:rsidRDefault="00CE6E0B" w:rsidP="0031289D">
            <w:pPr>
              <w:bidi/>
              <w:spacing w:line="280" w:lineRule="exact"/>
              <w:rPr>
                <w:rFonts w:ascii="Arabic Typesetting" w:eastAsia="Arabic Typesetting" w:hAnsi="Arabic Typesetting" w:cs="Arabic Typesetting"/>
                <w:i/>
                <w:sz w:val="28"/>
                <w:szCs w:val="28"/>
                <w:lang w:eastAsia="ar-EG" w:bidi="ar-EG"/>
              </w:rPr>
            </w:pPr>
            <w:r w:rsidRPr="00A6112B">
              <w:rPr>
                <w:rFonts w:ascii="Arabic Typesetting" w:eastAsia="Arabic Typesetting" w:hAnsi="Arabic Typesetting" w:cs="Arabic Typesetting"/>
                <w:i/>
                <w:iCs/>
                <w:sz w:val="28"/>
                <w:szCs w:val="28"/>
                <w:rtl/>
                <w:lang w:eastAsia="ar-EG" w:bidi="ar-EG"/>
              </w:rPr>
              <w:t>الهدف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p>
          <w:p w14:paraId="088CF74B" w14:textId="77777777" w:rsidR="00CE6E0B" w:rsidRPr="00A6112B" w:rsidRDefault="00CE6E0B" w:rsidP="0031289D">
            <w:pPr>
              <w:numPr>
                <w:ilvl w:val="0"/>
                <w:numId w:val="7"/>
              </w:numPr>
              <w:bidi/>
              <w:spacing w:after="120" w:line="280" w:lineRule="exact"/>
              <w:ind w:left="104" w:hanging="104"/>
              <w:contextualSpacing/>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sz w:val="28"/>
                <w:szCs w:val="28"/>
                <w:rtl/>
                <w:lang w:eastAsia="ar-EG" w:bidi="ar-EG"/>
              </w:rPr>
              <w:t>تسلم 75% من الوثائق إلكترونياً</w:t>
            </w:r>
          </w:p>
          <w:p w14:paraId="22F7A86D" w14:textId="21F145BF" w:rsidR="00CE6E0B" w:rsidRPr="00A6112B" w:rsidRDefault="00B17489" w:rsidP="0031289D">
            <w:pPr>
              <w:numPr>
                <w:ilvl w:val="0"/>
                <w:numId w:val="7"/>
              </w:numPr>
              <w:bidi/>
              <w:spacing w:after="120" w:line="280" w:lineRule="exact"/>
              <w:ind w:left="104" w:hanging="104"/>
              <w:contextualSpacing/>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hint="cs"/>
                <w:sz w:val="28"/>
                <w:szCs w:val="28"/>
                <w:rtl/>
                <w:lang w:eastAsia="ar-EG" w:bidi="ar-EG"/>
              </w:rPr>
              <w:t>000 250</w:t>
            </w:r>
            <w:r w:rsidR="00CE6E0B" w:rsidRPr="00A6112B">
              <w:rPr>
                <w:rFonts w:ascii="Arabic Typesetting" w:eastAsia="Arabic Typesetting" w:hAnsi="Arabic Typesetting" w:cs="Arabic Typesetting"/>
                <w:sz w:val="28"/>
                <w:szCs w:val="28"/>
                <w:rtl/>
                <w:lang w:eastAsia="ar-EG" w:bidi="ar-EG"/>
              </w:rPr>
              <w:t xml:space="preserve"> إشعار بالبريد الإلكتروني</w:t>
            </w:r>
          </w:p>
          <w:p w14:paraId="12052F93" w14:textId="77777777" w:rsidR="00CE6E0B" w:rsidRPr="00A6112B" w:rsidRDefault="00CE6E0B" w:rsidP="0031289D">
            <w:pPr>
              <w:numPr>
                <w:ilvl w:val="0"/>
                <w:numId w:val="7"/>
              </w:numPr>
              <w:bidi/>
              <w:spacing w:after="120" w:line="280" w:lineRule="exact"/>
              <w:ind w:left="104" w:hanging="104"/>
              <w:contextualSpacing/>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sz w:val="28"/>
                <w:szCs w:val="28"/>
                <w:rtl/>
                <w:lang w:eastAsia="ar-EG" w:bidi="ar-EG"/>
              </w:rPr>
              <w:t>2000 عميلاً يستخدم أداة إدارة المحفظات</w:t>
            </w:r>
          </w:p>
          <w:p w14:paraId="6BFEC2F0" w14:textId="77777777" w:rsidR="00CE6E0B" w:rsidRPr="00A6112B" w:rsidRDefault="00CE6E0B" w:rsidP="0031289D">
            <w:pPr>
              <w:numPr>
                <w:ilvl w:val="0"/>
                <w:numId w:val="7"/>
              </w:numPr>
              <w:bidi/>
              <w:spacing w:after="120" w:line="280" w:lineRule="exact"/>
              <w:ind w:left="104" w:hanging="104"/>
              <w:contextualSpacing/>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sz w:val="28"/>
                <w:szCs w:val="28"/>
                <w:rtl/>
                <w:lang w:eastAsia="ar-EG" w:bidi="ar-EG"/>
              </w:rPr>
              <w:t>20 مكتباً يرسل الطلبات بلغة الترميز الموسعة (</w:t>
            </w:r>
            <w:r w:rsidRPr="00A6112B">
              <w:rPr>
                <w:rFonts w:ascii="Arabic Typesetting" w:eastAsia="Arabic Typesetting" w:hAnsi="Arabic Typesetting" w:cs="Arabic Typesetting"/>
                <w:sz w:val="28"/>
                <w:szCs w:val="28"/>
                <w:lang w:eastAsia="ar-EG" w:bidi="ar-EG"/>
              </w:rPr>
              <w:t>XML</w:t>
            </w:r>
            <w:r w:rsidRPr="00A6112B">
              <w:rPr>
                <w:rFonts w:ascii="Arabic Typesetting" w:eastAsia="Arabic Typesetting" w:hAnsi="Arabic Typesetting" w:cs="Arabic Typesetting"/>
                <w:sz w:val="28"/>
                <w:szCs w:val="28"/>
                <w:rtl/>
                <w:lang w:eastAsia="ar-EG" w:bidi="ar-EG"/>
              </w:rPr>
              <w:t>)</w:t>
            </w:r>
          </w:p>
          <w:p w14:paraId="2789554B" w14:textId="77777777" w:rsidR="00CE6E0B" w:rsidRPr="00A6112B" w:rsidRDefault="00CE6E0B" w:rsidP="0031289D">
            <w:pPr>
              <w:numPr>
                <w:ilvl w:val="0"/>
                <w:numId w:val="7"/>
              </w:numPr>
              <w:bidi/>
              <w:spacing w:after="120" w:line="280" w:lineRule="exact"/>
              <w:ind w:left="104" w:hanging="104"/>
              <w:contextualSpacing/>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sz w:val="28"/>
                <w:szCs w:val="28"/>
                <w:rtl/>
                <w:lang w:eastAsia="ar-EG" w:bidi="ar-EG"/>
              </w:rPr>
              <w:t>6 استمارات شبكية ذكية</w:t>
            </w:r>
          </w:p>
          <w:p w14:paraId="5A99EB7F" w14:textId="31D188A4" w:rsidR="00CE6E0B" w:rsidRPr="00A6112B" w:rsidRDefault="00B17489" w:rsidP="0031289D">
            <w:pPr>
              <w:numPr>
                <w:ilvl w:val="0"/>
                <w:numId w:val="7"/>
              </w:numPr>
              <w:bidi/>
              <w:spacing w:after="120" w:line="280" w:lineRule="exact"/>
              <w:ind w:left="104" w:hanging="104"/>
              <w:contextualSpacing/>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hint="cs"/>
                <w:sz w:val="28"/>
                <w:szCs w:val="28"/>
                <w:rtl/>
                <w:lang w:eastAsia="ar-EG" w:bidi="ar-EG"/>
              </w:rPr>
              <w:t xml:space="preserve">000 750 </w:t>
            </w:r>
            <w:r w:rsidR="00CE6E0B" w:rsidRPr="00A6112B">
              <w:rPr>
                <w:rFonts w:ascii="Arabic Typesetting" w:eastAsia="Arabic Typesetting" w:hAnsi="Arabic Typesetting" w:cs="Arabic Typesetting"/>
                <w:sz w:val="28"/>
                <w:szCs w:val="28"/>
                <w:rtl/>
                <w:lang w:eastAsia="ar-EG" w:bidi="ar-EG"/>
              </w:rPr>
              <w:t>وثيقة واردة</w:t>
            </w:r>
          </w:p>
          <w:p w14:paraId="5DEC4B64" w14:textId="4C2C6FB5" w:rsidR="00CE6E0B" w:rsidRPr="00A6112B" w:rsidRDefault="00B17489" w:rsidP="0031289D">
            <w:pPr>
              <w:numPr>
                <w:ilvl w:val="0"/>
                <w:numId w:val="7"/>
              </w:numPr>
              <w:bidi/>
              <w:spacing w:after="120" w:line="280" w:lineRule="exact"/>
              <w:ind w:left="104" w:hanging="104"/>
              <w:contextualSpacing/>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sz w:val="28"/>
                <w:szCs w:val="28"/>
                <w:rtl/>
                <w:lang w:eastAsia="ar-EG" w:bidi="ar-EG"/>
              </w:rPr>
              <w:t xml:space="preserve">000 000 2 </w:t>
            </w:r>
            <w:r w:rsidR="00CE6E0B" w:rsidRPr="00A6112B">
              <w:rPr>
                <w:rFonts w:ascii="Arabic Typesetting" w:eastAsia="Arabic Typesetting" w:hAnsi="Arabic Typesetting" w:cs="Arabic Typesetting"/>
                <w:sz w:val="28"/>
                <w:szCs w:val="28"/>
                <w:rtl/>
                <w:lang w:eastAsia="ar-EG" w:bidi="ar-EG"/>
              </w:rPr>
              <w:t>وثيقة صادرة</w:t>
            </w:r>
          </w:p>
        </w:tc>
        <w:tc>
          <w:tcPr>
            <w:tcW w:w="926" w:type="pct"/>
            <w:shd w:val="clear" w:color="auto" w:fill="FFFFFF"/>
            <w:tcMar>
              <w:top w:w="110" w:type="dxa"/>
              <w:left w:w="58" w:type="dxa"/>
              <w:right w:w="58" w:type="dxa"/>
            </w:tcMar>
          </w:tcPr>
          <w:p w14:paraId="4D151684"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تسلم 81% من الوثائق إلكترونياً</w:t>
            </w:r>
          </w:p>
          <w:p w14:paraId="3D0DA1F7" w14:textId="4B7339D8" w:rsidR="00CE6E0B" w:rsidRDefault="00B17489"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000 376 </w:t>
            </w:r>
            <w:r w:rsidR="00CE6E0B" w:rsidRPr="00A6112B">
              <w:rPr>
                <w:rFonts w:ascii="Arabic Typesetting" w:eastAsia="Arabic Typesetting" w:hAnsi="Arabic Typesetting" w:cs="Arabic Typesetting"/>
                <w:color w:val="000000"/>
                <w:sz w:val="28"/>
                <w:szCs w:val="28"/>
                <w:rtl/>
                <w:lang w:eastAsia="ar-EG" w:bidi="ar-EG"/>
              </w:rPr>
              <w:t>إشعار بالبريد الإلكتروني</w:t>
            </w:r>
          </w:p>
          <w:p w14:paraId="4F0B5CAB"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3912 عميلاً يستخدم أداة إدارة المحفظات</w:t>
            </w:r>
          </w:p>
          <w:p w14:paraId="01EEE118"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30 مكتباً يرسل الطلبات بلغة الترميز الموسعة (</w:t>
            </w:r>
            <w:r w:rsidRPr="00A6112B">
              <w:rPr>
                <w:rFonts w:ascii="Arabic Typesetting" w:eastAsia="Arabic Typesetting" w:hAnsi="Arabic Typesetting" w:cs="Arabic Typesetting"/>
                <w:color w:val="000000"/>
                <w:sz w:val="28"/>
                <w:szCs w:val="28"/>
                <w:lang w:eastAsia="ar-EG" w:bidi="ar-EG"/>
              </w:rPr>
              <w:t>XML</w:t>
            </w:r>
            <w:r w:rsidRPr="00A6112B">
              <w:rPr>
                <w:rFonts w:ascii="Arabic Typesetting" w:eastAsia="Arabic Typesetting" w:hAnsi="Arabic Typesetting" w:cs="Arabic Typesetting"/>
                <w:color w:val="000000"/>
                <w:sz w:val="28"/>
                <w:szCs w:val="28"/>
                <w:rtl/>
                <w:lang w:eastAsia="ar-EG" w:bidi="ar-EG"/>
              </w:rPr>
              <w:t>)</w:t>
            </w:r>
          </w:p>
          <w:p w14:paraId="443E0872"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استمارتان شبكيتان ذكيتان</w:t>
            </w:r>
          </w:p>
          <w:p w14:paraId="1AD6D622" w14:textId="6256B491" w:rsidR="00CE6E0B" w:rsidRDefault="00B17489"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000 725</w:t>
            </w:r>
            <w:r w:rsidR="00CE6E0B" w:rsidRPr="00A6112B">
              <w:rPr>
                <w:rFonts w:ascii="Arabic Typesetting" w:eastAsia="Arabic Typesetting" w:hAnsi="Arabic Typesetting" w:cs="Arabic Typesetting"/>
                <w:color w:val="000000"/>
                <w:sz w:val="28"/>
                <w:szCs w:val="28"/>
                <w:rtl/>
                <w:lang w:eastAsia="ar-EG" w:bidi="ar-EG"/>
              </w:rPr>
              <w:t xml:space="preserve"> وثيقة واردة</w:t>
            </w:r>
          </w:p>
          <w:p w14:paraId="3EE1A33A" w14:textId="5931A179" w:rsidR="00CE6E0B" w:rsidRPr="00A6112B" w:rsidRDefault="00B17489"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000 575 1</w:t>
            </w:r>
            <w:r w:rsidR="00CE6E0B" w:rsidRPr="00A6112B">
              <w:rPr>
                <w:rFonts w:ascii="Arabic Typesetting" w:eastAsia="Arabic Typesetting" w:hAnsi="Arabic Typesetting" w:cs="Arabic Typesetting"/>
                <w:color w:val="000000"/>
                <w:sz w:val="28"/>
                <w:szCs w:val="28"/>
                <w:rtl/>
                <w:lang w:eastAsia="ar-EG" w:bidi="ar-EG"/>
              </w:rPr>
              <w:t xml:space="preserve"> وثيقة صادرة (انخفاض بسبب تراكم القرارات)</w:t>
            </w:r>
          </w:p>
        </w:tc>
        <w:tc>
          <w:tcPr>
            <w:tcW w:w="522" w:type="pct"/>
            <w:shd w:val="clear" w:color="auto" w:fill="auto"/>
            <w:tcMar>
              <w:top w:w="110" w:type="dxa"/>
              <w:left w:w="58" w:type="dxa"/>
              <w:right w:w="58" w:type="dxa"/>
            </w:tcMar>
          </w:tcPr>
          <w:p w14:paraId="713FCFD8" w14:textId="77777777" w:rsidR="00CE6E0B" w:rsidRDefault="00CE6E0B" w:rsidP="0031289D">
            <w:pPr>
              <w:keepNext/>
              <w:keepLines/>
              <w:bidi/>
              <w:spacing w:after="40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38158143" w14:textId="77777777" w:rsidR="00CE6E0B" w:rsidRDefault="00CE6E0B" w:rsidP="0031289D">
            <w:pPr>
              <w:keepNext/>
              <w:keepLines/>
              <w:bidi/>
              <w:spacing w:after="40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2C0CC17B" w14:textId="77777777" w:rsidR="00CE6E0B" w:rsidRDefault="00CE6E0B" w:rsidP="0031289D">
            <w:pPr>
              <w:keepNext/>
              <w:keepLines/>
              <w:bidi/>
              <w:spacing w:after="40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006752DF" w14:textId="77777777" w:rsidR="00CE6E0B" w:rsidRDefault="00CE6E0B" w:rsidP="0031289D">
            <w:pPr>
              <w:keepNext/>
              <w:keepLines/>
              <w:bidi/>
              <w:spacing w:after="66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16E2D78E" w14:textId="77777777" w:rsidR="00CE6E0B" w:rsidRDefault="00CE6E0B" w:rsidP="0031289D">
            <w:pPr>
              <w:keepNext/>
              <w:keepLines/>
              <w:bidi/>
              <w:spacing w:after="120" w:line="280" w:lineRule="exact"/>
              <w:jc w:val="center"/>
              <w:rPr>
                <w:rFonts w:ascii="Arabic Typesetting" w:eastAsia="Arabic Typesetting" w:hAnsi="Arabic Typesetting" w:cs="Arabic Typesetting"/>
                <w:b/>
                <w:color w:val="FF0000"/>
                <w:sz w:val="28"/>
                <w:szCs w:val="28"/>
                <w:lang w:eastAsia="ar-EG" w:bidi="ar-EG"/>
              </w:rPr>
            </w:pPr>
            <w:r w:rsidRPr="00A6112B">
              <w:rPr>
                <w:rFonts w:ascii="Arabic Typesetting" w:eastAsia="Arabic Typesetting" w:hAnsi="Arabic Typesetting" w:cs="Arabic Typesetting"/>
                <w:b/>
                <w:bCs/>
                <w:color w:val="FF0000"/>
                <w:sz w:val="28"/>
                <w:szCs w:val="28"/>
                <w:rtl/>
                <w:lang w:eastAsia="ar-EG" w:bidi="ar-EG"/>
              </w:rPr>
              <w:t>غير ثابت</w:t>
            </w:r>
          </w:p>
          <w:p w14:paraId="17743250" w14:textId="77777777" w:rsidR="00CE6E0B" w:rsidRDefault="00CE6E0B"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5FBAF318" w14:textId="77777777" w:rsidR="00CE6E0B" w:rsidRPr="00F6529E" w:rsidRDefault="00CE6E0B"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tc>
      </w:tr>
      <w:tr w:rsidR="00CE6E0B" w:rsidRPr="00A6112B" w14:paraId="103B8496" w14:textId="77777777" w:rsidTr="00BB3820">
        <w:trPr>
          <w:cantSplit/>
          <w:trHeight w:val="1754"/>
        </w:trPr>
        <w:tc>
          <w:tcPr>
            <w:tcW w:w="1066" w:type="pct"/>
            <w:shd w:val="clear" w:color="auto" w:fill="auto"/>
            <w:tcMar>
              <w:left w:w="58" w:type="dxa"/>
              <w:right w:w="58" w:type="dxa"/>
            </w:tcMar>
          </w:tcPr>
          <w:p w14:paraId="607E16E8"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التقديم المستقر لخدمات تكنولوجيا المعلومات المتطورة من قبل مكاتب نظام مدريد الخلفية</w:t>
            </w:r>
          </w:p>
        </w:tc>
        <w:tc>
          <w:tcPr>
            <w:tcW w:w="1405" w:type="pct"/>
            <w:shd w:val="clear" w:color="auto" w:fill="auto"/>
            <w:tcMar>
              <w:left w:w="58" w:type="dxa"/>
              <w:right w:w="58" w:type="dxa"/>
            </w:tcMar>
          </w:tcPr>
          <w:p w14:paraId="6041B6B8" w14:textId="77777777" w:rsidR="00CE6E0B" w:rsidRDefault="00CE6E0B" w:rsidP="0031289D">
            <w:pPr>
              <w:bidi/>
              <w:spacing w:after="120" w:line="280" w:lineRule="exact"/>
              <w:jc w:val="both"/>
              <w:rPr>
                <w:rFonts w:ascii="Arabic Typesetting" w:eastAsia="Arabic Typesetting" w:hAnsi="Arabic Typesetting" w:cs="Arabic Typesetting"/>
                <w:sz w:val="28"/>
                <w:szCs w:val="28"/>
                <w:lang w:eastAsia="ar-EG" w:bidi="ar-EG"/>
              </w:rPr>
            </w:pPr>
            <w:r w:rsidRPr="00A6112B">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color w:val="002060"/>
                <w:sz w:val="28"/>
                <w:szCs w:val="28"/>
                <w:rtl/>
                <w:lang w:eastAsia="ar-EG" w:bidi="ar-EG"/>
              </w:rPr>
              <w:t>عرض نموذج مرصد مدريد</w:t>
            </w:r>
          </w:p>
          <w:p w14:paraId="540B9506"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i/>
                <w:iCs/>
                <w:sz w:val="28"/>
                <w:szCs w:val="28"/>
                <w:rtl/>
                <w:lang w:eastAsia="ar-EG" w:bidi="ar-EG"/>
              </w:rPr>
              <w:t>‏أساس المقارنة الأصلي:</w:t>
            </w:r>
            <w:r w:rsidRPr="00A6112B">
              <w:rPr>
                <w:rFonts w:ascii="Arabic Typesetting" w:eastAsia="Arabic Typesetting" w:hAnsi="Arabic Typesetting" w:cs="Arabic Typesetting"/>
                <w:i/>
                <w:sz w:val="28"/>
                <w:szCs w:val="28"/>
                <w:lang w:eastAsia="ar-EG" w:bidi="ar-EG"/>
              </w:rPr>
              <w:br/>
            </w:r>
            <w:r w:rsidRPr="00A6112B">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6112B">
              <w:rPr>
                <w:rFonts w:ascii="Arabic Typesetting" w:eastAsia="Arabic Typesetting" w:hAnsi="Arabic Typesetting" w:cs="Arabic Typesetting"/>
                <w:color w:val="000000"/>
                <w:sz w:val="28"/>
                <w:szCs w:val="28"/>
                <w:rtl/>
                <w:lang w:eastAsia="ar-EG" w:bidi="ar-EG"/>
              </w:rPr>
              <w:t>‏عدم انقطاع الخدمة</w:t>
            </w:r>
            <w:r w:rsidRPr="00A6112B">
              <w:rPr>
                <w:rFonts w:ascii="Arabic Typesetting" w:eastAsia="Arabic Typesetting" w:hAnsi="Arabic Typesetting" w:cs="Arabic Typesetting"/>
                <w:color w:val="000000"/>
                <w:sz w:val="28"/>
                <w:szCs w:val="28"/>
                <w:lang w:eastAsia="ar-EG" w:bidi="ar-EG"/>
              </w:rPr>
              <w:br/>
            </w:r>
            <w:r w:rsidRPr="00A6112B">
              <w:rPr>
                <w:rFonts w:ascii="Arabic Typesetting" w:eastAsia="Arabic Typesetting" w:hAnsi="Arabic Typesetting" w:cs="Arabic Typesetting"/>
                <w:color w:val="000000"/>
                <w:sz w:val="28"/>
                <w:szCs w:val="28"/>
                <w:rtl/>
                <w:lang w:eastAsia="ar-EG" w:bidi="ar-EG"/>
              </w:rPr>
              <w:t>(عدد حوادث تكنولوجيا المعلومات</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والاتصالات)</w:t>
            </w:r>
          </w:p>
          <w:p w14:paraId="5B60DB66"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تطبيق التحسينات وإطلاقها في موعدها</w:t>
            </w:r>
          </w:p>
        </w:tc>
        <w:tc>
          <w:tcPr>
            <w:tcW w:w="1081" w:type="pct"/>
            <w:shd w:val="clear" w:color="auto" w:fill="auto"/>
            <w:tcMar>
              <w:top w:w="110" w:type="dxa"/>
              <w:left w:w="58" w:type="dxa"/>
              <w:right w:w="58" w:type="dxa"/>
            </w:tcMar>
          </w:tcPr>
          <w:p w14:paraId="2DCDB830" w14:textId="77777777" w:rsidR="00CE6E0B" w:rsidRDefault="00CE6E0B" w:rsidP="0031289D">
            <w:pPr>
              <w:bidi/>
              <w:spacing w:after="13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‏عدم انقطاع الخدمة</w:t>
            </w:r>
            <w:r w:rsidRPr="00A6112B">
              <w:rPr>
                <w:rFonts w:ascii="Arabic Typesetting" w:eastAsia="Arabic Typesetting" w:hAnsi="Arabic Typesetting" w:cs="Arabic Typesetting"/>
                <w:color w:val="000000"/>
                <w:sz w:val="28"/>
                <w:szCs w:val="28"/>
                <w:lang w:eastAsia="ar-EG" w:bidi="ar-EG"/>
              </w:rPr>
              <w:br/>
            </w:r>
            <w:r w:rsidRPr="00A6112B">
              <w:rPr>
                <w:rFonts w:ascii="Arabic Typesetting" w:eastAsia="Arabic Typesetting" w:hAnsi="Arabic Typesetting" w:cs="Arabic Typesetting"/>
                <w:color w:val="000000"/>
                <w:sz w:val="28"/>
                <w:szCs w:val="28"/>
                <w:rtl/>
                <w:lang w:eastAsia="ar-EG" w:bidi="ar-EG"/>
              </w:rPr>
              <w:t>(عدد حوادث تكنولوجيا المعلومات والاتصالات)</w:t>
            </w:r>
          </w:p>
          <w:p w14:paraId="481FE500"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تطبيق التحسينات وإطلاقها في</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موعدها</w:t>
            </w:r>
          </w:p>
        </w:tc>
        <w:tc>
          <w:tcPr>
            <w:tcW w:w="926" w:type="pct"/>
            <w:shd w:val="clear" w:color="auto" w:fill="FFFFFF"/>
            <w:tcMar>
              <w:top w:w="110" w:type="dxa"/>
              <w:left w:w="58" w:type="dxa"/>
              <w:right w:w="58" w:type="dxa"/>
            </w:tcMar>
          </w:tcPr>
          <w:p w14:paraId="0AA1097E" w14:textId="77777777" w:rsidR="00CE6E0B" w:rsidRDefault="00CE6E0B" w:rsidP="0031289D">
            <w:pPr>
              <w:keepNext/>
              <w:keepLines/>
              <w:bidi/>
              <w:spacing w:after="156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9 حوادث في تكنولوجيا المعلومات والاتصالات</w:t>
            </w:r>
          </w:p>
          <w:p w14:paraId="5EF5EE1B" w14:textId="77777777" w:rsidR="00CE6E0B" w:rsidRPr="00A6112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تطبيق تحسينات محددة وإطلاقها في موعدها وفقاً للمتطلبات المحددة</w:t>
            </w:r>
          </w:p>
        </w:tc>
        <w:tc>
          <w:tcPr>
            <w:tcW w:w="522" w:type="pct"/>
            <w:shd w:val="clear" w:color="auto" w:fill="auto"/>
            <w:tcMar>
              <w:top w:w="110" w:type="dxa"/>
              <w:left w:w="58" w:type="dxa"/>
              <w:right w:w="58" w:type="dxa"/>
            </w:tcMar>
          </w:tcPr>
          <w:p w14:paraId="1BBC58A7" w14:textId="77777777" w:rsidR="00CE6E0B" w:rsidRDefault="00CE6E0B" w:rsidP="0031289D">
            <w:pPr>
              <w:keepNext/>
              <w:keepLines/>
              <w:bidi/>
              <w:spacing w:after="1800" w:line="280" w:lineRule="exact"/>
              <w:jc w:val="center"/>
              <w:rPr>
                <w:rFonts w:ascii="Arabic Typesetting" w:eastAsia="Arabic Typesetting" w:hAnsi="Arabic Typesetting" w:cs="Arabic Typesetting"/>
                <w:b/>
                <w:color w:val="FF0000"/>
                <w:sz w:val="28"/>
                <w:szCs w:val="28"/>
                <w:lang w:eastAsia="ar-EG" w:bidi="ar-EG"/>
              </w:rPr>
            </w:pPr>
            <w:r w:rsidRPr="00A6112B">
              <w:rPr>
                <w:rFonts w:ascii="Arabic Typesetting" w:eastAsia="Arabic Typesetting" w:hAnsi="Arabic Typesetting" w:cs="Arabic Typesetting"/>
                <w:b/>
                <w:bCs/>
                <w:color w:val="FF0000"/>
                <w:sz w:val="28"/>
                <w:szCs w:val="28"/>
                <w:rtl/>
                <w:lang w:eastAsia="ar-EG" w:bidi="ar-EG"/>
              </w:rPr>
              <w:t>غير ثابت</w:t>
            </w:r>
          </w:p>
          <w:p w14:paraId="23A1C627" w14:textId="77777777" w:rsidR="00CE6E0B" w:rsidRPr="00F6529E" w:rsidRDefault="00CE6E0B"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tc>
      </w:tr>
      <w:tr w:rsidR="00CE6E0B" w:rsidRPr="00A6112B" w14:paraId="19771B15" w14:textId="77777777" w:rsidTr="00BB3820">
        <w:trPr>
          <w:cantSplit/>
          <w:trHeight w:val="1754"/>
        </w:trPr>
        <w:tc>
          <w:tcPr>
            <w:tcW w:w="1066" w:type="pct"/>
            <w:shd w:val="clear" w:color="auto" w:fill="auto"/>
            <w:tcMar>
              <w:left w:w="58" w:type="dxa"/>
              <w:right w:w="58" w:type="dxa"/>
            </w:tcMar>
          </w:tcPr>
          <w:p w14:paraId="565A2DBB"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lastRenderedPageBreak/>
              <w:t>إطلاق 3 إصدارات من نظام مدريد لمعلومات التسجيل الدولي (</w:t>
            </w:r>
            <w:r w:rsidRPr="00A6112B">
              <w:rPr>
                <w:rFonts w:ascii="Arabic Typesetting" w:eastAsia="Arabic Typesetting" w:hAnsi="Arabic Typesetting" w:cs="Arabic Typesetting"/>
                <w:color w:val="000000"/>
                <w:sz w:val="28"/>
                <w:szCs w:val="28"/>
                <w:lang w:eastAsia="ar-EG" w:bidi="ar-EG"/>
              </w:rPr>
              <w:t>MIRIS</w:t>
            </w:r>
            <w:r w:rsidRPr="00A6112B">
              <w:rPr>
                <w:rFonts w:ascii="Arabic Typesetting" w:eastAsia="Arabic Typesetting" w:hAnsi="Arabic Typesetting" w:cs="Arabic Typesetting"/>
                <w:color w:val="000000"/>
                <w:sz w:val="28"/>
                <w:szCs w:val="28"/>
                <w:rtl/>
                <w:lang w:eastAsia="ar-EG" w:bidi="ar-EG"/>
              </w:rPr>
              <w:t xml:space="preserve">) و3 إصدارات من خدمة الإيداع الإلكتروني في نظام مدريد (نظام دمج عمليات التسجيل الدولي - </w:t>
            </w:r>
            <w:r w:rsidRPr="00A6112B">
              <w:rPr>
                <w:rFonts w:ascii="Arabic Typesetting" w:eastAsia="Arabic Typesetting" w:hAnsi="Arabic Typesetting" w:cs="Arabic Typesetting"/>
                <w:color w:val="000000"/>
                <w:sz w:val="28"/>
                <w:szCs w:val="28"/>
                <w:lang w:eastAsia="ar-EG" w:bidi="ar-EG"/>
              </w:rPr>
              <w:t>IRPI</w:t>
            </w:r>
            <w:r w:rsidRPr="00A6112B">
              <w:rPr>
                <w:rFonts w:ascii="Arabic Typesetting" w:eastAsia="Arabic Typesetting" w:hAnsi="Arabic Typesetting" w:cs="Arabic Typesetting"/>
                <w:color w:val="000000"/>
                <w:sz w:val="28"/>
                <w:szCs w:val="28"/>
                <w:rtl/>
                <w:lang w:eastAsia="ar-EG" w:bidi="ar-EG"/>
              </w:rPr>
              <w:t>)</w:t>
            </w:r>
          </w:p>
        </w:tc>
        <w:tc>
          <w:tcPr>
            <w:tcW w:w="1405" w:type="pct"/>
            <w:shd w:val="clear" w:color="auto" w:fill="auto"/>
            <w:tcMar>
              <w:left w:w="58" w:type="dxa"/>
              <w:right w:w="58" w:type="dxa"/>
            </w:tcMar>
          </w:tcPr>
          <w:p w14:paraId="5C994476" w14:textId="77777777" w:rsidR="00CE6E0B" w:rsidRPr="00A6112B" w:rsidRDefault="00CE6E0B" w:rsidP="0031289D">
            <w:pPr>
              <w:bidi/>
              <w:spacing w:after="36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 xml:space="preserve">إطلاق نظام </w:t>
            </w:r>
            <w:r>
              <w:rPr>
                <w:rFonts w:ascii="Arabic Typesetting" w:eastAsia="Arabic Typesetting" w:hAnsi="Arabic Typesetting" w:cs="Arabic Typesetting"/>
                <w:color w:val="000000"/>
                <w:sz w:val="28"/>
                <w:szCs w:val="28"/>
                <w:lang w:eastAsia="ar-EG" w:bidi="ar-EG"/>
              </w:rPr>
              <w:t>MIRIS</w:t>
            </w:r>
            <w:r>
              <w:rPr>
                <w:rFonts w:ascii="Arabic Typesetting" w:eastAsia="Arabic Typesetting" w:hAnsi="Arabic Typesetting" w:cs="Arabic Typesetting"/>
                <w:color w:val="000000"/>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و</w:t>
            </w:r>
            <w:r w:rsidRPr="00A6112B">
              <w:rPr>
                <w:rFonts w:ascii="Arabic Typesetting" w:eastAsia="Arabic Typesetting" w:hAnsi="Arabic Typesetting" w:cs="Arabic Typesetting"/>
                <w:color w:val="000000"/>
                <w:sz w:val="28"/>
                <w:szCs w:val="28"/>
                <w:rtl/>
                <w:lang w:eastAsia="ar-EG" w:bidi="ar-EG"/>
              </w:rPr>
              <w:t>إطلاق خدمة الإيداع الإلكتروني في</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نظام</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مدريد</w:t>
            </w:r>
          </w:p>
        </w:tc>
        <w:tc>
          <w:tcPr>
            <w:tcW w:w="1081" w:type="pct"/>
            <w:shd w:val="clear" w:color="auto" w:fill="auto"/>
            <w:tcMar>
              <w:top w:w="110" w:type="dxa"/>
              <w:left w:w="58" w:type="dxa"/>
              <w:right w:w="58" w:type="dxa"/>
            </w:tcMar>
          </w:tcPr>
          <w:p w14:paraId="7EE4416C" w14:textId="77777777" w:rsidR="00CE6E0B" w:rsidRDefault="00CE6E0B" w:rsidP="0031289D">
            <w:pPr>
              <w:bidi/>
              <w:spacing w:after="70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 xml:space="preserve">3 إصدارات جديدة من نظام </w:t>
            </w:r>
            <w:r w:rsidRPr="00A6112B">
              <w:rPr>
                <w:rFonts w:ascii="Arabic Typesetting" w:eastAsia="Arabic Typesetting" w:hAnsi="Arabic Typesetting" w:cs="Arabic Typesetting"/>
                <w:color w:val="000000"/>
                <w:sz w:val="28"/>
                <w:szCs w:val="28"/>
                <w:lang w:eastAsia="ar-EG" w:bidi="ar-EG"/>
              </w:rPr>
              <w:t>MIRIS</w:t>
            </w:r>
          </w:p>
          <w:p w14:paraId="15AED548" w14:textId="77777777" w:rsidR="00CE6E0B" w:rsidRDefault="00CE6E0B" w:rsidP="0031289D">
            <w:pPr>
              <w:bidi/>
              <w:spacing w:after="660" w:line="280" w:lineRule="exact"/>
              <w:rPr>
                <w:rFonts w:ascii="Arabic Typesetting" w:eastAsia="Arabic Typesetting" w:hAnsi="Arabic Typesetting" w:cs="Arabic Typesetting"/>
                <w:color w:val="000000"/>
                <w:sz w:val="28"/>
                <w:szCs w:val="28"/>
                <w:rtl/>
                <w:lang w:eastAsia="ar-EG" w:bidi="ar-EG"/>
              </w:rPr>
            </w:pPr>
            <w:r w:rsidRPr="00A6112B">
              <w:rPr>
                <w:rFonts w:ascii="Arabic Typesetting" w:eastAsia="Arabic Typesetting" w:hAnsi="Arabic Typesetting" w:cs="Arabic Typesetting"/>
                <w:color w:val="000000"/>
                <w:sz w:val="28"/>
                <w:szCs w:val="28"/>
                <w:rtl/>
                <w:lang w:eastAsia="ar-EG" w:bidi="ar-EG"/>
              </w:rPr>
              <w:t>3 إصدارات جديدة من نظام معلومات سجلات التصاميم الدولية (</w:t>
            </w:r>
            <w:r w:rsidRPr="00A6112B">
              <w:rPr>
                <w:rFonts w:ascii="Arabic Typesetting" w:eastAsia="Arabic Typesetting" w:hAnsi="Arabic Typesetting" w:cs="Arabic Typesetting"/>
                <w:color w:val="000000"/>
                <w:sz w:val="28"/>
                <w:szCs w:val="28"/>
                <w:cs/>
                <w:lang w:eastAsia="ar-EG" w:bidi="ar-EG"/>
              </w:rPr>
              <w:t>‎</w:t>
            </w:r>
            <w:r w:rsidRPr="00A6112B">
              <w:rPr>
                <w:rFonts w:ascii="Arabic Typesetting" w:eastAsia="Arabic Typesetting" w:hAnsi="Arabic Typesetting" w:cs="Arabic Typesetting"/>
                <w:color w:val="000000"/>
                <w:sz w:val="28"/>
                <w:szCs w:val="28"/>
                <w:rtl/>
                <w:cs/>
                <w:lang w:eastAsia="ar-EG" w:bidi="ar-EG"/>
              </w:rPr>
              <w:t>DIRIS</w:t>
            </w:r>
            <w:r w:rsidRPr="00A6112B">
              <w:rPr>
                <w:rFonts w:ascii="Arabic Typesetting" w:eastAsia="Arabic Typesetting" w:hAnsi="Arabic Typesetting" w:cs="Arabic Typesetting"/>
                <w:color w:val="000000"/>
                <w:sz w:val="28"/>
                <w:szCs w:val="28"/>
                <w:rtl/>
                <w:lang w:eastAsia="ar-EG" w:bidi="ar-EG"/>
              </w:rPr>
              <w:t>‏)</w:t>
            </w:r>
          </w:p>
          <w:p w14:paraId="6F38E72C" w14:textId="77777777" w:rsidR="00CE6E0B" w:rsidRPr="00A6112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إصدار جديد</w:t>
            </w:r>
            <w:r w:rsidRPr="00A6112B">
              <w:rPr>
                <w:rFonts w:ascii="Arabic Typesetting" w:eastAsia="Arabic Typesetting" w:hAnsi="Arabic Typesetting" w:cs="Arabic Typesetting"/>
                <w:color w:val="000000"/>
                <w:sz w:val="28"/>
                <w:szCs w:val="28"/>
                <w:rtl/>
                <w:lang w:eastAsia="ar-EG" w:bidi="ar-EG"/>
              </w:rPr>
              <w:t xml:space="preserve"> لخدمة الإيداع الإلكتروني في نظام مدريد</w:t>
            </w:r>
          </w:p>
        </w:tc>
        <w:tc>
          <w:tcPr>
            <w:tcW w:w="926" w:type="pct"/>
            <w:shd w:val="clear" w:color="auto" w:fill="FFFFFF"/>
            <w:tcMar>
              <w:top w:w="110" w:type="dxa"/>
              <w:left w:w="58" w:type="dxa"/>
              <w:right w:w="58" w:type="dxa"/>
            </w:tcMar>
          </w:tcPr>
          <w:p w14:paraId="75096FC7"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 xml:space="preserve">تطبيق تحسينات محددة على نظام </w:t>
            </w:r>
            <w:r w:rsidRPr="00A6112B">
              <w:rPr>
                <w:rFonts w:ascii="Arabic Typesetting" w:eastAsia="Arabic Typesetting" w:hAnsi="Arabic Typesetting" w:cs="Arabic Typesetting"/>
                <w:color w:val="000000"/>
                <w:sz w:val="28"/>
                <w:szCs w:val="28"/>
                <w:lang w:eastAsia="ar-EG" w:bidi="ar-EG"/>
              </w:rPr>
              <w:t>MIRIS</w:t>
            </w:r>
            <w:r w:rsidRPr="00A6112B">
              <w:rPr>
                <w:rFonts w:ascii="Arabic Typesetting" w:eastAsia="Arabic Typesetting" w:hAnsi="Arabic Typesetting" w:cs="Arabic Typesetting"/>
                <w:color w:val="000000"/>
                <w:sz w:val="28"/>
                <w:szCs w:val="28"/>
                <w:rtl/>
                <w:lang w:eastAsia="ar-EG" w:bidi="ar-EG"/>
              </w:rPr>
              <w:t xml:space="preserve"> وإطلاقها في موعدها وفقاً للمتطلبات المحددة</w:t>
            </w:r>
          </w:p>
          <w:p w14:paraId="06121B9C" w14:textId="77777777" w:rsidR="00CE6E0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بدأ العمل في نهاية عام 2016 على منصة لاهاي المعلوماتية لتحل محل نظام معلومات سجلات التصاميم الدولية (</w:t>
            </w:r>
            <w:r w:rsidRPr="00A6112B">
              <w:rPr>
                <w:rFonts w:ascii="Arabic Typesetting" w:eastAsia="Arabic Typesetting" w:hAnsi="Arabic Typesetting" w:cs="Arabic Typesetting"/>
                <w:color w:val="000000"/>
                <w:sz w:val="28"/>
                <w:szCs w:val="28"/>
                <w:cs/>
                <w:lang w:eastAsia="ar-EG" w:bidi="ar-EG"/>
              </w:rPr>
              <w:t>‎</w:t>
            </w:r>
            <w:r w:rsidRPr="00A6112B">
              <w:rPr>
                <w:rFonts w:ascii="Arabic Typesetting" w:eastAsia="Arabic Typesetting" w:hAnsi="Arabic Typesetting" w:cs="Arabic Typesetting"/>
                <w:color w:val="000000"/>
                <w:sz w:val="28"/>
                <w:szCs w:val="28"/>
                <w:rtl/>
                <w:cs/>
                <w:lang w:eastAsia="ar-EG" w:bidi="ar-EG"/>
              </w:rPr>
              <w:t>DIRIS</w:t>
            </w:r>
            <w:r w:rsidRPr="00A6112B">
              <w:rPr>
                <w:rFonts w:ascii="Arabic Typesetting" w:eastAsia="Arabic Typesetting" w:hAnsi="Arabic Typesetting" w:cs="Arabic Typesetting"/>
                <w:color w:val="000000"/>
                <w:sz w:val="28"/>
                <w:szCs w:val="28"/>
                <w:rtl/>
                <w:lang w:eastAsia="ar-EG" w:bidi="ar-EG"/>
              </w:rPr>
              <w:t>‏).</w:t>
            </w:r>
          </w:p>
          <w:p w14:paraId="7FB9DBF3" w14:textId="77777777" w:rsidR="00CE6E0B" w:rsidRPr="00A6112B"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6112B">
              <w:rPr>
                <w:rFonts w:ascii="Arabic Typesetting" w:eastAsia="Arabic Typesetting" w:hAnsi="Arabic Typesetting" w:cs="Arabic Typesetting"/>
                <w:color w:val="000000"/>
                <w:sz w:val="28"/>
                <w:szCs w:val="28"/>
                <w:rtl/>
                <w:lang w:eastAsia="ar-EG" w:bidi="ar-EG"/>
              </w:rPr>
              <w:t>أُطلق إصدار رئيسي لنظام الإيداع الإلكتروني في</w:t>
            </w:r>
            <w:r>
              <w:rPr>
                <w:rFonts w:ascii="Arabic Typesetting" w:eastAsia="Arabic Typesetting" w:hAnsi="Arabic Typesetting" w:cs="Arabic Typesetting" w:hint="cs"/>
                <w:color w:val="000000"/>
                <w:sz w:val="28"/>
                <w:szCs w:val="28"/>
                <w:rtl/>
                <w:lang w:eastAsia="ar-EG" w:bidi="ar-EG"/>
              </w:rPr>
              <w:t> </w:t>
            </w:r>
            <w:r w:rsidRPr="00A6112B">
              <w:rPr>
                <w:rFonts w:ascii="Arabic Typesetting" w:eastAsia="Arabic Typesetting" w:hAnsi="Arabic Typesetting" w:cs="Arabic Typesetting"/>
                <w:color w:val="000000"/>
                <w:sz w:val="28"/>
                <w:szCs w:val="28"/>
                <w:rtl/>
                <w:lang w:eastAsia="ar-EG" w:bidi="ar-EG"/>
              </w:rPr>
              <w:t>2016</w:t>
            </w:r>
          </w:p>
        </w:tc>
        <w:tc>
          <w:tcPr>
            <w:tcW w:w="522" w:type="pct"/>
            <w:shd w:val="clear" w:color="auto" w:fill="auto"/>
            <w:tcMar>
              <w:top w:w="110" w:type="dxa"/>
              <w:left w:w="58" w:type="dxa"/>
              <w:right w:w="58" w:type="dxa"/>
            </w:tcMar>
          </w:tcPr>
          <w:p w14:paraId="183806E5" w14:textId="77777777" w:rsidR="00CE6E0B" w:rsidRDefault="00CE6E0B" w:rsidP="0031289D">
            <w:pPr>
              <w:keepNext/>
              <w:keepLines/>
              <w:bidi/>
              <w:spacing w:after="96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p w14:paraId="386D3E5B" w14:textId="77777777" w:rsidR="00CE6E0B" w:rsidRDefault="00CE6E0B" w:rsidP="0031289D">
            <w:pPr>
              <w:keepNext/>
              <w:keepLines/>
              <w:bidi/>
              <w:spacing w:after="1200" w:line="280" w:lineRule="exact"/>
              <w:jc w:val="center"/>
              <w:rPr>
                <w:rFonts w:ascii="Arabic Typesetting" w:eastAsia="Arabic Typesetting" w:hAnsi="Arabic Typesetting" w:cs="Arabic Typesetting"/>
                <w:b/>
                <w:color w:val="000000"/>
                <w:sz w:val="28"/>
                <w:szCs w:val="28"/>
                <w:lang w:eastAsia="ar-EG" w:bidi="ar-EG"/>
              </w:rPr>
            </w:pPr>
            <w:r w:rsidRPr="00A6112B">
              <w:rPr>
                <w:rFonts w:ascii="Arabic Typesetting" w:eastAsia="Arabic Typesetting" w:hAnsi="Arabic Typesetting" w:cs="Arabic Typesetting"/>
                <w:b/>
                <w:bCs/>
                <w:color w:val="000000"/>
                <w:sz w:val="28"/>
                <w:szCs w:val="28"/>
                <w:rtl/>
                <w:lang w:eastAsia="ar-EG" w:bidi="ar-EG"/>
              </w:rPr>
              <w:t>‏منقطع</w:t>
            </w:r>
          </w:p>
          <w:p w14:paraId="51FE079E" w14:textId="77777777" w:rsidR="00CE6E0B" w:rsidRPr="00F6529E" w:rsidRDefault="00CE6E0B"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6112B">
              <w:rPr>
                <w:rFonts w:ascii="Arabic Typesetting" w:eastAsia="Arabic Typesetting" w:hAnsi="Arabic Typesetting" w:cs="Arabic Typesetting"/>
                <w:b/>
                <w:bCs/>
                <w:color w:val="00B050"/>
                <w:sz w:val="28"/>
                <w:szCs w:val="28"/>
                <w:rtl/>
                <w:lang w:eastAsia="ar-EG" w:bidi="ar-EG"/>
              </w:rPr>
              <w:t>ثابت</w:t>
            </w:r>
          </w:p>
        </w:tc>
      </w:tr>
    </w:tbl>
    <w:p w14:paraId="0956B093" w14:textId="77777777" w:rsidR="00CE6E0B" w:rsidRDefault="00CE6E0B" w:rsidP="0031289D">
      <w:pPr>
        <w:bidi/>
      </w:pPr>
    </w:p>
    <w:tbl>
      <w:tblPr>
        <w:tblStyle w:val="TableGrid"/>
        <w:bidiVisual/>
        <w:tblW w:w="0" w:type="auto"/>
        <w:tblLook w:val="04A0" w:firstRow="1" w:lastRow="0" w:firstColumn="1" w:lastColumn="0" w:noHBand="0" w:noVBand="1"/>
      </w:tblPr>
      <w:tblGrid>
        <w:gridCol w:w="9571"/>
      </w:tblGrid>
      <w:tr w:rsidR="00CE6E0B" w14:paraId="453436B8" w14:textId="77777777" w:rsidTr="00BB3820">
        <w:tc>
          <w:tcPr>
            <w:tcW w:w="9571" w:type="dxa"/>
            <w:tcBorders>
              <w:top w:val="nil"/>
              <w:left w:val="nil"/>
              <w:bottom w:val="nil"/>
              <w:right w:val="nil"/>
            </w:tcBorders>
            <w:shd w:val="clear" w:color="auto" w:fill="C6D9F1"/>
            <w:vAlign w:val="center"/>
          </w:tcPr>
          <w:p w14:paraId="5DC0B6DD" w14:textId="77777777" w:rsidR="00CE6E0B" w:rsidRPr="00A2672B" w:rsidRDefault="00CE6E0B"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6</w:t>
            </w:r>
          </w:p>
        </w:tc>
      </w:tr>
    </w:tbl>
    <w:p w14:paraId="7F240309" w14:textId="77777777" w:rsidR="00CE6E0B" w:rsidRPr="00FE3908"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23957A70" w14:textId="77777777" w:rsidR="00CE6E0B" w:rsidRDefault="00CE6E0B"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E6E0B" w:rsidRPr="00211D55" w14:paraId="55ACB394"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3886F26E"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2C0F3456"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5E57A0EE" w14:textId="77777777" w:rsidR="00CE6E0B" w:rsidRPr="00A2672B" w:rsidRDefault="00CE6E0B"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62C5B48F"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CE6E0B" w:rsidRPr="00211D55" w14:paraId="0DA3FF0A" w14:textId="77777777" w:rsidTr="00BB3820">
        <w:trPr>
          <w:trHeight w:val="55"/>
        </w:trPr>
        <w:tc>
          <w:tcPr>
            <w:tcW w:w="413" w:type="pct"/>
            <w:shd w:val="clear" w:color="auto" w:fill="auto"/>
            <w:noWrap/>
            <w:tcMar>
              <w:top w:w="15" w:type="dxa"/>
              <w:left w:w="15" w:type="dxa"/>
              <w:bottom w:w="0" w:type="dxa"/>
              <w:right w:w="15" w:type="dxa"/>
            </w:tcMar>
          </w:tcPr>
          <w:p w14:paraId="5D72289A" w14:textId="77777777" w:rsidR="00CE6E0B" w:rsidRPr="00A6112B" w:rsidRDefault="00CE6E0B" w:rsidP="0031289D">
            <w:pPr>
              <w:bidi/>
              <w:spacing w:before="120" w:after="120"/>
              <w:rPr>
                <w:rFonts w:ascii="Arabic Typesetting" w:hAnsi="Arabic Typesetting" w:cs="Arabic Typesetting"/>
                <w:sz w:val="28"/>
                <w:szCs w:val="28"/>
              </w:rPr>
            </w:pPr>
            <w:r w:rsidRPr="00A6112B">
              <w:rPr>
                <w:rFonts w:ascii="Arabic Typesetting" w:hAnsi="Arabic Typesetting" w:cs="Arabic Typesetting"/>
                <w:sz w:val="28"/>
                <w:szCs w:val="28"/>
                <w:rtl/>
              </w:rPr>
              <w:t>ه6.2</w:t>
            </w:r>
          </w:p>
        </w:tc>
        <w:tc>
          <w:tcPr>
            <w:tcW w:w="2340" w:type="pct"/>
            <w:shd w:val="clear" w:color="auto" w:fill="auto"/>
            <w:tcMar>
              <w:top w:w="15" w:type="dxa"/>
              <w:left w:w="15" w:type="dxa"/>
              <w:bottom w:w="0" w:type="dxa"/>
              <w:right w:w="15" w:type="dxa"/>
            </w:tcMar>
          </w:tcPr>
          <w:p w14:paraId="7F8C951A" w14:textId="77777777" w:rsidR="00CE6E0B" w:rsidRPr="00A6112B" w:rsidRDefault="00CE6E0B" w:rsidP="0031289D">
            <w:pPr>
              <w:bidi/>
              <w:spacing w:before="120" w:after="120"/>
              <w:rPr>
                <w:rFonts w:ascii="Arabic Typesetting" w:hAnsi="Arabic Typesetting" w:cs="Arabic Typesetting"/>
                <w:sz w:val="28"/>
                <w:szCs w:val="28"/>
              </w:rPr>
            </w:pPr>
            <w:r w:rsidRPr="00A6112B">
              <w:rPr>
                <w:rFonts w:ascii="Arabic Typesetting" w:hAnsi="Arabic Typesetting" w:cs="Arabic Typesetting"/>
                <w:sz w:val="28"/>
                <w:szCs w:val="28"/>
                <w:rtl/>
              </w:rPr>
              <w:t>استخدام نظام مدريد على نطاق أوسع وبفعالية أكبر، بما في ذلك من قبل البلدان النامية والبلدان الأقل نموا</w:t>
            </w:r>
          </w:p>
        </w:tc>
        <w:tc>
          <w:tcPr>
            <w:tcW w:w="749" w:type="pct"/>
            <w:shd w:val="clear" w:color="auto" w:fill="auto"/>
            <w:tcMar>
              <w:top w:w="15" w:type="dxa"/>
              <w:left w:w="15" w:type="dxa"/>
              <w:bottom w:w="0" w:type="dxa"/>
              <w:right w:w="15" w:type="dxa"/>
            </w:tcMar>
            <w:vAlign w:val="center"/>
          </w:tcPr>
          <w:p w14:paraId="4F40FBA2" w14:textId="77777777" w:rsidR="00CE6E0B" w:rsidRPr="00A6112B" w:rsidRDefault="00CE6E0B" w:rsidP="0031289D">
            <w:pPr>
              <w:jc w:val="center"/>
              <w:rPr>
                <w:rFonts w:ascii="Arabic Typesetting" w:hAnsi="Arabic Typesetting" w:cs="Arabic Typesetting"/>
                <w:color w:val="000000"/>
                <w:sz w:val="28"/>
                <w:szCs w:val="28"/>
              </w:rPr>
            </w:pPr>
            <w:r w:rsidRPr="00A6112B">
              <w:rPr>
                <w:rFonts w:ascii="Arabic Typesetting" w:hAnsi="Arabic Typesetting" w:cs="Arabic Typesetting"/>
                <w:color w:val="000000"/>
                <w:sz w:val="28"/>
                <w:szCs w:val="28"/>
              </w:rPr>
              <w:t>15</w:t>
            </w:r>
            <w:r>
              <w:rPr>
                <w:rFonts w:ascii="Arabic Typesetting" w:hAnsi="Arabic Typesetting" w:cs="Arabic Typesetting"/>
                <w:color w:val="000000"/>
                <w:sz w:val="28"/>
                <w:szCs w:val="28"/>
              </w:rPr>
              <w:t> </w:t>
            </w:r>
            <w:r w:rsidRPr="00A6112B">
              <w:rPr>
                <w:rFonts w:ascii="Arabic Typesetting" w:hAnsi="Arabic Typesetting" w:cs="Arabic Typesetting"/>
                <w:color w:val="000000"/>
                <w:sz w:val="28"/>
                <w:szCs w:val="28"/>
              </w:rPr>
              <w:t>755</w:t>
            </w:r>
          </w:p>
        </w:tc>
        <w:tc>
          <w:tcPr>
            <w:tcW w:w="749" w:type="pct"/>
            <w:shd w:val="clear" w:color="auto" w:fill="auto"/>
            <w:tcMar>
              <w:top w:w="15" w:type="dxa"/>
              <w:left w:w="15" w:type="dxa"/>
              <w:bottom w:w="0" w:type="dxa"/>
              <w:right w:w="15" w:type="dxa"/>
            </w:tcMar>
            <w:vAlign w:val="center"/>
          </w:tcPr>
          <w:p w14:paraId="0B0252FE" w14:textId="77777777" w:rsidR="00CE6E0B" w:rsidRPr="00A6112B" w:rsidRDefault="00CE6E0B" w:rsidP="0031289D">
            <w:pPr>
              <w:jc w:val="center"/>
              <w:rPr>
                <w:rFonts w:ascii="Arabic Typesetting" w:hAnsi="Arabic Typesetting" w:cs="Arabic Typesetting"/>
                <w:color w:val="000000"/>
                <w:sz w:val="28"/>
                <w:szCs w:val="28"/>
              </w:rPr>
            </w:pPr>
            <w:r w:rsidRPr="00A6112B">
              <w:rPr>
                <w:rFonts w:ascii="Arabic Typesetting" w:hAnsi="Arabic Typesetting" w:cs="Arabic Typesetting"/>
                <w:color w:val="000000"/>
                <w:sz w:val="28"/>
                <w:szCs w:val="28"/>
              </w:rPr>
              <w:t>16</w:t>
            </w:r>
            <w:r>
              <w:rPr>
                <w:rFonts w:ascii="Arabic Typesetting" w:hAnsi="Arabic Typesetting" w:cs="Arabic Typesetting"/>
                <w:color w:val="000000"/>
                <w:sz w:val="28"/>
                <w:szCs w:val="28"/>
              </w:rPr>
              <w:t> </w:t>
            </w:r>
            <w:r w:rsidRPr="00A6112B">
              <w:rPr>
                <w:rFonts w:ascii="Arabic Typesetting" w:hAnsi="Arabic Typesetting" w:cs="Arabic Typesetting"/>
                <w:color w:val="000000"/>
                <w:sz w:val="28"/>
                <w:szCs w:val="28"/>
              </w:rPr>
              <w:t>326</w:t>
            </w:r>
          </w:p>
        </w:tc>
        <w:tc>
          <w:tcPr>
            <w:tcW w:w="749" w:type="pct"/>
            <w:shd w:val="clear" w:color="auto" w:fill="auto"/>
            <w:noWrap/>
            <w:tcMar>
              <w:top w:w="15" w:type="dxa"/>
              <w:left w:w="15" w:type="dxa"/>
              <w:bottom w:w="0" w:type="dxa"/>
              <w:right w:w="15" w:type="dxa"/>
            </w:tcMar>
            <w:vAlign w:val="center"/>
          </w:tcPr>
          <w:p w14:paraId="73368548" w14:textId="77777777" w:rsidR="00CE6E0B" w:rsidRPr="00A6112B" w:rsidRDefault="00CE6E0B" w:rsidP="0031289D">
            <w:pPr>
              <w:jc w:val="center"/>
              <w:rPr>
                <w:rFonts w:ascii="Arabic Typesetting" w:hAnsi="Arabic Typesetting" w:cs="Arabic Typesetting"/>
                <w:color w:val="000000"/>
                <w:sz w:val="28"/>
                <w:szCs w:val="28"/>
              </w:rPr>
            </w:pPr>
            <w:r w:rsidRPr="00A6112B">
              <w:rPr>
                <w:rFonts w:ascii="Arabic Typesetting" w:hAnsi="Arabic Typesetting" w:cs="Arabic Typesetting"/>
                <w:color w:val="000000"/>
                <w:sz w:val="28"/>
                <w:szCs w:val="28"/>
              </w:rPr>
              <w:t>7</w:t>
            </w:r>
            <w:r>
              <w:rPr>
                <w:rFonts w:ascii="Arabic Typesetting" w:hAnsi="Arabic Typesetting" w:cs="Arabic Typesetting"/>
                <w:color w:val="000000"/>
                <w:sz w:val="28"/>
                <w:szCs w:val="28"/>
              </w:rPr>
              <w:t> </w:t>
            </w:r>
            <w:r w:rsidRPr="00A6112B">
              <w:rPr>
                <w:rFonts w:ascii="Arabic Typesetting" w:hAnsi="Arabic Typesetting" w:cs="Arabic Typesetting"/>
                <w:color w:val="000000"/>
                <w:sz w:val="28"/>
                <w:szCs w:val="28"/>
              </w:rPr>
              <w:t>664</w:t>
            </w:r>
          </w:p>
        </w:tc>
      </w:tr>
      <w:tr w:rsidR="00CE6E0B" w:rsidRPr="00211D55" w14:paraId="69A2FCC0" w14:textId="77777777" w:rsidTr="00BB3820">
        <w:trPr>
          <w:trHeight w:val="55"/>
        </w:trPr>
        <w:tc>
          <w:tcPr>
            <w:tcW w:w="413" w:type="pct"/>
            <w:shd w:val="clear" w:color="auto" w:fill="auto"/>
            <w:noWrap/>
            <w:tcMar>
              <w:top w:w="15" w:type="dxa"/>
              <w:left w:w="15" w:type="dxa"/>
              <w:bottom w:w="0" w:type="dxa"/>
              <w:right w:w="15" w:type="dxa"/>
            </w:tcMar>
          </w:tcPr>
          <w:p w14:paraId="677BDB0D" w14:textId="77777777" w:rsidR="00CE6E0B" w:rsidRPr="00A6112B" w:rsidRDefault="00CE6E0B" w:rsidP="0031289D">
            <w:pPr>
              <w:bidi/>
              <w:spacing w:before="120" w:after="120"/>
              <w:rPr>
                <w:rFonts w:ascii="Arabic Typesetting" w:hAnsi="Arabic Typesetting" w:cs="Arabic Typesetting"/>
                <w:sz w:val="28"/>
                <w:szCs w:val="28"/>
              </w:rPr>
            </w:pPr>
            <w:r w:rsidRPr="00A6112B">
              <w:rPr>
                <w:rFonts w:ascii="Arabic Typesetting" w:hAnsi="Arabic Typesetting" w:cs="Arabic Typesetting"/>
                <w:sz w:val="28"/>
                <w:szCs w:val="28"/>
                <w:rtl/>
              </w:rPr>
              <w:t>ه7.2</w:t>
            </w:r>
          </w:p>
        </w:tc>
        <w:tc>
          <w:tcPr>
            <w:tcW w:w="2340" w:type="pct"/>
            <w:shd w:val="clear" w:color="auto" w:fill="auto"/>
            <w:tcMar>
              <w:top w:w="15" w:type="dxa"/>
              <w:left w:w="15" w:type="dxa"/>
              <w:bottom w:w="0" w:type="dxa"/>
              <w:right w:w="15" w:type="dxa"/>
            </w:tcMar>
          </w:tcPr>
          <w:p w14:paraId="158F7950" w14:textId="77777777" w:rsidR="00CE6E0B" w:rsidRPr="00A6112B" w:rsidRDefault="00CE6E0B" w:rsidP="0031289D">
            <w:pPr>
              <w:bidi/>
              <w:spacing w:before="120" w:after="120"/>
              <w:rPr>
                <w:rFonts w:ascii="Arabic Typesetting" w:hAnsi="Arabic Typesetting" w:cs="Arabic Typesetting"/>
                <w:sz w:val="28"/>
                <w:szCs w:val="28"/>
              </w:rPr>
            </w:pPr>
            <w:r w:rsidRPr="00A6112B">
              <w:rPr>
                <w:rFonts w:ascii="Arabic Typesetting" w:hAnsi="Arabic Typesetting" w:cs="Arabic Typesetting"/>
                <w:sz w:val="28"/>
                <w:szCs w:val="28"/>
                <w:rtl/>
              </w:rPr>
              <w:t>إنتاجية وجودة خدمات محسّنة في عمليات نظام مدريد</w:t>
            </w:r>
          </w:p>
        </w:tc>
        <w:tc>
          <w:tcPr>
            <w:tcW w:w="749" w:type="pct"/>
            <w:shd w:val="clear" w:color="auto" w:fill="auto"/>
            <w:tcMar>
              <w:top w:w="15" w:type="dxa"/>
              <w:left w:w="15" w:type="dxa"/>
              <w:bottom w:w="0" w:type="dxa"/>
              <w:right w:w="15" w:type="dxa"/>
            </w:tcMar>
            <w:vAlign w:val="center"/>
          </w:tcPr>
          <w:p w14:paraId="3C2DA1A4" w14:textId="77777777" w:rsidR="00CE6E0B" w:rsidRPr="00A6112B" w:rsidRDefault="00CE6E0B" w:rsidP="0031289D">
            <w:pPr>
              <w:jc w:val="center"/>
              <w:rPr>
                <w:rFonts w:ascii="Arabic Typesetting" w:hAnsi="Arabic Typesetting" w:cs="Arabic Typesetting"/>
                <w:color w:val="000000"/>
                <w:sz w:val="28"/>
                <w:szCs w:val="28"/>
              </w:rPr>
            </w:pPr>
            <w:r w:rsidRPr="00A6112B">
              <w:rPr>
                <w:rFonts w:ascii="Arabic Typesetting" w:hAnsi="Arabic Typesetting" w:cs="Arabic Typesetting"/>
                <w:color w:val="000000"/>
                <w:sz w:val="28"/>
                <w:szCs w:val="28"/>
              </w:rPr>
              <w:t>42</w:t>
            </w:r>
            <w:r>
              <w:rPr>
                <w:rFonts w:ascii="Arabic Typesetting" w:hAnsi="Arabic Typesetting" w:cs="Arabic Typesetting"/>
                <w:color w:val="000000"/>
                <w:sz w:val="28"/>
                <w:szCs w:val="28"/>
              </w:rPr>
              <w:t> </w:t>
            </w:r>
            <w:r w:rsidRPr="00A6112B">
              <w:rPr>
                <w:rFonts w:ascii="Arabic Typesetting" w:hAnsi="Arabic Typesetting" w:cs="Arabic Typesetting"/>
                <w:color w:val="000000"/>
                <w:sz w:val="28"/>
                <w:szCs w:val="28"/>
              </w:rPr>
              <w:t>253</w:t>
            </w:r>
          </w:p>
        </w:tc>
        <w:tc>
          <w:tcPr>
            <w:tcW w:w="749" w:type="pct"/>
            <w:shd w:val="clear" w:color="auto" w:fill="auto"/>
            <w:tcMar>
              <w:top w:w="15" w:type="dxa"/>
              <w:left w:w="15" w:type="dxa"/>
              <w:bottom w:w="0" w:type="dxa"/>
              <w:right w:w="15" w:type="dxa"/>
            </w:tcMar>
            <w:vAlign w:val="center"/>
          </w:tcPr>
          <w:p w14:paraId="3D9EF788" w14:textId="77777777" w:rsidR="00CE6E0B" w:rsidRPr="00A6112B" w:rsidRDefault="00CE6E0B" w:rsidP="0031289D">
            <w:pPr>
              <w:jc w:val="center"/>
              <w:rPr>
                <w:rFonts w:ascii="Arabic Typesetting" w:hAnsi="Arabic Typesetting" w:cs="Arabic Typesetting"/>
                <w:color w:val="000000"/>
                <w:sz w:val="28"/>
                <w:szCs w:val="28"/>
              </w:rPr>
            </w:pPr>
            <w:r w:rsidRPr="00A6112B">
              <w:rPr>
                <w:rFonts w:ascii="Arabic Typesetting" w:hAnsi="Arabic Typesetting" w:cs="Arabic Typesetting"/>
                <w:color w:val="000000"/>
                <w:sz w:val="28"/>
                <w:szCs w:val="28"/>
              </w:rPr>
              <w:t>41</w:t>
            </w:r>
            <w:r>
              <w:rPr>
                <w:rFonts w:ascii="Arabic Typesetting" w:hAnsi="Arabic Typesetting" w:cs="Arabic Typesetting"/>
                <w:color w:val="000000"/>
                <w:sz w:val="28"/>
                <w:szCs w:val="28"/>
              </w:rPr>
              <w:t> </w:t>
            </w:r>
            <w:r w:rsidRPr="00A6112B">
              <w:rPr>
                <w:rFonts w:ascii="Arabic Typesetting" w:hAnsi="Arabic Typesetting" w:cs="Arabic Typesetting"/>
                <w:color w:val="000000"/>
                <w:sz w:val="28"/>
                <w:szCs w:val="28"/>
              </w:rPr>
              <w:t>736</w:t>
            </w:r>
          </w:p>
        </w:tc>
        <w:tc>
          <w:tcPr>
            <w:tcW w:w="749" w:type="pct"/>
            <w:shd w:val="clear" w:color="auto" w:fill="auto"/>
            <w:noWrap/>
            <w:tcMar>
              <w:top w:w="15" w:type="dxa"/>
              <w:left w:w="15" w:type="dxa"/>
              <w:bottom w:w="0" w:type="dxa"/>
              <w:right w:w="15" w:type="dxa"/>
            </w:tcMar>
            <w:vAlign w:val="center"/>
          </w:tcPr>
          <w:p w14:paraId="168AE5EA" w14:textId="77777777" w:rsidR="00CE6E0B" w:rsidRPr="00A6112B" w:rsidRDefault="00CE6E0B" w:rsidP="0031289D">
            <w:pPr>
              <w:jc w:val="center"/>
              <w:rPr>
                <w:rFonts w:ascii="Arabic Typesetting" w:hAnsi="Arabic Typesetting" w:cs="Arabic Typesetting"/>
                <w:color w:val="000000"/>
                <w:sz w:val="28"/>
                <w:szCs w:val="28"/>
              </w:rPr>
            </w:pPr>
            <w:r w:rsidRPr="00A6112B">
              <w:rPr>
                <w:rFonts w:ascii="Arabic Typesetting" w:hAnsi="Arabic Typesetting" w:cs="Arabic Typesetting"/>
                <w:color w:val="000000"/>
                <w:sz w:val="28"/>
                <w:szCs w:val="28"/>
              </w:rPr>
              <w:t>19</w:t>
            </w:r>
            <w:r>
              <w:rPr>
                <w:rFonts w:ascii="Arabic Typesetting" w:hAnsi="Arabic Typesetting" w:cs="Arabic Typesetting"/>
                <w:color w:val="000000"/>
                <w:sz w:val="28"/>
                <w:szCs w:val="28"/>
              </w:rPr>
              <w:t> </w:t>
            </w:r>
            <w:r w:rsidRPr="00A6112B">
              <w:rPr>
                <w:rFonts w:ascii="Arabic Typesetting" w:hAnsi="Arabic Typesetting" w:cs="Arabic Typesetting"/>
                <w:color w:val="000000"/>
                <w:sz w:val="28"/>
                <w:szCs w:val="28"/>
              </w:rPr>
              <w:t>075</w:t>
            </w:r>
          </w:p>
        </w:tc>
      </w:tr>
      <w:tr w:rsidR="00CE6E0B" w:rsidRPr="00211D55" w14:paraId="4EC0FA3A" w14:textId="77777777" w:rsidTr="00BB3820">
        <w:trPr>
          <w:trHeight w:val="735"/>
        </w:trPr>
        <w:tc>
          <w:tcPr>
            <w:tcW w:w="413" w:type="pct"/>
            <w:shd w:val="clear" w:color="auto" w:fill="auto"/>
            <w:noWrap/>
            <w:tcMar>
              <w:top w:w="15" w:type="dxa"/>
              <w:left w:w="15" w:type="dxa"/>
              <w:bottom w:w="0" w:type="dxa"/>
              <w:right w:w="15" w:type="dxa"/>
            </w:tcMar>
          </w:tcPr>
          <w:p w14:paraId="2CC73B2D" w14:textId="77777777" w:rsidR="00CE6E0B" w:rsidRPr="00A6112B" w:rsidRDefault="00CE6E0B" w:rsidP="0031289D">
            <w:pPr>
              <w:bidi/>
              <w:spacing w:before="120" w:after="120"/>
              <w:rPr>
                <w:rFonts w:ascii="Arabic Typesetting" w:hAnsi="Arabic Typesetting" w:cs="Arabic Typesetting"/>
                <w:sz w:val="28"/>
                <w:szCs w:val="28"/>
              </w:rPr>
            </w:pPr>
            <w:r w:rsidRPr="00A6112B">
              <w:rPr>
                <w:rFonts w:ascii="Arabic Typesetting" w:hAnsi="Arabic Typesetting" w:cs="Arabic Typesetting"/>
                <w:sz w:val="28"/>
                <w:szCs w:val="28"/>
                <w:rtl/>
              </w:rPr>
              <w:t>ه11.2</w:t>
            </w:r>
          </w:p>
        </w:tc>
        <w:tc>
          <w:tcPr>
            <w:tcW w:w="2340" w:type="pct"/>
            <w:shd w:val="clear" w:color="auto" w:fill="auto"/>
            <w:tcMar>
              <w:top w:w="15" w:type="dxa"/>
              <w:left w:w="15" w:type="dxa"/>
              <w:bottom w:w="0" w:type="dxa"/>
              <w:right w:w="15" w:type="dxa"/>
            </w:tcMar>
          </w:tcPr>
          <w:p w14:paraId="7235F6A0" w14:textId="77777777" w:rsidR="00CE6E0B" w:rsidRPr="00A6112B" w:rsidRDefault="00CE6E0B" w:rsidP="0031289D">
            <w:pPr>
              <w:bidi/>
              <w:spacing w:before="120" w:after="120"/>
              <w:rPr>
                <w:rFonts w:ascii="Arabic Typesetting" w:hAnsi="Arabic Typesetting" w:cs="Arabic Typesetting"/>
                <w:sz w:val="28"/>
                <w:szCs w:val="28"/>
              </w:rPr>
            </w:pPr>
            <w:r w:rsidRPr="00A6112B">
              <w:rPr>
                <w:rFonts w:ascii="Arabic Typesetting" w:hAnsi="Arabic Typesetting" w:cs="Arabic Typesetting"/>
                <w:sz w:val="28"/>
                <w:szCs w:val="28"/>
                <w:rtl/>
              </w:rPr>
              <w:t>إنتاجية وجودة خدمات محسّنة في عمليات نظام لشبونة</w:t>
            </w:r>
          </w:p>
        </w:tc>
        <w:tc>
          <w:tcPr>
            <w:tcW w:w="749" w:type="pct"/>
            <w:shd w:val="clear" w:color="auto" w:fill="auto"/>
            <w:tcMar>
              <w:top w:w="15" w:type="dxa"/>
              <w:left w:w="15" w:type="dxa"/>
              <w:bottom w:w="0" w:type="dxa"/>
              <w:right w:w="15" w:type="dxa"/>
            </w:tcMar>
            <w:vAlign w:val="center"/>
          </w:tcPr>
          <w:p w14:paraId="1B434AB1" w14:textId="77777777" w:rsidR="00CE6E0B" w:rsidRPr="00A6112B" w:rsidRDefault="00CE6E0B" w:rsidP="0031289D">
            <w:pPr>
              <w:jc w:val="center"/>
              <w:rPr>
                <w:rFonts w:ascii="Arabic Typesetting" w:hAnsi="Arabic Typesetting" w:cs="Arabic Typesetting"/>
                <w:color w:val="000000"/>
                <w:sz w:val="28"/>
                <w:szCs w:val="28"/>
              </w:rPr>
            </w:pPr>
            <w:r w:rsidRPr="00A6112B">
              <w:rPr>
                <w:rFonts w:ascii="Arabic Typesetting" w:hAnsi="Arabic Typesetting" w:cs="Arabic Typesetting"/>
                <w:color w:val="000000"/>
                <w:sz w:val="28"/>
                <w:szCs w:val="28"/>
              </w:rPr>
              <w:t>99</w:t>
            </w:r>
          </w:p>
        </w:tc>
        <w:tc>
          <w:tcPr>
            <w:tcW w:w="749" w:type="pct"/>
            <w:shd w:val="clear" w:color="auto" w:fill="auto"/>
            <w:tcMar>
              <w:top w:w="15" w:type="dxa"/>
              <w:left w:w="15" w:type="dxa"/>
              <w:bottom w:w="0" w:type="dxa"/>
              <w:right w:w="15" w:type="dxa"/>
            </w:tcMar>
            <w:vAlign w:val="center"/>
          </w:tcPr>
          <w:p w14:paraId="7F9537CC" w14:textId="58349E99" w:rsidR="00CE6E0B" w:rsidRPr="00A6112B" w:rsidRDefault="00E6194D" w:rsidP="0031289D">
            <w:pPr>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w:t>
            </w:r>
          </w:p>
        </w:tc>
        <w:tc>
          <w:tcPr>
            <w:tcW w:w="749" w:type="pct"/>
            <w:shd w:val="clear" w:color="auto" w:fill="auto"/>
            <w:noWrap/>
            <w:tcMar>
              <w:top w:w="15" w:type="dxa"/>
              <w:left w:w="15" w:type="dxa"/>
              <w:bottom w:w="0" w:type="dxa"/>
              <w:right w:w="15" w:type="dxa"/>
            </w:tcMar>
            <w:vAlign w:val="center"/>
          </w:tcPr>
          <w:p w14:paraId="1A8A8299" w14:textId="46B2AAD5" w:rsidR="00CE6E0B" w:rsidRPr="00A6112B" w:rsidRDefault="00E6194D" w:rsidP="0031289D">
            <w:pPr>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w:t>
            </w:r>
          </w:p>
        </w:tc>
      </w:tr>
      <w:tr w:rsidR="00CE6E0B" w:rsidRPr="00211D55" w14:paraId="5327DCF7"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5C4C6A52" w14:textId="77777777" w:rsidR="00CE6E0B" w:rsidRPr="00211D55" w:rsidRDefault="00CE6E0B"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7A97B12A" w14:textId="77777777" w:rsidR="00CE6E0B" w:rsidRPr="00280D1A" w:rsidRDefault="00CE6E0B"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28748F3F"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58 106</w:t>
            </w:r>
          </w:p>
        </w:tc>
        <w:tc>
          <w:tcPr>
            <w:tcW w:w="749" w:type="pct"/>
            <w:shd w:val="clear" w:color="auto" w:fill="C6D9F1"/>
            <w:noWrap/>
            <w:tcMar>
              <w:top w:w="15" w:type="dxa"/>
              <w:left w:w="15" w:type="dxa"/>
              <w:bottom w:w="0" w:type="dxa"/>
              <w:right w:w="15" w:type="dxa"/>
            </w:tcMar>
            <w:vAlign w:val="center"/>
          </w:tcPr>
          <w:p w14:paraId="1AA82873"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58 062</w:t>
            </w:r>
          </w:p>
        </w:tc>
        <w:tc>
          <w:tcPr>
            <w:tcW w:w="749" w:type="pct"/>
            <w:shd w:val="clear" w:color="auto" w:fill="C6D9F1"/>
            <w:noWrap/>
            <w:tcMar>
              <w:top w:w="15" w:type="dxa"/>
              <w:left w:w="15" w:type="dxa"/>
              <w:bottom w:w="0" w:type="dxa"/>
              <w:right w:w="15" w:type="dxa"/>
            </w:tcMar>
            <w:vAlign w:val="center"/>
          </w:tcPr>
          <w:p w14:paraId="40247EF9"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26 739</w:t>
            </w:r>
          </w:p>
        </w:tc>
      </w:tr>
      <w:tr w:rsidR="00CE6E0B" w:rsidRPr="00211D55" w14:paraId="3E559CC1"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3B54C6A6" w14:textId="77777777" w:rsidR="00CE6E0B" w:rsidRPr="00A2672B" w:rsidRDefault="00CE6E0B"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756B78C5" w14:textId="77777777" w:rsidR="00CE6E0B" w:rsidRPr="00252762"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3705038B" w14:textId="77777777" w:rsidR="00CE6E0B" w:rsidRPr="00DF1D8A" w:rsidRDefault="00CE6E0B"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5"/>
        <w:gridCol w:w="1861"/>
        <w:gridCol w:w="1861"/>
        <w:gridCol w:w="1857"/>
        <w:gridCol w:w="1857"/>
      </w:tblGrid>
      <w:tr w:rsidR="00CE6E0B" w:rsidRPr="00211D55" w14:paraId="28E38D55" w14:textId="77777777" w:rsidTr="00E6194D">
        <w:trPr>
          <w:trHeight w:val="645"/>
        </w:trPr>
        <w:tc>
          <w:tcPr>
            <w:tcW w:w="1116" w:type="pct"/>
            <w:shd w:val="clear" w:color="auto" w:fill="C6D9F1"/>
            <w:noWrap/>
            <w:vAlign w:val="center"/>
            <w:hideMark/>
          </w:tcPr>
          <w:p w14:paraId="5665CD94" w14:textId="77777777" w:rsidR="00CE6E0B" w:rsidRPr="00211D55" w:rsidRDefault="00CE6E0B" w:rsidP="0031289D">
            <w:pPr>
              <w:bidi/>
              <w:jc w:val="center"/>
              <w:rPr>
                <w:rFonts w:ascii="Arabic Typesetting" w:hAnsi="Arabic Typesetting" w:cs="Arabic Typesetting"/>
                <w:b/>
                <w:bCs/>
                <w:i/>
                <w:iCs/>
                <w:sz w:val="28"/>
                <w:szCs w:val="28"/>
              </w:rPr>
            </w:pPr>
          </w:p>
        </w:tc>
        <w:tc>
          <w:tcPr>
            <w:tcW w:w="972" w:type="pct"/>
            <w:shd w:val="clear" w:color="auto" w:fill="C6D9F1"/>
            <w:vAlign w:val="center"/>
            <w:hideMark/>
          </w:tcPr>
          <w:p w14:paraId="1A8C77B1"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2" w:type="pct"/>
            <w:shd w:val="clear" w:color="auto" w:fill="C6D9F1"/>
            <w:vAlign w:val="center"/>
            <w:hideMark/>
          </w:tcPr>
          <w:p w14:paraId="19D87B5F"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2101BC96"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5AAC8E7F"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E6194D" w:rsidRPr="00211D55" w14:paraId="0E80CBAF" w14:textId="77777777" w:rsidTr="00E6194D">
        <w:trPr>
          <w:trHeight w:val="70"/>
        </w:trPr>
        <w:tc>
          <w:tcPr>
            <w:tcW w:w="1116" w:type="pct"/>
            <w:shd w:val="clear" w:color="auto" w:fill="auto"/>
            <w:noWrap/>
            <w:vAlign w:val="center"/>
            <w:hideMark/>
          </w:tcPr>
          <w:p w14:paraId="3CB1BEA3" w14:textId="77777777" w:rsidR="00E6194D" w:rsidRPr="00211D55" w:rsidRDefault="00E6194D"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2" w:type="pct"/>
            <w:shd w:val="clear" w:color="auto" w:fill="auto"/>
            <w:vAlign w:val="center"/>
          </w:tcPr>
          <w:p w14:paraId="09EB3501" w14:textId="6268AAC6" w:rsidR="00E6194D" w:rsidRPr="00A6112B" w:rsidRDefault="00E6194D" w:rsidP="00E6194D">
            <w:pPr>
              <w:jc w:val="center"/>
              <w:rPr>
                <w:rFonts w:ascii="Arabic Typesetting" w:hAnsi="Arabic Typesetting" w:cs="Arabic Typesetting"/>
                <w:color w:val="000000"/>
                <w:sz w:val="28"/>
                <w:szCs w:val="28"/>
              </w:rPr>
            </w:pPr>
            <w:r w:rsidRPr="00E6194D">
              <w:rPr>
                <w:rFonts w:ascii="Arabic Typesetting" w:hAnsi="Arabic Typesetting" w:cs="Arabic Typesetting"/>
                <w:color w:val="000000"/>
                <w:sz w:val="28"/>
                <w:szCs w:val="28"/>
              </w:rPr>
              <w:t>43</w:t>
            </w:r>
            <w:r>
              <w:rPr>
                <w:rFonts w:ascii="Arabic Typesetting" w:hAnsi="Arabic Typesetting" w:cs="Arabic Typesetting"/>
                <w:color w:val="000000"/>
                <w:sz w:val="28"/>
                <w:szCs w:val="28"/>
              </w:rPr>
              <w:t> </w:t>
            </w:r>
            <w:r w:rsidRPr="00E6194D">
              <w:rPr>
                <w:rFonts w:ascii="Arabic Typesetting" w:hAnsi="Arabic Typesetting" w:cs="Arabic Typesetting"/>
                <w:color w:val="000000"/>
                <w:sz w:val="28"/>
                <w:szCs w:val="28"/>
              </w:rPr>
              <w:t xml:space="preserve">948 </w:t>
            </w:r>
          </w:p>
        </w:tc>
        <w:tc>
          <w:tcPr>
            <w:tcW w:w="972" w:type="pct"/>
            <w:shd w:val="clear" w:color="auto" w:fill="auto"/>
            <w:vAlign w:val="center"/>
          </w:tcPr>
          <w:p w14:paraId="1F5D2D46" w14:textId="7E5A037A" w:rsidR="00E6194D" w:rsidRPr="00A6112B" w:rsidRDefault="00E6194D" w:rsidP="00E6194D">
            <w:pPr>
              <w:jc w:val="center"/>
              <w:rPr>
                <w:rFonts w:ascii="Arabic Typesetting" w:hAnsi="Arabic Typesetting" w:cs="Arabic Typesetting"/>
                <w:color w:val="000000"/>
                <w:sz w:val="28"/>
                <w:szCs w:val="28"/>
              </w:rPr>
            </w:pPr>
            <w:r w:rsidRPr="00E6194D">
              <w:rPr>
                <w:rFonts w:ascii="Arabic Typesetting" w:hAnsi="Arabic Typesetting" w:cs="Arabic Typesetting"/>
                <w:color w:val="000000"/>
                <w:sz w:val="28"/>
                <w:szCs w:val="28"/>
              </w:rPr>
              <w:t>41</w:t>
            </w:r>
            <w:r>
              <w:rPr>
                <w:rFonts w:ascii="Arabic Typesetting" w:hAnsi="Arabic Typesetting" w:cs="Arabic Typesetting"/>
                <w:color w:val="000000"/>
                <w:sz w:val="28"/>
                <w:szCs w:val="28"/>
              </w:rPr>
              <w:t> </w:t>
            </w:r>
            <w:r w:rsidRPr="00E6194D">
              <w:rPr>
                <w:rFonts w:ascii="Arabic Typesetting" w:hAnsi="Arabic Typesetting" w:cs="Arabic Typesetting"/>
                <w:color w:val="000000"/>
                <w:sz w:val="28"/>
                <w:szCs w:val="28"/>
              </w:rPr>
              <w:t xml:space="preserve">050 </w:t>
            </w:r>
          </w:p>
        </w:tc>
        <w:tc>
          <w:tcPr>
            <w:tcW w:w="970" w:type="pct"/>
            <w:shd w:val="clear" w:color="auto" w:fill="auto"/>
            <w:vAlign w:val="center"/>
          </w:tcPr>
          <w:p w14:paraId="549E9BF6" w14:textId="12E5B4BC" w:rsidR="00E6194D" w:rsidRPr="00A6112B" w:rsidRDefault="00E6194D" w:rsidP="00E6194D">
            <w:pPr>
              <w:jc w:val="center"/>
              <w:rPr>
                <w:rFonts w:ascii="Arabic Typesetting" w:hAnsi="Arabic Typesetting" w:cs="Arabic Typesetting"/>
                <w:color w:val="000000"/>
                <w:sz w:val="28"/>
                <w:szCs w:val="28"/>
              </w:rPr>
            </w:pPr>
            <w:r w:rsidRPr="00E6194D">
              <w:rPr>
                <w:rFonts w:ascii="Arabic Typesetting" w:hAnsi="Arabic Typesetting" w:cs="Arabic Typesetting"/>
                <w:color w:val="000000"/>
                <w:sz w:val="28"/>
                <w:szCs w:val="28"/>
              </w:rPr>
              <w:t>19</w:t>
            </w:r>
            <w:r>
              <w:rPr>
                <w:rFonts w:ascii="Arabic Typesetting" w:hAnsi="Arabic Typesetting" w:cs="Arabic Typesetting"/>
                <w:color w:val="000000"/>
                <w:sz w:val="28"/>
                <w:szCs w:val="28"/>
              </w:rPr>
              <w:t> </w:t>
            </w:r>
            <w:r w:rsidRPr="00E6194D">
              <w:rPr>
                <w:rFonts w:ascii="Arabic Typesetting" w:hAnsi="Arabic Typesetting" w:cs="Arabic Typesetting"/>
                <w:color w:val="000000"/>
                <w:sz w:val="28"/>
                <w:szCs w:val="28"/>
              </w:rPr>
              <w:t xml:space="preserve">769 </w:t>
            </w:r>
          </w:p>
        </w:tc>
        <w:tc>
          <w:tcPr>
            <w:tcW w:w="970" w:type="pct"/>
            <w:shd w:val="clear" w:color="auto" w:fill="auto"/>
            <w:vAlign w:val="center"/>
          </w:tcPr>
          <w:p w14:paraId="63D21BC9" w14:textId="77777777" w:rsidR="00E6194D" w:rsidRPr="00A6112B" w:rsidRDefault="00E6194D"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%46</w:t>
            </w:r>
          </w:p>
        </w:tc>
      </w:tr>
      <w:tr w:rsidR="00E6194D" w:rsidRPr="00211D55" w14:paraId="633D5459" w14:textId="77777777" w:rsidTr="00E6194D">
        <w:trPr>
          <w:trHeight w:val="70"/>
        </w:trPr>
        <w:tc>
          <w:tcPr>
            <w:tcW w:w="1116" w:type="pct"/>
            <w:shd w:val="clear" w:color="auto" w:fill="auto"/>
            <w:noWrap/>
            <w:vAlign w:val="center"/>
            <w:hideMark/>
          </w:tcPr>
          <w:p w14:paraId="7E12ADFF" w14:textId="77777777" w:rsidR="00E6194D" w:rsidRPr="00211D55" w:rsidRDefault="00E6194D"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2" w:type="pct"/>
            <w:shd w:val="clear" w:color="auto" w:fill="auto"/>
            <w:vAlign w:val="center"/>
          </w:tcPr>
          <w:p w14:paraId="2DA9FD09" w14:textId="7137E9E3" w:rsidR="00E6194D" w:rsidRPr="00A6112B" w:rsidRDefault="00E6194D" w:rsidP="00E6194D">
            <w:pPr>
              <w:jc w:val="center"/>
              <w:rPr>
                <w:rFonts w:ascii="Arabic Typesetting" w:hAnsi="Arabic Typesetting" w:cs="Arabic Typesetting"/>
                <w:color w:val="000000"/>
                <w:sz w:val="28"/>
                <w:szCs w:val="28"/>
              </w:rPr>
            </w:pPr>
            <w:r w:rsidRPr="00E6194D">
              <w:rPr>
                <w:rFonts w:ascii="Arabic Typesetting" w:hAnsi="Arabic Typesetting" w:cs="Arabic Typesetting"/>
                <w:color w:val="000000"/>
                <w:sz w:val="28"/>
                <w:szCs w:val="28"/>
              </w:rPr>
              <w:t>14</w:t>
            </w:r>
            <w:r>
              <w:rPr>
                <w:rFonts w:ascii="Arabic Typesetting" w:hAnsi="Arabic Typesetting" w:cs="Arabic Typesetting"/>
                <w:color w:val="000000"/>
                <w:sz w:val="28"/>
                <w:szCs w:val="28"/>
              </w:rPr>
              <w:t> </w:t>
            </w:r>
            <w:r w:rsidRPr="00E6194D">
              <w:rPr>
                <w:rFonts w:ascii="Arabic Typesetting" w:hAnsi="Arabic Typesetting" w:cs="Arabic Typesetting"/>
                <w:color w:val="000000"/>
                <w:sz w:val="28"/>
                <w:szCs w:val="28"/>
              </w:rPr>
              <w:t xml:space="preserve">159 </w:t>
            </w:r>
          </w:p>
        </w:tc>
        <w:tc>
          <w:tcPr>
            <w:tcW w:w="972" w:type="pct"/>
            <w:shd w:val="clear" w:color="auto" w:fill="auto"/>
            <w:vAlign w:val="center"/>
          </w:tcPr>
          <w:p w14:paraId="6D5CFD3C" w14:textId="7A1B2E72" w:rsidR="00E6194D" w:rsidRPr="00A6112B" w:rsidRDefault="00E6194D" w:rsidP="00E6194D">
            <w:pPr>
              <w:jc w:val="center"/>
              <w:rPr>
                <w:rFonts w:ascii="Arabic Typesetting" w:hAnsi="Arabic Typesetting" w:cs="Arabic Typesetting"/>
                <w:color w:val="000000"/>
                <w:sz w:val="28"/>
                <w:szCs w:val="28"/>
              </w:rPr>
            </w:pPr>
            <w:r w:rsidRPr="00E6194D">
              <w:rPr>
                <w:rFonts w:ascii="Arabic Typesetting" w:hAnsi="Arabic Typesetting" w:cs="Arabic Typesetting"/>
                <w:color w:val="000000"/>
                <w:sz w:val="28"/>
                <w:szCs w:val="28"/>
              </w:rPr>
              <w:t>17</w:t>
            </w:r>
            <w:r>
              <w:rPr>
                <w:rFonts w:ascii="Arabic Typesetting" w:hAnsi="Arabic Typesetting" w:cs="Arabic Typesetting"/>
                <w:color w:val="000000"/>
                <w:sz w:val="28"/>
                <w:szCs w:val="28"/>
              </w:rPr>
              <w:t> </w:t>
            </w:r>
            <w:r w:rsidRPr="00E6194D">
              <w:rPr>
                <w:rFonts w:ascii="Arabic Typesetting" w:hAnsi="Arabic Typesetting" w:cs="Arabic Typesetting"/>
                <w:color w:val="000000"/>
                <w:sz w:val="28"/>
                <w:szCs w:val="28"/>
              </w:rPr>
              <w:t xml:space="preserve">012 </w:t>
            </w:r>
          </w:p>
        </w:tc>
        <w:tc>
          <w:tcPr>
            <w:tcW w:w="970" w:type="pct"/>
            <w:shd w:val="clear" w:color="auto" w:fill="auto"/>
            <w:vAlign w:val="center"/>
          </w:tcPr>
          <w:p w14:paraId="236BE521" w14:textId="2598577A" w:rsidR="00E6194D" w:rsidRPr="00A6112B" w:rsidRDefault="00E6194D" w:rsidP="00E6194D">
            <w:pPr>
              <w:jc w:val="center"/>
              <w:rPr>
                <w:rFonts w:ascii="Arabic Typesetting" w:hAnsi="Arabic Typesetting" w:cs="Arabic Typesetting"/>
                <w:color w:val="000000"/>
                <w:sz w:val="28"/>
                <w:szCs w:val="28"/>
              </w:rPr>
            </w:pPr>
            <w:r w:rsidRPr="00E6194D">
              <w:rPr>
                <w:rFonts w:ascii="Arabic Typesetting" w:hAnsi="Arabic Typesetting" w:cs="Arabic Typesetting"/>
                <w:color w:val="000000"/>
                <w:sz w:val="28"/>
                <w:szCs w:val="28"/>
              </w:rPr>
              <w:t>6</w:t>
            </w:r>
            <w:r>
              <w:rPr>
                <w:rFonts w:ascii="Arabic Typesetting" w:hAnsi="Arabic Typesetting" w:cs="Arabic Typesetting"/>
                <w:color w:val="000000"/>
                <w:sz w:val="28"/>
                <w:szCs w:val="28"/>
              </w:rPr>
              <w:t> </w:t>
            </w:r>
            <w:r w:rsidRPr="00E6194D">
              <w:rPr>
                <w:rFonts w:ascii="Arabic Typesetting" w:hAnsi="Arabic Typesetting" w:cs="Arabic Typesetting"/>
                <w:color w:val="000000"/>
                <w:sz w:val="28"/>
                <w:szCs w:val="28"/>
              </w:rPr>
              <w:t xml:space="preserve">970 </w:t>
            </w:r>
          </w:p>
        </w:tc>
        <w:tc>
          <w:tcPr>
            <w:tcW w:w="970" w:type="pct"/>
            <w:shd w:val="clear" w:color="auto" w:fill="auto"/>
            <w:vAlign w:val="center"/>
          </w:tcPr>
          <w:p w14:paraId="7D41E00D" w14:textId="77777777" w:rsidR="00E6194D" w:rsidRPr="00A6112B" w:rsidRDefault="00E6194D"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%31</w:t>
            </w:r>
          </w:p>
        </w:tc>
      </w:tr>
      <w:tr w:rsidR="00E6194D" w:rsidRPr="00211D55" w14:paraId="54A87A23" w14:textId="77777777" w:rsidTr="00AF6433">
        <w:trPr>
          <w:trHeight w:val="70"/>
        </w:trPr>
        <w:tc>
          <w:tcPr>
            <w:tcW w:w="1116" w:type="pct"/>
            <w:shd w:val="clear" w:color="auto" w:fill="C6D9F1"/>
            <w:noWrap/>
            <w:vAlign w:val="center"/>
            <w:hideMark/>
          </w:tcPr>
          <w:p w14:paraId="42D9BD76" w14:textId="77777777" w:rsidR="00E6194D" w:rsidRPr="00280D1A" w:rsidRDefault="00E6194D"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972" w:type="pct"/>
            <w:shd w:val="clear" w:color="auto" w:fill="C6D9F1"/>
            <w:vAlign w:val="center"/>
          </w:tcPr>
          <w:p w14:paraId="36463D9F" w14:textId="4126D5C0" w:rsidR="00E6194D" w:rsidRPr="00280D1A" w:rsidRDefault="00E6194D" w:rsidP="00E6194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58 106 </w:t>
            </w:r>
          </w:p>
        </w:tc>
        <w:tc>
          <w:tcPr>
            <w:tcW w:w="972" w:type="pct"/>
            <w:shd w:val="clear" w:color="auto" w:fill="C6D9F1"/>
            <w:vAlign w:val="center"/>
          </w:tcPr>
          <w:p w14:paraId="3FB6C9DD" w14:textId="0175E74D" w:rsidR="00E6194D" w:rsidRPr="00280D1A" w:rsidRDefault="00E6194D" w:rsidP="00E6194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58 062 </w:t>
            </w:r>
          </w:p>
        </w:tc>
        <w:tc>
          <w:tcPr>
            <w:tcW w:w="970" w:type="pct"/>
            <w:shd w:val="clear" w:color="auto" w:fill="C6D9F1"/>
            <w:vAlign w:val="center"/>
          </w:tcPr>
          <w:p w14:paraId="626AF99A" w14:textId="46B64EEC" w:rsidR="00E6194D" w:rsidRPr="00280D1A" w:rsidRDefault="00E6194D" w:rsidP="00E6194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26 739 </w:t>
            </w:r>
          </w:p>
        </w:tc>
        <w:tc>
          <w:tcPr>
            <w:tcW w:w="970" w:type="pct"/>
            <w:shd w:val="clear" w:color="auto" w:fill="C6D9F1"/>
            <w:vAlign w:val="center"/>
          </w:tcPr>
          <w:p w14:paraId="3CF66C60" w14:textId="77777777" w:rsidR="00E6194D" w:rsidRPr="00280D1A" w:rsidRDefault="00E6194D"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%43</w:t>
            </w:r>
          </w:p>
        </w:tc>
      </w:tr>
      <w:tr w:rsidR="00CE6E0B" w:rsidRPr="00211D55" w14:paraId="6D458306" w14:textId="77777777" w:rsidTr="00BB3820">
        <w:trPr>
          <w:trHeight w:val="540"/>
        </w:trPr>
        <w:tc>
          <w:tcPr>
            <w:tcW w:w="5000" w:type="pct"/>
            <w:gridSpan w:val="5"/>
            <w:shd w:val="clear" w:color="auto" w:fill="auto"/>
            <w:noWrap/>
            <w:vAlign w:val="center"/>
          </w:tcPr>
          <w:p w14:paraId="5E6273B2" w14:textId="77777777" w:rsidR="00CE6E0B" w:rsidRDefault="00CE6E0B"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01FD4B7C" w14:textId="77777777" w:rsidR="00CE6E0B" w:rsidRPr="00D41845" w:rsidRDefault="00CE6E0B"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i/>
                <w:iCs/>
                <w:color w:val="000000"/>
                <w:sz w:val="28"/>
                <w:szCs w:val="28"/>
                <w:rtl/>
                <w:lang w:bidi="ar-EG"/>
              </w:rPr>
              <w:br/>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1EC0791E" w14:textId="77777777" w:rsidR="00CE6E0B" w:rsidRPr="00706F20" w:rsidRDefault="00CE6E0B"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58F328B9" w14:textId="77777777" w:rsidR="00CE6E0B" w:rsidRPr="00A6112B" w:rsidRDefault="00CE6E0B" w:rsidP="00D94CDB">
      <w:pPr>
        <w:numPr>
          <w:ilvl w:val="1"/>
          <w:numId w:val="74"/>
        </w:numPr>
        <w:bidi/>
        <w:spacing w:after="240" w:line="360" w:lineRule="exact"/>
        <w:ind w:left="0" w:hanging="1"/>
        <w:rPr>
          <w:rFonts w:ascii="Arabic Typesetting" w:hAnsi="Arabic Typesetting" w:cs="Arabic Typesetting"/>
          <w:sz w:val="34"/>
          <w:szCs w:val="34"/>
        </w:rPr>
      </w:pPr>
      <w:r w:rsidRPr="00A6112B">
        <w:rPr>
          <w:rFonts w:ascii="Arabic Typesetting" w:hAnsi="Arabic Typesetting" w:cs="Arabic Typesetting"/>
          <w:sz w:val="34"/>
          <w:szCs w:val="34"/>
          <w:rtl/>
        </w:rPr>
        <w:t>تبيِّن الميزانية بعد التحويلات تحويل موارد من بند الموظفين إلى خلاف الموظفين من أجل اعتماد نظام تمويل أكثر مرونة لعمليات مدريد في إطار مبادرة إصلاح مدريد، ولا سيما توسيع برنامج زمالات مدريد في إطار النتيجة المرتقبة ه6.2 (استخدام</w:t>
      </w:r>
      <w:r>
        <w:rPr>
          <w:rFonts w:ascii="Arabic Typesetting" w:hAnsi="Arabic Typesetting" w:cs="Arabic Typesetting" w:hint="cs"/>
          <w:sz w:val="34"/>
          <w:szCs w:val="34"/>
          <w:rtl/>
        </w:rPr>
        <w:t> </w:t>
      </w:r>
      <w:r w:rsidRPr="00A6112B">
        <w:rPr>
          <w:rFonts w:ascii="Arabic Typesetting" w:hAnsi="Arabic Typesetting" w:cs="Arabic Typesetting"/>
          <w:sz w:val="34"/>
          <w:szCs w:val="34"/>
          <w:rtl/>
        </w:rPr>
        <w:t>نظام مدريد على نطاق أوسع وبفعالية أكبر).</w:t>
      </w:r>
    </w:p>
    <w:p w14:paraId="036E1D39" w14:textId="77777777" w:rsidR="00CE6E0B" w:rsidRPr="00706F20" w:rsidRDefault="00CE6E0B"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3263C948" w14:textId="77777777" w:rsidR="00CE6E0B" w:rsidRDefault="00CE6E0B" w:rsidP="00D94CDB">
      <w:pPr>
        <w:numPr>
          <w:ilvl w:val="1"/>
          <w:numId w:val="74"/>
        </w:numPr>
        <w:bidi/>
        <w:spacing w:after="240" w:line="360" w:lineRule="exact"/>
        <w:ind w:left="0" w:hanging="1"/>
        <w:rPr>
          <w:rFonts w:ascii="Arabic Typesetting" w:hAnsi="Arabic Typesetting" w:cs="Arabic Typesetting"/>
          <w:sz w:val="34"/>
          <w:szCs w:val="34"/>
        </w:rPr>
      </w:pPr>
      <w:r w:rsidRPr="00A6112B">
        <w:rPr>
          <w:rFonts w:ascii="Arabic Typesetting" w:hAnsi="Arabic Typesetting" w:cs="Arabic Typesetting"/>
          <w:sz w:val="34"/>
          <w:szCs w:val="34"/>
          <w:rtl/>
        </w:rPr>
        <w:t>كانت نسبة استخدام الميزانية ضمن النطاق المتوقع المتراوح بين 40 و60 بالمئة للسنة الأولى من الثنائية.</w:t>
      </w:r>
    </w:p>
    <w:p w14:paraId="73360072" w14:textId="77777777" w:rsidR="00257704" w:rsidRDefault="00257704" w:rsidP="0031289D">
      <w:pPr>
        <w:bidi/>
        <w:spacing w:after="240" w:line="360" w:lineRule="exact"/>
        <w:rPr>
          <w:rFonts w:ascii="Arabic Typesetting" w:hAnsi="Arabic Typesetting" w:cs="Arabic Typesetting"/>
          <w:sz w:val="34"/>
          <w:szCs w:val="34"/>
          <w:rtl/>
          <w:lang w:bidi="ar-EG"/>
        </w:rPr>
      </w:pPr>
    </w:p>
    <w:p w14:paraId="265AF4D0" w14:textId="7F781230" w:rsidR="00257704" w:rsidRPr="00257704" w:rsidRDefault="00DF61DF" w:rsidP="0031289D">
      <w:pPr>
        <w:pStyle w:val="Heading4"/>
      </w:pPr>
      <w:bookmarkStart w:id="21" w:name="_Toc482782748"/>
      <w:r>
        <w:rPr>
          <w:rtl/>
        </w:rPr>
        <w:lastRenderedPageBreak/>
        <w:t>مرفق البرنامج 6:</w:t>
      </w:r>
      <w:r>
        <w:rPr>
          <w:rFonts w:hint="cs"/>
          <w:rtl/>
        </w:rPr>
        <w:t xml:space="preserve"> </w:t>
      </w:r>
      <w:r w:rsidR="00257704" w:rsidRPr="00257704">
        <w:rPr>
          <w:rtl/>
        </w:rPr>
        <w:t>مؤشرات عمليات نظام مدريد</w:t>
      </w:r>
      <w:bookmarkEnd w:id="21"/>
    </w:p>
    <w:p w14:paraId="50044182" w14:textId="77777777" w:rsidR="00257704" w:rsidRPr="00257704" w:rsidRDefault="00257704" w:rsidP="0031289D">
      <w:pPr>
        <w:bidi/>
        <w:spacing w:line="360" w:lineRule="exact"/>
        <w:rPr>
          <w:rFonts w:ascii="Arabic Typesetting" w:hAnsi="Arabic Typesetting" w:cs="Arabic Typesetting"/>
          <w:sz w:val="36"/>
          <w:szCs w:val="36"/>
          <w:lang w:bidi="th-TH"/>
        </w:rPr>
      </w:pPr>
      <w:r w:rsidRPr="00257704">
        <w:rPr>
          <w:rFonts w:ascii="Arabic Typesetting" w:hAnsi="Arabic Typesetting" w:cs="Arabic Typesetting"/>
          <w:sz w:val="36"/>
          <w:szCs w:val="36"/>
          <w:rtl/>
        </w:rPr>
        <w:t>مؤشرات الأداء للنتيجة المرتقبة</w:t>
      </w:r>
    </w:p>
    <w:p w14:paraId="4E51E8EC" w14:textId="77777777" w:rsidR="00257704" w:rsidRPr="00257704" w:rsidRDefault="00257704" w:rsidP="0031289D">
      <w:pPr>
        <w:bidi/>
        <w:spacing w:after="240" w:line="360" w:lineRule="exact"/>
        <w:rPr>
          <w:rFonts w:ascii="Arabic Typesetting" w:hAnsi="Arabic Typesetting" w:cs="Arabic Typesetting"/>
          <w:sz w:val="36"/>
          <w:szCs w:val="36"/>
        </w:rPr>
      </w:pPr>
      <w:r w:rsidRPr="00257704">
        <w:rPr>
          <w:rFonts w:ascii="Arabic Typesetting" w:hAnsi="Arabic Typesetting" w:cs="Arabic Typesetting"/>
          <w:sz w:val="36"/>
          <w:szCs w:val="36"/>
          <w:rtl/>
        </w:rPr>
        <w:t>"إنتاجية وجودة خدمات محسّنة في عمليات نظام مدريد"</w:t>
      </w:r>
    </w:p>
    <w:p w14:paraId="3602B290" w14:textId="77777777" w:rsidR="00257704" w:rsidRPr="00257704" w:rsidRDefault="00257704" w:rsidP="0031289D">
      <w:pPr>
        <w:bidi/>
        <w:spacing w:after="240" w:line="360" w:lineRule="exact"/>
        <w:rPr>
          <w:rFonts w:ascii="Arabic Typesetting" w:eastAsia="SimSun" w:hAnsi="Arabic Typesetting" w:cs="Arabic Typesetting"/>
          <w:bCs/>
          <w:sz w:val="36"/>
          <w:szCs w:val="36"/>
          <w:lang w:eastAsia="zh-CN"/>
        </w:rPr>
      </w:pPr>
      <w:r w:rsidRPr="00257704">
        <w:rPr>
          <w:rFonts w:ascii="Arabic Typesetting" w:eastAsia="SimSun" w:hAnsi="Arabic Typesetting" w:cs="Arabic Typesetting"/>
          <w:bCs/>
          <w:sz w:val="36"/>
          <w:szCs w:val="36"/>
          <w:rtl/>
          <w:lang w:eastAsia="zh-CN"/>
        </w:rPr>
        <w:t>ملاحظات عامة</w:t>
      </w:r>
    </w:p>
    <w:p w14:paraId="20890532" w14:textId="77777777" w:rsidR="00257704" w:rsidRPr="00257704" w:rsidRDefault="00257704" w:rsidP="00D94CDB">
      <w:pPr>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است</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عيض في مارس 2016</w:t>
      </w:r>
      <w:r w:rsidRPr="00257704">
        <w:rPr>
          <w:rFonts w:ascii="Arabic Typesetting" w:hAnsi="Arabic Typesetting" w:cs="Arabic Typesetting" w:hint="cs"/>
          <w:sz w:val="34"/>
          <w:szCs w:val="34"/>
          <w:rtl/>
        </w:rPr>
        <w:t xml:space="preserve"> </w:t>
      </w:r>
      <w:r w:rsidRPr="00257704">
        <w:rPr>
          <w:rFonts w:ascii="Arabic Typesetting" w:hAnsi="Arabic Typesetting" w:cs="Arabic Typesetting"/>
          <w:sz w:val="34"/>
          <w:szCs w:val="34"/>
          <w:rtl/>
        </w:rPr>
        <w:t xml:space="preserve">عن </w:t>
      </w:r>
      <w:r w:rsidRPr="00257704">
        <w:rPr>
          <w:rFonts w:ascii="Arabic Typesetting" w:hAnsi="Arabic Typesetting" w:cs="Arabic Typesetting" w:hint="cs"/>
          <w:sz w:val="34"/>
          <w:szCs w:val="34"/>
          <w:rtl/>
        </w:rPr>
        <w:t>ال</w:t>
      </w:r>
      <w:r w:rsidRPr="00257704">
        <w:rPr>
          <w:rFonts w:ascii="Arabic Typesetting" w:hAnsi="Arabic Typesetting" w:cs="Arabic Typesetting"/>
          <w:sz w:val="34"/>
          <w:szCs w:val="34"/>
          <w:rtl/>
        </w:rPr>
        <w:t xml:space="preserve">نظام </w:t>
      </w:r>
      <w:r w:rsidRPr="00257704">
        <w:rPr>
          <w:rFonts w:ascii="Arabic Typesetting" w:hAnsi="Arabic Typesetting" w:cs="Arabic Typesetting" w:hint="cs"/>
          <w:sz w:val="34"/>
          <w:szCs w:val="34"/>
          <w:rtl/>
        </w:rPr>
        <w:t>ال</w:t>
      </w:r>
      <w:r w:rsidRPr="00257704">
        <w:rPr>
          <w:rFonts w:ascii="Arabic Typesetting" w:hAnsi="Arabic Typesetting" w:cs="Arabic Typesetting"/>
          <w:sz w:val="34"/>
          <w:szCs w:val="34"/>
          <w:rtl/>
        </w:rPr>
        <w:t xml:space="preserve">تكنولوجي القديم (نظام اتفاق مدريد وبروتوكوله </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Pr>
        <w:t>MAPS</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الذي </w:t>
      </w:r>
      <w:r w:rsidRPr="00257704">
        <w:rPr>
          <w:rFonts w:ascii="Arabic Typesetting" w:hAnsi="Arabic Typesetting" w:cs="Arabic Typesetting" w:hint="cs"/>
          <w:sz w:val="34"/>
          <w:szCs w:val="34"/>
          <w:rtl/>
        </w:rPr>
        <w:t xml:space="preserve">كانت </w:t>
      </w:r>
      <w:r w:rsidRPr="00257704">
        <w:rPr>
          <w:rFonts w:ascii="Arabic Typesetting" w:hAnsi="Arabic Typesetting" w:cs="Arabic Typesetting"/>
          <w:sz w:val="34"/>
          <w:szCs w:val="34"/>
          <w:rtl/>
        </w:rPr>
        <w:t>تستخدمه عمليات مدريد</w:t>
      </w:r>
      <w:r w:rsidRPr="00257704">
        <w:rPr>
          <w:rFonts w:ascii="Arabic Typesetting" w:hAnsi="Arabic Typesetting" w:cs="Arabic Typesetting" w:hint="cs"/>
          <w:sz w:val="34"/>
          <w:szCs w:val="34"/>
          <w:rtl/>
        </w:rPr>
        <w:t xml:space="preserve"> </w:t>
      </w:r>
      <w:r w:rsidRPr="00257704">
        <w:rPr>
          <w:rFonts w:ascii="Arabic Typesetting" w:hAnsi="Arabic Typesetting" w:cs="Arabic Typesetting"/>
          <w:sz w:val="34"/>
          <w:szCs w:val="34"/>
          <w:rtl/>
        </w:rPr>
        <w:t>بنظام تكنولوجي جديد (نظام معلومات سجلات مدريد الدولية</w:t>
      </w:r>
      <w:r w:rsidRPr="00257704">
        <w:rPr>
          <w:rFonts w:ascii="Arabic Typesetting" w:hAnsi="Arabic Typesetting" w:cs="Arabic Typesetting" w:hint="cs"/>
          <w:sz w:val="34"/>
          <w:szCs w:val="34"/>
          <w:rtl/>
        </w:rPr>
        <w:t xml:space="preserve"> (</w:t>
      </w:r>
      <w:r w:rsidRPr="00257704">
        <w:rPr>
          <w:rFonts w:ascii="Arabic Typesetting" w:hAnsi="Arabic Typesetting" w:cs="Arabic Typesetting"/>
          <w:sz w:val="34"/>
          <w:szCs w:val="34"/>
        </w:rPr>
        <w:t>MIRIS</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وقد تأثرت بعض المؤشرات التالية، مثل عبء العمل </w:t>
      </w:r>
      <w:r w:rsidRPr="00257704">
        <w:rPr>
          <w:rFonts w:ascii="Arabic Typesetting" w:hAnsi="Arabic Typesetting" w:cs="Arabic Typesetting" w:hint="cs"/>
          <w:sz w:val="34"/>
          <w:szCs w:val="34"/>
          <w:rtl/>
        </w:rPr>
        <w:t>المُعالج</w:t>
      </w:r>
      <w:r w:rsidRPr="00257704">
        <w:rPr>
          <w:rFonts w:ascii="Arabic Typesetting" w:hAnsi="Arabic Typesetting" w:cs="Arabic Typesetting"/>
          <w:sz w:val="34"/>
          <w:szCs w:val="34"/>
          <w:rtl/>
        </w:rPr>
        <w:t xml:space="preserve"> ومدة المعالجة وبعض مؤشرات الجودة، بعدم استقرار نظام أولي عقب نشر نظام معلومات سجلات مدريد الدولية</w:t>
      </w:r>
      <w:r w:rsidRPr="00257704">
        <w:rPr>
          <w:rFonts w:ascii="Arabic Typesetting" w:hAnsi="Arabic Typesetting" w:cs="Arabic Typesetting" w:hint="cs"/>
          <w:sz w:val="34"/>
          <w:szCs w:val="34"/>
          <w:rtl/>
        </w:rPr>
        <w:t xml:space="preserve"> (</w:t>
      </w:r>
      <w:r w:rsidRPr="00257704">
        <w:rPr>
          <w:rFonts w:ascii="Arabic Typesetting" w:hAnsi="Arabic Typesetting" w:cs="Arabic Typesetting"/>
          <w:sz w:val="34"/>
          <w:szCs w:val="34"/>
        </w:rPr>
        <w:t>MIRIS</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w:t>
      </w:r>
    </w:p>
    <w:p w14:paraId="4399228F" w14:textId="77777777" w:rsidR="00257704" w:rsidRPr="00257704" w:rsidRDefault="00257704" w:rsidP="00D94CDB">
      <w:pPr>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hint="cs"/>
          <w:sz w:val="34"/>
          <w:szCs w:val="34"/>
          <w:rtl/>
        </w:rPr>
        <w:t>و</w:t>
      </w:r>
      <w:r w:rsidRPr="00257704">
        <w:rPr>
          <w:rFonts w:ascii="Arabic Typesetting" w:hAnsi="Arabic Typesetting" w:cs="Arabic Typesetting"/>
          <w:sz w:val="34"/>
          <w:szCs w:val="34"/>
          <w:rtl/>
        </w:rPr>
        <w:t>ينبغي مراعاة العوامل التالية عند تقييم مؤشرات الأداء لتحديد النتيجة الم</w:t>
      </w:r>
      <w:r w:rsidRPr="00257704">
        <w:rPr>
          <w:rFonts w:ascii="Arabic Typesetting" w:hAnsi="Arabic Typesetting" w:cs="Arabic Typesetting" w:hint="cs"/>
          <w:sz w:val="34"/>
          <w:szCs w:val="34"/>
          <w:rtl/>
        </w:rPr>
        <w:t xml:space="preserve">رتقبة </w:t>
      </w:r>
      <w:r w:rsidRPr="00257704">
        <w:rPr>
          <w:rFonts w:ascii="Arabic Typesetting" w:hAnsi="Arabic Typesetting" w:cs="Arabic Typesetting"/>
          <w:sz w:val="34"/>
          <w:szCs w:val="34"/>
          <w:rtl/>
        </w:rPr>
        <w:t>"إنتاجية وجودة خدمات محسّنة في عمليات نظام مدريد":</w:t>
      </w:r>
    </w:p>
    <w:p w14:paraId="64CFA828" w14:textId="77777777" w:rsidR="00257704" w:rsidRPr="00257704" w:rsidRDefault="00257704" w:rsidP="00D94CDB">
      <w:pPr>
        <w:numPr>
          <w:ilvl w:val="0"/>
          <w:numId w:val="100"/>
        </w:numPr>
        <w:tabs>
          <w:tab w:val="clear" w:pos="720"/>
        </w:tabs>
        <w:bidi/>
        <w:spacing w:after="240" w:line="360" w:lineRule="exact"/>
        <w:ind w:left="567" w:firstLine="0"/>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عبء عمل نظام مدريد؛</w:t>
      </w:r>
    </w:p>
    <w:p w14:paraId="0D72E911" w14:textId="77777777" w:rsidR="00257704" w:rsidRPr="00257704" w:rsidRDefault="00257704" w:rsidP="00D94CDB">
      <w:pPr>
        <w:numPr>
          <w:ilvl w:val="0"/>
          <w:numId w:val="100"/>
        </w:numPr>
        <w:tabs>
          <w:tab w:val="clear" w:pos="720"/>
        </w:tabs>
        <w:bidi/>
        <w:spacing w:after="240" w:line="360" w:lineRule="exact"/>
        <w:ind w:left="567" w:firstLine="0"/>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ومكونات </w:t>
      </w:r>
      <w:r w:rsidRPr="00257704">
        <w:rPr>
          <w:rFonts w:ascii="Arabic Typesetting" w:eastAsiaTheme="minorHAnsi" w:hAnsi="Arabic Typesetting" w:cs="Arabic Typesetting" w:hint="cs"/>
          <w:sz w:val="34"/>
          <w:szCs w:val="34"/>
          <w:rtl/>
        </w:rPr>
        <w:t>ذلك العبء</w:t>
      </w:r>
      <w:r w:rsidRPr="00257704">
        <w:rPr>
          <w:rFonts w:ascii="Arabic Typesetting" w:eastAsiaTheme="minorHAnsi" w:hAnsi="Arabic Typesetting" w:cs="Arabic Typesetting"/>
          <w:sz w:val="34"/>
          <w:szCs w:val="34"/>
          <w:rtl/>
        </w:rPr>
        <w:t>؛</w:t>
      </w:r>
    </w:p>
    <w:p w14:paraId="0C63DF2F" w14:textId="77777777" w:rsidR="00257704" w:rsidRPr="00257704" w:rsidRDefault="00257704" w:rsidP="00D94CDB">
      <w:pPr>
        <w:numPr>
          <w:ilvl w:val="0"/>
          <w:numId w:val="100"/>
        </w:numPr>
        <w:tabs>
          <w:tab w:val="clear" w:pos="720"/>
        </w:tabs>
        <w:bidi/>
        <w:spacing w:after="240" w:line="360" w:lineRule="exact"/>
        <w:ind w:left="567" w:firstLine="0"/>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عدد الموظفين المكلفين بمعالجة ذلك العبء</w:t>
      </w:r>
      <w:r w:rsidRPr="00257704">
        <w:rPr>
          <w:rFonts w:ascii="Arabic Typesetting" w:eastAsiaTheme="minorHAnsi" w:hAnsi="Arabic Typesetting" w:cs="Arabic Typesetting" w:hint="cs"/>
          <w:sz w:val="34"/>
          <w:szCs w:val="34"/>
          <w:rtl/>
        </w:rPr>
        <w:t>؛</w:t>
      </w:r>
    </w:p>
    <w:p w14:paraId="6E75D5C7" w14:textId="77777777" w:rsidR="00257704" w:rsidRPr="00257704" w:rsidRDefault="00257704" w:rsidP="00D94CDB">
      <w:pPr>
        <w:numPr>
          <w:ilvl w:val="0"/>
          <w:numId w:val="100"/>
        </w:numPr>
        <w:tabs>
          <w:tab w:val="clear" w:pos="720"/>
        </w:tabs>
        <w:bidi/>
        <w:spacing w:after="240" w:line="360" w:lineRule="exact"/>
        <w:ind w:left="567" w:firstLine="0"/>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ومستوى الأتمتة؛</w:t>
      </w:r>
    </w:p>
    <w:p w14:paraId="39972CFA" w14:textId="77777777" w:rsidR="00257704" w:rsidRPr="00257704" w:rsidRDefault="00257704" w:rsidP="00D94CDB">
      <w:pPr>
        <w:numPr>
          <w:ilvl w:val="0"/>
          <w:numId w:val="100"/>
        </w:numPr>
        <w:tabs>
          <w:tab w:val="clear" w:pos="720"/>
        </w:tabs>
        <w:bidi/>
        <w:spacing w:after="240" w:line="360" w:lineRule="exact"/>
        <w:ind w:left="567" w:firstLine="0"/>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وتكلفة الإنتاج الإجمالية.</w:t>
      </w:r>
    </w:p>
    <w:p w14:paraId="77A54C0F" w14:textId="77777777" w:rsidR="00257704" w:rsidRPr="00257704" w:rsidRDefault="00257704" w:rsidP="0031289D">
      <w:pPr>
        <w:keepNext/>
        <w:bidi/>
        <w:spacing w:after="240" w:line="360" w:lineRule="exact"/>
        <w:jc w:val="both"/>
        <w:rPr>
          <w:rFonts w:ascii="Arabic Typesetting" w:hAnsi="Arabic Typesetting" w:cs="Arabic Typesetting"/>
          <w:bCs/>
          <w:sz w:val="34"/>
          <w:szCs w:val="34"/>
          <w:highlight w:val="red"/>
        </w:rPr>
      </w:pPr>
      <w:r w:rsidRPr="00257704">
        <w:rPr>
          <w:rFonts w:ascii="Arabic Typesetting" w:hAnsi="Arabic Typesetting" w:cs="Arabic Typesetting" w:hint="cs"/>
          <w:bCs/>
          <w:sz w:val="34"/>
          <w:szCs w:val="34"/>
          <w:rtl/>
        </w:rPr>
        <w:t>أولاً.</w:t>
      </w:r>
      <w:r w:rsidRPr="00257704">
        <w:rPr>
          <w:rFonts w:ascii="Arabic Typesetting" w:hAnsi="Arabic Typesetting" w:cs="Arabic Typesetting" w:hint="cs"/>
          <w:bCs/>
          <w:sz w:val="34"/>
          <w:szCs w:val="34"/>
          <w:rtl/>
        </w:rPr>
        <w:tab/>
      </w:r>
      <w:r w:rsidRPr="00257704">
        <w:rPr>
          <w:rFonts w:ascii="Arabic Typesetting" w:hAnsi="Arabic Typesetting" w:cs="Arabic Typesetting"/>
          <w:bCs/>
          <w:sz w:val="34"/>
          <w:szCs w:val="34"/>
          <w:rtl/>
        </w:rPr>
        <w:t>الوثائق الواردة</w:t>
      </w:r>
    </w:p>
    <w:p w14:paraId="1B63C21B" w14:textId="77777777" w:rsidR="00257704" w:rsidRPr="00257704" w:rsidRDefault="00257704" w:rsidP="00D94CDB">
      <w:pPr>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يتسلم المكتب الدولي ست فئات مختلفة من الوثائق، وهي الطلبات الدولية، والتجديدات، والتعيينات اللاحقة، والتغييرات، والقرارات، والتصحيحات. و</w:t>
      </w:r>
      <w:r w:rsidRPr="00257704">
        <w:rPr>
          <w:rFonts w:ascii="Arabic Typesetting" w:hAnsi="Arabic Typesetting" w:cs="Arabic Typesetting" w:hint="cs"/>
          <w:sz w:val="34"/>
          <w:szCs w:val="34"/>
          <w:rtl/>
        </w:rPr>
        <w:t xml:space="preserve">فيما </w:t>
      </w:r>
      <w:r w:rsidRPr="00257704">
        <w:rPr>
          <w:rFonts w:ascii="Arabic Typesetting" w:hAnsi="Arabic Typesetting" w:cs="Arabic Typesetting"/>
          <w:sz w:val="34"/>
          <w:szCs w:val="34"/>
          <w:rtl/>
        </w:rPr>
        <w:t>يل</w:t>
      </w:r>
      <w:r w:rsidRPr="00257704">
        <w:rPr>
          <w:rFonts w:ascii="Arabic Typesetting" w:hAnsi="Arabic Typesetting" w:cs="Arabic Typesetting" w:hint="cs"/>
          <w:sz w:val="34"/>
          <w:szCs w:val="34"/>
          <w:rtl/>
        </w:rPr>
        <w:t>ي</w:t>
      </w:r>
      <w:r w:rsidRPr="00257704">
        <w:rPr>
          <w:rFonts w:ascii="Arabic Typesetting" w:hAnsi="Arabic Typesetting" w:cs="Arabic Typesetting"/>
          <w:sz w:val="34"/>
          <w:szCs w:val="34"/>
          <w:rtl/>
        </w:rPr>
        <w:t xml:space="preserve"> عرض </w:t>
      </w:r>
      <w:r w:rsidRPr="00257704">
        <w:rPr>
          <w:rFonts w:ascii="Arabic Typesetting" w:hAnsi="Arabic Typesetting" w:cs="Arabic Typesetting" w:hint="cs"/>
          <w:sz w:val="34"/>
          <w:szCs w:val="34"/>
          <w:rtl/>
        </w:rPr>
        <w:t>ل</w:t>
      </w:r>
      <w:r w:rsidRPr="00257704">
        <w:rPr>
          <w:rFonts w:ascii="Arabic Typesetting" w:hAnsi="Arabic Typesetting" w:cs="Arabic Typesetting"/>
          <w:sz w:val="34"/>
          <w:szCs w:val="34"/>
          <w:rtl/>
        </w:rPr>
        <w:t>أحدث توجه لعدد الوثائق التي تسلمها المكتب الدولي فيما يتعلق بكل من تلك الفئات. وترد أيضا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معلومات إضافية بخصوص الطلبات الدولية، مثل متوسط عدد الأصناف ومتوسط حجم الطلب. ولأسباب تقنية، تقدم بعض المؤشرات البيانات بناء على الوثائق المعالجة بدلا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من الوثائق الواردة. ولذلك قد يؤثر تراكم الوثائق التي تنتظر المعالجة في بعض المؤشرات.</w:t>
      </w:r>
      <w:r w:rsidRPr="00257704">
        <w:rPr>
          <w:rFonts w:ascii="Arabic Typesetting" w:hAnsi="Arabic Typesetting" w:cs="Arabic Typesetting" w:hint="cs"/>
          <w:sz w:val="34"/>
          <w:szCs w:val="34"/>
          <w:rtl/>
        </w:rPr>
        <w:t xml:space="preserve"> </w:t>
      </w:r>
      <w:r w:rsidRPr="00257704">
        <w:rPr>
          <w:rFonts w:ascii="Arabic Typesetting" w:hAnsi="Arabic Typesetting" w:cs="Arabic Typesetting"/>
          <w:sz w:val="34"/>
          <w:szCs w:val="34"/>
          <w:rtl/>
        </w:rPr>
        <w:t xml:space="preserve">وعلاوة على ذلك، قام المكتب الدولي في عام 2016 بتغيير منهجيته </w:t>
      </w:r>
      <w:r w:rsidRPr="00257704">
        <w:rPr>
          <w:rFonts w:ascii="Arabic Typesetting" w:hAnsi="Arabic Typesetting" w:cs="Arabic Typesetting" w:hint="cs"/>
          <w:sz w:val="34"/>
          <w:szCs w:val="34"/>
          <w:rtl/>
        </w:rPr>
        <w:t xml:space="preserve">من أجل </w:t>
      </w:r>
      <w:r w:rsidRPr="00257704">
        <w:rPr>
          <w:rFonts w:ascii="Arabic Typesetting" w:hAnsi="Arabic Typesetting" w:cs="Arabic Typesetting"/>
          <w:sz w:val="34"/>
          <w:szCs w:val="34"/>
          <w:rtl/>
        </w:rPr>
        <w:t xml:space="preserve">تحديد تاريخ استلام الطلبات الدولية، وذلك باستخدام تاريخ إيداع </w:t>
      </w:r>
      <w:r w:rsidRPr="00257704">
        <w:rPr>
          <w:rFonts w:ascii="Arabic Typesetting" w:hAnsi="Arabic Typesetting" w:cs="Arabic Typesetting" w:hint="cs"/>
          <w:sz w:val="34"/>
          <w:szCs w:val="34"/>
          <w:rtl/>
        </w:rPr>
        <w:t>ال</w:t>
      </w:r>
      <w:r w:rsidRPr="00257704">
        <w:rPr>
          <w:rFonts w:ascii="Arabic Typesetting" w:hAnsi="Arabic Typesetting" w:cs="Arabic Typesetting"/>
          <w:sz w:val="34"/>
          <w:szCs w:val="34"/>
          <w:rtl/>
        </w:rPr>
        <w:t xml:space="preserve">طلب </w:t>
      </w:r>
      <w:r w:rsidRPr="00257704">
        <w:rPr>
          <w:rFonts w:ascii="Arabic Typesetting" w:hAnsi="Arabic Typesetting" w:cs="Arabic Typesetting" w:hint="cs"/>
          <w:sz w:val="34"/>
          <w:szCs w:val="34"/>
          <w:rtl/>
        </w:rPr>
        <w:t>ال</w:t>
      </w:r>
      <w:r w:rsidRPr="00257704">
        <w:rPr>
          <w:rFonts w:ascii="Arabic Typesetting" w:hAnsi="Arabic Typesetting" w:cs="Arabic Typesetting"/>
          <w:sz w:val="34"/>
          <w:szCs w:val="34"/>
          <w:rtl/>
        </w:rPr>
        <w:t>دولي في مكتب المنشأ بدلا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من تاريخ استلام المكتب الدولي </w:t>
      </w:r>
      <w:r w:rsidRPr="00257704">
        <w:rPr>
          <w:rFonts w:ascii="Arabic Typesetting" w:hAnsi="Arabic Typesetting" w:cs="Arabic Typesetting" w:hint="cs"/>
          <w:sz w:val="34"/>
          <w:szCs w:val="34"/>
          <w:rtl/>
        </w:rPr>
        <w:t>لل</w:t>
      </w:r>
      <w:r w:rsidRPr="00257704">
        <w:rPr>
          <w:rFonts w:ascii="Arabic Typesetting" w:hAnsi="Arabic Typesetting" w:cs="Arabic Typesetting"/>
          <w:sz w:val="34"/>
          <w:szCs w:val="34"/>
          <w:rtl/>
        </w:rPr>
        <w:t xml:space="preserve">طلب </w:t>
      </w:r>
      <w:r w:rsidRPr="00257704">
        <w:rPr>
          <w:rFonts w:ascii="Arabic Typesetting" w:hAnsi="Arabic Typesetting" w:cs="Arabic Typesetting" w:hint="cs"/>
          <w:sz w:val="34"/>
          <w:szCs w:val="34"/>
          <w:rtl/>
        </w:rPr>
        <w:t>ال</w:t>
      </w:r>
      <w:r w:rsidRPr="00257704">
        <w:rPr>
          <w:rFonts w:ascii="Arabic Typesetting" w:hAnsi="Arabic Typesetting" w:cs="Arabic Typesetting"/>
          <w:sz w:val="34"/>
          <w:szCs w:val="34"/>
          <w:rtl/>
        </w:rPr>
        <w:t>دولي.</w:t>
      </w:r>
    </w:p>
    <w:p w14:paraId="5D1A3370" w14:textId="77777777" w:rsidR="00257704" w:rsidRPr="00257704" w:rsidRDefault="00257704" w:rsidP="0031289D">
      <w:pPr>
        <w:keepNext/>
        <w:keepLines/>
        <w:bidi/>
        <w:spacing w:after="240" w:line="360" w:lineRule="exact"/>
        <w:rPr>
          <w:rFonts w:ascii="Arabic Typesetting" w:eastAsiaTheme="minorHAnsi" w:hAnsi="Arabic Typesetting" w:cs="Arabic Typesetting"/>
          <w:sz w:val="34"/>
          <w:szCs w:val="34"/>
          <w:u w:val="single"/>
          <w:lang w:bidi="ar-EG"/>
        </w:rPr>
      </w:pPr>
      <w:r w:rsidRPr="00257704">
        <w:rPr>
          <w:rFonts w:ascii="Arabic Typesetting" w:eastAsiaTheme="minorHAnsi" w:hAnsi="Arabic Typesetting" w:cs="Arabic Typesetting"/>
          <w:sz w:val="34"/>
          <w:szCs w:val="34"/>
          <w:u w:val="single"/>
          <w:rtl/>
        </w:rPr>
        <w:lastRenderedPageBreak/>
        <w:t>الطلبات الدولية</w:t>
      </w:r>
    </w:p>
    <w:p w14:paraId="51344147" w14:textId="0ABB2F2C" w:rsidR="00257704" w:rsidRPr="00257704" w:rsidRDefault="00B74277" w:rsidP="0031289D">
      <w:pPr>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383CA646" wp14:editId="6A666718">
            <wp:extent cx="4221784" cy="1865456"/>
            <wp:effectExtent l="0" t="0" r="762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32091" cy="1870010"/>
                    </a:xfrm>
                    <a:prstGeom prst="rect">
                      <a:avLst/>
                    </a:prstGeom>
                    <a:noFill/>
                  </pic:spPr>
                </pic:pic>
              </a:graphicData>
            </a:graphic>
          </wp:inline>
        </w:drawing>
      </w:r>
    </w:p>
    <w:p w14:paraId="5CB928B8"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ت</w:t>
      </w:r>
      <w:r w:rsidRPr="00257704">
        <w:rPr>
          <w:rFonts w:ascii="Arabic Typesetting" w:eastAsiaTheme="minorHAnsi" w:hAnsi="Arabic Typesetting" w:cs="Arabic Typesetting" w:hint="cs"/>
          <w:sz w:val="34"/>
          <w:szCs w:val="34"/>
          <w:rtl/>
        </w:rPr>
        <w:t xml:space="preserve">سلم </w:t>
      </w:r>
      <w:r w:rsidRPr="00257704">
        <w:rPr>
          <w:rFonts w:ascii="Arabic Typesetting" w:eastAsiaTheme="minorHAnsi" w:hAnsi="Arabic Typesetting" w:cs="Arabic Typesetting"/>
          <w:sz w:val="34"/>
          <w:szCs w:val="34"/>
          <w:rtl/>
        </w:rPr>
        <w:t>المكتب الدولي</w:t>
      </w:r>
      <w:r w:rsidRPr="00257704">
        <w:rPr>
          <w:rFonts w:ascii="Arabic Typesetting" w:eastAsiaTheme="minorHAnsi" w:hAnsi="Arabic Typesetting" w:cs="Arabic Typesetting" w:hint="cs"/>
          <w:sz w:val="34"/>
          <w:szCs w:val="34"/>
          <w:rtl/>
        </w:rPr>
        <w:t xml:space="preserve"> </w:t>
      </w:r>
      <w:r w:rsidRPr="00396976">
        <w:rPr>
          <w:rFonts w:ascii="Arabic Typesetting" w:eastAsiaTheme="minorHAnsi" w:hAnsi="Arabic Typesetting" w:cs="Arabic Typesetting"/>
          <w:sz w:val="34"/>
          <w:szCs w:val="34"/>
          <w:rtl/>
        </w:rPr>
        <w:t>550</w:t>
      </w:r>
      <w:r w:rsidRPr="00396976">
        <w:rPr>
          <w:rFonts w:ascii="Arabic Typesetting" w:eastAsiaTheme="minorHAnsi" w:hAnsi="Arabic Typesetting" w:cs="Arabic Typesetting" w:hint="eastAsia"/>
          <w:sz w:val="34"/>
          <w:szCs w:val="34"/>
          <w:rtl/>
        </w:rPr>
        <w:t> </w:t>
      </w:r>
      <w:r w:rsidRPr="00396976">
        <w:rPr>
          <w:rFonts w:ascii="Arabic Typesetting" w:eastAsiaTheme="minorHAnsi" w:hAnsi="Arabic Typesetting" w:cs="Arabic Typesetting"/>
          <w:sz w:val="34"/>
          <w:szCs w:val="34"/>
          <w:rtl/>
        </w:rPr>
        <w:t>52</w:t>
      </w:r>
      <w:r w:rsidRPr="00257704">
        <w:rPr>
          <w:rFonts w:ascii="Arabic Typesetting" w:eastAsiaTheme="minorHAnsi" w:hAnsi="Arabic Typesetting" w:cs="Arabic Typesetting"/>
          <w:sz w:val="34"/>
          <w:szCs w:val="34"/>
          <w:rtl/>
        </w:rPr>
        <w:t xml:space="preserve"> طلبا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مودعا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في عام 2016، وهو ما يمثل زيادة بنسبة 7،2 في المائة مقارنة بعام</w:t>
      </w:r>
      <w:r w:rsidRPr="00257704">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2015.</w:t>
      </w:r>
      <w:r w:rsidRPr="00257704">
        <w:rPr>
          <w:rFonts w:ascii="Arabic Typesetting" w:eastAsiaTheme="minorHAnsi" w:hAnsi="Arabic Typesetting" w:cs="Arabic Typesetting"/>
          <w:sz w:val="28"/>
          <w:szCs w:val="28"/>
          <w:vertAlign w:val="superscript"/>
        </w:rPr>
        <w:footnoteReference w:id="35"/>
      </w:r>
    </w:p>
    <w:p w14:paraId="465BF236"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و</w:t>
      </w:r>
      <w:r w:rsidRPr="00257704">
        <w:rPr>
          <w:rFonts w:ascii="Arabic Typesetting" w:eastAsiaTheme="minorHAnsi" w:hAnsi="Arabic Typesetting" w:cs="Arabic Typesetting" w:hint="cs"/>
          <w:sz w:val="34"/>
          <w:szCs w:val="34"/>
          <w:rtl/>
        </w:rPr>
        <w:t xml:space="preserve">قد زادت </w:t>
      </w:r>
      <w:r w:rsidRPr="00257704">
        <w:rPr>
          <w:rFonts w:ascii="Arabic Typesetting" w:eastAsiaTheme="minorHAnsi" w:hAnsi="Arabic Typesetting" w:cs="Arabic Typesetting"/>
          <w:sz w:val="34"/>
          <w:szCs w:val="34"/>
          <w:rtl/>
        </w:rPr>
        <w:t>باستمرار منذ</w:t>
      </w:r>
      <w:r w:rsidRPr="00257704">
        <w:rPr>
          <w:rFonts w:ascii="Arabic Typesetting" w:eastAsiaTheme="minorHAnsi" w:hAnsi="Arabic Typesetting" w:cs="Arabic Typesetting" w:hint="cs"/>
          <w:sz w:val="34"/>
          <w:szCs w:val="34"/>
          <w:rtl/>
        </w:rPr>
        <w:t xml:space="preserve"> عام</w:t>
      </w:r>
      <w:r w:rsidRPr="00257704">
        <w:rPr>
          <w:rFonts w:ascii="Arabic Typesetting" w:eastAsiaTheme="minorHAnsi" w:hAnsi="Arabic Typesetting" w:cs="Arabic Typesetting"/>
          <w:sz w:val="34"/>
          <w:szCs w:val="34"/>
          <w:rtl/>
        </w:rPr>
        <w:t xml:space="preserve"> 2010</w:t>
      </w:r>
      <w:r w:rsidRPr="00257704">
        <w:rPr>
          <w:rFonts w:ascii="Arabic Typesetting" w:eastAsiaTheme="minorHAnsi" w:hAnsi="Arabic Typesetting" w:cs="Arabic Typesetting" w:hint="cs"/>
          <w:sz w:val="34"/>
          <w:szCs w:val="34"/>
          <w:rtl/>
        </w:rPr>
        <w:t xml:space="preserve"> أعداد</w:t>
      </w:r>
      <w:r w:rsidRPr="00257704">
        <w:rPr>
          <w:rFonts w:ascii="Arabic Typesetting" w:eastAsiaTheme="minorHAnsi" w:hAnsi="Arabic Typesetting" w:cs="Arabic Typesetting"/>
          <w:sz w:val="34"/>
          <w:szCs w:val="34"/>
          <w:rtl/>
        </w:rPr>
        <w:t xml:space="preserve"> الطلبات المستلمة.</w:t>
      </w:r>
    </w:p>
    <w:p w14:paraId="5067D383" w14:textId="77777777" w:rsidR="00257704" w:rsidRPr="00257704" w:rsidRDefault="00257704" w:rsidP="0031289D">
      <w:pPr>
        <w:keepNext/>
        <w:keepLines/>
        <w:bidi/>
        <w:spacing w:after="240" w:line="360" w:lineRule="exact"/>
        <w:rPr>
          <w:rFonts w:ascii="Arabic Typesetting" w:eastAsiaTheme="minorHAnsi" w:hAnsi="Arabic Typesetting" w:cs="Arabic Typesetting"/>
          <w:iCs/>
          <w:sz w:val="34"/>
          <w:szCs w:val="34"/>
        </w:rPr>
      </w:pPr>
      <w:r w:rsidRPr="00257704">
        <w:rPr>
          <w:rFonts w:ascii="Arabic Typesetting" w:eastAsiaTheme="minorHAnsi" w:hAnsi="Arabic Typesetting" w:cs="Arabic Typesetting"/>
          <w:iCs/>
          <w:sz w:val="34"/>
          <w:szCs w:val="34"/>
          <w:rtl/>
        </w:rPr>
        <w:t>توزيع الطلبات بحسب لغة الإيداع</w:t>
      </w:r>
    </w:p>
    <w:p w14:paraId="3A2A36E3" w14:textId="7A3EFD57" w:rsidR="00257704" w:rsidRPr="00257704" w:rsidRDefault="00B74277" w:rsidP="0031289D">
      <w:pPr>
        <w:bidi/>
        <w:spacing w:after="240" w:line="276" w:lineRule="auto"/>
        <w:ind w:left="-1"/>
        <w:jc w:val="center"/>
        <w:rPr>
          <w:rFonts w:ascii="Arabic Typesetting" w:eastAsiaTheme="minorHAnsi" w:hAnsi="Arabic Typesetting" w:cs="Arabic Typesetting"/>
          <w:sz w:val="36"/>
          <w:szCs w:val="36"/>
        </w:rPr>
      </w:pPr>
      <w:r>
        <w:rPr>
          <w:rFonts w:ascii="Arabic Typesetting" w:eastAsiaTheme="minorHAnsi" w:hAnsi="Arabic Typesetting" w:cs="Arabic Typesetting"/>
          <w:noProof/>
          <w:sz w:val="36"/>
          <w:szCs w:val="36"/>
        </w:rPr>
        <w:drawing>
          <wp:inline distT="0" distB="0" distL="0" distR="0" wp14:anchorId="2AB686FB" wp14:editId="278BD326">
            <wp:extent cx="3937914" cy="1926146"/>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76803" cy="1945168"/>
                    </a:xfrm>
                    <a:prstGeom prst="rect">
                      <a:avLst/>
                    </a:prstGeom>
                    <a:noFill/>
                  </pic:spPr>
                </pic:pic>
              </a:graphicData>
            </a:graphic>
          </wp:inline>
        </w:drawing>
      </w:r>
    </w:p>
    <w:p w14:paraId="00886455"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6"/>
          <w:szCs w:val="36"/>
        </w:rPr>
      </w:pPr>
      <w:r w:rsidRPr="00257704">
        <w:rPr>
          <w:rFonts w:ascii="Arabic Typesetting" w:eastAsiaTheme="minorHAnsi" w:hAnsi="Arabic Typesetting" w:cs="Arabic Typesetting"/>
          <w:sz w:val="36"/>
          <w:szCs w:val="36"/>
          <w:rtl/>
        </w:rPr>
        <w:t xml:space="preserve">في عام 2016، أُودع 82 في المائة من جميع الطلبات باللغة الإنكليزية. وزادت هذه </w:t>
      </w:r>
      <w:r w:rsidRPr="00257704">
        <w:rPr>
          <w:rFonts w:ascii="Arabic Typesetting" w:eastAsiaTheme="minorHAnsi" w:hAnsi="Arabic Typesetting" w:cs="Arabic Typesetting" w:hint="cs"/>
          <w:sz w:val="36"/>
          <w:szCs w:val="36"/>
          <w:rtl/>
        </w:rPr>
        <w:t>النسبة بمقدار</w:t>
      </w:r>
      <w:r w:rsidRPr="00257704">
        <w:rPr>
          <w:rFonts w:ascii="Arabic Typesetting" w:eastAsiaTheme="minorHAnsi" w:hAnsi="Arabic Typesetting" w:cs="Arabic Typesetting"/>
          <w:sz w:val="36"/>
          <w:szCs w:val="36"/>
          <w:rtl/>
        </w:rPr>
        <w:t xml:space="preserve"> 17 </w:t>
      </w:r>
      <w:r w:rsidRPr="00257704">
        <w:rPr>
          <w:rFonts w:ascii="Arabic Typesetting" w:eastAsiaTheme="minorHAnsi" w:hAnsi="Arabic Typesetting" w:cs="Arabic Typesetting" w:hint="cs"/>
          <w:sz w:val="36"/>
          <w:szCs w:val="36"/>
          <w:rtl/>
        </w:rPr>
        <w:t xml:space="preserve">نقطة مئوية </w:t>
      </w:r>
      <w:r w:rsidRPr="00257704">
        <w:rPr>
          <w:rFonts w:ascii="Arabic Typesetting" w:eastAsiaTheme="minorHAnsi" w:hAnsi="Arabic Typesetting" w:cs="Arabic Typesetting"/>
          <w:sz w:val="36"/>
          <w:szCs w:val="36"/>
          <w:rtl/>
        </w:rPr>
        <w:t xml:space="preserve">منذ عام </w:t>
      </w:r>
      <w:r w:rsidRPr="00257704">
        <w:rPr>
          <w:rFonts w:ascii="Arabic Typesetting" w:eastAsiaTheme="minorHAnsi" w:hAnsi="Arabic Typesetting" w:cs="Arabic Typesetting"/>
          <w:sz w:val="34"/>
          <w:szCs w:val="34"/>
          <w:rtl/>
        </w:rPr>
        <w:t>2008</w:t>
      </w:r>
      <w:r w:rsidRPr="00257704">
        <w:rPr>
          <w:rFonts w:ascii="Arabic Typesetting" w:eastAsiaTheme="minorHAnsi" w:hAnsi="Arabic Typesetting" w:cs="Arabic Typesetting"/>
          <w:sz w:val="36"/>
          <w:szCs w:val="36"/>
          <w:rtl/>
        </w:rPr>
        <w:t xml:space="preserve">، </w:t>
      </w:r>
      <w:r w:rsidRPr="00257704">
        <w:rPr>
          <w:rFonts w:ascii="Arabic Typesetting" w:eastAsiaTheme="minorHAnsi" w:hAnsi="Arabic Typesetting" w:cs="Arabic Typesetting" w:hint="cs"/>
          <w:sz w:val="36"/>
          <w:szCs w:val="36"/>
          <w:rtl/>
        </w:rPr>
        <w:t xml:space="preserve">حينما </w:t>
      </w:r>
      <w:r w:rsidRPr="00257704">
        <w:rPr>
          <w:rFonts w:ascii="Arabic Typesetting" w:eastAsiaTheme="minorHAnsi" w:hAnsi="Arabic Typesetting" w:cs="Arabic Typesetting"/>
          <w:sz w:val="36"/>
          <w:szCs w:val="36"/>
          <w:rtl/>
        </w:rPr>
        <w:t>كانت الطلبات الإنكليزية تشكل 65 في المائة من جميع الطلبات المودعة.</w:t>
      </w:r>
    </w:p>
    <w:p w14:paraId="0B7DB765" w14:textId="77777777" w:rsidR="00257704" w:rsidRPr="00257704" w:rsidRDefault="00257704" w:rsidP="0031289D">
      <w:pPr>
        <w:keepNext/>
        <w:keepLines/>
        <w:bidi/>
        <w:spacing w:after="240" w:line="360" w:lineRule="exact"/>
        <w:rPr>
          <w:rFonts w:ascii="Arabic Typesetting" w:eastAsiaTheme="minorHAnsi" w:hAnsi="Arabic Typesetting" w:cs="Arabic Typesetting"/>
          <w:iCs/>
          <w:sz w:val="36"/>
          <w:szCs w:val="36"/>
        </w:rPr>
      </w:pPr>
      <w:r w:rsidRPr="00257704">
        <w:rPr>
          <w:rFonts w:ascii="Arabic Typesetting" w:eastAsiaTheme="minorHAnsi" w:hAnsi="Arabic Typesetting" w:cs="Arabic Typesetting"/>
          <w:iCs/>
          <w:sz w:val="36"/>
          <w:szCs w:val="36"/>
          <w:rtl/>
        </w:rPr>
        <w:lastRenderedPageBreak/>
        <w:t>متوسط عدد التعيينات لكل تسجيل</w:t>
      </w:r>
    </w:p>
    <w:p w14:paraId="70F15F1A" w14:textId="2733A7D2" w:rsidR="00257704" w:rsidRPr="00257704" w:rsidRDefault="00106E11" w:rsidP="0031289D">
      <w:pPr>
        <w:bidi/>
        <w:spacing w:after="240" w:line="276" w:lineRule="auto"/>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42AB26CD" wp14:editId="3340E866">
            <wp:extent cx="4462998" cy="213395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80688" cy="2142410"/>
                    </a:xfrm>
                    <a:prstGeom prst="rect">
                      <a:avLst/>
                    </a:prstGeom>
                    <a:noFill/>
                  </pic:spPr>
                </pic:pic>
              </a:graphicData>
            </a:graphic>
          </wp:inline>
        </w:drawing>
      </w:r>
    </w:p>
    <w:p w14:paraId="76DA63BD"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6"/>
          <w:szCs w:val="36"/>
        </w:rPr>
      </w:pPr>
      <w:r w:rsidRPr="00257704">
        <w:rPr>
          <w:rFonts w:ascii="Arabic Typesetting" w:eastAsiaTheme="minorHAnsi" w:hAnsi="Arabic Typesetting" w:cs="Arabic Typesetting"/>
          <w:sz w:val="34"/>
          <w:szCs w:val="34"/>
          <w:rtl/>
        </w:rPr>
        <w:t>بلغ متوسط عدد التعيينات في الطلبات المسجلة في سنة 2016 ما قدره 6.7 تعيينات.</w:t>
      </w:r>
      <w:r w:rsidRPr="00257704">
        <w:rPr>
          <w:rFonts w:ascii="Arabic Typesetting" w:eastAsiaTheme="minorHAnsi" w:hAnsi="Arabic Typesetting" w:cs="Arabic Typesetting"/>
          <w:sz w:val="36"/>
          <w:szCs w:val="36"/>
          <w:vertAlign w:val="superscript"/>
          <w:rtl/>
        </w:rPr>
        <w:footnoteReference w:id="36"/>
      </w:r>
    </w:p>
    <w:p w14:paraId="3331327C" w14:textId="77777777" w:rsidR="00257704" w:rsidRPr="00257704" w:rsidRDefault="00257704" w:rsidP="0031289D">
      <w:pPr>
        <w:keepNext/>
        <w:keepLines/>
        <w:bidi/>
        <w:spacing w:after="240" w:line="360" w:lineRule="exact"/>
        <w:rPr>
          <w:rFonts w:ascii="Arabic Typesetting" w:eastAsiaTheme="minorHAnsi" w:hAnsi="Arabic Typesetting" w:cs="Arabic Typesetting"/>
          <w:iCs/>
          <w:sz w:val="34"/>
          <w:szCs w:val="34"/>
        </w:rPr>
      </w:pPr>
      <w:r w:rsidRPr="00257704">
        <w:rPr>
          <w:rFonts w:ascii="Arabic Typesetting" w:eastAsiaTheme="minorHAnsi" w:hAnsi="Arabic Typesetting" w:cs="Arabic Typesetting"/>
          <w:iCs/>
          <w:sz w:val="34"/>
          <w:szCs w:val="34"/>
          <w:rtl/>
        </w:rPr>
        <w:t>متوسط عدد الأصناف بحسب كل تسجيل</w:t>
      </w:r>
    </w:p>
    <w:p w14:paraId="016A9D63" w14:textId="58F25D28" w:rsidR="00257704" w:rsidRPr="00257704" w:rsidRDefault="00106E11" w:rsidP="0031289D">
      <w:pPr>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6811AD67" wp14:editId="6AA12001">
            <wp:extent cx="4418166" cy="2087914"/>
            <wp:effectExtent l="0" t="0" r="190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36385" cy="2096524"/>
                    </a:xfrm>
                    <a:prstGeom prst="rect">
                      <a:avLst/>
                    </a:prstGeom>
                    <a:noFill/>
                  </pic:spPr>
                </pic:pic>
              </a:graphicData>
            </a:graphic>
          </wp:inline>
        </w:drawing>
      </w:r>
    </w:p>
    <w:p w14:paraId="72248660"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حُدِّد، في المتوسط، 2.5 صنف في الطلبات المسجلة في عام 2016، كما هو الحال في عامي 2014 و2015.</w:t>
      </w:r>
    </w:p>
    <w:p w14:paraId="7E43FF8B" w14:textId="77777777" w:rsidR="00257704" w:rsidRPr="00257704" w:rsidRDefault="00257704" w:rsidP="0031289D">
      <w:pPr>
        <w:keepNext/>
        <w:keepLines/>
        <w:bidi/>
        <w:spacing w:after="240" w:line="360" w:lineRule="exact"/>
        <w:rPr>
          <w:rFonts w:ascii="Arabic Typesetting" w:eastAsiaTheme="minorHAnsi" w:hAnsi="Arabic Typesetting" w:cs="Arabic Typesetting"/>
          <w:iCs/>
          <w:sz w:val="34"/>
          <w:szCs w:val="34"/>
        </w:rPr>
      </w:pPr>
      <w:r w:rsidRPr="00257704">
        <w:rPr>
          <w:rFonts w:ascii="Arabic Typesetting" w:eastAsiaTheme="minorHAnsi" w:hAnsi="Arabic Typesetting" w:cs="Arabic Typesetting"/>
          <w:iCs/>
          <w:sz w:val="34"/>
          <w:szCs w:val="34"/>
          <w:rtl/>
        </w:rPr>
        <w:t>متوسط حجم الطلبات</w:t>
      </w:r>
    </w:p>
    <w:p w14:paraId="11AF67AB" w14:textId="77777777" w:rsidR="00257704" w:rsidRPr="00257704" w:rsidRDefault="00257704" w:rsidP="00D94CDB">
      <w:pPr>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 xml:space="preserve">يُحدَّد حجم الطلب بالعدد الإجمالي للكلمات التي يستخدمها المودع في (أ) وصف العلامة، (ب) وقائمة السلع والخدمات، (ج) وأي حالات </w:t>
      </w:r>
      <w:r w:rsidRPr="00257704">
        <w:rPr>
          <w:rFonts w:ascii="Arabic Typesetting" w:hAnsi="Arabic Typesetting" w:cs="Arabic Typesetting" w:hint="cs"/>
          <w:sz w:val="34"/>
          <w:szCs w:val="34"/>
          <w:rtl/>
        </w:rPr>
        <w:t>إ</w:t>
      </w:r>
      <w:r w:rsidRPr="00257704">
        <w:rPr>
          <w:rFonts w:ascii="Arabic Typesetting" w:hAnsi="Arabic Typesetting" w:cs="Arabic Typesetting"/>
          <w:sz w:val="34"/>
          <w:szCs w:val="34"/>
          <w:rtl/>
        </w:rPr>
        <w:t>نقاص مرافقة للطلب. ولإتاحة الطلب بكل لغات نظام مدريد، يترجم المكتب الدولي تلك العناصر الثلاثة إلى الإنكليزية أو الفرنسية أو الإسبانية، حسب لغة الطلب الأصلية.</w:t>
      </w:r>
    </w:p>
    <w:p w14:paraId="62AC0AAF" w14:textId="3DC346E4" w:rsidR="00257704" w:rsidRPr="00257704" w:rsidRDefault="00106E11" w:rsidP="0031289D">
      <w:pPr>
        <w:bidi/>
        <w:spacing w:after="240" w:line="276" w:lineRule="auto"/>
        <w:jc w:val="center"/>
        <w:rPr>
          <w:rFonts w:ascii="Arabic Typesetting" w:hAnsi="Arabic Typesetting" w:cs="Arabic Typesetting"/>
          <w:sz w:val="36"/>
          <w:szCs w:val="36"/>
        </w:rPr>
      </w:pPr>
      <w:r>
        <w:rPr>
          <w:rFonts w:ascii="Arabic Typesetting" w:hAnsi="Arabic Typesetting" w:cs="Arabic Typesetting"/>
          <w:noProof/>
          <w:sz w:val="36"/>
          <w:szCs w:val="36"/>
        </w:rPr>
        <w:lastRenderedPageBreak/>
        <w:drawing>
          <wp:inline distT="0" distB="0" distL="0" distR="0" wp14:anchorId="202E6DFC" wp14:editId="0FD0C6E5">
            <wp:extent cx="3754674" cy="19333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63543" cy="1937927"/>
                    </a:xfrm>
                    <a:prstGeom prst="rect">
                      <a:avLst/>
                    </a:prstGeom>
                    <a:noFill/>
                  </pic:spPr>
                </pic:pic>
              </a:graphicData>
            </a:graphic>
          </wp:inline>
        </w:drawing>
      </w:r>
    </w:p>
    <w:p w14:paraId="7D22C897" w14:textId="62867BF6"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hAnsi="Arabic Typesetting" w:cs="Arabic Typesetting"/>
          <w:noProof/>
          <w:sz w:val="34"/>
          <w:szCs w:val="34"/>
          <w:rtl/>
        </w:rPr>
        <w:t xml:space="preserve">لم تكن </w:t>
      </w:r>
      <w:r w:rsidRPr="00257704">
        <w:rPr>
          <w:rFonts w:ascii="Arabic Typesetting" w:eastAsiaTheme="minorHAnsi" w:hAnsi="Arabic Typesetting" w:cs="Arabic Typesetting"/>
          <w:sz w:val="34"/>
          <w:szCs w:val="34"/>
          <w:rtl/>
        </w:rPr>
        <w:t>بيانات</w:t>
      </w:r>
      <w:r w:rsidRPr="00257704">
        <w:rPr>
          <w:rFonts w:ascii="Arabic Typesetting" w:hAnsi="Arabic Typesetting" w:cs="Arabic Typesetting"/>
          <w:noProof/>
          <w:sz w:val="34"/>
          <w:szCs w:val="34"/>
          <w:rtl/>
        </w:rPr>
        <w:t xml:space="preserve"> عام 2016 متاحة </w:t>
      </w:r>
      <w:r w:rsidRPr="00257704">
        <w:rPr>
          <w:rFonts w:ascii="Arabic Typesetting" w:hAnsi="Arabic Typesetting" w:cs="Arabic Typesetting" w:hint="cs"/>
          <w:noProof/>
          <w:sz w:val="34"/>
          <w:szCs w:val="34"/>
          <w:rtl/>
        </w:rPr>
        <w:t xml:space="preserve">في </w:t>
      </w:r>
      <w:r w:rsidRPr="00257704">
        <w:rPr>
          <w:rFonts w:ascii="Arabic Typesetting" w:hAnsi="Arabic Typesetting" w:cs="Arabic Typesetting"/>
          <w:noProof/>
          <w:sz w:val="34"/>
          <w:szCs w:val="34"/>
          <w:rtl/>
        </w:rPr>
        <w:t xml:space="preserve">وقت إصدار </w:t>
      </w:r>
      <w:r w:rsidRPr="00257704">
        <w:rPr>
          <w:rFonts w:ascii="Arabic Typesetting" w:hAnsi="Arabic Typesetting" w:cs="Arabic Typesetting" w:hint="cs"/>
          <w:noProof/>
          <w:sz w:val="34"/>
          <w:szCs w:val="34"/>
          <w:rtl/>
        </w:rPr>
        <w:t xml:space="preserve">هذا </w:t>
      </w:r>
      <w:r w:rsidRPr="00257704">
        <w:rPr>
          <w:rFonts w:ascii="Arabic Typesetting" w:hAnsi="Arabic Typesetting" w:cs="Arabic Typesetting"/>
          <w:noProof/>
          <w:sz w:val="34"/>
          <w:szCs w:val="34"/>
          <w:rtl/>
        </w:rPr>
        <w:t>التقرير</w:t>
      </w:r>
      <w:r w:rsidRPr="00257704">
        <w:rPr>
          <w:rFonts w:ascii="Arabic Typesetting" w:hAnsi="Arabic Typesetting" w:cs="Arabic Typesetting" w:hint="cs"/>
          <w:noProof/>
          <w:sz w:val="34"/>
          <w:szCs w:val="34"/>
          <w:rtl/>
        </w:rPr>
        <w:t>، بسبب تغيير النظام التكنولوجي</w:t>
      </w:r>
      <w:r w:rsidRPr="00257704">
        <w:rPr>
          <w:rFonts w:ascii="Arabic Typesetting" w:hAnsi="Arabic Typesetting" w:cs="Arabic Typesetting"/>
          <w:noProof/>
          <w:sz w:val="34"/>
          <w:szCs w:val="34"/>
          <w:rtl/>
        </w:rPr>
        <w:t>.</w:t>
      </w:r>
    </w:p>
    <w:p w14:paraId="3A765413" w14:textId="04ADCE52" w:rsidR="00257704" w:rsidRPr="00257704" w:rsidRDefault="00257704" w:rsidP="00106E11">
      <w:pPr>
        <w:keepNext/>
        <w:keepLines/>
        <w:bidi/>
        <w:spacing w:after="240" w:line="360" w:lineRule="exact"/>
        <w:rPr>
          <w:rFonts w:ascii="Arabic Typesetting" w:eastAsiaTheme="minorHAnsi" w:hAnsi="Arabic Typesetting" w:cs="Arabic Typesetting"/>
          <w:iCs/>
          <w:sz w:val="34"/>
          <w:szCs w:val="34"/>
        </w:rPr>
      </w:pPr>
      <w:r w:rsidRPr="00257704">
        <w:rPr>
          <w:rFonts w:ascii="Arabic Typesetting" w:eastAsiaTheme="minorHAnsi" w:hAnsi="Arabic Typesetting" w:cs="Arabic Typesetting"/>
          <w:iCs/>
          <w:sz w:val="34"/>
          <w:szCs w:val="34"/>
          <w:rtl/>
        </w:rPr>
        <w:t xml:space="preserve">توزيع الطلبات الصحيحة والطلبات </w:t>
      </w:r>
      <w:r w:rsidR="00106E11">
        <w:rPr>
          <w:rFonts w:ascii="Arabic Typesetting" w:eastAsiaTheme="minorHAnsi" w:hAnsi="Arabic Typesetting" w:cs="Arabic Typesetting" w:hint="cs"/>
          <w:iCs/>
          <w:sz w:val="34"/>
          <w:szCs w:val="34"/>
          <w:rtl/>
        </w:rPr>
        <w:t>المخالفة</w:t>
      </w:r>
    </w:p>
    <w:p w14:paraId="6884231C" w14:textId="7515EED6" w:rsidR="00257704" w:rsidRPr="00257704" w:rsidRDefault="00FD1AFA" w:rsidP="0031289D">
      <w:pPr>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1885BBED" wp14:editId="1CD62C6D">
            <wp:extent cx="3599840" cy="1812516"/>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23182" cy="1824268"/>
                    </a:xfrm>
                    <a:prstGeom prst="rect">
                      <a:avLst/>
                    </a:prstGeom>
                    <a:noFill/>
                  </pic:spPr>
                </pic:pic>
              </a:graphicData>
            </a:graphic>
          </wp:inline>
        </w:drawing>
      </w:r>
    </w:p>
    <w:p w14:paraId="3043CA94"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ظلت حصة الطلبات ال</w:t>
      </w:r>
      <w:r w:rsidRPr="00257704">
        <w:rPr>
          <w:rFonts w:ascii="Arabic Typesetting" w:eastAsiaTheme="minorHAnsi" w:hAnsi="Arabic Typesetting" w:cs="Arabic Typesetting" w:hint="cs"/>
          <w:sz w:val="34"/>
          <w:szCs w:val="34"/>
          <w:rtl/>
        </w:rPr>
        <w:t xml:space="preserve">صحيحة </w:t>
      </w:r>
      <w:r w:rsidRPr="00257704">
        <w:rPr>
          <w:rFonts w:ascii="Arabic Typesetting" w:eastAsiaTheme="minorHAnsi" w:hAnsi="Arabic Typesetting" w:cs="Arabic Typesetting"/>
          <w:sz w:val="34"/>
          <w:szCs w:val="34"/>
          <w:rtl/>
        </w:rPr>
        <w:t>مستقرة نسبيا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في عام 2016 مقارنة بعام 2015، بزيادة قدرها نقطة مئوية واحدة.</w:t>
      </w:r>
    </w:p>
    <w:p w14:paraId="33BF6EB3" w14:textId="242FDEDD" w:rsidR="00257704" w:rsidRPr="00257704" w:rsidRDefault="00257704" w:rsidP="0031289D">
      <w:pPr>
        <w:keepNext/>
        <w:bidi/>
        <w:spacing w:after="240" w:line="360" w:lineRule="exact"/>
        <w:rPr>
          <w:rFonts w:ascii="Arabic Typesetting" w:eastAsiaTheme="minorHAnsi" w:hAnsi="Arabic Typesetting" w:cs="Arabic Typesetting"/>
          <w:sz w:val="36"/>
          <w:szCs w:val="36"/>
          <w:u w:val="single"/>
        </w:rPr>
      </w:pPr>
      <w:r w:rsidRPr="00257704">
        <w:rPr>
          <w:rFonts w:ascii="Arabic Typesetting" w:eastAsiaTheme="minorHAnsi" w:hAnsi="Arabic Typesetting" w:cs="Arabic Typesetting"/>
          <w:sz w:val="34"/>
          <w:szCs w:val="34"/>
          <w:u w:val="single"/>
          <w:rtl/>
        </w:rPr>
        <w:t>التجديدات</w:t>
      </w:r>
    </w:p>
    <w:p w14:paraId="5206A82F" w14:textId="0996EF27" w:rsidR="00257704" w:rsidRPr="00257704" w:rsidRDefault="00082BC9" w:rsidP="0031289D">
      <w:pPr>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4C6C73DA" wp14:editId="01902FBD">
            <wp:extent cx="5504349" cy="2823966"/>
            <wp:effectExtent l="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9452" cy="2831714"/>
                    </a:xfrm>
                    <a:prstGeom prst="rect">
                      <a:avLst/>
                    </a:prstGeom>
                    <a:noFill/>
                  </pic:spPr>
                </pic:pic>
              </a:graphicData>
            </a:graphic>
          </wp:inline>
        </w:drawing>
      </w:r>
    </w:p>
    <w:p w14:paraId="646F0723"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في عام 2016، </w:t>
      </w:r>
      <w:r w:rsidRPr="00257704">
        <w:rPr>
          <w:rFonts w:ascii="Arabic Typesetting" w:eastAsiaTheme="minorHAnsi" w:hAnsi="Arabic Typesetting" w:cs="Arabic Typesetting" w:hint="cs"/>
          <w:sz w:val="34"/>
          <w:szCs w:val="34"/>
          <w:rtl/>
        </w:rPr>
        <w:t>دوَّن</w:t>
      </w:r>
      <w:r w:rsidRPr="00257704">
        <w:rPr>
          <w:rFonts w:ascii="Arabic Typesetting" w:eastAsiaTheme="minorHAnsi" w:hAnsi="Arabic Typesetting" w:cs="Arabic Typesetting"/>
          <w:sz w:val="34"/>
          <w:szCs w:val="34"/>
          <w:rtl/>
        </w:rPr>
        <w:t xml:space="preserve"> المكتب الدولي</w:t>
      </w:r>
      <w:r w:rsidRPr="00257704">
        <w:rPr>
          <w:rFonts w:ascii="Arabic Typesetting" w:eastAsiaTheme="minorHAnsi" w:hAnsi="Arabic Typesetting" w:cs="Arabic Typesetting" w:hint="cs"/>
          <w:sz w:val="34"/>
          <w:szCs w:val="34"/>
          <w:rtl/>
        </w:rPr>
        <w:t xml:space="preserve"> </w:t>
      </w:r>
      <w:r w:rsidRPr="00396976">
        <w:rPr>
          <w:rFonts w:ascii="Arabic Typesetting" w:eastAsiaTheme="minorHAnsi" w:hAnsi="Arabic Typesetting" w:cs="Arabic Typesetting"/>
          <w:sz w:val="34"/>
          <w:szCs w:val="34"/>
          <w:rtl/>
        </w:rPr>
        <w:t>103 30</w:t>
      </w:r>
      <w:r w:rsidRPr="00257704">
        <w:rPr>
          <w:rFonts w:ascii="Arabic Typesetting" w:eastAsiaTheme="minorHAnsi" w:hAnsi="Arabic Typesetting" w:cs="Arabic Typesetting"/>
          <w:sz w:val="34"/>
          <w:szCs w:val="34"/>
          <w:rtl/>
        </w:rPr>
        <w:t xml:space="preserve"> تجديدات، بزيادة قدرها 6 في المائة ع</w:t>
      </w:r>
      <w:r w:rsidRPr="00257704">
        <w:rPr>
          <w:rFonts w:ascii="Arabic Typesetting" w:eastAsiaTheme="minorHAnsi" w:hAnsi="Arabic Typesetting" w:cs="Arabic Typesetting" w:hint="cs"/>
          <w:sz w:val="34"/>
          <w:szCs w:val="34"/>
          <w:rtl/>
        </w:rPr>
        <w:t>لى</w:t>
      </w:r>
      <w:r w:rsidRPr="00257704">
        <w:rPr>
          <w:rFonts w:ascii="Arabic Typesetting" w:eastAsiaTheme="minorHAnsi" w:hAnsi="Arabic Typesetting" w:cs="Arabic Typesetting"/>
          <w:sz w:val="34"/>
          <w:szCs w:val="34"/>
          <w:rtl/>
        </w:rPr>
        <w:t xml:space="preserve"> عام 2015.</w:t>
      </w:r>
    </w:p>
    <w:p w14:paraId="1271B16B" w14:textId="77777777" w:rsidR="00257704" w:rsidRPr="00257704" w:rsidRDefault="00257704" w:rsidP="0031289D">
      <w:pPr>
        <w:keepNext/>
        <w:keepLines/>
        <w:bidi/>
        <w:spacing w:after="240" w:line="360" w:lineRule="exact"/>
        <w:rPr>
          <w:rFonts w:ascii="Arabic Typesetting" w:eastAsiaTheme="minorHAnsi" w:hAnsi="Arabic Typesetting" w:cs="Arabic Typesetting"/>
          <w:sz w:val="34"/>
          <w:szCs w:val="34"/>
          <w:u w:val="single"/>
        </w:rPr>
      </w:pPr>
      <w:r w:rsidRPr="00257704">
        <w:rPr>
          <w:rFonts w:ascii="Arabic Typesetting" w:eastAsiaTheme="minorHAnsi" w:hAnsi="Arabic Typesetting" w:cs="Arabic Typesetting"/>
          <w:sz w:val="34"/>
          <w:szCs w:val="34"/>
          <w:u w:val="single"/>
          <w:rtl/>
        </w:rPr>
        <w:lastRenderedPageBreak/>
        <w:t>التعيينات اللاحقة</w:t>
      </w:r>
    </w:p>
    <w:p w14:paraId="2EB01855" w14:textId="6A010A78" w:rsidR="00257704" w:rsidRPr="00257704" w:rsidRDefault="00082BC9" w:rsidP="0031289D">
      <w:pPr>
        <w:bidi/>
        <w:spacing w:after="240" w:line="276" w:lineRule="auto"/>
        <w:ind w:left="-1"/>
        <w:jc w:val="center"/>
        <w:rPr>
          <w:rFonts w:ascii="Arabic Typesetting" w:eastAsiaTheme="minorHAnsi" w:hAnsi="Arabic Typesetting" w:cs="Arabic Typesetting"/>
          <w:sz w:val="34"/>
          <w:szCs w:val="34"/>
          <w:rtl/>
          <w:lang w:bidi="ar-EG"/>
        </w:rPr>
      </w:pPr>
      <w:r>
        <w:rPr>
          <w:rFonts w:ascii="Arabic Typesetting" w:eastAsiaTheme="minorHAnsi" w:hAnsi="Arabic Typesetting" w:cs="Arabic Typesetting"/>
          <w:noProof/>
          <w:sz w:val="34"/>
          <w:szCs w:val="34"/>
        </w:rPr>
        <w:drawing>
          <wp:inline distT="0" distB="0" distL="0" distR="0" wp14:anchorId="47C56847" wp14:editId="26BB7334">
            <wp:extent cx="4244162" cy="2077128"/>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53444" cy="2081671"/>
                    </a:xfrm>
                    <a:prstGeom prst="rect">
                      <a:avLst/>
                    </a:prstGeom>
                    <a:noFill/>
                  </pic:spPr>
                </pic:pic>
              </a:graphicData>
            </a:graphic>
          </wp:inline>
        </w:drawing>
      </w:r>
    </w:p>
    <w:p w14:paraId="34A25324"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في عام 2016، </w:t>
      </w:r>
      <w:r w:rsidRPr="00257704">
        <w:rPr>
          <w:rFonts w:ascii="Arabic Typesetting" w:eastAsiaTheme="minorHAnsi" w:hAnsi="Arabic Typesetting" w:cs="Arabic Typesetting" w:hint="cs"/>
          <w:sz w:val="34"/>
          <w:szCs w:val="34"/>
          <w:rtl/>
        </w:rPr>
        <w:t xml:space="preserve">تسلم </w:t>
      </w:r>
      <w:r w:rsidRPr="00257704">
        <w:rPr>
          <w:rFonts w:ascii="Arabic Typesetting" w:eastAsiaTheme="minorHAnsi" w:hAnsi="Arabic Typesetting" w:cs="Arabic Typesetting"/>
          <w:sz w:val="34"/>
          <w:szCs w:val="34"/>
          <w:rtl/>
        </w:rPr>
        <w:t xml:space="preserve">المكتب الدولي </w:t>
      </w:r>
      <w:r w:rsidRPr="00396976">
        <w:rPr>
          <w:rFonts w:ascii="Arabic Typesetting" w:eastAsiaTheme="minorHAnsi" w:hAnsi="Arabic Typesetting" w:cs="Arabic Typesetting"/>
          <w:sz w:val="34"/>
          <w:szCs w:val="34"/>
          <w:rtl/>
        </w:rPr>
        <w:t>398</w:t>
      </w:r>
      <w:r w:rsidRPr="00396976">
        <w:rPr>
          <w:rFonts w:ascii="Arabic Typesetting" w:eastAsiaTheme="minorHAnsi" w:hAnsi="Arabic Typesetting" w:cs="Arabic Typesetting" w:hint="eastAsia"/>
          <w:sz w:val="34"/>
          <w:szCs w:val="34"/>
          <w:rtl/>
        </w:rPr>
        <w:t> </w:t>
      </w:r>
      <w:r w:rsidRPr="00396976">
        <w:rPr>
          <w:rFonts w:ascii="Arabic Typesetting" w:eastAsiaTheme="minorHAnsi" w:hAnsi="Arabic Typesetting" w:cs="Arabic Typesetting"/>
          <w:sz w:val="34"/>
          <w:szCs w:val="34"/>
          <w:rtl/>
        </w:rPr>
        <w:t>18</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 xml:space="preserve">تعييناً </w:t>
      </w:r>
      <w:r w:rsidRPr="00257704">
        <w:rPr>
          <w:rFonts w:ascii="Arabic Typesetting" w:eastAsiaTheme="minorHAnsi" w:hAnsi="Arabic Typesetting" w:cs="Arabic Typesetting"/>
          <w:sz w:val="34"/>
          <w:szCs w:val="34"/>
          <w:rtl/>
        </w:rPr>
        <w:t>لاحق</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 بزيادة</w:t>
      </w:r>
      <w:r w:rsidRPr="00257704">
        <w:rPr>
          <w:rFonts w:ascii="Arabic Typesetting" w:eastAsiaTheme="minorHAnsi" w:hAnsi="Arabic Typesetting" w:cs="Arabic Typesetting" w:hint="cs"/>
          <w:sz w:val="34"/>
          <w:szCs w:val="34"/>
          <w:rtl/>
        </w:rPr>
        <w:t xml:space="preserve"> قدرها</w:t>
      </w:r>
      <w:r w:rsidRPr="00257704">
        <w:rPr>
          <w:rFonts w:ascii="Arabic Typesetting" w:eastAsiaTheme="minorHAnsi" w:hAnsi="Arabic Typesetting" w:cs="Arabic Typesetting"/>
          <w:sz w:val="34"/>
          <w:szCs w:val="34"/>
          <w:rtl/>
        </w:rPr>
        <w:t xml:space="preserve"> 2.9 في المائة ع</w:t>
      </w:r>
      <w:r w:rsidRPr="00257704">
        <w:rPr>
          <w:rFonts w:ascii="Arabic Typesetting" w:eastAsiaTheme="minorHAnsi" w:hAnsi="Arabic Typesetting" w:cs="Arabic Typesetting" w:hint="cs"/>
          <w:sz w:val="34"/>
          <w:szCs w:val="34"/>
          <w:rtl/>
        </w:rPr>
        <w:t>لى</w:t>
      </w:r>
      <w:r w:rsidRPr="00257704">
        <w:rPr>
          <w:rFonts w:ascii="Arabic Typesetting" w:eastAsiaTheme="minorHAnsi" w:hAnsi="Arabic Typesetting" w:cs="Arabic Typesetting"/>
          <w:sz w:val="34"/>
          <w:szCs w:val="34"/>
          <w:rtl/>
        </w:rPr>
        <w:t xml:space="preserve"> عام 2015.</w:t>
      </w:r>
    </w:p>
    <w:p w14:paraId="525C52E2" w14:textId="2EFC0FB7" w:rsidR="00257704" w:rsidRPr="00257704" w:rsidRDefault="00257704" w:rsidP="0031289D">
      <w:pPr>
        <w:keepNext/>
        <w:bidi/>
        <w:spacing w:after="240" w:line="360" w:lineRule="exact"/>
        <w:rPr>
          <w:rFonts w:ascii="Arabic Typesetting" w:eastAsiaTheme="minorHAnsi" w:hAnsi="Arabic Typesetting" w:cs="Arabic Typesetting"/>
          <w:sz w:val="34"/>
          <w:szCs w:val="34"/>
          <w:u w:val="single"/>
        </w:rPr>
      </w:pPr>
      <w:r>
        <w:rPr>
          <w:rFonts w:ascii="Arabic Typesetting" w:eastAsiaTheme="minorHAnsi" w:hAnsi="Arabic Typesetting" w:cs="Arabic Typesetting"/>
          <w:sz w:val="34"/>
          <w:szCs w:val="34"/>
          <w:u w:val="single"/>
          <w:rtl/>
        </w:rPr>
        <w:t>التعديلات</w:t>
      </w:r>
    </w:p>
    <w:p w14:paraId="3AE49AE4" w14:textId="6C6883BF" w:rsidR="00257704" w:rsidRPr="00257704" w:rsidRDefault="00082BC9" w:rsidP="0031289D">
      <w:pPr>
        <w:bidi/>
        <w:spacing w:after="240" w:line="276" w:lineRule="auto"/>
        <w:ind w:left="-1"/>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201D2D83" wp14:editId="05318802">
            <wp:extent cx="4842524" cy="2285246"/>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2846" cy="2294836"/>
                    </a:xfrm>
                    <a:prstGeom prst="rect">
                      <a:avLst/>
                    </a:prstGeom>
                    <a:noFill/>
                  </pic:spPr>
                </pic:pic>
              </a:graphicData>
            </a:graphic>
          </wp:inline>
        </w:drawing>
      </w:r>
    </w:p>
    <w:p w14:paraId="6F170128"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في عام 2016</w:t>
      </w:r>
      <w:r w:rsidRPr="00257704">
        <w:rPr>
          <w:rFonts w:ascii="Arabic Typesetting" w:eastAsiaTheme="minorHAnsi" w:hAnsi="Arabic Typesetting" w:cs="Arabic Typesetting" w:hint="cs"/>
          <w:sz w:val="34"/>
          <w:szCs w:val="34"/>
          <w:rtl/>
        </w:rPr>
        <w:t xml:space="preserve">، تسلم </w:t>
      </w:r>
      <w:r w:rsidRPr="00257704">
        <w:rPr>
          <w:rFonts w:ascii="Arabic Typesetting" w:eastAsiaTheme="minorHAnsi" w:hAnsi="Arabic Typesetting" w:cs="Arabic Typesetting"/>
          <w:sz w:val="34"/>
          <w:szCs w:val="34"/>
          <w:rtl/>
        </w:rPr>
        <w:t xml:space="preserve">المكتب الدولي </w:t>
      </w:r>
      <w:r w:rsidRPr="00396976">
        <w:rPr>
          <w:rFonts w:ascii="Arabic Typesetting" w:eastAsiaTheme="minorHAnsi" w:hAnsi="Arabic Typesetting" w:cs="Arabic Typesetting"/>
          <w:sz w:val="34"/>
          <w:szCs w:val="34"/>
          <w:rtl/>
        </w:rPr>
        <w:t>026</w:t>
      </w:r>
      <w:r w:rsidRPr="00257704">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 xml:space="preserve">43 </w:t>
      </w:r>
      <w:r w:rsidRPr="00257704">
        <w:rPr>
          <w:rFonts w:ascii="Arabic Typesetting" w:eastAsiaTheme="minorHAnsi" w:hAnsi="Arabic Typesetting" w:cs="Arabic Typesetting" w:hint="cs"/>
          <w:sz w:val="34"/>
          <w:szCs w:val="34"/>
          <w:rtl/>
        </w:rPr>
        <w:t xml:space="preserve">التماس </w:t>
      </w:r>
      <w:r w:rsidRPr="00257704">
        <w:rPr>
          <w:rFonts w:ascii="Arabic Typesetting" w:eastAsiaTheme="minorHAnsi" w:hAnsi="Arabic Typesetting" w:cs="Arabic Typesetting"/>
          <w:sz w:val="34"/>
          <w:szCs w:val="34"/>
          <w:rtl/>
        </w:rPr>
        <w:t>تعديل، بزيادة قدرها 4 في المائة ع</w:t>
      </w:r>
      <w:r w:rsidRPr="00257704">
        <w:rPr>
          <w:rFonts w:ascii="Arabic Typesetting" w:eastAsiaTheme="minorHAnsi" w:hAnsi="Arabic Typesetting" w:cs="Arabic Typesetting" w:hint="cs"/>
          <w:sz w:val="34"/>
          <w:szCs w:val="34"/>
          <w:rtl/>
        </w:rPr>
        <w:t>لى</w:t>
      </w:r>
      <w:r w:rsidRPr="00257704">
        <w:rPr>
          <w:rFonts w:ascii="Arabic Typesetting" w:eastAsiaTheme="minorHAnsi" w:hAnsi="Arabic Typesetting" w:cs="Arabic Typesetting"/>
          <w:sz w:val="34"/>
          <w:szCs w:val="34"/>
          <w:rtl/>
        </w:rPr>
        <w:t xml:space="preserve"> عام 2015.</w:t>
      </w:r>
    </w:p>
    <w:p w14:paraId="60943DB0" w14:textId="77777777" w:rsidR="00257704" w:rsidRPr="00257704" w:rsidRDefault="00257704" w:rsidP="0031289D">
      <w:pPr>
        <w:keepNext/>
        <w:keepLines/>
        <w:bidi/>
        <w:spacing w:after="240" w:line="360" w:lineRule="exact"/>
        <w:rPr>
          <w:rFonts w:ascii="Arabic Typesetting" w:eastAsiaTheme="minorHAnsi" w:hAnsi="Arabic Typesetting" w:cs="Arabic Typesetting"/>
          <w:sz w:val="34"/>
          <w:szCs w:val="34"/>
          <w:u w:val="single"/>
        </w:rPr>
      </w:pPr>
      <w:r w:rsidRPr="00257704">
        <w:rPr>
          <w:rFonts w:ascii="Arabic Typesetting" w:eastAsiaTheme="minorHAnsi" w:hAnsi="Arabic Typesetting" w:cs="Arabic Typesetting"/>
          <w:sz w:val="34"/>
          <w:szCs w:val="34"/>
          <w:u w:val="single"/>
          <w:rtl/>
        </w:rPr>
        <w:t>القرارات</w:t>
      </w:r>
    </w:p>
    <w:p w14:paraId="320F60D4" w14:textId="1E8CC26F" w:rsidR="00257704" w:rsidRPr="00257704" w:rsidRDefault="00082BC9" w:rsidP="0031289D">
      <w:pPr>
        <w:bidi/>
        <w:spacing w:after="240" w:line="276" w:lineRule="auto"/>
        <w:ind w:left="-1"/>
        <w:jc w:val="center"/>
        <w:rPr>
          <w:rFonts w:ascii="Arabic Typesetting" w:eastAsiaTheme="minorHAnsi" w:hAnsi="Arabic Typesetting" w:cs="Arabic Typesetting"/>
          <w:sz w:val="34"/>
          <w:szCs w:val="34"/>
          <w:lang w:bidi="ar-EG"/>
        </w:rPr>
      </w:pPr>
      <w:r>
        <w:rPr>
          <w:rFonts w:ascii="Arabic Typesetting" w:eastAsiaTheme="minorHAnsi" w:hAnsi="Arabic Typesetting" w:cs="Arabic Typesetting"/>
          <w:noProof/>
          <w:sz w:val="34"/>
          <w:szCs w:val="34"/>
        </w:rPr>
        <w:drawing>
          <wp:inline distT="0" distB="0" distL="0" distR="0" wp14:anchorId="223F5E19" wp14:editId="3B9C43BB">
            <wp:extent cx="3676794" cy="191022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79776" cy="1911771"/>
                    </a:xfrm>
                    <a:prstGeom prst="rect">
                      <a:avLst/>
                    </a:prstGeom>
                    <a:noFill/>
                  </pic:spPr>
                </pic:pic>
              </a:graphicData>
            </a:graphic>
          </wp:inline>
        </w:drawing>
      </w:r>
    </w:p>
    <w:p w14:paraId="13028155"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lastRenderedPageBreak/>
        <w:t>ف</w:t>
      </w:r>
      <w:r w:rsidRPr="00257704">
        <w:rPr>
          <w:rFonts w:ascii="Arabic Typesetting" w:eastAsiaTheme="minorHAnsi" w:hAnsi="Arabic Typesetting" w:cs="Arabic Typesetting" w:hint="cs"/>
          <w:sz w:val="34"/>
          <w:szCs w:val="34"/>
          <w:rtl/>
        </w:rPr>
        <w:t>ي</w:t>
      </w:r>
      <w:r w:rsidRPr="00257704">
        <w:rPr>
          <w:rFonts w:ascii="Arabic Typesetting" w:eastAsiaTheme="minorHAnsi" w:hAnsi="Arabic Typesetting" w:cs="Arabic Typesetting"/>
          <w:sz w:val="34"/>
          <w:szCs w:val="34"/>
          <w:rtl/>
        </w:rPr>
        <w:t xml:space="preserve"> عام 2016، انخفض عدد القرارات التي عالجها المكتب الدولي بنسبة 10 في المائة مقارنة بعام 2015، </w:t>
      </w:r>
      <w:r w:rsidRPr="00257704">
        <w:rPr>
          <w:rFonts w:ascii="Arabic Typesetting" w:eastAsiaTheme="minorHAnsi" w:hAnsi="Arabic Typesetting" w:cs="Arabic Typesetting" w:hint="cs"/>
          <w:sz w:val="34"/>
          <w:szCs w:val="34"/>
          <w:rtl/>
        </w:rPr>
        <w:t xml:space="preserve">إذ كان </w:t>
      </w:r>
      <w:r w:rsidRPr="00257704">
        <w:rPr>
          <w:rFonts w:ascii="Arabic Typesetting" w:eastAsiaTheme="minorHAnsi" w:hAnsi="Arabic Typesetting" w:cs="Arabic Typesetting"/>
          <w:sz w:val="34"/>
          <w:szCs w:val="34"/>
          <w:rtl/>
        </w:rPr>
        <w:t xml:space="preserve">مجموعها </w:t>
      </w:r>
      <w:r w:rsidRPr="00396976">
        <w:rPr>
          <w:rFonts w:ascii="Arabic Typesetting" w:eastAsiaTheme="minorHAnsi" w:hAnsi="Arabic Typesetting" w:cs="Arabic Typesetting"/>
          <w:sz w:val="34"/>
          <w:szCs w:val="34"/>
          <w:rtl/>
        </w:rPr>
        <w:t>295</w:t>
      </w:r>
      <w:r w:rsidRPr="00257704">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486 قرارا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وفي الفترة </w:t>
      </w:r>
      <w:r w:rsidRPr="00257704">
        <w:rPr>
          <w:rFonts w:ascii="Arabic Typesetting" w:eastAsiaTheme="minorHAnsi" w:hAnsi="Arabic Typesetting" w:cs="Arabic Typesetting" w:hint="cs"/>
          <w:sz w:val="34"/>
          <w:szCs w:val="34"/>
          <w:rtl/>
        </w:rPr>
        <w:t>من</w:t>
      </w:r>
      <w:r w:rsidRPr="00257704">
        <w:rPr>
          <w:rFonts w:ascii="Arabic Typesetting" w:eastAsiaTheme="minorHAnsi" w:hAnsi="Arabic Typesetting" w:cs="Arabic Typesetting"/>
          <w:sz w:val="34"/>
          <w:szCs w:val="34"/>
          <w:rtl/>
        </w:rPr>
        <w:t xml:space="preserve"> 2010 </w:t>
      </w:r>
      <w:r w:rsidRPr="00257704">
        <w:rPr>
          <w:rFonts w:ascii="Arabic Typesetting" w:eastAsiaTheme="minorHAnsi" w:hAnsi="Arabic Typesetting" w:cs="Arabic Typesetting" w:hint="cs"/>
          <w:sz w:val="34"/>
          <w:szCs w:val="34"/>
          <w:rtl/>
        </w:rPr>
        <w:t>إلى</w:t>
      </w:r>
      <w:r w:rsidRPr="00257704">
        <w:rPr>
          <w:rFonts w:ascii="Arabic Typesetting" w:eastAsiaTheme="minorHAnsi" w:hAnsi="Arabic Typesetting" w:cs="Arabic Typesetting"/>
          <w:sz w:val="34"/>
          <w:szCs w:val="34"/>
          <w:rtl/>
        </w:rPr>
        <w:t xml:space="preserve"> 2013، زاد عدد القرارات التي </w:t>
      </w:r>
      <w:r w:rsidRPr="00257704">
        <w:rPr>
          <w:rFonts w:ascii="Arabic Typesetting" w:eastAsiaTheme="minorHAnsi" w:hAnsi="Arabic Typesetting" w:cs="Arabic Typesetting" w:hint="cs"/>
          <w:sz w:val="34"/>
          <w:szCs w:val="34"/>
          <w:rtl/>
        </w:rPr>
        <w:t>عولجت</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زيادة كبيرة</w:t>
      </w:r>
      <w:r w:rsidRPr="00257704">
        <w:rPr>
          <w:rFonts w:ascii="Arabic Typesetting" w:eastAsiaTheme="minorHAnsi" w:hAnsi="Arabic Typesetting" w:cs="Arabic Typesetting"/>
          <w:sz w:val="34"/>
          <w:szCs w:val="34"/>
          <w:rtl/>
        </w:rPr>
        <w:t>.</w:t>
      </w:r>
    </w:p>
    <w:p w14:paraId="622844F6"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في عام 2016، عولج </w:t>
      </w:r>
      <w:r w:rsidRPr="00257704">
        <w:rPr>
          <w:rFonts w:ascii="Arabic Typesetting" w:eastAsiaTheme="minorHAnsi" w:hAnsi="Arabic Typesetting" w:cs="Arabic Typesetting" w:hint="cs"/>
          <w:sz w:val="34"/>
          <w:szCs w:val="34"/>
          <w:rtl/>
        </w:rPr>
        <w:t>72</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في ا</w:t>
      </w:r>
      <w:r w:rsidRPr="00257704">
        <w:rPr>
          <w:rFonts w:ascii="Arabic Typesetting" w:eastAsiaTheme="minorHAnsi" w:hAnsi="Arabic Typesetting" w:cs="Arabic Typesetting"/>
          <w:sz w:val="34"/>
          <w:szCs w:val="34"/>
          <w:rtl/>
        </w:rPr>
        <w:t>لم</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ئة من القرارات آليا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وهي نسبة شهدت زيادة مطردة منذ </w:t>
      </w:r>
      <w:r w:rsidRPr="00257704">
        <w:rPr>
          <w:rFonts w:ascii="Arabic Typesetting" w:eastAsiaTheme="minorHAnsi" w:hAnsi="Arabic Typesetting" w:cs="Arabic Typesetting" w:hint="cs"/>
          <w:sz w:val="34"/>
          <w:szCs w:val="34"/>
          <w:rtl/>
        </w:rPr>
        <w:t>عام</w:t>
      </w:r>
      <w:r w:rsidRPr="00257704">
        <w:rPr>
          <w:rFonts w:ascii="Arabic Typesetting" w:eastAsiaTheme="minorHAnsi" w:hAnsi="Arabic Typesetting" w:cs="Arabic Typesetting"/>
          <w:sz w:val="34"/>
          <w:szCs w:val="34"/>
          <w:rtl/>
        </w:rPr>
        <w:t xml:space="preserve"> 2011.</w:t>
      </w:r>
    </w:p>
    <w:p w14:paraId="3DEA7C37" w14:textId="77777777" w:rsidR="00257704" w:rsidRPr="00257704" w:rsidRDefault="00257704" w:rsidP="0031289D">
      <w:pPr>
        <w:keepNext/>
        <w:keepLines/>
        <w:bidi/>
        <w:spacing w:after="240" w:line="360" w:lineRule="exact"/>
        <w:rPr>
          <w:rFonts w:ascii="Arabic Typesetting" w:eastAsiaTheme="minorHAnsi" w:hAnsi="Arabic Typesetting" w:cs="Arabic Typesetting"/>
          <w:sz w:val="34"/>
          <w:szCs w:val="34"/>
          <w:u w:val="single"/>
        </w:rPr>
      </w:pPr>
      <w:r w:rsidRPr="00257704">
        <w:rPr>
          <w:rFonts w:ascii="Arabic Typesetting" w:eastAsiaTheme="minorHAnsi" w:hAnsi="Arabic Typesetting" w:cs="Arabic Typesetting"/>
          <w:sz w:val="34"/>
          <w:szCs w:val="34"/>
          <w:u w:val="single"/>
          <w:rtl/>
        </w:rPr>
        <w:t>التصحيحات</w:t>
      </w:r>
    </w:p>
    <w:p w14:paraId="67AC2491" w14:textId="722AB7A3" w:rsidR="00257704" w:rsidRPr="00257704" w:rsidRDefault="00082BC9" w:rsidP="0031289D">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174B921F" wp14:editId="14484E9B">
            <wp:extent cx="4180608" cy="1839452"/>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94537" cy="1845581"/>
                    </a:xfrm>
                    <a:prstGeom prst="rect">
                      <a:avLst/>
                    </a:prstGeom>
                    <a:noFill/>
                  </pic:spPr>
                </pic:pic>
              </a:graphicData>
            </a:graphic>
          </wp:inline>
        </w:drawing>
      </w:r>
    </w:p>
    <w:p w14:paraId="5203BFAB" w14:textId="21D12D6A"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في عام 2016، تلقى المكتب الدولي </w:t>
      </w:r>
      <w:r w:rsidRPr="00396976">
        <w:rPr>
          <w:rFonts w:ascii="Arabic Typesetting" w:eastAsiaTheme="minorHAnsi" w:hAnsi="Arabic Typesetting" w:cs="Arabic Typesetting"/>
          <w:sz w:val="34"/>
          <w:szCs w:val="34"/>
          <w:rtl/>
        </w:rPr>
        <w:t>860</w:t>
      </w:r>
      <w:r w:rsidRPr="00257704">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 xml:space="preserve">5 </w:t>
      </w:r>
      <w:r w:rsidRPr="00257704">
        <w:rPr>
          <w:rFonts w:ascii="Arabic Typesetting" w:eastAsiaTheme="minorHAnsi" w:hAnsi="Arabic Typesetting" w:cs="Arabic Typesetting" w:hint="cs"/>
          <w:sz w:val="34"/>
          <w:szCs w:val="34"/>
          <w:rtl/>
        </w:rPr>
        <w:t>التماس</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تصحيح</w:t>
      </w:r>
      <w:r w:rsidRPr="00257704">
        <w:rPr>
          <w:rFonts w:ascii="Arabic Typesetting" w:eastAsiaTheme="minorHAnsi" w:hAnsi="Arabic Typesetting" w:cs="Arabic Typesetting"/>
          <w:sz w:val="34"/>
          <w:szCs w:val="34"/>
          <w:rtl/>
        </w:rPr>
        <w:t>، مما يمثل انخفاضا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بنسبة 4.4 في المائة مقارنة بعام</w:t>
      </w:r>
      <w:r>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2015.</w:t>
      </w:r>
    </w:p>
    <w:p w14:paraId="579720BA" w14:textId="77777777" w:rsidR="00257704" w:rsidRPr="00257704" w:rsidRDefault="00257704" w:rsidP="0031289D">
      <w:pPr>
        <w:keepNext/>
        <w:bidi/>
        <w:spacing w:after="240" w:line="360" w:lineRule="exact"/>
        <w:ind w:left="360"/>
        <w:rPr>
          <w:rFonts w:ascii="Arabic Typesetting" w:eastAsiaTheme="minorHAnsi" w:hAnsi="Arabic Typesetting" w:cs="Arabic Typesetting"/>
          <w:bCs/>
          <w:sz w:val="40"/>
          <w:szCs w:val="40"/>
        </w:rPr>
      </w:pPr>
      <w:r w:rsidRPr="00257704">
        <w:rPr>
          <w:rFonts w:ascii="Arabic Typesetting" w:eastAsiaTheme="minorHAnsi" w:hAnsi="Arabic Typesetting" w:cs="Arabic Typesetting"/>
          <w:bCs/>
          <w:sz w:val="40"/>
          <w:szCs w:val="40"/>
          <w:rtl/>
        </w:rPr>
        <w:t>ثانيا</w:t>
      </w:r>
      <w:r w:rsidRPr="00257704">
        <w:rPr>
          <w:rFonts w:ascii="Arabic Typesetting" w:eastAsiaTheme="minorHAnsi" w:hAnsi="Arabic Typesetting" w:cs="Arabic Typesetting" w:hint="cs"/>
          <w:bCs/>
          <w:sz w:val="40"/>
          <w:szCs w:val="40"/>
          <w:rtl/>
        </w:rPr>
        <w:t>ً</w:t>
      </w:r>
      <w:r w:rsidRPr="00257704">
        <w:rPr>
          <w:rFonts w:ascii="Arabic Typesetting" w:eastAsiaTheme="minorHAnsi" w:hAnsi="Arabic Typesetting" w:cs="Arabic Typesetting"/>
          <w:bCs/>
          <w:sz w:val="40"/>
          <w:szCs w:val="40"/>
          <w:rtl/>
        </w:rPr>
        <w:t>.</w:t>
      </w:r>
      <w:r w:rsidRPr="00257704">
        <w:rPr>
          <w:rFonts w:ascii="Arabic Typesetting" w:eastAsiaTheme="minorHAnsi" w:hAnsi="Arabic Typesetting" w:cs="Arabic Typesetting"/>
          <w:bCs/>
          <w:sz w:val="40"/>
          <w:szCs w:val="40"/>
          <w:rtl/>
        </w:rPr>
        <w:tab/>
        <w:t xml:space="preserve">إجمالي </w:t>
      </w:r>
      <w:r w:rsidRPr="00257704">
        <w:rPr>
          <w:rFonts w:ascii="Arabic Typesetting" w:eastAsiaTheme="minorHAnsi" w:hAnsi="Arabic Typesetting" w:cs="Arabic Typesetting" w:hint="cs"/>
          <w:bCs/>
          <w:sz w:val="40"/>
          <w:szCs w:val="40"/>
          <w:rtl/>
        </w:rPr>
        <w:t>عبء</w:t>
      </w:r>
      <w:r w:rsidRPr="00257704">
        <w:rPr>
          <w:rFonts w:ascii="Arabic Typesetting" w:eastAsiaTheme="minorHAnsi" w:hAnsi="Arabic Typesetting" w:cs="Arabic Typesetting"/>
          <w:bCs/>
          <w:sz w:val="40"/>
          <w:szCs w:val="40"/>
          <w:rtl/>
        </w:rPr>
        <w:t xml:space="preserve"> العمل المعالج</w:t>
      </w:r>
    </w:p>
    <w:p w14:paraId="5BCF74D5" w14:textId="77777777" w:rsidR="00257704" w:rsidRPr="00257704" w:rsidRDefault="00257704" w:rsidP="00D94CDB">
      <w:pPr>
        <w:keepNext/>
        <w:keepLines/>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 xml:space="preserve">يمثل </w:t>
      </w:r>
      <w:r w:rsidRPr="00257704">
        <w:rPr>
          <w:rFonts w:ascii="Arabic Typesetting" w:hAnsi="Arabic Typesetting" w:cs="Arabic Typesetting" w:hint="cs"/>
          <w:sz w:val="34"/>
          <w:szCs w:val="34"/>
          <w:rtl/>
        </w:rPr>
        <w:t xml:space="preserve">إجمالي </w:t>
      </w:r>
      <w:r w:rsidRPr="00257704">
        <w:rPr>
          <w:rFonts w:ascii="Arabic Typesetting" w:hAnsi="Arabic Typesetting" w:cs="Arabic Typesetting"/>
          <w:sz w:val="34"/>
          <w:szCs w:val="34"/>
          <w:rtl/>
        </w:rPr>
        <w:t xml:space="preserve">عبء العمل </w:t>
      </w:r>
      <w:r w:rsidRPr="00257704">
        <w:rPr>
          <w:rFonts w:ascii="Arabic Typesetting" w:hAnsi="Arabic Typesetting" w:cs="Arabic Typesetting" w:hint="cs"/>
          <w:sz w:val="34"/>
          <w:szCs w:val="34"/>
          <w:rtl/>
        </w:rPr>
        <w:t xml:space="preserve">المُعالج </w:t>
      </w:r>
      <w:r w:rsidRPr="00257704">
        <w:rPr>
          <w:rFonts w:ascii="Arabic Typesetting" w:hAnsi="Arabic Typesetting" w:cs="Arabic Typesetting"/>
          <w:sz w:val="34"/>
          <w:szCs w:val="34"/>
          <w:rtl/>
        </w:rPr>
        <w:t>العدد الإجمالي المرجح للوثائق التي يعالجها المكتب الدولي. ويشمل ذلك جميع فئات الوثائق الست (الطلبات والتجديدات والتعيينات اللاحقة والتغييرات والقرارات والتصحيحات).</w:t>
      </w:r>
    </w:p>
    <w:p w14:paraId="40C1F37C" w14:textId="447F82E4" w:rsidR="00257704" w:rsidRPr="00257704" w:rsidRDefault="00FD1AFA" w:rsidP="0031289D">
      <w:pPr>
        <w:keepNext/>
        <w:keepLines/>
        <w:bidi/>
        <w:spacing w:after="240" w:line="276" w:lineRule="auto"/>
        <w:ind w:left="-19"/>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60021ABF" wp14:editId="2DB81131">
            <wp:extent cx="3911222" cy="216131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31192" cy="2172347"/>
                    </a:xfrm>
                    <a:prstGeom prst="rect">
                      <a:avLst/>
                    </a:prstGeom>
                    <a:noFill/>
                  </pic:spPr>
                </pic:pic>
              </a:graphicData>
            </a:graphic>
          </wp:inline>
        </w:drawing>
      </w:r>
    </w:p>
    <w:p w14:paraId="6BA6A94C" w14:textId="77777777" w:rsidR="00257704" w:rsidRPr="00257704" w:rsidRDefault="00257704" w:rsidP="00D94CDB">
      <w:pPr>
        <w:keepNext/>
        <w:keepLines/>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 xml:space="preserve">ولأن معالجة </w:t>
      </w:r>
      <w:r w:rsidRPr="00257704">
        <w:rPr>
          <w:rFonts w:ascii="Arabic Typesetting" w:hAnsi="Arabic Typesetting" w:cs="Arabic Typesetting" w:hint="cs"/>
          <w:sz w:val="34"/>
          <w:szCs w:val="34"/>
          <w:rtl/>
        </w:rPr>
        <w:t>هذه</w:t>
      </w:r>
      <w:r w:rsidRPr="00257704">
        <w:rPr>
          <w:rFonts w:ascii="Arabic Typesetting" w:hAnsi="Arabic Typesetting" w:cs="Arabic Typesetting"/>
          <w:sz w:val="34"/>
          <w:szCs w:val="34"/>
          <w:rtl/>
        </w:rPr>
        <w:t xml:space="preserve"> الأنواع من الوثائق لا </w:t>
      </w:r>
      <w:r w:rsidRPr="00257704">
        <w:rPr>
          <w:rFonts w:ascii="Arabic Typesetting" w:hAnsi="Arabic Typesetting" w:cs="Arabic Typesetting" w:hint="cs"/>
          <w:sz w:val="34"/>
          <w:szCs w:val="34"/>
          <w:rtl/>
        </w:rPr>
        <w:t>ت</w:t>
      </w:r>
      <w:r w:rsidRPr="00257704">
        <w:rPr>
          <w:rFonts w:ascii="Arabic Typesetting" w:hAnsi="Arabic Typesetting" w:cs="Arabic Typesetting"/>
          <w:sz w:val="34"/>
          <w:szCs w:val="34"/>
          <w:rtl/>
        </w:rPr>
        <w:t xml:space="preserve">تطلب </w:t>
      </w:r>
      <w:r w:rsidRPr="00257704">
        <w:rPr>
          <w:rFonts w:ascii="Arabic Typesetting" w:hAnsi="Arabic Typesetting" w:cs="Arabic Typesetting" w:hint="cs"/>
          <w:sz w:val="34"/>
          <w:szCs w:val="34"/>
          <w:rtl/>
        </w:rPr>
        <w:t>قدراً متساوياً من المو</w:t>
      </w:r>
      <w:r w:rsidRPr="00257704">
        <w:rPr>
          <w:rFonts w:ascii="Arabic Typesetting" w:hAnsi="Arabic Typesetting" w:cs="Arabic Typesetting"/>
          <w:sz w:val="34"/>
          <w:szCs w:val="34"/>
          <w:rtl/>
        </w:rPr>
        <w:t>ارد، فكل نوع ي</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رجح على حدة بشكل مختلف. ووفقا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ل</w:t>
      </w:r>
      <w:r w:rsidRPr="00257704">
        <w:rPr>
          <w:rFonts w:ascii="Arabic Typesetting" w:hAnsi="Arabic Typesetting" w:cs="Arabic Typesetting" w:hint="cs"/>
          <w:sz w:val="34"/>
          <w:szCs w:val="34"/>
          <w:rtl/>
        </w:rPr>
        <w:t>ل</w:t>
      </w:r>
      <w:r w:rsidRPr="00257704">
        <w:rPr>
          <w:rFonts w:ascii="Arabic Typesetting" w:hAnsi="Arabic Typesetting" w:cs="Arabic Typesetting"/>
          <w:sz w:val="34"/>
          <w:szCs w:val="34"/>
          <w:rtl/>
        </w:rPr>
        <w:t>ترجيح</w:t>
      </w:r>
      <w:r w:rsidRPr="00257704">
        <w:rPr>
          <w:rFonts w:ascii="Arabic Typesetting" w:hAnsi="Arabic Typesetting" w:cs="Arabic Typesetting" w:hint="cs"/>
          <w:sz w:val="34"/>
          <w:szCs w:val="34"/>
          <w:rtl/>
        </w:rPr>
        <w:t xml:space="preserve"> الحالي</w:t>
      </w:r>
      <w:r w:rsidRPr="00257704">
        <w:rPr>
          <w:rFonts w:ascii="Arabic Typesetting" w:hAnsi="Arabic Typesetting" w:cs="Arabic Typesetting"/>
          <w:sz w:val="34"/>
          <w:szCs w:val="34"/>
          <w:rtl/>
        </w:rPr>
        <w:t>، يمكن لفاحص</w:t>
      </w:r>
      <w:r w:rsidRPr="00257704">
        <w:rPr>
          <w:rFonts w:ascii="Arabic Typesetting" w:hAnsi="Arabic Typesetting" w:cs="Arabic Typesetting" w:hint="cs"/>
          <w:sz w:val="34"/>
          <w:szCs w:val="34"/>
          <w:rtl/>
        </w:rPr>
        <w:t xml:space="preserve"> مكافئ يعمل بدوام كامل</w:t>
      </w:r>
      <w:r w:rsidRPr="00257704">
        <w:rPr>
          <w:rFonts w:ascii="Arabic Typesetting" w:hAnsi="Arabic Typesetting" w:cs="Arabic Typesetting"/>
          <w:sz w:val="34"/>
          <w:szCs w:val="34"/>
          <w:rtl/>
        </w:rPr>
        <w:t xml:space="preserve"> أن يعالج</w:t>
      </w:r>
      <w:r w:rsidRPr="00257704">
        <w:rPr>
          <w:rFonts w:ascii="Arabic Typesetting" w:hAnsi="Arabic Typesetting" w:cs="Arabic Typesetting" w:hint="cs"/>
          <w:sz w:val="34"/>
          <w:szCs w:val="34"/>
          <w:rtl/>
        </w:rPr>
        <w:t>، خلال</w:t>
      </w:r>
      <w:r w:rsidRPr="00257704">
        <w:rPr>
          <w:rFonts w:ascii="Arabic Typesetting" w:hAnsi="Arabic Typesetting" w:cs="Arabic Typesetting"/>
          <w:sz w:val="34"/>
          <w:szCs w:val="34"/>
          <w:rtl/>
        </w:rPr>
        <w:t xml:space="preserve"> </w:t>
      </w:r>
      <w:r w:rsidRPr="00257704">
        <w:rPr>
          <w:rFonts w:ascii="Arabic Typesetting" w:hAnsi="Arabic Typesetting" w:cs="Arabic Typesetting" w:hint="cs"/>
          <w:sz w:val="34"/>
          <w:szCs w:val="34"/>
          <w:rtl/>
        </w:rPr>
        <w:t>المدة</w:t>
      </w:r>
      <w:r w:rsidRPr="00257704">
        <w:rPr>
          <w:rFonts w:ascii="Arabic Typesetting" w:hAnsi="Arabic Typesetting" w:cs="Arabic Typesetting"/>
          <w:sz w:val="34"/>
          <w:szCs w:val="34"/>
          <w:rtl/>
        </w:rPr>
        <w:t xml:space="preserve"> </w:t>
      </w:r>
      <w:r w:rsidRPr="00257704">
        <w:rPr>
          <w:rFonts w:ascii="Arabic Typesetting" w:hAnsi="Arabic Typesetting" w:cs="Arabic Typesetting" w:hint="cs"/>
          <w:sz w:val="34"/>
          <w:szCs w:val="34"/>
          <w:rtl/>
        </w:rPr>
        <w:t xml:space="preserve">الزمنية </w:t>
      </w:r>
      <w:r w:rsidRPr="00257704">
        <w:rPr>
          <w:rFonts w:ascii="Arabic Typesetting" w:hAnsi="Arabic Typesetting" w:cs="Arabic Typesetting"/>
          <w:sz w:val="34"/>
          <w:szCs w:val="34"/>
          <w:rtl/>
        </w:rPr>
        <w:t>المطلوبة لمعالجة طلب دولي</w:t>
      </w:r>
      <w:r w:rsidRPr="00257704">
        <w:rPr>
          <w:rFonts w:ascii="Arabic Typesetting" w:hAnsi="Arabic Typesetting" w:cs="Arabic Typesetting" w:hint="cs"/>
          <w:sz w:val="34"/>
          <w:szCs w:val="34"/>
          <w:rtl/>
        </w:rPr>
        <w:t xml:space="preserve"> واحد</w:t>
      </w:r>
      <w:r w:rsidRPr="00257704">
        <w:rPr>
          <w:rFonts w:ascii="Arabic Typesetting" w:hAnsi="Arabic Typesetting" w:cs="Arabic Typesetting"/>
          <w:sz w:val="34"/>
          <w:szCs w:val="34"/>
          <w:rtl/>
        </w:rPr>
        <w:t xml:space="preserve">، 1.6 من التجديدات أو 1.8 من التعيينات اللاحقة أو 1.8 من التغييرات أو 10 قرارات. وعلى نفس المنوال، يمكن لموظف </w:t>
      </w:r>
      <w:r w:rsidRPr="00257704">
        <w:rPr>
          <w:rFonts w:ascii="Arabic Typesetting" w:hAnsi="Arabic Typesetting" w:cs="Arabic Typesetting" w:hint="cs"/>
          <w:sz w:val="34"/>
          <w:szCs w:val="34"/>
          <w:rtl/>
        </w:rPr>
        <w:t xml:space="preserve">مكافئ يعمل بدوام كامل </w:t>
      </w:r>
      <w:r w:rsidRPr="00257704">
        <w:rPr>
          <w:rFonts w:ascii="Arabic Typesetting" w:hAnsi="Arabic Typesetting" w:cs="Arabic Typesetting"/>
          <w:sz w:val="34"/>
          <w:szCs w:val="34"/>
          <w:rtl/>
        </w:rPr>
        <w:t xml:space="preserve">في </w:t>
      </w:r>
      <w:r w:rsidRPr="00257704">
        <w:rPr>
          <w:rFonts w:ascii="Arabic Typesetting" w:hAnsi="Arabic Typesetting" w:cs="Arabic Typesetting" w:hint="cs"/>
          <w:sz w:val="34"/>
          <w:szCs w:val="34"/>
          <w:rtl/>
        </w:rPr>
        <w:t xml:space="preserve">دعم أنظمة تكنولوجيا المعلومات أن </w:t>
      </w:r>
      <w:r w:rsidRPr="00257704">
        <w:rPr>
          <w:rFonts w:ascii="Arabic Typesetting" w:hAnsi="Arabic Typesetting" w:cs="Arabic Typesetting"/>
          <w:sz w:val="34"/>
          <w:szCs w:val="34"/>
          <w:rtl/>
        </w:rPr>
        <w:t>يعالج 17 وثيقة</w:t>
      </w:r>
      <w:r w:rsidRPr="00257704">
        <w:rPr>
          <w:rFonts w:ascii="Arabic Typesetting" w:hAnsi="Arabic Typesetting" w:cs="Arabic Typesetting" w:hint="cs"/>
          <w:sz w:val="34"/>
          <w:szCs w:val="34"/>
          <w:rtl/>
        </w:rPr>
        <w:t>، في حالة الوثائق المعالجة آلياً</w:t>
      </w:r>
      <w:r w:rsidRPr="00257704">
        <w:rPr>
          <w:rFonts w:ascii="Arabic Typesetting" w:hAnsi="Arabic Typesetting" w:cs="Arabic Typesetting"/>
          <w:sz w:val="34"/>
          <w:szCs w:val="34"/>
          <w:rtl/>
        </w:rPr>
        <w:t>.</w:t>
      </w:r>
    </w:p>
    <w:p w14:paraId="35297579"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hAnsi="Arabic Typesetting" w:cs="Arabic Typesetting"/>
          <w:sz w:val="34"/>
          <w:szCs w:val="34"/>
        </w:rPr>
      </w:pPr>
      <w:r w:rsidRPr="00257704">
        <w:rPr>
          <w:rFonts w:ascii="Arabic Typesetting" w:hAnsi="Arabic Typesetting" w:cs="Arabic Typesetting"/>
          <w:sz w:val="34"/>
          <w:szCs w:val="34"/>
          <w:rtl/>
        </w:rPr>
        <w:t xml:space="preserve">في عام 2016، انخفض </w:t>
      </w:r>
      <w:r w:rsidRPr="00257704">
        <w:rPr>
          <w:rFonts w:ascii="Arabic Typesetting" w:hAnsi="Arabic Typesetting" w:cs="Arabic Typesetting" w:hint="cs"/>
          <w:sz w:val="34"/>
          <w:szCs w:val="34"/>
          <w:rtl/>
        </w:rPr>
        <w:t>إجمالي</w:t>
      </w:r>
      <w:r w:rsidRPr="00257704">
        <w:rPr>
          <w:rFonts w:ascii="Arabic Typesetting" w:hAnsi="Arabic Typesetting" w:cs="Arabic Typesetting"/>
          <w:sz w:val="34"/>
          <w:szCs w:val="34"/>
          <w:rtl/>
        </w:rPr>
        <w:t xml:space="preserve"> عبء العمل ا</w:t>
      </w:r>
      <w:r w:rsidRPr="00257704">
        <w:rPr>
          <w:rFonts w:ascii="Arabic Typesetting" w:hAnsi="Arabic Typesetting" w:cs="Arabic Typesetting" w:hint="cs"/>
          <w:sz w:val="34"/>
          <w:szCs w:val="34"/>
          <w:rtl/>
        </w:rPr>
        <w:t xml:space="preserve">لمعالج </w:t>
      </w:r>
      <w:r w:rsidRPr="00257704">
        <w:rPr>
          <w:rFonts w:ascii="Arabic Typesetting" w:hAnsi="Arabic Typesetting" w:cs="Arabic Typesetting"/>
          <w:sz w:val="34"/>
          <w:szCs w:val="34"/>
          <w:rtl/>
        </w:rPr>
        <w:t>بنسبة 8 في المائة مقارنة بعام 2015. و</w:t>
      </w:r>
      <w:r w:rsidRPr="00257704">
        <w:rPr>
          <w:rFonts w:ascii="Arabic Typesetting" w:hAnsi="Arabic Typesetting" w:cs="Arabic Typesetting" w:hint="cs"/>
          <w:sz w:val="34"/>
          <w:szCs w:val="34"/>
          <w:rtl/>
        </w:rPr>
        <w:t xml:space="preserve">كانت </w:t>
      </w:r>
      <w:r w:rsidRPr="00257704">
        <w:rPr>
          <w:rFonts w:ascii="Arabic Typesetting" w:hAnsi="Arabic Typesetting" w:cs="Arabic Typesetting"/>
          <w:sz w:val="34"/>
          <w:szCs w:val="34"/>
          <w:rtl/>
        </w:rPr>
        <w:t>الط</w:t>
      </w:r>
      <w:r w:rsidRPr="00257704">
        <w:rPr>
          <w:rFonts w:ascii="Arabic Typesetting" w:hAnsi="Arabic Typesetting" w:cs="Arabic Typesetting" w:hint="cs"/>
          <w:sz w:val="34"/>
          <w:szCs w:val="34"/>
          <w:rtl/>
        </w:rPr>
        <w:t>ل</w:t>
      </w:r>
      <w:r w:rsidRPr="00257704">
        <w:rPr>
          <w:rFonts w:ascii="Arabic Typesetting" w:hAnsi="Arabic Typesetting" w:cs="Arabic Typesetting"/>
          <w:sz w:val="34"/>
          <w:szCs w:val="34"/>
          <w:rtl/>
        </w:rPr>
        <w:t xml:space="preserve">بات والقرارات والتعديلات تمثل ما يقرب من 78 في المائة من </w:t>
      </w:r>
      <w:r w:rsidRPr="00257704">
        <w:rPr>
          <w:rFonts w:ascii="Arabic Typesetting" w:hAnsi="Arabic Typesetting" w:cs="Arabic Typesetting" w:hint="cs"/>
          <w:sz w:val="34"/>
          <w:szCs w:val="34"/>
          <w:rtl/>
        </w:rPr>
        <w:t>إجمالي</w:t>
      </w:r>
      <w:r w:rsidRPr="00257704">
        <w:rPr>
          <w:rFonts w:ascii="Arabic Typesetting" w:hAnsi="Arabic Typesetting" w:cs="Arabic Typesetting"/>
          <w:sz w:val="34"/>
          <w:szCs w:val="34"/>
          <w:rtl/>
        </w:rPr>
        <w:t xml:space="preserve"> عبء العمل ال</w:t>
      </w:r>
      <w:r w:rsidRPr="00257704">
        <w:rPr>
          <w:rFonts w:ascii="Arabic Typesetting" w:hAnsi="Arabic Typesetting" w:cs="Arabic Typesetting" w:hint="cs"/>
          <w:sz w:val="34"/>
          <w:szCs w:val="34"/>
          <w:rtl/>
        </w:rPr>
        <w:t>معالج</w:t>
      </w:r>
      <w:r w:rsidRPr="00257704">
        <w:rPr>
          <w:rFonts w:ascii="Arabic Typesetting" w:hAnsi="Arabic Typesetting" w:cs="Arabic Typesetting"/>
          <w:sz w:val="34"/>
          <w:szCs w:val="34"/>
          <w:rtl/>
        </w:rPr>
        <w:t>.</w:t>
      </w:r>
    </w:p>
    <w:p w14:paraId="128C7F0C"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lastRenderedPageBreak/>
        <w:t>والانخفاض العام الذي ل</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وحظ في عام 2016 </w:t>
      </w:r>
      <w:r w:rsidRPr="00257704">
        <w:rPr>
          <w:rFonts w:ascii="Arabic Typesetting" w:eastAsiaTheme="minorHAnsi" w:hAnsi="Arabic Typesetting" w:cs="Arabic Typesetting" w:hint="cs"/>
          <w:sz w:val="34"/>
          <w:szCs w:val="34"/>
          <w:rtl/>
        </w:rPr>
        <w:t xml:space="preserve">شمل حالات </w:t>
      </w:r>
      <w:r w:rsidRPr="00257704">
        <w:rPr>
          <w:rFonts w:ascii="Arabic Typesetting" w:eastAsiaTheme="minorHAnsi" w:hAnsi="Arabic Typesetting" w:cs="Arabic Typesetting"/>
          <w:sz w:val="34"/>
          <w:szCs w:val="34"/>
          <w:rtl/>
        </w:rPr>
        <w:t>انخفاض في عدد التعيينات اللاحقة والط</w:t>
      </w:r>
      <w:r w:rsidRPr="00257704">
        <w:rPr>
          <w:rFonts w:ascii="Arabic Typesetting" w:eastAsiaTheme="minorHAnsi" w:hAnsi="Arabic Typesetting" w:cs="Arabic Typesetting" w:hint="cs"/>
          <w:sz w:val="34"/>
          <w:szCs w:val="34"/>
          <w:rtl/>
        </w:rPr>
        <w:t>ل</w:t>
      </w:r>
      <w:r w:rsidRPr="00257704">
        <w:rPr>
          <w:rFonts w:ascii="Arabic Typesetting" w:eastAsiaTheme="minorHAnsi" w:hAnsi="Arabic Typesetting" w:cs="Arabic Typesetting"/>
          <w:sz w:val="34"/>
          <w:szCs w:val="34"/>
          <w:rtl/>
        </w:rPr>
        <w:t>بات والقرارات التي</w:t>
      </w:r>
      <w:r w:rsidRPr="00257704">
        <w:rPr>
          <w:rFonts w:ascii="Arabic Typesetting" w:eastAsiaTheme="minorHAnsi" w:hAnsi="Arabic Typesetting" w:cs="Arabic Typesetting" w:hint="cs"/>
          <w:sz w:val="34"/>
          <w:szCs w:val="34"/>
          <w:rtl/>
        </w:rPr>
        <w:t xml:space="preserve"> عُولجت</w:t>
      </w:r>
      <w:r w:rsidRPr="00257704">
        <w:rPr>
          <w:rFonts w:ascii="Arabic Typesetting" w:eastAsiaTheme="minorHAnsi" w:hAnsi="Arabic Typesetting" w:cs="Arabic Typesetting"/>
          <w:sz w:val="34"/>
          <w:szCs w:val="34"/>
          <w:rtl/>
        </w:rPr>
        <w:t xml:space="preserve">، مع تخفيضات </w:t>
      </w:r>
      <w:r w:rsidRPr="00257704">
        <w:rPr>
          <w:rFonts w:ascii="Arabic Typesetting" w:eastAsiaTheme="minorHAnsi" w:hAnsi="Arabic Typesetting" w:cs="Arabic Typesetting" w:hint="cs"/>
          <w:sz w:val="34"/>
          <w:szCs w:val="34"/>
          <w:rtl/>
        </w:rPr>
        <w:t>ل</w:t>
      </w:r>
      <w:r w:rsidRPr="00257704">
        <w:rPr>
          <w:rFonts w:ascii="Arabic Typesetting" w:eastAsiaTheme="minorHAnsi" w:hAnsi="Arabic Typesetting" w:cs="Arabic Typesetting"/>
          <w:sz w:val="34"/>
          <w:szCs w:val="34"/>
          <w:rtl/>
        </w:rPr>
        <w:t>كل منها بنسبة 15 و14 و12 في المائة مقارنة بعام 2015. وي</w:t>
      </w:r>
      <w:r w:rsidRPr="00257704">
        <w:rPr>
          <w:rFonts w:ascii="Arabic Typesetting" w:eastAsiaTheme="minorHAnsi" w:hAnsi="Arabic Typesetting" w:cs="Arabic Typesetting" w:hint="cs"/>
          <w:sz w:val="34"/>
          <w:szCs w:val="34"/>
          <w:rtl/>
        </w:rPr>
        <w:t xml:space="preserve">رجع </w:t>
      </w:r>
      <w:r w:rsidRPr="00257704">
        <w:rPr>
          <w:rFonts w:ascii="Arabic Typesetting" w:eastAsiaTheme="minorHAnsi" w:hAnsi="Arabic Typesetting" w:cs="Arabic Typesetting"/>
          <w:sz w:val="34"/>
          <w:szCs w:val="34"/>
          <w:rtl/>
        </w:rPr>
        <w:t xml:space="preserve">ذلك </w:t>
      </w:r>
      <w:r w:rsidRPr="00257704">
        <w:rPr>
          <w:rFonts w:ascii="Arabic Typesetting" w:eastAsiaTheme="minorHAnsi" w:hAnsi="Arabic Typesetting" w:cs="Arabic Typesetting" w:hint="cs"/>
          <w:sz w:val="34"/>
          <w:szCs w:val="34"/>
          <w:rtl/>
        </w:rPr>
        <w:t xml:space="preserve">في المقام الأول إلى </w:t>
      </w:r>
      <w:r w:rsidRPr="00257704">
        <w:rPr>
          <w:rFonts w:ascii="Arabic Typesetting" w:eastAsiaTheme="minorHAnsi" w:hAnsi="Arabic Typesetting" w:cs="Arabic Typesetting"/>
          <w:sz w:val="34"/>
          <w:szCs w:val="34"/>
          <w:rtl/>
        </w:rPr>
        <w:t>عدم الاستقرار الأولي لنظام تكنولوجيا المعلومات الجديد (</w:t>
      </w:r>
      <w:r w:rsidRPr="00257704">
        <w:rPr>
          <w:rFonts w:ascii="Arabic Typesetting" w:eastAsiaTheme="minorHAnsi" w:hAnsi="Arabic Typesetting" w:cs="Arabic Typesetting"/>
          <w:sz w:val="34"/>
          <w:szCs w:val="34"/>
        </w:rPr>
        <w:t>MIRIS</w:t>
      </w:r>
      <w:r w:rsidRPr="00257704">
        <w:rPr>
          <w:rFonts w:ascii="Arabic Typesetting" w:eastAsiaTheme="minorHAnsi" w:hAnsi="Arabic Typesetting" w:cs="Arabic Typesetting"/>
          <w:sz w:val="34"/>
          <w:szCs w:val="34"/>
          <w:rtl/>
        </w:rPr>
        <w:t>)، مما أدى إلى تراكم الوثائق المعلقة.</w:t>
      </w:r>
    </w:p>
    <w:p w14:paraId="32F2ABE7" w14:textId="77777777" w:rsidR="00257704" w:rsidRPr="00257704" w:rsidRDefault="00257704" w:rsidP="0031289D">
      <w:pPr>
        <w:bidi/>
        <w:spacing w:after="240" w:line="360" w:lineRule="exact"/>
        <w:jc w:val="both"/>
        <w:rPr>
          <w:rFonts w:ascii="Arabic Typesetting" w:eastAsiaTheme="minorHAnsi" w:hAnsi="Arabic Typesetting" w:cs="Arabic Typesetting"/>
          <w:bCs/>
          <w:sz w:val="36"/>
          <w:szCs w:val="36"/>
          <w:rtl/>
        </w:rPr>
      </w:pPr>
      <w:r w:rsidRPr="00257704">
        <w:rPr>
          <w:rFonts w:ascii="Arabic Typesetting" w:eastAsiaTheme="minorHAnsi" w:hAnsi="Arabic Typesetting" w:cs="Arabic Typesetting"/>
          <w:bCs/>
          <w:sz w:val="36"/>
          <w:szCs w:val="36"/>
          <w:rtl/>
        </w:rPr>
        <w:t>ثالثا</w:t>
      </w:r>
      <w:r w:rsidRPr="00257704">
        <w:rPr>
          <w:rFonts w:ascii="Arabic Typesetting" w:eastAsiaTheme="minorHAnsi" w:hAnsi="Arabic Typesetting" w:cs="Arabic Typesetting" w:hint="cs"/>
          <w:bCs/>
          <w:sz w:val="36"/>
          <w:szCs w:val="36"/>
          <w:rtl/>
        </w:rPr>
        <w:t>ً</w:t>
      </w:r>
      <w:r w:rsidRPr="00257704">
        <w:rPr>
          <w:rFonts w:ascii="Arabic Typesetting" w:eastAsiaTheme="minorHAnsi" w:hAnsi="Arabic Typesetting" w:cs="Arabic Typesetting"/>
          <w:bCs/>
          <w:sz w:val="36"/>
          <w:szCs w:val="36"/>
          <w:rtl/>
        </w:rPr>
        <w:t>.</w:t>
      </w:r>
      <w:r w:rsidRPr="00257704">
        <w:rPr>
          <w:rFonts w:ascii="Arabic Typesetting" w:eastAsiaTheme="minorHAnsi" w:hAnsi="Arabic Typesetting" w:cs="Arabic Typesetting"/>
          <w:bCs/>
          <w:sz w:val="36"/>
          <w:szCs w:val="36"/>
          <w:rtl/>
        </w:rPr>
        <w:tab/>
        <w:t xml:space="preserve">طريقة </w:t>
      </w:r>
      <w:r w:rsidRPr="00257704">
        <w:rPr>
          <w:rFonts w:ascii="Arabic Typesetting" w:eastAsiaTheme="minorHAnsi" w:hAnsi="Arabic Typesetting" w:cs="Arabic Typesetting" w:hint="cs"/>
          <w:bCs/>
          <w:sz w:val="36"/>
          <w:szCs w:val="36"/>
          <w:rtl/>
        </w:rPr>
        <w:t>إرسال</w:t>
      </w:r>
      <w:r w:rsidRPr="00257704">
        <w:rPr>
          <w:rFonts w:ascii="Arabic Typesetting" w:eastAsiaTheme="minorHAnsi" w:hAnsi="Arabic Typesetting" w:cs="Arabic Typesetting"/>
          <w:bCs/>
          <w:sz w:val="36"/>
          <w:szCs w:val="36"/>
          <w:rtl/>
        </w:rPr>
        <w:t xml:space="preserve"> الوثائق الواردة</w:t>
      </w:r>
    </w:p>
    <w:p w14:paraId="22B98DC5" w14:textId="47B20BD2" w:rsidR="00257704" w:rsidRPr="003C0533" w:rsidRDefault="00FD1AFA" w:rsidP="0031289D">
      <w:pPr>
        <w:bidi/>
        <w:spacing w:after="240" w:line="276" w:lineRule="auto"/>
        <w:jc w:val="center"/>
        <w:rPr>
          <w:rFonts w:ascii="Arabic Typesetting" w:eastAsiaTheme="minorHAnsi" w:hAnsi="Arabic Typesetting" w:cs="Arabic Typesetting"/>
          <w:bCs/>
          <w:sz w:val="36"/>
          <w:szCs w:val="36"/>
          <w:lang w:bidi="ar-EG"/>
        </w:rPr>
      </w:pPr>
      <w:r w:rsidRPr="003C0533">
        <w:rPr>
          <w:rFonts w:ascii="Arabic Typesetting" w:eastAsiaTheme="minorHAnsi" w:hAnsi="Arabic Typesetting" w:cs="Arabic Typesetting"/>
          <w:bCs/>
          <w:noProof/>
          <w:sz w:val="36"/>
          <w:szCs w:val="36"/>
        </w:rPr>
        <w:drawing>
          <wp:inline distT="0" distB="0" distL="0" distR="0" wp14:anchorId="74E80C64" wp14:editId="5EF333FE">
            <wp:extent cx="4077336" cy="1878150"/>
            <wp:effectExtent l="0" t="0" r="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93320" cy="1885513"/>
                    </a:xfrm>
                    <a:prstGeom prst="rect">
                      <a:avLst/>
                    </a:prstGeom>
                    <a:noFill/>
                  </pic:spPr>
                </pic:pic>
              </a:graphicData>
            </a:graphic>
          </wp:inline>
        </w:drawing>
      </w:r>
    </w:p>
    <w:p w14:paraId="438071AB"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في عام 2016، </w:t>
      </w:r>
      <w:r w:rsidRPr="00257704">
        <w:rPr>
          <w:rFonts w:ascii="Arabic Typesetting" w:eastAsiaTheme="minorHAnsi" w:hAnsi="Arabic Typesetting" w:cs="Arabic Typesetting" w:hint="cs"/>
          <w:sz w:val="34"/>
          <w:szCs w:val="34"/>
          <w:rtl/>
        </w:rPr>
        <w:t xml:space="preserve">أُرسل </w:t>
      </w:r>
      <w:r w:rsidRPr="00257704">
        <w:rPr>
          <w:rFonts w:ascii="Arabic Typesetting" w:eastAsiaTheme="minorHAnsi" w:hAnsi="Arabic Typesetting" w:cs="Arabic Typesetting"/>
          <w:sz w:val="34"/>
          <w:szCs w:val="34"/>
          <w:rtl/>
        </w:rPr>
        <w:t>إلكترونيا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إلى المكتب الدولي 87 في المائة من جميع الوثائق الواردة، وهو ما يمثل زيادة قدرها 8 نقاط مئوية مقارنة بعام 2015.</w:t>
      </w:r>
    </w:p>
    <w:p w14:paraId="31958251"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زادت حصة الوثائق الواردة المرسلة إلكترونيا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باستمرار منذ عام 2008، باستثناء عام 2014 </w:t>
      </w:r>
      <w:r w:rsidRPr="00257704">
        <w:rPr>
          <w:rFonts w:ascii="Arabic Typesetting" w:eastAsiaTheme="minorHAnsi" w:hAnsi="Arabic Typesetting" w:cs="Arabic Typesetting" w:hint="cs"/>
          <w:sz w:val="34"/>
          <w:szCs w:val="34"/>
          <w:rtl/>
        </w:rPr>
        <w:t xml:space="preserve">الذي </w:t>
      </w:r>
      <w:r w:rsidRPr="00257704">
        <w:rPr>
          <w:rFonts w:ascii="Arabic Typesetting" w:eastAsiaTheme="minorHAnsi" w:hAnsi="Arabic Typesetting" w:cs="Arabic Typesetting"/>
          <w:sz w:val="34"/>
          <w:szCs w:val="34"/>
          <w:rtl/>
        </w:rPr>
        <w:t xml:space="preserve">انخفضت </w:t>
      </w:r>
      <w:r w:rsidRPr="00257704">
        <w:rPr>
          <w:rFonts w:ascii="Arabic Typesetting" w:eastAsiaTheme="minorHAnsi" w:hAnsi="Arabic Typesetting" w:cs="Arabic Typesetting" w:hint="cs"/>
          <w:sz w:val="34"/>
          <w:szCs w:val="34"/>
          <w:rtl/>
        </w:rPr>
        <w:t xml:space="preserve">فيه </w:t>
      </w:r>
      <w:r w:rsidRPr="00257704">
        <w:rPr>
          <w:rFonts w:ascii="Arabic Typesetting" w:eastAsiaTheme="minorHAnsi" w:hAnsi="Arabic Typesetting" w:cs="Arabic Typesetting"/>
          <w:sz w:val="34"/>
          <w:szCs w:val="34"/>
          <w:rtl/>
        </w:rPr>
        <w:t>بمقدار نقطة مئوية واحدة.</w:t>
      </w:r>
    </w:p>
    <w:p w14:paraId="4FB5250E" w14:textId="77777777" w:rsidR="00257704" w:rsidRPr="00257704" w:rsidRDefault="00257704" w:rsidP="003C0533">
      <w:pPr>
        <w:bidi/>
        <w:spacing w:after="240" w:line="360" w:lineRule="exact"/>
        <w:rPr>
          <w:rFonts w:ascii="Arabic Typesetting" w:eastAsiaTheme="minorHAnsi" w:hAnsi="Arabic Typesetting" w:cs="Arabic Typesetting"/>
          <w:bCs/>
          <w:sz w:val="36"/>
          <w:szCs w:val="36"/>
        </w:rPr>
      </w:pPr>
      <w:r w:rsidRPr="00257704">
        <w:rPr>
          <w:rFonts w:ascii="Arabic Typesetting" w:eastAsiaTheme="minorHAnsi" w:hAnsi="Arabic Typesetting" w:cs="Arabic Typesetting"/>
          <w:bCs/>
          <w:sz w:val="36"/>
          <w:szCs w:val="36"/>
          <w:rtl/>
        </w:rPr>
        <w:t>رابعا</w:t>
      </w:r>
      <w:r w:rsidRPr="00257704">
        <w:rPr>
          <w:rFonts w:ascii="Arabic Typesetting" w:eastAsiaTheme="minorHAnsi" w:hAnsi="Arabic Typesetting" w:cs="Arabic Typesetting" w:hint="cs"/>
          <w:bCs/>
          <w:sz w:val="36"/>
          <w:szCs w:val="36"/>
          <w:rtl/>
        </w:rPr>
        <w:t>ً</w:t>
      </w:r>
      <w:r w:rsidRPr="00257704">
        <w:rPr>
          <w:rFonts w:ascii="Arabic Typesetting" w:eastAsiaTheme="minorHAnsi" w:hAnsi="Arabic Typesetting" w:cs="Arabic Typesetting"/>
          <w:bCs/>
          <w:sz w:val="36"/>
          <w:szCs w:val="36"/>
          <w:rtl/>
        </w:rPr>
        <w:t>.</w:t>
      </w:r>
      <w:r w:rsidRPr="00257704">
        <w:rPr>
          <w:rFonts w:ascii="Arabic Typesetting" w:eastAsiaTheme="minorHAnsi" w:hAnsi="Arabic Typesetting" w:cs="Arabic Typesetting"/>
          <w:bCs/>
          <w:sz w:val="36"/>
          <w:szCs w:val="36"/>
          <w:rtl/>
        </w:rPr>
        <w:tab/>
        <w:t>المعالجة</w:t>
      </w:r>
    </w:p>
    <w:p w14:paraId="735B7CCC" w14:textId="77777777" w:rsidR="00257704" w:rsidRPr="00257704" w:rsidRDefault="00257704" w:rsidP="003C0533">
      <w:pPr>
        <w:bidi/>
        <w:spacing w:after="240" w:line="360" w:lineRule="exact"/>
        <w:rPr>
          <w:rFonts w:ascii="Arabic Typesetting" w:eastAsiaTheme="minorHAnsi" w:hAnsi="Arabic Typesetting" w:cs="Arabic Typesetting"/>
          <w:sz w:val="34"/>
          <w:szCs w:val="34"/>
          <w:u w:val="single"/>
        </w:rPr>
      </w:pPr>
      <w:r w:rsidRPr="00257704">
        <w:rPr>
          <w:rFonts w:ascii="Arabic Typesetting" w:eastAsiaTheme="minorHAnsi" w:hAnsi="Arabic Typesetting" w:cs="Arabic Typesetting"/>
          <w:sz w:val="34"/>
          <w:szCs w:val="34"/>
          <w:u w:val="single"/>
          <w:rtl/>
        </w:rPr>
        <w:t>تكلفة الإنتاج الإجمالية</w:t>
      </w:r>
    </w:p>
    <w:p w14:paraId="17CFA1D6" w14:textId="77777777" w:rsidR="00257704" w:rsidRPr="00257704" w:rsidRDefault="00257704" w:rsidP="003C0533">
      <w:pPr>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 xml:space="preserve">تتألف تكلفة الإنتاج الإجمالية من النفقات الخاصة بنظام مدريد </w:t>
      </w:r>
      <w:r w:rsidRPr="00257704">
        <w:rPr>
          <w:rFonts w:ascii="Arabic Typesetting" w:hAnsi="Arabic Typesetting" w:cs="Arabic Typesetting" w:hint="cs"/>
          <w:sz w:val="34"/>
          <w:szCs w:val="34"/>
          <w:rtl/>
        </w:rPr>
        <w:t>دون غيره</w:t>
      </w:r>
      <w:r w:rsidRPr="00257704">
        <w:rPr>
          <w:rFonts w:ascii="Arabic Typesetting" w:hAnsi="Arabic Typesetting" w:cs="Arabic Typesetting"/>
          <w:sz w:val="34"/>
          <w:szCs w:val="34"/>
          <w:rtl/>
        </w:rPr>
        <w:t xml:space="preserve"> ونفقات الأنشطة الداعمة للنظام.</w:t>
      </w:r>
    </w:p>
    <w:p w14:paraId="13804EA9" w14:textId="77777777" w:rsidR="00257704" w:rsidRPr="00257704" w:rsidRDefault="00257704" w:rsidP="003C0533">
      <w:pPr>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hint="cs"/>
          <w:sz w:val="34"/>
          <w:szCs w:val="34"/>
          <w:rtl/>
        </w:rPr>
        <w:t xml:space="preserve">وفيما يخص </w:t>
      </w:r>
      <w:r w:rsidRPr="00257704">
        <w:rPr>
          <w:rFonts w:ascii="Arabic Typesetting" w:hAnsi="Arabic Typesetting" w:cs="Arabic Typesetting"/>
          <w:sz w:val="34"/>
          <w:szCs w:val="34"/>
          <w:rtl/>
        </w:rPr>
        <w:t xml:space="preserve">بيانات </w:t>
      </w:r>
      <w:r w:rsidRPr="00257704">
        <w:rPr>
          <w:rFonts w:ascii="Arabic Typesetting" w:hAnsi="Arabic Typesetting" w:cs="Arabic Typesetting" w:hint="cs"/>
          <w:sz w:val="34"/>
          <w:szCs w:val="34"/>
          <w:rtl/>
        </w:rPr>
        <w:t xml:space="preserve">ما </w:t>
      </w:r>
      <w:r w:rsidRPr="00257704">
        <w:rPr>
          <w:rFonts w:ascii="Arabic Typesetting" w:hAnsi="Arabic Typesetting" w:cs="Arabic Typesetting"/>
          <w:sz w:val="34"/>
          <w:szCs w:val="34"/>
          <w:rtl/>
        </w:rPr>
        <w:t xml:space="preserve">قبل عام 2016، </w:t>
      </w:r>
      <w:r w:rsidRPr="00257704">
        <w:rPr>
          <w:rFonts w:ascii="Arabic Typesetting" w:hAnsi="Arabic Typesetting" w:cs="Arabic Typesetting" w:hint="cs"/>
          <w:sz w:val="34"/>
          <w:szCs w:val="34"/>
          <w:rtl/>
        </w:rPr>
        <w:t>كانت</w:t>
      </w:r>
      <w:r w:rsidRPr="00257704">
        <w:rPr>
          <w:rFonts w:ascii="Arabic Typesetting" w:hAnsi="Arabic Typesetting" w:cs="Arabic Typesetting"/>
          <w:sz w:val="34"/>
          <w:szCs w:val="34"/>
          <w:rtl/>
        </w:rPr>
        <w:t xml:space="preserve"> النفقات المتعلقة بنظام مدريد </w:t>
      </w:r>
      <w:r w:rsidRPr="00257704">
        <w:rPr>
          <w:rFonts w:ascii="Arabic Typesetting" w:hAnsi="Arabic Typesetting" w:cs="Arabic Typesetting" w:hint="cs"/>
          <w:sz w:val="34"/>
          <w:szCs w:val="34"/>
          <w:rtl/>
        </w:rPr>
        <w:t xml:space="preserve">دون غيره تمثل نحو </w:t>
      </w:r>
      <w:r w:rsidRPr="00257704">
        <w:rPr>
          <w:rFonts w:ascii="Arabic Typesetting" w:hAnsi="Arabic Typesetting" w:cs="Arabic Typesetting"/>
          <w:sz w:val="34"/>
          <w:szCs w:val="34"/>
          <w:rtl/>
        </w:rPr>
        <w:t>96 في المائة من نفقات البرنامج 6. و</w:t>
      </w:r>
      <w:r w:rsidRPr="00257704">
        <w:rPr>
          <w:rFonts w:ascii="Arabic Typesetting" w:hAnsi="Arabic Typesetting" w:cs="Arabic Typesetting" w:hint="cs"/>
          <w:sz w:val="34"/>
          <w:szCs w:val="34"/>
          <w:rtl/>
        </w:rPr>
        <w:t xml:space="preserve">بدءاً من عام 2016، تُستثنى </w:t>
      </w:r>
      <w:r w:rsidRPr="00257704">
        <w:rPr>
          <w:rFonts w:ascii="Arabic Typesetting" w:hAnsi="Arabic Typesetting" w:cs="Arabic Typesetting"/>
          <w:sz w:val="34"/>
          <w:szCs w:val="34"/>
          <w:rtl/>
        </w:rPr>
        <w:t>من الحساب نفقات نظام مدريد ا</w:t>
      </w:r>
      <w:r w:rsidRPr="00257704">
        <w:rPr>
          <w:rFonts w:ascii="Arabic Typesetting" w:hAnsi="Arabic Typesetting" w:cs="Arabic Typesetting" w:hint="cs"/>
          <w:sz w:val="34"/>
          <w:szCs w:val="34"/>
          <w:rtl/>
        </w:rPr>
        <w:t>لتي تتعلق</w:t>
      </w:r>
      <w:r w:rsidRPr="00257704">
        <w:rPr>
          <w:rFonts w:ascii="Arabic Typesetting" w:hAnsi="Arabic Typesetting" w:cs="Arabic Typesetting"/>
          <w:sz w:val="34"/>
          <w:szCs w:val="34"/>
          <w:rtl/>
        </w:rPr>
        <w:t xml:space="preserve"> بدعم نظامي لاهاي ولشبونة. وقبل الثنائية 2016/17، لم يكن بالإمكان تمييز نفقات الترجمة التحريرية و</w:t>
      </w:r>
      <w:r w:rsidRPr="00257704">
        <w:rPr>
          <w:rFonts w:ascii="Arabic Typesetting" w:hAnsi="Arabic Typesetting" w:cs="Arabic Typesetting" w:hint="cs"/>
          <w:sz w:val="34"/>
          <w:szCs w:val="34"/>
          <w:rtl/>
        </w:rPr>
        <w:t xml:space="preserve">تطويرات </w:t>
      </w:r>
      <w:r w:rsidRPr="00257704">
        <w:rPr>
          <w:rFonts w:ascii="Arabic Typesetting" w:hAnsi="Arabic Typesetting" w:cs="Arabic Typesetting"/>
          <w:sz w:val="34"/>
          <w:szCs w:val="34"/>
          <w:rtl/>
        </w:rPr>
        <w:t xml:space="preserve">تكنولوجيا المعلومات فيما يتعلق بنظامي لاهاي ولشبونة من النفقات الإجمالية للبرنامج 6. وبسبب هذا التنقيح في الحساب، </w:t>
      </w:r>
      <w:r w:rsidRPr="00257704">
        <w:rPr>
          <w:rFonts w:ascii="Arabic Typesetting" w:hAnsi="Arabic Typesetting" w:cs="Arabic Typesetting" w:hint="cs"/>
          <w:sz w:val="34"/>
          <w:szCs w:val="34"/>
          <w:rtl/>
        </w:rPr>
        <w:t>لا يمكن مقارنة</w:t>
      </w:r>
      <w:r w:rsidRPr="00257704">
        <w:rPr>
          <w:rFonts w:ascii="Arabic Typesetting" w:hAnsi="Arabic Typesetting" w:cs="Arabic Typesetting"/>
          <w:sz w:val="34"/>
          <w:szCs w:val="34"/>
          <w:rtl/>
        </w:rPr>
        <w:t xml:space="preserve"> بيانات عام 2016 بال</w:t>
      </w:r>
      <w:r w:rsidRPr="00257704">
        <w:rPr>
          <w:rFonts w:ascii="Arabic Typesetting" w:hAnsi="Arabic Typesetting" w:cs="Arabic Typesetting" w:hint="cs"/>
          <w:sz w:val="34"/>
          <w:szCs w:val="34"/>
          <w:rtl/>
        </w:rPr>
        <w:t xml:space="preserve">أعوام </w:t>
      </w:r>
      <w:r w:rsidRPr="00257704">
        <w:rPr>
          <w:rFonts w:ascii="Arabic Typesetting" w:hAnsi="Arabic Typesetting" w:cs="Arabic Typesetting"/>
          <w:sz w:val="34"/>
          <w:szCs w:val="34"/>
          <w:rtl/>
        </w:rPr>
        <w:t>السابقة</w:t>
      </w:r>
      <w:r w:rsidRPr="00257704">
        <w:rPr>
          <w:rFonts w:ascii="Arabic Typesetting" w:hAnsi="Arabic Typesetting" w:cs="Arabic Typesetting" w:hint="cs"/>
          <w:sz w:val="34"/>
          <w:szCs w:val="34"/>
          <w:rtl/>
        </w:rPr>
        <w:t xml:space="preserve">، ولذلك تُعرض بيانات عام 2016 في شكل بياني </w:t>
      </w:r>
      <w:r w:rsidRPr="00257704">
        <w:rPr>
          <w:rFonts w:ascii="Arabic Typesetting" w:hAnsi="Arabic Typesetting" w:cs="Arabic Typesetting"/>
          <w:sz w:val="34"/>
          <w:szCs w:val="34"/>
          <w:rtl/>
        </w:rPr>
        <w:t>مختل</w:t>
      </w:r>
      <w:r w:rsidRPr="00257704">
        <w:rPr>
          <w:rFonts w:ascii="Arabic Typesetting" w:hAnsi="Arabic Typesetting" w:cs="Arabic Typesetting" w:hint="cs"/>
          <w:sz w:val="34"/>
          <w:szCs w:val="34"/>
          <w:rtl/>
        </w:rPr>
        <w:t>ف</w:t>
      </w:r>
      <w:r w:rsidRPr="00257704">
        <w:rPr>
          <w:rFonts w:ascii="Arabic Typesetting" w:hAnsi="Arabic Typesetting" w:cs="Arabic Typesetting"/>
          <w:sz w:val="34"/>
          <w:szCs w:val="34"/>
          <w:rtl/>
        </w:rPr>
        <w:t>.</w:t>
      </w:r>
    </w:p>
    <w:p w14:paraId="3C565A8C" w14:textId="6D6E5311" w:rsidR="00257704" w:rsidRDefault="00257704" w:rsidP="003C0533">
      <w:pPr>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 xml:space="preserve">وتشمل نفقات الأنشطة الداعمة لنظام مدريد نفقات الخدمات العامة التالية: خدمات المؤتمرات واللغات، </w:t>
      </w:r>
      <w:r w:rsidRPr="00257704">
        <w:rPr>
          <w:rFonts w:ascii="Arabic Typesetting" w:hAnsi="Arabic Typesetting" w:cs="Arabic Typesetting" w:hint="cs"/>
          <w:sz w:val="34"/>
          <w:szCs w:val="34"/>
          <w:rtl/>
        </w:rPr>
        <w:t>والتشييد</w:t>
      </w:r>
      <w:r w:rsidRPr="00257704">
        <w:rPr>
          <w:rFonts w:ascii="Arabic Typesetting" w:hAnsi="Arabic Typesetting" w:cs="Arabic Typesetting"/>
          <w:sz w:val="34"/>
          <w:szCs w:val="34"/>
          <w:rtl/>
        </w:rPr>
        <w:t>، والإدارة التنفيذية، والشؤون المالية والميزانية، وخدمات الدعم العامة، وإدارة الموارد البشرية، والرقابة الداخلية، وتكنولوجيا المعلومات، والسلامة والأمن. وقسط صغير من هذه المصروفات (تكلفة استضافة الخادم لدى مركز الأمم المتحدة الدولي للحساب الإلكتروني وتقاسم تكلفة قسم الإيرادات بإدارة الشؤون المالية) ناجم مباشرة عن نظام مدريد، في حين تُحسب بقية المصروفات التي يمكن عزوها إلى نظام مدريد استنادا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إلى عدد الموظفين (بمن فيهم العاملون بعقود محدّدة المدة والعاملون بعقود مؤقتة والمنتفعون بزمالات).</w:t>
      </w:r>
    </w:p>
    <w:p w14:paraId="3C75B567" w14:textId="2B06822C" w:rsidR="00FD1AFA" w:rsidRDefault="00020400" w:rsidP="00FD1AFA">
      <w:pPr>
        <w:bidi/>
        <w:spacing w:after="240"/>
        <w:jc w:val="both"/>
        <w:rPr>
          <w:rFonts w:ascii="Arabic Typesetting" w:hAnsi="Arabic Typesetting" w:cs="Arabic Typesetting"/>
          <w:sz w:val="34"/>
          <w:szCs w:val="34"/>
          <w:lang w:bidi="ar-EG"/>
        </w:rPr>
      </w:pPr>
      <w:r>
        <w:rPr>
          <w:rFonts w:ascii="Arabic Typesetting" w:hAnsi="Arabic Typesetting" w:cs="Arabic Typesetting"/>
          <w:noProof/>
          <w:sz w:val="34"/>
          <w:szCs w:val="34"/>
        </w:rPr>
        <w:lastRenderedPageBreak/>
        <w:drawing>
          <wp:inline distT="0" distB="0" distL="0" distR="0" wp14:anchorId="4EBD5DE3" wp14:editId="406AFAC6">
            <wp:extent cx="5705475" cy="229313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23289" cy="2300298"/>
                    </a:xfrm>
                    <a:prstGeom prst="rect">
                      <a:avLst/>
                    </a:prstGeom>
                    <a:noFill/>
                  </pic:spPr>
                </pic:pic>
              </a:graphicData>
            </a:graphic>
          </wp:inline>
        </w:drawing>
      </w:r>
    </w:p>
    <w:p w14:paraId="4819C551"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hint="cs"/>
          <w:sz w:val="34"/>
          <w:szCs w:val="34"/>
          <w:rtl/>
        </w:rPr>
        <w:t>تُقدَّر ت</w:t>
      </w:r>
      <w:r w:rsidRPr="00257704">
        <w:rPr>
          <w:rFonts w:ascii="Arabic Typesetting" w:eastAsiaTheme="minorHAnsi" w:hAnsi="Arabic Typesetting" w:cs="Arabic Typesetting"/>
          <w:sz w:val="34"/>
          <w:szCs w:val="34"/>
          <w:rtl/>
        </w:rPr>
        <w:t>كلفة الإنتاج الإجمالية</w:t>
      </w:r>
      <w:r w:rsidRPr="00257704">
        <w:rPr>
          <w:rFonts w:ascii="Arabic Typesetting" w:eastAsiaTheme="minorHAnsi" w:hAnsi="Arabic Typesetting" w:cs="Arabic Typesetting" w:hint="cs"/>
          <w:sz w:val="34"/>
          <w:szCs w:val="34"/>
          <w:rtl/>
        </w:rPr>
        <w:t xml:space="preserve"> بمبلغ</w:t>
      </w:r>
      <w:r w:rsidRPr="00257704">
        <w:rPr>
          <w:rFonts w:ascii="Arabic Typesetting" w:eastAsiaTheme="minorHAnsi" w:hAnsi="Arabic Typesetting" w:cs="Arabic Typesetting"/>
          <w:sz w:val="34"/>
          <w:szCs w:val="34"/>
          <w:rtl/>
        </w:rPr>
        <w:t xml:space="preserve"> 4</w:t>
      </w:r>
      <w:r w:rsidRPr="00257704">
        <w:rPr>
          <w:rFonts w:ascii="Arabic Typesetting" w:eastAsiaTheme="minorHAnsi" w:hAnsi="Arabic Typesetting" w:cs="Arabic Typesetting" w:hint="cs"/>
          <w:sz w:val="34"/>
          <w:szCs w:val="34"/>
          <w:rtl/>
        </w:rPr>
        <w:t>1</w:t>
      </w:r>
      <w:r w:rsidRPr="00257704">
        <w:rPr>
          <w:rFonts w:ascii="Arabic Typesetting" w:eastAsiaTheme="minorHAnsi" w:hAnsi="Arabic Typesetting" w:cs="Arabic Typesetting"/>
          <w:sz w:val="34"/>
          <w:szCs w:val="34"/>
          <w:rtl/>
        </w:rPr>
        <w:t>.</w:t>
      </w:r>
      <w:r w:rsidRPr="00257704">
        <w:rPr>
          <w:rFonts w:ascii="Arabic Typesetting" w:eastAsiaTheme="minorHAnsi" w:hAnsi="Arabic Typesetting" w:cs="Arabic Typesetting" w:hint="cs"/>
          <w:sz w:val="34"/>
          <w:szCs w:val="34"/>
          <w:rtl/>
        </w:rPr>
        <w:t>8</w:t>
      </w:r>
      <w:r w:rsidRPr="00257704">
        <w:rPr>
          <w:rFonts w:ascii="Arabic Typesetting" w:eastAsiaTheme="minorHAnsi" w:hAnsi="Arabic Typesetting" w:cs="Arabic Typesetting"/>
          <w:sz w:val="34"/>
          <w:szCs w:val="34"/>
          <w:rtl/>
        </w:rPr>
        <w:t xml:space="preserve"> مليون فرنك سويسري في </w:t>
      </w:r>
      <w:r w:rsidRPr="00257704">
        <w:rPr>
          <w:rFonts w:ascii="Arabic Typesetting" w:eastAsiaTheme="minorHAnsi" w:hAnsi="Arabic Typesetting" w:cs="Arabic Typesetting" w:hint="cs"/>
          <w:sz w:val="34"/>
          <w:szCs w:val="34"/>
          <w:rtl/>
        </w:rPr>
        <w:t>عام 2016.</w:t>
      </w:r>
    </w:p>
    <w:p w14:paraId="1FB3995B"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وفي </w:t>
      </w:r>
      <w:r w:rsidRPr="00257704">
        <w:rPr>
          <w:rFonts w:ascii="Arabic Typesetting" w:eastAsiaTheme="minorHAnsi" w:hAnsi="Arabic Typesetting" w:cs="Arabic Typesetting" w:hint="cs"/>
          <w:sz w:val="34"/>
          <w:szCs w:val="34"/>
          <w:rtl/>
        </w:rPr>
        <w:t>عام</w:t>
      </w:r>
      <w:r w:rsidRPr="00257704">
        <w:rPr>
          <w:rFonts w:ascii="Arabic Typesetting" w:eastAsiaTheme="minorHAnsi" w:hAnsi="Arabic Typesetting" w:cs="Arabic Typesetting"/>
          <w:sz w:val="34"/>
          <w:szCs w:val="34"/>
          <w:rtl/>
        </w:rPr>
        <w:t xml:space="preserve"> 201</w:t>
      </w:r>
      <w:r w:rsidRPr="00257704">
        <w:rPr>
          <w:rFonts w:ascii="Arabic Typesetting" w:eastAsiaTheme="minorHAnsi" w:hAnsi="Arabic Typesetting" w:cs="Arabic Typesetting" w:hint="cs"/>
          <w:sz w:val="34"/>
          <w:szCs w:val="34"/>
          <w:rtl/>
        </w:rPr>
        <w:t>6</w:t>
      </w:r>
      <w:r w:rsidRPr="00257704">
        <w:rPr>
          <w:rFonts w:ascii="Arabic Typesetting" w:eastAsiaTheme="minorHAnsi" w:hAnsi="Arabic Typesetting" w:cs="Arabic Typesetting"/>
          <w:sz w:val="34"/>
          <w:szCs w:val="34"/>
          <w:rtl/>
        </w:rPr>
        <w:t xml:space="preserve">، بلغت </w:t>
      </w:r>
      <w:r w:rsidRPr="00257704">
        <w:rPr>
          <w:rFonts w:ascii="Arabic Typesetting" w:eastAsiaTheme="minorHAnsi" w:hAnsi="Arabic Typesetting" w:cs="Arabic Typesetting" w:hint="cs"/>
          <w:sz w:val="34"/>
          <w:szCs w:val="34"/>
          <w:rtl/>
        </w:rPr>
        <w:t>نسبة</w:t>
      </w:r>
      <w:r w:rsidRPr="00257704">
        <w:rPr>
          <w:rFonts w:ascii="Arabic Typesetting" w:eastAsiaTheme="minorHAnsi" w:hAnsi="Arabic Typesetting" w:cs="Arabic Typesetting"/>
          <w:sz w:val="34"/>
          <w:szCs w:val="34"/>
          <w:rtl/>
        </w:rPr>
        <w:t xml:space="preserve"> التكاليف المباشرة 61 </w:t>
      </w:r>
      <w:r w:rsidRPr="00257704">
        <w:rPr>
          <w:rFonts w:ascii="Arabic Typesetting" w:eastAsiaTheme="minorHAnsi" w:hAnsi="Arabic Typesetting" w:cs="Arabic Typesetting" w:hint="cs"/>
          <w:sz w:val="34"/>
          <w:szCs w:val="34"/>
          <w:rtl/>
        </w:rPr>
        <w:t xml:space="preserve">في </w:t>
      </w:r>
      <w:r w:rsidRPr="00257704">
        <w:rPr>
          <w:rFonts w:ascii="Arabic Typesetting" w:eastAsiaTheme="minorHAnsi" w:hAnsi="Arabic Typesetting" w:cs="Arabic Typesetting"/>
          <w:sz w:val="34"/>
          <w:szCs w:val="34"/>
          <w:rtl/>
        </w:rPr>
        <w:t>الم</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ئة من التك</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ل</w:t>
      </w:r>
      <w:r w:rsidRPr="00257704">
        <w:rPr>
          <w:rFonts w:ascii="Arabic Typesetting" w:eastAsiaTheme="minorHAnsi" w:hAnsi="Arabic Typesetting" w:cs="Arabic Typesetting" w:hint="cs"/>
          <w:sz w:val="34"/>
          <w:szCs w:val="34"/>
          <w:rtl/>
        </w:rPr>
        <w:t>ي</w:t>
      </w:r>
      <w:r w:rsidRPr="00257704">
        <w:rPr>
          <w:rFonts w:ascii="Arabic Typesetting" w:eastAsiaTheme="minorHAnsi" w:hAnsi="Arabic Typesetting" w:cs="Arabic Typesetting"/>
          <w:sz w:val="34"/>
          <w:szCs w:val="34"/>
          <w:rtl/>
        </w:rPr>
        <w:t>ف الإجمالية.</w:t>
      </w:r>
    </w:p>
    <w:p w14:paraId="480F053C" w14:textId="77777777" w:rsidR="00257704" w:rsidRPr="00257704" w:rsidRDefault="00257704" w:rsidP="0031289D">
      <w:pPr>
        <w:keepNext/>
        <w:bidi/>
        <w:spacing w:after="240" w:line="360" w:lineRule="exact"/>
        <w:rPr>
          <w:rFonts w:ascii="Arabic Typesetting" w:eastAsiaTheme="minorHAnsi" w:hAnsi="Arabic Typesetting" w:cs="Arabic Typesetting"/>
          <w:sz w:val="34"/>
          <w:szCs w:val="34"/>
          <w:highlight w:val="yellow"/>
          <w:u w:val="single"/>
          <w:rtl/>
          <w:lang w:bidi="ar-EG"/>
        </w:rPr>
      </w:pPr>
      <w:r w:rsidRPr="00257704">
        <w:rPr>
          <w:rFonts w:ascii="Arabic Typesetting" w:eastAsiaTheme="minorHAnsi" w:hAnsi="Arabic Typesetting" w:cs="Arabic Typesetting"/>
          <w:sz w:val="34"/>
          <w:szCs w:val="34"/>
          <w:u w:val="single"/>
          <w:rtl/>
        </w:rPr>
        <w:t>تكلفة الوحدة</w:t>
      </w:r>
    </w:p>
    <w:p w14:paraId="0348AC16" w14:textId="77777777" w:rsidR="00257704" w:rsidRPr="00257704" w:rsidRDefault="00257704" w:rsidP="00D94CDB">
      <w:pPr>
        <w:numPr>
          <w:ilvl w:val="0"/>
          <w:numId w:val="101"/>
        </w:numPr>
        <w:bidi/>
        <w:spacing w:after="240" w:line="360" w:lineRule="exact"/>
        <w:ind w:left="0"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يمكن حساب كفاءة المكتب الدولي في معالجة المعاملات بتكلفة الوحدة التي تعني متو</w:t>
      </w:r>
      <w:r w:rsidRPr="00257704">
        <w:rPr>
          <w:rFonts w:ascii="Arabic Typesetting" w:hAnsi="Arabic Typesetting" w:cs="Arabic Typesetting" w:hint="cs"/>
          <w:sz w:val="34"/>
          <w:szCs w:val="34"/>
          <w:rtl/>
        </w:rPr>
        <w:t>س</w:t>
      </w:r>
      <w:r w:rsidRPr="00257704">
        <w:rPr>
          <w:rFonts w:ascii="Arabic Typesetting" w:hAnsi="Arabic Typesetting" w:cs="Arabic Typesetting"/>
          <w:sz w:val="34"/>
          <w:szCs w:val="34"/>
          <w:rtl/>
        </w:rPr>
        <w:t>ط التكلفة لإنتاج وحدة واحدة من المخرجات.</w:t>
      </w:r>
    </w:p>
    <w:p w14:paraId="15FE80F1" w14:textId="77777777" w:rsidR="00257704" w:rsidRPr="00257704" w:rsidRDefault="00257704" w:rsidP="00D94CDB">
      <w:pPr>
        <w:numPr>
          <w:ilvl w:val="0"/>
          <w:numId w:val="101"/>
        </w:numPr>
        <w:bidi/>
        <w:spacing w:after="240" w:line="360" w:lineRule="exact"/>
        <w:ind w:left="0"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وبما أن المكتب الدولي يسجل طلبات جديدة ويحفظ التسجيلات الموجودة، فمن الوجيه أن تكون هناك وحدة من المخرجات التي تتضمن مجموعة من المعاملات. ويرد أدناه مؤشران اثنان لتكلفة الوحدة باستخدام وحدتين مختلفتين من المخرجات.</w:t>
      </w:r>
    </w:p>
    <w:p w14:paraId="5FA552D3" w14:textId="77777777" w:rsidR="00257704" w:rsidRPr="00257704" w:rsidRDefault="00257704" w:rsidP="00D94CDB">
      <w:pPr>
        <w:numPr>
          <w:ilvl w:val="0"/>
          <w:numId w:val="101"/>
        </w:numPr>
        <w:bidi/>
        <w:spacing w:after="240" w:line="360" w:lineRule="exact"/>
        <w:ind w:left="0"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 xml:space="preserve">وكجزء من جهود المكتب الدولي لمواصلة صقل </w:t>
      </w:r>
      <w:r w:rsidRPr="00257704">
        <w:rPr>
          <w:rFonts w:ascii="Arabic Typesetting" w:hAnsi="Arabic Typesetting" w:cs="Arabic Typesetting" w:hint="cs"/>
          <w:sz w:val="34"/>
          <w:szCs w:val="34"/>
          <w:rtl/>
        </w:rPr>
        <w:t>نهجه</w:t>
      </w:r>
      <w:r w:rsidRPr="00257704">
        <w:rPr>
          <w:rFonts w:ascii="Arabic Typesetting" w:hAnsi="Arabic Typesetting" w:cs="Arabic Typesetting"/>
          <w:sz w:val="34"/>
          <w:szCs w:val="34"/>
          <w:rtl/>
        </w:rPr>
        <w:t xml:space="preserve"> إزاء حساب تكاليف الوحدة، تم تنقيح المنهجية في </w:t>
      </w:r>
      <w:r w:rsidRPr="00257704">
        <w:rPr>
          <w:rFonts w:ascii="Arabic Typesetting" w:hAnsi="Arabic Typesetting" w:cs="Arabic Typesetting" w:hint="cs"/>
          <w:sz w:val="34"/>
          <w:szCs w:val="34"/>
          <w:rtl/>
        </w:rPr>
        <w:t>عام 2016</w:t>
      </w:r>
      <w:r w:rsidRPr="00257704">
        <w:rPr>
          <w:rFonts w:ascii="Arabic Typesetting" w:hAnsi="Arabic Typesetting" w:cs="Arabic Typesetting"/>
          <w:sz w:val="34"/>
          <w:szCs w:val="34"/>
          <w:rtl/>
        </w:rPr>
        <w:t xml:space="preserve"> لتعكس بشكل أدق تكلفة معالجة أعباء عمل مدريد في المكتب الدولي:</w:t>
      </w:r>
    </w:p>
    <w:p w14:paraId="64675F1D"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تمت مواءمة منهجية حساب تكاليف نظام مدريد المباشرة وغير المباشرة مع منهجيات حساب تكاليف الوحدة في نظامي معاهدة البراءات ولاهاي.</w:t>
      </w:r>
    </w:p>
    <w:p w14:paraId="6CB8BC0A"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وأُدخل </w:t>
      </w:r>
      <w:r w:rsidRPr="00257704">
        <w:rPr>
          <w:rFonts w:ascii="Arabic Typesetting" w:eastAsiaTheme="minorHAnsi" w:hAnsi="Arabic Typesetting" w:cs="Arabic Typesetting" w:hint="cs"/>
          <w:sz w:val="34"/>
          <w:szCs w:val="34"/>
          <w:rtl/>
        </w:rPr>
        <w:t>ال</w:t>
      </w:r>
      <w:r w:rsidRPr="00257704">
        <w:rPr>
          <w:rFonts w:ascii="Arabic Typesetting" w:eastAsiaTheme="minorHAnsi" w:hAnsi="Arabic Typesetting" w:cs="Arabic Typesetting"/>
          <w:sz w:val="34"/>
          <w:szCs w:val="34"/>
          <w:rtl/>
        </w:rPr>
        <w:t xml:space="preserve">نظام </w:t>
      </w:r>
      <w:r w:rsidRPr="00257704">
        <w:rPr>
          <w:rFonts w:ascii="Arabic Typesetting" w:eastAsiaTheme="minorHAnsi" w:hAnsi="Arabic Typesetting" w:cs="Arabic Typesetting" w:hint="cs"/>
          <w:sz w:val="34"/>
          <w:szCs w:val="34"/>
          <w:rtl/>
        </w:rPr>
        <w:t>ال</w:t>
      </w:r>
      <w:r w:rsidRPr="00257704">
        <w:rPr>
          <w:rFonts w:ascii="Arabic Typesetting" w:eastAsiaTheme="minorHAnsi" w:hAnsi="Arabic Typesetting" w:cs="Arabic Typesetting"/>
          <w:sz w:val="34"/>
          <w:szCs w:val="34"/>
          <w:rtl/>
        </w:rPr>
        <w:t>مرجَّح</w:t>
      </w:r>
      <w:r w:rsidRPr="00257704">
        <w:rPr>
          <w:rFonts w:ascii="Arabic Typesetting" w:eastAsiaTheme="minorHAnsi" w:hAnsi="Arabic Typesetting" w:cs="Arabic Typesetting" w:hint="cs"/>
          <w:sz w:val="34"/>
          <w:szCs w:val="34"/>
          <w:rtl/>
        </w:rPr>
        <w:t xml:space="preserve"> الموصوف في القسم الثاني</w:t>
      </w:r>
      <w:r w:rsidRPr="00257704">
        <w:rPr>
          <w:rFonts w:ascii="Arabic Typesetting" w:eastAsiaTheme="minorHAnsi" w:hAnsi="Arabic Typesetting" w:cs="Arabic Typesetting"/>
          <w:sz w:val="34"/>
          <w:szCs w:val="34"/>
          <w:rtl/>
        </w:rPr>
        <w:t xml:space="preserve"> ل</w:t>
      </w:r>
      <w:r w:rsidRPr="00257704">
        <w:rPr>
          <w:rFonts w:ascii="Arabic Typesetting" w:eastAsiaTheme="minorHAnsi" w:hAnsi="Arabic Typesetting" w:cs="Arabic Typesetting" w:hint="cs"/>
          <w:sz w:val="34"/>
          <w:szCs w:val="34"/>
          <w:rtl/>
        </w:rPr>
        <w:t xml:space="preserve">تحسين </w:t>
      </w:r>
      <w:r w:rsidRPr="00257704">
        <w:rPr>
          <w:rFonts w:ascii="Arabic Typesetting" w:eastAsiaTheme="minorHAnsi" w:hAnsi="Arabic Typesetting" w:cs="Arabic Typesetting"/>
          <w:sz w:val="34"/>
          <w:szCs w:val="34"/>
          <w:rtl/>
        </w:rPr>
        <w:t xml:space="preserve">تقدير </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لعمل الفعلي المطلوب لمعالجة فئات الوثائق الست، مع مراعاة أن بعض تلك الوثائق يتطلب عملا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أكثر من غيرها.</w:t>
      </w:r>
      <w:r w:rsidRPr="00257704">
        <w:rPr>
          <w:rFonts w:ascii="Arabic Typesetting" w:eastAsiaTheme="minorHAnsi" w:hAnsi="Arabic Typesetting" w:cs="Arabic Typesetting"/>
          <w:sz w:val="34"/>
          <w:szCs w:val="34"/>
          <w:vertAlign w:val="superscript"/>
        </w:rPr>
        <w:footnoteReference w:id="37"/>
      </w:r>
    </w:p>
    <w:p w14:paraId="0612CA0A"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وأ</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عيد تحديد تكلفة الوحدة </w:t>
      </w:r>
      <w:r w:rsidRPr="00257704">
        <w:rPr>
          <w:rFonts w:ascii="Arabic Typesetting" w:eastAsiaTheme="minorHAnsi" w:hAnsi="Arabic Typesetting" w:cs="Arabic Typesetting" w:hint="cs"/>
          <w:sz w:val="34"/>
          <w:szCs w:val="34"/>
          <w:rtl/>
        </w:rPr>
        <w:t xml:space="preserve">لكل </w:t>
      </w:r>
      <w:r w:rsidRPr="00257704">
        <w:rPr>
          <w:rFonts w:ascii="Arabic Typesetting" w:eastAsiaTheme="minorHAnsi" w:hAnsi="Arabic Typesetting" w:cs="Arabic Typesetting"/>
          <w:sz w:val="34"/>
          <w:szCs w:val="34"/>
          <w:rtl/>
        </w:rPr>
        <w:t>تسجيل</w:t>
      </w:r>
      <w:r w:rsidRPr="00257704">
        <w:rPr>
          <w:rFonts w:ascii="Arabic Typesetting" w:eastAsiaTheme="minorHAnsi" w:hAnsi="Arabic Typesetting" w:cs="Arabic Typesetting" w:hint="cs"/>
          <w:sz w:val="34"/>
          <w:szCs w:val="34"/>
          <w:rtl/>
        </w:rPr>
        <w:t xml:space="preserve"> دولي</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i/>
          <w:sz w:val="34"/>
          <w:szCs w:val="34"/>
          <w:rtl/>
        </w:rPr>
        <w:t>جديد/مجدّد</w:t>
      </w:r>
      <w:r w:rsidRPr="00257704">
        <w:rPr>
          <w:rFonts w:ascii="Arabic Typesetting" w:eastAsiaTheme="minorHAnsi" w:hAnsi="Arabic Typesetting" w:cs="Arabic Typesetting" w:hint="cs"/>
          <w:sz w:val="34"/>
          <w:szCs w:val="34"/>
          <w:rtl/>
        </w:rPr>
        <w:t xml:space="preserve"> لت</w:t>
      </w:r>
      <w:r w:rsidRPr="00257704">
        <w:rPr>
          <w:rFonts w:ascii="Arabic Typesetting" w:eastAsiaTheme="minorHAnsi" w:hAnsi="Arabic Typesetting" w:cs="Arabic Typesetting"/>
          <w:sz w:val="34"/>
          <w:szCs w:val="34"/>
          <w:rtl/>
        </w:rPr>
        <w:t xml:space="preserve">شمل </w:t>
      </w:r>
      <w:r w:rsidRPr="00257704">
        <w:rPr>
          <w:rFonts w:ascii="Arabic Typesetting" w:eastAsiaTheme="minorHAnsi" w:hAnsi="Arabic Typesetting" w:cs="Arabic Typesetting" w:hint="cs"/>
          <w:sz w:val="34"/>
          <w:szCs w:val="34"/>
          <w:rtl/>
        </w:rPr>
        <w:t xml:space="preserve">التسجيلات والتجديدات الدولية الجديدة فقط. </w:t>
      </w:r>
      <w:r w:rsidRPr="00257704">
        <w:rPr>
          <w:rFonts w:ascii="Arabic Typesetting" w:eastAsiaTheme="minorHAnsi" w:hAnsi="Arabic Typesetting" w:cs="Arabic Typesetting"/>
          <w:sz w:val="34"/>
          <w:szCs w:val="34"/>
          <w:rtl/>
        </w:rPr>
        <w:t>والأساس المنطقي لحذف التعيينات اللاحقة كعنصر من عناصر تكلفة الوحدة هو من أجل تركيز أكبر على مخرجات مدريد الرئيسية، وهي التسجيل الدولي وتجديده.</w:t>
      </w:r>
      <w:r w:rsidRPr="00257704">
        <w:rPr>
          <w:rFonts w:ascii="Arabic Typesetting" w:eastAsiaTheme="minorHAnsi" w:hAnsi="Arabic Typesetting" w:cs="Arabic Typesetting" w:hint="cs"/>
          <w:sz w:val="34"/>
          <w:szCs w:val="34"/>
          <w:rtl/>
        </w:rPr>
        <w:t xml:space="preserve"> </w:t>
      </w:r>
      <w:r w:rsidRPr="00257704">
        <w:rPr>
          <w:rFonts w:ascii="Arabic Typesetting" w:eastAsiaTheme="minorHAnsi" w:hAnsi="Arabic Typesetting" w:cs="Arabic Typesetting"/>
          <w:sz w:val="34"/>
          <w:szCs w:val="34"/>
          <w:rtl/>
        </w:rPr>
        <w:t>ويمكن اعتبا</w:t>
      </w:r>
      <w:r w:rsidRPr="00257704">
        <w:rPr>
          <w:rFonts w:ascii="Arabic Typesetting" w:eastAsiaTheme="minorHAnsi" w:hAnsi="Arabic Typesetting" w:cs="Arabic Typesetting" w:hint="cs"/>
          <w:sz w:val="34"/>
          <w:szCs w:val="34"/>
          <w:rtl/>
        </w:rPr>
        <w:t>ر</w:t>
      </w:r>
      <w:r w:rsidRPr="00257704">
        <w:rPr>
          <w:rFonts w:ascii="Arabic Typesetting" w:eastAsiaTheme="minorHAnsi" w:hAnsi="Arabic Typesetting" w:cs="Arabic Typesetting"/>
          <w:sz w:val="34"/>
          <w:szCs w:val="34"/>
          <w:rtl/>
        </w:rPr>
        <w:t xml:space="preserve"> جميع معاملات مدريد الأخرى (التعيينات اللاحقة والتعديلات والقرارات والتصحيحات) ثانوية مقارنة بتلك</w:t>
      </w:r>
      <w:r w:rsidRPr="00257704">
        <w:rPr>
          <w:rFonts w:ascii="Arabic Typesetting" w:eastAsiaTheme="minorHAnsi" w:hAnsi="Arabic Typesetting" w:cs="Arabic Typesetting"/>
          <w:sz w:val="34"/>
          <w:szCs w:val="34"/>
        </w:rPr>
        <w:t xml:space="preserve"> </w:t>
      </w:r>
      <w:r w:rsidRPr="00257704">
        <w:rPr>
          <w:rFonts w:ascii="Arabic Typesetting" w:eastAsiaTheme="minorHAnsi" w:hAnsi="Arabic Typesetting" w:cs="Arabic Typesetting"/>
          <w:sz w:val="34"/>
          <w:szCs w:val="34"/>
          <w:rtl/>
        </w:rPr>
        <w:t>المعاملتين الأساسيتين</w:t>
      </w:r>
      <w:r w:rsidRPr="00257704">
        <w:rPr>
          <w:rFonts w:ascii="Arabic Typesetting" w:eastAsiaTheme="minorHAnsi" w:hAnsi="Arabic Typesetting" w:cs="Arabic Typesetting" w:hint="cs"/>
          <w:sz w:val="34"/>
          <w:szCs w:val="34"/>
          <w:rtl/>
        </w:rPr>
        <w:t xml:space="preserve">. </w:t>
      </w:r>
      <w:r w:rsidRPr="00257704">
        <w:rPr>
          <w:rFonts w:ascii="Arabic Typesetting" w:eastAsiaTheme="minorHAnsi" w:hAnsi="Arabic Typesetting" w:cs="Arabic Typesetting"/>
          <w:sz w:val="34"/>
          <w:szCs w:val="34"/>
          <w:rtl/>
        </w:rPr>
        <w:t xml:space="preserve">وعلاوة على ذلك، </w:t>
      </w:r>
      <w:r w:rsidRPr="00257704">
        <w:rPr>
          <w:rFonts w:ascii="Arabic Typesetting" w:eastAsiaTheme="minorHAnsi" w:hAnsi="Arabic Typesetting" w:cs="Arabic Typesetting" w:hint="cs"/>
          <w:sz w:val="34"/>
          <w:szCs w:val="34"/>
          <w:rtl/>
        </w:rPr>
        <w:t xml:space="preserve">من الصعب تبرير </w:t>
      </w:r>
      <w:r w:rsidRPr="00257704">
        <w:rPr>
          <w:rFonts w:ascii="Arabic Typesetting" w:eastAsiaTheme="minorHAnsi" w:hAnsi="Arabic Typesetting" w:cs="Arabic Typesetting"/>
          <w:sz w:val="34"/>
          <w:szCs w:val="34"/>
          <w:rtl/>
        </w:rPr>
        <w:t>إدراج معاملة من تلك المعاملات الثانوية كعنصر من عناصر تكاليف الوحدة وعدم إدراج المعاملات الأخرى.</w:t>
      </w:r>
    </w:p>
    <w:p w14:paraId="19DDA598"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تستند تكلفة الوحدة الثانية بشكل صارم إلى عدد الوثائق المدرجة في السجل، بصرف النظر عن المستويات المختلفة للموارد المطلوبة لمعالجتها.</w:t>
      </w:r>
    </w:p>
    <w:p w14:paraId="67268864" w14:textId="77777777" w:rsidR="00257704" w:rsidRPr="00257704" w:rsidRDefault="00257704" w:rsidP="0031289D">
      <w:pPr>
        <w:keepNext/>
        <w:keepLines/>
        <w:bidi/>
        <w:spacing w:after="240" w:line="360" w:lineRule="exact"/>
        <w:rPr>
          <w:rFonts w:ascii="Arabic Typesetting" w:eastAsiaTheme="minorHAnsi" w:hAnsi="Arabic Typesetting" w:cs="Arabic Typesetting"/>
          <w:iCs/>
          <w:sz w:val="34"/>
          <w:szCs w:val="34"/>
        </w:rPr>
      </w:pPr>
      <w:r w:rsidRPr="00257704">
        <w:rPr>
          <w:rFonts w:ascii="Arabic Typesetting" w:eastAsiaTheme="minorHAnsi" w:hAnsi="Arabic Typesetting" w:cs="Arabic Typesetting"/>
          <w:iCs/>
          <w:sz w:val="34"/>
          <w:szCs w:val="34"/>
          <w:rtl/>
        </w:rPr>
        <w:lastRenderedPageBreak/>
        <w:t>تكلفة الوحدة لكل تسجيل دولي جديد/مجدّد</w:t>
      </w:r>
    </w:p>
    <w:p w14:paraId="4C4B4BCE" w14:textId="77777777" w:rsidR="00257704" w:rsidRPr="00257704" w:rsidRDefault="00257704" w:rsidP="00D94CDB">
      <w:pPr>
        <w:numPr>
          <w:ilvl w:val="0"/>
          <w:numId w:val="101"/>
        </w:numPr>
        <w:bidi/>
        <w:spacing w:after="240" w:line="360" w:lineRule="exact"/>
        <w:ind w:left="0"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التسجيلات الدولية الجديدة هي الطلبات المسجلة خلال سنة معينة، والتسجيلات الدولية المجدّدة هي التسجيلات الموجودة أصلا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والتي يتم تجديدها خلال سنة معينة. ويعكس النوعان </w:t>
      </w:r>
      <w:r w:rsidRPr="00257704">
        <w:rPr>
          <w:rFonts w:ascii="Arabic Typesetting" w:hAnsi="Arabic Typesetting" w:cs="Arabic Typesetting" w:hint="cs"/>
          <w:sz w:val="34"/>
          <w:szCs w:val="34"/>
          <w:rtl/>
        </w:rPr>
        <w:t xml:space="preserve">المذكوران </w:t>
      </w:r>
      <w:r w:rsidRPr="00257704">
        <w:rPr>
          <w:rFonts w:ascii="Arabic Typesetting" w:hAnsi="Arabic Typesetting" w:cs="Arabic Typesetting"/>
          <w:sz w:val="34"/>
          <w:szCs w:val="34"/>
          <w:rtl/>
        </w:rPr>
        <w:t>من المعاملات العمل الأساسي للمكتب الدولي.</w:t>
      </w:r>
    </w:p>
    <w:p w14:paraId="7FA7F1C1" w14:textId="77777777" w:rsidR="00257704" w:rsidRPr="00257704" w:rsidRDefault="00257704" w:rsidP="00D94CDB">
      <w:pPr>
        <w:numPr>
          <w:ilvl w:val="0"/>
          <w:numId w:val="101"/>
        </w:numPr>
        <w:bidi/>
        <w:spacing w:after="240" w:line="360" w:lineRule="exact"/>
        <w:ind w:left="0"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 xml:space="preserve">وبما أن معالجة النوعين </w:t>
      </w:r>
      <w:r w:rsidRPr="00257704">
        <w:rPr>
          <w:rFonts w:ascii="Arabic Typesetting" w:hAnsi="Arabic Typesetting" w:cs="Arabic Typesetting" w:hint="cs"/>
          <w:sz w:val="34"/>
          <w:szCs w:val="34"/>
          <w:rtl/>
        </w:rPr>
        <w:t xml:space="preserve">المذكورين </w:t>
      </w:r>
      <w:r w:rsidRPr="00257704">
        <w:rPr>
          <w:rFonts w:ascii="Arabic Typesetting" w:hAnsi="Arabic Typesetting" w:cs="Arabic Typesetting"/>
          <w:sz w:val="34"/>
          <w:szCs w:val="34"/>
          <w:rtl/>
        </w:rPr>
        <w:t>من المعاملات لا يتطلب موارد متساوية، فكل نوع يُرجّح بشكل مختلف.</w:t>
      </w:r>
      <w:r w:rsidRPr="00257704">
        <w:rPr>
          <w:rFonts w:ascii="Arabic Typesetting" w:hAnsi="Arabic Typesetting" w:cs="Arabic Typesetting"/>
          <w:sz w:val="34"/>
          <w:szCs w:val="34"/>
          <w:vertAlign w:val="superscript"/>
          <w:rtl/>
        </w:rPr>
        <w:footnoteReference w:id="38"/>
      </w:r>
      <w:r w:rsidRPr="00257704">
        <w:rPr>
          <w:rFonts w:ascii="Arabic Typesetting" w:hAnsi="Arabic Typesetting" w:cs="Arabic Typesetting"/>
          <w:sz w:val="34"/>
          <w:szCs w:val="34"/>
          <w:rtl/>
        </w:rPr>
        <w:t xml:space="preserve"> وتُحسب تكلفة الوحدة بقسمة تكلفة الإنتاج الإجمالية على عدد التسجيلات الجديدة/ المجدَّدة</w:t>
      </w:r>
      <w:r w:rsidRPr="00257704">
        <w:rPr>
          <w:rFonts w:ascii="Arabic Typesetting" w:hAnsi="Arabic Typesetting" w:cs="Arabic Typesetting" w:hint="cs"/>
          <w:sz w:val="34"/>
          <w:szCs w:val="34"/>
          <w:rtl/>
        </w:rPr>
        <w:t>.</w:t>
      </w:r>
    </w:p>
    <w:p w14:paraId="5235C794" w14:textId="0E6B404E" w:rsid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بلغ متوسط تكلفة معالجة تسجيل دولي جديد/م</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جد</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د 746 فرنكا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سويسريا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في عام 2016.</w:t>
      </w:r>
    </w:p>
    <w:p w14:paraId="6A3125BE" w14:textId="04FF4AC1" w:rsidR="00020400" w:rsidRPr="00257704" w:rsidRDefault="00020400" w:rsidP="00020400">
      <w:pPr>
        <w:bidi/>
        <w:spacing w:after="240"/>
        <w:jc w:val="both"/>
        <w:rPr>
          <w:rFonts w:ascii="Arabic Typesetting" w:eastAsiaTheme="minorHAnsi" w:hAnsi="Arabic Typesetting" w:cs="Arabic Typesetting"/>
          <w:sz w:val="34"/>
          <w:szCs w:val="34"/>
          <w:lang w:bidi="ar-EG"/>
        </w:rPr>
      </w:pPr>
      <w:r>
        <w:rPr>
          <w:rFonts w:ascii="Arabic Typesetting" w:eastAsiaTheme="minorHAnsi" w:hAnsi="Arabic Typesetting" w:cs="Arabic Typesetting"/>
          <w:noProof/>
          <w:sz w:val="34"/>
          <w:szCs w:val="34"/>
        </w:rPr>
        <w:drawing>
          <wp:inline distT="0" distB="0" distL="0" distR="0" wp14:anchorId="0718AE4B" wp14:editId="3DA8FC5C">
            <wp:extent cx="5711642" cy="2385296"/>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861" cy="2393740"/>
                    </a:xfrm>
                    <a:prstGeom prst="rect">
                      <a:avLst/>
                    </a:prstGeom>
                    <a:noFill/>
                  </pic:spPr>
                </pic:pic>
              </a:graphicData>
            </a:graphic>
          </wp:inline>
        </w:drawing>
      </w:r>
    </w:p>
    <w:p w14:paraId="74365659" w14:textId="77777777" w:rsidR="00257704" w:rsidRPr="00257704" w:rsidRDefault="00257704" w:rsidP="0031289D">
      <w:pPr>
        <w:keepNext/>
        <w:keepLines/>
        <w:bidi/>
        <w:spacing w:after="240" w:line="360" w:lineRule="exact"/>
        <w:rPr>
          <w:rFonts w:ascii="Arabic Typesetting" w:eastAsiaTheme="minorHAnsi" w:hAnsi="Arabic Typesetting" w:cs="Arabic Typesetting"/>
          <w:iCs/>
          <w:sz w:val="34"/>
          <w:szCs w:val="34"/>
        </w:rPr>
      </w:pPr>
      <w:r w:rsidRPr="00257704">
        <w:rPr>
          <w:rFonts w:ascii="Arabic Typesetting" w:eastAsiaTheme="minorHAnsi" w:hAnsi="Arabic Typesetting" w:cs="Arabic Typesetting"/>
          <w:iCs/>
          <w:sz w:val="34"/>
          <w:szCs w:val="34"/>
          <w:rtl/>
        </w:rPr>
        <w:t>تكلفة الوحدة لكل وثيقة مدونة في السجل</w:t>
      </w:r>
    </w:p>
    <w:p w14:paraId="639B8F83" w14:textId="77777777" w:rsidR="00257704" w:rsidRPr="00257704" w:rsidRDefault="00257704" w:rsidP="00D94CDB">
      <w:pPr>
        <w:keepNext/>
        <w:keepLines/>
        <w:numPr>
          <w:ilvl w:val="0"/>
          <w:numId w:val="101"/>
        </w:numPr>
        <w:bidi/>
        <w:spacing w:after="240" w:line="360" w:lineRule="exact"/>
        <w:ind w:left="0"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تشكل الوثائق المسجلة في السجل الحجم الإجمالي لعبء العمل (انظر "عبء العمل الإجمالي" أعلاه).</w:t>
      </w:r>
    </w:p>
    <w:p w14:paraId="39FE9FBA" w14:textId="2B13DDC7" w:rsidR="00020400" w:rsidRDefault="00020400" w:rsidP="00020400">
      <w:pPr>
        <w:bidi/>
        <w:spacing w:after="240"/>
        <w:jc w:val="both"/>
        <w:rPr>
          <w:rFonts w:ascii="Arabic Typesetting" w:eastAsiaTheme="minorHAnsi" w:hAnsi="Arabic Typesetting" w:cs="Arabic Typesetting"/>
          <w:sz w:val="36"/>
          <w:szCs w:val="36"/>
        </w:rPr>
      </w:pPr>
      <w:r>
        <w:rPr>
          <w:rFonts w:ascii="Arabic Typesetting" w:eastAsiaTheme="minorHAnsi" w:hAnsi="Arabic Typesetting" w:cs="Arabic Typesetting"/>
          <w:noProof/>
          <w:sz w:val="36"/>
          <w:szCs w:val="36"/>
        </w:rPr>
        <w:drawing>
          <wp:inline distT="0" distB="0" distL="0" distR="0" wp14:anchorId="04260606" wp14:editId="33413ED3">
            <wp:extent cx="5660456" cy="2449128"/>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86371" cy="2460341"/>
                    </a:xfrm>
                    <a:prstGeom prst="rect">
                      <a:avLst/>
                    </a:prstGeom>
                    <a:noFill/>
                  </pic:spPr>
                </pic:pic>
              </a:graphicData>
            </a:graphic>
          </wp:inline>
        </w:drawing>
      </w:r>
    </w:p>
    <w:p w14:paraId="7CA353D2" w14:textId="6494C2B6" w:rsidR="00257704" w:rsidRPr="00257704" w:rsidRDefault="00257704" w:rsidP="00020400">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6"/>
          <w:szCs w:val="36"/>
        </w:rPr>
      </w:pPr>
      <w:r w:rsidRPr="00257704">
        <w:rPr>
          <w:rFonts w:ascii="Arabic Typesetting" w:eastAsiaTheme="minorHAnsi" w:hAnsi="Arabic Typesetting" w:cs="Arabic Typesetting"/>
          <w:sz w:val="36"/>
          <w:szCs w:val="36"/>
          <w:rtl/>
        </w:rPr>
        <w:t xml:space="preserve">بلغ متوسط تكلفة تدوين </w:t>
      </w:r>
      <w:r w:rsidRPr="00257704">
        <w:rPr>
          <w:rFonts w:ascii="Arabic Typesetting" w:eastAsiaTheme="minorHAnsi" w:hAnsi="Arabic Typesetting" w:cs="Arabic Typesetting" w:hint="cs"/>
          <w:sz w:val="36"/>
          <w:szCs w:val="36"/>
          <w:rtl/>
        </w:rPr>
        <w:t>ال</w:t>
      </w:r>
      <w:r w:rsidRPr="00257704">
        <w:rPr>
          <w:rFonts w:ascii="Arabic Typesetting" w:eastAsiaTheme="minorHAnsi" w:hAnsi="Arabic Typesetting" w:cs="Arabic Typesetting"/>
          <w:sz w:val="36"/>
          <w:szCs w:val="36"/>
          <w:rtl/>
        </w:rPr>
        <w:t>وثيقة 318 فرنكا</w:t>
      </w:r>
      <w:r w:rsidRPr="00257704">
        <w:rPr>
          <w:rFonts w:ascii="Arabic Typesetting" w:eastAsiaTheme="minorHAnsi" w:hAnsi="Arabic Typesetting" w:cs="Arabic Typesetting" w:hint="cs"/>
          <w:sz w:val="36"/>
          <w:szCs w:val="36"/>
          <w:rtl/>
        </w:rPr>
        <w:t>ً</w:t>
      </w:r>
      <w:r w:rsidRPr="00257704">
        <w:rPr>
          <w:rFonts w:ascii="Arabic Typesetting" w:eastAsiaTheme="minorHAnsi" w:hAnsi="Arabic Typesetting" w:cs="Arabic Typesetting"/>
          <w:sz w:val="36"/>
          <w:szCs w:val="36"/>
          <w:rtl/>
        </w:rPr>
        <w:t xml:space="preserve"> سويسريا</w:t>
      </w:r>
      <w:r w:rsidRPr="00257704">
        <w:rPr>
          <w:rFonts w:ascii="Arabic Typesetting" w:eastAsiaTheme="minorHAnsi" w:hAnsi="Arabic Typesetting" w:cs="Arabic Typesetting" w:hint="cs"/>
          <w:sz w:val="36"/>
          <w:szCs w:val="36"/>
          <w:rtl/>
        </w:rPr>
        <w:t>ً</w:t>
      </w:r>
      <w:r w:rsidRPr="00257704">
        <w:rPr>
          <w:rFonts w:ascii="Arabic Typesetting" w:eastAsiaTheme="minorHAnsi" w:hAnsi="Arabic Typesetting" w:cs="Arabic Typesetting"/>
          <w:sz w:val="36"/>
          <w:szCs w:val="36"/>
          <w:rtl/>
        </w:rPr>
        <w:t xml:space="preserve"> في عام 2016.</w:t>
      </w:r>
    </w:p>
    <w:p w14:paraId="20D3911B" w14:textId="77777777" w:rsidR="00257704" w:rsidRPr="00257704" w:rsidRDefault="00257704" w:rsidP="0031289D">
      <w:pPr>
        <w:keepNext/>
        <w:bidi/>
        <w:spacing w:after="240" w:line="360" w:lineRule="exact"/>
        <w:rPr>
          <w:rFonts w:ascii="Arabic Typesetting" w:eastAsiaTheme="minorHAnsi" w:hAnsi="Arabic Typesetting" w:cs="Arabic Typesetting"/>
          <w:bCs/>
          <w:sz w:val="40"/>
          <w:szCs w:val="40"/>
          <w:highlight w:val="yellow"/>
        </w:rPr>
      </w:pPr>
      <w:r w:rsidRPr="00257704">
        <w:rPr>
          <w:rFonts w:ascii="Arabic Typesetting" w:eastAsiaTheme="minorHAnsi" w:hAnsi="Arabic Typesetting" w:cs="Arabic Typesetting"/>
          <w:bCs/>
          <w:sz w:val="40"/>
          <w:szCs w:val="40"/>
          <w:rtl/>
        </w:rPr>
        <w:lastRenderedPageBreak/>
        <w:t>خامسا</w:t>
      </w:r>
      <w:r w:rsidRPr="00257704">
        <w:rPr>
          <w:rFonts w:ascii="Arabic Typesetting" w:eastAsiaTheme="minorHAnsi" w:hAnsi="Arabic Typesetting" w:cs="Arabic Typesetting" w:hint="cs"/>
          <w:bCs/>
          <w:sz w:val="40"/>
          <w:szCs w:val="40"/>
          <w:rtl/>
        </w:rPr>
        <w:t>ً</w:t>
      </w:r>
      <w:r w:rsidRPr="00257704">
        <w:rPr>
          <w:rFonts w:ascii="Arabic Typesetting" w:eastAsiaTheme="minorHAnsi" w:hAnsi="Arabic Typesetting" w:cs="Arabic Typesetting"/>
          <w:bCs/>
          <w:sz w:val="40"/>
          <w:szCs w:val="40"/>
          <w:rtl/>
        </w:rPr>
        <w:t>.</w:t>
      </w:r>
      <w:r w:rsidRPr="00257704">
        <w:rPr>
          <w:rFonts w:ascii="Arabic Typesetting" w:eastAsiaTheme="minorHAnsi" w:hAnsi="Arabic Typesetting" w:cs="Arabic Typesetting"/>
          <w:bCs/>
          <w:sz w:val="40"/>
          <w:szCs w:val="40"/>
          <w:rtl/>
        </w:rPr>
        <w:tab/>
        <w:t>إنتاجية الفحص</w:t>
      </w:r>
    </w:p>
    <w:p w14:paraId="6F728F59" w14:textId="77777777" w:rsidR="00257704" w:rsidRPr="00257704" w:rsidRDefault="00257704" w:rsidP="00D94CDB">
      <w:pPr>
        <w:numPr>
          <w:ilvl w:val="0"/>
          <w:numId w:val="101"/>
        </w:numPr>
        <w:bidi/>
        <w:spacing w:after="240" w:line="360" w:lineRule="exact"/>
        <w:ind w:left="0" w:firstLine="0"/>
        <w:jc w:val="both"/>
        <w:rPr>
          <w:rFonts w:ascii="Arabic Typesetting" w:hAnsi="Arabic Typesetting" w:cs="Arabic Typesetting"/>
          <w:sz w:val="34"/>
          <w:szCs w:val="34"/>
        </w:rPr>
      </w:pPr>
      <w:r w:rsidRPr="00257704">
        <w:rPr>
          <w:rFonts w:ascii="Arabic Typesetting" w:hAnsi="Arabic Typesetting" w:cs="Arabic Typesetting" w:hint="cs"/>
          <w:sz w:val="34"/>
          <w:szCs w:val="34"/>
          <w:rtl/>
        </w:rPr>
        <w:t xml:space="preserve">تُعرَّف </w:t>
      </w:r>
      <w:r w:rsidRPr="00257704">
        <w:rPr>
          <w:rFonts w:ascii="Arabic Typesetting" w:hAnsi="Arabic Typesetting" w:cs="Arabic Typesetting"/>
          <w:sz w:val="34"/>
          <w:szCs w:val="34"/>
          <w:rtl/>
        </w:rPr>
        <w:t xml:space="preserve">إنتاجية الفحص </w:t>
      </w:r>
      <w:r w:rsidRPr="00257704">
        <w:rPr>
          <w:rFonts w:ascii="Arabic Typesetting" w:hAnsi="Arabic Typesetting" w:cs="Arabic Typesetting" w:hint="cs"/>
          <w:sz w:val="34"/>
          <w:szCs w:val="34"/>
          <w:rtl/>
        </w:rPr>
        <w:t xml:space="preserve">بأنها </w:t>
      </w:r>
      <w:r w:rsidRPr="00257704">
        <w:rPr>
          <w:rFonts w:ascii="Arabic Typesetting" w:hAnsi="Arabic Typesetting" w:cs="Arabic Typesetting"/>
          <w:sz w:val="34"/>
          <w:szCs w:val="34"/>
          <w:rtl/>
        </w:rPr>
        <w:t>عدد التسجيلات الدولية الجديدة/المجددة التي عالجها الفاحصون مقسوم</w:t>
      </w:r>
      <w:r w:rsidRPr="00257704">
        <w:rPr>
          <w:rFonts w:ascii="Arabic Typesetting" w:hAnsi="Arabic Typesetting" w:cs="Arabic Typesetting" w:hint="cs"/>
          <w:sz w:val="34"/>
          <w:szCs w:val="34"/>
          <w:rtl/>
        </w:rPr>
        <w:t>اً</w:t>
      </w:r>
      <w:r w:rsidRPr="00257704">
        <w:rPr>
          <w:rFonts w:ascii="Arabic Typesetting" w:hAnsi="Arabic Typesetting" w:cs="Arabic Typesetting"/>
          <w:sz w:val="34"/>
          <w:szCs w:val="34"/>
          <w:rtl/>
        </w:rPr>
        <w:t xml:space="preserve"> على عدد الموظفين المكلفين بالفحص. ويُحسب في عداد الموظفين الممنوحون والمتدربون والمتعاقدون الخارجيون</w:t>
      </w:r>
      <w:r w:rsidRPr="00257704">
        <w:rPr>
          <w:rFonts w:ascii="Arabic Typesetting" w:hAnsi="Arabic Typesetting" w:cs="Arabic Typesetting" w:hint="cs"/>
          <w:sz w:val="34"/>
          <w:szCs w:val="34"/>
          <w:rtl/>
        </w:rPr>
        <w:t>.</w:t>
      </w:r>
    </w:p>
    <w:p w14:paraId="18F241AB" w14:textId="5A64910C" w:rsidR="00257704" w:rsidRPr="00257704" w:rsidRDefault="00020400" w:rsidP="0031289D">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0D2F713D" wp14:editId="7F52CEF4">
            <wp:extent cx="4214976" cy="204131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31366" cy="2049252"/>
                    </a:xfrm>
                    <a:prstGeom prst="rect">
                      <a:avLst/>
                    </a:prstGeom>
                    <a:noFill/>
                  </pic:spPr>
                </pic:pic>
              </a:graphicData>
            </a:graphic>
          </wp:inline>
        </w:drawing>
      </w:r>
    </w:p>
    <w:p w14:paraId="20CE0C06" w14:textId="5B47F6F1"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في عام 2016، انخفضت إنتاجية الفحص بنسبة 3 في المائة مقارنة بعام 2015. وكان عدد التسجيلات الدولية الجديدة والمجددة البالغ 1011 تسجيل</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 xml:space="preserve"> لكل موظف في عام 2016 </w:t>
      </w:r>
      <w:r w:rsidRPr="00257704">
        <w:rPr>
          <w:rFonts w:ascii="Arabic Typesetting" w:eastAsiaTheme="minorHAnsi" w:hAnsi="Arabic Typesetting" w:cs="Arabic Typesetting" w:hint="cs"/>
          <w:sz w:val="34"/>
          <w:szCs w:val="34"/>
          <w:rtl/>
        </w:rPr>
        <w:t xml:space="preserve">هو </w:t>
      </w:r>
      <w:r w:rsidRPr="00257704">
        <w:rPr>
          <w:rFonts w:ascii="Arabic Typesetting" w:eastAsiaTheme="minorHAnsi" w:hAnsi="Arabic Typesetting" w:cs="Arabic Typesetting"/>
          <w:sz w:val="34"/>
          <w:szCs w:val="34"/>
          <w:rtl/>
        </w:rPr>
        <w:t>ثاني أعلى معدل خلال الفترة 2008</w:t>
      </w:r>
      <w:r>
        <w:rPr>
          <w:rFonts w:ascii="Arabic Typesetting" w:eastAsiaTheme="minorHAnsi" w:hAnsi="Arabic Typesetting" w:cs="Arabic Typesetting" w:hint="cs"/>
          <w:sz w:val="34"/>
          <w:szCs w:val="34"/>
          <w:rtl/>
        </w:rPr>
        <w:noBreakHyphen/>
      </w:r>
      <w:r w:rsidRPr="00257704">
        <w:rPr>
          <w:rFonts w:ascii="Arabic Typesetting" w:eastAsiaTheme="minorHAnsi" w:hAnsi="Arabic Typesetting" w:cs="Arabic Typesetting"/>
          <w:sz w:val="34"/>
          <w:szCs w:val="34"/>
          <w:rtl/>
        </w:rPr>
        <w:t>2016.</w:t>
      </w:r>
    </w:p>
    <w:p w14:paraId="49F9CDFC" w14:textId="77777777" w:rsidR="00257704" w:rsidRPr="00257704" w:rsidRDefault="00257704" w:rsidP="0031289D">
      <w:pPr>
        <w:keepNext/>
        <w:bidi/>
        <w:spacing w:after="240" w:line="360" w:lineRule="exact"/>
        <w:rPr>
          <w:rFonts w:ascii="Arabic Typesetting" w:eastAsiaTheme="minorHAnsi" w:hAnsi="Arabic Typesetting" w:cs="Arabic Typesetting"/>
          <w:bCs/>
          <w:sz w:val="40"/>
          <w:szCs w:val="40"/>
          <w:rtl/>
        </w:rPr>
      </w:pPr>
      <w:r w:rsidRPr="00257704">
        <w:rPr>
          <w:rFonts w:ascii="Arabic Typesetting" w:eastAsiaTheme="minorHAnsi" w:hAnsi="Arabic Typesetting" w:cs="Arabic Typesetting" w:hint="cs"/>
          <w:bCs/>
          <w:sz w:val="40"/>
          <w:szCs w:val="40"/>
          <w:rtl/>
        </w:rPr>
        <w:t>سادساً.</w:t>
      </w:r>
      <w:r w:rsidRPr="00257704">
        <w:rPr>
          <w:rFonts w:ascii="Arabic Typesetting" w:eastAsiaTheme="minorHAnsi" w:hAnsi="Arabic Typesetting" w:cs="Arabic Typesetting" w:hint="cs"/>
          <w:bCs/>
          <w:sz w:val="40"/>
          <w:szCs w:val="40"/>
          <w:rtl/>
        </w:rPr>
        <w:tab/>
      </w:r>
      <w:r w:rsidRPr="00257704">
        <w:rPr>
          <w:rFonts w:ascii="Arabic Typesetting" w:eastAsiaTheme="minorHAnsi" w:hAnsi="Arabic Typesetting" w:cs="Arabic Typesetting"/>
          <w:bCs/>
          <w:sz w:val="40"/>
          <w:szCs w:val="40"/>
          <w:rtl/>
        </w:rPr>
        <w:t>الموظف</w:t>
      </w:r>
      <w:r w:rsidRPr="00257704">
        <w:rPr>
          <w:rFonts w:ascii="Arabic Typesetting" w:eastAsiaTheme="minorHAnsi" w:hAnsi="Arabic Typesetting" w:cs="Arabic Typesetting" w:hint="cs"/>
          <w:bCs/>
          <w:sz w:val="40"/>
          <w:szCs w:val="40"/>
          <w:rtl/>
        </w:rPr>
        <w:t>و</w:t>
      </w:r>
      <w:r w:rsidRPr="00257704">
        <w:rPr>
          <w:rFonts w:ascii="Arabic Typesetting" w:eastAsiaTheme="minorHAnsi" w:hAnsi="Arabic Typesetting" w:cs="Arabic Typesetting"/>
          <w:bCs/>
          <w:sz w:val="40"/>
          <w:szCs w:val="40"/>
          <w:rtl/>
        </w:rPr>
        <w:t>ن</w:t>
      </w:r>
    </w:p>
    <w:p w14:paraId="0F6020CE" w14:textId="5ADA25D1" w:rsidR="00257704" w:rsidRPr="00257704" w:rsidRDefault="00020400" w:rsidP="0031289D">
      <w:pPr>
        <w:bidi/>
        <w:spacing w:after="240" w:line="276" w:lineRule="auto"/>
        <w:jc w:val="center"/>
        <w:rPr>
          <w:rFonts w:ascii="Arabic Typesetting" w:eastAsiaTheme="minorHAnsi" w:hAnsi="Arabic Typesetting" w:cs="Arabic Typesetting"/>
          <w:bCs/>
          <w:sz w:val="40"/>
          <w:szCs w:val="40"/>
        </w:rPr>
      </w:pPr>
      <w:r>
        <w:rPr>
          <w:rFonts w:ascii="Arabic Typesetting" w:eastAsiaTheme="minorHAnsi" w:hAnsi="Arabic Typesetting" w:cs="Arabic Typesetting"/>
          <w:bCs/>
          <w:noProof/>
          <w:sz w:val="40"/>
          <w:szCs w:val="40"/>
        </w:rPr>
        <w:drawing>
          <wp:inline distT="0" distB="0" distL="0" distR="0" wp14:anchorId="40DA34EC" wp14:editId="368A9D19">
            <wp:extent cx="4800600" cy="2184974"/>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14343" cy="2191229"/>
                    </a:xfrm>
                    <a:prstGeom prst="rect">
                      <a:avLst/>
                    </a:prstGeom>
                    <a:noFill/>
                  </pic:spPr>
                </pic:pic>
              </a:graphicData>
            </a:graphic>
          </wp:inline>
        </w:drawing>
      </w:r>
    </w:p>
    <w:p w14:paraId="75D733A8" w14:textId="77777777" w:rsidR="00257704" w:rsidRPr="00257704" w:rsidRDefault="00257704" w:rsidP="0031289D">
      <w:pPr>
        <w:keepNext/>
        <w:keepLines/>
        <w:bidi/>
        <w:spacing w:after="240" w:line="280" w:lineRule="exact"/>
        <w:rPr>
          <w:rFonts w:ascii="Arabic Typesetting" w:hAnsi="Arabic Typesetting" w:cs="Arabic Typesetting"/>
          <w:sz w:val="28"/>
          <w:szCs w:val="28"/>
          <w:rtl/>
          <w:lang w:bidi="ar-EG"/>
        </w:rPr>
      </w:pPr>
      <w:r w:rsidRPr="00257704">
        <w:rPr>
          <w:rFonts w:ascii="Arabic Typesetting" w:hAnsi="Arabic Typesetting" w:cs="Arabic Typesetting"/>
          <w:sz w:val="28"/>
          <w:szCs w:val="28"/>
          <w:rtl/>
        </w:rPr>
        <w:t>ملاحظة: لم يكن يتسنى تمييز موظفي سجل لشبونة إلا منذ بداية الثنائية 2014/15. وفيما يخص السنوات السابقة لعام 2014، فإن موظفي نظام لشبونة مدرجون في العدد الإجمالي لموظفي نظام مدريد. ولا يشمل هذا المؤشر موظفي الوكالات الخارجية الذين لا يعملون في مباني الويبو.</w:t>
      </w:r>
      <w:r w:rsidRPr="00257704">
        <w:rPr>
          <w:rFonts w:ascii="Arabic Typesetting" w:hAnsi="Arabic Typesetting" w:cs="Arabic Typesetting" w:hint="cs"/>
          <w:sz w:val="28"/>
          <w:szCs w:val="28"/>
          <w:rtl/>
        </w:rPr>
        <w:t xml:space="preserve"> </w:t>
      </w:r>
      <w:r w:rsidRPr="00257704">
        <w:rPr>
          <w:rFonts w:ascii="Arabic Typesetting" w:hAnsi="Arabic Typesetting" w:cs="Arabic Typesetting"/>
          <w:sz w:val="28"/>
          <w:szCs w:val="28"/>
          <w:rtl/>
          <w:lang w:bidi="ar-EG"/>
        </w:rPr>
        <w:t xml:space="preserve">ولا تشمل المنهجية الحالية العمال الخارجيين في وحدة </w:t>
      </w:r>
      <w:r w:rsidRPr="00257704">
        <w:rPr>
          <w:rFonts w:ascii="Arabic Typesetting" w:hAnsi="Arabic Typesetting" w:cs="Arabic Typesetting" w:hint="cs"/>
          <w:sz w:val="28"/>
          <w:szCs w:val="28"/>
          <w:rtl/>
          <w:lang w:bidi="ar-EG"/>
        </w:rPr>
        <w:t>معالجة</w:t>
      </w:r>
      <w:r w:rsidRPr="00257704">
        <w:rPr>
          <w:rFonts w:ascii="Arabic Typesetting" w:hAnsi="Arabic Typesetting" w:cs="Arabic Typesetting"/>
          <w:sz w:val="28"/>
          <w:szCs w:val="28"/>
          <w:rtl/>
          <w:lang w:bidi="ar-EG"/>
        </w:rPr>
        <w:t xml:space="preserve"> الوثائق.</w:t>
      </w:r>
    </w:p>
    <w:p w14:paraId="5BE5B668"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انخفض عدد الموظفين من 110 في عام 2015 إلى 104 في عام 2016، في حين ارتفع عدد الموارد المرنة من 16 في عام 2015 إلى 25 في عام 2016.</w:t>
      </w:r>
    </w:p>
    <w:p w14:paraId="16938FB9" w14:textId="77777777" w:rsidR="00257704" w:rsidRPr="00257704" w:rsidRDefault="00257704" w:rsidP="00F9431D">
      <w:pPr>
        <w:keepNext/>
        <w:bidi/>
        <w:spacing w:after="240" w:line="360" w:lineRule="exact"/>
        <w:rPr>
          <w:rFonts w:ascii="Arabic Typesetting" w:eastAsiaTheme="minorHAnsi" w:hAnsi="Arabic Typesetting" w:cs="Arabic Typesetting"/>
          <w:bCs/>
          <w:sz w:val="40"/>
          <w:szCs w:val="40"/>
        </w:rPr>
      </w:pPr>
      <w:r w:rsidRPr="00257704">
        <w:rPr>
          <w:rFonts w:ascii="Arabic Typesetting" w:eastAsiaTheme="minorHAnsi" w:hAnsi="Arabic Typesetting" w:cs="Arabic Typesetting"/>
          <w:bCs/>
          <w:sz w:val="40"/>
          <w:szCs w:val="40"/>
          <w:rtl/>
        </w:rPr>
        <w:lastRenderedPageBreak/>
        <w:t>سابعا</w:t>
      </w:r>
      <w:r w:rsidRPr="00257704">
        <w:rPr>
          <w:rFonts w:ascii="Arabic Typesetting" w:eastAsiaTheme="minorHAnsi" w:hAnsi="Arabic Typesetting" w:cs="Arabic Typesetting" w:hint="cs"/>
          <w:bCs/>
          <w:sz w:val="40"/>
          <w:szCs w:val="40"/>
          <w:rtl/>
        </w:rPr>
        <w:t>ً</w:t>
      </w:r>
      <w:r w:rsidRPr="00257704">
        <w:rPr>
          <w:rFonts w:ascii="Arabic Typesetting" w:eastAsiaTheme="minorHAnsi" w:hAnsi="Arabic Typesetting" w:cs="Arabic Typesetting"/>
          <w:bCs/>
          <w:sz w:val="40"/>
          <w:szCs w:val="40"/>
          <w:rtl/>
        </w:rPr>
        <w:t>.</w:t>
      </w:r>
      <w:r w:rsidRPr="00257704">
        <w:rPr>
          <w:rFonts w:ascii="Arabic Typesetting" w:eastAsiaTheme="minorHAnsi" w:hAnsi="Arabic Typesetting" w:cs="Arabic Typesetting"/>
          <w:bCs/>
          <w:sz w:val="40"/>
          <w:szCs w:val="40"/>
          <w:rtl/>
        </w:rPr>
        <w:tab/>
        <w:t>مدة المعالجة</w:t>
      </w:r>
    </w:p>
    <w:p w14:paraId="35FD5AD0" w14:textId="77777777" w:rsidR="00257704" w:rsidRPr="00257704" w:rsidRDefault="00257704" w:rsidP="00F9431D">
      <w:pPr>
        <w:keepNext/>
        <w:numPr>
          <w:ilvl w:val="0"/>
          <w:numId w:val="101"/>
        </w:numPr>
        <w:bidi/>
        <w:spacing w:after="240" w:line="360" w:lineRule="exact"/>
        <w:ind w:left="0"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تبين الأشكال أدناه متوسط مدة المعالجة فيما يخص المعاملات الست التي يقوم بها المكتب الدولي. وتُحسب مدة المعالجة اعتبارا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من تاريخ استلام وثيقة ما إلى تاريخ تدوينها.</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3"/>
        <w:gridCol w:w="4664"/>
      </w:tblGrid>
      <w:tr w:rsidR="00193A13" w:rsidRPr="00257704" w14:paraId="11BD74D7" w14:textId="77777777" w:rsidTr="00257704">
        <w:tc>
          <w:tcPr>
            <w:tcW w:w="4623" w:type="dxa"/>
          </w:tcPr>
          <w:p w14:paraId="5391B6A7" w14:textId="70188376" w:rsidR="00257704" w:rsidRPr="00257704" w:rsidRDefault="00193A13" w:rsidP="0031289D">
            <w:pPr>
              <w:bidi/>
              <w:spacing w:after="240" w:line="276" w:lineRule="auto"/>
              <w:jc w:val="both"/>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7D6D06A2" wp14:editId="675D21CF">
                  <wp:extent cx="2385652" cy="1800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5652" cy="1800000"/>
                          </a:xfrm>
                          <a:prstGeom prst="rect">
                            <a:avLst/>
                          </a:prstGeom>
                          <a:noFill/>
                        </pic:spPr>
                      </pic:pic>
                    </a:graphicData>
                  </a:graphic>
                </wp:inline>
              </w:drawing>
            </w:r>
          </w:p>
        </w:tc>
        <w:tc>
          <w:tcPr>
            <w:tcW w:w="4664" w:type="dxa"/>
          </w:tcPr>
          <w:p w14:paraId="1818FD63" w14:textId="03F06441" w:rsidR="00257704" w:rsidRPr="00257704" w:rsidRDefault="00020400" w:rsidP="0031289D">
            <w:pPr>
              <w:bidi/>
              <w:spacing w:after="240" w:line="276" w:lineRule="auto"/>
              <w:jc w:val="both"/>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7808B4A5" wp14:editId="609C581A">
                  <wp:extent cx="2425239" cy="1800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25239" cy="1800000"/>
                          </a:xfrm>
                          <a:prstGeom prst="rect">
                            <a:avLst/>
                          </a:prstGeom>
                          <a:noFill/>
                        </pic:spPr>
                      </pic:pic>
                    </a:graphicData>
                  </a:graphic>
                </wp:inline>
              </w:drawing>
            </w:r>
          </w:p>
        </w:tc>
      </w:tr>
      <w:tr w:rsidR="00193A13" w:rsidRPr="00257704" w14:paraId="38F5C64C" w14:textId="77777777" w:rsidTr="00257704">
        <w:tc>
          <w:tcPr>
            <w:tcW w:w="4623" w:type="dxa"/>
          </w:tcPr>
          <w:p w14:paraId="2C382696" w14:textId="5FED4EC2" w:rsidR="00257704" w:rsidRPr="00257704" w:rsidRDefault="00193A13" w:rsidP="0031289D">
            <w:pPr>
              <w:bidi/>
              <w:spacing w:after="240" w:line="276" w:lineRule="auto"/>
              <w:jc w:val="both"/>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7B9295F5" wp14:editId="542E00C5">
                  <wp:extent cx="2349617" cy="1800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49617" cy="1800000"/>
                          </a:xfrm>
                          <a:prstGeom prst="rect">
                            <a:avLst/>
                          </a:prstGeom>
                          <a:noFill/>
                        </pic:spPr>
                      </pic:pic>
                    </a:graphicData>
                  </a:graphic>
                </wp:inline>
              </w:drawing>
            </w:r>
          </w:p>
        </w:tc>
        <w:tc>
          <w:tcPr>
            <w:tcW w:w="4664" w:type="dxa"/>
          </w:tcPr>
          <w:p w14:paraId="012D111A" w14:textId="2F99304A" w:rsidR="00257704" w:rsidRPr="00257704" w:rsidRDefault="00193A13" w:rsidP="0031289D">
            <w:pPr>
              <w:bidi/>
              <w:spacing w:after="240" w:line="276" w:lineRule="auto"/>
              <w:jc w:val="both"/>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4D9DC7ED" wp14:editId="15EFF827">
                  <wp:extent cx="2266242" cy="1800000"/>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66242" cy="1800000"/>
                          </a:xfrm>
                          <a:prstGeom prst="rect">
                            <a:avLst/>
                          </a:prstGeom>
                          <a:noFill/>
                        </pic:spPr>
                      </pic:pic>
                    </a:graphicData>
                  </a:graphic>
                </wp:inline>
              </w:drawing>
            </w:r>
          </w:p>
        </w:tc>
      </w:tr>
      <w:tr w:rsidR="00193A13" w:rsidRPr="00257704" w14:paraId="3953D670" w14:textId="77777777" w:rsidTr="00257704">
        <w:tc>
          <w:tcPr>
            <w:tcW w:w="4623" w:type="dxa"/>
          </w:tcPr>
          <w:p w14:paraId="47C51FC3" w14:textId="307768FE" w:rsidR="00257704" w:rsidRPr="00257704" w:rsidRDefault="00193A13" w:rsidP="0031289D">
            <w:pPr>
              <w:bidi/>
              <w:spacing w:after="240" w:line="276" w:lineRule="auto"/>
              <w:jc w:val="both"/>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53FE9630" wp14:editId="07D872B3">
                  <wp:extent cx="2378085" cy="1800000"/>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8085" cy="1800000"/>
                          </a:xfrm>
                          <a:prstGeom prst="rect">
                            <a:avLst/>
                          </a:prstGeom>
                          <a:noFill/>
                        </pic:spPr>
                      </pic:pic>
                    </a:graphicData>
                  </a:graphic>
                </wp:inline>
              </w:drawing>
            </w:r>
          </w:p>
        </w:tc>
        <w:tc>
          <w:tcPr>
            <w:tcW w:w="4664" w:type="dxa"/>
          </w:tcPr>
          <w:p w14:paraId="70604C16" w14:textId="2089E236" w:rsidR="00257704" w:rsidRPr="00257704" w:rsidRDefault="00193A13" w:rsidP="0031289D">
            <w:pPr>
              <w:bidi/>
              <w:spacing w:after="240" w:line="276" w:lineRule="auto"/>
              <w:jc w:val="both"/>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373E764A" wp14:editId="154CCD28">
                  <wp:extent cx="2445606" cy="1800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45606" cy="1800000"/>
                          </a:xfrm>
                          <a:prstGeom prst="rect">
                            <a:avLst/>
                          </a:prstGeom>
                          <a:noFill/>
                        </pic:spPr>
                      </pic:pic>
                    </a:graphicData>
                  </a:graphic>
                </wp:inline>
              </w:drawing>
            </w:r>
          </w:p>
        </w:tc>
      </w:tr>
    </w:tbl>
    <w:p w14:paraId="6056567C"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ارتفع متوسط </w:t>
      </w:r>
      <w:r w:rsidRPr="00257704">
        <w:rPr>
          <w:rFonts w:ascii="Arabic Typesetting" w:eastAsiaTheme="minorHAnsi" w:hAnsi="Arabic Typesetting" w:cs="Arabic Typesetting" w:hint="cs"/>
          <w:sz w:val="34"/>
          <w:szCs w:val="34"/>
          <w:rtl/>
        </w:rPr>
        <w:t>مدة المعالجة</w:t>
      </w:r>
      <w:r w:rsidRPr="00257704">
        <w:rPr>
          <w:rFonts w:ascii="Arabic Typesetting" w:eastAsiaTheme="minorHAnsi" w:hAnsi="Arabic Typesetting" w:cs="Arabic Typesetting"/>
          <w:sz w:val="34"/>
          <w:szCs w:val="34"/>
          <w:rtl/>
        </w:rPr>
        <w:t xml:space="preserve"> في عام 2016 بالنسبة إلى المعاملات الست التي أجراها المكتب الدولي</w:t>
      </w:r>
      <w:r w:rsidRPr="00257704">
        <w:rPr>
          <w:rFonts w:ascii="Arabic Typesetting" w:eastAsiaTheme="minorHAnsi" w:hAnsi="Arabic Typesetting" w:cs="Arabic Typesetting" w:hint="cs"/>
          <w:sz w:val="34"/>
          <w:szCs w:val="34"/>
          <w:rtl/>
        </w:rPr>
        <w:t xml:space="preserve">، </w:t>
      </w:r>
      <w:r w:rsidRPr="00257704">
        <w:rPr>
          <w:rFonts w:ascii="Arabic Typesetting" w:eastAsiaTheme="minorHAnsi" w:hAnsi="Arabic Typesetting" w:cs="Arabic Typesetting"/>
          <w:sz w:val="34"/>
          <w:szCs w:val="34"/>
          <w:rtl/>
        </w:rPr>
        <w:t xml:space="preserve">مقارنة </w:t>
      </w:r>
      <w:r w:rsidRPr="00257704">
        <w:rPr>
          <w:rFonts w:ascii="Arabic Typesetting" w:eastAsiaTheme="minorHAnsi" w:hAnsi="Arabic Typesetting" w:cs="Arabic Typesetting" w:hint="cs"/>
          <w:sz w:val="34"/>
          <w:szCs w:val="34"/>
          <w:rtl/>
        </w:rPr>
        <w:t>ب</w:t>
      </w:r>
      <w:r w:rsidRPr="00257704">
        <w:rPr>
          <w:rFonts w:ascii="Arabic Typesetting" w:eastAsiaTheme="minorHAnsi" w:hAnsi="Arabic Typesetting" w:cs="Arabic Typesetting"/>
          <w:sz w:val="34"/>
          <w:szCs w:val="34"/>
          <w:rtl/>
        </w:rPr>
        <w:t>عام</w:t>
      </w:r>
      <w:r w:rsidRPr="00257704">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2015. وس</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ج</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لت أهم الزيادات في التصويبات والقرارات والتعيينات اللاحقة.</w:t>
      </w:r>
    </w:p>
    <w:p w14:paraId="6B40BE0B" w14:textId="77777777" w:rsidR="00257704" w:rsidRPr="00257704" w:rsidRDefault="00257704" w:rsidP="0031289D">
      <w:pPr>
        <w:keepNext/>
        <w:bidi/>
        <w:spacing w:after="240" w:line="360" w:lineRule="exact"/>
        <w:rPr>
          <w:rFonts w:ascii="Arabic Typesetting" w:eastAsiaTheme="minorHAnsi" w:hAnsi="Arabic Typesetting" w:cs="Arabic Typesetting"/>
          <w:bCs/>
          <w:sz w:val="40"/>
          <w:szCs w:val="40"/>
        </w:rPr>
      </w:pPr>
      <w:r w:rsidRPr="00257704">
        <w:rPr>
          <w:rFonts w:ascii="Arabic Typesetting" w:eastAsiaTheme="minorHAnsi" w:hAnsi="Arabic Typesetting" w:cs="Arabic Typesetting"/>
          <w:bCs/>
          <w:sz w:val="40"/>
          <w:szCs w:val="40"/>
          <w:rtl/>
        </w:rPr>
        <w:lastRenderedPageBreak/>
        <w:t>ثامنا</w:t>
      </w:r>
      <w:r w:rsidRPr="00257704">
        <w:rPr>
          <w:rFonts w:ascii="Arabic Typesetting" w:eastAsiaTheme="minorHAnsi" w:hAnsi="Arabic Typesetting" w:cs="Arabic Typesetting" w:hint="cs"/>
          <w:bCs/>
          <w:sz w:val="40"/>
          <w:szCs w:val="40"/>
          <w:rtl/>
        </w:rPr>
        <w:t>ً</w:t>
      </w:r>
      <w:r w:rsidRPr="00257704">
        <w:rPr>
          <w:rFonts w:ascii="Arabic Typesetting" w:eastAsiaTheme="minorHAnsi" w:hAnsi="Arabic Typesetting" w:cs="Arabic Typesetting"/>
          <w:bCs/>
          <w:sz w:val="40"/>
          <w:szCs w:val="40"/>
          <w:rtl/>
        </w:rPr>
        <w:t>.</w:t>
      </w:r>
      <w:r w:rsidRPr="00257704">
        <w:rPr>
          <w:rFonts w:ascii="Arabic Typesetting" w:eastAsiaTheme="minorHAnsi" w:hAnsi="Arabic Typesetting" w:cs="Arabic Typesetting"/>
          <w:bCs/>
          <w:sz w:val="40"/>
          <w:szCs w:val="40"/>
          <w:rtl/>
        </w:rPr>
        <w:tab/>
        <w:t>جودة الفحص</w:t>
      </w:r>
    </w:p>
    <w:p w14:paraId="2DC79486" w14:textId="77777777" w:rsidR="00257704" w:rsidRPr="00257704" w:rsidRDefault="00257704" w:rsidP="00D94CDB">
      <w:pPr>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المؤشرات الرئيسية التالية الخاصة بجودة فحص العلامات التجارية عموما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والصادرة عن المكتب الدولي هي نتيجة لعملية مراقبة الجودة التي اضطُلع بها عقب تنفيذ إطار إدارة الجودة ضمن سجل مدريد في </w:t>
      </w:r>
      <w:r w:rsidRPr="00257704">
        <w:rPr>
          <w:rFonts w:ascii="Arabic Typesetting" w:hAnsi="Arabic Typesetting" w:cs="Arabic Typesetting" w:hint="cs"/>
          <w:sz w:val="34"/>
          <w:szCs w:val="34"/>
          <w:rtl/>
        </w:rPr>
        <w:t>عام</w:t>
      </w:r>
      <w:r w:rsidRPr="00257704">
        <w:rPr>
          <w:rFonts w:ascii="Arabic Typesetting" w:hAnsi="Arabic Typesetting" w:cs="Arabic Typesetting"/>
          <w:sz w:val="34"/>
          <w:szCs w:val="34"/>
          <w:rtl/>
        </w:rPr>
        <w:t xml:space="preserve"> 2015، طبقا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لتوجيهات</w:t>
      </w:r>
      <w:r w:rsidRPr="00257704">
        <w:rPr>
          <w:rFonts w:ascii="Arabic Typesetting" w:hAnsi="Arabic Typesetting" w:cs="Arabic Typesetting" w:hint="cs"/>
          <w:sz w:val="34"/>
          <w:szCs w:val="34"/>
          <w:rtl/>
        </w:rPr>
        <w:t> </w:t>
      </w:r>
      <w:r w:rsidRPr="00257704">
        <w:rPr>
          <w:rFonts w:ascii="Arabic Typesetting" w:hAnsi="Arabic Typesetting" w:cs="Arabic Typesetting"/>
          <w:sz w:val="34"/>
          <w:szCs w:val="34"/>
          <w:rtl/>
        </w:rPr>
        <w:t>المعيار</w:t>
      </w:r>
      <w:r w:rsidRPr="00257704">
        <w:rPr>
          <w:rFonts w:ascii="Arabic Typesetting" w:hAnsi="Arabic Typesetting" w:cs="Arabic Typesetting" w:hint="cs"/>
          <w:sz w:val="34"/>
          <w:szCs w:val="34"/>
          <w:rtl/>
        </w:rPr>
        <w:t> </w:t>
      </w:r>
      <w:r w:rsidRPr="00257704">
        <w:rPr>
          <w:rFonts w:ascii="Arabic Typesetting" w:hAnsi="Arabic Typesetting" w:cs="Arabic Typesetting"/>
          <w:sz w:val="34"/>
          <w:szCs w:val="34"/>
        </w:rPr>
        <w:t>9001:2015</w:t>
      </w:r>
      <w:r w:rsidRPr="00257704">
        <w:rPr>
          <w:rFonts w:ascii="Arabic Typesetting" w:hAnsi="Arabic Typesetting" w:cs="Arabic Typesetting" w:hint="eastAsia"/>
          <w:sz w:val="34"/>
          <w:szCs w:val="34"/>
          <w:rtl/>
          <w:lang w:bidi="ar-EG"/>
        </w:rPr>
        <w:t> </w:t>
      </w:r>
      <w:r w:rsidRPr="00257704">
        <w:rPr>
          <w:rFonts w:ascii="Arabic Typesetting" w:hAnsi="Arabic Typesetting" w:cs="Arabic Typesetting"/>
          <w:sz w:val="34"/>
          <w:szCs w:val="34"/>
          <w:lang w:bidi="ar-EG"/>
        </w:rPr>
        <w:t>ISO</w:t>
      </w:r>
      <w:r w:rsidRPr="00257704">
        <w:rPr>
          <w:rFonts w:ascii="Arabic Typesetting" w:hAnsi="Arabic Typesetting" w:cs="Arabic Typesetting" w:hint="cs"/>
          <w:sz w:val="34"/>
          <w:szCs w:val="34"/>
          <w:rtl/>
          <w:lang w:bidi="ar-EG"/>
        </w:rPr>
        <w:t xml:space="preserve"> والمعيار </w:t>
      </w:r>
      <w:r w:rsidRPr="00257704">
        <w:rPr>
          <w:rFonts w:ascii="Arabic Typesetting" w:hAnsi="Arabic Typesetting" w:cs="Arabic Typesetting"/>
          <w:sz w:val="34"/>
          <w:szCs w:val="34"/>
          <w:lang w:bidi="ar-EG"/>
        </w:rPr>
        <w:t>ISO 2859</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vertAlign w:val="superscript"/>
        </w:rPr>
        <w:footnoteReference w:id="39"/>
      </w:r>
    </w:p>
    <w:p w14:paraId="5C999B24" w14:textId="77777777" w:rsidR="00257704" w:rsidRPr="00257704" w:rsidRDefault="00257704" w:rsidP="00D94CDB">
      <w:pPr>
        <w:keepNext/>
        <w:keepLines/>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ويُعرض فيما يلي مصدران للمعلومات عن جودة العمل الخاص بالفحص أعدهما المكتب الدولي:</w:t>
      </w:r>
    </w:p>
    <w:p w14:paraId="0BE19257" w14:textId="77777777" w:rsidR="00257704" w:rsidRPr="00257704" w:rsidRDefault="00257704" w:rsidP="00D94CDB">
      <w:pPr>
        <w:keepNext/>
        <w:keepLines/>
        <w:numPr>
          <w:ilvl w:val="1"/>
          <w:numId w:val="101"/>
        </w:numPr>
        <w:bidi/>
        <w:spacing w:after="240" w:line="360" w:lineRule="exact"/>
        <w:ind w:left="1134" w:hanging="567"/>
        <w:jc w:val="both"/>
        <w:rPr>
          <w:rFonts w:ascii="Arabic Typesetting" w:hAnsi="Arabic Typesetting" w:cs="Arabic Typesetting"/>
          <w:sz w:val="34"/>
          <w:szCs w:val="34"/>
        </w:rPr>
      </w:pPr>
      <w:r w:rsidRPr="00257704">
        <w:rPr>
          <w:rFonts w:ascii="Arabic Typesetting" w:hAnsi="Arabic Typesetting" w:cs="Arabic Typesetting"/>
          <w:sz w:val="34"/>
          <w:szCs w:val="34"/>
          <w:rtl/>
        </w:rPr>
        <w:t>نتائج الاستعراض الداخلي لعيّنات من معاملات الفحص؛</w:t>
      </w:r>
    </w:p>
    <w:p w14:paraId="67B7DA69" w14:textId="2C1BE814" w:rsidR="00257704" w:rsidRPr="00257704" w:rsidRDefault="00257704" w:rsidP="00D94CDB">
      <w:pPr>
        <w:keepNext/>
        <w:keepLines/>
        <w:numPr>
          <w:ilvl w:val="1"/>
          <w:numId w:val="101"/>
        </w:numPr>
        <w:bidi/>
        <w:spacing w:after="240" w:line="360" w:lineRule="exact"/>
        <w:ind w:left="1134" w:hanging="567"/>
        <w:jc w:val="both"/>
        <w:rPr>
          <w:rFonts w:ascii="Arabic Typesetting" w:hAnsi="Arabic Typesetting" w:cs="Arabic Typesetting"/>
          <w:sz w:val="34"/>
          <w:szCs w:val="34"/>
        </w:rPr>
      </w:pPr>
      <w:r w:rsidRPr="00257704">
        <w:rPr>
          <w:rFonts w:ascii="Arabic Typesetting" w:hAnsi="Arabic Typesetting" w:cs="Arabic Typesetting"/>
          <w:sz w:val="34"/>
          <w:szCs w:val="34"/>
          <w:rtl/>
        </w:rPr>
        <w:t>وأخطاء ثبت أن المكتب الدولي ارتكبها عقب تسلّم التماسات التصحيح بناء على القاعدة 28 من اللائحة التنفيذية</w:t>
      </w:r>
      <w:r w:rsidR="00C31D09">
        <w:rPr>
          <w:rFonts w:ascii="Arabic Typesetting" w:hAnsi="Arabic Typesetting" w:cs="Arabic Typesetting" w:hint="cs"/>
          <w:sz w:val="34"/>
          <w:szCs w:val="34"/>
          <w:rtl/>
        </w:rPr>
        <w:t> </w:t>
      </w:r>
      <w:r w:rsidRPr="00257704">
        <w:rPr>
          <w:rFonts w:ascii="Arabic Typesetting" w:hAnsi="Arabic Typesetting" w:cs="Arabic Typesetting"/>
          <w:sz w:val="34"/>
          <w:szCs w:val="34"/>
          <w:rtl/>
        </w:rPr>
        <w:t>المشتركة.</w:t>
      </w:r>
    </w:p>
    <w:p w14:paraId="1342E0F0" w14:textId="77777777" w:rsidR="00257704" w:rsidRPr="00257704" w:rsidRDefault="00257704" w:rsidP="0031289D">
      <w:pPr>
        <w:keepNext/>
        <w:keepLines/>
        <w:bidi/>
        <w:spacing w:after="240" w:line="360" w:lineRule="exact"/>
        <w:rPr>
          <w:rFonts w:ascii="Arabic Typesetting" w:eastAsiaTheme="minorHAnsi" w:hAnsi="Arabic Typesetting" w:cs="Arabic Typesetting"/>
          <w:iCs/>
          <w:sz w:val="34"/>
          <w:szCs w:val="34"/>
        </w:rPr>
      </w:pPr>
      <w:r w:rsidRPr="00257704">
        <w:rPr>
          <w:rFonts w:ascii="Arabic Typesetting" w:eastAsiaTheme="minorHAnsi" w:hAnsi="Arabic Typesetting" w:cs="Arabic Typesetting"/>
          <w:iCs/>
          <w:sz w:val="34"/>
          <w:szCs w:val="34"/>
          <w:rtl/>
        </w:rPr>
        <w:t>استعراض عيّنات من معاملات الفحص</w:t>
      </w:r>
    </w:p>
    <w:p w14:paraId="07BC1528" w14:textId="77777777" w:rsidR="00257704" w:rsidRPr="00257704" w:rsidRDefault="00257704" w:rsidP="00D94CDB">
      <w:pPr>
        <w:keepNext/>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أ</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جريت مراقبة الجودة استنادا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إلى حجم العينات التالية للمعاملات </w:t>
      </w:r>
      <w:r w:rsidRPr="00257704">
        <w:rPr>
          <w:rFonts w:ascii="Arabic Typesetting" w:hAnsi="Arabic Typesetting" w:cs="Arabic Typesetting" w:hint="cs"/>
          <w:sz w:val="34"/>
          <w:szCs w:val="34"/>
          <w:rtl/>
        </w:rPr>
        <w:t xml:space="preserve">المعالجة </w:t>
      </w:r>
      <w:r w:rsidRPr="00257704">
        <w:rPr>
          <w:rFonts w:ascii="Arabic Typesetting" w:hAnsi="Arabic Typesetting" w:cs="Arabic Typesetting"/>
          <w:sz w:val="34"/>
          <w:szCs w:val="34"/>
          <w:rtl/>
        </w:rPr>
        <w:t>يدويا</w:t>
      </w:r>
      <w:r w:rsidRPr="00257704">
        <w:rPr>
          <w:rFonts w:ascii="Arabic Typesetting" w:hAnsi="Arabic Typesetting" w:cs="Arabic Typesetting" w:hint="cs"/>
          <w:sz w:val="34"/>
          <w:szCs w:val="34"/>
          <w:rtl/>
        </w:rPr>
        <w:t>ً</w:t>
      </w:r>
      <w:r w:rsidRPr="00257704">
        <w:rPr>
          <w:rFonts w:ascii="Arabic Typesetting" w:hAnsi="Arabic Typesetting" w:cs="Arabic Typesetting"/>
          <w:sz w:val="34"/>
          <w:szCs w:val="34"/>
          <w:rtl/>
        </w:rPr>
        <w:t xml:space="preserve"> في عام 2016. </w:t>
      </w:r>
    </w:p>
    <w:p w14:paraId="55845B53"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396976">
        <w:rPr>
          <w:rFonts w:ascii="Arabic Typesetting" w:eastAsiaTheme="minorHAnsi" w:hAnsi="Arabic Typesetting" w:cs="Arabic Typesetting"/>
          <w:sz w:val="34"/>
          <w:szCs w:val="34"/>
          <w:rtl/>
        </w:rPr>
        <w:t>444</w:t>
      </w:r>
      <w:r w:rsidRPr="00257704">
        <w:rPr>
          <w:rFonts w:ascii="Arabic Typesetting" w:eastAsiaTheme="minorHAnsi" w:hAnsi="Arabic Typesetting" w:cs="Arabic Typesetting" w:hint="cs"/>
          <w:sz w:val="34"/>
          <w:szCs w:val="34"/>
          <w:rtl/>
        </w:rPr>
        <w:t xml:space="preserve"> 1 </w:t>
      </w:r>
      <w:r w:rsidRPr="00257704">
        <w:rPr>
          <w:rFonts w:ascii="Arabic Typesetting" w:eastAsiaTheme="minorHAnsi" w:hAnsi="Arabic Typesetting" w:cs="Arabic Typesetting"/>
          <w:sz w:val="34"/>
          <w:szCs w:val="34"/>
          <w:rtl/>
        </w:rPr>
        <w:t>طلبا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لتصنيف نيس</w:t>
      </w:r>
    </w:p>
    <w:p w14:paraId="51B0570B"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396976">
        <w:rPr>
          <w:rFonts w:ascii="Arabic Typesetting" w:eastAsiaTheme="minorHAnsi" w:hAnsi="Arabic Typesetting" w:cs="Arabic Typesetting"/>
          <w:sz w:val="34"/>
          <w:szCs w:val="34"/>
          <w:rtl/>
        </w:rPr>
        <w:t>499</w:t>
      </w:r>
      <w:r w:rsidRPr="00257704">
        <w:rPr>
          <w:rFonts w:ascii="Arabic Typesetting" w:eastAsiaTheme="minorHAnsi" w:hAnsi="Arabic Typesetting" w:cs="Arabic Typesetting" w:hint="cs"/>
          <w:sz w:val="34"/>
          <w:szCs w:val="34"/>
          <w:rtl/>
        </w:rPr>
        <w:t> 1</w:t>
      </w:r>
      <w:r w:rsidRPr="00257704">
        <w:rPr>
          <w:rFonts w:ascii="Arabic Typesetting" w:eastAsiaTheme="minorHAnsi" w:hAnsi="Arabic Typesetting" w:cs="Arabic Typesetting"/>
          <w:sz w:val="34"/>
          <w:szCs w:val="34"/>
          <w:rtl/>
        </w:rPr>
        <w:t xml:space="preserve"> طلبا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لفحص الإجراءات الشكلية (</w:t>
      </w:r>
      <w:r w:rsidRPr="00257704">
        <w:rPr>
          <w:rFonts w:ascii="Arabic Typesetting" w:eastAsiaTheme="minorHAnsi" w:hAnsi="Arabic Typesetting" w:cs="Arabic Typesetting"/>
          <w:sz w:val="34"/>
          <w:szCs w:val="34"/>
        </w:rPr>
        <w:t>APEX</w:t>
      </w:r>
      <w:r w:rsidRPr="00257704">
        <w:rPr>
          <w:rFonts w:ascii="Arabic Typesetting" w:eastAsiaTheme="minorHAnsi" w:hAnsi="Arabic Typesetting" w:cs="Arabic Typesetting"/>
          <w:sz w:val="34"/>
          <w:szCs w:val="34"/>
          <w:rtl/>
        </w:rPr>
        <w:t>)</w:t>
      </w:r>
    </w:p>
    <w:p w14:paraId="75081D4E"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540 قرارا</w:t>
      </w:r>
      <w:r w:rsidRPr="00257704">
        <w:rPr>
          <w:rFonts w:ascii="Arabic Typesetting" w:eastAsiaTheme="minorHAnsi" w:hAnsi="Arabic Typesetting" w:cs="Arabic Typesetting" w:hint="cs"/>
          <w:sz w:val="34"/>
          <w:szCs w:val="34"/>
          <w:rtl/>
        </w:rPr>
        <w:t>ً</w:t>
      </w:r>
    </w:p>
    <w:p w14:paraId="53593125"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396976">
        <w:rPr>
          <w:rFonts w:ascii="Arabic Typesetting" w:eastAsiaTheme="minorHAnsi" w:hAnsi="Arabic Typesetting" w:cs="Arabic Typesetting"/>
          <w:sz w:val="34"/>
          <w:szCs w:val="34"/>
          <w:rtl/>
        </w:rPr>
        <w:t>188</w:t>
      </w:r>
      <w:r w:rsidRPr="00257704">
        <w:rPr>
          <w:rFonts w:ascii="Arabic Typesetting" w:eastAsiaTheme="minorHAnsi" w:hAnsi="Arabic Typesetting" w:cs="Arabic Typesetting" w:hint="cs"/>
          <w:sz w:val="34"/>
          <w:szCs w:val="34"/>
          <w:rtl/>
        </w:rPr>
        <w:t xml:space="preserve"> 1 </w:t>
      </w:r>
      <w:r w:rsidRPr="00257704">
        <w:rPr>
          <w:rFonts w:ascii="Arabic Typesetting" w:eastAsiaTheme="minorHAnsi" w:hAnsi="Arabic Typesetting" w:cs="Arabic Typesetting"/>
          <w:sz w:val="34"/>
          <w:szCs w:val="34"/>
          <w:rtl/>
        </w:rPr>
        <w:t>التماسا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لإجراء تغييرات</w:t>
      </w:r>
    </w:p>
    <w:p w14:paraId="1FBF435E"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310 </w:t>
      </w:r>
      <w:r w:rsidRPr="00257704">
        <w:rPr>
          <w:rFonts w:ascii="Arabic Typesetting" w:eastAsiaTheme="minorHAnsi" w:hAnsi="Arabic Typesetting" w:cs="Arabic Typesetting" w:hint="cs"/>
          <w:sz w:val="34"/>
          <w:szCs w:val="34"/>
          <w:rtl/>
          <w:lang w:bidi="ar-EG"/>
        </w:rPr>
        <w:t xml:space="preserve">التماسات </w:t>
      </w:r>
      <w:r w:rsidRPr="00257704">
        <w:rPr>
          <w:rFonts w:ascii="Arabic Typesetting" w:eastAsiaTheme="minorHAnsi" w:hAnsi="Arabic Typesetting" w:cs="Arabic Typesetting"/>
          <w:sz w:val="34"/>
          <w:szCs w:val="34"/>
          <w:rtl/>
        </w:rPr>
        <w:t>تجديد</w:t>
      </w:r>
    </w:p>
    <w:p w14:paraId="07882858" w14:textId="77777777" w:rsidR="00257704" w:rsidRPr="00257704" w:rsidRDefault="00257704" w:rsidP="00D94CDB">
      <w:pPr>
        <w:numPr>
          <w:ilvl w:val="0"/>
          <w:numId w:val="101"/>
        </w:numPr>
        <w:bidi/>
        <w:spacing w:after="240" w:line="360" w:lineRule="exact"/>
        <w:ind w:left="-19" w:firstLine="0"/>
        <w:jc w:val="both"/>
        <w:rPr>
          <w:rFonts w:ascii="Arabic Typesetting" w:hAnsi="Arabic Typesetting" w:cs="Arabic Typesetting"/>
          <w:sz w:val="36"/>
          <w:szCs w:val="36"/>
        </w:rPr>
      </w:pPr>
      <w:r w:rsidRPr="00257704">
        <w:rPr>
          <w:rFonts w:ascii="Arabic Typesetting" w:hAnsi="Arabic Typesetting" w:cs="Arabic Typesetting"/>
          <w:sz w:val="34"/>
          <w:szCs w:val="34"/>
          <w:rtl/>
        </w:rPr>
        <w:t>يُحدَّد مستوى جودة مقبول لكل معاملة وهو المعيار الذي تُقاس على أساسه جودة فحص العلامات التجارية.</w:t>
      </w:r>
    </w:p>
    <w:p w14:paraId="0D807E7B" w14:textId="31463E0C" w:rsidR="00257704" w:rsidRPr="00257704" w:rsidRDefault="00193A13" w:rsidP="0031289D">
      <w:pPr>
        <w:bidi/>
        <w:spacing w:after="240" w:line="276" w:lineRule="auto"/>
        <w:ind w:left="360"/>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37D3E3DA" wp14:editId="608FDE29">
            <wp:extent cx="4157100" cy="257585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57908" cy="2576353"/>
                    </a:xfrm>
                    <a:prstGeom prst="rect">
                      <a:avLst/>
                    </a:prstGeom>
                    <a:noFill/>
                  </pic:spPr>
                </pic:pic>
              </a:graphicData>
            </a:graphic>
          </wp:inline>
        </w:drawing>
      </w:r>
    </w:p>
    <w:p w14:paraId="1580E53D"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6"/>
          <w:szCs w:val="36"/>
        </w:rPr>
      </w:pPr>
      <w:r w:rsidRPr="00257704">
        <w:rPr>
          <w:rFonts w:ascii="Arabic Typesetting" w:eastAsiaTheme="minorHAnsi" w:hAnsi="Arabic Typesetting" w:cs="Arabic Typesetting"/>
          <w:sz w:val="34"/>
          <w:szCs w:val="34"/>
          <w:rtl/>
        </w:rPr>
        <w:t xml:space="preserve">كان أداء الجودة العام في عام 2016 </w:t>
      </w:r>
      <w:r w:rsidRPr="00257704">
        <w:rPr>
          <w:rFonts w:ascii="Arabic Typesetting" w:eastAsiaTheme="minorHAnsi" w:hAnsi="Arabic Typesetting" w:cs="Arabic Typesetting" w:hint="cs"/>
          <w:sz w:val="34"/>
          <w:szCs w:val="34"/>
          <w:rtl/>
        </w:rPr>
        <w:t>أعلى ب</w:t>
      </w:r>
      <w:r w:rsidRPr="00257704">
        <w:rPr>
          <w:rFonts w:ascii="Arabic Typesetting" w:eastAsiaTheme="minorHAnsi" w:hAnsi="Arabic Typesetting" w:cs="Arabic Typesetting"/>
          <w:sz w:val="34"/>
          <w:szCs w:val="34"/>
          <w:rtl/>
        </w:rPr>
        <w:t xml:space="preserve">نقطة مئوية واحدة </w:t>
      </w:r>
      <w:r w:rsidRPr="00257704">
        <w:rPr>
          <w:rFonts w:ascii="Arabic Typesetting" w:eastAsiaTheme="minorHAnsi" w:hAnsi="Arabic Typesetting" w:cs="Arabic Typesetting" w:hint="cs"/>
          <w:sz w:val="34"/>
          <w:szCs w:val="34"/>
          <w:rtl/>
        </w:rPr>
        <w:t>عن</w:t>
      </w:r>
      <w:r w:rsidRPr="00257704">
        <w:rPr>
          <w:rFonts w:ascii="Arabic Typesetting" w:eastAsiaTheme="minorHAnsi" w:hAnsi="Arabic Typesetting" w:cs="Arabic Typesetting"/>
          <w:sz w:val="34"/>
          <w:szCs w:val="34"/>
          <w:rtl/>
        </w:rPr>
        <w:t xml:space="preserve"> مستوى الجودة المقبول</w:t>
      </w:r>
      <w:r w:rsidRPr="00257704">
        <w:rPr>
          <w:rFonts w:ascii="Arabic Typesetting" w:eastAsiaTheme="minorHAnsi" w:hAnsi="Arabic Typesetting" w:cs="Arabic Typesetting"/>
          <w:sz w:val="36"/>
          <w:szCs w:val="36"/>
          <w:rtl/>
        </w:rPr>
        <w:t>.</w:t>
      </w:r>
    </w:p>
    <w:p w14:paraId="0CE7239D" w14:textId="70868E70" w:rsidR="00257704" w:rsidRPr="00257704" w:rsidRDefault="00193A13" w:rsidP="0031289D">
      <w:pPr>
        <w:bidi/>
        <w:spacing w:after="240" w:line="276" w:lineRule="auto"/>
        <w:jc w:val="center"/>
        <w:rPr>
          <w:rFonts w:ascii="Arabic Typesetting" w:eastAsiaTheme="minorHAnsi" w:hAnsi="Arabic Typesetting" w:cs="Arabic Typesetting"/>
          <w:sz w:val="36"/>
          <w:szCs w:val="36"/>
        </w:rPr>
      </w:pPr>
      <w:r>
        <w:rPr>
          <w:rFonts w:ascii="Arabic Typesetting" w:eastAsiaTheme="minorHAnsi" w:hAnsi="Arabic Typesetting" w:cs="Arabic Typesetting"/>
          <w:noProof/>
          <w:sz w:val="36"/>
          <w:szCs w:val="36"/>
        </w:rPr>
        <w:lastRenderedPageBreak/>
        <w:drawing>
          <wp:inline distT="0" distB="0" distL="0" distR="0" wp14:anchorId="00513D81" wp14:editId="083BC30F">
            <wp:extent cx="4150824" cy="2790825"/>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65654" cy="2800796"/>
                    </a:xfrm>
                    <a:prstGeom prst="rect">
                      <a:avLst/>
                    </a:prstGeom>
                    <a:noFill/>
                  </pic:spPr>
                </pic:pic>
              </a:graphicData>
            </a:graphic>
          </wp:inline>
        </w:drawing>
      </w:r>
    </w:p>
    <w:p w14:paraId="1A4DF855"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كان أداء الجودة العام </w:t>
      </w:r>
      <w:r w:rsidRPr="00257704">
        <w:rPr>
          <w:rFonts w:ascii="Arabic Typesetting" w:eastAsiaTheme="minorHAnsi" w:hAnsi="Arabic Typesetting" w:cs="Arabic Typesetting" w:hint="cs"/>
          <w:sz w:val="34"/>
          <w:szCs w:val="34"/>
          <w:rtl/>
        </w:rPr>
        <w:t>أدنى ب</w:t>
      </w:r>
      <w:r w:rsidRPr="00257704">
        <w:rPr>
          <w:rFonts w:ascii="Arabic Typesetting" w:eastAsiaTheme="minorHAnsi" w:hAnsi="Arabic Typesetting" w:cs="Arabic Typesetting"/>
          <w:sz w:val="34"/>
          <w:szCs w:val="34"/>
          <w:rtl/>
        </w:rPr>
        <w:t xml:space="preserve">نقطة مئوية واحدة من مستوى الجودة المقبول لعام 2016، ويرجع ذلك </w:t>
      </w:r>
      <w:r w:rsidRPr="00257704">
        <w:rPr>
          <w:rFonts w:ascii="Arabic Typesetting" w:eastAsiaTheme="minorHAnsi" w:hAnsi="Arabic Typesetting" w:cs="Arabic Typesetting" w:hint="cs"/>
          <w:sz w:val="34"/>
          <w:szCs w:val="34"/>
          <w:rtl/>
        </w:rPr>
        <w:t xml:space="preserve">في المقام الأول </w:t>
      </w:r>
      <w:r w:rsidRPr="00257704">
        <w:rPr>
          <w:rFonts w:ascii="Arabic Typesetting" w:eastAsiaTheme="minorHAnsi" w:hAnsi="Arabic Typesetting" w:cs="Arabic Typesetting"/>
          <w:sz w:val="34"/>
          <w:szCs w:val="34"/>
          <w:rtl/>
        </w:rPr>
        <w:t xml:space="preserve">إلى </w:t>
      </w:r>
      <w:r w:rsidRPr="00257704">
        <w:rPr>
          <w:rFonts w:ascii="Arabic Typesetting" w:eastAsiaTheme="minorHAnsi" w:hAnsi="Arabic Typesetting" w:cs="Arabic Typesetting" w:hint="cs"/>
          <w:sz w:val="34"/>
          <w:szCs w:val="34"/>
          <w:rtl/>
        </w:rPr>
        <w:t xml:space="preserve">تدوين </w:t>
      </w:r>
      <w:r w:rsidRPr="00257704">
        <w:rPr>
          <w:rFonts w:ascii="Arabic Typesetting" w:eastAsiaTheme="minorHAnsi" w:hAnsi="Arabic Typesetting" w:cs="Arabic Typesetting"/>
          <w:sz w:val="34"/>
          <w:szCs w:val="34"/>
          <w:rtl/>
        </w:rPr>
        <w:t>تفاصيل م</w:t>
      </w:r>
      <w:r w:rsidRPr="00257704">
        <w:rPr>
          <w:rFonts w:ascii="Arabic Typesetting" w:eastAsiaTheme="minorHAnsi" w:hAnsi="Arabic Typesetting" w:cs="Arabic Typesetting" w:hint="cs"/>
          <w:sz w:val="34"/>
          <w:szCs w:val="34"/>
          <w:rtl/>
        </w:rPr>
        <w:t xml:space="preserve">ودعي </w:t>
      </w:r>
      <w:r w:rsidRPr="00257704">
        <w:rPr>
          <w:rFonts w:ascii="Arabic Typesetting" w:eastAsiaTheme="minorHAnsi" w:hAnsi="Arabic Typesetting" w:cs="Arabic Typesetting"/>
          <w:sz w:val="34"/>
          <w:szCs w:val="34"/>
          <w:rtl/>
        </w:rPr>
        <w:t>الطلبات و</w:t>
      </w:r>
      <w:r w:rsidRPr="00257704">
        <w:rPr>
          <w:rFonts w:ascii="Arabic Typesetting" w:eastAsiaTheme="minorHAnsi" w:hAnsi="Arabic Typesetting" w:cs="Arabic Typesetting" w:hint="cs"/>
          <w:sz w:val="34"/>
          <w:szCs w:val="34"/>
          <w:rtl/>
        </w:rPr>
        <w:t>ال</w:t>
      </w:r>
      <w:r w:rsidRPr="00257704">
        <w:rPr>
          <w:rFonts w:ascii="Arabic Typesetting" w:eastAsiaTheme="minorHAnsi" w:hAnsi="Arabic Typesetting" w:cs="Arabic Typesetting"/>
          <w:sz w:val="34"/>
          <w:szCs w:val="34"/>
          <w:rtl/>
        </w:rPr>
        <w:t>ممثلي</w:t>
      </w:r>
      <w:r w:rsidRPr="00257704">
        <w:rPr>
          <w:rFonts w:ascii="Arabic Typesetting" w:eastAsiaTheme="minorHAnsi" w:hAnsi="Arabic Typesetting" w:cs="Arabic Typesetting" w:hint="cs"/>
          <w:sz w:val="34"/>
          <w:szCs w:val="34"/>
          <w:rtl/>
        </w:rPr>
        <w:t>ن</w:t>
      </w:r>
      <w:r w:rsidRPr="00257704">
        <w:rPr>
          <w:rFonts w:ascii="Arabic Typesetting" w:eastAsiaTheme="minorHAnsi" w:hAnsi="Arabic Typesetting" w:cs="Arabic Typesetting"/>
          <w:sz w:val="34"/>
          <w:szCs w:val="34"/>
          <w:rtl/>
        </w:rPr>
        <w:t xml:space="preserve"> بشكل غير صحيح.</w:t>
      </w:r>
    </w:p>
    <w:p w14:paraId="3C3C947E" w14:textId="6A6ED33B" w:rsidR="00257704" w:rsidRPr="00257704" w:rsidRDefault="00AF5C3D" w:rsidP="0031289D">
      <w:pPr>
        <w:bidi/>
        <w:spacing w:after="240" w:line="276" w:lineRule="auto"/>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67335D07" wp14:editId="3386F120">
            <wp:extent cx="4234824" cy="2790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34824" cy="2790000"/>
                    </a:xfrm>
                    <a:prstGeom prst="rect">
                      <a:avLst/>
                    </a:prstGeom>
                    <a:noFill/>
                  </pic:spPr>
                </pic:pic>
              </a:graphicData>
            </a:graphic>
          </wp:inline>
        </w:drawing>
      </w:r>
    </w:p>
    <w:p w14:paraId="7B1987C7"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كان أداء الجودة العام في معالجة القرارات </w:t>
      </w:r>
      <w:r w:rsidRPr="00257704">
        <w:rPr>
          <w:rFonts w:ascii="Arabic Typesetting" w:eastAsiaTheme="minorHAnsi" w:hAnsi="Arabic Typesetting" w:cs="Arabic Typesetting" w:hint="cs"/>
          <w:sz w:val="34"/>
          <w:szCs w:val="34"/>
          <w:rtl/>
        </w:rPr>
        <w:t>أدنى بن</w:t>
      </w:r>
      <w:r w:rsidRPr="00257704">
        <w:rPr>
          <w:rFonts w:ascii="Arabic Typesetting" w:eastAsiaTheme="minorHAnsi" w:hAnsi="Arabic Typesetting" w:cs="Arabic Typesetting"/>
          <w:sz w:val="34"/>
          <w:szCs w:val="34"/>
          <w:rtl/>
        </w:rPr>
        <w:t>قطة مئوية واحدة من الهدف المحدد لعام 2016.</w:t>
      </w:r>
    </w:p>
    <w:p w14:paraId="1D7ACD9D" w14:textId="4C58630A" w:rsidR="00257704" w:rsidRPr="00257704" w:rsidRDefault="00AF5C3D" w:rsidP="0031289D">
      <w:pPr>
        <w:bidi/>
        <w:spacing w:after="240" w:line="276" w:lineRule="auto"/>
        <w:jc w:val="center"/>
        <w:rPr>
          <w:rFonts w:ascii="Arabic Typesetting" w:hAnsi="Arabic Typesetting" w:cs="Arabic Typesetting"/>
          <w:sz w:val="36"/>
          <w:szCs w:val="36"/>
        </w:rPr>
      </w:pPr>
      <w:r>
        <w:rPr>
          <w:rFonts w:ascii="Arabic Typesetting" w:hAnsi="Arabic Typesetting" w:cs="Arabic Typesetting"/>
          <w:noProof/>
          <w:sz w:val="36"/>
          <w:szCs w:val="36"/>
        </w:rPr>
        <w:lastRenderedPageBreak/>
        <w:drawing>
          <wp:inline distT="0" distB="0" distL="0" distR="0" wp14:anchorId="77FAE422" wp14:editId="5EED8681">
            <wp:extent cx="4607489" cy="2700000"/>
            <wp:effectExtent l="0" t="0" r="3175"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07489" cy="2700000"/>
                    </a:xfrm>
                    <a:prstGeom prst="rect">
                      <a:avLst/>
                    </a:prstGeom>
                    <a:noFill/>
                  </pic:spPr>
                </pic:pic>
              </a:graphicData>
            </a:graphic>
          </wp:inline>
        </w:drawing>
      </w:r>
    </w:p>
    <w:p w14:paraId="0B2EBE4E"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حقق أداء الجودة العام مستوى الجودة المستهدف </w:t>
      </w:r>
      <w:r w:rsidRPr="00257704">
        <w:rPr>
          <w:rFonts w:ascii="Arabic Typesetting" w:eastAsiaTheme="minorHAnsi" w:hAnsi="Arabic Typesetting" w:cs="Arabic Typesetting" w:hint="cs"/>
          <w:sz w:val="34"/>
          <w:szCs w:val="34"/>
          <w:rtl/>
        </w:rPr>
        <w:t>وهو</w:t>
      </w:r>
      <w:r w:rsidRPr="00257704">
        <w:rPr>
          <w:rFonts w:ascii="Arabic Typesetting" w:eastAsiaTheme="minorHAnsi" w:hAnsi="Arabic Typesetting" w:cs="Arabic Typesetting"/>
          <w:sz w:val="34"/>
          <w:szCs w:val="34"/>
          <w:rtl/>
        </w:rPr>
        <w:t xml:space="preserve"> 95 في المائة. ولكن لوحظت المشكلة نفسها الملاحظة فيما يخص فحص الإجراءات الشكلية.</w:t>
      </w:r>
    </w:p>
    <w:p w14:paraId="1B4767A4" w14:textId="7E0522DE" w:rsidR="00257704" w:rsidRPr="00257704" w:rsidRDefault="00AF5C3D" w:rsidP="0059581F">
      <w:pPr>
        <w:bidi/>
        <w:spacing w:after="240" w:line="276" w:lineRule="auto"/>
        <w:jc w:val="center"/>
        <w:rPr>
          <w:rFonts w:ascii="Arabic Typesetting" w:hAnsi="Arabic Typesetting" w:cs="Arabic Typesetting"/>
          <w:sz w:val="36"/>
          <w:szCs w:val="36"/>
          <w:lang w:bidi="ar-EG"/>
        </w:rPr>
      </w:pPr>
      <w:r>
        <w:rPr>
          <w:rFonts w:ascii="Arabic Typesetting" w:hAnsi="Arabic Typesetting" w:cs="Arabic Typesetting"/>
          <w:noProof/>
          <w:sz w:val="36"/>
          <w:szCs w:val="36"/>
        </w:rPr>
        <w:drawing>
          <wp:inline distT="0" distB="0" distL="0" distR="0" wp14:anchorId="3F017A34" wp14:editId="70D9B509">
            <wp:extent cx="4123032" cy="268640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34040" cy="2693578"/>
                    </a:xfrm>
                    <a:prstGeom prst="rect">
                      <a:avLst/>
                    </a:prstGeom>
                    <a:noFill/>
                  </pic:spPr>
                </pic:pic>
              </a:graphicData>
            </a:graphic>
          </wp:inline>
        </w:drawing>
      </w:r>
    </w:p>
    <w:p w14:paraId="1D5FC5FD"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كان أداء الجودة العام فيما يخص معالجة التجديدات </w:t>
      </w:r>
      <w:r w:rsidRPr="00257704">
        <w:rPr>
          <w:rFonts w:ascii="Arabic Typesetting" w:eastAsiaTheme="minorHAnsi" w:hAnsi="Arabic Typesetting" w:cs="Arabic Typesetting" w:hint="cs"/>
          <w:sz w:val="34"/>
          <w:szCs w:val="34"/>
          <w:rtl/>
        </w:rPr>
        <w:t xml:space="preserve">أعلى بنقطة مئوية واحدة </w:t>
      </w:r>
      <w:r w:rsidRPr="00257704">
        <w:rPr>
          <w:rFonts w:ascii="Arabic Typesetting" w:eastAsiaTheme="minorHAnsi" w:hAnsi="Arabic Typesetting" w:cs="Arabic Typesetting"/>
          <w:sz w:val="34"/>
          <w:szCs w:val="34"/>
          <w:rtl/>
        </w:rPr>
        <w:t>من الهدف المحدّد ل</w:t>
      </w:r>
      <w:r w:rsidRPr="00257704">
        <w:rPr>
          <w:rFonts w:ascii="Arabic Typesetting" w:eastAsiaTheme="minorHAnsi" w:hAnsi="Arabic Typesetting" w:cs="Arabic Typesetting" w:hint="cs"/>
          <w:sz w:val="34"/>
          <w:szCs w:val="34"/>
          <w:rtl/>
        </w:rPr>
        <w:t>عام 2016</w:t>
      </w:r>
      <w:r w:rsidRPr="00257704">
        <w:rPr>
          <w:rFonts w:ascii="Arabic Typesetting" w:eastAsiaTheme="minorHAnsi" w:hAnsi="Arabic Typesetting" w:cs="Arabic Typesetting"/>
          <w:sz w:val="34"/>
          <w:szCs w:val="34"/>
          <w:rtl/>
        </w:rPr>
        <w:t>.</w:t>
      </w:r>
    </w:p>
    <w:p w14:paraId="7E3B325B" w14:textId="77777777" w:rsidR="00257704" w:rsidRPr="00257704" w:rsidRDefault="00257704" w:rsidP="0031289D">
      <w:pPr>
        <w:keepNext/>
        <w:keepLines/>
        <w:bidi/>
        <w:spacing w:after="240" w:line="360" w:lineRule="exact"/>
        <w:rPr>
          <w:rFonts w:ascii="Arabic Typesetting" w:eastAsiaTheme="minorHAnsi" w:hAnsi="Arabic Typesetting" w:cs="Arabic Typesetting"/>
          <w:iCs/>
          <w:sz w:val="34"/>
          <w:szCs w:val="34"/>
        </w:rPr>
      </w:pPr>
      <w:r w:rsidRPr="00257704">
        <w:rPr>
          <w:rFonts w:ascii="Arabic Typesetting" w:eastAsiaTheme="minorHAnsi" w:hAnsi="Arabic Typesetting" w:cs="Arabic Typesetting"/>
          <w:iCs/>
          <w:sz w:val="34"/>
          <w:szCs w:val="34"/>
          <w:rtl/>
        </w:rPr>
        <w:t>الأخطاء التي ارتكبها المكتب الدولي</w:t>
      </w:r>
    </w:p>
    <w:p w14:paraId="4007B6C8" w14:textId="77777777" w:rsidR="00257704" w:rsidRPr="00257704" w:rsidRDefault="00257704" w:rsidP="00D94CDB">
      <w:pPr>
        <w:numPr>
          <w:ilvl w:val="0"/>
          <w:numId w:val="101"/>
        </w:numPr>
        <w:bidi/>
        <w:spacing w:after="240" w:line="360" w:lineRule="exact"/>
        <w:ind w:left="-19" w:firstLine="0"/>
        <w:jc w:val="both"/>
        <w:rPr>
          <w:rFonts w:ascii="Arabic Typesetting" w:hAnsi="Arabic Typesetting" w:cs="Arabic Typesetting"/>
          <w:sz w:val="34"/>
          <w:szCs w:val="34"/>
        </w:rPr>
      </w:pPr>
      <w:r w:rsidRPr="00257704">
        <w:rPr>
          <w:rFonts w:ascii="Arabic Typesetting" w:hAnsi="Arabic Typesetting" w:cs="Arabic Typesetting"/>
          <w:sz w:val="34"/>
          <w:szCs w:val="34"/>
          <w:rtl/>
        </w:rPr>
        <w:t>يستند توزيع ا</w:t>
      </w:r>
      <w:r w:rsidRPr="00257704">
        <w:rPr>
          <w:rFonts w:ascii="Arabic Typesetting" w:hAnsi="Arabic Typesetting" w:cs="Arabic Typesetting" w:hint="cs"/>
          <w:sz w:val="34"/>
          <w:szCs w:val="34"/>
          <w:rtl/>
        </w:rPr>
        <w:t>ل</w:t>
      </w:r>
      <w:r w:rsidRPr="00257704">
        <w:rPr>
          <w:rFonts w:ascii="Arabic Typesetting" w:hAnsi="Arabic Typesetting" w:cs="Arabic Typesetting"/>
          <w:sz w:val="34"/>
          <w:szCs w:val="34"/>
          <w:rtl/>
        </w:rPr>
        <w:t xml:space="preserve">أخطاء الوارد في الرسوم البيانية </w:t>
      </w:r>
      <w:r w:rsidRPr="00257704">
        <w:rPr>
          <w:rFonts w:ascii="Arabic Typesetting" w:hAnsi="Arabic Typesetting" w:cs="Arabic Typesetting" w:hint="cs"/>
          <w:sz w:val="34"/>
          <w:szCs w:val="34"/>
          <w:rtl/>
        </w:rPr>
        <w:t xml:space="preserve">أدناه </w:t>
      </w:r>
      <w:r w:rsidRPr="00257704">
        <w:rPr>
          <w:rFonts w:ascii="Arabic Typesetting" w:hAnsi="Arabic Typesetting" w:cs="Arabic Typesetting"/>
          <w:sz w:val="34"/>
          <w:szCs w:val="34"/>
          <w:rtl/>
        </w:rPr>
        <w:t>إلى تحليل</w:t>
      </w:r>
      <w:r w:rsidRPr="00257704">
        <w:rPr>
          <w:rFonts w:ascii="Arabic Typesetting" w:hAnsi="Arabic Typesetting" w:cs="Arabic Typesetting" w:hint="cs"/>
          <w:sz w:val="34"/>
          <w:szCs w:val="34"/>
          <w:rtl/>
        </w:rPr>
        <w:t>ات</w:t>
      </w:r>
      <w:r w:rsidRPr="00257704">
        <w:rPr>
          <w:rFonts w:ascii="Arabic Typesetting" w:hAnsi="Arabic Typesetting" w:cs="Arabic Typesetting"/>
          <w:sz w:val="34"/>
          <w:szCs w:val="34"/>
          <w:rtl/>
        </w:rPr>
        <w:t xml:space="preserve"> للعينات التالية من معامل</w:t>
      </w:r>
      <w:r w:rsidRPr="00257704">
        <w:rPr>
          <w:rFonts w:ascii="Arabic Typesetting" w:hAnsi="Arabic Typesetting" w:cs="Arabic Typesetting" w:hint="cs"/>
          <w:sz w:val="34"/>
          <w:szCs w:val="34"/>
          <w:rtl/>
        </w:rPr>
        <w:t>ا</w:t>
      </w:r>
      <w:r w:rsidRPr="00257704">
        <w:rPr>
          <w:rFonts w:ascii="Arabic Typesetting" w:hAnsi="Arabic Typesetting" w:cs="Arabic Typesetting"/>
          <w:sz w:val="34"/>
          <w:szCs w:val="34"/>
          <w:rtl/>
        </w:rPr>
        <w:t xml:space="preserve">ت عام 2016. </w:t>
      </w:r>
      <w:r w:rsidRPr="00257704">
        <w:rPr>
          <w:rFonts w:ascii="Arabic Typesetting" w:hAnsi="Arabic Typesetting" w:cs="Arabic Typesetting"/>
          <w:sz w:val="34"/>
          <w:szCs w:val="34"/>
          <w:vertAlign w:val="superscript"/>
          <w:rtl/>
        </w:rPr>
        <w:footnoteReference w:id="40"/>
      </w:r>
    </w:p>
    <w:p w14:paraId="02FBFBE3" w14:textId="77777777" w:rsidR="00257704" w:rsidRPr="00257704" w:rsidRDefault="00257704" w:rsidP="00D94CDB">
      <w:pPr>
        <w:numPr>
          <w:ilvl w:val="0"/>
          <w:numId w:val="100"/>
        </w:numPr>
        <w:tabs>
          <w:tab w:val="clear" w:pos="720"/>
        </w:tabs>
        <w:bidi/>
        <w:spacing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371 تصنيفا</w:t>
      </w:r>
      <w:r w:rsidRPr="00257704">
        <w:rPr>
          <w:rFonts w:ascii="Arabic Typesetting" w:eastAsiaTheme="minorHAnsi" w:hAnsi="Arabic Typesetting" w:cs="Arabic Typesetting" w:hint="cs"/>
          <w:sz w:val="34"/>
          <w:szCs w:val="34"/>
          <w:rtl/>
        </w:rPr>
        <w:t>ً</w:t>
      </w:r>
    </w:p>
    <w:p w14:paraId="17FAF627" w14:textId="19CC1A18" w:rsidR="00257704" w:rsidRPr="00257704" w:rsidRDefault="00257704" w:rsidP="00D94CDB">
      <w:pPr>
        <w:numPr>
          <w:ilvl w:val="0"/>
          <w:numId w:val="100"/>
        </w:numPr>
        <w:tabs>
          <w:tab w:val="clear" w:pos="720"/>
        </w:tabs>
        <w:bidi/>
        <w:spacing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250 فحص</w:t>
      </w:r>
      <w:r w:rsidR="00C31D09">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 xml:space="preserve">للإجراءات </w:t>
      </w:r>
      <w:r w:rsidRPr="00257704">
        <w:rPr>
          <w:rFonts w:ascii="Arabic Typesetting" w:eastAsiaTheme="minorHAnsi" w:hAnsi="Arabic Typesetting" w:cs="Arabic Typesetting"/>
          <w:sz w:val="34"/>
          <w:szCs w:val="34"/>
          <w:rtl/>
        </w:rPr>
        <w:t>الشكلي</w:t>
      </w:r>
      <w:r w:rsidRPr="00257704">
        <w:rPr>
          <w:rFonts w:ascii="Arabic Typesetting" w:eastAsiaTheme="minorHAnsi" w:hAnsi="Arabic Typesetting" w:cs="Arabic Typesetting" w:hint="cs"/>
          <w:sz w:val="34"/>
          <w:szCs w:val="34"/>
          <w:rtl/>
        </w:rPr>
        <w:t>ة</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sz w:val="34"/>
          <w:szCs w:val="34"/>
        </w:rPr>
        <w:t>APEX</w:t>
      </w:r>
      <w:r w:rsidRPr="00257704">
        <w:rPr>
          <w:rFonts w:ascii="Arabic Typesetting" w:eastAsiaTheme="minorHAnsi" w:hAnsi="Arabic Typesetting" w:cs="Arabic Typesetting"/>
          <w:sz w:val="34"/>
          <w:szCs w:val="34"/>
          <w:rtl/>
        </w:rPr>
        <w:t>)</w:t>
      </w:r>
    </w:p>
    <w:p w14:paraId="11C202FA" w14:textId="77777777" w:rsidR="00257704" w:rsidRPr="00257704" w:rsidRDefault="00257704" w:rsidP="00D94CDB">
      <w:pPr>
        <w:numPr>
          <w:ilvl w:val="0"/>
          <w:numId w:val="100"/>
        </w:numPr>
        <w:tabs>
          <w:tab w:val="clear" w:pos="720"/>
        </w:tabs>
        <w:bidi/>
        <w:spacing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276 تجديد</w:t>
      </w:r>
      <w:r w:rsidRPr="00257704">
        <w:rPr>
          <w:rFonts w:ascii="Arabic Typesetting" w:eastAsiaTheme="minorHAnsi" w:hAnsi="Arabic Typesetting" w:cs="Arabic Typesetting" w:hint="cs"/>
          <w:sz w:val="34"/>
          <w:szCs w:val="34"/>
          <w:rtl/>
        </w:rPr>
        <w:t>اً</w:t>
      </w:r>
    </w:p>
    <w:p w14:paraId="5AF8DBE7"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293 تعديلا</w:t>
      </w:r>
      <w:r w:rsidRPr="00257704">
        <w:rPr>
          <w:rFonts w:ascii="Arabic Typesetting" w:eastAsiaTheme="minorHAnsi" w:hAnsi="Arabic Typesetting" w:cs="Arabic Typesetting" w:hint="cs"/>
          <w:sz w:val="34"/>
          <w:szCs w:val="34"/>
          <w:rtl/>
        </w:rPr>
        <w:t>ً</w:t>
      </w:r>
    </w:p>
    <w:p w14:paraId="181917C5" w14:textId="52E38BA8" w:rsidR="00257704" w:rsidRPr="00257704" w:rsidRDefault="001E72F7" w:rsidP="0031289D">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lastRenderedPageBreak/>
        <w:drawing>
          <wp:inline distT="0" distB="0" distL="0" distR="0" wp14:anchorId="0F897E95" wp14:editId="04374EC9">
            <wp:extent cx="4340637" cy="2476500"/>
            <wp:effectExtent l="0" t="0" r="317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52341" cy="2483177"/>
                    </a:xfrm>
                    <a:prstGeom prst="rect">
                      <a:avLst/>
                    </a:prstGeom>
                    <a:noFill/>
                  </pic:spPr>
                </pic:pic>
              </a:graphicData>
            </a:graphic>
          </wp:inline>
        </w:drawing>
      </w:r>
    </w:p>
    <w:p w14:paraId="15B194CB"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hint="cs"/>
          <w:sz w:val="34"/>
          <w:szCs w:val="34"/>
          <w:rtl/>
          <w:lang w:bidi="ar-EG"/>
        </w:rPr>
        <w:t xml:space="preserve">كان تعطل </w:t>
      </w:r>
      <w:r w:rsidRPr="00257704">
        <w:rPr>
          <w:rFonts w:ascii="Arabic Typesetting" w:eastAsiaTheme="minorHAnsi" w:hAnsi="Arabic Typesetting" w:cs="Arabic Typesetting"/>
          <w:sz w:val="34"/>
          <w:szCs w:val="34"/>
          <w:rtl/>
        </w:rPr>
        <w:t>نظام ت</w:t>
      </w:r>
      <w:r w:rsidRPr="00257704">
        <w:rPr>
          <w:rFonts w:ascii="Arabic Typesetting" w:eastAsiaTheme="minorHAnsi" w:hAnsi="Arabic Typesetting" w:cs="Arabic Typesetting" w:hint="cs"/>
          <w:sz w:val="34"/>
          <w:szCs w:val="34"/>
          <w:rtl/>
        </w:rPr>
        <w:t xml:space="preserve">كنولوجيا </w:t>
      </w:r>
      <w:r w:rsidRPr="00257704">
        <w:rPr>
          <w:rFonts w:ascii="Arabic Typesetting" w:eastAsiaTheme="minorHAnsi" w:hAnsi="Arabic Typesetting" w:cs="Arabic Typesetting"/>
          <w:sz w:val="34"/>
          <w:szCs w:val="34"/>
          <w:rtl/>
        </w:rPr>
        <w:t>المعلومات (</w:t>
      </w:r>
      <w:r w:rsidRPr="00257704">
        <w:rPr>
          <w:rFonts w:ascii="Arabic Typesetting" w:eastAsiaTheme="minorHAnsi" w:hAnsi="Arabic Typesetting" w:cs="Arabic Typesetting"/>
          <w:sz w:val="34"/>
          <w:szCs w:val="34"/>
        </w:rPr>
        <w:t>MIRIS</w:t>
      </w:r>
      <w:r w:rsidRPr="00257704">
        <w:rPr>
          <w:rFonts w:ascii="Arabic Typesetting" w:eastAsiaTheme="minorHAnsi" w:hAnsi="Arabic Typesetting" w:cs="Arabic Typesetting"/>
          <w:sz w:val="34"/>
          <w:szCs w:val="34"/>
          <w:rtl/>
        </w:rPr>
        <w:t>)</w:t>
      </w:r>
      <w:r w:rsidRPr="00257704">
        <w:rPr>
          <w:rFonts w:ascii="Arabic Typesetting" w:eastAsiaTheme="minorHAnsi" w:hAnsi="Arabic Typesetting" w:cs="Arabic Typesetting" w:hint="cs"/>
          <w:sz w:val="34"/>
          <w:szCs w:val="34"/>
          <w:rtl/>
        </w:rPr>
        <w:t xml:space="preserve"> يمثل</w:t>
      </w:r>
      <w:r w:rsidRPr="00257704">
        <w:rPr>
          <w:rFonts w:ascii="Arabic Typesetting" w:eastAsiaTheme="minorHAnsi" w:hAnsi="Arabic Typesetting" w:cs="Arabic Typesetting"/>
          <w:sz w:val="34"/>
          <w:szCs w:val="34"/>
          <w:rtl/>
        </w:rPr>
        <w:t xml:space="preserve"> 45.3</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من الأخطاء في التصنيف في عام 2016، وهو ما يمثل زيادة بنسبة 32.6 نقطة مئوية ع</w:t>
      </w:r>
      <w:r w:rsidRPr="00257704">
        <w:rPr>
          <w:rFonts w:ascii="Arabic Typesetting" w:eastAsiaTheme="minorHAnsi" w:hAnsi="Arabic Typesetting" w:cs="Arabic Typesetting" w:hint="cs"/>
          <w:sz w:val="34"/>
          <w:szCs w:val="34"/>
          <w:rtl/>
        </w:rPr>
        <w:t>لى</w:t>
      </w:r>
      <w:r w:rsidRPr="00257704">
        <w:rPr>
          <w:rFonts w:ascii="Arabic Typesetting" w:eastAsiaTheme="minorHAnsi" w:hAnsi="Arabic Typesetting" w:cs="Arabic Typesetting"/>
          <w:sz w:val="34"/>
          <w:szCs w:val="34"/>
          <w:rtl/>
        </w:rPr>
        <w:t xml:space="preserve"> عام 2015.</w:t>
      </w:r>
    </w:p>
    <w:p w14:paraId="58A5FA60" w14:textId="24E5DA98" w:rsidR="00257704" w:rsidRPr="00257704" w:rsidRDefault="001E72F7" w:rsidP="0031289D">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7C64D78B" wp14:editId="40460257">
            <wp:extent cx="4358812" cy="259997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68832" cy="2605947"/>
                    </a:xfrm>
                    <a:prstGeom prst="rect">
                      <a:avLst/>
                    </a:prstGeom>
                    <a:noFill/>
                  </pic:spPr>
                </pic:pic>
              </a:graphicData>
            </a:graphic>
          </wp:inline>
        </w:drawing>
      </w:r>
    </w:p>
    <w:p w14:paraId="72830B6A"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في سنة 201</w:t>
      </w:r>
      <w:r w:rsidRPr="00257704">
        <w:rPr>
          <w:rFonts w:ascii="Arabic Typesetting" w:eastAsiaTheme="minorHAnsi" w:hAnsi="Arabic Typesetting" w:cs="Arabic Typesetting" w:hint="cs"/>
          <w:sz w:val="34"/>
          <w:szCs w:val="34"/>
          <w:rtl/>
        </w:rPr>
        <w:t>6</w:t>
      </w:r>
      <w:r w:rsidRPr="00257704">
        <w:rPr>
          <w:rFonts w:ascii="Arabic Typesetting" w:eastAsiaTheme="minorHAnsi" w:hAnsi="Arabic Typesetting" w:cs="Arabic Typesetting"/>
          <w:sz w:val="34"/>
          <w:szCs w:val="34"/>
          <w:rtl/>
        </w:rPr>
        <w:t xml:space="preserve">، كانت غالبية التصحيحات في </w:t>
      </w:r>
      <w:r w:rsidRPr="00257704">
        <w:rPr>
          <w:rFonts w:ascii="Arabic Typesetting" w:eastAsiaTheme="minorHAnsi" w:hAnsi="Arabic Typesetting" w:cs="Arabic Typesetting" w:hint="cs"/>
          <w:sz w:val="34"/>
          <w:szCs w:val="34"/>
          <w:rtl/>
        </w:rPr>
        <w:t xml:space="preserve">فحص </w:t>
      </w:r>
      <w:r w:rsidRPr="00257704">
        <w:rPr>
          <w:rFonts w:ascii="Arabic Typesetting" w:eastAsiaTheme="minorHAnsi" w:hAnsi="Arabic Typesetting" w:cs="Arabic Typesetting"/>
          <w:sz w:val="34"/>
          <w:szCs w:val="34"/>
          <w:rtl/>
        </w:rPr>
        <w:t xml:space="preserve">الإجراءات الشكلية بسبب أخطاء في </w:t>
      </w:r>
      <w:r w:rsidRPr="00257704">
        <w:rPr>
          <w:rFonts w:ascii="Arabic Typesetting" w:eastAsiaTheme="minorHAnsi" w:hAnsi="Arabic Typesetting" w:cs="Arabic Typesetting" w:hint="cs"/>
          <w:sz w:val="34"/>
          <w:szCs w:val="34"/>
          <w:rtl/>
        </w:rPr>
        <w:t xml:space="preserve">إدخال تفاصيل </w:t>
      </w:r>
      <w:r w:rsidRPr="00257704">
        <w:rPr>
          <w:rFonts w:ascii="Arabic Typesetting" w:eastAsiaTheme="minorHAnsi" w:hAnsi="Arabic Typesetting" w:cs="Arabic Typesetting"/>
          <w:sz w:val="34"/>
          <w:szCs w:val="34"/>
          <w:rtl/>
        </w:rPr>
        <w:t>المودعين (</w:t>
      </w:r>
      <w:r w:rsidRPr="00257704">
        <w:rPr>
          <w:rFonts w:ascii="Arabic Typesetting" w:eastAsiaTheme="minorHAnsi" w:hAnsi="Arabic Typesetting" w:cs="Arabic Typesetting" w:hint="cs"/>
          <w:sz w:val="34"/>
          <w:szCs w:val="34"/>
          <w:rtl/>
        </w:rPr>
        <w:t>38.4</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 xml:space="preserve">في </w:t>
      </w:r>
      <w:r w:rsidRPr="00257704">
        <w:rPr>
          <w:rFonts w:ascii="Arabic Typesetting" w:eastAsiaTheme="minorHAnsi" w:hAnsi="Arabic Typesetting" w:cs="Arabic Typesetting"/>
          <w:sz w:val="34"/>
          <w:szCs w:val="34"/>
          <w:rtl/>
        </w:rPr>
        <w:t>الم</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ئة) و</w:t>
      </w:r>
      <w:r w:rsidRPr="00257704">
        <w:rPr>
          <w:rFonts w:ascii="Arabic Typesetting" w:eastAsiaTheme="minorHAnsi" w:hAnsi="Arabic Typesetting" w:cs="Arabic Typesetting" w:hint="cs"/>
          <w:sz w:val="34"/>
          <w:szCs w:val="34"/>
          <w:rtl/>
        </w:rPr>
        <w:t xml:space="preserve">تعطل نظام تكنولوجيا المعلومات </w:t>
      </w:r>
      <w:r w:rsidRPr="00257704">
        <w:rPr>
          <w:rFonts w:ascii="Arabic Typesetting" w:eastAsiaTheme="minorHAnsi" w:hAnsi="Arabic Typesetting" w:cs="Arabic Typesetting"/>
          <w:sz w:val="34"/>
          <w:szCs w:val="34"/>
          <w:rtl/>
        </w:rPr>
        <w:t>(</w:t>
      </w:r>
      <w:r w:rsidRPr="00257704">
        <w:rPr>
          <w:rFonts w:ascii="Arabic Typesetting" w:eastAsiaTheme="minorHAnsi" w:hAnsi="Arabic Typesetting" w:cs="Arabic Typesetting" w:hint="cs"/>
          <w:sz w:val="34"/>
          <w:szCs w:val="34"/>
          <w:rtl/>
        </w:rPr>
        <w:t>10.8</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 xml:space="preserve">في </w:t>
      </w:r>
      <w:r w:rsidRPr="00257704">
        <w:rPr>
          <w:rFonts w:ascii="Arabic Typesetting" w:eastAsiaTheme="minorHAnsi" w:hAnsi="Arabic Typesetting" w:cs="Arabic Typesetting"/>
          <w:sz w:val="34"/>
          <w:szCs w:val="34"/>
          <w:rtl/>
        </w:rPr>
        <w:t>الم</w:t>
      </w:r>
      <w:r w:rsidRPr="00257704">
        <w:rPr>
          <w:rFonts w:ascii="Arabic Typesetting" w:eastAsiaTheme="minorHAnsi" w:hAnsi="Arabic Typesetting" w:cs="Arabic Typesetting" w:hint="cs"/>
          <w:sz w:val="34"/>
          <w:szCs w:val="34"/>
          <w:rtl/>
        </w:rPr>
        <w:t>ا</w:t>
      </w:r>
      <w:r w:rsidRPr="00257704">
        <w:rPr>
          <w:rFonts w:ascii="Arabic Typesetting" w:eastAsiaTheme="minorHAnsi" w:hAnsi="Arabic Typesetting" w:cs="Arabic Typesetting"/>
          <w:sz w:val="34"/>
          <w:szCs w:val="34"/>
          <w:rtl/>
        </w:rPr>
        <w:t>ئة)</w:t>
      </w:r>
      <w:r w:rsidRPr="00257704">
        <w:rPr>
          <w:rFonts w:ascii="Arabic Typesetting" w:eastAsiaTheme="minorHAnsi" w:hAnsi="Arabic Typesetting" w:cs="Arabic Typesetting" w:hint="cs"/>
          <w:sz w:val="34"/>
          <w:szCs w:val="34"/>
          <w:rtl/>
        </w:rPr>
        <w:t>.</w:t>
      </w:r>
    </w:p>
    <w:p w14:paraId="2859D9D8" w14:textId="1329F369" w:rsidR="00257704" w:rsidRPr="00257704" w:rsidRDefault="001E72F7" w:rsidP="0031289D">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lastRenderedPageBreak/>
        <w:drawing>
          <wp:inline distT="0" distB="0" distL="0" distR="0" wp14:anchorId="3A06C8CD" wp14:editId="58D63681">
            <wp:extent cx="4194402" cy="2549602"/>
            <wp:effectExtent l="0" t="0" r="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18128" cy="2564024"/>
                    </a:xfrm>
                    <a:prstGeom prst="rect">
                      <a:avLst/>
                    </a:prstGeom>
                    <a:noFill/>
                  </pic:spPr>
                </pic:pic>
              </a:graphicData>
            </a:graphic>
          </wp:inline>
        </w:drawing>
      </w:r>
    </w:p>
    <w:p w14:paraId="1A07025F" w14:textId="7777777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في عام 2015، ع</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رض تحليل الأخطاء المتعلقة بالتعديلات حسب نوع التعديل بدلا</w:t>
      </w:r>
      <w:r w:rsidRPr="00257704">
        <w:rPr>
          <w:rFonts w:ascii="Arabic Typesetting" w:eastAsiaTheme="minorHAnsi" w:hAnsi="Arabic Typesetting" w:cs="Arabic Typesetting" w:hint="cs"/>
          <w:sz w:val="34"/>
          <w:szCs w:val="34"/>
          <w:rtl/>
        </w:rPr>
        <w:t>ً</w:t>
      </w:r>
      <w:r w:rsidRPr="00257704">
        <w:rPr>
          <w:rFonts w:ascii="Arabic Typesetting" w:eastAsiaTheme="minorHAnsi" w:hAnsi="Arabic Typesetting" w:cs="Arabic Typesetting"/>
          <w:sz w:val="34"/>
          <w:szCs w:val="34"/>
          <w:rtl/>
        </w:rPr>
        <w:t xml:space="preserve"> من نوع الأخطاء. </w:t>
      </w:r>
      <w:r w:rsidRPr="00257704">
        <w:rPr>
          <w:rFonts w:ascii="Arabic Typesetting" w:eastAsiaTheme="minorHAnsi" w:hAnsi="Arabic Typesetting" w:cs="Arabic Typesetting" w:hint="cs"/>
          <w:sz w:val="34"/>
          <w:szCs w:val="34"/>
          <w:rtl/>
        </w:rPr>
        <w:t>و</w:t>
      </w:r>
      <w:r w:rsidRPr="00257704">
        <w:rPr>
          <w:rFonts w:ascii="Arabic Typesetting" w:eastAsiaTheme="minorHAnsi" w:hAnsi="Arabic Typesetting" w:cs="Arabic Typesetting"/>
          <w:sz w:val="34"/>
          <w:szCs w:val="34"/>
          <w:rtl/>
        </w:rPr>
        <w:t xml:space="preserve">تغير </w:t>
      </w:r>
      <w:r w:rsidRPr="00257704">
        <w:rPr>
          <w:rFonts w:ascii="Arabic Typesetting" w:eastAsiaTheme="minorHAnsi" w:hAnsi="Arabic Typesetting" w:cs="Arabic Typesetting" w:hint="cs"/>
          <w:sz w:val="34"/>
          <w:szCs w:val="34"/>
          <w:rtl/>
        </w:rPr>
        <w:t xml:space="preserve">ذلك </w:t>
      </w:r>
      <w:r w:rsidRPr="00257704">
        <w:rPr>
          <w:rFonts w:ascii="Arabic Typesetting" w:eastAsiaTheme="minorHAnsi" w:hAnsi="Arabic Typesetting" w:cs="Arabic Typesetting"/>
          <w:sz w:val="34"/>
          <w:szCs w:val="34"/>
          <w:rtl/>
        </w:rPr>
        <w:t>في عام 2016 ل</w:t>
      </w:r>
      <w:r w:rsidRPr="00257704">
        <w:rPr>
          <w:rFonts w:ascii="Arabic Typesetting" w:eastAsiaTheme="minorHAnsi" w:hAnsi="Arabic Typesetting" w:cs="Arabic Typesetting" w:hint="cs"/>
          <w:sz w:val="34"/>
          <w:szCs w:val="34"/>
          <w:rtl/>
        </w:rPr>
        <w:t>ي</w:t>
      </w:r>
      <w:r w:rsidRPr="00257704">
        <w:rPr>
          <w:rFonts w:ascii="Arabic Typesetting" w:eastAsiaTheme="minorHAnsi" w:hAnsi="Arabic Typesetting" w:cs="Arabic Typesetting"/>
          <w:sz w:val="34"/>
          <w:szCs w:val="34"/>
          <w:rtl/>
        </w:rPr>
        <w:t>توافق مع تحليل المعاملات الأخرى. بيانات عام 2015 حسب نوع الخطأ غير متوفرة.</w:t>
      </w:r>
    </w:p>
    <w:p w14:paraId="19F2B441" w14:textId="36188387" w:rsidR="00257704" w:rsidRPr="00257704" w:rsidRDefault="00257704"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في عام 2016، كان نحو </w:t>
      </w:r>
      <w:r w:rsidRPr="00257704">
        <w:rPr>
          <w:rFonts w:ascii="Arabic Typesetting" w:eastAsiaTheme="minorHAnsi" w:hAnsi="Arabic Typesetting" w:cs="Arabic Typesetting" w:hint="cs"/>
          <w:sz w:val="34"/>
          <w:szCs w:val="34"/>
          <w:rtl/>
        </w:rPr>
        <w:t>42.2</w:t>
      </w:r>
      <w:r w:rsidRPr="00257704">
        <w:rPr>
          <w:rFonts w:ascii="Arabic Typesetting" w:eastAsiaTheme="minorHAnsi" w:hAnsi="Arabic Typesetting" w:cs="Arabic Typesetting"/>
          <w:sz w:val="34"/>
          <w:szCs w:val="34"/>
          <w:rtl/>
        </w:rPr>
        <w:t xml:space="preserve"> في المائة من التصويبات </w:t>
      </w:r>
      <w:r w:rsidRPr="00257704">
        <w:rPr>
          <w:rFonts w:ascii="Arabic Typesetting" w:eastAsiaTheme="minorHAnsi" w:hAnsi="Arabic Typesetting" w:cs="Arabic Typesetting" w:hint="cs"/>
          <w:sz w:val="34"/>
          <w:szCs w:val="34"/>
          <w:rtl/>
        </w:rPr>
        <w:t xml:space="preserve">في </w:t>
      </w:r>
      <w:r w:rsidRPr="00257704">
        <w:rPr>
          <w:rFonts w:ascii="Arabic Typesetting" w:eastAsiaTheme="minorHAnsi" w:hAnsi="Arabic Typesetting" w:cs="Arabic Typesetting"/>
          <w:sz w:val="34"/>
          <w:szCs w:val="34"/>
          <w:rtl/>
        </w:rPr>
        <w:t xml:space="preserve">التعديلات يرجع إلى أخطاء في إدخال تفاصيل </w:t>
      </w:r>
      <w:r w:rsidRPr="00257704">
        <w:rPr>
          <w:rFonts w:ascii="Arabic Typesetting" w:eastAsiaTheme="minorHAnsi" w:hAnsi="Arabic Typesetting" w:cs="Arabic Typesetting" w:hint="cs"/>
          <w:sz w:val="34"/>
          <w:szCs w:val="34"/>
          <w:rtl/>
        </w:rPr>
        <w:t>أصحاب الحقوق</w:t>
      </w:r>
      <w:r w:rsidRPr="00257704">
        <w:rPr>
          <w:rFonts w:ascii="Arabic Typesetting" w:eastAsiaTheme="minorHAnsi" w:hAnsi="Arabic Typesetting" w:cs="Arabic Typesetting"/>
          <w:sz w:val="34"/>
          <w:szCs w:val="34"/>
          <w:rtl/>
        </w:rPr>
        <w:t xml:space="preserve"> (38.4 في المائة) و</w:t>
      </w:r>
      <w:r w:rsidRPr="00257704">
        <w:rPr>
          <w:rFonts w:ascii="Arabic Typesetting" w:eastAsiaTheme="minorHAnsi" w:hAnsi="Arabic Typesetting" w:cs="Arabic Typesetting" w:hint="cs"/>
          <w:sz w:val="34"/>
          <w:szCs w:val="34"/>
          <w:rtl/>
        </w:rPr>
        <w:t>ال</w:t>
      </w:r>
      <w:r w:rsidRPr="00257704">
        <w:rPr>
          <w:rFonts w:ascii="Arabic Typesetting" w:eastAsiaTheme="minorHAnsi" w:hAnsi="Arabic Typesetting" w:cs="Arabic Typesetting"/>
          <w:sz w:val="34"/>
          <w:szCs w:val="34"/>
          <w:rtl/>
        </w:rPr>
        <w:t xml:space="preserve">ممثلين (3.8 في المائة). </w:t>
      </w:r>
      <w:r w:rsidRPr="00257704">
        <w:rPr>
          <w:rFonts w:ascii="Arabic Typesetting" w:eastAsiaTheme="minorHAnsi" w:hAnsi="Arabic Typesetting" w:cs="Arabic Typesetting" w:hint="cs"/>
          <w:sz w:val="34"/>
          <w:szCs w:val="34"/>
          <w:rtl/>
        </w:rPr>
        <w:t>وبلغت نسبة</w:t>
      </w:r>
      <w:r w:rsidRPr="00257704">
        <w:rPr>
          <w:rFonts w:ascii="Arabic Typesetting" w:eastAsiaTheme="minorHAnsi" w:hAnsi="Arabic Typesetting" w:cs="Arabic Typesetting"/>
          <w:sz w:val="34"/>
          <w:szCs w:val="34"/>
          <w:rtl/>
        </w:rPr>
        <w:t xml:space="preserve"> الأخطاء المتعلقة بالسلع والخدمات 16.4 في</w:t>
      </w:r>
      <w:r w:rsidR="00C31D09">
        <w:rPr>
          <w:rFonts w:ascii="Arabic Typesetting" w:eastAsiaTheme="minorHAnsi" w:hAnsi="Arabic Typesetting" w:cs="Arabic Typesetting" w:hint="cs"/>
          <w:sz w:val="34"/>
          <w:szCs w:val="34"/>
          <w:rtl/>
        </w:rPr>
        <w:t> </w:t>
      </w:r>
      <w:r w:rsidRPr="00257704">
        <w:rPr>
          <w:rFonts w:ascii="Arabic Typesetting" w:eastAsiaTheme="minorHAnsi" w:hAnsi="Arabic Typesetting" w:cs="Arabic Typesetting"/>
          <w:sz w:val="34"/>
          <w:szCs w:val="34"/>
          <w:rtl/>
        </w:rPr>
        <w:t>المائة.</w:t>
      </w:r>
    </w:p>
    <w:p w14:paraId="0EF9EEDE" w14:textId="0C5B9E1D" w:rsidR="00257704" w:rsidRPr="00257704" w:rsidRDefault="00DE3E16" w:rsidP="0031289D">
      <w:pPr>
        <w:bidi/>
        <w:spacing w:after="240" w:line="276" w:lineRule="auto"/>
        <w:jc w:val="center"/>
        <w:rPr>
          <w:rFonts w:ascii="Arabic Typesetting" w:eastAsiaTheme="minorHAnsi" w:hAnsi="Arabic Typesetting" w:cs="Arabic Typesetting"/>
          <w:sz w:val="34"/>
          <w:szCs w:val="34"/>
          <w:rtl/>
          <w:lang w:bidi="ar-EG"/>
        </w:rPr>
      </w:pPr>
      <w:r>
        <w:rPr>
          <w:rFonts w:ascii="Arabic Typesetting" w:eastAsiaTheme="minorHAnsi" w:hAnsi="Arabic Typesetting" w:cs="Arabic Typesetting"/>
          <w:noProof/>
          <w:sz w:val="34"/>
          <w:szCs w:val="34"/>
        </w:rPr>
        <w:drawing>
          <wp:inline distT="0" distB="0" distL="0" distR="0" wp14:anchorId="6EFDEDAE" wp14:editId="5D4FF006">
            <wp:extent cx="4066034" cy="242755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074270" cy="2432471"/>
                    </a:xfrm>
                    <a:prstGeom prst="rect">
                      <a:avLst/>
                    </a:prstGeom>
                    <a:noFill/>
                  </pic:spPr>
                </pic:pic>
              </a:graphicData>
            </a:graphic>
          </wp:inline>
        </w:drawing>
      </w:r>
    </w:p>
    <w:p w14:paraId="254D788B" w14:textId="581F8E3B" w:rsidR="00257704" w:rsidRPr="00257704" w:rsidRDefault="00257704" w:rsidP="00D02C02">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257704">
        <w:rPr>
          <w:rFonts w:ascii="Arabic Typesetting" w:eastAsiaTheme="minorHAnsi" w:hAnsi="Arabic Typesetting" w:cs="Arabic Typesetting"/>
          <w:sz w:val="34"/>
          <w:szCs w:val="34"/>
          <w:rtl/>
        </w:rPr>
        <w:t xml:space="preserve">زيادة </w:t>
      </w:r>
      <w:r w:rsidRPr="00257704">
        <w:rPr>
          <w:rFonts w:ascii="Arabic Typesetting" w:eastAsiaTheme="minorHAnsi" w:hAnsi="Arabic Typesetting" w:cs="Arabic Typesetting" w:hint="cs"/>
          <w:sz w:val="34"/>
          <w:szCs w:val="34"/>
          <w:rtl/>
        </w:rPr>
        <w:t xml:space="preserve">نسبة </w:t>
      </w:r>
      <w:r w:rsidRPr="00257704">
        <w:rPr>
          <w:rFonts w:ascii="Arabic Typesetting" w:eastAsiaTheme="minorHAnsi" w:hAnsi="Arabic Typesetting" w:cs="Arabic Typesetting"/>
          <w:sz w:val="34"/>
          <w:szCs w:val="34"/>
          <w:rtl/>
        </w:rPr>
        <w:t>ا</w:t>
      </w:r>
      <w:r w:rsidRPr="00257704">
        <w:rPr>
          <w:rFonts w:ascii="Arabic Typesetting" w:eastAsiaTheme="minorHAnsi" w:hAnsi="Arabic Typesetting" w:cs="Arabic Typesetting" w:hint="cs"/>
          <w:sz w:val="34"/>
          <w:szCs w:val="34"/>
          <w:rtl/>
        </w:rPr>
        <w:t>ل</w:t>
      </w:r>
      <w:r w:rsidRPr="00257704">
        <w:rPr>
          <w:rFonts w:ascii="Arabic Typesetting" w:eastAsiaTheme="minorHAnsi" w:hAnsi="Arabic Typesetting" w:cs="Arabic Typesetting"/>
          <w:sz w:val="34"/>
          <w:szCs w:val="34"/>
          <w:rtl/>
        </w:rPr>
        <w:t xml:space="preserve">أخطاء </w:t>
      </w:r>
      <w:r w:rsidR="00D02C02">
        <w:rPr>
          <w:rFonts w:ascii="Arabic Typesetting" w:eastAsiaTheme="minorHAnsi" w:hAnsi="Arabic Typesetting" w:cs="Arabic Typesetting" w:hint="cs"/>
          <w:sz w:val="34"/>
          <w:szCs w:val="34"/>
          <w:rtl/>
        </w:rPr>
        <w:t>الناجمة</w:t>
      </w:r>
      <w:r w:rsidRPr="00257704">
        <w:rPr>
          <w:rFonts w:ascii="Arabic Typesetting" w:eastAsiaTheme="minorHAnsi" w:hAnsi="Arabic Typesetting" w:cs="Arabic Typesetting" w:hint="cs"/>
          <w:sz w:val="34"/>
          <w:szCs w:val="34"/>
          <w:rtl/>
        </w:rPr>
        <w:t xml:space="preserve"> عن تعطل</w:t>
      </w:r>
      <w:r w:rsidRPr="00257704">
        <w:rPr>
          <w:rFonts w:ascii="Arabic Typesetting" w:eastAsiaTheme="minorHAnsi" w:hAnsi="Arabic Typesetting" w:cs="Arabic Typesetting"/>
          <w:sz w:val="34"/>
          <w:szCs w:val="34"/>
          <w:rtl/>
        </w:rPr>
        <w:t xml:space="preserve"> نظام تكنولوجي</w:t>
      </w:r>
      <w:r w:rsidRPr="00257704">
        <w:rPr>
          <w:rFonts w:ascii="Arabic Typesetting" w:eastAsiaTheme="minorHAnsi" w:hAnsi="Arabic Typesetting" w:cs="Arabic Typesetting" w:hint="cs"/>
          <w:sz w:val="34"/>
          <w:szCs w:val="34"/>
          <w:rtl/>
        </w:rPr>
        <w:t>ا المعلومات</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 xml:space="preserve">كانت ترجع في المقام الأول </w:t>
      </w:r>
      <w:r w:rsidRPr="00257704">
        <w:rPr>
          <w:rFonts w:ascii="Arabic Typesetting" w:eastAsiaTheme="minorHAnsi" w:hAnsi="Arabic Typesetting" w:cs="Arabic Typesetting"/>
          <w:sz w:val="34"/>
          <w:szCs w:val="34"/>
          <w:rtl/>
        </w:rPr>
        <w:t>إلى نشر نظام تكنولوج</w:t>
      </w:r>
      <w:r w:rsidRPr="00257704">
        <w:rPr>
          <w:rFonts w:ascii="Arabic Typesetting" w:eastAsiaTheme="minorHAnsi" w:hAnsi="Arabic Typesetting" w:cs="Arabic Typesetting" w:hint="cs"/>
          <w:sz w:val="34"/>
          <w:szCs w:val="34"/>
          <w:rtl/>
        </w:rPr>
        <w:t>يا المعلومات</w:t>
      </w:r>
      <w:r w:rsidRPr="00257704">
        <w:rPr>
          <w:rFonts w:ascii="Arabic Typesetting" w:eastAsiaTheme="minorHAnsi" w:hAnsi="Arabic Typesetting" w:cs="Arabic Typesetting"/>
          <w:sz w:val="34"/>
          <w:szCs w:val="34"/>
          <w:rtl/>
        </w:rPr>
        <w:t xml:space="preserve"> </w:t>
      </w:r>
      <w:r w:rsidRPr="00257704">
        <w:rPr>
          <w:rFonts w:ascii="Arabic Typesetting" w:eastAsiaTheme="minorHAnsi" w:hAnsi="Arabic Typesetting" w:cs="Arabic Typesetting" w:hint="cs"/>
          <w:sz w:val="34"/>
          <w:szCs w:val="34"/>
          <w:rtl/>
        </w:rPr>
        <w:t>ال</w:t>
      </w:r>
      <w:r w:rsidRPr="00257704">
        <w:rPr>
          <w:rFonts w:ascii="Arabic Typesetting" w:eastAsiaTheme="minorHAnsi" w:hAnsi="Arabic Typesetting" w:cs="Arabic Typesetting"/>
          <w:sz w:val="34"/>
          <w:szCs w:val="34"/>
          <w:rtl/>
        </w:rPr>
        <w:t>جديد في عام 2016.</w:t>
      </w:r>
    </w:p>
    <w:p w14:paraId="28162153" w14:textId="77777777" w:rsidR="00257704" w:rsidRPr="00257704" w:rsidRDefault="00257704" w:rsidP="0031289D">
      <w:pPr>
        <w:bidi/>
        <w:spacing w:after="240" w:line="360" w:lineRule="exact"/>
        <w:ind w:hanging="11"/>
        <w:jc w:val="right"/>
        <w:rPr>
          <w:rFonts w:ascii="Arabic Typesetting" w:hAnsi="Arabic Typesetting" w:cs="Arabic Typesetting"/>
          <w:sz w:val="36"/>
          <w:szCs w:val="36"/>
        </w:rPr>
      </w:pPr>
      <w:r w:rsidRPr="00257704">
        <w:rPr>
          <w:rFonts w:ascii="Arabic Typesetting" w:hAnsi="Arabic Typesetting" w:cs="Arabic Typesetting"/>
          <w:sz w:val="36"/>
          <w:szCs w:val="36"/>
          <w:rtl/>
        </w:rPr>
        <w:t>[نهاية المرفق]</w:t>
      </w:r>
    </w:p>
    <w:p w14:paraId="392DA420" w14:textId="06E2B462" w:rsidR="00CE6E0B" w:rsidRDefault="00CE6E0B"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19111F9A" w14:textId="77777777" w:rsidR="00C31D09" w:rsidRPr="000B74B5" w:rsidRDefault="00C31D09" w:rsidP="00DA7DF7">
      <w:pPr>
        <w:pStyle w:val="Heading3"/>
        <w:ind w:left="1984" w:hanging="1984"/>
        <w:rPr>
          <w:lang w:val="en-US"/>
        </w:rPr>
      </w:pPr>
      <w:bookmarkStart w:id="22" w:name="_Toc482782749"/>
      <w:r w:rsidRPr="00F93A4F">
        <w:rPr>
          <w:rtl/>
        </w:rPr>
        <w:lastRenderedPageBreak/>
        <w:t>البرنامج</w:t>
      </w:r>
      <w:r w:rsidRPr="00F93A4F">
        <w:rPr>
          <w:rFonts w:hint="cs"/>
          <w:rtl/>
        </w:rPr>
        <w:t xml:space="preserve"> 31:</w:t>
      </w:r>
      <w:r w:rsidRPr="000B74B5">
        <w:rPr>
          <w:lang w:val="en-US"/>
        </w:rPr>
        <w:tab/>
      </w:r>
      <w:r w:rsidRPr="00F93A4F">
        <w:rPr>
          <w:rFonts w:hint="cs"/>
          <w:rtl/>
        </w:rPr>
        <w:t>نظام لاهاي</w:t>
      </w:r>
      <w:bookmarkEnd w:id="22"/>
    </w:p>
    <w:p w14:paraId="40F61330" w14:textId="77777777" w:rsidR="00C31D09" w:rsidRDefault="00C31D09"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w:t>
      </w:r>
      <w:r>
        <w:rPr>
          <w:rFonts w:ascii="Arabic Typesetting" w:hAnsi="Arabic Typesetting" w:cs="Arabic Typesetting" w:hint="cs"/>
          <w:b/>
          <w:bCs/>
          <w:sz w:val="36"/>
          <w:szCs w:val="36"/>
          <w:rtl/>
          <w:lang w:val="fr-CH"/>
        </w:rPr>
        <w:t>ة</w:t>
      </w:r>
      <w:r w:rsidRPr="00FE3908">
        <w:rPr>
          <w:rFonts w:ascii="Arabic Typesetting" w:hAnsi="Arabic Typesetting" w:cs="Arabic Typesetting"/>
          <w:b/>
          <w:bCs/>
          <w:sz w:val="36"/>
          <w:szCs w:val="36"/>
          <w:rtl/>
          <w:lang w:val="fr-CH"/>
        </w:rPr>
        <w:t xml:space="preserve"> عن البرنامج</w:t>
      </w:r>
      <w:r w:rsidRPr="00FE3908">
        <w:rPr>
          <w:rFonts w:ascii="Arabic Typesetting" w:hAnsi="Arabic Typesetting" w:cs="Arabic Typesetting" w:hint="cs"/>
          <w:b/>
          <w:bCs/>
          <w:sz w:val="36"/>
          <w:szCs w:val="36"/>
          <w:rtl/>
          <w:lang w:val="fr-CH"/>
        </w:rPr>
        <w:t>:</w:t>
      </w:r>
      <w:r w:rsidRPr="000B74B5">
        <w:rPr>
          <w:rFonts w:ascii="Arabic Typesetting" w:hAnsi="Arabic Typesetting" w:cs="Arabic Typesetting"/>
          <w:b/>
          <w:bCs/>
          <w:sz w:val="36"/>
          <w:szCs w:val="36"/>
        </w:rPr>
        <w:tab/>
      </w:r>
      <w:r w:rsidRPr="00E90BEC">
        <w:rPr>
          <w:rFonts w:ascii="Arabic Typesetting" w:hAnsi="Arabic Typesetting" w:cs="Arabic Typesetting"/>
          <w:b/>
          <w:bCs/>
          <w:sz w:val="36"/>
          <w:szCs w:val="36"/>
          <w:rtl/>
          <w:lang w:val="fr-CH"/>
        </w:rPr>
        <w:t>السيدة بينينغ وانغ</w:t>
      </w:r>
    </w:p>
    <w:p w14:paraId="3B4AF3C7" w14:textId="77777777" w:rsidR="00C31D09" w:rsidRDefault="00C31D09" w:rsidP="0031289D">
      <w:pPr>
        <w:bidi/>
        <w:spacing w:after="120"/>
        <w:jc w:val="center"/>
        <w:rPr>
          <w:rFonts w:ascii="Arabic Typesetting" w:hAnsi="Arabic Typesetting" w:cs="Arabic Typesetting"/>
          <w:noProof/>
          <w:sz w:val="36"/>
          <w:szCs w:val="36"/>
          <w:lang w:bidi="ar-EG"/>
        </w:rPr>
      </w:pPr>
      <w:r>
        <w:rPr>
          <w:rFonts w:ascii="Arabic Typesetting" w:hAnsi="Arabic Typesetting" w:cs="Arabic Typesetting"/>
          <w:noProof/>
          <w:sz w:val="36"/>
          <w:szCs w:val="36"/>
        </w:rPr>
        <w:drawing>
          <wp:inline distT="0" distB="0" distL="0" distR="0" wp14:anchorId="3365C13F" wp14:editId="343BE9E7">
            <wp:extent cx="3606152" cy="216000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06152" cy="2160000"/>
                    </a:xfrm>
                    <a:prstGeom prst="rect">
                      <a:avLst/>
                    </a:prstGeom>
                    <a:noFill/>
                  </pic:spPr>
                </pic:pic>
              </a:graphicData>
            </a:graphic>
          </wp:inline>
        </w:drawing>
      </w:r>
    </w:p>
    <w:tbl>
      <w:tblPr>
        <w:bidiVisual/>
        <w:tblW w:w="5014" w:type="pct"/>
        <w:tblInd w:w="58" w:type="dxa"/>
        <w:tblLayout w:type="fixed"/>
        <w:tblCellMar>
          <w:left w:w="115" w:type="dxa"/>
          <w:right w:w="115" w:type="dxa"/>
        </w:tblCellMar>
        <w:tblLook w:val="0000" w:firstRow="0" w:lastRow="0" w:firstColumn="0" w:lastColumn="0" w:noHBand="0" w:noVBand="0"/>
      </w:tblPr>
      <w:tblGrid>
        <w:gridCol w:w="1950"/>
        <w:gridCol w:w="2690"/>
        <w:gridCol w:w="2027"/>
        <w:gridCol w:w="1841"/>
        <w:gridCol w:w="990"/>
      </w:tblGrid>
      <w:tr w:rsidR="00C31D09" w:rsidRPr="00E90BEC" w14:paraId="7C04776E" w14:textId="77777777" w:rsidTr="004B40B5">
        <w:trPr>
          <w:trHeight w:val="565"/>
        </w:trPr>
        <w:tc>
          <w:tcPr>
            <w:tcW w:w="5000" w:type="pct"/>
            <w:gridSpan w:val="5"/>
            <w:shd w:val="clear" w:color="auto" w:fill="C6D9F1"/>
            <w:tcMar>
              <w:left w:w="58" w:type="dxa"/>
              <w:right w:w="58" w:type="dxa"/>
            </w:tcMar>
            <w:vAlign w:val="center"/>
          </w:tcPr>
          <w:p w14:paraId="4576DCE1" w14:textId="77777777" w:rsidR="00C31D09" w:rsidRPr="00E90BEC" w:rsidRDefault="00C31D09"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E90BEC">
              <w:rPr>
                <w:rFonts w:ascii="Arabic Typesetting" w:eastAsia="Arabic Typesetting" w:hAnsi="Arabic Typesetting" w:cs="Arabic Typesetting"/>
                <w:b/>
                <w:bCs/>
                <w:sz w:val="28"/>
                <w:szCs w:val="28"/>
                <w:rtl/>
                <w:lang w:eastAsia="ar-EG" w:bidi="ar-EG"/>
              </w:rPr>
              <w:t>‏النتيجة المرتقبة:</w:t>
            </w:r>
            <w:r w:rsidRPr="00E90BEC">
              <w:rPr>
                <w:rFonts w:ascii="Arabic Typesetting" w:eastAsia="Arabic Typesetting" w:hAnsi="Arabic Typesetting" w:cs="Arabic Typesetting"/>
                <w:sz w:val="28"/>
                <w:szCs w:val="28"/>
                <w:lang w:eastAsia="ar-EG" w:bidi="ar-EG"/>
              </w:rPr>
              <w:tab/>
            </w:r>
            <w:r w:rsidRPr="00E90BEC">
              <w:rPr>
                <w:rFonts w:ascii="Arabic Typesetting" w:eastAsia="Arabic Typesetting" w:hAnsi="Arabic Typesetting" w:cs="Arabic Typesetting"/>
                <w:color w:val="000000"/>
                <w:sz w:val="28"/>
                <w:szCs w:val="28"/>
                <w:rtl/>
                <w:lang w:eastAsia="ar-EG" w:bidi="ar-EG"/>
              </w:rPr>
              <w:t>ه4.2 استخدام نظام لاهاي على نطاق أوسع وبفعالية أكبر، بما في ذلك من قبل البلدان النامية والبلدان الأقل نموا</w:t>
            </w:r>
          </w:p>
        </w:tc>
      </w:tr>
      <w:tr w:rsidR="00C31D09" w:rsidRPr="00E90BEC" w14:paraId="2F89FF09" w14:textId="77777777" w:rsidTr="004B40B5">
        <w:tc>
          <w:tcPr>
            <w:tcW w:w="1027" w:type="pct"/>
            <w:shd w:val="clear" w:color="auto" w:fill="auto"/>
            <w:tcMar>
              <w:left w:w="58" w:type="dxa"/>
              <w:right w:w="58" w:type="dxa"/>
            </w:tcMar>
            <w:vAlign w:val="center"/>
          </w:tcPr>
          <w:p w14:paraId="5266B30B" w14:textId="77777777" w:rsidR="00C31D09" w:rsidRPr="00E90BEC" w:rsidRDefault="00C31D09" w:rsidP="0031289D">
            <w:pPr>
              <w:keepNext/>
              <w:bidi/>
              <w:spacing w:after="120" w:line="280" w:lineRule="exact"/>
              <w:ind w:right="-57"/>
              <w:rPr>
                <w:rFonts w:ascii="Arabic Typesetting" w:eastAsia="Arabic Typesetting" w:hAnsi="Arabic Typesetting" w:cs="Arabic Typesetting"/>
                <w:b/>
                <w:bCs/>
                <w:sz w:val="28"/>
                <w:szCs w:val="28"/>
                <w:lang w:eastAsia="ar-EG" w:bidi="ar-EG"/>
              </w:rPr>
            </w:pPr>
            <w:r w:rsidRPr="00E90BEC">
              <w:rPr>
                <w:rFonts w:ascii="Arabic Typesetting" w:eastAsia="Arabic Typesetting" w:hAnsi="Arabic Typesetting" w:cs="Arabic Typesetting"/>
                <w:b/>
                <w:bCs/>
                <w:sz w:val="28"/>
                <w:szCs w:val="28"/>
                <w:rtl/>
                <w:lang w:eastAsia="ar-EG" w:bidi="ar-EG"/>
              </w:rPr>
              <w:t>مؤشرات الأداء</w:t>
            </w:r>
          </w:p>
        </w:tc>
        <w:tc>
          <w:tcPr>
            <w:tcW w:w="1416" w:type="pct"/>
            <w:shd w:val="clear" w:color="auto" w:fill="auto"/>
            <w:tcMar>
              <w:left w:w="58" w:type="dxa"/>
              <w:right w:w="58" w:type="dxa"/>
            </w:tcMar>
            <w:vAlign w:val="center"/>
          </w:tcPr>
          <w:p w14:paraId="48EF7F0B" w14:textId="77777777" w:rsidR="00C31D09" w:rsidRPr="00E90BEC" w:rsidRDefault="00C31D09" w:rsidP="0031289D">
            <w:pPr>
              <w:bidi/>
              <w:spacing w:after="120" w:line="280" w:lineRule="exact"/>
              <w:rPr>
                <w:rFonts w:ascii="Arabic Typesetting" w:eastAsia="Arabic Typesetting" w:hAnsi="Arabic Typesetting" w:cs="Arabic Typesetting"/>
                <w:b/>
                <w:bCs/>
                <w:sz w:val="28"/>
                <w:szCs w:val="28"/>
                <w:lang w:eastAsia="ar-EG" w:bidi="ar-EG"/>
              </w:rPr>
            </w:pPr>
            <w:r w:rsidRPr="00E90BEC">
              <w:rPr>
                <w:rFonts w:ascii="Arabic Typesetting" w:eastAsia="Arabic Typesetting" w:hAnsi="Arabic Typesetting" w:cs="Arabic Typesetting"/>
                <w:b/>
                <w:bCs/>
                <w:sz w:val="28"/>
                <w:szCs w:val="28"/>
                <w:rtl/>
                <w:lang w:eastAsia="ar-EG" w:bidi="ar-EG"/>
              </w:rPr>
              <w:t>أسس المقارنة</w:t>
            </w:r>
          </w:p>
        </w:tc>
        <w:tc>
          <w:tcPr>
            <w:tcW w:w="1067" w:type="pct"/>
            <w:shd w:val="clear" w:color="auto" w:fill="auto"/>
            <w:tcMar>
              <w:top w:w="110" w:type="dxa"/>
              <w:left w:w="58" w:type="dxa"/>
              <w:right w:w="58" w:type="dxa"/>
            </w:tcMar>
            <w:vAlign w:val="center"/>
          </w:tcPr>
          <w:p w14:paraId="26E99EDE" w14:textId="77777777" w:rsidR="00C31D09" w:rsidRPr="00E90BEC" w:rsidRDefault="00C31D09" w:rsidP="0031289D">
            <w:pPr>
              <w:bidi/>
              <w:spacing w:after="120" w:line="280" w:lineRule="exact"/>
              <w:rPr>
                <w:rFonts w:ascii="Arabic Typesetting" w:eastAsia="Arabic Typesetting" w:hAnsi="Arabic Typesetting" w:cs="Arabic Typesetting"/>
                <w:b/>
                <w:bCs/>
                <w:sz w:val="28"/>
                <w:szCs w:val="28"/>
                <w:lang w:eastAsia="ar-EG" w:bidi="ar-EG"/>
              </w:rPr>
            </w:pPr>
            <w:r w:rsidRPr="00E90BEC">
              <w:rPr>
                <w:rFonts w:ascii="Arabic Typesetting" w:eastAsia="Arabic Typesetting" w:hAnsi="Arabic Typesetting" w:cs="Arabic Typesetting"/>
                <w:b/>
                <w:bCs/>
                <w:sz w:val="28"/>
                <w:szCs w:val="28"/>
                <w:rtl/>
                <w:lang w:eastAsia="ar-EG" w:bidi="ar-EG"/>
              </w:rPr>
              <w:t>الأهداف</w:t>
            </w:r>
          </w:p>
        </w:tc>
        <w:tc>
          <w:tcPr>
            <w:tcW w:w="969" w:type="pct"/>
            <w:shd w:val="clear" w:color="auto" w:fill="FFFFFF"/>
            <w:tcMar>
              <w:top w:w="110" w:type="dxa"/>
              <w:left w:w="58" w:type="dxa"/>
              <w:right w:w="58" w:type="dxa"/>
            </w:tcMar>
            <w:vAlign w:val="center"/>
          </w:tcPr>
          <w:p w14:paraId="6B806444" w14:textId="77777777" w:rsidR="00C31D09" w:rsidRPr="00E90BEC" w:rsidRDefault="00C31D09" w:rsidP="0031289D">
            <w:pPr>
              <w:bidi/>
              <w:spacing w:after="120" w:line="280" w:lineRule="exact"/>
              <w:rPr>
                <w:rFonts w:ascii="Arabic Typesetting" w:eastAsia="Arabic Typesetting" w:hAnsi="Arabic Typesetting" w:cs="Arabic Typesetting"/>
                <w:b/>
                <w:bCs/>
                <w:sz w:val="28"/>
                <w:szCs w:val="28"/>
                <w:lang w:eastAsia="ar-EG" w:bidi="ar-EG"/>
              </w:rPr>
            </w:pPr>
            <w:r w:rsidRPr="00E90BEC">
              <w:rPr>
                <w:rFonts w:ascii="Arabic Typesetting" w:eastAsia="Arabic Typesetting" w:hAnsi="Arabic Typesetting" w:cs="Arabic Typesetting"/>
                <w:b/>
                <w:bCs/>
                <w:sz w:val="28"/>
                <w:szCs w:val="28"/>
                <w:rtl/>
                <w:lang w:eastAsia="ar-EG" w:bidi="ar-EG"/>
              </w:rPr>
              <w:t>بيانات الأداء</w:t>
            </w:r>
          </w:p>
        </w:tc>
        <w:tc>
          <w:tcPr>
            <w:tcW w:w="521" w:type="pct"/>
            <w:shd w:val="clear" w:color="auto" w:fill="auto"/>
            <w:tcMar>
              <w:top w:w="110" w:type="dxa"/>
              <w:left w:w="58" w:type="dxa"/>
              <w:right w:w="58" w:type="dxa"/>
            </w:tcMar>
            <w:vAlign w:val="center"/>
          </w:tcPr>
          <w:p w14:paraId="379378B1" w14:textId="77777777" w:rsidR="00C31D09" w:rsidRPr="00E90BEC" w:rsidRDefault="00C31D09" w:rsidP="0031289D">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31D09" w:rsidRPr="00E90BEC" w14:paraId="11BD332E" w14:textId="77777777" w:rsidTr="004B40B5">
        <w:trPr>
          <w:trHeight w:val="1522"/>
        </w:trPr>
        <w:tc>
          <w:tcPr>
            <w:tcW w:w="1027" w:type="pct"/>
            <w:shd w:val="clear" w:color="auto" w:fill="auto"/>
            <w:tcMar>
              <w:left w:w="58" w:type="dxa"/>
              <w:right w:w="58" w:type="dxa"/>
            </w:tcMar>
          </w:tcPr>
          <w:p w14:paraId="5C09C2DA" w14:textId="77777777" w:rsidR="00C31D09" w:rsidRPr="00E90BEC" w:rsidRDefault="00C31D09" w:rsidP="0031289D">
            <w:pPr>
              <w:bidi/>
              <w:spacing w:after="120" w:line="280" w:lineRule="exact"/>
              <w:ind w:right="-57"/>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عضوية وثيقة جنيف (1999)</w:t>
            </w:r>
          </w:p>
        </w:tc>
        <w:tc>
          <w:tcPr>
            <w:tcW w:w="1416" w:type="pct"/>
            <w:shd w:val="clear" w:color="auto" w:fill="auto"/>
            <w:tcMar>
              <w:left w:w="58" w:type="dxa"/>
              <w:right w:w="58" w:type="dxa"/>
            </w:tcMar>
          </w:tcPr>
          <w:p w14:paraId="7D850314" w14:textId="77777777" w:rsidR="00C31D09" w:rsidRDefault="00C31D09" w:rsidP="0031289D">
            <w:pPr>
              <w:bidi/>
              <w:spacing w:after="120" w:line="280" w:lineRule="exact"/>
              <w:rPr>
                <w:rFonts w:ascii="Arabic Typesetting" w:eastAsia="Arabic Typesetting" w:hAnsi="Arabic Typesetting" w:cs="Arabic Typesetting"/>
                <w:color w:val="002060"/>
                <w:sz w:val="28"/>
                <w:szCs w:val="28"/>
                <w:lang w:eastAsia="ar-EG" w:bidi="ar-EG"/>
              </w:rPr>
            </w:pPr>
            <w:r w:rsidRPr="00E90BEC">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color w:val="002060"/>
                <w:sz w:val="28"/>
                <w:szCs w:val="28"/>
                <w:rtl/>
                <w:lang w:eastAsia="ar-EG" w:bidi="ar-EG"/>
              </w:rPr>
              <w:t>50 طرفاً متعاقداً</w:t>
            </w:r>
          </w:p>
          <w:p w14:paraId="72D406F4"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E90BEC">
              <w:rPr>
                <w:rFonts w:ascii="Arabic Typesetting" w:eastAsia="Arabic Typesetting" w:hAnsi="Arabic Typesetting" w:cs="Arabic Typesetting"/>
                <w:i/>
                <w:iCs/>
                <w:sz w:val="28"/>
                <w:szCs w:val="28"/>
                <w:rtl/>
                <w:lang w:eastAsia="ar-EG" w:bidi="ar-EG"/>
              </w:rPr>
              <w:t>:</w:t>
            </w:r>
            <w:r w:rsidRPr="00E90BEC">
              <w:rPr>
                <w:rFonts w:ascii="Arabic Typesetting" w:eastAsia="Arabic Typesetting" w:hAnsi="Arabic Typesetting" w:cs="Arabic Typesetting"/>
                <w:i/>
                <w:sz w:val="28"/>
                <w:szCs w:val="28"/>
                <w:lang w:eastAsia="ar-EG" w:bidi="ar-EG"/>
              </w:rPr>
              <w:br/>
            </w:r>
            <w:r w:rsidRPr="00E90BEC">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E90BEC">
              <w:rPr>
                <w:rFonts w:ascii="Arabic Typesetting" w:eastAsia="Arabic Typesetting" w:hAnsi="Arabic Typesetting" w:cs="Arabic Typesetting"/>
                <w:color w:val="000000"/>
                <w:sz w:val="28"/>
                <w:szCs w:val="28"/>
                <w:rtl/>
                <w:lang w:eastAsia="ar-EG" w:bidi="ar-EG"/>
              </w:rPr>
              <w:t>‏49 ط</w:t>
            </w:r>
            <w:r>
              <w:rPr>
                <w:rFonts w:ascii="Arabic Typesetting" w:eastAsia="Arabic Typesetting" w:hAnsi="Arabic Typesetting" w:cs="Arabic Typesetting"/>
                <w:color w:val="000000"/>
                <w:sz w:val="28"/>
                <w:szCs w:val="28"/>
                <w:rtl/>
                <w:lang w:eastAsia="ar-EG" w:bidi="ar-EG"/>
              </w:rPr>
              <w:t>رفاً متعاقداً في 13 فبراير 2015</w:t>
            </w:r>
          </w:p>
        </w:tc>
        <w:tc>
          <w:tcPr>
            <w:tcW w:w="1067" w:type="pct"/>
            <w:shd w:val="clear" w:color="auto" w:fill="auto"/>
            <w:tcMar>
              <w:top w:w="110" w:type="dxa"/>
              <w:left w:w="58" w:type="dxa"/>
              <w:right w:w="58" w:type="dxa"/>
            </w:tcMar>
          </w:tcPr>
          <w:p w14:paraId="4B1BC609"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60 طرفاً متعاقداً</w:t>
            </w:r>
          </w:p>
        </w:tc>
        <w:tc>
          <w:tcPr>
            <w:tcW w:w="969" w:type="pct"/>
            <w:shd w:val="clear" w:color="auto" w:fill="FFFFFF"/>
            <w:tcMar>
              <w:top w:w="110" w:type="dxa"/>
              <w:left w:w="58" w:type="dxa"/>
              <w:right w:w="58" w:type="dxa"/>
            </w:tcMar>
          </w:tcPr>
          <w:p w14:paraId="038929CE"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52 طرفاً متعاقداً</w:t>
            </w:r>
          </w:p>
        </w:tc>
        <w:tc>
          <w:tcPr>
            <w:tcW w:w="521" w:type="pct"/>
            <w:shd w:val="clear" w:color="auto" w:fill="auto"/>
            <w:tcMar>
              <w:top w:w="110" w:type="dxa"/>
              <w:left w:w="58" w:type="dxa"/>
              <w:right w:w="58" w:type="dxa"/>
            </w:tcMar>
          </w:tcPr>
          <w:p w14:paraId="401571D8" w14:textId="77777777" w:rsidR="00C31D09" w:rsidRPr="00E90BEC" w:rsidRDefault="00C31D09" w:rsidP="0031289D">
            <w:pPr>
              <w:bidi/>
              <w:spacing w:after="120" w:line="280" w:lineRule="exact"/>
              <w:jc w:val="center"/>
              <w:rPr>
                <w:rFonts w:ascii="Arabic Typesetting" w:eastAsia="Arabic Typesetting" w:hAnsi="Arabic Typesetting" w:cs="Arabic Typesetting"/>
                <w:b/>
                <w:color w:val="FF0000"/>
                <w:sz w:val="28"/>
                <w:szCs w:val="28"/>
                <w:lang w:eastAsia="ar-EG" w:bidi="ar-EG"/>
              </w:rPr>
            </w:pPr>
            <w:r w:rsidRPr="00E90BEC">
              <w:rPr>
                <w:rFonts w:ascii="Arabic Typesetting" w:eastAsia="Arabic Typesetting" w:hAnsi="Arabic Typesetting" w:cs="Arabic Typesetting"/>
                <w:b/>
                <w:bCs/>
                <w:color w:val="FF0000"/>
                <w:sz w:val="28"/>
                <w:szCs w:val="28"/>
                <w:rtl/>
                <w:lang w:eastAsia="ar-EG" w:bidi="ar-EG"/>
              </w:rPr>
              <w:t>غير ثابت</w:t>
            </w:r>
          </w:p>
        </w:tc>
      </w:tr>
      <w:tr w:rsidR="00C31D09" w:rsidRPr="00E90BEC" w14:paraId="4EF9C2EE" w14:textId="77777777" w:rsidTr="004B40B5">
        <w:trPr>
          <w:trHeight w:val="2649"/>
        </w:trPr>
        <w:tc>
          <w:tcPr>
            <w:tcW w:w="1027" w:type="pct"/>
            <w:shd w:val="clear" w:color="auto" w:fill="auto"/>
            <w:tcMar>
              <w:left w:w="58" w:type="dxa"/>
              <w:right w:w="58" w:type="dxa"/>
            </w:tcMar>
          </w:tcPr>
          <w:p w14:paraId="226118AC" w14:textId="77777777" w:rsidR="00C31D09" w:rsidRPr="00E90BEC" w:rsidRDefault="00C31D09" w:rsidP="0031289D">
            <w:pPr>
              <w:bidi/>
              <w:spacing w:after="120" w:line="280" w:lineRule="exact"/>
              <w:ind w:right="-57"/>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حصة المكاتب المعنية التي تقدم م</w:t>
            </w:r>
            <w:r>
              <w:rPr>
                <w:rFonts w:ascii="Arabic Typesetting" w:eastAsia="Arabic Typesetting" w:hAnsi="Arabic Typesetting" w:cs="Arabic Typesetting"/>
                <w:color w:val="000000"/>
                <w:sz w:val="28"/>
                <w:szCs w:val="28"/>
                <w:rtl/>
                <w:lang w:eastAsia="ar-EG" w:bidi="ar-EG"/>
              </w:rPr>
              <w:t>علومات عن نظام لاهاي لمستخدميها</w:t>
            </w:r>
          </w:p>
        </w:tc>
        <w:tc>
          <w:tcPr>
            <w:tcW w:w="1416" w:type="pct"/>
            <w:shd w:val="clear" w:color="auto" w:fill="auto"/>
            <w:tcMar>
              <w:left w:w="58" w:type="dxa"/>
              <w:right w:w="58" w:type="dxa"/>
            </w:tcMar>
          </w:tcPr>
          <w:p w14:paraId="01FC315D" w14:textId="77777777" w:rsidR="00C31D09" w:rsidRDefault="00C31D09" w:rsidP="0031289D">
            <w:pPr>
              <w:bidi/>
              <w:spacing w:after="120" w:line="280" w:lineRule="exact"/>
              <w:rPr>
                <w:rFonts w:ascii="Arabic Typesetting" w:eastAsia="Arabic Typesetting" w:hAnsi="Arabic Typesetting" w:cs="Arabic Typesetting"/>
                <w:sz w:val="28"/>
                <w:szCs w:val="28"/>
                <w:lang w:eastAsia="ar-EG" w:bidi="ar-EG"/>
              </w:rPr>
            </w:pPr>
            <w:r w:rsidRPr="00E90BEC">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E90BEC">
              <w:rPr>
                <w:rFonts w:ascii="Arabic Typesetting" w:eastAsia="Arabic Typesetting" w:hAnsi="Arabic Typesetting" w:cs="Arabic Typesetting"/>
                <w:color w:val="002060"/>
                <w:sz w:val="28"/>
                <w:szCs w:val="28"/>
                <w:rtl/>
                <w:lang w:eastAsia="ar-EG" w:bidi="ar-EG"/>
              </w:rPr>
              <w:t>‏كان 47 مكتباً وطنياً أو إقليمياً يُقدِّم معلومات عن نظام لاهاي.</w:t>
            </w:r>
            <w:r>
              <w:rPr>
                <w:rFonts w:ascii="Arabic Typesetting" w:eastAsia="Arabic Typesetting" w:hAnsi="Arabic Typesetting" w:cs="Arabic Typesetting"/>
                <w:color w:val="002060"/>
                <w:sz w:val="28"/>
                <w:szCs w:val="28"/>
                <w:rtl/>
                <w:lang w:eastAsia="ar-EG" w:bidi="ar-EG"/>
              </w:rPr>
              <w:t xml:space="preserve"> </w:t>
            </w:r>
            <w:r w:rsidRPr="00E90BEC">
              <w:rPr>
                <w:rFonts w:ascii="Arabic Typesetting" w:eastAsia="Arabic Typesetting" w:hAnsi="Arabic Typesetting" w:cs="Arabic Typesetting"/>
                <w:color w:val="002060"/>
                <w:sz w:val="28"/>
                <w:szCs w:val="28"/>
                <w:rtl/>
                <w:lang w:eastAsia="ar-EG" w:bidi="ar-EG"/>
              </w:rPr>
              <w:t>ولم تمتلك عشرة مكاتب موقعاً إلكترونياً.</w:t>
            </w:r>
          </w:p>
          <w:p w14:paraId="42FE7D13"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E90BEC">
              <w:rPr>
                <w:rFonts w:ascii="Arabic Typesetting" w:eastAsia="Arabic Typesetting" w:hAnsi="Arabic Typesetting" w:cs="Arabic Typesetting"/>
                <w:i/>
                <w:iCs/>
                <w:sz w:val="28"/>
                <w:szCs w:val="28"/>
                <w:rtl/>
                <w:lang w:eastAsia="ar-EG" w:bidi="ar-EG"/>
              </w:rPr>
              <w:t>:</w:t>
            </w:r>
            <w:r w:rsidRPr="00E90BEC">
              <w:rPr>
                <w:rFonts w:ascii="Arabic Typesetting" w:eastAsia="Arabic Typesetting" w:hAnsi="Arabic Typesetting" w:cs="Arabic Typesetting"/>
                <w:i/>
                <w:sz w:val="28"/>
                <w:szCs w:val="28"/>
                <w:lang w:eastAsia="ar-EG" w:bidi="ar-EG"/>
              </w:rPr>
              <w:br/>
            </w:r>
            <w:r w:rsidRPr="00E90BEC">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E90BEC">
              <w:rPr>
                <w:rFonts w:ascii="Arabic Typesetting" w:eastAsia="Arabic Typesetting" w:hAnsi="Arabic Typesetting" w:cs="Arabic Typesetting"/>
                <w:color w:val="000000"/>
                <w:sz w:val="28"/>
                <w:szCs w:val="28"/>
                <w:rtl/>
                <w:lang w:eastAsia="ar-EG" w:bidi="ar-EG"/>
              </w:rPr>
              <w:t>‏كان 38 مكتباً وطنياً أو إقليمياً يُقدِّم معلومات عن نظام لاهاي.</w:t>
            </w:r>
            <w:r>
              <w:rPr>
                <w:rFonts w:ascii="Arabic Typesetting" w:eastAsia="Arabic Typesetting" w:hAnsi="Arabic Typesetting" w:cs="Arabic Typesetting"/>
                <w:color w:val="000000"/>
                <w:sz w:val="28"/>
                <w:szCs w:val="28"/>
                <w:rtl/>
                <w:lang w:eastAsia="ar-EG" w:bidi="ar-EG"/>
              </w:rPr>
              <w:t xml:space="preserve"> </w:t>
            </w:r>
            <w:r w:rsidRPr="00E90BEC">
              <w:rPr>
                <w:rFonts w:ascii="Arabic Typesetting" w:eastAsia="Arabic Typesetting" w:hAnsi="Arabic Typesetting" w:cs="Arabic Typesetting"/>
                <w:color w:val="000000"/>
                <w:sz w:val="28"/>
                <w:szCs w:val="28"/>
                <w:rtl/>
                <w:lang w:eastAsia="ar-EG" w:bidi="ar-EG"/>
              </w:rPr>
              <w:t>عشرة مكاتب ليس لها موقع على شبكة الإنترنت (نهاية</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2014)</w:t>
            </w:r>
          </w:p>
        </w:tc>
        <w:tc>
          <w:tcPr>
            <w:tcW w:w="1067" w:type="pct"/>
            <w:shd w:val="clear" w:color="auto" w:fill="auto"/>
            <w:tcMar>
              <w:top w:w="110" w:type="dxa"/>
              <w:left w:w="58" w:type="dxa"/>
              <w:right w:w="58" w:type="dxa"/>
            </w:tcMar>
          </w:tcPr>
          <w:p w14:paraId="381115E6"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زيادة حصة المكاتب التي تُقدِّم معلومات عن نظام لاهاي.</w:t>
            </w:r>
          </w:p>
        </w:tc>
        <w:tc>
          <w:tcPr>
            <w:tcW w:w="969" w:type="pct"/>
            <w:shd w:val="clear" w:color="auto" w:fill="FFFFFF"/>
            <w:tcMar>
              <w:top w:w="110" w:type="dxa"/>
              <w:left w:w="58" w:type="dxa"/>
              <w:right w:w="58" w:type="dxa"/>
            </w:tcMar>
          </w:tcPr>
          <w:p w14:paraId="0281FACA"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في نهاية 2016، كان 48 مكتباً وطنياً أو إقليمياً يقدم معلومات عن نظام لاهاي.</w:t>
            </w:r>
            <w:r>
              <w:rPr>
                <w:rFonts w:ascii="Arabic Typesetting" w:eastAsia="Arabic Typesetting" w:hAnsi="Arabic Typesetting" w:cs="Arabic Typesetting"/>
                <w:color w:val="000000"/>
                <w:sz w:val="28"/>
                <w:szCs w:val="28"/>
                <w:rtl/>
                <w:lang w:eastAsia="ar-EG" w:bidi="ar-EG"/>
              </w:rPr>
              <w:t xml:space="preserve"> </w:t>
            </w:r>
            <w:r w:rsidRPr="00E90BEC">
              <w:rPr>
                <w:rFonts w:ascii="Arabic Typesetting" w:eastAsia="Arabic Typesetting" w:hAnsi="Arabic Typesetting" w:cs="Arabic Typesetting"/>
                <w:color w:val="000000"/>
                <w:sz w:val="28"/>
                <w:szCs w:val="28"/>
                <w:rtl/>
                <w:lang w:eastAsia="ar-EG" w:bidi="ar-EG"/>
              </w:rPr>
              <w:t xml:space="preserve">ولم تمتلك </w:t>
            </w:r>
            <w:r>
              <w:rPr>
                <w:rFonts w:ascii="Arabic Typesetting" w:eastAsia="Arabic Typesetting" w:hAnsi="Arabic Typesetting" w:cs="Arabic Typesetting" w:hint="cs"/>
                <w:color w:val="000000"/>
                <w:sz w:val="28"/>
                <w:szCs w:val="28"/>
                <w:rtl/>
                <w:lang w:eastAsia="ar-EG" w:bidi="ar-EG"/>
              </w:rPr>
              <w:t>عشرة</w:t>
            </w:r>
            <w:r w:rsidRPr="00E90BEC">
              <w:rPr>
                <w:rFonts w:ascii="Arabic Typesetting" w:eastAsia="Arabic Typesetting" w:hAnsi="Arabic Typesetting" w:cs="Arabic Typesetting"/>
                <w:color w:val="000000"/>
                <w:sz w:val="28"/>
                <w:szCs w:val="28"/>
                <w:rtl/>
                <w:lang w:eastAsia="ar-EG" w:bidi="ar-EG"/>
              </w:rPr>
              <w:t xml:space="preserve"> مكاتب موقعاً إلكترونياً.</w:t>
            </w:r>
          </w:p>
        </w:tc>
        <w:tc>
          <w:tcPr>
            <w:tcW w:w="521" w:type="pct"/>
            <w:shd w:val="clear" w:color="auto" w:fill="auto"/>
            <w:tcMar>
              <w:top w:w="110" w:type="dxa"/>
              <w:left w:w="58" w:type="dxa"/>
              <w:right w:w="58" w:type="dxa"/>
            </w:tcMar>
          </w:tcPr>
          <w:p w14:paraId="4F7ECFE1" w14:textId="77777777" w:rsidR="00C31D09" w:rsidRPr="00E90BEC" w:rsidRDefault="00C31D09" w:rsidP="0031289D">
            <w:pPr>
              <w:bidi/>
              <w:spacing w:after="120" w:line="280" w:lineRule="exact"/>
              <w:jc w:val="center"/>
              <w:rPr>
                <w:rFonts w:ascii="Arabic Typesetting" w:eastAsia="Arabic Typesetting" w:hAnsi="Arabic Typesetting" w:cs="Arabic Typesetting"/>
                <w:color w:val="00B050"/>
                <w:sz w:val="28"/>
                <w:szCs w:val="28"/>
                <w:lang w:eastAsia="ar-EG" w:bidi="ar-EG"/>
              </w:rPr>
            </w:pPr>
            <w:r w:rsidRPr="00E90BEC">
              <w:rPr>
                <w:rFonts w:ascii="Arabic Typesetting" w:eastAsia="Arabic Typesetting" w:hAnsi="Arabic Typesetting" w:cs="Arabic Typesetting"/>
                <w:b/>
                <w:bCs/>
                <w:color w:val="00B050"/>
                <w:sz w:val="28"/>
                <w:szCs w:val="28"/>
                <w:rtl/>
                <w:lang w:eastAsia="ar-EG" w:bidi="ar-EG"/>
              </w:rPr>
              <w:t>ثابت</w:t>
            </w:r>
          </w:p>
        </w:tc>
      </w:tr>
      <w:tr w:rsidR="00C31D09" w:rsidRPr="00E90BEC" w14:paraId="2E77218E" w14:textId="77777777" w:rsidTr="004B40B5">
        <w:trPr>
          <w:cantSplit/>
          <w:trHeight w:val="2514"/>
        </w:trPr>
        <w:tc>
          <w:tcPr>
            <w:tcW w:w="1027" w:type="pct"/>
            <w:shd w:val="clear" w:color="auto" w:fill="auto"/>
            <w:tcMar>
              <w:left w:w="58" w:type="dxa"/>
              <w:right w:w="58" w:type="dxa"/>
            </w:tcMar>
          </w:tcPr>
          <w:p w14:paraId="5EB80D49" w14:textId="77777777" w:rsidR="00C31D09" w:rsidRPr="00E90BEC" w:rsidRDefault="00C31D09" w:rsidP="0031289D">
            <w:pPr>
              <w:bidi/>
              <w:spacing w:after="120" w:line="280" w:lineRule="exact"/>
              <w:ind w:right="-57"/>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إيداعات وتجديدات في نظام</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لاهاي</w:t>
            </w:r>
          </w:p>
        </w:tc>
        <w:tc>
          <w:tcPr>
            <w:tcW w:w="1416" w:type="pct"/>
            <w:shd w:val="clear" w:color="auto" w:fill="auto"/>
            <w:tcMar>
              <w:left w:w="58" w:type="dxa"/>
              <w:right w:w="58" w:type="dxa"/>
            </w:tcMar>
          </w:tcPr>
          <w:p w14:paraId="55E287C7" w14:textId="387432DB" w:rsidR="00C31D09" w:rsidRDefault="00C31D09" w:rsidP="00B17489">
            <w:pPr>
              <w:bidi/>
              <w:spacing w:after="120" w:line="280" w:lineRule="exact"/>
              <w:rPr>
                <w:rFonts w:ascii="Arabic Typesetting" w:eastAsia="Arabic Typesetting" w:hAnsi="Arabic Typesetting" w:cs="Arabic Typesetting"/>
                <w:color w:val="002060"/>
                <w:sz w:val="28"/>
                <w:szCs w:val="28"/>
                <w:lang w:eastAsia="ar-EG" w:bidi="ar-EG"/>
              </w:rPr>
            </w:pPr>
            <w:r w:rsidRPr="00E90BEC">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E90BEC">
              <w:rPr>
                <w:rFonts w:ascii="Arabic Typesetting" w:eastAsia="Arabic Typesetting" w:hAnsi="Arabic Typesetting" w:cs="Arabic Typesetting"/>
                <w:color w:val="002060"/>
                <w:sz w:val="28"/>
                <w:szCs w:val="28"/>
                <w:rtl/>
                <w:lang w:eastAsia="ar-EG" w:bidi="ar-EG"/>
              </w:rPr>
              <w:t>الطلبات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B17489">
              <w:rPr>
                <w:rFonts w:ascii="Arabic Typesetting" w:eastAsia="Arabic Typesetting" w:hAnsi="Arabic Typesetting" w:cs="Arabic Typesetting" w:hint="cs"/>
                <w:color w:val="002060"/>
                <w:sz w:val="28"/>
                <w:szCs w:val="28"/>
                <w:rtl/>
                <w:lang w:eastAsia="ar-EG" w:bidi="ar-EG"/>
              </w:rPr>
              <w:t>111 4</w:t>
            </w:r>
            <w:r w:rsidRPr="00E90BEC">
              <w:rPr>
                <w:rFonts w:ascii="Arabic Typesetting" w:eastAsia="Arabic Typesetting" w:hAnsi="Arabic Typesetting" w:cs="Arabic Typesetting"/>
                <w:color w:val="002060"/>
                <w:sz w:val="28"/>
                <w:szCs w:val="28"/>
                <w:lang w:eastAsia="ar-EG" w:bidi="ar-EG"/>
              </w:rPr>
              <w:br/>
            </w:r>
            <w:r w:rsidRPr="00E90BEC">
              <w:rPr>
                <w:rFonts w:ascii="Arabic Typesetting" w:eastAsia="Arabic Typesetting" w:hAnsi="Arabic Typesetting" w:cs="Arabic Typesetting"/>
                <w:color w:val="002060"/>
                <w:sz w:val="28"/>
                <w:szCs w:val="28"/>
                <w:rtl/>
                <w:lang w:eastAsia="ar-EG" w:bidi="ar-EG"/>
              </w:rPr>
              <w:t>التصاميم المدرجة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B17489">
              <w:rPr>
                <w:rFonts w:ascii="Arabic Typesetting" w:eastAsia="Arabic Typesetting" w:hAnsi="Arabic Typesetting" w:cs="Arabic Typesetting" w:hint="cs"/>
                <w:color w:val="002060"/>
                <w:sz w:val="28"/>
                <w:szCs w:val="28"/>
                <w:rtl/>
                <w:lang w:eastAsia="ar-EG" w:bidi="ar-EG"/>
              </w:rPr>
              <w:t>435 16</w:t>
            </w:r>
            <w:r w:rsidRPr="00E90BEC">
              <w:rPr>
                <w:rFonts w:ascii="Arabic Typesetting" w:eastAsia="Arabic Typesetting" w:hAnsi="Arabic Typesetting" w:cs="Arabic Typesetting"/>
                <w:color w:val="002060"/>
                <w:sz w:val="28"/>
                <w:szCs w:val="28"/>
                <w:lang w:eastAsia="ar-EG" w:bidi="ar-EG"/>
              </w:rPr>
              <w:br/>
            </w:r>
            <w:r w:rsidRPr="00E90BEC">
              <w:rPr>
                <w:rFonts w:ascii="Arabic Typesetting" w:eastAsia="Arabic Typesetting" w:hAnsi="Arabic Typesetting" w:cs="Arabic Typesetting"/>
                <w:color w:val="002060"/>
                <w:sz w:val="28"/>
                <w:szCs w:val="28"/>
                <w:rtl/>
                <w:lang w:eastAsia="ar-EG" w:bidi="ar-EG"/>
              </w:rPr>
              <w:t>التجديدات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B17489">
              <w:rPr>
                <w:rFonts w:ascii="Arabic Typesetting" w:eastAsia="Arabic Typesetting" w:hAnsi="Arabic Typesetting" w:cs="Arabic Typesetting" w:hint="cs"/>
                <w:color w:val="002060"/>
                <w:sz w:val="28"/>
                <w:szCs w:val="28"/>
                <w:rtl/>
                <w:lang w:eastAsia="ar-EG" w:bidi="ar-EG"/>
              </w:rPr>
              <w:t>3194</w:t>
            </w:r>
          </w:p>
          <w:p w14:paraId="6E7FCA76" w14:textId="59188412" w:rsidR="00C31D09" w:rsidRPr="00E90BEC" w:rsidRDefault="00C31D09" w:rsidP="00B17489">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E90BEC">
              <w:rPr>
                <w:rFonts w:ascii="Arabic Typesetting" w:eastAsia="Arabic Typesetting" w:hAnsi="Arabic Typesetting" w:cs="Arabic Typesetting"/>
                <w:i/>
                <w:iCs/>
                <w:sz w:val="28"/>
                <w:szCs w:val="28"/>
                <w:rtl/>
                <w:lang w:eastAsia="ar-EG" w:bidi="ar-EG"/>
              </w:rPr>
              <w:t>:</w:t>
            </w:r>
            <w:r w:rsidRPr="00E90BEC">
              <w:rPr>
                <w:rFonts w:ascii="Arabic Typesetting" w:eastAsia="Arabic Typesetting" w:hAnsi="Arabic Typesetting" w:cs="Arabic Typesetting"/>
                <w:i/>
                <w:sz w:val="28"/>
                <w:szCs w:val="28"/>
                <w:lang w:eastAsia="ar-EG" w:bidi="ar-EG"/>
              </w:rPr>
              <w:br/>
            </w:r>
            <w:r w:rsidRPr="00E90BEC">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00B17489">
              <w:rPr>
                <w:rFonts w:ascii="Arabic Typesetting" w:eastAsia="Arabic Typesetting" w:hAnsi="Arabic Typesetting" w:cs="Arabic Typesetting" w:hint="cs"/>
                <w:color w:val="000000"/>
                <w:sz w:val="28"/>
                <w:szCs w:val="28"/>
                <w:rtl/>
                <w:lang w:eastAsia="ar-EG" w:bidi="ar-EG"/>
              </w:rPr>
              <w:t>2924</w:t>
            </w:r>
            <w:r w:rsidRPr="00E90BEC">
              <w:rPr>
                <w:rFonts w:ascii="Arabic Typesetting" w:eastAsia="Arabic Typesetting" w:hAnsi="Arabic Typesetting" w:cs="Arabic Typesetting"/>
                <w:color w:val="000000"/>
                <w:sz w:val="28"/>
                <w:szCs w:val="28"/>
                <w:rtl/>
                <w:lang w:eastAsia="ar-EG" w:bidi="ar-EG"/>
              </w:rPr>
              <w:t xml:space="preserve"> طلباً</w:t>
            </w:r>
            <w:r w:rsidRPr="00E90BEC">
              <w:rPr>
                <w:rFonts w:ascii="Arabic Typesetting" w:eastAsia="Arabic Typesetting" w:hAnsi="Arabic Typesetting" w:cs="Arabic Typesetting"/>
                <w:color w:val="000000"/>
                <w:sz w:val="28"/>
                <w:szCs w:val="28"/>
                <w:lang w:eastAsia="ar-EG" w:bidi="ar-EG"/>
              </w:rPr>
              <w:br/>
            </w:r>
            <w:r w:rsidRPr="00E90BEC">
              <w:rPr>
                <w:rFonts w:ascii="Arabic Typesetting" w:eastAsia="Arabic Typesetting" w:hAnsi="Arabic Typesetting" w:cs="Arabic Typesetting"/>
                <w:color w:val="000000"/>
                <w:sz w:val="28"/>
                <w:szCs w:val="28"/>
                <w:rtl/>
                <w:lang w:eastAsia="ar-EG" w:bidi="ar-EG"/>
              </w:rPr>
              <w:t>التصاميم المدرجة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B17489">
              <w:rPr>
                <w:rFonts w:ascii="Arabic Typesetting" w:eastAsia="Arabic Typesetting" w:hAnsi="Arabic Typesetting" w:cs="Arabic Typesetting" w:hint="cs"/>
                <w:color w:val="000000"/>
                <w:sz w:val="28"/>
                <w:szCs w:val="28"/>
                <w:rtl/>
                <w:lang w:eastAsia="ar-EG" w:bidi="ar-EG"/>
              </w:rPr>
              <w:t>441 14</w:t>
            </w:r>
            <w:r w:rsidRPr="00E90BEC">
              <w:rPr>
                <w:rFonts w:ascii="Arabic Typesetting" w:eastAsia="Arabic Typesetting" w:hAnsi="Arabic Typesetting" w:cs="Arabic Typesetting"/>
                <w:color w:val="000000"/>
                <w:sz w:val="28"/>
                <w:szCs w:val="28"/>
                <w:lang w:eastAsia="ar-EG" w:bidi="ar-EG"/>
              </w:rPr>
              <w:br/>
            </w:r>
            <w:r w:rsidRPr="00E90BEC">
              <w:rPr>
                <w:rFonts w:ascii="Arabic Typesetting" w:eastAsia="Arabic Typesetting" w:hAnsi="Arabic Typesetting" w:cs="Arabic Typesetting"/>
                <w:color w:val="000000"/>
                <w:sz w:val="28"/>
                <w:szCs w:val="28"/>
                <w:rtl/>
                <w:lang w:eastAsia="ar-EG" w:bidi="ar-EG"/>
              </w:rPr>
              <w:t>التجديدات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B17489">
              <w:rPr>
                <w:rFonts w:ascii="Arabic Typesetting" w:eastAsia="Arabic Typesetting" w:hAnsi="Arabic Typesetting" w:cs="Arabic Typesetting" w:hint="cs"/>
                <w:color w:val="000000"/>
                <w:sz w:val="28"/>
                <w:szCs w:val="28"/>
                <w:rtl/>
                <w:lang w:eastAsia="ar-EG" w:bidi="ar-EG"/>
              </w:rPr>
              <w:t>2703</w:t>
            </w:r>
            <w:r w:rsidRPr="00E90BEC">
              <w:rPr>
                <w:rFonts w:ascii="Arabic Typesetting" w:eastAsia="Arabic Typesetting" w:hAnsi="Arabic Typesetting" w:cs="Arabic Typesetting"/>
                <w:color w:val="000000"/>
                <w:sz w:val="28"/>
                <w:szCs w:val="28"/>
                <w:rtl/>
                <w:lang w:eastAsia="ar-EG" w:bidi="ar-EG"/>
              </w:rPr>
              <w:t xml:space="preserve"> (2014)</w:t>
            </w:r>
          </w:p>
        </w:tc>
        <w:tc>
          <w:tcPr>
            <w:tcW w:w="1067" w:type="pct"/>
            <w:shd w:val="clear" w:color="auto" w:fill="auto"/>
            <w:tcMar>
              <w:top w:w="110" w:type="dxa"/>
              <w:left w:w="58" w:type="dxa"/>
              <w:right w:w="58" w:type="dxa"/>
            </w:tcMar>
          </w:tcPr>
          <w:p w14:paraId="378703A8" w14:textId="713F1F14" w:rsidR="00C31D09" w:rsidRDefault="00C31D09" w:rsidP="00B17489">
            <w:pPr>
              <w:bidi/>
              <w:spacing w:after="120" w:line="280" w:lineRule="exact"/>
              <w:ind w:right="-56"/>
              <w:rPr>
                <w:rFonts w:ascii="Arabic Typesetting" w:eastAsia="Arabic Typesetting" w:hAnsi="Arabic Typesetting" w:cs="Arabic Typesetting"/>
                <w:color w:val="000000"/>
                <w:sz w:val="28"/>
                <w:szCs w:val="28"/>
                <w:rtl/>
                <w:lang w:eastAsia="ar-EG" w:bidi="ar-EG"/>
              </w:rPr>
            </w:pPr>
            <w:r w:rsidRPr="00E90BEC">
              <w:rPr>
                <w:rFonts w:ascii="Arabic Typesetting" w:eastAsia="Arabic Typesetting" w:hAnsi="Arabic Typesetting" w:cs="Arabic Typesetting"/>
                <w:color w:val="000000"/>
                <w:sz w:val="28"/>
                <w:szCs w:val="28"/>
                <w:u w:val="single"/>
                <w:rtl/>
                <w:lang w:eastAsia="ar-EG" w:bidi="ar-EG"/>
              </w:rPr>
              <w:t>2016</w:t>
            </w:r>
            <w:r w:rsidRPr="00E90BEC">
              <w:rPr>
                <w:rFonts w:ascii="Arabic Typesetting" w:eastAsia="Arabic Typesetting" w:hAnsi="Arabic Typesetting" w:cs="Arabic Typesetting"/>
                <w:sz w:val="28"/>
                <w:szCs w:val="28"/>
                <w:lang w:eastAsia="ar-EG" w:bidi="ar-EG"/>
              </w:rPr>
              <w:br/>
            </w:r>
            <w:r w:rsidRPr="00E90BEC">
              <w:rPr>
                <w:rFonts w:ascii="Arabic Typesetting" w:eastAsia="Arabic Typesetting" w:hAnsi="Arabic Typesetting" w:cs="Arabic Typesetting"/>
                <w:sz w:val="28"/>
                <w:szCs w:val="28"/>
                <w:rtl/>
                <w:lang w:eastAsia="ar-EG" w:bidi="ar-EG"/>
              </w:rPr>
              <w:t>الطلبات</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00B17489">
              <w:rPr>
                <w:rFonts w:ascii="Arabic Typesetting" w:eastAsia="Arabic Typesetting" w:hAnsi="Arabic Typesetting" w:cs="Arabic Typesetting" w:hint="cs"/>
                <w:color w:val="000000"/>
                <w:sz w:val="28"/>
                <w:szCs w:val="28"/>
                <w:rtl/>
                <w:lang w:eastAsia="ar-EG" w:bidi="ar-EG"/>
              </w:rPr>
              <w:t>4940</w:t>
            </w:r>
            <w:r w:rsidRPr="00E90BEC">
              <w:rPr>
                <w:rFonts w:ascii="Arabic Typesetting" w:eastAsia="Arabic Typesetting" w:hAnsi="Arabic Typesetting" w:cs="Arabic Typesetting"/>
                <w:color w:val="000000"/>
                <w:sz w:val="28"/>
                <w:szCs w:val="28"/>
                <w:lang w:eastAsia="ar-EG" w:bidi="ar-EG"/>
              </w:rPr>
              <w:br/>
            </w:r>
            <w:r w:rsidRPr="00E90BEC">
              <w:rPr>
                <w:rFonts w:ascii="Arabic Typesetting" w:eastAsia="Arabic Typesetting" w:hAnsi="Arabic Typesetting" w:cs="Arabic Typesetting"/>
                <w:color w:val="000000"/>
                <w:sz w:val="28"/>
                <w:szCs w:val="28"/>
                <w:rtl/>
                <w:lang w:eastAsia="ar-EG" w:bidi="ar-EG"/>
              </w:rPr>
              <w:t>التصاميم المدرجة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B17489">
              <w:rPr>
                <w:rFonts w:ascii="Arabic Typesetting" w:eastAsia="Arabic Typesetting" w:hAnsi="Arabic Typesetting" w:cs="Arabic Typesetting" w:hint="cs"/>
                <w:color w:val="000000"/>
                <w:sz w:val="28"/>
                <w:szCs w:val="28"/>
                <w:rtl/>
                <w:lang w:eastAsia="ar-EG" w:bidi="ar-EG"/>
              </w:rPr>
              <w:t>730 22</w:t>
            </w:r>
            <w:r w:rsidRPr="00E90BEC">
              <w:rPr>
                <w:rFonts w:ascii="Arabic Typesetting" w:eastAsia="Arabic Typesetting" w:hAnsi="Arabic Typesetting" w:cs="Arabic Typesetting"/>
                <w:color w:val="000000"/>
                <w:sz w:val="28"/>
                <w:szCs w:val="28"/>
                <w:lang w:eastAsia="ar-EG" w:bidi="ar-EG"/>
              </w:rPr>
              <w:br/>
            </w:r>
            <w:r w:rsidRPr="00E90BEC">
              <w:rPr>
                <w:rFonts w:ascii="Arabic Typesetting" w:eastAsia="Arabic Typesetting" w:hAnsi="Arabic Typesetting" w:cs="Arabic Typesetting"/>
                <w:color w:val="000000"/>
                <w:sz w:val="28"/>
                <w:szCs w:val="28"/>
                <w:rtl/>
                <w:lang w:eastAsia="ar-EG" w:bidi="ar-EG"/>
              </w:rPr>
              <w:t>التجديدات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B17489">
              <w:rPr>
                <w:rFonts w:ascii="Arabic Typesetting" w:eastAsia="Arabic Typesetting" w:hAnsi="Arabic Typesetting" w:cs="Arabic Typesetting" w:hint="cs"/>
                <w:color w:val="000000"/>
                <w:sz w:val="28"/>
                <w:szCs w:val="28"/>
                <w:rtl/>
                <w:lang w:eastAsia="ar-EG" w:bidi="ar-EG"/>
              </w:rPr>
              <w:t>2830</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%1.0</w:t>
            </w:r>
            <w:r w:rsidRPr="00E90BEC">
              <w:rPr>
                <w:rFonts w:ascii="Arabic Typesetting" w:eastAsia="Arabic Typesetting" w:hAnsi="Arabic Typesetting" w:cs="Arabic Typesetting"/>
                <w:color w:val="000000"/>
                <w:sz w:val="28"/>
                <w:szCs w:val="28"/>
                <w:rtl/>
                <w:lang w:eastAsia="ar-EG" w:bidi="ar-EG"/>
              </w:rPr>
              <w:t>)</w:t>
            </w:r>
            <w:r w:rsidRPr="00E90BEC">
              <w:rPr>
                <w:rFonts w:ascii="Arabic Typesetting" w:eastAsia="Arabic Typesetting" w:hAnsi="Arabic Typesetting" w:cs="Arabic Typesetting"/>
                <w:color w:val="000000"/>
                <w:sz w:val="28"/>
                <w:szCs w:val="28"/>
                <w:lang w:eastAsia="ar-EG" w:bidi="ar-EG"/>
              </w:rPr>
              <w:br/>
            </w:r>
          </w:p>
          <w:p w14:paraId="51A4285C" w14:textId="185E949D" w:rsidR="00C31D09" w:rsidRPr="00E90BEC" w:rsidRDefault="00C31D09" w:rsidP="00B17489">
            <w:pPr>
              <w:bidi/>
              <w:spacing w:after="120" w:line="280" w:lineRule="exact"/>
              <w:ind w:right="-56"/>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u w:val="single"/>
                <w:rtl/>
                <w:lang w:eastAsia="ar-EG" w:bidi="ar-EG"/>
              </w:rPr>
              <w:t>2017</w:t>
            </w:r>
            <w:r w:rsidRPr="00E90BEC">
              <w:rPr>
                <w:rFonts w:ascii="Arabic Typesetting" w:eastAsia="Arabic Typesetting" w:hAnsi="Arabic Typesetting" w:cs="Arabic Typesetting"/>
                <w:color w:val="000000"/>
                <w:sz w:val="28"/>
                <w:szCs w:val="28"/>
                <w:lang w:eastAsia="ar-EG" w:bidi="ar-EG"/>
              </w:rPr>
              <w:br/>
            </w:r>
            <w:r w:rsidRPr="00E90BEC">
              <w:rPr>
                <w:rFonts w:ascii="Arabic Typesetting" w:eastAsia="Arabic Typesetting" w:hAnsi="Arabic Typesetting" w:cs="Arabic Typesetting"/>
                <w:color w:val="000000"/>
                <w:sz w:val="28"/>
                <w:szCs w:val="28"/>
                <w:rtl/>
                <w:lang w:eastAsia="ar-EG" w:bidi="ar-EG"/>
              </w:rPr>
              <w:t>الطلبات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B17489">
              <w:rPr>
                <w:rFonts w:ascii="Arabic Typesetting" w:eastAsia="Arabic Typesetting" w:hAnsi="Arabic Typesetting" w:cs="Arabic Typesetting" w:hint="cs"/>
                <w:color w:val="000000"/>
                <w:sz w:val="28"/>
                <w:szCs w:val="28"/>
                <w:rtl/>
                <w:lang w:eastAsia="ar-EG" w:bidi="ar-EG"/>
              </w:rPr>
              <w:t>5710</w:t>
            </w:r>
            <w:r w:rsidRPr="00E90BEC">
              <w:rPr>
                <w:rFonts w:ascii="Arabic Typesetting" w:eastAsia="Arabic Typesetting" w:hAnsi="Arabic Typesetting" w:cs="Arabic Typesetting"/>
                <w:color w:val="000000"/>
                <w:sz w:val="28"/>
                <w:szCs w:val="28"/>
                <w:lang w:eastAsia="ar-EG" w:bidi="ar-EG"/>
              </w:rPr>
              <w:br/>
            </w:r>
            <w:r w:rsidRPr="00E90BEC">
              <w:rPr>
                <w:rFonts w:ascii="Arabic Typesetting" w:eastAsia="Arabic Typesetting" w:hAnsi="Arabic Typesetting" w:cs="Arabic Typesetting"/>
                <w:color w:val="000000"/>
                <w:sz w:val="28"/>
                <w:szCs w:val="28"/>
                <w:rtl/>
                <w:lang w:eastAsia="ar-EG" w:bidi="ar-EG"/>
              </w:rPr>
              <w:t>التصاميم المدرجة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B17489">
              <w:rPr>
                <w:rFonts w:ascii="Arabic Typesetting" w:eastAsia="Arabic Typesetting" w:hAnsi="Arabic Typesetting" w:cs="Arabic Typesetting" w:hint="cs"/>
                <w:color w:val="000000"/>
                <w:sz w:val="28"/>
                <w:szCs w:val="28"/>
                <w:rtl/>
                <w:lang w:eastAsia="ar-EG" w:bidi="ar-EG"/>
              </w:rPr>
              <w:t>140 26</w:t>
            </w:r>
            <w:r w:rsidRPr="00E90BEC">
              <w:rPr>
                <w:rFonts w:ascii="Arabic Typesetting" w:eastAsia="Arabic Typesetting" w:hAnsi="Arabic Typesetting" w:cs="Arabic Typesetting"/>
                <w:color w:val="000000"/>
                <w:sz w:val="28"/>
                <w:szCs w:val="28"/>
                <w:lang w:eastAsia="ar-EG" w:bidi="ar-EG"/>
              </w:rPr>
              <w:br/>
            </w:r>
            <w:r w:rsidRPr="00E90BEC">
              <w:rPr>
                <w:rFonts w:ascii="Arabic Typesetting" w:eastAsia="Arabic Typesetting" w:hAnsi="Arabic Typesetting" w:cs="Arabic Typesetting"/>
                <w:color w:val="000000"/>
                <w:sz w:val="28"/>
                <w:szCs w:val="28"/>
                <w:rtl/>
                <w:lang w:eastAsia="ar-EG" w:bidi="ar-EG"/>
              </w:rPr>
              <w:t>التجديدات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B17489">
              <w:rPr>
                <w:rFonts w:ascii="Arabic Typesetting" w:eastAsia="Arabic Typesetting" w:hAnsi="Arabic Typesetting" w:cs="Arabic Typesetting" w:hint="cs"/>
                <w:color w:val="000000"/>
                <w:sz w:val="28"/>
                <w:szCs w:val="28"/>
                <w:rtl/>
                <w:lang w:eastAsia="ar-EG" w:bidi="ar-EG"/>
              </w:rPr>
              <w:t>2940</w:t>
            </w:r>
            <w:r w:rsidRPr="00E90BEC">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%3.9</w:t>
            </w:r>
            <w:r w:rsidRPr="00E90BEC">
              <w:rPr>
                <w:rFonts w:ascii="Arabic Typesetting" w:eastAsia="Arabic Typesetting" w:hAnsi="Arabic Typesetting" w:cs="Arabic Typesetting"/>
                <w:color w:val="000000"/>
                <w:sz w:val="28"/>
                <w:szCs w:val="28"/>
                <w:rtl/>
                <w:lang w:eastAsia="ar-EG" w:bidi="ar-EG"/>
              </w:rPr>
              <w:t>)</w:t>
            </w:r>
          </w:p>
        </w:tc>
        <w:tc>
          <w:tcPr>
            <w:tcW w:w="969" w:type="pct"/>
            <w:shd w:val="clear" w:color="auto" w:fill="FFFFFF"/>
            <w:tcMar>
              <w:top w:w="110" w:type="dxa"/>
              <w:left w:w="58" w:type="dxa"/>
              <w:right w:w="58" w:type="dxa"/>
            </w:tcMar>
          </w:tcPr>
          <w:p w14:paraId="21AD3395"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u w:val="single"/>
                <w:rtl/>
                <w:lang w:eastAsia="ar-EG" w:bidi="ar-EG"/>
              </w:rPr>
              <w:t>2016</w:t>
            </w:r>
          </w:p>
          <w:p w14:paraId="0CA08CA9" w14:textId="06C7751C" w:rsidR="00C31D09" w:rsidRPr="00E90BEC" w:rsidRDefault="00C31D09" w:rsidP="00B17489">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الطلبات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B17489">
              <w:rPr>
                <w:rFonts w:ascii="Arabic Typesetting" w:eastAsia="Arabic Typesetting" w:hAnsi="Arabic Typesetting" w:cs="Arabic Typesetting" w:hint="cs"/>
                <w:color w:val="000000"/>
                <w:sz w:val="28"/>
                <w:szCs w:val="28"/>
                <w:rtl/>
                <w:lang w:eastAsia="ar-EG" w:bidi="ar-EG"/>
              </w:rPr>
              <w:t>5562</w:t>
            </w:r>
          </w:p>
          <w:p w14:paraId="0640E559" w14:textId="6C76BD53" w:rsidR="00C31D09" w:rsidRPr="00E90BEC" w:rsidRDefault="00C31D09" w:rsidP="00B17489">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‏الت</w:t>
            </w:r>
            <w:r>
              <w:rPr>
                <w:rFonts w:ascii="Arabic Typesetting" w:eastAsia="Arabic Typesetting" w:hAnsi="Arabic Typesetting" w:cs="Arabic Typesetting"/>
                <w:color w:val="000000"/>
                <w:sz w:val="28"/>
                <w:szCs w:val="28"/>
                <w:rtl/>
                <w:lang w:eastAsia="ar-EG" w:bidi="ar-EG"/>
              </w:rPr>
              <w:t>صاميم ال</w:t>
            </w:r>
            <w:r>
              <w:rPr>
                <w:rFonts w:ascii="Arabic Typesetting" w:eastAsia="Arabic Typesetting" w:hAnsi="Arabic Typesetting" w:cs="Arabic Typesetting" w:hint="cs"/>
                <w:color w:val="000000"/>
                <w:sz w:val="28"/>
                <w:szCs w:val="28"/>
                <w:rtl/>
                <w:lang w:eastAsia="ar-EG" w:bidi="ar-EG"/>
              </w:rPr>
              <w:t xml:space="preserve">مدرجة: </w:t>
            </w:r>
            <w:r w:rsidR="00B17489">
              <w:rPr>
                <w:rFonts w:ascii="Arabic Typesetting" w:eastAsia="Arabic Typesetting" w:hAnsi="Arabic Typesetting" w:cs="Arabic Typesetting" w:hint="cs"/>
                <w:color w:val="000000"/>
                <w:sz w:val="28"/>
                <w:szCs w:val="28"/>
                <w:rtl/>
                <w:lang w:eastAsia="ar-EG" w:bidi="ar-EG"/>
              </w:rPr>
              <w:t>716 18</w:t>
            </w:r>
          </w:p>
          <w:p w14:paraId="02AB326B" w14:textId="0CD2C96F" w:rsidR="00C31D09" w:rsidRPr="00E90BEC" w:rsidRDefault="00C31D09" w:rsidP="00B17489">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‏التجديدات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B17489">
              <w:rPr>
                <w:rFonts w:ascii="Arabic Typesetting" w:eastAsia="Arabic Typesetting" w:hAnsi="Arabic Typesetting" w:cs="Arabic Typesetting" w:hint="cs"/>
                <w:color w:val="000000"/>
                <w:sz w:val="28"/>
                <w:szCs w:val="28"/>
                <w:rtl/>
                <w:lang w:eastAsia="ar-EG" w:bidi="ar-EG"/>
              </w:rPr>
              <w:t>3150</w:t>
            </w:r>
          </w:p>
        </w:tc>
        <w:tc>
          <w:tcPr>
            <w:tcW w:w="521" w:type="pct"/>
            <w:shd w:val="clear" w:color="auto" w:fill="auto"/>
            <w:tcMar>
              <w:top w:w="110" w:type="dxa"/>
              <w:left w:w="58" w:type="dxa"/>
              <w:right w:w="58" w:type="dxa"/>
            </w:tcMar>
          </w:tcPr>
          <w:p w14:paraId="7CB9F75A" w14:textId="77777777" w:rsidR="00C31D09" w:rsidRPr="00E90BEC" w:rsidRDefault="00C31D09"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p>
          <w:p w14:paraId="055338A7" w14:textId="77777777" w:rsidR="00C31D09" w:rsidRDefault="00C31D09"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E90BEC">
              <w:rPr>
                <w:rFonts w:ascii="Arabic Typesetting" w:eastAsia="Arabic Typesetting" w:hAnsi="Arabic Typesetting" w:cs="Arabic Typesetting"/>
                <w:b/>
                <w:bCs/>
                <w:color w:val="00B050"/>
                <w:sz w:val="28"/>
                <w:szCs w:val="28"/>
                <w:rtl/>
                <w:lang w:eastAsia="ar-EG" w:bidi="ar-EG"/>
              </w:rPr>
              <w:t>ثابت</w:t>
            </w:r>
          </w:p>
          <w:p w14:paraId="64B119EF" w14:textId="77777777" w:rsidR="00C31D09" w:rsidRPr="00E90BEC" w:rsidRDefault="00C31D09" w:rsidP="0031289D">
            <w:pPr>
              <w:bidi/>
              <w:spacing w:after="120" w:line="280" w:lineRule="exact"/>
              <w:jc w:val="center"/>
              <w:rPr>
                <w:rFonts w:ascii="Arabic Typesetting" w:eastAsia="Arabic Typesetting" w:hAnsi="Arabic Typesetting" w:cs="Arabic Typesetting"/>
                <w:b/>
                <w:color w:val="FF0000"/>
                <w:sz w:val="28"/>
                <w:szCs w:val="28"/>
                <w:lang w:eastAsia="ar-EG" w:bidi="ar-EG"/>
              </w:rPr>
            </w:pPr>
            <w:r w:rsidRPr="00E90BEC">
              <w:rPr>
                <w:rFonts w:ascii="Arabic Typesetting" w:eastAsia="Arabic Typesetting" w:hAnsi="Arabic Typesetting" w:cs="Arabic Typesetting"/>
                <w:b/>
                <w:bCs/>
                <w:color w:val="FF0000"/>
                <w:sz w:val="28"/>
                <w:szCs w:val="28"/>
                <w:rtl/>
                <w:lang w:eastAsia="ar-EG" w:bidi="ar-EG"/>
              </w:rPr>
              <w:t>غير ثابت</w:t>
            </w:r>
          </w:p>
          <w:p w14:paraId="793CD9A9" w14:textId="77777777" w:rsidR="00C31D09" w:rsidRPr="00E90BEC" w:rsidRDefault="00C31D09"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E90BEC">
              <w:rPr>
                <w:rFonts w:ascii="Arabic Typesetting" w:eastAsia="Arabic Typesetting" w:hAnsi="Arabic Typesetting" w:cs="Arabic Typesetting"/>
                <w:b/>
                <w:bCs/>
                <w:color w:val="00B050"/>
                <w:sz w:val="28"/>
                <w:szCs w:val="28"/>
                <w:rtl/>
                <w:lang w:eastAsia="ar-EG" w:bidi="ar-EG"/>
              </w:rPr>
              <w:t>ثابت</w:t>
            </w:r>
          </w:p>
        </w:tc>
      </w:tr>
      <w:tr w:rsidR="00C31D09" w:rsidRPr="00E90BEC" w14:paraId="13AB6027" w14:textId="77777777" w:rsidTr="004B40B5">
        <w:trPr>
          <w:trHeight w:val="565"/>
        </w:trPr>
        <w:tc>
          <w:tcPr>
            <w:tcW w:w="5000" w:type="pct"/>
            <w:gridSpan w:val="5"/>
            <w:shd w:val="clear" w:color="auto" w:fill="C6D9F1"/>
            <w:tcMar>
              <w:left w:w="58" w:type="dxa"/>
              <w:right w:w="58" w:type="dxa"/>
            </w:tcMar>
            <w:vAlign w:val="center"/>
          </w:tcPr>
          <w:p w14:paraId="2B4F137D" w14:textId="77777777" w:rsidR="00C31D09" w:rsidRPr="00E90BEC" w:rsidRDefault="00C31D09"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E90BEC">
              <w:rPr>
                <w:rFonts w:ascii="Arabic Typesetting" w:eastAsia="Arabic Typesetting" w:hAnsi="Arabic Typesetting" w:cs="Arabic Typesetting"/>
                <w:b/>
                <w:bCs/>
                <w:sz w:val="28"/>
                <w:szCs w:val="28"/>
                <w:rtl/>
                <w:lang w:eastAsia="ar-EG" w:bidi="ar-EG"/>
              </w:rPr>
              <w:lastRenderedPageBreak/>
              <w:t>‏النتيجة المرتقبة:</w:t>
            </w:r>
            <w:r w:rsidRPr="00E90BEC">
              <w:rPr>
                <w:rFonts w:ascii="Arabic Typesetting" w:eastAsia="Arabic Typesetting" w:hAnsi="Arabic Typesetting" w:cs="Arabic Typesetting"/>
                <w:sz w:val="28"/>
                <w:szCs w:val="28"/>
                <w:lang w:eastAsia="ar-EG" w:bidi="ar-EG"/>
              </w:rPr>
              <w:tab/>
            </w:r>
            <w:r w:rsidRPr="00E90BEC">
              <w:rPr>
                <w:rFonts w:ascii="Arabic Typesetting" w:eastAsia="Arabic Typesetting" w:hAnsi="Arabic Typesetting" w:cs="Arabic Typesetting"/>
                <w:color w:val="000000"/>
                <w:sz w:val="28"/>
                <w:szCs w:val="28"/>
                <w:rtl/>
                <w:lang w:eastAsia="ar-EG" w:bidi="ar-EG"/>
              </w:rPr>
              <w:t xml:space="preserve">ھ5.2 </w:t>
            </w:r>
            <w:r w:rsidRPr="003029E7">
              <w:rPr>
                <w:rFonts w:ascii="Arabic Typesetting" w:eastAsia="Arabic Typesetting" w:hAnsi="Arabic Typesetting" w:cs="Arabic Typesetting"/>
                <w:color w:val="000000"/>
                <w:sz w:val="28"/>
                <w:szCs w:val="28"/>
                <w:rtl/>
                <w:lang w:eastAsia="ar-EG" w:bidi="ar-EG"/>
              </w:rPr>
              <w:t>إنتاجية وجودة خدمات محسّنة في عمليات نظام</w:t>
            </w:r>
            <w:r>
              <w:rPr>
                <w:rFonts w:ascii="Arabic Typesetting" w:eastAsia="Arabic Typesetting" w:hAnsi="Arabic Typesetting" w:cs="Arabic Typesetting" w:hint="cs"/>
                <w:color w:val="000000"/>
                <w:sz w:val="28"/>
                <w:szCs w:val="28"/>
                <w:rtl/>
                <w:lang w:eastAsia="ar-EG" w:bidi="ar-EG"/>
              </w:rPr>
              <w:t xml:space="preserve"> لاهاي</w:t>
            </w:r>
          </w:p>
        </w:tc>
      </w:tr>
      <w:tr w:rsidR="00C31D09" w:rsidRPr="00E90BEC" w14:paraId="2E60B093" w14:textId="77777777" w:rsidTr="004B40B5">
        <w:tc>
          <w:tcPr>
            <w:tcW w:w="1027" w:type="pct"/>
            <w:shd w:val="clear" w:color="auto" w:fill="auto"/>
            <w:tcMar>
              <w:left w:w="58" w:type="dxa"/>
              <w:right w:w="58" w:type="dxa"/>
            </w:tcMar>
            <w:vAlign w:val="center"/>
          </w:tcPr>
          <w:p w14:paraId="3094856C" w14:textId="77777777" w:rsidR="00C31D09" w:rsidRPr="00E90BEC" w:rsidRDefault="00C31D09" w:rsidP="0031289D">
            <w:pPr>
              <w:bidi/>
              <w:spacing w:after="120" w:line="280" w:lineRule="exact"/>
              <w:ind w:right="-57"/>
              <w:rPr>
                <w:rFonts w:ascii="Arabic Typesetting" w:eastAsia="Arabic Typesetting" w:hAnsi="Arabic Typesetting" w:cs="Arabic Typesetting"/>
                <w:b/>
                <w:bCs/>
                <w:sz w:val="28"/>
                <w:szCs w:val="28"/>
                <w:lang w:eastAsia="ar-EG" w:bidi="ar-EG"/>
              </w:rPr>
            </w:pPr>
            <w:r w:rsidRPr="00E90BEC">
              <w:rPr>
                <w:rFonts w:ascii="Arabic Typesetting" w:eastAsia="Arabic Typesetting" w:hAnsi="Arabic Typesetting" w:cs="Arabic Typesetting"/>
                <w:b/>
                <w:bCs/>
                <w:sz w:val="28"/>
                <w:szCs w:val="28"/>
                <w:rtl/>
                <w:lang w:eastAsia="ar-EG" w:bidi="ar-EG"/>
              </w:rPr>
              <w:t>مؤشرات الأداء</w:t>
            </w:r>
          </w:p>
        </w:tc>
        <w:tc>
          <w:tcPr>
            <w:tcW w:w="1416" w:type="pct"/>
            <w:shd w:val="clear" w:color="auto" w:fill="auto"/>
            <w:tcMar>
              <w:left w:w="58" w:type="dxa"/>
              <w:right w:w="58" w:type="dxa"/>
            </w:tcMar>
            <w:vAlign w:val="center"/>
          </w:tcPr>
          <w:p w14:paraId="4CCF3E20" w14:textId="77777777" w:rsidR="00C31D09" w:rsidRPr="00E90BEC" w:rsidRDefault="00C31D09" w:rsidP="0031289D">
            <w:pPr>
              <w:bidi/>
              <w:spacing w:after="120" w:line="280" w:lineRule="exact"/>
              <w:rPr>
                <w:rFonts w:ascii="Arabic Typesetting" w:eastAsia="Arabic Typesetting" w:hAnsi="Arabic Typesetting" w:cs="Arabic Typesetting"/>
                <w:b/>
                <w:bCs/>
                <w:sz w:val="28"/>
                <w:szCs w:val="28"/>
                <w:lang w:eastAsia="ar-EG" w:bidi="ar-EG"/>
              </w:rPr>
            </w:pPr>
            <w:r w:rsidRPr="00E90BEC">
              <w:rPr>
                <w:rFonts w:ascii="Arabic Typesetting" w:eastAsia="Arabic Typesetting" w:hAnsi="Arabic Typesetting" w:cs="Arabic Typesetting"/>
                <w:b/>
                <w:bCs/>
                <w:sz w:val="28"/>
                <w:szCs w:val="28"/>
                <w:rtl/>
                <w:lang w:eastAsia="ar-EG" w:bidi="ar-EG"/>
              </w:rPr>
              <w:t>أسس المقارنة</w:t>
            </w:r>
          </w:p>
        </w:tc>
        <w:tc>
          <w:tcPr>
            <w:tcW w:w="1067" w:type="pct"/>
            <w:shd w:val="clear" w:color="auto" w:fill="auto"/>
            <w:tcMar>
              <w:top w:w="110" w:type="dxa"/>
              <w:left w:w="58" w:type="dxa"/>
              <w:right w:w="58" w:type="dxa"/>
            </w:tcMar>
            <w:vAlign w:val="center"/>
          </w:tcPr>
          <w:p w14:paraId="458F2CD0" w14:textId="77777777" w:rsidR="00C31D09" w:rsidRPr="00E90BEC" w:rsidRDefault="00C31D09" w:rsidP="0031289D">
            <w:pPr>
              <w:bidi/>
              <w:spacing w:after="120" w:line="280" w:lineRule="exact"/>
              <w:rPr>
                <w:rFonts w:ascii="Arabic Typesetting" w:eastAsia="Arabic Typesetting" w:hAnsi="Arabic Typesetting" w:cs="Arabic Typesetting"/>
                <w:b/>
                <w:bCs/>
                <w:sz w:val="28"/>
                <w:szCs w:val="28"/>
                <w:lang w:eastAsia="ar-EG" w:bidi="ar-EG"/>
              </w:rPr>
            </w:pPr>
            <w:r w:rsidRPr="00E90BEC">
              <w:rPr>
                <w:rFonts w:ascii="Arabic Typesetting" w:eastAsia="Arabic Typesetting" w:hAnsi="Arabic Typesetting" w:cs="Arabic Typesetting"/>
                <w:b/>
                <w:bCs/>
                <w:sz w:val="28"/>
                <w:szCs w:val="28"/>
                <w:rtl/>
                <w:lang w:eastAsia="ar-EG" w:bidi="ar-EG"/>
              </w:rPr>
              <w:t>الأهداف</w:t>
            </w:r>
          </w:p>
        </w:tc>
        <w:tc>
          <w:tcPr>
            <w:tcW w:w="969" w:type="pct"/>
            <w:shd w:val="clear" w:color="auto" w:fill="FFFFFF"/>
            <w:tcMar>
              <w:top w:w="110" w:type="dxa"/>
              <w:left w:w="58" w:type="dxa"/>
              <w:right w:w="58" w:type="dxa"/>
            </w:tcMar>
            <w:vAlign w:val="center"/>
          </w:tcPr>
          <w:p w14:paraId="20B70394" w14:textId="77777777" w:rsidR="00C31D09" w:rsidRPr="00E90BEC" w:rsidRDefault="00C31D09" w:rsidP="0031289D">
            <w:pPr>
              <w:bidi/>
              <w:spacing w:after="120" w:line="280" w:lineRule="exact"/>
              <w:rPr>
                <w:rFonts w:ascii="Arabic Typesetting" w:eastAsia="Arabic Typesetting" w:hAnsi="Arabic Typesetting" w:cs="Arabic Typesetting"/>
                <w:b/>
                <w:bCs/>
                <w:sz w:val="28"/>
                <w:szCs w:val="28"/>
                <w:lang w:eastAsia="ar-EG" w:bidi="ar-EG"/>
              </w:rPr>
            </w:pPr>
            <w:r w:rsidRPr="00E90BEC">
              <w:rPr>
                <w:rFonts w:ascii="Arabic Typesetting" w:eastAsia="Arabic Typesetting" w:hAnsi="Arabic Typesetting" w:cs="Arabic Typesetting"/>
                <w:b/>
                <w:bCs/>
                <w:sz w:val="28"/>
                <w:szCs w:val="28"/>
                <w:rtl/>
                <w:lang w:eastAsia="ar-EG" w:bidi="ar-EG"/>
              </w:rPr>
              <w:t>بيانات الأداء</w:t>
            </w:r>
          </w:p>
        </w:tc>
        <w:tc>
          <w:tcPr>
            <w:tcW w:w="521" w:type="pct"/>
            <w:shd w:val="clear" w:color="auto" w:fill="auto"/>
            <w:tcMar>
              <w:top w:w="110" w:type="dxa"/>
              <w:left w:w="58" w:type="dxa"/>
              <w:right w:w="58" w:type="dxa"/>
            </w:tcMar>
            <w:vAlign w:val="center"/>
          </w:tcPr>
          <w:p w14:paraId="2810FA57" w14:textId="77777777" w:rsidR="00C31D09" w:rsidRPr="00E90BEC" w:rsidRDefault="00C31D09" w:rsidP="0031289D">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31D09" w:rsidRPr="00E90BEC" w14:paraId="6BE255C1" w14:textId="77777777" w:rsidTr="004B40B5">
        <w:trPr>
          <w:trHeight w:val="3077"/>
        </w:trPr>
        <w:tc>
          <w:tcPr>
            <w:tcW w:w="1027" w:type="pct"/>
            <w:shd w:val="clear" w:color="auto" w:fill="auto"/>
            <w:tcMar>
              <w:left w:w="58" w:type="dxa"/>
              <w:right w:w="58" w:type="dxa"/>
            </w:tcMar>
          </w:tcPr>
          <w:p w14:paraId="4E62D07E" w14:textId="77777777" w:rsidR="00C31D09" w:rsidRPr="00E90BEC" w:rsidRDefault="00C31D09" w:rsidP="0031289D">
            <w:pPr>
              <w:bidi/>
              <w:spacing w:after="120" w:line="280" w:lineRule="exact"/>
              <w:ind w:right="-57"/>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هيمنة وثيقة جنيف (1999) في نظام لاهاي</w:t>
            </w:r>
          </w:p>
        </w:tc>
        <w:tc>
          <w:tcPr>
            <w:tcW w:w="1416" w:type="pct"/>
            <w:shd w:val="clear" w:color="auto" w:fill="auto"/>
            <w:tcMar>
              <w:left w:w="58" w:type="dxa"/>
              <w:right w:w="58" w:type="dxa"/>
            </w:tcMar>
          </w:tcPr>
          <w:p w14:paraId="3FE54A7D" w14:textId="77777777" w:rsidR="00C31D09" w:rsidRDefault="00C31D09" w:rsidP="0031289D">
            <w:pPr>
              <w:bidi/>
              <w:spacing w:after="120" w:line="280" w:lineRule="exact"/>
              <w:rPr>
                <w:rFonts w:ascii="Arabic Typesetting" w:eastAsia="Arabic Typesetting" w:hAnsi="Arabic Typesetting" w:cs="Arabic Typesetting"/>
                <w:sz w:val="28"/>
                <w:szCs w:val="28"/>
                <w:lang w:eastAsia="ar-EG" w:bidi="ar-EG"/>
              </w:rPr>
            </w:pPr>
            <w:r w:rsidRPr="00E90BEC">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E90BEC">
              <w:rPr>
                <w:rFonts w:ascii="Arabic Typesetting" w:eastAsia="Arabic Typesetting" w:hAnsi="Arabic Typesetting" w:cs="Arabic Typesetting"/>
                <w:color w:val="002060"/>
                <w:sz w:val="28"/>
                <w:szCs w:val="28"/>
                <w:rtl/>
                <w:lang w:eastAsia="ar-EG" w:bidi="ar-EG"/>
              </w:rPr>
              <w:t>وردت 11 موافقة ولا يزال يلزم ورود موافقتين لإنهاء وثيقة 1934، ولا تزال توجد أربعة أطراف متعاقدة من خارج الاتحاد الأوروبي والمنظمة الأفريقية للملكية الفكرية مُلزَمةً بوثيقة 1960 فقط.</w:t>
            </w:r>
          </w:p>
          <w:p w14:paraId="5A6779A5"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E90BEC">
              <w:rPr>
                <w:rFonts w:ascii="Arabic Typesetting" w:eastAsia="Arabic Typesetting" w:hAnsi="Arabic Typesetting" w:cs="Arabic Typesetting"/>
                <w:i/>
                <w:iCs/>
                <w:sz w:val="28"/>
                <w:szCs w:val="28"/>
                <w:rtl/>
                <w:lang w:eastAsia="ar-EG" w:bidi="ar-EG"/>
              </w:rPr>
              <w:t>:</w:t>
            </w:r>
            <w:r w:rsidRPr="00E90BEC">
              <w:rPr>
                <w:rFonts w:ascii="Arabic Typesetting" w:eastAsia="Arabic Typesetting" w:hAnsi="Arabic Typesetting" w:cs="Arabic Typesetting"/>
                <w:i/>
                <w:sz w:val="28"/>
                <w:szCs w:val="28"/>
                <w:lang w:eastAsia="ar-EG" w:bidi="ar-EG"/>
              </w:rPr>
              <w:br/>
            </w:r>
            <w:r w:rsidRPr="00E90BEC">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E90BEC">
              <w:rPr>
                <w:rFonts w:ascii="Arabic Typesetting" w:eastAsia="Arabic Typesetting" w:hAnsi="Arabic Typesetting" w:cs="Arabic Typesetting"/>
                <w:color w:val="000000"/>
                <w:sz w:val="28"/>
                <w:szCs w:val="28"/>
                <w:rtl/>
                <w:lang w:eastAsia="ar-EG" w:bidi="ar-EG"/>
              </w:rPr>
              <w:t>ورود 10 موافقات لإنهاء وثيقة 1934 (3</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موافقات لا تزال لازمة).</w:t>
            </w:r>
            <w:r>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و</w:t>
            </w:r>
            <w:r w:rsidRPr="00E90BEC">
              <w:rPr>
                <w:rFonts w:ascii="Arabic Typesetting" w:eastAsia="Arabic Typesetting" w:hAnsi="Arabic Typesetting" w:cs="Arabic Typesetting"/>
                <w:color w:val="000000"/>
                <w:sz w:val="28"/>
                <w:szCs w:val="28"/>
                <w:rtl/>
                <w:lang w:eastAsia="ar-EG" w:bidi="ar-EG"/>
              </w:rPr>
              <w:t>4 أطراف متعاقدة مُلزَمة بوثيقة 1960 فقط (ليست أعضاء في منظمة حكومية دولية طرف في</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وثيقة 1999).</w:t>
            </w:r>
          </w:p>
        </w:tc>
        <w:tc>
          <w:tcPr>
            <w:tcW w:w="1067" w:type="pct"/>
            <w:shd w:val="clear" w:color="auto" w:fill="auto"/>
            <w:tcMar>
              <w:top w:w="110" w:type="dxa"/>
              <w:left w:w="58" w:type="dxa"/>
              <w:right w:w="58" w:type="dxa"/>
            </w:tcMar>
          </w:tcPr>
          <w:p w14:paraId="4EB29FC8"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استلام جميع الموافقات (13).</w:t>
            </w:r>
            <w:r>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و</w:t>
            </w:r>
            <w:r w:rsidRPr="00E90BEC">
              <w:rPr>
                <w:rFonts w:ascii="Arabic Typesetting" w:eastAsia="Arabic Typesetting" w:hAnsi="Arabic Typesetting" w:cs="Arabic Typesetting"/>
                <w:color w:val="000000"/>
                <w:sz w:val="28"/>
                <w:szCs w:val="28"/>
                <w:rtl/>
                <w:lang w:eastAsia="ar-EG" w:bidi="ar-EG"/>
              </w:rPr>
              <w:t>التزام جميع الأطراف المتعاقدة بوثيقة 1999 (أو تكون أعضاء في منظمة حكومية دولية طرف في وثيقة 1999).</w:t>
            </w:r>
          </w:p>
        </w:tc>
        <w:tc>
          <w:tcPr>
            <w:tcW w:w="969" w:type="pct"/>
            <w:shd w:val="clear" w:color="auto" w:fill="FFFFFF"/>
            <w:tcMar>
              <w:top w:w="110" w:type="dxa"/>
              <w:left w:w="58" w:type="dxa"/>
              <w:right w:w="58" w:type="dxa"/>
            </w:tcMar>
          </w:tcPr>
          <w:p w14:paraId="35A8AAA0"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أنهيت وثيقة 1934 في 18</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أكتوبر 2016</w:t>
            </w:r>
          </w:p>
        </w:tc>
        <w:tc>
          <w:tcPr>
            <w:tcW w:w="521" w:type="pct"/>
            <w:shd w:val="clear" w:color="auto" w:fill="auto"/>
            <w:tcMar>
              <w:top w:w="110" w:type="dxa"/>
              <w:left w:w="58" w:type="dxa"/>
              <w:right w:w="58" w:type="dxa"/>
            </w:tcMar>
          </w:tcPr>
          <w:p w14:paraId="22A69657" w14:textId="77777777" w:rsidR="00C31D09" w:rsidRPr="00E90BEC" w:rsidRDefault="00C31D09"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E90BEC">
              <w:rPr>
                <w:rFonts w:ascii="Arabic Typesetting" w:eastAsia="Arabic Typesetting" w:hAnsi="Arabic Typesetting" w:cs="Arabic Typesetting"/>
                <w:b/>
                <w:bCs/>
                <w:color w:val="00B050"/>
                <w:sz w:val="28"/>
                <w:szCs w:val="28"/>
                <w:rtl/>
                <w:lang w:eastAsia="ar-EG" w:bidi="ar-EG"/>
              </w:rPr>
              <w:t>ثابت</w:t>
            </w:r>
          </w:p>
        </w:tc>
      </w:tr>
      <w:tr w:rsidR="00C31D09" w:rsidRPr="00E90BEC" w14:paraId="1BB2F428" w14:textId="77777777" w:rsidTr="004B40B5">
        <w:trPr>
          <w:trHeight w:val="1424"/>
        </w:trPr>
        <w:tc>
          <w:tcPr>
            <w:tcW w:w="1027" w:type="pct"/>
            <w:shd w:val="clear" w:color="auto" w:fill="auto"/>
            <w:tcMar>
              <w:left w:w="58" w:type="dxa"/>
              <w:right w:w="58" w:type="dxa"/>
            </w:tcMar>
          </w:tcPr>
          <w:p w14:paraId="6500B842" w14:textId="77777777" w:rsidR="00C31D09" w:rsidRPr="00E90BEC" w:rsidRDefault="00C31D09" w:rsidP="0031289D">
            <w:pPr>
              <w:bidi/>
              <w:spacing w:after="120" w:line="280" w:lineRule="exact"/>
              <w:ind w:right="-57"/>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العمليات والإجراءات مكيفة مع التطور الجغرافي والقانوني للنظام</w:t>
            </w:r>
          </w:p>
        </w:tc>
        <w:tc>
          <w:tcPr>
            <w:tcW w:w="1416" w:type="pct"/>
            <w:shd w:val="clear" w:color="auto" w:fill="auto"/>
            <w:tcMar>
              <w:left w:w="58" w:type="dxa"/>
              <w:right w:w="58" w:type="dxa"/>
            </w:tcMar>
          </w:tcPr>
          <w:p w14:paraId="67A9B270"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‏العمليات والإجراءات مكيفة</w:t>
            </w:r>
          </w:p>
        </w:tc>
        <w:tc>
          <w:tcPr>
            <w:tcW w:w="1067" w:type="pct"/>
            <w:shd w:val="clear" w:color="auto" w:fill="auto"/>
            <w:tcMar>
              <w:top w:w="110" w:type="dxa"/>
              <w:left w:w="58" w:type="dxa"/>
              <w:right w:w="58" w:type="dxa"/>
            </w:tcMar>
          </w:tcPr>
          <w:p w14:paraId="742F5331"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‏العمليات والإجراءات مكيفة</w:t>
            </w:r>
          </w:p>
        </w:tc>
        <w:tc>
          <w:tcPr>
            <w:tcW w:w="969" w:type="pct"/>
            <w:shd w:val="clear" w:color="auto" w:fill="FFFFFF"/>
            <w:tcMar>
              <w:top w:w="110" w:type="dxa"/>
              <w:left w:w="58" w:type="dxa"/>
              <w:right w:w="58" w:type="dxa"/>
            </w:tcMar>
          </w:tcPr>
          <w:p w14:paraId="56977D34"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 xml:space="preserve">ستدخل اللائحة التنفيذية المشتركة بصيغتها المعدلة التي وافقت عليها جمعية اتحاد لاهاي </w:t>
            </w:r>
            <w:r>
              <w:rPr>
                <w:rFonts w:ascii="Arabic Typesetting" w:eastAsia="Arabic Typesetting" w:hAnsi="Arabic Typesetting" w:cs="Arabic Typesetting" w:hint="cs"/>
                <w:color w:val="000000"/>
                <w:sz w:val="28"/>
                <w:szCs w:val="28"/>
                <w:rtl/>
                <w:lang w:eastAsia="ar-EG" w:bidi="ar-EG"/>
              </w:rPr>
              <w:t xml:space="preserve">حيز النفاذ </w:t>
            </w:r>
            <w:r w:rsidRPr="00E90BEC">
              <w:rPr>
                <w:rFonts w:ascii="Arabic Typesetting" w:eastAsia="Arabic Typesetting" w:hAnsi="Arabic Typesetting" w:cs="Arabic Typesetting"/>
                <w:color w:val="000000"/>
                <w:sz w:val="28"/>
                <w:szCs w:val="28"/>
                <w:rtl/>
                <w:lang w:eastAsia="ar-EG" w:bidi="ar-EG"/>
              </w:rPr>
              <w:t>في عام</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2016 في تاريخ يقرره المكتب الدولي فور إتمام البيئة</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المعلوماتية</w:t>
            </w:r>
          </w:p>
        </w:tc>
        <w:tc>
          <w:tcPr>
            <w:tcW w:w="521" w:type="pct"/>
            <w:shd w:val="clear" w:color="auto" w:fill="auto"/>
            <w:tcMar>
              <w:top w:w="110" w:type="dxa"/>
              <w:left w:w="58" w:type="dxa"/>
              <w:right w:w="58" w:type="dxa"/>
            </w:tcMar>
          </w:tcPr>
          <w:p w14:paraId="0CAB1E38" w14:textId="77777777" w:rsidR="00C31D09" w:rsidRPr="00E90BEC" w:rsidRDefault="00C31D09"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E90BEC">
              <w:rPr>
                <w:rFonts w:ascii="Arabic Typesetting" w:eastAsia="Arabic Typesetting" w:hAnsi="Arabic Typesetting" w:cs="Arabic Typesetting"/>
                <w:b/>
                <w:bCs/>
                <w:color w:val="00B050"/>
                <w:sz w:val="28"/>
                <w:szCs w:val="28"/>
                <w:rtl/>
                <w:lang w:eastAsia="ar-EG" w:bidi="ar-EG"/>
              </w:rPr>
              <w:t>ثابت</w:t>
            </w:r>
          </w:p>
        </w:tc>
      </w:tr>
      <w:tr w:rsidR="00C31D09" w:rsidRPr="00E90BEC" w14:paraId="140CAA8E" w14:textId="77777777" w:rsidTr="004B40B5">
        <w:trPr>
          <w:trHeight w:val="4296"/>
        </w:trPr>
        <w:tc>
          <w:tcPr>
            <w:tcW w:w="1027" w:type="pct"/>
            <w:shd w:val="clear" w:color="auto" w:fill="auto"/>
            <w:tcMar>
              <w:left w:w="58" w:type="dxa"/>
              <w:right w:w="58" w:type="dxa"/>
            </w:tcMar>
          </w:tcPr>
          <w:p w14:paraId="3B4D63A5" w14:textId="77777777" w:rsidR="00C31D09" w:rsidRPr="00E90BEC" w:rsidRDefault="00C31D09" w:rsidP="0031289D">
            <w:pPr>
              <w:bidi/>
              <w:spacing w:after="120" w:line="280" w:lineRule="exact"/>
              <w:ind w:right="-57"/>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‏التقدم المحرز نحو تعزيز الإطار</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القانوني</w:t>
            </w:r>
          </w:p>
        </w:tc>
        <w:tc>
          <w:tcPr>
            <w:tcW w:w="1416" w:type="pct"/>
            <w:shd w:val="clear" w:color="auto" w:fill="auto"/>
            <w:tcMar>
              <w:left w:w="58" w:type="dxa"/>
              <w:right w:w="58" w:type="dxa"/>
            </w:tcMar>
          </w:tcPr>
          <w:p w14:paraId="22F484DD" w14:textId="77777777" w:rsidR="00C31D09" w:rsidRDefault="00C31D09" w:rsidP="0031289D">
            <w:pPr>
              <w:bidi/>
              <w:spacing w:after="60" w:line="280" w:lineRule="exact"/>
              <w:rPr>
                <w:rFonts w:ascii="Arabic Typesetting" w:eastAsia="Arabic Typesetting" w:hAnsi="Arabic Typesetting" w:cs="Arabic Typesetting"/>
                <w:color w:val="002060"/>
                <w:sz w:val="28"/>
                <w:szCs w:val="28"/>
                <w:lang w:eastAsia="ar-EG" w:bidi="ar-EG"/>
              </w:rPr>
            </w:pPr>
            <w:r w:rsidRPr="00E90BEC">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E90BEC">
              <w:rPr>
                <w:rFonts w:ascii="Arabic Typesetting" w:eastAsia="Arabic Typesetting" w:hAnsi="Arabic Typesetting" w:cs="Arabic Typesetting"/>
                <w:color w:val="002060"/>
                <w:sz w:val="28"/>
                <w:szCs w:val="28"/>
                <w:rtl/>
                <w:lang w:eastAsia="ar-EG" w:bidi="ar-EG"/>
              </w:rPr>
              <w:t>اعتمدت جمعية اتحاد لاهاي في عام 2014 إدخال تعديلات على اللائحة التنفيذية المشتركة، من بين أمور أخرى، وإدخال "آلية للحصول على الآراء"، وسيدخل ذلك حيز النفاذ في 1 يناير 2015.</w:t>
            </w:r>
            <w:r>
              <w:rPr>
                <w:rFonts w:ascii="Arabic Typesetting" w:eastAsia="Arabic Typesetting" w:hAnsi="Arabic Typesetting" w:cs="Arabic Typesetting"/>
                <w:color w:val="002060"/>
                <w:sz w:val="28"/>
                <w:szCs w:val="28"/>
                <w:rtl/>
                <w:lang w:eastAsia="ar-EG" w:bidi="ar-EG"/>
              </w:rPr>
              <w:t xml:space="preserve"> </w:t>
            </w:r>
            <w:r w:rsidRPr="00E90BEC">
              <w:rPr>
                <w:rFonts w:ascii="Arabic Typesetting" w:eastAsia="Arabic Typesetting" w:hAnsi="Arabic Typesetting" w:cs="Arabic Typesetting"/>
                <w:color w:val="002060"/>
                <w:sz w:val="28"/>
                <w:szCs w:val="28"/>
                <w:rtl/>
                <w:lang w:eastAsia="ar-EG" w:bidi="ar-EG"/>
              </w:rPr>
              <w:t>ودخلت حيز النفاذ في 1 يوليو 2014 تعديلات على التعليمات الإدارية، من بين أمور أخرى</w:t>
            </w:r>
            <w:r>
              <w:rPr>
                <w:rFonts w:ascii="Arabic Typesetting" w:eastAsia="Arabic Typesetting" w:hAnsi="Arabic Typesetting" w:cs="Arabic Typesetting"/>
                <w:color w:val="002060"/>
                <w:sz w:val="28"/>
                <w:szCs w:val="28"/>
                <w:rtl/>
                <w:lang w:eastAsia="ar-EG" w:bidi="ar-EG"/>
              </w:rPr>
              <w:t>، و</w:t>
            </w:r>
            <w:r>
              <w:rPr>
                <w:rFonts w:ascii="Arabic Typesetting" w:eastAsia="Arabic Typesetting" w:hAnsi="Arabic Typesetting" w:cs="Arabic Typesetting" w:hint="cs"/>
                <w:color w:val="002060"/>
                <w:sz w:val="28"/>
                <w:szCs w:val="28"/>
                <w:rtl/>
                <w:lang w:eastAsia="ar-EG" w:bidi="ar-EG"/>
              </w:rPr>
              <w:t>تلك</w:t>
            </w:r>
            <w:r w:rsidRPr="00E90BEC">
              <w:rPr>
                <w:rFonts w:ascii="Arabic Typesetting" w:eastAsia="Arabic Typesetting" w:hAnsi="Arabic Typesetting" w:cs="Arabic Typesetting"/>
                <w:color w:val="002060"/>
                <w:sz w:val="28"/>
                <w:szCs w:val="28"/>
                <w:rtl/>
                <w:lang w:eastAsia="ar-EG" w:bidi="ar-EG"/>
              </w:rPr>
              <w:t xml:space="preserve"> التعديلات تخفف بعض المتطلبات المتعلقة بالنسخ والتصوير.</w:t>
            </w:r>
          </w:p>
          <w:p w14:paraId="1999D68C" w14:textId="77777777" w:rsidR="00C31D09" w:rsidRPr="00E90BEC" w:rsidRDefault="00C31D09" w:rsidP="0031289D">
            <w:pPr>
              <w:bidi/>
              <w:spacing w:after="6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E90BEC">
              <w:rPr>
                <w:rFonts w:ascii="Arabic Typesetting" w:eastAsia="Arabic Typesetting" w:hAnsi="Arabic Typesetting" w:cs="Arabic Typesetting"/>
                <w:i/>
                <w:iCs/>
                <w:sz w:val="28"/>
                <w:szCs w:val="28"/>
                <w:rtl/>
                <w:lang w:eastAsia="ar-EG" w:bidi="ar-EG"/>
              </w:rPr>
              <w:t>:</w:t>
            </w:r>
            <w:r w:rsidRPr="00E90BEC">
              <w:rPr>
                <w:rFonts w:ascii="Arabic Typesetting" w:eastAsia="Arabic Typesetting" w:hAnsi="Arabic Typesetting" w:cs="Arabic Typesetting"/>
                <w:i/>
                <w:sz w:val="28"/>
                <w:szCs w:val="28"/>
                <w:lang w:eastAsia="ar-EG" w:bidi="ar-EG"/>
              </w:rPr>
              <w:br/>
            </w:r>
            <w:r w:rsidRPr="00E90BEC">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E90BEC">
              <w:rPr>
                <w:rFonts w:ascii="Arabic Typesetting" w:eastAsia="Arabic Typesetting" w:hAnsi="Arabic Typesetting" w:cs="Arabic Typesetting"/>
                <w:color w:val="000000"/>
                <w:sz w:val="28"/>
                <w:szCs w:val="28"/>
                <w:rtl/>
                <w:lang w:eastAsia="ar-EG" w:bidi="ar-EG"/>
              </w:rPr>
              <w:t>تعديلات على اللائحة التنفيذية المشتركة (نافذة في 1/1/2015) والتعليمات الإدارية (نافذة في 1/7/2014) لتكييف نظام لاهاي مع اتساع نطاقه الجغرافي ليشمل أطرافاً متعاقد</w:t>
            </w:r>
            <w:r>
              <w:rPr>
                <w:rFonts w:ascii="Arabic Typesetting" w:eastAsia="Arabic Typesetting" w:hAnsi="Arabic Typesetting" w:cs="Arabic Typesetting"/>
                <w:color w:val="000000"/>
                <w:sz w:val="28"/>
                <w:szCs w:val="28"/>
                <w:rtl/>
                <w:lang w:eastAsia="ar-EG" w:bidi="ar-EG"/>
              </w:rPr>
              <w:t>ة جديدة ومرتقبة مع أنظمة الفحص.</w:t>
            </w:r>
          </w:p>
        </w:tc>
        <w:tc>
          <w:tcPr>
            <w:tcW w:w="1067" w:type="pct"/>
            <w:shd w:val="clear" w:color="auto" w:fill="auto"/>
            <w:tcMar>
              <w:top w:w="110" w:type="dxa"/>
              <w:left w:w="58" w:type="dxa"/>
              <w:right w:w="58" w:type="dxa"/>
            </w:tcMar>
          </w:tcPr>
          <w:p w14:paraId="3DC87E8B"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تحديث الإطار القانوني لنظام لاهاي لمواكبة التطور في مجال</w:t>
            </w:r>
            <w:r>
              <w:rPr>
                <w:rFonts w:ascii="Arabic Typesetting" w:eastAsia="Arabic Typesetting" w:hAnsi="Arabic Typesetting" w:cs="Arabic Typesetting"/>
                <w:color w:val="000000"/>
                <w:sz w:val="28"/>
                <w:szCs w:val="28"/>
                <w:rtl/>
                <w:lang w:eastAsia="ar-EG" w:bidi="ar-EG"/>
              </w:rPr>
              <w:t xml:space="preserve"> التصاميم في جميع أنحاء العالم.</w:t>
            </w:r>
          </w:p>
        </w:tc>
        <w:tc>
          <w:tcPr>
            <w:tcW w:w="969" w:type="pct"/>
            <w:shd w:val="clear" w:color="auto" w:fill="FFFFFF"/>
            <w:tcMar>
              <w:top w:w="110" w:type="dxa"/>
              <w:left w:w="58" w:type="dxa"/>
              <w:right w:w="58" w:type="dxa"/>
            </w:tcMar>
          </w:tcPr>
          <w:p w14:paraId="4FAB717D"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تعديلات على اللائحة التنفيذية المشتركة (نافذة في 1/1/2017).</w:t>
            </w:r>
            <w:r>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و</w:t>
            </w:r>
            <w:r w:rsidRPr="00E90BEC">
              <w:rPr>
                <w:rFonts w:ascii="Arabic Typesetting" w:eastAsia="Arabic Typesetting" w:hAnsi="Arabic Typesetting" w:cs="Arabic Typesetting"/>
                <w:color w:val="000000"/>
                <w:sz w:val="28"/>
                <w:szCs w:val="28"/>
                <w:rtl/>
                <w:lang w:eastAsia="ar-EG" w:bidi="ar-EG"/>
              </w:rPr>
              <w:t>الغرض من تعديل القاعدة 5 توفير ضمان في حال عدم تسلم تبليغ إلكتروني نظراً إلى أنه من المرجح أن تكون غالبية المراسلات المقبلة مع ا</w:t>
            </w:r>
            <w:r>
              <w:rPr>
                <w:rFonts w:ascii="Arabic Typesetting" w:eastAsia="Arabic Typesetting" w:hAnsi="Arabic Typesetting" w:cs="Arabic Typesetting"/>
                <w:color w:val="000000"/>
                <w:sz w:val="28"/>
                <w:szCs w:val="28"/>
                <w:rtl/>
                <w:lang w:eastAsia="ar-EG" w:bidi="ar-EG"/>
              </w:rPr>
              <w:t>لمكتب الدولي مراسلات إلكترونية.</w:t>
            </w:r>
          </w:p>
        </w:tc>
        <w:tc>
          <w:tcPr>
            <w:tcW w:w="521" w:type="pct"/>
            <w:shd w:val="clear" w:color="auto" w:fill="auto"/>
            <w:tcMar>
              <w:top w:w="110" w:type="dxa"/>
              <w:left w:w="58" w:type="dxa"/>
              <w:right w:w="58" w:type="dxa"/>
            </w:tcMar>
          </w:tcPr>
          <w:p w14:paraId="7F2D9DD3" w14:textId="77777777" w:rsidR="00C31D09" w:rsidRPr="00E90BEC" w:rsidRDefault="00C31D09"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E90BEC">
              <w:rPr>
                <w:rFonts w:ascii="Arabic Typesetting" w:eastAsia="Arabic Typesetting" w:hAnsi="Arabic Typesetting" w:cs="Arabic Typesetting"/>
                <w:b/>
                <w:bCs/>
                <w:color w:val="00B050"/>
                <w:sz w:val="28"/>
                <w:szCs w:val="28"/>
                <w:rtl/>
                <w:lang w:eastAsia="ar-EG" w:bidi="ar-EG"/>
              </w:rPr>
              <w:t>ثابت</w:t>
            </w:r>
          </w:p>
        </w:tc>
      </w:tr>
      <w:tr w:rsidR="00C31D09" w:rsidRPr="00E90BEC" w14:paraId="454B3C81" w14:textId="77777777" w:rsidTr="004B40B5">
        <w:trPr>
          <w:trHeight w:val="2298"/>
        </w:trPr>
        <w:tc>
          <w:tcPr>
            <w:tcW w:w="1027" w:type="pct"/>
            <w:shd w:val="clear" w:color="auto" w:fill="auto"/>
            <w:tcMar>
              <w:left w:w="58" w:type="dxa"/>
              <w:right w:w="58" w:type="dxa"/>
            </w:tcMar>
          </w:tcPr>
          <w:p w14:paraId="44F7C9A6" w14:textId="77777777" w:rsidR="00C31D09" w:rsidRPr="00E90BEC" w:rsidRDefault="00C31D09" w:rsidP="0031289D">
            <w:pPr>
              <w:bidi/>
              <w:spacing w:after="120" w:line="280" w:lineRule="exact"/>
              <w:ind w:right="-57"/>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lastRenderedPageBreak/>
              <w:t>تحسّن سير عمل سجل لاهاي، بما في ذلك العمليات والإجراءات الإلكترونية</w:t>
            </w:r>
          </w:p>
        </w:tc>
        <w:tc>
          <w:tcPr>
            <w:tcW w:w="1416" w:type="pct"/>
            <w:shd w:val="clear" w:color="auto" w:fill="auto"/>
            <w:tcMar>
              <w:left w:w="58" w:type="dxa"/>
              <w:right w:w="58" w:type="dxa"/>
            </w:tcMar>
          </w:tcPr>
          <w:p w14:paraId="70FFCAC1" w14:textId="77777777" w:rsidR="00C31D09" w:rsidRPr="00E90BEC" w:rsidRDefault="00C31D09" w:rsidP="0031289D">
            <w:pPr>
              <w:bidi/>
              <w:spacing w:line="280" w:lineRule="exact"/>
              <w:rPr>
                <w:rFonts w:ascii="Arabic Typesetting" w:eastAsia="Arabic Typesetting" w:hAnsi="Arabic Typesetting" w:cs="Arabic Typesetting"/>
                <w:color w:val="002060"/>
                <w:sz w:val="28"/>
                <w:szCs w:val="28"/>
                <w:lang w:eastAsia="ar-EG" w:bidi="ar-EG"/>
              </w:rPr>
            </w:pPr>
            <w:r w:rsidRPr="00E90BEC">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E90BEC">
              <w:rPr>
                <w:rFonts w:ascii="Arabic Typesetting" w:eastAsia="Arabic Typesetting" w:hAnsi="Arabic Typesetting" w:cs="Arabic Typesetting"/>
                <w:color w:val="002060"/>
                <w:sz w:val="28"/>
                <w:szCs w:val="28"/>
                <w:rtl/>
                <w:lang w:eastAsia="ar-EG" w:bidi="ar-EG"/>
              </w:rPr>
              <w:t>إجراءان إضافيان مؤتمتان في 2014/15 (إعلان بمنح الحماية من مكتب مواءمة السوق الداخلية في 2014 وتسلم ومعالجة الإيداعات غير المباشرة لمكتب جمهورية</w:t>
            </w:r>
            <w:r>
              <w:rPr>
                <w:rFonts w:ascii="Arabic Typesetting" w:eastAsia="Arabic Typesetting" w:hAnsi="Arabic Typesetting" w:cs="Arabic Typesetting" w:hint="cs"/>
                <w:color w:val="002060"/>
                <w:sz w:val="28"/>
                <w:szCs w:val="28"/>
                <w:rtl/>
                <w:lang w:eastAsia="ar-EG" w:bidi="ar-EG"/>
              </w:rPr>
              <w:t> </w:t>
            </w:r>
            <w:r>
              <w:rPr>
                <w:rFonts w:ascii="Arabic Typesetting" w:eastAsia="Arabic Typesetting" w:hAnsi="Arabic Typesetting" w:cs="Arabic Typesetting"/>
                <w:color w:val="002060"/>
                <w:sz w:val="28"/>
                <w:szCs w:val="28"/>
                <w:rtl/>
                <w:lang w:eastAsia="ar-EG" w:bidi="ar-EG"/>
              </w:rPr>
              <w:t>كوريا)</w:t>
            </w:r>
          </w:p>
          <w:p w14:paraId="20124C12" w14:textId="77777777" w:rsidR="00C31D09" w:rsidRDefault="00C31D09" w:rsidP="0031289D">
            <w:pPr>
              <w:bidi/>
              <w:spacing w:after="120" w:line="280" w:lineRule="exact"/>
              <w:rPr>
                <w:rFonts w:ascii="Arabic Typesetting" w:eastAsia="Arabic Typesetting" w:hAnsi="Arabic Typesetting" w:cs="Arabic Typesetting"/>
                <w:color w:val="002060"/>
                <w:sz w:val="28"/>
                <w:szCs w:val="28"/>
                <w:lang w:eastAsia="ar-EG" w:bidi="ar-EG"/>
              </w:rPr>
            </w:pPr>
            <w:r w:rsidRPr="00E90BEC">
              <w:rPr>
                <w:rFonts w:ascii="Arabic Typesetting" w:eastAsia="Arabic Typesetting" w:hAnsi="Arabic Typesetting" w:cs="Arabic Typesetting"/>
                <w:color w:val="002060"/>
                <w:sz w:val="28"/>
                <w:szCs w:val="28"/>
                <w:rtl/>
                <w:lang w:eastAsia="ar-EG" w:bidi="ar-EG"/>
              </w:rPr>
              <w:t>(التراكمي 4)</w:t>
            </w:r>
          </w:p>
          <w:p w14:paraId="78FD0F0D" w14:textId="77777777" w:rsidR="00C31D09" w:rsidRPr="00E90BEC" w:rsidRDefault="00C31D09" w:rsidP="0031289D">
            <w:pPr>
              <w:bidi/>
              <w:spacing w:after="6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E90BEC">
              <w:rPr>
                <w:rFonts w:ascii="Arabic Typesetting" w:eastAsia="Arabic Typesetting" w:hAnsi="Arabic Typesetting" w:cs="Arabic Typesetting"/>
                <w:i/>
                <w:iCs/>
                <w:sz w:val="28"/>
                <w:szCs w:val="28"/>
                <w:rtl/>
                <w:lang w:eastAsia="ar-EG" w:bidi="ar-EG"/>
              </w:rPr>
              <w:t>:</w:t>
            </w:r>
            <w:r w:rsidRPr="00E90BEC">
              <w:rPr>
                <w:rFonts w:ascii="Arabic Typesetting" w:eastAsia="Arabic Typesetting" w:hAnsi="Arabic Typesetting" w:cs="Arabic Typesetting"/>
                <w:i/>
                <w:sz w:val="28"/>
                <w:szCs w:val="28"/>
                <w:lang w:eastAsia="ar-EG" w:bidi="ar-EG"/>
              </w:rPr>
              <w:br/>
            </w:r>
            <w:r w:rsidRPr="00E90BEC">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E90BEC">
              <w:rPr>
                <w:rFonts w:ascii="Arabic Typesetting" w:eastAsia="Arabic Typesetting" w:hAnsi="Arabic Typesetting" w:cs="Arabic Typesetting"/>
                <w:color w:val="000000"/>
                <w:sz w:val="28"/>
                <w:szCs w:val="28"/>
                <w:rtl/>
                <w:lang w:eastAsia="ar-EG" w:bidi="ar-EG"/>
              </w:rPr>
              <w:t>واجهتان إلكترونيتان لنظام لاهاي</w:t>
            </w:r>
          </w:p>
        </w:tc>
        <w:tc>
          <w:tcPr>
            <w:tcW w:w="1067" w:type="pct"/>
            <w:shd w:val="clear" w:color="auto" w:fill="auto"/>
            <w:tcMar>
              <w:top w:w="110" w:type="dxa"/>
              <w:left w:w="58" w:type="dxa"/>
              <w:right w:w="58" w:type="dxa"/>
            </w:tcMar>
          </w:tcPr>
          <w:p w14:paraId="1F374EA0"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6 واجهات إلكترونية إضافية لنظام لاهاي</w:t>
            </w:r>
          </w:p>
        </w:tc>
        <w:tc>
          <w:tcPr>
            <w:tcW w:w="969" w:type="pct"/>
            <w:shd w:val="clear" w:color="auto" w:fill="FFFFFF"/>
            <w:tcMar>
              <w:top w:w="110" w:type="dxa"/>
              <w:left w:w="58" w:type="dxa"/>
              <w:right w:w="58" w:type="dxa"/>
            </w:tcMar>
          </w:tcPr>
          <w:p w14:paraId="27D00EFE" w14:textId="77777777" w:rsidR="00C31D09" w:rsidRPr="00E90BEC" w:rsidRDefault="00C31D09" w:rsidP="0031289D">
            <w:pPr>
              <w:bidi/>
              <w:spacing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 xml:space="preserve">أتمتة معالجة الردود على المخالفات (المرسلة </w:t>
            </w:r>
            <w:r>
              <w:rPr>
                <w:rFonts w:ascii="Arabic Typesetting" w:eastAsia="Arabic Typesetting" w:hAnsi="Arabic Typesetting" w:cs="Arabic Typesetting"/>
                <w:color w:val="000000"/>
                <w:sz w:val="28"/>
                <w:szCs w:val="28"/>
                <w:rtl/>
                <w:lang w:eastAsia="ar-EG" w:bidi="ar-EG"/>
              </w:rPr>
              <w:t>عبر نظام الإيداع الإلكتروني) في</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عام</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2016</w:t>
            </w:r>
          </w:p>
          <w:p w14:paraId="73DBE8F5"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(التراكمي 5)</w:t>
            </w:r>
          </w:p>
        </w:tc>
        <w:tc>
          <w:tcPr>
            <w:tcW w:w="521" w:type="pct"/>
            <w:shd w:val="clear" w:color="auto" w:fill="auto"/>
            <w:tcMar>
              <w:top w:w="110" w:type="dxa"/>
              <w:left w:w="58" w:type="dxa"/>
              <w:right w:w="58" w:type="dxa"/>
            </w:tcMar>
          </w:tcPr>
          <w:p w14:paraId="5684F22B" w14:textId="77777777" w:rsidR="00C31D09" w:rsidRPr="00E90BEC" w:rsidRDefault="00C31D09"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E90BEC">
              <w:rPr>
                <w:rFonts w:ascii="Arabic Typesetting" w:eastAsia="Arabic Typesetting" w:hAnsi="Arabic Typesetting" w:cs="Arabic Typesetting"/>
                <w:b/>
                <w:bCs/>
                <w:color w:val="FF0000"/>
                <w:sz w:val="28"/>
                <w:szCs w:val="28"/>
                <w:rtl/>
                <w:lang w:eastAsia="ar-EG" w:bidi="ar-EG"/>
              </w:rPr>
              <w:t>غير ثابت</w:t>
            </w:r>
          </w:p>
        </w:tc>
      </w:tr>
      <w:tr w:rsidR="00C31D09" w:rsidRPr="00E90BEC" w14:paraId="4457971E" w14:textId="77777777" w:rsidTr="004B40B5">
        <w:trPr>
          <w:trHeight w:val="345"/>
        </w:trPr>
        <w:tc>
          <w:tcPr>
            <w:tcW w:w="1027" w:type="pct"/>
            <w:shd w:val="clear" w:color="auto" w:fill="auto"/>
            <w:tcMar>
              <w:left w:w="58" w:type="dxa"/>
              <w:right w:w="58" w:type="dxa"/>
            </w:tcMar>
          </w:tcPr>
          <w:p w14:paraId="725CF561" w14:textId="77777777" w:rsidR="00C31D09" w:rsidRPr="00E90BEC" w:rsidRDefault="00C31D09" w:rsidP="0031289D">
            <w:pPr>
              <w:bidi/>
              <w:spacing w:after="60" w:line="280" w:lineRule="exact"/>
              <w:ind w:right="-57"/>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 xml:space="preserve">التقديم المستقر لخدمات تكنولوجيا المعلومات المتطورة </w:t>
            </w:r>
            <w:r>
              <w:rPr>
                <w:rFonts w:ascii="Arabic Typesetting" w:eastAsia="Arabic Typesetting" w:hAnsi="Arabic Typesetting" w:cs="Arabic Typesetting"/>
                <w:color w:val="000000"/>
                <w:sz w:val="28"/>
                <w:szCs w:val="28"/>
                <w:rtl/>
                <w:lang w:eastAsia="ar-EG" w:bidi="ar-EG"/>
              </w:rPr>
              <w:t>من قبل مكاتب نظام لاهاي</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الخلفية</w:t>
            </w:r>
          </w:p>
        </w:tc>
        <w:tc>
          <w:tcPr>
            <w:tcW w:w="1416" w:type="pct"/>
            <w:shd w:val="clear" w:color="auto" w:fill="auto"/>
            <w:tcMar>
              <w:left w:w="58" w:type="dxa"/>
              <w:right w:w="58" w:type="dxa"/>
            </w:tcMar>
          </w:tcPr>
          <w:p w14:paraId="733E863E" w14:textId="77777777" w:rsidR="00C31D09" w:rsidRPr="00E90BEC" w:rsidRDefault="00C31D09" w:rsidP="0031289D">
            <w:pPr>
              <w:bidi/>
              <w:spacing w:after="6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لا انقطاع في الخدمات و</w:t>
            </w:r>
            <w:r>
              <w:rPr>
                <w:rFonts w:ascii="Arabic Typesetting" w:eastAsia="Arabic Typesetting" w:hAnsi="Arabic Typesetting" w:cs="Arabic Typesetting" w:hint="cs"/>
                <w:color w:val="000000"/>
                <w:sz w:val="28"/>
                <w:szCs w:val="28"/>
                <w:rtl/>
                <w:lang w:eastAsia="ar-EG" w:bidi="ar-EG"/>
              </w:rPr>
              <w:t>ال</w:t>
            </w:r>
            <w:r w:rsidRPr="00E90BEC">
              <w:rPr>
                <w:rFonts w:ascii="Arabic Typesetting" w:eastAsia="Arabic Typesetting" w:hAnsi="Arabic Typesetting" w:cs="Arabic Typesetting"/>
                <w:color w:val="000000"/>
                <w:sz w:val="28"/>
                <w:szCs w:val="28"/>
                <w:rtl/>
                <w:lang w:eastAsia="ar-EG" w:bidi="ar-EG"/>
              </w:rPr>
              <w:t>تحسينات منفذة في</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موعدها</w:t>
            </w:r>
          </w:p>
        </w:tc>
        <w:tc>
          <w:tcPr>
            <w:tcW w:w="1067" w:type="pct"/>
            <w:shd w:val="clear" w:color="auto" w:fill="auto"/>
            <w:tcMar>
              <w:top w:w="110" w:type="dxa"/>
              <w:left w:w="58" w:type="dxa"/>
              <w:right w:w="58" w:type="dxa"/>
            </w:tcMar>
          </w:tcPr>
          <w:p w14:paraId="40B0EA0A" w14:textId="77777777" w:rsidR="00C31D09" w:rsidRDefault="00C31D09" w:rsidP="0031289D">
            <w:pPr>
              <w:bidi/>
              <w:spacing w:after="6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لا انقطاع في الخدمات</w:t>
            </w:r>
          </w:p>
          <w:p w14:paraId="5E0F62AA" w14:textId="77777777" w:rsidR="00C31D09" w:rsidRPr="00E90BEC" w:rsidRDefault="00C31D09" w:rsidP="0031289D">
            <w:pPr>
              <w:bidi/>
              <w:spacing w:after="6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تنفيذ التحسينات وإطلاقها في</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موعدها</w:t>
            </w:r>
          </w:p>
        </w:tc>
        <w:tc>
          <w:tcPr>
            <w:tcW w:w="969" w:type="pct"/>
            <w:shd w:val="clear" w:color="auto" w:fill="FFFFFF"/>
            <w:tcMar>
              <w:top w:w="110" w:type="dxa"/>
              <w:left w:w="58" w:type="dxa"/>
              <w:right w:w="58" w:type="dxa"/>
            </w:tcMar>
          </w:tcPr>
          <w:p w14:paraId="0F48F638" w14:textId="77777777" w:rsidR="00C31D09" w:rsidRDefault="00C31D09" w:rsidP="0031289D">
            <w:pPr>
              <w:bidi/>
              <w:spacing w:after="6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لا انقطاع في الخدمات في عام</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2016</w:t>
            </w:r>
          </w:p>
          <w:p w14:paraId="7D1A6961" w14:textId="77777777" w:rsidR="00C31D09" w:rsidRPr="00E90BEC" w:rsidRDefault="00C31D09" w:rsidP="0031289D">
            <w:pPr>
              <w:bidi/>
              <w:spacing w:after="6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تنفيذ تحسينات محددة وإطلاقها في موعدها وفقاً</w:t>
            </w:r>
            <w:r>
              <w:rPr>
                <w:rFonts w:ascii="Arabic Typesetting" w:eastAsia="Arabic Typesetting" w:hAnsi="Arabic Typesetting" w:cs="Arabic Typesetting" w:hint="cs"/>
                <w:color w:val="000000"/>
                <w:sz w:val="28"/>
                <w:szCs w:val="28"/>
                <w:rtl/>
                <w:lang w:eastAsia="ar-EG" w:bidi="ar-EG"/>
              </w:rPr>
              <w:t> </w:t>
            </w:r>
            <w:r w:rsidRPr="00E90BEC">
              <w:rPr>
                <w:rFonts w:ascii="Arabic Typesetting" w:eastAsia="Arabic Typesetting" w:hAnsi="Arabic Typesetting" w:cs="Arabic Typesetting"/>
                <w:color w:val="000000"/>
                <w:sz w:val="28"/>
                <w:szCs w:val="28"/>
                <w:rtl/>
                <w:lang w:eastAsia="ar-EG" w:bidi="ar-EG"/>
              </w:rPr>
              <w:t>للمتطلبات المحددة</w:t>
            </w:r>
          </w:p>
        </w:tc>
        <w:tc>
          <w:tcPr>
            <w:tcW w:w="521" w:type="pct"/>
            <w:shd w:val="clear" w:color="auto" w:fill="auto"/>
            <w:tcMar>
              <w:top w:w="110" w:type="dxa"/>
              <w:left w:w="58" w:type="dxa"/>
              <w:right w:w="58" w:type="dxa"/>
            </w:tcMar>
          </w:tcPr>
          <w:p w14:paraId="7949A06D" w14:textId="77777777" w:rsidR="00C31D09" w:rsidRDefault="00C31D09" w:rsidP="0031289D">
            <w:pPr>
              <w:bidi/>
              <w:spacing w:after="400" w:line="280" w:lineRule="exact"/>
              <w:jc w:val="center"/>
              <w:rPr>
                <w:rFonts w:ascii="Arabic Typesetting" w:eastAsia="Arabic Typesetting" w:hAnsi="Arabic Typesetting" w:cs="Arabic Typesetting"/>
                <w:b/>
                <w:color w:val="00B050"/>
                <w:sz w:val="28"/>
                <w:szCs w:val="28"/>
                <w:lang w:eastAsia="ar-EG" w:bidi="ar-EG"/>
              </w:rPr>
            </w:pPr>
            <w:r w:rsidRPr="00E90BEC">
              <w:rPr>
                <w:rFonts w:ascii="Arabic Typesetting" w:eastAsia="Arabic Typesetting" w:hAnsi="Arabic Typesetting" w:cs="Arabic Typesetting"/>
                <w:b/>
                <w:bCs/>
                <w:color w:val="00B050"/>
                <w:sz w:val="28"/>
                <w:szCs w:val="28"/>
                <w:rtl/>
                <w:lang w:eastAsia="ar-EG" w:bidi="ar-EG"/>
              </w:rPr>
              <w:t>ثابت</w:t>
            </w:r>
          </w:p>
          <w:p w14:paraId="189C6EE9" w14:textId="77777777" w:rsidR="00C31D09" w:rsidRPr="00E90BEC" w:rsidRDefault="00C31D09"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E90BEC">
              <w:rPr>
                <w:rFonts w:ascii="Arabic Typesetting" w:eastAsia="Arabic Typesetting" w:hAnsi="Arabic Typesetting" w:cs="Arabic Typesetting"/>
                <w:b/>
                <w:bCs/>
                <w:color w:val="00B050"/>
                <w:sz w:val="28"/>
                <w:szCs w:val="28"/>
                <w:rtl/>
                <w:lang w:eastAsia="ar-EG" w:bidi="ar-EG"/>
              </w:rPr>
              <w:t>ثابت</w:t>
            </w:r>
          </w:p>
        </w:tc>
      </w:tr>
      <w:tr w:rsidR="00C31D09" w:rsidRPr="00E90BEC" w14:paraId="342EE024" w14:textId="77777777" w:rsidTr="004B40B5">
        <w:trPr>
          <w:trHeight w:val="3802"/>
        </w:trPr>
        <w:tc>
          <w:tcPr>
            <w:tcW w:w="1027" w:type="pct"/>
            <w:shd w:val="clear" w:color="auto" w:fill="auto"/>
            <w:tcMar>
              <w:left w:w="58" w:type="dxa"/>
              <w:right w:w="58" w:type="dxa"/>
            </w:tcMar>
          </w:tcPr>
          <w:p w14:paraId="6F4D35C2" w14:textId="77777777" w:rsidR="00C31D09" w:rsidRPr="00E90BEC" w:rsidRDefault="00C31D09" w:rsidP="0031289D">
            <w:pPr>
              <w:bidi/>
              <w:spacing w:after="120" w:line="280" w:lineRule="exact"/>
              <w:ind w:right="-57"/>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مرونة البيانات المدونة في السجل الدولي</w:t>
            </w:r>
          </w:p>
        </w:tc>
        <w:tc>
          <w:tcPr>
            <w:tcW w:w="1416" w:type="pct"/>
            <w:shd w:val="clear" w:color="auto" w:fill="auto"/>
            <w:tcMar>
              <w:left w:w="58" w:type="dxa"/>
              <w:right w:w="58" w:type="dxa"/>
            </w:tcMar>
          </w:tcPr>
          <w:p w14:paraId="001447D8" w14:textId="77777777" w:rsidR="00C31D09" w:rsidRDefault="00C31D09" w:rsidP="0031289D">
            <w:pPr>
              <w:bidi/>
              <w:spacing w:after="60" w:line="280" w:lineRule="exact"/>
              <w:rPr>
                <w:rFonts w:ascii="Arabic Typesetting" w:eastAsia="Arabic Typesetting" w:hAnsi="Arabic Typesetting" w:cs="Arabic Typesetting"/>
                <w:color w:val="002060"/>
                <w:sz w:val="28"/>
                <w:szCs w:val="28"/>
                <w:lang w:eastAsia="ar-EG" w:bidi="ar-EG"/>
              </w:rPr>
            </w:pPr>
            <w:r w:rsidRPr="00E90BEC">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E90BEC">
              <w:rPr>
                <w:rFonts w:ascii="Arabic Typesetting" w:eastAsia="Arabic Typesetting" w:hAnsi="Arabic Typesetting" w:cs="Arabic Typesetting"/>
                <w:color w:val="002060"/>
                <w:sz w:val="28"/>
                <w:szCs w:val="28"/>
                <w:rtl/>
                <w:lang w:eastAsia="ar-EG" w:bidi="ar-EG"/>
              </w:rPr>
              <w:t>أحرز تقدم في اختيارات التصميم ولكن كان التنفيذ مزمع عقب تحويل النظام المعلوماتي الأساسي ولكن لم يحدث هذا التحول خلال الثنائية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E90BEC">
              <w:rPr>
                <w:rFonts w:ascii="Arabic Typesetting" w:eastAsia="Arabic Typesetting" w:hAnsi="Arabic Typesetting" w:cs="Arabic Typesetting"/>
                <w:color w:val="002060"/>
                <w:sz w:val="28"/>
                <w:szCs w:val="28"/>
                <w:rtl/>
                <w:lang w:eastAsia="ar-EG" w:bidi="ar-EG"/>
              </w:rPr>
              <w:t>نظام معلومات سجلات التصاميم الدولية (</w:t>
            </w:r>
            <w:r w:rsidRPr="00E90BEC">
              <w:rPr>
                <w:rFonts w:ascii="Arabic Typesetting" w:eastAsia="Arabic Typesetting" w:hAnsi="Arabic Typesetting" w:cs="Arabic Typesetting"/>
                <w:color w:val="002060"/>
                <w:sz w:val="28"/>
                <w:szCs w:val="28"/>
                <w:lang w:eastAsia="ar-EG" w:bidi="ar-EG"/>
              </w:rPr>
              <w:t>DIRIS</w:t>
            </w:r>
            <w:r w:rsidRPr="00E90BEC">
              <w:rPr>
                <w:rFonts w:ascii="Arabic Typesetting" w:eastAsia="Arabic Typesetting" w:hAnsi="Arabic Typesetting" w:cs="Arabic Typesetting"/>
                <w:color w:val="002060"/>
                <w:sz w:val="28"/>
                <w:szCs w:val="28"/>
                <w:rtl/>
                <w:lang w:eastAsia="ar-EG" w:bidi="ar-EG"/>
              </w:rPr>
              <w:t>).</w:t>
            </w:r>
          </w:p>
          <w:p w14:paraId="2514E065" w14:textId="77777777" w:rsidR="00C31D09" w:rsidRDefault="00C31D09" w:rsidP="0031289D">
            <w:pPr>
              <w:bidi/>
              <w:spacing w:after="6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E90BEC">
              <w:rPr>
                <w:rFonts w:ascii="Arabic Typesetting" w:eastAsia="Arabic Typesetting" w:hAnsi="Arabic Typesetting" w:cs="Arabic Typesetting"/>
                <w:i/>
                <w:iCs/>
                <w:sz w:val="28"/>
                <w:szCs w:val="28"/>
                <w:rtl/>
                <w:lang w:eastAsia="ar-EG" w:bidi="ar-EG"/>
              </w:rPr>
              <w:t>:</w:t>
            </w:r>
            <w:r w:rsidRPr="00E90BEC">
              <w:rPr>
                <w:rFonts w:ascii="Arabic Typesetting" w:eastAsia="Arabic Typesetting" w:hAnsi="Arabic Typesetting" w:cs="Arabic Typesetting"/>
                <w:i/>
                <w:sz w:val="28"/>
                <w:szCs w:val="28"/>
                <w:lang w:eastAsia="ar-EG" w:bidi="ar-EG"/>
              </w:rPr>
              <w:br/>
            </w:r>
            <w:r w:rsidRPr="00E90BEC">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E90BEC">
              <w:rPr>
                <w:rFonts w:ascii="Arabic Typesetting" w:eastAsia="Arabic Typesetting" w:hAnsi="Arabic Typesetting" w:cs="Arabic Typesetting"/>
                <w:color w:val="000000"/>
                <w:sz w:val="28"/>
                <w:szCs w:val="28"/>
                <w:rtl/>
                <w:lang w:eastAsia="ar-EG" w:bidi="ar-EG"/>
              </w:rPr>
              <w:t>بعد إدخال تعديلات على الإطار القانوني لنظام لاهاي، يمكن بيان مزيد من المرونة بشأن المحتويات الاختيارية في طلب</w:t>
            </w:r>
            <w:r>
              <w:rPr>
                <w:rFonts w:ascii="Arabic Typesetting" w:eastAsia="Arabic Typesetting" w:hAnsi="Arabic Typesetting" w:cs="Arabic Typesetting"/>
                <w:color w:val="000000"/>
                <w:sz w:val="28"/>
                <w:szCs w:val="28"/>
                <w:rtl/>
                <w:lang w:eastAsia="ar-EG" w:bidi="ar-EG"/>
              </w:rPr>
              <w:t xml:space="preserve"> دولي وتدوينها في السجل الدولي.</w:t>
            </w:r>
          </w:p>
          <w:p w14:paraId="2CF13BA4"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عدم القدرة على تسجيل معلومات تفصيلية عن التصاميم</w:t>
            </w:r>
          </w:p>
        </w:tc>
        <w:tc>
          <w:tcPr>
            <w:tcW w:w="1067" w:type="pct"/>
            <w:shd w:val="clear" w:color="auto" w:fill="auto"/>
            <w:tcMar>
              <w:top w:w="110" w:type="dxa"/>
              <w:left w:w="58" w:type="dxa"/>
              <w:right w:w="58" w:type="dxa"/>
            </w:tcMar>
          </w:tcPr>
          <w:p w14:paraId="3D89C57D" w14:textId="77777777" w:rsidR="00C31D09"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مرونة البيانات المدونة في السجل الدولي وإمكانية تحديد محتويات اختيارية إ</w:t>
            </w:r>
            <w:r>
              <w:rPr>
                <w:rFonts w:ascii="Arabic Typesetting" w:eastAsia="Arabic Typesetting" w:hAnsi="Arabic Typesetting" w:cs="Arabic Typesetting"/>
                <w:color w:val="000000"/>
                <w:sz w:val="28"/>
                <w:szCs w:val="28"/>
                <w:rtl/>
                <w:lang w:eastAsia="ar-EG" w:bidi="ar-EG"/>
              </w:rPr>
              <w:t>ضافية وتدوينها في السجل الدولي</w:t>
            </w:r>
          </w:p>
          <w:p w14:paraId="696A2E1D"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القدرة على تسجيل معلومات تفصيلية عن التصاميم</w:t>
            </w:r>
          </w:p>
        </w:tc>
        <w:tc>
          <w:tcPr>
            <w:tcW w:w="969" w:type="pct"/>
            <w:shd w:val="clear" w:color="auto" w:fill="FFFFFF"/>
            <w:tcMar>
              <w:top w:w="110" w:type="dxa"/>
              <w:left w:w="58" w:type="dxa"/>
              <w:right w:w="58" w:type="dxa"/>
            </w:tcMar>
          </w:tcPr>
          <w:p w14:paraId="29780958"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 xml:space="preserve">عدم القدرة على تدوين واستخراج وإرسال بيانات مركزة على التصاميم وبيانات </w:t>
            </w:r>
            <w:r>
              <w:rPr>
                <w:rFonts w:ascii="Arabic Typesetting" w:eastAsia="Arabic Typesetting" w:hAnsi="Arabic Typesetting" w:cs="Arabic Typesetting"/>
                <w:color w:val="000000"/>
                <w:sz w:val="28"/>
                <w:szCs w:val="28"/>
                <w:rtl/>
                <w:lang w:eastAsia="ar-EG" w:bidi="ar-EG"/>
              </w:rPr>
              <w:t>بحروف غير لاتينية</w:t>
            </w:r>
          </w:p>
        </w:tc>
        <w:tc>
          <w:tcPr>
            <w:tcW w:w="521" w:type="pct"/>
            <w:shd w:val="clear" w:color="auto" w:fill="auto"/>
            <w:tcMar>
              <w:top w:w="110" w:type="dxa"/>
              <w:left w:w="58" w:type="dxa"/>
              <w:right w:w="58" w:type="dxa"/>
            </w:tcMar>
          </w:tcPr>
          <w:p w14:paraId="7D0B43A4" w14:textId="77777777" w:rsidR="00C31D09" w:rsidRPr="00E90BEC" w:rsidRDefault="00C31D09" w:rsidP="0031289D">
            <w:pPr>
              <w:bidi/>
              <w:spacing w:after="120" w:line="280" w:lineRule="exact"/>
              <w:jc w:val="center"/>
              <w:rPr>
                <w:rFonts w:ascii="Arabic Typesetting" w:eastAsia="Arabic Typesetting" w:hAnsi="Arabic Typesetting" w:cs="Arabic Typesetting"/>
                <w:b/>
                <w:color w:val="76923C"/>
                <w:sz w:val="28"/>
                <w:szCs w:val="28"/>
                <w:lang w:eastAsia="ar-EG" w:bidi="ar-EG"/>
              </w:rPr>
            </w:pPr>
            <w:r w:rsidRPr="00E90BEC">
              <w:rPr>
                <w:rFonts w:ascii="Arabic Typesetting" w:eastAsia="Arabic Typesetting" w:hAnsi="Arabic Typesetting" w:cs="Arabic Typesetting"/>
                <w:b/>
                <w:bCs/>
                <w:color w:val="FF0000"/>
                <w:sz w:val="28"/>
                <w:szCs w:val="28"/>
                <w:rtl/>
                <w:lang w:eastAsia="ar-EG" w:bidi="ar-EG"/>
              </w:rPr>
              <w:t>غير ثابت</w:t>
            </w:r>
          </w:p>
        </w:tc>
      </w:tr>
      <w:tr w:rsidR="00C31D09" w:rsidRPr="00E90BEC" w14:paraId="350E09B5" w14:textId="77777777" w:rsidTr="004B40B5">
        <w:trPr>
          <w:trHeight w:val="2159"/>
        </w:trPr>
        <w:tc>
          <w:tcPr>
            <w:tcW w:w="1027" w:type="pct"/>
            <w:shd w:val="clear" w:color="auto" w:fill="auto"/>
            <w:tcMar>
              <w:left w:w="58" w:type="dxa"/>
              <w:right w:w="58" w:type="dxa"/>
            </w:tcMar>
          </w:tcPr>
          <w:p w14:paraId="05599EC5" w14:textId="77777777" w:rsidR="00C31D09" w:rsidRPr="00E90BEC" w:rsidRDefault="00C31D09" w:rsidP="0031289D">
            <w:pPr>
              <w:bidi/>
              <w:spacing w:after="120" w:line="280" w:lineRule="exact"/>
              <w:ind w:right="-57"/>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3 إصدارات من نظام معلومات السجل الدولي للتصاميم (</w:t>
            </w:r>
            <w:r w:rsidRPr="00E90BEC">
              <w:rPr>
                <w:rFonts w:ascii="Arabic Typesetting" w:eastAsia="Arabic Typesetting" w:hAnsi="Arabic Typesetting" w:cs="Arabic Typesetting"/>
                <w:color w:val="000000"/>
                <w:sz w:val="28"/>
                <w:szCs w:val="28"/>
                <w:lang w:eastAsia="ar-EG" w:bidi="ar-EG"/>
              </w:rPr>
              <w:t>DIRIS</w:t>
            </w:r>
            <w:r w:rsidRPr="00E90BEC">
              <w:rPr>
                <w:rFonts w:ascii="Arabic Typesetting" w:eastAsia="Arabic Typesetting" w:hAnsi="Arabic Typesetting" w:cs="Arabic Typesetting"/>
                <w:color w:val="000000"/>
                <w:sz w:val="28"/>
                <w:szCs w:val="28"/>
                <w:rtl/>
                <w:lang w:eastAsia="ar-EG" w:bidi="ar-EG"/>
              </w:rPr>
              <w:t xml:space="preserve">) منشورة، </w:t>
            </w:r>
            <w:r>
              <w:rPr>
                <w:rFonts w:ascii="Arabic Typesetting" w:eastAsia="Arabic Typesetting" w:hAnsi="Arabic Typesetting" w:cs="Arabic Typesetting"/>
                <w:color w:val="000000"/>
                <w:sz w:val="28"/>
                <w:szCs w:val="28"/>
                <w:rtl/>
                <w:lang w:eastAsia="ar-EG" w:bidi="ar-EG"/>
              </w:rPr>
              <w:t>و3 إصدارات من نظام لاهاي منشورة</w:t>
            </w:r>
          </w:p>
          <w:p w14:paraId="5A2CAF4D" w14:textId="77777777" w:rsidR="00C31D09" w:rsidRPr="00E90BEC" w:rsidRDefault="00C31D09" w:rsidP="0031289D">
            <w:pPr>
              <w:bidi/>
              <w:spacing w:after="120" w:line="280" w:lineRule="exact"/>
              <w:ind w:right="-57"/>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‏الإيداع الإلكتروني</w:t>
            </w:r>
          </w:p>
        </w:tc>
        <w:tc>
          <w:tcPr>
            <w:tcW w:w="1416" w:type="pct"/>
            <w:shd w:val="clear" w:color="auto" w:fill="auto"/>
            <w:tcMar>
              <w:left w:w="58" w:type="dxa"/>
              <w:right w:w="58" w:type="dxa"/>
            </w:tcMar>
          </w:tcPr>
          <w:p w14:paraId="7F4DFE9A"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نظام معلومات السجل الدولي للتصاميم (</w:t>
            </w:r>
            <w:r w:rsidRPr="00E90BEC">
              <w:rPr>
                <w:rFonts w:ascii="Arabic Typesetting" w:eastAsia="Arabic Typesetting" w:hAnsi="Arabic Typesetting" w:cs="Arabic Typesetting"/>
                <w:color w:val="000000"/>
                <w:sz w:val="28"/>
                <w:szCs w:val="28"/>
                <w:lang w:eastAsia="ar-EG" w:bidi="ar-EG"/>
              </w:rPr>
              <w:t>DIRIS</w:t>
            </w:r>
            <w:r w:rsidRPr="00E90BEC">
              <w:rPr>
                <w:rFonts w:ascii="Arabic Typesetting" w:eastAsia="Arabic Typesetting" w:hAnsi="Arabic Typesetting" w:cs="Arabic Typesetting"/>
                <w:color w:val="000000"/>
                <w:sz w:val="28"/>
                <w:szCs w:val="28"/>
                <w:rtl/>
                <w:lang w:eastAsia="ar-EG" w:bidi="ar-EG"/>
              </w:rPr>
              <w:t>) غير منشور، ونظام الإيداع الإلكتروني (أداة لاهاي لإدارة المحافظ) قيد الإنتاج، والتصميم الحالي لقاعدة البيانات لا يدمج التفاصيل المطلوبة حديثاً، والإيداع الإلكتروني لا يسمح بالرد الإلكتروني على خطابات المخالفات</w:t>
            </w:r>
            <w:r>
              <w:rPr>
                <w:rFonts w:ascii="Arabic Typesetting" w:eastAsia="Arabic Typesetting" w:hAnsi="Arabic Typesetting" w:cs="Arabic Typesetting" w:hint="cs"/>
                <w:color w:val="000000"/>
                <w:sz w:val="28"/>
                <w:szCs w:val="28"/>
                <w:rtl/>
                <w:lang w:eastAsia="ar-EG" w:bidi="ar-EG"/>
              </w:rPr>
              <w:t>.</w:t>
            </w:r>
          </w:p>
        </w:tc>
        <w:tc>
          <w:tcPr>
            <w:tcW w:w="1067" w:type="pct"/>
            <w:shd w:val="clear" w:color="auto" w:fill="auto"/>
            <w:tcMar>
              <w:top w:w="110" w:type="dxa"/>
              <w:left w:w="58" w:type="dxa"/>
              <w:right w:w="58" w:type="dxa"/>
            </w:tcMar>
          </w:tcPr>
          <w:p w14:paraId="6E2D4DC8" w14:textId="77777777" w:rsidR="00C31D09"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3 إصدارات جديدة من نظام معلومات السجل الدولي للتصاميم (</w:t>
            </w:r>
            <w:r w:rsidRPr="00E90BEC">
              <w:rPr>
                <w:rFonts w:ascii="Arabic Typesetting" w:eastAsia="Arabic Typesetting" w:hAnsi="Arabic Typesetting" w:cs="Arabic Typesetting"/>
                <w:color w:val="000000"/>
                <w:sz w:val="28"/>
                <w:szCs w:val="28"/>
                <w:lang w:eastAsia="ar-EG" w:bidi="ar-EG"/>
              </w:rPr>
              <w:t>DIRIS</w:t>
            </w:r>
            <w:r w:rsidRPr="00E90BEC">
              <w:rPr>
                <w:rFonts w:ascii="Arabic Typesetting" w:eastAsia="Arabic Typesetting" w:hAnsi="Arabic Typesetting" w:cs="Arabic Typesetting"/>
                <w:color w:val="000000"/>
                <w:sz w:val="28"/>
                <w:szCs w:val="28"/>
                <w:rtl/>
                <w:lang w:eastAsia="ar-EG" w:bidi="ar-EG"/>
              </w:rPr>
              <w:t>) منشورة</w:t>
            </w:r>
          </w:p>
          <w:p w14:paraId="5B0DEAD0"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3 إصدارات مُحدَّثة من نظام لاهاي للإيداع الإلكتروني منشورة، والرد الإلكتروني على المخالفات ممكن، وتصميم منطقي مُنقَّح لقاعدة البيانات</w:t>
            </w:r>
          </w:p>
        </w:tc>
        <w:tc>
          <w:tcPr>
            <w:tcW w:w="969" w:type="pct"/>
            <w:shd w:val="clear" w:color="auto" w:fill="FFFFFF"/>
            <w:tcMar>
              <w:top w:w="110" w:type="dxa"/>
              <w:left w:w="58" w:type="dxa"/>
              <w:right w:w="58" w:type="dxa"/>
            </w:tcMar>
          </w:tcPr>
          <w:p w14:paraId="3FF622D3" w14:textId="77777777" w:rsidR="00C31D09"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بدأ العمل في نهاية عام 2016 على منصة لاهاي المعلوماتية لتحل محل نظام معلومات السجل الدولي للتصاميم (</w:t>
            </w:r>
            <w:r w:rsidRPr="00E90BEC">
              <w:rPr>
                <w:rFonts w:ascii="Arabic Typesetting" w:eastAsia="Arabic Typesetting" w:hAnsi="Arabic Typesetting" w:cs="Arabic Typesetting"/>
                <w:color w:val="000000"/>
                <w:sz w:val="28"/>
                <w:szCs w:val="28"/>
                <w:lang w:eastAsia="ar-EG" w:bidi="ar-EG"/>
              </w:rPr>
              <w:t>DIRIS</w:t>
            </w:r>
            <w:r w:rsidRPr="00E90BEC">
              <w:rPr>
                <w:rFonts w:ascii="Arabic Typesetting" w:eastAsia="Arabic Typesetting" w:hAnsi="Arabic Typesetting" w:cs="Arabic Typesetting"/>
                <w:color w:val="000000"/>
                <w:sz w:val="28"/>
                <w:szCs w:val="28"/>
                <w:rtl/>
                <w:lang w:eastAsia="ar-EG" w:bidi="ar-EG"/>
              </w:rPr>
              <w:t>).</w:t>
            </w:r>
          </w:p>
          <w:p w14:paraId="60A2DCC1" w14:textId="77777777" w:rsidR="00C31D09" w:rsidRPr="00E90BEC" w:rsidRDefault="00C31D09" w:rsidP="0031289D">
            <w:pPr>
              <w:bidi/>
              <w:spacing w:after="120" w:line="280" w:lineRule="exact"/>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في عام 2016:</w:t>
            </w:r>
          </w:p>
          <w:p w14:paraId="62FBCBBA" w14:textId="77777777" w:rsidR="00C31D09" w:rsidRPr="00E90BEC" w:rsidRDefault="00C31D09" w:rsidP="0031289D">
            <w:pPr>
              <w:numPr>
                <w:ilvl w:val="0"/>
                <w:numId w:val="43"/>
              </w:numPr>
              <w:bidi/>
              <w:spacing w:after="120" w:line="280" w:lineRule="exact"/>
              <w:contextualSpacing/>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نظام الإيداع الإلكتروني أتاح الرد الإلكتروني على خطابات المخالفات (أبريل 2016)؛</w:t>
            </w:r>
          </w:p>
          <w:p w14:paraId="70C382D2" w14:textId="77777777" w:rsidR="00C31D09" w:rsidRPr="00E90BEC" w:rsidRDefault="00C31D09" w:rsidP="0031289D">
            <w:pPr>
              <w:numPr>
                <w:ilvl w:val="0"/>
                <w:numId w:val="43"/>
              </w:numPr>
              <w:bidi/>
              <w:spacing w:after="120" w:line="280" w:lineRule="exact"/>
              <w:contextualSpacing/>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5 إصدارات مُحدَّثة من نظام لاهاي للإيداع الإلكتروني منشورة.</w:t>
            </w:r>
          </w:p>
        </w:tc>
        <w:tc>
          <w:tcPr>
            <w:tcW w:w="521" w:type="pct"/>
            <w:shd w:val="clear" w:color="auto" w:fill="auto"/>
            <w:tcMar>
              <w:top w:w="110" w:type="dxa"/>
              <w:left w:w="58" w:type="dxa"/>
              <w:right w:w="58" w:type="dxa"/>
            </w:tcMar>
          </w:tcPr>
          <w:p w14:paraId="177EB3D8" w14:textId="77777777" w:rsidR="00C31D09" w:rsidRDefault="00C31D09"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E90BEC">
              <w:rPr>
                <w:rFonts w:ascii="Arabic Typesetting" w:eastAsia="Arabic Typesetting" w:hAnsi="Arabic Typesetting" w:cs="Arabic Typesetting"/>
                <w:color w:val="000000"/>
                <w:sz w:val="28"/>
                <w:szCs w:val="28"/>
                <w:rtl/>
                <w:lang w:eastAsia="ar-EG" w:bidi="ar-EG"/>
              </w:rPr>
              <w:t>‏منقطع</w:t>
            </w:r>
          </w:p>
          <w:p w14:paraId="72C61B31" w14:textId="77777777" w:rsidR="00C31D09" w:rsidRPr="00E90BEC" w:rsidRDefault="00C31D09"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E90BEC">
              <w:rPr>
                <w:rFonts w:ascii="Arabic Typesetting" w:eastAsia="Arabic Typesetting" w:hAnsi="Arabic Typesetting" w:cs="Arabic Typesetting"/>
                <w:b/>
                <w:bCs/>
                <w:color w:val="00B050"/>
                <w:sz w:val="28"/>
                <w:szCs w:val="28"/>
                <w:rtl/>
                <w:lang w:eastAsia="ar-EG" w:bidi="ar-EG"/>
              </w:rPr>
              <w:t>ثابت</w:t>
            </w:r>
          </w:p>
        </w:tc>
      </w:tr>
    </w:tbl>
    <w:p w14:paraId="76973599" w14:textId="77777777" w:rsidR="00C31D09" w:rsidRDefault="00C31D09" w:rsidP="0031289D">
      <w:pPr>
        <w:bidi/>
      </w:pPr>
    </w:p>
    <w:tbl>
      <w:tblPr>
        <w:tblStyle w:val="TableGrid"/>
        <w:bidiVisual/>
        <w:tblW w:w="0" w:type="auto"/>
        <w:tblLook w:val="04A0" w:firstRow="1" w:lastRow="0" w:firstColumn="1" w:lastColumn="0" w:noHBand="0" w:noVBand="1"/>
      </w:tblPr>
      <w:tblGrid>
        <w:gridCol w:w="9571"/>
      </w:tblGrid>
      <w:tr w:rsidR="00C31D09" w14:paraId="16314757" w14:textId="77777777" w:rsidTr="004B40B5">
        <w:tc>
          <w:tcPr>
            <w:tcW w:w="9571" w:type="dxa"/>
            <w:tcBorders>
              <w:top w:val="nil"/>
              <w:left w:val="nil"/>
              <w:bottom w:val="nil"/>
              <w:right w:val="nil"/>
            </w:tcBorders>
            <w:shd w:val="clear" w:color="auto" w:fill="C6D9F1"/>
            <w:vAlign w:val="center"/>
          </w:tcPr>
          <w:p w14:paraId="21F02E69" w14:textId="77777777" w:rsidR="00C31D09" w:rsidRPr="00A2672B" w:rsidRDefault="00C31D09" w:rsidP="0031289D">
            <w:pPr>
              <w:keepNext/>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31</w:t>
            </w:r>
          </w:p>
        </w:tc>
      </w:tr>
    </w:tbl>
    <w:p w14:paraId="7B8A9C3C" w14:textId="77777777" w:rsidR="00C31D09" w:rsidRPr="00FE3908" w:rsidRDefault="00C31D09"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0F989C84" w14:textId="77777777" w:rsidR="00C31D09" w:rsidRDefault="00C31D09"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31D09" w:rsidRPr="00211D55" w14:paraId="15432338" w14:textId="77777777" w:rsidTr="004B40B5">
        <w:trPr>
          <w:trHeight w:val="825"/>
        </w:trPr>
        <w:tc>
          <w:tcPr>
            <w:tcW w:w="2753" w:type="pct"/>
            <w:gridSpan w:val="2"/>
            <w:shd w:val="clear" w:color="auto" w:fill="C6D9F1"/>
            <w:noWrap/>
            <w:tcMar>
              <w:top w:w="15" w:type="dxa"/>
              <w:left w:w="15" w:type="dxa"/>
              <w:bottom w:w="0" w:type="dxa"/>
              <w:right w:w="15" w:type="dxa"/>
            </w:tcMar>
            <w:vAlign w:val="center"/>
            <w:hideMark/>
          </w:tcPr>
          <w:p w14:paraId="6CB92B06" w14:textId="77777777" w:rsidR="00C31D09" w:rsidRPr="00A2672B" w:rsidRDefault="00C31D09"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16B4726E" w14:textId="77777777" w:rsidR="00C31D09" w:rsidRPr="00A2672B" w:rsidRDefault="00C31D09"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239692FF" w14:textId="77777777" w:rsidR="00C31D09" w:rsidRPr="00A2672B" w:rsidRDefault="00C31D09"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6291FA7B" w14:textId="77777777" w:rsidR="00C31D09" w:rsidRPr="00A2672B" w:rsidRDefault="00C31D09"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C31D09" w:rsidRPr="00211D55" w14:paraId="19F29140" w14:textId="77777777" w:rsidTr="004B40B5">
        <w:trPr>
          <w:trHeight w:val="55"/>
        </w:trPr>
        <w:tc>
          <w:tcPr>
            <w:tcW w:w="413" w:type="pct"/>
            <w:shd w:val="clear" w:color="auto" w:fill="auto"/>
            <w:noWrap/>
            <w:tcMar>
              <w:top w:w="15" w:type="dxa"/>
              <w:left w:w="15" w:type="dxa"/>
              <w:bottom w:w="0" w:type="dxa"/>
              <w:right w:w="15" w:type="dxa"/>
            </w:tcMar>
            <w:vAlign w:val="center"/>
          </w:tcPr>
          <w:p w14:paraId="4BAAC959" w14:textId="77777777" w:rsidR="00C31D09" w:rsidRPr="00211D55" w:rsidRDefault="00C31D09" w:rsidP="0031289D">
            <w:pPr>
              <w:bidi/>
              <w:spacing w:before="120" w:after="120"/>
              <w:rPr>
                <w:rFonts w:ascii="Arabic Typesetting" w:hAnsi="Arabic Typesetting" w:cs="Arabic Typesetting"/>
                <w:sz w:val="28"/>
                <w:szCs w:val="28"/>
              </w:rPr>
            </w:pPr>
            <w:r>
              <w:rPr>
                <w:rFonts w:ascii="Arabic Typesetting" w:hAnsi="Arabic Typesetting" w:cs="Arabic Typesetting" w:hint="cs"/>
                <w:sz w:val="28"/>
                <w:szCs w:val="28"/>
                <w:rtl/>
              </w:rPr>
              <w:t>ه4.2</w:t>
            </w:r>
          </w:p>
        </w:tc>
        <w:tc>
          <w:tcPr>
            <w:tcW w:w="2340" w:type="pct"/>
            <w:shd w:val="clear" w:color="auto" w:fill="auto"/>
            <w:tcMar>
              <w:top w:w="15" w:type="dxa"/>
              <w:left w:w="15" w:type="dxa"/>
              <w:bottom w:w="0" w:type="dxa"/>
              <w:right w:w="15" w:type="dxa"/>
            </w:tcMar>
            <w:vAlign w:val="center"/>
          </w:tcPr>
          <w:p w14:paraId="71FB4966" w14:textId="77777777" w:rsidR="00C31D09" w:rsidRPr="00211D55" w:rsidRDefault="00C31D09" w:rsidP="0031289D">
            <w:pPr>
              <w:bidi/>
              <w:spacing w:before="120" w:after="120"/>
              <w:rPr>
                <w:rFonts w:ascii="Arabic Typesetting" w:hAnsi="Arabic Typesetting" w:cs="Arabic Typesetting"/>
                <w:sz w:val="28"/>
                <w:szCs w:val="28"/>
              </w:rPr>
            </w:pPr>
            <w:r w:rsidRPr="00E90BEC">
              <w:rPr>
                <w:rFonts w:ascii="Arabic Typesetting" w:hAnsi="Arabic Typesetting" w:cs="Arabic Typesetting"/>
                <w:sz w:val="28"/>
                <w:szCs w:val="28"/>
                <w:rtl/>
              </w:rPr>
              <w:t>استخدام نظام لاهاي على نطاق أوسع وبفعالية أكبر، بما في ذلك من قبل البلدان النامية والبلدان الأقل نموا</w:t>
            </w:r>
          </w:p>
        </w:tc>
        <w:tc>
          <w:tcPr>
            <w:tcW w:w="749" w:type="pct"/>
            <w:shd w:val="clear" w:color="auto" w:fill="auto"/>
            <w:tcMar>
              <w:top w:w="15" w:type="dxa"/>
              <w:left w:w="15" w:type="dxa"/>
              <w:bottom w:w="0" w:type="dxa"/>
              <w:right w:w="15" w:type="dxa"/>
            </w:tcMar>
            <w:vAlign w:val="center"/>
          </w:tcPr>
          <w:p w14:paraId="503BC7BD"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5</w:t>
            </w:r>
            <w:r>
              <w:rPr>
                <w:rFonts w:ascii="Arabic Typesetting" w:hAnsi="Arabic Typesetting" w:cs="Arabic Typesetting"/>
                <w:color w:val="000000"/>
                <w:sz w:val="28"/>
                <w:szCs w:val="28"/>
              </w:rPr>
              <w:t> </w:t>
            </w:r>
            <w:r w:rsidRPr="00E90BEC">
              <w:rPr>
                <w:rFonts w:ascii="Arabic Typesetting" w:hAnsi="Arabic Typesetting" w:cs="Arabic Typesetting"/>
                <w:color w:val="000000"/>
                <w:sz w:val="28"/>
                <w:szCs w:val="28"/>
              </w:rPr>
              <w:t>337</w:t>
            </w:r>
          </w:p>
        </w:tc>
        <w:tc>
          <w:tcPr>
            <w:tcW w:w="749" w:type="pct"/>
            <w:shd w:val="clear" w:color="auto" w:fill="auto"/>
            <w:tcMar>
              <w:top w:w="15" w:type="dxa"/>
              <w:left w:w="15" w:type="dxa"/>
              <w:bottom w:w="0" w:type="dxa"/>
              <w:right w:w="15" w:type="dxa"/>
            </w:tcMar>
            <w:vAlign w:val="center"/>
          </w:tcPr>
          <w:p w14:paraId="206A76E7"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5</w:t>
            </w:r>
            <w:r>
              <w:rPr>
                <w:rFonts w:ascii="Arabic Typesetting" w:hAnsi="Arabic Typesetting" w:cs="Arabic Typesetting"/>
                <w:color w:val="000000"/>
                <w:sz w:val="28"/>
                <w:szCs w:val="28"/>
              </w:rPr>
              <w:t> </w:t>
            </w:r>
            <w:r w:rsidRPr="00E90BEC">
              <w:rPr>
                <w:rFonts w:ascii="Arabic Typesetting" w:hAnsi="Arabic Typesetting" w:cs="Arabic Typesetting"/>
                <w:color w:val="000000"/>
                <w:sz w:val="28"/>
                <w:szCs w:val="28"/>
              </w:rPr>
              <w:t>865</w:t>
            </w:r>
          </w:p>
        </w:tc>
        <w:tc>
          <w:tcPr>
            <w:tcW w:w="749" w:type="pct"/>
            <w:shd w:val="clear" w:color="auto" w:fill="auto"/>
            <w:noWrap/>
            <w:tcMar>
              <w:top w:w="15" w:type="dxa"/>
              <w:left w:w="15" w:type="dxa"/>
              <w:bottom w:w="0" w:type="dxa"/>
              <w:right w:w="15" w:type="dxa"/>
            </w:tcMar>
            <w:vAlign w:val="center"/>
          </w:tcPr>
          <w:p w14:paraId="2F603C35"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E90BEC">
              <w:rPr>
                <w:rFonts w:ascii="Arabic Typesetting" w:hAnsi="Arabic Typesetting" w:cs="Arabic Typesetting"/>
                <w:color w:val="000000"/>
                <w:sz w:val="28"/>
                <w:szCs w:val="28"/>
              </w:rPr>
              <w:t>688</w:t>
            </w:r>
          </w:p>
        </w:tc>
      </w:tr>
      <w:tr w:rsidR="00C31D09" w:rsidRPr="00211D55" w14:paraId="6E6CBD8A" w14:textId="77777777" w:rsidTr="004B40B5">
        <w:trPr>
          <w:trHeight w:val="55"/>
        </w:trPr>
        <w:tc>
          <w:tcPr>
            <w:tcW w:w="413" w:type="pct"/>
            <w:shd w:val="clear" w:color="auto" w:fill="auto"/>
            <w:noWrap/>
            <w:tcMar>
              <w:top w:w="15" w:type="dxa"/>
              <w:left w:w="15" w:type="dxa"/>
              <w:bottom w:w="0" w:type="dxa"/>
              <w:right w:w="15" w:type="dxa"/>
            </w:tcMar>
            <w:vAlign w:val="center"/>
          </w:tcPr>
          <w:p w14:paraId="09BB0F7B" w14:textId="77777777" w:rsidR="00C31D09" w:rsidRPr="00211D55" w:rsidRDefault="00C31D09" w:rsidP="0031289D">
            <w:pPr>
              <w:bidi/>
              <w:spacing w:before="120" w:after="120"/>
              <w:rPr>
                <w:rFonts w:ascii="Arabic Typesetting" w:hAnsi="Arabic Typesetting" w:cs="Arabic Typesetting"/>
                <w:sz w:val="28"/>
                <w:szCs w:val="28"/>
              </w:rPr>
            </w:pPr>
            <w:r>
              <w:rPr>
                <w:rFonts w:ascii="Arabic Typesetting" w:hAnsi="Arabic Typesetting" w:cs="Arabic Typesetting" w:hint="cs"/>
                <w:sz w:val="28"/>
                <w:szCs w:val="28"/>
                <w:rtl/>
              </w:rPr>
              <w:t>ه5.2</w:t>
            </w:r>
          </w:p>
        </w:tc>
        <w:tc>
          <w:tcPr>
            <w:tcW w:w="2340" w:type="pct"/>
            <w:shd w:val="clear" w:color="auto" w:fill="auto"/>
            <w:tcMar>
              <w:top w:w="15" w:type="dxa"/>
              <w:left w:w="15" w:type="dxa"/>
              <w:bottom w:w="0" w:type="dxa"/>
              <w:right w:w="15" w:type="dxa"/>
            </w:tcMar>
            <w:vAlign w:val="center"/>
          </w:tcPr>
          <w:p w14:paraId="684DA33E" w14:textId="77777777" w:rsidR="00C31D09" w:rsidRPr="00211D55" w:rsidRDefault="00C31D09" w:rsidP="0031289D">
            <w:pPr>
              <w:bidi/>
              <w:spacing w:before="120" w:after="120"/>
              <w:rPr>
                <w:rFonts w:ascii="Arabic Typesetting" w:hAnsi="Arabic Typesetting" w:cs="Arabic Typesetting"/>
                <w:sz w:val="28"/>
                <w:szCs w:val="28"/>
              </w:rPr>
            </w:pPr>
            <w:r w:rsidRPr="003029E7">
              <w:rPr>
                <w:rFonts w:ascii="Arabic Typesetting" w:hAnsi="Arabic Typesetting" w:cs="Arabic Typesetting"/>
                <w:sz w:val="28"/>
                <w:szCs w:val="28"/>
                <w:rtl/>
              </w:rPr>
              <w:t>إنتاجية وجودة خدمات محسّنة في عمليات نظام لاهاي</w:t>
            </w:r>
          </w:p>
        </w:tc>
        <w:tc>
          <w:tcPr>
            <w:tcW w:w="749" w:type="pct"/>
            <w:shd w:val="clear" w:color="auto" w:fill="auto"/>
            <w:tcMar>
              <w:top w:w="15" w:type="dxa"/>
              <w:left w:w="15" w:type="dxa"/>
              <w:bottom w:w="0" w:type="dxa"/>
              <w:right w:w="15" w:type="dxa"/>
            </w:tcMar>
            <w:vAlign w:val="center"/>
          </w:tcPr>
          <w:p w14:paraId="057C7F42"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E90BEC">
              <w:rPr>
                <w:rFonts w:ascii="Arabic Typesetting" w:hAnsi="Arabic Typesetting" w:cs="Arabic Typesetting"/>
                <w:color w:val="000000"/>
                <w:sz w:val="28"/>
                <w:szCs w:val="28"/>
              </w:rPr>
              <w:t>234</w:t>
            </w:r>
          </w:p>
        </w:tc>
        <w:tc>
          <w:tcPr>
            <w:tcW w:w="749" w:type="pct"/>
            <w:shd w:val="clear" w:color="auto" w:fill="auto"/>
            <w:tcMar>
              <w:top w:w="15" w:type="dxa"/>
              <w:left w:w="15" w:type="dxa"/>
              <w:bottom w:w="0" w:type="dxa"/>
              <w:right w:w="15" w:type="dxa"/>
            </w:tcMar>
            <w:vAlign w:val="center"/>
          </w:tcPr>
          <w:p w14:paraId="142AB283"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E90BEC">
              <w:rPr>
                <w:rFonts w:ascii="Arabic Typesetting" w:hAnsi="Arabic Typesetting" w:cs="Arabic Typesetting"/>
                <w:color w:val="000000"/>
                <w:sz w:val="28"/>
                <w:szCs w:val="28"/>
              </w:rPr>
              <w:t>506</w:t>
            </w:r>
          </w:p>
        </w:tc>
        <w:tc>
          <w:tcPr>
            <w:tcW w:w="749" w:type="pct"/>
            <w:shd w:val="clear" w:color="auto" w:fill="auto"/>
            <w:noWrap/>
            <w:tcMar>
              <w:top w:w="15" w:type="dxa"/>
              <w:left w:w="15" w:type="dxa"/>
              <w:bottom w:w="0" w:type="dxa"/>
              <w:right w:w="15" w:type="dxa"/>
            </w:tcMar>
            <w:vAlign w:val="center"/>
          </w:tcPr>
          <w:p w14:paraId="450F1385"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E90BEC">
              <w:rPr>
                <w:rFonts w:ascii="Arabic Typesetting" w:hAnsi="Arabic Typesetting" w:cs="Arabic Typesetting"/>
                <w:color w:val="000000"/>
                <w:sz w:val="28"/>
                <w:szCs w:val="28"/>
              </w:rPr>
              <w:t>318</w:t>
            </w:r>
          </w:p>
        </w:tc>
      </w:tr>
      <w:tr w:rsidR="00C31D09" w:rsidRPr="00211D55" w14:paraId="7218C0CE" w14:textId="77777777" w:rsidTr="004B40B5">
        <w:trPr>
          <w:trHeight w:val="225"/>
        </w:trPr>
        <w:tc>
          <w:tcPr>
            <w:tcW w:w="413" w:type="pct"/>
            <w:shd w:val="clear" w:color="auto" w:fill="C6D9F1"/>
            <w:noWrap/>
            <w:tcMar>
              <w:top w:w="15" w:type="dxa"/>
              <w:left w:w="15" w:type="dxa"/>
              <w:bottom w:w="0" w:type="dxa"/>
              <w:right w:w="15" w:type="dxa"/>
            </w:tcMar>
            <w:vAlign w:val="bottom"/>
            <w:hideMark/>
          </w:tcPr>
          <w:p w14:paraId="5CB04A5F" w14:textId="77777777" w:rsidR="00C31D09" w:rsidRPr="00211D55" w:rsidRDefault="00C31D09"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72220649" w14:textId="77777777" w:rsidR="00C31D09" w:rsidRPr="00280D1A" w:rsidRDefault="00C31D09"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1E580E51" w14:textId="77777777" w:rsidR="00C31D09" w:rsidRPr="00280D1A" w:rsidRDefault="00C31D09"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7 572</w:t>
            </w:r>
          </w:p>
        </w:tc>
        <w:tc>
          <w:tcPr>
            <w:tcW w:w="749" w:type="pct"/>
            <w:shd w:val="clear" w:color="auto" w:fill="C6D9F1"/>
            <w:noWrap/>
            <w:tcMar>
              <w:top w:w="15" w:type="dxa"/>
              <w:left w:w="15" w:type="dxa"/>
              <w:bottom w:w="0" w:type="dxa"/>
              <w:right w:w="15" w:type="dxa"/>
            </w:tcMar>
            <w:vAlign w:val="center"/>
          </w:tcPr>
          <w:p w14:paraId="3329ED34" w14:textId="77777777" w:rsidR="00C31D09" w:rsidRPr="00280D1A" w:rsidRDefault="00C31D09"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9 371</w:t>
            </w:r>
          </w:p>
        </w:tc>
        <w:tc>
          <w:tcPr>
            <w:tcW w:w="749" w:type="pct"/>
            <w:shd w:val="clear" w:color="auto" w:fill="C6D9F1"/>
            <w:noWrap/>
            <w:tcMar>
              <w:top w:w="15" w:type="dxa"/>
              <w:left w:w="15" w:type="dxa"/>
              <w:bottom w:w="0" w:type="dxa"/>
              <w:right w:w="15" w:type="dxa"/>
            </w:tcMar>
            <w:vAlign w:val="center"/>
          </w:tcPr>
          <w:p w14:paraId="6A7DAB12" w14:textId="77777777" w:rsidR="00C31D09" w:rsidRPr="00280D1A" w:rsidRDefault="00C31D09"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4 006</w:t>
            </w:r>
          </w:p>
        </w:tc>
      </w:tr>
      <w:tr w:rsidR="00C31D09" w:rsidRPr="00211D55" w14:paraId="16C305C4" w14:textId="77777777" w:rsidTr="004B40B5">
        <w:trPr>
          <w:trHeight w:val="225"/>
        </w:trPr>
        <w:tc>
          <w:tcPr>
            <w:tcW w:w="5000" w:type="pct"/>
            <w:gridSpan w:val="5"/>
            <w:shd w:val="clear" w:color="auto" w:fill="auto"/>
            <w:noWrap/>
            <w:tcMar>
              <w:top w:w="15" w:type="dxa"/>
              <w:left w:w="15" w:type="dxa"/>
              <w:bottom w:w="0" w:type="dxa"/>
              <w:right w:w="15" w:type="dxa"/>
            </w:tcMar>
            <w:vAlign w:val="bottom"/>
          </w:tcPr>
          <w:p w14:paraId="3AA994EC" w14:textId="77777777" w:rsidR="00C31D09" w:rsidRPr="00A2672B" w:rsidRDefault="00C31D09"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52C0F67C" w14:textId="77777777" w:rsidR="00C31D09" w:rsidRPr="00252762" w:rsidRDefault="00C31D09"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4FBCDB6C" w14:textId="77777777" w:rsidR="00C31D09" w:rsidRPr="00DF1D8A" w:rsidRDefault="00C31D09"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C31D09" w:rsidRPr="00211D55" w14:paraId="77641860" w14:textId="77777777" w:rsidTr="004B40B5">
        <w:trPr>
          <w:trHeight w:val="645"/>
        </w:trPr>
        <w:tc>
          <w:tcPr>
            <w:tcW w:w="1118" w:type="pct"/>
            <w:shd w:val="clear" w:color="auto" w:fill="C6D9F1"/>
            <w:noWrap/>
            <w:vAlign w:val="center"/>
            <w:hideMark/>
          </w:tcPr>
          <w:p w14:paraId="1B3A990D" w14:textId="77777777" w:rsidR="00C31D09" w:rsidRPr="00211D55" w:rsidRDefault="00C31D09"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320E40E5" w14:textId="77777777" w:rsidR="00C31D09" w:rsidRPr="00211D55" w:rsidRDefault="00C31D09"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67DC5B5E" w14:textId="77777777" w:rsidR="00C31D09" w:rsidRPr="00211D55" w:rsidRDefault="00C31D09"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0BAA1E9C" w14:textId="77777777" w:rsidR="00C31D09" w:rsidRPr="00211D55" w:rsidRDefault="00C31D09"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18650B02" w14:textId="77777777" w:rsidR="00C31D09" w:rsidRPr="00211D55" w:rsidRDefault="00C31D09"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C31D09" w:rsidRPr="00211D55" w14:paraId="25316839" w14:textId="77777777" w:rsidTr="004B40B5">
        <w:trPr>
          <w:trHeight w:val="70"/>
        </w:trPr>
        <w:tc>
          <w:tcPr>
            <w:tcW w:w="1118" w:type="pct"/>
            <w:shd w:val="clear" w:color="auto" w:fill="auto"/>
            <w:noWrap/>
            <w:vAlign w:val="center"/>
            <w:hideMark/>
          </w:tcPr>
          <w:p w14:paraId="5608141C" w14:textId="77777777" w:rsidR="00C31D09" w:rsidRPr="00211D55" w:rsidRDefault="00C31D09"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0EF84BF8"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6</w:t>
            </w:r>
            <w:r>
              <w:rPr>
                <w:rFonts w:ascii="Arabic Typesetting" w:hAnsi="Arabic Typesetting" w:cs="Arabic Typesetting"/>
                <w:color w:val="000000"/>
                <w:sz w:val="28"/>
                <w:szCs w:val="28"/>
              </w:rPr>
              <w:t> </w:t>
            </w:r>
            <w:r w:rsidRPr="00E90BEC">
              <w:rPr>
                <w:rFonts w:ascii="Arabic Typesetting" w:hAnsi="Arabic Typesetting" w:cs="Arabic Typesetting"/>
                <w:color w:val="000000"/>
                <w:sz w:val="28"/>
                <w:szCs w:val="28"/>
              </w:rPr>
              <w:t xml:space="preserve">226 </w:t>
            </w:r>
          </w:p>
        </w:tc>
        <w:tc>
          <w:tcPr>
            <w:tcW w:w="971" w:type="pct"/>
            <w:shd w:val="clear" w:color="auto" w:fill="auto"/>
            <w:vAlign w:val="center"/>
          </w:tcPr>
          <w:p w14:paraId="66871BBE"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7</w:t>
            </w:r>
            <w:r>
              <w:rPr>
                <w:rFonts w:ascii="Arabic Typesetting" w:hAnsi="Arabic Typesetting" w:cs="Arabic Typesetting"/>
                <w:color w:val="000000"/>
                <w:sz w:val="28"/>
                <w:szCs w:val="28"/>
              </w:rPr>
              <w:t> </w:t>
            </w:r>
            <w:r w:rsidRPr="00E90BEC">
              <w:rPr>
                <w:rFonts w:ascii="Arabic Typesetting" w:hAnsi="Arabic Typesetting" w:cs="Arabic Typesetting"/>
                <w:color w:val="000000"/>
                <w:sz w:val="28"/>
                <w:szCs w:val="28"/>
              </w:rPr>
              <w:t xml:space="preserve">524 </w:t>
            </w:r>
          </w:p>
        </w:tc>
        <w:tc>
          <w:tcPr>
            <w:tcW w:w="970" w:type="pct"/>
            <w:shd w:val="clear" w:color="auto" w:fill="auto"/>
            <w:vAlign w:val="center"/>
          </w:tcPr>
          <w:p w14:paraId="68404022"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E90BEC">
              <w:rPr>
                <w:rFonts w:ascii="Arabic Typesetting" w:hAnsi="Arabic Typesetting" w:cs="Arabic Typesetting"/>
                <w:color w:val="000000"/>
                <w:sz w:val="28"/>
                <w:szCs w:val="28"/>
              </w:rPr>
              <w:t xml:space="preserve">428 </w:t>
            </w:r>
          </w:p>
        </w:tc>
        <w:tc>
          <w:tcPr>
            <w:tcW w:w="970" w:type="pct"/>
            <w:shd w:val="clear" w:color="auto" w:fill="auto"/>
            <w:vAlign w:val="center"/>
          </w:tcPr>
          <w:p w14:paraId="03E938B7" w14:textId="77777777" w:rsidR="00C31D09" w:rsidRPr="00E90BEC" w:rsidRDefault="00C31D09"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%46</w:t>
            </w:r>
          </w:p>
        </w:tc>
      </w:tr>
      <w:tr w:rsidR="00C31D09" w:rsidRPr="00211D55" w14:paraId="19AE7EF1" w14:textId="77777777" w:rsidTr="004B40B5">
        <w:trPr>
          <w:trHeight w:val="70"/>
        </w:trPr>
        <w:tc>
          <w:tcPr>
            <w:tcW w:w="1118" w:type="pct"/>
            <w:shd w:val="clear" w:color="auto" w:fill="auto"/>
            <w:noWrap/>
            <w:vAlign w:val="center"/>
            <w:hideMark/>
          </w:tcPr>
          <w:p w14:paraId="73781ED5" w14:textId="77777777" w:rsidR="00C31D09" w:rsidRPr="00211D55" w:rsidRDefault="00C31D09"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6243C032"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E90BEC">
              <w:rPr>
                <w:rFonts w:ascii="Arabic Typesetting" w:hAnsi="Arabic Typesetting" w:cs="Arabic Typesetting"/>
                <w:color w:val="000000"/>
                <w:sz w:val="28"/>
                <w:szCs w:val="28"/>
              </w:rPr>
              <w:t xml:space="preserve">346 </w:t>
            </w:r>
          </w:p>
        </w:tc>
        <w:tc>
          <w:tcPr>
            <w:tcW w:w="971" w:type="pct"/>
            <w:shd w:val="clear" w:color="auto" w:fill="auto"/>
            <w:vAlign w:val="center"/>
          </w:tcPr>
          <w:p w14:paraId="5C3130E1"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E90BEC">
              <w:rPr>
                <w:rFonts w:ascii="Arabic Typesetting" w:hAnsi="Arabic Typesetting" w:cs="Arabic Typesetting"/>
                <w:color w:val="000000"/>
                <w:sz w:val="28"/>
                <w:szCs w:val="28"/>
              </w:rPr>
              <w:t xml:space="preserve">847 </w:t>
            </w:r>
          </w:p>
        </w:tc>
        <w:tc>
          <w:tcPr>
            <w:tcW w:w="970" w:type="pct"/>
            <w:shd w:val="clear" w:color="auto" w:fill="auto"/>
            <w:vAlign w:val="center"/>
          </w:tcPr>
          <w:p w14:paraId="662D0519" w14:textId="77777777" w:rsidR="00C31D09" w:rsidRPr="00E90BEC" w:rsidRDefault="00C31D09" w:rsidP="0031289D">
            <w:pPr>
              <w:jc w:val="center"/>
              <w:rPr>
                <w:rFonts w:ascii="Arabic Typesetting" w:hAnsi="Arabic Typesetting" w:cs="Arabic Typesetting"/>
                <w:color w:val="000000"/>
                <w:sz w:val="28"/>
                <w:szCs w:val="28"/>
              </w:rPr>
            </w:pPr>
            <w:r w:rsidRPr="00E90BEC">
              <w:rPr>
                <w:rFonts w:ascii="Arabic Typesetting" w:hAnsi="Arabic Typesetting" w:cs="Arabic Typesetting"/>
                <w:color w:val="000000"/>
                <w:sz w:val="28"/>
                <w:szCs w:val="28"/>
              </w:rPr>
              <w:t xml:space="preserve">578 </w:t>
            </w:r>
          </w:p>
        </w:tc>
        <w:tc>
          <w:tcPr>
            <w:tcW w:w="970" w:type="pct"/>
            <w:shd w:val="clear" w:color="auto" w:fill="auto"/>
            <w:vAlign w:val="center"/>
          </w:tcPr>
          <w:p w14:paraId="6829765B" w14:textId="77777777" w:rsidR="00C31D09" w:rsidRPr="00E90BEC" w:rsidRDefault="00C31D09"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%31</w:t>
            </w:r>
          </w:p>
        </w:tc>
      </w:tr>
      <w:tr w:rsidR="00C31D09" w:rsidRPr="00211D55" w14:paraId="1B2FD301" w14:textId="77777777" w:rsidTr="00AF6433">
        <w:trPr>
          <w:trHeight w:val="70"/>
        </w:trPr>
        <w:tc>
          <w:tcPr>
            <w:tcW w:w="1118" w:type="pct"/>
            <w:shd w:val="clear" w:color="auto" w:fill="C6D9F1"/>
            <w:noWrap/>
            <w:vAlign w:val="center"/>
            <w:hideMark/>
          </w:tcPr>
          <w:p w14:paraId="56489D05" w14:textId="77777777" w:rsidR="00C31D09" w:rsidRPr="00211D55" w:rsidRDefault="00C31D09"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3ABCAEDF" w14:textId="77777777" w:rsidR="00C31D09" w:rsidRPr="00E90BEC" w:rsidRDefault="00C31D09" w:rsidP="0031289D">
            <w:pPr>
              <w:jc w:val="center"/>
              <w:rPr>
                <w:rFonts w:ascii="Arabic Typesetting" w:hAnsi="Arabic Typesetting" w:cs="Arabic Typesetting"/>
                <w:b/>
                <w:bCs/>
                <w:color w:val="000000"/>
                <w:sz w:val="28"/>
                <w:szCs w:val="28"/>
              </w:rPr>
            </w:pPr>
            <w:r w:rsidRPr="00E90BEC">
              <w:rPr>
                <w:rFonts w:ascii="Arabic Typesetting" w:hAnsi="Arabic Typesetting" w:cs="Arabic Typesetting"/>
                <w:b/>
                <w:bCs/>
                <w:color w:val="000000"/>
                <w:sz w:val="28"/>
                <w:szCs w:val="28"/>
              </w:rPr>
              <w:t>7</w:t>
            </w:r>
            <w:r>
              <w:rPr>
                <w:rFonts w:ascii="Arabic Typesetting" w:hAnsi="Arabic Typesetting" w:cs="Arabic Typesetting"/>
                <w:b/>
                <w:bCs/>
                <w:color w:val="000000"/>
                <w:sz w:val="28"/>
                <w:szCs w:val="28"/>
              </w:rPr>
              <w:t> </w:t>
            </w:r>
            <w:r w:rsidRPr="00E90BEC">
              <w:rPr>
                <w:rFonts w:ascii="Arabic Typesetting" w:hAnsi="Arabic Typesetting" w:cs="Arabic Typesetting"/>
                <w:b/>
                <w:bCs/>
                <w:color w:val="000000"/>
                <w:sz w:val="28"/>
                <w:szCs w:val="28"/>
              </w:rPr>
              <w:t xml:space="preserve">572 </w:t>
            </w:r>
          </w:p>
        </w:tc>
        <w:tc>
          <w:tcPr>
            <w:tcW w:w="971" w:type="pct"/>
            <w:shd w:val="clear" w:color="auto" w:fill="C6D9F1"/>
            <w:vAlign w:val="center"/>
          </w:tcPr>
          <w:p w14:paraId="738D639F" w14:textId="77777777" w:rsidR="00C31D09" w:rsidRPr="00E90BEC" w:rsidRDefault="00C31D09" w:rsidP="0031289D">
            <w:pPr>
              <w:jc w:val="center"/>
              <w:rPr>
                <w:rFonts w:ascii="Arabic Typesetting" w:hAnsi="Arabic Typesetting" w:cs="Arabic Typesetting"/>
                <w:b/>
                <w:bCs/>
                <w:color w:val="000000"/>
                <w:sz w:val="28"/>
                <w:szCs w:val="28"/>
              </w:rPr>
            </w:pPr>
            <w:r w:rsidRPr="00E90BEC">
              <w:rPr>
                <w:rFonts w:ascii="Arabic Typesetting" w:hAnsi="Arabic Typesetting" w:cs="Arabic Typesetting"/>
                <w:b/>
                <w:bCs/>
                <w:color w:val="000000"/>
                <w:sz w:val="28"/>
                <w:szCs w:val="28"/>
              </w:rPr>
              <w:t>9</w:t>
            </w:r>
            <w:r>
              <w:rPr>
                <w:rFonts w:ascii="Arabic Typesetting" w:hAnsi="Arabic Typesetting" w:cs="Arabic Typesetting"/>
                <w:b/>
                <w:bCs/>
                <w:color w:val="000000"/>
                <w:sz w:val="28"/>
                <w:szCs w:val="28"/>
              </w:rPr>
              <w:t> </w:t>
            </w:r>
            <w:r w:rsidRPr="00E90BEC">
              <w:rPr>
                <w:rFonts w:ascii="Arabic Typesetting" w:hAnsi="Arabic Typesetting" w:cs="Arabic Typesetting"/>
                <w:b/>
                <w:bCs/>
                <w:color w:val="000000"/>
                <w:sz w:val="28"/>
                <w:szCs w:val="28"/>
              </w:rPr>
              <w:t xml:space="preserve">371 </w:t>
            </w:r>
          </w:p>
        </w:tc>
        <w:tc>
          <w:tcPr>
            <w:tcW w:w="970" w:type="pct"/>
            <w:shd w:val="clear" w:color="auto" w:fill="C6D9F1"/>
            <w:vAlign w:val="center"/>
          </w:tcPr>
          <w:p w14:paraId="1233B6F6" w14:textId="77777777" w:rsidR="00C31D09" w:rsidRPr="00E90BEC" w:rsidRDefault="00C31D09" w:rsidP="0031289D">
            <w:pPr>
              <w:jc w:val="center"/>
              <w:rPr>
                <w:rFonts w:ascii="Arabic Typesetting" w:hAnsi="Arabic Typesetting" w:cs="Arabic Typesetting"/>
                <w:b/>
                <w:bCs/>
                <w:color w:val="000000"/>
                <w:sz w:val="28"/>
                <w:szCs w:val="28"/>
              </w:rPr>
            </w:pPr>
            <w:r w:rsidRPr="00E90BEC">
              <w:rPr>
                <w:rFonts w:ascii="Arabic Typesetting" w:hAnsi="Arabic Typesetting" w:cs="Arabic Typesetting"/>
                <w:b/>
                <w:bCs/>
                <w:color w:val="000000"/>
                <w:sz w:val="28"/>
                <w:szCs w:val="28"/>
              </w:rPr>
              <w:t>4</w:t>
            </w:r>
            <w:r>
              <w:rPr>
                <w:rFonts w:ascii="Arabic Typesetting" w:hAnsi="Arabic Typesetting" w:cs="Arabic Typesetting"/>
                <w:b/>
                <w:bCs/>
                <w:color w:val="000000"/>
                <w:sz w:val="28"/>
                <w:szCs w:val="28"/>
              </w:rPr>
              <w:t> </w:t>
            </w:r>
            <w:r w:rsidRPr="00E90BEC">
              <w:rPr>
                <w:rFonts w:ascii="Arabic Typesetting" w:hAnsi="Arabic Typesetting" w:cs="Arabic Typesetting"/>
                <w:b/>
                <w:bCs/>
                <w:color w:val="000000"/>
                <w:sz w:val="28"/>
                <w:szCs w:val="28"/>
              </w:rPr>
              <w:t xml:space="preserve">006 </w:t>
            </w:r>
          </w:p>
        </w:tc>
        <w:tc>
          <w:tcPr>
            <w:tcW w:w="970" w:type="pct"/>
            <w:shd w:val="clear" w:color="auto" w:fill="C6D9F1"/>
            <w:vAlign w:val="center"/>
          </w:tcPr>
          <w:p w14:paraId="64FEB9EE" w14:textId="77777777" w:rsidR="00C31D09" w:rsidRPr="00E90BEC" w:rsidRDefault="00C31D09" w:rsidP="0031289D">
            <w:pPr>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%43</w:t>
            </w:r>
          </w:p>
        </w:tc>
      </w:tr>
      <w:tr w:rsidR="00C31D09" w:rsidRPr="00211D55" w14:paraId="689677A7" w14:textId="77777777" w:rsidTr="004B40B5">
        <w:trPr>
          <w:trHeight w:val="540"/>
        </w:trPr>
        <w:tc>
          <w:tcPr>
            <w:tcW w:w="5000" w:type="pct"/>
            <w:gridSpan w:val="5"/>
            <w:shd w:val="clear" w:color="auto" w:fill="auto"/>
            <w:noWrap/>
            <w:vAlign w:val="center"/>
          </w:tcPr>
          <w:p w14:paraId="14BE844A" w14:textId="77777777" w:rsidR="00C31D09" w:rsidRDefault="00C31D09"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6BE5C3D3" w14:textId="77777777" w:rsidR="00C31D09" w:rsidRPr="00D41845" w:rsidRDefault="00C31D09"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6F792133" w14:textId="77777777" w:rsidR="00C31D09" w:rsidRPr="00706F20" w:rsidRDefault="00C31D09"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14FB9213" w14:textId="5608527B" w:rsidR="00C31D09" w:rsidRPr="00E90BEC" w:rsidRDefault="00C31D09" w:rsidP="00AF6433">
      <w:pPr>
        <w:numPr>
          <w:ilvl w:val="1"/>
          <w:numId w:val="98"/>
        </w:numPr>
        <w:bidi/>
        <w:spacing w:after="240" w:line="360" w:lineRule="exact"/>
        <w:ind w:left="0" w:hanging="1"/>
        <w:rPr>
          <w:rFonts w:ascii="Arabic Typesetting" w:hAnsi="Arabic Typesetting" w:cs="Arabic Typesetting"/>
          <w:sz w:val="34"/>
          <w:szCs w:val="34"/>
        </w:rPr>
      </w:pPr>
      <w:r>
        <w:rPr>
          <w:rFonts w:ascii="Arabic Typesetting" w:hAnsi="Arabic Typesetting" w:cs="Arabic Typesetting" w:hint="cs"/>
          <w:sz w:val="34"/>
          <w:szCs w:val="34"/>
          <w:rtl/>
        </w:rPr>
        <w:t>تظهر</w:t>
      </w:r>
      <w:r w:rsidRPr="00E90BEC">
        <w:rPr>
          <w:rFonts w:ascii="Arabic Typesetting" w:hAnsi="Arabic Typesetting" w:cs="Arabic Typesetting"/>
          <w:sz w:val="34"/>
          <w:szCs w:val="34"/>
          <w:rtl/>
        </w:rPr>
        <w:t xml:space="preserve"> الميزانية بعد التحويلات تسوية بالزيادة تُعزى أساساً إلى</w:t>
      </w:r>
      <w:r>
        <w:rPr>
          <w:rFonts w:ascii="Arabic Typesetting" w:hAnsi="Arabic Typesetting" w:cs="Arabic Typesetting"/>
          <w:sz w:val="34"/>
          <w:szCs w:val="34"/>
          <w:rtl/>
        </w:rPr>
        <w:t xml:space="preserve"> </w:t>
      </w:r>
      <w:r w:rsidRPr="00E90BEC">
        <w:rPr>
          <w:rFonts w:ascii="Arabic Typesetting" w:hAnsi="Arabic Typesetting" w:cs="Arabic Typesetting"/>
          <w:sz w:val="34"/>
          <w:szCs w:val="34"/>
          <w:rtl/>
        </w:rPr>
        <w:t>"1" تحويل موارد إضافية من خلاف موارد الموظفين لتنفيذ المراحل الأولى من مشروع منصة لاهاي المعلوماتية؛ "2" ونقل مؤقت لموظف من "</w:t>
      </w:r>
      <w:r w:rsidR="00AF6433">
        <w:rPr>
          <w:rFonts w:ascii="Arabic Typesetting" w:hAnsi="Arabic Typesetting" w:cs="Arabic Typesetting" w:hint="cs"/>
          <w:sz w:val="34"/>
          <w:szCs w:val="34"/>
          <w:rtl/>
        </w:rPr>
        <w:t>الحلول التجارية</w:t>
      </w:r>
      <w:r w:rsidRPr="00E90BEC">
        <w:rPr>
          <w:rFonts w:ascii="Arabic Typesetting" w:hAnsi="Arabic Typesetting" w:cs="Arabic Typesetting"/>
          <w:sz w:val="34"/>
          <w:szCs w:val="34"/>
          <w:rtl/>
        </w:rPr>
        <w:t xml:space="preserve"> </w:t>
      </w:r>
      <w:r w:rsidR="00AF6433">
        <w:rPr>
          <w:rFonts w:ascii="Arabic Typesetting" w:hAnsi="Arabic Typesetting" w:cs="Arabic Typesetting" w:hint="cs"/>
          <w:sz w:val="34"/>
          <w:szCs w:val="34"/>
          <w:rtl/>
        </w:rPr>
        <w:t>ل</w:t>
      </w:r>
      <w:r w:rsidRPr="00E90BEC">
        <w:rPr>
          <w:rFonts w:ascii="Arabic Typesetting" w:hAnsi="Arabic Typesetting" w:cs="Arabic Typesetting"/>
          <w:sz w:val="34"/>
          <w:szCs w:val="34"/>
          <w:rtl/>
        </w:rPr>
        <w:t>مكاتب الملكية الفكرية" (البرنامج 15) لدعم تنفيذ المشروع كما هو مبيَّن في النتيجة المرتقبة ه5.2 (</w:t>
      </w:r>
      <w:r w:rsidRPr="003029E7">
        <w:rPr>
          <w:rFonts w:ascii="Arabic Typesetting" w:hAnsi="Arabic Typesetting" w:cs="Arabic Typesetting"/>
          <w:sz w:val="34"/>
          <w:szCs w:val="34"/>
          <w:rtl/>
        </w:rPr>
        <w:t>إنتاجية وجودة خدمات محسّنة في عمليات نظام لاهاي</w:t>
      </w:r>
      <w:r w:rsidRPr="00E90BEC">
        <w:rPr>
          <w:rFonts w:ascii="Arabic Typesetting" w:hAnsi="Arabic Typesetting" w:cs="Arabic Typesetting"/>
          <w:sz w:val="34"/>
          <w:szCs w:val="34"/>
          <w:rtl/>
        </w:rPr>
        <w:t xml:space="preserve">)؛ "3" وتحويل ثلاثة مناصب مؤقتة لدعم طلبات الفحص الإضافية الناجمة عن انضمام اليابان والولايات المتحدة </w:t>
      </w:r>
      <w:r w:rsidRPr="00E90BEC">
        <w:rPr>
          <w:rFonts w:ascii="Arabic Typesetting" w:hAnsi="Arabic Typesetting" w:cs="Arabic Typesetting"/>
          <w:sz w:val="34"/>
          <w:szCs w:val="34"/>
          <w:rtl/>
          <w:lang w:bidi="ar-EG"/>
        </w:rPr>
        <w:t>الأمريكية</w:t>
      </w:r>
      <w:r w:rsidRPr="00E90BEC">
        <w:rPr>
          <w:rFonts w:ascii="Arabic Typesetting" w:hAnsi="Arabic Typesetting" w:cs="Arabic Typesetting"/>
          <w:sz w:val="34"/>
          <w:szCs w:val="34"/>
          <w:rtl/>
        </w:rPr>
        <w:t xml:space="preserve"> وتحسبا لانضمام الاتحاد الروسي كما هو مبيَّن في النتيجة المرتقبة ه4.2 (استخدام نظام لاهاي على نطاق أوسع وبفعالية أكبر).</w:t>
      </w:r>
    </w:p>
    <w:p w14:paraId="121F8FA3" w14:textId="77777777" w:rsidR="00C31D09" w:rsidRPr="00706F20" w:rsidRDefault="00C31D09"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5FD6248C" w14:textId="77777777" w:rsidR="00C31D09" w:rsidRPr="00E90BEC" w:rsidRDefault="00C31D09" w:rsidP="00D94CDB">
      <w:pPr>
        <w:numPr>
          <w:ilvl w:val="1"/>
          <w:numId w:val="98"/>
        </w:numPr>
        <w:bidi/>
        <w:spacing w:after="240" w:line="360" w:lineRule="exact"/>
        <w:ind w:left="0" w:hanging="1"/>
        <w:rPr>
          <w:rFonts w:ascii="Arabic Typesetting" w:hAnsi="Arabic Typesetting" w:cs="Arabic Typesetting"/>
          <w:sz w:val="34"/>
          <w:szCs w:val="34"/>
          <w:lang w:bidi="ar-EG"/>
        </w:rPr>
      </w:pPr>
      <w:r w:rsidRPr="00E90BEC">
        <w:rPr>
          <w:rFonts w:ascii="Arabic Typesetting" w:hAnsi="Arabic Typesetting" w:cs="Arabic Typesetting"/>
          <w:sz w:val="34"/>
          <w:szCs w:val="34"/>
          <w:rtl/>
          <w:lang w:bidi="ar-EG"/>
        </w:rPr>
        <w:t xml:space="preserve">يُعزى النقص في استخدام خلاف موارد الموظفين أساساً إلى تأجيل العمل المتعلق بتكنولوجيا المعلومات نتيجة عمل التثبيت الجاري </w:t>
      </w:r>
      <w:r>
        <w:rPr>
          <w:rFonts w:ascii="Arabic Typesetting" w:hAnsi="Arabic Typesetting" w:cs="Arabic Typesetting" w:hint="cs"/>
          <w:sz w:val="34"/>
          <w:szCs w:val="34"/>
          <w:rtl/>
          <w:lang w:bidi="ar-EG"/>
        </w:rPr>
        <w:t>ل</w:t>
      </w:r>
      <w:r w:rsidRPr="00E90BEC">
        <w:rPr>
          <w:rFonts w:ascii="Arabic Typesetting" w:hAnsi="Arabic Typesetting" w:cs="Arabic Typesetting"/>
          <w:sz w:val="34"/>
          <w:szCs w:val="34"/>
          <w:rtl/>
          <w:lang w:bidi="ar-EG"/>
        </w:rPr>
        <w:t>نظام معلومات سجلات مدريد الدولية (</w:t>
      </w:r>
      <w:r w:rsidRPr="00E90BEC">
        <w:rPr>
          <w:rFonts w:ascii="Arabic Typesetting" w:hAnsi="Arabic Typesetting" w:cs="Arabic Typesetting"/>
          <w:sz w:val="34"/>
          <w:szCs w:val="34"/>
          <w:lang w:bidi="ar-EG"/>
        </w:rPr>
        <w:t>MIRIS</w:t>
      </w:r>
      <w:r w:rsidRPr="00E90BEC">
        <w:rPr>
          <w:rFonts w:ascii="Arabic Typesetting" w:hAnsi="Arabic Typesetting" w:cs="Arabic Typesetting"/>
          <w:sz w:val="34"/>
          <w:szCs w:val="34"/>
          <w:rtl/>
          <w:lang w:bidi="ar-EG"/>
        </w:rPr>
        <w:t>).</w:t>
      </w:r>
    </w:p>
    <w:p w14:paraId="354501E0" w14:textId="77777777" w:rsidR="00C31D09" w:rsidRDefault="00C31D09"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08464B46" w14:textId="241A196F" w:rsidR="0031289D" w:rsidRPr="0031289D" w:rsidRDefault="0031289D" w:rsidP="0031289D">
      <w:pPr>
        <w:pStyle w:val="Heading4"/>
      </w:pPr>
      <w:bookmarkStart w:id="23" w:name="_Toc482782750"/>
      <w:r w:rsidRPr="0031289D">
        <w:rPr>
          <w:rtl/>
        </w:rPr>
        <w:lastRenderedPageBreak/>
        <w:t>مرفق البرنامج 31:</w:t>
      </w:r>
      <w:r w:rsidR="00DF61DF">
        <w:rPr>
          <w:rFonts w:hint="cs"/>
          <w:rtl/>
        </w:rPr>
        <w:t xml:space="preserve"> </w:t>
      </w:r>
      <w:r w:rsidRPr="0031289D">
        <w:rPr>
          <w:rtl/>
        </w:rPr>
        <w:t>مؤشرات عمليات نظام لاهاي</w:t>
      </w:r>
      <w:bookmarkEnd w:id="23"/>
    </w:p>
    <w:p w14:paraId="0BC281E4" w14:textId="77777777" w:rsidR="0031289D" w:rsidRPr="0031289D" w:rsidRDefault="0031289D" w:rsidP="0031289D">
      <w:pPr>
        <w:bidi/>
        <w:spacing w:line="360" w:lineRule="exact"/>
        <w:rPr>
          <w:rFonts w:ascii="Arabic Typesetting" w:eastAsiaTheme="minorHAnsi" w:hAnsi="Arabic Typesetting" w:cs="Arabic Typesetting"/>
          <w:sz w:val="36"/>
          <w:szCs w:val="36"/>
        </w:rPr>
      </w:pPr>
      <w:r w:rsidRPr="0031289D">
        <w:rPr>
          <w:rFonts w:ascii="Arabic Typesetting" w:eastAsiaTheme="minorHAnsi" w:hAnsi="Arabic Typesetting" w:cs="Arabic Typesetting"/>
          <w:sz w:val="36"/>
          <w:szCs w:val="36"/>
          <w:rtl/>
        </w:rPr>
        <w:t>مؤشرات الأداء للنتيجة المرتقبة</w:t>
      </w:r>
    </w:p>
    <w:p w14:paraId="3FFDC9EA" w14:textId="77777777" w:rsidR="0031289D" w:rsidRPr="0031289D" w:rsidRDefault="0031289D" w:rsidP="0031289D">
      <w:pPr>
        <w:bidi/>
        <w:spacing w:after="240" w:line="360" w:lineRule="exact"/>
        <w:rPr>
          <w:rFonts w:ascii="Arabic Typesetting" w:eastAsiaTheme="minorHAnsi" w:hAnsi="Arabic Typesetting" w:cs="Arabic Typesetting"/>
          <w:sz w:val="36"/>
          <w:szCs w:val="36"/>
          <w:rtl/>
          <w:lang w:bidi="ar-EG"/>
        </w:rPr>
      </w:pPr>
      <w:r w:rsidRPr="0031289D">
        <w:rPr>
          <w:rFonts w:ascii="Arabic Typesetting" w:eastAsiaTheme="minorHAnsi" w:hAnsi="Arabic Typesetting" w:cs="Arabic Typesetting" w:hint="cs"/>
          <w:sz w:val="36"/>
          <w:szCs w:val="36"/>
          <w:rtl/>
        </w:rPr>
        <w:t>"</w:t>
      </w:r>
      <w:r w:rsidRPr="0031289D">
        <w:rPr>
          <w:rFonts w:ascii="Arabic Typesetting" w:eastAsiaTheme="minorHAnsi" w:hAnsi="Arabic Typesetting" w:cs="Arabic Typesetting"/>
          <w:sz w:val="36"/>
          <w:szCs w:val="36"/>
          <w:rtl/>
        </w:rPr>
        <w:t>إنتاجية وجودة خدمات محسّنة في عمليات نظام لاهاي</w:t>
      </w:r>
      <w:r w:rsidRPr="0031289D">
        <w:rPr>
          <w:rFonts w:ascii="Arabic Typesetting" w:eastAsiaTheme="minorHAnsi" w:hAnsi="Arabic Typesetting" w:cs="Arabic Typesetting" w:hint="cs"/>
          <w:sz w:val="36"/>
          <w:szCs w:val="36"/>
          <w:rtl/>
        </w:rPr>
        <w:t>"</w:t>
      </w:r>
    </w:p>
    <w:p w14:paraId="0637F7CB" w14:textId="77777777" w:rsidR="0031289D" w:rsidRPr="0031289D" w:rsidRDefault="0031289D" w:rsidP="00D94CDB">
      <w:pPr>
        <w:numPr>
          <w:ilvl w:val="0"/>
          <w:numId w:val="102"/>
        </w:numPr>
        <w:bidi/>
        <w:spacing w:after="240" w:line="360" w:lineRule="exact"/>
        <w:ind w:left="567"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لا بد من معرفة تطور العوامل التالية، كمعلومات أساسية عن مؤشرات أداء النتيجة المرتقبة "إنتاجية وجودة خدمات محسّنة في عمليات نظام لاهاي":</w:t>
      </w:r>
    </w:p>
    <w:p w14:paraId="2C29DBCC" w14:textId="77777777" w:rsidR="0031289D" w:rsidRPr="0031289D" w:rsidRDefault="0031289D" w:rsidP="00D94CDB">
      <w:pPr>
        <w:numPr>
          <w:ilvl w:val="0"/>
          <w:numId w:val="100"/>
        </w:numPr>
        <w:tabs>
          <w:tab w:val="clear" w:pos="720"/>
        </w:tabs>
        <w:bidi/>
        <w:spacing w:after="240" w:line="360" w:lineRule="exact"/>
        <w:ind w:left="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أعباء عمل نظام لاهاي؛</w:t>
      </w:r>
    </w:p>
    <w:p w14:paraId="5CE1EBA9" w14:textId="77777777" w:rsidR="0031289D" w:rsidRPr="0031289D" w:rsidRDefault="0031289D" w:rsidP="00D94CDB">
      <w:pPr>
        <w:numPr>
          <w:ilvl w:val="0"/>
          <w:numId w:val="100"/>
        </w:numPr>
        <w:tabs>
          <w:tab w:val="clear" w:pos="720"/>
        </w:tabs>
        <w:bidi/>
        <w:spacing w:after="240" w:line="360" w:lineRule="exact"/>
        <w:ind w:left="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ومكونات تلك الأعباء</w:t>
      </w:r>
      <w:r w:rsidRPr="0031289D">
        <w:rPr>
          <w:rFonts w:ascii="Arabic Typesetting" w:eastAsiaTheme="minorHAnsi" w:hAnsi="Arabic Typesetting" w:cs="Arabic Typesetting" w:hint="cs"/>
          <w:sz w:val="34"/>
          <w:szCs w:val="34"/>
          <w:rtl/>
        </w:rPr>
        <w:t>؛</w:t>
      </w:r>
    </w:p>
    <w:p w14:paraId="621AA854" w14:textId="77777777" w:rsidR="0031289D" w:rsidRPr="0031289D" w:rsidRDefault="0031289D" w:rsidP="00D94CDB">
      <w:pPr>
        <w:numPr>
          <w:ilvl w:val="0"/>
          <w:numId w:val="100"/>
        </w:numPr>
        <w:tabs>
          <w:tab w:val="clear" w:pos="720"/>
        </w:tabs>
        <w:bidi/>
        <w:spacing w:after="240" w:line="360" w:lineRule="exact"/>
        <w:ind w:left="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ومستوى الأتمتة</w:t>
      </w:r>
      <w:r w:rsidRPr="0031289D">
        <w:rPr>
          <w:rFonts w:ascii="Arabic Typesetting" w:eastAsiaTheme="minorHAnsi" w:hAnsi="Arabic Typesetting" w:cs="Arabic Typesetting" w:hint="cs"/>
          <w:sz w:val="34"/>
          <w:szCs w:val="34"/>
          <w:rtl/>
        </w:rPr>
        <w:t>،</w:t>
      </w:r>
    </w:p>
    <w:p w14:paraId="33B89AF9" w14:textId="77777777" w:rsidR="0031289D" w:rsidRPr="0031289D" w:rsidRDefault="0031289D" w:rsidP="00D94CDB">
      <w:pPr>
        <w:numPr>
          <w:ilvl w:val="0"/>
          <w:numId w:val="100"/>
        </w:numPr>
        <w:tabs>
          <w:tab w:val="clear" w:pos="720"/>
        </w:tabs>
        <w:bidi/>
        <w:spacing w:after="240" w:line="360" w:lineRule="exact"/>
        <w:ind w:left="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والموارد المخصصة لمواكبة تلك الأعباء.</w:t>
      </w:r>
    </w:p>
    <w:p w14:paraId="4C1E10FB" w14:textId="77777777" w:rsidR="0031289D" w:rsidRPr="0031289D" w:rsidRDefault="0031289D" w:rsidP="00D94CDB">
      <w:pPr>
        <w:numPr>
          <w:ilvl w:val="0"/>
          <w:numId w:val="102"/>
        </w:numPr>
        <w:bidi/>
        <w:spacing w:after="240" w:line="360" w:lineRule="exact"/>
        <w:ind w:left="567"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hint="cs"/>
          <w:sz w:val="34"/>
          <w:szCs w:val="34"/>
          <w:rtl/>
        </w:rPr>
        <w:t>و</w:t>
      </w:r>
      <w:r w:rsidRPr="0031289D">
        <w:rPr>
          <w:rFonts w:ascii="Arabic Typesetting" w:eastAsiaTheme="minorHAnsi" w:hAnsi="Arabic Typesetting" w:cs="Arabic Typesetting"/>
          <w:sz w:val="34"/>
          <w:szCs w:val="34"/>
          <w:rtl/>
        </w:rPr>
        <w:t>ي</w:t>
      </w:r>
      <w:r w:rsidRPr="0031289D">
        <w:rPr>
          <w:rFonts w:ascii="Arabic Typesetting" w:eastAsiaTheme="minorHAnsi" w:hAnsi="Arabic Typesetting" w:cs="Arabic Typesetting" w:hint="cs"/>
          <w:sz w:val="34"/>
          <w:szCs w:val="34"/>
          <w:rtl/>
        </w:rPr>
        <w:t>ت</w:t>
      </w:r>
      <w:r w:rsidRPr="0031289D">
        <w:rPr>
          <w:rFonts w:ascii="Arabic Typesetting" w:eastAsiaTheme="minorHAnsi" w:hAnsi="Arabic Typesetting" w:cs="Arabic Typesetting"/>
          <w:sz w:val="34"/>
          <w:szCs w:val="34"/>
          <w:rtl/>
        </w:rPr>
        <w:t>سلم المكتب الدولي أربع فئات رئيسية من الوثائق، وهي الطلبات الدولية والتجديدات والتغييرات والقرارات. ويُعرض فيما يلي أحدث توجه لكل من تلك الوثائق</w:t>
      </w:r>
      <w:r w:rsidRPr="0031289D">
        <w:rPr>
          <w:rFonts w:ascii="Arabic Typesetting" w:eastAsiaTheme="minorHAnsi" w:hAnsi="Arabic Typesetting" w:cs="Arabic Typesetting" w:hint="cs"/>
          <w:sz w:val="34"/>
          <w:szCs w:val="34"/>
          <w:rtl/>
        </w:rPr>
        <w:t xml:space="preserve">. </w:t>
      </w:r>
      <w:r w:rsidRPr="0031289D">
        <w:rPr>
          <w:rFonts w:ascii="Arabic Typesetting" w:eastAsiaTheme="minorHAnsi" w:hAnsi="Arabic Typesetting" w:cs="Arabic Typesetting"/>
          <w:sz w:val="34"/>
          <w:szCs w:val="34"/>
          <w:rtl/>
        </w:rPr>
        <w:t>وترد أيضا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معلومات إضافية عن الطلبات المتسلَّمة مثل متوسط عدد التصاميم. ولأسباب تقنية، يبين مؤشر المخالفات الصادر البيانات بناء على الوثائق المعالجة </w:t>
      </w:r>
      <w:r w:rsidRPr="0031289D">
        <w:rPr>
          <w:rFonts w:ascii="Arabic Typesetting" w:eastAsiaTheme="minorHAnsi" w:hAnsi="Arabic Typesetting" w:cs="Arabic Typesetting" w:hint="cs"/>
          <w:sz w:val="34"/>
          <w:szCs w:val="34"/>
          <w:rtl/>
        </w:rPr>
        <w:t>بدلاً</w:t>
      </w:r>
      <w:r w:rsidRPr="0031289D">
        <w:rPr>
          <w:rFonts w:ascii="Arabic Typesetting" w:eastAsiaTheme="minorHAnsi" w:hAnsi="Arabic Typesetting" w:cs="Arabic Typesetting"/>
          <w:sz w:val="34"/>
          <w:szCs w:val="34"/>
          <w:rtl/>
        </w:rPr>
        <w:t xml:space="preserve"> </w:t>
      </w:r>
      <w:r w:rsidRPr="0031289D">
        <w:rPr>
          <w:rFonts w:ascii="Arabic Typesetting" w:eastAsiaTheme="minorHAnsi" w:hAnsi="Arabic Typesetting" w:cs="Arabic Typesetting" w:hint="cs"/>
          <w:sz w:val="34"/>
          <w:szCs w:val="34"/>
          <w:rtl/>
        </w:rPr>
        <w:t>م</w:t>
      </w:r>
      <w:r w:rsidRPr="0031289D">
        <w:rPr>
          <w:rFonts w:ascii="Arabic Typesetting" w:eastAsiaTheme="minorHAnsi" w:hAnsi="Arabic Typesetting" w:cs="Arabic Typesetting"/>
          <w:sz w:val="34"/>
          <w:szCs w:val="34"/>
          <w:rtl/>
        </w:rPr>
        <w:t>ن الوثائق الواردة.</w:t>
      </w:r>
    </w:p>
    <w:p w14:paraId="387E54CF" w14:textId="77777777" w:rsidR="0031289D" w:rsidRPr="0031289D" w:rsidRDefault="0031289D" w:rsidP="0031289D">
      <w:pPr>
        <w:keepNext/>
        <w:bidi/>
        <w:spacing w:after="240" w:line="360" w:lineRule="exact"/>
        <w:rPr>
          <w:rFonts w:ascii="Arabic Typesetting" w:eastAsiaTheme="minorHAnsi" w:hAnsi="Arabic Typesetting" w:cs="Arabic Typesetting"/>
          <w:bCs/>
          <w:sz w:val="36"/>
          <w:szCs w:val="36"/>
        </w:rPr>
      </w:pPr>
      <w:r w:rsidRPr="0031289D">
        <w:rPr>
          <w:rFonts w:ascii="Arabic Typesetting" w:eastAsiaTheme="minorHAnsi" w:hAnsi="Arabic Typesetting" w:cs="Arabic Typesetting"/>
          <w:bCs/>
          <w:sz w:val="36"/>
          <w:szCs w:val="36"/>
          <w:rtl/>
        </w:rPr>
        <w:t>أولا.</w:t>
      </w:r>
      <w:r w:rsidRPr="0031289D">
        <w:rPr>
          <w:rFonts w:ascii="Arabic Typesetting" w:eastAsiaTheme="minorHAnsi" w:hAnsi="Arabic Typesetting" w:cs="Arabic Typesetting"/>
          <w:bCs/>
          <w:sz w:val="36"/>
          <w:szCs w:val="36"/>
          <w:rtl/>
        </w:rPr>
        <w:tab/>
        <w:t>الوثائق الواردة</w:t>
      </w:r>
    </w:p>
    <w:p w14:paraId="61886B0E" w14:textId="77777777" w:rsidR="0031289D" w:rsidRPr="0031289D" w:rsidRDefault="0031289D" w:rsidP="0031289D">
      <w:pPr>
        <w:bidi/>
        <w:spacing w:after="240" w:line="360" w:lineRule="exact"/>
        <w:rPr>
          <w:rFonts w:ascii="Arabic Typesetting" w:eastAsiaTheme="minorHAnsi" w:hAnsi="Arabic Typesetting" w:cs="Arabic Typesetting"/>
          <w:sz w:val="34"/>
          <w:szCs w:val="34"/>
          <w:u w:val="single"/>
        </w:rPr>
      </w:pPr>
      <w:r w:rsidRPr="0031289D">
        <w:rPr>
          <w:rFonts w:ascii="Arabic Typesetting" w:eastAsiaTheme="minorHAnsi" w:hAnsi="Arabic Typesetting" w:cs="Arabic Typesetting"/>
          <w:sz w:val="34"/>
          <w:szCs w:val="34"/>
          <w:u w:val="single"/>
          <w:rtl/>
        </w:rPr>
        <w:t>الطلبات المستلمة</w:t>
      </w:r>
    </w:p>
    <w:p w14:paraId="497FDA77" w14:textId="71045024" w:rsidR="0031289D" w:rsidRPr="0031289D" w:rsidRDefault="00866227" w:rsidP="0031289D">
      <w:pPr>
        <w:bidi/>
        <w:spacing w:after="240" w:line="276" w:lineRule="auto"/>
        <w:ind w:left="720"/>
        <w:jc w:val="center"/>
        <w:rPr>
          <w:rFonts w:ascii="Arabic Typesetting" w:eastAsiaTheme="minorHAnsi" w:hAnsi="Arabic Typesetting" w:cs="Arabic Typesetting"/>
          <w:sz w:val="34"/>
          <w:szCs w:val="34"/>
          <w:lang w:bidi="ar-EG"/>
        </w:rPr>
      </w:pPr>
      <w:r>
        <w:rPr>
          <w:rFonts w:ascii="Arabic Typesetting" w:eastAsiaTheme="minorHAnsi" w:hAnsi="Arabic Typesetting" w:cs="Arabic Typesetting"/>
          <w:noProof/>
          <w:sz w:val="34"/>
          <w:szCs w:val="34"/>
        </w:rPr>
        <w:drawing>
          <wp:inline distT="0" distB="0" distL="0" distR="0" wp14:anchorId="30551109" wp14:editId="69E2FEAE">
            <wp:extent cx="3963684" cy="254745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68158" cy="2550334"/>
                    </a:xfrm>
                    <a:prstGeom prst="rect">
                      <a:avLst/>
                    </a:prstGeom>
                    <a:noFill/>
                  </pic:spPr>
                </pic:pic>
              </a:graphicData>
            </a:graphic>
          </wp:inline>
        </w:drawing>
      </w:r>
    </w:p>
    <w:p w14:paraId="48ECF407" w14:textId="77777777" w:rsidR="0031289D" w:rsidRPr="0031289D" w:rsidRDefault="0031289D"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في عام 201</w:t>
      </w:r>
      <w:r w:rsidRPr="0031289D">
        <w:rPr>
          <w:rFonts w:ascii="Arabic Typesetting" w:eastAsiaTheme="minorHAnsi" w:hAnsi="Arabic Typesetting" w:cs="Arabic Typesetting" w:hint="cs"/>
          <w:sz w:val="34"/>
          <w:szCs w:val="34"/>
          <w:rtl/>
        </w:rPr>
        <w:t>6</w:t>
      </w:r>
      <w:r w:rsidRPr="0031289D">
        <w:rPr>
          <w:rFonts w:ascii="Arabic Typesetting" w:eastAsiaTheme="minorHAnsi" w:hAnsi="Arabic Typesetting" w:cs="Arabic Typesetting"/>
          <w:sz w:val="34"/>
          <w:szCs w:val="34"/>
          <w:rtl/>
        </w:rPr>
        <w:t xml:space="preserve">، تسلم المكتب الدولي </w:t>
      </w:r>
      <w:r w:rsidRPr="0059581F">
        <w:rPr>
          <w:rFonts w:ascii="Arabic Typesetting" w:eastAsiaTheme="minorHAnsi" w:hAnsi="Arabic Typesetting" w:cs="Arabic Typesetting" w:hint="cs"/>
          <w:sz w:val="34"/>
          <w:szCs w:val="34"/>
          <w:rtl/>
        </w:rPr>
        <w:t>562</w:t>
      </w:r>
      <w:r w:rsidRPr="0031289D">
        <w:rPr>
          <w:rFonts w:ascii="Arabic Typesetting" w:eastAsiaTheme="minorHAnsi" w:hAnsi="Arabic Typesetting" w:cs="Arabic Typesetting" w:hint="cs"/>
          <w:sz w:val="34"/>
          <w:szCs w:val="34"/>
          <w:rtl/>
        </w:rPr>
        <w:t> 5</w:t>
      </w:r>
      <w:r w:rsidRPr="0031289D">
        <w:rPr>
          <w:rFonts w:ascii="Arabic Typesetting" w:eastAsiaTheme="minorHAnsi" w:hAnsi="Arabic Typesetting" w:cs="Arabic Typesetting"/>
          <w:sz w:val="34"/>
          <w:szCs w:val="34"/>
          <w:rtl/>
        </w:rPr>
        <w:t xml:space="preserve"> طلبا</w:t>
      </w:r>
      <w:r w:rsidRPr="0031289D">
        <w:rPr>
          <w:rFonts w:ascii="Arabic Typesetting" w:eastAsiaTheme="minorHAnsi" w:hAnsi="Arabic Typesetting" w:cs="Arabic Typesetting" w:hint="cs"/>
          <w:sz w:val="34"/>
          <w:szCs w:val="34"/>
          <w:rtl/>
        </w:rPr>
        <w:t>ً دولياً</w:t>
      </w:r>
      <w:r w:rsidRPr="0031289D">
        <w:rPr>
          <w:rFonts w:ascii="Arabic Typesetting" w:eastAsiaTheme="minorHAnsi" w:hAnsi="Arabic Typesetting" w:cs="Arabic Typesetting"/>
          <w:sz w:val="34"/>
          <w:szCs w:val="34"/>
          <w:rtl/>
        </w:rPr>
        <w:t xml:space="preserve">، أي بزيادة بنسبة </w:t>
      </w:r>
      <w:r w:rsidRPr="0031289D">
        <w:rPr>
          <w:rFonts w:ascii="Arabic Typesetting" w:eastAsiaTheme="minorHAnsi" w:hAnsi="Arabic Typesetting" w:cs="Arabic Typesetting" w:hint="cs"/>
          <w:sz w:val="34"/>
          <w:szCs w:val="34"/>
          <w:rtl/>
        </w:rPr>
        <w:t>35</w:t>
      </w:r>
      <w:r w:rsidRPr="0031289D">
        <w:rPr>
          <w:rFonts w:ascii="Arabic Typesetting" w:eastAsiaTheme="minorHAnsi" w:hAnsi="Arabic Typesetting" w:cs="Arabic Typesetting"/>
          <w:sz w:val="34"/>
          <w:szCs w:val="34"/>
          <w:rtl/>
        </w:rPr>
        <w:t xml:space="preserve"> </w:t>
      </w:r>
      <w:r w:rsidRPr="0031289D">
        <w:rPr>
          <w:rFonts w:ascii="Arabic Typesetting" w:eastAsiaTheme="minorHAnsi" w:hAnsi="Arabic Typesetting" w:cs="Arabic Typesetting" w:hint="cs"/>
          <w:sz w:val="34"/>
          <w:szCs w:val="34"/>
          <w:rtl/>
        </w:rPr>
        <w:t xml:space="preserve">في </w:t>
      </w:r>
      <w:r w:rsidRPr="0031289D">
        <w:rPr>
          <w:rFonts w:ascii="Arabic Typesetting" w:eastAsiaTheme="minorHAnsi" w:hAnsi="Arabic Typesetting" w:cs="Arabic Typesetting"/>
          <w:sz w:val="34"/>
          <w:szCs w:val="34"/>
          <w:rtl/>
        </w:rPr>
        <w:t>الم</w:t>
      </w:r>
      <w:r w:rsidRPr="0031289D">
        <w:rPr>
          <w:rFonts w:ascii="Arabic Typesetting" w:eastAsiaTheme="minorHAnsi" w:hAnsi="Arabic Typesetting" w:cs="Arabic Typesetting" w:hint="cs"/>
          <w:sz w:val="34"/>
          <w:szCs w:val="34"/>
          <w:rtl/>
        </w:rPr>
        <w:t>ا</w:t>
      </w:r>
      <w:r w:rsidRPr="0031289D">
        <w:rPr>
          <w:rFonts w:ascii="Arabic Typesetting" w:eastAsiaTheme="minorHAnsi" w:hAnsi="Arabic Typesetting" w:cs="Arabic Typesetting"/>
          <w:sz w:val="34"/>
          <w:szCs w:val="34"/>
          <w:rtl/>
        </w:rPr>
        <w:t>ئة مقارنة بعام 201</w:t>
      </w:r>
      <w:r w:rsidRPr="0031289D">
        <w:rPr>
          <w:rFonts w:ascii="Arabic Typesetting" w:eastAsiaTheme="minorHAnsi" w:hAnsi="Arabic Typesetting" w:cs="Arabic Typesetting" w:hint="cs"/>
          <w:sz w:val="34"/>
          <w:szCs w:val="34"/>
          <w:rtl/>
        </w:rPr>
        <w:t>5</w:t>
      </w:r>
      <w:r w:rsidRPr="0031289D">
        <w:rPr>
          <w:rFonts w:ascii="Arabic Typesetting" w:eastAsiaTheme="minorHAnsi" w:hAnsi="Arabic Typesetting" w:cs="Arabic Typesetting"/>
          <w:sz w:val="34"/>
          <w:szCs w:val="34"/>
          <w:rtl/>
        </w:rPr>
        <w:t>. وإضافة إلى الطلبات الواردة من الاتحاد الأوروبي (+</w:t>
      </w:r>
      <w:r w:rsidRPr="0031289D">
        <w:rPr>
          <w:rFonts w:ascii="Arabic Typesetting" w:eastAsiaTheme="minorHAnsi" w:hAnsi="Arabic Typesetting" w:cs="Arabic Typesetting" w:hint="cs"/>
          <w:sz w:val="34"/>
          <w:szCs w:val="34"/>
          <w:rtl/>
        </w:rPr>
        <w:t>186</w:t>
      </w:r>
      <w:r w:rsidRPr="0031289D">
        <w:rPr>
          <w:rFonts w:ascii="Arabic Typesetting" w:eastAsiaTheme="minorHAnsi" w:hAnsi="Arabic Typesetting" w:cs="Arabic Typesetting"/>
          <w:sz w:val="34"/>
          <w:szCs w:val="34"/>
          <w:rtl/>
        </w:rPr>
        <w:t xml:space="preserve"> طلباً)، أسهمت في هذه الزيادة </w:t>
      </w:r>
      <w:r w:rsidRPr="0031289D">
        <w:rPr>
          <w:rFonts w:ascii="Arabic Typesetting" w:eastAsiaTheme="minorHAnsi" w:hAnsi="Arabic Typesetting" w:cs="Arabic Typesetting" w:hint="cs"/>
          <w:sz w:val="34"/>
          <w:szCs w:val="34"/>
          <w:rtl/>
        </w:rPr>
        <w:t xml:space="preserve">أيضاً </w:t>
      </w:r>
      <w:r w:rsidRPr="0031289D">
        <w:rPr>
          <w:rFonts w:ascii="Arabic Typesetting" w:eastAsiaTheme="minorHAnsi" w:hAnsi="Arabic Typesetting" w:cs="Arabic Typesetting"/>
          <w:sz w:val="34"/>
          <w:szCs w:val="34"/>
          <w:rtl/>
        </w:rPr>
        <w:t>الطلبات الواردة من جمهورية كوريا (+</w:t>
      </w:r>
      <w:r w:rsidRPr="0031289D">
        <w:rPr>
          <w:rFonts w:ascii="Arabic Typesetting" w:eastAsiaTheme="minorHAnsi" w:hAnsi="Arabic Typesetting" w:cs="Arabic Typesetting" w:hint="cs"/>
          <w:sz w:val="34"/>
          <w:szCs w:val="34"/>
          <w:rtl/>
        </w:rPr>
        <w:t>747</w:t>
      </w:r>
      <w:r w:rsidRPr="0031289D">
        <w:rPr>
          <w:rFonts w:ascii="Arabic Typesetting" w:eastAsiaTheme="minorHAnsi" w:hAnsi="Arabic Typesetting" w:cs="Arabic Typesetting"/>
          <w:sz w:val="34"/>
          <w:szCs w:val="34"/>
          <w:rtl/>
        </w:rPr>
        <w:t xml:space="preserve"> طلباً) واليابان (+</w:t>
      </w:r>
      <w:r w:rsidRPr="0031289D">
        <w:rPr>
          <w:rFonts w:ascii="Arabic Typesetting" w:eastAsiaTheme="minorHAnsi" w:hAnsi="Arabic Typesetting" w:cs="Arabic Typesetting" w:hint="cs"/>
          <w:sz w:val="34"/>
          <w:szCs w:val="34"/>
          <w:rtl/>
        </w:rPr>
        <w:t>220</w:t>
      </w:r>
      <w:r w:rsidRPr="0031289D">
        <w:rPr>
          <w:rFonts w:ascii="Arabic Typesetting" w:eastAsiaTheme="minorHAnsi" w:hAnsi="Arabic Typesetting" w:cs="Arabic Typesetting"/>
          <w:sz w:val="34"/>
          <w:szCs w:val="34"/>
          <w:rtl/>
        </w:rPr>
        <w:t xml:space="preserve"> طلباً) والولايات المتحدة الأمريكية (+</w:t>
      </w:r>
      <w:r w:rsidRPr="0031289D">
        <w:rPr>
          <w:rFonts w:ascii="Arabic Typesetting" w:eastAsiaTheme="minorHAnsi" w:hAnsi="Arabic Typesetting" w:cs="Arabic Typesetting" w:hint="cs"/>
          <w:sz w:val="34"/>
          <w:szCs w:val="34"/>
          <w:rtl/>
        </w:rPr>
        <w:t>211</w:t>
      </w:r>
      <w:r w:rsidRPr="0031289D">
        <w:rPr>
          <w:rFonts w:ascii="Arabic Typesetting" w:eastAsiaTheme="minorHAnsi" w:hAnsi="Arabic Typesetting" w:cs="Arabic Typesetting"/>
          <w:sz w:val="34"/>
          <w:szCs w:val="34"/>
          <w:rtl/>
        </w:rPr>
        <w:t xml:space="preserve"> طلباً)</w:t>
      </w:r>
      <w:r w:rsidRPr="0031289D">
        <w:rPr>
          <w:rFonts w:ascii="Arabic Typesetting" w:eastAsiaTheme="minorHAnsi" w:hAnsi="Arabic Typesetting" w:cs="Arabic Typesetting" w:hint="cs"/>
          <w:sz w:val="34"/>
          <w:szCs w:val="34"/>
          <w:rtl/>
        </w:rPr>
        <w:t xml:space="preserve"> </w:t>
      </w:r>
      <w:r w:rsidRPr="0031289D">
        <w:rPr>
          <w:rFonts w:ascii="Arabic Typesetting" w:eastAsiaTheme="minorHAnsi" w:hAnsi="Arabic Typesetting" w:cs="Arabic Typesetting"/>
          <w:sz w:val="34"/>
          <w:szCs w:val="34"/>
          <w:rtl/>
        </w:rPr>
        <w:t>التي انضمت</w:t>
      </w:r>
      <w:r w:rsidRPr="0031289D">
        <w:rPr>
          <w:rFonts w:ascii="Arabic Typesetting" w:eastAsiaTheme="minorHAnsi" w:hAnsi="Arabic Typesetting" w:cs="Arabic Typesetting" w:hint="cs"/>
          <w:sz w:val="34"/>
          <w:szCs w:val="34"/>
          <w:rtl/>
        </w:rPr>
        <w:t xml:space="preserve"> جميعها</w:t>
      </w:r>
      <w:r w:rsidRPr="0031289D">
        <w:rPr>
          <w:rFonts w:ascii="Arabic Typesetting" w:eastAsiaTheme="minorHAnsi" w:hAnsi="Arabic Typesetting" w:cs="Arabic Typesetting"/>
          <w:sz w:val="34"/>
          <w:szCs w:val="34"/>
          <w:rtl/>
        </w:rPr>
        <w:t xml:space="preserve"> إلى نظام لاهاي في</w:t>
      </w:r>
      <w:r w:rsidRPr="0031289D">
        <w:rPr>
          <w:rFonts w:ascii="Arabic Typesetting" w:eastAsiaTheme="minorHAnsi" w:hAnsi="Arabic Typesetting" w:cs="Arabic Typesetting" w:hint="cs"/>
          <w:sz w:val="34"/>
          <w:szCs w:val="34"/>
          <w:rtl/>
        </w:rPr>
        <w:t xml:space="preserve"> الثنائية</w:t>
      </w:r>
      <w:r w:rsidRPr="0031289D">
        <w:rPr>
          <w:rFonts w:ascii="Arabic Typesetting" w:eastAsiaTheme="minorHAnsi" w:hAnsi="Arabic Typesetting" w:cs="Arabic Typesetting"/>
          <w:sz w:val="34"/>
          <w:szCs w:val="34"/>
          <w:rtl/>
        </w:rPr>
        <w:t xml:space="preserve"> 2014/15.</w:t>
      </w:r>
    </w:p>
    <w:p w14:paraId="455A807E" w14:textId="77777777" w:rsidR="0031289D" w:rsidRPr="0031289D" w:rsidRDefault="0031289D"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6"/>
          <w:szCs w:val="36"/>
        </w:rPr>
      </w:pPr>
      <w:r w:rsidRPr="0031289D">
        <w:rPr>
          <w:rFonts w:ascii="Arabic Typesetting" w:eastAsiaTheme="minorHAnsi" w:hAnsi="Arabic Typesetting" w:cs="Arabic Typesetting"/>
          <w:sz w:val="34"/>
          <w:szCs w:val="34"/>
          <w:rtl/>
        </w:rPr>
        <w:t>وفي عام 201</w:t>
      </w:r>
      <w:r w:rsidRPr="0031289D">
        <w:rPr>
          <w:rFonts w:ascii="Arabic Typesetting" w:eastAsiaTheme="minorHAnsi" w:hAnsi="Arabic Typesetting" w:cs="Arabic Typesetting" w:hint="cs"/>
          <w:sz w:val="34"/>
          <w:szCs w:val="34"/>
          <w:rtl/>
        </w:rPr>
        <w:t>6</w:t>
      </w:r>
      <w:r w:rsidRPr="0031289D">
        <w:rPr>
          <w:rFonts w:ascii="Arabic Typesetting" w:eastAsiaTheme="minorHAnsi" w:hAnsi="Arabic Typesetting" w:cs="Arabic Typesetting"/>
          <w:sz w:val="34"/>
          <w:szCs w:val="34"/>
          <w:rtl/>
        </w:rPr>
        <w:t>، أ</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ودعت 9</w:t>
      </w:r>
      <w:r w:rsidRPr="0031289D">
        <w:rPr>
          <w:rFonts w:ascii="Arabic Typesetting" w:eastAsiaTheme="minorHAnsi" w:hAnsi="Arabic Typesetting" w:cs="Arabic Typesetting" w:hint="cs"/>
          <w:sz w:val="34"/>
          <w:szCs w:val="34"/>
          <w:rtl/>
        </w:rPr>
        <w:t>4</w:t>
      </w:r>
      <w:r w:rsidRPr="0031289D">
        <w:rPr>
          <w:rFonts w:ascii="Arabic Typesetting" w:eastAsiaTheme="minorHAnsi" w:hAnsi="Arabic Typesetting" w:cs="Arabic Typesetting"/>
          <w:sz w:val="34"/>
          <w:szCs w:val="34"/>
          <w:rtl/>
        </w:rPr>
        <w:t xml:space="preserve"> </w:t>
      </w:r>
      <w:r w:rsidRPr="0031289D">
        <w:rPr>
          <w:rFonts w:ascii="Arabic Typesetting" w:eastAsiaTheme="minorHAnsi" w:hAnsi="Arabic Typesetting" w:cs="Arabic Typesetting" w:hint="cs"/>
          <w:sz w:val="34"/>
          <w:szCs w:val="34"/>
          <w:rtl/>
        </w:rPr>
        <w:t xml:space="preserve">في </w:t>
      </w:r>
      <w:r w:rsidRPr="0031289D">
        <w:rPr>
          <w:rFonts w:ascii="Arabic Typesetting" w:eastAsiaTheme="minorHAnsi" w:hAnsi="Arabic Typesetting" w:cs="Arabic Typesetting"/>
          <w:sz w:val="34"/>
          <w:szCs w:val="34"/>
          <w:rtl/>
        </w:rPr>
        <w:t>الم</w:t>
      </w:r>
      <w:r w:rsidRPr="0031289D">
        <w:rPr>
          <w:rFonts w:ascii="Arabic Typesetting" w:eastAsiaTheme="minorHAnsi" w:hAnsi="Arabic Typesetting" w:cs="Arabic Typesetting" w:hint="cs"/>
          <w:sz w:val="34"/>
          <w:szCs w:val="34"/>
          <w:rtl/>
        </w:rPr>
        <w:t>ا</w:t>
      </w:r>
      <w:r w:rsidRPr="0031289D">
        <w:rPr>
          <w:rFonts w:ascii="Arabic Typesetting" w:eastAsiaTheme="minorHAnsi" w:hAnsi="Arabic Typesetting" w:cs="Arabic Typesetting"/>
          <w:sz w:val="34"/>
          <w:szCs w:val="34"/>
          <w:rtl/>
        </w:rPr>
        <w:t>ئة من الطلبات إلكترونيا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أي بزيادة قدرها </w:t>
      </w:r>
      <w:r w:rsidRPr="0031289D">
        <w:rPr>
          <w:rFonts w:ascii="Arabic Typesetting" w:eastAsiaTheme="minorHAnsi" w:hAnsi="Arabic Typesetting" w:cs="Arabic Typesetting" w:hint="cs"/>
          <w:sz w:val="34"/>
          <w:szCs w:val="34"/>
          <w:rtl/>
        </w:rPr>
        <w:t>13</w:t>
      </w:r>
      <w:r w:rsidRPr="0031289D">
        <w:rPr>
          <w:rFonts w:ascii="Arabic Typesetting" w:eastAsiaTheme="minorHAnsi" w:hAnsi="Arabic Typesetting" w:cs="Arabic Typesetting"/>
          <w:sz w:val="34"/>
          <w:szCs w:val="34"/>
          <w:rtl/>
        </w:rPr>
        <w:t xml:space="preserve"> </w:t>
      </w:r>
      <w:r w:rsidRPr="0031289D">
        <w:rPr>
          <w:rFonts w:ascii="Arabic Typesetting" w:eastAsiaTheme="minorHAnsi" w:hAnsi="Arabic Typesetting" w:cs="Arabic Typesetting" w:hint="cs"/>
          <w:sz w:val="34"/>
          <w:szCs w:val="34"/>
          <w:rtl/>
        </w:rPr>
        <w:t xml:space="preserve">نقطة مئوية </w:t>
      </w:r>
      <w:r w:rsidRPr="0031289D">
        <w:rPr>
          <w:rFonts w:ascii="Arabic Typesetting" w:eastAsiaTheme="minorHAnsi" w:hAnsi="Arabic Typesetting" w:cs="Arabic Typesetting"/>
          <w:sz w:val="34"/>
          <w:szCs w:val="34"/>
          <w:rtl/>
        </w:rPr>
        <w:t>على عام</w:t>
      </w:r>
      <w:r w:rsidRPr="0031289D">
        <w:rPr>
          <w:rFonts w:ascii="Arabic Typesetting" w:eastAsiaTheme="minorHAnsi" w:hAnsi="Arabic Typesetting" w:cs="Arabic Typesetting" w:hint="cs"/>
          <w:sz w:val="34"/>
          <w:szCs w:val="34"/>
          <w:rtl/>
        </w:rPr>
        <w:t> </w:t>
      </w:r>
      <w:r w:rsidRPr="0031289D">
        <w:rPr>
          <w:rFonts w:ascii="Arabic Typesetting" w:eastAsiaTheme="minorHAnsi" w:hAnsi="Arabic Typesetting" w:cs="Arabic Typesetting"/>
          <w:sz w:val="34"/>
          <w:szCs w:val="34"/>
          <w:rtl/>
        </w:rPr>
        <w:t>201</w:t>
      </w:r>
      <w:r w:rsidRPr="0031289D">
        <w:rPr>
          <w:rFonts w:ascii="Arabic Typesetting" w:eastAsiaTheme="minorHAnsi" w:hAnsi="Arabic Typesetting" w:cs="Arabic Typesetting" w:hint="cs"/>
          <w:sz w:val="34"/>
          <w:szCs w:val="34"/>
          <w:rtl/>
        </w:rPr>
        <w:t>2</w:t>
      </w:r>
      <w:r w:rsidRPr="0031289D">
        <w:rPr>
          <w:rFonts w:ascii="Arabic Typesetting" w:eastAsiaTheme="minorHAnsi" w:hAnsi="Arabic Typesetting" w:cs="Arabic Typesetting"/>
          <w:sz w:val="34"/>
          <w:szCs w:val="34"/>
          <w:rtl/>
        </w:rPr>
        <w:t>.</w:t>
      </w:r>
    </w:p>
    <w:p w14:paraId="3C003458" w14:textId="77777777" w:rsidR="0031289D" w:rsidRPr="0031289D" w:rsidRDefault="0031289D" w:rsidP="0031289D">
      <w:pPr>
        <w:keepNext/>
        <w:keepLines/>
        <w:bidi/>
        <w:spacing w:after="240" w:line="360" w:lineRule="exact"/>
        <w:rPr>
          <w:rFonts w:ascii="Arabic Typesetting" w:eastAsiaTheme="minorHAnsi" w:hAnsi="Arabic Typesetting" w:cs="Arabic Typesetting"/>
          <w:iCs/>
          <w:sz w:val="34"/>
          <w:szCs w:val="34"/>
        </w:rPr>
      </w:pPr>
      <w:r w:rsidRPr="0031289D">
        <w:rPr>
          <w:rFonts w:ascii="Arabic Typesetting" w:eastAsiaTheme="minorHAnsi" w:hAnsi="Arabic Typesetting" w:cs="Arabic Typesetting"/>
          <w:iCs/>
          <w:sz w:val="34"/>
          <w:szCs w:val="34"/>
          <w:rtl/>
        </w:rPr>
        <w:lastRenderedPageBreak/>
        <w:t>متوسط عدد التصاميم لكل طلب</w:t>
      </w:r>
    </w:p>
    <w:p w14:paraId="6EE4F440" w14:textId="5B06EA8C" w:rsidR="0031289D" w:rsidRPr="0031289D" w:rsidRDefault="00866227" w:rsidP="0031289D">
      <w:pPr>
        <w:keepNext/>
        <w:keepLines/>
        <w:bidi/>
        <w:spacing w:after="240" w:line="276" w:lineRule="auto"/>
        <w:jc w:val="center"/>
        <w:rPr>
          <w:rFonts w:ascii="Arabic Typesetting" w:eastAsiaTheme="minorHAnsi" w:hAnsi="Arabic Typesetting" w:cs="Arabic Typesetting"/>
          <w:iCs/>
          <w:sz w:val="34"/>
          <w:szCs w:val="34"/>
        </w:rPr>
      </w:pPr>
      <w:r>
        <w:rPr>
          <w:rFonts w:ascii="Arabic Typesetting" w:eastAsiaTheme="minorHAnsi" w:hAnsi="Arabic Typesetting" w:cs="Arabic Typesetting"/>
          <w:iCs/>
          <w:noProof/>
          <w:sz w:val="34"/>
          <w:szCs w:val="34"/>
        </w:rPr>
        <w:drawing>
          <wp:inline distT="0" distB="0" distL="0" distR="0" wp14:anchorId="2CDCCF25" wp14:editId="5157CD4E">
            <wp:extent cx="4041666" cy="25991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42207" cy="2599514"/>
                    </a:xfrm>
                    <a:prstGeom prst="rect">
                      <a:avLst/>
                    </a:prstGeom>
                    <a:noFill/>
                  </pic:spPr>
                </pic:pic>
              </a:graphicData>
            </a:graphic>
          </wp:inline>
        </w:drawing>
      </w:r>
    </w:p>
    <w:p w14:paraId="607B24BF" w14:textId="77777777" w:rsidR="0031289D" w:rsidRPr="0031289D" w:rsidRDefault="0031289D"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في عام 201</w:t>
      </w:r>
      <w:r w:rsidRPr="0031289D">
        <w:rPr>
          <w:rFonts w:ascii="Arabic Typesetting" w:eastAsiaTheme="minorHAnsi" w:hAnsi="Arabic Typesetting" w:cs="Arabic Typesetting" w:hint="cs"/>
          <w:sz w:val="34"/>
          <w:szCs w:val="34"/>
          <w:rtl/>
        </w:rPr>
        <w:t>6</w:t>
      </w:r>
      <w:r w:rsidRPr="0031289D">
        <w:rPr>
          <w:rFonts w:ascii="Arabic Typesetting" w:eastAsiaTheme="minorHAnsi" w:hAnsi="Arabic Typesetting" w:cs="Arabic Typesetting"/>
          <w:sz w:val="34"/>
          <w:szCs w:val="34"/>
          <w:rtl/>
        </w:rPr>
        <w:t>، احتوى الطلب</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في المتوسط</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على </w:t>
      </w:r>
      <w:r w:rsidRPr="0031289D">
        <w:rPr>
          <w:rFonts w:ascii="Arabic Typesetting" w:eastAsiaTheme="minorHAnsi" w:hAnsi="Arabic Typesetting" w:cs="Arabic Typesetting" w:hint="cs"/>
          <w:sz w:val="34"/>
          <w:szCs w:val="34"/>
          <w:rtl/>
        </w:rPr>
        <w:t>3.4 تصميم، مما يؤكد وجود اتجاه نزولي</w:t>
      </w:r>
      <w:r w:rsidRPr="0031289D">
        <w:rPr>
          <w:rFonts w:ascii="Arabic Typesetting" w:eastAsiaTheme="minorHAnsi" w:hAnsi="Arabic Typesetting" w:cs="Arabic Typesetting"/>
          <w:sz w:val="34"/>
          <w:szCs w:val="34"/>
          <w:rtl/>
        </w:rPr>
        <w:t>.</w:t>
      </w:r>
    </w:p>
    <w:p w14:paraId="6F3DA9FF" w14:textId="77777777" w:rsidR="0031289D" w:rsidRPr="0031289D" w:rsidRDefault="0031289D" w:rsidP="0031289D">
      <w:pPr>
        <w:keepNext/>
        <w:keepLines/>
        <w:bidi/>
        <w:spacing w:after="240" w:line="360" w:lineRule="exact"/>
        <w:rPr>
          <w:rFonts w:ascii="Arabic Typesetting" w:eastAsiaTheme="minorHAnsi" w:hAnsi="Arabic Typesetting" w:cs="Arabic Typesetting"/>
          <w:iCs/>
          <w:sz w:val="34"/>
          <w:szCs w:val="34"/>
        </w:rPr>
      </w:pPr>
      <w:r w:rsidRPr="0031289D">
        <w:rPr>
          <w:rFonts w:ascii="Arabic Typesetting" w:eastAsiaTheme="minorHAnsi" w:hAnsi="Arabic Typesetting" w:cs="Arabic Typesetting"/>
          <w:iCs/>
          <w:sz w:val="34"/>
          <w:szCs w:val="34"/>
          <w:rtl/>
        </w:rPr>
        <w:t xml:space="preserve">متوسط عدد التعيينات لكل </w:t>
      </w:r>
      <w:r w:rsidRPr="0031289D">
        <w:rPr>
          <w:rFonts w:ascii="Arabic Typesetting" w:eastAsiaTheme="minorHAnsi" w:hAnsi="Arabic Typesetting" w:cs="Arabic Typesetting" w:hint="cs"/>
          <w:iCs/>
          <w:sz w:val="34"/>
          <w:szCs w:val="34"/>
          <w:rtl/>
        </w:rPr>
        <w:t>طلب</w:t>
      </w:r>
    </w:p>
    <w:p w14:paraId="2BAF8A15" w14:textId="63C454C1" w:rsidR="0031289D" w:rsidRPr="0031289D" w:rsidRDefault="00866227" w:rsidP="0031289D">
      <w:pPr>
        <w:keepNext/>
        <w:keepLines/>
        <w:bidi/>
        <w:spacing w:after="240" w:line="276" w:lineRule="auto"/>
        <w:jc w:val="center"/>
        <w:rPr>
          <w:rFonts w:ascii="Arabic Typesetting" w:eastAsiaTheme="minorHAnsi" w:hAnsi="Arabic Typesetting" w:cs="Arabic Typesetting"/>
          <w:iCs/>
          <w:sz w:val="36"/>
          <w:szCs w:val="36"/>
          <w:highlight w:val="red"/>
        </w:rPr>
      </w:pPr>
      <w:r>
        <w:rPr>
          <w:rFonts w:ascii="Arabic Typesetting" w:eastAsiaTheme="minorHAnsi" w:hAnsi="Arabic Typesetting" w:cs="Arabic Typesetting"/>
          <w:iCs/>
          <w:noProof/>
          <w:sz w:val="36"/>
          <w:szCs w:val="36"/>
        </w:rPr>
        <w:drawing>
          <wp:inline distT="0" distB="0" distL="0" distR="0" wp14:anchorId="428A718B" wp14:editId="625B7AAB">
            <wp:extent cx="4130688" cy="2647782"/>
            <wp:effectExtent l="0" t="0" r="317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36953" cy="2651798"/>
                    </a:xfrm>
                    <a:prstGeom prst="rect">
                      <a:avLst/>
                    </a:prstGeom>
                    <a:noFill/>
                  </pic:spPr>
                </pic:pic>
              </a:graphicData>
            </a:graphic>
          </wp:inline>
        </w:drawing>
      </w:r>
    </w:p>
    <w:p w14:paraId="0851176E" w14:textId="77777777" w:rsidR="0031289D" w:rsidRPr="0031289D" w:rsidRDefault="0031289D" w:rsidP="00D94CDB">
      <w:pPr>
        <w:numPr>
          <w:ilvl w:val="0"/>
          <w:numId w:val="100"/>
        </w:numPr>
        <w:tabs>
          <w:tab w:val="clear" w:pos="720"/>
        </w:tabs>
        <w:bidi/>
        <w:spacing w:after="240" w:line="360" w:lineRule="exact"/>
        <w:ind w:left="1134"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في عام 201</w:t>
      </w:r>
      <w:r w:rsidRPr="0031289D">
        <w:rPr>
          <w:rFonts w:ascii="Arabic Typesetting" w:eastAsiaTheme="minorHAnsi" w:hAnsi="Arabic Typesetting" w:cs="Arabic Typesetting" w:hint="cs"/>
          <w:sz w:val="34"/>
          <w:szCs w:val="34"/>
          <w:rtl/>
        </w:rPr>
        <w:t>6،</w:t>
      </w:r>
      <w:r w:rsidRPr="0031289D">
        <w:rPr>
          <w:rFonts w:ascii="Arabic Typesetting" w:eastAsiaTheme="minorHAnsi" w:hAnsi="Arabic Typesetting" w:cs="Arabic Typesetting"/>
          <w:sz w:val="34"/>
          <w:szCs w:val="34"/>
          <w:rtl/>
        </w:rPr>
        <w:t xml:space="preserve"> احتوى الطلب في المتوسط على </w:t>
      </w:r>
      <w:r w:rsidRPr="0031289D">
        <w:rPr>
          <w:rFonts w:ascii="Arabic Typesetting" w:eastAsiaTheme="minorHAnsi" w:hAnsi="Arabic Typesetting" w:cs="Arabic Typesetting" w:hint="cs"/>
          <w:sz w:val="34"/>
          <w:szCs w:val="34"/>
          <w:rtl/>
        </w:rPr>
        <w:t>3</w:t>
      </w:r>
      <w:r w:rsidRPr="0031289D">
        <w:rPr>
          <w:rFonts w:ascii="Arabic Typesetting" w:eastAsiaTheme="minorHAnsi" w:hAnsi="Arabic Typesetting" w:cs="Arabic Typesetting"/>
          <w:sz w:val="34"/>
          <w:szCs w:val="34"/>
          <w:rtl/>
        </w:rPr>
        <w:t>.</w:t>
      </w:r>
      <w:r w:rsidRPr="0031289D">
        <w:rPr>
          <w:rFonts w:ascii="Arabic Typesetting" w:eastAsiaTheme="minorHAnsi" w:hAnsi="Arabic Typesetting" w:cs="Arabic Typesetting" w:hint="cs"/>
          <w:sz w:val="34"/>
          <w:szCs w:val="34"/>
          <w:rtl/>
        </w:rPr>
        <w:t>8</w:t>
      </w:r>
      <w:r w:rsidRPr="0031289D">
        <w:rPr>
          <w:rFonts w:ascii="Arabic Typesetting" w:eastAsiaTheme="minorHAnsi" w:hAnsi="Arabic Typesetting" w:cs="Arabic Typesetting"/>
          <w:sz w:val="34"/>
          <w:szCs w:val="34"/>
          <w:rtl/>
        </w:rPr>
        <w:t xml:space="preserve"> </w:t>
      </w:r>
      <w:r w:rsidRPr="0031289D">
        <w:rPr>
          <w:rFonts w:ascii="Arabic Typesetting" w:eastAsiaTheme="minorHAnsi" w:hAnsi="Arabic Typesetting" w:cs="Arabic Typesetting" w:hint="cs"/>
          <w:sz w:val="34"/>
          <w:szCs w:val="34"/>
          <w:rtl/>
        </w:rPr>
        <w:t>تعيين</w:t>
      </w:r>
      <w:r w:rsidRPr="0031289D">
        <w:rPr>
          <w:rFonts w:ascii="Arabic Typesetting" w:eastAsiaTheme="minorHAnsi" w:hAnsi="Arabic Typesetting" w:cs="Arabic Typesetting"/>
          <w:sz w:val="34"/>
          <w:szCs w:val="34"/>
          <w:rtl/>
        </w:rPr>
        <w:t>.</w:t>
      </w:r>
      <w:r w:rsidRPr="0031289D">
        <w:rPr>
          <w:rFonts w:ascii="Arabic Typesetting" w:eastAsiaTheme="minorHAnsi" w:hAnsi="Arabic Typesetting" w:cs="Arabic Typesetting" w:hint="cs"/>
          <w:sz w:val="34"/>
          <w:szCs w:val="34"/>
          <w:rtl/>
        </w:rPr>
        <w:t xml:space="preserve"> </w:t>
      </w:r>
      <w:r w:rsidRPr="0031289D">
        <w:rPr>
          <w:rFonts w:ascii="Arabic Typesetting" w:eastAsiaTheme="minorHAnsi" w:hAnsi="Arabic Typesetting" w:cs="Arabic Typesetting"/>
          <w:sz w:val="34"/>
          <w:szCs w:val="34"/>
          <w:rtl/>
        </w:rPr>
        <w:t>ومنذ عام 2012، انخفض بشكل مستمر متوسط عدد التعيينات لكل طلب.</w:t>
      </w:r>
    </w:p>
    <w:p w14:paraId="29FC9B99" w14:textId="77777777" w:rsidR="0031289D" w:rsidRPr="0031289D" w:rsidRDefault="0031289D" w:rsidP="0031289D">
      <w:pPr>
        <w:keepNext/>
        <w:bidi/>
        <w:spacing w:after="240" w:line="360" w:lineRule="exact"/>
        <w:rPr>
          <w:rFonts w:ascii="Arabic Typesetting" w:eastAsiaTheme="minorHAnsi" w:hAnsi="Arabic Typesetting" w:cs="Arabic Typesetting"/>
          <w:iCs/>
          <w:sz w:val="34"/>
          <w:szCs w:val="34"/>
        </w:rPr>
      </w:pPr>
      <w:r w:rsidRPr="0031289D">
        <w:rPr>
          <w:rFonts w:ascii="Arabic Typesetting" w:eastAsiaTheme="minorHAnsi" w:hAnsi="Arabic Typesetting" w:cs="Arabic Typesetting"/>
          <w:iCs/>
          <w:sz w:val="34"/>
          <w:szCs w:val="34"/>
          <w:rtl/>
        </w:rPr>
        <w:lastRenderedPageBreak/>
        <w:t>توجهات المخالفات في الطلبات</w:t>
      </w:r>
    </w:p>
    <w:p w14:paraId="5AE9FEBE" w14:textId="77777777" w:rsidR="0031289D" w:rsidRPr="0031289D" w:rsidRDefault="0031289D" w:rsidP="00D94CDB">
      <w:pPr>
        <w:keepNext/>
        <w:numPr>
          <w:ilvl w:val="0"/>
          <w:numId w:val="102"/>
        </w:numPr>
        <w:bidi/>
        <w:spacing w:after="240" w:line="360" w:lineRule="exact"/>
        <w:ind w:left="567" w:hanging="567"/>
        <w:jc w:val="both"/>
        <w:rPr>
          <w:rFonts w:ascii="Arabic Typesetting" w:eastAsiaTheme="minorHAnsi" w:hAnsi="Arabic Typesetting" w:cs="Arabic Typesetting"/>
          <w:sz w:val="36"/>
          <w:szCs w:val="36"/>
        </w:rPr>
      </w:pPr>
      <w:r w:rsidRPr="0031289D">
        <w:rPr>
          <w:rFonts w:ascii="Arabic Typesetting" w:eastAsiaTheme="minorHAnsi" w:hAnsi="Arabic Typesetting" w:cs="Arabic Typesetting"/>
          <w:sz w:val="34"/>
          <w:szCs w:val="34"/>
          <w:rtl/>
        </w:rPr>
        <w:t xml:space="preserve">تنقسم المخالفات </w:t>
      </w:r>
      <w:r w:rsidRPr="0031289D">
        <w:rPr>
          <w:rFonts w:ascii="Arabic Typesetting" w:eastAsiaTheme="minorHAnsi" w:hAnsi="Arabic Typesetting" w:cs="Arabic Typesetting" w:hint="cs"/>
          <w:sz w:val="34"/>
          <w:szCs w:val="34"/>
          <w:rtl/>
        </w:rPr>
        <w:t xml:space="preserve">المُبلغ عنها </w:t>
      </w:r>
      <w:r w:rsidRPr="0031289D">
        <w:rPr>
          <w:rFonts w:ascii="Arabic Typesetting" w:eastAsiaTheme="minorHAnsi" w:hAnsi="Arabic Typesetting" w:cs="Arabic Typesetting"/>
          <w:sz w:val="34"/>
          <w:szCs w:val="34"/>
          <w:rtl/>
        </w:rPr>
        <w:t>إلى عشر فئات مبينة في الشكل التالي.</w:t>
      </w:r>
    </w:p>
    <w:p w14:paraId="5DDEA7C6" w14:textId="5B240D3A" w:rsidR="0031289D" w:rsidRPr="0031289D" w:rsidRDefault="00866227" w:rsidP="0031289D">
      <w:pPr>
        <w:keepNext/>
        <w:keepLines/>
        <w:bidi/>
        <w:spacing w:after="240" w:line="276" w:lineRule="auto"/>
        <w:ind w:left="-19"/>
        <w:jc w:val="center"/>
        <w:rPr>
          <w:rFonts w:ascii="Arabic Typesetting" w:eastAsiaTheme="minorHAnsi" w:hAnsi="Arabic Typesetting" w:cs="Arabic Typesetting"/>
          <w:sz w:val="36"/>
          <w:szCs w:val="36"/>
        </w:rPr>
      </w:pPr>
      <w:r>
        <w:rPr>
          <w:rFonts w:ascii="Arabic Typesetting" w:eastAsiaTheme="minorHAnsi" w:hAnsi="Arabic Typesetting" w:cs="Arabic Typesetting"/>
          <w:noProof/>
          <w:sz w:val="36"/>
          <w:szCs w:val="36"/>
        </w:rPr>
        <w:drawing>
          <wp:inline distT="0" distB="0" distL="0" distR="0" wp14:anchorId="6201730B" wp14:editId="3367615B">
            <wp:extent cx="4598092" cy="329031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01916" cy="3293047"/>
                    </a:xfrm>
                    <a:prstGeom prst="rect">
                      <a:avLst/>
                    </a:prstGeom>
                    <a:noFill/>
                  </pic:spPr>
                </pic:pic>
              </a:graphicData>
            </a:graphic>
          </wp:inline>
        </w:drawing>
      </w:r>
    </w:p>
    <w:p w14:paraId="41D72E39" w14:textId="77777777" w:rsidR="0031289D" w:rsidRPr="0031289D" w:rsidRDefault="0031289D" w:rsidP="00D94CDB">
      <w:pPr>
        <w:numPr>
          <w:ilvl w:val="0"/>
          <w:numId w:val="100"/>
        </w:numPr>
        <w:tabs>
          <w:tab w:val="clear" w:pos="720"/>
        </w:tabs>
        <w:bidi/>
        <w:spacing w:after="240" w:line="360" w:lineRule="exact"/>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في عام 201</w:t>
      </w:r>
      <w:r w:rsidRPr="0031289D">
        <w:rPr>
          <w:rFonts w:ascii="Arabic Typesetting" w:eastAsiaTheme="minorHAnsi" w:hAnsi="Arabic Typesetting" w:cs="Arabic Typesetting" w:hint="cs"/>
          <w:sz w:val="34"/>
          <w:szCs w:val="34"/>
          <w:rtl/>
        </w:rPr>
        <w:t>6</w:t>
      </w:r>
      <w:r w:rsidRPr="0031289D">
        <w:rPr>
          <w:rFonts w:ascii="Arabic Typesetting" w:eastAsiaTheme="minorHAnsi" w:hAnsi="Arabic Typesetting" w:cs="Arabic Typesetting"/>
          <w:sz w:val="34"/>
          <w:szCs w:val="34"/>
          <w:rtl/>
        </w:rPr>
        <w:t xml:space="preserve">، </w:t>
      </w:r>
      <w:r w:rsidRPr="0031289D">
        <w:rPr>
          <w:rFonts w:ascii="Arabic Typesetting" w:eastAsiaTheme="minorHAnsi" w:hAnsi="Arabic Typesetting" w:cs="Arabic Typesetting" w:hint="cs"/>
          <w:sz w:val="34"/>
          <w:szCs w:val="34"/>
          <w:rtl/>
        </w:rPr>
        <w:t xml:space="preserve">أبلغ </w:t>
      </w:r>
      <w:r w:rsidRPr="0031289D">
        <w:rPr>
          <w:rFonts w:ascii="Arabic Typesetting" w:eastAsiaTheme="minorHAnsi" w:hAnsi="Arabic Typesetting" w:cs="Arabic Typesetting"/>
          <w:sz w:val="34"/>
          <w:szCs w:val="34"/>
          <w:rtl/>
        </w:rPr>
        <w:t>المكتب الدولي</w:t>
      </w:r>
      <w:r w:rsidRPr="0031289D">
        <w:rPr>
          <w:rFonts w:ascii="Arabic Typesetting" w:eastAsiaTheme="minorHAnsi" w:hAnsi="Arabic Typesetting" w:cs="Arabic Typesetting" w:hint="cs"/>
          <w:sz w:val="34"/>
          <w:szCs w:val="34"/>
          <w:rtl/>
        </w:rPr>
        <w:t xml:space="preserve"> عن</w:t>
      </w:r>
      <w:r w:rsidRPr="0031289D">
        <w:rPr>
          <w:rFonts w:ascii="Arabic Typesetting" w:eastAsiaTheme="minorHAnsi" w:hAnsi="Arabic Typesetting" w:cs="Arabic Typesetting"/>
          <w:sz w:val="34"/>
          <w:szCs w:val="34"/>
          <w:rtl/>
        </w:rPr>
        <w:t xml:space="preserve"> </w:t>
      </w:r>
      <w:r w:rsidRPr="0059581F">
        <w:rPr>
          <w:rFonts w:ascii="Arabic Typesetting" w:eastAsiaTheme="minorHAnsi" w:hAnsi="Arabic Typesetting" w:cs="Arabic Typesetting" w:hint="cs"/>
          <w:sz w:val="34"/>
          <w:szCs w:val="34"/>
          <w:rtl/>
        </w:rPr>
        <w:t>383</w:t>
      </w:r>
      <w:r w:rsidRPr="0031289D">
        <w:rPr>
          <w:rFonts w:ascii="Arabic Typesetting" w:eastAsiaTheme="minorHAnsi" w:hAnsi="Arabic Typesetting" w:cs="Arabic Typesetting" w:hint="cs"/>
          <w:sz w:val="34"/>
          <w:szCs w:val="34"/>
          <w:rtl/>
        </w:rPr>
        <w:t> 3</w:t>
      </w:r>
      <w:r w:rsidRPr="0031289D">
        <w:rPr>
          <w:rFonts w:ascii="Arabic Typesetting" w:eastAsiaTheme="minorHAnsi" w:hAnsi="Arabic Typesetting" w:cs="Arabic Typesetting"/>
          <w:sz w:val="34"/>
          <w:szCs w:val="34"/>
          <w:rtl/>
        </w:rPr>
        <w:t xml:space="preserve"> مخالفة </w:t>
      </w:r>
      <w:r w:rsidRPr="0031289D">
        <w:rPr>
          <w:rFonts w:ascii="Arabic Typesetting" w:eastAsiaTheme="minorHAnsi" w:hAnsi="Arabic Typesetting" w:cs="Arabic Typesetting" w:hint="cs"/>
          <w:sz w:val="34"/>
          <w:szCs w:val="34"/>
          <w:rtl/>
        </w:rPr>
        <w:t>بخصوص</w:t>
      </w:r>
      <w:r w:rsidRPr="0031289D">
        <w:rPr>
          <w:rFonts w:ascii="Arabic Typesetting" w:eastAsiaTheme="minorHAnsi" w:hAnsi="Arabic Typesetting" w:cs="Arabic Typesetting"/>
          <w:sz w:val="34"/>
          <w:szCs w:val="34"/>
          <w:rtl/>
        </w:rPr>
        <w:t xml:space="preserve"> الطلبات.</w:t>
      </w:r>
    </w:p>
    <w:p w14:paraId="77150BA2" w14:textId="77777777" w:rsidR="0031289D" w:rsidRPr="0031289D" w:rsidRDefault="0031289D" w:rsidP="00D94CDB">
      <w:pPr>
        <w:numPr>
          <w:ilvl w:val="0"/>
          <w:numId w:val="100"/>
        </w:numPr>
        <w:tabs>
          <w:tab w:val="clear" w:pos="720"/>
        </w:tabs>
        <w:bidi/>
        <w:spacing w:after="240" w:line="360" w:lineRule="exact"/>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hint="cs"/>
          <w:sz w:val="34"/>
          <w:szCs w:val="34"/>
          <w:rtl/>
        </w:rPr>
        <w:t>و</w:t>
      </w:r>
      <w:r w:rsidRPr="0031289D">
        <w:rPr>
          <w:rFonts w:ascii="Arabic Typesetting" w:eastAsiaTheme="minorHAnsi" w:hAnsi="Arabic Typesetting" w:cs="Arabic Typesetting"/>
          <w:sz w:val="34"/>
          <w:szCs w:val="34"/>
          <w:rtl/>
        </w:rPr>
        <w:t>كانت المخالفات المتعلقة بمؤشرات المنتجات و</w:t>
      </w:r>
      <w:r w:rsidRPr="0031289D">
        <w:rPr>
          <w:rFonts w:ascii="Arabic Typesetting" w:eastAsiaTheme="minorHAnsi" w:hAnsi="Arabic Typesetting" w:cs="Arabic Typesetting" w:hint="cs"/>
          <w:sz w:val="34"/>
          <w:szCs w:val="34"/>
          <w:rtl/>
        </w:rPr>
        <w:t>الأ</w:t>
      </w:r>
      <w:r w:rsidRPr="0031289D">
        <w:rPr>
          <w:rFonts w:ascii="Arabic Typesetting" w:eastAsiaTheme="minorHAnsi" w:hAnsi="Arabic Typesetting" w:cs="Arabic Typesetting"/>
          <w:sz w:val="34"/>
          <w:szCs w:val="34"/>
          <w:rtl/>
        </w:rPr>
        <w:t>وص</w:t>
      </w:r>
      <w:r w:rsidRPr="0031289D">
        <w:rPr>
          <w:rFonts w:ascii="Arabic Typesetting" w:eastAsiaTheme="minorHAnsi" w:hAnsi="Arabic Typesetting" w:cs="Arabic Typesetting" w:hint="cs"/>
          <w:sz w:val="34"/>
          <w:szCs w:val="34"/>
          <w:rtl/>
        </w:rPr>
        <w:t>ا</w:t>
      </w:r>
      <w:r w:rsidRPr="0031289D">
        <w:rPr>
          <w:rFonts w:ascii="Arabic Typesetting" w:eastAsiaTheme="minorHAnsi" w:hAnsi="Arabic Typesetting" w:cs="Arabic Typesetting"/>
          <w:sz w:val="34"/>
          <w:szCs w:val="34"/>
          <w:rtl/>
        </w:rPr>
        <w:t xml:space="preserve">ف وترقيم </w:t>
      </w:r>
      <w:r w:rsidRPr="0031289D">
        <w:rPr>
          <w:rFonts w:ascii="Arabic Typesetting" w:eastAsiaTheme="minorHAnsi" w:hAnsi="Arabic Typesetting" w:cs="Arabic Typesetting" w:hint="cs"/>
          <w:sz w:val="34"/>
          <w:szCs w:val="34"/>
          <w:rtl/>
        </w:rPr>
        <w:t xml:space="preserve">النسخ هي </w:t>
      </w:r>
      <w:r w:rsidRPr="0031289D">
        <w:rPr>
          <w:rFonts w:ascii="Arabic Typesetting" w:eastAsiaTheme="minorHAnsi" w:hAnsi="Arabic Typesetting" w:cs="Arabic Typesetting"/>
          <w:sz w:val="34"/>
          <w:szCs w:val="34"/>
          <w:rtl/>
        </w:rPr>
        <w:t>التي شهدت أكبر زيادة نسبية في عام</w:t>
      </w:r>
      <w:r w:rsidRPr="0031289D">
        <w:rPr>
          <w:rFonts w:ascii="Arabic Typesetting" w:eastAsiaTheme="minorHAnsi" w:hAnsi="Arabic Typesetting" w:cs="Arabic Typesetting" w:hint="cs"/>
          <w:sz w:val="34"/>
          <w:szCs w:val="34"/>
          <w:rtl/>
        </w:rPr>
        <w:t> </w:t>
      </w:r>
      <w:r w:rsidRPr="0031289D">
        <w:rPr>
          <w:rFonts w:ascii="Arabic Typesetting" w:eastAsiaTheme="minorHAnsi" w:hAnsi="Arabic Typesetting" w:cs="Arabic Typesetting"/>
          <w:sz w:val="34"/>
          <w:szCs w:val="34"/>
          <w:rtl/>
        </w:rPr>
        <w:t>2016.</w:t>
      </w:r>
    </w:p>
    <w:p w14:paraId="7D6C3843" w14:textId="77777777" w:rsidR="0031289D" w:rsidRPr="0031289D" w:rsidRDefault="0031289D" w:rsidP="00D94CDB">
      <w:pPr>
        <w:numPr>
          <w:ilvl w:val="0"/>
          <w:numId w:val="100"/>
        </w:numPr>
        <w:tabs>
          <w:tab w:val="clear" w:pos="720"/>
        </w:tabs>
        <w:bidi/>
        <w:spacing w:after="240" w:line="360" w:lineRule="exact"/>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hint="cs"/>
          <w:sz w:val="34"/>
          <w:szCs w:val="34"/>
          <w:rtl/>
        </w:rPr>
        <w:t>وبوجه عام،</w:t>
      </w:r>
      <w:r w:rsidRPr="0031289D">
        <w:rPr>
          <w:rFonts w:ascii="Arabic Typesetting" w:eastAsiaTheme="minorHAnsi" w:hAnsi="Arabic Typesetting" w:cs="Arabic Typesetting"/>
          <w:sz w:val="34"/>
          <w:szCs w:val="34"/>
          <w:rtl/>
        </w:rPr>
        <w:t xml:space="preserve"> زادت المخالفات المبلغ عنها في عام 2016 بنسبة 64 في المائة مقارنة بعام 2015</w:t>
      </w:r>
      <w:r w:rsidRPr="0031289D">
        <w:rPr>
          <w:rFonts w:ascii="Arabic Typesetting" w:eastAsiaTheme="minorHAnsi" w:hAnsi="Arabic Typesetting" w:cs="Arabic Typesetting"/>
          <w:sz w:val="28"/>
          <w:szCs w:val="28"/>
          <w:vertAlign w:val="superscript"/>
          <w:rtl/>
        </w:rPr>
        <w:footnoteReference w:id="41"/>
      </w:r>
      <w:r w:rsidRPr="0031289D">
        <w:rPr>
          <w:rFonts w:ascii="Arabic Typesetting" w:eastAsiaTheme="minorHAnsi" w:hAnsi="Arabic Typesetting" w:cs="Arabic Typesetting"/>
          <w:sz w:val="34"/>
          <w:szCs w:val="34"/>
          <w:rtl/>
        </w:rPr>
        <w:t>، و</w:t>
      </w:r>
      <w:r w:rsidRPr="0031289D">
        <w:rPr>
          <w:rFonts w:ascii="Arabic Typesetting" w:eastAsiaTheme="minorHAnsi" w:hAnsi="Arabic Typesetting" w:cs="Arabic Typesetting" w:hint="cs"/>
          <w:sz w:val="34"/>
          <w:szCs w:val="34"/>
          <w:rtl/>
        </w:rPr>
        <w:t xml:space="preserve">هذه الزيادة أكبر من </w:t>
      </w:r>
      <w:r w:rsidRPr="0031289D">
        <w:rPr>
          <w:rFonts w:ascii="Arabic Typesetting" w:eastAsiaTheme="minorHAnsi" w:hAnsi="Arabic Typesetting" w:cs="Arabic Typesetting"/>
          <w:sz w:val="34"/>
          <w:szCs w:val="34"/>
          <w:rtl/>
        </w:rPr>
        <w:t xml:space="preserve">الزيادة </w:t>
      </w:r>
      <w:r w:rsidRPr="0031289D">
        <w:rPr>
          <w:rFonts w:ascii="Arabic Typesetting" w:eastAsiaTheme="minorHAnsi" w:hAnsi="Arabic Typesetting" w:cs="Arabic Typesetting" w:hint="cs"/>
          <w:sz w:val="34"/>
          <w:szCs w:val="34"/>
          <w:rtl/>
        </w:rPr>
        <w:t>التي حدثت في عدد ا</w:t>
      </w:r>
      <w:r w:rsidRPr="0031289D">
        <w:rPr>
          <w:rFonts w:ascii="Arabic Typesetting" w:eastAsiaTheme="minorHAnsi" w:hAnsi="Arabic Typesetting" w:cs="Arabic Typesetting"/>
          <w:sz w:val="34"/>
          <w:szCs w:val="34"/>
          <w:rtl/>
        </w:rPr>
        <w:t>لطلبات.</w:t>
      </w:r>
    </w:p>
    <w:p w14:paraId="3BB770A1" w14:textId="77777777" w:rsidR="0031289D" w:rsidRPr="0031289D" w:rsidRDefault="0031289D" w:rsidP="00D94CDB">
      <w:pPr>
        <w:keepNext/>
        <w:numPr>
          <w:ilvl w:val="0"/>
          <w:numId w:val="102"/>
        </w:numPr>
        <w:bidi/>
        <w:spacing w:after="240" w:line="360" w:lineRule="exact"/>
        <w:ind w:left="567" w:hanging="567"/>
        <w:jc w:val="both"/>
        <w:rPr>
          <w:rFonts w:ascii="Arabic Typesetting" w:eastAsiaTheme="minorHAnsi" w:hAnsi="Arabic Typesetting" w:cs="Arabic Typesetting"/>
          <w:sz w:val="36"/>
          <w:szCs w:val="36"/>
        </w:rPr>
      </w:pPr>
      <w:r w:rsidRPr="0031289D">
        <w:rPr>
          <w:rFonts w:ascii="Arabic Typesetting" w:eastAsiaTheme="minorHAnsi" w:hAnsi="Arabic Typesetting" w:cs="Arabic Typesetting"/>
          <w:sz w:val="34"/>
          <w:szCs w:val="34"/>
          <w:rtl/>
        </w:rPr>
        <w:lastRenderedPageBreak/>
        <w:t>و</w:t>
      </w:r>
      <w:r w:rsidRPr="0031289D">
        <w:rPr>
          <w:rFonts w:ascii="Arabic Typesetting" w:eastAsiaTheme="minorHAnsi" w:hAnsi="Arabic Typesetting" w:cs="Arabic Typesetting" w:hint="cs"/>
          <w:sz w:val="34"/>
          <w:szCs w:val="34"/>
          <w:rtl/>
        </w:rPr>
        <w:t xml:space="preserve">فيما </w:t>
      </w:r>
      <w:r w:rsidRPr="0031289D">
        <w:rPr>
          <w:rFonts w:ascii="Arabic Typesetting" w:eastAsiaTheme="minorHAnsi" w:hAnsi="Arabic Typesetting" w:cs="Arabic Typesetting"/>
          <w:sz w:val="34"/>
          <w:szCs w:val="34"/>
          <w:rtl/>
        </w:rPr>
        <w:t xml:space="preserve">يلي </w:t>
      </w:r>
      <w:r w:rsidRPr="0031289D">
        <w:rPr>
          <w:rFonts w:ascii="Arabic Typesetting" w:eastAsiaTheme="minorHAnsi" w:hAnsi="Arabic Typesetting" w:cs="Arabic Typesetting" w:hint="cs"/>
          <w:sz w:val="34"/>
          <w:szCs w:val="34"/>
          <w:rtl/>
        </w:rPr>
        <w:t>توضيح ل</w:t>
      </w:r>
      <w:r w:rsidRPr="0031289D">
        <w:rPr>
          <w:rFonts w:ascii="Arabic Typesetting" w:eastAsiaTheme="minorHAnsi" w:hAnsi="Arabic Typesetting" w:cs="Arabic Typesetting"/>
          <w:sz w:val="34"/>
          <w:szCs w:val="34"/>
          <w:rtl/>
        </w:rPr>
        <w:t xml:space="preserve">تطور حصة الطلبات التي </w:t>
      </w:r>
      <w:r w:rsidRPr="0031289D">
        <w:rPr>
          <w:rFonts w:ascii="Arabic Typesetting" w:eastAsiaTheme="minorHAnsi" w:hAnsi="Arabic Typesetting" w:cs="Arabic Typesetting" w:hint="cs"/>
          <w:sz w:val="34"/>
          <w:szCs w:val="34"/>
          <w:rtl/>
        </w:rPr>
        <w:t>تحتوي</w:t>
      </w:r>
      <w:r w:rsidRPr="0031289D">
        <w:rPr>
          <w:rFonts w:ascii="Arabic Typesetting" w:eastAsiaTheme="minorHAnsi" w:hAnsi="Arabic Typesetting" w:cs="Arabic Typesetting"/>
          <w:sz w:val="34"/>
          <w:szCs w:val="34"/>
          <w:rtl/>
        </w:rPr>
        <w:t xml:space="preserve"> على </w:t>
      </w:r>
      <w:r w:rsidRPr="0031289D">
        <w:rPr>
          <w:rFonts w:ascii="Arabic Typesetting" w:eastAsiaTheme="minorHAnsi" w:hAnsi="Arabic Typesetting" w:cs="Arabic Typesetting" w:hint="cs"/>
          <w:sz w:val="34"/>
          <w:szCs w:val="34"/>
          <w:rtl/>
        </w:rPr>
        <w:t xml:space="preserve">مخالفة واحدة أو أكثر </w:t>
      </w:r>
      <w:r w:rsidRPr="0031289D">
        <w:rPr>
          <w:rFonts w:ascii="Arabic Typesetting" w:eastAsiaTheme="minorHAnsi" w:hAnsi="Arabic Typesetting" w:cs="Arabic Typesetting"/>
          <w:sz w:val="34"/>
          <w:szCs w:val="34"/>
          <w:rtl/>
        </w:rPr>
        <w:t xml:space="preserve">أو </w:t>
      </w:r>
      <w:r w:rsidRPr="0031289D">
        <w:rPr>
          <w:rFonts w:ascii="Arabic Typesetting" w:eastAsiaTheme="minorHAnsi" w:hAnsi="Arabic Typesetting" w:cs="Arabic Typesetting" w:hint="cs"/>
          <w:sz w:val="34"/>
          <w:szCs w:val="34"/>
          <w:rtl/>
        </w:rPr>
        <w:t xml:space="preserve">على </w:t>
      </w:r>
      <w:r w:rsidRPr="0031289D">
        <w:rPr>
          <w:rFonts w:ascii="Arabic Typesetting" w:eastAsiaTheme="minorHAnsi" w:hAnsi="Arabic Typesetting" w:cs="Arabic Typesetting"/>
          <w:sz w:val="34"/>
          <w:szCs w:val="34"/>
          <w:rtl/>
        </w:rPr>
        <w:t>ملاحظات موضوعية</w:t>
      </w:r>
      <w:r w:rsidRPr="0031289D">
        <w:rPr>
          <w:rFonts w:ascii="Arabic Typesetting" w:eastAsiaTheme="minorHAnsi" w:hAnsi="Arabic Typesetting" w:cs="Arabic Typesetting" w:hint="cs"/>
          <w:sz w:val="34"/>
          <w:szCs w:val="34"/>
          <w:rtl/>
        </w:rPr>
        <w:t xml:space="preserve"> أو كليهما</w:t>
      </w:r>
      <w:r w:rsidRPr="0031289D">
        <w:rPr>
          <w:rFonts w:ascii="Arabic Typesetting" w:eastAsiaTheme="minorHAnsi" w:hAnsi="Arabic Typesetting" w:cs="Arabic Typesetting"/>
          <w:sz w:val="28"/>
          <w:szCs w:val="28"/>
          <w:vertAlign w:val="superscript"/>
          <w:rtl/>
        </w:rPr>
        <w:footnoteReference w:id="42"/>
      </w:r>
      <w:r w:rsidRPr="0031289D">
        <w:rPr>
          <w:rFonts w:ascii="Arabic Typesetting" w:eastAsiaTheme="minorHAnsi" w:hAnsi="Arabic Typesetting" w:cs="Arabic Typesetting"/>
          <w:sz w:val="36"/>
          <w:szCs w:val="36"/>
          <w:rtl/>
        </w:rPr>
        <w:t>.</w:t>
      </w:r>
    </w:p>
    <w:p w14:paraId="0768A7EF" w14:textId="36D9F1B3" w:rsidR="0031289D" w:rsidRPr="0031289D" w:rsidRDefault="00866227" w:rsidP="0031289D">
      <w:pPr>
        <w:keepNext/>
        <w:keepLines/>
        <w:bidi/>
        <w:spacing w:after="240" w:line="276" w:lineRule="auto"/>
        <w:ind w:left="360"/>
        <w:jc w:val="center"/>
        <w:rPr>
          <w:rFonts w:ascii="Arabic Typesetting" w:eastAsiaTheme="minorHAnsi" w:hAnsi="Arabic Typesetting" w:cs="Arabic Typesetting"/>
          <w:sz w:val="36"/>
          <w:szCs w:val="36"/>
        </w:rPr>
      </w:pPr>
      <w:r>
        <w:rPr>
          <w:rFonts w:ascii="Arabic Typesetting" w:eastAsiaTheme="minorHAnsi" w:hAnsi="Arabic Typesetting" w:cs="Arabic Typesetting"/>
          <w:noProof/>
          <w:sz w:val="36"/>
          <w:szCs w:val="36"/>
        </w:rPr>
        <w:drawing>
          <wp:inline distT="0" distB="0" distL="0" distR="0" wp14:anchorId="1B5B5651" wp14:editId="1AB70E74">
            <wp:extent cx="4006598" cy="24628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05453" cy="2462152"/>
                    </a:xfrm>
                    <a:prstGeom prst="rect">
                      <a:avLst/>
                    </a:prstGeom>
                    <a:noFill/>
                  </pic:spPr>
                </pic:pic>
              </a:graphicData>
            </a:graphic>
          </wp:inline>
        </w:drawing>
      </w:r>
    </w:p>
    <w:p w14:paraId="54FF2E53" w14:textId="7777777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lang w:bidi="ar-EG"/>
        </w:rPr>
      </w:pPr>
      <w:r w:rsidRPr="0031289D">
        <w:rPr>
          <w:rFonts w:ascii="Arabic Typesetting" w:eastAsiaTheme="minorHAnsi" w:hAnsi="Arabic Typesetting" w:cs="Arabic Typesetting"/>
          <w:sz w:val="34"/>
          <w:szCs w:val="34"/>
          <w:rtl/>
        </w:rPr>
        <w:t xml:space="preserve">في عام 2016، تضمن نحو 49 في المائة من الطلبات المسجلة </w:t>
      </w:r>
      <w:r w:rsidRPr="0031289D">
        <w:rPr>
          <w:rFonts w:ascii="Arabic Typesetting" w:eastAsiaTheme="minorHAnsi" w:hAnsi="Arabic Typesetting" w:cs="Arabic Typesetting" w:hint="cs"/>
          <w:sz w:val="34"/>
          <w:szCs w:val="34"/>
          <w:rtl/>
        </w:rPr>
        <w:t xml:space="preserve">مخالفة أو </w:t>
      </w:r>
      <w:r w:rsidRPr="0031289D">
        <w:rPr>
          <w:rFonts w:ascii="Arabic Typesetting" w:eastAsiaTheme="minorHAnsi" w:hAnsi="Arabic Typesetting" w:cs="Arabic Typesetting"/>
          <w:sz w:val="34"/>
          <w:szCs w:val="34"/>
          <w:rtl/>
        </w:rPr>
        <w:t xml:space="preserve">ملاحظة موضوعية </w:t>
      </w:r>
      <w:r w:rsidRPr="0031289D">
        <w:rPr>
          <w:rFonts w:ascii="Arabic Typesetting" w:eastAsiaTheme="minorHAnsi" w:hAnsi="Arabic Typesetting" w:cs="Arabic Typesetting" w:hint="cs"/>
          <w:sz w:val="34"/>
          <w:szCs w:val="34"/>
          <w:rtl/>
        </w:rPr>
        <w:t xml:space="preserve">واحدة على </w:t>
      </w:r>
      <w:r w:rsidRPr="0031289D">
        <w:rPr>
          <w:rFonts w:ascii="Arabic Typesetting" w:eastAsiaTheme="minorHAnsi" w:hAnsi="Arabic Typesetting" w:cs="Arabic Typesetting"/>
          <w:sz w:val="34"/>
          <w:szCs w:val="34"/>
          <w:rtl/>
        </w:rPr>
        <w:t>الأقل. ويمثل</w:t>
      </w:r>
      <w:r w:rsidRPr="0031289D">
        <w:rPr>
          <w:rFonts w:ascii="Arabic Typesetting" w:eastAsiaTheme="minorHAnsi" w:hAnsi="Arabic Typesetting" w:cs="Arabic Typesetting" w:hint="cs"/>
          <w:sz w:val="34"/>
          <w:szCs w:val="34"/>
          <w:rtl/>
        </w:rPr>
        <w:t xml:space="preserve"> </w:t>
      </w:r>
      <w:r w:rsidRPr="0031289D">
        <w:rPr>
          <w:rFonts w:ascii="Arabic Typesetting" w:eastAsiaTheme="minorHAnsi" w:hAnsi="Arabic Typesetting" w:cs="Arabic Typesetting"/>
          <w:sz w:val="34"/>
          <w:szCs w:val="34"/>
          <w:rtl/>
        </w:rPr>
        <w:t>ذلك زيادة بنحو</w:t>
      </w:r>
      <w:r w:rsidRPr="0031289D">
        <w:rPr>
          <w:rFonts w:ascii="Arabic Typesetting" w:eastAsiaTheme="minorHAnsi" w:hAnsi="Arabic Typesetting" w:cs="Arabic Typesetting" w:hint="cs"/>
          <w:sz w:val="34"/>
          <w:szCs w:val="34"/>
          <w:rtl/>
        </w:rPr>
        <w:t xml:space="preserve"> 5 في المائة </w:t>
      </w:r>
      <w:r w:rsidRPr="0031289D">
        <w:rPr>
          <w:rFonts w:ascii="Arabic Typesetting" w:eastAsiaTheme="minorHAnsi" w:hAnsi="Arabic Typesetting" w:cs="Arabic Typesetting"/>
          <w:sz w:val="34"/>
          <w:szCs w:val="34"/>
          <w:rtl/>
        </w:rPr>
        <w:t>مقارنة بعام 2015.</w:t>
      </w:r>
    </w:p>
    <w:p w14:paraId="5CA11053" w14:textId="77777777" w:rsidR="0031289D" w:rsidRPr="0031289D" w:rsidRDefault="0031289D" w:rsidP="0031289D">
      <w:pPr>
        <w:bidi/>
        <w:spacing w:after="240" w:line="360" w:lineRule="exact"/>
        <w:rPr>
          <w:rFonts w:ascii="Arabic Typesetting" w:eastAsiaTheme="minorHAnsi" w:hAnsi="Arabic Typesetting" w:cs="Arabic Typesetting"/>
          <w:sz w:val="34"/>
          <w:szCs w:val="34"/>
          <w:u w:val="single"/>
          <w:rtl/>
          <w:lang w:bidi="ar-EG"/>
        </w:rPr>
      </w:pPr>
      <w:r w:rsidRPr="0031289D">
        <w:rPr>
          <w:rFonts w:ascii="Arabic Typesetting" w:eastAsiaTheme="minorHAnsi" w:hAnsi="Arabic Typesetting" w:cs="Arabic Typesetting"/>
          <w:sz w:val="34"/>
          <w:szCs w:val="34"/>
          <w:u w:val="single"/>
          <w:rtl/>
        </w:rPr>
        <w:t>التجديدات</w:t>
      </w:r>
    </w:p>
    <w:p w14:paraId="29FC28C1" w14:textId="5EE5A38E" w:rsidR="0031289D" w:rsidRPr="0031289D" w:rsidRDefault="00866227" w:rsidP="0031289D">
      <w:pPr>
        <w:bidi/>
        <w:spacing w:before="120" w:after="240" w:line="276" w:lineRule="auto"/>
        <w:ind w:left="720"/>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266F694C" wp14:editId="5636AF2D">
            <wp:extent cx="4236617" cy="2854518"/>
            <wp:effectExtent l="0" t="0" r="0" b="317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42985" cy="2858809"/>
                    </a:xfrm>
                    <a:prstGeom prst="rect">
                      <a:avLst/>
                    </a:prstGeom>
                    <a:noFill/>
                  </pic:spPr>
                </pic:pic>
              </a:graphicData>
            </a:graphic>
          </wp:inline>
        </w:drawing>
      </w:r>
    </w:p>
    <w:p w14:paraId="49B43D78" w14:textId="7777777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 xml:space="preserve">في عام 2016، انخفض عدد التجديدات بنسبة 1.4 في المائة مقارنة بعام 2015، ليصل مجموع </w:t>
      </w:r>
      <w:r w:rsidRPr="0031289D">
        <w:rPr>
          <w:rFonts w:ascii="Arabic Typesetting" w:eastAsiaTheme="minorHAnsi" w:hAnsi="Arabic Typesetting" w:cs="Arabic Typesetting" w:hint="cs"/>
          <w:sz w:val="34"/>
          <w:szCs w:val="34"/>
          <w:rtl/>
        </w:rPr>
        <w:t xml:space="preserve">التجديدات </w:t>
      </w:r>
      <w:r w:rsidRPr="0031289D">
        <w:rPr>
          <w:rFonts w:ascii="Arabic Typesetting" w:eastAsiaTheme="minorHAnsi" w:hAnsi="Arabic Typesetting" w:cs="Arabic Typesetting"/>
          <w:sz w:val="34"/>
          <w:szCs w:val="34"/>
          <w:rtl/>
        </w:rPr>
        <w:t xml:space="preserve">إلى </w:t>
      </w:r>
      <w:r w:rsidRPr="0059581F">
        <w:rPr>
          <w:rFonts w:ascii="Arabic Typesetting" w:eastAsiaTheme="minorHAnsi" w:hAnsi="Arabic Typesetting" w:cs="Arabic Typesetting"/>
          <w:sz w:val="34"/>
          <w:szCs w:val="34"/>
          <w:rtl/>
        </w:rPr>
        <w:t>150</w:t>
      </w:r>
      <w:r w:rsidRPr="0031289D">
        <w:rPr>
          <w:rFonts w:ascii="Arabic Typesetting" w:eastAsiaTheme="minorHAnsi" w:hAnsi="Arabic Typesetting" w:cs="Arabic Typesetting" w:hint="cs"/>
          <w:sz w:val="34"/>
          <w:szCs w:val="34"/>
          <w:rtl/>
        </w:rPr>
        <w:t> </w:t>
      </w:r>
      <w:r w:rsidRPr="0031289D">
        <w:rPr>
          <w:rFonts w:ascii="Arabic Typesetting" w:eastAsiaTheme="minorHAnsi" w:hAnsi="Arabic Typesetting" w:cs="Arabic Typesetting"/>
          <w:sz w:val="34"/>
          <w:szCs w:val="34"/>
          <w:rtl/>
        </w:rPr>
        <w:t>3 تجديدا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w:t>
      </w:r>
    </w:p>
    <w:p w14:paraId="22A6F7C4" w14:textId="5862C2FB"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noProof/>
          <w:sz w:val="34"/>
          <w:szCs w:val="34"/>
          <w:rtl/>
        </w:rPr>
        <w:t>ومنذ عام 2012، ع</w:t>
      </w:r>
      <w:r w:rsidRPr="0031289D">
        <w:rPr>
          <w:rFonts w:ascii="Arabic Typesetting" w:eastAsiaTheme="minorHAnsi" w:hAnsi="Arabic Typesetting" w:cs="Arabic Typesetting" w:hint="cs"/>
          <w:noProof/>
          <w:sz w:val="34"/>
          <w:szCs w:val="34"/>
          <w:rtl/>
        </w:rPr>
        <w:t>ُ</w:t>
      </w:r>
      <w:r w:rsidRPr="0031289D">
        <w:rPr>
          <w:rFonts w:ascii="Arabic Typesetting" w:eastAsiaTheme="minorHAnsi" w:hAnsi="Arabic Typesetting" w:cs="Arabic Typesetting"/>
          <w:noProof/>
          <w:sz w:val="34"/>
          <w:szCs w:val="34"/>
          <w:rtl/>
        </w:rPr>
        <w:t>ولجت غالبية التجديدات إلكترونياً</w:t>
      </w:r>
      <w:r w:rsidRPr="0031289D">
        <w:rPr>
          <w:rFonts w:ascii="Arabic Typesetting" w:eastAsiaTheme="minorHAnsi" w:hAnsi="Arabic Typesetting" w:cs="Arabic Typesetting" w:hint="cs"/>
          <w:noProof/>
          <w:sz w:val="34"/>
          <w:szCs w:val="34"/>
          <w:rtl/>
        </w:rPr>
        <w:t>،</w:t>
      </w:r>
      <w:r w:rsidRPr="0031289D">
        <w:rPr>
          <w:rFonts w:ascii="Arabic Typesetting" w:eastAsiaTheme="minorHAnsi" w:hAnsi="Arabic Typesetting" w:cs="Arabic Typesetting"/>
          <w:noProof/>
          <w:sz w:val="34"/>
          <w:szCs w:val="34"/>
          <w:rtl/>
        </w:rPr>
        <w:t xml:space="preserve"> مستأثرة بنسبة </w:t>
      </w:r>
      <w:r w:rsidRPr="0031289D">
        <w:rPr>
          <w:rFonts w:ascii="Arabic Typesetting" w:eastAsiaTheme="minorHAnsi" w:hAnsi="Arabic Typesetting" w:cs="Arabic Typesetting" w:hint="cs"/>
          <w:noProof/>
          <w:sz w:val="34"/>
          <w:szCs w:val="34"/>
          <w:rtl/>
        </w:rPr>
        <w:t>77</w:t>
      </w:r>
      <w:r w:rsidRPr="0031289D">
        <w:rPr>
          <w:rFonts w:ascii="Arabic Typesetting" w:eastAsiaTheme="minorHAnsi" w:hAnsi="Arabic Typesetting" w:cs="Arabic Typesetting"/>
          <w:noProof/>
          <w:sz w:val="34"/>
          <w:szCs w:val="34"/>
          <w:rtl/>
        </w:rPr>
        <w:t xml:space="preserve"> </w:t>
      </w:r>
      <w:r w:rsidRPr="0031289D">
        <w:rPr>
          <w:rFonts w:ascii="Arabic Typesetting" w:eastAsiaTheme="minorHAnsi" w:hAnsi="Arabic Typesetting" w:cs="Arabic Typesetting" w:hint="cs"/>
          <w:noProof/>
          <w:sz w:val="34"/>
          <w:szCs w:val="34"/>
          <w:rtl/>
        </w:rPr>
        <w:t xml:space="preserve">في </w:t>
      </w:r>
      <w:r w:rsidRPr="0031289D">
        <w:rPr>
          <w:rFonts w:ascii="Arabic Typesetting" w:eastAsiaTheme="minorHAnsi" w:hAnsi="Arabic Typesetting" w:cs="Arabic Typesetting"/>
          <w:noProof/>
          <w:sz w:val="34"/>
          <w:szCs w:val="34"/>
          <w:rtl/>
        </w:rPr>
        <w:t>الم</w:t>
      </w:r>
      <w:r w:rsidRPr="0031289D">
        <w:rPr>
          <w:rFonts w:ascii="Arabic Typesetting" w:eastAsiaTheme="minorHAnsi" w:hAnsi="Arabic Typesetting" w:cs="Arabic Typesetting" w:hint="cs"/>
          <w:noProof/>
          <w:sz w:val="34"/>
          <w:szCs w:val="34"/>
          <w:rtl/>
        </w:rPr>
        <w:t>ا</w:t>
      </w:r>
      <w:r w:rsidRPr="0031289D">
        <w:rPr>
          <w:rFonts w:ascii="Arabic Typesetting" w:eastAsiaTheme="minorHAnsi" w:hAnsi="Arabic Typesetting" w:cs="Arabic Typesetting"/>
          <w:noProof/>
          <w:sz w:val="34"/>
          <w:szCs w:val="34"/>
          <w:rtl/>
        </w:rPr>
        <w:t>ئة من إجمالي عدد التجديدات في عام 201</w:t>
      </w:r>
      <w:r w:rsidRPr="0031289D">
        <w:rPr>
          <w:rFonts w:ascii="Arabic Typesetting" w:eastAsiaTheme="minorHAnsi" w:hAnsi="Arabic Typesetting" w:cs="Arabic Typesetting" w:hint="cs"/>
          <w:noProof/>
          <w:sz w:val="34"/>
          <w:szCs w:val="34"/>
          <w:rtl/>
        </w:rPr>
        <w:t>6</w:t>
      </w:r>
      <w:r w:rsidRPr="0031289D">
        <w:rPr>
          <w:rFonts w:ascii="Arabic Typesetting" w:eastAsiaTheme="minorHAnsi" w:hAnsi="Arabic Typesetting" w:cs="Arabic Typesetting"/>
          <w:noProof/>
          <w:sz w:val="34"/>
          <w:szCs w:val="34"/>
          <w:rtl/>
        </w:rPr>
        <w:t xml:space="preserve"> </w:t>
      </w:r>
      <w:r w:rsidRPr="0031289D">
        <w:rPr>
          <w:rFonts w:ascii="Arabic Typesetting" w:eastAsiaTheme="minorHAnsi" w:hAnsi="Arabic Typesetting" w:cs="Arabic Typesetting"/>
          <w:sz w:val="34"/>
          <w:szCs w:val="34"/>
          <w:rtl/>
        </w:rPr>
        <w:t>مقارنة</w:t>
      </w:r>
      <w:r w:rsidRPr="0031289D">
        <w:rPr>
          <w:rFonts w:ascii="Arabic Typesetting" w:eastAsiaTheme="minorHAnsi" w:hAnsi="Arabic Typesetting" w:cs="Arabic Typesetting"/>
          <w:noProof/>
          <w:sz w:val="34"/>
          <w:szCs w:val="34"/>
          <w:rtl/>
        </w:rPr>
        <w:t xml:space="preserve"> بنسبة </w:t>
      </w:r>
      <w:r w:rsidRPr="0031289D">
        <w:rPr>
          <w:rFonts w:ascii="Arabic Typesetting" w:eastAsiaTheme="minorHAnsi" w:hAnsi="Arabic Typesetting" w:cs="Arabic Typesetting" w:hint="cs"/>
          <w:noProof/>
          <w:sz w:val="34"/>
          <w:szCs w:val="34"/>
          <w:rtl/>
        </w:rPr>
        <w:t>73</w:t>
      </w:r>
      <w:r w:rsidRPr="0031289D">
        <w:rPr>
          <w:rFonts w:ascii="Arabic Typesetting" w:eastAsiaTheme="minorHAnsi" w:hAnsi="Arabic Typesetting" w:cs="Arabic Typesetting"/>
          <w:noProof/>
          <w:sz w:val="34"/>
          <w:szCs w:val="34"/>
          <w:rtl/>
        </w:rPr>
        <w:t xml:space="preserve"> </w:t>
      </w:r>
      <w:r w:rsidRPr="0031289D">
        <w:rPr>
          <w:rFonts w:ascii="Arabic Typesetting" w:eastAsiaTheme="minorHAnsi" w:hAnsi="Arabic Typesetting" w:cs="Arabic Typesetting" w:hint="cs"/>
          <w:noProof/>
          <w:sz w:val="34"/>
          <w:szCs w:val="34"/>
          <w:rtl/>
        </w:rPr>
        <w:t xml:space="preserve">في </w:t>
      </w:r>
      <w:r w:rsidRPr="0031289D">
        <w:rPr>
          <w:rFonts w:ascii="Arabic Typesetting" w:eastAsiaTheme="minorHAnsi" w:hAnsi="Arabic Typesetting" w:cs="Arabic Typesetting"/>
          <w:noProof/>
          <w:sz w:val="34"/>
          <w:szCs w:val="34"/>
          <w:rtl/>
        </w:rPr>
        <w:t>الم</w:t>
      </w:r>
      <w:r w:rsidRPr="0031289D">
        <w:rPr>
          <w:rFonts w:ascii="Arabic Typesetting" w:eastAsiaTheme="minorHAnsi" w:hAnsi="Arabic Typesetting" w:cs="Arabic Typesetting" w:hint="cs"/>
          <w:noProof/>
          <w:sz w:val="34"/>
          <w:szCs w:val="34"/>
          <w:rtl/>
        </w:rPr>
        <w:t>ا</w:t>
      </w:r>
      <w:r w:rsidRPr="0031289D">
        <w:rPr>
          <w:rFonts w:ascii="Arabic Typesetting" w:eastAsiaTheme="minorHAnsi" w:hAnsi="Arabic Typesetting" w:cs="Arabic Typesetting"/>
          <w:noProof/>
          <w:sz w:val="34"/>
          <w:szCs w:val="34"/>
          <w:rtl/>
        </w:rPr>
        <w:t>ئة في عام 201</w:t>
      </w:r>
      <w:r w:rsidRPr="0031289D">
        <w:rPr>
          <w:rFonts w:ascii="Arabic Typesetting" w:eastAsiaTheme="minorHAnsi" w:hAnsi="Arabic Typesetting" w:cs="Arabic Typesetting" w:hint="cs"/>
          <w:noProof/>
          <w:sz w:val="34"/>
          <w:szCs w:val="34"/>
          <w:rtl/>
        </w:rPr>
        <w:t>5،</w:t>
      </w:r>
      <w:r w:rsidRPr="0031289D">
        <w:rPr>
          <w:rFonts w:ascii="Arabic Typesetting" w:eastAsiaTheme="minorHAnsi" w:hAnsi="Arabic Typesetting" w:cs="Arabic Typesetting"/>
          <w:noProof/>
          <w:sz w:val="34"/>
          <w:szCs w:val="34"/>
          <w:rtl/>
        </w:rPr>
        <w:t xml:space="preserve"> أي</w:t>
      </w:r>
      <w:r w:rsidRPr="0031289D">
        <w:rPr>
          <w:rFonts w:ascii="Arabic Typesetting" w:eastAsiaTheme="minorHAnsi" w:hAnsi="Arabic Typesetting" w:cs="Arabic Typesetting" w:hint="cs"/>
          <w:noProof/>
          <w:sz w:val="34"/>
          <w:szCs w:val="34"/>
          <w:rtl/>
        </w:rPr>
        <w:t>ْ</w:t>
      </w:r>
      <w:r w:rsidRPr="0031289D">
        <w:rPr>
          <w:rFonts w:ascii="Arabic Typesetting" w:eastAsiaTheme="minorHAnsi" w:hAnsi="Arabic Typesetting" w:cs="Arabic Typesetting"/>
          <w:noProof/>
          <w:sz w:val="34"/>
          <w:szCs w:val="34"/>
          <w:rtl/>
        </w:rPr>
        <w:t xml:space="preserve"> بزيادة قدرها 4 </w:t>
      </w:r>
      <w:r w:rsidRPr="0031289D">
        <w:rPr>
          <w:rFonts w:ascii="Arabic Typesetting" w:eastAsiaTheme="minorHAnsi" w:hAnsi="Arabic Typesetting" w:cs="Arabic Typesetting" w:hint="cs"/>
          <w:noProof/>
          <w:sz w:val="34"/>
          <w:szCs w:val="34"/>
          <w:rtl/>
        </w:rPr>
        <w:t xml:space="preserve">في </w:t>
      </w:r>
      <w:r w:rsidRPr="0031289D">
        <w:rPr>
          <w:rFonts w:ascii="Arabic Typesetting" w:eastAsiaTheme="minorHAnsi" w:hAnsi="Arabic Typesetting" w:cs="Arabic Typesetting"/>
          <w:noProof/>
          <w:sz w:val="34"/>
          <w:szCs w:val="34"/>
          <w:rtl/>
        </w:rPr>
        <w:t>الم</w:t>
      </w:r>
      <w:r w:rsidRPr="0031289D">
        <w:rPr>
          <w:rFonts w:ascii="Arabic Typesetting" w:eastAsiaTheme="minorHAnsi" w:hAnsi="Arabic Typesetting" w:cs="Arabic Typesetting" w:hint="cs"/>
          <w:noProof/>
          <w:sz w:val="34"/>
          <w:szCs w:val="34"/>
          <w:rtl/>
        </w:rPr>
        <w:t>ا</w:t>
      </w:r>
      <w:r w:rsidRPr="0031289D">
        <w:rPr>
          <w:rFonts w:ascii="Arabic Typesetting" w:eastAsiaTheme="minorHAnsi" w:hAnsi="Arabic Typesetting" w:cs="Arabic Typesetting"/>
          <w:noProof/>
          <w:sz w:val="34"/>
          <w:szCs w:val="34"/>
          <w:rtl/>
        </w:rPr>
        <w:t>ئة</w:t>
      </w:r>
      <w:r w:rsidRPr="0031289D">
        <w:rPr>
          <w:rFonts w:ascii="Arabic Typesetting" w:eastAsiaTheme="minorHAnsi" w:hAnsi="Arabic Typesetting" w:cs="Arabic Typesetting" w:hint="cs"/>
          <w:noProof/>
          <w:sz w:val="34"/>
          <w:szCs w:val="34"/>
          <w:rtl/>
        </w:rPr>
        <w:t xml:space="preserve"> تقريبا</w:t>
      </w:r>
      <w:r w:rsidRPr="0031289D">
        <w:rPr>
          <w:rFonts w:ascii="Arabic Typesetting" w:eastAsiaTheme="minorHAnsi" w:hAnsi="Arabic Typesetting" w:cs="Arabic Typesetting"/>
          <w:noProof/>
          <w:sz w:val="34"/>
          <w:szCs w:val="34"/>
          <w:rtl/>
        </w:rPr>
        <w:t>.</w:t>
      </w:r>
    </w:p>
    <w:p w14:paraId="7A7BE581" w14:textId="77777777" w:rsidR="0031289D" w:rsidRPr="0031289D" w:rsidRDefault="0031289D" w:rsidP="00866227">
      <w:pPr>
        <w:keepNext/>
        <w:bidi/>
        <w:spacing w:after="240" w:line="360" w:lineRule="exact"/>
        <w:rPr>
          <w:rFonts w:ascii="Arabic Typesetting" w:eastAsiaTheme="minorHAnsi" w:hAnsi="Arabic Typesetting" w:cs="Arabic Typesetting"/>
          <w:sz w:val="34"/>
          <w:szCs w:val="34"/>
          <w:u w:val="single"/>
        </w:rPr>
      </w:pPr>
      <w:r w:rsidRPr="0031289D">
        <w:rPr>
          <w:rFonts w:ascii="Arabic Typesetting" w:eastAsiaTheme="minorHAnsi" w:hAnsi="Arabic Typesetting" w:cs="Arabic Typesetting"/>
          <w:noProof/>
          <w:sz w:val="34"/>
          <w:szCs w:val="34"/>
          <w:u w:val="single"/>
          <w:rtl/>
        </w:rPr>
        <w:lastRenderedPageBreak/>
        <w:t>التغييرات</w:t>
      </w:r>
    </w:p>
    <w:p w14:paraId="7E2074C1" w14:textId="678B15C5" w:rsidR="0031289D" w:rsidRPr="0031289D" w:rsidRDefault="00866227" w:rsidP="0031289D">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0E90E95B" wp14:editId="756686A4">
            <wp:extent cx="4057980" cy="2741254"/>
            <wp:effectExtent l="0" t="0" r="0" b="254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63359" cy="2744888"/>
                    </a:xfrm>
                    <a:prstGeom prst="rect">
                      <a:avLst/>
                    </a:prstGeom>
                    <a:noFill/>
                  </pic:spPr>
                </pic:pic>
              </a:graphicData>
            </a:graphic>
          </wp:inline>
        </w:drawing>
      </w:r>
    </w:p>
    <w:p w14:paraId="3E2C09B9" w14:textId="7D6AB4D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noProof/>
          <w:sz w:val="34"/>
          <w:szCs w:val="34"/>
          <w:rtl/>
        </w:rPr>
        <w:t>التمس المودعون إجراء 10</w:t>
      </w:r>
      <w:r w:rsidRPr="0031289D">
        <w:rPr>
          <w:rFonts w:ascii="Arabic Typesetting" w:eastAsiaTheme="minorHAnsi" w:hAnsi="Arabic Typesetting" w:cs="Arabic Typesetting" w:hint="cs"/>
          <w:noProof/>
          <w:sz w:val="34"/>
          <w:szCs w:val="34"/>
          <w:rtl/>
        </w:rPr>
        <w:t>20</w:t>
      </w:r>
      <w:r w:rsidRPr="0031289D">
        <w:rPr>
          <w:rFonts w:ascii="Arabic Typesetting" w:eastAsiaTheme="minorHAnsi" w:hAnsi="Arabic Typesetting" w:cs="Arabic Typesetting"/>
          <w:noProof/>
          <w:sz w:val="34"/>
          <w:szCs w:val="34"/>
          <w:rtl/>
        </w:rPr>
        <w:t xml:space="preserve"> تغييرا</w:t>
      </w:r>
      <w:r w:rsidRPr="0031289D">
        <w:rPr>
          <w:rFonts w:ascii="Arabic Typesetting" w:eastAsiaTheme="minorHAnsi" w:hAnsi="Arabic Typesetting" w:cs="Arabic Typesetting" w:hint="cs"/>
          <w:noProof/>
          <w:sz w:val="34"/>
          <w:szCs w:val="34"/>
          <w:rtl/>
        </w:rPr>
        <w:t>ً</w:t>
      </w:r>
      <w:r w:rsidRPr="0031289D">
        <w:rPr>
          <w:rFonts w:ascii="Arabic Typesetting" w:eastAsiaTheme="minorHAnsi" w:hAnsi="Arabic Typesetting" w:cs="Arabic Typesetting"/>
          <w:noProof/>
          <w:sz w:val="34"/>
          <w:szCs w:val="34"/>
          <w:rtl/>
        </w:rPr>
        <w:t xml:space="preserve"> في التسجيلات الدولية في عام 201</w:t>
      </w:r>
      <w:r w:rsidRPr="0031289D">
        <w:rPr>
          <w:rFonts w:ascii="Arabic Typesetting" w:eastAsiaTheme="minorHAnsi" w:hAnsi="Arabic Typesetting" w:cs="Arabic Typesetting" w:hint="cs"/>
          <w:noProof/>
          <w:sz w:val="34"/>
          <w:szCs w:val="34"/>
          <w:rtl/>
        </w:rPr>
        <w:t>6</w:t>
      </w:r>
      <w:r w:rsidRPr="0031289D">
        <w:rPr>
          <w:rFonts w:ascii="Arabic Typesetting" w:eastAsiaTheme="minorHAnsi" w:hAnsi="Arabic Typesetting" w:cs="Arabic Typesetting"/>
          <w:noProof/>
          <w:sz w:val="34"/>
          <w:szCs w:val="34"/>
          <w:rtl/>
        </w:rPr>
        <w:t>، أي ب</w:t>
      </w:r>
      <w:r w:rsidRPr="0031289D">
        <w:rPr>
          <w:rFonts w:ascii="Arabic Typesetting" w:eastAsiaTheme="minorHAnsi" w:hAnsi="Arabic Typesetting" w:cs="Arabic Typesetting" w:hint="cs"/>
          <w:noProof/>
          <w:sz w:val="34"/>
          <w:szCs w:val="34"/>
          <w:rtl/>
        </w:rPr>
        <w:t xml:space="preserve">ارتفاع </w:t>
      </w:r>
      <w:r w:rsidRPr="0031289D">
        <w:rPr>
          <w:rFonts w:ascii="Arabic Typesetting" w:eastAsiaTheme="minorHAnsi" w:hAnsi="Arabic Typesetting" w:cs="Arabic Typesetting"/>
          <w:noProof/>
          <w:sz w:val="34"/>
          <w:szCs w:val="34"/>
          <w:rtl/>
        </w:rPr>
        <w:t xml:space="preserve">نسبته </w:t>
      </w:r>
      <w:r w:rsidRPr="0031289D">
        <w:rPr>
          <w:rFonts w:ascii="Arabic Typesetting" w:eastAsiaTheme="minorHAnsi" w:hAnsi="Arabic Typesetting" w:cs="Arabic Typesetting" w:hint="cs"/>
          <w:noProof/>
          <w:sz w:val="34"/>
          <w:szCs w:val="34"/>
          <w:rtl/>
        </w:rPr>
        <w:t xml:space="preserve">0.2 في المائة عن </w:t>
      </w:r>
      <w:r w:rsidRPr="0031289D">
        <w:rPr>
          <w:rFonts w:ascii="Arabic Typesetting" w:eastAsiaTheme="minorHAnsi" w:hAnsi="Arabic Typesetting" w:cs="Arabic Typesetting"/>
          <w:noProof/>
          <w:sz w:val="34"/>
          <w:szCs w:val="34"/>
          <w:rtl/>
        </w:rPr>
        <w:t>عام</w:t>
      </w:r>
      <w:r w:rsidRPr="0031289D">
        <w:rPr>
          <w:rFonts w:ascii="Arabic Typesetting" w:eastAsiaTheme="minorHAnsi" w:hAnsi="Arabic Typesetting" w:cs="Arabic Typesetting" w:hint="cs"/>
          <w:noProof/>
          <w:sz w:val="34"/>
          <w:szCs w:val="34"/>
          <w:rtl/>
        </w:rPr>
        <w:t> </w:t>
      </w:r>
      <w:r w:rsidRPr="0031289D">
        <w:rPr>
          <w:rFonts w:ascii="Arabic Typesetting" w:eastAsiaTheme="minorHAnsi" w:hAnsi="Arabic Typesetting" w:cs="Arabic Typesetting"/>
          <w:noProof/>
          <w:sz w:val="34"/>
          <w:szCs w:val="34"/>
          <w:rtl/>
        </w:rPr>
        <w:t>201</w:t>
      </w:r>
      <w:r w:rsidRPr="0031289D">
        <w:rPr>
          <w:rFonts w:ascii="Arabic Typesetting" w:eastAsiaTheme="minorHAnsi" w:hAnsi="Arabic Typesetting" w:cs="Arabic Typesetting" w:hint="cs"/>
          <w:noProof/>
          <w:sz w:val="34"/>
          <w:szCs w:val="34"/>
          <w:rtl/>
        </w:rPr>
        <w:t>5</w:t>
      </w:r>
      <w:r w:rsidRPr="0031289D">
        <w:rPr>
          <w:rFonts w:ascii="Arabic Typesetting" w:eastAsiaTheme="minorHAnsi" w:hAnsi="Arabic Typesetting" w:cs="Arabic Typesetting"/>
          <w:noProof/>
          <w:sz w:val="34"/>
          <w:szCs w:val="34"/>
          <w:rtl/>
        </w:rPr>
        <w:t>.</w:t>
      </w:r>
    </w:p>
    <w:p w14:paraId="3A7DD08E" w14:textId="77777777" w:rsidR="0031289D" w:rsidRPr="0031289D" w:rsidRDefault="0031289D" w:rsidP="0031289D">
      <w:pPr>
        <w:keepNext/>
        <w:keepLines/>
        <w:bidi/>
        <w:spacing w:after="240" w:line="360" w:lineRule="exact"/>
        <w:rPr>
          <w:rFonts w:ascii="Arabic Typesetting" w:eastAsiaTheme="minorHAnsi" w:hAnsi="Arabic Typesetting" w:cs="Arabic Typesetting"/>
          <w:sz w:val="34"/>
          <w:szCs w:val="34"/>
          <w:u w:val="single"/>
        </w:rPr>
      </w:pPr>
      <w:r w:rsidRPr="0031289D">
        <w:rPr>
          <w:rFonts w:ascii="Arabic Typesetting" w:eastAsiaTheme="minorHAnsi" w:hAnsi="Arabic Typesetting" w:cs="Arabic Typesetting"/>
          <w:sz w:val="34"/>
          <w:szCs w:val="34"/>
          <w:u w:val="single"/>
          <w:rtl/>
        </w:rPr>
        <w:t>القرارات</w:t>
      </w:r>
    </w:p>
    <w:p w14:paraId="07B6A2F8" w14:textId="3E051247" w:rsidR="0031289D" w:rsidRPr="0031289D" w:rsidRDefault="00866227" w:rsidP="0031289D">
      <w:pPr>
        <w:bidi/>
        <w:spacing w:after="240" w:line="276" w:lineRule="auto"/>
        <w:ind w:left="720"/>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10DE5705" wp14:editId="1F6AD400">
            <wp:extent cx="3771900" cy="2548001"/>
            <wp:effectExtent l="0" t="0" r="0" b="508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78456" cy="2552429"/>
                    </a:xfrm>
                    <a:prstGeom prst="rect">
                      <a:avLst/>
                    </a:prstGeom>
                    <a:noFill/>
                  </pic:spPr>
                </pic:pic>
              </a:graphicData>
            </a:graphic>
          </wp:inline>
        </w:drawing>
      </w:r>
    </w:p>
    <w:p w14:paraId="0496AD3C" w14:textId="7777777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زاد عدد القرارات المتسلمة في عام 201</w:t>
      </w:r>
      <w:r w:rsidRPr="0031289D">
        <w:rPr>
          <w:rFonts w:ascii="Arabic Typesetting" w:eastAsiaTheme="minorHAnsi" w:hAnsi="Arabic Typesetting" w:cs="Arabic Typesetting" w:hint="cs"/>
          <w:sz w:val="34"/>
          <w:szCs w:val="34"/>
          <w:rtl/>
        </w:rPr>
        <w:t>6</w:t>
      </w:r>
      <w:r w:rsidRPr="0031289D">
        <w:rPr>
          <w:rFonts w:ascii="Arabic Typesetting" w:eastAsiaTheme="minorHAnsi" w:hAnsi="Arabic Typesetting" w:cs="Arabic Typesetting"/>
          <w:sz w:val="34"/>
          <w:szCs w:val="34"/>
          <w:rtl/>
        </w:rPr>
        <w:t xml:space="preserve"> بنسبة </w:t>
      </w:r>
      <w:r w:rsidRPr="0031289D">
        <w:rPr>
          <w:rFonts w:ascii="Arabic Typesetting" w:eastAsiaTheme="minorHAnsi" w:hAnsi="Arabic Typesetting" w:cs="Arabic Typesetting" w:hint="cs"/>
          <w:sz w:val="34"/>
          <w:szCs w:val="34"/>
          <w:rtl/>
        </w:rPr>
        <w:t>112</w:t>
      </w:r>
      <w:r w:rsidRPr="0031289D">
        <w:rPr>
          <w:rFonts w:ascii="Arabic Typesetting" w:eastAsiaTheme="minorHAnsi" w:hAnsi="Arabic Typesetting" w:cs="Arabic Typesetting"/>
          <w:sz w:val="34"/>
          <w:szCs w:val="34"/>
          <w:rtl/>
        </w:rPr>
        <w:t xml:space="preserve"> </w:t>
      </w:r>
      <w:r w:rsidRPr="0031289D">
        <w:rPr>
          <w:rFonts w:ascii="Arabic Typesetting" w:eastAsiaTheme="minorHAnsi" w:hAnsi="Arabic Typesetting" w:cs="Arabic Typesetting" w:hint="cs"/>
          <w:sz w:val="34"/>
          <w:szCs w:val="34"/>
          <w:rtl/>
        </w:rPr>
        <w:t xml:space="preserve">في </w:t>
      </w:r>
      <w:r w:rsidRPr="0031289D">
        <w:rPr>
          <w:rFonts w:ascii="Arabic Typesetting" w:eastAsiaTheme="minorHAnsi" w:hAnsi="Arabic Typesetting" w:cs="Arabic Typesetting"/>
          <w:sz w:val="34"/>
          <w:szCs w:val="34"/>
          <w:rtl/>
        </w:rPr>
        <w:t>الم</w:t>
      </w:r>
      <w:r w:rsidRPr="0031289D">
        <w:rPr>
          <w:rFonts w:ascii="Arabic Typesetting" w:eastAsiaTheme="minorHAnsi" w:hAnsi="Arabic Typesetting" w:cs="Arabic Typesetting" w:hint="cs"/>
          <w:sz w:val="34"/>
          <w:szCs w:val="34"/>
          <w:rtl/>
        </w:rPr>
        <w:t>ا</w:t>
      </w:r>
      <w:r w:rsidRPr="0031289D">
        <w:rPr>
          <w:rFonts w:ascii="Arabic Typesetting" w:eastAsiaTheme="minorHAnsi" w:hAnsi="Arabic Typesetting" w:cs="Arabic Typesetting"/>
          <w:sz w:val="34"/>
          <w:szCs w:val="34"/>
          <w:rtl/>
        </w:rPr>
        <w:t>ئة مقارنة بعام 201</w:t>
      </w:r>
      <w:r w:rsidRPr="0031289D">
        <w:rPr>
          <w:rFonts w:ascii="Arabic Typesetting" w:eastAsiaTheme="minorHAnsi" w:hAnsi="Arabic Typesetting" w:cs="Arabic Typesetting" w:hint="cs"/>
          <w:sz w:val="34"/>
          <w:szCs w:val="34"/>
          <w:rtl/>
        </w:rPr>
        <w:t xml:space="preserve">5، إذ بلغ </w:t>
      </w:r>
      <w:r w:rsidRPr="00396976">
        <w:rPr>
          <w:rFonts w:ascii="Arabic Typesetting" w:eastAsiaTheme="minorHAnsi" w:hAnsi="Arabic Typesetting" w:cs="Arabic Typesetting"/>
          <w:sz w:val="34"/>
          <w:szCs w:val="34"/>
          <w:rtl/>
        </w:rPr>
        <w:t>386</w:t>
      </w:r>
      <w:r w:rsidRPr="0031289D">
        <w:rPr>
          <w:rFonts w:ascii="Arabic Typesetting" w:eastAsiaTheme="minorHAnsi" w:hAnsi="Arabic Typesetting" w:cs="Arabic Typesetting" w:hint="cs"/>
          <w:sz w:val="34"/>
          <w:szCs w:val="34"/>
          <w:rtl/>
        </w:rPr>
        <w:t xml:space="preserve"> 8 </w:t>
      </w:r>
      <w:r w:rsidRPr="0031289D">
        <w:rPr>
          <w:rFonts w:ascii="Arabic Typesetting" w:eastAsiaTheme="minorHAnsi" w:hAnsi="Arabic Typesetting" w:cs="Arabic Typesetting"/>
          <w:sz w:val="34"/>
          <w:szCs w:val="34"/>
          <w:rtl/>
        </w:rPr>
        <w:t>قراراً</w:t>
      </w:r>
      <w:r w:rsidRPr="0031289D">
        <w:rPr>
          <w:rFonts w:ascii="Arabic Typesetting" w:eastAsiaTheme="minorHAnsi" w:hAnsi="Arabic Typesetting" w:cs="Arabic Typesetting" w:hint="cs"/>
          <w:sz w:val="34"/>
          <w:szCs w:val="34"/>
          <w:rtl/>
        </w:rPr>
        <w:t xml:space="preserve">، </w:t>
      </w:r>
      <w:r w:rsidRPr="0031289D">
        <w:rPr>
          <w:rFonts w:ascii="Arabic Typesetting" w:eastAsiaTheme="minorHAnsi" w:hAnsi="Arabic Typesetting" w:cs="Arabic Typesetting"/>
          <w:sz w:val="34"/>
          <w:szCs w:val="34"/>
          <w:rtl/>
        </w:rPr>
        <w:t xml:space="preserve">مما يعكس أثر </w:t>
      </w:r>
      <w:r w:rsidRPr="0031289D">
        <w:rPr>
          <w:rFonts w:ascii="Arabic Typesetting" w:eastAsiaTheme="minorHAnsi" w:hAnsi="Arabic Typesetting" w:cs="Arabic Typesetting" w:hint="cs"/>
          <w:sz w:val="34"/>
          <w:szCs w:val="34"/>
          <w:rtl/>
        </w:rPr>
        <w:t>ال</w:t>
      </w:r>
      <w:r w:rsidRPr="0031289D">
        <w:rPr>
          <w:rFonts w:ascii="Arabic Typesetting" w:eastAsiaTheme="minorHAnsi" w:hAnsi="Arabic Typesetting" w:cs="Arabic Typesetting"/>
          <w:sz w:val="34"/>
          <w:szCs w:val="34"/>
          <w:rtl/>
        </w:rPr>
        <w:t xml:space="preserve">توسع الأخير </w:t>
      </w:r>
      <w:r w:rsidRPr="0031289D">
        <w:rPr>
          <w:rFonts w:ascii="Arabic Typesetting" w:eastAsiaTheme="minorHAnsi" w:hAnsi="Arabic Typesetting" w:cs="Arabic Typesetting" w:hint="cs"/>
          <w:sz w:val="34"/>
          <w:szCs w:val="34"/>
          <w:rtl/>
        </w:rPr>
        <w:t>ل</w:t>
      </w:r>
      <w:r w:rsidRPr="0031289D">
        <w:rPr>
          <w:rFonts w:ascii="Arabic Typesetting" w:eastAsiaTheme="minorHAnsi" w:hAnsi="Arabic Typesetting" w:cs="Arabic Typesetting"/>
          <w:sz w:val="34"/>
          <w:szCs w:val="34"/>
          <w:rtl/>
        </w:rPr>
        <w:t xml:space="preserve">لنظام </w:t>
      </w:r>
      <w:r w:rsidRPr="0031289D">
        <w:rPr>
          <w:rFonts w:ascii="Arabic Typesetting" w:eastAsiaTheme="minorHAnsi" w:hAnsi="Arabic Typesetting" w:cs="Arabic Typesetting" w:hint="cs"/>
          <w:sz w:val="34"/>
          <w:szCs w:val="34"/>
          <w:rtl/>
        </w:rPr>
        <w:t xml:space="preserve">في </w:t>
      </w:r>
      <w:r w:rsidRPr="0031289D">
        <w:rPr>
          <w:rFonts w:ascii="Arabic Typesetting" w:eastAsiaTheme="minorHAnsi" w:hAnsi="Arabic Typesetting" w:cs="Arabic Typesetting"/>
          <w:sz w:val="34"/>
          <w:szCs w:val="34"/>
          <w:rtl/>
        </w:rPr>
        <w:t>ولايات الفحص الموضوعي على عمليات لاهاي.</w:t>
      </w:r>
    </w:p>
    <w:p w14:paraId="23807F8F" w14:textId="7777777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hint="cs"/>
          <w:sz w:val="34"/>
          <w:szCs w:val="34"/>
          <w:rtl/>
          <w:lang w:bidi="ar-EG"/>
        </w:rPr>
        <w:t>و</w:t>
      </w:r>
      <w:r w:rsidRPr="0031289D">
        <w:rPr>
          <w:rFonts w:ascii="Arabic Typesetting" w:eastAsiaTheme="minorHAnsi" w:hAnsi="Arabic Typesetting" w:cs="Arabic Typesetting"/>
          <w:sz w:val="34"/>
          <w:szCs w:val="34"/>
          <w:rtl/>
        </w:rPr>
        <w:t xml:space="preserve">كانت حصة القرارات التي </w:t>
      </w:r>
      <w:r w:rsidRPr="0031289D">
        <w:rPr>
          <w:rFonts w:ascii="Arabic Typesetting" w:eastAsiaTheme="minorHAnsi" w:hAnsi="Arabic Typesetting" w:cs="Arabic Typesetting" w:hint="cs"/>
          <w:sz w:val="34"/>
          <w:szCs w:val="34"/>
          <w:rtl/>
        </w:rPr>
        <w:t xml:space="preserve">عُولجت </w:t>
      </w:r>
      <w:r w:rsidRPr="0031289D">
        <w:rPr>
          <w:rFonts w:ascii="Arabic Typesetting" w:eastAsiaTheme="minorHAnsi" w:hAnsi="Arabic Typesetting" w:cs="Arabic Typesetting"/>
          <w:sz w:val="34"/>
          <w:szCs w:val="34"/>
          <w:rtl/>
        </w:rPr>
        <w:t>تلقائيا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في عام 2016 (42 في المائة) هي الأدنى منذ عام 2012.</w:t>
      </w:r>
    </w:p>
    <w:p w14:paraId="13AA6399" w14:textId="77777777" w:rsidR="0031289D" w:rsidRPr="0031289D" w:rsidRDefault="0031289D" w:rsidP="0031289D">
      <w:pPr>
        <w:keepNext/>
        <w:bidi/>
        <w:spacing w:after="240" w:line="360" w:lineRule="exact"/>
        <w:rPr>
          <w:rFonts w:ascii="Arabic Typesetting" w:eastAsiaTheme="minorHAnsi" w:hAnsi="Arabic Typesetting" w:cs="Arabic Typesetting"/>
          <w:bCs/>
          <w:sz w:val="36"/>
          <w:szCs w:val="36"/>
          <w:rtl/>
          <w:lang w:bidi="ar-EG"/>
        </w:rPr>
      </w:pPr>
      <w:r w:rsidRPr="0031289D">
        <w:rPr>
          <w:rFonts w:ascii="Arabic Typesetting" w:eastAsiaTheme="minorHAnsi" w:hAnsi="Arabic Typesetting" w:cs="Arabic Typesetting"/>
          <w:bCs/>
          <w:sz w:val="36"/>
          <w:szCs w:val="36"/>
          <w:rtl/>
        </w:rPr>
        <w:lastRenderedPageBreak/>
        <w:t>ثانيا</w:t>
      </w:r>
      <w:r w:rsidRPr="0031289D">
        <w:rPr>
          <w:rFonts w:ascii="Arabic Typesetting" w:eastAsiaTheme="minorHAnsi" w:hAnsi="Arabic Typesetting" w:cs="Arabic Typesetting"/>
          <w:bCs/>
          <w:sz w:val="36"/>
          <w:szCs w:val="36"/>
        </w:rPr>
        <w:t>.</w:t>
      </w:r>
      <w:r w:rsidRPr="0031289D">
        <w:rPr>
          <w:rFonts w:ascii="Arabic Typesetting" w:eastAsiaTheme="minorHAnsi" w:hAnsi="Arabic Typesetting" w:cs="Arabic Typesetting"/>
          <w:bCs/>
          <w:sz w:val="36"/>
          <w:szCs w:val="36"/>
          <w:rtl/>
        </w:rPr>
        <w:tab/>
        <w:t>عبء العمل الإجمالي</w:t>
      </w:r>
    </w:p>
    <w:p w14:paraId="0ABBA579" w14:textId="77777777" w:rsidR="0031289D" w:rsidRPr="0031289D" w:rsidRDefault="0031289D" w:rsidP="00D35D35">
      <w:pPr>
        <w:keepNext/>
        <w:numPr>
          <w:ilvl w:val="0"/>
          <w:numId w:val="102"/>
        </w:numPr>
        <w:bidi/>
        <w:spacing w:after="240" w:line="360" w:lineRule="exact"/>
        <w:ind w:left="567"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b/>
          <w:sz w:val="34"/>
          <w:szCs w:val="34"/>
          <w:rtl/>
        </w:rPr>
        <w:t xml:space="preserve">يمثل عبء العمل الإجمالي العدد الإجمالي المرجح للوثائق التي </w:t>
      </w:r>
      <w:r w:rsidRPr="0031289D">
        <w:rPr>
          <w:rFonts w:ascii="Arabic Typesetting" w:eastAsiaTheme="minorHAnsi" w:hAnsi="Arabic Typesetting" w:cs="Arabic Typesetting" w:hint="cs"/>
          <w:b/>
          <w:sz w:val="34"/>
          <w:szCs w:val="34"/>
          <w:rtl/>
        </w:rPr>
        <w:t>تسلمها</w:t>
      </w:r>
      <w:r w:rsidRPr="0031289D">
        <w:rPr>
          <w:rFonts w:ascii="Arabic Typesetting" w:eastAsiaTheme="minorHAnsi" w:hAnsi="Arabic Typesetting" w:cs="Arabic Typesetting"/>
          <w:b/>
          <w:sz w:val="34"/>
          <w:szCs w:val="34"/>
          <w:rtl/>
        </w:rPr>
        <w:t xml:space="preserve"> المكتب الدولي</w:t>
      </w:r>
      <w:r w:rsidRPr="0031289D">
        <w:rPr>
          <w:rFonts w:ascii="Arabic Typesetting" w:eastAsiaTheme="minorHAnsi" w:hAnsi="Arabic Typesetting" w:cs="Arabic Typesetting" w:hint="cs"/>
          <w:b/>
          <w:sz w:val="34"/>
          <w:szCs w:val="34"/>
          <w:rtl/>
        </w:rPr>
        <w:t xml:space="preserve">. </w:t>
      </w:r>
      <w:r w:rsidRPr="0031289D">
        <w:rPr>
          <w:rFonts w:ascii="Arabic Typesetting" w:eastAsiaTheme="minorHAnsi" w:hAnsi="Arabic Typesetting" w:cs="Arabic Typesetting"/>
          <w:b/>
          <w:sz w:val="34"/>
          <w:szCs w:val="34"/>
          <w:rtl/>
        </w:rPr>
        <w:t>ويشمل ذلك جميع فئات الوثائق ال</w:t>
      </w:r>
      <w:r w:rsidRPr="0031289D">
        <w:rPr>
          <w:rFonts w:ascii="Arabic Typesetting" w:eastAsiaTheme="minorHAnsi" w:hAnsi="Arabic Typesetting" w:cs="Arabic Typesetting" w:hint="cs"/>
          <w:b/>
          <w:sz w:val="34"/>
          <w:szCs w:val="34"/>
          <w:rtl/>
        </w:rPr>
        <w:t xml:space="preserve">أربع </w:t>
      </w:r>
      <w:r w:rsidRPr="0031289D">
        <w:rPr>
          <w:rFonts w:ascii="Arabic Typesetting" w:eastAsiaTheme="minorHAnsi" w:hAnsi="Arabic Typesetting" w:cs="Arabic Typesetting"/>
          <w:b/>
          <w:sz w:val="34"/>
          <w:szCs w:val="34"/>
          <w:rtl/>
        </w:rPr>
        <w:t>(</w:t>
      </w:r>
      <w:r w:rsidRPr="0031289D">
        <w:rPr>
          <w:rFonts w:ascii="Arabic Typesetting" w:eastAsiaTheme="minorHAnsi" w:hAnsi="Arabic Typesetting" w:cs="Arabic Typesetting"/>
          <w:sz w:val="34"/>
          <w:szCs w:val="34"/>
          <w:rtl/>
        </w:rPr>
        <w:t>الطلبات</w:t>
      </w:r>
      <w:r w:rsidRPr="0031289D">
        <w:rPr>
          <w:rFonts w:ascii="Arabic Typesetting" w:eastAsiaTheme="minorHAnsi" w:hAnsi="Arabic Typesetting" w:cs="Arabic Typesetting" w:hint="cs"/>
          <w:b/>
          <w:sz w:val="34"/>
          <w:szCs w:val="34"/>
          <w:rtl/>
        </w:rPr>
        <w:t>،</w:t>
      </w:r>
      <w:r w:rsidRPr="0031289D">
        <w:rPr>
          <w:rFonts w:ascii="Arabic Typesetting" w:eastAsiaTheme="minorHAnsi" w:hAnsi="Arabic Typesetting" w:cs="Arabic Typesetting"/>
          <w:b/>
          <w:sz w:val="34"/>
          <w:szCs w:val="34"/>
          <w:rtl/>
        </w:rPr>
        <w:t xml:space="preserve"> والتجديدات</w:t>
      </w:r>
      <w:r w:rsidRPr="0031289D">
        <w:rPr>
          <w:rFonts w:ascii="Arabic Typesetting" w:eastAsiaTheme="minorHAnsi" w:hAnsi="Arabic Typesetting" w:cs="Arabic Typesetting" w:hint="cs"/>
          <w:b/>
          <w:sz w:val="34"/>
          <w:szCs w:val="34"/>
          <w:rtl/>
        </w:rPr>
        <w:t>،</w:t>
      </w:r>
      <w:r w:rsidRPr="0031289D">
        <w:rPr>
          <w:rFonts w:ascii="Arabic Typesetting" w:eastAsiaTheme="minorHAnsi" w:hAnsi="Arabic Typesetting" w:cs="Arabic Typesetting"/>
          <w:b/>
          <w:sz w:val="34"/>
          <w:szCs w:val="34"/>
          <w:rtl/>
        </w:rPr>
        <w:t xml:space="preserve"> والتغييرات</w:t>
      </w:r>
      <w:r w:rsidRPr="0031289D">
        <w:rPr>
          <w:rFonts w:ascii="Arabic Typesetting" w:eastAsiaTheme="minorHAnsi" w:hAnsi="Arabic Typesetting" w:cs="Arabic Typesetting" w:hint="cs"/>
          <w:b/>
          <w:sz w:val="34"/>
          <w:szCs w:val="34"/>
          <w:rtl/>
        </w:rPr>
        <w:t>،</w:t>
      </w:r>
      <w:r w:rsidRPr="0031289D">
        <w:rPr>
          <w:rFonts w:ascii="Arabic Typesetting" w:eastAsiaTheme="minorHAnsi" w:hAnsi="Arabic Typesetting" w:cs="Arabic Typesetting"/>
          <w:b/>
          <w:sz w:val="34"/>
          <w:szCs w:val="34"/>
          <w:rtl/>
        </w:rPr>
        <w:t xml:space="preserve"> والقرارات).</w:t>
      </w:r>
    </w:p>
    <w:p w14:paraId="5BC7D1F8" w14:textId="77777777" w:rsidR="0031289D" w:rsidRPr="0031289D" w:rsidRDefault="0031289D" w:rsidP="00D94CDB">
      <w:pPr>
        <w:numPr>
          <w:ilvl w:val="0"/>
          <w:numId w:val="102"/>
        </w:numPr>
        <w:bidi/>
        <w:spacing w:after="240" w:line="360" w:lineRule="exact"/>
        <w:ind w:left="567"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hint="cs"/>
          <w:sz w:val="34"/>
          <w:szCs w:val="34"/>
          <w:rtl/>
        </w:rPr>
        <w:t xml:space="preserve">ولأن معالجة </w:t>
      </w:r>
      <w:r w:rsidRPr="0031289D">
        <w:rPr>
          <w:rFonts w:ascii="Arabic Typesetting" w:eastAsiaTheme="minorHAnsi" w:hAnsi="Arabic Typesetting" w:cs="Arabic Typesetting"/>
          <w:sz w:val="34"/>
          <w:szCs w:val="34"/>
          <w:rtl/>
        </w:rPr>
        <w:t>هذه ال</w:t>
      </w:r>
      <w:r w:rsidRPr="0031289D">
        <w:rPr>
          <w:rFonts w:ascii="Arabic Typesetting" w:eastAsiaTheme="minorHAnsi" w:hAnsi="Arabic Typesetting" w:cs="Arabic Typesetting" w:hint="cs"/>
          <w:sz w:val="34"/>
          <w:szCs w:val="34"/>
          <w:rtl/>
        </w:rPr>
        <w:t>فئات</w:t>
      </w:r>
      <w:r w:rsidRPr="0031289D">
        <w:rPr>
          <w:rFonts w:ascii="Arabic Typesetting" w:eastAsiaTheme="minorHAnsi" w:hAnsi="Arabic Typesetting" w:cs="Arabic Typesetting"/>
          <w:sz w:val="34"/>
          <w:szCs w:val="34"/>
          <w:rtl/>
        </w:rPr>
        <w:t xml:space="preserve"> من الوثائق لا </w:t>
      </w:r>
      <w:r w:rsidRPr="0031289D">
        <w:rPr>
          <w:rFonts w:ascii="Arabic Typesetting" w:eastAsiaTheme="minorHAnsi" w:hAnsi="Arabic Typesetting" w:cs="Arabic Typesetting" w:hint="cs"/>
          <w:sz w:val="34"/>
          <w:szCs w:val="34"/>
          <w:rtl/>
        </w:rPr>
        <w:t>ت</w:t>
      </w:r>
      <w:r w:rsidRPr="0031289D">
        <w:rPr>
          <w:rFonts w:ascii="Arabic Typesetting" w:eastAsiaTheme="minorHAnsi" w:hAnsi="Arabic Typesetting" w:cs="Arabic Typesetting"/>
          <w:sz w:val="34"/>
          <w:szCs w:val="34"/>
          <w:rtl/>
        </w:rPr>
        <w:t xml:space="preserve">تطلب </w:t>
      </w:r>
      <w:r w:rsidRPr="0031289D">
        <w:rPr>
          <w:rFonts w:ascii="Arabic Typesetting" w:eastAsiaTheme="minorHAnsi" w:hAnsi="Arabic Typesetting" w:cs="Arabic Typesetting" w:hint="cs"/>
          <w:sz w:val="34"/>
          <w:szCs w:val="34"/>
          <w:rtl/>
        </w:rPr>
        <w:t xml:space="preserve">قدراً </w:t>
      </w:r>
      <w:r w:rsidRPr="0031289D">
        <w:rPr>
          <w:rFonts w:ascii="Arabic Typesetting" w:eastAsiaTheme="minorHAnsi" w:hAnsi="Arabic Typesetting" w:cs="Arabic Typesetting"/>
          <w:sz w:val="34"/>
          <w:szCs w:val="34"/>
          <w:rtl/>
        </w:rPr>
        <w:t>متساوي</w:t>
      </w:r>
      <w:r w:rsidRPr="0031289D">
        <w:rPr>
          <w:rFonts w:ascii="Arabic Typesetting" w:eastAsiaTheme="minorHAnsi" w:hAnsi="Arabic Typesetting" w:cs="Arabic Typesetting" w:hint="cs"/>
          <w:sz w:val="34"/>
          <w:szCs w:val="34"/>
          <w:rtl/>
        </w:rPr>
        <w:t>اً</w:t>
      </w:r>
      <w:r w:rsidRPr="0031289D">
        <w:rPr>
          <w:rFonts w:ascii="Arabic Typesetting" w:eastAsiaTheme="minorHAnsi" w:hAnsi="Arabic Typesetting" w:cs="Arabic Typesetting"/>
          <w:sz w:val="34"/>
          <w:szCs w:val="34"/>
          <w:rtl/>
        </w:rPr>
        <w:t xml:space="preserve"> من الموارد، </w:t>
      </w:r>
      <w:r w:rsidRPr="0031289D">
        <w:rPr>
          <w:rFonts w:ascii="Arabic Typesetting" w:eastAsiaTheme="minorHAnsi" w:hAnsi="Arabic Typesetting" w:cs="Arabic Typesetting" w:hint="cs"/>
          <w:sz w:val="34"/>
          <w:szCs w:val="34"/>
          <w:rtl/>
        </w:rPr>
        <w:t xml:space="preserve">يُرجّح </w:t>
      </w:r>
      <w:r w:rsidRPr="0031289D">
        <w:rPr>
          <w:rFonts w:ascii="Arabic Typesetting" w:eastAsiaTheme="minorHAnsi" w:hAnsi="Arabic Typesetting" w:cs="Arabic Typesetting"/>
          <w:sz w:val="34"/>
          <w:szCs w:val="34"/>
          <w:rtl/>
        </w:rPr>
        <w:t>كل منها بشكل مختلف. ووفقا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للترجيح الحالي، يمكن لفاحص ما، </w:t>
      </w:r>
      <w:r w:rsidRPr="0031289D">
        <w:rPr>
          <w:rFonts w:ascii="Arabic Typesetting" w:eastAsiaTheme="minorHAnsi" w:hAnsi="Arabic Typesetting" w:cs="Arabic Typesetting" w:hint="cs"/>
          <w:sz w:val="34"/>
          <w:szCs w:val="34"/>
          <w:rtl/>
        </w:rPr>
        <w:t xml:space="preserve">خلال </w:t>
      </w:r>
      <w:r w:rsidRPr="0031289D">
        <w:rPr>
          <w:rFonts w:ascii="Arabic Typesetting" w:eastAsiaTheme="minorHAnsi" w:hAnsi="Arabic Typesetting" w:cs="Arabic Typesetting"/>
          <w:sz w:val="34"/>
          <w:szCs w:val="34"/>
          <w:rtl/>
        </w:rPr>
        <w:t>الفترة اللازمة لمعالجة طلب دولي</w:t>
      </w:r>
      <w:r w:rsidRPr="0031289D">
        <w:rPr>
          <w:rFonts w:ascii="Arabic Typesetting" w:eastAsiaTheme="minorHAnsi" w:hAnsi="Arabic Typesetting" w:cs="Arabic Typesetting" w:hint="cs"/>
          <w:sz w:val="34"/>
          <w:szCs w:val="34"/>
          <w:rtl/>
        </w:rPr>
        <w:t xml:space="preserve"> واحد</w:t>
      </w:r>
      <w:r w:rsidRPr="0031289D">
        <w:rPr>
          <w:rFonts w:ascii="Arabic Typesetting" w:eastAsiaTheme="minorHAnsi" w:hAnsi="Arabic Typesetting" w:cs="Arabic Typesetting"/>
          <w:sz w:val="34"/>
          <w:szCs w:val="34"/>
          <w:rtl/>
        </w:rPr>
        <w:t>، أن يعالج ثمانية تجديدات أو أربعة تغييرات أو أربعة قرارات (نسبة عبء العمل</w:t>
      </w:r>
      <w:r w:rsidRPr="0031289D">
        <w:rPr>
          <w:rFonts w:ascii="Arabic Typesetting" w:eastAsiaTheme="minorHAnsi" w:hAnsi="Arabic Typesetting" w:cs="Arabic Typesetting" w:hint="cs"/>
          <w:sz w:val="34"/>
          <w:szCs w:val="34"/>
          <w:rtl/>
        </w:rPr>
        <w:t>: 1:8:4:4</w:t>
      </w:r>
      <w:r w:rsidRPr="0031289D">
        <w:rPr>
          <w:rFonts w:ascii="Arabic Typesetting" w:eastAsiaTheme="minorHAnsi" w:hAnsi="Arabic Typesetting" w:cs="Arabic Typesetting"/>
          <w:sz w:val="34"/>
          <w:szCs w:val="34"/>
          <w:rtl/>
        </w:rPr>
        <w:t xml:space="preserve">). ومنذ الثنائية 2014/15، </w:t>
      </w:r>
      <w:r w:rsidRPr="0031289D">
        <w:rPr>
          <w:rFonts w:ascii="Arabic Typesetting" w:eastAsiaTheme="minorHAnsi" w:hAnsi="Arabic Typesetting" w:cs="Arabic Typesetting" w:hint="cs"/>
          <w:sz w:val="34"/>
          <w:szCs w:val="34"/>
          <w:rtl/>
        </w:rPr>
        <w:t>و</w:t>
      </w:r>
      <w:r w:rsidRPr="0031289D">
        <w:rPr>
          <w:rFonts w:ascii="Arabic Typesetting" w:eastAsiaTheme="minorHAnsi" w:hAnsi="Arabic Typesetting" w:cs="Arabic Typesetting"/>
          <w:sz w:val="34"/>
          <w:szCs w:val="34"/>
          <w:rtl/>
        </w:rPr>
        <w:t>نظرا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w:t>
      </w:r>
      <w:r w:rsidRPr="0031289D">
        <w:rPr>
          <w:rFonts w:ascii="Arabic Typesetting" w:eastAsiaTheme="minorHAnsi" w:hAnsi="Arabic Typesetting" w:cs="Arabic Typesetting" w:hint="cs"/>
          <w:sz w:val="34"/>
          <w:szCs w:val="34"/>
          <w:rtl/>
        </w:rPr>
        <w:t>ل</w:t>
      </w:r>
      <w:r w:rsidRPr="0031289D">
        <w:rPr>
          <w:rFonts w:ascii="Arabic Typesetting" w:eastAsiaTheme="minorHAnsi" w:hAnsi="Arabic Typesetting" w:cs="Arabic Typesetting"/>
          <w:sz w:val="34"/>
          <w:szCs w:val="34"/>
          <w:rtl/>
        </w:rPr>
        <w:t>ازدياد تعقيد الوثائق الأخرى، لا</w:t>
      </w:r>
      <w:r w:rsidRPr="0031289D">
        <w:rPr>
          <w:rFonts w:ascii="Arabic Typesetting" w:eastAsiaTheme="minorHAnsi" w:hAnsi="Arabic Typesetting" w:cs="Arabic Typesetting" w:hint="cs"/>
          <w:sz w:val="34"/>
          <w:szCs w:val="34"/>
          <w:rtl/>
        </w:rPr>
        <w:t> </w:t>
      </w:r>
      <w:r w:rsidRPr="0031289D">
        <w:rPr>
          <w:rFonts w:ascii="Arabic Typesetting" w:eastAsiaTheme="minorHAnsi" w:hAnsi="Arabic Typesetting" w:cs="Arabic Typesetting"/>
          <w:sz w:val="34"/>
          <w:szCs w:val="34"/>
          <w:rtl/>
        </w:rPr>
        <w:t>سيما القرارات التي اتخذتها المكاتب، أصبح الفحص الشامل للطلبات الدولية أكثر تعقيدا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أيضا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w:t>
      </w:r>
      <w:r w:rsidRPr="0031289D">
        <w:rPr>
          <w:rFonts w:ascii="Arabic Typesetting" w:eastAsiaTheme="minorHAnsi" w:hAnsi="Arabic Typesetting" w:cs="Arabic Typesetting" w:hint="cs"/>
          <w:sz w:val="34"/>
          <w:szCs w:val="34"/>
          <w:rtl/>
        </w:rPr>
        <w:t xml:space="preserve">بيد </w:t>
      </w:r>
      <w:r w:rsidRPr="0031289D">
        <w:rPr>
          <w:rFonts w:ascii="Arabic Typesetting" w:eastAsiaTheme="minorHAnsi" w:hAnsi="Arabic Typesetting" w:cs="Arabic Typesetting"/>
          <w:sz w:val="34"/>
          <w:szCs w:val="34"/>
          <w:rtl/>
        </w:rPr>
        <w:t xml:space="preserve">أن هذا لم يؤثر </w:t>
      </w:r>
      <w:r w:rsidRPr="0031289D">
        <w:rPr>
          <w:rFonts w:ascii="Arabic Typesetting" w:eastAsiaTheme="minorHAnsi" w:hAnsi="Arabic Typesetting" w:cs="Arabic Typesetting" w:hint="cs"/>
          <w:sz w:val="34"/>
          <w:szCs w:val="34"/>
          <w:rtl/>
        </w:rPr>
        <w:t xml:space="preserve">في </w:t>
      </w:r>
      <w:r w:rsidRPr="0031289D">
        <w:rPr>
          <w:rFonts w:ascii="Arabic Typesetting" w:eastAsiaTheme="minorHAnsi" w:hAnsi="Arabic Typesetting" w:cs="Arabic Typesetting"/>
          <w:sz w:val="34"/>
          <w:szCs w:val="34"/>
          <w:rtl/>
        </w:rPr>
        <w:t>نسبة عبء العمل.</w:t>
      </w:r>
    </w:p>
    <w:p w14:paraId="1BCF0E15" w14:textId="1E22C10F" w:rsidR="0031289D" w:rsidRPr="0031289D" w:rsidRDefault="00D35D35" w:rsidP="0031289D">
      <w:pPr>
        <w:bidi/>
        <w:spacing w:after="240" w:line="276" w:lineRule="auto"/>
        <w:jc w:val="center"/>
        <w:rPr>
          <w:rFonts w:ascii="Arabic Typesetting" w:eastAsiaTheme="minorHAnsi" w:hAnsi="Arabic Typesetting" w:cs="Arabic Typesetting"/>
          <w:sz w:val="36"/>
          <w:szCs w:val="36"/>
        </w:rPr>
      </w:pPr>
      <w:r>
        <w:rPr>
          <w:rFonts w:ascii="Arabic Typesetting" w:eastAsiaTheme="minorHAnsi" w:hAnsi="Arabic Typesetting" w:cs="Arabic Typesetting"/>
          <w:noProof/>
          <w:sz w:val="36"/>
          <w:szCs w:val="36"/>
        </w:rPr>
        <w:drawing>
          <wp:inline distT="0" distB="0" distL="0" distR="0" wp14:anchorId="7D517003" wp14:editId="736C7826">
            <wp:extent cx="4866112" cy="2327808"/>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70206" cy="2329766"/>
                    </a:xfrm>
                    <a:prstGeom prst="rect">
                      <a:avLst/>
                    </a:prstGeom>
                    <a:noFill/>
                  </pic:spPr>
                </pic:pic>
              </a:graphicData>
            </a:graphic>
          </wp:inline>
        </w:drawing>
      </w:r>
    </w:p>
    <w:p w14:paraId="715C0030" w14:textId="7777777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hint="cs"/>
          <w:sz w:val="34"/>
          <w:szCs w:val="34"/>
          <w:rtl/>
        </w:rPr>
        <w:t>و</w:t>
      </w:r>
      <w:r w:rsidRPr="0031289D">
        <w:rPr>
          <w:rFonts w:ascii="Arabic Typesetting" w:eastAsiaTheme="minorHAnsi" w:hAnsi="Arabic Typesetting" w:cs="Arabic Typesetting"/>
          <w:sz w:val="34"/>
          <w:szCs w:val="34"/>
          <w:rtl/>
        </w:rPr>
        <w:t xml:space="preserve">في عام 2016، زاد مجموع عبء العمل بنسبة 46 في المائة مقارنة بعام 2015. وفي الفترة </w:t>
      </w:r>
      <w:r w:rsidRPr="0031289D">
        <w:rPr>
          <w:rFonts w:ascii="Arabic Typesetting" w:eastAsiaTheme="minorHAnsi" w:hAnsi="Arabic Typesetting" w:cs="Arabic Typesetting" w:hint="cs"/>
          <w:sz w:val="34"/>
          <w:szCs w:val="34"/>
          <w:rtl/>
        </w:rPr>
        <w:t>من</w:t>
      </w:r>
      <w:r w:rsidRPr="0031289D">
        <w:rPr>
          <w:rFonts w:ascii="Arabic Typesetting" w:eastAsiaTheme="minorHAnsi" w:hAnsi="Arabic Typesetting" w:cs="Arabic Typesetting"/>
          <w:sz w:val="34"/>
          <w:szCs w:val="34"/>
          <w:rtl/>
        </w:rPr>
        <w:t xml:space="preserve"> عام 2012 </w:t>
      </w:r>
      <w:r w:rsidRPr="0031289D">
        <w:rPr>
          <w:rFonts w:ascii="Arabic Typesetting" w:eastAsiaTheme="minorHAnsi" w:hAnsi="Arabic Typesetting" w:cs="Arabic Typesetting" w:hint="cs"/>
          <w:sz w:val="34"/>
          <w:szCs w:val="34"/>
          <w:rtl/>
        </w:rPr>
        <w:t>إلى عام </w:t>
      </w:r>
      <w:r w:rsidRPr="0031289D">
        <w:rPr>
          <w:rFonts w:ascii="Arabic Typesetting" w:eastAsiaTheme="minorHAnsi" w:hAnsi="Arabic Typesetting" w:cs="Arabic Typesetting"/>
          <w:sz w:val="34"/>
          <w:szCs w:val="34"/>
          <w:rtl/>
        </w:rPr>
        <w:t xml:space="preserve">2016، </w:t>
      </w:r>
      <w:r w:rsidRPr="0031289D">
        <w:rPr>
          <w:rFonts w:ascii="Arabic Typesetting" w:eastAsiaTheme="minorHAnsi" w:hAnsi="Arabic Typesetting" w:cs="Arabic Typesetting" w:hint="cs"/>
          <w:sz w:val="34"/>
          <w:szCs w:val="34"/>
          <w:rtl/>
        </w:rPr>
        <w:t xml:space="preserve">كانت </w:t>
      </w:r>
      <w:r w:rsidRPr="0031289D">
        <w:rPr>
          <w:rFonts w:ascii="Arabic Typesetting" w:eastAsiaTheme="minorHAnsi" w:hAnsi="Arabic Typesetting" w:cs="Arabic Typesetting"/>
          <w:sz w:val="34"/>
          <w:szCs w:val="34"/>
          <w:rtl/>
        </w:rPr>
        <w:t xml:space="preserve">الزيادة في عبء العمل </w:t>
      </w:r>
      <w:r w:rsidRPr="0031289D">
        <w:rPr>
          <w:rFonts w:ascii="Arabic Typesetting" w:eastAsiaTheme="minorHAnsi" w:hAnsi="Arabic Typesetting" w:cs="Arabic Typesetting" w:hint="cs"/>
          <w:sz w:val="34"/>
          <w:szCs w:val="34"/>
          <w:rtl/>
        </w:rPr>
        <w:t xml:space="preserve">ترجع في المقام الأول إلى </w:t>
      </w:r>
      <w:r w:rsidRPr="0031289D">
        <w:rPr>
          <w:rFonts w:ascii="Arabic Typesetting" w:eastAsiaTheme="minorHAnsi" w:hAnsi="Arabic Typesetting" w:cs="Arabic Typesetting"/>
          <w:sz w:val="34"/>
          <w:szCs w:val="34"/>
          <w:rtl/>
        </w:rPr>
        <w:t>زيادة عدد الطلبات الواردة رغم أن القرارات أصبحت جزءا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متزايد الأهمية من عبء العمل هذا.</w:t>
      </w:r>
    </w:p>
    <w:p w14:paraId="718012FE" w14:textId="77777777" w:rsidR="0031289D" w:rsidRPr="0031289D" w:rsidRDefault="0031289D" w:rsidP="0031289D">
      <w:pPr>
        <w:keepNext/>
        <w:bidi/>
        <w:spacing w:after="240" w:line="360" w:lineRule="exact"/>
        <w:rPr>
          <w:rFonts w:ascii="Arabic Typesetting" w:eastAsiaTheme="minorHAnsi" w:hAnsi="Arabic Typesetting" w:cs="Arabic Typesetting"/>
          <w:bCs/>
          <w:sz w:val="36"/>
          <w:szCs w:val="36"/>
        </w:rPr>
      </w:pPr>
      <w:r w:rsidRPr="0031289D">
        <w:rPr>
          <w:rFonts w:ascii="Arabic Typesetting" w:eastAsiaTheme="minorHAnsi" w:hAnsi="Arabic Typesetting" w:cs="Arabic Typesetting"/>
          <w:bCs/>
          <w:sz w:val="36"/>
          <w:szCs w:val="36"/>
          <w:rtl/>
        </w:rPr>
        <w:t>ثالثا</w:t>
      </w:r>
      <w:r w:rsidRPr="0031289D">
        <w:rPr>
          <w:rFonts w:ascii="Arabic Typesetting" w:eastAsiaTheme="minorHAnsi" w:hAnsi="Arabic Typesetting" w:cs="Arabic Typesetting" w:hint="cs"/>
          <w:bCs/>
          <w:sz w:val="36"/>
          <w:szCs w:val="36"/>
          <w:rtl/>
        </w:rPr>
        <w:t>ً</w:t>
      </w:r>
      <w:r w:rsidRPr="0031289D">
        <w:rPr>
          <w:rFonts w:ascii="Arabic Typesetting" w:eastAsiaTheme="minorHAnsi" w:hAnsi="Arabic Typesetting" w:cs="Arabic Typesetting"/>
          <w:bCs/>
          <w:sz w:val="36"/>
          <w:szCs w:val="36"/>
          <w:rtl/>
        </w:rPr>
        <w:t>.</w:t>
      </w:r>
      <w:r w:rsidRPr="0031289D">
        <w:rPr>
          <w:rFonts w:ascii="Arabic Typesetting" w:eastAsiaTheme="minorHAnsi" w:hAnsi="Arabic Typesetting" w:cs="Arabic Typesetting"/>
          <w:bCs/>
          <w:sz w:val="36"/>
          <w:szCs w:val="36"/>
          <w:rtl/>
        </w:rPr>
        <w:tab/>
        <w:t>تكلفة المعالجة</w:t>
      </w:r>
    </w:p>
    <w:p w14:paraId="59658725" w14:textId="77777777" w:rsidR="0031289D" w:rsidRPr="0031289D" w:rsidRDefault="0031289D" w:rsidP="0031289D">
      <w:pPr>
        <w:bidi/>
        <w:spacing w:after="240" w:line="360" w:lineRule="exact"/>
        <w:rPr>
          <w:rFonts w:ascii="Arabic Typesetting" w:eastAsiaTheme="minorHAnsi" w:hAnsi="Arabic Typesetting" w:cs="Arabic Typesetting"/>
          <w:sz w:val="34"/>
          <w:szCs w:val="34"/>
          <w:u w:val="single"/>
        </w:rPr>
      </w:pPr>
      <w:r w:rsidRPr="0031289D">
        <w:rPr>
          <w:rFonts w:ascii="Arabic Typesetting" w:eastAsiaTheme="minorHAnsi" w:hAnsi="Arabic Typesetting" w:cs="Arabic Typesetting"/>
          <w:sz w:val="34"/>
          <w:szCs w:val="34"/>
          <w:u w:val="single"/>
          <w:rtl/>
        </w:rPr>
        <w:t>تكلفة الإنتاج الإجمالية</w:t>
      </w:r>
    </w:p>
    <w:p w14:paraId="26FE6D6F" w14:textId="77777777" w:rsidR="0031289D" w:rsidRPr="0031289D" w:rsidRDefault="0031289D" w:rsidP="00D94CDB">
      <w:pPr>
        <w:numPr>
          <w:ilvl w:val="0"/>
          <w:numId w:val="102"/>
        </w:numPr>
        <w:bidi/>
        <w:spacing w:after="240" w:line="360" w:lineRule="exact"/>
        <w:ind w:left="567"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 xml:space="preserve">تتألف تكلفة الإنتاج الإجمالية من النفقات </w:t>
      </w:r>
      <w:r w:rsidRPr="0031289D">
        <w:rPr>
          <w:rFonts w:ascii="Arabic Typesetting" w:eastAsiaTheme="minorHAnsi" w:hAnsi="Arabic Typesetting" w:cs="Arabic Typesetting" w:hint="cs"/>
          <w:sz w:val="34"/>
          <w:szCs w:val="34"/>
          <w:rtl/>
        </w:rPr>
        <w:t>المتعلقة</w:t>
      </w:r>
      <w:r w:rsidRPr="0031289D">
        <w:rPr>
          <w:rFonts w:ascii="Arabic Typesetting" w:eastAsiaTheme="minorHAnsi" w:hAnsi="Arabic Typesetting" w:cs="Arabic Typesetting"/>
          <w:sz w:val="34"/>
          <w:szCs w:val="34"/>
          <w:rtl/>
        </w:rPr>
        <w:t xml:space="preserve"> بنظام </w:t>
      </w:r>
      <w:r w:rsidRPr="0031289D">
        <w:rPr>
          <w:rFonts w:ascii="Arabic Typesetting" w:eastAsiaTheme="minorHAnsi" w:hAnsi="Arabic Typesetting" w:cs="Arabic Typesetting" w:hint="cs"/>
          <w:sz w:val="34"/>
          <w:szCs w:val="34"/>
          <w:rtl/>
        </w:rPr>
        <w:t>لاهي</w:t>
      </w:r>
      <w:r w:rsidRPr="0031289D">
        <w:rPr>
          <w:rFonts w:ascii="Arabic Typesetting" w:eastAsiaTheme="minorHAnsi" w:hAnsi="Arabic Typesetting" w:cs="Arabic Typesetting"/>
          <w:sz w:val="34"/>
          <w:szCs w:val="34"/>
          <w:rtl/>
        </w:rPr>
        <w:t xml:space="preserve"> فقط ونفقات الأنشطة الداعمة ل</w:t>
      </w:r>
      <w:r w:rsidRPr="0031289D">
        <w:rPr>
          <w:rFonts w:ascii="Arabic Typesetting" w:eastAsiaTheme="minorHAnsi" w:hAnsi="Arabic Typesetting" w:cs="Arabic Typesetting" w:hint="cs"/>
          <w:sz w:val="34"/>
          <w:szCs w:val="34"/>
          <w:rtl/>
        </w:rPr>
        <w:t>هذا ا</w:t>
      </w:r>
      <w:r w:rsidRPr="0031289D">
        <w:rPr>
          <w:rFonts w:ascii="Arabic Typesetting" w:eastAsiaTheme="minorHAnsi" w:hAnsi="Arabic Typesetting" w:cs="Arabic Typesetting"/>
          <w:sz w:val="34"/>
          <w:szCs w:val="34"/>
          <w:rtl/>
        </w:rPr>
        <w:t>لنظام.</w:t>
      </w:r>
    </w:p>
    <w:p w14:paraId="09B910BF" w14:textId="77777777" w:rsidR="0031289D" w:rsidRPr="0031289D" w:rsidRDefault="0031289D" w:rsidP="00D94CDB">
      <w:pPr>
        <w:numPr>
          <w:ilvl w:val="0"/>
          <w:numId w:val="102"/>
        </w:numPr>
        <w:bidi/>
        <w:spacing w:after="240" w:line="360" w:lineRule="exact"/>
        <w:ind w:left="567"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hint="cs"/>
          <w:sz w:val="34"/>
          <w:szCs w:val="34"/>
          <w:rtl/>
        </w:rPr>
        <w:t>وفيما يخص</w:t>
      </w:r>
      <w:r w:rsidRPr="0031289D">
        <w:rPr>
          <w:rFonts w:ascii="Arabic Typesetting" w:eastAsiaTheme="minorHAnsi" w:hAnsi="Arabic Typesetting" w:cs="Arabic Typesetting"/>
          <w:sz w:val="34"/>
          <w:szCs w:val="34"/>
          <w:rtl/>
        </w:rPr>
        <w:t xml:space="preserve"> بيانات </w:t>
      </w:r>
      <w:r w:rsidRPr="0031289D">
        <w:rPr>
          <w:rFonts w:ascii="Arabic Typesetting" w:eastAsiaTheme="minorHAnsi" w:hAnsi="Arabic Typesetting" w:cs="Arabic Typesetting" w:hint="cs"/>
          <w:sz w:val="34"/>
          <w:szCs w:val="34"/>
          <w:rtl/>
        </w:rPr>
        <w:t xml:space="preserve">ما </w:t>
      </w:r>
      <w:r w:rsidRPr="0031289D">
        <w:rPr>
          <w:rFonts w:ascii="Arabic Typesetting" w:eastAsiaTheme="minorHAnsi" w:hAnsi="Arabic Typesetting" w:cs="Arabic Typesetting"/>
          <w:sz w:val="34"/>
          <w:szCs w:val="34"/>
          <w:rtl/>
        </w:rPr>
        <w:t>قبل عام 2016، تشمل النفقات المتعلقة بنظام لاهاي</w:t>
      </w:r>
      <w:r w:rsidRPr="0031289D">
        <w:rPr>
          <w:rFonts w:ascii="Arabic Typesetting" w:eastAsiaTheme="minorHAnsi" w:hAnsi="Arabic Typesetting" w:cs="Arabic Typesetting" w:hint="cs"/>
          <w:sz w:val="34"/>
          <w:szCs w:val="34"/>
          <w:rtl/>
        </w:rPr>
        <w:t xml:space="preserve"> دون غيره</w:t>
      </w:r>
      <w:r w:rsidRPr="0031289D">
        <w:rPr>
          <w:rFonts w:ascii="Arabic Typesetting" w:eastAsiaTheme="minorHAnsi" w:hAnsi="Arabic Typesetting" w:cs="Arabic Typesetting"/>
          <w:sz w:val="34"/>
          <w:szCs w:val="34"/>
          <w:rtl/>
        </w:rPr>
        <w:t xml:space="preserve"> نفقات البرنامج 31 (نظام لاهاي) ونحو 8 في المائة من نفقات مكتب نائب المدير العام لقطاع العلامات </w:t>
      </w:r>
      <w:r w:rsidRPr="0031289D">
        <w:rPr>
          <w:rFonts w:ascii="Arabic Typesetting" w:eastAsiaTheme="minorHAnsi" w:hAnsi="Arabic Typesetting" w:cs="Arabic Typesetting" w:hint="cs"/>
          <w:sz w:val="34"/>
          <w:szCs w:val="34"/>
          <w:rtl/>
        </w:rPr>
        <w:t>والتصاميم</w:t>
      </w:r>
      <w:r w:rsidRPr="0031289D">
        <w:rPr>
          <w:rFonts w:ascii="Arabic Typesetting" w:eastAsiaTheme="minorHAnsi" w:hAnsi="Arabic Typesetting" w:cs="Arabic Typesetting"/>
          <w:sz w:val="34"/>
          <w:szCs w:val="34"/>
          <w:rtl/>
        </w:rPr>
        <w:t xml:space="preserve"> (البرنامج 6 - نظام مدريد). </w:t>
      </w:r>
      <w:r w:rsidRPr="0031289D">
        <w:rPr>
          <w:rFonts w:ascii="Arabic Typesetting" w:eastAsiaTheme="minorHAnsi" w:hAnsi="Arabic Typesetting" w:cs="Arabic Typesetting" w:hint="cs"/>
          <w:sz w:val="34"/>
          <w:szCs w:val="34"/>
          <w:rtl/>
        </w:rPr>
        <w:t xml:space="preserve">ويدخل </w:t>
      </w:r>
      <w:r w:rsidRPr="0031289D">
        <w:rPr>
          <w:rFonts w:ascii="Arabic Typesetting" w:eastAsiaTheme="minorHAnsi" w:hAnsi="Arabic Typesetting" w:cs="Arabic Typesetting"/>
          <w:sz w:val="34"/>
          <w:szCs w:val="34"/>
          <w:rtl/>
        </w:rPr>
        <w:t>ف</w:t>
      </w:r>
      <w:r w:rsidRPr="0031289D">
        <w:rPr>
          <w:rFonts w:ascii="Arabic Typesetting" w:eastAsiaTheme="minorHAnsi" w:hAnsi="Arabic Typesetting" w:cs="Arabic Typesetting" w:hint="cs"/>
          <w:sz w:val="34"/>
          <w:szCs w:val="34"/>
          <w:rtl/>
        </w:rPr>
        <w:t>ي</w:t>
      </w:r>
      <w:r w:rsidRPr="0031289D">
        <w:rPr>
          <w:rFonts w:ascii="Arabic Typesetting" w:eastAsiaTheme="minorHAnsi" w:hAnsi="Arabic Typesetting" w:cs="Arabic Typesetting"/>
          <w:sz w:val="34"/>
          <w:szCs w:val="34"/>
          <w:rtl/>
        </w:rPr>
        <w:t xml:space="preserve"> </w:t>
      </w:r>
      <w:r w:rsidRPr="0031289D">
        <w:rPr>
          <w:rFonts w:ascii="Arabic Typesetting" w:eastAsiaTheme="minorHAnsi" w:hAnsi="Arabic Typesetting" w:cs="Arabic Typesetting" w:hint="cs"/>
          <w:sz w:val="34"/>
          <w:szCs w:val="34"/>
          <w:rtl/>
        </w:rPr>
        <w:t>ال</w:t>
      </w:r>
      <w:r w:rsidRPr="0031289D">
        <w:rPr>
          <w:rFonts w:ascii="Arabic Typesetting" w:eastAsiaTheme="minorHAnsi" w:hAnsi="Arabic Typesetting" w:cs="Arabic Typesetting"/>
          <w:sz w:val="34"/>
          <w:szCs w:val="34"/>
          <w:rtl/>
        </w:rPr>
        <w:t xml:space="preserve">حساب نفقات نظام مدريد </w:t>
      </w:r>
      <w:r w:rsidRPr="0031289D">
        <w:rPr>
          <w:rFonts w:ascii="Arabic Typesetting" w:eastAsiaTheme="minorHAnsi" w:hAnsi="Arabic Typesetting" w:cs="Arabic Typesetting" w:hint="cs"/>
          <w:sz w:val="34"/>
          <w:szCs w:val="34"/>
          <w:rtl/>
        </w:rPr>
        <w:t xml:space="preserve">في </w:t>
      </w:r>
      <w:r w:rsidRPr="0031289D">
        <w:rPr>
          <w:rFonts w:ascii="Arabic Typesetting" w:eastAsiaTheme="minorHAnsi" w:hAnsi="Arabic Typesetting" w:cs="Arabic Typesetting"/>
          <w:sz w:val="34"/>
          <w:szCs w:val="34"/>
          <w:rtl/>
        </w:rPr>
        <w:t>عام 2016</w:t>
      </w:r>
      <w:r w:rsidRPr="0031289D">
        <w:rPr>
          <w:rFonts w:ascii="Arabic Typesetting" w:eastAsiaTheme="minorHAnsi" w:hAnsi="Arabic Typesetting" w:cs="Arabic Typesetting" w:hint="cs"/>
          <w:sz w:val="34"/>
          <w:szCs w:val="34"/>
          <w:rtl/>
        </w:rPr>
        <w:t xml:space="preserve"> </w:t>
      </w:r>
      <w:r w:rsidRPr="0031289D">
        <w:rPr>
          <w:rFonts w:ascii="Arabic Typesetting" w:eastAsiaTheme="minorHAnsi" w:hAnsi="Arabic Typesetting" w:cs="Arabic Typesetting"/>
          <w:sz w:val="34"/>
          <w:szCs w:val="34"/>
          <w:rtl/>
        </w:rPr>
        <w:t>المت</w:t>
      </w:r>
      <w:r w:rsidRPr="0031289D">
        <w:rPr>
          <w:rFonts w:ascii="Arabic Typesetting" w:eastAsiaTheme="minorHAnsi" w:hAnsi="Arabic Typesetting" w:cs="Arabic Typesetting" w:hint="cs"/>
          <w:sz w:val="34"/>
          <w:szCs w:val="34"/>
          <w:rtl/>
        </w:rPr>
        <w:t xml:space="preserve">علقة </w:t>
      </w:r>
      <w:r w:rsidRPr="0031289D">
        <w:rPr>
          <w:rFonts w:ascii="Arabic Typesetting" w:eastAsiaTheme="minorHAnsi" w:hAnsi="Arabic Typesetting" w:cs="Arabic Typesetting"/>
          <w:sz w:val="34"/>
          <w:szCs w:val="34"/>
          <w:rtl/>
        </w:rPr>
        <w:t>بدعم نظام لاهاي – نفقات</w:t>
      </w:r>
      <w:r w:rsidRPr="0031289D">
        <w:rPr>
          <w:rFonts w:ascii="Arabic Typesetting" w:eastAsiaTheme="minorHAnsi" w:hAnsi="Arabic Typesetting" w:cs="Arabic Typesetting" w:hint="cs"/>
          <w:sz w:val="34"/>
          <w:szCs w:val="34"/>
          <w:rtl/>
        </w:rPr>
        <w:t xml:space="preserve"> </w:t>
      </w:r>
      <w:r w:rsidRPr="0031289D">
        <w:rPr>
          <w:rFonts w:ascii="Arabic Typesetting" w:eastAsiaTheme="minorHAnsi" w:hAnsi="Arabic Typesetting" w:cs="Arabic Typesetting"/>
          <w:sz w:val="34"/>
          <w:szCs w:val="34"/>
          <w:rtl/>
        </w:rPr>
        <w:t xml:space="preserve">الترجمة وتكنولوجيا المعلومات. وقبل الثنائية 2016/17، لم يكن بالإمكان تمييز النفقات المرتبطة بهذه الخدمات </w:t>
      </w:r>
      <w:r w:rsidRPr="0031289D">
        <w:rPr>
          <w:rFonts w:ascii="Arabic Typesetting" w:eastAsiaTheme="minorHAnsi" w:hAnsi="Arabic Typesetting" w:cs="Arabic Typesetting" w:hint="cs"/>
          <w:sz w:val="34"/>
          <w:szCs w:val="34"/>
          <w:rtl/>
        </w:rPr>
        <w:t xml:space="preserve">عن </w:t>
      </w:r>
      <w:r w:rsidRPr="0031289D">
        <w:rPr>
          <w:rFonts w:ascii="Arabic Typesetting" w:eastAsiaTheme="minorHAnsi" w:hAnsi="Arabic Typesetting" w:cs="Arabic Typesetting"/>
          <w:sz w:val="34"/>
          <w:szCs w:val="34"/>
          <w:rtl/>
        </w:rPr>
        <w:t>النفقات الإجمالية المتعلقة ب</w:t>
      </w:r>
      <w:r w:rsidRPr="0031289D">
        <w:rPr>
          <w:rFonts w:ascii="Arabic Typesetting" w:eastAsiaTheme="minorHAnsi" w:hAnsi="Arabic Typesetting" w:cs="Arabic Typesetting" w:hint="cs"/>
          <w:sz w:val="34"/>
          <w:szCs w:val="34"/>
          <w:rtl/>
        </w:rPr>
        <w:t>الترجمة و</w:t>
      </w:r>
      <w:r w:rsidRPr="0031289D">
        <w:rPr>
          <w:rFonts w:ascii="Arabic Typesetting" w:eastAsiaTheme="minorHAnsi" w:hAnsi="Arabic Typesetting" w:cs="Arabic Typesetting"/>
          <w:sz w:val="34"/>
          <w:szCs w:val="34"/>
          <w:rtl/>
        </w:rPr>
        <w:t xml:space="preserve">التطورات </w:t>
      </w:r>
      <w:r w:rsidRPr="0031289D">
        <w:rPr>
          <w:rFonts w:ascii="Arabic Typesetting" w:eastAsiaTheme="minorHAnsi" w:hAnsi="Arabic Typesetting" w:cs="Arabic Typesetting" w:hint="cs"/>
          <w:sz w:val="34"/>
          <w:szCs w:val="34"/>
          <w:rtl/>
        </w:rPr>
        <w:t>الت</w:t>
      </w:r>
      <w:r w:rsidRPr="0031289D">
        <w:rPr>
          <w:rFonts w:ascii="Arabic Typesetting" w:eastAsiaTheme="minorHAnsi" w:hAnsi="Arabic Typesetting" w:cs="Arabic Typesetting"/>
          <w:sz w:val="34"/>
          <w:szCs w:val="34"/>
          <w:rtl/>
        </w:rPr>
        <w:t>كنولوجي</w:t>
      </w:r>
      <w:r w:rsidRPr="0031289D">
        <w:rPr>
          <w:rFonts w:ascii="Arabic Typesetting" w:eastAsiaTheme="minorHAnsi" w:hAnsi="Arabic Typesetting" w:cs="Arabic Typesetting" w:hint="cs"/>
          <w:sz w:val="34"/>
          <w:szCs w:val="34"/>
          <w:rtl/>
        </w:rPr>
        <w:t>ة</w:t>
      </w:r>
      <w:r w:rsidRPr="0031289D">
        <w:rPr>
          <w:rFonts w:ascii="Arabic Typesetting" w:eastAsiaTheme="minorHAnsi" w:hAnsi="Arabic Typesetting" w:cs="Arabic Typesetting"/>
          <w:sz w:val="34"/>
          <w:szCs w:val="34"/>
          <w:rtl/>
        </w:rPr>
        <w:t xml:space="preserve"> ف</w:t>
      </w:r>
      <w:r w:rsidRPr="0031289D">
        <w:rPr>
          <w:rFonts w:ascii="Arabic Typesetting" w:eastAsiaTheme="minorHAnsi" w:hAnsi="Arabic Typesetting" w:cs="Arabic Typesetting" w:hint="cs"/>
          <w:sz w:val="34"/>
          <w:szCs w:val="34"/>
          <w:rtl/>
        </w:rPr>
        <w:t>ي</w:t>
      </w:r>
      <w:r w:rsidRPr="0031289D">
        <w:rPr>
          <w:rFonts w:ascii="Arabic Typesetting" w:eastAsiaTheme="minorHAnsi" w:hAnsi="Arabic Typesetting" w:cs="Arabic Typesetting"/>
          <w:sz w:val="34"/>
          <w:szCs w:val="34"/>
          <w:rtl/>
        </w:rPr>
        <w:t xml:space="preserve"> البرنامج 6 (نظام مدريد)، و</w:t>
      </w:r>
      <w:r w:rsidRPr="0031289D">
        <w:rPr>
          <w:rFonts w:ascii="Arabic Typesetting" w:eastAsiaTheme="minorHAnsi" w:hAnsi="Arabic Typesetting" w:cs="Arabic Typesetting" w:hint="cs"/>
          <w:sz w:val="34"/>
          <w:szCs w:val="34"/>
          <w:rtl/>
        </w:rPr>
        <w:t xml:space="preserve">لذلك </w:t>
      </w:r>
      <w:r w:rsidRPr="0031289D">
        <w:rPr>
          <w:rFonts w:ascii="Arabic Typesetting" w:eastAsiaTheme="minorHAnsi" w:hAnsi="Arabic Typesetting" w:cs="Arabic Typesetting"/>
          <w:sz w:val="34"/>
          <w:szCs w:val="34"/>
          <w:rtl/>
        </w:rPr>
        <w:t>لم ت</w:t>
      </w:r>
      <w:r w:rsidRPr="0031289D">
        <w:rPr>
          <w:rFonts w:ascii="Arabic Typesetting" w:eastAsiaTheme="minorHAnsi" w:hAnsi="Arabic Typesetting" w:cs="Arabic Typesetting" w:hint="cs"/>
          <w:sz w:val="34"/>
          <w:szCs w:val="34"/>
          <w:rtl/>
        </w:rPr>
        <w:t xml:space="preserve">دخل </w:t>
      </w:r>
      <w:r w:rsidRPr="0031289D">
        <w:rPr>
          <w:rFonts w:ascii="Arabic Typesetting" w:eastAsiaTheme="minorHAnsi" w:hAnsi="Arabic Typesetting" w:cs="Arabic Typesetting"/>
          <w:sz w:val="34"/>
          <w:szCs w:val="34"/>
          <w:rtl/>
        </w:rPr>
        <w:t>ف</w:t>
      </w:r>
      <w:r w:rsidRPr="0031289D">
        <w:rPr>
          <w:rFonts w:ascii="Arabic Typesetting" w:eastAsiaTheme="minorHAnsi" w:hAnsi="Arabic Typesetting" w:cs="Arabic Typesetting" w:hint="cs"/>
          <w:sz w:val="34"/>
          <w:szCs w:val="34"/>
          <w:rtl/>
        </w:rPr>
        <w:t>ي</w:t>
      </w:r>
      <w:r w:rsidRPr="0031289D">
        <w:rPr>
          <w:rFonts w:ascii="Arabic Typesetting" w:eastAsiaTheme="minorHAnsi" w:hAnsi="Arabic Typesetting" w:cs="Arabic Typesetting"/>
          <w:sz w:val="34"/>
          <w:szCs w:val="34"/>
          <w:rtl/>
        </w:rPr>
        <w:t xml:space="preserve"> الحساب. وبسبب هذا التنقيح </w:t>
      </w:r>
      <w:r w:rsidRPr="0031289D">
        <w:rPr>
          <w:rFonts w:ascii="Arabic Typesetting" w:eastAsiaTheme="minorHAnsi" w:hAnsi="Arabic Typesetting" w:cs="Arabic Typesetting" w:hint="cs"/>
          <w:sz w:val="34"/>
          <w:szCs w:val="34"/>
          <w:rtl/>
        </w:rPr>
        <w:t xml:space="preserve">الذي أُدخل على </w:t>
      </w:r>
      <w:r w:rsidRPr="0031289D">
        <w:rPr>
          <w:rFonts w:ascii="Arabic Typesetting" w:eastAsiaTheme="minorHAnsi" w:hAnsi="Arabic Typesetting" w:cs="Arabic Typesetting"/>
          <w:sz w:val="34"/>
          <w:szCs w:val="34"/>
          <w:rtl/>
        </w:rPr>
        <w:t xml:space="preserve">الحساب، </w:t>
      </w:r>
      <w:r w:rsidRPr="0031289D">
        <w:rPr>
          <w:rFonts w:ascii="Arabic Typesetting" w:eastAsiaTheme="minorHAnsi" w:hAnsi="Arabic Typesetting" w:cs="Arabic Typesetting" w:hint="cs"/>
          <w:sz w:val="34"/>
          <w:szCs w:val="34"/>
          <w:rtl/>
        </w:rPr>
        <w:t>لا يمكن مقارنة ن</w:t>
      </w:r>
      <w:r w:rsidRPr="0031289D">
        <w:rPr>
          <w:rFonts w:ascii="Arabic Typesetting" w:eastAsiaTheme="minorHAnsi" w:hAnsi="Arabic Typesetting" w:cs="Arabic Typesetting"/>
          <w:sz w:val="34"/>
          <w:szCs w:val="34"/>
          <w:rtl/>
        </w:rPr>
        <w:t xml:space="preserve">تائج 2016 </w:t>
      </w:r>
      <w:r w:rsidRPr="0031289D">
        <w:rPr>
          <w:rFonts w:ascii="Arabic Typesetting" w:eastAsiaTheme="minorHAnsi" w:hAnsi="Arabic Typesetting" w:cs="Arabic Typesetting" w:hint="cs"/>
          <w:sz w:val="34"/>
          <w:szCs w:val="34"/>
          <w:rtl/>
        </w:rPr>
        <w:t>ب</w:t>
      </w:r>
      <w:r w:rsidRPr="0031289D">
        <w:rPr>
          <w:rFonts w:ascii="Arabic Typesetting" w:eastAsiaTheme="minorHAnsi" w:hAnsi="Arabic Typesetting" w:cs="Arabic Typesetting"/>
          <w:sz w:val="34"/>
          <w:szCs w:val="34"/>
          <w:rtl/>
        </w:rPr>
        <w:t xml:space="preserve">نتائج العام السابق. </w:t>
      </w:r>
      <w:r w:rsidRPr="0031289D">
        <w:rPr>
          <w:rFonts w:ascii="Arabic Typesetting" w:eastAsiaTheme="minorHAnsi" w:hAnsi="Arabic Typesetting" w:cs="Arabic Typesetting" w:hint="cs"/>
          <w:sz w:val="34"/>
          <w:szCs w:val="34"/>
          <w:rtl/>
        </w:rPr>
        <w:t>و</w:t>
      </w:r>
      <w:r w:rsidRPr="0031289D">
        <w:rPr>
          <w:rFonts w:ascii="Arabic Typesetting" w:eastAsiaTheme="minorHAnsi" w:hAnsi="Arabic Typesetting" w:cs="Arabic Typesetting"/>
          <w:sz w:val="34"/>
          <w:szCs w:val="34"/>
          <w:rtl/>
        </w:rPr>
        <w:t xml:space="preserve">لهذا السبب، </w:t>
      </w:r>
      <w:r w:rsidRPr="0031289D">
        <w:rPr>
          <w:rFonts w:ascii="Arabic Typesetting" w:eastAsiaTheme="minorHAnsi" w:hAnsi="Arabic Typesetting" w:cs="Arabic Typesetting" w:hint="cs"/>
          <w:sz w:val="34"/>
          <w:szCs w:val="34"/>
          <w:rtl/>
        </w:rPr>
        <w:t>تُ</w:t>
      </w:r>
      <w:r w:rsidRPr="0031289D">
        <w:rPr>
          <w:rFonts w:ascii="Arabic Typesetting" w:eastAsiaTheme="minorHAnsi" w:hAnsi="Arabic Typesetting" w:cs="Arabic Typesetting"/>
          <w:sz w:val="34"/>
          <w:szCs w:val="34"/>
          <w:rtl/>
        </w:rPr>
        <w:t xml:space="preserve">عرض بيانات </w:t>
      </w:r>
      <w:r w:rsidRPr="0031289D">
        <w:rPr>
          <w:rFonts w:ascii="Arabic Typesetting" w:eastAsiaTheme="minorHAnsi" w:hAnsi="Arabic Typesetting" w:cs="Arabic Typesetting" w:hint="cs"/>
          <w:sz w:val="34"/>
          <w:szCs w:val="34"/>
          <w:rtl/>
        </w:rPr>
        <w:t>ا</w:t>
      </w:r>
      <w:r w:rsidRPr="0031289D">
        <w:rPr>
          <w:rFonts w:ascii="Arabic Typesetting" w:eastAsiaTheme="minorHAnsi" w:hAnsi="Arabic Typesetting" w:cs="Arabic Typesetting"/>
          <w:sz w:val="34"/>
          <w:szCs w:val="34"/>
          <w:rtl/>
        </w:rPr>
        <w:t xml:space="preserve">لفترة </w:t>
      </w:r>
      <w:r w:rsidRPr="0031289D">
        <w:rPr>
          <w:rFonts w:ascii="Arabic Typesetting" w:eastAsiaTheme="minorHAnsi" w:hAnsi="Arabic Typesetting" w:cs="Arabic Typesetting" w:hint="cs"/>
          <w:sz w:val="34"/>
          <w:szCs w:val="34"/>
          <w:rtl/>
        </w:rPr>
        <w:t xml:space="preserve">من </w:t>
      </w:r>
      <w:r w:rsidRPr="0031289D">
        <w:rPr>
          <w:rFonts w:ascii="Arabic Typesetting" w:eastAsiaTheme="minorHAnsi" w:hAnsi="Arabic Typesetting" w:cs="Arabic Typesetting"/>
          <w:sz w:val="34"/>
          <w:szCs w:val="34"/>
          <w:rtl/>
        </w:rPr>
        <w:t>2012</w:t>
      </w:r>
      <w:r w:rsidRPr="0031289D">
        <w:rPr>
          <w:rFonts w:ascii="Arabic Typesetting" w:eastAsiaTheme="minorHAnsi" w:hAnsi="Arabic Typesetting" w:cs="Arabic Typesetting" w:hint="cs"/>
          <w:sz w:val="34"/>
          <w:szCs w:val="34"/>
          <w:rtl/>
        </w:rPr>
        <w:t xml:space="preserve"> إلى 2015 </w:t>
      </w:r>
      <w:r w:rsidRPr="0031289D">
        <w:rPr>
          <w:rFonts w:ascii="Arabic Typesetting" w:eastAsiaTheme="minorHAnsi" w:hAnsi="Arabic Typesetting" w:cs="Arabic Typesetting"/>
          <w:sz w:val="34"/>
          <w:szCs w:val="34"/>
          <w:rtl/>
        </w:rPr>
        <w:t>و</w:t>
      </w:r>
      <w:r w:rsidRPr="0031289D">
        <w:rPr>
          <w:rFonts w:ascii="Arabic Typesetting" w:eastAsiaTheme="minorHAnsi" w:hAnsi="Arabic Typesetting" w:cs="Arabic Typesetting" w:hint="cs"/>
          <w:sz w:val="34"/>
          <w:szCs w:val="34"/>
          <w:rtl/>
        </w:rPr>
        <w:t xml:space="preserve">بيانات عام </w:t>
      </w:r>
      <w:r w:rsidRPr="0031289D">
        <w:rPr>
          <w:rFonts w:ascii="Arabic Typesetting" w:eastAsiaTheme="minorHAnsi" w:hAnsi="Arabic Typesetting" w:cs="Arabic Typesetting"/>
          <w:sz w:val="34"/>
          <w:szCs w:val="34"/>
          <w:rtl/>
        </w:rPr>
        <w:t xml:space="preserve">2016 في </w:t>
      </w:r>
      <w:r w:rsidRPr="0031289D">
        <w:rPr>
          <w:rFonts w:ascii="Arabic Typesetting" w:eastAsiaTheme="minorHAnsi" w:hAnsi="Arabic Typesetting" w:cs="Arabic Typesetting" w:hint="cs"/>
          <w:sz w:val="34"/>
          <w:szCs w:val="34"/>
          <w:rtl/>
        </w:rPr>
        <w:t xml:space="preserve">رسمين بيانيين </w:t>
      </w:r>
      <w:r w:rsidRPr="0031289D">
        <w:rPr>
          <w:rFonts w:ascii="Arabic Typesetting" w:eastAsiaTheme="minorHAnsi" w:hAnsi="Arabic Typesetting" w:cs="Arabic Typesetting"/>
          <w:sz w:val="34"/>
          <w:szCs w:val="34"/>
          <w:rtl/>
        </w:rPr>
        <w:t>مختلف</w:t>
      </w:r>
      <w:r w:rsidRPr="0031289D">
        <w:rPr>
          <w:rFonts w:ascii="Arabic Typesetting" w:eastAsiaTheme="minorHAnsi" w:hAnsi="Arabic Typesetting" w:cs="Arabic Typesetting" w:hint="cs"/>
          <w:sz w:val="34"/>
          <w:szCs w:val="34"/>
          <w:rtl/>
        </w:rPr>
        <w:t>ين</w:t>
      </w:r>
      <w:r w:rsidRPr="0031289D">
        <w:rPr>
          <w:rFonts w:ascii="Arabic Typesetting" w:eastAsiaTheme="minorHAnsi" w:hAnsi="Arabic Typesetting" w:cs="Arabic Typesetting"/>
          <w:sz w:val="34"/>
          <w:szCs w:val="34"/>
          <w:rtl/>
        </w:rPr>
        <w:t>.</w:t>
      </w:r>
    </w:p>
    <w:p w14:paraId="1BC42590" w14:textId="77777777" w:rsidR="0031289D" w:rsidRPr="0031289D" w:rsidRDefault="0031289D" w:rsidP="00D35D35">
      <w:pPr>
        <w:keepLines/>
        <w:numPr>
          <w:ilvl w:val="0"/>
          <w:numId w:val="102"/>
        </w:numPr>
        <w:bidi/>
        <w:spacing w:after="240" w:line="360" w:lineRule="exact"/>
        <w:ind w:left="567"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lastRenderedPageBreak/>
        <w:t>وتشمل نفقات الأنشطة الداعمة لنظام لاهاي نفقات الخدمات العامة التالية: خدمات المؤتمرات واللغات، والتشييد، والإدارة التنفيذية، و</w:t>
      </w:r>
      <w:r w:rsidRPr="0031289D">
        <w:rPr>
          <w:rFonts w:ascii="Arabic Typesetting" w:eastAsiaTheme="minorHAnsi" w:hAnsi="Arabic Typesetting" w:cs="Arabic Typesetting" w:hint="cs"/>
          <w:sz w:val="34"/>
          <w:szCs w:val="34"/>
          <w:rtl/>
        </w:rPr>
        <w:t xml:space="preserve">الشؤون </w:t>
      </w:r>
      <w:r w:rsidRPr="0031289D">
        <w:rPr>
          <w:rFonts w:ascii="Arabic Typesetting" w:eastAsiaTheme="minorHAnsi" w:hAnsi="Arabic Typesetting" w:cs="Arabic Typesetting"/>
          <w:sz w:val="34"/>
          <w:szCs w:val="34"/>
          <w:rtl/>
        </w:rPr>
        <w:t>المالية والميزانية، وخدمات الدعم العامة، وإدارة الموارد البشرية، والرقابة الداخلية، وتكنولوجيا المعلومات، والسلامة والأمن. وت</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عزى نسبة صغيرة من هذه النفقات (تكلفة استضافة الخاد</w:t>
      </w:r>
      <w:r w:rsidRPr="0031289D">
        <w:rPr>
          <w:rFonts w:ascii="Arabic Typesetting" w:eastAsiaTheme="minorHAnsi" w:hAnsi="Arabic Typesetting" w:cs="Arabic Typesetting" w:hint="cs"/>
          <w:sz w:val="34"/>
          <w:szCs w:val="34"/>
          <w:rtl/>
        </w:rPr>
        <w:t>و</w:t>
      </w:r>
      <w:r w:rsidRPr="0031289D">
        <w:rPr>
          <w:rFonts w:ascii="Arabic Typesetting" w:eastAsiaTheme="minorHAnsi" w:hAnsi="Arabic Typesetting" w:cs="Arabic Typesetting"/>
          <w:sz w:val="34"/>
          <w:szCs w:val="34"/>
          <w:rtl/>
        </w:rPr>
        <w:t>م في مركز الأمم المتحدة الدولي للحساب الإلكتروني وحصة</w:t>
      </w:r>
      <w:r w:rsidRPr="0031289D">
        <w:rPr>
          <w:rFonts w:ascii="Arabic Typesetting" w:eastAsiaTheme="minorHAnsi" w:hAnsi="Arabic Typesetting" w:cs="Arabic Typesetting" w:hint="cs"/>
          <w:sz w:val="34"/>
          <w:szCs w:val="34"/>
          <w:rtl/>
        </w:rPr>
        <w:t xml:space="preserve"> تكلفة</w:t>
      </w:r>
      <w:r w:rsidRPr="0031289D">
        <w:rPr>
          <w:rFonts w:ascii="Arabic Typesetting" w:eastAsiaTheme="minorHAnsi" w:hAnsi="Arabic Typesetting" w:cs="Arabic Typesetting"/>
          <w:sz w:val="34"/>
          <w:szCs w:val="34"/>
          <w:rtl/>
        </w:rPr>
        <w:t xml:space="preserve"> قسم الإيرادات التابع لإدارة الشؤون المالية) إلى نظام لاهاي مباشرة في حين أن النسبة المتبقية من هذه النفقات </w:t>
      </w:r>
      <w:r w:rsidRPr="0031289D">
        <w:rPr>
          <w:rFonts w:ascii="Arabic Typesetting" w:eastAsiaTheme="minorHAnsi" w:hAnsi="Arabic Typesetting" w:cs="Arabic Typesetting" w:hint="cs"/>
          <w:sz w:val="34"/>
          <w:szCs w:val="34"/>
          <w:rtl/>
        </w:rPr>
        <w:t xml:space="preserve">المتعلقة </w:t>
      </w:r>
      <w:r w:rsidRPr="0031289D">
        <w:rPr>
          <w:rFonts w:ascii="Arabic Typesetting" w:eastAsiaTheme="minorHAnsi" w:hAnsi="Arabic Typesetting" w:cs="Arabic Typesetting"/>
          <w:sz w:val="34"/>
          <w:szCs w:val="34"/>
          <w:rtl/>
        </w:rPr>
        <w:t>بنظام لاهاي تحسب على أساس عدد الموظفين (ومنهم الموظفون ذوو العقود المحددة المدة، والموظفون المؤقتون، و</w:t>
      </w:r>
      <w:r w:rsidRPr="0031289D">
        <w:rPr>
          <w:rFonts w:ascii="Arabic Typesetting" w:eastAsiaTheme="minorHAnsi" w:hAnsi="Arabic Typesetting" w:cs="Arabic Typesetting" w:hint="cs"/>
          <w:sz w:val="34"/>
          <w:szCs w:val="34"/>
          <w:rtl/>
        </w:rPr>
        <w:t>المستفيدون من المنح</w:t>
      </w:r>
      <w:r w:rsidRPr="0031289D">
        <w:rPr>
          <w:rFonts w:ascii="Arabic Typesetting" w:eastAsiaTheme="minorHAnsi" w:hAnsi="Arabic Typesetting" w:cs="Arabic Typesetting"/>
          <w:sz w:val="34"/>
          <w:szCs w:val="34"/>
          <w:rtl/>
        </w:rPr>
        <w:t>).</w:t>
      </w:r>
    </w:p>
    <w:p w14:paraId="4EE1C54D" w14:textId="49F1652E" w:rsidR="0031289D" w:rsidRPr="0031289D" w:rsidRDefault="00D35D35" w:rsidP="00D35D35">
      <w:pPr>
        <w:bidi/>
        <w:spacing w:after="240" w:line="276" w:lineRule="auto"/>
        <w:ind w:left="-1" w:right="-426"/>
        <w:jc w:val="center"/>
        <w:rPr>
          <w:rFonts w:ascii="Arabic Typesetting" w:eastAsiaTheme="minorHAnsi" w:hAnsi="Arabic Typesetting" w:cs="Arabic Typesetting"/>
          <w:sz w:val="36"/>
          <w:szCs w:val="36"/>
        </w:rPr>
      </w:pPr>
      <w:r>
        <w:rPr>
          <w:rFonts w:ascii="Arabic Typesetting" w:eastAsiaTheme="minorHAnsi" w:hAnsi="Arabic Typesetting" w:cs="Arabic Typesetting"/>
          <w:noProof/>
          <w:sz w:val="36"/>
          <w:szCs w:val="36"/>
        </w:rPr>
        <w:drawing>
          <wp:inline distT="0" distB="0" distL="0" distR="0" wp14:anchorId="27BD00F5" wp14:editId="119020CA">
            <wp:extent cx="5534108" cy="19525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539000" cy="1954308"/>
                    </a:xfrm>
                    <a:prstGeom prst="rect">
                      <a:avLst/>
                    </a:prstGeom>
                    <a:noFill/>
                  </pic:spPr>
                </pic:pic>
              </a:graphicData>
            </a:graphic>
          </wp:inline>
        </w:drawing>
      </w:r>
    </w:p>
    <w:p w14:paraId="465AF975" w14:textId="7777777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 xml:space="preserve">تقدر النفقات الإجمالية المتعلقة بالمعالجة في نظام لاهاي بنحو </w:t>
      </w:r>
      <w:r w:rsidRPr="0031289D">
        <w:rPr>
          <w:rFonts w:ascii="Arabic Typesetting" w:eastAsiaTheme="minorHAnsi" w:hAnsi="Arabic Typesetting" w:cs="Arabic Typesetting" w:hint="cs"/>
          <w:sz w:val="34"/>
          <w:szCs w:val="34"/>
          <w:rtl/>
        </w:rPr>
        <w:t>8.86</w:t>
      </w:r>
      <w:r w:rsidRPr="0031289D">
        <w:rPr>
          <w:rFonts w:ascii="Arabic Typesetting" w:eastAsiaTheme="minorHAnsi" w:hAnsi="Arabic Typesetting" w:cs="Arabic Typesetting"/>
          <w:sz w:val="34"/>
          <w:szCs w:val="34"/>
          <w:rtl/>
        </w:rPr>
        <w:t xml:space="preserve"> ملايين فرنك سويسري في عام</w:t>
      </w:r>
      <w:r w:rsidRPr="0031289D">
        <w:rPr>
          <w:rFonts w:ascii="Arabic Typesetting" w:eastAsiaTheme="minorHAnsi" w:hAnsi="Arabic Typesetting" w:cs="Arabic Typesetting" w:hint="cs"/>
          <w:sz w:val="34"/>
          <w:szCs w:val="34"/>
          <w:rtl/>
        </w:rPr>
        <w:t> </w:t>
      </w:r>
      <w:r w:rsidRPr="0031289D">
        <w:rPr>
          <w:rFonts w:ascii="Arabic Typesetting" w:eastAsiaTheme="minorHAnsi" w:hAnsi="Arabic Typesetting" w:cs="Arabic Typesetting"/>
          <w:sz w:val="34"/>
          <w:szCs w:val="34"/>
          <w:rtl/>
        </w:rPr>
        <w:t>201</w:t>
      </w:r>
      <w:r w:rsidRPr="0031289D">
        <w:rPr>
          <w:rFonts w:ascii="Arabic Typesetting" w:eastAsiaTheme="minorHAnsi" w:hAnsi="Arabic Typesetting" w:cs="Arabic Typesetting" w:hint="cs"/>
          <w:sz w:val="34"/>
          <w:szCs w:val="34"/>
          <w:rtl/>
        </w:rPr>
        <w:t>6</w:t>
      </w:r>
      <w:r w:rsidRPr="0031289D">
        <w:rPr>
          <w:rFonts w:ascii="Arabic Typesetting" w:eastAsiaTheme="minorHAnsi" w:hAnsi="Arabic Typesetting" w:cs="Arabic Typesetting"/>
          <w:sz w:val="34"/>
          <w:szCs w:val="34"/>
          <w:rtl/>
        </w:rPr>
        <w:t>.</w:t>
      </w:r>
    </w:p>
    <w:p w14:paraId="2B20D938" w14:textId="7777777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 xml:space="preserve">وفي </w:t>
      </w:r>
      <w:r w:rsidRPr="0031289D">
        <w:rPr>
          <w:rFonts w:ascii="Arabic Typesetting" w:eastAsiaTheme="minorHAnsi" w:hAnsi="Arabic Typesetting" w:cs="Arabic Typesetting" w:hint="cs"/>
          <w:sz w:val="34"/>
          <w:szCs w:val="34"/>
          <w:rtl/>
        </w:rPr>
        <w:t>عام</w:t>
      </w:r>
      <w:r w:rsidRPr="0031289D">
        <w:rPr>
          <w:rFonts w:ascii="Arabic Typesetting" w:eastAsiaTheme="minorHAnsi" w:hAnsi="Arabic Typesetting" w:cs="Arabic Typesetting"/>
          <w:sz w:val="34"/>
          <w:szCs w:val="34"/>
          <w:rtl/>
        </w:rPr>
        <w:t xml:space="preserve"> 2016، بلغت </w:t>
      </w:r>
      <w:r w:rsidRPr="0031289D">
        <w:rPr>
          <w:rFonts w:ascii="Arabic Typesetting" w:eastAsiaTheme="minorHAnsi" w:hAnsi="Arabic Typesetting" w:cs="Arabic Typesetting" w:hint="cs"/>
          <w:sz w:val="34"/>
          <w:szCs w:val="34"/>
          <w:rtl/>
        </w:rPr>
        <w:t>نسبة</w:t>
      </w:r>
      <w:r w:rsidRPr="0031289D">
        <w:rPr>
          <w:rFonts w:ascii="Arabic Typesetting" w:eastAsiaTheme="minorHAnsi" w:hAnsi="Arabic Typesetting" w:cs="Arabic Typesetting"/>
          <w:sz w:val="34"/>
          <w:szCs w:val="34"/>
          <w:rtl/>
        </w:rPr>
        <w:t xml:space="preserve"> التكاليف المباشرة 58 </w:t>
      </w:r>
      <w:r w:rsidRPr="0031289D">
        <w:rPr>
          <w:rFonts w:ascii="Arabic Typesetting" w:eastAsiaTheme="minorHAnsi" w:hAnsi="Arabic Typesetting" w:cs="Arabic Typesetting" w:hint="cs"/>
          <w:sz w:val="34"/>
          <w:szCs w:val="34"/>
          <w:rtl/>
        </w:rPr>
        <w:t xml:space="preserve">في </w:t>
      </w:r>
      <w:r w:rsidRPr="0031289D">
        <w:rPr>
          <w:rFonts w:ascii="Arabic Typesetting" w:eastAsiaTheme="minorHAnsi" w:hAnsi="Arabic Typesetting" w:cs="Arabic Typesetting"/>
          <w:sz w:val="34"/>
          <w:szCs w:val="34"/>
          <w:rtl/>
        </w:rPr>
        <w:t>المائة من النفقات الإجمالية</w:t>
      </w:r>
      <w:r w:rsidRPr="0031289D">
        <w:rPr>
          <w:rFonts w:ascii="Arabic Typesetting" w:eastAsiaTheme="minorHAnsi" w:hAnsi="Arabic Typesetting" w:cs="Arabic Typesetting"/>
          <w:sz w:val="34"/>
          <w:szCs w:val="34"/>
        </w:rPr>
        <w:t>.</w:t>
      </w:r>
    </w:p>
    <w:p w14:paraId="2639F969" w14:textId="77777777" w:rsidR="0031289D" w:rsidRPr="0031289D" w:rsidRDefault="0031289D" w:rsidP="0031289D">
      <w:pPr>
        <w:keepNext/>
        <w:bidi/>
        <w:spacing w:after="240" w:line="360" w:lineRule="exact"/>
        <w:rPr>
          <w:rFonts w:ascii="Arabic Typesetting" w:eastAsiaTheme="minorHAnsi" w:hAnsi="Arabic Typesetting" w:cs="Arabic Typesetting"/>
          <w:sz w:val="34"/>
          <w:szCs w:val="34"/>
          <w:highlight w:val="yellow"/>
          <w:u w:val="single"/>
        </w:rPr>
      </w:pPr>
      <w:r w:rsidRPr="0031289D">
        <w:rPr>
          <w:rFonts w:ascii="Arabic Typesetting" w:eastAsiaTheme="minorHAnsi" w:hAnsi="Arabic Typesetting" w:cs="Arabic Typesetting"/>
          <w:sz w:val="34"/>
          <w:szCs w:val="34"/>
          <w:u w:val="single"/>
          <w:rtl/>
        </w:rPr>
        <w:t>تكلفة الوحدة</w:t>
      </w:r>
    </w:p>
    <w:p w14:paraId="1921F03D" w14:textId="3C84343E" w:rsidR="0031289D" w:rsidRPr="0031289D" w:rsidRDefault="0031289D" w:rsidP="00D94CDB">
      <w:pPr>
        <w:numPr>
          <w:ilvl w:val="0"/>
          <w:numId w:val="102"/>
        </w:numPr>
        <w:bidi/>
        <w:spacing w:after="240" w:line="360" w:lineRule="exact"/>
        <w:ind w:left="567"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 xml:space="preserve">يمكن </w:t>
      </w:r>
      <w:r w:rsidRPr="0031289D">
        <w:rPr>
          <w:rFonts w:ascii="Arabic Typesetting" w:eastAsiaTheme="minorHAnsi" w:hAnsi="Arabic Typesetting" w:cs="Arabic Typesetting" w:hint="cs"/>
          <w:sz w:val="34"/>
          <w:szCs w:val="34"/>
          <w:rtl/>
        </w:rPr>
        <w:t>قياس</w:t>
      </w:r>
      <w:r w:rsidRPr="0031289D">
        <w:rPr>
          <w:rFonts w:ascii="Arabic Typesetting" w:eastAsiaTheme="minorHAnsi" w:hAnsi="Arabic Typesetting" w:cs="Arabic Typesetting"/>
          <w:sz w:val="34"/>
          <w:szCs w:val="34"/>
          <w:rtl/>
        </w:rPr>
        <w:t xml:space="preserve"> كفاءة المكتب الدولي في معالجة المعاملات بتكلفة الوحدة</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التي تعن</w:t>
      </w:r>
      <w:r w:rsidRPr="0031289D">
        <w:rPr>
          <w:rFonts w:ascii="Arabic Typesetting" w:eastAsiaTheme="minorHAnsi" w:hAnsi="Arabic Typesetting" w:cs="Arabic Typesetting" w:hint="cs"/>
          <w:sz w:val="34"/>
          <w:szCs w:val="34"/>
          <w:rtl/>
        </w:rPr>
        <w:t>ي</w:t>
      </w:r>
      <w:r w:rsidRPr="0031289D">
        <w:rPr>
          <w:rFonts w:ascii="Arabic Typesetting" w:eastAsiaTheme="minorHAnsi" w:hAnsi="Arabic Typesetting" w:cs="Arabic Typesetting"/>
          <w:sz w:val="34"/>
          <w:szCs w:val="34"/>
          <w:rtl/>
        </w:rPr>
        <w:t xml:space="preserve"> متو</w:t>
      </w:r>
      <w:r w:rsidRPr="0031289D">
        <w:rPr>
          <w:rFonts w:ascii="Arabic Typesetting" w:eastAsiaTheme="minorHAnsi" w:hAnsi="Arabic Typesetting" w:cs="Arabic Typesetting" w:hint="cs"/>
          <w:sz w:val="34"/>
          <w:szCs w:val="34"/>
          <w:rtl/>
        </w:rPr>
        <w:t>س</w:t>
      </w:r>
      <w:r w:rsidRPr="0031289D">
        <w:rPr>
          <w:rFonts w:ascii="Arabic Typesetting" w:eastAsiaTheme="minorHAnsi" w:hAnsi="Arabic Typesetting" w:cs="Arabic Typesetting"/>
          <w:sz w:val="34"/>
          <w:szCs w:val="34"/>
          <w:rtl/>
        </w:rPr>
        <w:t>ط التكلفة لإنتاج وحدة واحدة من</w:t>
      </w:r>
      <w:r>
        <w:rPr>
          <w:rFonts w:ascii="Arabic Typesetting" w:eastAsiaTheme="minorHAnsi" w:hAnsi="Arabic Typesetting" w:cs="Arabic Typesetting"/>
          <w:sz w:val="34"/>
          <w:szCs w:val="34"/>
        </w:rPr>
        <w:t> </w:t>
      </w:r>
      <w:r w:rsidRPr="0031289D">
        <w:rPr>
          <w:rFonts w:ascii="Arabic Typesetting" w:eastAsiaTheme="minorHAnsi" w:hAnsi="Arabic Typesetting" w:cs="Arabic Typesetting"/>
          <w:sz w:val="34"/>
          <w:szCs w:val="34"/>
          <w:rtl/>
        </w:rPr>
        <w:t>المخرجات.</w:t>
      </w:r>
    </w:p>
    <w:p w14:paraId="460A0563" w14:textId="28AA6D9F" w:rsidR="0031289D" w:rsidRPr="0031289D" w:rsidRDefault="0031289D" w:rsidP="00D94CDB">
      <w:pPr>
        <w:numPr>
          <w:ilvl w:val="0"/>
          <w:numId w:val="102"/>
        </w:numPr>
        <w:bidi/>
        <w:spacing w:after="240" w:line="360" w:lineRule="exact"/>
        <w:ind w:left="567"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وبما أن المكتب الدولي يسجل طلبات جديدة ويحفظ التسجيلات الموجودة، فمن الوجيه أن تكون هناك وحدة من المخرجات التي تتضمن مجموعة من المعاملات.</w:t>
      </w:r>
      <w:r w:rsidRPr="0031289D">
        <w:rPr>
          <w:rFonts w:ascii="Arabic Typesetting" w:eastAsiaTheme="minorHAnsi" w:hAnsi="Arabic Typesetting" w:cs="Arabic Typesetting" w:hint="cs"/>
          <w:sz w:val="34"/>
          <w:szCs w:val="34"/>
          <w:rtl/>
        </w:rPr>
        <w:t xml:space="preserve"> </w:t>
      </w:r>
      <w:r w:rsidRPr="0031289D">
        <w:rPr>
          <w:rFonts w:ascii="Arabic Typesetting" w:eastAsiaTheme="minorHAnsi" w:hAnsi="Arabic Typesetting" w:cs="Arabic Typesetting"/>
          <w:sz w:val="34"/>
          <w:szCs w:val="34"/>
          <w:rtl/>
        </w:rPr>
        <w:t>ويرد أدناه مؤشران اثنان لتكلفة الوحدة باستخدام وحدتين مختلفتين من</w:t>
      </w:r>
      <w:r>
        <w:rPr>
          <w:rFonts w:ascii="Arabic Typesetting" w:eastAsiaTheme="minorHAnsi" w:hAnsi="Arabic Typesetting" w:cs="Arabic Typesetting" w:hint="cs"/>
          <w:sz w:val="34"/>
          <w:szCs w:val="34"/>
          <w:rtl/>
        </w:rPr>
        <w:t> </w:t>
      </w:r>
      <w:r w:rsidRPr="0031289D">
        <w:rPr>
          <w:rFonts w:ascii="Arabic Typesetting" w:eastAsiaTheme="minorHAnsi" w:hAnsi="Arabic Typesetting" w:cs="Arabic Typesetting"/>
          <w:sz w:val="34"/>
          <w:szCs w:val="34"/>
          <w:rtl/>
        </w:rPr>
        <w:t>المخرجات.</w:t>
      </w:r>
    </w:p>
    <w:p w14:paraId="097D8DC5" w14:textId="77777777" w:rsidR="0031289D" w:rsidRPr="0031289D" w:rsidRDefault="0031289D" w:rsidP="00D94CDB">
      <w:pPr>
        <w:numPr>
          <w:ilvl w:val="0"/>
          <w:numId w:val="102"/>
        </w:numPr>
        <w:bidi/>
        <w:spacing w:after="240" w:line="360" w:lineRule="exact"/>
        <w:ind w:left="567" w:hanging="567"/>
        <w:jc w:val="both"/>
        <w:rPr>
          <w:rFonts w:ascii="Arabic Typesetting" w:eastAsiaTheme="minorHAnsi" w:hAnsi="Arabic Typesetting" w:cs="Arabic Typesetting"/>
          <w:sz w:val="36"/>
          <w:szCs w:val="36"/>
        </w:rPr>
      </w:pPr>
      <w:r w:rsidRPr="0031289D">
        <w:rPr>
          <w:rFonts w:ascii="Arabic Typesetting" w:eastAsiaTheme="minorHAnsi" w:hAnsi="Arabic Typesetting" w:cs="Arabic Typesetting"/>
          <w:sz w:val="34"/>
          <w:szCs w:val="34"/>
          <w:rtl/>
        </w:rPr>
        <w:t>وكجزء من جهود المكتب الدولي لمواصلة صقل منهجية حساب تكاليف الوحدة، نُقحت المنهجية في وثيقة البرنامج والميزانية للثنائية 2016/17 لتحسين الدقة في بيان تكلفة معالجة أعباء عمل نظام لاهاي في المكتب الدولي</w:t>
      </w:r>
      <w:r w:rsidRPr="0031289D">
        <w:rPr>
          <w:rFonts w:ascii="Arabic Typesetting" w:eastAsiaTheme="minorHAnsi" w:hAnsi="Arabic Typesetting" w:cs="Arabic Typesetting"/>
          <w:sz w:val="28"/>
          <w:szCs w:val="28"/>
          <w:vertAlign w:val="superscript"/>
          <w:rtl/>
        </w:rPr>
        <w:footnoteReference w:id="43"/>
      </w:r>
      <w:r w:rsidRPr="0031289D">
        <w:rPr>
          <w:rFonts w:ascii="Arabic Typesetting" w:eastAsiaTheme="minorHAnsi" w:hAnsi="Arabic Typesetting" w:cs="Arabic Typesetting"/>
          <w:sz w:val="36"/>
          <w:szCs w:val="36"/>
          <w:rtl/>
        </w:rPr>
        <w:t>.</w:t>
      </w:r>
    </w:p>
    <w:p w14:paraId="30B47A23" w14:textId="77777777" w:rsidR="0031289D" w:rsidRPr="0031289D" w:rsidRDefault="0031289D" w:rsidP="0031289D">
      <w:pPr>
        <w:keepNext/>
        <w:keepLines/>
        <w:bidi/>
        <w:spacing w:after="240" w:line="360" w:lineRule="exact"/>
        <w:rPr>
          <w:rFonts w:ascii="Arabic Typesetting" w:eastAsiaTheme="minorHAnsi" w:hAnsi="Arabic Typesetting" w:cs="Arabic Typesetting"/>
          <w:iCs/>
          <w:sz w:val="34"/>
          <w:szCs w:val="34"/>
        </w:rPr>
      </w:pPr>
      <w:r w:rsidRPr="0031289D">
        <w:rPr>
          <w:rFonts w:ascii="Arabic Typesetting" w:eastAsiaTheme="minorHAnsi" w:hAnsi="Arabic Typesetting" w:cs="Arabic Typesetting"/>
          <w:iCs/>
          <w:sz w:val="34"/>
          <w:szCs w:val="34"/>
          <w:rtl/>
        </w:rPr>
        <w:t>تكلفة الوحدة لكل تصميم جديد/مجدّد</w:t>
      </w:r>
    </w:p>
    <w:p w14:paraId="16BE53B4" w14:textId="77777777" w:rsidR="0031289D" w:rsidRPr="0031289D" w:rsidRDefault="0031289D" w:rsidP="00D94CDB">
      <w:pPr>
        <w:numPr>
          <w:ilvl w:val="0"/>
          <w:numId w:val="102"/>
        </w:numPr>
        <w:bidi/>
        <w:spacing w:after="240" w:line="360" w:lineRule="exact"/>
        <w:ind w:left="567"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تتألف التصاميم الجديدة من التصاميم الواردة في الطلبات الدولية المسجلة خلال سنة معينة</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وتتألف التصاميم المجددة من التصاميم الموجودة في التسجيلات الدولية التي يتم تجديدها خلال سنة معينة. وتعكس التصاميم الواردة في هذين النوعين من المعاملات، مجمّعةً، العمل الأساسي للمكتب الدولي</w:t>
      </w:r>
      <w:r w:rsidRPr="0031289D">
        <w:rPr>
          <w:rFonts w:ascii="Arabic Typesetting" w:eastAsiaTheme="minorHAnsi" w:hAnsi="Arabic Typesetting" w:cs="Arabic Typesetting"/>
          <w:sz w:val="34"/>
          <w:szCs w:val="34"/>
        </w:rPr>
        <w:t>.</w:t>
      </w:r>
    </w:p>
    <w:p w14:paraId="1E9DE2B4" w14:textId="77777777" w:rsidR="0031289D" w:rsidRPr="0031289D" w:rsidRDefault="0031289D" w:rsidP="00D35D35">
      <w:pPr>
        <w:keepNext/>
        <w:numPr>
          <w:ilvl w:val="0"/>
          <w:numId w:val="102"/>
        </w:numPr>
        <w:bidi/>
        <w:spacing w:after="240" w:line="360" w:lineRule="exact"/>
        <w:ind w:left="567" w:hanging="567"/>
        <w:jc w:val="both"/>
        <w:rPr>
          <w:rFonts w:ascii="Arabic Typesetting" w:eastAsiaTheme="minorHAnsi" w:hAnsi="Arabic Typesetting" w:cs="Arabic Typesetting"/>
          <w:sz w:val="36"/>
          <w:szCs w:val="36"/>
        </w:rPr>
      </w:pPr>
      <w:r w:rsidRPr="0031289D">
        <w:rPr>
          <w:rFonts w:ascii="Arabic Typesetting" w:eastAsiaTheme="minorHAnsi" w:hAnsi="Arabic Typesetting" w:cs="Arabic Typesetting"/>
          <w:sz w:val="34"/>
          <w:szCs w:val="34"/>
          <w:rtl/>
        </w:rPr>
        <w:lastRenderedPageBreak/>
        <w:t>وبما أن معالجة التصاميم الواردة في هذين النوعين من الوثائق لا يتطلب موارد متساوية، فكل نوع يُرجّح بشكل مختلف</w:t>
      </w:r>
      <w:r w:rsidRPr="0031289D">
        <w:rPr>
          <w:rFonts w:ascii="Arabic Typesetting" w:eastAsiaTheme="minorHAnsi" w:hAnsi="Arabic Typesetting" w:cs="Arabic Typesetting"/>
          <w:sz w:val="34"/>
          <w:szCs w:val="34"/>
          <w:vertAlign w:val="superscript"/>
          <w:rtl/>
        </w:rPr>
        <w:footnoteReference w:id="44"/>
      </w:r>
      <w:r w:rsidRPr="0031289D">
        <w:rPr>
          <w:rFonts w:ascii="Arabic Typesetting" w:eastAsiaTheme="minorHAnsi" w:hAnsi="Arabic Typesetting" w:cs="Arabic Typesetting"/>
          <w:sz w:val="34"/>
          <w:szCs w:val="34"/>
          <w:rtl/>
        </w:rPr>
        <w:t>. وتُحسب تكلفة الوحدة بقسمة تكلفة الإنتاج الإجمالية على عدد التصاميم الجديدة/ المجدَّدة</w:t>
      </w:r>
      <w:r w:rsidRPr="0031289D">
        <w:rPr>
          <w:rFonts w:ascii="Arabic Typesetting" w:eastAsiaTheme="minorHAnsi" w:hAnsi="Arabic Typesetting" w:cs="Arabic Typesetting"/>
          <w:sz w:val="34"/>
          <w:szCs w:val="34"/>
        </w:rPr>
        <w:t>.</w:t>
      </w:r>
    </w:p>
    <w:p w14:paraId="2A0EE3B7" w14:textId="4BE43453" w:rsidR="0031289D" w:rsidRPr="0031289D" w:rsidRDefault="0031289D" w:rsidP="0031289D">
      <w:pPr>
        <w:bidi/>
        <w:spacing w:after="240" w:line="276" w:lineRule="auto"/>
        <w:ind w:left="-1" w:hanging="13"/>
        <w:rPr>
          <w:rFonts w:ascii="Arabic Typesetting" w:eastAsiaTheme="minorHAnsi" w:hAnsi="Arabic Typesetting" w:cs="Arabic Typesetting"/>
          <w:sz w:val="36"/>
          <w:szCs w:val="36"/>
        </w:rPr>
      </w:pPr>
      <w:r w:rsidRPr="0031289D">
        <w:rPr>
          <w:rFonts w:ascii="Arabic Typesetting" w:eastAsiaTheme="minorHAnsi" w:hAnsi="Arabic Typesetting" w:cs="Arabic Typesetting"/>
          <w:sz w:val="36"/>
          <w:szCs w:val="36"/>
        </w:rPr>
        <w:tab/>
      </w:r>
      <w:r w:rsidR="00D35D35">
        <w:rPr>
          <w:rFonts w:ascii="Arabic Typesetting" w:eastAsiaTheme="minorHAnsi" w:hAnsi="Arabic Typesetting" w:cs="Arabic Typesetting"/>
          <w:noProof/>
          <w:sz w:val="36"/>
          <w:szCs w:val="36"/>
        </w:rPr>
        <w:drawing>
          <wp:inline distT="0" distB="0" distL="0" distR="0" wp14:anchorId="5B4FDDA7" wp14:editId="08B42E56">
            <wp:extent cx="5938850" cy="2110172"/>
            <wp:effectExtent l="0" t="0" r="508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50525" cy="2114320"/>
                    </a:xfrm>
                    <a:prstGeom prst="rect">
                      <a:avLst/>
                    </a:prstGeom>
                    <a:noFill/>
                  </pic:spPr>
                </pic:pic>
              </a:graphicData>
            </a:graphic>
          </wp:inline>
        </w:drawing>
      </w:r>
    </w:p>
    <w:p w14:paraId="1842B288" w14:textId="7777777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ويُقد</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ر متوسط تكلفة معالجة تصميم جديد/مجدَّد 443 فرنكا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سويسريا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في 2016. ولا يمكن مقارنة نتائج عام</w:t>
      </w:r>
      <w:r w:rsidRPr="0031289D">
        <w:rPr>
          <w:rFonts w:ascii="Arabic Typesetting" w:eastAsiaTheme="minorHAnsi" w:hAnsi="Arabic Typesetting" w:cs="Arabic Typesetting" w:hint="cs"/>
          <w:sz w:val="34"/>
          <w:szCs w:val="34"/>
          <w:rtl/>
        </w:rPr>
        <w:t> </w:t>
      </w:r>
      <w:r w:rsidRPr="0031289D">
        <w:rPr>
          <w:rFonts w:ascii="Arabic Typesetting" w:eastAsiaTheme="minorHAnsi" w:hAnsi="Arabic Typesetting" w:cs="Arabic Typesetting"/>
          <w:sz w:val="34"/>
          <w:szCs w:val="34"/>
          <w:rtl/>
        </w:rPr>
        <w:t>2016 بالسنوات السابقة للأسباب المذكورة أعلاه (انظر التكلفة الإجمالية لمؤشر الإنتاج).</w:t>
      </w:r>
    </w:p>
    <w:p w14:paraId="51C7D715" w14:textId="77777777" w:rsidR="0031289D" w:rsidRPr="0031289D" w:rsidRDefault="0031289D" w:rsidP="0031289D">
      <w:pPr>
        <w:keepNext/>
        <w:keepLines/>
        <w:bidi/>
        <w:spacing w:after="240" w:line="360" w:lineRule="exact"/>
        <w:rPr>
          <w:rFonts w:ascii="Arabic Typesetting" w:eastAsiaTheme="minorHAnsi" w:hAnsi="Arabic Typesetting" w:cs="Arabic Typesetting"/>
          <w:iCs/>
          <w:sz w:val="34"/>
          <w:szCs w:val="34"/>
        </w:rPr>
      </w:pPr>
      <w:r w:rsidRPr="0031289D">
        <w:rPr>
          <w:rFonts w:ascii="Arabic Typesetting" w:eastAsiaTheme="minorHAnsi" w:hAnsi="Arabic Typesetting" w:cs="Arabic Typesetting"/>
          <w:iCs/>
          <w:sz w:val="34"/>
          <w:szCs w:val="34"/>
          <w:rtl/>
        </w:rPr>
        <w:t>تكلفة الوحدة لكل وثيقة مدونة في السجل</w:t>
      </w:r>
    </w:p>
    <w:p w14:paraId="7A932BFF" w14:textId="77777777" w:rsidR="0031289D" w:rsidRPr="0031289D" w:rsidRDefault="0031289D" w:rsidP="00D35D35">
      <w:pPr>
        <w:numPr>
          <w:ilvl w:val="0"/>
          <w:numId w:val="102"/>
        </w:numPr>
        <w:bidi/>
        <w:spacing w:line="360" w:lineRule="exact"/>
        <w:ind w:left="567" w:hanging="567"/>
        <w:jc w:val="both"/>
        <w:rPr>
          <w:rFonts w:ascii="Arabic Typesetting" w:eastAsiaTheme="minorHAnsi" w:hAnsi="Arabic Typesetting" w:cs="Arabic Typesetting"/>
          <w:sz w:val="36"/>
          <w:szCs w:val="36"/>
        </w:rPr>
      </w:pPr>
      <w:r w:rsidRPr="0031289D">
        <w:rPr>
          <w:rFonts w:ascii="Arabic Typesetting" w:eastAsiaTheme="minorHAnsi" w:hAnsi="Arabic Typesetting" w:cs="Arabic Typesetting"/>
          <w:sz w:val="34"/>
          <w:szCs w:val="34"/>
          <w:rtl/>
        </w:rPr>
        <w:t>تشكل الوثائق المدونة في السجل إجمالي عبء العمل (انظر "عبء العمل الإجمالي" أعلاه</w:t>
      </w:r>
      <w:r w:rsidRPr="0031289D">
        <w:rPr>
          <w:rFonts w:ascii="Arabic Typesetting" w:eastAsiaTheme="minorHAnsi" w:hAnsi="Arabic Typesetting" w:cs="Arabic Typesetting" w:hint="cs"/>
          <w:sz w:val="34"/>
          <w:szCs w:val="34"/>
          <w:rtl/>
        </w:rPr>
        <w:t>).</w:t>
      </w:r>
    </w:p>
    <w:p w14:paraId="7B0BE100" w14:textId="6A02A874" w:rsidR="0031289D" w:rsidRPr="0031289D" w:rsidRDefault="0031289D" w:rsidP="0031289D">
      <w:pPr>
        <w:bidi/>
        <w:spacing w:after="240" w:line="276" w:lineRule="auto"/>
        <w:ind w:left="-1"/>
        <w:contextualSpacing/>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Pr>
        <w:tab/>
      </w:r>
      <w:r w:rsidR="00D35D35">
        <w:rPr>
          <w:rFonts w:ascii="Arabic Typesetting" w:eastAsiaTheme="minorHAnsi" w:hAnsi="Arabic Typesetting" w:cs="Arabic Typesetting"/>
          <w:noProof/>
          <w:sz w:val="34"/>
          <w:szCs w:val="34"/>
        </w:rPr>
        <w:drawing>
          <wp:inline distT="0" distB="0" distL="0" distR="0" wp14:anchorId="4A3E0285" wp14:editId="2BF5F9CD">
            <wp:extent cx="6033354" cy="2125822"/>
            <wp:effectExtent l="0" t="0" r="571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39044" cy="2127827"/>
                    </a:xfrm>
                    <a:prstGeom prst="rect">
                      <a:avLst/>
                    </a:prstGeom>
                    <a:noFill/>
                  </pic:spPr>
                </pic:pic>
              </a:graphicData>
            </a:graphic>
          </wp:inline>
        </w:drawing>
      </w:r>
    </w:p>
    <w:p w14:paraId="11C3B783" w14:textId="7777777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hint="cs"/>
          <w:sz w:val="34"/>
          <w:szCs w:val="34"/>
          <w:rtl/>
        </w:rPr>
        <w:t>يُقدَّر</w:t>
      </w:r>
      <w:r w:rsidRPr="0031289D">
        <w:rPr>
          <w:rFonts w:ascii="Arabic Typesetting" w:eastAsiaTheme="minorHAnsi" w:hAnsi="Arabic Typesetting" w:cs="Arabic Typesetting"/>
          <w:sz w:val="34"/>
          <w:szCs w:val="34"/>
          <w:rtl/>
        </w:rPr>
        <w:t xml:space="preserve"> متوسط تكلفة تدوين وثيقة في السجل </w:t>
      </w:r>
      <w:r w:rsidRPr="0031289D">
        <w:rPr>
          <w:rFonts w:ascii="Arabic Typesetting" w:eastAsiaTheme="minorHAnsi" w:hAnsi="Arabic Typesetting" w:cs="Arabic Typesetting" w:hint="cs"/>
          <w:sz w:val="34"/>
          <w:szCs w:val="34"/>
          <w:rtl/>
        </w:rPr>
        <w:t>بمبلغ</w:t>
      </w:r>
      <w:r w:rsidRPr="0031289D">
        <w:rPr>
          <w:rFonts w:ascii="Arabic Typesetting" w:eastAsiaTheme="minorHAnsi" w:hAnsi="Arabic Typesetting" w:cs="Arabic Typesetting"/>
          <w:sz w:val="34"/>
          <w:szCs w:val="34"/>
          <w:rtl/>
        </w:rPr>
        <w:t xml:space="preserve"> </w:t>
      </w:r>
      <w:r w:rsidRPr="00396976">
        <w:rPr>
          <w:rFonts w:ascii="Arabic Typesetting" w:eastAsiaTheme="minorHAnsi" w:hAnsi="Arabic Typesetting" w:cs="Arabic Typesetting"/>
          <w:sz w:val="34"/>
          <w:szCs w:val="34"/>
          <w:rtl/>
        </w:rPr>
        <w:t>172</w:t>
      </w:r>
      <w:r w:rsidRPr="0031289D">
        <w:rPr>
          <w:rFonts w:ascii="Arabic Typesetting" w:eastAsiaTheme="minorHAnsi" w:hAnsi="Arabic Typesetting" w:cs="Arabic Typesetting" w:hint="cs"/>
          <w:sz w:val="34"/>
          <w:szCs w:val="34"/>
          <w:rtl/>
        </w:rPr>
        <w:t> 1</w:t>
      </w:r>
      <w:r w:rsidRPr="0031289D">
        <w:rPr>
          <w:rFonts w:ascii="Arabic Typesetting" w:eastAsiaTheme="minorHAnsi" w:hAnsi="Arabic Typesetting" w:cs="Arabic Typesetting"/>
          <w:sz w:val="34"/>
          <w:szCs w:val="34"/>
          <w:rtl/>
        </w:rPr>
        <w:t xml:space="preserve"> فرنكا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سويسريا</w:t>
      </w:r>
      <w:r w:rsidRPr="0031289D">
        <w:rPr>
          <w:rFonts w:ascii="Arabic Typesetting" w:eastAsiaTheme="minorHAnsi" w:hAnsi="Arabic Typesetting" w:cs="Arabic Typesetting" w:hint="cs"/>
          <w:sz w:val="34"/>
          <w:szCs w:val="34"/>
          <w:rtl/>
        </w:rPr>
        <w:t>ً</w:t>
      </w:r>
      <w:r w:rsidRPr="0031289D">
        <w:rPr>
          <w:rFonts w:ascii="Arabic Typesetting" w:eastAsiaTheme="minorHAnsi" w:hAnsi="Arabic Typesetting" w:cs="Arabic Typesetting"/>
          <w:sz w:val="34"/>
          <w:szCs w:val="34"/>
          <w:rtl/>
        </w:rPr>
        <w:t xml:space="preserve"> في </w:t>
      </w:r>
      <w:r w:rsidRPr="0031289D">
        <w:rPr>
          <w:rFonts w:ascii="Arabic Typesetting" w:eastAsiaTheme="minorHAnsi" w:hAnsi="Arabic Typesetting" w:cs="Arabic Typesetting" w:hint="cs"/>
          <w:sz w:val="34"/>
          <w:szCs w:val="34"/>
          <w:rtl/>
        </w:rPr>
        <w:t>عام</w:t>
      </w:r>
      <w:r w:rsidRPr="0031289D">
        <w:rPr>
          <w:rFonts w:ascii="Arabic Typesetting" w:eastAsiaTheme="minorHAnsi" w:hAnsi="Arabic Typesetting" w:cs="Arabic Typesetting"/>
          <w:sz w:val="34"/>
          <w:szCs w:val="34"/>
          <w:rtl/>
        </w:rPr>
        <w:t xml:space="preserve"> 201</w:t>
      </w:r>
      <w:r w:rsidRPr="0031289D">
        <w:rPr>
          <w:rFonts w:ascii="Arabic Typesetting" w:eastAsiaTheme="minorHAnsi" w:hAnsi="Arabic Typesetting" w:cs="Arabic Typesetting" w:hint="cs"/>
          <w:sz w:val="34"/>
          <w:szCs w:val="34"/>
          <w:rtl/>
        </w:rPr>
        <w:t>6</w:t>
      </w:r>
      <w:r w:rsidRPr="0031289D">
        <w:rPr>
          <w:rFonts w:ascii="Arabic Typesetting" w:eastAsiaTheme="minorHAnsi" w:hAnsi="Arabic Typesetting" w:cs="Arabic Typesetting"/>
          <w:sz w:val="34"/>
          <w:szCs w:val="34"/>
          <w:rtl/>
        </w:rPr>
        <w:t>. ولا يمكن مقارنة نتائج عام</w:t>
      </w:r>
      <w:r w:rsidRPr="0031289D">
        <w:rPr>
          <w:rFonts w:ascii="Arabic Typesetting" w:eastAsiaTheme="minorHAnsi" w:hAnsi="Arabic Typesetting" w:cs="Arabic Typesetting" w:hint="cs"/>
          <w:sz w:val="34"/>
          <w:szCs w:val="34"/>
          <w:rtl/>
        </w:rPr>
        <w:t> </w:t>
      </w:r>
      <w:r w:rsidRPr="0031289D">
        <w:rPr>
          <w:rFonts w:ascii="Arabic Typesetting" w:eastAsiaTheme="minorHAnsi" w:hAnsi="Arabic Typesetting" w:cs="Arabic Typesetting"/>
          <w:sz w:val="34"/>
          <w:szCs w:val="34"/>
          <w:rtl/>
        </w:rPr>
        <w:t>2016 بالسنوات السابقة للأسباب المذكورة أعلاه</w:t>
      </w:r>
      <w:r w:rsidRPr="0031289D">
        <w:rPr>
          <w:rFonts w:ascii="Arabic Typesetting" w:eastAsiaTheme="minorHAnsi" w:hAnsi="Arabic Typesetting" w:cs="Arabic Typesetting" w:hint="cs"/>
          <w:sz w:val="34"/>
          <w:szCs w:val="34"/>
          <w:rtl/>
        </w:rPr>
        <w:t xml:space="preserve"> </w:t>
      </w:r>
      <w:r w:rsidRPr="0031289D">
        <w:rPr>
          <w:rFonts w:ascii="Arabic Typesetting" w:eastAsiaTheme="minorHAnsi" w:hAnsi="Arabic Typesetting" w:cs="Arabic Typesetting"/>
          <w:sz w:val="34"/>
          <w:szCs w:val="34"/>
          <w:rtl/>
        </w:rPr>
        <w:t>(انظر التكلفة الإجمالية لمؤشر الإنتاج).</w:t>
      </w:r>
    </w:p>
    <w:p w14:paraId="3C1AEEE2" w14:textId="77777777" w:rsidR="0031289D" w:rsidRPr="0031289D" w:rsidRDefault="0031289D" w:rsidP="0031289D">
      <w:pPr>
        <w:keepNext/>
        <w:bidi/>
        <w:spacing w:after="240" w:line="360" w:lineRule="exact"/>
        <w:rPr>
          <w:rFonts w:ascii="Arabic Typesetting" w:eastAsiaTheme="minorHAnsi" w:hAnsi="Arabic Typesetting" w:cs="Arabic Typesetting"/>
          <w:bCs/>
          <w:sz w:val="36"/>
          <w:szCs w:val="36"/>
        </w:rPr>
      </w:pPr>
      <w:r w:rsidRPr="0031289D">
        <w:rPr>
          <w:rFonts w:ascii="Arabic Typesetting" w:eastAsiaTheme="minorHAnsi" w:hAnsi="Arabic Typesetting" w:cs="Arabic Typesetting" w:hint="cs"/>
          <w:bCs/>
          <w:sz w:val="36"/>
          <w:szCs w:val="36"/>
          <w:rtl/>
        </w:rPr>
        <w:lastRenderedPageBreak/>
        <w:t>رابعاً.</w:t>
      </w:r>
      <w:r w:rsidRPr="0031289D">
        <w:rPr>
          <w:rFonts w:ascii="Arabic Typesetting" w:eastAsiaTheme="minorHAnsi" w:hAnsi="Arabic Typesetting" w:cs="Arabic Typesetting"/>
          <w:bCs/>
          <w:sz w:val="36"/>
          <w:szCs w:val="36"/>
          <w:rtl/>
        </w:rPr>
        <w:tab/>
        <w:t>توقيت معالجة الطلبات الدولية</w:t>
      </w:r>
    </w:p>
    <w:p w14:paraId="704B2818" w14:textId="4BD6D7DD" w:rsidR="0031289D" w:rsidRPr="0031289D" w:rsidRDefault="0031289D" w:rsidP="00D80095">
      <w:pPr>
        <w:keepNext/>
        <w:numPr>
          <w:ilvl w:val="0"/>
          <w:numId w:val="102"/>
        </w:numPr>
        <w:bidi/>
        <w:spacing w:after="240" w:line="360" w:lineRule="exact"/>
        <w:ind w:left="567" w:hanging="567"/>
        <w:jc w:val="both"/>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 xml:space="preserve">يبين هذا المؤشر الوقت اللازم للمكتب الدولي كي يعالج الطلبات </w:t>
      </w:r>
      <w:r w:rsidR="00D80095">
        <w:rPr>
          <w:rFonts w:ascii="Arabic Typesetting" w:eastAsiaTheme="minorHAnsi" w:hAnsi="Arabic Typesetting" w:cs="Arabic Typesetting" w:hint="cs"/>
          <w:sz w:val="34"/>
          <w:szCs w:val="34"/>
          <w:rtl/>
        </w:rPr>
        <w:t>الصحيحة</w:t>
      </w:r>
      <w:r w:rsidRPr="0031289D">
        <w:rPr>
          <w:rFonts w:ascii="Arabic Typesetting" w:eastAsiaTheme="minorHAnsi" w:hAnsi="Arabic Typesetting" w:cs="Arabic Typesetting"/>
          <w:sz w:val="34"/>
          <w:szCs w:val="34"/>
          <w:rtl/>
        </w:rPr>
        <w:t>.</w:t>
      </w:r>
      <w:r w:rsidRPr="0031289D">
        <w:rPr>
          <w:rFonts w:ascii="Arabic Typesetting" w:eastAsiaTheme="minorHAnsi" w:hAnsi="Arabic Typesetting" w:cs="Arabic Typesetting" w:hint="cs"/>
          <w:sz w:val="34"/>
          <w:szCs w:val="34"/>
          <w:rtl/>
        </w:rPr>
        <w:t xml:space="preserve"> </w:t>
      </w:r>
      <w:r w:rsidRPr="0031289D">
        <w:rPr>
          <w:rFonts w:ascii="Arabic Typesetting" w:eastAsiaTheme="minorHAnsi" w:hAnsi="Arabic Typesetting" w:cs="Arabic Typesetting"/>
          <w:sz w:val="34"/>
          <w:szCs w:val="34"/>
          <w:rtl/>
        </w:rPr>
        <w:t>وتحدد المدة بحساب الوقت المستغرق من تاريخ استلام الطلب إلى تاريخ تسجيله.</w:t>
      </w:r>
    </w:p>
    <w:p w14:paraId="0E4E1250" w14:textId="4BDA47D5" w:rsidR="0031289D" w:rsidRPr="0031289D" w:rsidRDefault="00D80095" w:rsidP="0031289D">
      <w:pPr>
        <w:bidi/>
        <w:spacing w:after="240" w:line="276" w:lineRule="auto"/>
        <w:jc w:val="center"/>
        <w:rPr>
          <w:rFonts w:ascii="Arabic Typesetting" w:eastAsiaTheme="minorHAnsi" w:hAnsi="Arabic Typesetting" w:cs="Arabic Typesetting"/>
          <w:sz w:val="34"/>
          <w:szCs w:val="34"/>
        </w:rPr>
      </w:pPr>
      <w:r>
        <w:rPr>
          <w:rFonts w:ascii="Arabic Typesetting" w:eastAsiaTheme="minorHAnsi" w:hAnsi="Arabic Typesetting" w:cs="Arabic Typesetting"/>
          <w:noProof/>
          <w:sz w:val="34"/>
          <w:szCs w:val="34"/>
        </w:rPr>
        <w:drawing>
          <wp:inline distT="0" distB="0" distL="0" distR="0" wp14:anchorId="2B740BA2" wp14:editId="0ABE7B80">
            <wp:extent cx="4960826" cy="305115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64502" cy="3053413"/>
                    </a:xfrm>
                    <a:prstGeom prst="rect">
                      <a:avLst/>
                    </a:prstGeom>
                    <a:noFill/>
                  </pic:spPr>
                </pic:pic>
              </a:graphicData>
            </a:graphic>
          </wp:inline>
        </w:drawing>
      </w:r>
    </w:p>
    <w:p w14:paraId="6421489F" w14:textId="7777777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 xml:space="preserve">في عام 2016، انخفضت </w:t>
      </w:r>
      <w:r w:rsidRPr="0031289D">
        <w:rPr>
          <w:rFonts w:ascii="Arabic Typesetting" w:eastAsiaTheme="minorHAnsi" w:hAnsi="Arabic Typesetting" w:cs="Arabic Typesetting" w:hint="cs"/>
          <w:sz w:val="34"/>
          <w:szCs w:val="34"/>
          <w:rtl/>
        </w:rPr>
        <w:t>نسبة</w:t>
      </w:r>
      <w:r w:rsidRPr="0031289D">
        <w:rPr>
          <w:rFonts w:ascii="Arabic Typesetting" w:eastAsiaTheme="minorHAnsi" w:hAnsi="Arabic Typesetting" w:cs="Arabic Typesetting"/>
          <w:sz w:val="34"/>
          <w:szCs w:val="34"/>
          <w:rtl/>
        </w:rPr>
        <w:t xml:space="preserve"> الطلبات العادية التي تمت معالجتها في أقل من أسبوع واحد إلى 20 في المائة، مقارنة بنسبة 45 في المائة في عام 2014، مما يعكس زيادة التعقيد المشار إليه في القسم الثاني أعلاه.</w:t>
      </w:r>
    </w:p>
    <w:p w14:paraId="6BEBF97D" w14:textId="77777777" w:rsidR="0031289D" w:rsidRPr="0031289D" w:rsidRDefault="0031289D" w:rsidP="00D94CDB">
      <w:pPr>
        <w:numPr>
          <w:ilvl w:val="0"/>
          <w:numId w:val="100"/>
        </w:numPr>
        <w:tabs>
          <w:tab w:val="clear" w:pos="720"/>
        </w:tabs>
        <w:bidi/>
        <w:spacing w:after="240" w:line="360" w:lineRule="exact"/>
        <w:ind w:left="1134" w:hanging="567"/>
        <w:rPr>
          <w:rFonts w:ascii="Arabic Typesetting" w:eastAsiaTheme="minorHAnsi" w:hAnsi="Arabic Typesetting" w:cs="Arabic Typesetting"/>
          <w:sz w:val="34"/>
          <w:szCs w:val="34"/>
        </w:rPr>
      </w:pPr>
      <w:r w:rsidRPr="0031289D">
        <w:rPr>
          <w:rFonts w:ascii="Arabic Typesetting" w:eastAsiaTheme="minorHAnsi" w:hAnsi="Arabic Typesetting" w:cs="Arabic Typesetting" w:hint="cs"/>
          <w:sz w:val="34"/>
          <w:szCs w:val="34"/>
          <w:rtl/>
          <w:lang w:bidi="ar-EG"/>
        </w:rPr>
        <w:t>و</w:t>
      </w:r>
      <w:r w:rsidRPr="0031289D">
        <w:rPr>
          <w:rFonts w:ascii="Arabic Typesetting" w:eastAsiaTheme="minorHAnsi" w:hAnsi="Arabic Typesetting" w:cs="Arabic Typesetting"/>
          <w:sz w:val="34"/>
          <w:szCs w:val="34"/>
          <w:rtl/>
        </w:rPr>
        <w:t xml:space="preserve">في عام 2016، تمت معالجة 78 في المائة من الطلبات في غضون ثلاثة أسابيع </w:t>
      </w:r>
      <w:r w:rsidRPr="0031289D">
        <w:rPr>
          <w:rFonts w:ascii="Arabic Typesetting" w:eastAsiaTheme="minorHAnsi" w:hAnsi="Arabic Typesetting" w:cs="Arabic Typesetting" w:hint="cs"/>
          <w:sz w:val="34"/>
          <w:szCs w:val="34"/>
          <w:rtl/>
        </w:rPr>
        <w:t xml:space="preserve">بدءاً </w:t>
      </w:r>
      <w:r w:rsidRPr="0031289D">
        <w:rPr>
          <w:rFonts w:ascii="Arabic Typesetting" w:eastAsiaTheme="minorHAnsi" w:hAnsi="Arabic Typesetting" w:cs="Arabic Typesetting"/>
          <w:sz w:val="34"/>
          <w:szCs w:val="34"/>
          <w:rtl/>
        </w:rPr>
        <w:t xml:space="preserve">من تاريخ استلامها </w:t>
      </w:r>
      <w:r w:rsidRPr="0031289D">
        <w:rPr>
          <w:rFonts w:ascii="Arabic Typesetting" w:eastAsiaTheme="minorHAnsi" w:hAnsi="Arabic Typesetting" w:cs="Arabic Typesetting" w:hint="cs"/>
          <w:sz w:val="34"/>
          <w:szCs w:val="34"/>
          <w:rtl/>
        </w:rPr>
        <w:t xml:space="preserve">في </w:t>
      </w:r>
      <w:r w:rsidRPr="0031289D">
        <w:rPr>
          <w:rFonts w:ascii="Arabic Typesetting" w:eastAsiaTheme="minorHAnsi" w:hAnsi="Arabic Typesetting" w:cs="Arabic Typesetting"/>
          <w:sz w:val="34"/>
          <w:szCs w:val="34"/>
          <w:rtl/>
        </w:rPr>
        <w:t>المكتب</w:t>
      </w:r>
      <w:r w:rsidRPr="0031289D">
        <w:rPr>
          <w:rFonts w:ascii="Arabic Typesetting" w:eastAsiaTheme="minorHAnsi" w:hAnsi="Arabic Typesetting" w:cs="Arabic Typesetting"/>
          <w:sz w:val="34"/>
          <w:szCs w:val="34"/>
        </w:rPr>
        <w:t> </w:t>
      </w:r>
      <w:r w:rsidRPr="0031289D">
        <w:rPr>
          <w:rFonts w:ascii="Arabic Typesetting" w:eastAsiaTheme="minorHAnsi" w:hAnsi="Arabic Typesetting" w:cs="Arabic Typesetting"/>
          <w:sz w:val="34"/>
          <w:szCs w:val="34"/>
          <w:rtl/>
        </w:rPr>
        <w:t>الدولي.</w:t>
      </w:r>
    </w:p>
    <w:p w14:paraId="56CF28AB" w14:textId="6AEB168E" w:rsidR="0031289D" w:rsidRPr="0031289D" w:rsidRDefault="0031289D" w:rsidP="0031289D">
      <w:pPr>
        <w:bidi/>
        <w:spacing w:after="240" w:line="360" w:lineRule="exact"/>
        <w:ind w:hanging="11"/>
        <w:jc w:val="right"/>
        <w:rPr>
          <w:rFonts w:ascii="Arabic Typesetting" w:eastAsiaTheme="minorHAnsi" w:hAnsi="Arabic Typesetting" w:cs="Arabic Typesetting"/>
          <w:sz w:val="34"/>
          <w:szCs w:val="34"/>
        </w:rPr>
      </w:pPr>
      <w:r w:rsidRPr="0031289D">
        <w:rPr>
          <w:rFonts w:ascii="Arabic Typesetting" w:eastAsiaTheme="minorHAnsi" w:hAnsi="Arabic Typesetting" w:cs="Arabic Typesetting"/>
          <w:sz w:val="34"/>
          <w:szCs w:val="34"/>
          <w:rtl/>
        </w:rPr>
        <w:t>[نهاية المرفق]</w:t>
      </w:r>
    </w:p>
    <w:p w14:paraId="0250C1AC" w14:textId="77777777" w:rsidR="0027026F" w:rsidRPr="000B74B5" w:rsidRDefault="0027026F" w:rsidP="00DA7DF7">
      <w:pPr>
        <w:pStyle w:val="Heading3"/>
        <w:ind w:left="1984" w:hanging="1984"/>
        <w:rPr>
          <w:lang w:val="en-US"/>
        </w:rPr>
      </w:pPr>
      <w:bookmarkStart w:id="24" w:name="_Toc482782751"/>
      <w:r w:rsidRPr="007F48E5">
        <w:rPr>
          <w:rtl/>
        </w:rPr>
        <w:lastRenderedPageBreak/>
        <w:t>البرنامج</w:t>
      </w:r>
      <w:r w:rsidRPr="007F48E5">
        <w:rPr>
          <w:rFonts w:hint="cs"/>
          <w:rtl/>
        </w:rPr>
        <w:t xml:space="preserve"> 32:</w:t>
      </w:r>
      <w:r w:rsidRPr="000B74B5">
        <w:rPr>
          <w:lang w:val="en-US"/>
        </w:rPr>
        <w:tab/>
      </w:r>
      <w:r w:rsidRPr="007F48E5">
        <w:rPr>
          <w:rFonts w:hint="cs"/>
          <w:rtl/>
        </w:rPr>
        <w:t>نظام لشبونة</w:t>
      </w:r>
      <w:bookmarkEnd w:id="24"/>
    </w:p>
    <w:p w14:paraId="6F22A532" w14:textId="77777777" w:rsidR="0027026F" w:rsidRPr="00653124" w:rsidRDefault="0027026F" w:rsidP="0027026F">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w:t>
      </w:r>
      <w:r>
        <w:rPr>
          <w:rFonts w:ascii="Arabic Typesetting" w:hAnsi="Arabic Typesetting" w:cs="Arabic Typesetting" w:hint="cs"/>
          <w:b/>
          <w:bCs/>
          <w:sz w:val="36"/>
          <w:szCs w:val="36"/>
          <w:rtl/>
          <w:lang w:val="fr-CH"/>
        </w:rPr>
        <w:t>ة</w:t>
      </w:r>
      <w:r w:rsidRPr="00FE3908">
        <w:rPr>
          <w:rFonts w:ascii="Arabic Typesetting" w:hAnsi="Arabic Typesetting" w:cs="Arabic Typesetting"/>
          <w:b/>
          <w:bCs/>
          <w:sz w:val="36"/>
          <w:szCs w:val="36"/>
          <w:rtl/>
          <w:lang w:val="fr-CH"/>
        </w:rPr>
        <w:t xml:space="preserve"> عن البرنامج</w:t>
      </w:r>
      <w:r w:rsidRPr="00FE3908">
        <w:rPr>
          <w:rFonts w:ascii="Arabic Typesetting" w:hAnsi="Arabic Typesetting" w:cs="Arabic Typesetting" w:hint="cs"/>
          <w:b/>
          <w:bCs/>
          <w:sz w:val="36"/>
          <w:szCs w:val="36"/>
          <w:rtl/>
          <w:lang w:val="fr-CH"/>
        </w:rPr>
        <w:t>:</w:t>
      </w:r>
      <w:r w:rsidRPr="000B74B5">
        <w:rPr>
          <w:rFonts w:ascii="Arabic Typesetting" w:hAnsi="Arabic Typesetting" w:cs="Arabic Typesetting"/>
          <w:b/>
          <w:bCs/>
          <w:sz w:val="36"/>
          <w:szCs w:val="36"/>
        </w:rPr>
        <w:tab/>
      </w:r>
      <w:r w:rsidRPr="00653124">
        <w:rPr>
          <w:rFonts w:ascii="Arabic Typesetting" w:hAnsi="Arabic Typesetting" w:cs="Arabic Typesetting"/>
          <w:b/>
          <w:bCs/>
          <w:sz w:val="36"/>
          <w:szCs w:val="36"/>
          <w:rtl/>
          <w:lang w:val="fr-CH"/>
        </w:rPr>
        <w:t>السيدة بينينغ وانغ</w:t>
      </w:r>
    </w:p>
    <w:p w14:paraId="1F286B78" w14:textId="332EE0C0" w:rsidR="0027026F" w:rsidRDefault="007B75FB" w:rsidP="0027026F">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4A07AA40" wp14:editId="36993FA7">
            <wp:extent cx="3577718" cy="21600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5027" w:type="pct"/>
        <w:tblInd w:w="58" w:type="dxa"/>
        <w:tblLayout w:type="fixed"/>
        <w:tblCellMar>
          <w:left w:w="115" w:type="dxa"/>
          <w:right w:w="115" w:type="dxa"/>
        </w:tblCellMar>
        <w:tblLook w:val="0000" w:firstRow="0" w:lastRow="0" w:firstColumn="0" w:lastColumn="0" w:noHBand="0" w:noVBand="0"/>
      </w:tblPr>
      <w:tblGrid>
        <w:gridCol w:w="2139"/>
        <w:gridCol w:w="2963"/>
        <w:gridCol w:w="1558"/>
        <w:gridCol w:w="2127"/>
        <w:gridCol w:w="735"/>
      </w:tblGrid>
      <w:tr w:rsidR="0027026F" w:rsidRPr="00653124" w14:paraId="26BED0A5" w14:textId="77777777" w:rsidTr="004B40B5">
        <w:trPr>
          <w:trHeight w:val="565"/>
        </w:trPr>
        <w:tc>
          <w:tcPr>
            <w:tcW w:w="5000" w:type="pct"/>
            <w:gridSpan w:val="5"/>
            <w:shd w:val="clear" w:color="auto" w:fill="C6D9F1"/>
            <w:tcMar>
              <w:left w:w="58" w:type="dxa"/>
              <w:right w:w="58" w:type="dxa"/>
            </w:tcMar>
            <w:vAlign w:val="center"/>
          </w:tcPr>
          <w:p w14:paraId="6CAF939D" w14:textId="77777777" w:rsidR="0027026F" w:rsidRPr="00653124" w:rsidRDefault="0027026F" w:rsidP="004B40B5">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653124">
              <w:rPr>
                <w:rFonts w:ascii="Arabic Typesetting" w:eastAsia="Arabic Typesetting" w:hAnsi="Arabic Typesetting" w:cs="Arabic Typesetting"/>
                <w:b/>
                <w:bCs/>
                <w:sz w:val="28"/>
                <w:szCs w:val="28"/>
                <w:rtl/>
                <w:lang w:eastAsia="ar-EG" w:bidi="ar-EG"/>
              </w:rPr>
              <w:t>‏النتيجة المرتقبة:</w:t>
            </w:r>
            <w:r w:rsidRPr="00653124">
              <w:rPr>
                <w:rFonts w:ascii="Arabic Typesetting" w:eastAsia="Arabic Typesetting" w:hAnsi="Arabic Typesetting" w:cs="Arabic Typesetting"/>
                <w:sz w:val="28"/>
                <w:szCs w:val="28"/>
                <w:lang w:eastAsia="ar-EG" w:bidi="ar-EG"/>
              </w:rPr>
              <w:tab/>
            </w:r>
            <w:r w:rsidRPr="00653124">
              <w:rPr>
                <w:rFonts w:ascii="Arabic Typesetting" w:eastAsia="Arabic Typesetting" w:hAnsi="Arabic Typesetting" w:cs="Arabic Typesetting"/>
                <w:color w:val="000000"/>
                <w:sz w:val="28"/>
                <w:szCs w:val="28"/>
                <w:rtl/>
                <w:lang w:eastAsia="ar-EG" w:bidi="ar-EG"/>
              </w:rPr>
              <w:t>ه10.2 استخدام نظام لشبونة على نطاق أوسع وبفعالية أكبر، بما في ذلك من قبل البلدان النامية والبلدان الأقل نموا</w:t>
            </w:r>
          </w:p>
        </w:tc>
      </w:tr>
      <w:tr w:rsidR="0027026F" w:rsidRPr="00653124" w14:paraId="2A7DD50D" w14:textId="77777777" w:rsidTr="004B40B5">
        <w:tc>
          <w:tcPr>
            <w:tcW w:w="1123" w:type="pct"/>
            <w:shd w:val="clear" w:color="auto" w:fill="auto"/>
            <w:tcMar>
              <w:left w:w="58" w:type="dxa"/>
              <w:right w:w="58" w:type="dxa"/>
            </w:tcMar>
            <w:vAlign w:val="center"/>
          </w:tcPr>
          <w:p w14:paraId="0156FEEB" w14:textId="77777777" w:rsidR="0027026F" w:rsidRPr="00653124" w:rsidRDefault="0027026F" w:rsidP="004B40B5">
            <w:pPr>
              <w:keepNext/>
              <w:bidi/>
              <w:spacing w:after="60" w:line="280" w:lineRule="exact"/>
              <w:rPr>
                <w:rFonts w:ascii="Arabic Typesetting" w:eastAsia="Arabic Typesetting" w:hAnsi="Arabic Typesetting" w:cs="Arabic Typesetting"/>
                <w:b/>
                <w:bCs/>
                <w:sz w:val="28"/>
                <w:szCs w:val="28"/>
                <w:lang w:eastAsia="ar-EG" w:bidi="ar-EG"/>
              </w:rPr>
            </w:pPr>
            <w:r w:rsidRPr="00653124">
              <w:rPr>
                <w:rFonts w:ascii="Arabic Typesetting" w:eastAsia="Arabic Typesetting" w:hAnsi="Arabic Typesetting" w:cs="Arabic Typesetting"/>
                <w:b/>
                <w:bCs/>
                <w:sz w:val="28"/>
                <w:szCs w:val="28"/>
                <w:rtl/>
                <w:lang w:eastAsia="ar-EG" w:bidi="ar-EG"/>
              </w:rPr>
              <w:t>مؤشرات الأداء</w:t>
            </w:r>
          </w:p>
        </w:tc>
        <w:tc>
          <w:tcPr>
            <w:tcW w:w="1556" w:type="pct"/>
            <w:shd w:val="clear" w:color="auto" w:fill="auto"/>
            <w:tcMar>
              <w:left w:w="58" w:type="dxa"/>
              <w:right w:w="58" w:type="dxa"/>
            </w:tcMar>
            <w:vAlign w:val="center"/>
          </w:tcPr>
          <w:p w14:paraId="017E40F6" w14:textId="77777777" w:rsidR="0027026F" w:rsidRPr="00653124" w:rsidRDefault="0027026F" w:rsidP="004B40B5">
            <w:pPr>
              <w:bidi/>
              <w:spacing w:after="60" w:line="280" w:lineRule="exact"/>
              <w:rPr>
                <w:rFonts w:ascii="Arabic Typesetting" w:eastAsia="Arabic Typesetting" w:hAnsi="Arabic Typesetting" w:cs="Arabic Typesetting"/>
                <w:b/>
                <w:bCs/>
                <w:sz w:val="28"/>
                <w:szCs w:val="28"/>
                <w:lang w:eastAsia="ar-EG" w:bidi="ar-EG"/>
              </w:rPr>
            </w:pPr>
            <w:r w:rsidRPr="00653124">
              <w:rPr>
                <w:rFonts w:ascii="Arabic Typesetting" w:eastAsia="Arabic Typesetting" w:hAnsi="Arabic Typesetting" w:cs="Arabic Typesetting"/>
                <w:b/>
                <w:bCs/>
                <w:sz w:val="28"/>
                <w:szCs w:val="28"/>
                <w:rtl/>
                <w:lang w:eastAsia="ar-EG" w:bidi="ar-EG"/>
              </w:rPr>
              <w:t>أسس المقارنة</w:t>
            </w:r>
          </w:p>
        </w:tc>
        <w:tc>
          <w:tcPr>
            <w:tcW w:w="818" w:type="pct"/>
            <w:shd w:val="clear" w:color="auto" w:fill="auto"/>
            <w:tcMar>
              <w:top w:w="110" w:type="dxa"/>
              <w:left w:w="58" w:type="dxa"/>
              <w:right w:w="58" w:type="dxa"/>
            </w:tcMar>
            <w:vAlign w:val="center"/>
          </w:tcPr>
          <w:p w14:paraId="638ECAB3" w14:textId="77777777" w:rsidR="0027026F" w:rsidRPr="00653124" w:rsidRDefault="0027026F" w:rsidP="004B40B5">
            <w:pPr>
              <w:bidi/>
              <w:spacing w:after="60" w:line="280" w:lineRule="exact"/>
              <w:rPr>
                <w:rFonts w:ascii="Arabic Typesetting" w:eastAsia="Arabic Typesetting" w:hAnsi="Arabic Typesetting" w:cs="Arabic Typesetting"/>
                <w:b/>
                <w:bCs/>
                <w:sz w:val="28"/>
                <w:szCs w:val="28"/>
                <w:lang w:eastAsia="ar-EG" w:bidi="ar-EG"/>
              </w:rPr>
            </w:pPr>
            <w:r w:rsidRPr="00653124">
              <w:rPr>
                <w:rFonts w:ascii="Arabic Typesetting" w:eastAsia="Arabic Typesetting" w:hAnsi="Arabic Typesetting" w:cs="Arabic Typesetting"/>
                <w:b/>
                <w:bCs/>
                <w:sz w:val="28"/>
                <w:szCs w:val="28"/>
                <w:rtl/>
                <w:lang w:eastAsia="ar-EG" w:bidi="ar-EG"/>
              </w:rPr>
              <w:t>الأهداف</w:t>
            </w:r>
          </w:p>
        </w:tc>
        <w:tc>
          <w:tcPr>
            <w:tcW w:w="1117" w:type="pct"/>
            <w:shd w:val="clear" w:color="auto" w:fill="FFFFFF"/>
            <w:tcMar>
              <w:top w:w="110" w:type="dxa"/>
              <w:left w:w="58" w:type="dxa"/>
              <w:right w:w="58" w:type="dxa"/>
            </w:tcMar>
            <w:vAlign w:val="center"/>
          </w:tcPr>
          <w:p w14:paraId="7803163E" w14:textId="77777777" w:rsidR="0027026F" w:rsidRPr="00653124" w:rsidRDefault="0027026F" w:rsidP="004B40B5">
            <w:pPr>
              <w:bidi/>
              <w:spacing w:after="60" w:line="280" w:lineRule="exact"/>
              <w:rPr>
                <w:rFonts w:ascii="Arabic Typesetting" w:eastAsia="Arabic Typesetting" w:hAnsi="Arabic Typesetting" w:cs="Arabic Typesetting"/>
                <w:b/>
                <w:bCs/>
                <w:sz w:val="28"/>
                <w:szCs w:val="28"/>
                <w:lang w:eastAsia="ar-EG" w:bidi="ar-EG"/>
              </w:rPr>
            </w:pPr>
            <w:r w:rsidRPr="00653124">
              <w:rPr>
                <w:rFonts w:ascii="Arabic Typesetting" w:eastAsia="Arabic Typesetting" w:hAnsi="Arabic Typesetting" w:cs="Arabic Typesetting"/>
                <w:b/>
                <w:bCs/>
                <w:sz w:val="28"/>
                <w:szCs w:val="28"/>
                <w:rtl/>
                <w:lang w:eastAsia="ar-EG" w:bidi="ar-EG"/>
              </w:rPr>
              <w:t>بيانات الأداء</w:t>
            </w:r>
          </w:p>
        </w:tc>
        <w:tc>
          <w:tcPr>
            <w:tcW w:w="386" w:type="pct"/>
            <w:shd w:val="clear" w:color="auto" w:fill="auto"/>
            <w:tcMar>
              <w:top w:w="110" w:type="dxa"/>
              <w:left w:w="58" w:type="dxa"/>
              <w:right w:w="58" w:type="dxa"/>
            </w:tcMar>
            <w:vAlign w:val="center"/>
          </w:tcPr>
          <w:p w14:paraId="2979389E" w14:textId="77777777" w:rsidR="0027026F" w:rsidRPr="00653124" w:rsidRDefault="0027026F" w:rsidP="004B40B5">
            <w:pPr>
              <w:bidi/>
              <w:spacing w:after="6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27026F" w:rsidRPr="00653124" w14:paraId="315372DE" w14:textId="77777777" w:rsidTr="004B40B5">
        <w:trPr>
          <w:trHeight w:val="1493"/>
        </w:trPr>
        <w:tc>
          <w:tcPr>
            <w:tcW w:w="1123" w:type="pct"/>
            <w:shd w:val="clear" w:color="auto" w:fill="auto"/>
            <w:tcMar>
              <w:left w:w="58" w:type="dxa"/>
              <w:right w:w="58" w:type="dxa"/>
            </w:tcMar>
          </w:tcPr>
          <w:p w14:paraId="38630A6C"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توسيع نطاق التغطية الجغرافية لنظام لشبونة</w:t>
            </w:r>
          </w:p>
        </w:tc>
        <w:tc>
          <w:tcPr>
            <w:tcW w:w="1556" w:type="pct"/>
            <w:shd w:val="clear" w:color="auto" w:fill="auto"/>
            <w:tcMar>
              <w:left w:w="58" w:type="dxa"/>
              <w:right w:w="58" w:type="dxa"/>
            </w:tcMar>
          </w:tcPr>
          <w:p w14:paraId="4A939BA3" w14:textId="77777777" w:rsidR="0027026F"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65312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53124">
              <w:rPr>
                <w:rFonts w:ascii="Arabic Typesetting" w:eastAsia="Arabic Typesetting" w:hAnsi="Arabic Typesetting" w:cs="Arabic Typesetting"/>
                <w:color w:val="002060"/>
                <w:sz w:val="28"/>
                <w:szCs w:val="28"/>
                <w:rtl/>
                <w:lang w:eastAsia="ar-EG" w:bidi="ar-EG"/>
              </w:rPr>
              <w:t>عدم انضمام أي أطراف متعاقدة جديدة (</w:t>
            </w:r>
            <w:r>
              <w:rPr>
                <w:rFonts w:ascii="Arabic Typesetting" w:eastAsia="Arabic Typesetting" w:hAnsi="Arabic Typesetting" w:cs="Arabic Typesetting" w:hint="cs"/>
                <w:color w:val="002060"/>
                <w:sz w:val="28"/>
                <w:szCs w:val="28"/>
                <w:rtl/>
                <w:lang w:eastAsia="ar-EG" w:bidi="ar-EG"/>
              </w:rPr>
              <w:t>صفر</w:t>
            </w:r>
            <w:r>
              <w:rPr>
                <w:rFonts w:ascii="Arabic Typesetting" w:eastAsia="Arabic Typesetting" w:hAnsi="Arabic Typesetting" w:cs="Arabic Typesetting"/>
                <w:color w:val="002060"/>
                <w:sz w:val="28"/>
                <w:szCs w:val="28"/>
                <w:rtl/>
                <w:lang w:eastAsia="ar-EG" w:bidi="ar-EG"/>
              </w:rPr>
              <w:t>)</w:t>
            </w:r>
          </w:p>
          <w:p w14:paraId="1BC6A438" w14:textId="77777777" w:rsidR="0027026F" w:rsidRPr="00653124" w:rsidRDefault="0027026F" w:rsidP="004B40B5">
            <w:pPr>
              <w:bidi/>
              <w:spacing w:after="6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653124">
              <w:rPr>
                <w:rFonts w:ascii="Arabic Typesetting" w:eastAsia="Arabic Typesetting" w:hAnsi="Arabic Typesetting" w:cs="Arabic Typesetting"/>
                <w:i/>
                <w:iCs/>
                <w:sz w:val="28"/>
                <w:szCs w:val="28"/>
                <w:rtl/>
                <w:lang w:eastAsia="ar-EG" w:bidi="ar-EG"/>
              </w:rPr>
              <w:t>:</w:t>
            </w:r>
            <w:r w:rsidRPr="00653124">
              <w:rPr>
                <w:rFonts w:ascii="Arabic Typesetting" w:eastAsia="Arabic Typesetting" w:hAnsi="Arabic Typesetting" w:cs="Arabic Typesetting"/>
                <w:i/>
                <w:sz w:val="28"/>
                <w:szCs w:val="28"/>
                <w:lang w:eastAsia="ar-EG" w:bidi="ar-EG"/>
              </w:rPr>
              <w:br/>
            </w:r>
            <w:r w:rsidRPr="00653124">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653124">
              <w:rPr>
                <w:rFonts w:ascii="Arabic Typesetting" w:eastAsia="Arabic Typesetting" w:hAnsi="Arabic Typesetting" w:cs="Arabic Typesetting"/>
                <w:color w:val="000000"/>
                <w:sz w:val="28"/>
                <w:szCs w:val="28"/>
                <w:rtl/>
                <w:lang w:eastAsia="ar-EG" w:bidi="ar-EG"/>
              </w:rPr>
              <w:t>عدد الأطراف المتعاقدة بموجب وثيقة</w:t>
            </w:r>
            <w:r>
              <w:rPr>
                <w:rFonts w:ascii="Arabic Typesetting" w:eastAsia="Arabic Typesetting" w:hAnsi="Arabic Typesetting" w:cs="Arabic Typesetting" w:hint="cs"/>
                <w:color w:val="000000"/>
                <w:sz w:val="28"/>
                <w:szCs w:val="28"/>
                <w:rtl/>
                <w:lang w:eastAsia="ar-EG" w:bidi="ar-EG"/>
              </w:rPr>
              <w:t> </w:t>
            </w:r>
            <w:r w:rsidRPr="00653124">
              <w:rPr>
                <w:rFonts w:ascii="Arabic Typesetting" w:eastAsia="Arabic Typesetting" w:hAnsi="Arabic Typesetting" w:cs="Arabic Typesetting"/>
                <w:color w:val="000000"/>
                <w:sz w:val="28"/>
                <w:szCs w:val="28"/>
                <w:rtl/>
                <w:lang w:eastAsia="ar-EG" w:bidi="ar-EG"/>
              </w:rPr>
              <w:t>جنيف في نهاية عام 2015</w:t>
            </w:r>
          </w:p>
        </w:tc>
        <w:tc>
          <w:tcPr>
            <w:tcW w:w="818" w:type="pct"/>
            <w:shd w:val="clear" w:color="auto" w:fill="auto"/>
            <w:tcMar>
              <w:top w:w="110" w:type="dxa"/>
              <w:left w:w="58" w:type="dxa"/>
              <w:right w:w="58" w:type="dxa"/>
            </w:tcMar>
          </w:tcPr>
          <w:p w14:paraId="2E96B051"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ما يصل إلى 5 أطراف متعاقدة بموجب وثيقة جنيف بحلول نهاية عام</w:t>
            </w:r>
            <w:r>
              <w:rPr>
                <w:rFonts w:ascii="Arabic Typesetting" w:eastAsia="Arabic Typesetting" w:hAnsi="Arabic Typesetting" w:cs="Arabic Typesetting" w:hint="cs"/>
                <w:color w:val="000000"/>
                <w:sz w:val="28"/>
                <w:szCs w:val="28"/>
                <w:rtl/>
                <w:lang w:eastAsia="ar-EG" w:bidi="ar-EG"/>
              </w:rPr>
              <w:t> </w:t>
            </w:r>
            <w:r w:rsidRPr="00653124">
              <w:rPr>
                <w:rFonts w:ascii="Arabic Typesetting" w:eastAsia="Arabic Typesetting" w:hAnsi="Arabic Typesetting" w:cs="Arabic Typesetting"/>
                <w:color w:val="000000"/>
                <w:sz w:val="28"/>
                <w:szCs w:val="28"/>
                <w:rtl/>
                <w:lang w:eastAsia="ar-EG" w:bidi="ar-EG"/>
              </w:rPr>
              <w:t>2017</w:t>
            </w:r>
          </w:p>
        </w:tc>
        <w:tc>
          <w:tcPr>
            <w:tcW w:w="1117" w:type="pct"/>
            <w:shd w:val="clear" w:color="auto" w:fill="FFFFFF"/>
            <w:tcMar>
              <w:top w:w="110" w:type="dxa"/>
              <w:left w:w="58" w:type="dxa"/>
              <w:right w:w="58" w:type="dxa"/>
            </w:tcMar>
          </w:tcPr>
          <w:p w14:paraId="65F6E133"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عدم انضمام أي أطراف متعاقدة جديدة</w:t>
            </w:r>
          </w:p>
        </w:tc>
        <w:tc>
          <w:tcPr>
            <w:tcW w:w="386" w:type="pct"/>
            <w:shd w:val="clear" w:color="auto" w:fill="auto"/>
            <w:tcMar>
              <w:top w:w="110" w:type="dxa"/>
              <w:left w:w="58" w:type="dxa"/>
              <w:right w:w="58" w:type="dxa"/>
            </w:tcMar>
          </w:tcPr>
          <w:p w14:paraId="4B2A5032" w14:textId="77777777" w:rsidR="0027026F" w:rsidRPr="00653124" w:rsidRDefault="0027026F" w:rsidP="004B40B5">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653124">
              <w:rPr>
                <w:rFonts w:ascii="Arabic Typesetting" w:eastAsia="Arabic Typesetting" w:hAnsi="Arabic Typesetting" w:cs="Arabic Typesetting"/>
                <w:b/>
                <w:bCs/>
                <w:color w:val="FF0000"/>
                <w:sz w:val="28"/>
                <w:szCs w:val="28"/>
                <w:rtl/>
                <w:lang w:eastAsia="ar-EG" w:bidi="ar-EG"/>
              </w:rPr>
              <w:t>غير ثابت</w:t>
            </w:r>
          </w:p>
        </w:tc>
      </w:tr>
      <w:tr w:rsidR="0027026F" w:rsidRPr="00653124" w14:paraId="5040F656" w14:textId="77777777" w:rsidTr="004B40B5">
        <w:trPr>
          <w:trHeight w:val="1195"/>
        </w:trPr>
        <w:tc>
          <w:tcPr>
            <w:tcW w:w="1123" w:type="pct"/>
            <w:shd w:val="clear" w:color="auto" w:fill="auto"/>
            <w:tcMar>
              <w:left w:w="58" w:type="dxa"/>
              <w:right w:w="58" w:type="dxa"/>
            </w:tcMar>
          </w:tcPr>
          <w:p w14:paraId="696A8D48"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النسبة المئوية للمشاركين في تظاهرات نظام لشبونة الذين يعبرون عن رضاهم ويبلغون ع</w:t>
            </w:r>
            <w:r>
              <w:rPr>
                <w:rFonts w:ascii="Arabic Typesetting" w:eastAsia="Arabic Typesetting" w:hAnsi="Arabic Typesetting" w:cs="Arabic Typesetting"/>
                <w:color w:val="000000"/>
                <w:sz w:val="28"/>
                <w:szCs w:val="28"/>
                <w:rtl/>
                <w:lang w:eastAsia="ar-EG" w:bidi="ar-EG"/>
              </w:rPr>
              <w:t>ن زيادة وعيهم بعد حضور التظاهرة</w:t>
            </w:r>
          </w:p>
        </w:tc>
        <w:tc>
          <w:tcPr>
            <w:tcW w:w="1556" w:type="pct"/>
            <w:shd w:val="clear" w:color="auto" w:fill="auto"/>
            <w:tcMar>
              <w:left w:w="58" w:type="dxa"/>
              <w:right w:w="58" w:type="dxa"/>
            </w:tcMar>
          </w:tcPr>
          <w:p w14:paraId="37BAECCE" w14:textId="77777777" w:rsidR="0027026F"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65312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53124">
              <w:rPr>
                <w:rFonts w:ascii="Arabic Typesetting" w:eastAsia="Arabic Typesetting" w:hAnsi="Arabic Typesetting" w:cs="Arabic Typesetting"/>
                <w:color w:val="002060"/>
                <w:sz w:val="28"/>
                <w:szCs w:val="28"/>
                <w:rtl/>
                <w:lang w:eastAsia="ar-EG" w:bidi="ar-EG"/>
              </w:rPr>
              <w:t>7 تظاهرات إعلامية وترويجية في جميع المناطق رُكّز فيها بوجه خاص على نظام لشبونة، بما في ذلك مراجعته المزمعة، مع رضا المشاركين بنسبة 84%</w:t>
            </w:r>
          </w:p>
          <w:p w14:paraId="191B7906" w14:textId="77777777" w:rsidR="0027026F" w:rsidRPr="00653124" w:rsidRDefault="0027026F" w:rsidP="004B40B5">
            <w:pPr>
              <w:bidi/>
              <w:spacing w:after="6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653124">
              <w:rPr>
                <w:rFonts w:ascii="Arabic Typesetting" w:eastAsia="Arabic Typesetting" w:hAnsi="Arabic Typesetting" w:cs="Arabic Typesetting"/>
                <w:i/>
                <w:iCs/>
                <w:sz w:val="28"/>
                <w:szCs w:val="28"/>
                <w:rtl/>
                <w:lang w:eastAsia="ar-EG" w:bidi="ar-EG"/>
              </w:rPr>
              <w:t>:</w:t>
            </w:r>
            <w:r w:rsidRPr="00653124">
              <w:rPr>
                <w:rFonts w:ascii="Arabic Typesetting" w:eastAsia="Arabic Typesetting" w:hAnsi="Arabic Typesetting" w:cs="Arabic Typesetting"/>
                <w:i/>
                <w:sz w:val="28"/>
                <w:szCs w:val="28"/>
                <w:lang w:eastAsia="ar-EG" w:bidi="ar-EG"/>
              </w:rPr>
              <w:br/>
            </w:r>
            <w:r w:rsidRPr="00653124">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84% </w:t>
            </w:r>
            <w:r w:rsidRPr="00653124">
              <w:rPr>
                <w:rFonts w:ascii="Arabic Typesetting" w:eastAsia="Arabic Typesetting" w:hAnsi="Arabic Typesetting" w:cs="Arabic Typesetting"/>
                <w:color w:val="000000"/>
                <w:sz w:val="28"/>
                <w:szCs w:val="28"/>
                <w:rtl/>
                <w:lang w:eastAsia="ar-EG" w:bidi="ar-EG"/>
              </w:rPr>
              <w:t xml:space="preserve">من المشاركين في 5 تظاهرات </w:t>
            </w:r>
            <w:r>
              <w:rPr>
                <w:rFonts w:ascii="Arabic Typesetting" w:eastAsia="Arabic Typesetting" w:hAnsi="Arabic Typesetting" w:cs="Arabic Typesetting"/>
                <w:color w:val="000000"/>
                <w:sz w:val="28"/>
                <w:szCs w:val="28"/>
                <w:rtl/>
                <w:lang w:eastAsia="ar-EG" w:bidi="ar-EG"/>
              </w:rPr>
              <w:t>راضون (2014)</w:t>
            </w:r>
          </w:p>
        </w:tc>
        <w:tc>
          <w:tcPr>
            <w:tcW w:w="818" w:type="pct"/>
            <w:shd w:val="clear" w:color="auto" w:fill="auto"/>
            <w:tcMar>
              <w:top w:w="110" w:type="dxa"/>
              <w:left w:w="58" w:type="dxa"/>
              <w:right w:w="58" w:type="dxa"/>
            </w:tcMar>
          </w:tcPr>
          <w:p w14:paraId="4DFE9B05"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85% م</w:t>
            </w:r>
            <w:r w:rsidRPr="00653124">
              <w:rPr>
                <w:rFonts w:ascii="Arabic Typesetting" w:eastAsia="Arabic Typesetting" w:hAnsi="Arabic Typesetting" w:cs="Arabic Typesetting"/>
                <w:color w:val="000000"/>
                <w:sz w:val="28"/>
                <w:szCs w:val="28"/>
                <w:rtl/>
                <w:lang w:eastAsia="ar-EG" w:bidi="ar-EG"/>
              </w:rPr>
              <w:t>ن المشاركين راضون</w:t>
            </w:r>
          </w:p>
        </w:tc>
        <w:tc>
          <w:tcPr>
            <w:tcW w:w="1117" w:type="pct"/>
            <w:shd w:val="clear" w:color="auto" w:fill="FFFFFF"/>
            <w:tcMar>
              <w:top w:w="110" w:type="dxa"/>
              <w:left w:w="58" w:type="dxa"/>
              <w:right w:w="58" w:type="dxa"/>
            </w:tcMar>
          </w:tcPr>
          <w:p w14:paraId="3B8DDF5D"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12 تظاهرة رُكّز فيها بوجه خاص على نظام لشبونة، بما في ذلك أحدث مستجداته، مع رضا المشاركين بنسبة 86% (استقصاء في تظاهرة واحدة)</w:t>
            </w:r>
          </w:p>
        </w:tc>
        <w:tc>
          <w:tcPr>
            <w:tcW w:w="386" w:type="pct"/>
            <w:shd w:val="clear" w:color="auto" w:fill="auto"/>
            <w:tcMar>
              <w:top w:w="110" w:type="dxa"/>
              <w:left w:w="58" w:type="dxa"/>
              <w:right w:w="58" w:type="dxa"/>
            </w:tcMar>
          </w:tcPr>
          <w:p w14:paraId="4CBED6BD" w14:textId="77777777" w:rsidR="0027026F" w:rsidRPr="00653124" w:rsidRDefault="0027026F" w:rsidP="004B40B5">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653124">
              <w:rPr>
                <w:rFonts w:ascii="Arabic Typesetting" w:eastAsia="Arabic Typesetting" w:hAnsi="Arabic Typesetting" w:cs="Arabic Typesetting"/>
                <w:b/>
                <w:bCs/>
                <w:color w:val="00B050"/>
                <w:sz w:val="28"/>
                <w:szCs w:val="28"/>
                <w:rtl/>
                <w:lang w:eastAsia="ar-EG" w:bidi="ar-EG"/>
              </w:rPr>
              <w:t>ثابت</w:t>
            </w:r>
          </w:p>
        </w:tc>
      </w:tr>
      <w:tr w:rsidR="0027026F" w:rsidRPr="00653124" w14:paraId="6BD0DB98" w14:textId="77777777" w:rsidTr="004B40B5">
        <w:trPr>
          <w:trHeight w:val="159"/>
        </w:trPr>
        <w:tc>
          <w:tcPr>
            <w:tcW w:w="1123" w:type="pct"/>
            <w:shd w:val="clear" w:color="auto" w:fill="auto"/>
            <w:tcMar>
              <w:left w:w="58" w:type="dxa"/>
              <w:right w:w="58" w:type="dxa"/>
            </w:tcMar>
          </w:tcPr>
          <w:p w14:paraId="67372DBC"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عدد الطلبات الدولية وغيرها من المعاملات (لشبونة)</w:t>
            </w:r>
          </w:p>
        </w:tc>
        <w:tc>
          <w:tcPr>
            <w:tcW w:w="1556" w:type="pct"/>
            <w:shd w:val="clear" w:color="auto" w:fill="auto"/>
            <w:tcMar>
              <w:left w:w="58" w:type="dxa"/>
              <w:right w:w="58" w:type="dxa"/>
            </w:tcMar>
          </w:tcPr>
          <w:p w14:paraId="4AE28619" w14:textId="77777777" w:rsidR="0027026F"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65312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53124">
              <w:rPr>
                <w:rFonts w:ascii="Arabic Typesetting" w:eastAsia="Arabic Typesetting" w:hAnsi="Arabic Typesetting" w:cs="Arabic Typesetting"/>
                <w:color w:val="002060"/>
                <w:sz w:val="28"/>
                <w:szCs w:val="28"/>
                <w:rtl/>
                <w:lang w:eastAsia="ar-EG" w:bidi="ar-EG"/>
              </w:rPr>
              <w:t>259 معاملة في الثنائية 2014/15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653124">
              <w:rPr>
                <w:rFonts w:ascii="Arabic Typesetting" w:eastAsia="Arabic Typesetting" w:hAnsi="Arabic Typesetting" w:cs="Arabic Typesetting"/>
                <w:color w:val="002060"/>
                <w:sz w:val="28"/>
                <w:szCs w:val="28"/>
                <w:rtl/>
                <w:lang w:eastAsia="ar-EG" w:bidi="ar-EG"/>
              </w:rPr>
              <w:t>- 115 طلباً دولياً</w:t>
            </w:r>
            <w:r w:rsidRPr="00653124">
              <w:rPr>
                <w:rFonts w:ascii="Arabic Typesetting" w:eastAsia="Arabic Typesetting" w:hAnsi="Arabic Typesetting" w:cs="Arabic Typesetting"/>
                <w:color w:val="002060"/>
                <w:sz w:val="28"/>
                <w:szCs w:val="28"/>
                <w:lang w:eastAsia="ar-EG" w:bidi="ar-EG"/>
              </w:rPr>
              <w:br/>
            </w:r>
            <w:r w:rsidRPr="00653124">
              <w:rPr>
                <w:rFonts w:ascii="Arabic Typesetting" w:eastAsia="Arabic Typesetting" w:hAnsi="Arabic Typesetting" w:cs="Arabic Typesetting"/>
                <w:color w:val="002060"/>
                <w:sz w:val="28"/>
                <w:szCs w:val="28"/>
                <w:rtl/>
                <w:lang w:eastAsia="ar-EG" w:bidi="ar-EG"/>
              </w:rPr>
              <w:t>- 105 بيانات بمنح الحماية</w:t>
            </w:r>
            <w:r w:rsidRPr="00653124">
              <w:rPr>
                <w:rFonts w:ascii="Arabic Typesetting" w:eastAsia="Arabic Typesetting" w:hAnsi="Arabic Typesetting" w:cs="Arabic Typesetting"/>
                <w:color w:val="002060"/>
                <w:sz w:val="28"/>
                <w:szCs w:val="28"/>
                <w:lang w:eastAsia="ar-EG" w:bidi="ar-EG"/>
              </w:rPr>
              <w:br/>
            </w:r>
            <w:r w:rsidRPr="00653124">
              <w:rPr>
                <w:rFonts w:ascii="Arabic Typesetting" w:eastAsia="Arabic Typesetting" w:hAnsi="Arabic Typesetting" w:cs="Arabic Typesetting"/>
                <w:color w:val="002060"/>
                <w:sz w:val="28"/>
                <w:szCs w:val="28"/>
                <w:rtl/>
                <w:lang w:eastAsia="ar-EG" w:bidi="ar-EG"/>
              </w:rPr>
              <w:t>- 39 إعلان رفض</w:t>
            </w:r>
          </w:p>
          <w:p w14:paraId="6F3F5022"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653124">
              <w:rPr>
                <w:rFonts w:ascii="Arabic Typesetting" w:eastAsia="Arabic Typesetting" w:hAnsi="Arabic Typesetting" w:cs="Arabic Typesetting"/>
                <w:i/>
                <w:iCs/>
                <w:sz w:val="28"/>
                <w:szCs w:val="28"/>
                <w:rtl/>
                <w:lang w:eastAsia="ar-EG" w:bidi="ar-EG"/>
              </w:rPr>
              <w:t>:</w:t>
            </w:r>
            <w:r w:rsidRPr="00653124">
              <w:rPr>
                <w:rFonts w:ascii="Arabic Typesetting" w:eastAsia="Arabic Typesetting" w:hAnsi="Arabic Typesetting" w:cs="Arabic Typesetting"/>
                <w:i/>
                <w:sz w:val="28"/>
                <w:szCs w:val="28"/>
                <w:lang w:eastAsia="ar-EG" w:bidi="ar-EG"/>
              </w:rPr>
              <w:br/>
            </w:r>
            <w:r w:rsidRPr="00653124">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653124">
              <w:rPr>
                <w:rFonts w:ascii="Arabic Typesetting" w:eastAsia="Arabic Typesetting" w:hAnsi="Arabic Typesetting" w:cs="Arabic Typesetting"/>
                <w:color w:val="000000"/>
                <w:sz w:val="28"/>
                <w:szCs w:val="28"/>
                <w:rtl/>
                <w:lang w:eastAsia="ar-EG" w:bidi="ar-EG"/>
              </w:rPr>
              <w:t>121 معاملة في عام 2014:</w:t>
            </w:r>
            <w:r w:rsidRPr="00653124">
              <w:rPr>
                <w:rFonts w:ascii="Arabic Typesetting" w:eastAsia="Arabic Typesetting" w:hAnsi="Arabic Typesetting" w:cs="Arabic Typesetting"/>
                <w:color w:val="000000"/>
                <w:sz w:val="28"/>
                <w:szCs w:val="28"/>
                <w:lang w:eastAsia="ar-EG" w:bidi="ar-EG"/>
              </w:rPr>
              <w:br/>
            </w:r>
            <w:r w:rsidRPr="00653124">
              <w:rPr>
                <w:rFonts w:ascii="Arabic Typesetting" w:eastAsia="Arabic Typesetting" w:hAnsi="Arabic Typesetting" w:cs="Arabic Typesetting"/>
                <w:color w:val="000000"/>
                <w:sz w:val="28"/>
                <w:szCs w:val="28"/>
                <w:rtl/>
                <w:lang w:eastAsia="ar-EG" w:bidi="ar-EG"/>
              </w:rPr>
              <w:t>- 80 طلباً دولياً</w:t>
            </w:r>
            <w:r w:rsidRPr="00653124">
              <w:rPr>
                <w:rFonts w:ascii="Arabic Typesetting" w:eastAsia="Arabic Typesetting" w:hAnsi="Arabic Typesetting" w:cs="Arabic Typesetting"/>
                <w:color w:val="000000"/>
                <w:sz w:val="28"/>
                <w:szCs w:val="28"/>
                <w:lang w:eastAsia="ar-EG" w:bidi="ar-EG"/>
              </w:rPr>
              <w:br/>
            </w:r>
            <w:r w:rsidRPr="00653124">
              <w:rPr>
                <w:rFonts w:ascii="Arabic Typesetting" w:eastAsia="Arabic Typesetting" w:hAnsi="Arabic Typesetting" w:cs="Arabic Typesetting"/>
                <w:color w:val="000000"/>
                <w:sz w:val="28"/>
                <w:szCs w:val="28"/>
                <w:rtl/>
                <w:lang w:eastAsia="ar-EG" w:bidi="ar-EG"/>
              </w:rPr>
              <w:t>- 26 بيانات بمنح الحماية</w:t>
            </w:r>
            <w:r w:rsidRPr="00653124">
              <w:rPr>
                <w:rFonts w:ascii="Arabic Typesetting" w:eastAsia="Arabic Typesetting" w:hAnsi="Arabic Typesetting" w:cs="Arabic Typesetting"/>
                <w:color w:val="000000"/>
                <w:sz w:val="28"/>
                <w:szCs w:val="28"/>
                <w:lang w:eastAsia="ar-EG" w:bidi="ar-EG"/>
              </w:rPr>
              <w:br/>
            </w:r>
            <w:r w:rsidRPr="00653124">
              <w:rPr>
                <w:rFonts w:ascii="Arabic Typesetting" w:eastAsia="Arabic Typesetting" w:hAnsi="Arabic Typesetting" w:cs="Arabic Typesetting"/>
                <w:color w:val="000000"/>
                <w:sz w:val="28"/>
                <w:szCs w:val="28"/>
                <w:rtl/>
                <w:lang w:eastAsia="ar-EG" w:bidi="ar-EG"/>
              </w:rPr>
              <w:t>- 15 إعلان رفض</w:t>
            </w:r>
          </w:p>
        </w:tc>
        <w:tc>
          <w:tcPr>
            <w:tcW w:w="818" w:type="pct"/>
            <w:shd w:val="clear" w:color="auto" w:fill="auto"/>
            <w:tcMar>
              <w:top w:w="110" w:type="dxa"/>
              <w:left w:w="58" w:type="dxa"/>
              <w:right w:w="58" w:type="dxa"/>
            </w:tcMar>
          </w:tcPr>
          <w:p w14:paraId="6AF22D7F" w14:textId="77777777" w:rsidR="0027026F" w:rsidRDefault="0027026F" w:rsidP="004B40B5">
            <w:pPr>
              <w:bidi/>
              <w:spacing w:after="120" w:line="280" w:lineRule="exact"/>
              <w:rPr>
                <w:rFonts w:ascii="Arabic Typesetting" w:eastAsia="Arabic Typesetting" w:hAnsi="Arabic Typesetting" w:cs="Arabic Typesetting"/>
                <w:i/>
                <w:color w:val="002060"/>
                <w:sz w:val="28"/>
                <w:szCs w:val="28"/>
                <w:lang w:eastAsia="ar-EG" w:bidi="ar-EG"/>
              </w:rPr>
            </w:pPr>
            <w:r w:rsidRPr="00653124">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53124">
              <w:rPr>
                <w:rFonts w:ascii="Arabic Typesetting" w:eastAsia="Arabic Typesetting" w:hAnsi="Arabic Typesetting" w:cs="Arabic Typesetting"/>
                <w:color w:val="002060"/>
                <w:sz w:val="28"/>
                <w:szCs w:val="28"/>
                <w:rtl/>
                <w:lang w:eastAsia="ar-EG" w:bidi="ar-EG"/>
              </w:rPr>
              <w:t>120 معاملة في الثنائية 2016/17</w:t>
            </w:r>
            <w:r w:rsidRPr="00653124">
              <w:rPr>
                <w:rFonts w:ascii="Arabic Typesetting" w:eastAsia="Arabic Typesetting" w:hAnsi="Arabic Typesetting" w:cs="Arabic Typesetting"/>
                <w:color w:val="002060"/>
                <w:sz w:val="28"/>
                <w:szCs w:val="28"/>
                <w:lang w:eastAsia="ar-EG" w:bidi="ar-EG"/>
              </w:rPr>
              <w:br/>
            </w:r>
            <w:r w:rsidRPr="00653124">
              <w:rPr>
                <w:rFonts w:ascii="Arabic Typesetting" w:eastAsia="Arabic Typesetting" w:hAnsi="Arabic Typesetting" w:cs="Arabic Typesetting"/>
                <w:color w:val="002060"/>
                <w:sz w:val="28"/>
                <w:szCs w:val="28"/>
                <w:rtl/>
                <w:lang w:eastAsia="ar-EG" w:bidi="ar-EG"/>
              </w:rPr>
              <w:t>- 20 طلباً دولياً جديداً (في السنة)</w:t>
            </w:r>
            <w:r w:rsidRPr="00653124">
              <w:rPr>
                <w:rFonts w:ascii="Arabic Typesetting" w:eastAsia="Arabic Typesetting" w:hAnsi="Arabic Typesetting" w:cs="Arabic Typesetting"/>
                <w:color w:val="002060"/>
                <w:sz w:val="28"/>
                <w:szCs w:val="28"/>
                <w:lang w:eastAsia="ar-EG" w:bidi="ar-EG"/>
              </w:rPr>
              <w:br/>
            </w:r>
            <w:r w:rsidRPr="00653124">
              <w:rPr>
                <w:rFonts w:ascii="Arabic Typesetting" w:eastAsia="Arabic Typesetting" w:hAnsi="Arabic Typesetting" w:cs="Arabic Typesetting"/>
                <w:color w:val="002060"/>
                <w:sz w:val="28"/>
                <w:szCs w:val="28"/>
                <w:rtl/>
                <w:lang w:eastAsia="ar-EG" w:bidi="ar-EG"/>
              </w:rPr>
              <w:t>- 60 بياناً بمنح الحماية</w:t>
            </w:r>
            <w:r w:rsidRPr="00653124">
              <w:rPr>
                <w:rFonts w:ascii="Arabic Typesetting" w:eastAsia="Arabic Typesetting" w:hAnsi="Arabic Typesetting" w:cs="Arabic Typesetting"/>
                <w:color w:val="002060"/>
                <w:sz w:val="28"/>
                <w:szCs w:val="28"/>
                <w:lang w:eastAsia="ar-EG" w:bidi="ar-EG"/>
              </w:rPr>
              <w:br/>
            </w:r>
            <w:r w:rsidRPr="00653124">
              <w:rPr>
                <w:rFonts w:ascii="Arabic Typesetting" w:eastAsia="Arabic Typesetting" w:hAnsi="Arabic Typesetting" w:cs="Arabic Typesetting"/>
                <w:color w:val="002060"/>
                <w:sz w:val="28"/>
                <w:szCs w:val="28"/>
                <w:rtl/>
                <w:lang w:eastAsia="ar-EG" w:bidi="ar-EG"/>
              </w:rPr>
              <w:t>- 20 إعلان رفض</w:t>
            </w:r>
          </w:p>
          <w:p w14:paraId="49B810E2" w14:textId="77777777" w:rsidR="00E6194D" w:rsidRDefault="00E6194D" w:rsidP="004B40B5">
            <w:pPr>
              <w:bidi/>
              <w:spacing w:after="120" w:line="280" w:lineRule="exact"/>
              <w:rPr>
                <w:rFonts w:ascii="Arabic Typesetting" w:eastAsia="Arabic Typesetting" w:hAnsi="Arabic Typesetting" w:cs="Arabic Typesetting"/>
                <w:i/>
                <w:iCs/>
                <w:color w:val="000000"/>
                <w:sz w:val="28"/>
                <w:szCs w:val="28"/>
                <w:rtl/>
                <w:lang w:eastAsia="ar-EG" w:bidi="ar-EG"/>
              </w:rPr>
            </w:pPr>
          </w:p>
          <w:p w14:paraId="356C93A1" w14:textId="77777777" w:rsidR="00E6194D" w:rsidRDefault="00E6194D" w:rsidP="00E6194D">
            <w:pPr>
              <w:bidi/>
              <w:spacing w:after="120" w:line="280" w:lineRule="exact"/>
              <w:rPr>
                <w:rFonts w:ascii="Arabic Typesetting" w:eastAsia="Arabic Typesetting" w:hAnsi="Arabic Typesetting" w:cs="Arabic Typesetting"/>
                <w:i/>
                <w:iCs/>
                <w:color w:val="000000"/>
                <w:sz w:val="28"/>
                <w:szCs w:val="28"/>
                <w:rtl/>
                <w:lang w:eastAsia="ar-EG" w:bidi="ar-EG"/>
              </w:rPr>
            </w:pPr>
          </w:p>
          <w:p w14:paraId="2168660D" w14:textId="77777777" w:rsidR="00E6194D" w:rsidRDefault="00E6194D" w:rsidP="00E6194D">
            <w:pPr>
              <w:bidi/>
              <w:spacing w:after="120" w:line="280" w:lineRule="exact"/>
              <w:rPr>
                <w:rFonts w:ascii="Arabic Typesetting" w:eastAsia="Arabic Typesetting" w:hAnsi="Arabic Typesetting" w:cs="Arabic Typesetting"/>
                <w:i/>
                <w:iCs/>
                <w:color w:val="000000"/>
                <w:sz w:val="28"/>
                <w:szCs w:val="28"/>
                <w:rtl/>
                <w:lang w:eastAsia="ar-EG" w:bidi="ar-EG"/>
              </w:rPr>
            </w:pPr>
          </w:p>
          <w:p w14:paraId="3D1FBD0A" w14:textId="77777777" w:rsidR="00E6194D" w:rsidRDefault="00E6194D" w:rsidP="00E6194D">
            <w:pPr>
              <w:bidi/>
              <w:spacing w:after="120" w:line="280" w:lineRule="exact"/>
              <w:rPr>
                <w:rFonts w:ascii="Arabic Typesetting" w:eastAsia="Arabic Typesetting" w:hAnsi="Arabic Typesetting" w:cs="Arabic Typesetting"/>
                <w:i/>
                <w:iCs/>
                <w:color w:val="000000"/>
                <w:sz w:val="28"/>
                <w:szCs w:val="28"/>
                <w:rtl/>
                <w:lang w:eastAsia="ar-EG" w:bidi="ar-EG"/>
              </w:rPr>
            </w:pPr>
          </w:p>
          <w:p w14:paraId="2E22CD13" w14:textId="1681BBF1" w:rsidR="0027026F" w:rsidRPr="00653124" w:rsidRDefault="0027026F" w:rsidP="00E6194D">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i/>
                <w:iCs/>
                <w:color w:val="000000"/>
                <w:sz w:val="28"/>
                <w:szCs w:val="28"/>
                <w:rtl/>
                <w:lang w:eastAsia="ar-EG" w:bidi="ar-EG"/>
              </w:rPr>
              <w:lastRenderedPageBreak/>
              <w:t>الهدف الأصلي</w:t>
            </w:r>
            <w:r w:rsidR="000C4432">
              <w:rPr>
                <w:rFonts w:ascii="Arabic Typesetting" w:eastAsia="Arabic Typesetting" w:hAnsi="Arabic Typesetting" w:cs="Arabic Typesetting" w:hint="cs"/>
                <w:i/>
                <w:iCs/>
                <w:color w:val="000000"/>
                <w:sz w:val="28"/>
                <w:szCs w:val="28"/>
                <w:rtl/>
                <w:lang w:eastAsia="ar-EG" w:bidi="ar-EG"/>
              </w:rPr>
              <w:t>:</w:t>
            </w:r>
            <w:r w:rsidRPr="00653124">
              <w:rPr>
                <w:rFonts w:ascii="Arabic Typesetting" w:eastAsia="Arabic Typesetting" w:hAnsi="Arabic Typesetting" w:cs="Arabic Typesetting"/>
                <w:i/>
                <w:color w:val="000000"/>
                <w:sz w:val="28"/>
                <w:szCs w:val="28"/>
                <w:lang w:eastAsia="ar-EG" w:bidi="ar-EG"/>
              </w:rPr>
              <w:br/>
            </w:r>
            <w:r w:rsidRPr="0065312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653124">
              <w:rPr>
                <w:rFonts w:ascii="Arabic Typesetting" w:eastAsia="Arabic Typesetting" w:hAnsi="Arabic Typesetting" w:cs="Arabic Typesetting"/>
                <w:color w:val="000000"/>
                <w:sz w:val="28"/>
                <w:szCs w:val="28"/>
                <w:rtl/>
                <w:lang w:eastAsia="ar-EG" w:bidi="ar-EG"/>
              </w:rPr>
              <w:t>‏100 معاملة في الثنائية 2016/17</w:t>
            </w:r>
            <w:r w:rsidRPr="00653124">
              <w:rPr>
                <w:rFonts w:ascii="Arabic Typesetting" w:eastAsia="Arabic Typesetting" w:hAnsi="Arabic Typesetting" w:cs="Arabic Typesetting"/>
                <w:color w:val="000000"/>
                <w:sz w:val="28"/>
                <w:szCs w:val="28"/>
                <w:lang w:eastAsia="ar-EG" w:bidi="ar-EG"/>
              </w:rPr>
              <w:br/>
            </w:r>
            <w:r w:rsidRPr="00653124">
              <w:rPr>
                <w:rFonts w:ascii="Arabic Typesetting" w:eastAsia="Arabic Typesetting" w:hAnsi="Arabic Typesetting" w:cs="Arabic Typesetting"/>
                <w:color w:val="000000"/>
                <w:sz w:val="28"/>
                <w:szCs w:val="28"/>
                <w:rtl/>
                <w:lang w:eastAsia="ar-EG" w:bidi="ar-EG"/>
              </w:rPr>
              <w:t>- 20 طلباً دولياً جديداً (في السنة)</w:t>
            </w:r>
            <w:r w:rsidRPr="00653124">
              <w:rPr>
                <w:rFonts w:ascii="Arabic Typesetting" w:eastAsia="Arabic Typesetting" w:hAnsi="Arabic Typesetting" w:cs="Arabic Typesetting"/>
                <w:color w:val="000000"/>
                <w:sz w:val="28"/>
                <w:szCs w:val="28"/>
                <w:lang w:eastAsia="ar-EG" w:bidi="ar-EG"/>
              </w:rPr>
              <w:br/>
            </w:r>
            <w:r w:rsidRPr="00653124">
              <w:rPr>
                <w:rFonts w:ascii="Arabic Typesetting" w:eastAsia="Arabic Typesetting" w:hAnsi="Arabic Typesetting" w:cs="Arabic Typesetting"/>
                <w:color w:val="000000"/>
                <w:sz w:val="28"/>
                <w:szCs w:val="28"/>
                <w:rtl/>
                <w:lang w:eastAsia="ar-EG" w:bidi="ar-EG"/>
              </w:rPr>
              <w:t>- 60 بياناً بمنح الحماية</w:t>
            </w:r>
            <w:r w:rsidRPr="00653124">
              <w:rPr>
                <w:rFonts w:ascii="Arabic Typesetting" w:eastAsia="Arabic Typesetting" w:hAnsi="Arabic Typesetting" w:cs="Arabic Typesetting"/>
                <w:color w:val="000000"/>
                <w:sz w:val="28"/>
                <w:szCs w:val="28"/>
                <w:lang w:eastAsia="ar-EG" w:bidi="ar-EG"/>
              </w:rPr>
              <w:br/>
            </w:r>
            <w:r w:rsidRPr="00653124">
              <w:rPr>
                <w:rFonts w:ascii="Arabic Typesetting" w:eastAsia="Arabic Typesetting" w:hAnsi="Arabic Typesetting" w:cs="Arabic Typesetting"/>
                <w:color w:val="000000"/>
                <w:sz w:val="28"/>
                <w:szCs w:val="28"/>
                <w:rtl/>
                <w:lang w:eastAsia="ar-EG" w:bidi="ar-EG"/>
              </w:rPr>
              <w:t>- 20 إعلان رفض</w:t>
            </w:r>
          </w:p>
        </w:tc>
        <w:tc>
          <w:tcPr>
            <w:tcW w:w="1117" w:type="pct"/>
            <w:shd w:val="clear" w:color="auto" w:fill="FFFFFF"/>
            <w:tcMar>
              <w:top w:w="110" w:type="dxa"/>
              <w:left w:w="58" w:type="dxa"/>
              <w:right w:w="58" w:type="dxa"/>
            </w:tcMar>
          </w:tcPr>
          <w:p w14:paraId="08222FF1" w14:textId="60DF321B" w:rsidR="0027026F" w:rsidRDefault="00E6194D" w:rsidP="004B40B5">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lastRenderedPageBreak/>
              <w:t>89</w:t>
            </w:r>
            <w:r w:rsidR="0027026F" w:rsidRPr="00653124">
              <w:rPr>
                <w:rFonts w:ascii="Arabic Typesetting" w:eastAsia="Arabic Typesetting" w:hAnsi="Arabic Typesetting" w:cs="Arabic Typesetting"/>
                <w:color w:val="000000"/>
                <w:sz w:val="28"/>
                <w:szCs w:val="28"/>
                <w:rtl/>
                <w:lang w:eastAsia="ar-EG" w:bidi="ar-EG"/>
              </w:rPr>
              <w:t xml:space="preserve"> معاملة في عام 2016:</w:t>
            </w:r>
          </w:p>
          <w:p w14:paraId="2295E275" w14:textId="77777777" w:rsidR="0027026F" w:rsidRDefault="0027026F" w:rsidP="004B40B5">
            <w:pPr>
              <w:numPr>
                <w:ilvl w:val="0"/>
                <w:numId w:val="44"/>
              </w:numPr>
              <w:bidi/>
              <w:spacing w:after="720" w:line="280" w:lineRule="exact"/>
              <w:ind w:left="210" w:hanging="210"/>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25 طلباً دولياً</w:t>
            </w:r>
          </w:p>
          <w:p w14:paraId="6D9229F2" w14:textId="507593E8" w:rsidR="00E6194D" w:rsidRDefault="00E6194D" w:rsidP="00E6194D">
            <w:pPr>
              <w:bidi/>
              <w:spacing w:after="240" w:line="280" w:lineRule="exact"/>
              <w:ind w:left="210"/>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معاملات أخرى:</w:t>
            </w:r>
          </w:p>
          <w:p w14:paraId="6B1D54EE" w14:textId="77777777" w:rsidR="0027026F" w:rsidRDefault="0027026F" w:rsidP="003E33F1">
            <w:pPr>
              <w:numPr>
                <w:ilvl w:val="0"/>
                <w:numId w:val="44"/>
              </w:numPr>
              <w:bidi/>
              <w:spacing w:line="280" w:lineRule="exact"/>
              <w:ind w:left="210" w:hanging="210"/>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8 بيانات بمنح الحماية</w:t>
            </w:r>
          </w:p>
          <w:p w14:paraId="2F2A4ACB" w14:textId="77777777" w:rsidR="0027026F" w:rsidRDefault="0027026F" w:rsidP="003E33F1">
            <w:pPr>
              <w:numPr>
                <w:ilvl w:val="0"/>
                <w:numId w:val="44"/>
              </w:numPr>
              <w:bidi/>
              <w:spacing w:line="280" w:lineRule="exact"/>
              <w:ind w:left="210" w:hanging="210"/>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54 إعلان رفض</w:t>
            </w:r>
          </w:p>
          <w:p w14:paraId="5F5011AA" w14:textId="60962609" w:rsidR="00E6194D" w:rsidRPr="00653124" w:rsidRDefault="00E6194D" w:rsidP="003E33F1">
            <w:pPr>
              <w:numPr>
                <w:ilvl w:val="0"/>
                <w:numId w:val="44"/>
              </w:numPr>
              <w:bidi/>
              <w:spacing w:line="280" w:lineRule="exact"/>
              <w:ind w:left="210" w:hanging="210"/>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سحبان لرفضين</w:t>
            </w:r>
          </w:p>
        </w:tc>
        <w:tc>
          <w:tcPr>
            <w:tcW w:w="386" w:type="pct"/>
            <w:shd w:val="clear" w:color="auto" w:fill="auto"/>
            <w:tcMar>
              <w:top w:w="110" w:type="dxa"/>
              <w:left w:w="58" w:type="dxa"/>
              <w:right w:w="58" w:type="dxa"/>
            </w:tcMar>
          </w:tcPr>
          <w:p w14:paraId="1DC2937B" w14:textId="77777777" w:rsidR="0027026F" w:rsidRDefault="0027026F" w:rsidP="004B40B5">
            <w:pPr>
              <w:bidi/>
              <w:spacing w:after="120" w:line="280" w:lineRule="exact"/>
              <w:jc w:val="center"/>
              <w:rPr>
                <w:rFonts w:ascii="Arabic Typesetting" w:eastAsia="Arabic Typesetting" w:hAnsi="Arabic Typesetting" w:cs="Arabic Typesetting"/>
                <w:b/>
                <w:color w:val="00B050"/>
                <w:sz w:val="28"/>
                <w:szCs w:val="28"/>
                <w:lang w:eastAsia="ar-EG" w:bidi="ar-EG"/>
              </w:rPr>
            </w:pPr>
          </w:p>
          <w:p w14:paraId="4CA09EAA" w14:textId="77777777" w:rsidR="0027026F" w:rsidRDefault="0027026F" w:rsidP="00E6194D">
            <w:pPr>
              <w:bidi/>
              <w:spacing w:after="1200" w:line="280" w:lineRule="exact"/>
              <w:jc w:val="center"/>
              <w:rPr>
                <w:rFonts w:ascii="Arabic Typesetting" w:eastAsia="Arabic Typesetting" w:hAnsi="Arabic Typesetting" w:cs="Arabic Typesetting"/>
                <w:b/>
                <w:color w:val="00B050"/>
                <w:sz w:val="28"/>
                <w:szCs w:val="28"/>
                <w:lang w:eastAsia="ar-EG" w:bidi="ar-EG"/>
              </w:rPr>
            </w:pPr>
            <w:r w:rsidRPr="00653124">
              <w:rPr>
                <w:rFonts w:ascii="Arabic Typesetting" w:eastAsia="Arabic Typesetting" w:hAnsi="Arabic Typesetting" w:cs="Arabic Typesetting"/>
                <w:b/>
                <w:bCs/>
                <w:color w:val="00B050"/>
                <w:sz w:val="28"/>
                <w:szCs w:val="28"/>
                <w:rtl/>
                <w:lang w:eastAsia="ar-EG" w:bidi="ar-EG"/>
              </w:rPr>
              <w:t>ثابت</w:t>
            </w:r>
          </w:p>
          <w:p w14:paraId="48AB39AF" w14:textId="50C1A02A" w:rsidR="0027026F" w:rsidRPr="00653124" w:rsidRDefault="00E6194D" w:rsidP="00E6194D">
            <w:pPr>
              <w:bidi/>
              <w:spacing w:after="120" w:line="280" w:lineRule="exact"/>
              <w:jc w:val="center"/>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b/>
                <w:bCs/>
                <w:color w:val="00B050"/>
                <w:sz w:val="28"/>
                <w:szCs w:val="28"/>
                <w:rtl/>
                <w:lang w:eastAsia="ar-EG" w:bidi="ar-EG"/>
              </w:rPr>
              <w:t>ث</w:t>
            </w:r>
            <w:r w:rsidR="0027026F" w:rsidRPr="00653124">
              <w:rPr>
                <w:rFonts w:ascii="Arabic Typesetting" w:eastAsia="Arabic Typesetting" w:hAnsi="Arabic Typesetting" w:cs="Arabic Typesetting"/>
                <w:b/>
                <w:bCs/>
                <w:color w:val="00B050"/>
                <w:sz w:val="28"/>
                <w:szCs w:val="28"/>
                <w:rtl/>
                <w:lang w:eastAsia="ar-EG" w:bidi="ar-EG"/>
              </w:rPr>
              <w:t>ابت</w:t>
            </w:r>
          </w:p>
        </w:tc>
      </w:tr>
      <w:tr w:rsidR="0027026F" w:rsidRPr="00653124" w14:paraId="3495879E" w14:textId="77777777" w:rsidTr="004B40B5">
        <w:trPr>
          <w:trHeight w:val="1213"/>
        </w:trPr>
        <w:tc>
          <w:tcPr>
            <w:tcW w:w="1123" w:type="pct"/>
            <w:shd w:val="clear" w:color="auto" w:fill="auto"/>
            <w:tcMar>
              <w:left w:w="58" w:type="dxa"/>
              <w:right w:w="58" w:type="dxa"/>
            </w:tcMar>
          </w:tcPr>
          <w:p w14:paraId="46853B12"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lastRenderedPageBreak/>
              <w:t>عدد التسجيلات الدولية من البلدان النامية والبلدان الأقل نمواً السارية بموجب نظام لشبونة (بالنسبة للرقم الكلي)</w:t>
            </w:r>
          </w:p>
        </w:tc>
        <w:tc>
          <w:tcPr>
            <w:tcW w:w="1556" w:type="pct"/>
            <w:shd w:val="clear" w:color="auto" w:fill="auto"/>
            <w:tcMar>
              <w:left w:w="58" w:type="dxa"/>
              <w:right w:w="58" w:type="dxa"/>
            </w:tcMar>
          </w:tcPr>
          <w:p w14:paraId="00380E1D" w14:textId="77777777" w:rsidR="0027026F" w:rsidRPr="00653124" w:rsidRDefault="0027026F" w:rsidP="004B40B5">
            <w:pPr>
              <w:bidi/>
              <w:spacing w:line="280" w:lineRule="exact"/>
              <w:rPr>
                <w:rFonts w:ascii="Arabic Typesetting" w:eastAsia="Arabic Typesetting" w:hAnsi="Arabic Typesetting" w:cs="Arabic Typesetting"/>
                <w:color w:val="002060"/>
                <w:sz w:val="28"/>
                <w:szCs w:val="28"/>
                <w:lang w:eastAsia="ar-EG" w:bidi="ar-EG"/>
              </w:rPr>
            </w:pPr>
            <w:r w:rsidRPr="0065312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53124">
              <w:rPr>
                <w:rFonts w:ascii="Arabic Typesetting" w:eastAsia="Arabic Typesetting" w:hAnsi="Arabic Typesetting" w:cs="Arabic Typesetting"/>
                <w:color w:val="002060"/>
                <w:sz w:val="28"/>
                <w:szCs w:val="28"/>
                <w:rtl/>
                <w:lang w:eastAsia="ar-EG" w:bidi="ar-EG"/>
              </w:rPr>
              <w:t>95 (من 931):</w:t>
            </w:r>
          </w:p>
          <w:p w14:paraId="01822995" w14:textId="77777777" w:rsidR="0027026F" w:rsidRPr="00653124" w:rsidRDefault="0027026F" w:rsidP="004B40B5">
            <w:pPr>
              <w:numPr>
                <w:ilvl w:val="0"/>
                <w:numId w:val="46"/>
              </w:numPr>
              <w:bidi/>
              <w:spacing w:line="280" w:lineRule="exact"/>
              <w:ind w:left="120" w:hanging="120"/>
              <w:rPr>
                <w:rFonts w:ascii="Arabic Typesetting" w:eastAsia="Arabic Typesetting" w:hAnsi="Arabic Typesetting" w:cs="Arabic Typesetting"/>
                <w:color w:val="002060"/>
                <w:sz w:val="28"/>
                <w:szCs w:val="28"/>
                <w:lang w:eastAsia="ar-EG" w:bidi="ar-EG"/>
              </w:rPr>
            </w:pPr>
            <w:r w:rsidRPr="00653124">
              <w:rPr>
                <w:rFonts w:ascii="Arabic Typesetting" w:eastAsia="Arabic Typesetting" w:hAnsi="Arabic Typesetting" w:cs="Arabic Typesetting"/>
                <w:color w:val="002060"/>
                <w:sz w:val="28"/>
                <w:szCs w:val="28"/>
                <w:rtl/>
                <w:lang w:eastAsia="ar-EG" w:bidi="ar-EG"/>
              </w:rPr>
              <w:t>المنطقة العربية (14)</w:t>
            </w:r>
          </w:p>
          <w:p w14:paraId="7981F1B3" w14:textId="77777777" w:rsidR="0027026F" w:rsidRPr="00653124" w:rsidRDefault="0027026F" w:rsidP="004B40B5">
            <w:pPr>
              <w:numPr>
                <w:ilvl w:val="0"/>
                <w:numId w:val="46"/>
              </w:numPr>
              <w:bidi/>
              <w:spacing w:line="280" w:lineRule="exact"/>
              <w:ind w:left="120" w:hanging="120"/>
              <w:rPr>
                <w:rFonts w:ascii="Arabic Typesetting" w:eastAsia="Arabic Typesetting" w:hAnsi="Arabic Typesetting" w:cs="Arabic Typesetting"/>
                <w:color w:val="002060"/>
                <w:sz w:val="28"/>
                <w:szCs w:val="28"/>
                <w:lang w:eastAsia="ar-EG" w:bidi="ar-EG"/>
              </w:rPr>
            </w:pPr>
            <w:r w:rsidRPr="00653124">
              <w:rPr>
                <w:rFonts w:ascii="Arabic Typesetting" w:eastAsia="Arabic Typesetting" w:hAnsi="Arabic Typesetting" w:cs="Arabic Typesetting"/>
                <w:color w:val="002060"/>
                <w:sz w:val="28"/>
                <w:szCs w:val="28"/>
                <w:rtl/>
                <w:lang w:eastAsia="ar-EG" w:bidi="ar-EG"/>
              </w:rPr>
              <w:t>آسيا والمحيط الهادئ (38)</w:t>
            </w:r>
          </w:p>
          <w:p w14:paraId="09224D90" w14:textId="77777777" w:rsidR="0027026F" w:rsidRDefault="0027026F" w:rsidP="004B40B5">
            <w:pPr>
              <w:numPr>
                <w:ilvl w:val="0"/>
                <w:numId w:val="46"/>
              </w:numPr>
              <w:bidi/>
              <w:spacing w:after="120" w:line="280" w:lineRule="exact"/>
              <w:ind w:left="120" w:hanging="120"/>
              <w:rPr>
                <w:rFonts w:ascii="Arabic Typesetting" w:eastAsia="Arabic Typesetting" w:hAnsi="Arabic Typesetting" w:cs="Arabic Typesetting"/>
                <w:color w:val="002060"/>
                <w:sz w:val="28"/>
                <w:szCs w:val="28"/>
                <w:lang w:eastAsia="ar-EG" w:bidi="ar-EG"/>
              </w:rPr>
            </w:pPr>
            <w:r w:rsidRPr="00653124">
              <w:rPr>
                <w:rFonts w:ascii="Arabic Typesetting" w:eastAsia="Arabic Typesetting" w:hAnsi="Arabic Typesetting" w:cs="Arabic Typesetting"/>
                <w:color w:val="002060"/>
                <w:sz w:val="28"/>
                <w:szCs w:val="28"/>
                <w:rtl/>
                <w:lang w:eastAsia="ar-EG" w:bidi="ar-EG"/>
              </w:rPr>
              <w:t>‏أمريكا اللاتينية والكاريبي (43)</w:t>
            </w:r>
          </w:p>
          <w:p w14:paraId="04064AD5"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653124">
              <w:rPr>
                <w:rFonts w:ascii="Arabic Typesetting" w:eastAsia="Arabic Typesetting" w:hAnsi="Arabic Typesetting" w:cs="Arabic Typesetting"/>
                <w:i/>
                <w:iCs/>
                <w:sz w:val="28"/>
                <w:szCs w:val="28"/>
                <w:rtl/>
                <w:lang w:eastAsia="ar-EG" w:bidi="ar-EG"/>
              </w:rPr>
              <w:t>:</w:t>
            </w:r>
            <w:r w:rsidRPr="00653124">
              <w:rPr>
                <w:rFonts w:ascii="Arabic Typesetting" w:eastAsia="Arabic Typesetting" w:hAnsi="Arabic Typesetting" w:cs="Arabic Typesetting"/>
                <w:i/>
                <w:sz w:val="28"/>
                <w:szCs w:val="28"/>
                <w:lang w:eastAsia="ar-EG" w:bidi="ar-EG"/>
              </w:rPr>
              <w:br/>
            </w:r>
            <w:r w:rsidRPr="00653124">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653124">
              <w:rPr>
                <w:rFonts w:ascii="Arabic Typesetting" w:eastAsia="Arabic Typesetting" w:hAnsi="Arabic Typesetting" w:cs="Arabic Typesetting"/>
                <w:color w:val="000000"/>
                <w:sz w:val="28"/>
                <w:szCs w:val="28"/>
                <w:rtl/>
                <w:lang w:eastAsia="ar-EG" w:bidi="ar-EG"/>
              </w:rPr>
              <w:t>‏78 (من 896) (مارس 2015)</w:t>
            </w:r>
          </w:p>
        </w:tc>
        <w:tc>
          <w:tcPr>
            <w:tcW w:w="818" w:type="pct"/>
            <w:shd w:val="clear" w:color="auto" w:fill="auto"/>
            <w:tcMar>
              <w:top w:w="110" w:type="dxa"/>
              <w:left w:w="58" w:type="dxa"/>
              <w:right w:w="58" w:type="dxa"/>
            </w:tcMar>
          </w:tcPr>
          <w:p w14:paraId="007185BB" w14:textId="77777777" w:rsidR="0027026F"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653124">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br/>
            </w:r>
            <w:r w:rsidRPr="00653124">
              <w:rPr>
                <w:rFonts w:ascii="Arabic Typesetting" w:eastAsia="Arabic Typesetting" w:hAnsi="Arabic Typesetting" w:cs="Arabic Typesetting"/>
                <w:color w:val="002060"/>
                <w:sz w:val="28"/>
                <w:szCs w:val="28"/>
                <w:rtl/>
                <w:lang w:eastAsia="ar-EG" w:bidi="ar-EG"/>
              </w:rPr>
              <w:t>100 (من أصل 971)</w:t>
            </w:r>
          </w:p>
          <w:p w14:paraId="1E23FAD4" w14:textId="0A13CE7E"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i/>
                <w:iCs/>
                <w:color w:val="000000"/>
                <w:sz w:val="28"/>
                <w:szCs w:val="28"/>
                <w:rtl/>
                <w:lang w:eastAsia="ar-EG" w:bidi="ar-EG"/>
              </w:rPr>
              <w:t>الهدف الأصلي</w:t>
            </w:r>
            <w:r w:rsidR="000C4432">
              <w:rPr>
                <w:rFonts w:ascii="Arabic Typesetting" w:eastAsia="Arabic Typesetting" w:hAnsi="Arabic Typesetting" w:cs="Arabic Typesetting" w:hint="cs"/>
                <w:i/>
                <w:iCs/>
                <w:color w:val="000000"/>
                <w:sz w:val="28"/>
                <w:szCs w:val="28"/>
                <w:rtl/>
                <w:lang w:eastAsia="ar-EG" w:bidi="ar-EG"/>
              </w:rPr>
              <w:t>:</w:t>
            </w:r>
            <w:r w:rsidRPr="00653124">
              <w:rPr>
                <w:rFonts w:ascii="Arabic Typesetting" w:eastAsia="Arabic Typesetting" w:hAnsi="Arabic Typesetting" w:cs="Arabic Typesetting"/>
                <w:i/>
                <w:color w:val="000000"/>
                <w:sz w:val="28"/>
                <w:szCs w:val="28"/>
                <w:lang w:eastAsia="ar-EG" w:bidi="ar-EG"/>
              </w:rPr>
              <w:br/>
            </w:r>
            <w:r w:rsidRPr="0065312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653124">
              <w:rPr>
                <w:rFonts w:ascii="Arabic Typesetting" w:eastAsia="Arabic Typesetting" w:hAnsi="Arabic Typesetting" w:cs="Arabic Typesetting"/>
                <w:color w:val="000000"/>
                <w:sz w:val="28"/>
                <w:szCs w:val="28"/>
                <w:rtl/>
                <w:lang w:eastAsia="ar-EG" w:bidi="ar-EG"/>
              </w:rPr>
              <w:t>90 (من 950)</w:t>
            </w:r>
          </w:p>
        </w:tc>
        <w:tc>
          <w:tcPr>
            <w:tcW w:w="1117" w:type="pct"/>
            <w:shd w:val="clear" w:color="auto" w:fill="FFFFFF"/>
            <w:tcMar>
              <w:top w:w="110" w:type="dxa"/>
              <w:left w:w="58" w:type="dxa"/>
              <w:right w:w="58" w:type="dxa"/>
            </w:tcMar>
          </w:tcPr>
          <w:p w14:paraId="655A4AB7" w14:textId="5BE6C17D" w:rsidR="0027026F" w:rsidRPr="00653124" w:rsidRDefault="0027026F" w:rsidP="00587BA7">
            <w:pPr>
              <w:bidi/>
              <w:spacing w:after="120" w:line="280" w:lineRule="exact"/>
              <w:rPr>
                <w:rFonts w:ascii="Arabic Typesetting" w:eastAsia="Arabic Typesetting" w:hAnsi="Arabic Typesetting" w:cs="Arabic Typesetting"/>
                <w:sz w:val="28"/>
                <w:szCs w:val="28"/>
                <w:lang w:eastAsia="ar-EG" w:bidi="ar-EG"/>
              </w:rPr>
            </w:pPr>
            <w:r w:rsidRPr="00653124">
              <w:rPr>
                <w:rFonts w:ascii="Arabic Typesetting" w:eastAsia="Arabic Typesetting" w:hAnsi="Arabic Typesetting" w:cs="Arabic Typesetting"/>
                <w:sz w:val="28"/>
                <w:szCs w:val="28"/>
                <w:rtl/>
                <w:lang w:eastAsia="ar-EG" w:bidi="ar-EG"/>
              </w:rPr>
              <w:t xml:space="preserve">95 (من </w:t>
            </w:r>
            <w:r w:rsidR="00587BA7">
              <w:rPr>
                <w:rFonts w:ascii="Arabic Typesetting" w:eastAsia="Arabic Typesetting" w:hAnsi="Arabic Typesetting" w:cs="Arabic Typesetting" w:hint="cs"/>
                <w:sz w:val="28"/>
                <w:szCs w:val="28"/>
                <w:rtl/>
                <w:lang w:eastAsia="ar-EG" w:bidi="ar-EG"/>
              </w:rPr>
              <w:t>1020</w:t>
            </w:r>
            <w:r w:rsidRPr="00653124">
              <w:rPr>
                <w:rFonts w:ascii="Arabic Typesetting" w:eastAsia="Arabic Typesetting" w:hAnsi="Arabic Typesetting" w:cs="Arabic Typesetting"/>
                <w:sz w:val="28"/>
                <w:szCs w:val="28"/>
                <w:rtl/>
                <w:lang w:eastAsia="ar-EG" w:bidi="ar-EG"/>
              </w:rPr>
              <w:t>):</w:t>
            </w:r>
          </w:p>
          <w:p w14:paraId="53F1408F" w14:textId="77777777" w:rsidR="0027026F" w:rsidRPr="00653124" w:rsidRDefault="0027026F" w:rsidP="004B40B5">
            <w:pPr>
              <w:numPr>
                <w:ilvl w:val="0"/>
                <w:numId w:val="45"/>
              </w:numPr>
              <w:bidi/>
              <w:spacing w:after="120" w:line="280" w:lineRule="exact"/>
              <w:ind w:left="210" w:hanging="210"/>
              <w:rPr>
                <w:rFonts w:ascii="Arabic Typesetting" w:eastAsia="Arabic Typesetting" w:hAnsi="Arabic Typesetting" w:cs="Arabic Typesetting"/>
                <w:sz w:val="28"/>
                <w:szCs w:val="28"/>
                <w:lang w:eastAsia="ar-EG" w:bidi="ar-EG"/>
              </w:rPr>
            </w:pPr>
            <w:r w:rsidRPr="00653124">
              <w:rPr>
                <w:rFonts w:ascii="Arabic Typesetting" w:eastAsia="Arabic Typesetting" w:hAnsi="Arabic Typesetting" w:cs="Arabic Typesetting"/>
                <w:sz w:val="28"/>
                <w:szCs w:val="28"/>
                <w:rtl/>
                <w:lang w:eastAsia="ar-EG" w:bidi="ar-EG"/>
              </w:rPr>
              <w:t>‏المنطقة العربية (14)</w:t>
            </w:r>
          </w:p>
          <w:p w14:paraId="694689A9" w14:textId="77777777" w:rsidR="0027026F" w:rsidRPr="00653124" w:rsidRDefault="0027026F" w:rsidP="004B40B5">
            <w:pPr>
              <w:numPr>
                <w:ilvl w:val="0"/>
                <w:numId w:val="45"/>
              </w:numPr>
              <w:bidi/>
              <w:spacing w:after="120" w:line="280" w:lineRule="exact"/>
              <w:ind w:left="210" w:hanging="210"/>
              <w:rPr>
                <w:rFonts w:ascii="Arabic Typesetting" w:eastAsia="Arabic Typesetting" w:hAnsi="Arabic Typesetting" w:cs="Arabic Typesetting"/>
                <w:sz w:val="28"/>
                <w:szCs w:val="28"/>
                <w:lang w:eastAsia="ar-EG" w:bidi="ar-EG"/>
              </w:rPr>
            </w:pPr>
            <w:r w:rsidRPr="00653124">
              <w:rPr>
                <w:rFonts w:ascii="Arabic Typesetting" w:eastAsia="Arabic Typesetting" w:hAnsi="Arabic Typesetting" w:cs="Arabic Typesetting"/>
                <w:sz w:val="28"/>
                <w:szCs w:val="28"/>
                <w:rtl/>
                <w:lang w:eastAsia="ar-EG" w:bidi="ar-EG"/>
              </w:rPr>
              <w:t>آسيا والمحيط الهادئ (38)</w:t>
            </w:r>
          </w:p>
          <w:p w14:paraId="521BFED2" w14:textId="77777777" w:rsidR="0027026F" w:rsidRPr="00653124" w:rsidRDefault="0027026F" w:rsidP="004B40B5">
            <w:pPr>
              <w:numPr>
                <w:ilvl w:val="0"/>
                <w:numId w:val="45"/>
              </w:numPr>
              <w:bidi/>
              <w:spacing w:after="120" w:line="280" w:lineRule="exact"/>
              <w:ind w:left="210" w:hanging="210"/>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sz w:val="28"/>
                <w:szCs w:val="28"/>
                <w:rtl/>
                <w:lang w:eastAsia="ar-EG" w:bidi="ar-EG"/>
              </w:rPr>
              <w:t>‏أمريكا اللاتينية والكاريبي (43)</w:t>
            </w:r>
          </w:p>
        </w:tc>
        <w:tc>
          <w:tcPr>
            <w:tcW w:w="386" w:type="pct"/>
            <w:shd w:val="clear" w:color="auto" w:fill="auto"/>
            <w:tcMar>
              <w:top w:w="110" w:type="dxa"/>
              <w:left w:w="58" w:type="dxa"/>
              <w:right w:w="58" w:type="dxa"/>
            </w:tcMar>
          </w:tcPr>
          <w:p w14:paraId="170BA3BF" w14:textId="55BE390B" w:rsidR="0027026F" w:rsidRPr="003E33F1" w:rsidRDefault="003E33F1" w:rsidP="004B40B5">
            <w:pPr>
              <w:bidi/>
              <w:spacing w:after="120" w:line="280" w:lineRule="exact"/>
              <w:jc w:val="center"/>
              <w:rPr>
                <w:rFonts w:ascii="Arabic Typesetting" w:eastAsia="Arabic Typesetting" w:hAnsi="Arabic Typesetting" w:cs="Arabic Typesetting"/>
                <w:color w:val="FF0000"/>
                <w:sz w:val="28"/>
                <w:szCs w:val="28"/>
                <w:lang w:eastAsia="ar-EG" w:bidi="ar-EG"/>
              </w:rPr>
            </w:pPr>
            <w:r w:rsidRPr="003E33F1">
              <w:rPr>
                <w:rFonts w:ascii="Arabic Typesetting" w:eastAsia="Arabic Typesetting" w:hAnsi="Arabic Typesetting" w:cs="Arabic Typesetting" w:hint="cs"/>
                <w:b/>
                <w:bCs/>
                <w:color w:val="FF0000"/>
                <w:sz w:val="28"/>
                <w:szCs w:val="28"/>
                <w:rtl/>
                <w:lang w:eastAsia="ar-EG" w:bidi="ar-EG"/>
              </w:rPr>
              <w:t xml:space="preserve">غير </w:t>
            </w:r>
            <w:r w:rsidR="0027026F" w:rsidRPr="003E33F1">
              <w:rPr>
                <w:rFonts w:ascii="Arabic Typesetting" w:eastAsia="Arabic Typesetting" w:hAnsi="Arabic Typesetting" w:cs="Arabic Typesetting"/>
                <w:b/>
                <w:bCs/>
                <w:color w:val="FF0000"/>
                <w:sz w:val="28"/>
                <w:szCs w:val="28"/>
                <w:rtl/>
                <w:lang w:eastAsia="ar-EG" w:bidi="ar-EG"/>
              </w:rPr>
              <w:t>ثابت</w:t>
            </w:r>
          </w:p>
        </w:tc>
      </w:tr>
      <w:tr w:rsidR="0027026F" w:rsidRPr="00653124" w14:paraId="46A88BAC" w14:textId="77777777" w:rsidTr="004B40B5">
        <w:trPr>
          <w:trHeight w:val="565"/>
        </w:trPr>
        <w:tc>
          <w:tcPr>
            <w:tcW w:w="5000" w:type="pct"/>
            <w:gridSpan w:val="5"/>
            <w:shd w:val="clear" w:color="auto" w:fill="C6D9F1"/>
            <w:tcMar>
              <w:left w:w="58" w:type="dxa"/>
              <w:right w:w="58" w:type="dxa"/>
            </w:tcMar>
            <w:vAlign w:val="center"/>
          </w:tcPr>
          <w:p w14:paraId="678078D6" w14:textId="77777777" w:rsidR="0027026F" w:rsidRPr="00653124" w:rsidRDefault="0027026F" w:rsidP="004B40B5">
            <w:pPr>
              <w:keepNext/>
              <w:bidi/>
              <w:spacing w:before="120" w:after="120" w:line="280" w:lineRule="exact"/>
              <w:ind w:left="1452" w:hanging="1452"/>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b/>
                <w:bCs/>
                <w:color w:val="000000"/>
                <w:sz w:val="28"/>
                <w:szCs w:val="28"/>
                <w:rtl/>
                <w:lang w:eastAsia="ar-EG" w:bidi="ar-EG"/>
              </w:rPr>
              <w:t>‏النتيجة المرتقبة:</w:t>
            </w:r>
            <w:r w:rsidRPr="00653124">
              <w:rPr>
                <w:rFonts w:ascii="Arabic Typesetting" w:eastAsia="Arabic Typesetting" w:hAnsi="Arabic Typesetting" w:cs="Arabic Typesetting"/>
                <w:sz w:val="28"/>
                <w:szCs w:val="28"/>
                <w:lang w:eastAsia="ar-EG" w:bidi="ar-EG"/>
              </w:rPr>
              <w:tab/>
            </w:r>
            <w:r w:rsidRPr="00653124">
              <w:rPr>
                <w:rFonts w:ascii="Arabic Typesetting" w:eastAsia="Arabic Typesetting" w:hAnsi="Arabic Typesetting" w:cs="Arabic Typesetting"/>
                <w:color w:val="000000"/>
                <w:sz w:val="28"/>
                <w:szCs w:val="28"/>
                <w:rtl/>
                <w:lang w:eastAsia="ar-EG" w:bidi="ar-EG"/>
              </w:rPr>
              <w:t xml:space="preserve">ه11.2 </w:t>
            </w:r>
            <w:r>
              <w:rPr>
                <w:rFonts w:ascii="Arabic Typesetting" w:eastAsia="Arabic Typesetting" w:hAnsi="Arabic Typesetting" w:cs="Arabic Typesetting" w:hint="cs"/>
                <w:color w:val="000000"/>
                <w:sz w:val="28"/>
                <w:szCs w:val="28"/>
                <w:rtl/>
                <w:lang w:eastAsia="ar-EG" w:bidi="ar-EG"/>
              </w:rPr>
              <w:t>إنتاجية وجودة خدمات محسّنة</w:t>
            </w:r>
            <w:r w:rsidRPr="00653124">
              <w:rPr>
                <w:rFonts w:ascii="Arabic Typesetting" w:eastAsia="Arabic Typesetting" w:hAnsi="Arabic Typesetting" w:cs="Arabic Typesetting"/>
                <w:color w:val="000000"/>
                <w:sz w:val="28"/>
                <w:szCs w:val="28"/>
                <w:rtl/>
                <w:lang w:eastAsia="ar-EG" w:bidi="ar-EG"/>
              </w:rPr>
              <w:t xml:space="preserve"> في عمليات نظام لشبونة</w:t>
            </w:r>
          </w:p>
        </w:tc>
      </w:tr>
      <w:tr w:rsidR="0027026F" w:rsidRPr="00653124" w14:paraId="025B027B" w14:textId="77777777" w:rsidTr="004B40B5">
        <w:tc>
          <w:tcPr>
            <w:tcW w:w="1123" w:type="pct"/>
            <w:shd w:val="clear" w:color="auto" w:fill="auto"/>
            <w:tcMar>
              <w:left w:w="58" w:type="dxa"/>
              <w:right w:w="58" w:type="dxa"/>
            </w:tcMar>
            <w:vAlign w:val="center"/>
          </w:tcPr>
          <w:p w14:paraId="4B032ED5" w14:textId="77777777" w:rsidR="0027026F" w:rsidRPr="00653124" w:rsidRDefault="0027026F" w:rsidP="004B40B5">
            <w:pPr>
              <w:bidi/>
              <w:spacing w:after="120" w:line="280" w:lineRule="exact"/>
              <w:rPr>
                <w:rFonts w:ascii="Arabic Typesetting" w:eastAsia="Arabic Typesetting" w:hAnsi="Arabic Typesetting" w:cs="Arabic Typesetting"/>
                <w:b/>
                <w:color w:val="000000"/>
                <w:sz w:val="28"/>
                <w:szCs w:val="28"/>
                <w:lang w:eastAsia="ar-EG" w:bidi="ar-EG"/>
              </w:rPr>
            </w:pPr>
            <w:r w:rsidRPr="00653124">
              <w:rPr>
                <w:rFonts w:ascii="Arabic Typesetting" w:eastAsia="Arabic Typesetting" w:hAnsi="Arabic Typesetting" w:cs="Arabic Typesetting"/>
                <w:b/>
                <w:bCs/>
                <w:color w:val="000000"/>
                <w:sz w:val="28"/>
                <w:szCs w:val="28"/>
                <w:rtl/>
                <w:lang w:eastAsia="ar-EG" w:bidi="ar-EG"/>
              </w:rPr>
              <w:t>مؤشرات الأداء</w:t>
            </w:r>
          </w:p>
        </w:tc>
        <w:tc>
          <w:tcPr>
            <w:tcW w:w="1556" w:type="pct"/>
            <w:shd w:val="clear" w:color="auto" w:fill="auto"/>
            <w:tcMar>
              <w:left w:w="58" w:type="dxa"/>
              <w:right w:w="58" w:type="dxa"/>
            </w:tcMar>
            <w:vAlign w:val="center"/>
          </w:tcPr>
          <w:p w14:paraId="54288A0E" w14:textId="77777777" w:rsidR="0027026F" w:rsidRPr="00653124"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653124">
              <w:rPr>
                <w:rFonts w:ascii="Arabic Typesetting" w:eastAsia="Arabic Typesetting" w:hAnsi="Arabic Typesetting" w:cs="Arabic Typesetting"/>
                <w:b/>
                <w:bCs/>
                <w:sz w:val="28"/>
                <w:szCs w:val="28"/>
                <w:rtl/>
                <w:lang w:eastAsia="ar-EG" w:bidi="ar-EG"/>
              </w:rPr>
              <w:t>أسس المقارنة</w:t>
            </w:r>
          </w:p>
        </w:tc>
        <w:tc>
          <w:tcPr>
            <w:tcW w:w="818" w:type="pct"/>
            <w:shd w:val="clear" w:color="auto" w:fill="auto"/>
            <w:tcMar>
              <w:top w:w="110" w:type="dxa"/>
              <w:left w:w="58" w:type="dxa"/>
              <w:right w:w="58" w:type="dxa"/>
            </w:tcMar>
            <w:vAlign w:val="center"/>
          </w:tcPr>
          <w:p w14:paraId="32450B69" w14:textId="77777777" w:rsidR="0027026F" w:rsidRPr="00653124"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653124">
              <w:rPr>
                <w:rFonts w:ascii="Arabic Typesetting" w:eastAsia="Arabic Typesetting" w:hAnsi="Arabic Typesetting" w:cs="Arabic Typesetting"/>
                <w:b/>
                <w:bCs/>
                <w:sz w:val="28"/>
                <w:szCs w:val="28"/>
                <w:rtl/>
                <w:lang w:eastAsia="ar-EG" w:bidi="ar-EG"/>
              </w:rPr>
              <w:t>الأهداف</w:t>
            </w:r>
          </w:p>
        </w:tc>
        <w:tc>
          <w:tcPr>
            <w:tcW w:w="1117" w:type="pct"/>
            <w:shd w:val="clear" w:color="auto" w:fill="FFFFFF"/>
            <w:tcMar>
              <w:top w:w="110" w:type="dxa"/>
              <w:left w:w="58" w:type="dxa"/>
              <w:right w:w="58" w:type="dxa"/>
            </w:tcMar>
            <w:vAlign w:val="center"/>
          </w:tcPr>
          <w:p w14:paraId="1DD38A32" w14:textId="77777777" w:rsidR="0027026F" w:rsidRPr="00653124"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653124">
              <w:rPr>
                <w:rFonts w:ascii="Arabic Typesetting" w:eastAsia="Arabic Typesetting" w:hAnsi="Arabic Typesetting" w:cs="Arabic Typesetting"/>
                <w:b/>
                <w:bCs/>
                <w:sz w:val="28"/>
                <w:szCs w:val="28"/>
                <w:rtl/>
                <w:lang w:eastAsia="ar-EG" w:bidi="ar-EG"/>
              </w:rPr>
              <w:t>بيانات الأداء</w:t>
            </w:r>
          </w:p>
        </w:tc>
        <w:tc>
          <w:tcPr>
            <w:tcW w:w="386" w:type="pct"/>
            <w:shd w:val="clear" w:color="auto" w:fill="auto"/>
            <w:tcMar>
              <w:top w:w="110" w:type="dxa"/>
              <w:left w:w="58" w:type="dxa"/>
              <w:right w:w="58" w:type="dxa"/>
            </w:tcMar>
            <w:vAlign w:val="center"/>
          </w:tcPr>
          <w:p w14:paraId="57696BD7" w14:textId="77777777" w:rsidR="0027026F" w:rsidRPr="00653124" w:rsidRDefault="0027026F" w:rsidP="004B40B5">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27026F" w:rsidRPr="00653124" w14:paraId="65F9D57D" w14:textId="77777777" w:rsidTr="004B40B5">
        <w:trPr>
          <w:trHeight w:val="435"/>
        </w:trPr>
        <w:tc>
          <w:tcPr>
            <w:tcW w:w="1123" w:type="pct"/>
            <w:shd w:val="clear" w:color="auto" w:fill="auto"/>
            <w:tcMar>
              <w:left w:w="58" w:type="dxa"/>
              <w:right w:w="58" w:type="dxa"/>
            </w:tcMar>
          </w:tcPr>
          <w:p w14:paraId="787AE752"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اعتماد أحكام تبسيط الإطار القانوني لنظام لشبونة</w:t>
            </w:r>
          </w:p>
        </w:tc>
        <w:tc>
          <w:tcPr>
            <w:tcW w:w="1556" w:type="pct"/>
            <w:shd w:val="clear" w:color="auto" w:fill="auto"/>
            <w:tcMar>
              <w:left w:w="58" w:type="dxa"/>
              <w:right w:w="58" w:type="dxa"/>
            </w:tcMar>
          </w:tcPr>
          <w:p w14:paraId="1E092F4D" w14:textId="77777777" w:rsidR="0027026F" w:rsidRDefault="0027026F" w:rsidP="004B40B5">
            <w:pPr>
              <w:bidi/>
              <w:spacing w:after="120" w:line="280" w:lineRule="exact"/>
              <w:rPr>
                <w:rFonts w:ascii="Arabic Typesetting" w:eastAsia="Arabic Typesetting" w:hAnsi="Arabic Typesetting" w:cs="Arabic Typesetting"/>
                <w:color w:val="002060"/>
                <w:sz w:val="28"/>
                <w:szCs w:val="28"/>
                <w:highlight w:val="yellow"/>
                <w:lang w:eastAsia="ar-EG" w:bidi="ar-EG"/>
              </w:rPr>
            </w:pPr>
            <w:r w:rsidRPr="0065312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53124">
              <w:rPr>
                <w:rFonts w:ascii="Arabic Typesetting" w:eastAsia="Arabic Typesetting" w:hAnsi="Arabic Typesetting" w:cs="Arabic Typesetting"/>
                <w:color w:val="002060"/>
                <w:sz w:val="28"/>
                <w:szCs w:val="28"/>
                <w:rtl/>
                <w:lang w:eastAsia="ar-EG" w:bidi="ar-EG"/>
              </w:rPr>
              <w:t>اعتماد وثيقة جنيف لاتفاق لشبونة بشأن تسميات المنشأ والمؤشرات الجغرافية في مايو 2015</w:t>
            </w:r>
          </w:p>
          <w:p w14:paraId="616866C6"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653124">
              <w:rPr>
                <w:rFonts w:ascii="Arabic Typesetting" w:eastAsia="Arabic Typesetting" w:hAnsi="Arabic Typesetting" w:cs="Arabic Typesetting"/>
                <w:i/>
                <w:iCs/>
                <w:sz w:val="28"/>
                <w:szCs w:val="28"/>
                <w:rtl/>
                <w:lang w:eastAsia="ar-EG" w:bidi="ar-EG"/>
              </w:rPr>
              <w:t>:</w:t>
            </w:r>
            <w:r w:rsidRPr="00653124">
              <w:rPr>
                <w:rFonts w:ascii="Arabic Typesetting" w:eastAsia="Arabic Typesetting" w:hAnsi="Arabic Typesetting" w:cs="Arabic Typesetting"/>
                <w:i/>
                <w:sz w:val="28"/>
                <w:szCs w:val="28"/>
                <w:lang w:eastAsia="ar-EG" w:bidi="ar-EG"/>
              </w:rPr>
              <w:br/>
            </w:r>
            <w:r w:rsidRPr="00653124">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653124">
              <w:rPr>
                <w:rFonts w:ascii="Arabic Typesetting" w:eastAsia="Arabic Typesetting" w:hAnsi="Arabic Typesetting" w:cs="Arabic Typesetting"/>
                <w:color w:val="000000"/>
                <w:sz w:val="28"/>
                <w:szCs w:val="28"/>
                <w:rtl/>
                <w:lang w:eastAsia="ar-EG" w:bidi="ar-EG"/>
              </w:rPr>
              <w:t>الإطار القانوني الحالي والإطار القانوني لوثيقة جنيف في مايو 2015</w:t>
            </w:r>
          </w:p>
        </w:tc>
        <w:tc>
          <w:tcPr>
            <w:tcW w:w="818" w:type="pct"/>
            <w:shd w:val="clear" w:color="auto" w:fill="auto"/>
            <w:tcMar>
              <w:top w:w="110" w:type="dxa"/>
              <w:left w:w="58" w:type="dxa"/>
              <w:right w:w="58" w:type="dxa"/>
            </w:tcMar>
          </w:tcPr>
          <w:p w14:paraId="7D3BB6E8"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اعتماد اللائحة التنفيذية المشتركة بمقتضى اتفاق لشبونة ووثيقة جنيف</w:t>
            </w:r>
          </w:p>
        </w:tc>
        <w:tc>
          <w:tcPr>
            <w:tcW w:w="1117" w:type="pct"/>
            <w:shd w:val="clear" w:color="auto" w:fill="FFFFFF"/>
            <w:tcMar>
              <w:top w:w="110" w:type="dxa"/>
              <w:left w:w="58" w:type="dxa"/>
              <w:right w:w="58" w:type="dxa"/>
            </w:tcMar>
          </w:tcPr>
          <w:p w14:paraId="76E4E195"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استعرض فريق لشبونة العامل المعني بإعداد لائحة تنفيذية مشتركة بين اتفاق لشبونة ووثيقة جنيف لاتفاق لشبونة، في يونيو 2016، مشروعاً أولاً للائحة التنفيذية</w:t>
            </w:r>
            <w:r>
              <w:rPr>
                <w:rFonts w:ascii="Arabic Typesetting" w:eastAsia="Arabic Typesetting" w:hAnsi="Arabic Typesetting" w:cs="Arabic Typesetting" w:hint="cs"/>
                <w:color w:val="000000"/>
                <w:sz w:val="28"/>
                <w:szCs w:val="28"/>
                <w:rtl/>
                <w:lang w:eastAsia="ar-EG" w:bidi="ar-EG"/>
              </w:rPr>
              <w:t> </w:t>
            </w:r>
            <w:r w:rsidRPr="00653124">
              <w:rPr>
                <w:rFonts w:ascii="Arabic Typesetting" w:eastAsia="Arabic Typesetting" w:hAnsi="Arabic Typesetting" w:cs="Arabic Typesetting"/>
                <w:color w:val="000000"/>
                <w:sz w:val="28"/>
                <w:szCs w:val="28"/>
                <w:rtl/>
                <w:lang w:eastAsia="ar-EG" w:bidi="ar-EG"/>
              </w:rPr>
              <w:t>المشتركة</w:t>
            </w:r>
          </w:p>
        </w:tc>
        <w:tc>
          <w:tcPr>
            <w:tcW w:w="386" w:type="pct"/>
            <w:shd w:val="clear" w:color="auto" w:fill="auto"/>
            <w:tcMar>
              <w:top w:w="110" w:type="dxa"/>
              <w:left w:w="58" w:type="dxa"/>
              <w:right w:w="58" w:type="dxa"/>
            </w:tcMar>
          </w:tcPr>
          <w:p w14:paraId="45AF0258" w14:textId="77777777" w:rsidR="0027026F" w:rsidRPr="00653124" w:rsidRDefault="0027026F" w:rsidP="004B40B5">
            <w:pPr>
              <w:bidi/>
              <w:spacing w:after="120" w:line="280" w:lineRule="exact"/>
              <w:jc w:val="center"/>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b/>
                <w:bCs/>
                <w:color w:val="00B050"/>
                <w:sz w:val="28"/>
                <w:szCs w:val="28"/>
                <w:rtl/>
                <w:lang w:eastAsia="ar-EG" w:bidi="ar-EG"/>
              </w:rPr>
              <w:t>ثابت</w:t>
            </w:r>
          </w:p>
        </w:tc>
      </w:tr>
      <w:tr w:rsidR="0027026F" w:rsidRPr="00653124" w14:paraId="660F8424" w14:textId="77777777" w:rsidTr="004B40B5">
        <w:trPr>
          <w:trHeight w:val="340"/>
        </w:trPr>
        <w:tc>
          <w:tcPr>
            <w:tcW w:w="1123" w:type="pct"/>
            <w:shd w:val="clear" w:color="auto" w:fill="auto"/>
            <w:tcMar>
              <w:left w:w="58" w:type="dxa"/>
              <w:right w:w="58" w:type="dxa"/>
            </w:tcMar>
          </w:tcPr>
          <w:p w14:paraId="3C800F5A"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زيادة استخدام الوسائل الإلكترونية لإيداع ومعالجة الطلبات الدولية وغيرها من المعاملات (لشبونة)</w:t>
            </w:r>
          </w:p>
        </w:tc>
        <w:tc>
          <w:tcPr>
            <w:tcW w:w="1556" w:type="pct"/>
            <w:shd w:val="clear" w:color="auto" w:fill="auto"/>
            <w:tcMar>
              <w:left w:w="58" w:type="dxa"/>
              <w:right w:w="58" w:type="dxa"/>
            </w:tcMar>
          </w:tcPr>
          <w:p w14:paraId="17D9BB9A" w14:textId="77777777" w:rsidR="0027026F"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65312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53124">
              <w:rPr>
                <w:rFonts w:ascii="Arabic Typesetting" w:eastAsia="Arabic Typesetting" w:hAnsi="Arabic Typesetting" w:cs="Arabic Typesetting"/>
                <w:color w:val="002060"/>
                <w:spacing w:val="-6"/>
                <w:sz w:val="28"/>
                <w:szCs w:val="28"/>
                <w:rtl/>
                <w:lang w:eastAsia="ar-EG" w:bidi="ar-EG"/>
              </w:rPr>
              <w:t>بُسّط إجراء الإخطارات عبر استخدام نظام الويبو لتبليغ الاستفسارات (</w:t>
            </w:r>
            <w:r w:rsidRPr="00653124">
              <w:rPr>
                <w:rFonts w:ascii="Arabic Typesetting" w:eastAsia="Arabic Typesetting" w:hAnsi="Arabic Typesetting" w:cs="Arabic Typesetting"/>
                <w:color w:val="002060"/>
                <w:spacing w:val="-6"/>
                <w:sz w:val="28"/>
                <w:szCs w:val="28"/>
                <w:lang w:eastAsia="ar-EG" w:bidi="ar-EG"/>
              </w:rPr>
              <w:t>WINS</w:t>
            </w:r>
            <w:r w:rsidRPr="00653124">
              <w:rPr>
                <w:rFonts w:ascii="Arabic Typesetting" w:eastAsia="Arabic Typesetting" w:hAnsi="Arabic Typesetting" w:cs="Arabic Typesetting"/>
                <w:color w:val="002060"/>
                <w:spacing w:val="-6"/>
                <w:sz w:val="28"/>
                <w:szCs w:val="28"/>
                <w:rtl/>
                <w:lang w:eastAsia="ar-EG" w:bidi="ar-EG"/>
              </w:rPr>
              <w:t>)</w:t>
            </w:r>
          </w:p>
          <w:p w14:paraId="16FEB680" w14:textId="77777777" w:rsidR="0027026F" w:rsidRPr="00653124" w:rsidRDefault="0027026F" w:rsidP="004B40B5">
            <w:pPr>
              <w:bidi/>
              <w:spacing w:after="24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653124">
              <w:rPr>
                <w:rFonts w:ascii="Arabic Typesetting" w:eastAsia="Arabic Typesetting" w:hAnsi="Arabic Typesetting" w:cs="Arabic Typesetting"/>
                <w:i/>
                <w:iCs/>
                <w:sz w:val="28"/>
                <w:szCs w:val="28"/>
                <w:rtl/>
                <w:lang w:eastAsia="ar-EG" w:bidi="ar-EG"/>
              </w:rPr>
              <w:t>:</w:t>
            </w:r>
            <w:r w:rsidRPr="00653124">
              <w:rPr>
                <w:rFonts w:ascii="Arabic Typesetting" w:eastAsia="Arabic Typesetting" w:hAnsi="Arabic Typesetting" w:cs="Arabic Typesetting"/>
                <w:i/>
                <w:sz w:val="28"/>
                <w:szCs w:val="28"/>
                <w:lang w:eastAsia="ar-EG" w:bidi="ar-EG"/>
              </w:rPr>
              <w:br/>
            </w:r>
            <w:r w:rsidRPr="00653124">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653124">
              <w:rPr>
                <w:rFonts w:ascii="Arabic Typesetting" w:eastAsia="Arabic Typesetting" w:hAnsi="Arabic Typesetting" w:cs="Arabic Typesetting"/>
                <w:color w:val="000000"/>
                <w:sz w:val="28"/>
                <w:szCs w:val="28"/>
                <w:rtl/>
                <w:lang w:eastAsia="ar-EG" w:bidi="ar-EG"/>
              </w:rPr>
              <w:t>الأداة الحالية لإدخال البيانات</w:t>
            </w:r>
          </w:p>
          <w:p w14:paraId="44ABFEC7"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قاعدة البيانات والنشرة الحالية</w:t>
            </w:r>
          </w:p>
        </w:tc>
        <w:tc>
          <w:tcPr>
            <w:tcW w:w="818" w:type="pct"/>
            <w:shd w:val="clear" w:color="auto" w:fill="auto"/>
            <w:tcMar>
              <w:top w:w="110" w:type="dxa"/>
              <w:left w:w="58" w:type="dxa"/>
              <w:right w:w="58" w:type="dxa"/>
            </w:tcMar>
          </w:tcPr>
          <w:p w14:paraId="1559ED90" w14:textId="77777777" w:rsidR="0027026F" w:rsidRDefault="0027026F" w:rsidP="004B40B5">
            <w:pPr>
              <w:bidi/>
              <w:spacing w:after="136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أداة محسنة لإدخال البيانات</w:t>
            </w:r>
          </w:p>
          <w:p w14:paraId="35FB7BEA"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إدراج النشرة في قاعدة بيانات لشبونة إكسبرس</w:t>
            </w:r>
          </w:p>
        </w:tc>
        <w:tc>
          <w:tcPr>
            <w:tcW w:w="1117" w:type="pct"/>
            <w:shd w:val="clear" w:color="auto" w:fill="FFFFFF"/>
            <w:tcMar>
              <w:top w:w="110" w:type="dxa"/>
              <w:left w:w="58" w:type="dxa"/>
              <w:right w:w="58" w:type="dxa"/>
            </w:tcMar>
          </w:tcPr>
          <w:p w14:paraId="0BCD883E" w14:textId="5FD4A640" w:rsidR="0027026F" w:rsidRDefault="0027026F" w:rsidP="003E33F1">
            <w:pPr>
              <w:bidi/>
              <w:spacing w:after="24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تقديم آراء في مجال الأعمال لمواصلة تعزيز الأدوات الحالية لتكنولوجيا المعلومات من أجل توليد إخطارات إلكترونية للإدارات المختصة، بما في ذلك الشهادات</w:t>
            </w:r>
            <w:r>
              <w:rPr>
                <w:rFonts w:ascii="Arabic Typesetting" w:eastAsia="Arabic Typesetting" w:hAnsi="Arabic Typesetting" w:cs="Arabic Typesetting" w:hint="cs"/>
                <w:color w:val="000000"/>
                <w:sz w:val="28"/>
                <w:szCs w:val="28"/>
                <w:rtl/>
                <w:lang w:eastAsia="ar-EG" w:bidi="ar-EG"/>
              </w:rPr>
              <w:t> </w:t>
            </w:r>
            <w:r w:rsidR="003E33F1">
              <w:rPr>
                <w:rFonts w:ascii="Arabic Typesetting" w:eastAsia="Arabic Typesetting" w:hAnsi="Arabic Typesetting" w:cs="Arabic Typesetting" w:hint="cs"/>
                <w:color w:val="000000"/>
                <w:sz w:val="28"/>
                <w:szCs w:val="28"/>
                <w:rtl/>
                <w:lang w:eastAsia="ar-EG" w:bidi="ar-EG"/>
              </w:rPr>
              <w:t>والمراسلات الرسمية</w:t>
            </w:r>
          </w:p>
          <w:p w14:paraId="66F069E5"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أُجِّل إدراج نشرة لشبون</w:t>
            </w:r>
            <w:r>
              <w:rPr>
                <w:rFonts w:ascii="Arabic Typesetting" w:eastAsia="Arabic Typesetting" w:hAnsi="Arabic Typesetting" w:cs="Arabic Typesetting"/>
                <w:color w:val="000000"/>
                <w:sz w:val="28"/>
                <w:szCs w:val="28"/>
                <w:rtl/>
                <w:lang w:eastAsia="ar-EG" w:bidi="ar-EG"/>
              </w:rPr>
              <w:t>ة في قاعدة بيانات لشبونة إكسبرس</w:t>
            </w:r>
          </w:p>
        </w:tc>
        <w:tc>
          <w:tcPr>
            <w:tcW w:w="386" w:type="pct"/>
            <w:shd w:val="clear" w:color="auto" w:fill="auto"/>
            <w:tcMar>
              <w:top w:w="110" w:type="dxa"/>
              <w:left w:w="58" w:type="dxa"/>
              <w:right w:w="58" w:type="dxa"/>
            </w:tcMar>
          </w:tcPr>
          <w:p w14:paraId="301B58F3" w14:textId="77777777" w:rsidR="0027026F" w:rsidRDefault="0027026F" w:rsidP="003E33F1">
            <w:pPr>
              <w:bidi/>
              <w:spacing w:after="1680" w:line="280" w:lineRule="exact"/>
              <w:jc w:val="center"/>
              <w:rPr>
                <w:rFonts w:ascii="Arabic Typesetting" w:eastAsia="Arabic Typesetting" w:hAnsi="Arabic Typesetting" w:cs="Arabic Typesetting"/>
                <w:b/>
                <w:color w:val="00B050"/>
                <w:sz w:val="28"/>
                <w:szCs w:val="28"/>
                <w:lang w:eastAsia="ar-EG" w:bidi="ar-EG"/>
              </w:rPr>
            </w:pPr>
            <w:r w:rsidRPr="00653124">
              <w:rPr>
                <w:rFonts w:ascii="Arabic Typesetting" w:eastAsia="Arabic Typesetting" w:hAnsi="Arabic Typesetting" w:cs="Arabic Typesetting"/>
                <w:b/>
                <w:bCs/>
                <w:color w:val="00B050"/>
                <w:sz w:val="28"/>
                <w:szCs w:val="28"/>
                <w:rtl/>
                <w:lang w:eastAsia="ar-EG" w:bidi="ar-EG"/>
              </w:rPr>
              <w:t>ثابت</w:t>
            </w:r>
          </w:p>
          <w:p w14:paraId="24302531" w14:textId="77777777" w:rsidR="0027026F" w:rsidRPr="00653124" w:rsidRDefault="0027026F" w:rsidP="004B40B5">
            <w:pPr>
              <w:bidi/>
              <w:spacing w:after="120" w:line="280" w:lineRule="exact"/>
              <w:jc w:val="center"/>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b/>
                <w:bCs/>
                <w:color w:val="FF0000"/>
                <w:sz w:val="28"/>
                <w:szCs w:val="28"/>
                <w:rtl/>
                <w:lang w:eastAsia="ar-EG" w:bidi="ar-EG"/>
              </w:rPr>
              <w:t>غير ثابت</w:t>
            </w:r>
          </w:p>
        </w:tc>
      </w:tr>
      <w:tr w:rsidR="0027026F" w:rsidRPr="00653124" w14:paraId="4C7D3528" w14:textId="77777777" w:rsidTr="004B40B5">
        <w:trPr>
          <w:trHeight w:val="1186"/>
        </w:trPr>
        <w:tc>
          <w:tcPr>
            <w:tcW w:w="1123" w:type="pct"/>
            <w:shd w:val="clear" w:color="auto" w:fill="auto"/>
            <w:tcMar>
              <w:left w:w="58" w:type="dxa"/>
              <w:right w:w="58" w:type="dxa"/>
            </w:tcMar>
          </w:tcPr>
          <w:p w14:paraId="7C4D53E2"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 xml:space="preserve">تحسين </w:t>
            </w:r>
            <w:r>
              <w:rPr>
                <w:rFonts w:ascii="Arabic Typesetting" w:eastAsia="Arabic Typesetting" w:hAnsi="Arabic Typesetting" w:cs="Arabic Typesetting"/>
                <w:color w:val="000000"/>
                <w:sz w:val="28"/>
                <w:szCs w:val="28"/>
                <w:rtl/>
                <w:lang w:eastAsia="ar-EG" w:bidi="ar-EG"/>
              </w:rPr>
              <w:t>الخدمات الإلكترونية لسجل لشبونة</w:t>
            </w:r>
          </w:p>
        </w:tc>
        <w:tc>
          <w:tcPr>
            <w:tcW w:w="1556" w:type="pct"/>
            <w:shd w:val="clear" w:color="auto" w:fill="auto"/>
            <w:tcMar>
              <w:left w:w="58" w:type="dxa"/>
              <w:right w:w="58" w:type="dxa"/>
            </w:tcMar>
          </w:tcPr>
          <w:p w14:paraId="3D97FA24" w14:textId="77777777" w:rsidR="0027026F"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65312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53124">
              <w:rPr>
                <w:rFonts w:ascii="Arabic Typesetting" w:eastAsia="Arabic Typesetting" w:hAnsi="Arabic Typesetting" w:cs="Arabic Typesetting"/>
                <w:color w:val="002060"/>
                <w:sz w:val="28"/>
                <w:szCs w:val="28"/>
                <w:rtl/>
                <w:lang w:eastAsia="ar-EG" w:bidi="ar-EG"/>
              </w:rPr>
              <w:t>استُكملت الواجهة الإلكترونية التي تربط بين السجل الدولي وقاعدة بيانات لشبونة إكسبرس على موقع الويبو الإلكتروني وأُطلقت في 2014</w:t>
            </w:r>
          </w:p>
          <w:p w14:paraId="0A640648"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653124">
              <w:rPr>
                <w:rFonts w:ascii="Arabic Typesetting" w:eastAsia="Arabic Typesetting" w:hAnsi="Arabic Typesetting" w:cs="Arabic Typesetting"/>
                <w:i/>
                <w:iCs/>
                <w:sz w:val="28"/>
                <w:szCs w:val="28"/>
                <w:rtl/>
                <w:lang w:eastAsia="ar-EG" w:bidi="ar-EG"/>
              </w:rPr>
              <w:t>:</w:t>
            </w:r>
            <w:r w:rsidRPr="00653124">
              <w:rPr>
                <w:rFonts w:ascii="Arabic Typesetting" w:eastAsia="Arabic Typesetting" w:hAnsi="Arabic Typesetting" w:cs="Arabic Typesetting"/>
                <w:i/>
                <w:sz w:val="28"/>
                <w:szCs w:val="28"/>
                <w:lang w:eastAsia="ar-EG" w:bidi="ar-EG"/>
              </w:rPr>
              <w:br/>
            </w:r>
            <w:r w:rsidRPr="00653124">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653124">
              <w:rPr>
                <w:rFonts w:ascii="Arabic Typesetting" w:eastAsia="Arabic Typesetting" w:hAnsi="Arabic Typesetting" w:cs="Arabic Typesetting"/>
                <w:color w:val="000000"/>
                <w:sz w:val="28"/>
                <w:szCs w:val="28"/>
                <w:rtl/>
                <w:lang w:eastAsia="ar-EG" w:bidi="ar-EG"/>
              </w:rPr>
              <w:t>التنفيذ البسيط لسجل إلكتروني</w:t>
            </w:r>
          </w:p>
        </w:tc>
        <w:tc>
          <w:tcPr>
            <w:tcW w:w="818" w:type="pct"/>
            <w:shd w:val="clear" w:color="auto" w:fill="auto"/>
            <w:tcMar>
              <w:top w:w="110" w:type="dxa"/>
              <w:left w:w="58" w:type="dxa"/>
              <w:right w:w="58" w:type="dxa"/>
            </w:tcMar>
          </w:tcPr>
          <w:p w14:paraId="3A51AB68" w14:textId="77777777" w:rsidR="0027026F" w:rsidRPr="00653124" w:rsidRDefault="0027026F" w:rsidP="004B40B5">
            <w:pPr>
              <w:numPr>
                <w:ilvl w:val="0"/>
                <w:numId w:val="45"/>
              </w:numPr>
              <w:autoSpaceDE w:val="0"/>
              <w:autoSpaceDN w:val="0"/>
              <w:bidi/>
              <w:adjustRightInd w:val="0"/>
              <w:spacing w:after="120" w:line="280" w:lineRule="exact"/>
              <w:ind w:left="228" w:hanging="228"/>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استمارات شبكية للإيداع الإلكتروني</w:t>
            </w:r>
          </w:p>
        </w:tc>
        <w:tc>
          <w:tcPr>
            <w:tcW w:w="1117" w:type="pct"/>
            <w:shd w:val="clear" w:color="auto" w:fill="FFFFFF"/>
            <w:tcMar>
              <w:top w:w="110" w:type="dxa"/>
              <w:left w:w="58" w:type="dxa"/>
              <w:right w:w="58" w:type="dxa"/>
            </w:tcMar>
          </w:tcPr>
          <w:p w14:paraId="6A2997E9" w14:textId="77777777" w:rsidR="0027026F" w:rsidRPr="00653124"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653124">
              <w:rPr>
                <w:rFonts w:ascii="Arabic Typesetting" w:eastAsia="Arabic Typesetting" w:hAnsi="Arabic Typesetting" w:cs="Arabic Typesetting"/>
                <w:color w:val="000000"/>
                <w:sz w:val="28"/>
                <w:szCs w:val="28"/>
                <w:rtl/>
                <w:lang w:eastAsia="ar-EG" w:bidi="ar-EG"/>
              </w:rPr>
              <w:t>في نهاية عام 2016، كان إعداد استمارات الإيداع الإلكتروني لا</w:t>
            </w:r>
            <w:r>
              <w:rPr>
                <w:rFonts w:ascii="Arabic Typesetting" w:eastAsia="Arabic Typesetting" w:hAnsi="Arabic Typesetting" w:cs="Arabic Typesetting" w:hint="cs"/>
                <w:color w:val="000000"/>
                <w:sz w:val="28"/>
                <w:szCs w:val="28"/>
                <w:rtl/>
                <w:lang w:eastAsia="ar-EG" w:bidi="ar-EG"/>
              </w:rPr>
              <w:t> </w:t>
            </w:r>
            <w:r w:rsidRPr="00653124">
              <w:rPr>
                <w:rFonts w:ascii="Arabic Typesetting" w:eastAsia="Arabic Typesetting" w:hAnsi="Arabic Typesetting" w:cs="Arabic Typesetting"/>
                <w:color w:val="000000"/>
                <w:sz w:val="28"/>
                <w:szCs w:val="28"/>
                <w:rtl/>
                <w:lang w:eastAsia="ar-EG" w:bidi="ar-EG"/>
              </w:rPr>
              <w:t>يزال في مرحلة البحث</w:t>
            </w:r>
          </w:p>
        </w:tc>
        <w:tc>
          <w:tcPr>
            <w:tcW w:w="386" w:type="pct"/>
            <w:shd w:val="clear" w:color="auto" w:fill="auto"/>
            <w:tcMar>
              <w:top w:w="110" w:type="dxa"/>
              <w:left w:w="58" w:type="dxa"/>
              <w:right w:w="58" w:type="dxa"/>
            </w:tcMar>
          </w:tcPr>
          <w:p w14:paraId="58B5AB65" w14:textId="77777777" w:rsidR="0027026F" w:rsidRPr="00653124" w:rsidRDefault="0027026F" w:rsidP="004B40B5">
            <w:pPr>
              <w:bidi/>
              <w:spacing w:after="120" w:line="280" w:lineRule="exact"/>
              <w:jc w:val="center"/>
              <w:rPr>
                <w:rFonts w:ascii="Arabic Typesetting" w:eastAsia="Arabic Typesetting" w:hAnsi="Arabic Typesetting" w:cs="Arabic Typesetting"/>
                <w:b/>
                <w:color w:val="FF0000"/>
                <w:sz w:val="28"/>
                <w:szCs w:val="28"/>
                <w:lang w:eastAsia="ar-EG" w:bidi="ar-EG"/>
              </w:rPr>
            </w:pPr>
            <w:r w:rsidRPr="00653124">
              <w:rPr>
                <w:rFonts w:ascii="Arabic Typesetting" w:eastAsia="Arabic Typesetting" w:hAnsi="Arabic Typesetting" w:cs="Arabic Typesetting"/>
                <w:b/>
                <w:bCs/>
                <w:color w:val="FF0000"/>
                <w:sz w:val="28"/>
                <w:szCs w:val="28"/>
                <w:rtl/>
                <w:lang w:eastAsia="ar-EG" w:bidi="ar-EG"/>
              </w:rPr>
              <w:t>غير ثابت</w:t>
            </w:r>
          </w:p>
        </w:tc>
      </w:tr>
    </w:tbl>
    <w:p w14:paraId="7A6D15D8" w14:textId="77777777" w:rsidR="0027026F" w:rsidRDefault="0027026F" w:rsidP="0027026F">
      <w:pPr>
        <w:bidi/>
      </w:pPr>
    </w:p>
    <w:tbl>
      <w:tblPr>
        <w:tblStyle w:val="TableGrid"/>
        <w:bidiVisual/>
        <w:tblW w:w="0" w:type="auto"/>
        <w:tblLook w:val="04A0" w:firstRow="1" w:lastRow="0" w:firstColumn="1" w:lastColumn="0" w:noHBand="0" w:noVBand="1"/>
      </w:tblPr>
      <w:tblGrid>
        <w:gridCol w:w="9571"/>
      </w:tblGrid>
      <w:tr w:rsidR="0027026F" w14:paraId="0B2C2AAE" w14:textId="77777777" w:rsidTr="004B40B5">
        <w:tc>
          <w:tcPr>
            <w:tcW w:w="9571" w:type="dxa"/>
            <w:tcBorders>
              <w:top w:val="nil"/>
              <w:left w:val="nil"/>
              <w:bottom w:val="nil"/>
              <w:right w:val="nil"/>
            </w:tcBorders>
            <w:shd w:val="clear" w:color="auto" w:fill="C6D9F1"/>
            <w:vAlign w:val="center"/>
          </w:tcPr>
          <w:p w14:paraId="45EC0943" w14:textId="77777777" w:rsidR="0027026F" w:rsidRPr="00A2672B" w:rsidRDefault="0027026F" w:rsidP="004B40B5">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32</w:t>
            </w:r>
          </w:p>
        </w:tc>
      </w:tr>
    </w:tbl>
    <w:p w14:paraId="386E18CC" w14:textId="77777777" w:rsidR="0027026F" w:rsidRPr="00FE3908" w:rsidRDefault="0027026F" w:rsidP="0027026F">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72BA1DCD" w14:textId="77777777" w:rsidR="0027026F" w:rsidRDefault="0027026F" w:rsidP="0027026F">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27026F" w:rsidRPr="00211D55" w14:paraId="377E42B8" w14:textId="77777777" w:rsidTr="004B40B5">
        <w:trPr>
          <w:trHeight w:val="825"/>
        </w:trPr>
        <w:tc>
          <w:tcPr>
            <w:tcW w:w="2753" w:type="pct"/>
            <w:gridSpan w:val="2"/>
            <w:shd w:val="clear" w:color="auto" w:fill="C6D9F1"/>
            <w:noWrap/>
            <w:tcMar>
              <w:top w:w="15" w:type="dxa"/>
              <w:left w:w="15" w:type="dxa"/>
              <w:bottom w:w="0" w:type="dxa"/>
              <w:right w:w="15" w:type="dxa"/>
            </w:tcMar>
            <w:vAlign w:val="center"/>
            <w:hideMark/>
          </w:tcPr>
          <w:p w14:paraId="69163D8D" w14:textId="77777777" w:rsidR="0027026F" w:rsidRPr="00A2672B" w:rsidRDefault="0027026F" w:rsidP="004B40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154442A3" w14:textId="77777777" w:rsidR="0027026F" w:rsidRPr="00A2672B" w:rsidRDefault="0027026F" w:rsidP="004B40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76BD16B7" w14:textId="77777777" w:rsidR="0027026F" w:rsidRPr="00A2672B" w:rsidRDefault="0027026F" w:rsidP="004B40B5">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4F1D70D4" w14:textId="77777777" w:rsidR="0027026F" w:rsidRPr="00A2672B" w:rsidRDefault="0027026F" w:rsidP="004B40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27026F" w:rsidRPr="00211D55" w14:paraId="200AA528" w14:textId="77777777" w:rsidTr="004B40B5">
        <w:trPr>
          <w:trHeight w:val="55"/>
        </w:trPr>
        <w:tc>
          <w:tcPr>
            <w:tcW w:w="413" w:type="pct"/>
            <w:shd w:val="clear" w:color="auto" w:fill="auto"/>
            <w:noWrap/>
            <w:tcMar>
              <w:top w:w="15" w:type="dxa"/>
              <w:left w:w="15" w:type="dxa"/>
              <w:bottom w:w="0" w:type="dxa"/>
              <w:right w:w="15" w:type="dxa"/>
            </w:tcMar>
            <w:vAlign w:val="center"/>
          </w:tcPr>
          <w:p w14:paraId="01D24E2F" w14:textId="77777777" w:rsidR="0027026F" w:rsidRPr="00211D55" w:rsidRDefault="0027026F" w:rsidP="004B40B5">
            <w:pPr>
              <w:bidi/>
              <w:spacing w:before="120" w:after="120"/>
              <w:rPr>
                <w:rFonts w:ascii="Arabic Typesetting" w:hAnsi="Arabic Typesetting" w:cs="Arabic Typesetting"/>
                <w:sz w:val="28"/>
                <w:szCs w:val="28"/>
              </w:rPr>
            </w:pPr>
            <w:r w:rsidRPr="000708DD">
              <w:rPr>
                <w:rFonts w:ascii="Arabic Typesetting" w:hAnsi="Arabic Typesetting" w:cs="Arabic Typesetting"/>
                <w:sz w:val="28"/>
                <w:szCs w:val="28"/>
                <w:rtl/>
              </w:rPr>
              <w:t>ه10.2</w:t>
            </w:r>
          </w:p>
        </w:tc>
        <w:tc>
          <w:tcPr>
            <w:tcW w:w="2340" w:type="pct"/>
            <w:shd w:val="clear" w:color="auto" w:fill="auto"/>
            <w:tcMar>
              <w:top w:w="15" w:type="dxa"/>
              <w:left w:w="15" w:type="dxa"/>
              <w:bottom w:w="0" w:type="dxa"/>
              <w:right w:w="15" w:type="dxa"/>
            </w:tcMar>
            <w:vAlign w:val="center"/>
          </w:tcPr>
          <w:p w14:paraId="7C0E2388" w14:textId="77777777" w:rsidR="0027026F" w:rsidRPr="00211D55" w:rsidRDefault="0027026F" w:rsidP="004B40B5">
            <w:pPr>
              <w:bidi/>
              <w:spacing w:before="120" w:after="120"/>
              <w:rPr>
                <w:rFonts w:ascii="Arabic Typesetting" w:hAnsi="Arabic Typesetting" w:cs="Arabic Typesetting"/>
                <w:sz w:val="28"/>
                <w:szCs w:val="28"/>
                <w:lang w:bidi="ar-EG"/>
              </w:rPr>
            </w:pPr>
            <w:r w:rsidRPr="000708DD">
              <w:rPr>
                <w:rFonts w:ascii="Arabic Typesetting" w:hAnsi="Arabic Typesetting" w:cs="Arabic Typesetting"/>
                <w:sz w:val="28"/>
                <w:szCs w:val="28"/>
                <w:rtl/>
              </w:rPr>
              <w:t>استخدام نظام لشبونة على نطاق أوسع وبفعالية أكبر، بما في ذلك من قبل البلدان النامية والبلدان الأقل نموا</w:t>
            </w:r>
          </w:p>
        </w:tc>
        <w:tc>
          <w:tcPr>
            <w:tcW w:w="749" w:type="pct"/>
            <w:shd w:val="clear" w:color="auto" w:fill="auto"/>
            <w:tcMar>
              <w:top w:w="15" w:type="dxa"/>
              <w:left w:w="15" w:type="dxa"/>
              <w:bottom w:w="0" w:type="dxa"/>
              <w:right w:w="15" w:type="dxa"/>
            </w:tcMar>
            <w:vAlign w:val="center"/>
          </w:tcPr>
          <w:p w14:paraId="45761D08" w14:textId="77777777" w:rsidR="0027026F" w:rsidRPr="000708DD" w:rsidRDefault="0027026F" w:rsidP="004B40B5">
            <w:pPr>
              <w:keepNext/>
              <w:keepLines/>
              <w:jc w:val="center"/>
              <w:rPr>
                <w:rFonts w:ascii="Arabic Typesetting" w:hAnsi="Arabic Typesetting" w:cs="Arabic Typesetting"/>
                <w:color w:val="000000"/>
                <w:sz w:val="28"/>
                <w:szCs w:val="28"/>
              </w:rPr>
            </w:pPr>
            <w:r w:rsidRPr="000708DD">
              <w:rPr>
                <w:rFonts w:ascii="Arabic Typesetting" w:hAnsi="Arabic Typesetting" w:cs="Arabic Typesetting"/>
                <w:color w:val="000000"/>
                <w:sz w:val="28"/>
                <w:szCs w:val="28"/>
              </w:rPr>
              <w:t>785</w:t>
            </w:r>
          </w:p>
        </w:tc>
        <w:tc>
          <w:tcPr>
            <w:tcW w:w="749" w:type="pct"/>
            <w:shd w:val="clear" w:color="auto" w:fill="auto"/>
            <w:tcMar>
              <w:top w:w="15" w:type="dxa"/>
              <w:left w:w="15" w:type="dxa"/>
              <w:bottom w:w="0" w:type="dxa"/>
              <w:right w:w="15" w:type="dxa"/>
            </w:tcMar>
            <w:vAlign w:val="center"/>
          </w:tcPr>
          <w:p w14:paraId="5F4499A4" w14:textId="77777777" w:rsidR="0027026F" w:rsidRPr="000708DD" w:rsidRDefault="0027026F" w:rsidP="004B40B5">
            <w:pPr>
              <w:keepNext/>
              <w:keepLines/>
              <w:jc w:val="center"/>
              <w:rPr>
                <w:rFonts w:ascii="Arabic Typesetting" w:hAnsi="Arabic Typesetting" w:cs="Arabic Typesetting"/>
                <w:color w:val="000000"/>
                <w:sz w:val="28"/>
                <w:szCs w:val="28"/>
              </w:rPr>
            </w:pPr>
            <w:r w:rsidRPr="000708DD">
              <w:rPr>
                <w:rFonts w:ascii="Arabic Typesetting" w:hAnsi="Arabic Typesetting" w:cs="Arabic Typesetting"/>
                <w:color w:val="000000"/>
                <w:sz w:val="28"/>
                <w:szCs w:val="28"/>
              </w:rPr>
              <w:t>996</w:t>
            </w:r>
          </w:p>
        </w:tc>
        <w:tc>
          <w:tcPr>
            <w:tcW w:w="749" w:type="pct"/>
            <w:shd w:val="clear" w:color="auto" w:fill="auto"/>
            <w:noWrap/>
            <w:tcMar>
              <w:top w:w="15" w:type="dxa"/>
              <w:left w:w="15" w:type="dxa"/>
              <w:bottom w:w="0" w:type="dxa"/>
              <w:right w:w="15" w:type="dxa"/>
            </w:tcMar>
            <w:vAlign w:val="center"/>
          </w:tcPr>
          <w:p w14:paraId="65C70B55" w14:textId="77777777" w:rsidR="0027026F" w:rsidRPr="000708DD" w:rsidRDefault="0027026F" w:rsidP="004B40B5">
            <w:pPr>
              <w:keepNext/>
              <w:keepLines/>
              <w:jc w:val="center"/>
              <w:rPr>
                <w:rFonts w:ascii="Arabic Typesetting" w:hAnsi="Arabic Typesetting" w:cs="Arabic Typesetting"/>
                <w:color w:val="000000"/>
                <w:sz w:val="28"/>
                <w:szCs w:val="28"/>
              </w:rPr>
            </w:pPr>
            <w:r w:rsidRPr="000708DD">
              <w:rPr>
                <w:rFonts w:ascii="Arabic Typesetting" w:hAnsi="Arabic Typesetting" w:cs="Arabic Typesetting"/>
                <w:color w:val="000000"/>
                <w:sz w:val="28"/>
                <w:szCs w:val="28"/>
              </w:rPr>
              <w:t>374</w:t>
            </w:r>
          </w:p>
        </w:tc>
      </w:tr>
      <w:tr w:rsidR="0027026F" w:rsidRPr="00211D55" w14:paraId="59CBC708" w14:textId="77777777" w:rsidTr="004B40B5">
        <w:trPr>
          <w:trHeight w:val="55"/>
        </w:trPr>
        <w:tc>
          <w:tcPr>
            <w:tcW w:w="413" w:type="pct"/>
            <w:shd w:val="clear" w:color="auto" w:fill="auto"/>
            <w:noWrap/>
            <w:tcMar>
              <w:top w:w="15" w:type="dxa"/>
              <w:left w:w="15" w:type="dxa"/>
              <w:bottom w:w="0" w:type="dxa"/>
              <w:right w:w="15" w:type="dxa"/>
            </w:tcMar>
            <w:vAlign w:val="center"/>
          </w:tcPr>
          <w:p w14:paraId="536EAAE0" w14:textId="77777777" w:rsidR="0027026F" w:rsidRPr="00211D55" w:rsidRDefault="0027026F" w:rsidP="004B40B5">
            <w:pPr>
              <w:bidi/>
              <w:spacing w:before="120" w:after="120"/>
              <w:rPr>
                <w:rFonts w:ascii="Arabic Typesetting" w:hAnsi="Arabic Typesetting" w:cs="Arabic Typesetting"/>
                <w:sz w:val="28"/>
                <w:szCs w:val="28"/>
              </w:rPr>
            </w:pPr>
            <w:r w:rsidRPr="000708DD">
              <w:rPr>
                <w:rFonts w:ascii="Arabic Typesetting" w:hAnsi="Arabic Typesetting" w:cs="Arabic Typesetting"/>
                <w:sz w:val="28"/>
                <w:szCs w:val="28"/>
                <w:rtl/>
              </w:rPr>
              <w:t>ه11.2</w:t>
            </w:r>
          </w:p>
        </w:tc>
        <w:tc>
          <w:tcPr>
            <w:tcW w:w="2340" w:type="pct"/>
            <w:shd w:val="clear" w:color="auto" w:fill="auto"/>
            <w:tcMar>
              <w:top w:w="15" w:type="dxa"/>
              <w:left w:w="15" w:type="dxa"/>
              <w:bottom w:w="0" w:type="dxa"/>
              <w:right w:w="15" w:type="dxa"/>
            </w:tcMar>
            <w:vAlign w:val="center"/>
          </w:tcPr>
          <w:p w14:paraId="579E27D1" w14:textId="77777777" w:rsidR="0027026F" w:rsidRPr="00211D55" w:rsidRDefault="0027026F" w:rsidP="004B40B5">
            <w:pPr>
              <w:bidi/>
              <w:spacing w:before="120" w:after="120"/>
              <w:rPr>
                <w:rFonts w:ascii="Arabic Typesetting" w:hAnsi="Arabic Typesetting" w:cs="Arabic Typesetting"/>
                <w:sz w:val="28"/>
                <w:szCs w:val="28"/>
              </w:rPr>
            </w:pPr>
            <w:r>
              <w:rPr>
                <w:rFonts w:ascii="Arabic Typesetting" w:eastAsia="Arabic Typesetting" w:hAnsi="Arabic Typesetting" w:cs="Arabic Typesetting" w:hint="cs"/>
                <w:color w:val="000000"/>
                <w:sz w:val="28"/>
                <w:szCs w:val="28"/>
                <w:rtl/>
                <w:lang w:eastAsia="ar-EG" w:bidi="ar-EG"/>
              </w:rPr>
              <w:t>إنتاجية وجودة خدمات محسّنة</w:t>
            </w:r>
            <w:r w:rsidRPr="00653124">
              <w:rPr>
                <w:rFonts w:ascii="Arabic Typesetting" w:eastAsia="Arabic Typesetting" w:hAnsi="Arabic Typesetting" w:cs="Arabic Typesetting"/>
                <w:color w:val="000000"/>
                <w:sz w:val="28"/>
                <w:szCs w:val="28"/>
                <w:rtl/>
                <w:lang w:eastAsia="ar-EG" w:bidi="ar-EG"/>
              </w:rPr>
              <w:t xml:space="preserve"> في عمليات نظام لشبونة</w:t>
            </w:r>
          </w:p>
        </w:tc>
        <w:tc>
          <w:tcPr>
            <w:tcW w:w="749" w:type="pct"/>
            <w:shd w:val="clear" w:color="auto" w:fill="auto"/>
            <w:tcMar>
              <w:top w:w="15" w:type="dxa"/>
              <w:left w:w="15" w:type="dxa"/>
              <w:bottom w:w="0" w:type="dxa"/>
              <w:right w:w="15" w:type="dxa"/>
            </w:tcMar>
            <w:vAlign w:val="center"/>
          </w:tcPr>
          <w:p w14:paraId="696A71F6" w14:textId="77777777" w:rsidR="0027026F" w:rsidRPr="000708DD" w:rsidRDefault="0027026F" w:rsidP="004B40B5">
            <w:pPr>
              <w:keepNext/>
              <w:keepLines/>
              <w:jc w:val="center"/>
              <w:rPr>
                <w:rFonts w:ascii="Arabic Typesetting" w:hAnsi="Arabic Typesetting" w:cs="Arabic Typesetting"/>
                <w:color w:val="000000"/>
                <w:sz w:val="28"/>
                <w:szCs w:val="28"/>
              </w:rPr>
            </w:pPr>
            <w:r w:rsidRPr="000708DD">
              <w:rPr>
                <w:rFonts w:ascii="Arabic Typesetting" w:hAnsi="Arabic Typesetting" w:cs="Arabic Typesetting"/>
                <w:color w:val="000000"/>
                <w:sz w:val="28"/>
                <w:szCs w:val="28"/>
              </w:rPr>
              <w:t>550</w:t>
            </w:r>
          </w:p>
        </w:tc>
        <w:tc>
          <w:tcPr>
            <w:tcW w:w="749" w:type="pct"/>
            <w:shd w:val="clear" w:color="auto" w:fill="auto"/>
            <w:tcMar>
              <w:top w:w="15" w:type="dxa"/>
              <w:left w:w="15" w:type="dxa"/>
              <w:bottom w:w="0" w:type="dxa"/>
              <w:right w:w="15" w:type="dxa"/>
            </w:tcMar>
            <w:vAlign w:val="center"/>
          </w:tcPr>
          <w:p w14:paraId="33A2DFEE" w14:textId="77777777" w:rsidR="0027026F" w:rsidRPr="000708DD" w:rsidRDefault="0027026F" w:rsidP="004B40B5">
            <w:pPr>
              <w:keepNext/>
              <w:keepLines/>
              <w:jc w:val="center"/>
              <w:rPr>
                <w:rFonts w:ascii="Arabic Typesetting" w:hAnsi="Arabic Typesetting" w:cs="Arabic Typesetting"/>
                <w:color w:val="000000"/>
                <w:sz w:val="28"/>
                <w:szCs w:val="28"/>
              </w:rPr>
            </w:pPr>
            <w:r w:rsidRPr="000708DD">
              <w:rPr>
                <w:rFonts w:ascii="Arabic Typesetting" w:hAnsi="Arabic Typesetting" w:cs="Arabic Typesetting"/>
                <w:color w:val="000000"/>
                <w:sz w:val="28"/>
                <w:szCs w:val="28"/>
              </w:rPr>
              <w:t>588</w:t>
            </w:r>
          </w:p>
        </w:tc>
        <w:tc>
          <w:tcPr>
            <w:tcW w:w="749" w:type="pct"/>
            <w:shd w:val="clear" w:color="auto" w:fill="auto"/>
            <w:noWrap/>
            <w:tcMar>
              <w:top w:w="15" w:type="dxa"/>
              <w:left w:w="15" w:type="dxa"/>
              <w:bottom w:w="0" w:type="dxa"/>
              <w:right w:w="15" w:type="dxa"/>
            </w:tcMar>
            <w:vAlign w:val="center"/>
          </w:tcPr>
          <w:p w14:paraId="0A758714" w14:textId="77777777" w:rsidR="0027026F" w:rsidRPr="000708DD" w:rsidRDefault="0027026F" w:rsidP="004B40B5">
            <w:pPr>
              <w:keepNext/>
              <w:keepLines/>
              <w:jc w:val="center"/>
              <w:rPr>
                <w:rFonts w:ascii="Arabic Typesetting" w:hAnsi="Arabic Typesetting" w:cs="Arabic Typesetting"/>
                <w:color w:val="000000"/>
                <w:sz w:val="28"/>
                <w:szCs w:val="28"/>
              </w:rPr>
            </w:pPr>
            <w:r w:rsidRPr="000708DD">
              <w:rPr>
                <w:rFonts w:ascii="Arabic Typesetting" w:hAnsi="Arabic Typesetting" w:cs="Arabic Typesetting"/>
                <w:color w:val="000000"/>
                <w:sz w:val="28"/>
                <w:szCs w:val="28"/>
              </w:rPr>
              <w:t>262</w:t>
            </w:r>
          </w:p>
        </w:tc>
      </w:tr>
      <w:tr w:rsidR="0027026F" w:rsidRPr="00211D55" w14:paraId="0638BD0D" w14:textId="77777777" w:rsidTr="004B40B5">
        <w:trPr>
          <w:trHeight w:val="225"/>
        </w:trPr>
        <w:tc>
          <w:tcPr>
            <w:tcW w:w="413" w:type="pct"/>
            <w:shd w:val="clear" w:color="auto" w:fill="C6D9F1"/>
            <w:noWrap/>
            <w:tcMar>
              <w:top w:w="15" w:type="dxa"/>
              <w:left w:w="15" w:type="dxa"/>
              <w:bottom w:w="0" w:type="dxa"/>
              <w:right w:w="15" w:type="dxa"/>
            </w:tcMar>
            <w:vAlign w:val="bottom"/>
            <w:hideMark/>
          </w:tcPr>
          <w:p w14:paraId="799F63A8" w14:textId="77777777" w:rsidR="0027026F" w:rsidRPr="00211D55" w:rsidRDefault="0027026F" w:rsidP="004B40B5">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72BF177E" w14:textId="77777777" w:rsidR="0027026F" w:rsidRPr="00280D1A" w:rsidRDefault="0027026F" w:rsidP="004B40B5">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27F53988" w14:textId="77777777" w:rsidR="0027026F" w:rsidRPr="00280D1A" w:rsidRDefault="0027026F" w:rsidP="004B40B5">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1 335</w:t>
            </w:r>
          </w:p>
        </w:tc>
        <w:tc>
          <w:tcPr>
            <w:tcW w:w="749" w:type="pct"/>
            <w:shd w:val="clear" w:color="auto" w:fill="C6D9F1"/>
            <w:noWrap/>
            <w:tcMar>
              <w:top w:w="15" w:type="dxa"/>
              <w:left w:w="15" w:type="dxa"/>
              <w:bottom w:w="0" w:type="dxa"/>
              <w:right w:w="15" w:type="dxa"/>
            </w:tcMar>
            <w:vAlign w:val="center"/>
          </w:tcPr>
          <w:p w14:paraId="05ACDA85" w14:textId="77777777" w:rsidR="0027026F" w:rsidRPr="00280D1A" w:rsidRDefault="0027026F" w:rsidP="004B40B5">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1 584</w:t>
            </w:r>
          </w:p>
        </w:tc>
        <w:tc>
          <w:tcPr>
            <w:tcW w:w="749" w:type="pct"/>
            <w:shd w:val="clear" w:color="auto" w:fill="C6D9F1"/>
            <w:noWrap/>
            <w:tcMar>
              <w:top w:w="15" w:type="dxa"/>
              <w:left w:w="15" w:type="dxa"/>
              <w:bottom w:w="0" w:type="dxa"/>
              <w:right w:w="15" w:type="dxa"/>
            </w:tcMar>
            <w:vAlign w:val="center"/>
          </w:tcPr>
          <w:p w14:paraId="5347D810" w14:textId="77777777" w:rsidR="0027026F" w:rsidRPr="00280D1A" w:rsidRDefault="0027026F" w:rsidP="004B40B5">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636</w:t>
            </w:r>
          </w:p>
        </w:tc>
      </w:tr>
      <w:tr w:rsidR="0027026F" w:rsidRPr="00211D55" w14:paraId="6459D21F" w14:textId="77777777" w:rsidTr="004B40B5">
        <w:trPr>
          <w:trHeight w:val="225"/>
        </w:trPr>
        <w:tc>
          <w:tcPr>
            <w:tcW w:w="5000" w:type="pct"/>
            <w:gridSpan w:val="5"/>
            <w:shd w:val="clear" w:color="auto" w:fill="auto"/>
            <w:noWrap/>
            <w:tcMar>
              <w:top w:w="15" w:type="dxa"/>
              <w:left w:w="15" w:type="dxa"/>
              <w:bottom w:w="0" w:type="dxa"/>
              <w:right w:w="15" w:type="dxa"/>
            </w:tcMar>
            <w:vAlign w:val="bottom"/>
          </w:tcPr>
          <w:p w14:paraId="49B94A07" w14:textId="77777777" w:rsidR="0027026F" w:rsidRPr="00A2672B" w:rsidRDefault="0027026F" w:rsidP="004B40B5">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64DED876" w14:textId="77777777" w:rsidR="0027026F" w:rsidRPr="00252762" w:rsidRDefault="0027026F" w:rsidP="0027026F">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5423019B" w14:textId="77777777" w:rsidR="0027026F" w:rsidRPr="00DF1D8A" w:rsidRDefault="0027026F" w:rsidP="0027026F">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27026F" w:rsidRPr="00211D55" w14:paraId="32D32BC7" w14:textId="77777777" w:rsidTr="004B40B5">
        <w:trPr>
          <w:trHeight w:val="645"/>
        </w:trPr>
        <w:tc>
          <w:tcPr>
            <w:tcW w:w="1118" w:type="pct"/>
            <w:shd w:val="clear" w:color="auto" w:fill="C6D9F1"/>
            <w:noWrap/>
            <w:vAlign w:val="center"/>
            <w:hideMark/>
          </w:tcPr>
          <w:p w14:paraId="5E016FDF" w14:textId="77777777" w:rsidR="0027026F" w:rsidRPr="00211D55" w:rsidRDefault="0027026F" w:rsidP="004B40B5">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782DB2AC" w14:textId="77777777" w:rsidR="0027026F" w:rsidRPr="00211D55" w:rsidRDefault="0027026F" w:rsidP="004B40B5">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0C2C6992" w14:textId="77777777" w:rsidR="0027026F" w:rsidRPr="00211D55" w:rsidRDefault="0027026F" w:rsidP="004B40B5">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1EDACDE6" w14:textId="77777777" w:rsidR="0027026F" w:rsidRPr="00211D55" w:rsidRDefault="0027026F" w:rsidP="004B40B5">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4B19AB73" w14:textId="77777777" w:rsidR="0027026F" w:rsidRPr="00211D55" w:rsidRDefault="0027026F" w:rsidP="004B40B5">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27026F" w:rsidRPr="00211D55" w14:paraId="3FB8F973" w14:textId="77777777" w:rsidTr="004B40B5">
        <w:trPr>
          <w:trHeight w:val="70"/>
        </w:trPr>
        <w:tc>
          <w:tcPr>
            <w:tcW w:w="1118" w:type="pct"/>
            <w:shd w:val="clear" w:color="auto" w:fill="auto"/>
            <w:noWrap/>
            <w:vAlign w:val="center"/>
            <w:hideMark/>
          </w:tcPr>
          <w:p w14:paraId="6A433254" w14:textId="77777777" w:rsidR="0027026F" w:rsidRPr="00211D55" w:rsidRDefault="0027026F" w:rsidP="004B40B5">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2EEEB3D5" w14:textId="77777777" w:rsidR="0027026F" w:rsidRPr="003A15CA" w:rsidRDefault="0027026F" w:rsidP="004B40B5">
            <w:pPr>
              <w:jc w:val="center"/>
              <w:rPr>
                <w:color w:val="000000"/>
                <w:sz w:val="16"/>
                <w:szCs w:val="16"/>
              </w:rPr>
            </w:pPr>
            <w:r w:rsidRPr="003A15CA">
              <w:rPr>
                <w:color w:val="000000"/>
                <w:sz w:val="16"/>
                <w:szCs w:val="16"/>
              </w:rPr>
              <w:t>1</w:t>
            </w:r>
            <w:r>
              <w:rPr>
                <w:color w:val="000000"/>
                <w:sz w:val="16"/>
                <w:szCs w:val="16"/>
              </w:rPr>
              <w:t> </w:t>
            </w:r>
            <w:r w:rsidRPr="003A15CA">
              <w:rPr>
                <w:color w:val="000000"/>
                <w:sz w:val="16"/>
                <w:szCs w:val="16"/>
              </w:rPr>
              <w:t xml:space="preserve">124 </w:t>
            </w:r>
          </w:p>
        </w:tc>
        <w:tc>
          <w:tcPr>
            <w:tcW w:w="971" w:type="pct"/>
            <w:shd w:val="clear" w:color="auto" w:fill="auto"/>
            <w:vAlign w:val="center"/>
          </w:tcPr>
          <w:p w14:paraId="1675BAC3" w14:textId="77777777" w:rsidR="0027026F" w:rsidRPr="003A15CA" w:rsidRDefault="0027026F" w:rsidP="004B40B5">
            <w:pPr>
              <w:jc w:val="center"/>
              <w:rPr>
                <w:color w:val="000000"/>
                <w:sz w:val="16"/>
                <w:szCs w:val="16"/>
              </w:rPr>
            </w:pPr>
            <w:r w:rsidRPr="003A15CA">
              <w:rPr>
                <w:color w:val="000000"/>
                <w:sz w:val="16"/>
                <w:szCs w:val="16"/>
              </w:rPr>
              <w:t>1</w:t>
            </w:r>
            <w:r>
              <w:rPr>
                <w:color w:val="000000"/>
                <w:sz w:val="16"/>
                <w:szCs w:val="16"/>
              </w:rPr>
              <w:t> </w:t>
            </w:r>
            <w:r w:rsidRPr="003A15CA">
              <w:rPr>
                <w:color w:val="000000"/>
                <w:sz w:val="16"/>
                <w:szCs w:val="16"/>
              </w:rPr>
              <w:t xml:space="preserve">373 </w:t>
            </w:r>
          </w:p>
        </w:tc>
        <w:tc>
          <w:tcPr>
            <w:tcW w:w="970" w:type="pct"/>
            <w:shd w:val="clear" w:color="auto" w:fill="auto"/>
            <w:vAlign w:val="center"/>
          </w:tcPr>
          <w:p w14:paraId="3D8A9026" w14:textId="77777777" w:rsidR="0027026F" w:rsidRPr="003A15CA" w:rsidRDefault="0027026F" w:rsidP="004B40B5">
            <w:pPr>
              <w:jc w:val="center"/>
              <w:rPr>
                <w:color w:val="000000"/>
                <w:sz w:val="16"/>
                <w:szCs w:val="16"/>
              </w:rPr>
            </w:pPr>
            <w:r w:rsidRPr="003A15CA">
              <w:rPr>
                <w:color w:val="000000"/>
                <w:sz w:val="16"/>
                <w:szCs w:val="16"/>
              </w:rPr>
              <w:t xml:space="preserve">554 </w:t>
            </w:r>
          </w:p>
        </w:tc>
        <w:tc>
          <w:tcPr>
            <w:tcW w:w="970" w:type="pct"/>
            <w:shd w:val="clear" w:color="auto" w:fill="auto"/>
            <w:vAlign w:val="center"/>
          </w:tcPr>
          <w:p w14:paraId="07C8DC52" w14:textId="77777777" w:rsidR="0027026F" w:rsidRPr="003A15CA" w:rsidRDefault="0027026F" w:rsidP="004B40B5">
            <w:pPr>
              <w:jc w:val="center"/>
              <w:rPr>
                <w:color w:val="000000"/>
                <w:sz w:val="16"/>
                <w:szCs w:val="16"/>
              </w:rPr>
            </w:pPr>
            <w:r>
              <w:rPr>
                <w:color w:val="000000"/>
                <w:sz w:val="16"/>
                <w:szCs w:val="16"/>
              </w:rPr>
              <w:t>%40</w:t>
            </w:r>
          </w:p>
        </w:tc>
      </w:tr>
      <w:tr w:rsidR="0027026F" w:rsidRPr="00211D55" w14:paraId="5C3F313F" w14:textId="77777777" w:rsidTr="004B40B5">
        <w:trPr>
          <w:trHeight w:val="70"/>
        </w:trPr>
        <w:tc>
          <w:tcPr>
            <w:tcW w:w="1118" w:type="pct"/>
            <w:shd w:val="clear" w:color="auto" w:fill="auto"/>
            <w:noWrap/>
            <w:vAlign w:val="center"/>
            <w:hideMark/>
          </w:tcPr>
          <w:p w14:paraId="36468B71" w14:textId="77777777" w:rsidR="0027026F" w:rsidRPr="00211D55" w:rsidRDefault="0027026F" w:rsidP="004B40B5">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4B603FA6" w14:textId="77777777" w:rsidR="0027026F" w:rsidRPr="003A15CA" w:rsidRDefault="0027026F" w:rsidP="004B40B5">
            <w:pPr>
              <w:jc w:val="center"/>
              <w:rPr>
                <w:color w:val="000000"/>
                <w:sz w:val="16"/>
                <w:szCs w:val="16"/>
              </w:rPr>
            </w:pPr>
            <w:r w:rsidRPr="003A15CA">
              <w:rPr>
                <w:color w:val="000000"/>
                <w:sz w:val="16"/>
                <w:szCs w:val="16"/>
              </w:rPr>
              <w:t xml:space="preserve">211 </w:t>
            </w:r>
          </w:p>
        </w:tc>
        <w:tc>
          <w:tcPr>
            <w:tcW w:w="971" w:type="pct"/>
            <w:shd w:val="clear" w:color="auto" w:fill="auto"/>
            <w:vAlign w:val="center"/>
          </w:tcPr>
          <w:p w14:paraId="467695BA" w14:textId="77777777" w:rsidR="0027026F" w:rsidRPr="003A15CA" w:rsidRDefault="0027026F" w:rsidP="004B40B5">
            <w:pPr>
              <w:jc w:val="center"/>
              <w:rPr>
                <w:color w:val="000000"/>
                <w:sz w:val="16"/>
                <w:szCs w:val="16"/>
              </w:rPr>
            </w:pPr>
            <w:r w:rsidRPr="003A15CA">
              <w:rPr>
                <w:color w:val="000000"/>
                <w:sz w:val="16"/>
                <w:szCs w:val="16"/>
              </w:rPr>
              <w:t xml:space="preserve">211 </w:t>
            </w:r>
          </w:p>
        </w:tc>
        <w:tc>
          <w:tcPr>
            <w:tcW w:w="970" w:type="pct"/>
            <w:shd w:val="clear" w:color="auto" w:fill="auto"/>
            <w:vAlign w:val="center"/>
          </w:tcPr>
          <w:p w14:paraId="4E5AD2EA" w14:textId="77777777" w:rsidR="0027026F" w:rsidRPr="003A15CA" w:rsidRDefault="0027026F" w:rsidP="004B40B5">
            <w:pPr>
              <w:jc w:val="center"/>
              <w:rPr>
                <w:color w:val="000000"/>
                <w:sz w:val="16"/>
                <w:szCs w:val="16"/>
              </w:rPr>
            </w:pPr>
            <w:r w:rsidRPr="003A15CA">
              <w:rPr>
                <w:color w:val="000000"/>
                <w:sz w:val="16"/>
                <w:szCs w:val="16"/>
              </w:rPr>
              <w:t xml:space="preserve">82 </w:t>
            </w:r>
          </w:p>
        </w:tc>
        <w:tc>
          <w:tcPr>
            <w:tcW w:w="970" w:type="pct"/>
            <w:shd w:val="clear" w:color="auto" w:fill="auto"/>
            <w:vAlign w:val="center"/>
          </w:tcPr>
          <w:p w14:paraId="0D5A4CC1" w14:textId="77777777" w:rsidR="0027026F" w:rsidRPr="003A15CA" w:rsidRDefault="0027026F" w:rsidP="004B40B5">
            <w:pPr>
              <w:jc w:val="center"/>
              <w:rPr>
                <w:color w:val="000000"/>
                <w:sz w:val="16"/>
                <w:szCs w:val="16"/>
              </w:rPr>
            </w:pPr>
            <w:r>
              <w:rPr>
                <w:color w:val="000000"/>
                <w:sz w:val="16"/>
                <w:szCs w:val="16"/>
              </w:rPr>
              <w:t>%39</w:t>
            </w:r>
          </w:p>
        </w:tc>
      </w:tr>
      <w:tr w:rsidR="0027026F" w:rsidRPr="00211D55" w14:paraId="01FA44E2" w14:textId="77777777" w:rsidTr="00AF6433">
        <w:trPr>
          <w:trHeight w:val="70"/>
        </w:trPr>
        <w:tc>
          <w:tcPr>
            <w:tcW w:w="1118" w:type="pct"/>
            <w:shd w:val="clear" w:color="auto" w:fill="C6D9F1"/>
            <w:noWrap/>
            <w:vAlign w:val="center"/>
            <w:hideMark/>
          </w:tcPr>
          <w:p w14:paraId="7F51335F" w14:textId="77777777" w:rsidR="0027026F" w:rsidRPr="00211D55" w:rsidRDefault="0027026F" w:rsidP="004B40B5">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692CBC85" w14:textId="77777777" w:rsidR="0027026F" w:rsidRPr="003A15CA" w:rsidRDefault="0027026F" w:rsidP="004B40B5">
            <w:pPr>
              <w:jc w:val="center"/>
              <w:rPr>
                <w:b/>
                <w:bCs/>
                <w:color w:val="000000"/>
                <w:sz w:val="16"/>
                <w:szCs w:val="16"/>
              </w:rPr>
            </w:pPr>
            <w:r w:rsidRPr="003A15CA">
              <w:rPr>
                <w:b/>
                <w:bCs/>
                <w:color w:val="000000"/>
                <w:sz w:val="16"/>
                <w:szCs w:val="16"/>
              </w:rPr>
              <w:t>1</w:t>
            </w:r>
            <w:r>
              <w:rPr>
                <w:b/>
                <w:bCs/>
                <w:color w:val="000000"/>
                <w:sz w:val="16"/>
                <w:szCs w:val="16"/>
              </w:rPr>
              <w:t> </w:t>
            </w:r>
            <w:r w:rsidRPr="003A15CA">
              <w:rPr>
                <w:b/>
                <w:bCs/>
                <w:color w:val="000000"/>
                <w:sz w:val="16"/>
                <w:szCs w:val="16"/>
              </w:rPr>
              <w:t xml:space="preserve">335 </w:t>
            </w:r>
          </w:p>
        </w:tc>
        <w:tc>
          <w:tcPr>
            <w:tcW w:w="971" w:type="pct"/>
            <w:shd w:val="clear" w:color="auto" w:fill="C6D9F1"/>
            <w:vAlign w:val="center"/>
          </w:tcPr>
          <w:p w14:paraId="744921A4" w14:textId="77777777" w:rsidR="0027026F" w:rsidRPr="003A15CA" w:rsidRDefault="0027026F" w:rsidP="004B40B5">
            <w:pPr>
              <w:jc w:val="center"/>
              <w:rPr>
                <w:b/>
                <w:bCs/>
                <w:color w:val="000000"/>
                <w:sz w:val="16"/>
                <w:szCs w:val="16"/>
              </w:rPr>
            </w:pPr>
            <w:r w:rsidRPr="003A15CA">
              <w:rPr>
                <w:b/>
                <w:bCs/>
                <w:color w:val="000000"/>
                <w:sz w:val="16"/>
                <w:szCs w:val="16"/>
              </w:rPr>
              <w:t>1</w:t>
            </w:r>
            <w:r>
              <w:rPr>
                <w:b/>
                <w:bCs/>
                <w:color w:val="000000"/>
                <w:sz w:val="16"/>
                <w:szCs w:val="16"/>
              </w:rPr>
              <w:t> </w:t>
            </w:r>
            <w:r w:rsidRPr="003A15CA">
              <w:rPr>
                <w:b/>
                <w:bCs/>
                <w:color w:val="000000"/>
                <w:sz w:val="16"/>
                <w:szCs w:val="16"/>
              </w:rPr>
              <w:t xml:space="preserve">584 </w:t>
            </w:r>
          </w:p>
        </w:tc>
        <w:tc>
          <w:tcPr>
            <w:tcW w:w="970" w:type="pct"/>
            <w:shd w:val="clear" w:color="auto" w:fill="C6D9F1"/>
            <w:vAlign w:val="center"/>
          </w:tcPr>
          <w:p w14:paraId="349C7CED" w14:textId="77777777" w:rsidR="0027026F" w:rsidRPr="003A15CA" w:rsidRDefault="0027026F" w:rsidP="004B40B5">
            <w:pPr>
              <w:jc w:val="center"/>
              <w:rPr>
                <w:b/>
                <w:bCs/>
                <w:color w:val="000000"/>
                <w:sz w:val="16"/>
                <w:szCs w:val="16"/>
              </w:rPr>
            </w:pPr>
            <w:r w:rsidRPr="003A15CA">
              <w:rPr>
                <w:b/>
                <w:bCs/>
                <w:color w:val="000000"/>
                <w:sz w:val="16"/>
                <w:szCs w:val="16"/>
              </w:rPr>
              <w:t xml:space="preserve">636 </w:t>
            </w:r>
          </w:p>
        </w:tc>
        <w:tc>
          <w:tcPr>
            <w:tcW w:w="970" w:type="pct"/>
            <w:shd w:val="clear" w:color="auto" w:fill="C6D9F1"/>
            <w:vAlign w:val="center"/>
          </w:tcPr>
          <w:p w14:paraId="72715C99" w14:textId="77777777" w:rsidR="0027026F" w:rsidRPr="003A15CA" w:rsidRDefault="0027026F" w:rsidP="004B40B5">
            <w:pPr>
              <w:jc w:val="center"/>
              <w:rPr>
                <w:b/>
                <w:bCs/>
                <w:color w:val="000000"/>
                <w:sz w:val="16"/>
                <w:szCs w:val="16"/>
              </w:rPr>
            </w:pPr>
            <w:r>
              <w:rPr>
                <w:b/>
                <w:bCs/>
                <w:color w:val="000000"/>
                <w:sz w:val="16"/>
                <w:szCs w:val="16"/>
              </w:rPr>
              <w:t>%40</w:t>
            </w:r>
          </w:p>
        </w:tc>
      </w:tr>
      <w:tr w:rsidR="0027026F" w:rsidRPr="00211D55" w14:paraId="4AB5B2E2" w14:textId="77777777" w:rsidTr="004B40B5">
        <w:trPr>
          <w:trHeight w:val="540"/>
        </w:trPr>
        <w:tc>
          <w:tcPr>
            <w:tcW w:w="5000" w:type="pct"/>
            <w:gridSpan w:val="5"/>
            <w:shd w:val="clear" w:color="auto" w:fill="auto"/>
            <w:noWrap/>
            <w:vAlign w:val="center"/>
          </w:tcPr>
          <w:p w14:paraId="793149C5" w14:textId="77777777" w:rsidR="0027026F" w:rsidRDefault="0027026F" w:rsidP="004B40B5">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72E80932" w14:textId="77777777" w:rsidR="0027026F" w:rsidRPr="00D41845" w:rsidRDefault="0027026F" w:rsidP="004B40B5">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379C5B59" w14:textId="77777777" w:rsidR="0027026F" w:rsidRPr="00706F20" w:rsidRDefault="0027026F" w:rsidP="0027026F">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0469379B" w14:textId="25B60E5F" w:rsidR="0027026F" w:rsidRPr="00653124" w:rsidRDefault="0027026F" w:rsidP="00D94CDB">
      <w:pPr>
        <w:numPr>
          <w:ilvl w:val="1"/>
          <w:numId w:val="99"/>
        </w:numPr>
        <w:bidi/>
        <w:spacing w:after="240" w:line="360" w:lineRule="exact"/>
        <w:ind w:left="0" w:hanging="1"/>
        <w:rPr>
          <w:rFonts w:ascii="Arabic Typesetting" w:hAnsi="Arabic Typesetting" w:cs="Arabic Typesetting"/>
          <w:sz w:val="34"/>
          <w:szCs w:val="34"/>
        </w:rPr>
      </w:pPr>
      <w:r w:rsidRPr="00653124">
        <w:rPr>
          <w:rFonts w:ascii="Arabic Typesetting" w:hAnsi="Arabic Typesetting" w:cs="Arabic Typesetting"/>
          <w:sz w:val="34"/>
          <w:szCs w:val="34"/>
          <w:rtl/>
        </w:rPr>
        <w:t>تُعزى الزيادة في موارد الموظفين والمبيَّنة في مختلف النتائج المرتقبة إلى تعزيز البرنامج بنقل مدير جديد لسجل لشبونة في ديسمبر 2015 في إطار خطة التتابع تحسبا لتقاعد الرئيس في فبراير 2016</w:t>
      </w:r>
      <w:r w:rsidR="003E33F1">
        <w:rPr>
          <w:rFonts w:ascii="Arabic Typesetting" w:hAnsi="Arabic Typesetting" w:cs="Arabic Typesetting" w:hint="cs"/>
          <w:sz w:val="34"/>
          <w:szCs w:val="34"/>
          <w:rtl/>
        </w:rPr>
        <w:t xml:space="preserve"> (ازدواجية مؤقتة في الموارد)</w:t>
      </w:r>
      <w:r w:rsidRPr="00653124">
        <w:rPr>
          <w:rFonts w:ascii="Arabic Typesetting" w:hAnsi="Arabic Typesetting" w:cs="Arabic Typesetting"/>
          <w:sz w:val="34"/>
          <w:szCs w:val="34"/>
          <w:rtl/>
        </w:rPr>
        <w:t>.</w:t>
      </w:r>
    </w:p>
    <w:p w14:paraId="5386F9B8" w14:textId="77777777" w:rsidR="0027026F" w:rsidRPr="00706F20" w:rsidRDefault="0027026F" w:rsidP="0027026F">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7C26DB76" w14:textId="6D8DE09C" w:rsidR="0027026F" w:rsidRDefault="0027026F" w:rsidP="00D94CDB">
      <w:pPr>
        <w:numPr>
          <w:ilvl w:val="1"/>
          <w:numId w:val="99"/>
        </w:numPr>
        <w:bidi/>
        <w:spacing w:after="240" w:line="360" w:lineRule="exact"/>
        <w:ind w:left="0" w:hanging="1"/>
        <w:rPr>
          <w:rFonts w:ascii="Arabic Typesetting" w:hAnsi="Arabic Typesetting" w:cs="Arabic Typesetting"/>
          <w:sz w:val="34"/>
          <w:szCs w:val="34"/>
          <w:rtl/>
        </w:rPr>
      </w:pPr>
      <w:r w:rsidRPr="00653124">
        <w:rPr>
          <w:rFonts w:ascii="Arabic Typesetting" w:hAnsi="Arabic Typesetting" w:cs="Arabic Typesetting"/>
          <w:sz w:val="34"/>
          <w:szCs w:val="34"/>
          <w:rtl/>
        </w:rPr>
        <w:t xml:space="preserve">يُعزى النقص الطفيف في استخدام خلاف موارد الموظفين أساساً إلى تأجيل </w:t>
      </w:r>
      <w:r w:rsidR="003E33F1">
        <w:rPr>
          <w:rFonts w:ascii="Arabic Typesetting" w:hAnsi="Arabic Typesetting" w:cs="Arabic Typesetting" w:hint="cs"/>
          <w:sz w:val="34"/>
          <w:szCs w:val="34"/>
          <w:rtl/>
        </w:rPr>
        <w:t>بعض الأنشطة مثل الندوات والبعثات الاستشارية المدرجة في إطار النتيجة المرتقبة ه10.2</w:t>
      </w:r>
      <w:r w:rsidRPr="00653124">
        <w:rPr>
          <w:rFonts w:ascii="Arabic Typesetting" w:hAnsi="Arabic Typesetting" w:cs="Arabic Typesetting"/>
          <w:sz w:val="34"/>
          <w:szCs w:val="34"/>
          <w:rtl/>
        </w:rPr>
        <w:t>.</w:t>
      </w:r>
    </w:p>
    <w:p w14:paraId="07A5ED88" w14:textId="79BE32FA" w:rsidR="0031289D" w:rsidRDefault="0027026F" w:rsidP="0027026F">
      <w:pPr>
        <w:pStyle w:val="NormalParaAR"/>
        <w:rPr>
          <w:rtl/>
        </w:rPr>
      </w:pPr>
      <w:r>
        <w:rPr>
          <w:rtl/>
        </w:rPr>
        <w:br w:type="page"/>
      </w:r>
    </w:p>
    <w:p w14:paraId="14789504" w14:textId="77777777" w:rsidR="00CE6E0B" w:rsidRPr="00195BC9" w:rsidRDefault="00CE6E0B" w:rsidP="00DA7DF7">
      <w:pPr>
        <w:pStyle w:val="Heading3"/>
        <w:ind w:left="1984" w:hanging="1984"/>
      </w:pPr>
      <w:bookmarkStart w:id="25" w:name="_Toc482782752"/>
      <w:r w:rsidRPr="00195BC9">
        <w:rPr>
          <w:rtl/>
        </w:rPr>
        <w:lastRenderedPageBreak/>
        <w:t>البرنامج</w:t>
      </w:r>
      <w:r w:rsidRPr="00195BC9">
        <w:rPr>
          <w:rFonts w:hint="cs"/>
          <w:rtl/>
        </w:rPr>
        <w:t xml:space="preserve"> 7:</w:t>
      </w:r>
      <w:r w:rsidRPr="00195BC9">
        <w:tab/>
      </w:r>
      <w:r w:rsidRPr="00195BC9">
        <w:rPr>
          <w:rtl/>
        </w:rPr>
        <w:t>مركز الويبو للتحكيم والوساطة</w:t>
      </w:r>
      <w:bookmarkEnd w:id="25"/>
    </w:p>
    <w:p w14:paraId="70F97977" w14:textId="77777777" w:rsidR="00CE6E0B" w:rsidRDefault="00CE6E0B"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3B687B">
        <w:rPr>
          <w:rFonts w:ascii="Arabic Typesetting" w:hAnsi="Arabic Typesetting" w:cs="Arabic Typesetting"/>
          <w:b/>
          <w:bCs/>
          <w:sz w:val="36"/>
          <w:szCs w:val="36"/>
          <w:rtl/>
          <w:lang w:val="fr-CH"/>
        </w:rPr>
        <w:t>السيد جون سانديج</w:t>
      </w:r>
    </w:p>
    <w:p w14:paraId="2DB5C138" w14:textId="77777777" w:rsidR="00CE6E0B" w:rsidRDefault="00CE6E0B"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29CB4369" wp14:editId="75E5E08B">
            <wp:extent cx="3606152"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06152" cy="2160000"/>
                    </a:xfrm>
                    <a:prstGeom prst="rect">
                      <a:avLst/>
                    </a:prstGeom>
                    <a:noFill/>
                  </pic:spPr>
                </pic:pic>
              </a:graphicData>
            </a:graphic>
          </wp:inline>
        </w:drawing>
      </w:r>
    </w:p>
    <w:tbl>
      <w:tblPr>
        <w:bidiVisual/>
        <w:tblW w:w="5000" w:type="pct"/>
        <w:jc w:val="center"/>
        <w:tblCellMar>
          <w:left w:w="115" w:type="dxa"/>
          <w:right w:w="115" w:type="dxa"/>
        </w:tblCellMar>
        <w:tblLook w:val="0000" w:firstRow="0" w:lastRow="0" w:firstColumn="0" w:lastColumn="0" w:noHBand="0" w:noVBand="0"/>
      </w:tblPr>
      <w:tblGrid>
        <w:gridCol w:w="1774"/>
        <w:gridCol w:w="2712"/>
        <w:gridCol w:w="2021"/>
        <w:gridCol w:w="1820"/>
        <w:gridCol w:w="1144"/>
      </w:tblGrid>
      <w:tr w:rsidR="00CE6E0B" w:rsidRPr="0085606F" w14:paraId="2800907A" w14:textId="77777777" w:rsidTr="00BB3820">
        <w:trPr>
          <w:cantSplit/>
          <w:trHeight w:val="80"/>
          <w:jc w:val="center"/>
        </w:trPr>
        <w:tc>
          <w:tcPr>
            <w:tcW w:w="5000" w:type="pct"/>
            <w:gridSpan w:val="5"/>
            <w:shd w:val="clear" w:color="auto" w:fill="C6D9F1"/>
            <w:tcMar>
              <w:left w:w="58" w:type="dxa"/>
              <w:right w:w="58" w:type="dxa"/>
            </w:tcMar>
            <w:vAlign w:val="center"/>
          </w:tcPr>
          <w:p w14:paraId="30C245E8" w14:textId="77777777" w:rsidR="00CE6E0B" w:rsidRPr="0085606F" w:rsidRDefault="00CE6E0B" w:rsidP="0031289D">
            <w:pPr>
              <w:keepLines/>
              <w:bidi/>
              <w:spacing w:before="120" w:after="120" w:line="280" w:lineRule="exact"/>
              <w:ind w:left="1452" w:right="43" w:hanging="1452"/>
              <w:rPr>
                <w:rFonts w:ascii="Arabic Typesetting" w:eastAsia="Arabic Typesetting" w:hAnsi="Arabic Typesetting" w:cs="Arabic Typesetting"/>
                <w:b/>
                <w:bCs/>
                <w:sz w:val="28"/>
                <w:szCs w:val="28"/>
                <w:lang w:eastAsia="ar-EG" w:bidi="ar-EG"/>
              </w:rPr>
            </w:pPr>
            <w:r w:rsidRPr="0085606F">
              <w:rPr>
                <w:rFonts w:ascii="Arabic Typesetting" w:eastAsia="Arabic Typesetting" w:hAnsi="Arabic Typesetting" w:cs="Arabic Typesetting"/>
                <w:b/>
                <w:bCs/>
                <w:sz w:val="28"/>
                <w:szCs w:val="28"/>
                <w:rtl/>
                <w:lang w:eastAsia="ar-EG" w:bidi="ar-EG"/>
              </w:rPr>
              <w:t>‏النتيجة المرتقبة:</w:t>
            </w:r>
            <w:r w:rsidRPr="0085606F">
              <w:rPr>
                <w:rFonts w:ascii="Arabic Typesetting" w:eastAsia="Arabic Typesetting" w:hAnsi="Arabic Typesetting" w:cs="Arabic Typesetting"/>
                <w:sz w:val="28"/>
                <w:szCs w:val="28"/>
                <w:lang w:eastAsia="ar-EG" w:bidi="ar-EG"/>
              </w:rPr>
              <w:tab/>
            </w:r>
            <w:r w:rsidRPr="0085606F">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ه8.2 </w:t>
            </w:r>
            <w:r w:rsidRPr="0085606F">
              <w:rPr>
                <w:rFonts w:ascii="Arabic Typesetting" w:eastAsia="Arabic Typesetting" w:hAnsi="Arabic Typesetting" w:cs="Arabic Typesetting"/>
                <w:color w:val="000000"/>
                <w:sz w:val="28"/>
                <w:szCs w:val="28"/>
                <w:rtl/>
                <w:lang w:eastAsia="ar-EG" w:bidi="ar-EG"/>
              </w:rPr>
              <w:t>تزايد</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‏تفادي</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‏نشوء</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‏المنازعات</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‏المتعلقة</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‏بالملكية</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‏الفكرية</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‏دوليا</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‏وداخليا</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‏وتسويتها</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‏عبر</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‏الوساطة</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‏والتحكيم</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‏وغيرها</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‏من</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‏أساليب</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‏الويبو</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‏البديلة</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‏لتسوية</w:t>
            </w:r>
            <w:r w:rsidRPr="0085606F">
              <w:rPr>
                <w:rFonts w:ascii="Arabic Typesetting" w:eastAsia="Arabic Typesetting" w:hAnsi="Arabic Typesetting" w:cs="Arabic Typesetting"/>
                <w:color w:val="000000"/>
                <w:sz w:val="28"/>
                <w:szCs w:val="28"/>
                <w:cs/>
                <w:lang w:eastAsia="ar-EG" w:bidi="ar-EG"/>
              </w:rPr>
              <w:t>‎</w:t>
            </w:r>
            <w:r w:rsidRPr="0085606F">
              <w:rPr>
                <w:rFonts w:ascii="Arabic Typesetting" w:eastAsia="Arabic Typesetting" w:hAnsi="Arabic Typesetting" w:cs="Arabic Typesetting"/>
                <w:color w:val="000000"/>
                <w:sz w:val="28"/>
                <w:szCs w:val="28"/>
                <w:rtl/>
                <w:lang w:eastAsia="ar-EG" w:bidi="ar-EG"/>
              </w:rPr>
              <w:t xml:space="preserve"> ‏المنازعات</w:t>
            </w:r>
          </w:p>
        </w:tc>
      </w:tr>
      <w:tr w:rsidR="00CE6E0B" w:rsidRPr="0085606F" w14:paraId="2D21531A" w14:textId="77777777" w:rsidTr="00BB3820">
        <w:trPr>
          <w:cantSplit/>
          <w:trHeight w:val="92"/>
          <w:jc w:val="center"/>
        </w:trPr>
        <w:tc>
          <w:tcPr>
            <w:tcW w:w="936" w:type="pct"/>
            <w:shd w:val="clear" w:color="auto" w:fill="auto"/>
            <w:tcMar>
              <w:left w:w="58" w:type="dxa"/>
              <w:right w:w="58" w:type="dxa"/>
            </w:tcMar>
            <w:vAlign w:val="center"/>
          </w:tcPr>
          <w:p w14:paraId="38B35ED4" w14:textId="77777777" w:rsidR="00CE6E0B" w:rsidRPr="0085606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85606F">
              <w:rPr>
                <w:rFonts w:ascii="Arabic Typesetting" w:eastAsia="Arabic Typesetting" w:hAnsi="Arabic Typesetting" w:cs="Arabic Typesetting"/>
                <w:b/>
                <w:bCs/>
                <w:sz w:val="28"/>
                <w:szCs w:val="28"/>
                <w:rtl/>
                <w:lang w:eastAsia="ar-EG" w:bidi="ar-EG"/>
              </w:rPr>
              <w:t>مؤشرات الأداء</w:t>
            </w:r>
          </w:p>
        </w:tc>
        <w:tc>
          <w:tcPr>
            <w:tcW w:w="1432" w:type="pct"/>
            <w:shd w:val="clear" w:color="auto" w:fill="auto"/>
            <w:tcMar>
              <w:left w:w="58" w:type="dxa"/>
              <w:right w:w="58" w:type="dxa"/>
            </w:tcMar>
            <w:vAlign w:val="center"/>
          </w:tcPr>
          <w:p w14:paraId="5449C1EE" w14:textId="77777777" w:rsidR="00CE6E0B" w:rsidRPr="0085606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85606F">
              <w:rPr>
                <w:rFonts w:ascii="Arabic Typesetting" w:eastAsia="Arabic Typesetting" w:hAnsi="Arabic Typesetting" w:cs="Arabic Typesetting"/>
                <w:b/>
                <w:bCs/>
                <w:sz w:val="28"/>
                <w:szCs w:val="28"/>
                <w:rtl/>
                <w:lang w:eastAsia="ar-EG" w:bidi="ar-EG"/>
              </w:rPr>
              <w:t>أسس المقارنة</w:t>
            </w:r>
          </w:p>
        </w:tc>
        <w:tc>
          <w:tcPr>
            <w:tcW w:w="1067" w:type="pct"/>
            <w:shd w:val="clear" w:color="auto" w:fill="auto"/>
            <w:tcMar>
              <w:top w:w="110" w:type="dxa"/>
              <w:left w:w="58" w:type="dxa"/>
              <w:right w:w="58" w:type="dxa"/>
            </w:tcMar>
            <w:vAlign w:val="center"/>
          </w:tcPr>
          <w:p w14:paraId="2CA1BC47" w14:textId="77777777" w:rsidR="00CE6E0B" w:rsidRPr="0085606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85606F">
              <w:rPr>
                <w:rFonts w:ascii="Arabic Typesetting" w:eastAsia="Arabic Typesetting" w:hAnsi="Arabic Typesetting" w:cs="Arabic Typesetting"/>
                <w:b/>
                <w:bCs/>
                <w:sz w:val="28"/>
                <w:szCs w:val="28"/>
                <w:rtl/>
                <w:lang w:eastAsia="ar-EG" w:bidi="ar-EG"/>
              </w:rPr>
              <w:t>الأهداف</w:t>
            </w:r>
          </w:p>
        </w:tc>
        <w:tc>
          <w:tcPr>
            <w:tcW w:w="961" w:type="pct"/>
            <w:shd w:val="clear" w:color="auto" w:fill="FFFFFF"/>
            <w:tcMar>
              <w:top w:w="110" w:type="dxa"/>
              <w:left w:w="58" w:type="dxa"/>
              <w:right w:w="58" w:type="dxa"/>
            </w:tcMar>
            <w:vAlign w:val="center"/>
          </w:tcPr>
          <w:p w14:paraId="53C0AA16" w14:textId="77777777" w:rsidR="00CE6E0B" w:rsidRPr="0085606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85606F">
              <w:rPr>
                <w:rFonts w:ascii="Arabic Typesetting" w:eastAsia="Arabic Typesetting" w:hAnsi="Arabic Typesetting" w:cs="Arabic Typesetting"/>
                <w:b/>
                <w:bCs/>
                <w:sz w:val="28"/>
                <w:szCs w:val="28"/>
                <w:rtl/>
                <w:lang w:eastAsia="ar-EG" w:bidi="ar-EG"/>
              </w:rPr>
              <w:t>بيانات الأداء</w:t>
            </w:r>
          </w:p>
        </w:tc>
        <w:tc>
          <w:tcPr>
            <w:tcW w:w="604" w:type="pct"/>
            <w:shd w:val="clear" w:color="auto" w:fill="auto"/>
            <w:tcMar>
              <w:top w:w="110" w:type="dxa"/>
              <w:left w:w="58" w:type="dxa"/>
              <w:right w:w="58" w:type="dxa"/>
            </w:tcMar>
            <w:vAlign w:val="center"/>
          </w:tcPr>
          <w:p w14:paraId="2149F3F9" w14:textId="77777777" w:rsidR="00CE6E0B" w:rsidRPr="0085606F" w:rsidRDefault="00CE6E0B"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hint="cs"/>
                <w:b/>
                <w:bCs/>
                <w:sz w:val="28"/>
                <w:szCs w:val="28"/>
                <w:rtl/>
                <w:lang w:eastAsia="ar-EG" w:bidi="ar-EG"/>
              </w:rPr>
              <w:t>السير</w:t>
            </w:r>
          </w:p>
        </w:tc>
      </w:tr>
      <w:tr w:rsidR="00CE6E0B" w:rsidRPr="0085606F" w14:paraId="5C6EB3B4" w14:textId="77777777" w:rsidTr="00BB3820">
        <w:trPr>
          <w:cantSplit/>
          <w:trHeight w:val="20"/>
          <w:jc w:val="center"/>
        </w:trPr>
        <w:tc>
          <w:tcPr>
            <w:tcW w:w="936" w:type="pct"/>
            <w:vMerge w:val="restart"/>
            <w:shd w:val="clear" w:color="auto" w:fill="auto"/>
            <w:tcMar>
              <w:left w:w="58" w:type="dxa"/>
              <w:right w:w="58" w:type="dxa"/>
            </w:tcMar>
          </w:tcPr>
          <w:p w14:paraId="727DD666" w14:textId="77777777" w:rsidR="00CE6E0B" w:rsidRPr="0085606F" w:rsidRDefault="00CE6E0B" w:rsidP="0031289D">
            <w:pPr>
              <w:keepLines/>
              <w:bidi/>
              <w:spacing w:after="120" w:line="280" w:lineRule="exact"/>
              <w:ind w:right="43"/>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زيادة الاستعانة بخدمات وشروط بديلة لتسوية المنازعات في الصفقات والتسجيلات المتعلقة بالملكية الفكرية، بما في ذلك عبر إجراءات الويبو</w:t>
            </w:r>
          </w:p>
        </w:tc>
        <w:tc>
          <w:tcPr>
            <w:tcW w:w="1432" w:type="pct"/>
            <w:shd w:val="clear" w:color="auto" w:fill="auto"/>
            <w:tcMar>
              <w:left w:w="58" w:type="dxa"/>
              <w:right w:w="58" w:type="dxa"/>
            </w:tcMar>
          </w:tcPr>
          <w:p w14:paraId="6096EB9B" w14:textId="77777777" w:rsidR="00CE6E0B" w:rsidRPr="0085606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422 منازعة و202 من المساعي الحميدة (التراكمي بنهاية 2015)</w:t>
            </w:r>
          </w:p>
          <w:p w14:paraId="18D99086" w14:textId="77777777" w:rsidR="00CE6E0B" w:rsidRPr="0085606F" w:rsidRDefault="00CE6E0B"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i/>
                <w:iCs/>
                <w:sz w:val="28"/>
                <w:szCs w:val="28"/>
                <w:rtl/>
                <w:lang w:eastAsia="ar-EG" w:bidi="ar-EG"/>
              </w:rPr>
              <w:t>‏أساس المقارنة الأصلي:</w:t>
            </w:r>
            <w:r w:rsidRPr="0085606F">
              <w:rPr>
                <w:rFonts w:ascii="Arabic Typesetting" w:eastAsia="Arabic Typesetting" w:hAnsi="Arabic Typesetting" w:cs="Arabic Typesetting" w:hint="cs"/>
                <w:i/>
                <w:iCs/>
                <w:sz w:val="28"/>
                <w:szCs w:val="28"/>
                <w:lang w:eastAsia="ar-EG" w:bidi="ar-EG"/>
              </w:rPr>
              <w:t xml:space="preserve"> </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393 منازعة و148 من المساعي الحميدة (التراكمي بنهاية 2014)</w:t>
            </w:r>
          </w:p>
        </w:tc>
        <w:tc>
          <w:tcPr>
            <w:tcW w:w="1067" w:type="pct"/>
            <w:shd w:val="clear" w:color="auto" w:fill="auto"/>
            <w:tcMar>
              <w:top w:w="110" w:type="dxa"/>
              <w:left w:w="58" w:type="dxa"/>
              <w:right w:w="58" w:type="dxa"/>
            </w:tcMar>
          </w:tcPr>
          <w:p w14:paraId="6D8A17C7" w14:textId="77777777" w:rsidR="00CE6E0B" w:rsidRPr="0085606F" w:rsidRDefault="00CE6E0B" w:rsidP="0031289D">
            <w:pPr>
              <w:bidi/>
              <w:spacing w:after="120" w:line="280" w:lineRule="exact"/>
              <w:rPr>
                <w:rFonts w:ascii="Arabic Typesetting" w:eastAsia="Arabic Typesetting" w:hAnsi="Arabic Typesetting" w:cs="Arabic Typesetting"/>
                <w:color w:val="002060"/>
                <w:sz w:val="28"/>
                <w:szCs w:val="28"/>
                <w:highlight w:val="yellow"/>
                <w:lang w:eastAsia="ar-EG" w:bidi="ar-EG"/>
              </w:rPr>
            </w:pPr>
            <w:r w:rsidRPr="0085606F">
              <w:rPr>
                <w:rFonts w:ascii="Arabic Typesetting" w:eastAsia="Arabic Typesetting" w:hAnsi="Arabic Typesetting" w:cs="Arabic Typesetting"/>
                <w:i/>
                <w:iCs/>
                <w:color w:val="002060"/>
                <w:sz w:val="28"/>
                <w:szCs w:val="28"/>
                <w:rtl/>
                <w:lang w:eastAsia="ar-EG" w:bidi="ar-EG"/>
              </w:rPr>
              <w:t>الهدف المحدَّث:</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150 من المنازعات الإضافية والمساعي الحميدة</w:t>
            </w:r>
          </w:p>
          <w:p w14:paraId="65BF28D9" w14:textId="77777777" w:rsidR="00CE6E0B" w:rsidRPr="0085606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i/>
                <w:iCs/>
                <w:sz w:val="28"/>
                <w:szCs w:val="28"/>
                <w:rtl/>
                <w:lang w:eastAsia="ar-EG" w:bidi="ar-EG"/>
              </w:rPr>
              <w:t>الهدف الأصلي</w:t>
            </w:r>
            <w:r w:rsidRPr="0085606F">
              <w:rPr>
                <w:rFonts w:ascii="Arabic Typesetting" w:eastAsia="Arabic Typesetting" w:hAnsi="Arabic Typesetting" w:cs="Arabic Typesetting" w:hint="cs"/>
                <w:i/>
                <w:iCs/>
                <w:sz w:val="28"/>
                <w:szCs w:val="28"/>
                <w:lang w:eastAsia="ar-EG" w:bidi="ar-EG"/>
              </w:rPr>
              <w:t>:</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40 من المنازعات الإضافية والمساعي الحميدة</w:t>
            </w:r>
          </w:p>
        </w:tc>
        <w:tc>
          <w:tcPr>
            <w:tcW w:w="961" w:type="pct"/>
            <w:shd w:val="clear" w:color="auto" w:fill="FFFFFF"/>
            <w:tcMar>
              <w:top w:w="110" w:type="dxa"/>
              <w:left w:w="58" w:type="dxa"/>
              <w:right w:w="58" w:type="dxa"/>
            </w:tcMar>
          </w:tcPr>
          <w:p w14:paraId="718EFAE6" w14:textId="77777777" w:rsidR="00CE6E0B" w:rsidRPr="0085606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60 من المنازعات الإضافية و54 من المساعي الحميدة الإضافية</w:t>
            </w:r>
          </w:p>
          <w:p w14:paraId="153C433E" w14:textId="77777777" w:rsidR="00CE6E0B" w:rsidRPr="0085606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sz w:val="28"/>
                <w:szCs w:val="28"/>
                <w:rtl/>
                <w:lang w:eastAsia="ar-EG" w:bidi="ar-EG"/>
              </w:rPr>
              <w:t>482 منازعة و256 من المساعي الحميدة (التراكمي</w:t>
            </w:r>
            <w:r w:rsidRPr="0085606F">
              <w:rPr>
                <w:rFonts w:ascii="Arabic Typesetting" w:eastAsia="Arabic Typesetting" w:hAnsi="Arabic Typesetting" w:cs="Arabic Typesetting" w:hint="cs"/>
                <w:sz w:val="28"/>
                <w:szCs w:val="28"/>
                <w:lang w:eastAsia="ar-EG" w:bidi="ar-EG"/>
              </w:rPr>
              <w:t> </w:t>
            </w:r>
            <w:r w:rsidRPr="0085606F">
              <w:rPr>
                <w:rFonts w:ascii="Arabic Typesetting" w:eastAsia="Arabic Typesetting" w:hAnsi="Arabic Typesetting" w:cs="Arabic Typesetting"/>
                <w:sz w:val="28"/>
                <w:szCs w:val="28"/>
                <w:rtl/>
                <w:lang w:eastAsia="ar-EG" w:bidi="ar-EG"/>
              </w:rPr>
              <w:t>بنهاية 2016)</w:t>
            </w:r>
          </w:p>
        </w:tc>
        <w:tc>
          <w:tcPr>
            <w:tcW w:w="604" w:type="pct"/>
            <w:shd w:val="clear" w:color="auto" w:fill="auto"/>
            <w:tcMar>
              <w:top w:w="110" w:type="dxa"/>
              <w:left w:w="58" w:type="dxa"/>
              <w:right w:w="58" w:type="dxa"/>
            </w:tcMar>
          </w:tcPr>
          <w:p w14:paraId="43EC5466"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b/>
                <w:color w:val="008000"/>
                <w:sz w:val="28"/>
                <w:szCs w:val="28"/>
                <w:lang w:eastAsia="ar-EG" w:bidi="ar-EG"/>
              </w:rPr>
            </w:pPr>
            <w:r w:rsidRPr="0085606F">
              <w:rPr>
                <w:rFonts w:ascii="Arabic Typesetting" w:eastAsia="Arabic Typesetting" w:hAnsi="Arabic Typesetting" w:cs="Arabic Typesetting"/>
                <w:b/>
                <w:bCs/>
                <w:color w:val="00B050"/>
                <w:sz w:val="28"/>
                <w:szCs w:val="28"/>
                <w:rtl/>
                <w:lang w:eastAsia="ar-EG" w:bidi="ar-EG"/>
              </w:rPr>
              <w:t>ثابت</w:t>
            </w:r>
          </w:p>
        </w:tc>
      </w:tr>
      <w:tr w:rsidR="00CE6E0B" w:rsidRPr="0085606F" w14:paraId="731D71DF" w14:textId="77777777" w:rsidTr="00BB3820">
        <w:trPr>
          <w:cantSplit/>
          <w:trHeight w:val="20"/>
          <w:jc w:val="center"/>
        </w:trPr>
        <w:tc>
          <w:tcPr>
            <w:tcW w:w="936" w:type="pct"/>
            <w:vMerge/>
            <w:shd w:val="clear" w:color="auto" w:fill="auto"/>
            <w:tcMar>
              <w:left w:w="58" w:type="dxa"/>
              <w:right w:w="58" w:type="dxa"/>
            </w:tcMar>
          </w:tcPr>
          <w:p w14:paraId="1DF0FAC0" w14:textId="77777777" w:rsidR="00CE6E0B" w:rsidRPr="0085606F" w:rsidRDefault="00CE6E0B" w:rsidP="0031289D">
            <w:pPr>
              <w:keepLines/>
              <w:bidi/>
              <w:spacing w:after="120" w:line="280" w:lineRule="exact"/>
              <w:ind w:right="43"/>
              <w:rPr>
                <w:rFonts w:ascii="Arabic Typesetting" w:eastAsia="Arabic Typesetting" w:hAnsi="Arabic Typesetting" w:cs="Arabic Typesetting"/>
                <w:color w:val="000000"/>
                <w:sz w:val="28"/>
                <w:szCs w:val="28"/>
                <w:lang w:eastAsia="ar-EG" w:bidi="ar-EG"/>
              </w:rPr>
            </w:pPr>
          </w:p>
        </w:tc>
        <w:tc>
          <w:tcPr>
            <w:tcW w:w="1432" w:type="pct"/>
            <w:shd w:val="clear" w:color="auto" w:fill="auto"/>
            <w:tcMar>
              <w:left w:w="58" w:type="dxa"/>
              <w:right w:w="58" w:type="dxa"/>
            </w:tcMar>
          </w:tcPr>
          <w:p w14:paraId="40D062FA" w14:textId="27AA209B" w:rsidR="00CE6E0B" w:rsidRPr="0085606F" w:rsidRDefault="00CE6E0B" w:rsidP="00587BA7">
            <w:pPr>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85606F">
              <w:rPr>
                <w:rFonts w:ascii="Arabic Typesetting" w:eastAsia="Arabic Typesetting" w:hAnsi="Arabic Typesetting" w:cs="Arabic Typesetting"/>
                <w:i/>
                <w:iCs/>
                <w:color w:val="002060"/>
                <w:sz w:val="28"/>
                <w:szCs w:val="28"/>
                <w:lang w:eastAsia="ar-EG" w:bidi="ar-EG"/>
              </w:rPr>
              <w:br/>
            </w:r>
            <w:r w:rsidR="00587BA7">
              <w:rPr>
                <w:rFonts w:ascii="Arabic Typesetting" w:eastAsia="Arabic Typesetting" w:hAnsi="Arabic Typesetting" w:cs="Arabic Typesetting" w:hint="cs"/>
                <w:color w:val="002060"/>
                <w:sz w:val="28"/>
                <w:szCs w:val="28"/>
                <w:rtl/>
                <w:lang w:eastAsia="ar-EG" w:bidi="ar-EG"/>
              </w:rPr>
              <w:t xml:space="preserve">7500 </w:t>
            </w:r>
            <w:r w:rsidRPr="0085606F">
              <w:rPr>
                <w:rFonts w:ascii="Arabic Typesetting" w:eastAsia="Arabic Typesetting" w:hAnsi="Arabic Typesetting" w:cs="Arabic Typesetting"/>
                <w:color w:val="002060"/>
                <w:sz w:val="28"/>
                <w:szCs w:val="28"/>
                <w:rtl/>
                <w:lang w:eastAsia="ar-EG" w:bidi="ar-EG"/>
              </w:rPr>
              <w:t>استفسار إضافي (2014/15)</w:t>
            </w:r>
          </w:p>
          <w:p w14:paraId="1571F8C0" w14:textId="49B890D6" w:rsidR="00CE6E0B" w:rsidRPr="0085606F" w:rsidRDefault="00CE6E0B" w:rsidP="00587BA7">
            <w:pPr>
              <w:bidi/>
              <w:spacing w:after="120" w:line="280" w:lineRule="exact"/>
              <w:rPr>
                <w:rFonts w:ascii="Arabic Typesetting" w:eastAsia="Arabic Typesetting" w:hAnsi="Arabic Typesetting" w:cs="Arabic Typesetting"/>
                <w:i/>
                <w:color w:val="002060"/>
                <w:sz w:val="28"/>
                <w:szCs w:val="28"/>
                <w:lang w:eastAsia="ar-EG" w:bidi="ar-EG"/>
              </w:rPr>
            </w:pPr>
            <w:r w:rsidRPr="0085606F">
              <w:rPr>
                <w:rFonts w:ascii="Arabic Typesetting" w:eastAsia="Arabic Typesetting" w:hAnsi="Arabic Typesetting" w:cs="Arabic Typesetting"/>
                <w:i/>
                <w:iCs/>
                <w:sz w:val="28"/>
                <w:szCs w:val="28"/>
                <w:rtl/>
                <w:lang w:eastAsia="ar-EG" w:bidi="ar-EG"/>
              </w:rPr>
              <w:t>‏أساس المقارنة الأصلي:</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00587BA7">
              <w:rPr>
                <w:rFonts w:ascii="Arabic Typesetting" w:eastAsia="Arabic Typesetting" w:hAnsi="Arabic Typesetting" w:cs="Arabic Typesetting" w:hint="cs"/>
                <w:color w:val="000000"/>
                <w:sz w:val="28"/>
                <w:szCs w:val="28"/>
                <w:rtl/>
                <w:lang w:eastAsia="ar-EG" w:bidi="ar-EG"/>
              </w:rPr>
              <w:t xml:space="preserve">4000 </w:t>
            </w:r>
            <w:r w:rsidRPr="0085606F">
              <w:rPr>
                <w:rFonts w:ascii="Arabic Typesetting" w:eastAsia="Arabic Typesetting" w:hAnsi="Arabic Typesetting" w:cs="Arabic Typesetting"/>
                <w:color w:val="000000"/>
                <w:sz w:val="28"/>
                <w:szCs w:val="28"/>
                <w:rtl/>
                <w:lang w:eastAsia="ar-EG" w:bidi="ar-EG"/>
              </w:rPr>
              <w:t>استفسار وارد (2012/13)</w:t>
            </w:r>
          </w:p>
        </w:tc>
        <w:tc>
          <w:tcPr>
            <w:tcW w:w="1067" w:type="pct"/>
            <w:shd w:val="clear" w:color="auto" w:fill="auto"/>
            <w:tcMar>
              <w:top w:w="110" w:type="dxa"/>
              <w:left w:w="58" w:type="dxa"/>
              <w:right w:w="58" w:type="dxa"/>
            </w:tcMar>
          </w:tcPr>
          <w:p w14:paraId="50608EC1" w14:textId="728FDA9C" w:rsidR="00CE6E0B" w:rsidRPr="0085606F" w:rsidRDefault="00CE6E0B" w:rsidP="00587BA7">
            <w:pPr>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الهدف المحدَّث:</w:t>
            </w:r>
            <w:r w:rsidRPr="0085606F">
              <w:rPr>
                <w:rFonts w:ascii="Arabic Typesetting" w:eastAsia="Arabic Typesetting" w:hAnsi="Arabic Typesetting" w:cs="Arabic Typesetting"/>
                <w:i/>
                <w:iCs/>
                <w:color w:val="002060"/>
                <w:sz w:val="28"/>
                <w:szCs w:val="28"/>
                <w:rtl/>
                <w:lang w:eastAsia="ar-EG" w:bidi="ar-EG"/>
              </w:rPr>
              <w:br/>
            </w:r>
            <w:r w:rsidR="00587BA7">
              <w:rPr>
                <w:rFonts w:ascii="Arabic Typesetting" w:eastAsia="Arabic Typesetting" w:hAnsi="Arabic Typesetting" w:cs="Arabic Typesetting" w:hint="cs"/>
                <w:color w:val="002060"/>
                <w:sz w:val="28"/>
                <w:szCs w:val="28"/>
                <w:rtl/>
                <w:lang w:eastAsia="ar-EG" w:bidi="ar-EG"/>
              </w:rPr>
              <w:t xml:space="preserve">7500 </w:t>
            </w:r>
            <w:r w:rsidRPr="0085606F">
              <w:rPr>
                <w:rFonts w:ascii="Arabic Typesetting" w:eastAsia="Arabic Typesetting" w:hAnsi="Arabic Typesetting" w:cs="Arabic Typesetting"/>
                <w:color w:val="002060"/>
                <w:sz w:val="28"/>
                <w:szCs w:val="28"/>
                <w:rtl/>
                <w:lang w:eastAsia="ar-EG" w:bidi="ar-EG"/>
              </w:rPr>
              <w:t>استفسار إضافي</w:t>
            </w:r>
          </w:p>
          <w:p w14:paraId="23515403" w14:textId="34E56542" w:rsidR="00CE6E0B" w:rsidRPr="0085606F" w:rsidRDefault="00CE6E0B" w:rsidP="00587BA7">
            <w:pPr>
              <w:keepLines/>
              <w:bidi/>
              <w:spacing w:after="120" w:line="280" w:lineRule="exact"/>
              <w:ind w:right="34"/>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00587BA7">
              <w:rPr>
                <w:rFonts w:ascii="Arabic Typesetting" w:eastAsia="Arabic Typesetting" w:hAnsi="Arabic Typesetting" w:cs="Arabic Typesetting" w:hint="cs"/>
                <w:color w:val="000000"/>
                <w:sz w:val="28"/>
                <w:szCs w:val="28"/>
                <w:rtl/>
                <w:lang w:eastAsia="ar-EG" w:bidi="ar-EG"/>
              </w:rPr>
              <w:t xml:space="preserve">4000 </w:t>
            </w:r>
            <w:r w:rsidRPr="0085606F">
              <w:rPr>
                <w:rFonts w:ascii="Arabic Typesetting" w:eastAsia="Arabic Typesetting" w:hAnsi="Arabic Typesetting" w:cs="Arabic Typesetting"/>
                <w:color w:val="000000"/>
                <w:sz w:val="28"/>
                <w:szCs w:val="28"/>
                <w:rtl/>
                <w:lang w:eastAsia="ar-EG" w:bidi="ar-EG"/>
              </w:rPr>
              <w:t>استفسار إضافي</w:t>
            </w:r>
          </w:p>
        </w:tc>
        <w:tc>
          <w:tcPr>
            <w:tcW w:w="961" w:type="pct"/>
            <w:shd w:val="clear" w:color="auto" w:fill="FFFFFF"/>
            <w:tcMar>
              <w:top w:w="110" w:type="dxa"/>
              <w:left w:w="58" w:type="dxa"/>
              <w:right w:w="58" w:type="dxa"/>
            </w:tcMar>
          </w:tcPr>
          <w:p w14:paraId="0210BF06" w14:textId="5D14520B" w:rsidR="00CE6E0B" w:rsidRPr="0085606F" w:rsidRDefault="00587BA7"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3865 </w:t>
            </w:r>
            <w:r w:rsidR="00CE6E0B" w:rsidRPr="0085606F">
              <w:rPr>
                <w:rFonts w:ascii="Arabic Typesetting" w:eastAsia="Arabic Typesetting" w:hAnsi="Arabic Typesetting" w:cs="Arabic Typesetting"/>
                <w:color w:val="000000"/>
                <w:sz w:val="28"/>
                <w:szCs w:val="28"/>
                <w:rtl/>
                <w:lang w:eastAsia="ar-EG" w:bidi="ar-EG"/>
              </w:rPr>
              <w:t>استفسار</w:t>
            </w:r>
            <w:r w:rsidR="00CE6E0B">
              <w:rPr>
                <w:rFonts w:ascii="Arabic Typesetting" w:eastAsia="Arabic Typesetting" w:hAnsi="Arabic Typesetting" w:cs="Arabic Typesetting" w:hint="cs"/>
                <w:color w:val="000000"/>
                <w:sz w:val="28"/>
                <w:szCs w:val="28"/>
                <w:rtl/>
                <w:lang w:eastAsia="ar-EG" w:bidi="ar-EG"/>
              </w:rPr>
              <w:t>اً</w:t>
            </w:r>
            <w:r w:rsidR="00CE6E0B">
              <w:rPr>
                <w:rFonts w:ascii="Arabic Typesetting" w:eastAsia="Arabic Typesetting" w:hAnsi="Arabic Typesetting" w:cs="Arabic Typesetting"/>
                <w:color w:val="000000"/>
                <w:sz w:val="28"/>
                <w:szCs w:val="28"/>
                <w:rtl/>
                <w:lang w:eastAsia="ar-EG" w:bidi="ar-EG"/>
              </w:rPr>
              <w:t xml:space="preserve"> إضاف</w:t>
            </w:r>
            <w:r w:rsidR="00CE6E0B">
              <w:rPr>
                <w:rFonts w:ascii="Arabic Typesetting" w:eastAsia="Arabic Typesetting" w:hAnsi="Arabic Typesetting" w:cs="Arabic Typesetting" w:hint="cs"/>
                <w:color w:val="000000"/>
                <w:sz w:val="28"/>
                <w:szCs w:val="28"/>
                <w:rtl/>
                <w:lang w:eastAsia="ar-EG" w:bidi="ar-EG"/>
              </w:rPr>
              <w:t>ياً</w:t>
            </w:r>
          </w:p>
        </w:tc>
        <w:tc>
          <w:tcPr>
            <w:tcW w:w="604" w:type="pct"/>
            <w:shd w:val="clear" w:color="auto" w:fill="auto"/>
            <w:tcMar>
              <w:top w:w="110" w:type="dxa"/>
              <w:left w:w="58" w:type="dxa"/>
              <w:right w:w="58" w:type="dxa"/>
            </w:tcMar>
          </w:tcPr>
          <w:p w14:paraId="577D0B0A"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b/>
                <w:bCs/>
                <w:color w:val="00B050"/>
                <w:sz w:val="28"/>
                <w:szCs w:val="28"/>
                <w:rtl/>
                <w:lang w:eastAsia="ar-EG" w:bidi="ar-EG"/>
              </w:rPr>
              <w:t>ثابت</w:t>
            </w:r>
          </w:p>
        </w:tc>
      </w:tr>
      <w:tr w:rsidR="00CE6E0B" w:rsidRPr="0085606F" w14:paraId="46072D87" w14:textId="77777777" w:rsidTr="00BB3820">
        <w:trPr>
          <w:cantSplit/>
          <w:trHeight w:val="20"/>
          <w:jc w:val="center"/>
        </w:trPr>
        <w:tc>
          <w:tcPr>
            <w:tcW w:w="936" w:type="pct"/>
            <w:vMerge/>
            <w:shd w:val="clear" w:color="auto" w:fill="auto"/>
            <w:tcMar>
              <w:left w:w="58" w:type="dxa"/>
              <w:right w:w="58" w:type="dxa"/>
            </w:tcMar>
          </w:tcPr>
          <w:p w14:paraId="4BA676CA" w14:textId="77777777" w:rsidR="00CE6E0B" w:rsidRPr="0085606F" w:rsidRDefault="00CE6E0B" w:rsidP="0031289D">
            <w:pPr>
              <w:keepLines/>
              <w:bidi/>
              <w:spacing w:after="120" w:line="280" w:lineRule="exact"/>
              <w:ind w:right="43"/>
              <w:rPr>
                <w:rFonts w:ascii="Arabic Typesetting" w:eastAsia="Arabic Typesetting" w:hAnsi="Arabic Typesetting" w:cs="Arabic Typesetting"/>
                <w:color w:val="000000"/>
                <w:sz w:val="28"/>
                <w:szCs w:val="28"/>
                <w:lang w:eastAsia="ar-EG" w:bidi="ar-EG"/>
              </w:rPr>
            </w:pPr>
          </w:p>
        </w:tc>
        <w:tc>
          <w:tcPr>
            <w:tcW w:w="1432" w:type="pct"/>
            <w:shd w:val="clear" w:color="auto" w:fill="auto"/>
            <w:tcMar>
              <w:left w:w="58" w:type="dxa"/>
              <w:right w:w="58" w:type="dxa"/>
            </w:tcMar>
          </w:tcPr>
          <w:p w14:paraId="4C280A1C" w14:textId="77777777" w:rsidR="00CE6E0B" w:rsidRPr="0085606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3.1 مليون زيارة إضافية (2014/15)</w:t>
            </w:r>
          </w:p>
          <w:p w14:paraId="3718AF23" w14:textId="77777777" w:rsidR="00CE6E0B" w:rsidRPr="0085606F" w:rsidRDefault="00CE6E0B"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85606F">
              <w:rPr>
                <w:rFonts w:ascii="Arabic Typesetting" w:eastAsia="Arabic Typesetting" w:hAnsi="Arabic Typesetting" w:cs="Arabic Typesetting"/>
                <w:i/>
                <w:iCs/>
                <w:sz w:val="28"/>
                <w:szCs w:val="28"/>
                <w:rtl/>
                <w:lang w:eastAsia="ar-EG" w:bidi="ar-EG"/>
              </w:rPr>
              <w:t>‏أساس المقارنة الأصلي:</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‏1.553 مليون زيارة للموقع الإلكتروني (2014)</w:t>
            </w:r>
          </w:p>
        </w:tc>
        <w:tc>
          <w:tcPr>
            <w:tcW w:w="1067" w:type="pct"/>
            <w:shd w:val="clear" w:color="auto" w:fill="auto"/>
            <w:tcMar>
              <w:top w:w="110" w:type="dxa"/>
              <w:left w:w="58" w:type="dxa"/>
              <w:right w:w="58" w:type="dxa"/>
            </w:tcMar>
          </w:tcPr>
          <w:p w14:paraId="490398D2" w14:textId="77777777" w:rsidR="00CE6E0B" w:rsidRPr="0085606F" w:rsidRDefault="00CE6E0B" w:rsidP="0031289D">
            <w:pPr>
              <w:keepLines/>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الهدف المحدَّث:</w:t>
            </w:r>
            <w:r w:rsidRPr="0085606F">
              <w:rPr>
                <w:rFonts w:ascii="Arabic Typesetting" w:eastAsia="Arabic Typesetting" w:hAnsi="Arabic Typesetting" w:cs="Arabic Typesetting"/>
                <w:i/>
                <w:iCs/>
                <w:color w:val="002060"/>
                <w:sz w:val="28"/>
                <w:szCs w:val="28"/>
                <w:lang w:eastAsia="ar-EG" w:bidi="ar-EG"/>
              </w:rPr>
              <w:br/>
            </w:r>
            <w:r>
              <w:rPr>
                <w:rFonts w:ascii="Arabic Typesetting" w:eastAsia="Arabic Typesetting" w:hAnsi="Arabic Typesetting" w:cs="Arabic Typesetting" w:hint="cs"/>
                <w:color w:val="002060"/>
                <w:sz w:val="28"/>
                <w:szCs w:val="28"/>
                <w:rtl/>
                <w:lang w:eastAsia="ar-EG" w:bidi="ar-EG"/>
              </w:rPr>
              <w:t>3.1 مليون زيارة إضافية</w:t>
            </w:r>
          </w:p>
          <w:p w14:paraId="2A0A9897" w14:textId="5F6A5244" w:rsidR="00CE6E0B" w:rsidRPr="0085606F" w:rsidRDefault="00CE6E0B" w:rsidP="0031289D">
            <w:pPr>
              <w:keepLines/>
              <w:bidi/>
              <w:spacing w:after="120" w:line="280" w:lineRule="exact"/>
              <w:ind w:right="34"/>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1.5 مليون زيارة إضافية للموقع الإلكتروني</w:t>
            </w:r>
          </w:p>
        </w:tc>
        <w:tc>
          <w:tcPr>
            <w:tcW w:w="961" w:type="pct"/>
            <w:shd w:val="clear" w:color="auto" w:fill="FFFFFF"/>
            <w:tcMar>
              <w:top w:w="110" w:type="dxa"/>
              <w:left w:w="58" w:type="dxa"/>
              <w:right w:w="58" w:type="dxa"/>
            </w:tcMar>
          </w:tcPr>
          <w:p w14:paraId="738CACB3" w14:textId="77777777" w:rsidR="00CE6E0B" w:rsidRPr="0085606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1.495 مليون زيارة</w:t>
            </w:r>
            <w:r w:rsidRPr="0085606F">
              <w:rPr>
                <w:rFonts w:ascii="Arabic Typesetting" w:eastAsia="Arabic Typesetting" w:hAnsi="Arabic Typesetting" w:cs="Arabic Typesetting" w:hint="cs"/>
                <w:color w:val="000000"/>
                <w:sz w:val="28"/>
                <w:szCs w:val="28"/>
                <w:lang w:eastAsia="ar-EG" w:bidi="ar-EG"/>
              </w:rPr>
              <w:t> </w:t>
            </w:r>
            <w:r w:rsidRPr="0085606F">
              <w:rPr>
                <w:rFonts w:ascii="Arabic Typesetting" w:eastAsia="Arabic Typesetting" w:hAnsi="Arabic Typesetting" w:cs="Arabic Typesetting"/>
                <w:color w:val="000000"/>
                <w:sz w:val="28"/>
                <w:szCs w:val="28"/>
                <w:rtl/>
                <w:lang w:eastAsia="ar-EG" w:bidi="ar-EG"/>
              </w:rPr>
              <w:t>إضافية</w:t>
            </w:r>
          </w:p>
        </w:tc>
        <w:tc>
          <w:tcPr>
            <w:tcW w:w="604" w:type="pct"/>
            <w:shd w:val="clear" w:color="auto" w:fill="auto"/>
            <w:tcMar>
              <w:top w:w="110" w:type="dxa"/>
              <w:left w:w="58" w:type="dxa"/>
              <w:right w:w="58" w:type="dxa"/>
            </w:tcMar>
          </w:tcPr>
          <w:p w14:paraId="76CA32AE"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b/>
                <w:bCs/>
                <w:color w:val="00B050"/>
                <w:sz w:val="28"/>
                <w:szCs w:val="28"/>
                <w:rtl/>
                <w:lang w:eastAsia="ar-EG" w:bidi="ar-EG"/>
              </w:rPr>
              <w:t>ثابت</w:t>
            </w:r>
          </w:p>
        </w:tc>
      </w:tr>
      <w:tr w:rsidR="00CE6E0B" w:rsidRPr="0085606F" w14:paraId="626533DF" w14:textId="77777777" w:rsidTr="00BB3820">
        <w:trPr>
          <w:cantSplit/>
          <w:trHeight w:val="20"/>
          <w:jc w:val="center"/>
        </w:trPr>
        <w:tc>
          <w:tcPr>
            <w:tcW w:w="936" w:type="pct"/>
            <w:vMerge/>
            <w:shd w:val="clear" w:color="auto" w:fill="auto"/>
            <w:tcMar>
              <w:left w:w="58" w:type="dxa"/>
              <w:right w:w="58" w:type="dxa"/>
            </w:tcMar>
          </w:tcPr>
          <w:p w14:paraId="1C6A78AD" w14:textId="77777777" w:rsidR="00CE6E0B" w:rsidRPr="0085606F" w:rsidRDefault="00CE6E0B" w:rsidP="0031289D">
            <w:pPr>
              <w:keepLines/>
              <w:bidi/>
              <w:spacing w:after="120" w:line="280" w:lineRule="exact"/>
              <w:ind w:right="43"/>
              <w:rPr>
                <w:rFonts w:ascii="Arabic Typesetting" w:eastAsia="Arabic Typesetting" w:hAnsi="Arabic Typesetting" w:cs="Arabic Typesetting"/>
                <w:color w:val="000000"/>
                <w:sz w:val="28"/>
                <w:szCs w:val="28"/>
                <w:lang w:eastAsia="ar-EG" w:bidi="ar-EG"/>
              </w:rPr>
            </w:pPr>
          </w:p>
        </w:tc>
        <w:tc>
          <w:tcPr>
            <w:tcW w:w="1432" w:type="pct"/>
            <w:shd w:val="clear" w:color="auto" w:fill="auto"/>
            <w:tcMar>
              <w:left w:w="58" w:type="dxa"/>
              <w:right w:w="58" w:type="dxa"/>
            </w:tcMar>
          </w:tcPr>
          <w:p w14:paraId="3BA43627" w14:textId="77777777" w:rsidR="00CE6E0B" w:rsidRPr="0085606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262 مشاركاً في أحداث المركز (2014/15)</w:t>
            </w:r>
          </w:p>
          <w:p w14:paraId="25BE3D94" w14:textId="77777777" w:rsidR="00CE6E0B" w:rsidRPr="0085606F" w:rsidRDefault="00CE6E0B"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85606F">
              <w:rPr>
                <w:rFonts w:ascii="Arabic Typesetting" w:eastAsia="Arabic Typesetting" w:hAnsi="Arabic Typesetting" w:cs="Arabic Typesetting"/>
                <w:i/>
                <w:iCs/>
                <w:sz w:val="28"/>
                <w:szCs w:val="28"/>
                <w:rtl/>
                <w:lang w:eastAsia="ar-EG" w:bidi="ar-EG"/>
              </w:rPr>
              <w:t>‏أساس المقارنة الأصلي:</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 xml:space="preserve">408 </w:t>
            </w:r>
            <w:r>
              <w:rPr>
                <w:rFonts w:ascii="Arabic Typesetting" w:eastAsia="Arabic Typesetting" w:hAnsi="Arabic Typesetting" w:cs="Arabic Typesetting" w:hint="cs"/>
                <w:color w:val="000000"/>
                <w:sz w:val="28"/>
                <w:szCs w:val="28"/>
                <w:rtl/>
                <w:lang w:eastAsia="ar-EG" w:bidi="ar-EG"/>
              </w:rPr>
              <w:t>مشاركين</w:t>
            </w:r>
            <w:r w:rsidRPr="0085606F">
              <w:rPr>
                <w:rFonts w:ascii="Arabic Typesetting" w:eastAsia="Arabic Typesetting" w:hAnsi="Arabic Typesetting" w:cs="Arabic Typesetting"/>
                <w:color w:val="000000"/>
                <w:sz w:val="28"/>
                <w:szCs w:val="28"/>
                <w:rtl/>
                <w:lang w:eastAsia="ar-EG" w:bidi="ar-EG"/>
              </w:rPr>
              <w:t xml:space="preserve"> في أحداث المركز (2012/13)</w:t>
            </w:r>
          </w:p>
        </w:tc>
        <w:tc>
          <w:tcPr>
            <w:tcW w:w="1067" w:type="pct"/>
            <w:shd w:val="clear" w:color="auto" w:fill="auto"/>
            <w:tcMar>
              <w:top w:w="110" w:type="dxa"/>
              <w:left w:w="58" w:type="dxa"/>
              <w:right w:w="58" w:type="dxa"/>
            </w:tcMar>
          </w:tcPr>
          <w:p w14:paraId="0E4D0E37" w14:textId="77777777" w:rsidR="00CE6E0B" w:rsidRPr="0085606F" w:rsidRDefault="00CE6E0B" w:rsidP="0031289D">
            <w:pPr>
              <w:keepLines/>
              <w:bidi/>
              <w:spacing w:after="120" w:line="280" w:lineRule="exact"/>
              <w:ind w:right="34"/>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الهدف المحدَّث:</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400 مشاركاً في أحداث</w:t>
            </w:r>
            <w:r w:rsidRPr="0085606F">
              <w:rPr>
                <w:rFonts w:ascii="Arabic Typesetting" w:eastAsia="Arabic Typesetting" w:hAnsi="Arabic Typesetting" w:cs="Arabic Typesetting" w:hint="cs"/>
                <w:color w:val="002060"/>
                <w:sz w:val="28"/>
                <w:szCs w:val="28"/>
                <w:lang w:eastAsia="ar-EG" w:bidi="ar-EG"/>
              </w:rPr>
              <w:t> </w:t>
            </w:r>
            <w:r w:rsidRPr="0085606F">
              <w:rPr>
                <w:rFonts w:ascii="Arabic Typesetting" w:eastAsia="Arabic Typesetting" w:hAnsi="Arabic Typesetting" w:cs="Arabic Typesetting"/>
                <w:color w:val="002060"/>
                <w:sz w:val="28"/>
                <w:szCs w:val="28"/>
                <w:rtl/>
                <w:lang w:eastAsia="ar-EG" w:bidi="ar-EG"/>
              </w:rPr>
              <w:t>المركز</w:t>
            </w:r>
          </w:p>
          <w:p w14:paraId="3D271757" w14:textId="0CE2EAE0" w:rsidR="00CE6E0B" w:rsidRPr="0085606F" w:rsidRDefault="00CE6E0B" w:rsidP="0031289D">
            <w:pPr>
              <w:keepLines/>
              <w:bidi/>
              <w:spacing w:after="120" w:line="280" w:lineRule="exact"/>
              <w:ind w:right="34"/>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250 مشاركاً في أحداث</w:t>
            </w:r>
            <w:r w:rsidRPr="0085606F">
              <w:rPr>
                <w:rFonts w:ascii="Arabic Typesetting" w:eastAsia="Arabic Typesetting" w:hAnsi="Arabic Typesetting" w:cs="Arabic Typesetting" w:hint="cs"/>
                <w:color w:val="000000"/>
                <w:sz w:val="28"/>
                <w:szCs w:val="28"/>
                <w:lang w:eastAsia="ar-EG" w:bidi="ar-EG"/>
              </w:rPr>
              <w:t> </w:t>
            </w:r>
            <w:r w:rsidRPr="0085606F">
              <w:rPr>
                <w:rFonts w:ascii="Arabic Typesetting" w:eastAsia="Arabic Typesetting" w:hAnsi="Arabic Typesetting" w:cs="Arabic Typesetting"/>
                <w:color w:val="000000"/>
                <w:sz w:val="28"/>
                <w:szCs w:val="28"/>
                <w:rtl/>
                <w:lang w:eastAsia="ar-EG" w:bidi="ar-EG"/>
              </w:rPr>
              <w:t>المركز</w:t>
            </w:r>
          </w:p>
        </w:tc>
        <w:tc>
          <w:tcPr>
            <w:tcW w:w="961" w:type="pct"/>
            <w:shd w:val="clear" w:color="auto" w:fill="FFFFFF"/>
            <w:tcMar>
              <w:top w:w="110" w:type="dxa"/>
              <w:left w:w="58" w:type="dxa"/>
              <w:right w:w="58" w:type="dxa"/>
            </w:tcMar>
          </w:tcPr>
          <w:p w14:paraId="1FB749C3" w14:textId="77777777" w:rsidR="00CE6E0B" w:rsidRPr="0085606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859 مشاركاً في أحداث</w:t>
            </w:r>
            <w:r w:rsidRPr="0085606F">
              <w:rPr>
                <w:rFonts w:ascii="Arabic Typesetting" w:eastAsia="Arabic Typesetting" w:hAnsi="Arabic Typesetting" w:cs="Arabic Typesetting" w:hint="cs"/>
                <w:color w:val="000000"/>
                <w:sz w:val="28"/>
                <w:szCs w:val="28"/>
                <w:lang w:eastAsia="ar-EG" w:bidi="ar-EG"/>
              </w:rPr>
              <w:t> </w:t>
            </w:r>
            <w:r w:rsidRPr="0085606F">
              <w:rPr>
                <w:rFonts w:ascii="Arabic Typesetting" w:eastAsia="Arabic Typesetting" w:hAnsi="Arabic Typesetting" w:cs="Arabic Typesetting"/>
                <w:color w:val="000000"/>
                <w:sz w:val="28"/>
                <w:szCs w:val="28"/>
                <w:rtl/>
                <w:lang w:eastAsia="ar-EG" w:bidi="ar-EG"/>
              </w:rPr>
              <w:t>المركز</w:t>
            </w:r>
          </w:p>
        </w:tc>
        <w:tc>
          <w:tcPr>
            <w:tcW w:w="604" w:type="pct"/>
            <w:shd w:val="clear" w:color="auto" w:fill="auto"/>
            <w:tcMar>
              <w:top w:w="110" w:type="dxa"/>
              <w:left w:w="58" w:type="dxa"/>
              <w:right w:w="58" w:type="dxa"/>
            </w:tcMar>
          </w:tcPr>
          <w:p w14:paraId="5595798F"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b/>
                <w:bCs/>
                <w:color w:val="00B050"/>
                <w:sz w:val="28"/>
                <w:szCs w:val="28"/>
                <w:rtl/>
                <w:lang w:eastAsia="ar-EG" w:bidi="ar-EG"/>
              </w:rPr>
              <w:t>ثابت</w:t>
            </w:r>
          </w:p>
        </w:tc>
      </w:tr>
      <w:tr w:rsidR="00CE6E0B" w:rsidRPr="0085606F" w14:paraId="000B9D87" w14:textId="77777777" w:rsidTr="00BB3820">
        <w:trPr>
          <w:cantSplit/>
          <w:trHeight w:val="20"/>
          <w:jc w:val="center"/>
        </w:trPr>
        <w:tc>
          <w:tcPr>
            <w:tcW w:w="936" w:type="pct"/>
            <w:vMerge/>
            <w:shd w:val="clear" w:color="auto" w:fill="auto"/>
            <w:tcMar>
              <w:left w:w="58" w:type="dxa"/>
              <w:right w:w="58" w:type="dxa"/>
            </w:tcMar>
          </w:tcPr>
          <w:p w14:paraId="5F83D271" w14:textId="77777777" w:rsidR="00CE6E0B" w:rsidRPr="0085606F" w:rsidRDefault="00CE6E0B" w:rsidP="0031289D">
            <w:pPr>
              <w:keepLines/>
              <w:bidi/>
              <w:spacing w:after="120" w:line="280" w:lineRule="exact"/>
              <w:ind w:right="43"/>
              <w:rPr>
                <w:rFonts w:ascii="Arabic Typesetting" w:eastAsia="Arabic Typesetting" w:hAnsi="Arabic Typesetting" w:cs="Arabic Typesetting"/>
                <w:color w:val="000000"/>
                <w:sz w:val="28"/>
                <w:szCs w:val="28"/>
                <w:lang w:eastAsia="ar-EG" w:bidi="ar-EG"/>
              </w:rPr>
            </w:pPr>
          </w:p>
        </w:tc>
        <w:tc>
          <w:tcPr>
            <w:tcW w:w="1432" w:type="pct"/>
            <w:shd w:val="clear" w:color="auto" w:fill="auto"/>
            <w:tcMar>
              <w:left w:w="58" w:type="dxa"/>
              <w:right w:w="58" w:type="dxa"/>
            </w:tcMar>
          </w:tcPr>
          <w:p w14:paraId="5F2D307C" w14:textId="278E079D" w:rsidR="00CE6E0B" w:rsidRPr="0085606F" w:rsidRDefault="00CE6E0B" w:rsidP="00587BA7">
            <w:pPr>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85606F">
              <w:rPr>
                <w:rFonts w:ascii="Arabic Typesetting" w:eastAsia="Arabic Typesetting" w:hAnsi="Arabic Typesetting" w:cs="Arabic Typesetting"/>
                <w:i/>
                <w:iCs/>
                <w:color w:val="002060"/>
                <w:sz w:val="28"/>
                <w:szCs w:val="28"/>
                <w:lang w:eastAsia="ar-EG" w:bidi="ar-EG"/>
              </w:rPr>
              <w:br/>
            </w:r>
            <w:r w:rsidR="00587BA7">
              <w:rPr>
                <w:rFonts w:ascii="Arabic Typesetting" w:eastAsia="Arabic Typesetting" w:hAnsi="Arabic Typesetting" w:cs="Arabic Typesetting" w:hint="cs"/>
                <w:color w:val="002060"/>
                <w:sz w:val="28"/>
                <w:szCs w:val="28"/>
                <w:rtl/>
                <w:lang w:eastAsia="ar-EG" w:bidi="ar-EG"/>
              </w:rPr>
              <w:t xml:space="preserve">9670 </w:t>
            </w:r>
            <w:r w:rsidRPr="0085606F">
              <w:rPr>
                <w:rFonts w:ascii="Arabic Typesetting" w:eastAsia="Arabic Typesetting" w:hAnsi="Arabic Typesetting" w:cs="Arabic Typesetting"/>
                <w:color w:val="002060"/>
                <w:sz w:val="28"/>
                <w:szCs w:val="28"/>
                <w:rtl/>
                <w:lang w:eastAsia="ar-EG" w:bidi="ar-EG"/>
              </w:rPr>
              <w:t>مشاركاً في أحداث يشارك فيها ممثلين عن المركز (2014/15)</w:t>
            </w:r>
          </w:p>
          <w:p w14:paraId="63A9F36A" w14:textId="422F11D3" w:rsidR="00CE6E0B" w:rsidRPr="0085606F" w:rsidRDefault="00CE6E0B" w:rsidP="00587BA7">
            <w:pPr>
              <w:bidi/>
              <w:spacing w:after="120" w:line="280" w:lineRule="exact"/>
              <w:rPr>
                <w:rFonts w:ascii="Arabic Typesetting" w:eastAsia="Arabic Typesetting" w:hAnsi="Arabic Typesetting" w:cs="Arabic Typesetting"/>
                <w:i/>
                <w:color w:val="002060"/>
                <w:sz w:val="28"/>
                <w:szCs w:val="28"/>
                <w:lang w:eastAsia="ar-EG" w:bidi="ar-EG"/>
              </w:rPr>
            </w:pPr>
            <w:r w:rsidRPr="0085606F">
              <w:rPr>
                <w:rFonts w:ascii="Arabic Typesetting" w:eastAsia="Arabic Typesetting" w:hAnsi="Arabic Typesetting" w:cs="Arabic Typesetting"/>
                <w:i/>
                <w:iCs/>
                <w:sz w:val="28"/>
                <w:szCs w:val="28"/>
                <w:rtl/>
                <w:lang w:eastAsia="ar-EG" w:bidi="ar-EG"/>
              </w:rPr>
              <w:t>‏أساس المقارنة الأصلي:</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00587BA7">
              <w:rPr>
                <w:rFonts w:ascii="Arabic Typesetting" w:eastAsia="Arabic Typesetting" w:hAnsi="Arabic Typesetting" w:cs="Arabic Typesetting" w:hint="cs"/>
                <w:color w:val="000000"/>
                <w:sz w:val="28"/>
                <w:szCs w:val="28"/>
                <w:rtl/>
                <w:lang w:eastAsia="ar-EG" w:bidi="ar-EG"/>
              </w:rPr>
              <w:t>4000</w:t>
            </w:r>
            <w:r w:rsidR="00587BA7">
              <w:rPr>
                <w:rFonts w:ascii="Arabic Typesetting" w:eastAsia="Arabic Typesetting" w:hAnsi="Arabic Typesetting" w:cs="Arabic Typesetting"/>
                <w:color w:val="000000"/>
                <w:sz w:val="28"/>
                <w:szCs w:val="28"/>
                <w:rtl/>
                <w:lang w:eastAsia="ar-EG" w:bidi="ar-EG"/>
              </w:rPr>
              <w:t xml:space="preserve"> مشارك</w:t>
            </w:r>
            <w:r w:rsidR="00587BA7">
              <w:rPr>
                <w:rFonts w:ascii="Arabic Typesetting" w:eastAsia="Arabic Typesetting" w:hAnsi="Arabic Typesetting" w:cs="Arabic Typesetting" w:hint="cs"/>
                <w:color w:val="000000"/>
                <w:sz w:val="28"/>
                <w:szCs w:val="28"/>
                <w:rtl/>
                <w:lang w:eastAsia="ar-EG" w:bidi="ar-EG"/>
              </w:rPr>
              <w:t xml:space="preserve"> </w:t>
            </w:r>
            <w:r w:rsidRPr="0085606F">
              <w:rPr>
                <w:rFonts w:ascii="Arabic Typesetting" w:eastAsia="Arabic Typesetting" w:hAnsi="Arabic Typesetting" w:cs="Arabic Typesetting"/>
                <w:color w:val="000000"/>
                <w:sz w:val="28"/>
                <w:szCs w:val="28"/>
                <w:rtl/>
                <w:lang w:eastAsia="ar-EG" w:bidi="ar-EG"/>
              </w:rPr>
              <w:t>في أحداث يشارك فيها ممثلين عن المركز (2012/13)</w:t>
            </w:r>
          </w:p>
        </w:tc>
        <w:tc>
          <w:tcPr>
            <w:tcW w:w="1067" w:type="pct"/>
            <w:shd w:val="clear" w:color="auto" w:fill="auto"/>
            <w:tcMar>
              <w:top w:w="110" w:type="dxa"/>
              <w:left w:w="58" w:type="dxa"/>
              <w:right w:w="58" w:type="dxa"/>
            </w:tcMar>
          </w:tcPr>
          <w:p w14:paraId="09EC18B4" w14:textId="210E99E9" w:rsidR="00CE6E0B" w:rsidRPr="0085606F" w:rsidRDefault="00CE6E0B" w:rsidP="00587BA7">
            <w:pPr>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الهدف المحدَّث:</w:t>
            </w:r>
            <w:r w:rsidRPr="0085606F">
              <w:rPr>
                <w:rFonts w:ascii="Arabic Typesetting" w:eastAsia="Arabic Typesetting" w:hAnsi="Arabic Typesetting" w:cs="Arabic Typesetting"/>
                <w:i/>
                <w:iCs/>
                <w:color w:val="002060"/>
                <w:sz w:val="28"/>
                <w:szCs w:val="28"/>
                <w:lang w:eastAsia="ar-EG" w:bidi="ar-EG"/>
              </w:rPr>
              <w:br/>
            </w:r>
            <w:r w:rsidR="00587BA7">
              <w:rPr>
                <w:rFonts w:ascii="Arabic Typesetting" w:eastAsia="Arabic Typesetting" w:hAnsi="Arabic Typesetting" w:cs="Arabic Typesetting" w:hint="cs"/>
                <w:color w:val="002060"/>
                <w:sz w:val="28"/>
                <w:szCs w:val="28"/>
                <w:rtl/>
                <w:lang w:eastAsia="ar-EG" w:bidi="ar-EG"/>
              </w:rPr>
              <w:t xml:space="preserve">9670 </w:t>
            </w:r>
            <w:r w:rsidRPr="0085606F">
              <w:rPr>
                <w:rFonts w:ascii="Arabic Typesetting" w:eastAsia="Arabic Typesetting" w:hAnsi="Arabic Typesetting" w:cs="Arabic Typesetting"/>
                <w:color w:val="002060"/>
                <w:sz w:val="28"/>
                <w:szCs w:val="28"/>
                <w:rtl/>
                <w:lang w:eastAsia="ar-EG" w:bidi="ar-EG"/>
              </w:rPr>
              <w:t>مشاركاً في أحداث يشارك فيها ممثلين عن المركز</w:t>
            </w:r>
          </w:p>
          <w:p w14:paraId="417C7A25" w14:textId="785943A0" w:rsidR="00CE6E0B" w:rsidRPr="0085606F" w:rsidRDefault="00CE6E0B" w:rsidP="00587BA7">
            <w:pPr>
              <w:keepLines/>
              <w:bidi/>
              <w:spacing w:after="120" w:line="280" w:lineRule="exact"/>
              <w:ind w:right="34"/>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00587BA7">
              <w:rPr>
                <w:rFonts w:ascii="Arabic Typesetting" w:eastAsia="Arabic Typesetting" w:hAnsi="Arabic Typesetting" w:cs="Arabic Typesetting" w:hint="cs"/>
                <w:color w:val="000000"/>
                <w:sz w:val="28"/>
                <w:szCs w:val="28"/>
                <w:rtl/>
                <w:lang w:eastAsia="ar-EG" w:bidi="ar-EG"/>
              </w:rPr>
              <w:t>6000</w:t>
            </w:r>
            <w:r w:rsidR="00587BA7">
              <w:rPr>
                <w:rFonts w:ascii="Arabic Typesetting" w:eastAsia="Arabic Typesetting" w:hAnsi="Arabic Typesetting" w:cs="Arabic Typesetting"/>
                <w:color w:val="000000"/>
                <w:sz w:val="28"/>
                <w:szCs w:val="28"/>
                <w:rtl/>
                <w:lang w:eastAsia="ar-EG" w:bidi="ar-EG"/>
              </w:rPr>
              <w:t xml:space="preserve"> مشارك</w:t>
            </w:r>
            <w:r w:rsidR="00587BA7">
              <w:rPr>
                <w:rFonts w:ascii="Arabic Typesetting" w:eastAsia="Arabic Typesetting" w:hAnsi="Arabic Typesetting" w:cs="Arabic Typesetting" w:hint="cs"/>
                <w:color w:val="000000"/>
                <w:sz w:val="28"/>
                <w:szCs w:val="28"/>
                <w:rtl/>
                <w:lang w:eastAsia="ar-EG" w:bidi="ar-EG"/>
              </w:rPr>
              <w:t xml:space="preserve"> </w:t>
            </w:r>
            <w:r w:rsidRPr="0085606F">
              <w:rPr>
                <w:rFonts w:ascii="Arabic Typesetting" w:eastAsia="Arabic Typesetting" w:hAnsi="Arabic Typesetting" w:cs="Arabic Typesetting"/>
                <w:color w:val="000000"/>
                <w:sz w:val="28"/>
                <w:szCs w:val="28"/>
                <w:rtl/>
                <w:lang w:eastAsia="ar-EG" w:bidi="ar-EG"/>
              </w:rPr>
              <w:t>في أحداث يشارك فيها ممثلين عن المركز</w:t>
            </w:r>
          </w:p>
        </w:tc>
        <w:tc>
          <w:tcPr>
            <w:tcW w:w="961" w:type="pct"/>
            <w:shd w:val="clear" w:color="auto" w:fill="FFFFFF"/>
            <w:tcMar>
              <w:top w:w="110" w:type="dxa"/>
              <w:left w:w="58" w:type="dxa"/>
              <w:right w:w="58" w:type="dxa"/>
            </w:tcMar>
          </w:tcPr>
          <w:p w14:paraId="5F66C597" w14:textId="20048219" w:rsidR="00CE6E0B" w:rsidRPr="0085606F" w:rsidRDefault="00587BA7"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5302 </w:t>
            </w:r>
            <w:r w:rsidR="00CE6E0B">
              <w:rPr>
                <w:rFonts w:ascii="Arabic Typesetting" w:eastAsia="Arabic Typesetting" w:hAnsi="Arabic Typesetting" w:cs="Arabic Typesetting" w:hint="cs"/>
                <w:color w:val="000000"/>
                <w:sz w:val="28"/>
                <w:szCs w:val="28"/>
                <w:rtl/>
                <w:lang w:eastAsia="ar-EG" w:bidi="ar-EG"/>
              </w:rPr>
              <w:t xml:space="preserve">مشارك </w:t>
            </w:r>
            <w:r w:rsidR="00CE6E0B" w:rsidRPr="0085606F">
              <w:rPr>
                <w:rFonts w:ascii="Arabic Typesetting" w:eastAsia="Arabic Typesetting" w:hAnsi="Arabic Typesetting" w:cs="Arabic Typesetting"/>
                <w:color w:val="000000"/>
                <w:sz w:val="28"/>
                <w:szCs w:val="28"/>
                <w:rtl/>
                <w:lang w:eastAsia="ar-EG" w:bidi="ar-EG"/>
              </w:rPr>
              <w:t>في أحداث يشارك فيها ممثلين عن المركز</w:t>
            </w:r>
          </w:p>
        </w:tc>
        <w:tc>
          <w:tcPr>
            <w:tcW w:w="604" w:type="pct"/>
            <w:shd w:val="clear" w:color="auto" w:fill="auto"/>
            <w:tcMar>
              <w:top w:w="110" w:type="dxa"/>
              <w:left w:w="58" w:type="dxa"/>
              <w:right w:w="58" w:type="dxa"/>
            </w:tcMar>
          </w:tcPr>
          <w:p w14:paraId="04B71E21"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b/>
                <w:bCs/>
                <w:color w:val="00B050"/>
                <w:sz w:val="28"/>
                <w:szCs w:val="28"/>
                <w:rtl/>
                <w:lang w:eastAsia="ar-EG" w:bidi="ar-EG"/>
              </w:rPr>
              <w:t>ثابت</w:t>
            </w:r>
          </w:p>
        </w:tc>
      </w:tr>
      <w:tr w:rsidR="00CE6E0B" w:rsidRPr="0085606F" w14:paraId="071F28AA" w14:textId="77777777" w:rsidTr="00BB3820">
        <w:trPr>
          <w:cantSplit/>
          <w:trHeight w:val="20"/>
          <w:jc w:val="center"/>
        </w:trPr>
        <w:tc>
          <w:tcPr>
            <w:tcW w:w="936" w:type="pct"/>
            <w:shd w:val="clear" w:color="auto" w:fill="auto"/>
            <w:tcMar>
              <w:left w:w="58" w:type="dxa"/>
              <w:right w:w="58" w:type="dxa"/>
            </w:tcMar>
          </w:tcPr>
          <w:p w14:paraId="58A6E6BC" w14:textId="77777777" w:rsidR="00CE6E0B" w:rsidRPr="0085606F" w:rsidRDefault="00CE6E0B" w:rsidP="0031289D">
            <w:pPr>
              <w:bidi/>
              <w:spacing w:after="120" w:line="280" w:lineRule="exact"/>
              <w:ind w:right="43"/>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السياسات البديلة لتسوية المنازعات التي ساهم المركز في وضعها وتنفيذها</w:t>
            </w:r>
          </w:p>
        </w:tc>
        <w:tc>
          <w:tcPr>
            <w:tcW w:w="1432" w:type="pct"/>
            <w:shd w:val="clear" w:color="auto" w:fill="auto"/>
            <w:tcMar>
              <w:left w:w="58" w:type="dxa"/>
              <w:right w:w="58" w:type="dxa"/>
            </w:tcMar>
          </w:tcPr>
          <w:p w14:paraId="15EE97F6" w14:textId="77777777" w:rsidR="00CE6E0B" w:rsidRPr="0085606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23 نظاماً معتمداً (جمعية الامتياز البرازيلية (</w:t>
            </w:r>
            <w:r w:rsidRPr="0085606F">
              <w:rPr>
                <w:rFonts w:ascii="Arabic Typesetting" w:eastAsia="Arabic Typesetting" w:hAnsi="Arabic Typesetting" w:cs="Arabic Typesetting"/>
                <w:color w:val="002060"/>
                <w:sz w:val="28"/>
                <w:szCs w:val="28"/>
                <w:lang w:eastAsia="ar-EG" w:bidi="ar-EG"/>
              </w:rPr>
              <w:t>ABF</w:t>
            </w:r>
            <w:r w:rsidRPr="0085606F">
              <w:rPr>
                <w:rFonts w:ascii="Arabic Typesetting" w:eastAsia="Arabic Typesetting" w:hAnsi="Arabic Typesetting" w:cs="Arabic Typesetting"/>
                <w:color w:val="002060"/>
                <w:sz w:val="28"/>
                <w:szCs w:val="28"/>
                <w:rtl/>
                <w:lang w:eastAsia="ar-EG" w:bidi="ar-EG"/>
              </w:rPr>
              <w:t>)، وجمعية الامتياز الإسبانية (</w:t>
            </w:r>
            <w:r w:rsidRPr="0085606F">
              <w:rPr>
                <w:rFonts w:ascii="Arabic Typesetting" w:eastAsia="Arabic Typesetting" w:hAnsi="Arabic Typesetting" w:cs="Arabic Typesetting"/>
                <w:color w:val="002060"/>
                <w:sz w:val="28"/>
                <w:szCs w:val="28"/>
                <w:lang w:eastAsia="ar-EG" w:bidi="ar-EG"/>
              </w:rPr>
              <w:t>AEF</w:t>
            </w:r>
            <w:r w:rsidRPr="0085606F">
              <w:rPr>
                <w:rFonts w:ascii="Arabic Typesetting" w:eastAsia="Arabic Typesetting" w:hAnsi="Arabic Typesetting" w:cs="Arabic Typesetting"/>
                <w:color w:val="002060"/>
                <w:sz w:val="28"/>
                <w:szCs w:val="28"/>
                <w:rtl/>
                <w:lang w:eastAsia="ar-EG" w:bidi="ar-EG"/>
              </w:rPr>
              <w:t>)، وجمعية الإدارة الجماعية الدولية للمصنفات السمعية البصرية (</w:t>
            </w:r>
            <w:r w:rsidRPr="0085606F">
              <w:rPr>
                <w:rFonts w:ascii="Arabic Typesetting" w:eastAsia="Arabic Typesetting" w:hAnsi="Arabic Typesetting" w:cs="Arabic Typesetting"/>
                <w:color w:val="002060"/>
                <w:sz w:val="28"/>
                <w:szCs w:val="28"/>
                <w:lang w:eastAsia="ar-EG" w:bidi="ar-EG"/>
              </w:rPr>
              <w:t>AGICOA</w:t>
            </w:r>
            <w:r w:rsidRPr="0085606F">
              <w:rPr>
                <w:rFonts w:ascii="Arabic Typesetting" w:eastAsia="Arabic Typesetting" w:hAnsi="Arabic Typesetting" w:cs="Arabic Typesetting"/>
                <w:color w:val="002060"/>
                <w:sz w:val="28"/>
                <w:szCs w:val="28"/>
                <w:rtl/>
                <w:lang w:eastAsia="ar-EG" w:bidi="ar-EG"/>
              </w:rPr>
              <w:t>)، واتفاق اتحاد الشركات المبسّط (</w:t>
            </w:r>
            <w:r w:rsidRPr="0085606F">
              <w:rPr>
                <w:rFonts w:ascii="Arabic Typesetting" w:eastAsia="Arabic Typesetting" w:hAnsi="Arabic Typesetting" w:cs="Arabic Typesetting"/>
                <w:color w:val="002060"/>
                <w:sz w:val="28"/>
                <w:szCs w:val="28"/>
                <w:lang w:eastAsia="ar-EG" w:bidi="ar-EG"/>
              </w:rPr>
              <w:t>DESCA</w:t>
            </w:r>
            <w:r w:rsidRPr="0085606F">
              <w:rPr>
                <w:rFonts w:ascii="Arabic Typesetting" w:eastAsia="Arabic Typesetting" w:hAnsi="Arabic Typesetting" w:cs="Arabic Typesetting"/>
                <w:color w:val="002060"/>
                <w:sz w:val="28"/>
                <w:szCs w:val="28"/>
                <w:rtl/>
                <w:lang w:eastAsia="ar-EG" w:bidi="ar-EG"/>
              </w:rPr>
              <w:t>)، والمديرية العامة للملكية الفكرية في إندونيسيا (</w:t>
            </w:r>
            <w:r w:rsidRPr="0085606F">
              <w:rPr>
                <w:rFonts w:ascii="Arabic Typesetting" w:eastAsia="Arabic Typesetting" w:hAnsi="Arabic Typesetting" w:cs="Arabic Typesetting"/>
                <w:color w:val="002060"/>
                <w:sz w:val="28"/>
                <w:szCs w:val="28"/>
                <w:lang w:eastAsia="ar-EG" w:bidi="ar-EG"/>
              </w:rPr>
              <w:t>DGIPR</w:t>
            </w:r>
            <w:r w:rsidRPr="0085606F">
              <w:rPr>
                <w:rFonts w:ascii="Arabic Typesetting" w:eastAsia="Arabic Typesetting" w:hAnsi="Arabic Typesetting" w:cs="Arabic Typesetting"/>
                <w:color w:val="002060"/>
                <w:sz w:val="28"/>
                <w:szCs w:val="28"/>
                <w:rtl/>
                <w:lang w:eastAsia="ar-EG" w:bidi="ar-EG"/>
              </w:rPr>
              <w:t>)، ومديرية حق المؤلف الوطنية (</w:t>
            </w:r>
            <w:r w:rsidRPr="0085606F">
              <w:rPr>
                <w:rFonts w:ascii="Arabic Typesetting" w:eastAsia="Arabic Typesetting" w:hAnsi="Arabic Typesetting" w:cs="Arabic Typesetting"/>
                <w:color w:val="002060"/>
                <w:sz w:val="28"/>
                <w:szCs w:val="28"/>
                <w:lang w:eastAsia="ar-EG" w:bidi="ar-EG"/>
              </w:rPr>
              <w:t>DNDA</w:t>
            </w:r>
            <w:r w:rsidRPr="0085606F">
              <w:rPr>
                <w:rFonts w:ascii="Arabic Typesetting" w:eastAsia="Arabic Typesetting" w:hAnsi="Arabic Typesetting" w:cs="Arabic Typesetting"/>
                <w:color w:val="002060"/>
                <w:sz w:val="28"/>
                <w:szCs w:val="28"/>
                <w:rtl/>
                <w:lang w:eastAsia="ar-EG" w:bidi="ar-EG"/>
              </w:rPr>
              <w:t>)، وجمعية إدارة حقوق منتجي المصنفات السمعية البصرية (</w:t>
            </w:r>
            <w:r w:rsidRPr="0085606F">
              <w:rPr>
                <w:rFonts w:ascii="Arabic Typesetting" w:eastAsia="Arabic Typesetting" w:hAnsi="Arabic Typesetting" w:cs="Arabic Typesetting"/>
                <w:color w:val="002060"/>
                <w:sz w:val="28"/>
                <w:szCs w:val="28"/>
                <w:lang w:eastAsia="ar-EG" w:bidi="ar-EG"/>
              </w:rPr>
              <w:t>EGEDA</w:t>
            </w:r>
            <w:r w:rsidRPr="0085606F">
              <w:rPr>
                <w:rFonts w:ascii="Arabic Typesetting" w:eastAsia="Arabic Typesetting" w:hAnsi="Arabic Typesetting" w:cs="Arabic Typesetting"/>
                <w:color w:val="002060"/>
                <w:sz w:val="28"/>
                <w:szCs w:val="28"/>
                <w:rtl/>
                <w:lang w:eastAsia="ar-EG" w:bidi="ar-EG"/>
              </w:rPr>
              <w:t>)، والمعهد الأوروبي لمعايير الاتصالات (</w:t>
            </w:r>
            <w:r w:rsidRPr="0085606F">
              <w:rPr>
                <w:rFonts w:ascii="Arabic Typesetting" w:eastAsia="Arabic Typesetting" w:hAnsi="Arabic Typesetting" w:cs="Arabic Typesetting"/>
                <w:color w:val="002060"/>
                <w:sz w:val="28"/>
                <w:szCs w:val="28"/>
                <w:lang w:eastAsia="ar-EG" w:bidi="ar-EG"/>
              </w:rPr>
              <w:t>ETSI</w:t>
            </w:r>
            <w:r w:rsidRPr="0085606F">
              <w:rPr>
                <w:rFonts w:ascii="Arabic Typesetting" w:eastAsia="Arabic Typesetting" w:hAnsi="Arabic Typesetting" w:cs="Arabic Typesetting"/>
                <w:color w:val="002060"/>
                <w:sz w:val="28"/>
                <w:szCs w:val="28"/>
                <w:rtl/>
                <w:lang w:eastAsia="ar-EG" w:bidi="ar-EG"/>
              </w:rPr>
              <w:t>)، والفيلم والإعلام، والبحث والتطوير الألماني، والمجلس الدولي للمتاحف (</w:t>
            </w:r>
            <w:r w:rsidRPr="0085606F">
              <w:rPr>
                <w:rFonts w:ascii="Arabic Typesetting" w:eastAsia="Arabic Typesetting" w:hAnsi="Arabic Typesetting" w:cs="Arabic Typesetting"/>
                <w:color w:val="002060"/>
                <w:sz w:val="28"/>
                <w:szCs w:val="28"/>
                <w:lang w:eastAsia="ar-EG" w:bidi="ar-EG"/>
              </w:rPr>
              <w:t>ICOM</w:t>
            </w:r>
            <w:r w:rsidRPr="0085606F">
              <w:rPr>
                <w:rFonts w:ascii="Arabic Typesetting" w:eastAsia="Arabic Typesetting" w:hAnsi="Arabic Typesetting" w:cs="Arabic Typesetting"/>
                <w:color w:val="002060"/>
                <w:sz w:val="28"/>
                <w:szCs w:val="28"/>
                <w:rtl/>
                <w:lang w:eastAsia="ar-EG" w:bidi="ar-EG"/>
              </w:rPr>
              <w:t>)، ومعهد الهندسة الكهربائية والإلكترونيات (</w:t>
            </w:r>
            <w:r w:rsidRPr="0085606F">
              <w:rPr>
                <w:rFonts w:ascii="Arabic Typesetting" w:eastAsia="Arabic Typesetting" w:hAnsi="Arabic Typesetting" w:cs="Arabic Typesetting"/>
                <w:color w:val="002060"/>
                <w:sz w:val="28"/>
                <w:szCs w:val="28"/>
                <w:lang w:eastAsia="ar-EG" w:bidi="ar-EG"/>
              </w:rPr>
              <w:t>IEEE</w:t>
            </w:r>
            <w:r w:rsidRPr="0085606F">
              <w:rPr>
                <w:rFonts w:ascii="Arabic Typesetting" w:eastAsia="Arabic Typesetting" w:hAnsi="Arabic Typesetting" w:cs="Arabic Typesetting"/>
                <w:color w:val="002060"/>
                <w:sz w:val="28"/>
                <w:szCs w:val="28"/>
                <w:rtl/>
                <w:lang w:eastAsia="ar-EG" w:bidi="ar-EG"/>
              </w:rPr>
              <w:t>)، والمعهد المكسيكي للملكية الصناعية (</w:t>
            </w:r>
            <w:r w:rsidRPr="0085606F">
              <w:rPr>
                <w:rFonts w:ascii="Arabic Typesetting" w:eastAsia="Arabic Typesetting" w:hAnsi="Arabic Typesetting" w:cs="Arabic Typesetting"/>
                <w:color w:val="002060"/>
                <w:sz w:val="28"/>
                <w:szCs w:val="28"/>
                <w:lang w:eastAsia="ar-EG" w:bidi="ar-EG"/>
              </w:rPr>
              <w:t>IMPI</w:t>
            </w:r>
            <w:r w:rsidRPr="0085606F">
              <w:rPr>
                <w:rFonts w:ascii="Arabic Typesetting" w:eastAsia="Arabic Typesetting" w:hAnsi="Arabic Typesetting" w:cs="Arabic Typesetting"/>
                <w:color w:val="002060"/>
                <w:sz w:val="28"/>
                <w:szCs w:val="28"/>
                <w:rtl/>
                <w:lang w:eastAsia="ar-EG" w:bidi="ar-EG"/>
              </w:rPr>
              <w:t>)، والمعهد الوطني للملكية الصناعية في البرازيل (</w:t>
            </w:r>
            <w:r w:rsidRPr="0085606F">
              <w:rPr>
                <w:rFonts w:ascii="Arabic Typesetting" w:eastAsia="Arabic Typesetting" w:hAnsi="Arabic Typesetting" w:cs="Arabic Typesetting"/>
                <w:color w:val="002060"/>
                <w:sz w:val="28"/>
                <w:szCs w:val="28"/>
                <w:lang w:eastAsia="ar-EG" w:bidi="ar-EG"/>
              </w:rPr>
              <w:t>INPI-BR</w:t>
            </w:r>
            <w:r w:rsidRPr="0085606F">
              <w:rPr>
                <w:rFonts w:ascii="Arabic Typesetting" w:eastAsia="Arabic Typesetting" w:hAnsi="Arabic Typesetting" w:cs="Arabic Typesetting"/>
                <w:color w:val="002060"/>
                <w:sz w:val="28"/>
                <w:szCs w:val="28"/>
                <w:rtl/>
                <w:lang w:eastAsia="ar-EG" w:bidi="ar-EG"/>
              </w:rPr>
              <w:t>)، ودليل اتفاقات الملكية الفكرية (</w:t>
            </w:r>
            <w:r w:rsidRPr="0085606F">
              <w:rPr>
                <w:rFonts w:ascii="Arabic Typesetting" w:eastAsia="Arabic Typesetting" w:hAnsi="Arabic Typesetting" w:cs="Arabic Typesetting"/>
                <w:color w:val="002060"/>
                <w:sz w:val="28"/>
                <w:szCs w:val="28"/>
                <w:lang w:eastAsia="ar-EG" w:bidi="ar-EG"/>
              </w:rPr>
              <w:t>IPAG</w:t>
            </w:r>
            <w:r w:rsidRPr="0085606F">
              <w:rPr>
                <w:rFonts w:ascii="Arabic Typesetting" w:eastAsia="Arabic Typesetting" w:hAnsi="Arabic Typesetting" w:cs="Arabic Typesetting"/>
                <w:color w:val="002060"/>
                <w:sz w:val="28"/>
                <w:szCs w:val="28"/>
                <w:rtl/>
                <w:lang w:eastAsia="ar-EG" w:bidi="ar-EG"/>
              </w:rPr>
              <w:t>)، ومكتب الفلبين للملكية الفكرية، ومكتب سنغافورة للملكية الفكرية (الوساطة)، ومكتب سنغافورة للملكية الفكرية (قرارات الخبراء)، ولجنة كوريا للاتصالات (</w:t>
            </w:r>
            <w:r w:rsidRPr="0085606F">
              <w:rPr>
                <w:rFonts w:ascii="Arabic Typesetting" w:eastAsia="Arabic Typesetting" w:hAnsi="Arabic Typesetting" w:cs="Arabic Typesetting"/>
                <w:color w:val="002060"/>
                <w:sz w:val="28"/>
                <w:szCs w:val="28"/>
                <w:lang w:eastAsia="ar-EG" w:bidi="ar-EG"/>
              </w:rPr>
              <w:t>KCC</w:t>
            </w:r>
            <w:r w:rsidRPr="0085606F">
              <w:rPr>
                <w:rFonts w:ascii="Arabic Typesetting" w:eastAsia="Arabic Typesetting" w:hAnsi="Arabic Typesetting" w:cs="Arabic Typesetting"/>
                <w:color w:val="002060"/>
                <w:sz w:val="28"/>
                <w:szCs w:val="28"/>
                <w:rtl/>
                <w:lang w:eastAsia="ar-EG" w:bidi="ar-EG"/>
              </w:rPr>
              <w:t>)، والوكالة الكورية للمحتوى الإبداعي (</w:t>
            </w:r>
            <w:r w:rsidRPr="0085606F">
              <w:rPr>
                <w:rFonts w:ascii="Arabic Typesetting" w:eastAsia="Arabic Typesetting" w:hAnsi="Arabic Typesetting" w:cs="Arabic Typesetting"/>
                <w:color w:val="002060"/>
                <w:sz w:val="28"/>
                <w:szCs w:val="28"/>
                <w:lang w:eastAsia="ar-EG" w:bidi="ar-EG"/>
              </w:rPr>
              <w:t>KOCCA</w:t>
            </w:r>
            <w:r w:rsidRPr="0085606F">
              <w:rPr>
                <w:rFonts w:ascii="Arabic Typesetting" w:eastAsia="Arabic Typesetting" w:hAnsi="Arabic Typesetting" w:cs="Arabic Typesetting"/>
                <w:color w:val="002060"/>
                <w:sz w:val="28"/>
                <w:szCs w:val="28"/>
                <w:rtl/>
                <w:lang w:eastAsia="ar-EG" w:bidi="ar-EG"/>
              </w:rPr>
              <w:t>)، والمعاهدة الدولية بشأن الموارد الوراثية النباتية للأغذية والزراعة (</w:t>
            </w:r>
            <w:r w:rsidRPr="0085606F">
              <w:rPr>
                <w:rFonts w:ascii="Arabic Typesetting" w:eastAsia="Arabic Typesetting" w:hAnsi="Arabic Typesetting" w:cs="Arabic Typesetting"/>
                <w:color w:val="002060"/>
                <w:sz w:val="28"/>
                <w:szCs w:val="28"/>
                <w:lang w:eastAsia="ar-EG" w:bidi="ar-EG"/>
              </w:rPr>
              <w:t>ITPGRFA</w:t>
            </w:r>
            <w:r w:rsidRPr="0085606F">
              <w:rPr>
                <w:rFonts w:ascii="Arabic Typesetting" w:eastAsia="Arabic Typesetting" w:hAnsi="Arabic Typesetting" w:cs="Arabic Typesetting"/>
                <w:color w:val="002060"/>
                <w:sz w:val="28"/>
                <w:szCs w:val="28"/>
                <w:rtl/>
                <w:lang w:eastAsia="ar-EG" w:bidi="ar-EG"/>
              </w:rPr>
              <w:t>)، ومركز باليكسبو، والجمعية السويسرية للامتياز (</w:t>
            </w:r>
            <w:r w:rsidRPr="0085606F">
              <w:rPr>
                <w:rFonts w:ascii="Arabic Typesetting" w:eastAsia="Arabic Typesetting" w:hAnsi="Arabic Typesetting" w:cs="Arabic Typesetting"/>
                <w:color w:val="002060"/>
                <w:sz w:val="28"/>
                <w:szCs w:val="28"/>
                <w:lang w:eastAsia="ar-EG" w:bidi="ar-EG"/>
              </w:rPr>
              <w:t>SFA</w:t>
            </w:r>
            <w:r w:rsidRPr="0085606F">
              <w:rPr>
                <w:rFonts w:ascii="Arabic Typesetting" w:eastAsia="Arabic Typesetting" w:hAnsi="Arabic Typesetting" w:cs="Arabic Typesetting"/>
                <w:color w:val="002060"/>
                <w:sz w:val="28"/>
                <w:szCs w:val="28"/>
                <w:rtl/>
                <w:lang w:eastAsia="ar-EG" w:bidi="ar-EG"/>
              </w:rPr>
              <w:t>)، ومكتب الولايات الم</w:t>
            </w:r>
            <w:r>
              <w:rPr>
                <w:rFonts w:ascii="Arabic Typesetting" w:eastAsia="Arabic Typesetting" w:hAnsi="Arabic Typesetting" w:cs="Arabic Typesetting"/>
                <w:color w:val="002060"/>
                <w:sz w:val="28"/>
                <w:szCs w:val="28"/>
                <w:rtl/>
                <w:lang w:eastAsia="ar-EG" w:bidi="ar-EG"/>
              </w:rPr>
              <w:t>تحدة للبراءات والعلامات التجاري</w:t>
            </w:r>
            <w:r>
              <w:rPr>
                <w:rFonts w:ascii="Arabic Typesetting" w:eastAsia="Arabic Typesetting" w:hAnsi="Arabic Typesetting" w:cs="Arabic Typesetting" w:hint="cs"/>
                <w:color w:val="002060"/>
                <w:sz w:val="28"/>
                <w:szCs w:val="28"/>
                <w:rtl/>
                <w:lang w:eastAsia="ar-EG" w:bidi="ar-EG"/>
              </w:rPr>
              <w:t>ة (</w:t>
            </w:r>
            <w:r w:rsidRPr="0085606F">
              <w:rPr>
                <w:rFonts w:ascii="Arabic Typesetting" w:eastAsia="Arabic Typesetting" w:hAnsi="Arabic Typesetting" w:cs="Arabic Typesetting"/>
                <w:color w:val="002060"/>
                <w:sz w:val="28"/>
                <w:szCs w:val="28"/>
                <w:lang w:eastAsia="ar-EG" w:bidi="ar-EG"/>
              </w:rPr>
              <w:t>(USPTO</w:t>
            </w:r>
            <w:r w:rsidRPr="0085606F">
              <w:rPr>
                <w:rFonts w:ascii="Arabic Typesetting" w:eastAsia="Arabic Typesetting" w:hAnsi="Arabic Typesetting" w:cs="Arabic Typesetting"/>
                <w:color w:val="002060"/>
                <w:sz w:val="28"/>
                <w:szCs w:val="28"/>
                <w:rtl/>
                <w:lang w:eastAsia="ar-EG" w:bidi="ar-EG"/>
              </w:rPr>
              <w:t>) (التراكمي بنهاية 2015)</w:t>
            </w:r>
            <w:r w:rsidRPr="0085606F">
              <w:rPr>
                <w:rFonts w:ascii="Arabic Typesetting" w:eastAsia="Arabic Typesetting" w:hAnsi="Arabic Typesetting" w:cs="Arabic Typesetting"/>
                <w:color w:val="002060"/>
                <w:sz w:val="28"/>
                <w:szCs w:val="28"/>
                <w:vertAlign w:val="superscript"/>
                <w:lang w:eastAsia="ar-EG" w:bidi="ar-EG"/>
              </w:rPr>
              <w:footnoteReference w:id="45"/>
            </w:r>
          </w:p>
        </w:tc>
        <w:tc>
          <w:tcPr>
            <w:tcW w:w="1067" w:type="pct"/>
            <w:shd w:val="clear" w:color="auto" w:fill="auto"/>
            <w:tcMar>
              <w:top w:w="110" w:type="dxa"/>
              <w:left w:w="58" w:type="dxa"/>
              <w:right w:w="58" w:type="dxa"/>
            </w:tcMar>
          </w:tcPr>
          <w:p w14:paraId="7D487B6D" w14:textId="77777777" w:rsidR="00CE6E0B" w:rsidRPr="0085606F" w:rsidRDefault="00CE6E0B" w:rsidP="0031289D">
            <w:pPr>
              <w:keepLines/>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الهدف المحدَّث:</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4 إلى 6 أنظمة إضافية</w:t>
            </w:r>
          </w:p>
          <w:p w14:paraId="60B3F43D" w14:textId="1384506E" w:rsidR="00CE6E0B" w:rsidRPr="0085606F" w:rsidRDefault="00CE6E0B" w:rsidP="0031289D">
            <w:pPr>
              <w:bidi/>
              <w:spacing w:after="120" w:line="280" w:lineRule="exact"/>
              <w:ind w:right="34"/>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1 إلى 3 أنظمة إضافية</w:t>
            </w:r>
          </w:p>
        </w:tc>
        <w:tc>
          <w:tcPr>
            <w:tcW w:w="961" w:type="pct"/>
            <w:shd w:val="clear" w:color="auto" w:fill="FFFFFF"/>
            <w:tcMar>
              <w:top w:w="110" w:type="dxa"/>
              <w:left w:w="58" w:type="dxa"/>
              <w:right w:w="58" w:type="dxa"/>
            </w:tcMar>
          </w:tcPr>
          <w:p w14:paraId="72ADBADF" w14:textId="77777777" w:rsidR="00CE6E0B" w:rsidRPr="0085606F" w:rsidRDefault="00CE6E0B"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5 خطط إضافية معتمدة:</w:t>
            </w:r>
            <w:r w:rsidRPr="0085606F">
              <w:rPr>
                <w:rFonts w:ascii="Arabic Typesetting" w:eastAsia="Arabic Typesetting" w:hAnsi="Arabic Typesetting" w:cs="Arabic Typesetting"/>
                <w:color w:val="000000"/>
                <w:sz w:val="28"/>
                <w:szCs w:val="28"/>
                <w:lang w:eastAsia="ar-EG" w:bidi="ar-EG"/>
              </w:rPr>
              <w:br/>
            </w:r>
            <w:r w:rsidRPr="0085606F">
              <w:rPr>
                <w:rFonts w:ascii="Arabic Typesetting" w:eastAsia="Arabic Typesetting" w:hAnsi="Arabic Typesetting" w:cs="Arabic Typesetting"/>
                <w:sz w:val="28"/>
                <w:szCs w:val="28"/>
                <w:rtl/>
                <w:lang w:eastAsia="ar-EG" w:bidi="ar-EG"/>
              </w:rPr>
              <w:t>"1" المركز الوطني للسجلات (</w:t>
            </w:r>
            <w:r w:rsidRPr="0085606F">
              <w:rPr>
                <w:rFonts w:ascii="Arabic Typesetting" w:eastAsia="Arabic Typesetting" w:hAnsi="Arabic Typesetting" w:cs="Arabic Typesetting"/>
                <w:sz w:val="28"/>
                <w:szCs w:val="28"/>
                <w:lang w:eastAsia="ar-EG" w:bidi="ar-EG"/>
              </w:rPr>
              <w:t>CNR</w:t>
            </w:r>
            <w:r w:rsidRPr="0085606F">
              <w:rPr>
                <w:rFonts w:ascii="Arabic Typesetting" w:eastAsia="Arabic Typesetting" w:hAnsi="Arabic Typesetting" w:cs="Arabic Typesetting"/>
                <w:sz w:val="28"/>
                <w:szCs w:val="28"/>
                <w:rtl/>
                <w:lang w:eastAsia="ar-EG" w:bidi="ar-EG"/>
              </w:rPr>
              <w:t xml:space="preserve">) (السلفادور)؛ "2" </w:t>
            </w:r>
            <w:hyperlink r:id="rId109">
              <w:r w:rsidRPr="0085606F">
                <w:rPr>
                  <w:rFonts w:ascii="Arabic Typesetting" w:eastAsia="Arabic Typesetting" w:hAnsi="Arabic Typesetting" w:cs="Arabic Typesetting"/>
                  <w:color w:val="000000"/>
                  <w:sz w:val="28"/>
                  <w:szCs w:val="28"/>
                  <w:rtl/>
                  <w:lang w:eastAsia="ar-EG" w:bidi="ar-EG"/>
                </w:rPr>
                <w:t>الإدارة الوطنية للملكية الفكرية</w:t>
              </w:r>
            </w:hyperlink>
            <w:r w:rsidRPr="0085606F">
              <w:rPr>
                <w:rFonts w:ascii="Arabic Typesetting" w:eastAsia="Arabic Typesetting" w:hAnsi="Arabic Typesetting" w:cs="Arabic Typesetting"/>
                <w:sz w:val="28"/>
                <w:szCs w:val="28"/>
                <w:rtl/>
                <w:lang w:eastAsia="ar-EG" w:bidi="ar-EG"/>
              </w:rPr>
              <w:t xml:space="preserve"> (</w:t>
            </w:r>
            <w:r w:rsidRPr="0085606F">
              <w:rPr>
                <w:rFonts w:ascii="Arabic Typesetting" w:eastAsia="Arabic Typesetting" w:hAnsi="Arabic Typesetting" w:cs="Arabic Typesetting"/>
                <w:sz w:val="28"/>
                <w:szCs w:val="28"/>
                <w:lang w:eastAsia="ar-EG" w:bidi="ar-EG"/>
              </w:rPr>
              <w:t>DINAPI</w:t>
            </w:r>
            <w:r w:rsidRPr="0085606F">
              <w:rPr>
                <w:rFonts w:ascii="Arabic Typesetting" w:eastAsia="Arabic Typesetting" w:hAnsi="Arabic Typesetting" w:cs="Arabic Typesetting"/>
                <w:sz w:val="28"/>
                <w:szCs w:val="28"/>
                <w:rtl/>
                <w:lang w:eastAsia="ar-EG" w:bidi="ar-EG"/>
              </w:rPr>
              <w:t xml:space="preserve">) (باراغواي)؛ "3" </w:t>
            </w:r>
            <w:hyperlink r:id="rId110">
              <w:r w:rsidRPr="0085606F">
                <w:rPr>
                  <w:rFonts w:ascii="Arabic Typesetting" w:eastAsia="Arabic Typesetting" w:hAnsi="Arabic Typesetting" w:cs="Arabic Typesetting"/>
                  <w:color w:val="000000"/>
                  <w:sz w:val="28"/>
                  <w:szCs w:val="28"/>
                  <w:rtl/>
                  <w:lang w:eastAsia="ar-EG" w:bidi="ar-EG"/>
                </w:rPr>
                <w:t>المكتب الإسباني للبراءات والعلامات التجارية</w:t>
              </w:r>
            </w:hyperlink>
            <w:r w:rsidRPr="0085606F">
              <w:rPr>
                <w:rFonts w:ascii="Arabic Typesetting" w:eastAsia="Arabic Typesetting" w:hAnsi="Arabic Typesetting" w:cs="Arabic Typesetting"/>
                <w:sz w:val="28"/>
                <w:szCs w:val="28"/>
                <w:rtl/>
                <w:lang w:eastAsia="ar-EG" w:bidi="ar-EG"/>
              </w:rPr>
              <w:t xml:space="preserve"> (</w:t>
            </w:r>
            <w:r w:rsidRPr="0085606F">
              <w:rPr>
                <w:rFonts w:ascii="Arabic Typesetting" w:eastAsia="Arabic Typesetting" w:hAnsi="Arabic Typesetting" w:cs="Arabic Typesetting"/>
                <w:sz w:val="28"/>
                <w:szCs w:val="28"/>
                <w:lang w:eastAsia="ar-EG" w:bidi="ar-EG"/>
              </w:rPr>
              <w:t>OEPM</w:t>
            </w:r>
            <w:r w:rsidRPr="0085606F">
              <w:rPr>
                <w:rFonts w:ascii="Arabic Typesetting" w:eastAsia="Arabic Typesetting" w:hAnsi="Arabic Typesetting" w:cs="Arabic Typesetting"/>
                <w:sz w:val="28"/>
                <w:szCs w:val="28"/>
                <w:rtl/>
                <w:lang w:eastAsia="ar-EG" w:bidi="ar-EG"/>
              </w:rPr>
              <w:t>) (البحث</w:t>
            </w:r>
            <w:r w:rsidRPr="0085606F">
              <w:rPr>
                <w:rFonts w:ascii="Arabic Typesetting" w:eastAsia="Arabic Typesetting" w:hAnsi="Arabic Typesetting" w:cs="Arabic Typesetting" w:hint="cs"/>
                <w:sz w:val="28"/>
                <w:szCs w:val="28"/>
                <w:lang w:eastAsia="ar-EG" w:bidi="ar-EG"/>
              </w:rPr>
              <w:t> </w:t>
            </w:r>
            <w:r w:rsidRPr="0085606F">
              <w:rPr>
                <w:rFonts w:ascii="Arabic Typesetting" w:eastAsia="Arabic Typesetting" w:hAnsi="Arabic Typesetting" w:cs="Arabic Typesetting"/>
                <w:sz w:val="28"/>
                <w:szCs w:val="28"/>
                <w:rtl/>
                <w:lang w:eastAsia="ar-EG" w:bidi="ar-EG"/>
              </w:rPr>
              <w:t>والتطوير)؛ "4"</w:t>
            </w:r>
            <w:r w:rsidRPr="0085606F">
              <w:rPr>
                <w:rFonts w:ascii="Arabic Typesetting" w:eastAsia="Arabic Typesetting" w:hAnsi="Arabic Typesetting" w:cs="Arabic Typesetting" w:hint="cs"/>
                <w:sz w:val="28"/>
                <w:szCs w:val="28"/>
                <w:lang w:eastAsia="ar-EG" w:bidi="ar-EG"/>
              </w:rPr>
              <w:t> </w:t>
            </w:r>
            <w:r w:rsidRPr="0085606F">
              <w:rPr>
                <w:rFonts w:ascii="Arabic Typesetting" w:eastAsia="Arabic Typesetting" w:hAnsi="Arabic Typesetting" w:cs="Arabic Typesetting"/>
                <w:sz w:val="28"/>
                <w:szCs w:val="28"/>
                <w:rtl/>
                <w:lang w:eastAsia="ar-EG" w:bidi="ar-EG"/>
              </w:rPr>
              <w:t>إدارة الأعمال الصغيرة والمتوسطة (</w:t>
            </w:r>
            <w:r w:rsidRPr="0085606F">
              <w:rPr>
                <w:rFonts w:ascii="Arabic Typesetting" w:eastAsia="Arabic Typesetting" w:hAnsi="Arabic Typesetting" w:cs="Arabic Typesetting"/>
                <w:sz w:val="28"/>
                <w:szCs w:val="28"/>
                <w:lang w:eastAsia="ar-EG" w:bidi="ar-EG"/>
              </w:rPr>
              <w:t>SMBA</w:t>
            </w:r>
            <w:r w:rsidRPr="0085606F">
              <w:rPr>
                <w:rFonts w:ascii="Arabic Typesetting" w:eastAsia="Arabic Typesetting" w:hAnsi="Arabic Typesetting" w:cs="Arabic Typesetting"/>
                <w:sz w:val="28"/>
                <w:szCs w:val="28"/>
                <w:rtl/>
                <w:lang w:eastAsia="ar-EG" w:bidi="ar-EG"/>
              </w:rPr>
              <w:t>) (كوريا)؛ "5" مراكز دعم التكنولوجيا والابتكار</w:t>
            </w:r>
            <w:r w:rsidRPr="0085606F">
              <w:rPr>
                <w:rFonts w:ascii="Arabic Typesetting" w:eastAsia="Arabic Typesetting" w:hAnsi="Arabic Typesetting" w:cs="Arabic Typesetting"/>
                <w:color w:val="000000"/>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(التراكمي</w:t>
            </w:r>
            <w:r w:rsidRPr="0085606F">
              <w:rPr>
                <w:rFonts w:ascii="Arabic Typesetting" w:eastAsia="Arabic Typesetting" w:hAnsi="Arabic Typesetting" w:cs="Arabic Typesetting" w:hint="cs"/>
                <w:color w:val="000000"/>
                <w:sz w:val="28"/>
                <w:szCs w:val="28"/>
                <w:lang w:eastAsia="ar-EG" w:bidi="ar-EG"/>
              </w:rPr>
              <w:t xml:space="preserve"> 28</w:t>
            </w:r>
            <w:r w:rsidRPr="0085606F">
              <w:rPr>
                <w:rFonts w:ascii="Arabic Typesetting" w:eastAsia="Arabic Typesetting" w:hAnsi="Arabic Typesetting" w:cs="Arabic Typesetting"/>
                <w:color w:val="000000"/>
                <w:sz w:val="28"/>
                <w:szCs w:val="28"/>
                <w:rtl/>
                <w:lang w:eastAsia="ar-EG" w:bidi="ar-EG"/>
              </w:rPr>
              <w:t>)</w:t>
            </w:r>
          </w:p>
          <w:p w14:paraId="0DE700BD" w14:textId="77777777" w:rsidR="00CE6E0B" w:rsidRPr="0085606F" w:rsidRDefault="00CE6E0B"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3 أنظمة مدعومة:</w:t>
            </w:r>
            <w:r w:rsidRPr="0085606F">
              <w:rPr>
                <w:rFonts w:ascii="Arabic Typesetting" w:eastAsia="Arabic Typesetting" w:hAnsi="Arabic Typesetting" w:cs="Arabic Typesetting"/>
                <w:color w:val="000000"/>
                <w:sz w:val="28"/>
                <w:szCs w:val="28"/>
                <w:lang w:eastAsia="ar-EG" w:bidi="ar-EG"/>
              </w:rPr>
              <w:br/>
            </w:r>
            <w:r w:rsidRPr="0085606F">
              <w:rPr>
                <w:rFonts w:ascii="Arabic Typesetting" w:eastAsia="Arabic Typesetting" w:hAnsi="Arabic Typesetting" w:cs="Arabic Typesetting"/>
                <w:sz w:val="28"/>
                <w:szCs w:val="28"/>
                <w:rtl/>
                <w:lang w:eastAsia="ar-EG" w:bidi="ar-EG"/>
              </w:rPr>
              <w:t>"1" المعهد المكسيكي للملكية الصناعية (</w:t>
            </w:r>
            <w:r w:rsidRPr="0085606F">
              <w:rPr>
                <w:rFonts w:ascii="Arabic Typesetting" w:eastAsia="Arabic Typesetting" w:hAnsi="Arabic Typesetting" w:cs="Arabic Typesetting"/>
                <w:sz w:val="28"/>
                <w:szCs w:val="28"/>
                <w:lang w:eastAsia="ar-EG" w:bidi="ar-EG"/>
              </w:rPr>
              <w:t>IMPI</w:t>
            </w:r>
            <w:r w:rsidRPr="0085606F">
              <w:rPr>
                <w:rFonts w:ascii="Arabic Typesetting" w:eastAsia="Arabic Typesetting" w:hAnsi="Arabic Typesetting" w:cs="Arabic Typesetting"/>
                <w:sz w:val="28"/>
                <w:szCs w:val="28"/>
                <w:rtl/>
                <w:lang w:eastAsia="ar-EG" w:bidi="ar-EG"/>
              </w:rPr>
              <w:t>)؛ "2" ومكتب سنغافورة للملكية الفكرية (</w:t>
            </w:r>
            <w:r w:rsidRPr="0085606F">
              <w:rPr>
                <w:rFonts w:ascii="Arabic Typesetting" w:eastAsia="Arabic Typesetting" w:hAnsi="Arabic Typesetting" w:cs="Arabic Typesetting"/>
                <w:sz w:val="28"/>
                <w:szCs w:val="28"/>
                <w:lang w:eastAsia="ar-EG" w:bidi="ar-EG"/>
              </w:rPr>
              <w:t>IPOS</w:t>
            </w:r>
            <w:r w:rsidRPr="0085606F">
              <w:rPr>
                <w:rFonts w:ascii="Arabic Typesetting" w:eastAsia="Arabic Typesetting" w:hAnsi="Arabic Typesetting" w:cs="Arabic Typesetting"/>
                <w:sz w:val="28"/>
                <w:szCs w:val="28"/>
                <w:rtl/>
                <w:lang w:eastAsia="ar-EG" w:bidi="ar-EG"/>
              </w:rPr>
              <w:t>)؛ "3" ومكتب الولايات المتحدة للبراءات والعلامات التجارية (</w:t>
            </w:r>
            <w:r w:rsidRPr="0085606F">
              <w:rPr>
                <w:rFonts w:ascii="Arabic Typesetting" w:eastAsia="Arabic Typesetting" w:hAnsi="Arabic Typesetting" w:cs="Arabic Typesetting"/>
                <w:sz w:val="28"/>
                <w:szCs w:val="28"/>
                <w:lang w:eastAsia="ar-EG" w:bidi="ar-EG"/>
              </w:rPr>
              <w:t>USPTO</w:t>
            </w:r>
            <w:r w:rsidRPr="0085606F">
              <w:rPr>
                <w:rFonts w:ascii="Arabic Typesetting" w:eastAsia="Arabic Typesetting" w:hAnsi="Arabic Typesetting" w:cs="Arabic Typesetting"/>
                <w:sz w:val="28"/>
                <w:szCs w:val="28"/>
                <w:rtl/>
                <w:lang w:eastAsia="ar-EG" w:bidi="ar-EG"/>
              </w:rPr>
              <w:t>)</w:t>
            </w:r>
          </w:p>
        </w:tc>
        <w:tc>
          <w:tcPr>
            <w:tcW w:w="604" w:type="pct"/>
            <w:shd w:val="clear" w:color="auto" w:fill="auto"/>
            <w:tcMar>
              <w:top w:w="110" w:type="dxa"/>
              <w:left w:w="58" w:type="dxa"/>
              <w:right w:w="58" w:type="dxa"/>
            </w:tcMar>
          </w:tcPr>
          <w:p w14:paraId="721412B9"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b/>
                <w:bCs/>
                <w:color w:val="00B050"/>
                <w:sz w:val="28"/>
                <w:szCs w:val="28"/>
                <w:rtl/>
                <w:lang w:eastAsia="ar-EG" w:bidi="ar-EG"/>
              </w:rPr>
              <w:t>ثابت</w:t>
            </w:r>
          </w:p>
        </w:tc>
      </w:tr>
      <w:tr w:rsidR="00CE6E0B" w:rsidRPr="0085606F" w14:paraId="630F7C2B" w14:textId="77777777" w:rsidTr="00BB3820">
        <w:trPr>
          <w:cantSplit/>
          <w:trHeight w:val="20"/>
          <w:jc w:val="center"/>
        </w:trPr>
        <w:tc>
          <w:tcPr>
            <w:tcW w:w="936" w:type="pct"/>
            <w:shd w:val="clear" w:color="auto" w:fill="auto"/>
            <w:tcMar>
              <w:left w:w="58" w:type="dxa"/>
              <w:right w:w="58" w:type="dxa"/>
            </w:tcMar>
          </w:tcPr>
          <w:p w14:paraId="5167B323" w14:textId="77777777" w:rsidR="00CE6E0B" w:rsidRPr="0085606F" w:rsidRDefault="00CE6E0B" w:rsidP="0031289D">
            <w:pPr>
              <w:bidi/>
              <w:spacing w:after="120" w:line="280" w:lineRule="exact"/>
              <w:ind w:right="43"/>
              <w:rPr>
                <w:rFonts w:ascii="Arabic Typesetting" w:eastAsia="Arabic Typesetting" w:hAnsi="Arabic Typesetting" w:cs="Arabic Typesetting"/>
                <w:color w:val="000000"/>
                <w:sz w:val="28"/>
                <w:szCs w:val="28"/>
                <w:lang w:eastAsia="ar-EG" w:bidi="ar-EG"/>
              </w:rPr>
            </w:pPr>
          </w:p>
        </w:tc>
        <w:tc>
          <w:tcPr>
            <w:tcW w:w="1432" w:type="pct"/>
            <w:shd w:val="clear" w:color="auto" w:fill="auto"/>
            <w:tcMar>
              <w:left w:w="58" w:type="dxa"/>
              <w:right w:w="58" w:type="dxa"/>
            </w:tcMar>
          </w:tcPr>
          <w:p w14:paraId="12501418" w14:textId="77777777" w:rsidR="00CE6E0B" w:rsidRPr="0085606F" w:rsidRDefault="00CE6E0B" w:rsidP="0031289D">
            <w:pPr>
              <w:bidi/>
              <w:spacing w:after="120" w:line="280" w:lineRule="exact"/>
              <w:rPr>
                <w:rFonts w:ascii="Arabic Typesetting" w:eastAsia="Arabic Typesetting" w:hAnsi="Arabic Typesetting" w:cs="Arabic Typesetting"/>
                <w:i/>
                <w:iCs/>
                <w:color w:val="002060"/>
                <w:sz w:val="28"/>
                <w:szCs w:val="28"/>
                <w:lang w:eastAsia="ar-EG" w:bidi="ar-EG"/>
              </w:rPr>
            </w:pPr>
            <w:r w:rsidRPr="0085606F">
              <w:rPr>
                <w:rFonts w:ascii="Arabic Typesetting" w:eastAsia="Arabic Typesetting" w:hAnsi="Arabic Typesetting" w:cs="Arabic Typesetting"/>
                <w:i/>
                <w:iCs/>
                <w:sz w:val="28"/>
                <w:szCs w:val="28"/>
                <w:rtl/>
                <w:lang w:eastAsia="ar-EG" w:bidi="ar-EG"/>
              </w:rPr>
              <w:t>أساس المقارنة الأصلي:</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‏15 نظاماً معتمداً (جمعية الامتياز الإسبانية (</w:t>
            </w:r>
            <w:r w:rsidRPr="0085606F">
              <w:rPr>
                <w:rFonts w:ascii="Arabic Typesetting" w:eastAsia="Arabic Typesetting" w:hAnsi="Arabic Typesetting" w:cs="Arabic Typesetting"/>
                <w:color w:val="000000"/>
                <w:sz w:val="28"/>
                <w:szCs w:val="28"/>
                <w:lang w:eastAsia="ar-EG" w:bidi="ar-EG"/>
              </w:rPr>
              <w:t>AEF</w:t>
            </w:r>
            <w:r w:rsidRPr="0085606F">
              <w:rPr>
                <w:rFonts w:ascii="Arabic Typesetting" w:eastAsia="Arabic Typesetting" w:hAnsi="Arabic Typesetting" w:cs="Arabic Typesetting"/>
                <w:color w:val="000000"/>
                <w:sz w:val="28"/>
                <w:szCs w:val="28"/>
                <w:rtl/>
                <w:lang w:eastAsia="ar-EG" w:bidi="ar-EG"/>
              </w:rPr>
              <w:t>)، وجمعية الإدارة الجماعية الدولية للمصنفات السمعية البصرية (</w:t>
            </w:r>
            <w:r w:rsidRPr="0085606F">
              <w:rPr>
                <w:rFonts w:ascii="Arabic Typesetting" w:eastAsia="Arabic Typesetting" w:hAnsi="Arabic Typesetting" w:cs="Arabic Typesetting"/>
                <w:color w:val="000000"/>
                <w:sz w:val="28"/>
                <w:szCs w:val="28"/>
                <w:lang w:eastAsia="ar-EG" w:bidi="ar-EG"/>
              </w:rPr>
              <w:t>AGICOA</w:t>
            </w:r>
            <w:r w:rsidRPr="0085606F">
              <w:rPr>
                <w:rFonts w:ascii="Arabic Typesetting" w:eastAsia="Arabic Typesetting" w:hAnsi="Arabic Typesetting" w:cs="Arabic Typesetting"/>
                <w:color w:val="000000"/>
                <w:sz w:val="28"/>
                <w:szCs w:val="28"/>
                <w:rtl/>
                <w:lang w:eastAsia="ar-EG" w:bidi="ar-EG"/>
              </w:rPr>
              <w:t>)، والمديرية العامة للملكية الفكرية في إندونيسيا (</w:t>
            </w:r>
            <w:r w:rsidRPr="0085606F">
              <w:rPr>
                <w:rFonts w:ascii="Arabic Typesetting" w:eastAsia="Arabic Typesetting" w:hAnsi="Arabic Typesetting" w:cs="Arabic Typesetting"/>
                <w:color w:val="000000"/>
                <w:sz w:val="28"/>
                <w:szCs w:val="28"/>
                <w:lang w:eastAsia="ar-EG" w:bidi="ar-EG"/>
              </w:rPr>
              <w:t>DGIPR</w:t>
            </w:r>
            <w:r w:rsidRPr="0085606F">
              <w:rPr>
                <w:rFonts w:ascii="Arabic Typesetting" w:eastAsia="Arabic Typesetting" w:hAnsi="Arabic Typesetting" w:cs="Arabic Typesetting"/>
                <w:color w:val="000000"/>
                <w:sz w:val="28"/>
                <w:szCs w:val="28"/>
                <w:rtl/>
                <w:lang w:eastAsia="ar-EG" w:bidi="ar-EG"/>
              </w:rPr>
              <w:t>)، ومديرية حق المؤلف الوطنية (</w:t>
            </w:r>
            <w:r w:rsidRPr="0085606F">
              <w:rPr>
                <w:rFonts w:ascii="Arabic Typesetting" w:eastAsia="Arabic Typesetting" w:hAnsi="Arabic Typesetting" w:cs="Arabic Typesetting"/>
                <w:color w:val="000000"/>
                <w:sz w:val="28"/>
                <w:szCs w:val="28"/>
                <w:lang w:eastAsia="ar-EG" w:bidi="ar-EG"/>
              </w:rPr>
              <w:t>DNDA</w:t>
            </w:r>
            <w:r w:rsidRPr="0085606F">
              <w:rPr>
                <w:rFonts w:ascii="Arabic Typesetting" w:eastAsia="Arabic Typesetting" w:hAnsi="Arabic Typesetting" w:cs="Arabic Typesetting"/>
                <w:color w:val="000000"/>
                <w:sz w:val="28"/>
                <w:szCs w:val="28"/>
                <w:rtl/>
                <w:lang w:eastAsia="ar-EG" w:bidi="ar-EG"/>
              </w:rPr>
              <w:t>)، وجمعية إدارة حقوق منتجي المصنفات السمعية البصرية (</w:t>
            </w:r>
            <w:r w:rsidRPr="0085606F">
              <w:rPr>
                <w:rFonts w:ascii="Arabic Typesetting" w:eastAsia="Arabic Typesetting" w:hAnsi="Arabic Typesetting" w:cs="Arabic Typesetting"/>
                <w:color w:val="000000"/>
                <w:sz w:val="28"/>
                <w:szCs w:val="28"/>
                <w:lang w:eastAsia="ar-EG" w:bidi="ar-EG"/>
              </w:rPr>
              <w:t>EGEDA</w:t>
            </w:r>
            <w:r w:rsidRPr="0085606F">
              <w:rPr>
                <w:rFonts w:ascii="Arabic Typesetting" w:eastAsia="Arabic Typesetting" w:hAnsi="Arabic Typesetting" w:cs="Arabic Typesetting"/>
                <w:color w:val="000000"/>
                <w:sz w:val="28"/>
                <w:szCs w:val="28"/>
                <w:rtl/>
                <w:lang w:eastAsia="ar-EG" w:bidi="ar-EG"/>
              </w:rPr>
              <w:t>)، والمعهد الأوروبي لمعايير الاتصالات (</w:t>
            </w:r>
            <w:r w:rsidRPr="0085606F">
              <w:rPr>
                <w:rFonts w:ascii="Arabic Typesetting" w:eastAsia="Arabic Typesetting" w:hAnsi="Arabic Typesetting" w:cs="Arabic Typesetting"/>
                <w:color w:val="000000"/>
                <w:sz w:val="28"/>
                <w:szCs w:val="28"/>
                <w:lang w:eastAsia="ar-EG" w:bidi="ar-EG"/>
              </w:rPr>
              <w:t>ETSI</w:t>
            </w:r>
            <w:r w:rsidRPr="0085606F">
              <w:rPr>
                <w:rFonts w:ascii="Arabic Typesetting" w:eastAsia="Arabic Typesetting" w:hAnsi="Arabic Typesetting" w:cs="Arabic Typesetting"/>
                <w:color w:val="000000"/>
                <w:sz w:val="28"/>
                <w:szCs w:val="28"/>
                <w:rtl/>
                <w:lang w:eastAsia="ar-EG" w:bidi="ar-EG"/>
              </w:rPr>
              <w:t>)، والفيلم والإعلام، والمجلس الدولي للمتاحف (</w:t>
            </w:r>
            <w:r w:rsidRPr="0085606F">
              <w:rPr>
                <w:rFonts w:ascii="Arabic Typesetting" w:eastAsia="Arabic Typesetting" w:hAnsi="Arabic Typesetting" w:cs="Arabic Typesetting"/>
                <w:color w:val="000000"/>
                <w:sz w:val="28"/>
                <w:szCs w:val="28"/>
                <w:lang w:eastAsia="ar-EG" w:bidi="ar-EG"/>
              </w:rPr>
              <w:t>ICOM</w:t>
            </w:r>
            <w:r w:rsidRPr="0085606F">
              <w:rPr>
                <w:rFonts w:ascii="Arabic Typesetting" w:eastAsia="Arabic Typesetting" w:hAnsi="Arabic Typesetting" w:cs="Arabic Typesetting"/>
                <w:color w:val="000000"/>
                <w:sz w:val="28"/>
                <w:szCs w:val="28"/>
                <w:rtl/>
                <w:lang w:eastAsia="ar-EG" w:bidi="ar-EG"/>
              </w:rPr>
              <w:t>)، والمعهد المكسيكي للملكية الصناعية (</w:t>
            </w:r>
            <w:r w:rsidRPr="0085606F">
              <w:rPr>
                <w:rFonts w:ascii="Arabic Typesetting" w:eastAsia="Arabic Typesetting" w:hAnsi="Arabic Typesetting" w:cs="Arabic Typesetting"/>
                <w:color w:val="000000"/>
                <w:sz w:val="28"/>
                <w:szCs w:val="28"/>
                <w:lang w:eastAsia="ar-EG" w:bidi="ar-EG"/>
              </w:rPr>
              <w:t>IMPI</w:t>
            </w:r>
            <w:r w:rsidRPr="0085606F">
              <w:rPr>
                <w:rFonts w:ascii="Arabic Typesetting" w:eastAsia="Arabic Typesetting" w:hAnsi="Arabic Typesetting" w:cs="Arabic Typesetting"/>
                <w:color w:val="000000"/>
                <w:sz w:val="28"/>
                <w:szCs w:val="28"/>
                <w:rtl/>
                <w:lang w:eastAsia="ar-EG" w:bidi="ar-EG"/>
              </w:rPr>
              <w:t>)، والمعهد الوطني للملكية الصناعية في البرازيل (</w:t>
            </w:r>
            <w:r w:rsidRPr="0085606F">
              <w:rPr>
                <w:rFonts w:ascii="Arabic Typesetting" w:eastAsia="Arabic Typesetting" w:hAnsi="Arabic Typesetting" w:cs="Arabic Typesetting"/>
                <w:color w:val="000000"/>
                <w:sz w:val="28"/>
                <w:szCs w:val="28"/>
                <w:lang w:eastAsia="ar-EG" w:bidi="ar-EG"/>
              </w:rPr>
              <w:t>INPI-BR</w:t>
            </w:r>
            <w:r w:rsidRPr="0085606F">
              <w:rPr>
                <w:rFonts w:ascii="Arabic Typesetting" w:eastAsia="Arabic Typesetting" w:hAnsi="Arabic Typesetting" w:cs="Arabic Typesetting"/>
                <w:color w:val="000000"/>
                <w:sz w:val="28"/>
                <w:szCs w:val="28"/>
                <w:rtl/>
                <w:lang w:eastAsia="ar-EG" w:bidi="ar-EG"/>
              </w:rPr>
              <w:t>)، ودليل اتفاقات الملكية الفكرية</w:t>
            </w:r>
            <w:r w:rsidRPr="0085606F">
              <w:rPr>
                <w:rFonts w:ascii="Arabic Typesetting" w:eastAsia="Arabic Typesetting" w:hAnsi="Arabic Typesetting" w:cs="Arabic Typesetting" w:hint="cs"/>
                <w:color w:val="000000"/>
                <w:sz w:val="28"/>
                <w:szCs w:val="28"/>
                <w:lang w:eastAsia="ar-EG" w:bidi="ar-EG"/>
              </w:rPr>
              <w:t xml:space="preserve"> </w:t>
            </w:r>
            <w:r w:rsidRPr="0085606F">
              <w:rPr>
                <w:rFonts w:ascii="Arabic Typesetting" w:eastAsia="Arabic Typesetting" w:hAnsi="Arabic Typesetting" w:cs="Arabic Typesetting"/>
                <w:i/>
                <w:iCs/>
                <w:sz w:val="28"/>
                <w:szCs w:val="28"/>
                <w:rtl/>
                <w:lang w:eastAsia="ar-EG" w:bidi="ar-EG"/>
              </w:rPr>
              <w:t>‏</w:t>
            </w:r>
            <w:r w:rsidRPr="0085606F">
              <w:rPr>
                <w:rFonts w:ascii="Arabic Typesetting" w:eastAsia="Arabic Typesetting" w:hAnsi="Arabic Typesetting" w:cs="Arabic Typesetting"/>
                <w:color w:val="000000"/>
                <w:sz w:val="28"/>
                <w:szCs w:val="28"/>
                <w:rtl/>
                <w:lang w:eastAsia="ar-EG" w:bidi="ar-EG"/>
              </w:rPr>
              <w:t>(</w:t>
            </w:r>
            <w:r w:rsidRPr="0085606F">
              <w:rPr>
                <w:rFonts w:ascii="Arabic Typesetting" w:eastAsia="Arabic Typesetting" w:hAnsi="Arabic Typesetting" w:cs="Arabic Typesetting"/>
                <w:color w:val="000000"/>
                <w:sz w:val="28"/>
                <w:szCs w:val="28"/>
                <w:lang w:eastAsia="ar-EG" w:bidi="ar-EG"/>
              </w:rPr>
              <w:t>IPAG</w:t>
            </w:r>
            <w:r w:rsidRPr="0085606F">
              <w:rPr>
                <w:rFonts w:ascii="Arabic Typesetting" w:eastAsia="Arabic Typesetting" w:hAnsi="Arabic Typesetting" w:cs="Arabic Typesetting"/>
                <w:color w:val="000000"/>
                <w:sz w:val="28"/>
                <w:szCs w:val="28"/>
                <w:rtl/>
                <w:lang w:eastAsia="ar-EG" w:bidi="ar-EG"/>
              </w:rPr>
              <w:t>)، ومكتب الفلبين للملكية الفكرية، ومكتب سنغافورة للملكية الفكرية (الوساطة)، ومكتب سنغافورة للملكية الفكرية (قرارات الخبراء)، والمعاهدة الدولية بشأن الموارد الوراثية النباتية للأغذية والزراعة</w:t>
            </w:r>
            <w:r>
              <w:rPr>
                <w:rFonts w:ascii="Arabic Typesetting" w:eastAsia="Arabic Typesetting" w:hAnsi="Arabic Typesetting" w:cs="Arabic Typesetting" w:hint="cs"/>
                <w:color w:val="000000"/>
                <w:sz w:val="28"/>
                <w:szCs w:val="28"/>
                <w:rtl/>
                <w:lang w:eastAsia="ar-EG" w:bidi="ar-EG"/>
              </w:rPr>
              <w:t xml:space="preserve"> (</w:t>
            </w:r>
            <w:r w:rsidRPr="0085606F">
              <w:rPr>
                <w:rFonts w:ascii="Arabic Typesetting" w:eastAsia="Arabic Typesetting" w:hAnsi="Arabic Typesetting" w:cs="Arabic Typesetting" w:hint="cs"/>
                <w:color w:val="000000"/>
                <w:sz w:val="28"/>
                <w:szCs w:val="28"/>
                <w:lang w:eastAsia="ar-EG" w:bidi="ar-EG"/>
              </w:rPr>
              <w:t>(</w:t>
            </w:r>
            <w:r w:rsidRPr="0085606F">
              <w:rPr>
                <w:rFonts w:ascii="Arabic Typesetting" w:eastAsia="Arabic Typesetting" w:hAnsi="Arabic Typesetting" w:cs="Arabic Typesetting"/>
                <w:color w:val="000000"/>
                <w:sz w:val="28"/>
                <w:szCs w:val="28"/>
                <w:lang w:eastAsia="ar-EG" w:bidi="ar-EG"/>
              </w:rPr>
              <w:t>ITPGRFA</w:t>
            </w:r>
            <w:r w:rsidRPr="0085606F">
              <w:rPr>
                <w:rFonts w:ascii="Arabic Typesetting" w:eastAsia="Arabic Typesetting" w:hAnsi="Arabic Typesetting" w:cs="Arabic Typesetting"/>
                <w:color w:val="000000"/>
                <w:sz w:val="28"/>
                <w:szCs w:val="28"/>
                <w:rtl/>
                <w:lang w:eastAsia="ar-EG" w:bidi="ar-EG"/>
              </w:rPr>
              <w:t>) (التراكمي بنهاية 2014)</w:t>
            </w:r>
          </w:p>
        </w:tc>
        <w:tc>
          <w:tcPr>
            <w:tcW w:w="1067" w:type="pct"/>
            <w:shd w:val="clear" w:color="auto" w:fill="auto"/>
            <w:tcMar>
              <w:top w:w="110" w:type="dxa"/>
              <w:left w:w="58" w:type="dxa"/>
              <w:right w:w="58" w:type="dxa"/>
            </w:tcMar>
          </w:tcPr>
          <w:p w14:paraId="251F900C" w14:textId="77777777" w:rsidR="00CE6E0B" w:rsidRPr="0085606F" w:rsidRDefault="00CE6E0B" w:rsidP="0031289D">
            <w:pPr>
              <w:keepLines/>
              <w:bidi/>
              <w:spacing w:after="120" w:line="280" w:lineRule="exact"/>
              <w:rPr>
                <w:rFonts w:ascii="Arabic Typesetting" w:eastAsia="Arabic Typesetting" w:hAnsi="Arabic Typesetting" w:cs="Arabic Typesetting"/>
                <w:i/>
                <w:iCs/>
                <w:color w:val="002060"/>
                <w:sz w:val="28"/>
                <w:szCs w:val="28"/>
                <w:lang w:eastAsia="ar-EG" w:bidi="ar-EG"/>
              </w:rPr>
            </w:pPr>
          </w:p>
        </w:tc>
        <w:tc>
          <w:tcPr>
            <w:tcW w:w="961" w:type="pct"/>
            <w:shd w:val="clear" w:color="auto" w:fill="FFFFFF"/>
            <w:tcMar>
              <w:top w:w="110" w:type="dxa"/>
              <w:left w:w="58" w:type="dxa"/>
              <w:right w:w="58" w:type="dxa"/>
            </w:tcMar>
          </w:tcPr>
          <w:p w14:paraId="46E5E018" w14:textId="77777777" w:rsidR="00CE6E0B" w:rsidRPr="0085606F" w:rsidRDefault="00CE6E0B" w:rsidP="0031289D">
            <w:pPr>
              <w:keepLines/>
              <w:bidi/>
              <w:spacing w:after="120" w:line="280" w:lineRule="exact"/>
              <w:rPr>
                <w:rFonts w:ascii="Arabic Typesetting" w:eastAsia="Arabic Typesetting" w:hAnsi="Arabic Typesetting" w:cs="Arabic Typesetting"/>
                <w:color w:val="000000"/>
                <w:sz w:val="28"/>
                <w:szCs w:val="28"/>
                <w:lang w:eastAsia="ar-EG" w:bidi="ar-EG"/>
              </w:rPr>
            </w:pPr>
          </w:p>
        </w:tc>
        <w:tc>
          <w:tcPr>
            <w:tcW w:w="604" w:type="pct"/>
            <w:shd w:val="clear" w:color="auto" w:fill="auto"/>
            <w:tcMar>
              <w:top w:w="110" w:type="dxa"/>
              <w:left w:w="58" w:type="dxa"/>
              <w:right w:w="58" w:type="dxa"/>
            </w:tcMar>
          </w:tcPr>
          <w:p w14:paraId="7BD2DA59"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b/>
                <w:bCs/>
                <w:color w:val="00B050"/>
                <w:sz w:val="28"/>
                <w:szCs w:val="28"/>
                <w:lang w:eastAsia="ar-EG" w:bidi="ar-EG"/>
              </w:rPr>
            </w:pPr>
          </w:p>
        </w:tc>
      </w:tr>
      <w:tr w:rsidR="00CE6E0B" w:rsidRPr="0085606F" w14:paraId="0CAE653A" w14:textId="77777777" w:rsidTr="00BB3820">
        <w:trPr>
          <w:cantSplit/>
          <w:trHeight w:val="20"/>
          <w:jc w:val="center"/>
        </w:trPr>
        <w:tc>
          <w:tcPr>
            <w:tcW w:w="5000" w:type="pct"/>
            <w:gridSpan w:val="5"/>
            <w:shd w:val="clear" w:color="auto" w:fill="C6D9F1"/>
            <w:tcMar>
              <w:left w:w="58" w:type="dxa"/>
              <w:right w:w="58" w:type="dxa"/>
            </w:tcMar>
            <w:vAlign w:val="center"/>
          </w:tcPr>
          <w:p w14:paraId="641B76EE" w14:textId="77777777" w:rsidR="00CE6E0B" w:rsidRPr="0085606F" w:rsidRDefault="00CE6E0B" w:rsidP="0031289D">
            <w:pPr>
              <w:keepLines/>
              <w:bidi/>
              <w:spacing w:before="120" w:after="120" w:line="280" w:lineRule="exact"/>
              <w:ind w:left="1452" w:right="43" w:hanging="1452"/>
              <w:rPr>
                <w:rFonts w:ascii="Arabic Typesetting" w:eastAsia="Arabic Typesetting" w:hAnsi="Arabic Typesetting" w:cs="Arabic Typesetting"/>
                <w:b/>
                <w:bCs/>
                <w:sz w:val="28"/>
                <w:szCs w:val="28"/>
                <w:lang w:eastAsia="ar-EG" w:bidi="ar-EG"/>
              </w:rPr>
            </w:pPr>
            <w:r w:rsidRPr="0085606F">
              <w:rPr>
                <w:rFonts w:ascii="Arabic Typesetting" w:eastAsia="Arabic Typesetting" w:hAnsi="Arabic Typesetting" w:cs="Arabic Typesetting"/>
                <w:b/>
                <w:bCs/>
                <w:sz w:val="28"/>
                <w:szCs w:val="28"/>
                <w:rtl/>
                <w:lang w:eastAsia="ar-EG" w:bidi="ar-EG"/>
              </w:rPr>
              <w:t>‏النتيجة المرتقبة:</w:t>
            </w:r>
            <w:r w:rsidRPr="0085606F">
              <w:rPr>
                <w:rFonts w:ascii="Arabic Typesetting" w:eastAsia="Arabic Typesetting" w:hAnsi="Arabic Typesetting" w:cs="Arabic Typesetting"/>
                <w:sz w:val="28"/>
                <w:szCs w:val="28"/>
                <w:lang w:eastAsia="ar-EG" w:bidi="ar-EG"/>
              </w:rPr>
              <w:tab/>
            </w:r>
            <w:r w:rsidRPr="0085606F">
              <w:rPr>
                <w:rFonts w:ascii="Arabic Typesetting" w:eastAsia="Arabic Typesetting" w:hAnsi="Arabic Typesetting" w:cs="Arabic Typesetting"/>
                <w:color w:val="000000"/>
                <w:sz w:val="28"/>
                <w:szCs w:val="28"/>
                <w:rtl/>
                <w:lang w:eastAsia="ar-EG" w:bidi="ar-EG"/>
              </w:rPr>
              <w:t>ھ9.2 حماية فعالة للملكية الفكرية في الحقول العليا المكونة من أسماء عامة والحقول العليا المكونة من رموز البلدان</w:t>
            </w:r>
          </w:p>
        </w:tc>
      </w:tr>
      <w:tr w:rsidR="00CE6E0B" w:rsidRPr="0085606F" w14:paraId="46E93788" w14:textId="77777777" w:rsidTr="00BB3820">
        <w:trPr>
          <w:cantSplit/>
          <w:trHeight w:val="20"/>
          <w:jc w:val="center"/>
        </w:trPr>
        <w:tc>
          <w:tcPr>
            <w:tcW w:w="936" w:type="pct"/>
            <w:shd w:val="clear" w:color="auto" w:fill="auto"/>
            <w:tcMar>
              <w:left w:w="58" w:type="dxa"/>
              <w:right w:w="58" w:type="dxa"/>
            </w:tcMar>
            <w:vAlign w:val="center"/>
          </w:tcPr>
          <w:p w14:paraId="196E109A" w14:textId="77777777" w:rsidR="00CE6E0B" w:rsidRPr="0085606F" w:rsidRDefault="00CE6E0B" w:rsidP="0031289D">
            <w:pPr>
              <w:bidi/>
              <w:spacing w:after="120" w:line="280" w:lineRule="exact"/>
              <w:ind w:right="-52"/>
              <w:rPr>
                <w:rFonts w:ascii="Arabic Typesetting" w:eastAsia="Arabic Typesetting" w:hAnsi="Arabic Typesetting" w:cs="Arabic Typesetting"/>
                <w:b/>
                <w:bCs/>
                <w:sz w:val="28"/>
                <w:szCs w:val="28"/>
                <w:lang w:eastAsia="ar-EG" w:bidi="ar-EG"/>
              </w:rPr>
            </w:pPr>
            <w:r w:rsidRPr="0085606F">
              <w:rPr>
                <w:rFonts w:ascii="Arabic Typesetting" w:eastAsia="Arabic Typesetting" w:hAnsi="Arabic Typesetting" w:cs="Arabic Typesetting"/>
                <w:b/>
                <w:bCs/>
                <w:sz w:val="28"/>
                <w:szCs w:val="28"/>
                <w:rtl/>
                <w:lang w:eastAsia="ar-EG" w:bidi="ar-EG"/>
              </w:rPr>
              <w:t>مؤشرات الأداء</w:t>
            </w:r>
          </w:p>
        </w:tc>
        <w:tc>
          <w:tcPr>
            <w:tcW w:w="1432" w:type="pct"/>
            <w:shd w:val="clear" w:color="auto" w:fill="auto"/>
            <w:tcMar>
              <w:left w:w="58" w:type="dxa"/>
              <w:right w:w="58" w:type="dxa"/>
            </w:tcMar>
            <w:vAlign w:val="center"/>
          </w:tcPr>
          <w:p w14:paraId="2E7FB611" w14:textId="77777777" w:rsidR="00CE6E0B" w:rsidRPr="0085606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85606F">
              <w:rPr>
                <w:rFonts w:ascii="Arabic Typesetting" w:eastAsia="Arabic Typesetting" w:hAnsi="Arabic Typesetting" w:cs="Arabic Typesetting"/>
                <w:b/>
                <w:bCs/>
                <w:sz w:val="28"/>
                <w:szCs w:val="28"/>
                <w:rtl/>
                <w:lang w:eastAsia="ar-EG" w:bidi="ar-EG"/>
              </w:rPr>
              <w:t>أسس المقارنة</w:t>
            </w:r>
          </w:p>
        </w:tc>
        <w:tc>
          <w:tcPr>
            <w:tcW w:w="1067" w:type="pct"/>
            <w:shd w:val="clear" w:color="auto" w:fill="auto"/>
            <w:tcMar>
              <w:top w:w="110" w:type="dxa"/>
              <w:left w:w="58" w:type="dxa"/>
              <w:right w:w="58" w:type="dxa"/>
            </w:tcMar>
            <w:vAlign w:val="center"/>
          </w:tcPr>
          <w:p w14:paraId="74788702" w14:textId="77777777" w:rsidR="00CE6E0B" w:rsidRPr="0085606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85606F">
              <w:rPr>
                <w:rFonts w:ascii="Arabic Typesetting" w:eastAsia="Arabic Typesetting" w:hAnsi="Arabic Typesetting" w:cs="Arabic Typesetting"/>
                <w:b/>
                <w:bCs/>
                <w:sz w:val="28"/>
                <w:szCs w:val="28"/>
                <w:rtl/>
                <w:lang w:eastAsia="ar-EG" w:bidi="ar-EG"/>
              </w:rPr>
              <w:t>الأهداف</w:t>
            </w:r>
          </w:p>
        </w:tc>
        <w:tc>
          <w:tcPr>
            <w:tcW w:w="961" w:type="pct"/>
            <w:shd w:val="clear" w:color="auto" w:fill="FFFFFF"/>
            <w:tcMar>
              <w:top w:w="110" w:type="dxa"/>
              <w:left w:w="58" w:type="dxa"/>
              <w:right w:w="58" w:type="dxa"/>
            </w:tcMar>
            <w:vAlign w:val="center"/>
          </w:tcPr>
          <w:p w14:paraId="4EE059F4" w14:textId="77777777" w:rsidR="00CE6E0B" w:rsidRPr="0085606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85606F">
              <w:rPr>
                <w:rFonts w:ascii="Arabic Typesetting" w:eastAsia="Arabic Typesetting" w:hAnsi="Arabic Typesetting" w:cs="Arabic Typesetting"/>
                <w:b/>
                <w:bCs/>
                <w:sz w:val="28"/>
                <w:szCs w:val="28"/>
                <w:rtl/>
                <w:lang w:eastAsia="ar-EG" w:bidi="ar-EG"/>
              </w:rPr>
              <w:t>بيانات الأداء</w:t>
            </w:r>
          </w:p>
        </w:tc>
        <w:tc>
          <w:tcPr>
            <w:tcW w:w="604" w:type="pct"/>
            <w:shd w:val="clear" w:color="auto" w:fill="auto"/>
            <w:tcMar>
              <w:top w:w="110" w:type="dxa"/>
              <w:left w:w="58" w:type="dxa"/>
              <w:right w:w="58" w:type="dxa"/>
            </w:tcMar>
            <w:vAlign w:val="center"/>
          </w:tcPr>
          <w:p w14:paraId="0FE7B3CB"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hint="cs"/>
                <w:b/>
                <w:bCs/>
                <w:sz w:val="28"/>
                <w:szCs w:val="28"/>
                <w:rtl/>
                <w:lang w:eastAsia="ar-EG" w:bidi="ar-EG"/>
              </w:rPr>
              <w:t>السير</w:t>
            </w:r>
          </w:p>
        </w:tc>
      </w:tr>
      <w:tr w:rsidR="00CE6E0B" w:rsidRPr="0085606F" w14:paraId="1BA2D0A1" w14:textId="77777777" w:rsidTr="00BB3820">
        <w:trPr>
          <w:cantSplit/>
          <w:trHeight w:val="20"/>
          <w:jc w:val="center"/>
        </w:trPr>
        <w:tc>
          <w:tcPr>
            <w:tcW w:w="936" w:type="pct"/>
            <w:vMerge w:val="restart"/>
            <w:shd w:val="clear" w:color="auto" w:fill="auto"/>
            <w:tcMar>
              <w:left w:w="58" w:type="dxa"/>
              <w:right w:w="58" w:type="dxa"/>
            </w:tcMar>
          </w:tcPr>
          <w:p w14:paraId="7C042C80" w14:textId="77777777" w:rsidR="00CE6E0B" w:rsidRPr="0085606F" w:rsidRDefault="00CE6E0B" w:rsidP="0031289D">
            <w:pPr>
              <w:bidi/>
              <w:spacing w:after="120" w:line="280" w:lineRule="exact"/>
              <w:ind w:right="43"/>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‏عدد الحالات التي عالجها المركز فيما يتعلق بالحقول العليا المكونة من أسماء عامة والحقول العليا المكونة من رموز البلدان في إطار السياسة الموحدة لتسوية المنازعات المتعلقة بأسماء الحقول</w:t>
            </w:r>
          </w:p>
        </w:tc>
        <w:tc>
          <w:tcPr>
            <w:tcW w:w="1432" w:type="pct"/>
            <w:shd w:val="clear" w:color="auto" w:fill="auto"/>
            <w:tcMar>
              <w:left w:w="58" w:type="dxa"/>
              <w:right w:w="58" w:type="dxa"/>
            </w:tcMar>
          </w:tcPr>
          <w:p w14:paraId="472C315F" w14:textId="77777777" w:rsidR="00CE6E0B" w:rsidRPr="0085606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معالجة 567 29 حالة متعلقة بالحقول العليا المكونة من أسماء عامة في المركز (التراكمي بنهاية 2015)</w:t>
            </w:r>
          </w:p>
          <w:p w14:paraId="056EE18E" w14:textId="77777777" w:rsidR="00CE6E0B" w:rsidRPr="0085606F" w:rsidRDefault="00CE6E0B" w:rsidP="0031289D">
            <w:pPr>
              <w:bidi/>
              <w:spacing w:after="120" w:line="280" w:lineRule="exact"/>
              <w:ind w:right="273"/>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i/>
                <w:iCs/>
                <w:sz w:val="28"/>
                <w:szCs w:val="28"/>
                <w:rtl/>
                <w:lang w:eastAsia="ar-EG" w:bidi="ar-EG"/>
              </w:rPr>
              <w:t>‏أساس المقارنة الأصلي:</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 xml:space="preserve">معالجة 189 27 حالة متعلقة بالحقول العليا </w:t>
            </w:r>
            <w:r w:rsidRPr="002562A6">
              <w:rPr>
                <w:rFonts w:ascii="Arabic Typesetting" w:eastAsia="Arabic Typesetting" w:hAnsi="Arabic Typesetting" w:cs="Arabic Typesetting"/>
                <w:color w:val="000000"/>
                <w:sz w:val="28"/>
                <w:szCs w:val="28"/>
                <w:rtl/>
                <w:lang w:eastAsia="ar-EG" w:bidi="ar-EG"/>
              </w:rPr>
              <w:t>المكونة من أسماء عامة في المركز</w:t>
            </w:r>
            <w:r w:rsidRPr="0085606F">
              <w:rPr>
                <w:rFonts w:ascii="Arabic Typesetting" w:eastAsia="Arabic Typesetting" w:hAnsi="Arabic Typesetting" w:cs="Arabic Typesetting"/>
                <w:color w:val="000000"/>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(التراكمي في نهاية 2014)</w:t>
            </w:r>
          </w:p>
        </w:tc>
        <w:tc>
          <w:tcPr>
            <w:tcW w:w="1067" w:type="pct"/>
            <w:shd w:val="clear" w:color="auto" w:fill="auto"/>
            <w:tcMar>
              <w:top w:w="110" w:type="dxa"/>
              <w:left w:w="58" w:type="dxa"/>
              <w:right w:w="58" w:type="dxa"/>
            </w:tcMar>
          </w:tcPr>
          <w:p w14:paraId="09CFC879" w14:textId="77777777" w:rsidR="00CE6E0B" w:rsidRPr="0085606F" w:rsidRDefault="00CE6E0B" w:rsidP="0031289D">
            <w:pPr>
              <w:keepLines/>
              <w:bidi/>
              <w:spacing w:after="120" w:line="280" w:lineRule="exact"/>
              <w:rPr>
                <w:rFonts w:ascii="Arabic Typesetting" w:eastAsia="Arabic Typesetting" w:hAnsi="Arabic Typesetting" w:cs="Arabic Typesetting"/>
                <w:color w:val="002060"/>
                <w:sz w:val="28"/>
                <w:szCs w:val="28"/>
                <w:highlight w:val="yellow"/>
                <w:lang w:eastAsia="ar-EG" w:bidi="ar-EG"/>
              </w:rPr>
            </w:pPr>
            <w:r w:rsidRPr="0085606F">
              <w:rPr>
                <w:rFonts w:ascii="Arabic Typesetting" w:eastAsia="Arabic Typesetting" w:hAnsi="Arabic Typesetting" w:cs="Arabic Typesetting"/>
                <w:i/>
                <w:iCs/>
                <w:color w:val="002060"/>
                <w:sz w:val="28"/>
                <w:szCs w:val="28"/>
                <w:rtl/>
                <w:lang w:eastAsia="ar-EG" w:bidi="ar-EG"/>
              </w:rPr>
              <w:t>الهدف المحدَّث:</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4000 حالة إضافية متعلقة بالحقول العليا المكونة من أسماء</w:t>
            </w:r>
            <w:r w:rsidRPr="0085606F">
              <w:rPr>
                <w:rFonts w:ascii="Arabic Typesetting" w:eastAsia="Arabic Typesetting" w:hAnsi="Arabic Typesetting" w:cs="Arabic Typesetting" w:hint="cs"/>
                <w:color w:val="002060"/>
                <w:sz w:val="28"/>
                <w:szCs w:val="28"/>
                <w:lang w:eastAsia="ar-EG" w:bidi="ar-EG"/>
              </w:rPr>
              <w:t> </w:t>
            </w:r>
            <w:r w:rsidRPr="0085606F">
              <w:rPr>
                <w:rFonts w:ascii="Arabic Typesetting" w:eastAsia="Arabic Typesetting" w:hAnsi="Arabic Typesetting" w:cs="Arabic Typesetting"/>
                <w:color w:val="002060"/>
                <w:sz w:val="28"/>
                <w:szCs w:val="28"/>
                <w:rtl/>
                <w:lang w:eastAsia="ar-EG" w:bidi="ar-EG"/>
              </w:rPr>
              <w:t>عامة</w:t>
            </w:r>
          </w:p>
          <w:p w14:paraId="034A932A" w14:textId="560E56D0" w:rsidR="00CE6E0B" w:rsidRPr="0085606F" w:rsidRDefault="00CE6E0B" w:rsidP="0031289D">
            <w:pPr>
              <w:bidi/>
              <w:spacing w:after="120" w:line="280" w:lineRule="exact"/>
              <w:ind w:right="34"/>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3000 حالة إضافية متعلقة بالحقول العليا المكونة من أسماء</w:t>
            </w:r>
            <w:r w:rsidRPr="0085606F">
              <w:rPr>
                <w:rFonts w:ascii="Arabic Typesetting" w:eastAsia="Arabic Typesetting" w:hAnsi="Arabic Typesetting" w:cs="Arabic Typesetting" w:hint="cs"/>
                <w:color w:val="000000"/>
                <w:sz w:val="28"/>
                <w:szCs w:val="28"/>
                <w:lang w:eastAsia="ar-EG" w:bidi="ar-EG"/>
              </w:rPr>
              <w:t> </w:t>
            </w:r>
            <w:r w:rsidRPr="0085606F">
              <w:rPr>
                <w:rFonts w:ascii="Arabic Typesetting" w:eastAsia="Arabic Typesetting" w:hAnsi="Arabic Typesetting" w:cs="Arabic Typesetting"/>
                <w:color w:val="000000"/>
                <w:sz w:val="28"/>
                <w:szCs w:val="28"/>
                <w:rtl/>
                <w:lang w:eastAsia="ar-EG" w:bidi="ar-EG"/>
              </w:rPr>
              <w:t>عامة</w:t>
            </w:r>
          </w:p>
        </w:tc>
        <w:tc>
          <w:tcPr>
            <w:tcW w:w="961" w:type="pct"/>
            <w:shd w:val="clear" w:color="auto" w:fill="FFFFFF"/>
            <w:tcMar>
              <w:top w:w="110" w:type="dxa"/>
              <w:left w:w="58" w:type="dxa"/>
              <w:right w:w="58" w:type="dxa"/>
            </w:tcMar>
          </w:tcPr>
          <w:p w14:paraId="5EFC777D" w14:textId="77777777" w:rsidR="00CE6E0B" w:rsidRPr="0085606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2653 حالة إضافية متعلقة بالحقول العليا المكونة من أسماء عامة</w:t>
            </w:r>
          </w:p>
          <w:p w14:paraId="1680F053" w14:textId="77777777" w:rsidR="00CE6E0B" w:rsidRPr="0085606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220 32 (نهاية 2016)</w:t>
            </w:r>
          </w:p>
        </w:tc>
        <w:tc>
          <w:tcPr>
            <w:tcW w:w="604" w:type="pct"/>
            <w:shd w:val="clear" w:color="auto" w:fill="auto"/>
            <w:tcMar>
              <w:top w:w="110" w:type="dxa"/>
              <w:left w:w="58" w:type="dxa"/>
              <w:right w:w="58" w:type="dxa"/>
            </w:tcMar>
          </w:tcPr>
          <w:p w14:paraId="6B905892"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b/>
                <w:bCs/>
                <w:color w:val="00B050"/>
                <w:sz w:val="28"/>
                <w:szCs w:val="28"/>
                <w:rtl/>
                <w:lang w:eastAsia="ar-EG" w:bidi="ar-EG"/>
              </w:rPr>
              <w:t>ثابت</w:t>
            </w:r>
          </w:p>
        </w:tc>
      </w:tr>
      <w:tr w:rsidR="00CE6E0B" w:rsidRPr="0085606F" w14:paraId="4D9A3968" w14:textId="77777777" w:rsidTr="00BB3820">
        <w:trPr>
          <w:cantSplit/>
          <w:trHeight w:val="20"/>
          <w:jc w:val="center"/>
        </w:trPr>
        <w:tc>
          <w:tcPr>
            <w:tcW w:w="936" w:type="pct"/>
            <w:vMerge/>
            <w:shd w:val="clear" w:color="auto" w:fill="auto"/>
            <w:tcMar>
              <w:left w:w="58" w:type="dxa"/>
              <w:right w:w="58" w:type="dxa"/>
            </w:tcMar>
          </w:tcPr>
          <w:p w14:paraId="502A6011" w14:textId="77777777" w:rsidR="00CE6E0B" w:rsidRPr="0085606F" w:rsidRDefault="00CE6E0B" w:rsidP="0031289D">
            <w:pPr>
              <w:bidi/>
              <w:spacing w:after="120" w:line="280" w:lineRule="exact"/>
              <w:ind w:right="43"/>
              <w:rPr>
                <w:rFonts w:ascii="Arabic Typesetting" w:eastAsia="Arabic Typesetting" w:hAnsi="Arabic Typesetting" w:cs="Arabic Typesetting"/>
                <w:color w:val="000000"/>
                <w:sz w:val="28"/>
                <w:szCs w:val="28"/>
                <w:lang w:eastAsia="ar-EG" w:bidi="ar-EG"/>
              </w:rPr>
            </w:pPr>
          </w:p>
        </w:tc>
        <w:tc>
          <w:tcPr>
            <w:tcW w:w="1432" w:type="pct"/>
            <w:shd w:val="clear" w:color="auto" w:fill="auto"/>
            <w:tcMar>
              <w:left w:w="58" w:type="dxa"/>
              <w:right w:w="58" w:type="dxa"/>
            </w:tcMar>
          </w:tcPr>
          <w:p w14:paraId="04B45322" w14:textId="77777777" w:rsidR="00CE6E0B" w:rsidRPr="0085606F" w:rsidRDefault="00CE6E0B" w:rsidP="0031289D">
            <w:pPr>
              <w:keepLines/>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معالجة 3520 حالة متعلقة بالحقول العليا المكونة من رموز البلدان في المركز</w:t>
            </w:r>
            <w:r w:rsidRPr="0085606F">
              <w:rPr>
                <w:rFonts w:ascii="Arabic Typesetting" w:eastAsia="Arabic Typesetting" w:hAnsi="Arabic Typesetting" w:cs="Arabic Typesetting"/>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(التراكمي بنهاية 2015)</w:t>
            </w:r>
          </w:p>
          <w:p w14:paraId="14E5E27F" w14:textId="77777777" w:rsidR="00CE6E0B" w:rsidRPr="0085606F" w:rsidRDefault="00CE6E0B"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85606F">
              <w:rPr>
                <w:rFonts w:ascii="Arabic Typesetting" w:eastAsia="Arabic Typesetting" w:hAnsi="Arabic Typesetting" w:cs="Arabic Typesetting"/>
                <w:i/>
                <w:iCs/>
                <w:sz w:val="28"/>
                <w:szCs w:val="28"/>
                <w:rtl/>
                <w:lang w:eastAsia="ar-EG" w:bidi="ar-EG"/>
              </w:rPr>
              <w:t>‏أساس المقارنة الأصلي:</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معالجة 3 144 حالة متعلقة بالحقول العليا المكونة من رموز البلدان في المركز</w:t>
            </w:r>
            <w:r w:rsidRPr="0085606F">
              <w:rPr>
                <w:rFonts w:ascii="Arabic Typesetting" w:eastAsia="Arabic Typesetting" w:hAnsi="Arabic Typesetting" w:cs="Arabic Typesetting"/>
                <w:color w:val="000000"/>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(التراكمي بنهاية 2014)</w:t>
            </w:r>
          </w:p>
        </w:tc>
        <w:tc>
          <w:tcPr>
            <w:tcW w:w="1067" w:type="pct"/>
            <w:shd w:val="clear" w:color="auto" w:fill="auto"/>
            <w:tcMar>
              <w:top w:w="110" w:type="dxa"/>
              <w:left w:w="58" w:type="dxa"/>
              <w:right w:w="58" w:type="dxa"/>
            </w:tcMar>
          </w:tcPr>
          <w:p w14:paraId="522EDCE1" w14:textId="77777777" w:rsidR="00CE6E0B" w:rsidRPr="0085606F" w:rsidRDefault="00CE6E0B" w:rsidP="0031289D">
            <w:pPr>
              <w:keepLines/>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الهدف المحدَّث:</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 xml:space="preserve">450 حالة إضافية بشأن رموز متعلقة بالحقول العليا المكونة من رموز البلدان </w:t>
            </w:r>
          </w:p>
          <w:p w14:paraId="6ADC8D29" w14:textId="7F255502" w:rsidR="00CE6E0B" w:rsidRPr="0085606F" w:rsidRDefault="00CE6E0B" w:rsidP="0031289D">
            <w:pPr>
              <w:bidi/>
              <w:spacing w:after="120" w:line="280" w:lineRule="exact"/>
              <w:ind w:right="34"/>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350 حالة إضافية بشأن رموز متعلقة بالحقول العليا المكونة من رموز البلدان</w:t>
            </w:r>
          </w:p>
        </w:tc>
        <w:tc>
          <w:tcPr>
            <w:tcW w:w="961" w:type="pct"/>
            <w:shd w:val="clear" w:color="auto" w:fill="FFFFFF"/>
            <w:tcMar>
              <w:top w:w="110" w:type="dxa"/>
              <w:left w:w="58" w:type="dxa"/>
              <w:right w:w="58" w:type="dxa"/>
            </w:tcMar>
          </w:tcPr>
          <w:p w14:paraId="2A204D8A" w14:textId="77777777" w:rsidR="00CE6E0B" w:rsidRPr="0085606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383 حالة إضافية بشأن رموز متعلقة بالحقول</w:t>
            </w:r>
            <w:r w:rsidRPr="0085606F">
              <w:rPr>
                <w:rFonts w:ascii="Arabic Typesetting" w:eastAsia="Arabic Typesetting" w:hAnsi="Arabic Typesetting" w:cs="Arabic Typesetting"/>
                <w:color w:val="000000"/>
                <w:sz w:val="28"/>
                <w:szCs w:val="28"/>
                <w:lang w:eastAsia="ar-EG" w:bidi="ar-EG"/>
              </w:rPr>
              <w:t xml:space="preserve"> </w:t>
            </w:r>
            <w:r w:rsidRPr="002562A6">
              <w:rPr>
                <w:rFonts w:ascii="Arabic Typesetting" w:eastAsia="Arabic Typesetting" w:hAnsi="Arabic Typesetting" w:cs="Arabic Typesetting"/>
                <w:color w:val="000000"/>
                <w:sz w:val="28"/>
                <w:szCs w:val="28"/>
                <w:rtl/>
                <w:lang w:eastAsia="ar-EG" w:bidi="ar-EG"/>
              </w:rPr>
              <w:t>العليا المكونة من رموز البلدان</w:t>
            </w:r>
            <w:r>
              <w:rPr>
                <w:rFonts w:ascii="Arabic Typesetting" w:eastAsia="Arabic Typesetting" w:hAnsi="Arabic Typesetting" w:cs="Arabic Typesetting"/>
                <w:color w:val="000000"/>
                <w:sz w:val="28"/>
                <w:szCs w:val="28"/>
                <w:rtl/>
                <w:lang w:eastAsia="ar-EG" w:bidi="ar-EG"/>
              </w:rPr>
              <w:br/>
            </w:r>
            <w:r w:rsidRPr="002562A6">
              <w:rPr>
                <w:rFonts w:ascii="Arabic Typesetting" w:eastAsia="Arabic Typesetting" w:hAnsi="Arabic Typesetting" w:cs="Arabic Typesetting"/>
                <w:color w:val="000000"/>
                <w:sz w:val="28"/>
                <w:szCs w:val="28"/>
                <w:rtl/>
                <w:lang w:eastAsia="ar-EG" w:bidi="ar-EG"/>
              </w:rPr>
              <w:t>التراكمي 3903</w:t>
            </w:r>
            <w:r>
              <w:rPr>
                <w:rFonts w:ascii="Arabic Typesetting" w:eastAsia="Arabic Typesetting" w:hAnsi="Arabic Typesetting" w:cs="Arabic Typesetting"/>
                <w:color w:val="000000"/>
                <w:sz w:val="28"/>
                <w:szCs w:val="28"/>
                <w:rtl/>
                <w:lang w:eastAsia="ar-EG" w:bidi="ar-EG"/>
              </w:rPr>
              <w:br/>
            </w:r>
            <w:r w:rsidRPr="0085606F">
              <w:rPr>
                <w:rFonts w:ascii="Arabic Typesetting" w:eastAsia="Arabic Typesetting" w:hAnsi="Arabic Typesetting" w:cs="Arabic Typesetting"/>
                <w:color w:val="000000"/>
                <w:sz w:val="28"/>
                <w:szCs w:val="28"/>
                <w:rtl/>
                <w:lang w:eastAsia="ar-EG" w:bidi="ar-EG"/>
              </w:rPr>
              <w:t>(نهاية</w:t>
            </w:r>
            <w:r w:rsidRPr="0085606F">
              <w:rPr>
                <w:rFonts w:ascii="Arabic Typesetting" w:eastAsia="Arabic Typesetting" w:hAnsi="Arabic Typesetting" w:cs="Arabic Typesetting" w:hint="cs"/>
                <w:color w:val="000000"/>
                <w:sz w:val="28"/>
                <w:szCs w:val="28"/>
                <w:lang w:eastAsia="ar-EG" w:bidi="ar-EG"/>
              </w:rPr>
              <w:t> </w:t>
            </w:r>
            <w:r w:rsidRPr="0085606F">
              <w:rPr>
                <w:rFonts w:ascii="Arabic Typesetting" w:eastAsia="Arabic Typesetting" w:hAnsi="Arabic Typesetting" w:cs="Arabic Typesetting"/>
                <w:color w:val="000000"/>
                <w:sz w:val="28"/>
                <w:szCs w:val="28"/>
                <w:rtl/>
                <w:lang w:eastAsia="ar-EG" w:bidi="ar-EG"/>
              </w:rPr>
              <w:t>2016)</w:t>
            </w:r>
          </w:p>
        </w:tc>
        <w:tc>
          <w:tcPr>
            <w:tcW w:w="604" w:type="pct"/>
            <w:shd w:val="clear" w:color="auto" w:fill="auto"/>
            <w:tcMar>
              <w:top w:w="110" w:type="dxa"/>
              <w:left w:w="58" w:type="dxa"/>
              <w:right w:w="58" w:type="dxa"/>
            </w:tcMar>
          </w:tcPr>
          <w:p w14:paraId="344B737C"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b/>
                <w:bCs/>
                <w:color w:val="00B050"/>
                <w:sz w:val="28"/>
                <w:szCs w:val="28"/>
                <w:rtl/>
                <w:lang w:eastAsia="ar-EG" w:bidi="ar-EG"/>
              </w:rPr>
              <w:t>ثابت</w:t>
            </w:r>
          </w:p>
        </w:tc>
      </w:tr>
      <w:tr w:rsidR="00CE6E0B" w:rsidRPr="0085606F" w14:paraId="542B1F82" w14:textId="77777777" w:rsidTr="00BB3820">
        <w:trPr>
          <w:cantSplit/>
          <w:trHeight w:val="20"/>
          <w:jc w:val="center"/>
        </w:trPr>
        <w:tc>
          <w:tcPr>
            <w:tcW w:w="936" w:type="pct"/>
            <w:shd w:val="clear" w:color="auto" w:fill="auto"/>
            <w:tcMar>
              <w:left w:w="58" w:type="dxa"/>
              <w:right w:w="58" w:type="dxa"/>
            </w:tcMar>
          </w:tcPr>
          <w:p w14:paraId="3099310F" w14:textId="77777777" w:rsidR="00CE6E0B" w:rsidRPr="0085606F" w:rsidRDefault="00CE6E0B" w:rsidP="0031289D">
            <w:pPr>
              <w:bidi/>
              <w:spacing w:after="120" w:line="280" w:lineRule="exact"/>
              <w:ind w:right="43"/>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lastRenderedPageBreak/>
              <w:t>سياسات تسوية المنازعات التي أسهم المركز في وضعها وتنفيذها في سياق نظام أسماء الحقول</w:t>
            </w:r>
          </w:p>
        </w:tc>
        <w:tc>
          <w:tcPr>
            <w:tcW w:w="1432" w:type="pct"/>
            <w:shd w:val="clear" w:color="auto" w:fill="auto"/>
            <w:tcMar>
              <w:left w:w="58" w:type="dxa"/>
              <w:right w:w="58" w:type="dxa"/>
            </w:tcMar>
          </w:tcPr>
          <w:p w14:paraId="7FFBE3F6" w14:textId="77777777" w:rsidR="00CE6E0B" w:rsidRPr="0085606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السياسة الموحدة، وقواعد السياسة الموحدة لمراعاة أحكام إغلاق المسجل الجديدة، وسياسة الآيكان لتسوية المنازعات قبل المنح، وإجراء الآيكان لتسوية منازعات العلامات التجارية بعد</w:t>
            </w:r>
            <w:r w:rsidRPr="0085606F">
              <w:rPr>
                <w:rFonts w:ascii="Arabic Typesetting" w:eastAsia="Arabic Typesetting" w:hAnsi="Arabic Typesetting" w:cs="Arabic Typesetting" w:hint="cs"/>
                <w:color w:val="002060"/>
                <w:sz w:val="28"/>
                <w:szCs w:val="28"/>
                <w:lang w:eastAsia="ar-EG" w:bidi="ar-EG"/>
              </w:rPr>
              <w:t> </w:t>
            </w:r>
            <w:r w:rsidRPr="0085606F">
              <w:rPr>
                <w:rFonts w:ascii="Arabic Typesetting" w:eastAsia="Arabic Typesetting" w:hAnsi="Arabic Typesetting" w:cs="Arabic Typesetting"/>
                <w:color w:val="002060"/>
                <w:sz w:val="28"/>
                <w:szCs w:val="28"/>
                <w:rtl/>
                <w:lang w:eastAsia="ar-EG" w:bidi="ar-EG"/>
              </w:rPr>
              <w:t>المنح (التراكمي</w:t>
            </w:r>
            <w:r>
              <w:rPr>
                <w:rFonts w:ascii="Arabic Typesetting" w:eastAsia="Arabic Typesetting" w:hAnsi="Arabic Typesetting" w:cs="Arabic Typesetting" w:hint="cs"/>
                <w:color w:val="002060"/>
                <w:sz w:val="28"/>
                <w:szCs w:val="28"/>
                <w:rtl/>
                <w:lang w:eastAsia="ar-EG" w:bidi="ar-EG"/>
              </w:rPr>
              <w:t> </w:t>
            </w:r>
            <w:r w:rsidRPr="0085606F">
              <w:rPr>
                <w:rFonts w:ascii="Arabic Typesetting" w:eastAsia="Arabic Typesetting" w:hAnsi="Arabic Typesetting" w:cs="Arabic Typesetting"/>
                <w:color w:val="002060"/>
                <w:sz w:val="28"/>
                <w:szCs w:val="28"/>
                <w:rtl/>
                <w:lang w:eastAsia="ar-EG" w:bidi="ar-EG"/>
              </w:rPr>
              <w:t>بنهاية</w:t>
            </w:r>
            <w:r>
              <w:rPr>
                <w:rFonts w:ascii="Arabic Typesetting" w:eastAsia="Arabic Typesetting" w:hAnsi="Arabic Typesetting" w:cs="Arabic Typesetting" w:hint="cs"/>
                <w:color w:val="002060"/>
                <w:sz w:val="28"/>
                <w:szCs w:val="28"/>
                <w:rtl/>
                <w:lang w:eastAsia="ar-EG" w:bidi="ar-EG"/>
              </w:rPr>
              <w:t> </w:t>
            </w:r>
            <w:r w:rsidRPr="0085606F">
              <w:rPr>
                <w:rFonts w:ascii="Arabic Typesetting" w:eastAsia="Arabic Typesetting" w:hAnsi="Arabic Typesetting" w:cs="Arabic Typesetting"/>
                <w:color w:val="002060"/>
                <w:sz w:val="28"/>
                <w:szCs w:val="28"/>
                <w:rtl/>
                <w:lang w:eastAsia="ar-EG" w:bidi="ar-EG"/>
              </w:rPr>
              <w:t>2015)؛</w:t>
            </w:r>
          </w:p>
          <w:p w14:paraId="7D655A8F" w14:textId="77777777" w:rsidR="00CE6E0B" w:rsidRPr="0085606F" w:rsidRDefault="00CE6E0B" w:rsidP="0031289D">
            <w:pPr>
              <w:bidi/>
              <w:spacing w:after="120" w:line="280" w:lineRule="exact"/>
              <w:ind w:right="273"/>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i/>
                <w:iCs/>
                <w:sz w:val="28"/>
                <w:szCs w:val="28"/>
                <w:rtl/>
                <w:lang w:eastAsia="ar-EG" w:bidi="ar-EG"/>
              </w:rPr>
              <w:t>‏أساس المقارنة الأصلي:</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 xml:space="preserve">السياسة الموحدة، </w:t>
            </w:r>
            <w:r w:rsidRPr="0085606F">
              <w:rPr>
                <w:rFonts w:ascii="Arabic Typesetting" w:eastAsia="Arabic Typesetting" w:hAnsi="Arabic Typesetting" w:cs="Arabic Typesetting" w:hint="cs"/>
                <w:color w:val="000000"/>
                <w:sz w:val="28"/>
                <w:szCs w:val="28"/>
                <w:rtl/>
                <w:lang w:eastAsia="ar-EG" w:bidi="ar-EG"/>
              </w:rPr>
              <w:t>و</w:t>
            </w:r>
            <w:r w:rsidRPr="0085606F">
              <w:rPr>
                <w:rFonts w:ascii="Arabic Typesetting" w:eastAsia="Arabic Typesetting" w:hAnsi="Arabic Typesetting" w:cs="Arabic Typesetting"/>
                <w:color w:val="000000"/>
                <w:sz w:val="28"/>
                <w:szCs w:val="28"/>
                <w:rtl/>
                <w:lang w:eastAsia="ar-EG" w:bidi="ar-EG"/>
              </w:rPr>
              <w:t xml:space="preserve">سياسة تسوية المنازعات قبل </w:t>
            </w:r>
            <w:r>
              <w:rPr>
                <w:rFonts w:ascii="Arabic Typesetting" w:eastAsia="Arabic Typesetting" w:hAnsi="Arabic Typesetting" w:cs="Arabic Typesetting" w:hint="cs"/>
                <w:color w:val="000000"/>
                <w:sz w:val="28"/>
                <w:szCs w:val="28"/>
                <w:rtl/>
                <w:lang w:eastAsia="ar-EG" w:bidi="ar-EG"/>
              </w:rPr>
              <w:t>المنح</w:t>
            </w:r>
            <w:r w:rsidRPr="0085606F">
              <w:rPr>
                <w:rFonts w:ascii="Arabic Typesetting" w:eastAsia="Arabic Typesetting" w:hAnsi="Arabic Typesetting" w:cs="Arabic Typesetting"/>
                <w:color w:val="000000"/>
                <w:sz w:val="28"/>
                <w:szCs w:val="28"/>
                <w:rtl/>
                <w:lang w:eastAsia="ar-EG" w:bidi="ar-EG"/>
              </w:rPr>
              <w:t xml:space="preserve">، </w:t>
            </w:r>
            <w:r w:rsidRPr="0085606F">
              <w:rPr>
                <w:rFonts w:ascii="Arabic Typesetting" w:eastAsia="Arabic Typesetting" w:hAnsi="Arabic Typesetting" w:cs="Arabic Typesetting" w:hint="cs"/>
                <w:color w:val="000000"/>
                <w:sz w:val="28"/>
                <w:szCs w:val="28"/>
                <w:rtl/>
                <w:lang w:eastAsia="ar-EG" w:bidi="ar-EG"/>
              </w:rPr>
              <w:t>و</w:t>
            </w:r>
            <w:r w:rsidRPr="0085606F">
              <w:rPr>
                <w:rFonts w:ascii="Arabic Typesetting" w:eastAsia="Arabic Typesetting" w:hAnsi="Arabic Typesetting" w:cs="Arabic Typesetting"/>
                <w:color w:val="000000"/>
                <w:sz w:val="28"/>
                <w:szCs w:val="28"/>
                <w:rtl/>
                <w:lang w:eastAsia="ar-EG" w:bidi="ar-EG"/>
              </w:rPr>
              <w:t xml:space="preserve">إجراء تسوية </w:t>
            </w:r>
            <w:r>
              <w:rPr>
                <w:rFonts w:ascii="Arabic Typesetting" w:eastAsia="Arabic Typesetting" w:hAnsi="Arabic Typesetting" w:cs="Arabic Typesetting" w:hint="cs"/>
                <w:color w:val="000000"/>
                <w:sz w:val="28"/>
                <w:szCs w:val="28"/>
                <w:rtl/>
                <w:lang w:eastAsia="ar-EG" w:bidi="ar-EG"/>
              </w:rPr>
              <w:t>منازعات</w:t>
            </w:r>
            <w:r w:rsidRPr="0085606F">
              <w:rPr>
                <w:rFonts w:ascii="Arabic Typesetting" w:eastAsia="Arabic Typesetting" w:hAnsi="Arabic Typesetting" w:cs="Arabic Typesetting"/>
                <w:color w:val="000000"/>
                <w:sz w:val="28"/>
                <w:szCs w:val="28"/>
                <w:rtl/>
                <w:lang w:eastAsia="ar-EG" w:bidi="ar-EG"/>
              </w:rPr>
              <w:t xml:space="preserve"> العلامات التجارية </w:t>
            </w:r>
            <w:r>
              <w:rPr>
                <w:rFonts w:ascii="Arabic Typesetting" w:eastAsia="Arabic Typesetting" w:hAnsi="Arabic Typesetting" w:cs="Arabic Typesetting" w:hint="cs"/>
                <w:color w:val="000000"/>
                <w:sz w:val="28"/>
                <w:szCs w:val="28"/>
                <w:rtl/>
                <w:lang w:eastAsia="ar-EG" w:bidi="ar-EG"/>
              </w:rPr>
              <w:t>بعد المنح</w:t>
            </w:r>
            <w:r w:rsidRPr="0085606F">
              <w:rPr>
                <w:rFonts w:ascii="Arabic Typesetting" w:eastAsia="Arabic Typesetting" w:hAnsi="Arabic Typesetting" w:cs="Arabic Typesetting"/>
                <w:color w:val="000000"/>
                <w:sz w:val="28"/>
                <w:szCs w:val="28"/>
                <w:rtl/>
                <w:lang w:eastAsia="ar-EG" w:bidi="ar-EG"/>
              </w:rPr>
              <w:t xml:space="preserve"> (التراكمي بنهاية 2014)</w:t>
            </w:r>
          </w:p>
        </w:tc>
        <w:tc>
          <w:tcPr>
            <w:tcW w:w="1067" w:type="pct"/>
            <w:shd w:val="clear" w:color="auto" w:fill="auto"/>
            <w:tcMar>
              <w:top w:w="110" w:type="dxa"/>
              <w:left w:w="58" w:type="dxa"/>
              <w:right w:w="58" w:type="dxa"/>
            </w:tcMar>
          </w:tcPr>
          <w:p w14:paraId="34502C71" w14:textId="77777777" w:rsidR="00CE6E0B" w:rsidRPr="0085606F" w:rsidRDefault="00CE6E0B" w:rsidP="0031289D">
            <w:pPr>
              <w:bidi/>
              <w:spacing w:after="120" w:line="280" w:lineRule="exact"/>
              <w:ind w:right="34"/>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تنفيذ سياسة الويبو والتوصيات المتعلقة بالإجراءات في نظام أسماء</w:t>
            </w:r>
            <w:r w:rsidRPr="0085606F">
              <w:rPr>
                <w:rFonts w:ascii="Arabic Typesetting" w:eastAsia="Arabic Typesetting" w:hAnsi="Arabic Typesetting" w:cs="Arabic Typesetting" w:hint="cs"/>
                <w:color w:val="000000"/>
                <w:sz w:val="28"/>
                <w:szCs w:val="28"/>
                <w:lang w:eastAsia="ar-EG" w:bidi="ar-EG"/>
              </w:rPr>
              <w:t> </w:t>
            </w:r>
            <w:r w:rsidRPr="0085606F">
              <w:rPr>
                <w:rFonts w:ascii="Arabic Typesetting" w:eastAsia="Arabic Typesetting" w:hAnsi="Arabic Typesetting" w:cs="Arabic Typesetting"/>
                <w:color w:val="000000"/>
                <w:sz w:val="28"/>
                <w:szCs w:val="28"/>
                <w:rtl/>
                <w:lang w:eastAsia="ar-EG" w:bidi="ar-EG"/>
              </w:rPr>
              <w:t>الحقول</w:t>
            </w:r>
          </w:p>
        </w:tc>
        <w:tc>
          <w:tcPr>
            <w:tcW w:w="961" w:type="pct"/>
            <w:shd w:val="clear" w:color="auto" w:fill="FFFFFF"/>
            <w:tcMar>
              <w:top w:w="110" w:type="dxa"/>
              <w:left w:w="58" w:type="dxa"/>
              <w:right w:w="58" w:type="dxa"/>
            </w:tcMar>
          </w:tcPr>
          <w:p w14:paraId="02C5B4B6" w14:textId="77777777" w:rsidR="00CE6E0B" w:rsidRPr="0085606F" w:rsidRDefault="00CE6E0B"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السياسة الموحدة، وقواعد السياسة الموحدة لمراعاة أحكام إغلاق المسجل الجديدة، وسياسة الآيكان لتسوية المنازعات قبل المنح، وإجراء الآيكان لتسوية منازعات العلامات التجارية بعد المنح (التراكمي</w:t>
            </w:r>
            <w:r w:rsidRPr="0085606F">
              <w:rPr>
                <w:rFonts w:ascii="Arabic Typesetting" w:eastAsia="Arabic Typesetting" w:hAnsi="Arabic Typesetting" w:cs="Arabic Typesetting" w:hint="cs"/>
                <w:color w:val="000000"/>
                <w:sz w:val="28"/>
                <w:szCs w:val="28"/>
                <w:lang w:eastAsia="ar-EG" w:bidi="ar-EG"/>
              </w:rPr>
              <w:t xml:space="preserve"> </w:t>
            </w:r>
            <w:r w:rsidRPr="0085606F">
              <w:rPr>
                <w:rFonts w:ascii="Arabic Typesetting" w:eastAsia="Arabic Typesetting" w:hAnsi="Arabic Typesetting" w:cs="Arabic Typesetting"/>
                <w:color w:val="000000"/>
                <w:sz w:val="28"/>
                <w:szCs w:val="28"/>
                <w:rtl/>
                <w:lang w:eastAsia="ar-EG" w:bidi="ar-EG"/>
              </w:rPr>
              <w:t xml:space="preserve">بنهاية 2016)؛ </w:t>
            </w:r>
            <w:r w:rsidRPr="0085606F">
              <w:rPr>
                <w:rFonts w:ascii="Arabic Typesetting" w:eastAsia="Arabic Typesetting" w:hAnsi="Arabic Typesetting" w:cs="Arabic Typesetting" w:hint="cs"/>
                <w:color w:val="000000"/>
                <w:sz w:val="28"/>
                <w:szCs w:val="28"/>
                <w:rtl/>
                <w:lang w:eastAsia="ar-EG" w:bidi="ar-EG"/>
              </w:rPr>
              <w:t>و</w:t>
            </w:r>
            <w:r w:rsidRPr="0085606F">
              <w:rPr>
                <w:rFonts w:ascii="Arabic Typesetting" w:eastAsia="Arabic Typesetting" w:hAnsi="Arabic Typesetting" w:cs="Arabic Typesetting"/>
                <w:color w:val="000000"/>
                <w:sz w:val="28"/>
                <w:szCs w:val="28"/>
                <w:rtl/>
                <w:lang w:eastAsia="ar-EG" w:bidi="ar-EG"/>
              </w:rPr>
              <w:t>لا توجد سياسات أو توصيات إضافية قيد التنفيذ</w:t>
            </w:r>
            <w:r w:rsidRPr="0085606F">
              <w:rPr>
                <w:rFonts w:ascii="Arabic Typesetting" w:eastAsia="Arabic Typesetting" w:hAnsi="Arabic Typesetting" w:cs="Arabic Typesetting" w:hint="cs"/>
                <w:color w:val="000000"/>
                <w:sz w:val="28"/>
                <w:szCs w:val="28"/>
                <w:lang w:eastAsia="ar-EG" w:bidi="ar-EG"/>
              </w:rPr>
              <w:t>.</w:t>
            </w:r>
          </w:p>
        </w:tc>
        <w:tc>
          <w:tcPr>
            <w:tcW w:w="604" w:type="pct"/>
            <w:shd w:val="clear" w:color="auto" w:fill="auto"/>
            <w:tcMar>
              <w:top w:w="110" w:type="dxa"/>
              <w:left w:w="58" w:type="dxa"/>
              <w:right w:w="58" w:type="dxa"/>
            </w:tcMar>
          </w:tcPr>
          <w:p w14:paraId="75B24C6E"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b/>
                <w:bCs/>
                <w:color w:val="00B050"/>
                <w:sz w:val="28"/>
                <w:szCs w:val="28"/>
                <w:rtl/>
                <w:lang w:eastAsia="ar-EG" w:bidi="ar-EG"/>
              </w:rPr>
              <w:t>ثابت</w:t>
            </w:r>
          </w:p>
        </w:tc>
      </w:tr>
      <w:tr w:rsidR="00CE6E0B" w:rsidRPr="0085606F" w14:paraId="0D7EBE6C" w14:textId="77777777" w:rsidTr="00BB3820">
        <w:trPr>
          <w:cantSplit/>
          <w:trHeight w:val="20"/>
          <w:jc w:val="center"/>
        </w:trPr>
        <w:tc>
          <w:tcPr>
            <w:tcW w:w="936" w:type="pct"/>
            <w:shd w:val="clear" w:color="auto" w:fill="auto"/>
            <w:tcMar>
              <w:left w:w="58" w:type="dxa"/>
              <w:right w:w="58" w:type="dxa"/>
            </w:tcMar>
          </w:tcPr>
          <w:p w14:paraId="15649F43" w14:textId="77777777" w:rsidR="00CE6E0B" w:rsidRPr="0085606F" w:rsidRDefault="00CE6E0B" w:rsidP="0031289D">
            <w:pPr>
              <w:bidi/>
              <w:spacing w:after="120" w:line="280" w:lineRule="exact"/>
              <w:ind w:right="43"/>
              <w:rPr>
                <w:rFonts w:ascii="Arabic Typesetting" w:eastAsia="Arabic Typesetting" w:hAnsi="Arabic Typesetting" w:cs="Arabic Typesetting"/>
                <w:color w:val="000000"/>
                <w:sz w:val="28"/>
                <w:szCs w:val="28"/>
                <w:lang w:eastAsia="ar-EG" w:bidi="ar-EG"/>
              </w:rPr>
            </w:pPr>
          </w:p>
        </w:tc>
        <w:tc>
          <w:tcPr>
            <w:tcW w:w="1432" w:type="pct"/>
            <w:shd w:val="clear" w:color="auto" w:fill="auto"/>
            <w:tcMar>
              <w:left w:w="58" w:type="dxa"/>
              <w:right w:w="58" w:type="dxa"/>
            </w:tcMar>
          </w:tcPr>
          <w:p w14:paraId="503E896F" w14:textId="77777777" w:rsidR="00CE6E0B" w:rsidRPr="0085606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85606F">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85606F">
              <w:rPr>
                <w:rFonts w:ascii="Arabic Typesetting" w:eastAsia="Arabic Typesetting" w:hAnsi="Arabic Typesetting" w:cs="Arabic Typesetting"/>
                <w:i/>
                <w:iCs/>
                <w:color w:val="002060"/>
                <w:sz w:val="28"/>
                <w:szCs w:val="28"/>
                <w:lang w:eastAsia="ar-EG" w:bidi="ar-EG"/>
              </w:rPr>
              <w:br/>
            </w:r>
            <w:r w:rsidRPr="0085606F">
              <w:rPr>
                <w:rFonts w:ascii="Arabic Typesetting" w:eastAsia="Arabic Typesetting" w:hAnsi="Arabic Typesetting" w:cs="Arabic Typesetting"/>
                <w:color w:val="002060"/>
                <w:sz w:val="28"/>
                <w:szCs w:val="28"/>
                <w:rtl/>
                <w:lang w:eastAsia="ar-EG" w:bidi="ar-EG"/>
              </w:rPr>
              <w:t>71 جهة من جهات إدارة تسجيل الحقول العليا المكونة من رموز البلدان (التراكمي</w:t>
            </w:r>
            <w:r w:rsidRPr="0085606F">
              <w:rPr>
                <w:rFonts w:ascii="Arabic Typesetting" w:eastAsia="Arabic Typesetting" w:hAnsi="Arabic Typesetting" w:cs="Arabic Typesetting" w:hint="cs"/>
                <w:color w:val="002060"/>
                <w:sz w:val="28"/>
                <w:szCs w:val="28"/>
                <w:lang w:eastAsia="ar-EG" w:bidi="ar-EG"/>
              </w:rPr>
              <w:t> </w:t>
            </w:r>
            <w:r w:rsidRPr="0085606F">
              <w:rPr>
                <w:rFonts w:ascii="Arabic Typesetting" w:eastAsia="Arabic Typesetting" w:hAnsi="Arabic Typesetting" w:cs="Arabic Typesetting"/>
                <w:color w:val="002060"/>
                <w:sz w:val="28"/>
                <w:szCs w:val="28"/>
                <w:rtl/>
                <w:lang w:eastAsia="ar-EG" w:bidi="ar-EG"/>
              </w:rPr>
              <w:t>بنهاية 2015)</w:t>
            </w:r>
          </w:p>
          <w:p w14:paraId="0A2B34BB" w14:textId="77777777" w:rsidR="00CE6E0B" w:rsidRPr="0085606F" w:rsidRDefault="00CE6E0B"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85606F">
              <w:rPr>
                <w:rFonts w:ascii="Arabic Typesetting" w:eastAsia="Arabic Typesetting" w:hAnsi="Arabic Typesetting" w:cs="Arabic Typesetting"/>
                <w:i/>
                <w:iCs/>
                <w:sz w:val="28"/>
                <w:szCs w:val="28"/>
                <w:rtl/>
                <w:lang w:eastAsia="ar-EG" w:bidi="ar-EG"/>
              </w:rPr>
              <w:t>‏أساس المقارنة الأصلي:</w:t>
            </w:r>
            <w:r w:rsidRPr="0085606F">
              <w:rPr>
                <w:rFonts w:ascii="Arabic Typesetting" w:eastAsia="Arabic Typesetting" w:hAnsi="Arabic Typesetting" w:cs="Arabic Typesetting"/>
                <w:i/>
                <w:sz w:val="28"/>
                <w:szCs w:val="28"/>
                <w:lang w:eastAsia="ar-EG" w:bidi="ar-EG"/>
              </w:rPr>
              <w:br/>
            </w:r>
            <w:r w:rsidRPr="0085606F">
              <w:rPr>
                <w:rFonts w:ascii="Arabic Typesetting" w:eastAsia="Arabic Typesetting" w:hAnsi="Arabic Typesetting" w:cs="Arabic Typesetting"/>
                <w:i/>
                <w:iCs/>
                <w:sz w:val="28"/>
                <w:szCs w:val="28"/>
                <w:rtl/>
                <w:lang w:eastAsia="ar-EG" w:bidi="ar-EG"/>
              </w:rPr>
              <w:t>برنامج وميزانية 2016/17:</w:t>
            </w:r>
            <w:r w:rsidRPr="0085606F">
              <w:rPr>
                <w:rFonts w:ascii="Arabic Typesetting" w:eastAsia="Arabic Typesetting" w:hAnsi="Arabic Typesetting" w:cs="Arabic Typesetting"/>
                <w:i/>
                <w:iCs/>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72 جهة من جهات إدارة تسجيل الحقول العليا المكونة من رموز البلدان (التراكمي</w:t>
            </w:r>
            <w:r w:rsidRPr="0085606F">
              <w:rPr>
                <w:rFonts w:ascii="Arabic Typesetting" w:eastAsia="Arabic Typesetting" w:hAnsi="Arabic Typesetting" w:cs="Arabic Typesetting" w:hint="cs"/>
                <w:color w:val="000000"/>
                <w:sz w:val="28"/>
                <w:szCs w:val="28"/>
                <w:lang w:eastAsia="ar-EG" w:bidi="ar-EG"/>
              </w:rPr>
              <w:t> </w:t>
            </w:r>
            <w:r w:rsidRPr="0085606F">
              <w:rPr>
                <w:rFonts w:ascii="Arabic Typesetting" w:eastAsia="Arabic Typesetting" w:hAnsi="Arabic Typesetting" w:cs="Arabic Typesetting"/>
                <w:color w:val="000000"/>
                <w:sz w:val="28"/>
                <w:szCs w:val="28"/>
                <w:rtl/>
                <w:lang w:eastAsia="ar-EG" w:bidi="ar-EG"/>
              </w:rPr>
              <w:t>بنهاية 2014</w:t>
            </w:r>
            <w:r>
              <w:rPr>
                <w:rFonts w:ascii="Arabic Typesetting" w:eastAsia="Arabic Typesetting" w:hAnsi="Arabic Typesetting" w:cs="Arabic Typesetting" w:hint="cs"/>
                <w:color w:val="000000"/>
                <w:sz w:val="28"/>
                <w:szCs w:val="28"/>
                <w:rtl/>
                <w:lang w:eastAsia="ar-EG" w:bidi="ar-EG"/>
              </w:rPr>
              <w:t>)</w:t>
            </w:r>
          </w:p>
        </w:tc>
        <w:tc>
          <w:tcPr>
            <w:tcW w:w="1067" w:type="pct"/>
            <w:shd w:val="clear" w:color="auto" w:fill="auto"/>
            <w:tcMar>
              <w:top w:w="110" w:type="dxa"/>
              <w:left w:w="58" w:type="dxa"/>
              <w:right w:w="58" w:type="dxa"/>
            </w:tcMar>
          </w:tcPr>
          <w:p w14:paraId="36928F66" w14:textId="77777777" w:rsidR="00CE6E0B" w:rsidRPr="0085606F" w:rsidRDefault="00CE6E0B" w:rsidP="0031289D">
            <w:pPr>
              <w:bidi/>
              <w:spacing w:after="120" w:line="280" w:lineRule="exact"/>
              <w:ind w:right="34"/>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جهتان إلى 4 جهات إدارة جديدة لتسجيل الحقول العليا المكونة من رموز البلدان</w:t>
            </w:r>
          </w:p>
        </w:tc>
        <w:tc>
          <w:tcPr>
            <w:tcW w:w="961" w:type="pct"/>
            <w:shd w:val="clear" w:color="auto" w:fill="FFFFFF"/>
            <w:tcMar>
              <w:top w:w="110" w:type="dxa"/>
              <w:left w:w="58" w:type="dxa"/>
              <w:right w:w="58" w:type="dxa"/>
            </w:tcMar>
          </w:tcPr>
          <w:p w14:paraId="2F940F00" w14:textId="77777777" w:rsidR="00CE6E0B" w:rsidRPr="0085606F" w:rsidRDefault="00CE6E0B" w:rsidP="0031289D">
            <w:pPr>
              <w:keepLines/>
              <w:bidi/>
              <w:spacing w:after="120" w:line="280" w:lineRule="exact"/>
              <w:ind w:right="-104"/>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4 </w:t>
            </w:r>
            <w:r w:rsidRPr="0085606F">
              <w:rPr>
                <w:rFonts w:ascii="Arabic Typesetting" w:eastAsia="Arabic Typesetting" w:hAnsi="Arabic Typesetting" w:cs="Arabic Typesetting"/>
                <w:color w:val="000000"/>
                <w:sz w:val="28"/>
                <w:szCs w:val="28"/>
                <w:rtl/>
                <w:lang w:eastAsia="ar-EG" w:bidi="ar-EG"/>
              </w:rPr>
              <w:t xml:space="preserve">جهات </w:t>
            </w:r>
            <w:r>
              <w:rPr>
                <w:rFonts w:ascii="Arabic Typesetting" w:eastAsia="Arabic Typesetting" w:hAnsi="Arabic Typesetting" w:cs="Arabic Typesetting" w:hint="cs"/>
                <w:color w:val="000000"/>
                <w:sz w:val="28"/>
                <w:szCs w:val="28"/>
                <w:rtl/>
                <w:lang w:eastAsia="ar-EG" w:bidi="ar-EG"/>
              </w:rPr>
              <w:t>إضافية لإدارة</w:t>
            </w:r>
            <w:r w:rsidRPr="0085606F">
              <w:rPr>
                <w:rFonts w:ascii="Arabic Typesetting" w:eastAsia="Arabic Typesetting" w:hAnsi="Arabic Typesetting" w:cs="Arabic Typesetting"/>
                <w:color w:val="000000"/>
                <w:sz w:val="28"/>
                <w:szCs w:val="28"/>
                <w:rtl/>
                <w:lang w:eastAsia="ar-EG" w:bidi="ar-EG"/>
              </w:rPr>
              <w:t xml:space="preserve"> تسجيل الحقول العليا المكونة من رموز البلدان (</w:t>
            </w:r>
            <w:r w:rsidRPr="0085606F">
              <w:rPr>
                <w:rFonts w:ascii="Arabic Typesetting" w:eastAsia="Arabic Typesetting" w:hAnsi="Arabic Typesetting" w:cs="Arabic Typesetting"/>
                <w:color w:val="000000"/>
                <w:sz w:val="28"/>
                <w:szCs w:val="28"/>
                <w:lang w:eastAsia="ar-EG" w:bidi="ar-EG"/>
              </w:rPr>
              <w:t>PM</w:t>
            </w:r>
            <w:r w:rsidRPr="0085606F">
              <w:rPr>
                <w:rFonts w:ascii="Arabic Typesetting" w:eastAsia="Arabic Typesetting" w:hAnsi="Arabic Typesetting" w:cs="Arabic Typesetting"/>
                <w:color w:val="000000"/>
                <w:sz w:val="28"/>
                <w:szCs w:val="28"/>
                <w:rtl/>
                <w:lang w:eastAsia="ar-EG" w:bidi="ar-EG"/>
              </w:rPr>
              <w:t>. و</w:t>
            </w:r>
            <w:r w:rsidRPr="0085606F">
              <w:rPr>
                <w:rFonts w:ascii="Arabic Typesetting" w:eastAsia="Arabic Typesetting" w:hAnsi="Arabic Typesetting" w:cs="Arabic Typesetting"/>
                <w:color w:val="000000"/>
                <w:sz w:val="28"/>
                <w:szCs w:val="28"/>
                <w:lang w:eastAsia="ar-EG" w:bidi="ar-EG"/>
              </w:rPr>
              <w:t>TF</w:t>
            </w:r>
            <w:r w:rsidRPr="0085606F">
              <w:rPr>
                <w:rFonts w:ascii="Arabic Typesetting" w:eastAsia="Arabic Typesetting" w:hAnsi="Arabic Typesetting" w:cs="Arabic Typesetting"/>
                <w:color w:val="000000"/>
                <w:sz w:val="28"/>
                <w:szCs w:val="28"/>
                <w:rtl/>
                <w:lang w:eastAsia="ar-EG" w:bidi="ar-EG"/>
              </w:rPr>
              <w:t>. و</w:t>
            </w:r>
            <w:r w:rsidRPr="0085606F">
              <w:rPr>
                <w:rFonts w:ascii="Arabic Typesetting" w:eastAsia="Arabic Typesetting" w:hAnsi="Arabic Typesetting" w:cs="Arabic Typesetting"/>
                <w:color w:val="000000"/>
                <w:sz w:val="28"/>
                <w:szCs w:val="28"/>
                <w:lang w:eastAsia="ar-EG" w:bidi="ar-EG"/>
              </w:rPr>
              <w:t>WF</w:t>
            </w:r>
            <w:r w:rsidRPr="0085606F">
              <w:rPr>
                <w:rFonts w:ascii="Arabic Typesetting" w:eastAsia="Arabic Typesetting" w:hAnsi="Arabic Typesetting" w:cs="Arabic Typesetting"/>
                <w:color w:val="000000"/>
                <w:sz w:val="28"/>
                <w:szCs w:val="28"/>
                <w:rtl/>
                <w:lang w:eastAsia="ar-EG" w:bidi="ar-EG"/>
              </w:rPr>
              <w:t>. و</w:t>
            </w:r>
            <w:r w:rsidRPr="0085606F">
              <w:rPr>
                <w:rFonts w:ascii="Arabic Typesetting" w:eastAsia="Arabic Typesetting" w:hAnsi="Arabic Typesetting" w:cs="Arabic Typesetting"/>
                <w:color w:val="000000"/>
                <w:sz w:val="28"/>
                <w:szCs w:val="28"/>
                <w:lang w:eastAsia="ar-EG" w:bidi="ar-EG"/>
              </w:rPr>
              <w:t>YT</w:t>
            </w:r>
            <w:r w:rsidRPr="0085606F">
              <w:rPr>
                <w:rFonts w:ascii="Arabic Typesetting" w:eastAsia="Arabic Typesetting" w:hAnsi="Arabic Typesetting" w:cs="Arabic Typesetting"/>
                <w:color w:val="000000"/>
                <w:sz w:val="28"/>
                <w:szCs w:val="28"/>
                <w:rtl/>
                <w:lang w:eastAsia="ar-EG" w:bidi="ar-EG"/>
              </w:rPr>
              <w:t>.)</w:t>
            </w:r>
            <w:r w:rsidRPr="0085606F">
              <w:rPr>
                <w:rFonts w:ascii="Arabic Typesetting" w:eastAsia="Arabic Typesetting" w:hAnsi="Arabic Typesetting" w:cs="Arabic Typesetting"/>
                <w:color w:val="000000"/>
                <w:sz w:val="28"/>
                <w:szCs w:val="28"/>
                <w:lang w:eastAsia="ar-EG" w:bidi="ar-EG"/>
              </w:rPr>
              <w:br/>
            </w:r>
            <w:r w:rsidRPr="0085606F">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التراكمي 74</w:t>
            </w:r>
            <w:r w:rsidRPr="0085606F">
              <w:rPr>
                <w:rFonts w:ascii="Arabic Typesetting" w:eastAsia="Arabic Typesetting" w:hAnsi="Arabic Typesetting" w:cs="Arabic Typesetting"/>
                <w:color w:val="000000"/>
                <w:sz w:val="28"/>
                <w:szCs w:val="28"/>
                <w:rtl/>
                <w:lang w:eastAsia="ar-EG" w:bidi="ar-EG"/>
              </w:rPr>
              <w:t xml:space="preserve"> بنهاية 2016 بعد وقف واحد)</w:t>
            </w:r>
          </w:p>
          <w:p w14:paraId="5E104FC2" w14:textId="77777777" w:rsidR="00CE6E0B" w:rsidRPr="0085606F" w:rsidRDefault="00CE6E0B"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color w:val="000000"/>
                <w:sz w:val="28"/>
                <w:szCs w:val="28"/>
                <w:rtl/>
                <w:lang w:eastAsia="ar-EG" w:bidi="ar-EG"/>
              </w:rPr>
              <w:t>دعم 4 سياسات متعلقة بالحقول العليا المكونة من رموز البلدان (</w:t>
            </w:r>
            <w:r w:rsidRPr="0085606F">
              <w:rPr>
                <w:rFonts w:ascii="Arabic Typesetting" w:eastAsia="Arabic Typesetting" w:hAnsi="Arabic Typesetting" w:cs="Arabic Typesetting"/>
                <w:color w:val="000000"/>
                <w:sz w:val="28"/>
                <w:szCs w:val="28"/>
                <w:lang w:eastAsia="ar-EG" w:bidi="ar-EG"/>
              </w:rPr>
              <w:t>BH</w:t>
            </w:r>
            <w:r w:rsidRPr="0085606F">
              <w:rPr>
                <w:rFonts w:ascii="Arabic Typesetting" w:eastAsia="Arabic Typesetting" w:hAnsi="Arabic Typesetting" w:cs="Arabic Typesetting"/>
                <w:color w:val="000000"/>
                <w:sz w:val="28"/>
                <w:szCs w:val="28"/>
                <w:rtl/>
                <w:lang w:eastAsia="ar-EG" w:bidi="ar-EG"/>
              </w:rPr>
              <w:t>. و</w:t>
            </w:r>
            <w:r w:rsidRPr="0085606F">
              <w:rPr>
                <w:rFonts w:ascii="Arabic Typesetting" w:eastAsia="Arabic Typesetting" w:hAnsi="Arabic Typesetting" w:cs="Arabic Typesetting"/>
                <w:color w:val="000000"/>
                <w:sz w:val="28"/>
                <w:szCs w:val="28"/>
                <w:lang w:eastAsia="ar-EG" w:bidi="ar-EG"/>
              </w:rPr>
              <w:t>FR</w:t>
            </w:r>
            <w:r w:rsidRPr="0085606F">
              <w:rPr>
                <w:rFonts w:ascii="Arabic Typesetting" w:eastAsia="Arabic Typesetting" w:hAnsi="Arabic Typesetting" w:cs="Arabic Typesetting"/>
                <w:color w:val="000000"/>
                <w:sz w:val="28"/>
                <w:szCs w:val="28"/>
                <w:rtl/>
                <w:lang w:eastAsia="ar-EG" w:bidi="ar-EG"/>
              </w:rPr>
              <w:t>. و</w:t>
            </w:r>
            <w:r w:rsidRPr="0085606F">
              <w:rPr>
                <w:rFonts w:ascii="Arabic Typesetting" w:eastAsia="Arabic Typesetting" w:hAnsi="Arabic Typesetting" w:cs="Arabic Typesetting"/>
                <w:color w:val="000000"/>
                <w:sz w:val="28"/>
                <w:szCs w:val="28"/>
                <w:lang w:eastAsia="ar-EG" w:bidi="ar-EG"/>
              </w:rPr>
              <w:t>NI</w:t>
            </w:r>
            <w:r w:rsidRPr="0085606F">
              <w:rPr>
                <w:rFonts w:ascii="Arabic Typesetting" w:eastAsia="Arabic Typesetting" w:hAnsi="Arabic Typesetting" w:cs="Arabic Typesetting"/>
                <w:color w:val="000000"/>
                <w:sz w:val="28"/>
                <w:szCs w:val="28"/>
                <w:rtl/>
                <w:lang w:eastAsia="ar-EG" w:bidi="ar-EG"/>
              </w:rPr>
              <w:t>. و</w:t>
            </w:r>
            <w:r w:rsidRPr="0085606F">
              <w:rPr>
                <w:rFonts w:ascii="Arabic Typesetting" w:eastAsia="Arabic Typesetting" w:hAnsi="Arabic Typesetting" w:cs="Arabic Typesetting"/>
                <w:color w:val="000000"/>
                <w:sz w:val="28"/>
                <w:szCs w:val="28"/>
                <w:lang w:eastAsia="ar-EG" w:bidi="ar-EG"/>
              </w:rPr>
              <w:t>RE</w:t>
            </w:r>
            <w:r w:rsidRPr="0085606F">
              <w:rPr>
                <w:rFonts w:ascii="Arabic Typesetting" w:eastAsia="Arabic Typesetting" w:hAnsi="Arabic Typesetting" w:cs="Arabic Typesetting"/>
                <w:color w:val="000000"/>
                <w:sz w:val="28"/>
                <w:szCs w:val="28"/>
                <w:rtl/>
                <w:lang w:eastAsia="ar-EG" w:bidi="ar-EG"/>
              </w:rPr>
              <w:t>.)</w:t>
            </w:r>
          </w:p>
        </w:tc>
        <w:tc>
          <w:tcPr>
            <w:tcW w:w="604" w:type="pct"/>
            <w:shd w:val="clear" w:color="auto" w:fill="auto"/>
            <w:tcMar>
              <w:top w:w="110" w:type="dxa"/>
              <w:left w:w="58" w:type="dxa"/>
              <w:right w:w="58" w:type="dxa"/>
            </w:tcMar>
          </w:tcPr>
          <w:p w14:paraId="32D0C0BC" w14:textId="77777777" w:rsidR="00CE6E0B" w:rsidRPr="0085606F" w:rsidRDefault="00CE6E0B" w:rsidP="0031289D">
            <w:pPr>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85606F">
              <w:rPr>
                <w:rFonts w:ascii="Arabic Typesetting" w:eastAsia="Arabic Typesetting" w:hAnsi="Arabic Typesetting" w:cs="Arabic Typesetting"/>
                <w:b/>
                <w:bCs/>
                <w:color w:val="00B050"/>
                <w:sz w:val="28"/>
                <w:szCs w:val="28"/>
                <w:rtl/>
                <w:lang w:eastAsia="ar-EG" w:bidi="ar-EG"/>
              </w:rPr>
              <w:t>ثابت</w:t>
            </w:r>
          </w:p>
        </w:tc>
      </w:tr>
    </w:tbl>
    <w:p w14:paraId="525BEBB5" w14:textId="77777777" w:rsidR="00CE6E0B" w:rsidRDefault="00CE6E0B" w:rsidP="0031289D">
      <w:pPr>
        <w:bidi/>
      </w:pPr>
    </w:p>
    <w:tbl>
      <w:tblPr>
        <w:tblStyle w:val="TableGrid"/>
        <w:bidiVisual/>
        <w:tblW w:w="0" w:type="auto"/>
        <w:tblLook w:val="04A0" w:firstRow="1" w:lastRow="0" w:firstColumn="1" w:lastColumn="0" w:noHBand="0" w:noVBand="1"/>
      </w:tblPr>
      <w:tblGrid>
        <w:gridCol w:w="9571"/>
      </w:tblGrid>
      <w:tr w:rsidR="00CE6E0B" w14:paraId="43972D66" w14:textId="77777777" w:rsidTr="00BB3820">
        <w:tc>
          <w:tcPr>
            <w:tcW w:w="9571" w:type="dxa"/>
            <w:tcBorders>
              <w:top w:val="nil"/>
              <w:left w:val="nil"/>
              <w:bottom w:val="nil"/>
              <w:right w:val="nil"/>
            </w:tcBorders>
            <w:shd w:val="clear" w:color="auto" w:fill="C6D9F1"/>
            <w:vAlign w:val="center"/>
          </w:tcPr>
          <w:p w14:paraId="2B6E5A9E" w14:textId="77777777" w:rsidR="00CE6E0B" w:rsidRPr="00A2672B" w:rsidRDefault="00CE6E0B"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7</w:t>
            </w:r>
          </w:p>
        </w:tc>
      </w:tr>
    </w:tbl>
    <w:p w14:paraId="19B57F45" w14:textId="77777777" w:rsidR="00CE6E0B" w:rsidRPr="00FE3908"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62E02C0B" w14:textId="77777777" w:rsidR="00CE6E0B" w:rsidRDefault="00CE6E0B"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E6E0B" w:rsidRPr="00211D55" w14:paraId="1FD4F890"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4D0681C1" w14:textId="77777777" w:rsidR="00CE6E0B" w:rsidRPr="00A2672B" w:rsidRDefault="00CE6E0B" w:rsidP="0031289D">
            <w:pPr>
              <w:bidi/>
              <w:spacing w:before="120" w:after="120"/>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0DACA833" w14:textId="77777777" w:rsidR="00CE6E0B" w:rsidRPr="00A2672B" w:rsidRDefault="00CE6E0B" w:rsidP="0031289D">
            <w:pPr>
              <w:bidi/>
              <w:spacing w:before="120" w:after="120"/>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33BD7343" w14:textId="77777777" w:rsidR="00CE6E0B" w:rsidRPr="00A2672B" w:rsidRDefault="00CE6E0B" w:rsidP="0031289D">
            <w:pPr>
              <w:bidi/>
              <w:spacing w:before="120" w:after="120"/>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05FB96CD" w14:textId="77777777" w:rsidR="00CE6E0B" w:rsidRPr="00A2672B" w:rsidRDefault="00CE6E0B" w:rsidP="0031289D">
            <w:pPr>
              <w:bidi/>
              <w:spacing w:before="120" w:after="120"/>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CE6E0B" w:rsidRPr="00211D55" w14:paraId="35C0AF19" w14:textId="77777777" w:rsidTr="00BB3820">
        <w:trPr>
          <w:trHeight w:val="55"/>
        </w:trPr>
        <w:tc>
          <w:tcPr>
            <w:tcW w:w="413" w:type="pct"/>
            <w:shd w:val="clear" w:color="auto" w:fill="auto"/>
            <w:noWrap/>
            <w:tcMar>
              <w:top w:w="15" w:type="dxa"/>
              <w:left w:w="15" w:type="dxa"/>
              <w:bottom w:w="0" w:type="dxa"/>
              <w:right w:w="15" w:type="dxa"/>
            </w:tcMar>
          </w:tcPr>
          <w:p w14:paraId="485067BB" w14:textId="77777777" w:rsidR="00CE6E0B" w:rsidRPr="0085606F" w:rsidRDefault="00CE6E0B" w:rsidP="0031289D">
            <w:pPr>
              <w:bidi/>
              <w:spacing w:before="120" w:after="120"/>
              <w:rPr>
                <w:rFonts w:ascii="Arabic Typesetting" w:hAnsi="Arabic Typesetting" w:cs="Arabic Typesetting"/>
                <w:sz w:val="28"/>
                <w:szCs w:val="28"/>
              </w:rPr>
            </w:pPr>
            <w:r w:rsidRPr="0085606F">
              <w:rPr>
                <w:rFonts w:ascii="Arabic Typesetting" w:hAnsi="Arabic Typesetting" w:cs="Arabic Typesetting"/>
                <w:sz w:val="28"/>
                <w:szCs w:val="28"/>
                <w:rtl/>
              </w:rPr>
              <w:t>ه8.2</w:t>
            </w:r>
          </w:p>
        </w:tc>
        <w:tc>
          <w:tcPr>
            <w:tcW w:w="2340" w:type="pct"/>
            <w:shd w:val="clear" w:color="auto" w:fill="auto"/>
            <w:tcMar>
              <w:top w:w="15" w:type="dxa"/>
              <w:left w:w="15" w:type="dxa"/>
              <w:bottom w:w="0" w:type="dxa"/>
              <w:right w:w="15" w:type="dxa"/>
            </w:tcMar>
          </w:tcPr>
          <w:p w14:paraId="4FA84C58" w14:textId="0F148399" w:rsidR="00CE6E0B" w:rsidRPr="0085606F" w:rsidRDefault="009834B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تزايد تفادي نشوء المنازعات المتعلقة بالملكية الفكرية دوليا وداخليا أو تسويتها عبر الوساطة والتحكيم وغيرها من أساليب الويبو البديلة لتسوية المنازعات</w:t>
            </w:r>
          </w:p>
        </w:tc>
        <w:tc>
          <w:tcPr>
            <w:tcW w:w="749" w:type="pct"/>
            <w:shd w:val="clear" w:color="auto" w:fill="auto"/>
            <w:tcMar>
              <w:top w:w="15" w:type="dxa"/>
              <w:left w:w="15" w:type="dxa"/>
              <w:bottom w:w="0" w:type="dxa"/>
              <w:right w:w="15" w:type="dxa"/>
            </w:tcMar>
            <w:vAlign w:val="center"/>
          </w:tcPr>
          <w:p w14:paraId="0685BCE4" w14:textId="77777777" w:rsidR="00CE6E0B" w:rsidRPr="0085606F" w:rsidRDefault="00CE6E0B" w:rsidP="0031289D">
            <w:pPr>
              <w:jc w:val="center"/>
              <w:rPr>
                <w:rFonts w:ascii="Arabic Typesetting" w:hAnsi="Arabic Typesetting" w:cs="Arabic Typesetting"/>
                <w:sz w:val="28"/>
                <w:szCs w:val="28"/>
              </w:rPr>
            </w:pPr>
            <w:r w:rsidRPr="0085606F">
              <w:rPr>
                <w:rFonts w:ascii="Arabic Typesetting" w:hAnsi="Arabic Typesetting" w:cs="Arabic Typesetting"/>
                <w:sz w:val="28"/>
                <w:szCs w:val="28"/>
              </w:rPr>
              <w:t>4</w:t>
            </w:r>
            <w:r>
              <w:rPr>
                <w:rFonts w:ascii="Arabic Typesetting" w:hAnsi="Arabic Typesetting" w:cs="Arabic Typesetting"/>
                <w:sz w:val="28"/>
                <w:szCs w:val="28"/>
              </w:rPr>
              <w:t> </w:t>
            </w:r>
            <w:r w:rsidRPr="0085606F">
              <w:rPr>
                <w:rFonts w:ascii="Arabic Typesetting" w:hAnsi="Arabic Typesetting" w:cs="Arabic Typesetting"/>
                <w:sz w:val="28"/>
                <w:szCs w:val="28"/>
              </w:rPr>
              <w:t>459</w:t>
            </w:r>
          </w:p>
        </w:tc>
        <w:tc>
          <w:tcPr>
            <w:tcW w:w="749" w:type="pct"/>
            <w:shd w:val="clear" w:color="auto" w:fill="auto"/>
            <w:tcMar>
              <w:top w:w="15" w:type="dxa"/>
              <w:left w:w="15" w:type="dxa"/>
              <w:bottom w:w="0" w:type="dxa"/>
              <w:right w:w="15" w:type="dxa"/>
            </w:tcMar>
            <w:vAlign w:val="center"/>
          </w:tcPr>
          <w:p w14:paraId="53AC200A" w14:textId="77777777" w:rsidR="00CE6E0B" w:rsidRPr="0085606F" w:rsidRDefault="00CE6E0B" w:rsidP="0031289D">
            <w:pPr>
              <w:jc w:val="center"/>
              <w:rPr>
                <w:rFonts w:ascii="Arabic Typesetting" w:hAnsi="Arabic Typesetting" w:cs="Arabic Typesetting"/>
                <w:sz w:val="28"/>
                <w:szCs w:val="28"/>
              </w:rPr>
            </w:pPr>
            <w:r w:rsidRPr="0085606F">
              <w:rPr>
                <w:rFonts w:ascii="Arabic Typesetting" w:hAnsi="Arabic Typesetting" w:cs="Arabic Typesetting"/>
                <w:sz w:val="28"/>
                <w:szCs w:val="28"/>
              </w:rPr>
              <w:t>4</w:t>
            </w:r>
            <w:r>
              <w:rPr>
                <w:rFonts w:ascii="Arabic Typesetting" w:hAnsi="Arabic Typesetting" w:cs="Arabic Typesetting"/>
                <w:sz w:val="28"/>
                <w:szCs w:val="28"/>
              </w:rPr>
              <w:t> </w:t>
            </w:r>
            <w:r w:rsidRPr="0085606F">
              <w:rPr>
                <w:rFonts w:ascii="Arabic Typesetting" w:hAnsi="Arabic Typesetting" w:cs="Arabic Typesetting"/>
                <w:sz w:val="28"/>
                <w:szCs w:val="28"/>
              </w:rPr>
              <w:t>139</w:t>
            </w:r>
          </w:p>
        </w:tc>
        <w:tc>
          <w:tcPr>
            <w:tcW w:w="749" w:type="pct"/>
            <w:shd w:val="clear" w:color="auto" w:fill="auto"/>
            <w:noWrap/>
            <w:tcMar>
              <w:top w:w="15" w:type="dxa"/>
              <w:left w:w="15" w:type="dxa"/>
              <w:bottom w:w="0" w:type="dxa"/>
              <w:right w:w="15" w:type="dxa"/>
            </w:tcMar>
            <w:vAlign w:val="center"/>
          </w:tcPr>
          <w:p w14:paraId="0D55F5BB" w14:textId="77777777" w:rsidR="00CE6E0B" w:rsidRPr="0085606F" w:rsidRDefault="00CE6E0B" w:rsidP="0031289D">
            <w:pPr>
              <w:jc w:val="center"/>
              <w:rPr>
                <w:rFonts w:ascii="Arabic Typesetting" w:hAnsi="Arabic Typesetting" w:cs="Arabic Typesetting"/>
                <w:sz w:val="28"/>
                <w:szCs w:val="28"/>
              </w:rPr>
            </w:pPr>
            <w:r w:rsidRPr="0085606F">
              <w:rPr>
                <w:rFonts w:ascii="Arabic Typesetting" w:hAnsi="Arabic Typesetting" w:cs="Arabic Typesetting"/>
                <w:sz w:val="28"/>
                <w:szCs w:val="28"/>
              </w:rPr>
              <w:t>1</w:t>
            </w:r>
            <w:r>
              <w:rPr>
                <w:rFonts w:ascii="Arabic Typesetting" w:hAnsi="Arabic Typesetting" w:cs="Arabic Typesetting"/>
                <w:sz w:val="28"/>
                <w:szCs w:val="28"/>
              </w:rPr>
              <w:t> </w:t>
            </w:r>
            <w:r w:rsidRPr="0085606F">
              <w:rPr>
                <w:rFonts w:ascii="Arabic Typesetting" w:hAnsi="Arabic Typesetting" w:cs="Arabic Typesetting"/>
                <w:sz w:val="28"/>
                <w:szCs w:val="28"/>
              </w:rPr>
              <w:t>908</w:t>
            </w:r>
          </w:p>
        </w:tc>
      </w:tr>
      <w:tr w:rsidR="00CE6E0B" w:rsidRPr="00211D55" w14:paraId="6E6A3540" w14:textId="77777777" w:rsidTr="00BB3820">
        <w:trPr>
          <w:trHeight w:val="55"/>
        </w:trPr>
        <w:tc>
          <w:tcPr>
            <w:tcW w:w="413" w:type="pct"/>
            <w:shd w:val="clear" w:color="auto" w:fill="auto"/>
            <w:noWrap/>
            <w:tcMar>
              <w:top w:w="15" w:type="dxa"/>
              <w:left w:w="15" w:type="dxa"/>
              <w:bottom w:w="0" w:type="dxa"/>
              <w:right w:w="15" w:type="dxa"/>
            </w:tcMar>
          </w:tcPr>
          <w:p w14:paraId="3C0A1358" w14:textId="77777777" w:rsidR="00CE6E0B" w:rsidRPr="0085606F" w:rsidRDefault="00CE6E0B" w:rsidP="0031289D">
            <w:pPr>
              <w:bidi/>
              <w:spacing w:before="120" w:after="120"/>
              <w:rPr>
                <w:rFonts w:ascii="Arabic Typesetting" w:hAnsi="Arabic Typesetting" w:cs="Arabic Typesetting"/>
                <w:sz w:val="28"/>
                <w:szCs w:val="28"/>
              </w:rPr>
            </w:pPr>
            <w:r w:rsidRPr="0085606F">
              <w:rPr>
                <w:rFonts w:ascii="Arabic Typesetting" w:hAnsi="Arabic Typesetting" w:cs="Arabic Typesetting"/>
                <w:sz w:val="28"/>
                <w:szCs w:val="28"/>
                <w:rtl/>
              </w:rPr>
              <w:t>ه9.2</w:t>
            </w:r>
          </w:p>
        </w:tc>
        <w:tc>
          <w:tcPr>
            <w:tcW w:w="2340" w:type="pct"/>
            <w:shd w:val="clear" w:color="auto" w:fill="auto"/>
            <w:tcMar>
              <w:top w:w="15" w:type="dxa"/>
              <w:left w:w="15" w:type="dxa"/>
              <w:bottom w:w="0" w:type="dxa"/>
              <w:right w:w="15" w:type="dxa"/>
            </w:tcMar>
          </w:tcPr>
          <w:p w14:paraId="6994F8D3" w14:textId="77777777" w:rsidR="00CE6E0B" w:rsidRPr="0085606F" w:rsidRDefault="00CE6E0B" w:rsidP="0031289D">
            <w:pPr>
              <w:bidi/>
              <w:spacing w:before="120" w:after="120"/>
              <w:rPr>
                <w:rFonts w:ascii="Arabic Typesetting" w:hAnsi="Arabic Typesetting" w:cs="Arabic Typesetting"/>
                <w:sz w:val="28"/>
                <w:szCs w:val="28"/>
              </w:rPr>
            </w:pPr>
            <w:r w:rsidRPr="0085606F">
              <w:rPr>
                <w:rFonts w:ascii="Arabic Typesetting" w:hAnsi="Arabic Typesetting" w:cs="Arabic Typesetting"/>
                <w:sz w:val="28"/>
                <w:szCs w:val="28"/>
                <w:rtl/>
              </w:rPr>
              <w:t>حماية فعالة للملكية الفكرية في الحقول العليا المكونة من أسماء عامة والحقول العليا المكونة من رموز البلدان</w:t>
            </w:r>
          </w:p>
        </w:tc>
        <w:tc>
          <w:tcPr>
            <w:tcW w:w="749" w:type="pct"/>
            <w:shd w:val="clear" w:color="auto" w:fill="auto"/>
            <w:tcMar>
              <w:top w:w="15" w:type="dxa"/>
              <w:left w:w="15" w:type="dxa"/>
              <w:bottom w:w="0" w:type="dxa"/>
              <w:right w:w="15" w:type="dxa"/>
            </w:tcMar>
            <w:vAlign w:val="center"/>
          </w:tcPr>
          <w:p w14:paraId="131A9909" w14:textId="77777777" w:rsidR="00CE6E0B" w:rsidRPr="0085606F" w:rsidRDefault="00CE6E0B" w:rsidP="0031289D">
            <w:pPr>
              <w:jc w:val="center"/>
              <w:rPr>
                <w:rFonts w:ascii="Arabic Typesetting" w:hAnsi="Arabic Typesetting" w:cs="Arabic Typesetting"/>
                <w:sz w:val="28"/>
                <w:szCs w:val="28"/>
              </w:rPr>
            </w:pPr>
            <w:r w:rsidRPr="0085606F">
              <w:rPr>
                <w:rFonts w:ascii="Arabic Typesetting" w:hAnsi="Arabic Typesetting" w:cs="Arabic Typesetting"/>
                <w:sz w:val="28"/>
                <w:szCs w:val="28"/>
              </w:rPr>
              <w:t>6</w:t>
            </w:r>
            <w:r>
              <w:rPr>
                <w:rFonts w:ascii="Arabic Typesetting" w:hAnsi="Arabic Typesetting" w:cs="Arabic Typesetting"/>
                <w:sz w:val="28"/>
                <w:szCs w:val="28"/>
              </w:rPr>
              <w:t> </w:t>
            </w:r>
            <w:r w:rsidRPr="0085606F">
              <w:rPr>
                <w:rFonts w:ascii="Arabic Typesetting" w:hAnsi="Arabic Typesetting" w:cs="Arabic Typesetting"/>
                <w:sz w:val="28"/>
                <w:szCs w:val="28"/>
              </w:rPr>
              <w:t>899</w:t>
            </w:r>
          </w:p>
        </w:tc>
        <w:tc>
          <w:tcPr>
            <w:tcW w:w="749" w:type="pct"/>
            <w:shd w:val="clear" w:color="auto" w:fill="auto"/>
            <w:tcMar>
              <w:top w:w="15" w:type="dxa"/>
              <w:left w:w="15" w:type="dxa"/>
              <w:bottom w:w="0" w:type="dxa"/>
              <w:right w:w="15" w:type="dxa"/>
            </w:tcMar>
            <w:vAlign w:val="center"/>
          </w:tcPr>
          <w:p w14:paraId="7E6DB4B3" w14:textId="77777777" w:rsidR="00CE6E0B" w:rsidRPr="0085606F" w:rsidRDefault="00CE6E0B" w:rsidP="0031289D">
            <w:pPr>
              <w:jc w:val="center"/>
              <w:rPr>
                <w:rFonts w:ascii="Arabic Typesetting" w:hAnsi="Arabic Typesetting" w:cs="Arabic Typesetting"/>
                <w:sz w:val="28"/>
                <w:szCs w:val="28"/>
              </w:rPr>
            </w:pPr>
            <w:r w:rsidRPr="0085606F">
              <w:rPr>
                <w:rFonts w:ascii="Arabic Typesetting" w:hAnsi="Arabic Typesetting" w:cs="Arabic Typesetting"/>
                <w:sz w:val="28"/>
                <w:szCs w:val="28"/>
              </w:rPr>
              <w:t>7</w:t>
            </w:r>
            <w:r>
              <w:rPr>
                <w:rFonts w:ascii="Arabic Typesetting" w:hAnsi="Arabic Typesetting" w:cs="Arabic Typesetting"/>
                <w:sz w:val="28"/>
                <w:szCs w:val="28"/>
              </w:rPr>
              <w:t> </w:t>
            </w:r>
            <w:r w:rsidRPr="0085606F">
              <w:rPr>
                <w:rFonts w:ascii="Arabic Typesetting" w:hAnsi="Arabic Typesetting" w:cs="Arabic Typesetting"/>
                <w:sz w:val="28"/>
                <w:szCs w:val="28"/>
              </w:rPr>
              <w:t>199</w:t>
            </w:r>
          </w:p>
        </w:tc>
        <w:tc>
          <w:tcPr>
            <w:tcW w:w="749" w:type="pct"/>
            <w:shd w:val="clear" w:color="auto" w:fill="auto"/>
            <w:noWrap/>
            <w:tcMar>
              <w:top w:w="15" w:type="dxa"/>
              <w:left w:w="15" w:type="dxa"/>
              <w:bottom w:w="0" w:type="dxa"/>
              <w:right w:w="15" w:type="dxa"/>
            </w:tcMar>
            <w:vAlign w:val="center"/>
          </w:tcPr>
          <w:p w14:paraId="51BA2D57" w14:textId="77777777" w:rsidR="00CE6E0B" w:rsidRPr="0085606F" w:rsidRDefault="00CE6E0B" w:rsidP="0031289D">
            <w:pPr>
              <w:jc w:val="center"/>
              <w:rPr>
                <w:rFonts w:ascii="Arabic Typesetting" w:hAnsi="Arabic Typesetting" w:cs="Arabic Typesetting"/>
                <w:sz w:val="28"/>
                <w:szCs w:val="28"/>
              </w:rPr>
            </w:pPr>
            <w:r w:rsidRPr="0085606F">
              <w:rPr>
                <w:rFonts w:ascii="Arabic Typesetting" w:hAnsi="Arabic Typesetting" w:cs="Arabic Typesetting"/>
                <w:sz w:val="28"/>
                <w:szCs w:val="28"/>
              </w:rPr>
              <w:t>3</w:t>
            </w:r>
            <w:r>
              <w:rPr>
                <w:rFonts w:ascii="Arabic Typesetting" w:hAnsi="Arabic Typesetting" w:cs="Arabic Typesetting"/>
                <w:sz w:val="28"/>
                <w:szCs w:val="28"/>
              </w:rPr>
              <w:t> </w:t>
            </w:r>
            <w:r w:rsidRPr="0085606F">
              <w:rPr>
                <w:rFonts w:ascii="Arabic Typesetting" w:hAnsi="Arabic Typesetting" w:cs="Arabic Typesetting"/>
                <w:sz w:val="28"/>
                <w:szCs w:val="28"/>
              </w:rPr>
              <w:t>169</w:t>
            </w:r>
          </w:p>
        </w:tc>
      </w:tr>
      <w:tr w:rsidR="00CE6E0B" w:rsidRPr="00211D55" w14:paraId="5B98C940"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7B89BF7F" w14:textId="77777777" w:rsidR="00CE6E0B" w:rsidRPr="00211D55" w:rsidRDefault="00CE6E0B" w:rsidP="0031289D">
            <w:pPr>
              <w:bidi/>
              <w:spacing w:before="120" w:after="120"/>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6E847706" w14:textId="77777777" w:rsidR="00CE6E0B" w:rsidRPr="00280D1A" w:rsidRDefault="00CE6E0B" w:rsidP="0031289D">
            <w:pPr>
              <w:bidi/>
              <w:spacing w:before="120" w:after="120"/>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6AD7262D" w14:textId="77777777" w:rsidR="00CE6E0B" w:rsidRPr="00280D1A" w:rsidRDefault="00CE6E0B" w:rsidP="0031289D">
            <w:pPr>
              <w:jc w:val="center"/>
              <w:rPr>
                <w:rFonts w:ascii="Arabic Typesetting" w:hAnsi="Arabic Typesetting" w:cs="Arabic Typesetting"/>
                <w:b/>
                <w:bCs/>
                <w:sz w:val="28"/>
                <w:szCs w:val="28"/>
              </w:rPr>
            </w:pPr>
            <w:r w:rsidRPr="00280D1A">
              <w:rPr>
                <w:rFonts w:ascii="Arabic Typesetting" w:hAnsi="Arabic Typesetting" w:cs="Arabic Typesetting"/>
                <w:b/>
                <w:bCs/>
                <w:sz w:val="28"/>
                <w:szCs w:val="28"/>
              </w:rPr>
              <w:t>11 358</w:t>
            </w:r>
          </w:p>
        </w:tc>
        <w:tc>
          <w:tcPr>
            <w:tcW w:w="749" w:type="pct"/>
            <w:shd w:val="clear" w:color="auto" w:fill="C6D9F1"/>
            <w:noWrap/>
            <w:tcMar>
              <w:top w:w="15" w:type="dxa"/>
              <w:left w:w="15" w:type="dxa"/>
              <w:bottom w:w="0" w:type="dxa"/>
              <w:right w:w="15" w:type="dxa"/>
            </w:tcMar>
            <w:vAlign w:val="center"/>
          </w:tcPr>
          <w:p w14:paraId="5AE07612" w14:textId="77777777" w:rsidR="00CE6E0B" w:rsidRPr="00280D1A" w:rsidRDefault="00CE6E0B" w:rsidP="0031289D">
            <w:pPr>
              <w:jc w:val="center"/>
              <w:rPr>
                <w:rFonts w:ascii="Arabic Typesetting" w:hAnsi="Arabic Typesetting" w:cs="Arabic Typesetting"/>
                <w:b/>
                <w:bCs/>
                <w:sz w:val="28"/>
                <w:szCs w:val="28"/>
              </w:rPr>
            </w:pPr>
            <w:r w:rsidRPr="00280D1A">
              <w:rPr>
                <w:rFonts w:ascii="Arabic Typesetting" w:hAnsi="Arabic Typesetting" w:cs="Arabic Typesetting"/>
                <w:b/>
                <w:bCs/>
                <w:sz w:val="28"/>
                <w:szCs w:val="28"/>
              </w:rPr>
              <w:t>11 338</w:t>
            </w:r>
          </w:p>
        </w:tc>
        <w:tc>
          <w:tcPr>
            <w:tcW w:w="749" w:type="pct"/>
            <w:shd w:val="clear" w:color="auto" w:fill="C6D9F1"/>
            <w:noWrap/>
            <w:tcMar>
              <w:top w:w="15" w:type="dxa"/>
              <w:left w:w="15" w:type="dxa"/>
              <w:bottom w:w="0" w:type="dxa"/>
              <w:right w:w="15" w:type="dxa"/>
            </w:tcMar>
            <w:vAlign w:val="center"/>
          </w:tcPr>
          <w:p w14:paraId="701E75C4" w14:textId="77777777" w:rsidR="00CE6E0B" w:rsidRPr="00280D1A" w:rsidRDefault="00CE6E0B" w:rsidP="0031289D">
            <w:pPr>
              <w:jc w:val="center"/>
              <w:rPr>
                <w:rFonts w:ascii="Arabic Typesetting" w:hAnsi="Arabic Typesetting" w:cs="Arabic Typesetting"/>
                <w:b/>
                <w:bCs/>
                <w:sz w:val="28"/>
                <w:szCs w:val="28"/>
              </w:rPr>
            </w:pPr>
            <w:r w:rsidRPr="00280D1A">
              <w:rPr>
                <w:rFonts w:ascii="Arabic Typesetting" w:hAnsi="Arabic Typesetting" w:cs="Arabic Typesetting"/>
                <w:b/>
                <w:bCs/>
                <w:sz w:val="28"/>
                <w:szCs w:val="28"/>
              </w:rPr>
              <w:t>5 077</w:t>
            </w:r>
          </w:p>
        </w:tc>
      </w:tr>
      <w:tr w:rsidR="00CE6E0B" w:rsidRPr="00211D55" w14:paraId="7929760E"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0F6D8F91" w14:textId="77777777" w:rsidR="00CE6E0B" w:rsidRPr="00A2672B" w:rsidRDefault="00CE6E0B" w:rsidP="0031289D">
            <w:pPr>
              <w:bidi/>
              <w:spacing w:before="120" w:after="12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46A2E2C2" w14:textId="77777777" w:rsidR="00CE6E0B" w:rsidRPr="00252762"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71E20710" w14:textId="77777777" w:rsidR="00CE6E0B" w:rsidRPr="00DF1D8A" w:rsidRDefault="00CE6E0B"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CE6E0B" w:rsidRPr="00211D55" w14:paraId="12EBF7B4" w14:textId="77777777" w:rsidTr="00BB3820">
        <w:trPr>
          <w:trHeight w:val="645"/>
        </w:trPr>
        <w:tc>
          <w:tcPr>
            <w:tcW w:w="1118" w:type="pct"/>
            <w:shd w:val="clear" w:color="auto" w:fill="C6D9F1"/>
            <w:noWrap/>
            <w:vAlign w:val="center"/>
            <w:hideMark/>
          </w:tcPr>
          <w:p w14:paraId="0735E1CF" w14:textId="77777777" w:rsidR="00CE6E0B" w:rsidRPr="00211D55" w:rsidRDefault="00CE6E0B"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39247261"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4644C536"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574E7784"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784BE70E"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CE6E0B" w:rsidRPr="00211D55" w14:paraId="65AB05B3" w14:textId="77777777" w:rsidTr="00BB3820">
        <w:trPr>
          <w:trHeight w:val="70"/>
        </w:trPr>
        <w:tc>
          <w:tcPr>
            <w:tcW w:w="1118" w:type="pct"/>
            <w:shd w:val="clear" w:color="auto" w:fill="auto"/>
            <w:noWrap/>
            <w:vAlign w:val="center"/>
            <w:hideMark/>
          </w:tcPr>
          <w:p w14:paraId="018A725C"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3751EF37" w14:textId="77777777" w:rsidR="00CE6E0B" w:rsidRPr="0085606F" w:rsidRDefault="00CE6E0B" w:rsidP="0031289D">
            <w:pPr>
              <w:jc w:val="center"/>
              <w:rPr>
                <w:rFonts w:ascii="Arabic Typesetting" w:hAnsi="Arabic Typesetting" w:cs="Arabic Typesetting"/>
                <w:color w:val="000000"/>
                <w:sz w:val="28"/>
                <w:szCs w:val="28"/>
              </w:rPr>
            </w:pPr>
            <w:r w:rsidRPr="0085606F">
              <w:rPr>
                <w:rFonts w:ascii="Arabic Typesetting" w:hAnsi="Arabic Typesetting" w:cs="Arabic Typesetting"/>
                <w:color w:val="000000"/>
                <w:sz w:val="28"/>
                <w:szCs w:val="28"/>
              </w:rPr>
              <w:t>8</w:t>
            </w:r>
            <w:r>
              <w:rPr>
                <w:rFonts w:ascii="Arabic Typesetting" w:hAnsi="Arabic Typesetting" w:cs="Arabic Typesetting"/>
                <w:color w:val="000000"/>
                <w:sz w:val="28"/>
                <w:szCs w:val="28"/>
              </w:rPr>
              <w:t> </w:t>
            </w:r>
            <w:r w:rsidRPr="0085606F">
              <w:rPr>
                <w:rFonts w:ascii="Arabic Typesetting" w:hAnsi="Arabic Typesetting" w:cs="Arabic Typesetting"/>
                <w:color w:val="000000"/>
                <w:sz w:val="28"/>
                <w:szCs w:val="28"/>
              </w:rPr>
              <w:t xml:space="preserve">357 </w:t>
            </w:r>
          </w:p>
        </w:tc>
        <w:tc>
          <w:tcPr>
            <w:tcW w:w="971" w:type="pct"/>
            <w:shd w:val="clear" w:color="auto" w:fill="auto"/>
            <w:vAlign w:val="center"/>
          </w:tcPr>
          <w:p w14:paraId="5D52E8DF" w14:textId="77777777" w:rsidR="00CE6E0B" w:rsidRPr="0085606F" w:rsidRDefault="00CE6E0B" w:rsidP="0031289D">
            <w:pPr>
              <w:jc w:val="center"/>
              <w:rPr>
                <w:rFonts w:ascii="Arabic Typesetting" w:hAnsi="Arabic Typesetting" w:cs="Arabic Typesetting"/>
                <w:color w:val="000000"/>
                <w:sz w:val="28"/>
                <w:szCs w:val="28"/>
              </w:rPr>
            </w:pPr>
            <w:r w:rsidRPr="0085606F">
              <w:rPr>
                <w:rFonts w:ascii="Arabic Typesetting" w:hAnsi="Arabic Typesetting" w:cs="Arabic Typesetting"/>
                <w:color w:val="000000"/>
                <w:sz w:val="28"/>
                <w:szCs w:val="28"/>
              </w:rPr>
              <w:t>8</w:t>
            </w:r>
            <w:r>
              <w:rPr>
                <w:rFonts w:ascii="Arabic Typesetting" w:hAnsi="Arabic Typesetting" w:cs="Arabic Typesetting"/>
                <w:color w:val="000000"/>
                <w:sz w:val="28"/>
                <w:szCs w:val="28"/>
              </w:rPr>
              <w:t> </w:t>
            </w:r>
            <w:r w:rsidRPr="0085606F">
              <w:rPr>
                <w:rFonts w:ascii="Arabic Typesetting" w:hAnsi="Arabic Typesetting" w:cs="Arabic Typesetting"/>
                <w:color w:val="000000"/>
                <w:sz w:val="28"/>
                <w:szCs w:val="28"/>
              </w:rPr>
              <w:t xml:space="preserve">400 </w:t>
            </w:r>
          </w:p>
        </w:tc>
        <w:tc>
          <w:tcPr>
            <w:tcW w:w="970" w:type="pct"/>
            <w:shd w:val="clear" w:color="auto" w:fill="auto"/>
            <w:vAlign w:val="center"/>
          </w:tcPr>
          <w:p w14:paraId="50BC9AC9" w14:textId="77777777" w:rsidR="00CE6E0B" w:rsidRPr="0085606F" w:rsidRDefault="00CE6E0B" w:rsidP="0031289D">
            <w:pPr>
              <w:jc w:val="center"/>
              <w:rPr>
                <w:rFonts w:ascii="Arabic Typesetting" w:hAnsi="Arabic Typesetting" w:cs="Arabic Typesetting"/>
                <w:color w:val="000000"/>
                <w:sz w:val="28"/>
                <w:szCs w:val="28"/>
              </w:rPr>
            </w:pPr>
            <w:r w:rsidRPr="0085606F">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85606F">
              <w:rPr>
                <w:rFonts w:ascii="Arabic Typesetting" w:hAnsi="Arabic Typesetting" w:cs="Arabic Typesetting"/>
                <w:color w:val="000000"/>
                <w:sz w:val="28"/>
                <w:szCs w:val="28"/>
              </w:rPr>
              <w:t xml:space="preserve">914 </w:t>
            </w:r>
          </w:p>
        </w:tc>
        <w:tc>
          <w:tcPr>
            <w:tcW w:w="970" w:type="pct"/>
            <w:shd w:val="clear" w:color="auto" w:fill="auto"/>
            <w:vAlign w:val="center"/>
          </w:tcPr>
          <w:p w14:paraId="6E8B00CF" w14:textId="77777777" w:rsidR="00CE6E0B" w:rsidRPr="0085606F" w:rsidRDefault="00CE6E0B"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%47</w:t>
            </w:r>
          </w:p>
        </w:tc>
      </w:tr>
      <w:tr w:rsidR="00CE6E0B" w:rsidRPr="00211D55" w14:paraId="2BBF233C" w14:textId="77777777" w:rsidTr="00BB3820">
        <w:trPr>
          <w:trHeight w:val="70"/>
        </w:trPr>
        <w:tc>
          <w:tcPr>
            <w:tcW w:w="1118" w:type="pct"/>
            <w:shd w:val="clear" w:color="auto" w:fill="auto"/>
            <w:noWrap/>
            <w:vAlign w:val="center"/>
            <w:hideMark/>
          </w:tcPr>
          <w:p w14:paraId="6D0691A5"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300E5D2E" w14:textId="77777777" w:rsidR="00CE6E0B" w:rsidRPr="0085606F" w:rsidRDefault="00CE6E0B" w:rsidP="0031289D">
            <w:pPr>
              <w:jc w:val="center"/>
              <w:rPr>
                <w:rFonts w:ascii="Arabic Typesetting" w:hAnsi="Arabic Typesetting" w:cs="Arabic Typesetting"/>
                <w:color w:val="000000"/>
                <w:sz w:val="28"/>
                <w:szCs w:val="28"/>
              </w:rPr>
            </w:pPr>
            <w:r w:rsidRPr="0085606F">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85606F">
              <w:rPr>
                <w:rFonts w:ascii="Arabic Typesetting" w:hAnsi="Arabic Typesetting" w:cs="Arabic Typesetting"/>
                <w:color w:val="000000"/>
                <w:sz w:val="28"/>
                <w:szCs w:val="28"/>
              </w:rPr>
              <w:t xml:space="preserve">002 </w:t>
            </w:r>
          </w:p>
        </w:tc>
        <w:tc>
          <w:tcPr>
            <w:tcW w:w="971" w:type="pct"/>
            <w:shd w:val="clear" w:color="auto" w:fill="auto"/>
            <w:vAlign w:val="center"/>
          </w:tcPr>
          <w:p w14:paraId="32197977" w14:textId="77777777" w:rsidR="00CE6E0B" w:rsidRPr="0085606F" w:rsidRDefault="00CE6E0B" w:rsidP="0031289D">
            <w:pPr>
              <w:jc w:val="center"/>
              <w:rPr>
                <w:rFonts w:ascii="Arabic Typesetting" w:hAnsi="Arabic Typesetting" w:cs="Arabic Typesetting"/>
                <w:color w:val="000000"/>
                <w:sz w:val="28"/>
                <w:szCs w:val="28"/>
              </w:rPr>
            </w:pPr>
            <w:r w:rsidRPr="0085606F">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85606F">
              <w:rPr>
                <w:rFonts w:ascii="Arabic Typesetting" w:hAnsi="Arabic Typesetting" w:cs="Arabic Typesetting"/>
                <w:color w:val="000000"/>
                <w:sz w:val="28"/>
                <w:szCs w:val="28"/>
              </w:rPr>
              <w:t xml:space="preserve">939 </w:t>
            </w:r>
          </w:p>
        </w:tc>
        <w:tc>
          <w:tcPr>
            <w:tcW w:w="970" w:type="pct"/>
            <w:shd w:val="clear" w:color="auto" w:fill="auto"/>
            <w:vAlign w:val="center"/>
          </w:tcPr>
          <w:p w14:paraId="16559636" w14:textId="77777777" w:rsidR="00CE6E0B" w:rsidRPr="0085606F" w:rsidRDefault="00CE6E0B" w:rsidP="0031289D">
            <w:pPr>
              <w:jc w:val="center"/>
              <w:rPr>
                <w:rFonts w:ascii="Arabic Typesetting" w:hAnsi="Arabic Typesetting" w:cs="Arabic Typesetting"/>
                <w:color w:val="000000"/>
                <w:sz w:val="28"/>
                <w:szCs w:val="28"/>
              </w:rPr>
            </w:pPr>
            <w:r w:rsidRPr="0085606F">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85606F">
              <w:rPr>
                <w:rFonts w:ascii="Arabic Typesetting" w:hAnsi="Arabic Typesetting" w:cs="Arabic Typesetting"/>
                <w:color w:val="000000"/>
                <w:sz w:val="28"/>
                <w:szCs w:val="28"/>
              </w:rPr>
              <w:t xml:space="preserve">163 </w:t>
            </w:r>
          </w:p>
        </w:tc>
        <w:tc>
          <w:tcPr>
            <w:tcW w:w="970" w:type="pct"/>
            <w:shd w:val="clear" w:color="auto" w:fill="auto"/>
            <w:vAlign w:val="center"/>
          </w:tcPr>
          <w:p w14:paraId="6C705022" w14:textId="77777777" w:rsidR="00CE6E0B" w:rsidRPr="0085606F" w:rsidRDefault="00CE6E0B"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%40</w:t>
            </w:r>
          </w:p>
        </w:tc>
      </w:tr>
      <w:tr w:rsidR="00CE6E0B" w:rsidRPr="00211D55" w14:paraId="59761325" w14:textId="77777777" w:rsidTr="00AF6433">
        <w:trPr>
          <w:trHeight w:val="70"/>
        </w:trPr>
        <w:tc>
          <w:tcPr>
            <w:tcW w:w="1118" w:type="pct"/>
            <w:shd w:val="clear" w:color="auto" w:fill="C6D9F1"/>
            <w:noWrap/>
            <w:vAlign w:val="center"/>
            <w:hideMark/>
          </w:tcPr>
          <w:p w14:paraId="5EB78A70" w14:textId="77777777" w:rsidR="00CE6E0B" w:rsidRPr="00211D55" w:rsidRDefault="00CE6E0B"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4246DC21" w14:textId="77777777" w:rsidR="00CE6E0B" w:rsidRPr="0085606F" w:rsidRDefault="00CE6E0B" w:rsidP="0031289D">
            <w:pPr>
              <w:jc w:val="center"/>
              <w:rPr>
                <w:rFonts w:ascii="Arabic Typesetting" w:hAnsi="Arabic Typesetting" w:cs="Arabic Typesetting"/>
                <w:b/>
                <w:bCs/>
                <w:color w:val="000000"/>
                <w:sz w:val="28"/>
                <w:szCs w:val="28"/>
              </w:rPr>
            </w:pPr>
            <w:r w:rsidRPr="0085606F">
              <w:rPr>
                <w:rFonts w:ascii="Arabic Typesetting" w:hAnsi="Arabic Typesetting" w:cs="Arabic Typesetting"/>
                <w:b/>
                <w:bCs/>
                <w:color w:val="000000"/>
                <w:sz w:val="28"/>
                <w:szCs w:val="28"/>
              </w:rPr>
              <w:t>11</w:t>
            </w:r>
            <w:r>
              <w:rPr>
                <w:rFonts w:ascii="Arabic Typesetting" w:hAnsi="Arabic Typesetting" w:cs="Arabic Typesetting"/>
                <w:b/>
                <w:bCs/>
                <w:color w:val="000000"/>
                <w:sz w:val="28"/>
                <w:szCs w:val="28"/>
              </w:rPr>
              <w:t> </w:t>
            </w:r>
            <w:r w:rsidRPr="0085606F">
              <w:rPr>
                <w:rFonts w:ascii="Arabic Typesetting" w:hAnsi="Arabic Typesetting" w:cs="Arabic Typesetting"/>
                <w:b/>
                <w:bCs/>
                <w:color w:val="000000"/>
                <w:sz w:val="28"/>
                <w:szCs w:val="28"/>
              </w:rPr>
              <w:t xml:space="preserve">358 </w:t>
            </w:r>
          </w:p>
        </w:tc>
        <w:tc>
          <w:tcPr>
            <w:tcW w:w="971" w:type="pct"/>
            <w:shd w:val="clear" w:color="auto" w:fill="C6D9F1"/>
            <w:vAlign w:val="center"/>
          </w:tcPr>
          <w:p w14:paraId="3377B7FA" w14:textId="77777777" w:rsidR="00CE6E0B" w:rsidRPr="0085606F" w:rsidRDefault="00CE6E0B" w:rsidP="0031289D">
            <w:pPr>
              <w:jc w:val="center"/>
              <w:rPr>
                <w:rFonts w:ascii="Arabic Typesetting" w:hAnsi="Arabic Typesetting" w:cs="Arabic Typesetting"/>
                <w:b/>
                <w:bCs/>
                <w:color w:val="000000"/>
                <w:sz w:val="28"/>
                <w:szCs w:val="28"/>
              </w:rPr>
            </w:pPr>
            <w:r w:rsidRPr="0085606F">
              <w:rPr>
                <w:rFonts w:ascii="Arabic Typesetting" w:hAnsi="Arabic Typesetting" w:cs="Arabic Typesetting"/>
                <w:b/>
                <w:bCs/>
                <w:color w:val="000000"/>
                <w:sz w:val="28"/>
                <w:szCs w:val="28"/>
              </w:rPr>
              <w:t>11</w:t>
            </w:r>
            <w:r>
              <w:rPr>
                <w:rFonts w:ascii="Arabic Typesetting" w:hAnsi="Arabic Typesetting" w:cs="Arabic Typesetting"/>
                <w:b/>
                <w:bCs/>
                <w:color w:val="000000"/>
                <w:sz w:val="28"/>
                <w:szCs w:val="28"/>
              </w:rPr>
              <w:t> </w:t>
            </w:r>
            <w:r w:rsidRPr="0085606F">
              <w:rPr>
                <w:rFonts w:ascii="Arabic Typesetting" w:hAnsi="Arabic Typesetting" w:cs="Arabic Typesetting"/>
                <w:b/>
                <w:bCs/>
                <w:color w:val="000000"/>
                <w:sz w:val="28"/>
                <w:szCs w:val="28"/>
              </w:rPr>
              <w:t xml:space="preserve">338 </w:t>
            </w:r>
          </w:p>
        </w:tc>
        <w:tc>
          <w:tcPr>
            <w:tcW w:w="970" w:type="pct"/>
            <w:shd w:val="clear" w:color="auto" w:fill="C6D9F1"/>
            <w:vAlign w:val="center"/>
          </w:tcPr>
          <w:p w14:paraId="12D9D16F" w14:textId="77777777" w:rsidR="00CE6E0B" w:rsidRPr="0085606F" w:rsidRDefault="00CE6E0B" w:rsidP="0031289D">
            <w:pPr>
              <w:jc w:val="center"/>
              <w:rPr>
                <w:rFonts w:ascii="Arabic Typesetting" w:hAnsi="Arabic Typesetting" w:cs="Arabic Typesetting"/>
                <w:b/>
                <w:bCs/>
                <w:color w:val="000000"/>
                <w:sz w:val="28"/>
                <w:szCs w:val="28"/>
              </w:rPr>
            </w:pPr>
            <w:r w:rsidRPr="0085606F">
              <w:rPr>
                <w:rFonts w:ascii="Arabic Typesetting" w:hAnsi="Arabic Typesetting" w:cs="Arabic Typesetting"/>
                <w:b/>
                <w:bCs/>
                <w:color w:val="000000"/>
                <w:sz w:val="28"/>
                <w:szCs w:val="28"/>
              </w:rPr>
              <w:t>5</w:t>
            </w:r>
            <w:r>
              <w:rPr>
                <w:rFonts w:ascii="Arabic Typesetting" w:hAnsi="Arabic Typesetting" w:cs="Arabic Typesetting"/>
                <w:b/>
                <w:bCs/>
                <w:color w:val="000000"/>
                <w:sz w:val="28"/>
                <w:szCs w:val="28"/>
              </w:rPr>
              <w:t> </w:t>
            </w:r>
            <w:r w:rsidRPr="0085606F">
              <w:rPr>
                <w:rFonts w:ascii="Arabic Typesetting" w:hAnsi="Arabic Typesetting" w:cs="Arabic Typesetting"/>
                <w:b/>
                <w:bCs/>
                <w:color w:val="000000"/>
                <w:sz w:val="28"/>
                <w:szCs w:val="28"/>
              </w:rPr>
              <w:t xml:space="preserve">077 </w:t>
            </w:r>
          </w:p>
        </w:tc>
        <w:tc>
          <w:tcPr>
            <w:tcW w:w="970" w:type="pct"/>
            <w:shd w:val="clear" w:color="auto" w:fill="C6D9F1"/>
            <w:vAlign w:val="center"/>
          </w:tcPr>
          <w:p w14:paraId="49443A1C" w14:textId="77777777" w:rsidR="00CE6E0B" w:rsidRPr="0085606F" w:rsidRDefault="00CE6E0B" w:rsidP="0031289D">
            <w:pPr>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%45</w:t>
            </w:r>
          </w:p>
        </w:tc>
      </w:tr>
      <w:tr w:rsidR="00CE6E0B" w:rsidRPr="00211D55" w14:paraId="5F2DBC42" w14:textId="77777777" w:rsidTr="00BB3820">
        <w:trPr>
          <w:trHeight w:val="540"/>
        </w:trPr>
        <w:tc>
          <w:tcPr>
            <w:tcW w:w="5000" w:type="pct"/>
            <w:gridSpan w:val="5"/>
            <w:shd w:val="clear" w:color="auto" w:fill="auto"/>
            <w:noWrap/>
            <w:vAlign w:val="center"/>
          </w:tcPr>
          <w:p w14:paraId="21C95D84" w14:textId="77777777" w:rsidR="00CE6E0B" w:rsidRDefault="00CE6E0B"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45155A15" w14:textId="77777777" w:rsidR="00CE6E0B" w:rsidRPr="00D41845" w:rsidRDefault="00CE6E0B"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 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789C07A4" w14:textId="77777777" w:rsidR="00CE6E0B" w:rsidRPr="00706F20" w:rsidRDefault="00CE6E0B"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14DE0C5A" w14:textId="77777777" w:rsidR="00CE6E0B" w:rsidRDefault="00CE6E0B" w:rsidP="00D94CDB">
      <w:pPr>
        <w:numPr>
          <w:ilvl w:val="1"/>
          <w:numId w:val="76"/>
        </w:numPr>
        <w:bidi/>
        <w:spacing w:after="240" w:line="360" w:lineRule="exact"/>
        <w:ind w:left="0" w:firstLine="0"/>
        <w:rPr>
          <w:rFonts w:ascii="Arabic Typesetting" w:hAnsi="Arabic Typesetting" w:cs="Arabic Typesetting"/>
          <w:sz w:val="34"/>
          <w:szCs w:val="34"/>
        </w:rPr>
      </w:pPr>
      <w:r w:rsidRPr="00ED0C4E">
        <w:rPr>
          <w:rFonts w:ascii="Arabic Typesetting" w:hAnsi="Arabic Typesetting" w:cs="Arabic Typesetting"/>
          <w:sz w:val="34"/>
          <w:szCs w:val="34"/>
          <w:rtl/>
        </w:rPr>
        <w:t>تعزى الزيادة الصافية الطفيفة في موارد الموظفين مقارنة بالميزانية المعتمدة 2016/17 أساساً إلى تسوية وظيفتين مستمرتين وإعادة توزيع وفورات الموظفين المتراكمة من الب</w:t>
      </w:r>
      <w:r>
        <w:rPr>
          <w:rFonts w:ascii="Arabic Typesetting" w:hAnsi="Arabic Typesetting" w:cs="Arabic Typesetting"/>
          <w:sz w:val="34"/>
          <w:szCs w:val="34"/>
          <w:rtl/>
        </w:rPr>
        <w:t>رنامج على أولويات تنظيمية أخرى.</w:t>
      </w:r>
      <w:r w:rsidRPr="00ED0C4E">
        <w:rPr>
          <w:rFonts w:ascii="Arabic Typesetting" w:hAnsi="Arabic Typesetting" w:cs="Arabic Typesetting"/>
          <w:sz w:val="34"/>
          <w:szCs w:val="34"/>
          <w:rtl/>
        </w:rPr>
        <w:t xml:space="preserve"> ويعزى الانخفاض الطفيف في خلاف موارد الموظفين إلى تحويل موارد للمتدربين إلى إدارة الموارد البشرية (البرنامج 23) التي تتولى الإدارة المركزية للمتدربين وإلى نظام معاهدة التعاون بشأن البراءات (البرنامج 5) لتغطية شراء استثنائي لأثاث ومعدات.</w:t>
      </w:r>
    </w:p>
    <w:p w14:paraId="258C9038" w14:textId="77777777" w:rsidR="00CE6E0B" w:rsidRPr="00706F20" w:rsidRDefault="00CE6E0B"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1A89D85C" w14:textId="77777777" w:rsidR="00E335D4" w:rsidRDefault="00CE6E0B" w:rsidP="0031289D">
      <w:pPr>
        <w:numPr>
          <w:ilvl w:val="1"/>
          <w:numId w:val="76"/>
        </w:numPr>
        <w:bidi/>
        <w:spacing w:after="240" w:line="360" w:lineRule="exact"/>
        <w:ind w:left="0" w:firstLine="0"/>
        <w:rPr>
          <w:rFonts w:ascii="Arabic Typesetting" w:hAnsi="Arabic Typesetting" w:cs="Arabic Typesetting"/>
          <w:sz w:val="34"/>
          <w:szCs w:val="34"/>
        </w:rPr>
      </w:pPr>
      <w:r w:rsidRPr="00E335D4">
        <w:rPr>
          <w:rFonts w:ascii="Arabic Typesetting" w:hAnsi="Arabic Typesetting" w:cs="Arabic Typesetting"/>
          <w:sz w:val="34"/>
          <w:szCs w:val="34"/>
          <w:rtl/>
        </w:rPr>
        <w:t>كانت نسبة استخدام الميزانية ضمن النطاق المتوقع المتراوح بين 40 و60 بالمئة للسنة الأولى من الثنائية.</w:t>
      </w:r>
    </w:p>
    <w:p w14:paraId="48596D84" w14:textId="353E00BD" w:rsidR="00CE6E0B" w:rsidRPr="00E335D4" w:rsidRDefault="00CE6E0B" w:rsidP="00E335D4">
      <w:pPr>
        <w:numPr>
          <w:ilvl w:val="1"/>
          <w:numId w:val="76"/>
        </w:numPr>
        <w:bidi/>
        <w:spacing w:after="240" w:line="360" w:lineRule="exact"/>
        <w:ind w:left="0" w:firstLine="0"/>
        <w:rPr>
          <w:rFonts w:ascii="Arabic Typesetting" w:hAnsi="Arabic Typesetting" w:cs="Arabic Typesetting"/>
          <w:sz w:val="34"/>
          <w:szCs w:val="34"/>
          <w:rtl/>
        </w:rPr>
      </w:pPr>
      <w:r w:rsidRPr="00E335D4">
        <w:rPr>
          <w:rFonts w:ascii="Arabic Typesetting" w:hAnsi="Arabic Typesetting" w:cs="Arabic Typesetting"/>
          <w:sz w:val="34"/>
          <w:szCs w:val="34"/>
          <w:rtl/>
        </w:rPr>
        <w:br w:type="page"/>
      </w:r>
    </w:p>
    <w:p w14:paraId="58C35CA3" w14:textId="77777777" w:rsidR="006A7C4F" w:rsidRDefault="006A7C4F" w:rsidP="006A7C4F">
      <w:pPr>
        <w:pStyle w:val="Heading3"/>
        <w:pageBreakBefore w:val="0"/>
        <w:spacing w:after="240"/>
        <w:ind w:left="1134" w:hanging="1134"/>
        <w:jc w:val="center"/>
        <w:rPr>
          <w:rtl/>
          <w:lang w:bidi="ar-EG"/>
        </w:rPr>
      </w:pPr>
      <w:bookmarkStart w:id="26" w:name="_Toc482782753"/>
      <w:r>
        <w:rPr>
          <w:rtl/>
        </w:rPr>
        <w:lastRenderedPageBreak/>
        <w:t xml:space="preserve">الهدف الاستراتيجي </w:t>
      </w:r>
      <w:r>
        <w:rPr>
          <w:rFonts w:hint="cs"/>
          <w:rtl/>
          <w:lang w:bidi="ar-EG"/>
        </w:rPr>
        <w:t>الثالث</w:t>
      </w:r>
      <w:bookmarkEnd w:id="26"/>
    </w:p>
    <w:p w14:paraId="59C5BFB7" w14:textId="77777777" w:rsidR="006A7C4F" w:rsidRPr="00B54D74" w:rsidRDefault="006A7C4F" w:rsidP="006A7C4F">
      <w:pPr>
        <w:pStyle w:val="NormalParaAR"/>
        <w:jc w:val="center"/>
        <w:rPr>
          <w:b/>
          <w:bCs/>
          <w:rtl/>
        </w:rPr>
      </w:pPr>
      <w:r w:rsidRPr="004B40B5">
        <w:rPr>
          <w:b/>
          <w:bCs/>
          <w:rtl/>
        </w:rPr>
        <w:t>تسهيل الانتفاع</w:t>
      </w:r>
      <w:r>
        <w:rPr>
          <w:rFonts w:hint="cs"/>
          <w:b/>
          <w:bCs/>
          <w:rtl/>
        </w:rPr>
        <w:t xml:space="preserve"> </w:t>
      </w:r>
      <w:r w:rsidRPr="004B40B5">
        <w:rPr>
          <w:b/>
          <w:bCs/>
          <w:rtl/>
        </w:rPr>
        <w:t>بالملكية الفكرية في سبيل التنمية</w:t>
      </w:r>
    </w:p>
    <w:p w14:paraId="1258BBE8" w14:textId="77777777" w:rsidR="006A7C4F" w:rsidRPr="00B54D74" w:rsidRDefault="006A7C4F" w:rsidP="006A7C4F">
      <w:pPr>
        <w:pStyle w:val="NormalParaAR"/>
        <w:jc w:val="center"/>
        <w:rPr>
          <w:b/>
          <w:bCs/>
          <w:rtl/>
        </w:rPr>
      </w:pPr>
      <w:r w:rsidRPr="00B54D74">
        <w:rPr>
          <w:b/>
          <w:bCs/>
          <w:rtl/>
        </w:rPr>
        <w:t>لوحة بيانات الأداء في منتصف المدة (</w:t>
      </w:r>
      <w:r>
        <w:rPr>
          <w:rFonts w:hint="cs"/>
          <w:b/>
          <w:bCs/>
          <w:rtl/>
        </w:rPr>
        <w:t>2016</w:t>
      </w:r>
      <w:r w:rsidRPr="00B54D74">
        <w:rPr>
          <w:b/>
          <w:bCs/>
          <w:rtl/>
        </w:rPr>
        <w:t>)</w:t>
      </w:r>
    </w:p>
    <w:p w14:paraId="712D6063" w14:textId="77777777" w:rsidR="006A7C4F" w:rsidRDefault="006A7C4F" w:rsidP="006A7C4F">
      <w:pPr>
        <w:pStyle w:val="NormalParaAR"/>
        <w:rPr>
          <w:rtl/>
        </w:rPr>
      </w:pPr>
      <w:r>
        <w:rPr>
          <w:rtl/>
        </w:rPr>
        <w:t xml:space="preserve">توجز لوحة البيانات </w:t>
      </w:r>
      <w:r>
        <w:rPr>
          <w:rFonts w:hint="cs"/>
          <w:rtl/>
        </w:rPr>
        <w:t xml:space="preserve">التالية </w:t>
      </w:r>
      <w:r>
        <w:rPr>
          <w:rtl/>
        </w:rPr>
        <w:t xml:space="preserve">التقدم المحرز </w:t>
      </w:r>
      <w:r>
        <w:rPr>
          <w:rFonts w:hint="cs"/>
          <w:rtl/>
        </w:rPr>
        <w:t>نحو</w:t>
      </w:r>
      <w:r>
        <w:rPr>
          <w:rtl/>
        </w:rPr>
        <w:t xml:space="preserve"> تحقيق النتائج</w:t>
      </w:r>
      <w:r>
        <w:rPr>
          <w:rFonts w:hint="cs"/>
          <w:rtl/>
        </w:rPr>
        <w:t xml:space="preserve"> المرتقبة</w:t>
      </w:r>
      <w:r>
        <w:rPr>
          <w:rtl/>
        </w:rPr>
        <w:t xml:space="preserve"> في عام </w:t>
      </w:r>
      <w:r>
        <w:rPr>
          <w:rFonts w:hint="cs"/>
          <w:rtl/>
        </w:rPr>
        <w:t>2016</w:t>
      </w:r>
      <w:r>
        <w:rPr>
          <w:rtl/>
        </w:rPr>
        <w:t xml:space="preserve"> قياسا</w:t>
      </w:r>
      <w:r>
        <w:rPr>
          <w:rFonts w:hint="cs"/>
          <w:rtl/>
        </w:rPr>
        <w:t>ً</w:t>
      </w:r>
      <w:r>
        <w:rPr>
          <w:rtl/>
        </w:rPr>
        <w:t xml:space="preserve"> بمؤشرات الأداء </w:t>
      </w:r>
      <w:r>
        <w:rPr>
          <w:rFonts w:hint="cs"/>
          <w:rtl/>
        </w:rPr>
        <w:t>في إطار</w:t>
      </w:r>
      <w:r>
        <w:rPr>
          <w:rtl/>
        </w:rPr>
        <w:t xml:space="preserve"> البرامج التي تس</w:t>
      </w:r>
      <w:r>
        <w:rPr>
          <w:rFonts w:hint="cs"/>
          <w:rtl/>
        </w:rPr>
        <w:t>ا</w:t>
      </w:r>
      <w:r>
        <w:rPr>
          <w:rtl/>
        </w:rPr>
        <w:t>هم في تحقيق هذا الهدف الاستراتيجي</w:t>
      </w:r>
      <w:r>
        <w:rPr>
          <w:rFonts w:hint="cs"/>
          <w:rtl/>
        </w:rPr>
        <w:t>.</w:t>
      </w:r>
    </w:p>
    <w:p w14:paraId="74D79D23" w14:textId="13D03EC3" w:rsidR="006A7C4F" w:rsidRDefault="007B75FB" w:rsidP="006A7C4F">
      <w:pPr>
        <w:pStyle w:val="NormalParaAR"/>
        <w:spacing w:line="240" w:lineRule="auto"/>
        <w:jc w:val="center"/>
      </w:pPr>
      <w:r>
        <w:rPr>
          <w:noProof/>
        </w:rPr>
        <w:drawing>
          <wp:inline distT="0" distB="0" distL="0" distR="0" wp14:anchorId="0DFE6A2A" wp14:editId="07F683CB">
            <wp:extent cx="3577718" cy="21600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9216" w:type="dxa"/>
        <w:tblInd w:w="108" w:type="dxa"/>
        <w:tblLayout w:type="fixed"/>
        <w:tblLook w:val="0000" w:firstRow="0" w:lastRow="0" w:firstColumn="0" w:lastColumn="0" w:noHBand="0" w:noVBand="0"/>
      </w:tblPr>
      <w:tblGrid>
        <w:gridCol w:w="2722"/>
        <w:gridCol w:w="3858"/>
        <w:gridCol w:w="1587"/>
        <w:gridCol w:w="1049"/>
      </w:tblGrid>
      <w:tr w:rsidR="006A7C4F" w:rsidRPr="00884EE4" w14:paraId="7B350913" w14:textId="77777777" w:rsidTr="006E24D8">
        <w:trPr>
          <w:cantSplit/>
          <w:tblHeader/>
        </w:trPr>
        <w:tc>
          <w:tcPr>
            <w:tcW w:w="1477" w:type="pct"/>
            <w:shd w:val="clear" w:color="auto" w:fill="B8CCE4" w:themeFill="accent1" w:themeFillTint="66"/>
            <w:tcMar>
              <w:top w:w="113" w:type="dxa"/>
              <w:bottom w:w="57" w:type="dxa"/>
            </w:tcMar>
            <w:vAlign w:val="center"/>
          </w:tcPr>
          <w:p w14:paraId="35EA0C1A" w14:textId="77777777" w:rsidR="006A7C4F" w:rsidRPr="00884EE4" w:rsidRDefault="006A7C4F" w:rsidP="006E24D8">
            <w:pPr>
              <w:bidi/>
              <w:spacing w:before="120" w:after="120" w:line="280" w:lineRule="exact"/>
              <w:jc w:val="center"/>
              <w:rPr>
                <w:rFonts w:ascii="Arabic Typesetting" w:eastAsia="Arabic Typesetting" w:hAnsi="Arabic Typesetting" w:cs="Arabic Typesetting"/>
                <w:bCs/>
                <w:sz w:val="28"/>
                <w:szCs w:val="28"/>
                <w:lang w:eastAsia="ar-EG" w:bidi="ar-EG"/>
              </w:rPr>
            </w:pPr>
            <w:r w:rsidRPr="00884EE4">
              <w:rPr>
                <w:rFonts w:ascii="Arabic Typesetting" w:eastAsia="Arabic Typesetting" w:hAnsi="Arabic Typesetting" w:cs="Arabic Typesetting"/>
                <w:bCs/>
                <w:sz w:val="28"/>
                <w:szCs w:val="28"/>
                <w:rtl/>
                <w:lang w:eastAsia="ar-EG" w:bidi="ar-EG"/>
              </w:rPr>
              <w:t>النتائج المرتقبة</w:t>
            </w:r>
          </w:p>
        </w:tc>
        <w:tc>
          <w:tcPr>
            <w:tcW w:w="2093" w:type="pct"/>
            <w:shd w:val="clear" w:color="auto" w:fill="B8CCE4" w:themeFill="accent1" w:themeFillTint="66"/>
            <w:tcMar>
              <w:top w:w="113" w:type="dxa"/>
              <w:bottom w:w="57" w:type="dxa"/>
            </w:tcMar>
            <w:vAlign w:val="center"/>
          </w:tcPr>
          <w:p w14:paraId="6EDF087A" w14:textId="77777777" w:rsidR="006A7C4F" w:rsidRPr="00884EE4" w:rsidRDefault="006A7C4F" w:rsidP="006E24D8">
            <w:pPr>
              <w:bidi/>
              <w:spacing w:before="120" w:after="120" w:line="280" w:lineRule="exact"/>
              <w:jc w:val="center"/>
              <w:rPr>
                <w:rFonts w:ascii="Arabic Typesetting" w:eastAsia="Arabic Typesetting" w:hAnsi="Arabic Typesetting" w:cs="Arabic Typesetting"/>
                <w:bCs/>
                <w:sz w:val="28"/>
                <w:szCs w:val="28"/>
                <w:lang w:eastAsia="ar-EG" w:bidi="ar-EG"/>
              </w:rPr>
            </w:pPr>
            <w:r w:rsidRPr="00884EE4">
              <w:rPr>
                <w:rFonts w:ascii="Arabic Typesetting" w:eastAsia="Arabic Typesetting" w:hAnsi="Arabic Typesetting" w:cs="Arabic Typesetting"/>
                <w:bCs/>
                <w:sz w:val="28"/>
                <w:szCs w:val="28"/>
                <w:rtl/>
                <w:lang w:eastAsia="ar-EG" w:bidi="ar-EG"/>
              </w:rPr>
              <w:t>مؤشرات الأداء</w:t>
            </w:r>
          </w:p>
        </w:tc>
        <w:tc>
          <w:tcPr>
            <w:tcW w:w="861" w:type="pct"/>
            <w:shd w:val="clear" w:color="auto" w:fill="B8CCE4" w:themeFill="accent1" w:themeFillTint="66"/>
            <w:tcMar>
              <w:top w:w="113" w:type="dxa"/>
              <w:bottom w:w="57" w:type="dxa"/>
            </w:tcMar>
            <w:vAlign w:val="center"/>
          </w:tcPr>
          <w:p w14:paraId="7D5511A6" w14:textId="77777777" w:rsidR="006A7C4F" w:rsidRPr="00884EE4" w:rsidRDefault="006A7C4F" w:rsidP="006E24D8">
            <w:pPr>
              <w:bidi/>
              <w:spacing w:before="120" w:after="120" w:line="280" w:lineRule="exact"/>
              <w:jc w:val="center"/>
              <w:rPr>
                <w:rFonts w:ascii="Arabic Typesetting" w:eastAsia="Arabic Typesetting" w:hAnsi="Arabic Typesetting" w:cs="Arabic Typesetting"/>
                <w:bCs/>
                <w:sz w:val="28"/>
                <w:szCs w:val="28"/>
                <w:lang w:eastAsia="ar-EG" w:bidi="ar-EG"/>
              </w:rPr>
            </w:pPr>
            <w:r w:rsidRPr="00884EE4">
              <w:rPr>
                <w:rFonts w:ascii="Arabic Typesetting" w:eastAsia="Arabic Typesetting" w:hAnsi="Arabic Typesetting" w:cs="Arabic Typesetting"/>
                <w:bCs/>
                <w:sz w:val="28"/>
                <w:szCs w:val="28"/>
                <w:rtl/>
                <w:lang w:eastAsia="ar-EG" w:bidi="ar-EG"/>
              </w:rPr>
              <w:t>البرامج المسؤولة</w:t>
            </w:r>
          </w:p>
        </w:tc>
        <w:tc>
          <w:tcPr>
            <w:tcW w:w="569" w:type="pct"/>
            <w:shd w:val="clear" w:color="auto" w:fill="B8CCE4" w:themeFill="accent1" w:themeFillTint="66"/>
            <w:vAlign w:val="center"/>
          </w:tcPr>
          <w:p w14:paraId="43930BB5" w14:textId="77777777" w:rsidR="006A7C4F" w:rsidRPr="00884EE4" w:rsidRDefault="006A7C4F" w:rsidP="006E24D8">
            <w:pPr>
              <w:bidi/>
              <w:spacing w:before="120" w:after="120" w:line="280" w:lineRule="exact"/>
              <w:ind w:left="85"/>
              <w:rPr>
                <w:rFonts w:ascii="Arabic Typesetting" w:eastAsia="Arabic Typesetting" w:hAnsi="Arabic Typesetting" w:cs="Arabic Typesetting"/>
                <w:bCs/>
                <w:sz w:val="28"/>
                <w:szCs w:val="28"/>
                <w:lang w:eastAsia="ar-EG" w:bidi="ar-EG"/>
              </w:rPr>
            </w:pPr>
            <w:r w:rsidRPr="00884EE4">
              <w:rPr>
                <w:rFonts w:ascii="Arabic Typesetting" w:eastAsia="Arabic Typesetting" w:hAnsi="Arabic Typesetting" w:cs="Arabic Typesetting"/>
                <w:bCs/>
                <w:sz w:val="28"/>
                <w:szCs w:val="28"/>
                <w:rtl/>
                <w:lang w:eastAsia="ar-EG" w:bidi="ar-EG"/>
              </w:rPr>
              <w:t>السير</w:t>
            </w:r>
          </w:p>
        </w:tc>
      </w:tr>
      <w:tr w:rsidR="006A7C4F" w:rsidRPr="00884EE4" w14:paraId="61BE7ED9" w14:textId="77777777" w:rsidTr="006E24D8">
        <w:trPr>
          <w:cantSplit/>
        </w:trPr>
        <w:tc>
          <w:tcPr>
            <w:tcW w:w="1477" w:type="pct"/>
            <w:vMerge w:val="restart"/>
            <w:shd w:val="clear" w:color="auto" w:fill="auto"/>
            <w:tcMar>
              <w:top w:w="113" w:type="dxa"/>
              <w:bottom w:w="57" w:type="dxa"/>
            </w:tcMar>
          </w:tcPr>
          <w:p w14:paraId="3CAA1470" w14:textId="4D147FB5"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ه1.3 استراتيجيات وخطط وطنية في مجالي الابتكار والملكية الفكرية تتماشى مع الأهداف الإنمائية الوطنية</w:t>
            </w:r>
          </w:p>
        </w:tc>
        <w:tc>
          <w:tcPr>
            <w:tcW w:w="2093" w:type="pct"/>
            <w:shd w:val="clear" w:color="auto" w:fill="auto"/>
            <w:tcMar>
              <w:top w:w="113" w:type="dxa"/>
              <w:bottom w:w="57" w:type="dxa"/>
            </w:tcMar>
          </w:tcPr>
          <w:p w14:paraId="63DEF429"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البلدان في طور صياغة استراتيجيات وطنية للملكية الفكرية</w:t>
            </w:r>
          </w:p>
        </w:tc>
        <w:tc>
          <w:tcPr>
            <w:tcW w:w="861" w:type="pct"/>
            <w:shd w:val="clear" w:color="auto" w:fill="FFFFFF"/>
            <w:tcMar>
              <w:top w:w="113" w:type="dxa"/>
              <w:bottom w:w="57" w:type="dxa"/>
            </w:tcMar>
          </w:tcPr>
          <w:p w14:paraId="7B49C32D"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sz w:val="28"/>
                <w:szCs w:val="28"/>
                <w:rtl/>
              </w:rPr>
              <w:t>البرنامج 9</w:t>
            </w:r>
          </w:p>
          <w:p w14:paraId="57D17FF8"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sz w:val="28"/>
                <w:szCs w:val="28"/>
                <w:rtl/>
              </w:rPr>
              <w:t>البرنامج 10</w:t>
            </w:r>
          </w:p>
        </w:tc>
        <w:tc>
          <w:tcPr>
            <w:tcW w:w="569" w:type="pct"/>
            <w:shd w:val="clear" w:color="auto" w:fill="FFFFFF"/>
          </w:tcPr>
          <w:p w14:paraId="1B273938" w14:textId="77777777" w:rsidR="006A7C4F" w:rsidRPr="00884EE4" w:rsidRDefault="006A7C4F" w:rsidP="006E24D8">
            <w:pPr>
              <w:bidi/>
              <w:spacing w:before="120" w:after="120" w:line="280" w:lineRule="exact"/>
              <w:jc w:val="center"/>
              <w:rPr>
                <w:rFonts w:ascii="Arabic Typesetting" w:hAnsi="Arabic Typesetting" w:cs="Arabic Typesetting"/>
                <w:color w:val="00B050"/>
                <w:sz w:val="28"/>
                <w:szCs w:val="28"/>
              </w:rPr>
            </w:pP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00B050"/>
                <w:sz w:val="28"/>
                <w:szCs w:val="28"/>
              </w:rPr>
              <w:sym w:font="Wingdings" w:char="F06C"/>
            </w:r>
          </w:p>
          <w:p w14:paraId="4ACAD0F1"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00B050"/>
                <w:sz w:val="28"/>
                <w:szCs w:val="28"/>
              </w:rPr>
              <w:sym w:font="Wingdings" w:char="F06C"/>
            </w:r>
          </w:p>
        </w:tc>
      </w:tr>
      <w:tr w:rsidR="006A7C4F" w:rsidRPr="00884EE4" w14:paraId="729AF13F" w14:textId="77777777" w:rsidTr="006E24D8">
        <w:trPr>
          <w:cantSplit/>
          <w:trHeight w:val="538"/>
        </w:trPr>
        <w:tc>
          <w:tcPr>
            <w:tcW w:w="1477" w:type="pct"/>
            <w:vMerge/>
            <w:shd w:val="clear" w:color="auto" w:fill="auto"/>
            <w:tcMar>
              <w:top w:w="113" w:type="dxa"/>
              <w:bottom w:w="57" w:type="dxa"/>
            </w:tcMar>
          </w:tcPr>
          <w:p w14:paraId="641527BE"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1AA286DB"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البلدان في مرحلة تنفيذ استراتيجيات وطنية للابتكار والملكية الفكرية وخطط وطنية لتنمية الملكية الفكرية</w:t>
            </w:r>
          </w:p>
        </w:tc>
        <w:tc>
          <w:tcPr>
            <w:tcW w:w="861" w:type="pct"/>
            <w:shd w:val="clear" w:color="auto" w:fill="FFFFFF"/>
            <w:tcMar>
              <w:top w:w="113" w:type="dxa"/>
              <w:bottom w:w="57" w:type="dxa"/>
            </w:tcMar>
          </w:tcPr>
          <w:p w14:paraId="681C4970"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9</w:t>
            </w:r>
          </w:p>
        </w:tc>
        <w:tc>
          <w:tcPr>
            <w:tcW w:w="569" w:type="pct"/>
            <w:shd w:val="clear" w:color="auto" w:fill="FFFFFF"/>
          </w:tcPr>
          <w:p w14:paraId="203A2B46" w14:textId="77777777" w:rsidR="006A7C4F" w:rsidRPr="00884EE4" w:rsidRDefault="006A7C4F" w:rsidP="006E24D8">
            <w:pPr>
              <w:bidi/>
              <w:spacing w:before="120" w:after="120" w:line="280" w:lineRule="exact"/>
              <w:jc w:val="center"/>
              <w:rPr>
                <w:rFonts w:ascii="Arabic Typesetting" w:hAnsi="Arabic Typesetting" w:cs="Arabic Typesetting"/>
                <w:color w:val="A6A6A6" w:themeColor="background1" w:themeShade="A6"/>
                <w:sz w:val="28"/>
                <w:szCs w:val="28"/>
              </w:rPr>
            </w:pP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FF0000"/>
                <w:sz w:val="28"/>
                <w:szCs w:val="28"/>
              </w:rPr>
              <w:sym w:font="Wingdings" w:char="F06C"/>
            </w: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00B050"/>
                <w:sz w:val="28"/>
                <w:szCs w:val="28"/>
              </w:rPr>
              <w:sym w:font="Wingdings" w:char="F06C"/>
            </w:r>
          </w:p>
        </w:tc>
      </w:tr>
      <w:tr w:rsidR="006A7C4F" w:rsidRPr="00884EE4" w14:paraId="3C1B6C6E" w14:textId="77777777" w:rsidTr="006E24D8">
        <w:trPr>
          <w:cantSplit/>
          <w:trHeight w:val="381"/>
        </w:trPr>
        <w:tc>
          <w:tcPr>
            <w:tcW w:w="1477" w:type="pct"/>
            <w:vMerge/>
            <w:shd w:val="clear" w:color="auto" w:fill="auto"/>
            <w:tcMar>
              <w:top w:w="113" w:type="dxa"/>
              <w:bottom w:w="57" w:type="dxa"/>
            </w:tcMar>
          </w:tcPr>
          <w:p w14:paraId="3D25EF67"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735E2373"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البلدان التي اعتمدت استراتيجيات وطنية للابتكار والملكية الفكرية</w:t>
            </w:r>
          </w:p>
        </w:tc>
        <w:tc>
          <w:tcPr>
            <w:tcW w:w="861" w:type="pct"/>
            <w:shd w:val="clear" w:color="auto" w:fill="FFFFFF"/>
            <w:tcMar>
              <w:top w:w="113" w:type="dxa"/>
              <w:bottom w:w="57" w:type="dxa"/>
            </w:tcMar>
          </w:tcPr>
          <w:p w14:paraId="7D82D53B"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sz w:val="28"/>
                <w:szCs w:val="28"/>
                <w:rtl/>
              </w:rPr>
              <w:t>البرنامج 9</w:t>
            </w:r>
          </w:p>
        </w:tc>
        <w:tc>
          <w:tcPr>
            <w:tcW w:w="569" w:type="pct"/>
            <w:shd w:val="clear" w:color="auto" w:fill="FFFFFF"/>
          </w:tcPr>
          <w:p w14:paraId="1F3B2C33"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FF0000"/>
                <w:sz w:val="28"/>
                <w:szCs w:val="28"/>
              </w:rPr>
              <w:sym w:font="Wingdings" w:char="F06C"/>
            </w:r>
            <w:r w:rsidRPr="00884EE4">
              <w:rPr>
                <w:rFonts w:ascii="Arabic Typesetting" w:hAnsi="Arabic Typesetting" w:cs="Arabic Typesetting"/>
                <w:color w:val="FF0000"/>
                <w:sz w:val="28"/>
                <w:szCs w:val="28"/>
              </w:rPr>
              <w:sym w:font="Wingdings" w:char="F06C"/>
            </w:r>
            <w:r w:rsidRPr="00884EE4">
              <w:rPr>
                <w:rFonts w:ascii="Arabic Typesetting" w:hAnsi="Arabic Typesetting" w:cs="Arabic Typesetting"/>
                <w:color w:val="00B050"/>
                <w:sz w:val="28"/>
                <w:szCs w:val="28"/>
              </w:rPr>
              <w:sym w:font="Wingdings" w:char="F06C"/>
            </w:r>
          </w:p>
        </w:tc>
      </w:tr>
      <w:tr w:rsidR="006A7C4F" w:rsidRPr="00884EE4" w14:paraId="23B321BB" w14:textId="77777777" w:rsidTr="006E24D8">
        <w:trPr>
          <w:cantSplit/>
          <w:trHeight w:val="532"/>
        </w:trPr>
        <w:tc>
          <w:tcPr>
            <w:tcW w:w="1477" w:type="pct"/>
            <w:vMerge/>
            <w:shd w:val="clear" w:color="auto" w:fill="auto"/>
            <w:tcMar>
              <w:top w:w="113" w:type="dxa"/>
              <w:bottom w:w="57" w:type="dxa"/>
            </w:tcMar>
          </w:tcPr>
          <w:p w14:paraId="031B91E1"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53B81704"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البلدان التي وضعت استراتيجيات أو خطط وطنية للملكية الفكرية متوافقة مع الأهداف الإنمائية الوطنية</w:t>
            </w:r>
          </w:p>
        </w:tc>
        <w:tc>
          <w:tcPr>
            <w:tcW w:w="861" w:type="pct"/>
            <w:shd w:val="clear" w:color="auto" w:fill="FFFFFF"/>
            <w:tcMar>
              <w:top w:w="113" w:type="dxa"/>
              <w:bottom w:w="57" w:type="dxa"/>
            </w:tcMar>
          </w:tcPr>
          <w:p w14:paraId="5857C9B9"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sz w:val="28"/>
                <w:szCs w:val="28"/>
                <w:rtl/>
              </w:rPr>
              <w:t>البرنامج 10</w:t>
            </w:r>
          </w:p>
        </w:tc>
        <w:tc>
          <w:tcPr>
            <w:tcW w:w="569" w:type="pct"/>
            <w:shd w:val="clear" w:color="auto" w:fill="FFFFFF"/>
          </w:tcPr>
          <w:p w14:paraId="3AE2A3CF"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FF0000"/>
                <w:sz w:val="28"/>
                <w:szCs w:val="28"/>
              </w:rPr>
              <w:sym w:font="Wingdings" w:char="F06C"/>
            </w:r>
          </w:p>
        </w:tc>
      </w:tr>
      <w:tr w:rsidR="006A7C4F" w:rsidRPr="00884EE4" w14:paraId="117379AC" w14:textId="77777777" w:rsidTr="006E24D8">
        <w:trPr>
          <w:cantSplit/>
          <w:trHeight w:val="226"/>
        </w:trPr>
        <w:tc>
          <w:tcPr>
            <w:tcW w:w="1477" w:type="pct"/>
            <w:vMerge/>
            <w:shd w:val="clear" w:color="auto" w:fill="auto"/>
            <w:tcMar>
              <w:top w:w="113" w:type="dxa"/>
              <w:bottom w:w="57" w:type="dxa"/>
            </w:tcMar>
          </w:tcPr>
          <w:p w14:paraId="2A21BB22"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6B14C3AB"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استراتيجيات الملكية الفكرية الوطنية التي تتناول تعزيز الإبداع، بما في ذلك الابتكار</w:t>
            </w:r>
          </w:p>
        </w:tc>
        <w:tc>
          <w:tcPr>
            <w:tcW w:w="861" w:type="pct"/>
            <w:shd w:val="clear" w:color="auto" w:fill="FFFFFF"/>
            <w:tcMar>
              <w:top w:w="113" w:type="dxa"/>
              <w:bottom w:w="57" w:type="dxa"/>
            </w:tcMar>
          </w:tcPr>
          <w:p w14:paraId="16A3596E"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30</w:t>
            </w:r>
          </w:p>
        </w:tc>
        <w:tc>
          <w:tcPr>
            <w:tcW w:w="569" w:type="pct"/>
            <w:shd w:val="clear" w:color="auto" w:fill="FFFFFF"/>
          </w:tcPr>
          <w:p w14:paraId="13AA906E"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FF0000"/>
                <w:sz w:val="28"/>
                <w:szCs w:val="28"/>
              </w:rPr>
              <w:sym w:font="Wingdings" w:char="F06C"/>
            </w:r>
          </w:p>
        </w:tc>
      </w:tr>
      <w:tr w:rsidR="006A7C4F" w:rsidRPr="00884EE4" w14:paraId="1E3D0FE6" w14:textId="77777777" w:rsidTr="006E24D8">
        <w:trPr>
          <w:cantSplit/>
          <w:trHeight w:val="562"/>
        </w:trPr>
        <w:tc>
          <w:tcPr>
            <w:tcW w:w="1477" w:type="pct"/>
            <w:vMerge w:val="restart"/>
            <w:shd w:val="clear" w:color="auto" w:fill="auto"/>
            <w:tcMar>
              <w:top w:w="113" w:type="dxa"/>
              <w:bottom w:w="57" w:type="dxa"/>
            </w:tcMar>
          </w:tcPr>
          <w:p w14:paraId="160F6752" w14:textId="77777777" w:rsidR="006A7C4F" w:rsidRPr="00884EE4" w:rsidRDefault="006A7C4F" w:rsidP="006E24D8">
            <w:pPr>
              <w:keepNext/>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lastRenderedPageBreak/>
              <w:t>‏ه</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cs/>
                <w:lang w:eastAsia="ar-EG" w:bidi="ar-EG"/>
              </w:rPr>
              <w:t>2.3</w:t>
            </w:r>
            <w:r w:rsidRPr="00884EE4">
              <w:rPr>
                <w:rFonts w:ascii="Arabic Typesetting" w:eastAsia="Arabic Typesetting" w:hAnsi="Arabic Typesetting" w:cs="Arabic Typesetting"/>
                <w:color w:val="000000"/>
                <w:sz w:val="28"/>
                <w:szCs w:val="28"/>
                <w:rtl/>
                <w:lang w:eastAsia="ar-EG" w:bidi="ar-EG"/>
              </w:rPr>
              <w:t>‏ كفاءات</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‏معزَّزة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‏للموارد</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‏البشرية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‏القادرة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‏على</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‏تلبية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‏تشكيلة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‏واسعة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‏من</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‏المتطلبات</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‏لتسخير</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‏الملكية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‏الفكرية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‏بفعالية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‏لأغراض</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‏التنمية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‏في</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‏البلدان</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‏النامية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‏والبلدان</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‏الأقل</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‏نموا</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‏والبلدان</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‏المنتقلة</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‏إلى</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‏نظام الاقتصاد</w:t>
            </w:r>
            <w:r w:rsidRPr="00884EE4">
              <w:rPr>
                <w:rFonts w:ascii="Arabic Typesetting" w:eastAsia="Arabic Typesetting" w:hAnsi="Arabic Typesetting" w:cs="Arabic Typesetting"/>
                <w:color w:val="000000"/>
                <w:sz w:val="28"/>
                <w:szCs w:val="28"/>
                <w:cs/>
                <w:lang w:eastAsia="ar-EG" w:bidi="ar-EG"/>
              </w:rPr>
              <w:t>‎</w:t>
            </w:r>
            <w:r w:rsidRPr="00884EE4">
              <w:rPr>
                <w:rFonts w:ascii="Arabic Typesetting" w:eastAsia="Arabic Typesetting" w:hAnsi="Arabic Typesetting" w:cs="Arabic Typesetting"/>
                <w:color w:val="000000"/>
                <w:sz w:val="28"/>
                <w:szCs w:val="28"/>
                <w:rtl/>
                <w:lang w:eastAsia="ar-EG" w:bidi="ar-EG"/>
              </w:rPr>
              <w:t xml:space="preserve"> ‏الحر</w:t>
            </w:r>
          </w:p>
        </w:tc>
        <w:tc>
          <w:tcPr>
            <w:tcW w:w="2093" w:type="pct"/>
            <w:shd w:val="clear" w:color="auto" w:fill="auto"/>
            <w:tcMar>
              <w:top w:w="113" w:type="dxa"/>
              <w:bottom w:w="57" w:type="dxa"/>
            </w:tcMar>
          </w:tcPr>
          <w:p w14:paraId="67FB723A" w14:textId="77777777" w:rsidR="006A7C4F" w:rsidRPr="00884EE4" w:rsidRDefault="006A7C4F" w:rsidP="006E24D8">
            <w:pPr>
              <w:keepNext/>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للمشاركين في حلقات عمل تكوين الكفاءات المتعلقة بحق المؤلف الذين أبلغوا عن الانتفاع العملي بالمعارف بعد تسعة أشهر من حلقة العمل</w:t>
            </w:r>
          </w:p>
        </w:tc>
        <w:tc>
          <w:tcPr>
            <w:tcW w:w="861" w:type="pct"/>
            <w:shd w:val="clear" w:color="auto" w:fill="FFFFFF"/>
            <w:tcMar>
              <w:top w:w="113" w:type="dxa"/>
              <w:bottom w:w="57" w:type="dxa"/>
            </w:tcMar>
          </w:tcPr>
          <w:p w14:paraId="345A192D" w14:textId="77777777" w:rsidR="006A7C4F" w:rsidRPr="00884EE4" w:rsidRDefault="006A7C4F" w:rsidP="006E24D8">
            <w:pPr>
              <w:keepNext/>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w:t>
            </w:r>
          </w:p>
        </w:tc>
        <w:tc>
          <w:tcPr>
            <w:tcW w:w="569" w:type="pct"/>
            <w:shd w:val="clear" w:color="auto" w:fill="FFFFFF"/>
          </w:tcPr>
          <w:p w14:paraId="7F84A1B8" w14:textId="77777777" w:rsidR="006A7C4F" w:rsidRPr="00884EE4" w:rsidRDefault="006A7C4F" w:rsidP="006E24D8">
            <w:pPr>
              <w:keepNext/>
              <w:bidi/>
              <w:spacing w:before="120" w:after="120" w:line="280" w:lineRule="exact"/>
              <w:jc w:val="center"/>
              <w:rPr>
                <w:rFonts w:ascii="Arabic Typesetting" w:hAnsi="Arabic Typesetting" w:cs="Arabic Typesetting"/>
                <w:color w:val="008000"/>
                <w:sz w:val="28"/>
                <w:szCs w:val="28"/>
              </w:rPr>
            </w:pPr>
            <w:r w:rsidRPr="00884EE4">
              <w:rPr>
                <w:rFonts w:ascii="Arabic Typesetting" w:hAnsi="Arabic Typesetting" w:cs="Arabic Typesetting"/>
                <w:color w:val="00B050"/>
                <w:sz w:val="28"/>
                <w:szCs w:val="28"/>
              </w:rPr>
              <w:sym w:font="Wingdings" w:char="F06C"/>
            </w:r>
          </w:p>
        </w:tc>
      </w:tr>
      <w:tr w:rsidR="006A7C4F" w:rsidRPr="00884EE4" w14:paraId="1DA8FD23" w14:textId="77777777" w:rsidTr="006E24D8">
        <w:trPr>
          <w:cantSplit/>
          <w:trHeight w:val="545"/>
        </w:trPr>
        <w:tc>
          <w:tcPr>
            <w:tcW w:w="1477" w:type="pct"/>
            <w:vMerge/>
            <w:shd w:val="clear" w:color="auto" w:fill="auto"/>
            <w:tcMar>
              <w:top w:w="113" w:type="dxa"/>
              <w:bottom w:w="57" w:type="dxa"/>
            </w:tcMar>
          </w:tcPr>
          <w:p w14:paraId="2797AE5E" w14:textId="77777777" w:rsidR="006A7C4F" w:rsidRPr="00884EE4" w:rsidRDefault="006A7C4F" w:rsidP="006E24D8">
            <w:pPr>
              <w:keepNext/>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01090E64" w14:textId="77777777" w:rsidR="006A7C4F" w:rsidRPr="00884EE4" w:rsidRDefault="006A7C4F" w:rsidP="006E24D8">
            <w:pPr>
              <w:keepNext/>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لتقييم المشاركين الإيجابي لجدوى الاجتماعات وحلقات العمل الخاصة بتكوين الكفاءات في مجال حق المؤلف والحقوق المجاورة</w:t>
            </w:r>
          </w:p>
        </w:tc>
        <w:tc>
          <w:tcPr>
            <w:tcW w:w="861" w:type="pct"/>
            <w:shd w:val="clear" w:color="auto" w:fill="FFFFFF"/>
            <w:tcMar>
              <w:top w:w="113" w:type="dxa"/>
              <w:bottom w:w="57" w:type="dxa"/>
            </w:tcMar>
          </w:tcPr>
          <w:p w14:paraId="5379B552" w14:textId="77777777" w:rsidR="006A7C4F" w:rsidRPr="00884EE4" w:rsidRDefault="006A7C4F" w:rsidP="006E24D8">
            <w:pPr>
              <w:keepNext/>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w:t>
            </w:r>
          </w:p>
        </w:tc>
        <w:tc>
          <w:tcPr>
            <w:tcW w:w="569" w:type="pct"/>
            <w:shd w:val="clear" w:color="auto" w:fill="FFFFFF"/>
          </w:tcPr>
          <w:p w14:paraId="7F2DDDF5" w14:textId="77777777" w:rsidR="006A7C4F" w:rsidRPr="00884EE4" w:rsidRDefault="006A7C4F" w:rsidP="006E24D8">
            <w:pPr>
              <w:keepNext/>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00B050"/>
                <w:sz w:val="28"/>
                <w:szCs w:val="28"/>
              </w:rPr>
              <w:sym w:font="Wingdings" w:char="F06C"/>
            </w:r>
          </w:p>
        </w:tc>
      </w:tr>
      <w:tr w:rsidR="006A7C4F" w:rsidRPr="00884EE4" w14:paraId="6FA03AC6" w14:textId="77777777" w:rsidTr="006E24D8">
        <w:trPr>
          <w:cantSplit/>
          <w:trHeight w:val="257"/>
        </w:trPr>
        <w:tc>
          <w:tcPr>
            <w:tcW w:w="1477" w:type="pct"/>
            <w:vMerge/>
            <w:shd w:val="clear" w:color="auto" w:fill="auto"/>
            <w:tcMar>
              <w:top w:w="113" w:type="dxa"/>
              <w:bottom w:w="57" w:type="dxa"/>
            </w:tcMar>
          </w:tcPr>
          <w:p w14:paraId="7703E83A"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6BF0E1F8"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للمشاركين الذين يقدمون تقارير إيجابية عن برامج تكوين كفاءات الإدارة الجماعية</w:t>
            </w:r>
          </w:p>
        </w:tc>
        <w:tc>
          <w:tcPr>
            <w:tcW w:w="861" w:type="pct"/>
            <w:shd w:val="clear" w:color="auto" w:fill="FFFFFF"/>
            <w:tcMar>
              <w:top w:w="113" w:type="dxa"/>
              <w:bottom w:w="57" w:type="dxa"/>
            </w:tcMar>
          </w:tcPr>
          <w:p w14:paraId="1319CC53"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w:t>
            </w:r>
          </w:p>
        </w:tc>
        <w:tc>
          <w:tcPr>
            <w:tcW w:w="569" w:type="pct"/>
            <w:shd w:val="clear" w:color="auto" w:fill="FFFFFF"/>
          </w:tcPr>
          <w:p w14:paraId="5FC04EE9"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00B050"/>
                <w:sz w:val="28"/>
                <w:szCs w:val="28"/>
              </w:rPr>
              <w:sym w:font="Wingdings" w:char="F06C"/>
            </w:r>
          </w:p>
        </w:tc>
      </w:tr>
      <w:tr w:rsidR="006A7C4F" w:rsidRPr="00884EE4" w14:paraId="1A0CE893" w14:textId="77777777" w:rsidTr="006E24D8">
        <w:trPr>
          <w:cantSplit/>
          <w:trHeight w:val="563"/>
        </w:trPr>
        <w:tc>
          <w:tcPr>
            <w:tcW w:w="1477" w:type="pct"/>
            <w:vMerge/>
            <w:shd w:val="clear" w:color="auto" w:fill="auto"/>
            <w:tcMar>
              <w:top w:w="113" w:type="dxa"/>
              <w:bottom w:w="57" w:type="dxa"/>
            </w:tcMar>
          </w:tcPr>
          <w:p w14:paraId="70FBC0FA"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05272B30"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للمشاركين الذين يتمتعون بمعارف ومهارات مُحسَّنة في تنفيذ أنشطة تدريبية في بلدانهم</w:t>
            </w:r>
          </w:p>
        </w:tc>
        <w:tc>
          <w:tcPr>
            <w:tcW w:w="861" w:type="pct"/>
            <w:shd w:val="clear" w:color="auto" w:fill="FFFFFF"/>
            <w:tcMar>
              <w:top w:w="113" w:type="dxa"/>
              <w:bottom w:w="57" w:type="dxa"/>
            </w:tcMar>
          </w:tcPr>
          <w:p w14:paraId="4AB0875C"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w:t>
            </w:r>
          </w:p>
        </w:tc>
        <w:tc>
          <w:tcPr>
            <w:tcW w:w="569" w:type="pct"/>
            <w:shd w:val="clear" w:color="auto" w:fill="FFFFFF"/>
          </w:tcPr>
          <w:p w14:paraId="7145B3BA"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00B050"/>
                <w:sz w:val="28"/>
                <w:szCs w:val="28"/>
              </w:rPr>
              <w:sym w:font="Wingdings" w:char="F06C"/>
            </w:r>
          </w:p>
        </w:tc>
      </w:tr>
      <w:tr w:rsidR="006A7C4F" w:rsidRPr="00884EE4" w14:paraId="65921F6E" w14:textId="77777777" w:rsidTr="006E24D8">
        <w:trPr>
          <w:cantSplit/>
          <w:trHeight w:val="389"/>
        </w:trPr>
        <w:tc>
          <w:tcPr>
            <w:tcW w:w="1477" w:type="pct"/>
            <w:vMerge/>
            <w:shd w:val="clear" w:color="auto" w:fill="auto"/>
            <w:tcMar>
              <w:top w:w="113" w:type="dxa"/>
              <w:bottom w:w="57" w:type="dxa"/>
            </w:tcMar>
          </w:tcPr>
          <w:p w14:paraId="7C430892"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32ACB995"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الكتب المنشورة في أنساق مُيسَّرة المُعارة لأشخاص عاجزين عن قراءة المطبوعات</w:t>
            </w:r>
          </w:p>
        </w:tc>
        <w:tc>
          <w:tcPr>
            <w:tcW w:w="861" w:type="pct"/>
            <w:shd w:val="clear" w:color="auto" w:fill="FFFFFF"/>
            <w:tcMar>
              <w:top w:w="113" w:type="dxa"/>
              <w:bottom w:w="57" w:type="dxa"/>
            </w:tcMar>
          </w:tcPr>
          <w:p w14:paraId="27585C3A"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w:t>
            </w:r>
          </w:p>
        </w:tc>
        <w:tc>
          <w:tcPr>
            <w:tcW w:w="569" w:type="pct"/>
            <w:shd w:val="clear" w:color="auto" w:fill="FFFFFF"/>
          </w:tcPr>
          <w:p w14:paraId="03D6E169"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00B050"/>
                <w:sz w:val="28"/>
                <w:szCs w:val="28"/>
              </w:rPr>
              <w:sym w:font="Wingdings" w:char="F06C"/>
            </w:r>
          </w:p>
        </w:tc>
      </w:tr>
      <w:tr w:rsidR="006A7C4F" w:rsidRPr="00884EE4" w14:paraId="2B3808BF" w14:textId="77777777" w:rsidTr="006E24D8">
        <w:trPr>
          <w:cantSplit/>
          <w:trHeight w:val="203"/>
        </w:trPr>
        <w:tc>
          <w:tcPr>
            <w:tcW w:w="1477" w:type="pct"/>
            <w:vMerge/>
            <w:shd w:val="clear" w:color="auto" w:fill="auto"/>
            <w:tcMar>
              <w:top w:w="113" w:type="dxa"/>
              <w:bottom w:w="57" w:type="dxa"/>
            </w:tcMar>
          </w:tcPr>
          <w:p w14:paraId="31CCB832"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15C32BF6"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منظمات الإدارة الجماعية المتقدمة للحصول على اعتماد الشفافية والمساءلة وحسن الإدارة</w:t>
            </w:r>
          </w:p>
        </w:tc>
        <w:tc>
          <w:tcPr>
            <w:tcW w:w="861" w:type="pct"/>
            <w:shd w:val="clear" w:color="auto" w:fill="FFFFFF"/>
            <w:tcMar>
              <w:top w:w="113" w:type="dxa"/>
              <w:bottom w:w="57" w:type="dxa"/>
            </w:tcMar>
          </w:tcPr>
          <w:p w14:paraId="7B7A2F04"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w:t>
            </w:r>
          </w:p>
        </w:tc>
        <w:tc>
          <w:tcPr>
            <w:tcW w:w="569" w:type="pct"/>
            <w:shd w:val="clear" w:color="auto" w:fill="FFFFFF"/>
          </w:tcPr>
          <w:p w14:paraId="196AA491"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sz w:val="28"/>
                <w:szCs w:val="28"/>
              </w:rPr>
              <w:sym w:font="Wingdings" w:char="F06C"/>
            </w:r>
          </w:p>
        </w:tc>
      </w:tr>
      <w:tr w:rsidR="006A7C4F" w:rsidRPr="00884EE4" w14:paraId="427396E1" w14:textId="77777777" w:rsidTr="006E24D8">
        <w:trPr>
          <w:cantSplit/>
          <w:trHeight w:val="389"/>
        </w:trPr>
        <w:tc>
          <w:tcPr>
            <w:tcW w:w="1477" w:type="pct"/>
            <w:vMerge/>
            <w:shd w:val="clear" w:color="auto" w:fill="auto"/>
            <w:tcMar>
              <w:top w:w="113" w:type="dxa"/>
              <w:bottom w:w="57" w:type="dxa"/>
            </w:tcMar>
          </w:tcPr>
          <w:p w14:paraId="1FB45876"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0" w:type="dxa"/>
            </w:tcMar>
          </w:tcPr>
          <w:p w14:paraId="64B26EDF"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المكاتب الوطنية لحق المؤلف المشاركة بفعالية في العملية التشاورية بشأن الشفافية والمساءلة وحسن الإدارة (</w:t>
            </w:r>
            <w:r w:rsidRPr="00884EE4">
              <w:rPr>
                <w:rFonts w:ascii="Arabic Typesetting" w:eastAsia="Arabic Typesetting" w:hAnsi="Arabic Typesetting" w:cs="Arabic Typesetting"/>
                <w:color w:val="000000"/>
                <w:sz w:val="28"/>
                <w:szCs w:val="28"/>
                <w:lang w:eastAsia="ar-EG" w:bidi="ar-EG"/>
              </w:rPr>
              <w:t>TAG</w:t>
            </w:r>
            <w:r w:rsidRPr="00884EE4">
              <w:rPr>
                <w:rFonts w:ascii="Arabic Typesetting" w:eastAsia="Arabic Typesetting" w:hAnsi="Arabic Typesetting" w:cs="Arabic Typesetting"/>
                <w:color w:val="000000"/>
                <w:sz w:val="28"/>
                <w:szCs w:val="28"/>
                <w:rtl/>
                <w:lang w:eastAsia="ar-EG" w:bidi="ar-EG"/>
              </w:rPr>
              <w:t>)</w:t>
            </w:r>
          </w:p>
        </w:tc>
        <w:tc>
          <w:tcPr>
            <w:tcW w:w="861" w:type="pct"/>
            <w:shd w:val="clear" w:color="auto" w:fill="FFFFFF"/>
            <w:tcMar>
              <w:top w:w="113" w:type="dxa"/>
              <w:bottom w:w="57" w:type="dxa"/>
            </w:tcMar>
          </w:tcPr>
          <w:p w14:paraId="2C545035"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sz w:val="28"/>
                <w:szCs w:val="28"/>
                <w:rtl/>
              </w:rPr>
              <w:t>البرنامج 3</w:t>
            </w:r>
          </w:p>
        </w:tc>
        <w:tc>
          <w:tcPr>
            <w:tcW w:w="569" w:type="pct"/>
            <w:shd w:val="clear" w:color="auto" w:fill="FFFFFF"/>
          </w:tcPr>
          <w:p w14:paraId="3995CA03"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sz w:val="28"/>
                <w:szCs w:val="28"/>
              </w:rPr>
              <w:sym w:font="Wingdings" w:char="F06C"/>
            </w:r>
          </w:p>
        </w:tc>
      </w:tr>
      <w:tr w:rsidR="006A7C4F" w:rsidRPr="00884EE4" w14:paraId="6275CA5F" w14:textId="77777777" w:rsidTr="006E24D8">
        <w:trPr>
          <w:cantSplit/>
          <w:trHeight w:val="363"/>
        </w:trPr>
        <w:tc>
          <w:tcPr>
            <w:tcW w:w="1477" w:type="pct"/>
            <w:vMerge/>
            <w:shd w:val="clear" w:color="auto" w:fill="auto"/>
            <w:tcMar>
              <w:top w:w="113" w:type="dxa"/>
              <w:bottom w:w="57" w:type="dxa"/>
            </w:tcMar>
          </w:tcPr>
          <w:p w14:paraId="676FFBA5"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4E15D4D6"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الناشرين الموقعين على ميثاق نشر المطبوعات المُيسَّرة الخاص باتحاد الكتب المُيسَّرة ("الميثاق")</w:t>
            </w:r>
          </w:p>
        </w:tc>
        <w:tc>
          <w:tcPr>
            <w:tcW w:w="861" w:type="pct"/>
            <w:shd w:val="clear" w:color="auto" w:fill="FFFFFF"/>
            <w:tcMar>
              <w:top w:w="113" w:type="dxa"/>
              <w:bottom w:w="57" w:type="dxa"/>
            </w:tcMar>
          </w:tcPr>
          <w:p w14:paraId="36930529"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w:t>
            </w:r>
          </w:p>
        </w:tc>
        <w:tc>
          <w:tcPr>
            <w:tcW w:w="569" w:type="pct"/>
            <w:shd w:val="clear" w:color="auto" w:fill="FFFFFF"/>
          </w:tcPr>
          <w:p w14:paraId="4139D38E"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sz w:val="28"/>
                <w:szCs w:val="28"/>
              </w:rPr>
              <w:sym w:font="Wingdings" w:char="F06C"/>
            </w:r>
          </w:p>
        </w:tc>
      </w:tr>
      <w:tr w:rsidR="006A7C4F" w:rsidRPr="00884EE4" w14:paraId="450F597B" w14:textId="77777777" w:rsidTr="006E24D8">
        <w:trPr>
          <w:cantSplit/>
          <w:trHeight w:val="243"/>
        </w:trPr>
        <w:tc>
          <w:tcPr>
            <w:tcW w:w="1477" w:type="pct"/>
            <w:vMerge/>
            <w:shd w:val="clear" w:color="auto" w:fill="auto"/>
            <w:tcMar>
              <w:top w:w="113" w:type="dxa"/>
              <w:bottom w:w="57" w:type="dxa"/>
            </w:tcMar>
          </w:tcPr>
          <w:p w14:paraId="5BE18BE8"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76C1249C"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زيارات البوابة الإلكترونية الخاصة بالبنية التحتية لحق المؤلف</w:t>
            </w:r>
          </w:p>
        </w:tc>
        <w:tc>
          <w:tcPr>
            <w:tcW w:w="861" w:type="pct"/>
            <w:shd w:val="clear" w:color="auto" w:fill="FFFFFF"/>
            <w:tcMar>
              <w:top w:w="113" w:type="dxa"/>
              <w:bottom w:w="57" w:type="dxa"/>
            </w:tcMar>
          </w:tcPr>
          <w:p w14:paraId="6AA67300"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w:t>
            </w:r>
          </w:p>
        </w:tc>
        <w:tc>
          <w:tcPr>
            <w:tcW w:w="569" w:type="pct"/>
            <w:shd w:val="clear" w:color="auto" w:fill="FFFFFF"/>
          </w:tcPr>
          <w:p w14:paraId="0E96AA49"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0070C0"/>
                <w:sz w:val="28"/>
                <w:szCs w:val="28"/>
              </w:rPr>
              <w:sym w:font="Wingdings" w:char="F06C"/>
            </w:r>
          </w:p>
        </w:tc>
      </w:tr>
      <w:tr w:rsidR="006A7C4F" w:rsidRPr="00884EE4" w14:paraId="732100B3" w14:textId="77777777" w:rsidTr="006E24D8">
        <w:trPr>
          <w:cantSplit/>
          <w:trHeight w:val="604"/>
        </w:trPr>
        <w:tc>
          <w:tcPr>
            <w:tcW w:w="1477" w:type="pct"/>
            <w:vMerge/>
            <w:shd w:val="clear" w:color="auto" w:fill="auto"/>
            <w:tcMar>
              <w:top w:w="113" w:type="dxa"/>
              <w:bottom w:w="57" w:type="dxa"/>
            </w:tcMar>
          </w:tcPr>
          <w:p w14:paraId="78E8AEE7"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118AD15A"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hAnsi="Arabic Typesetting" w:cs="Arabic Typesetting"/>
                <w:sz w:val="28"/>
                <w:szCs w:val="28"/>
                <w:rtl/>
              </w:rPr>
              <w:t>نسبة المشاركين في أنشطة الويبو التي تسفر عن تقارير حول كفاءات معززة لفهم مبادئ وأنظمة وأدوات الملكية الفكرية والانتفاع بها من أجل حماية المعارف التقليدية وأشكال التعبير الثقافي التقليدي وإدارة العلاقة بين الملكية الفكرية والموارد الوراثية</w:t>
            </w:r>
          </w:p>
        </w:tc>
        <w:tc>
          <w:tcPr>
            <w:tcW w:w="861" w:type="pct"/>
            <w:shd w:val="clear" w:color="auto" w:fill="FFFFFF"/>
            <w:tcMar>
              <w:top w:w="113" w:type="dxa"/>
              <w:bottom w:w="57" w:type="dxa"/>
            </w:tcMar>
          </w:tcPr>
          <w:p w14:paraId="158E1FB9"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4</w:t>
            </w:r>
          </w:p>
        </w:tc>
        <w:tc>
          <w:tcPr>
            <w:tcW w:w="569" w:type="pct"/>
            <w:shd w:val="clear" w:color="auto" w:fill="FFFFFF"/>
          </w:tcPr>
          <w:p w14:paraId="0863AE43"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00B050"/>
                <w:sz w:val="28"/>
                <w:szCs w:val="28"/>
              </w:rPr>
              <w:sym w:font="Wingdings" w:char="F06C"/>
            </w:r>
          </w:p>
        </w:tc>
      </w:tr>
      <w:tr w:rsidR="006A7C4F" w:rsidRPr="00884EE4" w14:paraId="13AE1D67" w14:textId="77777777" w:rsidTr="006E24D8">
        <w:trPr>
          <w:cantSplit/>
          <w:trHeight w:val="535"/>
        </w:trPr>
        <w:tc>
          <w:tcPr>
            <w:tcW w:w="1477" w:type="pct"/>
            <w:vMerge/>
            <w:shd w:val="clear" w:color="auto" w:fill="auto"/>
            <w:tcMar>
              <w:top w:w="113" w:type="dxa"/>
              <w:bottom w:w="57" w:type="dxa"/>
            </w:tcMar>
          </w:tcPr>
          <w:p w14:paraId="5424D45A"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23F36E2B"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لخبراء الملكية الفكرية الوطنيين أو الإقليميين الذي يُستعان بهم باعتبارهم خبراء في تظاهرات الويبو</w:t>
            </w:r>
          </w:p>
        </w:tc>
        <w:tc>
          <w:tcPr>
            <w:tcW w:w="861" w:type="pct"/>
            <w:shd w:val="clear" w:color="auto" w:fill="FFFFFF"/>
            <w:tcMar>
              <w:top w:w="113" w:type="dxa"/>
              <w:bottom w:w="57" w:type="dxa"/>
            </w:tcMar>
          </w:tcPr>
          <w:p w14:paraId="4CD6298F"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9</w:t>
            </w:r>
          </w:p>
        </w:tc>
        <w:tc>
          <w:tcPr>
            <w:tcW w:w="569" w:type="pct"/>
            <w:shd w:val="clear" w:color="auto" w:fill="FFFFFF"/>
          </w:tcPr>
          <w:p w14:paraId="4F0526CB"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FF0000"/>
                <w:sz w:val="28"/>
                <w:szCs w:val="28"/>
              </w:rPr>
              <w:sym w:font="Wingdings" w:char="F06C"/>
            </w: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FF0000"/>
                <w:sz w:val="28"/>
                <w:szCs w:val="28"/>
              </w:rPr>
              <w:sym w:font="Wingdings" w:char="F06C"/>
            </w:r>
          </w:p>
        </w:tc>
      </w:tr>
      <w:tr w:rsidR="006A7C4F" w:rsidRPr="00884EE4" w14:paraId="5E2E7B9D" w14:textId="77777777" w:rsidTr="006E24D8">
        <w:trPr>
          <w:cantSplit/>
          <w:trHeight w:val="547"/>
        </w:trPr>
        <w:tc>
          <w:tcPr>
            <w:tcW w:w="1477" w:type="pct"/>
            <w:vMerge/>
            <w:shd w:val="clear" w:color="auto" w:fill="auto"/>
            <w:tcMar>
              <w:top w:w="113" w:type="dxa"/>
              <w:bottom w:w="57" w:type="dxa"/>
            </w:tcMar>
          </w:tcPr>
          <w:p w14:paraId="19AAC23A"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46E9DB53"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للمشاركين في تظاهرات الويبو الذين يعربون عن رضاهم عن المحتوى وعن تنظيم تلك التظاهرات</w:t>
            </w:r>
          </w:p>
        </w:tc>
        <w:tc>
          <w:tcPr>
            <w:tcW w:w="861" w:type="pct"/>
            <w:shd w:val="clear" w:color="auto" w:fill="FFFFFF"/>
            <w:tcMar>
              <w:top w:w="113" w:type="dxa"/>
              <w:bottom w:w="57" w:type="dxa"/>
            </w:tcMar>
          </w:tcPr>
          <w:p w14:paraId="148FD818"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9</w:t>
            </w:r>
          </w:p>
        </w:tc>
        <w:tc>
          <w:tcPr>
            <w:tcW w:w="569" w:type="pct"/>
            <w:shd w:val="clear" w:color="auto" w:fill="FFFFFF"/>
          </w:tcPr>
          <w:p w14:paraId="6D61DB7F"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808080"/>
                <w:sz w:val="28"/>
                <w:szCs w:val="28"/>
              </w:rPr>
              <w:sym w:font="Wingdings" w:char="F06C"/>
            </w:r>
            <w:r w:rsidRPr="00884EE4">
              <w:rPr>
                <w:rFonts w:ascii="Arabic Typesetting" w:hAnsi="Arabic Typesetting" w:cs="Arabic Typesetting"/>
                <w:color w:val="808080"/>
                <w:sz w:val="28"/>
                <w:szCs w:val="28"/>
              </w:rPr>
              <w:sym w:font="Wingdings" w:char="F06C"/>
            </w: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808080"/>
                <w:sz w:val="28"/>
                <w:szCs w:val="28"/>
              </w:rPr>
              <w:sym w:font="Wingdings" w:char="F06C"/>
            </w:r>
            <w:r w:rsidRPr="00884EE4">
              <w:rPr>
                <w:rFonts w:ascii="Arabic Typesetting" w:hAnsi="Arabic Typesetting" w:cs="Arabic Typesetting"/>
                <w:color w:val="00B050"/>
                <w:sz w:val="28"/>
                <w:szCs w:val="28"/>
              </w:rPr>
              <w:sym w:font="Wingdings" w:char="F06C"/>
            </w:r>
          </w:p>
        </w:tc>
      </w:tr>
      <w:tr w:rsidR="006A7C4F" w:rsidRPr="00884EE4" w14:paraId="1C981889" w14:textId="77777777" w:rsidTr="006E24D8">
        <w:trPr>
          <w:cantSplit/>
          <w:trHeight w:val="463"/>
        </w:trPr>
        <w:tc>
          <w:tcPr>
            <w:tcW w:w="1477" w:type="pct"/>
            <w:vMerge/>
            <w:shd w:val="clear" w:color="auto" w:fill="auto"/>
            <w:tcMar>
              <w:top w:w="113" w:type="dxa"/>
              <w:bottom w:w="57" w:type="dxa"/>
            </w:tcMar>
          </w:tcPr>
          <w:p w14:paraId="38492634"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694B6F81"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للمشاركين في حلقات عمل الويبو الذين يطبّقون المهارات المكتسبة في عملهم أو مؤسساتهم</w:t>
            </w:r>
          </w:p>
        </w:tc>
        <w:tc>
          <w:tcPr>
            <w:tcW w:w="861" w:type="pct"/>
            <w:shd w:val="clear" w:color="auto" w:fill="FFFFFF"/>
            <w:tcMar>
              <w:top w:w="113" w:type="dxa"/>
              <w:bottom w:w="57" w:type="dxa"/>
            </w:tcMar>
          </w:tcPr>
          <w:p w14:paraId="0E01A72B"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9</w:t>
            </w:r>
          </w:p>
        </w:tc>
        <w:tc>
          <w:tcPr>
            <w:tcW w:w="569" w:type="pct"/>
            <w:shd w:val="clear" w:color="auto" w:fill="FFFFFF"/>
          </w:tcPr>
          <w:p w14:paraId="7076E766"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808080"/>
                <w:sz w:val="28"/>
                <w:szCs w:val="28"/>
              </w:rPr>
              <w:sym w:font="Wingdings" w:char="F06C"/>
            </w:r>
            <w:r w:rsidRPr="00884EE4">
              <w:rPr>
                <w:rFonts w:ascii="Arabic Typesetting" w:hAnsi="Arabic Typesetting" w:cs="Arabic Typesetting"/>
                <w:color w:val="808080"/>
                <w:sz w:val="28"/>
                <w:szCs w:val="28"/>
              </w:rPr>
              <w:sym w:font="Wingdings" w:char="F06C"/>
            </w: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808080"/>
                <w:sz w:val="28"/>
                <w:szCs w:val="28"/>
              </w:rPr>
              <w:sym w:font="Wingdings" w:char="F06C"/>
            </w:r>
            <w:r w:rsidRPr="00884EE4">
              <w:rPr>
                <w:rFonts w:ascii="Arabic Typesetting" w:hAnsi="Arabic Typesetting" w:cs="Arabic Typesetting"/>
                <w:color w:val="FF0000"/>
                <w:sz w:val="28"/>
                <w:szCs w:val="28"/>
              </w:rPr>
              <w:sym w:font="Wingdings" w:char="F06C"/>
            </w:r>
          </w:p>
        </w:tc>
      </w:tr>
      <w:tr w:rsidR="006A7C4F" w:rsidRPr="00884EE4" w14:paraId="4654F218" w14:textId="77777777" w:rsidTr="006E24D8">
        <w:trPr>
          <w:cantSplit/>
          <w:trHeight w:val="463"/>
        </w:trPr>
        <w:tc>
          <w:tcPr>
            <w:tcW w:w="1477" w:type="pct"/>
            <w:vMerge/>
            <w:shd w:val="clear" w:color="auto" w:fill="auto"/>
            <w:tcMar>
              <w:top w:w="113" w:type="dxa"/>
              <w:bottom w:w="57" w:type="dxa"/>
            </w:tcMar>
          </w:tcPr>
          <w:p w14:paraId="11F20994"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0D662306"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861" w:type="pct"/>
            <w:shd w:val="clear" w:color="auto" w:fill="FFFFFF"/>
            <w:tcMar>
              <w:top w:w="113" w:type="dxa"/>
              <w:bottom w:w="57" w:type="dxa"/>
            </w:tcMar>
          </w:tcPr>
          <w:p w14:paraId="225A4FC2"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10</w:t>
            </w:r>
          </w:p>
        </w:tc>
        <w:tc>
          <w:tcPr>
            <w:tcW w:w="569" w:type="pct"/>
            <w:shd w:val="clear" w:color="auto" w:fill="FFFFFF"/>
          </w:tcPr>
          <w:p w14:paraId="7DB29040"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48215F7B" w14:textId="77777777" w:rsidTr="006E24D8">
        <w:trPr>
          <w:cantSplit/>
          <w:trHeight w:val="463"/>
        </w:trPr>
        <w:tc>
          <w:tcPr>
            <w:tcW w:w="1477" w:type="pct"/>
            <w:vMerge/>
            <w:shd w:val="clear" w:color="auto" w:fill="auto"/>
            <w:tcMar>
              <w:top w:w="113" w:type="dxa"/>
              <w:bottom w:w="57" w:type="dxa"/>
            </w:tcMar>
          </w:tcPr>
          <w:p w14:paraId="43D84C86"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5BFC874C" w14:textId="3C46B833"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 xml:space="preserve">عدد </w:t>
            </w:r>
            <w:r w:rsidR="00AF6433">
              <w:rPr>
                <w:rFonts w:ascii="Arabic Typesetting" w:eastAsia="Arabic Typesetting" w:hAnsi="Arabic Typesetting" w:cs="Arabic Typesetting"/>
                <w:color w:val="000000"/>
                <w:sz w:val="28"/>
                <w:szCs w:val="28"/>
                <w:rtl/>
                <w:lang w:eastAsia="ar-EG" w:bidi="ar-EG"/>
              </w:rPr>
              <w:t>البلدان المتحولة</w:t>
            </w:r>
            <w:r w:rsidRPr="00884EE4">
              <w:rPr>
                <w:rFonts w:ascii="Arabic Typesetting" w:eastAsia="Arabic Typesetting" w:hAnsi="Arabic Typesetting" w:cs="Arabic Typesetting"/>
                <w:color w:val="000000"/>
                <w:sz w:val="28"/>
                <w:szCs w:val="28"/>
                <w:rtl/>
                <w:lang w:eastAsia="ar-EG" w:bidi="ar-EG"/>
              </w:rPr>
              <w:t xml:space="preserve"> التي وضعت برامج تدريبية سنوية في مجال الملكية الفكرية و/أو دورات للمهنيين المتخصصين في الملكية الفكرية</w:t>
            </w:r>
          </w:p>
        </w:tc>
        <w:tc>
          <w:tcPr>
            <w:tcW w:w="861" w:type="pct"/>
            <w:shd w:val="clear" w:color="auto" w:fill="FFFFFF"/>
            <w:tcMar>
              <w:top w:w="113" w:type="dxa"/>
              <w:bottom w:w="57" w:type="dxa"/>
            </w:tcMar>
          </w:tcPr>
          <w:p w14:paraId="01DF478E"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10</w:t>
            </w:r>
          </w:p>
        </w:tc>
        <w:tc>
          <w:tcPr>
            <w:tcW w:w="569" w:type="pct"/>
            <w:shd w:val="clear" w:color="auto" w:fill="FFFFFF"/>
          </w:tcPr>
          <w:p w14:paraId="6DC8B700"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7B42C70A" w14:textId="77777777" w:rsidTr="006E24D8">
        <w:trPr>
          <w:cantSplit/>
          <w:trHeight w:val="463"/>
        </w:trPr>
        <w:tc>
          <w:tcPr>
            <w:tcW w:w="1477" w:type="pct"/>
            <w:vMerge/>
            <w:shd w:val="clear" w:color="auto" w:fill="auto"/>
            <w:tcMar>
              <w:top w:w="113" w:type="dxa"/>
              <w:bottom w:w="57" w:type="dxa"/>
            </w:tcMar>
          </w:tcPr>
          <w:p w14:paraId="4358D26B"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418D1974"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نسبة الزيادة في عدد المشاركين في دورات التعلم عن البعد التي تنظمها الأكاديمية</w:t>
            </w:r>
          </w:p>
        </w:tc>
        <w:tc>
          <w:tcPr>
            <w:tcW w:w="861" w:type="pct"/>
            <w:shd w:val="clear" w:color="auto" w:fill="FFFFFF"/>
            <w:tcMar>
              <w:top w:w="113" w:type="dxa"/>
              <w:bottom w:w="57" w:type="dxa"/>
            </w:tcMar>
          </w:tcPr>
          <w:p w14:paraId="5D165506"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11</w:t>
            </w:r>
          </w:p>
        </w:tc>
        <w:tc>
          <w:tcPr>
            <w:tcW w:w="569" w:type="pct"/>
            <w:shd w:val="clear" w:color="auto" w:fill="FFFFFF"/>
          </w:tcPr>
          <w:p w14:paraId="3CC8B7DF"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6590C0EB" w14:textId="77777777" w:rsidTr="006E24D8">
        <w:trPr>
          <w:cantSplit/>
          <w:trHeight w:val="463"/>
        </w:trPr>
        <w:tc>
          <w:tcPr>
            <w:tcW w:w="1477" w:type="pct"/>
            <w:vMerge/>
            <w:shd w:val="clear" w:color="auto" w:fill="auto"/>
            <w:tcMar>
              <w:top w:w="113" w:type="dxa"/>
              <w:bottom w:w="57" w:type="dxa"/>
            </w:tcMar>
          </w:tcPr>
          <w:p w14:paraId="4BDAD374"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24EED68B"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للمشاركين الذين يستخدمون معارف ومهارات مُعزَّزة في شتى مجالات الملكية الفكرية</w:t>
            </w:r>
          </w:p>
        </w:tc>
        <w:tc>
          <w:tcPr>
            <w:tcW w:w="861" w:type="pct"/>
            <w:shd w:val="clear" w:color="auto" w:fill="FFFFFF"/>
            <w:tcMar>
              <w:top w:w="113" w:type="dxa"/>
              <w:bottom w:w="57" w:type="dxa"/>
            </w:tcMar>
          </w:tcPr>
          <w:p w14:paraId="79A95E52"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11</w:t>
            </w:r>
          </w:p>
        </w:tc>
        <w:tc>
          <w:tcPr>
            <w:tcW w:w="569" w:type="pct"/>
            <w:shd w:val="clear" w:color="auto" w:fill="FFFFFF"/>
          </w:tcPr>
          <w:p w14:paraId="71946918"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70C0"/>
                <w:sz w:val="28"/>
                <w:szCs w:val="28"/>
              </w:rPr>
              <w:sym w:font="Wingdings" w:char="F06C"/>
            </w:r>
          </w:p>
        </w:tc>
      </w:tr>
      <w:tr w:rsidR="006A7C4F" w:rsidRPr="00884EE4" w14:paraId="08DB4411" w14:textId="77777777" w:rsidTr="006E24D8">
        <w:trPr>
          <w:cantSplit/>
          <w:trHeight w:val="463"/>
        </w:trPr>
        <w:tc>
          <w:tcPr>
            <w:tcW w:w="1477" w:type="pct"/>
            <w:vMerge/>
            <w:shd w:val="clear" w:color="auto" w:fill="auto"/>
            <w:tcMar>
              <w:top w:w="113" w:type="dxa"/>
              <w:bottom w:w="57" w:type="dxa"/>
            </w:tcMar>
          </w:tcPr>
          <w:p w14:paraId="7D45D34E"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7AC852AA"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للمتدربين والمشرفين الراضين عن البرامج التدريبية التي أُعدَّت بناءً على عمليات تقييم الاحتياجات</w:t>
            </w:r>
            <w:r w:rsidRPr="00884EE4">
              <w:rPr>
                <w:rFonts w:ascii="Arabic Typesetting" w:eastAsia="Arabic Typesetting" w:hAnsi="Arabic Typesetting" w:cs="Arabic Typesetting"/>
                <w:color w:val="000000"/>
                <w:sz w:val="28"/>
                <w:szCs w:val="28"/>
                <w:lang w:eastAsia="ar-EG" w:bidi="ar-EG"/>
              </w:rPr>
              <w:t> </w:t>
            </w:r>
            <w:r w:rsidRPr="00884EE4">
              <w:rPr>
                <w:rFonts w:ascii="Arabic Typesetting" w:eastAsia="Arabic Typesetting" w:hAnsi="Arabic Typesetting" w:cs="Arabic Typesetting"/>
                <w:color w:val="000000"/>
                <w:sz w:val="28"/>
                <w:szCs w:val="28"/>
                <w:rtl/>
                <w:lang w:eastAsia="ar-EG" w:bidi="ar-EG"/>
              </w:rPr>
              <w:t>التدريبية</w:t>
            </w:r>
          </w:p>
        </w:tc>
        <w:tc>
          <w:tcPr>
            <w:tcW w:w="861" w:type="pct"/>
            <w:shd w:val="clear" w:color="auto" w:fill="FFFFFF"/>
            <w:tcMar>
              <w:top w:w="113" w:type="dxa"/>
              <w:bottom w:w="57" w:type="dxa"/>
            </w:tcMar>
          </w:tcPr>
          <w:p w14:paraId="72184335"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11</w:t>
            </w:r>
          </w:p>
        </w:tc>
        <w:tc>
          <w:tcPr>
            <w:tcW w:w="569" w:type="pct"/>
            <w:shd w:val="clear" w:color="auto" w:fill="FFFFFF"/>
          </w:tcPr>
          <w:p w14:paraId="27D74769"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70C0"/>
                <w:sz w:val="28"/>
                <w:szCs w:val="28"/>
              </w:rPr>
              <w:sym w:font="Wingdings" w:char="F06C"/>
            </w:r>
          </w:p>
        </w:tc>
      </w:tr>
      <w:tr w:rsidR="006A7C4F" w:rsidRPr="00884EE4" w14:paraId="68C4EC6A" w14:textId="77777777" w:rsidTr="006E24D8">
        <w:trPr>
          <w:cantSplit/>
          <w:trHeight w:val="463"/>
        </w:trPr>
        <w:tc>
          <w:tcPr>
            <w:tcW w:w="1477" w:type="pct"/>
            <w:vMerge/>
            <w:shd w:val="clear" w:color="auto" w:fill="auto"/>
            <w:tcMar>
              <w:top w:w="113" w:type="dxa"/>
              <w:bottom w:w="57" w:type="dxa"/>
            </w:tcMar>
          </w:tcPr>
          <w:p w14:paraId="5ECEE723"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428614F0"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تعزيز التوازن في التوزيع الجغرافي للمدارس الصيفية</w:t>
            </w:r>
          </w:p>
        </w:tc>
        <w:tc>
          <w:tcPr>
            <w:tcW w:w="861" w:type="pct"/>
            <w:shd w:val="clear" w:color="auto" w:fill="FFFFFF"/>
            <w:tcMar>
              <w:top w:w="113" w:type="dxa"/>
              <w:bottom w:w="57" w:type="dxa"/>
            </w:tcMar>
          </w:tcPr>
          <w:p w14:paraId="2CDE1241"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11</w:t>
            </w:r>
          </w:p>
        </w:tc>
        <w:tc>
          <w:tcPr>
            <w:tcW w:w="569" w:type="pct"/>
            <w:shd w:val="clear" w:color="auto" w:fill="FFFFFF"/>
          </w:tcPr>
          <w:p w14:paraId="5E6F2400"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59E3F1B2" w14:textId="77777777" w:rsidTr="006E24D8">
        <w:trPr>
          <w:cantSplit/>
          <w:trHeight w:val="463"/>
        </w:trPr>
        <w:tc>
          <w:tcPr>
            <w:tcW w:w="1477" w:type="pct"/>
            <w:vMerge/>
            <w:shd w:val="clear" w:color="auto" w:fill="auto"/>
            <w:tcMar>
              <w:top w:w="113" w:type="dxa"/>
              <w:bottom w:w="57" w:type="dxa"/>
            </w:tcMar>
          </w:tcPr>
          <w:p w14:paraId="65AE853C"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733A29C2"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دورات ومناهج جديدة ومُحسَّنة بشأن الملكية الفكرية في المؤسسات التعليمية</w:t>
            </w:r>
          </w:p>
        </w:tc>
        <w:tc>
          <w:tcPr>
            <w:tcW w:w="861" w:type="pct"/>
            <w:shd w:val="clear" w:color="auto" w:fill="FFFFFF"/>
            <w:tcMar>
              <w:top w:w="113" w:type="dxa"/>
              <w:bottom w:w="57" w:type="dxa"/>
            </w:tcMar>
          </w:tcPr>
          <w:p w14:paraId="1960E4F3"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11</w:t>
            </w:r>
          </w:p>
        </w:tc>
        <w:tc>
          <w:tcPr>
            <w:tcW w:w="569" w:type="pct"/>
            <w:shd w:val="clear" w:color="auto" w:fill="FFFFFF"/>
          </w:tcPr>
          <w:p w14:paraId="353C004A"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3E1928FD" w14:textId="77777777" w:rsidTr="006E24D8">
        <w:trPr>
          <w:cantSplit/>
          <w:trHeight w:val="463"/>
        </w:trPr>
        <w:tc>
          <w:tcPr>
            <w:tcW w:w="1477" w:type="pct"/>
            <w:vMerge/>
            <w:shd w:val="clear" w:color="auto" w:fill="auto"/>
            <w:tcMar>
              <w:top w:w="113" w:type="dxa"/>
              <w:bottom w:w="57" w:type="dxa"/>
            </w:tcMar>
          </w:tcPr>
          <w:p w14:paraId="18BC1933"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031F83B6"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اتفاقات التعاون والشراكات التي أُقيمت بما يتماشى مع الرؤية الجديدة للأكاديمية</w:t>
            </w:r>
          </w:p>
        </w:tc>
        <w:tc>
          <w:tcPr>
            <w:tcW w:w="861" w:type="pct"/>
            <w:shd w:val="clear" w:color="auto" w:fill="FFFFFF"/>
            <w:tcMar>
              <w:top w:w="113" w:type="dxa"/>
              <w:bottom w:w="57" w:type="dxa"/>
            </w:tcMar>
          </w:tcPr>
          <w:p w14:paraId="6B0C89D9"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11</w:t>
            </w:r>
          </w:p>
        </w:tc>
        <w:tc>
          <w:tcPr>
            <w:tcW w:w="569" w:type="pct"/>
            <w:shd w:val="clear" w:color="auto" w:fill="FFFFFF"/>
          </w:tcPr>
          <w:p w14:paraId="5B113488"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4D50202A" w14:textId="77777777" w:rsidTr="006E24D8">
        <w:trPr>
          <w:cantSplit/>
          <w:trHeight w:val="463"/>
        </w:trPr>
        <w:tc>
          <w:tcPr>
            <w:tcW w:w="1477" w:type="pct"/>
            <w:vMerge/>
            <w:shd w:val="clear" w:color="auto" w:fill="auto"/>
            <w:tcMar>
              <w:top w:w="113" w:type="dxa"/>
              <w:bottom w:w="57" w:type="dxa"/>
            </w:tcMar>
          </w:tcPr>
          <w:p w14:paraId="664634BF"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2E625E20"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دورات التعلم عن بعد التي استُعرضت وحُدّثت</w:t>
            </w:r>
          </w:p>
        </w:tc>
        <w:tc>
          <w:tcPr>
            <w:tcW w:w="861" w:type="pct"/>
            <w:shd w:val="clear" w:color="auto" w:fill="FFFFFF"/>
            <w:tcMar>
              <w:top w:w="113" w:type="dxa"/>
              <w:bottom w:w="57" w:type="dxa"/>
            </w:tcMar>
          </w:tcPr>
          <w:p w14:paraId="0EC1CA32"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11</w:t>
            </w:r>
          </w:p>
        </w:tc>
        <w:tc>
          <w:tcPr>
            <w:tcW w:w="569" w:type="pct"/>
            <w:shd w:val="clear" w:color="auto" w:fill="FFFFFF"/>
          </w:tcPr>
          <w:p w14:paraId="3B76881A"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2C151B7A" w14:textId="77777777" w:rsidTr="006E24D8">
        <w:trPr>
          <w:cantSplit/>
          <w:trHeight w:val="463"/>
        </w:trPr>
        <w:tc>
          <w:tcPr>
            <w:tcW w:w="1477" w:type="pct"/>
            <w:vMerge/>
            <w:shd w:val="clear" w:color="auto" w:fill="auto"/>
            <w:tcMar>
              <w:top w:w="113" w:type="dxa"/>
              <w:bottom w:w="57" w:type="dxa"/>
            </w:tcMar>
          </w:tcPr>
          <w:p w14:paraId="15EED97B"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0719FE95"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الأكاديميات الوطنية الناشئة التي أُنشئت في إطار المشروع وأصبحت مستدامةً</w:t>
            </w:r>
          </w:p>
        </w:tc>
        <w:tc>
          <w:tcPr>
            <w:tcW w:w="861" w:type="pct"/>
            <w:shd w:val="clear" w:color="auto" w:fill="FFFFFF"/>
            <w:tcMar>
              <w:top w:w="113" w:type="dxa"/>
              <w:bottom w:w="57" w:type="dxa"/>
            </w:tcMar>
          </w:tcPr>
          <w:p w14:paraId="0B4844C4"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11</w:t>
            </w:r>
          </w:p>
        </w:tc>
        <w:tc>
          <w:tcPr>
            <w:tcW w:w="569" w:type="pct"/>
            <w:shd w:val="clear" w:color="auto" w:fill="FFFFFF"/>
          </w:tcPr>
          <w:p w14:paraId="6E82D43D"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70C0"/>
                <w:sz w:val="28"/>
                <w:szCs w:val="28"/>
              </w:rPr>
              <w:sym w:font="Wingdings" w:char="F06C"/>
            </w:r>
          </w:p>
        </w:tc>
      </w:tr>
      <w:tr w:rsidR="006A7C4F" w:rsidRPr="00884EE4" w14:paraId="24B88291" w14:textId="77777777" w:rsidTr="006E24D8">
        <w:trPr>
          <w:cantSplit/>
          <w:trHeight w:val="463"/>
        </w:trPr>
        <w:tc>
          <w:tcPr>
            <w:tcW w:w="1477" w:type="pct"/>
            <w:vMerge/>
            <w:shd w:val="clear" w:color="auto" w:fill="auto"/>
            <w:tcMar>
              <w:top w:w="113" w:type="dxa"/>
              <w:bottom w:w="57" w:type="dxa"/>
            </w:tcMar>
          </w:tcPr>
          <w:p w14:paraId="40CBDFC7"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6854A191"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للمشاركين المُدرَّبين الراضين عن فائدة ووجاهة التدريب المُقدَّم من أجل أداء واجباتهم المهنية</w:t>
            </w:r>
          </w:p>
        </w:tc>
        <w:tc>
          <w:tcPr>
            <w:tcW w:w="861" w:type="pct"/>
            <w:shd w:val="clear" w:color="auto" w:fill="FFFFFF"/>
            <w:tcMar>
              <w:top w:w="113" w:type="dxa"/>
              <w:bottom w:w="57" w:type="dxa"/>
            </w:tcMar>
          </w:tcPr>
          <w:p w14:paraId="11C7346F"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17</w:t>
            </w:r>
          </w:p>
        </w:tc>
        <w:tc>
          <w:tcPr>
            <w:tcW w:w="569" w:type="pct"/>
            <w:shd w:val="clear" w:color="auto" w:fill="FFFFFF"/>
          </w:tcPr>
          <w:p w14:paraId="22334A5C"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46351F66" w14:textId="77777777" w:rsidTr="006E24D8">
        <w:trPr>
          <w:cantSplit/>
          <w:trHeight w:val="463"/>
        </w:trPr>
        <w:tc>
          <w:tcPr>
            <w:tcW w:w="1477" w:type="pct"/>
            <w:vMerge/>
            <w:shd w:val="clear" w:color="auto" w:fill="auto"/>
            <w:tcMar>
              <w:top w:w="113" w:type="dxa"/>
              <w:bottom w:w="57" w:type="dxa"/>
            </w:tcMar>
          </w:tcPr>
          <w:p w14:paraId="5575B1AB"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1F2DC16B"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للمشاركين في دورة التعلم عن بعد بشأن الملكية الفكرية والصحة الذين أكدوا استخدام الملكة الفكرية في سبيل التنمية من خلال نقل التكنولوجيا وتوليد المهارات</w:t>
            </w:r>
          </w:p>
        </w:tc>
        <w:tc>
          <w:tcPr>
            <w:tcW w:w="861" w:type="pct"/>
            <w:shd w:val="clear" w:color="auto" w:fill="FFFFFF"/>
            <w:tcMar>
              <w:top w:w="113" w:type="dxa"/>
              <w:bottom w:w="57" w:type="dxa"/>
            </w:tcMar>
          </w:tcPr>
          <w:p w14:paraId="3961E69C"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18</w:t>
            </w:r>
          </w:p>
        </w:tc>
        <w:tc>
          <w:tcPr>
            <w:tcW w:w="569" w:type="pct"/>
            <w:shd w:val="clear" w:color="auto" w:fill="FFFFFF"/>
          </w:tcPr>
          <w:p w14:paraId="7BD8C61C"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14600819" w14:textId="77777777" w:rsidTr="006E24D8">
        <w:trPr>
          <w:cantSplit/>
          <w:trHeight w:val="421"/>
        </w:trPr>
        <w:tc>
          <w:tcPr>
            <w:tcW w:w="1477" w:type="pct"/>
            <w:vMerge/>
            <w:shd w:val="clear" w:color="auto" w:fill="auto"/>
            <w:tcMar>
              <w:top w:w="113" w:type="dxa"/>
              <w:bottom w:w="57" w:type="dxa"/>
            </w:tcMar>
          </w:tcPr>
          <w:p w14:paraId="7F027639"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1C7E77AC"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ترتيبات استقبال علماء من البلدان النامية</w:t>
            </w:r>
          </w:p>
        </w:tc>
        <w:tc>
          <w:tcPr>
            <w:tcW w:w="861" w:type="pct"/>
            <w:shd w:val="clear" w:color="auto" w:fill="FFFFFF"/>
            <w:tcMar>
              <w:top w:w="113" w:type="dxa"/>
              <w:bottom w:w="57" w:type="dxa"/>
            </w:tcMar>
          </w:tcPr>
          <w:p w14:paraId="3AC1CAD7"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18</w:t>
            </w:r>
          </w:p>
        </w:tc>
        <w:tc>
          <w:tcPr>
            <w:tcW w:w="569" w:type="pct"/>
            <w:shd w:val="clear" w:color="auto" w:fill="FFFFFF"/>
          </w:tcPr>
          <w:p w14:paraId="378F6D47"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FF0000"/>
                <w:sz w:val="28"/>
                <w:szCs w:val="28"/>
              </w:rPr>
              <w:sym w:font="Wingdings" w:char="F06C"/>
            </w:r>
          </w:p>
        </w:tc>
      </w:tr>
      <w:tr w:rsidR="006A7C4F" w:rsidRPr="00884EE4" w14:paraId="718D2D21" w14:textId="77777777" w:rsidTr="006E24D8">
        <w:trPr>
          <w:cantSplit/>
          <w:trHeight w:val="463"/>
        </w:trPr>
        <w:tc>
          <w:tcPr>
            <w:tcW w:w="1477" w:type="pct"/>
            <w:vMerge/>
            <w:shd w:val="clear" w:color="auto" w:fill="auto"/>
            <w:tcMar>
              <w:top w:w="113" w:type="dxa"/>
              <w:bottom w:w="57" w:type="dxa"/>
            </w:tcMar>
          </w:tcPr>
          <w:p w14:paraId="43236F9D"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417DAD48" w14:textId="06DD9A6A" w:rsidR="006A7C4F" w:rsidRPr="00884EE4" w:rsidRDefault="00EF3FA1" w:rsidP="006E24D8">
            <w:pPr>
              <w:keepNext/>
              <w:keepLines/>
              <w:bidi/>
              <w:spacing w:before="120" w:after="120" w:line="280" w:lineRule="exact"/>
              <w:rPr>
                <w:rFonts w:ascii="Arabic Typesetting" w:hAnsi="Arabic Typesetting" w:cs="Arabic Typesetting"/>
                <w:sz w:val="28"/>
                <w:szCs w:val="28"/>
              </w:rPr>
            </w:pPr>
            <w:r w:rsidRPr="00EF3FA1">
              <w:rPr>
                <w:rFonts w:ascii="Arabic Typesetting" w:hAnsi="Arabic Typesetting" w:cs="Arabic Typesetting"/>
                <w:color w:val="000000" w:themeColor="text1"/>
                <w:sz w:val="28"/>
                <w:szCs w:val="28"/>
                <w:rtl/>
              </w:rPr>
              <w:t>النسبة المئوية لواضعي السياسات والمسؤولين الحكوميين والعاملين في مجال الملكية الفكرية وسائر الفئات المستهدفة، بما في ذلك الجامعات ومنظمات الإدارة الجماعية والصحفيون، ممن لديهم فهم معمّق لسياسات الملكية الفكرية وكيفية الانتفاع على نحو فعال بتطور الملكية الفكرية</w:t>
            </w:r>
          </w:p>
        </w:tc>
        <w:tc>
          <w:tcPr>
            <w:tcW w:w="861" w:type="pct"/>
            <w:shd w:val="clear" w:color="auto" w:fill="FFFFFF"/>
            <w:tcMar>
              <w:top w:w="113" w:type="dxa"/>
              <w:bottom w:w="57" w:type="dxa"/>
            </w:tcMar>
          </w:tcPr>
          <w:p w14:paraId="0D6D756E"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20</w:t>
            </w:r>
          </w:p>
        </w:tc>
        <w:tc>
          <w:tcPr>
            <w:tcW w:w="569" w:type="pct"/>
            <w:shd w:val="clear" w:color="auto" w:fill="FFFFFF"/>
          </w:tcPr>
          <w:p w14:paraId="3B3EC15F"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808080"/>
                <w:sz w:val="28"/>
                <w:szCs w:val="28"/>
              </w:rPr>
              <w:sym w:font="Wingdings" w:char="F06C"/>
            </w: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00B050"/>
                <w:sz w:val="28"/>
                <w:szCs w:val="28"/>
              </w:rPr>
              <w:sym w:font="Wingdings" w:char="F06C"/>
            </w:r>
          </w:p>
        </w:tc>
      </w:tr>
      <w:tr w:rsidR="006A7C4F" w:rsidRPr="00884EE4" w14:paraId="7A1B364A" w14:textId="77777777" w:rsidTr="006E24D8">
        <w:trPr>
          <w:cantSplit/>
          <w:trHeight w:val="323"/>
        </w:trPr>
        <w:tc>
          <w:tcPr>
            <w:tcW w:w="1477" w:type="pct"/>
            <w:vMerge/>
            <w:shd w:val="clear" w:color="auto" w:fill="auto"/>
            <w:tcMar>
              <w:top w:w="113" w:type="dxa"/>
              <w:bottom w:w="57" w:type="dxa"/>
            </w:tcMar>
          </w:tcPr>
          <w:p w14:paraId="5009401A"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0DECFBB1"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للمهنيين المُدرَّبين المتخصصين في مجال الملكية الفكرية الذين يستخدمون مهارات محسنة في عملهم</w:t>
            </w:r>
          </w:p>
        </w:tc>
        <w:tc>
          <w:tcPr>
            <w:tcW w:w="861" w:type="pct"/>
            <w:shd w:val="clear" w:color="auto" w:fill="FFFFFF"/>
            <w:tcMar>
              <w:top w:w="113" w:type="dxa"/>
              <w:bottom w:w="57" w:type="dxa"/>
            </w:tcMar>
          </w:tcPr>
          <w:p w14:paraId="57806B66"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30</w:t>
            </w:r>
          </w:p>
        </w:tc>
        <w:tc>
          <w:tcPr>
            <w:tcW w:w="569" w:type="pct"/>
            <w:shd w:val="clear" w:color="auto" w:fill="FFFFFF"/>
          </w:tcPr>
          <w:p w14:paraId="74A5076F"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3276EF75" w14:textId="77777777" w:rsidTr="006E24D8">
        <w:trPr>
          <w:cantSplit/>
          <w:trHeight w:val="463"/>
        </w:trPr>
        <w:tc>
          <w:tcPr>
            <w:tcW w:w="1477" w:type="pct"/>
            <w:vMerge w:val="restart"/>
            <w:shd w:val="clear" w:color="auto" w:fill="auto"/>
            <w:tcMar>
              <w:top w:w="113" w:type="dxa"/>
              <w:bottom w:w="57" w:type="dxa"/>
            </w:tcMar>
          </w:tcPr>
          <w:p w14:paraId="00FEB696"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ه3.3 تعميم توصيات أجندة التنمية على عمل الويبو</w:t>
            </w:r>
          </w:p>
        </w:tc>
        <w:tc>
          <w:tcPr>
            <w:tcW w:w="2093" w:type="pct"/>
            <w:shd w:val="clear" w:color="auto" w:fill="auto"/>
            <w:tcMar>
              <w:top w:w="113" w:type="dxa"/>
              <w:bottom w:w="57" w:type="dxa"/>
            </w:tcMar>
          </w:tcPr>
          <w:p w14:paraId="46AF5C27"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دمج مبادئ التنمية الواردة في توصيات أجندة التنمية بفعالية في عمل برامج الويبو</w:t>
            </w:r>
          </w:p>
        </w:tc>
        <w:tc>
          <w:tcPr>
            <w:tcW w:w="861" w:type="pct"/>
            <w:shd w:val="clear" w:color="auto" w:fill="FFFFFF"/>
            <w:tcMar>
              <w:top w:w="113" w:type="dxa"/>
              <w:bottom w:w="57" w:type="dxa"/>
            </w:tcMar>
          </w:tcPr>
          <w:p w14:paraId="506F1ED5"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8</w:t>
            </w:r>
          </w:p>
        </w:tc>
        <w:tc>
          <w:tcPr>
            <w:tcW w:w="569" w:type="pct"/>
            <w:shd w:val="clear" w:color="auto" w:fill="FFFFFF"/>
          </w:tcPr>
          <w:p w14:paraId="51FEAE70"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5963875B" w14:textId="77777777" w:rsidTr="006E24D8">
        <w:trPr>
          <w:cantSplit/>
          <w:trHeight w:val="463"/>
        </w:trPr>
        <w:tc>
          <w:tcPr>
            <w:tcW w:w="1477" w:type="pct"/>
            <w:vMerge/>
            <w:shd w:val="clear" w:color="auto" w:fill="auto"/>
            <w:tcMar>
              <w:top w:w="113" w:type="dxa"/>
              <w:bottom w:w="57" w:type="dxa"/>
            </w:tcMar>
          </w:tcPr>
          <w:p w14:paraId="17CD1D25"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32E3CC6A" w14:textId="77777777" w:rsidR="006A7C4F" w:rsidRPr="00884EE4" w:rsidRDefault="006A7C4F" w:rsidP="006E24D8">
            <w:pPr>
              <w:bidi/>
              <w:spacing w:before="120" w:after="120" w:line="280" w:lineRule="exact"/>
              <w:rPr>
                <w:rFonts w:ascii="Arabic Typesetting" w:eastAsia="Arabic Typesetting" w:hAnsi="Arabic Typesetting" w:cs="Arabic Typesetting"/>
                <w:color w:val="000000"/>
                <w:sz w:val="28"/>
                <w:szCs w:val="28"/>
                <w:lang w:eastAsia="ar-EG" w:bidi="ar-EG"/>
              </w:rPr>
            </w:pPr>
            <w:r w:rsidRPr="00884EE4">
              <w:rPr>
                <w:rFonts w:ascii="Arabic Typesetting" w:eastAsia="Arabic Typesetting" w:hAnsi="Arabic Typesetting" w:cs="Arabic Typesetting"/>
                <w:color w:val="000000"/>
                <w:sz w:val="28"/>
                <w:szCs w:val="28"/>
                <w:rtl/>
                <w:lang w:eastAsia="ar-EG" w:bidi="ar-EG"/>
              </w:rPr>
              <w:t>متابعة فعالة لتنفيذ توصيات الاستعراض المستقل لأجندة التنمية</w:t>
            </w:r>
          </w:p>
        </w:tc>
        <w:tc>
          <w:tcPr>
            <w:tcW w:w="861" w:type="pct"/>
            <w:shd w:val="clear" w:color="auto" w:fill="FFFFFF"/>
            <w:tcMar>
              <w:top w:w="113" w:type="dxa"/>
              <w:bottom w:w="57" w:type="dxa"/>
            </w:tcMar>
          </w:tcPr>
          <w:p w14:paraId="6825CC48"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8</w:t>
            </w:r>
          </w:p>
        </w:tc>
        <w:tc>
          <w:tcPr>
            <w:tcW w:w="569" w:type="pct"/>
            <w:shd w:val="clear" w:color="auto" w:fill="FFFFFF"/>
          </w:tcPr>
          <w:p w14:paraId="0D1AD4D4"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4B72A316" w14:textId="77777777" w:rsidTr="006E24D8">
        <w:trPr>
          <w:cantSplit/>
          <w:trHeight w:val="463"/>
        </w:trPr>
        <w:tc>
          <w:tcPr>
            <w:tcW w:w="1477" w:type="pct"/>
            <w:vMerge/>
            <w:shd w:val="clear" w:color="auto" w:fill="auto"/>
            <w:tcMar>
              <w:top w:w="113" w:type="dxa"/>
              <w:bottom w:w="57" w:type="dxa"/>
            </w:tcMar>
          </w:tcPr>
          <w:p w14:paraId="5A4C8CB1"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45BE4BF3" w14:textId="77777777" w:rsidR="006A7C4F" w:rsidRPr="00884EE4" w:rsidRDefault="006A7C4F" w:rsidP="006E24D8">
            <w:pPr>
              <w:bidi/>
              <w:spacing w:before="120" w:after="120" w:line="280" w:lineRule="exact"/>
              <w:rPr>
                <w:rFonts w:ascii="Arabic Typesetting" w:eastAsia="Arabic Typesetting" w:hAnsi="Arabic Typesetting" w:cs="Arabic Typesetting"/>
                <w:color w:val="000000"/>
                <w:sz w:val="28"/>
                <w:szCs w:val="28"/>
                <w:lang w:eastAsia="ar-EG" w:bidi="ar-EG"/>
              </w:rPr>
            </w:pPr>
            <w:r w:rsidRPr="00884EE4">
              <w:rPr>
                <w:rFonts w:ascii="Arabic Typesetting" w:eastAsia="Arabic Typesetting" w:hAnsi="Arabic Typesetting" w:cs="Arabic Typesetting"/>
                <w:color w:val="000000"/>
                <w:sz w:val="28"/>
                <w:szCs w:val="28"/>
                <w:rtl/>
                <w:lang w:eastAsia="ar-EG" w:bidi="ar-EG"/>
              </w:rPr>
              <w:t>آلية محسنة لإقامة مشاريع وأنشطة جديدة منبثقة من أجندة التنمية وتنفيذها ورصدها وتقييمها وإعداد تقارير عنها</w:t>
            </w:r>
          </w:p>
        </w:tc>
        <w:tc>
          <w:tcPr>
            <w:tcW w:w="861" w:type="pct"/>
            <w:shd w:val="clear" w:color="auto" w:fill="FFFFFF"/>
            <w:tcMar>
              <w:top w:w="113" w:type="dxa"/>
              <w:bottom w:w="57" w:type="dxa"/>
            </w:tcMar>
          </w:tcPr>
          <w:p w14:paraId="30748777"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8</w:t>
            </w:r>
          </w:p>
        </w:tc>
        <w:tc>
          <w:tcPr>
            <w:tcW w:w="569" w:type="pct"/>
            <w:shd w:val="clear" w:color="auto" w:fill="FFFFFF"/>
          </w:tcPr>
          <w:p w14:paraId="017DA013"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1F1E4D6F" w14:textId="77777777" w:rsidTr="006E24D8">
        <w:trPr>
          <w:cantSplit/>
          <w:trHeight w:val="463"/>
        </w:trPr>
        <w:tc>
          <w:tcPr>
            <w:tcW w:w="1477" w:type="pct"/>
            <w:vMerge w:val="restart"/>
            <w:shd w:val="clear" w:color="auto" w:fill="auto"/>
            <w:tcMar>
              <w:top w:w="113" w:type="dxa"/>
              <w:bottom w:w="57" w:type="dxa"/>
            </w:tcMar>
          </w:tcPr>
          <w:p w14:paraId="07E766F4" w14:textId="4C013871"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sz w:val="28"/>
                <w:szCs w:val="28"/>
                <w:rtl/>
                <w:lang w:eastAsia="ar-EG" w:bidi="ar-EG"/>
              </w:rPr>
              <w:t>ه4.3 آليات وبرامج تعاونية معزّزة ومكيّفة حسب احتياجات البلدان النامية والبلدان الأقل نموا و</w:t>
            </w:r>
            <w:r w:rsidR="00AF6433">
              <w:rPr>
                <w:rFonts w:ascii="Arabic Typesetting" w:eastAsia="Arabic Typesetting" w:hAnsi="Arabic Typesetting" w:cs="Arabic Typesetting"/>
                <w:sz w:val="28"/>
                <w:szCs w:val="28"/>
                <w:rtl/>
                <w:lang w:eastAsia="ar-EG" w:bidi="ar-EG"/>
              </w:rPr>
              <w:t>البلدان المتحولة</w:t>
            </w:r>
          </w:p>
        </w:tc>
        <w:tc>
          <w:tcPr>
            <w:tcW w:w="2093" w:type="pct"/>
            <w:shd w:val="clear" w:color="auto" w:fill="auto"/>
            <w:tcMar>
              <w:top w:w="113" w:type="dxa"/>
              <w:bottom w:w="57" w:type="dxa"/>
            </w:tcMar>
          </w:tcPr>
          <w:p w14:paraId="5365430E"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اتفاقات ومشروعات وبرامج وشراكات التعاون الوطنية ودون الإقليمية والإقليمية والأقاليمية لتشجيع الانتفاع بفعالية بأنظمة الملكية الفكرية عن طريق تبادل أفضل الممارسات</w:t>
            </w:r>
          </w:p>
        </w:tc>
        <w:tc>
          <w:tcPr>
            <w:tcW w:w="861" w:type="pct"/>
            <w:shd w:val="clear" w:color="auto" w:fill="FFFFFF"/>
            <w:tcMar>
              <w:top w:w="113" w:type="dxa"/>
              <w:bottom w:w="57" w:type="dxa"/>
            </w:tcMar>
          </w:tcPr>
          <w:p w14:paraId="6ECA5490"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9</w:t>
            </w:r>
          </w:p>
        </w:tc>
        <w:tc>
          <w:tcPr>
            <w:tcW w:w="569" w:type="pct"/>
            <w:shd w:val="clear" w:color="auto" w:fill="FFFFFF"/>
          </w:tcPr>
          <w:p w14:paraId="631B0867"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00B050"/>
                <w:sz w:val="28"/>
                <w:szCs w:val="28"/>
              </w:rPr>
              <w:sym w:font="Wingdings" w:char="F06C"/>
            </w:r>
            <w:r w:rsidRPr="00884EE4">
              <w:rPr>
                <w:rFonts w:ascii="Arabic Typesetting" w:hAnsi="Arabic Typesetting" w:cs="Arabic Typesetting"/>
                <w:color w:val="00B050"/>
                <w:sz w:val="28"/>
                <w:szCs w:val="28"/>
              </w:rPr>
              <w:sym w:font="Wingdings" w:char="F06C"/>
            </w:r>
          </w:p>
        </w:tc>
      </w:tr>
      <w:tr w:rsidR="006A7C4F" w:rsidRPr="00884EE4" w14:paraId="6B8A4BED" w14:textId="77777777" w:rsidTr="006E24D8">
        <w:trPr>
          <w:cantSplit/>
          <w:trHeight w:val="221"/>
        </w:trPr>
        <w:tc>
          <w:tcPr>
            <w:tcW w:w="1477" w:type="pct"/>
            <w:vMerge/>
            <w:shd w:val="clear" w:color="auto" w:fill="auto"/>
            <w:tcMar>
              <w:top w:w="113" w:type="dxa"/>
              <w:bottom w:w="57" w:type="dxa"/>
            </w:tcMar>
          </w:tcPr>
          <w:p w14:paraId="688D5205"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10907A96"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الشراكات القائمة</w:t>
            </w:r>
          </w:p>
        </w:tc>
        <w:tc>
          <w:tcPr>
            <w:tcW w:w="861" w:type="pct"/>
            <w:shd w:val="clear" w:color="auto" w:fill="FFFFFF"/>
            <w:tcMar>
              <w:top w:w="113" w:type="dxa"/>
              <w:bottom w:w="57" w:type="dxa"/>
            </w:tcMar>
          </w:tcPr>
          <w:p w14:paraId="11BB8E22"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10</w:t>
            </w:r>
          </w:p>
        </w:tc>
        <w:tc>
          <w:tcPr>
            <w:tcW w:w="569" w:type="pct"/>
            <w:shd w:val="clear" w:color="auto" w:fill="FFFFFF"/>
          </w:tcPr>
          <w:p w14:paraId="63486652"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4CAE2F6B" w14:textId="77777777" w:rsidTr="006E24D8">
        <w:trPr>
          <w:cantSplit/>
          <w:trHeight w:val="463"/>
        </w:trPr>
        <w:tc>
          <w:tcPr>
            <w:tcW w:w="1477" w:type="pct"/>
            <w:vMerge w:val="restart"/>
            <w:shd w:val="clear" w:color="auto" w:fill="auto"/>
            <w:tcMar>
              <w:top w:w="113" w:type="dxa"/>
              <w:bottom w:w="57" w:type="dxa"/>
            </w:tcMar>
          </w:tcPr>
          <w:p w14:paraId="338FB1C5" w14:textId="420272E4"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ه5.3 فهم معمّق لأجندة التنمية لدى الدول الأعضاء والمنظمات الحكومية الدولية والمجتمع المدني وأصحاب المصلحة ال</w:t>
            </w:r>
            <w:r w:rsidR="00D02C02">
              <w:rPr>
                <w:rFonts w:ascii="Arabic Typesetting" w:eastAsia="Arabic Typesetting" w:hAnsi="Arabic Typesetting" w:cs="Arabic Typesetting"/>
                <w:color w:val="000000"/>
                <w:sz w:val="28"/>
                <w:szCs w:val="28"/>
                <w:rtl/>
                <w:lang w:eastAsia="ar-EG" w:bidi="ar-EG"/>
              </w:rPr>
              <w:t>أخرى</w:t>
            </w:r>
            <w:r w:rsidRPr="00884EE4">
              <w:rPr>
                <w:rFonts w:ascii="Arabic Typesetting" w:eastAsia="Arabic Typesetting" w:hAnsi="Arabic Typesetting" w:cs="Arabic Typesetting"/>
                <w:color w:val="000000"/>
                <w:sz w:val="28"/>
                <w:szCs w:val="28"/>
                <w:rtl/>
                <w:lang w:eastAsia="ar-EG" w:bidi="ar-EG"/>
              </w:rPr>
              <w:t>ن</w:t>
            </w:r>
            <w:r w:rsidRPr="00884EE4">
              <w:rPr>
                <w:rFonts w:ascii="Arabic Typesetting" w:hAnsi="Arabic Typesetting" w:cs="Arabic Typesetting"/>
                <w:sz w:val="28"/>
                <w:szCs w:val="28"/>
              </w:rPr>
              <w:t xml:space="preserve"> </w:t>
            </w:r>
          </w:p>
        </w:tc>
        <w:tc>
          <w:tcPr>
            <w:tcW w:w="2093" w:type="pct"/>
            <w:shd w:val="clear" w:color="auto" w:fill="auto"/>
            <w:tcMar>
              <w:top w:w="113" w:type="dxa"/>
              <w:bottom w:w="57" w:type="dxa"/>
            </w:tcMar>
          </w:tcPr>
          <w:p w14:paraId="2AA390FC"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للمشاركين الراضين الذين شاركوا في التظاهرات المتعلقة بأجندة الويبو بشأن التنمية التي تستهدف الدول الأعضاء والمجتمع المدني والمنظمات الحكومية الدولية وغير ذلك من أصحاب المصالح</w:t>
            </w:r>
          </w:p>
        </w:tc>
        <w:tc>
          <w:tcPr>
            <w:tcW w:w="861" w:type="pct"/>
            <w:shd w:val="clear" w:color="auto" w:fill="FFFFFF"/>
            <w:tcMar>
              <w:top w:w="113" w:type="dxa"/>
              <w:bottom w:w="57" w:type="dxa"/>
            </w:tcMar>
          </w:tcPr>
          <w:p w14:paraId="5FFDD2C9"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8</w:t>
            </w:r>
          </w:p>
        </w:tc>
        <w:tc>
          <w:tcPr>
            <w:tcW w:w="569" w:type="pct"/>
            <w:shd w:val="clear" w:color="auto" w:fill="FFFFFF"/>
          </w:tcPr>
          <w:p w14:paraId="278C4E8D" w14:textId="77777777" w:rsidR="006A7C4F" w:rsidRPr="00884EE4" w:rsidRDefault="006A7C4F" w:rsidP="006E24D8">
            <w:pPr>
              <w:bidi/>
              <w:spacing w:before="120" w:after="120" w:line="280" w:lineRule="exact"/>
              <w:jc w:val="center"/>
              <w:rPr>
                <w:rFonts w:ascii="Arabic Typesetting" w:hAnsi="Arabic Typesetting" w:cs="Arabic Typesetting"/>
                <w:color w:val="0070C0"/>
                <w:sz w:val="28"/>
                <w:szCs w:val="28"/>
              </w:rPr>
            </w:pPr>
            <w:r w:rsidRPr="00884EE4">
              <w:rPr>
                <w:rFonts w:ascii="Arabic Typesetting" w:hAnsi="Arabic Typesetting" w:cs="Arabic Typesetting"/>
                <w:color w:val="00B050"/>
                <w:sz w:val="28"/>
                <w:szCs w:val="28"/>
              </w:rPr>
              <w:sym w:font="Wingdings" w:char="F06C"/>
            </w:r>
          </w:p>
        </w:tc>
      </w:tr>
      <w:tr w:rsidR="006A7C4F" w:rsidRPr="00884EE4" w14:paraId="0BC967D4" w14:textId="77777777" w:rsidTr="006E24D8">
        <w:trPr>
          <w:cantSplit/>
          <w:trHeight w:val="463"/>
        </w:trPr>
        <w:tc>
          <w:tcPr>
            <w:tcW w:w="1477" w:type="pct"/>
            <w:vMerge/>
            <w:shd w:val="clear" w:color="auto" w:fill="auto"/>
            <w:tcMar>
              <w:top w:w="113" w:type="dxa"/>
              <w:bottom w:w="57" w:type="dxa"/>
            </w:tcMar>
          </w:tcPr>
          <w:p w14:paraId="515DFE8D"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1DFB4988"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تجلي بُعد أجندة التنمية ونواتج مشاريع أجندة التنمية في أنشطة المساعدة التقنية التي تضطلع بها الويبو</w:t>
            </w:r>
          </w:p>
        </w:tc>
        <w:tc>
          <w:tcPr>
            <w:tcW w:w="861" w:type="pct"/>
            <w:shd w:val="clear" w:color="auto" w:fill="FFFFFF"/>
            <w:tcMar>
              <w:top w:w="113" w:type="dxa"/>
              <w:bottom w:w="57" w:type="dxa"/>
            </w:tcMar>
          </w:tcPr>
          <w:p w14:paraId="4C40A5DF"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8</w:t>
            </w:r>
          </w:p>
        </w:tc>
        <w:tc>
          <w:tcPr>
            <w:tcW w:w="569" w:type="pct"/>
            <w:shd w:val="clear" w:color="auto" w:fill="FFFFFF"/>
          </w:tcPr>
          <w:p w14:paraId="67283014"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FF0000"/>
                <w:sz w:val="28"/>
                <w:szCs w:val="28"/>
              </w:rPr>
              <w:sym w:font="Wingdings" w:char="F06C"/>
            </w:r>
          </w:p>
        </w:tc>
      </w:tr>
      <w:tr w:rsidR="006A7C4F" w:rsidRPr="00884EE4" w14:paraId="17859EA5" w14:textId="77777777" w:rsidTr="006E24D8">
        <w:trPr>
          <w:cantSplit/>
          <w:trHeight w:val="463"/>
        </w:trPr>
        <w:tc>
          <w:tcPr>
            <w:tcW w:w="1477" w:type="pct"/>
            <w:vMerge w:val="restart"/>
            <w:shd w:val="clear" w:color="auto" w:fill="auto"/>
            <w:tcMar>
              <w:top w:w="113" w:type="dxa"/>
              <w:bottom w:w="57" w:type="dxa"/>
            </w:tcMar>
          </w:tcPr>
          <w:p w14:paraId="48A0ED75"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ه6.3 قدرات معزّزة للشركات الصغيرة والمتوسطة من أجل النجاح في تسخير الملكية الفكرية لأغراض دعم الابتكار</w:t>
            </w:r>
          </w:p>
        </w:tc>
        <w:tc>
          <w:tcPr>
            <w:tcW w:w="2093" w:type="pct"/>
            <w:shd w:val="clear" w:color="auto" w:fill="auto"/>
            <w:tcMar>
              <w:top w:w="113" w:type="dxa"/>
              <w:bottom w:w="57" w:type="dxa"/>
            </w:tcMar>
          </w:tcPr>
          <w:p w14:paraId="60C2793E"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للمشاركين في برامج تدريبية تستهدف المؤسسات الداعمة للشركات الصغيرة والمتوسطة ممن يستخدمون معارف معزّزة ومهارات محسّنة في عملهم</w:t>
            </w:r>
          </w:p>
        </w:tc>
        <w:tc>
          <w:tcPr>
            <w:tcW w:w="861" w:type="pct"/>
            <w:shd w:val="clear" w:color="auto" w:fill="FFFFFF"/>
            <w:tcMar>
              <w:top w:w="113" w:type="dxa"/>
              <w:bottom w:w="57" w:type="dxa"/>
            </w:tcMar>
          </w:tcPr>
          <w:p w14:paraId="1FB23444"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sz w:val="28"/>
                <w:szCs w:val="28"/>
                <w:rtl/>
              </w:rPr>
              <w:t>البرنامج 30</w:t>
            </w:r>
          </w:p>
        </w:tc>
        <w:tc>
          <w:tcPr>
            <w:tcW w:w="569" w:type="pct"/>
            <w:shd w:val="clear" w:color="auto" w:fill="FFFFFF"/>
          </w:tcPr>
          <w:p w14:paraId="128BC808" w14:textId="77777777" w:rsidR="006A7C4F" w:rsidRPr="00884EE4" w:rsidRDefault="006A7C4F" w:rsidP="006E24D8">
            <w:pPr>
              <w:bidi/>
              <w:spacing w:before="120" w:after="120" w:line="280" w:lineRule="exact"/>
              <w:jc w:val="center"/>
              <w:rPr>
                <w:rFonts w:ascii="Arabic Typesetting" w:hAnsi="Arabic Typesetting" w:cs="Arabic Typesetting"/>
                <w:color w:val="A6A6A6" w:themeColor="background1" w:themeShade="A6"/>
                <w:sz w:val="28"/>
                <w:szCs w:val="28"/>
              </w:rPr>
            </w:pPr>
            <w:r w:rsidRPr="00884EE4">
              <w:rPr>
                <w:rFonts w:ascii="Arabic Typesetting" w:hAnsi="Arabic Typesetting" w:cs="Arabic Typesetting"/>
                <w:color w:val="0070C0"/>
                <w:sz w:val="28"/>
                <w:szCs w:val="28"/>
              </w:rPr>
              <w:sym w:font="Wingdings" w:char="F06C"/>
            </w:r>
          </w:p>
        </w:tc>
      </w:tr>
      <w:tr w:rsidR="006A7C4F" w:rsidRPr="00884EE4" w14:paraId="3FDB746E" w14:textId="77777777" w:rsidTr="006E24D8">
        <w:trPr>
          <w:cantSplit/>
          <w:trHeight w:val="463"/>
        </w:trPr>
        <w:tc>
          <w:tcPr>
            <w:tcW w:w="1477" w:type="pct"/>
            <w:vMerge/>
            <w:shd w:val="clear" w:color="auto" w:fill="auto"/>
            <w:tcMar>
              <w:top w:w="113" w:type="dxa"/>
              <w:bottom w:w="57" w:type="dxa"/>
            </w:tcMar>
          </w:tcPr>
          <w:p w14:paraId="7C23DB35"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069D7419"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861" w:type="pct"/>
            <w:shd w:val="clear" w:color="auto" w:fill="FFFFFF"/>
            <w:tcMar>
              <w:top w:w="113" w:type="dxa"/>
              <w:bottom w:w="57" w:type="dxa"/>
            </w:tcMar>
          </w:tcPr>
          <w:p w14:paraId="617B8F83"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sz w:val="28"/>
                <w:szCs w:val="28"/>
                <w:rtl/>
              </w:rPr>
              <w:t>البرنامج 30</w:t>
            </w:r>
          </w:p>
        </w:tc>
        <w:tc>
          <w:tcPr>
            <w:tcW w:w="569" w:type="pct"/>
            <w:shd w:val="clear" w:color="auto" w:fill="FFFFFF"/>
          </w:tcPr>
          <w:p w14:paraId="5C3D89C7" w14:textId="77777777" w:rsidR="006A7C4F" w:rsidRPr="00884EE4" w:rsidRDefault="006A7C4F" w:rsidP="006E24D8">
            <w:pPr>
              <w:bidi/>
              <w:spacing w:before="120" w:after="120" w:line="280" w:lineRule="exact"/>
              <w:jc w:val="center"/>
              <w:rPr>
                <w:rFonts w:ascii="Arabic Typesetting" w:hAnsi="Arabic Typesetting" w:cs="Arabic Typesetting"/>
                <w:color w:val="A6A6A6" w:themeColor="background1" w:themeShade="A6"/>
                <w:sz w:val="28"/>
                <w:szCs w:val="28"/>
              </w:rPr>
            </w:pPr>
            <w:r w:rsidRPr="00884EE4">
              <w:rPr>
                <w:rFonts w:ascii="Arabic Typesetting" w:hAnsi="Arabic Typesetting" w:cs="Arabic Typesetting"/>
                <w:color w:val="00B050"/>
                <w:sz w:val="28"/>
                <w:szCs w:val="28"/>
              </w:rPr>
              <w:sym w:font="Wingdings" w:char="F06C"/>
            </w:r>
          </w:p>
        </w:tc>
      </w:tr>
      <w:tr w:rsidR="006A7C4F" w:rsidRPr="00884EE4" w14:paraId="1B48405F" w14:textId="77777777" w:rsidTr="006E24D8">
        <w:trPr>
          <w:cantSplit/>
          <w:trHeight w:val="463"/>
        </w:trPr>
        <w:tc>
          <w:tcPr>
            <w:tcW w:w="1477" w:type="pct"/>
            <w:vMerge/>
            <w:shd w:val="clear" w:color="auto" w:fill="auto"/>
            <w:tcMar>
              <w:top w:w="113" w:type="dxa"/>
              <w:bottom w:w="57" w:type="dxa"/>
            </w:tcMar>
          </w:tcPr>
          <w:p w14:paraId="610E7155"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021EADC3" w14:textId="77777777" w:rsidR="006A7C4F" w:rsidRPr="00884EE4" w:rsidRDefault="006A7C4F" w:rsidP="006E24D8">
            <w:pPr>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النسبة المئوية للمؤسسات المُدرَّبة الداعمة للشركات الصغيرة والمتوسطة والتي تُوفر المعلومات وخدمات الاستشارة في مجال إدارة أصول الملكية الفكرية</w:t>
            </w:r>
          </w:p>
        </w:tc>
        <w:tc>
          <w:tcPr>
            <w:tcW w:w="861" w:type="pct"/>
            <w:shd w:val="clear" w:color="auto" w:fill="FFFFFF"/>
            <w:tcMar>
              <w:top w:w="113" w:type="dxa"/>
              <w:bottom w:w="57" w:type="dxa"/>
            </w:tcMar>
          </w:tcPr>
          <w:p w14:paraId="6DFCCA2F"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30</w:t>
            </w:r>
          </w:p>
        </w:tc>
        <w:tc>
          <w:tcPr>
            <w:tcW w:w="569" w:type="pct"/>
            <w:shd w:val="clear" w:color="auto" w:fill="FFFFFF"/>
          </w:tcPr>
          <w:p w14:paraId="15E55DB2" w14:textId="77777777" w:rsidR="006A7C4F" w:rsidRPr="00884EE4" w:rsidRDefault="006A7C4F" w:rsidP="006E24D8">
            <w:pPr>
              <w:bidi/>
              <w:spacing w:before="120" w:after="120" w:line="280" w:lineRule="exact"/>
              <w:jc w:val="center"/>
              <w:rPr>
                <w:rFonts w:ascii="Arabic Typesetting" w:hAnsi="Arabic Typesetting" w:cs="Arabic Typesetting"/>
                <w:color w:val="A6A6A6" w:themeColor="background1" w:themeShade="A6"/>
                <w:sz w:val="28"/>
                <w:szCs w:val="28"/>
              </w:rPr>
            </w:pPr>
            <w:r w:rsidRPr="00884EE4">
              <w:rPr>
                <w:rFonts w:ascii="Arabic Typesetting" w:hAnsi="Arabic Typesetting" w:cs="Arabic Typesetting"/>
                <w:color w:val="00B050"/>
                <w:sz w:val="28"/>
                <w:szCs w:val="28"/>
              </w:rPr>
              <w:sym w:font="Wingdings" w:char="F06C"/>
            </w:r>
          </w:p>
        </w:tc>
      </w:tr>
      <w:tr w:rsidR="006A7C4F" w:rsidRPr="00884EE4" w14:paraId="63AD8054" w14:textId="77777777" w:rsidTr="006E24D8">
        <w:trPr>
          <w:cantSplit/>
          <w:trHeight w:val="463"/>
        </w:trPr>
        <w:tc>
          <w:tcPr>
            <w:tcW w:w="1477" w:type="pct"/>
            <w:vMerge/>
            <w:shd w:val="clear" w:color="auto" w:fill="auto"/>
            <w:tcMar>
              <w:top w:w="113" w:type="dxa"/>
              <w:bottom w:w="57" w:type="dxa"/>
            </w:tcMar>
          </w:tcPr>
          <w:p w14:paraId="3DDA33A9"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76FCA83E"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البلدان التي وضعت أو حسَّنت برامج تدريبية في مجال الملكية الفكرية لفائدة الشركات الصغيرة والمتوسطة</w:t>
            </w:r>
          </w:p>
        </w:tc>
        <w:tc>
          <w:tcPr>
            <w:tcW w:w="861" w:type="pct"/>
            <w:shd w:val="clear" w:color="auto" w:fill="FFFFFF"/>
            <w:tcMar>
              <w:top w:w="113" w:type="dxa"/>
              <w:bottom w:w="57" w:type="dxa"/>
            </w:tcMar>
          </w:tcPr>
          <w:p w14:paraId="55CF4829"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30</w:t>
            </w:r>
          </w:p>
        </w:tc>
        <w:tc>
          <w:tcPr>
            <w:tcW w:w="569" w:type="pct"/>
            <w:shd w:val="clear" w:color="auto" w:fill="FFFFFF"/>
          </w:tcPr>
          <w:p w14:paraId="0C102D7B"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00B050"/>
                <w:sz w:val="28"/>
                <w:szCs w:val="28"/>
              </w:rPr>
              <w:sym w:font="Wingdings" w:char="F06C"/>
            </w:r>
          </w:p>
        </w:tc>
      </w:tr>
      <w:tr w:rsidR="006A7C4F" w:rsidRPr="00884EE4" w14:paraId="2DD71E82" w14:textId="77777777" w:rsidTr="006E24D8">
        <w:trPr>
          <w:cantSplit/>
          <w:trHeight w:val="388"/>
        </w:trPr>
        <w:tc>
          <w:tcPr>
            <w:tcW w:w="1477" w:type="pct"/>
            <w:vMerge/>
            <w:shd w:val="clear" w:color="auto" w:fill="auto"/>
            <w:tcMar>
              <w:top w:w="113" w:type="dxa"/>
              <w:bottom w:w="57" w:type="dxa"/>
            </w:tcMar>
          </w:tcPr>
          <w:p w14:paraId="1220FCA5"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16890F86"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rPr>
            </w:pPr>
            <w:r w:rsidRPr="00884EE4">
              <w:rPr>
                <w:rFonts w:ascii="Arabic Typesetting" w:eastAsia="Arabic Typesetting" w:hAnsi="Arabic Typesetting" w:cs="Arabic Typesetting"/>
                <w:color w:val="000000"/>
                <w:sz w:val="28"/>
                <w:szCs w:val="28"/>
                <w:rtl/>
                <w:lang w:eastAsia="ar-EG" w:bidi="ar-EG"/>
              </w:rPr>
              <w:t>عدد البلدان التي وُضعت أو اعتُمدت فيها سياسات للملكية الفكرية من أجل الشركات الصغيرة والمتوسطة</w:t>
            </w:r>
          </w:p>
        </w:tc>
        <w:tc>
          <w:tcPr>
            <w:tcW w:w="861" w:type="pct"/>
            <w:shd w:val="clear" w:color="auto" w:fill="FFFFFF"/>
            <w:tcMar>
              <w:top w:w="113" w:type="dxa"/>
              <w:bottom w:w="57" w:type="dxa"/>
            </w:tcMar>
          </w:tcPr>
          <w:p w14:paraId="23254965"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30</w:t>
            </w:r>
          </w:p>
        </w:tc>
        <w:tc>
          <w:tcPr>
            <w:tcW w:w="569" w:type="pct"/>
            <w:shd w:val="clear" w:color="auto" w:fill="FFFFFF"/>
          </w:tcPr>
          <w:p w14:paraId="687D66A1"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FF0000"/>
                <w:sz w:val="28"/>
                <w:szCs w:val="28"/>
              </w:rPr>
              <w:sym w:font="Wingdings" w:char="F06C"/>
            </w:r>
          </w:p>
        </w:tc>
      </w:tr>
      <w:tr w:rsidR="006A7C4F" w:rsidRPr="00884EE4" w14:paraId="6AE1B713" w14:textId="77777777" w:rsidTr="006E24D8">
        <w:trPr>
          <w:cantSplit/>
          <w:trHeight w:val="463"/>
        </w:trPr>
        <w:tc>
          <w:tcPr>
            <w:tcW w:w="1477" w:type="pct"/>
            <w:vMerge/>
            <w:shd w:val="clear" w:color="auto" w:fill="auto"/>
            <w:tcMar>
              <w:top w:w="113" w:type="dxa"/>
              <w:bottom w:w="57" w:type="dxa"/>
            </w:tcMar>
          </w:tcPr>
          <w:p w14:paraId="30BA29E9"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70E68A76"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lang w:bidi="th-TH"/>
              </w:rPr>
            </w:pPr>
            <w:r w:rsidRPr="00884EE4">
              <w:rPr>
                <w:rFonts w:ascii="Arabic Typesetting" w:eastAsia="Arabic Typesetting" w:hAnsi="Arabic Typesetting" w:cs="Arabic Typesetting"/>
                <w:color w:val="000000"/>
                <w:sz w:val="28"/>
                <w:szCs w:val="28"/>
                <w:rtl/>
                <w:lang w:eastAsia="ar-EG" w:bidi="ar-EG"/>
              </w:rPr>
              <w:t>عدد مرات تحميل المواد والمبادئ التوجيهية الخاصة بالشركات الصغيرة والمتوسطة</w:t>
            </w:r>
          </w:p>
        </w:tc>
        <w:tc>
          <w:tcPr>
            <w:tcW w:w="861" w:type="pct"/>
            <w:shd w:val="clear" w:color="auto" w:fill="FFFFFF"/>
            <w:tcMar>
              <w:top w:w="113" w:type="dxa"/>
              <w:bottom w:w="57" w:type="dxa"/>
            </w:tcMar>
          </w:tcPr>
          <w:p w14:paraId="575AC142"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30</w:t>
            </w:r>
          </w:p>
        </w:tc>
        <w:tc>
          <w:tcPr>
            <w:tcW w:w="569" w:type="pct"/>
            <w:shd w:val="clear" w:color="auto" w:fill="FFFFFF"/>
          </w:tcPr>
          <w:p w14:paraId="4FB4EC7F"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color w:val="FF0000"/>
                <w:sz w:val="28"/>
                <w:szCs w:val="28"/>
              </w:rPr>
              <w:sym w:font="Wingdings" w:char="F06C"/>
            </w:r>
            <w:r w:rsidRPr="00884EE4">
              <w:rPr>
                <w:rFonts w:ascii="Arabic Typesetting" w:hAnsi="Arabic Typesetting" w:cs="Arabic Typesetting"/>
                <w:color w:val="00B050"/>
                <w:sz w:val="28"/>
                <w:szCs w:val="28"/>
              </w:rPr>
              <w:sym w:font="Wingdings" w:char="F06C"/>
            </w:r>
          </w:p>
        </w:tc>
      </w:tr>
      <w:tr w:rsidR="006A7C4F" w:rsidRPr="00884EE4" w14:paraId="098F1534" w14:textId="77777777" w:rsidTr="006E24D8">
        <w:trPr>
          <w:cantSplit/>
          <w:trHeight w:val="463"/>
        </w:trPr>
        <w:tc>
          <w:tcPr>
            <w:tcW w:w="1477" w:type="pct"/>
            <w:vMerge/>
            <w:shd w:val="clear" w:color="auto" w:fill="auto"/>
            <w:tcMar>
              <w:top w:w="113" w:type="dxa"/>
              <w:bottom w:w="57" w:type="dxa"/>
            </w:tcMar>
          </w:tcPr>
          <w:p w14:paraId="7039462A" w14:textId="77777777" w:rsidR="006A7C4F" w:rsidRPr="00884EE4" w:rsidRDefault="006A7C4F"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57" w:type="dxa"/>
            </w:tcMar>
          </w:tcPr>
          <w:p w14:paraId="6045B99C" w14:textId="77777777" w:rsidR="006A7C4F" w:rsidRPr="00884EE4" w:rsidRDefault="006A7C4F" w:rsidP="006E24D8">
            <w:pPr>
              <w:keepNext/>
              <w:keepLines/>
              <w:bidi/>
              <w:spacing w:before="120" w:after="120" w:line="280" w:lineRule="exact"/>
              <w:rPr>
                <w:rFonts w:ascii="Arabic Typesetting" w:hAnsi="Arabic Typesetting" w:cs="Arabic Typesetting"/>
                <w:sz w:val="28"/>
                <w:szCs w:val="28"/>
                <w:lang w:bidi="th-TH"/>
              </w:rPr>
            </w:pPr>
            <w:r w:rsidRPr="00884EE4">
              <w:rPr>
                <w:rFonts w:ascii="Arabic Typesetting" w:eastAsia="Arabic Typesetting" w:hAnsi="Arabic Typesetting" w:cs="Arabic Typesetting"/>
                <w:color w:val="000000"/>
                <w:sz w:val="28"/>
                <w:szCs w:val="28"/>
                <w:rtl/>
                <w:lang w:eastAsia="ar-EG" w:bidi="ar-EG"/>
              </w:rPr>
              <w:t>عدد الاشتراكات في النشرة الإخبارية الخاصة بالشركات الصغيرة والمتوسطة</w:t>
            </w:r>
          </w:p>
        </w:tc>
        <w:tc>
          <w:tcPr>
            <w:tcW w:w="861" w:type="pct"/>
            <w:shd w:val="clear" w:color="auto" w:fill="FFFFFF"/>
            <w:tcMar>
              <w:top w:w="113" w:type="dxa"/>
              <w:bottom w:w="57" w:type="dxa"/>
            </w:tcMar>
          </w:tcPr>
          <w:p w14:paraId="6DEE755A" w14:textId="77777777" w:rsidR="006A7C4F" w:rsidRPr="00884EE4" w:rsidRDefault="006A7C4F" w:rsidP="006E24D8">
            <w:pPr>
              <w:bidi/>
              <w:spacing w:before="120" w:after="120" w:line="280" w:lineRule="exact"/>
              <w:jc w:val="center"/>
              <w:rPr>
                <w:rFonts w:ascii="Arabic Typesetting" w:hAnsi="Arabic Typesetting" w:cs="Arabic Typesetting"/>
                <w:sz w:val="28"/>
                <w:szCs w:val="28"/>
                <w:lang w:bidi="th-TH"/>
              </w:rPr>
            </w:pPr>
            <w:r w:rsidRPr="00884EE4">
              <w:rPr>
                <w:rFonts w:ascii="Arabic Typesetting" w:hAnsi="Arabic Typesetting" w:cs="Arabic Typesetting"/>
                <w:sz w:val="28"/>
                <w:szCs w:val="28"/>
                <w:rtl/>
              </w:rPr>
              <w:t>البرنامج 30</w:t>
            </w:r>
          </w:p>
        </w:tc>
        <w:tc>
          <w:tcPr>
            <w:tcW w:w="569" w:type="pct"/>
            <w:shd w:val="clear" w:color="auto" w:fill="FFFFFF"/>
          </w:tcPr>
          <w:p w14:paraId="7018FC2C" w14:textId="77777777" w:rsidR="006A7C4F" w:rsidRPr="00884EE4" w:rsidRDefault="006A7C4F" w:rsidP="006E24D8">
            <w:pPr>
              <w:bidi/>
              <w:spacing w:before="120" w:after="120" w:line="280" w:lineRule="exact"/>
              <w:jc w:val="center"/>
              <w:rPr>
                <w:rFonts w:ascii="Arabic Typesetting" w:hAnsi="Arabic Typesetting" w:cs="Arabic Typesetting"/>
                <w:sz w:val="28"/>
                <w:szCs w:val="28"/>
              </w:rPr>
            </w:pPr>
            <w:r w:rsidRPr="00884EE4">
              <w:rPr>
                <w:rFonts w:ascii="Arabic Typesetting" w:hAnsi="Arabic Typesetting" w:cs="Arabic Typesetting"/>
                <w:sz w:val="28"/>
                <w:szCs w:val="28"/>
              </w:rPr>
              <w:sym w:font="Wingdings" w:char="F06C"/>
            </w:r>
          </w:p>
        </w:tc>
      </w:tr>
    </w:tbl>
    <w:p w14:paraId="512D310C" w14:textId="77777777" w:rsidR="006A7C4F" w:rsidRDefault="006A7C4F" w:rsidP="006A7C4F">
      <w:pPr>
        <w:pStyle w:val="NormalParaAR"/>
        <w:rPr>
          <w:rtl/>
        </w:rPr>
      </w:pPr>
    </w:p>
    <w:p w14:paraId="01B11D71" w14:textId="77777777" w:rsidR="00CE6E0B" w:rsidRPr="00254297" w:rsidRDefault="00CE6E0B" w:rsidP="00DA7DF7">
      <w:pPr>
        <w:pStyle w:val="Heading3"/>
        <w:ind w:left="1984" w:hanging="1984"/>
      </w:pPr>
      <w:bookmarkStart w:id="27" w:name="_Toc482782754"/>
      <w:r w:rsidRPr="00254297">
        <w:rPr>
          <w:rtl/>
        </w:rPr>
        <w:lastRenderedPageBreak/>
        <w:t>البرنامج</w:t>
      </w:r>
      <w:r>
        <w:rPr>
          <w:rFonts w:hint="cs"/>
          <w:rtl/>
        </w:rPr>
        <w:t xml:space="preserve"> 8</w:t>
      </w:r>
      <w:r w:rsidRPr="00254297">
        <w:rPr>
          <w:rFonts w:hint="cs"/>
          <w:rtl/>
        </w:rPr>
        <w:t>:</w:t>
      </w:r>
      <w:r w:rsidRPr="00254297">
        <w:tab/>
      </w:r>
      <w:r w:rsidRPr="00CF015D">
        <w:rPr>
          <w:rtl/>
        </w:rPr>
        <w:t>تنسيق أجندة التنمية</w:t>
      </w:r>
      <w:bookmarkEnd w:id="27"/>
    </w:p>
    <w:p w14:paraId="02C31F64" w14:textId="77777777" w:rsidR="00CE6E0B" w:rsidRDefault="00CE6E0B"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CF015D">
        <w:rPr>
          <w:rFonts w:ascii="Arabic Typesetting" w:hAnsi="Arabic Typesetting" w:cs="Arabic Typesetting"/>
          <w:b/>
          <w:bCs/>
          <w:sz w:val="36"/>
          <w:szCs w:val="36"/>
          <w:rtl/>
          <w:lang w:val="fr-CH"/>
        </w:rPr>
        <w:t>السيد ماريو ماتوس</w:t>
      </w:r>
    </w:p>
    <w:p w14:paraId="129800AC" w14:textId="77777777" w:rsidR="00CE6E0B" w:rsidRDefault="00CE6E0B"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3A62E802" wp14:editId="7F6B6AEE">
            <wp:extent cx="3640074"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40074" cy="2160000"/>
                    </a:xfrm>
                    <a:prstGeom prst="rect">
                      <a:avLst/>
                    </a:prstGeom>
                    <a:noFill/>
                  </pic:spPr>
                </pic:pic>
              </a:graphicData>
            </a:graphic>
          </wp:inline>
        </w:drawing>
      </w:r>
    </w:p>
    <w:tbl>
      <w:tblPr>
        <w:bidiVisual/>
        <w:tblW w:w="5000" w:type="pct"/>
        <w:tblCellMar>
          <w:left w:w="115" w:type="dxa"/>
          <w:right w:w="115" w:type="dxa"/>
        </w:tblCellMar>
        <w:tblLook w:val="0000" w:firstRow="0" w:lastRow="0" w:firstColumn="0" w:lastColumn="0" w:noHBand="0" w:noVBand="0"/>
      </w:tblPr>
      <w:tblGrid>
        <w:gridCol w:w="2222"/>
        <w:gridCol w:w="2654"/>
        <w:gridCol w:w="1407"/>
        <w:gridCol w:w="2231"/>
        <w:gridCol w:w="957"/>
      </w:tblGrid>
      <w:tr w:rsidR="00CE6E0B" w:rsidRPr="00CF015D" w14:paraId="7F6B16B2" w14:textId="77777777" w:rsidTr="00BB3820">
        <w:trPr>
          <w:trHeight w:val="565"/>
        </w:trPr>
        <w:tc>
          <w:tcPr>
            <w:tcW w:w="5000" w:type="pct"/>
            <w:gridSpan w:val="5"/>
            <w:shd w:val="clear" w:color="auto" w:fill="C6D9F1"/>
            <w:tcMar>
              <w:left w:w="58" w:type="dxa"/>
              <w:right w:w="58" w:type="dxa"/>
            </w:tcMar>
            <w:vAlign w:val="center"/>
          </w:tcPr>
          <w:p w14:paraId="6C5E7994" w14:textId="77777777" w:rsidR="00CE6E0B" w:rsidRPr="00CF015D"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t>‏النتيجة المرتقبة:</w:t>
            </w:r>
            <w:r w:rsidRPr="00CF015D">
              <w:rPr>
                <w:rFonts w:ascii="Arabic Typesetting" w:eastAsia="Arabic Typesetting" w:hAnsi="Arabic Typesetting" w:cs="Arabic Typesetting"/>
                <w:sz w:val="28"/>
                <w:szCs w:val="28"/>
                <w:lang w:eastAsia="ar-EG" w:bidi="ar-EG"/>
              </w:rPr>
              <w:tab/>
            </w:r>
            <w:r w:rsidRPr="00CF015D">
              <w:rPr>
                <w:rFonts w:ascii="Arabic Typesetting" w:eastAsia="Arabic Typesetting" w:hAnsi="Arabic Typesetting" w:cs="Arabic Typesetting"/>
                <w:color w:val="000000"/>
                <w:sz w:val="28"/>
                <w:szCs w:val="28"/>
                <w:rtl/>
                <w:lang w:eastAsia="ar-EG" w:bidi="ar-EG"/>
              </w:rPr>
              <w:t>ه3.3 تعميم توصيات أجندة التنمية على عمل الويبو</w:t>
            </w:r>
          </w:p>
        </w:tc>
      </w:tr>
      <w:tr w:rsidR="00CE6E0B" w:rsidRPr="00CF015D" w14:paraId="7F58D5A0" w14:textId="77777777" w:rsidTr="00BB3820">
        <w:tc>
          <w:tcPr>
            <w:tcW w:w="1173" w:type="pct"/>
            <w:shd w:val="clear" w:color="auto" w:fill="auto"/>
            <w:tcMar>
              <w:left w:w="58" w:type="dxa"/>
              <w:right w:w="58" w:type="dxa"/>
            </w:tcMar>
            <w:vAlign w:val="center"/>
          </w:tcPr>
          <w:p w14:paraId="4A52A313" w14:textId="77777777" w:rsidR="00CE6E0B" w:rsidRPr="00CF015D"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t>مؤشرات الأداء</w:t>
            </w:r>
          </w:p>
        </w:tc>
        <w:tc>
          <w:tcPr>
            <w:tcW w:w="1401" w:type="pct"/>
            <w:shd w:val="clear" w:color="auto" w:fill="auto"/>
            <w:tcMar>
              <w:left w:w="58" w:type="dxa"/>
              <w:right w:w="58" w:type="dxa"/>
            </w:tcMar>
            <w:vAlign w:val="center"/>
          </w:tcPr>
          <w:p w14:paraId="5F46E5D8" w14:textId="77777777" w:rsidR="00CE6E0B" w:rsidRPr="00CF015D"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t>أسس المقارنة</w:t>
            </w:r>
          </w:p>
        </w:tc>
        <w:tc>
          <w:tcPr>
            <w:tcW w:w="743" w:type="pct"/>
            <w:shd w:val="clear" w:color="auto" w:fill="auto"/>
            <w:tcMar>
              <w:top w:w="110" w:type="dxa"/>
              <w:left w:w="58" w:type="dxa"/>
              <w:right w:w="58" w:type="dxa"/>
            </w:tcMar>
            <w:vAlign w:val="center"/>
          </w:tcPr>
          <w:p w14:paraId="3DEC766C" w14:textId="77777777" w:rsidR="00CE6E0B" w:rsidRPr="00CF015D"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t>الأهداف</w:t>
            </w:r>
          </w:p>
        </w:tc>
        <w:tc>
          <w:tcPr>
            <w:tcW w:w="1178" w:type="pct"/>
            <w:shd w:val="clear" w:color="auto" w:fill="FFFFFF"/>
            <w:tcMar>
              <w:top w:w="110" w:type="dxa"/>
              <w:left w:w="58" w:type="dxa"/>
              <w:right w:w="58" w:type="dxa"/>
            </w:tcMar>
            <w:vAlign w:val="center"/>
          </w:tcPr>
          <w:p w14:paraId="3387D6BD" w14:textId="77777777" w:rsidR="00CE6E0B" w:rsidRPr="00CF015D"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t>بيانات الأداء</w:t>
            </w:r>
          </w:p>
        </w:tc>
        <w:tc>
          <w:tcPr>
            <w:tcW w:w="505" w:type="pct"/>
            <w:shd w:val="clear" w:color="auto" w:fill="auto"/>
            <w:tcMar>
              <w:top w:w="110" w:type="dxa"/>
              <w:left w:w="58" w:type="dxa"/>
              <w:right w:w="58" w:type="dxa"/>
            </w:tcMar>
            <w:vAlign w:val="center"/>
          </w:tcPr>
          <w:p w14:paraId="7D45F1C4" w14:textId="77777777" w:rsidR="00CE6E0B" w:rsidRPr="00CF015D" w:rsidRDefault="00CE6E0B"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t>السير</w:t>
            </w:r>
          </w:p>
        </w:tc>
      </w:tr>
      <w:tr w:rsidR="00CE6E0B" w:rsidRPr="00CF015D" w14:paraId="16393EE4" w14:textId="77777777" w:rsidTr="00BB3820">
        <w:trPr>
          <w:trHeight w:val="1636"/>
        </w:trPr>
        <w:tc>
          <w:tcPr>
            <w:tcW w:w="1173" w:type="pct"/>
            <w:shd w:val="clear" w:color="auto" w:fill="auto"/>
            <w:tcMar>
              <w:left w:w="58" w:type="dxa"/>
              <w:right w:w="58" w:type="dxa"/>
            </w:tcMar>
          </w:tcPr>
          <w:p w14:paraId="0E084AD9"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دمج مبادئ التنمية الواردة في توصيات أجندة التنمية بفعالية في عمل برامج الويبو</w:t>
            </w:r>
          </w:p>
        </w:tc>
        <w:tc>
          <w:tcPr>
            <w:tcW w:w="1401" w:type="pct"/>
            <w:shd w:val="clear" w:color="auto" w:fill="auto"/>
            <w:tcMar>
              <w:left w:w="58" w:type="dxa"/>
              <w:right w:w="58" w:type="dxa"/>
            </w:tcMar>
          </w:tcPr>
          <w:p w14:paraId="6F2C13B6" w14:textId="17D865BE" w:rsidR="00CE6E0B" w:rsidRDefault="00CE6E0B" w:rsidP="00D02C02">
            <w:pPr>
              <w:bidi/>
              <w:spacing w:after="120" w:line="280" w:lineRule="exact"/>
              <w:rPr>
                <w:rFonts w:ascii="Arabic Typesetting" w:eastAsia="Arabic Typesetting" w:hAnsi="Arabic Typesetting" w:cs="Arabic Typesetting"/>
                <w:color w:val="002060"/>
                <w:sz w:val="28"/>
                <w:szCs w:val="28"/>
                <w:lang w:eastAsia="ar-EG" w:bidi="ar-EG"/>
              </w:rPr>
            </w:pPr>
            <w:r w:rsidRPr="00CF015D">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F015D">
              <w:rPr>
                <w:rFonts w:ascii="Arabic Typesetting" w:eastAsia="Arabic Typesetting" w:hAnsi="Arabic Typesetting" w:cs="Arabic Typesetting"/>
                <w:color w:val="002060"/>
                <w:sz w:val="28"/>
                <w:szCs w:val="28"/>
                <w:rtl/>
                <w:lang w:eastAsia="ar-EG" w:bidi="ar-EG"/>
              </w:rPr>
              <w:t xml:space="preserve">تحتوي وثيقة البرنامج والميزانية 2014/15 على 23 برنامجاً </w:t>
            </w:r>
            <w:r w:rsidR="00D02C02">
              <w:rPr>
                <w:rFonts w:ascii="Arabic Typesetting" w:eastAsia="Arabic Typesetting" w:hAnsi="Arabic Typesetting" w:cs="Arabic Typesetting" w:hint="cs"/>
                <w:color w:val="002060"/>
                <w:sz w:val="28"/>
                <w:szCs w:val="28"/>
                <w:rtl/>
                <w:lang w:eastAsia="ar-EG" w:bidi="ar-EG"/>
              </w:rPr>
              <w:t>عُممت فيه</w:t>
            </w:r>
            <w:r w:rsidRPr="00CF015D">
              <w:rPr>
                <w:rFonts w:ascii="Arabic Typesetting" w:eastAsia="Arabic Typesetting" w:hAnsi="Arabic Typesetting" w:cs="Arabic Typesetting"/>
                <w:color w:val="002060"/>
                <w:sz w:val="28"/>
                <w:szCs w:val="28"/>
                <w:rtl/>
                <w:lang w:eastAsia="ar-EG" w:bidi="ar-EG"/>
              </w:rPr>
              <w:t xml:space="preserve"> أنشطة أجندة التنمية</w:t>
            </w:r>
          </w:p>
          <w:p w14:paraId="08FD25C1"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i/>
                <w:iCs/>
                <w:sz w:val="28"/>
                <w:szCs w:val="28"/>
                <w:rtl/>
                <w:lang w:eastAsia="ar-EG" w:bidi="ar-EG"/>
              </w:rPr>
              <w:t>‏أساس المقارنة الأصلي:</w:t>
            </w:r>
            <w:r w:rsidRPr="00CF015D">
              <w:rPr>
                <w:rFonts w:ascii="Arabic Typesetting" w:eastAsia="Arabic Typesetting" w:hAnsi="Arabic Typesetting" w:cs="Arabic Typesetting"/>
                <w:i/>
                <w:sz w:val="28"/>
                <w:szCs w:val="28"/>
                <w:lang w:eastAsia="ar-EG" w:bidi="ar-EG"/>
              </w:rPr>
              <w:br/>
            </w:r>
            <w:r w:rsidRPr="00CF015D">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CF015D">
              <w:rPr>
                <w:rFonts w:ascii="Arabic Typesetting" w:eastAsia="Arabic Typesetting" w:hAnsi="Arabic Typesetting" w:cs="Arabic Typesetting"/>
                <w:color w:val="000000"/>
                <w:sz w:val="28"/>
                <w:szCs w:val="28"/>
                <w:rtl/>
                <w:lang w:eastAsia="ar-EG" w:bidi="ar-EG"/>
              </w:rPr>
              <w:t>غير متاح (مؤشر أداء جديد)</w:t>
            </w:r>
          </w:p>
        </w:tc>
        <w:tc>
          <w:tcPr>
            <w:tcW w:w="743" w:type="pct"/>
            <w:shd w:val="clear" w:color="auto" w:fill="auto"/>
            <w:tcMar>
              <w:top w:w="110" w:type="dxa"/>
              <w:left w:w="58" w:type="dxa"/>
              <w:right w:w="58" w:type="dxa"/>
            </w:tcMar>
          </w:tcPr>
          <w:p w14:paraId="729E21AB"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 xml:space="preserve">تعزيز تعميم المبادئ الواردة في توصيات </w:t>
            </w:r>
            <w:r>
              <w:rPr>
                <w:rFonts w:ascii="Arabic Typesetting" w:eastAsia="Arabic Typesetting" w:hAnsi="Arabic Typesetting" w:cs="Arabic Typesetting" w:hint="cs"/>
                <w:color w:val="000000"/>
                <w:sz w:val="28"/>
                <w:szCs w:val="28"/>
                <w:rtl/>
                <w:lang w:eastAsia="ar-EG" w:bidi="ar-EG"/>
              </w:rPr>
              <w:t>أجندة</w:t>
            </w:r>
            <w:r w:rsidRPr="00CF015D">
              <w:rPr>
                <w:rFonts w:ascii="Arabic Typesetting" w:eastAsia="Arabic Typesetting" w:hAnsi="Arabic Typesetting" w:cs="Arabic Typesetting"/>
                <w:color w:val="000000"/>
                <w:sz w:val="28"/>
                <w:szCs w:val="28"/>
                <w:rtl/>
                <w:lang w:eastAsia="ar-EG" w:bidi="ar-EG"/>
              </w:rPr>
              <w:t xml:space="preserve"> التنمية البالغ عددها 45 في</w:t>
            </w:r>
            <w:r>
              <w:rPr>
                <w:rFonts w:ascii="Arabic Typesetting" w:eastAsia="Arabic Typesetting" w:hAnsi="Arabic Typesetting" w:cs="Arabic Typesetting" w:hint="cs"/>
                <w:color w:val="000000"/>
                <w:sz w:val="28"/>
                <w:szCs w:val="28"/>
                <w:rtl/>
                <w:lang w:eastAsia="ar-EG" w:bidi="ar-EG"/>
              </w:rPr>
              <w:t> </w:t>
            </w:r>
            <w:r w:rsidRPr="00CF015D">
              <w:rPr>
                <w:rFonts w:ascii="Arabic Typesetting" w:eastAsia="Arabic Typesetting" w:hAnsi="Arabic Typesetting" w:cs="Arabic Typesetting"/>
                <w:color w:val="000000"/>
                <w:sz w:val="28"/>
                <w:szCs w:val="28"/>
                <w:rtl/>
                <w:lang w:eastAsia="ar-EG" w:bidi="ar-EG"/>
              </w:rPr>
              <w:t>برامج</w:t>
            </w:r>
            <w:r>
              <w:rPr>
                <w:rFonts w:ascii="Arabic Typesetting" w:eastAsia="Arabic Typesetting" w:hAnsi="Arabic Typesetting" w:cs="Arabic Typesetting" w:hint="cs"/>
                <w:color w:val="000000"/>
                <w:sz w:val="28"/>
                <w:szCs w:val="28"/>
                <w:rtl/>
                <w:lang w:eastAsia="ar-EG" w:bidi="ar-EG"/>
              </w:rPr>
              <w:t> </w:t>
            </w:r>
            <w:r w:rsidRPr="00CF015D">
              <w:rPr>
                <w:rFonts w:ascii="Arabic Typesetting" w:eastAsia="Arabic Typesetting" w:hAnsi="Arabic Typesetting" w:cs="Arabic Typesetting"/>
                <w:color w:val="000000"/>
                <w:sz w:val="28"/>
                <w:szCs w:val="28"/>
                <w:rtl/>
                <w:lang w:eastAsia="ar-EG" w:bidi="ar-EG"/>
              </w:rPr>
              <w:t>الويبو</w:t>
            </w:r>
          </w:p>
        </w:tc>
        <w:tc>
          <w:tcPr>
            <w:tcW w:w="1178" w:type="pct"/>
            <w:shd w:val="clear" w:color="auto" w:fill="FFFFFF"/>
            <w:tcMar>
              <w:top w:w="110" w:type="dxa"/>
              <w:left w:w="58" w:type="dxa"/>
              <w:right w:w="58" w:type="dxa"/>
            </w:tcMar>
          </w:tcPr>
          <w:p w14:paraId="377EA50B"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 مشاركة 12 برنامجاً في تنفيذ الأن</w:t>
            </w:r>
            <w:r>
              <w:rPr>
                <w:rFonts w:ascii="Arabic Typesetting" w:eastAsia="Arabic Typesetting" w:hAnsi="Arabic Typesetting" w:cs="Arabic Typesetting"/>
                <w:color w:val="000000"/>
                <w:sz w:val="28"/>
                <w:szCs w:val="28"/>
                <w:rtl/>
                <w:lang w:eastAsia="ar-EG" w:bidi="ar-EG"/>
              </w:rPr>
              <w:t>شطة التي اعتمدتها لجنة التنمية؛</w:t>
            </w:r>
          </w:p>
          <w:p w14:paraId="108E5DA8"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 تجلى تعميم أجندة التنمية في عمل 23 برنامجاً</w:t>
            </w:r>
          </w:p>
        </w:tc>
        <w:tc>
          <w:tcPr>
            <w:tcW w:w="505" w:type="pct"/>
            <w:shd w:val="clear" w:color="auto" w:fill="auto"/>
            <w:tcMar>
              <w:top w:w="110" w:type="dxa"/>
              <w:left w:w="58" w:type="dxa"/>
              <w:right w:w="58" w:type="dxa"/>
            </w:tcMar>
          </w:tcPr>
          <w:p w14:paraId="40ABB486" w14:textId="77777777" w:rsidR="00CE6E0B" w:rsidRPr="00CF015D"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CF015D">
              <w:rPr>
                <w:rFonts w:ascii="Arabic Typesetting" w:eastAsia="Arabic Typesetting" w:hAnsi="Arabic Typesetting" w:cs="Arabic Typesetting"/>
                <w:b/>
                <w:bCs/>
                <w:color w:val="00B050"/>
                <w:sz w:val="28"/>
                <w:szCs w:val="28"/>
                <w:rtl/>
                <w:lang w:eastAsia="ar-EG" w:bidi="ar-EG"/>
              </w:rPr>
              <w:t>ثابت</w:t>
            </w:r>
          </w:p>
        </w:tc>
      </w:tr>
      <w:tr w:rsidR="00CE6E0B" w:rsidRPr="00CF015D" w14:paraId="08D66D5B" w14:textId="77777777" w:rsidTr="00BB3820">
        <w:trPr>
          <w:trHeight w:val="1195"/>
        </w:trPr>
        <w:tc>
          <w:tcPr>
            <w:tcW w:w="1173" w:type="pct"/>
            <w:shd w:val="clear" w:color="auto" w:fill="auto"/>
            <w:tcMar>
              <w:left w:w="58" w:type="dxa"/>
              <w:right w:w="58" w:type="dxa"/>
            </w:tcMar>
          </w:tcPr>
          <w:p w14:paraId="2D2E6BE0"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متابعة فعالة لتنفيذ توصيات الاستعراض المستقل لأجندة التنمية</w:t>
            </w:r>
          </w:p>
        </w:tc>
        <w:tc>
          <w:tcPr>
            <w:tcW w:w="1401" w:type="pct"/>
            <w:shd w:val="clear" w:color="auto" w:fill="auto"/>
            <w:tcMar>
              <w:left w:w="58" w:type="dxa"/>
              <w:right w:w="58" w:type="dxa"/>
            </w:tcMar>
          </w:tcPr>
          <w:p w14:paraId="68ED28F2"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F015D">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F015D">
              <w:rPr>
                <w:rFonts w:ascii="Arabic Typesetting" w:eastAsia="Arabic Typesetting" w:hAnsi="Arabic Typesetting" w:cs="Arabic Typesetting"/>
                <w:color w:val="002060"/>
                <w:sz w:val="28"/>
                <w:szCs w:val="28"/>
                <w:rtl/>
                <w:lang w:eastAsia="ar-EG" w:bidi="ar-EG"/>
              </w:rPr>
              <w:t>كان الاستعراض المستقل لأجندة التنمية لا يزال جارياً في نهاية 2015.</w:t>
            </w:r>
          </w:p>
          <w:p w14:paraId="6D48AB12"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i/>
                <w:iCs/>
                <w:sz w:val="28"/>
                <w:szCs w:val="28"/>
                <w:rtl/>
                <w:lang w:eastAsia="ar-EG" w:bidi="ar-EG"/>
              </w:rPr>
              <w:t>‏أساس المقارنة الأصلي:</w:t>
            </w:r>
            <w:r w:rsidRPr="00CF015D">
              <w:rPr>
                <w:rFonts w:ascii="Arabic Typesetting" w:eastAsia="Arabic Typesetting" w:hAnsi="Arabic Typesetting" w:cs="Arabic Typesetting"/>
                <w:i/>
                <w:sz w:val="28"/>
                <w:szCs w:val="28"/>
                <w:lang w:eastAsia="ar-EG" w:bidi="ar-EG"/>
              </w:rPr>
              <w:br/>
            </w:r>
            <w:r w:rsidRPr="00CF015D">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CF015D">
              <w:rPr>
                <w:rFonts w:ascii="Arabic Typesetting" w:eastAsia="Arabic Typesetting" w:hAnsi="Arabic Typesetting" w:cs="Arabic Typesetting"/>
                <w:color w:val="000000"/>
                <w:sz w:val="28"/>
                <w:szCs w:val="28"/>
                <w:rtl/>
                <w:lang w:eastAsia="ar-EG" w:bidi="ar-EG"/>
              </w:rPr>
              <w:t>غير متاح (مؤشر أداء جديد)</w:t>
            </w:r>
          </w:p>
        </w:tc>
        <w:tc>
          <w:tcPr>
            <w:tcW w:w="743" w:type="pct"/>
            <w:shd w:val="clear" w:color="auto" w:fill="auto"/>
            <w:tcMar>
              <w:top w:w="110" w:type="dxa"/>
              <w:left w:w="58" w:type="dxa"/>
              <w:right w:w="58" w:type="dxa"/>
            </w:tcMar>
          </w:tcPr>
          <w:p w14:paraId="17D7C59B"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لدى الويبو نظام فعال لرصد تنفيذ التوصيات الصادرة عن</w:t>
            </w:r>
            <w:r>
              <w:rPr>
                <w:rFonts w:ascii="Arabic Typesetting" w:eastAsia="Arabic Typesetting" w:hAnsi="Arabic Typesetting" w:cs="Arabic Typesetting" w:hint="cs"/>
                <w:color w:val="000000"/>
                <w:sz w:val="28"/>
                <w:szCs w:val="28"/>
                <w:rtl/>
                <w:lang w:eastAsia="ar-EG" w:bidi="ar-EG"/>
              </w:rPr>
              <w:t xml:space="preserve"> </w:t>
            </w:r>
            <w:r w:rsidRPr="00CF015D">
              <w:rPr>
                <w:rFonts w:ascii="Arabic Typesetting" w:eastAsia="Arabic Typesetting" w:hAnsi="Arabic Typesetting" w:cs="Arabic Typesetting"/>
                <w:color w:val="000000"/>
                <w:sz w:val="28"/>
                <w:szCs w:val="28"/>
                <w:rtl/>
                <w:lang w:eastAsia="ar-EG" w:bidi="ar-EG"/>
              </w:rPr>
              <w:t>الاستعراض</w:t>
            </w:r>
          </w:p>
        </w:tc>
        <w:tc>
          <w:tcPr>
            <w:tcW w:w="1178" w:type="pct"/>
            <w:shd w:val="clear" w:color="auto" w:fill="FFFFFF"/>
            <w:tcMar>
              <w:top w:w="110" w:type="dxa"/>
              <w:left w:w="58" w:type="dxa"/>
              <w:right w:w="58" w:type="dxa"/>
            </w:tcMar>
          </w:tcPr>
          <w:p w14:paraId="4BC48CB8"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ناقشت لجنة التنمية في دورتها الثامنة عشرة وأحاطت علماً بالاستعراض المستقل لأجندة التنمية</w:t>
            </w:r>
            <w:r w:rsidRPr="00CF015D">
              <w:rPr>
                <w:rFonts w:ascii="Arabic Typesetting" w:eastAsia="Arabic Typesetting" w:hAnsi="Arabic Typesetting" w:cs="Arabic Typesetting"/>
                <w:color w:val="000000"/>
                <w:sz w:val="28"/>
                <w:szCs w:val="28"/>
                <w:vertAlign w:val="superscript"/>
                <w:lang w:eastAsia="ar-EG" w:bidi="ar-EG"/>
              </w:rPr>
              <w:footnoteReference w:id="46"/>
            </w:r>
            <w:r w:rsidRPr="00CF015D">
              <w:rPr>
                <w:rFonts w:ascii="Arabic Typesetting" w:eastAsia="Arabic Typesetting" w:hAnsi="Arabic Typesetting" w:cs="Arabic Typesetting"/>
                <w:color w:val="000000"/>
                <w:sz w:val="28"/>
                <w:szCs w:val="28"/>
                <w:rtl/>
                <w:lang w:eastAsia="ar-EG" w:bidi="ar-EG"/>
              </w:rPr>
              <w:t xml:space="preserve"> وطلبت من الأمانة إعداد وثيقة تتضمن ردها على التوصيات الموجهة إليها مع مراعاة آراء الدول</w:t>
            </w:r>
            <w:r>
              <w:rPr>
                <w:rFonts w:ascii="Arabic Typesetting" w:eastAsia="Arabic Typesetting" w:hAnsi="Arabic Typesetting" w:cs="Arabic Typesetting" w:hint="cs"/>
                <w:color w:val="000000"/>
                <w:sz w:val="28"/>
                <w:szCs w:val="28"/>
                <w:rtl/>
                <w:lang w:eastAsia="ar-EG" w:bidi="ar-EG"/>
              </w:rPr>
              <w:t> </w:t>
            </w:r>
            <w:r w:rsidRPr="00CF015D">
              <w:rPr>
                <w:rFonts w:ascii="Arabic Typesetting" w:eastAsia="Arabic Typesetting" w:hAnsi="Arabic Typesetting" w:cs="Arabic Typesetting"/>
                <w:color w:val="000000"/>
                <w:sz w:val="28"/>
                <w:szCs w:val="28"/>
                <w:rtl/>
                <w:lang w:eastAsia="ar-EG" w:bidi="ar-EG"/>
              </w:rPr>
              <w:t>الأعضاء</w:t>
            </w:r>
          </w:p>
        </w:tc>
        <w:tc>
          <w:tcPr>
            <w:tcW w:w="505" w:type="pct"/>
            <w:shd w:val="clear" w:color="auto" w:fill="auto"/>
            <w:tcMar>
              <w:top w:w="110" w:type="dxa"/>
              <w:left w:w="58" w:type="dxa"/>
              <w:right w:w="58" w:type="dxa"/>
            </w:tcMar>
          </w:tcPr>
          <w:p w14:paraId="4E575EA3" w14:textId="77777777" w:rsidR="00CE6E0B" w:rsidRPr="00CF015D" w:rsidRDefault="00CE6E0B"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b/>
                <w:bCs/>
                <w:color w:val="00B050"/>
                <w:sz w:val="28"/>
                <w:szCs w:val="28"/>
                <w:rtl/>
                <w:lang w:eastAsia="ar-EG" w:bidi="ar-EG"/>
              </w:rPr>
              <w:t>ثابت</w:t>
            </w:r>
          </w:p>
        </w:tc>
      </w:tr>
      <w:tr w:rsidR="00CE6E0B" w:rsidRPr="00CF015D" w14:paraId="306D253F" w14:textId="77777777" w:rsidTr="00BB3820">
        <w:trPr>
          <w:trHeight w:val="2500"/>
        </w:trPr>
        <w:tc>
          <w:tcPr>
            <w:tcW w:w="1173" w:type="pct"/>
            <w:shd w:val="clear" w:color="auto" w:fill="auto"/>
            <w:tcMar>
              <w:left w:w="58" w:type="dxa"/>
              <w:right w:w="58" w:type="dxa"/>
            </w:tcMar>
          </w:tcPr>
          <w:p w14:paraId="252E033E"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آلية محسنة لإقامة مشاريع وأنشطة جديدة منبثقة من أجندة التنمية وتنفيذها ورصدها وتقييمها وإعداد</w:t>
            </w:r>
            <w:r>
              <w:rPr>
                <w:rFonts w:ascii="Arabic Typesetting" w:eastAsia="Arabic Typesetting" w:hAnsi="Arabic Typesetting" w:cs="Arabic Typesetting" w:hint="cs"/>
                <w:color w:val="000000"/>
                <w:sz w:val="28"/>
                <w:szCs w:val="28"/>
                <w:rtl/>
                <w:lang w:eastAsia="ar-EG" w:bidi="ar-EG"/>
              </w:rPr>
              <w:t> </w:t>
            </w:r>
            <w:r w:rsidRPr="00CF015D">
              <w:rPr>
                <w:rFonts w:ascii="Arabic Typesetting" w:eastAsia="Arabic Typesetting" w:hAnsi="Arabic Typesetting" w:cs="Arabic Typesetting"/>
                <w:color w:val="000000"/>
                <w:sz w:val="28"/>
                <w:szCs w:val="28"/>
                <w:rtl/>
                <w:lang w:eastAsia="ar-EG" w:bidi="ar-EG"/>
              </w:rPr>
              <w:t>تقارير عنها</w:t>
            </w:r>
          </w:p>
        </w:tc>
        <w:tc>
          <w:tcPr>
            <w:tcW w:w="1401" w:type="pct"/>
            <w:shd w:val="clear" w:color="auto" w:fill="auto"/>
            <w:tcMar>
              <w:left w:w="58" w:type="dxa"/>
              <w:right w:w="58" w:type="dxa"/>
            </w:tcMar>
          </w:tcPr>
          <w:p w14:paraId="713F2A6D"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F015D">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F015D">
              <w:rPr>
                <w:rFonts w:ascii="Arabic Typesetting" w:eastAsia="Arabic Typesetting" w:hAnsi="Arabic Typesetting" w:cs="Arabic Typesetting"/>
                <w:color w:val="002060"/>
                <w:sz w:val="28"/>
                <w:szCs w:val="28"/>
                <w:rtl/>
                <w:lang w:eastAsia="ar-EG" w:bidi="ar-EG"/>
              </w:rPr>
              <w:t>‏تشتمل جميع البرامج الوجيهة على نظام فعال لتخطيط تنفيذ توصيات أجندة التنمية ورصد ذلك التنفيذ وتقييمه</w:t>
            </w:r>
            <w:r w:rsidRPr="00CF015D">
              <w:rPr>
                <w:rFonts w:ascii="Arabic Typesetting" w:eastAsia="Arabic Typesetting" w:hAnsi="Arabic Typesetting" w:cs="Arabic Typesetting"/>
                <w:color w:val="002060"/>
                <w:sz w:val="28"/>
                <w:szCs w:val="28"/>
                <w:cs/>
                <w:lang w:eastAsia="ar-EG" w:bidi="ar-EG"/>
              </w:rPr>
              <w:t>‎</w:t>
            </w:r>
            <w:r w:rsidRPr="00CF015D">
              <w:rPr>
                <w:rFonts w:ascii="Arabic Typesetting" w:eastAsia="Arabic Typesetting" w:hAnsi="Arabic Typesetting" w:cs="Arabic Typesetting"/>
                <w:color w:val="002060"/>
                <w:sz w:val="28"/>
                <w:szCs w:val="28"/>
                <w:rtl/>
                <w:lang w:eastAsia="ar-EG" w:bidi="ar-EG"/>
              </w:rPr>
              <w:t>.</w:t>
            </w:r>
          </w:p>
          <w:p w14:paraId="1F4B8DB0"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i/>
                <w:iCs/>
                <w:sz w:val="28"/>
                <w:szCs w:val="28"/>
                <w:rtl/>
                <w:lang w:eastAsia="ar-EG" w:bidi="ar-EG"/>
              </w:rPr>
              <w:t>‏أساس المقارنة الأصلي:</w:t>
            </w:r>
            <w:r w:rsidRPr="00CF015D">
              <w:rPr>
                <w:rFonts w:ascii="Arabic Typesetting" w:eastAsia="Arabic Typesetting" w:hAnsi="Arabic Typesetting" w:cs="Arabic Typesetting"/>
                <w:i/>
                <w:sz w:val="28"/>
                <w:szCs w:val="28"/>
                <w:lang w:eastAsia="ar-EG" w:bidi="ar-EG"/>
              </w:rPr>
              <w:br/>
            </w:r>
            <w:r w:rsidRPr="00CF015D">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CF015D">
              <w:rPr>
                <w:rFonts w:ascii="Arabic Typesetting" w:eastAsia="Arabic Typesetting" w:hAnsi="Arabic Typesetting" w:cs="Arabic Typesetting"/>
                <w:color w:val="000000"/>
                <w:sz w:val="28"/>
                <w:szCs w:val="28"/>
                <w:rtl/>
                <w:lang w:eastAsia="ar-EG" w:bidi="ar-EG"/>
              </w:rPr>
              <w:t>غير متاح (مؤشر أداء جديد)</w:t>
            </w:r>
          </w:p>
        </w:tc>
        <w:tc>
          <w:tcPr>
            <w:tcW w:w="743" w:type="pct"/>
            <w:shd w:val="clear" w:color="auto" w:fill="auto"/>
            <w:tcMar>
              <w:top w:w="110" w:type="dxa"/>
              <w:left w:w="58" w:type="dxa"/>
              <w:right w:w="58" w:type="dxa"/>
            </w:tcMar>
          </w:tcPr>
          <w:p w14:paraId="3087569B"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آلية جديدة تراعي التوصيات الصادرة عن تقييمات مشروعات أجندة التنمية التي نوقشت خلال الدورات الثانية عشرة والثالثة عشرة والرابعة عشرة والخامسة عشرة للجنة</w:t>
            </w:r>
            <w:r>
              <w:rPr>
                <w:rFonts w:ascii="Arabic Typesetting" w:eastAsia="Arabic Typesetting" w:hAnsi="Arabic Typesetting" w:cs="Arabic Typesetting" w:hint="cs"/>
                <w:color w:val="000000"/>
                <w:sz w:val="28"/>
                <w:szCs w:val="28"/>
                <w:rtl/>
                <w:lang w:eastAsia="ar-EG" w:bidi="ar-EG"/>
              </w:rPr>
              <w:t> </w:t>
            </w:r>
            <w:r w:rsidRPr="00CF015D">
              <w:rPr>
                <w:rFonts w:ascii="Arabic Typesetting" w:eastAsia="Arabic Typesetting" w:hAnsi="Arabic Typesetting" w:cs="Arabic Typesetting"/>
                <w:color w:val="000000"/>
                <w:sz w:val="28"/>
                <w:szCs w:val="28"/>
                <w:rtl/>
                <w:lang w:eastAsia="ar-EG" w:bidi="ar-EG"/>
              </w:rPr>
              <w:t>التنمية</w:t>
            </w:r>
          </w:p>
        </w:tc>
        <w:tc>
          <w:tcPr>
            <w:tcW w:w="1178" w:type="pct"/>
            <w:shd w:val="clear" w:color="auto" w:fill="FFFFFF"/>
            <w:tcMar>
              <w:top w:w="110" w:type="dxa"/>
              <w:left w:w="58" w:type="dxa"/>
              <w:right w:w="58" w:type="dxa"/>
            </w:tcMar>
          </w:tcPr>
          <w:p w14:paraId="53123E97"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لدى كل البرامج الوجيهة نظام جديد لتخطيط تنفيذ توصيات أجندة التنمية ورصدها وتقييمها بما يراعي التوصيات المنبثقة من تقييمات مشاريع أجندة التنمية المناقشة حتى الدورة الثامنة عشرة للجنة التنمية</w:t>
            </w:r>
          </w:p>
        </w:tc>
        <w:tc>
          <w:tcPr>
            <w:tcW w:w="505" w:type="pct"/>
            <w:shd w:val="clear" w:color="auto" w:fill="auto"/>
            <w:tcMar>
              <w:top w:w="110" w:type="dxa"/>
              <w:left w:w="58" w:type="dxa"/>
              <w:right w:w="58" w:type="dxa"/>
            </w:tcMar>
          </w:tcPr>
          <w:p w14:paraId="7DF80F3A" w14:textId="77777777" w:rsidR="00CE6E0B" w:rsidRPr="00CF015D" w:rsidRDefault="00CE6E0B"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b/>
                <w:bCs/>
                <w:color w:val="00B050"/>
                <w:sz w:val="28"/>
                <w:szCs w:val="28"/>
                <w:rtl/>
                <w:lang w:eastAsia="ar-EG" w:bidi="ar-EG"/>
              </w:rPr>
              <w:t>ثابت</w:t>
            </w:r>
          </w:p>
        </w:tc>
      </w:tr>
      <w:tr w:rsidR="00CE6E0B" w:rsidRPr="00CF015D" w14:paraId="771B1669" w14:textId="77777777" w:rsidTr="00BB3820">
        <w:trPr>
          <w:trHeight w:val="565"/>
        </w:trPr>
        <w:tc>
          <w:tcPr>
            <w:tcW w:w="5000" w:type="pct"/>
            <w:gridSpan w:val="5"/>
            <w:shd w:val="clear" w:color="auto" w:fill="C6D9F1"/>
            <w:tcMar>
              <w:left w:w="58" w:type="dxa"/>
              <w:right w:w="58" w:type="dxa"/>
            </w:tcMar>
            <w:vAlign w:val="center"/>
          </w:tcPr>
          <w:p w14:paraId="663AC16B" w14:textId="22F469CF" w:rsidR="00CE6E0B" w:rsidRPr="00CF015D"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lastRenderedPageBreak/>
              <w:t>‏النتيجة المرتقبة:</w:t>
            </w:r>
            <w:r w:rsidRPr="00CF015D">
              <w:rPr>
                <w:rFonts w:ascii="Arabic Typesetting" w:eastAsia="Arabic Typesetting" w:hAnsi="Arabic Typesetting" w:cs="Arabic Typesetting"/>
                <w:sz w:val="28"/>
                <w:szCs w:val="28"/>
                <w:lang w:eastAsia="ar-EG" w:bidi="ar-EG"/>
              </w:rPr>
              <w:tab/>
            </w:r>
            <w:r w:rsidRPr="00CF015D">
              <w:rPr>
                <w:rFonts w:ascii="Arabic Typesetting" w:eastAsia="Arabic Typesetting" w:hAnsi="Arabic Typesetting" w:cs="Arabic Typesetting"/>
                <w:color w:val="000000"/>
                <w:sz w:val="28"/>
                <w:szCs w:val="28"/>
                <w:rtl/>
                <w:lang w:eastAsia="ar-EG" w:bidi="ar-EG"/>
              </w:rPr>
              <w:t xml:space="preserve">ه5.3 فهم معمّق </w:t>
            </w:r>
            <w:r>
              <w:rPr>
                <w:rFonts w:ascii="Arabic Typesetting" w:eastAsia="Arabic Typesetting" w:hAnsi="Arabic Typesetting" w:cs="Arabic Typesetting" w:hint="cs"/>
                <w:color w:val="000000"/>
                <w:sz w:val="28"/>
                <w:szCs w:val="28"/>
                <w:rtl/>
                <w:lang w:eastAsia="ar-EG" w:bidi="ar-EG"/>
              </w:rPr>
              <w:t>لأجندة التنمية</w:t>
            </w:r>
            <w:r w:rsidRPr="00CF015D">
              <w:rPr>
                <w:rFonts w:ascii="Arabic Typesetting" w:eastAsia="Arabic Typesetting" w:hAnsi="Arabic Typesetting" w:cs="Arabic Typesetting"/>
                <w:color w:val="000000"/>
                <w:sz w:val="28"/>
                <w:szCs w:val="28"/>
                <w:rtl/>
                <w:lang w:eastAsia="ar-EG" w:bidi="ar-EG"/>
              </w:rPr>
              <w:t xml:space="preserve"> لدى الدول الأعضاء والمنظمات الحكومية الدولية والمجتمع المدني وأصحاب المصلحة ال</w:t>
            </w:r>
            <w:r w:rsidR="00D02C02">
              <w:rPr>
                <w:rFonts w:ascii="Arabic Typesetting" w:eastAsia="Arabic Typesetting" w:hAnsi="Arabic Typesetting" w:cs="Arabic Typesetting"/>
                <w:color w:val="000000"/>
                <w:sz w:val="28"/>
                <w:szCs w:val="28"/>
                <w:rtl/>
                <w:lang w:eastAsia="ar-EG" w:bidi="ar-EG"/>
              </w:rPr>
              <w:t>أخرى</w:t>
            </w:r>
            <w:r w:rsidRPr="00CF015D">
              <w:rPr>
                <w:rFonts w:ascii="Arabic Typesetting" w:eastAsia="Arabic Typesetting" w:hAnsi="Arabic Typesetting" w:cs="Arabic Typesetting"/>
                <w:color w:val="000000"/>
                <w:sz w:val="28"/>
                <w:szCs w:val="28"/>
                <w:rtl/>
                <w:lang w:eastAsia="ar-EG" w:bidi="ar-EG"/>
              </w:rPr>
              <w:t>ن</w:t>
            </w:r>
          </w:p>
        </w:tc>
      </w:tr>
      <w:tr w:rsidR="00CE6E0B" w:rsidRPr="00CF015D" w14:paraId="52FB070F" w14:textId="77777777" w:rsidTr="00BB3820">
        <w:tc>
          <w:tcPr>
            <w:tcW w:w="1173" w:type="pct"/>
            <w:shd w:val="clear" w:color="auto" w:fill="auto"/>
            <w:tcMar>
              <w:left w:w="58" w:type="dxa"/>
              <w:right w:w="58" w:type="dxa"/>
            </w:tcMar>
            <w:vAlign w:val="center"/>
          </w:tcPr>
          <w:p w14:paraId="6537B39A" w14:textId="77777777" w:rsidR="00CE6E0B" w:rsidRPr="00CF015D"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t>مؤشرات الأداء</w:t>
            </w:r>
          </w:p>
        </w:tc>
        <w:tc>
          <w:tcPr>
            <w:tcW w:w="1401" w:type="pct"/>
            <w:shd w:val="clear" w:color="auto" w:fill="auto"/>
            <w:tcMar>
              <w:left w:w="58" w:type="dxa"/>
              <w:right w:w="58" w:type="dxa"/>
            </w:tcMar>
            <w:vAlign w:val="center"/>
          </w:tcPr>
          <w:p w14:paraId="24F205B8" w14:textId="77777777" w:rsidR="00CE6E0B" w:rsidRPr="00CF015D"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t>أسس المقارنة</w:t>
            </w:r>
          </w:p>
        </w:tc>
        <w:tc>
          <w:tcPr>
            <w:tcW w:w="743" w:type="pct"/>
            <w:shd w:val="clear" w:color="auto" w:fill="auto"/>
            <w:tcMar>
              <w:top w:w="110" w:type="dxa"/>
              <w:left w:w="58" w:type="dxa"/>
              <w:right w:w="58" w:type="dxa"/>
            </w:tcMar>
            <w:vAlign w:val="center"/>
          </w:tcPr>
          <w:p w14:paraId="73D23776" w14:textId="77777777" w:rsidR="00CE6E0B" w:rsidRPr="00CF015D"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t>الأهداف</w:t>
            </w:r>
          </w:p>
        </w:tc>
        <w:tc>
          <w:tcPr>
            <w:tcW w:w="1178" w:type="pct"/>
            <w:shd w:val="clear" w:color="auto" w:fill="FFFFFF"/>
            <w:tcMar>
              <w:top w:w="110" w:type="dxa"/>
              <w:left w:w="58" w:type="dxa"/>
              <w:right w:w="58" w:type="dxa"/>
            </w:tcMar>
            <w:vAlign w:val="center"/>
          </w:tcPr>
          <w:p w14:paraId="62A69EFA" w14:textId="77777777" w:rsidR="00CE6E0B" w:rsidRPr="00CF015D"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t>بيانات الأداء</w:t>
            </w:r>
          </w:p>
        </w:tc>
        <w:tc>
          <w:tcPr>
            <w:tcW w:w="505" w:type="pct"/>
            <w:shd w:val="clear" w:color="auto" w:fill="auto"/>
            <w:tcMar>
              <w:top w:w="110" w:type="dxa"/>
              <w:left w:w="58" w:type="dxa"/>
              <w:right w:w="58" w:type="dxa"/>
            </w:tcMar>
            <w:vAlign w:val="center"/>
          </w:tcPr>
          <w:p w14:paraId="2D2DD96D" w14:textId="77777777" w:rsidR="00CE6E0B" w:rsidRPr="00CF015D" w:rsidRDefault="00CE6E0B"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CF015D">
              <w:rPr>
                <w:rFonts w:ascii="Arabic Typesetting" w:eastAsia="Arabic Typesetting" w:hAnsi="Arabic Typesetting" w:cs="Arabic Typesetting"/>
                <w:b/>
                <w:bCs/>
                <w:sz w:val="28"/>
                <w:szCs w:val="28"/>
                <w:rtl/>
                <w:lang w:eastAsia="ar-EG" w:bidi="ar-EG"/>
              </w:rPr>
              <w:t>السير</w:t>
            </w:r>
          </w:p>
        </w:tc>
      </w:tr>
      <w:tr w:rsidR="00CE6E0B" w:rsidRPr="00CF015D" w14:paraId="6CD5570A" w14:textId="77777777" w:rsidTr="00BB3820">
        <w:trPr>
          <w:trHeight w:val="1438"/>
        </w:trPr>
        <w:tc>
          <w:tcPr>
            <w:tcW w:w="1173" w:type="pct"/>
            <w:shd w:val="clear" w:color="auto" w:fill="auto"/>
            <w:tcMar>
              <w:left w:w="58" w:type="dxa"/>
              <w:right w:w="58" w:type="dxa"/>
            </w:tcMar>
          </w:tcPr>
          <w:p w14:paraId="034AA9D6"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تجلي بُعد أجندة التنمية ونواتج مشاريع أجندة التنمية في أنشطة المساعدة التقنية التي تضطلع بها الويبو</w:t>
            </w:r>
          </w:p>
        </w:tc>
        <w:tc>
          <w:tcPr>
            <w:tcW w:w="1401" w:type="pct"/>
            <w:shd w:val="clear" w:color="auto" w:fill="auto"/>
            <w:tcMar>
              <w:left w:w="58" w:type="dxa"/>
              <w:right w:w="58" w:type="dxa"/>
            </w:tcMar>
          </w:tcPr>
          <w:p w14:paraId="626232FC"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F015D">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F015D">
              <w:rPr>
                <w:rFonts w:ascii="Arabic Typesetting" w:eastAsia="Arabic Typesetting" w:hAnsi="Arabic Typesetting" w:cs="Arabic Typesetting"/>
                <w:color w:val="002060"/>
                <w:sz w:val="28"/>
                <w:szCs w:val="28"/>
                <w:rtl/>
                <w:lang w:eastAsia="ar-EG" w:bidi="ar-EG"/>
              </w:rPr>
              <w:t>لا يوجد أي نظام</w:t>
            </w:r>
          </w:p>
          <w:p w14:paraId="6C4AC8E2"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i/>
                <w:iCs/>
                <w:sz w:val="28"/>
                <w:szCs w:val="28"/>
                <w:rtl/>
                <w:lang w:eastAsia="ar-EG" w:bidi="ar-EG"/>
              </w:rPr>
              <w:t>‏أساس المقارنة الأصلي:</w:t>
            </w:r>
            <w:r w:rsidRPr="00CF015D">
              <w:rPr>
                <w:rFonts w:ascii="Arabic Typesetting" w:eastAsia="Arabic Typesetting" w:hAnsi="Arabic Typesetting" w:cs="Arabic Typesetting"/>
                <w:i/>
                <w:sz w:val="28"/>
                <w:szCs w:val="28"/>
                <w:lang w:eastAsia="ar-EG" w:bidi="ar-EG"/>
              </w:rPr>
              <w:br/>
            </w:r>
            <w:r w:rsidRPr="00CF015D">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CF015D">
              <w:rPr>
                <w:rFonts w:ascii="Arabic Typesetting" w:eastAsia="Arabic Typesetting" w:hAnsi="Arabic Typesetting" w:cs="Arabic Typesetting"/>
                <w:color w:val="000000"/>
                <w:sz w:val="28"/>
                <w:szCs w:val="28"/>
                <w:rtl/>
                <w:lang w:eastAsia="ar-EG" w:bidi="ar-EG"/>
              </w:rPr>
              <w:t>غير متاح (مؤشر أداء جديد)</w:t>
            </w:r>
          </w:p>
        </w:tc>
        <w:tc>
          <w:tcPr>
            <w:tcW w:w="743" w:type="pct"/>
            <w:shd w:val="clear" w:color="auto" w:fill="auto"/>
            <w:tcMar>
              <w:top w:w="110" w:type="dxa"/>
              <w:left w:w="58" w:type="dxa"/>
              <w:right w:w="58" w:type="dxa"/>
            </w:tcMar>
          </w:tcPr>
          <w:p w14:paraId="0C09870F"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إنشاء نظام لضمان الاضطلاع بجميع أنشطة المساعدة التقنية مع الامتثال لمبادئ أجندة التنمية</w:t>
            </w:r>
          </w:p>
        </w:tc>
        <w:tc>
          <w:tcPr>
            <w:tcW w:w="1178" w:type="pct"/>
            <w:shd w:val="clear" w:color="auto" w:fill="FFFFFF"/>
            <w:tcMar>
              <w:top w:w="110" w:type="dxa"/>
              <w:left w:w="58" w:type="dxa"/>
              <w:right w:w="58" w:type="dxa"/>
            </w:tcMar>
          </w:tcPr>
          <w:p w14:paraId="648EEECA"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لا يوجد أي نظام</w:t>
            </w:r>
          </w:p>
        </w:tc>
        <w:tc>
          <w:tcPr>
            <w:tcW w:w="505" w:type="pct"/>
            <w:shd w:val="clear" w:color="auto" w:fill="auto"/>
            <w:tcMar>
              <w:top w:w="110" w:type="dxa"/>
              <w:left w:w="58" w:type="dxa"/>
              <w:right w:w="58" w:type="dxa"/>
            </w:tcMar>
          </w:tcPr>
          <w:p w14:paraId="5A6B98E4" w14:textId="77777777" w:rsidR="00CE6E0B" w:rsidRPr="00CF015D"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CF015D">
              <w:rPr>
                <w:rFonts w:ascii="Arabic Typesetting" w:eastAsia="Arabic Typesetting" w:hAnsi="Arabic Typesetting" w:cs="Arabic Typesetting"/>
                <w:b/>
                <w:bCs/>
                <w:color w:val="FF0000"/>
                <w:sz w:val="28"/>
                <w:szCs w:val="28"/>
                <w:rtl/>
                <w:lang w:eastAsia="ar-EG" w:bidi="ar-EG"/>
              </w:rPr>
              <w:t>غير ثابت</w:t>
            </w:r>
          </w:p>
        </w:tc>
      </w:tr>
      <w:tr w:rsidR="00CE6E0B" w:rsidRPr="00CF015D" w14:paraId="1A99D7A9" w14:textId="77777777" w:rsidTr="00BB3820">
        <w:trPr>
          <w:trHeight w:val="1186"/>
        </w:trPr>
        <w:tc>
          <w:tcPr>
            <w:tcW w:w="1173" w:type="pct"/>
            <w:shd w:val="clear" w:color="auto" w:fill="auto"/>
            <w:tcMar>
              <w:left w:w="58" w:type="dxa"/>
              <w:right w:w="58" w:type="dxa"/>
            </w:tcMar>
          </w:tcPr>
          <w:p w14:paraId="4F791045"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النسبة المئوية للمشاركين الراضين الذين شاركوا في التظاهرات المتعلقة بأجندة الويبو بشأن التنمية التي تستهدف الدول الأعضاء والمجتمع المدني والمنظمات الحكومية الدولية وغير ذلك من أصحاب المصالح</w:t>
            </w:r>
          </w:p>
        </w:tc>
        <w:tc>
          <w:tcPr>
            <w:tcW w:w="1401" w:type="pct"/>
            <w:shd w:val="clear" w:color="auto" w:fill="auto"/>
            <w:tcMar>
              <w:left w:w="58" w:type="dxa"/>
              <w:right w:w="58" w:type="dxa"/>
            </w:tcMar>
          </w:tcPr>
          <w:p w14:paraId="727207CC"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F015D">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F015D">
              <w:rPr>
                <w:rFonts w:ascii="Arabic Typesetting" w:eastAsia="Arabic Typesetting" w:hAnsi="Arabic Typesetting" w:cs="Arabic Typesetting"/>
                <w:color w:val="002060"/>
                <w:sz w:val="28"/>
                <w:szCs w:val="28"/>
                <w:rtl/>
                <w:lang w:eastAsia="ar-EG" w:bidi="ar-EG"/>
              </w:rPr>
              <w:t>78.57%</w:t>
            </w:r>
          </w:p>
          <w:p w14:paraId="1BA20A0F"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i/>
                <w:iCs/>
                <w:sz w:val="28"/>
                <w:szCs w:val="28"/>
                <w:rtl/>
                <w:lang w:eastAsia="ar-EG" w:bidi="ar-EG"/>
              </w:rPr>
              <w:t>‏أساس المقارنة الأصلي:</w:t>
            </w:r>
            <w:r w:rsidRPr="00CF015D">
              <w:rPr>
                <w:rFonts w:ascii="Arabic Typesetting" w:eastAsia="Arabic Typesetting" w:hAnsi="Arabic Typesetting" w:cs="Arabic Typesetting"/>
                <w:i/>
                <w:sz w:val="28"/>
                <w:szCs w:val="28"/>
                <w:lang w:eastAsia="ar-EG" w:bidi="ar-EG"/>
              </w:rPr>
              <w:br/>
            </w:r>
            <w:r w:rsidRPr="00CF015D">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CF015D">
              <w:rPr>
                <w:rFonts w:ascii="Arabic Typesetting" w:eastAsia="Arabic Typesetting" w:hAnsi="Arabic Typesetting" w:cs="Arabic Typesetting"/>
                <w:color w:val="000000"/>
                <w:sz w:val="28"/>
                <w:szCs w:val="28"/>
                <w:rtl/>
                <w:lang w:eastAsia="ar-EG" w:bidi="ar-EG"/>
              </w:rPr>
              <w:t>غير متاح في 2014 (استناداً إلى تقرير أداء البرنامج لعام 2014)</w:t>
            </w:r>
          </w:p>
        </w:tc>
        <w:tc>
          <w:tcPr>
            <w:tcW w:w="743" w:type="pct"/>
            <w:shd w:val="clear" w:color="auto" w:fill="auto"/>
            <w:tcMar>
              <w:top w:w="110" w:type="dxa"/>
              <w:left w:w="58" w:type="dxa"/>
              <w:right w:w="58" w:type="dxa"/>
            </w:tcMar>
          </w:tcPr>
          <w:p w14:paraId="3268991F" w14:textId="77777777" w:rsidR="00CE6E0B" w:rsidRPr="00CF015D"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80%</w:t>
            </w:r>
          </w:p>
        </w:tc>
        <w:tc>
          <w:tcPr>
            <w:tcW w:w="1178" w:type="pct"/>
            <w:shd w:val="clear" w:color="auto" w:fill="FFFFFF"/>
            <w:tcMar>
              <w:top w:w="110" w:type="dxa"/>
              <w:left w:w="58" w:type="dxa"/>
              <w:right w:w="58" w:type="dxa"/>
            </w:tcMar>
          </w:tcPr>
          <w:p w14:paraId="71C71286" w14:textId="77777777" w:rsidR="00CE6E0B" w:rsidRPr="00CF015D"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color w:val="000000"/>
                <w:sz w:val="28"/>
                <w:szCs w:val="28"/>
                <w:rtl/>
                <w:lang w:eastAsia="ar-EG" w:bidi="ar-EG"/>
              </w:rPr>
              <w:t>86.6%</w:t>
            </w:r>
          </w:p>
        </w:tc>
        <w:tc>
          <w:tcPr>
            <w:tcW w:w="505" w:type="pct"/>
            <w:shd w:val="clear" w:color="auto" w:fill="auto"/>
            <w:tcMar>
              <w:top w:w="110" w:type="dxa"/>
              <w:left w:w="58" w:type="dxa"/>
              <w:right w:w="58" w:type="dxa"/>
            </w:tcMar>
          </w:tcPr>
          <w:p w14:paraId="7D1E9DD4" w14:textId="77777777" w:rsidR="00CE6E0B" w:rsidRPr="00CF015D" w:rsidRDefault="00CE6E0B"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CF015D">
              <w:rPr>
                <w:rFonts w:ascii="Arabic Typesetting" w:eastAsia="Arabic Typesetting" w:hAnsi="Arabic Typesetting" w:cs="Arabic Typesetting"/>
                <w:b/>
                <w:bCs/>
                <w:color w:val="00B050"/>
                <w:sz w:val="28"/>
                <w:szCs w:val="28"/>
                <w:rtl/>
                <w:lang w:eastAsia="ar-EG" w:bidi="ar-EG"/>
              </w:rPr>
              <w:t>ثابت</w:t>
            </w:r>
          </w:p>
        </w:tc>
      </w:tr>
    </w:tbl>
    <w:p w14:paraId="1AF33BCC" w14:textId="77777777" w:rsidR="00CE6E0B" w:rsidRDefault="00CE6E0B" w:rsidP="0031289D">
      <w:pPr>
        <w:bidi/>
      </w:pPr>
    </w:p>
    <w:tbl>
      <w:tblPr>
        <w:tblStyle w:val="TableGrid"/>
        <w:bidiVisual/>
        <w:tblW w:w="0" w:type="auto"/>
        <w:tblLook w:val="04A0" w:firstRow="1" w:lastRow="0" w:firstColumn="1" w:lastColumn="0" w:noHBand="0" w:noVBand="1"/>
      </w:tblPr>
      <w:tblGrid>
        <w:gridCol w:w="9571"/>
      </w:tblGrid>
      <w:tr w:rsidR="00CE6E0B" w14:paraId="2A47E623" w14:textId="77777777" w:rsidTr="00BB3820">
        <w:tc>
          <w:tcPr>
            <w:tcW w:w="9571" w:type="dxa"/>
            <w:tcBorders>
              <w:top w:val="nil"/>
              <w:left w:val="nil"/>
              <w:bottom w:val="nil"/>
              <w:right w:val="nil"/>
            </w:tcBorders>
            <w:shd w:val="clear" w:color="auto" w:fill="C6D9F1"/>
            <w:vAlign w:val="center"/>
          </w:tcPr>
          <w:p w14:paraId="0049CCF1" w14:textId="77777777" w:rsidR="00CE6E0B" w:rsidRPr="00A2672B" w:rsidRDefault="00CE6E0B"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8</w:t>
            </w:r>
          </w:p>
        </w:tc>
      </w:tr>
    </w:tbl>
    <w:p w14:paraId="2354831E" w14:textId="77777777" w:rsidR="00CE6E0B" w:rsidRPr="00FE3908"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7C36D2D0" w14:textId="77777777" w:rsidR="00CE6E0B" w:rsidRDefault="00CE6E0B"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E6E0B" w:rsidRPr="00211D55" w14:paraId="798BD117"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5E426940"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34CCA779"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2A41A406" w14:textId="77777777" w:rsidR="00CE6E0B" w:rsidRPr="00A2672B" w:rsidRDefault="00CE6E0B"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333E5691"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CE6E0B" w:rsidRPr="00211D55" w14:paraId="74BD3F5A" w14:textId="77777777" w:rsidTr="00BB3820">
        <w:trPr>
          <w:trHeight w:val="55"/>
        </w:trPr>
        <w:tc>
          <w:tcPr>
            <w:tcW w:w="413" w:type="pct"/>
            <w:shd w:val="clear" w:color="auto" w:fill="auto"/>
            <w:noWrap/>
            <w:tcMar>
              <w:top w:w="15" w:type="dxa"/>
              <w:left w:w="15" w:type="dxa"/>
              <w:bottom w:w="0" w:type="dxa"/>
              <w:right w:w="15" w:type="dxa"/>
            </w:tcMar>
          </w:tcPr>
          <w:p w14:paraId="03E14616" w14:textId="77777777" w:rsidR="00CE6E0B" w:rsidRPr="00CF015D" w:rsidRDefault="00CE6E0B" w:rsidP="0031289D">
            <w:pPr>
              <w:bidi/>
              <w:spacing w:before="120" w:after="120"/>
              <w:rPr>
                <w:rFonts w:ascii="Arabic Typesetting" w:hAnsi="Arabic Typesetting" w:cs="Arabic Typesetting"/>
                <w:sz w:val="28"/>
                <w:szCs w:val="28"/>
                <w:lang w:bidi="ar-EG"/>
              </w:rPr>
            </w:pPr>
            <w:r w:rsidRPr="00CF015D">
              <w:rPr>
                <w:rFonts w:ascii="Arabic Typesetting" w:hAnsi="Arabic Typesetting" w:cs="Arabic Typesetting"/>
                <w:sz w:val="28"/>
                <w:szCs w:val="28"/>
                <w:rtl/>
                <w:lang w:bidi="ar-EG"/>
              </w:rPr>
              <w:t>ه3.3</w:t>
            </w:r>
          </w:p>
        </w:tc>
        <w:tc>
          <w:tcPr>
            <w:tcW w:w="2340" w:type="pct"/>
            <w:shd w:val="clear" w:color="auto" w:fill="auto"/>
            <w:tcMar>
              <w:top w:w="15" w:type="dxa"/>
              <w:left w:w="15" w:type="dxa"/>
              <w:bottom w:w="0" w:type="dxa"/>
              <w:right w:w="15" w:type="dxa"/>
            </w:tcMar>
          </w:tcPr>
          <w:p w14:paraId="744A6EAA" w14:textId="77777777" w:rsidR="00CE6E0B" w:rsidRPr="00CF015D" w:rsidRDefault="00CE6E0B" w:rsidP="0031289D">
            <w:pPr>
              <w:bidi/>
              <w:spacing w:before="120" w:after="120"/>
              <w:rPr>
                <w:rFonts w:ascii="Arabic Typesetting" w:hAnsi="Arabic Typesetting" w:cs="Arabic Typesetting"/>
                <w:sz w:val="28"/>
                <w:szCs w:val="28"/>
                <w:lang w:bidi="ar-EG"/>
              </w:rPr>
            </w:pPr>
            <w:r w:rsidRPr="00CF015D">
              <w:rPr>
                <w:rFonts w:ascii="Arabic Typesetting" w:hAnsi="Arabic Typesetting" w:cs="Arabic Typesetting"/>
                <w:sz w:val="28"/>
                <w:szCs w:val="28"/>
                <w:rtl/>
                <w:lang w:bidi="ar-EG"/>
              </w:rPr>
              <w:t>تعميم توصيات أجندة التنمية على عمل الويبو</w:t>
            </w:r>
          </w:p>
        </w:tc>
        <w:tc>
          <w:tcPr>
            <w:tcW w:w="749" w:type="pct"/>
            <w:shd w:val="clear" w:color="auto" w:fill="auto"/>
            <w:tcMar>
              <w:top w:w="15" w:type="dxa"/>
              <w:left w:w="15" w:type="dxa"/>
              <w:bottom w:w="0" w:type="dxa"/>
              <w:right w:w="15" w:type="dxa"/>
            </w:tcMar>
            <w:vAlign w:val="center"/>
          </w:tcPr>
          <w:p w14:paraId="66846432"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2 278</w:t>
            </w:r>
          </w:p>
        </w:tc>
        <w:tc>
          <w:tcPr>
            <w:tcW w:w="749" w:type="pct"/>
            <w:shd w:val="clear" w:color="auto" w:fill="auto"/>
            <w:tcMar>
              <w:top w:w="15" w:type="dxa"/>
              <w:left w:w="15" w:type="dxa"/>
              <w:bottom w:w="0" w:type="dxa"/>
              <w:right w:w="15" w:type="dxa"/>
            </w:tcMar>
            <w:vAlign w:val="center"/>
          </w:tcPr>
          <w:p w14:paraId="0004B67F"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2 363</w:t>
            </w:r>
          </w:p>
        </w:tc>
        <w:tc>
          <w:tcPr>
            <w:tcW w:w="749" w:type="pct"/>
            <w:shd w:val="clear" w:color="auto" w:fill="auto"/>
            <w:noWrap/>
            <w:tcMar>
              <w:top w:w="15" w:type="dxa"/>
              <w:left w:w="15" w:type="dxa"/>
              <w:bottom w:w="0" w:type="dxa"/>
              <w:right w:w="15" w:type="dxa"/>
            </w:tcMar>
            <w:vAlign w:val="center"/>
          </w:tcPr>
          <w:p w14:paraId="4FD9E1EE"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1 008</w:t>
            </w:r>
          </w:p>
        </w:tc>
      </w:tr>
      <w:tr w:rsidR="00CE6E0B" w:rsidRPr="00211D55" w14:paraId="78C9A5CE" w14:textId="77777777" w:rsidTr="00BB3820">
        <w:trPr>
          <w:trHeight w:val="55"/>
        </w:trPr>
        <w:tc>
          <w:tcPr>
            <w:tcW w:w="413" w:type="pct"/>
            <w:shd w:val="clear" w:color="auto" w:fill="auto"/>
            <w:noWrap/>
            <w:tcMar>
              <w:top w:w="15" w:type="dxa"/>
              <w:left w:w="15" w:type="dxa"/>
              <w:bottom w:w="0" w:type="dxa"/>
              <w:right w:w="15" w:type="dxa"/>
            </w:tcMar>
          </w:tcPr>
          <w:p w14:paraId="1B3449DF" w14:textId="77777777" w:rsidR="00CE6E0B" w:rsidRPr="00CF015D" w:rsidRDefault="00CE6E0B" w:rsidP="0031289D">
            <w:pPr>
              <w:bidi/>
              <w:spacing w:before="120" w:after="120"/>
              <w:rPr>
                <w:rFonts w:ascii="Arabic Typesetting" w:hAnsi="Arabic Typesetting" w:cs="Arabic Typesetting"/>
                <w:sz w:val="28"/>
                <w:szCs w:val="28"/>
                <w:lang w:bidi="ar-EG"/>
              </w:rPr>
            </w:pPr>
            <w:r w:rsidRPr="00CF015D">
              <w:rPr>
                <w:rFonts w:ascii="Arabic Typesetting" w:hAnsi="Arabic Typesetting" w:cs="Arabic Typesetting"/>
                <w:sz w:val="28"/>
                <w:szCs w:val="28"/>
                <w:rtl/>
                <w:lang w:bidi="ar-EG"/>
              </w:rPr>
              <w:t>ه5.3</w:t>
            </w:r>
          </w:p>
        </w:tc>
        <w:tc>
          <w:tcPr>
            <w:tcW w:w="2340" w:type="pct"/>
            <w:shd w:val="clear" w:color="auto" w:fill="auto"/>
            <w:tcMar>
              <w:top w:w="15" w:type="dxa"/>
              <w:left w:w="15" w:type="dxa"/>
              <w:bottom w:w="0" w:type="dxa"/>
              <w:right w:w="15" w:type="dxa"/>
            </w:tcMar>
          </w:tcPr>
          <w:p w14:paraId="4002B253" w14:textId="2EB4CA70" w:rsidR="00CE6E0B" w:rsidRPr="00CF015D" w:rsidRDefault="00CE6E0B" w:rsidP="0031289D">
            <w:pPr>
              <w:bidi/>
              <w:spacing w:before="120" w:after="120"/>
              <w:rPr>
                <w:rFonts w:ascii="Arabic Typesetting" w:hAnsi="Arabic Typesetting" w:cs="Arabic Typesetting"/>
                <w:sz w:val="28"/>
                <w:szCs w:val="28"/>
                <w:lang w:bidi="ar-EG"/>
              </w:rPr>
            </w:pPr>
            <w:r w:rsidRPr="00CF015D">
              <w:rPr>
                <w:rFonts w:ascii="Arabic Typesetting" w:hAnsi="Arabic Typesetting" w:cs="Arabic Typesetting"/>
                <w:sz w:val="28"/>
                <w:szCs w:val="28"/>
                <w:rtl/>
                <w:lang w:bidi="ar-EG"/>
              </w:rPr>
              <w:t xml:space="preserve">فهم معمّق </w:t>
            </w:r>
            <w:r>
              <w:rPr>
                <w:rFonts w:ascii="Arabic Typesetting" w:hAnsi="Arabic Typesetting" w:cs="Arabic Typesetting" w:hint="cs"/>
                <w:sz w:val="28"/>
                <w:szCs w:val="28"/>
                <w:rtl/>
                <w:lang w:bidi="ar-EG"/>
              </w:rPr>
              <w:t>لأجندة التنمية</w:t>
            </w:r>
            <w:r w:rsidRPr="00CF015D">
              <w:rPr>
                <w:rFonts w:ascii="Arabic Typesetting" w:hAnsi="Arabic Typesetting" w:cs="Arabic Typesetting"/>
                <w:sz w:val="28"/>
                <w:szCs w:val="28"/>
                <w:rtl/>
                <w:lang w:bidi="ar-EG"/>
              </w:rPr>
              <w:t xml:space="preserve"> لدى الدول الأعضاء والمنظمات الحكومية الدولية والمجتمع المدني وأصحاب المصلحة ال</w:t>
            </w:r>
            <w:r w:rsidR="009834BA">
              <w:rPr>
                <w:rFonts w:ascii="Arabic Typesetting" w:hAnsi="Arabic Typesetting" w:cs="Arabic Typesetting" w:hint="cs"/>
                <w:sz w:val="28"/>
                <w:szCs w:val="28"/>
                <w:rtl/>
                <w:lang w:bidi="ar-EG"/>
              </w:rPr>
              <w:t>آ</w:t>
            </w:r>
            <w:r w:rsidR="009834BA">
              <w:rPr>
                <w:rFonts w:ascii="Arabic Typesetting" w:hAnsi="Arabic Typesetting" w:cs="Arabic Typesetting"/>
                <w:sz w:val="28"/>
                <w:szCs w:val="28"/>
                <w:rtl/>
                <w:lang w:bidi="ar-EG"/>
              </w:rPr>
              <w:t>خر</w:t>
            </w:r>
            <w:r w:rsidR="009834BA">
              <w:rPr>
                <w:rFonts w:ascii="Arabic Typesetting" w:hAnsi="Arabic Typesetting" w:cs="Arabic Typesetting" w:hint="cs"/>
                <w:sz w:val="28"/>
                <w:szCs w:val="28"/>
                <w:rtl/>
                <w:lang w:bidi="ar-EG"/>
              </w:rPr>
              <w:t>ي</w:t>
            </w:r>
            <w:r w:rsidRPr="00CF015D">
              <w:rPr>
                <w:rFonts w:ascii="Arabic Typesetting" w:hAnsi="Arabic Typesetting" w:cs="Arabic Typesetting"/>
                <w:sz w:val="28"/>
                <w:szCs w:val="28"/>
                <w:rtl/>
                <w:lang w:bidi="ar-EG"/>
              </w:rPr>
              <w:t>ن</w:t>
            </w:r>
          </w:p>
        </w:tc>
        <w:tc>
          <w:tcPr>
            <w:tcW w:w="749" w:type="pct"/>
            <w:shd w:val="clear" w:color="auto" w:fill="auto"/>
            <w:tcMar>
              <w:top w:w="15" w:type="dxa"/>
              <w:left w:w="15" w:type="dxa"/>
              <w:bottom w:w="0" w:type="dxa"/>
              <w:right w:w="15" w:type="dxa"/>
            </w:tcMar>
            <w:vAlign w:val="center"/>
          </w:tcPr>
          <w:p w14:paraId="427FEA7A"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1 393</w:t>
            </w:r>
          </w:p>
        </w:tc>
        <w:tc>
          <w:tcPr>
            <w:tcW w:w="749" w:type="pct"/>
            <w:shd w:val="clear" w:color="auto" w:fill="auto"/>
            <w:tcMar>
              <w:top w:w="15" w:type="dxa"/>
              <w:left w:w="15" w:type="dxa"/>
              <w:bottom w:w="0" w:type="dxa"/>
              <w:right w:w="15" w:type="dxa"/>
            </w:tcMar>
            <w:vAlign w:val="center"/>
          </w:tcPr>
          <w:p w14:paraId="4053195F"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1 224</w:t>
            </w:r>
          </w:p>
        </w:tc>
        <w:tc>
          <w:tcPr>
            <w:tcW w:w="749" w:type="pct"/>
            <w:shd w:val="clear" w:color="auto" w:fill="auto"/>
            <w:noWrap/>
            <w:tcMar>
              <w:top w:w="15" w:type="dxa"/>
              <w:left w:w="15" w:type="dxa"/>
              <w:bottom w:w="0" w:type="dxa"/>
              <w:right w:w="15" w:type="dxa"/>
            </w:tcMar>
            <w:vAlign w:val="center"/>
          </w:tcPr>
          <w:p w14:paraId="4F011D30"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636</w:t>
            </w:r>
          </w:p>
        </w:tc>
      </w:tr>
      <w:tr w:rsidR="00CE6E0B" w:rsidRPr="00211D55" w14:paraId="61232786"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6AEADB33" w14:textId="77777777" w:rsidR="00CE6E0B" w:rsidRPr="00211D55" w:rsidRDefault="00CE6E0B"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4EE82E09" w14:textId="77777777" w:rsidR="00CE6E0B" w:rsidRPr="00280D1A" w:rsidRDefault="00CE6E0B"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3C3AE882"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3 671</w:t>
            </w:r>
          </w:p>
        </w:tc>
        <w:tc>
          <w:tcPr>
            <w:tcW w:w="749" w:type="pct"/>
            <w:shd w:val="clear" w:color="auto" w:fill="C6D9F1"/>
            <w:noWrap/>
            <w:tcMar>
              <w:top w:w="15" w:type="dxa"/>
              <w:left w:w="15" w:type="dxa"/>
              <w:bottom w:w="0" w:type="dxa"/>
              <w:right w:w="15" w:type="dxa"/>
            </w:tcMar>
            <w:vAlign w:val="center"/>
          </w:tcPr>
          <w:p w14:paraId="3AF6A9E1"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3 587</w:t>
            </w:r>
          </w:p>
        </w:tc>
        <w:tc>
          <w:tcPr>
            <w:tcW w:w="749" w:type="pct"/>
            <w:shd w:val="clear" w:color="auto" w:fill="C6D9F1"/>
            <w:noWrap/>
            <w:tcMar>
              <w:top w:w="15" w:type="dxa"/>
              <w:left w:w="15" w:type="dxa"/>
              <w:bottom w:w="0" w:type="dxa"/>
              <w:right w:w="15" w:type="dxa"/>
            </w:tcMar>
            <w:vAlign w:val="center"/>
          </w:tcPr>
          <w:p w14:paraId="23DFF0BC"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1 645</w:t>
            </w:r>
          </w:p>
        </w:tc>
      </w:tr>
      <w:tr w:rsidR="00CE6E0B" w:rsidRPr="00211D55" w14:paraId="2CEC3CAD"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1CB0279C" w14:textId="77777777" w:rsidR="00CE6E0B" w:rsidRPr="00A2672B" w:rsidRDefault="00CE6E0B"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7DE08ABE" w14:textId="77777777" w:rsidR="00CE6E0B" w:rsidRPr="00252762"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2A378952" w14:textId="77777777" w:rsidR="00CE6E0B" w:rsidRPr="00DF1D8A" w:rsidRDefault="00CE6E0B"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CE6E0B" w:rsidRPr="00211D55" w14:paraId="6E22EBFE" w14:textId="77777777" w:rsidTr="00BB3820">
        <w:trPr>
          <w:trHeight w:val="645"/>
        </w:trPr>
        <w:tc>
          <w:tcPr>
            <w:tcW w:w="1118" w:type="pct"/>
            <w:shd w:val="clear" w:color="auto" w:fill="C6D9F1"/>
            <w:noWrap/>
            <w:vAlign w:val="center"/>
            <w:hideMark/>
          </w:tcPr>
          <w:p w14:paraId="2F9BD0A7" w14:textId="77777777" w:rsidR="00CE6E0B" w:rsidRPr="00211D55" w:rsidRDefault="00CE6E0B"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07A0638C"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2F17B346"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3B454DDC"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6CC8CB0F"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CE6E0B" w:rsidRPr="00211D55" w14:paraId="1D270D47" w14:textId="77777777" w:rsidTr="00BB3820">
        <w:trPr>
          <w:trHeight w:val="70"/>
        </w:trPr>
        <w:tc>
          <w:tcPr>
            <w:tcW w:w="1118" w:type="pct"/>
            <w:shd w:val="clear" w:color="auto" w:fill="auto"/>
            <w:noWrap/>
            <w:vAlign w:val="center"/>
            <w:hideMark/>
          </w:tcPr>
          <w:p w14:paraId="4CC45EB1"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24718A0A"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2 462 </w:t>
            </w:r>
          </w:p>
        </w:tc>
        <w:tc>
          <w:tcPr>
            <w:tcW w:w="971" w:type="pct"/>
            <w:shd w:val="clear" w:color="auto" w:fill="auto"/>
            <w:vAlign w:val="center"/>
          </w:tcPr>
          <w:p w14:paraId="32C95E07"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2 401 </w:t>
            </w:r>
          </w:p>
        </w:tc>
        <w:tc>
          <w:tcPr>
            <w:tcW w:w="970" w:type="pct"/>
            <w:shd w:val="clear" w:color="auto" w:fill="auto"/>
            <w:vAlign w:val="center"/>
          </w:tcPr>
          <w:p w14:paraId="7228F574"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992 </w:t>
            </w:r>
          </w:p>
        </w:tc>
        <w:tc>
          <w:tcPr>
            <w:tcW w:w="970" w:type="pct"/>
            <w:shd w:val="clear" w:color="auto" w:fill="auto"/>
            <w:vAlign w:val="center"/>
          </w:tcPr>
          <w:p w14:paraId="285D44D9"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%41</w:t>
            </w:r>
          </w:p>
        </w:tc>
      </w:tr>
      <w:tr w:rsidR="00CE6E0B" w:rsidRPr="00211D55" w14:paraId="6CA1E01F" w14:textId="77777777" w:rsidTr="00BB3820">
        <w:trPr>
          <w:trHeight w:val="70"/>
        </w:trPr>
        <w:tc>
          <w:tcPr>
            <w:tcW w:w="1118" w:type="pct"/>
            <w:shd w:val="clear" w:color="auto" w:fill="auto"/>
            <w:noWrap/>
            <w:vAlign w:val="center"/>
            <w:hideMark/>
          </w:tcPr>
          <w:p w14:paraId="7E352B77"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58D169CB"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1 209 </w:t>
            </w:r>
          </w:p>
        </w:tc>
        <w:tc>
          <w:tcPr>
            <w:tcW w:w="971" w:type="pct"/>
            <w:shd w:val="clear" w:color="auto" w:fill="auto"/>
            <w:vAlign w:val="center"/>
          </w:tcPr>
          <w:p w14:paraId="74D46A6F"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1 186 </w:t>
            </w:r>
          </w:p>
        </w:tc>
        <w:tc>
          <w:tcPr>
            <w:tcW w:w="970" w:type="pct"/>
            <w:shd w:val="clear" w:color="auto" w:fill="auto"/>
            <w:vAlign w:val="center"/>
          </w:tcPr>
          <w:p w14:paraId="14040E6D"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652 </w:t>
            </w:r>
          </w:p>
        </w:tc>
        <w:tc>
          <w:tcPr>
            <w:tcW w:w="970" w:type="pct"/>
            <w:shd w:val="clear" w:color="auto" w:fill="auto"/>
            <w:vAlign w:val="center"/>
          </w:tcPr>
          <w:p w14:paraId="7AAA26DD"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%55</w:t>
            </w:r>
          </w:p>
        </w:tc>
      </w:tr>
      <w:tr w:rsidR="00CE6E0B" w:rsidRPr="00211D55" w14:paraId="7056E7CC" w14:textId="77777777" w:rsidTr="00AF6433">
        <w:trPr>
          <w:trHeight w:val="70"/>
        </w:trPr>
        <w:tc>
          <w:tcPr>
            <w:tcW w:w="1118" w:type="pct"/>
            <w:shd w:val="clear" w:color="auto" w:fill="C6D9F1"/>
            <w:noWrap/>
            <w:vAlign w:val="center"/>
            <w:hideMark/>
          </w:tcPr>
          <w:p w14:paraId="191FFE93" w14:textId="77777777" w:rsidR="00CE6E0B" w:rsidRPr="00211D55" w:rsidRDefault="00CE6E0B"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7B7603DF"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3 671 </w:t>
            </w:r>
          </w:p>
        </w:tc>
        <w:tc>
          <w:tcPr>
            <w:tcW w:w="971" w:type="pct"/>
            <w:shd w:val="clear" w:color="auto" w:fill="C6D9F1"/>
            <w:vAlign w:val="center"/>
          </w:tcPr>
          <w:p w14:paraId="797F843C"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3 587 </w:t>
            </w:r>
          </w:p>
        </w:tc>
        <w:tc>
          <w:tcPr>
            <w:tcW w:w="970" w:type="pct"/>
            <w:shd w:val="clear" w:color="auto" w:fill="C6D9F1"/>
            <w:vAlign w:val="center"/>
          </w:tcPr>
          <w:p w14:paraId="2C00E650"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1 645 </w:t>
            </w:r>
          </w:p>
        </w:tc>
        <w:tc>
          <w:tcPr>
            <w:tcW w:w="970" w:type="pct"/>
            <w:shd w:val="clear" w:color="auto" w:fill="C6D9F1"/>
            <w:vAlign w:val="center"/>
          </w:tcPr>
          <w:p w14:paraId="39904FEC"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%46</w:t>
            </w:r>
          </w:p>
        </w:tc>
      </w:tr>
      <w:tr w:rsidR="00CE6E0B" w:rsidRPr="00211D55" w14:paraId="3046F0D7" w14:textId="77777777" w:rsidTr="00BB3820">
        <w:trPr>
          <w:trHeight w:val="540"/>
        </w:trPr>
        <w:tc>
          <w:tcPr>
            <w:tcW w:w="5000" w:type="pct"/>
            <w:gridSpan w:val="5"/>
            <w:shd w:val="clear" w:color="auto" w:fill="auto"/>
            <w:noWrap/>
            <w:vAlign w:val="center"/>
          </w:tcPr>
          <w:p w14:paraId="51077FDC" w14:textId="77777777" w:rsidR="00CE6E0B" w:rsidRDefault="00CE6E0B"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27C0F36A" w14:textId="77777777" w:rsidR="00CE6E0B" w:rsidRPr="00D41845" w:rsidRDefault="00CE6E0B"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2C923EF3" w14:textId="77777777" w:rsidR="00CE6E0B" w:rsidRPr="00706F20" w:rsidRDefault="00CE6E0B"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0185B7C3" w14:textId="392686A4" w:rsidR="00CE6E0B" w:rsidRPr="00CF015D" w:rsidRDefault="00CE6E0B" w:rsidP="00D94CDB">
      <w:pPr>
        <w:numPr>
          <w:ilvl w:val="1"/>
          <w:numId w:val="77"/>
        </w:numPr>
        <w:bidi/>
        <w:spacing w:after="240" w:line="360" w:lineRule="exact"/>
        <w:ind w:left="0" w:hanging="1"/>
        <w:rPr>
          <w:rFonts w:ascii="Arabic Typesetting" w:hAnsi="Arabic Typesetting" w:cs="Arabic Typesetting"/>
          <w:sz w:val="34"/>
          <w:szCs w:val="34"/>
        </w:rPr>
      </w:pPr>
      <w:r w:rsidRPr="00CF015D">
        <w:rPr>
          <w:rFonts w:ascii="Arabic Typesetting" w:hAnsi="Arabic Typesetting" w:cs="Arabic Typesetting"/>
          <w:sz w:val="34"/>
          <w:szCs w:val="34"/>
          <w:rtl/>
        </w:rPr>
        <w:t>يُعزى الانخفاض الطفيف في موارد الموظفين مقارنة بالميزانية الم</w:t>
      </w:r>
      <w:r w:rsidR="00F752FE">
        <w:rPr>
          <w:rFonts w:ascii="Arabic Typesetting" w:hAnsi="Arabic Typesetting" w:cs="Arabic Typesetting" w:hint="cs"/>
          <w:sz w:val="34"/>
          <w:szCs w:val="34"/>
          <w:rtl/>
        </w:rPr>
        <w:t>ع</w:t>
      </w:r>
      <w:r w:rsidRPr="00CF015D">
        <w:rPr>
          <w:rFonts w:ascii="Arabic Typesetting" w:hAnsi="Arabic Typesetting" w:cs="Arabic Typesetting"/>
          <w:sz w:val="34"/>
          <w:szCs w:val="34"/>
          <w:rtl/>
        </w:rPr>
        <w:t>تمدة 2016/17 إلى تحويل موارد (من بند خلاف موارد الموظفين) إلى أنشطة التواصل عبر الإنترنت لهجرة قاعدة البيانات بشأن ال</w:t>
      </w:r>
      <w:r>
        <w:rPr>
          <w:rFonts w:ascii="Arabic Typesetting" w:hAnsi="Arabic Typesetting" w:cs="Arabic Typesetting"/>
          <w:sz w:val="34"/>
          <w:szCs w:val="34"/>
          <w:rtl/>
        </w:rPr>
        <w:t xml:space="preserve">مرونة في نظام الملكية الفكرية. </w:t>
      </w:r>
      <w:r w:rsidRPr="00CF015D">
        <w:rPr>
          <w:rFonts w:ascii="Arabic Typesetting" w:hAnsi="Arabic Typesetting" w:cs="Arabic Typesetting"/>
          <w:sz w:val="34"/>
          <w:szCs w:val="34"/>
          <w:rtl/>
        </w:rPr>
        <w:t>ويُعزى الانخفاض الطفيف في خلاف موارد الموظفين إلى تحويل موارد للمتدربين إلى إدارة الموارد البشرية (البرنامج 23) التي تتولى الإدارة المركزية للمتدربين. وتُعزى الزيادة الطفيفة في موارد النتيجة المرتقبة ه3.3 (تعميم توصيات أجندة التنمية) إلى إعادة توزيع الموارد المخصصة للتظاهرات والأنشطة المتعلقة بلجنة التنمية.</w:t>
      </w:r>
    </w:p>
    <w:p w14:paraId="01E77242" w14:textId="77777777" w:rsidR="00CE6E0B" w:rsidRPr="00706F20" w:rsidRDefault="00CE6E0B"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27170D38" w14:textId="77777777" w:rsidR="00CE6E0B" w:rsidRPr="00CF015D" w:rsidRDefault="00CE6E0B" w:rsidP="00D94CDB">
      <w:pPr>
        <w:numPr>
          <w:ilvl w:val="1"/>
          <w:numId w:val="77"/>
        </w:numPr>
        <w:bidi/>
        <w:spacing w:after="240" w:line="360" w:lineRule="exact"/>
        <w:ind w:left="0" w:hanging="1"/>
        <w:rPr>
          <w:rFonts w:ascii="Arabic Typesetting" w:hAnsi="Arabic Typesetting" w:cs="Arabic Typesetting"/>
          <w:sz w:val="34"/>
          <w:szCs w:val="34"/>
        </w:rPr>
      </w:pPr>
      <w:r w:rsidRPr="00CF015D">
        <w:rPr>
          <w:rFonts w:ascii="Arabic Typesetting" w:hAnsi="Arabic Typesetting" w:cs="Arabic Typesetting"/>
          <w:sz w:val="34"/>
          <w:szCs w:val="34"/>
          <w:rtl/>
        </w:rPr>
        <w:t>كانت نسبة استخدام موارد الموظفين في البرنامج أقل قليلاً من الهدف ال</w:t>
      </w:r>
      <w:r>
        <w:rPr>
          <w:rFonts w:ascii="Arabic Typesetting" w:hAnsi="Arabic Typesetting" w:cs="Arabic Typesetting"/>
          <w:sz w:val="34"/>
          <w:szCs w:val="34"/>
          <w:rtl/>
        </w:rPr>
        <w:t>محدد عقب تبديل وظيفتين شاغرتين.</w:t>
      </w:r>
      <w:r w:rsidRPr="00CF015D">
        <w:rPr>
          <w:rFonts w:ascii="Arabic Typesetting" w:hAnsi="Arabic Typesetting" w:cs="Arabic Typesetting"/>
          <w:sz w:val="34"/>
          <w:szCs w:val="34"/>
          <w:rtl/>
        </w:rPr>
        <w:t xml:space="preserve"> وكانت</w:t>
      </w:r>
      <w:r>
        <w:rPr>
          <w:rFonts w:ascii="Arabic Typesetting" w:hAnsi="Arabic Typesetting" w:cs="Arabic Typesetting" w:hint="cs"/>
          <w:sz w:val="34"/>
          <w:szCs w:val="34"/>
          <w:rtl/>
        </w:rPr>
        <w:t> </w:t>
      </w:r>
      <w:r w:rsidRPr="00CF015D">
        <w:rPr>
          <w:rFonts w:ascii="Arabic Typesetting" w:hAnsi="Arabic Typesetting" w:cs="Arabic Typesetting"/>
          <w:sz w:val="34"/>
          <w:szCs w:val="34"/>
          <w:rtl/>
        </w:rPr>
        <w:t>نسبة</w:t>
      </w:r>
      <w:r>
        <w:rPr>
          <w:rFonts w:ascii="Arabic Typesetting" w:hAnsi="Arabic Typesetting" w:cs="Arabic Typesetting" w:hint="cs"/>
          <w:sz w:val="34"/>
          <w:szCs w:val="34"/>
          <w:rtl/>
        </w:rPr>
        <w:t> </w:t>
      </w:r>
      <w:r w:rsidRPr="00CF015D">
        <w:rPr>
          <w:rFonts w:ascii="Arabic Typesetting" w:hAnsi="Arabic Typesetting" w:cs="Arabic Typesetting"/>
          <w:sz w:val="34"/>
          <w:szCs w:val="34"/>
          <w:rtl/>
        </w:rPr>
        <w:t>استخدام ميزانية الموظفين ضمن النطاق المتوقع المتراوح بين 40 و60 بالمئة للسنة الأولى من الثنائية</w:t>
      </w:r>
      <w:r w:rsidRPr="00CF015D">
        <w:rPr>
          <w:rFonts w:ascii="Arabic Typesetting" w:hAnsi="Arabic Typesetting" w:cs="Arabic Typesetting" w:hint="cs"/>
          <w:sz w:val="34"/>
          <w:szCs w:val="34"/>
          <w:rtl/>
        </w:rPr>
        <w:t>.</w:t>
      </w:r>
    </w:p>
    <w:p w14:paraId="4507BADD" w14:textId="20A8C9F6" w:rsidR="00CE6E0B" w:rsidRDefault="00CE6E0B"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0B2911B6" w14:textId="385B3B2D" w:rsidR="00CE6E0B" w:rsidRPr="00254297" w:rsidRDefault="00CE6E0B" w:rsidP="00DA7DF7">
      <w:pPr>
        <w:pStyle w:val="Heading3"/>
        <w:ind w:left="1984" w:hanging="1984"/>
        <w:rPr>
          <w:rtl/>
          <w:lang w:bidi="ar-EG"/>
        </w:rPr>
      </w:pPr>
      <w:bookmarkStart w:id="28" w:name="_Toc482782755"/>
      <w:r w:rsidRPr="00254297">
        <w:rPr>
          <w:rtl/>
        </w:rPr>
        <w:lastRenderedPageBreak/>
        <w:t>البرنامج</w:t>
      </w:r>
      <w:r>
        <w:rPr>
          <w:rFonts w:hint="cs"/>
          <w:rtl/>
        </w:rPr>
        <w:t xml:space="preserve"> 9</w:t>
      </w:r>
      <w:r w:rsidRPr="00254297">
        <w:rPr>
          <w:rFonts w:hint="cs"/>
          <w:rtl/>
        </w:rPr>
        <w:t>:</w:t>
      </w:r>
      <w:r w:rsidRPr="00254297">
        <w:tab/>
      </w:r>
      <w:r w:rsidRPr="00095911">
        <w:rPr>
          <w:rtl/>
        </w:rPr>
        <w:t>أفريقي</w:t>
      </w:r>
      <w:r w:rsidR="00FF57F6">
        <w:rPr>
          <w:rFonts w:hint="cs"/>
          <w:rtl/>
        </w:rPr>
        <w:t>ا</w:t>
      </w:r>
      <w:r w:rsidRPr="00095911">
        <w:rPr>
          <w:rtl/>
        </w:rPr>
        <w:t xml:space="preserve"> و</w:t>
      </w:r>
      <w:r w:rsidR="00FF57F6">
        <w:rPr>
          <w:rFonts w:hint="cs"/>
          <w:rtl/>
        </w:rPr>
        <w:t xml:space="preserve">البلدان </w:t>
      </w:r>
      <w:r w:rsidRPr="00095911">
        <w:rPr>
          <w:rtl/>
        </w:rPr>
        <w:t>العربية وبلدان آسيا والمحيط الهادئ وأمريكا اللاتينية والكاريبي والبلدان الأقل نموا</w:t>
      </w:r>
      <w:bookmarkEnd w:id="28"/>
    </w:p>
    <w:p w14:paraId="41993667" w14:textId="77777777" w:rsidR="00CE6E0B" w:rsidRPr="00095911" w:rsidRDefault="00CE6E0B" w:rsidP="0031289D">
      <w:pPr>
        <w:keepNext/>
        <w:bidi/>
        <w:spacing w:after="240" w:line="340" w:lineRule="exact"/>
        <w:ind w:left="1984" w:hanging="1984"/>
        <w:rPr>
          <w:rFonts w:ascii="Arabic Typesetting" w:hAnsi="Arabic Typesetting" w:cs="Arabic Typesetting"/>
          <w:b/>
          <w:bCs/>
          <w:sz w:val="36"/>
          <w:szCs w:val="36"/>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095911">
        <w:rPr>
          <w:rFonts w:ascii="Arabic Typesetting" w:hAnsi="Arabic Typesetting" w:cs="Arabic Typesetting"/>
          <w:b/>
          <w:bCs/>
          <w:sz w:val="36"/>
          <w:szCs w:val="36"/>
          <w:rtl/>
          <w:lang w:val="fr-CH"/>
        </w:rPr>
        <w:t>السيد ماريو ماتوس</w:t>
      </w:r>
    </w:p>
    <w:p w14:paraId="2DC8EB9B" w14:textId="7330D772" w:rsidR="00CE6E0B" w:rsidRDefault="009C2128"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1DDF7E9D" wp14:editId="5469A020">
            <wp:extent cx="4554220" cy="274955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54220" cy="2749550"/>
                    </a:xfrm>
                    <a:prstGeom prst="rect">
                      <a:avLst/>
                    </a:prstGeom>
                    <a:noFill/>
                  </pic:spPr>
                </pic:pic>
              </a:graphicData>
            </a:graphic>
          </wp:inline>
        </w:drawing>
      </w:r>
    </w:p>
    <w:tbl>
      <w:tblPr>
        <w:bidiVisual/>
        <w:tblW w:w="9214" w:type="dxa"/>
        <w:tblInd w:w="58" w:type="dxa"/>
        <w:tblLayout w:type="fixed"/>
        <w:tblCellMar>
          <w:left w:w="115" w:type="dxa"/>
          <w:right w:w="115" w:type="dxa"/>
        </w:tblCellMar>
        <w:tblLook w:val="0000" w:firstRow="0" w:lastRow="0" w:firstColumn="0" w:lastColumn="0" w:noHBand="0" w:noVBand="0"/>
      </w:tblPr>
      <w:tblGrid>
        <w:gridCol w:w="1995"/>
        <w:gridCol w:w="2678"/>
        <w:gridCol w:w="1565"/>
        <w:gridCol w:w="2261"/>
        <w:gridCol w:w="715"/>
      </w:tblGrid>
      <w:tr w:rsidR="00CE6E0B" w:rsidRPr="00095911" w14:paraId="6B7FD75A" w14:textId="77777777" w:rsidTr="00BB3820">
        <w:trPr>
          <w:trHeight w:val="432"/>
        </w:trPr>
        <w:tc>
          <w:tcPr>
            <w:tcW w:w="5000" w:type="pct"/>
            <w:gridSpan w:val="5"/>
            <w:shd w:val="clear" w:color="auto" w:fill="C6D9F1"/>
            <w:tcMar>
              <w:left w:w="58" w:type="dxa"/>
              <w:right w:w="58" w:type="dxa"/>
            </w:tcMar>
            <w:vAlign w:val="center"/>
          </w:tcPr>
          <w:p w14:paraId="10035927" w14:textId="6005ACC8" w:rsidR="00CE6E0B" w:rsidRPr="00095911"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‏النتيجة المرتقبة:</w:t>
            </w:r>
            <w:r w:rsidRPr="00095911">
              <w:rPr>
                <w:rFonts w:ascii="Arabic Typesetting" w:eastAsia="Arabic Typesetting" w:hAnsi="Arabic Typesetting" w:cs="Arabic Typesetting"/>
                <w:sz w:val="28"/>
                <w:szCs w:val="28"/>
                <w:lang w:eastAsia="ar-EG" w:bidi="ar-EG"/>
              </w:rPr>
              <w:tab/>
            </w:r>
            <w:r w:rsidRPr="00095911">
              <w:rPr>
                <w:rFonts w:ascii="Arabic Typesetting" w:eastAsia="Arabic Typesetting" w:hAnsi="Arabic Typesetting" w:cs="Arabic Typesetting"/>
                <w:color w:val="000000"/>
                <w:sz w:val="28"/>
                <w:szCs w:val="28"/>
                <w:rtl/>
                <w:lang w:eastAsia="ar-EG" w:bidi="ar-EG"/>
              </w:rPr>
              <w:t>ه2.1</w:t>
            </w:r>
            <w:r>
              <w:rPr>
                <w:rFonts w:ascii="Arabic Typesetting" w:eastAsia="Arabic Typesetting" w:hAnsi="Arabic Typesetting" w:cs="Arabic Typesetting" w:hint="cs"/>
                <w:color w:val="000000"/>
                <w:sz w:val="28"/>
                <w:szCs w:val="28"/>
                <w:rtl/>
                <w:lang w:eastAsia="ar-EG" w:bidi="ar-EG"/>
              </w:rPr>
              <w:t xml:space="preserve"> </w:t>
            </w:r>
            <w:r w:rsidR="009834BA">
              <w:rPr>
                <w:rFonts w:ascii="Arabic Typesetting" w:eastAsia="Arabic Typesetting" w:hAnsi="Arabic Typesetting" w:cs="Arabic Typesetting"/>
                <w:color w:val="000000"/>
                <w:sz w:val="28"/>
                <w:szCs w:val="28"/>
                <w:rtl/>
                <w:lang w:eastAsia="ar-EG" w:bidi="ar-EG"/>
              </w:rPr>
              <w:t>أطر تشريعية وتنظيمية وسياسية مكيّفة ومتوازنة في مجال الملكية الفكرية</w:t>
            </w:r>
          </w:p>
        </w:tc>
      </w:tr>
      <w:tr w:rsidR="00CE6E0B" w:rsidRPr="00095911" w14:paraId="32C3A3F2" w14:textId="77777777" w:rsidTr="009C2128">
        <w:tc>
          <w:tcPr>
            <w:tcW w:w="1083" w:type="pct"/>
            <w:shd w:val="clear" w:color="auto" w:fill="auto"/>
            <w:tcMar>
              <w:left w:w="58" w:type="dxa"/>
              <w:right w:w="58" w:type="dxa"/>
            </w:tcMar>
            <w:vAlign w:val="center"/>
          </w:tcPr>
          <w:p w14:paraId="22757BA7" w14:textId="77777777" w:rsidR="00CE6E0B" w:rsidRPr="00095911"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مؤشرات الأداء</w:t>
            </w:r>
          </w:p>
        </w:tc>
        <w:tc>
          <w:tcPr>
            <w:tcW w:w="1453" w:type="pct"/>
            <w:shd w:val="clear" w:color="auto" w:fill="auto"/>
            <w:tcMar>
              <w:left w:w="58" w:type="dxa"/>
              <w:right w:w="58" w:type="dxa"/>
            </w:tcMar>
            <w:vAlign w:val="center"/>
          </w:tcPr>
          <w:p w14:paraId="10157523"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أسس المقارنة</w:t>
            </w:r>
          </w:p>
        </w:tc>
        <w:tc>
          <w:tcPr>
            <w:tcW w:w="849" w:type="pct"/>
            <w:shd w:val="clear" w:color="auto" w:fill="auto"/>
            <w:tcMar>
              <w:top w:w="110" w:type="dxa"/>
              <w:left w:w="58" w:type="dxa"/>
              <w:right w:w="58" w:type="dxa"/>
            </w:tcMar>
            <w:vAlign w:val="center"/>
          </w:tcPr>
          <w:p w14:paraId="223B6D6C"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الأهداف</w:t>
            </w:r>
          </w:p>
        </w:tc>
        <w:tc>
          <w:tcPr>
            <w:tcW w:w="1227" w:type="pct"/>
            <w:shd w:val="clear" w:color="auto" w:fill="FFFFFF"/>
            <w:tcMar>
              <w:top w:w="110" w:type="dxa"/>
              <w:left w:w="58" w:type="dxa"/>
              <w:right w:w="58" w:type="dxa"/>
            </w:tcMar>
            <w:vAlign w:val="center"/>
          </w:tcPr>
          <w:p w14:paraId="5CE19A6E"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بيانات الأداء</w:t>
            </w:r>
          </w:p>
        </w:tc>
        <w:tc>
          <w:tcPr>
            <w:tcW w:w="388" w:type="pct"/>
            <w:shd w:val="clear" w:color="auto" w:fill="auto"/>
            <w:tcMar>
              <w:top w:w="110" w:type="dxa"/>
              <w:left w:w="58" w:type="dxa"/>
              <w:right w:w="58" w:type="dxa"/>
            </w:tcMar>
            <w:vAlign w:val="center"/>
          </w:tcPr>
          <w:p w14:paraId="55EE51C4" w14:textId="77777777" w:rsidR="00CE6E0B" w:rsidRPr="00095911" w:rsidRDefault="00CE6E0B" w:rsidP="0031289D">
            <w:pPr>
              <w:bidi/>
              <w:spacing w:after="120" w:line="280" w:lineRule="exact"/>
              <w:jc w:val="center"/>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السير</w:t>
            </w:r>
          </w:p>
        </w:tc>
      </w:tr>
      <w:tr w:rsidR="00CE6E0B" w:rsidRPr="00095911" w14:paraId="09035F31" w14:textId="77777777" w:rsidTr="009C2128">
        <w:trPr>
          <w:trHeight w:val="5281"/>
        </w:trPr>
        <w:tc>
          <w:tcPr>
            <w:tcW w:w="1083" w:type="pct"/>
            <w:shd w:val="clear" w:color="auto" w:fill="auto"/>
            <w:tcMar>
              <w:left w:w="58" w:type="dxa"/>
              <w:right w:w="58" w:type="dxa"/>
            </w:tcMar>
          </w:tcPr>
          <w:p w14:paraId="1675494B"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 xml:space="preserve">عدد و/أو نسبة البلدان التي تقدم رأيا إيجابيا في المشورة التشريعية والسياسية التي </w:t>
            </w:r>
            <w:r>
              <w:rPr>
                <w:rFonts w:ascii="Arabic Typesetting" w:eastAsia="Arabic Typesetting" w:hAnsi="Arabic Typesetting" w:cs="Arabic Typesetting" w:hint="cs"/>
                <w:color w:val="000000"/>
                <w:sz w:val="28"/>
                <w:szCs w:val="28"/>
                <w:rtl/>
                <w:lang w:eastAsia="ar-EG" w:bidi="ar-EG"/>
              </w:rPr>
              <w:t>تسديها</w:t>
            </w:r>
            <w:r w:rsidRPr="00095911">
              <w:rPr>
                <w:rFonts w:ascii="Arabic Typesetting" w:eastAsia="Arabic Typesetting" w:hAnsi="Arabic Typesetting" w:cs="Arabic Typesetting"/>
                <w:color w:val="000000"/>
                <w:sz w:val="28"/>
                <w:szCs w:val="28"/>
                <w:rtl/>
                <w:lang w:eastAsia="ar-EG" w:bidi="ar-EG"/>
              </w:rPr>
              <w:t xml:space="preserve"> الويبو</w:t>
            </w:r>
          </w:p>
        </w:tc>
        <w:tc>
          <w:tcPr>
            <w:tcW w:w="1453" w:type="pct"/>
            <w:shd w:val="clear" w:color="auto" w:fill="auto"/>
            <w:tcMar>
              <w:left w:w="58" w:type="dxa"/>
              <w:right w:w="58" w:type="dxa"/>
            </w:tcMar>
          </w:tcPr>
          <w:p w14:paraId="2C897593" w14:textId="77777777" w:rsidR="00CE6E0B" w:rsidRDefault="00CE6E0B" w:rsidP="0031289D">
            <w:pPr>
              <w:bidi/>
              <w:spacing w:line="280" w:lineRule="exact"/>
              <w:rPr>
                <w:rFonts w:ascii="Arabic Typesetting" w:eastAsia="Arabic Typesetting" w:hAnsi="Arabic Typesetting" w:cs="Arabic Typesetting"/>
                <w:i/>
                <w:iCs/>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p>
          <w:p w14:paraId="30704C24" w14:textId="77777777" w:rsidR="00CE6E0B"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في 2014/15</w:t>
            </w:r>
            <w:r>
              <w:rPr>
                <w:rFonts w:ascii="Arabic Typesetting" w:eastAsia="Arabic Typesetting" w:hAnsi="Arabic Typesetting" w:cs="Arabic Typesetting"/>
                <w:color w:val="002060"/>
                <w:sz w:val="28"/>
                <w:szCs w:val="28"/>
                <w:rtl/>
                <w:lang w:eastAsia="ar-EG" w:bidi="ar-EG"/>
              </w:rPr>
              <w:t>:</w:t>
            </w:r>
          </w:p>
          <w:p w14:paraId="5F25BC58" w14:textId="77777777" w:rsidR="00CE6E0B" w:rsidRPr="00095911" w:rsidRDefault="00CE6E0B" w:rsidP="0031289D">
            <w:pPr>
              <w:numPr>
                <w:ilvl w:val="0"/>
                <w:numId w:val="14"/>
              </w:numPr>
              <w:bidi/>
              <w:spacing w:after="120" w:line="280" w:lineRule="exact"/>
              <w:ind w:left="216" w:hanging="216"/>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أبلغت 7 بلدان مجيبة بنسبة 94% من الرضا عن المشورة المقدمة (أفريقيا (3)؛ المنطقة العربية (1)؛ آسيا والمحيط الهادئ (2)؛ أمريكا اللاتينية والكاريبي (1)) (البرنامج 1)</w:t>
            </w:r>
          </w:p>
          <w:p w14:paraId="45B76FCF" w14:textId="77777777" w:rsidR="00CE6E0B" w:rsidRPr="00095911" w:rsidRDefault="00CE6E0B" w:rsidP="0031289D">
            <w:pPr>
              <w:numPr>
                <w:ilvl w:val="0"/>
                <w:numId w:val="14"/>
              </w:numPr>
              <w:bidi/>
              <w:spacing w:after="120" w:line="280" w:lineRule="exact"/>
              <w:ind w:left="216" w:hanging="216"/>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أبلغ 10 مجيبين من 8 بلدان بنسبة 100% من الرضا عن المشورة المقدمة (أفريقيا (1)؛ آسيا والمحيط الهادئ (7)؛ أمريكا اللاتينية والكاريبي (2)) (البرنامج 2)</w:t>
            </w:r>
          </w:p>
          <w:p w14:paraId="29492AFF" w14:textId="77777777" w:rsidR="00CE6E0B" w:rsidRDefault="00CE6E0B" w:rsidP="0031289D">
            <w:pPr>
              <w:numPr>
                <w:ilvl w:val="0"/>
                <w:numId w:val="14"/>
              </w:numPr>
              <w:bidi/>
              <w:spacing w:after="120" w:line="280" w:lineRule="exact"/>
              <w:ind w:left="216" w:hanging="216"/>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أبلغ 13 مجيباً بنسبة 100% من الرضا عن المشورة المقدمة (أفريقيا (3)؛ المنطقة العربية (3)؛ آسيا والمحيط الهادئ (4)؛ أمريكا اللاتينية والكاريبي (3)) (البرنامج 3)</w:t>
            </w:r>
          </w:p>
          <w:p w14:paraId="77034775"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تحدد التقسيمات الإقليمية بالتعاون مع</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البرامج 1 و2 و3 و4</w:t>
            </w:r>
          </w:p>
        </w:tc>
        <w:tc>
          <w:tcPr>
            <w:tcW w:w="849" w:type="pct"/>
            <w:shd w:val="clear" w:color="auto" w:fill="auto"/>
            <w:tcMar>
              <w:top w:w="110" w:type="dxa"/>
              <w:left w:w="58" w:type="dxa"/>
              <w:right w:w="58" w:type="dxa"/>
            </w:tcMar>
          </w:tcPr>
          <w:p w14:paraId="53D95701"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90%</w:t>
            </w:r>
          </w:p>
          <w:p w14:paraId="53EB92CF" w14:textId="77777777" w:rsidR="00CE6E0B" w:rsidRDefault="00CE6E0B" w:rsidP="0031289D">
            <w:pPr>
              <w:bidi/>
              <w:spacing w:line="280" w:lineRule="exact"/>
              <w:rPr>
                <w:rFonts w:ascii="Arabic Typesetting" w:eastAsia="Arabic Typesetting" w:hAnsi="Arabic Typesetting" w:cs="Arabic Typesetting"/>
                <w:i/>
                <w:iCs/>
                <w:sz w:val="28"/>
                <w:szCs w:val="28"/>
                <w:rtl/>
                <w:lang w:eastAsia="ar-EG" w:bidi="ar-EG"/>
              </w:rPr>
            </w:pPr>
            <w:r w:rsidRPr="00095911">
              <w:rPr>
                <w:rFonts w:ascii="Arabic Typesetting" w:eastAsia="Arabic Typesetting" w:hAnsi="Arabic Typesetting" w:cs="Arabic Typesetting"/>
                <w:i/>
                <w:iCs/>
                <w:sz w:val="28"/>
                <w:szCs w:val="28"/>
                <w:rtl/>
                <w:lang w:eastAsia="ar-EG" w:bidi="ar-EG"/>
              </w:rPr>
              <w:t>الهدف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0F6BFA0D" w14:textId="77777777" w:rsidR="00CE6E0B" w:rsidRPr="00095911" w:rsidRDefault="00CE6E0B" w:rsidP="0031289D">
            <w:pPr>
              <w:numPr>
                <w:ilvl w:val="0"/>
                <w:numId w:val="12"/>
              </w:numPr>
              <w:bidi/>
              <w:spacing w:line="280" w:lineRule="exact"/>
              <w:ind w:left="90" w:hanging="204"/>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أفريقيا </w:t>
            </w:r>
            <w:r>
              <w:rPr>
                <w:rFonts w:ascii="Arabic Typesetting" w:eastAsia="Arabic Typesetting" w:hAnsi="Arabic Typesetting" w:cs="Arabic Typesetting" w:hint="cs"/>
                <w:sz w:val="28"/>
                <w:szCs w:val="28"/>
                <w:rtl/>
                <w:lang w:eastAsia="ar-EG" w:bidi="ar-EG"/>
              </w:rPr>
              <w:t>(</w:t>
            </w:r>
            <w:r>
              <w:rPr>
                <w:rFonts w:ascii="Arabic Typesetting" w:eastAsia="Arabic Typesetting" w:hAnsi="Arabic Typesetting" w:cs="Arabic Typesetting"/>
                <w:sz w:val="28"/>
                <w:szCs w:val="28"/>
                <w:lang w:eastAsia="ar-EG" w:bidi="ar-EG"/>
              </w:rPr>
              <w:t>%90</w:t>
            </w:r>
            <w:r>
              <w:rPr>
                <w:rFonts w:ascii="Arabic Typesetting" w:eastAsia="Arabic Typesetting" w:hAnsi="Arabic Typesetting" w:cs="Arabic Typesetting" w:hint="cs"/>
                <w:sz w:val="28"/>
                <w:szCs w:val="28"/>
                <w:rtl/>
                <w:lang w:eastAsia="ar-EG" w:bidi="ar-EG"/>
              </w:rPr>
              <w:t>)</w:t>
            </w:r>
          </w:p>
          <w:p w14:paraId="3C6478F3" w14:textId="77777777" w:rsidR="00CE6E0B" w:rsidRPr="00095911" w:rsidRDefault="00CE6E0B" w:rsidP="0031289D">
            <w:pPr>
              <w:numPr>
                <w:ilvl w:val="0"/>
                <w:numId w:val="12"/>
              </w:numPr>
              <w:bidi/>
              <w:spacing w:line="280" w:lineRule="exact"/>
              <w:ind w:left="90" w:hanging="204"/>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w:t>
            </w:r>
            <w:r>
              <w:rPr>
                <w:rFonts w:ascii="Arabic Typesetting" w:eastAsia="Arabic Typesetting" w:hAnsi="Arabic Typesetting" w:cs="Arabic Typesetting"/>
                <w:sz w:val="28"/>
                <w:szCs w:val="28"/>
                <w:lang w:eastAsia="ar-EG" w:bidi="ar-EG"/>
              </w:rPr>
              <w:t>%90</w:t>
            </w:r>
            <w:r w:rsidRPr="00095911">
              <w:rPr>
                <w:rFonts w:ascii="Arabic Typesetting" w:eastAsia="Arabic Typesetting" w:hAnsi="Arabic Typesetting" w:cs="Arabic Typesetting"/>
                <w:sz w:val="28"/>
                <w:szCs w:val="28"/>
                <w:rtl/>
                <w:lang w:eastAsia="ar-EG" w:bidi="ar-EG"/>
              </w:rPr>
              <w:t>)</w:t>
            </w:r>
          </w:p>
          <w:p w14:paraId="7580CCE7" w14:textId="77777777" w:rsidR="00CE6E0B" w:rsidRPr="00095911" w:rsidRDefault="00CE6E0B" w:rsidP="0031289D">
            <w:pPr>
              <w:numPr>
                <w:ilvl w:val="0"/>
                <w:numId w:val="12"/>
              </w:numPr>
              <w:bidi/>
              <w:spacing w:line="280" w:lineRule="exact"/>
              <w:ind w:left="90" w:hanging="204"/>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w:t>
            </w:r>
            <w:r>
              <w:rPr>
                <w:rFonts w:ascii="Arabic Typesetting" w:eastAsia="Arabic Typesetting" w:hAnsi="Arabic Typesetting" w:cs="Arabic Typesetting"/>
                <w:sz w:val="28"/>
                <w:szCs w:val="28"/>
                <w:lang w:eastAsia="ar-EG" w:bidi="ar-EG"/>
              </w:rPr>
              <w:t>%90</w:t>
            </w:r>
            <w:r w:rsidRPr="00095911">
              <w:rPr>
                <w:rFonts w:ascii="Arabic Typesetting" w:eastAsia="Arabic Typesetting" w:hAnsi="Arabic Typesetting" w:cs="Arabic Typesetting"/>
                <w:sz w:val="28"/>
                <w:szCs w:val="28"/>
                <w:rtl/>
                <w:lang w:eastAsia="ar-EG" w:bidi="ar-EG"/>
              </w:rPr>
              <w:t>)</w:t>
            </w:r>
          </w:p>
          <w:p w14:paraId="6941B6D2" w14:textId="77777777" w:rsidR="00CE6E0B" w:rsidRPr="00095911" w:rsidRDefault="00CE6E0B" w:rsidP="0031289D">
            <w:pPr>
              <w:numPr>
                <w:ilvl w:val="0"/>
                <w:numId w:val="12"/>
              </w:numPr>
              <w:bidi/>
              <w:spacing w:after="120" w:line="280" w:lineRule="exact"/>
              <w:ind w:left="90" w:hanging="204"/>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w:t>
            </w:r>
            <w:r>
              <w:rPr>
                <w:rFonts w:ascii="Arabic Typesetting" w:eastAsia="Arabic Typesetting" w:hAnsi="Arabic Typesetting" w:cs="Arabic Typesetting"/>
                <w:sz w:val="28"/>
                <w:szCs w:val="28"/>
                <w:lang w:eastAsia="ar-EG" w:bidi="ar-EG"/>
              </w:rPr>
              <w:t>%90</w:t>
            </w:r>
            <w:r w:rsidRPr="00095911">
              <w:rPr>
                <w:rFonts w:ascii="Arabic Typesetting" w:eastAsia="Arabic Typesetting" w:hAnsi="Arabic Typesetting" w:cs="Arabic Typesetting"/>
                <w:sz w:val="28"/>
                <w:szCs w:val="28"/>
                <w:rtl/>
                <w:lang w:eastAsia="ar-EG" w:bidi="ar-EG"/>
              </w:rPr>
              <w:t>)</w:t>
            </w:r>
          </w:p>
        </w:tc>
        <w:tc>
          <w:tcPr>
            <w:tcW w:w="1227" w:type="pct"/>
            <w:shd w:val="clear" w:color="auto" w:fill="FFFFFF"/>
            <w:tcMar>
              <w:top w:w="110" w:type="dxa"/>
              <w:left w:w="58" w:type="dxa"/>
              <w:right w:w="58" w:type="dxa"/>
            </w:tcMar>
          </w:tcPr>
          <w:p w14:paraId="190F8EB4" w14:textId="77777777" w:rsidR="00CE6E0B"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أبلغت 7 بلدان مجيبة بنسبة 100% من الرضا عن المشورة المقدمة (أفريقيا (1)؛ المنطقة العربية (1)؛ آسيا والمحيط الهادئ (2)؛ أمريكا اللاتينية والكاريبي (3)) (البرنامج 1)</w:t>
            </w:r>
          </w:p>
          <w:p w14:paraId="04E23EE6" w14:textId="77777777" w:rsidR="00CE6E0B"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أبلغ بلدان مجيبان بنسبة 100% من الرضا عن المشورة المقدمة (أفريقيا (1)؛ أمريكا اللاتينية والكاريبي (1)) (البرنامج 2)</w:t>
            </w:r>
          </w:p>
          <w:p w14:paraId="7693B72C"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sz w:val="28"/>
                <w:szCs w:val="28"/>
                <w:rtl/>
                <w:lang w:eastAsia="ar-EG" w:bidi="ar-EG"/>
              </w:rPr>
              <w:t>- أبلغ 13 مجيباً بنسبة 100% من الرضا عن المشورة المقدمة (أفريقيا (</w:t>
            </w:r>
            <w:r>
              <w:rPr>
                <w:rFonts w:ascii="Arabic Typesetting" w:eastAsia="Arabic Typesetting" w:hAnsi="Arabic Typesetting" w:cs="Arabic Typesetting" w:hint="cs"/>
                <w:sz w:val="28"/>
                <w:szCs w:val="28"/>
                <w:rtl/>
                <w:lang w:eastAsia="ar-EG" w:bidi="ar-EG"/>
              </w:rPr>
              <w:t>2</w:t>
            </w:r>
            <w:r w:rsidRPr="00095911">
              <w:rPr>
                <w:rFonts w:ascii="Arabic Typesetting" w:eastAsia="Arabic Typesetting" w:hAnsi="Arabic Typesetting" w:cs="Arabic Typesetting"/>
                <w:sz w:val="28"/>
                <w:szCs w:val="28"/>
                <w:rtl/>
                <w:lang w:eastAsia="ar-EG" w:bidi="ar-EG"/>
              </w:rPr>
              <w:t>)؛ آسيا والمحيط الهادئ (</w:t>
            </w:r>
            <w:r>
              <w:rPr>
                <w:rFonts w:ascii="Arabic Typesetting" w:eastAsia="Arabic Typesetting" w:hAnsi="Arabic Typesetting" w:cs="Arabic Typesetting" w:hint="cs"/>
                <w:sz w:val="28"/>
                <w:szCs w:val="28"/>
                <w:rtl/>
                <w:lang w:eastAsia="ar-EG" w:bidi="ar-EG"/>
              </w:rPr>
              <w:t>7</w:t>
            </w:r>
            <w:r w:rsidRPr="00095911">
              <w:rPr>
                <w:rFonts w:ascii="Arabic Typesetting" w:eastAsia="Arabic Typesetting" w:hAnsi="Arabic Typesetting" w:cs="Arabic Typesetting"/>
                <w:sz w:val="28"/>
                <w:szCs w:val="28"/>
                <w:rtl/>
                <w:lang w:eastAsia="ar-EG" w:bidi="ar-EG"/>
              </w:rPr>
              <w:t>)؛ أمريكا اللاتينية والكاريبي (</w:t>
            </w:r>
            <w:r>
              <w:rPr>
                <w:rFonts w:ascii="Arabic Typesetting" w:eastAsia="Arabic Typesetting" w:hAnsi="Arabic Typesetting" w:cs="Arabic Typesetting" w:hint="cs"/>
                <w:sz w:val="28"/>
                <w:szCs w:val="28"/>
                <w:rtl/>
                <w:lang w:eastAsia="ar-EG" w:bidi="ar-EG"/>
              </w:rPr>
              <w:t>4</w:t>
            </w:r>
            <w:r w:rsidRPr="00095911">
              <w:rPr>
                <w:rFonts w:ascii="Arabic Typesetting" w:eastAsia="Arabic Typesetting" w:hAnsi="Arabic Typesetting" w:cs="Arabic Typesetting"/>
                <w:sz w:val="28"/>
                <w:szCs w:val="28"/>
                <w:rtl/>
                <w:lang w:eastAsia="ar-EG" w:bidi="ar-EG"/>
              </w:rPr>
              <w:t>)) (البرنامج 3)</w:t>
            </w:r>
          </w:p>
        </w:tc>
        <w:tc>
          <w:tcPr>
            <w:tcW w:w="388" w:type="pct"/>
            <w:shd w:val="clear" w:color="auto" w:fill="auto"/>
            <w:tcMar>
              <w:top w:w="110" w:type="dxa"/>
              <w:left w:w="58" w:type="dxa"/>
              <w:right w:w="58" w:type="dxa"/>
            </w:tcMar>
          </w:tcPr>
          <w:p w14:paraId="1BE706FA"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tc>
      </w:tr>
      <w:tr w:rsidR="00CE6E0B" w:rsidRPr="00095911" w14:paraId="5FA70A7C" w14:textId="77777777" w:rsidTr="00BB3820">
        <w:trPr>
          <w:trHeight w:val="432"/>
        </w:trPr>
        <w:tc>
          <w:tcPr>
            <w:tcW w:w="5000" w:type="pct"/>
            <w:gridSpan w:val="5"/>
            <w:shd w:val="clear" w:color="auto" w:fill="C6D9F1"/>
            <w:tcMar>
              <w:left w:w="58" w:type="dxa"/>
              <w:right w:w="58" w:type="dxa"/>
            </w:tcMar>
            <w:vAlign w:val="center"/>
          </w:tcPr>
          <w:p w14:paraId="6167A162" w14:textId="77777777" w:rsidR="00CE6E0B" w:rsidRPr="00095911"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lastRenderedPageBreak/>
              <w:t>‏النتيجة المرتقبة:</w:t>
            </w:r>
            <w:r w:rsidRPr="00095911">
              <w:rPr>
                <w:rFonts w:ascii="Arabic Typesetting" w:eastAsia="Arabic Typesetting" w:hAnsi="Arabic Typesetting" w:cs="Arabic Typesetting"/>
                <w:sz w:val="28"/>
                <w:szCs w:val="28"/>
                <w:lang w:eastAsia="ar-EG" w:bidi="ar-EG"/>
              </w:rPr>
              <w:tab/>
            </w:r>
            <w:r w:rsidRPr="00095911">
              <w:rPr>
                <w:rFonts w:ascii="Arabic Typesetting" w:eastAsia="Arabic Typesetting" w:hAnsi="Arabic Typesetting" w:cs="Arabic Typesetting"/>
                <w:color w:val="000000"/>
                <w:sz w:val="28"/>
                <w:szCs w:val="28"/>
                <w:rtl/>
                <w:lang w:eastAsia="ar-EG" w:bidi="ar-EG"/>
              </w:rPr>
              <w:t xml:space="preserve">ه1.2 استخدام نظام معاهدة التعاون بشأن البراءات على نطاق أوسع وبفعالية أكبر </w:t>
            </w:r>
            <w:r w:rsidRPr="00095911">
              <w:rPr>
                <w:rFonts w:ascii="Arabic Typesetting" w:eastAsia="Arabic Typesetting" w:hAnsi="Arabic Typesetting" w:cs="Arabic Typesetting"/>
                <w:sz w:val="28"/>
                <w:szCs w:val="28"/>
                <w:rtl/>
                <w:lang w:eastAsia="ar-EG" w:bidi="ar-EG"/>
              </w:rPr>
              <w:t>لإيداع</w:t>
            </w:r>
            <w:r w:rsidRPr="00095911">
              <w:rPr>
                <w:rFonts w:ascii="Arabic Typesetting" w:eastAsia="Arabic Typesetting" w:hAnsi="Arabic Typesetting" w:cs="Arabic Typesetting"/>
                <w:color w:val="000000"/>
                <w:sz w:val="28"/>
                <w:szCs w:val="28"/>
                <w:rtl/>
                <w:lang w:eastAsia="ar-EG" w:bidi="ar-EG"/>
              </w:rPr>
              <w:t xml:space="preserve"> طلبات البراءات الدولية</w:t>
            </w:r>
          </w:p>
        </w:tc>
      </w:tr>
      <w:tr w:rsidR="00CE6E0B" w:rsidRPr="00095911" w14:paraId="1376E192" w14:textId="77777777" w:rsidTr="009C2128">
        <w:tc>
          <w:tcPr>
            <w:tcW w:w="1083" w:type="pct"/>
            <w:shd w:val="clear" w:color="auto" w:fill="auto"/>
            <w:tcMar>
              <w:left w:w="58" w:type="dxa"/>
              <w:right w:w="58" w:type="dxa"/>
            </w:tcMar>
            <w:vAlign w:val="center"/>
          </w:tcPr>
          <w:p w14:paraId="264A27BE" w14:textId="77777777" w:rsidR="00CE6E0B" w:rsidRPr="00095911" w:rsidRDefault="00CE6E0B" w:rsidP="0031289D">
            <w:pPr>
              <w:keepNext/>
              <w:keepLines/>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مؤشرات الأداء</w:t>
            </w:r>
          </w:p>
        </w:tc>
        <w:tc>
          <w:tcPr>
            <w:tcW w:w="1453" w:type="pct"/>
            <w:shd w:val="clear" w:color="auto" w:fill="auto"/>
            <w:tcMar>
              <w:left w:w="58" w:type="dxa"/>
              <w:right w:w="58" w:type="dxa"/>
            </w:tcMar>
            <w:vAlign w:val="center"/>
          </w:tcPr>
          <w:p w14:paraId="05E35EB2" w14:textId="77777777" w:rsidR="00CE6E0B" w:rsidRPr="00095911" w:rsidRDefault="00CE6E0B" w:rsidP="0031289D">
            <w:pPr>
              <w:keepNext/>
              <w:keepLines/>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أسس المقارنة</w:t>
            </w:r>
          </w:p>
        </w:tc>
        <w:tc>
          <w:tcPr>
            <w:tcW w:w="849" w:type="pct"/>
            <w:shd w:val="clear" w:color="auto" w:fill="auto"/>
            <w:tcMar>
              <w:top w:w="110" w:type="dxa"/>
              <w:left w:w="58" w:type="dxa"/>
              <w:right w:w="58" w:type="dxa"/>
            </w:tcMar>
            <w:vAlign w:val="center"/>
          </w:tcPr>
          <w:p w14:paraId="7EB48EC1" w14:textId="77777777" w:rsidR="00CE6E0B" w:rsidRPr="00095911" w:rsidRDefault="00CE6E0B" w:rsidP="0031289D">
            <w:pPr>
              <w:keepNext/>
              <w:keepLines/>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الأهداف</w:t>
            </w:r>
          </w:p>
        </w:tc>
        <w:tc>
          <w:tcPr>
            <w:tcW w:w="1227" w:type="pct"/>
            <w:shd w:val="clear" w:color="auto" w:fill="FFFFFF"/>
            <w:tcMar>
              <w:top w:w="110" w:type="dxa"/>
              <w:left w:w="58" w:type="dxa"/>
              <w:right w:w="58" w:type="dxa"/>
            </w:tcMar>
            <w:vAlign w:val="center"/>
          </w:tcPr>
          <w:p w14:paraId="6FD575E0" w14:textId="77777777" w:rsidR="00CE6E0B" w:rsidRPr="00095911" w:rsidRDefault="00CE6E0B" w:rsidP="0031289D">
            <w:pPr>
              <w:keepNext/>
              <w:keepLines/>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بيانات الأداء</w:t>
            </w:r>
          </w:p>
        </w:tc>
        <w:tc>
          <w:tcPr>
            <w:tcW w:w="388" w:type="pct"/>
            <w:shd w:val="clear" w:color="auto" w:fill="auto"/>
            <w:tcMar>
              <w:top w:w="110" w:type="dxa"/>
              <w:left w:w="58" w:type="dxa"/>
              <w:right w:w="58" w:type="dxa"/>
            </w:tcMar>
            <w:vAlign w:val="center"/>
          </w:tcPr>
          <w:p w14:paraId="6B1804A3" w14:textId="77777777" w:rsidR="00CE6E0B" w:rsidRPr="00095911" w:rsidRDefault="00CE6E0B" w:rsidP="0031289D">
            <w:pPr>
              <w:keepNext/>
              <w:keepLines/>
              <w:bidi/>
              <w:spacing w:after="60" w:line="280" w:lineRule="exact"/>
              <w:jc w:val="center"/>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السير</w:t>
            </w:r>
          </w:p>
        </w:tc>
      </w:tr>
      <w:tr w:rsidR="00CE6E0B" w:rsidRPr="00095911" w14:paraId="6A20928C" w14:textId="77777777" w:rsidTr="009C2128">
        <w:trPr>
          <w:trHeight w:val="1425"/>
        </w:trPr>
        <w:tc>
          <w:tcPr>
            <w:tcW w:w="1083" w:type="pct"/>
            <w:shd w:val="clear" w:color="auto" w:fill="auto"/>
            <w:tcMar>
              <w:left w:w="58" w:type="dxa"/>
              <w:right w:w="58" w:type="dxa"/>
            </w:tcMar>
          </w:tcPr>
          <w:p w14:paraId="52B8575C" w14:textId="010EAFD5" w:rsidR="00CE6E0B" w:rsidRPr="00095911" w:rsidRDefault="00CE6E0B" w:rsidP="004B40B5">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عدد الطلبات المودعة بناء على معاهدة البراءات والصادرة من البلدان النامية والبلدان الأقل</w:t>
            </w:r>
            <w:r w:rsidR="004B40B5">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نموا</w:t>
            </w:r>
          </w:p>
        </w:tc>
        <w:tc>
          <w:tcPr>
            <w:tcW w:w="1453" w:type="pct"/>
            <w:shd w:val="clear" w:color="auto" w:fill="auto"/>
            <w:tcMar>
              <w:left w:w="58" w:type="dxa"/>
              <w:right w:w="58" w:type="dxa"/>
            </w:tcMar>
          </w:tcPr>
          <w:p w14:paraId="04FC3C8B" w14:textId="2E83F7BF" w:rsidR="00CE6E0B" w:rsidRPr="00095911" w:rsidRDefault="00CE6E0B" w:rsidP="00587BA7">
            <w:pPr>
              <w:keepNext/>
              <w:keepLines/>
              <w:bidi/>
              <w:spacing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00587BA7">
              <w:rPr>
                <w:rFonts w:ascii="Arabic Typesetting" w:eastAsia="Arabic Typesetting" w:hAnsi="Arabic Typesetting" w:cs="Arabic Typesetting" w:hint="cs"/>
                <w:color w:val="002060"/>
                <w:sz w:val="28"/>
                <w:szCs w:val="28"/>
                <w:rtl/>
                <w:lang w:eastAsia="ar-EG" w:bidi="ar-EG"/>
              </w:rPr>
              <w:t xml:space="preserve">524 49 </w:t>
            </w:r>
            <w:r w:rsidRPr="00095911">
              <w:rPr>
                <w:rFonts w:ascii="Arabic Typesetting" w:eastAsia="Arabic Typesetting" w:hAnsi="Arabic Typesetting" w:cs="Arabic Typesetting"/>
                <w:color w:val="002060"/>
                <w:sz w:val="28"/>
                <w:szCs w:val="28"/>
                <w:rtl/>
                <w:lang w:eastAsia="ar-EG" w:bidi="ar-EG"/>
              </w:rPr>
              <w:t>(2015)</w:t>
            </w:r>
          </w:p>
          <w:p w14:paraId="5BAB44FC" w14:textId="77777777" w:rsidR="00CE6E0B" w:rsidRPr="00095911" w:rsidRDefault="00CE6E0B" w:rsidP="0031289D">
            <w:pPr>
              <w:keepNext/>
              <w:keepLines/>
              <w:numPr>
                <w:ilvl w:val="0"/>
                <w:numId w:val="12"/>
              </w:numPr>
              <w:bidi/>
              <w:spacing w:line="280" w:lineRule="exact"/>
              <w:ind w:left="356" w:hanging="356"/>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أفريقيا (374)</w:t>
            </w:r>
          </w:p>
          <w:p w14:paraId="548262FE" w14:textId="77777777" w:rsidR="00CE6E0B" w:rsidRPr="00095911" w:rsidRDefault="00CE6E0B" w:rsidP="0031289D">
            <w:pPr>
              <w:keepNext/>
              <w:keepLines/>
              <w:numPr>
                <w:ilvl w:val="0"/>
                <w:numId w:val="12"/>
              </w:numPr>
              <w:bidi/>
              <w:spacing w:line="280" w:lineRule="exact"/>
              <w:ind w:left="356" w:hanging="356"/>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المنطقة العربية (507)</w:t>
            </w:r>
          </w:p>
          <w:p w14:paraId="291C963F" w14:textId="26F8B533" w:rsidR="00CE6E0B" w:rsidRPr="00095911" w:rsidRDefault="00CE6E0B" w:rsidP="00587BA7">
            <w:pPr>
              <w:keepNext/>
              <w:keepLines/>
              <w:numPr>
                <w:ilvl w:val="0"/>
                <w:numId w:val="12"/>
              </w:numPr>
              <w:bidi/>
              <w:spacing w:line="280" w:lineRule="exact"/>
              <w:ind w:left="356" w:hanging="356"/>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آسيا والمحيط الهادئ (</w:t>
            </w:r>
            <w:r w:rsidR="00587BA7">
              <w:rPr>
                <w:rFonts w:ascii="Arabic Typesetting" w:eastAsia="Arabic Typesetting" w:hAnsi="Arabic Typesetting" w:cs="Arabic Typesetting" w:hint="cs"/>
                <w:color w:val="002060"/>
                <w:sz w:val="28"/>
                <w:szCs w:val="28"/>
                <w:rtl/>
                <w:lang w:eastAsia="ar-EG" w:bidi="ar-EG"/>
              </w:rPr>
              <w:t>284 47</w:t>
            </w:r>
            <w:r w:rsidRPr="00095911">
              <w:rPr>
                <w:rFonts w:ascii="Arabic Typesetting" w:eastAsia="Arabic Typesetting" w:hAnsi="Arabic Typesetting" w:cs="Arabic Typesetting"/>
                <w:color w:val="002060"/>
                <w:sz w:val="28"/>
                <w:szCs w:val="28"/>
                <w:rtl/>
                <w:lang w:eastAsia="ar-EG" w:bidi="ar-EG"/>
              </w:rPr>
              <w:t>)</w:t>
            </w:r>
          </w:p>
          <w:p w14:paraId="48BCBEE9" w14:textId="65E57353" w:rsidR="00CE6E0B" w:rsidRDefault="00CE6E0B" w:rsidP="00587BA7">
            <w:pPr>
              <w:keepNext/>
              <w:keepLines/>
              <w:numPr>
                <w:ilvl w:val="0"/>
                <w:numId w:val="12"/>
              </w:numPr>
              <w:bidi/>
              <w:spacing w:after="120" w:line="280" w:lineRule="exact"/>
              <w:ind w:left="356" w:hanging="356"/>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‏أمريكا اللاتينية والكاريبي (</w:t>
            </w:r>
            <w:r w:rsidR="00587BA7">
              <w:rPr>
                <w:rFonts w:ascii="Arabic Typesetting" w:eastAsia="Arabic Typesetting" w:hAnsi="Arabic Typesetting" w:cs="Arabic Typesetting" w:hint="cs"/>
                <w:color w:val="002060"/>
                <w:sz w:val="28"/>
                <w:szCs w:val="28"/>
                <w:rtl/>
                <w:lang w:eastAsia="ar-EG" w:bidi="ar-EG"/>
              </w:rPr>
              <w:t>1359</w:t>
            </w:r>
            <w:r w:rsidRPr="00095911">
              <w:rPr>
                <w:rFonts w:ascii="Arabic Typesetting" w:eastAsia="Arabic Typesetting" w:hAnsi="Arabic Typesetting" w:cs="Arabic Typesetting"/>
                <w:color w:val="002060"/>
                <w:sz w:val="28"/>
                <w:szCs w:val="28"/>
                <w:rtl/>
                <w:lang w:eastAsia="ar-EG" w:bidi="ar-EG"/>
              </w:rPr>
              <w:t>)</w:t>
            </w:r>
          </w:p>
          <w:p w14:paraId="0BF4CA30" w14:textId="77777777" w:rsidR="00CE6E0B" w:rsidRPr="00095911" w:rsidRDefault="00CE6E0B" w:rsidP="0031289D">
            <w:pPr>
              <w:keepNext/>
              <w:keepLines/>
              <w:bidi/>
              <w:spacing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095911">
              <w:rPr>
                <w:rFonts w:ascii="Arabic Typesetting" w:eastAsia="Arabic Typesetting" w:hAnsi="Arabic Typesetting" w:cs="Arabic Typesetting"/>
                <w:sz w:val="28"/>
                <w:szCs w:val="28"/>
                <w:rtl/>
                <w:lang w:eastAsia="ar-EG" w:bidi="ar-EG"/>
              </w:rPr>
              <w:t>43 972 (2014)</w:t>
            </w:r>
          </w:p>
          <w:p w14:paraId="48FD493C" w14:textId="77777777" w:rsidR="00CE6E0B" w:rsidRPr="00095911" w:rsidRDefault="00CE6E0B" w:rsidP="0031289D">
            <w:pPr>
              <w:keepNext/>
              <w:keepLines/>
              <w:numPr>
                <w:ilvl w:val="0"/>
                <w:numId w:val="12"/>
              </w:numPr>
              <w:bidi/>
              <w:spacing w:line="280" w:lineRule="exact"/>
              <w:ind w:left="356" w:hanging="356"/>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(352)</w:t>
            </w:r>
          </w:p>
          <w:p w14:paraId="37EF6CAC" w14:textId="77777777" w:rsidR="00CE6E0B" w:rsidRPr="00095911" w:rsidRDefault="00CE6E0B" w:rsidP="0031289D">
            <w:pPr>
              <w:keepNext/>
              <w:keepLines/>
              <w:numPr>
                <w:ilvl w:val="0"/>
                <w:numId w:val="12"/>
              </w:numPr>
              <w:bidi/>
              <w:spacing w:line="280" w:lineRule="exact"/>
              <w:ind w:left="356" w:hanging="356"/>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(616)</w:t>
            </w:r>
          </w:p>
          <w:p w14:paraId="7728CF35" w14:textId="7D51DE12" w:rsidR="00CE6E0B" w:rsidRPr="00095911" w:rsidRDefault="00CE6E0B" w:rsidP="00587BA7">
            <w:pPr>
              <w:keepNext/>
              <w:keepLines/>
              <w:numPr>
                <w:ilvl w:val="0"/>
                <w:numId w:val="12"/>
              </w:numPr>
              <w:bidi/>
              <w:spacing w:line="280" w:lineRule="exact"/>
              <w:ind w:left="356" w:hanging="356"/>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w:t>
            </w:r>
            <w:r w:rsidR="00587BA7">
              <w:rPr>
                <w:rFonts w:ascii="Arabic Typesetting" w:eastAsia="Arabic Typesetting" w:hAnsi="Arabic Typesetting" w:cs="Arabic Typesetting" w:hint="cs"/>
                <w:sz w:val="28"/>
                <w:szCs w:val="28"/>
                <w:rtl/>
                <w:lang w:eastAsia="ar-EG" w:bidi="ar-EG"/>
              </w:rPr>
              <w:t>569 41</w:t>
            </w:r>
            <w:r w:rsidRPr="00095911">
              <w:rPr>
                <w:rFonts w:ascii="Arabic Typesetting" w:eastAsia="Arabic Typesetting" w:hAnsi="Arabic Typesetting" w:cs="Arabic Typesetting"/>
                <w:sz w:val="28"/>
                <w:szCs w:val="28"/>
                <w:rtl/>
                <w:lang w:eastAsia="ar-EG" w:bidi="ar-EG"/>
              </w:rPr>
              <w:t>)</w:t>
            </w:r>
          </w:p>
          <w:p w14:paraId="73A22474" w14:textId="34E994CF" w:rsidR="00CE6E0B" w:rsidRPr="00095911" w:rsidRDefault="00CE6E0B" w:rsidP="00587BA7">
            <w:pPr>
              <w:keepNext/>
              <w:keepLines/>
              <w:numPr>
                <w:ilvl w:val="0"/>
                <w:numId w:val="12"/>
              </w:numPr>
              <w:bidi/>
              <w:spacing w:after="120" w:line="280" w:lineRule="exact"/>
              <w:ind w:left="356" w:hanging="356"/>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(1412)</w:t>
            </w:r>
          </w:p>
        </w:tc>
        <w:tc>
          <w:tcPr>
            <w:tcW w:w="849" w:type="pct"/>
            <w:shd w:val="clear" w:color="auto" w:fill="auto"/>
            <w:tcMar>
              <w:top w:w="110" w:type="dxa"/>
              <w:left w:w="58" w:type="dxa"/>
              <w:right w:w="58" w:type="dxa"/>
            </w:tcMar>
          </w:tcPr>
          <w:p w14:paraId="2E5D6E41"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(ثابت)</w:t>
            </w:r>
          </w:p>
          <w:p w14:paraId="515B6DAF" w14:textId="241BE46A"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sz w:val="28"/>
                <w:szCs w:val="28"/>
                <w:rtl/>
                <w:lang w:eastAsia="ar-EG" w:bidi="ar-EG"/>
              </w:rPr>
              <w:t>المنطقة العربية</w:t>
            </w:r>
            <w:r>
              <w:rPr>
                <w:rFonts w:ascii="Arabic Typesetting" w:eastAsia="Arabic Typesetting" w:hAnsi="Arabic Typesetting" w:cs="Arabic Typesetting"/>
                <w:sz w:val="28"/>
                <w:szCs w:val="28"/>
                <w:rtl/>
                <w:lang w:eastAsia="ar-EG" w:bidi="ar-EG"/>
              </w:rPr>
              <w:br/>
            </w:r>
            <w:r w:rsidRPr="00095911">
              <w:rPr>
                <w:rFonts w:ascii="Arabic Typesetting" w:eastAsia="Arabic Typesetting" w:hAnsi="Arabic Typesetting" w:cs="Arabic Typesetting"/>
                <w:sz w:val="28"/>
                <w:szCs w:val="28"/>
                <w:rtl/>
                <w:lang w:eastAsia="ar-EG" w:bidi="ar-EG"/>
              </w:rPr>
              <w:t>(2% سنويا)</w:t>
            </w:r>
          </w:p>
          <w:p w14:paraId="3B8BA3A6"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(2.5% سنويا)</w:t>
            </w:r>
          </w:p>
          <w:p w14:paraId="7711DF4F"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w:t>
            </w:r>
            <w:r>
              <w:rPr>
                <w:rFonts w:ascii="Arabic Typesetting" w:eastAsia="Arabic Typesetting" w:hAnsi="Arabic Typesetting" w:cs="Arabic Typesetting"/>
                <w:sz w:val="28"/>
                <w:szCs w:val="28"/>
                <w:rtl/>
                <w:lang w:eastAsia="ar-EG" w:bidi="ar-EG"/>
              </w:rPr>
              <w:br/>
            </w:r>
            <w:r w:rsidRPr="00095911">
              <w:rPr>
                <w:rFonts w:ascii="Arabic Typesetting" w:eastAsia="Arabic Typesetting" w:hAnsi="Arabic Typesetting" w:cs="Arabic Typesetting"/>
                <w:sz w:val="28"/>
                <w:szCs w:val="28"/>
                <w:rtl/>
                <w:lang w:eastAsia="ar-EG" w:bidi="ar-EG"/>
              </w:rPr>
              <w:t>(1.5% سنويا)</w:t>
            </w:r>
          </w:p>
        </w:tc>
        <w:tc>
          <w:tcPr>
            <w:tcW w:w="1227" w:type="pct"/>
            <w:shd w:val="clear" w:color="auto" w:fill="FFFFFF"/>
            <w:tcMar>
              <w:top w:w="110" w:type="dxa"/>
              <w:left w:w="58" w:type="dxa"/>
              <w:right w:w="58" w:type="dxa"/>
            </w:tcMar>
          </w:tcPr>
          <w:p w14:paraId="03B0C8E6" w14:textId="3D3D6E2D" w:rsidR="00CE6E0B" w:rsidRPr="00095911" w:rsidRDefault="00587BA7" w:rsidP="00587BA7">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hint="cs"/>
                <w:sz w:val="28"/>
                <w:szCs w:val="28"/>
                <w:rtl/>
                <w:lang w:eastAsia="ar-EG" w:bidi="ar-EG"/>
              </w:rPr>
              <w:t>957 63</w:t>
            </w:r>
            <w:r w:rsidR="00CE6E0B" w:rsidRPr="00095911">
              <w:rPr>
                <w:rFonts w:ascii="Arabic Typesetting" w:eastAsia="Arabic Typesetting" w:hAnsi="Arabic Typesetting" w:cs="Arabic Typesetting"/>
                <w:sz w:val="28"/>
                <w:szCs w:val="28"/>
                <w:rtl/>
                <w:lang w:eastAsia="ar-EG" w:bidi="ar-EG"/>
              </w:rPr>
              <w:t xml:space="preserve"> طلباً</w:t>
            </w:r>
          </w:p>
          <w:p w14:paraId="3017C1F3"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(327)</w:t>
            </w:r>
          </w:p>
          <w:p w14:paraId="1A784911"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(517)</w:t>
            </w:r>
          </w:p>
          <w:p w14:paraId="1397D716" w14:textId="2215AECF" w:rsidR="00CE6E0B" w:rsidRPr="00095911" w:rsidRDefault="00CE6E0B" w:rsidP="00587BA7">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w:t>
            </w:r>
            <w:r w:rsidR="00587BA7" w:rsidRPr="00396976">
              <w:rPr>
                <w:rFonts w:ascii="Arabic Typesetting" w:eastAsia="Arabic Typesetting" w:hAnsi="Arabic Typesetting" w:cs="Arabic Typesetting"/>
                <w:sz w:val="28"/>
                <w:szCs w:val="28"/>
                <w:rtl/>
                <w:lang w:eastAsia="ar-EG" w:bidi="ar-EG"/>
              </w:rPr>
              <w:t>629</w:t>
            </w:r>
            <w:r w:rsidR="00587BA7">
              <w:rPr>
                <w:rFonts w:ascii="Arabic Typesetting" w:eastAsia="Arabic Typesetting" w:hAnsi="Arabic Typesetting" w:cs="Arabic Typesetting" w:hint="eastAsia"/>
                <w:sz w:val="28"/>
                <w:szCs w:val="28"/>
                <w:rtl/>
                <w:lang w:eastAsia="ar-EG" w:bidi="ar-EG"/>
              </w:rPr>
              <w:t> </w:t>
            </w:r>
            <w:r w:rsidR="00587BA7">
              <w:rPr>
                <w:rFonts w:ascii="Arabic Typesetting" w:eastAsia="Arabic Typesetting" w:hAnsi="Arabic Typesetting" w:cs="Arabic Typesetting" w:hint="cs"/>
                <w:sz w:val="28"/>
                <w:szCs w:val="28"/>
                <w:rtl/>
                <w:lang w:eastAsia="ar-EG" w:bidi="ar-EG"/>
              </w:rPr>
              <w:t>61)</w:t>
            </w:r>
          </w:p>
          <w:p w14:paraId="43232C87" w14:textId="21DC4DC4" w:rsidR="00CE6E0B" w:rsidRPr="00095911" w:rsidRDefault="00CE6E0B" w:rsidP="00587BA7">
            <w:pPr>
              <w:keepNext/>
              <w:keepLines/>
              <w:numPr>
                <w:ilvl w:val="0"/>
                <w:numId w:val="12"/>
              </w:numPr>
              <w:bidi/>
              <w:spacing w:after="120" w:line="280" w:lineRule="exact"/>
              <w:ind w:left="205" w:hanging="205"/>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(1484)</w:t>
            </w:r>
          </w:p>
        </w:tc>
        <w:tc>
          <w:tcPr>
            <w:tcW w:w="388" w:type="pct"/>
            <w:shd w:val="clear" w:color="auto" w:fill="auto"/>
            <w:tcMar>
              <w:top w:w="110" w:type="dxa"/>
              <w:left w:w="58" w:type="dxa"/>
              <w:right w:w="58" w:type="dxa"/>
            </w:tcMar>
          </w:tcPr>
          <w:p w14:paraId="37700019" w14:textId="77777777" w:rsidR="00CE6E0B" w:rsidRPr="00095911" w:rsidRDefault="00CE6E0B" w:rsidP="0031289D">
            <w:pPr>
              <w:keepNext/>
              <w:keepLines/>
              <w:bidi/>
              <w:spacing w:before="360" w:after="120" w:line="280" w:lineRule="exact"/>
              <w:jc w:val="center"/>
              <w:rPr>
                <w:rFonts w:ascii="Arabic Typesetting" w:eastAsia="Arabic Typesetting" w:hAnsi="Arabic Typesetting" w:cs="Arabic Typesetting"/>
                <w:b/>
                <w:color w:val="FF000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p w14:paraId="5EC09CBE" w14:textId="77777777" w:rsidR="00CE6E0B" w:rsidRPr="00095911" w:rsidRDefault="00CE6E0B" w:rsidP="0031289D">
            <w:pPr>
              <w:keepNext/>
              <w:keepLines/>
              <w:bidi/>
              <w:spacing w:after="16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1E4A00D0" w14:textId="77777777" w:rsidR="00CE6E0B" w:rsidRDefault="00CE6E0B" w:rsidP="0031289D">
            <w:pPr>
              <w:keepNext/>
              <w:keepLines/>
              <w:bidi/>
              <w:spacing w:after="16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180DF299" w14:textId="77777777" w:rsidR="00CE6E0B" w:rsidRPr="00095911" w:rsidRDefault="00CE6E0B"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tc>
      </w:tr>
      <w:tr w:rsidR="00CE6E0B" w:rsidRPr="00095911" w14:paraId="4EBE2BB8" w14:textId="77777777" w:rsidTr="00BB3820">
        <w:trPr>
          <w:trHeight w:val="432"/>
        </w:trPr>
        <w:tc>
          <w:tcPr>
            <w:tcW w:w="5000" w:type="pct"/>
            <w:gridSpan w:val="5"/>
            <w:shd w:val="clear" w:color="auto" w:fill="C6D9F1"/>
            <w:tcMar>
              <w:left w:w="58" w:type="dxa"/>
              <w:right w:w="58" w:type="dxa"/>
            </w:tcMar>
            <w:vAlign w:val="center"/>
          </w:tcPr>
          <w:p w14:paraId="7EA3032F" w14:textId="77777777" w:rsidR="00CE6E0B" w:rsidRPr="00095911"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‏النتيجة المرتقبة:</w:t>
            </w:r>
            <w:r w:rsidRPr="00095911">
              <w:rPr>
                <w:rFonts w:ascii="Arabic Typesetting" w:eastAsia="Arabic Typesetting" w:hAnsi="Arabic Typesetting" w:cs="Arabic Typesetting"/>
                <w:sz w:val="28"/>
                <w:szCs w:val="28"/>
                <w:lang w:eastAsia="ar-EG" w:bidi="ar-EG"/>
              </w:rPr>
              <w:tab/>
            </w:r>
            <w:r w:rsidRPr="00095911">
              <w:rPr>
                <w:rFonts w:ascii="Arabic Typesetting" w:eastAsia="Arabic Typesetting" w:hAnsi="Arabic Typesetting" w:cs="Arabic Typesetting"/>
                <w:color w:val="000000"/>
                <w:sz w:val="28"/>
                <w:szCs w:val="28"/>
                <w:rtl/>
                <w:lang w:eastAsia="ar-EG" w:bidi="ar-EG"/>
              </w:rPr>
              <w:t xml:space="preserve">ه4.2 استخدام نظام لاهاي على نطاق أوسع وبفعالية أكبر، بما في ذلك من قبل البلدان </w:t>
            </w:r>
            <w:r w:rsidRPr="00095911">
              <w:rPr>
                <w:rFonts w:ascii="Arabic Typesetting" w:eastAsia="Arabic Typesetting" w:hAnsi="Arabic Typesetting" w:cs="Arabic Typesetting"/>
                <w:sz w:val="28"/>
                <w:szCs w:val="28"/>
                <w:rtl/>
                <w:lang w:eastAsia="ar-EG" w:bidi="ar-EG"/>
              </w:rPr>
              <w:t>النامية</w:t>
            </w:r>
            <w:r w:rsidRPr="00095911">
              <w:rPr>
                <w:rFonts w:ascii="Arabic Typesetting" w:eastAsia="Arabic Typesetting" w:hAnsi="Arabic Typesetting" w:cs="Arabic Typesetting"/>
                <w:color w:val="000000"/>
                <w:sz w:val="28"/>
                <w:szCs w:val="28"/>
                <w:rtl/>
                <w:lang w:eastAsia="ar-EG" w:bidi="ar-EG"/>
              </w:rPr>
              <w:t xml:space="preserve"> والبلدان الأقل نموا</w:t>
            </w:r>
          </w:p>
        </w:tc>
      </w:tr>
      <w:tr w:rsidR="00CE6E0B" w:rsidRPr="00095911" w14:paraId="17BDE78D" w14:textId="77777777" w:rsidTr="009C2128">
        <w:tc>
          <w:tcPr>
            <w:tcW w:w="1083" w:type="pct"/>
            <w:shd w:val="clear" w:color="auto" w:fill="auto"/>
            <w:tcMar>
              <w:left w:w="58" w:type="dxa"/>
              <w:right w:w="58" w:type="dxa"/>
            </w:tcMar>
            <w:vAlign w:val="center"/>
          </w:tcPr>
          <w:p w14:paraId="709FFF3E" w14:textId="77777777" w:rsidR="00CE6E0B" w:rsidRPr="00095911" w:rsidRDefault="00CE6E0B" w:rsidP="0031289D">
            <w:pPr>
              <w:keepNext/>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مؤشرات الأداء</w:t>
            </w:r>
          </w:p>
        </w:tc>
        <w:tc>
          <w:tcPr>
            <w:tcW w:w="1453" w:type="pct"/>
            <w:shd w:val="clear" w:color="auto" w:fill="auto"/>
            <w:tcMar>
              <w:left w:w="58" w:type="dxa"/>
              <w:right w:w="58" w:type="dxa"/>
            </w:tcMar>
            <w:vAlign w:val="center"/>
          </w:tcPr>
          <w:p w14:paraId="450FDFB7" w14:textId="77777777" w:rsidR="00CE6E0B" w:rsidRPr="00095911" w:rsidRDefault="00CE6E0B" w:rsidP="0031289D">
            <w:pPr>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أسس المقارنة</w:t>
            </w:r>
          </w:p>
        </w:tc>
        <w:tc>
          <w:tcPr>
            <w:tcW w:w="849" w:type="pct"/>
            <w:shd w:val="clear" w:color="auto" w:fill="auto"/>
            <w:tcMar>
              <w:top w:w="110" w:type="dxa"/>
              <w:left w:w="58" w:type="dxa"/>
              <w:right w:w="58" w:type="dxa"/>
            </w:tcMar>
            <w:vAlign w:val="center"/>
          </w:tcPr>
          <w:p w14:paraId="0D06426E" w14:textId="77777777" w:rsidR="00CE6E0B" w:rsidRPr="00095911" w:rsidRDefault="00CE6E0B" w:rsidP="0031289D">
            <w:pPr>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الأهداف</w:t>
            </w:r>
          </w:p>
        </w:tc>
        <w:tc>
          <w:tcPr>
            <w:tcW w:w="1227" w:type="pct"/>
            <w:shd w:val="clear" w:color="auto" w:fill="FFFFFF"/>
            <w:tcMar>
              <w:top w:w="110" w:type="dxa"/>
              <w:left w:w="58" w:type="dxa"/>
              <w:right w:w="58" w:type="dxa"/>
            </w:tcMar>
            <w:vAlign w:val="center"/>
          </w:tcPr>
          <w:p w14:paraId="442F2C5C" w14:textId="77777777" w:rsidR="00CE6E0B" w:rsidRPr="00095911" w:rsidRDefault="00CE6E0B" w:rsidP="0031289D">
            <w:pPr>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بيانات الأداء</w:t>
            </w:r>
          </w:p>
        </w:tc>
        <w:tc>
          <w:tcPr>
            <w:tcW w:w="388" w:type="pct"/>
            <w:shd w:val="clear" w:color="auto" w:fill="auto"/>
            <w:tcMar>
              <w:top w:w="110" w:type="dxa"/>
              <w:left w:w="58" w:type="dxa"/>
              <w:right w:w="58" w:type="dxa"/>
            </w:tcMar>
            <w:vAlign w:val="center"/>
          </w:tcPr>
          <w:p w14:paraId="60C59A50" w14:textId="77777777" w:rsidR="00CE6E0B" w:rsidRPr="00095911" w:rsidRDefault="00CE6E0B" w:rsidP="0031289D">
            <w:pPr>
              <w:bidi/>
              <w:spacing w:after="60" w:line="280" w:lineRule="exact"/>
              <w:jc w:val="center"/>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السير</w:t>
            </w:r>
          </w:p>
        </w:tc>
      </w:tr>
      <w:tr w:rsidR="00CE6E0B" w:rsidRPr="00095911" w14:paraId="3C793D28" w14:textId="77777777" w:rsidTr="009C2128">
        <w:trPr>
          <w:trHeight w:val="1582"/>
        </w:trPr>
        <w:tc>
          <w:tcPr>
            <w:tcW w:w="1083" w:type="pct"/>
            <w:shd w:val="clear" w:color="auto" w:fill="auto"/>
            <w:tcMar>
              <w:left w:w="58" w:type="dxa"/>
              <w:right w:w="58" w:type="dxa"/>
            </w:tcMar>
          </w:tcPr>
          <w:p w14:paraId="6B68C2B1" w14:textId="5F6CAFC5" w:rsidR="00CE6E0B" w:rsidRPr="00095911" w:rsidRDefault="00CE6E0B" w:rsidP="004B40B5">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عدد الطلبات المودعة بناء على نظام لاهاي والصادرة من البلدان النامية والبلدان الأقل</w:t>
            </w:r>
            <w:r w:rsidR="004B40B5">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نموا</w:t>
            </w:r>
          </w:p>
        </w:tc>
        <w:tc>
          <w:tcPr>
            <w:tcW w:w="1453" w:type="pct"/>
            <w:shd w:val="clear" w:color="auto" w:fill="auto"/>
            <w:tcMar>
              <w:left w:w="58" w:type="dxa"/>
              <w:right w:w="58" w:type="dxa"/>
            </w:tcMar>
          </w:tcPr>
          <w:p w14:paraId="2D020287" w14:textId="77777777" w:rsidR="00CE6E0B" w:rsidRPr="000959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604 (2015)</w:t>
            </w:r>
          </w:p>
          <w:p w14:paraId="4127C332"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أفريقيا (4)</w:t>
            </w:r>
          </w:p>
          <w:p w14:paraId="2D7819F3"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المنطقة العربية (8)</w:t>
            </w:r>
          </w:p>
          <w:p w14:paraId="73884F5F" w14:textId="77777777" w:rsidR="00CE6E0B" w:rsidRDefault="00CE6E0B" w:rsidP="0031289D">
            <w:pPr>
              <w:numPr>
                <w:ilvl w:val="0"/>
                <w:numId w:val="12"/>
              </w:numPr>
              <w:bidi/>
              <w:spacing w:after="120"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آسيا والمحيط الهادئ (590)</w:t>
            </w:r>
          </w:p>
          <w:p w14:paraId="4F59F662" w14:textId="77777777" w:rsidR="00CE6E0B" w:rsidRPr="00095911" w:rsidRDefault="00CE6E0B" w:rsidP="0031289D">
            <w:pPr>
              <w:bidi/>
              <w:spacing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095911">
              <w:rPr>
                <w:rFonts w:ascii="Arabic Typesetting" w:eastAsia="Arabic Typesetting" w:hAnsi="Arabic Typesetting" w:cs="Arabic Typesetting"/>
                <w:sz w:val="28"/>
                <w:szCs w:val="28"/>
                <w:rtl/>
                <w:lang w:eastAsia="ar-EG" w:bidi="ar-EG"/>
              </w:rPr>
              <w:t>105 (2014)</w:t>
            </w:r>
          </w:p>
          <w:p w14:paraId="494DE5A4" w14:textId="77777777" w:rsidR="00CE6E0B" w:rsidRPr="00095911" w:rsidRDefault="00CE6E0B" w:rsidP="0031289D">
            <w:pPr>
              <w:keepNext/>
              <w:keepLines/>
              <w:numPr>
                <w:ilvl w:val="0"/>
                <w:numId w:val="12"/>
              </w:numPr>
              <w:bidi/>
              <w:spacing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(5)</w:t>
            </w:r>
          </w:p>
          <w:p w14:paraId="4C6FAED3" w14:textId="77777777" w:rsidR="00CE6E0B" w:rsidRPr="00095911" w:rsidRDefault="00CE6E0B" w:rsidP="0031289D">
            <w:pPr>
              <w:keepNext/>
              <w:keepLines/>
              <w:numPr>
                <w:ilvl w:val="0"/>
                <w:numId w:val="12"/>
              </w:numPr>
              <w:bidi/>
              <w:spacing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(6)</w:t>
            </w:r>
          </w:p>
          <w:p w14:paraId="7392C438"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(94)</w:t>
            </w:r>
          </w:p>
        </w:tc>
        <w:tc>
          <w:tcPr>
            <w:tcW w:w="849" w:type="pct"/>
            <w:shd w:val="clear" w:color="auto" w:fill="auto"/>
            <w:tcMar>
              <w:top w:w="110" w:type="dxa"/>
              <w:left w:w="58" w:type="dxa"/>
              <w:right w:w="58" w:type="dxa"/>
            </w:tcMar>
          </w:tcPr>
          <w:p w14:paraId="607E83F0"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(ثابت)</w:t>
            </w:r>
          </w:p>
          <w:p w14:paraId="70988818"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(ثابت)</w:t>
            </w:r>
          </w:p>
          <w:p w14:paraId="26A9EEDD"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(10% سنويا)</w:t>
            </w:r>
          </w:p>
        </w:tc>
        <w:tc>
          <w:tcPr>
            <w:tcW w:w="1227" w:type="pct"/>
            <w:shd w:val="clear" w:color="auto" w:fill="FFFFFF"/>
            <w:tcMar>
              <w:top w:w="110" w:type="dxa"/>
              <w:left w:w="58" w:type="dxa"/>
              <w:right w:w="58" w:type="dxa"/>
            </w:tcMar>
          </w:tcPr>
          <w:p w14:paraId="603D6EB9" w14:textId="069EB784" w:rsidR="00CE6E0B" w:rsidRPr="00095911" w:rsidRDefault="00CE6E0B" w:rsidP="00587BA7">
            <w:pPr>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1362 طلباً</w:t>
            </w:r>
          </w:p>
          <w:p w14:paraId="2FCD9243"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(5)</w:t>
            </w:r>
          </w:p>
          <w:p w14:paraId="7C70F31F"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(6)</w:t>
            </w:r>
          </w:p>
          <w:p w14:paraId="142BE3DA" w14:textId="036206EE" w:rsidR="00CE6E0B" w:rsidRPr="00095911" w:rsidRDefault="00CE6E0B" w:rsidP="00587BA7">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(1351)</w:t>
            </w:r>
          </w:p>
        </w:tc>
        <w:tc>
          <w:tcPr>
            <w:tcW w:w="388" w:type="pct"/>
            <w:shd w:val="clear" w:color="auto" w:fill="auto"/>
            <w:tcMar>
              <w:top w:w="110" w:type="dxa"/>
              <w:left w:w="58" w:type="dxa"/>
              <w:right w:w="58" w:type="dxa"/>
            </w:tcMar>
          </w:tcPr>
          <w:p w14:paraId="72D0D1C6" w14:textId="77777777" w:rsidR="00CE6E0B" w:rsidRPr="00095911" w:rsidRDefault="00CE6E0B" w:rsidP="0031289D">
            <w:pPr>
              <w:bidi/>
              <w:spacing w:before="360"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500C7FE1"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FF000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p w14:paraId="0A92CAC2"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tc>
      </w:tr>
      <w:tr w:rsidR="00CE6E0B" w:rsidRPr="00095911" w14:paraId="3E571E83" w14:textId="77777777" w:rsidTr="00BB3820">
        <w:trPr>
          <w:trHeight w:val="432"/>
        </w:trPr>
        <w:tc>
          <w:tcPr>
            <w:tcW w:w="5000" w:type="pct"/>
            <w:gridSpan w:val="5"/>
            <w:shd w:val="clear" w:color="auto" w:fill="C6D9F1"/>
            <w:tcMar>
              <w:left w:w="58" w:type="dxa"/>
              <w:right w:w="58" w:type="dxa"/>
            </w:tcMar>
            <w:vAlign w:val="center"/>
          </w:tcPr>
          <w:p w14:paraId="122C08B7" w14:textId="77777777" w:rsidR="00CE6E0B" w:rsidRPr="00095911"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‏النتيجة المرتقبة:</w:t>
            </w:r>
            <w:r w:rsidRPr="00095911">
              <w:rPr>
                <w:rFonts w:ascii="Arabic Typesetting" w:eastAsia="Arabic Typesetting" w:hAnsi="Arabic Typesetting" w:cs="Arabic Typesetting"/>
                <w:sz w:val="28"/>
                <w:szCs w:val="28"/>
                <w:lang w:eastAsia="ar-EG" w:bidi="ar-EG"/>
              </w:rPr>
              <w:tab/>
            </w:r>
            <w:r w:rsidRPr="00095911">
              <w:rPr>
                <w:rFonts w:ascii="Arabic Typesetting" w:eastAsia="Arabic Typesetting" w:hAnsi="Arabic Typesetting" w:cs="Arabic Typesetting"/>
                <w:color w:val="000000"/>
                <w:sz w:val="28"/>
                <w:szCs w:val="28"/>
                <w:rtl/>
                <w:lang w:eastAsia="ar-EG" w:bidi="ar-EG"/>
              </w:rPr>
              <w:t>ه6.2 استخدام نظام مدريد على نطاق أوسع وبفعالية أكبر، بما في ذلك من قبل البلدان النامية والبلدان الأقل نمواً</w:t>
            </w:r>
          </w:p>
        </w:tc>
      </w:tr>
      <w:tr w:rsidR="00CE6E0B" w:rsidRPr="00095911" w14:paraId="0E78CDAB" w14:textId="77777777" w:rsidTr="009C2128">
        <w:tc>
          <w:tcPr>
            <w:tcW w:w="1083" w:type="pct"/>
            <w:shd w:val="clear" w:color="auto" w:fill="auto"/>
            <w:tcMar>
              <w:left w:w="58" w:type="dxa"/>
              <w:right w:w="58" w:type="dxa"/>
            </w:tcMar>
            <w:vAlign w:val="center"/>
          </w:tcPr>
          <w:p w14:paraId="2F3A4CC0" w14:textId="77777777" w:rsidR="00CE6E0B" w:rsidRPr="00095911" w:rsidRDefault="00CE6E0B" w:rsidP="0031289D">
            <w:pPr>
              <w:keepNext/>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مؤشرات الأداء</w:t>
            </w:r>
          </w:p>
        </w:tc>
        <w:tc>
          <w:tcPr>
            <w:tcW w:w="1453" w:type="pct"/>
            <w:shd w:val="clear" w:color="auto" w:fill="auto"/>
            <w:tcMar>
              <w:left w:w="58" w:type="dxa"/>
              <w:right w:w="58" w:type="dxa"/>
            </w:tcMar>
            <w:vAlign w:val="center"/>
          </w:tcPr>
          <w:p w14:paraId="6A9F2E53" w14:textId="77777777" w:rsidR="00CE6E0B" w:rsidRPr="00095911" w:rsidRDefault="00CE6E0B" w:rsidP="0031289D">
            <w:pPr>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أسس المقارنة</w:t>
            </w:r>
          </w:p>
        </w:tc>
        <w:tc>
          <w:tcPr>
            <w:tcW w:w="849" w:type="pct"/>
            <w:shd w:val="clear" w:color="auto" w:fill="auto"/>
            <w:tcMar>
              <w:top w:w="110" w:type="dxa"/>
              <w:left w:w="58" w:type="dxa"/>
              <w:right w:w="58" w:type="dxa"/>
            </w:tcMar>
            <w:vAlign w:val="center"/>
          </w:tcPr>
          <w:p w14:paraId="77C1186A" w14:textId="77777777" w:rsidR="00CE6E0B" w:rsidRPr="00095911" w:rsidRDefault="00CE6E0B" w:rsidP="0031289D">
            <w:pPr>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الأهداف</w:t>
            </w:r>
          </w:p>
        </w:tc>
        <w:tc>
          <w:tcPr>
            <w:tcW w:w="1227" w:type="pct"/>
            <w:shd w:val="clear" w:color="auto" w:fill="FFFFFF"/>
            <w:tcMar>
              <w:top w:w="110" w:type="dxa"/>
              <w:left w:w="58" w:type="dxa"/>
              <w:right w:w="58" w:type="dxa"/>
            </w:tcMar>
            <w:vAlign w:val="center"/>
          </w:tcPr>
          <w:p w14:paraId="45D29AC9" w14:textId="77777777" w:rsidR="00CE6E0B" w:rsidRPr="00095911" w:rsidRDefault="00CE6E0B" w:rsidP="0031289D">
            <w:pPr>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بيانات الأداء</w:t>
            </w:r>
          </w:p>
        </w:tc>
        <w:tc>
          <w:tcPr>
            <w:tcW w:w="388" w:type="pct"/>
            <w:shd w:val="clear" w:color="auto" w:fill="auto"/>
            <w:tcMar>
              <w:top w:w="110" w:type="dxa"/>
              <w:left w:w="58" w:type="dxa"/>
              <w:right w:w="58" w:type="dxa"/>
            </w:tcMar>
            <w:vAlign w:val="center"/>
          </w:tcPr>
          <w:p w14:paraId="3B88E9A9" w14:textId="77777777" w:rsidR="00CE6E0B" w:rsidRPr="00095911" w:rsidRDefault="00CE6E0B" w:rsidP="0031289D">
            <w:pPr>
              <w:bidi/>
              <w:spacing w:after="60" w:line="280" w:lineRule="exact"/>
              <w:jc w:val="center"/>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السير</w:t>
            </w:r>
          </w:p>
        </w:tc>
      </w:tr>
      <w:tr w:rsidR="00CE6E0B" w:rsidRPr="00095911" w14:paraId="6954862A" w14:textId="77777777" w:rsidTr="009C2128">
        <w:trPr>
          <w:trHeight w:val="331"/>
        </w:trPr>
        <w:tc>
          <w:tcPr>
            <w:tcW w:w="1083" w:type="pct"/>
            <w:shd w:val="clear" w:color="auto" w:fill="auto"/>
            <w:tcMar>
              <w:left w:w="58" w:type="dxa"/>
              <w:right w:w="58" w:type="dxa"/>
            </w:tcMar>
          </w:tcPr>
          <w:p w14:paraId="4B76C15B"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عدد الطلبات المودعة بناء على نظام مدريد والصادرة من البلدان النامية والبلدان الأقل نموا</w:t>
            </w:r>
          </w:p>
        </w:tc>
        <w:tc>
          <w:tcPr>
            <w:tcW w:w="1453" w:type="pct"/>
            <w:shd w:val="clear" w:color="auto" w:fill="auto"/>
            <w:tcMar>
              <w:left w:w="58" w:type="dxa"/>
              <w:right w:w="58" w:type="dxa"/>
            </w:tcMar>
          </w:tcPr>
          <w:p w14:paraId="25E4AEA8" w14:textId="43A01683" w:rsidR="00CE6E0B" w:rsidRPr="00095911" w:rsidRDefault="00CE6E0B" w:rsidP="00587BA7">
            <w:pPr>
              <w:bidi/>
              <w:spacing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4130 (2015)</w:t>
            </w:r>
          </w:p>
          <w:p w14:paraId="510D1A67" w14:textId="77777777" w:rsidR="00CE6E0B" w:rsidRPr="00095911" w:rsidRDefault="00CE6E0B" w:rsidP="0031289D">
            <w:pPr>
              <w:keepNext/>
              <w:keepLines/>
              <w:numPr>
                <w:ilvl w:val="0"/>
                <w:numId w:val="12"/>
              </w:numPr>
              <w:bidi/>
              <w:spacing w:line="280" w:lineRule="exact"/>
              <w:ind w:left="205" w:hanging="205"/>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أفريقيا (52)</w:t>
            </w:r>
          </w:p>
          <w:p w14:paraId="7EBAC42C" w14:textId="77777777" w:rsidR="00CE6E0B" w:rsidRPr="00095911" w:rsidRDefault="00CE6E0B" w:rsidP="0031289D">
            <w:pPr>
              <w:keepNext/>
              <w:keepLines/>
              <w:numPr>
                <w:ilvl w:val="0"/>
                <w:numId w:val="12"/>
              </w:numPr>
              <w:bidi/>
              <w:spacing w:line="280" w:lineRule="exact"/>
              <w:ind w:left="205" w:hanging="205"/>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المنطقة العربية (191)</w:t>
            </w:r>
          </w:p>
          <w:p w14:paraId="5E04B542" w14:textId="055DECCC" w:rsidR="00CE6E0B" w:rsidRPr="00095911" w:rsidRDefault="00CE6E0B" w:rsidP="00587BA7">
            <w:pPr>
              <w:keepNext/>
              <w:keepLines/>
              <w:numPr>
                <w:ilvl w:val="0"/>
                <w:numId w:val="12"/>
              </w:numPr>
              <w:bidi/>
              <w:spacing w:line="280" w:lineRule="exact"/>
              <w:ind w:left="205" w:hanging="205"/>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آسيا والمحيط الهادئ (3668)</w:t>
            </w:r>
          </w:p>
          <w:p w14:paraId="75AA86C1" w14:textId="77777777" w:rsidR="00CE6E0B" w:rsidRDefault="00CE6E0B" w:rsidP="0031289D">
            <w:pPr>
              <w:keepNext/>
              <w:keepLines/>
              <w:numPr>
                <w:ilvl w:val="0"/>
                <w:numId w:val="12"/>
              </w:numPr>
              <w:bidi/>
              <w:spacing w:after="60" w:line="280" w:lineRule="exact"/>
              <w:ind w:left="205" w:hanging="205"/>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‏أمريكا اللاتينية والكاريبي (219)</w:t>
            </w:r>
          </w:p>
          <w:p w14:paraId="2A009BE4" w14:textId="3761FAD7" w:rsidR="00CE6E0B" w:rsidRPr="00095911" w:rsidRDefault="00CE6E0B" w:rsidP="00587BA7">
            <w:pPr>
              <w:bidi/>
              <w:spacing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095911">
              <w:rPr>
                <w:rFonts w:ascii="Arabic Typesetting" w:eastAsia="Arabic Typesetting" w:hAnsi="Arabic Typesetting" w:cs="Arabic Typesetting"/>
                <w:sz w:val="28"/>
                <w:szCs w:val="28"/>
                <w:rtl/>
                <w:lang w:eastAsia="ar-EG" w:bidi="ar-EG"/>
              </w:rPr>
              <w:t>3629 (2014)</w:t>
            </w:r>
          </w:p>
          <w:p w14:paraId="74694461"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(18)</w:t>
            </w:r>
          </w:p>
          <w:p w14:paraId="0571332E"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(122)</w:t>
            </w:r>
          </w:p>
          <w:p w14:paraId="62C51B97" w14:textId="2E343490" w:rsidR="00CE6E0B" w:rsidRPr="00095911" w:rsidRDefault="00CE6E0B" w:rsidP="00587BA7">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(3338)</w:t>
            </w:r>
          </w:p>
          <w:p w14:paraId="3EC04C51"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(151)</w:t>
            </w:r>
          </w:p>
        </w:tc>
        <w:tc>
          <w:tcPr>
            <w:tcW w:w="849" w:type="pct"/>
            <w:shd w:val="clear" w:color="auto" w:fill="auto"/>
            <w:tcMar>
              <w:top w:w="110" w:type="dxa"/>
              <w:left w:w="58" w:type="dxa"/>
              <w:right w:w="58" w:type="dxa"/>
            </w:tcMar>
          </w:tcPr>
          <w:p w14:paraId="723C9ECF" w14:textId="77777777" w:rsidR="00CE6E0B" w:rsidRPr="00095911" w:rsidRDefault="00CE6E0B" w:rsidP="0031289D">
            <w:pPr>
              <w:numPr>
                <w:ilvl w:val="0"/>
                <w:numId w:val="12"/>
              </w:numPr>
              <w:bidi/>
              <w:spacing w:before="360"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(ثابت)</w:t>
            </w:r>
          </w:p>
          <w:p w14:paraId="1AA54DCF"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(ثابت)</w:t>
            </w:r>
          </w:p>
          <w:p w14:paraId="52A6B32C"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(5% سنويا)</w:t>
            </w:r>
          </w:p>
          <w:p w14:paraId="603488EE"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sz w:val="28"/>
                <w:szCs w:val="28"/>
                <w:rtl/>
                <w:lang w:eastAsia="ar-EG" w:bidi="ar-EG"/>
              </w:rPr>
              <w:t>أمريكا اللاتينية والكاريبي</w:t>
            </w:r>
            <w:r>
              <w:rPr>
                <w:rFonts w:ascii="Arabic Typesetting" w:eastAsia="Arabic Typesetting" w:hAnsi="Arabic Typesetting" w:cs="Arabic Typesetting"/>
                <w:sz w:val="28"/>
                <w:szCs w:val="28"/>
                <w:rtl/>
                <w:lang w:eastAsia="ar-EG" w:bidi="ar-EG"/>
              </w:rPr>
              <w:br/>
            </w:r>
            <w:r w:rsidRPr="00095911">
              <w:rPr>
                <w:rFonts w:ascii="Arabic Typesetting" w:eastAsia="Arabic Typesetting" w:hAnsi="Arabic Typesetting" w:cs="Arabic Typesetting"/>
                <w:sz w:val="28"/>
                <w:szCs w:val="28"/>
                <w:rtl/>
                <w:lang w:eastAsia="ar-EG" w:bidi="ar-EG"/>
              </w:rPr>
              <w:t>(10% سنويا)</w:t>
            </w:r>
          </w:p>
        </w:tc>
        <w:tc>
          <w:tcPr>
            <w:tcW w:w="1227" w:type="pct"/>
            <w:shd w:val="clear" w:color="auto" w:fill="FFFFFF"/>
            <w:tcMar>
              <w:top w:w="110" w:type="dxa"/>
              <w:left w:w="58" w:type="dxa"/>
              <w:right w:w="58" w:type="dxa"/>
            </w:tcMar>
          </w:tcPr>
          <w:p w14:paraId="5A760C85" w14:textId="2787B62C" w:rsidR="00CE6E0B" w:rsidRPr="00095911" w:rsidRDefault="00CE6E0B" w:rsidP="00587BA7">
            <w:pPr>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5479 طلباً</w:t>
            </w:r>
          </w:p>
          <w:p w14:paraId="7DCB2008" w14:textId="77777777" w:rsidR="00CE6E0B" w:rsidRPr="00095911"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(38)</w:t>
            </w:r>
          </w:p>
          <w:p w14:paraId="7498CB50" w14:textId="77777777" w:rsidR="00CE6E0B" w:rsidRPr="00095911" w:rsidRDefault="00CE6E0B" w:rsidP="0031289D">
            <w:pPr>
              <w:keepNext/>
              <w:keepLines/>
              <w:numPr>
                <w:ilvl w:val="0"/>
                <w:numId w:val="12"/>
              </w:numPr>
              <w:bidi/>
              <w:spacing w:after="36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(178)</w:t>
            </w:r>
          </w:p>
          <w:p w14:paraId="24BCB85F" w14:textId="3852F3A8" w:rsidR="00CE6E0B" w:rsidRPr="00095911" w:rsidRDefault="00CE6E0B" w:rsidP="00587BA7">
            <w:pPr>
              <w:keepNext/>
              <w:keepLines/>
              <w:numPr>
                <w:ilvl w:val="0"/>
                <w:numId w:val="12"/>
              </w:numPr>
              <w:bidi/>
              <w:spacing w:after="40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(5075)</w:t>
            </w:r>
          </w:p>
          <w:p w14:paraId="76F9D52C" w14:textId="77777777" w:rsidR="00CE6E0B" w:rsidRPr="00280FF0" w:rsidRDefault="00CE6E0B" w:rsidP="0031289D">
            <w:pPr>
              <w:keepNext/>
              <w:keepLines/>
              <w:numPr>
                <w:ilvl w:val="0"/>
                <w:numId w:val="12"/>
              </w:numPr>
              <w:bidi/>
              <w:spacing w:after="120" w:line="280" w:lineRule="exact"/>
              <w:ind w:left="205" w:hanging="205"/>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(188)</w:t>
            </w:r>
          </w:p>
        </w:tc>
        <w:tc>
          <w:tcPr>
            <w:tcW w:w="388" w:type="pct"/>
            <w:shd w:val="clear" w:color="auto" w:fill="auto"/>
            <w:tcMar>
              <w:top w:w="110" w:type="dxa"/>
              <w:left w:w="58" w:type="dxa"/>
              <w:right w:w="58" w:type="dxa"/>
            </w:tcMar>
          </w:tcPr>
          <w:p w14:paraId="6973EFD2" w14:textId="77777777" w:rsidR="00CE6E0B" w:rsidRPr="00095911" w:rsidRDefault="00CE6E0B" w:rsidP="0031289D">
            <w:pPr>
              <w:bidi/>
              <w:spacing w:before="400" w:after="120" w:line="280" w:lineRule="exact"/>
              <w:jc w:val="center"/>
              <w:rPr>
                <w:rFonts w:ascii="Arabic Typesetting" w:eastAsia="Arabic Typesetting" w:hAnsi="Arabic Typesetting" w:cs="Arabic Typesetting"/>
                <w:b/>
                <w:color w:val="FF000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p w14:paraId="1FC4286D" w14:textId="77777777" w:rsidR="00CE6E0B" w:rsidRPr="00095911" w:rsidRDefault="00CE6E0B" w:rsidP="0031289D">
            <w:pPr>
              <w:bidi/>
              <w:spacing w:after="360" w:line="280" w:lineRule="exact"/>
              <w:jc w:val="center"/>
              <w:rPr>
                <w:rFonts w:ascii="Arabic Typesetting" w:eastAsia="Arabic Typesetting" w:hAnsi="Arabic Typesetting" w:cs="Arabic Typesetting"/>
                <w:b/>
                <w:color w:val="FF000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p w14:paraId="434FAEF8" w14:textId="77777777" w:rsidR="00CE6E0B" w:rsidRDefault="00CE6E0B" w:rsidP="0031289D">
            <w:pPr>
              <w:bidi/>
              <w:spacing w:after="360" w:line="280" w:lineRule="exact"/>
              <w:jc w:val="center"/>
              <w:rPr>
                <w:rFonts w:ascii="Arabic Typesetting" w:eastAsia="Arabic Typesetting" w:hAnsi="Arabic Typesetting" w:cs="Arabic Typesetting"/>
                <w:b/>
                <w:color w:val="FF000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62F843F9"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FF000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tc>
      </w:tr>
      <w:tr w:rsidR="00CE6E0B" w:rsidRPr="00095911" w14:paraId="60381070" w14:textId="77777777" w:rsidTr="00BB3820">
        <w:trPr>
          <w:trHeight w:val="432"/>
        </w:trPr>
        <w:tc>
          <w:tcPr>
            <w:tcW w:w="5000" w:type="pct"/>
            <w:gridSpan w:val="5"/>
            <w:shd w:val="clear" w:color="auto" w:fill="C6D9F1"/>
            <w:tcMar>
              <w:left w:w="58" w:type="dxa"/>
              <w:right w:w="58" w:type="dxa"/>
            </w:tcMar>
            <w:vAlign w:val="center"/>
          </w:tcPr>
          <w:p w14:paraId="6AABE9DF" w14:textId="77777777" w:rsidR="00CE6E0B" w:rsidRPr="00095911"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lastRenderedPageBreak/>
              <w:t>‏النتيجة المرتقبة:</w:t>
            </w:r>
            <w:r w:rsidRPr="00095911">
              <w:rPr>
                <w:rFonts w:ascii="Arabic Typesetting" w:eastAsia="Arabic Typesetting" w:hAnsi="Arabic Typesetting" w:cs="Arabic Typesetting"/>
                <w:sz w:val="28"/>
                <w:szCs w:val="28"/>
                <w:lang w:eastAsia="ar-EG" w:bidi="ar-EG"/>
              </w:rPr>
              <w:tab/>
            </w:r>
            <w:r w:rsidRPr="00095911">
              <w:rPr>
                <w:rFonts w:ascii="Arabic Typesetting" w:eastAsia="Arabic Typesetting" w:hAnsi="Arabic Typesetting" w:cs="Arabic Typesetting"/>
                <w:sz w:val="28"/>
                <w:szCs w:val="28"/>
                <w:rtl/>
                <w:lang w:eastAsia="ar-EG" w:bidi="ar-EG"/>
              </w:rPr>
              <w:t xml:space="preserve">ه10.2 استخدام نظام لشبونة على نطاق أوسع وبفعالية أكبر، بما في ذلك من قبل </w:t>
            </w:r>
            <w:r w:rsidRPr="00095911">
              <w:rPr>
                <w:rFonts w:ascii="Arabic Typesetting" w:eastAsia="Arabic Typesetting" w:hAnsi="Arabic Typesetting" w:cs="Arabic Typesetting"/>
                <w:color w:val="000000"/>
                <w:sz w:val="28"/>
                <w:szCs w:val="28"/>
                <w:rtl/>
                <w:lang w:eastAsia="ar-EG" w:bidi="ar-EG"/>
              </w:rPr>
              <w:t>البلدان</w:t>
            </w:r>
            <w:r w:rsidRPr="00095911">
              <w:rPr>
                <w:rFonts w:ascii="Arabic Typesetting" w:eastAsia="Arabic Typesetting" w:hAnsi="Arabic Typesetting" w:cs="Arabic Typesetting"/>
                <w:sz w:val="28"/>
                <w:szCs w:val="28"/>
                <w:rtl/>
                <w:lang w:eastAsia="ar-EG" w:bidi="ar-EG"/>
              </w:rPr>
              <w:t xml:space="preserve"> النامية والبلدان الأقل نموا</w:t>
            </w:r>
          </w:p>
        </w:tc>
      </w:tr>
      <w:tr w:rsidR="00CE6E0B" w:rsidRPr="00095911" w14:paraId="7AB94417" w14:textId="77777777" w:rsidTr="009C2128">
        <w:trPr>
          <w:trHeight w:val="255"/>
        </w:trPr>
        <w:tc>
          <w:tcPr>
            <w:tcW w:w="1083" w:type="pct"/>
            <w:shd w:val="clear" w:color="auto" w:fill="auto"/>
            <w:tcMar>
              <w:left w:w="58" w:type="dxa"/>
              <w:right w:w="58" w:type="dxa"/>
            </w:tcMar>
          </w:tcPr>
          <w:p w14:paraId="61DB7F43"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عدد التسجيلات الدولية من البلدان النامية والبلدان الأقل نمواً السارية بموجب نظام لشبونة (بالنسبة إلى مجموعها)</w:t>
            </w:r>
          </w:p>
        </w:tc>
        <w:tc>
          <w:tcPr>
            <w:tcW w:w="1453" w:type="pct"/>
            <w:shd w:val="clear" w:color="auto" w:fill="auto"/>
            <w:tcMar>
              <w:left w:w="58" w:type="dxa"/>
              <w:right w:w="58" w:type="dxa"/>
            </w:tcMar>
          </w:tcPr>
          <w:p w14:paraId="3CAE20BB" w14:textId="77777777" w:rsidR="00CE6E0B" w:rsidRPr="00095911" w:rsidRDefault="00CE6E0B" w:rsidP="0031289D">
            <w:pPr>
              <w:numPr>
                <w:ilvl w:val="0"/>
                <w:numId w:val="12"/>
              </w:numPr>
              <w:bidi/>
              <w:spacing w:after="120" w:line="280" w:lineRule="exact"/>
              <w:ind w:left="0"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95 من أصل 931</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‏أفريقيا (14)؛ وآسيا والمحيط الهادئ (38)؛ وأمريكا اللاتينية والكاريبي (43)</w:t>
            </w:r>
          </w:p>
          <w:p w14:paraId="7F2A7547" w14:textId="77777777" w:rsidR="00CE6E0B" w:rsidRDefault="00CE6E0B" w:rsidP="0031289D">
            <w:pPr>
              <w:bidi/>
              <w:spacing w:line="280" w:lineRule="exact"/>
              <w:rPr>
                <w:rFonts w:ascii="Arabic Typesetting" w:eastAsia="Arabic Typesetting" w:hAnsi="Arabic Typesetting" w:cs="Arabic Typesetting"/>
                <w:sz w:val="28"/>
                <w:szCs w:val="28"/>
                <w:rtl/>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095911">
              <w:rPr>
                <w:rFonts w:ascii="Arabic Typesetting" w:eastAsia="Arabic Typesetting" w:hAnsi="Arabic Typesetting" w:cs="Arabic Typesetting"/>
                <w:sz w:val="28"/>
                <w:szCs w:val="28"/>
                <w:rtl/>
                <w:lang w:eastAsia="ar-EG" w:bidi="ar-EG"/>
              </w:rPr>
              <w:t>78 من أصل 896</w:t>
            </w:r>
            <w:r>
              <w:rPr>
                <w:rFonts w:ascii="Arabic Typesetting" w:eastAsia="Arabic Typesetting" w:hAnsi="Arabic Typesetting" w:cs="Arabic Typesetting"/>
                <w:sz w:val="28"/>
                <w:szCs w:val="28"/>
                <w:rtl/>
                <w:lang w:eastAsia="ar-EG" w:bidi="ar-EG"/>
              </w:rPr>
              <w:t>:</w:t>
            </w:r>
          </w:p>
          <w:p w14:paraId="1AE232B6"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(14)</w:t>
            </w:r>
          </w:p>
          <w:p w14:paraId="72C024CA"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(22)</w:t>
            </w:r>
          </w:p>
          <w:p w14:paraId="50504DD2"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(42)</w:t>
            </w:r>
            <w:r>
              <w:rPr>
                <w:rFonts w:ascii="Arabic Typesetting" w:eastAsia="Arabic Typesetting" w:hAnsi="Arabic Typesetting" w:cs="Arabic Typesetting"/>
                <w:sz w:val="28"/>
                <w:szCs w:val="28"/>
                <w:rtl/>
                <w:lang w:eastAsia="ar-EG" w:bidi="ar-EG"/>
              </w:rPr>
              <w:br/>
            </w:r>
            <w:r w:rsidRPr="00095911">
              <w:rPr>
                <w:rFonts w:ascii="Arabic Typesetting" w:eastAsia="Arabic Typesetting" w:hAnsi="Arabic Typesetting" w:cs="Arabic Typesetting"/>
                <w:sz w:val="28"/>
                <w:szCs w:val="28"/>
                <w:rtl/>
                <w:lang w:eastAsia="ar-EG" w:bidi="ar-EG"/>
              </w:rPr>
              <w:t>(مارس 2015)</w:t>
            </w:r>
          </w:p>
        </w:tc>
        <w:tc>
          <w:tcPr>
            <w:tcW w:w="849" w:type="pct"/>
            <w:shd w:val="clear" w:color="auto" w:fill="auto"/>
            <w:tcMar>
              <w:top w:w="110" w:type="dxa"/>
              <w:left w:w="58" w:type="dxa"/>
              <w:right w:w="58" w:type="dxa"/>
            </w:tcMar>
          </w:tcPr>
          <w:p w14:paraId="3DE8F047" w14:textId="57A783F7" w:rsidR="003E33F1" w:rsidRPr="003E33F1" w:rsidRDefault="003E33F1" w:rsidP="003E33F1">
            <w:pPr>
              <w:bidi/>
              <w:spacing w:after="120" w:line="280" w:lineRule="exact"/>
              <w:rPr>
                <w:rFonts w:ascii="Arabic Typesetting" w:eastAsia="Arabic Typesetting" w:hAnsi="Arabic Typesetting" w:cs="Arabic Typesetting"/>
                <w:color w:val="002060"/>
                <w:sz w:val="28"/>
                <w:szCs w:val="28"/>
                <w:rtl/>
                <w:lang w:eastAsia="ar-EG" w:bidi="ar-EG"/>
              </w:rPr>
            </w:pPr>
            <w:r w:rsidRPr="003E33F1">
              <w:rPr>
                <w:rFonts w:ascii="Arabic Typesetting" w:eastAsia="Arabic Typesetting" w:hAnsi="Arabic Typesetting" w:cs="Arabic Typesetting" w:hint="cs"/>
                <w:i/>
                <w:iCs/>
                <w:color w:val="002060"/>
                <w:sz w:val="28"/>
                <w:szCs w:val="28"/>
                <w:rtl/>
                <w:lang w:eastAsia="ar-EG" w:bidi="ar-EG"/>
              </w:rPr>
              <w:t>الهدف المحدّث:</w:t>
            </w:r>
            <w:r w:rsidRPr="003E33F1">
              <w:rPr>
                <w:rFonts w:ascii="Arabic Typesetting" w:eastAsia="Arabic Typesetting" w:hAnsi="Arabic Typesetting" w:cs="Arabic Typesetting" w:hint="cs"/>
                <w:i/>
                <w:iCs/>
                <w:color w:val="002060"/>
                <w:sz w:val="28"/>
                <w:szCs w:val="28"/>
                <w:rtl/>
                <w:lang w:eastAsia="ar-EG" w:bidi="ar-EG"/>
              </w:rPr>
              <w:br/>
            </w:r>
            <w:r w:rsidRPr="003E33F1">
              <w:rPr>
                <w:rFonts w:ascii="Arabic Typesetting" w:eastAsia="Arabic Typesetting" w:hAnsi="Arabic Typesetting" w:cs="Arabic Typesetting" w:hint="cs"/>
                <w:color w:val="002060"/>
                <w:sz w:val="28"/>
                <w:szCs w:val="28"/>
                <w:rtl/>
                <w:lang w:eastAsia="ar-EG" w:bidi="ar-EG"/>
              </w:rPr>
              <w:t>100 (من أصل 971)</w:t>
            </w:r>
          </w:p>
          <w:p w14:paraId="33C6559E" w14:textId="2CECC8A1" w:rsidR="00CE6E0B" w:rsidRPr="00095911" w:rsidRDefault="003E33F1" w:rsidP="003E33F1">
            <w:pPr>
              <w:bidi/>
              <w:spacing w:after="120" w:line="280" w:lineRule="exact"/>
              <w:rPr>
                <w:rFonts w:ascii="Arabic Typesetting" w:eastAsia="Arabic Typesetting" w:hAnsi="Arabic Typesetting" w:cs="Arabic Typesetting"/>
                <w:sz w:val="28"/>
                <w:szCs w:val="28"/>
                <w:lang w:eastAsia="ar-EG" w:bidi="ar-EG"/>
              </w:rPr>
            </w:pPr>
            <w:r w:rsidRPr="003E33F1">
              <w:rPr>
                <w:rFonts w:ascii="Arabic Typesetting" w:eastAsia="Arabic Typesetting" w:hAnsi="Arabic Typesetting" w:cs="Arabic Typesetting" w:hint="cs"/>
                <w:i/>
                <w:iCs/>
                <w:color w:val="000000"/>
                <w:sz w:val="28"/>
                <w:szCs w:val="28"/>
                <w:rtl/>
                <w:lang w:eastAsia="ar-EG" w:bidi="ar-EG"/>
              </w:rPr>
              <w:t>الهدف الأصلي:</w:t>
            </w:r>
            <w:r w:rsidRPr="003E33F1">
              <w:rPr>
                <w:rFonts w:ascii="Arabic Typesetting" w:eastAsia="Arabic Typesetting" w:hAnsi="Arabic Typesetting" w:cs="Arabic Typesetting" w:hint="cs"/>
                <w:i/>
                <w:iCs/>
                <w:color w:val="000000"/>
                <w:sz w:val="28"/>
                <w:szCs w:val="28"/>
                <w:rtl/>
                <w:lang w:eastAsia="ar-EG" w:bidi="ar-EG"/>
              </w:rPr>
              <w:br/>
              <w:t>برنامج وميزانية 2016/17:</w:t>
            </w:r>
            <w:r w:rsidRPr="003E33F1">
              <w:rPr>
                <w:rFonts w:ascii="Arabic Typesetting" w:eastAsia="Arabic Typesetting" w:hAnsi="Arabic Typesetting" w:cs="Arabic Typesetting" w:hint="cs"/>
                <w:i/>
                <w:iCs/>
                <w:color w:val="000000"/>
                <w:sz w:val="28"/>
                <w:szCs w:val="28"/>
                <w:rtl/>
                <w:lang w:eastAsia="ar-EG" w:bidi="ar-EG"/>
              </w:rPr>
              <w:br/>
            </w:r>
            <w:r w:rsidR="00CE6E0B" w:rsidRPr="00095911">
              <w:rPr>
                <w:rFonts w:ascii="Arabic Typesetting" w:eastAsia="Arabic Typesetting" w:hAnsi="Arabic Typesetting" w:cs="Arabic Typesetting"/>
                <w:color w:val="000000"/>
                <w:sz w:val="28"/>
                <w:szCs w:val="28"/>
                <w:rtl/>
                <w:lang w:eastAsia="ar-EG" w:bidi="ar-EG"/>
              </w:rPr>
              <w:t>90 (من</w:t>
            </w:r>
            <w:r>
              <w:rPr>
                <w:rFonts w:ascii="Arabic Typesetting" w:eastAsia="Arabic Typesetting" w:hAnsi="Arabic Typesetting" w:cs="Arabic Typesetting" w:hint="cs"/>
                <w:color w:val="000000"/>
                <w:sz w:val="28"/>
                <w:szCs w:val="28"/>
                <w:rtl/>
                <w:lang w:eastAsia="ar-EG" w:bidi="ar-EG"/>
              </w:rPr>
              <w:t xml:space="preserve"> أصل</w:t>
            </w:r>
            <w:r>
              <w:rPr>
                <w:rFonts w:ascii="Arabic Typesetting" w:eastAsia="Arabic Typesetting" w:hAnsi="Arabic Typesetting" w:cs="Arabic Typesetting"/>
                <w:color w:val="000000"/>
                <w:sz w:val="28"/>
                <w:szCs w:val="28"/>
                <w:rtl/>
                <w:lang w:eastAsia="ar-EG" w:bidi="ar-EG"/>
              </w:rPr>
              <w:t xml:space="preserve"> 950)</w:t>
            </w:r>
          </w:p>
        </w:tc>
        <w:tc>
          <w:tcPr>
            <w:tcW w:w="1227" w:type="pct"/>
            <w:shd w:val="clear" w:color="auto" w:fill="FFFFFF"/>
            <w:tcMar>
              <w:top w:w="110" w:type="dxa"/>
              <w:left w:w="58" w:type="dxa"/>
              <w:right w:w="58" w:type="dxa"/>
            </w:tcMar>
          </w:tcPr>
          <w:p w14:paraId="5ACF708E" w14:textId="77777777" w:rsidR="00CE6E0B" w:rsidRPr="00095911" w:rsidRDefault="00CE6E0B" w:rsidP="0031289D">
            <w:pPr>
              <w:bidi/>
              <w:spacing w:after="120" w:line="280" w:lineRule="exact"/>
              <w:rPr>
                <w:rFonts w:ascii="Arabic Typesetting" w:hAnsi="Arabic Typesetting" w:cs="Arabic Typesetting"/>
                <w:sz w:val="28"/>
                <w:szCs w:val="28"/>
                <w:lang w:eastAsia="ar-EG" w:bidi="ar-EG"/>
              </w:rPr>
            </w:pPr>
            <w:r w:rsidRPr="00095911">
              <w:rPr>
                <w:rFonts w:ascii="Arabic Typesetting" w:hAnsi="Arabic Typesetting" w:cs="Arabic Typesetting"/>
                <w:sz w:val="28"/>
                <w:szCs w:val="28"/>
                <w:rtl/>
                <w:lang w:eastAsia="ar-EG" w:bidi="ar-EG"/>
              </w:rPr>
              <w:t>95 (من 1020):</w:t>
            </w:r>
          </w:p>
          <w:p w14:paraId="631DCF7A" w14:textId="77777777" w:rsidR="00CE6E0B" w:rsidRPr="00095911" w:rsidRDefault="00CE6E0B" w:rsidP="0031289D">
            <w:pPr>
              <w:numPr>
                <w:ilvl w:val="0"/>
                <w:numId w:val="12"/>
              </w:numPr>
              <w:bidi/>
              <w:spacing w:after="120" w:line="280" w:lineRule="exact"/>
              <w:ind w:left="180" w:hanging="180"/>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(14)</w:t>
            </w:r>
          </w:p>
          <w:p w14:paraId="09AD57A3" w14:textId="77777777" w:rsidR="00CE6E0B" w:rsidRPr="00095911" w:rsidRDefault="00CE6E0B" w:rsidP="0031289D">
            <w:pPr>
              <w:numPr>
                <w:ilvl w:val="0"/>
                <w:numId w:val="12"/>
              </w:numPr>
              <w:bidi/>
              <w:spacing w:after="120" w:line="280" w:lineRule="exact"/>
              <w:ind w:left="180" w:hanging="180"/>
              <w:rPr>
                <w:rFonts w:ascii="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(38)</w:t>
            </w:r>
          </w:p>
          <w:p w14:paraId="5A07B34C" w14:textId="77777777" w:rsidR="00CE6E0B" w:rsidRPr="00280FF0" w:rsidRDefault="00CE6E0B" w:rsidP="0031289D">
            <w:pPr>
              <w:numPr>
                <w:ilvl w:val="0"/>
                <w:numId w:val="12"/>
              </w:numPr>
              <w:bidi/>
              <w:spacing w:after="120" w:line="280" w:lineRule="exact"/>
              <w:ind w:left="180" w:hanging="180"/>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(43)</w:t>
            </w:r>
          </w:p>
        </w:tc>
        <w:tc>
          <w:tcPr>
            <w:tcW w:w="388" w:type="pct"/>
            <w:shd w:val="clear" w:color="auto" w:fill="auto"/>
            <w:tcMar>
              <w:top w:w="110" w:type="dxa"/>
              <w:left w:w="58" w:type="dxa"/>
              <w:right w:w="58" w:type="dxa"/>
            </w:tcMar>
          </w:tcPr>
          <w:p w14:paraId="74765574" w14:textId="72E55953" w:rsidR="00CE6E0B" w:rsidRPr="00095911" w:rsidRDefault="003E33F1"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3E33F1">
              <w:rPr>
                <w:rFonts w:ascii="Arabic Typesetting" w:eastAsia="Arabic Typesetting" w:hAnsi="Arabic Typesetting" w:cs="Arabic Typesetting" w:hint="cs"/>
                <w:b/>
                <w:bCs/>
                <w:color w:val="FF0000"/>
                <w:sz w:val="28"/>
                <w:szCs w:val="28"/>
                <w:rtl/>
                <w:lang w:eastAsia="ar-EG" w:bidi="ar-EG"/>
              </w:rPr>
              <w:t xml:space="preserve">غير </w:t>
            </w:r>
            <w:r w:rsidR="00CE6E0B" w:rsidRPr="003E33F1">
              <w:rPr>
                <w:rFonts w:ascii="Arabic Typesetting" w:eastAsia="Arabic Typesetting" w:hAnsi="Arabic Typesetting" w:cs="Arabic Typesetting"/>
                <w:b/>
                <w:bCs/>
                <w:color w:val="FF0000"/>
                <w:sz w:val="28"/>
                <w:szCs w:val="28"/>
                <w:rtl/>
                <w:lang w:eastAsia="ar-EG" w:bidi="ar-EG"/>
              </w:rPr>
              <w:t>ثابت</w:t>
            </w:r>
          </w:p>
        </w:tc>
      </w:tr>
      <w:tr w:rsidR="00CE6E0B" w:rsidRPr="00095911" w14:paraId="3D6D67D2" w14:textId="77777777" w:rsidTr="00BB3820">
        <w:trPr>
          <w:trHeight w:val="432"/>
        </w:trPr>
        <w:tc>
          <w:tcPr>
            <w:tcW w:w="5000" w:type="pct"/>
            <w:gridSpan w:val="5"/>
            <w:shd w:val="clear" w:color="auto" w:fill="C6D9F1"/>
            <w:tcMar>
              <w:left w:w="58" w:type="dxa"/>
              <w:right w:w="58" w:type="dxa"/>
            </w:tcMar>
            <w:vAlign w:val="center"/>
          </w:tcPr>
          <w:p w14:paraId="3076176C" w14:textId="77777777" w:rsidR="00CE6E0B" w:rsidRPr="00095911"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‏النتيجة المرتقبة:</w:t>
            </w:r>
            <w:r w:rsidRPr="00095911">
              <w:rPr>
                <w:rFonts w:ascii="Arabic Typesetting" w:eastAsia="Arabic Typesetting" w:hAnsi="Arabic Typesetting" w:cs="Arabic Typesetting"/>
                <w:sz w:val="28"/>
                <w:szCs w:val="28"/>
                <w:lang w:eastAsia="ar-EG" w:bidi="ar-EG"/>
              </w:rPr>
              <w:tab/>
            </w:r>
            <w:r w:rsidRPr="00095911">
              <w:rPr>
                <w:rFonts w:ascii="Arabic Typesetting" w:eastAsia="Arabic Typesetting" w:hAnsi="Arabic Typesetting" w:cs="Arabic Typesetting"/>
                <w:color w:val="000000"/>
                <w:sz w:val="28"/>
                <w:szCs w:val="28"/>
                <w:rtl/>
                <w:lang w:eastAsia="ar-EG" w:bidi="ar-EG"/>
              </w:rPr>
              <w:t>ه1.3 استراتيجيات وخطط وطنية في مجالي الابتكار والملكية الفكرية تتماشى مع الأهداف الإنمائية الوطنية</w:t>
            </w:r>
          </w:p>
        </w:tc>
      </w:tr>
      <w:tr w:rsidR="00CE6E0B" w:rsidRPr="00095911" w14:paraId="38BDC5D3" w14:textId="77777777" w:rsidTr="009C2128">
        <w:tc>
          <w:tcPr>
            <w:tcW w:w="1083" w:type="pct"/>
            <w:shd w:val="clear" w:color="auto" w:fill="auto"/>
            <w:tcMar>
              <w:left w:w="58" w:type="dxa"/>
              <w:right w:w="58" w:type="dxa"/>
            </w:tcMar>
            <w:vAlign w:val="center"/>
          </w:tcPr>
          <w:p w14:paraId="2934B81C" w14:textId="77777777" w:rsidR="00CE6E0B" w:rsidRPr="00095911"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مؤشرات الأداء</w:t>
            </w:r>
          </w:p>
        </w:tc>
        <w:tc>
          <w:tcPr>
            <w:tcW w:w="1453" w:type="pct"/>
            <w:shd w:val="clear" w:color="auto" w:fill="auto"/>
            <w:tcMar>
              <w:left w:w="58" w:type="dxa"/>
              <w:right w:w="58" w:type="dxa"/>
            </w:tcMar>
            <w:vAlign w:val="center"/>
          </w:tcPr>
          <w:p w14:paraId="6687D553"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أسس المقارنة</w:t>
            </w:r>
          </w:p>
        </w:tc>
        <w:tc>
          <w:tcPr>
            <w:tcW w:w="849" w:type="pct"/>
            <w:shd w:val="clear" w:color="auto" w:fill="auto"/>
            <w:tcMar>
              <w:top w:w="110" w:type="dxa"/>
              <w:left w:w="58" w:type="dxa"/>
              <w:right w:w="58" w:type="dxa"/>
            </w:tcMar>
            <w:vAlign w:val="center"/>
          </w:tcPr>
          <w:p w14:paraId="040FB21D"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الأهداف</w:t>
            </w:r>
          </w:p>
        </w:tc>
        <w:tc>
          <w:tcPr>
            <w:tcW w:w="1227" w:type="pct"/>
            <w:shd w:val="clear" w:color="auto" w:fill="FFFFFF"/>
            <w:tcMar>
              <w:top w:w="110" w:type="dxa"/>
              <w:left w:w="58" w:type="dxa"/>
              <w:right w:w="58" w:type="dxa"/>
            </w:tcMar>
            <w:vAlign w:val="center"/>
          </w:tcPr>
          <w:p w14:paraId="6930B7A8"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بيانات الأداء</w:t>
            </w:r>
          </w:p>
        </w:tc>
        <w:tc>
          <w:tcPr>
            <w:tcW w:w="388" w:type="pct"/>
            <w:shd w:val="clear" w:color="auto" w:fill="auto"/>
            <w:tcMar>
              <w:top w:w="110" w:type="dxa"/>
              <w:left w:w="58" w:type="dxa"/>
              <w:right w:w="58" w:type="dxa"/>
            </w:tcMar>
            <w:vAlign w:val="center"/>
          </w:tcPr>
          <w:p w14:paraId="0D029FEC" w14:textId="77777777" w:rsidR="00CE6E0B" w:rsidRPr="00095911" w:rsidRDefault="00CE6E0B" w:rsidP="0031289D">
            <w:pPr>
              <w:bidi/>
              <w:spacing w:after="120" w:line="280" w:lineRule="exact"/>
              <w:jc w:val="center"/>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السير</w:t>
            </w:r>
          </w:p>
        </w:tc>
      </w:tr>
      <w:tr w:rsidR="00CE6E0B" w:rsidRPr="00095911" w14:paraId="6EF8BA3C" w14:textId="77777777" w:rsidTr="009C2128">
        <w:trPr>
          <w:trHeight w:val="1150"/>
        </w:trPr>
        <w:tc>
          <w:tcPr>
            <w:tcW w:w="1083" w:type="pct"/>
            <w:shd w:val="clear" w:color="auto" w:fill="auto"/>
            <w:tcMar>
              <w:left w:w="58" w:type="dxa"/>
              <w:right w:w="58" w:type="dxa"/>
            </w:tcMar>
          </w:tcPr>
          <w:p w14:paraId="635B061E"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عدد البلدان في طور صياغة استراتيجيات وطنية للملكية الفكرية</w:t>
            </w:r>
          </w:p>
        </w:tc>
        <w:tc>
          <w:tcPr>
            <w:tcW w:w="1453" w:type="pct"/>
            <w:shd w:val="clear" w:color="auto" w:fill="auto"/>
            <w:tcMar>
              <w:left w:w="58" w:type="dxa"/>
              <w:right w:w="58" w:type="dxa"/>
            </w:tcMar>
          </w:tcPr>
          <w:p w14:paraId="36069E44" w14:textId="3DB775EB" w:rsidR="00CE6E0B" w:rsidRDefault="00CE6E0B" w:rsidP="003E33F1">
            <w:pPr>
              <w:bidi/>
              <w:spacing w:after="120"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‏أفريقيا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3E33F1">
              <w:rPr>
                <w:rFonts w:ascii="Arabic Typesetting" w:eastAsia="Arabic Typesetting" w:hAnsi="Arabic Typesetting" w:cs="Arabic Typesetting" w:hint="cs"/>
                <w:color w:val="002060"/>
                <w:sz w:val="28"/>
                <w:szCs w:val="28"/>
                <w:rtl/>
                <w:lang w:eastAsia="ar-EG" w:bidi="ar-EG"/>
              </w:rPr>
              <w:t>8</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المنطقة العربية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2</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آسيا والمحيط الهادئ</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10</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أمريكا اللاتينية والكاريبي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7</w:t>
            </w:r>
          </w:p>
          <w:p w14:paraId="36F269B9" w14:textId="77777777" w:rsidR="00CE6E0B" w:rsidRDefault="00CE6E0B" w:rsidP="0031289D">
            <w:pPr>
              <w:bidi/>
              <w:spacing w:after="120" w:line="280" w:lineRule="exact"/>
              <w:rPr>
                <w:rFonts w:ascii="Arabic Typesetting" w:eastAsia="Arabic Typesetting" w:hAnsi="Arabic Typesetting" w:cs="Arabic Typesetting"/>
                <w:i/>
                <w:iCs/>
                <w:sz w:val="28"/>
                <w:szCs w:val="28"/>
                <w:rtl/>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0CCEC1F1"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(24 تراكميا)</w:t>
            </w:r>
          </w:p>
          <w:p w14:paraId="72F2E4F5"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(4 في عام 2014)</w:t>
            </w:r>
          </w:p>
          <w:p w14:paraId="6B4683DC"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(14 تراكميا)</w:t>
            </w:r>
          </w:p>
          <w:p w14:paraId="0B3D8EAE"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(12 تراكميا)</w:t>
            </w:r>
          </w:p>
        </w:tc>
        <w:tc>
          <w:tcPr>
            <w:tcW w:w="849" w:type="pct"/>
            <w:shd w:val="clear" w:color="auto" w:fill="auto"/>
            <w:tcMar>
              <w:top w:w="110" w:type="dxa"/>
              <w:left w:w="58" w:type="dxa"/>
              <w:right w:w="58" w:type="dxa"/>
            </w:tcMar>
          </w:tcPr>
          <w:p w14:paraId="53975126" w14:textId="77777777" w:rsidR="00CE6E0B" w:rsidRPr="00095911" w:rsidRDefault="00CE6E0B" w:rsidP="0031289D">
            <w:pPr>
              <w:numPr>
                <w:ilvl w:val="0"/>
                <w:numId w:val="12"/>
              </w:numPr>
              <w:bidi/>
              <w:spacing w:after="12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(3</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بلدان</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إضافية)</w:t>
            </w:r>
          </w:p>
          <w:p w14:paraId="6F10F186" w14:textId="77777777" w:rsidR="00CE6E0B" w:rsidRPr="00095911" w:rsidRDefault="00CE6E0B" w:rsidP="0031289D">
            <w:pPr>
              <w:numPr>
                <w:ilvl w:val="0"/>
                <w:numId w:val="12"/>
              </w:numPr>
              <w:bidi/>
              <w:spacing w:after="12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(4</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بلدان إضافية)</w:t>
            </w:r>
          </w:p>
          <w:p w14:paraId="780E8FE5" w14:textId="77777777" w:rsidR="00CE6E0B" w:rsidRPr="00095911" w:rsidRDefault="00CE6E0B" w:rsidP="0031289D">
            <w:pPr>
              <w:numPr>
                <w:ilvl w:val="0"/>
                <w:numId w:val="12"/>
              </w:numPr>
              <w:bidi/>
              <w:spacing w:after="12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(4 بلدان إضافية)</w:t>
            </w:r>
          </w:p>
          <w:p w14:paraId="61B34BE3" w14:textId="77777777" w:rsidR="00CE6E0B" w:rsidRPr="00095911" w:rsidRDefault="00CE6E0B" w:rsidP="0031289D">
            <w:pPr>
              <w:numPr>
                <w:ilvl w:val="0"/>
                <w:numId w:val="12"/>
              </w:numPr>
              <w:bidi/>
              <w:spacing w:after="12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(5</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بلدان</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إضافية)</w:t>
            </w:r>
          </w:p>
        </w:tc>
        <w:tc>
          <w:tcPr>
            <w:tcW w:w="1227" w:type="pct"/>
            <w:shd w:val="clear" w:color="auto" w:fill="FFFFFF"/>
            <w:tcMar>
              <w:top w:w="110" w:type="dxa"/>
              <w:left w:w="58" w:type="dxa"/>
              <w:right w:w="58" w:type="dxa"/>
            </w:tcMar>
          </w:tcPr>
          <w:p w14:paraId="36731B82"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أفريقيا (3 بلدان إضافية)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غينيا وغينيا-بيساو وناميبيا</w:t>
            </w:r>
          </w:p>
          <w:p w14:paraId="78F30E1C"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‏أفريقيا (بلدان إضافيان)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t>جيبوتي والأردن</w:t>
            </w:r>
          </w:p>
          <w:p w14:paraId="1F7137BE"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آسيا والمحيط الهادئ (بلدان</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إضافيان)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إندونيسيا وجمهورية لاو الديمقراطية الشعبية</w:t>
            </w:r>
          </w:p>
          <w:p w14:paraId="55743955" w14:textId="4F3DB622" w:rsidR="00CE6E0B" w:rsidRPr="00095911" w:rsidRDefault="00CE6E0B" w:rsidP="003E33F1">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أمريكا اللاتينية والكاريبي (4</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بلدان</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إضافية)</w:t>
            </w:r>
            <w:r>
              <w:rPr>
                <w:rFonts w:ascii="Arabic Typesetting" w:eastAsia="Arabic Typesetting" w:hAnsi="Arabic Typesetting" w:cs="Arabic Typesetting"/>
                <w:color w:val="000000"/>
                <w:sz w:val="28"/>
                <w:szCs w:val="28"/>
                <w:rtl/>
                <w:lang w:eastAsia="ar-EG" w:bidi="ar-EG"/>
              </w:rPr>
              <w:t>:</w:t>
            </w:r>
            <w:r w:rsidRPr="00095911">
              <w:rPr>
                <w:rFonts w:ascii="Arabic Typesetting" w:eastAsia="Arabic Typesetting" w:hAnsi="Arabic Typesetting" w:cs="Arabic Typesetting"/>
                <w:color w:val="000000"/>
                <w:sz w:val="28"/>
                <w:szCs w:val="28"/>
                <w:rtl/>
                <w:lang w:eastAsia="ar-EG" w:bidi="ar-EG"/>
              </w:rPr>
              <w:t xml:space="preserve"> بلي</w:t>
            </w:r>
            <w:r>
              <w:rPr>
                <w:rFonts w:ascii="Arabic Typesetting" w:eastAsia="Arabic Typesetting" w:hAnsi="Arabic Typesetting" w:cs="Arabic Typesetting"/>
                <w:color w:val="000000"/>
                <w:sz w:val="28"/>
                <w:szCs w:val="28"/>
                <w:rtl/>
                <w:lang w:eastAsia="ar-EG" w:bidi="ar-EG"/>
              </w:rPr>
              <w:t xml:space="preserve">ز ودومينيكا وجامايكا </w:t>
            </w:r>
            <w:r w:rsidR="003E33F1">
              <w:rPr>
                <w:rFonts w:ascii="Arabic Typesetting" w:eastAsia="Arabic Typesetting" w:hAnsi="Arabic Typesetting" w:cs="Arabic Typesetting" w:hint="cs"/>
                <w:color w:val="000000"/>
                <w:sz w:val="28"/>
                <w:szCs w:val="28"/>
                <w:rtl/>
                <w:lang w:eastAsia="ar-EG" w:bidi="ar-EG"/>
              </w:rPr>
              <w:t>وباراغواي</w:t>
            </w:r>
          </w:p>
        </w:tc>
        <w:tc>
          <w:tcPr>
            <w:tcW w:w="388" w:type="pct"/>
            <w:shd w:val="clear" w:color="auto" w:fill="auto"/>
            <w:tcMar>
              <w:top w:w="110" w:type="dxa"/>
              <w:left w:w="58" w:type="dxa"/>
              <w:right w:w="58" w:type="dxa"/>
            </w:tcMar>
          </w:tcPr>
          <w:p w14:paraId="66C84C64" w14:textId="77777777" w:rsidR="00CE6E0B" w:rsidRDefault="00CE6E0B" w:rsidP="0031289D">
            <w:pPr>
              <w:bidi/>
              <w:spacing w:after="40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2D27825A" w14:textId="77777777" w:rsidR="00CE6E0B" w:rsidRDefault="00CE6E0B" w:rsidP="0031289D">
            <w:pPr>
              <w:bidi/>
              <w:spacing w:after="40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5FC0915B" w14:textId="77777777" w:rsidR="00CE6E0B" w:rsidRDefault="00CE6E0B" w:rsidP="0031289D">
            <w:pPr>
              <w:bidi/>
              <w:spacing w:after="7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79954804"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tc>
      </w:tr>
      <w:tr w:rsidR="00CE6E0B" w:rsidRPr="00095911" w14:paraId="549B55C0" w14:textId="77777777" w:rsidTr="009C2128">
        <w:trPr>
          <w:trHeight w:val="1582"/>
        </w:trPr>
        <w:tc>
          <w:tcPr>
            <w:tcW w:w="1083" w:type="pct"/>
            <w:shd w:val="clear" w:color="auto" w:fill="auto"/>
            <w:tcMar>
              <w:left w:w="58" w:type="dxa"/>
              <w:right w:w="58" w:type="dxa"/>
            </w:tcMar>
          </w:tcPr>
          <w:p w14:paraId="570D8881"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عدد البلدان التي اعتمدت استراتيجيات وطنية للابتكار والملكية الفكرية</w:t>
            </w:r>
          </w:p>
        </w:tc>
        <w:tc>
          <w:tcPr>
            <w:tcW w:w="1453" w:type="pct"/>
            <w:shd w:val="clear" w:color="auto" w:fill="auto"/>
            <w:tcMar>
              <w:left w:w="58" w:type="dxa"/>
              <w:right w:w="58" w:type="dxa"/>
            </w:tcMar>
          </w:tcPr>
          <w:p w14:paraId="3D3AAEAE"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color w:val="002060"/>
                <w:sz w:val="28"/>
                <w:szCs w:val="28"/>
                <w:rtl/>
                <w:lang w:eastAsia="ar-EG" w:bidi="ar-EG"/>
              </w:rPr>
              <w:t>أفريقيا (21 تراكميا)</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المنطقة العربية (2 تراكميا)</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آسيا والمحيط الهادئ (7 تراكميا)</w:t>
            </w:r>
            <w:r w:rsidRPr="00095911">
              <w:rPr>
                <w:rFonts w:ascii="Arabic Typesetting" w:eastAsia="Arabic Typesetting" w:hAnsi="Arabic Typesetting" w:cs="Arabic Typesetting"/>
                <w:color w:val="002060"/>
                <w:sz w:val="28"/>
                <w:szCs w:val="28"/>
                <w:vertAlign w:val="superscript"/>
                <w:lang w:eastAsia="ar-EG" w:bidi="ar-EG"/>
              </w:rPr>
              <w:footnoteReference w:id="47"/>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أمريكا اللاتينية والكاريبي (7 تراكميا)</w:t>
            </w:r>
          </w:p>
          <w:p w14:paraId="0F4C1FAE" w14:textId="77777777" w:rsidR="00CE6E0B" w:rsidRDefault="00CE6E0B" w:rsidP="0031289D">
            <w:pPr>
              <w:bidi/>
              <w:spacing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76682136" w14:textId="77777777" w:rsidR="00CE6E0B" w:rsidRPr="003A46BD" w:rsidRDefault="00CE6E0B" w:rsidP="0031289D">
            <w:pPr>
              <w:numPr>
                <w:ilvl w:val="0"/>
                <w:numId w:val="12"/>
              </w:numPr>
              <w:bidi/>
              <w:spacing w:line="280" w:lineRule="exact"/>
              <w:ind w:left="207" w:hanging="207"/>
              <w:rPr>
                <w:rFonts w:ascii="Arabic Typesetting" w:eastAsia="Arabic Typesetting" w:hAnsi="Arabic Typesetting" w:cs="Arabic Typesetting"/>
                <w:sz w:val="28"/>
                <w:szCs w:val="28"/>
                <w:lang w:eastAsia="ar-EG" w:bidi="ar-EG"/>
              </w:rPr>
            </w:pPr>
            <w:r w:rsidRPr="003A46BD">
              <w:rPr>
                <w:rFonts w:ascii="Arabic Typesetting" w:eastAsia="Arabic Typesetting" w:hAnsi="Arabic Typesetting" w:cs="Arabic Typesetting"/>
                <w:sz w:val="28"/>
                <w:szCs w:val="28"/>
                <w:rtl/>
                <w:lang w:eastAsia="ar-EG" w:bidi="ar-EG"/>
              </w:rPr>
              <w:t>أفريقيا (21 تراكميا)</w:t>
            </w:r>
          </w:p>
          <w:p w14:paraId="13CF0E01" w14:textId="77777777" w:rsidR="00CE6E0B" w:rsidRPr="00095911" w:rsidRDefault="00CE6E0B" w:rsidP="0031289D">
            <w:pPr>
              <w:numPr>
                <w:ilvl w:val="0"/>
                <w:numId w:val="12"/>
              </w:numPr>
              <w:bidi/>
              <w:spacing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(2 تراكميا)</w:t>
            </w:r>
          </w:p>
          <w:p w14:paraId="0958F9BC" w14:textId="77777777" w:rsidR="00CE6E0B" w:rsidRPr="00095911" w:rsidRDefault="00CE6E0B" w:rsidP="0031289D">
            <w:pPr>
              <w:numPr>
                <w:ilvl w:val="0"/>
                <w:numId w:val="12"/>
              </w:numPr>
              <w:bidi/>
              <w:spacing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(8 تراكميا)</w:t>
            </w:r>
          </w:p>
          <w:p w14:paraId="35714BB5" w14:textId="77777777" w:rsidR="00CE6E0B" w:rsidRPr="00095911" w:rsidRDefault="00CE6E0B" w:rsidP="0031289D">
            <w:pPr>
              <w:numPr>
                <w:ilvl w:val="0"/>
                <w:numId w:val="12"/>
              </w:numPr>
              <w:bidi/>
              <w:spacing w:after="12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(6 تراكميا)</w:t>
            </w:r>
          </w:p>
        </w:tc>
        <w:tc>
          <w:tcPr>
            <w:tcW w:w="849" w:type="pct"/>
            <w:shd w:val="clear" w:color="auto" w:fill="auto"/>
            <w:tcMar>
              <w:top w:w="110" w:type="dxa"/>
              <w:left w:w="58" w:type="dxa"/>
              <w:right w:w="58" w:type="dxa"/>
            </w:tcMar>
          </w:tcPr>
          <w:p w14:paraId="56723140" w14:textId="77777777" w:rsidR="00CE6E0B" w:rsidRPr="00095911" w:rsidRDefault="00CE6E0B" w:rsidP="0031289D">
            <w:pPr>
              <w:numPr>
                <w:ilvl w:val="0"/>
                <w:numId w:val="12"/>
              </w:numPr>
              <w:bidi/>
              <w:spacing w:after="36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(8</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بلدان</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إضافية)</w:t>
            </w:r>
          </w:p>
          <w:p w14:paraId="75D83D90" w14:textId="77777777" w:rsidR="00CE6E0B" w:rsidRPr="00095911" w:rsidRDefault="00CE6E0B" w:rsidP="0031289D">
            <w:pPr>
              <w:numPr>
                <w:ilvl w:val="0"/>
                <w:numId w:val="12"/>
              </w:numPr>
              <w:bidi/>
              <w:spacing w:after="16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(بلَدان</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إضافيان)</w:t>
            </w:r>
          </w:p>
          <w:p w14:paraId="03BEAAF0" w14:textId="77777777" w:rsidR="00CE6E0B" w:rsidRPr="00095911" w:rsidRDefault="00CE6E0B" w:rsidP="0031289D">
            <w:pPr>
              <w:numPr>
                <w:ilvl w:val="0"/>
                <w:numId w:val="12"/>
              </w:numPr>
              <w:bidi/>
              <w:spacing w:after="40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(7 بلدان إضافية)</w:t>
            </w:r>
          </w:p>
          <w:p w14:paraId="44B062C6" w14:textId="77777777" w:rsidR="00CE6E0B" w:rsidRPr="00095911" w:rsidRDefault="00CE6E0B" w:rsidP="0031289D">
            <w:pPr>
              <w:numPr>
                <w:ilvl w:val="0"/>
                <w:numId w:val="12"/>
              </w:numPr>
              <w:bidi/>
              <w:spacing w:after="12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(بلَدان</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إضافيان)</w:t>
            </w:r>
          </w:p>
        </w:tc>
        <w:tc>
          <w:tcPr>
            <w:tcW w:w="1227" w:type="pct"/>
            <w:shd w:val="clear" w:color="auto" w:fill="FFFFFF"/>
            <w:tcMar>
              <w:top w:w="110" w:type="dxa"/>
              <w:left w:w="58" w:type="dxa"/>
              <w:right w:w="58" w:type="dxa"/>
            </w:tcMar>
          </w:tcPr>
          <w:p w14:paraId="3DCA1880"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أفريقيا (4 بلدان إضافية)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غامبيا</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وغينيا وناميبيا وسيرالي</w:t>
            </w:r>
            <w:r>
              <w:rPr>
                <w:rFonts w:ascii="Arabic Typesetting" w:eastAsia="Arabic Typesetting" w:hAnsi="Arabic Typesetting" w:cs="Arabic Typesetting"/>
                <w:color w:val="000000"/>
                <w:sz w:val="28"/>
                <w:szCs w:val="28"/>
                <w:rtl/>
                <w:lang w:eastAsia="ar-EG" w:bidi="ar-EG"/>
              </w:rPr>
              <w:t>ون</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(التراكمي 25)</w:t>
            </w:r>
          </w:p>
          <w:p w14:paraId="0D1AC6C9"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المنطقة العربية</w:t>
            </w:r>
            <w:r w:rsidRPr="00095911">
              <w:rPr>
                <w:rFonts w:ascii="Arabic Typesetting" w:eastAsia="Arabic Typesetting" w:hAnsi="Arabic Typesetting" w:cs="Arabic Typesetting"/>
                <w:color w:val="000000"/>
                <w:sz w:val="28"/>
                <w:szCs w:val="28"/>
                <w:rtl/>
                <w:lang w:eastAsia="ar-EG" w:bidi="ar-EG"/>
              </w:rPr>
              <w:t xml:space="preserve"> (4 بلدان إضافية)</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(التراكمي 2)</w:t>
            </w:r>
          </w:p>
          <w:p w14:paraId="5748D027"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آسيا والمحيط الهادئ (لا</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بلدان</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إضافية)</w:t>
            </w:r>
            <w:r>
              <w:rPr>
                <w:rFonts w:ascii="Arabic Typesetting" w:eastAsia="Arabic Typesetting" w:hAnsi="Arabic Typesetting" w:cs="Arabic Typesetting"/>
                <w:color w:val="000000"/>
                <w:sz w:val="28"/>
                <w:szCs w:val="28"/>
                <w:rtl/>
                <w:lang w:eastAsia="ar-EG" w:bidi="ar-EG"/>
              </w:rPr>
              <w:br/>
              <w:t>(التراكمي 7)</w:t>
            </w:r>
          </w:p>
          <w:p w14:paraId="1F665EC8"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أمريكا اللاتينية والكاريبي (بلد</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إضافي</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واحد)</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شيلي</w:t>
            </w:r>
            <w:r>
              <w:rPr>
                <w:rFonts w:ascii="Arabic Typesetting" w:eastAsia="Arabic Typesetting" w:hAnsi="Arabic Typesetting" w:cs="Arabic Typesetting"/>
                <w:color w:val="000000"/>
                <w:sz w:val="28"/>
                <w:szCs w:val="28"/>
                <w:rtl/>
                <w:lang w:eastAsia="ar-EG" w:bidi="ar-EG"/>
              </w:rPr>
              <w:br/>
              <w:t>(التراكمي 8)</w:t>
            </w:r>
          </w:p>
          <w:p w14:paraId="354EE6BD" w14:textId="77777777" w:rsidR="00CE6E0B" w:rsidRPr="00095911"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20 بلداً من البلدان الأقل نموا مشمولاً في التوزيع الإقليمي السابق</w:t>
            </w:r>
          </w:p>
        </w:tc>
        <w:tc>
          <w:tcPr>
            <w:tcW w:w="388" w:type="pct"/>
            <w:shd w:val="clear" w:color="auto" w:fill="auto"/>
            <w:tcMar>
              <w:top w:w="110" w:type="dxa"/>
              <w:left w:w="58" w:type="dxa"/>
              <w:right w:w="58" w:type="dxa"/>
            </w:tcMar>
          </w:tcPr>
          <w:p w14:paraId="2EF6B076" w14:textId="77777777" w:rsidR="00CE6E0B" w:rsidRDefault="00CE6E0B" w:rsidP="0031289D">
            <w:pPr>
              <w:bidi/>
              <w:spacing w:after="680" w:line="280" w:lineRule="exact"/>
              <w:jc w:val="center"/>
              <w:rPr>
                <w:rFonts w:ascii="Arabic Typesetting" w:eastAsia="Arabic Typesetting" w:hAnsi="Arabic Typesetting" w:cs="Arabic Typesetting"/>
                <w:b/>
                <w:color w:val="FF000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48DC6380" w14:textId="77777777" w:rsidR="00CE6E0B" w:rsidRDefault="00CE6E0B" w:rsidP="0031289D">
            <w:pPr>
              <w:bidi/>
              <w:spacing w:after="400" w:line="280" w:lineRule="exact"/>
              <w:jc w:val="center"/>
              <w:rPr>
                <w:rFonts w:ascii="Arabic Typesetting" w:eastAsia="Arabic Typesetting" w:hAnsi="Arabic Typesetting" w:cs="Arabic Typesetting"/>
                <w:b/>
                <w:color w:val="FF000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p w14:paraId="49E20E06" w14:textId="77777777" w:rsidR="00CE6E0B" w:rsidRDefault="00CE6E0B" w:rsidP="0031289D">
            <w:pPr>
              <w:bidi/>
              <w:spacing w:after="720" w:line="280" w:lineRule="exact"/>
              <w:jc w:val="center"/>
              <w:rPr>
                <w:rFonts w:ascii="Arabic Typesetting" w:eastAsia="Arabic Typesetting" w:hAnsi="Arabic Typesetting" w:cs="Arabic Typesetting"/>
                <w:b/>
                <w:color w:val="FF000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p w14:paraId="0040E4EF"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tc>
      </w:tr>
      <w:tr w:rsidR="00CE6E0B" w:rsidRPr="00095911" w14:paraId="0C12BDB4" w14:textId="77777777" w:rsidTr="009C2128">
        <w:trPr>
          <w:trHeight w:val="1582"/>
        </w:trPr>
        <w:tc>
          <w:tcPr>
            <w:tcW w:w="1083" w:type="pct"/>
            <w:shd w:val="clear" w:color="auto" w:fill="auto"/>
            <w:tcMar>
              <w:left w:w="58" w:type="dxa"/>
              <w:right w:w="58" w:type="dxa"/>
            </w:tcMar>
          </w:tcPr>
          <w:p w14:paraId="6635980B"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lastRenderedPageBreak/>
              <w:t>عدد البلدان في مرحلة تنفيذ استراتيجيات وطنية</w:t>
            </w:r>
            <w:r>
              <w:rPr>
                <w:rFonts w:ascii="Arabic Typesetting" w:eastAsia="Arabic Typesetting" w:hAnsi="Arabic Typesetting" w:cs="Arabic Typesetting"/>
                <w:color w:val="000000"/>
                <w:sz w:val="28"/>
                <w:szCs w:val="28"/>
                <w:rtl/>
                <w:lang w:eastAsia="ar-EG" w:bidi="ar-EG"/>
              </w:rPr>
              <w:t xml:space="preserve"> للابتكار والملكية الفكرية وخطط</w:t>
            </w:r>
            <w:r w:rsidRPr="00095911">
              <w:rPr>
                <w:rFonts w:ascii="Arabic Typesetting" w:eastAsia="Arabic Typesetting" w:hAnsi="Arabic Typesetting" w:cs="Arabic Typesetting"/>
                <w:color w:val="000000"/>
                <w:sz w:val="28"/>
                <w:szCs w:val="28"/>
                <w:rtl/>
                <w:lang w:eastAsia="ar-EG" w:bidi="ar-EG"/>
              </w:rPr>
              <w:t xml:space="preserve"> وطنية لتنمية الملكية الفكرية</w:t>
            </w:r>
          </w:p>
        </w:tc>
        <w:tc>
          <w:tcPr>
            <w:tcW w:w="1453" w:type="pct"/>
            <w:shd w:val="clear" w:color="auto" w:fill="auto"/>
            <w:tcMar>
              <w:left w:w="58" w:type="dxa"/>
              <w:right w:w="58" w:type="dxa"/>
            </w:tcMar>
          </w:tcPr>
          <w:p w14:paraId="3116B870"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‏أفريقيا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21 (تراكمياً)</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المنطقة العربية (2 تراكميا)</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آسيا والمحيط الهادي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5 (تراكمياً)</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أمريكا اللاتينية والكاريبي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5 (تراكمياً)</w:t>
            </w:r>
          </w:p>
          <w:p w14:paraId="4FAE5D61" w14:textId="77777777" w:rsidR="00CE6E0B" w:rsidRDefault="00CE6E0B" w:rsidP="0031289D">
            <w:pPr>
              <w:bidi/>
              <w:spacing w:line="280" w:lineRule="exact"/>
              <w:rPr>
                <w:rFonts w:ascii="Arabic Typesetting" w:eastAsia="Arabic Typesetting" w:hAnsi="Arabic Typesetting" w:cs="Arabic Typesetting"/>
                <w:i/>
                <w:iCs/>
                <w:sz w:val="28"/>
                <w:szCs w:val="28"/>
                <w:rtl/>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6F413105" w14:textId="77777777" w:rsidR="00CE6E0B" w:rsidRPr="00095911" w:rsidRDefault="00CE6E0B" w:rsidP="0031289D">
            <w:pPr>
              <w:numPr>
                <w:ilvl w:val="0"/>
                <w:numId w:val="12"/>
              </w:numPr>
              <w:bidi/>
              <w:spacing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(21 تراكميا)</w:t>
            </w:r>
          </w:p>
          <w:p w14:paraId="33028467" w14:textId="77777777" w:rsidR="00CE6E0B" w:rsidRPr="00095911" w:rsidRDefault="00CE6E0B" w:rsidP="0031289D">
            <w:pPr>
              <w:numPr>
                <w:ilvl w:val="0"/>
                <w:numId w:val="12"/>
              </w:numPr>
              <w:bidi/>
              <w:spacing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(2 تراكميا)</w:t>
            </w:r>
          </w:p>
          <w:p w14:paraId="029E395D" w14:textId="77777777" w:rsidR="00CE6E0B" w:rsidRPr="00095911" w:rsidRDefault="00CE6E0B" w:rsidP="0031289D">
            <w:pPr>
              <w:numPr>
                <w:ilvl w:val="0"/>
                <w:numId w:val="12"/>
              </w:numPr>
              <w:bidi/>
              <w:spacing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(4 تراكميا)</w:t>
            </w:r>
          </w:p>
          <w:p w14:paraId="0B0B6560" w14:textId="77777777" w:rsidR="00CE6E0B" w:rsidRPr="00095911" w:rsidRDefault="00CE6E0B" w:rsidP="0031289D">
            <w:pPr>
              <w:numPr>
                <w:ilvl w:val="0"/>
                <w:numId w:val="12"/>
              </w:numPr>
              <w:bidi/>
              <w:spacing w:after="12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(6 تراكميا)</w:t>
            </w:r>
          </w:p>
        </w:tc>
        <w:tc>
          <w:tcPr>
            <w:tcW w:w="849" w:type="pct"/>
            <w:shd w:val="clear" w:color="auto" w:fill="auto"/>
            <w:tcMar>
              <w:top w:w="110" w:type="dxa"/>
              <w:left w:w="58" w:type="dxa"/>
              <w:right w:w="58" w:type="dxa"/>
            </w:tcMar>
          </w:tcPr>
          <w:p w14:paraId="4F3CDD62" w14:textId="77777777" w:rsidR="00CE6E0B" w:rsidRPr="00095911" w:rsidRDefault="00CE6E0B" w:rsidP="0031289D">
            <w:pPr>
              <w:numPr>
                <w:ilvl w:val="0"/>
                <w:numId w:val="12"/>
              </w:numPr>
              <w:bidi/>
              <w:spacing w:after="68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(8</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بلدان</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إضافية)</w:t>
            </w:r>
          </w:p>
          <w:p w14:paraId="6D05CA56" w14:textId="77777777" w:rsidR="00CE6E0B" w:rsidRPr="00095911" w:rsidRDefault="00CE6E0B" w:rsidP="0031289D">
            <w:pPr>
              <w:numPr>
                <w:ilvl w:val="0"/>
                <w:numId w:val="12"/>
              </w:numPr>
              <w:bidi/>
              <w:spacing w:after="12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(بلَدان</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إضافيان)</w:t>
            </w:r>
          </w:p>
          <w:p w14:paraId="12303CAE" w14:textId="77777777" w:rsidR="00CE6E0B" w:rsidRPr="00095911" w:rsidRDefault="00CE6E0B" w:rsidP="0031289D">
            <w:pPr>
              <w:numPr>
                <w:ilvl w:val="0"/>
                <w:numId w:val="12"/>
              </w:numPr>
              <w:bidi/>
              <w:spacing w:after="72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(7 بلدان إضافية)</w:t>
            </w:r>
          </w:p>
          <w:p w14:paraId="5F94A75E" w14:textId="77777777" w:rsidR="00CE6E0B" w:rsidRPr="00095911" w:rsidRDefault="00CE6E0B" w:rsidP="0031289D">
            <w:pPr>
              <w:numPr>
                <w:ilvl w:val="0"/>
                <w:numId w:val="12"/>
              </w:numPr>
              <w:bidi/>
              <w:spacing w:after="120" w:line="280" w:lineRule="exact"/>
              <w:ind w:left="207" w:hanging="20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(بلَدان</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إضافيان)</w:t>
            </w:r>
          </w:p>
        </w:tc>
        <w:tc>
          <w:tcPr>
            <w:tcW w:w="1227" w:type="pct"/>
            <w:shd w:val="clear" w:color="auto" w:fill="FFFFFF"/>
            <w:tcMar>
              <w:top w:w="110" w:type="dxa"/>
              <w:left w:w="58" w:type="dxa"/>
              <w:right w:w="58" w:type="dxa"/>
            </w:tcMar>
          </w:tcPr>
          <w:p w14:paraId="64E597EA"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أفريقيا (6 بلدان إضافية)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بنن</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والكونغو ومدغشقر وملاوي وسوازيلند وزمبابوي</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(التراكمي 27)</w:t>
            </w:r>
          </w:p>
          <w:p w14:paraId="5701D2E2"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المنطقة العربية</w:t>
            </w:r>
            <w:r>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لا</w:t>
            </w:r>
            <w:r>
              <w:rPr>
                <w:rFonts w:ascii="Arabic Typesetting" w:eastAsia="Arabic Typesetting" w:hAnsi="Arabic Typesetting" w:cs="Arabic Typesetting"/>
                <w:color w:val="000000"/>
                <w:sz w:val="28"/>
                <w:szCs w:val="28"/>
                <w:rtl/>
                <w:lang w:eastAsia="ar-EG" w:bidi="ar-EG"/>
              </w:rPr>
              <w:t xml:space="preserve"> بلدان إضافية)</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(التراكمي 2)</w:t>
            </w:r>
          </w:p>
          <w:p w14:paraId="7C0410FF"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آسيا والمحيط الهادئ (4</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بلدان</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إضافية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 xml:space="preserve">بروني دار </w:t>
            </w:r>
            <w:r>
              <w:rPr>
                <w:rFonts w:ascii="Arabic Typesetting" w:eastAsia="Arabic Typesetting" w:hAnsi="Arabic Typesetting" w:cs="Arabic Typesetting"/>
                <w:color w:val="000000"/>
                <w:sz w:val="28"/>
                <w:szCs w:val="28"/>
                <w:rtl/>
                <w:lang w:eastAsia="ar-EG" w:bidi="ar-EG"/>
              </w:rPr>
              <w:t>السلام وكمبوديا وفيجي ومنغوليا)</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(التراكمي 9)</w:t>
            </w:r>
          </w:p>
          <w:p w14:paraId="430D123A" w14:textId="6464390E" w:rsidR="00CE6E0B" w:rsidRDefault="00CE6E0B" w:rsidP="003E33F1">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أمريكا اللاتينية والكاريبي (</w:t>
            </w:r>
            <w:r w:rsidR="003E33F1">
              <w:rPr>
                <w:rFonts w:ascii="Arabic Typesetting" w:eastAsia="Arabic Typesetting" w:hAnsi="Arabic Typesetting" w:cs="Arabic Typesetting" w:hint="cs"/>
                <w:color w:val="000000"/>
                <w:sz w:val="28"/>
                <w:szCs w:val="28"/>
                <w:rtl/>
                <w:lang w:eastAsia="ar-EG" w:bidi="ar-EG"/>
              </w:rPr>
              <w:t>سانت كيتس ونيفيس</w:t>
            </w:r>
            <w:r w:rsidRPr="00095911">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 xml:space="preserve">(التراكمي </w:t>
            </w:r>
            <w:r w:rsidR="003E33F1">
              <w:rPr>
                <w:rFonts w:ascii="Arabic Typesetting" w:eastAsia="Arabic Typesetting" w:hAnsi="Arabic Typesetting" w:cs="Arabic Typesetting" w:hint="cs"/>
                <w:color w:val="000000"/>
                <w:sz w:val="28"/>
                <w:szCs w:val="28"/>
                <w:rtl/>
                <w:lang w:eastAsia="ar-EG" w:bidi="ar-EG"/>
              </w:rPr>
              <w:t>6</w:t>
            </w:r>
            <w:r w:rsidRPr="00095911">
              <w:rPr>
                <w:rFonts w:ascii="Arabic Typesetting" w:eastAsia="Arabic Typesetting" w:hAnsi="Arabic Typesetting" w:cs="Arabic Typesetting"/>
                <w:color w:val="000000"/>
                <w:sz w:val="28"/>
                <w:szCs w:val="28"/>
                <w:rtl/>
                <w:lang w:eastAsia="ar-EG" w:bidi="ar-EG"/>
              </w:rPr>
              <w:t>)</w:t>
            </w:r>
          </w:p>
          <w:p w14:paraId="67812431" w14:textId="77777777" w:rsidR="00CE6E0B" w:rsidRPr="00095911"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20 بلداً من البلدان الأقل نموا مشمولاً في التوزيع الإقليمي السابق</w:t>
            </w:r>
          </w:p>
        </w:tc>
        <w:tc>
          <w:tcPr>
            <w:tcW w:w="388" w:type="pct"/>
            <w:shd w:val="clear" w:color="auto" w:fill="auto"/>
            <w:tcMar>
              <w:top w:w="110" w:type="dxa"/>
              <w:left w:w="58" w:type="dxa"/>
              <w:right w:w="58" w:type="dxa"/>
            </w:tcMar>
          </w:tcPr>
          <w:p w14:paraId="605665EF" w14:textId="77777777" w:rsidR="00CE6E0B" w:rsidRDefault="00CE6E0B" w:rsidP="0031289D">
            <w:pPr>
              <w:bidi/>
              <w:spacing w:after="96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6D915E82" w14:textId="77777777" w:rsidR="00CE6E0B" w:rsidRDefault="00CE6E0B" w:rsidP="0031289D">
            <w:pPr>
              <w:bidi/>
              <w:spacing w:after="400" w:line="280" w:lineRule="exact"/>
              <w:jc w:val="center"/>
              <w:rPr>
                <w:rFonts w:ascii="Arabic Typesetting" w:eastAsia="Arabic Typesetting" w:hAnsi="Arabic Typesetting" w:cs="Arabic Typesetting"/>
                <w:b/>
                <w:color w:val="FF000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p w14:paraId="7CE39583" w14:textId="77777777" w:rsidR="00CE6E0B" w:rsidRDefault="00CE6E0B" w:rsidP="0031289D">
            <w:pPr>
              <w:bidi/>
              <w:spacing w:after="96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41EBBF32" w14:textId="7FF0F986" w:rsidR="00CE6E0B" w:rsidRPr="00095911" w:rsidRDefault="003E33F1" w:rsidP="003E33F1">
            <w:pPr>
              <w:bidi/>
              <w:spacing w:line="280" w:lineRule="exact"/>
              <w:jc w:val="center"/>
              <w:rPr>
                <w:rFonts w:ascii="Arabic Typesetting" w:eastAsia="Arabic Typesetting" w:hAnsi="Arabic Typesetting" w:cs="Arabic Typesetting"/>
                <w:b/>
                <w:color w:val="000000"/>
                <w:sz w:val="28"/>
                <w:szCs w:val="28"/>
                <w:lang w:eastAsia="ar-EG" w:bidi="ar-EG"/>
              </w:rPr>
            </w:pPr>
            <w:r w:rsidRPr="003E33F1">
              <w:rPr>
                <w:rFonts w:ascii="Arabic Typesetting" w:eastAsia="Arabic Typesetting" w:hAnsi="Arabic Typesetting" w:cs="Arabic Typesetting" w:hint="cs"/>
                <w:b/>
                <w:bCs/>
                <w:color w:val="00B050"/>
                <w:sz w:val="28"/>
                <w:szCs w:val="28"/>
                <w:rtl/>
                <w:lang w:eastAsia="ar-EG" w:bidi="ar-EG"/>
              </w:rPr>
              <w:t>ثابت</w:t>
            </w:r>
          </w:p>
        </w:tc>
      </w:tr>
      <w:tr w:rsidR="00CE6E0B" w:rsidRPr="00095911" w14:paraId="313F01B9" w14:textId="77777777" w:rsidTr="00BB3820">
        <w:trPr>
          <w:trHeight w:val="648"/>
        </w:trPr>
        <w:tc>
          <w:tcPr>
            <w:tcW w:w="5000" w:type="pct"/>
            <w:gridSpan w:val="5"/>
            <w:shd w:val="clear" w:color="auto" w:fill="C6D9F1"/>
            <w:tcMar>
              <w:left w:w="58" w:type="dxa"/>
              <w:right w:w="58" w:type="dxa"/>
            </w:tcMar>
            <w:vAlign w:val="center"/>
          </w:tcPr>
          <w:p w14:paraId="46046261" w14:textId="77777777" w:rsidR="00CE6E0B" w:rsidRPr="00095911"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‏النتيجة المرتقبة:</w:t>
            </w:r>
            <w:r w:rsidRPr="00095911">
              <w:rPr>
                <w:rFonts w:ascii="Arabic Typesetting" w:eastAsia="Arabic Typesetting" w:hAnsi="Arabic Typesetting" w:cs="Arabic Typesetting"/>
                <w:sz w:val="28"/>
                <w:szCs w:val="28"/>
                <w:lang w:eastAsia="ar-EG" w:bidi="ar-EG"/>
              </w:rPr>
              <w:tab/>
            </w:r>
            <w:r w:rsidRPr="00095911">
              <w:rPr>
                <w:rFonts w:ascii="Arabic Typesetting" w:eastAsia="Arabic Typesetting" w:hAnsi="Arabic Typesetting" w:cs="Arabic Typesetting"/>
                <w:sz w:val="28"/>
                <w:szCs w:val="28"/>
                <w:rtl/>
                <w:lang w:eastAsia="ar-EG" w:bidi="ar-EG"/>
              </w:rPr>
              <w:t>‏ه</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cs/>
                <w:lang w:eastAsia="ar-EG" w:bidi="ar-EG"/>
              </w:rPr>
              <w:t>2.3</w:t>
            </w:r>
            <w:r w:rsidRPr="00095911">
              <w:rPr>
                <w:rFonts w:ascii="Arabic Typesetting" w:eastAsia="Arabic Typesetting" w:hAnsi="Arabic Typesetting" w:cs="Arabic Typesetting"/>
                <w:sz w:val="28"/>
                <w:szCs w:val="28"/>
                <w:rtl/>
                <w:lang w:eastAsia="ar-EG" w:bidi="ar-EG"/>
              </w:rPr>
              <w:t>‏ كفاءات</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‏معزَّزة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‏للموارد</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‏البشرية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‏القادرة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‏على</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‏تلبية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‏تشكيلة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‏واسعة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‏من</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‏المتطلبات</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‏لتسخير</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‏الملكية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‏الفكرية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‏بفعالية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‏لأغراض</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‏التنمية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‏في</w:t>
            </w:r>
            <w:r w:rsidRPr="00095911">
              <w:rPr>
                <w:rFonts w:ascii="Arabic Typesetting" w:eastAsia="Arabic Typesetting" w:hAnsi="Arabic Typesetting" w:cs="Arabic Typesetting"/>
                <w:sz w:val="28"/>
                <w:szCs w:val="28"/>
                <w:cs/>
                <w:lang w:eastAsia="ar-EG" w:bidi="ar-EG"/>
              </w:rPr>
              <w:t>‎</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‏البلدان</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‏النامية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‏والبلدان</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‏الأقل</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‏نموا</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‏والبلدان</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المنتقلة</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‏إلى</w:t>
            </w:r>
            <w:r w:rsidRPr="00095911">
              <w:rPr>
                <w:rFonts w:ascii="Arabic Typesetting" w:eastAsia="Arabic Typesetting" w:hAnsi="Arabic Typesetting" w:cs="Arabic Typesetting"/>
                <w:sz w:val="28"/>
                <w:szCs w:val="28"/>
                <w:cs/>
                <w:lang w:eastAsia="ar-EG" w:bidi="ar-EG"/>
              </w:rPr>
              <w:t>‎</w:t>
            </w:r>
            <w:r w:rsidRPr="00095911">
              <w:rPr>
                <w:rFonts w:ascii="Arabic Typesetting" w:eastAsia="Arabic Typesetting" w:hAnsi="Arabic Typesetting" w:cs="Arabic Typesetting"/>
                <w:sz w:val="28"/>
                <w:szCs w:val="28"/>
                <w:rtl/>
                <w:lang w:eastAsia="ar-EG" w:bidi="ar-EG"/>
              </w:rPr>
              <w:t xml:space="preserve"> ‏نظام الاقتصاد ‏الحر</w:t>
            </w:r>
          </w:p>
        </w:tc>
      </w:tr>
      <w:tr w:rsidR="00CE6E0B" w:rsidRPr="00095911" w14:paraId="3F915C8F" w14:textId="77777777" w:rsidTr="009C2128">
        <w:trPr>
          <w:trHeight w:val="144"/>
        </w:trPr>
        <w:tc>
          <w:tcPr>
            <w:tcW w:w="1083" w:type="pct"/>
            <w:shd w:val="clear" w:color="auto" w:fill="auto"/>
            <w:tcMar>
              <w:left w:w="58" w:type="dxa"/>
              <w:right w:w="58" w:type="dxa"/>
            </w:tcMar>
            <w:vAlign w:val="center"/>
          </w:tcPr>
          <w:p w14:paraId="5931F1EB" w14:textId="77777777" w:rsidR="00CE6E0B" w:rsidRPr="00095911"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مؤشرات الأداء</w:t>
            </w:r>
          </w:p>
        </w:tc>
        <w:tc>
          <w:tcPr>
            <w:tcW w:w="1453" w:type="pct"/>
            <w:shd w:val="clear" w:color="auto" w:fill="auto"/>
            <w:tcMar>
              <w:left w:w="58" w:type="dxa"/>
              <w:right w:w="58" w:type="dxa"/>
            </w:tcMar>
            <w:vAlign w:val="center"/>
          </w:tcPr>
          <w:p w14:paraId="6C1AAACC"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أسس المقارنة</w:t>
            </w:r>
          </w:p>
        </w:tc>
        <w:tc>
          <w:tcPr>
            <w:tcW w:w="849" w:type="pct"/>
            <w:shd w:val="clear" w:color="auto" w:fill="auto"/>
            <w:tcMar>
              <w:top w:w="110" w:type="dxa"/>
              <w:left w:w="58" w:type="dxa"/>
              <w:right w:w="58" w:type="dxa"/>
            </w:tcMar>
            <w:vAlign w:val="center"/>
          </w:tcPr>
          <w:p w14:paraId="56173990"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الأهداف</w:t>
            </w:r>
          </w:p>
        </w:tc>
        <w:tc>
          <w:tcPr>
            <w:tcW w:w="1227" w:type="pct"/>
            <w:shd w:val="clear" w:color="auto" w:fill="FFFFFF"/>
            <w:tcMar>
              <w:top w:w="110" w:type="dxa"/>
              <w:left w:w="58" w:type="dxa"/>
              <w:right w:w="58" w:type="dxa"/>
            </w:tcMar>
            <w:vAlign w:val="center"/>
          </w:tcPr>
          <w:p w14:paraId="5408210D"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بيانات الأداء</w:t>
            </w:r>
          </w:p>
        </w:tc>
        <w:tc>
          <w:tcPr>
            <w:tcW w:w="388" w:type="pct"/>
            <w:shd w:val="clear" w:color="auto" w:fill="auto"/>
            <w:tcMar>
              <w:top w:w="110" w:type="dxa"/>
              <w:left w:w="58" w:type="dxa"/>
              <w:right w:w="58" w:type="dxa"/>
            </w:tcMar>
            <w:vAlign w:val="center"/>
          </w:tcPr>
          <w:p w14:paraId="56E8E476" w14:textId="77777777" w:rsidR="00CE6E0B" w:rsidRPr="00095911" w:rsidRDefault="00CE6E0B" w:rsidP="0031289D">
            <w:pPr>
              <w:bidi/>
              <w:spacing w:after="120" w:line="280" w:lineRule="exact"/>
              <w:jc w:val="center"/>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السير</w:t>
            </w:r>
          </w:p>
        </w:tc>
      </w:tr>
      <w:tr w:rsidR="00CE6E0B" w:rsidRPr="00095911" w14:paraId="04367ADD" w14:textId="77777777" w:rsidTr="009C2128">
        <w:trPr>
          <w:trHeight w:val="700"/>
        </w:trPr>
        <w:tc>
          <w:tcPr>
            <w:tcW w:w="1083" w:type="pct"/>
            <w:shd w:val="clear" w:color="auto" w:fill="auto"/>
            <w:tcMar>
              <w:left w:w="58" w:type="dxa"/>
              <w:right w:w="58" w:type="dxa"/>
            </w:tcMar>
          </w:tcPr>
          <w:p w14:paraId="46989DAF" w14:textId="27720CBF" w:rsidR="00CE6E0B" w:rsidRPr="00095911" w:rsidRDefault="00CE6E0B" w:rsidP="004B40B5">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 xml:space="preserve">النسبة المئوية للمشاركين في تظاهرات الويبو الذين يعربون عن رضاهم عن محتوى </w:t>
            </w:r>
            <w:r w:rsidR="004B40B5">
              <w:rPr>
                <w:rFonts w:ascii="Arabic Typesetting" w:eastAsia="Arabic Typesetting" w:hAnsi="Arabic Typesetting" w:cs="Arabic Typesetting" w:hint="cs"/>
                <w:color w:val="000000"/>
                <w:sz w:val="28"/>
                <w:szCs w:val="28"/>
                <w:rtl/>
                <w:lang w:eastAsia="ar-EG" w:bidi="ar-EG"/>
              </w:rPr>
              <w:t xml:space="preserve">تلك التظاهرات </w:t>
            </w:r>
            <w:r w:rsidRPr="00095911">
              <w:rPr>
                <w:rFonts w:ascii="Arabic Typesetting" w:eastAsia="Arabic Typesetting" w:hAnsi="Arabic Typesetting" w:cs="Arabic Typesetting"/>
                <w:color w:val="000000"/>
                <w:sz w:val="28"/>
                <w:szCs w:val="28"/>
                <w:rtl/>
                <w:lang w:eastAsia="ar-EG" w:bidi="ar-EG"/>
              </w:rPr>
              <w:t>وعن تنظيم</w:t>
            </w:r>
            <w:r w:rsidR="004B40B5">
              <w:rPr>
                <w:rFonts w:ascii="Arabic Typesetting" w:eastAsia="Arabic Typesetting" w:hAnsi="Arabic Typesetting" w:cs="Arabic Typesetting" w:hint="cs"/>
                <w:color w:val="000000"/>
                <w:sz w:val="28"/>
                <w:szCs w:val="28"/>
                <w:rtl/>
                <w:lang w:eastAsia="ar-EG" w:bidi="ar-EG"/>
              </w:rPr>
              <w:t>ها</w:t>
            </w:r>
          </w:p>
        </w:tc>
        <w:tc>
          <w:tcPr>
            <w:tcW w:w="1453" w:type="pct"/>
            <w:shd w:val="clear" w:color="auto" w:fill="auto"/>
            <w:tcMar>
              <w:left w:w="58" w:type="dxa"/>
              <w:right w:w="58" w:type="dxa"/>
            </w:tcMar>
          </w:tcPr>
          <w:p w14:paraId="67E62434"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أفريقيا (</w:t>
            </w:r>
            <w:r>
              <w:rPr>
                <w:rFonts w:ascii="Arabic Typesetting" w:eastAsia="Arabic Typesetting" w:hAnsi="Arabic Typesetting" w:cs="Arabic Typesetting"/>
                <w:color w:val="002060"/>
                <w:sz w:val="28"/>
                <w:szCs w:val="28"/>
                <w:lang w:eastAsia="ar-EG" w:bidi="ar-EG"/>
              </w:rPr>
              <w:t>%75</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br/>
            </w:r>
            <w:r>
              <w:rPr>
                <w:rFonts w:ascii="Arabic Typesetting" w:eastAsia="Arabic Typesetting" w:hAnsi="Arabic Typesetting" w:cs="Arabic Typesetting"/>
                <w:color w:val="002060"/>
                <w:sz w:val="28"/>
                <w:szCs w:val="28"/>
                <w:rtl/>
                <w:lang w:eastAsia="ar-EG" w:bidi="ar-EG"/>
              </w:rPr>
              <w:t xml:space="preserve">المنطقة العربية </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%90</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 xml:space="preserve">آسيا والمحيط الهادئ </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%95</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 xml:space="preserve">أمريكا اللاتينية والكاريبي </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%80</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البلدان الأقل نموا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%85</w:t>
            </w:r>
            <w:r>
              <w:rPr>
                <w:rFonts w:ascii="Arabic Typesetting" w:eastAsia="Arabic Typesetting" w:hAnsi="Arabic Typesetting" w:cs="Arabic Typesetting"/>
                <w:color w:val="002060"/>
                <w:sz w:val="28"/>
                <w:szCs w:val="28"/>
                <w:rtl/>
                <w:lang w:eastAsia="ar-EG" w:bidi="ar-EG"/>
              </w:rPr>
              <w:t>)</w:t>
            </w:r>
          </w:p>
          <w:p w14:paraId="0307D2BC" w14:textId="77777777" w:rsidR="00CE6E0B" w:rsidRDefault="00CE6E0B" w:rsidP="0031289D">
            <w:pPr>
              <w:bidi/>
              <w:spacing w:line="280" w:lineRule="exact"/>
              <w:rPr>
                <w:rFonts w:ascii="Arabic Typesetting" w:eastAsia="Arabic Typesetting" w:hAnsi="Arabic Typesetting" w:cs="Arabic Typesetting"/>
                <w:i/>
                <w:iCs/>
                <w:sz w:val="28"/>
                <w:szCs w:val="28"/>
                <w:rtl/>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5E2C22BA"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w:t>
            </w:r>
            <w:r>
              <w:rPr>
                <w:rFonts w:ascii="Arabic Typesetting" w:eastAsia="Arabic Typesetting" w:hAnsi="Arabic Typesetting" w:cs="Arabic Typesetting"/>
                <w:sz w:val="28"/>
                <w:szCs w:val="28"/>
                <w:lang w:eastAsia="ar-EG" w:bidi="ar-EG"/>
              </w:rPr>
              <w:t>%70</w:t>
            </w:r>
            <w:r w:rsidRPr="00095911">
              <w:rPr>
                <w:rFonts w:ascii="Arabic Typesetting" w:eastAsia="Arabic Typesetting" w:hAnsi="Arabic Typesetting" w:cs="Arabic Typesetting"/>
                <w:sz w:val="28"/>
                <w:szCs w:val="28"/>
                <w:rtl/>
                <w:lang w:eastAsia="ar-EG" w:bidi="ar-EG"/>
              </w:rPr>
              <w:t>)</w:t>
            </w:r>
          </w:p>
          <w:p w14:paraId="5E3D2EC2" w14:textId="77777777" w:rsidR="00CE6E0B" w:rsidRPr="005C72A2"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5C72A2">
              <w:rPr>
                <w:rFonts w:ascii="Arabic Typesetting" w:eastAsia="Arabic Typesetting" w:hAnsi="Arabic Typesetting" w:cs="Arabic Typesetting"/>
                <w:sz w:val="28"/>
                <w:szCs w:val="28"/>
                <w:rtl/>
                <w:lang w:eastAsia="ar-EG" w:bidi="ar-EG"/>
              </w:rPr>
              <w:t>المنطقة العربية</w:t>
            </w:r>
            <w:r w:rsidRPr="005C72A2">
              <w:rPr>
                <w:rFonts w:ascii="Arabic Typesetting" w:eastAsia="Arabic Typesetting" w:hAnsi="Arabic Typesetting" w:cs="Arabic Typesetting"/>
                <w:sz w:val="28"/>
                <w:szCs w:val="28"/>
                <w:lang w:eastAsia="ar-EG" w:bidi="ar-EG"/>
              </w:rPr>
              <w:br/>
            </w:r>
            <w:r w:rsidRPr="005C72A2">
              <w:rPr>
                <w:rFonts w:ascii="Arabic Typesetting" w:eastAsia="Arabic Typesetting" w:hAnsi="Arabic Typesetting" w:cs="Arabic Typesetting"/>
                <w:sz w:val="28"/>
                <w:szCs w:val="28"/>
                <w:rtl/>
                <w:lang w:eastAsia="ar-EG" w:bidi="ar-EG"/>
              </w:rPr>
              <w:t>(غير متاحة في عام 2014؛ سيُنفذ</w:t>
            </w:r>
            <w:r>
              <w:rPr>
                <w:rFonts w:ascii="Arabic Typesetting" w:eastAsia="Arabic Typesetting" w:hAnsi="Arabic Typesetting" w:cs="Arabic Typesetting" w:hint="cs"/>
                <w:sz w:val="28"/>
                <w:szCs w:val="28"/>
                <w:rtl/>
                <w:lang w:eastAsia="ar-EG" w:bidi="ar-EG"/>
              </w:rPr>
              <w:t> </w:t>
            </w:r>
            <w:r w:rsidRPr="005C72A2">
              <w:rPr>
                <w:rFonts w:ascii="Arabic Typesetting" w:eastAsia="Arabic Typesetting" w:hAnsi="Arabic Typesetting" w:cs="Arabic Typesetting"/>
                <w:sz w:val="28"/>
                <w:szCs w:val="28"/>
                <w:rtl/>
                <w:lang w:eastAsia="ar-EG" w:bidi="ar-EG"/>
              </w:rPr>
              <w:t>النظام في عام 2015)</w:t>
            </w:r>
          </w:p>
          <w:p w14:paraId="6C37BC9D" w14:textId="77777777" w:rsidR="00CE6E0B"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w:t>
            </w:r>
            <w:r>
              <w:rPr>
                <w:rFonts w:ascii="Arabic Typesetting" w:eastAsia="Arabic Typesetting" w:hAnsi="Arabic Typesetting" w:cs="Arabic Typesetting"/>
                <w:sz w:val="28"/>
                <w:szCs w:val="28"/>
                <w:lang w:eastAsia="ar-EG" w:bidi="ar-EG"/>
              </w:rPr>
              <w:t>%92</w:t>
            </w:r>
            <w:r w:rsidRPr="00095911">
              <w:rPr>
                <w:rFonts w:ascii="Arabic Typesetting" w:eastAsia="Arabic Typesetting" w:hAnsi="Arabic Typesetting" w:cs="Arabic Typesetting"/>
                <w:sz w:val="28"/>
                <w:szCs w:val="28"/>
                <w:rtl/>
                <w:lang w:eastAsia="ar-EG" w:bidi="ar-EG"/>
              </w:rPr>
              <w:t>)</w:t>
            </w:r>
          </w:p>
          <w:p w14:paraId="314BC1B5" w14:textId="77777777" w:rsidR="00CE6E0B" w:rsidRPr="005C72A2"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5C72A2">
              <w:rPr>
                <w:rFonts w:ascii="Arabic Typesetting" w:eastAsia="Arabic Typesetting" w:hAnsi="Arabic Typesetting" w:cs="Arabic Typesetting"/>
                <w:sz w:val="28"/>
                <w:szCs w:val="28"/>
                <w:rtl/>
                <w:lang w:eastAsia="ar-EG" w:bidi="ar-EG"/>
              </w:rPr>
              <w:t>أمريكا اللاتينية والكاريبي</w:t>
            </w:r>
            <w:r>
              <w:rPr>
                <w:rFonts w:ascii="Arabic Typesetting" w:eastAsia="Arabic Typesetting" w:hAnsi="Arabic Typesetting" w:cs="Arabic Typesetting"/>
                <w:sz w:val="28"/>
                <w:szCs w:val="28"/>
                <w:rtl/>
                <w:lang w:eastAsia="ar-EG" w:bidi="ar-EG"/>
              </w:rPr>
              <w:br/>
            </w:r>
            <w:r w:rsidRPr="005C72A2">
              <w:rPr>
                <w:rFonts w:ascii="Arabic Typesetting" w:eastAsia="Arabic Typesetting" w:hAnsi="Arabic Typesetting" w:cs="Arabic Typesetting"/>
                <w:sz w:val="28"/>
                <w:szCs w:val="28"/>
                <w:rtl/>
                <w:lang w:eastAsia="ar-EG" w:bidi="ar-EG"/>
              </w:rPr>
              <w:t>(غير متاحة في عام 2014؛ سيُنفذ</w:t>
            </w:r>
            <w:r>
              <w:rPr>
                <w:rFonts w:ascii="Arabic Typesetting" w:eastAsia="Arabic Typesetting" w:hAnsi="Arabic Typesetting" w:cs="Arabic Typesetting" w:hint="cs"/>
                <w:sz w:val="28"/>
                <w:szCs w:val="28"/>
                <w:rtl/>
                <w:lang w:eastAsia="ar-EG" w:bidi="ar-EG"/>
              </w:rPr>
              <w:t> </w:t>
            </w:r>
            <w:r w:rsidRPr="005C72A2">
              <w:rPr>
                <w:rFonts w:ascii="Arabic Typesetting" w:eastAsia="Arabic Typesetting" w:hAnsi="Arabic Typesetting" w:cs="Arabic Typesetting"/>
                <w:sz w:val="28"/>
                <w:szCs w:val="28"/>
                <w:rtl/>
                <w:lang w:eastAsia="ar-EG" w:bidi="ar-EG"/>
              </w:rPr>
              <w:t>النظام في عام 2015)</w:t>
            </w:r>
          </w:p>
          <w:p w14:paraId="4252FB2B"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البلدان الأقل نموا</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095911">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lang w:eastAsia="ar-EG" w:bidi="ar-EG"/>
              </w:rPr>
              <w:t>%90</w:t>
            </w:r>
            <w:r w:rsidRPr="00095911">
              <w:rPr>
                <w:rFonts w:ascii="Arabic Typesetting" w:eastAsia="Arabic Typesetting" w:hAnsi="Arabic Typesetting" w:cs="Arabic Typesetting"/>
                <w:sz w:val="28"/>
                <w:szCs w:val="28"/>
                <w:rtl/>
                <w:lang w:eastAsia="ar-EG" w:bidi="ar-EG"/>
              </w:rPr>
              <w:t>)</w:t>
            </w:r>
          </w:p>
        </w:tc>
        <w:tc>
          <w:tcPr>
            <w:tcW w:w="849" w:type="pct"/>
            <w:shd w:val="clear" w:color="auto" w:fill="auto"/>
            <w:tcMar>
              <w:top w:w="110" w:type="dxa"/>
              <w:left w:w="58" w:type="dxa"/>
              <w:right w:w="58" w:type="dxa"/>
            </w:tcMar>
          </w:tcPr>
          <w:p w14:paraId="047A863A" w14:textId="77777777" w:rsidR="00CE6E0B" w:rsidRPr="005C72A2"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p>
          <w:p w14:paraId="6B7C1E3C" w14:textId="77777777" w:rsidR="00CE6E0B" w:rsidRPr="00095911" w:rsidRDefault="00CE6E0B" w:rsidP="0031289D">
            <w:pPr>
              <w:numPr>
                <w:ilvl w:val="0"/>
                <w:numId w:val="12"/>
              </w:numPr>
              <w:bidi/>
              <w:spacing w:after="120" w:line="280" w:lineRule="exact"/>
              <w:ind w:left="347" w:hanging="347"/>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أفريقيا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%75</w:t>
            </w:r>
            <w:r w:rsidRPr="00331273">
              <w:rPr>
                <w:rFonts w:ascii="Arabic Typesetting" w:eastAsia="Arabic Typesetting" w:hAnsi="Arabic Typesetting" w:cs="Arabic Typesetting" w:hint="cs"/>
                <w:color w:val="002060"/>
                <w:sz w:val="28"/>
                <w:szCs w:val="28"/>
                <w:rtl/>
                <w:lang w:eastAsia="ar-EG" w:bidi="ar-EG"/>
              </w:rPr>
              <w:t>)</w:t>
            </w:r>
          </w:p>
          <w:p w14:paraId="13A0C25C" w14:textId="77777777" w:rsidR="00CE6E0B" w:rsidRPr="00095911" w:rsidRDefault="00CE6E0B" w:rsidP="0031289D">
            <w:pPr>
              <w:numPr>
                <w:ilvl w:val="0"/>
                <w:numId w:val="12"/>
              </w:numPr>
              <w:bidi/>
              <w:spacing w:after="120" w:line="280" w:lineRule="exact"/>
              <w:ind w:left="347" w:hanging="347"/>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المنطقة العربية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%90</w:t>
            </w:r>
            <w:r w:rsidRPr="00331273">
              <w:rPr>
                <w:rFonts w:ascii="Arabic Typesetting" w:eastAsia="Arabic Typesetting" w:hAnsi="Arabic Typesetting" w:cs="Arabic Typesetting" w:hint="cs"/>
                <w:color w:val="002060"/>
                <w:sz w:val="28"/>
                <w:szCs w:val="28"/>
                <w:rtl/>
                <w:lang w:eastAsia="ar-EG" w:bidi="ar-EG"/>
              </w:rPr>
              <w:t>)</w:t>
            </w:r>
          </w:p>
          <w:p w14:paraId="194CFFE4" w14:textId="77777777" w:rsidR="00CE6E0B" w:rsidRPr="00095911" w:rsidRDefault="00CE6E0B" w:rsidP="0031289D">
            <w:pPr>
              <w:numPr>
                <w:ilvl w:val="0"/>
                <w:numId w:val="12"/>
              </w:numPr>
              <w:bidi/>
              <w:spacing w:after="120" w:line="280" w:lineRule="exact"/>
              <w:ind w:left="347" w:hanging="347"/>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آسيا والمحيط الهادئ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%95</w:t>
            </w:r>
            <w:r w:rsidRPr="00331273">
              <w:rPr>
                <w:rFonts w:ascii="Arabic Typesetting" w:eastAsia="Arabic Typesetting" w:hAnsi="Arabic Typesetting" w:cs="Arabic Typesetting" w:hint="cs"/>
                <w:color w:val="002060"/>
                <w:sz w:val="28"/>
                <w:szCs w:val="28"/>
                <w:rtl/>
                <w:lang w:eastAsia="ar-EG" w:bidi="ar-EG"/>
              </w:rPr>
              <w:t>)</w:t>
            </w:r>
          </w:p>
          <w:p w14:paraId="3A0197B5" w14:textId="77777777" w:rsidR="00CE6E0B" w:rsidRPr="00095911" w:rsidRDefault="00CE6E0B" w:rsidP="0031289D">
            <w:pPr>
              <w:numPr>
                <w:ilvl w:val="0"/>
                <w:numId w:val="12"/>
              </w:numPr>
              <w:bidi/>
              <w:spacing w:after="240" w:line="280" w:lineRule="exact"/>
              <w:ind w:left="347" w:hanging="347"/>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أمريكا اللاتينية والكاريبي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%85</w:t>
            </w:r>
            <w:r w:rsidRPr="00331273">
              <w:rPr>
                <w:rFonts w:ascii="Arabic Typesetting" w:eastAsia="Arabic Typesetting" w:hAnsi="Arabic Typesetting" w:cs="Arabic Typesetting" w:hint="cs"/>
                <w:color w:val="002060"/>
                <w:sz w:val="28"/>
                <w:szCs w:val="28"/>
                <w:rtl/>
                <w:lang w:eastAsia="ar-EG" w:bidi="ar-EG"/>
              </w:rPr>
              <w:t>)</w:t>
            </w:r>
          </w:p>
          <w:p w14:paraId="6A25D856" w14:textId="77777777" w:rsidR="00CE6E0B" w:rsidRDefault="00CE6E0B" w:rsidP="0031289D">
            <w:pPr>
              <w:numPr>
                <w:ilvl w:val="0"/>
                <w:numId w:val="12"/>
              </w:numPr>
              <w:bidi/>
              <w:spacing w:after="120" w:line="280" w:lineRule="exact"/>
              <w:ind w:left="347" w:hanging="347"/>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البلدان الأقل نموا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%85</w:t>
            </w:r>
            <w:r w:rsidRPr="00331273">
              <w:rPr>
                <w:rFonts w:ascii="Arabic Typesetting" w:eastAsia="Arabic Typesetting" w:hAnsi="Arabic Typesetting" w:cs="Arabic Typesetting" w:hint="cs"/>
                <w:color w:val="002060"/>
                <w:sz w:val="28"/>
                <w:szCs w:val="28"/>
                <w:rtl/>
                <w:lang w:eastAsia="ar-EG" w:bidi="ar-EG"/>
              </w:rPr>
              <w:t>)</w:t>
            </w:r>
          </w:p>
          <w:p w14:paraId="48E9566D" w14:textId="77777777" w:rsidR="00CE6E0B" w:rsidRDefault="00CE6E0B" w:rsidP="0031289D">
            <w:pPr>
              <w:bidi/>
              <w:spacing w:line="280" w:lineRule="exact"/>
              <w:rPr>
                <w:rFonts w:ascii="Arabic Typesetting" w:eastAsia="Arabic Typesetting" w:hAnsi="Arabic Typesetting" w:cs="Arabic Typesetting"/>
                <w:i/>
                <w:iCs/>
                <w:sz w:val="28"/>
                <w:szCs w:val="28"/>
                <w:rtl/>
                <w:lang w:eastAsia="ar-EG" w:bidi="ar-EG"/>
              </w:rPr>
            </w:pPr>
            <w:r w:rsidRPr="00095911">
              <w:rPr>
                <w:rFonts w:ascii="Arabic Typesetting" w:eastAsia="Arabic Typesetting" w:hAnsi="Arabic Typesetting" w:cs="Arabic Typesetting"/>
                <w:i/>
                <w:iCs/>
                <w:sz w:val="28"/>
                <w:szCs w:val="28"/>
                <w:rtl/>
                <w:lang w:eastAsia="ar-EG" w:bidi="ar-EG"/>
              </w:rPr>
              <w:t>الهدف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3AA55EC0" w14:textId="77777777" w:rsidR="00CE6E0B" w:rsidRPr="00095911" w:rsidRDefault="00CE6E0B" w:rsidP="0031289D">
            <w:pPr>
              <w:numPr>
                <w:ilvl w:val="0"/>
                <w:numId w:val="12"/>
              </w:numPr>
              <w:bidi/>
              <w:spacing w:line="280" w:lineRule="exact"/>
              <w:ind w:left="347" w:hanging="34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أفريقيا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%70</w:t>
            </w:r>
            <w:r w:rsidRPr="005C72A2">
              <w:rPr>
                <w:rFonts w:ascii="Arabic Typesetting" w:eastAsia="Arabic Typesetting" w:hAnsi="Arabic Typesetting" w:cs="Arabic Typesetting" w:hint="cs"/>
                <w:sz w:val="28"/>
                <w:szCs w:val="28"/>
                <w:rtl/>
                <w:lang w:eastAsia="ar-EG" w:bidi="ar-EG"/>
              </w:rPr>
              <w:t>)</w:t>
            </w:r>
          </w:p>
          <w:p w14:paraId="7530CCB4" w14:textId="77777777" w:rsidR="00CE6E0B" w:rsidRPr="00095911" w:rsidRDefault="00CE6E0B" w:rsidP="0031289D">
            <w:pPr>
              <w:numPr>
                <w:ilvl w:val="0"/>
                <w:numId w:val="12"/>
              </w:numPr>
              <w:bidi/>
              <w:spacing w:line="280" w:lineRule="exact"/>
              <w:ind w:left="347" w:hanging="34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المنطقة العربية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%70</w:t>
            </w:r>
            <w:r w:rsidRPr="005C72A2">
              <w:rPr>
                <w:rFonts w:ascii="Arabic Typesetting" w:eastAsia="Arabic Typesetting" w:hAnsi="Arabic Typesetting" w:cs="Arabic Typesetting" w:hint="cs"/>
                <w:sz w:val="28"/>
                <w:szCs w:val="28"/>
                <w:rtl/>
                <w:lang w:eastAsia="ar-EG" w:bidi="ar-EG"/>
              </w:rPr>
              <w:t>)</w:t>
            </w:r>
          </w:p>
          <w:p w14:paraId="6C2A173D" w14:textId="77777777" w:rsidR="00CE6E0B" w:rsidRPr="00095911" w:rsidRDefault="00CE6E0B" w:rsidP="0031289D">
            <w:pPr>
              <w:numPr>
                <w:ilvl w:val="0"/>
                <w:numId w:val="12"/>
              </w:numPr>
              <w:bidi/>
              <w:spacing w:line="280" w:lineRule="exact"/>
              <w:ind w:left="347" w:hanging="34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آسيا والمحيط الهادئ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%70</w:t>
            </w:r>
            <w:r w:rsidRPr="005C72A2">
              <w:rPr>
                <w:rFonts w:ascii="Arabic Typesetting" w:eastAsia="Arabic Typesetting" w:hAnsi="Arabic Typesetting" w:cs="Arabic Typesetting" w:hint="cs"/>
                <w:sz w:val="28"/>
                <w:szCs w:val="28"/>
                <w:rtl/>
                <w:lang w:eastAsia="ar-EG" w:bidi="ar-EG"/>
              </w:rPr>
              <w:t>)</w:t>
            </w:r>
          </w:p>
          <w:p w14:paraId="25CA771F" w14:textId="77777777" w:rsidR="00CE6E0B" w:rsidRPr="00095911" w:rsidRDefault="00CE6E0B" w:rsidP="0031289D">
            <w:pPr>
              <w:numPr>
                <w:ilvl w:val="0"/>
                <w:numId w:val="12"/>
              </w:numPr>
              <w:bidi/>
              <w:spacing w:line="280" w:lineRule="exact"/>
              <w:ind w:left="347" w:hanging="34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أمريكا اللاتينية والكاريبي </w:t>
            </w:r>
            <w:r>
              <w:rPr>
                <w:rFonts w:ascii="Arabic Typesetting" w:eastAsia="Arabic Typesetting" w:hAnsi="Arabic Typesetting" w:cs="Arabic Typesetting" w:hint="cs"/>
                <w:sz w:val="28"/>
                <w:szCs w:val="28"/>
                <w:rtl/>
                <w:lang w:eastAsia="ar-EG" w:bidi="ar-EG"/>
              </w:rPr>
              <w:t>(</w:t>
            </w:r>
            <w:r>
              <w:rPr>
                <w:rFonts w:ascii="Arabic Typesetting" w:eastAsia="Arabic Typesetting" w:hAnsi="Arabic Typesetting" w:cs="Arabic Typesetting"/>
                <w:sz w:val="28"/>
                <w:szCs w:val="28"/>
                <w:lang w:eastAsia="ar-EG" w:bidi="ar-EG"/>
              </w:rPr>
              <w:t>%85</w:t>
            </w:r>
            <w:r>
              <w:rPr>
                <w:rFonts w:ascii="Arabic Typesetting" w:eastAsia="Arabic Typesetting" w:hAnsi="Arabic Typesetting" w:cs="Arabic Typesetting" w:hint="cs"/>
                <w:sz w:val="28"/>
                <w:szCs w:val="28"/>
                <w:rtl/>
                <w:lang w:eastAsia="ar-EG" w:bidi="ar-EG"/>
              </w:rPr>
              <w:t>)</w:t>
            </w:r>
          </w:p>
          <w:p w14:paraId="6348B2C2" w14:textId="77777777" w:rsidR="00CE6E0B" w:rsidRPr="00095911" w:rsidRDefault="00CE6E0B" w:rsidP="0031289D">
            <w:pPr>
              <w:numPr>
                <w:ilvl w:val="0"/>
                <w:numId w:val="12"/>
              </w:numPr>
              <w:bidi/>
              <w:spacing w:line="280" w:lineRule="exact"/>
              <w:ind w:left="347" w:hanging="347"/>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البلدان الأقل نموا</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%70</w:t>
            </w:r>
            <w:r w:rsidRPr="005C72A2">
              <w:rPr>
                <w:rFonts w:ascii="Arabic Typesetting" w:eastAsia="Arabic Typesetting" w:hAnsi="Arabic Typesetting" w:cs="Arabic Typesetting" w:hint="cs"/>
                <w:sz w:val="28"/>
                <w:szCs w:val="28"/>
                <w:rtl/>
                <w:lang w:eastAsia="ar-EG" w:bidi="ar-EG"/>
              </w:rPr>
              <w:t>)</w:t>
            </w:r>
          </w:p>
        </w:tc>
        <w:tc>
          <w:tcPr>
            <w:tcW w:w="1227" w:type="pct"/>
            <w:shd w:val="clear" w:color="auto" w:fill="FFFFFF"/>
            <w:tcMar>
              <w:top w:w="110" w:type="dxa"/>
              <w:left w:w="58" w:type="dxa"/>
              <w:right w:w="58" w:type="dxa"/>
            </w:tcMar>
          </w:tcPr>
          <w:p w14:paraId="76FE95CA" w14:textId="1D98BB8F" w:rsidR="00CE6E0B" w:rsidRDefault="00CE6E0B" w:rsidP="003E33F1">
            <w:pPr>
              <w:bidi/>
              <w:spacing w:before="300" w:after="120" w:line="280" w:lineRule="exact"/>
              <w:rPr>
                <w:rFonts w:ascii="Arabic Typesetting" w:eastAsia="Arabic Typesetting" w:hAnsi="Arabic Typesetting" w:cs="Arabic Typesetting"/>
                <w:color w:val="000000"/>
                <w:sz w:val="28"/>
                <w:szCs w:val="28"/>
                <w:rtl/>
                <w:lang w:eastAsia="ar-EG" w:bidi="ar-EG"/>
              </w:rPr>
            </w:pPr>
            <w:r w:rsidRPr="00095911">
              <w:rPr>
                <w:rFonts w:ascii="Arabic Typesetting" w:eastAsia="Arabic Typesetting" w:hAnsi="Arabic Typesetting" w:cs="Arabic Typesetting"/>
                <w:color w:val="000000"/>
                <w:sz w:val="28"/>
                <w:szCs w:val="28"/>
                <w:rtl/>
                <w:lang w:eastAsia="ar-EG" w:bidi="ar-EG"/>
              </w:rPr>
              <w:t xml:space="preserve">أفريقيا </w:t>
            </w:r>
            <w:r w:rsidR="003E33F1">
              <w:rPr>
                <w:rFonts w:ascii="Arabic Typesetting" w:eastAsia="Arabic Typesetting" w:hAnsi="Arabic Typesetting" w:cs="Arabic Typesetting" w:hint="cs"/>
                <w:color w:val="000000"/>
                <w:sz w:val="28"/>
                <w:szCs w:val="28"/>
                <w:rtl/>
                <w:lang w:eastAsia="ar-EG" w:bidi="ar-EG"/>
              </w:rPr>
              <w:t>(لا تتوفر إلا بيانات جزئية)</w:t>
            </w:r>
          </w:p>
          <w:p w14:paraId="1FC55401" w14:textId="5003DC81" w:rsidR="00CE6E0B" w:rsidRDefault="003E33F1" w:rsidP="003E33F1">
            <w:pPr>
              <w:bidi/>
              <w:spacing w:after="360"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المنطقة</w:t>
            </w:r>
            <w:r>
              <w:rPr>
                <w:rFonts w:ascii="Arabic Typesetting" w:eastAsia="Arabic Typesetting" w:hAnsi="Arabic Typesetting" w:cs="Arabic Typesetting"/>
                <w:color w:val="000000"/>
                <w:sz w:val="28"/>
                <w:szCs w:val="28"/>
                <w:rtl/>
                <w:lang w:eastAsia="ar-EG" w:bidi="ar-EG"/>
              </w:rPr>
              <w:t xml:space="preserve"> العربية</w:t>
            </w:r>
            <w:r>
              <w:rPr>
                <w:rFonts w:ascii="Arabic Typesetting" w:eastAsia="Arabic Typesetting" w:hAnsi="Arabic Typesetting" w:cs="Arabic Typesetting" w:hint="cs"/>
                <w:color w:val="000000"/>
                <w:sz w:val="28"/>
                <w:szCs w:val="28"/>
                <w:rtl/>
                <w:lang w:eastAsia="ar-EG" w:bidi="ar-EG"/>
              </w:rPr>
              <w:t xml:space="preserve"> (لا تتوفر إلا</w:t>
            </w:r>
            <w:r w:rsidR="00DF47AF">
              <w:rPr>
                <w:rFonts w:ascii="Arabic Typesetting" w:eastAsia="Arabic Typesetting" w:hAnsi="Arabic Typesetting" w:cs="Arabic Typesetting" w:hint="eastAsia"/>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بيانات</w:t>
            </w:r>
            <w:r>
              <w:rPr>
                <w:rFonts w:ascii="Arabic Typesetting" w:eastAsia="Arabic Typesetting" w:hAnsi="Arabic Typesetting" w:cs="Arabic Typesetting" w:hint="eastAsia"/>
                <w:color w:val="000000"/>
                <w:sz w:val="28"/>
                <w:szCs w:val="28"/>
                <w:rtl/>
                <w:lang w:eastAsia="ar-EG" w:bidi="ar-EG"/>
              </w:rPr>
              <w:t> </w:t>
            </w:r>
            <w:r>
              <w:rPr>
                <w:rFonts w:ascii="Arabic Typesetting" w:eastAsia="Arabic Typesetting" w:hAnsi="Arabic Typesetting" w:cs="Arabic Typesetting" w:hint="cs"/>
                <w:color w:val="000000"/>
                <w:sz w:val="28"/>
                <w:szCs w:val="28"/>
                <w:rtl/>
                <w:lang w:eastAsia="ar-EG" w:bidi="ar-EG"/>
              </w:rPr>
              <w:t>جزئية)</w:t>
            </w:r>
          </w:p>
          <w:p w14:paraId="70347A4F" w14:textId="77777777" w:rsidR="00CE6E0B" w:rsidRDefault="00CE6E0B" w:rsidP="0031289D">
            <w:pPr>
              <w:bidi/>
              <w:spacing w:after="440" w:line="280" w:lineRule="exact"/>
              <w:rPr>
                <w:rFonts w:ascii="Arabic Typesetting" w:eastAsia="Arabic Typesetting" w:hAnsi="Arabic Typesetting" w:cs="Arabic Typesetting"/>
                <w:color w:val="000000"/>
                <w:sz w:val="28"/>
                <w:szCs w:val="28"/>
                <w:rtl/>
                <w:lang w:eastAsia="ar-EG" w:bidi="ar-EG"/>
              </w:rPr>
            </w:pPr>
            <w:r w:rsidRPr="00095911">
              <w:rPr>
                <w:rFonts w:ascii="Arabic Typesetting" w:eastAsia="Arabic Typesetting" w:hAnsi="Arabic Typesetting" w:cs="Arabic Typesetting"/>
                <w:color w:val="000000"/>
                <w:sz w:val="28"/>
                <w:szCs w:val="28"/>
                <w:rtl/>
                <w:lang w:eastAsia="ar-EG" w:bidi="ar-EG"/>
              </w:rPr>
              <w:t xml:space="preserve">آسيا والمحيط الهادئ </w:t>
            </w:r>
            <w:r>
              <w:rPr>
                <w:rFonts w:ascii="Arabic Typesetting" w:eastAsia="Arabic Typesetting" w:hAnsi="Arabic Typesetting" w:cs="Arabic Typesetting" w:hint="cs"/>
                <w:color w:val="000000"/>
                <w:sz w:val="28"/>
                <w:szCs w:val="28"/>
                <w:rtl/>
                <w:lang w:eastAsia="ar-EG" w:bidi="ar-EG"/>
              </w:rPr>
              <w:t>(</w:t>
            </w:r>
            <w:r>
              <w:rPr>
                <w:rFonts w:ascii="Arabic Typesetting" w:eastAsia="Arabic Typesetting" w:hAnsi="Arabic Typesetting" w:cs="Arabic Typesetting"/>
                <w:color w:val="000000"/>
                <w:sz w:val="28"/>
                <w:szCs w:val="28"/>
                <w:lang w:eastAsia="ar-EG" w:bidi="ar-EG"/>
              </w:rPr>
              <w:t>%99</w:t>
            </w:r>
            <w:r>
              <w:rPr>
                <w:rFonts w:ascii="Arabic Typesetting" w:eastAsia="Arabic Typesetting" w:hAnsi="Arabic Typesetting" w:cs="Arabic Typesetting" w:hint="cs"/>
                <w:color w:val="000000"/>
                <w:sz w:val="28"/>
                <w:szCs w:val="28"/>
                <w:rtl/>
                <w:lang w:eastAsia="ar-EG" w:bidi="ar-EG"/>
              </w:rPr>
              <w:t>)</w:t>
            </w:r>
          </w:p>
          <w:p w14:paraId="284521A3" w14:textId="64E11883" w:rsidR="00CE6E0B" w:rsidRDefault="00CE6E0B" w:rsidP="003E33F1">
            <w:pPr>
              <w:bidi/>
              <w:spacing w:after="24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 xml:space="preserve">أمريكا اللاتينية والكاريبي </w:t>
            </w:r>
            <w:r w:rsidR="003E33F1">
              <w:rPr>
                <w:rFonts w:ascii="Arabic Typesetting" w:eastAsia="Arabic Typesetting" w:hAnsi="Arabic Typesetting" w:cs="Arabic Typesetting" w:hint="cs"/>
                <w:color w:val="000000"/>
                <w:sz w:val="28"/>
                <w:szCs w:val="28"/>
                <w:rtl/>
                <w:lang w:eastAsia="ar-EG" w:bidi="ar-EG"/>
              </w:rPr>
              <w:t>(لا</w:t>
            </w:r>
            <w:r w:rsidR="00DF47AF">
              <w:rPr>
                <w:rFonts w:ascii="Arabic Typesetting" w:eastAsia="Arabic Typesetting" w:hAnsi="Arabic Typesetting" w:cs="Arabic Typesetting" w:hint="eastAsia"/>
                <w:color w:val="000000"/>
                <w:sz w:val="28"/>
                <w:szCs w:val="28"/>
                <w:rtl/>
                <w:lang w:eastAsia="ar-EG" w:bidi="ar-EG"/>
              </w:rPr>
              <w:t xml:space="preserve"> </w:t>
            </w:r>
            <w:r w:rsidR="003E33F1">
              <w:rPr>
                <w:rFonts w:ascii="Arabic Typesetting" w:eastAsia="Arabic Typesetting" w:hAnsi="Arabic Typesetting" w:cs="Arabic Typesetting" w:hint="cs"/>
                <w:color w:val="000000"/>
                <w:sz w:val="28"/>
                <w:szCs w:val="28"/>
                <w:rtl/>
                <w:lang w:eastAsia="ar-EG" w:bidi="ar-EG"/>
              </w:rPr>
              <w:t>تتوفر</w:t>
            </w:r>
            <w:r w:rsidR="003E33F1">
              <w:rPr>
                <w:rFonts w:ascii="Arabic Typesetting" w:eastAsia="Arabic Typesetting" w:hAnsi="Arabic Typesetting" w:cs="Arabic Typesetting" w:hint="eastAsia"/>
                <w:color w:val="000000"/>
                <w:sz w:val="28"/>
                <w:szCs w:val="28"/>
                <w:rtl/>
                <w:lang w:eastAsia="ar-EG" w:bidi="ar-EG"/>
              </w:rPr>
              <w:t> </w:t>
            </w:r>
            <w:r w:rsidR="003E33F1">
              <w:rPr>
                <w:rFonts w:ascii="Arabic Typesetting" w:eastAsia="Arabic Typesetting" w:hAnsi="Arabic Typesetting" w:cs="Arabic Typesetting" w:hint="cs"/>
                <w:color w:val="000000"/>
                <w:sz w:val="28"/>
                <w:szCs w:val="28"/>
                <w:rtl/>
                <w:lang w:eastAsia="ar-EG" w:bidi="ar-EG"/>
              </w:rPr>
              <w:t>إلا بيانات جزئية)</w:t>
            </w:r>
          </w:p>
          <w:p w14:paraId="7F282448" w14:textId="445AEFA0" w:rsidR="00CE6E0B" w:rsidRPr="00095911" w:rsidRDefault="00CE6E0B" w:rsidP="003E33F1">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البلدان الأقل نموا</w:t>
            </w:r>
            <w:r>
              <w:rPr>
                <w:rFonts w:ascii="Arabic Typesetting" w:eastAsia="Arabic Typesetting" w:hAnsi="Arabic Typesetting" w:cs="Arabic Typesetting" w:hint="cs"/>
                <w:color w:val="000000"/>
                <w:sz w:val="28"/>
                <w:szCs w:val="28"/>
                <w:rtl/>
                <w:lang w:eastAsia="ar-EG" w:bidi="ar-EG"/>
              </w:rPr>
              <w:t xml:space="preserve">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95</w:t>
            </w:r>
            <w:r w:rsidRPr="005C72A2">
              <w:rPr>
                <w:rFonts w:ascii="Arabic Typesetting" w:eastAsia="Arabic Typesetting" w:hAnsi="Arabic Typesetting" w:cs="Arabic Typesetting" w:hint="cs"/>
                <w:sz w:val="28"/>
                <w:szCs w:val="28"/>
                <w:rtl/>
                <w:lang w:eastAsia="ar-EG" w:bidi="ar-EG"/>
              </w:rPr>
              <w:t>)</w:t>
            </w:r>
          </w:p>
        </w:tc>
        <w:tc>
          <w:tcPr>
            <w:tcW w:w="388" w:type="pct"/>
            <w:shd w:val="clear" w:color="auto" w:fill="auto"/>
            <w:tcMar>
              <w:top w:w="110" w:type="dxa"/>
              <w:left w:w="58" w:type="dxa"/>
              <w:right w:w="58" w:type="dxa"/>
            </w:tcMar>
          </w:tcPr>
          <w:p w14:paraId="78BA8B73" w14:textId="2690A8C4" w:rsidR="003E33F1" w:rsidRDefault="003E33F1" w:rsidP="003E33F1">
            <w:pPr>
              <w:bidi/>
              <w:spacing w:after="120" w:line="280" w:lineRule="exact"/>
              <w:jc w:val="center"/>
              <w:rPr>
                <w:rFonts w:ascii="Arabic Typesetting" w:eastAsia="Arabic Typesetting" w:hAnsi="Arabic Typesetting" w:cs="Arabic Typesetting"/>
                <w:b/>
                <w:bCs/>
                <w:color w:val="00B050"/>
                <w:sz w:val="28"/>
                <w:szCs w:val="28"/>
                <w:rtl/>
                <w:lang w:eastAsia="ar-EG" w:bidi="ar-EG"/>
              </w:rPr>
            </w:pPr>
            <w:r w:rsidRPr="00095911">
              <w:rPr>
                <w:rFonts w:ascii="Arabic Typesetting" w:eastAsia="Arabic Typesetting" w:hAnsi="Arabic Typesetting" w:cs="Arabic Typesetting"/>
                <w:b/>
                <w:bCs/>
                <w:color w:val="808080"/>
                <w:sz w:val="28"/>
                <w:szCs w:val="28"/>
                <w:rtl/>
                <w:lang w:eastAsia="ar-EG" w:bidi="ar-EG"/>
              </w:rPr>
              <w:t>غير قابل للقياس</w:t>
            </w:r>
          </w:p>
          <w:p w14:paraId="16A7247F" w14:textId="252FE5F1" w:rsidR="003E33F1" w:rsidRDefault="003E33F1" w:rsidP="003E33F1">
            <w:pPr>
              <w:bidi/>
              <w:spacing w:after="360" w:line="280" w:lineRule="exact"/>
              <w:jc w:val="center"/>
              <w:rPr>
                <w:rFonts w:ascii="Arabic Typesetting" w:eastAsia="Arabic Typesetting" w:hAnsi="Arabic Typesetting" w:cs="Arabic Typesetting"/>
                <w:b/>
                <w:bCs/>
                <w:color w:val="00B050"/>
                <w:sz w:val="28"/>
                <w:szCs w:val="28"/>
                <w:rtl/>
                <w:lang w:eastAsia="ar-EG" w:bidi="ar-EG"/>
              </w:rPr>
            </w:pPr>
            <w:r w:rsidRPr="00095911">
              <w:rPr>
                <w:rFonts w:ascii="Arabic Typesetting" w:eastAsia="Arabic Typesetting" w:hAnsi="Arabic Typesetting" w:cs="Arabic Typesetting"/>
                <w:b/>
                <w:bCs/>
                <w:color w:val="808080"/>
                <w:sz w:val="28"/>
                <w:szCs w:val="28"/>
                <w:rtl/>
                <w:lang w:eastAsia="ar-EG" w:bidi="ar-EG"/>
              </w:rPr>
              <w:t>غير قابل للقياس</w:t>
            </w:r>
          </w:p>
          <w:p w14:paraId="104C69A5" w14:textId="2784A3E7" w:rsidR="00CE6E0B" w:rsidRDefault="00CE6E0B" w:rsidP="003E33F1">
            <w:pPr>
              <w:bidi/>
              <w:spacing w:after="48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5E7D9F74" w14:textId="77777777" w:rsidR="00CE6E0B" w:rsidRDefault="00CE6E0B" w:rsidP="003E33F1">
            <w:pPr>
              <w:bidi/>
              <w:spacing w:after="240" w:line="280" w:lineRule="exact"/>
              <w:jc w:val="center"/>
              <w:rPr>
                <w:rFonts w:ascii="Arabic Typesetting" w:eastAsia="Arabic Typesetting" w:hAnsi="Arabic Typesetting" w:cs="Arabic Typesetting"/>
                <w:b/>
                <w:color w:val="808080"/>
                <w:sz w:val="28"/>
                <w:szCs w:val="28"/>
                <w:lang w:eastAsia="ar-EG" w:bidi="ar-EG"/>
              </w:rPr>
            </w:pPr>
            <w:r w:rsidRPr="00095911">
              <w:rPr>
                <w:rFonts w:ascii="Arabic Typesetting" w:eastAsia="Arabic Typesetting" w:hAnsi="Arabic Typesetting" w:cs="Arabic Typesetting"/>
                <w:b/>
                <w:bCs/>
                <w:color w:val="808080"/>
                <w:sz w:val="28"/>
                <w:szCs w:val="28"/>
                <w:rtl/>
                <w:lang w:eastAsia="ar-EG" w:bidi="ar-EG"/>
              </w:rPr>
              <w:t>‏غير قابل للقياس</w:t>
            </w:r>
          </w:p>
          <w:p w14:paraId="145B0E0B" w14:textId="77777777" w:rsidR="00CE6E0B" w:rsidRPr="005C72A2"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tc>
      </w:tr>
      <w:tr w:rsidR="00CE6E0B" w:rsidRPr="00095911" w14:paraId="588AB36C" w14:textId="77777777" w:rsidTr="009C2128">
        <w:trPr>
          <w:trHeight w:val="705"/>
        </w:trPr>
        <w:tc>
          <w:tcPr>
            <w:tcW w:w="1083" w:type="pct"/>
            <w:shd w:val="clear" w:color="auto" w:fill="auto"/>
            <w:tcMar>
              <w:left w:w="58" w:type="dxa"/>
              <w:right w:w="58" w:type="dxa"/>
            </w:tcMar>
          </w:tcPr>
          <w:p w14:paraId="391432F9"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lastRenderedPageBreak/>
              <w:t>النسبة المئوية للمشاركين في حلقات عمل الويبو الذين يطبّقون المهارات المكتسبة في عملهم أو مؤسساتهم</w:t>
            </w:r>
          </w:p>
        </w:tc>
        <w:tc>
          <w:tcPr>
            <w:tcW w:w="1453" w:type="pct"/>
            <w:shd w:val="clear" w:color="auto" w:fill="auto"/>
            <w:tcMar>
              <w:left w:w="58" w:type="dxa"/>
              <w:right w:w="58" w:type="dxa"/>
            </w:tcMar>
          </w:tcPr>
          <w:p w14:paraId="56F44742"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rtl/>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color w:val="002060"/>
                <w:sz w:val="28"/>
                <w:szCs w:val="28"/>
                <w:rtl/>
                <w:lang w:eastAsia="ar-EG" w:bidi="ar-EG"/>
              </w:rPr>
              <w:t>أفريقيا</w:t>
            </w:r>
            <w:r>
              <w:rPr>
                <w:rFonts w:ascii="Arabic Typesetting" w:eastAsia="Arabic Typesetting" w:hAnsi="Arabic Typesetting" w:cs="Arabic Typesetting" w:hint="cs"/>
                <w:color w:val="002060"/>
                <w:sz w:val="28"/>
                <w:szCs w:val="28"/>
                <w:rtl/>
                <w:lang w:eastAsia="ar-EG" w:bidi="ar-EG"/>
              </w:rPr>
              <w:t xml:space="preserve"> (</w:t>
            </w:r>
            <w:r>
              <w:rPr>
                <w:rFonts w:ascii="Arabic Typesetting" w:eastAsia="Arabic Typesetting" w:hAnsi="Arabic Typesetting" w:cs="Arabic Typesetting"/>
                <w:color w:val="002060"/>
                <w:sz w:val="28"/>
                <w:szCs w:val="28"/>
                <w:lang w:eastAsia="ar-EG" w:bidi="ar-EG"/>
              </w:rPr>
              <w:t>%70</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المنطقة العربية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غير متاح</w:t>
            </w:r>
            <w:r w:rsidRPr="00095911">
              <w:rPr>
                <w:rFonts w:ascii="Arabic Typesetting" w:eastAsia="Arabic Typesetting" w:hAnsi="Arabic Typesetting" w:cs="Arabic Typesetting"/>
                <w:b/>
                <w:color w:val="002060"/>
                <w:sz w:val="28"/>
                <w:szCs w:val="28"/>
                <w:vertAlign w:val="superscript"/>
                <w:lang w:eastAsia="ar-EG" w:bidi="ar-EG"/>
              </w:rPr>
              <w:footnoteReference w:id="48"/>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آسيا والمحيط الهادئ</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Pr>
                <w:rFonts w:ascii="Arabic Typesetting" w:eastAsia="Arabic Typesetting" w:hAnsi="Arabic Typesetting" w:cs="Arabic Typesetting"/>
                <w:color w:val="002060"/>
                <w:sz w:val="28"/>
                <w:szCs w:val="28"/>
                <w:lang w:eastAsia="ar-EG" w:bidi="ar-EG"/>
              </w:rPr>
              <w:t>%91</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أمريكا اللاتينية والكاريبي</w:t>
            </w:r>
            <w:r>
              <w:rPr>
                <w:rFonts w:ascii="Arabic Typesetting" w:eastAsia="Arabic Typesetting" w:hAnsi="Arabic Typesetting" w:cs="Arabic Typesetting" w:hint="cs"/>
                <w:color w:val="002060"/>
                <w:sz w:val="28"/>
                <w:szCs w:val="28"/>
                <w:rtl/>
                <w:lang w:eastAsia="ar-EG" w:bidi="ar-EG"/>
              </w:rPr>
              <w:t xml:space="preserve"> (</w:t>
            </w:r>
            <w:r>
              <w:rPr>
                <w:rFonts w:ascii="Arabic Typesetting" w:eastAsia="Arabic Typesetting" w:hAnsi="Arabic Typesetting" w:cs="Arabic Typesetting"/>
                <w:color w:val="002060"/>
                <w:sz w:val="28"/>
                <w:szCs w:val="28"/>
                <w:lang w:eastAsia="ar-EG" w:bidi="ar-EG"/>
              </w:rPr>
              <w:t>%90</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البلدان الأقل نموا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Pr>
                <w:rFonts w:ascii="Arabic Typesetting" w:eastAsia="Arabic Typesetting" w:hAnsi="Arabic Typesetting" w:cs="Arabic Typesetting"/>
                <w:color w:val="002060"/>
                <w:sz w:val="28"/>
                <w:szCs w:val="28"/>
                <w:lang w:eastAsia="ar-EG" w:bidi="ar-EG"/>
              </w:rPr>
              <w:t>%90</w:t>
            </w:r>
            <w:r>
              <w:rPr>
                <w:rFonts w:ascii="Arabic Typesetting" w:eastAsia="Arabic Typesetting" w:hAnsi="Arabic Typesetting" w:cs="Arabic Typesetting" w:hint="cs"/>
                <w:color w:val="002060"/>
                <w:sz w:val="28"/>
                <w:szCs w:val="28"/>
                <w:rtl/>
                <w:lang w:eastAsia="ar-EG" w:bidi="ar-EG"/>
              </w:rPr>
              <w:t>)</w:t>
            </w:r>
          </w:p>
          <w:p w14:paraId="745E8FC8" w14:textId="77777777" w:rsidR="00CE6E0B" w:rsidRPr="005C72A2" w:rsidRDefault="00CE6E0B" w:rsidP="0031289D">
            <w:pPr>
              <w:bidi/>
              <w:spacing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6ABEDF91"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(70%)</w:t>
            </w:r>
          </w:p>
          <w:p w14:paraId="3793BDE1"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(غير متاحة في عام 2014؛ سيُنفذ النظام في عام 2015)</w:t>
            </w:r>
          </w:p>
          <w:p w14:paraId="39E83269" w14:textId="77777777" w:rsidR="00CE6E0B"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آسيا والمحيط الهادئ </w:t>
            </w:r>
            <w:r>
              <w:rPr>
                <w:rFonts w:ascii="Arabic Typesetting" w:eastAsia="Arabic Typesetting" w:hAnsi="Arabic Typesetting" w:cs="Arabic Typesetting" w:hint="cs"/>
                <w:sz w:val="28"/>
                <w:szCs w:val="28"/>
                <w:rtl/>
                <w:lang w:eastAsia="ar-EG" w:bidi="ar-EG"/>
              </w:rPr>
              <w:t>(</w:t>
            </w:r>
            <w:r>
              <w:rPr>
                <w:rFonts w:ascii="Arabic Typesetting" w:eastAsia="Arabic Typesetting" w:hAnsi="Arabic Typesetting" w:cs="Arabic Typesetting"/>
                <w:sz w:val="28"/>
                <w:szCs w:val="28"/>
                <w:lang w:eastAsia="ar-EG" w:bidi="ar-EG"/>
              </w:rPr>
              <w:t>%89</w:t>
            </w:r>
            <w:r>
              <w:rPr>
                <w:rFonts w:ascii="Arabic Typesetting" w:eastAsia="Arabic Typesetting" w:hAnsi="Arabic Typesetting" w:cs="Arabic Typesetting" w:hint="cs"/>
                <w:sz w:val="28"/>
                <w:szCs w:val="28"/>
                <w:rtl/>
                <w:lang w:eastAsia="ar-EG" w:bidi="ar-EG"/>
              </w:rPr>
              <w:t>)</w:t>
            </w:r>
          </w:p>
          <w:p w14:paraId="1BE2BF89" w14:textId="77777777" w:rsidR="00CE6E0B"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5C72A2">
              <w:rPr>
                <w:rFonts w:ascii="Arabic Typesetting" w:eastAsia="Arabic Typesetting" w:hAnsi="Arabic Typesetting" w:cs="Arabic Typesetting"/>
                <w:sz w:val="28"/>
                <w:szCs w:val="28"/>
                <w:rtl/>
                <w:lang w:eastAsia="ar-EG" w:bidi="ar-EG"/>
              </w:rPr>
              <w:t>أمريكا اللاتينية والكاريبي</w:t>
            </w:r>
          </w:p>
          <w:p w14:paraId="64DAB8FE" w14:textId="77777777" w:rsidR="00CE6E0B" w:rsidRPr="005C72A2" w:rsidRDefault="00CE6E0B" w:rsidP="0031289D">
            <w:pPr>
              <w:bidi/>
              <w:spacing w:line="280" w:lineRule="exact"/>
              <w:ind w:left="219"/>
              <w:rPr>
                <w:rFonts w:ascii="Arabic Typesetting" w:eastAsia="Arabic Typesetting" w:hAnsi="Arabic Typesetting" w:cs="Arabic Typesetting"/>
                <w:sz w:val="28"/>
                <w:szCs w:val="28"/>
                <w:lang w:eastAsia="ar-EG" w:bidi="ar-EG"/>
              </w:rPr>
            </w:pPr>
            <w:r w:rsidRPr="005C72A2">
              <w:rPr>
                <w:rFonts w:ascii="Arabic Typesetting" w:eastAsia="Arabic Typesetting" w:hAnsi="Arabic Typesetting" w:cs="Arabic Typesetting"/>
                <w:sz w:val="28"/>
                <w:szCs w:val="28"/>
                <w:rtl/>
                <w:lang w:eastAsia="ar-EG" w:bidi="ar-EG"/>
              </w:rPr>
              <w:t>(غير متاحة في عام 2014؛ سيُنفذ</w:t>
            </w:r>
            <w:r>
              <w:rPr>
                <w:rFonts w:ascii="Arabic Typesetting" w:eastAsia="Arabic Typesetting" w:hAnsi="Arabic Typesetting" w:cs="Arabic Typesetting" w:hint="cs"/>
                <w:sz w:val="28"/>
                <w:szCs w:val="28"/>
                <w:rtl/>
                <w:lang w:eastAsia="ar-EG" w:bidi="ar-EG"/>
              </w:rPr>
              <w:t> </w:t>
            </w:r>
            <w:r w:rsidRPr="005C72A2">
              <w:rPr>
                <w:rFonts w:ascii="Arabic Typesetting" w:eastAsia="Arabic Typesetting" w:hAnsi="Arabic Typesetting" w:cs="Arabic Typesetting"/>
                <w:sz w:val="28"/>
                <w:szCs w:val="28"/>
                <w:rtl/>
                <w:lang w:eastAsia="ar-EG" w:bidi="ar-EG"/>
              </w:rPr>
              <w:t>النظام في عام</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2015)</w:t>
            </w:r>
          </w:p>
          <w:p w14:paraId="35F7DA64"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البلدان الأقل نموا</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Pr>
                <w:rFonts w:ascii="Arabic Typesetting" w:eastAsia="Arabic Typesetting" w:hAnsi="Arabic Typesetting" w:cs="Arabic Typesetting"/>
                <w:sz w:val="28"/>
                <w:szCs w:val="28"/>
                <w:lang w:eastAsia="ar-EG" w:bidi="ar-EG"/>
              </w:rPr>
              <w:t>%95</w:t>
            </w:r>
            <w:r>
              <w:rPr>
                <w:rFonts w:ascii="Arabic Typesetting" w:eastAsia="Arabic Typesetting" w:hAnsi="Arabic Typesetting" w:cs="Arabic Typesetting" w:hint="cs"/>
                <w:sz w:val="28"/>
                <w:szCs w:val="28"/>
                <w:rtl/>
                <w:lang w:eastAsia="ar-EG" w:bidi="ar-EG"/>
              </w:rPr>
              <w:t>)</w:t>
            </w:r>
          </w:p>
        </w:tc>
        <w:tc>
          <w:tcPr>
            <w:tcW w:w="849" w:type="pct"/>
            <w:shd w:val="clear" w:color="auto" w:fill="auto"/>
            <w:tcMar>
              <w:top w:w="110" w:type="dxa"/>
              <w:left w:w="58" w:type="dxa"/>
              <w:right w:w="58" w:type="dxa"/>
            </w:tcMar>
          </w:tcPr>
          <w:p w14:paraId="0081FA4F" w14:textId="77777777" w:rsidR="00CE6E0B" w:rsidRDefault="00CE6E0B" w:rsidP="0031289D">
            <w:pPr>
              <w:bidi/>
              <w:spacing w:line="280" w:lineRule="exact"/>
              <w:rPr>
                <w:rFonts w:ascii="Arabic Typesetting" w:eastAsia="Arabic Typesetting" w:hAnsi="Arabic Typesetting" w:cs="Arabic Typesetting"/>
                <w:i/>
                <w:iCs/>
                <w:color w:val="002060"/>
                <w:sz w:val="28"/>
                <w:szCs w:val="28"/>
                <w:rtl/>
                <w:lang w:eastAsia="ar-EG" w:bidi="ar-EG"/>
              </w:rPr>
            </w:pPr>
            <w:r w:rsidRPr="0009591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p>
          <w:p w14:paraId="156C6339"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أفريقيا </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%70</w:t>
            </w:r>
            <w:r>
              <w:rPr>
                <w:rFonts w:ascii="Arabic Typesetting" w:eastAsia="Arabic Typesetting" w:hAnsi="Arabic Typesetting" w:cs="Arabic Typesetting" w:hint="cs"/>
                <w:color w:val="002060"/>
                <w:sz w:val="28"/>
                <w:szCs w:val="28"/>
                <w:rtl/>
                <w:lang w:eastAsia="ar-EG" w:bidi="ar-EG"/>
              </w:rPr>
              <w:t>)</w:t>
            </w:r>
          </w:p>
          <w:p w14:paraId="7A272FDC"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المنطقة العربية </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%50</w:t>
            </w:r>
            <w:r>
              <w:rPr>
                <w:rFonts w:ascii="Arabic Typesetting" w:eastAsia="Arabic Typesetting" w:hAnsi="Arabic Typesetting" w:cs="Arabic Typesetting" w:hint="cs"/>
                <w:color w:val="002060"/>
                <w:sz w:val="28"/>
                <w:szCs w:val="28"/>
                <w:rtl/>
                <w:lang w:eastAsia="ar-EG" w:bidi="ar-EG"/>
              </w:rPr>
              <w:t>)</w:t>
            </w:r>
          </w:p>
          <w:p w14:paraId="4C64126E"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آسيا والمحيط الهادئ </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%91</w:t>
            </w:r>
            <w:r>
              <w:rPr>
                <w:rFonts w:ascii="Arabic Typesetting" w:eastAsia="Arabic Typesetting" w:hAnsi="Arabic Typesetting" w:cs="Arabic Typesetting" w:hint="cs"/>
                <w:color w:val="002060"/>
                <w:sz w:val="28"/>
                <w:szCs w:val="28"/>
                <w:rtl/>
                <w:lang w:eastAsia="ar-EG" w:bidi="ar-EG"/>
              </w:rPr>
              <w:t>)</w:t>
            </w:r>
          </w:p>
          <w:p w14:paraId="3623DFCD"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أمريكا اللاتينية والكاريبي </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%90</w:t>
            </w:r>
            <w:r>
              <w:rPr>
                <w:rFonts w:ascii="Arabic Typesetting" w:eastAsia="Arabic Typesetting" w:hAnsi="Arabic Typesetting" w:cs="Arabic Typesetting" w:hint="cs"/>
                <w:color w:val="002060"/>
                <w:sz w:val="28"/>
                <w:szCs w:val="28"/>
                <w:rtl/>
                <w:lang w:eastAsia="ar-EG" w:bidi="ar-EG"/>
              </w:rPr>
              <w:t>)</w:t>
            </w:r>
          </w:p>
          <w:p w14:paraId="194D8D26" w14:textId="77777777" w:rsidR="00CE6E0B" w:rsidRDefault="00CE6E0B" w:rsidP="0031289D">
            <w:pPr>
              <w:numPr>
                <w:ilvl w:val="0"/>
                <w:numId w:val="12"/>
              </w:numPr>
              <w:bidi/>
              <w:spacing w:after="120"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البلدان الأقل نموا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Pr>
                <w:rFonts w:ascii="Arabic Typesetting" w:eastAsia="Arabic Typesetting" w:hAnsi="Arabic Typesetting" w:cs="Arabic Typesetting"/>
                <w:color w:val="002060"/>
                <w:sz w:val="28"/>
                <w:szCs w:val="28"/>
                <w:lang w:eastAsia="ar-EG" w:bidi="ar-EG"/>
              </w:rPr>
              <w:t>%90</w:t>
            </w:r>
            <w:r>
              <w:rPr>
                <w:rFonts w:ascii="Arabic Typesetting" w:eastAsia="Arabic Typesetting" w:hAnsi="Arabic Typesetting" w:cs="Arabic Typesetting" w:hint="cs"/>
                <w:color w:val="002060"/>
                <w:sz w:val="28"/>
                <w:szCs w:val="28"/>
                <w:rtl/>
                <w:lang w:eastAsia="ar-EG" w:bidi="ar-EG"/>
              </w:rPr>
              <w:t>)</w:t>
            </w:r>
          </w:p>
          <w:p w14:paraId="4F2C9DD5" w14:textId="77777777" w:rsidR="00CE6E0B" w:rsidRDefault="00CE6E0B" w:rsidP="0031289D">
            <w:pPr>
              <w:bidi/>
              <w:spacing w:line="280" w:lineRule="exact"/>
              <w:rPr>
                <w:rFonts w:ascii="Arabic Typesetting" w:eastAsia="Arabic Typesetting" w:hAnsi="Arabic Typesetting" w:cs="Arabic Typesetting"/>
                <w:i/>
                <w:iCs/>
                <w:sz w:val="28"/>
                <w:szCs w:val="28"/>
                <w:rtl/>
                <w:lang w:eastAsia="ar-EG" w:bidi="ar-EG"/>
              </w:rPr>
            </w:pPr>
            <w:r w:rsidRPr="00095911">
              <w:rPr>
                <w:rFonts w:ascii="Arabic Typesetting" w:eastAsia="Arabic Typesetting" w:hAnsi="Arabic Typesetting" w:cs="Arabic Typesetting"/>
                <w:i/>
                <w:iCs/>
                <w:sz w:val="28"/>
                <w:szCs w:val="28"/>
                <w:rtl/>
                <w:lang w:eastAsia="ar-EG" w:bidi="ar-EG"/>
              </w:rPr>
              <w:t>الهدف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7DAFC29A"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أفريقيا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%70</w:t>
            </w:r>
            <w:r w:rsidRPr="005C72A2">
              <w:rPr>
                <w:rFonts w:ascii="Arabic Typesetting" w:eastAsia="Arabic Typesetting" w:hAnsi="Arabic Typesetting" w:cs="Arabic Typesetting" w:hint="cs"/>
                <w:sz w:val="28"/>
                <w:szCs w:val="28"/>
                <w:rtl/>
                <w:lang w:eastAsia="ar-EG" w:bidi="ar-EG"/>
              </w:rPr>
              <w:t>)</w:t>
            </w:r>
          </w:p>
          <w:p w14:paraId="5AC9800F"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المنطقة العربية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5</w:t>
            </w:r>
            <w:r w:rsidRPr="005C72A2">
              <w:rPr>
                <w:rFonts w:ascii="Arabic Typesetting" w:eastAsia="Arabic Typesetting" w:hAnsi="Arabic Typesetting" w:cs="Arabic Typesetting"/>
                <w:sz w:val="28"/>
                <w:szCs w:val="28"/>
                <w:lang w:eastAsia="ar-EG" w:bidi="ar-EG"/>
              </w:rPr>
              <w:t>0</w:t>
            </w:r>
            <w:r w:rsidRPr="005C72A2">
              <w:rPr>
                <w:rFonts w:ascii="Arabic Typesetting" w:eastAsia="Arabic Typesetting" w:hAnsi="Arabic Typesetting" w:cs="Arabic Typesetting" w:hint="cs"/>
                <w:sz w:val="28"/>
                <w:szCs w:val="28"/>
                <w:rtl/>
                <w:lang w:eastAsia="ar-EG" w:bidi="ar-EG"/>
              </w:rPr>
              <w:t>)</w:t>
            </w:r>
          </w:p>
          <w:p w14:paraId="7F42B1DC" w14:textId="77777777" w:rsidR="00CE6E0B"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آسيا والمحيط الهادئ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%70</w:t>
            </w:r>
            <w:r w:rsidRPr="005C72A2">
              <w:rPr>
                <w:rFonts w:ascii="Arabic Typesetting" w:eastAsia="Arabic Typesetting" w:hAnsi="Arabic Typesetting" w:cs="Arabic Typesetting" w:hint="cs"/>
                <w:sz w:val="28"/>
                <w:szCs w:val="28"/>
                <w:rtl/>
                <w:lang w:eastAsia="ar-EG" w:bidi="ar-EG"/>
              </w:rPr>
              <w:t>)</w:t>
            </w:r>
          </w:p>
          <w:p w14:paraId="3CAE5323"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أمريكا اللاتينية والكاريبي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45</w:t>
            </w:r>
            <w:r w:rsidRPr="005C72A2">
              <w:rPr>
                <w:rFonts w:ascii="Arabic Typesetting" w:eastAsia="Arabic Typesetting" w:hAnsi="Arabic Typesetting" w:cs="Arabic Typesetting" w:hint="cs"/>
                <w:sz w:val="28"/>
                <w:szCs w:val="28"/>
                <w:rtl/>
                <w:lang w:eastAsia="ar-EG" w:bidi="ar-EG"/>
              </w:rPr>
              <w:t>)</w:t>
            </w:r>
          </w:p>
          <w:p w14:paraId="06B83644"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البلدان الأقل نموا</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5</w:t>
            </w:r>
            <w:r w:rsidRPr="005C72A2">
              <w:rPr>
                <w:rFonts w:ascii="Arabic Typesetting" w:eastAsia="Arabic Typesetting" w:hAnsi="Arabic Typesetting" w:cs="Arabic Typesetting"/>
                <w:sz w:val="28"/>
                <w:szCs w:val="28"/>
                <w:lang w:eastAsia="ar-EG" w:bidi="ar-EG"/>
              </w:rPr>
              <w:t>0</w:t>
            </w:r>
            <w:r w:rsidRPr="005C72A2">
              <w:rPr>
                <w:rFonts w:ascii="Arabic Typesetting" w:eastAsia="Arabic Typesetting" w:hAnsi="Arabic Typesetting" w:cs="Arabic Typesetting" w:hint="cs"/>
                <w:sz w:val="28"/>
                <w:szCs w:val="28"/>
                <w:rtl/>
                <w:lang w:eastAsia="ar-EG" w:bidi="ar-EG"/>
              </w:rPr>
              <w:t>)</w:t>
            </w:r>
          </w:p>
        </w:tc>
        <w:tc>
          <w:tcPr>
            <w:tcW w:w="1227" w:type="pct"/>
            <w:shd w:val="clear" w:color="auto" w:fill="FFFFFF"/>
            <w:tcMar>
              <w:top w:w="110" w:type="dxa"/>
              <w:left w:w="58" w:type="dxa"/>
              <w:right w:w="58" w:type="dxa"/>
            </w:tcMar>
          </w:tcPr>
          <w:p w14:paraId="64068C4B" w14:textId="0262B815"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 xml:space="preserve">أفريقيا </w:t>
            </w:r>
            <w:r w:rsidR="003E33F1">
              <w:rPr>
                <w:rFonts w:ascii="Arabic Typesetting" w:eastAsia="Arabic Typesetting" w:hAnsi="Arabic Typesetting" w:cs="Arabic Typesetting" w:hint="cs"/>
                <w:color w:val="000000"/>
                <w:sz w:val="28"/>
                <w:szCs w:val="28"/>
                <w:rtl/>
                <w:lang w:eastAsia="ar-EG" w:bidi="ar-EG"/>
              </w:rPr>
              <w:t>(لا تتوفر إلا</w:t>
            </w:r>
            <w:r w:rsidR="00DF47AF">
              <w:rPr>
                <w:rFonts w:ascii="Arabic Typesetting" w:eastAsia="Arabic Typesetting" w:hAnsi="Arabic Typesetting" w:cs="Arabic Typesetting" w:hint="eastAsia"/>
                <w:color w:val="000000"/>
                <w:sz w:val="28"/>
                <w:szCs w:val="28"/>
                <w:rtl/>
                <w:lang w:eastAsia="ar-EG" w:bidi="ar-EG"/>
              </w:rPr>
              <w:t xml:space="preserve"> </w:t>
            </w:r>
            <w:r w:rsidR="003E33F1">
              <w:rPr>
                <w:rFonts w:ascii="Arabic Typesetting" w:eastAsia="Arabic Typesetting" w:hAnsi="Arabic Typesetting" w:cs="Arabic Typesetting" w:hint="cs"/>
                <w:color w:val="000000"/>
                <w:sz w:val="28"/>
                <w:szCs w:val="28"/>
                <w:rtl/>
                <w:lang w:eastAsia="ar-EG" w:bidi="ar-EG"/>
              </w:rPr>
              <w:t>بيانات</w:t>
            </w:r>
            <w:r w:rsidR="003E33F1">
              <w:rPr>
                <w:rFonts w:ascii="Arabic Typesetting" w:eastAsia="Arabic Typesetting" w:hAnsi="Arabic Typesetting" w:cs="Arabic Typesetting" w:hint="eastAsia"/>
                <w:color w:val="000000"/>
                <w:sz w:val="28"/>
                <w:szCs w:val="28"/>
                <w:rtl/>
                <w:lang w:eastAsia="ar-EG" w:bidi="ar-EG"/>
              </w:rPr>
              <w:t> </w:t>
            </w:r>
            <w:r w:rsidR="003E33F1">
              <w:rPr>
                <w:rFonts w:ascii="Arabic Typesetting" w:eastAsia="Arabic Typesetting" w:hAnsi="Arabic Typesetting" w:cs="Arabic Typesetting" w:hint="cs"/>
                <w:color w:val="000000"/>
                <w:sz w:val="28"/>
                <w:szCs w:val="28"/>
                <w:rtl/>
                <w:lang w:eastAsia="ar-EG" w:bidi="ar-EG"/>
              </w:rPr>
              <w:t>جزئية)</w:t>
            </w:r>
          </w:p>
          <w:p w14:paraId="6A40FEEC" w14:textId="493C91CA"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 xml:space="preserve">المنطقة العربية </w:t>
            </w:r>
            <w:r w:rsidR="003E33F1">
              <w:rPr>
                <w:rFonts w:ascii="Arabic Typesetting" w:eastAsia="Arabic Typesetting" w:hAnsi="Arabic Typesetting" w:cs="Arabic Typesetting" w:hint="cs"/>
                <w:color w:val="000000"/>
                <w:sz w:val="28"/>
                <w:szCs w:val="28"/>
                <w:rtl/>
                <w:lang w:eastAsia="ar-EG" w:bidi="ar-EG"/>
              </w:rPr>
              <w:t>(لا تتوفر إلا</w:t>
            </w:r>
            <w:r w:rsidR="00DF47AF">
              <w:rPr>
                <w:rFonts w:ascii="Arabic Typesetting" w:eastAsia="Arabic Typesetting" w:hAnsi="Arabic Typesetting" w:cs="Arabic Typesetting" w:hint="eastAsia"/>
                <w:color w:val="000000"/>
                <w:sz w:val="28"/>
                <w:szCs w:val="28"/>
                <w:rtl/>
                <w:lang w:eastAsia="ar-EG" w:bidi="ar-EG"/>
              </w:rPr>
              <w:t xml:space="preserve"> </w:t>
            </w:r>
            <w:r w:rsidR="003E33F1">
              <w:rPr>
                <w:rFonts w:ascii="Arabic Typesetting" w:eastAsia="Arabic Typesetting" w:hAnsi="Arabic Typesetting" w:cs="Arabic Typesetting" w:hint="cs"/>
                <w:color w:val="000000"/>
                <w:sz w:val="28"/>
                <w:szCs w:val="28"/>
                <w:rtl/>
                <w:lang w:eastAsia="ar-EG" w:bidi="ar-EG"/>
              </w:rPr>
              <w:t>بيانات</w:t>
            </w:r>
            <w:r w:rsidR="003E33F1">
              <w:rPr>
                <w:rFonts w:ascii="Arabic Typesetting" w:eastAsia="Arabic Typesetting" w:hAnsi="Arabic Typesetting" w:cs="Arabic Typesetting" w:hint="eastAsia"/>
                <w:color w:val="000000"/>
                <w:sz w:val="28"/>
                <w:szCs w:val="28"/>
                <w:rtl/>
                <w:lang w:eastAsia="ar-EG" w:bidi="ar-EG"/>
              </w:rPr>
              <w:t> </w:t>
            </w:r>
            <w:r w:rsidR="003E33F1">
              <w:rPr>
                <w:rFonts w:ascii="Arabic Typesetting" w:eastAsia="Arabic Typesetting" w:hAnsi="Arabic Typesetting" w:cs="Arabic Typesetting" w:hint="cs"/>
                <w:color w:val="000000"/>
                <w:sz w:val="28"/>
                <w:szCs w:val="28"/>
                <w:rtl/>
                <w:lang w:eastAsia="ar-EG" w:bidi="ar-EG"/>
              </w:rPr>
              <w:t>جزئية)</w:t>
            </w:r>
          </w:p>
          <w:p w14:paraId="5A80903B"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 xml:space="preserve">آسيا والمحيط الهادئ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96</w:t>
            </w:r>
            <w:r w:rsidRPr="005C72A2">
              <w:rPr>
                <w:rFonts w:ascii="Arabic Typesetting" w:eastAsia="Arabic Typesetting" w:hAnsi="Arabic Typesetting" w:cs="Arabic Typesetting" w:hint="cs"/>
                <w:sz w:val="28"/>
                <w:szCs w:val="28"/>
                <w:rtl/>
                <w:lang w:eastAsia="ar-EG" w:bidi="ar-EG"/>
              </w:rPr>
              <w:t>)</w:t>
            </w:r>
          </w:p>
          <w:p w14:paraId="112A01E0" w14:textId="2DAB5F93"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أمريكا اللاتينية</w:t>
            </w:r>
            <w:r>
              <w:rPr>
                <w:rFonts w:ascii="Arabic Typesetting" w:eastAsia="Arabic Typesetting" w:hAnsi="Arabic Typesetting" w:cs="Arabic Typesetting"/>
                <w:color w:val="000000"/>
                <w:sz w:val="28"/>
                <w:szCs w:val="28"/>
                <w:rtl/>
                <w:lang w:eastAsia="ar-EG" w:bidi="ar-EG"/>
              </w:rPr>
              <w:t xml:space="preserve"> والكاريبي</w:t>
            </w:r>
            <w:r>
              <w:rPr>
                <w:rFonts w:ascii="Arabic Typesetting" w:eastAsia="Arabic Typesetting" w:hAnsi="Arabic Typesetting" w:cs="Arabic Typesetting"/>
                <w:color w:val="000000"/>
                <w:sz w:val="28"/>
                <w:szCs w:val="28"/>
                <w:rtl/>
                <w:lang w:eastAsia="ar-EG" w:bidi="ar-EG"/>
              </w:rPr>
              <w:br/>
            </w:r>
            <w:r w:rsidR="003E33F1">
              <w:rPr>
                <w:rFonts w:ascii="Arabic Typesetting" w:eastAsia="Arabic Typesetting" w:hAnsi="Arabic Typesetting" w:cs="Arabic Typesetting" w:hint="cs"/>
                <w:color w:val="000000"/>
                <w:sz w:val="28"/>
                <w:szCs w:val="28"/>
                <w:rtl/>
                <w:lang w:eastAsia="ar-EG" w:bidi="ar-EG"/>
              </w:rPr>
              <w:t>(لا تتوفر إلا</w:t>
            </w:r>
            <w:r w:rsidR="00DF47AF">
              <w:rPr>
                <w:rFonts w:ascii="Arabic Typesetting" w:eastAsia="Arabic Typesetting" w:hAnsi="Arabic Typesetting" w:cs="Arabic Typesetting" w:hint="eastAsia"/>
                <w:color w:val="000000"/>
                <w:sz w:val="28"/>
                <w:szCs w:val="28"/>
                <w:rtl/>
                <w:lang w:eastAsia="ar-EG" w:bidi="ar-EG"/>
              </w:rPr>
              <w:t xml:space="preserve"> </w:t>
            </w:r>
            <w:r w:rsidR="003E33F1">
              <w:rPr>
                <w:rFonts w:ascii="Arabic Typesetting" w:eastAsia="Arabic Typesetting" w:hAnsi="Arabic Typesetting" w:cs="Arabic Typesetting" w:hint="cs"/>
                <w:color w:val="000000"/>
                <w:sz w:val="28"/>
                <w:szCs w:val="28"/>
                <w:rtl/>
                <w:lang w:eastAsia="ar-EG" w:bidi="ar-EG"/>
              </w:rPr>
              <w:t>بيانات</w:t>
            </w:r>
            <w:r w:rsidR="003E33F1">
              <w:rPr>
                <w:rFonts w:ascii="Arabic Typesetting" w:eastAsia="Arabic Typesetting" w:hAnsi="Arabic Typesetting" w:cs="Arabic Typesetting" w:hint="eastAsia"/>
                <w:color w:val="000000"/>
                <w:sz w:val="28"/>
                <w:szCs w:val="28"/>
                <w:rtl/>
                <w:lang w:eastAsia="ar-EG" w:bidi="ar-EG"/>
              </w:rPr>
              <w:t> </w:t>
            </w:r>
            <w:r w:rsidR="003E33F1">
              <w:rPr>
                <w:rFonts w:ascii="Arabic Typesetting" w:eastAsia="Arabic Typesetting" w:hAnsi="Arabic Typesetting" w:cs="Arabic Typesetting" w:hint="cs"/>
                <w:color w:val="000000"/>
                <w:sz w:val="28"/>
                <w:szCs w:val="28"/>
                <w:rtl/>
                <w:lang w:eastAsia="ar-EG" w:bidi="ar-EG"/>
              </w:rPr>
              <w:t>جزئية)</w:t>
            </w:r>
          </w:p>
          <w:p w14:paraId="1396AB12" w14:textId="3E8C1DE7" w:rsidR="00CE6E0B" w:rsidRPr="00095911" w:rsidRDefault="00CE6E0B" w:rsidP="003E33F1">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البلدان الأقل نموا</w:t>
            </w:r>
            <w:r w:rsidR="003E33F1">
              <w:rPr>
                <w:rFonts w:ascii="Arabic Typesetting" w:eastAsia="Arabic Typesetting" w:hAnsi="Arabic Typesetting" w:cs="Arabic Typesetting" w:hint="cs"/>
                <w:color w:val="000000"/>
                <w:sz w:val="28"/>
                <w:szCs w:val="28"/>
                <w:rtl/>
                <w:lang w:eastAsia="ar-EG" w:bidi="ar-EG"/>
              </w:rPr>
              <w:t xml:space="preserve">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85</w:t>
            </w:r>
            <w:r w:rsidRPr="005C72A2">
              <w:rPr>
                <w:rFonts w:ascii="Arabic Typesetting" w:eastAsia="Arabic Typesetting" w:hAnsi="Arabic Typesetting" w:cs="Arabic Typesetting" w:hint="cs"/>
                <w:sz w:val="28"/>
                <w:szCs w:val="28"/>
                <w:rtl/>
                <w:lang w:eastAsia="ar-EG" w:bidi="ar-EG"/>
              </w:rPr>
              <w:t>)</w:t>
            </w:r>
          </w:p>
        </w:tc>
        <w:tc>
          <w:tcPr>
            <w:tcW w:w="388" w:type="pct"/>
            <w:shd w:val="clear" w:color="auto" w:fill="auto"/>
            <w:tcMar>
              <w:top w:w="110" w:type="dxa"/>
              <w:left w:w="58" w:type="dxa"/>
              <w:right w:w="58" w:type="dxa"/>
            </w:tcMar>
          </w:tcPr>
          <w:p w14:paraId="1AE93DCD" w14:textId="003A2C66" w:rsidR="00CE6E0B" w:rsidRDefault="003E33F1"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808080"/>
                <w:sz w:val="28"/>
                <w:szCs w:val="28"/>
                <w:rtl/>
                <w:lang w:eastAsia="ar-EG" w:bidi="ar-EG"/>
              </w:rPr>
              <w:t>غير قابل للقياس</w:t>
            </w:r>
            <w:r w:rsidRPr="00095911">
              <w:rPr>
                <w:rFonts w:ascii="Arabic Typesetting" w:eastAsia="Arabic Typesetting" w:hAnsi="Arabic Typesetting" w:cs="Arabic Typesetting"/>
                <w:b/>
                <w:bCs/>
                <w:color w:val="00B050"/>
                <w:sz w:val="28"/>
                <w:szCs w:val="28"/>
                <w:rtl/>
                <w:lang w:eastAsia="ar-EG" w:bidi="ar-EG"/>
              </w:rPr>
              <w:t xml:space="preserve"> </w:t>
            </w:r>
            <w:r w:rsidRPr="00095911">
              <w:rPr>
                <w:rFonts w:ascii="Arabic Typesetting" w:eastAsia="Arabic Typesetting" w:hAnsi="Arabic Typesetting" w:cs="Arabic Typesetting"/>
                <w:b/>
                <w:bCs/>
                <w:color w:val="808080"/>
                <w:sz w:val="28"/>
                <w:szCs w:val="28"/>
                <w:rtl/>
                <w:lang w:eastAsia="ar-EG" w:bidi="ar-EG"/>
              </w:rPr>
              <w:t>غير قابل للقياس</w:t>
            </w:r>
            <w:r w:rsidRPr="00095911">
              <w:rPr>
                <w:rFonts w:ascii="Arabic Typesetting" w:eastAsia="Arabic Typesetting" w:hAnsi="Arabic Typesetting" w:cs="Arabic Typesetting"/>
                <w:b/>
                <w:bCs/>
                <w:color w:val="00B050"/>
                <w:sz w:val="28"/>
                <w:szCs w:val="28"/>
                <w:rtl/>
                <w:lang w:eastAsia="ar-EG" w:bidi="ar-EG"/>
              </w:rPr>
              <w:t xml:space="preserve"> </w:t>
            </w:r>
            <w:r w:rsidR="00CE6E0B" w:rsidRPr="00095911">
              <w:rPr>
                <w:rFonts w:ascii="Arabic Typesetting" w:eastAsia="Arabic Typesetting" w:hAnsi="Arabic Typesetting" w:cs="Arabic Typesetting"/>
                <w:b/>
                <w:bCs/>
                <w:color w:val="00B050"/>
                <w:sz w:val="28"/>
                <w:szCs w:val="28"/>
                <w:rtl/>
                <w:lang w:eastAsia="ar-EG" w:bidi="ar-EG"/>
              </w:rPr>
              <w:t>ثابت</w:t>
            </w:r>
          </w:p>
          <w:p w14:paraId="00F4A224" w14:textId="77777777" w:rsidR="00CE6E0B" w:rsidRDefault="00CE6E0B" w:rsidP="0031289D">
            <w:pPr>
              <w:bidi/>
              <w:spacing w:after="120" w:line="280" w:lineRule="exact"/>
              <w:jc w:val="center"/>
              <w:rPr>
                <w:rFonts w:ascii="Arabic Typesetting" w:eastAsia="Arabic Typesetting" w:hAnsi="Arabic Typesetting" w:cs="Arabic Typesetting"/>
                <w:b/>
                <w:color w:val="808080"/>
                <w:sz w:val="28"/>
                <w:szCs w:val="28"/>
                <w:lang w:eastAsia="ar-EG" w:bidi="ar-EG"/>
              </w:rPr>
            </w:pPr>
            <w:r w:rsidRPr="00095911">
              <w:rPr>
                <w:rFonts w:ascii="Arabic Typesetting" w:eastAsia="Arabic Typesetting" w:hAnsi="Arabic Typesetting" w:cs="Arabic Typesetting"/>
                <w:b/>
                <w:bCs/>
                <w:color w:val="808080"/>
                <w:sz w:val="28"/>
                <w:szCs w:val="28"/>
                <w:rtl/>
                <w:lang w:eastAsia="ar-EG" w:bidi="ar-EG"/>
              </w:rPr>
              <w:t>‏غير قابل للقياس</w:t>
            </w:r>
          </w:p>
          <w:p w14:paraId="43FCE930"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tc>
      </w:tr>
      <w:tr w:rsidR="00CE6E0B" w:rsidRPr="00095911" w14:paraId="7A068D9B" w14:textId="77777777" w:rsidTr="009C2128">
        <w:trPr>
          <w:trHeight w:val="1582"/>
        </w:trPr>
        <w:tc>
          <w:tcPr>
            <w:tcW w:w="1083" w:type="pct"/>
            <w:shd w:val="clear" w:color="auto" w:fill="auto"/>
            <w:tcMar>
              <w:left w:w="58" w:type="dxa"/>
              <w:right w:w="58" w:type="dxa"/>
            </w:tcMar>
          </w:tcPr>
          <w:p w14:paraId="5C122B7F"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النسبة المئوية لخبراء الملكية الفكرية الوطنيين أو الإقليميين الذي يُستعان بهم باعتبارهم خبراء في تظاهرات الويبو</w:t>
            </w:r>
          </w:p>
        </w:tc>
        <w:tc>
          <w:tcPr>
            <w:tcW w:w="1453" w:type="pct"/>
            <w:shd w:val="clear" w:color="auto" w:fill="auto"/>
            <w:tcMar>
              <w:left w:w="58" w:type="dxa"/>
              <w:right w:w="58" w:type="dxa"/>
            </w:tcMar>
          </w:tcPr>
          <w:p w14:paraId="401B8B3E"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 xml:space="preserve">أفريقيا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%75</w:t>
            </w:r>
            <w:r w:rsidRPr="00331273">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br/>
            </w:r>
            <w:r>
              <w:rPr>
                <w:rFonts w:ascii="Arabic Typesetting" w:eastAsia="Arabic Typesetting" w:hAnsi="Arabic Typesetting" w:cs="Arabic Typesetting"/>
                <w:color w:val="002060"/>
                <w:sz w:val="28"/>
                <w:szCs w:val="28"/>
                <w:rtl/>
                <w:lang w:eastAsia="ar-EG" w:bidi="ar-EG"/>
              </w:rPr>
              <w:t xml:space="preserve">المنطقة العربية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%55</w:t>
            </w:r>
            <w:r w:rsidRPr="00331273">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br/>
            </w:r>
            <w:r w:rsidRPr="00095911">
              <w:rPr>
                <w:rFonts w:ascii="Arabic Typesetting" w:eastAsia="Arabic Typesetting" w:hAnsi="Arabic Typesetting" w:cs="Arabic Typesetting"/>
                <w:color w:val="002060"/>
                <w:sz w:val="28"/>
                <w:szCs w:val="28"/>
                <w:rtl/>
                <w:lang w:eastAsia="ar-EG" w:bidi="ar-EG"/>
              </w:rPr>
              <w:t xml:space="preserve">آسيا والمحيط الهادئ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%66</w:t>
            </w:r>
            <w:r w:rsidRPr="00331273">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br/>
            </w:r>
            <w:r w:rsidRPr="00095911">
              <w:rPr>
                <w:rFonts w:ascii="Arabic Typesetting" w:eastAsia="Arabic Typesetting" w:hAnsi="Arabic Typesetting" w:cs="Arabic Typesetting"/>
                <w:color w:val="002060"/>
                <w:sz w:val="28"/>
                <w:szCs w:val="28"/>
                <w:rtl/>
                <w:lang w:eastAsia="ar-EG" w:bidi="ar-EG"/>
              </w:rPr>
              <w:t>أ</w:t>
            </w:r>
            <w:r>
              <w:rPr>
                <w:rFonts w:ascii="Arabic Typesetting" w:eastAsia="Arabic Typesetting" w:hAnsi="Arabic Typesetting" w:cs="Arabic Typesetting"/>
                <w:color w:val="002060"/>
                <w:sz w:val="28"/>
                <w:szCs w:val="28"/>
                <w:rtl/>
                <w:lang w:eastAsia="ar-EG" w:bidi="ar-EG"/>
              </w:rPr>
              <w:t xml:space="preserve">مريكا اللاتينية والكاريبي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%80</w:t>
            </w:r>
            <w:r w:rsidRPr="00331273">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br/>
            </w:r>
            <w:r w:rsidRPr="00095911">
              <w:rPr>
                <w:rFonts w:ascii="Arabic Typesetting" w:eastAsia="Arabic Typesetting" w:hAnsi="Arabic Typesetting" w:cs="Arabic Typesetting"/>
                <w:color w:val="002060"/>
                <w:sz w:val="28"/>
                <w:szCs w:val="28"/>
                <w:rtl/>
                <w:lang w:eastAsia="ar-EG" w:bidi="ar-EG"/>
              </w:rPr>
              <w:t>البلدان الأقل نموا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%85</w:t>
            </w:r>
            <w:r w:rsidRPr="00331273">
              <w:rPr>
                <w:rFonts w:ascii="Arabic Typesetting" w:eastAsia="Arabic Typesetting" w:hAnsi="Arabic Typesetting" w:cs="Arabic Typesetting" w:hint="cs"/>
                <w:color w:val="002060"/>
                <w:sz w:val="28"/>
                <w:szCs w:val="28"/>
                <w:rtl/>
                <w:lang w:eastAsia="ar-EG" w:bidi="ar-EG"/>
              </w:rPr>
              <w:t>)</w:t>
            </w:r>
          </w:p>
          <w:p w14:paraId="7BB996C5" w14:textId="77777777" w:rsidR="00CE6E0B" w:rsidRDefault="00CE6E0B" w:rsidP="0031289D">
            <w:pPr>
              <w:bidi/>
              <w:spacing w:line="280" w:lineRule="exact"/>
              <w:rPr>
                <w:rFonts w:ascii="Arabic Typesetting" w:eastAsia="Arabic Typesetting" w:hAnsi="Arabic Typesetting" w:cs="Arabic Typesetting"/>
                <w:i/>
                <w:iCs/>
                <w:sz w:val="28"/>
                <w:szCs w:val="28"/>
                <w:rtl/>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19DA0E30"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أفريقيا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8</w:t>
            </w:r>
            <w:r w:rsidRPr="005C72A2">
              <w:rPr>
                <w:rFonts w:ascii="Arabic Typesetting" w:eastAsia="Arabic Typesetting" w:hAnsi="Arabic Typesetting" w:cs="Arabic Typesetting"/>
                <w:sz w:val="28"/>
                <w:szCs w:val="28"/>
                <w:lang w:eastAsia="ar-EG" w:bidi="ar-EG"/>
              </w:rPr>
              <w:t>0</w:t>
            </w:r>
            <w:r w:rsidRPr="005C72A2">
              <w:rPr>
                <w:rFonts w:ascii="Arabic Typesetting" w:eastAsia="Arabic Typesetting" w:hAnsi="Arabic Typesetting" w:cs="Arabic Typesetting" w:hint="cs"/>
                <w:sz w:val="28"/>
                <w:szCs w:val="28"/>
                <w:rtl/>
                <w:lang w:eastAsia="ar-EG" w:bidi="ar-EG"/>
              </w:rPr>
              <w:t>)</w:t>
            </w:r>
          </w:p>
          <w:p w14:paraId="5D5EFC69"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المنطقة العربية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35</w:t>
            </w:r>
            <w:r w:rsidRPr="005C72A2">
              <w:rPr>
                <w:rFonts w:ascii="Arabic Typesetting" w:eastAsia="Arabic Typesetting" w:hAnsi="Arabic Typesetting" w:cs="Arabic Typesetting" w:hint="cs"/>
                <w:sz w:val="28"/>
                <w:szCs w:val="28"/>
                <w:rtl/>
                <w:lang w:eastAsia="ar-EG" w:bidi="ar-EG"/>
              </w:rPr>
              <w:t>)</w:t>
            </w:r>
          </w:p>
          <w:p w14:paraId="20063218"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آسيا والمحيط الهادئ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71</w:t>
            </w:r>
            <w:r w:rsidRPr="005C72A2">
              <w:rPr>
                <w:rFonts w:ascii="Arabic Typesetting" w:eastAsia="Arabic Typesetting" w:hAnsi="Arabic Typesetting" w:cs="Arabic Typesetting" w:hint="cs"/>
                <w:sz w:val="28"/>
                <w:szCs w:val="28"/>
                <w:rtl/>
                <w:lang w:eastAsia="ar-EG" w:bidi="ar-EG"/>
              </w:rPr>
              <w:t>)</w:t>
            </w:r>
          </w:p>
          <w:p w14:paraId="28BC966A"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أمريكا اللاتينية والكاريبي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8</w:t>
            </w:r>
            <w:r w:rsidRPr="005C72A2">
              <w:rPr>
                <w:rFonts w:ascii="Arabic Typesetting" w:eastAsia="Arabic Typesetting" w:hAnsi="Arabic Typesetting" w:cs="Arabic Typesetting"/>
                <w:sz w:val="28"/>
                <w:szCs w:val="28"/>
                <w:lang w:eastAsia="ar-EG" w:bidi="ar-EG"/>
              </w:rPr>
              <w:t>0</w:t>
            </w:r>
            <w:r w:rsidRPr="005C72A2">
              <w:rPr>
                <w:rFonts w:ascii="Arabic Typesetting" w:eastAsia="Arabic Typesetting" w:hAnsi="Arabic Typesetting" w:cs="Arabic Typesetting" w:hint="cs"/>
                <w:sz w:val="28"/>
                <w:szCs w:val="28"/>
                <w:rtl/>
                <w:lang w:eastAsia="ar-EG" w:bidi="ar-EG"/>
              </w:rPr>
              <w:t>)</w:t>
            </w:r>
          </w:p>
          <w:p w14:paraId="65E33639"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البلدان الأقل نموا</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95</w:t>
            </w:r>
            <w:r w:rsidRPr="005C72A2">
              <w:rPr>
                <w:rFonts w:ascii="Arabic Typesetting" w:eastAsia="Arabic Typesetting" w:hAnsi="Arabic Typesetting" w:cs="Arabic Typesetting" w:hint="cs"/>
                <w:sz w:val="28"/>
                <w:szCs w:val="28"/>
                <w:rtl/>
                <w:lang w:eastAsia="ar-EG" w:bidi="ar-EG"/>
              </w:rPr>
              <w:t>)</w:t>
            </w:r>
          </w:p>
        </w:tc>
        <w:tc>
          <w:tcPr>
            <w:tcW w:w="849" w:type="pct"/>
            <w:shd w:val="clear" w:color="auto" w:fill="auto"/>
            <w:tcMar>
              <w:top w:w="110" w:type="dxa"/>
              <w:left w:w="58" w:type="dxa"/>
              <w:right w:w="58" w:type="dxa"/>
            </w:tcMar>
          </w:tcPr>
          <w:p w14:paraId="58A4211E" w14:textId="77777777" w:rsidR="00CE6E0B" w:rsidRDefault="00CE6E0B" w:rsidP="0031289D">
            <w:pPr>
              <w:bidi/>
              <w:spacing w:line="280" w:lineRule="exact"/>
              <w:rPr>
                <w:rFonts w:ascii="Arabic Typesetting" w:eastAsia="Arabic Typesetting" w:hAnsi="Arabic Typesetting" w:cs="Arabic Typesetting"/>
                <w:i/>
                <w:iCs/>
                <w:color w:val="002060"/>
                <w:sz w:val="28"/>
                <w:szCs w:val="28"/>
                <w:rtl/>
                <w:lang w:eastAsia="ar-EG" w:bidi="ar-EG"/>
              </w:rPr>
            </w:pPr>
            <w:r w:rsidRPr="0009591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p>
          <w:p w14:paraId="2B9751C5"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أفريقيا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%85</w:t>
            </w:r>
            <w:r w:rsidRPr="00331273">
              <w:rPr>
                <w:rFonts w:ascii="Arabic Typesetting" w:eastAsia="Arabic Typesetting" w:hAnsi="Arabic Typesetting" w:cs="Arabic Typesetting" w:hint="cs"/>
                <w:color w:val="002060"/>
                <w:sz w:val="28"/>
                <w:szCs w:val="28"/>
                <w:rtl/>
                <w:lang w:eastAsia="ar-EG" w:bidi="ar-EG"/>
              </w:rPr>
              <w:t>)</w:t>
            </w:r>
          </w:p>
          <w:p w14:paraId="6728AC2F"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المنطقة العربية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%55</w:t>
            </w:r>
            <w:r w:rsidRPr="00331273">
              <w:rPr>
                <w:rFonts w:ascii="Arabic Typesetting" w:eastAsia="Arabic Typesetting" w:hAnsi="Arabic Typesetting" w:cs="Arabic Typesetting" w:hint="cs"/>
                <w:color w:val="002060"/>
                <w:sz w:val="28"/>
                <w:szCs w:val="28"/>
                <w:rtl/>
                <w:lang w:eastAsia="ar-EG" w:bidi="ar-EG"/>
              </w:rPr>
              <w:t>)</w:t>
            </w:r>
          </w:p>
          <w:p w14:paraId="1E627B11"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آسيا والمحيط الهادئ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%66</w:t>
            </w:r>
            <w:r w:rsidRPr="00331273">
              <w:rPr>
                <w:rFonts w:ascii="Arabic Typesetting" w:eastAsia="Arabic Typesetting" w:hAnsi="Arabic Typesetting" w:cs="Arabic Typesetting" w:hint="cs"/>
                <w:color w:val="002060"/>
                <w:sz w:val="28"/>
                <w:szCs w:val="28"/>
                <w:rtl/>
                <w:lang w:eastAsia="ar-EG" w:bidi="ar-EG"/>
              </w:rPr>
              <w:t>)</w:t>
            </w:r>
          </w:p>
          <w:p w14:paraId="4317F58C"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 xml:space="preserve">أمريكا اللاتينية والكاريبي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%80</w:t>
            </w:r>
            <w:r w:rsidRPr="00331273">
              <w:rPr>
                <w:rFonts w:ascii="Arabic Typesetting" w:eastAsia="Arabic Typesetting" w:hAnsi="Arabic Typesetting" w:cs="Arabic Typesetting" w:hint="cs"/>
                <w:color w:val="002060"/>
                <w:sz w:val="28"/>
                <w:szCs w:val="28"/>
                <w:rtl/>
                <w:lang w:eastAsia="ar-EG" w:bidi="ar-EG"/>
              </w:rPr>
              <w:t>)</w:t>
            </w:r>
          </w:p>
          <w:p w14:paraId="0933C272" w14:textId="77777777" w:rsidR="00CE6E0B" w:rsidRDefault="00CE6E0B" w:rsidP="0031289D">
            <w:pPr>
              <w:numPr>
                <w:ilvl w:val="0"/>
                <w:numId w:val="12"/>
              </w:numPr>
              <w:bidi/>
              <w:spacing w:after="120"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البلدان الأقل نموا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331273">
              <w:rPr>
                <w:rFonts w:ascii="Arabic Typesetting" w:eastAsia="Arabic Typesetting" w:hAnsi="Arabic Typesetting" w:cs="Arabic Typesetting" w:hint="cs"/>
                <w:color w:val="002060"/>
                <w:sz w:val="28"/>
                <w:szCs w:val="28"/>
                <w:rtl/>
                <w:lang w:eastAsia="ar-EG" w:bidi="ar-EG"/>
              </w:rPr>
              <w:t>(</w:t>
            </w:r>
            <w:r w:rsidRPr="00331273">
              <w:rPr>
                <w:rFonts w:ascii="Arabic Typesetting" w:eastAsia="Arabic Typesetting" w:hAnsi="Arabic Typesetting" w:cs="Arabic Typesetting"/>
                <w:color w:val="002060"/>
                <w:sz w:val="28"/>
                <w:szCs w:val="28"/>
                <w:lang w:eastAsia="ar-EG" w:bidi="ar-EG"/>
              </w:rPr>
              <w:t>%85</w:t>
            </w:r>
            <w:r w:rsidRPr="00331273">
              <w:rPr>
                <w:rFonts w:ascii="Arabic Typesetting" w:eastAsia="Arabic Typesetting" w:hAnsi="Arabic Typesetting" w:cs="Arabic Typesetting" w:hint="cs"/>
                <w:color w:val="002060"/>
                <w:sz w:val="28"/>
                <w:szCs w:val="28"/>
                <w:rtl/>
                <w:lang w:eastAsia="ar-EG" w:bidi="ar-EG"/>
              </w:rPr>
              <w:t>)</w:t>
            </w:r>
          </w:p>
          <w:p w14:paraId="21B746F0" w14:textId="77777777" w:rsidR="00CE6E0B" w:rsidRDefault="00CE6E0B" w:rsidP="0031289D">
            <w:pPr>
              <w:bidi/>
              <w:spacing w:line="280" w:lineRule="exact"/>
              <w:rPr>
                <w:rFonts w:ascii="Arabic Typesetting" w:eastAsia="Arabic Typesetting" w:hAnsi="Arabic Typesetting" w:cs="Arabic Typesetting"/>
                <w:i/>
                <w:iCs/>
                <w:sz w:val="28"/>
                <w:szCs w:val="28"/>
                <w:rtl/>
                <w:lang w:eastAsia="ar-EG" w:bidi="ar-EG"/>
              </w:rPr>
            </w:pPr>
            <w:r w:rsidRPr="00095911">
              <w:rPr>
                <w:rFonts w:ascii="Arabic Typesetting" w:eastAsia="Arabic Typesetting" w:hAnsi="Arabic Typesetting" w:cs="Arabic Typesetting"/>
                <w:i/>
                <w:iCs/>
                <w:sz w:val="28"/>
                <w:szCs w:val="28"/>
                <w:rtl/>
                <w:lang w:eastAsia="ar-EG" w:bidi="ar-EG"/>
              </w:rPr>
              <w:t>الهدف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0F292F85"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أفريقيا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85</w:t>
            </w:r>
            <w:r w:rsidRPr="005C72A2">
              <w:rPr>
                <w:rFonts w:ascii="Arabic Typesetting" w:eastAsia="Arabic Typesetting" w:hAnsi="Arabic Typesetting" w:cs="Arabic Typesetting" w:hint="cs"/>
                <w:sz w:val="28"/>
                <w:szCs w:val="28"/>
                <w:rtl/>
                <w:lang w:eastAsia="ar-EG" w:bidi="ar-EG"/>
              </w:rPr>
              <w:t>)</w:t>
            </w:r>
          </w:p>
          <w:p w14:paraId="3A10BBFC"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المنطقة العربية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55</w:t>
            </w:r>
            <w:r w:rsidRPr="005C72A2">
              <w:rPr>
                <w:rFonts w:ascii="Arabic Typesetting" w:eastAsia="Arabic Typesetting" w:hAnsi="Arabic Typesetting" w:cs="Arabic Typesetting" w:hint="cs"/>
                <w:sz w:val="28"/>
                <w:szCs w:val="28"/>
                <w:rtl/>
                <w:lang w:eastAsia="ar-EG" w:bidi="ar-EG"/>
              </w:rPr>
              <w:t>)</w:t>
            </w:r>
          </w:p>
          <w:p w14:paraId="2F089501"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آسيا والمحيط الهادئ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40</w:t>
            </w:r>
            <w:r w:rsidRPr="005C72A2">
              <w:rPr>
                <w:rFonts w:ascii="Arabic Typesetting" w:eastAsia="Arabic Typesetting" w:hAnsi="Arabic Typesetting" w:cs="Arabic Typesetting" w:hint="cs"/>
                <w:sz w:val="28"/>
                <w:szCs w:val="28"/>
                <w:rtl/>
                <w:lang w:eastAsia="ar-EG" w:bidi="ar-EG"/>
              </w:rPr>
              <w:t>)</w:t>
            </w:r>
          </w:p>
          <w:p w14:paraId="774914C3"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أمريكا اللاتينية والكاريبي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80</w:t>
            </w:r>
            <w:r w:rsidRPr="005C72A2">
              <w:rPr>
                <w:rFonts w:ascii="Arabic Typesetting" w:eastAsia="Arabic Typesetting" w:hAnsi="Arabic Typesetting" w:cs="Arabic Typesetting" w:hint="cs"/>
                <w:sz w:val="28"/>
                <w:szCs w:val="28"/>
                <w:rtl/>
                <w:lang w:eastAsia="ar-EG" w:bidi="ar-EG"/>
              </w:rPr>
              <w:t>)</w:t>
            </w:r>
          </w:p>
          <w:p w14:paraId="49AE6F08"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البلدان الأقل نموا</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%70</w:t>
            </w:r>
            <w:r w:rsidRPr="005C72A2">
              <w:rPr>
                <w:rFonts w:ascii="Arabic Typesetting" w:eastAsia="Arabic Typesetting" w:hAnsi="Arabic Typesetting" w:cs="Arabic Typesetting" w:hint="cs"/>
                <w:sz w:val="28"/>
                <w:szCs w:val="28"/>
                <w:rtl/>
                <w:lang w:eastAsia="ar-EG" w:bidi="ar-EG"/>
              </w:rPr>
              <w:t>)</w:t>
            </w:r>
          </w:p>
        </w:tc>
        <w:tc>
          <w:tcPr>
            <w:tcW w:w="1227" w:type="pct"/>
            <w:shd w:val="clear" w:color="auto" w:fill="FFFFFF"/>
            <w:tcMar>
              <w:top w:w="110" w:type="dxa"/>
              <w:left w:w="58" w:type="dxa"/>
              <w:right w:w="58" w:type="dxa"/>
            </w:tcMar>
          </w:tcPr>
          <w:p w14:paraId="43E658DA"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 xml:space="preserve">أفريقيا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85</w:t>
            </w:r>
            <w:r w:rsidRPr="005C72A2">
              <w:rPr>
                <w:rFonts w:ascii="Arabic Typesetting" w:eastAsia="Arabic Typesetting" w:hAnsi="Arabic Typesetting" w:cs="Arabic Typesetting" w:hint="cs"/>
                <w:sz w:val="28"/>
                <w:szCs w:val="28"/>
                <w:rtl/>
                <w:lang w:eastAsia="ar-EG" w:bidi="ar-EG"/>
              </w:rPr>
              <w:t>)</w:t>
            </w:r>
          </w:p>
          <w:p w14:paraId="76EB7FF4"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 xml:space="preserve">المنطقة العربية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55</w:t>
            </w:r>
            <w:r w:rsidRPr="005C72A2">
              <w:rPr>
                <w:rFonts w:ascii="Arabic Typesetting" w:eastAsia="Arabic Typesetting" w:hAnsi="Arabic Typesetting" w:cs="Arabic Typesetting" w:hint="cs"/>
                <w:sz w:val="28"/>
                <w:szCs w:val="28"/>
                <w:rtl/>
                <w:lang w:eastAsia="ar-EG" w:bidi="ar-EG"/>
              </w:rPr>
              <w:t>)</w:t>
            </w:r>
          </w:p>
          <w:p w14:paraId="4398AEE6"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 xml:space="preserve">آسيا والمحيط الهادئ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29</w:t>
            </w:r>
            <w:r w:rsidRPr="005C72A2">
              <w:rPr>
                <w:rFonts w:ascii="Arabic Typesetting" w:eastAsia="Arabic Typesetting" w:hAnsi="Arabic Typesetting" w:cs="Arabic Typesetting" w:hint="cs"/>
                <w:sz w:val="28"/>
                <w:szCs w:val="28"/>
                <w:rtl/>
                <w:lang w:eastAsia="ar-EG" w:bidi="ar-EG"/>
              </w:rPr>
              <w:t>)</w:t>
            </w:r>
          </w:p>
          <w:p w14:paraId="537A7FC0"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 xml:space="preserve">أمريكا اللاتينية والكاريبي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85</w:t>
            </w:r>
            <w:r w:rsidRPr="005C72A2">
              <w:rPr>
                <w:rFonts w:ascii="Arabic Typesetting" w:eastAsia="Arabic Typesetting" w:hAnsi="Arabic Typesetting" w:cs="Arabic Typesetting" w:hint="cs"/>
                <w:sz w:val="28"/>
                <w:szCs w:val="28"/>
                <w:rtl/>
                <w:lang w:eastAsia="ar-EG" w:bidi="ar-EG"/>
              </w:rPr>
              <w:t>)</w:t>
            </w:r>
          </w:p>
          <w:p w14:paraId="1D83CC8F"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البلدان الأقل نموا</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lang w:eastAsia="ar-EG" w:bidi="ar-EG"/>
              </w:rPr>
              <w:t xml:space="preserve"> </w:t>
            </w:r>
            <w:r w:rsidRPr="005C72A2">
              <w:rPr>
                <w:rFonts w:ascii="Arabic Typesetting" w:eastAsia="Arabic Typesetting" w:hAnsi="Arabic Typesetting" w:cs="Arabic Typesetting" w:hint="cs"/>
                <w:sz w:val="28"/>
                <w:szCs w:val="28"/>
                <w:rtl/>
                <w:lang w:eastAsia="ar-EG" w:bidi="ar-EG"/>
              </w:rPr>
              <w:t>(</w:t>
            </w:r>
            <w:r w:rsidRPr="005C72A2">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lang w:eastAsia="ar-EG" w:bidi="ar-EG"/>
              </w:rPr>
              <w:t>75</w:t>
            </w:r>
            <w:r w:rsidRPr="005C72A2">
              <w:rPr>
                <w:rFonts w:ascii="Arabic Typesetting" w:eastAsia="Arabic Typesetting" w:hAnsi="Arabic Typesetting" w:cs="Arabic Typesetting" w:hint="cs"/>
                <w:sz w:val="28"/>
                <w:szCs w:val="28"/>
                <w:rtl/>
                <w:lang w:eastAsia="ar-EG" w:bidi="ar-EG"/>
              </w:rPr>
              <w:t>)</w:t>
            </w:r>
          </w:p>
        </w:tc>
        <w:tc>
          <w:tcPr>
            <w:tcW w:w="388" w:type="pct"/>
            <w:shd w:val="clear" w:color="auto" w:fill="auto"/>
            <w:tcMar>
              <w:top w:w="110" w:type="dxa"/>
              <w:left w:w="58" w:type="dxa"/>
              <w:right w:w="58" w:type="dxa"/>
            </w:tcMar>
          </w:tcPr>
          <w:p w14:paraId="644B3B53" w14:textId="77777777" w:rsidR="00CE6E0B"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352FD3E4" w14:textId="77777777" w:rsidR="00CE6E0B"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06E0AB85" w14:textId="77777777" w:rsidR="00CE6E0B"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p w14:paraId="7420D10C" w14:textId="77777777" w:rsidR="00CE6E0B"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2A00C15B" w14:textId="77777777" w:rsidR="00CE6E0B" w:rsidRPr="00095911" w:rsidRDefault="00CE6E0B"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tc>
      </w:tr>
      <w:tr w:rsidR="00CE6E0B" w:rsidRPr="00095911" w14:paraId="30205A8B" w14:textId="77777777" w:rsidTr="00BB3820">
        <w:trPr>
          <w:trHeight w:val="565"/>
        </w:trPr>
        <w:tc>
          <w:tcPr>
            <w:tcW w:w="5000" w:type="pct"/>
            <w:gridSpan w:val="5"/>
            <w:shd w:val="clear" w:color="auto" w:fill="C6D9F1"/>
            <w:tcMar>
              <w:left w:w="58" w:type="dxa"/>
              <w:right w:w="58" w:type="dxa"/>
            </w:tcMar>
            <w:vAlign w:val="center"/>
          </w:tcPr>
          <w:p w14:paraId="6873736F" w14:textId="3E9E4BE0" w:rsidR="00CE6E0B" w:rsidRPr="00095911"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lastRenderedPageBreak/>
              <w:t>‏النتيجة المرتقبة:</w:t>
            </w:r>
            <w:r w:rsidRPr="00095911">
              <w:rPr>
                <w:rFonts w:ascii="Arabic Typesetting" w:eastAsia="Arabic Typesetting" w:hAnsi="Arabic Typesetting" w:cs="Arabic Typesetting"/>
                <w:sz w:val="28"/>
                <w:szCs w:val="28"/>
                <w:lang w:eastAsia="ar-EG" w:bidi="ar-EG"/>
              </w:rPr>
              <w:tab/>
            </w:r>
            <w:r w:rsidRPr="00095911">
              <w:rPr>
                <w:rFonts w:ascii="Arabic Typesetting" w:eastAsia="Arabic Typesetting" w:hAnsi="Arabic Typesetting" w:cs="Arabic Typesetting"/>
                <w:sz w:val="28"/>
                <w:szCs w:val="28"/>
                <w:rtl/>
                <w:lang w:eastAsia="ar-EG" w:bidi="ar-EG"/>
              </w:rPr>
              <w:t>ه4.3 آليات وبرامج تعاونية معزّزة ومكيّفة حسب احتياجات البلدان النامية والبلدان الأقل نموا و</w:t>
            </w:r>
            <w:r w:rsidR="00AF6433">
              <w:rPr>
                <w:rFonts w:ascii="Arabic Typesetting" w:eastAsia="Arabic Typesetting" w:hAnsi="Arabic Typesetting" w:cs="Arabic Typesetting"/>
                <w:sz w:val="28"/>
                <w:szCs w:val="28"/>
                <w:rtl/>
                <w:lang w:eastAsia="ar-EG" w:bidi="ar-EG"/>
              </w:rPr>
              <w:t>البلدان المتحولة</w:t>
            </w:r>
          </w:p>
        </w:tc>
      </w:tr>
      <w:tr w:rsidR="00CE6E0B" w:rsidRPr="00095911" w14:paraId="73A7E789" w14:textId="77777777" w:rsidTr="009C2128">
        <w:tc>
          <w:tcPr>
            <w:tcW w:w="1083" w:type="pct"/>
            <w:shd w:val="clear" w:color="auto" w:fill="auto"/>
            <w:tcMar>
              <w:left w:w="58" w:type="dxa"/>
              <w:right w:w="58" w:type="dxa"/>
            </w:tcMar>
            <w:vAlign w:val="center"/>
          </w:tcPr>
          <w:p w14:paraId="643E4B94" w14:textId="77777777" w:rsidR="00CE6E0B" w:rsidRPr="00095911"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مؤشرات الأداء</w:t>
            </w:r>
          </w:p>
        </w:tc>
        <w:tc>
          <w:tcPr>
            <w:tcW w:w="1453" w:type="pct"/>
            <w:shd w:val="clear" w:color="auto" w:fill="auto"/>
            <w:tcMar>
              <w:left w:w="58" w:type="dxa"/>
              <w:right w:w="58" w:type="dxa"/>
            </w:tcMar>
            <w:vAlign w:val="center"/>
          </w:tcPr>
          <w:p w14:paraId="44E658BD"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أسس المقارنة</w:t>
            </w:r>
          </w:p>
        </w:tc>
        <w:tc>
          <w:tcPr>
            <w:tcW w:w="849" w:type="pct"/>
            <w:shd w:val="clear" w:color="auto" w:fill="auto"/>
            <w:tcMar>
              <w:top w:w="110" w:type="dxa"/>
              <w:left w:w="58" w:type="dxa"/>
              <w:right w:w="58" w:type="dxa"/>
            </w:tcMar>
            <w:vAlign w:val="center"/>
          </w:tcPr>
          <w:p w14:paraId="53E71AAF"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الأهداف</w:t>
            </w:r>
          </w:p>
        </w:tc>
        <w:tc>
          <w:tcPr>
            <w:tcW w:w="1227" w:type="pct"/>
            <w:shd w:val="clear" w:color="auto" w:fill="FFFFFF"/>
            <w:tcMar>
              <w:top w:w="110" w:type="dxa"/>
              <w:left w:w="58" w:type="dxa"/>
              <w:right w:w="58" w:type="dxa"/>
            </w:tcMar>
            <w:vAlign w:val="center"/>
          </w:tcPr>
          <w:p w14:paraId="63F7851D"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بيانات الأداء</w:t>
            </w:r>
          </w:p>
        </w:tc>
        <w:tc>
          <w:tcPr>
            <w:tcW w:w="388" w:type="pct"/>
            <w:shd w:val="clear" w:color="auto" w:fill="auto"/>
            <w:tcMar>
              <w:top w:w="110" w:type="dxa"/>
              <w:left w:w="58" w:type="dxa"/>
              <w:right w:w="58" w:type="dxa"/>
            </w:tcMar>
            <w:vAlign w:val="center"/>
          </w:tcPr>
          <w:p w14:paraId="29BA85B3" w14:textId="77777777" w:rsidR="00CE6E0B" w:rsidRPr="00095911" w:rsidRDefault="00CE6E0B" w:rsidP="0031289D">
            <w:pPr>
              <w:bidi/>
              <w:spacing w:after="120" w:line="280" w:lineRule="exact"/>
              <w:jc w:val="center"/>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السير</w:t>
            </w:r>
          </w:p>
        </w:tc>
      </w:tr>
      <w:tr w:rsidR="00CE6E0B" w:rsidRPr="00095911" w14:paraId="7E3B6003" w14:textId="77777777" w:rsidTr="009C2128">
        <w:trPr>
          <w:trHeight w:val="174"/>
        </w:trPr>
        <w:tc>
          <w:tcPr>
            <w:tcW w:w="1083" w:type="pct"/>
            <w:shd w:val="clear" w:color="auto" w:fill="auto"/>
            <w:tcMar>
              <w:left w:w="58" w:type="dxa"/>
              <w:right w:w="58" w:type="dxa"/>
            </w:tcMar>
          </w:tcPr>
          <w:p w14:paraId="0B6A65DD"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عدد اتفاقات ومشروعات وبرامج وشراكات التعاون الوطنية ودون الإقليمية والإقليمية والأقاليمية لتشجيع الانتفاع بفعالية بأنظمة الملكية الفكر</w:t>
            </w:r>
            <w:r>
              <w:rPr>
                <w:rFonts w:ascii="Arabic Typesetting" w:eastAsia="Arabic Typesetting" w:hAnsi="Arabic Typesetting" w:cs="Arabic Typesetting"/>
                <w:color w:val="000000"/>
                <w:sz w:val="28"/>
                <w:szCs w:val="28"/>
                <w:rtl/>
                <w:lang w:eastAsia="ar-EG" w:bidi="ar-EG"/>
              </w:rPr>
              <w:t>ية عن طريق تبادل أفضل الممارسات</w:t>
            </w:r>
          </w:p>
        </w:tc>
        <w:tc>
          <w:tcPr>
            <w:tcW w:w="1453" w:type="pct"/>
            <w:shd w:val="clear" w:color="auto" w:fill="auto"/>
            <w:tcMar>
              <w:left w:w="58" w:type="dxa"/>
              <w:right w:w="58" w:type="dxa"/>
            </w:tcMar>
          </w:tcPr>
          <w:p w14:paraId="0BD282C4" w14:textId="77777777" w:rsidR="00CE6E0B"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أفريقيا (2)</w:t>
            </w:r>
            <w:r>
              <w:rPr>
                <w:rFonts w:ascii="Arabic Typesetting" w:eastAsia="Arabic Typesetting" w:hAnsi="Arabic Typesetting" w:cs="Arabic Typesetting"/>
                <w:color w:val="002060"/>
                <w:sz w:val="28"/>
                <w:szCs w:val="28"/>
                <w:lang w:eastAsia="ar-EG" w:bidi="ar-EG"/>
              </w:rPr>
              <w:br/>
            </w:r>
            <w:r w:rsidRPr="00095911">
              <w:rPr>
                <w:rFonts w:ascii="Arabic Typesetting" w:eastAsia="Arabic Typesetting" w:hAnsi="Arabic Typesetting" w:cs="Arabic Typesetting"/>
                <w:color w:val="002060"/>
                <w:sz w:val="28"/>
                <w:szCs w:val="28"/>
                <w:rtl/>
                <w:lang w:eastAsia="ar-EG" w:bidi="ar-EG"/>
              </w:rPr>
              <w:t>المنطقة العربية (1)</w:t>
            </w:r>
            <w:r>
              <w:rPr>
                <w:rFonts w:ascii="Arabic Typesetting" w:eastAsia="Arabic Typesetting" w:hAnsi="Arabic Typesetting" w:cs="Arabic Typesetting"/>
                <w:color w:val="002060"/>
                <w:sz w:val="28"/>
                <w:szCs w:val="28"/>
                <w:lang w:eastAsia="ar-EG" w:bidi="ar-EG"/>
              </w:rPr>
              <w:br/>
            </w:r>
            <w:r w:rsidRPr="00095911">
              <w:rPr>
                <w:rFonts w:ascii="Arabic Typesetting" w:eastAsia="Arabic Typesetting" w:hAnsi="Arabic Typesetting" w:cs="Arabic Typesetting"/>
                <w:color w:val="002060"/>
                <w:sz w:val="28"/>
                <w:szCs w:val="28"/>
                <w:rtl/>
                <w:lang w:eastAsia="ar-EG" w:bidi="ar-EG"/>
              </w:rPr>
              <w:t>آسيا والمحيط الهادئ (1)</w:t>
            </w:r>
            <w:r>
              <w:rPr>
                <w:rFonts w:ascii="Arabic Typesetting" w:eastAsia="Arabic Typesetting" w:hAnsi="Arabic Typesetting" w:cs="Arabic Typesetting"/>
                <w:color w:val="002060"/>
                <w:sz w:val="28"/>
                <w:szCs w:val="28"/>
                <w:lang w:eastAsia="ar-EG" w:bidi="ar-EG"/>
              </w:rPr>
              <w:br/>
            </w:r>
            <w:r w:rsidRPr="00095911">
              <w:rPr>
                <w:rFonts w:ascii="Arabic Typesetting" w:eastAsia="Arabic Typesetting" w:hAnsi="Arabic Typesetting" w:cs="Arabic Typesetting"/>
                <w:color w:val="002060"/>
                <w:sz w:val="28"/>
                <w:szCs w:val="28"/>
                <w:rtl/>
                <w:lang w:eastAsia="ar-EG" w:bidi="ar-EG"/>
              </w:rPr>
              <w:t>أمريكا اللاتينية والكاريبي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Pr>
                <w:rFonts w:ascii="Arabic Typesetting" w:eastAsia="Arabic Typesetting" w:hAnsi="Arabic Typesetting" w:cs="Arabic Typesetting"/>
                <w:color w:val="002060"/>
                <w:sz w:val="28"/>
                <w:szCs w:val="28"/>
                <w:lang w:eastAsia="ar-EG" w:bidi="ar-EG"/>
              </w:rPr>
              <w:br/>
            </w:r>
            <w:r>
              <w:rPr>
                <w:rFonts w:ascii="Arabic Typesetting" w:eastAsia="Arabic Typesetting" w:hAnsi="Arabic Typesetting" w:cs="Arabic Typesetting" w:hint="cs"/>
                <w:color w:val="002060"/>
                <w:sz w:val="28"/>
                <w:szCs w:val="28"/>
                <w:rtl/>
                <w:lang w:eastAsia="ar-EG" w:bidi="ar-EG"/>
              </w:rPr>
              <w:t>(</w:t>
            </w:r>
            <w:r w:rsidRPr="00095911">
              <w:rPr>
                <w:rFonts w:ascii="Arabic Typesetting" w:eastAsia="Arabic Typesetting" w:hAnsi="Arabic Typesetting" w:cs="Arabic Typesetting"/>
                <w:color w:val="002060"/>
                <w:sz w:val="28"/>
                <w:szCs w:val="28"/>
                <w:rtl/>
                <w:lang w:eastAsia="ar-EG" w:bidi="ar-EG"/>
              </w:rPr>
              <w:t>9) مشروعات جارية</w:t>
            </w:r>
          </w:p>
          <w:p w14:paraId="25EF4483" w14:textId="77777777" w:rsidR="00CE6E0B" w:rsidRDefault="00CE6E0B" w:rsidP="0031289D">
            <w:pPr>
              <w:bidi/>
              <w:spacing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67242EFA"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(1 في عام 2014)</w:t>
            </w:r>
          </w:p>
          <w:p w14:paraId="722B2168"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(1 في عام 2014)</w:t>
            </w:r>
          </w:p>
          <w:p w14:paraId="7BAD84E5"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w:t>
            </w:r>
            <w:r>
              <w:rPr>
                <w:rFonts w:ascii="Arabic Typesetting" w:eastAsia="Arabic Typesetting" w:hAnsi="Arabic Typesetting" w:cs="Arabic Typesetting"/>
                <w:sz w:val="28"/>
                <w:szCs w:val="28"/>
                <w:rtl/>
                <w:lang w:eastAsia="ar-EG" w:bidi="ar-EG"/>
              </w:rPr>
              <w:br/>
            </w:r>
            <w:r w:rsidRPr="00095911">
              <w:rPr>
                <w:rFonts w:ascii="Arabic Typesetting" w:eastAsia="Arabic Typesetting" w:hAnsi="Arabic Typesetting" w:cs="Arabic Typesetting"/>
                <w:sz w:val="28"/>
                <w:szCs w:val="28"/>
                <w:rtl/>
                <w:lang w:eastAsia="ar-EG" w:bidi="ar-EG"/>
              </w:rPr>
              <w:t>(2 في عام 2014)</w:t>
            </w:r>
          </w:p>
          <w:p w14:paraId="4AD0379B"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w:t>
            </w:r>
            <w:r>
              <w:rPr>
                <w:rFonts w:ascii="Arabic Typesetting" w:eastAsia="Arabic Typesetting" w:hAnsi="Arabic Typesetting" w:cs="Arabic Typesetting"/>
                <w:sz w:val="28"/>
                <w:szCs w:val="28"/>
                <w:rtl/>
                <w:lang w:eastAsia="ar-EG" w:bidi="ar-EG"/>
              </w:rPr>
              <w:br/>
            </w:r>
            <w:r w:rsidRPr="00095911">
              <w:rPr>
                <w:rFonts w:ascii="Arabic Typesetting" w:eastAsia="Arabic Typesetting" w:hAnsi="Arabic Typesetting" w:cs="Arabic Typesetting"/>
                <w:sz w:val="28"/>
                <w:szCs w:val="28"/>
                <w:rtl/>
                <w:lang w:eastAsia="ar-EG" w:bidi="ar-EG"/>
              </w:rPr>
              <w:t>(6 في عام 2014)</w:t>
            </w:r>
          </w:p>
          <w:p w14:paraId="30F21D3C"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البلدان الأقل نموا</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095911">
              <w:rPr>
                <w:rFonts w:ascii="Arabic Typesetting" w:eastAsia="Arabic Typesetting" w:hAnsi="Arabic Typesetting" w:cs="Arabic Typesetting"/>
                <w:sz w:val="28"/>
                <w:szCs w:val="28"/>
                <w:rtl/>
                <w:lang w:eastAsia="ar-EG" w:bidi="ar-EG"/>
              </w:rPr>
              <w:t>برنامج إقليمي/دون إقليمي واحد، و4 برامج وطنية (2014)</w:t>
            </w:r>
          </w:p>
        </w:tc>
        <w:tc>
          <w:tcPr>
            <w:tcW w:w="849" w:type="pct"/>
            <w:shd w:val="clear" w:color="auto" w:fill="auto"/>
            <w:tcMar>
              <w:top w:w="110" w:type="dxa"/>
              <w:left w:w="58" w:type="dxa"/>
              <w:right w:w="58" w:type="dxa"/>
            </w:tcMar>
          </w:tcPr>
          <w:p w14:paraId="53585E2A"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أفريقيا (بلَدان</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إضافيان)</w:t>
            </w:r>
          </w:p>
          <w:p w14:paraId="00214329"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(بلَدان إضافيان)</w:t>
            </w:r>
          </w:p>
          <w:p w14:paraId="171A1D77"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(بلد إضافي)</w:t>
            </w:r>
          </w:p>
          <w:p w14:paraId="5FE92018" w14:textId="77777777" w:rsidR="00CE6E0B"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w:t>
            </w:r>
            <w:r>
              <w:rPr>
                <w:rFonts w:ascii="Arabic Typesetting" w:eastAsia="Arabic Typesetting" w:hAnsi="Arabic Typesetting" w:cs="Arabic Typesetting"/>
                <w:sz w:val="28"/>
                <w:szCs w:val="28"/>
                <w:rtl/>
                <w:lang w:eastAsia="ar-EG" w:bidi="ar-EG"/>
              </w:rPr>
              <w:br/>
            </w:r>
            <w:r w:rsidRPr="00095911">
              <w:rPr>
                <w:rFonts w:ascii="Arabic Typesetting" w:eastAsia="Arabic Typesetting" w:hAnsi="Arabic Typesetting" w:cs="Arabic Typesetting"/>
                <w:sz w:val="28"/>
                <w:szCs w:val="28"/>
                <w:rtl/>
                <w:lang w:eastAsia="ar-EG" w:bidi="ar-EG"/>
              </w:rPr>
              <w:t>(4 بلدان إضافية)</w:t>
            </w:r>
          </w:p>
          <w:p w14:paraId="0D8113F7"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البلدان الأقل نموا</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095911">
              <w:rPr>
                <w:rFonts w:ascii="Arabic Typesetting" w:eastAsia="Arabic Typesetting" w:hAnsi="Arabic Typesetting" w:cs="Arabic Typesetting"/>
                <w:sz w:val="28"/>
                <w:szCs w:val="28"/>
                <w:rtl/>
                <w:lang w:eastAsia="ar-EG" w:bidi="ar-EG"/>
              </w:rPr>
              <w:t>3</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برامج إقليمية/دون إقليمية</w:t>
            </w:r>
            <w:r>
              <w:rPr>
                <w:rFonts w:ascii="Arabic Typesetting" w:eastAsia="Arabic Typesetting" w:hAnsi="Arabic Typesetting" w:cs="Arabic Typesetting" w:hint="cs"/>
                <w:sz w:val="28"/>
                <w:szCs w:val="28"/>
                <w:rtl/>
                <w:lang w:eastAsia="ar-EG" w:bidi="ar-EG"/>
              </w:rPr>
              <w:t xml:space="preserve"> </w:t>
            </w:r>
            <w:r w:rsidRPr="00095911">
              <w:rPr>
                <w:rFonts w:ascii="Arabic Typesetting" w:eastAsia="Arabic Typesetting" w:hAnsi="Arabic Typesetting" w:cs="Arabic Typesetting"/>
                <w:sz w:val="28"/>
                <w:szCs w:val="28"/>
                <w:rtl/>
                <w:lang w:eastAsia="ar-EG" w:bidi="ar-EG"/>
              </w:rPr>
              <w:t>و8 برامج وطنية</w:t>
            </w:r>
          </w:p>
        </w:tc>
        <w:tc>
          <w:tcPr>
            <w:tcW w:w="1227" w:type="pct"/>
            <w:shd w:val="clear" w:color="auto" w:fill="FFFFFF"/>
            <w:tcMar>
              <w:top w:w="110" w:type="dxa"/>
              <w:left w:w="58" w:type="dxa"/>
              <w:right w:w="58" w:type="dxa"/>
            </w:tcMar>
          </w:tcPr>
          <w:p w14:paraId="2BE7AF37" w14:textId="77777777" w:rsidR="00CE6E0B" w:rsidRDefault="00CE6E0B" w:rsidP="0031289D">
            <w:pPr>
              <w:bidi/>
              <w:spacing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أفريقيا</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التقدم في إعداد مذكرتي تفاهم يتوقع إنجازهما في عام 2017</w:t>
            </w:r>
            <w:r>
              <w:rPr>
                <w:rFonts w:ascii="Arabic Typesetting" w:eastAsia="Arabic Typesetting" w:hAnsi="Arabic Typesetting" w:cs="Arabic Typesetting"/>
                <w:color w:val="000000"/>
                <w:sz w:val="28"/>
                <w:szCs w:val="28"/>
                <w:rtl/>
                <w:lang w:eastAsia="ar-EG" w:bidi="ar-EG"/>
              </w:rPr>
              <w:t>:</w:t>
            </w:r>
          </w:p>
          <w:p w14:paraId="7239AB91" w14:textId="77777777" w:rsidR="00CE6E0B" w:rsidRPr="00095911" w:rsidRDefault="00CE6E0B" w:rsidP="0031289D">
            <w:pPr>
              <w:numPr>
                <w:ilvl w:val="0"/>
                <w:numId w:val="18"/>
              </w:numPr>
              <w:bidi/>
              <w:spacing w:line="280" w:lineRule="exact"/>
              <w:ind w:hanging="151"/>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الشراكة الجديدة من أجل تنمية أفريقيا (نيباد)</w:t>
            </w:r>
          </w:p>
          <w:p w14:paraId="2977CAAB" w14:textId="77777777" w:rsidR="00CE6E0B" w:rsidRPr="00B34F79" w:rsidRDefault="00CE6E0B" w:rsidP="0031289D">
            <w:pPr>
              <w:numPr>
                <w:ilvl w:val="0"/>
                <w:numId w:val="18"/>
              </w:numPr>
              <w:bidi/>
              <w:spacing w:after="120" w:line="280" w:lineRule="exact"/>
              <w:ind w:hanging="151"/>
              <w:rPr>
                <w:rFonts w:ascii="Arabic Typesetting" w:eastAsia="Arabic Typesetting" w:hAnsi="Arabic Typesetting" w:cs="Arabic Typesetting"/>
                <w:color w:val="000000"/>
                <w:sz w:val="28"/>
                <w:szCs w:val="28"/>
                <w:lang w:eastAsia="ar-EG" w:bidi="ar-EG"/>
              </w:rPr>
            </w:pPr>
            <w:r w:rsidRPr="00B34F79">
              <w:rPr>
                <w:rFonts w:ascii="Arabic Typesetting" w:eastAsia="Arabic Typesetting" w:hAnsi="Arabic Typesetting" w:cs="Arabic Typesetting"/>
                <w:color w:val="000000"/>
                <w:sz w:val="28"/>
                <w:szCs w:val="28"/>
                <w:rtl/>
                <w:lang w:eastAsia="ar-EG" w:bidi="ar-EG"/>
              </w:rPr>
              <w:t>الجماعة الاقتصادية لدول غرب أفريقيا</w:t>
            </w:r>
            <w:r w:rsidRPr="00B34F79">
              <w:rPr>
                <w:rFonts w:ascii="Arabic Typesetting" w:eastAsia="Arabic Typesetting" w:hAnsi="Arabic Typesetting" w:cs="Arabic Typesetting"/>
                <w:color w:val="000000"/>
                <w:sz w:val="28"/>
                <w:szCs w:val="28"/>
                <w:rtl/>
                <w:lang w:eastAsia="ar-EG" w:bidi="ar-EG"/>
              </w:rPr>
              <w:br/>
              <w:t>(التراكمي 2)</w:t>
            </w:r>
          </w:p>
          <w:p w14:paraId="73A6D8A9" w14:textId="77777777" w:rsidR="00CE6E0B" w:rsidRPr="00095911" w:rsidRDefault="00CE6E0B" w:rsidP="0031289D">
            <w:pPr>
              <w:bidi/>
              <w:spacing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المنطقة العربية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3 مذكرات تفاهم جديدة</w:t>
            </w:r>
          </w:p>
          <w:p w14:paraId="62D2C3BA" w14:textId="77777777" w:rsidR="00CE6E0B" w:rsidRPr="00095911" w:rsidRDefault="00CE6E0B" w:rsidP="0031289D">
            <w:pPr>
              <w:numPr>
                <w:ilvl w:val="0"/>
                <w:numId w:val="18"/>
              </w:numPr>
              <w:bidi/>
              <w:spacing w:line="280" w:lineRule="exact"/>
              <w:ind w:hanging="151"/>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الجهاز المركزي للتقييس والسيطرة النوعية (</w:t>
            </w:r>
            <w:r w:rsidRPr="00095911">
              <w:rPr>
                <w:rFonts w:ascii="Arabic Typesetting" w:eastAsia="Arabic Typesetting" w:hAnsi="Arabic Typesetting" w:cs="Arabic Typesetting"/>
                <w:color w:val="000000"/>
                <w:sz w:val="28"/>
                <w:szCs w:val="28"/>
                <w:lang w:eastAsia="ar-EG" w:bidi="ar-EG"/>
              </w:rPr>
              <w:t>COSCQ</w:t>
            </w:r>
            <w:r w:rsidRPr="00095911">
              <w:rPr>
                <w:rFonts w:ascii="Arabic Typesetting" w:eastAsia="Arabic Typesetting" w:hAnsi="Arabic Typesetting" w:cs="Arabic Typesetting"/>
                <w:color w:val="000000"/>
                <w:sz w:val="28"/>
                <w:szCs w:val="28"/>
                <w:rtl/>
                <w:lang w:eastAsia="ar-EG" w:bidi="ar-EG"/>
              </w:rPr>
              <w:t>)</w:t>
            </w:r>
          </w:p>
          <w:p w14:paraId="4AABABFC" w14:textId="77777777" w:rsidR="00CE6E0B" w:rsidRPr="00095911" w:rsidRDefault="00CE6E0B" w:rsidP="0031289D">
            <w:pPr>
              <w:numPr>
                <w:ilvl w:val="0"/>
                <w:numId w:val="18"/>
              </w:numPr>
              <w:bidi/>
              <w:spacing w:line="280" w:lineRule="exact"/>
              <w:ind w:hanging="151"/>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المكتب المغربي للملكية الصناعية والتجارية (</w:t>
            </w:r>
            <w:r w:rsidRPr="00095911">
              <w:rPr>
                <w:rFonts w:ascii="Arabic Typesetting" w:eastAsia="Arabic Typesetting" w:hAnsi="Arabic Typesetting" w:cs="Arabic Typesetting"/>
                <w:color w:val="000000"/>
                <w:sz w:val="28"/>
                <w:szCs w:val="28"/>
                <w:lang w:eastAsia="ar-EG" w:bidi="ar-EG"/>
              </w:rPr>
              <w:t>OMPIC</w:t>
            </w:r>
            <w:r w:rsidRPr="00095911">
              <w:rPr>
                <w:rFonts w:ascii="Arabic Typesetting" w:eastAsia="Arabic Typesetting" w:hAnsi="Arabic Typesetting" w:cs="Arabic Typesetting"/>
                <w:color w:val="000000"/>
                <w:sz w:val="28"/>
                <w:szCs w:val="28"/>
                <w:rtl/>
                <w:lang w:eastAsia="ar-EG" w:bidi="ar-EG"/>
              </w:rPr>
              <w:t>)</w:t>
            </w:r>
          </w:p>
          <w:p w14:paraId="36F1AE3A" w14:textId="77777777" w:rsidR="00CE6E0B" w:rsidRPr="00B34F79" w:rsidRDefault="00CE6E0B" w:rsidP="0031289D">
            <w:pPr>
              <w:numPr>
                <w:ilvl w:val="0"/>
                <w:numId w:val="18"/>
              </w:numPr>
              <w:bidi/>
              <w:spacing w:after="120" w:line="280" w:lineRule="exact"/>
              <w:ind w:hanging="151"/>
              <w:rPr>
                <w:rFonts w:ascii="Arabic Typesetting" w:eastAsia="Arabic Typesetting" w:hAnsi="Arabic Typesetting" w:cs="Arabic Typesetting"/>
                <w:color w:val="000000"/>
                <w:sz w:val="28"/>
                <w:szCs w:val="28"/>
                <w:lang w:eastAsia="ar-EG" w:bidi="ar-EG"/>
              </w:rPr>
            </w:pPr>
            <w:r w:rsidRPr="00B34F79">
              <w:rPr>
                <w:rFonts w:ascii="Arabic Typesetting" w:eastAsia="Arabic Typesetting" w:hAnsi="Arabic Typesetting" w:cs="Arabic Typesetting"/>
                <w:color w:val="000000"/>
                <w:sz w:val="28"/>
                <w:szCs w:val="28"/>
                <w:rtl/>
                <w:lang w:eastAsia="ar-EG" w:bidi="ar-EG"/>
              </w:rPr>
              <w:t>الهيئة العامة للصناعات الحرفية (</w:t>
            </w:r>
            <w:r w:rsidRPr="00B34F79">
              <w:rPr>
                <w:rFonts w:ascii="Arabic Typesetting" w:eastAsia="Arabic Typesetting" w:hAnsi="Arabic Typesetting" w:cs="Arabic Typesetting"/>
                <w:color w:val="000000"/>
                <w:sz w:val="28"/>
                <w:szCs w:val="28"/>
                <w:lang w:eastAsia="ar-EG" w:bidi="ar-EG"/>
              </w:rPr>
              <w:t>PACI</w:t>
            </w:r>
            <w:r w:rsidRPr="00B34F79">
              <w:rPr>
                <w:rFonts w:ascii="Arabic Typesetting" w:eastAsia="Arabic Typesetting" w:hAnsi="Arabic Typesetting" w:cs="Arabic Typesetting"/>
                <w:color w:val="000000"/>
                <w:sz w:val="28"/>
                <w:szCs w:val="28"/>
                <w:rtl/>
                <w:lang w:eastAsia="ar-EG" w:bidi="ar-EG"/>
              </w:rPr>
              <w:t>)</w:t>
            </w:r>
            <w:r w:rsidRPr="00B34F79">
              <w:rPr>
                <w:rFonts w:ascii="Arabic Typesetting" w:eastAsia="Arabic Typesetting" w:hAnsi="Arabic Typesetting" w:cs="Arabic Typesetting"/>
                <w:color w:val="000000"/>
                <w:sz w:val="28"/>
                <w:szCs w:val="28"/>
                <w:rtl/>
                <w:lang w:eastAsia="ar-EG" w:bidi="ar-EG"/>
              </w:rPr>
              <w:br/>
              <w:t>(التراكمي 4)</w:t>
            </w:r>
          </w:p>
          <w:p w14:paraId="70B5AC14" w14:textId="77777777" w:rsidR="00CE6E0B" w:rsidRPr="00095911" w:rsidRDefault="00CE6E0B" w:rsidP="0031289D">
            <w:pPr>
              <w:bidi/>
              <w:spacing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آسيا والمحيط الهادئ (10)</w:t>
            </w:r>
          </w:p>
          <w:p w14:paraId="04976046" w14:textId="77777777" w:rsidR="00CE6E0B" w:rsidRPr="00095911" w:rsidRDefault="00CE6E0B" w:rsidP="0031289D">
            <w:pPr>
              <w:numPr>
                <w:ilvl w:val="0"/>
                <w:numId w:val="18"/>
              </w:numPr>
              <w:bidi/>
              <w:spacing w:line="280" w:lineRule="exact"/>
              <w:ind w:hanging="151"/>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استهلال مشروع رائد </w:t>
            </w:r>
            <w:r w:rsidRPr="00B34F79">
              <w:rPr>
                <w:rFonts w:ascii="Arabic Typesetting" w:eastAsia="Arabic Typesetting" w:hAnsi="Arabic Typesetting" w:cs="Arabic Typesetting"/>
                <w:color w:val="000000"/>
                <w:sz w:val="28"/>
                <w:szCs w:val="28"/>
                <w:rtl/>
                <w:lang w:eastAsia="ar-EG" w:bidi="ar-EG"/>
              </w:rPr>
              <w:t>بشأن</w:t>
            </w:r>
            <w:r w:rsidRPr="00095911">
              <w:rPr>
                <w:rFonts w:ascii="Arabic Typesetting" w:eastAsia="Arabic Typesetting" w:hAnsi="Arabic Typesetting" w:cs="Arabic Typesetting"/>
                <w:sz w:val="28"/>
                <w:szCs w:val="28"/>
                <w:rtl/>
                <w:lang w:eastAsia="ar-EG" w:bidi="ar-EG"/>
              </w:rPr>
              <w:t xml:space="preserve"> إعداد الخطط القطرية (تايلند)</w:t>
            </w:r>
          </w:p>
          <w:p w14:paraId="3E550B36" w14:textId="77777777" w:rsidR="00CE6E0B" w:rsidRPr="00095911" w:rsidRDefault="00CE6E0B" w:rsidP="0031289D">
            <w:pPr>
              <w:numPr>
                <w:ilvl w:val="0"/>
                <w:numId w:val="18"/>
              </w:numPr>
              <w:bidi/>
              <w:spacing w:line="280" w:lineRule="exact"/>
              <w:ind w:hanging="151"/>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استهلال 3 مشاريع </w:t>
            </w:r>
            <w:r w:rsidRPr="00B34F79">
              <w:rPr>
                <w:rFonts w:ascii="Arabic Typesetting" w:eastAsia="Arabic Typesetting" w:hAnsi="Arabic Typesetting" w:cs="Arabic Typesetting"/>
                <w:color w:val="000000"/>
                <w:sz w:val="28"/>
                <w:szCs w:val="28"/>
                <w:rtl/>
                <w:lang w:eastAsia="ar-EG" w:bidi="ar-EG"/>
              </w:rPr>
              <w:t>بشأن</w:t>
            </w:r>
            <w:r w:rsidRPr="00095911">
              <w:rPr>
                <w:rFonts w:ascii="Arabic Typesetting" w:eastAsia="Arabic Typesetting" w:hAnsi="Arabic Typesetting" w:cs="Arabic Typesetting"/>
                <w:sz w:val="28"/>
                <w:szCs w:val="28"/>
                <w:rtl/>
                <w:lang w:eastAsia="ar-EG" w:bidi="ar-EG"/>
              </w:rPr>
              <w:t xml:space="preserve"> تشخيص مكاتب الملكية الفكرية (الفلبين وسري لانكا وتايلند)</w:t>
            </w:r>
          </w:p>
          <w:p w14:paraId="5F9BEFC8" w14:textId="0008A070" w:rsidR="00CE6E0B" w:rsidRPr="00095911" w:rsidRDefault="00CE6E0B" w:rsidP="003E33F1">
            <w:pPr>
              <w:numPr>
                <w:ilvl w:val="0"/>
                <w:numId w:val="18"/>
              </w:numPr>
              <w:bidi/>
              <w:spacing w:line="280" w:lineRule="exact"/>
              <w:ind w:hanging="151"/>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 xml:space="preserve">استهلال 4 مشاريع بشأن بيئة مؤاتية للملكية الفكرية (نقل التكنولوجيا) (ماليزيا والفلبين وسري لانكا </w:t>
            </w:r>
            <w:r w:rsidRPr="00B34F79">
              <w:rPr>
                <w:rFonts w:ascii="Arabic Typesetting" w:eastAsia="Arabic Typesetting" w:hAnsi="Arabic Typesetting" w:cs="Arabic Typesetting"/>
                <w:color w:val="000000"/>
                <w:sz w:val="28"/>
                <w:szCs w:val="28"/>
                <w:rtl/>
                <w:lang w:eastAsia="ar-EG" w:bidi="ar-EG"/>
              </w:rPr>
              <w:t>وتايلند</w:t>
            </w:r>
            <w:r w:rsidRPr="00095911">
              <w:rPr>
                <w:rFonts w:ascii="Arabic Typesetting" w:eastAsia="Arabic Typesetting" w:hAnsi="Arabic Typesetting" w:cs="Arabic Typesetting"/>
                <w:sz w:val="28"/>
                <w:szCs w:val="28"/>
                <w:rtl/>
                <w:lang w:eastAsia="ar-EG" w:bidi="ar-EG"/>
              </w:rPr>
              <w:t>)</w:t>
            </w:r>
          </w:p>
          <w:p w14:paraId="7C4AAB56" w14:textId="18873AE9" w:rsidR="00CE6E0B" w:rsidRDefault="00CE6E0B" w:rsidP="0031289D">
            <w:pPr>
              <w:numPr>
                <w:ilvl w:val="0"/>
                <w:numId w:val="17"/>
              </w:numPr>
              <w:bidi/>
              <w:spacing w:after="120" w:line="280" w:lineRule="exact"/>
              <w:ind w:left="209" w:hanging="180"/>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مؤتمران لرؤساء مكاتب الملكية الفكرية (مؤتمر لبلدان رابطة أمم جنوب شرق آسيا ورابطة جنوب آسيا للتعاون الإقليمي؛ ومؤتمر لبلدان جزر المحيط</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الهادئ)</w:t>
            </w:r>
          </w:p>
          <w:p w14:paraId="16EBBAB0" w14:textId="14D20ACD" w:rsidR="003E33F1" w:rsidRDefault="003E33F1" w:rsidP="003E33F1">
            <w:pPr>
              <w:bidi/>
              <w:spacing w:after="120" w:line="280" w:lineRule="exact"/>
              <w:ind w:left="29"/>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hint="cs"/>
                <w:sz w:val="28"/>
                <w:szCs w:val="28"/>
                <w:rtl/>
                <w:lang w:eastAsia="ar-EG" w:bidi="ar-EG"/>
              </w:rPr>
              <w:t>(التراكمي 11)</w:t>
            </w:r>
          </w:p>
          <w:p w14:paraId="579C00B8" w14:textId="77777777" w:rsidR="00CE6E0B" w:rsidRPr="00095911" w:rsidRDefault="00CE6E0B" w:rsidP="0031289D">
            <w:pPr>
              <w:bidi/>
              <w:spacing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أمريكا اللاتينية والكاريبي</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استهلال</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مشروعين</w:t>
            </w:r>
          </w:p>
          <w:p w14:paraId="16D48410" w14:textId="77777777" w:rsidR="00CE6E0B" w:rsidRPr="00095911" w:rsidRDefault="00CE6E0B" w:rsidP="0031289D">
            <w:pPr>
              <w:numPr>
                <w:ilvl w:val="0"/>
                <w:numId w:val="18"/>
              </w:numPr>
              <w:bidi/>
              <w:spacing w:line="280" w:lineRule="exact"/>
              <w:ind w:hanging="151"/>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استحداث قاعدة بيانات عالمية (</w:t>
            </w:r>
            <w:r w:rsidRPr="00095911">
              <w:rPr>
                <w:rFonts w:ascii="Arabic Typesetting" w:eastAsia="Arabic Typesetting" w:hAnsi="Arabic Typesetting" w:cs="Arabic Typesetting"/>
                <w:color w:val="000000"/>
                <w:sz w:val="28"/>
                <w:szCs w:val="28"/>
                <w:lang w:eastAsia="ar-EG" w:bidi="ar-EG"/>
              </w:rPr>
              <w:t>WIPO-JURIS</w:t>
            </w:r>
            <w:r w:rsidRPr="00095911">
              <w:rPr>
                <w:rFonts w:ascii="Arabic Typesetting" w:eastAsia="Arabic Typesetting" w:hAnsi="Arabic Typesetting" w:cs="Arabic Typesetting"/>
                <w:color w:val="000000"/>
                <w:sz w:val="28"/>
                <w:szCs w:val="28"/>
                <w:rtl/>
                <w:lang w:eastAsia="ar-EG" w:bidi="ar-EG"/>
              </w:rPr>
              <w:t>) بشأن القرارات القضائية الرائدة في مجال الملكية الفكرية (مشروع رائد في بلدان أمريكا اللاتينية)</w:t>
            </w:r>
          </w:p>
          <w:p w14:paraId="71DB1EE5" w14:textId="77777777" w:rsidR="00CE6E0B" w:rsidRPr="00095911" w:rsidRDefault="00CE6E0B" w:rsidP="0031289D">
            <w:pPr>
              <w:numPr>
                <w:ilvl w:val="0"/>
                <w:numId w:val="18"/>
              </w:numPr>
              <w:bidi/>
              <w:spacing w:after="120" w:line="280" w:lineRule="exact"/>
              <w:ind w:hanging="151"/>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إعداد دليل بشأن إجراءات وعمليات فحص العلامات التجارية (الجماعة الكاريبية)</w:t>
            </w:r>
          </w:p>
          <w:p w14:paraId="7E3D2329" w14:textId="77777777" w:rsidR="00CE6E0B"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lastRenderedPageBreak/>
              <w:t>7 مشاريع جارية</w:t>
            </w:r>
            <w:r w:rsidRPr="00095911">
              <w:rPr>
                <w:rFonts w:ascii="Arabic Typesetting" w:eastAsia="Arabic Typesetting" w:hAnsi="Arabic Typesetting" w:cs="Arabic Typesetting"/>
                <w:color w:val="000000"/>
                <w:sz w:val="28"/>
                <w:szCs w:val="28"/>
                <w:vertAlign w:val="superscript"/>
                <w:lang w:eastAsia="ar-EG" w:bidi="ar-EG"/>
              </w:rPr>
              <w:footnoteReference w:id="49"/>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sz w:val="28"/>
                <w:szCs w:val="28"/>
                <w:rtl/>
                <w:lang w:eastAsia="ar-EG" w:bidi="ar-EG"/>
              </w:rPr>
              <w:t>(التراكمي 11 مشروعاً)</w:t>
            </w:r>
          </w:p>
          <w:p w14:paraId="0A7AD25C" w14:textId="77777777" w:rsidR="00CE6E0B" w:rsidRPr="00095911" w:rsidRDefault="00CE6E0B" w:rsidP="0031289D">
            <w:pPr>
              <w:bidi/>
              <w:spacing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البلدان الأقل نموا</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Pr>
                <w:rFonts w:ascii="Arabic Typesetting" w:eastAsia="Arabic Typesetting" w:hAnsi="Arabic Typesetting" w:cs="Arabic Typesetting"/>
                <w:sz w:val="28"/>
                <w:szCs w:val="28"/>
                <w:rtl/>
                <w:lang w:eastAsia="ar-EG" w:bidi="ar-EG"/>
              </w:rPr>
              <w:t>8 برامج</w:t>
            </w:r>
          </w:p>
          <w:p w14:paraId="24E4CDA5" w14:textId="77777777" w:rsidR="00CE6E0B" w:rsidRPr="00095911" w:rsidRDefault="00CE6E0B" w:rsidP="0031289D">
            <w:pPr>
              <w:numPr>
                <w:ilvl w:val="0"/>
                <w:numId w:val="18"/>
              </w:numPr>
              <w:bidi/>
              <w:spacing w:line="280" w:lineRule="exact"/>
              <w:ind w:hanging="151"/>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4 برامج تدريب واستشارة مشتركة بين الويبو والوكالة السويدية للتعاون الإنمائي الدولي لفائدة البلدان الأقل نمواً</w:t>
            </w:r>
          </w:p>
          <w:p w14:paraId="78B1EB96" w14:textId="77777777" w:rsidR="00CE6E0B" w:rsidRPr="00095911" w:rsidRDefault="00CE6E0B" w:rsidP="0031289D">
            <w:pPr>
              <w:numPr>
                <w:ilvl w:val="0"/>
                <w:numId w:val="18"/>
              </w:numPr>
              <w:bidi/>
              <w:spacing w:line="280" w:lineRule="exact"/>
              <w:ind w:hanging="151"/>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برنامج مشترك بين الويبو واليونسكو لفائدة البلدان الأقل</w:t>
            </w:r>
            <w:r>
              <w:rPr>
                <w:rFonts w:ascii="Arabic Typesetting" w:eastAsia="Arabic Typesetting" w:hAnsi="Arabic Typesetting" w:cs="Arabic Typesetting" w:hint="cs"/>
                <w:color w:val="000000"/>
                <w:sz w:val="28"/>
                <w:szCs w:val="28"/>
                <w:rtl/>
                <w:lang w:eastAsia="ar-EG" w:bidi="ar-EG"/>
              </w:rPr>
              <w:t> </w:t>
            </w:r>
            <w:r w:rsidRPr="00095911">
              <w:rPr>
                <w:rFonts w:ascii="Arabic Typesetting" w:eastAsia="Arabic Typesetting" w:hAnsi="Arabic Typesetting" w:cs="Arabic Typesetting"/>
                <w:color w:val="000000"/>
                <w:sz w:val="28"/>
                <w:szCs w:val="28"/>
                <w:rtl/>
                <w:lang w:eastAsia="ar-EG" w:bidi="ar-EG"/>
              </w:rPr>
              <w:t>نمواً</w:t>
            </w:r>
          </w:p>
          <w:p w14:paraId="5CA7BF9E" w14:textId="77777777" w:rsidR="00CE6E0B" w:rsidRPr="00095911" w:rsidRDefault="00CE6E0B" w:rsidP="0031289D">
            <w:pPr>
              <w:numPr>
                <w:ilvl w:val="0"/>
                <w:numId w:val="18"/>
              </w:numPr>
              <w:bidi/>
              <w:spacing w:line="280" w:lineRule="exact"/>
              <w:ind w:hanging="151"/>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برنامجان وطنيان (بناء القدرات التكنولوجية في قطاع العسل (زامبيا)؛ ومشاورة وطنية بشأن تكوين الكفاءات المؤسسية في مجال الملكية الفكرية (نيبال))</w:t>
            </w:r>
          </w:p>
          <w:p w14:paraId="2A6F006B" w14:textId="77777777" w:rsidR="00CE6E0B" w:rsidRPr="00095911" w:rsidRDefault="00CE6E0B" w:rsidP="0031289D">
            <w:pPr>
              <w:numPr>
                <w:ilvl w:val="0"/>
                <w:numId w:val="18"/>
              </w:numPr>
              <w:bidi/>
              <w:spacing w:after="120" w:line="280" w:lineRule="exact"/>
              <w:ind w:hanging="151"/>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برنامج مشترك بين الويبو ولجنة الأمم المتحدة الاقتصادية والاجتماعية لآسيا والمحيط الهادئ</w:t>
            </w:r>
          </w:p>
        </w:tc>
        <w:tc>
          <w:tcPr>
            <w:tcW w:w="388" w:type="pct"/>
            <w:shd w:val="clear" w:color="auto" w:fill="auto"/>
            <w:tcMar>
              <w:top w:w="110" w:type="dxa"/>
              <w:left w:w="58" w:type="dxa"/>
              <w:right w:w="58" w:type="dxa"/>
            </w:tcMar>
          </w:tcPr>
          <w:p w14:paraId="7F6FD18C" w14:textId="77777777" w:rsidR="00CE6E0B" w:rsidRDefault="00CE6E0B" w:rsidP="0031289D">
            <w:pPr>
              <w:bidi/>
              <w:spacing w:after="180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lastRenderedPageBreak/>
              <w:t>ثابت</w:t>
            </w:r>
          </w:p>
          <w:p w14:paraId="7FC6EF67" w14:textId="77777777" w:rsidR="00CE6E0B" w:rsidRDefault="00CE6E0B" w:rsidP="0031289D">
            <w:pPr>
              <w:bidi/>
              <w:spacing w:after="240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0DDB32E4" w14:textId="77777777" w:rsidR="00CE6E0B" w:rsidRDefault="00CE6E0B" w:rsidP="0031289D">
            <w:pPr>
              <w:bidi/>
              <w:spacing w:after="456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2D3BFAAB" w14:textId="77777777" w:rsidR="00CE6E0B" w:rsidRDefault="00CE6E0B" w:rsidP="0031289D">
            <w:pPr>
              <w:bidi/>
              <w:spacing w:after="264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p w14:paraId="710C418B" w14:textId="77777777" w:rsidR="00CE6E0B" w:rsidRPr="00095911" w:rsidRDefault="00CE6E0B" w:rsidP="0031289D">
            <w:pPr>
              <w:bidi/>
              <w:spacing w:before="3360" w:after="120" w:line="280" w:lineRule="exact"/>
              <w:jc w:val="center"/>
              <w:rPr>
                <w:rFonts w:ascii="Arabic Typesetting" w:eastAsia="Arabic Typesetting" w:hAnsi="Arabic Typesetting" w:cs="Arabic Typesetting"/>
                <w:b/>
                <w:color w:val="00000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lastRenderedPageBreak/>
              <w:t>ثابت</w:t>
            </w:r>
          </w:p>
        </w:tc>
      </w:tr>
      <w:tr w:rsidR="00CE6E0B" w:rsidRPr="00095911" w14:paraId="00183B2C" w14:textId="77777777" w:rsidTr="00BB3820">
        <w:trPr>
          <w:trHeight w:val="565"/>
        </w:trPr>
        <w:tc>
          <w:tcPr>
            <w:tcW w:w="5000" w:type="pct"/>
            <w:gridSpan w:val="5"/>
            <w:shd w:val="clear" w:color="auto" w:fill="C6D9F1"/>
            <w:tcMar>
              <w:left w:w="58" w:type="dxa"/>
              <w:right w:w="58" w:type="dxa"/>
            </w:tcMar>
            <w:vAlign w:val="center"/>
          </w:tcPr>
          <w:p w14:paraId="46DF504C" w14:textId="77777777" w:rsidR="00CE6E0B" w:rsidRPr="00095911" w:rsidRDefault="00CE6E0B"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lastRenderedPageBreak/>
              <w:t>‏النتيجة المرتقبة:</w:t>
            </w:r>
            <w:r w:rsidRPr="00095911">
              <w:rPr>
                <w:rFonts w:ascii="Arabic Typesetting" w:eastAsia="Arabic Typesetting" w:hAnsi="Arabic Typesetting" w:cs="Arabic Typesetting"/>
                <w:sz w:val="28"/>
                <w:szCs w:val="28"/>
                <w:lang w:eastAsia="ar-EG" w:bidi="ar-EG"/>
              </w:rPr>
              <w:tab/>
            </w:r>
            <w:r w:rsidRPr="00095911">
              <w:rPr>
                <w:rFonts w:ascii="Arabic Typesetting" w:eastAsia="Arabic Typesetting" w:hAnsi="Arabic Typesetting" w:cs="Arabic Typesetting"/>
                <w:sz w:val="28"/>
                <w:szCs w:val="28"/>
                <w:rtl/>
                <w:lang w:eastAsia="ar-EG" w:bidi="ar-EG"/>
              </w:rPr>
              <w:t>ھ2.4 نفاذ محسّن إلى المعلومات المتعلقة بالملكية الفكرية واستخدامها من قبل مؤسسات الملكية الفكرية والجمهور لتشجيع الابتكار</w:t>
            </w:r>
            <w:r>
              <w:rPr>
                <w:rFonts w:ascii="Arabic Typesetting" w:eastAsia="Arabic Typesetting" w:hAnsi="Arabic Typesetting" w:cs="Arabic Typesetting" w:hint="cs"/>
                <w:sz w:val="28"/>
                <w:szCs w:val="28"/>
                <w:rtl/>
                <w:lang w:eastAsia="ar-EG" w:bidi="ar-EG"/>
              </w:rPr>
              <w:t> </w:t>
            </w:r>
            <w:r w:rsidRPr="00095911">
              <w:rPr>
                <w:rFonts w:ascii="Arabic Typesetting" w:eastAsia="Arabic Typesetting" w:hAnsi="Arabic Typesetting" w:cs="Arabic Typesetting"/>
                <w:sz w:val="28"/>
                <w:szCs w:val="28"/>
                <w:rtl/>
                <w:lang w:eastAsia="ar-EG" w:bidi="ar-EG"/>
              </w:rPr>
              <w:t>والإبداع</w:t>
            </w:r>
          </w:p>
        </w:tc>
      </w:tr>
      <w:tr w:rsidR="00CE6E0B" w:rsidRPr="00095911" w14:paraId="5658E7B1" w14:textId="77777777" w:rsidTr="009C2128">
        <w:tc>
          <w:tcPr>
            <w:tcW w:w="1083" w:type="pct"/>
            <w:shd w:val="clear" w:color="auto" w:fill="auto"/>
            <w:tcMar>
              <w:left w:w="58" w:type="dxa"/>
              <w:right w:w="58" w:type="dxa"/>
            </w:tcMar>
            <w:vAlign w:val="center"/>
          </w:tcPr>
          <w:p w14:paraId="3CA2A601"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مؤشرات الأداء</w:t>
            </w:r>
          </w:p>
        </w:tc>
        <w:tc>
          <w:tcPr>
            <w:tcW w:w="1453" w:type="pct"/>
            <w:shd w:val="clear" w:color="auto" w:fill="auto"/>
            <w:tcMar>
              <w:left w:w="58" w:type="dxa"/>
              <w:right w:w="58" w:type="dxa"/>
            </w:tcMar>
            <w:vAlign w:val="center"/>
          </w:tcPr>
          <w:p w14:paraId="46C755D9"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أسس المقارنة</w:t>
            </w:r>
          </w:p>
        </w:tc>
        <w:tc>
          <w:tcPr>
            <w:tcW w:w="849" w:type="pct"/>
            <w:shd w:val="clear" w:color="auto" w:fill="auto"/>
            <w:tcMar>
              <w:top w:w="110" w:type="dxa"/>
              <w:left w:w="58" w:type="dxa"/>
              <w:right w:w="58" w:type="dxa"/>
            </w:tcMar>
            <w:vAlign w:val="center"/>
          </w:tcPr>
          <w:p w14:paraId="68353302"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الأهداف</w:t>
            </w:r>
          </w:p>
        </w:tc>
        <w:tc>
          <w:tcPr>
            <w:tcW w:w="1227" w:type="pct"/>
            <w:shd w:val="clear" w:color="auto" w:fill="FFFFFF"/>
            <w:tcMar>
              <w:top w:w="110" w:type="dxa"/>
              <w:left w:w="58" w:type="dxa"/>
              <w:right w:w="58" w:type="dxa"/>
            </w:tcMar>
            <w:vAlign w:val="center"/>
          </w:tcPr>
          <w:p w14:paraId="5BF2B103" w14:textId="77777777" w:rsidR="00CE6E0B" w:rsidRPr="000959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بيانات الأداء</w:t>
            </w:r>
          </w:p>
        </w:tc>
        <w:tc>
          <w:tcPr>
            <w:tcW w:w="388" w:type="pct"/>
            <w:shd w:val="clear" w:color="auto" w:fill="auto"/>
            <w:tcMar>
              <w:top w:w="110" w:type="dxa"/>
              <w:left w:w="58" w:type="dxa"/>
              <w:right w:w="58" w:type="dxa"/>
            </w:tcMar>
            <w:vAlign w:val="center"/>
          </w:tcPr>
          <w:p w14:paraId="087D9F67" w14:textId="77777777" w:rsidR="00CE6E0B" w:rsidRPr="00095911" w:rsidRDefault="00CE6E0B" w:rsidP="0031289D">
            <w:pPr>
              <w:bidi/>
              <w:spacing w:after="120" w:line="280" w:lineRule="exact"/>
              <w:jc w:val="center"/>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السير</w:t>
            </w:r>
          </w:p>
        </w:tc>
      </w:tr>
      <w:tr w:rsidR="00CE6E0B" w:rsidRPr="00095911" w14:paraId="30ECD982" w14:textId="77777777" w:rsidTr="009C2128">
        <w:trPr>
          <w:trHeight w:val="443"/>
        </w:trPr>
        <w:tc>
          <w:tcPr>
            <w:tcW w:w="1083" w:type="pct"/>
            <w:shd w:val="clear" w:color="auto" w:fill="auto"/>
            <w:tcMar>
              <w:left w:w="58" w:type="dxa"/>
              <w:right w:w="58" w:type="dxa"/>
            </w:tcMar>
          </w:tcPr>
          <w:p w14:paraId="2BBD50C3"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عدد شبكات مراكز دعم التكنولوجيا والابتكار الوطنية المستدامة</w:t>
            </w:r>
            <w:r w:rsidRPr="00095911">
              <w:rPr>
                <w:rFonts w:ascii="Arabic Typesetting" w:eastAsia="Arabic Typesetting" w:hAnsi="Arabic Typesetting" w:cs="Arabic Typesetting"/>
                <w:color w:val="000000"/>
                <w:sz w:val="28"/>
                <w:szCs w:val="28"/>
                <w:vertAlign w:val="superscript"/>
                <w:lang w:eastAsia="ar-EG" w:bidi="ar-EG"/>
              </w:rPr>
              <w:footnoteReference w:id="50"/>
            </w:r>
            <w:r w:rsidRPr="00095911">
              <w:rPr>
                <w:rFonts w:ascii="Arabic Typesetting" w:eastAsia="Arabic Typesetting" w:hAnsi="Arabic Typesetting" w:cs="Arabic Typesetting"/>
                <w:color w:val="000000"/>
                <w:sz w:val="28"/>
                <w:szCs w:val="28"/>
                <w:rtl/>
                <w:lang w:eastAsia="ar-EG" w:bidi="ar-EG"/>
              </w:rPr>
              <w:t xml:space="preserve"> (العدد التراكمي)</w:t>
            </w:r>
          </w:p>
        </w:tc>
        <w:tc>
          <w:tcPr>
            <w:tcW w:w="1453" w:type="pct"/>
            <w:shd w:val="clear" w:color="auto" w:fill="auto"/>
            <w:tcMar>
              <w:left w:w="58" w:type="dxa"/>
              <w:right w:w="58" w:type="dxa"/>
            </w:tcMar>
          </w:tcPr>
          <w:p w14:paraId="18D00C0E"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rtl/>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23 شبكة مراكز وطنية مستدامة م</w:t>
            </w:r>
            <w:r>
              <w:rPr>
                <w:rFonts w:ascii="Arabic Typesetting" w:eastAsia="Arabic Typesetting" w:hAnsi="Arabic Typesetting" w:cs="Arabic Typesetting"/>
                <w:color w:val="002060"/>
                <w:sz w:val="28"/>
                <w:szCs w:val="28"/>
                <w:rtl/>
                <w:lang w:eastAsia="ar-EG" w:bidi="ar-EG"/>
              </w:rPr>
              <w:t>ن أصل 50 شبكة مراكز قائمة رسميا</w:t>
            </w:r>
          </w:p>
          <w:p w14:paraId="006B25F2" w14:textId="77777777" w:rsidR="00CE6E0B" w:rsidRDefault="00CE6E0B" w:rsidP="00E335D4">
            <w:pPr>
              <w:bidi/>
              <w:spacing w:after="360"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مستوى النضج الأول:</w:t>
            </w:r>
            <w:r>
              <w:rPr>
                <w:rFonts w:ascii="Arabic Typesetting" w:eastAsia="Arabic Typesetting" w:hAnsi="Arabic Typesetting" w:cs="Arabic Typesetting"/>
                <w:color w:val="002060"/>
                <w:sz w:val="28"/>
                <w:szCs w:val="28"/>
                <w:rtl/>
                <w:lang w:eastAsia="ar-EG" w:bidi="ar-EG"/>
              </w:rPr>
              <w:br/>
            </w:r>
            <w:r w:rsidRPr="00791E2E">
              <w:rPr>
                <w:rFonts w:ascii="Arabic Typesetting" w:eastAsia="Arabic Typesetting" w:hAnsi="Arabic Typesetting" w:cs="Arabic Typesetting"/>
                <w:color w:val="002060"/>
                <w:spacing w:val="-4"/>
                <w:sz w:val="26"/>
                <w:szCs w:val="26"/>
                <w:rtl/>
                <w:lang w:eastAsia="ar-EG" w:bidi="ar-EG"/>
              </w:rPr>
              <w:t>أفريقيا (8 شبكات منها 6 في البلدان الأقل نموا)</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المنطقة العربية (1)</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آسيا والمحيط الهادئ (3)</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أمريكا اللاتينية والكاريبي (5)</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(17 إجمالاً)</w:t>
            </w:r>
          </w:p>
          <w:p w14:paraId="299B5283"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lastRenderedPageBreak/>
              <w:t>مستوى النضج الثاني:</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أفريقيا (شبكتان منهما شبكة في البلدان الأقل نموا)</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المنطقة العربية (0)</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آسيا والمحيط الهادئ (0)</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أمريكا اللاتينية والكاريبي (2)</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(4 إجمالاً)</w:t>
            </w:r>
          </w:p>
          <w:p w14:paraId="46B93BC4" w14:textId="6679410D" w:rsidR="00CE6E0B" w:rsidRDefault="00CE6E0B" w:rsidP="003E33F1">
            <w:pPr>
              <w:bidi/>
              <w:spacing w:after="120"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مستوى النضج الثالث، بما في ذلك توفير خدمات ذات قيمة مضافة</w:t>
            </w:r>
            <w:r w:rsidR="003E33F1">
              <w:rPr>
                <w:rStyle w:val="FootnoteReference"/>
                <w:rFonts w:eastAsia="Arabic Typesetting"/>
                <w:color w:val="002060"/>
                <w:rtl/>
                <w:lang w:eastAsia="ar-EG" w:bidi="ar-EG"/>
              </w:rPr>
              <w:footnoteReference w:id="51"/>
            </w:r>
            <w:r w:rsidRPr="00095911">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أفريقيا (0)</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المنطقة العربية (1)</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آسيا والمحيط الهادئ (1)</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أمريكا اللاتينية والكاريبي (0)</w:t>
            </w:r>
            <w:r>
              <w:rPr>
                <w:rFonts w:ascii="Arabic Typesetting" w:eastAsia="Arabic Typesetting" w:hAnsi="Arabic Typesetting" w:cs="Arabic Typesetting"/>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(2 إجمالاً)</w:t>
            </w:r>
          </w:p>
          <w:p w14:paraId="4B369AD1" w14:textId="77777777" w:rsidR="00CE6E0B" w:rsidRDefault="00CE6E0B" w:rsidP="0031289D">
            <w:pPr>
              <w:bidi/>
              <w:spacing w:line="280" w:lineRule="exact"/>
              <w:rPr>
                <w:rFonts w:ascii="Arabic Typesetting" w:eastAsia="Arabic Typesetting" w:hAnsi="Arabic Typesetting" w:cs="Arabic Typesetting"/>
                <w:i/>
                <w:iCs/>
                <w:sz w:val="28"/>
                <w:szCs w:val="28"/>
                <w:rtl/>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08DE2689"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sz w:val="28"/>
                <w:szCs w:val="28"/>
                <w:rtl/>
                <w:lang w:eastAsia="ar-EG" w:bidi="ar-EG"/>
              </w:rPr>
              <w:t>أفريقيا (9)</w:t>
            </w:r>
          </w:p>
          <w:p w14:paraId="4D790ABE"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(2)</w:t>
            </w:r>
          </w:p>
          <w:p w14:paraId="379E04F9" w14:textId="77777777" w:rsidR="00CE6E0B" w:rsidRPr="00095911" w:rsidRDefault="00CE6E0B" w:rsidP="0031289D">
            <w:pPr>
              <w:numPr>
                <w:ilvl w:val="0"/>
                <w:numId w:val="12"/>
              </w:numPr>
              <w:bidi/>
              <w:spacing w:line="280" w:lineRule="exact"/>
              <w:ind w:left="219" w:hanging="219"/>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(3)</w:t>
            </w:r>
          </w:p>
          <w:p w14:paraId="44319827" w14:textId="77777777" w:rsidR="00CE6E0B" w:rsidRPr="00095911" w:rsidRDefault="00CE6E0B" w:rsidP="0031289D">
            <w:pPr>
              <w:numPr>
                <w:ilvl w:val="0"/>
                <w:numId w:val="12"/>
              </w:numPr>
              <w:bidi/>
              <w:spacing w:after="60" w:line="280" w:lineRule="exact"/>
              <w:ind w:left="219" w:hanging="219"/>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sz w:val="28"/>
                <w:szCs w:val="28"/>
                <w:rtl/>
                <w:lang w:eastAsia="ar-EG" w:bidi="ar-EG"/>
              </w:rPr>
              <w:t>أمريكا اللاتينية والكاريبي (5)</w:t>
            </w:r>
          </w:p>
        </w:tc>
        <w:tc>
          <w:tcPr>
            <w:tcW w:w="849" w:type="pct"/>
            <w:shd w:val="clear" w:color="auto" w:fill="auto"/>
            <w:tcMar>
              <w:top w:w="110" w:type="dxa"/>
              <w:left w:w="58" w:type="dxa"/>
              <w:right w:w="58" w:type="dxa"/>
            </w:tcMar>
          </w:tcPr>
          <w:p w14:paraId="3DA6E5E3"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lastRenderedPageBreak/>
              <w:t>أفريقيا (11)</w:t>
            </w:r>
          </w:p>
          <w:p w14:paraId="46CE0783"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المنطقة العربية (4)</w:t>
            </w:r>
          </w:p>
          <w:p w14:paraId="69030275"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آسيا والمحيط الهادئ (5)</w:t>
            </w:r>
          </w:p>
          <w:p w14:paraId="3382227D" w14:textId="77777777" w:rsidR="00CE6E0B" w:rsidRPr="00095911" w:rsidRDefault="00CE6E0B" w:rsidP="0031289D">
            <w:pPr>
              <w:numPr>
                <w:ilvl w:val="0"/>
                <w:numId w:val="12"/>
              </w:numPr>
              <w:bidi/>
              <w:spacing w:after="120" w:line="280" w:lineRule="exact"/>
              <w:ind w:left="219" w:hanging="219"/>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أمريكا اللاتينية والكاريبي (8)</w:t>
            </w:r>
          </w:p>
        </w:tc>
        <w:tc>
          <w:tcPr>
            <w:tcW w:w="1227" w:type="pct"/>
            <w:shd w:val="clear" w:color="auto" w:fill="FFFFFF"/>
            <w:tcMar>
              <w:top w:w="110" w:type="dxa"/>
              <w:left w:w="58" w:type="dxa"/>
              <w:right w:w="58" w:type="dxa"/>
            </w:tcMar>
          </w:tcPr>
          <w:p w14:paraId="2271E30A" w14:textId="77777777" w:rsidR="00CE6E0B"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27 شبكة وطنية مستدامة (التراكمي في نهاية عام 2016)</w:t>
            </w:r>
          </w:p>
          <w:p w14:paraId="061FB101" w14:textId="77777777" w:rsidR="00CE6E0B" w:rsidRDefault="00CE6E0B" w:rsidP="00E335D4">
            <w:pPr>
              <w:bidi/>
              <w:spacing w:after="7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مستوى النضج الأول:</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أفريقيا (3 شبكات منها شبكة في البلدان الأقل نموا)</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آسيا والمحيط الهادئ (2)</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أمريكا اللاتينية والكاريبي (2)</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(7 إجمالاً)</w:t>
            </w:r>
          </w:p>
          <w:p w14:paraId="08D639F3" w14:textId="77777777" w:rsidR="00CE6E0B"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lastRenderedPageBreak/>
              <w:t>مستوى النضج الثاني:</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أفريقيا (8 شبكات منها 6 في البلدان الأقل نموا)</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المنطقة العربية (1)</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آسيا والمحيط الهادئ (2)</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أمريكا اللاتينية والكاريبي (4)</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(15 إجمالاً)</w:t>
            </w:r>
          </w:p>
          <w:p w14:paraId="1D79D6CD" w14:textId="1204A1AC" w:rsidR="00CE6E0B" w:rsidRPr="00095911" w:rsidRDefault="00CE6E0B" w:rsidP="003E33F1">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مستوى النضج الثالث، بما في ذلك توفير خدمات ذات قيمة مضافة</w:t>
            </w:r>
            <w:r w:rsidR="003E33F1">
              <w:rPr>
                <w:rStyle w:val="FootnoteReference"/>
                <w:rFonts w:eastAsia="Arabic Typesetting"/>
                <w:color w:val="000000"/>
                <w:rtl/>
                <w:lang w:eastAsia="ar-EG" w:bidi="ar-EG"/>
              </w:rPr>
              <w:footnoteReference w:id="52"/>
            </w:r>
            <w:r w:rsidRPr="00095911">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أفريقيا (1)</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المنطقة العربية (1)</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آسيا والمحيط الهادئ (1)</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أمريكا اللاتينية والكاريبي (2)</w:t>
            </w:r>
            <w:r>
              <w:rPr>
                <w:rFonts w:ascii="Arabic Typesetting" w:eastAsia="Arabic Typesetting" w:hAnsi="Arabic Typesetting" w:cs="Arabic Typesetting"/>
                <w:color w:val="000000"/>
                <w:sz w:val="28"/>
                <w:szCs w:val="28"/>
                <w:rtl/>
                <w:lang w:eastAsia="ar-EG" w:bidi="ar-EG"/>
              </w:rPr>
              <w:br/>
            </w:r>
            <w:r w:rsidRPr="00095911">
              <w:rPr>
                <w:rFonts w:ascii="Arabic Typesetting" w:eastAsia="Arabic Typesetting" w:hAnsi="Arabic Typesetting" w:cs="Arabic Typesetting"/>
                <w:sz w:val="28"/>
                <w:szCs w:val="28"/>
                <w:rtl/>
                <w:lang w:eastAsia="ar-EG" w:bidi="ar-EG"/>
              </w:rPr>
              <w:t>(5 إجمالاً)</w:t>
            </w:r>
          </w:p>
        </w:tc>
        <w:tc>
          <w:tcPr>
            <w:tcW w:w="388" w:type="pct"/>
            <w:shd w:val="clear" w:color="auto" w:fill="auto"/>
            <w:tcMar>
              <w:top w:w="110" w:type="dxa"/>
              <w:left w:w="58" w:type="dxa"/>
              <w:right w:w="58" w:type="dxa"/>
            </w:tcMar>
          </w:tcPr>
          <w:p w14:paraId="663240CD" w14:textId="77777777" w:rsidR="00CE6E0B" w:rsidRPr="00B34F79" w:rsidRDefault="00CE6E0B"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lastRenderedPageBreak/>
              <w:t>ثابت</w:t>
            </w:r>
          </w:p>
        </w:tc>
      </w:tr>
      <w:tr w:rsidR="00CE6E0B" w:rsidRPr="00095911" w14:paraId="4D865E9C" w14:textId="77777777" w:rsidTr="009C2128">
        <w:trPr>
          <w:trHeight w:val="885"/>
        </w:trPr>
        <w:tc>
          <w:tcPr>
            <w:tcW w:w="1083" w:type="pct"/>
            <w:shd w:val="clear" w:color="auto" w:fill="auto"/>
            <w:tcMar>
              <w:left w:w="58" w:type="dxa"/>
              <w:right w:w="58" w:type="dxa"/>
            </w:tcMar>
          </w:tcPr>
          <w:p w14:paraId="09610C53"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lastRenderedPageBreak/>
              <w:t>عدد المنظمات والمجتمعات والأفراد الذين طبقوا التكنولوجيا الملائمة واستخدموها كحل للتحديات الإنمائية المحددة في البلدان الأقل نموا</w:t>
            </w:r>
          </w:p>
        </w:tc>
        <w:tc>
          <w:tcPr>
            <w:tcW w:w="1453" w:type="pct"/>
            <w:shd w:val="clear" w:color="auto" w:fill="auto"/>
            <w:tcMar>
              <w:left w:w="58" w:type="dxa"/>
              <w:right w:w="58" w:type="dxa"/>
            </w:tcMar>
          </w:tcPr>
          <w:p w14:paraId="6B227330"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color w:val="002060"/>
                <w:sz w:val="28"/>
                <w:szCs w:val="28"/>
                <w:rtl/>
                <w:lang w:eastAsia="ar-EG" w:bidi="ar-EG"/>
              </w:rPr>
              <w:t>6 منظمات في البلدان الأقل نمواً</w:t>
            </w:r>
          </w:p>
          <w:p w14:paraId="23A9EAA1"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منظمات من 6 بلدان من البلدان الأقل نمواً (2014)</w:t>
            </w:r>
          </w:p>
        </w:tc>
        <w:tc>
          <w:tcPr>
            <w:tcW w:w="849" w:type="pct"/>
            <w:shd w:val="clear" w:color="auto" w:fill="auto"/>
            <w:tcMar>
              <w:top w:w="110" w:type="dxa"/>
              <w:left w:w="58" w:type="dxa"/>
              <w:right w:w="58" w:type="dxa"/>
            </w:tcMar>
          </w:tcPr>
          <w:p w14:paraId="489AF56F"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منظمات من 3 بلدان إضافية من البلدان الأقل نمواً</w:t>
            </w:r>
          </w:p>
        </w:tc>
        <w:tc>
          <w:tcPr>
            <w:tcW w:w="1227" w:type="pct"/>
            <w:shd w:val="clear" w:color="auto" w:fill="FFFFFF"/>
            <w:tcMar>
              <w:top w:w="110" w:type="dxa"/>
              <w:left w:w="58" w:type="dxa"/>
              <w:right w:w="58" w:type="dxa"/>
            </w:tcMar>
          </w:tcPr>
          <w:p w14:paraId="7BC68015" w14:textId="77777777" w:rsidR="00CE6E0B" w:rsidRDefault="00CE6E0B" w:rsidP="0031289D">
            <w:pPr>
              <w:bidi/>
              <w:spacing w:after="40" w:line="280" w:lineRule="exact"/>
              <w:rPr>
                <w:rFonts w:ascii="Arabic Typesetting" w:eastAsia="Arabic Typesetting" w:hAnsi="Arabic Typesetting" w:cs="Arabic Typesetting"/>
                <w:sz w:val="28"/>
                <w:szCs w:val="28"/>
                <w:rtl/>
                <w:lang w:eastAsia="ar-EG" w:bidi="ar-EG"/>
              </w:rPr>
            </w:pPr>
            <w:r w:rsidRPr="00095911">
              <w:rPr>
                <w:rFonts w:ascii="Arabic Typesetting" w:eastAsia="Arabic Typesetting" w:hAnsi="Arabic Typesetting" w:cs="Arabic Typesetting"/>
                <w:sz w:val="28"/>
                <w:szCs w:val="28"/>
                <w:rtl/>
                <w:lang w:eastAsia="ar-EG" w:bidi="ar-EG"/>
              </w:rPr>
              <w:t>4 منظمات تعمل على تكنولوجيا ملائمة في</w:t>
            </w:r>
            <w:r>
              <w:rPr>
                <w:rFonts w:ascii="Arabic Typesetting" w:eastAsia="Arabic Typesetting" w:hAnsi="Arabic Typesetting" w:cs="Arabic Typesetting"/>
                <w:sz w:val="28"/>
                <w:szCs w:val="28"/>
                <w:rtl/>
                <w:lang w:eastAsia="ar-EG" w:bidi="ar-EG"/>
              </w:rPr>
              <w:t xml:space="preserve"> 3 بلدان من البلدان الأقل نمواً</w:t>
            </w:r>
          </w:p>
          <w:p w14:paraId="092CA0E4" w14:textId="77777777" w:rsidR="00CE6E0B" w:rsidRDefault="00CE6E0B" w:rsidP="0031289D">
            <w:pPr>
              <w:bidi/>
              <w:spacing w:after="4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إثيوبيا (1)</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Pr>
                <w:rFonts w:ascii="Arabic Typesetting" w:eastAsia="Arabic Typesetting" w:hAnsi="Arabic Typesetting" w:cs="Arabic Typesetting" w:hint="cs"/>
                <w:sz w:val="28"/>
                <w:szCs w:val="28"/>
                <w:rtl/>
                <w:lang w:eastAsia="ar-EG" w:bidi="ar-EG"/>
              </w:rPr>
              <w:t xml:space="preserve">- </w:t>
            </w:r>
            <w:r w:rsidRPr="00095911">
              <w:rPr>
                <w:rFonts w:ascii="Arabic Typesetting" w:eastAsia="Arabic Typesetting" w:hAnsi="Arabic Typesetting" w:cs="Arabic Typesetting"/>
                <w:sz w:val="28"/>
                <w:szCs w:val="28"/>
                <w:rtl/>
                <w:lang w:eastAsia="ar-EG" w:bidi="ar-EG"/>
              </w:rPr>
              <w:t>وزارة العلوم والتكنولوجيا</w:t>
            </w:r>
          </w:p>
          <w:p w14:paraId="1024F6AA" w14:textId="77777777" w:rsidR="00CE6E0B" w:rsidRDefault="00CE6E0B" w:rsidP="0031289D">
            <w:pPr>
              <w:bidi/>
              <w:spacing w:after="4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رواندا (1)</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Pr>
                <w:rFonts w:ascii="Arabic Typesetting" w:eastAsia="Arabic Typesetting" w:hAnsi="Arabic Typesetting" w:cs="Arabic Typesetting" w:hint="cs"/>
                <w:sz w:val="28"/>
                <w:szCs w:val="28"/>
                <w:rtl/>
                <w:lang w:eastAsia="ar-EG" w:bidi="ar-EG"/>
              </w:rPr>
              <w:t xml:space="preserve">- </w:t>
            </w:r>
            <w:r w:rsidRPr="00095911">
              <w:rPr>
                <w:rFonts w:ascii="Arabic Typesetting" w:eastAsia="Arabic Typesetting" w:hAnsi="Arabic Typesetting" w:cs="Arabic Typesetting"/>
                <w:sz w:val="28"/>
                <w:szCs w:val="28"/>
                <w:rtl/>
                <w:lang w:eastAsia="ar-EG" w:bidi="ar-EG"/>
              </w:rPr>
              <w:t>الوكالة الوطنية للبحث والتطوير الصناعي</w:t>
            </w:r>
          </w:p>
          <w:p w14:paraId="75179532" w14:textId="77777777" w:rsidR="00CE6E0B" w:rsidRDefault="00CE6E0B" w:rsidP="0031289D">
            <w:pPr>
              <w:bidi/>
              <w:spacing w:after="4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جمهورية تنزانيا المتحدة (2):</w:t>
            </w:r>
            <w:r>
              <w:rPr>
                <w:rFonts w:ascii="Arabic Typesetting" w:eastAsia="Arabic Typesetting" w:hAnsi="Arabic Typesetting" w:cs="Arabic Typesetting"/>
                <w:sz w:val="28"/>
                <w:szCs w:val="28"/>
                <w:rtl/>
                <w:lang w:eastAsia="ar-EG" w:bidi="ar-EG"/>
              </w:rPr>
              <w:br/>
            </w:r>
            <w:r w:rsidRPr="00095911">
              <w:rPr>
                <w:rFonts w:ascii="Arabic Typesetting" w:eastAsia="Arabic Typesetting" w:hAnsi="Arabic Typesetting" w:cs="Arabic Typesetting"/>
                <w:sz w:val="28"/>
                <w:szCs w:val="28"/>
                <w:rtl/>
                <w:lang w:eastAsia="ar-EG" w:bidi="ar-EG"/>
              </w:rPr>
              <w:t xml:space="preserve">- لجنة تنزانيا للعلوم والتكنولوجيا </w:t>
            </w:r>
            <w:r>
              <w:rPr>
                <w:rFonts w:ascii="Arabic Typesetting" w:eastAsia="Arabic Typesetting" w:hAnsi="Arabic Typesetting" w:cs="Arabic Typesetting" w:hint="cs"/>
                <w:sz w:val="28"/>
                <w:szCs w:val="28"/>
                <w:rtl/>
                <w:lang w:eastAsia="ar-EG" w:bidi="ar-EG"/>
              </w:rPr>
              <w:t>(</w:t>
            </w:r>
            <w:r>
              <w:rPr>
                <w:rFonts w:ascii="Arabic Typesetting" w:eastAsia="Arabic Typesetting" w:hAnsi="Arabic Typesetting" w:cs="Arabic Typesetting"/>
                <w:sz w:val="28"/>
                <w:szCs w:val="28"/>
                <w:lang w:eastAsia="ar-EG" w:bidi="ar-EG"/>
              </w:rPr>
              <w:t>COSTECH</w:t>
            </w:r>
            <w:r>
              <w:rPr>
                <w:rFonts w:ascii="Arabic Typesetting" w:eastAsia="Arabic Typesetting" w:hAnsi="Arabic Typesetting" w:cs="Arabic Typesetting" w:hint="cs"/>
                <w:sz w:val="28"/>
                <w:szCs w:val="28"/>
                <w:rtl/>
                <w:lang w:eastAsia="ar-EG" w:bidi="ar-EG"/>
              </w:rPr>
              <w:t>)</w:t>
            </w:r>
            <w:r>
              <w:rPr>
                <w:rFonts w:ascii="Arabic Typesetting" w:eastAsia="Arabic Typesetting" w:hAnsi="Arabic Typesetting" w:cs="Arabic Typesetting"/>
                <w:sz w:val="28"/>
                <w:szCs w:val="28"/>
                <w:rtl/>
                <w:lang w:eastAsia="ar-EG" w:bidi="ar-EG"/>
              </w:rPr>
              <w:br/>
              <w:t>- جامعة زنجبار</w:t>
            </w:r>
          </w:p>
          <w:p w14:paraId="24C39D45" w14:textId="77777777" w:rsidR="00CE6E0B" w:rsidRPr="00095911" w:rsidRDefault="00CE6E0B" w:rsidP="0031289D">
            <w:pPr>
              <w:bidi/>
              <w:spacing w:after="4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sz w:val="28"/>
                <w:szCs w:val="28"/>
                <w:rtl/>
                <w:lang w:eastAsia="ar-EG" w:bidi="ar-EG"/>
              </w:rPr>
              <w:t>(التراكمي 10 منظمات في 6 بلدان من البلدان الأقل نمواً)</w:t>
            </w:r>
          </w:p>
        </w:tc>
        <w:tc>
          <w:tcPr>
            <w:tcW w:w="388" w:type="pct"/>
            <w:shd w:val="clear" w:color="auto" w:fill="auto"/>
            <w:tcMar>
              <w:top w:w="110" w:type="dxa"/>
              <w:left w:w="58" w:type="dxa"/>
              <w:right w:w="58" w:type="dxa"/>
            </w:tcMar>
          </w:tcPr>
          <w:p w14:paraId="7F752E83"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tc>
      </w:tr>
      <w:tr w:rsidR="00CE6E0B" w:rsidRPr="00095911" w14:paraId="22933A9C" w14:textId="77777777" w:rsidTr="0059581F">
        <w:trPr>
          <w:cantSplit/>
          <w:trHeight w:val="1582"/>
        </w:trPr>
        <w:tc>
          <w:tcPr>
            <w:tcW w:w="1083" w:type="pct"/>
            <w:shd w:val="clear" w:color="auto" w:fill="auto"/>
            <w:tcMar>
              <w:left w:w="58" w:type="dxa"/>
              <w:right w:w="58" w:type="dxa"/>
            </w:tcMar>
          </w:tcPr>
          <w:p w14:paraId="36E86CCD"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lastRenderedPageBreak/>
              <w:t>استخدام التكنولوجيا الملائمة في سبيل التنمية من خلال البحوث في البراءات وتقاريرها والتقارير عن واقع التكنولوجيا والخطط المؤسسية (عدد الخبراء ومجموعات الخبراء الوطنيين في البلدان الأقل نموا)</w:t>
            </w:r>
          </w:p>
        </w:tc>
        <w:tc>
          <w:tcPr>
            <w:tcW w:w="1453" w:type="pct"/>
            <w:shd w:val="clear" w:color="auto" w:fill="auto"/>
            <w:tcMar>
              <w:left w:w="58" w:type="dxa"/>
              <w:right w:w="58" w:type="dxa"/>
            </w:tcMar>
          </w:tcPr>
          <w:p w14:paraId="0DA2BE0E"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 xml:space="preserve">6 بلدان من البلدان الأقل نمواً </w:t>
            </w:r>
          </w:p>
        </w:tc>
        <w:tc>
          <w:tcPr>
            <w:tcW w:w="849" w:type="pct"/>
            <w:shd w:val="clear" w:color="auto" w:fill="auto"/>
            <w:tcMar>
              <w:top w:w="110" w:type="dxa"/>
              <w:left w:w="58" w:type="dxa"/>
              <w:right w:w="58" w:type="dxa"/>
            </w:tcMar>
          </w:tcPr>
          <w:p w14:paraId="3761E0CD"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3 بلدان إضافية في البلدان الأقل نموا</w:t>
            </w:r>
          </w:p>
        </w:tc>
        <w:tc>
          <w:tcPr>
            <w:tcW w:w="1227" w:type="pct"/>
            <w:shd w:val="clear" w:color="auto" w:fill="FFFFFF"/>
            <w:tcMar>
              <w:top w:w="110" w:type="dxa"/>
              <w:left w:w="58" w:type="dxa"/>
              <w:right w:w="58" w:type="dxa"/>
            </w:tcMar>
          </w:tcPr>
          <w:p w14:paraId="40F9D76A" w14:textId="77777777" w:rsidR="00CE6E0B" w:rsidRPr="00095911" w:rsidRDefault="00CE6E0B" w:rsidP="0031289D">
            <w:pPr>
              <w:bidi/>
              <w:spacing w:after="4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9 خبراء إضافيين/مجموعات خبراء وطنيين إضافية:</w:t>
            </w:r>
          </w:p>
          <w:p w14:paraId="4BC9C729" w14:textId="77777777" w:rsidR="00CE6E0B" w:rsidRPr="00095911" w:rsidRDefault="00CE6E0B" w:rsidP="0031289D">
            <w:pPr>
              <w:numPr>
                <w:ilvl w:val="0"/>
                <w:numId w:val="16"/>
              </w:numPr>
              <w:bidi/>
              <w:spacing w:after="40" w:line="280" w:lineRule="exact"/>
              <w:ind w:left="360"/>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عيِّن 3 خبراء وطنيين (إثيوبيا ورواندا وجمهورية تنزانيا المتحدة)؛</w:t>
            </w:r>
          </w:p>
          <w:p w14:paraId="16EA5EF1" w14:textId="77777777" w:rsidR="00CE6E0B" w:rsidRPr="00095911" w:rsidRDefault="00CE6E0B" w:rsidP="0031289D">
            <w:pPr>
              <w:numPr>
                <w:ilvl w:val="0"/>
                <w:numId w:val="16"/>
              </w:numPr>
              <w:bidi/>
              <w:spacing w:after="40" w:line="280" w:lineRule="exact"/>
              <w:ind w:left="360"/>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عيِّن 3 خبراء دوليين (إثيوبيا ورواندا وجمهورية تنزانيا المتحدة)؛</w:t>
            </w:r>
          </w:p>
          <w:p w14:paraId="3848FE5F" w14:textId="77777777" w:rsidR="00CE6E0B" w:rsidRPr="00095911" w:rsidRDefault="00CE6E0B" w:rsidP="0031289D">
            <w:pPr>
              <w:numPr>
                <w:ilvl w:val="0"/>
                <w:numId w:val="16"/>
              </w:numPr>
              <w:bidi/>
              <w:spacing w:after="40" w:line="280" w:lineRule="exact"/>
              <w:ind w:left="360"/>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عيِّنت 3 مجموعات خبراء وطنيين (إثيوبيا ورو</w:t>
            </w:r>
            <w:r>
              <w:rPr>
                <w:rFonts w:ascii="Arabic Typesetting" w:eastAsia="Arabic Typesetting" w:hAnsi="Arabic Typesetting" w:cs="Arabic Typesetting"/>
                <w:color w:val="000000"/>
                <w:sz w:val="28"/>
                <w:szCs w:val="28"/>
                <w:rtl/>
                <w:lang w:eastAsia="ar-EG" w:bidi="ar-EG"/>
              </w:rPr>
              <w:t>اندا وجمهورية تنزانيا المتحدة)</w:t>
            </w:r>
          </w:p>
          <w:p w14:paraId="63534C8A" w14:textId="77777777" w:rsidR="00CE6E0B" w:rsidRPr="00095911" w:rsidRDefault="00CE6E0B" w:rsidP="0031289D">
            <w:pPr>
              <w:bidi/>
              <w:spacing w:after="4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(التراكمي 6 مجموعات خبراء وطنيين في 6 بلدان من البلدان الأقل نمواً)</w:t>
            </w:r>
          </w:p>
        </w:tc>
        <w:tc>
          <w:tcPr>
            <w:tcW w:w="388" w:type="pct"/>
            <w:shd w:val="clear" w:color="auto" w:fill="auto"/>
            <w:tcMar>
              <w:top w:w="110" w:type="dxa"/>
              <w:left w:w="58" w:type="dxa"/>
              <w:right w:w="58" w:type="dxa"/>
            </w:tcMar>
          </w:tcPr>
          <w:p w14:paraId="0DAC35A9"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tc>
      </w:tr>
      <w:tr w:rsidR="00CE6E0B" w:rsidRPr="00095911" w14:paraId="1D3F8BAF" w14:textId="77777777" w:rsidTr="009C2128">
        <w:trPr>
          <w:trHeight w:val="709"/>
        </w:trPr>
        <w:tc>
          <w:tcPr>
            <w:tcW w:w="1083" w:type="pct"/>
            <w:shd w:val="clear" w:color="auto" w:fill="auto"/>
            <w:tcMar>
              <w:left w:w="58" w:type="dxa"/>
              <w:right w:w="58" w:type="dxa"/>
            </w:tcMar>
          </w:tcPr>
          <w:p w14:paraId="053C3E94"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التكنولوجيا الملائمة المحددة والمسوقة في البلدان الأقل نموا</w:t>
            </w:r>
          </w:p>
        </w:tc>
        <w:tc>
          <w:tcPr>
            <w:tcW w:w="1453" w:type="pct"/>
            <w:shd w:val="clear" w:color="auto" w:fill="auto"/>
            <w:tcMar>
              <w:left w:w="58" w:type="dxa"/>
              <w:right w:w="58" w:type="dxa"/>
            </w:tcMar>
          </w:tcPr>
          <w:p w14:paraId="73396750"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6 تكنولوجيات ملائمة قيد النظر لتسويقها على مستوى الحكومة</w:t>
            </w:r>
          </w:p>
          <w:p w14:paraId="7C3D6710" w14:textId="77777777" w:rsidR="00CE6E0B" w:rsidRPr="00095911" w:rsidRDefault="00CE6E0B" w:rsidP="0031289D">
            <w:pPr>
              <w:bidi/>
              <w:spacing w:after="6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6 تكنولوجيات ملائمة</w:t>
            </w:r>
          </w:p>
        </w:tc>
        <w:tc>
          <w:tcPr>
            <w:tcW w:w="849" w:type="pct"/>
            <w:shd w:val="clear" w:color="auto" w:fill="auto"/>
            <w:tcMar>
              <w:top w:w="110" w:type="dxa"/>
              <w:left w:w="58" w:type="dxa"/>
              <w:right w:w="58" w:type="dxa"/>
            </w:tcMar>
          </w:tcPr>
          <w:p w14:paraId="5AA7CC85"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3 تكنولوجيات ملائمة إضافية على الأقل</w:t>
            </w:r>
          </w:p>
        </w:tc>
        <w:tc>
          <w:tcPr>
            <w:tcW w:w="1227" w:type="pct"/>
            <w:shd w:val="clear" w:color="auto" w:fill="FFFFFF"/>
            <w:tcMar>
              <w:top w:w="110" w:type="dxa"/>
              <w:left w:w="58" w:type="dxa"/>
              <w:right w:w="58" w:type="dxa"/>
            </w:tcMar>
          </w:tcPr>
          <w:p w14:paraId="725DDFF5" w14:textId="6424014D" w:rsidR="00CE6E0B" w:rsidRPr="00095911" w:rsidRDefault="00CE6E0B" w:rsidP="003E33F1">
            <w:pPr>
              <w:bidi/>
              <w:spacing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تسويق 3 تكنولوجيات ملائمة</w:t>
            </w:r>
          </w:p>
          <w:p w14:paraId="1665AB73" w14:textId="77777777" w:rsidR="00CE6E0B" w:rsidRPr="00095911" w:rsidRDefault="00CE6E0B" w:rsidP="0031289D">
            <w:pPr>
              <w:numPr>
                <w:ilvl w:val="0"/>
                <w:numId w:val="16"/>
              </w:numPr>
              <w:bidi/>
              <w:spacing w:line="280" w:lineRule="exact"/>
              <w:ind w:left="360"/>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نيبال (1)</w:t>
            </w:r>
          </w:p>
          <w:p w14:paraId="556F0E8D" w14:textId="77777777" w:rsidR="00CE6E0B" w:rsidRDefault="00CE6E0B" w:rsidP="0031289D">
            <w:pPr>
              <w:numPr>
                <w:ilvl w:val="0"/>
                <w:numId w:val="16"/>
              </w:numPr>
              <w:bidi/>
              <w:spacing w:after="120" w:line="280" w:lineRule="exact"/>
              <w:ind w:left="360"/>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زامبيا (2)</w:t>
            </w:r>
          </w:p>
          <w:p w14:paraId="208E24C5"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3 تكنولوجيات ملائمة قيد النظر لتسويقها على مستوى الحكومة</w:t>
            </w:r>
          </w:p>
        </w:tc>
        <w:tc>
          <w:tcPr>
            <w:tcW w:w="388" w:type="pct"/>
            <w:shd w:val="clear" w:color="auto" w:fill="auto"/>
            <w:tcMar>
              <w:top w:w="110" w:type="dxa"/>
              <w:left w:w="58" w:type="dxa"/>
              <w:right w:w="58" w:type="dxa"/>
            </w:tcMar>
          </w:tcPr>
          <w:p w14:paraId="0825627A"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Pr>
                <w:rFonts w:ascii="Arabic Typesetting" w:eastAsia="Arabic Typesetting" w:hAnsi="Arabic Typesetting" w:cs="Arabic Typesetting"/>
                <w:b/>
                <w:bCs/>
                <w:color w:val="00B050"/>
                <w:sz w:val="28"/>
                <w:szCs w:val="28"/>
                <w:rtl/>
                <w:lang w:eastAsia="ar-EG" w:bidi="ar-EG"/>
              </w:rPr>
              <w:t>ثابت</w:t>
            </w:r>
          </w:p>
        </w:tc>
      </w:tr>
      <w:tr w:rsidR="00CE6E0B" w:rsidRPr="00095911" w14:paraId="2BC91451" w14:textId="77777777" w:rsidTr="009C2128">
        <w:trPr>
          <w:trHeight w:val="574"/>
        </w:trPr>
        <w:tc>
          <w:tcPr>
            <w:tcW w:w="1083" w:type="pct"/>
            <w:shd w:val="clear" w:color="auto" w:fill="auto"/>
            <w:tcMar>
              <w:left w:w="58" w:type="dxa"/>
              <w:right w:w="58" w:type="dxa"/>
            </w:tcMar>
          </w:tcPr>
          <w:p w14:paraId="29DE763E" w14:textId="1C1197B2"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المشروعات المكررة في من</w:t>
            </w:r>
            <w:r w:rsidR="00C61D0D">
              <w:rPr>
                <w:rFonts w:ascii="Arabic Typesetting" w:eastAsia="Arabic Typesetting" w:hAnsi="Arabic Typesetting" w:cs="Arabic Typesetting"/>
                <w:color w:val="000000"/>
                <w:sz w:val="28"/>
                <w:szCs w:val="28"/>
                <w:rtl/>
                <w:lang w:eastAsia="ar-EG" w:bidi="ar-EG"/>
              </w:rPr>
              <w:t>اطق أخرى من البلدان الأقل نمواً</w:t>
            </w:r>
          </w:p>
        </w:tc>
        <w:tc>
          <w:tcPr>
            <w:tcW w:w="1453" w:type="pct"/>
            <w:shd w:val="clear" w:color="auto" w:fill="auto"/>
            <w:tcMar>
              <w:left w:w="58" w:type="dxa"/>
              <w:right w:w="58" w:type="dxa"/>
            </w:tcMar>
          </w:tcPr>
          <w:p w14:paraId="566AEECE"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غير متاح</w:t>
            </w:r>
          </w:p>
        </w:tc>
        <w:tc>
          <w:tcPr>
            <w:tcW w:w="849" w:type="pct"/>
            <w:shd w:val="clear" w:color="auto" w:fill="auto"/>
            <w:tcMar>
              <w:top w:w="110" w:type="dxa"/>
              <w:left w:w="58" w:type="dxa"/>
              <w:right w:w="58" w:type="dxa"/>
            </w:tcMar>
          </w:tcPr>
          <w:p w14:paraId="5F583D36"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بلد واحد من البلدان الأقل نمواً</w:t>
            </w:r>
          </w:p>
        </w:tc>
        <w:tc>
          <w:tcPr>
            <w:tcW w:w="1227" w:type="pct"/>
            <w:shd w:val="clear" w:color="auto" w:fill="FFFFFF"/>
            <w:tcMar>
              <w:top w:w="110" w:type="dxa"/>
              <w:left w:w="58" w:type="dxa"/>
              <w:right w:w="58" w:type="dxa"/>
            </w:tcMar>
          </w:tcPr>
          <w:p w14:paraId="57311B6E"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غير متاح</w:t>
            </w:r>
          </w:p>
        </w:tc>
        <w:tc>
          <w:tcPr>
            <w:tcW w:w="388" w:type="pct"/>
            <w:shd w:val="clear" w:color="auto" w:fill="auto"/>
            <w:tcMar>
              <w:top w:w="110" w:type="dxa"/>
              <w:left w:w="58" w:type="dxa"/>
              <w:right w:w="58" w:type="dxa"/>
            </w:tcMar>
          </w:tcPr>
          <w:p w14:paraId="11F62A7F"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tc>
      </w:tr>
      <w:tr w:rsidR="00CE6E0B" w:rsidRPr="00095911" w14:paraId="46FC4694" w14:textId="77777777" w:rsidTr="009C2128">
        <w:trPr>
          <w:trHeight w:val="880"/>
        </w:trPr>
        <w:tc>
          <w:tcPr>
            <w:tcW w:w="1083" w:type="pct"/>
            <w:shd w:val="clear" w:color="auto" w:fill="auto"/>
            <w:tcMar>
              <w:left w:w="58" w:type="dxa"/>
              <w:right w:w="58" w:type="dxa"/>
            </w:tcMar>
          </w:tcPr>
          <w:p w14:paraId="5C1D3A85"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المؤسسات المنشأة لمواصلة العمل على التكنولوجيا الملائمة في البلدان الأقل نمواً</w:t>
            </w:r>
          </w:p>
        </w:tc>
        <w:tc>
          <w:tcPr>
            <w:tcW w:w="1453" w:type="pct"/>
            <w:shd w:val="clear" w:color="auto" w:fill="auto"/>
            <w:tcMar>
              <w:left w:w="58" w:type="dxa"/>
              <w:right w:w="58" w:type="dxa"/>
            </w:tcMar>
          </w:tcPr>
          <w:p w14:paraId="685AEB03" w14:textId="77777777" w:rsidR="00CE6E0B" w:rsidRPr="000959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أساس المقارنة المُحدَّث في نهاية 2015:</w:t>
            </w:r>
          </w:p>
          <w:p w14:paraId="02F6C51C" w14:textId="77777777" w:rsidR="00CE6E0B" w:rsidRPr="00095911" w:rsidRDefault="00CE6E0B" w:rsidP="0031289D">
            <w:pPr>
              <w:numPr>
                <w:ilvl w:val="0"/>
                <w:numId w:val="16"/>
              </w:numPr>
              <w:bidi/>
              <w:spacing w:line="280" w:lineRule="exact"/>
              <w:ind w:left="180" w:hanging="180"/>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3 مجموعات خبراء وط</w:t>
            </w:r>
            <w:r>
              <w:rPr>
                <w:rFonts w:ascii="Arabic Typesetting" w:eastAsia="Arabic Typesetting" w:hAnsi="Arabic Typesetting" w:cs="Arabic Typesetting"/>
                <w:color w:val="002060"/>
                <w:sz w:val="28"/>
                <w:szCs w:val="28"/>
                <w:rtl/>
                <w:lang w:eastAsia="ar-EG" w:bidi="ar-EG"/>
              </w:rPr>
              <w:t>نية في 3 من البلدان الأقل نمواً</w:t>
            </w:r>
          </w:p>
          <w:p w14:paraId="4FF46FAE" w14:textId="77777777" w:rsidR="00CE6E0B" w:rsidRDefault="00CE6E0B" w:rsidP="0031289D">
            <w:pPr>
              <w:numPr>
                <w:ilvl w:val="0"/>
                <w:numId w:val="16"/>
              </w:numPr>
              <w:bidi/>
              <w:spacing w:after="120" w:line="280" w:lineRule="exact"/>
              <w:ind w:left="180" w:hanging="180"/>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3 مجموعات متعددة الأطراف في 3 من البلدان الأقل نمواً</w:t>
            </w:r>
          </w:p>
          <w:p w14:paraId="6F6D3C01"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3 مؤسسات</w:t>
            </w:r>
          </w:p>
        </w:tc>
        <w:tc>
          <w:tcPr>
            <w:tcW w:w="849" w:type="pct"/>
            <w:shd w:val="clear" w:color="auto" w:fill="auto"/>
            <w:tcMar>
              <w:top w:w="110" w:type="dxa"/>
              <w:left w:w="58" w:type="dxa"/>
              <w:right w:w="58" w:type="dxa"/>
            </w:tcMar>
          </w:tcPr>
          <w:p w14:paraId="4CA3E261"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3 مؤسسات إضافية</w:t>
            </w:r>
          </w:p>
        </w:tc>
        <w:tc>
          <w:tcPr>
            <w:tcW w:w="1227" w:type="pct"/>
            <w:shd w:val="clear" w:color="auto" w:fill="FFFFFF"/>
            <w:tcMar>
              <w:top w:w="110" w:type="dxa"/>
              <w:left w:w="58" w:type="dxa"/>
              <w:right w:w="58" w:type="dxa"/>
            </w:tcMar>
          </w:tcPr>
          <w:p w14:paraId="4630925B" w14:textId="77777777" w:rsidR="00CE6E0B" w:rsidRPr="00095911"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عيِّنت 3 مجموعات خبراء وطنيين (إثيوبيا ورو</w:t>
            </w:r>
            <w:r>
              <w:rPr>
                <w:rFonts w:ascii="Arabic Typesetting" w:eastAsia="Arabic Typesetting" w:hAnsi="Arabic Typesetting" w:cs="Arabic Typesetting"/>
                <w:sz w:val="28"/>
                <w:szCs w:val="28"/>
                <w:rtl/>
                <w:lang w:eastAsia="ar-EG" w:bidi="ar-EG"/>
              </w:rPr>
              <w:t>اندا وجمهورية تنزانيا المتحدة)</w:t>
            </w:r>
          </w:p>
          <w:p w14:paraId="506B9535" w14:textId="77777777" w:rsidR="00CE6E0B" w:rsidRPr="00E87774"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(التراكمي 6 مجموعات خبراء وطنيين في 6 بلدان من البلدان الأقل نمواً)</w:t>
            </w:r>
          </w:p>
        </w:tc>
        <w:tc>
          <w:tcPr>
            <w:tcW w:w="388" w:type="pct"/>
            <w:shd w:val="clear" w:color="auto" w:fill="auto"/>
            <w:tcMar>
              <w:top w:w="110" w:type="dxa"/>
              <w:left w:w="58" w:type="dxa"/>
              <w:right w:w="58" w:type="dxa"/>
            </w:tcMar>
          </w:tcPr>
          <w:p w14:paraId="4A47FE86"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 xml:space="preserve">ثابت </w:t>
            </w:r>
          </w:p>
        </w:tc>
      </w:tr>
      <w:tr w:rsidR="00CE6E0B" w:rsidRPr="00095911" w14:paraId="0FD67F47" w14:textId="77777777" w:rsidTr="009C2128">
        <w:trPr>
          <w:trHeight w:val="1236"/>
        </w:trPr>
        <w:tc>
          <w:tcPr>
            <w:tcW w:w="1083" w:type="pct"/>
            <w:shd w:val="clear" w:color="auto" w:fill="auto"/>
            <w:tcMar>
              <w:left w:w="58" w:type="dxa"/>
              <w:right w:w="58" w:type="dxa"/>
            </w:tcMar>
          </w:tcPr>
          <w:p w14:paraId="572C64D2" w14:textId="77777777" w:rsidR="00CE6E0B" w:rsidRPr="00095911" w:rsidRDefault="00CE6E0B" w:rsidP="0031289D">
            <w:pPr>
              <w:bidi/>
              <w:spacing w:after="6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مواصلة برامج تكوين الكفاءات التكنولوجية الوطنية بشأن التكنولوجيا الملائمة وتوسيع نطاقها في البلدان الأقل نمواً</w:t>
            </w:r>
          </w:p>
        </w:tc>
        <w:tc>
          <w:tcPr>
            <w:tcW w:w="1453" w:type="pct"/>
            <w:shd w:val="clear" w:color="auto" w:fill="auto"/>
            <w:tcMar>
              <w:left w:w="58" w:type="dxa"/>
              <w:right w:w="58" w:type="dxa"/>
            </w:tcMar>
          </w:tcPr>
          <w:p w14:paraId="5D24A9F3"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7 برامج</w:t>
            </w:r>
          </w:p>
        </w:tc>
        <w:tc>
          <w:tcPr>
            <w:tcW w:w="849" w:type="pct"/>
            <w:shd w:val="clear" w:color="auto" w:fill="auto"/>
            <w:tcMar>
              <w:top w:w="110" w:type="dxa"/>
              <w:left w:w="58" w:type="dxa"/>
              <w:right w:w="58" w:type="dxa"/>
            </w:tcMar>
          </w:tcPr>
          <w:p w14:paraId="6298AB10"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6 برامج إضافية</w:t>
            </w:r>
          </w:p>
        </w:tc>
        <w:tc>
          <w:tcPr>
            <w:tcW w:w="1227" w:type="pct"/>
            <w:shd w:val="clear" w:color="auto" w:fill="FFFFFF"/>
            <w:tcMar>
              <w:top w:w="110" w:type="dxa"/>
              <w:left w:w="58" w:type="dxa"/>
              <w:right w:w="58" w:type="dxa"/>
            </w:tcMar>
          </w:tcPr>
          <w:p w14:paraId="15E77236" w14:textId="77777777" w:rsidR="00CE6E0B" w:rsidRPr="00095911" w:rsidRDefault="00CE6E0B" w:rsidP="0031289D">
            <w:pPr>
              <w:bidi/>
              <w:spacing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نُفِّذت 4 برامج وطنية لتكوين الكفاءات التكنولوجية في مجال التكنولوجيا الملائمة في 3 من البلدان الأقل نمواً:</w:t>
            </w:r>
          </w:p>
          <w:p w14:paraId="6B153C95" w14:textId="77777777" w:rsidR="00CE6E0B" w:rsidRPr="00095911" w:rsidRDefault="00CE6E0B" w:rsidP="0031289D">
            <w:pPr>
              <w:bidi/>
              <w:spacing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إثيوبيا (1)</w:t>
            </w:r>
          </w:p>
          <w:p w14:paraId="28C21E76" w14:textId="77777777" w:rsidR="00CE6E0B" w:rsidRPr="00095911" w:rsidRDefault="00CE6E0B" w:rsidP="0031289D">
            <w:pPr>
              <w:bidi/>
              <w:spacing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رواندا (1)</w:t>
            </w:r>
          </w:p>
          <w:p w14:paraId="3A1751EF" w14:textId="77777777" w:rsidR="00CE6E0B" w:rsidRPr="00095911" w:rsidRDefault="00CE6E0B" w:rsidP="0031289D">
            <w:pPr>
              <w:bidi/>
              <w:spacing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جمهورية تنزانيا المتحدة (2)</w:t>
            </w:r>
          </w:p>
          <w:p w14:paraId="2BAF1917" w14:textId="77777777" w:rsidR="00CE6E0B" w:rsidRPr="00095911" w:rsidRDefault="00CE6E0B" w:rsidP="0031289D">
            <w:pPr>
              <w:bidi/>
              <w:spacing w:after="6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sz w:val="28"/>
                <w:szCs w:val="28"/>
                <w:rtl/>
                <w:lang w:eastAsia="ar-EG" w:bidi="ar-EG"/>
              </w:rPr>
              <w:t>(التراكمي 11)</w:t>
            </w:r>
          </w:p>
        </w:tc>
        <w:tc>
          <w:tcPr>
            <w:tcW w:w="388" w:type="pct"/>
            <w:shd w:val="clear" w:color="auto" w:fill="auto"/>
            <w:tcMar>
              <w:top w:w="110" w:type="dxa"/>
              <w:left w:w="58" w:type="dxa"/>
              <w:right w:w="58" w:type="dxa"/>
            </w:tcMar>
          </w:tcPr>
          <w:p w14:paraId="776243F8"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00B050"/>
                <w:sz w:val="28"/>
                <w:szCs w:val="28"/>
                <w:rtl/>
                <w:lang w:eastAsia="ar-EG" w:bidi="ar-EG"/>
              </w:rPr>
              <w:t>ثابت</w:t>
            </w:r>
          </w:p>
        </w:tc>
      </w:tr>
      <w:tr w:rsidR="00CE6E0B" w:rsidRPr="00095911" w14:paraId="3065A564" w14:textId="77777777" w:rsidTr="009C2128">
        <w:trPr>
          <w:trHeight w:val="1065"/>
        </w:trPr>
        <w:tc>
          <w:tcPr>
            <w:tcW w:w="1083" w:type="pct"/>
            <w:shd w:val="clear" w:color="auto" w:fill="auto"/>
            <w:tcMar>
              <w:left w:w="58" w:type="dxa"/>
              <w:right w:w="58" w:type="dxa"/>
            </w:tcMar>
          </w:tcPr>
          <w:p w14:paraId="32DD75C6" w14:textId="77777777" w:rsidR="00CE6E0B" w:rsidRPr="00095911" w:rsidRDefault="00CE6E0B" w:rsidP="0031289D">
            <w:pPr>
              <w:bidi/>
              <w:spacing w:after="6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استخدام التكنولوجيا الملائمة في سبيل التنمية الاقتصادية المشمولة في السياسات والاستراتيجيات الوطنية للابتكار والملكية الفكرية في البلدان الأقل نمواً</w:t>
            </w:r>
          </w:p>
        </w:tc>
        <w:tc>
          <w:tcPr>
            <w:tcW w:w="1453" w:type="pct"/>
            <w:shd w:val="clear" w:color="auto" w:fill="auto"/>
            <w:tcMar>
              <w:left w:w="58" w:type="dxa"/>
              <w:right w:w="58" w:type="dxa"/>
            </w:tcMar>
          </w:tcPr>
          <w:p w14:paraId="74FC027F"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غير متاح</w:t>
            </w:r>
          </w:p>
        </w:tc>
        <w:tc>
          <w:tcPr>
            <w:tcW w:w="849" w:type="pct"/>
            <w:shd w:val="clear" w:color="auto" w:fill="auto"/>
            <w:tcMar>
              <w:top w:w="110" w:type="dxa"/>
              <w:left w:w="58" w:type="dxa"/>
              <w:right w:w="58" w:type="dxa"/>
            </w:tcMar>
          </w:tcPr>
          <w:p w14:paraId="02F8AC9D"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بلد واحد من البلدان الأقل نمواً</w:t>
            </w:r>
          </w:p>
        </w:tc>
        <w:tc>
          <w:tcPr>
            <w:tcW w:w="1227" w:type="pct"/>
            <w:shd w:val="clear" w:color="auto" w:fill="FFFFFF"/>
            <w:tcMar>
              <w:top w:w="110" w:type="dxa"/>
              <w:left w:w="58" w:type="dxa"/>
              <w:right w:w="58" w:type="dxa"/>
            </w:tcMar>
          </w:tcPr>
          <w:p w14:paraId="1902BADC" w14:textId="77777777" w:rsidR="00CE6E0B" w:rsidRPr="000959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غير متاح</w:t>
            </w:r>
          </w:p>
        </w:tc>
        <w:tc>
          <w:tcPr>
            <w:tcW w:w="388" w:type="pct"/>
            <w:shd w:val="clear" w:color="auto" w:fill="auto"/>
            <w:tcMar>
              <w:top w:w="110" w:type="dxa"/>
              <w:left w:w="58" w:type="dxa"/>
              <w:right w:w="58" w:type="dxa"/>
            </w:tcMar>
          </w:tcPr>
          <w:p w14:paraId="18C749C4" w14:textId="77777777" w:rsidR="00CE6E0B" w:rsidRPr="00095911" w:rsidRDefault="00CE6E0B"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tc>
      </w:tr>
      <w:tr w:rsidR="00CE6E0B" w:rsidRPr="00095911" w14:paraId="3BBBCC7C" w14:textId="77777777" w:rsidTr="00BB3820">
        <w:trPr>
          <w:trHeight w:val="648"/>
        </w:trPr>
        <w:tc>
          <w:tcPr>
            <w:tcW w:w="5000" w:type="pct"/>
            <w:gridSpan w:val="5"/>
            <w:shd w:val="clear" w:color="auto" w:fill="C6D9F1"/>
            <w:tcMar>
              <w:left w:w="58" w:type="dxa"/>
              <w:right w:w="58" w:type="dxa"/>
            </w:tcMar>
            <w:vAlign w:val="center"/>
          </w:tcPr>
          <w:p w14:paraId="4686C837" w14:textId="2CFF71BE" w:rsidR="00CE6E0B" w:rsidRPr="00095911" w:rsidRDefault="00CE6E0B" w:rsidP="0031289D">
            <w:pPr>
              <w:keepNext/>
              <w:bidi/>
              <w:spacing w:before="60" w:after="60" w:line="280" w:lineRule="exact"/>
              <w:ind w:left="1167" w:hanging="1167"/>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lastRenderedPageBreak/>
              <w:t>‏النتيجة المرتقبة:</w:t>
            </w:r>
            <w:r w:rsidRPr="00095911">
              <w:rPr>
                <w:rFonts w:ascii="Arabic Typesetting" w:eastAsia="Arabic Typesetting" w:hAnsi="Arabic Typesetting" w:cs="Arabic Typesetting"/>
                <w:sz w:val="28"/>
                <w:szCs w:val="28"/>
                <w:lang w:eastAsia="ar-EG" w:bidi="ar-EG"/>
              </w:rPr>
              <w:tab/>
            </w:r>
            <w:r w:rsidRPr="00095911">
              <w:rPr>
                <w:rFonts w:ascii="Arabic Typesetting" w:eastAsia="Arabic Typesetting" w:hAnsi="Arabic Typesetting" w:cs="Arabic Typesetting"/>
                <w:sz w:val="28"/>
                <w:szCs w:val="28"/>
                <w:rtl/>
                <w:lang w:eastAsia="ar-EG" w:bidi="ar-EG"/>
              </w:rPr>
              <w:t xml:space="preserve">ه4.4 </w:t>
            </w:r>
            <w:r w:rsidR="007B1E0A">
              <w:rPr>
                <w:rFonts w:ascii="Arabic Typesetting" w:eastAsia="Arabic Typesetting" w:hAnsi="Arabic Typesetting" w:cs="Arabic Typesetting"/>
                <w:sz w:val="28"/>
                <w:szCs w:val="28"/>
                <w:rtl/>
                <w:lang w:eastAsia="ar-EG" w:bidi="ar-EG"/>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r>
      <w:tr w:rsidR="00CE6E0B" w:rsidRPr="00095911" w14:paraId="4DD03DDB" w14:textId="77777777" w:rsidTr="009C2128">
        <w:tc>
          <w:tcPr>
            <w:tcW w:w="1083" w:type="pct"/>
            <w:shd w:val="clear" w:color="auto" w:fill="auto"/>
            <w:tcMar>
              <w:left w:w="58" w:type="dxa"/>
              <w:right w:w="58" w:type="dxa"/>
            </w:tcMar>
            <w:vAlign w:val="center"/>
          </w:tcPr>
          <w:p w14:paraId="2EA0771B" w14:textId="77777777" w:rsidR="00CE6E0B" w:rsidRPr="00095911" w:rsidRDefault="00CE6E0B" w:rsidP="00673F64">
            <w:pPr>
              <w:keepNext/>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مؤشرات الأداء</w:t>
            </w:r>
          </w:p>
        </w:tc>
        <w:tc>
          <w:tcPr>
            <w:tcW w:w="1453" w:type="pct"/>
            <w:shd w:val="clear" w:color="auto" w:fill="auto"/>
            <w:tcMar>
              <w:left w:w="58" w:type="dxa"/>
              <w:right w:w="58" w:type="dxa"/>
            </w:tcMar>
            <w:vAlign w:val="center"/>
          </w:tcPr>
          <w:p w14:paraId="5D061A47" w14:textId="77777777" w:rsidR="00CE6E0B" w:rsidRPr="00095911" w:rsidRDefault="00CE6E0B" w:rsidP="00673F64">
            <w:pPr>
              <w:keepNext/>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أسس المقارنة</w:t>
            </w:r>
          </w:p>
        </w:tc>
        <w:tc>
          <w:tcPr>
            <w:tcW w:w="849" w:type="pct"/>
            <w:shd w:val="clear" w:color="auto" w:fill="auto"/>
            <w:tcMar>
              <w:top w:w="110" w:type="dxa"/>
              <w:left w:w="58" w:type="dxa"/>
              <w:right w:w="58" w:type="dxa"/>
            </w:tcMar>
            <w:vAlign w:val="center"/>
          </w:tcPr>
          <w:p w14:paraId="4E2AFCF8" w14:textId="77777777" w:rsidR="00CE6E0B" w:rsidRPr="00095911" w:rsidRDefault="00CE6E0B" w:rsidP="00673F64">
            <w:pPr>
              <w:keepNext/>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الأهداف</w:t>
            </w:r>
          </w:p>
        </w:tc>
        <w:tc>
          <w:tcPr>
            <w:tcW w:w="1227" w:type="pct"/>
            <w:shd w:val="clear" w:color="auto" w:fill="FFFFFF"/>
            <w:tcMar>
              <w:top w:w="110" w:type="dxa"/>
              <w:left w:w="58" w:type="dxa"/>
              <w:right w:w="58" w:type="dxa"/>
            </w:tcMar>
            <w:vAlign w:val="center"/>
          </w:tcPr>
          <w:p w14:paraId="62379480" w14:textId="77777777" w:rsidR="00CE6E0B" w:rsidRPr="00095911" w:rsidRDefault="00CE6E0B" w:rsidP="00673F64">
            <w:pPr>
              <w:keepNext/>
              <w:bidi/>
              <w:spacing w:after="60" w:line="280" w:lineRule="exact"/>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بيانات الأداء</w:t>
            </w:r>
          </w:p>
        </w:tc>
        <w:tc>
          <w:tcPr>
            <w:tcW w:w="388" w:type="pct"/>
            <w:shd w:val="clear" w:color="auto" w:fill="auto"/>
            <w:tcMar>
              <w:top w:w="110" w:type="dxa"/>
              <w:left w:w="58" w:type="dxa"/>
              <w:right w:w="58" w:type="dxa"/>
            </w:tcMar>
            <w:vAlign w:val="center"/>
          </w:tcPr>
          <w:p w14:paraId="0948ED9C" w14:textId="77777777" w:rsidR="00CE6E0B" w:rsidRPr="00095911" w:rsidRDefault="00CE6E0B" w:rsidP="00673F64">
            <w:pPr>
              <w:keepNext/>
              <w:bidi/>
              <w:spacing w:after="60" w:line="280" w:lineRule="exact"/>
              <w:jc w:val="center"/>
              <w:rPr>
                <w:rFonts w:ascii="Arabic Typesetting" w:eastAsia="Arabic Typesetting" w:hAnsi="Arabic Typesetting" w:cs="Arabic Typesetting"/>
                <w:b/>
                <w:bCs/>
                <w:sz w:val="28"/>
                <w:szCs w:val="28"/>
                <w:lang w:eastAsia="ar-EG" w:bidi="ar-EG"/>
              </w:rPr>
            </w:pPr>
            <w:r w:rsidRPr="00095911">
              <w:rPr>
                <w:rFonts w:ascii="Arabic Typesetting" w:eastAsia="Arabic Typesetting" w:hAnsi="Arabic Typesetting" w:cs="Arabic Typesetting"/>
                <w:b/>
                <w:bCs/>
                <w:sz w:val="28"/>
                <w:szCs w:val="28"/>
                <w:rtl/>
                <w:lang w:eastAsia="ar-EG" w:bidi="ar-EG"/>
              </w:rPr>
              <w:t>السير</w:t>
            </w:r>
          </w:p>
        </w:tc>
      </w:tr>
      <w:tr w:rsidR="00CE6E0B" w:rsidRPr="00095911" w14:paraId="45F70B2B" w14:textId="77777777" w:rsidTr="009C2128">
        <w:trPr>
          <w:trHeight w:val="826"/>
        </w:trPr>
        <w:tc>
          <w:tcPr>
            <w:tcW w:w="1083" w:type="pct"/>
            <w:shd w:val="clear" w:color="auto" w:fill="auto"/>
            <w:tcMar>
              <w:left w:w="58" w:type="dxa"/>
              <w:right w:w="58" w:type="dxa"/>
            </w:tcMar>
          </w:tcPr>
          <w:p w14:paraId="48E1DFA3" w14:textId="77777777" w:rsidR="00CE6E0B" w:rsidRPr="00095911" w:rsidRDefault="00CE6E0B" w:rsidP="00673F64">
            <w:pPr>
              <w:keepNext/>
              <w:bidi/>
              <w:spacing w:after="120"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متوسط مستوى الخدمة التي تقدمها المكاتب التي تحصل على مساعدات (من 1 إلى 5)</w:t>
            </w:r>
          </w:p>
        </w:tc>
        <w:tc>
          <w:tcPr>
            <w:tcW w:w="1453" w:type="pct"/>
            <w:shd w:val="clear" w:color="auto" w:fill="auto"/>
            <w:tcMar>
              <w:left w:w="58" w:type="dxa"/>
              <w:right w:w="58" w:type="dxa"/>
            </w:tcMar>
          </w:tcPr>
          <w:p w14:paraId="1C4D4B55" w14:textId="77777777" w:rsidR="00CE6E0B" w:rsidRPr="00095911" w:rsidRDefault="00CE6E0B" w:rsidP="00673F64">
            <w:pPr>
              <w:keepNext/>
              <w:bidi/>
              <w:spacing w:line="280" w:lineRule="exact"/>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95911">
              <w:rPr>
                <w:rFonts w:ascii="Arabic Typesetting" w:eastAsia="Arabic Typesetting" w:hAnsi="Arabic Typesetting" w:cs="Arabic Typesetting"/>
                <w:color w:val="002060"/>
                <w:sz w:val="28"/>
                <w:szCs w:val="28"/>
                <w:rtl/>
                <w:lang w:eastAsia="ar-EG" w:bidi="ar-EG"/>
              </w:rPr>
              <w:t>المتوسط الإجمالي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2.9</w:t>
            </w:r>
          </w:p>
          <w:p w14:paraId="5C4FAA8F" w14:textId="77777777" w:rsidR="00CE6E0B" w:rsidRPr="00095911" w:rsidRDefault="00CE6E0B" w:rsidP="00673F64">
            <w:pPr>
              <w:keepNext/>
              <w:numPr>
                <w:ilvl w:val="0"/>
                <w:numId w:val="12"/>
              </w:numPr>
              <w:bidi/>
              <w:spacing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‏أفريقيا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2.9</w:t>
            </w:r>
          </w:p>
          <w:p w14:paraId="774F1001" w14:textId="77777777" w:rsidR="00CE6E0B" w:rsidRPr="00095911" w:rsidRDefault="00CE6E0B" w:rsidP="00673F64">
            <w:pPr>
              <w:keepNext/>
              <w:numPr>
                <w:ilvl w:val="0"/>
                <w:numId w:val="12"/>
              </w:numPr>
              <w:bidi/>
              <w:spacing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المنطقة العربية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2.8</w:t>
            </w:r>
          </w:p>
          <w:p w14:paraId="2F25F152" w14:textId="77777777" w:rsidR="00CE6E0B" w:rsidRPr="00095911" w:rsidRDefault="00CE6E0B" w:rsidP="00673F64">
            <w:pPr>
              <w:keepNext/>
              <w:numPr>
                <w:ilvl w:val="0"/>
                <w:numId w:val="12"/>
              </w:numPr>
              <w:bidi/>
              <w:spacing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آسيا والمحيط الهادئ</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2.7</w:t>
            </w:r>
          </w:p>
          <w:p w14:paraId="5DA7B379" w14:textId="77777777" w:rsidR="00CE6E0B" w:rsidRDefault="00CE6E0B" w:rsidP="00673F64">
            <w:pPr>
              <w:keepNext/>
              <w:numPr>
                <w:ilvl w:val="0"/>
                <w:numId w:val="12"/>
              </w:numPr>
              <w:bidi/>
              <w:spacing w:after="120" w:line="280" w:lineRule="exact"/>
              <w:ind w:left="219" w:hanging="219"/>
              <w:rPr>
                <w:rFonts w:ascii="Arabic Typesetting" w:eastAsia="Arabic Typesetting" w:hAnsi="Arabic Typesetting" w:cs="Arabic Typesetting"/>
                <w:color w:val="002060"/>
                <w:sz w:val="28"/>
                <w:szCs w:val="28"/>
                <w:lang w:eastAsia="ar-EG" w:bidi="ar-EG"/>
              </w:rPr>
            </w:pPr>
            <w:r w:rsidRPr="00095911">
              <w:rPr>
                <w:rFonts w:ascii="Arabic Typesetting" w:eastAsia="Arabic Typesetting" w:hAnsi="Arabic Typesetting" w:cs="Arabic Typesetting"/>
                <w:color w:val="002060"/>
                <w:sz w:val="28"/>
                <w:szCs w:val="28"/>
                <w:rtl/>
                <w:lang w:eastAsia="ar-EG" w:bidi="ar-EG"/>
              </w:rPr>
              <w:t>أمريكا اللاتينية والكاريبي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095911">
              <w:rPr>
                <w:rFonts w:ascii="Arabic Typesetting" w:eastAsia="Arabic Typesetting" w:hAnsi="Arabic Typesetting" w:cs="Arabic Typesetting"/>
                <w:color w:val="002060"/>
                <w:sz w:val="28"/>
                <w:szCs w:val="28"/>
                <w:rtl/>
                <w:lang w:eastAsia="ar-EG" w:bidi="ar-EG"/>
              </w:rPr>
              <w:t>3</w:t>
            </w:r>
          </w:p>
          <w:p w14:paraId="059D1D40" w14:textId="77777777" w:rsidR="00CE6E0B" w:rsidRPr="00095911" w:rsidRDefault="00CE6E0B" w:rsidP="00673F64">
            <w:pPr>
              <w:keepNext/>
              <w:bidi/>
              <w:spacing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i/>
                <w:iCs/>
                <w:sz w:val="28"/>
                <w:szCs w:val="28"/>
                <w:rtl/>
                <w:lang w:eastAsia="ar-EG" w:bidi="ar-EG"/>
              </w:rPr>
              <w:t>‏أساس المقارنة الأصلي:</w:t>
            </w:r>
            <w:r w:rsidRPr="00095911">
              <w:rPr>
                <w:rFonts w:ascii="Arabic Typesetting" w:eastAsia="Arabic Typesetting" w:hAnsi="Arabic Typesetting" w:cs="Arabic Typesetting"/>
                <w:i/>
                <w:sz w:val="28"/>
                <w:szCs w:val="28"/>
                <w:lang w:eastAsia="ar-EG" w:bidi="ar-EG"/>
              </w:rPr>
              <w:br/>
            </w:r>
            <w:r w:rsidRPr="000959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095911">
              <w:rPr>
                <w:rFonts w:ascii="Arabic Typesetting" w:eastAsia="Arabic Typesetting" w:hAnsi="Arabic Typesetting" w:cs="Arabic Typesetting"/>
                <w:color w:val="000000"/>
                <w:sz w:val="28"/>
                <w:szCs w:val="28"/>
                <w:rtl/>
                <w:lang w:eastAsia="ar-EG" w:bidi="ar-EG"/>
              </w:rPr>
              <w:t>متوسط مستوى الخدمات بحسب تقرير أداء البرنامج 2014</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2.9</w:t>
            </w:r>
          </w:p>
        </w:tc>
        <w:tc>
          <w:tcPr>
            <w:tcW w:w="849" w:type="pct"/>
            <w:shd w:val="clear" w:color="auto" w:fill="auto"/>
            <w:tcMar>
              <w:top w:w="110" w:type="dxa"/>
              <w:left w:w="58" w:type="dxa"/>
              <w:right w:w="58" w:type="dxa"/>
            </w:tcMar>
          </w:tcPr>
          <w:p w14:paraId="7777D020" w14:textId="77777777" w:rsidR="00CE6E0B" w:rsidRPr="00095911" w:rsidRDefault="00CE6E0B" w:rsidP="00673F64">
            <w:pPr>
              <w:keepNext/>
              <w:bidi/>
              <w:spacing w:after="120" w:line="280" w:lineRule="exact"/>
              <w:rPr>
                <w:rFonts w:ascii="Arabic Typesetting" w:eastAsia="Arabic Typesetting" w:hAnsi="Arabic Typesetting" w:cs="Arabic Typesetting"/>
                <w:sz w:val="28"/>
                <w:szCs w:val="28"/>
                <w:lang w:eastAsia="ar-EG" w:bidi="ar-EG"/>
              </w:rPr>
            </w:pPr>
            <w:r w:rsidRPr="00095911">
              <w:rPr>
                <w:rFonts w:ascii="Arabic Typesetting" w:eastAsia="Arabic Typesetting" w:hAnsi="Arabic Typesetting" w:cs="Arabic Typesetting"/>
                <w:sz w:val="28"/>
                <w:szCs w:val="28"/>
                <w:rtl/>
                <w:lang w:eastAsia="ar-EG" w:bidi="ar-EG"/>
              </w:rPr>
              <w:t>متوسط قدره 3.0 (بنهاية عام 2017)</w:t>
            </w:r>
          </w:p>
        </w:tc>
        <w:tc>
          <w:tcPr>
            <w:tcW w:w="1227" w:type="pct"/>
            <w:shd w:val="clear" w:color="auto" w:fill="FFFFFF"/>
            <w:tcMar>
              <w:top w:w="110" w:type="dxa"/>
              <w:left w:w="58" w:type="dxa"/>
              <w:right w:w="58" w:type="dxa"/>
            </w:tcMar>
          </w:tcPr>
          <w:p w14:paraId="4A785E73" w14:textId="77777777" w:rsidR="00CE6E0B" w:rsidRPr="00095911" w:rsidRDefault="00CE6E0B" w:rsidP="00673F64">
            <w:pPr>
              <w:keepNext/>
              <w:keepLines/>
              <w:bidi/>
              <w:spacing w:line="280" w:lineRule="exact"/>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المتوسط الإجمالي</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sz w:val="28"/>
                <w:szCs w:val="28"/>
                <w:rtl/>
                <w:lang w:eastAsia="ar-EG" w:bidi="ar-EG"/>
              </w:rPr>
              <w:t>2.8</w:t>
            </w:r>
          </w:p>
          <w:p w14:paraId="06CC4151" w14:textId="77777777" w:rsidR="00CE6E0B" w:rsidRPr="00095911" w:rsidRDefault="00CE6E0B" w:rsidP="00673F64">
            <w:pPr>
              <w:keepNext/>
              <w:keepLines/>
              <w:numPr>
                <w:ilvl w:val="0"/>
                <w:numId w:val="15"/>
              </w:numPr>
              <w:bidi/>
              <w:spacing w:line="280" w:lineRule="exact"/>
              <w:ind w:left="212" w:hanging="212"/>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‏أفريقيا</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3.0</w:t>
            </w:r>
          </w:p>
          <w:p w14:paraId="64F2643D" w14:textId="77777777" w:rsidR="00CE6E0B" w:rsidRPr="00095911" w:rsidRDefault="00CE6E0B" w:rsidP="00673F64">
            <w:pPr>
              <w:keepNext/>
              <w:keepLines/>
              <w:numPr>
                <w:ilvl w:val="0"/>
                <w:numId w:val="15"/>
              </w:numPr>
              <w:bidi/>
              <w:spacing w:line="280" w:lineRule="exact"/>
              <w:ind w:left="212" w:hanging="212"/>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المنطقة العربية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2.9</w:t>
            </w:r>
          </w:p>
          <w:p w14:paraId="41FC719E" w14:textId="77777777" w:rsidR="00CE6E0B" w:rsidRPr="00095911" w:rsidRDefault="00CE6E0B" w:rsidP="00673F64">
            <w:pPr>
              <w:keepNext/>
              <w:keepLines/>
              <w:numPr>
                <w:ilvl w:val="0"/>
                <w:numId w:val="15"/>
              </w:numPr>
              <w:bidi/>
              <w:spacing w:line="280" w:lineRule="exact"/>
              <w:ind w:left="212" w:hanging="212"/>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آسيا والمحيط الهادئ</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3.4</w:t>
            </w:r>
          </w:p>
          <w:p w14:paraId="0C9FA51A" w14:textId="77777777" w:rsidR="00CE6E0B" w:rsidRPr="00E87774" w:rsidRDefault="00CE6E0B" w:rsidP="00673F64">
            <w:pPr>
              <w:keepNext/>
              <w:keepLines/>
              <w:numPr>
                <w:ilvl w:val="0"/>
                <w:numId w:val="15"/>
              </w:numPr>
              <w:bidi/>
              <w:spacing w:after="120" w:line="280" w:lineRule="exact"/>
              <w:ind w:left="212" w:hanging="212"/>
              <w:rPr>
                <w:rFonts w:ascii="Arabic Typesetting" w:eastAsia="Arabic Typesetting" w:hAnsi="Arabic Typesetting" w:cs="Arabic Typesetting"/>
                <w:color w:val="000000"/>
                <w:sz w:val="28"/>
                <w:szCs w:val="28"/>
                <w:lang w:eastAsia="ar-EG" w:bidi="ar-EG"/>
              </w:rPr>
            </w:pPr>
            <w:r w:rsidRPr="00095911">
              <w:rPr>
                <w:rFonts w:ascii="Arabic Typesetting" w:eastAsia="Arabic Typesetting" w:hAnsi="Arabic Typesetting" w:cs="Arabic Typesetting"/>
                <w:color w:val="000000"/>
                <w:sz w:val="28"/>
                <w:szCs w:val="28"/>
                <w:rtl/>
                <w:lang w:eastAsia="ar-EG" w:bidi="ar-EG"/>
              </w:rPr>
              <w:t>أمريكا اللاتينية والكاريبي</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095911">
              <w:rPr>
                <w:rFonts w:ascii="Arabic Typesetting" w:eastAsia="Arabic Typesetting" w:hAnsi="Arabic Typesetting" w:cs="Arabic Typesetting"/>
                <w:color w:val="000000"/>
                <w:sz w:val="28"/>
                <w:szCs w:val="28"/>
                <w:rtl/>
                <w:lang w:eastAsia="ar-EG" w:bidi="ar-EG"/>
              </w:rPr>
              <w:t>3.2</w:t>
            </w:r>
          </w:p>
        </w:tc>
        <w:tc>
          <w:tcPr>
            <w:tcW w:w="388" w:type="pct"/>
            <w:shd w:val="clear" w:color="auto" w:fill="auto"/>
            <w:tcMar>
              <w:top w:w="110" w:type="dxa"/>
              <w:left w:w="58" w:type="dxa"/>
              <w:right w:w="58" w:type="dxa"/>
            </w:tcMar>
          </w:tcPr>
          <w:p w14:paraId="638D7CBB" w14:textId="77777777" w:rsidR="00CE6E0B" w:rsidRPr="00095911" w:rsidRDefault="00CE6E0B" w:rsidP="00673F64">
            <w:pPr>
              <w:keepNext/>
              <w:bidi/>
              <w:spacing w:after="120" w:line="280" w:lineRule="exact"/>
              <w:jc w:val="center"/>
              <w:rPr>
                <w:rFonts w:ascii="Arabic Typesetting" w:eastAsia="Arabic Typesetting" w:hAnsi="Arabic Typesetting" w:cs="Arabic Typesetting"/>
                <w:b/>
                <w:color w:val="000000"/>
                <w:sz w:val="28"/>
                <w:szCs w:val="28"/>
                <w:lang w:eastAsia="ar-EG" w:bidi="ar-EG"/>
              </w:rPr>
            </w:pPr>
            <w:r w:rsidRPr="00095911">
              <w:rPr>
                <w:rFonts w:ascii="Arabic Typesetting" w:eastAsia="Arabic Typesetting" w:hAnsi="Arabic Typesetting" w:cs="Arabic Typesetting"/>
                <w:b/>
                <w:bCs/>
                <w:color w:val="FF0000"/>
                <w:sz w:val="28"/>
                <w:szCs w:val="28"/>
                <w:rtl/>
                <w:lang w:eastAsia="ar-EG" w:bidi="ar-EG"/>
              </w:rPr>
              <w:t>غير ثابت</w:t>
            </w:r>
          </w:p>
        </w:tc>
      </w:tr>
    </w:tbl>
    <w:p w14:paraId="3174466A" w14:textId="77777777" w:rsidR="00CE6E0B" w:rsidRPr="00E87774" w:rsidRDefault="00CE6E0B" w:rsidP="0031289D">
      <w:pPr>
        <w:bidi/>
        <w:rPr>
          <w:sz w:val="2"/>
          <w:szCs w:val="2"/>
        </w:rPr>
      </w:pPr>
    </w:p>
    <w:p w14:paraId="571C6D07" w14:textId="77777777" w:rsidR="00EF3FA1" w:rsidRDefault="00EF3FA1" w:rsidP="00673F64">
      <w:pPr>
        <w:keepNext/>
        <w:bidi/>
        <w:spacing w:line="340" w:lineRule="exact"/>
        <w:rPr>
          <w:rFonts w:ascii="Arabic Typesetting" w:hAnsi="Arabic Typesetting" w:cs="Arabic Typesetting"/>
          <w:sz w:val="34"/>
          <w:szCs w:val="34"/>
          <w:rtl/>
          <w:lang w:bidi="ar-EG"/>
        </w:rPr>
      </w:pPr>
    </w:p>
    <w:tbl>
      <w:tblPr>
        <w:tblStyle w:val="TableGrid"/>
        <w:bidiVisual/>
        <w:tblW w:w="0" w:type="auto"/>
        <w:tblLook w:val="04A0" w:firstRow="1" w:lastRow="0" w:firstColumn="1" w:lastColumn="0" w:noHBand="0" w:noVBand="1"/>
      </w:tblPr>
      <w:tblGrid>
        <w:gridCol w:w="9571"/>
      </w:tblGrid>
      <w:tr w:rsidR="00EF3FA1" w14:paraId="28547823" w14:textId="77777777" w:rsidTr="00D86F42">
        <w:tc>
          <w:tcPr>
            <w:tcW w:w="9571" w:type="dxa"/>
            <w:tcBorders>
              <w:top w:val="nil"/>
              <w:left w:val="nil"/>
              <w:bottom w:val="nil"/>
              <w:right w:val="nil"/>
            </w:tcBorders>
            <w:shd w:val="clear" w:color="auto" w:fill="C6D9F1"/>
            <w:vAlign w:val="center"/>
          </w:tcPr>
          <w:p w14:paraId="37AAA3A3" w14:textId="77777777" w:rsidR="00EF3FA1" w:rsidRPr="00A2672B" w:rsidRDefault="00EF3FA1" w:rsidP="00D86F42">
            <w:pPr>
              <w:keepNext/>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9</w:t>
            </w:r>
          </w:p>
        </w:tc>
      </w:tr>
    </w:tbl>
    <w:p w14:paraId="5CC7F4F4" w14:textId="77777777" w:rsidR="00CE6E0B" w:rsidRPr="00FE3908" w:rsidRDefault="00CE6E0B" w:rsidP="00673F64">
      <w:pPr>
        <w:keepNext/>
        <w:bidi/>
        <w:spacing w:before="12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7E0D251B" w14:textId="77777777" w:rsidR="00CE6E0B" w:rsidRDefault="00CE6E0B"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E6E0B" w:rsidRPr="00211D55" w14:paraId="21519E9F"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59556F4C"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3D9BA56E"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1726393E" w14:textId="77777777" w:rsidR="00CE6E0B" w:rsidRPr="00A2672B" w:rsidRDefault="00CE6E0B"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306EAF8E"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CE6E0B" w:rsidRPr="00211D55" w14:paraId="7F70C9F1" w14:textId="77777777" w:rsidTr="00BB3820">
        <w:trPr>
          <w:trHeight w:val="55"/>
        </w:trPr>
        <w:tc>
          <w:tcPr>
            <w:tcW w:w="413" w:type="pct"/>
            <w:shd w:val="clear" w:color="auto" w:fill="auto"/>
            <w:noWrap/>
            <w:tcMar>
              <w:top w:w="15" w:type="dxa"/>
              <w:left w:w="15" w:type="dxa"/>
              <w:bottom w:w="0" w:type="dxa"/>
              <w:right w:w="15" w:type="dxa"/>
            </w:tcMar>
          </w:tcPr>
          <w:p w14:paraId="533F10E7" w14:textId="77777777"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ه2.1</w:t>
            </w:r>
          </w:p>
        </w:tc>
        <w:tc>
          <w:tcPr>
            <w:tcW w:w="2340" w:type="pct"/>
            <w:shd w:val="clear" w:color="auto" w:fill="auto"/>
            <w:tcMar>
              <w:top w:w="15" w:type="dxa"/>
              <w:left w:w="15" w:type="dxa"/>
              <w:bottom w:w="0" w:type="dxa"/>
              <w:right w:w="15" w:type="dxa"/>
            </w:tcMar>
          </w:tcPr>
          <w:p w14:paraId="35785146" w14:textId="3F133B3F" w:rsidR="00CE6E0B" w:rsidRPr="00095911" w:rsidRDefault="009834BA" w:rsidP="0031289D">
            <w:pPr>
              <w:bidi/>
              <w:spacing w:before="120" w:after="60"/>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مكيّفة ومتوازنة في مجال الملكية الفكرية</w:t>
            </w:r>
          </w:p>
        </w:tc>
        <w:tc>
          <w:tcPr>
            <w:tcW w:w="749" w:type="pct"/>
            <w:shd w:val="clear" w:color="auto" w:fill="auto"/>
            <w:tcMar>
              <w:top w:w="15" w:type="dxa"/>
              <w:left w:w="15" w:type="dxa"/>
              <w:bottom w:w="0" w:type="dxa"/>
              <w:right w:w="15" w:type="dxa"/>
            </w:tcMar>
            <w:vAlign w:val="center"/>
          </w:tcPr>
          <w:p w14:paraId="63D2BEB9"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792</w:t>
            </w:r>
          </w:p>
        </w:tc>
        <w:tc>
          <w:tcPr>
            <w:tcW w:w="749" w:type="pct"/>
            <w:shd w:val="clear" w:color="auto" w:fill="auto"/>
            <w:tcMar>
              <w:top w:w="15" w:type="dxa"/>
              <w:left w:w="15" w:type="dxa"/>
              <w:bottom w:w="0" w:type="dxa"/>
              <w:right w:w="15" w:type="dxa"/>
            </w:tcMar>
            <w:vAlign w:val="center"/>
          </w:tcPr>
          <w:p w14:paraId="26EBA64F"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604</w:t>
            </w:r>
          </w:p>
        </w:tc>
        <w:tc>
          <w:tcPr>
            <w:tcW w:w="749" w:type="pct"/>
            <w:shd w:val="clear" w:color="auto" w:fill="auto"/>
            <w:noWrap/>
            <w:tcMar>
              <w:top w:w="15" w:type="dxa"/>
              <w:left w:w="15" w:type="dxa"/>
              <w:bottom w:w="0" w:type="dxa"/>
              <w:right w:w="15" w:type="dxa"/>
            </w:tcMar>
            <w:vAlign w:val="center"/>
          </w:tcPr>
          <w:p w14:paraId="3957FC24"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265</w:t>
            </w:r>
          </w:p>
        </w:tc>
      </w:tr>
      <w:tr w:rsidR="00CE6E0B" w:rsidRPr="00211D55" w14:paraId="395FDE8F" w14:textId="77777777" w:rsidTr="00BB3820">
        <w:trPr>
          <w:trHeight w:val="55"/>
        </w:trPr>
        <w:tc>
          <w:tcPr>
            <w:tcW w:w="413" w:type="pct"/>
            <w:shd w:val="clear" w:color="auto" w:fill="auto"/>
            <w:noWrap/>
            <w:tcMar>
              <w:top w:w="15" w:type="dxa"/>
              <w:left w:w="15" w:type="dxa"/>
              <w:bottom w:w="0" w:type="dxa"/>
              <w:right w:w="15" w:type="dxa"/>
            </w:tcMar>
          </w:tcPr>
          <w:p w14:paraId="25000CBA" w14:textId="77777777"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ه1.3</w:t>
            </w:r>
          </w:p>
        </w:tc>
        <w:tc>
          <w:tcPr>
            <w:tcW w:w="2340" w:type="pct"/>
            <w:shd w:val="clear" w:color="auto" w:fill="auto"/>
            <w:tcMar>
              <w:top w:w="15" w:type="dxa"/>
              <w:left w:w="15" w:type="dxa"/>
              <w:bottom w:w="0" w:type="dxa"/>
              <w:right w:w="15" w:type="dxa"/>
            </w:tcMar>
          </w:tcPr>
          <w:p w14:paraId="0DF4FDE3" w14:textId="77777777"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استراتيجيات وخطط وطنية في مجالي الابتكار والملكية الفكرية تتماشى مع الأهداف الإنمائية الوطنية</w:t>
            </w:r>
          </w:p>
        </w:tc>
        <w:tc>
          <w:tcPr>
            <w:tcW w:w="749" w:type="pct"/>
            <w:shd w:val="clear" w:color="auto" w:fill="auto"/>
            <w:tcMar>
              <w:top w:w="15" w:type="dxa"/>
              <w:left w:w="15" w:type="dxa"/>
              <w:bottom w:w="0" w:type="dxa"/>
              <w:right w:w="15" w:type="dxa"/>
            </w:tcMar>
            <w:vAlign w:val="center"/>
          </w:tcPr>
          <w:p w14:paraId="0ABC976E"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8</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440</w:t>
            </w:r>
          </w:p>
        </w:tc>
        <w:tc>
          <w:tcPr>
            <w:tcW w:w="749" w:type="pct"/>
            <w:shd w:val="clear" w:color="auto" w:fill="auto"/>
            <w:tcMar>
              <w:top w:w="15" w:type="dxa"/>
              <w:left w:w="15" w:type="dxa"/>
              <w:bottom w:w="0" w:type="dxa"/>
              <w:right w:w="15" w:type="dxa"/>
            </w:tcMar>
            <w:vAlign w:val="center"/>
          </w:tcPr>
          <w:p w14:paraId="0009FFA7"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8</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992</w:t>
            </w:r>
          </w:p>
        </w:tc>
        <w:tc>
          <w:tcPr>
            <w:tcW w:w="749" w:type="pct"/>
            <w:shd w:val="clear" w:color="auto" w:fill="auto"/>
            <w:noWrap/>
            <w:tcMar>
              <w:top w:w="15" w:type="dxa"/>
              <w:left w:w="15" w:type="dxa"/>
              <w:bottom w:w="0" w:type="dxa"/>
              <w:right w:w="15" w:type="dxa"/>
            </w:tcMar>
            <w:vAlign w:val="center"/>
          </w:tcPr>
          <w:p w14:paraId="1AA14EFC"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065</w:t>
            </w:r>
          </w:p>
        </w:tc>
      </w:tr>
      <w:tr w:rsidR="00CE6E0B" w:rsidRPr="00211D55" w14:paraId="7524AD0C" w14:textId="77777777" w:rsidTr="00BB3820">
        <w:trPr>
          <w:trHeight w:val="735"/>
        </w:trPr>
        <w:tc>
          <w:tcPr>
            <w:tcW w:w="413" w:type="pct"/>
            <w:shd w:val="clear" w:color="auto" w:fill="auto"/>
            <w:noWrap/>
            <w:tcMar>
              <w:top w:w="15" w:type="dxa"/>
              <w:left w:w="15" w:type="dxa"/>
              <w:bottom w:w="0" w:type="dxa"/>
              <w:right w:w="15" w:type="dxa"/>
            </w:tcMar>
          </w:tcPr>
          <w:p w14:paraId="2DE9E03F" w14:textId="77777777"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ه2.3</w:t>
            </w:r>
          </w:p>
        </w:tc>
        <w:tc>
          <w:tcPr>
            <w:tcW w:w="2340" w:type="pct"/>
            <w:shd w:val="clear" w:color="auto" w:fill="auto"/>
            <w:tcMar>
              <w:top w:w="15" w:type="dxa"/>
              <w:left w:w="15" w:type="dxa"/>
              <w:bottom w:w="0" w:type="dxa"/>
              <w:right w:w="15" w:type="dxa"/>
            </w:tcMar>
          </w:tcPr>
          <w:p w14:paraId="004C9F6A" w14:textId="77777777"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كفاءات</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‏معزَّزة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‏للموارد</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‏البشرية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‏القادرة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‏على</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‏تلبية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‏تشكيلة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‏واسعة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‏من المتطلبات</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‏لتسخير</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‏الملكية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‏الفكرية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‏بفعالية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‏لأغراض</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‏التنمية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‏في</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‏البلدان</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‏النامية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‏والبلدان</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‏الأقل</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‏نموا</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‏والبلدان</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‏المنتقلة</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‏إلى</w:t>
            </w:r>
            <w:r w:rsidRPr="00095911">
              <w:rPr>
                <w:rFonts w:ascii="Arabic Typesetting" w:hAnsi="Arabic Typesetting" w:cs="Arabic Typesetting"/>
                <w:sz w:val="28"/>
                <w:szCs w:val="28"/>
                <w:cs/>
              </w:rPr>
              <w:t>‎</w:t>
            </w:r>
            <w:r w:rsidRPr="00095911">
              <w:rPr>
                <w:rFonts w:ascii="Arabic Typesetting" w:hAnsi="Arabic Typesetting" w:cs="Arabic Typesetting"/>
                <w:sz w:val="28"/>
                <w:szCs w:val="28"/>
              </w:rPr>
              <w:t xml:space="preserve"> </w:t>
            </w:r>
            <w:r w:rsidRPr="00095911">
              <w:rPr>
                <w:rFonts w:ascii="Arabic Typesetting" w:hAnsi="Arabic Typesetting" w:cs="Arabic Typesetting"/>
                <w:sz w:val="28"/>
                <w:szCs w:val="28"/>
                <w:rtl/>
              </w:rPr>
              <w:t>‏نظام الاقتصاد الحر</w:t>
            </w:r>
          </w:p>
        </w:tc>
        <w:tc>
          <w:tcPr>
            <w:tcW w:w="749" w:type="pct"/>
            <w:shd w:val="clear" w:color="auto" w:fill="auto"/>
            <w:tcMar>
              <w:top w:w="15" w:type="dxa"/>
              <w:left w:w="15" w:type="dxa"/>
              <w:bottom w:w="0" w:type="dxa"/>
              <w:right w:w="15" w:type="dxa"/>
            </w:tcMar>
            <w:vAlign w:val="center"/>
          </w:tcPr>
          <w:p w14:paraId="168C66C6"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11</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174</w:t>
            </w:r>
          </w:p>
        </w:tc>
        <w:tc>
          <w:tcPr>
            <w:tcW w:w="749" w:type="pct"/>
            <w:shd w:val="clear" w:color="auto" w:fill="auto"/>
            <w:tcMar>
              <w:top w:w="15" w:type="dxa"/>
              <w:left w:w="15" w:type="dxa"/>
              <w:bottom w:w="0" w:type="dxa"/>
              <w:right w:w="15" w:type="dxa"/>
            </w:tcMar>
            <w:vAlign w:val="center"/>
          </w:tcPr>
          <w:p w14:paraId="234F756D"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9</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855</w:t>
            </w:r>
          </w:p>
        </w:tc>
        <w:tc>
          <w:tcPr>
            <w:tcW w:w="749" w:type="pct"/>
            <w:shd w:val="clear" w:color="auto" w:fill="auto"/>
            <w:noWrap/>
            <w:tcMar>
              <w:top w:w="15" w:type="dxa"/>
              <w:left w:w="15" w:type="dxa"/>
              <w:bottom w:w="0" w:type="dxa"/>
              <w:right w:w="15" w:type="dxa"/>
            </w:tcMar>
            <w:vAlign w:val="center"/>
          </w:tcPr>
          <w:p w14:paraId="3A58A0FC"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574</w:t>
            </w:r>
          </w:p>
        </w:tc>
      </w:tr>
      <w:tr w:rsidR="00CE6E0B" w:rsidRPr="00211D55" w14:paraId="6F0D553D" w14:textId="77777777" w:rsidTr="00BB3820">
        <w:trPr>
          <w:trHeight w:val="735"/>
        </w:trPr>
        <w:tc>
          <w:tcPr>
            <w:tcW w:w="413" w:type="pct"/>
            <w:shd w:val="clear" w:color="auto" w:fill="auto"/>
            <w:noWrap/>
            <w:tcMar>
              <w:top w:w="15" w:type="dxa"/>
              <w:left w:w="15" w:type="dxa"/>
              <w:bottom w:w="0" w:type="dxa"/>
              <w:right w:w="15" w:type="dxa"/>
            </w:tcMar>
          </w:tcPr>
          <w:p w14:paraId="1B0FACD5" w14:textId="77777777"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ه3.3</w:t>
            </w:r>
          </w:p>
        </w:tc>
        <w:tc>
          <w:tcPr>
            <w:tcW w:w="2340" w:type="pct"/>
            <w:shd w:val="clear" w:color="auto" w:fill="auto"/>
            <w:tcMar>
              <w:top w:w="15" w:type="dxa"/>
              <w:left w:w="15" w:type="dxa"/>
              <w:bottom w:w="0" w:type="dxa"/>
              <w:right w:w="15" w:type="dxa"/>
            </w:tcMar>
          </w:tcPr>
          <w:p w14:paraId="43662A71" w14:textId="77777777"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تعميم توصيات أجندة التنمية على عمل الويبو</w:t>
            </w:r>
          </w:p>
        </w:tc>
        <w:tc>
          <w:tcPr>
            <w:tcW w:w="749" w:type="pct"/>
            <w:shd w:val="clear" w:color="auto" w:fill="auto"/>
            <w:tcMar>
              <w:top w:w="15" w:type="dxa"/>
              <w:left w:w="15" w:type="dxa"/>
              <w:bottom w:w="0" w:type="dxa"/>
              <w:right w:w="15" w:type="dxa"/>
            </w:tcMar>
            <w:vAlign w:val="center"/>
          </w:tcPr>
          <w:p w14:paraId="4176FA55"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214</w:t>
            </w:r>
          </w:p>
        </w:tc>
        <w:tc>
          <w:tcPr>
            <w:tcW w:w="749" w:type="pct"/>
            <w:shd w:val="clear" w:color="auto" w:fill="auto"/>
            <w:tcMar>
              <w:top w:w="15" w:type="dxa"/>
              <w:left w:w="15" w:type="dxa"/>
              <w:bottom w:w="0" w:type="dxa"/>
              <w:right w:w="15" w:type="dxa"/>
            </w:tcMar>
            <w:vAlign w:val="center"/>
          </w:tcPr>
          <w:p w14:paraId="0C6E5B16"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201</w:t>
            </w:r>
          </w:p>
        </w:tc>
        <w:tc>
          <w:tcPr>
            <w:tcW w:w="749" w:type="pct"/>
            <w:shd w:val="clear" w:color="auto" w:fill="auto"/>
            <w:noWrap/>
            <w:tcMar>
              <w:top w:w="15" w:type="dxa"/>
              <w:left w:w="15" w:type="dxa"/>
              <w:bottom w:w="0" w:type="dxa"/>
              <w:right w:w="15" w:type="dxa"/>
            </w:tcMar>
            <w:vAlign w:val="center"/>
          </w:tcPr>
          <w:p w14:paraId="00A9040F"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96</w:t>
            </w:r>
          </w:p>
        </w:tc>
      </w:tr>
      <w:tr w:rsidR="00CE6E0B" w:rsidRPr="00211D55" w14:paraId="45D0600B" w14:textId="77777777" w:rsidTr="00BB3820">
        <w:trPr>
          <w:trHeight w:val="735"/>
        </w:trPr>
        <w:tc>
          <w:tcPr>
            <w:tcW w:w="413" w:type="pct"/>
            <w:shd w:val="clear" w:color="auto" w:fill="auto"/>
            <w:noWrap/>
            <w:tcMar>
              <w:top w:w="15" w:type="dxa"/>
              <w:left w:w="15" w:type="dxa"/>
              <w:bottom w:w="0" w:type="dxa"/>
              <w:right w:w="15" w:type="dxa"/>
            </w:tcMar>
          </w:tcPr>
          <w:p w14:paraId="6D8C024A" w14:textId="77777777"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ه4.3</w:t>
            </w:r>
          </w:p>
        </w:tc>
        <w:tc>
          <w:tcPr>
            <w:tcW w:w="2340" w:type="pct"/>
            <w:shd w:val="clear" w:color="auto" w:fill="auto"/>
            <w:tcMar>
              <w:top w:w="15" w:type="dxa"/>
              <w:left w:w="15" w:type="dxa"/>
              <w:bottom w:w="0" w:type="dxa"/>
              <w:right w:w="15" w:type="dxa"/>
            </w:tcMar>
          </w:tcPr>
          <w:p w14:paraId="2F40C34D" w14:textId="5AF7979A"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آليات وبرامج تعاونية معزّزة ومكيّفة حسب احتياجات البلدان النامية والبلدان الأقل نموا و</w:t>
            </w:r>
            <w:r w:rsidR="00AF6433">
              <w:rPr>
                <w:rFonts w:ascii="Arabic Typesetting" w:hAnsi="Arabic Typesetting" w:cs="Arabic Typesetting"/>
                <w:sz w:val="28"/>
                <w:szCs w:val="28"/>
                <w:rtl/>
              </w:rPr>
              <w:t>البلدان المتحولة</w:t>
            </w:r>
          </w:p>
        </w:tc>
        <w:tc>
          <w:tcPr>
            <w:tcW w:w="749" w:type="pct"/>
            <w:shd w:val="clear" w:color="auto" w:fill="auto"/>
            <w:tcMar>
              <w:top w:w="15" w:type="dxa"/>
              <w:left w:w="15" w:type="dxa"/>
              <w:bottom w:w="0" w:type="dxa"/>
              <w:right w:w="15" w:type="dxa"/>
            </w:tcMar>
            <w:vAlign w:val="center"/>
          </w:tcPr>
          <w:p w14:paraId="62912288"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5</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383</w:t>
            </w:r>
          </w:p>
        </w:tc>
        <w:tc>
          <w:tcPr>
            <w:tcW w:w="749" w:type="pct"/>
            <w:shd w:val="clear" w:color="auto" w:fill="auto"/>
            <w:tcMar>
              <w:top w:w="15" w:type="dxa"/>
              <w:left w:w="15" w:type="dxa"/>
              <w:bottom w:w="0" w:type="dxa"/>
              <w:right w:w="15" w:type="dxa"/>
            </w:tcMar>
            <w:vAlign w:val="center"/>
          </w:tcPr>
          <w:p w14:paraId="74E6B922"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6</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347</w:t>
            </w:r>
          </w:p>
        </w:tc>
        <w:tc>
          <w:tcPr>
            <w:tcW w:w="749" w:type="pct"/>
            <w:shd w:val="clear" w:color="auto" w:fill="auto"/>
            <w:noWrap/>
            <w:tcMar>
              <w:top w:w="15" w:type="dxa"/>
              <w:left w:w="15" w:type="dxa"/>
              <w:bottom w:w="0" w:type="dxa"/>
              <w:right w:w="15" w:type="dxa"/>
            </w:tcMar>
            <w:vAlign w:val="center"/>
          </w:tcPr>
          <w:p w14:paraId="5259459C"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063</w:t>
            </w:r>
          </w:p>
        </w:tc>
      </w:tr>
      <w:tr w:rsidR="00CE6E0B" w:rsidRPr="00211D55" w14:paraId="15C9825D" w14:textId="77777777" w:rsidTr="00BB3820">
        <w:trPr>
          <w:trHeight w:val="735"/>
        </w:trPr>
        <w:tc>
          <w:tcPr>
            <w:tcW w:w="413" w:type="pct"/>
            <w:shd w:val="clear" w:color="auto" w:fill="auto"/>
            <w:noWrap/>
            <w:tcMar>
              <w:top w:w="15" w:type="dxa"/>
              <w:left w:w="15" w:type="dxa"/>
              <w:bottom w:w="0" w:type="dxa"/>
              <w:right w:w="15" w:type="dxa"/>
            </w:tcMar>
          </w:tcPr>
          <w:p w14:paraId="66014ED3" w14:textId="77777777"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ه2.4</w:t>
            </w:r>
          </w:p>
        </w:tc>
        <w:tc>
          <w:tcPr>
            <w:tcW w:w="2340" w:type="pct"/>
            <w:shd w:val="clear" w:color="auto" w:fill="auto"/>
            <w:tcMar>
              <w:top w:w="15" w:type="dxa"/>
              <w:left w:w="15" w:type="dxa"/>
              <w:bottom w:w="0" w:type="dxa"/>
              <w:right w:w="15" w:type="dxa"/>
            </w:tcMar>
          </w:tcPr>
          <w:p w14:paraId="5B39E3C5" w14:textId="77777777"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نفاذ محسّن إلى المعلومات المتعلقة بالملكية الفكرية واستخدامها من قبل مؤسسات الملكية الفكرية والجمهور لتشجيع الابتكار والإبداع</w:t>
            </w:r>
          </w:p>
        </w:tc>
        <w:tc>
          <w:tcPr>
            <w:tcW w:w="749" w:type="pct"/>
            <w:shd w:val="clear" w:color="auto" w:fill="auto"/>
            <w:tcMar>
              <w:top w:w="15" w:type="dxa"/>
              <w:left w:w="15" w:type="dxa"/>
              <w:bottom w:w="0" w:type="dxa"/>
              <w:right w:w="15" w:type="dxa"/>
            </w:tcMar>
            <w:vAlign w:val="center"/>
          </w:tcPr>
          <w:p w14:paraId="56E3E4B7"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564</w:t>
            </w:r>
          </w:p>
        </w:tc>
        <w:tc>
          <w:tcPr>
            <w:tcW w:w="749" w:type="pct"/>
            <w:shd w:val="clear" w:color="auto" w:fill="auto"/>
            <w:tcMar>
              <w:top w:w="15" w:type="dxa"/>
              <w:left w:w="15" w:type="dxa"/>
              <w:bottom w:w="0" w:type="dxa"/>
              <w:right w:w="15" w:type="dxa"/>
            </w:tcMar>
            <w:vAlign w:val="center"/>
          </w:tcPr>
          <w:p w14:paraId="7FCA2CC0"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844</w:t>
            </w:r>
          </w:p>
        </w:tc>
        <w:tc>
          <w:tcPr>
            <w:tcW w:w="749" w:type="pct"/>
            <w:shd w:val="clear" w:color="auto" w:fill="auto"/>
            <w:noWrap/>
            <w:tcMar>
              <w:top w:w="15" w:type="dxa"/>
              <w:left w:w="15" w:type="dxa"/>
              <w:bottom w:w="0" w:type="dxa"/>
              <w:right w:w="15" w:type="dxa"/>
            </w:tcMar>
            <w:vAlign w:val="center"/>
          </w:tcPr>
          <w:p w14:paraId="0A23ADA6"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816</w:t>
            </w:r>
          </w:p>
        </w:tc>
      </w:tr>
      <w:tr w:rsidR="00CE6E0B" w:rsidRPr="00211D55" w14:paraId="536DA476" w14:textId="77777777" w:rsidTr="00BB3820">
        <w:trPr>
          <w:trHeight w:val="735"/>
        </w:trPr>
        <w:tc>
          <w:tcPr>
            <w:tcW w:w="413" w:type="pct"/>
            <w:shd w:val="clear" w:color="auto" w:fill="auto"/>
            <w:noWrap/>
            <w:tcMar>
              <w:top w:w="15" w:type="dxa"/>
              <w:left w:w="15" w:type="dxa"/>
              <w:bottom w:w="0" w:type="dxa"/>
              <w:right w:w="15" w:type="dxa"/>
            </w:tcMar>
          </w:tcPr>
          <w:p w14:paraId="6E9AE114" w14:textId="77777777" w:rsidR="00CE6E0B" w:rsidRPr="00095911" w:rsidRDefault="00CE6E0B" w:rsidP="0031289D">
            <w:pPr>
              <w:bidi/>
              <w:spacing w:before="120" w:after="60"/>
              <w:rPr>
                <w:rFonts w:ascii="Arabic Typesetting" w:hAnsi="Arabic Typesetting" w:cs="Arabic Typesetting"/>
                <w:sz w:val="28"/>
                <w:szCs w:val="28"/>
              </w:rPr>
            </w:pPr>
            <w:r w:rsidRPr="00095911">
              <w:rPr>
                <w:rFonts w:ascii="Arabic Typesetting" w:hAnsi="Arabic Typesetting" w:cs="Arabic Typesetting"/>
                <w:sz w:val="28"/>
                <w:szCs w:val="28"/>
                <w:rtl/>
              </w:rPr>
              <w:t>ه4.4</w:t>
            </w:r>
          </w:p>
        </w:tc>
        <w:tc>
          <w:tcPr>
            <w:tcW w:w="2340" w:type="pct"/>
            <w:shd w:val="clear" w:color="auto" w:fill="auto"/>
            <w:tcMar>
              <w:top w:w="15" w:type="dxa"/>
              <w:left w:w="15" w:type="dxa"/>
              <w:bottom w:w="0" w:type="dxa"/>
              <w:right w:w="15" w:type="dxa"/>
            </w:tcMar>
          </w:tcPr>
          <w:p w14:paraId="46B9BE6A" w14:textId="53D84449" w:rsidR="00CE6E0B" w:rsidRPr="00095911" w:rsidRDefault="007B1E0A" w:rsidP="0031289D">
            <w:pPr>
              <w:bidi/>
              <w:spacing w:before="120" w:after="60"/>
              <w:rPr>
                <w:rFonts w:ascii="Arabic Typesetting" w:hAnsi="Arabic Typesetting" w:cs="Arabic Typesetting"/>
                <w:sz w:val="28"/>
                <w:szCs w:val="28"/>
              </w:rPr>
            </w:pPr>
            <w:r>
              <w:rPr>
                <w:rFonts w:ascii="Arabic Typesetting" w:hAnsi="Arabic Typesetting" w:cs="Arabic Typesetting"/>
                <w:sz w:val="28"/>
                <w:szCs w:val="28"/>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749" w:type="pct"/>
            <w:shd w:val="clear" w:color="auto" w:fill="auto"/>
            <w:tcMar>
              <w:top w:w="15" w:type="dxa"/>
              <w:left w:w="15" w:type="dxa"/>
              <w:bottom w:w="0" w:type="dxa"/>
              <w:right w:w="15" w:type="dxa"/>
            </w:tcMar>
            <w:vAlign w:val="center"/>
          </w:tcPr>
          <w:p w14:paraId="5ECAD5FA"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339</w:t>
            </w:r>
          </w:p>
        </w:tc>
        <w:tc>
          <w:tcPr>
            <w:tcW w:w="749" w:type="pct"/>
            <w:shd w:val="clear" w:color="auto" w:fill="auto"/>
            <w:tcMar>
              <w:top w:w="15" w:type="dxa"/>
              <w:left w:w="15" w:type="dxa"/>
              <w:bottom w:w="0" w:type="dxa"/>
              <w:right w:w="15" w:type="dxa"/>
            </w:tcMar>
            <w:vAlign w:val="center"/>
          </w:tcPr>
          <w:p w14:paraId="267FC01F"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120</w:t>
            </w:r>
          </w:p>
        </w:tc>
        <w:tc>
          <w:tcPr>
            <w:tcW w:w="749" w:type="pct"/>
            <w:shd w:val="clear" w:color="auto" w:fill="auto"/>
            <w:noWrap/>
            <w:tcMar>
              <w:top w:w="15" w:type="dxa"/>
              <w:left w:w="15" w:type="dxa"/>
              <w:bottom w:w="0" w:type="dxa"/>
              <w:right w:w="15" w:type="dxa"/>
            </w:tcMar>
            <w:vAlign w:val="center"/>
          </w:tcPr>
          <w:p w14:paraId="0DFA391C" w14:textId="77777777" w:rsidR="00CE6E0B" w:rsidRPr="00095911" w:rsidRDefault="00CE6E0B" w:rsidP="0031289D">
            <w:pPr>
              <w:spacing w:after="60"/>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281</w:t>
            </w:r>
          </w:p>
        </w:tc>
      </w:tr>
      <w:tr w:rsidR="00CE6E0B" w:rsidRPr="00211D55" w14:paraId="7B0A56C3"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304B3309" w14:textId="77777777" w:rsidR="00CE6E0B" w:rsidRPr="00211D55" w:rsidRDefault="00CE6E0B"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4FF1B6E3" w14:textId="77777777" w:rsidR="00CE6E0B" w:rsidRPr="00280D1A" w:rsidRDefault="00CE6E0B"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0701FB69"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31 907</w:t>
            </w:r>
          </w:p>
        </w:tc>
        <w:tc>
          <w:tcPr>
            <w:tcW w:w="749" w:type="pct"/>
            <w:shd w:val="clear" w:color="auto" w:fill="C6D9F1"/>
            <w:noWrap/>
            <w:tcMar>
              <w:top w:w="15" w:type="dxa"/>
              <w:left w:w="15" w:type="dxa"/>
              <w:bottom w:w="0" w:type="dxa"/>
              <w:right w:w="15" w:type="dxa"/>
            </w:tcMar>
            <w:vAlign w:val="center"/>
          </w:tcPr>
          <w:p w14:paraId="72168F8F"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30 962</w:t>
            </w:r>
          </w:p>
        </w:tc>
        <w:tc>
          <w:tcPr>
            <w:tcW w:w="749" w:type="pct"/>
            <w:shd w:val="clear" w:color="auto" w:fill="C6D9F1"/>
            <w:noWrap/>
            <w:tcMar>
              <w:top w:w="15" w:type="dxa"/>
              <w:left w:w="15" w:type="dxa"/>
              <w:bottom w:w="0" w:type="dxa"/>
              <w:right w:w="15" w:type="dxa"/>
            </w:tcMar>
            <w:vAlign w:val="center"/>
          </w:tcPr>
          <w:p w14:paraId="668E456D"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14 160</w:t>
            </w:r>
          </w:p>
        </w:tc>
      </w:tr>
      <w:tr w:rsidR="00CE6E0B" w:rsidRPr="00211D55" w14:paraId="23FB183B"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56AF73D2" w14:textId="77777777" w:rsidR="00CE6E0B" w:rsidRPr="00A2672B" w:rsidRDefault="00CE6E0B"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72DD5A36" w14:textId="77777777" w:rsidR="00CE6E0B" w:rsidRPr="00252762"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14:paraId="30DAAE19" w14:textId="77777777" w:rsidR="00CE6E0B" w:rsidRPr="00DF1D8A" w:rsidRDefault="00CE6E0B"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CE6E0B" w:rsidRPr="00211D55" w14:paraId="4BADE783" w14:textId="77777777" w:rsidTr="00BB3820">
        <w:trPr>
          <w:trHeight w:val="645"/>
        </w:trPr>
        <w:tc>
          <w:tcPr>
            <w:tcW w:w="1118" w:type="pct"/>
            <w:shd w:val="clear" w:color="auto" w:fill="C6D9F1"/>
            <w:noWrap/>
            <w:vAlign w:val="center"/>
            <w:hideMark/>
          </w:tcPr>
          <w:p w14:paraId="5055BEE3" w14:textId="77777777" w:rsidR="00CE6E0B" w:rsidRPr="00211D55" w:rsidRDefault="00CE6E0B"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0488E116"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122FBB92"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4C3B9AD1"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25AF2868"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CE6E0B" w:rsidRPr="00211D55" w14:paraId="52757AF4" w14:textId="77777777" w:rsidTr="00BB3820">
        <w:trPr>
          <w:trHeight w:val="70"/>
        </w:trPr>
        <w:tc>
          <w:tcPr>
            <w:tcW w:w="1118" w:type="pct"/>
            <w:shd w:val="clear" w:color="auto" w:fill="auto"/>
            <w:noWrap/>
            <w:vAlign w:val="center"/>
            <w:hideMark/>
          </w:tcPr>
          <w:p w14:paraId="69975C3D"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6EBA6D38" w14:textId="77777777" w:rsidR="00CE6E0B" w:rsidRPr="00095911" w:rsidRDefault="00CE6E0B" w:rsidP="0031289D">
            <w:pPr>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22</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 xml:space="preserve">993 </w:t>
            </w:r>
          </w:p>
        </w:tc>
        <w:tc>
          <w:tcPr>
            <w:tcW w:w="971" w:type="pct"/>
            <w:shd w:val="clear" w:color="auto" w:fill="auto"/>
            <w:vAlign w:val="center"/>
          </w:tcPr>
          <w:p w14:paraId="00FCEE1D" w14:textId="77777777" w:rsidR="00CE6E0B" w:rsidRPr="00095911" w:rsidRDefault="00CE6E0B" w:rsidP="0031289D">
            <w:pPr>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22</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 xml:space="preserve">088 </w:t>
            </w:r>
          </w:p>
        </w:tc>
        <w:tc>
          <w:tcPr>
            <w:tcW w:w="970" w:type="pct"/>
            <w:shd w:val="clear" w:color="auto" w:fill="auto"/>
            <w:vAlign w:val="center"/>
          </w:tcPr>
          <w:p w14:paraId="02479040" w14:textId="77777777" w:rsidR="00CE6E0B" w:rsidRPr="00095911" w:rsidRDefault="00CE6E0B" w:rsidP="0031289D">
            <w:pPr>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10</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 xml:space="preserve">968 </w:t>
            </w:r>
          </w:p>
        </w:tc>
        <w:tc>
          <w:tcPr>
            <w:tcW w:w="970" w:type="pct"/>
            <w:shd w:val="clear" w:color="auto" w:fill="auto"/>
            <w:vAlign w:val="center"/>
          </w:tcPr>
          <w:p w14:paraId="0E75A632" w14:textId="77777777" w:rsidR="00CE6E0B" w:rsidRPr="00095911" w:rsidRDefault="00CE6E0B"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%50</w:t>
            </w:r>
          </w:p>
        </w:tc>
      </w:tr>
      <w:tr w:rsidR="00CE6E0B" w:rsidRPr="00211D55" w14:paraId="55530504" w14:textId="77777777" w:rsidTr="00BB3820">
        <w:trPr>
          <w:trHeight w:val="70"/>
        </w:trPr>
        <w:tc>
          <w:tcPr>
            <w:tcW w:w="1118" w:type="pct"/>
            <w:shd w:val="clear" w:color="auto" w:fill="auto"/>
            <w:noWrap/>
            <w:vAlign w:val="center"/>
            <w:hideMark/>
          </w:tcPr>
          <w:p w14:paraId="7FFAC954"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530A8636" w14:textId="77777777" w:rsidR="00CE6E0B" w:rsidRPr="00095911" w:rsidRDefault="00CE6E0B" w:rsidP="0031289D">
            <w:pPr>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8</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 xml:space="preserve">913 </w:t>
            </w:r>
          </w:p>
        </w:tc>
        <w:tc>
          <w:tcPr>
            <w:tcW w:w="971" w:type="pct"/>
            <w:shd w:val="clear" w:color="auto" w:fill="auto"/>
            <w:vAlign w:val="center"/>
          </w:tcPr>
          <w:p w14:paraId="55CBB8A2" w14:textId="77777777" w:rsidR="00CE6E0B" w:rsidRPr="00095911" w:rsidRDefault="00CE6E0B" w:rsidP="0031289D">
            <w:pPr>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8</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 xml:space="preserve">874 </w:t>
            </w:r>
          </w:p>
        </w:tc>
        <w:tc>
          <w:tcPr>
            <w:tcW w:w="970" w:type="pct"/>
            <w:shd w:val="clear" w:color="auto" w:fill="auto"/>
            <w:vAlign w:val="center"/>
          </w:tcPr>
          <w:p w14:paraId="0376F1BA" w14:textId="77777777" w:rsidR="00CE6E0B" w:rsidRPr="00095911" w:rsidRDefault="00CE6E0B" w:rsidP="0031289D">
            <w:pPr>
              <w:jc w:val="center"/>
              <w:rPr>
                <w:rFonts w:ascii="Arabic Typesetting" w:hAnsi="Arabic Typesetting" w:cs="Arabic Typesetting"/>
                <w:color w:val="000000"/>
                <w:sz w:val="28"/>
                <w:szCs w:val="28"/>
              </w:rPr>
            </w:pPr>
            <w:r w:rsidRPr="00095911">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095911">
              <w:rPr>
                <w:rFonts w:ascii="Arabic Typesetting" w:hAnsi="Arabic Typesetting" w:cs="Arabic Typesetting"/>
                <w:color w:val="000000"/>
                <w:sz w:val="28"/>
                <w:szCs w:val="28"/>
              </w:rPr>
              <w:t xml:space="preserve">192 </w:t>
            </w:r>
          </w:p>
        </w:tc>
        <w:tc>
          <w:tcPr>
            <w:tcW w:w="970" w:type="pct"/>
            <w:shd w:val="clear" w:color="auto" w:fill="auto"/>
            <w:vAlign w:val="center"/>
          </w:tcPr>
          <w:p w14:paraId="05241C01" w14:textId="77777777" w:rsidR="00CE6E0B" w:rsidRPr="00095911" w:rsidRDefault="00CE6E0B"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%36</w:t>
            </w:r>
          </w:p>
        </w:tc>
      </w:tr>
      <w:tr w:rsidR="00CE6E0B" w:rsidRPr="00211D55" w14:paraId="7D5B12D6" w14:textId="77777777" w:rsidTr="00AF6433">
        <w:trPr>
          <w:trHeight w:val="70"/>
        </w:trPr>
        <w:tc>
          <w:tcPr>
            <w:tcW w:w="1118" w:type="pct"/>
            <w:shd w:val="clear" w:color="auto" w:fill="C6D9F1"/>
            <w:noWrap/>
            <w:vAlign w:val="center"/>
            <w:hideMark/>
          </w:tcPr>
          <w:p w14:paraId="6CF43C33" w14:textId="77777777" w:rsidR="00CE6E0B" w:rsidRPr="00211D55" w:rsidRDefault="00CE6E0B"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70B650E2" w14:textId="77777777" w:rsidR="00CE6E0B" w:rsidRPr="00095911" w:rsidRDefault="00CE6E0B" w:rsidP="0031289D">
            <w:pPr>
              <w:jc w:val="center"/>
              <w:rPr>
                <w:rFonts w:ascii="Arabic Typesetting" w:hAnsi="Arabic Typesetting" w:cs="Arabic Typesetting"/>
                <w:b/>
                <w:bCs/>
                <w:color w:val="000000"/>
                <w:sz w:val="28"/>
                <w:szCs w:val="28"/>
              </w:rPr>
            </w:pPr>
            <w:r w:rsidRPr="00095911">
              <w:rPr>
                <w:rFonts w:ascii="Arabic Typesetting" w:hAnsi="Arabic Typesetting" w:cs="Arabic Typesetting"/>
                <w:b/>
                <w:bCs/>
                <w:color w:val="000000"/>
                <w:sz w:val="28"/>
                <w:szCs w:val="28"/>
              </w:rPr>
              <w:t>31</w:t>
            </w:r>
            <w:r>
              <w:rPr>
                <w:rFonts w:ascii="Arabic Typesetting" w:hAnsi="Arabic Typesetting" w:cs="Arabic Typesetting"/>
                <w:b/>
                <w:bCs/>
                <w:color w:val="000000"/>
                <w:sz w:val="28"/>
                <w:szCs w:val="28"/>
              </w:rPr>
              <w:t> </w:t>
            </w:r>
            <w:r w:rsidRPr="00095911">
              <w:rPr>
                <w:rFonts w:ascii="Arabic Typesetting" w:hAnsi="Arabic Typesetting" w:cs="Arabic Typesetting"/>
                <w:b/>
                <w:bCs/>
                <w:color w:val="000000"/>
                <w:sz w:val="28"/>
                <w:szCs w:val="28"/>
              </w:rPr>
              <w:t xml:space="preserve">907 </w:t>
            </w:r>
          </w:p>
        </w:tc>
        <w:tc>
          <w:tcPr>
            <w:tcW w:w="971" w:type="pct"/>
            <w:shd w:val="clear" w:color="auto" w:fill="C6D9F1"/>
            <w:vAlign w:val="center"/>
          </w:tcPr>
          <w:p w14:paraId="1D49DEB9" w14:textId="77777777" w:rsidR="00CE6E0B" w:rsidRPr="00095911" w:rsidRDefault="00CE6E0B" w:rsidP="0031289D">
            <w:pPr>
              <w:jc w:val="center"/>
              <w:rPr>
                <w:rFonts w:ascii="Arabic Typesetting" w:hAnsi="Arabic Typesetting" w:cs="Arabic Typesetting"/>
                <w:b/>
                <w:bCs/>
                <w:color w:val="000000"/>
                <w:sz w:val="28"/>
                <w:szCs w:val="28"/>
              </w:rPr>
            </w:pPr>
            <w:r w:rsidRPr="00095911">
              <w:rPr>
                <w:rFonts w:ascii="Arabic Typesetting" w:hAnsi="Arabic Typesetting" w:cs="Arabic Typesetting"/>
                <w:b/>
                <w:bCs/>
                <w:color w:val="000000"/>
                <w:sz w:val="28"/>
                <w:szCs w:val="28"/>
              </w:rPr>
              <w:t>30</w:t>
            </w:r>
            <w:r>
              <w:rPr>
                <w:rFonts w:ascii="Arabic Typesetting" w:hAnsi="Arabic Typesetting" w:cs="Arabic Typesetting"/>
                <w:b/>
                <w:bCs/>
                <w:color w:val="000000"/>
                <w:sz w:val="28"/>
                <w:szCs w:val="28"/>
              </w:rPr>
              <w:t> </w:t>
            </w:r>
            <w:r w:rsidRPr="00095911">
              <w:rPr>
                <w:rFonts w:ascii="Arabic Typesetting" w:hAnsi="Arabic Typesetting" w:cs="Arabic Typesetting"/>
                <w:b/>
                <w:bCs/>
                <w:color w:val="000000"/>
                <w:sz w:val="28"/>
                <w:szCs w:val="28"/>
              </w:rPr>
              <w:t xml:space="preserve">962 </w:t>
            </w:r>
          </w:p>
        </w:tc>
        <w:tc>
          <w:tcPr>
            <w:tcW w:w="970" w:type="pct"/>
            <w:shd w:val="clear" w:color="auto" w:fill="C6D9F1"/>
            <w:vAlign w:val="center"/>
          </w:tcPr>
          <w:p w14:paraId="35F212FC" w14:textId="77777777" w:rsidR="00CE6E0B" w:rsidRPr="00095911" w:rsidRDefault="00CE6E0B" w:rsidP="0031289D">
            <w:pPr>
              <w:jc w:val="center"/>
              <w:rPr>
                <w:rFonts w:ascii="Arabic Typesetting" w:hAnsi="Arabic Typesetting" w:cs="Arabic Typesetting"/>
                <w:b/>
                <w:bCs/>
                <w:color w:val="000000"/>
                <w:sz w:val="28"/>
                <w:szCs w:val="28"/>
              </w:rPr>
            </w:pPr>
            <w:r w:rsidRPr="00095911">
              <w:rPr>
                <w:rFonts w:ascii="Arabic Typesetting" w:hAnsi="Arabic Typesetting" w:cs="Arabic Typesetting"/>
                <w:b/>
                <w:bCs/>
                <w:color w:val="000000"/>
                <w:sz w:val="28"/>
                <w:szCs w:val="28"/>
              </w:rPr>
              <w:t>14</w:t>
            </w:r>
            <w:r>
              <w:rPr>
                <w:rFonts w:ascii="Arabic Typesetting" w:hAnsi="Arabic Typesetting" w:cs="Arabic Typesetting"/>
                <w:b/>
                <w:bCs/>
                <w:color w:val="000000"/>
                <w:sz w:val="28"/>
                <w:szCs w:val="28"/>
              </w:rPr>
              <w:t> </w:t>
            </w:r>
            <w:r w:rsidRPr="00095911">
              <w:rPr>
                <w:rFonts w:ascii="Arabic Typesetting" w:hAnsi="Arabic Typesetting" w:cs="Arabic Typesetting"/>
                <w:b/>
                <w:bCs/>
                <w:color w:val="000000"/>
                <w:sz w:val="28"/>
                <w:szCs w:val="28"/>
              </w:rPr>
              <w:t xml:space="preserve">160 </w:t>
            </w:r>
          </w:p>
        </w:tc>
        <w:tc>
          <w:tcPr>
            <w:tcW w:w="970" w:type="pct"/>
            <w:shd w:val="clear" w:color="auto" w:fill="C6D9F1"/>
            <w:vAlign w:val="center"/>
          </w:tcPr>
          <w:p w14:paraId="22CF14BB" w14:textId="77777777" w:rsidR="00CE6E0B" w:rsidRPr="00095911" w:rsidRDefault="00CE6E0B" w:rsidP="0031289D">
            <w:pPr>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%46</w:t>
            </w:r>
          </w:p>
        </w:tc>
      </w:tr>
      <w:tr w:rsidR="00CE6E0B" w:rsidRPr="00211D55" w14:paraId="57BAD0A4" w14:textId="77777777" w:rsidTr="00BB3820">
        <w:trPr>
          <w:trHeight w:val="540"/>
        </w:trPr>
        <w:tc>
          <w:tcPr>
            <w:tcW w:w="5000" w:type="pct"/>
            <w:gridSpan w:val="5"/>
            <w:shd w:val="clear" w:color="auto" w:fill="auto"/>
            <w:noWrap/>
            <w:vAlign w:val="center"/>
          </w:tcPr>
          <w:p w14:paraId="29EE91D5" w14:textId="77777777" w:rsidR="00CE6E0B" w:rsidRDefault="00CE6E0B"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405D560C" w14:textId="77777777" w:rsidR="00CE6E0B" w:rsidRPr="00D41845" w:rsidRDefault="00CE6E0B"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34E30BF4" w14:textId="77777777" w:rsidR="00CE6E0B" w:rsidRPr="00706F20" w:rsidRDefault="00CE6E0B"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054E6A75" w14:textId="77777777" w:rsidR="00CE6E0B" w:rsidRPr="00095911" w:rsidRDefault="00CE6E0B" w:rsidP="00D94CDB">
      <w:pPr>
        <w:numPr>
          <w:ilvl w:val="1"/>
          <w:numId w:val="78"/>
        </w:numPr>
        <w:bidi/>
        <w:spacing w:after="240" w:line="360" w:lineRule="exact"/>
        <w:ind w:left="0" w:hanging="1"/>
        <w:rPr>
          <w:rFonts w:ascii="Arabic Typesetting" w:hAnsi="Arabic Typesetting" w:cs="Arabic Typesetting"/>
          <w:sz w:val="34"/>
          <w:szCs w:val="34"/>
        </w:rPr>
      </w:pPr>
      <w:r w:rsidRPr="00095911">
        <w:rPr>
          <w:rFonts w:ascii="Arabic Typesetting" w:hAnsi="Arabic Typesetting" w:cs="Arabic Typesetting"/>
          <w:sz w:val="34"/>
          <w:szCs w:val="34"/>
          <w:rtl/>
        </w:rPr>
        <w:t>يُعزى الانخفاض الطفيف في خلاف موارد الموظفين إلى تحويل موارد من البرنامج إلى إدارة الموارد البشرية (البرنامج 23) لمشاركة موظ</w:t>
      </w:r>
      <w:r>
        <w:rPr>
          <w:rFonts w:ascii="Arabic Typesetting" w:hAnsi="Arabic Typesetting" w:cs="Arabic Typesetting"/>
          <w:sz w:val="34"/>
          <w:szCs w:val="34"/>
          <w:rtl/>
        </w:rPr>
        <w:t>فَين في دورات تدريبية.</w:t>
      </w:r>
      <w:r w:rsidRPr="00095911">
        <w:rPr>
          <w:rFonts w:ascii="Arabic Typesetting" w:hAnsi="Arabic Typesetting" w:cs="Arabic Typesetting"/>
          <w:sz w:val="34"/>
          <w:szCs w:val="34"/>
          <w:rtl/>
        </w:rPr>
        <w:t xml:space="preserve"> وتعزى التغييرات في اعتمادات النتائج المرتقبة إلى إعادة توزيع موارد الموظفين وخلاف موارد الموظفين وفقاً لخطط عمل عام 2016.</w:t>
      </w:r>
    </w:p>
    <w:p w14:paraId="2C56C3AD" w14:textId="77777777" w:rsidR="00CE6E0B" w:rsidRPr="00706F20" w:rsidRDefault="00CE6E0B"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179D8E08" w14:textId="77777777" w:rsidR="00CE6E0B" w:rsidRPr="00095911" w:rsidRDefault="00CE6E0B" w:rsidP="00D94CDB">
      <w:pPr>
        <w:numPr>
          <w:ilvl w:val="1"/>
          <w:numId w:val="78"/>
        </w:numPr>
        <w:bidi/>
        <w:spacing w:after="240" w:line="360" w:lineRule="exact"/>
        <w:ind w:left="0" w:hanging="1"/>
        <w:rPr>
          <w:rFonts w:ascii="Arabic Typesetting" w:hAnsi="Arabic Typesetting" w:cs="Arabic Typesetting"/>
          <w:sz w:val="34"/>
          <w:szCs w:val="34"/>
          <w:rtl/>
        </w:rPr>
      </w:pPr>
      <w:r w:rsidRPr="00095911">
        <w:rPr>
          <w:rFonts w:ascii="Arabic Typesetting" w:hAnsi="Arabic Typesetting" w:cs="Arabic Typesetting"/>
          <w:sz w:val="34"/>
          <w:szCs w:val="34"/>
          <w:rtl/>
        </w:rPr>
        <w:t>كانت نسبة استخدام موار</w:t>
      </w:r>
      <w:r>
        <w:rPr>
          <w:rFonts w:ascii="Arabic Typesetting" w:hAnsi="Arabic Typesetting" w:cs="Arabic Typesetting"/>
          <w:sz w:val="34"/>
          <w:szCs w:val="34"/>
          <w:rtl/>
        </w:rPr>
        <w:t>د الموظفين موافقة للهدف المحدد.</w:t>
      </w:r>
      <w:r w:rsidRPr="00095911">
        <w:rPr>
          <w:rFonts w:ascii="Arabic Typesetting" w:hAnsi="Arabic Typesetting" w:cs="Arabic Typesetting"/>
          <w:sz w:val="34"/>
          <w:szCs w:val="34"/>
          <w:rtl/>
        </w:rPr>
        <w:t xml:space="preserve"> وكانت نسبة استخدام ميزانية خلاف الموظفين أقل من الهدف المحدد بسبب تأجيل عدة أنشطة أو إلغائها في أفريقيا والمنطقة العربية، ب</w:t>
      </w:r>
      <w:r>
        <w:rPr>
          <w:rFonts w:ascii="Arabic Typesetting" w:hAnsi="Arabic Typesetting" w:cs="Arabic Typesetting"/>
          <w:sz w:val="34"/>
          <w:szCs w:val="34"/>
          <w:rtl/>
        </w:rPr>
        <w:t xml:space="preserve">ما في ذلك البلدان الأقل نمواً. </w:t>
      </w:r>
      <w:r w:rsidRPr="00095911">
        <w:rPr>
          <w:rFonts w:ascii="Arabic Typesetting" w:hAnsi="Arabic Typesetting" w:cs="Arabic Typesetting"/>
          <w:sz w:val="34"/>
          <w:szCs w:val="34"/>
          <w:rtl/>
        </w:rPr>
        <w:t>وفضلاً عن ذلك، كانت نسبة الإنفاق في إطار مشروع أجندة التنمية بشأن التنمية والسياحة أقل من المتوقع بسبب تأجيل بعض الأنشطة إلى عام</w:t>
      </w:r>
      <w:r>
        <w:rPr>
          <w:rFonts w:ascii="Arabic Typesetting" w:hAnsi="Arabic Typesetting" w:cs="Arabic Typesetting" w:hint="cs"/>
          <w:sz w:val="34"/>
          <w:szCs w:val="34"/>
          <w:rtl/>
        </w:rPr>
        <w:t> </w:t>
      </w:r>
      <w:r w:rsidRPr="00095911">
        <w:rPr>
          <w:rFonts w:ascii="Arabic Typesetting" w:hAnsi="Arabic Typesetting" w:cs="Arabic Typesetting"/>
          <w:sz w:val="34"/>
          <w:szCs w:val="34"/>
          <w:rtl/>
        </w:rPr>
        <w:t>2017.</w:t>
      </w:r>
    </w:p>
    <w:p w14:paraId="0658AF8C" w14:textId="7427CDB1" w:rsidR="00CE6E0B" w:rsidRDefault="00CE6E0B"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0F3B8F6C" w14:textId="7999469B" w:rsidR="00CE6E0B" w:rsidRPr="002132E9" w:rsidRDefault="00CE6E0B" w:rsidP="00DA7DF7">
      <w:pPr>
        <w:pStyle w:val="Heading3"/>
        <w:ind w:left="1984" w:hanging="1984"/>
      </w:pPr>
      <w:bookmarkStart w:id="29" w:name="_Toc482782756"/>
      <w:r w:rsidRPr="002132E9">
        <w:rPr>
          <w:rtl/>
        </w:rPr>
        <w:lastRenderedPageBreak/>
        <w:t>البرنامج</w:t>
      </w:r>
      <w:r w:rsidRPr="002132E9">
        <w:rPr>
          <w:rFonts w:hint="cs"/>
          <w:rtl/>
        </w:rPr>
        <w:t xml:space="preserve"> 10:</w:t>
      </w:r>
      <w:r w:rsidRPr="002132E9">
        <w:tab/>
      </w:r>
      <w:r w:rsidRPr="002132E9">
        <w:rPr>
          <w:rtl/>
        </w:rPr>
        <w:t xml:space="preserve">البلدان </w:t>
      </w:r>
      <w:r w:rsidR="00FF57F6">
        <w:rPr>
          <w:rFonts w:hint="cs"/>
          <w:rtl/>
        </w:rPr>
        <w:t>المتحولة والبلدان المتقدمة</w:t>
      </w:r>
      <w:bookmarkEnd w:id="29"/>
    </w:p>
    <w:p w14:paraId="7AF9DDA6" w14:textId="77777777" w:rsidR="00CE6E0B" w:rsidRDefault="00CE6E0B"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CA365F">
        <w:rPr>
          <w:rFonts w:ascii="Arabic Typesetting" w:hAnsi="Arabic Typesetting" w:cs="Arabic Typesetting"/>
          <w:b/>
          <w:bCs/>
          <w:sz w:val="36"/>
          <w:szCs w:val="36"/>
          <w:rtl/>
          <w:lang w:val="fr-CH"/>
        </w:rPr>
        <w:t>المدير العام</w:t>
      </w:r>
    </w:p>
    <w:p w14:paraId="5EB92B14" w14:textId="77777777" w:rsidR="00CE6E0B" w:rsidRDefault="00CE6E0B"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79EBD089" wp14:editId="66AC0982">
            <wp:extent cx="3606152"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06152" cy="2160000"/>
                    </a:xfrm>
                    <a:prstGeom prst="rect">
                      <a:avLst/>
                    </a:prstGeom>
                    <a:noFill/>
                  </pic:spPr>
                </pic:pic>
              </a:graphicData>
            </a:graphic>
          </wp:inline>
        </w:drawing>
      </w:r>
    </w:p>
    <w:tbl>
      <w:tblPr>
        <w:bidiVisual/>
        <w:tblW w:w="5000" w:type="pct"/>
        <w:tblInd w:w="58" w:type="dxa"/>
        <w:tblLayout w:type="fixed"/>
        <w:tblCellMar>
          <w:left w:w="115" w:type="dxa"/>
          <w:right w:w="115" w:type="dxa"/>
        </w:tblCellMar>
        <w:tblLook w:val="0000" w:firstRow="0" w:lastRow="0" w:firstColumn="0" w:lastColumn="0" w:noHBand="0" w:noVBand="0"/>
      </w:tblPr>
      <w:tblGrid>
        <w:gridCol w:w="1983"/>
        <w:gridCol w:w="2445"/>
        <w:gridCol w:w="1436"/>
        <w:gridCol w:w="2637"/>
        <w:gridCol w:w="80"/>
        <w:gridCol w:w="890"/>
      </w:tblGrid>
      <w:tr w:rsidR="00CE6E0B" w:rsidRPr="00CA365F" w14:paraId="769FCDA5" w14:textId="77777777" w:rsidTr="00BB3820">
        <w:trPr>
          <w:cantSplit/>
          <w:trHeight w:val="565"/>
        </w:trPr>
        <w:tc>
          <w:tcPr>
            <w:tcW w:w="5000" w:type="pct"/>
            <w:gridSpan w:val="6"/>
            <w:shd w:val="clear" w:color="auto" w:fill="C6D9F1"/>
            <w:tcMar>
              <w:left w:w="58" w:type="dxa"/>
              <w:right w:w="58" w:type="dxa"/>
            </w:tcMar>
            <w:vAlign w:val="center"/>
          </w:tcPr>
          <w:p w14:paraId="00B68F30" w14:textId="7E5ECC51" w:rsidR="00CE6E0B" w:rsidRPr="00CA365F" w:rsidRDefault="00CE6E0B" w:rsidP="0031289D">
            <w:pPr>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‏النتيجة المرتقبة:</w:t>
            </w:r>
            <w:r w:rsidRPr="00CA365F">
              <w:rPr>
                <w:rFonts w:ascii="Arabic Typesetting" w:eastAsia="Arabic Typesetting" w:hAnsi="Arabic Typesetting" w:cs="Arabic Typesetting"/>
                <w:sz w:val="28"/>
                <w:szCs w:val="28"/>
                <w:lang w:eastAsia="ar-EG" w:bidi="ar-EG"/>
              </w:rPr>
              <w:tab/>
            </w:r>
            <w:r w:rsidRPr="00CA365F">
              <w:rPr>
                <w:rFonts w:ascii="Arabic Typesetting" w:eastAsia="Arabic Typesetting" w:hAnsi="Arabic Typesetting" w:cs="Arabic Typesetting"/>
                <w:color w:val="000000"/>
                <w:sz w:val="28"/>
                <w:szCs w:val="28"/>
                <w:rtl/>
                <w:lang w:eastAsia="ar-EG" w:bidi="ar-EG"/>
              </w:rPr>
              <w:t>ه2.1</w:t>
            </w:r>
            <w:r>
              <w:rPr>
                <w:rFonts w:ascii="Arabic Typesetting" w:eastAsia="Arabic Typesetting" w:hAnsi="Arabic Typesetting" w:cs="Arabic Typesetting"/>
                <w:sz w:val="28"/>
                <w:szCs w:val="28"/>
                <w:lang w:eastAsia="ar-EG" w:bidi="ar-EG"/>
              </w:rPr>
              <w:t xml:space="preserve"> </w:t>
            </w:r>
            <w:r w:rsidR="009834BA">
              <w:rPr>
                <w:rFonts w:ascii="Arabic Typesetting" w:eastAsia="Arabic Typesetting" w:hAnsi="Arabic Typesetting" w:cs="Arabic Typesetting"/>
                <w:color w:val="000000"/>
                <w:sz w:val="28"/>
                <w:szCs w:val="28"/>
                <w:rtl/>
                <w:lang w:eastAsia="ar-EG" w:bidi="ar-EG"/>
              </w:rPr>
              <w:t>أطر تشريعية وتنظيمية وسياسية مكيّفة ومتوازنة في مجال الملكية الفكرية</w:t>
            </w:r>
          </w:p>
        </w:tc>
      </w:tr>
      <w:tr w:rsidR="00CE6E0B" w:rsidRPr="00CA365F" w14:paraId="6E031F55" w14:textId="77777777" w:rsidTr="00BB3820">
        <w:trPr>
          <w:cantSplit/>
        </w:trPr>
        <w:tc>
          <w:tcPr>
            <w:tcW w:w="1047" w:type="pct"/>
            <w:shd w:val="clear" w:color="auto" w:fill="auto"/>
            <w:tcMar>
              <w:left w:w="58" w:type="dxa"/>
              <w:right w:w="58" w:type="dxa"/>
            </w:tcMar>
            <w:vAlign w:val="center"/>
          </w:tcPr>
          <w:p w14:paraId="6BA12F65"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مؤشرات الأداء</w:t>
            </w:r>
          </w:p>
        </w:tc>
        <w:tc>
          <w:tcPr>
            <w:tcW w:w="1291" w:type="pct"/>
            <w:shd w:val="clear" w:color="auto" w:fill="auto"/>
            <w:tcMar>
              <w:left w:w="58" w:type="dxa"/>
              <w:right w:w="58" w:type="dxa"/>
            </w:tcMar>
            <w:vAlign w:val="center"/>
          </w:tcPr>
          <w:p w14:paraId="21A43632"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أسس المقارنة</w:t>
            </w:r>
          </w:p>
        </w:tc>
        <w:tc>
          <w:tcPr>
            <w:tcW w:w="758" w:type="pct"/>
            <w:shd w:val="clear" w:color="auto" w:fill="auto"/>
            <w:tcMar>
              <w:top w:w="110" w:type="dxa"/>
              <w:left w:w="58" w:type="dxa"/>
              <w:right w:w="58" w:type="dxa"/>
            </w:tcMar>
            <w:vAlign w:val="center"/>
          </w:tcPr>
          <w:p w14:paraId="33BFE36C"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الأهداف</w:t>
            </w:r>
          </w:p>
        </w:tc>
        <w:tc>
          <w:tcPr>
            <w:tcW w:w="1392" w:type="pct"/>
            <w:shd w:val="clear" w:color="auto" w:fill="FFFFFF"/>
            <w:tcMar>
              <w:top w:w="110" w:type="dxa"/>
              <w:left w:w="58" w:type="dxa"/>
              <w:right w:w="58" w:type="dxa"/>
            </w:tcMar>
            <w:vAlign w:val="center"/>
          </w:tcPr>
          <w:p w14:paraId="6384761B"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بيانات الأداء</w:t>
            </w:r>
          </w:p>
        </w:tc>
        <w:tc>
          <w:tcPr>
            <w:tcW w:w="512" w:type="pct"/>
            <w:gridSpan w:val="2"/>
            <w:shd w:val="clear" w:color="auto" w:fill="auto"/>
            <w:tcMar>
              <w:top w:w="110" w:type="dxa"/>
              <w:left w:w="58" w:type="dxa"/>
              <w:right w:w="58" w:type="dxa"/>
            </w:tcMar>
            <w:vAlign w:val="center"/>
          </w:tcPr>
          <w:p w14:paraId="6BB3DBC6" w14:textId="77777777" w:rsidR="00CE6E0B" w:rsidRPr="00CA365F" w:rsidRDefault="00CE6E0B" w:rsidP="0031289D">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CA365F" w14:paraId="63222DB4" w14:textId="77777777" w:rsidTr="00BB3820">
        <w:trPr>
          <w:cantSplit/>
          <w:trHeight w:val="1159"/>
        </w:trPr>
        <w:tc>
          <w:tcPr>
            <w:tcW w:w="1047" w:type="pct"/>
            <w:shd w:val="clear" w:color="auto" w:fill="auto"/>
            <w:tcMar>
              <w:left w:w="58" w:type="dxa"/>
              <w:right w:w="58" w:type="dxa"/>
            </w:tcMar>
          </w:tcPr>
          <w:p w14:paraId="08D5E902" w14:textId="2BDF1D59"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‏عدد </w:t>
            </w:r>
            <w:r w:rsidR="00AF6433">
              <w:rPr>
                <w:rFonts w:ascii="Arabic Typesetting" w:eastAsia="Arabic Typesetting" w:hAnsi="Arabic Typesetting" w:cs="Arabic Typesetting"/>
                <w:color w:val="000000"/>
                <w:sz w:val="28"/>
                <w:szCs w:val="28"/>
                <w:rtl/>
                <w:lang w:eastAsia="ar-EG" w:bidi="ar-EG"/>
              </w:rPr>
              <w:t>البلدان المتحولة</w:t>
            </w:r>
            <w:r w:rsidRPr="00CA365F">
              <w:rPr>
                <w:rFonts w:ascii="Arabic Typesetting" w:eastAsia="Arabic Typesetting" w:hAnsi="Arabic Typesetting" w:cs="Arabic Typesetting"/>
                <w:color w:val="000000"/>
                <w:sz w:val="28"/>
                <w:szCs w:val="28"/>
                <w:rtl/>
                <w:lang w:eastAsia="ar-EG" w:bidi="ar-EG"/>
              </w:rPr>
              <w:t xml:space="preserve"> وب</w:t>
            </w:r>
            <w:r>
              <w:rPr>
                <w:rFonts w:ascii="Arabic Typesetting" w:eastAsia="Arabic Typesetting" w:hAnsi="Arabic Typesetting" w:cs="Arabic Typesetting"/>
                <w:color w:val="000000"/>
                <w:sz w:val="28"/>
                <w:szCs w:val="28"/>
                <w:rtl/>
                <w:lang w:eastAsia="ar-EG" w:bidi="ar-EG"/>
              </w:rPr>
              <w:t>ها قوانين ولوائح وطنية مُحدَّثة</w:t>
            </w:r>
          </w:p>
        </w:tc>
        <w:tc>
          <w:tcPr>
            <w:tcW w:w="1291" w:type="pct"/>
            <w:shd w:val="clear" w:color="auto" w:fill="auto"/>
            <w:tcMar>
              <w:left w:w="58" w:type="dxa"/>
              <w:right w:w="58" w:type="dxa"/>
            </w:tcMar>
          </w:tcPr>
          <w:p w14:paraId="11589F36" w14:textId="77777777" w:rsidR="00CE6E0B" w:rsidRPr="00CA365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w:t>
            </w:r>
            <w:r>
              <w:rPr>
                <w:rFonts w:ascii="Arabic Typesetting" w:eastAsia="Arabic Typesetting" w:hAnsi="Arabic Typesetting" w:cs="Arabic Typesetting"/>
                <w:i/>
                <w:iCs/>
                <w:color w:val="002060"/>
                <w:sz w:val="28"/>
                <w:szCs w:val="28"/>
                <w:lang w:eastAsia="ar-EG" w:bidi="ar-EG"/>
              </w:rPr>
              <w:t> </w:t>
            </w:r>
            <w:r w:rsidRPr="00CA365F">
              <w:rPr>
                <w:rFonts w:ascii="Arabic Typesetting" w:eastAsia="Arabic Typesetting" w:hAnsi="Arabic Typesetting" w:cs="Arabic Typesetting"/>
                <w:i/>
                <w:iCs/>
                <w:color w:val="002060"/>
                <w:sz w:val="28"/>
                <w:szCs w:val="28"/>
                <w:rtl/>
                <w:lang w:eastAsia="ar-EG" w:bidi="ar-EG"/>
              </w:rPr>
              <w:t>2015:</w:t>
            </w:r>
            <w:r w:rsidRPr="00CA365F">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9 بلدان (كازاخستان وقيرغيزستان ولاتفيا وليتوانيا والجبل الأسود وجمهورية مولدوفا والاتحاد الروسي وطاجيكستان وتركمانستان)</w:t>
            </w:r>
          </w:p>
          <w:p w14:paraId="0FE097E9" w14:textId="56D17296" w:rsidR="00CE6E0B" w:rsidRPr="00CA365F" w:rsidRDefault="00CE6E0B" w:rsidP="000C4432">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color w:val="000000"/>
                <w:sz w:val="28"/>
                <w:szCs w:val="28"/>
                <w:rtl/>
                <w:lang w:eastAsia="ar-EG" w:bidi="ar-EG"/>
              </w:rPr>
              <w:t>6 بلدان (2014)</w:t>
            </w:r>
          </w:p>
        </w:tc>
        <w:tc>
          <w:tcPr>
            <w:tcW w:w="758" w:type="pct"/>
            <w:shd w:val="clear" w:color="auto" w:fill="auto"/>
            <w:tcMar>
              <w:top w:w="110" w:type="dxa"/>
              <w:left w:w="58" w:type="dxa"/>
              <w:right w:w="58" w:type="dxa"/>
            </w:tcMar>
          </w:tcPr>
          <w:p w14:paraId="36308F73"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6 بلدان إضافية</w:t>
            </w:r>
          </w:p>
        </w:tc>
        <w:tc>
          <w:tcPr>
            <w:tcW w:w="1392" w:type="pct"/>
            <w:shd w:val="clear" w:color="auto" w:fill="FFFFFF"/>
            <w:tcMar>
              <w:top w:w="110" w:type="dxa"/>
              <w:left w:w="58" w:type="dxa"/>
              <w:right w:w="58" w:type="dxa"/>
            </w:tcMar>
          </w:tcPr>
          <w:p w14:paraId="7FFC0564"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6 بلدان (ألبانيا وكازاخستان ولاتفيا والجبل الأسود وج</w:t>
            </w:r>
            <w:r>
              <w:rPr>
                <w:rFonts w:ascii="Arabic Typesetting" w:eastAsia="Arabic Typesetting" w:hAnsi="Arabic Typesetting" w:cs="Arabic Typesetting"/>
                <w:color w:val="000000"/>
                <w:sz w:val="28"/>
                <w:szCs w:val="28"/>
                <w:rtl/>
                <w:lang w:eastAsia="ar-EG" w:bidi="ar-EG"/>
              </w:rPr>
              <w:t>مهورية مولدوفا والاتحاد</w:t>
            </w:r>
            <w:r>
              <w:rPr>
                <w:rFonts w:ascii="Arabic Typesetting" w:eastAsia="Arabic Typesetting" w:hAnsi="Arabic Typesetting" w:cs="Arabic Typesetting"/>
                <w:color w:val="000000"/>
                <w:sz w:val="28"/>
                <w:szCs w:val="28"/>
                <w:lang w:eastAsia="ar-EG" w:bidi="ar-EG"/>
              </w:rPr>
              <w:t> </w:t>
            </w:r>
            <w:r>
              <w:rPr>
                <w:rFonts w:ascii="Arabic Typesetting" w:eastAsia="Arabic Typesetting" w:hAnsi="Arabic Typesetting" w:cs="Arabic Typesetting"/>
                <w:color w:val="000000"/>
                <w:sz w:val="28"/>
                <w:szCs w:val="28"/>
                <w:rtl/>
                <w:lang w:eastAsia="ar-EG" w:bidi="ar-EG"/>
              </w:rPr>
              <w:t>الروسي)</w:t>
            </w:r>
          </w:p>
        </w:tc>
        <w:tc>
          <w:tcPr>
            <w:tcW w:w="512" w:type="pct"/>
            <w:gridSpan w:val="2"/>
            <w:shd w:val="clear" w:color="auto" w:fill="auto"/>
            <w:tcMar>
              <w:top w:w="110" w:type="dxa"/>
              <w:left w:w="58" w:type="dxa"/>
              <w:right w:w="58" w:type="dxa"/>
            </w:tcMar>
          </w:tcPr>
          <w:p w14:paraId="0267CCA3" w14:textId="77777777" w:rsidR="00CE6E0B" w:rsidRPr="00CA365F" w:rsidRDefault="00CE6E0B"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color w:val="00B050"/>
                <w:sz w:val="28"/>
                <w:szCs w:val="28"/>
                <w:rtl/>
                <w:lang w:eastAsia="ar-EG" w:bidi="ar-EG"/>
              </w:rPr>
              <w:t>ثابت</w:t>
            </w:r>
          </w:p>
        </w:tc>
      </w:tr>
      <w:tr w:rsidR="00CE6E0B" w:rsidRPr="00CA365F" w14:paraId="31E6997C" w14:textId="77777777" w:rsidTr="00BB3820">
        <w:trPr>
          <w:cantSplit/>
          <w:trHeight w:val="1638"/>
        </w:trPr>
        <w:tc>
          <w:tcPr>
            <w:tcW w:w="1047" w:type="pct"/>
            <w:shd w:val="clear" w:color="auto" w:fill="auto"/>
            <w:tcMar>
              <w:left w:w="58" w:type="dxa"/>
              <w:right w:w="58" w:type="dxa"/>
            </w:tcMar>
          </w:tcPr>
          <w:p w14:paraId="31403DD7"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عدد التصديقات على المعاهدات التي تديرها الويبو</w:t>
            </w:r>
          </w:p>
        </w:tc>
        <w:tc>
          <w:tcPr>
            <w:tcW w:w="1291" w:type="pct"/>
            <w:shd w:val="clear" w:color="auto" w:fill="auto"/>
            <w:tcMar>
              <w:left w:w="58" w:type="dxa"/>
              <w:right w:w="58" w:type="dxa"/>
            </w:tcMar>
          </w:tcPr>
          <w:p w14:paraId="08913DB8" w14:textId="77777777" w:rsidR="00CE6E0B" w:rsidRPr="00CA365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10</w:t>
            </w:r>
          </w:p>
          <w:p w14:paraId="46F982CD" w14:textId="77777777" w:rsidR="00CE6E0B" w:rsidRPr="00437BAD" w:rsidRDefault="00CE6E0B" w:rsidP="0031289D">
            <w:pPr>
              <w:bidi/>
              <w:spacing w:after="120" w:line="280" w:lineRule="exact"/>
              <w:rPr>
                <w:rFonts w:ascii="Arabic Typesetting" w:eastAsia="Arabic Typesetting" w:hAnsi="Arabic Typesetting" w:cs="Arabic Typesetting"/>
                <w:i/>
                <w:iCs/>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w:t>
            </w:r>
            <w:r>
              <w:rPr>
                <w:rFonts w:ascii="Arabic Typesetting" w:eastAsia="Arabic Typesetting" w:hAnsi="Arabic Typesetting" w:cs="Arabic Typesetting"/>
                <w:i/>
                <w:iCs/>
                <w:sz w:val="28"/>
                <w:szCs w:val="28"/>
                <w:rtl/>
                <w:lang w:eastAsia="ar-EG" w:bidi="ar-EG"/>
              </w:rPr>
              <w:t>ج و</w:t>
            </w:r>
            <w:r w:rsidRPr="00CA365F">
              <w:rPr>
                <w:rFonts w:ascii="Arabic Typesetting" w:eastAsia="Arabic Typesetting" w:hAnsi="Arabic Typesetting" w:cs="Arabic Typesetting"/>
                <w:i/>
                <w:iCs/>
                <w:sz w:val="28"/>
                <w:szCs w:val="28"/>
                <w:rtl/>
                <w:lang w:eastAsia="ar-EG" w:bidi="ar-EG"/>
              </w:rPr>
              <w:t>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color w:val="000000"/>
                <w:sz w:val="28"/>
                <w:szCs w:val="28"/>
                <w:rtl/>
                <w:lang w:eastAsia="ar-EG" w:bidi="ar-EG"/>
              </w:rPr>
              <w:t>غير متاح</w:t>
            </w:r>
          </w:p>
        </w:tc>
        <w:tc>
          <w:tcPr>
            <w:tcW w:w="758" w:type="pct"/>
            <w:shd w:val="clear" w:color="auto" w:fill="auto"/>
            <w:tcMar>
              <w:top w:w="110" w:type="dxa"/>
              <w:left w:w="58" w:type="dxa"/>
              <w:right w:w="58" w:type="dxa"/>
            </w:tcMar>
          </w:tcPr>
          <w:p w14:paraId="6D1BCCD5" w14:textId="77777777" w:rsidR="00CE6E0B" w:rsidRPr="00CA365F" w:rsidRDefault="00CE6E0B" w:rsidP="0031289D">
            <w:pPr>
              <w:bidi/>
              <w:spacing w:after="120" w:line="280" w:lineRule="exact"/>
              <w:rPr>
                <w:rFonts w:ascii="Arabic Typesetting" w:eastAsia="Arabic Typesetting" w:hAnsi="Arabic Typesetting" w:cs="Arabic Typesetting"/>
                <w:color w:val="002060"/>
                <w:sz w:val="28"/>
                <w:szCs w:val="28"/>
                <w:highlight w:val="yellow"/>
                <w:lang w:eastAsia="ar-EG" w:bidi="ar-EG"/>
              </w:rPr>
            </w:pPr>
            <w:r w:rsidRPr="00CA365F">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lang w:eastAsia="ar-EG" w:bidi="ar-EG"/>
              </w:rPr>
              <w:br/>
            </w:r>
            <w:r>
              <w:rPr>
                <w:rFonts w:ascii="Arabic Typesetting" w:eastAsia="Arabic Typesetting" w:hAnsi="Arabic Typesetting" w:cs="Arabic Typesetting"/>
                <w:color w:val="002060"/>
                <w:sz w:val="28"/>
                <w:szCs w:val="28"/>
                <w:rtl/>
                <w:lang w:eastAsia="ar-EG" w:bidi="ar-EG"/>
              </w:rPr>
              <w:t>12 بلدا</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t xml:space="preserve"> إضافي</w:t>
            </w:r>
            <w:r>
              <w:rPr>
                <w:rFonts w:ascii="Arabic Typesetting" w:eastAsia="Arabic Typesetting" w:hAnsi="Arabic Typesetting" w:cs="Arabic Typesetting" w:hint="cs"/>
                <w:color w:val="002060"/>
                <w:sz w:val="28"/>
                <w:szCs w:val="28"/>
                <w:rtl/>
                <w:lang w:eastAsia="ar-EG" w:bidi="ar-EG"/>
              </w:rPr>
              <w:t>اً</w:t>
            </w:r>
          </w:p>
          <w:p w14:paraId="5E8E09D4" w14:textId="563B19B2"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CA365F">
              <w:rPr>
                <w:rFonts w:ascii="Arabic Typesetting" w:eastAsia="Arabic Typesetting" w:hAnsi="Arabic Typesetting" w:cs="Arabic Typesetting"/>
                <w:i/>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color w:val="000000"/>
                <w:sz w:val="28"/>
                <w:szCs w:val="28"/>
                <w:rtl/>
                <w:lang w:eastAsia="ar-EG" w:bidi="ar-EG"/>
              </w:rPr>
              <w:t>4 بلدان إضافية</w:t>
            </w:r>
          </w:p>
        </w:tc>
        <w:tc>
          <w:tcPr>
            <w:tcW w:w="1392" w:type="pct"/>
            <w:shd w:val="clear" w:color="auto" w:fill="FFFFFF"/>
            <w:tcMar>
              <w:top w:w="110" w:type="dxa"/>
              <w:left w:w="58" w:type="dxa"/>
              <w:right w:w="58" w:type="dxa"/>
            </w:tcMar>
          </w:tcPr>
          <w:p w14:paraId="0A1BED00"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7 تصديقات (أستراليا وبيلاروس وكندا وفنلندا وإسرائيل واليابان وتركمانستان)</w:t>
            </w:r>
          </w:p>
        </w:tc>
        <w:tc>
          <w:tcPr>
            <w:tcW w:w="512" w:type="pct"/>
            <w:gridSpan w:val="2"/>
            <w:shd w:val="clear" w:color="auto" w:fill="auto"/>
            <w:tcMar>
              <w:top w:w="110" w:type="dxa"/>
              <w:left w:w="58" w:type="dxa"/>
              <w:right w:w="58" w:type="dxa"/>
            </w:tcMar>
          </w:tcPr>
          <w:p w14:paraId="6C5FCA73" w14:textId="77777777" w:rsidR="00CE6E0B" w:rsidRPr="00CA365F" w:rsidRDefault="00CE6E0B"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color w:val="00B050"/>
                <w:sz w:val="28"/>
                <w:szCs w:val="28"/>
                <w:rtl/>
                <w:lang w:eastAsia="ar-EG" w:bidi="ar-EG"/>
              </w:rPr>
              <w:t>ثابت</w:t>
            </w:r>
          </w:p>
        </w:tc>
      </w:tr>
      <w:tr w:rsidR="00CE6E0B" w:rsidRPr="00CA365F" w14:paraId="334FF461" w14:textId="77777777" w:rsidTr="00BB3820">
        <w:trPr>
          <w:cantSplit/>
          <w:trHeight w:val="565"/>
        </w:trPr>
        <w:tc>
          <w:tcPr>
            <w:tcW w:w="5000" w:type="pct"/>
            <w:gridSpan w:val="6"/>
            <w:shd w:val="clear" w:color="auto" w:fill="C6D9F1"/>
            <w:tcMar>
              <w:left w:w="58" w:type="dxa"/>
              <w:right w:w="58" w:type="dxa"/>
            </w:tcMar>
            <w:vAlign w:val="center"/>
          </w:tcPr>
          <w:p w14:paraId="769AFFB0" w14:textId="77777777" w:rsidR="00CE6E0B" w:rsidRPr="00CA365F" w:rsidRDefault="00CE6E0B"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211D55">
              <w:rPr>
                <w:rFonts w:ascii="Arabic Typesetting" w:hAnsi="Arabic Typesetting" w:cs="Arabic Typesetting"/>
                <w:bCs/>
                <w:sz w:val="28"/>
                <w:szCs w:val="28"/>
                <w:shd w:val="clear" w:color="auto" w:fill="C6D9F1"/>
                <w:rtl/>
                <w:lang w:bidi="ar-EG"/>
              </w:rPr>
              <w:t xml:space="preserve">النتيجة المرتقبة: </w:t>
            </w:r>
            <w:r w:rsidRPr="00211D55">
              <w:rPr>
                <w:rFonts w:ascii="Arabic Typesetting" w:hAnsi="Arabic Typesetting" w:cs="Arabic Typesetting"/>
                <w:b/>
                <w:sz w:val="28"/>
                <w:szCs w:val="28"/>
                <w:shd w:val="clear" w:color="auto" w:fill="C6D9F1"/>
                <w:rtl/>
                <w:lang w:bidi="ar-EG"/>
              </w:rPr>
              <w:tab/>
            </w:r>
            <w:r w:rsidRPr="00CA365F">
              <w:rPr>
                <w:rFonts w:ascii="Arabic Typesetting" w:eastAsia="Arabic Typesetting" w:hAnsi="Arabic Typesetting" w:cs="Arabic Typesetting"/>
                <w:color w:val="000000"/>
                <w:sz w:val="28"/>
                <w:szCs w:val="28"/>
                <w:rtl/>
                <w:lang w:eastAsia="ar-EG" w:bidi="ar-EG"/>
              </w:rPr>
              <w:t>ه1.2 استخدام نظام معاهدة التعاون بشأن البراءات على نطاق أوسع وبفعالية أكبر لإيداع طلبات البراءات الدولية</w:t>
            </w:r>
          </w:p>
        </w:tc>
      </w:tr>
      <w:tr w:rsidR="00CE6E0B" w:rsidRPr="00CA365F" w14:paraId="5CB93E38" w14:textId="77777777" w:rsidTr="00BB3820">
        <w:trPr>
          <w:cantSplit/>
        </w:trPr>
        <w:tc>
          <w:tcPr>
            <w:tcW w:w="1047" w:type="pct"/>
            <w:shd w:val="clear" w:color="auto" w:fill="auto"/>
            <w:tcMar>
              <w:left w:w="58" w:type="dxa"/>
              <w:right w:w="58" w:type="dxa"/>
            </w:tcMar>
            <w:vAlign w:val="center"/>
          </w:tcPr>
          <w:p w14:paraId="1D5F0761" w14:textId="77777777" w:rsidR="00CE6E0B" w:rsidRPr="00CA365F"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مؤشرات الأداء</w:t>
            </w:r>
          </w:p>
        </w:tc>
        <w:tc>
          <w:tcPr>
            <w:tcW w:w="1291" w:type="pct"/>
            <w:shd w:val="clear" w:color="auto" w:fill="auto"/>
            <w:tcMar>
              <w:left w:w="58" w:type="dxa"/>
              <w:right w:w="58" w:type="dxa"/>
            </w:tcMar>
            <w:vAlign w:val="center"/>
          </w:tcPr>
          <w:p w14:paraId="61AADB6B" w14:textId="77777777" w:rsidR="00CE6E0B" w:rsidRPr="00CA365F"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أسس المقارنة</w:t>
            </w:r>
          </w:p>
        </w:tc>
        <w:tc>
          <w:tcPr>
            <w:tcW w:w="758" w:type="pct"/>
            <w:shd w:val="clear" w:color="auto" w:fill="auto"/>
            <w:tcMar>
              <w:top w:w="110" w:type="dxa"/>
              <w:left w:w="58" w:type="dxa"/>
              <w:right w:w="58" w:type="dxa"/>
            </w:tcMar>
            <w:vAlign w:val="center"/>
          </w:tcPr>
          <w:p w14:paraId="72B08723" w14:textId="77777777" w:rsidR="00CE6E0B" w:rsidRPr="00CA365F"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الأهداف</w:t>
            </w:r>
          </w:p>
        </w:tc>
        <w:tc>
          <w:tcPr>
            <w:tcW w:w="1392" w:type="pct"/>
            <w:shd w:val="clear" w:color="auto" w:fill="FFFFFF"/>
            <w:tcMar>
              <w:top w:w="110" w:type="dxa"/>
              <w:left w:w="58" w:type="dxa"/>
              <w:right w:w="58" w:type="dxa"/>
            </w:tcMar>
            <w:vAlign w:val="center"/>
          </w:tcPr>
          <w:p w14:paraId="793D3FCC" w14:textId="77777777" w:rsidR="00CE6E0B" w:rsidRPr="00CA365F"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بيانات الأداء</w:t>
            </w:r>
          </w:p>
        </w:tc>
        <w:tc>
          <w:tcPr>
            <w:tcW w:w="512" w:type="pct"/>
            <w:gridSpan w:val="2"/>
            <w:shd w:val="clear" w:color="auto" w:fill="auto"/>
            <w:tcMar>
              <w:top w:w="110" w:type="dxa"/>
              <w:left w:w="58" w:type="dxa"/>
              <w:right w:w="58" w:type="dxa"/>
            </w:tcMar>
            <w:vAlign w:val="center"/>
          </w:tcPr>
          <w:p w14:paraId="3DC57F81" w14:textId="77777777" w:rsidR="00CE6E0B" w:rsidRPr="00CA365F" w:rsidRDefault="00CE6E0B" w:rsidP="0031289D">
            <w:pPr>
              <w:keepNext/>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CA365F" w14:paraId="176ECD2B" w14:textId="77777777" w:rsidTr="00BB3820">
        <w:trPr>
          <w:cantSplit/>
          <w:trHeight w:val="1640"/>
        </w:trPr>
        <w:tc>
          <w:tcPr>
            <w:tcW w:w="1047" w:type="pct"/>
            <w:shd w:val="clear" w:color="auto" w:fill="auto"/>
            <w:tcMar>
              <w:left w:w="58" w:type="dxa"/>
              <w:right w:w="58" w:type="dxa"/>
            </w:tcMar>
          </w:tcPr>
          <w:p w14:paraId="4994D9B0" w14:textId="2378E83A" w:rsidR="00CE6E0B" w:rsidRPr="00CA365F" w:rsidRDefault="00CE6E0B" w:rsidP="0031289D">
            <w:pPr>
              <w:bidi/>
              <w:spacing w:after="120" w:line="280" w:lineRule="exact"/>
              <w:ind w:right="176"/>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عدد الطلبات المودعة بناء على معاهدة التعاون بشأن البراءات والصادرة من </w:t>
            </w:r>
            <w:r w:rsidR="00AF6433">
              <w:rPr>
                <w:rFonts w:ascii="Arabic Typesetting" w:eastAsia="Arabic Typesetting" w:hAnsi="Arabic Typesetting" w:cs="Arabic Typesetting"/>
                <w:color w:val="000000"/>
                <w:sz w:val="28"/>
                <w:szCs w:val="28"/>
                <w:rtl/>
                <w:lang w:eastAsia="ar-EG" w:bidi="ar-EG"/>
              </w:rPr>
              <w:t>البلدان المتحولة</w:t>
            </w:r>
            <w:r w:rsidRPr="00CA365F">
              <w:rPr>
                <w:rFonts w:ascii="Arabic Typesetting" w:eastAsia="Arabic Typesetting" w:hAnsi="Arabic Typesetting" w:cs="Arabic Typesetting"/>
                <w:color w:val="000000"/>
                <w:sz w:val="28"/>
                <w:szCs w:val="28"/>
                <w:rtl/>
                <w:lang w:eastAsia="ar-EG" w:bidi="ar-EG"/>
              </w:rPr>
              <w:t xml:space="preserve"> والبل</w:t>
            </w:r>
            <w:r>
              <w:rPr>
                <w:rFonts w:ascii="Arabic Typesetting" w:eastAsia="Arabic Typesetting" w:hAnsi="Arabic Typesetting" w:cs="Arabic Typesetting"/>
                <w:color w:val="000000"/>
                <w:sz w:val="28"/>
                <w:szCs w:val="28"/>
                <w:rtl/>
                <w:lang w:eastAsia="ar-EG" w:bidi="ar-EG"/>
              </w:rPr>
              <w:t>دان المتقدمة</w:t>
            </w:r>
          </w:p>
        </w:tc>
        <w:tc>
          <w:tcPr>
            <w:tcW w:w="1291" w:type="pct"/>
            <w:shd w:val="clear" w:color="auto" w:fill="auto"/>
            <w:tcMar>
              <w:left w:w="58" w:type="dxa"/>
              <w:right w:w="58" w:type="dxa"/>
            </w:tcMar>
          </w:tcPr>
          <w:p w14:paraId="6E700BA1" w14:textId="77777777" w:rsidR="00CE6E0B" w:rsidRPr="00CA365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177 170 برنامجاً (2014) (+2.15%)</w:t>
            </w:r>
            <w:r>
              <w:rPr>
                <w:rFonts w:ascii="Arabic Typesetting" w:eastAsia="Arabic Typesetting" w:hAnsi="Arabic Typesetting" w:cs="Arabic Typesetting"/>
                <w:color w:val="002060"/>
                <w:sz w:val="28"/>
                <w:szCs w:val="28"/>
                <w:rtl/>
                <w:lang w:eastAsia="ar-EG" w:bidi="ar-EG"/>
              </w:rPr>
              <w:br/>
            </w:r>
            <w:r w:rsidRPr="00CA365F">
              <w:rPr>
                <w:rFonts w:ascii="Arabic Typesetting" w:eastAsia="Arabic Typesetting" w:hAnsi="Arabic Typesetting" w:cs="Arabic Typesetting"/>
                <w:color w:val="002060"/>
                <w:sz w:val="28"/>
                <w:szCs w:val="28"/>
                <w:rtl/>
                <w:lang w:eastAsia="ar-EG" w:bidi="ar-EG"/>
              </w:rPr>
              <w:t>207 168 برامج (2015)</w:t>
            </w:r>
            <w:r>
              <w:rPr>
                <w:rFonts w:ascii="Arabic Typesetting" w:eastAsia="Arabic Typesetting" w:hAnsi="Arabic Typesetting" w:cs="Arabic Typesetting"/>
                <w:color w:val="002060"/>
                <w:sz w:val="28"/>
                <w:szCs w:val="28"/>
                <w:rtl/>
                <w:lang w:eastAsia="ar-EG" w:bidi="ar-EG"/>
              </w:rPr>
              <w:br/>
            </w:r>
            <w:r w:rsidRPr="00CA365F">
              <w:rPr>
                <w:rFonts w:ascii="Arabic Typesetting" w:eastAsia="Arabic Typesetting" w:hAnsi="Arabic Typesetting" w:cs="Arabic Typesetting"/>
                <w:color w:val="002060"/>
                <w:sz w:val="28"/>
                <w:szCs w:val="28"/>
                <w:rtl/>
                <w:lang w:eastAsia="ar-EG" w:bidi="ar-EG"/>
              </w:rPr>
              <w:t>(-1.17%)</w:t>
            </w:r>
            <w:r>
              <w:rPr>
                <w:rFonts w:ascii="Arabic Typesetting" w:eastAsia="Arabic Typesetting" w:hAnsi="Arabic Typesetting" w:cs="Arabic Typesetting"/>
                <w:color w:val="002060"/>
                <w:sz w:val="28"/>
                <w:szCs w:val="28"/>
                <w:rtl/>
                <w:lang w:eastAsia="ar-EG" w:bidi="ar-EG"/>
              </w:rPr>
              <w:br/>
            </w:r>
            <w:r w:rsidRPr="00CA365F">
              <w:rPr>
                <w:rFonts w:ascii="Arabic Typesetting" w:eastAsia="Arabic Typesetting" w:hAnsi="Arabic Typesetting" w:cs="Arabic Typesetting"/>
                <w:color w:val="002060"/>
                <w:sz w:val="28"/>
                <w:szCs w:val="28"/>
                <w:rtl/>
                <w:lang w:eastAsia="ar-EG" w:bidi="ar-EG"/>
              </w:rPr>
              <w:t>+3.5% (الثنائية)</w:t>
            </w:r>
          </w:p>
          <w:p w14:paraId="5B7AFF65" w14:textId="77777777" w:rsidR="00CE6E0B" w:rsidRPr="00CA365F"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w:t>
            </w:r>
            <w:r>
              <w:rPr>
                <w:rFonts w:ascii="Arabic Typesetting" w:eastAsia="Arabic Typesetting" w:hAnsi="Arabic Typesetting" w:cs="Arabic Typesetting"/>
                <w:i/>
                <w:iCs/>
                <w:sz w:val="28"/>
                <w:szCs w:val="28"/>
                <w:rtl/>
                <w:lang w:eastAsia="ar-EG" w:bidi="ar-EG"/>
              </w:rPr>
              <w:t>ج و</w:t>
            </w:r>
            <w:r w:rsidRPr="00CA365F">
              <w:rPr>
                <w:rFonts w:ascii="Arabic Typesetting" w:eastAsia="Arabic Typesetting" w:hAnsi="Arabic Typesetting" w:cs="Arabic Typesetting"/>
                <w:i/>
                <w:iCs/>
                <w:sz w:val="28"/>
                <w:szCs w:val="28"/>
                <w:rtl/>
                <w:lang w:eastAsia="ar-EG" w:bidi="ar-EG"/>
              </w:rPr>
              <w:t>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sz w:val="28"/>
                <w:szCs w:val="28"/>
                <w:rtl/>
                <w:lang w:eastAsia="ar-EG" w:bidi="ar-EG"/>
              </w:rPr>
              <w:t>317 170 (2014)</w:t>
            </w:r>
          </w:p>
        </w:tc>
        <w:tc>
          <w:tcPr>
            <w:tcW w:w="758" w:type="pct"/>
            <w:shd w:val="clear" w:color="auto" w:fill="auto"/>
            <w:tcMar>
              <w:top w:w="110" w:type="dxa"/>
              <w:left w:w="58" w:type="dxa"/>
              <w:right w:w="58" w:type="dxa"/>
            </w:tcMar>
          </w:tcPr>
          <w:p w14:paraId="18A4B2B7"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‏زيادة بنسبة 1.5% (سنويا)</w:t>
            </w:r>
          </w:p>
        </w:tc>
        <w:tc>
          <w:tcPr>
            <w:tcW w:w="1392" w:type="pct"/>
            <w:shd w:val="clear" w:color="auto" w:fill="FFFFFF"/>
            <w:tcMar>
              <w:top w:w="110" w:type="dxa"/>
              <w:left w:w="58" w:type="dxa"/>
              <w:right w:w="58" w:type="dxa"/>
            </w:tcMar>
          </w:tcPr>
          <w:p w14:paraId="0168D4FA" w14:textId="417B558D" w:rsidR="00CE6E0B" w:rsidRPr="00CA365F" w:rsidRDefault="003E33F1" w:rsidP="003E33F1">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832 168</w:t>
            </w:r>
            <w:r w:rsidR="00CE6E0B">
              <w:rPr>
                <w:rFonts w:ascii="Arabic Typesetting" w:eastAsia="Arabic Typesetting" w:hAnsi="Arabic Typesetting" w:cs="Arabic Typesetting"/>
                <w:color w:val="000000"/>
                <w:sz w:val="28"/>
                <w:szCs w:val="28"/>
                <w:lang w:eastAsia="ar-EG" w:bidi="ar-EG"/>
              </w:rPr>
              <w:br/>
            </w:r>
            <w:r w:rsidR="00CE6E0B" w:rsidRPr="00CA365F">
              <w:rPr>
                <w:rFonts w:ascii="Arabic Typesetting" w:eastAsia="Arabic Typesetting" w:hAnsi="Arabic Typesetting" w:cs="Arabic Typesetting"/>
                <w:color w:val="000000"/>
                <w:sz w:val="28"/>
                <w:szCs w:val="28"/>
                <w:rtl/>
                <w:lang w:eastAsia="ar-EG" w:bidi="ar-EG"/>
              </w:rPr>
              <w:t xml:space="preserve"> +0.4%</w:t>
            </w:r>
          </w:p>
        </w:tc>
        <w:tc>
          <w:tcPr>
            <w:tcW w:w="512" w:type="pct"/>
            <w:gridSpan w:val="2"/>
            <w:shd w:val="clear" w:color="auto" w:fill="auto"/>
            <w:tcMar>
              <w:top w:w="110" w:type="dxa"/>
              <w:left w:w="58" w:type="dxa"/>
              <w:right w:w="58" w:type="dxa"/>
            </w:tcMar>
          </w:tcPr>
          <w:p w14:paraId="2DBF1AAB" w14:textId="77777777" w:rsidR="00CE6E0B" w:rsidRPr="00CA365F" w:rsidRDefault="00CE6E0B"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CA365F">
              <w:rPr>
                <w:rFonts w:ascii="Arabic Typesetting" w:eastAsia="Arabic Typesetting" w:hAnsi="Arabic Typesetting" w:cs="Arabic Typesetting"/>
                <w:b/>
                <w:bCs/>
                <w:color w:val="FF0000"/>
                <w:sz w:val="28"/>
                <w:szCs w:val="28"/>
                <w:rtl/>
                <w:lang w:eastAsia="ar-EG" w:bidi="ar-EG"/>
              </w:rPr>
              <w:t>غير ثابت</w:t>
            </w:r>
          </w:p>
        </w:tc>
      </w:tr>
      <w:tr w:rsidR="00CE6E0B" w:rsidRPr="00CA365F" w14:paraId="12507F2A" w14:textId="77777777" w:rsidTr="00BB3820">
        <w:trPr>
          <w:cantSplit/>
          <w:trHeight w:val="2668"/>
        </w:trPr>
        <w:tc>
          <w:tcPr>
            <w:tcW w:w="1047" w:type="pct"/>
            <w:shd w:val="clear" w:color="auto" w:fill="auto"/>
            <w:tcMar>
              <w:left w:w="58" w:type="dxa"/>
              <w:right w:w="58" w:type="dxa"/>
            </w:tcMar>
          </w:tcPr>
          <w:p w14:paraId="10C1AEB2" w14:textId="77777777" w:rsidR="00CE6E0B" w:rsidRPr="00CA365F" w:rsidRDefault="00CE6E0B" w:rsidP="0031289D">
            <w:pPr>
              <w:bidi/>
              <w:spacing w:after="120" w:line="280" w:lineRule="exact"/>
              <w:ind w:right="176"/>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lastRenderedPageBreak/>
              <w:t>نسبة ا</w:t>
            </w:r>
            <w:r w:rsidRPr="00CA365F">
              <w:rPr>
                <w:rFonts w:ascii="Arabic Typesetting" w:eastAsia="Arabic Typesetting" w:hAnsi="Arabic Typesetting" w:cs="Arabic Typesetting"/>
                <w:color w:val="000000"/>
                <w:sz w:val="28"/>
                <w:szCs w:val="28"/>
                <w:rtl/>
                <w:lang w:eastAsia="ar-EG" w:bidi="ar-EG"/>
              </w:rPr>
              <w:t>لمشاركين في الاستقصاء الذين أفادوا بزيادة في استخدام خدمات الويبو في غضون 6 أشهر من حضور الحلقات الدراسية الجوالة بشأن خدمات الويبو ومبادراتها</w:t>
            </w:r>
          </w:p>
        </w:tc>
        <w:tc>
          <w:tcPr>
            <w:tcW w:w="1291" w:type="pct"/>
            <w:shd w:val="clear" w:color="auto" w:fill="auto"/>
            <w:tcMar>
              <w:left w:w="58" w:type="dxa"/>
              <w:right w:w="58" w:type="dxa"/>
            </w:tcMar>
          </w:tcPr>
          <w:p w14:paraId="7157AA1B" w14:textId="77777777" w:rsidR="00CE6E0B" w:rsidRPr="00CA365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35%</w:t>
            </w:r>
          </w:p>
          <w:p w14:paraId="4B25C249" w14:textId="77777777" w:rsidR="00CE6E0B" w:rsidRPr="00CA365F"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sz w:val="28"/>
                <w:szCs w:val="28"/>
                <w:rtl/>
                <w:lang w:eastAsia="ar-EG" w:bidi="ar-EG"/>
              </w:rPr>
              <w:t>18%</w:t>
            </w:r>
          </w:p>
        </w:tc>
        <w:tc>
          <w:tcPr>
            <w:tcW w:w="758" w:type="pct"/>
            <w:shd w:val="clear" w:color="auto" w:fill="auto"/>
            <w:tcMar>
              <w:top w:w="110" w:type="dxa"/>
              <w:left w:w="58" w:type="dxa"/>
              <w:right w:w="58" w:type="dxa"/>
            </w:tcMar>
          </w:tcPr>
          <w:p w14:paraId="029B3F1E"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25% من المشاركين في الاستقصاء الذين أفادوا بزيادة في</w:t>
            </w:r>
            <w:r>
              <w:rPr>
                <w:rFonts w:ascii="Arabic Typesetting" w:eastAsia="Arabic Typesetting" w:hAnsi="Arabic Typesetting" w:cs="Arabic Typesetting" w:hint="cs"/>
                <w:color w:val="002060"/>
                <w:sz w:val="28"/>
                <w:szCs w:val="28"/>
                <w:rtl/>
                <w:lang w:eastAsia="ar-EG" w:bidi="ar-EG"/>
              </w:rPr>
              <w:t> </w:t>
            </w:r>
            <w:r w:rsidRPr="00CA365F">
              <w:rPr>
                <w:rFonts w:ascii="Arabic Typesetting" w:eastAsia="Arabic Typesetting" w:hAnsi="Arabic Typesetting" w:cs="Arabic Typesetting"/>
                <w:color w:val="002060"/>
                <w:sz w:val="28"/>
                <w:szCs w:val="28"/>
                <w:rtl/>
                <w:lang w:eastAsia="ar-EG" w:bidi="ar-EG"/>
              </w:rPr>
              <w:t>استخدام خدمات</w:t>
            </w:r>
            <w:r>
              <w:rPr>
                <w:rFonts w:ascii="Arabic Typesetting" w:eastAsia="Arabic Typesetting" w:hAnsi="Arabic Typesetting" w:cs="Arabic Typesetting" w:hint="cs"/>
                <w:color w:val="002060"/>
                <w:sz w:val="28"/>
                <w:szCs w:val="28"/>
                <w:rtl/>
                <w:lang w:eastAsia="ar-EG" w:bidi="ar-EG"/>
              </w:rPr>
              <w:t> </w:t>
            </w:r>
            <w:r w:rsidRPr="00CA365F">
              <w:rPr>
                <w:rFonts w:ascii="Arabic Typesetting" w:eastAsia="Arabic Typesetting" w:hAnsi="Arabic Typesetting" w:cs="Arabic Typesetting"/>
                <w:color w:val="002060"/>
                <w:sz w:val="28"/>
                <w:szCs w:val="28"/>
                <w:rtl/>
                <w:lang w:eastAsia="ar-EG" w:bidi="ar-EG"/>
              </w:rPr>
              <w:t>الويبو</w:t>
            </w:r>
          </w:p>
          <w:p w14:paraId="18D11826" w14:textId="3455B820" w:rsidR="00CE6E0B" w:rsidRPr="00CA365F" w:rsidRDefault="00CE6E0B" w:rsidP="0031289D">
            <w:pPr>
              <w:bidi/>
              <w:spacing w:after="120" w:line="280" w:lineRule="exact"/>
              <w:rPr>
                <w:rFonts w:ascii="Arabic Typesetting" w:eastAsia="Arabic Typesetting" w:hAnsi="Arabic Typesetting" w:cs="Arabic Typesetting"/>
                <w:i/>
                <w:sz w:val="28"/>
                <w:szCs w:val="28"/>
                <w:lang w:eastAsia="ar-EG" w:bidi="ar-EG"/>
              </w:rPr>
            </w:pPr>
            <w:r w:rsidRPr="00CA365F">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CA365F">
              <w:rPr>
                <w:rFonts w:ascii="Arabic Typesetting" w:eastAsia="Arabic Typesetting" w:hAnsi="Arabic Typesetting" w:cs="Arabic Typesetting"/>
                <w:i/>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p>
          <w:p w14:paraId="289830C4"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20% من المشاركين في الاستقصاء الذين أفادوا بزيادة في</w:t>
            </w:r>
            <w:r>
              <w:rPr>
                <w:rFonts w:ascii="Arabic Typesetting" w:eastAsia="Arabic Typesetting" w:hAnsi="Arabic Typesetting" w:cs="Arabic Typesetting" w:hint="cs"/>
                <w:color w:val="000000"/>
                <w:sz w:val="28"/>
                <w:szCs w:val="28"/>
                <w:rtl/>
                <w:lang w:eastAsia="ar-EG" w:bidi="ar-EG"/>
              </w:rPr>
              <w:t> </w:t>
            </w:r>
            <w:r w:rsidRPr="00CA365F">
              <w:rPr>
                <w:rFonts w:ascii="Arabic Typesetting" w:eastAsia="Arabic Typesetting" w:hAnsi="Arabic Typesetting" w:cs="Arabic Typesetting"/>
                <w:color w:val="000000"/>
                <w:sz w:val="28"/>
                <w:szCs w:val="28"/>
                <w:rtl/>
                <w:lang w:eastAsia="ar-EG" w:bidi="ar-EG"/>
              </w:rPr>
              <w:t>استخدام خدمات</w:t>
            </w:r>
            <w:r>
              <w:rPr>
                <w:rFonts w:ascii="Arabic Typesetting" w:eastAsia="Arabic Typesetting" w:hAnsi="Arabic Typesetting" w:cs="Arabic Typesetting" w:hint="cs"/>
                <w:color w:val="000000"/>
                <w:sz w:val="28"/>
                <w:szCs w:val="28"/>
                <w:rtl/>
                <w:lang w:eastAsia="ar-EG" w:bidi="ar-EG"/>
              </w:rPr>
              <w:t> </w:t>
            </w:r>
            <w:r w:rsidRPr="00CA365F">
              <w:rPr>
                <w:rFonts w:ascii="Arabic Typesetting" w:eastAsia="Arabic Typesetting" w:hAnsi="Arabic Typesetting" w:cs="Arabic Typesetting"/>
                <w:color w:val="000000"/>
                <w:sz w:val="28"/>
                <w:szCs w:val="28"/>
                <w:rtl/>
                <w:lang w:eastAsia="ar-EG" w:bidi="ar-EG"/>
              </w:rPr>
              <w:t>الويبو</w:t>
            </w:r>
          </w:p>
        </w:tc>
        <w:tc>
          <w:tcPr>
            <w:tcW w:w="1392" w:type="pct"/>
            <w:shd w:val="clear" w:color="auto" w:fill="FFFFFF"/>
            <w:tcMar>
              <w:top w:w="110" w:type="dxa"/>
              <w:left w:w="58" w:type="dxa"/>
              <w:right w:w="58" w:type="dxa"/>
            </w:tcMar>
          </w:tcPr>
          <w:p w14:paraId="71939A34"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20% من المجيبين الذين أفادوا بزيادة في استخدام خدمات الويبو</w:t>
            </w:r>
          </w:p>
        </w:tc>
        <w:tc>
          <w:tcPr>
            <w:tcW w:w="512" w:type="pct"/>
            <w:gridSpan w:val="2"/>
            <w:shd w:val="clear" w:color="auto" w:fill="auto"/>
            <w:tcMar>
              <w:top w:w="110" w:type="dxa"/>
              <w:left w:w="58" w:type="dxa"/>
              <w:right w:w="58" w:type="dxa"/>
            </w:tcMar>
          </w:tcPr>
          <w:p w14:paraId="468FB646" w14:textId="77777777" w:rsidR="00CE6E0B" w:rsidRPr="00CA365F" w:rsidRDefault="00CE6E0B"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color w:val="00B050"/>
                <w:sz w:val="28"/>
                <w:szCs w:val="28"/>
                <w:rtl/>
                <w:lang w:eastAsia="ar-EG" w:bidi="ar-EG"/>
              </w:rPr>
              <w:t>ثابت</w:t>
            </w:r>
          </w:p>
        </w:tc>
      </w:tr>
      <w:tr w:rsidR="00CE6E0B" w:rsidRPr="00CA365F" w14:paraId="515E2A9E" w14:textId="77777777" w:rsidTr="00BB3820">
        <w:trPr>
          <w:cantSplit/>
          <w:trHeight w:val="565"/>
        </w:trPr>
        <w:tc>
          <w:tcPr>
            <w:tcW w:w="5000" w:type="pct"/>
            <w:gridSpan w:val="6"/>
            <w:shd w:val="clear" w:color="auto" w:fill="C6D9F1"/>
            <w:tcMar>
              <w:left w:w="58" w:type="dxa"/>
              <w:right w:w="58" w:type="dxa"/>
            </w:tcMar>
            <w:vAlign w:val="center"/>
          </w:tcPr>
          <w:p w14:paraId="352B18AB" w14:textId="77777777" w:rsidR="00CE6E0B" w:rsidRPr="00CA365F" w:rsidRDefault="00CE6E0B"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8F2EF7">
              <w:rPr>
                <w:rFonts w:ascii="Arabic Typesetting" w:eastAsia="Arabic Typesetting" w:hAnsi="Arabic Typesetting" w:cs="Arabic Typesetting"/>
                <w:b/>
                <w:bCs/>
                <w:sz w:val="39"/>
                <w:szCs w:val="28"/>
                <w:rtl/>
                <w:lang w:eastAsia="ar-EG" w:bidi="ar-EG"/>
              </w:rPr>
              <w:t>‏</w:t>
            </w:r>
            <w:r w:rsidRPr="008F2EF7">
              <w:rPr>
                <w:rFonts w:ascii="Arabic Typesetting" w:eastAsia="Arabic Typesetting" w:hAnsi="Arabic Typesetting" w:cs="Arabic Typesetting"/>
                <w:b/>
                <w:bCs/>
                <w:color w:val="000000"/>
                <w:sz w:val="28"/>
                <w:szCs w:val="28"/>
                <w:rtl/>
                <w:lang w:eastAsia="ar-EG" w:bidi="ar-EG"/>
              </w:rPr>
              <w:t>النتيجة</w:t>
            </w:r>
            <w:r w:rsidRPr="008F2EF7">
              <w:rPr>
                <w:rFonts w:ascii="Arabic Typesetting" w:eastAsia="Arabic Typesetting" w:hAnsi="Arabic Typesetting" w:cs="Arabic Typesetting"/>
                <w:b/>
                <w:bCs/>
                <w:sz w:val="39"/>
                <w:szCs w:val="28"/>
                <w:rtl/>
                <w:lang w:eastAsia="ar-EG" w:bidi="ar-EG"/>
              </w:rPr>
              <w:t xml:space="preserve"> المرت</w:t>
            </w:r>
            <w:r w:rsidRPr="00CA365F">
              <w:rPr>
                <w:rFonts w:ascii="Arabic Typesetting" w:eastAsia="Arabic Typesetting" w:hAnsi="Arabic Typesetting" w:cs="Arabic Typesetting"/>
                <w:b/>
                <w:bCs/>
                <w:sz w:val="28"/>
                <w:szCs w:val="28"/>
                <w:rtl/>
                <w:lang w:eastAsia="ar-EG" w:bidi="ar-EG"/>
              </w:rPr>
              <w:t>قبة:</w:t>
            </w:r>
            <w:r w:rsidRPr="00CA365F">
              <w:rPr>
                <w:rFonts w:ascii="Arabic Typesetting" w:eastAsia="Arabic Typesetting" w:hAnsi="Arabic Typesetting" w:cs="Arabic Typesetting"/>
                <w:sz w:val="28"/>
                <w:szCs w:val="28"/>
                <w:lang w:eastAsia="ar-EG" w:bidi="ar-EG"/>
              </w:rPr>
              <w:tab/>
            </w:r>
            <w:r w:rsidRPr="00CA365F">
              <w:rPr>
                <w:rFonts w:ascii="Arabic Typesetting" w:eastAsia="Arabic Typesetting" w:hAnsi="Arabic Typesetting" w:cs="Arabic Typesetting"/>
                <w:color w:val="000000"/>
                <w:sz w:val="28"/>
                <w:szCs w:val="28"/>
                <w:rtl/>
                <w:lang w:eastAsia="ar-EG" w:bidi="ar-EG"/>
              </w:rPr>
              <w:t>ه4.2 استخدام نظام لاهاي على نطاق أوسع وبفعالية أكبر، بما في ذلك من قبل البلدان النامية والبلدان الأقل نموا</w:t>
            </w:r>
          </w:p>
        </w:tc>
      </w:tr>
      <w:tr w:rsidR="00CE6E0B" w:rsidRPr="00CA365F" w14:paraId="057D1A02" w14:textId="77777777" w:rsidTr="00BB3820">
        <w:trPr>
          <w:cantSplit/>
        </w:trPr>
        <w:tc>
          <w:tcPr>
            <w:tcW w:w="1047" w:type="pct"/>
            <w:shd w:val="clear" w:color="auto" w:fill="auto"/>
            <w:tcMar>
              <w:left w:w="58" w:type="dxa"/>
              <w:right w:w="58" w:type="dxa"/>
            </w:tcMar>
            <w:vAlign w:val="center"/>
          </w:tcPr>
          <w:p w14:paraId="2495C8B7" w14:textId="77777777" w:rsidR="00CE6E0B" w:rsidRPr="00CA365F"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مؤشرات الأداء</w:t>
            </w:r>
          </w:p>
        </w:tc>
        <w:tc>
          <w:tcPr>
            <w:tcW w:w="1291" w:type="pct"/>
            <w:shd w:val="clear" w:color="auto" w:fill="auto"/>
            <w:tcMar>
              <w:left w:w="58" w:type="dxa"/>
              <w:right w:w="58" w:type="dxa"/>
            </w:tcMar>
            <w:vAlign w:val="center"/>
          </w:tcPr>
          <w:p w14:paraId="2141DBBD"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أسس المقارنة</w:t>
            </w:r>
          </w:p>
        </w:tc>
        <w:tc>
          <w:tcPr>
            <w:tcW w:w="758" w:type="pct"/>
            <w:shd w:val="clear" w:color="auto" w:fill="auto"/>
            <w:tcMar>
              <w:top w:w="110" w:type="dxa"/>
              <w:left w:w="58" w:type="dxa"/>
              <w:right w:w="58" w:type="dxa"/>
            </w:tcMar>
            <w:vAlign w:val="center"/>
          </w:tcPr>
          <w:p w14:paraId="7697B188"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الأهداف</w:t>
            </w:r>
          </w:p>
        </w:tc>
        <w:tc>
          <w:tcPr>
            <w:tcW w:w="1392" w:type="pct"/>
            <w:shd w:val="clear" w:color="auto" w:fill="FFFFFF"/>
            <w:tcMar>
              <w:top w:w="110" w:type="dxa"/>
              <w:left w:w="58" w:type="dxa"/>
              <w:right w:w="58" w:type="dxa"/>
            </w:tcMar>
            <w:vAlign w:val="center"/>
          </w:tcPr>
          <w:p w14:paraId="3482A060"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بيانات الأداء</w:t>
            </w:r>
          </w:p>
        </w:tc>
        <w:tc>
          <w:tcPr>
            <w:tcW w:w="512" w:type="pct"/>
            <w:gridSpan w:val="2"/>
            <w:shd w:val="clear" w:color="auto" w:fill="auto"/>
            <w:tcMar>
              <w:top w:w="110" w:type="dxa"/>
              <w:left w:w="58" w:type="dxa"/>
              <w:right w:w="58" w:type="dxa"/>
            </w:tcMar>
            <w:vAlign w:val="center"/>
          </w:tcPr>
          <w:p w14:paraId="124F40FE" w14:textId="77777777" w:rsidR="00CE6E0B" w:rsidRPr="00CA365F" w:rsidRDefault="00CE6E0B" w:rsidP="0031289D">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CA365F" w14:paraId="34FB91A6" w14:textId="77777777" w:rsidTr="00BB3820">
        <w:trPr>
          <w:cantSplit/>
          <w:trHeight w:val="1586"/>
        </w:trPr>
        <w:tc>
          <w:tcPr>
            <w:tcW w:w="1047" w:type="pct"/>
            <w:shd w:val="clear" w:color="auto" w:fill="auto"/>
            <w:tcMar>
              <w:left w:w="58" w:type="dxa"/>
              <w:right w:w="58" w:type="dxa"/>
            </w:tcMar>
          </w:tcPr>
          <w:p w14:paraId="2B5B6803" w14:textId="59590A74"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عدد الطلبات المودعة بناء على نظام لاهاي والصادرة من </w:t>
            </w:r>
            <w:r w:rsidR="00AF6433">
              <w:rPr>
                <w:rFonts w:ascii="Arabic Typesetting" w:eastAsia="Arabic Typesetting" w:hAnsi="Arabic Typesetting" w:cs="Arabic Typesetting"/>
                <w:color w:val="000000"/>
                <w:sz w:val="28"/>
                <w:szCs w:val="28"/>
                <w:rtl/>
                <w:lang w:eastAsia="ar-EG" w:bidi="ar-EG"/>
              </w:rPr>
              <w:t>البلدان المتحولة</w:t>
            </w:r>
            <w:r w:rsidRPr="00CA365F">
              <w:rPr>
                <w:rFonts w:ascii="Arabic Typesetting" w:eastAsia="Arabic Typesetting" w:hAnsi="Arabic Typesetting" w:cs="Arabic Typesetting"/>
                <w:color w:val="000000"/>
                <w:sz w:val="28"/>
                <w:szCs w:val="28"/>
                <w:rtl/>
                <w:lang w:eastAsia="ar-EG" w:bidi="ar-EG"/>
              </w:rPr>
              <w:t xml:space="preserve"> والبلدان المتقدمة</w:t>
            </w:r>
          </w:p>
        </w:tc>
        <w:tc>
          <w:tcPr>
            <w:tcW w:w="1291" w:type="pct"/>
            <w:shd w:val="clear" w:color="auto" w:fill="auto"/>
            <w:tcMar>
              <w:left w:w="58" w:type="dxa"/>
              <w:right w:w="58" w:type="dxa"/>
            </w:tcMar>
          </w:tcPr>
          <w:p w14:paraId="6CB21826" w14:textId="77777777" w:rsidR="00CE6E0B" w:rsidRPr="00CA365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3448 (2015) +24%</w:t>
            </w:r>
          </w:p>
          <w:p w14:paraId="07555A93" w14:textId="77777777" w:rsidR="00CE6E0B" w:rsidRPr="00CA365F"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sz w:val="28"/>
                <w:szCs w:val="28"/>
                <w:rtl/>
                <w:lang w:eastAsia="ar-EG" w:bidi="ar-EG"/>
              </w:rPr>
              <w:t>2776 (2014)</w:t>
            </w:r>
          </w:p>
        </w:tc>
        <w:tc>
          <w:tcPr>
            <w:tcW w:w="758" w:type="pct"/>
            <w:shd w:val="clear" w:color="auto" w:fill="auto"/>
            <w:tcMar>
              <w:top w:w="110" w:type="dxa"/>
              <w:left w:w="58" w:type="dxa"/>
              <w:right w:w="58" w:type="dxa"/>
            </w:tcMar>
          </w:tcPr>
          <w:p w14:paraId="70807B1D" w14:textId="77777777" w:rsidR="00CE6E0B" w:rsidRPr="00CA365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‏زيادة بنسبة 10% (سنويا)</w:t>
            </w:r>
          </w:p>
          <w:p w14:paraId="0BFFECD7" w14:textId="57858422"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CA365F">
              <w:rPr>
                <w:rFonts w:ascii="Arabic Typesetting" w:eastAsia="Arabic Typesetting" w:hAnsi="Arabic Typesetting" w:cs="Arabic Typesetting"/>
                <w:i/>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color w:val="000000"/>
                <w:sz w:val="28"/>
                <w:szCs w:val="28"/>
                <w:rtl/>
                <w:lang w:eastAsia="ar-EG" w:bidi="ar-EG"/>
              </w:rPr>
              <w:t>‏زيادة بنسبة 1.5% (سنويا)</w:t>
            </w:r>
          </w:p>
        </w:tc>
        <w:tc>
          <w:tcPr>
            <w:tcW w:w="1392" w:type="pct"/>
            <w:shd w:val="clear" w:color="auto" w:fill="FFFFFF"/>
            <w:tcMar>
              <w:top w:w="110" w:type="dxa"/>
              <w:left w:w="58" w:type="dxa"/>
              <w:right w:w="58" w:type="dxa"/>
            </w:tcMar>
          </w:tcPr>
          <w:p w14:paraId="742DBDC2" w14:textId="12950674" w:rsidR="00CE6E0B" w:rsidRPr="00CA365F" w:rsidRDefault="006A1A09" w:rsidP="003E33F1">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4132</w:t>
            </w:r>
            <w:r>
              <w:rPr>
                <w:rFonts w:ascii="Arabic Typesetting" w:eastAsia="Arabic Typesetting" w:hAnsi="Arabic Typesetting" w:cs="Arabic Typesetting" w:hint="cs"/>
                <w:color w:val="000000"/>
                <w:sz w:val="28"/>
                <w:szCs w:val="28"/>
                <w:rtl/>
                <w:lang w:eastAsia="ar-EG" w:bidi="ar-EG"/>
              </w:rPr>
              <w:br/>
            </w:r>
            <w:r w:rsidR="00CE6E0B" w:rsidRPr="00CA365F">
              <w:rPr>
                <w:rFonts w:ascii="Arabic Typesetting" w:eastAsia="Arabic Typesetting" w:hAnsi="Arabic Typesetting" w:cs="Arabic Typesetting"/>
                <w:color w:val="000000"/>
                <w:sz w:val="28"/>
                <w:szCs w:val="28"/>
                <w:rtl/>
                <w:lang w:eastAsia="ar-EG" w:bidi="ar-EG"/>
              </w:rPr>
              <w:t>+19.8%</w:t>
            </w:r>
          </w:p>
        </w:tc>
        <w:tc>
          <w:tcPr>
            <w:tcW w:w="512" w:type="pct"/>
            <w:gridSpan w:val="2"/>
            <w:shd w:val="clear" w:color="auto" w:fill="auto"/>
            <w:tcMar>
              <w:top w:w="110" w:type="dxa"/>
              <w:left w:w="58" w:type="dxa"/>
              <w:right w:w="58" w:type="dxa"/>
            </w:tcMar>
          </w:tcPr>
          <w:p w14:paraId="19D5AA86" w14:textId="77777777" w:rsidR="00CE6E0B" w:rsidRPr="00CA365F" w:rsidRDefault="00CE6E0B"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CA365F">
              <w:rPr>
                <w:rFonts w:ascii="Arabic Typesetting" w:eastAsia="Arabic Typesetting" w:hAnsi="Arabic Typesetting" w:cs="Arabic Typesetting"/>
                <w:b/>
                <w:bCs/>
                <w:color w:val="00B050"/>
                <w:sz w:val="28"/>
                <w:szCs w:val="28"/>
                <w:rtl/>
                <w:lang w:eastAsia="ar-EG" w:bidi="ar-EG"/>
              </w:rPr>
              <w:t>ثابت</w:t>
            </w:r>
          </w:p>
        </w:tc>
      </w:tr>
      <w:tr w:rsidR="00CE6E0B" w:rsidRPr="00CA365F" w14:paraId="13ACEB59" w14:textId="77777777" w:rsidTr="00BB3820">
        <w:trPr>
          <w:cantSplit/>
          <w:trHeight w:val="565"/>
        </w:trPr>
        <w:tc>
          <w:tcPr>
            <w:tcW w:w="5000" w:type="pct"/>
            <w:gridSpan w:val="6"/>
            <w:shd w:val="clear" w:color="auto" w:fill="C6D9F1"/>
            <w:tcMar>
              <w:left w:w="58" w:type="dxa"/>
              <w:right w:w="58" w:type="dxa"/>
            </w:tcMar>
            <w:vAlign w:val="center"/>
          </w:tcPr>
          <w:p w14:paraId="320F6546" w14:textId="77777777" w:rsidR="00CE6E0B" w:rsidRPr="00CA365F" w:rsidRDefault="00CE6E0B"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‏النتيجة المرتقبة:</w:t>
            </w:r>
            <w:r w:rsidRPr="00CA365F">
              <w:rPr>
                <w:rFonts w:ascii="Arabic Typesetting" w:eastAsia="Arabic Typesetting" w:hAnsi="Arabic Typesetting" w:cs="Arabic Typesetting"/>
                <w:sz w:val="28"/>
                <w:szCs w:val="28"/>
                <w:lang w:eastAsia="ar-EG" w:bidi="ar-EG"/>
              </w:rPr>
              <w:tab/>
            </w:r>
            <w:r w:rsidRPr="00CA365F">
              <w:rPr>
                <w:rFonts w:ascii="Arabic Typesetting" w:eastAsia="Arabic Typesetting" w:hAnsi="Arabic Typesetting" w:cs="Arabic Typesetting"/>
                <w:color w:val="000000"/>
                <w:sz w:val="28"/>
                <w:szCs w:val="28"/>
                <w:rtl/>
                <w:lang w:eastAsia="ar-EG" w:bidi="ar-EG"/>
              </w:rPr>
              <w:t>ه6.2 استخدام نظام مدريد على نطاق أوسع وبفعالية أكبر، بما في ذلك من قبل البلدان النامية والبلدان الأقل نمواً</w:t>
            </w:r>
          </w:p>
        </w:tc>
      </w:tr>
      <w:tr w:rsidR="00CE6E0B" w:rsidRPr="00CA365F" w14:paraId="64523B61" w14:textId="77777777" w:rsidTr="00BB3820">
        <w:trPr>
          <w:cantSplit/>
        </w:trPr>
        <w:tc>
          <w:tcPr>
            <w:tcW w:w="1047" w:type="pct"/>
            <w:shd w:val="clear" w:color="auto" w:fill="auto"/>
            <w:tcMar>
              <w:left w:w="58" w:type="dxa"/>
              <w:right w:w="58" w:type="dxa"/>
            </w:tcMar>
            <w:vAlign w:val="center"/>
          </w:tcPr>
          <w:p w14:paraId="6BCD82A8" w14:textId="77777777" w:rsidR="00CE6E0B" w:rsidRPr="00CA365F"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مؤشرات الأداء</w:t>
            </w:r>
          </w:p>
        </w:tc>
        <w:tc>
          <w:tcPr>
            <w:tcW w:w="1291" w:type="pct"/>
            <w:shd w:val="clear" w:color="auto" w:fill="auto"/>
            <w:tcMar>
              <w:left w:w="58" w:type="dxa"/>
              <w:right w:w="58" w:type="dxa"/>
            </w:tcMar>
            <w:vAlign w:val="center"/>
          </w:tcPr>
          <w:p w14:paraId="461A5241"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أسس المقارنة</w:t>
            </w:r>
          </w:p>
        </w:tc>
        <w:tc>
          <w:tcPr>
            <w:tcW w:w="758" w:type="pct"/>
            <w:shd w:val="clear" w:color="auto" w:fill="auto"/>
            <w:tcMar>
              <w:top w:w="110" w:type="dxa"/>
              <w:left w:w="58" w:type="dxa"/>
              <w:right w:w="58" w:type="dxa"/>
            </w:tcMar>
            <w:vAlign w:val="center"/>
          </w:tcPr>
          <w:p w14:paraId="7AD25EC0"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الأهداف</w:t>
            </w:r>
          </w:p>
        </w:tc>
        <w:tc>
          <w:tcPr>
            <w:tcW w:w="1392" w:type="pct"/>
            <w:shd w:val="clear" w:color="auto" w:fill="FFFFFF"/>
            <w:tcMar>
              <w:top w:w="110" w:type="dxa"/>
              <w:left w:w="58" w:type="dxa"/>
              <w:right w:w="58" w:type="dxa"/>
            </w:tcMar>
            <w:vAlign w:val="center"/>
          </w:tcPr>
          <w:p w14:paraId="7389F577"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بيانات الأداء</w:t>
            </w:r>
          </w:p>
        </w:tc>
        <w:tc>
          <w:tcPr>
            <w:tcW w:w="512" w:type="pct"/>
            <w:gridSpan w:val="2"/>
            <w:shd w:val="clear" w:color="auto" w:fill="auto"/>
            <w:tcMar>
              <w:top w:w="110" w:type="dxa"/>
              <w:left w:w="58" w:type="dxa"/>
              <w:right w:w="58" w:type="dxa"/>
            </w:tcMar>
            <w:vAlign w:val="center"/>
          </w:tcPr>
          <w:p w14:paraId="0E9AD10B" w14:textId="77777777" w:rsidR="00CE6E0B" w:rsidRPr="00CA365F" w:rsidRDefault="00CE6E0B" w:rsidP="0031289D">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CA365F" w14:paraId="1F25BDC1" w14:textId="77777777" w:rsidTr="00BB3820">
        <w:trPr>
          <w:cantSplit/>
          <w:trHeight w:val="1438"/>
        </w:trPr>
        <w:tc>
          <w:tcPr>
            <w:tcW w:w="1047" w:type="pct"/>
            <w:shd w:val="clear" w:color="auto" w:fill="auto"/>
            <w:tcMar>
              <w:left w:w="58" w:type="dxa"/>
              <w:right w:w="58" w:type="dxa"/>
            </w:tcMar>
          </w:tcPr>
          <w:p w14:paraId="41BCF4C5" w14:textId="4DAD5BA9"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عدد الطلبات المودعة بناء على نظام مدريد الصادرة من </w:t>
            </w:r>
            <w:r w:rsidR="00AF6433">
              <w:rPr>
                <w:rFonts w:ascii="Arabic Typesetting" w:eastAsia="Arabic Typesetting" w:hAnsi="Arabic Typesetting" w:cs="Arabic Typesetting"/>
                <w:color w:val="000000"/>
                <w:sz w:val="28"/>
                <w:szCs w:val="28"/>
                <w:rtl/>
                <w:lang w:eastAsia="ar-EG" w:bidi="ar-EG"/>
              </w:rPr>
              <w:t>البلدان المتحولة</w:t>
            </w:r>
            <w:r w:rsidRPr="00CA365F">
              <w:rPr>
                <w:rFonts w:ascii="Arabic Typesetting" w:eastAsia="Arabic Typesetting" w:hAnsi="Arabic Typesetting" w:cs="Arabic Typesetting"/>
                <w:color w:val="000000"/>
                <w:sz w:val="28"/>
                <w:szCs w:val="28"/>
                <w:rtl/>
                <w:lang w:eastAsia="ar-EG" w:bidi="ar-EG"/>
              </w:rPr>
              <w:t xml:space="preserve"> والبلدان المتقدمة</w:t>
            </w:r>
          </w:p>
        </w:tc>
        <w:tc>
          <w:tcPr>
            <w:tcW w:w="1291" w:type="pct"/>
            <w:shd w:val="clear" w:color="auto" w:fill="auto"/>
            <w:tcMar>
              <w:left w:w="58" w:type="dxa"/>
              <w:right w:w="58" w:type="dxa"/>
            </w:tcMar>
          </w:tcPr>
          <w:p w14:paraId="0906FF10" w14:textId="785714A7" w:rsidR="00CE6E0B" w:rsidRPr="00CA365F" w:rsidRDefault="00CE6E0B" w:rsidP="00587BA7">
            <w:pPr>
              <w:bidi/>
              <w:spacing w:after="120" w:line="280" w:lineRule="exact"/>
              <w:rPr>
                <w:rFonts w:ascii="Arabic Typesetting" w:eastAsia="Arabic Typesetting" w:hAnsi="Arabic Typesetting" w:cs="Arabic Typesetting"/>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lang w:eastAsia="ar-EG" w:bidi="ar-EG"/>
              </w:rPr>
              <w:br/>
            </w:r>
            <w:r w:rsidR="00587BA7">
              <w:rPr>
                <w:rFonts w:ascii="Arabic Typesetting" w:eastAsia="Arabic Typesetting" w:hAnsi="Arabic Typesetting" w:cs="Arabic Typesetting" w:hint="cs"/>
                <w:color w:val="002060"/>
                <w:sz w:val="28"/>
                <w:szCs w:val="28"/>
                <w:rtl/>
                <w:lang w:eastAsia="ar-EG" w:bidi="ar-EG"/>
              </w:rPr>
              <w:t>570 44</w:t>
            </w:r>
            <w:r w:rsidRPr="00CA365F">
              <w:rPr>
                <w:rFonts w:ascii="Arabic Typesetting" w:eastAsia="Arabic Typesetting" w:hAnsi="Arabic Typesetting" w:cs="Arabic Typesetting"/>
                <w:color w:val="002060"/>
                <w:sz w:val="28"/>
                <w:szCs w:val="28"/>
                <w:rtl/>
                <w:lang w:eastAsia="ar-EG" w:bidi="ar-EG"/>
              </w:rPr>
              <w:t xml:space="preserve"> (2015) +1.8%</w:t>
            </w:r>
            <w:r>
              <w:rPr>
                <w:rFonts w:ascii="Arabic Typesetting" w:eastAsia="Arabic Typesetting" w:hAnsi="Arabic Typesetting" w:cs="Arabic Typesetting"/>
                <w:color w:val="002060"/>
                <w:sz w:val="28"/>
                <w:szCs w:val="28"/>
                <w:rtl/>
                <w:lang w:eastAsia="ar-EG" w:bidi="ar-EG"/>
              </w:rPr>
              <w:br/>
            </w:r>
            <w:r w:rsidR="00587BA7">
              <w:rPr>
                <w:rFonts w:ascii="Arabic Typesetting" w:eastAsia="Arabic Typesetting" w:hAnsi="Arabic Typesetting" w:cs="Arabic Typesetting" w:hint="cs"/>
                <w:color w:val="002060"/>
                <w:sz w:val="28"/>
                <w:szCs w:val="28"/>
                <w:rtl/>
                <w:lang w:eastAsia="ar-EG" w:bidi="ar-EG"/>
              </w:rPr>
              <w:t>748 43</w:t>
            </w:r>
            <w:r w:rsidRPr="00CA365F">
              <w:rPr>
                <w:rFonts w:ascii="Arabic Typesetting" w:eastAsia="Arabic Typesetting" w:hAnsi="Arabic Typesetting" w:cs="Arabic Typesetting"/>
                <w:color w:val="002060"/>
                <w:sz w:val="28"/>
                <w:szCs w:val="28"/>
                <w:rtl/>
                <w:lang w:eastAsia="ar-EG" w:bidi="ar-EG"/>
              </w:rPr>
              <w:t xml:space="preserve"> (2014)</w:t>
            </w:r>
          </w:p>
          <w:p w14:paraId="6C73C5F4" w14:textId="77777777" w:rsidR="00CE6E0B" w:rsidRPr="00CA365F"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sidRPr="00CA365F">
              <w:rPr>
                <w:rFonts w:ascii="Arabic Typesetting" w:eastAsia="Arabic Typesetting" w:hAnsi="Arabic Typesetting" w:cs="Arabic Typesetting"/>
                <w:i/>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sz w:val="28"/>
                <w:szCs w:val="28"/>
                <w:rtl/>
                <w:lang w:eastAsia="ar-EG" w:bidi="ar-EG"/>
              </w:rPr>
              <w:t>748 43 (تقديرات 2014)</w:t>
            </w:r>
          </w:p>
        </w:tc>
        <w:tc>
          <w:tcPr>
            <w:tcW w:w="758" w:type="pct"/>
            <w:shd w:val="clear" w:color="auto" w:fill="auto"/>
            <w:tcMar>
              <w:top w:w="110" w:type="dxa"/>
              <w:left w:w="58" w:type="dxa"/>
              <w:right w:w="58" w:type="dxa"/>
            </w:tcMar>
          </w:tcPr>
          <w:p w14:paraId="307E03DF"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‏زيادة بنسبة 2% (سنويا)</w:t>
            </w:r>
          </w:p>
        </w:tc>
        <w:tc>
          <w:tcPr>
            <w:tcW w:w="1392" w:type="pct"/>
            <w:shd w:val="clear" w:color="auto" w:fill="FFFFFF"/>
            <w:tcMar>
              <w:top w:w="110" w:type="dxa"/>
              <w:left w:w="58" w:type="dxa"/>
              <w:right w:w="58" w:type="dxa"/>
            </w:tcMar>
          </w:tcPr>
          <w:p w14:paraId="6D6760F2" w14:textId="42205661" w:rsidR="00CE6E0B" w:rsidRPr="00CA365F" w:rsidRDefault="00587BA7" w:rsidP="00587BA7">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094 47</w:t>
            </w:r>
            <w:r>
              <w:rPr>
                <w:rFonts w:ascii="Arabic Typesetting" w:eastAsia="Arabic Typesetting" w:hAnsi="Arabic Typesetting" w:cs="Arabic Typesetting"/>
                <w:color w:val="000000"/>
                <w:sz w:val="28"/>
                <w:szCs w:val="28"/>
                <w:rtl/>
                <w:lang w:eastAsia="ar-EG" w:bidi="ar-EG"/>
              </w:rPr>
              <w:br/>
            </w:r>
            <w:r w:rsidR="00CE6E0B" w:rsidRPr="00CA365F">
              <w:rPr>
                <w:rFonts w:ascii="Arabic Typesetting" w:eastAsia="Arabic Typesetting" w:hAnsi="Arabic Typesetting" w:cs="Arabic Typesetting"/>
                <w:color w:val="000000"/>
                <w:sz w:val="28"/>
                <w:szCs w:val="28"/>
                <w:rtl/>
                <w:lang w:eastAsia="ar-EG" w:bidi="ar-EG"/>
              </w:rPr>
              <w:t>+5.7%</w:t>
            </w:r>
          </w:p>
        </w:tc>
        <w:tc>
          <w:tcPr>
            <w:tcW w:w="512" w:type="pct"/>
            <w:gridSpan w:val="2"/>
            <w:shd w:val="clear" w:color="auto" w:fill="auto"/>
            <w:tcMar>
              <w:top w:w="110" w:type="dxa"/>
              <w:left w:w="58" w:type="dxa"/>
              <w:right w:w="58" w:type="dxa"/>
            </w:tcMar>
          </w:tcPr>
          <w:p w14:paraId="31FF0313" w14:textId="77777777" w:rsidR="00CE6E0B" w:rsidRPr="00CA365F" w:rsidRDefault="00CE6E0B"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color w:val="00B050"/>
                <w:sz w:val="28"/>
                <w:szCs w:val="28"/>
                <w:rtl/>
                <w:lang w:eastAsia="ar-EG" w:bidi="ar-EG"/>
              </w:rPr>
              <w:t>ثابت</w:t>
            </w:r>
          </w:p>
        </w:tc>
      </w:tr>
      <w:tr w:rsidR="00CE6E0B" w:rsidRPr="00CA365F" w14:paraId="7F310A8B" w14:textId="77777777" w:rsidTr="00BB3820">
        <w:trPr>
          <w:cantSplit/>
          <w:trHeight w:val="565"/>
        </w:trPr>
        <w:tc>
          <w:tcPr>
            <w:tcW w:w="5000" w:type="pct"/>
            <w:gridSpan w:val="6"/>
            <w:shd w:val="clear" w:color="auto" w:fill="C6D9F1"/>
            <w:tcMar>
              <w:left w:w="58" w:type="dxa"/>
              <w:right w:w="58" w:type="dxa"/>
            </w:tcMar>
            <w:vAlign w:val="center"/>
          </w:tcPr>
          <w:p w14:paraId="05ED6464" w14:textId="77777777" w:rsidR="00CE6E0B" w:rsidRPr="00CA365F" w:rsidRDefault="00CE6E0B"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lastRenderedPageBreak/>
              <w:t>‏النتيجة المرتقبة:</w:t>
            </w:r>
            <w:r w:rsidRPr="00CA365F">
              <w:rPr>
                <w:rFonts w:ascii="Arabic Typesetting" w:eastAsia="Arabic Typesetting" w:hAnsi="Arabic Typesetting" w:cs="Arabic Typesetting"/>
                <w:sz w:val="28"/>
                <w:szCs w:val="28"/>
                <w:lang w:eastAsia="ar-EG" w:bidi="ar-EG"/>
              </w:rPr>
              <w:tab/>
            </w:r>
            <w:r w:rsidRPr="00CA365F">
              <w:rPr>
                <w:rFonts w:ascii="Arabic Typesetting" w:eastAsia="Arabic Typesetting" w:hAnsi="Arabic Typesetting" w:cs="Arabic Typesetting"/>
                <w:color w:val="000000"/>
                <w:sz w:val="28"/>
                <w:szCs w:val="28"/>
                <w:rtl/>
                <w:lang w:eastAsia="ar-EG" w:bidi="ar-EG"/>
              </w:rPr>
              <w:t>‏ه</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cs/>
                <w:lang w:eastAsia="ar-EG" w:bidi="ar-EG"/>
              </w:rPr>
              <w:t>8.2</w:t>
            </w:r>
            <w:r w:rsidRPr="00CA365F">
              <w:rPr>
                <w:rFonts w:ascii="Arabic Typesetting" w:eastAsia="Arabic Typesetting" w:hAnsi="Arabic Typesetting" w:cs="Arabic Typesetting"/>
                <w:color w:val="000000"/>
                <w:sz w:val="28"/>
                <w:szCs w:val="28"/>
                <w:rtl/>
                <w:lang w:eastAsia="ar-EG" w:bidi="ar-EG"/>
              </w:rPr>
              <w:t>‏ تزايد</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‏تفادي</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‏نشوء</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‏المنازعات</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‏المتعلقة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‏بالملكية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‏الفكرية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‏دوليا</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‏وداخليا</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‏وتسويتها</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‏عبر</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‏الوساطة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‏والتحكيم</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‏وغيرها</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‏من</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‏أساليب</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‏الويبو</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‏البديلة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‏لتسوية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‏المنازعات</w:t>
            </w:r>
          </w:p>
        </w:tc>
      </w:tr>
      <w:tr w:rsidR="00CE6E0B" w:rsidRPr="00CA365F" w14:paraId="52055543" w14:textId="77777777" w:rsidTr="00BB3820">
        <w:trPr>
          <w:cantSplit/>
        </w:trPr>
        <w:tc>
          <w:tcPr>
            <w:tcW w:w="1047" w:type="pct"/>
            <w:shd w:val="clear" w:color="auto" w:fill="auto"/>
            <w:tcMar>
              <w:left w:w="58" w:type="dxa"/>
              <w:right w:w="58" w:type="dxa"/>
            </w:tcMar>
            <w:vAlign w:val="center"/>
          </w:tcPr>
          <w:p w14:paraId="176E7BDF" w14:textId="77777777" w:rsidR="00CE6E0B" w:rsidRPr="00CA365F"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مؤشرات الأداء</w:t>
            </w:r>
          </w:p>
        </w:tc>
        <w:tc>
          <w:tcPr>
            <w:tcW w:w="1291" w:type="pct"/>
            <w:shd w:val="clear" w:color="auto" w:fill="auto"/>
            <w:tcMar>
              <w:left w:w="58" w:type="dxa"/>
              <w:right w:w="58" w:type="dxa"/>
            </w:tcMar>
            <w:vAlign w:val="center"/>
          </w:tcPr>
          <w:p w14:paraId="0492D9C8"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أسس المقارنة</w:t>
            </w:r>
          </w:p>
        </w:tc>
        <w:tc>
          <w:tcPr>
            <w:tcW w:w="758" w:type="pct"/>
            <w:shd w:val="clear" w:color="auto" w:fill="auto"/>
            <w:tcMar>
              <w:top w:w="110" w:type="dxa"/>
              <w:left w:w="58" w:type="dxa"/>
              <w:right w:w="58" w:type="dxa"/>
            </w:tcMar>
            <w:vAlign w:val="center"/>
          </w:tcPr>
          <w:p w14:paraId="10B970E0"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الأهداف</w:t>
            </w:r>
          </w:p>
        </w:tc>
        <w:tc>
          <w:tcPr>
            <w:tcW w:w="1392" w:type="pct"/>
            <w:shd w:val="clear" w:color="auto" w:fill="FFFFFF"/>
            <w:tcMar>
              <w:top w:w="110" w:type="dxa"/>
              <w:left w:w="58" w:type="dxa"/>
              <w:right w:w="58" w:type="dxa"/>
            </w:tcMar>
            <w:vAlign w:val="center"/>
          </w:tcPr>
          <w:p w14:paraId="352C0317"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بيانات الأداء</w:t>
            </w:r>
          </w:p>
        </w:tc>
        <w:tc>
          <w:tcPr>
            <w:tcW w:w="512" w:type="pct"/>
            <w:gridSpan w:val="2"/>
            <w:shd w:val="clear" w:color="auto" w:fill="auto"/>
            <w:tcMar>
              <w:top w:w="110" w:type="dxa"/>
              <w:left w:w="58" w:type="dxa"/>
              <w:right w:w="58" w:type="dxa"/>
            </w:tcMar>
            <w:vAlign w:val="center"/>
          </w:tcPr>
          <w:p w14:paraId="747F484B" w14:textId="77777777" w:rsidR="00CE6E0B" w:rsidRPr="00CA365F" w:rsidRDefault="00CE6E0B" w:rsidP="0031289D">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CA365F" w14:paraId="531684F0" w14:textId="77777777" w:rsidTr="00BB3820">
        <w:trPr>
          <w:cantSplit/>
          <w:trHeight w:val="3415"/>
        </w:trPr>
        <w:tc>
          <w:tcPr>
            <w:tcW w:w="1047" w:type="pct"/>
            <w:shd w:val="clear" w:color="auto" w:fill="auto"/>
            <w:tcMar>
              <w:left w:w="58" w:type="dxa"/>
              <w:right w:w="58" w:type="dxa"/>
            </w:tcMar>
          </w:tcPr>
          <w:p w14:paraId="31A4DA76" w14:textId="0434F5B6"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عدد منازعات الملكية الفكرية التي بدأت في </w:t>
            </w:r>
            <w:r w:rsidR="00AF6433">
              <w:rPr>
                <w:rFonts w:ascii="Arabic Typesetting" w:eastAsia="Arabic Typesetting" w:hAnsi="Arabic Typesetting" w:cs="Arabic Typesetting"/>
                <w:color w:val="000000"/>
                <w:sz w:val="28"/>
                <w:szCs w:val="28"/>
                <w:rtl/>
                <w:lang w:eastAsia="ar-EG" w:bidi="ar-EG"/>
              </w:rPr>
              <w:t>البلدان المتحولة</w:t>
            </w:r>
            <w:r w:rsidRPr="00CA365F">
              <w:rPr>
                <w:rFonts w:ascii="Arabic Typesetting" w:eastAsia="Arabic Typesetting" w:hAnsi="Arabic Typesetting" w:cs="Arabic Typesetting"/>
                <w:color w:val="000000"/>
                <w:sz w:val="28"/>
                <w:szCs w:val="28"/>
                <w:rtl/>
                <w:lang w:eastAsia="ar-EG" w:bidi="ar-EG"/>
              </w:rPr>
              <w:t xml:space="preserve"> والمتقدمة التي تم منعها أو حلها عن طريق الوساطة والتحكيم وغيرها من أساليب الويبو البديلة لتسوية المنازعات</w:t>
            </w:r>
          </w:p>
        </w:tc>
        <w:tc>
          <w:tcPr>
            <w:tcW w:w="1291" w:type="pct"/>
            <w:shd w:val="clear" w:color="auto" w:fill="auto"/>
            <w:tcMar>
              <w:left w:w="58" w:type="dxa"/>
              <w:right w:w="58" w:type="dxa"/>
            </w:tcMar>
          </w:tcPr>
          <w:p w14:paraId="1C5DA2A8" w14:textId="16E6C3FC" w:rsidR="00CE6E0B" w:rsidRPr="008F2EF7"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8F2EF7">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8F2EF7">
              <w:rPr>
                <w:rFonts w:ascii="Arabic Typesetting" w:eastAsia="Arabic Typesetting" w:hAnsi="Arabic Typesetting" w:cs="Arabic Typesetting"/>
                <w:i/>
                <w:iCs/>
                <w:color w:val="002060"/>
                <w:sz w:val="28"/>
                <w:szCs w:val="28"/>
                <w:lang w:eastAsia="ar-EG" w:bidi="ar-EG"/>
              </w:rPr>
              <w:br/>
            </w:r>
            <w:r w:rsidRPr="008F2EF7">
              <w:rPr>
                <w:rFonts w:ascii="Arabic Typesetting" w:eastAsia="Arabic Typesetting" w:hAnsi="Arabic Typesetting" w:cs="Arabic Typesetting"/>
                <w:color w:val="002060"/>
                <w:sz w:val="28"/>
                <w:szCs w:val="28"/>
                <w:rtl/>
                <w:lang w:eastAsia="ar-EG" w:bidi="ar-EG"/>
              </w:rPr>
              <w:t xml:space="preserve">412 منازعة و160 مسعى من المساعي الحميدة أطرافها من </w:t>
            </w:r>
            <w:r w:rsidR="00AF6433">
              <w:rPr>
                <w:rFonts w:ascii="Arabic Typesetting" w:eastAsia="Arabic Typesetting" w:hAnsi="Arabic Typesetting" w:cs="Arabic Typesetting"/>
                <w:color w:val="002060"/>
                <w:sz w:val="28"/>
                <w:szCs w:val="28"/>
                <w:rtl/>
                <w:lang w:eastAsia="ar-EG" w:bidi="ar-EG"/>
              </w:rPr>
              <w:t>البلدان المتحولة</w:t>
            </w:r>
            <w:r w:rsidRPr="008F2EF7">
              <w:rPr>
                <w:rFonts w:ascii="Arabic Typesetting" w:eastAsia="Arabic Typesetting" w:hAnsi="Arabic Typesetting" w:cs="Arabic Typesetting"/>
                <w:color w:val="002060"/>
                <w:sz w:val="28"/>
                <w:szCs w:val="28"/>
                <w:rtl/>
                <w:lang w:eastAsia="ar-EG" w:bidi="ar-EG"/>
              </w:rPr>
              <w:t xml:space="preserve"> والبلدان المتقدمة (التراكمي حتى نهاية 2015)</w:t>
            </w:r>
            <w:r w:rsidRPr="008F2EF7">
              <w:rPr>
                <w:rFonts w:ascii="Arabic Typesetting" w:eastAsia="Arabic Typesetting" w:hAnsi="Arabic Typesetting" w:cs="Arabic Typesetting"/>
                <w:color w:val="002060"/>
                <w:sz w:val="28"/>
                <w:szCs w:val="28"/>
                <w:vertAlign w:val="superscript"/>
                <w:lang w:eastAsia="ar-EG" w:bidi="ar-EG"/>
              </w:rPr>
              <w:footnoteReference w:id="53"/>
            </w:r>
          </w:p>
          <w:p w14:paraId="4F35CCF0" w14:textId="4F36193B" w:rsidR="00CE6E0B" w:rsidRPr="00CA365F"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sz w:val="28"/>
                <w:szCs w:val="28"/>
                <w:rtl/>
                <w:lang w:eastAsia="ar-EG" w:bidi="ar-EG"/>
              </w:rPr>
              <w:t xml:space="preserve">‏18 منازعة إضافية و25 مسعى من المساعي الحميدة أطرافها من </w:t>
            </w:r>
            <w:r w:rsidR="00AF6433">
              <w:rPr>
                <w:rFonts w:ascii="Arabic Typesetting" w:eastAsia="Arabic Typesetting" w:hAnsi="Arabic Typesetting" w:cs="Arabic Typesetting"/>
                <w:sz w:val="28"/>
                <w:szCs w:val="28"/>
                <w:rtl/>
                <w:lang w:eastAsia="ar-EG" w:bidi="ar-EG"/>
              </w:rPr>
              <w:t>البلدان المتحولة</w:t>
            </w:r>
            <w:r w:rsidRPr="00CA365F">
              <w:rPr>
                <w:rFonts w:ascii="Arabic Typesetting" w:eastAsia="Arabic Typesetting" w:hAnsi="Arabic Typesetting" w:cs="Arabic Typesetting"/>
                <w:sz w:val="28"/>
                <w:szCs w:val="28"/>
                <w:rtl/>
                <w:lang w:eastAsia="ar-EG" w:bidi="ar-EG"/>
              </w:rPr>
              <w:t xml:space="preserve"> والبلدان المتقدمة (2014)</w:t>
            </w:r>
          </w:p>
          <w:p w14:paraId="5E03FF15" w14:textId="77777777" w:rsidR="00CE6E0B" w:rsidRPr="00CA365F"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CA365F">
              <w:rPr>
                <w:rFonts w:ascii="Arabic Typesetting" w:eastAsia="Arabic Typesetting" w:hAnsi="Arabic Typesetting" w:cs="Arabic Typesetting"/>
                <w:sz w:val="28"/>
                <w:szCs w:val="28"/>
                <w:rtl/>
                <w:lang w:eastAsia="ar-EG" w:bidi="ar-EG"/>
              </w:rPr>
              <w:t>‏377 منازعة و76 مسعى من المساعي الحميدة (تراكمي)</w:t>
            </w:r>
          </w:p>
        </w:tc>
        <w:tc>
          <w:tcPr>
            <w:tcW w:w="758" w:type="pct"/>
            <w:shd w:val="clear" w:color="auto" w:fill="auto"/>
            <w:tcMar>
              <w:top w:w="110" w:type="dxa"/>
              <w:left w:w="58" w:type="dxa"/>
              <w:right w:w="58" w:type="dxa"/>
            </w:tcMar>
          </w:tcPr>
          <w:p w14:paraId="5A5DB80C" w14:textId="75B6DFDF"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‏33 منازعة إضافية ومسعى من المساعي الحميدة أطرافها من </w:t>
            </w:r>
            <w:r w:rsidR="00AF6433">
              <w:rPr>
                <w:rFonts w:ascii="Arabic Typesetting" w:eastAsia="Arabic Typesetting" w:hAnsi="Arabic Typesetting" w:cs="Arabic Typesetting"/>
                <w:color w:val="000000"/>
                <w:sz w:val="28"/>
                <w:szCs w:val="28"/>
                <w:rtl/>
                <w:lang w:eastAsia="ar-EG" w:bidi="ar-EG"/>
              </w:rPr>
              <w:t>البلدان المتحولة</w:t>
            </w:r>
            <w:r w:rsidRPr="00CA365F">
              <w:rPr>
                <w:rFonts w:ascii="Arabic Typesetting" w:eastAsia="Arabic Typesetting" w:hAnsi="Arabic Typesetting" w:cs="Arabic Typesetting"/>
                <w:color w:val="000000"/>
                <w:sz w:val="28"/>
                <w:szCs w:val="28"/>
                <w:rtl/>
                <w:lang w:eastAsia="ar-EG" w:bidi="ar-EG"/>
              </w:rPr>
              <w:t xml:space="preserve"> والبلدان المتقدمة</w:t>
            </w:r>
          </w:p>
        </w:tc>
        <w:tc>
          <w:tcPr>
            <w:tcW w:w="1392" w:type="pct"/>
            <w:shd w:val="clear" w:color="auto" w:fill="FFFFFF"/>
            <w:tcMar>
              <w:top w:w="110" w:type="dxa"/>
              <w:left w:w="58" w:type="dxa"/>
              <w:right w:w="58" w:type="dxa"/>
            </w:tcMar>
          </w:tcPr>
          <w:p w14:paraId="586A8205" w14:textId="2D6298DE"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57 منازعة إضافية و46 مسعى من المساعي الحميدة الإضافية أطرافها من </w:t>
            </w:r>
            <w:r w:rsidR="00AF6433">
              <w:rPr>
                <w:rFonts w:ascii="Arabic Typesetting" w:eastAsia="Arabic Typesetting" w:hAnsi="Arabic Typesetting" w:cs="Arabic Typesetting"/>
                <w:color w:val="000000"/>
                <w:sz w:val="28"/>
                <w:szCs w:val="28"/>
                <w:rtl/>
                <w:lang w:eastAsia="ar-EG" w:bidi="ar-EG"/>
              </w:rPr>
              <w:t>البلدان المتحولة</w:t>
            </w:r>
            <w:r w:rsidRPr="00CA365F">
              <w:rPr>
                <w:rFonts w:ascii="Arabic Typesetting" w:eastAsia="Arabic Typesetting" w:hAnsi="Arabic Typesetting" w:cs="Arabic Typesetting"/>
                <w:color w:val="000000"/>
                <w:sz w:val="28"/>
                <w:szCs w:val="28"/>
                <w:rtl/>
                <w:lang w:eastAsia="ar-EG" w:bidi="ar-EG"/>
              </w:rPr>
              <w:t xml:space="preserve"> والبلدان المتقدمة</w:t>
            </w:r>
          </w:p>
          <w:p w14:paraId="090AD59B" w14:textId="285A668F" w:rsidR="00CE6E0B" w:rsidRPr="00CA365F" w:rsidRDefault="00CE6E0B" w:rsidP="006A1A09">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469 منازعة و206 مساع حميدة أطرافها من </w:t>
            </w:r>
            <w:r w:rsidR="00AF6433">
              <w:rPr>
                <w:rFonts w:ascii="Arabic Typesetting" w:eastAsia="Arabic Typesetting" w:hAnsi="Arabic Typesetting" w:cs="Arabic Typesetting"/>
                <w:color w:val="000000"/>
                <w:sz w:val="28"/>
                <w:szCs w:val="28"/>
                <w:rtl/>
                <w:lang w:eastAsia="ar-EG" w:bidi="ar-EG"/>
              </w:rPr>
              <w:t>البلدان المتحولة</w:t>
            </w:r>
            <w:r w:rsidRPr="00CA365F">
              <w:rPr>
                <w:rFonts w:ascii="Arabic Typesetting" w:eastAsia="Arabic Typesetting" w:hAnsi="Arabic Typesetting" w:cs="Arabic Typesetting"/>
                <w:color w:val="000000"/>
                <w:sz w:val="28"/>
                <w:szCs w:val="28"/>
                <w:rtl/>
                <w:lang w:eastAsia="ar-EG" w:bidi="ar-EG"/>
              </w:rPr>
              <w:t xml:space="preserve"> والبلدان المتقدمة (التراكمي)</w:t>
            </w:r>
          </w:p>
        </w:tc>
        <w:tc>
          <w:tcPr>
            <w:tcW w:w="512" w:type="pct"/>
            <w:gridSpan w:val="2"/>
            <w:shd w:val="clear" w:color="auto" w:fill="auto"/>
            <w:tcMar>
              <w:top w:w="110" w:type="dxa"/>
              <w:left w:w="58" w:type="dxa"/>
              <w:right w:w="58" w:type="dxa"/>
            </w:tcMar>
          </w:tcPr>
          <w:p w14:paraId="7FB16256" w14:textId="77777777" w:rsidR="00CE6E0B" w:rsidRPr="00CA365F" w:rsidRDefault="00CE6E0B"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color w:val="00B050"/>
                <w:sz w:val="28"/>
                <w:szCs w:val="28"/>
                <w:rtl/>
                <w:lang w:eastAsia="ar-EG" w:bidi="ar-EG"/>
              </w:rPr>
              <w:t>ثابت</w:t>
            </w:r>
          </w:p>
        </w:tc>
      </w:tr>
      <w:tr w:rsidR="00CE6E0B" w:rsidRPr="00CA365F" w14:paraId="12AC7252" w14:textId="77777777" w:rsidTr="00BB3820">
        <w:trPr>
          <w:cantSplit/>
          <w:trHeight w:val="565"/>
        </w:trPr>
        <w:tc>
          <w:tcPr>
            <w:tcW w:w="5000" w:type="pct"/>
            <w:gridSpan w:val="6"/>
            <w:shd w:val="clear" w:color="auto" w:fill="C6D9F1"/>
            <w:tcMar>
              <w:left w:w="58" w:type="dxa"/>
              <w:right w:w="58" w:type="dxa"/>
            </w:tcMar>
            <w:vAlign w:val="center"/>
          </w:tcPr>
          <w:p w14:paraId="21F6C33B" w14:textId="77777777" w:rsidR="00CE6E0B" w:rsidRPr="00CA365F" w:rsidRDefault="00CE6E0B"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‏النتيجة المرتقبة:</w:t>
            </w:r>
            <w:r w:rsidRPr="00CA365F">
              <w:rPr>
                <w:rFonts w:ascii="Arabic Typesetting" w:eastAsia="Arabic Typesetting" w:hAnsi="Arabic Typesetting" w:cs="Arabic Typesetting"/>
                <w:sz w:val="28"/>
                <w:szCs w:val="28"/>
                <w:lang w:eastAsia="ar-EG" w:bidi="ar-EG"/>
              </w:rPr>
              <w:tab/>
            </w:r>
            <w:r w:rsidRPr="00CA365F">
              <w:rPr>
                <w:rFonts w:ascii="Arabic Typesetting" w:eastAsia="Arabic Typesetting" w:hAnsi="Arabic Typesetting" w:cs="Arabic Typesetting"/>
                <w:color w:val="000000"/>
                <w:sz w:val="28"/>
                <w:szCs w:val="28"/>
                <w:rtl/>
                <w:lang w:eastAsia="ar-EG" w:bidi="ar-EG"/>
              </w:rPr>
              <w:t>ه10.2 استخدام نظام لشبونة على نطاق أوسع وبفعالية أكبر، بما في ذلك من قبل البلدان النامية والبلدان الأقل نموا</w:t>
            </w:r>
          </w:p>
        </w:tc>
      </w:tr>
      <w:tr w:rsidR="00CE6E0B" w:rsidRPr="00CA365F" w14:paraId="630349E6" w14:textId="77777777" w:rsidTr="00BB3820">
        <w:trPr>
          <w:cantSplit/>
        </w:trPr>
        <w:tc>
          <w:tcPr>
            <w:tcW w:w="1047" w:type="pct"/>
            <w:shd w:val="clear" w:color="auto" w:fill="auto"/>
            <w:tcMar>
              <w:left w:w="58" w:type="dxa"/>
              <w:right w:w="58" w:type="dxa"/>
            </w:tcMar>
            <w:vAlign w:val="center"/>
          </w:tcPr>
          <w:p w14:paraId="7CAA7CFE" w14:textId="77777777" w:rsidR="00CE6E0B" w:rsidRPr="00CA365F" w:rsidRDefault="00CE6E0B"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مؤشرات الأداء</w:t>
            </w:r>
          </w:p>
        </w:tc>
        <w:tc>
          <w:tcPr>
            <w:tcW w:w="1291" w:type="pct"/>
            <w:shd w:val="clear" w:color="auto" w:fill="auto"/>
            <w:tcMar>
              <w:left w:w="58" w:type="dxa"/>
              <w:right w:w="58" w:type="dxa"/>
            </w:tcMar>
            <w:vAlign w:val="center"/>
          </w:tcPr>
          <w:p w14:paraId="338A07DF" w14:textId="77777777" w:rsidR="00CE6E0B" w:rsidRPr="00CA365F" w:rsidRDefault="00CE6E0B"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أسس المقارنة</w:t>
            </w:r>
          </w:p>
        </w:tc>
        <w:tc>
          <w:tcPr>
            <w:tcW w:w="758" w:type="pct"/>
            <w:shd w:val="clear" w:color="auto" w:fill="auto"/>
            <w:tcMar>
              <w:top w:w="110" w:type="dxa"/>
              <w:left w:w="58" w:type="dxa"/>
              <w:right w:w="58" w:type="dxa"/>
            </w:tcMar>
            <w:vAlign w:val="center"/>
          </w:tcPr>
          <w:p w14:paraId="515CC98E" w14:textId="77777777" w:rsidR="00CE6E0B" w:rsidRPr="00CA365F" w:rsidRDefault="00CE6E0B"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الأهداف</w:t>
            </w:r>
          </w:p>
        </w:tc>
        <w:tc>
          <w:tcPr>
            <w:tcW w:w="1392" w:type="pct"/>
            <w:shd w:val="clear" w:color="auto" w:fill="FFFFFF"/>
            <w:tcMar>
              <w:top w:w="110" w:type="dxa"/>
              <w:left w:w="58" w:type="dxa"/>
              <w:right w:w="58" w:type="dxa"/>
            </w:tcMar>
            <w:vAlign w:val="center"/>
          </w:tcPr>
          <w:p w14:paraId="6FAD3ABA" w14:textId="77777777" w:rsidR="00CE6E0B" w:rsidRPr="00CA365F" w:rsidRDefault="00CE6E0B"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بيانات الأداء</w:t>
            </w:r>
          </w:p>
        </w:tc>
        <w:tc>
          <w:tcPr>
            <w:tcW w:w="512" w:type="pct"/>
            <w:gridSpan w:val="2"/>
            <w:shd w:val="clear" w:color="auto" w:fill="auto"/>
            <w:tcMar>
              <w:top w:w="110" w:type="dxa"/>
              <w:left w:w="58" w:type="dxa"/>
              <w:right w:w="58" w:type="dxa"/>
            </w:tcMar>
            <w:vAlign w:val="center"/>
          </w:tcPr>
          <w:p w14:paraId="63B2F238" w14:textId="77777777" w:rsidR="00CE6E0B" w:rsidRPr="00CA365F" w:rsidRDefault="00CE6E0B"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CA365F" w14:paraId="02A6F1A9" w14:textId="77777777" w:rsidTr="00BB3820">
        <w:trPr>
          <w:cantSplit/>
          <w:trHeight w:val="2369"/>
        </w:trPr>
        <w:tc>
          <w:tcPr>
            <w:tcW w:w="1047" w:type="pct"/>
            <w:shd w:val="clear" w:color="auto" w:fill="auto"/>
            <w:tcMar>
              <w:left w:w="58" w:type="dxa"/>
              <w:right w:w="58" w:type="dxa"/>
            </w:tcMar>
          </w:tcPr>
          <w:p w14:paraId="1036EA8D" w14:textId="0F018B24" w:rsidR="00CE6E0B" w:rsidRPr="00CA365F"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عدد التسجيلات الدولية السارية بناء على نظام لشبونة </w:t>
            </w:r>
            <w:r>
              <w:rPr>
                <w:rFonts w:ascii="Arabic Typesetting" w:eastAsia="Arabic Typesetting" w:hAnsi="Arabic Typesetting" w:cs="Arabic Typesetting" w:hint="cs"/>
                <w:color w:val="000000"/>
                <w:sz w:val="28"/>
                <w:szCs w:val="28"/>
                <w:rtl/>
                <w:lang w:eastAsia="ar-EG" w:bidi="ar-EG"/>
              </w:rPr>
              <w:t xml:space="preserve">في </w:t>
            </w:r>
            <w:r w:rsidR="00AF6433">
              <w:rPr>
                <w:rFonts w:ascii="Arabic Typesetting" w:eastAsia="Arabic Typesetting" w:hAnsi="Arabic Typesetting" w:cs="Arabic Typesetting" w:hint="cs"/>
                <w:color w:val="000000"/>
                <w:sz w:val="28"/>
                <w:szCs w:val="28"/>
                <w:rtl/>
                <w:lang w:eastAsia="ar-EG" w:bidi="ar-EG"/>
              </w:rPr>
              <w:t>البلدان المتحولة</w:t>
            </w:r>
            <w:r w:rsidRPr="00CA365F">
              <w:rPr>
                <w:rFonts w:ascii="Arabic Typesetting" w:eastAsia="Arabic Typesetting" w:hAnsi="Arabic Typesetting" w:cs="Arabic Typesetting"/>
                <w:color w:val="000000"/>
                <w:sz w:val="28"/>
                <w:szCs w:val="28"/>
                <w:rtl/>
                <w:lang w:eastAsia="ar-EG" w:bidi="ar-EG"/>
              </w:rPr>
              <w:t xml:space="preserve"> والبلدان المتقدمة</w:t>
            </w:r>
          </w:p>
        </w:tc>
        <w:tc>
          <w:tcPr>
            <w:tcW w:w="1291" w:type="pct"/>
            <w:shd w:val="clear" w:color="auto" w:fill="auto"/>
            <w:tcMar>
              <w:left w:w="58" w:type="dxa"/>
              <w:right w:w="58" w:type="dxa"/>
            </w:tcMar>
          </w:tcPr>
          <w:p w14:paraId="25D0EF94" w14:textId="4383F874" w:rsidR="00CE6E0B" w:rsidRPr="00CA365F" w:rsidRDefault="00CE6E0B" w:rsidP="0031289D">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 xml:space="preserve">836 تسجيلا من أصل 931 تسجيلا ساريا من </w:t>
            </w:r>
            <w:r w:rsidR="00AF6433">
              <w:rPr>
                <w:rFonts w:ascii="Arabic Typesetting" w:eastAsia="Arabic Typesetting" w:hAnsi="Arabic Typesetting" w:cs="Arabic Typesetting"/>
                <w:color w:val="002060"/>
                <w:sz w:val="28"/>
                <w:szCs w:val="28"/>
                <w:rtl/>
                <w:lang w:eastAsia="ar-EG" w:bidi="ar-EG"/>
              </w:rPr>
              <w:t>البلدان المتحولة</w:t>
            </w:r>
            <w:r w:rsidRPr="00CA365F">
              <w:rPr>
                <w:rFonts w:ascii="Arabic Typesetting" w:eastAsia="Arabic Typesetting" w:hAnsi="Arabic Typesetting" w:cs="Arabic Typesetting"/>
                <w:color w:val="002060"/>
                <w:sz w:val="28"/>
                <w:szCs w:val="28"/>
                <w:rtl/>
                <w:lang w:eastAsia="ar-EG" w:bidi="ar-EG"/>
              </w:rPr>
              <w:t xml:space="preserve"> والبلدان المتقدمة في نهاية 2014/15</w:t>
            </w:r>
            <w:r>
              <w:rPr>
                <w:rFonts w:ascii="Arabic Typesetting" w:eastAsia="Arabic Typesetting" w:hAnsi="Arabic Typesetting" w:cs="Arabic Typesetting"/>
                <w:color w:val="002060"/>
                <w:sz w:val="28"/>
                <w:szCs w:val="28"/>
                <w:rtl/>
                <w:lang w:eastAsia="ar-EG" w:bidi="ar-EG"/>
              </w:rPr>
              <w:br/>
            </w:r>
            <w:r w:rsidRPr="00CA365F">
              <w:rPr>
                <w:rFonts w:ascii="Arabic Typesetting" w:eastAsia="Arabic Typesetting" w:hAnsi="Arabic Typesetting" w:cs="Arabic Typesetting"/>
                <w:color w:val="002060"/>
                <w:sz w:val="28"/>
                <w:szCs w:val="28"/>
                <w:rtl/>
                <w:lang w:eastAsia="ar-EG" w:bidi="ar-EG"/>
              </w:rPr>
              <w:t>(+11.6% مقارنة بالثنائية 2012/13)</w:t>
            </w:r>
          </w:p>
          <w:p w14:paraId="5B83B7C3" w14:textId="77777777" w:rsidR="00CE6E0B" w:rsidRPr="00CA365F" w:rsidRDefault="00CE6E0B"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sz w:val="28"/>
                <w:szCs w:val="28"/>
                <w:rtl/>
                <w:lang w:eastAsia="ar-EG" w:bidi="ar-EG"/>
              </w:rPr>
              <w:t>‏818 من أصل 896 تسجيلا ساريا (2014)</w:t>
            </w:r>
          </w:p>
        </w:tc>
        <w:tc>
          <w:tcPr>
            <w:tcW w:w="758" w:type="pct"/>
            <w:shd w:val="clear" w:color="auto" w:fill="auto"/>
            <w:tcMar>
              <w:top w:w="110" w:type="dxa"/>
              <w:left w:w="58" w:type="dxa"/>
              <w:right w:w="58" w:type="dxa"/>
            </w:tcMar>
          </w:tcPr>
          <w:p w14:paraId="672D9A1D" w14:textId="77777777" w:rsidR="00CE6E0B" w:rsidRPr="00CA365F"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زيادة بنسبة </w:t>
            </w:r>
            <w:r>
              <w:rPr>
                <w:rFonts w:ascii="Arabic Typesetting" w:eastAsia="Arabic Typesetting" w:hAnsi="Arabic Typesetting" w:cs="Arabic Typesetting" w:hint="cs"/>
                <w:color w:val="000000"/>
                <w:sz w:val="28"/>
                <w:szCs w:val="28"/>
                <w:rtl/>
                <w:lang w:eastAsia="ar-EG" w:bidi="ar-EG"/>
              </w:rPr>
              <w:t>2%</w:t>
            </w:r>
            <w:r w:rsidRPr="00CA365F">
              <w:rPr>
                <w:rFonts w:ascii="Arabic Typesetting" w:eastAsia="Arabic Typesetting" w:hAnsi="Arabic Typesetting" w:cs="Arabic Typesetting"/>
                <w:color w:val="000000"/>
                <w:sz w:val="28"/>
                <w:szCs w:val="28"/>
                <w:rtl/>
                <w:lang w:eastAsia="ar-EG" w:bidi="ar-EG"/>
              </w:rPr>
              <w:t xml:space="preserve"> (الثنائية)</w:t>
            </w:r>
          </w:p>
        </w:tc>
        <w:tc>
          <w:tcPr>
            <w:tcW w:w="1392" w:type="pct"/>
            <w:shd w:val="clear" w:color="auto" w:fill="FFFFFF"/>
            <w:tcMar>
              <w:top w:w="110" w:type="dxa"/>
              <w:left w:w="58" w:type="dxa"/>
              <w:right w:w="58" w:type="dxa"/>
            </w:tcMar>
          </w:tcPr>
          <w:p w14:paraId="5B7E486A" w14:textId="6A077CF7" w:rsidR="00CE6E0B" w:rsidRPr="00CA365F" w:rsidRDefault="00CE6E0B" w:rsidP="006A1A09">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861 تسجيلا من أصل 956 تسجيلا ساريا من </w:t>
            </w:r>
            <w:r w:rsidR="00AF6433">
              <w:rPr>
                <w:rFonts w:ascii="Arabic Typesetting" w:eastAsia="Arabic Typesetting" w:hAnsi="Arabic Typesetting" w:cs="Arabic Typesetting"/>
                <w:color w:val="000000"/>
                <w:sz w:val="28"/>
                <w:szCs w:val="28"/>
                <w:rtl/>
                <w:lang w:eastAsia="ar-EG" w:bidi="ar-EG"/>
              </w:rPr>
              <w:t>البلدان المتحولة</w:t>
            </w:r>
            <w:r w:rsidRPr="00CA365F">
              <w:rPr>
                <w:rFonts w:ascii="Arabic Typesetting" w:eastAsia="Arabic Typesetting" w:hAnsi="Arabic Typesetting" w:cs="Arabic Typesetting"/>
                <w:color w:val="000000"/>
                <w:sz w:val="28"/>
                <w:szCs w:val="28"/>
                <w:rtl/>
                <w:lang w:eastAsia="ar-EG" w:bidi="ar-EG"/>
              </w:rPr>
              <w:t xml:space="preserve"> والبلدان المتقدمة (+10.6% مقارنة بعام 2015)</w:t>
            </w:r>
          </w:p>
        </w:tc>
        <w:tc>
          <w:tcPr>
            <w:tcW w:w="512" w:type="pct"/>
            <w:gridSpan w:val="2"/>
            <w:shd w:val="clear" w:color="auto" w:fill="auto"/>
            <w:tcMar>
              <w:top w:w="110" w:type="dxa"/>
              <w:left w:w="58" w:type="dxa"/>
              <w:right w:w="58" w:type="dxa"/>
            </w:tcMar>
          </w:tcPr>
          <w:p w14:paraId="16ACEA58" w14:textId="77777777" w:rsidR="00CE6E0B" w:rsidRPr="00CA365F" w:rsidRDefault="00CE6E0B"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color w:val="00B050"/>
                <w:sz w:val="28"/>
                <w:szCs w:val="28"/>
                <w:rtl/>
                <w:lang w:eastAsia="ar-EG" w:bidi="ar-EG"/>
              </w:rPr>
              <w:t>ثابت</w:t>
            </w:r>
          </w:p>
        </w:tc>
      </w:tr>
      <w:tr w:rsidR="00CE6E0B" w:rsidRPr="00CA365F" w14:paraId="43274990" w14:textId="77777777" w:rsidTr="00BB3820">
        <w:trPr>
          <w:cantSplit/>
          <w:trHeight w:val="565"/>
        </w:trPr>
        <w:tc>
          <w:tcPr>
            <w:tcW w:w="5000" w:type="pct"/>
            <w:gridSpan w:val="6"/>
            <w:shd w:val="clear" w:color="auto" w:fill="C6D9F1"/>
            <w:tcMar>
              <w:left w:w="58" w:type="dxa"/>
              <w:right w:w="58" w:type="dxa"/>
            </w:tcMar>
            <w:vAlign w:val="center"/>
          </w:tcPr>
          <w:p w14:paraId="5991A301" w14:textId="77777777" w:rsidR="00CE6E0B" w:rsidRPr="00CA365F" w:rsidRDefault="00CE6E0B"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‏النتيجة المرتقبة:</w:t>
            </w:r>
            <w:r w:rsidRPr="00CA365F">
              <w:rPr>
                <w:rFonts w:ascii="Arabic Typesetting" w:eastAsia="Arabic Typesetting" w:hAnsi="Arabic Typesetting" w:cs="Arabic Typesetting"/>
                <w:sz w:val="28"/>
                <w:szCs w:val="28"/>
                <w:lang w:eastAsia="ar-EG" w:bidi="ar-EG"/>
              </w:rPr>
              <w:tab/>
            </w:r>
            <w:r w:rsidRPr="00CA365F">
              <w:rPr>
                <w:rFonts w:ascii="Arabic Typesetting" w:eastAsia="Arabic Typesetting" w:hAnsi="Arabic Typesetting" w:cs="Arabic Typesetting"/>
                <w:color w:val="000000"/>
                <w:sz w:val="28"/>
                <w:szCs w:val="28"/>
                <w:rtl/>
                <w:lang w:eastAsia="ar-EG" w:bidi="ar-EG"/>
              </w:rPr>
              <w:t>ه1.3 استراتيجيات وخطط وطنية في مجالي الابتكار والملكية الفكرية تتماشى مع الأهداف الإنمائية الوطنية</w:t>
            </w:r>
          </w:p>
        </w:tc>
      </w:tr>
      <w:tr w:rsidR="00CE6E0B" w:rsidRPr="00CA365F" w14:paraId="5303CE71" w14:textId="77777777" w:rsidTr="00BB3820">
        <w:trPr>
          <w:cantSplit/>
        </w:trPr>
        <w:tc>
          <w:tcPr>
            <w:tcW w:w="1047" w:type="pct"/>
            <w:shd w:val="clear" w:color="auto" w:fill="auto"/>
            <w:tcMar>
              <w:left w:w="58" w:type="dxa"/>
              <w:right w:w="58" w:type="dxa"/>
            </w:tcMar>
            <w:vAlign w:val="center"/>
          </w:tcPr>
          <w:p w14:paraId="553DEEE1"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مؤشرات الأداء</w:t>
            </w:r>
          </w:p>
        </w:tc>
        <w:tc>
          <w:tcPr>
            <w:tcW w:w="1291" w:type="pct"/>
            <w:shd w:val="clear" w:color="auto" w:fill="auto"/>
            <w:tcMar>
              <w:left w:w="58" w:type="dxa"/>
              <w:right w:w="58" w:type="dxa"/>
            </w:tcMar>
            <w:vAlign w:val="center"/>
          </w:tcPr>
          <w:p w14:paraId="44021836"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أسس المقارنة</w:t>
            </w:r>
          </w:p>
        </w:tc>
        <w:tc>
          <w:tcPr>
            <w:tcW w:w="758" w:type="pct"/>
            <w:shd w:val="clear" w:color="auto" w:fill="auto"/>
            <w:tcMar>
              <w:top w:w="110" w:type="dxa"/>
              <w:left w:w="58" w:type="dxa"/>
              <w:right w:w="58" w:type="dxa"/>
            </w:tcMar>
            <w:vAlign w:val="center"/>
          </w:tcPr>
          <w:p w14:paraId="1F67ADBB"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الأهداف</w:t>
            </w:r>
          </w:p>
        </w:tc>
        <w:tc>
          <w:tcPr>
            <w:tcW w:w="1392" w:type="pct"/>
            <w:shd w:val="clear" w:color="auto" w:fill="FFFFFF"/>
            <w:tcMar>
              <w:top w:w="110" w:type="dxa"/>
              <w:left w:w="58" w:type="dxa"/>
              <w:right w:w="58" w:type="dxa"/>
            </w:tcMar>
            <w:vAlign w:val="center"/>
          </w:tcPr>
          <w:p w14:paraId="678097CD"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بيانات الأداء</w:t>
            </w:r>
          </w:p>
        </w:tc>
        <w:tc>
          <w:tcPr>
            <w:tcW w:w="512" w:type="pct"/>
            <w:gridSpan w:val="2"/>
            <w:shd w:val="clear" w:color="auto" w:fill="auto"/>
            <w:tcMar>
              <w:top w:w="110" w:type="dxa"/>
              <w:left w:w="58" w:type="dxa"/>
              <w:right w:w="58" w:type="dxa"/>
            </w:tcMar>
            <w:vAlign w:val="center"/>
          </w:tcPr>
          <w:p w14:paraId="4B4C8E81" w14:textId="77777777" w:rsidR="00CE6E0B" w:rsidRPr="00CA365F" w:rsidRDefault="00CE6E0B" w:rsidP="0031289D">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CA365F" w14:paraId="5F220B7E" w14:textId="77777777" w:rsidTr="00BB3820">
        <w:trPr>
          <w:cantSplit/>
          <w:trHeight w:val="637"/>
        </w:trPr>
        <w:tc>
          <w:tcPr>
            <w:tcW w:w="1047" w:type="pct"/>
            <w:shd w:val="clear" w:color="auto" w:fill="auto"/>
            <w:tcMar>
              <w:left w:w="58" w:type="dxa"/>
              <w:right w:w="58" w:type="dxa"/>
            </w:tcMar>
          </w:tcPr>
          <w:p w14:paraId="5413AE40"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highlight w:val="yellow"/>
                <w:lang w:eastAsia="ar-EG" w:bidi="ar-EG"/>
              </w:rPr>
            </w:pPr>
            <w:r w:rsidRPr="00CA365F">
              <w:rPr>
                <w:rFonts w:ascii="Arabic Typesetting" w:eastAsia="Arabic Typesetting" w:hAnsi="Arabic Typesetting" w:cs="Arabic Typesetting"/>
                <w:color w:val="000000"/>
                <w:sz w:val="28"/>
                <w:szCs w:val="28"/>
                <w:rtl/>
                <w:lang w:eastAsia="ar-EG" w:bidi="ar-EG"/>
              </w:rPr>
              <w:t>عدد البلدان في طور صياغة استراتيجيات وطنية للملكية الفكرية</w:t>
            </w:r>
          </w:p>
        </w:tc>
        <w:tc>
          <w:tcPr>
            <w:tcW w:w="1291" w:type="pct"/>
            <w:shd w:val="clear" w:color="auto" w:fill="auto"/>
            <w:tcMar>
              <w:left w:w="58" w:type="dxa"/>
              <w:right w:w="58" w:type="dxa"/>
            </w:tcMar>
          </w:tcPr>
          <w:p w14:paraId="1210A7FE"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4 بلدان</w:t>
            </w:r>
            <w:r>
              <w:rPr>
                <w:rFonts w:ascii="Arabic Typesetting" w:eastAsia="Arabic Typesetting" w:hAnsi="Arabic Typesetting" w:cs="Arabic Typesetting" w:hint="cs"/>
                <w:color w:val="002060"/>
                <w:sz w:val="28"/>
                <w:szCs w:val="28"/>
                <w:rtl/>
                <w:lang w:eastAsia="ar-EG" w:bidi="ar-EG"/>
              </w:rPr>
              <w:t xml:space="preserve"> (</w:t>
            </w:r>
            <w:r w:rsidRPr="00CA365F">
              <w:rPr>
                <w:rFonts w:ascii="Arabic Typesetting" w:eastAsia="Arabic Typesetting" w:hAnsi="Arabic Typesetting" w:cs="Arabic Typesetting"/>
                <w:color w:val="002060"/>
                <w:sz w:val="28"/>
                <w:szCs w:val="28"/>
                <w:rtl/>
                <w:lang w:eastAsia="ar-EG" w:bidi="ar-EG"/>
              </w:rPr>
              <w:t>ألبانيا وجورجيا ولاتفيا وبولندا</w:t>
            </w:r>
            <w:r>
              <w:rPr>
                <w:rFonts w:ascii="Arabic Typesetting" w:eastAsia="Arabic Typesetting" w:hAnsi="Arabic Typesetting" w:cs="Arabic Typesetting" w:hint="cs"/>
                <w:color w:val="002060"/>
                <w:sz w:val="28"/>
                <w:szCs w:val="28"/>
                <w:rtl/>
                <w:lang w:eastAsia="ar-EG" w:bidi="ar-EG"/>
              </w:rPr>
              <w:t>)</w:t>
            </w:r>
          </w:p>
          <w:p w14:paraId="24096D7A"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color w:val="000000"/>
                <w:sz w:val="28"/>
                <w:szCs w:val="28"/>
                <w:rtl/>
                <w:lang w:eastAsia="ar-EG" w:bidi="ar-EG"/>
              </w:rPr>
              <w:t>‏4 بلدان في 2014 (</w:t>
            </w:r>
            <w:r>
              <w:rPr>
                <w:rFonts w:ascii="Arabic Typesetting" w:eastAsia="Arabic Typesetting" w:hAnsi="Arabic Typesetting" w:cs="Arabic Typesetting" w:hint="cs"/>
                <w:color w:val="000000"/>
                <w:sz w:val="28"/>
                <w:szCs w:val="28"/>
                <w:rtl/>
                <w:lang w:eastAsia="ar-EG" w:bidi="ar-EG"/>
              </w:rPr>
              <w:t>التراكمي 21</w:t>
            </w:r>
            <w:r w:rsidRPr="00CA365F">
              <w:rPr>
                <w:rFonts w:ascii="Arabic Typesetting" w:eastAsia="Arabic Typesetting" w:hAnsi="Arabic Typesetting" w:cs="Arabic Typesetting"/>
                <w:color w:val="000000"/>
                <w:sz w:val="28"/>
                <w:szCs w:val="28"/>
                <w:rtl/>
                <w:lang w:eastAsia="ar-EG" w:bidi="ar-EG"/>
              </w:rPr>
              <w:t>)</w:t>
            </w:r>
          </w:p>
        </w:tc>
        <w:tc>
          <w:tcPr>
            <w:tcW w:w="758" w:type="pct"/>
            <w:shd w:val="clear" w:color="auto" w:fill="auto"/>
            <w:tcMar>
              <w:top w:w="110" w:type="dxa"/>
              <w:left w:w="58" w:type="dxa"/>
              <w:right w:w="58" w:type="dxa"/>
            </w:tcMar>
          </w:tcPr>
          <w:p w14:paraId="18B9AFA0"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7 بلدان إضافية</w:t>
            </w:r>
          </w:p>
        </w:tc>
        <w:tc>
          <w:tcPr>
            <w:tcW w:w="1392" w:type="pct"/>
            <w:shd w:val="clear" w:color="auto" w:fill="FFFFFF"/>
            <w:tcMar>
              <w:top w:w="110" w:type="dxa"/>
              <w:left w:w="58" w:type="dxa"/>
              <w:right w:w="58" w:type="dxa"/>
            </w:tcMar>
          </w:tcPr>
          <w:p w14:paraId="2693397C" w14:textId="34B2DEA2" w:rsidR="00CE6E0B" w:rsidRPr="00CA365F" w:rsidRDefault="00CE6E0B" w:rsidP="006A1A09">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3 بلدان إضافية في طور صياغة أو إعادة صياغة ا</w:t>
            </w:r>
            <w:r w:rsidR="006A1A09">
              <w:rPr>
                <w:rFonts w:ascii="Arabic Typesetting" w:eastAsia="Arabic Typesetting" w:hAnsi="Arabic Typesetting" w:cs="Arabic Typesetting"/>
                <w:color w:val="000000"/>
                <w:sz w:val="28"/>
                <w:szCs w:val="28"/>
                <w:rtl/>
                <w:lang w:eastAsia="ar-EG" w:bidi="ar-EG"/>
              </w:rPr>
              <w:t xml:space="preserve">ستراتيجياتها للملكية الفكرية </w:t>
            </w:r>
            <w:r>
              <w:rPr>
                <w:rFonts w:ascii="Arabic Typesetting" w:eastAsia="Arabic Typesetting" w:hAnsi="Arabic Typesetting" w:cs="Arabic Typesetting" w:hint="cs"/>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قيرغيزستان وسلوفاكيا وأوكرانيا</w:t>
            </w:r>
            <w:r>
              <w:rPr>
                <w:rFonts w:ascii="Arabic Typesetting" w:eastAsia="Arabic Typesetting" w:hAnsi="Arabic Typesetting" w:cs="Arabic Typesetting" w:hint="cs"/>
                <w:color w:val="000000"/>
                <w:sz w:val="28"/>
                <w:szCs w:val="28"/>
                <w:rtl/>
                <w:lang w:eastAsia="ar-EG" w:bidi="ar-EG"/>
              </w:rPr>
              <w:t>)</w:t>
            </w:r>
          </w:p>
          <w:p w14:paraId="791111E6"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sz w:val="28"/>
                <w:szCs w:val="28"/>
                <w:rtl/>
                <w:lang w:eastAsia="ar-EG" w:bidi="ar-EG"/>
              </w:rPr>
              <w:t>بلدان (جورجيا ولاتفيا) في صدد إتمام استراتيجيتيهما للملكية الفكرية في نهاية</w:t>
            </w:r>
            <w:r>
              <w:rPr>
                <w:rFonts w:ascii="Arabic Typesetting" w:eastAsia="Arabic Typesetting" w:hAnsi="Arabic Typesetting" w:cs="Arabic Typesetting" w:hint="cs"/>
                <w:sz w:val="28"/>
                <w:szCs w:val="28"/>
                <w:rtl/>
                <w:lang w:eastAsia="ar-EG" w:bidi="ar-EG"/>
              </w:rPr>
              <w:t> </w:t>
            </w:r>
            <w:r w:rsidRPr="00CA365F">
              <w:rPr>
                <w:rFonts w:ascii="Arabic Typesetting" w:eastAsia="Arabic Typesetting" w:hAnsi="Arabic Typesetting" w:cs="Arabic Typesetting"/>
                <w:sz w:val="28"/>
                <w:szCs w:val="28"/>
                <w:rtl/>
                <w:lang w:eastAsia="ar-EG" w:bidi="ar-EG"/>
              </w:rPr>
              <w:t>2016</w:t>
            </w:r>
          </w:p>
        </w:tc>
        <w:tc>
          <w:tcPr>
            <w:tcW w:w="512" w:type="pct"/>
            <w:gridSpan w:val="2"/>
            <w:shd w:val="clear" w:color="auto" w:fill="auto"/>
            <w:tcMar>
              <w:top w:w="110" w:type="dxa"/>
              <w:left w:w="58" w:type="dxa"/>
              <w:right w:w="58" w:type="dxa"/>
            </w:tcMar>
          </w:tcPr>
          <w:p w14:paraId="1EE8AC2D" w14:textId="77777777" w:rsidR="00CE6E0B" w:rsidRPr="00CA365F" w:rsidRDefault="00CE6E0B"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color w:val="00B050"/>
                <w:sz w:val="28"/>
                <w:szCs w:val="28"/>
                <w:rtl/>
                <w:lang w:eastAsia="ar-EG" w:bidi="ar-EG"/>
              </w:rPr>
              <w:t>ثابت</w:t>
            </w:r>
          </w:p>
        </w:tc>
      </w:tr>
      <w:tr w:rsidR="00CE6E0B" w:rsidRPr="00CA365F" w14:paraId="4E19D610" w14:textId="77777777" w:rsidTr="00BB3820">
        <w:trPr>
          <w:cantSplit/>
          <w:trHeight w:val="2512"/>
        </w:trPr>
        <w:tc>
          <w:tcPr>
            <w:tcW w:w="1047" w:type="pct"/>
            <w:shd w:val="clear" w:color="auto" w:fill="auto"/>
            <w:tcMar>
              <w:left w:w="58" w:type="dxa"/>
              <w:right w:w="58" w:type="dxa"/>
            </w:tcMar>
          </w:tcPr>
          <w:p w14:paraId="381FD61D"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highlight w:val="yellow"/>
                <w:lang w:eastAsia="ar-EG" w:bidi="ar-EG"/>
              </w:rPr>
            </w:pPr>
            <w:r w:rsidRPr="00CA365F">
              <w:rPr>
                <w:rFonts w:ascii="Arabic Typesetting" w:eastAsia="Arabic Typesetting" w:hAnsi="Arabic Typesetting" w:cs="Arabic Typesetting"/>
                <w:color w:val="000000"/>
                <w:sz w:val="28"/>
                <w:szCs w:val="28"/>
                <w:rtl/>
                <w:lang w:eastAsia="ar-EG" w:bidi="ar-EG"/>
              </w:rPr>
              <w:lastRenderedPageBreak/>
              <w:t>عدد البلدان التي وضعت استراتيجيات أو خطط وطنية للملكية الفكرية متوافقة مع الأهداف الإنمائية الوطنية</w:t>
            </w:r>
          </w:p>
        </w:tc>
        <w:tc>
          <w:tcPr>
            <w:tcW w:w="1291" w:type="pct"/>
            <w:shd w:val="clear" w:color="auto" w:fill="auto"/>
            <w:tcMar>
              <w:left w:w="58" w:type="dxa"/>
              <w:right w:w="58" w:type="dxa"/>
            </w:tcMar>
          </w:tcPr>
          <w:p w14:paraId="3865DB3F" w14:textId="77777777" w:rsidR="00CE6E0B" w:rsidRPr="00CA365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6 بلدان وضعت استراتي</w:t>
            </w:r>
            <w:r>
              <w:rPr>
                <w:rFonts w:ascii="Arabic Typesetting" w:eastAsia="Arabic Typesetting" w:hAnsi="Arabic Typesetting" w:cs="Arabic Typesetting"/>
                <w:color w:val="002060"/>
                <w:sz w:val="28"/>
                <w:szCs w:val="28"/>
                <w:rtl/>
                <w:lang w:eastAsia="ar-EG" w:bidi="ar-EG"/>
              </w:rPr>
              <w:t>جيات للملكية الفكرية في 2014/15</w:t>
            </w:r>
            <w:r>
              <w:rPr>
                <w:rFonts w:ascii="Arabic Typesetting" w:eastAsia="Arabic Typesetting" w:hAnsi="Arabic Typesetting" w:cs="Arabic Typesetting" w:hint="cs"/>
                <w:color w:val="002060"/>
                <w:sz w:val="28"/>
                <w:szCs w:val="28"/>
                <w:rtl/>
                <w:lang w:eastAsia="ar-EG" w:bidi="ar-EG"/>
              </w:rPr>
              <w:t xml:space="preserve"> (</w:t>
            </w:r>
            <w:r w:rsidRPr="00CA365F">
              <w:rPr>
                <w:rFonts w:ascii="Arabic Typesetting" w:eastAsia="Arabic Typesetting" w:hAnsi="Arabic Typesetting" w:cs="Arabic Typesetting"/>
                <w:color w:val="002060"/>
                <w:sz w:val="28"/>
                <w:szCs w:val="28"/>
                <w:rtl/>
                <w:lang w:eastAsia="ar-EG" w:bidi="ar-EG"/>
              </w:rPr>
              <w:t>بلغاريا وسلوفينيا وطاجيكستان وتركيا وتركمانستان وأوكرانيا</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CA365F">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التراكمي 20</w:t>
            </w:r>
            <w:r w:rsidRPr="00CA365F">
              <w:rPr>
                <w:rFonts w:ascii="Arabic Typesetting" w:eastAsia="Arabic Typesetting" w:hAnsi="Arabic Typesetting" w:cs="Arabic Typesetting"/>
                <w:color w:val="002060"/>
                <w:sz w:val="28"/>
                <w:szCs w:val="28"/>
                <w:rtl/>
                <w:lang w:eastAsia="ar-EG" w:bidi="ar-EG"/>
              </w:rPr>
              <w:t>)</w:t>
            </w:r>
          </w:p>
          <w:p w14:paraId="3698C905"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color w:val="000000"/>
                <w:sz w:val="28"/>
                <w:szCs w:val="28"/>
                <w:rtl/>
                <w:lang w:eastAsia="ar-EG" w:bidi="ar-EG"/>
              </w:rPr>
              <w:t xml:space="preserve">‏3 بلدان في 2014 </w:t>
            </w:r>
            <w:r>
              <w:rPr>
                <w:rFonts w:ascii="Arabic Typesetting" w:eastAsia="Arabic Typesetting" w:hAnsi="Arabic Typesetting" w:cs="Arabic Typesetting" w:hint="cs"/>
                <w:color w:val="000000"/>
                <w:sz w:val="28"/>
                <w:szCs w:val="28"/>
                <w:rtl/>
                <w:lang w:eastAsia="ar-EG" w:bidi="ar-EG"/>
              </w:rPr>
              <w:t>(التراكمي 17)</w:t>
            </w:r>
          </w:p>
        </w:tc>
        <w:tc>
          <w:tcPr>
            <w:tcW w:w="758" w:type="pct"/>
            <w:shd w:val="clear" w:color="auto" w:fill="auto"/>
            <w:tcMar>
              <w:top w:w="110" w:type="dxa"/>
              <w:left w:w="58" w:type="dxa"/>
              <w:right w:w="58" w:type="dxa"/>
            </w:tcMar>
          </w:tcPr>
          <w:p w14:paraId="1E648316"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7 بلدان إضافية</w:t>
            </w:r>
          </w:p>
        </w:tc>
        <w:tc>
          <w:tcPr>
            <w:tcW w:w="1392" w:type="pct"/>
            <w:shd w:val="clear" w:color="auto" w:fill="FFFFFF"/>
            <w:tcMar>
              <w:top w:w="110" w:type="dxa"/>
              <w:left w:w="58" w:type="dxa"/>
              <w:right w:w="58" w:type="dxa"/>
            </w:tcMar>
          </w:tcPr>
          <w:p w14:paraId="1105944C" w14:textId="0BD9B90B" w:rsidR="00CE6E0B" w:rsidRPr="00CA365F" w:rsidRDefault="00CE6E0B" w:rsidP="006A1A09">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بلد إضافي وضع است</w:t>
            </w:r>
            <w:r>
              <w:rPr>
                <w:rFonts w:ascii="Arabic Typesetting" w:eastAsia="Arabic Typesetting" w:hAnsi="Arabic Typesetting" w:cs="Arabic Typesetting"/>
                <w:color w:val="000000"/>
                <w:sz w:val="28"/>
                <w:szCs w:val="28"/>
                <w:rtl/>
                <w:lang w:eastAsia="ar-EG" w:bidi="ar-EG"/>
              </w:rPr>
              <w:t xml:space="preserve">راتيجية للملكية الفكرية </w:t>
            </w:r>
            <w:r>
              <w:rPr>
                <w:rFonts w:ascii="Arabic Typesetting" w:eastAsia="Arabic Typesetting" w:hAnsi="Arabic Typesetting" w:cs="Arabic Typesetting" w:hint="cs"/>
                <w:color w:val="000000"/>
                <w:sz w:val="28"/>
                <w:szCs w:val="28"/>
                <w:rtl/>
                <w:lang w:eastAsia="ar-EG" w:bidi="ar-EG"/>
              </w:rPr>
              <w:t>(</w:t>
            </w:r>
            <w:r w:rsidRPr="00CA365F">
              <w:rPr>
                <w:rFonts w:ascii="Arabic Typesetting" w:eastAsia="Arabic Typesetting" w:hAnsi="Arabic Typesetting" w:cs="Arabic Typesetting"/>
                <w:color w:val="000000"/>
                <w:sz w:val="28"/>
                <w:szCs w:val="28"/>
                <w:rtl/>
                <w:lang w:eastAsia="ar-EG" w:bidi="ar-EG"/>
              </w:rPr>
              <w:t>ألبانيا</w:t>
            </w:r>
            <w:r>
              <w:rPr>
                <w:rFonts w:ascii="Arabic Typesetting" w:eastAsia="Arabic Typesetting" w:hAnsi="Arabic Typesetting" w:cs="Arabic Typesetting" w:hint="cs"/>
                <w:color w:val="000000"/>
                <w:sz w:val="28"/>
                <w:szCs w:val="28"/>
                <w:rtl/>
                <w:lang w:eastAsia="ar-EG" w:bidi="ar-EG"/>
              </w:rPr>
              <w:t>)</w:t>
            </w:r>
          </w:p>
          <w:p w14:paraId="1E16EF05" w14:textId="01DCC3D0" w:rsidR="00CE6E0B" w:rsidRPr="00CA365F" w:rsidRDefault="006A1A09"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21 بلداً (التراكمي</w:t>
            </w:r>
            <w:r w:rsidR="00CE6E0B" w:rsidRPr="00CA365F">
              <w:rPr>
                <w:rFonts w:ascii="Arabic Typesetting" w:eastAsia="Arabic Typesetting" w:hAnsi="Arabic Typesetting" w:cs="Arabic Typesetting"/>
                <w:color w:val="000000"/>
                <w:sz w:val="28"/>
                <w:szCs w:val="28"/>
                <w:rtl/>
                <w:lang w:eastAsia="ar-EG" w:bidi="ar-EG"/>
              </w:rPr>
              <w:t>)</w:t>
            </w:r>
          </w:p>
        </w:tc>
        <w:tc>
          <w:tcPr>
            <w:tcW w:w="512" w:type="pct"/>
            <w:gridSpan w:val="2"/>
            <w:shd w:val="clear" w:color="auto" w:fill="auto"/>
            <w:tcMar>
              <w:top w:w="110" w:type="dxa"/>
              <w:left w:w="58" w:type="dxa"/>
              <w:right w:w="58" w:type="dxa"/>
            </w:tcMar>
          </w:tcPr>
          <w:p w14:paraId="70DC4A43" w14:textId="77777777" w:rsidR="00CE6E0B" w:rsidRPr="00CA365F" w:rsidRDefault="00CE6E0B"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color w:val="FF0000"/>
                <w:sz w:val="28"/>
                <w:szCs w:val="28"/>
                <w:rtl/>
                <w:lang w:eastAsia="ar-EG" w:bidi="ar-EG"/>
              </w:rPr>
              <w:t>غير ثابت</w:t>
            </w:r>
          </w:p>
        </w:tc>
      </w:tr>
      <w:tr w:rsidR="00CE6E0B" w:rsidRPr="00CA365F" w14:paraId="4405ADAF" w14:textId="77777777" w:rsidTr="00BB3820">
        <w:trPr>
          <w:cantSplit/>
          <w:trHeight w:val="565"/>
        </w:trPr>
        <w:tc>
          <w:tcPr>
            <w:tcW w:w="5000" w:type="pct"/>
            <w:gridSpan w:val="6"/>
            <w:shd w:val="clear" w:color="auto" w:fill="C6D9F1"/>
            <w:tcMar>
              <w:left w:w="58" w:type="dxa"/>
              <w:right w:w="58" w:type="dxa"/>
            </w:tcMar>
            <w:vAlign w:val="center"/>
          </w:tcPr>
          <w:p w14:paraId="5036090A" w14:textId="77777777" w:rsidR="00CE6E0B" w:rsidRPr="00EE4842" w:rsidRDefault="00CE6E0B" w:rsidP="0031289D">
            <w:pPr>
              <w:keepNext/>
              <w:bidi/>
              <w:spacing w:before="120" w:after="120" w:line="280" w:lineRule="exact"/>
              <w:ind w:left="1452" w:hanging="1452"/>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sz w:val="28"/>
                <w:szCs w:val="28"/>
                <w:rtl/>
                <w:lang w:eastAsia="ar-EG" w:bidi="ar-EG"/>
              </w:rPr>
              <w:t>‏النتيجة المرتقبة:</w:t>
            </w:r>
            <w:r w:rsidRPr="00CA365F">
              <w:rPr>
                <w:rFonts w:ascii="Arabic Typesetting" w:eastAsia="Arabic Typesetting" w:hAnsi="Arabic Typesetting" w:cs="Arabic Typesetting"/>
                <w:sz w:val="28"/>
                <w:szCs w:val="28"/>
                <w:lang w:eastAsia="ar-EG" w:bidi="ar-EG"/>
              </w:rPr>
              <w:tab/>
            </w:r>
            <w:r w:rsidRPr="00CA365F">
              <w:rPr>
                <w:rFonts w:ascii="Arabic Typesetting" w:eastAsia="Arabic Typesetting" w:hAnsi="Arabic Typesetting" w:cs="Arabic Typesetting"/>
                <w:color w:val="000000"/>
                <w:sz w:val="28"/>
                <w:szCs w:val="28"/>
                <w:rtl/>
                <w:lang w:eastAsia="ar-EG" w:bidi="ar-EG"/>
              </w:rPr>
              <w:t>‏ه</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cs/>
                <w:lang w:eastAsia="ar-EG" w:bidi="ar-EG"/>
              </w:rPr>
              <w:t>2.3</w:t>
            </w:r>
            <w:r w:rsidRPr="00CA365F">
              <w:rPr>
                <w:rFonts w:ascii="Arabic Typesetting" w:eastAsia="Arabic Typesetting" w:hAnsi="Arabic Typesetting" w:cs="Arabic Typesetting"/>
                <w:color w:val="000000"/>
                <w:sz w:val="28"/>
                <w:szCs w:val="28"/>
                <w:rtl/>
                <w:lang w:eastAsia="ar-EG" w:bidi="ar-EG"/>
              </w:rPr>
              <w:t>‏ كفاءات</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‏معزَّزة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‏للموارد</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‏البشرية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‏القادرة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‏على</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‏تلبية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‏تشكيلة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‏واسعة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‏من</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‏المتطلبات</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‏لتسخير</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‏الملكية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‏الفكرية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‏بفعالية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‏لأغراض</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‏التنمية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‏في</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‏البلدان</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‏النامية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‏والبلدان</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‏الأقل</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‏نموا</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‏والبلدان</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‏المنتقلة</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‏إلى</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نظام الاقتصاد</w:t>
            </w:r>
            <w:r w:rsidRPr="00CA365F">
              <w:rPr>
                <w:rFonts w:ascii="Arabic Typesetting" w:eastAsia="Arabic Typesetting" w:hAnsi="Arabic Typesetting" w:cs="Arabic Typesetting"/>
                <w:color w:val="000000"/>
                <w:sz w:val="28"/>
                <w:szCs w:val="28"/>
                <w:cs/>
                <w:lang w:eastAsia="ar-EG" w:bidi="ar-EG"/>
              </w:rPr>
              <w:t>‎</w:t>
            </w:r>
            <w:r w:rsidRPr="00CA365F">
              <w:rPr>
                <w:rFonts w:ascii="Arabic Typesetting" w:eastAsia="Arabic Typesetting" w:hAnsi="Arabic Typesetting" w:cs="Arabic Typesetting"/>
                <w:color w:val="000000"/>
                <w:sz w:val="28"/>
                <w:szCs w:val="28"/>
                <w:rtl/>
                <w:lang w:eastAsia="ar-EG" w:bidi="ar-EG"/>
              </w:rPr>
              <w:t xml:space="preserve"> ‏الحر</w:t>
            </w:r>
          </w:p>
        </w:tc>
      </w:tr>
      <w:tr w:rsidR="00CE6E0B" w:rsidRPr="00CA365F" w14:paraId="29BC7B2E" w14:textId="77777777" w:rsidTr="00BB3820">
        <w:trPr>
          <w:cantSplit/>
        </w:trPr>
        <w:tc>
          <w:tcPr>
            <w:tcW w:w="1047" w:type="pct"/>
            <w:shd w:val="clear" w:color="auto" w:fill="auto"/>
            <w:tcMar>
              <w:left w:w="58" w:type="dxa"/>
              <w:right w:w="58" w:type="dxa"/>
            </w:tcMar>
            <w:vAlign w:val="center"/>
          </w:tcPr>
          <w:p w14:paraId="28E4DF61" w14:textId="77777777" w:rsidR="00CE6E0B" w:rsidRPr="00CA365F"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مؤشرات الأداء</w:t>
            </w:r>
          </w:p>
        </w:tc>
        <w:tc>
          <w:tcPr>
            <w:tcW w:w="1291" w:type="pct"/>
            <w:shd w:val="clear" w:color="auto" w:fill="auto"/>
            <w:tcMar>
              <w:left w:w="58" w:type="dxa"/>
              <w:right w:w="58" w:type="dxa"/>
            </w:tcMar>
            <w:vAlign w:val="center"/>
          </w:tcPr>
          <w:p w14:paraId="6F5A46AE"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أسس المقارنة</w:t>
            </w:r>
          </w:p>
        </w:tc>
        <w:tc>
          <w:tcPr>
            <w:tcW w:w="758" w:type="pct"/>
            <w:shd w:val="clear" w:color="auto" w:fill="auto"/>
            <w:tcMar>
              <w:top w:w="110" w:type="dxa"/>
              <w:left w:w="58" w:type="dxa"/>
              <w:right w:w="58" w:type="dxa"/>
            </w:tcMar>
            <w:vAlign w:val="center"/>
          </w:tcPr>
          <w:p w14:paraId="7556751F"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الأهداف</w:t>
            </w:r>
          </w:p>
        </w:tc>
        <w:tc>
          <w:tcPr>
            <w:tcW w:w="1392" w:type="pct"/>
            <w:shd w:val="clear" w:color="auto" w:fill="FFFFFF"/>
            <w:tcMar>
              <w:top w:w="110" w:type="dxa"/>
              <w:left w:w="58" w:type="dxa"/>
              <w:right w:w="58" w:type="dxa"/>
            </w:tcMar>
            <w:vAlign w:val="center"/>
          </w:tcPr>
          <w:p w14:paraId="10D82678" w14:textId="77777777" w:rsidR="00CE6E0B" w:rsidRPr="00CA365F"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بيانات الأداء</w:t>
            </w:r>
          </w:p>
        </w:tc>
        <w:tc>
          <w:tcPr>
            <w:tcW w:w="512" w:type="pct"/>
            <w:gridSpan w:val="2"/>
            <w:shd w:val="clear" w:color="auto" w:fill="auto"/>
            <w:tcMar>
              <w:top w:w="110" w:type="dxa"/>
              <w:left w:w="58" w:type="dxa"/>
              <w:right w:w="58" w:type="dxa"/>
            </w:tcMar>
            <w:vAlign w:val="center"/>
          </w:tcPr>
          <w:p w14:paraId="4F4874FA" w14:textId="77777777" w:rsidR="00CE6E0B" w:rsidRPr="00CA365F" w:rsidRDefault="00CE6E0B" w:rsidP="0031289D">
            <w:pPr>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CA365F" w14:paraId="4720006D" w14:textId="77777777" w:rsidTr="00BB3820">
        <w:trPr>
          <w:cantSplit/>
          <w:trHeight w:val="799"/>
        </w:trPr>
        <w:tc>
          <w:tcPr>
            <w:tcW w:w="1047" w:type="pct"/>
            <w:shd w:val="clear" w:color="auto" w:fill="auto"/>
            <w:tcMar>
              <w:left w:w="58" w:type="dxa"/>
              <w:right w:w="58" w:type="dxa"/>
            </w:tcMar>
          </w:tcPr>
          <w:p w14:paraId="3ECE5DD1" w14:textId="32A1BC5A"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عدد </w:t>
            </w:r>
            <w:r w:rsidR="00AF6433">
              <w:rPr>
                <w:rFonts w:ascii="Arabic Typesetting" w:eastAsia="Arabic Typesetting" w:hAnsi="Arabic Typesetting" w:cs="Arabic Typesetting"/>
                <w:color w:val="000000"/>
                <w:sz w:val="28"/>
                <w:szCs w:val="28"/>
                <w:rtl/>
                <w:lang w:eastAsia="ar-EG" w:bidi="ar-EG"/>
              </w:rPr>
              <w:t>البلدان المتحولة</w:t>
            </w:r>
            <w:r w:rsidRPr="00CA365F">
              <w:rPr>
                <w:rFonts w:ascii="Arabic Typesetting" w:eastAsia="Arabic Typesetting" w:hAnsi="Arabic Typesetting" w:cs="Arabic Typesetting"/>
                <w:color w:val="000000"/>
                <w:sz w:val="28"/>
                <w:szCs w:val="28"/>
                <w:rtl/>
                <w:lang w:eastAsia="ar-EG" w:bidi="ar-EG"/>
              </w:rPr>
              <w:t xml:space="preserve"> التي وضعت برامج تدريبية سنوية في مجال الملكية الفكرية و/أو دورات للمهنيين المتخصصين في الملكية الفكرية</w:t>
            </w:r>
          </w:p>
        </w:tc>
        <w:tc>
          <w:tcPr>
            <w:tcW w:w="1291" w:type="pct"/>
            <w:shd w:val="clear" w:color="auto" w:fill="auto"/>
            <w:tcMar>
              <w:left w:w="58" w:type="dxa"/>
              <w:right w:w="58" w:type="dxa"/>
            </w:tcMar>
          </w:tcPr>
          <w:p w14:paraId="0DF1E70E" w14:textId="77777777" w:rsidR="00CE6E0B" w:rsidRPr="00CA365F" w:rsidRDefault="00CE6E0B"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i/>
                <w:iCs/>
                <w:color w:val="002060"/>
                <w:sz w:val="28"/>
                <w:szCs w:val="28"/>
                <w:rtl/>
                <w:lang w:eastAsia="ar-EG" w:bidi="ar-EG"/>
              </w:rPr>
              <w:t>9 (بلغاريا وكرواتيا والجمهورية التشيكية وجورجيا وكازاخستان وبولندا ورومانيا وسلوفاكيا وتركيا)</w:t>
            </w:r>
          </w:p>
          <w:p w14:paraId="1439CC8B"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hint="cs"/>
                <w:i/>
                <w:iCs/>
                <w:sz w:val="28"/>
                <w:szCs w:val="28"/>
                <w:rtl/>
                <w:lang w:eastAsia="ar-EG" w:bidi="ar-EG"/>
              </w:rPr>
              <w:t xml:space="preserve"> </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i/>
                <w:iCs/>
                <w:sz w:val="28"/>
                <w:szCs w:val="28"/>
                <w:rtl/>
                <w:lang w:eastAsia="ar-EG" w:bidi="ar-EG"/>
              </w:rPr>
              <w:t>ب</w:t>
            </w:r>
            <w:r w:rsidRPr="00CA365F">
              <w:rPr>
                <w:rFonts w:ascii="Arabic Typesetting" w:eastAsia="Arabic Typesetting" w:hAnsi="Arabic Typesetting" w:cs="Arabic Typesetting"/>
                <w:i/>
                <w:iCs/>
                <w:sz w:val="28"/>
                <w:szCs w:val="28"/>
                <w:rtl/>
                <w:lang w:eastAsia="ar-EG" w:bidi="ar-EG"/>
              </w:rPr>
              <w:t>رنامج وميزانية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color w:val="000000"/>
                <w:sz w:val="28"/>
                <w:szCs w:val="28"/>
                <w:rtl/>
                <w:lang w:eastAsia="ar-EG" w:bidi="ar-EG"/>
              </w:rPr>
              <w:t>6 بلدان (2014)</w:t>
            </w:r>
          </w:p>
        </w:tc>
        <w:tc>
          <w:tcPr>
            <w:tcW w:w="758" w:type="pct"/>
            <w:shd w:val="clear" w:color="auto" w:fill="auto"/>
            <w:tcMar>
              <w:top w:w="110" w:type="dxa"/>
              <w:left w:w="58" w:type="dxa"/>
              <w:right w:w="58" w:type="dxa"/>
            </w:tcMar>
          </w:tcPr>
          <w:p w14:paraId="0868BCC7"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8 بلدان</w:t>
            </w:r>
          </w:p>
        </w:tc>
        <w:tc>
          <w:tcPr>
            <w:tcW w:w="1392" w:type="pct"/>
            <w:shd w:val="clear" w:color="auto" w:fill="FFFFFF"/>
            <w:tcMar>
              <w:top w:w="110" w:type="dxa"/>
              <w:left w:w="58" w:type="dxa"/>
              <w:right w:w="58" w:type="dxa"/>
            </w:tcMar>
          </w:tcPr>
          <w:p w14:paraId="351ECE53" w14:textId="0D50B524" w:rsidR="00CE6E0B" w:rsidRPr="00CA365F" w:rsidRDefault="00CE6E0B" w:rsidP="006A1A09">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4 بلدان إضافية وضعت دورات/برامج سنوية خاصة بالملكية الفكرية </w:t>
            </w:r>
            <w:r>
              <w:rPr>
                <w:rFonts w:ascii="Arabic Typesetting" w:eastAsia="Arabic Typesetting" w:hAnsi="Arabic Typesetting" w:cs="Arabic Typesetting" w:hint="cs"/>
                <w:color w:val="000000"/>
                <w:sz w:val="28"/>
                <w:szCs w:val="28"/>
                <w:rtl/>
                <w:lang w:eastAsia="ar-EG" w:bidi="ar-EG"/>
              </w:rPr>
              <w:t>(</w:t>
            </w:r>
            <w:r w:rsidRPr="00CA365F">
              <w:rPr>
                <w:rFonts w:ascii="Arabic Typesetting" w:eastAsia="Arabic Typesetting" w:hAnsi="Arabic Typesetting" w:cs="Arabic Typesetting"/>
                <w:color w:val="000000"/>
                <w:sz w:val="28"/>
                <w:szCs w:val="28"/>
                <w:rtl/>
                <w:lang w:eastAsia="ar-EG" w:bidi="ar-EG"/>
              </w:rPr>
              <w:t>أذربيجان ولاتفيا و</w:t>
            </w:r>
            <w:r>
              <w:rPr>
                <w:rFonts w:ascii="Arabic Typesetting" w:eastAsia="Arabic Typesetting" w:hAnsi="Arabic Typesetting" w:cs="Arabic Typesetting"/>
                <w:color w:val="000000"/>
                <w:sz w:val="28"/>
                <w:szCs w:val="28"/>
                <w:rtl/>
                <w:lang w:eastAsia="ar-EG" w:bidi="ar-EG"/>
              </w:rPr>
              <w:t>جمهورية مولدوفا والاتحاد الروسي</w:t>
            </w:r>
            <w:r>
              <w:rPr>
                <w:rFonts w:ascii="Arabic Typesetting" w:eastAsia="Arabic Typesetting" w:hAnsi="Arabic Typesetting" w:cs="Arabic Typesetting" w:hint="cs"/>
                <w:color w:val="000000"/>
                <w:sz w:val="28"/>
                <w:szCs w:val="28"/>
                <w:rtl/>
                <w:lang w:eastAsia="ar-EG" w:bidi="ar-EG"/>
              </w:rPr>
              <w:t>)</w:t>
            </w:r>
          </w:p>
          <w:p w14:paraId="79DE0A2F" w14:textId="6C41F0DB" w:rsidR="00CE6E0B" w:rsidRPr="00CA365F" w:rsidRDefault="00CE6E0B" w:rsidP="006A1A09">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بلدان من أساس المقارنة وضعا دورات/برامج سنوية إضافية خاصة بالملكية الفكرية </w:t>
            </w:r>
            <w:r>
              <w:rPr>
                <w:rFonts w:ascii="Arabic Typesetting" w:eastAsia="Arabic Typesetting" w:hAnsi="Arabic Typesetting" w:cs="Arabic Typesetting" w:hint="cs"/>
                <w:color w:val="000000"/>
                <w:sz w:val="28"/>
                <w:szCs w:val="28"/>
                <w:rtl/>
                <w:lang w:eastAsia="ar-EG" w:bidi="ar-EG"/>
              </w:rPr>
              <w:t>(</w:t>
            </w:r>
            <w:r w:rsidRPr="00CA365F">
              <w:rPr>
                <w:rFonts w:ascii="Arabic Typesetting" w:eastAsia="Arabic Typesetting" w:hAnsi="Arabic Typesetting" w:cs="Arabic Typesetting"/>
                <w:color w:val="000000"/>
                <w:sz w:val="28"/>
                <w:szCs w:val="28"/>
                <w:rtl/>
                <w:lang w:eastAsia="ar-EG" w:bidi="ar-EG"/>
              </w:rPr>
              <w:t>جورجيا</w:t>
            </w:r>
            <w:r>
              <w:rPr>
                <w:rFonts w:ascii="Arabic Typesetting" w:eastAsia="Arabic Typesetting" w:hAnsi="Arabic Typesetting" w:cs="Arabic Typesetting" w:hint="cs"/>
                <w:color w:val="000000"/>
                <w:sz w:val="28"/>
                <w:szCs w:val="28"/>
                <w:rtl/>
                <w:lang w:eastAsia="ar-EG" w:bidi="ar-EG"/>
              </w:rPr>
              <w:t> </w:t>
            </w:r>
            <w:r w:rsidRPr="00CA365F">
              <w:rPr>
                <w:rFonts w:ascii="Arabic Typesetting" w:eastAsia="Arabic Typesetting" w:hAnsi="Arabic Typesetting" w:cs="Arabic Typesetting"/>
                <w:color w:val="000000"/>
                <w:sz w:val="28"/>
                <w:szCs w:val="28"/>
                <w:rtl/>
                <w:lang w:eastAsia="ar-EG" w:bidi="ar-EG"/>
              </w:rPr>
              <w:t>وبولندا</w:t>
            </w:r>
            <w:r>
              <w:rPr>
                <w:rFonts w:ascii="Arabic Typesetting" w:eastAsia="Arabic Typesetting" w:hAnsi="Arabic Typesetting" w:cs="Arabic Typesetting" w:hint="cs"/>
                <w:color w:val="000000"/>
                <w:sz w:val="28"/>
                <w:szCs w:val="28"/>
                <w:rtl/>
                <w:lang w:eastAsia="ar-EG" w:bidi="ar-EG"/>
              </w:rPr>
              <w:t>)</w:t>
            </w:r>
          </w:p>
          <w:p w14:paraId="5639AA94" w14:textId="6B90A6FC" w:rsidR="00CE6E0B" w:rsidRPr="00CA365F" w:rsidRDefault="00CE6E0B" w:rsidP="006A1A09">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15 برنامجاً/دورة في 13 بلداً (التراكمي</w:t>
            </w:r>
            <w:r w:rsidR="006A1A09">
              <w:rPr>
                <w:rFonts w:ascii="Arabic Typesetting" w:eastAsia="Arabic Typesetting" w:hAnsi="Arabic Typesetting" w:cs="Arabic Typesetting" w:hint="cs"/>
                <w:color w:val="000000"/>
                <w:sz w:val="28"/>
                <w:szCs w:val="28"/>
                <w:rtl/>
                <w:lang w:eastAsia="ar-EG" w:bidi="ar-EG"/>
              </w:rPr>
              <w:t>)</w:t>
            </w:r>
          </w:p>
        </w:tc>
        <w:tc>
          <w:tcPr>
            <w:tcW w:w="512" w:type="pct"/>
            <w:gridSpan w:val="2"/>
            <w:shd w:val="clear" w:color="auto" w:fill="auto"/>
            <w:tcMar>
              <w:top w:w="110" w:type="dxa"/>
              <w:left w:w="58" w:type="dxa"/>
              <w:right w:w="58" w:type="dxa"/>
            </w:tcMar>
          </w:tcPr>
          <w:p w14:paraId="7D51D331" w14:textId="77777777" w:rsidR="00CE6E0B" w:rsidRPr="00CA365F" w:rsidRDefault="00CE6E0B"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color w:val="00B050"/>
                <w:sz w:val="28"/>
                <w:szCs w:val="28"/>
                <w:rtl/>
                <w:lang w:eastAsia="ar-EG" w:bidi="ar-EG"/>
              </w:rPr>
              <w:t>ثابت</w:t>
            </w:r>
          </w:p>
        </w:tc>
      </w:tr>
      <w:tr w:rsidR="00CE6E0B" w:rsidRPr="00CA365F" w14:paraId="53B0640F" w14:textId="77777777" w:rsidTr="00BB3820">
        <w:trPr>
          <w:cantSplit/>
          <w:trHeight w:val="1394"/>
        </w:trPr>
        <w:tc>
          <w:tcPr>
            <w:tcW w:w="1047" w:type="pct"/>
            <w:shd w:val="clear" w:color="auto" w:fill="auto"/>
            <w:tcMar>
              <w:left w:w="58" w:type="dxa"/>
              <w:right w:w="58" w:type="dxa"/>
            </w:tcMar>
          </w:tcPr>
          <w:p w14:paraId="31BD38BB"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النسبة المئوية للمهنيين المُدرَّبين المتخصصين في الملكية الفكرية ومسؤولي الملكية الفكرية المُدرَّبين الذين</w:t>
            </w:r>
            <w:r>
              <w:rPr>
                <w:rFonts w:ascii="Arabic Typesetting" w:eastAsia="Arabic Typesetting" w:hAnsi="Arabic Typesetting" w:cs="Arabic Typesetting"/>
                <w:color w:val="000000"/>
                <w:sz w:val="28"/>
                <w:szCs w:val="28"/>
                <w:rtl/>
                <w:lang w:eastAsia="ar-EG" w:bidi="ar-EG"/>
              </w:rPr>
              <w:t xml:space="preserve"> يستخدمون مهارات محسنة في عملهم</w:t>
            </w:r>
          </w:p>
        </w:tc>
        <w:tc>
          <w:tcPr>
            <w:tcW w:w="1291" w:type="pct"/>
            <w:shd w:val="clear" w:color="auto" w:fill="auto"/>
            <w:tcMar>
              <w:left w:w="58" w:type="dxa"/>
              <w:right w:w="58" w:type="dxa"/>
            </w:tcMar>
          </w:tcPr>
          <w:p w14:paraId="43361D53" w14:textId="77777777" w:rsidR="00CE6E0B" w:rsidRPr="00CA365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82.7%</w:t>
            </w:r>
          </w:p>
          <w:p w14:paraId="0E0FC642"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lang w:eastAsia="ar-EG" w:bidi="ar-EG"/>
              </w:rPr>
              <w:br/>
            </w:r>
            <w:r>
              <w:rPr>
                <w:rFonts w:ascii="Arabic Typesetting" w:eastAsia="Arabic Typesetting" w:hAnsi="Arabic Typesetting" w:cs="Arabic Typesetting"/>
                <w:i/>
                <w:iCs/>
                <w:sz w:val="28"/>
                <w:szCs w:val="28"/>
                <w:rtl/>
                <w:lang w:eastAsia="ar-EG" w:bidi="ar-EG"/>
              </w:rPr>
              <w:t>برنامج و</w:t>
            </w:r>
            <w:r w:rsidRPr="00CA365F">
              <w:rPr>
                <w:rFonts w:ascii="Arabic Typesetting" w:eastAsia="Arabic Typesetting" w:hAnsi="Arabic Typesetting" w:cs="Arabic Typesetting"/>
                <w:i/>
                <w:iCs/>
                <w:sz w:val="28"/>
                <w:szCs w:val="28"/>
                <w:rtl/>
                <w:lang w:eastAsia="ar-EG" w:bidi="ar-EG"/>
              </w:rPr>
              <w:t>ميزانية 2016/17:</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color w:val="000000"/>
                <w:sz w:val="28"/>
                <w:szCs w:val="28"/>
                <w:rtl/>
                <w:lang w:eastAsia="ar-EG" w:bidi="ar-EG"/>
              </w:rPr>
              <w:t>80%</w:t>
            </w:r>
          </w:p>
        </w:tc>
        <w:tc>
          <w:tcPr>
            <w:tcW w:w="758" w:type="pct"/>
            <w:shd w:val="clear" w:color="auto" w:fill="auto"/>
            <w:tcMar>
              <w:top w:w="110" w:type="dxa"/>
              <w:left w:w="58" w:type="dxa"/>
              <w:right w:w="58" w:type="dxa"/>
            </w:tcMar>
          </w:tcPr>
          <w:p w14:paraId="0E3581EF" w14:textId="77777777" w:rsidR="00CE6E0B" w:rsidRPr="00CA365F"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CA365F">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lang w:eastAsia="ar-EG" w:bidi="ar-EG"/>
              </w:rPr>
              <w:br/>
            </w:r>
            <w:r w:rsidRPr="00CA365F">
              <w:rPr>
                <w:rFonts w:ascii="Arabic Typesetting" w:eastAsia="Arabic Typesetting" w:hAnsi="Arabic Typesetting" w:cs="Arabic Typesetting"/>
                <w:color w:val="002060"/>
                <w:sz w:val="28"/>
                <w:szCs w:val="28"/>
                <w:rtl/>
                <w:lang w:eastAsia="ar-EG" w:bidi="ar-EG"/>
              </w:rPr>
              <w:t>80%</w:t>
            </w:r>
          </w:p>
          <w:p w14:paraId="35C66AE4" w14:textId="382AE465"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i/>
                <w:iCs/>
                <w:color w:val="000000"/>
                <w:sz w:val="28"/>
                <w:szCs w:val="28"/>
                <w:rtl/>
                <w:lang w:eastAsia="ar-EG" w:bidi="ar-EG"/>
              </w:rPr>
              <w:t>الهدف الأصلي</w:t>
            </w:r>
            <w:r w:rsidR="000C4432">
              <w:rPr>
                <w:rFonts w:ascii="Arabic Typesetting" w:eastAsia="Arabic Typesetting" w:hAnsi="Arabic Typesetting" w:cs="Arabic Typesetting" w:hint="cs"/>
                <w:i/>
                <w:iCs/>
                <w:color w:val="000000"/>
                <w:sz w:val="28"/>
                <w:szCs w:val="28"/>
                <w:rtl/>
                <w:lang w:eastAsia="ar-EG" w:bidi="ar-EG"/>
              </w:rPr>
              <w:t>:</w:t>
            </w:r>
            <w:r w:rsidRPr="00CA365F">
              <w:rPr>
                <w:rFonts w:ascii="Arabic Typesetting" w:eastAsia="Arabic Typesetting" w:hAnsi="Arabic Typesetting" w:cs="Arabic Typesetting"/>
                <w:i/>
                <w:color w:val="000000"/>
                <w:sz w:val="28"/>
                <w:szCs w:val="28"/>
                <w:lang w:eastAsia="ar-EG" w:bidi="ar-EG"/>
              </w:rPr>
              <w:br/>
            </w:r>
            <w:r w:rsidRPr="00CA365F">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lang w:eastAsia="ar-EG" w:bidi="ar-EG"/>
              </w:rPr>
              <w:br/>
            </w:r>
            <w:r w:rsidRPr="00CA365F">
              <w:rPr>
                <w:rFonts w:ascii="Arabic Typesetting" w:eastAsia="Arabic Typesetting" w:hAnsi="Arabic Typesetting" w:cs="Arabic Typesetting"/>
                <w:color w:val="000000"/>
                <w:sz w:val="28"/>
                <w:szCs w:val="28"/>
                <w:rtl/>
                <w:lang w:eastAsia="ar-EG" w:bidi="ar-EG"/>
              </w:rPr>
              <w:t>70%</w:t>
            </w:r>
          </w:p>
        </w:tc>
        <w:tc>
          <w:tcPr>
            <w:tcW w:w="1392" w:type="pct"/>
            <w:shd w:val="clear" w:color="auto" w:fill="FFFFFF"/>
            <w:tcMar>
              <w:top w:w="110" w:type="dxa"/>
              <w:left w:w="58" w:type="dxa"/>
              <w:right w:w="58" w:type="dxa"/>
            </w:tcMar>
          </w:tcPr>
          <w:p w14:paraId="17FF8818" w14:textId="77777777" w:rsidR="00CE6E0B" w:rsidRPr="00CA365F"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83%</w:t>
            </w:r>
          </w:p>
        </w:tc>
        <w:tc>
          <w:tcPr>
            <w:tcW w:w="512" w:type="pct"/>
            <w:gridSpan w:val="2"/>
            <w:shd w:val="clear" w:color="auto" w:fill="auto"/>
            <w:tcMar>
              <w:top w:w="110" w:type="dxa"/>
              <w:left w:w="58" w:type="dxa"/>
              <w:right w:w="58" w:type="dxa"/>
            </w:tcMar>
          </w:tcPr>
          <w:p w14:paraId="4114BD56" w14:textId="77777777" w:rsidR="00CE6E0B" w:rsidRPr="00CA365F" w:rsidRDefault="00CE6E0B"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color w:val="00B050"/>
                <w:sz w:val="28"/>
                <w:szCs w:val="28"/>
                <w:rtl/>
                <w:lang w:eastAsia="ar-EG" w:bidi="ar-EG"/>
              </w:rPr>
              <w:t>ثابت</w:t>
            </w:r>
          </w:p>
        </w:tc>
      </w:tr>
      <w:tr w:rsidR="00CE6E0B" w:rsidRPr="00CA365F" w14:paraId="37F00951" w14:textId="77777777" w:rsidTr="00BB3820">
        <w:trPr>
          <w:cantSplit/>
          <w:trHeight w:val="565"/>
        </w:trPr>
        <w:tc>
          <w:tcPr>
            <w:tcW w:w="5000" w:type="pct"/>
            <w:gridSpan w:val="6"/>
            <w:shd w:val="clear" w:color="auto" w:fill="C6D9F1"/>
            <w:tcMar>
              <w:left w:w="58" w:type="dxa"/>
              <w:right w:w="58" w:type="dxa"/>
            </w:tcMar>
            <w:vAlign w:val="center"/>
          </w:tcPr>
          <w:p w14:paraId="30FB68CB" w14:textId="476AA885" w:rsidR="00CE6E0B" w:rsidRPr="00CA365F" w:rsidRDefault="00CE6E0B"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‏النتيجة المرتقبة:</w:t>
            </w:r>
            <w:r w:rsidRPr="00CA365F">
              <w:rPr>
                <w:rFonts w:ascii="Arabic Typesetting" w:eastAsia="Arabic Typesetting" w:hAnsi="Arabic Typesetting" w:cs="Arabic Typesetting"/>
                <w:sz w:val="28"/>
                <w:szCs w:val="28"/>
                <w:lang w:eastAsia="ar-EG" w:bidi="ar-EG"/>
              </w:rPr>
              <w:tab/>
            </w:r>
            <w:r w:rsidRPr="00CA365F">
              <w:rPr>
                <w:rFonts w:ascii="Arabic Typesetting" w:eastAsia="Arabic Typesetting" w:hAnsi="Arabic Typesetting" w:cs="Arabic Typesetting"/>
                <w:color w:val="000000"/>
                <w:sz w:val="28"/>
                <w:szCs w:val="28"/>
                <w:rtl/>
                <w:lang w:eastAsia="ar-EG" w:bidi="ar-EG"/>
              </w:rPr>
              <w:t>ه4.3 آليات وبرامج تعاونية معزّزة ومكيّفة حسب احتياجات البلدان النامية والبلدان الأقل نمواً و</w:t>
            </w:r>
            <w:r w:rsidR="00AF6433">
              <w:rPr>
                <w:rFonts w:ascii="Arabic Typesetting" w:eastAsia="Arabic Typesetting" w:hAnsi="Arabic Typesetting" w:cs="Arabic Typesetting"/>
                <w:color w:val="000000"/>
                <w:sz w:val="28"/>
                <w:szCs w:val="28"/>
                <w:rtl/>
                <w:lang w:eastAsia="ar-EG" w:bidi="ar-EG"/>
              </w:rPr>
              <w:t>البلدان المتحولة</w:t>
            </w:r>
          </w:p>
        </w:tc>
      </w:tr>
      <w:tr w:rsidR="00CE6E0B" w:rsidRPr="00CA365F" w14:paraId="4AE6BCED" w14:textId="77777777" w:rsidTr="00BB3820">
        <w:trPr>
          <w:cantSplit/>
        </w:trPr>
        <w:tc>
          <w:tcPr>
            <w:tcW w:w="1047" w:type="pct"/>
            <w:shd w:val="clear" w:color="auto" w:fill="auto"/>
            <w:tcMar>
              <w:left w:w="58" w:type="dxa"/>
              <w:right w:w="58" w:type="dxa"/>
            </w:tcMar>
            <w:vAlign w:val="center"/>
          </w:tcPr>
          <w:p w14:paraId="0EA22C8A" w14:textId="77777777" w:rsidR="00CE6E0B" w:rsidRPr="00CA365F" w:rsidRDefault="00CE6E0B"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مؤشرات الأداء</w:t>
            </w:r>
          </w:p>
        </w:tc>
        <w:tc>
          <w:tcPr>
            <w:tcW w:w="1291" w:type="pct"/>
            <w:shd w:val="clear" w:color="auto" w:fill="auto"/>
            <w:tcMar>
              <w:left w:w="58" w:type="dxa"/>
              <w:right w:w="58" w:type="dxa"/>
            </w:tcMar>
            <w:vAlign w:val="center"/>
          </w:tcPr>
          <w:p w14:paraId="7E9361E0" w14:textId="77777777" w:rsidR="00CE6E0B" w:rsidRPr="00CA365F" w:rsidRDefault="00CE6E0B"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أسس المقارنة</w:t>
            </w:r>
          </w:p>
        </w:tc>
        <w:tc>
          <w:tcPr>
            <w:tcW w:w="758" w:type="pct"/>
            <w:shd w:val="clear" w:color="auto" w:fill="auto"/>
            <w:tcMar>
              <w:top w:w="110" w:type="dxa"/>
              <w:left w:w="58" w:type="dxa"/>
              <w:right w:w="58" w:type="dxa"/>
            </w:tcMar>
            <w:vAlign w:val="center"/>
          </w:tcPr>
          <w:p w14:paraId="771ED3F8" w14:textId="77777777" w:rsidR="00CE6E0B" w:rsidRPr="00CA365F" w:rsidRDefault="00CE6E0B"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الأهداف</w:t>
            </w:r>
          </w:p>
        </w:tc>
        <w:tc>
          <w:tcPr>
            <w:tcW w:w="1434" w:type="pct"/>
            <w:gridSpan w:val="2"/>
            <w:shd w:val="clear" w:color="auto" w:fill="FFFFFF"/>
            <w:tcMar>
              <w:top w:w="110" w:type="dxa"/>
              <w:left w:w="58" w:type="dxa"/>
              <w:right w:w="58" w:type="dxa"/>
            </w:tcMar>
            <w:vAlign w:val="center"/>
          </w:tcPr>
          <w:p w14:paraId="74B6CC33" w14:textId="77777777" w:rsidR="00CE6E0B" w:rsidRPr="00CA365F" w:rsidRDefault="00CE6E0B"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A365F">
              <w:rPr>
                <w:rFonts w:ascii="Arabic Typesetting" w:eastAsia="Arabic Typesetting" w:hAnsi="Arabic Typesetting" w:cs="Arabic Typesetting"/>
                <w:b/>
                <w:bCs/>
                <w:sz w:val="28"/>
                <w:szCs w:val="28"/>
                <w:rtl/>
                <w:lang w:eastAsia="ar-EG" w:bidi="ar-EG"/>
              </w:rPr>
              <w:t>بيانات الأداء</w:t>
            </w:r>
          </w:p>
        </w:tc>
        <w:tc>
          <w:tcPr>
            <w:tcW w:w="470" w:type="pct"/>
            <w:shd w:val="clear" w:color="auto" w:fill="auto"/>
            <w:tcMar>
              <w:top w:w="110" w:type="dxa"/>
              <w:left w:w="58" w:type="dxa"/>
              <w:right w:w="58" w:type="dxa"/>
            </w:tcMar>
            <w:vAlign w:val="center"/>
          </w:tcPr>
          <w:p w14:paraId="23C4AB27" w14:textId="77777777" w:rsidR="00CE6E0B" w:rsidRPr="00CA365F" w:rsidRDefault="00CE6E0B"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CA365F" w14:paraId="0013DFAB" w14:textId="77777777" w:rsidTr="00BB3820">
        <w:trPr>
          <w:cantSplit/>
          <w:trHeight w:val="727"/>
        </w:trPr>
        <w:tc>
          <w:tcPr>
            <w:tcW w:w="1047" w:type="pct"/>
            <w:shd w:val="clear" w:color="auto" w:fill="auto"/>
            <w:tcMar>
              <w:left w:w="58" w:type="dxa"/>
              <w:right w:w="58" w:type="dxa"/>
            </w:tcMar>
          </w:tcPr>
          <w:p w14:paraId="10EAAE10" w14:textId="77777777" w:rsidR="00CE6E0B" w:rsidRPr="00CA365F"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عدد الشراكات القائمة</w:t>
            </w:r>
          </w:p>
        </w:tc>
        <w:tc>
          <w:tcPr>
            <w:tcW w:w="1291" w:type="pct"/>
            <w:shd w:val="clear" w:color="auto" w:fill="auto"/>
            <w:tcMar>
              <w:left w:w="58" w:type="dxa"/>
              <w:right w:w="58" w:type="dxa"/>
            </w:tcMar>
          </w:tcPr>
          <w:p w14:paraId="162446C0" w14:textId="77777777" w:rsidR="00CE6E0B" w:rsidRDefault="00CE6E0B" w:rsidP="0031289D">
            <w:pPr>
              <w:keepNext/>
              <w:keepLines/>
              <w:bidi/>
              <w:spacing w:line="280" w:lineRule="exact"/>
              <w:ind w:left="284" w:hanging="284"/>
              <w:rPr>
                <w:rFonts w:ascii="Arabic Typesetting" w:eastAsia="Arabic Typesetting" w:hAnsi="Arabic Typesetting" w:cs="Arabic Typesetting"/>
                <w:i/>
                <w:iCs/>
                <w:color w:val="002060"/>
                <w:sz w:val="28"/>
                <w:szCs w:val="28"/>
                <w:rtl/>
                <w:lang w:eastAsia="ar-EG" w:bidi="ar-EG"/>
              </w:rPr>
            </w:pPr>
            <w:r w:rsidRPr="00CA365F">
              <w:rPr>
                <w:rFonts w:ascii="Arabic Typesetting" w:eastAsia="Arabic Typesetting" w:hAnsi="Arabic Typesetting" w:cs="Arabic Typesetting"/>
                <w:i/>
                <w:iCs/>
                <w:color w:val="002060"/>
                <w:sz w:val="28"/>
                <w:szCs w:val="28"/>
                <w:rtl/>
                <w:lang w:eastAsia="ar-EG" w:bidi="ar-EG"/>
              </w:rPr>
              <w:t>أساس المقارنة المحدَّث في نهاية 2015:</w:t>
            </w:r>
          </w:p>
          <w:p w14:paraId="08BAEA4D" w14:textId="77777777" w:rsidR="00CE6E0B" w:rsidRPr="00CA365F" w:rsidRDefault="00CE6E0B" w:rsidP="0031289D">
            <w:pPr>
              <w:keepNext/>
              <w:keepLines/>
              <w:bidi/>
              <w:spacing w:after="120" w:line="280" w:lineRule="exact"/>
              <w:ind w:left="230" w:hanging="230"/>
              <w:rPr>
                <w:rFonts w:ascii="Arabic Typesetting" w:hAnsi="Arabic Typesetting" w:cs="Arabic Typesetting"/>
                <w:color w:val="002060"/>
                <w:sz w:val="28"/>
                <w:szCs w:val="28"/>
                <w:lang w:eastAsia="ja-JP" w:bidi="ar-EG"/>
              </w:rPr>
            </w:pPr>
            <w:r>
              <w:rPr>
                <w:rFonts w:ascii="Arabic Typesetting" w:hAnsi="Arabic Typesetting" w:cs="Arabic Typesetting" w:hint="cs"/>
                <w:color w:val="002060"/>
                <w:sz w:val="28"/>
                <w:szCs w:val="28"/>
                <w:rtl/>
                <w:lang w:eastAsia="ja-JP" w:bidi="ar-EG"/>
              </w:rPr>
              <w:t>-</w:t>
            </w:r>
            <w:r>
              <w:rPr>
                <w:rFonts w:ascii="Arabic Typesetting" w:hAnsi="Arabic Typesetting" w:cs="Arabic Typesetting"/>
                <w:color w:val="002060"/>
                <w:sz w:val="28"/>
                <w:szCs w:val="28"/>
                <w:rtl/>
                <w:lang w:eastAsia="ja-JP" w:bidi="ar-EG"/>
              </w:rPr>
              <w:tab/>
            </w:r>
            <w:r w:rsidRPr="00CA365F">
              <w:rPr>
                <w:rFonts w:ascii="Arabic Typesetting" w:hAnsi="Arabic Typesetting" w:cs="Arabic Typesetting"/>
                <w:color w:val="002060"/>
                <w:sz w:val="28"/>
                <w:szCs w:val="28"/>
                <w:rtl/>
                <w:lang w:eastAsia="ja-JP" w:bidi="ar-EG"/>
              </w:rPr>
              <w:t>5 مذكرات تفاهم جديدة (الدانمرك وفرنسا وألمانيا وإسرائيل وإسبانيا)</w:t>
            </w:r>
          </w:p>
          <w:p w14:paraId="05BB4872" w14:textId="77777777" w:rsidR="00CE6E0B" w:rsidRPr="00CA365F" w:rsidRDefault="00CE6E0B" w:rsidP="0031289D">
            <w:pPr>
              <w:keepNext/>
              <w:keepLines/>
              <w:bidi/>
              <w:spacing w:after="120" w:line="280" w:lineRule="exact"/>
              <w:ind w:left="230" w:hanging="230"/>
              <w:rPr>
                <w:rFonts w:ascii="Arabic Typesetting" w:hAnsi="Arabic Typesetting" w:cs="Arabic Typesetting"/>
                <w:color w:val="002060"/>
                <w:sz w:val="28"/>
                <w:szCs w:val="28"/>
                <w:lang w:eastAsia="ja-JP" w:bidi="ar-EG"/>
              </w:rPr>
            </w:pPr>
            <w:r>
              <w:rPr>
                <w:rFonts w:ascii="Arabic Typesetting" w:hAnsi="Arabic Typesetting" w:cs="Arabic Typesetting" w:hint="cs"/>
                <w:color w:val="002060"/>
                <w:sz w:val="28"/>
                <w:szCs w:val="28"/>
                <w:rtl/>
                <w:lang w:eastAsia="ja-JP" w:bidi="ar-EG"/>
              </w:rPr>
              <w:t>-</w:t>
            </w:r>
            <w:r>
              <w:rPr>
                <w:rFonts w:ascii="Arabic Typesetting" w:hAnsi="Arabic Typesetting" w:cs="Arabic Typesetting"/>
                <w:color w:val="002060"/>
                <w:sz w:val="28"/>
                <w:szCs w:val="28"/>
                <w:rtl/>
                <w:lang w:eastAsia="ja-JP" w:bidi="ar-EG"/>
              </w:rPr>
              <w:tab/>
            </w:r>
            <w:r w:rsidRPr="00EE4842">
              <w:rPr>
                <w:rFonts w:ascii="Arabic Typesetting" w:hAnsi="Arabic Typesetting" w:cs="Arabic Typesetting"/>
                <w:color w:val="002060"/>
                <w:sz w:val="28"/>
                <w:szCs w:val="28"/>
                <w:rtl/>
                <w:lang w:eastAsia="ja-JP" w:bidi="ar-EG"/>
              </w:rPr>
              <w:t>تعاون واحد (بين مكتب الولايات المتحدة للبراءات والعلامات التجارية والويبو) على ترويج قاعدة بيانات توفيق الاحتياجات في مجال تنمية الملكية الفكرية (</w:t>
            </w:r>
            <w:r w:rsidRPr="00EE4842">
              <w:rPr>
                <w:rFonts w:ascii="Arabic Typesetting" w:hAnsi="Arabic Typesetting" w:cs="Arabic Typesetting"/>
                <w:color w:val="002060"/>
                <w:sz w:val="28"/>
                <w:szCs w:val="28"/>
                <w:lang w:eastAsia="ja-JP" w:bidi="ar-EG"/>
              </w:rPr>
              <w:t>IP-DMD</w:t>
            </w:r>
            <w:r w:rsidRPr="00EE4842">
              <w:rPr>
                <w:rFonts w:ascii="Arabic Typesetting" w:hAnsi="Arabic Typesetting" w:cs="Arabic Typesetting"/>
                <w:color w:val="002060"/>
                <w:sz w:val="28"/>
                <w:szCs w:val="28"/>
                <w:rtl/>
                <w:lang w:eastAsia="ja-JP" w:bidi="ar-EG"/>
              </w:rPr>
              <w:t>)</w:t>
            </w:r>
          </w:p>
          <w:p w14:paraId="7CD6E0ED" w14:textId="3DFC8970" w:rsidR="00CE6E0B" w:rsidRPr="00CA365F" w:rsidRDefault="00CE6E0B" w:rsidP="000C4432">
            <w:pPr>
              <w:keepNext/>
              <w:keepLines/>
              <w:bidi/>
              <w:spacing w:after="120" w:line="280" w:lineRule="exact"/>
              <w:ind w:left="230" w:hanging="230"/>
              <w:rPr>
                <w:rFonts w:ascii="Arabic Typesetting" w:eastAsia="Arabic Typesetting" w:hAnsi="Arabic Typesetting" w:cs="Arabic Typesetting"/>
                <w:color w:val="000000"/>
                <w:sz w:val="28"/>
                <w:szCs w:val="28"/>
                <w:lang w:eastAsia="ar-EG" w:bidi="ar-EG"/>
              </w:rPr>
            </w:pPr>
            <w:r w:rsidRPr="00EE4842">
              <w:rPr>
                <w:rFonts w:ascii="Arabic Typesetting" w:hAnsi="Arabic Typesetting" w:cs="Arabic Typesetting"/>
                <w:color w:val="002060"/>
                <w:sz w:val="28"/>
                <w:szCs w:val="28"/>
                <w:rtl/>
                <w:lang w:eastAsia="ja-JP" w:bidi="ar-EG"/>
              </w:rPr>
              <w:t>‏</w:t>
            </w:r>
            <w:r>
              <w:rPr>
                <w:rFonts w:ascii="Arabic Typesetting" w:eastAsia="Arabic Typesetting" w:hAnsi="Arabic Typesetting" w:cs="Arabic Typesetting"/>
                <w:i/>
                <w:iCs/>
                <w:sz w:val="28"/>
                <w:szCs w:val="28"/>
                <w:rtl/>
                <w:lang w:eastAsia="ar-EG" w:bidi="ar-EG"/>
              </w:rPr>
              <w:t>أساس المقارنة الأصلي</w:t>
            </w:r>
            <w:r w:rsidRPr="00CA365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lang w:eastAsia="ar-EG" w:bidi="ar-EG"/>
              </w:rPr>
              <w:br/>
            </w:r>
            <w:r w:rsidRPr="00CA365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Pr>
                <w:rFonts w:ascii="Arabic Typesetting" w:eastAsia="Arabic Typesetting" w:hAnsi="Arabic Typesetting" w:cs="Arabic Typesetting"/>
                <w:color w:val="000000"/>
                <w:sz w:val="28"/>
                <w:szCs w:val="28"/>
                <w:rtl/>
                <w:lang w:eastAsia="ar-EG" w:bidi="ar-EG"/>
              </w:rPr>
              <w:t>توقيع 4 مذكرات تفاهم (2014)</w:t>
            </w:r>
          </w:p>
        </w:tc>
        <w:tc>
          <w:tcPr>
            <w:tcW w:w="758" w:type="pct"/>
            <w:shd w:val="clear" w:color="auto" w:fill="auto"/>
            <w:tcMar>
              <w:top w:w="110" w:type="dxa"/>
              <w:left w:w="58" w:type="dxa"/>
              <w:right w:w="58" w:type="dxa"/>
            </w:tcMar>
          </w:tcPr>
          <w:p w14:paraId="5A7FE80C" w14:textId="77777777" w:rsidR="00CE6E0B" w:rsidRPr="00CA365F"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 xml:space="preserve">إقامة 6 شراكات في مجال الملكية الفكرية </w:t>
            </w:r>
          </w:p>
        </w:tc>
        <w:tc>
          <w:tcPr>
            <w:tcW w:w="1434" w:type="pct"/>
            <w:gridSpan w:val="2"/>
            <w:shd w:val="clear" w:color="auto" w:fill="FFFFFF"/>
            <w:tcMar>
              <w:top w:w="110" w:type="dxa"/>
              <w:left w:w="58" w:type="dxa"/>
              <w:right w:w="58" w:type="dxa"/>
            </w:tcMar>
          </w:tcPr>
          <w:p w14:paraId="77F5E940" w14:textId="2763114D" w:rsidR="00CE6E0B" w:rsidRPr="00CA365F" w:rsidRDefault="00CE6E0B" w:rsidP="006A1A09">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color w:val="000000"/>
                <w:sz w:val="28"/>
                <w:szCs w:val="28"/>
                <w:rtl/>
                <w:lang w:eastAsia="ar-EG" w:bidi="ar-EG"/>
              </w:rPr>
              <w:t>إقامة 6 شراكات في مجال الملكية الفكرية:</w:t>
            </w:r>
          </w:p>
          <w:p w14:paraId="300234BC" w14:textId="77777777" w:rsidR="00CE6E0B" w:rsidRPr="00CA365F" w:rsidRDefault="00CE6E0B" w:rsidP="0031289D">
            <w:pPr>
              <w:keepNext/>
              <w:keepLines/>
              <w:numPr>
                <w:ilvl w:val="0"/>
                <w:numId w:val="19"/>
              </w:numPr>
              <w:bidi/>
              <w:spacing w:after="120" w:line="280" w:lineRule="exact"/>
              <w:contextualSpacing/>
              <w:rPr>
                <w:rFonts w:ascii="Arabic Typesetting" w:hAnsi="Arabic Typesetting" w:cs="Arabic Typesetting"/>
                <w:color w:val="000000"/>
                <w:sz w:val="28"/>
                <w:szCs w:val="28"/>
                <w:lang w:eastAsia="ja-JP" w:bidi="ar-EG"/>
              </w:rPr>
            </w:pPr>
            <w:r w:rsidRPr="00CA365F">
              <w:rPr>
                <w:rFonts w:ascii="Arabic Typesetting" w:hAnsi="Arabic Typesetting" w:cs="Arabic Typesetting"/>
                <w:color w:val="000000"/>
                <w:sz w:val="28"/>
                <w:szCs w:val="28"/>
                <w:rtl/>
                <w:lang w:eastAsia="ja-JP" w:bidi="ar-EG"/>
              </w:rPr>
              <w:t>مذكرتا تفاهم بين المعهد الوطني للملكية الصناعية (فرنسا) والويبو</w:t>
            </w:r>
          </w:p>
          <w:p w14:paraId="5FADED22" w14:textId="77777777" w:rsidR="00CE6E0B" w:rsidRPr="00CA365F" w:rsidRDefault="00CE6E0B" w:rsidP="0031289D">
            <w:pPr>
              <w:keepNext/>
              <w:keepLines/>
              <w:numPr>
                <w:ilvl w:val="0"/>
                <w:numId w:val="19"/>
              </w:numPr>
              <w:bidi/>
              <w:spacing w:after="120" w:line="280" w:lineRule="exact"/>
              <w:contextualSpacing/>
              <w:rPr>
                <w:rFonts w:ascii="Arabic Typesetting" w:hAnsi="Arabic Typesetting" w:cs="Arabic Typesetting"/>
                <w:color w:val="000000"/>
                <w:sz w:val="28"/>
                <w:szCs w:val="28"/>
                <w:lang w:eastAsia="ja-JP" w:bidi="ar-EG"/>
              </w:rPr>
            </w:pPr>
            <w:r w:rsidRPr="00CA365F">
              <w:rPr>
                <w:rFonts w:ascii="Arabic Typesetting" w:hAnsi="Arabic Typesetting" w:cs="Arabic Typesetting"/>
                <w:color w:val="000000"/>
                <w:sz w:val="28"/>
                <w:szCs w:val="28"/>
                <w:rtl/>
                <w:lang w:eastAsia="ja-JP" w:bidi="ar-EG"/>
              </w:rPr>
              <w:t>مذكرة تفاهم بين معهد كازاخستان الوطني للملكية الفكرية ومكتب الولايات المتحدة للبراءات والعلامات</w:t>
            </w:r>
            <w:r>
              <w:rPr>
                <w:rFonts w:ascii="Arabic Typesetting" w:hAnsi="Arabic Typesetting" w:cs="Arabic Typesetting" w:hint="cs"/>
                <w:color w:val="000000"/>
                <w:sz w:val="28"/>
                <w:szCs w:val="28"/>
                <w:rtl/>
                <w:lang w:eastAsia="ja-JP" w:bidi="ar-EG"/>
              </w:rPr>
              <w:t> </w:t>
            </w:r>
            <w:r w:rsidRPr="00CA365F">
              <w:rPr>
                <w:rFonts w:ascii="Arabic Typesetting" w:hAnsi="Arabic Typesetting" w:cs="Arabic Typesetting"/>
                <w:color w:val="000000"/>
                <w:sz w:val="28"/>
                <w:szCs w:val="28"/>
                <w:rtl/>
                <w:lang w:eastAsia="ja-JP" w:bidi="ar-EG"/>
              </w:rPr>
              <w:t>التجارية</w:t>
            </w:r>
          </w:p>
          <w:p w14:paraId="2E6F0D37" w14:textId="77777777" w:rsidR="00CE6E0B" w:rsidRPr="00CA365F" w:rsidRDefault="00CE6E0B" w:rsidP="0031289D">
            <w:pPr>
              <w:keepNext/>
              <w:keepLines/>
              <w:numPr>
                <w:ilvl w:val="0"/>
                <w:numId w:val="19"/>
              </w:numPr>
              <w:bidi/>
              <w:spacing w:after="120" w:line="280" w:lineRule="exact"/>
              <w:contextualSpacing/>
              <w:rPr>
                <w:rFonts w:ascii="Arabic Typesetting" w:hAnsi="Arabic Typesetting" w:cs="Arabic Typesetting"/>
                <w:color w:val="000000"/>
                <w:sz w:val="28"/>
                <w:szCs w:val="28"/>
                <w:lang w:eastAsia="ja-JP" w:bidi="ar-EG"/>
              </w:rPr>
            </w:pPr>
            <w:r w:rsidRPr="00CA365F">
              <w:rPr>
                <w:rFonts w:ascii="Arabic Typesetting" w:hAnsi="Arabic Typesetting" w:cs="Arabic Typesetting"/>
                <w:color w:val="000000"/>
                <w:sz w:val="28"/>
                <w:szCs w:val="28"/>
                <w:rtl/>
                <w:lang w:eastAsia="ja-JP" w:bidi="ar-EG"/>
              </w:rPr>
              <w:t>اتفاق بين الويبو والمنظمة اليونانية للملكية الفكرية على ترجمة وطباعة منشور للويبو (البراءات) إلى اليونانية</w:t>
            </w:r>
          </w:p>
          <w:p w14:paraId="755AC4FA" w14:textId="77777777" w:rsidR="00CE6E0B" w:rsidRPr="00CA365F" w:rsidRDefault="00CE6E0B" w:rsidP="0031289D">
            <w:pPr>
              <w:keepNext/>
              <w:keepLines/>
              <w:numPr>
                <w:ilvl w:val="0"/>
                <w:numId w:val="19"/>
              </w:numPr>
              <w:bidi/>
              <w:spacing w:after="120" w:line="280" w:lineRule="exact"/>
              <w:contextualSpacing/>
              <w:rPr>
                <w:rFonts w:ascii="Arabic Typesetting" w:hAnsi="Arabic Typesetting" w:cs="Arabic Typesetting"/>
                <w:color w:val="000000"/>
                <w:sz w:val="28"/>
                <w:szCs w:val="28"/>
                <w:lang w:eastAsia="ja-JP" w:bidi="ar-EG"/>
              </w:rPr>
            </w:pPr>
            <w:r w:rsidRPr="00CA365F">
              <w:rPr>
                <w:rFonts w:ascii="Arabic Typesetting" w:hAnsi="Arabic Typesetting" w:cs="Arabic Typesetting"/>
                <w:color w:val="000000"/>
                <w:sz w:val="28"/>
                <w:szCs w:val="28"/>
                <w:rtl/>
                <w:lang w:eastAsia="ja-JP" w:bidi="ar-EG"/>
              </w:rPr>
              <w:t>منتدى الويبو المتقدِّم العاشر بشأن الملكية الفكرية (إسرائيل)</w:t>
            </w:r>
          </w:p>
          <w:p w14:paraId="3643AE65" w14:textId="77777777" w:rsidR="00CE6E0B" w:rsidRPr="00EE4842" w:rsidRDefault="00CE6E0B" w:rsidP="0031289D">
            <w:pPr>
              <w:keepNext/>
              <w:keepLines/>
              <w:numPr>
                <w:ilvl w:val="0"/>
                <w:numId w:val="19"/>
              </w:numPr>
              <w:bidi/>
              <w:spacing w:after="120" w:line="280" w:lineRule="exact"/>
              <w:contextualSpacing/>
              <w:rPr>
                <w:rFonts w:ascii="Arabic Typesetting" w:hAnsi="Arabic Typesetting" w:cs="Arabic Typesetting"/>
                <w:color w:val="000000"/>
                <w:sz w:val="28"/>
                <w:szCs w:val="28"/>
                <w:lang w:eastAsia="ja-JP" w:bidi="ar-EG"/>
              </w:rPr>
            </w:pPr>
            <w:r w:rsidRPr="00CA365F">
              <w:rPr>
                <w:rFonts w:ascii="Arabic Typesetting" w:hAnsi="Arabic Typesetting" w:cs="Arabic Typesetting"/>
                <w:color w:val="000000"/>
                <w:sz w:val="28"/>
                <w:szCs w:val="28"/>
                <w:rtl/>
                <w:lang w:eastAsia="ja-JP" w:bidi="ar-EG"/>
              </w:rPr>
              <w:t>جامعة أونو 2016 (إسرائيل)/ندوة</w:t>
            </w:r>
            <w:r>
              <w:rPr>
                <w:rFonts w:ascii="Arabic Typesetting" w:hAnsi="Arabic Typesetting" w:cs="Arabic Typesetting" w:hint="cs"/>
                <w:color w:val="000000"/>
                <w:sz w:val="28"/>
                <w:szCs w:val="28"/>
                <w:rtl/>
                <w:lang w:eastAsia="ja-JP" w:bidi="ar-EG"/>
              </w:rPr>
              <w:t> </w:t>
            </w:r>
            <w:r w:rsidRPr="00CA365F">
              <w:rPr>
                <w:rFonts w:ascii="Arabic Typesetting" w:hAnsi="Arabic Typesetting" w:cs="Arabic Typesetting"/>
                <w:color w:val="000000"/>
                <w:sz w:val="28"/>
                <w:szCs w:val="28"/>
                <w:rtl/>
                <w:lang w:eastAsia="ja-JP" w:bidi="ar-EG"/>
              </w:rPr>
              <w:t>الويبو</w:t>
            </w:r>
          </w:p>
        </w:tc>
        <w:tc>
          <w:tcPr>
            <w:tcW w:w="470" w:type="pct"/>
            <w:shd w:val="clear" w:color="auto" w:fill="auto"/>
            <w:tcMar>
              <w:top w:w="110" w:type="dxa"/>
              <w:left w:w="58" w:type="dxa"/>
              <w:right w:w="58" w:type="dxa"/>
            </w:tcMar>
          </w:tcPr>
          <w:p w14:paraId="5D863108" w14:textId="77777777" w:rsidR="00CE6E0B" w:rsidRPr="00CA365F" w:rsidRDefault="00CE6E0B"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CA365F">
              <w:rPr>
                <w:rFonts w:ascii="Arabic Typesetting" w:eastAsia="Arabic Typesetting" w:hAnsi="Arabic Typesetting" w:cs="Arabic Typesetting"/>
                <w:b/>
                <w:bCs/>
                <w:color w:val="00B050"/>
                <w:sz w:val="28"/>
                <w:szCs w:val="28"/>
                <w:rtl/>
                <w:lang w:eastAsia="ar-EG" w:bidi="ar-EG"/>
              </w:rPr>
              <w:t>ثابت</w:t>
            </w:r>
          </w:p>
        </w:tc>
      </w:tr>
    </w:tbl>
    <w:tbl>
      <w:tblPr>
        <w:tblStyle w:val="TableGrid"/>
        <w:bidiVisual/>
        <w:tblW w:w="0" w:type="auto"/>
        <w:tblLook w:val="04A0" w:firstRow="1" w:lastRow="0" w:firstColumn="1" w:lastColumn="0" w:noHBand="0" w:noVBand="1"/>
      </w:tblPr>
      <w:tblGrid>
        <w:gridCol w:w="9571"/>
      </w:tblGrid>
      <w:tr w:rsidR="00CE6E0B" w14:paraId="49A78201" w14:textId="77777777" w:rsidTr="00BB3820">
        <w:tc>
          <w:tcPr>
            <w:tcW w:w="9571" w:type="dxa"/>
            <w:tcBorders>
              <w:top w:val="nil"/>
              <w:left w:val="nil"/>
              <w:bottom w:val="nil"/>
              <w:right w:val="nil"/>
            </w:tcBorders>
            <w:shd w:val="clear" w:color="auto" w:fill="C6D9F1"/>
            <w:vAlign w:val="center"/>
          </w:tcPr>
          <w:p w14:paraId="45683434" w14:textId="77777777" w:rsidR="00CE6E0B" w:rsidRPr="00A2672B" w:rsidRDefault="00CE6E0B"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10</w:t>
            </w:r>
          </w:p>
        </w:tc>
      </w:tr>
    </w:tbl>
    <w:p w14:paraId="3A334332" w14:textId="77777777" w:rsidR="00CE6E0B" w:rsidRPr="00FE3908"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5BA59F0B" w14:textId="77777777" w:rsidR="00CE6E0B" w:rsidRDefault="00CE6E0B"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E6E0B" w:rsidRPr="00211D55" w14:paraId="58DEE9BA"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7BD34694"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734796F2"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1C76B36F" w14:textId="77777777" w:rsidR="00CE6E0B" w:rsidRPr="00A2672B" w:rsidRDefault="00CE6E0B"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10CE63FF"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CE6E0B" w:rsidRPr="00211D55" w14:paraId="4AE1E5D7" w14:textId="77777777" w:rsidTr="00BB3820">
        <w:trPr>
          <w:trHeight w:val="55"/>
        </w:trPr>
        <w:tc>
          <w:tcPr>
            <w:tcW w:w="413" w:type="pct"/>
            <w:shd w:val="clear" w:color="auto" w:fill="auto"/>
            <w:noWrap/>
            <w:tcMar>
              <w:top w:w="15" w:type="dxa"/>
              <w:left w:w="15" w:type="dxa"/>
              <w:bottom w:w="0" w:type="dxa"/>
              <w:right w:w="15" w:type="dxa"/>
            </w:tcMar>
          </w:tcPr>
          <w:p w14:paraId="7AB97855"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ه2.1</w:t>
            </w:r>
          </w:p>
        </w:tc>
        <w:tc>
          <w:tcPr>
            <w:tcW w:w="2340" w:type="pct"/>
            <w:shd w:val="clear" w:color="auto" w:fill="auto"/>
            <w:tcMar>
              <w:top w:w="15" w:type="dxa"/>
              <w:left w:w="15" w:type="dxa"/>
              <w:bottom w:w="0" w:type="dxa"/>
              <w:right w:w="15" w:type="dxa"/>
            </w:tcMar>
          </w:tcPr>
          <w:p w14:paraId="384A4712" w14:textId="17B972B5" w:rsidR="00CE6E0B" w:rsidRPr="00CA365F" w:rsidRDefault="009834B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مكيّفة ومتوازنة في مجال الملكية الفكرية</w:t>
            </w:r>
          </w:p>
        </w:tc>
        <w:tc>
          <w:tcPr>
            <w:tcW w:w="749" w:type="pct"/>
            <w:shd w:val="clear" w:color="auto" w:fill="auto"/>
            <w:tcMar>
              <w:top w:w="15" w:type="dxa"/>
              <w:left w:w="15" w:type="dxa"/>
              <w:bottom w:w="0" w:type="dxa"/>
              <w:right w:w="15" w:type="dxa"/>
            </w:tcMar>
            <w:vAlign w:val="center"/>
          </w:tcPr>
          <w:p w14:paraId="1495507D"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833</w:t>
            </w:r>
          </w:p>
        </w:tc>
        <w:tc>
          <w:tcPr>
            <w:tcW w:w="749" w:type="pct"/>
            <w:shd w:val="clear" w:color="auto" w:fill="auto"/>
            <w:tcMar>
              <w:top w:w="15" w:type="dxa"/>
              <w:left w:w="15" w:type="dxa"/>
              <w:bottom w:w="0" w:type="dxa"/>
              <w:right w:w="15" w:type="dxa"/>
            </w:tcMar>
            <w:vAlign w:val="center"/>
          </w:tcPr>
          <w:p w14:paraId="3F3D81CF"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752</w:t>
            </w:r>
          </w:p>
        </w:tc>
        <w:tc>
          <w:tcPr>
            <w:tcW w:w="749" w:type="pct"/>
            <w:shd w:val="clear" w:color="auto" w:fill="auto"/>
            <w:noWrap/>
            <w:tcMar>
              <w:top w:w="15" w:type="dxa"/>
              <w:left w:w="15" w:type="dxa"/>
              <w:bottom w:w="0" w:type="dxa"/>
              <w:right w:w="15" w:type="dxa"/>
            </w:tcMar>
            <w:vAlign w:val="center"/>
          </w:tcPr>
          <w:p w14:paraId="35A9B718"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339</w:t>
            </w:r>
          </w:p>
        </w:tc>
      </w:tr>
      <w:tr w:rsidR="00CE6E0B" w:rsidRPr="00211D55" w14:paraId="66D91B4D" w14:textId="77777777" w:rsidTr="00BB3820">
        <w:trPr>
          <w:trHeight w:val="55"/>
        </w:trPr>
        <w:tc>
          <w:tcPr>
            <w:tcW w:w="413" w:type="pct"/>
            <w:shd w:val="clear" w:color="auto" w:fill="auto"/>
            <w:noWrap/>
            <w:tcMar>
              <w:top w:w="15" w:type="dxa"/>
              <w:left w:w="15" w:type="dxa"/>
              <w:bottom w:w="0" w:type="dxa"/>
              <w:right w:w="15" w:type="dxa"/>
            </w:tcMar>
          </w:tcPr>
          <w:p w14:paraId="573B45F1"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ه1.2</w:t>
            </w:r>
          </w:p>
        </w:tc>
        <w:tc>
          <w:tcPr>
            <w:tcW w:w="2340" w:type="pct"/>
            <w:shd w:val="clear" w:color="auto" w:fill="auto"/>
            <w:tcMar>
              <w:top w:w="15" w:type="dxa"/>
              <w:left w:w="15" w:type="dxa"/>
              <w:bottom w:w="0" w:type="dxa"/>
              <w:right w:w="15" w:type="dxa"/>
            </w:tcMar>
          </w:tcPr>
          <w:p w14:paraId="17F70A6A"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ه1.2 استخدام نظام معاهدة التعاون بشأن البراءات على نطاق أوسع وبفعالية أكبر لإيداع طلبات البراءات الدولية</w:t>
            </w:r>
          </w:p>
        </w:tc>
        <w:tc>
          <w:tcPr>
            <w:tcW w:w="749" w:type="pct"/>
            <w:shd w:val="clear" w:color="auto" w:fill="auto"/>
            <w:tcMar>
              <w:top w:w="15" w:type="dxa"/>
              <w:left w:w="15" w:type="dxa"/>
              <w:bottom w:w="0" w:type="dxa"/>
              <w:right w:w="15" w:type="dxa"/>
            </w:tcMar>
            <w:vAlign w:val="center"/>
          </w:tcPr>
          <w:p w14:paraId="7B575281"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1 170</w:t>
            </w:r>
          </w:p>
        </w:tc>
        <w:tc>
          <w:tcPr>
            <w:tcW w:w="749" w:type="pct"/>
            <w:shd w:val="clear" w:color="auto" w:fill="auto"/>
            <w:tcMar>
              <w:top w:w="15" w:type="dxa"/>
              <w:left w:w="15" w:type="dxa"/>
              <w:bottom w:w="0" w:type="dxa"/>
              <w:right w:w="15" w:type="dxa"/>
            </w:tcMar>
            <w:vAlign w:val="center"/>
          </w:tcPr>
          <w:p w14:paraId="60052270"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1 295</w:t>
            </w:r>
          </w:p>
        </w:tc>
        <w:tc>
          <w:tcPr>
            <w:tcW w:w="749" w:type="pct"/>
            <w:shd w:val="clear" w:color="auto" w:fill="auto"/>
            <w:noWrap/>
            <w:tcMar>
              <w:top w:w="15" w:type="dxa"/>
              <w:left w:w="15" w:type="dxa"/>
              <w:bottom w:w="0" w:type="dxa"/>
              <w:right w:w="15" w:type="dxa"/>
            </w:tcMar>
            <w:vAlign w:val="center"/>
          </w:tcPr>
          <w:p w14:paraId="4006FB07"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602</w:t>
            </w:r>
          </w:p>
        </w:tc>
      </w:tr>
      <w:tr w:rsidR="00CE6E0B" w:rsidRPr="00211D55" w14:paraId="47B70B05" w14:textId="77777777" w:rsidTr="00BB3820">
        <w:trPr>
          <w:trHeight w:val="735"/>
        </w:trPr>
        <w:tc>
          <w:tcPr>
            <w:tcW w:w="413" w:type="pct"/>
            <w:shd w:val="clear" w:color="auto" w:fill="auto"/>
            <w:noWrap/>
            <w:tcMar>
              <w:top w:w="15" w:type="dxa"/>
              <w:left w:w="15" w:type="dxa"/>
              <w:bottom w:w="0" w:type="dxa"/>
              <w:right w:w="15" w:type="dxa"/>
            </w:tcMar>
          </w:tcPr>
          <w:p w14:paraId="31F9380F"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ه4.2</w:t>
            </w:r>
          </w:p>
        </w:tc>
        <w:tc>
          <w:tcPr>
            <w:tcW w:w="2340" w:type="pct"/>
            <w:shd w:val="clear" w:color="auto" w:fill="auto"/>
            <w:tcMar>
              <w:top w:w="15" w:type="dxa"/>
              <w:left w:w="15" w:type="dxa"/>
              <w:bottom w:w="0" w:type="dxa"/>
              <w:right w:w="15" w:type="dxa"/>
            </w:tcMar>
          </w:tcPr>
          <w:p w14:paraId="40E85E2F"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ه4.2 استخدام نظام لاهاي على نطاق أوسع وبفعالية أكبر، بما في ذلك من قبل البلدان النامية والبلدان الأقل نموا</w:t>
            </w:r>
          </w:p>
        </w:tc>
        <w:tc>
          <w:tcPr>
            <w:tcW w:w="749" w:type="pct"/>
            <w:shd w:val="clear" w:color="auto" w:fill="auto"/>
            <w:tcMar>
              <w:top w:w="15" w:type="dxa"/>
              <w:left w:w="15" w:type="dxa"/>
              <w:bottom w:w="0" w:type="dxa"/>
              <w:right w:w="15" w:type="dxa"/>
            </w:tcMar>
            <w:vAlign w:val="center"/>
          </w:tcPr>
          <w:p w14:paraId="2D71F689"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550</w:t>
            </w:r>
          </w:p>
        </w:tc>
        <w:tc>
          <w:tcPr>
            <w:tcW w:w="749" w:type="pct"/>
            <w:shd w:val="clear" w:color="auto" w:fill="auto"/>
            <w:tcMar>
              <w:top w:w="15" w:type="dxa"/>
              <w:left w:w="15" w:type="dxa"/>
              <w:bottom w:w="0" w:type="dxa"/>
              <w:right w:w="15" w:type="dxa"/>
            </w:tcMar>
            <w:vAlign w:val="center"/>
          </w:tcPr>
          <w:p w14:paraId="080BA7DC"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528</w:t>
            </w:r>
          </w:p>
        </w:tc>
        <w:tc>
          <w:tcPr>
            <w:tcW w:w="749" w:type="pct"/>
            <w:shd w:val="clear" w:color="auto" w:fill="auto"/>
            <w:noWrap/>
            <w:tcMar>
              <w:top w:w="15" w:type="dxa"/>
              <w:left w:w="15" w:type="dxa"/>
              <w:bottom w:w="0" w:type="dxa"/>
              <w:right w:w="15" w:type="dxa"/>
            </w:tcMar>
            <w:vAlign w:val="center"/>
          </w:tcPr>
          <w:p w14:paraId="42335E57"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241</w:t>
            </w:r>
          </w:p>
        </w:tc>
      </w:tr>
      <w:tr w:rsidR="00CE6E0B" w:rsidRPr="00211D55" w14:paraId="3D4D57B3" w14:textId="77777777" w:rsidTr="00BB3820">
        <w:trPr>
          <w:trHeight w:val="735"/>
        </w:trPr>
        <w:tc>
          <w:tcPr>
            <w:tcW w:w="413" w:type="pct"/>
            <w:shd w:val="clear" w:color="auto" w:fill="auto"/>
            <w:noWrap/>
            <w:tcMar>
              <w:top w:w="15" w:type="dxa"/>
              <w:left w:w="15" w:type="dxa"/>
              <w:bottom w:w="0" w:type="dxa"/>
              <w:right w:w="15" w:type="dxa"/>
            </w:tcMar>
          </w:tcPr>
          <w:p w14:paraId="542E895F"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ه6.2</w:t>
            </w:r>
          </w:p>
        </w:tc>
        <w:tc>
          <w:tcPr>
            <w:tcW w:w="2340" w:type="pct"/>
            <w:shd w:val="clear" w:color="auto" w:fill="auto"/>
            <w:tcMar>
              <w:top w:w="15" w:type="dxa"/>
              <w:left w:w="15" w:type="dxa"/>
              <w:bottom w:w="0" w:type="dxa"/>
              <w:right w:w="15" w:type="dxa"/>
            </w:tcMar>
          </w:tcPr>
          <w:p w14:paraId="1858D117"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استخدام نظام مدريد على نطاق أوسع وبفعالية أكبر، بما في ذلك من قبل البلدان النامية والبلدان الأقل نموا</w:t>
            </w:r>
          </w:p>
        </w:tc>
        <w:tc>
          <w:tcPr>
            <w:tcW w:w="749" w:type="pct"/>
            <w:shd w:val="clear" w:color="auto" w:fill="auto"/>
            <w:tcMar>
              <w:top w:w="15" w:type="dxa"/>
              <w:left w:w="15" w:type="dxa"/>
              <w:bottom w:w="0" w:type="dxa"/>
              <w:right w:w="15" w:type="dxa"/>
            </w:tcMar>
            <w:vAlign w:val="center"/>
          </w:tcPr>
          <w:p w14:paraId="225A0F16"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526</w:t>
            </w:r>
          </w:p>
        </w:tc>
        <w:tc>
          <w:tcPr>
            <w:tcW w:w="749" w:type="pct"/>
            <w:shd w:val="clear" w:color="auto" w:fill="auto"/>
            <w:tcMar>
              <w:top w:w="15" w:type="dxa"/>
              <w:left w:w="15" w:type="dxa"/>
              <w:bottom w:w="0" w:type="dxa"/>
              <w:right w:w="15" w:type="dxa"/>
            </w:tcMar>
            <w:vAlign w:val="center"/>
          </w:tcPr>
          <w:p w14:paraId="74018D84"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555</w:t>
            </w:r>
          </w:p>
        </w:tc>
        <w:tc>
          <w:tcPr>
            <w:tcW w:w="749" w:type="pct"/>
            <w:shd w:val="clear" w:color="auto" w:fill="auto"/>
            <w:noWrap/>
            <w:tcMar>
              <w:top w:w="15" w:type="dxa"/>
              <w:left w:w="15" w:type="dxa"/>
              <w:bottom w:w="0" w:type="dxa"/>
              <w:right w:w="15" w:type="dxa"/>
            </w:tcMar>
            <w:vAlign w:val="center"/>
          </w:tcPr>
          <w:p w14:paraId="7A9EE893"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245</w:t>
            </w:r>
          </w:p>
        </w:tc>
      </w:tr>
      <w:tr w:rsidR="00CE6E0B" w:rsidRPr="00211D55" w14:paraId="7C027BDB" w14:textId="77777777" w:rsidTr="00BB3820">
        <w:trPr>
          <w:trHeight w:val="735"/>
        </w:trPr>
        <w:tc>
          <w:tcPr>
            <w:tcW w:w="413" w:type="pct"/>
            <w:shd w:val="clear" w:color="auto" w:fill="auto"/>
            <w:noWrap/>
            <w:tcMar>
              <w:top w:w="15" w:type="dxa"/>
              <w:left w:w="15" w:type="dxa"/>
              <w:bottom w:w="0" w:type="dxa"/>
              <w:right w:w="15" w:type="dxa"/>
            </w:tcMar>
          </w:tcPr>
          <w:p w14:paraId="5B2A3116"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ه8.2</w:t>
            </w:r>
          </w:p>
        </w:tc>
        <w:tc>
          <w:tcPr>
            <w:tcW w:w="2340" w:type="pct"/>
            <w:shd w:val="clear" w:color="auto" w:fill="auto"/>
            <w:tcMar>
              <w:top w:w="15" w:type="dxa"/>
              <w:left w:w="15" w:type="dxa"/>
              <w:bottom w:w="0" w:type="dxa"/>
              <w:right w:w="15" w:type="dxa"/>
            </w:tcMar>
          </w:tcPr>
          <w:p w14:paraId="7CAA08A2" w14:textId="7828DB18" w:rsidR="00CE6E0B" w:rsidRPr="00CA365F" w:rsidRDefault="009834B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تزايد تفادي نشوء المنازعات المتعلقة بالملكية الفكرية دوليا وداخليا أو تسويتها عبر الوساطة والتحكيم وغيرها من أساليب الويبو البديلة لتسوية المنازعات</w:t>
            </w:r>
          </w:p>
        </w:tc>
        <w:tc>
          <w:tcPr>
            <w:tcW w:w="749" w:type="pct"/>
            <w:shd w:val="clear" w:color="auto" w:fill="auto"/>
            <w:tcMar>
              <w:top w:w="15" w:type="dxa"/>
              <w:left w:w="15" w:type="dxa"/>
              <w:bottom w:w="0" w:type="dxa"/>
              <w:right w:w="15" w:type="dxa"/>
            </w:tcMar>
            <w:vAlign w:val="center"/>
          </w:tcPr>
          <w:p w14:paraId="221A216B"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343</w:t>
            </w:r>
          </w:p>
        </w:tc>
        <w:tc>
          <w:tcPr>
            <w:tcW w:w="749" w:type="pct"/>
            <w:shd w:val="clear" w:color="auto" w:fill="auto"/>
            <w:tcMar>
              <w:top w:w="15" w:type="dxa"/>
              <w:left w:w="15" w:type="dxa"/>
              <w:bottom w:w="0" w:type="dxa"/>
              <w:right w:w="15" w:type="dxa"/>
            </w:tcMar>
            <w:vAlign w:val="center"/>
          </w:tcPr>
          <w:p w14:paraId="5F80D55E"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352</w:t>
            </w:r>
          </w:p>
        </w:tc>
        <w:tc>
          <w:tcPr>
            <w:tcW w:w="749" w:type="pct"/>
            <w:shd w:val="clear" w:color="auto" w:fill="auto"/>
            <w:noWrap/>
            <w:tcMar>
              <w:top w:w="15" w:type="dxa"/>
              <w:left w:w="15" w:type="dxa"/>
              <w:bottom w:w="0" w:type="dxa"/>
              <w:right w:w="15" w:type="dxa"/>
            </w:tcMar>
            <w:vAlign w:val="center"/>
          </w:tcPr>
          <w:p w14:paraId="6C866CA2"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152</w:t>
            </w:r>
          </w:p>
        </w:tc>
      </w:tr>
      <w:tr w:rsidR="00CE6E0B" w:rsidRPr="00211D55" w14:paraId="38124010" w14:textId="77777777" w:rsidTr="00BB3820">
        <w:trPr>
          <w:trHeight w:val="735"/>
        </w:trPr>
        <w:tc>
          <w:tcPr>
            <w:tcW w:w="413" w:type="pct"/>
            <w:shd w:val="clear" w:color="auto" w:fill="auto"/>
            <w:noWrap/>
            <w:tcMar>
              <w:top w:w="15" w:type="dxa"/>
              <w:left w:w="15" w:type="dxa"/>
              <w:bottom w:w="0" w:type="dxa"/>
              <w:right w:w="15" w:type="dxa"/>
            </w:tcMar>
          </w:tcPr>
          <w:p w14:paraId="06568E40"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ه10.2</w:t>
            </w:r>
          </w:p>
        </w:tc>
        <w:tc>
          <w:tcPr>
            <w:tcW w:w="2340" w:type="pct"/>
            <w:shd w:val="clear" w:color="auto" w:fill="auto"/>
            <w:tcMar>
              <w:top w:w="15" w:type="dxa"/>
              <w:left w:w="15" w:type="dxa"/>
              <w:bottom w:w="0" w:type="dxa"/>
              <w:right w:w="15" w:type="dxa"/>
            </w:tcMar>
          </w:tcPr>
          <w:p w14:paraId="419BF34F"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استخدام نظام مدريد على نطاق أوسع وبفعالية أكبر، بما في ذلك من قبل البلدان النامية والبلدان الأقل نموا</w:t>
            </w:r>
          </w:p>
        </w:tc>
        <w:tc>
          <w:tcPr>
            <w:tcW w:w="749" w:type="pct"/>
            <w:shd w:val="clear" w:color="auto" w:fill="auto"/>
            <w:tcMar>
              <w:top w:w="15" w:type="dxa"/>
              <w:left w:w="15" w:type="dxa"/>
              <w:bottom w:w="0" w:type="dxa"/>
              <w:right w:w="15" w:type="dxa"/>
            </w:tcMar>
            <w:vAlign w:val="center"/>
          </w:tcPr>
          <w:p w14:paraId="16D1F12C"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111</w:t>
            </w:r>
          </w:p>
        </w:tc>
        <w:tc>
          <w:tcPr>
            <w:tcW w:w="749" w:type="pct"/>
            <w:shd w:val="clear" w:color="auto" w:fill="auto"/>
            <w:tcMar>
              <w:top w:w="15" w:type="dxa"/>
              <w:left w:w="15" w:type="dxa"/>
              <w:bottom w:w="0" w:type="dxa"/>
              <w:right w:w="15" w:type="dxa"/>
            </w:tcMar>
            <w:vAlign w:val="center"/>
          </w:tcPr>
          <w:p w14:paraId="0F1DE5CD"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128</w:t>
            </w:r>
          </w:p>
        </w:tc>
        <w:tc>
          <w:tcPr>
            <w:tcW w:w="749" w:type="pct"/>
            <w:shd w:val="clear" w:color="auto" w:fill="auto"/>
            <w:noWrap/>
            <w:tcMar>
              <w:top w:w="15" w:type="dxa"/>
              <w:left w:w="15" w:type="dxa"/>
              <w:bottom w:w="0" w:type="dxa"/>
              <w:right w:w="15" w:type="dxa"/>
            </w:tcMar>
            <w:vAlign w:val="center"/>
          </w:tcPr>
          <w:p w14:paraId="0905A186"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66</w:t>
            </w:r>
          </w:p>
        </w:tc>
      </w:tr>
      <w:tr w:rsidR="00CE6E0B" w:rsidRPr="00211D55" w14:paraId="1A113ECD" w14:textId="77777777" w:rsidTr="00BB3820">
        <w:trPr>
          <w:trHeight w:val="735"/>
        </w:trPr>
        <w:tc>
          <w:tcPr>
            <w:tcW w:w="413" w:type="pct"/>
            <w:shd w:val="clear" w:color="auto" w:fill="auto"/>
            <w:noWrap/>
            <w:tcMar>
              <w:top w:w="15" w:type="dxa"/>
              <w:left w:w="15" w:type="dxa"/>
              <w:bottom w:w="0" w:type="dxa"/>
              <w:right w:w="15" w:type="dxa"/>
            </w:tcMar>
          </w:tcPr>
          <w:p w14:paraId="2F306A00"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ه1.3</w:t>
            </w:r>
          </w:p>
        </w:tc>
        <w:tc>
          <w:tcPr>
            <w:tcW w:w="2340" w:type="pct"/>
            <w:shd w:val="clear" w:color="auto" w:fill="auto"/>
            <w:tcMar>
              <w:top w:w="15" w:type="dxa"/>
              <w:left w:w="15" w:type="dxa"/>
              <w:bottom w:w="0" w:type="dxa"/>
              <w:right w:w="15" w:type="dxa"/>
            </w:tcMar>
          </w:tcPr>
          <w:p w14:paraId="6F5F40B6"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ه1.3 استراتيجيات وخطط وطنية في مجالي الابتكار والملكية الفكرية تتماشى مع الأهداف الإنمائية الوطنية</w:t>
            </w:r>
          </w:p>
        </w:tc>
        <w:tc>
          <w:tcPr>
            <w:tcW w:w="749" w:type="pct"/>
            <w:shd w:val="clear" w:color="auto" w:fill="auto"/>
            <w:tcMar>
              <w:top w:w="15" w:type="dxa"/>
              <w:left w:w="15" w:type="dxa"/>
              <w:bottom w:w="0" w:type="dxa"/>
              <w:right w:w="15" w:type="dxa"/>
            </w:tcMar>
            <w:vAlign w:val="center"/>
          </w:tcPr>
          <w:p w14:paraId="34428798"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1 497</w:t>
            </w:r>
          </w:p>
        </w:tc>
        <w:tc>
          <w:tcPr>
            <w:tcW w:w="749" w:type="pct"/>
            <w:shd w:val="clear" w:color="auto" w:fill="auto"/>
            <w:tcMar>
              <w:top w:w="15" w:type="dxa"/>
              <w:left w:w="15" w:type="dxa"/>
              <w:bottom w:w="0" w:type="dxa"/>
              <w:right w:w="15" w:type="dxa"/>
            </w:tcMar>
            <w:vAlign w:val="center"/>
          </w:tcPr>
          <w:p w14:paraId="7758A742"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1 791</w:t>
            </w:r>
          </w:p>
        </w:tc>
        <w:tc>
          <w:tcPr>
            <w:tcW w:w="749" w:type="pct"/>
            <w:shd w:val="clear" w:color="auto" w:fill="auto"/>
            <w:noWrap/>
            <w:tcMar>
              <w:top w:w="15" w:type="dxa"/>
              <w:left w:w="15" w:type="dxa"/>
              <w:bottom w:w="0" w:type="dxa"/>
              <w:right w:w="15" w:type="dxa"/>
            </w:tcMar>
            <w:vAlign w:val="center"/>
          </w:tcPr>
          <w:p w14:paraId="1F159566"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777</w:t>
            </w:r>
          </w:p>
        </w:tc>
      </w:tr>
      <w:tr w:rsidR="00CE6E0B" w:rsidRPr="00211D55" w14:paraId="4F22AF41" w14:textId="77777777" w:rsidTr="00BB3820">
        <w:trPr>
          <w:trHeight w:val="735"/>
        </w:trPr>
        <w:tc>
          <w:tcPr>
            <w:tcW w:w="413" w:type="pct"/>
            <w:shd w:val="clear" w:color="auto" w:fill="auto"/>
            <w:noWrap/>
            <w:tcMar>
              <w:top w:w="15" w:type="dxa"/>
              <w:left w:w="15" w:type="dxa"/>
              <w:bottom w:w="0" w:type="dxa"/>
              <w:right w:w="15" w:type="dxa"/>
            </w:tcMar>
          </w:tcPr>
          <w:p w14:paraId="22A302A9"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ه2.3</w:t>
            </w:r>
          </w:p>
        </w:tc>
        <w:tc>
          <w:tcPr>
            <w:tcW w:w="2340" w:type="pct"/>
            <w:shd w:val="clear" w:color="auto" w:fill="auto"/>
            <w:tcMar>
              <w:top w:w="15" w:type="dxa"/>
              <w:left w:w="15" w:type="dxa"/>
              <w:bottom w:w="0" w:type="dxa"/>
              <w:right w:w="15" w:type="dxa"/>
            </w:tcMar>
          </w:tcPr>
          <w:p w14:paraId="62A9CC1C"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كفاءات</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‏معزَّزة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‏للموارد</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‏البشرية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‏القادرة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‏على</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‏تلبية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‏تشكيلة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‏واسعة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‏من المتطلبات</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‏لتسخير</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‏الملكية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‏الفكرية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‏بفعالية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‏لأغراض</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‏التنمية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‏في</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‏البلدان</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‏النامية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‏والبلدان</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‏الأقل</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‏نموا</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‏والبلدان</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‏المنتقلة</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‏إلى</w:t>
            </w:r>
            <w:r w:rsidRPr="00CA365F">
              <w:rPr>
                <w:rFonts w:ascii="Arabic Typesetting" w:hAnsi="Arabic Typesetting" w:cs="Arabic Typesetting"/>
                <w:sz w:val="28"/>
                <w:szCs w:val="28"/>
                <w:cs/>
              </w:rPr>
              <w:t>‎</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w:t>
            </w:r>
            <w:r>
              <w:rPr>
                <w:rFonts w:ascii="Arabic Typesetting" w:hAnsi="Arabic Typesetting" w:cs="Arabic Typesetting" w:hint="cs"/>
                <w:sz w:val="28"/>
                <w:szCs w:val="28"/>
                <w:rtl/>
              </w:rPr>
              <w:t>نظام الاقتصاد</w:t>
            </w:r>
            <w:r w:rsidRPr="00CA365F">
              <w:rPr>
                <w:rFonts w:ascii="Arabic Typesetting" w:hAnsi="Arabic Typesetting" w:cs="Arabic Typesetting"/>
                <w:sz w:val="28"/>
                <w:szCs w:val="28"/>
              </w:rPr>
              <w:t xml:space="preserve"> </w:t>
            </w:r>
            <w:r w:rsidRPr="00CA365F">
              <w:rPr>
                <w:rFonts w:ascii="Arabic Typesetting" w:hAnsi="Arabic Typesetting" w:cs="Arabic Typesetting"/>
                <w:sz w:val="28"/>
                <w:szCs w:val="28"/>
                <w:rtl/>
              </w:rPr>
              <w:t>‏الحر</w:t>
            </w:r>
          </w:p>
        </w:tc>
        <w:tc>
          <w:tcPr>
            <w:tcW w:w="749" w:type="pct"/>
            <w:shd w:val="clear" w:color="auto" w:fill="auto"/>
            <w:tcMar>
              <w:top w:w="15" w:type="dxa"/>
              <w:left w:w="15" w:type="dxa"/>
              <w:bottom w:w="0" w:type="dxa"/>
              <w:right w:w="15" w:type="dxa"/>
            </w:tcMar>
            <w:vAlign w:val="center"/>
          </w:tcPr>
          <w:p w14:paraId="27082949"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1 999</w:t>
            </w:r>
          </w:p>
        </w:tc>
        <w:tc>
          <w:tcPr>
            <w:tcW w:w="749" w:type="pct"/>
            <w:shd w:val="clear" w:color="auto" w:fill="auto"/>
            <w:tcMar>
              <w:top w:w="15" w:type="dxa"/>
              <w:left w:w="15" w:type="dxa"/>
              <w:bottom w:w="0" w:type="dxa"/>
              <w:right w:w="15" w:type="dxa"/>
            </w:tcMar>
            <w:vAlign w:val="center"/>
          </w:tcPr>
          <w:p w14:paraId="7F24AA8F"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2 000</w:t>
            </w:r>
          </w:p>
        </w:tc>
        <w:tc>
          <w:tcPr>
            <w:tcW w:w="749" w:type="pct"/>
            <w:shd w:val="clear" w:color="auto" w:fill="auto"/>
            <w:noWrap/>
            <w:tcMar>
              <w:top w:w="15" w:type="dxa"/>
              <w:left w:w="15" w:type="dxa"/>
              <w:bottom w:w="0" w:type="dxa"/>
              <w:right w:w="15" w:type="dxa"/>
            </w:tcMar>
            <w:vAlign w:val="center"/>
          </w:tcPr>
          <w:p w14:paraId="3CB0365F"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871</w:t>
            </w:r>
          </w:p>
        </w:tc>
      </w:tr>
      <w:tr w:rsidR="00CE6E0B" w:rsidRPr="00211D55" w14:paraId="713B888D" w14:textId="77777777" w:rsidTr="00BB3820">
        <w:trPr>
          <w:trHeight w:val="735"/>
        </w:trPr>
        <w:tc>
          <w:tcPr>
            <w:tcW w:w="413" w:type="pct"/>
            <w:shd w:val="clear" w:color="auto" w:fill="auto"/>
            <w:noWrap/>
            <w:tcMar>
              <w:top w:w="15" w:type="dxa"/>
              <w:left w:w="15" w:type="dxa"/>
              <w:bottom w:w="0" w:type="dxa"/>
              <w:right w:w="15" w:type="dxa"/>
            </w:tcMar>
          </w:tcPr>
          <w:p w14:paraId="00AA3B2A"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ه4.3</w:t>
            </w:r>
          </w:p>
        </w:tc>
        <w:tc>
          <w:tcPr>
            <w:tcW w:w="2340" w:type="pct"/>
            <w:shd w:val="clear" w:color="auto" w:fill="auto"/>
            <w:tcMar>
              <w:top w:w="15" w:type="dxa"/>
              <w:left w:w="15" w:type="dxa"/>
              <w:bottom w:w="0" w:type="dxa"/>
              <w:right w:w="15" w:type="dxa"/>
            </w:tcMar>
          </w:tcPr>
          <w:p w14:paraId="1DAC78FA" w14:textId="77777777" w:rsidR="00CE6E0B" w:rsidRPr="00CA365F" w:rsidRDefault="00CE6E0B" w:rsidP="0031289D">
            <w:pPr>
              <w:bidi/>
              <w:spacing w:before="120" w:after="120"/>
              <w:rPr>
                <w:rFonts w:ascii="Arabic Typesetting" w:hAnsi="Arabic Typesetting" w:cs="Arabic Typesetting"/>
                <w:sz w:val="28"/>
                <w:szCs w:val="28"/>
              </w:rPr>
            </w:pPr>
            <w:r w:rsidRPr="00CA365F">
              <w:rPr>
                <w:rFonts w:ascii="Arabic Typesetting" w:hAnsi="Arabic Typesetting" w:cs="Arabic Typesetting"/>
                <w:sz w:val="28"/>
                <w:szCs w:val="28"/>
                <w:rtl/>
              </w:rPr>
              <w:t>آليات وبرامج تعاونية معزّزة ومكيّفة حسب احتياجات البلدان النامية والبلدان الأقل نموا</w:t>
            </w:r>
          </w:p>
        </w:tc>
        <w:tc>
          <w:tcPr>
            <w:tcW w:w="749" w:type="pct"/>
            <w:shd w:val="clear" w:color="auto" w:fill="auto"/>
            <w:tcMar>
              <w:top w:w="15" w:type="dxa"/>
              <w:left w:w="15" w:type="dxa"/>
              <w:bottom w:w="0" w:type="dxa"/>
              <w:right w:w="15" w:type="dxa"/>
            </w:tcMar>
            <w:vAlign w:val="center"/>
          </w:tcPr>
          <w:p w14:paraId="7CA9C391"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890</w:t>
            </w:r>
          </w:p>
        </w:tc>
        <w:tc>
          <w:tcPr>
            <w:tcW w:w="749" w:type="pct"/>
            <w:shd w:val="clear" w:color="auto" w:fill="auto"/>
            <w:tcMar>
              <w:top w:w="15" w:type="dxa"/>
              <w:left w:w="15" w:type="dxa"/>
              <w:bottom w:w="0" w:type="dxa"/>
              <w:right w:w="15" w:type="dxa"/>
            </w:tcMar>
            <w:vAlign w:val="center"/>
          </w:tcPr>
          <w:p w14:paraId="17C09896"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911</w:t>
            </w:r>
          </w:p>
        </w:tc>
        <w:tc>
          <w:tcPr>
            <w:tcW w:w="749" w:type="pct"/>
            <w:shd w:val="clear" w:color="auto" w:fill="auto"/>
            <w:noWrap/>
            <w:tcMar>
              <w:top w:w="15" w:type="dxa"/>
              <w:left w:w="15" w:type="dxa"/>
              <w:bottom w:w="0" w:type="dxa"/>
              <w:right w:w="15" w:type="dxa"/>
            </w:tcMar>
            <w:vAlign w:val="center"/>
          </w:tcPr>
          <w:p w14:paraId="52AA7AF2"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397</w:t>
            </w:r>
          </w:p>
        </w:tc>
      </w:tr>
      <w:tr w:rsidR="00CE6E0B" w:rsidRPr="00211D55" w14:paraId="0B280CBE"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13F285FB" w14:textId="77777777" w:rsidR="00CE6E0B" w:rsidRPr="00211D55" w:rsidRDefault="00CE6E0B"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5A0AB24B" w14:textId="77777777" w:rsidR="00CE6E0B" w:rsidRPr="00D41845" w:rsidRDefault="00CE6E0B" w:rsidP="0031289D">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6766C55B"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7 919</w:t>
            </w:r>
          </w:p>
        </w:tc>
        <w:tc>
          <w:tcPr>
            <w:tcW w:w="749" w:type="pct"/>
            <w:shd w:val="clear" w:color="auto" w:fill="C6D9F1"/>
            <w:noWrap/>
            <w:tcMar>
              <w:top w:w="15" w:type="dxa"/>
              <w:left w:w="15" w:type="dxa"/>
              <w:bottom w:w="0" w:type="dxa"/>
              <w:right w:w="15" w:type="dxa"/>
            </w:tcMar>
            <w:vAlign w:val="center"/>
          </w:tcPr>
          <w:p w14:paraId="6CAE134A"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8 313</w:t>
            </w:r>
          </w:p>
        </w:tc>
        <w:tc>
          <w:tcPr>
            <w:tcW w:w="749" w:type="pct"/>
            <w:shd w:val="clear" w:color="auto" w:fill="C6D9F1"/>
            <w:noWrap/>
            <w:tcMar>
              <w:top w:w="15" w:type="dxa"/>
              <w:left w:w="15" w:type="dxa"/>
              <w:bottom w:w="0" w:type="dxa"/>
              <w:right w:w="15" w:type="dxa"/>
            </w:tcMar>
            <w:vAlign w:val="center"/>
          </w:tcPr>
          <w:p w14:paraId="6D26F8EA"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3 690</w:t>
            </w:r>
          </w:p>
        </w:tc>
      </w:tr>
      <w:tr w:rsidR="00CE6E0B" w:rsidRPr="00211D55" w14:paraId="5B9177B1"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1A7D7F83" w14:textId="77777777" w:rsidR="00CE6E0B" w:rsidRPr="00A2672B" w:rsidRDefault="00CE6E0B"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76A9967E" w14:textId="77777777" w:rsidR="00CE6E0B" w:rsidRPr="00252762" w:rsidRDefault="00CE6E0B" w:rsidP="0031289D">
      <w:pPr>
        <w:keepNext/>
        <w:pageBreakBefore/>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14:paraId="62FF4DC4" w14:textId="77777777" w:rsidR="00CE6E0B" w:rsidRPr="00DF1D8A" w:rsidRDefault="00CE6E0B"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CE6E0B" w:rsidRPr="00211D55" w14:paraId="09D00C4C" w14:textId="77777777" w:rsidTr="00BB3820">
        <w:trPr>
          <w:trHeight w:val="645"/>
        </w:trPr>
        <w:tc>
          <w:tcPr>
            <w:tcW w:w="1118" w:type="pct"/>
            <w:shd w:val="clear" w:color="auto" w:fill="C6D9F1"/>
            <w:noWrap/>
            <w:vAlign w:val="center"/>
            <w:hideMark/>
          </w:tcPr>
          <w:p w14:paraId="77574AEA" w14:textId="77777777" w:rsidR="00CE6E0B" w:rsidRPr="00211D55" w:rsidRDefault="00CE6E0B"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6AE1F6BB"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79C34A5B"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540890F3"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67AD98E9"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CE6E0B" w:rsidRPr="00211D55" w14:paraId="0CCDD0F3" w14:textId="77777777" w:rsidTr="00BB3820">
        <w:trPr>
          <w:trHeight w:val="70"/>
        </w:trPr>
        <w:tc>
          <w:tcPr>
            <w:tcW w:w="1118" w:type="pct"/>
            <w:shd w:val="clear" w:color="auto" w:fill="auto"/>
            <w:noWrap/>
            <w:vAlign w:val="center"/>
            <w:hideMark/>
          </w:tcPr>
          <w:p w14:paraId="0D74776F"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48169D2A" w14:textId="77777777" w:rsidR="00CE6E0B" w:rsidRPr="00280D1A" w:rsidRDefault="00CE6E0B"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6 021 </w:t>
            </w:r>
          </w:p>
        </w:tc>
        <w:tc>
          <w:tcPr>
            <w:tcW w:w="971" w:type="pct"/>
            <w:shd w:val="clear" w:color="auto" w:fill="auto"/>
            <w:vAlign w:val="center"/>
          </w:tcPr>
          <w:p w14:paraId="269824CF" w14:textId="77777777" w:rsidR="00CE6E0B" w:rsidRPr="00280D1A" w:rsidRDefault="00CE6E0B"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6 447 </w:t>
            </w:r>
          </w:p>
        </w:tc>
        <w:tc>
          <w:tcPr>
            <w:tcW w:w="970" w:type="pct"/>
            <w:shd w:val="clear" w:color="auto" w:fill="auto"/>
            <w:vAlign w:val="center"/>
          </w:tcPr>
          <w:p w14:paraId="35C8D6CB" w14:textId="77777777" w:rsidR="00CE6E0B" w:rsidRPr="00280D1A" w:rsidRDefault="00CE6E0B"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2 864 </w:t>
            </w:r>
          </w:p>
        </w:tc>
        <w:tc>
          <w:tcPr>
            <w:tcW w:w="970" w:type="pct"/>
            <w:shd w:val="clear" w:color="auto" w:fill="auto"/>
            <w:vAlign w:val="center"/>
          </w:tcPr>
          <w:p w14:paraId="74E4E90F" w14:textId="77777777" w:rsidR="00CE6E0B" w:rsidRPr="00280D1A" w:rsidRDefault="00CE6E0B"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%44</w:t>
            </w:r>
          </w:p>
        </w:tc>
      </w:tr>
      <w:tr w:rsidR="00CE6E0B" w:rsidRPr="00211D55" w14:paraId="106E0DD3" w14:textId="77777777" w:rsidTr="00BB3820">
        <w:trPr>
          <w:trHeight w:val="70"/>
        </w:trPr>
        <w:tc>
          <w:tcPr>
            <w:tcW w:w="1118" w:type="pct"/>
            <w:shd w:val="clear" w:color="auto" w:fill="auto"/>
            <w:noWrap/>
            <w:vAlign w:val="center"/>
            <w:hideMark/>
          </w:tcPr>
          <w:p w14:paraId="4ED5AE5A"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768E95BF" w14:textId="77777777" w:rsidR="00CE6E0B" w:rsidRPr="00280D1A" w:rsidRDefault="00CE6E0B"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1 898 </w:t>
            </w:r>
          </w:p>
        </w:tc>
        <w:tc>
          <w:tcPr>
            <w:tcW w:w="971" w:type="pct"/>
            <w:shd w:val="clear" w:color="auto" w:fill="auto"/>
            <w:vAlign w:val="center"/>
          </w:tcPr>
          <w:p w14:paraId="5713C589" w14:textId="77777777" w:rsidR="00CE6E0B" w:rsidRPr="00280D1A" w:rsidRDefault="00CE6E0B"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1 866 </w:t>
            </w:r>
          </w:p>
        </w:tc>
        <w:tc>
          <w:tcPr>
            <w:tcW w:w="970" w:type="pct"/>
            <w:shd w:val="clear" w:color="auto" w:fill="auto"/>
            <w:vAlign w:val="center"/>
          </w:tcPr>
          <w:p w14:paraId="2C8DEA11" w14:textId="77777777" w:rsidR="00CE6E0B" w:rsidRPr="00280D1A" w:rsidRDefault="00CE6E0B"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825 </w:t>
            </w:r>
          </w:p>
        </w:tc>
        <w:tc>
          <w:tcPr>
            <w:tcW w:w="970" w:type="pct"/>
            <w:shd w:val="clear" w:color="auto" w:fill="auto"/>
            <w:vAlign w:val="center"/>
          </w:tcPr>
          <w:p w14:paraId="5B596B16" w14:textId="77777777" w:rsidR="00CE6E0B" w:rsidRPr="00280D1A" w:rsidRDefault="00CE6E0B"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%44</w:t>
            </w:r>
          </w:p>
        </w:tc>
      </w:tr>
      <w:tr w:rsidR="00CE6E0B" w:rsidRPr="00211D55" w14:paraId="1AE1A395" w14:textId="77777777" w:rsidTr="00AF6433">
        <w:trPr>
          <w:trHeight w:val="70"/>
        </w:trPr>
        <w:tc>
          <w:tcPr>
            <w:tcW w:w="1118" w:type="pct"/>
            <w:shd w:val="clear" w:color="auto" w:fill="C6D9F1"/>
            <w:noWrap/>
            <w:vAlign w:val="center"/>
            <w:hideMark/>
          </w:tcPr>
          <w:p w14:paraId="69152188" w14:textId="77777777" w:rsidR="00CE6E0B" w:rsidRPr="00211D55" w:rsidRDefault="00CE6E0B"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6AB43BFD" w14:textId="77777777" w:rsidR="00CE6E0B" w:rsidRPr="00280D1A" w:rsidRDefault="00CE6E0B"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7 919 </w:t>
            </w:r>
          </w:p>
        </w:tc>
        <w:tc>
          <w:tcPr>
            <w:tcW w:w="971" w:type="pct"/>
            <w:shd w:val="clear" w:color="auto" w:fill="C6D9F1"/>
            <w:vAlign w:val="center"/>
          </w:tcPr>
          <w:p w14:paraId="1F6E5418" w14:textId="77777777" w:rsidR="00CE6E0B" w:rsidRPr="00280D1A" w:rsidRDefault="00CE6E0B"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8 313 </w:t>
            </w:r>
          </w:p>
        </w:tc>
        <w:tc>
          <w:tcPr>
            <w:tcW w:w="970" w:type="pct"/>
            <w:shd w:val="clear" w:color="auto" w:fill="C6D9F1"/>
            <w:vAlign w:val="center"/>
          </w:tcPr>
          <w:p w14:paraId="669CE7DF" w14:textId="77777777" w:rsidR="00CE6E0B" w:rsidRPr="00280D1A" w:rsidRDefault="00CE6E0B"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3 690 </w:t>
            </w:r>
          </w:p>
        </w:tc>
        <w:tc>
          <w:tcPr>
            <w:tcW w:w="970" w:type="pct"/>
            <w:shd w:val="clear" w:color="auto" w:fill="C6D9F1"/>
            <w:vAlign w:val="center"/>
          </w:tcPr>
          <w:p w14:paraId="2C7836F8" w14:textId="77777777" w:rsidR="00CE6E0B" w:rsidRPr="00280D1A" w:rsidRDefault="00CE6E0B"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%44</w:t>
            </w:r>
          </w:p>
        </w:tc>
      </w:tr>
      <w:tr w:rsidR="00CE6E0B" w:rsidRPr="00211D55" w14:paraId="17A401BB" w14:textId="77777777" w:rsidTr="00BB3820">
        <w:trPr>
          <w:trHeight w:val="540"/>
        </w:trPr>
        <w:tc>
          <w:tcPr>
            <w:tcW w:w="5000" w:type="pct"/>
            <w:gridSpan w:val="5"/>
            <w:shd w:val="clear" w:color="auto" w:fill="auto"/>
            <w:noWrap/>
            <w:vAlign w:val="center"/>
          </w:tcPr>
          <w:p w14:paraId="5D4D5CA6" w14:textId="77777777" w:rsidR="00CE6E0B" w:rsidRDefault="00CE6E0B"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7BE83E1E" w14:textId="77777777" w:rsidR="00CE6E0B" w:rsidRPr="00D41845" w:rsidRDefault="00CE6E0B"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09E32E17" w14:textId="77777777" w:rsidR="00CE6E0B" w:rsidRPr="00706F20" w:rsidRDefault="00CE6E0B"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6B6BE2F2" w14:textId="7F4E7639" w:rsidR="00CE6E0B" w:rsidRDefault="00CE6E0B" w:rsidP="00D94CDB">
      <w:pPr>
        <w:numPr>
          <w:ilvl w:val="1"/>
          <w:numId w:val="79"/>
        </w:numPr>
        <w:bidi/>
        <w:spacing w:after="240" w:line="360" w:lineRule="exact"/>
        <w:ind w:left="0" w:firstLine="0"/>
        <w:rPr>
          <w:rFonts w:ascii="Arabic Typesetting" w:hAnsi="Arabic Typesetting" w:cs="Arabic Typesetting"/>
          <w:sz w:val="34"/>
          <w:szCs w:val="34"/>
        </w:rPr>
      </w:pPr>
      <w:r w:rsidRPr="00CA365F">
        <w:rPr>
          <w:rFonts w:ascii="Arabic Typesetting" w:hAnsi="Arabic Typesetting" w:cs="Arabic Typesetting"/>
          <w:sz w:val="34"/>
          <w:szCs w:val="34"/>
          <w:rtl/>
        </w:rPr>
        <w:t>تُعزى الزيادة الإجمالية في ميزانية 2016/17 بعد التحويلات مقارنة بالميزانية المعتمدة 2016/17 إلى زيادة في موارد الموظفين نتيجة "1" إعادة تصنيف وظيفتين؛ "2" وتسوية وظيفة مستمرة لدعم الندوات المتنقلة في البلدان المتقدمة و</w:t>
      </w:r>
      <w:r w:rsidR="00AF6433">
        <w:rPr>
          <w:rFonts w:ascii="Arabic Typesetting" w:hAnsi="Arabic Typesetting" w:cs="Arabic Typesetting"/>
          <w:sz w:val="34"/>
          <w:szCs w:val="34"/>
          <w:rtl/>
        </w:rPr>
        <w:t>البلدان المتحولة</w:t>
      </w:r>
      <w:r w:rsidRPr="00CA365F">
        <w:rPr>
          <w:rFonts w:ascii="Arabic Typesetting" w:hAnsi="Arabic Typesetting" w:cs="Arabic Typesetting"/>
          <w:sz w:val="34"/>
          <w:szCs w:val="34"/>
          <w:rtl/>
        </w:rPr>
        <w:t>؛ "3" ونقل موظف برامج مساعد إلى البرنامج لتعزيز العمل في بلدان القوقاز وآسيا الوسطى وأوروبا الشرقية كما هو مبيَّن في النتيجة المرتقبة ه1.3 (استراتيجيات وخطط وطنية في مجا</w:t>
      </w:r>
      <w:r>
        <w:rPr>
          <w:rFonts w:ascii="Arabic Typesetting" w:hAnsi="Arabic Typesetting" w:cs="Arabic Typesetting"/>
          <w:sz w:val="34"/>
          <w:szCs w:val="34"/>
          <w:rtl/>
        </w:rPr>
        <w:t xml:space="preserve">لي الابتكار والملكية الفكرية). </w:t>
      </w:r>
      <w:r w:rsidRPr="00CA365F">
        <w:rPr>
          <w:rFonts w:ascii="Arabic Typesetting" w:hAnsi="Arabic Typesetting" w:cs="Arabic Typesetting"/>
          <w:sz w:val="34"/>
          <w:szCs w:val="34"/>
          <w:rtl/>
        </w:rPr>
        <w:t>ويعزى</w:t>
      </w:r>
      <w:r>
        <w:rPr>
          <w:rFonts w:ascii="Arabic Typesetting" w:hAnsi="Arabic Typesetting" w:cs="Arabic Typesetting" w:hint="cs"/>
          <w:sz w:val="34"/>
          <w:szCs w:val="34"/>
          <w:rtl/>
        </w:rPr>
        <w:t> </w:t>
      </w:r>
      <w:r w:rsidRPr="00CA365F">
        <w:rPr>
          <w:rFonts w:ascii="Arabic Typesetting" w:hAnsi="Arabic Typesetting" w:cs="Arabic Typesetting"/>
          <w:sz w:val="34"/>
          <w:szCs w:val="34"/>
          <w:rtl/>
        </w:rPr>
        <w:t>الانخفاض</w:t>
      </w:r>
      <w:r>
        <w:rPr>
          <w:rFonts w:ascii="Arabic Typesetting" w:hAnsi="Arabic Typesetting" w:cs="Arabic Typesetting" w:hint="cs"/>
          <w:sz w:val="34"/>
          <w:szCs w:val="34"/>
          <w:rtl/>
        </w:rPr>
        <w:t xml:space="preserve"> </w:t>
      </w:r>
      <w:r w:rsidRPr="00CA365F">
        <w:rPr>
          <w:rFonts w:ascii="Arabic Typesetting" w:hAnsi="Arabic Typesetting" w:cs="Arabic Typesetting"/>
          <w:sz w:val="34"/>
          <w:szCs w:val="34"/>
          <w:rtl/>
        </w:rPr>
        <w:t>الطفيف في خلاف موارد الموظفين إلى تحويل موارد للمتدربين إلى إدارة الموارد البشرية (البرنامج 23) التي تتولى الإدارة المركزية</w:t>
      </w:r>
      <w:r>
        <w:rPr>
          <w:rFonts w:ascii="Arabic Typesetting" w:hAnsi="Arabic Typesetting" w:cs="Arabic Typesetting" w:hint="cs"/>
          <w:sz w:val="34"/>
          <w:szCs w:val="34"/>
          <w:rtl/>
        </w:rPr>
        <w:t> </w:t>
      </w:r>
      <w:r w:rsidRPr="00CA365F">
        <w:rPr>
          <w:rFonts w:ascii="Arabic Typesetting" w:hAnsi="Arabic Typesetting" w:cs="Arabic Typesetting"/>
          <w:sz w:val="34"/>
          <w:szCs w:val="34"/>
          <w:rtl/>
        </w:rPr>
        <w:t>للمتدربين.</w:t>
      </w:r>
    </w:p>
    <w:p w14:paraId="24EE5FC4" w14:textId="77777777" w:rsidR="00CE6E0B" w:rsidRPr="00706F20" w:rsidRDefault="00CE6E0B"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67DCB3CC" w14:textId="77777777" w:rsidR="00CE6E0B" w:rsidRDefault="00CE6E0B" w:rsidP="00D94CDB">
      <w:pPr>
        <w:numPr>
          <w:ilvl w:val="1"/>
          <w:numId w:val="79"/>
        </w:numPr>
        <w:bidi/>
        <w:spacing w:after="240" w:line="360" w:lineRule="exact"/>
        <w:ind w:left="0" w:firstLine="0"/>
        <w:rPr>
          <w:rFonts w:ascii="Arabic Typesetting" w:hAnsi="Arabic Typesetting" w:cs="Arabic Typesetting"/>
          <w:sz w:val="34"/>
          <w:szCs w:val="34"/>
        </w:rPr>
      </w:pPr>
      <w:r w:rsidRPr="00CA365F">
        <w:rPr>
          <w:rFonts w:ascii="Arabic Typesetting" w:hAnsi="Arabic Typesetting" w:cs="Arabic Typesetting"/>
          <w:sz w:val="34"/>
          <w:szCs w:val="34"/>
          <w:rtl/>
        </w:rPr>
        <w:t>كانت نسبة استخدام الميزانية ضمن النطاق المتوقع المتراوح بين 40 و60 بالمئة للسنة الأولى من الثنائية.</w:t>
      </w:r>
    </w:p>
    <w:p w14:paraId="18EA91E6" w14:textId="1D5D1F39" w:rsidR="00CE6E0B" w:rsidRDefault="00CE6E0B"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3DFC06B0" w14:textId="77777777" w:rsidR="00CE6E0B" w:rsidRPr="00B30F3F" w:rsidRDefault="00CE6E0B" w:rsidP="00DA7DF7">
      <w:pPr>
        <w:pStyle w:val="Heading3"/>
        <w:ind w:left="1984" w:hanging="1984"/>
      </w:pPr>
      <w:bookmarkStart w:id="30" w:name="_Toc482782757"/>
      <w:r w:rsidRPr="00B30F3F">
        <w:rPr>
          <w:rtl/>
        </w:rPr>
        <w:lastRenderedPageBreak/>
        <w:t>البرنامج</w:t>
      </w:r>
      <w:r w:rsidRPr="00B30F3F">
        <w:rPr>
          <w:rFonts w:hint="cs"/>
          <w:rtl/>
        </w:rPr>
        <w:t xml:space="preserve"> 11:</w:t>
      </w:r>
      <w:r w:rsidRPr="00B30F3F">
        <w:tab/>
      </w:r>
      <w:r w:rsidRPr="00B30F3F">
        <w:rPr>
          <w:rtl/>
        </w:rPr>
        <w:t>أكاديمية الويبو</w:t>
      </w:r>
      <w:bookmarkEnd w:id="30"/>
    </w:p>
    <w:p w14:paraId="0899745E" w14:textId="77777777" w:rsidR="00CE6E0B" w:rsidRDefault="00CE6E0B"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AC18A4">
        <w:rPr>
          <w:rFonts w:ascii="Arabic Typesetting" w:hAnsi="Arabic Typesetting" w:cs="Arabic Typesetting"/>
          <w:b/>
          <w:bCs/>
          <w:sz w:val="36"/>
          <w:szCs w:val="36"/>
          <w:rtl/>
          <w:lang w:val="fr-CH"/>
        </w:rPr>
        <w:t>السيد ماريو ماتوس</w:t>
      </w:r>
    </w:p>
    <w:p w14:paraId="0211F93E" w14:textId="77777777" w:rsidR="00CE6E0B" w:rsidRDefault="00CE6E0B"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3641DFFD" wp14:editId="183AAD47">
            <wp:extent cx="3606152"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06152" cy="2160000"/>
                    </a:xfrm>
                    <a:prstGeom prst="rect">
                      <a:avLst/>
                    </a:prstGeom>
                    <a:noFill/>
                  </pic:spPr>
                </pic:pic>
              </a:graphicData>
            </a:graphic>
          </wp:inline>
        </w:drawing>
      </w:r>
    </w:p>
    <w:tbl>
      <w:tblPr>
        <w:bidiVisual/>
        <w:tblW w:w="5000" w:type="pct"/>
        <w:tblInd w:w="58" w:type="dxa"/>
        <w:tblLayout w:type="fixed"/>
        <w:tblCellMar>
          <w:left w:w="115" w:type="dxa"/>
          <w:right w:w="115" w:type="dxa"/>
        </w:tblCellMar>
        <w:tblLook w:val="0000" w:firstRow="0" w:lastRow="0" w:firstColumn="0" w:lastColumn="0" w:noHBand="0" w:noVBand="0"/>
      </w:tblPr>
      <w:tblGrid>
        <w:gridCol w:w="2030"/>
        <w:gridCol w:w="2510"/>
        <w:gridCol w:w="1133"/>
        <w:gridCol w:w="2826"/>
        <w:gridCol w:w="972"/>
      </w:tblGrid>
      <w:tr w:rsidR="00CE6E0B" w:rsidRPr="00AC18A4" w14:paraId="61595C8D" w14:textId="77777777" w:rsidTr="00BB3820">
        <w:trPr>
          <w:trHeight w:val="535"/>
        </w:trPr>
        <w:tc>
          <w:tcPr>
            <w:tcW w:w="5000" w:type="pct"/>
            <w:gridSpan w:val="5"/>
            <w:shd w:val="clear" w:color="auto" w:fill="C6D9F1"/>
            <w:tcMar>
              <w:left w:w="58" w:type="dxa"/>
              <w:right w:w="58" w:type="dxa"/>
            </w:tcMar>
            <w:vAlign w:val="center"/>
          </w:tcPr>
          <w:p w14:paraId="069370C1" w14:textId="77777777" w:rsidR="00CE6E0B" w:rsidRPr="00AC18A4" w:rsidRDefault="00CE6E0B" w:rsidP="0031289D">
            <w:pPr>
              <w:keepNext/>
              <w:keepLines/>
              <w:bidi/>
              <w:spacing w:before="120" w:after="120" w:line="280" w:lineRule="exact"/>
              <w:ind w:left="1134" w:hanging="1134"/>
              <w:rPr>
                <w:rFonts w:ascii="Arabic Typesetting" w:eastAsia="Arabic Typesetting" w:hAnsi="Arabic Typesetting" w:cs="Arabic Typesetting"/>
                <w:b/>
                <w:bCs/>
                <w:sz w:val="28"/>
                <w:szCs w:val="28"/>
                <w:lang w:eastAsia="ar-EG" w:bidi="ar-EG"/>
              </w:rPr>
            </w:pPr>
            <w:r w:rsidRPr="00AC18A4">
              <w:rPr>
                <w:rFonts w:ascii="Arabic Typesetting" w:eastAsia="Arabic Typesetting" w:hAnsi="Arabic Typesetting" w:cs="Arabic Typesetting"/>
                <w:b/>
                <w:bCs/>
                <w:sz w:val="28"/>
                <w:szCs w:val="28"/>
                <w:rtl/>
                <w:lang w:eastAsia="ar-EG" w:bidi="ar-EG"/>
              </w:rPr>
              <w:t>‏النتيجة المرتقبة:</w:t>
            </w:r>
            <w:r w:rsidRPr="00AC18A4">
              <w:rPr>
                <w:rFonts w:ascii="Arabic Typesetting" w:eastAsia="Arabic Typesetting" w:hAnsi="Arabic Typesetting" w:cs="Arabic Typesetting"/>
                <w:sz w:val="28"/>
                <w:szCs w:val="28"/>
                <w:lang w:eastAsia="ar-EG" w:bidi="ar-EG"/>
              </w:rPr>
              <w:tab/>
            </w:r>
            <w:r w:rsidRPr="00AC18A4">
              <w:rPr>
                <w:rFonts w:ascii="Arabic Typesetting" w:eastAsia="Arabic Typesetting" w:hAnsi="Arabic Typesetting" w:cs="Arabic Typesetting"/>
                <w:color w:val="000000"/>
                <w:sz w:val="28"/>
                <w:szCs w:val="28"/>
                <w:rtl/>
                <w:lang w:eastAsia="ar-EG" w:bidi="ar-EG"/>
              </w:rPr>
              <w:t>‏ه</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cs/>
                <w:lang w:eastAsia="ar-EG" w:bidi="ar-EG"/>
              </w:rPr>
              <w:t>2.3</w:t>
            </w:r>
            <w:r w:rsidRPr="00AC18A4">
              <w:rPr>
                <w:rFonts w:ascii="Arabic Typesetting" w:eastAsia="Arabic Typesetting" w:hAnsi="Arabic Typesetting" w:cs="Arabic Typesetting"/>
                <w:color w:val="000000"/>
                <w:sz w:val="28"/>
                <w:szCs w:val="28"/>
                <w:rtl/>
                <w:lang w:eastAsia="ar-EG" w:bidi="ar-EG"/>
              </w:rPr>
              <w:t>‏ كفاءات</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‏معزَّزة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‏للموارد</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‏البشرية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‏القادرة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‏على</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‏تلبية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‏تشكيلة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‏واسعة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‏من</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‏المتطلبات</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‏لتسخير</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‏الملكية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‏الفكرية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‏بفعالية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‏لأغراض</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‏التنمية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‏في</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‏البلدان</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‏النامية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‏والبلدان</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‏الأقل</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‏نموا</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‏والبلدان</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‏المنتقلة</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‏إلى</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نظام الاقتصاد</w:t>
            </w:r>
            <w:r w:rsidRPr="00AC18A4">
              <w:rPr>
                <w:rFonts w:ascii="Arabic Typesetting" w:eastAsia="Arabic Typesetting" w:hAnsi="Arabic Typesetting" w:cs="Arabic Typesetting"/>
                <w:color w:val="000000"/>
                <w:sz w:val="28"/>
                <w:szCs w:val="28"/>
                <w:cs/>
                <w:lang w:eastAsia="ar-EG" w:bidi="ar-EG"/>
              </w:rPr>
              <w:t>‎</w:t>
            </w:r>
            <w:r w:rsidRPr="00AC18A4">
              <w:rPr>
                <w:rFonts w:ascii="Arabic Typesetting" w:eastAsia="Arabic Typesetting" w:hAnsi="Arabic Typesetting" w:cs="Arabic Typesetting"/>
                <w:color w:val="000000"/>
                <w:sz w:val="28"/>
                <w:szCs w:val="28"/>
                <w:rtl/>
                <w:lang w:eastAsia="ar-EG" w:bidi="ar-EG"/>
              </w:rPr>
              <w:t xml:space="preserve"> ‏الحر</w:t>
            </w:r>
          </w:p>
        </w:tc>
      </w:tr>
      <w:tr w:rsidR="00CE6E0B" w:rsidRPr="00AC18A4" w14:paraId="1FC87BDE" w14:textId="77777777" w:rsidTr="00BB3820">
        <w:trPr>
          <w:trHeight w:val="156"/>
        </w:trPr>
        <w:tc>
          <w:tcPr>
            <w:tcW w:w="1072" w:type="pct"/>
            <w:shd w:val="clear" w:color="auto" w:fill="auto"/>
            <w:tcMar>
              <w:left w:w="58" w:type="dxa"/>
              <w:right w:w="58" w:type="dxa"/>
            </w:tcMar>
            <w:vAlign w:val="center"/>
          </w:tcPr>
          <w:p w14:paraId="3C408626" w14:textId="77777777" w:rsidR="00CE6E0B" w:rsidRPr="00AC18A4"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C18A4">
              <w:rPr>
                <w:rFonts w:ascii="Arabic Typesetting" w:eastAsia="Arabic Typesetting" w:hAnsi="Arabic Typesetting" w:cs="Arabic Typesetting"/>
                <w:b/>
                <w:bCs/>
                <w:sz w:val="28"/>
                <w:szCs w:val="28"/>
                <w:rtl/>
                <w:lang w:eastAsia="ar-EG" w:bidi="ar-EG"/>
              </w:rPr>
              <w:t>مؤشرات الأداء</w:t>
            </w:r>
          </w:p>
        </w:tc>
        <w:tc>
          <w:tcPr>
            <w:tcW w:w="1325" w:type="pct"/>
            <w:shd w:val="clear" w:color="auto" w:fill="auto"/>
            <w:tcMar>
              <w:left w:w="58" w:type="dxa"/>
              <w:right w:w="58" w:type="dxa"/>
            </w:tcMar>
            <w:vAlign w:val="center"/>
          </w:tcPr>
          <w:p w14:paraId="126730CE" w14:textId="77777777" w:rsidR="00CE6E0B" w:rsidRPr="00AC18A4"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C18A4">
              <w:rPr>
                <w:rFonts w:ascii="Arabic Typesetting" w:eastAsia="Arabic Typesetting" w:hAnsi="Arabic Typesetting" w:cs="Arabic Typesetting"/>
                <w:b/>
                <w:bCs/>
                <w:sz w:val="28"/>
                <w:szCs w:val="28"/>
                <w:rtl/>
                <w:lang w:eastAsia="ar-EG" w:bidi="ar-EG"/>
              </w:rPr>
              <w:t>أسس المقارنة</w:t>
            </w:r>
          </w:p>
        </w:tc>
        <w:tc>
          <w:tcPr>
            <w:tcW w:w="598" w:type="pct"/>
            <w:shd w:val="clear" w:color="auto" w:fill="auto"/>
            <w:tcMar>
              <w:top w:w="110" w:type="dxa"/>
              <w:left w:w="58" w:type="dxa"/>
              <w:right w:w="58" w:type="dxa"/>
            </w:tcMar>
            <w:vAlign w:val="center"/>
          </w:tcPr>
          <w:p w14:paraId="1BC80FE0" w14:textId="77777777" w:rsidR="00CE6E0B" w:rsidRPr="00AC18A4"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C18A4">
              <w:rPr>
                <w:rFonts w:ascii="Arabic Typesetting" w:eastAsia="Arabic Typesetting" w:hAnsi="Arabic Typesetting" w:cs="Arabic Typesetting"/>
                <w:b/>
                <w:bCs/>
                <w:sz w:val="28"/>
                <w:szCs w:val="28"/>
                <w:rtl/>
                <w:lang w:eastAsia="ar-EG" w:bidi="ar-EG"/>
              </w:rPr>
              <w:t>الأهداف</w:t>
            </w:r>
          </w:p>
        </w:tc>
        <w:tc>
          <w:tcPr>
            <w:tcW w:w="1492" w:type="pct"/>
            <w:shd w:val="clear" w:color="auto" w:fill="FFFFFF"/>
            <w:tcMar>
              <w:top w:w="110" w:type="dxa"/>
              <w:left w:w="58" w:type="dxa"/>
              <w:right w:w="58" w:type="dxa"/>
            </w:tcMar>
            <w:vAlign w:val="center"/>
          </w:tcPr>
          <w:p w14:paraId="6515D153" w14:textId="77777777" w:rsidR="00CE6E0B" w:rsidRPr="00AC18A4"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C18A4">
              <w:rPr>
                <w:rFonts w:ascii="Arabic Typesetting" w:eastAsia="Arabic Typesetting" w:hAnsi="Arabic Typesetting" w:cs="Arabic Typesetting"/>
                <w:b/>
                <w:bCs/>
                <w:sz w:val="28"/>
                <w:szCs w:val="28"/>
                <w:rtl/>
                <w:lang w:eastAsia="ar-EG" w:bidi="ar-EG"/>
              </w:rPr>
              <w:t>بيانات الأداء</w:t>
            </w:r>
          </w:p>
        </w:tc>
        <w:tc>
          <w:tcPr>
            <w:tcW w:w="513" w:type="pct"/>
            <w:shd w:val="clear" w:color="auto" w:fill="auto"/>
            <w:tcMar>
              <w:top w:w="110" w:type="dxa"/>
              <w:left w:w="58" w:type="dxa"/>
              <w:right w:w="58" w:type="dxa"/>
            </w:tcMar>
            <w:vAlign w:val="center"/>
          </w:tcPr>
          <w:p w14:paraId="110C4BE6" w14:textId="77777777" w:rsidR="00CE6E0B" w:rsidRPr="00AC18A4" w:rsidRDefault="00CE6E0B"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AC18A4">
              <w:rPr>
                <w:rFonts w:ascii="Arabic Typesetting" w:eastAsia="Arabic Typesetting" w:hAnsi="Arabic Typesetting" w:cs="Arabic Typesetting"/>
                <w:b/>
                <w:bCs/>
                <w:sz w:val="28"/>
                <w:szCs w:val="28"/>
                <w:rtl/>
                <w:lang w:eastAsia="ar-EG" w:bidi="ar-EG"/>
              </w:rPr>
              <w:t>السير</w:t>
            </w:r>
          </w:p>
        </w:tc>
      </w:tr>
      <w:tr w:rsidR="00CE6E0B" w:rsidRPr="00AC18A4" w14:paraId="7FFE87C9" w14:textId="77777777" w:rsidTr="00BB3820">
        <w:trPr>
          <w:trHeight w:val="1191"/>
        </w:trPr>
        <w:tc>
          <w:tcPr>
            <w:tcW w:w="1072" w:type="pct"/>
            <w:shd w:val="clear" w:color="auto" w:fill="auto"/>
            <w:tcMar>
              <w:left w:w="58" w:type="dxa"/>
              <w:right w:w="58" w:type="dxa"/>
            </w:tcMar>
          </w:tcPr>
          <w:p w14:paraId="6944A7CC"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 xml:space="preserve">النسبة المئوية للمتدربين والمشرفين الراضين عن البرامج التدريبية التي أُعدَّت بناءً على </w:t>
            </w:r>
            <w:r>
              <w:rPr>
                <w:rFonts w:ascii="Arabic Typesetting" w:eastAsia="Arabic Typesetting" w:hAnsi="Arabic Typesetting" w:cs="Arabic Typesetting" w:hint="cs"/>
                <w:color w:val="000000"/>
                <w:sz w:val="28"/>
                <w:szCs w:val="28"/>
                <w:rtl/>
                <w:lang w:eastAsia="ar-EG" w:bidi="ar-EG"/>
              </w:rPr>
              <w:t>عمليات</w:t>
            </w:r>
            <w:r>
              <w:rPr>
                <w:rFonts w:ascii="Arabic Typesetting" w:eastAsia="Arabic Typesetting" w:hAnsi="Arabic Typesetting" w:cs="Arabic Typesetting"/>
                <w:color w:val="000000"/>
                <w:sz w:val="28"/>
                <w:szCs w:val="28"/>
                <w:rtl/>
                <w:lang w:eastAsia="ar-EG" w:bidi="ar-EG"/>
              </w:rPr>
              <w:t xml:space="preserve"> تقييم الاحتياجات</w:t>
            </w:r>
            <w:r>
              <w:rPr>
                <w:rFonts w:ascii="Arabic Typesetting" w:eastAsia="Arabic Typesetting" w:hAnsi="Arabic Typesetting" w:cs="Arabic Typesetting"/>
                <w:color w:val="000000"/>
                <w:sz w:val="28"/>
                <w:szCs w:val="28"/>
                <w:lang w:eastAsia="ar-EG" w:bidi="ar-EG"/>
              </w:rPr>
              <w:t> </w:t>
            </w:r>
            <w:r>
              <w:rPr>
                <w:rFonts w:ascii="Arabic Typesetting" w:eastAsia="Arabic Typesetting" w:hAnsi="Arabic Typesetting" w:cs="Arabic Typesetting"/>
                <w:color w:val="000000"/>
                <w:sz w:val="28"/>
                <w:szCs w:val="28"/>
                <w:rtl/>
                <w:lang w:eastAsia="ar-EG" w:bidi="ar-EG"/>
              </w:rPr>
              <w:t>التدريبية</w:t>
            </w:r>
          </w:p>
        </w:tc>
        <w:tc>
          <w:tcPr>
            <w:tcW w:w="1325" w:type="pct"/>
            <w:shd w:val="clear" w:color="auto" w:fill="auto"/>
            <w:tcMar>
              <w:left w:w="58" w:type="dxa"/>
              <w:right w:w="58" w:type="dxa"/>
            </w:tcMar>
          </w:tcPr>
          <w:p w14:paraId="09E62723" w14:textId="77777777" w:rsidR="00CE6E0B" w:rsidRPr="00AC18A4"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AC18A4">
              <w:rPr>
                <w:rFonts w:ascii="Arabic Typesetting" w:eastAsia="Arabic Typesetting" w:hAnsi="Arabic Typesetting" w:cs="Arabic Typesetting"/>
                <w:sz w:val="28"/>
                <w:szCs w:val="28"/>
                <w:rtl/>
                <w:lang w:eastAsia="ar-EG" w:bidi="ar-EG"/>
              </w:rPr>
              <w:t xml:space="preserve">لا </w:t>
            </w:r>
            <w:r>
              <w:rPr>
                <w:rFonts w:ascii="Arabic Typesetting" w:eastAsia="Arabic Typesetting" w:hAnsi="Arabic Typesetting" w:cs="Arabic Typesetting" w:hint="cs"/>
                <w:sz w:val="28"/>
                <w:szCs w:val="28"/>
                <w:rtl/>
                <w:lang w:eastAsia="ar-EG" w:bidi="ar-EG"/>
              </w:rPr>
              <w:t>تتوفر</w:t>
            </w:r>
            <w:r>
              <w:rPr>
                <w:rFonts w:ascii="Arabic Typesetting" w:eastAsia="Arabic Typesetting" w:hAnsi="Arabic Typesetting" w:cs="Arabic Typesetting"/>
                <w:sz w:val="28"/>
                <w:szCs w:val="28"/>
                <w:rtl/>
                <w:lang w:eastAsia="ar-EG" w:bidi="ar-EG"/>
              </w:rPr>
              <w:t xml:space="preserve"> بيانات</w:t>
            </w:r>
          </w:p>
        </w:tc>
        <w:tc>
          <w:tcPr>
            <w:tcW w:w="598" w:type="pct"/>
            <w:shd w:val="clear" w:color="auto" w:fill="auto"/>
            <w:tcMar>
              <w:top w:w="110" w:type="dxa"/>
              <w:left w:w="58" w:type="dxa"/>
              <w:right w:w="58" w:type="dxa"/>
            </w:tcMar>
          </w:tcPr>
          <w:p w14:paraId="5D781E03"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70% </w:t>
            </w:r>
            <w:r w:rsidRPr="00AC18A4">
              <w:rPr>
                <w:rFonts w:ascii="Arabic Typesetting" w:eastAsia="Arabic Typesetting" w:hAnsi="Arabic Typesetting" w:cs="Arabic Typesetting"/>
                <w:color w:val="000000"/>
                <w:sz w:val="28"/>
                <w:szCs w:val="28"/>
                <w:rtl/>
                <w:lang w:eastAsia="ar-EG" w:bidi="ar-EG"/>
              </w:rPr>
              <w:t>من المجيبين</w:t>
            </w:r>
          </w:p>
        </w:tc>
        <w:tc>
          <w:tcPr>
            <w:tcW w:w="1492" w:type="pct"/>
            <w:shd w:val="clear" w:color="auto" w:fill="FFFFFF"/>
            <w:tcMar>
              <w:top w:w="110" w:type="dxa"/>
              <w:left w:w="58" w:type="dxa"/>
              <w:right w:w="58" w:type="dxa"/>
            </w:tcMar>
          </w:tcPr>
          <w:p w14:paraId="6424510C"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ستُجمع البيانات في عام 2017</w:t>
            </w:r>
          </w:p>
        </w:tc>
        <w:tc>
          <w:tcPr>
            <w:tcW w:w="513" w:type="pct"/>
            <w:shd w:val="clear" w:color="auto" w:fill="auto"/>
            <w:tcMar>
              <w:top w:w="110" w:type="dxa"/>
              <w:left w:w="58" w:type="dxa"/>
              <w:right w:w="58" w:type="dxa"/>
            </w:tcMar>
          </w:tcPr>
          <w:p w14:paraId="60463224" w14:textId="77777777" w:rsidR="00CE6E0B" w:rsidRPr="00AC18A4"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AC18A4">
              <w:rPr>
                <w:rFonts w:ascii="Arabic Typesetting" w:eastAsia="Arabic Typesetting" w:hAnsi="Arabic Typesetting" w:cs="Arabic Typesetting"/>
                <w:b/>
                <w:bCs/>
                <w:color w:val="0070C0"/>
                <w:sz w:val="28"/>
                <w:szCs w:val="28"/>
                <w:rtl/>
                <w:lang w:eastAsia="ar-EG" w:bidi="ar-EG"/>
              </w:rPr>
              <w:t>غير متاح في</w:t>
            </w:r>
            <w:r>
              <w:rPr>
                <w:rFonts w:ascii="Arabic Typesetting" w:eastAsia="Arabic Typesetting" w:hAnsi="Arabic Typesetting" w:cs="Arabic Typesetting"/>
                <w:b/>
                <w:bCs/>
                <w:color w:val="0070C0"/>
                <w:sz w:val="28"/>
                <w:szCs w:val="28"/>
                <w:lang w:eastAsia="ar-EG" w:bidi="ar-EG"/>
              </w:rPr>
              <w:t> </w:t>
            </w:r>
            <w:r w:rsidRPr="00AC18A4">
              <w:rPr>
                <w:rFonts w:ascii="Arabic Typesetting" w:eastAsia="Arabic Typesetting" w:hAnsi="Arabic Typesetting" w:cs="Arabic Typesetting"/>
                <w:b/>
                <w:bCs/>
                <w:color w:val="0070C0"/>
                <w:sz w:val="28"/>
                <w:szCs w:val="28"/>
                <w:rtl/>
                <w:lang w:eastAsia="ar-EG" w:bidi="ar-EG"/>
              </w:rPr>
              <w:t>2016</w:t>
            </w:r>
          </w:p>
        </w:tc>
      </w:tr>
      <w:tr w:rsidR="00CE6E0B" w:rsidRPr="00AC18A4" w14:paraId="2634F95A" w14:textId="77777777" w:rsidTr="00BB3820">
        <w:trPr>
          <w:trHeight w:val="588"/>
        </w:trPr>
        <w:tc>
          <w:tcPr>
            <w:tcW w:w="1072" w:type="pct"/>
            <w:shd w:val="clear" w:color="auto" w:fill="auto"/>
            <w:tcMar>
              <w:left w:w="58" w:type="dxa"/>
              <w:right w:w="58" w:type="dxa"/>
            </w:tcMar>
          </w:tcPr>
          <w:p w14:paraId="62AC1BC2"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النسبة المئوية للمشاركين الذين يستخدمون معارف ومهارات مُعزَّزة في شتى مجالات الملكية</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الفكرية</w:t>
            </w:r>
          </w:p>
        </w:tc>
        <w:tc>
          <w:tcPr>
            <w:tcW w:w="1325" w:type="pct"/>
            <w:shd w:val="clear" w:color="auto" w:fill="auto"/>
            <w:tcMar>
              <w:left w:w="58" w:type="dxa"/>
              <w:right w:w="58" w:type="dxa"/>
            </w:tcMar>
          </w:tcPr>
          <w:p w14:paraId="7FB1D77C" w14:textId="77777777" w:rsidR="00CE6E0B" w:rsidRPr="00AC18A4" w:rsidRDefault="00CE6E0B" w:rsidP="0031289D">
            <w:pPr>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hint="cs"/>
                <w:sz w:val="28"/>
                <w:szCs w:val="28"/>
                <w:rtl/>
                <w:lang w:eastAsia="ar-EG" w:bidi="ar-EG"/>
              </w:rPr>
              <w:t>لا تتوفر بيانات</w:t>
            </w:r>
          </w:p>
        </w:tc>
        <w:tc>
          <w:tcPr>
            <w:tcW w:w="598" w:type="pct"/>
            <w:shd w:val="clear" w:color="auto" w:fill="auto"/>
            <w:tcMar>
              <w:top w:w="110" w:type="dxa"/>
              <w:left w:w="58" w:type="dxa"/>
              <w:right w:w="58" w:type="dxa"/>
            </w:tcMar>
          </w:tcPr>
          <w:p w14:paraId="64A4B378"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60%</w:t>
            </w:r>
            <w:r w:rsidRPr="00AC18A4">
              <w:rPr>
                <w:rFonts w:ascii="Arabic Typesetting" w:eastAsia="Arabic Typesetting" w:hAnsi="Arabic Typesetting" w:cs="Arabic Typesetting"/>
                <w:color w:val="000000"/>
                <w:sz w:val="28"/>
                <w:szCs w:val="28"/>
                <w:rtl/>
                <w:lang w:eastAsia="ar-EG" w:bidi="ar-EG"/>
              </w:rPr>
              <w:t xml:space="preserve"> من المجيبين</w:t>
            </w:r>
          </w:p>
        </w:tc>
        <w:tc>
          <w:tcPr>
            <w:tcW w:w="1492" w:type="pct"/>
            <w:shd w:val="clear" w:color="auto" w:fill="FFFFFF"/>
            <w:tcMar>
              <w:top w:w="110" w:type="dxa"/>
              <w:left w:w="58" w:type="dxa"/>
              <w:right w:w="58" w:type="dxa"/>
            </w:tcMar>
          </w:tcPr>
          <w:p w14:paraId="1D85F383" w14:textId="77777777" w:rsidR="00CE6E0B" w:rsidRPr="00AC18A4"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ستُجمع البيانات في عام 2017</w:t>
            </w:r>
          </w:p>
        </w:tc>
        <w:tc>
          <w:tcPr>
            <w:tcW w:w="513" w:type="pct"/>
            <w:shd w:val="clear" w:color="auto" w:fill="auto"/>
            <w:tcMar>
              <w:top w:w="110" w:type="dxa"/>
              <w:left w:w="58" w:type="dxa"/>
              <w:right w:w="58" w:type="dxa"/>
            </w:tcMar>
          </w:tcPr>
          <w:p w14:paraId="36DBB82A" w14:textId="77777777" w:rsidR="00CE6E0B" w:rsidRPr="00AC18A4"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AC18A4">
              <w:rPr>
                <w:rFonts w:ascii="Arabic Typesetting" w:eastAsia="Arabic Typesetting" w:hAnsi="Arabic Typesetting" w:cs="Arabic Typesetting"/>
                <w:b/>
                <w:bCs/>
                <w:color w:val="0070C0"/>
                <w:sz w:val="28"/>
                <w:szCs w:val="28"/>
                <w:rtl/>
                <w:lang w:eastAsia="ar-EG" w:bidi="ar-EG"/>
              </w:rPr>
              <w:t>غير متاح في 2016</w:t>
            </w:r>
          </w:p>
        </w:tc>
      </w:tr>
      <w:tr w:rsidR="00CE6E0B" w:rsidRPr="00AC18A4" w14:paraId="3AD3E14D" w14:textId="77777777" w:rsidTr="00BB3820">
        <w:trPr>
          <w:trHeight w:val="929"/>
        </w:trPr>
        <w:tc>
          <w:tcPr>
            <w:tcW w:w="1072" w:type="pct"/>
            <w:shd w:val="clear" w:color="auto" w:fill="auto"/>
            <w:tcMar>
              <w:left w:w="58" w:type="dxa"/>
              <w:right w:w="58" w:type="dxa"/>
            </w:tcMar>
          </w:tcPr>
          <w:p w14:paraId="594EC038"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عدد اتفاقات التعاون والشراكات التي أُقيمت بما يتماشى مع الرؤية الجديدة للأكاديمية</w:t>
            </w:r>
          </w:p>
        </w:tc>
        <w:tc>
          <w:tcPr>
            <w:tcW w:w="1325" w:type="pct"/>
            <w:shd w:val="clear" w:color="auto" w:fill="auto"/>
            <w:tcMar>
              <w:left w:w="58" w:type="dxa"/>
              <w:right w:w="58" w:type="dxa"/>
            </w:tcMar>
          </w:tcPr>
          <w:p w14:paraId="3D310BF8" w14:textId="77777777" w:rsidR="00CE6E0B" w:rsidRPr="00AC18A4"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C18A4">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AC18A4">
              <w:rPr>
                <w:rFonts w:ascii="Arabic Typesetting" w:eastAsia="Arabic Typesetting" w:hAnsi="Arabic Typesetting" w:cs="Arabic Typesetting"/>
                <w:i/>
                <w:iCs/>
                <w:color w:val="002060"/>
                <w:sz w:val="28"/>
                <w:szCs w:val="28"/>
                <w:lang w:eastAsia="ar-EG" w:bidi="ar-EG"/>
              </w:rPr>
              <w:br/>
            </w:r>
            <w:r>
              <w:rPr>
                <w:rFonts w:ascii="Arabic Typesetting" w:eastAsia="Arabic Typesetting" w:hAnsi="Arabic Typesetting" w:cs="Arabic Typesetting" w:hint="cs"/>
                <w:color w:val="002060"/>
                <w:sz w:val="28"/>
                <w:szCs w:val="28"/>
                <w:rtl/>
                <w:lang w:eastAsia="ar-EG" w:bidi="ar-EG"/>
              </w:rPr>
              <w:t>صفر</w:t>
            </w:r>
          </w:p>
          <w:p w14:paraId="1DA50AF4" w14:textId="77777777" w:rsidR="00CE6E0B" w:rsidRPr="00AC18A4"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C18A4">
              <w:rPr>
                <w:rFonts w:ascii="Arabic Typesetting" w:eastAsia="Arabic Typesetting" w:hAnsi="Arabic Typesetting" w:cs="Arabic Typesetting"/>
                <w:i/>
                <w:iCs/>
                <w:sz w:val="28"/>
                <w:szCs w:val="28"/>
                <w:rtl/>
                <w:lang w:eastAsia="ar-EG" w:bidi="ar-EG"/>
              </w:rPr>
              <w:t>‏أساس المقارنة الأصلي:</w:t>
            </w:r>
            <w:r w:rsidRPr="00AC18A4">
              <w:rPr>
                <w:rFonts w:ascii="Arabic Typesetting" w:eastAsia="Arabic Typesetting" w:hAnsi="Arabic Typesetting" w:cs="Arabic Typesetting"/>
                <w:i/>
                <w:sz w:val="28"/>
                <w:szCs w:val="28"/>
                <w:lang w:eastAsia="ar-EG" w:bidi="ar-EG"/>
              </w:rPr>
              <w:br/>
            </w:r>
            <w:r w:rsidRPr="00AC18A4">
              <w:rPr>
                <w:rFonts w:ascii="Arabic Typesetting" w:eastAsia="Arabic Typesetting" w:hAnsi="Arabic Typesetting" w:cs="Arabic Typesetting"/>
                <w:i/>
                <w:iCs/>
                <w:sz w:val="28"/>
                <w:szCs w:val="28"/>
                <w:rtl/>
                <w:lang w:eastAsia="ar-EG" w:bidi="ar-EG"/>
              </w:rPr>
              <w:t>برنامج وميزانية 2016/17:</w:t>
            </w:r>
            <w:r w:rsidRPr="00AC18A4">
              <w:rPr>
                <w:rFonts w:ascii="Arabic Typesetting" w:eastAsia="Arabic Typesetting" w:hAnsi="Arabic Typesetting" w:cs="Arabic Typesetting"/>
                <w:i/>
                <w:iCs/>
                <w:sz w:val="28"/>
                <w:szCs w:val="28"/>
                <w:lang w:eastAsia="ar-EG" w:bidi="ar-EG"/>
              </w:rPr>
              <w:br/>
            </w:r>
            <w:r>
              <w:rPr>
                <w:rFonts w:ascii="Arabic Typesetting" w:eastAsia="Arabic Typesetting" w:hAnsi="Arabic Typesetting" w:cs="Arabic Typesetting"/>
                <w:sz w:val="28"/>
                <w:szCs w:val="28"/>
                <w:rtl/>
                <w:lang w:eastAsia="ar-EG" w:bidi="ar-EG"/>
              </w:rPr>
              <w:t>غير متوفر</w:t>
            </w:r>
          </w:p>
        </w:tc>
        <w:tc>
          <w:tcPr>
            <w:tcW w:w="598" w:type="pct"/>
            <w:shd w:val="clear" w:color="auto" w:fill="auto"/>
            <w:tcMar>
              <w:top w:w="110" w:type="dxa"/>
              <w:left w:w="58" w:type="dxa"/>
              <w:right w:w="58" w:type="dxa"/>
            </w:tcMar>
          </w:tcPr>
          <w:p w14:paraId="5FA1EEA8"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5</w:t>
            </w:r>
          </w:p>
        </w:tc>
        <w:tc>
          <w:tcPr>
            <w:tcW w:w="1492" w:type="pct"/>
            <w:shd w:val="clear" w:color="auto" w:fill="FFFFFF"/>
            <w:tcMar>
              <w:top w:w="110" w:type="dxa"/>
              <w:left w:w="58" w:type="dxa"/>
              <w:right w:w="58" w:type="dxa"/>
            </w:tcMar>
          </w:tcPr>
          <w:p w14:paraId="624D8FD3" w14:textId="77777777" w:rsidR="00CE6E0B" w:rsidRPr="00AC18A4"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في عام 2016، أقيمت 6 اتفاقات/شراكات تعاون تضم الصين (2) وفرنسا وماليزيا والمغرب ونيكاراغوا وتركيا تماشي</w:t>
            </w:r>
            <w:r>
              <w:rPr>
                <w:rFonts w:ascii="Arabic Typesetting" w:eastAsia="Arabic Typesetting" w:hAnsi="Arabic Typesetting" w:cs="Arabic Typesetting"/>
                <w:color w:val="000000"/>
                <w:sz w:val="28"/>
                <w:szCs w:val="28"/>
                <w:rtl/>
                <w:lang w:eastAsia="ar-EG" w:bidi="ar-EG"/>
              </w:rPr>
              <w:t>اً مع الرؤية الجديدة للأكاديمية</w:t>
            </w:r>
            <w:r>
              <w:rPr>
                <w:rFonts w:ascii="Arabic Typesetting" w:eastAsia="Arabic Typesetting" w:hAnsi="Arabic Typesetting" w:cs="Arabic Typesetting" w:hint="cs"/>
                <w:color w:val="000000"/>
                <w:sz w:val="28"/>
                <w:szCs w:val="28"/>
                <w:rtl/>
                <w:lang w:eastAsia="ar-EG" w:bidi="ar-EG"/>
              </w:rPr>
              <w:t>.</w:t>
            </w:r>
          </w:p>
        </w:tc>
        <w:tc>
          <w:tcPr>
            <w:tcW w:w="513" w:type="pct"/>
            <w:shd w:val="clear" w:color="auto" w:fill="auto"/>
            <w:tcMar>
              <w:top w:w="110" w:type="dxa"/>
              <w:left w:w="58" w:type="dxa"/>
              <w:right w:w="58" w:type="dxa"/>
            </w:tcMar>
          </w:tcPr>
          <w:p w14:paraId="549387F7" w14:textId="77777777" w:rsidR="00CE6E0B" w:rsidRPr="00AC18A4"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AC18A4">
              <w:rPr>
                <w:rFonts w:ascii="Arabic Typesetting" w:eastAsia="Arabic Typesetting" w:hAnsi="Arabic Typesetting" w:cs="Arabic Typesetting"/>
                <w:b/>
                <w:bCs/>
                <w:color w:val="00B050"/>
                <w:sz w:val="28"/>
                <w:szCs w:val="28"/>
                <w:rtl/>
                <w:lang w:eastAsia="ar-EG" w:bidi="ar-EG"/>
              </w:rPr>
              <w:t>ثابت</w:t>
            </w:r>
          </w:p>
        </w:tc>
      </w:tr>
      <w:tr w:rsidR="00CE6E0B" w:rsidRPr="00AC18A4" w14:paraId="4C29A9B6" w14:textId="77777777" w:rsidTr="00BB3820">
        <w:trPr>
          <w:trHeight w:val="1000"/>
        </w:trPr>
        <w:tc>
          <w:tcPr>
            <w:tcW w:w="1072" w:type="pct"/>
            <w:shd w:val="clear" w:color="auto" w:fill="auto"/>
            <w:tcMar>
              <w:left w:w="58" w:type="dxa"/>
              <w:right w:w="58" w:type="dxa"/>
            </w:tcMar>
          </w:tcPr>
          <w:p w14:paraId="6D772741"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نسبة الزيادة في عدد المشاركين في دورات التعلم عن البعد التي تنظمها الأكاديمية</w:t>
            </w:r>
          </w:p>
        </w:tc>
        <w:tc>
          <w:tcPr>
            <w:tcW w:w="1325" w:type="pct"/>
            <w:shd w:val="clear" w:color="auto" w:fill="auto"/>
            <w:tcMar>
              <w:left w:w="58" w:type="dxa"/>
              <w:right w:w="58" w:type="dxa"/>
            </w:tcMar>
          </w:tcPr>
          <w:p w14:paraId="0F29D21E" w14:textId="28A0A875" w:rsidR="00CE6E0B" w:rsidRPr="00AC18A4" w:rsidRDefault="00CE6E0B" w:rsidP="00587BA7">
            <w:pPr>
              <w:bidi/>
              <w:spacing w:after="120" w:line="280" w:lineRule="exact"/>
              <w:rPr>
                <w:rFonts w:ascii="Arabic Typesetting" w:eastAsia="Arabic Typesetting" w:hAnsi="Arabic Typesetting" w:cs="Arabic Typesetting"/>
                <w:color w:val="002060"/>
                <w:sz w:val="28"/>
                <w:szCs w:val="28"/>
                <w:lang w:eastAsia="ar-EG" w:bidi="ar-EG"/>
              </w:rPr>
            </w:pPr>
            <w:r w:rsidRPr="00AC18A4">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AC18A4">
              <w:rPr>
                <w:rFonts w:ascii="Arabic Typesetting" w:eastAsia="Arabic Typesetting" w:hAnsi="Arabic Typesetting" w:cs="Arabic Typesetting"/>
                <w:i/>
                <w:iCs/>
                <w:color w:val="002060"/>
                <w:sz w:val="28"/>
                <w:szCs w:val="28"/>
                <w:lang w:eastAsia="ar-EG" w:bidi="ar-EG"/>
              </w:rPr>
              <w:br/>
            </w:r>
            <w:r w:rsidR="00587BA7">
              <w:rPr>
                <w:rFonts w:ascii="Arabic Typesetting" w:eastAsia="Arabic Typesetting" w:hAnsi="Arabic Typesetting" w:cs="Arabic Typesetting" w:hint="cs"/>
                <w:color w:val="002060"/>
                <w:sz w:val="28"/>
                <w:szCs w:val="28"/>
                <w:rtl/>
                <w:lang w:eastAsia="ar-EG" w:bidi="ar-EG"/>
              </w:rPr>
              <w:t>551 78</w:t>
            </w:r>
            <w:r w:rsidRPr="00AC18A4">
              <w:rPr>
                <w:rFonts w:ascii="Arabic Typesetting" w:eastAsia="Arabic Typesetting" w:hAnsi="Arabic Typesetting" w:cs="Arabic Typesetting"/>
                <w:color w:val="002060"/>
                <w:sz w:val="28"/>
                <w:szCs w:val="28"/>
                <w:rtl/>
                <w:lang w:eastAsia="ar-EG" w:bidi="ar-EG"/>
              </w:rPr>
              <w:t>:</w:t>
            </w:r>
            <w:r w:rsidRPr="00AC18A4">
              <w:rPr>
                <w:rFonts w:ascii="Arabic Typesetting" w:eastAsia="Arabic Typesetting" w:hAnsi="Arabic Typesetting" w:cs="Arabic Typesetting"/>
                <w:color w:val="002060"/>
                <w:sz w:val="28"/>
                <w:szCs w:val="28"/>
                <w:lang w:eastAsia="ar-EG" w:bidi="ar-EG"/>
              </w:rPr>
              <w:br/>
            </w:r>
            <w:r w:rsidRPr="00AC18A4">
              <w:rPr>
                <w:rFonts w:ascii="Arabic Typesetting" w:eastAsia="Arabic Typesetting" w:hAnsi="Arabic Typesetting" w:cs="Arabic Typesetting"/>
                <w:color w:val="002060"/>
                <w:sz w:val="28"/>
                <w:szCs w:val="28"/>
                <w:rtl/>
                <w:lang w:eastAsia="ar-EG" w:bidi="ar-EG"/>
              </w:rPr>
              <w:t xml:space="preserve">2015 </w:t>
            </w:r>
            <w:r w:rsidR="00587BA7">
              <w:rPr>
                <w:rFonts w:ascii="Arabic Typesetting" w:eastAsia="Arabic Typesetting" w:hAnsi="Arabic Typesetting" w:cs="Arabic Typesetting" w:hint="cs"/>
                <w:color w:val="002060"/>
                <w:sz w:val="28"/>
                <w:szCs w:val="28"/>
                <w:rtl/>
                <w:lang w:eastAsia="ar-EG" w:bidi="ar-EG"/>
              </w:rPr>
              <w:t>(616 43)</w:t>
            </w:r>
            <w:r w:rsidR="00587BA7">
              <w:rPr>
                <w:rFonts w:ascii="Arabic Typesetting" w:eastAsia="Arabic Typesetting" w:hAnsi="Arabic Typesetting" w:cs="Arabic Typesetting"/>
                <w:color w:val="002060"/>
                <w:sz w:val="28"/>
                <w:szCs w:val="28"/>
                <w:rtl/>
                <w:lang w:eastAsia="ar-EG" w:bidi="ar-EG"/>
              </w:rPr>
              <w:br/>
            </w:r>
            <w:r w:rsidR="00587BA7">
              <w:rPr>
                <w:rFonts w:ascii="Arabic Typesetting" w:eastAsia="Arabic Typesetting" w:hAnsi="Arabic Typesetting" w:cs="Arabic Typesetting" w:hint="cs"/>
                <w:color w:val="002060"/>
                <w:sz w:val="28"/>
                <w:szCs w:val="28"/>
                <w:rtl/>
                <w:lang w:eastAsia="ar-EG" w:bidi="ar-EG"/>
              </w:rPr>
              <w:t>2014 (935 34)</w:t>
            </w:r>
          </w:p>
          <w:p w14:paraId="526E72C8"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i/>
                <w:iCs/>
                <w:sz w:val="28"/>
                <w:szCs w:val="28"/>
                <w:rtl/>
                <w:lang w:eastAsia="ar-EG" w:bidi="ar-EG"/>
              </w:rPr>
              <w:t>‏أساس المقارنة الأصلي:</w:t>
            </w:r>
            <w:r w:rsidRPr="00AC18A4">
              <w:rPr>
                <w:rFonts w:ascii="Arabic Typesetting" w:eastAsia="Arabic Typesetting" w:hAnsi="Arabic Typesetting" w:cs="Arabic Typesetting"/>
                <w:i/>
                <w:sz w:val="28"/>
                <w:szCs w:val="28"/>
                <w:lang w:eastAsia="ar-EG" w:bidi="ar-EG"/>
              </w:rPr>
              <w:br/>
            </w:r>
            <w:r w:rsidRPr="00AC18A4">
              <w:rPr>
                <w:rFonts w:ascii="Arabic Typesetting" w:eastAsia="Arabic Typesetting" w:hAnsi="Arabic Typesetting" w:cs="Arabic Typesetting"/>
                <w:i/>
                <w:iCs/>
                <w:sz w:val="28"/>
                <w:szCs w:val="28"/>
                <w:rtl/>
                <w:lang w:eastAsia="ar-EG" w:bidi="ar-EG"/>
              </w:rPr>
              <w:t>برنامج وميزانية 2016/17:</w:t>
            </w:r>
            <w:r w:rsidRPr="00AC18A4">
              <w:rPr>
                <w:rFonts w:ascii="Arabic Typesetting" w:eastAsia="Arabic Typesetting" w:hAnsi="Arabic Typesetting" w:cs="Arabic Typesetting"/>
                <w:i/>
                <w:iCs/>
                <w:sz w:val="28"/>
                <w:szCs w:val="28"/>
                <w:lang w:eastAsia="ar-EG" w:bidi="ar-EG"/>
              </w:rPr>
              <w:br/>
            </w:r>
            <w:r w:rsidRPr="00AC18A4">
              <w:rPr>
                <w:rFonts w:ascii="Arabic Typesetting" w:eastAsia="Arabic Typesetting" w:hAnsi="Arabic Typesetting" w:cs="Arabic Typesetting"/>
                <w:sz w:val="28"/>
                <w:szCs w:val="28"/>
                <w:rtl/>
                <w:lang w:eastAsia="ar-EG" w:bidi="ar-EG"/>
              </w:rPr>
              <w:t>000 35 (2014)</w:t>
            </w:r>
            <w:r w:rsidRPr="00AC18A4">
              <w:rPr>
                <w:rFonts w:ascii="Arabic Typesetting" w:eastAsia="Arabic Typesetting" w:hAnsi="Arabic Typesetting" w:cs="Arabic Typesetting"/>
                <w:sz w:val="28"/>
                <w:szCs w:val="28"/>
                <w:vertAlign w:val="superscript"/>
                <w:lang w:eastAsia="ar-EG" w:bidi="ar-EG"/>
              </w:rPr>
              <w:footnoteReference w:id="54"/>
            </w:r>
          </w:p>
        </w:tc>
        <w:tc>
          <w:tcPr>
            <w:tcW w:w="598" w:type="pct"/>
            <w:shd w:val="clear" w:color="auto" w:fill="auto"/>
            <w:tcMar>
              <w:top w:w="110" w:type="dxa"/>
              <w:left w:w="58" w:type="dxa"/>
              <w:right w:w="58" w:type="dxa"/>
            </w:tcMar>
          </w:tcPr>
          <w:p w14:paraId="72365119"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10%</w:t>
            </w:r>
          </w:p>
        </w:tc>
        <w:tc>
          <w:tcPr>
            <w:tcW w:w="1492" w:type="pct"/>
            <w:shd w:val="clear" w:color="auto" w:fill="FFFFFF"/>
            <w:tcMar>
              <w:top w:w="110" w:type="dxa"/>
              <w:left w:w="58" w:type="dxa"/>
              <w:right w:w="58" w:type="dxa"/>
            </w:tcMar>
          </w:tcPr>
          <w:p w14:paraId="28D2223F" w14:textId="77777777" w:rsidR="00CE6E0B" w:rsidRPr="00AC18A4"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زيادة بنسبة 25% (596 54) مقارنة</w:t>
            </w:r>
            <w:r>
              <w:rPr>
                <w:rFonts w:ascii="Arabic Typesetting" w:eastAsia="Arabic Typesetting" w:hAnsi="Arabic Typesetting" w:cs="Arabic Typesetting" w:hint="cs"/>
                <w:color w:val="000000"/>
                <w:sz w:val="28"/>
                <w:szCs w:val="28"/>
                <w:rtl/>
                <w:lang w:eastAsia="ar-EG" w:bidi="ar-EG"/>
              </w:rPr>
              <w:t> </w:t>
            </w:r>
            <w:r w:rsidRPr="00AC18A4">
              <w:rPr>
                <w:rFonts w:ascii="Arabic Typesetting" w:eastAsia="Arabic Typesetting" w:hAnsi="Arabic Typesetting" w:cs="Arabic Typesetting"/>
                <w:color w:val="000000"/>
                <w:sz w:val="28"/>
                <w:szCs w:val="28"/>
                <w:rtl/>
                <w:lang w:eastAsia="ar-EG" w:bidi="ar-EG"/>
              </w:rPr>
              <w:t>بعام</w:t>
            </w:r>
            <w:r>
              <w:rPr>
                <w:rFonts w:ascii="Arabic Typesetting" w:eastAsia="Arabic Typesetting" w:hAnsi="Arabic Typesetting" w:cs="Arabic Typesetting" w:hint="cs"/>
                <w:color w:val="000000"/>
                <w:sz w:val="28"/>
                <w:szCs w:val="28"/>
                <w:rtl/>
                <w:lang w:eastAsia="ar-EG" w:bidi="ar-EG"/>
              </w:rPr>
              <w:t> </w:t>
            </w:r>
            <w:r w:rsidRPr="00AC18A4">
              <w:rPr>
                <w:rFonts w:ascii="Arabic Typesetting" w:eastAsia="Arabic Typesetting" w:hAnsi="Arabic Typesetting" w:cs="Arabic Typesetting"/>
                <w:color w:val="000000"/>
                <w:sz w:val="28"/>
                <w:szCs w:val="28"/>
                <w:rtl/>
                <w:lang w:eastAsia="ar-EG" w:bidi="ar-EG"/>
              </w:rPr>
              <w:t>2015</w:t>
            </w:r>
          </w:p>
        </w:tc>
        <w:tc>
          <w:tcPr>
            <w:tcW w:w="513" w:type="pct"/>
            <w:shd w:val="clear" w:color="auto" w:fill="auto"/>
            <w:tcMar>
              <w:top w:w="110" w:type="dxa"/>
              <w:left w:w="58" w:type="dxa"/>
              <w:right w:w="58" w:type="dxa"/>
            </w:tcMar>
          </w:tcPr>
          <w:p w14:paraId="20788F99" w14:textId="77777777" w:rsidR="00CE6E0B" w:rsidRPr="00AC18A4"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AC18A4">
              <w:rPr>
                <w:rFonts w:ascii="Arabic Typesetting" w:eastAsia="Arabic Typesetting" w:hAnsi="Arabic Typesetting" w:cs="Arabic Typesetting"/>
                <w:b/>
                <w:bCs/>
                <w:color w:val="00B050"/>
                <w:sz w:val="28"/>
                <w:szCs w:val="28"/>
                <w:rtl/>
                <w:lang w:eastAsia="ar-EG" w:bidi="ar-EG"/>
              </w:rPr>
              <w:t>ثابت</w:t>
            </w:r>
          </w:p>
        </w:tc>
      </w:tr>
      <w:tr w:rsidR="00CE6E0B" w:rsidRPr="00AC18A4" w14:paraId="14273E2F" w14:textId="77777777" w:rsidTr="00BB3820">
        <w:trPr>
          <w:trHeight w:val="817"/>
        </w:trPr>
        <w:tc>
          <w:tcPr>
            <w:tcW w:w="1072" w:type="pct"/>
            <w:shd w:val="clear" w:color="auto" w:fill="auto"/>
            <w:tcMar>
              <w:left w:w="58" w:type="dxa"/>
              <w:right w:w="58" w:type="dxa"/>
            </w:tcMar>
          </w:tcPr>
          <w:p w14:paraId="75608FBE"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lastRenderedPageBreak/>
              <w:t>عدد دورات التعلم عن بعد التي</w:t>
            </w:r>
            <w:r>
              <w:rPr>
                <w:rFonts w:ascii="Arabic Typesetting" w:eastAsia="Arabic Typesetting" w:hAnsi="Arabic Typesetting" w:cs="Arabic Typesetting" w:hint="cs"/>
                <w:color w:val="000000"/>
                <w:sz w:val="28"/>
                <w:szCs w:val="28"/>
                <w:rtl/>
                <w:lang w:eastAsia="ar-EG" w:bidi="ar-EG"/>
              </w:rPr>
              <w:t> </w:t>
            </w:r>
            <w:r w:rsidRPr="00AC18A4">
              <w:rPr>
                <w:rFonts w:ascii="Arabic Typesetting" w:eastAsia="Arabic Typesetting" w:hAnsi="Arabic Typesetting" w:cs="Arabic Typesetting"/>
                <w:color w:val="000000"/>
                <w:sz w:val="28"/>
                <w:szCs w:val="28"/>
                <w:rtl/>
                <w:lang w:eastAsia="ar-EG" w:bidi="ar-EG"/>
              </w:rPr>
              <w:t>استُعرضت وحُدّثت</w:t>
            </w:r>
          </w:p>
        </w:tc>
        <w:tc>
          <w:tcPr>
            <w:tcW w:w="1325" w:type="pct"/>
            <w:shd w:val="clear" w:color="auto" w:fill="auto"/>
            <w:tcMar>
              <w:left w:w="58" w:type="dxa"/>
              <w:right w:w="58" w:type="dxa"/>
            </w:tcMar>
          </w:tcPr>
          <w:p w14:paraId="14776A0E" w14:textId="77777777" w:rsidR="00CE6E0B" w:rsidRPr="00AC18A4"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C18A4">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AC18A4">
              <w:rPr>
                <w:rFonts w:ascii="Arabic Typesetting" w:eastAsia="Arabic Typesetting" w:hAnsi="Arabic Typesetting" w:cs="Arabic Typesetting"/>
                <w:i/>
                <w:iCs/>
                <w:color w:val="002060"/>
                <w:sz w:val="28"/>
                <w:szCs w:val="28"/>
                <w:lang w:eastAsia="ar-EG" w:bidi="ar-EG"/>
              </w:rPr>
              <w:br/>
            </w:r>
            <w:r w:rsidRPr="00AC18A4">
              <w:rPr>
                <w:rFonts w:ascii="Arabic Typesetting" w:eastAsia="Arabic Typesetting" w:hAnsi="Arabic Typesetting" w:cs="Arabic Typesetting"/>
                <w:color w:val="002060"/>
                <w:sz w:val="28"/>
                <w:szCs w:val="28"/>
                <w:rtl/>
                <w:lang w:eastAsia="ar-EG" w:bidi="ar-EG"/>
              </w:rPr>
              <w:t>2</w:t>
            </w:r>
          </w:p>
          <w:p w14:paraId="442C62A4" w14:textId="77777777" w:rsidR="00CE6E0B" w:rsidRPr="00AC18A4" w:rsidRDefault="00CE6E0B"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AC18A4">
              <w:rPr>
                <w:rFonts w:ascii="Arabic Typesetting" w:eastAsia="Arabic Typesetting" w:hAnsi="Arabic Typesetting" w:cs="Arabic Typesetting"/>
                <w:i/>
                <w:iCs/>
                <w:sz w:val="28"/>
                <w:szCs w:val="28"/>
                <w:rtl/>
                <w:lang w:eastAsia="ar-EG" w:bidi="ar-EG"/>
              </w:rPr>
              <w:t>‏أساس المقارنة الأصلي:</w:t>
            </w:r>
            <w:r w:rsidRPr="00AC18A4">
              <w:rPr>
                <w:rFonts w:ascii="Arabic Typesetting" w:eastAsia="Arabic Typesetting" w:hAnsi="Arabic Typesetting" w:cs="Arabic Typesetting"/>
                <w:i/>
                <w:iCs/>
                <w:sz w:val="28"/>
                <w:szCs w:val="28"/>
                <w:lang w:eastAsia="ar-EG" w:bidi="ar-EG"/>
              </w:rPr>
              <w:br/>
            </w:r>
            <w:r w:rsidRPr="00AC18A4">
              <w:rPr>
                <w:rFonts w:ascii="Arabic Typesetting" w:eastAsia="Arabic Typesetting" w:hAnsi="Arabic Typesetting" w:cs="Arabic Typesetting"/>
                <w:i/>
                <w:iCs/>
                <w:sz w:val="28"/>
                <w:szCs w:val="28"/>
                <w:rtl/>
                <w:lang w:eastAsia="ar-EG" w:bidi="ar-EG"/>
              </w:rPr>
              <w:t>برنامج وميزانية 2016/17:</w:t>
            </w:r>
            <w:r w:rsidRPr="00AC18A4">
              <w:rPr>
                <w:rFonts w:ascii="Arabic Typesetting" w:eastAsia="Arabic Typesetting" w:hAnsi="Arabic Typesetting" w:cs="Arabic Typesetting"/>
                <w:i/>
                <w:iCs/>
                <w:sz w:val="28"/>
                <w:szCs w:val="28"/>
                <w:lang w:eastAsia="ar-EG" w:bidi="ar-EG"/>
              </w:rPr>
              <w:br/>
            </w:r>
            <w:r>
              <w:rPr>
                <w:rFonts w:ascii="Arabic Typesetting" w:eastAsia="Arabic Typesetting" w:hAnsi="Arabic Typesetting" w:cs="Arabic Typesetting" w:hint="cs"/>
                <w:sz w:val="28"/>
                <w:szCs w:val="28"/>
                <w:rtl/>
                <w:lang w:eastAsia="ar-EG" w:bidi="ar-EG"/>
              </w:rPr>
              <w:t>صفر</w:t>
            </w:r>
          </w:p>
        </w:tc>
        <w:tc>
          <w:tcPr>
            <w:tcW w:w="598" w:type="pct"/>
            <w:shd w:val="clear" w:color="auto" w:fill="auto"/>
            <w:tcMar>
              <w:top w:w="110" w:type="dxa"/>
              <w:left w:w="58" w:type="dxa"/>
              <w:right w:w="58" w:type="dxa"/>
            </w:tcMar>
          </w:tcPr>
          <w:p w14:paraId="75D11952"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4</w:t>
            </w:r>
          </w:p>
        </w:tc>
        <w:tc>
          <w:tcPr>
            <w:tcW w:w="1492" w:type="pct"/>
            <w:shd w:val="clear" w:color="auto" w:fill="FFFFFF"/>
            <w:tcMar>
              <w:top w:w="110" w:type="dxa"/>
              <w:left w:w="58" w:type="dxa"/>
              <w:right w:w="58" w:type="dxa"/>
            </w:tcMar>
          </w:tcPr>
          <w:p w14:paraId="71C566A2" w14:textId="77777777" w:rsidR="00CE6E0B" w:rsidRPr="00AC18A4" w:rsidRDefault="00CE6E0B" w:rsidP="0031289D">
            <w:pPr>
              <w:keepNext/>
              <w:keepLines/>
              <w:bidi/>
              <w:spacing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دورتان إضافيتان في 2016:</w:t>
            </w:r>
          </w:p>
          <w:p w14:paraId="3CFF3AD4" w14:textId="77777777" w:rsidR="00CE6E0B" w:rsidRPr="00AC18A4" w:rsidRDefault="00CE6E0B" w:rsidP="0031289D">
            <w:pPr>
              <w:keepNext/>
              <w:keepLines/>
              <w:numPr>
                <w:ilvl w:val="0"/>
                <w:numId w:val="20"/>
              </w:numPr>
              <w:bidi/>
              <w:spacing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lang w:eastAsia="ar-EG" w:bidi="ar-EG"/>
              </w:rPr>
              <w:t>DL318</w:t>
            </w:r>
            <w:r w:rsidRPr="00AC18A4">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AC18A4">
              <w:rPr>
                <w:rFonts w:ascii="Arabic Typesetting" w:eastAsia="Arabic Typesetting" w:hAnsi="Arabic Typesetting" w:cs="Arabic Typesetting"/>
                <w:color w:val="000000"/>
                <w:sz w:val="28"/>
                <w:szCs w:val="28"/>
                <w:rtl/>
                <w:lang w:eastAsia="ar-EG" w:bidi="ar-EG"/>
              </w:rPr>
              <w:t>البحث في المعلومات المتعلقة بالبراءات</w:t>
            </w:r>
          </w:p>
          <w:p w14:paraId="2680B919" w14:textId="77777777" w:rsidR="00CE6E0B" w:rsidRPr="00AC18A4" w:rsidRDefault="00CE6E0B" w:rsidP="0031289D">
            <w:pPr>
              <w:keepNext/>
              <w:keepLines/>
              <w:numPr>
                <w:ilvl w:val="0"/>
                <w:numId w:val="20"/>
              </w:numPr>
              <w:bidi/>
              <w:spacing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lang w:eastAsia="ar-EG" w:bidi="ar-EG"/>
              </w:rPr>
              <w:t>DL320</w:t>
            </w:r>
            <w:r w:rsidRPr="00AC18A4">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rtl/>
                <w:lang w:eastAsia="ar-EG" w:bidi="ar-EG"/>
              </w:rPr>
              <w:t>‏أساسيات صياغة البراءات</w:t>
            </w:r>
          </w:p>
          <w:p w14:paraId="3349C501" w14:textId="77777777" w:rsidR="00CE6E0B" w:rsidRPr="00AC18A4"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(التراكمي 4 دورات)</w:t>
            </w:r>
          </w:p>
        </w:tc>
        <w:tc>
          <w:tcPr>
            <w:tcW w:w="513" w:type="pct"/>
            <w:shd w:val="clear" w:color="auto" w:fill="auto"/>
            <w:tcMar>
              <w:top w:w="110" w:type="dxa"/>
              <w:left w:w="58" w:type="dxa"/>
              <w:right w:w="58" w:type="dxa"/>
            </w:tcMar>
          </w:tcPr>
          <w:p w14:paraId="301797CC" w14:textId="77777777" w:rsidR="00CE6E0B" w:rsidRPr="00AC18A4"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AC18A4">
              <w:rPr>
                <w:rFonts w:ascii="Arabic Typesetting" w:eastAsia="Arabic Typesetting" w:hAnsi="Arabic Typesetting" w:cs="Arabic Typesetting"/>
                <w:b/>
                <w:bCs/>
                <w:color w:val="00B050"/>
                <w:sz w:val="28"/>
                <w:szCs w:val="28"/>
                <w:rtl/>
                <w:lang w:eastAsia="ar-EG" w:bidi="ar-EG"/>
              </w:rPr>
              <w:t>ثابت</w:t>
            </w:r>
          </w:p>
        </w:tc>
      </w:tr>
      <w:tr w:rsidR="00CE6E0B" w:rsidRPr="00AC18A4" w14:paraId="3B57FDF2" w14:textId="77777777" w:rsidTr="00BB3820">
        <w:trPr>
          <w:trHeight w:val="670"/>
        </w:trPr>
        <w:tc>
          <w:tcPr>
            <w:tcW w:w="1072" w:type="pct"/>
            <w:shd w:val="clear" w:color="auto" w:fill="auto"/>
            <w:tcMar>
              <w:left w:w="58" w:type="dxa"/>
              <w:right w:w="58" w:type="dxa"/>
            </w:tcMar>
          </w:tcPr>
          <w:p w14:paraId="40895915"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عدد الأكاديميات الوطنية الناشئة التي أُنشئت في إطار المشروع وأصبحت مستدامةً</w:t>
            </w:r>
            <w:r w:rsidRPr="00AC18A4">
              <w:rPr>
                <w:rFonts w:ascii="Arabic Typesetting" w:eastAsia="Arabic Typesetting" w:hAnsi="Arabic Typesetting" w:cs="Arabic Typesetting"/>
                <w:sz w:val="28"/>
                <w:szCs w:val="28"/>
                <w:vertAlign w:val="superscript"/>
                <w:lang w:eastAsia="ar-EG" w:bidi="ar-EG"/>
              </w:rPr>
              <w:footnoteReference w:id="55"/>
            </w:r>
          </w:p>
        </w:tc>
        <w:tc>
          <w:tcPr>
            <w:tcW w:w="1325" w:type="pct"/>
            <w:shd w:val="clear" w:color="auto" w:fill="auto"/>
            <w:tcMar>
              <w:left w:w="58" w:type="dxa"/>
              <w:right w:w="58" w:type="dxa"/>
            </w:tcMar>
          </w:tcPr>
          <w:p w14:paraId="702B4375" w14:textId="77777777" w:rsidR="00CE6E0B" w:rsidRPr="00AC18A4" w:rsidRDefault="00CE6E0B" w:rsidP="0031289D">
            <w:pPr>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hint="cs"/>
                <w:sz w:val="28"/>
                <w:szCs w:val="28"/>
                <w:rtl/>
                <w:lang w:eastAsia="ar-EG" w:bidi="ar-EG"/>
              </w:rPr>
              <w:t>صفر</w:t>
            </w:r>
          </w:p>
        </w:tc>
        <w:tc>
          <w:tcPr>
            <w:tcW w:w="598" w:type="pct"/>
            <w:shd w:val="clear" w:color="auto" w:fill="auto"/>
            <w:tcMar>
              <w:top w:w="110" w:type="dxa"/>
              <w:left w:w="58" w:type="dxa"/>
              <w:right w:w="58" w:type="dxa"/>
            </w:tcMar>
          </w:tcPr>
          <w:p w14:paraId="46C7CE9F"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4</w:t>
            </w:r>
          </w:p>
        </w:tc>
        <w:tc>
          <w:tcPr>
            <w:tcW w:w="1492" w:type="pct"/>
            <w:shd w:val="clear" w:color="auto" w:fill="FFFFFF"/>
            <w:tcMar>
              <w:top w:w="110" w:type="dxa"/>
              <w:left w:w="58" w:type="dxa"/>
              <w:right w:w="58" w:type="dxa"/>
            </w:tcMar>
          </w:tcPr>
          <w:p w14:paraId="7A4E91FC" w14:textId="77777777" w:rsidR="00CE6E0B" w:rsidRPr="00AC18A4"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ستُجمع البيانات في عام 2017</w:t>
            </w:r>
          </w:p>
        </w:tc>
        <w:tc>
          <w:tcPr>
            <w:tcW w:w="513" w:type="pct"/>
            <w:shd w:val="clear" w:color="auto" w:fill="auto"/>
            <w:tcMar>
              <w:top w:w="110" w:type="dxa"/>
              <w:left w:w="58" w:type="dxa"/>
              <w:right w:w="58" w:type="dxa"/>
            </w:tcMar>
          </w:tcPr>
          <w:p w14:paraId="334363CA" w14:textId="77777777" w:rsidR="00CE6E0B" w:rsidRPr="00AC18A4"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AC18A4">
              <w:rPr>
                <w:rFonts w:ascii="Arabic Typesetting" w:eastAsia="Arabic Typesetting" w:hAnsi="Arabic Typesetting" w:cs="Arabic Typesetting"/>
                <w:b/>
                <w:bCs/>
                <w:color w:val="0070C0"/>
                <w:sz w:val="28"/>
                <w:szCs w:val="28"/>
                <w:rtl/>
                <w:lang w:eastAsia="ar-EG" w:bidi="ar-EG"/>
              </w:rPr>
              <w:t>غير متاح في</w:t>
            </w:r>
            <w:r>
              <w:rPr>
                <w:rFonts w:ascii="Arabic Typesetting" w:eastAsia="Arabic Typesetting" w:hAnsi="Arabic Typesetting" w:cs="Arabic Typesetting" w:hint="cs"/>
                <w:b/>
                <w:bCs/>
                <w:color w:val="0070C0"/>
                <w:sz w:val="28"/>
                <w:szCs w:val="28"/>
                <w:rtl/>
                <w:lang w:eastAsia="ar-EG" w:bidi="ar-EG"/>
              </w:rPr>
              <w:t> </w:t>
            </w:r>
            <w:r w:rsidRPr="00AC18A4">
              <w:rPr>
                <w:rFonts w:ascii="Arabic Typesetting" w:eastAsia="Arabic Typesetting" w:hAnsi="Arabic Typesetting" w:cs="Arabic Typesetting"/>
                <w:b/>
                <w:bCs/>
                <w:color w:val="0070C0"/>
                <w:sz w:val="28"/>
                <w:szCs w:val="28"/>
                <w:rtl/>
                <w:lang w:eastAsia="ar-EG" w:bidi="ar-EG"/>
              </w:rPr>
              <w:t>2016</w:t>
            </w:r>
          </w:p>
        </w:tc>
      </w:tr>
      <w:tr w:rsidR="00CE6E0B" w:rsidRPr="00AC18A4" w14:paraId="3E01C8B3" w14:textId="77777777" w:rsidTr="00BB3820">
        <w:trPr>
          <w:trHeight w:val="922"/>
        </w:trPr>
        <w:tc>
          <w:tcPr>
            <w:tcW w:w="1072" w:type="pct"/>
            <w:shd w:val="clear" w:color="auto" w:fill="auto"/>
            <w:tcMar>
              <w:left w:w="58" w:type="dxa"/>
              <w:right w:w="58" w:type="dxa"/>
            </w:tcMar>
          </w:tcPr>
          <w:p w14:paraId="39B60448"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دورات ومناهج جديدة ومُحسَّنة بشأن الملكية الفكرية في المؤسسات التعليمية</w:t>
            </w:r>
          </w:p>
        </w:tc>
        <w:tc>
          <w:tcPr>
            <w:tcW w:w="1325" w:type="pct"/>
            <w:shd w:val="clear" w:color="auto" w:fill="auto"/>
            <w:tcMar>
              <w:left w:w="58" w:type="dxa"/>
              <w:right w:w="58" w:type="dxa"/>
            </w:tcMar>
          </w:tcPr>
          <w:p w14:paraId="16CF100E" w14:textId="77777777" w:rsidR="00CE6E0B" w:rsidRPr="00AC18A4"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C18A4">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AC18A4">
              <w:rPr>
                <w:rFonts w:ascii="Arabic Typesetting" w:eastAsia="Arabic Typesetting" w:hAnsi="Arabic Typesetting" w:cs="Arabic Typesetting"/>
                <w:i/>
                <w:iCs/>
                <w:color w:val="002060"/>
                <w:sz w:val="28"/>
                <w:szCs w:val="28"/>
                <w:lang w:eastAsia="ar-EG" w:bidi="ar-EG"/>
              </w:rPr>
              <w:br/>
            </w:r>
            <w:r w:rsidRPr="00AC18A4">
              <w:rPr>
                <w:rFonts w:ascii="Arabic Typesetting" w:eastAsia="Arabic Typesetting" w:hAnsi="Arabic Typesetting" w:cs="Arabic Typesetting"/>
                <w:color w:val="002060"/>
                <w:sz w:val="28"/>
                <w:szCs w:val="28"/>
                <w:rtl/>
                <w:lang w:eastAsia="ar-EG" w:bidi="ar-EG"/>
              </w:rPr>
              <w:t>3 برامج تعليمية جديدة</w:t>
            </w:r>
            <w:r>
              <w:rPr>
                <w:rFonts w:ascii="Arabic Typesetting" w:eastAsia="Arabic Typesetting" w:hAnsi="Arabic Typesetting" w:cs="Arabic Typesetting"/>
                <w:color w:val="002060"/>
                <w:sz w:val="28"/>
                <w:szCs w:val="28"/>
                <w:rtl/>
                <w:lang w:eastAsia="ar-EG" w:bidi="ar-EG"/>
              </w:rPr>
              <w:br/>
            </w:r>
            <w:r w:rsidRPr="00AC18A4">
              <w:rPr>
                <w:rFonts w:ascii="Arabic Typesetting" w:eastAsia="Arabic Typesetting" w:hAnsi="Arabic Typesetting" w:cs="Arabic Typesetting"/>
                <w:color w:val="002060"/>
                <w:sz w:val="28"/>
                <w:szCs w:val="28"/>
                <w:rtl/>
                <w:lang w:eastAsia="ar-EG" w:bidi="ar-EG"/>
              </w:rPr>
              <w:t>5 جامعات عززت برامج الملكية الفكرية القائمة (في 2014/15)</w:t>
            </w:r>
          </w:p>
          <w:p w14:paraId="20A7B105" w14:textId="77777777" w:rsidR="00CE6E0B" w:rsidRPr="00AC18A4"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AC18A4">
              <w:rPr>
                <w:rFonts w:ascii="Arabic Typesetting" w:eastAsia="Arabic Typesetting" w:hAnsi="Arabic Typesetting" w:cs="Arabic Typesetting"/>
                <w:i/>
                <w:iCs/>
                <w:sz w:val="28"/>
                <w:szCs w:val="28"/>
                <w:rtl/>
                <w:lang w:eastAsia="ar-EG" w:bidi="ar-EG"/>
              </w:rPr>
              <w:t>‏أساس المقارنة الأصلي:</w:t>
            </w:r>
            <w:r w:rsidRPr="00AC18A4">
              <w:rPr>
                <w:rFonts w:ascii="Arabic Typesetting" w:eastAsia="Arabic Typesetting" w:hAnsi="Arabic Typesetting" w:cs="Arabic Typesetting"/>
                <w:i/>
                <w:sz w:val="28"/>
                <w:szCs w:val="28"/>
                <w:lang w:eastAsia="ar-EG" w:bidi="ar-EG"/>
              </w:rPr>
              <w:br/>
            </w:r>
            <w:r w:rsidRPr="00AC18A4">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AC18A4">
              <w:rPr>
                <w:rFonts w:ascii="Arabic Typesetting" w:eastAsia="Arabic Typesetting" w:hAnsi="Arabic Typesetting" w:cs="Arabic Typesetting"/>
                <w:sz w:val="28"/>
                <w:szCs w:val="28"/>
                <w:rtl/>
                <w:lang w:eastAsia="ar-EG" w:bidi="ar-EG"/>
              </w:rPr>
              <w:t>5</w:t>
            </w:r>
          </w:p>
        </w:tc>
        <w:tc>
          <w:tcPr>
            <w:tcW w:w="598" w:type="pct"/>
            <w:shd w:val="clear" w:color="auto" w:fill="auto"/>
            <w:tcMar>
              <w:top w:w="110" w:type="dxa"/>
              <w:left w:w="58" w:type="dxa"/>
              <w:right w:w="58" w:type="dxa"/>
            </w:tcMar>
          </w:tcPr>
          <w:p w14:paraId="5C3ECEAD"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‏زيادة بنسبة 20%</w:t>
            </w:r>
          </w:p>
        </w:tc>
        <w:tc>
          <w:tcPr>
            <w:tcW w:w="1492" w:type="pct"/>
            <w:shd w:val="clear" w:color="auto" w:fill="FFFFFF"/>
            <w:tcMar>
              <w:top w:w="110" w:type="dxa"/>
              <w:left w:w="58" w:type="dxa"/>
              <w:right w:w="58" w:type="dxa"/>
            </w:tcMar>
          </w:tcPr>
          <w:p w14:paraId="708BB616" w14:textId="77777777" w:rsidR="00CE6E0B" w:rsidRPr="00AC18A4" w:rsidRDefault="00CE6E0B" w:rsidP="0031289D">
            <w:pPr>
              <w:keepNext/>
              <w:bidi/>
              <w:spacing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3 جامعات وضعت برامج تعليمية جديدة:</w:t>
            </w:r>
          </w:p>
          <w:p w14:paraId="3AD551C5" w14:textId="77777777" w:rsidR="00CE6E0B" w:rsidRPr="00AC18A4" w:rsidRDefault="00CE6E0B" w:rsidP="0031289D">
            <w:pPr>
              <w:keepNext/>
              <w:numPr>
                <w:ilvl w:val="0"/>
                <w:numId w:val="21"/>
              </w:numPr>
              <w:bidi/>
              <w:spacing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جامعة أنقرة مع المكتب التركي للبراءات والعلامات التجارية (تركيا)</w:t>
            </w:r>
          </w:p>
          <w:p w14:paraId="24AEBC13" w14:textId="77777777" w:rsidR="00CE6E0B" w:rsidRPr="00AC18A4" w:rsidRDefault="00CE6E0B" w:rsidP="0031289D">
            <w:pPr>
              <w:keepNext/>
              <w:numPr>
                <w:ilvl w:val="0"/>
                <w:numId w:val="21"/>
              </w:numPr>
              <w:bidi/>
              <w:spacing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جامعة تونغجي (الصين)</w:t>
            </w:r>
          </w:p>
          <w:p w14:paraId="5E71DFA5" w14:textId="77777777" w:rsidR="00CE6E0B" w:rsidRPr="00AC18A4" w:rsidRDefault="00CE6E0B" w:rsidP="0031289D">
            <w:pPr>
              <w:keepNext/>
              <w:numPr>
                <w:ilvl w:val="0"/>
                <w:numId w:val="21"/>
              </w:num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 xml:space="preserve">جامعة وست إنديز، الحرم الجامعي مونا (جامايكا) </w:t>
            </w:r>
          </w:p>
          <w:p w14:paraId="519DA65D" w14:textId="77777777" w:rsidR="00CE6E0B" w:rsidRPr="00AC18A4" w:rsidRDefault="00CE6E0B" w:rsidP="0031289D">
            <w:pPr>
              <w:keepNext/>
              <w:bidi/>
              <w:spacing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جامعتان عززتا برامج تعليمية قائمة:</w:t>
            </w:r>
          </w:p>
          <w:p w14:paraId="28042D6E" w14:textId="77777777" w:rsidR="00CE6E0B" w:rsidRPr="00AC18A4" w:rsidRDefault="00CE6E0B" w:rsidP="0031289D">
            <w:pPr>
              <w:keepNext/>
              <w:numPr>
                <w:ilvl w:val="0"/>
                <w:numId w:val="21"/>
              </w:numPr>
              <w:bidi/>
              <w:spacing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مجلس نيكاراغاوا للعلوم والتكنولوجيا (</w:t>
            </w:r>
            <w:r w:rsidRPr="00AC18A4">
              <w:rPr>
                <w:rFonts w:ascii="Arabic Typesetting" w:eastAsia="Arabic Typesetting" w:hAnsi="Arabic Typesetting" w:cs="Arabic Typesetting"/>
                <w:color w:val="000000"/>
                <w:sz w:val="28"/>
                <w:szCs w:val="28"/>
                <w:lang w:eastAsia="ar-EG" w:bidi="ar-EG"/>
              </w:rPr>
              <w:t>CONICYT</w:t>
            </w:r>
            <w:r w:rsidRPr="00AC18A4">
              <w:rPr>
                <w:rFonts w:ascii="Arabic Typesetting" w:eastAsia="Arabic Typesetting" w:hAnsi="Arabic Typesetting" w:cs="Arabic Typesetting"/>
                <w:color w:val="000000"/>
                <w:sz w:val="28"/>
                <w:szCs w:val="28"/>
                <w:rtl/>
                <w:lang w:eastAsia="ar-EG" w:bidi="ar-EG"/>
              </w:rPr>
              <w:t>) وجامعة مارتن لوثر (نيكاراغوا)</w:t>
            </w:r>
          </w:p>
          <w:p w14:paraId="434FA12A" w14:textId="77777777" w:rsidR="00CE6E0B" w:rsidRPr="00E83395" w:rsidRDefault="00CE6E0B" w:rsidP="0031289D">
            <w:pPr>
              <w:keepNext/>
              <w:numPr>
                <w:ilvl w:val="0"/>
                <w:numId w:val="21"/>
              </w:numPr>
              <w:bidi/>
              <w:spacing w:line="280" w:lineRule="exact"/>
              <w:rPr>
                <w:rFonts w:ascii="Arabic Typesetting" w:eastAsia="Arabic Typesetting" w:hAnsi="Arabic Typesetting" w:cs="Arabic Typesetting"/>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جامعة وست إنديز، كيف هيلز (بربادوس)</w:t>
            </w:r>
          </w:p>
          <w:p w14:paraId="60E697AE" w14:textId="77777777" w:rsidR="00CE6E0B" w:rsidRPr="00AC18A4" w:rsidRDefault="00CE6E0B" w:rsidP="0031289D">
            <w:pPr>
              <w:keepNext/>
              <w:bidi/>
              <w:spacing w:after="120" w:line="280" w:lineRule="exact"/>
              <w:ind w:left="360"/>
              <w:rPr>
                <w:rFonts w:ascii="Arabic Typesetting" w:eastAsia="Arabic Typesetting" w:hAnsi="Arabic Typesetting" w:cs="Arabic Typesetting"/>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(2016)</w:t>
            </w:r>
          </w:p>
        </w:tc>
        <w:tc>
          <w:tcPr>
            <w:tcW w:w="513" w:type="pct"/>
            <w:shd w:val="clear" w:color="auto" w:fill="auto"/>
            <w:tcMar>
              <w:top w:w="110" w:type="dxa"/>
              <w:left w:w="58" w:type="dxa"/>
              <w:right w:w="58" w:type="dxa"/>
            </w:tcMar>
          </w:tcPr>
          <w:p w14:paraId="0955DCBC" w14:textId="77777777" w:rsidR="00CE6E0B" w:rsidRPr="00AC18A4"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AC18A4">
              <w:rPr>
                <w:rFonts w:ascii="Arabic Typesetting" w:eastAsia="Arabic Typesetting" w:hAnsi="Arabic Typesetting" w:cs="Arabic Typesetting"/>
                <w:b/>
                <w:bCs/>
                <w:color w:val="00B050"/>
                <w:sz w:val="28"/>
                <w:szCs w:val="28"/>
                <w:rtl/>
                <w:lang w:eastAsia="ar-EG" w:bidi="ar-EG"/>
              </w:rPr>
              <w:t>ثابت</w:t>
            </w:r>
            <w:r w:rsidRPr="00AC18A4">
              <w:rPr>
                <w:rFonts w:ascii="Arabic Typesetting" w:eastAsia="Arabic Typesetting" w:hAnsi="Arabic Typesetting" w:cs="Arabic Typesetting"/>
                <w:b/>
                <w:bCs/>
                <w:color w:val="FF0000"/>
                <w:sz w:val="28"/>
                <w:szCs w:val="28"/>
                <w:rtl/>
                <w:lang w:eastAsia="ar-EG" w:bidi="ar-EG"/>
              </w:rPr>
              <w:t xml:space="preserve"> </w:t>
            </w:r>
          </w:p>
        </w:tc>
      </w:tr>
      <w:tr w:rsidR="00CE6E0B" w:rsidRPr="00AC18A4" w14:paraId="5C102E3C" w14:textId="77777777" w:rsidTr="00BB3820">
        <w:trPr>
          <w:trHeight w:val="1036"/>
        </w:trPr>
        <w:tc>
          <w:tcPr>
            <w:tcW w:w="1072" w:type="pct"/>
            <w:shd w:val="clear" w:color="auto" w:fill="auto"/>
            <w:tcMar>
              <w:left w:w="58" w:type="dxa"/>
              <w:right w:w="58" w:type="dxa"/>
            </w:tcMar>
          </w:tcPr>
          <w:p w14:paraId="657D61E7" w14:textId="77777777" w:rsidR="00CE6E0B" w:rsidRPr="00AC18A4"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تعزيز التوازن في التوزيع الجغرافي للمدارس الصيفية</w:t>
            </w:r>
          </w:p>
        </w:tc>
        <w:tc>
          <w:tcPr>
            <w:tcW w:w="1325" w:type="pct"/>
            <w:shd w:val="clear" w:color="auto" w:fill="auto"/>
            <w:tcMar>
              <w:left w:w="58" w:type="dxa"/>
              <w:right w:w="58" w:type="dxa"/>
            </w:tcMar>
          </w:tcPr>
          <w:p w14:paraId="1621C3D2" w14:textId="77777777" w:rsidR="00CE6E0B" w:rsidRPr="00AC18A4"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C18A4">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AC18A4">
              <w:rPr>
                <w:rFonts w:ascii="Arabic Typesetting" w:eastAsia="Arabic Typesetting" w:hAnsi="Arabic Typesetting" w:cs="Arabic Typesetting"/>
                <w:i/>
                <w:iCs/>
                <w:color w:val="002060"/>
                <w:sz w:val="28"/>
                <w:szCs w:val="28"/>
                <w:lang w:eastAsia="ar-EG" w:bidi="ar-EG"/>
              </w:rPr>
              <w:br/>
            </w:r>
            <w:r w:rsidRPr="00AC18A4">
              <w:rPr>
                <w:rFonts w:ascii="Arabic Typesetting" w:eastAsia="Arabic Typesetting" w:hAnsi="Arabic Typesetting" w:cs="Arabic Typesetting"/>
                <w:color w:val="002060"/>
                <w:sz w:val="28"/>
                <w:szCs w:val="28"/>
                <w:rtl/>
                <w:lang w:eastAsia="ar-EG" w:bidi="ar-EG"/>
              </w:rPr>
              <w:t>7 مناطق</w:t>
            </w:r>
            <w:r>
              <w:rPr>
                <w:rFonts w:ascii="Arabic Typesetting" w:eastAsia="Arabic Typesetting" w:hAnsi="Arabic Typesetting" w:cs="Arabic Typesetting" w:hint="cs"/>
                <w:color w:val="002060"/>
                <w:sz w:val="28"/>
                <w:szCs w:val="28"/>
                <w:rtl/>
                <w:lang w:eastAsia="ar-EG" w:bidi="ar-EG"/>
              </w:rPr>
              <w:t xml:space="preserve"> (</w:t>
            </w:r>
            <w:r w:rsidRPr="00AC18A4">
              <w:rPr>
                <w:rFonts w:ascii="Arabic Typesetting" w:eastAsia="Arabic Typesetting" w:hAnsi="Arabic Typesetting" w:cs="Arabic Typesetting"/>
                <w:color w:val="002060"/>
                <w:sz w:val="28"/>
                <w:szCs w:val="28"/>
                <w:rtl/>
                <w:lang w:eastAsia="ar-EG" w:bidi="ar-EG"/>
              </w:rPr>
              <w:t xml:space="preserve">أفريقيا وآسيا </w:t>
            </w:r>
            <w:r>
              <w:rPr>
                <w:rFonts w:ascii="Arabic Typesetting" w:eastAsia="Arabic Typesetting" w:hAnsi="Arabic Typesetting" w:cs="Arabic Typesetting"/>
                <w:color w:val="002060"/>
                <w:sz w:val="28"/>
                <w:szCs w:val="28"/>
                <w:rtl/>
                <w:lang w:eastAsia="ar-EG" w:bidi="ar-EG"/>
              </w:rPr>
              <w:t>والصين وأوروبا الوسطى والشرقية</w:t>
            </w:r>
            <w:r>
              <w:rPr>
                <w:rFonts w:ascii="Arabic Typesetting" w:eastAsia="Arabic Typesetting" w:hAnsi="Arabic Typesetting" w:cs="Arabic Typesetting" w:hint="cs"/>
                <w:color w:val="002060"/>
                <w:sz w:val="28"/>
                <w:szCs w:val="28"/>
                <w:rtl/>
                <w:lang w:eastAsia="ar-EG" w:bidi="ar-EG"/>
              </w:rPr>
              <w:t xml:space="preserve"> </w:t>
            </w:r>
            <w:r w:rsidRPr="00AC18A4">
              <w:rPr>
                <w:rFonts w:ascii="Arabic Typesetting" w:eastAsia="Arabic Typesetting" w:hAnsi="Arabic Typesetting" w:cs="Arabic Typesetting"/>
                <w:color w:val="002060"/>
                <w:sz w:val="28"/>
                <w:szCs w:val="28"/>
                <w:rtl/>
                <w:lang w:eastAsia="ar-EG" w:bidi="ar-EG"/>
              </w:rPr>
              <w:t>وأوروبا الغربية وأمريكا اللاتينية وأمريكا الشمالية</w:t>
            </w:r>
            <w:r>
              <w:rPr>
                <w:rFonts w:ascii="Arabic Typesetting" w:eastAsia="Arabic Typesetting" w:hAnsi="Arabic Typesetting" w:cs="Arabic Typesetting" w:hint="cs"/>
                <w:color w:val="002060"/>
                <w:sz w:val="28"/>
                <w:szCs w:val="28"/>
                <w:rtl/>
                <w:lang w:eastAsia="ar-EG" w:bidi="ar-EG"/>
              </w:rPr>
              <w:t>)</w:t>
            </w:r>
          </w:p>
          <w:p w14:paraId="28620E28" w14:textId="77777777" w:rsidR="00CE6E0B" w:rsidRPr="00AC18A4" w:rsidRDefault="00CE6E0B" w:rsidP="0031289D">
            <w:pPr>
              <w:bidi/>
              <w:spacing w:after="120" w:line="280" w:lineRule="exact"/>
              <w:rPr>
                <w:rFonts w:ascii="Arabic Typesetting" w:eastAsia="Arabic Typesetting" w:hAnsi="Arabic Typesetting" w:cs="Arabic Typesetting"/>
                <w:i/>
                <w:sz w:val="28"/>
                <w:szCs w:val="28"/>
                <w:lang w:eastAsia="ar-EG" w:bidi="ar-EG"/>
              </w:rPr>
            </w:pPr>
            <w:r w:rsidRPr="00AC18A4">
              <w:rPr>
                <w:rFonts w:ascii="Arabic Typesetting" w:eastAsia="Arabic Typesetting" w:hAnsi="Arabic Typesetting" w:cs="Arabic Typesetting"/>
                <w:i/>
                <w:iCs/>
                <w:sz w:val="28"/>
                <w:szCs w:val="28"/>
                <w:rtl/>
                <w:lang w:eastAsia="ar-EG" w:bidi="ar-EG"/>
              </w:rPr>
              <w:t>‏أساس المقارنة الأصلي:</w:t>
            </w:r>
            <w:r w:rsidRPr="00AC18A4">
              <w:rPr>
                <w:rFonts w:ascii="Arabic Typesetting" w:eastAsia="Arabic Typesetting" w:hAnsi="Arabic Typesetting" w:cs="Arabic Typesetting"/>
                <w:i/>
                <w:sz w:val="28"/>
                <w:szCs w:val="28"/>
                <w:lang w:eastAsia="ar-EG" w:bidi="ar-EG"/>
              </w:rPr>
              <w:br/>
            </w:r>
            <w:r w:rsidRPr="00AC18A4">
              <w:rPr>
                <w:rFonts w:ascii="Arabic Typesetting" w:eastAsia="Arabic Typesetting" w:hAnsi="Arabic Typesetting" w:cs="Arabic Typesetting"/>
                <w:i/>
                <w:iCs/>
                <w:sz w:val="28"/>
                <w:szCs w:val="28"/>
                <w:rtl/>
                <w:lang w:eastAsia="ar-EG" w:bidi="ar-EG"/>
              </w:rPr>
              <w:t>برنامج وميزانية 2016/17:</w:t>
            </w:r>
            <w:r w:rsidRPr="00AC18A4">
              <w:rPr>
                <w:rFonts w:ascii="Arabic Typesetting" w:eastAsia="Arabic Typesetting" w:hAnsi="Arabic Typesetting" w:cs="Arabic Typesetting"/>
                <w:i/>
                <w:iCs/>
                <w:sz w:val="28"/>
                <w:szCs w:val="28"/>
                <w:lang w:eastAsia="ar-EG" w:bidi="ar-EG"/>
              </w:rPr>
              <w:br/>
            </w:r>
            <w:r>
              <w:rPr>
                <w:rFonts w:ascii="Arabic Typesetting" w:eastAsia="Arabic Typesetting" w:hAnsi="Arabic Typesetting" w:cs="Arabic Typesetting"/>
                <w:color w:val="000000"/>
                <w:sz w:val="28"/>
                <w:szCs w:val="28"/>
                <w:rtl/>
                <w:lang w:eastAsia="ar-EG" w:bidi="ar-EG"/>
              </w:rPr>
              <w:t>6 مناطق</w:t>
            </w:r>
          </w:p>
        </w:tc>
        <w:tc>
          <w:tcPr>
            <w:tcW w:w="598" w:type="pct"/>
            <w:shd w:val="clear" w:color="auto" w:fill="auto"/>
            <w:tcMar>
              <w:top w:w="110" w:type="dxa"/>
              <w:left w:w="58" w:type="dxa"/>
              <w:right w:w="58" w:type="dxa"/>
            </w:tcMar>
          </w:tcPr>
          <w:p w14:paraId="54C5D737" w14:textId="77777777" w:rsidR="00CE6E0B" w:rsidRPr="00AC18A4"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C18A4">
              <w:rPr>
                <w:rFonts w:ascii="Arabic Typesetting" w:eastAsia="Arabic Typesetting" w:hAnsi="Arabic Typesetting" w:cs="Arabic Typesetting"/>
                <w:i/>
                <w:iCs/>
                <w:color w:val="002060"/>
                <w:sz w:val="28"/>
                <w:szCs w:val="28"/>
                <w:rtl/>
                <w:lang w:eastAsia="ar-EG" w:bidi="ar-EG"/>
              </w:rPr>
              <w:t>الهدف المحدَّث:</w:t>
            </w:r>
            <w:r w:rsidRPr="00AC18A4">
              <w:rPr>
                <w:rFonts w:ascii="Arabic Typesetting" w:eastAsia="Arabic Typesetting" w:hAnsi="Arabic Typesetting" w:cs="Arabic Typesetting"/>
                <w:i/>
                <w:iCs/>
                <w:color w:val="002060"/>
                <w:sz w:val="28"/>
                <w:szCs w:val="28"/>
                <w:lang w:eastAsia="ar-EG" w:bidi="ar-EG"/>
              </w:rPr>
              <w:br/>
            </w:r>
            <w:r w:rsidRPr="00AC18A4">
              <w:rPr>
                <w:rFonts w:ascii="Arabic Typesetting" w:eastAsia="Arabic Typesetting" w:hAnsi="Arabic Typesetting" w:cs="Arabic Typesetting"/>
                <w:color w:val="002060"/>
                <w:sz w:val="28"/>
                <w:szCs w:val="28"/>
                <w:rtl/>
                <w:lang w:eastAsia="ar-EG" w:bidi="ar-EG"/>
              </w:rPr>
              <w:t>الإبقاء على 7 مناطق</w:t>
            </w:r>
          </w:p>
          <w:p w14:paraId="44DE4C25" w14:textId="77777777" w:rsidR="00CE6E0B" w:rsidRPr="00AC18A4" w:rsidRDefault="00CE6E0B" w:rsidP="0031289D">
            <w:pPr>
              <w:keepNext/>
              <w:keepLines/>
              <w:bidi/>
              <w:spacing w:after="120" w:line="280" w:lineRule="exact"/>
              <w:rPr>
                <w:rFonts w:ascii="Arabic Typesetting" w:eastAsia="Arabic Typesetting" w:hAnsi="Arabic Typesetting" w:cs="Arabic Typesetting"/>
                <w:color w:val="000000"/>
                <w:sz w:val="28"/>
                <w:szCs w:val="28"/>
                <w:highlight w:val="yellow"/>
                <w:lang w:eastAsia="ar-EG" w:bidi="ar-EG"/>
              </w:rPr>
            </w:pPr>
            <w:r w:rsidRPr="00AC18A4">
              <w:rPr>
                <w:rFonts w:ascii="Arabic Typesetting" w:eastAsia="Arabic Typesetting" w:hAnsi="Arabic Typesetting" w:cs="Arabic Typesetting"/>
                <w:i/>
                <w:iCs/>
                <w:sz w:val="28"/>
                <w:szCs w:val="28"/>
                <w:rtl/>
                <w:lang w:eastAsia="ar-EG" w:bidi="ar-EG"/>
              </w:rPr>
              <w:t>الهدف الأصلي:</w:t>
            </w:r>
            <w:r w:rsidRPr="00AC18A4">
              <w:rPr>
                <w:rFonts w:ascii="Arabic Typesetting" w:eastAsia="Arabic Typesetting" w:hAnsi="Arabic Typesetting" w:cs="Arabic Typesetting"/>
                <w:i/>
                <w:sz w:val="28"/>
                <w:szCs w:val="28"/>
                <w:lang w:eastAsia="ar-EG" w:bidi="ar-EG"/>
              </w:rPr>
              <w:br/>
            </w:r>
            <w:r w:rsidRPr="00AC18A4">
              <w:rPr>
                <w:rFonts w:ascii="Arabic Typesetting" w:eastAsia="Arabic Typesetting" w:hAnsi="Arabic Typesetting" w:cs="Arabic Typesetting"/>
                <w:i/>
                <w:iCs/>
                <w:sz w:val="28"/>
                <w:szCs w:val="28"/>
                <w:rtl/>
                <w:lang w:eastAsia="ar-EG" w:bidi="ar-EG"/>
              </w:rPr>
              <w:t>برنامج وميزانية 2016/17:</w:t>
            </w:r>
            <w:r w:rsidRPr="00AC18A4">
              <w:rPr>
                <w:rFonts w:ascii="Arabic Typesetting" w:eastAsia="Arabic Typesetting" w:hAnsi="Arabic Typesetting" w:cs="Arabic Typesetting"/>
                <w:i/>
                <w:iCs/>
                <w:sz w:val="28"/>
                <w:szCs w:val="28"/>
                <w:lang w:eastAsia="ar-EG" w:bidi="ar-EG"/>
              </w:rPr>
              <w:br/>
            </w:r>
            <w:r w:rsidRPr="00AC18A4">
              <w:rPr>
                <w:rFonts w:ascii="Arabic Typesetting" w:eastAsia="Arabic Typesetting" w:hAnsi="Arabic Typesetting" w:cs="Arabic Typesetting"/>
                <w:color w:val="000000"/>
                <w:sz w:val="28"/>
                <w:szCs w:val="28"/>
                <w:rtl/>
                <w:lang w:eastAsia="ar-EG" w:bidi="ar-EG"/>
              </w:rPr>
              <w:t>7 مناطق</w:t>
            </w:r>
          </w:p>
        </w:tc>
        <w:tc>
          <w:tcPr>
            <w:tcW w:w="1492" w:type="pct"/>
            <w:shd w:val="clear" w:color="auto" w:fill="FFFFFF"/>
            <w:tcMar>
              <w:top w:w="110" w:type="dxa"/>
              <w:left w:w="58" w:type="dxa"/>
              <w:right w:w="58" w:type="dxa"/>
            </w:tcMar>
          </w:tcPr>
          <w:p w14:paraId="1F1C0840" w14:textId="77777777" w:rsidR="00CE6E0B" w:rsidRPr="00AC18A4"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C18A4">
              <w:rPr>
                <w:rFonts w:ascii="Arabic Typesetting" w:eastAsia="Arabic Typesetting" w:hAnsi="Arabic Typesetting" w:cs="Arabic Typesetting"/>
                <w:color w:val="000000"/>
                <w:sz w:val="28"/>
                <w:szCs w:val="28"/>
                <w:rtl/>
                <w:lang w:eastAsia="ar-EG" w:bidi="ar-EG"/>
              </w:rPr>
              <w:t>أُبقي على 7 مناطق</w:t>
            </w:r>
          </w:p>
        </w:tc>
        <w:tc>
          <w:tcPr>
            <w:tcW w:w="513" w:type="pct"/>
            <w:shd w:val="clear" w:color="auto" w:fill="auto"/>
            <w:tcMar>
              <w:top w:w="110" w:type="dxa"/>
              <w:left w:w="58" w:type="dxa"/>
              <w:right w:w="58" w:type="dxa"/>
            </w:tcMar>
          </w:tcPr>
          <w:p w14:paraId="11754CCE" w14:textId="77777777" w:rsidR="00CE6E0B" w:rsidRPr="00AC18A4" w:rsidRDefault="00CE6E0B"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AC18A4">
              <w:rPr>
                <w:rFonts w:ascii="Arabic Typesetting" w:eastAsia="Arabic Typesetting" w:hAnsi="Arabic Typesetting" w:cs="Arabic Typesetting"/>
                <w:b/>
                <w:bCs/>
                <w:color w:val="00B050"/>
                <w:sz w:val="28"/>
                <w:szCs w:val="28"/>
                <w:rtl/>
                <w:lang w:eastAsia="ar-EG" w:bidi="ar-EG"/>
              </w:rPr>
              <w:t>ثابت</w:t>
            </w:r>
          </w:p>
        </w:tc>
      </w:tr>
    </w:tbl>
    <w:p w14:paraId="73CAA4DC" w14:textId="77777777" w:rsidR="00CE6E0B" w:rsidRDefault="00CE6E0B" w:rsidP="0031289D">
      <w:pPr>
        <w:bidi/>
      </w:pPr>
    </w:p>
    <w:tbl>
      <w:tblPr>
        <w:tblStyle w:val="TableGrid"/>
        <w:bidiVisual/>
        <w:tblW w:w="0" w:type="auto"/>
        <w:tblLook w:val="04A0" w:firstRow="1" w:lastRow="0" w:firstColumn="1" w:lastColumn="0" w:noHBand="0" w:noVBand="1"/>
      </w:tblPr>
      <w:tblGrid>
        <w:gridCol w:w="9571"/>
      </w:tblGrid>
      <w:tr w:rsidR="00CE6E0B" w14:paraId="2F5052F6" w14:textId="77777777" w:rsidTr="00BB3820">
        <w:tc>
          <w:tcPr>
            <w:tcW w:w="9571" w:type="dxa"/>
            <w:tcBorders>
              <w:top w:val="nil"/>
              <w:left w:val="nil"/>
              <w:bottom w:val="nil"/>
              <w:right w:val="nil"/>
            </w:tcBorders>
            <w:shd w:val="clear" w:color="auto" w:fill="C6D9F1"/>
            <w:vAlign w:val="center"/>
          </w:tcPr>
          <w:p w14:paraId="40238FCC" w14:textId="77777777" w:rsidR="00CE6E0B" w:rsidRPr="00A2672B" w:rsidRDefault="00CE6E0B"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11</w:t>
            </w:r>
          </w:p>
        </w:tc>
      </w:tr>
    </w:tbl>
    <w:p w14:paraId="378B76A4" w14:textId="77777777" w:rsidR="00CE6E0B" w:rsidRPr="00FE3908"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7C535228" w14:textId="77777777" w:rsidR="00CE6E0B" w:rsidRDefault="00CE6E0B"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E6E0B" w:rsidRPr="00211D55" w14:paraId="0388E0A6"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2383CDE8"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127EFD0C"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2CBE7EF1" w14:textId="77777777" w:rsidR="00CE6E0B" w:rsidRPr="00A2672B" w:rsidRDefault="00CE6E0B"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2318A544"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CE6E0B" w:rsidRPr="00AC18A4" w14:paraId="17F87B43" w14:textId="77777777" w:rsidTr="00BB3820">
        <w:trPr>
          <w:trHeight w:val="55"/>
        </w:trPr>
        <w:tc>
          <w:tcPr>
            <w:tcW w:w="413" w:type="pct"/>
            <w:shd w:val="clear" w:color="auto" w:fill="auto"/>
            <w:noWrap/>
            <w:tcMar>
              <w:top w:w="15" w:type="dxa"/>
              <w:left w:w="15" w:type="dxa"/>
              <w:bottom w:w="0" w:type="dxa"/>
              <w:right w:w="15" w:type="dxa"/>
            </w:tcMar>
            <w:vAlign w:val="center"/>
          </w:tcPr>
          <w:p w14:paraId="351EE399" w14:textId="77777777" w:rsidR="00CE6E0B" w:rsidRPr="00211D55" w:rsidRDefault="00CE6E0B" w:rsidP="0031289D">
            <w:pPr>
              <w:bidi/>
              <w:spacing w:before="120" w:after="120"/>
              <w:rPr>
                <w:rFonts w:ascii="Arabic Typesetting" w:hAnsi="Arabic Typesetting" w:cs="Arabic Typesetting"/>
                <w:sz w:val="28"/>
                <w:szCs w:val="28"/>
              </w:rPr>
            </w:pPr>
            <w:r>
              <w:rPr>
                <w:rFonts w:ascii="Arabic Typesetting" w:hAnsi="Arabic Typesetting" w:cs="Arabic Typesetting" w:hint="cs"/>
                <w:sz w:val="28"/>
                <w:szCs w:val="28"/>
                <w:rtl/>
              </w:rPr>
              <w:t>ه2.3</w:t>
            </w:r>
          </w:p>
        </w:tc>
        <w:tc>
          <w:tcPr>
            <w:tcW w:w="2340" w:type="pct"/>
            <w:shd w:val="clear" w:color="auto" w:fill="auto"/>
            <w:tcMar>
              <w:top w:w="15" w:type="dxa"/>
              <w:left w:w="15" w:type="dxa"/>
              <w:bottom w:w="0" w:type="dxa"/>
              <w:right w:w="15" w:type="dxa"/>
            </w:tcMar>
            <w:vAlign w:val="center"/>
          </w:tcPr>
          <w:p w14:paraId="7D0E2D42" w14:textId="77777777" w:rsidR="00CE6E0B" w:rsidRPr="00211D55" w:rsidRDefault="00CE6E0B" w:rsidP="0031289D">
            <w:pPr>
              <w:bidi/>
              <w:spacing w:before="120" w:after="120"/>
              <w:rPr>
                <w:rFonts w:ascii="Arabic Typesetting" w:hAnsi="Arabic Typesetting" w:cs="Arabic Typesetting"/>
                <w:sz w:val="28"/>
                <w:szCs w:val="28"/>
              </w:rPr>
            </w:pPr>
            <w:r w:rsidRPr="00AC18A4">
              <w:rPr>
                <w:rFonts w:ascii="Arabic Typesetting" w:hAnsi="Arabic Typesetting" w:cs="Arabic Typesetting"/>
                <w:sz w:val="28"/>
                <w:szCs w:val="28"/>
                <w:rtl/>
              </w:rPr>
              <w:t>كفاءات</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‏معزَّزة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‏للموارد</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‏البشرية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‏القادرة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‏على</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‏تلبية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‏تشكيلة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‏واسعة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‏من</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‏المتطلبات</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‏لتسخير</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‏الملكية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‏الفكرية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‏بفعالية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‏لأغراض</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‏التنمية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‏في</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‏البلدان</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‏النامية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‏والبلدان</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‏الأقل</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‏نموا</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‏والبلدان</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‏المنتقلة</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‏إلى</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w:t>
            </w:r>
            <w:r>
              <w:rPr>
                <w:rFonts w:ascii="Arabic Typesetting" w:hAnsi="Arabic Typesetting" w:cs="Arabic Typesetting" w:hint="cs"/>
                <w:sz w:val="28"/>
                <w:szCs w:val="28"/>
                <w:rtl/>
              </w:rPr>
              <w:t>نظام الاقتصاد</w:t>
            </w:r>
            <w:r w:rsidRPr="00AC18A4">
              <w:rPr>
                <w:rFonts w:ascii="Arabic Typesetting" w:hAnsi="Arabic Typesetting" w:cs="Arabic Typesetting"/>
                <w:sz w:val="28"/>
                <w:szCs w:val="28"/>
                <w:cs/>
              </w:rPr>
              <w:t>‎</w:t>
            </w:r>
            <w:r w:rsidRPr="00AC18A4">
              <w:rPr>
                <w:rFonts w:ascii="Arabic Typesetting" w:hAnsi="Arabic Typesetting" w:cs="Arabic Typesetting"/>
                <w:sz w:val="28"/>
                <w:szCs w:val="28"/>
                <w:rtl/>
              </w:rPr>
              <w:t xml:space="preserve"> ‏الحر</w:t>
            </w:r>
          </w:p>
        </w:tc>
        <w:tc>
          <w:tcPr>
            <w:tcW w:w="749" w:type="pct"/>
            <w:shd w:val="clear" w:color="auto" w:fill="auto"/>
            <w:tcMar>
              <w:top w:w="15" w:type="dxa"/>
              <w:left w:w="15" w:type="dxa"/>
              <w:bottom w:w="0" w:type="dxa"/>
              <w:right w:w="15" w:type="dxa"/>
            </w:tcMar>
            <w:vAlign w:val="center"/>
          </w:tcPr>
          <w:p w14:paraId="23EB4486" w14:textId="77777777" w:rsidR="00CE6E0B" w:rsidRPr="00AC18A4" w:rsidRDefault="00CE6E0B" w:rsidP="0031289D">
            <w:pPr>
              <w:jc w:val="center"/>
              <w:rPr>
                <w:rFonts w:ascii="Arabic Typesetting" w:hAnsi="Arabic Typesetting" w:cs="Arabic Typesetting"/>
                <w:sz w:val="28"/>
                <w:szCs w:val="28"/>
              </w:rPr>
            </w:pPr>
            <w:r w:rsidRPr="00AC18A4">
              <w:rPr>
                <w:rFonts w:ascii="Arabic Typesetting" w:hAnsi="Arabic Typesetting" w:cs="Arabic Typesetting"/>
                <w:sz w:val="28"/>
                <w:szCs w:val="28"/>
              </w:rPr>
              <w:t>13</w:t>
            </w:r>
            <w:r>
              <w:rPr>
                <w:rFonts w:ascii="Arabic Typesetting" w:hAnsi="Arabic Typesetting" w:cs="Arabic Typesetting"/>
                <w:sz w:val="28"/>
                <w:szCs w:val="28"/>
              </w:rPr>
              <w:t> </w:t>
            </w:r>
            <w:r w:rsidRPr="00AC18A4">
              <w:rPr>
                <w:rFonts w:ascii="Arabic Typesetting" w:hAnsi="Arabic Typesetting" w:cs="Arabic Typesetting"/>
                <w:sz w:val="28"/>
                <w:szCs w:val="28"/>
              </w:rPr>
              <w:t>083</w:t>
            </w:r>
          </w:p>
        </w:tc>
        <w:tc>
          <w:tcPr>
            <w:tcW w:w="749" w:type="pct"/>
            <w:shd w:val="clear" w:color="auto" w:fill="auto"/>
            <w:tcMar>
              <w:top w:w="15" w:type="dxa"/>
              <w:left w:w="15" w:type="dxa"/>
              <w:bottom w:w="0" w:type="dxa"/>
              <w:right w:w="15" w:type="dxa"/>
            </w:tcMar>
            <w:vAlign w:val="center"/>
          </w:tcPr>
          <w:p w14:paraId="13B092C9" w14:textId="77777777" w:rsidR="00CE6E0B" w:rsidRPr="00AC18A4" w:rsidRDefault="00CE6E0B" w:rsidP="0031289D">
            <w:pPr>
              <w:jc w:val="center"/>
              <w:rPr>
                <w:rFonts w:ascii="Arabic Typesetting" w:hAnsi="Arabic Typesetting" w:cs="Arabic Typesetting"/>
                <w:sz w:val="28"/>
                <w:szCs w:val="28"/>
              </w:rPr>
            </w:pPr>
            <w:r w:rsidRPr="00AC18A4">
              <w:rPr>
                <w:rFonts w:ascii="Arabic Typesetting" w:hAnsi="Arabic Typesetting" w:cs="Arabic Typesetting"/>
                <w:sz w:val="28"/>
                <w:szCs w:val="28"/>
              </w:rPr>
              <w:t>13</w:t>
            </w:r>
            <w:r>
              <w:rPr>
                <w:rFonts w:ascii="Arabic Typesetting" w:hAnsi="Arabic Typesetting" w:cs="Arabic Typesetting"/>
                <w:sz w:val="28"/>
                <w:szCs w:val="28"/>
              </w:rPr>
              <w:t> </w:t>
            </w:r>
            <w:r w:rsidRPr="00AC18A4">
              <w:rPr>
                <w:rFonts w:ascii="Arabic Typesetting" w:hAnsi="Arabic Typesetting" w:cs="Arabic Typesetting"/>
                <w:sz w:val="28"/>
                <w:szCs w:val="28"/>
              </w:rPr>
              <w:t>333</w:t>
            </w:r>
          </w:p>
        </w:tc>
        <w:tc>
          <w:tcPr>
            <w:tcW w:w="749" w:type="pct"/>
            <w:shd w:val="clear" w:color="auto" w:fill="auto"/>
            <w:noWrap/>
            <w:tcMar>
              <w:top w:w="15" w:type="dxa"/>
              <w:left w:w="15" w:type="dxa"/>
              <w:bottom w:w="0" w:type="dxa"/>
              <w:right w:w="15" w:type="dxa"/>
            </w:tcMar>
            <w:vAlign w:val="center"/>
          </w:tcPr>
          <w:p w14:paraId="77FBF525" w14:textId="77777777" w:rsidR="00CE6E0B" w:rsidRPr="00AC18A4" w:rsidRDefault="00CE6E0B" w:rsidP="0031289D">
            <w:pPr>
              <w:jc w:val="center"/>
              <w:rPr>
                <w:rFonts w:ascii="Arabic Typesetting" w:hAnsi="Arabic Typesetting" w:cs="Arabic Typesetting"/>
                <w:sz w:val="28"/>
                <w:szCs w:val="28"/>
              </w:rPr>
            </w:pPr>
            <w:r w:rsidRPr="00AC18A4">
              <w:rPr>
                <w:rFonts w:ascii="Arabic Typesetting" w:hAnsi="Arabic Typesetting" w:cs="Arabic Typesetting"/>
                <w:sz w:val="28"/>
                <w:szCs w:val="28"/>
              </w:rPr>
              <w:t>5</w:t>
            </w:r>
            <w:r>
              <w:rPr>
                <w:rFonts w:ascii="Arabic Typesetting" w:hAnsi="Arabic Typesetting" w:cs="Arabic Typesetting"/>
                <w:sz w:val="28"/>
                <w:szCs w:val="28"/>
              </w:rPr>
              <w:t> </w:t>
            </w:r>
            <w:r w:rsidRPr="00AC18A4">
              <w:rPr>
                <w:rFonts w:ascii="Arabic Typesetting" w:hAnsi="Arabic Typesetting" w:cs="Arabic Typesetting"/>
                <w:sz w:val="28"/>
                <w:szCs w:val="28"/>
              </w:rPr>
              <w:t>765</w:t>
            </w:r>
          </w:p>
        </w:tc>
      </w:tr>
      <w:tr w:rsidR="00CE6E0B" w:rsidRPr="00211D55" w14:paraId="40AFF36E"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329D85B1" w14:textId="77777777" w:rsidR="00CE6E0B" w:rsidRPr="00211D55" w:rsidRDefault="00CE6E0B"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601EB4A9" w14:textId="77777777" w:rsidR="00CE6E0B" w:rsidRPr="00280D1A" w:rsidRDefault="00CE6E0B"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15059DAD" w14:textId="77777777" w:rsidR="00CE6E0B" w:rsidRPr="00280D1A" w:rsidRDefault="00CE6E0B" w:rsidP="0031289D">
            <w:pPr>
              <w:jc w:val="center"/>
              <w:rPr>
                <w:rFonts w:ascii="Arabic Typesetting" w:hAnsi="Arabic Typesetting" w:cs="Arabic Typesetting"/>
                <w:b/>
                <w:bCs/>
                <w:sz w:val="28"/>
                <w:szCs w:val="28"/>
              </w:rPr>
            </w:pPr>
            <w:r w:rsidRPr="00280D1A">
              <w:rPr>
                <w:rFonts w:ascii="Arabic Typesetting" w:hAnsi="Arabic Typesetting" w:cs="Arabic Typesetting"/>
                <w:b/>
                <w:bCs/>
                <w:sz w:val="28"/>
                <w:szCs w:val="28"/>
              </w:rPr>
              <w:t>13 083</w:t>
            </w:r>
          </w:p>
        </w:tc>
        <w:tc>
          <w:tcPr>
            <w:tcW w:w="749" w:type="pct"/>
            <w:shd w:val="clear" w:color="auto" w:fill="C6D9F1"/>
            <w:noWrap/>
            <w:tcMar>
              <w:top w:w="15" w:type="dxa"/>
              <w:left w:w="15" w:type="dxa"/>
              <w:bottom w:w="0" w:type="dxa"/>
              <w:right w:w="15" w:type="dxa"/>
            </w:tcMar>
            <w:vAlign w:val="center"/>
          </w:tcPr>
          <w:p w14:paraId="137EA701" w14:textId="77777777" w:rsidR="00CE6E0B" w:rsidRPr="00280D1A" w:rsidRDefault="00CE6E0B" w:rsidP="0031289D">
            <w:pPr>
              <w:jc w:val="center"/>
              <w:rPr>
                <w:rFonts w:ascii="Arabic Typesetting" w:hAnsi="Arabic Typesetting" w:cs="Arabic Typesetting"/>
                <w:b/>
                <w:bCs/>
                <w:sz w:val="28"/>
                <w:szCs w:val="28"/>
              </w:rPr>
            </w:pPr>
            <w:r w:rsidRPr="00280D1A">
              <w:rPr>
                <w:rFonts w:ascii="Arabic Typesetting" w:hAnsi="Arabic Typesetting" w:cs="Arabic Typesetting"/>
                <w:b/>
                <w:bCs/>
                <w:sz w:val="28"/>
                <w:szCs w:val="28"/>
              </w:rPr>
              <w:t>13 333</w:t>
            </w:r>
          </w:p>
        </w:tc>
        <w:tc>
          <w:tcPr>
            <w:tcW w:w="749" w:type="pct"/>
            <w:shd w:val="clear" w:color="auto" w:fill="C6D9F1"/>
            <w:noWrap/>
            <w:tcMar>
              <w:top w:w="15" w:type="dxa"/>
              <w:left w:w="15" w:type="dxa"/>
              <w:bottom w:w="0" w:type="dxa"/>
              <w:right w:w="15" w:type="dxa"/>
            </w:tcMar>
            <w:vAlign w:val="center"/>
          </w:tcPr>
          <w:p w14:paraId="7CD98AD4" w14:textId="77777777" w:rsidR="00CE6E0B" w:rsidRPr="00280D1A" w:rsidRDefault="00CE6E0B" w:rsidP="0031289D">
            <w:pPr>
              <w:jc w:val="center"/>
              <w:rPr>
                <w:rFonts w:ascii="Arabic Typesetting" w:hAnsi="Arabic Typesetting" w:cs="Arabic Typesetting"/>
                <w:b/>
                <w:bCs/>
                <w:sz w:val="28"/>
                <w:szCs w:val="28"/>
              </w:rPr>
            </w:pPr>
            <w:r w:rsidRPr="00280D1A">
              <w:rPr>
                <w:rFonts w:ascii="Arabic Typesetting" w:hAnsi="Arabic Typesetting" w:cs="Arabic Typesetting"/>
                <w:b/>
                <w:bCs/>
                <w:sz w:val="28"/>
                <w:szCs w:val="28"/>
              </w:rPr>
              <w:t>5 765</w:t>
            </w:r>
          </w:p>
        </w:tc>
      </w:tr>
      <w:tr w:rsidR="00CE6E0B" w:rsidRPr="00211D55" w14:paraId="4F489BC3"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391AAC16" w14:textId="77777777" w:rsidR="00CE6E0B" w:rsidRPr="00A2672B" w:rsidRDefault="00CE6E0B"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2F8C6487" w14:textId="77777777" w:rsidR="00CE6E0B" w:rsidRPr="00252762"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37F95CF8" w14:textId="77777777" w:rsidR="00CE6E0B" w:rsidRPr="00DF1D8A" w:rsidRDefault="00CE6E0B"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CE6E0B" w:rsidRPr="00211D55" w14:paraId="72852E29" w14:textId="77777777" w:rsidTr="00BB3820">
        <w:trPr>
          <w:trHeight w:val="645"/>
        </w:trPr>
        <w:tc>
          <w:tcPr>
            <w:tcW w:w="1118" w:type="pct"/>
            <w:shd w:val="clear" w:color="auto" w:fill="C6D9F1"/>
            <w:noWrap/>
            <w:vAlign w:val="center"/>
            <w:hideMark/>
          </w:tcPr>
          <w:p w14:paraId="74706C55" w14:textId="77777777" w:rsidR="00CE6E0B" w:rsidRPr="00211D55" w:rsidRDefault="00CE6E0B"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17F8FBB5"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45DD07ED"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4B85D947"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68ED4BE3"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CE6E0B" w:rsidRPr="00211D55" w14:paraId="1B524F31" w14:textId="77777777" w:rsidTr="00BB3820">
        <w:trPr>
          <w:trHeight w:val="70"/>
        </w:trPr>
        <w:tc>
          <w:tcPr>
            <w:tcW w:w="1118" w:type="pct"/>
            <w:shd w:val="clear" w:color="auto" w:fill="auto"/>
            <w:noWrap/>
            <w:vAlign w:val="center"/>
            <w:hideMark/>
          </w:tcPr>
          <w:p w14:paraId="7A48CDE8"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56103697" w14:textId="77777777" w:rsidR="00CE6E0B" w:rsidRPr="00AC18A4" w:rsidRDefault="00CE6E0B" w:rsidP="0031289D">
            <w:pPr>
              <w:bidi/>
              <w:spacing w:before="120" w:after="120"/>
              <w:jc w:val="center"/>
              <w:rPr>
                <w:rFonts w:ascii="Arabic Typesetting" w:hAnsi="Arabic Typesetting" w:cs="Arabic Typesetting"/>
                <w:sz w:val="28"/>
                <w:szCs w:val="28"/>
              </w:rPr>
            </w:pPr>
            <w:r w:rsidRPr="00AC18A4">
              <w:rPr>
                <w:rFonts w:ascii="Arabic Typesetting" w:hAnsi="Arabic Typesetting" w:cs="Arabic Typesetting"/>
                <w:sz w:val="28"/>
                <w:szCs w:val="28"/>
              </w:rPr>
              <w:t>7</w:t>
            </w:r>
            <w:r>
              <w:rPr>
                <w:rFonts w:ascii="Arabic Typesetting" w:hAnsi="Arabic Typesetting" w:cs="Arabic Typesetting"/>
                <w:sz w:val="28"/>
                <w:szCs w:val="28"/>
              </w:rPr>
              <w:t> </w:t>
            </w:r>
            <w:r w:rsidRPr="00AC18A4">
              <w:rPr>
                <w:rFonts w:ascii="Arabic Typesetting" w:hAnsi="Arabic Typesetting" w:cs="Arabic Typesetting"/>
                <w:sz w:val="28"/>
                <w:szCs w:val="28"/>
              </w:rPr>
              <w:t>779</w:t>
            </w:r>
          </w:p>
        </w:tc>
        <w:tc>
          <w:tcPr>
            <w:tcW w:w="971" w:type="pct"/>
            <w:shd w:val="clear" w:color="auto" w:fill="auto"/>
            <w:vAlign w:val="center"/>
          </w:tcPr>
          <w:p w14:paraId="470B1BB1" w14:textId="77777777" w:rsidR="00CE6E0B" w:rsidRPr="00AC18A4" w:rsidRDefault="00CE6E0B" w:rsidP="0031289D">
            <w:pPr>
              <w:bidi/>
              <w:spacing w:before="120" w:after="120"/>
              <w:jc w:val="center"/>
              <w:rPr>
                <w:rFonts w:ascii="Arabic Typesetting" w:hAnsi="Arabic Typesetting" w:cs="Arabic Typesetting"/>
                <w:sz w:val="28"/>
                <w:szCs w:val="28"/>
              </w:rPr>
            </w:pPr>
            <w:r w:rsidRPr="00AC18A4">
              <w:rPr>
                <w:rFonts w:ascii="Arabic Typesetting" w:hAnsi="Arabic Typesetting" w:cs="Arabic Typesetting"/>
                <w:sz w:val="28"/>
                <w:szCs w:val="28"/>
              </w:rPr>
              <w:t>7</w:t>
            </w:r>
            <w:r>
              <w:rPr>
                <w:rFonts w:ascii="Arabic Typesetting" w:hAnsi="Arabic Typesetting" w:cs="Arabic Typesetting"/>
                <w:sz w:val="28"/>
                <w:szCs w:val="28"/>
              </w:rPr>
              <w:t> </w:t>
            </w:r>
            <w:r w:rsidRPr="00AC18A4">
              <w:rPr>
                <w:rFonts w:ascii="Arabic Typesetting" w:hAnsi="Arabic Typesetting" w:cs="Arabic Typesetting"/>
                <w:sz w:val="28"/>
                <w:szCs w:val="28"/>
              </w:rPr>
              <w:t>939</w:t>
            </w:r>
          </w:p>
        </w:tc>
        <w:tc>
          <w:tcPr>
            <w:tcW w:w="970" w:type="pct"/>
            <w:shd w:val="clear" w:color="auto" w:fill="auto"/>
            <w:vAlign w:val="center"/>
          </w:tcPr>
          <w:p w14:paraId="1032312B" w14:textId="77777777" w:rsidR="00CE6E0B" w:rsidRPr="00AC18A4" w:rsidRDefault="00CE6E0B" w:rsidP="0031289D">
            <w:pPr>
              <w:bidi/>
              <w:spacing w:before="120" w:after="120"/>
              <w:jc w:val="center"/>
              <w:rPr>
                <w:rFonts w:ascii="Arabic Typesetting" w:hAnsi="Arabic Typesetting" w:cs="Arabic Typesetting"/>
                <w:sz w:val="28"/>
                <w:szCs w:val="28"/>
              </w:rPr>
            </w:pPr>
            <w:r w:rsidRPr="00AC18A4">
              <w:rPr>
                <w:rFonts w:ascii="Arabic Typesetting" w:hAnsi="Arabic Typesetting" w:cs="Arabic Typesetting"/>
                <w:sz w:val="28"/>
                <w:szCs w:val="28"/>
              </w:rPr>
              <w:t>3</w:t>
            </w:r>
            <w:r>
              <w:rPr>
                <w:rFonts w:ascii="Arabic Typesetting" w:hAnsi="Arabic Typesetting" w:cs="Arabic Typesetting"/>
                <w:sz w:val="28"/>
                <w:szCs w:val="28"/>
              </w:rPr>
              <w:t> </w:t>
            </w:r>
            <w:r w:rsidRPr="00AC18A4">
              <w:rPr>
                <w:rFonts w:ascii="Arabic Typesetting" w:hAnsi="Arabic Typesetting" w:cs="Arabic Typesetting"/>
                <w:sz w:val="28"/>
                <w:szCs w:val="28"/>
              </w:rPr>
              <w:t>639</w:t>
            </w:r>
          </w:p>
        </w:tc>
        <w:tc>
          <w:tcPr>
            <w:tcW w:w="970" w:type="pct"/>
            <w:shd w:val="clear" w:color="auto" w:fill="auto"/>
            <w:vAlign w:val="center"/>
          </w:tcPr>
          <w:p w14:paraId="7094E641" w14:textId="77777777" w:rsidR="00CE6E0B" w:rsidRPr="00AC18A4" w:rsidRDefault="00CE6E0B" w:rsidP="0031289D">
            <w:pPr>
              <w:bidi/>
              <w:spacing w:before="120" w:after="120"/>
              <w:jc w:val="center"/>
              <w:rPr>
                <w:rFonts w:ascii="Arabic Typesetting" w:hAnsi="Arabic Typesetting" w:cs="Arabic Typesetting"/>
                <w:sz w:val="28"/>
                <w:szCs w:val="28"/>
              </w:rPr>
            </w:pPr>
            <w:r>
              <w:rPr>
                <w:rFonts w:ascii="Arabic Typesetting" w:hAnsi="Arabic Typesetting" w:cs="Arabic Typesetting"/>
                <w:sz w:val="28"/>
                <w:szCs w:val="28"/>
              </w:rPr>
              <w:t>%46</w:t>
            </w:r>
          </w:p>
        </w:tc>
      </w:tr>
      <w:tr w:rsidR="00CE6E0B" w:rsidRPr="00211D55" w14:paraId="46B1069B" w14:textId="77777777" w:rsidTr="00BB3820">
        <w:trPr>
          <w:trHeight w:val="70"/>
        </w:trPr>
        <w:tc>
          <w:tcPr>
            <w:tcW w:w="1118" w:type="pct"/>
            <w:shd w:val="clear" w:color="auto" w:fill="auto"/>
            <w:noWrap/>
            <w:vAlign w:val="center"/>
            <w:hideMark/>
          </w:tcPr>
          <w:p w14:paraId="3FB4BCC7"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13BAFE0E" w14:textId="77777777" w:rsidR="00CE6E0B" w:rsidRPr="00AC18A4" w:rsidRDefault="00CE6E0B" w:rsidP="0031289D">
            <w:pPr>
              <w:bidi/>
              <w:spacing w:before="120" w:after="120"/>
              <w:jc w:val="center"/>
              <w:rPr>
                <w:rFonts w:ascii="Arabic Typesetting" w:hAnsi="Arabic Typesetting" w:cs="Arabic Typesetting"/>
                <w:sz w:val="28"/>
                <w:szCs w:val="28"/>
              </w:rPr>
            </w:pPr>
            <w:r w:rsidRPr="00AC18A4">
              <w:rPr>
                <w:rFonts w:ascii="Arabic Typesetting" w:hAnsi="Arabic Typesetting" w:cs="Arabic Typesetting"/>
                <w:sz w:val="28"/>
                <w:szCs w:val="28"/>
              </w:rPr>
              <w:t>5</w:t>
            </w:r>
            <w:r>
              <w:rPr>
                <w:rFonts w:ascii="Arabic Typesetting" w:hAnsi="Arabic Typesetting" w:cs="Arabic Typesetting"/>
                <w:sz w:val="28"/>
                <w:szCs w:val="28"/>
              </w:rPr>
              <w:t> </w:t>
            </w:r>
            <w:r w:rsidRPr="00AC18A4">
              <w:rPr>
                <w:rFonts w:ascii="Arabic Typesetting" w:hAnsi="Arabic Typesetting" w:cs="Arabic Typesetting"/>
                <w:sz w:val="28"/>
                <w:szCs w:val="28"/>
              </w:rPr>
              <w:t>304</w:t>
            </w:r>
          </w:p>
        </w:tc>
        <w:tc>
          <w:tcPr>
            <w:tcW w:w="971" w:type="pct"/>
            <w:shd w:val="clear" w:color="auto" w:fill="auto"/>
            <w:vAlign w:val="center"/>
          </w:tcPr>
          <w:p w14:paraId="07B117CF" w14:textId="77777777" w:rsidR="00CE6E0B" w:rsidRPr="00AC18A4" w:rsidRDefault="00CE6E0B" w:rsidP="0031289D">
            <w:pPr>
              <w:bidi/>
              <w:spacing w:before="120" w:after="120"/>
              <w:jc w:val="center"/>
              <w:rPr>
                <w:rFonts w:ascii="Arabic Typesetting" w:hAnsi="Arabic Typesetting" w:cs="Arabic Typesetting"/>
                <w:sz w:val="28"/>
                <w:szCs w:val="28"/>
              </w:rPr>
            </w:pPr>
            <w:r w:rsidRPr="00AC18A4">
              <w:rPr>
                <w:rFonts w:ascii="Arabic Typesetting" w:hAnsi="Arabic Typesetting" w:cs="Arabic Typesetting"/>
                <w:sz w:val="28"/>
                <w:szCs w:val="28"/>
              </w:rPr>
              <w:t>5</w:t>
            </w:r>
            <w:r>
              <w:rPr>
                <w:rFonts w:ascii="Arabic Typesetting" w:hAnsi="Arabic Typesetting" w:cs="Arabic Typesetting"/>
                <w:sz w:val="28"/>
                <w:szCs w:val="28"/>
              </w:rPr>
              <w:t> </w:t>
            </w:r>
            <w:r w:rsidRPr="00AC18A4">
              <w:rPr>
                <w:rFonts w:ascii="Arabic Typesetting" w:hAnsi="Arabic Typesetting" w:cs="Arabic Typesetting"/>
                <w:sz w:val="28"/>
                <w:szCs w:val="28"/>
              </w:rPr>
              <w:t>394</w:t>
            </w:r>
          </w:p>
        </w:tc>
        <w:tc>
          <w:tcPr>
            <w:tcW w:w="970" w:type="pct"/>
            <w:shd w:val="clear" w:color="auto" w:fill="auto"/>
            <w:vAlign w:val="center"/>
          </w:tcPr>
          <w:p w14:paraId="2FEB26EF" w14:textId="77777777" w:rsidR="00CE6E0B" w:rsidRPr="00AC18A4" w:rsidRDefault="00CE6E0B" w:rsidP="0031289D">
            <w:pPr>
              <w:bidi/>
              <w:spacing w:before="120" w:after="120"/>
              <w:jc w:val="center"/>
              <w:rPr>
                <w:rFonts w:ascii="Arabic Typesetting" w:hAnsi="Arabic Typesetting" w:cs="Arabic Typesetting"/>
                <w:sz w:val="28"/>
                <w:szCs w:val="28"/>
              </w:rPr>
            </w:pPr>
            <w:r w:rsidRPr="00AC18A4">
              <w:rPr>
                <w:rFonts w:ascii="Arabic Typesetting" w:hAnsi="Arabic Typesetting" w:cs="Arabic Typesetting"/>
                <w:sz w:val="28"/>
                <w:szCs w:val="28"/>
              </w:rPr>
              <w:t>2</w:t>
            </w:r>
            <w:r>
              <w:rPr>
                <w:rFonts w:ascii="Arabic Typesetting" w:hAnsi="Arabic Typesetting" w:cs="Arabic Typesetting"/>
                <w:sz w:val="28"/>
                <w:szCs w:val="28"/>
              </w:rPr>
              <w:t> </w:t>
            </w:r>
            <w:r w:rsidRPr="00AC18A4">
              <w:rPr>
                <w:rFonts w:ascii="Arabic Typesetting" w:hAnsi="Arabic Typesetting" w:cs="Arabic Typesetting"/>
                <w:sz w:val="28"/>
                <w:szCs w:val="28"/>
              </w:rPr>
              <w:t>126</w:t>
            </w:r>
          </w:p>
        </w:tc>
        <w:tc>
          <w:tcPr>
            <w:tcW w:w="970" w:type="pct"/>
            <w:shd w:val="clear" w:color="auto" w:fill="auto"/>
            <w:vAlign w:val="center"/>
          </w:tcPr>
          <w:p w14:paraId="6B416448" w14:textId="77777777" w:rsidR="00CE6E0B" w:rsidRPr="00AC18A4" w:rsidRDefault="00CE6E0B" w:rsidP="0031289D">
            <w:pPr>
              <w:bidi/>
              <w:spacing w:before="120" w:after="120"/>
              <w:jc w:val="center"/>
              <w:rPr>
                <w:rFonts w:ascii="Arabic Typesetting" w:hAnsi="Arabic Typesetting" w:cs="Arabic Typesetting"/>
                <w:sz w:val="28"/>
                <w:szCs w:val="28"/>
              </w:rPr>
            </w:pPr>
            <w:r>
              <w:rPr>
                <w:rFonts w:ascii="Arabic Typesetting" w:hAnsi="Arabic Typesetting" w:cs="Arabic Typesetting"/>
                <w:sz w:val="28"/>
                <w:szCs w:val="28"/>
              </w:rPr>
              <w:t>%39</w:t>
            </w:r>
          </w:p>
        </w:tc>
      </w:tr>
      <w:tr w:rsidR="00CE6E0B" w:rsidRPr="00211D55" w14:paraId="27F6BDF9" w14:textId="77777777" w:rsidTr="00AF6433">
        <w:trPr>
          <w:trHeight w:val="70"/>
        </w:trPr>
        <w:tc>
          <w:tcPr>
            <w:tcW w:w="1118" w:type="pct"/>
            <w:shd w:val="clear" w:color="auto" w:fill="C6D9F1"/>
            <w:noWrap/>
            <w:vAlign w:val="center"/>
            <w:hideMark/>
          </w:tcPr>
          <w:p w14:paraId="10574A3E" w14:textId="77777777" w:rsidR="00CE6E0B" w:rsidRPr="00211D55" w:rsidRDefault="00CE6E0B"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7FC7EF81" w14:textId="77777777" w:rsidR="00CE6E0B" w:rsidRPr="00AC18A4" w:rsidRDefault="00CE6E0B" w:rsidP="0031289D">
            <w:pPr>
              <w:bidi/>
              <w:jc w:val="center"/>
              <w:rPr>
                <w:rFonts w:ascii="Arabic Typesetting" w:hAnsi="Arabic Typesetting" w:cs="Arabic Typesetting"/>
                <w:b/>
                <w:bCs/>
                <w:sz w:val="28"/>
                <w:szCs w:val="28"/>
              </w:rPr>
            </w:pPr>
            <w:r w:rsidRPr="00AC18A4">
              <w:rPr>
                <w:rFonts w:ascii="Arabic Typesetting" w:hAnsi="Arabic Typesetting" w:cs="Arabic Typesetting"/>
                <w:b/>
                <w:bCs/>
                <w:sz w:val="28"/>
                <w:szCs w:val="28"/>
              </w:rPr>
              <w:t>13</w:t>
            </w:r>
            <w:r>
              <w:rPr>
                <w:rFonts w:ascii="Arabic Typesetting" w:hAnsi="Arabic Typesetting" w:cs="Arabic Typesetting"/>
                <w:b/>
                <w:bCs/>
                <w:sz w:val="28"/>
                <w:szCs w:val="28"/>
              </w:rPr>
              <w:t> </w:t>
            </w:r>
            <w:r w:rsidRPr="00AC18A4">
              <w:rPr>
                <w:rFonts w:ascii="Arabic Typesetting" w:hAnsi="Arabic Typesetting" w:cs="Arabic Typesetting"/>
                <w:b/>
                <w:bCs/>
                <w:sz w:val="28"/>
                <w:szCs w:val="28"/>
              </w:rPr>
              <w:t>083</w:t>
            </w:r>
          </w:p>
        </w:tc>
        <w:tc>
          <w:tcPr>
            <w:tcW w:w="971" w:type="pct"/>
            <w:shd w:val="clear" w:color="auto" w:fill="C6D9F1"/>
            <w:vAlign w:val="center"/>
          </w:tcPr>
          <w:p w14:paraId="343C36E7" w14:textId="77777777" w:rsidR="00CE6E0B" w:rsidRPr="00AC18A4" w:rsidRDefault="00CE6E0B" w:rsidP="0031289D">
            <w:pPr>
              <w:bidi/>
              <w:jc w:val="center"/>
              <w:rPr>
                <w:rFonts w:ascii="Arabic Typesetting" w:hAnsi="Arabic Typesetting" w:cs="Arabic Typesetting"/>
                <w:b/>
                <w:bCs/>
                <w:sz w:val="28"/>
                <w:szCs w:val="28"/>
              </w:rPr>
            </w:pPr>
            <w:r w:rsidRPr="00AC18A4">
              <w:rPr>
                <w:rFonts w:ascii="Arabic Typesetting" w:hAnsi="Arabic Typesetting" w:cs="Arabic Typesetting"/>
                <w:b/>
                <w:bCs/>
                <w:sz w:val="28"/>
                <w:szCs w:val="28"/>
              </w:rPr>
              <w:t>13</w:t>
            </w:r>
            <w:r>
              <w:rPr>
                <w:rFonts w:ascii="Arabic Typesetting" w:hAnsi="Arabic Typesetting" w:cs="Arabic Typesetting"/>
                <w:b/>
                <w:bCs/>
                <w:sz w:val="28"/>
                <w:szCs w:val="28"/>
              </w:rPr>
              <w:t> </w:t>
            </w:r>
            <w:r w:rsidRPr="00AC18A4">
              <w:rPr>
                <w:rFonts w:ascii="Arabic Typesetting" w:hAnsi="Arabic Typesetting" w:cs="Arabic Typesetting"/>
                <w:b/>
                <w:bCs/>
                <w:sz w:val="28"/>
                <w:szCs w:val="28"/>
              </w:rPr>
              <w:t>333</w:t>
            </w:r>
          </w:p>
        </w:tc>
        <w:tc>
          <w:tcPr>
            <w:tcW w:w="970" w:type="pct"/>
            <w:shd w:val="clear" w:color="auto" w:fill="C6D9F1"/>
            <w:vAlign w:val="center"/>
          </w:tcPr>
          <w:p w14:paraId="05130C52" w14:textId="77777777" w:rsidR="00CE6E0B" w:rsidRPr="00AC18A4" w:rsidRDefault="00CE6E0B" w:rsidP="0031289D">
            <w:pPr>
              <w:bidi/>
              <w:jc w:val="center"/>
              <w:rPr>
                <w:rFonts w:ascii="Arabic Typesetting" w:hAnsi="Arabic Typesetting" w:cs="Arabic Typesetting"/>
                <w:b/>
                <w:bCs/>
                <w:sz w:val="28"/>
                <w:szCs w:val="28"/>
              </w:rPr>
            </w:pPr>
            <w:r w:rsidRPr="00AC18A4">
              <w:rPr>
                <w:rFonts w:ascii="Arabic Typesetting" w:hAnsi="Arabic Typesetting" w:cs="Arabic Typesetting"/>
                <w:b/>
                <w:bCs/>
                <w:sz w:val="28"/>
                <w:szCs w:val="28"/>
              </w:rPr>
              <w:t>5</w:t>
            </w:r>
            <w:r>
              <w:rPr>
                <w:rFonts w:ascii="Arabic Typesetting" w:hAnsi="Arabic Typesetting" w:cs="Arabic Typesetting"/>
                <w:b/>
                <w:bCs/>
                <w:sz w:val="28"/>
                <w:szCs w:val="28"/>
              </w:rPr>
              <w:t> </w:t>
            </w:r>
            <w:r w:rsidRPr="00AC18A4">
              <w:rPr>
                <w:rFonts w:ascii="Arabic Typesetting" w:hAnsi="Arabic Typesetting" w:cs="Arabic Typesetting"/>
                <w:b/>
                <w:bCs/>
                <w:sz w:val="28"/>
                <w:szCs w:val="28"/>
              </w:rPr>
              <w:t>765</w:t>
            </w:r>
          </w:p>
        </w:tc>
        <w:tc>
          <w:tcPr>
            <w:tcW w:w="970" w:type="pct"/>
            <w:shd w:val="clear" w:color="auto" w:fill="C6D9F1"/>
            <w:vAlign w:val="center"/>
          </w:tcPr>
          <w:p w14:paraId="46CC5572" w14:textId="77777777" w:rsidR="00CE6E0B" w:rsidRPr="00AC18A4" w:rsidRDefault="00CE6E0B" w:rsidP="0031289D">
            <w:pPr>
              <w:bidi/>
              <w:jc w:val="center"/>
              <w:rPr>
                <w:rFonts w:ascii="Arabic Typesetting" w:hAnsi="Arabic Typesetting" w:cs="Arabic Typesetting"/>
                <w:b/>
                <w:bCs/>
                <w:sz w:val="28"/>
                <w:szCs w:val="28"/>
              </w:rPr>
            </w:pPr>
            <w:r>
              <w:rPr>
                <w:rFonts w:ascii="Arabic Typesetting" w:hAnsi="Arabic Typesetting" w:cs="Arabic Typesetting"/>
                <w:b/>
                <w:bCs/>
                <w:sz w:val="28"/>
                <w:szCs w:val="28"/>
              </w:rPr>
              <w:t>%43</w:t>
            </w:r>
          </w:p>
        </w:tc>
      </w:tr>
      <w:tr w:rsidR="00CE6E0B" w:rsidRPr="00211D55" w14:paraId="7D88A364" w14:textId="77777777" w:rsidTr="00BB3820">
        <w:trPr>
          <w:trHeight w:val="540"/>
        </w:trPr>
        <w:tc>
          <w:tcPr>
            <w:tcW w:w="5000" w:type="pct"/>
            <w:gridSpan w:val="5"/>
            <w:shd w:val="clear" w:color="auto" w:fill="auto"/>
            <w:noWrap/>
            <w:vAlign w:val="center"/>
          </w:tcPr>
          <w:p w14:paraId="3FE2BED7" w14:textId="77777777" w:rsidR="00CE6E0B" w:rsidRDefault="00CE6E0B"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78C01F96" w14:textId="77777777" w:rsidR="00CE6E0B" w:rsidRPr="00D41845" w:rsidRDefault="00CE6E0B"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7DF134BA" w14:textId="77777777" w:rsidR="00CE6E0B" w:rsidRPr="00706F20" w:rsidRDefault="00CE6E0B"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2980B816" w14:textId="77777777" w:rsidR="00CE6E0B" w:rsidRDefault="00CE6E0B" w:rsidP="00D94CDB">
      <w:pPr>
        <w:numPr>
          <w:ilvl w:val="1"/>
          <w:numId w:val="80"/>
        </w:numPr>
        <w:bidi/>
        <w:spacing w:after="240" w:line="360" w:lineRule="exact"/>
        <w:ind w:left="0" w:firstLine="0"/>
        <w:rPr>
          <w:rFonts w:ascii="Arabic Typesetting" w:hAnsi="Arabic Typesetting" w:cs="Arabic Typesetting"/>
          <w:sz w:val="34"/>
          <w:szCs w:val="34"/>
        </w:rPr>
      </w:pPr>
      <w:r w:rsidRPr="00AC18A4">
        <w:rPr>
          <w:rFonts w:ascii="Arabic Typesetting" w:hAnsi="Arabic Typesetting" w:cs="Arabic Typesetting"/>
          <w:sz w:val="34"/>
          <w:szCs w:val="34"/>
          <w:rtl/>
        </w:rPr>
        <w:t>تُعزى الزيادة الطفيفة في خلاف موارد الموظفين مقارنة بالميزانية المعتمدة 2016/17 إلى تحويل مسؤولية إدارة دورة الشهادة الدولية المتقدمة في الملكية الفكرية من البرنامج 30 (الشركات الصغيرة والمتوسطة ودعم المقاولة) إلى أكاديمية الويبو</w:t>
      </w:r>
      <w:r>
        <w:rPr>
          <w:rFonts w:ascii="Arabic Typesetting" w:hAnsi="Arabic Typesetting" w:cs="Arabic Typesetting" w:hint="cs"/>
          <w:sz w:val="34"/>
          <w:szCs w:val="34"/>
          <w:rtl/>
          <w:lang w:bidi="ar-EG"/>
        </w:rPr>
        <w:t>.</w:t>
      </w:r>
    </w:p>
    <w:p w14:paraId="4A22E8DA" w14:textId="77777777" w:rsidR="00CE6E0B" w:rsidRPr="00706F20" w:rsidRDefault="00CE6E0B"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384BCA43" w14:textId="77777777" w:rsidR="00CE6E0B" w:rsidRDefault="00CE6E0B" w:rsidP="00D94CDB">
      <w:pPr>
        <w:numPr>
          <w:ilvl w:val="1"/>
          <w:numId w:val="80"/>
        </w:numPr>
        <w:bidi/>
        <w:spacing w:after="240" w:line="360" w:lineRule="exact"/>
        <w:ind w:left="0" w:firstLine="0"/>
        <w:rPr>
          <w:rFonts w:ascii="Arabic Typesetting" w:hAnsi="Arabic Typesetting" w:cs="Arabic Typesetting"/>
          <w:sz w:val="34"/>
          <w:szCs w:val="34"/>
        </w:rPr>
      </w:pPr>
      <w:r w:rsidRPr="00AC18A4">
        <w:rPr>
          <w:rFonts w:ascii="Arabic Typesetting" w:hAnsi="Arabic Typesetting" w:cs="Arabic Typesetting"/>
          <w:sz w:val="34"/>
          <w:szCs w:val="34"/>
          <w:rtl/>
        </w:rPr>
        <w:t>كانت نسبة استخدام ميزانية الموظفين ضمن النطاق المتوقع المتراوح بين 40 و60 بالمئة للسنة الأولى من الثنائية. وبلغت</w:t>
      </w:r>
      <w:r>
        <w:rPr>
          <w:rFonts w:ascii="Arabic Typesetting" w:hAnsi="Arabic Typesetting" w:cs="Arabic Typesetting" w:hint="cs"/>
          <w:sz w:val="34"/>
          <w:szCs w:val="34"/>
          <w:rtl/>
        </w:rPr>
        <w:t> </w:t>
      </w:r>
      <w:r w:rsidRPr="00AC18A4">
        <w:rPr>
          <w:rFonts w:ascii="Arabic Typesetting" w:hAnsi="Arabic Typesetting" w:cs="Arabic Typesetting"/>
          <w:sz w:val="34"/>
          <w:szCs w:val="34"/>
          <w:rtl/>
        </w:rPr>
        <w:t xml:space="preserve">نسبة استخدام خلاف موارد الموظفين </w:t>
      </w:r>
      <w:r>
        <w:rPr>
          <w:rFonts w:ascii="Arabic Typesetting" w:hAnsi="Arabic Typesetting" w:cs="Arabic Typesetting" w:hint="cs"/>
          <w:sz w:val="34"/>
          <w:szCs w:val="34"/>
          <w:rtl/>
        </w:rPr>
        <w:t>39</w:t>
      </w:r>
      <w:r w:rsidRPr="00AC18A4">
        <w:rPr>
          <w:rFonts w:ascii="Arabic Typesetting" w:hAnsi="Arabic Typesetting" w:cs="Arabic Typesetting"/>
          <w:sz w:val="34"/>
          <w:szCs w:val="34"/>
          <w:rtl/>
        </w:rPr>
        <w:t xml:space="preserve"> بالمئة</w:t>
      </w:r>
      <w:r>
        <w:rPr>
          <w:rFonts w:ascii="Arabic Typesetting" w:hAnsi="Arabic Typesetting" w:cs="Arabic Typesetting" w:hint="cs"/>
          <w:sz w:val="34"/>
          <w:szCs w:val="34"/>
          <w:rtl/>
        </w:rPr>
        <w:t>؛</w:t>
      </w:r>
      <w:r w:rsidRPr="00AC18A4">
        <w:rPr>
          <w:rFonts w:ascii="Arabic Typesetting" w:hAnsi="Arabic Typesetting" w:cs="Arabic Typesetting"/>
          <w:sz w:val="34"/>
          <w:szCs w:val="34"/>
          <w:rtl/>
        </w:rPr>
        <w:t xml:space="preserve"> ويرجع ذلك أساساً إلى تنفيذ أبطأ من المتوقع في مشروع أجندة التنمية بشأن التعاون مع هيئات التدريب القضائية في البلدان النامية والبلدان الأقل نموا.</w:t>
      </w:r>
    </w:p>
    <w:p w14:paraId="4E9B48BA" w14:textId="297E9869" w:rsidR="00CE6E0B" w:rsidRDefault="00CE6E0B" w:rsidP="0031289D">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14:paraId="331A85F3" w14:textId="77777777" w:rsidR="0027026F" w:rsidRPr="00005ACE" w:rsidRDefault="0027026F" w:rsidP="00DA7DF7">
      <w:pPr>
        <w:pStyle w:val="Heading3"/>
        <w:ind w:left="1984" w:hanging="1984"/>
        <w:rPr>
          <w:lang w:val="en-US"/>
        </w:rPr>
      </w:pPr>
      <w:bookmarkStart w:id="31" w:name="_Toc482782758"/>
      <w:r w:rsidRPr="00254297">
        <w:rPr>
          <w:rtl/>
        </w:rPr>
        <w:lastRenderedPageBreak/>
        <w:t>البرنامج</w:t>
      </w:r>
      <w:r>
        <w:rPr>
          <w:rFonts w:hint="cs"/>
          <w:rtl/>
        </w:rPr>
        <w:t xml:space="preserve"> 30</w:t>
      </w:r>
      <w:r w:rsidRPr="00254297">
        <w:rPr>
          <w:rFonts w:hint="cs"/>
          <w:rtl/>
        </w:rPr>
        <w:t>:</w:t>
      </w:r>
      <w:r w:rsidRPr="00254297">
        <w:tab/>
      </w:r>
      <w:r w:rsidRPr="00005ACE">
        <w:rPr>
          <w:rtl/>
        </w:rPr>
        <w:t>الشركات الصغيرة والمتوسطة ودعم المقاولة</w:t>
      </w:r>
      <w:bookmarkEnd w:id="31"/>
    </w:p>
    <w:p w14:paraId="1B9185FC" w14:textId="77777777" w:rsidR="0027026F" w:rsidRDefault="0027026F" w:rsidP="0027026F">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005ACE">
        <w:rPr>
          <w:rFonts w:ascii="Arabic Typesetting" w:hAnsi="Arabic Typesetting" w:cs="Arabic Typesetting"/>
          <w:b/>
          <w:bCs/>
          <w:sz w:val="36"/>
          <w:szCs w:val="36"/>
          <w:rtl/>
          <w:lang w:val="fr-CH"/>
        </w:rPr>
        <w:t>المدير العام</w:t>
      </w:r>
    </w:p>
    <w:p w14:paraId="38CDCBB2" w14:textId="77777777" w:rsidR="0027026F" w:rsidRDefault="0027026F" w:rsidP="0027026F">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43084B0C" wp14:editId="3033F6BC">
            <wp:extent cx="3592185" cy="21600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92185" cy="2160000"/>
                    </a:xfrm>
                    <a:prstGeom prst="rect">
                      <a:avLst/>
                    </a:prstGeom>
                    <a:noFill/>
                  </pic:spPr>
                </pic:pic>
              </a:graphicData>
            </a:graphic>
          </wp:inline>
        </w:drawing>
      </w:r>
    </w:p>
    <w:tbl>
      <w:tblPr>
        <w:bidiVisual/>
        <w:tblW w:w="5000" w:type="pct"/>
        <w:tblCellMar>
          <w:left w:w="115" w:type="dxa"/>
          <w:right w:w="115" w:type="dxa"/>
        </w:tblCellMar>
        <w:tblLook w:val="0000" w:firstRow="0" w:lastRow="0" w:firstColumn="0" w:lastColumn="0" w:noHBand="0" w:noVBand="0"/>
      </w:tblPr>
      <w:tblGrid>
        <w:gridCol w:w="2035"/>
        <w:gridCol w:w="2589"/>
        <w:gridCol w:w="19"/>
        <w:gridCol w:w="1858"/>
        <w:gridCol w:w="2023"/>
        <w:gridCol w:w="947"/>
      </w:tblGrid>
      <w:tr w:rsidR="0027026F" w:rsidRPr="00005ACE" w14:paraId="52074C3A" w14:textId="77777777" w:rsidTr="004B40B5">
        <w:trPr>
          <w:cantSplit/>
          <w:trHeight w:val="565"/>
        </w:trPr>
        <w:tc>
          <w:tcPr>
            <w:tcW w:w="5000" w:type="pct"/>
            <w:gridSpan w:val="6"/>
            <w:shd w:val="clear" w:color="auto" w:fill="C6D9F1"/>
            <w:tcMar>
              <w:left w:w="58" w:type="dxa"/>
              <w:right w:w="58" w:type="dxa"/>
            </w:tcMar>
            <w:vAlign w:val="center"/>
          </w:tcPr>
          <w:p w14:paraId="4A0C3984" w14:textId="77777777" w:rsidR="0027026F" w:rsidRPr="00005ACE" w:rsidRDefault="0027026F" w:rsidP="004B40B5">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‏النتيجة المرتقبة:</w:t>
            </w:r>
            <w:r w:rsidRPr="00005ACE">
              <w:rPr>
                <w:rFonts w:ascii="Arabic Typesetting" w:eastAsia="Arabic Typesetting" w:hAnsi="Arabic Typesetting" w:cs="Arabic Typesetting"/>
                <w:sz w:val="28"/>
                <w:szCs w:val="28"/>
                <w:lang w:eastAsia="ar-EG" w:bidi="ar-EG"/>
              </w:rPr>
              <w:tab/>
            </w:r>
            <w:r w:rsidRPr="00005ACE">
              <w:rPr>
                <w:rFonts w:ascii="Arabic Typesetting" w:eastAsia="Arabic Typesetting" w:hAnsi="Arabic Typesetting" w:cs="Arabic Typesetting"/>
                <w:color w:val="000000"/>
                <w:sz w:val="28"/>
                <w:szCs w:val="28"/>
                <w:rtl/>
                <w:lang w:eastAsia="ar-EG" w:bidi="ar-EG"/>
              </w:rPr>
              <w:t>ه1.3 استراتيجيات وخطط وطنية في مجالي الابتكار والملكية الفكرية تتماشى مع الأهداف الإنمائية الوطنية</w:t>
            </w:r>
          </w:p>
        </w:tc>
      </w:tr>
      <w:tr w:rsidR="0027026F" w:rsidRPr="00005ACE" w14:paraId="36189C4B" w14:textId="77777777" w:rsidTr="004B40B5">
        <w:trPr>
          <w:cantSplit/>
        </w:trPr>
        <w:tc>
          <w:tcPr>
            <w:tcW w:w="1074" w:type="pct"/>
            <w:shd w:val="clear" w:color="auto" w:fill="auto"/>
            <w:tcMar>
              <w:left w:w="58" w:type="dxa"/>
              <w:right w:w="58" w:type="dxa"/>
            </w:tcMar>
            <w:vAlign w:val="center"/>
          </w:tcPr>
          <w:p w14:paraId="7D042DA6" w14:textId="77777777" w:rsidR="0027026F" w:rsidRPr="00005ACE" w:rsidRDefault="0027026F" w:rsidP="004B40B5">
            <w:pPr>
              <w:keepNext/>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مؤشرات الأداء</w:t>
            </w:r>
          </w:p>
        </w:tc>
        <w:tc>
          <w:tcPr>
            <w:tcW w:w="1377" w:type="pct"/>
            <w:gridSpan w:val="2"/>
            <w:shd w:val="clear" w:color="auto" w:fill="auto"/>
            <w:tcMar>
              <w:left w:w="58" w:type="dxa"/>
              <w:right w:w="58" w:type="dxa"/>
            </w:tcMar>
            <w:vAlign w:val="center"/>
          </w:tcPr>
          <w:p w14:paraId="24583EAE"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أسس المقارنة</w:t>
            </w:r>
          </w:p>
        </w:tc>
        <w:tc>
          <w:tcPr>
            <w:tcW w:w="981" w:type="pct"/>
            <w:shd w:val="clear" w:color="auto" w:fill="auto"/>
            <w:tcMar>
              <w:top w:w="110" w:type="dxa"/>
              <w:left w:w="58" w:type="dxa"/>
              <w:right w:w="58" w:type="dxa"/>
            </w:tcMar>
            <w:vAlign w:val="center"/>
          </w:tcPr>
          <w:p w14:paraId="686958F9"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الأهداف</w:t>
            </w:r>
          </w:p>
        </w:tc>
        <w:tc>
          <w:tcPr>
            <w:tcW w:w="1068" w:type="pct"/>
            <w:shd w:val="clear" w:color="auto" w:fill="FFFFFF"/>
            <w:tcMar>
              <w:top w:w="110" w:type="dxa"/>
              <w:left w:w="58" w:type="dxa"/>
              <w:right w:w="58" w:type="dxa"/>
            </w:tcMar>
            <w:vAlign w:val="center"/>
          </w:tcPr>
          <w:p w14:paraId="2C873867"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بيانات الأداء</w:t>
            </w:r>
          </w:p>
        </w:tc>
        <w:tc>
          <w:tcPr>
            <w:tcW w:w="500" w:type="pct"/>
            <w:shd w:val="clear" w:color="auto" w:fill="auto"/>
            <w:tcMar>
              <w:top w:w="110" w:type="dxa"/>
              <w:left w:w="58" w:type="dxa"/>
              <w:right w:w="58" w:type="dxa"/>
            </w:tcMar>
            <w:vAlign w:val="center"/>
          </w:tcPr>
          <w:p w14:paraId="5A8B8921"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السير</w:t>
            </w:r>
          </w:p>
        </w:tc>
      </w:tr>
      <w:tr w:rsidR="0027026F" w:rsidRPr="00005ACE" w14:paraId="42EA10D2" w14:textId="77777777" w:rsidTr="004B40B5">
        <w:trPr>
          <w:cantSplit/>
          <w:trHeight w:val="1911"/>
        </w:trPr>
        <w:tc>
          <w:tcPr>
            <w:tcW w:w="1074" w:type="pct"/>
            <w:shd w:val="clear" w:color="auto" w:fill="auto"/>
            <w:tcMar>
              <w:left w:w="58" w:type="dxa"/>
              <w:right w:w="58" w:type="dxa"/>
            </w:tcMar>
          </w:tcPr>
          <w:p w14:paraId="6930B2E6"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عدد استراتيجيات الملكية الفكرية الوطنية التي تتناول تعزيز الإبداع، بما في ذلك الابتكار</w:t>
            </w:r>
          </w:p>
        </w:tc>
        <w:tc>
          <w:tcPr>
            <w:tcW w:w="1377" w:type="pct"/>
            <w:gridSpan w:val="2"/>
            <w:shd w:val="clear" w:color="auto" w:fill="auto"/>
            <w:tcMar>
              <w:left w:w="58" w:type="dxa"/>
              <w:right w:w="58" w:type="dxa"/>
            </w:tcMar>
          </w:tcPr>
          <w:p w14:paraId="0C4C109A" w14:textId="004194C7" w:rsidR="0027026F" w:rsidRPr="00005ACE" w:rsidRDefault="0027026F" w:rsidP="006A1A09">
            <w:pPr>
              <w:bidi/>
              <w:spacing w:after="120" w:line="280" w:lineRule="exact"/>
              <w:rPr>
                <w:rFonts w:ascii="Arabic Typesetting" w:eastAsia="Arabic Typesetting" w:hAnsi="Arabic Typesetting" w:cs="Arabic Typesetting"/>
                <w:color w:val="002060"/>
                <w:sz w:val="28"/>
                <w:szCs w:val="28"/>
                <w:lang w:eastAsia="ar-EG" w:bidi="ar-EG"/>
              </w:rPr>
            </w:pPr>
            <w:r w:rsidRPr="00005ACE">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lang w:eastAsia="ar-EG" w:bidi="ar-EG"/>
              </w:rPr>
              <w:br/>
            </w:r>
            <w:r w:rsidRPr="00005ACE">
              <w:rPr>
                <w:rFonts w:ascii="Arabic Typesetting" w:eastAsia="Arabic Typesetting" w:hAnsi="Arabic Typesetting" w:cs="Arabic Typesetting"/>
                <w:color w:val="002060"/>
                <w:sz w:val="28"/>
                <w:szCs w:val="28"/>
                <w:rtl/>
                <w:lang w:eastAsia="ar-EG" w:bidi="ar-EG"/>
              </w:rPr>
              <w:t>استهلت في 6 بلدان (الكاميرون وجامايكا ورواندا وصربيا وسري لانكا وت</w:t>
            </w:r>
            <w:r w:rsidR="006A1A09">
              <w:rPr>
                <w:rFonts w:ascii="Arabic Typesetting" w:eastAsia="Arabic Typesetting" w:hAnsi="Arabic Typesetting" w:cs="Arabic Typesetting"/>
                <w:color w:val="002060"/>
                <w:sz w:val="28"/>
                <w:szCs w:val="28"/>
                <w:rtl/>
                <w:lang w:eastAsia="ar-EG" w:bidi="ar-EG"/>
              </w:rPr>
              <w:t>رينيداد وتوباغو)</w:t>
            </w:r>
          </w:p>
          <w:p w14:paraId="5D259EC3"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005ACE">
              <w:rPr>
                <w:rFonts w:ascii="Arabic Typesetting" w:eastAsia="Arabic Typesetting" w:hAnsi="Arabic Typesetting" w:cs="Arabic Typesetting"/>
                <w:i/>
                <w:iCs/>
                <w:sz w:val="28"/>
                <w:szCs w:val="28"/>
                <w:rtl/>
                <w:lang w:eastAsia="ar-EG" w:bidi="ar-EG"/>
              </w:rPr>
              <w:t>:</w:t>
            </w:r>
            <w:r w:rsidRPr="00005ACE">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005ACE">
              <w:rPr>
                <w:rFonts w:ascii="Arabic Typesetting" w:eastAsia="Arabic Typesetting" w:hAnsi="Arabic Typesetting" w:cs="Arabic Typesetting"/>
                <w:color w:val="000000"/>
                <w:sz w:val="28"/>
                <w:szCs w:val="28"/>
                <w:rtl/>
                <w:lang w:eastAsia="ar-EG" w:bidi="ar-EG"/>
              </w:rPr>
              <w:t>4 مُستهلة (2014)</w:t>
            </w:r>
          </w:p>
        </w:tc>
        <w:tc>
          <w:tcPr>
            <w:tcW w:w="981" w:type="pct"/>
            <w:shd w:val="clear" w:color="auto" w:fill="auto"/>
            <w:tcMar>
              <w:top w:w="110" w:type="dxa"/>
              <w:left w:w="58" w:type="dxa"/>
              <w:right w:w="58" w:type="dxa"/>
            </w:tcMar>
          </w:tcPr>
          <w:p w14:paraId="07488F3C"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5 بلدان</w:t>
            </w:r>
          </w:p>
        </w:tc>
        <w:tc>
          <w:tcPr>
            <w:tcW w:w="1068" w:type="pct"/>
            <w:shd w:val="clear" w:color="auto" w:fill="FFFFFF"/>
            <w:tcMar>
              <w:top w:w="110" w:type="dxa"/>
              <w:left w:w="58" w:type="dxa"/>
              <w:right w:w="58" w:type="dxa"/>
            </w:tcMar>
          </w:tcPr>
          <w:p w14:paraId="05ABB5F6" w14:textId="77777777" w:rsidR="0027026F" w:rsidRPr="00005ACE"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استراتيجية وطنية للملكية الفكرية تتناول تعزيز الإبداع</w:t>
            </w:r>
            <w:r>
              <w:rPr>
                <w:rFonts w:ascii="Arabic Typesetting" w:eastAsia="Arabic Typesetting" w:hAnsi="Arabic Typesetting" w:cs="Arabic Typesetting"/>
                <w:sz w:val="28"/>
                <w:szCs w:val="28"/>
                <w:rtl/>
                <w:lang w:eastAsia="ar-EG" w:bidi="ar-EG"/>
              </w:rPr>
              <w:t>، بما</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في ذلك الابتكار (ألبانيا)</w:t>
            </w:r>
          </w:p>
          <w:p w14:paraId="27704495" w14:textId="6EF5384F" w:rsidR="0027026F" w:rsidRPr="00005ACE"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استهلال استراتيجيات وطنية للملكية الفكرية في 3 بلدان إضافية (جورجيا</w:t>
            </w:r>
            <w:r>
              <w:rPr>
                <w:rFonts w:ascii="Arabic Typesetting" w:eastAsia="Arabic Typesetting" w:hAnsi="Arabic Typesetting" w:cs="Arabic Typesetting" w:hint="cs"/>
                <w:sz w:val="28"/>
                <w:szCs w:val="28"/>
                <w:rtl/>
                <w:lang w:eastAsia="ar-EG" w:bidi="ar-EG"/>
              </w:rPr>
              <w:t> </w:t>
            </w:r>
            <w:r w:rsidRPr="00005ACE">
              <w:rPr>
                <w:rFonts w:ascii="Arabic Typesetting" w:eastAsia="Arabic Typesetting" w:hAnsi="Arabic Typesetting" w:cs="Arabic Typesetting"/>
                <w:sz w:val="28"/>
                <w:szCs w:val="28"/>
                <w:rtl/>
                <w:lang w:eastAsia="ar-EG" w:bidi="ar-EG"/>
              </w:rPr>
              <w:t>وقيرغيزستان ولاتفيا</w:t>
            </w:r>
            <w:r w:rsidR="006A1A09">
              <w:rPr>
                <w:rFonts w:ascii="Arabic Typesetting" w:eastAsia="Arabic Typesetting" w:hAnsi="Arabic Typesetting" w:cs="Arabic Typesetting" w:hint="cs"/>
                <w:sz w:val="28"/>
                <w:szCs w:val="28"/>
                <w:rtl/>
                <w:lang w:eastAsia="ar-EG" w:bidi="ar-EG"/>
              </w:rPr>
              <w:t xml:space="preserve"> وسلوفاكيا</w:t>
            </w:r>
            <w:r w:rsidRPr="00005ACE">
              <w:rPr>
                <w:rFonts w:ascii="Arabic Typesetting" w:eastAsia="Arabic Typesetting" w:hAnsi="Arabic Typesetting" w:cs="Arabic Typesetting"/>
                <w:sz w:val="28"/>
                <w:szCs w:val="28"/>
                <w:rtl/>
                <w:lang w:eastAsia="ar-EG" w:bidi="ar-EG"/>
              </w:rPr>
              <w:t>)</w:t>
            </w:r>
          </w:p>
        </w:tc>
        <w:tc>
          <w:tcPr>
            <w:tcW w:w="500" w:type="pct"/>
            <w:shd w:val="clear" w:color="auto" w:fill="auto"/>
            <w:tcMar>
              <w:top w:w="110" w:type="dxa"/>
              <w:left w:w="58" w:type="dxa"/>
              <w:right w:w="58" w:type="dxa"/>
            </w:tcMar>
          </w:tcPr>
          <w:p w14:paraId="1903D409"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005ACE">
              <w:rPr>
                <w:rFonts w:ascii="Arabic Typesetting" w:eastAsia="Arabic Typesetting" w:hAnsi="Arabic Typesetting" w:cs="Arabic Typesetting"/>
                <w:b/>
                <w:bCs/>
                <w:color w:val="FF0000"/>
                <w:sz w:val="28"/>
                <w:szCs w:val="28"/>
                <w:rtl/>
                <w:lang w:eastAsia="ar-EG" w:bidi="ar-EG"/>
              </w:rPr>
              <w:t>غير ثابت</w:t>
            </w:r>
          </w:p>
        </w:tc>
      </w:tr>
      <w:tr w:rsidR="0027026F" w:rsidRPr="00005ACE" w14:paraId="55C01FBA" w14:textId="77777777" w:rsidTr="004B40B5">
        <w:trPr>
          <w:cantSplit/>
          <w:trHeight w:val="565"/>
        </w:trPr>
        <w:tc>
          <w:tcPr>
            <w:tcW w:w="5000" w:type="pct"/>
            <w:gridSpan w:val="6"/>
            <w:shd w:val="clear" w:color="auto" w:fill="C6D9F1"/>
            <w:tcMar>
              <w:left w:w="58" w:type="dxa"/>
              <w:right w:w="58" w:type="dxa"/>
            </w:tcMar>
            <w:vAlign w:val="center"/>
          </w:tcPr>
          <w:p w14:paraId="289420EE" w14:textId="77777777" w:rsidR="0027026F" w:rsidRPr="00005ACE" w:rsidRDefault="0027026F" w:rsidP="004B40B5">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‏النتيجة المرتقبة:</w:t>
            </w:r>
            <w:r w:rsidRPr="00005ACE">
              <w:rPr>
                <w:rFonts w:ascii="Arabic Typesetting" w:eastAsia="Arabic Typesetting" w:hAnsi="Arabic Typesetting" w:cs="Arabic Typesetting"/>
                <w:sz w:val="28"/>
                <w:szCs w:val="28"/>
                <w:lang w:eastAsia="ar-EG" w:bidi="ar-EG"/>
              </w:rPr>
              <w:tab/>
            </w:r>
            <w:r w:rsidRPr="00005ACE">
              <w:rPr>
                <w:rFonts w:ascii="Arabic Typesetting" w:eastAsia="Arabic Typesetting" w:hAnsi="Arabic Typesetting" w:cs="Arabic Typesetting"/>
                <w:color w:val="000000"/>
                <w:sz w:val="28"/>
                <w:szCs w:val="28"/>
                <w:rtl/>
                <w:lang w:eastAsia="ar-EG" w:bidi="ar-EG"/>
              </w:rPr>
              <w:t>‏ه</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cs/>
                <w:lang w:eastAsia="ar-EG" w:bidi="ar-EG"/>
              </w:rPr>
              <w:t>2.3</w:t>
            </w:r>
            <w:r w:rsidRPr="00005ACE">
              <w:rPr>
                <w:rFonts w:ascii="Arabic Typesetting" w:eastAsia="Arabic Typesetting" w:hAnsi="Arabic Typesetting" w:cs="Arabic Typesetting"/>
                <w:color w:val="000000"/>
                <w:sz w:val="28"/>
                <w:szCs w:val="28"/>
                <w:rtl/>
                <w:lang w:eastAsia="ar-EG" w:bidi="ar-EG"/>
              </w:rPr>
              <w:t>‏ كفاءات</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‏معزَّزة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‏للموارد</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‏البشرية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‏القادرة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‏على</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‏تلبية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‏تشكيلة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‏واسعة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‏من</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‏المتطلبات</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‏لتسخير</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‏الملكية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‏الفكرية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‏بفعالية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‏لأغراض</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‏التنمية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‏في</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‏البلدان</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‏النامية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‏والبلدان</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‏الأقل</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‏نموا</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‏والبلدان</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‏المنتقلة</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‏إلى</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نظام الاقتصاد</w:t>
            </w:r>
            <w:r w:rsidRPr="00005ACE">
              <w:rPr>
                <w:rFonts w:ascii="Arabic Typesetting" w:eastAsia="Arabic Typesetting" w:hAnsi="Arabic Typesetting" w:cs="Arabic Typesetting"/>
                <w:color w:val="000000"/>
                <w:sz w:val="28"/>
                <w:szCs w:val="28"/>
                <w:cs/>
                <w:lang w:eastAsia="ar-EG" w:bidi="ar-EG"/>
              </w:rPr>
              <w:t>‎</w:t>
            </w:r>
            <w:r w:rsidRPr="00005ACE">
              <w:rPr>
                <w:rFonts w:ascii="Arabic Typesetting" w:eastAsia="Arabic Typesetting" w:hAnsi="Arabic Typesetting" w:cs="Arabic Typesetting"/>
                <w:color w:val="000000"/>
                <w:sz w:val="28"/>
                <w:szCs w:val="28"/>
                <w:rtl/>
                <w:lang w:eastAsia="ar-EG" w:bidi="ar-EG"/>
              </w:rPr>
              <w:t xml:space="preserve"> ‏الحر</w:t>
            </w:r>
          </w:p>
        </w:tc>
      </w:tr>
      <w:tr w:rsidR="0027026F" w:rsidRPr="00005ACE" w14:paraId="0D245A59" w14:textId="77777777" w:rsidTr="004B40B5">
        <w:trPr>
          <w:cantSplit/>
        </w:trPr>
        <w:tc>
          <w:tcPr>
            <w:tcW w:w="1074" w:type="pct"/>
            <w:shd w:val="clear" w:color="auto" w:fill="auto"/>
            <w:tcMar>
              <w:left w:w="58" w:type="dxa"/>
              <w:right w:w="58" w:type="dxa"/>
            </w:tcMar>
            <w:vAlign w:val="center"/>
          </w:tcPr>
          <w:p w14:paraId="468E1789" w14:textId="77777777" w:rsidR="0027026F" w:rsidRPr="00005ACE" w:rsidRDefault="0027026F" w:rsidP="004B40B5">
            <w:pPr>
              <w:keepNext/>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مؤشرات الأداء</w:t>
            </w:r>
          </w:p>
        </w:tc>
        <w:tc>
          <w:tcPr>
            <w:tcW w:w="1377" w:type="pct"/>
            <w:gridSpan w:val="2"/>
            <w:shd w:val="clear" w:color="auto" w:fill="auto"/>
            <w:tcMar>
              <w:left w:w="58" w:type="dxa"/>
              <w:right w:w="58" w:type="dxa"/>
            </w:tcMar>
            <w:vAlign w:val="center"/>
          </w:tcPr>
          <w:p w14:paraId="5429AB00"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أسس المقارنة</w:t>
            </w:r>
          </w:p>
        </w:tc>
        <w:tc>
          <w:tcPr>
            <w:tcW w:w="981" w:type="pct"/>
            <w:shd w:val="clear" w:color="auto" w:fill="auto"/>
            <w:tcMar>
              <w:top w:w="110" w:type="dxa"/>
              <w:left w:w="58" w:type="dxa"/>
              <w:right w:w="58" w:type="dxa"/>
            </w:tcMar>
            <w:vAlign w:val="center"/>
          </w:tcPr>
          <w:p w14:paraId="5D91FCBC"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الأهداف</w:t>
            </w:r>
          </w:p>
        </w:tc>
        <w:tc>
          <w:tcPr>
            <w:tcW w:w="1068" w:type="pct"/>
            <w:shd w:val="clear" w:color="auto" w:fill="FFFFFF"/>
            <w:tcMar>
              <w:top w:w="110" w:type="dxa"/>
              <w:left w:w="58" w:type="dxa"/>
              <w:right w:w="58" w:type="dxa"/>
            </w:tcMar>
            <w:vAlign w:val="center"/>
          </w:tcPr>
          <w:p w14:paraId="44999B0D"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بيانات الأداء</w:t>
            </w:r>
          </w:p>
        </w:tc>
        <w:tc>
          <w:tcPr>
            <w:tcW w:w="500" w:type="pct"/>
            <w:shd w:val="clear" w:color="auto" w:fill="auto"/>
            <w:tcMar>
              <w:top w:w="110" w:type="dxa"/>
              <w:left w:w="58" w:type="dxa"/>
              <w:right w:w="58" w:type="dxa"/>
            </w:tcMar>
            <w:vAlign w:val="center"/>
          </w:tcPr>
          <w:p w14:paraId="53DE2AFF"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السير</w:t>
            </w:r>
          </w:p>
        </w:tc>
      </w:tr>
      <w:tr w:rsidR="0027026F" w:rsidRPr="00005ACE" w14:paraId="47FDD3EC" w14:textId="77777777" w:rsidTr="004B40B5">
        <w:trPr>
          <w:cantSplit/>
          <w:trHeight w:val="718"/>
        </w:trPr>
        <w:tc>
          <w:tcPr>
            <w:tcW w:w="1074" w:type="pct"/>
            <w:shd w:val="clear" w:color="auto" w:fill="auto"/>
            <w:tcMar>
              <w:left w:w="58" w:type="dxa"/>
              <w:right w:w="58" w:type="dxa"/>
            </w:tcMar>
          </w:tcPr>
          <w:p w14:paraId="46AAB66A"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النسبة المئوية للمهنيين المُدرَّبين المتخصصين في مجال الملكية الفكرية الذين يستخدمون مهارات محسنة في عملهم</w:t>
            </w:r>
          </w:p>
        </w:tc>
        <w:tc>
          <w:tcPr>
            <w:tcW w:w="1377" w:type="pct"/>
            <w:gridSpan w:val="2"/>
            <w:shd w:val="clear" w:color="auto" w:fill="auto"/>
            <w:tcMar>
              <w:left w:w="58" w:type="dxa"/>
              <w:right w:w="58" w:type="dxa"/>
            </w:tcMar>
          </w:tcPr>
          <w:p w14:paraId="1E24CF2F" w14:textId="77777777" w:rsidR="0027026F" w:rsidRPr="00005ACE"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005ACE">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rtl/>
                <w:lang w:eastAsia="ar-EG" w:bidi="ar-EG"/>
              </w:rPr>
              <w:br/>
            </w:r>
            <w:r w:rsidRPr="00005ACE">
              <w:rPr>
                <w:rFonts w:ascii="Arabic Typesetting" w:eastAsia="Arabic Typesetting" w:hAnsi="Arabic Typesetting" w:cs="Arabic Typesetting"/>
                <w:color w:val="002060"/>
                <w:sz w:val="28"/>
                <w:szCs w:val="28"/>
                <w:rtl/>
                <w:lang w:eastAsia="ar-EG" w:bidi="ar-EG"/>
              </w:rPr>
              <w:t>77%</w:t>
            </w:r>
          </w:p>
          <w:p w14:paraId="052D0D47"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005ACE">
              <w:rPr>
                <w:rFonts w:ascii="Arabic Typesetting" w:eastAsia="Arabic Typesetting" w:hAnsi="Arabic Typesetting" w:cs="Arabic Typesetting"/>
                <w:i/>
                <w:iCs/>
                <w:sz w:val="28"/>
                <w:szCs w:val="28"/>
                <w:rtl/>
                <w:lang w:eastAsia="ar-EG" w:bidi="ar-EG"/>
              </w:rPr>
              <w:t>:</w:t>
            </w:r>
            <w:r w:rsidRPr="00005ACE">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005ACE">
              <w:rPr>
                <w:rFonts w:ascii="Arabic Typesetting" w:eastAsia="Arabic Typesetting" w:hAnsi="Arabic Typesetting" w:cs="Arabic Typesetting"/>
                <w:color w:val="000000"/>
                <w:sz w:val="28"/>
                <w:szCs w:val="28"/>
                <w:rtl/>
                <w:lang w:eastAsia="ar-EG" w:bidi="ar-EG"/>
              </w:rPr>
              <w:t>‏أعلى من 60%</w:t>
            </w:r>
          </w:p>
        </w:tc>
        <w:tc>
          <w:tcPr>
            <w:tcW w:w="981" w:type="pct"/>
            <w:shd w:val="clear" w:color="auto" w:fill="auto"/>
            <w:tcMar>
              <w:top w:w="110" w:type="dxa"/>
              <w:left w:w="58" w:type="dxa"/>
              <w:right w:w="58" w:type="dxa"/>
            </w:tcMar>
          </w:tcPr>
          <w:p w14:paraId="2C63100C" w14:textId="77777777" w:rsidR="0027026F" w:rsidRPr="00005ACE"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br/>
            </w:r>
            <w:r w:rsidRPr="00005ACE">
              <w:rPr>
                <w:rFonts w:ascii="Arabic Typesetting" w:eastAsia="Arabic Typesetting" w:hAnsi="Arabic Typesetting" w:cs="Arabic Typesetting"/>
                <w:color w:val="002060"/>
                <w:sz w:val="28"/>
                <w:szCs w:val="28"/>
                <w:rtl/>
                <w:lang w:eastAsia="ar-EG" w:bidi="ar-EG"/>
              </w:rPr>
              <w:t>70%</w:t>
            </w:r>
          </w:p>
          <w:p w14:paraId="6F6B5920"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i/>
                <w:iCs/>
                <w:color w:val="000000"/>
                <w:sz w:val="28"/>
                <w:szCs w:val="28"/>
                <w:rtl/>
                <w:lang w:eastAsia="ar-EG" w:bidi="ar-EG"/>
              </w:rPr>
              <w:t>الهدف الأصلي:</w:t>
            </w:r>
            <w:r w:rsidRPr="00005ACE">
              <w:rPr>
                <w:rFonts w:ascii="Arabic Typesetting" w:eastAsia="Arabic Typesetting" w:hAnsi="Arabic Typesetting" w:cs="Arabic Typesetting"/>
                <w:i/>
                <w:color w:val="000000"/>
                <w:sz w:val="28"/>
                <w:szCs w:val="28"/>
                <w:lang w:eastAsia="ar-EG" w:bidi="ar-EG"/>
              </w:rPr>
              <w:br/>
            </w:r>
            <w:r>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br/>
            </w:r>
            <w:r w:rsidRPr="00005ACE">
              <w:rPr>
                <w:rFonts w:ascii="Arabic Typesetting" w:eastAsia="Arabic Typesetting" w:hAnsi="Arabic Typesetting" w:cs="Arabic Typesetting"/>
                <w:color w:val="000000"/>
                <w:sz w:val="28"/>
                <w:szCs w:val="28"/>
                <w:rtl/>
                <w:lang w:eastAsia="ar-EG" w:bidi="ar-EG"/>
              </w:rPr>
              <w:t>50%</w:t>
            </w:r>
          </w:p>
        </w:tc>
        <w:tc>
          <w:tcPr>
            <w:tcW w:w="1068" w:type="pct"/>
            <w:shd w:val="clear" w:color="auto" w:fill="FFFFFF"/>
            <w:tcMar>
              <w:top w:w="110" w:type="dxa"/>
              <w:left w:w="58" w:type="dxa"/>
              <w:right w:w="58" w:type="dxa"/>
            </w:tcMar>
          </w:tcPr>
          <w:p w14:paraId="04470662" w14:textId="77777777" w:rsidR="0027026F" w:rsidRPr="00005ACE"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63%</w:t>
            </w:r>
          </w:p>
        </w:tc>
        <w:tc>
          <w:tcPr>
            <w:tcW w:w="500" w:type="pct"/>
            <w:shd w:val="clear" w:color="auto" w:fill="auto"/>
            <w:tcMar>
              <w:top w:w="110" w:type="dxa"/>
              <w:left w:w="58" w:type="dxa"/>
              <w:right w:w="58" w:type="dxa"/>
            </w:tcMar>
          </w:tcPr>
          <w:p w14:paraId="33CC8457"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005ACE">
              <w:rPr>
                <w:rFonts w:ascii="Arabic Typesetting" w:eastAsia="Arabic Typesetting" w:hAnsi="Arabic Typesetting" w:cs="Arabic Typesetting"/>
                <w:b/>
                <w:bCs/>
                <w:color w:val="00B050"/>
                <w:sz w:val="28"/>
                <w:szCs w:val="28"/>
                <w:rtl/>
                <w:lang w:eastAsia="ar-EG" w:bidi="ar-EG"/>
              </w:rPr>
              <w:t>ثابت</w:t>
            </w:r>
          </w:p>
        </w:tc>
      </w:tr>
      <w:tr w:rsidR="0027026F" w:rsidRPr="00005ACE" w14:paraId="7D526E84" w14:textId="77777777" w:rsidTr="004B40B5">
        <w:trPr>
          <w:cantSplit/>
          <w:trHeight w:val="565"/>
        </w:trPr>
        <w:tc>
          <w:tcPr>
            <w:tcW w:w="5000" w:type="pct"/>
            <w:gridSpan w:val="6"/>
            <w:shd w:val="clear" w:color="auto" w:fill="C6D9F1"/>
            <w:tcMar>
              <w:left w:w="58" w:type="dxa"/>
              <w:right w:w="58" w:type="dxa"/>
            </w:tcMar>
            <w:vAlign w:val="center"/>
          </w:tcPr>
          <w:p w14:paraId="6FB7E829" w14:textId="77777777" w:rsidR="0027026F" w:rsidRPr="00005ACE" w:rsidRDefault="0027026F" w:rsidP="004B40B5">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lastRenderedPageBreak/>
              <w:t>‏النتيجة المرتقبة:</w:t>
            </w:r>
            <w:r w:rsidRPr="00005ACE">
              <w:rPr>
                <w:rFonts w:ascii="Arabic Typesetting" w:eastAsia="Arabic Typesetting" w:hAnsi="Arabic Typesetting" w:cs="Arabic Typesetting"/>
                <w:sz w:val="28"/>
                <w:szCs w:val="28"/>
                <w:lang w:eastAsia="ar-EG" w:bidi="ar-EG"/>
              </w:rPr>
              <w:tab/>
            </w:r>
            <w:r w:rsidRPr="00005ACE">
              <w:rPr>
                <w:rFonts w:ascii="Arabic Typesetting" w:eastAsia="Arabic Typesetting" w:hAnsi="Arabic Typesetting" w:cs="Arabic Typesetting"/>
                <w:color w:val="000000"/>
                <w:sz w:val="28"/>
                <w:szCs w:val="28"/>
                <w:rtl/>
                <w:lang w:eastAsia="ar-EG" w:bidi="ar-EG"/>
              </w:rPr>
              <w:t>ه6.3 قدرات معزّزة للشركات الصغيرة والمتوسطة من أجل النجاح في تسخير الملكية الفكرية لأغراض دعم الابتكار</w:t>
            </w:r>
          </w:p>
        </w:tc>
      </w:tr>
      <w:tr w:rsidR="0027026F" w:rsidRPr="00005ACE" w14:paraId="24AC19FE" w14:textId="77777777" w:rsidTr="004B40B5">
        <w:trPr>
          <w:cantSplit/>
        </w:trPr>
        <w:tc>
          <w:tcPr>
            <w:tcW w:w="1074" w:type="pct"/>
            <w:shd w:val="clear" w:color="auto" w:fill="auto"/>
            <w:tcMar>
              <w:left w:w="58" w:type="dxa"/>
              <w:right w:w="58" w:type="dxa"/>
            </w:tcMar>
            <w:vAlign w:val="center"/>
          </w:tcPr>
          <w:p w14:paraId="5E66C74C" w14:textId="77777777" w:rsidR="0027026F" w:rsidRPr="00005ACE" w:rsidRDefault="0027026F" w:rsidP="004B40B5">
            <w:pPr>
              <w:keepNext/>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مؤشرات الأداء</w:t>
            </w:r>
          </w:p>
        </w:tc>
        <w:tc>
          <w:tcPr>
            <w:tcW w:w="1367" w:type="pct"/>
            <w:shd w:val="clear" w:color="auto" w:fill="auto"/>
            <w:tcMar>
              <w:left w:w="58" w:type="dxa"/>
              <w:right w:w="58" w:type="dxa"/>
            </w:tcMar>
            <w:vAlign w:val="center"/>
          </w:tcPr>
          <w:p w14:paraId="27F88681"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أسس المقارنة</w:t>
            </w:r>
          </w:p>
        </w:tc>
        <w:tc>
          <w:tcPr>
            <w:tcW w:w="991" w:type="pct"/>
            <w:gridSpan w:val="2"/>
            <w:shd w:val="clear" w:color="auto" w:fill="auto"/>
            <w:tcMar>
              <w:top w:w="110" w:type="dxa"/>
              <w:left w:w="58" w:type="dxa"/>
              <w:right w:w="58" w:type="dxa"/>
            </w:tcMar>
            <w:vAlign w:val="center"/>
          </w:tcPr>
          <w:p w14:paraId="044CB8D1"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الأهداف</w:t>
            </w:r>
          </w:p>
        </w:tc>
        <w:tc>
          <w:tcPr>
            <w:tcW w:w="1068" w:type="pct"/>
            <w:shd w:val="clear" w:color="auto" w:fill="FFFFFF"/>
            <w:tcMar>
              <w:top w:w="110" w:type="dxa"/>
              <w:left w:w="58" w:type="dxa"/>
              <w:right w:w="58" w:type="dxa"/>
            </w:tcMar>
            <w:vAlign w:val="center"/>
          </w:tcPr>
          <w:p w14:paraId="0E5AD503"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بيانات الأداء</w:t>
            </w:r>
          </w:p>
        </w:tc>
        <w:tc>
          <w:tcPr>
            <w:tcW w:w="500" w:type="pct"/>
            <w:shd w:val="clear" w:color="auto" w:fill="auto"/>
            <w:tcMar>
              <w:top w:w="110" w:type="dxa"/>
              <w:left w:w="58" w:type="dxa"/>
              <w:right w:w="58" w:type="dxa"/>
            </w:tcMar>
            <w:vAlign w:val="center"/>
          </w:tcPr>
          <w:p w14:paraId="4DAA9893"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السير</w:t>
            </w:r>
          </w:p>
        </w:tc>
      </w:tr>
      <w:tr w:rsidR="0027026F" w:rsidRPr="00005ACE" w14:paraId="7A15FA17" w14:textId="77777777" w:rsidTr="004B40B5">
        <w:trPr>
          <w:cantSplit/>
          <w:trHeight w:val="538"/>
        </w:trPr>
        <w:tc>
          <w:tcPr>
            <w:tcW w:w="1074" w:type="pct"/>
            <w:shd w:val="clear" w:color="auto" w:fill="auto"/>
            <w:tcMar>
              <w:left w:w="58" w:type="dxa"/>
              <w:right w:w="58" w:type="dxa"/>
            </w:tcMar>
          </w:tcPr>
          <w:p w14:paraId="796DEFE6"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عدد الاشتراكات في النشرة الإخبارية الخاصة بالشركات الصغيرة والمتوسطة</w:t>
            </w:r>
          </w:p>
        </w:tc>
        <w:tc>
          <w:tcPr>
            <w:tcW w:w="1367" w:type="pct"/>
            <w:shd w:val="clear" w:color="auto" w:fill="auto"/>
            <w:tcMar>
              <w:left w:w="58" w:type="dxa"/>
              <w:right w:w="58" w:type="dxa"/>
            </w:tcMar>
          </w:tcPr>
          <w:p w14:paraId="09994777" w14:textId="77777777" w:rsidR="0027026F" w:rsidRPr="00005ACE"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005ACE">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lang w:eastAsia="ar-EG" w:bidi="ar-EG"/>
              </w:rPr>
              <w:br/>
            </w:r>
            <w:r w:rsidRPr="00005ACE">
              <w:rPr>
                <w:rFonts w:ascii="Arabic Typesetting" w:eastAsia="Arabic Typesetting" w:hAnsi="Arabic Typesetting" w:cs="Arabic Typesetting"/>
                <w:color w:val="002060"/>
                <w:sz w:val="28"/>
                <w:szCs w:val="28"/>
                <w:rtl/>
                <w:lang w:eastAsia="ar-EG" w:bidi="ar-EG"/>
              </w:rPr>
              <w:t>6657 (2015)</w:t>
            </w:r>
            <w:r w:rsidRPr="00005ACE">
              <w:rPr>
                <w:rFonts w:ascii="Arabic Typesetting" w:eastAsia="Arabic Typesetting" w:hAnsi="Arabic Typesetting" w:cs="Arabic Typesetting"/>
                <w:color w:val="002060"/>
                <w:sz w:val="28"/>
                <w:szCs w:val="28"/>
                <w:vertAlign w:val="superscript"/>
                <w:lang w:eastAsia="ar-EG" w:bidi="ar-EG"/>
              </w:rPr>
              <w:footnoteReference w:id="56"/>
            </w:r>
          </w:p>
          <w:p w14:paraId="58574BEA"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005ACE">
              <w:rPr>
                <w:rFonts w:ascii="Arabic Typesetting" w:eastAsia="Arabic Typesetting" w:hAnsi="Arabic Typesetting" w:cs="Arabic Typesetting"/>
                <w:i/>
                <w:iCs/>
                <w:sz w:val="28"/>
                <w:szCs w:val="28"/>
                <w:rtl/>
                <w:lang w:eastAsia="ar-EG" w:bidi="ar-EG"/>
              </w:rPr>
              <w:t>:</w:t>
            </w:r>
            <w:r w:rsidRPr="00005ACE">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005ACE">
              <w:rPr>
                <w:rFonts w:ascii="Arabic Typesetting" w:eastAsia="Arabic Typesetting" w:hAnsi="Arabic Typesetting" w:cs="Arabic Typesetting"/>
                <w:color w:val="000000"/>
                <w:sz w:val="28"/>
                <w:szCs w:val="28"/>
                <w:rtl/>
                <w:lang w:eastAsia="ar-EG" w:bidi="ar-EG"/>
              </w:rPr>
              <w:t>510 40 (2014)</w:t>
            </w:r>
          </w:p>
        </w:tc>
        <w:tc>
          <w:tcPr>
            <w:tcW w:w="991" w:type="pct"/>
            <w:gridSpan w:val="2"/>
            <w:shd w:val="clear" w:color="auto" w:fill="auto"/>
            <w:tcMar>
              <w:top w:w="110" w:type="dxa"/>
              <w:left w:w="58" w:type="dxa"/>
              <w:right w:w="58" w:type="dxa"/>
            </w:tcMar>
          </w:tcPr>
          <w:p w14:paraId="280825E1"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10%</w:t>
            </w:r>
          </w:p>
        </w:tc>
        <w:tc>
          <w:tcPr>
            <w:tcW w:w="1068" w:type="pct"/>
            <w:shd w:val="clear" w:color="auto" w:fill="FFFFFF"/>
            <w:tcMar>
              <w:top w:w="110" w:type="dxa"/>
              <w:left w:w="58" w:type="dxa"/>
              <w:right w:w="58" w:type="dxa"/>
            </w:tcMar>
          </w:tcPr>
          <w:p w14:paraId="5BA1E25B" w14:textId="77777777" w:rsidR="0027026F" w:rsidRPr="00005ACE"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أُوقفت النشرة الإخبارية الخاصة بالشركات الصغيرة والمتوسطة في يونيو 2015 بعد إطلاق من</w:t>
            </w:r>
            <w:r>
              <w:rPr>
                <w:rFonts w:ascii="Arabic Typesetting" w:eastAsia="Arabic Typesetting" w:hAnsi="Arabic Typesetting" w:cs="Arabic Typesetting"/>
                <w:color w:val="000000"/>
                <w:sz w:val="28"/>
                <w:szCs w:val="28"/>
                <w:rtl/>
                <w:lang w:eastAsia="ar-EG" w:bidi="ar-EG"/>
              </w:rPr>
              <w:t>صة النشرة الإخبارية الإلكترونية</w:t>
            </w:r>
          </w:p>
        </w:tc>
        <w:tc>
          <w:tcPr>
            <w:tcW w:w="500" w:type="pct"/>
            <w:shd w:val="clear" w:color="auto" w:fill="auto"/>
            <w:tcMar>
              <w:top w:w="110" w:type="dxa"/>
              <w:left w:w="58" w:type="dxa"/>
              <w:right w:w="58" w:type="dxa"/>
            </w:tcMar>
          </w:tcPr>
          <w:p w14:paraId="6C75B10C"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005ACE">
              <w:rPr>
                <w:rFonts w:ascii="Arabic Typesetting" w:eastAsia="Arabic Typesetting" w:hAnsi="Arabic Typesetting" w:cs="Arabic Typesetting"/>
                <w:b/>
                <w:bCs/>
                <w:sz w:val="28"/>
                <w:szCs w:val="28"/>
                <w:rtl/>
                <w:lang w:eastAsia="ar-EG" w:bidi="ar-EG"/>
              </w:rPr>
              <w:t>‏منقطع</w:t>
            </w:r>
          </w:p>
        </w:tc>
      </w:tr>
      <w:tr w:rsidR="0027026F" w:rsidRPr="00005ACE" w14:paraId="73722297" w14:textId="77777777" w:rsidTr="004B40B5">
        <w:trPr>
          <w:cantSplit/>
          <w:trHeight w:val="1159"/>
        </w:trPr>
        <w:tc>
          <w:tcPr>
            <w:tcW w:w="1074" w:type="pct"/>
            <w:shd w:val="clear" w:color="auto" w:fill="auto"/>
            <w:tcMar>
              <w:left w:w="58" w:type="dxa"/>
              <w:right w:w="58" w:type="dxa"/>
            </w:tcMar>
          </w:tcPr>
          <w:p w14:paraId="38283160"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‏عدد مرات تحميل المواد والمبادئ التوجيهية الخاصة بالشركات الصغيرة والمتوسطة</w:t>
            </w:r>
          </w:p>
        </w:tc>
        <w:tc>
          <w:tcPr>
            <w:tcW w:w="1367" w:type="pct"/>
            <w:shd w:val="clear" w:color="auto" w:fill="auto"/>
            <w:tcMar>
              <w:left w:w="58" w:type="dxa"/>
              <w:right w:w="58" w:type="dxa"/>
            </w:tcMar>
          </w:tcPr>
          <w:p w14:paraId="78FB14CD" w14:textId="77777777" w:rsidR="0027026F" w:rsidRPr="00005ACE"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005ACE">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lang w:eastAsia="ar-EG" w:bidi="ar-EG"/>
              </w:rPr>
              <w:br/>
            </w:r>
            <w:r w:rsidRPr="00005ACE">
              <w:rPr>
                <w:rFonts w:ascii="Arabic Typesetting" w:eastAsia="Arabic Typesetting" w:hAnsi="Arabic Typesetting" w:cs="Arabic Typesetting"/>
                <w:color w:val="002060"/>
                <w:sz w:val="28"/>
                <w:szCs w:val="28"/>
                <w:rtl/>
                <w:lang w:eastAsia="ar-EG" w:bidi="ar-EG"/>
              </w:rPr>
              <w:t>2015:</w:t>
            </w:r>
            <w:r>
              <w:rPr>
                <w:rFonts w:ascii="Arabic Typesetting" w:eastAsia="Arabic Typesetting" w:hAnsi="Arabic Typesetting" w:cs="Arabic Typesetting"/>
                <w:color w:val="002060"/>
                <w:sz w:val="28"/>
                <w:szCs w:val="28"/>
                <w:lang w:eastAsia="ar-EG" w:bidi="ar-EG"/>
              </w:rPr>
              <w:br/>
            </w:r>
            <w:r>
              <w:rPr>
                <w:rFonts w:ascii="Arabic Typesetting" w:eastAsia="Arabic Typesetting" w:hAnsi="Arabic Typesetting" w:cs="Arabic Typesetting"/>
                <w:color w:val="002060"/>
                <w:sz w:val="28"/>
                <w:szCs w:val="28"/>
                <w:rtl/>
                <w:lang w:eastAsia="ar-EG" w:bidi="ar-EG"/>
              </w:rPr>
              <w:t>- عدد مرات التحميل: 867 71</w:t>
            </w:r>
            <w:r>
              <w:rPr>
                <w:rFonts w:ascii="Arabic Typesetting" w:eastAsia="Arabic Typesetting" w:hAnsi="Arabic Typesetting" w:cs="Arabic Typesetting"/>
                <w:color w:val="002060"/>
                <w:sz w:val="28"/>
                <w:szCs w:val="28"/>
                <w:lang w:eastAsia="ar-EG" w:bidi="ar-EG"/>
              </w:rPr>
              <w:br/>
            </w:r>
            <w:r>
              <w:rPr>
                <w:rFonts w:ascii="Arabic Typesetting" w:eastAsia="Arabic Typesetting" w:hAnsi="Arabic Typesetting" w:cs="Arabic Typesetting" w:hint="cs"/>
                <w:color w:val="002060"/>
                <w:sz w:val="28"/>
                <w:szCs w:val="28"/>
                <w:rtl/>
                <w:lang w:eastAsia="ar-EG" w:bidi="ar-EG"/>
              </w:rPr>
              <w:t xml:space="preserve">- </w:t>
            </w:r>
            <w:r w:rsidRPr="00005ACE">
              <w:rPr>
                <w:rFonts w:ascii="Arabic Typesetting" w:eastAsia="Arabic Typesetting" w:hAnsi="Arabic Typesetting" w:cs="Arabic Typesetting"/>
                <w:color w:val="002060"/>
                <w:sz w:val="28"/>
                <w:szCs w:val="28"/>
                <w:rtl/>
                <w:lang w:eastAsia="ar-EG" w:bidi="ar-EG"/>
              </w:rPr>
              <w:t>عدد مشاهدات الصفحات على الموقع الإلكتروني الخاص بالشر</w:t>
            </w:r>
            <w:r>
              <w:rPr>
                <w:rFonts w:ascii="Arabic Typesetting" w:eastAsia="Arabic Typesetting" w:hAnsi="Arabic Typesetting" w:cs="Arabic Typesetting"/>
                <w:color w:val="002060"/>
                <w:sz w:val="28"/>
                <w:szCs w:val="28"/>
                <w:rtl/>
                <w:lang w:eastAsia="ar-EG" w:bidi="ar-EG"/>
              </w:rPr>
              <w:t>كات الصغيرة والمتوسطة: 196 960</w:t>
            </w:r>
          </w:p>
          <w:p w14:paraId="5359F003"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005ACE">
              <w:rPr>
                <w:rFonts w:ascii="Arabic Typesetting" w:eastAsia="Arabic Typesetting" w:hAnsi="Arabic Typesetting" w:cs="Arabic Typesetting"/>
                <w:i/>
                <w:iCs/>
                <w:sz w:val="28"/>
                <w:szCs w:val="28"/>
                <w:rtl/>
                <w:lang w:eastAsia="ar-EG" w:bidi="ar-EG"/>
              </w:rPr>
              <w:t>:</w:t>
            </w:r>
            <w:r w:rsidRPr="00005ACE">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005ACE">
              <w:rPr>
                <w:rFonts w:ascii="Arabic Typesetting" w:eastAsia="Arabic Typesetting" w:hAnsi="Arabic Typesetting" w:cs="Arabic Typesetting"/>
                <w:color w:val="000000"/>
                <w:sz w:val="28"/>
                <w:szCs w:val="28"/>
                <w:rtl/>
                <w:lang w:eastAsia="ar-EG" w:bidi="ar-EG"/>
              </w:rPr>
              <w:t>2014:</w:t>
            </w:r>
            <w:r>
              <w:rPr>
                <w:rFonts w:ascii="Arabic Typesetting" w:eastAsia="Arabic Typesetting" w:hAnsi="Arabic Typesetting" w:cs="Arabic Typesetting"/>
                <w:color w:val="000000"/>
                <w:sz w:val="28"/>
                <w:szCs w:val="28"/>
                <w:lang w:eastAsia="ar-EG" w:bidi="ar-EG"/>
              </w:rPr>
              <w:br/>
            </w:r>
            <w:r w:rsidRPr="00005ACE">
              <w:rPr>
                <w:rFonts w:ascii="Arabic Typesetting" w:eastAsia="Arabic Typesetting" w:hAnsi="Arabic Typesetting" w:cs="Arabic Typesetting"/>
                <w:color w:val="000000"/>
                <w:sz w:val="28"/>
                <w:szCs w:val="28"/>
                <w:rtl/>
                <w:lang w:eastAsia="ar-EG" w:bidi="ar-EG"/>
              </w:rPr>
              <w:t>عدد مرات التحميل:</w:t>
            </w:r>
            <w:r>
              <w:rPr>
                <w:rFonts w:ascii="Arabic Typesetting" w:eastAsia="Arabic Typesetting" w:hAnsi="Arabic Typesetting" w:cs="Arabic Typesetting"/>
                <w:color w:val="000000"/>
                <w:sz w:val="28"/>
                <w:szCs w:val="28"/>
                <w:rtl/>
                <w:lang w:eastAsia="ar-EG" w:bidi="ar-EG"/>
              </w:rPr>
              <w:t xml:space="preserve"> </w:t>
            </w:r>
            <w:r w:rsidRPr="00005ACE">
              <w:rPr>
                <w:rFonts w:ascii="Arabic Typesetting" w:eastAsia="Arabic Typesetting" w:hAnsi="Arabic Typesetting" w:cs="Arabic Typesetting"/>
                <w:color w:val="000000"/>
                <w:sz w:val="28"/>
                <w:szCs w:val="28"/>
                <w:rtl/>
                <w:lang w:eastAsia="ar-EG" w:bidi="ar-EG"/>
              </w:rPr>
              <w:t>559 70</w:t>
            </w:r>
            <w:r>
              <w:rPr>
                <w:rFonts w:ascii="Arabic Typesetting" w:eastAsia="Arabic Typesetting" w:hAnsi="Arabic Typesetting" w:cs="Arabic Typesetting"/>
                <w:color w:val="000000"/>
                <w:sz w:val="28"/>
                <w:szCs w:val="28"/>
                <w:lang w:eastAsia="ar-EG" w:bidi="ar-EG"/>
              </w:rPr>
              <w:br/>
            </w:r>
            <w:r w:rsidRPr="00005ACE">
              <w:rPr>
                <w:rFonts w:ascii="Arabic Typesetting" w:eastAsia="Arabic Typesetting" w:hAnsi="Arabic Typesetting" w:cs="Arabic Typesetting"/>
                <w:color w:val="000000"/>
                <w:sz w:val="28"/>
                <w:szCs w:val="28"/>
                <w:rtl/>
                <w:lang w:eastAsia="ar-EG" w:bidi="ar-EG"/>
              </w:rPr>
              <w:t>عدد مشاهدات الصفحات على الموقع الإلكتروني الخاص بالشركات الصغيرة والمتوسطة:</w:t>
            </w:r>
            <w:r>
              <w:rPr>
                <w:rFonts w:ascii="Arabic Typesetting" w:eastAsia="Arabic Typesetting" w:hAnsi="Arabic Typesetting" w:cs="Arabic Typesetting"/>
                <w:color w:val="000000"/>
                <w:sz w:val="28"/>
                <w:szCs w:val="28"/>
                <w:rtl/>
                <w:lang w:eastAsia="ar-EG" w:bidi="ar-EG"/>
              </w:rPr>
              <w:t xml:space="preserve"> </w:t>
            </w:r>
            <w:r w:rsidRPr="00005ACE">
              <w:rPr>
                <w:rFonts w:ascii="Arabic Typesetting" w:eastAsia="Arabic Typesetting" w:hAnsi="Arabic Typesetting" w:cs="Arabic Typesetting"/>
                <w:color w:val="000000"/>
                <w:sz w:val="28"/>
                <w:szCs w:val="28"/>
                <w:rtl/>
                <w:lang w:eastAsia="ar-EG" w:bidi="ar-EG"/>
              </w:rPr>
              <w:t>150 821</w:t>
            </w:r>
          </w:p>
        </w:tc>
        <w:tc>
          <w:tcPr>
            <w:tcW w:w="991" w:type="pct"/>
            <w:gridSpan w:val="2"/>
            <w:shd w:val="clear" w:color="auto" w:fill="auto"/>
            <w:tcMar>
              <w:top w:w="110" w:type="dxa"/>
              <w:left w:w="58" w:type="dxa"/>
              <w:right w:w="58" w:type="dxa"/>
            </w:tcMar>
          </w:tcPr>
          <w:p w14:paraId="3C598060" w14:textId="77777777" w:rsidR="0027026F" w:rsidRPr="00005ACE" w:rsidRDefault="0027026F" w:rsidP="004B40B5">
            <w:pPr>
              <w:bidi/>
              <w:spacing w:before="60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10%</w:t>
            </w:r>
          </w:p>
          <w:p w14:paraId="509EC22F"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10%</w:t>
            </w:r>
          </w:p>
        </w:tc>
        <w:tc>
          <w:tcPr>
            <w:tcW w:w="1068" w:type="pct"/>
            <w:shd w:val="clear" w:color="auto" w:fill="FFFFFF"/>
            <w:tcMar>
              <w:top w:w="110" w:type="dxa"/>
              <w:left w:w="58" w:type="dxa"/>
              <w:right w:w="58" w:type="dxa"/>
            </w:tcMar>
          </w:tcPr>
          <w:p w14:paraId="758C60B5" w14:textId="1E1C3F4A" w:rsidR="0027026F" w:rsidRPr="00005ACE" w:rsidRDefault="0027026F" w:rsidP="00587BA7">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 xml:space="preserve">- عدد مرات التحميل: </w:t>
            </w:r>
            <w:r w:rsidR="00587BA7" w:rsidRPr="00396976">
              <w:rPr>
                <w:rFonts w:ascii="Arabic Typesetting" w:eastAsia="Arabic Typesetting" w:hAnsi="Arabic Typesetting" w:cs="Arabic Typesetting"/>
                <w:sz w:val="28"/>
                <w:szCs w:val="28"/>
                <w:rtl/>
                <w:lang w:eastAsia="ar-EG" w:bidi="ar-EG"/>
              </w:rPr>
              <w:t>733</w:t>
            </w:r>
            <w:r w:rsidR="00587BA7">
              <w:rPr>
                <w:rFonts w:ascii="Arabic Typesetting" w:eastAsia="Arabic Typesetting" w:hAnsi="Arabic Typesetting" w:cs="Arabic Typesetting" w:hint="eastAsia"/>
                <w:sz w:val="28"/>
                <w:szCs w:val="28"/>
                <w:rtl/>
                <w:lang w:eastAsia="ar-EG" w:bidi="ar-EG"/>
              </w:rPr>
              <w:t> </w:t>
            </w:r>
            <w:r w:rsidR="00587BA7">
              <w:rPr>
                <w:rFonts w:ascii="Arabic Typesetting" w:eastAsia="Arabic Typesetting" w:hAnsi="Arabic Typesetting" w:cs="Arabic Typesetting" w:hint="cs"/>
                <w:sz w:val="28"/>
                <w:szCs w:val="28"/>
                <w:rtl/>
                <w:lang w:eastAsia="ar-EG" w:bidi="ar-EG"/>
              </w:rPr>
              <w:t xml:space="preserve">58 </w:t>
            </w:r>
            <w:r w:rsidRPr="00005ACE">
              <w:rPr>
                <w:rFonts w:ascii="Arabic Typesetting" w:eastAsia="Arabic Typesetting" w:hAnsi="Arabic Typesetting" w:cs="Arabic Typesetting"/>
                <w:sz w:val="28"/>
                <w:szCs w:val="28"/>
                <w:vertAlign w:val="superscript"/>
                <w:lang w:eastAsia="ar-EG" w:bidi="ar-EG"/>
              </w:rPr>
              <w:footnoteReference w:id="57"/>
            </w:r>
            <w:r>
              <w:rPr>
                <w:rFonts w:ascii="Arabic Typesetting" w:eastAsia="Arabic Typesetting" w:hAnsi="Arabic Typesetting" w:cs="Arabic Typesetting"/>
                <w:sz w:val="28"/>
                <w:szCs w:val="28"/>
                <w:rtl/>
                <w:lang w:eastAsia="ar-EG" w:bidi="ar-EG"/>
              </w:rPr>
              <w:br/>
            </w:r>
            <w:r w:rsidRPr="00005ACE">
              <w:rPr>
                <w:rFonts w:ascii="Arabic Typesetting" w:eastAsia="Arabic Typesetting" w:hAnsi="Arabic Typesetting" w:cs="Arabic Typesetting"/>
                <w:sz w:val="28"/>
                <w:szCs w:val="28"/>
                <w:rtl/>
                <w:lang w:eastAsia="ar-EG" w:bidi="ar-EG"/>
              </w:rPr>
              <w:t>(-18% مقارنة بعام 2015)</w:t>
            </w:r>
          </w:p>
          <w:p w14:paraId="25670594" w14:textId="77777777" w:rsidR="0027026F" w:rsidRPr="00DC5FEA"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 عدد مشاهدات الصفحات على الموقع الإلكتروني الخ</w:t>
            </w:r>
            <w:r>
              <w:rPr>
                <w:rFonts w:ascii="Arabic Typesetting" w:eastAsia="Arabic Typesetting" w:hAnsi="Arabic Typesetting" w:cs="Arabic Typesetting"/>
                <w:sz w:val="28"/>
                <w:szCs w:val="28"/>
                <w:rtl/>
                <w:lang w:eastAsia="ar-EG" w:bidi="ar-EG"/>
              </w:rPr>
              <w:t xml:space="preserve">اص بالشركات الصغيرة والمتوسطة: </w:t>
            </w:r>
            <w:r w:rsidRPr="00005ACE">
              <w:rPr>
                <w:rFonts w:ascii="Arabic Typesetting" w:eastAsia="Arabic Typesetting" w:hAnsi="Arabic Typesetting" w:cs="Arabic Typesetting"/>
                <w:sz w:val="28"/>
                <w:szCs w:val="28"/>
                <w:rtl/>
                <w:lang w:eastAsia="ar-EG" w:bidi="ar-EG"/>
              </w:rPr>
              <w:t>629 144 1 (+19% مقارنة</w:t>
            </w:r>
            <w:r>
              <w:rPr>
                <w:rFonts w:ascii="Arabic Typesetting" w:eastAsia="Arabic Typesetting" w:hAnsi="Arabic Typesetting" w:cs="Arabic Typesetting" w:hint="cs"/>
                <w:sz w:val="28"/>
                <w:szCs w:val="28"/>
                <w:rtl/>
                <w:lang w:eastAsia="ar-EG" w:bidi="ar-EG"/>
              </w:rPr>
              <w:t> </w:t>
            </w:r>
            <w:r w:rsidRPr="00005ACE">
              <w:rPr>
                <w:rFonts w:ascii="Arabic Typesetting" w:eastAsia="Arabic Typesetting" w:hAnsi="Arabic Typesetting" w:cs="Arabic Typesetting"/>
                <w:sz w:val="28"/>
                <w:szCs w:val="28"/>
                <w:rtl/>
                <w:lang w:eastAsia="ar-EG" w:bidi="ar-EG"/>
              </w:rPr>
              <w:t>بعام 2015)</w:t>
            </w:r>
          </w:p>
        </w:tc>
        <w:tc>
          <w:tcPr>
            <w:tcW w:w="500" w:type="pct"/>
            <w:shd w:val="clear" w:color="auto" w:fill="auto"/>
            <w:tcMar>
              <w:top w:w="110" w:type="dxa"/>
              <w:left w:w="58" w:type="dxa"/>
              <w:right w:w="58" w:type="dxa"/>
            </w:tcMar>
          </w:tcPr>
          <w:p w14:paraId="7C4DC1F9" w14:textId="77777777" w:rsidR="0027026F" w:rsidRPr="00005ACE" w:rsidRDefault="0027026F" w:rsidP="004B40B5">
            <w:pPr>
              <w:keepNext/>
              <w:keepLines/>
              <w:bidi/>
              <w:spacing w:after="700" w:line="280" w:lineRule="exact"/>
              <w:jc w:val="center"/>
              <w:rPr>
                <w:rFonts w:ascii="Arabic Typesetting" w:eastAsia="Arabic Typesetting" w:hAnsi="Arabic Typesetting" w:cs="Arabic Typesetting"/>
                <w:b/>
                <w:color w:val="FF0000"/>
                <w:sz w:val="28"/>
                <w:szCs w:val="28"/>
                <w:lang w:eastAsia="ar-EG" w:bidi="ar-EG"/>
              </w:rPr>
            </w:pPr>
            <w:r w:rsidRPr="00005ACE">
              <w:rPr>
                <w:rFonts w:ascii="Arabic Typesetting" w:eastAsia="Arabic Typesetting" w:hAnsi="Arabic Typesetting" w:cs="Arabic Typesetting"/>
                <w:b/>
                <w:bCs/>
                <w:color w:val="FF0000"/>
                <w:sz w:val="28"/>
                <w:szCs w:val="28"/>
                <w:rtl/>
                <w:lang w:eastAsia="ar-EG" w:bidi="ar-EG"/>
              </w:rPr>
              <w:t>غير ثابت</w:t>
            </w:r>
          </w:p>
          <w:p w14:paraId="4E176B09"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005ACE">
              <w:rPr>
                <w:rFonts w:ascii="Arabic Typesetting" w:eastAsia="Arabic Typesetting" w:hAnsi="Arabic Typesetting" w:cs="Arabic Typesetting"/>
                <w:b/>
                <w:bCs/>
                <w:color w:val="00B050"/>
                <w:sz w:val="28"/>
                <w:szCs w:val="28"/>
                <w:rtl/>
                <w:lang w:eastAsia="ar-EG" w:bidi="ar-EG"/>
              </w:rPr>
              <w:t>ثابت</w:t>
            </w:r>
          </w:p>
        </w:tc>
      </w:tr>
      <w:tr w:rsidR="0027026F" w:rsidRPr="00005ACE" w14:paraId="17FBC028" w14:textId="77777777" w:rsidTr="004B40B5">
        <w:trPr>
          <w:cantSplit/>
          <w:trHeight w:val="1420"/>
        </w:trPr>
        <w:tc>
          <w:tcPr>
            <w:tcW w:w="1074" w:type="pct"/>
            <w:shd w:val="clear" w:color="auto" w:fill="auto"/>
            <w:tcMar>
              <w:left w:w="58" w:type="dxa"/>
              <w:right w:w="58" w:type="dxa"/>
            </w:tcMar>
          </w:tcPr>
          <w:p w14:paraId="7CA5F163"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1367" w:type="pct"/>
            <w:shd w:val="clear" w:color="auto" w:fill="auto"/>
            <w:tcMar>
              <w:left w:w="58" w:type="dxa"/>
              <w:right w:w="58" w:type="dxa"/>
            </w:tcMar>
          </w:tcPr>
          <w:p w14:paraId="052A70CF" w14:textId="77777777" w:rsidR="0027026F" w:rsidRPr="00005ACE" w:rsidRDefault="0027026F" w:rsidP="004B40B5">
            <w:pPr>
              <w:bidi/>
              <w:spacing w:after="120" w:line="280" w:lineRule="exact"/>
              <w:rPr>
                <w:rFonts w:ascii="Arabic Typesetting" w:eastAsia="Batang" w:hAnsi="Arabic Typesetting" w:cs="Arabic Typesetting"/>
                <w:color w:val="002060"/>
                <w:sz w:val="28"/>
                <w:szCs w:val="28"/>
                <w:lang w:eastAsia="ja-JP" w:bidi="ar-EG"/>
              </w:rPr>
            </w:pPr>
            <w:r w:rsidRPr="00005ACE">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lang w:eastAsia="ar-EG" w:bidi="ar-EG"/>
              </w:rPr>
              <w:br/>
            </w:r>
            <w:r w:rsidRPr="00005ACE">
              <w:rPr>
                <w:rFonts w:ascii="Arabic Typesetting" w:eastAsia="Batang" w:hAnsi="Arabic Typesetting" w:cs="Arabic Typesetting"/>
                <w:color w:val="002060"/>
                <w:sz w:val="28"/>
                <w:szCs w:val="28"/>
                <w:rtl/>
                <w:lang w:eastAsia="ja-JP" w:bidi="ar-EG"/>
              </w:rPr>
              <w:t>100% (46% راضون للغاية و54%</w:t>
            </w:r>
            <w:r>
              <w:rPr>
                <w:rFonts w:ascii="Arabic Typesetting" w:eastAsia="Batang" w:hAnsi="Arabic Typesetting" w:cs="Arabic Typesetting"/>
                <w:color w:val="002060"/>
                <w:sz w:val="28"/>
                <w:szCs w:val="28"/>
                <w:lang w:eastAsia="ja-JP" w:bidi="ar-EG"/>
              </w:rPr>
              <w:t> </w:t>
            </w:r>
            <w:r w:rsidRPr="00005ACE">
              <w:rPr>
                <w:rFonts w:ascii="Arabic Typesetting" w:eastAsia="Batang" w:hAnsi="Arabic Typesetting" w:cs="Arabic Typesetting"/>
                <w:color w:val="002060"/>
                <w:sz w:val="28"/>
                <w:szCs w:val="28"/>
                <w:rtl/>
                <w:lang w:eastAsia="ja-JP" w:bidi="ar-EG"/>
              </w:rPr>
              <w:t>راضون)</w:t>
            </w:r>
          </w:p>
          <w:p w14:paraId="483662D5"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005ACE">
              <w:rPr>
                <w:rFonts w:ascii="Arabic Typesetting" w:eastAsia="Arabic Typesetting" w:hAnsi="Arabic Typesetting" w:cs="Arabic Typesetting"/>
                <w:i/>
                <w:iCs/>
                <w:sz w:val="28"/>
                <w:szCs w:val="28"/>
                <w:rtl/>
                <w:lang w:eastAsia="ar-EG" w:bidi="ar-EG"/>
              </w:rPr>
              <w:t>:</w:t>
            </w:r>
            <w:r w:rsidRPr="00005ACE">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lang w:eastAsia="ar-EG" w:bidi="ar-EG"/>
              </w:rPr>
              <w:br/>
            </w:r>
            <w:r w:rsidRPr="00005ACE">
              <w:rPr>
                <w:rFonts w:ascii="Arabic Typesetting" w:eastAsia="Arabic Typesetting" w:hAnsi="Arabic Typesetting" w:cs="Arabic Typesetting"/>
                <w:color w:val="000000"/>
                <w:sz w:val="28"/>
                <w:szCs w:val="28"/>
                <w:rtl/>
                <w:lang w:eastAsia="ar-EG" w:bidi="ar-EG"/>
              </w:rPr>
              <w:t>100%</w:t>
            </w:r>
          </w:p>
        </w:tc>
        <w:tc>
          <w:tcPr>
            <w:tcW w:w="991" w:type="pct"/>
            <w:gridSpan w:val="2"/>
            <w:shd w:val="clear" w:color="auto" w:fill="auto"/>
            <w:tcMar>
              <w:top w:w="110" w:type="dxa"/>
              <w:left w:w="58" w:type="dxa"/>
              <w:right w:w="58" w:type="dxa"/>
            </w:tcMar>
          </w:tcPr>
          <w:p w14:paraId="697A509B"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90%</w:t>
            </w:r>
          </w:p>
        </w:tc>
        <w:tc>
          <w:tcPr>
            <w:tcW w:w="1068" w:type="pct"/>
            <w:shd w:val="clear" w:color="auto" w:fill="FFFFFF"/>
            <w:tcMar>
              <w:top w:w="110" w:type="dxa"/>
              <w:left w:w="58" w:type="dxa"/>
              <w:right w:w="58" w:type="dxa"/>
            </w:tcMar>
          </w:tcPr>
          <w:p w14:paraId="1473323D"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sz w:val="28"/>
                <w:szCs w:val="28"/>
                <w:rtl/>
                <w:lang w:eastAsia="ar-EG" w:bidi="ar-EG"/>
              </w:rPr>
              <w:t>90% (42% راضون للغاية و48% راضون)</w:t>
            </w:r>
          </w:p>
        </w:tc>
        <w:tc>
          <w:tcPr>
            <w:tcW w:w="500" w:type="pct"/>
            <w:shd w:val="clear" w:color="auto" w:fill="auto"/>
            <w:tcMar>
              <w:top w:w="110" w:type="dxa"/>
              <w:left w:w="58" w:type="dxa"/>
              <w:right w:w="58" w:type="dxa"/>
            </w:tcMar>
          </w:tcPr>
          <w:p w14:paraId="225AFF2A"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005ACE">
              <w:rPr>
                <w:rFonts w:ascii="Arabic Typesetting" w:eastAsia="Arabic Typesetting" w:hAnsi="Arabic Typesetting" w:cs="Arabic Typesetting"/>
                <w:b/>
                <w:bCs/>
                <w:color w:val="00B050"/>
                <w:sz w:val="28"/>
                <w:szCs w:val="28"/>
                <w:rtl/>
                <w:lang w:eastAsia="ar-EG" w:bidi="ar-EG"/>
              </w:rPr>
              <w:t>ثابت</w:t>
            </w:r>
          </w:p>
        </w:tc>
      </w:tr>
      <w:tr w:rsidR="0027026F" w:rsidRPr="00005ACE" w14:paraId="7D59B49B" w14:textId="77777777" w:rsidTr="004B40B5">
        <w:trPr>
          <w:cantSplit/>
          <w:trHeight w:val="997"/>
        </w:trPr>
        <w:tc>
          <w:tcPr>
            <w:tcW w:w="1074" w:type="pct"/>
            <w:shd w:val="clear" w:color="auto" w:fill="auto"/>
            <w:tcMar>
              <w:left w:w="58" w:type="dxa"/>
              <w:right w:w="58" w:type="dxa"/>
            </w:tcMar>
          </w:tcPr>
          <w:p w14:paraId="30078677"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النسبة المئوية للمؤسسات المُدرَّبة الداعمة للشركات الصغيرة والمتوسطة والتي تُوفر المعلومات وخدمات الاستشارة في مجال إدارة أصول الملكية الفكرية</w:t>
            </w:r>
          </w:p>
        </w:tc>
        <w:tc>
          <w:tcPr>
            <w:tcW w:w="1367" w:type="pct"/>
            <w:shd w:val="clear" w:color="auto" w:fill="auto"/>
            <w:tcMar>
              <w:left w:w="58" w:type="dxa"/>
              <w:right w:w="58" w:type="dxa"/>
            </w:tcMar>
          </w:tcPr>
          <w:p w14:paraId="2BBE4518" w14:textId="77777777" w:rsidR="0027026F" w:rsidRPr="00005ACE"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005ACE">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lang w:eastAsia="ar-EG" w:bidi="ar-EG"/>
              </w:rPr>
              <w:br/>
            </w:r>
            <w:r>
              <w:rPr>
                <w:rFonts w:ascii="Arabic Typesetting" w:eastAsia="Arabic Typesetting" w:hAnsi="Arabic Typesetting" w:cs="Arabic Typesetting"/>
                <w:color w:val="002060"/>
                <w:sz w:val="28"/>
                <w:szCs w:val="28"/>
                <w:rtl/>
                <w:lang w:eastAsia="ar-EG" w:bidi="ar-EG"/>
              </w:rPr>
              <w:t>100%</w:t>
            </w:r>
            <w:r>
              <w:rPr>
                <w:rFonts w:ascii="Arabic Typesetting" w:eastAsia="Arabic Typesetting" w:hAnsi="Arabic Typesetting" w:cs="Arabic Typesetting" w:hint="cs"/>
                <w:color w:val="002060"/>
                <w:sz w:val="28"/>
                <w:szCs w:val="28"/>
                <w:rtl/>
                <w:lang w:eastAsia="ar-EG" w:bidi="ar-EG"/>
              </w:rPr>
              <w:t xml:space="preserve"> (ف</w:t>
            </w:r>
            <w:r w:rsidRPr="00005ACE">
              <w:rPr>
                <w:rFonts w:ascii="Arabic Typesetting" w:eastAsia="Arabic Typesetting" w:hAnsi="Arabic Typesetting" w:cs="Arabic Typesetting"/>
                <w:color w:val="002060"/>
                <w:sz w:val="28"/>
                <w:szCs w:val="28"/>
                <w:rtl/>
                <w:lang w:eastAsia="ar-EG" w:bidi="ar-EG"/>
              </w:rPr>
              <w:t>ي كثير من الأحيان (</w:t>
            </w:r>
            <w:r>
              <w:rPr>
                <w:rFonts w:ascii="Arabic Typesetting" w:eastAsia="Arabic Typesetting" w:hAnsi="Arabic Typesetting" w:cs="Arabic Typesetting"/>
                <w:color w:val="002060"/>
                <w:sz w:val="28"/>
                <w:szCs w:val="28"/>
                <w:lang w:eastAsia="ar-EG" w:bidi="ar-EG"/>
              </w:rPr>
              <w:t>%48</w:t>
            </w:r>
            <w:r w:rsidRPr="00005ACE">
              <w:rPr>
                <w:rFonts w:ascii="Arabic Typesetting" w:eastAsia="Arabic Typesetting" w:hAnsi="Arabic Typesetting" w:cs="Arabic Typesetting"/>
                <w:color w:val="002060"/>
                <w:sz w:val="28"/>
                <w:szCs w:val="28"/>
                <w:rtl/>
                <w:lang w:eastAsia="ar-EG" w:bidi="ar-EG"/>
              </w:rPr>
              <w:t>)؛ غالباً (</w:t>
            </w:r>
            <w:r>
              <w:rPr>
                <w:rFonts w:ascii="Arabic Typesetting" w:eastAsia="Arabic Typesetting" w:hAnsi="Arabic Typesetting" w:cs="Arabic Typesetting"/>
                <w:color w:val="002060"/>
                <w:sz w:val="28"/>
                <w:szCs w:val="28"/>
                <w:lang w:eastAsia="ar-EG" w:bidi="ar-EG"/>
              </w:rPr>
              <w:t>%32</w:t>
            </w:r>
            <w:r w:rsidRPr="00005ACE">
              <w:rPr>
                <w:rFonts w:ascii="Arabic Typesetting" w:eastAsia="Arabic Typesetting" w:hAnsi="Arabic Typesetting" w:cs="Arabic Typesetting"/>
                <w:color w:val="002060"/>
                <w:sz w:val="28"/>
                <w:szCs w:val="28"/>
                <w:rtl/>
                <w:lang w:eastAsia="ar-EG" w:bidi="ar-EG"/>
              </w:rPr>
              <w:t>)؛ أحياناً (</w:t>
            </w:r>
            <w:r>
              <w:rPr>
                <w:rFonts w:ascii="Arabic Typesetting" w:eastAsia="Arabic Typesetting" w:hAnsi="Arabic Typesetting" w:cs="Arabic Typesetting"/>
                <w:color w:val="002060"/>
                <w:sz w:val="28"/>
                <w:szCs w:val="28"/>
                <w:lang w:eastAsia="ar-EG" w:bidi="ar-EG"/>
              </w:rPr>
              <w:t>%20</w:t>
            </w:r>
            <w:r w:rsidRPr="00005ACE">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w:t>
            </w:r>
          </w:p>
          <w:p w14:paraId="3D6D7698"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005ACE">
              <w:rPr>
                <w:rFonts w:ascii="Arabic Typesetting" w:eastAsia="Arabic Typesetting" w:hAnsi="Arabic Typesetting" w:cs="Arabic Typesetting"/>
                <w:i/>
                <w:iCs/>
                <w:sz w:val="28"/>
                <w:szCs w:val="28"/>
                <w:rtl/>
                <w:lang w:eastAsia="ar-EG" w:bidi="ar-EG"/>
              </w:rPr>
              <w:t>:</w:t>
            </w:r>
            <w:r w:rsidRPr="00005ACE">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005ACE">
              <w:rPr>
                <w:rFonts w:ascii="Arabic Typesetting" w:eastAsia="Arabic Typesetting" w:hAnsi="Arabic Typesetting" w:cs="Arabic Typesetting"/>
                <w:color w:val="000000"/>
                <w:sz w:val="28"/>
                <w:szCs w:val="28"/>
                <w:rtl/>
                <w:lang w:eastAsia="ar-EG" w:bidi="ar-EG"/>
              </w:rPr>
              <w:t>100%</w:t>
            </w:r>
          </w:p>
        </w:tc>
        <w:tc>
          <w:tcPr>
            <w:tcW w:w="991" w:type="pct"/>
            <w:gridSpan w:val="2"/>
            <w:shd w:val="clear" w:color="auto" w:fill="auto"/>
            <w:tcMar>
              <w:top w:w="110" w:type="dxa"/>
              <w:left w:w="58" w:type="dxa"/>
              <w:right w:w="58" w:type="dxa"/>
            </w:tcMar>
          </w:tcPr>
          <w:p w14:paraId="2B6B8CFF"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80%</w:t>
            </w:r>
          </w:p>
        </w:tc>
        <w:tc>
          <w:tcPr>
            <w:tcW w:w="1068" w:type="pct"/>
            <w:shd w:val="clear" w:color="auto" w:fill="FFFFFF"/>
            <w:tcMar>
              <w:top w:w="110" w:type="dxa"/>
              <w:left w:w="58" w:type="dxa"/>
              <w:right w:w="58" w:type="dxa"/>
            </w:tcMar>
          </w:tcPr>
          <w:p w14:paraId="580CDC11" w14:textId="77777777" w:rsidR="0027026F" w:rsidRPr="00005ACE"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100%</w:t>
            </w:r>
            <w:r>
              <w:rPr>
                <w:rFonts w:ascii="Arabic Typesetting" w:eastAsia="Arabic Typesetting" w:hAnsi="Arabic Typesetting" w:cs="Arabic Typesetting"/>
                <w:sz w:val="28"/>
                <w:szCs w:val="28"/>
                <w:rtl/>
                <w:lang w:eastAsia="ar-EG" w:bidi="ar-EG"/>
              </w:rPr>
              <w:br/>
            </w:r>
            <w:r w:rsidRPr="00005ACE">
              <w:rPr>
                <w:rFonts w:ascii="Arabic Typesetting" w:eastAsia="Arabic Typesetting" w:hAnsi="Arabic Typesetting" w:cs="Arabic Typesetting"/>
                <w:sz w:val="28"/>
                <w:szCs w:val="28"/>
                <w:rtl/>
                <w:lang w:eastAsia="ar-EG" w:bidi="ar-EG"/>
              </w:rPr>
              <w:t>في كثير من الأحيان (</w:t>
            </w:r>
            <w:r>
              <w:rPr>
                <w:rFonts w:ascii="Arabic Typesetting" w:eastAsia="Arabic Typesetting" w:hAnsi="Arabic Typesetting" w:cs="Arabic Typesetting" w:hint="cs"/>
                <w:sz w:val="28"/>
                <w:szCs w:val="28"/>
                <w:rtl/>
                <w:lang w:eastAsia="ar-EG" w:bidi="ar-EG"/>
              </w:rPr>
              <w:t>%80</w:t>
            </w:r>
            <w:r w:rsidRPr="00005ACE">
              <w:rPr>
                <w:rFonts w:ascii="Arabic Typesetting" w:eastAsia="Arabic Typesetting" w:hAnsi="Arabic Typesetting" w:cs="Arabic Typesetting"/>
                <w:sz w:val="28"/>
                <w:szCs w:val="28"/>
                <w:rtl/>
                <w:lang w:eastAsia="ar-EG" w:bidi="ar-EG"/>
              </w:rPr>
              <w:t>)؛ غالباً (</w:t>
            </w:r>
            <w:r>
              <w:rPr>
                <w:rFonts w:ascii="Arabic Typesetting" w:eastAsia="Arabic Typesetting" w:hAnsi="Arabic Typesetting" w:cs="Arabic Typesetting" w:hint="cs"/>
                <w:sz w:val="28"/>
                <w:szCs w:val="28"/>
                <w:rtl/>
                <w:lang w:eastAsia="ar-EG" w:bidi="ar-EG"/>
              </w:rPr>
              <w:t>%20</w:t>
            </w:r>
            <w:r w:rsidRPr="00005ACE">
              <w:rPr>
                <w:rFonts w:ascii="Arabic Typesetting" w:eastAsia="Arabic Typesetting" w:hAnsi="Arabic Typesetting" w:cs="Arabic Typesetting"/>
                <w:sz w:val="28"/>
                <w:szCs w:val="28"/>
                <w:rtl/>
                <w:lang w:eastAsia="ar-EG" w:bidi="ar-EG"/>
              </w:rPr>
              <w:t>)</w:t>
            </w:r>
          </w:p>
        </w:tc>
        <w:tc>
          <w:tcPr>
            <w:tcW w:w="500" w:type="pct"/>
            <w:shd w:val="clear" w:color="auto" w:fill="auto"/>
            <w:tcMar>
              <w:top w:w="110" w:type="dxa"/>
              <w:left w:w="58" w:type="dxa"/>
              <w:right w:w="58" w:type="dxa"/>
            </w:tcMar>
          </w:tcPr>
          <w:p w14:paraId="00635252"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005ACE">
              <w:rPr>
                <w:rFonts w:ascii="Arabic Typesetting" w:eastAsia="Arabic Typesetting" w:hAnsi="Arabic Typesetting" w:cs="Arabic Typesetting"/>
                <w:b/>
                <w:bCs/>
                <w:color w:val="00B050"/>
                <w:sz w:val="28"/>
                <w:szCs w:val="28"/>
                <w:rtl/>
                <w:lang w:eastAsia="ar-EG" w:bidi="ar-EG"/>
              </w:rPr>
              <w:t>ثابت</w:t>
            </w:r>
          </w:p>
        </w:tc>
      </w:tr>
      <w:tr w:rsidR="0027026F" w:rsidRPr="00005ACE" w14:paraId="4FF0D71B" w14:textId="77777777" w:rsidTr="004B40B5">
        <w:trPr>
          <w:cantSplit/>
          <w:trHeight w:val="1322"/>
        </w:trPr>
        <w:tc>
          <w:tcPr>
            <w:tcW w:w="1074" w:type="pct"/>
            <w:shd w:val="clear" w:color="auto" w:fill="auto"/>
            <w:tcMar>
              <w:left w:w="58" w:type="dxa"/>
              <w:right w:w="58" w:type="dxa"/>
            </w:tcMar>
          </w:tcPr>
          <w:p w14:paraId="75728D93"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النسبة المئوية للمشاركين في برامج تدريبية تستهدف المؤسسات الداعمة للشركات الصغيرة والمتوسطة ممن يستخدمون معارف معزّزة ومهارات محسّنة في عملهم</w:t>
            </w:r>
          </w:p>
        </w:tc>
        <w:tc>
          <w:tcPr>
            <w:tcW w:w="1367" w:type="pct"/>
            <w:shd w:val="clear" w:color="auto" w:fill="auto"/>
            <w:tcMar>
              <w:left w:w="58" w:type="dxa"/>
              <w:right w:w="58" w:type="dxa"/>
            </w:tcMar>
          </w:tcPr>
          <w:p w14:paraId="46AE44CD"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غير متاح</w:t>
            </w:r>
          </w:p>
        </w:tc>
        <w:tc>
          <w:tcPr>
            <w:tcW w:w="991" w:type="pct"/>
            <w:gridSpan w:val="2"/>
            <w:shd w:val="clear" w:color="auto" w:fill="auto"/>
            <w:tcMar>
              <w:top w:w="110" w:type="dxa"/>
              <w:left w:w="58" w:type="dxa"/>
              <w:right w:w="58" w:type="dxa"/>
            </w:tcMar>
          </w:tcPr>
          <w:p w14:paraId="269244D1"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50%</w:t>
            </w:r>
          </w:p>
        </w:tc>
        <w:tc>
          <w:tcPr>
            <w:tcW w:w="1068" w:type="pct"/>
            <w:shd w:val="clear" w:color="auto" w:fill="FFFFFF"/>
            <w:tcMar>
              <w:top w:w="110" w:type="dxa"/>
              <w:left w:w="58" w:type="dxa"/>
              <w:right w:w="58" w:type="dxa"/>
            </w:tcMar>
          </w:tcPr>
          <w:p w14:paraId="5466BF52" w14:textId="77777777" w:rsidR="0027026F" w:rsidRPr="00005ACE"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البيانات غير متوفرة</w:t>
            </w:r>
          </w:p>
        </w:tc>
        <w:tc>
          <w:tcPr>
            <w:tcW w:w="500" w:type="pct"/>
            <w:shd w:val="clear" w:color="auto" w:fill="auto"/>
            <w:tcMar>
              <w:top w:w="110" w:type="dxa"/>
              <w:left w:w="58" w:type="dxa"/>
              <w:right w:w="58" w:type="dxa"/>
            </w:tcMar>
          </w:tcPr>
          <w:p w14:paraId="04C68BE1"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005ACE">
              <w:rPr>
                <w:rFonts w:ascii="Arabic Typesetting" w:eastAsia="Arabic Typesetting" w:hAnsi="Arabic Typesetting" w:cs="Arabic Typesetting"/>
                <w:b/>
                <w:bCs/>
                <w:color w:val="0070C0"/>
                <w:sz w:val="28"/>
                <w:szCs w:val="28"/>
                <w:rtl/>
                <w:lang w:eastAsia="ar-EG" w:bidi="ar-EG"/>
              </w:rPr>
              <w:t>غير متاح في</w:t>
            </w:r>
            <w:r>
              <w:rPr>
                <w:rFonts w:ascii="Arabic Typesetting" w:eastAsia="Arabic Typesetting" w:hAnsi="Arabic Typesetting" w:cs="Arabic Typesetting" w:hint="cs"/>
                <w:b/>
                <w:bCs/>
                <w:color w:val="0070C0"/>
                <w:sz w:val="28"/>
                <w:szCs w:val="28"/>
                <w:rtl/>
                <w:lang w:eastAsia="ar-EG" w:bidi="ar-EG"/>
              </w:rPr>
              <w:t> </w:t>
            </w:r>
            <w:r w:rsidRPr="00005ACE">
              <w:rPr>
                <w:rFonts w:ascii="Arabic Typesetting" w:eastAsia="Arabic Typesetting" w:hAnsi="Arabic Typesetting" w:cs="Arabic Typesetting"/>
                <w:b/>
                <w:bCs/>
                <w:color w:val="0070C0"/>
                <w:sz w:val="28"/>
                <w:szCs w:val="28"/>
                <w:rtl/>
                <w:lang w:eastAsia="ar-EG" w:bidi="ar-EG"/>
              </w:rPr>
              <w:t>2016</w:t>
            </w:r>
          </w:p>
        </w:tc>
      </w:tr>
      <w:tr w:rsidR="0027026F" w:rsidRPr="00005ACE" w14:paraId="586FD79E" w14:textId="77777777" w:rsidTr="004B40B5">
        <w:trPr>
          <w:cantSplit/>
          <w:trHeight w:val="790"/>
        </w:trPr>
        <w:tc>
          <w:tcPr>
            <w:tcW w:w="1074" w:type="pct"/>
            <w:shd w:val="clear" w:color="auto" w:fill="auto"/>
            <w:tcMar>
              <w:left w:w="58" w:type="dxa"/>
              <w:right w:w="58" w:type="dxa"/>
            </w:tcMar>
          </w:tcPr>
          <w:p w14:paraId="657912A1"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lastRenderedPageBreak/>
              <w:t>عدد البلدان التي وضعت أو</w:t>
            </w:r>
            <w:r>
              <w:rPr>
                <w:rFonts w:ascii="Arabic Typesetting" w:eastAsia="Arabic Typesetting" w:hAnsi="Arabic Typesetting" w:cs="Arabic Typesetting" w:hint="cs"/>
                <w:color w:val="000000"/>
                <w:sz w:val="28"/>
                <w:szCs w:val="28"/>
                <w:rtl/>
                <w:lang w:eastAsia="ar-EG" w:bidi="ar-EG"/>
              </w:rPr>
              <w:t> </w:t>
            </w:r>
            <w:r w:rsidRPr="00005ACE">
              <w:rPr>
                <w:rFonts w:ascii="Arabic Typesetting" w:eastAsia="Arabic Typesetting" w:hAnsi="Arabic Typesetting" w:cs="Arabic Typesetting"/>
                <w:color w:val="000000"/>
                <w:sz w:val="28"/>
                <w:szCs w:val="28"/>
                <w:rtl/>
                <w:lang w:eastAsia="ar-EG" w:bidi="ar-EG"/>
              </w:rPr>
              <w:t>حسَّنت برامج تدريبية في مجال الملكية الفكرية لفائدة الشركات الصغيرة والمتوسطة</w:t>
            </w:r>
          </w:p>
        </w:tc>
        <w:tc>
          <w:tcPr>
            <w:tcW w:w="1367" w:type="pct"/>
            <w:shd w:val="clear" w:color="auto" w:fill="auto"/>
            <w:tcMar>
              <w:left w:w="58" w:type="dxa"/>
              <w:right w:w="58" w:type="dxa"/>
            </w:tcMar>
          </w:tcPr>
          <w:p w14:paraId="70CC92F0" w14:textId="77777777" w:rsidR="0027026F" w:rsidRPr="00005ACE" w:rsidRDefault="0027026F" w:rsidP="004B40B5">
            <w:pPr>
              <w:bidi/>
              <w:spacing w:after="120" w:line="280" w:lineRule="exact"/>
              <w:rPr>
                <w:rFonts w:ascii="Arabic Typesetting" w:eastAsia="Batang" w:hAnsi="Arabic Typesetting" w:cs="Arabic Typesetting"/>
                <w:color w:val="002060"/>
                <w:sz w:val="28"/>
                <w:szCs w:val="28"/>
                <w:lang w:eastAsia="ja-JP" w:bidi="ar-EG"/>
              </w:rPr>
            </w:pPr>
            <w:r w:rsidRPr="00005AC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br/>
            </w:r>
            <w:r w:rsidRPr="00005ACE">
              <w:rPr>
                <w:rFonts w:ascii="Arabic Typesetting" w:eastAsia="Batang" w:hAnsi="Arabic Typesetting" w:cs="Arabic Typesetting"/>
                <w:color w:val="002060"/>
                <w:sz w:val="28"/>
                <w:szCs w:val="28"/>
                <w:rtl/>
                <w:lang w:eastAsia="ja-JP" w:bidi="ar-EG"/>
              </w:rPr>
              <w:t xml:space="preserve">18 بلداً/منظمة إقليمية (تراكمي) </w:t>
            </w:r>
          </w:p>
          <w:p w14:paraId="732DE2F7"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005ACE">
              <w:rPr>
                <w:rFonts w:ascii="Arabic Typesetting" w:eastAsia="Arabic Typesetting" w:hAnsi="Arabic Typesetting" w:cs="Arabic Typesetting"/>
                <w:i/>
                <w:iCs/>
                <w:sz w:val="28"/>
                <w:szCs w:val="28"/>
                <w:rtl/>
                <w:lang w:eastAsia="ar-EG" w:bidi="ar-EG"/>
              </w:rPr>
              <w:t>:</w:t>
            </w:r>
            <w:r w:rsidRPr="00005ACE">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005ACE">
              <w:rPr>
                <w:rFonts w:ascii="Arabic Typesetting" w:eastAsia="Arabic Typesetting" w:hAnsi="Arabic Typesetting" w:cs="Arabic Typesetting"/>
                <w:color w:val="000000"/>
                <w:sz w:val="28"/>
                <w:szCs w:val="28"/>
                <w:rtl/>
                <w:lang w:eastAsia="ar-EG" w:bidi="ar-EG"/>
              </w:rPr>
              <w:t>13</w:t>
            </w:r>
          </w:p>
        </w:tc>
        <w:tc>
          <w:tcPr>
            <w:tcW w:w="991" w:type="pct"/>
            <w:gridSpan w:val="2"/>
            <w:shd w:val="clear" w:color="auto" w:fill="auto"/>
            <w:tcMar>
              <w:top w:w="110" w:type="dxa"/>
              <w:left w:w="58" w:type="dxa"/>
              <w:right w:w="58" w:type="dxa"/>
            </w:tcMar>
          </w:tcPr>
          <w:p w14:paraId="42691F95"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10 مؤسسات إضافية</w:t>
            </w:r>
          </w:p>
        </w:tc>
        <w:tc>
          <w:tcPr>
            <w:tcW w:w="1068" w:type="pct"/>
            <w:shd w:val="clear" w:color="auto" w:fill="FFFFFF"/>
            <w:tcMar>
              <w:top w:w="110" w:type="dxa"/>
              <w:left w:w="58" w:type="dxa"/>
              <w:right w:w="58" w:type="dxa"/>
            </w:tcMar>
          </w:tcPr>
          <w:p w14:paraId="55ED68BA" w14:textId="77777777" w:rsidR="0027026F" w:rsidRPr="00005ACE"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في 4 بلدان (جمهورية إيران الإسلامية والاتحاد الروسي وسيشيل وجنوب أفريقيا) أفادت بأنها وضعت أو حسَّنت البرامج التدريبية والمساعدات المقدَّمة للشركات الصغيرة والمتوسطة</w:t>
            </w:r>
          </w:p>
        </w:tc>
        <w:tc>
          <w:tcPr>
            <w:tcW w:w="500" w:type="pct"/>
            <w:shd w:val="clear" w:color="auto" w:fill="auto"/>
            <w:tcMar>
              <w:top w:w="110" w:type="dxa"/>
              <w:left w:w="58" w:type="dxa"/>
              <w:right w:w="58" w:type="dxa"/>
            </w:tcMar>
          </w:tcPr>
          <w:p w14:paraId="0FD779FF"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005ACE">
              <w:rPr>
                <w:rFonts w:ascii="Arabic Typesetting" w:eastAsia="Arabic Typesetting" w:hAnsi="Arabic Typesetting" w:cs="Arabic Typesetting"/>
                <w:b/>
                <w:bCs/>
                <w:color w:val="00B050"/>
                <w:sz w:val="28"/>
                <w:szCs w:val="28"/>
                <w:rtl/>
                <w:lang w:eastAsia="ar-EG" w:bidi="ar-EG"/>
              </w:rPr>
              <w:t>ثابت</w:t>
            </w:r>
          </w:p>
        </w:tc>
      </w:tr>
      <w:tr w:rsidR="0027026F" w:rsidRPr="00005ACE" w14:paraId="26003281" w14:textId="77777777" w:rsidTr="004B40B5">
        <w:trPr>
          <w:cantSplit/>
          <w:trHeight w:val="858"/>
        </w:trPr>
        <w:tc>
          <w:tcPr>
            <w:tcW w:w="1074" w:type="pct"/>
            <w:shd w:val="clear" w:color="auto" w:fill="auto"/>
            <w:tcMar>
              <w:left w:w="58" w:type="dxa"/>
              <w:right w:w="58" w:type="dxa"/>
            </w:tcMar>
          </w:tcPr>
          <w:p w14:paraId="55AFBA23"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عدد البلدان التي وُضعت أو اعتُمدت فيها سياسات للملكية الفكرية من أجل الشركات الصغيرة والمتوسطة</w:t>
            </w:r>
          </w:p>
        </w:tc>
        <w:tc>
          <w:tcPr>
            <w:tcW w:w="1367" w:type="pct"/>
            <w:shd w:val="clear" w:color="auto" w:fill="auto"/>
            <w:tcMar>
              <w:left w:w="58" w:type="dxa"/>
              <w:right w:w="58" w:type="dxa"/>
            </w:tcMar>
          </w:tcPr>
          <w:p w14:paraId="5184C694"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غير متاح</w:t>
            </w:r>
          </w:p>
        </w:tc>
        <w:tc>
          <w:tcPr>
            <w:tcW w:w="991" w:type="pct"/>
            <w:gridSpan w:val="2"/>
            <w:shd w:val="clear" w:color="auto" w:fill="auto"/>
            <w:tcMar>
              <w:top w:w="110" w:type="dxa"/>
              <w:left w:w="58" w:type="dxa"/>
              <w:right w:w="58" w:type="dxa"/>
            </w:tcMar>
          </w:tcPr>
          <w:p w14:paraId="6DC2EAE3"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5 بلدان</w:t>
            </w:r>
          </w:p>
        </w:tc>
        <w:tc>
          <w:tcPr>
            <w:tcW w:w="1068" w:type="pct"/>
            <w:shd w:val="clear" w:color="auto" w:fill="FFFFFF"/>
            <w:tcMar>
              <w:top w:w="110" w:type="dxa"/>
              <w:left w:w="58" w:type="dxa"/>
              <w:right w:w="58" w:type="dxa"/>
            </w:tcMar>
          </w:tcPr>
          <w:p w14:paraId="69B9FF79" w14:textId="77777777" w:rsidR="0027026F" w:rsidRPr="00005ACE"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غير متاح</w:t>
            </w:r>
            <w:r>
              <w:rPr>
                <w:rFonts w:ascii="Arabic Typesetting" w:eastAsia="Arabic Typesetting" w:hAnsi="Arabic Typesetting" w:cs="Arabic Typesetting" w:hint="cs"/>
                <w:sz w:val="28"/>
                <w:szCs w:val="28"/>
                <w:rtl/>
                <w:lang w:eastAsia="ar-EG" w:bidi="ar-EG"/>
              </w:rPr>
              <w:t>ة</w:t>
            </w:r>
          </w:p>
        </w:tc>
        <w:tc>
          <w:tcPr>
            <w:tcW w:w="500" w:type="pct"/>
            <w:shd w:val="clear" w:color="auto" w:fill="auto"/>
            <w:tcMar>
              <w:top w:w="110" w:type="dxa"/>
              <w:left w:w="58" w:type="dxa"/>
              <w:right w:w="58" w:type="dxa"/>
            </w:tcMar>
          </w:tcPr>
          <w:p w14:paraId="1F8AAC49"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005ACE">
              <w:rPr>
                <w:rFonts w:ascii="Arabic Typesetting" w:eastAsia="Arabic Typesetting" w:hAnsi="Arabic Typesetting" w:cs="Arabic Typesetting"/>
                <w:b/>
                <w:bCs/>
                <w:color w:val="FF0000"/>
                <w:sz w:val="28"/>
                <w:szCs w:val="28"/>
                <w:rtl/>
                <w:lang w:eastAsia="ar-EG" w:bidi="ar-EG"/>
              </w:rPr>
              <w:t>غير ثابت</w:t>
            </w:r>
          </w:p>
        </w:tc>
      </w:tr>
      <w:tr w:rsidR="0027026F" w:rsidRPr="00005ACE" w14:paraId="03BE1A16" w14:textId="77777777" w:rsidTr="004B40B5">
        <w:trPr>
          <w:cantSplit/>
          <w:trHeight w:val="565"/>
        </w:trPr>
        <w:tc>
          <w:tcPr>
            <w:tcW w:w="5000" w:type="pct"/>
            <w:gridSpan w:val="6"/>
            <w:shd w:val="clear" w:color="auto" w:fill="C6D9F1"/>
            <w:tcMar>
              <w:left w:w="58" w:type="dxa"/>
              <w:right w:w="58" w:type="dxa"/>
            </w:tcMar>
            <w:vAlign w:val="center"/>
          </w:tcPr>
          <w:p w14:paraId="709E4B5D" w14:textId="3CC92F50" w:rsidR="0027026F" w:rsidRPr="00005ACE" w:rsidRDefault="0027026F" w:rsidP="004B40B5">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‏النتيجة المرتقبة:</w:t>
            </w:r>
            <w:r w:rsidRPr="00005ACE">
              <w:rPr>
                <w:rFonts w:ascii="Arabic Typesetting" w:eastAsia="Arabic Typesetting" w:hAnsi="Arabic Typesetting" w:cs="Arabic Typesetting"/>
                <w:sz w:val="28"/>
                <w:szCs w:val="28"/>
                <w:lang w:eastAsia="ar-EG" w:bidi="ar-EG"/>
              </w:rPr>
              <w:tab/>
            </w:r>
            <w:r w:rsidRPr="00005ACE">
              <w:rPr>
                <w:rFonts w:ascii="Arabic Typesetting" w:eastAsia="Arabic Typesetting" w:hAnsi="Arabic Typesetting" w:cs="Arabic Typesetting"/>
                <w:color w:val="000000"/>
                <w:sz w:val="28"/>
                <w:szCs w:val="28"/>
                <w:rtl/>
                <w:lang w:eastAsia="ar-EG" w:bidi="ar-EG"/>
              </w:rPr>
              <w:t xml:space="preserve">ھ2.4 </w:t>
            </w:r>
            <w:r w:rsidR="007B1E0A">
              <w:rPr>
                <w:rFonts w:ascii="Arabic Typesetting" w:eastAsia="Arabic Typesetting" w:hAnsi="Arabic Typesetting" w:cs="Arabic Typesetting"/>
                <w:color w:val="000000"/>
                <w:sz w:val="28"/>
                <w:szCs w:val="28"/>
                <w:rtl/>
                <w:lang w:eastAsia="ar-EG" w:bidi="ar-EG"/>
              </w:rPr>
              <w:t>نفاذ محسّن إلى المعلومات المتعلقة بالملكية الفكرية واستخدامها من قبل مؤسسات الملكية الفكرية والجمهور لتشجيع الابتكار والإبداع</w:t>
            </w:r>
          </w:p>
        </w:tc>
      </w:tr>
      <w:tr w:rsidR="0027026F" w:rsidRPr="00005ACE" w14:paraId="5FB00D9E" w14:textId="77777777" w:rsidTr="004B40B5">
        <w:trPr>
          <w:cantSplit/>
        </w:trPr>
        <w:tc>
          <w:tcPr>
            <w:tcW w:w="1074" w:type="pct"/>
            <w:shd w:val="clear" w:color="auto" w:fill="auto"/>
            <w:tcMar>
              <w:left w:w="58" w:type="dxa"/>
              <w:right w:w="58" w:type="dxa"/>
            </w:tcMar>
            <w:vAlign w:val="center"/>
          </w:tcPr>
          <w:p w14:paraId="2EFB75AA" w14:textId="77777777" w:rsidR="0027026F" w:rsidRPr="00005ACE" w:rsidRDefault="0027026F" w:rsidP="004B40B5">
            <w:pPr>
              <w:keepNext/>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مؤشرات الأداء</w:t>
            </w:r>
          </w:p>
        </w:tc>
        <w:tc>
          <w:tcPr>
            <w:tcW w:w="1377" w:type="pct"/>
            <w:gridSpan w:val="2"/>
            <w:shd w:val="clear" w:color="auto" w:fill="auto"/>
            <w:tcMar>
              <w:left w:w="58" w:type="dxa"/>
              <w:right w:w="58" w:type="dxa"/>
            </w:tcMar>
            <w:vAlign w:val="center"/>
          </w:tcPr>
          <w:p w14:paraId="7FDDD305"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أسس المقارنة</w:t>
            </w:r>
          </w:p>
        </w:tc>
        <w:tc>
          <w:tcPr>
            <w:tcW w:w="981" w:type="pct"/>
            <w:shd w:val="clear" w:color="auto" w:fill="auto"/>
            <w:tcMar>
              <w:top w:w="110" w:type="dxa"/>
              <w:left w:w="58" w:type="dxa"/>
              <w:right w:w="58" w:type="dxa"/>
            </w:tcMar>
            <w:vAlign w:val="center"/>
          </w:tcPr>
          <w:p w14:paraId="7BF565F7"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الأهداف</w:t>
            </w:r>
          </w:p>
        </w:tc>
        <w:tc>
          <w:tcPr>
            <w:tcW w:w="1068" w:type="pct"/>
            <w:shd w:val="clear" w:color="auto" w:fill="FFFFFF"/>
            <w:tcMar>
              <w:top w:w="110" w:type="dxa"/>
              <w:left w:w="58" w:type="dxa"/>
              <w:right w:w="58" w:type="dxa"/>
            </w:tcMar>
            <w:vAlign w:val="center"/>
          </w:tcPr>
          <w:p w14:paraId="1055BE61" w14:textId="77777777" w:rsidR="0027026F" w:rsidRPr="00005ACE" w:rsidRDefault="0027026F" w:rsidP="004B40B5">
            <w:pPr>
              <w:bidi/>
              <w:spacing w:after="120" w:line="280" w:lineRule="exact"/>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بيانات الأداء</w:t>
            </w:r>
          </w:p>
        </w:tc>
        <w:tc>
          <w:tcPr>
            <w:tcW w:w="500" w:type="pct"/>
            <w:shd w:val="clear" w:color="auto" w:fill="auto"/>
            <w:tcMar>
              <w:top w:w="110" w:type="dxa"/>
              <w:left w:w="58" w:type="dxa"/>
              <w:right w:w="58" w:type="dxa"/>
            </w:tcMar>
            <w:vAlign w:val="center"/>
          </w:tcPr>
          <w:p w14:paraId="44753647"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005ACE">
              <w:rPr>
                <w:rFonts w:ascii="Arabic Typesetting" w:eastAsia="Arabic Typesetting" w:hAnsi="Arabic Typesetting" w:cs="Arabic Typesetting"/>
                <w:b/>
                <w:bCs/>
                <w:sz w:val="28"/>
                <w:szCs w:val="28"/>
                <w:rtl/>
                <w:lang w:eastAsia="ar-EG" w:bidi="ar-EG"/>
              </w:rPr>
              <w:t>السير</w:t>
            </w:r>
          </w:p>
        </w:tc>
      </w:tr>
      <w:tr w:rsidR="0027026F" w:rsidRPr="00005ACE" w14:paraId="6F421F37" w14:textId="77777777" w:rsidTr="004B40B5">
        <w:trPr>
          <w:cantSplit/>
          <w:trHeight w:val="1109"/>
        </w:trPr>
        <w:tc>
          <w:tcPr>
            <w:tcW w:w="1074" w:type="pct"/>
            <w:shd w:val="clear" w:color="auto" w:fill="auto"/>
            <w:tcMar>
              <w:left w:w="58" w:type="dxa"/>
              <w:right w:w="58" w:type="dxa"/>
            </w:tcMar>
          </w:tcPr>
          <w:p w14:paraId="00075FB6"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عدد مكاتب نقل التكنولوجيا التي أُسست أو عُززت في الجامعات أو مؤسسات البحث والتطوير في إطار برنامج مبادرة جامعة الويبو</w:t>
            </w:r>
          </w:p>
        </w:tc>
        <w:tc>
          <w:tcPr>
            <w:tcW w:w="1377" w:type="pct"/>
            <w:gridSpan w:val="2"/>
            <w:shd w:val="clear" w:color="auto" w:fill="auto"/>
            <w:tcMar>
              <w:left w:w="58" w:type="dxa"/>
              <w:right w:w="58" w:type="dxa"/>
            </w:tcMar>
          </w:tcPr>
          <w:p w14:paraId="35EF7F84" w14:textId="77777777" w:rsidR="0027026F" w:rsidRPr="00005ACE"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005ACE">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rtl/>
                <w:lang w:eastAsia="ar-EG" w:bidi="ar-EG"/>
              </w:rPr>
              <w:br/>
            </w:r>
            <w:r w:rsidRPr="00005ACE">
              <w:rPr>
                <w:rFonts w:ascii="Arabic Typesetting" w:eastAsia="Arabic Typesetting" w:hAnsi="Arabic Typesetting" w:cs="Arabic Typesetting"/>
                <w:color w:val="002060"/>
                <w:sz w:val="28"/>
                <w:szCs w:val="28"/>
                <w:rtl/>
                <w:lang w:eastAsia="ar-EG" w:bidi="ar-EG"/>
              </w:rPr>
              <w:t>10 في 2014/15: تونس (4)؛ الفلبين</w:t>
            </w:r>
            <w:r>
              <w:rPr>
                <w:rFonts w:ascii="Arabic Typesetting" w:eastAsia="Arabic Typesetting" w:hAnsi="Arabic Typesetting" w:cs="Arabic Typesetting" w:hint="cs"/>
                <w:color w:val="002060"/>
                <w:sz w:val="28"/>
                <w:szCs w:val="28"/>
                <w:rtl/>
                <w:lang w:eastAsia="ar-EG" w:bidi="ar-EG"/>
              </w:rPr>
              <w:t> </w:t>
            </w:r>
            <w:r w:rsidRPr="00005ACE">
              <w:rPr>
                <w:rFonts w:ascii="Arabic Typesetting" w:eastAsia="Arabic Typesetting" w:hAnsi="Arabic Typesetting" w:cs="Arabic Typesetting"/>
                <w:color w:val="002060"/>
                <w:sz w:val="28"/>
                <w:szCs w:val="28"/>
                <w:rtl/>
                <w:lang w:eastAsia="ar-EG" w:bidi="ar-EG"/>
              </w:rPr>
              <w:t>(6)</w:t>
            </w:r>
          </w:p>
          <w:p w14:paraId="3FFBBFD9"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005ACE">
              <w:rPr>
                <w:rFonts w:ascii="Arabic Typesetting" w:eastAsia="Arabic Typesetting" w:hAnsi="Arabic Typesetting" w:cs="Arabic Typesetting"/>
                <w:i/>
                <w:iCs/>
                <w:sz w:val="28"/>
                <w:szCs w:val="28"/>
                <w:rtl/>
                <w:lang w:eastAsia="ar-EG" w:bidi="ar-EG"/>
              </w:rPr>
              <w:t>:</w:t>
            </w:r>
            <w:r w:rsidRPr="00005ACE">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005ACE">
              <w:rPr>
                <w:rFonts w:ascii="Arabic Typesetting" w:eastAsia="Arabic Typesetting" w:hAnsi="Arabic Typesetting" w:cs="Arabic Typesetting"/>
                <w:color w:val="000000"/>
                <w:sz w:val="28"/>
                <w:szCs w:val="28"/>
                <w:rtl/>
                <w:lang w:eastAsia="ar-EG" w:bidi="ar-EG"/>
              </w:rPr>
              <w:t>يحدَّد لاحقا</w:t>
            </w:r>
          </w:p>
        </w:tc>
        <w:tc>
          <w:tcPr>
            <w:tcW w:w="981" w:type="pct"/>
            <w:shd w:val="clear" w:color="auto" w:fill="auto"/>
            <w:tcMar>
              <w:top w:w="110" w:type="dxa"/>
              <w:left w:w="58" w:type="dxa"/>
              <w:right w:w="58" w:type="dxa"/>
            </w:tcMar>
          </w:tcPr>
          <w:p w14:paraId="37FBC797" w14:textId="77777777" w:rsidR="0027026F" w:rsidRPr="00005ACE"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005ACE">
              <w:rPr>
                <w:rFonts w:ascii="Arabic Typesetting" w:eastAsia="Arabic Typesetting" w:hAnsi="Arabic Typesetting" w:cs="Arabic Typesetting"/>
                <w:i/>
                <w:iCs/>
                <w:color w:val="002060"/>
                <w:sz w:val="28"/>
                <w:szCs w:val="28"/>
                <w:rtl/>
                <w:lang w:eastAsia="ar-EG" w:bidi="ar-EG"/>
              </w:rPr>
              <w:t>ا</w:t>
            </w:r>
            <w:r>
              <w:rPr>
                <w:rFonts w:ascii="Arabic Typesetting" w:eastAsia="Arabic Typesetting" w:hAnsi="Arabic Typesetting" w:cs="Arabic Typesetting"/>
                <w:i/>
                <w:iCs/>
                <w:color w:val="002060"/>
                <w:sz w:val="28"/>
                <w:szCs w:val="28"/>
                <w:rtl/>
                <w:lang w:eastAsia="ar-EG" w:bidi="ar-EG"/>
              </w:rPr>
              <w:t>لهدف المحدَّث:</w:t>
            </w:r>
            <w:r>
              <w:rPr>
                <w:rFonts w:ascii="Arabic Typesetting" w:eastAsia="Arabic Typesetting" w:hAnsi="Arabic Typesetting" w:cs="Arabic Typesetting"/>
                <w:i/>
                <w:iCs/>
                <w:color w:val="002060"/>
                <w:sz w:val="28"/>
                <w:szCs w:val="28"/>
                <w:rtl/>
                <w:lang w:eastAsia="ar-EG" w:bidi="ar-EG"/>
              </w:rPr>
              <w:br/>
            </w:r>
            <w:r w:rsidRPr="00005ACE">
              <w:rPr>
                <w:rFonts w:ascii="Arabic Typesetting" w:eastAsia="Arabic Typesetting" w:hAnsi="Arabic Typesetting" w:cs="Arabic Typesetting"/>
                <w:color w:val="002060"/>
                <w:sz w:val="28"/>
                <w:szCs w:val="28"/>
                <w:rtl/>
                <w:lang w:eastAsia="ar-EG" w:bidi="ar-EG"/>
              </w:rPr>
              <w:t>6 مكاتب إضافية لنقل التكنولوجيا (التراكمي 16)</w:t>
            </w:r>
          </w:p>
          <w:p w14:paraId="5124CAF0"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i/>
                <w:iCs/>
                <w:color w:val="000000"/>
                <w:sz w:val="28"/>
                <w:szCs w:val="28"/>
                <w:rtl/>
                <w:lang w:eastAsia="ar-EG" w:bidi="ar-EG"/>
              </w:rPr>
              <w:t>الهدف الأصلي:</w:t>
            </w:r>
            <w:r w:rsidRPr="00005ACE">
              <w:rPr>
                <w:rFonts w:ascii="Arabic Typesetting" w:eastAsia="Arabic Typesetting" w:hAnsi="Arabic Typesetting" w:cs="Arabic Typesetting"/>
                <w:i/>
                <w:color w:val="000000"/>
                <w:sz w:val="28"/>
                <w:szCs w:val="28"/>
                <w:lang w:eastAsia="ar-EG" w:bidi="ar-EG"/>
              </w:rPr>
              <w:br/>
            </w:r>
            <w:r>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br/>
            </w:r>
            <w:r w:rsidRPr="00005ACE">
              <w:rPr>
                <w:rFonts w:ascii="Arabic Typesetting" w:eastAsia="Arabic Typesetting" w:hAnsi="Arabic Typesetting" w:cs="Arabic Typesetting"/>
                <w:color w:val="000000"/>
                <w:sz w:val="28"/>
                <w:szCs w:val="28"/>
                <w:rtl/>
                <w:lang w:eastAsia="ar-EG" w:bidi="ar-EG"/>
              </w:rPr>
              <w:t>6 مكاتب لنقل التكنولوجيا</w:t>
            </w:r>
          </w:p>
        </w:tc>
        <w:tc>
          <w:tcPr>
            <w:tcW w:w="1068" w:type="pct"/>
            <w:shd w:val="clear" w:color="auto" w:fill="FFFFFF"/>
            <w:tcMar>
              <w:top w:w="110" w:type="dxa"/>
              <w:left w:w="58" w:type="dxa"/>
              <w:right w:w="58" w:type="dxa"/>
            </w:tcMar>
          </w:tcPr>
          <w:p w14:paraId="0B8A4649" w14:textId="77777777" w:rsidR="0027026F" w:rsidRPr="00005ACE"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مكتب لنقل التكنولوجيا م</w:t>
            </w:r>
            <w:r>
              <w:rPr>
                <w:rFonts w:ascii="Arabic Typesetting" w:eastAsia="Arabic Typesetting" w:hAnsi="Arabic Typesetting" w:cs="Arabic Typesetting" w:hint="cs"/>
                <w:sz w:val="28"/>
                <w:szCs w:val="28"/>
                <w:rtl/>
                <w:lang w:eastAsia="ar-EG" w:bidi="ar-EG"/>
              </w:rPr>
              <w:t>ُ</w:t>
            </w:r>
            <w:r w:rsidRPr="00005ACE">
              <w:rPr>
                <w:rFonts w:ascii="Arabic Typesetting" w:eastAsia="Arabic Typesetting" w:hAnsi="Arabic Typesetting" w:cs="Arabic Typesetting"/>
                <w:sz w:val="28"/>
                <w:szCs w:val="28"/>
                <w:rtl/>
                <w:lang w:eastAsia="ar-EG" w:bidi="ar-EG"/>
              </w:rPr>
              <w:t>نشأ في وزارة العلوم بالجبل الأسود</w:t>
            </w:r>
          </w:p>
          <w:p w14:paraId="52B723FA" w14:textId="77777777" w:rsidR="0027026F" w:rsidRPr="00005ACE"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تواصل التقدم المحرز في تعزيز أربعة مكاتب لنقل التكنولوجيا في تونس كي تصبح مستدامة ومستقلة تشغيلياً في عام</w:t>
            </w:r>
            <w:r>
              <w:rPr>
                <w:rFonts w:ascii="Arabic Typesetting" w:eastAsia="Arabic Typesetting" w:hAnsi="Arabic Typesetting" w:cs="Arabic Typesetting" w:hint="cs"/>
                <w:sz w:val="28"/>
                <w:szCs w:val="28"/>
                <w:rtl/>
                <w:lang w:eastAsia="ar-EG" w:bidi="ar-EG"/>
              </w:rPr>
              <w:t> </w:t>
            </w:r>
            <w:r w:rsidRPr="00005ACE">
              <w:rPr>
                <w:rFonts w:ascii="Arabic Typesetting" w:eastAsia="Arabic Typesetting" w:hAnsi="Arabic Typesetting" w:cs="Arabic Typesetting"/>
                <w:sz w:val="28"/>
                <w:szCs w:val="28"/>
                <w:rtl/>
                <w:lang w:eastAsia="ar-EG" w:bidi="ar-EG"/>
              </w:rPr>
              <w:t>2016:</w:t>
            </w:r>
          </w:p>
          <w:p w14:paraId="56EC1645" w14:textId="77777777" w:rsidR="0027026F" w:rsidRPr="0047649E" w:rsidRDefault="0027026F" w:rsidP="004B40B5">
            <w:pPr>
              <w:numPr>
                <w:ilvl w:val="0"/>
                <w:numId w:val="42"/>
              </w:numPr>
              <w:bidi/>
              <w:spacing w:after="120" w:line="280" w:lineRule="exact"/>
              <w:ind w:left="284" w:hanging="284"/>
              <w:rPr>
                <w:rFonts w:ascii="Arabic Typesetting" w:eastAsia="Arabic Typesetting" w:hAnsi="Arabic Typesetting" w:cs="Arabic Typesetting"/>
                <w:sz w:val="28"/>
                <w:szCs w:val="28"/>
                <w:lang w:eastAsia="ar-EG" w:bidi="ar-EG"/>
              </w:rPr>
            </w:pPr>
            <w:r w:rsidRPr="0047649E">
              <w:rPr>
                <w:rFonts w:ascii="Arabic Typesetting" w:eastAsia="Arabic Typesetting" w:hAnsi="Arabic Typesetting" w:cs="Arabic Typesetting"/>
                <w:i/>
                <w:iCs/>
                <w:sz w:val="28"/>
                <w:szCs w:val="28"/>
                <w:rtl/>
                <w:lang w:eastAsia="ar-EG" w:bidi="ar-EG"/>
              </w:rPr>
              <w:t>المركز التقني للكيمياء</w:t>
            </w:r>
          </w:p>
          <w:p w14:paraId="3A1F36D9" w14:textId="77777777" w:rsidR="0027026F" w:rsidRDefault="0027026F" w:rsidP="004B40B5">
            <w:pPr>
              <w:numPr>
                <w:ilvl w:val="0"/>
                <w:numId w:val="42"/>
              </w:numPr>
              <w:bidi/>
              <w:spacing w:after="120" w:line="280" w:lineRule="exact"/>
              <w:ind w:left="284" w:hanging="284"/>
              <w:rPr>
                <w:rFonts w:ascii="Arabic Typesetting" w:eastAsia="Arabic Typesetting" w:hAnsi="Arabic Typesetting" w:cs="Arabic Typesetting"/>
                <w:sz w:val="28"/>
                <w:szCs w:val="28"/>
                <w:lang w:eastAsia="ar-EG" w:bidi="ar-EG"/>
              </w:rPr>
            </w:pPr>
            <w:r w:rsidRPr="0047649E">
              <w:rPr>
                <w:rFonts w:ascii="Arabic Typesetting" w:eastAsia="Arabic Typesetting" w:hAnsi="Arabic Typesetting" w:cs="Arabic Typesetting"/>
                <w:sz w:val="28"/>
                <w:szCs w:val="28"/>
                <w:rtl/>
                <w:lang w:eastAsia="ar-EG" w:bidi="ar-EG"/>
              </w:rPr>
              <w:t>قطب الغزالة لتكنولوجيات</w:t>
            </w:r>
            <w:r>
              <w:rPr>
                <w:rFonts w:ascii="Arabic Typesetting" w:eastAsia="Arabic Typesetting" w:hAnsi="Arabic Typesetting" w:cs="Arabic Typesetting" w:hint="cs"/>
                <w:sz w:val="28"/>
                <w:szCs w:val="28"/>
                <w:rtl/>
                <w:lang w:eastAsia="ar-EG" w:bidi="ar-EG"/>
              </w:rPr>
              <w:t> </w:t>
            </w:r>
            <w:r w:rsidRPr="0047649E">
              <w:rPr>
                <w:rFonts w:ascii="Arabic Typesetting" w:eastAsia="Arabic Typesetting" w:hAnsi="Arabic Typesetting" w:cs="Arabic Typesetting"/>
                <w:sz w:val="28"/>
                <w:szCs w:val="28"/>
                <w:rtl/>
                <w:lang w:eastAsia="ar-EG" w:bidi="ar-EG"/>
              </w:rPr>
              <w:t>الاتصال</w:t>
            </w:r>
          </w:p>
          <w:p w14:paraId="5A87FE3E" w14:textId="77777777" w:rsidR="0027026F" w:rsidRDefault="0027026F" w:rsidP="004B40B5">
            <w:pPr>
              <w:numPr>
                <w:ilvl w:val="0"/>
                <w:numId w:val="42"/>
              </w:numPr>
              <w:bidi/>
              <w:spacing w:after="120" w:line="280" w:lineRule="exact"/>
              <w:ind w:left="284" w:hanging="284"/>
              <w:rPr>
                <w:rFonts w:ascii="Arabic Typesetting" w:eastAsia="Arabic Typesetting" w:hAnsi="Arabic Typesetting" w:cs="Arabic Typesetting"/>
                <w:sz w:val="28"/>
                <w:szCs w:val="28"/>
                <w:lang w:eastAsia="ar-EG" w:bidi="ar-EG"/>
              </w:rPr>
            </w:pPr>
            <w:r w:rsidRPr="0047649E">
              <w:rPr>
                <w:rFonts w:ascii="Arabic Typesetting" w:eastAsia="Arabic Typesetting" w:hAnsi="Arabic Typesetting" w:cs="Arabic Typesetting"/>
                <w:sz w:val="28"/>
                <w:szCs w:val="28"/>
                <w:rtl/>
                <w:lang w:eastAsia="ar-EG" w:bidi="ar-EG"/>
              </w:rPr>
              <w:t>المركز الفني للتعبئة والتغليف (</w:t>
            </w:r>
            <w:r w:rsidRPr="0047649E">
              <w:rPr>
                <w:rFonts w:ascii="Arabic Typesetting" w:eastAsia="Arabic Typesetting" w:hAnsi="Arabic Typesetting" w:cs="Arabic Typesetting"/>
                <w:sz w:val="28"/>
                <w:szCs w:val="28"/>
                <w:lang w:eastAsia="ar-EG" w:bidi="ar-EG"/>
              </w:rPr>
              <w:t>Packtec</w:t>
            </w:r>
            <w:r w:rsidRPr="0047649E">
              <w:rPr>
                <w:rFonts w:ascii="Arabic Typesetting" w:eastAsia="Arabic Typesetting" w:hAnsi="Arabic Typesetting" w:cs="Arabic Typesetting"/>
                <w:sz w:val="28"/>
                <w:szCs w:val="28"/>
                <w:rtl/>
                <w:lang w:eastAsia="ar-EG" w:bidi="ar-EG"/>
              </w:rPr>
              <w:t>)</w:t>
            </w:r>
          </w:p>
          <w:p w14:paraId="2E318171" w14:textId="77777777" w:rsidR="0027026F" w:rsidRPr="00005ACE" w:rsidRDefault="0027026F" w:rsidP="004B40B5">
            <w:pPr>
              <w:numPr>
                <w:ilvl w:val="0"/>
                <w:numId w:val="42"/>
              </w:numPr>
              <w:bidi/>
              <w:spacing w:after="120" w:line="280" w:lineRule="exact"/>
              <w:ind w:left="284" w:hanging="284"/>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القطب التكنولوجي سيدي</w:t>
            </w:r>
            <w:r>
              <w:rPr>
                <w:rFonts w:ascii="Arabic Typesetting" w:eastAsia="Arabic Typesetting" w:hAnsi="Arabic Typesetting" w:cs="Arabic Typesetting" w:hint="cs"/>
                <w:sz w:val="28"/>
                <w:szCs w:val="28"/>
                <w:rtl/>
                <w:lang w:eastAsia="ar-EG" w:bidi="ar-EG"/>
              </w:rPr>
              <w:t> </w:t>
            </w:r>
            <w:r w:rsidRPr="00005ACE">
              <w:rPr>
                <w:rFonts w:ascii="Arabic Typesetting" w:eastAsia="Arabic Typesetting" w:hAnsi="Arabic Typesetting" w:cs="Arabic Typesetting"/>
                <w:sz w:val="28"/>
                <w:szCs w:val="28"/>
                <w:rtl/>
                <w:lang w:eastAsia="ar-EG" w:bidi="ar-EG"/>
              </w:rPr>
              <w:t>ثابت</w:t>
            </w:r>
          </w:p>
        </w:tc>
        <w:tc>
          <w:tcPr>
            <w:tcW w:w="500" w:type="pct"/>
            <w:shd w:val="clear" w:color="auto" w:fill="auto"/>
            <w:tcMar>
              <w:top w:w="110" w:type="dxa"/>
              <w:left w:w="58" w:type="dxa"/>
              <w:right w:w="58" w:type="dxa"/>
            </w:tcMar>
          </w:tcPr>
          <w:p w14:paraId="3C3F9BA0"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005ACE">
              <w:rPr>
                <w:rFonts w:ascii="Arabic Typesetting" w:eastAsia="Arabic Typesetting" w:hAnsi="Arabic Typesetting" w:cs="Arabic Typesetting"/>
                <w:b/>
                <w:bCs/>
                <w:color w:val="FF0000"/>
                <w:sz w:val="28"/>
                <w:szCs w:val="28"/>
                <w:rtl/>
                <w:lang w:eastAsia="ar-EG" w:bidi="ar-EG"/>
              </w:rPr>
              <w:t>غير ثابت</w:t>
            </w:r>
          </w:p>
        </w:tc>
      </w:tr>
      <w:tr w:rsidR="0027026F" w:rsidRPr="00005ACE" w14:paraId="2ED73FC3" w14:textId="77777777" w:rsidTr="004B40B5">
        <w:trPr>
          <w:cantSplit/>
          <w:trHeight w:val="430"/>
        </w:trPr>
        <w:tc>
          <w:tcPr>
            <w:tcW w:w="1074" w:type="pct"/>
            <w:shd w:val="clear" w:color="auto" w:fill="auto"/>
            <w:tcMar>
              <w:left w:w="58" w:type="dxa"/>
              <w:right w:w="58" w:type="dxa"/>
            </w:tcMar>
          </w:tcPr>
          <w:p w14:paraId="56B475DE" w14:textId="0DEDCE73"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lastRenderedPageBreak/>
              <w:t>عدد الجامعات و/أو مؤسسات البحث التي وضعت و/أو حسَّنت س</w:t>
            </w:r>
            <w:r w:rsidR="00E03348">
              <w:rPr>
                <w:rFonts w:ascii="Arabic Typesetting" w:eastAsia="Arabic Typesetting" w:hAnsi="Arabic Typesetting" w:cs="Arabic Typesetting"/>
                <w:color w:val="000000"/>
                <w:sz w:val="28"/>
                <w:szCs w:val="28"/>
                <w:rtl/>
                <w:lang w:eastAsia="ar-EG" w:bidi="ar-EG"/>
              </w:rPr>
              <w:t>ياساتها الخاصة بالملكية الفكرية</w:t>
            </w:r>
          </w:p>
        </w:tc>
        <w:tc>
          <w:tcPr>
            <w:tcW w:w="1377" w:type="pct"/>
            <w:gridSpan w:val="2"/>
            <w:shd w:val="clear" w:color="auto" w:fill="auto"/>
            <w:tcMar>
              <w:left w:w="58" w:type="dxa"/>
              <w:right w:w="58" w:type="dxa"/>
            </w:tcMar>
          </w:tcPr>
          <w:p w14:paraId="641AAD46" w14:textId="77777777" w:rsidR="0027026F" w:rsidRDefault="0027026F" w:rsidP="004B40B5">
            <w:pPr>
              <w:bidi/>
              <w:spacing w:line="280" w:lineRule="exact"/>
              <w:rPr>
                <w:rFonts w:ascii="Arabic Typesetting" w:eastAsia="Arabic Typesetting" w:hAnsi="Arabic Typesetting" w:cs="Arabic Typesetting"/>
                <w:color w:val="002060"/>
                <w:sz w:val="28"/>
                <w:szCs w:val="28"/>
                <w:rtl/>
                <w:lang w:eastAsia="ar-EG" w:bidi="ar-EG"/>
              </w:rPr>
            </w:pPr>
            <w:r w:rsidRPr="00005ACE">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color w:val="002060"/>
                <w:sz w:val="28"/>
                <w:szCs w:val="28"/>
                <w:rtl/>
                <w:lang w:eastAsia="ar-EG" w:bidi="ar-EG"/>
              </w:rPr>
              <w:t>436 جامعة:</w:t>
            </w:r>
          </w:p>
          <w:p w14:paraId="6E763849" w14:textId="77777777" w:rsidR="0027026F" w:rsidRDefault="0027026F" w:rsidP="004B40B5">
            <w:pPr>
              <w:bidi/>
              <w:spacing w:line="280" w:lineRule="exact"/>
              <w:rPr>
                <w:rFonts w:ascii="Arabic Typesetting" w:eastAsia="Arabic Typesetting" w:hAnsi="Arabic Typesetting" w:cs="Arabic Typesetting"/>
                <w:color w:val="002060"/>
                <w:sz w:val="28"/>
                <w:szCs w:val="28"/>
                <w:rtl/>
                <w:lang w:eastAsia="ar-EG" w:bidi="ar-EG"/>
              </w:rPr>
            </w:pPr>
            <w:r>
              <w:rPr>
                <w:rFonts w:ascii="Arabic Typesetting" w:eastAsia="Arabic Typesetting" w:hAnsi="Arabic Typesetting" w:cs="Arabic Typesetting"/>
                <w:color w:val="002060"/>
                <w:sz w:val="28"/>
                <w:szCs w:val="28"/>
                <w:rtl/>
                <w:lang w:eastAsia="ar-EG" w:bidi="ar-EG"/>
              </w:rPr>
              <w:t>بولندا (434)</w:t>
            </w:r>
          </w:p>
          <w:p w14:paraId="485A2AE6" w14:textId="77777777" w:rsidR="0027026F" w:rsidRDefault="0027026F" w:rsidP="004B40B5">
            <w:pPr>
              <w:bidi/>
              <w:spacing w:line="280" w:lineRule="exact"/>
              <w:rPr>
                <w:rFonts w:ascii="Arabic Typesetting" w:eastAsia="Arabic Typesetting" w:hAnsi="Arabic Typesetting" w:cs="Arabic Typesetting"/>
                <w:color w:val="002060"/>
                <w:sz w:val="28"/>
                <w:szCs w:val="28"/>
                <w:rtl/>
                <w:lang w:eastAsia="ar-EG" w:bidi="ar-EG"/>
              </w:rPr>
            </w:pPr>
            <w:r w:rsidRPr="00005ACE">
              <w:rPr>
                <w:rFonts w:ascii="Arabic Typesetting" w:eastAsia="Arabic Typesetting" w:hAnsi="Arabic Typesetting" w:cs="Arabic Typesetting"/>
                <w:color w:val="002060"/>
                <w:sz w:val="28"/>
                <w:szCs w:val="28"/>
                <w:rtl/>
                <w:lang w:eastAsia="ar-EG" w:bidi="ar-EG"/>
              </w:rPr>
              <w:t>الاتحاد الروسي (1)</w:t>
            </w:r>
          </w:p>
          <w:p w14:paraId="462CA66D" w14:textId="77777777" w:rsidR="0027026F" w:rsidRPr="00005ACE" w:rsidRDefault="0027026F" w:rsidP="004B40B5">
            <w:pPr>
              <w:bidi/>
              <w:spacing w:after="120" w:line="280" w:lineRule="exact"/>
              <w:rPr>
                <w:rFonts w:ascii="Arabic Typesetting" w:eastAsia="Arabic Typesetting" w:hAnsi="Arabic Typesetting" w:cs="Arabic Typesetting"/>
                <w:color w:val="002060"/>
                <w:sz w:val="28"/>
                <w:szCs w:val="28"/>
                <w:lang w:eastAsia="ar-EG" w:bidi="ar-EG"/>
              </w:rPr>
            </w:pPr>
            <w:r w:rsidRPr="00005ACE">
              <w:rPr>
                <w:rFonts w:ascii="Arabic Typesetting" w:eastAsia="Arabic Typesetting" w:hAnsi="Arabic Typesetting" w:cs="Arabic Typesetting"/>
                <w:color w:val="002060"/>
                <w:sz w:val="28"/>
                <w:szCs w:val="28"/>
                <w:rtl/>
                <w:lang w:eastAsia="ar-EG" w:bidi="ar-EG"/>
              </w:rPr>
              <w:t>أوزبكستان (1)</w:t>
            </w:r>
          </w:p>
          <w:p w14:paraId="39F97A84" w14:textId="12486C99"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005ACE">
              <w:rPr>
                <w:rFonts w:ascii="Arabic Typesetting" w:eastAsia="Arabic Typesetting" w:hAnsi="Arabic Typesetting" w:cs="Arabic Typesetting"/>
                <w:i/>
                <w:iCs/>
                <w:sz w:val="28"/>
                <w:szCs w:val="28"/>
                <w:rtl/>
                <w:lang w:eastAsia="ar-EG" w:bidi="ar-EG"/>
              </w:rPr>
              <w:t>:</w:t>
            </w:r>
            <w:r w:rsidRPr="00005ACE">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005ACE">
              <w:rPr>
                <w:rFonts w:ascii="Arabic Typesetting" w:eastAsia="Arabic Typesetting" w:hAnsi="Arabic Typesetting" w:cs="Arabic Typesetting"/>
                <w:color w:val="000000"/>
                <w:sz w:val="28"/>
                <w:szCs w:val="28"/>
                <w:rtl/>
                <w:lang w:eastAsia="ar-EG" w:bidi="ar-EG"/>
              </w:rPr>
              <w:t xml:space="preserve">‏150 جامعة في </w:t>
            </w:r>
            <w:r w:rsidR="00AF6433">
              <w:rPr>
                <w:rFonts w:ascii="Arabic Typesetting" w:eastAsia="Arabic Typesetting" w:hAnsi="Arabic Typesetting" w:cs="Arabic Typesetting"/>
                <w:color w:val="000000"/>
                <w:sz w:val="28"/>
                <w:szCs w:val="28"/>
                <w:rtl/>
                <w:lang w:eastAsia="ar-EG" w:bidi="ar-EG"/>
              </w:rPr>
              <w:t>البلدان المتحولة</w:t>
            </w:r>
            <w:r w:rsidRPr="00005ACE">
              <w:rPr>
                <w:rFonts w:ascii="Arabic Typesetting" w:eastAsia="Arabic Typesetting" w:hAnsi="Arabic Typesetting" w:cs="Arabic Typesetting"/>
                <w:color w:val="000000"/>
                <w:sz w:val="28"/>
                <w:szCs w:val="28"/>
                <w:rtl/>
                <w:lang w:eastAsia="ar-EG" w:bidi="ar-EG"/>
              </w:rPr>
              <w:t xml:space="preserve"> (2014)</w:t>
            </w:r>
          </w:p>
        </w:tc>
        <w:tc>
          <w:tcPr>
            <w:tcW w:w="981" w:type="pct"/>
            <w:shd w:val="clear" w:color="auto" w:fill="auto"/>
            <w:tcMar>
              <w:top w:w="110" w:type="dxa"/>
              <w:left w:w="58" w:type="dxa"/>
              <w:right w:w="58" w:type="dxa"/>
            </w:tcMar>
          </w:tcPr>
          <w:p w14:paraId="32DDE867" w14:textId="77777777" w:rsidR="0027026F" w:rsidRPr="00005ACE" w:rsidRDefault="0027026F" w:rsidP="004B40B5">
            <w:pPr>
              <w:bidi/>
              <w:spacing w:after="120" w:line="280" w:lineRule="exact"/>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color w:val="000000"/>
                <w:sz w:val="28"/>
                <w:szCs w:val="28"/>
                <w:rtl/>
                <w:lang w:eastAsia="ar-EG" w:bidi="ar-EG"/>
              </w:rPr>
              <w:t>‏10 جامعات إضافية</w:t>
            </w:r>
          </w:p>
        </w:tc>
        <w:tc>
          <w:tcPr>
            <w:tcW w:w="1068" w:type="pct"/>
            <w:shd w:val="clear" w:color="auto" w:fill="FFFFFF"/>
            <w:tcMar>
              <w:top w:w="110" w:type="dxa"/>
              <w:left w:w="58" w:type="dxa"/>
              <w:right w:w="58" w:type="dxa"/>
            </w:tcMar>
          </w:tcPr>
          <w:p w14:paraId="06299814" w14:textId="77777777" w:rsidR="0027026F" w:rsidRPr="00005ACE" w:rsidRDefault="0027026F" w:rsidP="004B40B5">
            <w:pPr>
              <w:bidi/>
              <w:spacing w:after="6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3 جامعات و/أو مؤسسات بحث وضعت سياسات للملكية</w:t>
            </w:r>
            <w:r>
              <w:rPr>
                <w:rFonts w:ascii="Arabic Typesetting" w:eastAsia="Arabic Typesetting" w:hAnsi="Arabic Typesetting" w:cs="Arabic Typesetting" w:hint="cs"/>
                <w:sz w:val="28"/>
                <w:szCs w:val="28"/>
                <w:rtl/>
                <w:lang w:eastAsia="ar-EG" w:bidi="ar-EG"/>
              </w:rPr>
              <w:t> </w:t>
            </w:r>
            <w:r w:rsidRPr="00005ACE">
              <w:rPr>
                <w:rFonts w:ascii="Arabic Typesetting" w:eastAsia="Arabic Typesetting" w:hAnsi="Arabic Typesetting" w:cs="Arabic Typesetting"/>
                <w:sz w:val="28"/>
                <w:szCs w:val="28"/>
                <w:rtl/>
                <w:lang w:eastAsia="ar-EG" w:bidi="ar-EG"/>
              </w:rPr>
              <w:t>الفكرية:</w:t>
            </w:r>
          </w:p>
          <w:p w14:paraId="04BBF6E2" w14:textId="77777777" w:rsidR="0027026F" w:rsidRPr="00005ACE" w:rsidRDefault="0027026F" w:rsidP="004B40B5">
            <w:pPr>
              <w:numPr>
                <w:ilvl w:val="0"/>
                <w:numId w:val="41"/>
              </w:numPr>
              <w:bidi/>
              <w:spacing w:after="60" w:line="280" w:lineRule="exact"/>
              <w:ind w:left="284" w:hanging="284"/>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جامعة بوتسوانا للزراعة والموارد الطبيعية (بوتساونا)؛</w:t>
            </w:r>
          </w:p>
          <w:p w14:paraId="39FAF7BF" w14:textId="77777777" w:rsidR="0027026F" w:rsidRPr="00005ACE" w:rsidRDefault="0027026F" w:rsidP="004B40B5">
            <w:pPr>
              <w:numPr>
                <w:ilvl w:val="0"/>
                <w:numId w:val="41"/>
              </w:numPr>
              <w:bidi/>
              <w:spacing w:after="60" w:line="280" w:lineRule="exact"/>
              <w:ind w:left="284" w:hanging="284"/>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معهد موزامبيق العالي للعلوم والتكنولوجيا؛</w:t>
            </w:r>
          </w:p>
          <w:p w14:paraId="6BFF2457" w14:textId="77777777" w:rsidR="0027026F" w:rsidRPr="00005ACE" w:rsidRDefault="0027026F" w:rsidP="004B40B5">
            <w:pPr>
              <w:numPr>
                <w:ilvl w:val="0"/>
                <w:numId w:val="41"/>
              </w:numPr>
              <w:bidi/>
              <w:spacing w:after="60" w:line="280" w:lineRule="exact"/>
              <w:ind w:left="284" w:hanging="284"/>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جامعة إدواردو موندلين، مركز الدراسات الخاصة بالتكامل الإقليمي وقانون الجماعة الإنمائية للجنوب الأفريقي (موزامبيق)؛</w:t>
            </w:r>
          </w:p>
          <w:p w14:paraId="36220229" w14:textId="77777777" w:rsidR="0027026F" w:rsidRPr="00005ACE" w:rsidRDefault="0027026F" w:rsidP="004B40B5">
            <w:pPr>
              <w:numPr>
                <w:ilvl w:val="0"/>
                <w:numId w:val="41"/>
              </w:numPr>
              <w:bidi/>
              <w:spacing w:after="60" w:line="280" w:lineRule="exact"/>
              <w:ind w:left="284" w:hanging="284"/>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4 جامعات و/أو مؤسسات بحث عززت سياسات للملكية الفكرية:</w:t>
            </w:r>
          </w:p>
          <w:p w14:paraId="51B9AF97" w14:textId="77777777" w:rsidR="0027026F" w:rsidRPr="00005ACE" w:rsidRDefault="0027026F" w:rsidP="004B40B5">
            <w:pPr>
              <w:numPr>
                <w:ilvl w:val="0"/>
                <w:numId w:val="41"/>
              </w:numPr>
              <w:bidi/>
              <w:spacing w:after="60" w:line="280" w:lineRule="exact"/>
              <w:ind w:left="284" w:hanging="284"/>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جامعة ولاية إيليا (جورجيا)،</w:t>
            </w:r>
          </w:p>
          <w:p w14:paraId="5B9225BF" w14:textId="77777777" w:rsidR="0027026F" w:rsidRPr="00005ACE" w:rsidRDefault="0027026F" w:rsidP="004B40B5">
            <w:pPr>
              <w:numPr>
                <w:ilvl w:val="0"/>
                <w:numId w:val="41"/>
              </w:numPr>
              <w:bidi/>
              <w:spacing w:after="60" w:line="280" w:lineRule="exact"/>
              <w:ind w:left="284" w:hanging="284"/>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جامعة بافول جوزيف سافاريك (سلوفاكيا)</w:t>
            </w:r>
          </w:p>
          <w:p w14:paraId="10BEEDD3" w14:textId="77777777" w:rsidR="0027026F" w:rsidRPr="00005ACE" w:rsidRDefault="0027026F" w:rsidP="004B40B5">
            <w:pPr>
              <w:numPr>
                <w:ilvl w:val="0"/>
                <w:numId w:val="41"/>
              </w:numPr>
              <w:bidi/>
              <w:spacing w:after="60" w:line="280" w:lineRule="exact"/>
              <w:ind w:left="284" w:hanging="284"/>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جامعة جاجيلونيا (بولندا)</w:t>
            </w:r>
          </w:p>
          <w:p w14:paraId="07B67E8A" w14:textId="77777777" w:rsidR="0027026F" w:rsidRPr="00005ACE" w:rsidRDefault="0027026F" w:rsidP="004B40B5">
            <w:pPr>
              <w:numPr>
                <w:ilvl w:val="0"/>
                <w:numId w:val="41"/>
              </w:numPr>
              <w:bidi/>
              <w:spacing w:after="60" w:line="280" w:lineRule="exact"/>
              <w:ind w:left="284" w:hanging="284"/>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وزارة العلوم في الجبل الأسود (الجبل الأسود)</w:t>
            </w:r>
          </w:p>
          <w:p w14:paraId="7F212129" w14:textId="77777777" w:rsidR="0027026F" w:rsidRPr="00005ACE" w:rsidRDefault="0027026F" w:rsidP="004B40B5">
            <w:pPr>
              <w:bidi/>
              <w:spacing w:after="120" w:line="280" w:lineRule="exact"/>
              <w:rPr>
                <w:rFonts w:ascii="Arabic Typesetting" w:eastAsia="Arabic Typesetting" w:hAnsi="Arabic Typesetting" w:cs="Arabic Typesetting"/>
                <w:sz w:val="28"/>
                <w:szCs w:val="28"/>
                <w:lang w:eastAsia="ar-EG" w:bidi="ar-EG"/>
              </w:rPr>
            </w:pPr>
            <w:r w:rsidRPr="00005ACE">
              <w:rPr>
                <w:rFonts w:ascii="Arabic Typesetting" w:eastAsia="Arabic Typesetting" w:hAnsi="Arabic Typesetting" w:cs="Arabic Typesetting"/>
                <w:sz w:val="28"/>
                <w:szCs w:val="28"/>
                <w:rtl/>
                <w:lang w:eastAsia="ar-EG" w:bidi="ar-EG"/>
              </w:rPr>
              <w:t>(التراكمي 444 جامعة و/أو</w:t>
            </w:r>
            <w:r>
              <w:rPr>
                <w:rFonts w:ascii="Arabic Typesetting" w:eastAsia="Arabic Typesetting" w:hAnsi="Arabic Typesetting" w:cs="Arabic Typesetting" w:hint="cs"/>
                <w:sz w:val="28"/>
                <w:szCs w:val="28"/>
                <w:rtl/>
                <w:lang w:eastAsia="ar-EG" w:bidi="ar-EG"/>
              </w:rPr>
              <w:t> </w:t>
            </w:r>
            <w:r w:rsidRPr="00005ACE">
              <w:rPr>
                <w:rFonts w:ascii="Arabic Typesetting" w:eastAsia="Arabic Typesetting" w:hAnsi="Arabic Typesetting" w:cs="Arabic Typesetting"/>
                <w:sz w:val="28"/>
                <w:szCs w:val="28"/>
                <w:rtl/>
                <w:lang w:eastAsia="ar-EG" w:bidi="ar-EG"/>
              </w:rPr>
              <w:t>مؤسسة بحث)</w:t>
            </w:r>
          </w:p>
        </w:tc>
        <w:tc>
          <w:tcPr>
            <w:tcW w:w="500" w:type="pct"/>
            <w:shd w:val="clear" w:color="auto" w:fill="auto"/>
            <w:tcMar>
              <w:top w:w="110" w:type="dxa"/>
              <w:left w:w="58" w:type="dxa"/>
              <w:right w:w="58" w:type="dxa"/>
            </w:tcMar>
          </w:tcPr>
          <w:p w14:paraId="35022877" w14:textId="77777777" w:rsidR="0027026F" w:rsidRPr="00005ACE" w:rsidRDefault="0027026F" w:rsidP="004B40B5">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005ACE">
              <w:rPr>
                <w:rFonts w:ascii="Arabic Typesetting" w:eastAsia="Arabic Typesetting" w:hAnsi="Arabic Typesetting" w:cs="Arabic Typesetting"/>
                <w:b/>
                <w:bCs/>
                <w:color w:val="00B050"/>
                <w:sz w:val="28"/>
                <w:szCs w:val="28"/>
                <w:rtl/>
                <w:lang w:eastAsia="ar-EG" w:bidi="ar-EG"/>
              </w:rPr>
              <w:t>ثابت</w:t>
            </w:r>
          </w:p>
        </w:tc>
      </w:tr>
    </w:tbl>
    <w:p w14:paraId="12B5F036" w14:textId="77777777" w:rsidR="0027026F" w:rsidRDefault="0027026F" w:rsidP="0027026F">
      <w:pPr>
        <w:bidi/>
      </w:pPr>
    </w:p>
    <w:tbl>
      <w:tblPr>
        <w:tblStyle w:val="TableGrid"/>
        <w:bidiVisual/>
        <w:tblW w:w="0" w:type="auto"/>
        <w:tblLook w:val="04A0" w:firstRow="1" w:lastRow="0" w:firstColumn="1" w:lastColumn="0" w:noHBand="0" w:noVBand="1"/>
      </w:tblPr>
      <w:tblGrid>
        <w:gridCol w:w="9571"/>
      </w:tblGrid>
      <w:tr w:rsidR="0027026F" w14:paraId="1DD1B67A" w14:textId="77777777" w:rsidTr="004B40B5">
        <w:tc>
          <w:tcPr>
            <w:tcW w:w="9571" w:type="dxa"/>
            <w:tcBorders>
              <w:top w:val="nil"/>
              <w:left w:val="nil"/>
              <w:bottom w:val="nil"/>
              <w:right w:val="nil"/>
            </w:tcBorders>
            <w:shd w:val="clear" w:color="auto" w:fill="C6D9F1"/>
            <w:vAlign w:val="center"/>
          </w:tcPr>
          <w:p w14:paraId="68CD0F52" w14:textId="77777777" w:rsidR="0027026F" w:rsidRPr="00A2672B" w:rsidRDefault="0027026F" w:rsidP="004B40B5">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30</w:t>
            </w:r>
          </w:p>
        </w:tc>
      </w:tr>
    </w:tbl>
    <w:p w14:paraId="11521933" w14:textId="77777777" w:rsidR="0027026F" w:rsidRPr="00FE3908" w:rsidRDefault="0027026F" w:rsidP="0027026F">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159D79D2" w14:textId="77777777" w:rsidR="0027026F" w:rsidRDefault="0027026F" w:rsidP="0027026F">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27026F" w:rsidRPr="00211D55" w14:paraId="30234BEF" w14:textId="77777777" w:rsidTr="004B40B5">
        <w:trPr>
          <w:trHeight w:val="825"/>
        </w:trPr>
        <w:tc>
          <w:tcPr>
            <w:tcW w:w="2753" w:type="pct"/>
            <w:gridSpan w:val="2"/>
            <w:shd w:val="clear" w:color="auto" w:fill="C6D9F1"/>
            <w:noWrap/>
            <w:tcMar>
              <w:top w:w="15" w:type="dxa"/>
              <w:left w:w="15" w:type="dxa"/>
              <w:bottom w:w="0" w:type="dxa"/>
              <w:right w:w="15" w:type="dxa"/>
            </w:tcMar>
            <w:vAlign w:val="center"/>
            <w:hideMark/>
          </w:tcPr>
          <w:p w14:paraId="55571AEB" w14:textId="77777777" w:rsidR="0027026F" w:rsidRPr="00A2672B" w:rsidRDefault="0027026F" w:rsidP="004B40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09B09AF7" w14:textId="77777777" w:rsidR="0027026F" w:rsidRPr="00A2672B" w:rsidRDefault="0027026F" w:rsidP="004B40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5735B74B" w14:textId="77777777" w:rsidR="0027026F" w:rsidRPr="00A2672B" w:rsidRDefault="0027026F" w:rsidP="004B40B5">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42C58F9D" w14:textId="77777777" w:rsidR="0027026F" w:rsidRPr="00A2672B" w:rsidRDefault="0027026F" w:rsidP="004B40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27026F" w:rsidRPr="00211D55" w14:paraId="31EDE4EF" w14:textId="77777777" w:rsidTr="004B40B5">
        <w:trPr>
          <w:trHeight w:val="55"/>
        </w:trPr>
        <w:tc>
          <w:tcPr>
            <w:tcW w:w="413" w:type="pct"/>
            <w:shd w:val="clear" w:color="auto" w:fill="auto"/>
            <w:noWrap/>
            <w:tcMar>
              <w:top w:w="15" w:type="dxa"/>
              <w:left w:w="15" w:type="dxa"/>
              <w:bottom w:w="0" w:type="dxa"/>
              <w:right w:w="15" w:type="dxa"/>
            </w:tcMar>
          </w:tcPr>
          <w:p w14:paraId="5524D7C1" w14:textId="77777777" w:rsidR="0027026F" w:rsidRPr="00005ACE" w:rsidRDefault="0027026F" w:rsidP="004B40B5">
            <w:pPr>
              <w:bidi/>
              <w:spacing w:before="120" w:after="120"/>
              <w:rPr>
                <w:rFonts w:ascii="Arabic Typesetting" w:hAnsi="Arabic Typesetting" w:cs="Arabic Typesetting"/>
                <w:sz w:val="28"/>
                <w:szCs w:val="28"/>
              </w:rPr>
            </w:pPr>
            <w:r w:rsidRPr="00005ACE">
              <w:rPr>
                <w:rFonts w:ascii="Arabic Typesetting" w:hAnsi="Arabic Typesetting" w:cs="Arabic Typesetting"/>
                <w:sz w:val="28"/>
                <w:szCs w:val="28"/>
                <w:rtl/>
              </w:rPr>
              <w:t>ه1.3</w:t>
            </w:r>
          </w:p>
        </w:tc>
        <w:tc>
          <w:tcPr>
            <w:tcW w:w="2340" w:type="pct"/>
            <w:shd w:val="clear" w:color="auto" w:fill="auto"/>
            <w:tcMar>
              <w:top w:w="15" w:type="dxa"/>
              <w:left w:w="15" w:type="dxa"/>
              <w:bottom w:w="0" w:type="dxa"/>
              <w:right w:w="15" w:type="dxa"/>
            </w:tcMar>
          </w:tcPr>
          <w:p w14:paraId="0175EF58" w14:textId="77777777" w:rsidR="0027026F" w:rsidRPr="00005ACE" w:rsidRDefault="0027026F" w:rsidP="004B40B5">
            <w:pPr>
              <w:bidi/>
              <w:spacing w:before="120" w:after="120"/>
              <w:rPr>
                <w:rFonts w:ascii="Arabic Typesetting" w:hAnsi="Arabic Typesetting" w:cs="Arabic Typesetting"/>
                <w:sz w:val="28"/>
                <w:szCs w:val="28"/>
              </w:rPr>
            </w:pPr>
            <w:r w:rsidRPr="00005ACE">
              <w:rPr>
                <w:rFonts w:ascii="Arabic Typesetting" w:hAnsi="Arabic Typesetting" w:cs="Arabic Typesetting"/>
                <w:sz w:val="28"/>
                <w:szCs w:val="28"/>
                <w:rtl/>
              </w:rPr>
              <w:t>استراتيجيات وخطط وطنية في مجالي الابتكار والملكية الفكرية تتماشى مع الأهداف الإنمائية الوطنية</w:t>
            </w:r>
          </w:p>
        </w:tc>
        <w:tc>
          <w:tcPr>
            <w:tcW w:w="749" w:type="pct"/>
            <w:shd w:val="clear" w:color="auto" w:fill="auto"/>
            <w:tcMar>
              <w:top w:w="15" w:type="dxa"/>
              <w:left w:w="15" w:type="dxa"/>
              <w:bottom w:w="0" w:type="dxa"/>
              <w:right w:w="15" w:type="dxa"/>
            </w:tcMar>
            <w:vAlign w:val="center"/>
          </w:tcPr>
          <w:p w14:paraId="246BA97C"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05ACE">
              <w:rPr>
                <w:rFonts w:ascii="Arabic Typesetting" w:hAnsi="Arabic Typesetting" w:cs="Arabic Typesetting"/>
                <w:color w:val="000000"/>
                <w:sz w:val="28"/>
                <w:szCs w:val="28"/>
              </w:rPr>
              <w:t>020</w:t>
            </w:r>
          </w:p>
        </w:tc>
        <w:tc>
          <w:tcPr>
            <w:tcW w:w="749" w:type="pct"/>
            <w:shd w:val="clear" w:color="auto" w:fill="auto"/>
            <w:tcMar>
              <w:top w:w="15" w:type="dxa"/>
              <w:left w:w="15" w:type="dxa"/>
              <w:bottom w:w="0" w:type="dxa"/>
              <w:right w:w="15" w:type="dxa"/>
            </w:tcMar>
            <w:vAlign w:val="center"/>
          </w:tcPr>
          <w:p w14:paraId="5151BB76"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895</w:t>
            </w:r>
          </w:p>
        </w:tc>
        <w:tc>
          <w:tcPr>
            <w:tcW w:w="749" w:type="pct"/>
            <w:shd w:val="clear" w:color="auto" w:fill="auto"/>
            <w:noWrap/>
            <w:tcMar>
              <w:top w:w="15" w:type="dxa"/>
              <w:left w:w="15" w:type="dxa"/>
              <w:bottom w:w="0" w:type="dxa"/>
              <w:right w:w="15" w:type="dxa"/>
            </w:tcMar>
            <w:vAlign w:val="center"/>
          </w:tcPr>
          <w:p w14:paraId="479172CC"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402</w:t>
            </w:r>
          </w:p>
        </w:tc>
      </w:tr>
      <w:tr w:rsidR="0027026F" w:rsidRPr="00211D55" w14:paraId="3D5A5BBD" w14:textId="77777777" w:rsidTr="004B40B5">
        <w:trPr>
          <w:trHeight w:val="55"/>
        </w:trPr>
        <w:tc>
          <w:tcPr>
            <w:tcW w:w="413" w:type="pct"/>
            <w:shd w:val="clear" w:color="auto" w:fill="auto"/>
            <w:noWrap/>
            <w:tcMar>
              <w:top w:w="15" w:type="dxa"/>
              <w:left w:w="15" w:type="dxa"/>
              <w:bottom w:w="0" w:type="dxa"/>
              <w:right w:w="15" w:type="dxa"/>
            </w:tcMar>
          </w:tcPr>
          <w:p w14:paraId="0E748316" w14:textId="77777777" w:rsidR="0027026F" w:rsidRPr="00005ACE" w:rsidRDefault="0027026F" w:rsidP="004B40B5">
            <w:pPr>
              <w:bidi/>
              <w:spacing w:before="120" w:after="120"/>
              <w:rPr>
                <w:rFonts w:ascii="Arabic Typesetting" w:hAnsi="Arabic Typesetting" w:cs="Arabic Typesetting"/>
                <w:sz w:val="28"/>
                <w:szCs w:val="28"/>
              </w:rPr>
            </w:pPr>
            <w:r w:rsidRPr="00005ACE">
              <w:rPr>
                <w:rFonts w:ascii="Arabic Typesetting" w:hAnsi="Arabic Typesetting" w:cs="Arabic Typesetting"/>
                <w:sz w:val="28"/>
                <w:szCs w:val="28"/>
                <w:rtl/>
              </w:rPr>
              <w:t>ه2.3</w:t>
            </w:r>
          </w:p>
        </w:tc>
        <w:tc>
          <w:tcPr>
            <w:tcW w:w="2340" w:type="pct"/>
            <w:shd w:val="clear" w:color="auto" w:fill="auto"/>
            <w:tcMar>
              <w:top w:w="15" w:type="dxa"/>
              <w:left w:w="15" w:type="dxa"/>
              <w:bottom w:w="0" w:type="dxa"/>
              <w:right w:w="15" w:type="dxa"/>
            </w:tcMar>
          </w:tcPr>
          <w:p w14:paraId="26D5A9CD" w14:textId="77777777" w:rsidR="0027026F" w:rsidRPr="00005ACE" w:rsidRDefault="0027026F" w:rsidP="004B40B5">
            <w:pPr>
              <w:bidi/>
              <w:spacing w:before="120" w:after="120"/>
              <w:rPr>
                <w:rFonts w:ascii="Arabic Typesetting" w:hAnsi="Arabic Typesetting" w:cs="Arabic Typesetting"/>
                <w:sz w:val="28"/>
                <w:szCs w:val="28"/>
              </w:rPr>
            </w:pPr>
            <w:r w:rsidRPr="00005ACE">
              <w:rPr>
                <w:rFonts w:ascii="Arabic Typesetting" w:hAnsi="Arabic Typesetting" w:cs="Arabic Typesetting"/>
                <w:sz w:val="28"/>
                <w:szCs w:val="28"/>
                <w:rtl/>
              </w:rPr>
              <w:t>كفاءات</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‏معزَّزة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‏للموارد</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‏البشرية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‏القادرة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‏على</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‏تلبية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‏تشكيلة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‏واسعة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‏من المتطلبات</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‏لتسخير</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‏الملكية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‏الفكرية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‏بفعالية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‏لأغراض</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‏التنمية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‏في</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‏البلدان</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‏النامية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‏والبلدان</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‏الأقل</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‏نموا</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‏والبلدان</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‏المنتقلة</w:t>
            </w:r>
            <w:r w:rsidRPr="00005ACE">
              <w:rPr>
                <w:rFonts w:ascii="Arabic Typesetting" w:hAnsi="Arabic Typesetting" w:cs="Arabic Typesetting"/>
                <w:sz w:val="28"/>
                <w:szCs w:val="28"/>
                <w:cs/>
              </w:rPr>
              <w:t>‎</w:t>
            </w:r>
            <w:r w:rsidRPr="00005ACE">
              <w:rPr>
                <w:rFonts w:ascii="Arabic Typesetting" w:hAnsi="Arabic Typesetting" w:cs="Arabic Typesetting"/>
                <w:sz w:val="28"/>
                <w:szCs w:val="28"/>
              </w:rPr>
              <w:t xml:space="preserve"> </w:t>
            </w:r>
            <w:r w:rsidRPr="00005ACE">
              <w:rPr>
                <w:rFonts w:ascii="Arabic Typesetting" w:hAnsi="Arabic Typesetting" w:cs="Arabic Typesetting"/>
                <w:sz w:val="28"/>
                <w:szCs w:val="28"/>
                <w:rtl/>
              </w:rPr>
              <w:t>‏إل</w:t>
            </w:r>
            <w:r>
              <w:rPr>
                <w:rFonts w:ascii="Arabic Typesetting" w:hAnsi="Arabic Typesetting" w:cs="Arabic Typesetting" w:hint="cs"/>
                <w:sz w:val="28"/>
                <w:szCs w:val="28"/>
                <w:rtl/>
              </w:rPr>
              <w:t xml:space="preserve">ى نظام الاقتصاد </w:t>
            </w:r>
            <w:r w:rsidRPr="00005ACE">
              <w:rPr>
                <w:rFonts w:ascii="Arabic Typesetting" w:hAnsi="Arabic Typesetting" w:cs="Arabic Typesetting"/>
                <w:sz w:val="28"/>
                <w:szCs w:val="28"/>
                <w:rtl/>
              </w:rPr>
              <w:t>‏الحر</w:t>
            </w:r>
          </w:p>
        </w:tc>
        <w:tc>
          <w:tcPr>
            <w:tcW w:w="749" w:type="pct"/>
            <w:shd w:val="clear" w:color="auto" w:fill="auto"/>
            <w:tcMar>
              <w:top w:w="15" w:type="dxa"/>
              <w:left w:w="15" w:type="dxa"/>
              <w:bottom w:w="0" w:type="dxa"/>
              <w:right w:w="15" w:type="dxa"/>
            </w:tcMar>
            <w:vAlign w:val="center"/>
          </w:tcPr>
          <w:p w14:paraId="6DDFE9E6"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962</w:t>
            </w:r>
          </w:p>
        </w:tc>
        <w:tc>
          <w:tcPr>
            <w:tcW w:w="749" w:type="pct"/>
            <w:shd w:val="clear" w:color="auto" w:fill="auto"/>
            <w:tcMar>
              <w:top w:w="15" w:type="dxa"/>
              <w:left w:w="15" w:type="dxa"/>
              <w:bottom w:w="0" w:type="dxa"/>
              <w:right w:w="15" w:type="dxa"/>
            </w:tcMar>
            <w:vAlign w:val="center"/>
          </w:tcPr>
          <w:p w14:paraId="421D00E2"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746</w:t>
            </w:r>
          </w:p>
        </w:tc>
        <w:tc>
          <w:tcPr>
            <w:tcW w:w="749" w:type="pct"/>
            <w:shd w:val="clear" w:color="auto" w:fill="auto"/>
            <w:noWrap/>
            <w:tcMar>
              <w:top w:w="15" w:type="dxa"/>
              <w:left w:w="15" w:type="dxa"/>
              <w:bottom w:w="0" w:type="dxa"/>
              <w:right w:w="15" w:type="dxa"/>
            </w:tcMar>
            <w:vAlign w:val="center"/>
          </w:tcPr>
          <w:p w14:paraId="6DB7C055"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458</w:t>
            </w:r>
          </w:p>
        </w:tc>
      </w:tr>
      <w:tr w:rsidR="0027026F" w:rsidRPr="00211D55" w14:paraId="74214A8F" w14:textId="77777777" w:rsidTr="004B40B5">
        <w:trPr>
          <w:trHeight w:val="735"/>
        </w:trPr>
        <w:tc>
          <w:tcPr>
            <w:tcW w:w="413" w:type="pct"/>
            <w:shd w:val="clear" w:color="auto" w:fill="auto"/>
            <w:noWrap/>
            <w:tcMar>
              <w:top w:w="15" w:type="dxa"/>
              <w:left w:w="15" w:type="dxa"/>
              <w:bottom w:w="0" w:type="dxa"/>
              <w:right w:w="15" w:type="dxa"/>
            </w:tcMar>
          </w:tcPr>
          <w:p w14:paraId="4E7E39DA" w14:textId="77777777" w:rsidR="0027026F" w:rsidRPr="00005ACE" w:rsidRDefault="0027026F" w:rsidP="004B40B5">
            <w:pPr>
              <w:bidi/>
              <w:spacing w:before="120" w:after="120"/>
              <w:rPr>
                <w:rFonts w:ascii="Arabic Typesetting" w:hAnsi="Arabic Typesetting" w:cs="Arabic Typesetting"/>
                <w:sz w:val="28"/>
                <w:szCs w:val="28"/>
              </w:rPr>
            </w:pPr>
            <w:r w:rsidRPr="00005ACE">
              <w:rPr>
                <w:rFonts w:ascii="Arabic Typesetting" w:hAnsi="Arabic Typesetting" w:cs="Arabic Typesetting"/>
                <w:sz w:val="28"/>
                <w:szCs w:val="28"/>
                <w:rtl/>
              </w:rPr>
              <w:t>ه6.3</w:t>
            </w:r>
          </w:p>
        </w:tc>
        <w:tc>
          <w:tcPr>
            <w:tcW w:w="2340" w:type="pct"/>
            <w:shd w:val="clear" w:color="auto" w:fill="auto"/>
            <w:tcMar>
              <w:top w:w="15" w:type="dxa"/>
              <w:left w:w="15" w:type="dxa"/>
              <w:bottom w:w="0" w:type="dxa"/>
              <w:right w:w="15" w:type="dxa"/>
            </w:tcMar>
          </w:tcPr>
          <w:p w14:paraId="5B7E3204" w14:textId="77777777" w:rsidR="0027026F" w:rsidRPr="00005ACE" w:rsidRDefault="0027026F" w:rsidP="004B40B5">
            <w:pPr>
              <w:bidi/>
              <w:spacing w:before="120" w:after="120"/>
              <w:rPr>
                <w:rFonts w:ascii="Arabic Typesetting" w:hAnsi="Arabic Typesetting" w:cs="Arabic Typesetting"/>
                <w:sz w:val="28"/>
                <w:szCs w:val="28"/>
              </w:rPr>
            </w:pPr>
            <w:r w:rsidRPr="00005ACE">
              <w:rPr>
                <w:rFonts w:ascii="Arabic Typesetting" w:hAnsi="Arabic Typesetting" w:cs="Arabic Typesetting"/>
                <w:sz w:val="28"/>
                <w:szCs w:val="28"/>
                <w:rtl/>
              </w:rPr>
              <w:t>قدرات معزّزة للشركات الصغيرة والمتوسطة من أجل النجاح في تسخير الملكية الفكرية لأغراض دعم الابتكار</w:t>
            </w:r>
          </w:p>
        </w:tc>
        <w:tc>
          <w:tcPr>
            <w:tcW w:w="749" w:type="pct"/>
            <w:shd w:val="clear" w:color="auto" w:fill="auto"/>
            <w:tcMar>
              <w:top w:w="15" w:type="dxa"/>
              <w:left w:w="15" w:type="dxa"/>
              <w:bottom w:w="0" w:type="dxa"/>
              <w:right w:w="15" w:type="dxa"/>
            </w:tcMar>
            <w:vAlign w:val="center"/>
          </w:tcPr>
          <w:p w14:paraId="1351AAC8"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005ACE">
              <w:rPr>
                <w:rFonts w:ascii="Arabic Typesetting" w:hAnsi="Arabic Typesetting" w:cs="Arabic Typesetting"/>
                <w:color w:val="000000"/>
                <w:sz w:val="28"/>
                <w:szCs w:val="28"/>
              </w:rPr>
              <w:t>125</w:t>
            </w:r>
          </w:p>
        </w:tc>
        <w:tc>
          <w:tcPr>
            <w:tcW w:w="749" w:type="pct"/>
            <w:shd w:val="clear" w:color="auto" w:fill="auto"/>
            <w:tcMar>
              <w:top w:w="15" w:type="dxa"/>
              <w:left w:w="15" w:type="dxa"/>
              <w:bottom w:w="0" w:type="dxa"/>
              <w:right w:w="15" w:type="dxa"/>
            </w:tcMar>
            <w:vAlign w:val="center"/>
          </w:tcPr>
          <w:p w14:paraId="3F1180A4"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005ACE">
              <w:rPr>
                <w:rFonts w:ascii="Arabic Typesetting" w:hAnsi="Arabic Typesetting" w:cs="Arabic Typesetting"/>
                <w:color w:val="000000"/>
                <w:sz w:val="28"/>
                <w:szCs w:val="28"/>
              </w:rPr>
              <w:t>100</w:t>
            </w:r>
          </w:p>
        </w:tc>
        <w:tc>
          <w:tcPr>
            <w:tcW w:w="749" w:type="pct"/>
            <w:shd w:val="clear" w:color="auto" w:fill="auto"/>
            <w:noWrap/>
            <w:tcMar>
              <w:top w:w="15" w:type="dxa"/>
              <w:left w:w="15" w:type="dxa"/>
              <w:bottom w:w="0" w:type="dxa"/>
              <w:right w:w="15" w:type="dxa"/>
            </w:tcMar>
            <w:vAlign w:val="center"/>
          </w:tcPr>
          <w:p w14:paraId="1D80E015"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05ACE">
              <w:rPr>
                <w:rFonts w:ascii="Arabic Typesetting" w:hAnsi="Arabic Typesetting" w:cs="Arabic Typesetting"/>
                <w:color w:val="000000"/>
                <w:sz w:val="28"/>
                <w:szCs w:val="28"/>
              </w:rPr>
              <w:t>369</w:t>
            </w:r>
          </w:p>
        </w:tc>
      </w:tr>
      <w:tr w:rsidR="0027026F" w:rsidRPr="00211D55" w14:paraId="3D02473E" w14:textId="77777777" w:rsidTr="004B40B5">
        <w:trPr>
          <w:trHeight w:val="735"/>
        </w:trPr>
        <w:tc>
          <w:tcPr>
            <w:tcW w:w="413" w:type="pct"/>
            <w:shd w:val="clear" w:color="auto" w:fill="auto"/>
            <w:noWrap/>
            <w:tcMar>
              <w:top w:w="15" w:type="dxa"/>
              <w:left w:w="15" w:type="dxa"/>
              <w:bottom w:w="0" w:type="dxa"/>
              <w:right w:w="15" w:type="dxa"/>
            </w:tcMar>
          </w:tcPr>
          <w:p w14:paraId="3C365459" w14:textId="77777777" w:rsidR="0027026F" w:rsidRPr="00005ACE" w:rsidRDefault="0027026F" w:rsidP="004B40B5">
            <w:pPr>
              <w:bidi/>
              <w:spacing w:before="120" w:after="120"/>
              <w:rPr>
                <w:rFonts w:ascii="Arabic Typesetting" w:hAnsi="Arabic Typesetting" w:cs="Arabic Typesetting"/>
                <w:sz w:val="28"/>
                <w:szCs w:val="28"/>
              </w:rPr>
            </w:pPr>
            <w:r w:rsidRPr="00005ACE">
              <w:rPr>
                <w:rFonts w:ascii="Arabic Typesetting" w:hAnsi="Arabic Typesetting" w:cs="Arabic Typesetting"/>
                <w:sz w:val="28"/>
                <w:szCs w:val="28"/>
                <w:rtl/>
              </w:rPr>
              <w:t>ه2.4</w:t>
            </w:r>
          </w:p>
        </w:tc>
        <w:tc>
          <w:tcPr>
            <w:tcW w:w="2340" w:type="pct"/>
            <w:shd w:val="clear" w:color="auto" w:fill="auto"/>
            <w:tcMar>
              <w:top w:w="15" w:type="dxa"/>
              <w:left w:w="15" w:type="dxa"/>
              <w:bottom w:w="0" w:type="dxa"/>
              <w:right w:w="15" w:type="dxa"/>
            </w:tcMar>
          </w:tcPr>
          <w:p w14:paraId="0B4EB2AD" w14:textId="73ED283F" w:rsidR="0027026F" w:rsidRPr="00005ACE" w:rsidRDefault="007B1E0A" w:rsidP="004B40B5">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نفاذ محسّن إلى المعلومات المتعلقة بالملكية الفكرية واستخدامها من قبل مؤسسات الملكية الفكرية والجمهور لتشجيع الابتكار والإبداع</w:t>
            </w:r>
          </w:p>
        </w:tc>
        <w:tc>
          <w:tcPr>
            <w:tcW w:w="749" w:type="pct"/>
            <w:shd w:val="clear" w:color="auto" w:fill="auto"/>
            <w:tcMar>
              <w:top w:w="15" w:type="dxa"/>
              <w:left w:w="15" w:type="dxa"/>
              <w:bottom w:w="0" w:type="dxa"/>
              <w:right w:w="15" w:type="dxa"/>
            </w:tcMar>
            <w:vAlign w:val="center"/>
          </w:tcPr>
          <w:p w14:paraId="6529503E"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976</w:t>
            </w:r>
          </w:p>
        </w:tc>
        <w:tc>
          <w:tcPr>
            <w:tcW w:w="749" w:type="pct"/>
            <w:shd w:val="clear" w:color="auto" w:fill="auto"/>
            <w:tcMar>
              <w:top w:w="15" w:type="dxa"/>
              <w:left w:w="15" w:type="dxa"/>
              <w:bottom w:w="0" w:type="dxa"/>
              <w:right w:w="15" w:type="dxa"/>
            </w:tcMar>
            <w:vAlign w:val="center"/>
          </w:tcPr>
          <w:p w14:paraId="7CF8399B"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05ACE">
              <w:rPr>
                <w:rFonts w:ascii="Arabic Typesetting" w:hAnsi="Arabic Typesetting" w:cs="Arabic Typesetting"/>
                <w:color w:val="000000"/>
                <w:sz w:val="28"/>
                <w:szCs w:val="28"/>
              </w:rPr>
              <w:t>521</w:t>
            </w:r>
          </w:p>
        </w:tc>
        <w:tc>
          <w:tcPr>
            <w:tcW w:w="749" w:type="pct"/>
            <w:shd w:val="clear" w:color="auto" w:fill="auto"/>
            <w:noWrap/>
            <w:tcMar>
              <w:top w:w="15" w:type="dxa"/>
              <w:left w:w="15" w:type="dxa"/>
              <w:bottom w:w="0" w:type="dxa"/>
              <w:right w:w="15" w:type="dxa"/>
            </w:tcMar>
            <w:vAlign w:val="center"/>
          </w:tcPr>
          <w:p w14:paraId="59C6DC67" w14:textId="77777777" w:rsidR="0027026F" w:rsidRPr="00005ACE" w:rsidRDefault="0027026F" w:rsidP="004B40B5">
            <w:pPr>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629</w:t>
            </w:r>
          </w:p>
        </w:tc>
      </w:tr>
      <w:tr w:rsidR="0027026F" w:rsidRPr="00211D55" w14:paraId="130E00C4" w14:textId="77777777" w:rsidTr="004B40B5">
        <w:trPr>
          <w:trHeight w:val="225"/>
        </w:trPr>
        <w:tc>
          <w:tcPr>
            <w:tcW w:w="413" w:type="pct"/>
            <w:shd w:val="clear" w:color="auto" w:fill="C6D9F1"/>
            <w:noWrap/>
            <w:tcMar>
              <w:top w:w="15" w:type="dxa"/>
              <w:left w:w="15" w:type="dxa"/>
              <w:bottom w:w="0" w:type="dxa"/>
              <w:right w:w="15" w:type="dxa"/>
            </w:tcMar>
            <w:vAlign w:val="bottom"/>
            <w:hideMark/>
          </w:tcPr>
          <w:p w14:paraId="1B73D79D" w14:textId="77777777" w:rsidR="0027026F" w:rsidRPr="00211D55" w:rsidRDefault="0027026F" w:rsidP="004B40B5">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46235D74" w14:textId="77777777" w:rsidR="0027026F" w:rsidRPr="00280D1A" w:rsidRDefault="0027026F" w:rsidP="004B40B5">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55C5068D" w14:textId="77777777" w:rsidR="0027026F" w:rsidRPr="00280D1A" w:rsidRDefault="0027026F" w:rsidP="004B40B5">
            <w:pPr>
              <w:bidi/>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6 083</w:t>
            </w:r>
          </w:p>
        </w:tc>
        <w:tc>
          <w:tcPr>
            <w:tcW w:w="749" w:type="pct"/>
            <w:shd w:val="clear" w:color="auto" w:fill="C6D9F1"/>
            <w:noWrap/>
            <w:tcMar>
              <w:top w:w="15" w:type="dxa"/>
              <w:left w:w="15" w:type="dxa"/>
              <w:bottom w:w="0" w:type="dxa"/>
              <w:right w:w="15" w:type="dxa"/>
            </w:tcMar>
            <w:vAlign w:val="center"/>
          </w:tcPr>
          <w:p w14:paraId="02994025" w14:textId="77777777" w:rsidR="0027026F" w:rsidRPr="00280D1A" w:rsidRDefault="0027026F" w:rsidP="004B40B5">
            <w:pPr>
              <w:bidi/>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6 262</w:t>
            </w:r>
          </w:p>
        </w:tc>
        <w:tc>
          <w:tcPr>
            <w:tcW w:w="749" w:type="pct"/>
            <w:shd w:val="clear" w:color="auto" w:fill="C6D9F1"/>
            <w:noWrap/>
            <w:tcMar>
              <w:top w:w="15" w:type="dxa"/>
              <w:left w:w="15" w:type="dxa"/>
              <w:bottom w:w="0" w:type="dxa"/>
              <w:right w:w="15" w:type="dxa"/>
            </w:tcMar>
            <w:vAlign w:val="center"/>
          </w:tcPr>
          <w:p w14:paraId="4C3E74A7" w14:textId="77777777" w:rsidR="0027026F" w:rsidRPr="00280D1A" w:rsidRDefault="0027026F" w:rsidP="004B40B5">
            <w:pPr>
              <w:bidi/>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2 857</w:t>
            </w:r>
          </w:p>
        </w:tc>
      </w:tr>
      <w:tr w:rsidR="0027026F" w:rsidRPr="00211D55" w14:paraId="05D9DAB6" w14:textId="77777777" w:rsidTr="004B40B5">
        <w:trPr>
          <w:trHeight w:val="225"/>
        </w:trPr>
        <w:tc>
          <w:tcPr>
            <w:tcW w:w="5000" w:type="pct"/>
            <w:gridSpan w:val="5"/>
            <w:shd w:val="clear" w:color="auto" w:fill="auto"/>
            <w:noWrap/>
            <w:tcMar>
              <w:top w:w="15" w:type="dxa"/>
              <w:left w:w="15" w:type="dxa"/>
              <w:bottom w:w="0" w:type="dxa"/>
              <w:right w:w="15" w:type="dxa"/>
            </w:tcMar>
            <w:vAlign w:val="bottom"/>
          </w:tcPr>
          <w:p w14:paraId="1B401E5F" w14:textId="77777777" w:rsidR="0027026F" w:rsidRPr="00A2672B" w:rsidRDefault="0027026F" w:rsidP="004B40B5">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11A83470" w14:textId="77777777" w:rsidR="0027026F" w:rsidRPr="00252762" w:rsidRDefault="0027026F" w:rsidP="0027026F">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7CF068A0" w14:textId="77777777" w:rsidR="0027026F" w:rsidRPr="00DF1D8A" w:rsidRDefault="0027026F" w:rsidP="0027026F">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27026F" w:rsidRPr="00211D55" w14:paraId="760A352B" w14:textId="77777777" w:rsidTr="004B40B5">
        <w:trPr>
          <w:trHeight w:val="645"/>
        </w:trPr>
        <w:tc>
          <w:tcPr>
            <w:tcW w:w="1118" w:type="pct"/>
            <w:shd w:val="clear" w:color="auto" w:fill="C6D9F1"/>
            <w:noWrap/>
            <w:vAlign w:val="center"/>
            <w:hideMark/>
          </w:tcPr>
          <w:p w14:paraId="2DEACE51" w14:textId="77777777" w:rsidR="0027026F" w:rsidRPr="00211D55" w:rsidRDefault="0027026F" w:rsidP="004B40B5">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23F9CD93" w14:textId="77777777" w:rsidR="0027026F" w:rsidRPr="00211D55" w:rsidRDefault="0027026F" w:rsidP="004B40B5">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41503334" w14:textId="77777777" w:rsidR="0027026F" w:rsidRPr="00211D55" w:rsidRDefault="0027026F" w:rsidP="004B40B5">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3CC93193" w14:textId="77777777" w:rsidR="0027026F" w:rsidRPr="00211D55" w:rsidRDefault="0027026F" w:rsidP="004B40B5">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0D7FAC85" w14:textId="77777777" w:rsidR="0027026F" w:rsidRPr="00211D55" w:rsidRDefault="0027026F" w:rsidP="004B40B5">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27026F" w:rsidRPr="00211D55" w14:paraId="49FE8F84" w14:textId="77777777" w:rsidTr="004B40B5">
        <w:trPr>
          <w:trHeight w:val="70"/>
        </w:trPr>
        <w:tc>
          <w:tcPr>
            <w:tcW w:w="1118" w:type="pct"/>
            <w:shd w:val="clear" w:color="auto" w:fill="auto"/>
            <w:noWrap/>
            <w:vAlign w:val="center"/>
            <w:hideMark/>
          </w:tcPr>
          <w:p w14:paraId="00A69E13" w14:textId="77777777" w:rsidR="0027026F" w:rsidRPr="00211D55" w:rsidRDefault="0027026F" w:rsidP="004B40B5">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130ADE27" w14:textId="77777777" w:rsidR="0027026F" w:rsidRPr="00005ACE" w:rsidRDefault="0027026F" w:rsidP="004B40B5">
            <w:pPr>
              <w:keepNext/>
              <w:keepLines/>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005ACE">
              <w:rPr>
                <w:rFonts w:ascii="Arabic Typesetting" w:hAnsi="Arabic Typesetting" w:cs="Arabic Typesetting"/>
                <w:color w:val="000000"/>
                <w:sz w:val="28"/>
                <w:szCs w:val="28"/>
              </w:rPr>
              <w:t xml:space="preserve">522 </w:t>
            </w:r>
          </w:p>
        </w:tc>
        <w:tc>
          <w:tcPr>
            <w:tcW w:w="971" w:type="pct"/>
            <w:shd w:val="clear" w:color="auto" w:fill="auto"/>
            <w:vAlign w:val="center"/>
          </w:tcPr>
          <w:p w14:paraId="22F927D5" w14:textId="77777777" w:rsidR="0027026F" w:rsidRPr="00005ACE" w:rsidRDefault="0027026F" w:rsidP="004B40B5">
            <w:pPr>
              <w:keepNext/>
              <w:keepLines/>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005ACE">
              <w:rPr>
                <w:rFonts w:ascii="Arabic Typesetting" w:hAnsi="Arabic Typesetting" w:cs="Arabic Typesetting"/>
                <w:color w:val="000000"/>
                <w:sz w:val="28"/>
                <w:szCs w:val="28"/>
              </w:rPr>
              <w:t xml:space="preserve">908 </w:t>
            </w:r>
          </w:p>
        </w:tc>
        <w:tc>
          <w:tcPr>
            <w:tcW w:w="970" w:type="pct"/>
            <w:shd w:val="clear" w:color="auto" w:fill="auto"/>
            <w:vAlign w:val="center"/>
          </w:tcPr>
          <w:p w14:paraId="4B79D50E" w14:textId="77777777" w:rsidR="0027026F" w:rsidRPr="00005ACE" w:rsidRDefault="0027026F" w:rsidP="004B40B5">
            <w:pPr>
              <w:keepNext/>
              <w:keepLines/>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005ACE">
              <w:rPr>
                <w:rFonts w:ascii="Arabic Typesetting" w:hAnsi="Arabic Typesetting" w:cs="Arabic Typesetting"/>
                <w:color w:val="000000"/>
                <w:sz w:val="28"/>
                <w:szCs w:val="28"/>
              </w:rPr>
              <w:t xml:space="preserve">338 </w:t>
            </w:r>
          </w:p>
        </w:tc>
        <w:tc>
          <w:tcPr>
            <w:tcW w:w="970" w:type="pct"/>
            <w:shd w:val="clear" w:color="auto" w:fill="auto"/>
            <w:vAlign w:val="center"/>
          </w:tcPr>
          <w:p w14:paraId="1BEF64E6" w14:textId="77777777" w:rsidR="0027026F" w:rsidRPr="00005ACE" w:rsidRDefault="0027026F" w:rsidP="004B40B5">
            <w:pPr>
              <w:keepNext/>
              <w:keepLines/>
              <w:bidi/>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%48</w:t>
            </w:r>
          </w:p>
        </w:tc>
      </w:tr>
      <w:tr w:rsidR="0027026F" w:rsidRPr="00211D55" w14:paraId="51E11202" w14:textId="77777777" w:rsidTr="004B40B5">
        <w:trPr>
          <w:trHeight w:val="70"/>
        </w:trPr>
        <w:tc>
          <w:tcPr>
            <w:tcW w:w="1118" w:type="pct"/>
            <w:shd w:val="clear" w:color="auto" w:fill="auto"/>
            <w:noWrap/>
            <w:vAlign w:val="center"/>
            <w:hideMark/>
          </w:tcPr>
          <w:p w14:paraId="45D48B20" w14:textId="77777777" w:rsidR="0027026F" w:rsidRPr="00211D55" w:rsidRDefault="0027026F" w:rsidP="004B40B5">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05EA321B" w14:textId="77777777" w:rsidR="0027026F" w:rsidRPr="00005ACE" w:rsidRDefault="0027026F" w:rsidP="004B40B5">
            <w:pPr>
              <w:keepNext/>
              <w:keepLines/>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05ACE">
              <w:rPr>
                <w:rFonts w:ascii="Arabic Typesetting" w:hAnsi="Arabic Typesetting" w:cs="Arabic Typesetting"/>
                <w:color w:val="000000"/>
                <w:sz w:val="28"/>
                <w:szCs w:val="28"/>
              </w:rPr>
              <w:t xml:space="preserve">561 </w:t>
            </w:r>
          </w:p>
        </w:tc>
        <w:tc>
          <w:tcPr>
            <w:tcW w:w="971" w:type="pct"/>
            <w:shd w:val="clear" w:color="auto" w:fill="auto"/>
            <w:vAlign w:val="center"/>
          </w:tcPr>
          <w:p w14:paraId="0490E35E" w14:textId="77777777" w:rsidR="0027026F" w:rsidRPr="00005ACE" w:rsidRDefault="0027026F" w:rsidP="004B40B5">
            <w:pPr>
              <w:keepNext/>
              <w:keepLines/>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05ACE">
              <w:rPr>
                <w:rFonts w:ascii="Arabic Typesetting" w:hAnsi="Arabic Typesetting" w:cs="Arabic Typesetting"/>
                <w:color w:val="000000"/>
                <w:sz w:val="28"/>
                <w:szCs w:val="28"/>
              </w:rPr>
              <w:t xml:space="preserve">354 </w:t>
            </w:r>
          </w:p>
        </w:tc>
        <w:tc>
          <w:tcPr>
            <w:tcW w:w="970" w:type="pct"/>
            <w:shd w:val="clear" w:color="auto" w:fill="auto"/>
            <w:vAlign w:val="center"/>
          </w:tcPr>
          <w:p w14:paraId="456F5168" w14:textId="77777777" w:rsidR="0027026F" w:rsidRPr="00005ACE" w:rsidRDefault="0027026F" w:rsidP="004B40B5">
            <w:pPr>
              <w:keepNext/>
              <w:keepLines/>
              <w:bidi/>
              <w:jc w:val="center"/>
              <w:rPr>
                <w:rFonts w:ascii="Arabic Typesetting" w:hAnsi="Arabic Typesetting" w:cs="Arabic Typesetting"/>
                <w:color w:val="000000"/>
                <w:sz w:val="28"/>
                <w:szCs w:val="28"/>
              </w:rPr>
            </w:pPr>
            <w:r w:rsidRPr="00005ACE">
              <w:rPr>
                <w:rFonts w:ascii="Arabic Typesetting" w:hAnsi="Arabic Typesetting" w:cs="Arabic Typesetting"/>
                <w:color w:val="000000"/>
                <w:sz w:val="28"/>
                <w:szCs w:val="28"/>
              </w:rPr>
              <w:t xml:space="preserve">520 </w:t>
            </w:r>
          </w:p>
        </w:tc>
        <w:tc>
          <w:tcPr>
            <w:tcW w:w="970" w:type="pct"/>
            <w:shd w:val="clear" w:color="auto" w:fill="auto"/>
            <w:vAlign w:val="center"/>
          </w:tcPr>
          <w:p w14:paraId="5A92EED4" w14:textId="77777777" w:rsidR="0027026F" w:rsidRPr="00005ACE" w:rsidRDefault="0027026F" w:rsidP="004B40B5">
            <w:pPr>
              <w:keepNext/>
              <w:keepLines/>
              <w:bidi/>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%38</w:t>
            </w:r>
          </w:p>
        </w:tc>
      </w:tr>
      <w:tr w:rsidR="0027026F" w:rsidRPr="00211D55" w14:paraId="20727BC4" w14:textId="77777777" w:rsidTr="00AF6433">
        <w:trPr>
          <w:trHeight w:val="70"/>
        </w:trPr>
        <w:tc>
          <w:tcPr>
            <w:tcW w:w="1118" w:type="pct"/>
            <w:shd w:val="clear" w:color="auto" w:fill="C6D9F1"/>
            <w:noWrap/>
            <w:vAlign w:val="center"/>
            <w:hideMark/>
          </w:tcPr>
          <w:p w14:paraId="427CAC25" w14:textId="77777777" w:rsidR="0027026F" w:rsidRPr="00211D55" w:rsidRDefault="0027026F" w:rsidP="004B40B5">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43E4E3FA" w14:textId="77777777" w:rsidR="0027026F" w:rsidRPr="00005ACE" w:rsidRDefault="0027026F" w:rsidP="004B40B5">
            <w:pPr>
              <w:keepNext/>
              <w:keepLines/>
              <w:bidi/>
              <w:jc w:val="center"/>
              <w:rPr>
                <w:rFonts w:ascii="Arabic Typesetting" w:hAnsi="Arabic Typesetting" w:cs="Arabic Typesetting"/>
                <w:b/>
                <w:bCs/>
                <w:color w:val="000000"/>
                <w:sz w:val="28"/>
                <w:szCs w:val="28"/>
              </w:rPr>
            </w:pPr>
            <w:r w:rsidRPr="00005ACE">
              <w:rPr>
                <w:rFonts w:ascii="Arabic Typesetting" w:hAnsi="Arabic Typesetting" w:cs="Arabic Typesetting"/>
                <w:b/>
                <w:bCs/>
                <w:color w:val="000000"/>
                <w:sz w:val="28"/>
                <w:szCs w:val="28"/>
              </w:rPr>
              <w:t>6</w:t>
            </w:r>
            <w:r>
              <w:rPr>
                <w:rFonts w:ascii="Arabic Typesetting" w:hAnsi="Arabic Typesetting" w:cs="Arabic Typesetting"/>
                <w:b/>
                <w:bCs/>
                <w:color w:val="000000"/>
                <w:sz w:val="28"/>
                <w:szCs w:val="28"/>
              </w:rPr>
              <w:t> </w:t>
            </w:r>
            <w:r w:rsidRPr="00005ACE">
              <w:rPr>
                <w:rFonts w:ascii="Arabic Typesetting" w:hAnsi="Arabic Typesetting" w:cs="Arabic Typesetting"/>
                <w:b/>
                <w:bCs/>
                <w:color w:val="000000"/>
                <w:sz w:val="28"/>
                <w:szCs w:val="28"/>
              </w:rPr>
              <w:t xml:space="preserve">083 </w:t>
            </w:r>
          </w:p>
        </w:tc>
        <w:tc>
          <w:tcPr>
            <w:tcW w:w="971" w:type="pct"/>
            <w:shd w:val="clear" w:color="auto" w:fill="C6D9F1"/>
            <w:vAlign w:val="center"/>
          </w:tcPr>
          <w:p w14:paraId="3F0AD42C" w14:textId="77777777" w:rsidR="0027026F" w:rsidRPr="00005ACE" w:rsidRDefault="0027026F" w:rsidP="004B40B5">
            <w:pPr>
              <w:keepNext/>
              <w:keepLines/>
              <w:bidi/>
              <w:jc w:val="center"/>
              <w:rPr>
                <w:rFonts w:ascii="Arabic Typesetting" w:hAnsi="Arabic Typesetting" w:cs="Arabic Typesetting"/>
                <w:b/>
                <w:bCs/>
                <w:color w:val="000000"/>
                <w:sz w:val="28"/>
                <w:szCs w:val="28"/>
              </w:rPr>
            </w:pPr>
            <w:r w:rsidRPr="00005ACE">
              <w:rPr>
                <w:rFonts w:ascii="Arabic Typesetting" w:hAnsi="Arabic Typesetting" w:cs="Arabic Typesetting"/>
                <w:b/>
                <w:bCs/>
                <w:color w:val="000000"/>
                <w:sz w:val="28"/>
                <w:szCs w:val="28"/>
              </w:rPr>
              <w:t>6</w:t>
            </w:r>
            <w:r>
              <w:rPr>
                <w:rFonts w:ascii="Arabic Typesetting" w:hAnsi="Arabic Typesetting" w:cs="Arabic Typesetting"/>
                <w:b/>
                <w:bCs/>
                <w:color w:val="000000"/>
                <w:sz w:val="28"/>
                <w:szCs w:val="28"/>
              </w:rPr>
              <w:t> </w:t>
            </w:r>
            <w:r w:rsidRPr="00005ACE">
              <w:rPr>
                <w:rFonts w:ascii="Arabic Typesetting" w:hAnsi="Arabic Typesetting" w:cs="Arabic Typesetting"/>
                <w:b/>
                <w:bCs/>
                <w:color w:val="000000"/>
                <w:sz w:val="28"/>
                <w:szCs w:val="28"/>
              </w:rPr>
              <w:t xml:space="preserve">262 </w:t>
            </w:r>
          </w:p>
        </w:tc>
        <w:tc>
          <w:tcPr>
            <w:tcW w:w="970" w:type="pct"/>
            <w:shd w:val="clear" w:color="auto" w:fill="C6D9F1"/>
            <w:vAlign w:val="center"/>
          </w:tcPr>
          <w:p w14:paraId="1D7A7A79" w14:textId="77777777" w:rsidR="0027026F" w:rsidRPr="00005ACE" w:rsidRDefault="0027026F" w:rsidP="004B40B5">
            <w:pPr>
              <w:keepNext/>
              <w:keepLines/>
              <w:bidi/>
              <w:jc w:val="center"/>
              <w:rPr>
                <w:rFonts w:ascii="Arabic Typesetting" w:hAnsi="Arabic Typesetting" w:cs="Arabic Typesetting"/>
                <w:b/>
                <w:bCs/>
                <w:color w:val="000000"/>
                <w:sz w:val="28"/>
                <w:szCs w:val="28"/>
              </w:rPr>
            </w:pPr>
            <w:r w:rsidRPr="00005ACE">
              <w:rPr>
                <w:rFonts w:ascii="Arabic Typesetting" w:hAnsi="Arabic Typesetting" w:cs="Arabic Typesetting"/>
                <w:b/>
                <w:bCs/>
                <w:color w:val="000000"/>
                <w:sz w:val="28"/>
                <w:szCs w:val="28"/>
              </w:rPr>
              <w:t>2</w:t>
            </w:r>
            <w:r>
              <w:rPr>
                <w:rFonts w:ascii="Arabic Typesetting" w:hAnsi="Arabic Typesetting" w:cs="Arabic Typesetting"/>
                <w:b/>
                <w:bCs/>
                <w:color w:val="000000"/>
                <w:sz w:val="28"/>
                <w:szCs w:val="28"/>
              </w:rPr>
              <w:t> </w:t>
            </w:r>
            <w:r w:rsidRPr="00005ACE">
              <w:rPr>
                <w:rFonts w:ascii="Arabic Typesetting" w:hAnsi="Arabic Typesetting" w:cs="Arabic Typesetting"/>
                <w:b/>
                <w:bCs/>
                <w:color w:val="000000"/>
                <w:sz w:val="28"/>
                <w:szCs w:val="28"/>
              </w:rPr>
              <w:t xml:space="preserve">857 </w:t>
            </w:r>
          </w:p>
        </w:tc>
        <w:tc>
          <w:tcPr>
            <w:tcW w:w="970" w:type="pct"/>
            <w:shd w:val="clear" w:color="auto" w:fill="C6D9F1"/>
            <w:vAlign w:val="center"/>
          </w:tcPr>
          <w:p w14:paraId="7EB9294D" w14:textId="77777777" w:rsidR="0027026F" w:rsidRPr="00005ACE" w:rsidRDefault="0027026F" w:rsidP="004B40B5">
            <w:pPr>
              <w:keepNext/>
              <w:keepLines/>
              <w:bidi/>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%46</w:t>
            </w:r>
          </w:p>
        </w:tc>
      </w:tr>
      <w:tr w:rsidR="0027026F" w:rsidRPr="00211D55" w14:paraId="35B69B6F" w14:textId="77777777" w:rsidTr="004B40B5">
        <w:trPr>
          <w:trHeight w:val="540"/>
        </w:trPr>
        <w:tc>
          <w:tcPr>
            <w:tcW w:w="5000" w:type="pct"/>
            <w:gridSpan w:val="5"/>
            <w:shd w:val="clear" w:color="auto" w:fill="auto"/>
            <w:noWrap/>
            <w:vAlign w:val="center"/>
          </w:tcPr>
          <w:p w14:paraId="6302CD5E" w14:textId="77777777" w:rsidR="0027026F" w:rsidRDefault="0027026F" w:rsidP="004B40B5">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7D8D6DB4" w14:textId="77777777" w:rsidR="0027026F" w:rsidRPr="00D41845" w:rsidRDefault="0027026F" w:rsidP="004B40B5">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 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3975D3B5" w14:textId="77777777" w:rsidR="0027026F" w:rsidRPr="00706F20" w:rsidRDefault="0027026F" w:rsidP="0027026F">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78478D2F" w14:textId="77777777" w:rsidR="0027026F" w:rsidRPr="00005ACE" w:rsidRDefault="0027026F" w:rsidP="00D94CDB">
      <w:pPr>
        <w:keepNext/>
        <w:numPr>
          <w:ilvl w:val="1"/>
          <w:numId w:val="97"/>
        </w:numPr>
        <w:bidi/>
        <w:spacing w:after="240" w:line="360" w:lineRule="exact"/>
        <w:ind w:left="0" w:firstLine="0"/>
        <w:rPr>
          <w:rFonts w:ascii="Arabic Typesetting" w:hAnsi="Arabic Typesetting" w:cs="Arabic Typesetting"/>
          <w:sz w:val="34"/>
          <w:szCs w:val="34"/>
          <w:rtl/>
        </w:rPr>
      </w:pPr>
      <w:r w:rsidRPr="00005ACE">
        <w:rPr>
          <w:rFonts w:ascii="Arabic Typesetting" w:hAnsi="Arabic Typesetting" w:cs="Arabic Typesetting"/>
          <w:sz w:val="34"/>
          <w:szCs w:val="34"/>
          <w:rtl/>
        </w:rPr>
        <w:t>تُعزى الزيادة الصافية في موارد الموظفين مقارنة بالميزانية المعتمدة 2016/17 أساساً إلى</w:t>
      </w:r>
      <w:r>
        <w:rPr>
          <w:rFonts w:ascii="Arabic Typesetting" w:hAnsi="Arabic Typesetting" w:cs="Arabic Typesetting"/>
          <w:sz w:val="34"/>
          <w:szCs w:val="34"/>
          <w:rtl/>
        </w:rPr>
        <w:t xml:space="preserve"> </w:t>
      </w:r>
      <w:r w:rsidRPr="00005ACE">
        <w:rPr>
          <w:rFonts w:ascii="Arabic Typesetting" w:hAnsi="Arabic Typesetting" w:cs="Arabic Typesetting"/>
          <w:sz w:val="34"/>
          <w:szCs w:val="34"/>
          <w:rtl/>
        </w:rPr>
        <w:t>"1" تحويل منصبين (منصب ووظيفة مؤقتة) إلى البرنامج من حق المؤلف والحقوق المجاورة (البرنامج 3) وتأمين المعلومات والسلامة والأمن (البرنامج 28) من أجل تعزيز قدرات شعبة الشركات الصغيرة والمتوسطة؛ "2" وإعادة تصنيف وظائف داخل البرنامج؛ "3" ونقل وظيفة إلى أكاديمية الويبو (البرنامج 11) لدعم الإدارة والتخطيط والتنسيق الاستراتيجيين</w:t>
      </w:r>
      <w:r w:rsidRPr="00005ACE">
        <w:rPr>
          <w:rFonts w:ascii="Arabic Typesetting" w:hAnsi="Arabic Typesetting" w:cs="Arabic Typesetting"/>
          <w:sz w:val="34"/>
          <w:szCs w:val="34"/>
        </w:rPr>
        <w:t>.</w:t>
      </w:r>
    </w:p>
    <w:p w14:paraId="6C003A62" w14:textId="77777777" w:rsidR="0027026F" w:rsidRDefault="0027026F" w:rsidP="00D94CDB">
      <w:pPr>
        <w:numPr>
          <w:ilvl w:val="1"/>
          <w:numId w:val="97"/>
        </w:numPr>
        <w:bidi/>
        <w:spacing w:after="240" w:line="360" w:lineRule="exact"/>
        <w:ind w:left="0" w:hanging="1"/>
        <w:rPr>
          <w:rFonts w:ascii="Arabic Typesetting" w:hAnsi="Arabic Typesetting" w:cs="Arabic Typesetting"/>
          <w:sz w:val="34"/>
          <w:szCs w:val="34"/>
        </w:rPr>
      </w:pPr>
      <w:r w:rsidRPr="00005ACE">
        <w:rPr>
          <w:rFonts w:ascii="Arabic Typesetting" w:hAnsi="Arabic Typesetting" w:cs="Arabic Typesetting"/>
          <w:sz w:val="34"/>
          <w:szCs w:val="34"/>
          <w:rtl/>
        </w:rPr>
        <w:t>ويُعزى الانخفاض في خلاف موارد الموظفين إلى تحويل موارد من البرنامج إلى</w:t>
      </w:r>
      <w:r>
        <w:rPr>
          <w:rFonts w:ascii="Arabic Typesetting" w:hAnsi="Arabic Typesetting" w:cs="Arabic Typesetting"/>
          <w:sz w:val="34"/>
          <w:szCs w:val="34"/>
          <w:rtl/>
        </w:rPr>
        <w:t xml:space="preserve"> </w:t>
      </w:r>
      <w:r w:rsidRPr="00005ACE">
        <w:rPr>
          <w:rFonts w:ascii="Arabic Typesetting" w:hAnsi="Arabic Typesetting" w:cs="Arabic Typesetting"/>
          <w:sz w:val="34"/>
          <w:szCs w:val="34"/>
          <w:rtl/>
        </w:rPr>
        <w:t>"1" أكاديمية الويبو (البرنامج 11) لتمويل التعاون مع المؤسسات على دعم شهادات دولية متقدمة؛ "2" والملكية الفكرية والتحديات العالمية (البرنامج 18) لدعم العمل على سياسات الملكية الفكرية والمنافسة)؛ "3" وإدارة الموارد البشرية (البرنامج 23) لتغطية تكاليف المتدربين.</w:t>
      </w:r>
      <w:r>
        <w:rPr>
          <w:rFonts w:ascii="Arabic Typesetting" w:hAnsi="Arabic Typesetting" w:cs="Arabic Typesetting"/>
          <w:sz w:val="34"/>
          <w:szCs w:val="34"/>
          <w:rtl/>
        </w:rPr>
        <w:t xml:space="preserve"> </w:t>
      </w:r>
      <w:r w:rsidRPr="00005ACE">
        <w:rPr>
          <w:rFonts w:ascii="Arabic Typesetting" w:hAnsi="Arabic Typesetting" w:cs="Arabic Typesetting"/>
          <w:sz w:val="34"/>
          <w:szCs w:val="34"/>
          <w:rtl/>
        </w:rPr>
        <w:t>وأعيد توزيع جزء من الرصيد غير المنفق لعام 2016 على أولويات تنظيمية أخرى.</w:t>
      </w:r>
    </w:p>
    <w:p w14:paraId="5FCCBA9C" w14:textId="77777777" w:rsidR="0027026F" w:rsidRPr="00706F20" w:rsidRDefault="0027026F" w:rsidP="0027026F">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4C1FD9FF" w14:textId="77777777" w:rsidR="0027026F" w:rsidRPr="00005ACE" w:rsidRDefault="0027026F" w:rsidP="00D94CDB">
      <w:pPr>
        <w:numPr>
          <w:ilvl w:val="1"/>
          <w:numId w:val="97"/>
        </w:numPr>
        <w:bidi/>
        <w:spacing w:after="240" w:line="360" w:lineRule="exact"/>
        <w:ind w:left="0" w:hanging="1"/>
        <w:rPr>
          <w:rFonts w:ascii="Arabic Typesetting" w:hAnsi="Arabic Typesetting" w:cs="Arabic Typesetting"/>
          <w:sz w:val="34"/>
          <w:szCs w:val="34"/>
        </w:rPr>
      </w:pPr>
      <w:r w:rsidRPr="00005ACE">
        <w:rPr>
          <w:rFonts w:ascii="Arabic Typesetting" w:hAnsi="Arabic Typesetting" w:cs="Arabic Typesetting"/>
          <w:sz w:val="34"/>
          <w:szCs w:val="34"/>
          <w:rtl/>
        </w:rPr>
        <w:t>كانت نسبة استخدام ميزانية الموظفين ضمن النطاق المتوقع المتراوح بين 40 و60 بالمئة للسنة الأولى من الثنائية.</w:t>
      </w:r>
      <w:r>
        <w:rPr>
          <w:rFonts w:ascii="Arabic Typesetting" w:hAnsi="Arabic Typesetting" w:cs="Arabic Typesetting"/>
          <w:sz w:val="34"/>
          <w:szCs w:val="34"/>
          <w:rtl/>
        </w:rPr>
        <w:t xml:space="preserve"> </w:t>
      </w:r>
      <w:r w:rsidRPr="00005ACE">
        <w:rPr>
          <w:rFonts w:ascii="Arabic Typesetting" w:hAnsi="Arabic Typesetting" w:cs="Arabic Typesetting"/>
          <w:sz w:val="34"/>
          <w:szCs w:val="34"/>
          <w:rtl/>
        </w:rPr>
        <w:t>وكانت نسبة إنفاق خلاف موارد الموظف</w:t>
      </w:r>
      <w:r>
        <w:rPr>
          <w:rFonts w:ascii="Arabic Typesetting" w:hAnsi="Arabic Typesetting" w:cs="Arabic Typesetting"/>
          <w:sz w:val="34"/>
          <w:szCs w:val="34"/>
          <w:rtl/>
        </w:rPr>
        <w:t>ين لعام 2016 أقل من الهدف الم</w:t>
      </w:r>
      <w:r>
        <w:rPr>
          <w:rFonts w:ascii="Arabic Typesetting" w:hAnsi="Arabic Typesetting" w:cs="Arabic Typesetting" w:hint="cs"/>
          <w:sz w:val="34"/>
          <w:szCs w:val="34"/>
          <w:rtl/>
          <w:lang w:bidi="ar-EG"/>
        </w:rPr>
        <w:t>حدد</w:t>
      </w:r>
      <w:r w:rsidRPr="00005ACE">
        <w:rPr>
          <w:rFonts w:ascii="Arabic Typesetting" w:hAnsi="Arabic Typesetting" w:cs="Arabic Typesetting"/>
          <w:sz w:val="34"/>
          <w:szCs w:val="34"/>
          <w:rtl/>
        </w:rPr>
        <w:t xml:space="preserve"> بسبب التأخر في تنفيذ الأنشط</w:t>
      </w:r>
      <w:r>
        <w:rPr>
          <w:rFonts w:ascii="Arabic Typesetting" w:hAnsi="Arabic Typesetting" w:cs="Arabic Typesetting"/>
          <w:sz w:val="34"/>
          <w:szCs w:val="34"/>
          <w:rtl/>
        </w:rPr>
        <w:t xml:space="preserve">ة المزمعة في المجالات التالية: </w:t>
      </w:r>
      <w:r w:rsidRPr="00005ACE">
        <w:rPr>
          <w:rFonts w:ascii="Arabic Typesetting" w:hAnsi="Arabic Typesetting" w:cs="Arabic Typesetting"/>
          <w:sz w:val="34"/>
          <w:szCs w:val="34"/>
          <w:rtl/>
        </w:rPr>
        <w:t>"1" أنشطة التوعية وتكوين الكفاءات لدعم الشركات والمؤسسات الابتكارية؛ "2" وتسويق الملكية الفكرية؛ "3" وأنشطة التوعية وتكوين الكفاءات وتقديم الخدمات الاستشارية لفائدة الشركات الصغيرة والمتوسطة.</w:t>
      </w:r>
    </w:p>
    <w:p w14:paraId="7CFAF7FB" w14:textId="77777777" w:rsidR="0027026F" w:rsidRDefault="0027026F" w:rsidP="0027026F">
      <w:pPr>
        <w:bidi/>
        <w:rPr>
          <w:rFonts w:ascii="Arabic Typesetting" w:hAnsi="Arabic Typesetting" w:cs="Arabic Typesetting"/>
          <w:sz w:val="34"/>
          <w:szCs w:val="34"/>
          <w:rtl/>
        </w:rPr>
      </w:pPr>
      <w:r>
        <w:rPr>
          <w:rFonts w:ascii="Arabic Typesetting" w:hAnsi="Arabic Typesetting" w:cs="Arabic Typesetting"/>
          <w:sz w:val="34"/>
          <w:szCs w:val="34"/>
          <w:rtl/>
        </w:rPr>
        <w:br w:type="page"/>
      </w:r>
    </w:p>
    <w:p w14:paraId="68C64C8C" w14:textId="22609F92" w:rsidR="00C61D0D" w:rsidRDefault="00C61D0D" w:rsidP="00E03348">
      <w:pPr>
        <w:pStyle w:val="Heading3"/>
        <w:pageBreakBefore w:val="0"/>
        <w:spacing w:after="240"/>
        <w:ind w:left="1134" w:hanging="1134"/>
        <w:jc w:val="center"/>
        <w:rPr>
          <w:rtl/>
          <w:lang w:bidi="ar-EG"/>
        </w:rPr>
      </w:pPr>
      <w:bookmarkStart w:id="32" w:name="_Toc482782759"/>
      <w:r>
        <w:rPr>
          <w:rtl/>
        </w:rPr>
        <w:lastRenderedPageBreak/>
        <w:t xml:space="preserve">الهدف الاستراتيجي </w:t>
      </w:r>
      <w:r w:rsidR="00E03348">
        <w:rPr>
          <w:rFonts w:hint="cs"/>
          <w:rtl/>
          <w:lang w:bidi="ar-EG"/>
        </w:rPr>
        <w:t>الرابع</w:t>
      </w:r>
      <w:bookmarkEnd w:id="32"/>
    </w:p>
    <w:p w14:paraId="1A739005" w14:textId="0086A7DE" w:rsidR="00C61D0D" w:rsidRPr="00B54D74" w:rsidRDefault="00ED5D24" w:rsidP="00ED5D24">
      <w:pPr>
        <w:pStyle w:val="NormalParaAR"/>
        <w:jc w:val="center"/>
        <w:rPr>
          <w:b/>
          <w:bCs/>
          <w:rtl/>
        </w:rPr>
      </w:pPr>
      <w:r w:rsidRPr="00ED5D24">
        <w:rPr>
          <w:b/>
          <w:bCs/>
          <w:rtl/>
        </w:rPr>
        <w:t>تنسيق البنية التحتية</w:t>
      </w:r>
      <w:r>
        <w:rPr>
          <w:rFonts w:hint="cs"/>
          <w:b/>
          <w:bCs/>
          <w:rtl/>
        </w:rPr>
        <w:t xml:space="preserve"> </w:t>
      </w:r>
      <w:r w:rsidRPr="00ED5D24">
        <w:rPr>
          <w:b/>
          <w:bCs/>
          <w:rtl/>
        </w:rPr>
        <w:t>العالمية للملكية الفكرية وتطويرها</w:t>
      </w:r>
    </w:p>
    <w:p w14:paraId="5E68DEA4" w14:textId="77777777" w:rsidR="00C61D0D" w:rsidRPr="00B54D74" w:rsidRDefault="00C61D0D" w:rsidP="00C61D0D">
      <w:pPr>
        <w:pStyle w:val="NormalParaAR"/>
        <w:jc w:val="center"/>
        <w:rPr>
          <w:b/>
          <w:bCs/>
          <w:rtl/>
        </w:rPr>
      </w:pPr>
      <w:r w:rsidRPr="00B54D74">
        <w:rPr>
          <w:b/>
          <w:bCs/>
          <w:rtl/>
        </w:rPr>
        <w:t>لوحة بيانات الأداء في منتصف المدة (</w:t>
      </w:r>
      <w:r>
        <w:rPr>
          <w:rFonts w:hint="cs"/>
          <w:b/>
          <w:bCs/>
          <w:rtl/>
        </w:rPr>
        <w:t>2016</w:t>
      </w:r>
      <w:r w:rsidRPr="00B54D74">
        <w:rPr>
          <w:b/>
          <w:bCs/>
          <w:rtl/>
        </w:rPr>
        <w:t>)</w:t>
      </w:r>
    </w:p>
    <w:p w14:paraId="783216B6" w14:textId="685BA04B" w:rsidR="00C61D0D" w:rsidRDefault="00C61D0D" w:rsidP="00C61D0D">
      <w:pPr>
        <w:pStyle w:val="NormalParaAR"/>
        <w:rPr>
          <w:rtl/>
        </w:rPr>
      </w:pPr>
      <w:r>
        <w:rPr>
          <w:rtl/>
        </w:rPr>
        <w:t xml:space="preserve">توجز لوحة البيانات </w:t>
      </w:r>
      <w:r>
        <w:rPr>
          <w:rFonts w:hint="cs"/>
          <w:rtl/>
        </w:rPr>
        <w:t xml:space="preserve">التالية </w:t>
      </w:r>
      <w:r>
        <w:rPr>
          <w:rtl/>
        </w:rPr>
        <w:t xml:space="preserve">التقدم المحرز </w:t>
      </w:r>
      <w:r>
        <w:rPr>
          <w:rFonts w:hint="cs"/>
          <w:rtl/>
        </w:rPr>
        <w:t>نحو</w:t>
      </w:r>
      <w:r>
        <w:rPr>
          <w:rtl/>
        </w:rPr>
        <w:t xml:space="preserve"> تحقيق النتائج</w:t>
      </w:r>
      <w:r>
        <w:rPr>
          <w:rFonts w:hint="cs"/>
          <w:rtl/>
        </w:rPr>
        <w:t xml:space="preserve"> المرتقبة</w:t>
      </w:r>
      <w:r>
        <w:rPr>
          <w:rtl/>
        </w:rPr>
        <w:t xml:space="preserve"> في عام </w:t>
      </w:r>
      <w:r>
        <w:rPr>
          <w:rFonts w:hint="cs"/>
          <w:rtl/>
        </w:rPr>
        <w:t>2016</w:t>
      </w:r>
      <w:r>
        <w:rPr>
          <w:rtl/>
        </w:rPr>
        <w:t xml:space="preserve"> قياسا</w:t>
      </w:r>
      <w:r>
        <w:rPr>
          <w:rFonts w:hint="cs"/>
          <w:rtl/>
        </w:rPr>
        <w:t>ً</w:t>
      </w:r>
      <w:r>
        <w:rPr>
          <w:rtl/>
        </w:rPr>
        <w:t xml:space="preserve"> بمؤشرات الأداء </w:t>
      </w:r>
      <w:r>
        <w:rPr>
          <w:rFonts w:hint="cs"/>
          <w:rtl/>
        </w:rPr>
        <w:t>في إطار</w:t>
      </w:r>
      <w:r>
        <w:rPr>
          <w:rtl/>
        </w:rPr>
        <w:t xml:space="preserve"> البرامج التي تس</w:t>
      </w:r>
      <w:r>
        <w:rPr>
          <w:rFonts w:hint="cs"/>
          <w:rtl/>
        </w:rPr>
        <w:t>ا</w:t>
      </w:r>
      <w:r>
        <w:rPr>
          <w:rtl/>
        </w:rPr>
        <w:t>هم في تحقيق هذا الهدف الاستراتيجي</w:t>
      </w:r>
      <w:r>
        <w:rPr>
          <w:rFonts w:hint="cs"/>
          <w:rtl/>
        </w:rPr>
        <w:t>.</w:t>
      </w:r>
    </w:p>
    <w:p w14:paraId="349E3BDB" w14:textId="5919E5BD" w:rsidR="00C61D0D" w:rsidRDefault="009C2128" w:rsidP="00C61D0D">
      <w:pPr>
        <w:pStyle w:val="NormalParaAR"/>
        <w:spacing w:line="240" w:lineRule="auto"/>
        <w:jc w:val="center"/>
        <w:rPr>
          <w:rtl/>
        </w:rPr>
      </w:pPr>
      <w:r>
        <w:rPr>
          <w:noProof/>
        </w:rPr>
        <w:drawing>
          <wp:inline distT="0" distB="0" distL="0" distR="0" wp14:anchorId="3FA2DA04" wp14:editId="15903E90">
            <wp:extent cx="3577718" cy="21600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9212" w:type="dxa"/>
        <w:tblInd w:w="108" w:type="dxa"/>
        <w:tblLayout w:type="fixed"/>
        <w:tblLook w:val="0000" w:firstRow="0" w:lastRow="0" w:firstColumn="0" w:lastColumn="0" w:noHBand="0" w:noVBand="0"/>
      </w:tblPr>
      <w:tblGrid>
        <w:gridCol w:w="2720"/>
        <w:gridCol w:w="3855"/>
        <w:gridCol w:w="1589"/>
        <w:gridCol w:w="1048"/>
      </w:tblGrid>
      <w:tr w:rsidR="00ED5D24" w:rsidRPr="00ED5D24" w14:paraId="57D21DBF" w14:textId="77777777" w:rsidTr="00ED5D24">
        <w:trPr>
          <w:cantSplit/>
          <w:trHeight w:val="334"/>
          <w:tblHeader/>
        </w:trPr>
        <w:tc>
          <w:tcPr>
            <w:tcW w:w="1476" w:type="pct"/>
            <w:shd w:val="clear" w:color="auto" w:fill="B8CCE4" w:themeFill="accent1" w:themeFillTint="66"/>
            <w:tcMar>
              <w:top w:w="85" w:type="dxa"/>
              <w:bottom w:w="85" w:type="dxa"/>
            </w:tcMar>
            <w:vAlign w:val="center"/>
          </w:tcPr>
          <w:p w14:paraId="7A39A302" w14:textId="77777777" w:rsidR="00ED5D24" w:rsidRPr="00ED5D24" w:rsidRDefault="00ED5D24" w:rsidP="00ED5D24">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النتائج المرتقبة</w:t>
            </w:r>
          </w:p>
        </w:tc>
        <w:tc>
          <w:tcPr>
            <w:tcW w:w="2092" w:type="pct"/>
            <w:shd w:val="clear" w:color="auto" w:fill="B8CCE4" w:themeFill="accent1" w:themeFillTint="66"/>
            <w:tcMar>
              <w:top w:w="85" w:type="dxa"/>
              <w:bottom w:w="85" w:type="dxa"/>
            </w:tcMar>
            <w:vAlign w:val="center"/>
          </w:tcPr>
          <w:p w14:paraId="102F73E6" w14:textId="77777777" w:rsidR="00ED5D24" w:rsidRPr="00ED5D24" w:rsidRDefault="00ED5D24" w:rsidP="00ED5D24">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مؤشرات الأداء</w:t>
            </w:r>
          </w:p>
        </w:tc>
        <w:tc>
          <w:tcPr>
            <w:tcW w:w="862" w:type="pct"/>
            <w:shd w:val="clear" w:color="auto" w:fill="B8CCE4" w:themeFill="accent1" w:themeFillTint="66"/>
            <w:tcMar>
              <w:top w:w="85" w:type="dxa"/>
              <w:bottom w:w="85" w:type="dxa"/>
            </w:tcMar>
            <w:vAlign w:val="center"/>
          </w:tcPr>
          <w:p w14:paraId="077DEEE3" w14:textId="77777777" w:rsidR="00ED5D24" w:rsidRPr="00ED5D24" w:rsidRDefault="00ED5D24" w:rsidP="00ED5D24">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البرامج المسؤولة</w:t>
            </w:r>
          </w:p>
        </w:tc>
        <w:tc>
          <w:tcPr>
            <w:tcW w:w="569" w:type="pct"/>
            <w:shd w:val="clear" w:color="auto" w:fill="B8CCE4" w:themeFill="accent1" w:themeFillTint="66"/>
            <w:vAlign w:val="center"/>
          </w:tcPr>
          <w:p w14:paraId="05423404" w14:textId="77777777" w:rsidR="00ED5D24" w:rsidRPr="00ED5D24" w:rsidRDefault="00ED5D24" w:rsidP="00ED5D24">
            <w:pPr>
              <w:bidi/>
              <w:spacing w:before="120" w:after="120" w:line="280" w:lineRule="exact"/>
              <w:ind w:left="85"/>
              <w:rPr>
                <w:rFonts w:ascii="Arabic Typesetting" w:eastAsia="Arabic Typesetting" w:hAnsi="Arabic Typesetting" w:cs="Arabic Typesetting"/>
                <w:bCs/>
                <w:sz w:val="28"/>
                <w:szCs w:val="28"/>
                <w:lang w:eastAsia="ar-EG" w:bidi="ar-EG"/>
              </w:rPr>
            </w:pPr>
            <w:r w:rsidRPr="00ED5D24">
              <w:rPr>
                <w:rFonts w:ascii="Arabic Typesetting" w:eastAsia="Arabic Typesetting" w:hAnsi="Arabic Typesetting" w:cs="Arabic Typesetting" w:hint="cs"/>
                <w:bCs/>
                <w:sz w:val="28"/>
                <w:szCs w:val="28"/>
                <w:rtl/>
                <w:lang w:eastAsia="ar-EG" w:bidi="ar-EG"/>
              </w:rPr>
              <w:t>السير</w:t>
            </w:r>
          </w:p>
        </w:tc>
      </w:tr>
      <w:tr w:rsidR="00ED5D24" w:rsidRPr="00ED5D24" w14:paraId="5063215E" w14:textId="77777777" w:rsidTr="00ED5D24">
        <w:trPr>
          <w:cantSplit/>
          <w:trHeight w:val="363"/>
        </w:trPr>
        <w:tc>
          <w:tcPr>
            <w:tcW w:w="1476" w:type="pct"/>
            <w:vMerge w:val="restart"/>
            <w:shd w:val="clear" w:color="auto" w:fill="auto"/>
            <w:tcMar>
              <w:top w:w="85" w:type="dxa"/>
              <w:bottom w:w="85" w:type="dxa"/>
            </w:tcMar>
          </w:tcPr>
          <w:p w14:paraId="32CC0D3E" w14:textId="289D6E73"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 xml:space="preserve">ه1.4 </w:t>
            </w:r>
            <w:r w:rsidR="007B1E0A">
              <w:rPr>
                <w:rFonts w:ascii="Arabic Typesetting" w:eastAsia="Arabic Typesetting" w:hAnsi="Arabic Typesetting" w:cs="Arabic Typesetting"/>
                <w:color w:val="000000"/>
                <w:sz w:val="28"/>
                <w:szCs w:val="28"/>
                <w:rtl/>
                <w:lang w:eastAsia="ar-EG" w:bidi="ar-EG"/>
              </w:rPr>
              <w:t>نظام محدّث ومقبول عالميا للتصنيفات الدولية ومعايير الويبو بهدف تيسير النفاذ إلى معلومات الملكية الفكرية واستخدامها ونشرها في صفوف أصحاب المصلحة في أنحاء العالم</w:t>
            </w:r>
          </w:p>
        </w:tc>
        <w:tc>
          <w:tcPr>
            <w:tcW w:w="2092" w:type="pct"/>
            <w:shd w:val="clear" w:color="auto" w:fill="auto"/>
            <w:tcMar>
              <w:top w:w="85" w:type="dxa"/>
              <w:bottom w:w="85" w:type="dxa"/>
            </w:tcMar>
          </w:tcPr>
          <w:p w14:paraId="5924C9BB"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التعديلات وملفات المعلومات التي أُدرجت في تصنيف نيس</w:t>
            </w:r>
          </w:p>
        </w:tc>
        <w:tc>
          <w:tcPr>
            <w:tcW w:w="862" w:type="pct"/>
            <w:shd w:val="clear" w:color="auto" w:fill="FFFFFF"/>
            <w:tcMar>
              <w:top w:w="85" w:type="dxa"/>
              <w:bottom w:w="85" w:type="dxa"/>
            </w:tcMar>
          </w:tcPr>
          <w:p w14:paraId="735BEC56"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12</w:t>
            </w:r>
          </w:p>
        </w:tc>
        <w:tc>
          <w:tcPr>
            <w:tcW w:w="569" w:type="pct"/>
            <w:shd w:val="clear" w:color="auto" w:fill="FFFFFF"/>
          </w:tcPr>
          <w:p w14:paraId="2886A48B" w14:textId="77777777" w:rsidR="00ED5D24" w:rsidRPr="00ED5D24" w:rsidRDefault="00ED5D24" w:rsidP="00ED5D24">
            <w:pPr>
              <w:bidi/>
              <w:spacing w:before="120" w:after="120" w:line="280" w:lineRule="exact"/>
              <w:ind w:left="167"/>
              <w:jc w:val="center"/>
              <w:rPr>
                <w:rFonts w:ascii="Arabic Typesetting" w:eastAsia="SimSun" w:hAnsi="Arabic Typesetting" w:cs="Arabic Typesetting"/>
                <w:color w:val="008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p>
        </w:tc>
      </w:tr>
      <w:tr w:rsidR="00ED5D24" w:rsidRPr="00ED5D24" w14:paraId="2AA887DD" w14:textId="77777777" w:rsidTr="00ED5D24">
        <w:trPr>
          <w:cantSplit/>
          <w:trHeight w:val="399"/>
        </w:trPr>
        <w:tc>
          <w:tcPr>
            <w:tcW w:w="1476" w:type="pct"/>
            <w:vMerge/>
            <w:shd w:val="clear" w:color="auto" w:fill="auto"/>
            <w:tcMar>
              <w:top w:w="85" w:type="dxa"/>
              <w:bottom w:w="85" w:type="dxa"/>
            </w:tcMar>
          </w:tcPr>
          <w:p w14:paraId="0603E7D2"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5EE12081"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التقسيمات الفرعية الجديدة التي أُدخلت في التصنيف الدولي للبراءات سنويا</w:t>
            </w:r>
          </w:p>
        </w:tc>
        <w:tc>
          <w:tcPr>
            <w:tcW w:w="862" w:type="pct"/>
            <w:shd w:val="clear" w:color="auto" w:fill="FFFFFF"/>
            <w:tcMar>
              <w:top w:w="85" w:type="dxa"/>
              <w:bottom w:w="85" w:type="dxa"/>
            </w:tcMar>
          </w:tcPr>
          <w:p w14:paraId="7DA8DE0F"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rPr>
            </w:pPr>
            <w:r w:rsidRPr="00ED5D24">
              <w:rPr>
                <w:rFonts w:ascii="Arabic Typesetting" w:eastAsia="SimSun" w:hAnsi="Arabic Typesetting" w:cs="Arabic Typesetting"/>
                <w:sz w:val="28"/>
                <w:szCs w:val="28"/>
                <w:rtl/>
                <w:lang w:eastAsia="zh-CN"/>
              </w:rPr>
              <w:t>البرنامج 12</w:t>
            </w:r>
          </w:p>
        </w:tc>
        <w:tc>
          <w:tcPr>
            <w:tcW w:w="569" w:type="pct"/>
            <w:shd w:val="clear" w:color="auto" w:fill="FFFFFF"/>
          </w:tcPr>
          <w:p w14:paraId="525BE68D" w14:textId="77777777" w:rsidR="00ED5D24" w:rsidRPr="00ED5D24" w:rsidRDefault="00ED5D24" w:rsidP="00ED5D24">
            <w:pPr>
              <w:bidi/>
              <w:spacing w:before="120" w:after="120" w:line="280" w:lineRule="exact"/>
              <w:ind w:left="167"/>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52866A50" w14:textId="77777777" w:rsidTr="00ED5D24">
        <w:trPr>
          <w:cantSplit/>
          <w:trHeight w:val="20"/>
        </w:trPr>
        <w:tc>
          <w:tcPr>
            <w:tcW w:w="1476" w:type="pct"/>
            <w:vMerge/>
            <w:shd w:val="clear" w:color="auto" w:fill="auto"/>
            <w:tcMar>
              <w:top w:w="85" w:type="dxa"/>
              <w:bottom w:w="85" w:type="dxa"/>
            </w:tcMar>
          </w:tcPr>
          <w:p w14:paraId="1E70FE8E"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6FE25C2F" w14:textId="77777777" w:rsidR="00ED5D24" w:rsidRPr="00ED5D24" w:rsidRDefault="00ED5D24" w:rsidP="00ED5D24">
            <w:pPr>
              <w:bidi/>
              <w:spacing w:before="120" w:after="120" w:line="280" w:lineRule="exact"/>
              <w:rPr>
                <w:rFonts w:ascii="Arabic Typesetting" w:eastAsia="SimSun" w:hAnsi="Arabic Typesetting" w:cs="Arabic Typesetting"/>
                <w:color w:val="000000"/>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المعايير المُعدَّلة والجديدة المعتمدة</w:t>
            </w:r>
          </w:p>
        </w:tc>
        <w:tc>
          <w:tcPr>
            <w:tcW w:w="862" w:type="pct"/>
            <w:shd w:val="clear" w:color="auto" w:fill="FFFFFF"/>
            <w:tcMar>
              <w:top w:w="85" w:type="dxa"/>
              <w:bottom w:w="85" w:type="dxa"/>
            </w:tcMar>
          </w:tcPr>
          <w:p w14:paraId="59F765AB"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12</w:t>
            </w:r>
          </w:p>
        </w:tc>
        <w:tc>
          <w:tcPr>
            <w:tcW w:w="569" w:type="pct"/>
            <w:shd w:val="clear" w:color="auto" w:fill="FFFFFF"/>
          </w:tcPr>
          <w:p w14:paraId="03042EDC" w14:textId="77777777" w:rsidR="00ED5D24" w:rsidRPr="00ED5D24" w:rsidRDefault="00ED5D24" w:rsidP="00ED5D24">
            <w:pPr>
              <w:bidi/>
              <w:spacing w:before="120" w:after="120" w:line="280" w:lineRule="exact"/>
              <w:ind w:left="167"/>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759B03DE" w14:textId="77777777" w:rsidTr="00ED5D24">
        <w:trPr>
          <w:cantSplit/>
          <w:trHeight w:val="299"/>
        </w:trPr>
        <w:tc>
          <w:tcPr>
            <w:tcW w:w="1476" w:type="pct"/>
            <w:vMerge/>
            <w:shd w:val="clear" w:color="auto" w:fill="auto"/>
            <w:tcMar>
              <w:top w:w="85" w:type="dxa"/>
              <w:bottom w:w="85" w:type="dxa"/>
            </w:tcMar>
          </w:tcPr>
          <w:p w14:paraId="09A96858"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4314A3F4"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المستخدمين القادرين على النفاذ إلى منشورات الإنترنت للتصنيفات والمعايير الدولية، ولا</w:t>
            </w:r>
            <w:r w:rsidRPr="00ED5D24">
              <w:rPr>
                <w:rFonts w:ascii="Arabic Typesetting" w:eastAsia="Arabic Typesetting" w:hAnsi="Arabic Typesetting" w:cs="Arabic Typesetting" w:hint="cs"/>
                <w:color w:val="000000"/>
                <w:sz w:val="28"/>
                <w:szCs w:val="28"/>
                <w:rtl/>
                <w:lang w:eastAsia="ar-EG" w:bidi="ar-EG"/>
              </w:rPr>
              <w:t> </w:t>
            </w:r>
            <w:r w:rsidRPr="00ED5D24">
              <w:rPr>
                <w:rFonts w:ascii="Arabic Typesetting" w:eastAsia="Arabic Typesetting" w:hAnsi="Arabic Typesetting" w:cs="Arabic Typesetting"/>
                <w:color w:val="000000"/>
                <w:sz w:val="28"/>
                <w:szCs w:val="28"/>
                <w:rtl/>
                <w:lang w:eastAsia="ar-EG" w:bidi="ar-EG"/>
              </w:rPr>
              <w:t>سيما من البلدان النامية</w:t>
            </w:r>
          </w:p>
        </w:tc>
        <w:tc>
          <w:tcPr>
            <w:tcW w:w="862" w:type="pct"/>
            <w:shd w:val="clear" w:color="auto" w:fill="FFFFFF"/>
            <w:tcMar>
              <w:top w:w="85" w:type="dxa"/>
              <w:bottom w:w="85" w:type="dxa"/>
            </w:tcMar>
          </w:tcPr>
          <w:p w14:paraId="09E29306"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rPr>
            </w:pPr>
            <w:r w:rsidRPr="00ED5D24">
              <w:rPr>
                <w:rFonts w:ascii="Arabic Typesetting" w:eastAsia="SimSun" w:hAnsi="Arabic Typesetting" w:cs="Arabic Typesetting"/>
                <w:sz w:val="28"/>
                <w:szCs w:val="28"/>
                <w:rtl/>
                <w:lang w:eastAsia="zh-CN"/>
              </w:rPr>
              <w:t>البرنامج 12</w:t>
            </w:r>
          </w:p>
        </w:tc>
        <w:tc>
          <w:tcPr>
            <w:tcW w:w="569" w:type="pct"/>
            <w:shd w:val="clear" w:color="auto" w:fill="FFFFFF"/>
          </w:tcPr>
          <w:p w14:paraId="542EF650" w14:textId="77777777" w:rsidR="00ED5D24" w:rsidRPr="00ED5D24" w:rsidRDefault="00ED5D24" w:rsidP="00ED5D24">
            <w:pPr>
              <w:bidi/>
              <w:spacing w:before="120" w:after="120" w:line="280" w:lineRule="exact"/>
              <w:ind w:left="167"/>
              <w:jc w:val="center"/>
              <w:rPr>
                <w:rFonts w:ascii="Arabic Typesetting" w:eastAsia="SimSun" w:hAnsi="Arabic Typesetting" w:cs="Arabic Typesetting"/>
                <w:color w:val="00B050"/>
                <w:sz w:val="28"/>
                <w:szCs w:val="28"/>
                <w:lang w:eastAsia="zh-CN"/>
              </w:rPr>
            </w:pPr>
            <w:r w:rsidRPr="00ED5D24">
              <w:rPr>
                <w:rFonts w:ascii="Arabic Typesetting" w:eastAsia="SimSun" w:hAnsi="Arabic Typesetting" w:cs="Arabic Typesetting"/>
                <w:color w:val="FF0000"/>
                <w:sz w:val="28"/>
                <w:szCs w:val="28"/>
                <w:lang w:eastAsia="zh-CN"/>
              </w:rPr>
              <w:sym w:font="Wingdings" w:char="F06C"/>
            </w:r>
            <w:r w:rsidRPr="00ED5D24">
              <w:rPr>
                <w:rFonts w:ascii="Arabic Typesetting" w:eastAsia="SimSun" w:hAnsi="Arabic Typesetting" w:cs="Arabic Typesetting"/>
                <w:color w:val="FF0000"/>
                <w:sz w:val="28"/>
                <w:szCs w:val="28"/>
                <w:lang w:eastAsia="zh-CN"/>
              </w:rPr>
              <w:sym w:font="Wingdings" w:char="F06C"/>
            </w:r>
            <w:r w:rsidRPr="00ED5D24">
              <w:rPr>
                <w:rFonts w:ascii="Arabic Typesetting" w:eastAsia="SimSun" w:hAnsi="Arabic Typesetting" w:cs="Arabic Typesetting"/>
                <w:color w:val="FF000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p>
          <w:p w14:paraId="28AC508D" w14:textId="77777777" w:rsidR="00ED5D24" w:rsidRPr="00ED5D24" w:rsidRDefault="00ED5D24" w:rsidP="00ED5D24">
            <w:pPr>
              <w:bidi/>
              <w:spacing w:before="120" w:after="120" w:line="280" w:lineRule="exact"/>
              <w:ind w:left="167"/>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FF000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FF0000"/>
                <w:sz w:val="28"/>
                <w:szCs w:val="28"/>
                <w:lang w:eastAsia="zh-CN"/>
              </w:rPr>
              <w:sym w:font="Wingdings" w:char="F06C"/>
            </w:r>
          </w:p>
        </w:tc>
      </w:tr>
      <w:tr w:rsidR="00ED5D24" w:rsidRPr="00ED5D24" w14:paraId="088BDBCD" w14:textId="77777777" w:rsidTr="00ED5D24">
        <w:trPr>
          <w:cantSplit/>
          <w:trHeight w:val="118"/>
        </w:trPr>
        <w:tc>
          <w:tcPr>
            <w:tcW w:w="1476" w:type="pct"/>
            <w:vMerge w:val="restart"/>
            <w:shd w:val="clear" w:color="auto" w:fill="auto"/>
            <w:tcMar>
              <w:top w:w="85" w:type="dxa"/>
              <w:bottom w:w="85" w:type="dxa"/>
            </w:tcMar>
          </w:tcPr>
          <w:p w14:paraId="56F042E6" w14:textId="5CBC2CEC" w:rsidR="00ED5D24" w:rsidRPr="00ED5D24" w:rsidRDefault="00ED5D24" w:rsidP="00ED5D24">
            <w:pPr>
              <w:keepNext/>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lastRenderedPageBreak/>
              <w:t xml:space="preserve">ھ2.4 </w:t>
            </w:r>
            <w:r w:rsidR="007B1E0A">
              <w:rPr>
                <w:rFonts w:ascii="Arabic Typesetting" w:eastAsia="Arabic Typesetting" w:hAnsi="Arabic Typesetting" w:cs="Arabic Typesetting"/>
                <w:color w:val="000000"/>
                <w:sz w:val="28"/>
                <w:szCs w:val="28"/>
                <w:rtl/>
                <w:lang w:eastAsia="ar-EG" w:bidi="ar-EG"/>
              </w:rPr>
              <w:t>نفاذ محسّن إلى المعلومات المتعلقة بالملكية الفكرية واستخدامها من قبل مؤسسات الملكية الفكرية والجمهور لتشجيع الابتكار والإبداع</w:t>
            </w:r>
          </w:p>
        </w:tc>
        <w:tc>
          <w:tcPr>
            <w:tcW w:w="2092" w:type="pct"/>
            <w:shd w:val="clear" w:color="auto" w:fill="auto"/>
            <w:tcMar>
              <w:top w:w="85" w:type="dxa"/>
              <w:bottom w:w="85" w:type="dxa"/>
            </w:tcMar>
          </w:tcPr>
          <w:p w14:paraId="5A4356EE" w14:textId="77777777" w:rsidR="00ED5D24" w:rsidRPr="00ED5D24" w:rsidRDefault="00ED5D24" w:rsidP="00ED5D24">
            <w:pPr>
              <w:keepNext/>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الأعضاء المؤسسين لاتحاد</w:t>
            </w:r>
            <w:r w:rsidRPr="00ED5D24">
              <w:rPr>
                <w:rFonts w:ascii="Arabic Typesetting" w:eastAsia="Arabic Typesetting" w:hAnsi="Arabic Typesetting" w:cs="Arabic Typesetting" w:hint="cs"/>
                <w:color w:val="000000"/>
                <w:sz w:val="28"/>
                <w:szCs w:val="28"/>
                <w:rtl/>
                <w:lang w:eastAsia="ar-EG" w:bidi="ar-EG"/>
              </w:rPr>
              <w:t> </w:t>
            </w:r>
            <w:r w:rsidRPr="00ED5D24">
              <w:rPr>
                <w:rFonts w:ascii="Arabic Typesetting" w:eastAsia="Arabic Typesetting" w:hAnsi="Arabic Typesetting" w:cs="Arabic Typesetting"/>
                <w:color w:val="000000"/>
                <w:sz w:val="28"/>
                <w:szCs w:val="28"/>
                <w:rtl/>
                <w:lang w:eastAsia="ar-EG" w:bidi="ar-EG"/>
              </w:rPr>
              <w:t>الكتب المُيسَّرة</w:t>
            </w:r>
          </w:p>
        </w:tc>
        <w:tc>
          <w:tcPr>
            <w:tcW w:w="862" w:type="pct"/>
            <w:shd w:val="clear" w:color="auto" w:fill="FFFFFF"/>
            <w:tcMar>
              <w:top w:w="85" w:type="dxa"/>
              <w:bottom w:w="85" w:type="dxa"/>
            </w:tcMar>
          </w:tcPr>
          <w:p w14:paraId="646ADF72" w14:textId="77777777" w:rsidR="00ED5D24" w:rsidRPr="00ED5D24" w:rsidRDefault="00ED5D24" w:rsidP="00ED5D24">
            <w:pPr>
              <w:keepNext/>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3</w:t>
            </w:r>
          </w:p>
        </w:tc>
        <w:tc>
          <w:tcPr>
            <w:tcW w:w="569" w:type="pct"/>
            <w:shd w:val="clear" w:color="auto" w:fill="FFFFFF"/>
          </w:tcPr>
          <w:p w14:paraId="730B0355" w14:textId="77777777" w:rsidR="00ED5D24" w:rsidRPr="00ED5D24" w:rsidRDefault="00ED5D24" w:rsidP="00ED5D24">
            <w:pPr>
              <w:keepNext/>
              <w:bidi/>
              <w:spacing w:before="120" w:after="120" w:line="280" w:lineRule="exact"/>
              <w:ind w:left="167"/>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12F9A3D0" w14:textId="77777777" w:rsidTr="00ED5D24">
        <w:trPr>
          <w:cantSplit/>
          <w:trHeight w:val="20"/>
        </w:trPr>
        <w:tc>
          <w:tcPr>
            <w:tcW w:w="1476" w:type="pct"/>
            <w:vMerge/>
            <w:shd w:val="clear" w:color="auto" w:fill="auto"/>
            <w:tcMar>
              <w:top w:w="85" w:type="dxa"/>
              <w:bottom w:w="85" w:type="dxa"/>
            </w:tcMar>
          </w:tcPr>
          <w:p w14:paraId="787C0DFA" w14:textId="77777777" w:rsidR="00ED5D24" w:rsidRPr="00ED5D24" w:rsidRDefault="00ED5D24" w:rsidP="00ED5D24">
            <w:pPr>
              <w:keepNext/>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4A312D1A" w14:textId="77777777" w:rsidR="00ED5D24" w:rsidRPr="00ED5D24" w:rsidRDefault="00ED5D24" w:rsidP="00ED5D24">
            <w:pPr>
              <w:keepNext/>
              <w:bidi/>
              <w:spacing w:before="120" w:after="120" w:line="280" w:lineRule="exact"/>
              <w:rPr>
                <w:rFonts w:ascii="Arabic Typesetting" w:eastAsia="SimSun" w:hAnsi="Arabic Typesetting" w:cs="Arabic Typesetting"/>
                <w:color w:val="000000"/>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الجهات المانحة</w:t>
            </w:r>
          </w:p>
        </w:tc>
        <w:tc>
          <w:tcPr>
            <w:tcW w:w="862" w:type="pct"/>
            <w:shd w:val="clear" w:color="auto" w:fill="FFFFFF"/>
            <w:tcMar>
              <w:top w:w="85" w:type="dxa"/>
              <w:bottom w:w="85" w:type="dxa"/>
            </w:tcMar>
          </w:tcPr>
          <w:p w14:paraId="5B9C0CE5" w14:textId="77777777" w:rsidR="00ED5D24" w:rsidRPr="00ED5D24" w:rsidRDefault="00ED5D24" w:rsidP="00ED5D24">
            <w:pPr>
              <w:keepNext/>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3</w:t>
            </w:r>
          </w:p>
        </w:tc>
        <w:tc>
          <w:tcPr>
            <w:tcW w:w="569" w:type="pct"/>
            <w:shd w:val="clear" w:color="auto" w:fill="FFFFFF"/>
          </w:tcPr>
          <w:p w14:paraId="0CA78DDA" w14:textId="77777777" w:rsidR="00ED5D24" w:rsidRPr="00ED5D24" w:rsidRDefault="00ED5D24" w:rsidP="00ED5D24">
            <w:pPr>
              <w:keepNext/>
              <w:bidi/>
              <w:spacing w:before="120" w:after="120" w:line="280" w:lineRule="exact"/>
              <w:ind w:left="167"/>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4D6E0615" w14:textId="77777777" w:rsidTr="00ED5D24">
        <w:trPr>
          <w:cantSplit/>
          <w:trHeight w:val="620"/>
        </w:trPr>
        <w:tc>
          <w:tcPr>
            <w:tcW w:w="1476" w:type="pct"/>
            <w:vMerge/>
            <w:shd w:val="clear" w:color="auto" w:fill="auto"/>
            <w:tcMar>
              <w:top w:w="85" w:type="dxa"/>
              <w:bottom w:w="85" w:type="dxa"/>
            </w:tcMar>
          </w:tcPr>
          <w:p w14:paraId="0E0E1E35" w14:textId="77777777" w:rsidR="00ED5D24" w:rsidRPr="00ED5D24" w:rsidRDefault="00ED5D24" w:rsidP="00ED5D24">
            <w:pPr>
              <w:keepNext/>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4EA9A135" w14:textId="77777777" w:rsidR="00ED5D24" w:rsidRPr="00ED5D24" w:rsidRDefault="00ED5D24" w:rsidP="00ED5D24">
            <w:pPr>
              <w:keepNext/>
              <w:bidi/>
              <w:spacing w:before="120" w:after="120" w:line="280" w:lineRule="exact"/>
              <w:rPr>
                <w:rFonts w:ascii="Arabic Typesetting" w:eastAsia="SimSun" w:hAnsi="Arabic Typesetting" w:cs="Arabic Typesetting"/>
                <w:color w:val="000000"/>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الصكوك القانونية والمبادئ التوجيهية وبيانات المبادئ بخلاف الصكوك الملزمة بمشاركة أصحاب المصالح المعنيين في مجالات مثل معاهدات حق المؤلف الجديدة وحق المؤلف في</w:t>
            </w:r>
            <w:r w:rsidRPr="00ED5D24">
              <w:rPr>
                <w:rFonts w:ascii="Arabic Typesetting" w:eastAsia="Arabic Typesetting" w:hAnsi="Arabic Typesetting" w:cs="Arabic Typesetting" w:hint="cs"/>
                <w:color w:val="000000"/>
                <w:sz w:val="28"/>
                <w:szCs w:val="28"/>
                <w:rtl/>
                <w:lang w:eastAsia="ar-EG" w:bidi="ar-EG"/>
              </w:rPr>
              <w:t> </w:t>
            </w:r>
            <w:r w:rsidRPr="00ED5D24">
              <w:rPr>
                <w:rFonts w:ascii="Arabic Typesetting" w:eastAsia="Arabic Typesetting" w:hAnsi="Arabic Typesetting" w:cs="Arabic Typesetting"/>
                <w:color w:val="000000"/>
                <w:sz w:val="28"/>
                <w:szCs w:val="28"/>
                <w:rtl/>
                <w:lang w:eastAsia="ar-EG" w:bidi="ar-EG"/>
              </w:rPr>
              <w:t>البيئة الرقمية</w:t>
            </w:r>
          </w:p>
        </w:tc>
        <w:tc>
          <w:tcPr>
            <w:tcW w:w="862" w:type="pct"/>
            <w:shd w:val="clear" w:color="auto" w:fill="FFFFFF"/>
            <w:tcMar>
              <w:top w:w="85" w:type="dxa"/>
              <w:bottom w:w="85" w:type="dxa"/>
            </w:tcMar>
          </w:tcPr>
          <w:p w14:paraId="5C9A52CE" w14:textId="77777777" w:rsidR="00ED5D24" w:rsidRPr="00ED5D24" w:rsidRDefault="00ED5D24" w:rsidP="00ED5D24">
            <w:pPr>
              <w:keepNext/>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3</w:t>
            </w:r>
          </w:p>
        </w:tc>
        <w:tc>
          <w:tcPr>
            <w:tcW w:w="569" w:type="pct"/>
            <w:shd w:val="clear" w:color="auto" w:fill="FFFFFF"/>
          </w:tcPr>
          <w:p w14:paraId="27679FE6" w14:textId="77777777" w:rsidR="00ED5D24" w:rsidRPr="00ED5D24" w:rsidRDefault="00ED5D24" w:rsidP="00ED5D24">
            <w:pPr>
              <w:keepNext/>
              <w:bidi/>
              <w:spacing w:before="120" w:after="120" w:line="280" w:lineRule="exact"/>
              <w:ind w:left="167"/>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4116930F" w14:textId="77777777" w:rsidTr="00ED5D24">
        <w:trPr>
          <w:cantSplit/>
          <w:trHeight w:val="492"/>
        </w:trPr>
        <w:tc>
          <w:tcPr>
            <w:tcW w:w="1476" w:type="pct"/>
            <w:shd w:val="clear" w:color="auto" w:fill="auto"/>
            <w:tcMar>
              <w:top w:w="85" w:type="dxa"/>
              <w:bottom w:w="85" w:type="dxa"/>
            </w:tcMar>
          </w:tcPr>
          <w:p w14:paraId="10EC3111"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5023200F" w14:textId="77777777" w:rsidR="00ED5D24" w:rsidRPr="00ED5D24" w:rsidRDefault="00ED5D24" w:rsidP="00ED5D24">
            <w:pPr>
              <w:bidi/>
              <w:spacing w:before="120" w:after="120" w:line="280" w:lineRule="exact"/>
              <w:rPr>
                <w:rFonts w:ascii="Arabic Typesetting" w:eastAsia="SimSun" w:hAnsi="Arabic Typesetting" w:cs="Arabic Typesetting"/>
                <w:color w:val="00B050"/>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شبكات مراكز دعم التكنولوجيا والابتكار الوطنية المستدامة</w:t>
            </w:r>
            <w:r w:rsidRPr="00ED5D24">
              <w:rPr>
                <w:rFonts w:ascii="Arabic Typesetting" w:eastAsia="Arabic Typesetting" w:hAnsi="Arabic Typesetting" w:cs="Arabic Typesetting"/>
                <w:color w:val="000000"/>
                <w:sz w:val="28"/>
                <w:szCs w:val="28"/>
                <w:vertAlign w:val="superscript"/>
                <w:lang w:eastAsia="ar-EG" w:bidi="ar-EG"/>
              </w:rPr>
              <w:footnoteReference w:id="58"/>
            </w:r>
            <w:r w:rsidRPr="00ED5D24">
              <w:rPr>
                <w:rFonts w:ascii="Arabic Typesetting" w:eastAsia="Arabic Typesetting" w:hAnsi="Arabic Typesetting" w:cs="Arabic Typesetting"/>
                <w:color w:val="000000"/>
                <w:sz w:val="28"/>
                <w:szCs w:val="28"/>
                <w:rtl/>
                <w:lang w:eastAsia="ar-EG" w:bidi="ar-EG"/>
              </w:rPr>
              <w:t xml:space="preserve"> (العدد التراكمي)</w:t>
            </w:r>
          </w:p>
        </w:tc>
        <w:tc>
          <w:tcPr>
            <w:tcW w:w="862" w:type="pct"/>
            <w:shd w:val="clear" w:color="auto" w:fill="FFFFFF"/>
            <w:tcMar>
              <w:top w:w="85" w:type="dxa"/>
              <w:bottom w:w="85" w:type="dxa"/>
            </w:tcMar>
          </w:tcPr>
          <w:p w14:paraId="6E91B2D8"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9</w:t>
            </w:r>
          </w:p>
          <w:p w14:paraId="6686E8AD"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14</w:t>
            </w:r>
          </w:p>
          <w:p w14:paraId="60991760"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000000"/>
                <w:sz w:val="28"/>
                <w:szCs w:val="28"/>
                <w:lang w:eastAsia="zh-CN" w:bidi="th-TH"/>
              </w:rPr>
            </w:pPr>
            <w:r w:rsidRPr="00ED5D24">
              <w:rPr>
                <w:rFonts w:ascii="Arabic Typesetting" w:eastAsia="SimSun" w:hAnsi="Arabic Typesetting" w:cs="Arabic Typesetting"/>
                <w:sz w:val="28"/>
                <w:szCs w:val="28"/>
                <w:rtl/>
                <w:lang w:eastAsia="zh-CN"/>
              </w:rPr>
              <w:t>البرنامج 20</w:t>
            </w:r>
          </w:p>
        </w:tc>
        <w:tc>
          <w:tcPr>
            <w:tcW w:w="569" w:type="pct"/>
            <w:shd w:val="clear" w:color="auto" w:fill="FFFFFF"/>
          </w:tcPr>
          <w:p w14:paraId="6C22B89B"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00B05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p w14:paraId="0B110062"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00B05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p w14:paraId="26485CA3"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00B05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49D067EA" w14:textId="77777777" w:rsidTr="00ED5D24">
        <w:trPr>
          <w:cantSplit/>
          <w:trHeight w:val="762"/>
        </w:trPr>
        <w:tc>
          <w:tcPr>
            <w:tcW w:w="1476" w:type="pct"/>
            <w:shd w:val="clear" w:color="auto" w:fill="auto"/>
            <w:tcMar>
              <w:top w:w="85" w:type="dxa"/>
              <w:bottom w:w="85" w:type="dxa"/>
            </w:tcMar>
          </w:tcPr>
          <w:p w14:paraId="1A1488FC"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20D7D98E" w14:textId="77777777" w:rsidR="00ED5D24" w:rsidRPr="00ED5D24" w:rsidRDefault="00ED5D24" w:rsidP="00ED5D24">
            <w:pPr>
              <w:bidi/>
              <w:spacing w:before="120" w:after="120" w:line="280" w:lineRule="exact"/>
              <w:rPr>
                <w:rFonts w:ascii="Arabic Typesetting" w:eastAsia="SimSun" w:hAnsi="Arabic Typesetting" w:cs="Arabic Typesetting"/>
                <w:sz w:val="28"/>
                <w:szCs w:val="28"/>
                <w:highlight w:val="yellow"/>
                <w:lang w:eastAsia="zh-CN"/>
              </w:rPr>
            </w:pPr>
            <w:r w:rsidRPr="00ED5D24">
              <w:rPr>
                <w:rFonts w:ascii="Arabic Typesetting" w:eastAsia="Arabic Typesetting" w:hAnsi="Arabic Typesetting" w:cs="Arabic Typesetting"/>
                <w:color w:val="000000"/>
                <w:sz w:val="28"/>
                <w:szCs w:val="28"/>
                <w:rtl/>
                <w:lang w:eastAsia="ar-EG" w:bidi="ar-EG"/>
              </w:rPr>
              <w:t>عدد المنظمات والمجتمعات والأفراد الذين طبقوا التكنولوجيا الملائمة واستخدموها كحل للتحديات الإنمائية المحددة في البلدان الأقل نموا</w:t>
            </w:r>
          </w:p>
        </w:tc>
        <w:tc>
          <w:tcPr>
            <w:tcW w:w="862" w:type="pct"/>
            <w:shd w:val="clear" w:color="auto" w:fill="FFFFFF"/>
            <w:tcMar>
              <w:top w:w="85" w:type="dxa"/>
              <w:bottom w:w="85" w:type="dxa"/>
            </w:tcMar>
          </w:tcPr>
          <w:p w14:paraId="13C1E44C"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highlight w:val="yellow"/>
                <w:lang w:eastAsia="zh-CN" w:bidi="th-TH"/>
              </w:rPr>
            </w:pPr>
            <w:r w:rsidRPr="00ED5D24">
              <w:rPr>
                <w:rFonts w:ascii="Arabic Typesetting" w:eastAsia="SimSun" w:hAnsi="Arabic Typesetting" w:cs="Arabic Typesetting"/>
                <w:sz w:val="28"/>
                <w:szCs w:val="28"/>
                <w:rtl/>
                <w:lang w:eastAsia="zh-CN"/>
              </w:rPr>
              <w:t>البرنامج 9</w:t>
            </w:r>
          </w:p>
        </w:tc>
        <w:tc>
          <w:tcPr>
            <w:tcW w:w="569" w:type="pct"/>
            <w:shd w:val="clear" w:color="auto" w:fill="FFFFFF"/>
          </w:tcPr>
          <w:p w14:paraId="105FE492"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0A938FF6" w14:textId="77777777" w:rsidTr="00ED5D24">
        <w:trPr>
          <w:cantSplit/>
          <w:trHeight w:val="762"/>
        </w:trPr>
        <w:tc>
          <w:tcPr>
            <w:tcW w:w="1476" w:type="pct"/>
            <w:shd w:val="clear" w:color="auto" w:fill="auto"/>
            <w:tcMar>
              <w:top w:w="85" w:type="dxa"/>
              <w:bottom w:w="85" w:type="dxa"/>
            </w:tcMar>
          </w:tcPr>
          <w:p w14:paraId="5B2F62A9"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43E8C164" w14:textId="77777777" w:rsidR="00ED5D24" w:rsidRPr="00ED5D24" w:rsidRDefault="00ED5D24" w:rsidP="00ED5D24">
            <w:pPr>
              <w:bidi/>
              <w:spacing w:before="120" w:after="120" w:line="280" w:lineRule="exact"/>
              <w:rPr>
                <w:rFonts w:ascii="Arabic Typesetting" w:eastAsia="SimSun" w:hAnsi="Arabic Typesetting" w:cs="Arabic Typesetting"/>
                <w:color w:val="000000"/>
                <w:sz w:val="28"/>
                <w:szCs w:val="28"/>
                <w:lang w:eastAsia="zh-CN"/>
              </w:rPr>
            </w:pPr>
            <w:r w:rsidRPr="00ED5D24">
              <w:rPr>
                <w:rFonts w:ascii="Arabic Typesetting" w:eastAsia="Arabic Typesetting" w:hAnsi="Arabic Typesetting" w:cs="Arabic Typesetting"/>
                <w:color w:val="000000"/>
                <w:sz w:val="28"/>
                <w:szCs w:val="28"/>
                <w:rtl/>
                <w:lang w:eastAsia="ar-EG" w:bidi="ar-EG"/>
              </w:rPr>
              <w:t>استخدام التكنولوجيا الملائمة في سبيل التنمية من خلال البحوث في البراءات وتقاريرها والتقارير عن واقع التكنولوجيا والخطط المؤسسية (عدد الخبراء ومجموعات الخبراء الوطنيين في البلدان الأقل نموا)</w:t>
            </w:r>
          </w:p>
        </w:tc>
        <w:tc>
          <w:tcPr>
            <w:tcW w:w="862" w:type="pct"/>
            <w:shd w:val="clear" w:color="auto" w:fill="FFFFFF"/>
            <w:tcMar>
              <w:top w:w="85" w:type="dxa"/>
              <w:bottom w:w="85" w:type="dxa"/>
            </w:tcMar>
          </w:tcPr>
          <w:p w14:paraId="534FE48E"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9</w:t>
            </w:r>
          </w:p>
        </w:tc>
        <w:tc>
          <w:tcPr>
            <w:tcW w:w="569" w:type="pct"/>
            <w:shd w:val="clear" w:color="auto" w:fill="FFFFFF"/>
          </w:tcPr>
          <w:p w14:paraId="3B000383"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2718ACEE" w14:textId="77777777" w:rsidTr="00ED5D24">
        <w:trPr>
          <w:cantSplit/>
          <w:trHeight w:val="167"/>
        </w:trPr>
        <w:tc>
          <w:tcPr>
            <w:tcW w:w="1476" w:type="pct"/>
            <w:shd w:val="clear" w:color="auto" w:fill="auto"/>
            <w:tcMar>
              <w:top w:w="85" w:type="dxa"/>
              <w:bottom w:w="85" w:type="dxa"/>
            </w:tcMar>
          </w:tcPr>
          <w:p w14:paraId="5A067BE6"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45CC14D9" w14:textId="77777777" w:rsidR="00ED5D24" w:rsidRPr="00ED5D24" w:rsidRDefault="00ED5D24" w:rsidP="00ED5D24">
            <w:pPr>
              <w:bidi/>
              <w:spacing w:before="120" w:after="120" w:line="280" w:lineRule="exact"/>
              <w:rPr>
                <w:rFonts w:ascii="Arabic Typesetting" w:eastAsia="SimSun" w:hAnsi="Arabic Typesetting" w:cs="Arabic Typesetting"/>
                <w:color w:val="000000"/>
                <w:sz w:val="28"/>
                <w:szCs w:val="28"/>
                <w:lang w:eastAsia="zh-CN"/>
              </w:rPr>
            </w:pPr>
            <w:r w:rsidRPr="00ED5D24">
              <w:rPr>
                <w:rFonts w:ascii="Arabic Typesetting" w:eastAsia="Arabic Typesetting" w:hAnsi="Arabic Typesetting" w:cs="Arabic Typesetting"/>
                <w:color w:val="000000"/>
                <w:sz w:val="28"/>
                <w:szCs w:val="28"/>
                <w:rtl/>
                <w:lang w:eastAsia="ar-EG" w:bidi="ar-EG"/>
              </w:rPr>
              <w:t>التكنولوجيا الملائمة المحددة والمسوقة في البلدان الأقل نموا</w:t>
            </w:r>
          </w:p>
        </w:tc>
        <w:tc>
          <w:tcPr>
            <w:tcW w:w="862" w:type="pct"/>
            <w:shd w:val="clear" w:color="auto" w:fill="FFFFFF"/>
            <w:tcMar>
              <w:top w:w="85" w:type="dxa"/>
              <w:bottom w:w="85" w:type="dxa"/>
            </w:tcMar>
          </w:tcPr>
          <w:p w14:paraId="4148B10F"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9</w:t>
            </w:r>
          </w:p>
        </w:tc>
        <w:tc>
          <w:tcPr>
            <w:tcW w:w="569" w:type="pct"/>
            <w:shd w:val="clear" w:color="auto" w:fill="FFFFFF"/>
          </w:tcPr>
          <w:p w14:paraId="1CBD5954"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3B20B4A4" w14:textId="77777777" w:rsidTr="00ED5D24">
        <w:trPr>
          <w:cantSplit/>
          <w:trHeight w:val="62"/>
        </w:trPr>
        <w:tc>
          <w:tcPr>
            <w:tcW w:w="1476" w:type="pct"/>
            <w:shd w:val="clear" w:color="auto" w:fill="auto"/>
            <w:tcMar>
              <w:top w:w="85" w:type="dxa"/>
              <w:bottom w:w="85" w:type="dxa"/>
            </w:tcMar>
          </w:tcPr>
          <w:p w14:paraId="78AEEFE3"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6A35D7F7" w14:textId="77777777" w:rsidR="00ED5D24" w:rsidRPr="00ED5D24" w:rsidRDefault="00ED5D24" w:rsidP="00ED5D24">
            <w:pPr>
              <w:bidi/>
              <w:spacing w:before="120" w:after="120" w:line="280" w:lineRule="exact"/>
              <w:rPr>
                <w:rFonts w:ascii="Arabic Typesetting" w:eastAsia="SimSun" w:hAnsi="Arabic Typesetting" w:cs="Arabic Typesetting"/>
                <w:color w:val="000000"/>
                <w:sz w:val="28"/>
                <w:szCs w:val="28"/>
                <w:lang w:eastAsia="zh-CN"/>
              </w:rPr>
            </w:pPr>
            <w:r w:rsidRPr="00ED5D24">
              <w:rPr>
                <w:rFonts w:ascii="Arabic Typesetting" w:eastAsia="Arabic Typesetting" w:hAnsi="Arabic Typesetting" w:cs="Arabic Typesetting"/>
                <w:color w:val="000000"/>
                <w:sz w:val="28"/>
                <w:szCs w:val="28"/>
                <w:rtl/>
                <w:lang w:eastAsia="ar-EG" w:bidi="ar-EG"/>
              </w:rPr>
              <w:t>المشروعات المكررة في مناطق أخرى من البلدان الأقل نمواً</w:t>
            </w:r>
          </w:p>
        </w:tc>
        <w:tc>
          <w:tcPr>
            <w:tcW w:w="862" w:type="pct"/>
            <w:shd w:val="clear" w:color="auto" w:fill="FFFFFF"/>
            <w:tcMar>
              <w:top w:w="85" w:type="dxa"/>
              <w:bottom w:w="85" w:type="dxa"/>
            </w:tcMar>
          </w:tcPr>
          <w:p w14:paraId="2EAB0C5A"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9</w:t>
            </w:r>
          </w:p>
        </w:tc>
        <w:tc>
          <w:tcPr>
            <w:tcW w:w="569" w:type="pct"/>
            <w:shd w:val="clear" w:color="auto" w:fill="FFFFFF"/>
          </w:tcPr>
          <w:p w14:paraId="7305A891"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FF0000"/>
                <w:sz w:val="28"/>
                <w:szCs w:val="28"/>
                <w:lang w:eastAsia="zh-CN"/>
              </w:rPr>
              <w:sym w:font="Wingdings" w:char="F06C"/>
            </w:r>
          </w:p>
        </w:tc>
      </w:tr>
      <w:tr w:rsidR="00ED5D24" w:rsidRPr="00ED5D24" w14:paraId="0A76CA74" w14:textId="77777777" w:rsidTr="00ED5D24">
        <w:trPr>
          <w:cantSplit/>
          <w:trHeight w:val="338"/>
        </w:trPr>
        <w:tc>
          <w:tcPr>
            <w:tcW w:w="1476" w:type="pct"/>
            <w:shd w:val="clear" w:color="auto" w:fill="auto"/>
            <w:tcMar>
              <w:top w:w="85" w:type="dxa"/>
              <w:bottom w:w="85" w:type="dxa"/>
            </w:tcMar>
          </w:tcPr>
          <w:p w14:paraId="70BEDC0E"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650CF52D" w14:textId="77777777" w:rsidR="00ED5D24" w:rsidRPr="00ED5D24" w:rsidRDefault="00ED5D24" w:rsidP="00ED5D24">
            <w:pPr>
              <w:bidi/>
              <w:spacing w:before="120" w:after="120" w:line="280" w:lineRule="exact"/>
              <w:rPr>
                <w:rFonts w:ascii="Arabic Typesetting" w:eastAsia="Arabic Typesetting" w:hAnsi="Arabic Typesetting" w:cs="Arabic Typesetting"/>
                <w:color w:val="000000"/>
                <w:sz w:val="28"/>
                <w:szCs w:val="28"/>
                <w:lang w:eastAsia="ar-EG" w:bidi="ar-EG"/>
              </w:rPr>
            </w:pPr>
            <w:r w:rsidRPr="00ED5D24">
              <w:rPr>
                <w:rFonts w:ascii="Arabic Typesetting" w:eastAsia="Arabic Typesetting" w:hAnsi="Arabic Typesetting" w:cs="Arabic Typesetting"/>
                <w:color w:val="000000"/>
                <w:sz w:val="28"/>
                <w:szCs w:val="28"/>
                <w:rtl/>
                <w:lang w:eastAsia="ar-EG" w:bidi="ar-EG"/>
              </w:rPr>
              <w:t>المؤسسات المنشأة لمواصلة العمل على التكنولوجيا الملائمة في البلدان الأقل نمواً</w:t>
            </w:r>
          </w:p>
        </w:tc>
        <w:tc>
          <w:tcPr>
            <w:tcW w:w="862" w:type="pct"/>
            <w:shd w:val="clear" w:color="auto" w:fill="FFFFFF"/>
            <w:tcMar>
              <w:top w:w="85" w:type="dxa"/>
              <w:bottom w:w="85" w:type="dxa"/>
            </w:tcMar>
          </w:tcPr>
          <w:p w14:paraId="3D26B55C"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9</w:t>
            </w:r>
          </w:p>
        </w:tc>
        <w:tc>
          <w:tcPr>
            <w:tcW w:w="569" w:type="pct"/>
            <w:shd w:val="clear" w:color="auto" w:fill="FFFFFF"/>
          </w:tcPr>
          <w:p w14:paraId="1108677C"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4E668981" w14:textId="77777777" w:rsidTr="00ED5D24">
        <w:trPr>
          <w:cantSplit/>
          <w:trHeight w:val="388"/>
        </w:trPr>
        <w:tc>
          <w:tcPr>
            <w:tcW w:w="1476" w:type="pct"/>
            <w:shd w:val="clear" w:color="auto" w:fill="auto"/>
            <w:tcMar>
              <w:top w:w="85" w:type="dxa"/>
              <w:bottom w:w="85" w:type="dxa"/>
            </w:tcMar>
          </w:tcPr>
          <w:p w14:paraId="0A4185C8"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0EB601A2" w14:textId="77777777" w:rsidR="00ED5D24" w:rsidRPr="00ED5D24" w:rsidRDefault="00ED5D24" w:rsidP="00ED5D24">
            <w:pPr>
              <w:bidi/>
              <w:spacing w:before="120" w:after="120" w:line="280" w:lineRule="exact"/>
              <w:rPr>
                <w:rFonts w:ascii="Arabic Typesetting" w:eastAsia="Arabic Typesetting" w:hAnsi="Arabic Typesetting" w:cs="Arabic Typesetting"/>
                <w:color w:val="000000"/>
                <w:sz w:val="28"/>
                <w:szCs w:val="28"/>
                <w:lang w:eastAsia="ar-EG" w:bidi="ar-EG"/>
              </w:rPr>
            </w:pPr>
            <w:r w:rsidRPr="00ED5D24">
              <w:rPr>
                <w:rFonts w:ascii="Arabic Typesetting" w:eastAsia="Arabic Typesetting" w:hAnsi="Arabic Typesetting" w:cs="Arabic Typesetting"/>
                <w:color w:val="000000"/>
                <w:sz w:val="28"/>
                <w:szCs w:val="28"/>
                <w:rtl/>
                <w:lang w:eastAsia="ar-EG" w:bidi="ar-EG"/>
              </w:rPr>
              <w:t>مواصلة برامج تكوين الكفاءات التكنولوجية الوطنية بشأن التكنولوجيا الملائمة وتوسيع نطاقها في البلدان الأقل نمواً</w:t>
            </w:r>
          </w:p>
        </w:tc>
        <w:tc>
          <w:tcPr>
            <w:tcW w:w="862" w:type="pct"/>
            <w:shd w:val="clear" w:color="auto" w:fill="FFFFFF"/>
            <w:tcMar>
              <w:top w:w="85" w:type="dxa"/>
              <w:bottom w:w="85" w:type="dxa"/>
            </w:tcMar>
          </w:tcPr>
          <w:p w14:paraId="77694B43"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9</w:t>
            </w:r>
          </w:p>
        </w:tc>
        <w:tc>
          <w:tcPr>
            <w:tcW w:w="569" w:type="pct"/>
            <w:shd w:val="clear" w:color="auto" w:fill="FFFFFF"/>
          </w:tcPr>
          <w:p w14:paraId="1D793803"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5911C5A8" w14:textId="77777777" w:rsidTr="00ED5D24">
        <w:trPr>
          <w:cantSplit/>
          <w:trHeight w:val="511"/>
        </w:trPr>
        <w:tc>
          <w:tcPr>
            <w:tcW w:w="1476" w:type="pct"/>
            <w:shd w:val="clear" w:color="auto" w:fill="auto"/>
            <w:tcMar>
              <w:top w:w="85" w:type="dxa"/>
              <w:bottom w:w="85" w:type="dxa"/>
            </w:tcMar>
          </w:tcPr>
          <w:p w14:paraId="4EB5FF77"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37165DC2" w14:textId="77777777" w:rsidR="00ED5D24" w:rsidRPr="00ED5D24" w:rsidRDefault="00ED5D24" w:rsidP="00ED5D24">
            <w:pPr>
              <w:bidi/>
              <w:spacing w:before="120" w:after="120" w:line="280" w:lineRule="exact"/>
              <w:rPr>
                <w:rFonts w:ascii="Arabic Typesetting" w:eastAsia="Arabic Typesetting" w:hAnsi="Arabic Typesetting" w:cs="Arabic Typesetting"/>
                <w:color w:val="000000"/>
                <w:sz w:val="28"/>
                <w:szCs w:val="28"/>
                <w:lang w:eastAsia="ar-EG" w:bidi="ar-EG"/>
              </w:rPr>
            </w:pPr>
            <w:r w:rsidRPr="00ED5D24">
              <w:rPr>
                <w:rFonts w:ascii="Arabic Typesetting" w:eastAsia="Arabic Typesetting" w:hAnsi="Arabic Typesetting" w:cs="Arabic Typesetting"/>
                <w:color w:val="000000"/>
                <w:sz w:val="28"/>
                <w:szCs w:val="28"/>
                <w:rtl/>
                <w:lang w:eastAsia="ar-EG" w:bidi="ar-EG"/>
              </w:rPr>
              <w:t>استخدام التكنولوجيا الملائمة في سبيل التنمية الاقتصادية المشمولة في السياسات والاستراتيجيات الوطنية للابتكار والملكية الفكرية في البلدان الأقل نمواً</w:t>
            </w:r>
          </w:p>
        </w:tc>
        <w:tc>
          <w:tcPr>
            <w:tcW w:w="862" w:type="pct"/>
            <w:shd w:val="clear" w:color="auto" w:fill="FFFFFF"/>
            <w:tcMar>
              <w:top w:w="85" w:type="dxa"/>
              <w:bottom w:w="85" w:type="dxa"/>
            </w:tcMar>
          </w:tcPr>
          <w:p w14:paraId="7017BA09"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9</w:t>
            </w:r>
          </w:p>
        </w:tc>
        <w:tc>
          <w:tcPr>
            <w:tcW w:w="569" w:type="pct"/>
            <w:shd w:val="clear" w:color="auto" w:fill="FFFFFF"/>
          </w:tcPr>
          <w:p w14:paraId="5948CDF3"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FF0000"/>
                <w:sz w:val="28"/>
                <w:szCs w:val="28"/>
                <w:lang w:eastAsia="zh-CN"/>
              </w:rPr>
              <w:sym w:font="Wingdings" w:char="F06C"/>
            </w:r>
          </w:p>
        </w:tc>
      </w:tr>
      <w:tr w:rsidR="00ED5D24" w:rsidRPr="00ED5D24" w14:paraId="3F97DD1D" w14:textId="77777777" w:rsidTr="00ED5D24">
        <w:trPr>
          <w:cantSplit/>
          <w:trHeight w:val="368"/>
        </w:trPr>
        <w:tc>
          <w:tcPr>
            <w:tcW w:w="1476" w:type="pct"/>
            <w:shd w:val="clear" w:color="auto" w:fill="auto"/>
            <w:tcMar>
              <w:top w:w="85" w:type="dxa"/>
              <w:bottom w:w="85" w:type="dxa"/>
            </w:tcMar>
          </w:tcPr>
          <w:p w14:paraId="19D8AAD4"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281E56F7" w14:textId="77777777" w:rsidR="00ED5D24" w:rsidRPr="00ED5D24" w:rsidRDefault="00ED5D24" w:rsidP="00ED5D24">
            <w:pPr>
              <w:bidi/>
              <w:spacing w:before="120" w:after="120" w:line="280" w:lineRule="exact"/>
              <w:rPr>
                <w:rFonts w:ascii="Arabic Typesetting" w:eastAsia="Arabic Typesetting" w:hAnsi="Arabic Typesetting" w:cs="Arabic Typesetting"/>
                <w:color w:val="000000"/>
                <w:sz w:val="28"/>
                <w:szCs w:val="28"/>
                <w:lang w:eastAsia="ar-EG" w:bidi="ar-EG"/>
              </w:rPr>
            </w:pPr>
            <w:r w:rsidRPr="00ED5D24">
              <w:rPr>
                <w:rFonts w:ascii="Arabic Typesetting" w:eastAsia="Arabic Typesetting" w:hAnsi="Arabic Typesetting" w:cs="Arabic Typesetting"/>
                <w:color w:val="000000"/>
                <w:sz w:val="28"/>
                <w:szCs w:val="28"/>
                <w:rtl/>
                <w:lang w:eastAsia="ar-EG" w:bidi="ar-EG"/>
              </w:rPr>
              <w:t>عدد المستخدمين المختلفين لكل فترة ربع سنوية على صعيد كافة أنظمة قواعد البيانات العالمية</w:t>
            </w:r>
          </w:p>
        </w:tc>
        <w:tc>
          <w:tcPr>
            <w:tcW w:w="862" w:type="pct"/>
            <w:shd w:val="clear" w:color="auto" w:fill="FFFFFF"/>
            <w:tcMar>
              <w:top w:w="85" w:type="dxa"/>
              <w:bottom w:w="85" w:type="dxa"/>
            </w:tcMar>
          </w:tcPr>
          <w:p w14:paraId="2EFB144E"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13</w:t>
            </w:r>
          </w:p>
        </w:tc>
        <w:tc>
          <w:tcPr>
            <w:tcW w:w="569" w:type="pct"/>
            <w:shd w:val="clear" w:color="auto" w:fill="FFFFFF"/>
          </w:tcPr>
          <w:p w14:paraId="7146AE41"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6C1DD8B6" w14:textId="77777777" w:rsidTr="00ED5D24">
        <w:trPr>
          <w:cantSplit/>
          <w:trHeight w:val="399"/>
        </w:trPr>
        <w:tc>
          <w:tcPr>
            <w:tcW w:w="1476" w:type="pct"/>
            <w:shd w:val="clear" w:color="auto" w:fill="auto"/>
            <w:tcMar>
              <w:top w:w="85" w:type="dxa"/>
              <w:bottom w:w="85" w:type="dxa"/>
            </w:tcMar>
          </w:tcPr>
          <w:p w14:paraId="400A71C9"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6BBBF419" w14:textId="77777777" w:rsidR="00ED5D24" w:rsidRPr="00ED5D24" w:rsidRDefault="00ED5D24" w:rsidP="00ED5D24">
            <w:pPr>
              <w:bidi/>
              <w:spacing w:before="120" w:after="120" w:line="280" w:lineRule="exact"/>
              <w:rPr>
                <w:rFonts w:ascii="Arabic Typesetting" w:eastAsia="Arabic Typesetting" w:hAnsi="Arabic Typesetting" w:cs="Arabic Typesetting"/>
                <w:color w:val="000000"/>
                <w:sz w:val="28"/>
                <w:szCs w:val="28"/>
                <w:lang w:eastAsia="ar-EG" w:bidi="ar-EG"/>
              </w:rPr>
            </w:pPr>
            <w:r w:rsidRPr="00ED5D24">
              <w:rPr>
                <w:rFonts w:ascii="Arabic Typesetting" w:eastAsia="Arabic Typesetting" w:hAnsi="Arabic Typesetting" w:cs="Arabic Typesetting"/>
                <w:color w:val="000000"/>
                <w:sz w:val="28"/>
                <w:szCs w:val="28"/>
                <w:rtl/>
                <w:lang w:eastAsia="ar-EG" w:bidi="ar-EG"/>
              </w:rPr>
              <w:t>عدد اللغات المتاح بها البحث عبر لغات مختلفة</w:t>
            </w:r>
          </w:p>
        </w:tc>
        <w:tc>
          <w:tcPr>
            <w:tcW w:w="862" w:type="pct"/>
            <w:shd w:val="clear" w:color="auto" w:fill="FFFFFF"/>
            <w:tcMar>
              <w:top w:w="85" w:type="dxa"/>
              <w:bottom w:w="85" w:type="dxa"/>
            </w:tcMar>
          </w:tcPr>
          <w:p w14:paraId="2490593F"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13</w:t>
            </w:r>
          </w:p>
        </w:tc>
        <w:tc>
          <w:tcPr>
            <w:tcW w:w="569" w:type="pct"/>
            <w:shd w:val="clear" w:color="auto" w:fill="FFFFFF"/>
          </w:tcPr>
          <w:p w14:paraId="50BC8A98"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72187D0E" w14:textId="77777777" w:rsidTr="00ED5D24">
        <w:trPr>
          <w:cantSplit/>
          <w:trHeight w:val="384"/>
        </w:trPr>
        <w:tc>
          <w:tcPr>
            <w:tcW w:w="1476" w:type="pct"/>
            <w:shd w:val="clear" w:color="auto" w:fill="auto"/>
            <w:tcMar>
              <w:top w:w="85" w:type="dxa"/>
              <w:bottom w:w="85" w:type="dxa"/>
            </w:tcMar>
          </w:tcPr>
          <w:p w14:paraId="500FA2BF"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02E35122" w14:textId="77777777" w:rsidR="00ED5D24" w:rsidRPr="00ED5D24" w:rsidRDefault="00ED5D24" w:rsidP="00ED5D24">
            <w:pPr>
              <w:bidi/>
              <w:spacing w:before="120" w:after="120" w:line="280" w:lineRule="exact"/>
              <w:rPr>
                <w:rFonts w:ascii="Arabic Typesetting" w:eastAsia="Arabic Typesetting" w:hAnsi="Arabic Typesetting" w:cs="Arabic Typesetting"/>
                <w:color w:val="000000"/>
                <w:sz w:val="28"/>
                <w:szCs w:val="28"/>
                <w:lang w:eastAsia="ar-EG" w:bidi="ar-EG"/>
              </w:rPr>
            </w:pPr>
            <w:r w:rsidRPr="00ED5D24">
              <w:rPr>
                <w:rFonts w:ascii="Arabic Typesetting" w:eastAsia="Arabic Typesetting" w:hAnsi="Arabic Typesetting" w:cs="Arabic Typesetting"/>
                <w:color w:val="000000"/>
                <w:sz w:val="28"/>
                <w:szCs w:val="28"/>
                <w:rtl/>
                <w:lang w:eastAsia="ar-EG" w:bidi="ar-EG"/>
              </w:rPr>
              <w:t>‏عدد أزواج اللغات المتاحة لترجمة الأوصاف والمطالبات</w:t>
            </w:r>
          </w:p>
        </w:tc>
        <w:tc>
          <w:tcPr>
            <w:tcW w:w="862" w:type="pct"/>
            <w:shd w:val="clear" w:color="auto" w:fill="FFFFFF"/>
            <w:tcMar>
              <w:top w:w="85" w:type="dxa"/>
              <w:bottom w:w="85" w:type="dxa"/>
            </w:tcMar>
          </w:tcPr>
          <w:p w14:paraId="65AC2D5C"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13</w:t>
            </w:r>
          </w:p>
        </w:tc>
        <w:tc>
          <w:tcPr>
            <w:tcW w:w="569" w:type="pct"/>
            <w:shd w:val="clear" w:color="auto" w:fill="FFFFFF"/>
          </w:tcPr>
          <w:p w14:paraId="1955227B"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2ADE25D7" w14:textId="77777777" w:rsidTr="00ED5D24">
        <w:trPr>
          <w:cantSplit/>
          <w:trHeight w:val="120"/>
        </w:trPr>
        <w:tc>
          <w:tcPr>
            <w:tcW w:w="1476" w:type="pct"/>
            <w:shd w:val="clear" w:color="auto" w:fill="auto"/>
            <w:tcMar>
              <w:top w:w="85" w:type="dxa"/>
              <w:bottom w:w="85" w:type="dxa"/>
            </w:tcMar>
          </w:tcPr>
          <w:p w14:paraId="30828104"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199C44C2" w14:textId="77777777" w:rsidR="00ED5D24" w:rsidRPr="00ED5D24" w:rsidRDefault="00ED5D24" w:rsidP="00ED5D24">
            <w:pPr>
              <w:bidi/>
              <w:spacing w:before="120" w:after="120" w:line="280" w:lineRule="exact"/>
              <w:rPr>
                <w:rFonts w:ascii="Arabic Typesetting" w:eastAsia="Arabic Typesetting" w:hAnsi="Arabic Typesetting" w:cs="Arabic Typesetting"/>
                <w:color w:val="000000"/>
                <w:sz w:val="28"/>
                <w:szCs w:val="28"/>
                <w:lang w:eastAsia="ar-EG" w:bidi="ar-EG"/>
              </w:rPr>
            </w:pPr>
            <w:r w:rsidRPr="00ED5D24">
              <w:rPr>
                <w:rFonts w:ascii="Arabic Typesetting" w:eastAsia="Arabic Typesetting" w:hAnsi="Arabic Typesetting" w:cs="Arabic Typesetting"/>
                <w:color w:val="000000"/>
                <w:sz w:val="28"/>
                <w:szCs w:val="28"/>
                <w:rtl/>
                <w:lang w:eastAsia="ar-EG" w:bidi="ar-EG"/>
              </w:rPr>
              <w:t>عدد السجلات المدرجة في ركن</w:t>
            </w:r>
            <w:r w:rsidRPr="00ED5D24">
              <w:rPr>
                <w:rFonts w:ascii="Arabic Typesetting" w:eastAsia="Arabic Typesetting" w:hAnsi="Arabic Typesetting" w:cs="Arabic Typesetting" w:hint="cs"/>
                <w:color w:val="000000"/>
                <w:sz w:val="28"/>
                <w:szCs w:val="28"/>
                <w:rtl/>
                <w:lang w:eastAsia="ar-EG" w:bidi="ar-EG"/>
              </w:rPr>
              <w:t> </w:t>
            </w:r>
            <w:r w:rsidRPr="00ED5D24">
              <w:rPr>
                <w:rFonts w:ascii="Arabic Typesetting" w:eastAsia="Arabic Typesetting" w:hAnsi="Arabic Typesetting" w:cs="Arabic Typesetting"/>
                <w:color w:val="000000"/>
                <w:sz w:val="28"/>
                <w:szCs w:val="28"/>
                <w:rtl/>
                <w:lang w:eastAsia="ar-EG" w:bidi="ar-EG"/>
              </w:rPr>
              <w:t>البراءات</w:t>
            </w:r>
          </w:p>
        </w:tc>
        <w:tc>
          <w:tcPr>
            <w:tcW w:w="862" w:type="pct"/>
            <w:shd w:val="clear" w:color="auto" w:fill="FFFFFF"/>
            <w:tcMar>
              <w:top w:w="85" w:type="dxa"/>
              <w:bottom w:w="85" w:type="dxa"/>
            </w:tcMar>
          </w:tcPr>
          <w:p w14:paraId="1B0672D6"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13</w:t>
            </w:r>
          </w:p>
        </w:tc>
        <w:tc>
          <w:tcPr>
            <w:tcW w:w="569" w:type="pct"/>
            <w:shd w:val="clear" w:color="auto" w:fill="FFFFFF"/>
          </w:tcPr>
          <w:p w14:paraId="61704399"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444C2E99" w14:textId="77777777" w:rsidTr="00ED5D24">
        <w:trPr>
          <w:cantSplit/>
          <w:trHeight w:val="389"/>
        </w:trPr>
        <w:tc>
          <w:tcPr>
            <w:tcW w:w="1476" w:type="pct"/>
            <w:shd w:val="clear" w:color="auto" w:fill="auto"/>
            <w:tcMar>
              <w:top w:w="85" w:type="dxa"/>
              <w:bottom w:w="85" w:type="dxa"/>
            </w:tcMar>
          </w:tcPr>
          <w:p w14:paraId="275E7A1B"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6E7F1ED8" w14:textId="77777777" w:rsidR="00ED5D24" w:rsidRPr="00ED5D24" w:rsidRDefault="00ED5D24" w:rsidP="00ED5D24">
            <w:pPr>
              <w:bidi/>
              <w:spacing w:before="120" w:after="120" w:line="280" w:lineRule="exact"/>
              <w:rPr>
                <w:rFonts w:ascii="Arabic Typesetting" w:eastAsia="Arabic Typesetting" w:hAnsi="Arabic Typesetting" w:cs="Arabic Typesetting"/>
                <w:color w:val="000000"/>
                <w:sz w:val="28"/>
                <w:szCs w:val="28"/>
                <w:lang w:eastAsia="ar-EG" w:bidi="ar-EG"/>
              </w:rPr>
            </w:pPr>
            <w:r w:rsidRPr="00ED5D24">
              <w:rPr>
                <w:rFonts w:ascii="Arabic Typesetting" w:eastAsia="Arabic Typesetting" w:hAnsi="Arabic Typesetting" w:cs="Arabic Typesetting"/>
                <w:color w:val="000000"/>
                <w:sz w:val="28"/>
                <w:szCs w:val="28"/>
                <w:rtl/>
                <w:lang w:eastAsia="ar-EG" w:bidi="ar-EG"/>
              </w:rPr>
              <w:t>توقيت رفع البيانات (معدل الفترة المحسوبة بالأيام بين تاريخ نشر السجلات في سجلها الرسمي وتوافرها في قواعد البيانات العالمية لأغراض إتاحة مجموعة فرعية من المجموعات الوطنية)</w:t>
            </w:r>
          </w:p>
        </w:tc>
        <w:tc>
          <w:tcPr>
            <w:tcW w:w="862" w:type="pct"/>
            <w:shd w:val="clear" w:color="auto" w:fill="FFFFFF"/>
            <w:tcMar>
              <w:top w:w="85" w:type="dxa"/>
              <w:bottom w:w="85" w:type="dxa"/>
            </w:tcMar>
          </w:tcPr>
          <w:p w14:paraId="1DCF37C9"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13</w:t>
            </w:r>
          </w:p>
        </w:tc>
        <w:tc>
          <w:tcPr>
            <w:tcW w:w="569" w:type="pct"/>
            <w:shd w:val="clear" w:color="auto" w:fill="FFFFFF"/>
          </w:tcPr>
          <w:p w14:paraId="319BE27A"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30B154C5" w14:textId="77777777" w:rsidTr="00ED5D24">
        <w:trPr>
          <w:cantSplit/>
          <w:trHeight w:val="170"/>
        </w:trPr>
        <w:tc>
          <w:tcPr>
            <w:tcW w:w="1476" w:type="pct"/>
            <w:shd w:val="clear" w:color="auto" w:fill="auto"/>
            <w:tcMar>
              <w:top w:w="85" w:type="dxa"/>
              <w:bottom w:w="85" w:type="dxa"/>
            </w:tcMar>
          </w:tcPr>
          <w:p w14:paraId="39A479FA"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75E82FDA" w14:textId="77777777" w:rsidR="00ED5D24" w:rsidRPr="00ED5D24" w:rsidRDefault="00ED5D24" w:rsidP="00ED5D24">
            <w:pPr>
              <w:bidi/>
              <w:spacing w:before="120" w:after="120" w:line="280" w:lineRule="exact"/>
              <w:rPr>
                <w:rFonts w:ascii="Arabic Typesetting" w:eastAsia="SimSun" w:hAnsi="Arabic Typesetting" w:cs="Arabic Typesetting"/>
                <w:color w:val="000000"/>
                <w:sz w:val="28"/>
                <w:szCs w:val="28"/>
                <w:lang w:eastAsia="zh-CN"/>
              </w:rPr>
            </w:pPr>
            <w:r w:rsidRPr="00ED5D24">
              <w:rPr>
                <w:rFonts w:ascii="Arabic Typesetting" w:eastAsia="Arabic Typesetting" w:hAnsi="Arabic Typesetting" w:cs="Arabic Typesetting"/>
                <w:color w:val="000000"/>
                <w:sz w:val="28"/>
                <w:szCs w:val="28"/>
                <w:rtl/>
                <w:lang w:eastAsia="ar-EG" w:bidi="ar-EG"/>
              </w:rPr>
              <w:t>متوسط عدد المستخدمين الذين حصلوا على خدمات مراكز دعم التكنولوجيا والابتكار سنويا</w:t>
            </w:r>
          </w:p>
        </w:tc>
        <w:tc>
          <w:tcPr>
            <w:tcW w:w="862" w:type="pct"/>
            <w:shd w:val="clear" w:color="auto" w:fill="FFFFFF"/>
            <w:tcMar>
              <w:top w:w="85" w:type="dxa"/>
              <w:bottom w:w="85" w:type="dxa"/>
            </w:tcMar>
          </w:tcPr>
          <w:p w14:paraId="6780BBB3"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14</w:t>
            </w:r>
          </w:p>
        </w:tc>
        <w:tc>
          <w:tcPr>
            <w:tcW w:w="569" w:type="pct"/>
            <w:shd w:val="clear" w:color="auto" w:fill="FFFFFF"/>
          </w:tcPr>
          <w:p w14:paraId="50ADA575"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0821B4B3" w14:textId="77777777" w:rsidTr="00ED5D24">
        <w:trPr>
          <w:cantSplit/>
          <w:trHeight w:val="397"/>
        </w:trPr>
        <w:tc>
          <w:tcPr>
            <w:tcW w:w="1476" w:type="pct"/>
            <w:shd w:val="clear" w:color="auto" w:fill="auto"/>
            <w:tcMar>
              <w:top w:w="85" w:type="dxa"/>
              <w:bottom w:w="85" w:type="dxa"/>
            </w:tcMar>
          </w:tcPr>
          <w:p w14:paraId="1E0DC630"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1178D0E5"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hint="cs"/>
                <w:color w:val="000000"/>
                <w:sz w:val="28"/>
                <w:szCs w:val="28"/>
                <w:rtl/>
                <w:lang w:eastAsia="ar-EG" w:bidi="ar-EG"/>
              </w:rPr>
              <w:t>عدد الدول الأعضاء المتعاونة مع قواعد البيانات العالمية من كل منطقة</w:t>
            </w:r>
          </w:p>
        </w:tc>
        <w:tc>
          <w:tcPr>
            <w:tcW w:w="862" w:type="pct"/>
            <w:shd w:val="clear" w:color="auto" w:fill="FFFFFF"/>
            <w:tcMar>
              <w:top w:w="85" w:type="dxa"/>
              <w:bottom w:w="85" w:type="dxa"/>
            </w:tcMar>
          </w:tcPr>
          <w:p w14:paraId="62F2902B"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14</w:t>
            </w:r>
          </w:p>
        </w:tc>
        <w:tc>
          <w:tcPr>
            <w:tcW w:w="569" w:type="pct"/>
            <w:shd w:val="clear" w:color="auto" w:fill="FFFFFF"/>
          </w:tcPr>
          <w:p w14:paraId="0E91BD8E"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FF0000"/>
                <w:sz w:val="28"/>
                <w:szCs w:val="28"/>
                <w:lang w:eastAsia="zh-CN"/>
              </w:rPr>
              <w:sym w:font="Wingdings" w:char="F06C"/>
            </w:r>
          </w:p>
        </w:tc>
      </w:tr>
      <w:tr w:rsidR="00ED5D24" w:rsidRPr="00ED5D24" w14:paraId="748A9D0B" w14:textId="77777777" w:rsidTr="00ED5D24">
        <w:trPr>
          <w:cantSplit/>
          <w:trHeight w:val="163"/>
        </w:trPr>
        <w:tc>
          <w:tcPr>
            <w:tcW w:w="1476" w:type="pct"/>
            <w:shd w:val="clear" w:color="auto" w:fill="auto"/>
            <w:tcMar>
              <w:top w:w="85" w:type="dxa"/>
              <w:bottom w:w="85" w:type="dxa"/>
            </w:tcMar>
          </w:tcPr>
          <w:p w14:paraId="101DEEC7"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675E0129"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مستخدمي برنامج النفاذ إلى الأبحاث من أجل التنمية والابتكار (</w:t>
            </w:r>
            <w:r w:rsidRPr="00ED5D24">
              <w:rPr>
                <w:rFonts w:ascii="Arabic Typesetting" w:eastAsia="Arabic Typesetting" w:hAnsi="Arabic Typesetting" w:cs="Arabic Typesetting"/>
                <w:color w:val="000000"/>
                <w:sz w:val="28"/>
                <w:szCs w:val="28"/>
                <w:lang w:eastAsia="ar-EG" w:bidi="ar-EG"/>
              </w:rPr>
              <w:t>ARDI</w:t>
            </w:r>
            <w:r w:rsidRPr="00ED5D24">
              <w:rPr>
                <w:rFonts w:ascii="Arabic Typesetting" w:eastAsia="Arabic Typesetting" w:hAnsi="Arabic Typesetting" w:cs="Arabic Typesetting"/>
                <w:color w:val="000000"/>
                <w:sz w:val="28"/>
                <w:szCs w:val="28"/>
                <w:rtl/>
                <w:lang w:eastAsia="ar-EG" w:bidi="ar-EG"/>
              </w:rPr>
              <w:t>) وبرنامج النفاذ إلى المعلومات المتخصصة بشأن البراءات (</w:t>
            </w:r>
            <w:r w:rsidRPr="00ED5D24">
              <w:rPr>
                <w:rFonts w:ascii="Arabic Typesetting" w:eastAsia="Arabic Typesetting" w:hAnsi="Arabic Typesetting" w:cs="Arabic Typesetting"/>
                <w:color w:val="000000"/>
                <w:sz w:val="28"/>
                <w:szCs w:val="28"/>
                <w:lang w:eastAsia="ar-EG" w:bidi="ar-EG"/>
              </w:rPr>
              <w:t>ASPI</w:t>
            </w:r>
            <w:r w:rsidRPr="00ED5D24">
              <w:rPr>
                <w:rFonts w:ascii="Arabic Typesetting" w:eastAsia="Arabic Typesetting" w:hAnsi="Arabic Typesetting" w:cs="Arabic Typesetting"/>
                <w:color w:val="000000"/>
                <w:sz w:val="28"/>
                <w:szCs w:val="28"/>
                <w:rtl/>
                <w:lang w:eastAsia="ar-EG" w:bidi="ar-EG"/>
              </w:rPr>
              <w:t>)</w:t>
            </w:r>
          </w:p>
        </w:tc>
        <w:tc>
          <w:tcPr>
            <w:tcW w:w="862" w:type="pct"/>
            <w:shd w:val="clear" w:color="auto" w:fill="FFFFFF"/>
            <w:tcMar>
              <w:top w:w="85" w:type="dxa"/>
              <w:bottom w:w="85" w:type="dxa"/>
            </w:tcMar>
          </w:tcPr>
          <w:p w14:paraId="1C5F7CEE"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14</w:t>
            </w:r>
          </w:p>
        </w:tc>
        <w:tc>
          <w:tcPr>
            <w:tcW w:w="569" w:type="pct"/>
            <w:shd w:val="clear" w:color="auto" w:fill="FFFFFF"/>
          </w:tcPr>
          <w:p w14:paraId="164873AE"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7C7E44F6" w14:textId="77777777" w:rsidTr="00ED5D24">
        <w:trPr>
          <w:cantSplit/>
          <w:trHeight w:val="163"/>
        </w:trPr>
        <w:tc>
          <w:tcPr>
            <w:tcW w:w="1476" w:type="pct"/>
            <w:shd w:val="clear" w:color="auto" w:fill="auto"/>
            <w:tcMar>
              <w:top w:w="85" w:type="dxa"/>
              <w:bottom w:w="85" w:type="dxa"/>
            </w:tcMar>
          </w:tcPr>
          <w:p w14:paraId="04B7B01A"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15EB87BA" w14:textId="77777777" w:rsidR="00ED5D24" w:rsidRPr="00ED5D24" w:rsidRDefault="00ED5D24" w:rsidP="00ED5D24">
            <w:pPr>
              <w:bidi/>
              <w:spacing w:before="120" w:after="120" w:line="280" w:lineRule="exact"/>
              <w:rPr>
                <w:rFonts w:ascii="Arabic Typesetting" w:eastAsia="SimSun" w:hAnsi="Arabic Typesetting" w:cs="Arabic Typesetting"/>
                <w:color w:val="000000"/>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الطلبات المقدمة إلى مراكز دعم التكنولوجيا والابتكار في إطار مشروع الخدمات التجريبية (</w:t>
            </w:r>
            <w:r w:rsidRPr="00ED5D24">
              <w:rPr>
                <w:rFonts w:ascii="Arabic Typesetting" w:eastAsia="Arabic Typesetting" w:hAnsi="Arabic Typesetting" w:cs="Arabic Typesetting"/>
                <w:color w:val="000000"/>
                <w:sz w:val="28"/>
                <w:szCs w:val="28"/>
                <w:lang w:eastAsia="ar-EG" w:bidi="ar-EG"/>
              </w:rPr>
              <w:t>TISC Clinic</w:t>
            </w:r>
            <w:r w:rsidRPr="00ED5D24">
              <w:rPr>
                <w:rFonts w:ascii="Arabic Typesetting" w:eastAsia="Arabic Typesetting" w:hAnsi="Arabic Typesetting" w:cs="Arabic Typesetting"/>
                <w:color w:val="000000"/>
                <w:sz w:val="28"/>
                <w:szCs w:val="28"/>
                <w:rtl/>
                <w:lang w:eastAsia="ar-EG" w:bidi="ar-EG"/>
              </w:rPr>
              <w:t>)</w:t>
            </w:r>
          </w:p>
        </w:tc>
        <w:tc>
          <w:tcPr>
            <w:tcW w:w="862" w:type="pct"/>
            <w:shd w:val="clear" w:color="auto" w:fill="FFFFFF"/>
            <w:tcMar>
              <w:top w:w="85" w:type="dxa"/>
              <w:bottom w:w="85" w:type="dxa"/>
            </w:tcMar>
          </w:tcPr>
          <w:p w14:paraId="07C2997B"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14</w:t>
            </w:r>
          </w:p>
        </w:tc>
        <w:tc>
          <w:tcPr>
            <w:tcW w:w="569" w:type="pct"/>
            <w:shd w:val="clear" w:color="auto" w:fill="FFFFFF"/>
          </w:tcPr>
          <w:p w14:paraId="4F86ABEB"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1E3CF449" w14:textId="77777777" w:rsidTr="00ED5D24">
        <w:trPr>
          <w:cantSplit/>
          <w:trHeight w:val="196"/>
        </w:trPr>
        <w:tc>
          <w:tcPr>
            <w:tcW w:w="1476" w:type="pct"/>
            <w:shd w:val="clear" w:color="auto" w:fill="auto"/>
            <w:tcMar>
              <w:top w:w="85" w:type="dxa"/>
              <w:bottom w:w="85" w:type="dxa"/>
            </w:tcMar>
          </w:tcPr>
          <w:p w14:paraId="13289578"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16FAD910" w14:textId="77777777" w:rsidR="00ED5D24" w:rsidRPr="00ED5D24" w:rsidRDefault="00ED5D24" w:rsidP="00ED5D24">
            <w:pPr>
              <w:bidi/>
              <w:spacing w:before="120" w:after="120" w:line="280" w:lineRule="exact"/>
              <w:rPr>
                <w:rFonts w:ascii="Arabic Typesetting" w:eastAsia="SimSun" w:hAnsi="Arabic Typesetting" w:cs="Arabic Typesetting"/>
                <w:color w:val="000000"/>
                <w:sz w:val="28"/>
                <w:szCs w:val="28"/>
                <w:lang w:eastAsia="zh-CN"/>
              </w:rPr>
            </w:pPr>
            <w:r w:rsidRPr="00ED5D24">
              <w:rPr>
                <w:rFonts w:ascii="Arabic Typesetting" w:eastAsia="Arabic Typesetting" w:hAnsi="Arabic Typesetting" w:cs="Arabic Typesetting"/>
                <w:color w:val="000000"/>
                <w:sz w:val="28"/>
                <w:szCs w:val="28"/>
                <w:rtl/>
                <w:lang w:eastAsia="ar-EG" w:bidi="ar-EG"/>
              </w:rPr>
              <w:t>عدد مراكز دعم التكنولوجيا والابتكار التي تقدم خدمات تحليلية في مجال البراءات</w:t>
            </w:r>
          </w:p>
        </w:tc>
        <w:tc>
          <w:tcPr>
            <w:tcW w:w="862" w:type="pct"/>
            <w:shd w:val="clear" w:color="auto" w:fill="FFFFFF"/>
            <w:tcMar>
              <w:top w:w="85" w:type="dxa"/>
              <w:bottom w:w="85" w:type="dxa"/>
            </w:tcMar>
          </w:tcPr>
          <w:p w14:paraId="306604B1"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14</w:t>
            </w:r>
          </w:p>
        </w:tc>
        <w:tc>
          <w:tcPr>
            <w:tcW w:w="569" w:type="pct"/>
            <w:shd w:val="clear" w:color="auto" w:fill="FFFFFF"/>
          </w:tcPr>
          <w:p w14:paraId="54CED7E3"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25C570F5" w14:textId="77777777" w:rsidTr="00ED5D24">
        <w:trPr>
          <w:cantSplit/>
          <w:trHeight w:val="357"/>
        </w:trPr>
        <w:tc>
          <w:tcPr>
            <w:tcW w:w="1476" w:type="pct"/>
            <w:shd w:val="clear" w:color="auto" w:fill="auto"/>
            <w:tcMar>
              <w:top w:w="85" w:type="dxa"/>
              <w:bottom w:w="85" w:type="dxa"/>
            </w:tcMar>
          </w:tcPr>
          <w:p w14:paraId="23745FAD"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42872A71" w14:textId="58C8A831" w:rsidR="00ED5D24" w:rsidRPr="00ED5D24" w:rsidRDefault="00EF3FA1" w:rsidP="00ED5D24">
            <w:pPr>
              <w:bidi/>
              <w:spacing w:before="120" w:after="120" w:line="280" w:lineRule="exact"/>
              <w:rPr>
                <w:rFonts w:ascii="Arabic Typesetting" w:eastAsia="SimSun" w:hAnsi="Arabic Typesetting" w:cs="Arabic Typesetting"/>
                <w:color w:val="000000"/>
                <w:sz w:val="28"/>
                <w:szCs w:val="28"/>
                <w:lang w:eastAsia="zh-CN"/>
              </w:rPr>
            </w:pPr>
            <w:r w:rsidRPr="00EF3FA1">
              <w:rPr>
                <w:rFonts w:ascii="Arabic Typesetting" w:eastAsia="SimSun" w:hAnsi="Arabic Typesetting" w:cs="Arabic Typesetting"/>
                <w:color w:val="000000"/>
                <w:sz w:val="28"/>
                <w:szCs w:val="28"/>
                <w:rtl/>
                <w:lang w:eastAsia="zh-CN"/>
              </w:rPr>
              <w:t>عدد مستخدمي قواعد بيانات الويبو العالمية: ركن البراءات وقاعدة البيانات العالمية لأدوات التوسيم، وقاعدة البيانات العالمية للتصاميم</w:t>
            </w:r>
          </w:p>
        </w:tc>
        <w:tc>
          <w:tcPr>
            <w:tcW w:w="862" w:type="pct"/>
            <w:shd w:val="clear" w:color="auto" w:fill="FFFFFF"/>
            <w:tcMar>
              <w:top w:w="85" w:type="dxa"/>
              <w:bottom w:w="85" w:type="dxa"/>
            </w:tcMar>
          </w:tcPr>
          <w:p w14:paraId="56740C8A"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20</w:t>
            </w:r>
          </w:p>
        </w:tc>
        <w:tc>
          <w:tcPr>
            <w:tcW w:w="569" w:type="pct"/>
            <w:shd w:val="clear" w:color="auto" w:fill="FFFFFF"/>
          </w:tcPr>
          <w:p w14:paraId="3D11DBA8"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00B050"/>
                <w:sz w:val="28"/>
                <w:szCs w:val="28"/>
                <w:lang w:eastAsia="zh-CN"/>
              </w:rPr>
            </w:pP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p>
          <w:p w14:paraId="7124877B"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00B050"/>
                <w:sz w:val="28"/>
                <w:szCs w:val="28"/>
                <w:lang w:eastAsia="zh-CN"/>
              </w:rPr>
            </w:pP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p>
          <w:p w14:paraId="216E7684"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00B050"/>
                <w:sz w:val="28"/>
                <w:szCs w:val="28"/>
                <w:lang w:eastAsia="zh-CN"/>
              </w:rPr>
            </w:pP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FF000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r w:rsidRPr="00ED5D24">
              <w:rPr>
                <w:rFonts w:ascii="Arabic Typesetting" w:eastAsia="SimSun" w:hAnsi="Arabic Typesetting" w:cs="Arabic Typesetting"/>
                <w:color w:val="00B050"/>
                <w:sz w:val="28"/>
                <w:szCs w:val="28"/>
                <w:lang w:eastAsia="zh-CN"/>
              </w:rPr>
              <w:sym w:font="Wingdings" w:char="F06C"/>
            </w:r>
          </w:p>
        </w:tc>
      </w:tr>
      <w:tr w:rsidR="00ED5D24" w:rsidRPr="00ED5D24" w14:paraId="46EE9876" w14:textId="77777777" w:rsidTr="00ED5D24">
        <w:trPr>
          <w:cantSplit/>
          <w:trHeight w:val="238"/>
        </w:trPr>
        <w:tc>
          <w:tcPr>
            <w:tcW w:w="1476" w:type="pct"/>
            <w:shd w:val="clear" w:color="auto" w:fill="auto"/>
            <w:tcMar>
              <w:top w:w="85" w:type="dxa"/>
              <w:bottom w:w="85" w:type="dxa"/>
            </w:tcMar>
          </w:tcPr>
          <w:p w14:paraId="228B3A07"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523DDBE9"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 xml:space="preserve">زيادة عدد مستخدمي قاعدة بيانات </w:t>
            </w:r>
            <w:r w:rsidRPr="00ED5D24">
              <w:rPr>
                <w:rFonts w:ascii="Arabic Typesetting" w:eastAsia="Arabic Typesetting" w:hAnsi="Arabic Typesetting" w:cs="Arabic Typesetting"/>
                <w:color w:val="000000"/>
                <w:sz w:val="28"/>
                <w:szCs w:val="28"/>
                <w:lang w:eastAsia="ar-EG" w:bidi="ar-EG"/>
              </w:rPr>
              <w:t>WIPO Lex</w:t>
            </w:r>
          </w:p>
        </w:tc>
        <w:tc>
          <w:tcPr>
            <w:tcW w:w="862" w:type="pct"/>
            <w:shd w:val="clear" w:color="auto" w:fill="FFFFFF"/>
            <w:tcMar>
              <w:top w:w="85" w:type="dxa"/>
              <w:bottom w:w="85" w:type="dxa"/>
            </w:tcMar>
          </w:tcPr>
          <w:p w14:paraId="2A2A4A6B"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21</w:t>
            </w:r>
          </w:p>
        </w:tc>
        <w:tc>
          <w:tcPr>
            <w:tcW w:w="569" w:type="pct"/>
            <w:shd w:val="clear" w:color="auto" w:fill="FFFFFF"/>
          </w:tcPr>
          <w:p w14:paraId="3375BD5E"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2F4D47DF" w14:textId="77777777" w:rsidTr="00ED5D24">
        <w:trPr>
          <w:cantSplit/>
          <w:trHeight w:val="346"/>
        </w:trPr>
        <w:tc>
          <w:tcPr>
            <w:tcW w:w="1476" w:type="pct"/>
            <w:shd w:val="clear" w:color="auto" w:fill="auto"/>
            <w:tcMar>
              <w:top w:w="85" w:type="dxa"/>
              <w:bottom w:w="85" w:type="dxa"/>
            </w:tcMar>
          </w:tcPr>
          <w:p w14:paraId="4A5BD47D"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3FF38F49" w14:textId="77777777" w:rsidR="00ED5D24" w:rsidRPr="00ED5D24" w:rsidRDefault="00ED5D24" w:rsidP="00ED5D24">
            <w:pPr>
              <w:bidi/>
              <w:spacing w:before="120" w:after="120" w:line="280" w:lineRule="exact"/>
              <w:rPr>
                <w:rFonts w:ascii="Arabic Typesetting" w:eastAsia="SimSun" w:hAnsi="Arabic Typesetting" w:cs="Arabic Typesetting"/>
                <w:sz w:val="28"/>
                <w:szCs w:val="28"/>
                <w:highlight w:val="yellow"/>
                <w:lang w:eastAsia="zh-CN"/>
              </w:rPr>
            </w:pPr>
            <w:r w:rsidRPr="00ED5D24">
              <w:rPr>
                <w:rFonts w:ascii="Arabic Typesetting" w:eastAsia="Arabic Typesetting" w:hAnsi="Arabic Typesetting" w:cs="Arabic Typesetting"/>
                <w:color w:val="000000"/>
                <w:sz w:val="28"/>
                <w:szCs w:val="28"/>
                <w:rtl/>
                <w:lang w:eastAsia="ar-EG" w:bidi="ar-EG"/>
              </w:rPr>
              <w:t>عدد مكاتب نقل التكنولوجيا التي أُسست أو عُززت في الجامعات أو مؤسسات البحث والتطوير في إطار برنامج مبادرة جامعة الويبو</w:t>
            </w:r>
          </w:p>
        </w:tc>
        <w:tc>
          <w:tcPr>
            <w:tcW w:w="862" w:type="pct"/>
            <w:shd w:val="clear" w:color="auto" w:fill="FFFFFF"/>
            <w:tcMar>
              <w:top w:w="85" w:type="dxa"/>
              <w:bottom w:w="85" w:type="dxa"/>
            </w:tcMar>
          </w:tcPr>
          <w:p w14:paraId="30671CAB" w14:textId="40A33E9B"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30</w:t>
            </w:r>
          </w:p>
        </w:tc>
        <w:tc>
          <w:tcPr>
            <w:tcW w:w="569" w:type="pct"/>
            <w:shd w:val="clear" w:color="auto" w:fill="FFFFFF"/>
          </w:tcPr>
          <w:p w14:paraId="7EC38EE1"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FF0000"/>
                <w:sz w:val="28"/>
                <w:szCs w:val="28"/>
                <w:lang w:eastAsia="zh-CN"/>
              </w:rPr>
              <w:sym w:font="Wingdings" w:char="F06C"/>
            </w:r>
          </w:p>
        </w:tc>
      </w:tr>
      <w:tr w:rsidR="00ED5D24" w:rsidRPr="00ED5D24" w14:paraId="2F9CEDB3" w14:textId="77777777" w:rsidTr="00ED5D24">
        <w:trPr>
          <w:cantSplit/>
          <w:trHeight w:val="346"/>
        </w:trPr>
        <w:tc>
          <w:tcPr>
            <w:tcW w:w="1476" w:type="pct"/>
            <w:shd w:val="clear" w:color="auto" w:fill="auto"/>
            <w:tcMar>
              <w:top w:w="85" w:type="dxa"/>
              <w:bottom w:w="85" w:type="dxa"/>
            </w:tcMar>
          </w:tcPr>
          <w:p w14:paraId="42CB12B3"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03992AF5"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الجامعات و/أو مؤسسات البحث التي وضعت و/أو حسَّنت سياساتها الخاصة بالملكية الفكرية</w:t>
            </w:r>
          </w:p>
        </w:tc>
        <w:tc>
          <w:tcPr>
            <w:tcW w:w="862" w:type="pct"/>
            <w:shd w:val="clear" w:color="auto" w:fill="FFFFFF"/>
            <w:tcMar>
              <w:top w:w="85" w:type="dxa"/>
              <w:bottom w:w="85" w:type="dxa"/>
            </w:tcMar>
          </w:tcPr>
          <w:p w14:paraId="2611A8E3"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30</w:t>
            </w:r>
          </w:p>
        </w:tc>
        <w:tc>
          <w:tcPr>
            <w:tcW w:w="569" w:type="pct"/>
            <w:shd w:val="clear" w:color="auto" w:fill="FFFFFF"/>
          </w:tcPr>
          <w:p w14:paraId="0E88C291"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001F97A0" w14:textId="77777777" w:rsidTr="00ED5D24">
        <w:trPr>
          <w:cantSplit/>
          <w:trHeight w:val="851"/>
        </w:trPr>
        <w:tc>
          <w:tcPr>
            <w:tcW w:w="1476" w:type="pct"/>
            <w:shd w:val="clear" w:color="auto" w:fill="auto"/>
            <w:tcMar>
              <w:top w:w="85" w:type="dxa"/>
              <w:bottom w:w="85" w:type="dxa"/>
            </w:tcMar>
          </w:tcPr>
          <w:p w14:paraId="3257A845" w14:textId="48204D58"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 xml:space="preserve">ه3.4 </w:t>
            </w:r>
            <w:r w:rsidR="007B1E0A">
              <w:rPr>
                <w:rFonts w:ascii="Arabic Typesetting" w:eastAsia="Arabic Typesetting" w:hAnsi="Arabic Typesetting" w:cs="Arabic Typesetting"/>
                <w:color w:val="000000"/>
                <w:sz w:val="28"/>
                <w:szCs w:val="28"/>
                <w:rtl/>
                <w:lang w:eastAsia="ar-EG" w:bidi="ar-EG"/>
              </w:rPr>
              <w:t>تغطية جغرافية واسعة لقواعد بيانات الويبو العالمية بشأن الملكية الفكرية من حيث المحتوى والاستخدام</w:t>
            </w:r>
          </w:p>
        </w:tc>
        <w:tc>
          <w:tcPr>
            <w:tcW w:w="2092" w:type="pct"/>
            <w:shd w:val="clear" w:color="auto" w:fill="auto"/>
            <w:tcMar>
              <w:top w:w="85" w:type="dxa"/>
              <w:bottom w:w="85" w:type="dxa"/>
            </w:tcMar>
          </w:tcPr>
          <w:p w14:paraId="67DF3A67" w14:textId="7C721BD9"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السجلات المدرجة في قاعدة البيانات العالمية لأدوات</w:t>
            </w:r>
            <w:r w:rsidRPr="00ED5D24">
              <w:rPr>
                <w:rFonts w:ascii="Arabic Typesetting" w:eastAsia="Arabic Typesetting" w:hAnsi="Arabic Typesetting" w:cs="Arabic Typesetting" w:hint="cs"/>
                <w:color w:val="000000"/>
                <w:sz w:val="28"/>
                <w:szCs w:val="28"/>
                <w:rtl/>
                <w:lang w:eastAsia="ar-EG" w:bidi="ar-EG"/>
              </w:rPr>
              <w:t> </w:t>
            </w:r>
            <w:r w:rsidRPr="00ED5D24">
              <w:rPr>
                <w:rFonts w:ascii="Arabic Typesetting" w:eastAsia="Arabic Typesetting" w:hAnsi="Arabic Typesetting" w:cs="Arabic Typesetting"/>
                <w:color w:val="000000"/>
                <w:sz w:val="28"/>
                <w:szCs w:val="28"/>
                <w:rtl/>
                <w:lang w:eastAsia="ar-EG" w:bidi="ar-EG"/>
              </w:rPr>
              <w:t>التوسيم</w:t>
            </w:r>
          </w:p>
          <w:p w14:paraId="79D06B5D"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السجلات المدرجة في قاعدة البيانات العالمية للتصاميم</w:t>
            </w:r>
          </w:p>
        </w:tc>
        <w:tc>
          <w:tcPr>
            <w:tcW w:w="862" w:type="pct"/>
            <w:shd w:val="clear" w:color="auto" w:fill="FFFFFF"/>
            <w:tcMar>
              <w:top w:w="85" w:type="dxa"/>
              <w:bottom w:w="85" w:type="dxa"/>
            </w:tcMar>
          </w:tcPr>
          <w:p w14:paraId="4BB3C8D8"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13</w:t>
            </w:r>
          </w:p>
          <w:p w14:paraId="20C1A7CF"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13</w:t>
            </w:r>
          </w:p>
        </w:tc>
        <w:tc>
          <w:tcPr>
            <w:tcW w:w="569" w:type="pct"/>
            <w:shd w:val="clear" w:color="auto" w:fill="FFFFFF"/>
          </w:tcPr>
          <w:p w14:paraId="404F6A32"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00B05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p w14:paraId="29C18532"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00B05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7298EFB7" w14:textId="77777777" w:rsidTr="00ED5D24">
        <w:trPr>
          <w:cantSplit/>
          <w:trHeight w:val="199"/>
        </w:trPr>
        <w:tc>
          <w:tcPr>
            <w:tcW w:w="1476" w:type="pct"/>
            <w:shd w:val="clear" w:color="auto" w:fill="auto"/>
            <w:tcMar>
              <w:top w:w="85" w:type="dxa"/>
              <w:bottom w:w="85" w:type="dxa"/>
            </w:tcMar>
          </w:tcPr>
          <w:p w14:paraId="57087B0A"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7B650506"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المجموعات الوطنية في ركن</w:t>
            </w:r>
            <w:r w:rsidRPr="00ED5D24">
              <w:rPr>
                <w:rFonts w:ascii="Arabic Typesetting" w:eastAsia="Arabic Typesetting" w:hAnsi="Arabic Typesetting" w:cs="Arabic Typesetting" w:hint="cs"/>
                <w:color w:val="000000"/>
                <w:sz w:val="28"/>
                <w:szCs w:val="28"/>
                <w:rtl/>
                <w:lang w:eastAsia="ar-EG" w:bidi="ar-EG"/>
              </w:rPr>
              <w:t> </w:t>
            </w:r>
            <w:r w:rsidRPr="00ED5D24">
              <w:rPr>
                <w:rFonts w:ascii="Arabic Typesetting" w:eastAsia="Arabic Typesetting" w:hAnsi="Arabic Typesetting" w:cs="Arabic Typesetting"/>
                <w:color w:val="000000"/>
                <w:sz w:val="28"/>
                <w:szCs w:val="28"/>
                <w:rtl/>
                <w:lang w:eastAsia="ar-EG" w:bidi="ar-EG"/>
              </w:rPr>
              <w:t>البراءات</w:t>
            </w:r>
          </w:p>
        </w:tc>
        <w:tc>
          <w:tcPr>
            <w:tcW w:w="862" w:type="pct"/>
            <w:shd w:val="clear" w:color="auto" w:fill="FFFFFF"/>
            <w:tcMar>
              <w:top w:w="85" w:type="dxa"/>
              <w:bottom w:w="85" w:type="dxa"/>
            </w:tcMar>
          </w:tcPr>
          <w:p w14:paraId="6D7EAFF6"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13</w:t>
            </w:r>
          </w:p>
        </w:tc>
        <w:tc>
          <w:tcPr>
            <w:tcW w:w="569" w:type="pct"/>
            <w:shd w:val="clear" w:color="auto" w:fill="FFFFFF"/>
          </w:tcPr>
          <w:p w14:paraId="30316914"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028943DC" w14:textId="77777777" w:rsidTr="00ED5D24">
        <w:trPr>
          <w:cantSplit/>
          <w:trHeight w:val="445"/>
        </w:trPr>
        <w:tc>
          <w:tcPr>
            <w:tcW w:w="1476" w:type="pct"/>
            <w:shd w:val="clear" w:color="auto" w:fill="auto"/>
            <w:tcMar>
              <w:top w:w="85" w:type="dxa"/>
              <w:bottom w:w="85" w:type="dxa"/>
            </w:tcMar>
          </w:tcPr>
          <w:p w14:paraId="70313C4F"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2BE39411"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المجموعات الوطنية في قاعدة البيانات العالمية لأدوات التوسيم</w:t>
            </w:r>
          </w:p>
        </w:tc>
        <w:tc>
          <w:tcPr>
            <w:tcW w:w="862" w:type="pct"/>
            <w:shd w:val="clear" w:color="auto" w:fill="FFFFFF"/>
            <w:tcMar>
              <w:top w:w="85" w:type="dxa"/>
              <w:bottom w:w="85" w:type="dxa"/>
            </w:tcMar>
          </w:tcPr>
          <w:p w14:paraId="54B42345"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13</w:t>
            </w:r>
          </w:p>
        </w:tc>
        <w:tc>
          <w:tcPr>
            <w:tcW w:w="569" w:type="pct"/>
            <w:shd w:val="clear" w:color="auto" w:fill="FFFFFF"/>
          </w:tcPr>
          <w:p w14:paraId="1DB9F8C4"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0FD19C20" w14:textId="77777777" w:rsidTr="00ED5D24">
        <w:trPr>
          <w:cantSplit/>
          <w:trHeight w:val="195"/>
        </w:trPr>
        <w:tc>
          <w:tcPr>
            <w:tcW w:w="1476" w:type="pct"/>
            <w:vMerge w:val="restart"/>
            <w:shd w:val="clear" w:color="auto" w:fill="auto"/>
            <w:tcMar>
              <w:top w:w="85" w:type="dxa"/>
              <w:bottom w:w="85" w:type="dxa"/>
            </w:tcMar>
          </w:tcPr>
          <w:p w14:paraId="66FCFB6D" w14:textId="37EFC7BF"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 xml:space="preserve">ه4.4 </w:t>
            </w:r>
            <w:r w:rsidR="007B1E0A">
              <w:rPr>
                <w:rFonts w:ascii="Arabic Typesetting" w:eastAsia="Arabic Typesetting" w:hAnsi="Arabic Typesetting" w:cs="Arabic Typesetting"/>
                <w:color w:val="000000"/>
                <w:sz w:val="28"/>
                <w:szCs w:val="28"/>
                <w:rtl/>
                <w:lang w:eastAsia="ar-EG" w:bidi="ar-EG"/>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2092" w:type="pct"/>
            <w:shd w:val="clear" w:color="auto" w:fill="auto"/>
            <w:tcMar>
              <w:top w:w="85" w:type="dxa"/>
              <w:bottom w:w="85" w:type="dxa"/>
            </w:tcMar>
          </w:tcPr>
          <w:p w14:paraId="124680C2"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المكاتب التي تستخدم منصات الويبو للبنية التحتية</w:t>
            </w:r>
          </w:p>
        </w:tc>
        <w:tc>
          <w:tcPr>
            <w:tcW w:w="862" w:type="pct"/>
            <w:shd w:val="clear" w:color="auto" w:fill="FFFFFF"/>
            <w:tcMar>
              <w:top w:w="85" w:type="dxa"/>
              <w:bottom w:w="85" w:type="dxa"/>
            </w:tcMar>
          </w:tcPr>
          <w:p w14:paraId="35C65C22"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15</w:t>
            </w:r>
          </w:p>
          <w:p w14:paraId="15C94D09"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20</w:t>
            </w:r>
          </w:p>
        </w:tc>
        <w:tc>
          <w:tcPr>
            <w:tcW w:w="569" w:type="pct"/>
            <w:shd w:val="clear" w:color="auto" w:fill="FFFFFF"/>
          </w:tcPr>
          <w:p w14:paraId="669D0D16"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00B05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p w14:paraId="320BF563"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00B05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5A6DA8E5" w14:textId="77777777" w:rsidTr="00ED5D24">
        <w:trPr>
          <w:cantSplit/>
          <w:trHeight w:val="247"/>
        </w:trPr>
        <w:tc>
          <w:tcPr>
            <w:tcW w:w="1476" w:type="pct"/>
            <w:vMerge/>
            <w:shd w:val="clear" w:color="auto" w:fill="auto"/>
            <w:tcMar>
              <w:top w:w="85" w:type="dxa"/>
              <w:bottom w:w="85" w:type="dxa"/>
            </w:tcMar>
          </w:tcPr>
          <w:p w14:paraId="775F4433"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1CC84ACC"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متوسط مستوى الخدمة التي تقدمها المكاتب التي تلقت مساعدة (من</w:t>
            </w:r>
            <w:r w:rsidRPr="00ED5D24">
              <w:rPr>
                <w:rFonts w:ascii="Arabic Typesetting" w:eastAsia="Arabic Typesetting" w:hAnsi="Arabic Typesetting" w:cs="Arabic Typesetting" w:hint="cs"/>
                <w:color w:val="000000"/>
                <w:sz w:val="28"/>
                <w:szCs w:val="28"/>
                <w:rtl/>
                <w:lang w:eastAsia="ar-EG" w:bidi="ar-EG"/>
              </w:rPr>
              <w:t> </w:t>
            </w:r>
            <w:r w:rsidRPr="00ED5D24">
              <w:rPr>
                <w:rFonts w:ascii="Arabic Typesetting" w:eastAsia="Arabic Typesetting" w:hAnsi="Arabic Typesetting" w:cs="Arabic Typesetting"/>
                <w:color w:val="000000"/>
                <w:sz w:val="28"/>
                <w:szCs w:val="28"/>
                <w:rtl/>
                <w:lang w:eastAsia="ar-EG" w:bidi="ar-EG"/>
              </w:rPr>
              <w:t>1</w:t>
            </w:r>
            <w:r w:rsidRPr="00ED5D24">
              <w:rPr>
                <w:rFonts w:ascii="Arabic Typesetting" w:eastAsia="Arabic Typesetting" w:hAnsi="Arabic Typesetting" w:cs="Arabic Typesetting" w:hint="cs"/>
                <w:color w:val="000000"/>
                <w:sz w:val="28"/>
                <w:szCs w:val="28"/>
                <w:rtl/>
                <w:lang w:eastAsia="ar-EG" w:bidi="ar-EG"/>
              </w:rPr>
              <w:t> </w:t>
            </w:r>
            <w:r w:rsidRPr="00ED5D24">
              <w:rPr>
                <w:rFonts w:ascii="Arabic Typesetting" w:eastAsia="Arabic Typesetting" w:hAnsi="Arabic Typesetting" w:cs="Arabic Typesetting"/>
                <w:color w:val="000000"/>
                <w:sz w:val="28"/>
                <w:szCs w:val="28"/>
                <w:rtl/>
                <w:lang w:eastAsia="ar-EG" w:bidi="ar-EG"/>
              </w:rPr>
              <w:t>إلى 5)</w:t>
            </w:r>
          </w:p>
        </w:tc>
        <w:tc>
          <w:tcPr>
            <w:tcW w:w="862" w:type="pct"/>
            <w:shd w:val="clear" w:color="auto" w:fill="FFFFFF"/>
            <w:tcMar>
              <w:top w:w="85" w:type="dxa"/>
              <w:bottom w:w="85" w:type="dxa"/>
            </w:tcMar>
          </w:tcPr>
          <w:p w14:paraId="4AEA27BC"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sz w:val="28"/>
                <w:szCs w:val="28"/>
                <w:rtl/>
                <w:lang w:eastAsia="zh-CN"/>
              </w:rPr>
              <w:t>البرنامج 9</w:t>
            </w:r>
          </w:p>
          <w:p w14:paraId="140336E9"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color w:val="000000"/>
                <w:sz w:val="28"/>
                <w:szCs w:val="28"/>
                <w:rtl/>
                <w:lang w:eastAsia="zh-CN"/>
              </w:rPr>
              <w:t>البرنامج 15</w:t>
            </w:r>
          </w:p>
        </w:tc>
        <w:tc>
          <w:tcPr>
            <w:tcW w:w="569" w:type="pct"/>
            <w:shd w:val="clear" w:color="auto" w:fill="FFFFFF"/>
          </w:tcPr>
          <w:p w14:paraId="5A5E336D"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FF0000"/>
                <w:sz w:val="28"/>
                <w:szCs w:val="28"/>
                <w:lang w:eastAsia="zh-CN"/>
              </w:rPr>
              <w:sym w:font="Wingdings" w:char="F06C"/>
            </w:r>
          </w:p>
          <w:p w14:paraId="6AE7D1EF"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00B050"/>
                <w:sz w:val="28"/>
                <w:szCs w:val="28"/>
                <w:lang w:eastAsia="zh-CN"/>
              </w:rPr>
              <w:sym w:font="Wingdings" w:char="F06C"/>
            </w:r>
          </w:p>
        </w:tc>
      </w:tr>
      <w:tr w:rsidR="00ED5D24" w:rsidRPr="00ED5D24" w14:paraId="623F293C" w14:textId="77777777" w:rsidTr="00ED5D24">
        <w:trPr>
          <w:cantSplit/>
          <w:trHeight w:val="404"/>
        </w:trPr>
        <w:tc>
          <w:tcPr>
            <w:tcW w:w="1476" w:type="pct"/>
            <w:vMerge/>
            <w:shd w:val="clear" w:color="auto" w:fill="auto"/>
            <w:tcMar>
              <w:top w:w="85" w:type="dxa"/>
              <w:bottom w:w="85" w:type="dxa"/>
            </w:tcMar>
          </w:tcPr>
          <w:p w14:paraId="3BF548C3"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p>
        </w:tc>
        <w:tc>
          <w:tcPr>
            <w:tcW w:w="2092" w:type="pct"/>
            <w:shd w:val="clear" w:color="auto" w:fill="auto"/>
            <w:tcMar>
              <w:top w:w="85" w:type="dxa"/>
              <w:bottom w:w="85" w:type="dxa"/>
            </w:tcMar>
          </w:tcPr>
          <w:p w14:paraId="4BF52613" w14:textId="77777777" w:rsidR="00ED5D24" w:rsidRPr="00ED5D24" w:rsidRDefault="00ED5D24" w:rsidP="00ED5D24">
            <w:pPr>
              <w:bidi/>
              <w:spacing w:before="120" w:after="120" w:line="280" w:lineRule="exact"/>
              <w:rPr>
                <w:rFonts w:ascii="Arabic Typesetting" w:eastAsia="SimSun" w:hAnsi="Arabic Typesetting" w:cs="Arabic Typesetting"/>
                <w:sz w:val="28"/>
                <w:szCs w:val="28"/>
                <w:lang w:eastAsia="zh-CN"/>
              </w:rPr>
            </w:pPr>
            <w:r w:rsidRPr="00ED5D24">
              <w:rPr>
                <w:rFonts w:ascii="Arabic Typesetting" w:eastAsia="Arabic Typesetting" w:hAnsi="Arabic Typesetting" w:cs="Arabic Typesetting"/>
                <w:color w:val="000000"/>
                <w:sz w:val="28"/>
                <w:szCs w:val="28"/>
                <w:rtl/>
                <w:lang w:eastAsia="ar-EG" w:bidi="ar-EG"/>
              </w:rPr>
              <w:t>عدد منظمات الإدارة الجماعية في البلدان النامية والبلدان الأقل نمواً المشاركة في الشبكات الإقليمية والعالمية التي تقوم الويبو بتيسير عملها</w:t>
            </w:r>
          </w:p>
        </w:tc>
        <w:tc>
          <w:tcPr>
            <w:tcW w:w="862" w:type="pct"/>
            <w:shd w:val="clear" w:color="auto" w:fill="FFFFFF"/>
            <w:tcMar>
              <w:top w:w="85" w:type="dxa"/>
              <w:bottom w:w="85" w:type="dxa"/>
            </w:tcMar>
          </w:tcPr>
          <w:p w14:paraId="16C27A73" w14:textId="77777777" w:rsidR="00ED5D24" w:rsidRPr="00ED5D24" w:rsidRDefault="00ED5D24" w:rsidP="00ED5D24">
            <w:pPr>
              <w:bidi/>
              <w:spacing w:before="120" w:after="120" w:line="280" w:lineRule="exact"/>
              <w:jc w:val="center"/>
              <w:rPr>
                <w:rFonts w:ascii="Arabic Typesetting" w:eastAsia="SimSun" w:hAnsi="Arabic Typesetting" w:cs="Arabic Typesetting"/>
                <w:sz w:val="28"/>
                <w:szCs w:val="28"/>
                <w:lang w:eastAsia="zh-CN" w:bidi="th-TH"/>
              </w:rPr>
            </w:pPr>
            <w:r w:rsidRPr="00ED5D24">
              <w:rPr>
                <w:rFonts w:ascii="Arabic Typesetting" w:eastAsia="SimSun" w:hAnsi="Arabic Typesetting" w:cs="Arabic Typesetting"/>
                <w:color w:val="000000"/>
                <w:sz w:val="28"/>
                <w:szCs w:val="28"/>
                <w:rtl/>
                <w:lang w:eastAsia="zh-CN"/>
              </w:rPr>
              <w:t>البرنامج 15</w:t>
            </w:r>
          </w:p>
        </w:tc>
        <w:tc>
          <w:tcPr>
            <w:tcW w:w="569" w:type="pct"/>
            <w:shd w:val="clear" w:color="auto" w:fill="FFFFFF"/>
          </w:tcPr>
          <w:p w14:paraId="3DE0558F" w14:textId="77777777" w:rsidR="00ED5D24" w:rsidRPr="00ED5D24" w:rsidRDefault="00ED5D24" w:rsidP="00ED5D24">
            <w:pPr>
              <w:bidi/>
              <w:spacing w:before="120" w:after="120" w:line="280" w:lineRule="exact"/>
              <w:jc w:val="center"/>
              <w:rPr>
                <w:rFonts w:ascii="Arabic Typesetting" w:eastAsia="SimSun" w:hAnsi="Arabic Typesetting" w:cs="Arabic Typesetting"/>
                <w:color w:val="FF0000"/>
                <w:sz w:val="28"/>
                <w:szCs w:val="28"/>
                <w:lang w:eastAsia="zh-CN"/>
              </w:rPr>
            </w:pPr>
            <w:r w:rsidRPr="00ED5D24">
              <w:rPr>
                <w:rFonts w:ascii="Arabic Typesetting" w:eastAsia="SimSun" w:hAnsi="Arabic Typesetting" w:cs="Arabic Typesetting"/>
                <w:color w:val="FF0000"/>
                <w:sz w:val="28"/>
                <w:szCs w:val="28"/>
                <w:lang w:eastAsia="zh-CN"/>
              </w:rPr>
              <w:sym w:font="Wingdings" w:char="F06C"/>
            </w:r>
          </w:p>
        </w:tc>
      </w:tr>
    </w:tbl>
    <w:p w14:paraId="5AB3CCAF" w14:textId="77777777" w:rsidR="00C61D0D" w:rsidRDefault="00C61D0D" w:rsidP="00C61D0D">
      <w:pPr>
        <w:pStyle w:val="NormalParaAR"/>
        <w:rPr>
          <w:rtl/>
        </w:rPr>
      </w:pPr>
    </w:p>
    <w:p w14:paraId="2F8B4B4F" w14:textId="77777777" w:rsidR="00CE6E0B" w:rsidRPr="00F859A7" w:rsidRDefault="00CE6E0B" w:rsidP="00DA7DF7">
      <w:pPr>
        <w:pStyle w:val="Heading3"/>
        <w:ind w:left="1984" w:hanging="1984"/>
        <w:rPr>
          <w:rtl/>
        </w:rPr>
      </w:pPr>
      <w:bookmarkStart w:id="33" w:name="_Toc482782760"/>
      <w:r w:rsidRPr="00F859A7">
        <w:rPr>
          <w:rtl/>
        </w:rPr>
        <w:lastRenderedPageBreak/>
        <w:t>البرنامج</w:t>
      </w:r>
      <w:r w:rsidRPr="00F859A7">
        <w:rPr>
          <w:rFonts w:hint="cs"/>
          <w:rtl/>
        </w:rPr>
        <w:t xml:space="preserve"> 12:</w:t>
      </w:r>
      <w:r w:rsidRPr="00F859A7">
        <w:tab/>
      </w:r>
      <w:r w:rsidRPr="00F859A7">
        <w:rPr>
          <w:rtl/>
        </w:rPr>
        <w:t>التصنيفات والمعايير الدولية</w:t>
      </w:r>
      <w:bookmarkEnd w:id="33"/>
    </w:p>
    <w:p w14:paraId="0DD4D132" w14:textId="77777777" w:rsidR="00CE6E0B" w:rsidRDefault="00CE6E0B"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Pr>
          <w:rFonts w:ascii="Arabic Typesetting" w:hAnsi="Arabic Typesetting" w:cs="Arabic Typesetting" w:hint="cs"/>
          <w:b/>
          <w:bCs/>
          <w:sz w:val="36"/>
          <w:szCs w:val="36"/>
          <w:rtl/>
          <w:lang w:val="fr-CH"/>
        </w:rPr>
        <w:t xml:space="preserve">السيد </w:t>
      </w:r>
      <w:r w:rsidRPr="00A8069E">
        <w:rPr>
          <w:rFonts w:ascii="Arabic Typesetting" w:hAnsi="Arabic Typesetting" w:cs="Arabic Typesetting"/>
          <w:b/>
          <w:bCs/>
          <w:sz w:val="36"/>
          <w:szCs w:val="36"/>
          <w:rtl/>
          <w:lang w:val="fr-CH"/>
        </w:rPr>
        <w:t>يوشيوكي تاكاغي</w:t>
      </w:r>
    </w:p>
    <w:p w14:paraId="386A272F" w14:textId="77777777" w:rsidR="00CE6E0B" w:rsidRDefault="00CE6E0B"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067BD75E" wp14:editId="5801E7B2">
            <wp:extent cx="3606152"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06152" cy="2160000"/>
                    </a:xfrm>
                    <a:prstGeom prst="rect">
                      <a:avLst/>
                    </a:prstGeom>
                    <a:noFill/>
                  </pic:spPr>
                </pic:pic>
              </a:graphicData>
            </a:graphic>
          </wp:inline>
        </w:drawing>
      </w:r>
    </w:p>
    <w:tbl>
      <w:tblPr>
        <w:bidiVisual/>
        <w:tblW w:w="4937" w:type="pct"/>
        <w:tblInd w:w="58" w:type="dxa"/>
        <w:tblLayout w:type="fixed"/>
        <w:tblCellMar>
          <w:left w:w="115" w:type="dxa"/>
          <w:right w:w="115" w:type="dxa"/>
        </w:tblCellMar>
        <w:tblLook w:val="0000" w:firstRow="0" w:lastRow="0" w:firstColumn="0" w:lastColumn="0" w:noHBand="0" w:noVBand="0"/>
      </w:tblPr>
      <w:tblGrid>
        <w:gridCol w:w="2024"/>
        <w:gridCol w:w="2508"/>
        <w:gridCol w:w="1285"/>
        <w:gridCol w:w="2592"/>
        <w:gridCol w:w="943"/>
      </w:tblGrid>
      <w:tr w:rsidR="00CE6E0B" w:rsidRPr="00A8069E" w14:paraId="257CD72D" w14:textId="77777777" w:rsidTr="00BB3820">
        <w:trPr>
          <w:cantSplit/>
          <w:trHeight w:val="565"/>
        </w:trPr>
        <w:tc>
          <w:tcPr>
            <w:tcW w:w="5000" w:type="pct"/>
            <w:gridSpan w:val="5"/>
            <w:shd w:val="clear" w:color="auto" w:fill="C6D9F1"/>
            <w:tcMar>
              <w:left w:w="58" w:type="dxa"/>
              <w:right w:w="58" w:type="dxa"/>
            </w:tcMar>
            <w:vAlign w:val="center"/>
          </w:tcPr>
          <w:p w14:paraId="5B6DFC81" w14:textId="1A974E5E" w:rsidR="00CE6E0B" w:rsidRPr="00A8069E" w:rsidRDefault="00CE6E0B" w:rsidP="0031289D">
            <w:pPr>
              <w:keepNext/>
              <w:keepLines/>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A8069E">
              <w:rPr>
                <w:rFonts w:ascii="Arabic Typesetting" w:eastAsia="Arabic Typesetting" w:hAnsi="Arabic Typesetting" w:cs="Arabic Typesetting"/>
                <w:b/>
                <w:bCs/>
                <w:sz w:val="28"/>
                <w:szCs w:val="28"/>
                <w:rtl/>
                <w:lang w:eastAsia="ar-EG" w:bidi="ar-EG"/>
              </w:rPr>
              <w:t>‏النتيجة المرتقبة:</w:t>
            </w:r>
            <w:r w:rsidRPr="00A8069E">
              <w:rPr>
                <w:rFonts w:ascii="Arabic Typesetting" w:eastAsia="Arabic Typesetting" w:hAnsi="Arabic Typesetting" w:cs="Arabic Typesetting"/>
                <w:sz w:val="28"/>
                <w:szCs w:val="28"/>
                <w:lang w:eastAsia="ar-EG" w:bidi="ar-EG"/>
              </w:rPr>
              <w:tab/>
            </w:r>
            <w:r w:rsidRPr="00A8069E">
              <w:rPr>
                <w:rFonts w:ascii="Arabic Typesetting" w:eastAsia="Arabic Typesetting" w:hAnsi="Arabic Typesetting" w:cs="Arabic Typesetting"/>
                <w:color w:val="000000"/>
                <w:sz w:val="28"/>
                <w:szCs w:val="28"/>
                <w:rtl/>
                <w:lang w:eastAsia="ar-EG" w:bidi="ar-EG"/>
              </w:rPr>
              <w:t xml:space="preserve">ه1.4 </w:t>
            </w:r>
            <w:r w:rsidR="007B1E0A">
              <w:rPr>
                <w:rFonts w:ascii="Arabic Typesetting" w:eastAsia="Arabic Typesetting" w:hAnsi="Arabic Typesetting" w:cs="Arabic Typesetting"/>
                <w:color w:val="000000"/>
                <w:sz w:val="28"/>
                <w:szCs w:val="28"/>
                <w:rtl/>
                <w:lang w:eastAsia="ar-EG" w:bidi="ar-EG"/>
              </w:rPr>
              <w:t>نظام محدّث ومقبول عالميا للتصنيفات الدولية ومعايير الويبو بهدف تيسير النفاذ إلى معلومات الملكية الفكرية واستخدامها ونشرها في صفوف أصحاب المصلحة في أنحاء العالم</w:t>
            </w:r>
          </w:p>
        </w:tc>
      </w:tr>
      <w:tr w:rsidR="00CE6E0B" w:rsidRPr="00A8069E" w14:paraId="4F04BE84" w14:textId="77777777" w:rsidTr="00BB3820">
        <w:trPr>
          <w:cantSplit/>
        </w:trPr>
        <w:tc>
          <w:tcPr>
            <w:tcW w:w="1082" w:type="pct"/>
            <w:shd w:val="clear" w:color="auto" w:fill="auto"/>
            <w:tcMar>
              <w:left w:w="58" w:type="dxa"/>
              <w:right w:w="58" w:type="dxa"/>
            </w:tcMar>
            <w:vAlign w:val="center"/>
          </w:tcPr>
          <w:p w14:paraId="4157ABEB" w14:textId="77777777" w:rsidR="00CE6E0B" w:rsidRPr="00A8069E"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A8069E">
              <w:rPr>
                <w:rFonts w:ascii="Arabic Typesetting" w:eastAsia="Arabic Typesetting" w:hAnsi="Arabic Typesetting" w:cs="Arabic Typesetting"/>
                <w:b/>
                <w:bCs/>
                <w:sz w:val="28"/>
                <w:szCs w:val="28"/>
                <w:rtl/>
                <w:lang w:eastAsia="ar-EG" w:bidi="ar-EG"/>
              </w:rPr>
              <w:t>مؤشرات الأداء</w:t>
            </w:r>
          </w:p>
        </w:tc>
        <w:tc>
          <w:tcPr>
            <w:tcW w:w="1341" w:type="pct"/>
            <w:shd w:val="clear" w:color="auto" w:fill="auto"/>
            <w:tcMar>
              <w:left w:w="58" w:type="dxa"/>
              <w:right w:w="58" w:type="dxa"/>
            </w:tcMar>
            <w:vAlign w:val="center"/>
          </w:tcPr>
          <w:p w14:paraId="5B6B36A7" w14:textId="77777777" w:rsidR="00CE6E0B" w:rsidRPr="00A8069E"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8069E">
              <w:rPr>
                <w:rFonts w:ascii="Arabic Typesetting" w:eastAsia="Arabic Typesetting" w:hAnsi="Arabic Typesetting" w:cs="Arabic Typesetting"/>
                <w:b/>
                <w:bCs/>
                <w:sz w:val="28"/>
                <w:szCs w:val="28"/>
                <w:rtl/>
                <w:lang w:eastAsia="ar-EG" w:bidi="ar-EG"/>
              </w:rPr>
              <w:t>أسس المقارنة</w:t>
            </w:r>
          </w:p>
        </w:tc>
        <w:tc>
          <w:tcPr>
            <w:tcW w:w="687" w:type="pct"/>
            <w:shd w:val="clear" w:color="auto" w:fill="auto"/>
            <w:tcMar>
              <w:top w:w="110" w:type="dxa"/>
              <w:left w:w="58" w:type="dxa"/>
              <w:right w:w="58" w:type="dxa"/>
            </w:tcMar>
            <w:vAlign w:val="center"/>
          </w:tcPr>
          <w:p w14:paraId="3B1C8E2B" w14:textId="77777777" w:rsidR="00CE6E0B" w:rsidRPr="00A8069E"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8069E">
              <w:rPr>
                <w:rFonts w:ascii="Arabic Typesetting" w:eastAsia="Arabic Typesetting" w:hAnsi="Arabic Typesetting" w:cs="Arabic Typesetting"/>
                <w:b/>
                <w:bCs/>
                <w:sz w:val="28"/>
                <w:szCs w:val="28"/>
                <w:rtl/>
                <w:lang w:eastAsia="ar-EG" w:bidi="ar-EG"/>
              </w:rPr>
              <w:t>الأهداف</w:t>
            </w:r>
          </w:p>
        </w:tc>
        <w:tc>
          <w:tcPr>
            <w:tcW w:w="1386" w:type="pct"/>
            <w:shd w:val="clear" w:color="auto" w:fill="FFFFFF"/>
            <w:tcMar>
              <w:top w:w="110" w:type="dxa"/>
              <w:left w:w="58" w:type="dxa"/>
              <w:right w:w="58" w:type="dxa"/>
            </w:tcMar>
            <w:vAlign w:val="center"/>
          </w:tcPr>
          <w:p w14:paraId="5186D7DE" w14:textId="77777777" w:rsidR="00CE6E0B" w:rsidRPr="00A8069E"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8069E">
              <w:rPr>
                <w:rFonts w:ascii="Arabic Typesetting" w:eastAsia="Arabic Typesetting" w:hAnsi="Arabic Typesetting" w:cs="Arabic Typesetting"/>
                <w:b/>
                <w:bCs/>
                <w:sz w:val="28"/>
                <w:szCs w:val="28"/>
                <w:rtl/>
                <w:lang w:eastAsia="ar-EG" w:bidi="ar-EG"/>
              </w:rPr>
              <w:t>بيانات الأداء</w:t>
            </w:r>
          </w:p>
        </w:tc>
        <w:tc>
          <w:tcPr>
            <w:tcW w:w="504" w:type="pct"/>
            <w:shd w:val="clear" w:color="auto" w:fill="auto"/>
            <w:tcMar>
              <w:top w:w="110" w:type="dxa"/>
              <w:left w:w="58" w:type="dxa"/>
              <w:right w:w="58" w:type="dxa"/>
            </w:tcMar>
            <w:vAlign w:val="center"/>
          </w:tcPr>
          <w:p w14:paraId="3D144E18" w14:textId="77777777" w:rsidR="00CE6E0B" w:rsidRPr="00A8069E" w:rsidRDefault="00CE6E0B"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A8069E" w14:paraId="17FA94AC" w14:textId="77777777" w:rsidTr="00BB3820">
        <w:trPr>
          <w:cantSplit/>
          <w:trHeight w:val="4684"/>
        </w:trPr>
        <w:tc>
          <w:tcPr>
            <w:tcW w:w="1082" w:type="pct"/>
            <w:shd w:val="clear" w:color="auto" w:fill="auto"/>
            <w:tcMar>
              <w:left w:w="58" w:type="dxa"/>
              <w:right w:w="58" w:type="dxa"/>
            </w:tcMar>
          </w:tcPr>
          <w:p w14:paraId="040DB8F4" w14:textId="77777777" w:rsidR="00CE6E0B" w:rsidRPr="00A8069E" w:rsidRDefault="00CE6E0B"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t>عدد التعديلات وملفات المعلومات التي أُدرجت في تصنيف نيس</w:t>
            </w:r>
          </w:p>
        </w:tc>
        <w:tc>
          <w:tcPr>
            <w:tcW w:w="1341" w:type="pct"/>
            <w:shd w:val="clear" w:color="auto" w:fill="auto"/>
            <w:tcMar>
              <w:left w:w="58" w:type="dxa"/>
              <w:right w:w="58" w:type="dxa"/>
            </w:tcMar>
          </w:tcPr>
          <w:p w14:paraId="1D7D2ACE" w14:textId="77777777" w:rsidR="00CE6E0B" w:rsidRDefault="00CE6E0B" w:rsidP="0031289D">
            <w:pPr>
              <w:bidi/>
              <w:spacing w:line="280" w:lineRule="exact"/>
              <w:rPr>
                <w:rFonts w:ascii="Arabic Typesetting" w:eastAsia="Batang" w:hAnsi="Arabic Typesetting" w:cs="Arabic Typesetting"/>
                <w:color w:val="002060"/>
                <w:sz w:val="28"/>
                <w:szCs w:val="28"/>
                <w:rtl/>
                <w:lang w:eastAsia="ja-JP" w:bidi="ar-EG"/>
              </w:rPr>
            </w:pPr>
            <w:r w:rsidRPr="00A8069E">
              <w:rPr>
                <w:rFonts w:ascii="Arabic Typesetting" w:eastAsia="Arabic Typesetting" w:hAnsi="Arabic Typesetting" w:cs="Arabic Typesetting"/>
                <w:i/>
                <w:iCs/>
                <w:color w:val="002060"/>
                <w:sz w:val="28"/>
                <w:szCs w:val="28"/>
                <w:rtl/>
                <w:lang w:eastAsia="ar-EG" w:bidi="ar-EG"/>
              </w:rPr>
              <w:t>أساس المقارنة المحدَّث</w:t>
            </w:r>
            <w:r>
              <w:rPr>
                <w:rFonts w:ascii="Arabic Typesetting" w:eastAsia="Arabic Typesetting" w:hAnsi="Arabic Typesetting" w:cs="Arabic Typesetting" w:hint="cs"/>
                <w:i/>
                <w:iCs/>
                <w:color w:val="002060"/>
                <w:sz w:val="28"/>
                <w:szCs w:val="28"/>
                <w:rtl/>
                <w:lang w:eastAsia="ar-EG" w:bidi="ar-EG"/>
              </w:rPr>
              <w:t xml:space="preserve"> </w:t>
            </w:r>
            <w:r w:rsidRPr="00A8069E">
              <w:rPr>
                <w:rFonts w:ascii="Arabic Typesetting" w:eastAsia="Arabic Typesetting" w:hAnsi="Arabic Typesetting" w:cs="Arabic Typesetting"/>
                <w:i/>
                <w:iCs/>
                <w:color w:val="002060"/>
                <w:sz w:val="28"/>
                <w:szCs w:val="28"/>
                <w:rtl/>
                <w:lang w:eastAsia="ar-EG" w:bidi="ar-EG"/>
              </w:rPr>
              <w:t>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8069E">
              <w:rPr>
                <w:rFonts w:ascii="Arabic Typesetting" w:eastAsia="Batang" w:hAnsi="Arabic Typesetting" w:cs="Arabic Typesetting"/>
                <w:color w:val="002060"/>
                <w:sz w:val="28"/>
                <w:szCs w:val="28"/>
                <w:rtl/>
                <w:lang w:eastAsia="ja-JP" w:bidi="ar-EG"/>
              </w:rPr>
              <w:t>1480 تعديلاً خلال الثنائية</w:t>
            </w:r>
            <w:r>
              <w:rPr>
                <w:rFonts w:ascii="Arabic Typesetting" w:eastAsia="Batang" w:hAnsi="Arabic Typesetting" w:cs="Arabic Typesetting"/>
                <w:color w:val="002060"/>
                <w:sz w:val="28"/>
                <w:szCs w:val="28"/>
                <w:rtl/>
                <w:lang w:eastAsia="ja-JP" w:bidi="ar-EG"/>
              </w:rPr>
              <w:t>:</w:t>
            </w:r>
          </w:p>
          <w:p w14:paraId="65DFE338" w14:textId="77777777" w:rsidR="00CE6E0B" w:rsidRPr="00A8069E" w:rsidRDefault="00CE6E0B" w:rsidP="0031289D">
            <w:pPr>
              <w:bidi/>
              <w:spacing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560 تعديلاً في ع</w:t>
            </w:r>
            <w:r>
              <w:rPr>
                <w:rFonts w:ascii="Arabic Typesetting" w:eastAsia="Batang" w:hAnsi="Arabic Typesetting" w:cs="Arabic Typesetting" w:hint="cs"/>
                <w:color w:val="002060"/>
                <w:sz w:val="28"/>
                <w:szCs w:val="28"/>
                <w:rtl/>
                <w:lang w:eastAsia="ja-JP" w:bidi="ar-EG"/>
              </w:rPr>
              <w:t>ام 2014</w:t>
            </w:r>
            <w:r w:rsidRPr="00A8069E">
              <w:rPr>
                <w:rFonts w:ascii="Arabic Typesetting" w:eastAsia="Batang" w:hAnsi="Arabic Typesetting" w:cs="Arabic Typesetting"/>
                <w:color w:val="002060"/>
                <w:sz w:val="28"/>
                <w:szCs w:val="28"/>
                <w:vertAlign w:val="superscript"/>
                <w:lang w:eastAsia="ja-JP" w:bidi="ar-EG"/>
              </w:rPr>
              <w:footnoteReference w:id="59"/>
            </w:r>
          </w:p>
          <w:p w14:paraId="591CD8FF" w14:textId="77777777" w:rsidR="00CE6E0B" w:rsidRPr="00A8069E" w:rsidRDefault="00CE6E0B" w:rsidP="0031289D">
            <w:pPr>
              <w:keepNext/>
              <w:keepLines/>
              <w:numPr>
                <w:ilvl w:val="0"/>
                <w:numId w:val="24"/>
              </w:numPr>
              <w:autoSpaceDE w:val="0"/>
              <w:autoSpaceDN w:val="0"/>
              <w:bidi/>
              <w:adjustRightInd w:val="0"/>
              <w:spacing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274 بالإنكليزية</w:t>
            </w:r>
          </w:p>
          <w:p w14:paraId="42BD9FEE" w14:textId="77777777" w:rsidR="00CE6E0B" w:rsidRPr="00A8069E" w:rsidRDefault="00CE6E0B" w:rsidP="0031289D">
            <w:pPr>
              <w:keepNext/>
              <w:keepLines/>
              <w:numPr>
                <w:ilvl w:val="0"/>
                <w:numId w:val="24"/>
              </w:numPr>
              <w:autoSpaceDE w:val="0"/>
              <w:autoSpaceDN w:val="0"/>
              <w:bidi/>
              <w:adjustRightInd w:val="0"/>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286 بالفرنسية</w:t>
            </w:r>
          </w:p>
          <w:p w14:paraId="7FAD3982" w14:textId="77777777" w:rsidR="00CE6E0B" w:rsidRPr="00A8069E" w:rsidRDefault="00CE6E0B" w:rsidP="0031289D">
            <w:pPr>
              <w:keepNext/>
              <w:keepLines/>
              <w:autoSpaceDE w:val="0"/>
              <w:autoSpaceDN w:val="0"/>
              <w:bidi/>
              <w:adjustRightInd w:val="0"/>
              <w:spacing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920 تعديلاً في عام 2015</w:t>
            </w:r>
          </w:p>
          <w:p w14:paraId="33843E71" w14:textId="77777777" w:rsidR="00CE6E0B" w:rsidRPr="00A8069E" w:rsidRDefault="00CE6E0B" w:rsidP="0031289D">
            <w:pPr>
              <w:keepNext/>
              <w:keepLines/>
              <w:numPr>
                <w:ilvl w:val="0"/>
                <w:numId w:val="24"/>
              </w:numPr>
              <w:autoSpaceDE w:val="0"/>
              <w:autoSpaceDN w:val="0"/>
              <w:bidi/>
              <w:adjustRightInd w:val="0"/>
              <w:spacing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496 بالإنكليزية</w:t>
            </w:r>
          </w:p>
          <w:p w14:paraId="735C4599" w14:textId="77777777" w:rsidR="00CE6E0B" w:rsidRDefault="00CE6E0B" w:rsidP="0031289D">
            <w:pPr>
              <w:keepNext/>
              <w:keepLines/>
              <w:numPr>
                <w:ilvl w:val="0"/>
                <w:numId w:val="24"/>
              </w:numPr>
              <w:autoSpaceDE w:val="0"/>
              <w:autoSpaceDN w:val="0"/>
              <w:bidi/>
              <w:adjustRightInd w:val="0"/>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424 بالفرنسية</w:t>
            </w:r>
          </w:p>
          <w:p w14:paraId="35E6E28A" w14:textId="77777777" w:rsidR="00CE6E0B" w:rsidRPr="00A8069E" w:rsidRDefault="00CE6E0B" w:rsidP="0031289D">
            <w:pPr>
              <w:keepNext/>
              <w:keepLines/>
              <w:bidi/>
              <w:spacing w:line="280" w:lineRule="exact"/>
              <w:rPr>
                <w:rFonts w:ascii="Arabic Typesetting" w:eastAsia="Arabic Typesetting" w:hAnsi="Arabic Typesetting" w:cs="Arabic Typesetting"/>
                <w:color w:val="002060"/>
                <w:sz w:val="28"/>
                <w:szCs w:val="28"/>
                <w:lang w:eastAsia="ar-EG" w:bidi="ar-EG"/>
              </w:rPr>
            </w:pPr>
            <w:r w:rsidRPr="00A8069E">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43</w:t>
            </w:r>
            <w:r w:rsidRPr="00A8069E">
              <w:rPr>
                <w:rFonts w:ascii="Arabic Typesetting" w:eastAsia="Arabic Typesetting" w:hAnsi="Arabic Typesetting" w:cs="Arabic Typesetting"/>
                <w:color w:val="002060"/>
                <w:sz w:val="28"/>
                <w:szCs w:val="28"/>
                <w:rtl/>
                <w:lang w:eastAsia="ar-EG" w:bidi="ar-EG"/>
              </w:rPr>
              <w:t xml:space="preserve"> ملف معلومات منقحاً </w:t>
            </w:r>
          </w:p>
          <w:p w14:paraId="758D8798" w14:textId="77777777" w:rsidR="00CE6E0B" w:rsidRPr="00A8069E" w:rsidRDefault="00CE6E0B" w:rsidP="0031289D">
            <w:pPr>
              <w:keepNext/>
              <w:keepLines/>
              <w:numPr>
                <w:ilvl w:val="0"/>
                <w:numId w:val="24"/>
              </w:numPr>
              <w:autoSpaceDE w:val="0"/>
              <w:autoSpaceDN w:val="0"/>
              <w:bidi/>
              <w:adjustRightInd w:val="0"/>
              <w:spacing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39 (2014)</w:t>
            </w:r>
          </w:p>
          <w:p w14:paraId="5197CCA7" w14:textId="77777777" w:rsidR="00CE6E0B" w:rsidRDefault="00CE6E0B" w:rsidP="0031289D">
            <w:pPr>
              <w:keepNext/>
              <w:keepLines/>
              <w:numPr>
                <w:ilvl w:val="0"/>
                <w:numId w:val="24"/>
              </w:numPr>
              <w:autoSpaceDE w:val="0"/>
              <w:autoSpaceDN w:val="0"/>
              <w:bidi/>
              <w:adjustRightInd w:val="0"/>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4 (2015)</w:t>
            </w:r>
          </w:p>
          <w:p w14:paraId="4792F504" w14:textId="77777777" w:rsidR="00CE6E0B" w:rsidRPr="00A8069E" w:rsidRDefault="00CE6E0B" w:rsidP="0031289D">
            <w:pPr>
              <w:keepNext/>
              <w:keepLines/>
              <w:autoSpaceDE w:val="0"/>
              <w:autoSpaceDN w:val="0"/>
              <w:bidi/>
              <w:adjustRightInd w:val="0"/>
              <w:spacing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إدراج 25 ملف معلومات جديداً</w:t>
            </w:r>
          </w:p>
          <w:p w14:paraId="6BCE65D4" w14:textId="77777777" w:rsidR="00CE6E0B" w:rsidRPr="00A8069E" w:rsidRDefault="00CE6E0B" w:rsidP="0031289D">
            <w:pPr>
              <w:keepNext/>
              <w:keepLines/>
              <w:numPr>
                <w:ilvl w:val="0"/>
                <w:numId w:val="23"/>
              </w:numPr>
              <w:autoSpaceDE w:val="0"/>
              <w:autoSpaceDN w:val="0"/>
              <w:bidi/>
              <w:adjustRightInd w:val="0"/>
              <w:spacing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20 (2014)</w:t>
            </w:r>
          </w:p>
          <w:p w14:paraId="68256BE0" w14:textId="77777777" w:rsidR="00CE6E0B" w:rsidRDefault="00CE6E0B" w:rsidP="0031289D">
            <w:pPr>
              <w:keepNext/>
              <w:keepLines/>
              <w:numPr>
                <w:ilvl w:val="0"/>
                <w:numId w:val="24"/>
              </w:numPr>
              <w:autoSpaceDE w:val="0"/>
              <w:autoSpaceDN w:val="0"/>
              <w:bidi/>
              <w:adjustRightInd w:val="0"/>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5 (2015)</w:t>
            </w:r>
          </w:p>
          <w:p w14:paraId="7EA865EF" w14:textId="77777777" w:rsidR="00CE6E0B" w:rsidRPr="00A8069E"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A8069E">
              <w:rPr>
                <w:rFonts w:ascii="Arabic Typesetting" w:eastAsia="Arabic Typesetting" w:hAnsi="Arabic Typesetting" w:cs="Arabic Typesetting"/>
                <w:i/>
                <w:iCs/>
                <w:sz w:val="28"/>
                <w:szCs w:val="28"/>
                <w:rtl/>
                <w:lang w:eastAsia="ar-EG" w:bidi="ar-EG"/>
              </w:rPr>
              <w:t>:</w:t>
            </w:r>
            <w:r w:rsidRPr="00A8069E">
              <w:rPr>
                <w:rFonts w:ascii="Arabic Typesetting" w:eastAsia="Arabic Typesetting" w:hAnsi="Arabic Typesetting" w:cs="Arabic Typesetting"/>
                <w:i/>
                <w:sz w:val="28"/>
                <w:szCs w:val="28"/>
                <w:lang w:eastAsia="ar-EG" w:bidi="ar-EG"/>
              </w:rPr>
              <w:br/>
            </w:r>
            <w:r w:rsidRPr="00A8069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8069E">
              <w:rPr>
                <w:rFonts w:ascii="Arabic Typesetting" w:eastAsia="Arabic Typesetting" w:hAnsi="Arabic Typesetting" w:cs="Arabic Typesetting"/>
                <w:color w:val="000000"/>
                <w:sz w:val="28"/>
                <w:szCs w:val="28"/>
                <w:rtl/>
                <w:lang w:eastAsia="ar-EG" w:bidi="ar-EG"/>
              </w:rPr>
              <w:t xml:space="preserve">‏570 تعديلا بالإنكليزية والفرنسية، </w:t>
            </w:r>
            <w:r>
              <w:rPr>
                <w:rFonts w:ascii="Arabic Typesetting" w:eastAsia="Arabic Typesetting" w:hAnsi="Arabic Typesetting" w:cs="Arabic Typesetting" w:hint="cs"/>
                <w:color w:val="000000"/>
                <w:sz w:val="28"/>
                <w:szCs w:val="28"/>
                <w:rtl/>
                <w:lang w:eastAsia="ar-EG" w:bidi="ar-EG"/>
              </w:rPr>
              <w:t>و</w:t>
            </w:r>
            <w:r w:rsidRPr="00A8069E">
              <w:rPr>
                <w:rFonts w:ascii="Arabic Typesetting" w:eastAsia="Arabic Typesetting" w:hAnsi="Arabic Typesetting" w:cs="Arabic Typesetting"/>
                <w:color w:val="000000"/>
                <w:sz w:val="28"/>
                <w:szCs w:val="28"/>
                <w:rtl/>
                <w:lang w:eastAsia="ar-EG" w:bidi="ar-EG"/>
              </w:rPr>
              <w:t>50</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 xml:space="preserve">ملف معلومات </w:t>
            </w:r>
            <w:r>
              <w:rPr>
                <w:rFonts w:ascii="Arabic Typesetting" w:eastAsia="Arabic Typesetting" w:hAnsi="Arabic Typesetting" w:cs="Arabic Typesetting" w:hint="cs"/>
                <w:color w:val="000000"/>
                <w:sz w:val="28"/>
                <w:szCs w:val="28"/>
                <w:rtl/>
                <w:lang w:eastAsia="ar-EG" w:bidi="ar-EG"/>
              </w:rPr>
              <w:t>جديداً أو</w:t>
            </w:r>
            <w:r>
              <w:rPr>
                <w:rFonts w:ascii="Arabic Typesetting" w:eastAsia="Arabic Typesetting" w:hAnsi="Arabic Typesetting" w:cs="Arabic Typesetting" w:hint="eastAsia"/>
                <w:color w:val="000000"/>
                <w:sz w:val="28"/>
                <w:szCs w:val="28"/>
                <w:rtl/>
                <w:lang w:eastAsia="ar-EG" w:bidi="ar-EG"/>
              </w:rPr>
              <w:t> </w:t>
            </w:r>
            <w:r>
              <w:rPr>
                <w:rFonts w:ascii="Arabic Typesetting" w:eastAsia="Arabic Typesetting" w:hAnsi="Arabic Typesetting" w:cs="Arabic Typesetting" w:hint="cs"/>
                <w:color w:val="000000"/>
                <w:sz w:val="28"/>
                <w:szCs w:val="28"/>
                <w:rtl/>
                <w:lang w:eastAsia="ar-EG" w:bidi="ar-EG"/>
              </w:rPr>
              <w:t>معدلاً </w:t>
            </w:r>
            <w:r w:rsidRPr="00A8069E">
              <w:rPr>
                <w:rFonts w:ascii="Arabic Typesetting" w:eastAsia="Arabic Typesetting" w:hAnsi="Arabic Typesetting" w:cs="Arabic Typesetting"/>
                <w:color w:val="000000"/>
                <w:sz w:val="28"/>
                <w:szCs w:val="28"/>
                <w:rtl/>
                <w:lang w:eastAsia="ar-EG" w:bidi="ar-EG"/>
              </w:rPr>
              <w:t>(2014)</w:t>
            </w:r>
          </w:p>
        </w:tc>
        <w:tc>
          <w:tcPr>
            <w:tcW w:w="687" w:type="pct"/>
            <w:shd w:val="clear" w:color="auto" w:fill="auto"/>
            <w:tcMar>
              <w:top w:w="110" w:type="dxa"/>
              <w:left w:w="58" w:type="dxa"/>
              <w:right w:w="58" w:type="dxa"/>
            </w:tcMar>
          </w:tcPr>
          <w:p w14:paraId="1D5B81CE" w14:textId="77777777" w:rsidR="00CE6E0B" w:rsidRPr="00A8069E"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t>زيادة مقارنةً بأساس</w:t>
            </w:r>
            <w:r>
              <w:rPr>
                <w:rFonts w:ascii="Arabic Typesetting" w:eastAsia="Arabic Typesetting" w:hAnsi="Arabic Typesetting" w:cs="Arabic Typesetting" w:hint="cs"/>
                <w:color w:val="000000"/>
                <w:sz w:val="28"/>
                <w:szCs w:val="28"/>
                <w:rtl/>
                <w:lang w:eastAsia="ar-EG" w:bidi="ar-EG"/>
              </w:rPr>
              <w:t> </w:t>
            </w:r>
            <w:r w:rsidRPr="00A8069E">
              <w:rPr>
                <w:rFonts w:ascii="Arabic Typesetting" w:eastAsia="Arabic Typesetting" w:hAnsi="Arabic Typesetting" w:cs="Arabic Typesetting"/>
                <w:color w:val="000000"/>
                <w:sz w:val="28"/>
                <w:szCs w:val="28"/>
                <w:rtl/>
                <w:lang w:eastAsia="ar-EG" w:bidi="ar-EG"/>
              </w:rPr>
              <w:t>المقارنة</w:t>
            </w:r>
          </w:p>
        </w:tc>
        <w:tc>
          <w:tcPr>
            <w:tcW w:w="1386" w:type="pct"/>
            <w:shd w:val="clear" w:color="auto" w:fill="FFFFFF"/>
            <w:tcMar>
              <w:top w:w="110" w:type="dxa"/>
              <w:left w:w="58" w:type="dxa"/>
              <w:right w:w="58" w:type="dxa"/>
            </w:tcMar>
          </w:tcPr>
          <w:p w14:paraId="5A8F789A" w14:textId="77777777" w:rsidR="00CE6E0B" w:rsidRPr="00A8069E" w:rsidRDefault="00CE6E0B" w:rsidP="0031289D">
            <w:pPr>
              <w:bidi/>
              <w:spacing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1213 تعديلاً</w:t>
            </w:r>
          </w:p>
          <w:p w14:paraId="4D1291B3" w14:textId="77777777" w:rsidR="00CE6E0B" w:rsidRPr="00A8069E" w:rsidRDefault="00CE6E0B" w:rsidP="0031289D">
            <w:pPr>
              <w:numPr>
                <w:ilvl w:val="0"/>
                <w:numId w:val="22"/>
              </w:numPr>
              <w:bidi/>
              <w:spacing w:line="280" w:lineRule="exact"/>
              <w:ind w:left="147" w:hanging="147"/>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t>651 بالإنكليزية</w:t>
            </w:r>
          </w:p>
          <w:p w14:paraId="5C6C4D21" w14:textId="77777777" w:rsidR="00CE6E0B" w:rsidRDefault="00CE6E0B" w:rsidP="0031289D">
            <w:pPr>
              <w:numPr>
                <w:ilvl w:val="0"/>
                <w:numId w:val="22"/>
              </w:numPr>
              <w:bidi/>
              <w:spacing w:after="1560" w:line="280" w:lineRule="exact"/>
              <w:ind w:left="147" w:hanging="147"/>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t>562 بالفرنسية</w:t>
            </w:r>
          </w:p>
          <w:p w14:paraId="41D7C14E" w14:textId="77777777" w:rsidR="00CE6E0B" w:rsidRDefault="00CE6E0B" w:rsidP="0031289D">
            <w:pPr>
              <w:bidi/>
              <w:spacing w:after="7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t>148 ملف معلومات منقحاً</w:t>
            </w:r>
          </w:p>
          <w:p w14:paraId="0D1FB0C5" w14:textId="77777777" w:rsidR="00CE6E0B" w:rsidRPr="00A8069E"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t>إدراج 30 ملف معلومات جديداً</w:t>
            </w:r>
          </w:p>
        </w:tc>
        <w:tc>
          <w:tcPr>
            <w:tcW w:w="504" w:type="pct"/>
            <w:shd w:val="clear" w:color="auto" w:fill="auto"/>
            <w:tcMar>
              <w:top w:w="110" w:type="dxa"/>
              <w:left w:w="58" w:type="dxa"/>
              <w:right w:w="58" w:type="dxa"/>
            </w:tcMar>
          </w:tcPr>
          <w:p w14:paraId="13CD2A78" w14:textId="77777777" w:rsidR="00CE6E0B" w:rsidRDefault="00CE6E0B" w:rsidP="0031289D">
            <w:pPr>
              <w:keepNext/>
              <w:keepLines/>
              <w:bidi/>
              <w:spacing w:after="2040" w:line="280" w:lineRule="exact"/>
              <w:jc w:val="center"/>
              <w:rPr>
                <w:rFonts w:ascii="Arabic Typesetting" w:eastAsia="Arabic Typesetting" w:hAnsi="Arabic Typesetting" w:cs="Arabic Typesetting"/>
                <w:b/>
                <w:color w:val="00B050"/>
                <w:sz w:val="28"/>
                <w:szCs w:val="28"/>
                <w:lang w:eastAsia="ar-EG" w:bidi="ar-EG"/>
              </w:rPr>
            </w:pPr>
            <w:r w:rsidRPr="00A8069E">
              <w:rPr>
                <w:rFonts w:ascii="Arabic Typesetting" w:eastAsia="Arabic Typesetting" w:hAnsi="Arabic Typesetting" w:cs="Arabic Typesetting"/>
                <w:b/>
                <w:bCs/>
                <w:color w:val="00B050"/>
                <w:sz w:val="28"/>
                <w:szCs w:val="28"/>
                <w:rtl/>
                <w:lang w:eastAsia="ar-EG" w:bidi="ar-EG"/>
              </w:rPr>
              <w:t>ثابت</w:t>
            </w:r>
          </w:p>
          <w:p w14:paraId="40E2FA36" w14:textId="77777777" w:rsidR="00CE6E0B" w:rsidRDefault="00CE6E0B" w:rsidP="0031289D">
            <w:pPr>
              <w:keepNext/>
              <w:keepLines/>
              <w:bidi/>
              <w:spacing w:after="800" w:line="280" w:lineRule="exact"/>
              <w:jc w:val="center"/>
              <w:rPr>
                <w:rFonts w:ascii="Arabic Typesetting" w:eastAsia="Arabic Typesetting" w:hAnsi="Arabic Typesetting" w:cs="Arabic Typesetting"/>
                <w:b/>
                <w:color w:val="00B050"/>
                <w:sz w:val="28"/>
                <w:szCs w:val="28"/>
                <w:lang w:eastAsia="ar-EG" w:bidi="ar-EG"/>
              </w:rPr>
            </w:pPr>
            <w:r w:rsidRPr="00A8069E">
              <w:rPr>
                <w:rFonts w:ascii="Arabic Typesetting" w:eastAsia="Arabic Typesetting" w:hAnsi="Arabic Typesetting" w:cs="Arabic Typesetting"/>
                <w:b/>
                <w:bCs/>
                <w:color w:val="00B050"/>
                <w:sz w:val="28"/>
                <w:szCs w:val="28"/>
                <w:rtl/>
                <w:lang w:eastAsia="ar-EG" w:bidi="ar-EG"/>
              </w:rPr>
              <w:t>ثابت</w:t>
            </w:r>
          </w:p>
          <w:p w14:paraId="5EA5C16E" w14:textId="77777777" w:rsidR="00CE6E0B" w:rsidRPr="00A8069E" w:rsidRDefault="00CE6E0B"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8069E">
              <w:rPr>
                <w:rFonts w:ascii="Arabic Typesetting" w:eastAsia="Arabic Typesetting" w:hAnsi="Arabic Typesetting" w:cs="Arabic Typesetting"/>
                <w:b/>
                <w:bCs/>
                <w:color w:val="00B050"/>
                <w:sz w:val="28"/>
                <w:szCs w:val="28"/>
                <w:rtl/>
                <w:lang w:eastAsia="ar-EG" w:bidi="ar-EG"/>
              </w:rPr>
              <w:t>ثابت</w:t>
            </w:r>
          </w:p>
        </w:tc>
      </w:tr>
      <w:tr w:rsidR="00CE6E0B" w:rsidRPr="00A8069E" w14:paraId="303EA0D8" w14:textId="77777777" w:rsidTr="00BB3820">
        <w:trPr>
          <w:cantSplit/>
          <w:trHeight w:val="700"/>
        </w:trPr>
        <w:tc>
          <w:tcPr>
            <w:tcW w:w="1082" w:type="pct"/>
            <w:shd w:val="clear" w:color="auto" w:fill="auto"/>
            <w:tcMar>
              <w:left w:w="58" w:type="dxa"/>
              <w:right w:w="58" w:type="dxa"/>
            </w:tcMar>
          </w:tcPr>
          <w:p w14:paraId="032639B1" w14:textId="77777777" w:rsidR="00CE6E0B" w:rsidRPr="00A8069E" w:rsidRDefault="00CE6E0B"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lastRenderedPageBreak/>
              <w:t>عدد التقسيمات الفرعية الجديدة التي أُدخلت في التصنيف الدولي للبراءات سنويا</w:t>
            </w:r>
          </w:p>
        </w:tc>
        <w:tc>
          <w:tcPr>
            <w:tcW w:w="1341" w:type="pct"/>
            <w:shd w:val="clear" w:color="auto" w:fill="auto"/>
            <w:tcMar>
              <w:left w:w="58" w:type="dxa"/>
              <w:right w:w="58" w:type="dxa"/>
            </w:tcMar>
          </w:tcPr>
          <w:p w14:paraId="6C7FFF69" w14:textId="77777777" w:rsidR="00CE6E0B" w:rsidRDefault="00CE6E0B" w:rsidP="0031289D">
            <w:pPr>
              <w:autoSpaceDE w:val="0"/>
              <w:autoSpaceDN w:val="0"/>
              <w:bidi/>
              <w:adjustRightInd w:val="0"/>
              <w:spacing w:after="60" w:line="280" w:lineRule="exact"/>
              <w:rPr>
                <w:rFonts w:ascii="Arabic Typesetting" w:eastAsia="Arabic Typesetting" w:hAnsi="Arabic Typesetting" w:cs="Arabic Typesetting"/>
                <w:i/>
                <w:iCs/>
                <w:color w:val="002060"/>
                <w:sz w:val="28"/>
                <w:szCs w:val="28"/>
                <w:rtl/>
                <w:lang w:eastAsia="ar-EG" w:bidi="ar-EG"/>
              </w:rPr>
            </w:pPr>
            <w:r w:rsidRPr="00A8069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p>
          <w:p w14:paraId="05763D43" w14:textId="77777777" w:rsidR="00CE6E0B" w:rsidRPr="00A8069E" w:rsidRDefault="00CE6E0B" w:rsidP="0031289D">
            <w:pPr>
              <w:autoSpaceDE w:val="0"/>
              <w:autoSpaceDN w:val="0"/>
              <w:bidi/>
              <w:adjustRightInd w:val="0"/>
              <w:spacing w:after="6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2015</w:t>
            </w:r>
            <w:r>
              <w:rPr>
                <w:rFonts w:ascii="Arabic Typesetting" w:eastAsia="Batang" w:hAnsi="Arabic Typesetting" w:cs="Arabic Typesetting"/>
                <w:color w:val="002060"/>
                <w:sz w:val="28"/>
                <w:szCs w:val="28"/>
                <w:rtl/>
                <w:lang w:eastAsia="ja-JP" w:bidi="ar-EG"/>
              </w:rPr>
              <w:t>:</w:t>
            </w:r>
            <w:r>
              <w:rPr>
                <w:rFonts w:ascii="Arabic Typesetting" w:eastAsia="Batang" w:hAnsi="Arabic Typesetting" w:cs="Arabic Typesetting"/>
                <w:color w:val="002060"/>
                <w:sz w:val="28"/>
                <w:szCs w:val="28"/>
                <w:lang w:eastAsia="ja-JP" w:bidi="ar-EG"/>
              </w:rPr>
              <w:t xml:space="preserve"> </w:t>
            </w:r>
            <w:r w:rsidRPr="00A8069E">
              <w:rPr>
                <w:rFonts w:ascii="Arabic Typesetting" w:eastAsia="Batang" w:hAnsi="Arabic Typesetting" w:cs="Arabic Typesetting"/>
                <w:color w:val="002060"/>
                <w:sz w:val="28"/>
                <w:szCs w:val="28"/>
                <w:rtl/>
                <w:lang w:eastAsia="ja-JP" w:bidi="ar-EG"/>
              </w:rPr>
              <w:t>1031 مجموعة جديدة أدرجت في النسخة الأولى من ال</w:t>
            </w:r>
            <w:r>
              <w:rPr>
                <w:rFonts w:ascii="Arabic Typesetting" w:eastAsia="Batang" w:hAnsi="Arabic Typesetting" w:cs="Arabic Typesetting"/>
                <w:color w:val="002060"/>
                <w:sz w:val="28"/>
                <w:szCs w:val="28"/>
                <w:rtl/>
                <w:lang w:eastAsia="ja-JP" w:bidi="ar-EG"/>
              </w:rPr>
              <w:t>تصنيف الدولي للبراءات لعام 2016</w:t>
            </w:r>
          </w:p>
          <w:p w14:paraId="2418DCED"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069E">
              <w:rPr>
                <w:rFonts w:ascii="Arabic Typesetting" w:eastAsia="Arabic Typesetting" w:hAnsi="Arabic Typesetting" w:cs="Arabic Typesetting"/>
                <w:color w:val="002060"/>
                <w:sz w:val="28"/>
                <w:szCs w:val="28"/>
                <w:rtl/>
                <w:lang w:eastAsia="ar-EG" w:bidi="ar-EG"/>
              </w:rPr>
              <w:t>2014</w:t>
            </w:r>
            <w:r>
              <w:rPr>
                <w:rFonts w:ascii="Arabic Typesetting" w:eastAsia="Arabic Typesetting" w:hAnsi="Arabic Typesetting" w:cs="Arabic Typesetting"/>
                <w:color w:val="002060"/>
                <w:sz w:val="28"/>
                <w:szCs w:val="28"/>
                <w:rtl/>
                <w:lang w:eastAsia="ar-EG" w:bidi="ar-EG"/>
              </w:rPr>
              <w:t>:</w:t>
            </w:r>
            <w:r w:rsidRPr="00A8069E">
              <w:rPr>
                <w:rFonts w:ascii="Arabic Typesetting" w:eastAsia="Arabic Typesetting" w:hAnsi="Arabic Typesetting" w:cs="Arabic Typesetting"/>
                <w:color w:val="002060"/>
                <w:sz w:val="28"/>
                <w:szCs w:val="28"/>
                <w:rtl/>
                <w:lang w:eastAsia="ar-EG" w:bidi="ar-EG"/>
              </w:rPr>
              <w:t xml:space="preserve"> 337 مجموعة جديدة أدرجت في النسخة الأولى من التصنيف الدولي للبراءات لعام 2015</w:t>
            </w:r>
          </w:p>
          <w:p w14:paraId="68E042AB" w14:textId="77777777" w:rsidR="00CE6E0B" w:rsidRPr="00A8069E" w:rsidRDefault="00CE6E0B" w:rsidP="0031289D">
            <w:pPr>
              <w:autoSpaceDE w:val="0"/>
              <w:autoSpaceDN w:val="0"/>
              <w:bidi/>
              <w:adjustRightInd w:val="0"/>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Pr>
                <w:rFonts w:ascii="Arabic Typesetting" w:eastAsia="Arabic Typesetting" w:hAnsi="Arabic Typesetting" w:cs="Arabic Typesetting"/>
                <w:i/>
                <w:iCs/>
                <w:sz w:val="28"/>
                <w:szCs w:val="28"/>
                <w:rtl/>
                <w:lang w:eastAsia="ar-EG" w:bidi="ar-EG"/>
              </w:rPr>
              <w:br/>
            </w:r>
            <w:r w:rsidRPr="00A8069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8069E">
              <w:rPr>
                <w:rFonts w:ascii="Arabic Typesetting" w:eastAsia="Batang" w:hAnsi="Arabic Typesetting" w:cs="Arabic Typesetting"/>
                <w:color w:val="000000"/>
                <w:sz w:val="28"/>
                <w:szCs w:val="28"/>
                <w:rtl/>
                <w:lang w:eastAsia="ja-JP" w:bidi="ar-EG"/>
              </w:rPr>
              <w:t>2014</w:t>
            </w:r>
            <w:r>
              <w:rPr>
                <w:rFonts w:ascii="Arabic Typesetting" w:eastAsia="Batang" w:hAnsi="Arabic Typesetting" w:cs="Arabic Typesetting"/>
                <w:color w:val="000000"/>
                <w:sz w:val="28"/>
                <w:szCs w:val="28"/>
                <w:rtl/>
                <w:lang w:eastAsia="ja-JP" w:bidi="ar-EG"/>
              </w:rPr>
              <w:t>:</w:t>
            </w:r>
            <w:r>
              <w:rPr>
                <w:rFonts w:ascii="Arabic Typesetting" w:eastAsia="Batang" w:hAnsi="Arabic Typesetting" w:cs="Arabic Typesetting" w:hint="cs"/>
                <w:color w:val="000000"/>
                <w:sz w:val="28"/>
                <w:szCs w:val="28"/>
                <w:rtl/>
                <w:lang w:eastAsia="ja-JP" w:bidi="ar-EG"/>
              </w:rPr>
              <w:t xml:space="preserve"> </w:t>
            </w:r>
            <w:r w:rsidRPr="00A8069E">
              <w:rPr>
                <w:rFonts w:ascii="Arabic Typesetting" w:eastAsia="Batang" w:hAnsi="Arabic Typesetting" w:cs="Arabic Typesetting"/>
                <w:color w:val="000000"/>
                <w:sz w:val="28"/>
                <w:szCs w:val="28"/>
                <w:rtl/>
                <w:lang w:eastAsia="ja-JP" w:bidi="ar-EG"/>
              </w:rPr>
              <w:t>337 مجموعة جديدة أدرجت في النسخة الأولى من التصنيف الدولي للبراءات لعام 2015</w:t>
            </w:r>
          </w:p>
        </w:tc>
        <w:tc>
          <w:tcPr>
            <w:tcW w:w="687" w:type="pct"/>
            <w:shd w:val="clear" w:color="auto" w:fill="auto"/>
            <w:tcMar>
              <w:top w:w="110" w:type="dxa"/>
              <w:left w:w="58" w:type="dxa"/>
              <w:right w:w="58" w:type="dxa"/>
            </w:tcMar>
          </w:tcPr>
          <w:p w14:paraId="7E6A7A67" w14:textId="77777777" w:rsidR="00CE6E0B" w:rsidRPr="00A8069E"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t>زيادة مقارنةً بأساس</w:t>
            </w:r>
            <w:r>
              <w:rPr>
                <w:rFonts w:ascii="Arabic Typesetting" w:eastAsia="Arabic Typesetting" w:hAnsi="Arabic Typesetting" w:cs="Arabic Typesetting" w:hint="cs"/>
                <w:color w:val="000000"/>
                <w:sz w:val="28"/>
                <w:szCs w:val="28"/>
                <w:rtl/>
                <w:lang w:eastAsia="ar-EG" w:bidi="ar-EG"/>
              </w:rPr>
              <w:t> </w:t>
            </w:r>
            <w:r w:rsidRPr="00A8069E">
              <w:rPr>
                <w:rFonts w:ascii="Arabic Typesetting" w:eastAsia="Arabic Typesetting" w:hAnsi="Arabic Typesetting" w:cs="Arabic Typesetting"/>
                <w:color w:val="000000"/>
                <w:sz w:val="28"/>
                <w:szCs w:val="28"/>
                <w:rtl/>
                <w:lang w:eastAsia="ar-EG" w:bidi="ar-EG"/>
              </w:rPr>
              <w:t>المقارنة</w:t>
            </w:r>
          </w:p>
        </w:tc>
        <w:tc>
          <w:tcPr>
            <w:tcW w:w="1386" w:type="pct"/>
            <w:shd w:val="clear" w:color="auto" w:fill="FFFFFF"/>
            <w:tcMar>
              <w:top w:w="110" w:type="dxa"/>
              <w:left w:w="58" w:type="dxa"/>
              <w:right w:w="58" w:type="dxa"/>
            </w:tcMar>
          </w:tcPr>
          <w:p w14:paraId="55E6AAEA" w14:textId="77777777" w:rsidR="00CE6E0B" w:rsidRPr="00A8069E"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t>684 مجموعة جديدة أدرجت في النسخة الأولى من التصنيف الدولي للبراءات لعام</w:t>
            </w:r>
            <w:r>
              <w:rPr>
                <w:rFonts w:ascii="Arabic Typesetting" w:eastAsia="Arabic Typesetting" w:hAnsi="Arabic Typesetting" w:cs="Arabic Typesetting" w:hint="cs"/>
                <w:color w:val="000000"/>
                <w:sz w:val="28"/>
                <w:szCs w:val="28"/>
                <w:rtl/>
                <w:lang w:eastAsia="ar-EG" w:bidi="ar-EG"/>
              </w:rPr>
              <w:t> </w:t>
            </w:r>
            <w:r w:rsidRPr="00A8069E">
              <w:rPr>
                <w:rFonts w:ascii="Arabic Typesetting" w:eastAsia="Arabic Typesetting" w:hAnsi="Arabic Typesetting" w:cs="Arabic Typesetting"/>
                <w:color w:val="000000"/>
                <w:sz w:val="28"/>
                <w:szCs w:val="28"/>
                <w:rtl/>
                <w:lang w:eastAsia="ar-EG" w:bidi="ar-EG"/>
              </w:rPr>
              <w:t>2017</w:t>
            </w:r>
          </w:p>
        </w:tc>
        <w:tc>
          <w:tcPr>
            <w:tcW w:w="504" w:type="pct"/>
            <w:shd w:val="clear" w:color="auto" w:fill="auto"/>
            <w:tcMar>
              <w:top w:w="110" w:type="dxa"/>
              <w:left w:w="58" w:type="dxa"/>
              <w:right w:w="58" w:type="dxa"/>
            </w:tcMar>
          </w:tcPr>
          <w:p w14:paraId="0D37C99F" w14:textId="77777777" w:rsidR="00CE6E0B" w:rsidRPr="00A8069E" w:rsidRDefault="00CE6E0B"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8069E">
              <w:rPr>
                <w:rFonts w:ascii="Arabic Typesetting" w:eastAsia="Arabic Typesetting" w:hAnsi="Arabic Typesetting" w:cs="Arabic Typesetting"/>
                <w:b/>
                <w:bCs/>
                <w:color w:val="00B050"/>
                <w:sz w:val="28"/>
                <w:szCs w:val="28"/>
                <w:rtl/>
                <w:lang w:eastAsia="ar-EG" w:bidi="ar-EG"/>
              </w:rPr>
              <w:t>ثابت</w:t>
            </w:r>
          </w:p>
        </w:tc>
      </w:tr>
      <w:tr w:rsidR="00CE6E0B" w:rsidRPr="00A8069E" w14:paraId="00C9538D" w14:textId="77777777" w:rsidTr="00BB3820">
        <w:trPr>
          <w:cantSplit/>
          <w:trHeight w:val="2675"/>
        </w:trPr>
        <w:tc>
          <w:tcPr>
            <w:tcW w:w="1082" w:type="pct"/>
            <w:shd w:val="clear" w:color="auto" w:fill="auto"/>
            <w:tcMar>
              <w:left w:w="58" w:type="dxa"/>
              <w:right w:w="58" w:type="dxa"/>
            </w:tcMar>
          </w:tcPr>
          <w:p w14:paraId="6DAD4E44" w14:textId="77777777" w:rsidR="00CE6E0B" w:rsidRPr="00A8069E" w:rsidRDefault="00CE6E0B"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t>عدد المعايير المُعدَّلة والجديدة المعتمدة</w:t>
            </w:r>
          </w:p>
        </w:tc>
        <w:tc>
          <w:tcPr>
            <w:tcW w:w="1341" w:type="pct"/>
            <w:shd w:val="clear" w:color="auto" w:fill="auto"/>
            <w:tcMar>
              <w:left w:w="58" w:type="dxa"/>
              <w:right w:w="58" w:type="dxa"/>
            </w:tcMar>
          </w:tcPr>
          <w:p w14:paraId="2CA071B4" w14:textId="77777777" w:rsidR="00CE6E0B" w:rsidRDefault="00CE6E0B" w:rsidP="0031289D">
            <w:pPr>
              <w:bidi/>
              <w:spacing w:after="60" w:line="280" w:lineRule="exact"/>
              <w:rPr>
                <w:rFonts w:ascii="Arabic Typesetting" w:eastAsia="Arabic Typesetting" w:hAnsi="Arabic Typesetting" w:cs="Arabic Typesetting"/>
                <w:i/>
                <w:iCs/>
                <w:color w:val="002060"/>
                <w:sz w:val="28"/>
                <w:szCs w:val="28"/>
                <w:rtl/>
                <w:lang w:eastAsia="ar-EG" w:bidi="ar-EG"/>
              </w:rPr>
            </w:pPr>
            <w:r w:rsidRPr="00A8069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p>
          <w:p w14:paraId="2236C88E" w14:textId="77777777" w:rsidR="00CE6E0B" w:rsidRPr="00A8069E" w:rsidRDefault="00CE6E0B" w:rsidP="0031289D">
            <w:pPr>
              <w:bidi/>
              <w:spacing w:after="6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اعتماد معيار واحد جديد على نحو غير رسمي ومراجعة آخر (2014)</w:t>
            </w:r>
          </w:p>
          <w:p w14:paraId="2AB8B1F9" w14:textId="77777777" w:rsidR="00CE6E0B" w:rsidRDefault="00CE6E0B" w:rsidP="0031289D">
            <w:pPr>
              <w:autoSpaceDE w:val="0"/>
              <w:autoSpaceDN w:val="0"/>
              <w:bidi/>
              <w:adjustRightInd w:val="0"/>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عدم اعتماد أي معايير جديدة رسمياً. وعُدِّل معياران (2015)</w:t>
            </w:r>
          </w:p>
          <w:p w14:paraId="0A9074C1" w14:textId="12B7F113" w:rsidR="00CE6E0B" w:rsidRPr="00A8069E" w:rsidRDefault="00CE6E0B" w:rsidP="000C4432">
            <w:pPr>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Pr>
                <w:rFonts w:ascii="Arabic Typesetting" w:eastAsia="Arabic Typesetting" w:hAnsi="Arabic Typesetting" w:cs="Arabic Typesetting"/>
                <w:i/>
                <w:iCs/>
                <w:sz w:val="28"/>
                <w:szCs w:val="28"/>
                <w:rtl/>
                <w:lang w:eastAsia="ar-EG" w:bidi="ar-EG"/>
              </w:rPr>
              <w:br/>
            </w:r>
            <w:r w:rsidRPr="00A8069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8069E">
              <w:rPr>
                <w:rFonts w:ascii="Arabic Typesetting" w:eastAsia="Arabic Typesetting" w:hAnsi="Arabic Typesetting" w:cs="Arabic Typesetting"/>
                <w:color w:val="000000"/>
                <w:sz w:val="28"/>
                <w:szCs w:val="28"/>
                <w:rtl/>
                <w:lang w:eastAsia="ar-EG" w:bidi="ar-EG"/>
              </w:rPr>
              <w:t>معياران جديدان (2014)</w:t>
            </w:r>
          </w:p>
        </w:tc>
        <w:tc>
          <w:tcPr>
            <w:tcW w:w="687" w:type="pct"/>
            <w:shd w:val="clear" w:color="auto" w:fill="auto"/>
            <w:tcMar>
              <w:top w:w="110" w:type="dxa"/>
              <w:left w:w="58" w:type="dxa"/>
              <w:right w:w="58" w:type="dxa"/>
            </w:tcMar>
          </w:tcPr>
          <w:p w14:paraId="62DBB4AD"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069E">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8069E">
              <w:rPr>
                <w:rFonts w:ascii="Arabic Typesetting" w:eastAsia="Arabic Typesetting" w:hAnsi="Arabic Typesetting" w:cs="Arabic Typesetting"/>
                <w:color w:val="002060"/>
                <w:sz w:val="28"/>
                <w:szCs w:val="28"/>
                <w:rtl/>
                <w:lang w:eastAsia="ar-EG" w:bidi="ar-EG"/>
              </w:rPr>
              <w:t>زيادة مقارنة بأساس المقارنة</w:t>
            </w:r>
            <w:r>
              <w:rPr>
                <w:rFonts w:ascii="Arabic Typesetting" w:eastAsia="Arabic Typesetting" w:hAnsi="Arabic Typesetting" w:cs="Arabic Typesetting" w:hint="cs"/>
                <w:color w:val="002060"/>
                <w:sz w:val="28"/>
                <w:szCs w:val="28"/>
                <w:rtl/>
                <w:lang w:eastAsia="ar-EG" w:bidi="ar-EG"/>
              </w:rPr>
              <w:t xml:space="preserve"> </w:t>
            </w:r>
            <w:r w:rsidRPr="00A8069E">
              <w:rPr>
                <w:rFonts w:ascii="Arabic Typesetting" w:eastAsia="Arabic Typesetting" w:hAnsi="Arabic Typesetting" w:cs="Arabic Typesetting"/>
                <w:color w:val="002060"/>
                <w:sz w:val="28"/>
                <w:szCs w:val="28"/>
                <w:rtl/>
                <w:lang w:eastAsia="ar-EG" w:bidi="ar-EG"/>
              </w:rPr>
              <w:t>(اعتماد معيار أو معايير جديدة)</w:t>
            </w:r>
          </w:p>
          <w:p w14:paraId="21AF4344" w14:textId="62197B24" w:rsidR="00CE6E0B" w:rsidRPr="00A8069E" w:rsidRDefault="00CE6E0B" w:rsidP="000C4432">
            <w:pPr>
              <w:bidi/>
              <w:spacing w:after="120" w:line="280" w:lineRule="exact"/>
              <w:rPr>
                <w:rFonts w:ascii="Arabic Typesetting" w:eastAsia="Arabic Typesetting" w:hAnsi="Arabic Typesetting" w:cs="Arabic Typesetting"/>
                <w:i/>
                <w:sz w:val="28"/>
                <w:szCs w:val="28"/>
                <w:lang w:eastAsia="ar-EG" w:bidi="ar-EG"/>
              </w:rPr>
            </w:pPr>
            <w:r w:rsidRPr="00A8069E">
              <w:rPr>
                <w:rFonts w:ascii="Arabic Typesetting" w:eastAsia="Arabic Typesetting" w:hAnsi="Arabic Typesetting" w:cs="Arabic Typesetting"/>
                <w:i/>
                <w:iCs/>
                <w:sz w:val="28"/>
                <w:szCs w:val="28"/>
                <w:rtl/>
                <w:lang w:eastAsia="ar-EG" w:bidi="ar-EG"/>
              </w:rPr>
              <w:t>الهدف الأصلي</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8069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زيادة مقارنةً بأساس</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المقارنة</w:t>
            </w:r>
          </w:p>
        </w:tc>
        <w:tc>
          <w:tcPr>
            <w:tcW w:w="1386" w:type="pct"/>
            <w:shd w:val="clear" w:color="auto" w:fill="FFFFFF"/>
            <w:tcMar>
              <w:top w:w="110" w:type="dxa"/>
              <w:left w:w="58" w:type="dxa"/>
              <w:right w:w="58" w:type="dxa"/>
            </w:tcMar>
          </w:tcPr>
          <w:p w14:paraId="5BB44930" w14:textId="77777777" w:rsidR="00CE6E0B" w:rsidRPr="00A8069E" w:rsidRDefault="00CE6E0B"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t>اعتُمد معياران ونُقح ثلاثة معايير</w:t>
            </w:r>
          </w:p>
        </w:tc>
        <w:tc>
          <w:tcPr>
            <w:tcW w:w="504" w:type="pct"/>
            <w:shd w:val="clear" w:color="auto" w:fill="auto"/>
            <w:tcMar>
              <w:top w:w="110" w:type="dxa"/>
              <w:left w:w="58" w:type="dxa"/>
              <w:right w:w="58" w:type="dxa"/>
            </w:tcMar>
          </w:tcPr>
          <w:p w14:paraId="2E68AD33" w14:textId="77777777" w:rsidR="00CE6E0B" w:rsidRPr="00A8069E" w:rsidRDefault="00CE6E0B"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A8069E">
              <w:rPr>
                <w:rFonts w:ascii="Arabic Typesetting" w:eastAsia="Arabic Typesetting" w:hAnsi="Arabic Typesetting" w:cs="Arabic Typesetting"/>
                <w:b/>
                <w:bCs/>
                <w:color w:val="00B050"/>
                <w:sz w:val="28"/>
                <w:szCs w:val="28"/>
                <w:rtl/>
                <w:lang w:eastAsia="ar-EG" w:bidi="ar-EG"/>
              </w:rPr>
              <w:t>ثابت</w:t>
            </w:r>
          </w:p>
        </w:tc>
      </w:tr>
      <w:tr w:rsidR="00CE6E0B" w:rsidRPr="00A8069E" w14:paraId="43E75DAD" w14:textId="77777777" w:rsidTr="00BB3820">
        <w:trPr>
          <w:cantSplit/>
          <w:trHeight w:val="7229"/>
        </w:trPr>
        <w:tc>
          <w:tcPr>
            <w:tcW w:w="1082" w:type="pct"/>
            <w:shd w:val="clear" w:color="auto" w:fill="auto"/>
            <w:tcMar>
              <w:left w:w="58" w:type="dxa"/>
              <w:right w:w="58" w:type="dxa"/>
            </w:tcMar>
          </w:tcPr>
          <w:p w14:paraId="4696E96A" w14:textId="77777777" w:rsidR="00CE6E0B" w:rsidRPr="00A8069E"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lastRenderedPageBreak/>
              <w:t>عدد المستخدمين القادرين على النفاذ إلى منشورات الإنترنت للتصنيفات والمعايير الدولية، ولا</w:t>
            </w:r>
            <w:r>
              <w:rPr>
                <w:rFonts w:ascii="Arabic Typesetting" w:eastAsia="Arabic Typesetting" w:hAnsi="Arabic Typesetting" w:cs="Arabic Typesetting" w:hint="cs"/>
                <w:color w:val="000000"/>
                <w:sz w:val="28"/>
                <w:szCs w:val="28"/>
                <w:rtl/>
                <w:lang w:eastAsia="ar-EG" w:bidi="ar-EG"/>
              </w:rPr>
              <w:t> </w:t>
            </w:r>
            <w:r w:rsidRPr="00A8069E">
              <w:rPr>
                <w:rFonts w:ascii="Arabic Typesetting" w:eastAsia="Arabic Typesetting" w:hAnsi="Arabic Typesetting" w:cs="Arabic Typesetting"/>
                <w:color w:val="000000"/>
                <w:sz w:val="28"/>
                <w:szCs w:val="28"/>
                <w:rtl/>
                <w:lang w:eastAsia="ar-EG" w:bidi="ar-EG"/>
              </w:rPr>
              <w:t>سيما من البلدان النامية</w:t>
            </w:r>
          </w:p>
        </w:tc>
        <w:tc>
          <w:tcPr>
            <w:tcW w:w="1341" w:type="pct"/>
            <w:shd w:val="clear" w:color="auto" w:fill="auto"/>
            <w:tcMar>
              <w:left w:w="58" w:type="dxa"/>
              <w:right w:w="58" w:type="dxa"/>
            </w:tcMar>
          </w:tcPr>
          <w:p w14:paraId="26857342" w14:textId="77777777" w:rsidR="00CE6E0B" w:rsidRDefault="00CE6E0B" w:rsidP="0031289D">
            <w:pPr>
              <w:bidi/>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8069E">
              <w:rPr>
                <w:rFonts w:ascii="Arabic Typesetting" w:eastAsia="Batang" w:hAnsi="Arabic Typesetting" w:cs="Arabic Typesetting"/>
                <w:color w:val="002060"/>
                <w:sz w:val="28"/>
                <w:szCs w:val="28"/>
                <w:rtl/>
                <w:lang w:eastAsia="ja-JP" w:bidi="ar-EG"/>
              </w:rPr>
              <w:t>‏الصفحة الرئيسية للتصنيف الدولي للبراءات:</w:t>
            </w:r>
            <w:r w:rsidRPr="00A8069E">
              <w:rPr>
                <w:rFonts w:ascii="Arabic Typesetting" w:eastAsia="Batang" w:hAnsi="Arabic Typesetting" w:cs="Arabic Typesetting"/>
                <w:color w:val="002060"/>
                <w:sz w:val="28"/>
                <w:szCs w:val="28"/>
                <w:cs/>
                <w:lang w:eastAsia="ja-JP" w:bidi="ar-EG"/>
              </w:rPr>
              <w:t>‎</w:t>
            </w:r>
            <w:r w:rsidRPr="00A8069E">
              <w:rPr>
                <w:rFonts w:ascii="Arabic Typesetting" w:eastAsia="Batang" w:hAnsi="Arabic Typesetting" w:cs="Arabic Typesetting"/>
                <w:color w:val="002060"/>
                <w:sz w:val="28"/>
                <w:szCs w:val="28"/>
                <w:rtl/>
                <w:cs/>
                <w:lang w:eastAsia="ja-JP" w:bidi="ar-EG"/>
              </w:rPr>
              <w:t xml:space="preserve"> 378 361 (48.1%</w:t>
            </w:r>
            <w:r w:rsidRPr="00A8069E">
              <w:rPr>
                <w:rFonts w:ascii="Arabic Typesetting" w:eastAsia="Batang" w:hAnsi="Arabic Typesetting" w:cs="Arabic Typesetting"/>
                <w:color w:val="002060"/>
                <w:sz w:val="28"/>
                <w:szCs w:val="28"/>
                <w:rtl/>
                <w:lang w:eastAsia="ja-JP" w:bidi="ar-EG"/>
              </w:rPr>
              <w:t xml:space="preserve"> </w:t>
            </w:r>
            <w:r>
              <w:rPr>
                <w:rFonts w:ascii="Arabic Typesetting" w:eastAsia="Batang" w:hAnsi="Arabic Typesetting" w:cs="Arabic Typesetting"/>
                <w:color w:val="002060"/>
                <w:sz w:val="28"/>
                <w:szCs w:val="28"/>
                <w:rtl/>
                <w:lang w:eastAsia="ja-JP" w:bidi="ar-EG"/>
              </w:rPr>
              <w:t>من الزيارات من البلدان النامية)</w:t>
            </w:r>
          </w:p>
          <w:p w14:paraId="68A3718F" w14:textId="77777777" w:rsidR="00CE6E0B" w:rsidRDefault="00CE6E0B" w:rsidP="0031289D">
            <w:pPr>
              <w:autoSpaceDE w:val="0"/>
              <w:autoSpaceDN w:val="0"/>
              <w:bidi/>
              <w:adjustRightInd w:val="0"/>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منشور التصنيف الدولي للبراءات</w:t>
            </w:r>
            <w:r>
              <w:rPr>
                <w:rFonts w:ascii="Arabic Typesetting" w:eastAsia="Batang" w:hAnsi="Arabic Typesetting" w:cs="Arabic Typesetting"/>
                <w:color w:val="002060"/>
                <w:sz w:val="28"/>
                <w:szCs w:val="28"/>
                <w:rtl/>
                <w:lang w:eastAsia="ja-JP" w:bidi="ar-EG"/>
              </w:rPr>
              <w:t>:</w:t>
            </w:r>
            <w:r>
              <w:rPr>
                <w:rFonts w:ascii="Arabic Typesetting" w:eastAsia="Batang" w:hAnsi="Arabic Typesetting" w:cs="Arabic Typesetting"/>
                <w:color w:val="002060"/>
                <w:sz w:val="28"/>
                <w:szCs w:val="28"/>
                <w:rtl/>
                <w:lang w:eastAsia="ja-JP" w:bidi="ar-EG"/>
              </w:rPr>
              <w:br/>
            </w:r>
            <w:r w:rsidRPr="00A8069E">
              <w:rPr>
                <w:rFonts w:ascii="Arabic Typesetting" w:eastAsia="Batang" w:hAnsi="Arabic Typesetting" w:cs="Arabic Typesetting"/>
                <w:color w:val="002060"/>
                <w:sz w:val="28"/>
                <w:szCs w:val="28"/>
                <w:rtl/>
                <w:lang w:eastAsia="ja-JP" w:bidi="ar-EG"/>
              </w:rPr>
              <w:t xml:space="preserve">644 389 1 (36.3% </w:t>
            </w:r>
            <w:r>
              <w:rPr>
                <w:rFonts w:ascii="Arabic Typesetting" w:eastAsia="Batang" w:hAnsi="Arabic Typesetting" w:cs="Arabic Typesetting"/>
                <w:color w:val="002060"/>
                <w:sz w:val="28"/>
                <w:szCs w:val="28"/>
                <w:rtl/>
                <w:lang w:eastAsia="ja-JP" w:bidi="ar-EG"/>
              </w:rPr>
              <w:t>من الزيارات من البلدان النامية)</w:t>
            </w:r>
          </w:p>
          <w:p w14:paraId="614858D5" w14:textId="77777777" w:rsidR="00CE6E0B" w:rsidRPr="00A8069E" w:rsidRDefault="00CE6E0B" w:rsidP="0031289D">
            <w:pPr>
              <w:autoSpaceDE w:val="0"/>
              <w:autoSpaceDN w:val="0"/>
              <w:bidi/>
              <w:adjustRightInd w:val="0"/>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صفحة نيس الرئيسية</w:t>
            </w:r>
            <w:r>
              <w:rPr>
                <w:rFonts w:ascii="Arabic Typesetting" w:eastAsia="Batang" w:hAnsi="Arabic Typesetting" w:cs="Arabic Typesetting"/>
                <w:color w:val="002060"/>
                <w:sz w:val="28"/>
                <w:szCs w:val="28"/>
                <w:rtl/>
                <w:lang w:eastAsia="ja-JP" w:bidi="ar-EG"/>
              </w:rPr>
              <w:t>:</w:t>
            </w:r>
            <w:r>
              <w:rPr>
                <w:rFonts w:ascii="Arabic Typesetting" w:eastAsia="Batang" w:hAnsi="Arabic Typesetting" w:cs="Arabic Typesetting"/>
                <w:color w:val="002060"/>
                <w:sz w:val="28"/>
                <w:szCs w:val="28"/>
                <w:rtl/>
                <w:lang w:eastAsia="ja-JP" w:bidi="ar-EG"/>
              </w:rPr>
              <w:br/>
            </w:r>
            <w:r w:rsidRPr="00A8069E">
              <w:rPr>
                <w:rFonts w:ascii="Arabic Typesetting" w:eastAsia="Batang" w:hAnsi="Arabic Typesetting" w:cs="Arabic Typesetting"/>
                <w:color w:val="002060"/>
                <w:sz w:val="28"/>
                <w:szCs w:val="28"/>
                <w:rtl/>
                <w:lang w:eastAsia="ja-JP" w:bidi="ar-EG"/>
              </w:rPr>
              <w:t>493 532 (47.8% من الزيارات من البلدان النامية)</w:t>
            </w:r>
          </w:p>
          <w:p w14:paraId="2F84D413" w14:textId="77777777" w:rsidR="00CE6E0B" w:rsidRDefault="00CE6E0B" w:rsidP="0031289D">
            <w:pPr>
              <w:autoSpaceDE w:val="0"/>
              <w:autoSpaceDN w:val="0"/>
              <w:bidi/>
              <w:adjustRightInd w:val="0"/>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منشور نيس</w:t>
            </w:r>
            <w:r>
              <w:rPr>
                <w:rFonts w:ascii="Arabic Typesetting" w:eastAsia="Batang" w:hAnsi="Arabic Typesetting" w:cs="Arabic Typesetting"/>
                <w:color w:val="002060"/>
                <w:sz w:val="28"/>
                <w:szCs w:val="28"/>
                <w:rtl/>
                <w:lang w:eastAsia="ja-JP" w:bidi="ar-EG"/>
              </w:rPr>
              <w:t>:</w:t>
            </w:r>
            <w:r>
              <w:rPr>
                <w:rFonts w:ascii="Arabic Typesetting" w:eastAsia="Batang" w:hAnsi="Arabic Typesetting" w:cs="Arabic Typesetting"/>
                <w:color w:val="002060"/>
                <w:sz w:val="28"/>
                <w:szCs w:val="28"/>
                <w:rtl/>
                <w:lang w:eastAsia="ja-JP" w:bidi="ar-EG"/>
              </w:rPr>
              <w:br/>
            </w:r>
            <w:r w:rsidRPr="00A8069E">
              <w:rPr>
                <w:rFonts w:ascii="Arabic Typesetting" w:eastAsia="Batang" w:hAnsi="Arabic Typesetting" w:cs="Arabic Typesetting"/>
                <w:color w:val="002060"/>
                <w:sz w:val="28"/>
                <w:szCs w:val="28"/>
                <w:rtl/>
                <w:lang w:eastAsia="ja-JP" w:bidi="ar-EG"/>
              </w:rPr>
              <w:t xml:space="preserve">537 721 2 (49.1% </w:t>
            </w:r>
            <w:r>
              <w:rPr>
                <w:rFonts w:ascii="Arabic Typesetting" w:eastAsia="Batang" w:hAnsi="Arabic Typesetting" w:cs="Arabic Typesetting"/>
                <w:color w:val="002060"/>
                <w:sz w:val="28"/>
                <w:szCs w:val="28"/>
                <w:rtl/>
                <w:lang w:eastAsia="ja-JP" w:bidi="ar-EG"/>
              </w:rPr>
              <w:t>من الزيارات من البلدان النامية)</w:t>
            </w:r>
          </w:p>
          <w:p w14:paraId="15C89793" w14:textId="77777777" w:rsidR="00CE6E0B" w:rsidRDefault="00CE6E0B" w:rsidP="0031289D">
            <w:pPr>
              <w:autoSpaceDE w:val="0"/>
              <w:autoSpaceDN w:val="0"/>
              <w:bidi/>
              <w:adjustRightInd w:val="0"/>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صفحة لوكارنو الرئيسية</w:t>
            </w:r>
            <w:r>
              <w:rPr>
                <w:rFonts w:ascii="Arabic Typesetting" w:eastAsia="Batang" w:hAnsi="Arabic Typesetting" w:cs="Arabic Typesetting"/>
                <w:color w:val="002060"/>
                <w:sz w:val="28"/>
                <w:szCs w:val="28"/>
                <w:rtl/>
                <w:lang w:eastAsia="ja-JP" w:bidi="ar-EG"/>
              </w:rPr>
              <w:t>:</w:t>
            </w:r>
            <w:r>
              <w:rPr>
                <w:rFonts w:ascii="Arabic Typesetting" w:eastAsia="Batang" w:hAnsi="Arabic Typesetting" w:cs="Arabic Typesetting"/>
                <w:color w:val="002060"/>
                <w:sz w:val="28"/>
                <w:szCs w:val="28"/>
                <w:rtl/>
                <w:lang w:eastAsia="ja-JP" w:bidi="ar-EG"/>
              </w:rPr>
              <w:br/>
            </w:r>
            <w:r w:rsidRPr="00A8069E">
              <w:rPr>
                <w:rFonts w:ascii="Arabic Typesetting" w:eastAsia="Batang" w:hAnsi="Arabic Typesetting" w:cs="Arabic Typesetting"/>
                <w:color w:val="002060"/>
                <w:sz w:val="28"/>
                <w:szCs w:val="28"/>
                <w:rtl/>
                <w:lang w:eastAsia="ja-JP" w:bidi="ar-EG"/>
              </w:rPr>
              <w:t xml:space="preserve">075 51 (33.5% </w:t>
            </w:r>
            <w:r>
              <w:rPr>
                <w:rFonts w:ascii="Arabic Typesetting" w:eastAsia="Batang" w:hAnsi="Arabic Typesetting" w:cs="Arabic Typesetting"/>
                <w:color w:val="002060"/>
                <w:sz w:val="28"/>
                <w:szCs w:val="28"/>
                <w:rtl/>
                <w:lang w:eastAsia="ja-JP" w:bidi="ar-EG"/>
              </w:rPr>
              <w:t>من الزيارات من البلدان النامية)</w:t>
            </w:r>
          </w:p>
          <w:p w14:paraId="4B6B9E7F" w14:textId="77777777" w:rsidR="00CE6E0B" w:rsidRDefault="00CE6E0B" w:rsidP="0031289D">
            <w:pPr>
              <w:autoSpaceDE w:val="0"/>
              <w:autoSpaceDN w:val="0"/>
              <w:bidi/>
              <w:adjustRightInd w:val="0"/>
              <w:spacing w:after="120" w:line="280" w:lineRule="exact"/>
              <w:rPr>
                <w:rFonts w:ascii="Arabic Typesetting" w:eastAsia="Batang" w:hAnsi="Arabic Typesetting" w:cs="Arabic Typesetting"/>
                <w:color w:val="002060"/>
                <w:sz w:val="28"/>
                <w:szCs w:val="28"/>
                <w:lang w:eastAsia="ja-JP" w:bidi="ar-EG"/>
              </w:rPr>
            </w:pPr>
            <w:r w:rsidRPr="00A8069E">
              <w:rPr>
                <w:rFonts w:ascii="Arabic Typesetting" w:eastAsia="Batang" w:hAnsi="Arabic Typesetting" w:cs="Arabic Typesetting"/>
                <w:color w:val="002060"/>
                <w:sz w:val="28"/>
                <w:szCs w:val="28"/>
                <w:rtl/>
                <w:lang w:eastAsia="ja-JP" w:bidi="ar-EG"/>
              </w:rPr>
              <w:t>صفحة فيينا الرئيسية</w:t>
            </w:r>
            <w:r>
              <w:rPr>
                <w:rFonts w:ascii="Arabic Typesetting" w:eastAsia="Batang" w:hAnsi="Arabic Typesetting" w:cs="Arabic Typesetting"/>
                <w:color w:val="002060"/>
                <w:sz w:val="28"/>
                <w:szCs w:val="28"/>
                <w:rtl/>
                <w:lang w:eastAsia="ja-JP" w:bidi="ar-EG"/>
              </w:rPr>
              <w:t>:</w:t>
            </w:r>
            <w:r>
              <w:rPr>
                <w:rFonts w:ascii="Arabic Typesetting" w:eastAsia="Batang" w:hAnsi="Arabic Typesetting" w:cs="Arabic Typesetting"/>
                <w:color w:val="002060"/>
                <w:sz w:val="28"/>
                <w:szCs w:val="28"/>
                <w:rtl/>
                <w:lang w:eastAsia="ja-JP" w:bidi="ar-EG"/>
              </w:rPr>
              <w:br/>
            </w:r>
            <w:r w:rsidRPr="00A8069E">
              <w:rPr>
                <w:rFonts w:ascii="Arabic Typesetting" w:eastAsia="Batang" w:hAnsi="Arabic Typesetting" w:cs="Arabic Typesetting"/>
                <w:color w:val="002060"/>
                <w:sz w:val="28"/>
                <w:szCs w:val="28"/>
                <w:rtl/>
                <w:lang w:eastAsia="ja-JP" w:bidi="ar-EG"/>
              </w:rPr>
              <w:t xml:space="preserve">830 34 (38.8% </w:t>
            </w:r>
            <w:r>
              <w:rPr>
                <w:rFonts w:ascii="Arabic Typesetting" w:eastAsia="Batang" w:hAnsi="Arabic Typesetting" w:cs="Arabic Typesetting"/>
                <w:color w:val="002060"/>
                <w:sz w:val="28"/>
                <w:szCs w:val="28"/>
                <w:rtl/>
                <w:lang w:eastAsia="ja-JP" w:bidi="ar-EG"/>
              </w:rPr>
              <w:t>من الزيارات من البلدان النامية)</w:t>
            </w:r>
          </w:p>
          <w:p w14:paraId="7AAC3B89"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069E">
              <w:rPr>
                <w:rFonts w:ascii="Arabic Typesetting" w:eastAsia="Arabic Typesetting" w:hAnsi="Arabic Typesetting" w:cs="Arabic Typesetting"/>
                <w:color w:val="002060"/>
                <w:sz w:val="28"/>
                <w:szCs w:val="28"/>
                <w:rtl/>
                <w:lang w:eastAsia="ar-EG" w:bidi="ar-EG"/>
              </w:rPr>
              <w:t>معايير الويبو (كُتيّب)</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A8069E">
              <w:rPr>
                <w:rFonts w:ascii="Arabic Typesetting" w:eastAsia="Arabic Typesetting" w:hAnsi="Arabic Typesetting" w:cs="Arabic Typesetting"/>
                <w:color w:val="002060"/>
                <w:sz w:val="28"/>
                <w:szCs w:val="28"/>
                <w:rtl/>
                <w:lang w:eastAsia="ar-EG" w:bidi="ar-EG"/>
              </w:rPr>
              <w:t>288 69 (33.6% من الزيارات من البلدان النامية)</w:t>
            </w:r>
          </w:p>
          <w:p w14:paraId="3C74E8F6" w14:textId="77777777" w:rsidR="00CE6E0B" w:rsidRPr="00A8069E"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A8069E">
              <w:rPr>
                <w:rFonts w:ascii="Arabic Typesetting" w:eastAsia="Arabic Typesetting" w:hAnsi="Arabic Typesetting" w:cs="Arabic Typesetting"/>
                <w:i/>
                <w:iCs/>
                <w:sz w:val="28"/>
                <w:szCs w:val="28"/>
                <w:rtl/>
                <w:lang w:eastAsia="ar-EG" w:bidi="ar-EG"/>
              </w:rPr>
              <w:t>:</w:t>
            </w:r>
            <w:r w:rsidRPr="00A8069E">
              <w:rPr>
                <w:rFonts w:ascii="Arabic Typesetting" w:eastAsia="Arabic Typesetting" w:hAnsi="Arabic Typesetting" w:cs="Arabic Typesetting"/>
                <w:i/>
                <w:sz w:val="28"/>
                <w:szCs w:val="28"/>
                <w:lang w:eastAsia="ar-EG" w:bidi="ar-EG"/>
              </w:rPr>
              <w:br/>
            </w:r>
            <w:r w:rsidRPr="00A8069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8069E">
              <w:rPr>
                <w:rFonts w:ascii="Arabic Typesetting" w:eastAsia="Arabic Typesetting" w:hAnsi="Arabic Typesetting" w:cs="Arabic Typesetting"/>
                <w:sz w:val="28"/>
                <w:szCs w:val="28"/>
                <w:rtl/>
                <w:lang w:eastAsia="ar-EG" w:bidi="ar-EG"/>
              </w:rPr>
              <w:t>منشور نيس</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A8069E">
              <w:rPr>
                <w:rFonts w:ascii="Arabic Typesetting" w:eastAsia="Arabic Typesetting" w:hAnsi="Arabic Typesetting" w:cs="Arabic Typesetting"/>
                <w:sz w:val="28"/>
                <w:szCs w:val="28"/>
                <w:rtl/>
                <w:lang w:eastAsia="ar-EG" w:bidi="ar-EG"/>
              </w:rPr>
              <w:t>788 587 2</w:t>
            </w:r>
            <w:r w:rsidRPr="00A8069E">
              <w:rPr>
                <w:rFonts w:ascii="Arabic Typesetting" w:eastAsia="Arabic Typesetting" w:hAnsi="Arabic Typesetting" w:cs="Arabic Typesetting"/>
                <w:sz w:val="28"/>
                <w:szCs w:val="28"/>
                <w:lang w:eastAsia="ar-EG" w:bidi="ar-EG"/>
              </w:rPr>
              <w:br/>
            </w:r>
            <w:r w:rsidRPr="00A8069E">
              <w:rPr>
                <w:rFonts w:ascii="Arabic Typesetting" w:eastAsia="Arabic Typesetting" w:hAnsi="Arabic Typesetting" w:cs="Arabic Typesetting"/>
                <w:sz w:val="28"/>
                <w:szCs w:val="28"/>
                <w:rtl/>
                <w:lang w:eastAsia="ar-EG" w:bidi="ar-EG"/>
              </w:rPr>
              <w:t>صفحة لوكارنو الرئيسية</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A8069E">
              <w:rPr>
                <w:rFonts w:ascii="Arabic Typesetting" w:eastAsia="Arabic Typesetting" w:hAnsi="Arabic Typesetting" w:cs="Arabic Typesetting"/>
                <w:sz w:val="28"/>
                <w:szCs w:val="28"/>
                <w:rtl/>
                <w:lang w:eastAsia="ar-EG" w:bidi="ar-EG"/>
              </w:rPr>
              <w:t>557 44</w:t>
            </w:r>
            <w:r w:rsidRPr="00A8069E">
              <w:rPr>
                <w:rFonts w:ascii="Arabic Typesetting" w:eastAsia="Arabic Typesetting" w:hAnsi="Arabic Typesetting" w:cs="Arabic Typesetting"/>
                <w:sz w:val="28"/>
                <w:szCs w:val="28"/>
                <w:lang w:eastAsia="ar-EG" w:bidi="ar-EG"/>
              </w:rPr>
              <w:br/>
            </w:r>
            <w:r w:rsidRPr="00A8069E">
              <w:rPr>
                <w:rFonts w:ascii="Arabic Typesetting" w:eastAsia="Arabic Typesetting" w:hAnsi="Arabic Typesetting" w:cs="Arabic Typesetting"/>
                <w:sz w:val="28"/>
                <w:szCs w:val="28"/>
                <w:rtl/>
                <w:lang w:eastAsia="ar-EG" w:bidi="ar-EG"/>
              </w:rPr>
              <w:t>صفحة فيينا الرئيسية</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A8069E">
              <w:rPr>
                <w:rFonts w:ascii="Arabic Typesetting" w:eastAsia="Arabic Typesetting" w:hAnsi="Arabic Typesetting" w:cs="Arabic Typesetting"/>
                <w:sz w:val="28"/>
                <w:szCs w:val="28"/>
                <w:rtl/>
                <w:lang w:eastAsia="ar-EG" w:bidi="ar-EG"/>
              </w:rPr>
              <w:t>596 29</w:t>
            </w:r>
            <w:r w:rsidRPr="00A8069E">
              <w:rPr>
                <w:rFonts w:ascii="Arabic Typesetting" w:eastAsia="Arabic Typesetting" w:hAnsi="Arabic Typesetting" w:cs="Arabic Typesetting"/>
                <w:sz w:val="28"/>
                <w:szCs w:val="28"/>
                <w:lang w:eastAsia="ar-EG" w:bidi="ar-EG"/>
              </w:rPr>
              <w:br/>
            </w:r>
            <w:r w:rsidRPr="00A8069E">
              <w:rPr>
                <w:rFonts w:ascii="Arabic Typesetting" w:eastAsia="Arabic Typesetting" w:hAnsi="Arabic Typesetting" w:cs="Arabic Typesetting"/>
                <w:sz w:val="28"/>
                <w:szCs w:val="28"/>
                <w:rtl/>
                <w:lang w:eastAsia="ar-EG" w:bidi="ar-EG"/>
              </w:rPr>
              <w:t>منشور التصنيف الدولي للبراءات</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A8069E">
              <w:rPr>
                <w:rFonts w:ascii="Arabic Typesetting" w:eastAsia="Arabic Typesetting" w:hAnsi="Arabic Typesetting" w:cs="Arabic Typesetting"/>
                <w:sz w:val="28"/>
                <w:szCs w:val="28"/>
                <w:rtl/>
                <w:lang w:eastAsia="ar-EG" w:bidi="ar-EG"/>
              </w:rPr>
              <w:t>000 170 1</w:t>
            </w:r>
            <w:r w:rsidRPr="00A8069E">
              <w:rPr>
                <w:rFonts w:ascii="Arabic Typesetting" w:eastAsia="Arabic Typesetting" w:hAnsi="Arabic Typesetting" w:cs="Arabic Typesetting"/>
                <w:sz w:val="28"/>
                <w:szCs w:val="28"/>
                <w:lang w:eastAsia="ar-EG" w:bidi="ar-EG"/>
              </w:rPr>
              <w:br/>
            </w:r>
            <w:r w:rsidRPr="00A8069E">
              <w:rPr>
                <w:rFonts w:ascii="Arabic Typesetting" w:eastAsia="Arabic Typesetting" w:hAnsi="Arabic Typesetting" w:cs="Arabic Typesetting"/>
                <w:sz w:val="28"/>
                <w:szCs w:val="28"/>
                <w:rtl/>
                <w:lang w:eastAsia="ar-EG" w:bidi="ar-EG"/>
              </w:rPr>
              <w:t>معايير الويبو (كُتيّب)</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A8069E">
              <w:rPr>
                <w:rFonts w:ascii="Arabic Typesetting" w:eastAsia="Arabic Typesetting" w:hAnsi="Arabic Typesetting" w:cs="Arabic Typesetting"/>
                <w:sz w:val="28"/>
                <w:szCs w:val="28"/>
                <w:rtl/>
                <w:lang w:eastAsia="ar-EG" w:bidi="ar-EG"/>
              </w:rPr>
              <w:t>399 66</w:t>
            </w:r>
          </w:p>
        </w:tc>
        <w:tc>
          <w:tcPr>
            <w:tcW w:w="687" w:type="pct"/>
            <w:shd w:val="clear" w:color="auto" w:fill="auto"/>
            <w:tcMar>
              <w:top w:w="110" w:type="dxa"/>
              <w:left w:w="58" w:type="dxa"/>
              <w:right w:w="58" w:type="dxa"/>
            </w:tcMar>
          </w:tcPr>
          <w:p w14:paraId="6C19F84F" w14:textId="77777777" w:rsidR="00CE6E0B" w:rsidRPr="00A8069E"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A8069E">
              <w:rPr>
                <w:rFonts w:ascii="Arabic Typesetting" w:eastAsia="Arabic Typesetting" w:hAnsi="Arabic Typesetting" w:cs="Arabic Typesetting"/>
                <w:color w:val="000000"/>
                <w:sz w:val="28"/>
                <w:szCs w:val="28"/>
                <w:rtl/>
                <w:lang w:eastAsia="ar-EG" w:bidi="ar-EG"/>
              </w:rPr>
              <w:t>5% ز</w:t>
            </w:r>
            <w:r>
              <w:rPr>
                <w:rFonts w:ascii="Arabic Typesetting" w:eastAsia="Arabic Typesetting" w:hAnsi="Arabic Typesetting" w:cs="Arabic Typesetting"/>
                <w:color w:val="000000"/>
                <w:sz w:val="28"/>
                <w:szCs w:val="28"/>
                <w:rtl/>
                <w:lang w:eastAsia="ar-EG" w:bidi="ar-EG"/>
              </w:rPr>
              <w:t>يادة بالمقارنة مع أساس المقارنة</w:t>
            </w:r>
          </w:p>
        </w:tc>
        <w:tc>
          <w:tcPr>
            <w:tcW w:w="1386" w:type="pct"/>
            <w:shd w:val="clear" w:color="auto" w:fill="FFFFFF"/>
            <w:tcMar>
              <w:top w:w="110" w:type="dxa"/>
              <w:left w:w="58" w:type="dxa"/>
              <w:right w:w="58" w:type="dxa"/>
            </w:tcMar>
          </w:tcPr>
          <w:tbl>
            <w:tblPr>
              <w:tblStyle w:val="TableGrid1"/>
              <w:bidiVisual/>
              <w:tblW w:w="2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1"/>
            </w:tblGrid>
            <w:tr w:rsidR="00CE6E0B" w:rsidRPr="00A8069E" w14:paraId="67588CB8" w14:textId="77777777" w:rsidTr="00BB3820">
              <w:tc>
                <w:tcPr>
                  <w:tcW w:w="2501" w:type="dxa"/>
                  <w:tcMar>
                    <w:left w:w="14" w:type="dxa"/>
                    <w:right w:w="14" w:type="dxa"/>
                  </w:tcMar>
                </w:tcPr>
                <w:p w14:paraId="3B57F1D3" w14:textId="77777777" w:rsidR="00CE6E0B" w:rsidRPr="00A8069E" w:rsidRDefault="00CE6E0B" w:rsidP="0031289D">
                  <w:pPr>
                    <w:keepNext/>
                    <w:keepLines/>
                    <w:bidi/>
                    <w:spacing w:line="280" w:lineRule="exact"/>
                    <w:rPr>
                      <w:rFonts w:ascii="Arabic Typesetting" w:hAnsi="Arabic Typesetting" w:cs="Arabic Typesetting"/>
                      <w:color w:val="000000"/>
                      <w:sz w:val="28"/>
                      <w:szCs w:val="28"/>
                    </w:rPr>
                  </w:pPr>
                  <w:r w:rsidRPr="00A8069E">
                    <w:rPr>
                      <w:rFonts w:ascii="Arabic Typesetting" w:hAnsi="Arabic Typesetting" w:cs="Arabic Typesetting"/>
                      <w:color w:val="000000"/>
                      <w:sz w:val="28"/>
                      <w:szCs w:val="28"/>
                      <w:rtl/>
                    </w:rPr>
                    <w:t>‏الصفحة الرئيسية للتصنيف الدولي للبراءات:</w:t>
                  </w:r>
                  <w:r w:rsidRPr="00A8069E">
                    <w:rPr>
                      <w:rFonts w:ascii="Arabic Typesetting" w:hAnsi="Arabic Typesetting" w:cs="Arabic Typesetting"/>
                      <w:color w:val="000000"/>
                      <w:sz w:val="28"/>
                      <w:szCs w:val="28"/>
                      <w:cs/>
                    </w:rPr>
                    <w:t>‎</w:t>
                  </w:r>
                </w:p>
                <w:p w14:paraId="37E500B2" w14:textId="2A318586" w:rsidR="00CE6E0B" w:rsidRPr="00A8069E" w:rsidRDefault="00CE6E0B" w:rsidP="00A87400">
                  <w:pPr>
                    <w:keepNext/>
                    <w:keepLines/>
                    <w:bidi/>
                    <w:spacing w:after="120" w:line="280" w:lineRule="exact"/>
                    <w:rPr>
                      <w:rFonts w:ascii="Arabic Typesetting" w:hAnsi="Arabic Typesetting" w:cs="Arabic Typesetting"/>
                      <w:color w:val="000000"/>
                      <w:sz w:val="28"/>
                      <w:szCs w:val="28"/>
                    </w:rPr>
                  </w:pPr>
                  <w:r w:rsidRPr="00A8069E">
                    <w:rPr>
                      <w:rFonts w:ascii="Arabic Typesetting" w:hAnsi="Arabic Typesetting" w:cs="Arabic Typesetting"/>
                      <w:color w:val="000000"/>
                      <w:sz w:val="28"/>
                      <w:szCs w:val="28"/>
                      <w:rtl/>
                    </w:rPr>
                    <w:t>981 324 زيارة (-</w:t>
                  </w:r>
                  <w:r>
                    <w:rPr>
                      <w:rFonts w:ascii="Arabic Typesetting" w:hAnsi="Arabic Typesetting" w:cs="Arabic Typesetting" w:hint="cs"/>
                      <w:color w:val="000000"/>
                      <w:sz w:val="28"/>
                      <w:szCs w:val="28"/>
                      <w:rtl/>
                    </w:rPr>
                    <w:t>%10.4)</w:t>
                  </w:r>
                  <w:r w:rsidRPr="00A8069E">
                    <w:rPr>
                      <w:rFonts w:ascii="Arabic Typesetting" w:hAnsi="Arabic Typesetting" w:cs="Arabic Typesetting"/>
                      <w:color w:val="000000"/>
                      <w:sz w:val="28"/>
                      <w:szCs w:val="28"/>
                      <w:rtl/>
                    </w:rPr>
                    <w:t xml:space="preserve"> منها 068</w:t>
                  </w:r>
                  <w:r w:rsidR="00A87400">
                    <w:rPr>
                      <w:rFonts w:ascii="Arabic Typesetting" w:hAnsi="Arabic Typesetting" w:cs="Arabic Typesetting" w:hint="cs"/>
                      <w:color w:val="000000"/>
                      <w:sz w:val="28"/>
                      <w:szCs w:val="28"/>
                      <w:rtl/>
                    </w:rPr>
                    <w:t> </w:t>
                  </w:r>
                  <w:r w:rsidRPr="0059581F">
                    <w:rPr>
                      <w:rFonts w:ascii="Arabic Typesetting" w:hAnsi="Arabic Typesetting" w:cs="Arabic Typesetting"/>
                      <w:color w:val="000000"/>
                      <w:sz w:val="28"/>
                      <w:szCs w:val="28"/>
                      <w:rtl/>
                    </w:rPr>
                    <w:t>114</w:t>
                  </w:r>
                  <w:r w:rsidRPr="00A8069E">
                    <w:rPr>
                      <w:rFonts w:ascii="Arabic Typesetting" w:hAnsi="Arabic Typesetting" w:cs="Arabic Typesetting"/>
                      <w:color w:val="000000"/>
                      <w:sz w:val="28"/>
                      <w:szCs w:val="28"/>
                      <w:rtl/>
                    </w:rPr>
                    <w:t xml:space="preserve"> (-</w:t>
                  </w:r>
                  <w:r>
                    <w:rPr>
                      <w:rFonts w:ascii="Arabic Typesetting" w:hAnsi="Arabic Typesetting" w:cs="Arabic Typesetting"/>
                      <w:color w:val="000000"/>
                      <w:sz w:val="28"/>
                      <w:szCs w:val="28"/>
                    </w:rPr>
                    <w:t>%34.4</w:t>
                  </w:r>
                  <w:r w:rsidRPr="00A8069E">
                    <w:rPr>
                      <w:rFonts w:ascii="Arabic Typesetting" w:hAnsi="Arabic Typesetting" w:cs="Arabic Typesetting"/>
                      <w:color w:val="000000"/>
                      <w:sz w:val="28"/>
                      <w:szCs w:val="28"/>
                      <w:rtl/>
                    </w:rPr>
                    <w:t>) من البلدان</w:t>
                  </w:r>
                  <w:r>
                    <w:rPr>
                      <w:rFonts w:ascii="Arabic Typesetting" w:hAnsi="Arabic Typesetting" w:cs="Arabic Typesetting"/>
                      <w:color w:val="000000"/>
                      <w:sz w:val="28"/>
                      <w:szCs w:val="28"/>
                    </w:rPr>
                    <w:t> </w:t>
                  </w:r>
                  <w:r w:rsidRPr="00A8069E">
                    <w:rPr>
                      <w:rFonts w:ascii="Arabic Typesetting" w:hAnsi="Arabic Typesetting" w:cs="Arabic Typesetting"/>
                      <w:color w:val="000000"/>
                      <w:sz w:val="28"/>
                      <w:szCs w:val="28"/>
                      <w:rtl/>
                    </w:rPr>
                    <w:t>النامية</w:t>
                  </w:r>
                </w:p>
              </w:tc>
            </w:tr>
            <w:tr w:rsidR="00CE6E0B" w:rsidRPr="00A8069E" w14:paraId="75B6BA15" w14:textId="77777777" w:rsidTr="00BB3820">
              <w:tc>
                <w:tcPr>
                  <w:tcW w:w="2501" w:type="dxa"/>
                  <w:tcMar>
                    <w:left w:w="14" w:type="dxa"/>
                    <w:right w:w="14" w:type="dxa"/>
                  </w:tcMar>
                </w:tcPr>
                <w:p w14:paraId="4B1B69CD" w14:textId="77777777" w:rsidR="00CE6E0B" w:rsidRPr="00A8069E" w:rsidRDefault="00CE6E0B" w:rsidP="0031289D">
                  <w:pPr>
                    <w:keepNext/>
                    <w:keepLines/>
                    <w:bidi/>
                    <w:spacing w:after="120" w:line="280" w:lineRule="exact"/>
                    <w:rPr>
                      <w:rFonts w:ascii="Arabic Typesetting" w:hAnsi="Arabic Typesetting" w:cs="Arabic Typesetting"/>
                      <w:color w:val="000000"/>
                      <w:sz w:val="28"/>
                      <w:szCs w:val="28"/>
                    </w:rPr>
                  </w:pPr>
                  <w:r w:rsidRPr="00A8069E">
                    <w:rPr>
                      <w:rFonts w:ascii="Arabic Typesetting" w:hAnsi="Arabic Typesetting" w:cs="Arabic Typesetting"/>
                      <w:color w:val="000000"/>
                      <w:sz w:val="28"/>
                      <w:szCs w:val="28"/>
                      <w:rtl/>
                    </w:rPr>
                    <w:t>منشور التصنيف الدولي للبراءات</w:t>
                  </w:r>
                  <w:r>
                    <w:rPr>
                      <w:rFonts w:ascii="Arabic Typesetting" w:hAnsi="Arabic Typesetting" w:cs="Arabic Typesetting"/>
                      <w:color w:val="000000"/>
                      <w:sz w:val="28"/>
                      <w:szCs w:val="28"/>
                      <w:rtl/>
                    </w:rPr>
                    <w:t>:</w:t>
                  </w:r>
                  <w:r>
                    <w:rPr>
                      <w:rFonts w:ascii="Arabic Typesetting" w:hAnsi="Arabic Typesetting" w:cs="Arabic Typesetting"/>
                      <w:color w:val="000000"/>
                      <w:sz w:val="28"/>
                      <w:szCs w:val="28"/>
                      <w:rtl/>
                    </w:rPr>
                    <w:br/>
                  </w:r>
                  <w:r w:rsidRPr="00A8069E">
                    <w:rPr>
                      <w:rFonts w:ascii="Arabic Typesetting" w:hAnsi="Arabic Typesetting" w:cs="Arabic Typesetting"/>
                      <w:color w:val="000000"/>
                      <w:sz w:val="28"/>
                      <w:szCs w:val="28"/>
                      <w:rtl/>
                    </w:rPr>
                    <w:t>029 386 1 زيارة (</w:t>
                  </w:r>
                  <w:r>
                    <w:rPr>
                      <w:rFonts w:ascii="Arabic Typesetting" w:hAnsi="Arabic Typesetting" w:cs="Arabic Typesetting" w:hint="cs"/>
                      <w:color w:val="000000"/>
                      <w:sz w:val="28"/>
                      <w:szCs w:val="28"/>
                      <w:rtl/>
                    </w:rPr>
                    <w:t>-</w:t>
                  </w:r>
                  <w:r>
                    <w:rPr>
                      <w:rFonts w:ascii="Arabic Typesetting" w:hAnsi="Arabic Typesetting" w:cs="Arabic Typesetting"/>
                      <w:color w:val="000000"/>
                      <w:sz w:val="28"/>
                      <w:szCs w:val="28"/>
                    </w:rPr>
                    <w:t>%0.3</w:t>
                  </w:r>
                  <w:r>
                    <w:rPr>
                      <w:rFonts w:ascii="Arabic Typesetting" w:hAnsi="Arabic Typesetting" w:cs="Arabic Typesetting" w:hint="cs"/>
                      <w:color w:val="000000"/>
                      <w:sz w:val="28"/>
                      <w:szCs w:val="28"/>
                      <w:rtl/>
                    </w:rPr>
                    <w:t>) م</w:t>
                  </w:r>
                  <w:r w:rsidRPr="00A8069E">
                    <w:rPr>
                      <w:rFonts w:ascii="Arabic Typesetting" w:hAnsi="Arabic Typesetting" w:cs="Arabic Typesetting"/>
                      <w:color w:val="000000"/>
                      <w:sz w:val="28"/>
                      <w:szCs w:val="28"/>
                      <w:rtl/>
                    </w:rPr>
                    <w:t>نها</w:t>
                  </w:r>
                  <w:r>
                    <w:rPr>
                      <w:rFonts w:ascii="Arabic Typesetting" w:hAnsi="Arabic Typesetting" w:cs="Arabic Typesetting" w:hint="cs"/>
                      <w:color w:val="000000"/>
                      <w:sz w:val="28"/>
                      <w:szCs w:val="28"/>
                      <w:rtl/>
                    </w:rPr>
                    <w:t xml:space="preserve"> </w:t>
                  </w:r>
                  <w:r w:rsidRPr="00A8069E">
                    <w:rPr>
                      <w:rFonts w:ascii="Arabic Typesetting" w:hAnsi="Arabic Typesetting" w:cs="Arabic Typesetting"/>
                      <w:color w:val="000000"/>
                      <w:sz w:val="28"/>
                      <w:szCs w:val="28"/>
                      <w:rtl/>
                    </w:rPr>
                    <w:t>165 539 (+6.9%) من البلدان النامية</w:t>
                  </w:r>
                </w:p>
              </w:tc>
            </w:tr>
            <w:tr w:rsidR="00CE6E0B" w:rsidRPr="00A8069E" w14:paraId="6C7DD8B7" w14:textId="77777777" w:rsidTr="00BB3820">
              <w:tc>
                <w:tcPr>
                  <w:tcW w:w="2501" w:type="dxa"/>
                  <w:tcMar>
                    <w:left w:w="14" w:type="dxa"/>
                    <w:right w:w="14" w:type="dxa"/>
                  </w:tcMar>
                </w:tcPr>
                <w:p w14:paraId="7E0DA4F2" w14:textId="77777777" w:rsidR="00CE6E0B" w:rsidRPr="00A8069E" w:rsidRDefault="00CE6E0B" w:rsidP="0031289D">
                  <w:pPr>
                    <w:bidi/>
                    <w:spacing w:after="120" w:line="280" w:lineRule="exact"/>
                    <w:rPr>
                      <w:rFonts w:ascii="Arabic Typesetting" w:hAnsi="Arabic Typesetting" w:cs="Arabic Typesetting"/>
                      <w:color w:val="000000"/>
                      <w:sz w:val="28"/>
                      <w:szCs w:val="28"/>
                    </w:rPr>
                  </w:pPr>
                  <w:r w:rsidRPr="00A8069E">
                    <w:rPr>
                      <w:rFonts w:ascii="Arabic Typesetting" w:hAnsi="Arabic Typesetting" w:cs="Arabic Typesetting"/>
                      <w:color w:val="000000"/>
                      <w:sz w:val="28"/>
                      <w:szCs w:val="28"/>
                      <w:rtl/>
                    </w:rPr>
                    <w:t>صفحة نيس الرئيسية</w:t>
                  </w:r>
                  <w:r>
                    <w:rPr>
                      <w:rFonts w:ascii="Arabic Typesetting" w:hAnsi="Arabic Typesetting" w:cs="Arabic Typesetting"/>
                      <w:color w:val="000000"/>
                      <w:sz w:val="28"/>
                      <w:szCs w:val="28"/>
                      <w:rtl/>
                    </w:rPr>
                    <w:t>:</w:t>
                  </w:r>
                  <w:r>
                    <w:rPr>
                      <w:rFonts w:ascii="Arabic Typesetting" w:hAnsi="Arabic Typesetting" w:cs="Arabic Typesetting"/>
                      <w:color w:val="000000"/>
                      <w:sz w:val="28"/>
                      <w:szCs w:val="28"/>
                      <w:rtl/>
                    </w:rPr>
                    <w:br/>
                  </w:r>
                  <w:r w:rsidRPr="00A8069E">
                    <w:rPr>
                      <w:rFonts w:ascii="Arabic Typesetting" w:hAnsi="Arabic Typesetting" w:cs="Arabic Typesetting"/>
                      <w:color w:val="000000"/>
                      <w:sz w:val="28"/>
                      <w:szCs w:val="28"/>
                      <w:rtl/>
                    </w:rPr>
                    <w:t>804 529 زيارات (</w:t>
                  </w:r>
                  <w:r>
                    <w:rPr>
                      <w:rFonts w:ascii="Arabic Typesetting" w:hAnsi="Arabic Typesetting" w:cs="Arabic Typesetting" w:hint="cs"/>
                      <w:color w:val="000000"/>
                      <w:sz w:val="28"/>
                      <w:szCs w:val="28"/>
                      <w:rtl/>
                    </w:rPr>
                    <w:t>-</w:t>
                  </w:r>
                  <w:r>
                    <w:rPr>
                      <w:rFonts w:ascii="Arabic Typesetting" w:hAnsi="Arabic Typesetting" w:cs="Arabic Typesetting"/>
                      <w:color w:val="000000"/>
                      <w:sz w:val="28"/>
                      <w:szCs w:val="28"/>
                    </w:rPr>
                    <w:t>%0.5</w:t>
                  </w:r>
                  <w:r w:rsidRPr="00A8069E">
                    <w:rPr>
                      <w:rFonts w:ascii="Arabic Typesetting" w:hAnsi="Arabic Typesetting" w:cs="Arabic Typesetting"/>
                      <w:color w:val="000000"/>
                      <w:sz w:val="28"/>
                      <w:szCs w:val="28"/>
                      <w:rtl/>
                    </w:rPr>
                    <w:t>) منها 418 247 (-2.8%) من البلدان النامية</w:t>
                  </w:r>
                </w:p>
              </w:tc>
            </w:tr>
            <w:tr w:rsidR="00CE6E0B" w:rsidRPr="00A8069E" w14:paraId="33C99180" w14:textId="77777777" w:rsidTr="00BB3820">
              <w:tc>
                <w:tcPr>
                  <w:tcW w:w="2501" w:type="dxa"/>
                  <w:tcMar>
                    <w:left w:w="14" w:type="dxa"/>
                    <w:right w:w="14" w:type="dxa"/>
                  </w:tcMar>
                </w:tcPr>
                <w:p w14:paraId="32EFC79D" w14:textId="77777777" w:rsidR="00CE6E0B" w:rsidRPr="00A8069E" w:rsidRDefault="00CE6E0B" w:rsidP="0031289D">
                  <w:pPr>
                    <w:bidi/>
                    <w:spacing w:after="120" w:line="280" w:lineRule="exact"/>
                    <w:rPr>
                      <w:rFonts w:ascii="Arabic Typesetting" w:hAnsi="Arabic Typesetting" w:cs="Arabic Typesetting"/>
                      <w:color w:val="000000"/>
                      <w:sz w:val="28"/>
                      <w:szCs w:val="28"/>
                    </w:rPr>
                  </w:pPr>
                  <w:r w:rsidRPr="00A8069E">
                    <w:rPr>
                      <w:rFonts w:ascii="Arabic Typesetting" w:hAnsi="Arabic Typesetting" w:cs="Arabic Typesetting"/>
                      <w:color w:val="000000"/>
                      <w:sz w:val="28"/>
                      <w:szCs w:val="28"/>
                      <w:rtl/>
                    </w:rPr>
                    <w:t>منشور نيس</w:t>
                  </w:r>
                  <w:r>
                    <w:rPr>
                      <w:rFonts w:ascii="Arabic Typesetting" w:hAnsi="Arabic Typesetting" w:cs="Arabic Typesetting"/>
                      <w:color w:val="000000"/>
                      <w:sz w:val="28"/>
                      <w:szCs w:val="28"/>
                      <w:rtl/>
                    </w:rPr>
                    <w:t>:</w:t>
                  </w:r>
                  <w:r>
                    <w:rPr>
                      <w:rFonts w:ascii="Arabic Typesetting" w:hAnsi="Arabic Typesetting" w:cs="Arabic Typesetting"/>
                      <w:color w:val="000000"/>
                      <w:sz w:val="28"/>
                      <w:szCs w:val="28"/>
                      <w:rtl/>
                    </w:rPr>
                    <w:br/>
                  </w:r>
                  <w:r w:rsidRPr="00A8069E">
                    <w:rPr>
                      <w:rFonts w:ascii="Arabic Typesetting" w:hAnsi="Arabic Typesetting" w:cs="Arabic Typesetting"/>
                      <w:color w:val="000000"/>
                      <w:sz w:val="28"/>
                      <w:szCs w:val="28"/>
                      <w:rtl/>
                    </w:rPr>
                    <w:t>636 767 3 زيارة (+</w:t>
                  </w:r>
                  <w:r>
                    <w:rPr>
                      <w:rFonts w:ascii="Arabic Typesetting" w:hAnsi="Arabic Typesetting" w:cs="Arabic Typesetting"/>
                      <w:color w:val="000000"/>
                      <w:sz w:val="28"/>
                      <w:szCs w:val="28"/>
                    </w:rPr>
                    <w:t>%38.4</w:t>
                  </w:r>
                  <w:r w:rsidRPr="00A8069E">
                    <w:rPr>
                      <w:rFonts w:ascii="Arabic Typesetting" w:hAnsi="Arabic Typesetting" w:cs="Arabic Typesetting"/>
                      <w:color w:val="000000"/>
                      <w:sz w:val="28"/>
                      <w:szCs w:val="28"/>
                      <w:rtl/>
                    </w:rPr>
                    <w:t>) منها 565 936 1 (+45%) من البلدان</w:t>
                  </w:r>
                  <w:r>
                    <w:rPr>
                      <w:rFonts w:ascii="Arabic Typesetting" w:hAnsi="Arabic Typesetting" w:cs="Arabic Typesetting" w:hint="cs"/>
                      <w:color w:val="000000"/>
                      <w:sz w:val="28"/>
                      <w:szCs w:val="28"/>
                      <w:rtl/>
                    </w:rPr>
                    <w:t> </w:t>
                  </w:r>
                  <w:r w:rsidRPr="00A8069E">
                    <w:rPr>
                      <w:rFonts w:ascii="Arabic Typesetting" w:hAnsi="Arabic Typesetting" w:cs="Arabic Typesetting"/>
                      <w:color w:val="000000"/>
                      <w:sz w:val="28"/>
                      <w:szCs w:val="28"/>
                      <w:rtl/>
                    </w:rPr>
                    <w:t>النامية</w:t>
                  </w:r>
                </w:p>
              </w:tc>
            </w:tr>
            <w:tr w:rsidR="00CE6E0B" w:rsidRPr="00A8069E" w14:paraId="5E5F463C" w14:textId="77777777" w:rsidTr="00BB3820">
              <w:tc>
                <w:tcPr>
                  <w:tcW w:w="2501" w:type="dxa"/>
                  <w:tcMar>
                    <w:left w:w="14" w:type="dxa"/>
                    <w:right w:w="14" w:type="dxa"/>
                  </w:tcMar>
                </w:tcPr>
                <w:p w14:paraId="56DFAF92" w14:textId="63186964" w:rsidR="00CE6E0B" w:rsidRPr="00A8069E" w:rsidRDefault="00CE6E0B" w:rsidP="00A87400">
                  <w:pPr>
                    <w:bidi/>
                    <w:spacing w:after="120" w:line="280" w:lineRule="exact"/>
                    <w:rPr>
                      <w:rFonts w:ascii="Arabic Typesetting" w:hAnsi="Arabic Typesetting" w:cs="Arabic Typesetting"/>
                      <w:color w:val="000000"/>
                      <w:sz w:val="28"/>
                      <w:szCs w:val="28"/>
                    </w:rPr>
                  </w:pPr>
                  <w:r w:rsidRPr="00A8069E">
                    <w:rPr>
                      <w:rFonts w:ascii="Arabic Typesetting" w:hAnsi="Arabic Typesetting" w:cs="Arabic Typesetting"/>
                      <w:color w:val="000000"/>
                      <w:sz w:val="28"/>
                      <w:szCs w:val="28"/>
                      <w:rtl/>
                    </w:rPr>
                    <w:t>صفحة لوكارنو الرئيسية</w:t>
                  </w:r>
                  <w:r>
                    <w:rPr>
                      <w:rFonts w:ascii="Arabic Typesetting" w:hAnsi="Arabic Typesetting" w:cs="Arabic Typesetting"/>
                      <w:color w:val="000000"/>
                      <w:sz w:val="28"/>
                      <w:szCs w:val="28"/>
                      <w:rtl/>
                    </w:rPr>
                    <w:t>:</w:t>
                  </w:r>
                  <w:r>
                    <w:rPr>
                      <w:rFonts w:ascii="Arabic Typesetting" w:hAnsi="Arabic Typesetting" w:cs="Arabic Typesetting"/>
                      <w:color w:val="000000"/>
                      <w:sz w:val="28"/>
                      <w:szCs w:val="28"/>
                      <w:rtl/>
                    </w:rPr>
                    <w:br/>
                  </w:r>
                  <w:r w:rsidRPr="00A8069E">
                    <w:rPr>
                      <w:rFonts w:ascii="Arabic Typesetting" w:hAnsi="Arabic Typesetting" w:cs="Arabic Typesetting"/>
                      <w:color w:val="000000"/>
                      <w:sz w:val="28"/>
                      <w:szCs w:val="28"/>
                      <w:rtl/>
                    </w:rPr>
                    <w:t>719 46 زيارة (-</w:t>
                  </w:r>
                  <w:r>
                    <w:rPr>
                      <w:rFonts w:ascii="Arabic Typesetting" w:hAnsi="Arabic Typesetting" w:cs="Arabic Typesetting"/>
                      <w:color w:val="000000"/>
                      <w:sz w:val="28"/>
                      <w:szCs w:val="28"/>
                    </w:rPr>
                    <w:t>%8.5</w:t>
                  </w:r>
                  <w:r w:rsidRPr="00A8069E">
                    <w:rPr>
                      <w:rFonts w:ascii="Arabic Typesetting" w:hAnsi="Arabic Typesetting" w:cs="Arabic Typesetting"/>
                      <w:color w:val="000000"/>
                      <w:sz w:val="28"/>
                      <w:szCs w:val="28"/>
                      <w:rtl/>
                    </w:rPr>
                    <w:t xml:space="preserve">) منها </w:t>
                  </w:r>
                  <w:r w:rsidR="00A87400" w:rsidRPr="00396976">
                    <w:rPr>
                      <w:rFonts w:ascii="Arabic Typesetting" w:hAnsi="Arabic Typesetting" w:cs="Arabic Typesetting"/>
                      <w:color w:val="000000"/>
                      <w:sz w:val="28"/>
                      <w:szCs w:val="28"/>
                      <w:rtl/>
                    </w:rPr>
                    <w:t>123</w:t>
                  </w:r>
                  <w:r w:rsidR="00A87400">
                    <w:rPr>
                      <w:rFonts w:ascii="Arabic Typesetting" w:hAnsi="Arabic Typesetting" w:cs="Arabic Typesetting" w:hint="eastAsia"/>
                      <w:color w:val="000000"/>
                      <w:sz w:val="28"/>
                      <w:szCs w:val="28"/>
                      <w:rtl/>
                    </w:rPr>
                    <w:t> </w:t>
                  </w:r>
                  <w:r w:rsidR="00A87400">
                    <w:rPr>
                      <w:rFonts w:ascii="Arabic Typesetting" w:hAnsi="Arabic Typesetting" w:cs="Arabic Typesetting" w:hint="cs"/>
                      <w:color w:val="000000"/>
                      <w:sz w:val="28"/>
                      <w:szCs w:val="28"/>
                      <w:rtl/>
                    </w:rPr>
                    <w:t>16</w:t>
                  </w:r>
                  <w:r w:rsidRPr="00A8069E">
                    <w:rPr>
                      <w:rFonts w:ascii="Arabic Typesetting" w:hAnsi="Arabic Typesetting" w:cs="Arabic Typesetting"/>
                      <w:color w:val="000000"/>
                      <w:sz w:val="28"/>
                      <w:szCs w:val="28"/>
                      <w:rtl/>
                    </w:rPr>
                    <w:t xml:space="preserve"> (-5.8%) من البلدان النامية</w:t>
                  </w:r>
                </w:p>
              </w:tc>
            </w:tr>
            <w:tr w:rsidR="00CE6E0B" w:rsidRPr="00A8069E" w14:paraId="5AF89EAF" w14:textId="77777777" w:rsidTr="00BB3820">
              <w:tc>
                <w:tcPr>
                  <w:tcW w:w="2501" w:type="dxa"/>
                  <w:tcMar>
                    <w:left w:w="14" w:type="dxa"/>
                    <w:right w:w="14" w:type="dxa"/>
                  </w:tcMar>
                </w:tcPr>
                <w:p w14:paraId="08164F9B" w14:textId="2C261B07" w:rsidR="00CE6E0B" w:rsidRPr="00A8069E" w:rsidRDefault="00CE6E0B" w:rsidP="00A87400">
                  <w:pPr>
                    <w:bidi/>
                    <w:spacing w:after="120" w:line="280" w:lineRule="exact"/>
                    <w:rPr>
                      <w:rFonts w:ascii="Arabic Typesetting" w:hAnsi="Arabic Typesetting" w:cs="Arabic Typesetting"/>
                      <w:color w:val="000000"/>
                      <w:sz w:val="28"/>
                      <w:szCs w:val="28"/>
                    </w:rPr>
                  </w:pPr>
                  <w:r w:rsidRPr="00A8069E">
                    <w:rPr>
                      <w:rFonts w:ascii="Arabic Typesetting" w:hAnsi="Arabic Typesetting" w:cs="Arabic Typesetting"/>
                      <w:color w:val="000000"/>
                      <w:sz w:val="28"/>
                      <w:szCs w:val="28"/>
                      <w:rtl/>
                    </w:rPr>
                    <w:t>صفحة فيينا الرئيسية</w:t>
                  </w:r>
                  <w:r>
                    <w:rPr>
                      <w:rFonts w:ascii="Arabic Typesetting" w:hAnsi="Arabic Typesetting" w:cs="Arabic Typesetting"/>
                      <w:color w:val="000000"/>
                      <w:sz w:val="28"/>
                      <w:szCs w:val="28"/>
                      <w:rtl/>
                    </w:rPr>
                    <w:t>:</w:t>
                  </w:r>
                  <w:r>
                    <w:rPr>
                      <w:rFonts w:ascii="Arabic Typesetting" w:hAnsi="Arabic Typesetting" w:cs="Arabic Typesetting"/>
                      <w:color w:val="000000"/>
                      <w:sz w:val="28"/>
                      <w:szCs w:val="28"/>
                      <w:rtl/>
                    </w:rPr>
                    <w:br/>
                  </w:r>
                  <w:r w:rsidRPr="00A8069E">
                    <w:rPr>
                      <w:rFonts w:ascii="Arabic Typesetting" w:hAnsi="Arabic Typesetting" w:cs="Arabic Typesetting"/>
                      <w:color w:val="000000"/>
                      <w:sz w:val="28"/>
                      <w:szCs w:val="28"/>
                      <w:rtl/>
                    </w:rPr>
                    <w:t>902 36 زيارة (+</w:t>
                  </w:r>
                  <w:r>
                    <w:rPr>
                      <w:rFonts w:ascii="Arabic Typesetting" w:hAnsi="Arabic Typesetting" w:cs="Arabic Typesetting"/>
                      <w:color w:val="000000"/>
                      <w:sz w:val="28"/>
                      <w:szCs w:val="28"/>
                    </w:rPr>
                    <w:t>%6.0</w:t>
                  </w:r>
                  <w:r w:rsidRPr="00A8069E">
                    <w:rPr>
                      <w:rFonts w:ascii="Arabic Typesetting" w:hAnsi="Arabic Typesetting" w:cs="Arabic Typesetting"/>
                      <w:color w:val="000000"/>
                      <w:sz w:val="28"/>
                      <w:szCs w:val="28"/>
                      <w:rtl/>
                    </w:rPr>
                    <w:t xml:space="preserve">) منها </w:t>
                  </w:r>
                  <w:r w:rsidR="00A87400" w:rsidRPr="00396976">
                    <w:rPr>
                      <w:rFonts w:ascii="Arabic Typesetting" w:hAnsi="Arabic Typesetting" w:cs="Arabic Typesetting"/>
                      <w:color w:val="000000"/>
                      <w:sz w:val="28"/>
                      <w:szCs w:val="28"/>
                      <w:rtl/>
                    </w:rPr>
                    <w:t>078</w:t>
                  </w:r>
                  <w:r w:rsidR="00A87400">
                    <w:rPr>
                      <w:rFonts w:ascii="Arabic Typesetting" w:hAnsi="Arabic Typesetting" w:cs="Arabic Typesetting" w:hint="cs"/>
                      <w:color w:val="000000"/>
                      <w:sz w:val="28"/>
                      <w:szCs w:val="28"/>
                      <w:rtl/>
                    </w:rPr>
                    <w:t> 19</w:t>
                  </w:r>
                  <w:r w:rsidRPr="00A8069E">
                    <w:rPr>
                      <w:rFonts w:ascii="Arabic Typesetting" w:hAnsi="Arabic Typesetting" w:cs="Arabic Typesetting"/>
                      <w:color w:val="000000"/>
                      <w:sz w:val="28"/>
                      <w:szCs w:val="28"/>
                      <w:rtl/>
                    </w:rPr>
                    <w:t xml:space="preserve"> (+41.2%) من البلدان النامية</w:t>
                  </w:r>
                </w:p>
              </w:tc>
            </w:tr>
            <w:tr w:rsidR="00CE6E0B" w:rsidRPr="00A8069E" w14:paraId="25029AC1" w14:textId="77777777" w:rsidTr="00BB3820">
              <w:tc>
                <w:tcPr>
                  <w:tcW w:w="2501" w:type="dxa"/>
                  <w:tcMar>
                    <w:left w:w="14" w:type="dxa"/>
                    <w:right w:w="14" w:type="dxa"/>
                  </w:tcMar>
                </w:tcPr>
                <w:p w14:paraId="0EEC9451" w14:textId="3FDF0F6A" w:rsidR="00CE6E0B" w:rsidRPr="00A8069E" w:rsidRDefault="00CE6E0B" w:rsidP="00A87400">
                  <w:pPr>
                    <w:bidi/>
                    <w:spacing w:after="120" w:line="280" w:lineRule="exact"/>
                    <w:rPr>
                      <w:rFonts w:ascii="Arabic Typesetting" w:hAnsi="Arabic Typesetting" w:cs="Arabic Typesetting"/>
                      <w:color w:val="000000"/>
                      <w:sz w:val="28"/>
                      <w:szCs w:val="28"/>
                    </w:rPr>
                  </w:pPr>
                  <w:r w:rsidRPr="00A8069E">
                    <w:rPr>
                      <w:rFonts w:ascii="Arabic Typesetting" w:hAnsi="Arabic Typesetting" w:cs="Arabic Typesetting"/>
                      <w:color w:val="000000"/>
                      <w:sz w:val="28"/>
                      <w:szCs w:val="28"/>
                      <w:rtl/>
                    </w:rPr>
                    <w:t>معايير الويبو (كُتيّب)</w:t>
                  </w:r>
                  <w:r>
                    <w:rPr>
                      <w:rFonts w:ascii="Arabic Typesetting" w:hAnsi="Arabic Typesetting" w:cs="Arabic Typesetting"/>
                      <w:color w:val="000000"/>
                      <w:sz w:val="28"/>
                      <w:szCs w:val="28"/>
                      <w:rtl/>
                    </w:rPr>
                    <w:t>:</w:t>
                  </w:r>
                  <w:r w:rsidRPr="00A8069E">
                    <w:rPr>
                      <w:rFonts w:ascii="Arabic Typesetting" w:hAnsi="Arabic Typesetting" w:cs="Arabic Typesetting"/>
                      <w:color w:val="000000"/>
                      <w:sz w:val="28"/>
                      <w:szCs w:val="28"/>
                    </w:rPr>
                    <w:br/>
                  </w:r>
                  <w:r w:rsidRPr="00A8069E">
                    <w:rPr>
                      <w:rFonts w:ascii="Arabic Typesetting" w:hAnsi="Arabic Typesetting" w:cs="Arabic Typesetting"/>
                      <w:color w:val="000000"/>
                      <w:sz w:val="28"/>
                      <w:szCs w:val="28"/>
                      <w:rtl/>
                    </w:rPr>
                    <w:t>115 70 زيارة (+</w:t>
                  </w:r>
                  <w:r>
                    <w:rPr>
                      <w:rFonts w:ascii="Arabic Typesetting" w:hAnsi="Arabic Typesetting" w:cs="Arabic Typesetting"/>
                      <w:color w:val="000000"/>
                      <w:sz w:val="28"/>
                      <w:szCs w:val="28"/>
                    </w:rPr>
                    <w:t>%1.2</w:t>
                  </w:r>
                  <w:r w:rsidRPr="00A8069E">
                    <w:rPr>
                      <w:rFonts w:ascii="Arabic Typesetting" w:hAnsi="Arabic Typesetting" w:cs="Arabic Typesetting"/>
                      <w:color w:val="000000"/>
                      <w:sz w:val="28"/>
                      <w:szCs w:val="28"/>
                      <w:rtl/>
                    </w:rPr>
                    <w:t>) منها</w:t>
                  </w:r>
                  <w:r w:rsidR="00A87400">
                    <w:rPr>
                      <w:rFonts w:ascii="Arabic Typesetting" w:hAnsi="Arabic Typesetting" w:cs="Arabic Typesetting" w:hint="cs"/>
                      <w:color w:val="000000"/>
                      <w:sz w:val="28"/>
                      <w:szCs w:val="28"/>
                      <w:rtl/>
                    </w:rPr>
                    <w:t xml:space="preserve"> </w:t>
                  </w:r>
                  <w:r w:rsidR="00A87400" w:rsidRPr="00396976">
                    <w:rPr>
                      <w:rFonts w:ascii="Arabic Typesetting" w:hAnsi="Arabic Typesetting" w:cs="Arabic Typesetting"/>
                      <w:color w:val="000000"/>
                      <w:sz w:val="28"/>
                      <w:szCs w:val="28"/>
                      <w:rtl/>
                    </w:rPr>
                    <w:t>467</w:t>
                  </w:r>
                  <w:r w:rsidR="00A87400">
                    <w:rPr>
                      <w:rFonts w:ascii="Arabic Typesetting" w:hAnsi="Arabic Typesetting" w:cs="Arabic Typesetting" w:hint="cs"/>
                      <w:color w:val="000000"/>
                      <w:sz w:val="28"/>
                      <w:szCs w:val="28"/>
                      <w:rtl/>
                    </w:rPr>
                    <w:t> 28</w:t>
                  </w:r>
                  <w:r w:rsidRPr="00A8069E">
                    <w:rPr>
                      <w:rFonts w:ascii="Arabic Typesetting" w:hAnsi="Arabic Typesetting" w:cs="Arabic Typesetting"/>
                      <w:color w:val="000000"/>
                      <w:sz w:val="28"/>
                      <w:szCs w:val="28"/>
                      <w:rtl/>
                    </w:rPr>
                    <w:t xml:space="preserve"> (+22.3%) من البلدان النامية</w:t>
                  </w:r>
                </w:p>
              </w:tc>
            </w:tr>
          </w:tbl>
          <w:p w14:paraId="6FF7A1D9" w14:textId="77777777" w:rsidR="00CE6E0B" w:rsidRPr="00A8069E" w:rsidRDefault="00CE6E0B"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p>
        </w:tc>
        <w:tc>
          <w:tcPr>
            <w:tcW w:w="504" w:type="pct"/>
            <w:shd w:val="clear" w:color="auto" w:fill="auto"/>
            <w:tcMar>
              <w:top w:w="110" w:type="dxa"/>
              <w:left w:w="58" w:type="dxa"/>
              <w:right w:w="58" w:type="dxa"/>
            </w:tcMar>
          </w:tcPr>
          <w:p w14:paraId="0A08E378" w14:textId="77777777" w:rsidR="00CE6E0B" w:rsidRDefault="00CE6E0B" w:rsidP="0031289D">
            <w:pPr>
              <w:keepNext/>
              <w:keepLines/>
              <w:bidi/>
              <w:spacing w:after="1200" w:line="280" w:lineRule="exact"/>
              <w:jc w:val="center"/>
              <w:rPr>
                <w:rFonts w:ascii="Arabic Typesetting" w:eastAsia="Arabic Typesetting" w:hAnsi="Arabic Typesetting" w:cs="Arabic Typesetting"/>
                <w:b/>
                <w:color w:val="FF0000"/>
                <w:sz w:val="28"/>
                <w:szCs w:val="28"/>
                <w:lang w:eastAsia="ar-EG" w:bidi="ar-EG"/>
              </w:rPr>
            </w:pPr>
            <w:r w:rsidRPr="00A8069E">
              <w:rPr>
                <w:rFonts w:ascii="Arabic Typesetting" w:eastAsia="Arabic Typesetting" w:hAnsi="Arabic Typesetting" w:cs="Arabic Typesetting"/>
                <w:b/>
                <w:bCs/>
                <w:color w:val="FF0000"/>
                <w:sz w:val="28"/>
                <w:szCs w:val="28"/>
                <w:rtl/>
                <w:lang w:eastAsia="ar-EG" w:bidi="ar-EG"/>
              </w:rPr>
              <w:t>غير ثابت</w:t>
            </w:r>
          </w:p>
          <w:p w14:paraId="120B19C9" w14:textId="77777777" w:rsidR="00CE6E0B" w:rsidRDefault="00CE6E0B" w:rsidP="0031289D">
            <w:pPr>
              <w:keepNext/>
              <w:keepLines/>
              <w:bidi/>
              <w:spacing w:after="720" w:line="280" w:lineRule="exact"/>
              <w:jc w:val="center"/>
              <w:rPr>
                <w:rFonts w:ascii="Arabic Typesetting" w:eastAsia="Arabic Typesetting" w:hAnsi="Arabic Typesetting" w:cs="Arabic Typesetting"/>
                <w:b/>
                <w:color w:val="FF0000"/>
                <w:sz w:val="28"/>
                <w:szCs w:val="28"/>
                <w:lang w:eastAsia="ar-EG" w:bidi="ar-EG"/>
              </w:rPr>
            </w:pPr>
            <w:r w:rsidRPr="00A8069E">
              <w:rPr>
                <w:rFonts w:ascii="Arabic Typesetting" w:eastAsia="Arabic Typesetting" w:hAnsi="Arabic Typesetting" w:cs="Arabic Typesetting"/>
                <w:b/>
                <w:bCs/>
                <w:color w:val="FF0000"/>
                <w:sz w:val="28"/>
                <w:szCs w:val="28"/>
                <w:rtl/>
                <w:lang w:eastAsia="ar-EG" w:bidi="ar-EG"/>
              </w:rPr>
              <w:t>غير ثابت</w:t>
            </w:r>
          </w:p>
          <w:p w14:paraId="4EE8E76B" w14:textId="77777777" w:rsidR="00CE6E0B" w:rsidRDefault="00CE6E0B" w:rsidP="0031289D">
            <w:pPr>
              <w:keepNext/>
              <w:keepLines/>
              <w:bidi/>
              <w:spacing w:after="740" w:line="280" w:lineRule="exact"/>
              <w:jc w:val="center"/>
              <w:rPr>
                <w:rFonts w:ascii="Arabic Typesetting" w:eastAsia="Arabic Typesetting" w:hAnsi="Arabic Typesetting" w:cs="Arabic Typesetting"/>
                <w:b/>
                <w:color w:val="FF0000"/>
                <w:sz w:val="28"/>
                <w:szCs w:val="28"/>
                <w:lang w:eastAsia="ar-EG" w:bidi="ar-EG"/>
              </w:rPr>
            </w:pPr>
            <w:r w:rsidRPr="00A8069E">
              <w:rPr>
                <w:rFonts w:ascii="Arabic Typesetting" w:eastAsia="Arabic Typesetting" w:hAnsi="Arabic Typesetting" w:cs="Arabic Typesetting"/>
                <w:b/>
                <w:bCs/>
                <w:color w:val="FF0000"/>
                <w:sz w:val="28"/>
                <w:szCs w:val="28"/>
                <w:rtl/>
                <w:lang w:eastAsia="ar-EG" w:bidi="ar-EG"/>
              </w:rPr>
              <w:t>غير ثابت</w:t>
            </w:r>
          </w:p>
          <w:p w14:paraId="5802E4F0" w14:textId="77777777" w:rsidR="00CE6E0B" w:rsidRDefault="00CE6E0B" w:rsidP="0031289D">
            <w:pPr>
              <w:keepNext/>
              <w:keepLines/>
              <w:bidi/>
              <w:spacing w:after="840" w:line="280" w:lineRule="exact"/>
              <w:jc w:val="center"/>
              <w:rPr>
                <w:rFonts w:ascii="Arabic Typesetting" w:eastAsia="Arabic Typesetting" w:hAnsi="Arabic Typesetting" w:cs="Arabic Typesetting"/>
                <w:b/>
                <w:color w:val="00B050"/>
                <w:sz w:val="28"/>
                <w:szCs w:val="28"/>
                <w:lang w:eastAsia="ar-EG" w:bidi="ar-EG"/>
              </w:rPr>
            </w:pPr>
            <w:r w:rsidRPr="00A8069E">
              <w:rPr>
                <w:rFonts w:ascii="Arabic Typesetting" w:eastAsia="Arabic Typesetting" w:hAnsi="Arabic Typesetting" w:cs="Arabic Typesetting"/>
                <w:b/>
                <w:bCs/>
                <w:color w:val="00B050"/>
                <w:sz w:val="28"/>
                <w:szCs w:val="28"/>
                <w:rtl/>
                <w:lang w:eastAsia="ar-EG" w:bidi="ar-EG"/>
              </w:rPr>
              <w:t>ثابت</w:t>
            </w:r>
          </w:p>
          <w:p w14:paraId="0215A8B4" w14:textId="77777777" w:rsidR="00CE6E0B" w:rsidRDefault="00CE6E0B" w:rsidP="0031289D">
            <w:pPr>
              <w:keepNext/>
              <w:keepLines/>
              <w:bidi/>
              <w:spacing w:after="800" w:line="280" w:lineRule="exact"/>
              <w:jc w:val="center"/>
              <w:rPr>
                <w:rFonts w:ascii="Arabic Typesetting" w:eastAsia="Arabic Typesetting" w:hAnsi="Arabic Typesetting" w:cs="Arabic Typesetting"/>
                <w:b/>
                <w:color w:val="FF0000"/>
                <w:sz w:val="28"/>
                <w:szCs w:val="28"/>
                <w:lang w:eastAsia="ar-EG" w:bidi="ar-EG"/>
              </w:rPr>
            </w:pPr>
            <w:r w:rsidRPr="00A8069E">
              <w:rPr>
                <w:rFonts w:ascii="Arabic Typesetting" w:eastAsia="Arabic Typesetting" w:hAnsi="Arabic Typesetting" w:cs="Arabic Typesetting"/>
                <w:b/>
                <w:bCs/>
                <w:color w:val="FF0000"/>
                <w:sz w:val="28"/>
                <w:szCs w:val="28"/>
                <w:rtl/>
                <w:lang w:eastAsia="ar-EG" w:bidi="ar-EG"/>
              </w:rPr>
              <w:t>غير ثابت</w:t>
            </w:r>
          </w:p>
          <w:p w14:paraId="13F5A8E1" w14:textId="77777777" w:rsidR="00CE6E0B" w:rsidRDefault="00CE6E0B" w:rsidP="0031289D">
            <w:pPr>
              <w:keepNext/>
              <w:keepLines/>
              <w:bidi/>
              <w:spacing w:after="600" w:line="280" w:lineRule="exact"/>
              <w:jc w:val="center"/>
              <w:rPr>
                <w:rFonts w:ascii="Arabic Typesetting" w:eastAsia="Arabic Typesetting" w:hAnsi="Arabic Typesetting" w:cs="Arabic Typesetting"/>
                <w:b/>
                <w:color w:val="00B050"/>
                <w:sz w:val="28"/>
                <w:szCs w:val="28"/>
                <w:lang w:eastAsia="ar-EG" w:bidi="ar-EG"/>
              </w:rPr>
            </w:pPr>
            <w:r w:rsidRPr="00A8069E">
              <w:rPr>
                <w:rFonts w:ascii="Arabic Typesetting" w:eastAsia="Arabic Typesetting" w:hAnsi="Arabic Typesetting" w:cs="Arabic Typesetting"/>
                <w:b/>
                <w:bCs/>
                <w:color w:val="00B050"/>
                <w:sz w:val="28"/>
                <w:szCs w:val="28"/>
                <w:rtl/>
                <w:lang w:eastAsia="ar-EG" w:bidi="ar-EG"/>
              </w:rPr>
              <w:t>ثابت</w:t>
            </w:r>
          </w:p>
          <w:p w14:paraId="525C8F04" w14:textId="77777777" w:rsidR="00CE6E0B" w:rsidRPr="00A8069E" w:rsidRDefault="00CE6E0B" w:rsidP="0031289D">
            <w:pPr>
              <w:keepNext/>
              <w:keepLines/>
              <w:bidi/>
              <w:spacing w:after="120" w:line="280" w:lineRule="exact"/>
              <w:jc w:val="center"/>
              <w:rPr>
                <w:rFonts w:ascii="Arabic Typesetting" w:eastAsia="Arabic Typesetting" w:hAnsi="Arabic Typesetting" w:cs="Arabic Typesetting"/>
                <w:b/>
                <w:color w:val="FF0000"/>
                <w:sz w:val="28"/>
                <w:szCs w:val="28"/>
                <w:lang w:eastAsia="ar-EG" w:bidi="ar-EG"/>
              </w:rPr>
            </w:pPr>
            <w:r w:rsidRPr="00A8069E">
              <w:rPr>
                <w:rFonts w:ascii="Arabic Typesetting" w:eastAsia="Arabic Typesetting" w:hAnsi="Arabic Typesetting" w:cs="Arabic Typesetting"/>
                <w:b/>
                <w:bCs/>
                <w:color w:val="FF0000"/>
                <w:sz w:val="28"/>
                <w:szCs w:val="28"/>
                <w:rtl/>
                <w:lang w:eastAsia="ar-EG" w:bidi="ar-EG"/>
              </w:rPr>
              <w:t>غير ثابت</w:t>
            </w:r>
          </w:p>
        </w:tc>
      </w:tr>
    </w:tbl>
    <w:p w14:paraId="1E018BCB" w14:textId="77777777" w:rsidR="00CE6E0B" w:rsidRDefault="00CE6E0B" w:rsidP="0031289D">
      <w:pPr>
        <w:bidi/>
      </w:pPr>
    </w:p>
    <w:tbl>
      <w:tblPr>
        <w:tblStyle w:val="TableGrid"/>
        <w:bidiVisual/>
        <w:tblW w:w="0" w:type="auto"/>
        <w:tblLook w:val="04A0" w:firstRow="1" w:lastRow="0" w:firstColumn="1" w:lastColumn="0" w:noHBand="0" w:noVBand="1"/>
      </w:tblPr>
      <w:tblGrid>
        <w:gridCol w:w="9571"/>
      </w:tblGrid>
      <w:tr w:rsidR="00CE6E0B" w14:paraId="4A25CBBF" w14:textId="77777777" w:rsidTr="00BB3820">
        <w:tc>
          <w:tcPr>
            <w:tcW w:w="9571" w:type="dxa"/>
            <w:tcBorders>
              <w:top w:val="nil"/>
              <w:left w:val="nil"/>
              <w:bottom w:val="nil"/>
              <w:right w:val="nil"/>
            </w:tcBorders>
            <w:shd w:val="clear" w:color="auto" w:fill="C6D9F1"/>
            <w:vAlign w:val="center"/>
          </w:tcPr>
          <w:p w14:paraId="3C5CAB56" w14:textId="77777777" w:rsidR="00CE6E0B" w:rsidRPr="00A2672B" w:rsidRDefault="00CE6E0B"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12</w:t>
            </w:r>
          </w:p>
        </w:tc>
      </w:tr>
    </w:tbl>
    <w:p w14:paraId="27063F7F" w14:textId="77777777" w:rsidR="00CE6E0B" w:rsidRPr="00FE3908"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35BEAE33" w14:textId="77777777" w:rsidR="00CE6E0B" w:rsidRDefault="00CE6E0B"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E6E0B" w:rsidRPr="00211D55" w14:paraId="0862DEC9"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6F2DA3CE"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44F20867"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143926EB" w14:textId="77777777" w:rsidR="00CE6E0B" w:rsidRPr="00A2672B" w:rsidRDefault="00CE6E0B"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6F96D47E"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CE6E0B" w:rsidRPr="00211D55" w14:paraId="2BD6D1D1" w14:textId="77777777" w:rsidTr="00BB3820">
        <w:trPr>
          <w:trHeight w:val="55"/>
        </w:trPr>
        <w:tc>
          <w:tcPr>
            <w:tcW w:w="413" w:type="pct"/>
            <w:shd w:val="clear" w:color="auto" w:fill="auto"/>
            <w:noWrap/>
            <w:tcMar>
              <w:top w:w="15" w:type="dxa"/>
              <w:left w:w="15" w:type="dxa"/>
              <w:bottom w:w="0" w:type="dxa"/>
              <w:right w:w="15" w:type="dxa"/>
            </w:tcMar>
            <w:vAlign w:val="center"/>
          </w:tcPr>
          <w:p w14:paraId="540985FB" w14:textId="77777777" w:rsidR="00CE6E0B" w:rsidRPr="00211D55" w:rsidRDefault="00CE6E0B" w:rsidP="0031289D">
            <w:pPr>
              <w:bidi/>
              <w:spacing w:before="120" w:after="120"/>
              <w:rPr>
                <w:rFonts w:ascii="Arabic Typesetting" w:hAnsi="Arabic Typesetting" w:cs="Arabic Typesetting"/>
                <w:sz w:val="28"/>
                <w:szCs w:val="28"/>
              </w:rPr>
            </w:pPr>
            <w:r>
              <w:rPr>
                <w:rFonts w:ascii="Arabic Typesetting" w:hAnsi="Arabic Typesetting" w:cs="Arabic Typesetting" w:hint="cs"/>
                <w:sz w:val="28"/>
                <w:szCs w:val="28"/>
                <w:rtl/>
              </w:rPr>
              <w:t>ه1.4</w:t>
            </w:r>
          </w:p>
        </w:tc>
        <w:tc>
          <w:tcPr>
            <w:tcW w:w="2340" w:type="pct"/>
            <w:shd w:val="clear" w:color="auto" w:fill="auto"/>
            <w:tcMar>
              <w:top w:w="15" w:type="dxa"/>
              <w:left w:w="15" w:type="dxa"/>
              <w:bottom w:w="0" w:type="dxa"/>
              <w:right w:w="15" w:type="dxa"/>
            </w:tcMar>
            <w:vAlign w:val="center"/>
          </w:tcPr>
          <w:p w14:paraId="0C65DA89" w14:textId="381A6C23" w:rsidR="00CE6E0B" w:rsidRPr="00211D55" w:rsidRDefault="007B1E0A" w:rsidP="0031289D">
            <w:pPr>
              <w:bidi/>
              <w:spacing w:before="120" w:after="120"/>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نظام محدّث ومقبول عالميا للتصنيفات الدولية ومعايير الويبو بهدف تيسير النفاذ إلى معلومات الملكية الفكرية واستخدامها ونشرها في صفوف أصحاب المصلحة في أنحاء العالم</w:t>
            </w:r>
          </w:p>
        </w:tc>
        <w:tc>
          <w:tcPr>
            <w:tcW w:w="749" w:type="pct"/>
            <w:shd w:val="clear" w:color="auto" w:fill="auto"/>
            <w:tcMar>
              <w:top w:w="15" w:type="dxa"/>
              <w:left w:w="15" w:type="dxa"/>
              <w:bottom w:w="0" w:type="dxa"/>
              <w:right w:w="15" w:type="dxa"/>
            </w:tcMar>
            <w:vAlign w:val="center"/>
          </w:tcPr>
          <w:p w14:paraId="3A7D5FE9" w14:textId="77777777" w:rsidR="00CE6E0B" w:rsidRPr="00A5764A" w:rsidRDefault="00CE6E0B" w:rsidP="0031289D">
            <w:pPr>
              <w:keepNext/>
              <w:keepLines/>
              <w:jc w:val="center"/>
              <w:rPr>
                <w:color w:val="000000"/>
                <w:sz w:val="16"/>
                <w:szCs w:val="16"/>
              </w:rPr>
            </w:pPr>
            <w:r w:rsidRPr="00A5764A">
              <w:rPr>
                <w:color w:val="000000"/>
                <w:sz w:val="16"/>
                <w:szCs w:val="16"/>
              </w:rPr>
              <w:t>7</w:t>
            </w:r>
            <w:r>
              <w:rPr>
                <w:color w:val="000000"/>
                <w:sz w:val="16"/>
                <w:szCs w:val="16"/>
              </w:rPr>
              <w:t> </w:t>
            </w:r>
            <w:r w:rsidRPr="00A5764A">
              <w:rPr>
                <w:color w:val="000000"/>
                <w:sz w:val="16"/>
                <w:szCs w:val="16"/>
              </w:rPr>
              <w:t>070</w:t>
            </w:r>
          </w:p>
        </w:tc>
        <w:tc>
          <w:tcPr>
            <w:tcW w:w="749" w:type="pct"/>
            <w:shd w:val="clear" w:color="auto" w:fill="auto"/>
            <w:tcMar>
              <w:top w:w="15" w:type="dxa"/>
              <w:left w:w="15" w:type="dxa"/>
              <w:bottom w:w="0" w:type="dxa"/>
              <w:right w:w="15" w:type="dxa"/>
            </w:tcMar>
            <w:vAlign w:val="center"/>
          </w:tcPr>
          <w:p w14:paraId="76D53293" w14:textId="77777777" w:rsidR="00CE6E0B" w:rsidRPr="00A5764A" w:rsidRDefault="00CE6E0B" w:rsidP="0031289D">
            <w:pPr>
              <w:keepNext/>
              <w:keepLines/>
              <w:jc w:val="center"/>
              <w:rPr>
                <w:color w:val="000000"/>
                <w:sz w:val="16"/>
                <w:szCs w:val="16"/>
              </w:rPr>
            </w:pPr>
            <w:r w:rsidRPr="00A5764A">
              <w:rPr>
                <w:color w:val="000000"/>
                <w:sz w:val="16"/>
                <w:szCs w:val="16"/>
              </w:rPr>
              <w:t>7</w:t>
            </w:r>
            <w:r>
              <w:rPr>
                <w:color w:val="000000"/>
                <w:sz w:val="16"/>
                <w:szCs w:val="16"/>
              </w:rPr>
              <w:t> </w:t>
            </w:r>
            <w:r w:rsidRPr="00A5764A">
              <w:rPr>
                <w:color w:val="000000"/>
                <w:sz w:val="16"/>
                <w:szCs w:val="16"/>
              </w:rPr>
              <w:t>250</w:t>
            </w:r>
          </w:p>
        </w:tc>
        <w:tc>
          <w:tcPr>
            <w:tcW w:w="749" w:type="pct"/>
            <w:shd w:val="clear" w:color="auto" w:fill="auto"/>
            <w:noWrap/>
            <w:tcMar>
              <w:top w:w="15" w:type="dxa"/>
              <w:left w:w="15" w:type="dxa"/>
              <w:bottom w:w="0" w:type="dxa"/>
              <w:right w:w="15" w:type="dxa"/>
            </w:tcMar>
            <w:vAlign w:val="center"/>
          </w:tcPr>
          <w:p w14:paraId="6C0235CC" w14:textId="77777777" w:rsidR="00CE6E0B" w:rsidRPr="00A5764A" w:rsidRDefault="00CE6E0B" w:rsidP="0031289D">
            <w:pPr>
              <w:keepNext/>
              <w:keepLines/>
              <w:jc w:val="center"/>
              <w:rPr>
                <w:color w:val="000000"/>
                <w:sz w:val="16"/>
                <w:szCs w:val="16"/>
              </w:rPr>
            </w:pPr>
            <w:r w:rsidRPr="00A5764A">
              <w:rPr>
                <w:color w:val="000000"/>
                <w:sz w:val="16"/>
                <w:szCs w:val="16"/>
              </w:rPr>
              <w:t>3</w:t>
            </w:r>
            <w:r>
              <w:rPr>
                <w:color w:val="000000"/>
                <w:sz w:val="16"/>
                <w:szCs w:val="16"/>
              </w:rPr>
              <w:t> </w:t>
            </w:r>
            <w:r w:rsidRPr="00A5764A">
              <w:rPr>
                <w:color w:val="000000"/>
                <w:sz w:val="16"/>
                <w:szCs w:val="16"/>
              </w:rPr>
              <w:t>118</w:t>
            </w:r>
          </w:p>
        </w:tc>
      </w:tr>
      <w:tr w:rsidR="00CE6E0B" w:rsidRPr="00211D55" w14:paraId="27B4F52C"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6B3BF865" w14:textId="77777777" w:rsidR="00CE6E0B" w:rsidRPr="00211D55" w:rsidRDefault="00CE6E0B"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76B520BE" w14:textId="77777777" w:rsidR="00CE6E0B" w:rsidRPr="00280D1A" w:rsidRDefault="00CE6E0B"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1DB60226" w14:textId="77777777" w:rsidR="00CE6E0B" w:rsidRPr="00280D1A" w:rsidRDefault="00CE6E0B" w:rsidP="0031289D">
            <w:pPr>
              <w:keepNext/>
              <w:keepLines/>
              <w:jc w:val="center"/>
              <w:rPr>
                <w:b/>
                <w:bCs/>
                <w:color w:val="000000"/>
                <w:sz w:val="16"/>
                <w:szCs w:val="16"/>
              </w:rPr>
            </w:pPr>
            <w:r w:rsidRPr="00280D1A">
              <w:rPr>
                <w:b/>
                <w:bCs/>
                <w:color w:val="000000"/>
                <w:sz w:val="16"/>
                <w:szCs w:val="16"/>
              </w:rPr>
              <w:t>7 070</w:t>
            </w:r>
          </w:p>
        </w:tc>
        <w:tc>
          <w:tcPr>
            <w:tcW w:w="749" w:type="pct"/>
            <w:shd w:val="clear" w:color="auto" w:fill="C6D9F1"/>
            <w:noWrap/>
            <w:tcMar>
              <w:top w:w="15" w:type="dxa"/>
              <w:left w:w="15" w:type="dxa"/>
              <w:bottom w:w="0" w:type="dxa"/>
              <w:right w:w="15" w:type="dxa"/>
            </w:tcMar>
            <w:vAlign w:val="center"/>
          </w:tcPr>
          <w:p w14:paraId="6A7D3FA6" w14:textId="77777777" w:rsidR="00CE6E0B" w:rsidRPr="00280D1A" w:rsidRDefault="00CE6E0B" w:rsidP="0031289D">
            <w:pPr>
              <w:keepNext/>
              <w:keepLines/>
              <w:jc w:val="center"/>
              <w:rPr>
                <w:b/>
                <w:bCs/>
                <w:color w:val="000000"/>
                <w:sz w:val="16"/>
                <w:szCs w:val="16"/>
              </w:rPr>
            </w:pPr>
            <w:r w:rsidRPr="00280D1A">
              <w:rPr>
                <w:b/>
                <w:bCs/>
                <w:color w:val="000000"/>
                <w:sz w:val="16"/>
                <w:szCs w:val="16"/>
              </w:rPr>
              <w:t>7 250</w:t>
            </w:r>
          </w:p>
        </w:tc>
        <w:tc>
          <w:tcPr>
            <w:tcW w:w="749" w:type="pct"/>
            <w:shd w:val="clear" w:color="auto" w:fill="C6D9F1"/>
            <w:noWrap/>
            <w:tcMar>
              <w:top w:w="15" w:type="dxa"/>
              <w:left w:w="15" w:type="dxa"/>
              <w:bottom w:w="0" w:type="dxa"/>
              <w:right w:w="15" w:type="dxa"/>
            </w:tcMar>
            <w:vAlign w:val="center"/>
          </w:tcPr>
          <w:p w14:paraId="61FFA6F5" w14:textId="77777777" w:rsidR="00CE6E0B" w:rsidRPr="00280D1A" w:rsidRDefault="00CE6E0B" w:rsidP="0031289D">
            <w:pPr>
              <w:keepNext/>
              <w:keepLines/>
              <w:jc w:val="center"/>
              <w:rPr>
                <w:b/>
                <w:bCs/>
                <w:color w:val="000000"/>
                <w:sz w:val="16"/>
                <w:szCs w:val="16"/>
              </w:rPr>
            </w:pPr>
            <w:r w:rsidRPr="00280D1A">
              <w:rPr>
                <w:b/>
                <w:bCs/>
                <w:color w:val="000000"/>
                <w:sz w:val="16"/>
                <w:szCs w:val="16"/>
              </w:rPr>
              <w:t>3 118</w:t>
            </w:r>
          </w:p>
        </w:tc>
      </w:tr>
      <w:tr w:rsidR="00CE6E0B" w:rsidRPr="00211D55" w14:paraId="647C3FE2"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642E6F99" w14:textId="77777777" w:rsidR="00CE6E0B" w:rsidRPr="00A2672B" w:rsidRDefault="00CE6E0B"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0DABB23F" w14:textId="77777777" w:rsidR="00CE6E0B" w:rsidRPr="00252762"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0EE1D901" w14:textId="77777777" w:rsidR="00CE6E0B" w:rsidRPr="00DF1D8A" w:rsidRDefault="00CE6E0B"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CE6E0B" w:rsidRPr="00211D55" w14:paraId="2F5F5543" w14:textId="77777777" w:rsidTr="00BB3820">
        <w:trPr>
          <w:trHeight w:val="645"/>
        </w:trPr>
        <w:tc>
          <w:tcPr>
            <w:tcW w:w="1118" w:type="pct"/>
            <w:shd w:val="clear" w:color="auto" w:fill="C6D9F1"/>
            <w:noWrap/>
            <w:vAlign w:val="center"/>
            <w:hideMark/>
          </w:tcPr>
          <w:p w14:paraId="094EC519" w14:textId="77777777" w:rsidR="00CE6E0B" w:rsidRPr="00211D55" w:rsidRDefault="00CE6E0B"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2DEBF95E"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50CA6835"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000CAA06"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00E369D2"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CE6E0B" w:rsidRPr="00211D55" w14:paraId="52C2B941" w14:textId="77777777" w:rsidTr="00BB3820">
        <w:trPr>
          <w:trHeight w:val="70"/>
        </w:trPr>
        <w:tc>
          <w:tcPr>
            <w:tcW w:w="1118" w:type="pct"/>
            <w:shd w:val="clear" w:color="auto" w:fill="auto"/>
            <w:noWrap/>
            <w:vAlign w:val="center"/>
            <w:hideMark/>
          </w:tcPr>
          <w:p w14:paraId="7756C6C4"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57145127" w14:textId="77777777" w:rsidR="00CE6E0B" w:rsidRPr="00A5764A" w:rsidRDefault="00CE6E0B" w:rsidP="0031289D">
            <w:pPr>
              <w:jc w:val="center"/>
              <w:rPr>
                <w:color w:val="000000"/>
                <w:sz w:val="16"/>
                <w:szCs w:val="16"/>
              </w:rPr>
            </w:pPr>
            <w:r w:rsidRPr="00A5764A">
              <w:rPr>
                <w:color w:val="000000"/>
                <w:sz w:val="16"/>
                <w:szCs w:val="16"/>
              </w:rPr>
              <w:t>5</w:t>
            </w:r>
            <w:r>
              <w:rPr>
                <w:color w:val="000000"/>
                <w:sz w:val="16"/>
                <w:szCs w:val="16"/>
              </w:rPr>
              <w:t> </w:t>
            </w:r>
            <w:r w:rsidRPr="00A5764A">
              <w:rPr>
                <w:color w:val="000000"/>
                <w:sz w:val="16"/>
                <w:szCs w:val="16"/>
              </w:rPr>
              <w:t xml:space="preserve">675 </w:t>
            </w:r>
          </w:p>
        </w:tc>
        <w:tc>
          <w:tcPr>
            <w:tcW w:w="971" w:type="pct"/>
            <w:shd w:val="clear" w:color="auto" w:fill="auto"/>
            <w:vAlign w:val="center"/>
          </w:tcPr>
          <w:p w14:paraId="417A1A10" w14:textId="77777777" w:rsidR="00CE6E0B" w:rsidRPr="00A5764A" w:rsidRDefault="00CE6E0B" w:rsidP="0031289D">
            <w:pPr>
              <w:jc w:val="center"/>
              <w:rPr>
                <w:color w:val="000000"/>
                <w:sz w:val="16"/>
                <w:szCs w:val="16"/>
              </w:rPr>
            </w:pPr>
            <w:r w:rsidRPr="00A5764A">
              <w:rPr>
                <w:color w:val="000000"/>
                <w:sz w:val="16"/>
                <w:szCs w:val="16"/>
              </w:rPr>
              <w:t>5</w:t>
            </w:r>
            <w:r>
              <w:rPr>
                <w:color w:val="000000"/>
                <w:sz w:val="16"/>
                <w:szCs w:val="16"/>
              </w:rPr>
              <w:t> </w:t>
            </w:r>
            <w:r w:rsidRPr="00A5764A">
              <w:rPr>
                <w:color w:val="000000"/>
                <w:sz w:val="16"/>
                <w:szCs w:val="16"/>
              </w:rPr>
              <w:t xml:space="preserve">823 </w:t>
            </w:r>
          </w:p>
        </w:tc>
        <w:tc>
          <w:tcPr>
            <w:tcW w:w="970" w:type="pct"/>
            <w:shd w:val="clear" w:color="auto" w:fill="auto"/>
            <w:vAlign w:val="center"/>
          </w:tcPr>
          <w:p w14:paraId="0446A9F0" w14:textId="77777777" w:rsidR="00CE6E0B" w:rsidRPr="00A5764A" w:rsidRDefault="00CE6E0B" w:rsidP="0031289D">
            <w:pPr>
              <w:jc w:val="center"/>
              <w:rPr>
                <w:color w:val="000000"/>
                <w:sz w:val="16"/>
                <w:szCs w:val="16"/>
              </w:rPr>
            </w:pPr>
            <w:r w:rsidRPr="00A5764A">
              <w:rPr>
                <w:color w:val="000000"/>
                <w:sz w:val="16"/>
                <w:szCs w:val="16"/>
              </w:rPr>
              <w:t>2</w:t>
            </w:r>
            <w:r>
              <w:rPr>
                <w:color w:val="000000"/>
                <w:sz w:val="16"/>
                <w:szCs w:val="16"/>
              </w:rPr>
              <w:t> </w:t>
            </w:r>
            <w:r w:rsidRPr="00A5764A">
              <w:rPr>
                <w:color w:val="000000"/>
                <w:sz w:val="16"/>
                <w:szCs w:val="16"/>
              </w:rPr>
              <w:t xml:space="preserve">653 </w:t>
            </w:r>
          </w:p>
        </w:tc>
        <w:tc>
          <w:tcPr>
            <w:tcW w:w="970" w:type="pct"/>
            <w:shd w:val="clear" w:color="auto" w:fill="auto"/>
            <w:vAlign w:val="center"/>
          </w:tcPr>
          <w:p w14:paraId="25F212AA" w14:textId="77777777" w:rsidR="00CE6E0B" w:rsidRPr="00A5764A" w:rsidRDefault="00CE6E0B" w:rsidP="0031289D">
            <w:pPr>
              <w:jc w:val="center"/>
              <w:rPr>
                <w:color w:val="000000"/>
                <w:sz w:val="16"/>
                <w:szCs w:val="16"/>
              </w:rPr>
            </w:pPr>
            <w:r>
              <w:rPr>
                <w:color w:val="000000"/>
                <w:sz w:val="16"/>
                <w:szCs w:val="16"/>
              </w:rPr>
              <w:t>%46</w:t>
            </w:r>
          </w:p>
        </w:tc>
      </w:tr>
      <w:tr w:rsidR="00CE6E0B" w:rsidRPr="00211D55" w14:paraId="7313F146" w14:textId="77777777" w:rsidTr="00BB3820">
        <w:trPr>
          <w:trHeight w:val="70"/>
        </w:trPr>
        <w:tc>
          <w:tcPr>
            <w:tcW w:w="1118" w:type="pct"/>
            <w:shd w:val="clear" w:color="auto" w:fill="auto"/>
            <w:noWrap/>
            <w:vAlign w:val="center"/>
            <w:hideMark/>
          </w:tcPr>
          <w:p w14:paraId="1349E6FB"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152EE209" w14:textId="77777777" w:rsidR="00CE6E0B" w:rsidRPr="00A5764A" w:rsidRDefault="00CE6E0B" w:rsidP="0031289D">
            <w:pPr>
              <w:jc w:val="center"/>
              <w:rPr>
                <w:color w:val="000000"/>
                <w:sz w:val="16"/>
                <w:szCs w:val="16"/>
              </w:rPr>
            </w:pPr>
            <w:r w:rsidRPr="00A5764A">
              <w:rPr>
                <w:color w:val="000000"/>
                <w:sz w:val="16"/>
                <w:szCs w:val="16"/>
              </w:rPr>
              <w:t>1</w:t>
            </w:r>
            <w:r>
              <w:rPr>
                <w:color w:val="000000"/>
                <w:sz w:val="16"/>
                <w:szCs w:val="16"/>
              </w:rPr>
              <w:t> </w:t>
            </w:r>
            <w:r w:rsidRPr="00A5764A">
              <w:rPr>
                <w:color w:val="000000"/>
                <w:sz w:val="16"/>
                <w:szCs w:val="16"/>
              </w:rPr>
              <w:t xml:space="preserve">395 </w:t>
            </w:r>
          </w:p>
        </w:tc>
        <w:tc>
          <w:tcPr>
            <w:tcW w:w="971" w:type="pct"/>
            <w:shd w:val="clear" w:color="auto" w:fill="auto"/>
            <w:vAlign w:val="center"/>
          </w:tcPr>
          <w:p w14:paraId="42A2253F" w14:textId="77777777" w:rsidR="00CE6E0B" w:rsidRPr="00A5764A" w:rsidRDefault="00CE6E0B" w:rsidP="0031289D">
            <w:pPr>
              <w:jc w:val="center"/>
              <w:rPr>
                <w:color w:val="000000"/>
                <w:sz w:val="16"/>
                <w:szCs w:val="16"/>
              </w:rPr>
            </w:pPr>
            <w:r w:rsidRPr="00A5764A">
              <w:rPr>
                <w:color w:val="000000"/>
                <w:sz w:val="16"/>
                <w:szCs w:val="16"/>
              </w:rPr>
              <w:t>1</w:t>
            </w:r>
            <w:r>
              <w:rPr>
                <w:color w:val="000000"/>
                <w:sz w:val="16"/>
                <w:szCs w:val="16"/>
              </w:rPr>
              <w:t> </w:t>
            </w:r>
            <w:r w:rsidRPr="00A5764A">
              <w:rPr>
                <w:color w:val="000000"/>
                <w:sz w:val="16"/>
                <w:szCs w:val="16"/>
              </w:rPr>
              <w:t xml:space="preserve">427 </w:t>
            </w:r>
          </w:p>
        </w:tc>
        <w:tc>
          <w:tcPr>
            <w:tcW w:w="970" w:type="pct"/>
            <w:shd w:val="clear" w:color="auto" w:fill="auto"/>
            <w:vAlign w:val="center"/>
          </w:tcPr>
          <w:p w14:paraId="617BC1A5" w14:textId="77777777" w:rsidR="00CE6E0B" w:rsidRPr="00A5764A" w:rsidRDefault="00CE6E0B" w:rsidP="0031289D">
            <w:pPr>
              <w:jc w:val="center"/>
              <w:rPr>
                <w:color w:val="000000"/>
                <w:sz w:val="16"/>
                <w:szCs w:val="16"/>
              </w:rPr>
            </w:pPr>
            <w:r w:rsidRPr="00A5764A">
              <w:rPr>
                <w:color w:val="000000"/>
                <w:sz w:val="16"/>
                <w:szCs w:val="16"/>
              </w:rPr>
              <w:t xml:space="preserve">466 </w:t>
            </w:r>
          </w:p>
        </w:tc>
        <w:tc>
          <w:tcPr>
            <w:tcW w:w="970" w:type="pct"/>
            <w:shd w:val="clear" w:color="auto" w:fill="auto"/>
            <w:vAlign w:val="center"/>
          </w:tcPr>
          <w:p w14:paraId="63C0B606" w14:textId="77777777" w:rsidR="00CE6E0B" w:rsidRPr="00A5764A" w:rsidRDefault="00CE6E0B" w:rsidP="0031289D">
            <w:pPr>
              <w:jc w:val="center"/>
              <w:rPr>
                <w:color w:val="000000"/>
                <w:sz w:val="16"/>
                <w:szCs w:val="16"/>
              </w:rPr>
            </w:pPr>
            <w:r>
              <w:rPr>
                <w:color w:val="000000"/>
                <w:sz w:val="16"/>
                <w:szCs w:val="16"/>
              </w:rPr>
              <w:t>%33</w:t>
            </w:r>
          </w:p>
        </w:tc>
      </w:tr>
      <w:tr w:rsidR="00CE6E0B" w:rsidRPr="00211D55" w14:paraId="783685CC" w14:textId="77777777" w:rsidTr="00AF6433">
        <w:trPr>
          <w:trHeight w:val="70"/>
        </w:trPr>
        <w:tc>
          <w:tcPr>
            <w:tcW w:w="1118" w:type="pct"/>
            <w:shd w:val="clear" w:color="auto" w:fill="C6D9F1"/>
            <w:noWrap/>
            <w:vAlign w:val="center"/>
            <w:hideMark/>
          </w:tcPr>
          <w:p w14:paraId="5F1BF640" w14:textId="77777777" w:rsidR="00CE6E0B" w:rsidRPr="00211D55" w:rsidRDefault="00CE6E0B"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4EC2DDC6" w14:textId="77777777" w:rsidR="00CE6E0B" w:rsidRPr="00A5764A" w:rsidRDefault="00CE6E0B" w:rsidP="0031289D">
            <w:pPr>
              <w:jc w:val="center"/>
              <w:rPr>
                <w:b/>
                <w:bCs/>
                <w:color w:val="000000"/>
                <w:sz w:val="16"/>
                <w:szCs w:val="16"/>
              </w:rPr>
            </w:pPr>
            <w:r w:rsidRPr="00A5764A">
              <w:rPr>
                <w:b/>
                <w:bCs/>
                <w:color w:val="000000"/>
                <w:sz w:val="16"/>
                <w:szCs w:val="16"/>
              </w:rPr>
              <w:t>7</w:t>
            </w:r>
            <w:r>
              <w:rPr>
                <w:b/>
                <w:bCs/>
                <w:color w:val="000000"/>
                <w:sz w:val="16"/>
                <w:szCs w:val="16"/>
              </w:rPr>
              <w:t> </w:t>
            </w:r>
            <w:r w:rsidRPr="00A5764A">
              <w:rPr>
                <w:b/>
                <w:bCs/>
                <w:color w:val="000000"/>
                <w:sz w:val="16"/>
                <w:szCs w:val="16"/>
              </w:rPr>
              <w:t xml:space="preserve">070 </w:t>
            </w:r>
          </w:p>
        </w:tc>
        <w:tc>
          <w:tcPr>
            <w:tcW w:w="971" w:type="pct"/>
            <w:shd w:val="clear" w:color="auto" w:fill="C6D9F1"/>
            <w:vAlign w:val="center"/>
          </w:tcPr>
          <w:p w14:paraId="24C2DDAE" w14:textId="77777777" w:rsidR="00CE6E0B" w:rsidRPr="00A5764A" w:rsidRDefault="00CE6E0B" w:rsidP="0031289D">
            <w:pPr>
              <w:jc w:val="center"/>
              <w:rPr>
                <w:b/>
                <w:bCs/>
                <w:color w:val="000000"/>
                <w:sz w:val="16"/>
                <w:szCs w:val="16"/>
              </w:rPr>
            </w:pPr>
            <w:r w:rsidRPr="00A5764A">
              <w:rPr>
                <w:b/>
                <w:bCs/>
                <w:color w:val="000000"/>
                <w:sz w:val="16"/>
                <w:szCs w:val="16"/>
              </w:rPr>
              <w:t>7</w:t>
            </w:r>
            <w:r>
              <w:rPr>
                <w:b/>
                <w:bCs/>
                <w:color w:val="000000"/>
                <w:sz w:val="16"/>
                <w:szCs w:val="16"/>
              </w:rPr>
              <w:t> </w:t>
            </w:r>
            <w:r w:rsidRPr="00A5764A">
              <w:rPr>
                <w:b/>
                <w:bCs/>
                <w:color w:val="000000"/>
                <w:sz w:val="16"/>
                <w:szCs w:val="16"/>
              </w:rPr>
              <w:t xml:space="preserve">250 </w:t>
            </w:r>
          </w:p>
        </w:tc>
        <w:tc>
          <w:tcPr>
            <w:tcW w:w="970" w:type="pct"/>
            <w:shd w:val="clear" w:color="auto" w:fill="C6D9F1"/>
            <w:vAlign w:val="center"/>
          </w:tcPr>
          <w:p w14:paraId="62BF3380" w14:textId="77777777" w:rsidR="00CE6E0B" w:rsidRPr="00A5764A" w:rsidRDefault="00CE6E0B" w:rsidP="0031289D">
            <w:pPr>
              <w:jc w:val="center"/>
              <w:rPr>
                <w:b/>
                <w:bCs/>
                <w:color w:val="000000"/>
                <w:sz w:val="16"/>
                <w:szCs w:val="16"/>
              </w:rPr>
            </w:pPr>
            <w:r w:rsidRPr="00A5764A">
              <w:rPr>
                <w:b/>
                <w:bCs/>
                <w:color w:val="000000"/>
                <w:sz w:val="16"/>
                <w:szCs w:val="16"/>
              </w:rPr>
              <w:t>3</w:t>
            </w:r>
            <w:r>
              <w:rPr>
                <w:b/>
                <w:bCs/>
                <w:color w:val="000000"/>
                <w:sz w:val="16"/>
                <w:szCs w:val="16"/>
              </w:rPr>
              <w:t> </w:t>
            </w:r>
            <w:r w:rsidRPr="00A5764A">
              <w:rPr>
                <w:b/>
                <w:bCs/>
                <w:color w:val="000000"/>
                <w:sz w:val="16"/>
                <w:szCs w:val="16"/>
              </w:rPr>
              <w:t xml:space="preserve">118 </w:t>
            </w:r>
          </w:p>
        </w:tc>
        <w:tc>
          <w:tcPr>
            <w:tcW w:w="970" w:type="pct"/>
            <w:shd w:val="clear" w:color="auto" w:fill="C6D9F1"/>
            <w:vAlign w:val="center"/>
          </w:tcPr>
          <w:p w14:paraId="5C27A6CA" w14:textId="77777777" w:rsidR="00CE6E0B" w:rsidRPr="00A5764A" w:rsidRDefault="00CE6E0B" w:rsidP="0031289D">
            <w:pPr>
              <w:jc w:val="center"/>
              <w:rPr>
                <w:b/>
                <w:bCs/>
                <w:color w:val="000000"/>
                <w:sz w:val="16"/>
                <w:szCs w:val="16"/>
              </w:rPr>
            </w:pPr>
            <w:r>
              <w:rPr>
                <w:b/>
                <w:bCs/>
                <w:color w:val="000000"/>
                <w:sz w:val="16"/>
                <w:szCs w:val="16"/>
              </w:rPr>
              <w:t>%43</w:t>
            </w:r>
          </w:p>
        </w:tc>
      </w:tr>
      <w:tr w:rsidR="00CE6E0B" w:rsidRPr="00211D55" w14:paraId="205967F7" w14:textId="77777777" w:rsidTr="00BB3820">
        <w:trPr>
          <w:trHeight w:val="540"/>
        </w:trPr>
        <w:tc>
          <w:tcPr>
            <w:tcW w:w="5000" w:type="pct"/>
            <w:gridSpan w:val="5"/>
            <w:shd w:val="clear" w:color="auto" w:fill="auto"/>
            <w:noWrap/>
            <w:vAlign w:val="center"/>
          </w:tcPr>
          <w:p w14:paraId="5EB7CAF5" w14:textId="77777777" w:rsidR="00CE6E0B" w:rsidRDefault="00CE6E0B"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4BF20FEA" w14:textId="77777777" w:rsidR="00CE6E0B" w:rsidRPr="00D41845" w:rsidRDefault="00CE6E0B"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i/>
                <w:iCs/>
                <w:color w:val="000000"/>
                <w:sz w:val="28"/>
                <w:szCs w:val="28"/>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20F62E0C" w14:textId="77777777" w:rsidR="00CE6E0B" w:rsidRPr="00706F20" w:rsidRDefault="00CE6E0B"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1F51487F" w14:textId="77777777" w:rsidR="00CE6E0B" w:rsidRDefault="00CE6E0B" w:rsidP="00D94CDB">
      <w:pPr>
        <w:numPr>
          <w:ilvl w:val="1"/>
          <w:numId w:val="81"/>
        </w:numPr>
        <w:bidi/>
        <w:spacing w:after="240" w:line="360" w:lineRule="exact"/>
        <w:ind w:left="0" w:hanging="1"/>
        <w:rPr>
          <w:rFonts w:ascii="Arabic Typesetting" w:hAnsi="Arabic Typesetting" w:cs="Arabic Typesetting"/>
          <w:sz w:val="34"/>
          <w:szCs w:val="34"/>
        </w:rPr>
      </w:pPr>
      <w:r w:rsidRPr="00A8069E">
        <w:rPr>
          <w:rFonts w:ascii="Arabic Typesetting" w:hAnsi="Arabic Typesetting" w:cs="Arabic Typesetting"/>
          <w:sz w:val="34"/>
          <w:szCs w:val="34"/>
          <w:rtl/>
        </w:rPr>
        <w:t>تُعزى الزيادة في موارد الموظفين مقارنة بالميزانية المعتمدة 2016/17 أساساً إلى تسوية وظيف</w:t>
      </w:r>
      <w:r>
        <w:rPr>
          <w:rFonts w:ascii="Arabic Typesetting" w:hAnsi="Arabic Typesetting" w:cs="Arabic Typesetting"/>
          <w:sz w:val="34"/>
          <w:szCs w:val="34"/>
          <w:rtl/>
        </w:rPr>
        <w:t xml:space="preserve">ة مستمرة وإعادة تصنيف منصبين. </w:t>
      </w:r>
      <w:r w:rsidRPr="00A8069E">
        <w:rPr>
          <w:rFonts w:ascii="Arabic Typesetting" w:hAnsi="Arabic Typesetting" w:cs="Arabic Typesetting"/>
          <w:sz w:val="34"/>
          <w:szCs w:val="34"/>
          <w:rtl/>
        </w:rPr>
        <w:t>ويعزى الانخفاض الطفيف في خلاف موارد الموظفين إلى تحويل جزء من خلاف موارد الموظفين للمتدربين إلى إدارة الموارد البشرية (البرنامج 23) التي تتولى الإدارة المركزية للمتدربين</w:t>
      </w:r>
      <w:r>
        <w:rPr>
          <w:rFonts w:ascii="Arabic Typesetting" w:hAnsi="Arabic Typesetting" w:cs="Arabic Typesetting" w:hint="cs"/>
          <w:sz w:val="34"/>
          <w:szCs w:val="34"/>
          <w:rtl/>
          <w:lang w:bidi="ar-EG"/>
        </w:rPr>
        <w:t>.</w:t>
      </w:r>
    </w:p>
    <w:p w14:paraId="0C56E437" w14:textId="77777777" w:rsidR="00CE6E0B" w:rsidRPr="00706F20" w:rsidRDefault="00CE6E0B"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7C7DCEAB" w14:textId="77777777" w:rsidR="00CE6E0B" w:rsidRDefault="00CE6E0B" w:rsidP="00D94CDB">
      <w:pPr>
        <w:numPr>
          <w:ilvl w:val="1"/>
          <w:numId w:val="81"/>
        </w:numPr>
        <w:bidi/>
        <w:spacing w:after="240" w:line="360" w:lineRule="exact"/>
        <w:ind w:left="0" w:hanging="1"/>
        <w:rPr>
          <w:rFonts w:ascii="Arabic Typesetting" w:hAnsi="Arabic Typesetting" w:cs="Arabic Typesetting"/>
          <w:sz w:val="34"/>
          <w:szCs w:val="34"/>
        </w:rPr>
      </w:pPr>
      <w:r w:rsidRPr="00A8069E">
        <w:rPr>
          <w:rFonts w:ascii="Arabic Typesetting" w:hAnsi="Arabic Typesetting" w:cs="Arabic Typesetting"/>
          <w:sz w:val="34"/>
          <w:szCs w:val="34"/>
          <w:rtl/>
        </w:rPr>
        <w:t>بلغت نسبة استخدام خلاف موارد الموظفين في الميزانية 34 بالمئة وتُعزى أساساً إلى تأجيل بعض الأنشطة إلى عام</w:t>
      </w:r>
      <w:r>
        <w:rPr>
          <w:rFonts w:ascii="Arabic Typesetting" w:hAnsi="Arabic Typesetting" w:cs="Arabic Typesetting" w:hint="cs"/>
          <w:sz w:val="34"/>
          <w:szCs w:val="34"/>
          <w:rtl/>
        </w:rPr>
        <w:t> </w:t>
      </w:r>
      <w:r w:rsidRPr="00A8069E">
        <w:rPr>
          <w:rFonts w:ascii="Arabic Typesetting" w:hAnsi="Arabic Typesetting" w:cs="Arabic Typesetting"/>
          <w:sz w:val="34"/>
          <w:szCs w:val="34"/>
          <w:rtl/>
        </w:rPr>
        <w:t>2017 بما في ذلك</w:t>
      </w:r>
      <w:r>
        <w:rPr>
          <w:rFonts w:ascii="Arabic Typesetting" w:hAnsi="Arabic Typesetting" w:cs="Arabic Typesetting"/>
          <w:sz w:val="34"/>
          <w:szCs w:val="34"/>
          <w:rtl/>
        </w:rPr>
        <w:t>:</w:t>
      </w:r>
      <w:r>
        <w:rPr>
          <w:rFonts w:ascii="Arabic Typesetting" w:hAnsi="Arabic Typesetting" w:cs="Arabic Typesetting" w:hint="cs"/>
          <w:sz w:val="34"/>
          <w:szCs w:val="34"/>
          <w:rtl/>
        </w:rPr>
        <w:t xml:space="preserve"> </w:t>
      </w:r>
      <w:r w:rsidRPr="00A8069E">
        <w:rPr>
          <w:rFonts w:ascii="Arabic Typesetting" w:hAnsi="Arabic Typesetting" w:cs="Arabic Typesetting"/>
          <w:sz w:val="34"/>
          <w:szCs w:val="34"/>
          <w:rtl/>
        </w:rPr>
        <w:t>"1" دراسة جدوى عن استحداث دورة تعلم عن بعد بشأن التصنيف الدولي للبراءات؛ "2" و</w:t>
      </w:r>
      <w:r>
        <w:rPr>
          <w:rFonts w:ascii="Arabic Typesetting" w:hAnsi="Arabic Typesetting" w:cs="Arabic Typesetting" w:hint="cs"/>
          <w:sz w:val="34"/>
          <w:szCs w:val="34"/>
          <w:rtl/>
        </w:rPr>
        <w:t>ال</w:t>
      </w:r>
      <w:r w:rsidRPr="00A8069E">
        <w:rPr>
          <w:rFonts w:ascii="Arabic Typesetting" w:hAnsi="Arabic Typesetting" w:cs="Arabic Typesetting"/>
          <w:sz w:val="34"/>
          <w:szCs w:val="34"/>
          <w:rtl/>
        </w:rPr>
        <w:t xml:space="preserve">عمل على منصة منشور فيينا (إيلاء الأولوية لمنصتي منشور نيس ولوكارنو في عام 2016)؛ "3" وعمل محدد على البنية والأدوات المعلوماتية (الانتقال من قاعدة </w:t>
      </w:r>
      <w:r>
        <w:rPr>
          <w:rFonts w:ascii="Arabic Typesetting" w:hAnsi="Arabic Typesetting" w:cs="Arabic Typesetting" w:hint="cs"/>
          <w:sz w:val="34"/>
          <w:szCs w:val="34"/>
          <w:rtl/>
        </w:rPr>
        <w:t>ال</w:t>
      </w:r>
      <w:r w:rsidRPr="00A8069E">
        <w:rPr>
          <w:rFonts w:ascii="Arabic Typesetting" w:hAnsi="Arabic Typesetting" w:cs="Arabic Typesetting"/>
          <w:sz w:val="34"/>
          <w:szCs w:val="34"/>
          <w:rtl/>
        </w:rPr>
        <w:t>بيانات الرئيسية للتصنيف وإدارة مراجعة</w:t>
      </w:r>
      <w:r>
        <w:rPr>
          <w:rFonts w:ascii="Arabic Typesetting" w:hAnsi="Arabic Typesetting" w:cs="Arabic Typesetting"/>
          <w:sz w:val="34"/>
          <w:szCs w:val="34"/>
          <w:rtl/>
        </w:rPr>
        <w:t xml:space="preserve"> تصنيفات نيس وفيينا ولوكارنو).</w:t>
      </w:r>
    </w:p>
    <w:p w14:paraId="016E7B46" w14:textId="337B3232" w:rsidR="00CE6E0B" w:rsidRDefault="00CE6E0B"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06499BA9" w14:textId="77777777" w:rsidR="00CE6E0B" w:rsidRPr="00637CC2" w:rsidRDefault="00CE6E0B" w:rsidP="00DA7DF7">
      <w:pPr>
        <w:pStyle w:val="Heading3"/>
        <w:ind w:left="1984" w:hanging="1984"/>
      </w:pPr>
      <w:bookmarkStart w:id="34" w:name="_Toc482782761"/>
      <w:r w:rsidRPr="00637CC2">
        <w:rPr>
          <w:rtl/>
        </w:rPr>
        <w:lastRenderedPageBreak/>
        <w:t>البرنامج</w:t>
      </w:r>
      <w:r w:rsidRPr="00637CC2">
        <w:rPr>
          <w:rFonts w:hint="cs"/>
          <w:rtl/>
        </w:rPr>
        <w:t xml:space="preserve"> 13:</w:t>
      </w:r>
      <w:r w:rsidRPr="00637CC2">
        <w:tab/>
      </w:r>
      <w:r w:rsidRPr="00637CC2">
        <w:rPr>
          <w:rtl/>
        </w:rPr>
        <w:t>قواعد البيانات العالمية</w:t>
      </w:r>
      <w:bookmarkEnd w:id="34"/>
    </w:p>
    <w:p w14:paraId="50E546CF" w14:textId="77777777" w:rsidR="00CE6E0B" w:rsidRDefault="00CE6E0B"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5D75F8">
        <w:rPr>
          <w:rFonts w:ascii="Arabic Typesetting" w:hAnsi="Arabic Typesetting" w:cs="Arabic Typesetting"/>
          <w:b/>
          <w:bCs/>
          <w:sz w:val="36"/>
          <w:szCs w:val="36"/>
          <w:rtl/>
          <w:lang w:val="fr-CH"/>
        </w:rPr>
        <w:t>السيد يوشيوكي تاكاغي</w:t>
      </w:r>
    </w:p>
    <w:p w14:paraId="06DA57AF" w14:textId="77777777" w:rsidR="00CE6E0B" w:rsidRDefault="00CE6E0B"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504E1815" wp14:editId="5EFEBD03">
            <wp:extent cx="3606152" cy="216000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06152" cy="2160000"/>
                    </a:xfrm>
                    <a:prstGeom prst="rect">
                      <a:avLst/>
                    </a:prstGeom>
                    <a:noFill/>
                  </pic:spPr>
                </pic:pic>
              </a:graphicData>
            </a:graphic>
          </wp:inline>
        </w:drawing>
      </w:r>
    </w:p>
    <w:tbl>
      <w:tblPr>
        <w:bidiVisual/>
        <w:tblW w:w="5014" w:type="pct"/>
        <w:tblInd w:w="58" w:type="dxa"/>
        <w:tblLayout w:type="fixed"/>
        <w:tblCellMar>
          <w:left w:w="115" w:type="dxa"/>
          <w:right w:w="115" w:type="dxa"/>
        </w:tblCellMar>
        <w:tblLook w:val="0000" w:firstRow="0" w:lastRow="0" w:firstColumn="0" w:lastColumn="0" w:noHBand="0" w:noVBand="0"/>
      </w:tblPr>
      <w:tblGrid>
        <w:gridCol w:w="2038"/>
        <w:gridCol w:w="3210"/>
        <w:gridCol w:w="1985"/>
        <w:gridCol w:w="1315"/>
        <w:gridCol w:w="950"/>
      </w:tblGrid>
      <w:tr w:rsidR="00CE6E0B" w:rsidRPr="005D75F8" w14:paraId="39A02833" w14:textId="77777777" w:rsidTr="00BB3820">
        <w:trPr>
          <w:cantSplit/>
          <w:trHeight w:val="565"/>
        </w:trPr>
        <w:tc>
          <w:tcPr>
            <w:tcW w:w="5000" w:type="pct"/>
            <w:gridSpan w:val="5"/>
            <w:shd w:val="clear" w:color="auto" w:fill="C6D9F1"/>
            <w:tcMar>
              <w:left w:w="58" w:type="dxa"/>
              <w:right w:w="58" w:type="dxa"/>
            </w:tcMar>
            <w:vAlign w:val="center"/>
          </w:tcPr>
          <w:p w14:paraId="016277F2" w14:textId="34FCD536" w:rsidR="00CE6E0B" w:rsidRPr="005D75F8" w:rsidRDefault="00CE6E0B" w:rsidP="0031289D">
            <w:pPr>
              <w:keepNext/>
              <w:bidi/>
              <w:spacing w:before="120" w:after="120"/>
              <w:ind w:left="1452" w:hanging="1452"/>
              <w:rPr>
                <w:rFonts w:ascii="Arabic Typesetting" w:eastAsia="Arabic Typesetting" w:hAnsi="Arabic Typesetting" w:cs="Arabic Typesetting"/>
                <w:b/>
                <w:bCs/>
                <w:sz w:val="28"/>
                <w:szCs w:val="28"/>
                <w:lang w:eastAsia="ar-EG" w:bidi="ar-EG"/>
              </w:rPr>
            </w:pPr>
            <w:r w:rsidRPr="005D75F8">
              <w:rPr>
                <w:rFonts w:ascii="Arabic Typesetting" w:eastAsia="Arabic Typesetting" w:hAnsi="Arabic Typesetting" w:cs="Arabic Typesetting"/>
                <w:b/>
                <w:bCs/>
                <w:sz w:val="28"/>
                <w:szCs w:val="28"/>
                <w:rtl/>
                <w:lang w:eastAsia="ar-EG" w:bidi="ar-EG"/>
              </w:rPr>
              <w:t>‏النتيجة المرتقبة:</w:t>
            </w:r>
            <w:r w:rsidRPr="005D75F8">
              <w:rPr>
                <w:rFonts w:ascii="Arabic Typesetting" w:eastAsia="Arabic Typesetting" w:hAnsi="Arabic Typesetting" w:cs="Arabic Typesetting"/>
                <w:sz w:val="28"/>
                <w:szCs w:val="28"/>
                <w:lang w:eastAsia="ar-EG" w:bidi="ar-EG"/>
              </w:rPr>
              <w:tab/>
            </w:r>
            <w:r w:rsidRPr="005D75F8">
              <w:rPr>
                <w:rFonts w:ascii="Arabic Typesetting" w:eastAsia="Arabic Typesetting" w:hAnsi="Arabic Typesetting" w:cs="Arabic Typesetting"/>
                <w:color w:val="000000"/>
                <w:sz w:val="28"/>
                <w:szCs w:val="28"/>
                <w:rtl/>
                <w:lang w:eastAsia="ar-EG" w:bidi="ar-EG"/>
              </w:rPr>
              <w:t xml:space="preserve">ھ2.4 </w:t>
            </w:r>
            <w:r w:rsidR="007B1E0A">
              <w:rPr>
                <w:rFonts w:ascii="Arabic Typesetting" w:eastAsia="Arabic Typesetting" w:hAnsi="Arabic Typesetting" w:cs="Arabic Typesetting"/>
                <w:color w:val="000000"/>
                <w:sz w:val="28"/>
                <w:szCs w:val="28"/>
                <w:rtl/>
                <w:lang w:eastAsia="ar-EG" w:bidi="ar-EG"/>
              </w:rPr>
              <w:t>نفاذ محسّن إلى المعلومات المتعلقة بالملكية الفكرية واستخدامها من قبل مؤسسات الملكية الفكرية والجمهور لتشجيع الابتكار والإبداع</w:t>
            </w:r>
          </w:p>
        </w:tc>
      </w:tr>
      <w:tr w:rsidR="00CE6E0B" w:rsidRPr="005D75F8" w14:paraId="6677D676" w14:textId="77777777" w:rsidTr="00BB3820">
        <w:trPr>
          <w:cantSplit/>
        </w:trPr>
        <w:tc>
          <w:tcPr>
            <w:tcW w:w="1073" w:type="pct"/>
            <w:shd w:val="clear" w:color="auto" w:fill="auto"/>
            <w:tcMar>
              <w:left w:w="58" w:type="dxa"/>
              <w:right w:w="58" w:type="dxa"/>
            </w:tcMar>
            <w:vAlign w:val="center"/>
          </w:tcPr>
          <w:p w14:paraId="50330997" w14:textId="77777777" w:rsidR="00CE6E0B" w:rsidRPr="005D75F8" w:rsidRDefault="00CE6E0B" w:rsidP="0031289D">
            <w:pPr>
              <w:keepNext/>
              <w:bidi/>
              <w:spacing w:after="120"/>
              <w:rPr>
                <w:rFonts w:ascii="Arabic Typesetting" w:eastAsia="Arabic Typesetting" w:hAnsi="Arabic Typesetting" w:cs="Arabic Typesetting"/>
                <w:b/>
                <w:bCs/>
                <w:sz w:val="28"/>
                <w:szCs w:val="28"/>
                <w:lang w:eastAsia="ar-EG" w:bidi="ar-EG"/>
              </w:rPr>
            </w:pPr>
            <w:r w:rsidRPr="005D75F8">
              <w:rPr>
                <w:rFonts w:ascii="Arabic Typesetting" w:eastAsia="Arabic Typesetting" w:hAnsi="Arabic Typesetting" w:cs="Arabic Typesetting"/>
                <w:b/>
                <w:bCs/>
                <w:sz w:val="28"/>
                <w:szCs w:val="28"/>
                <w:rtl/>
                <w:lang w:eastAsia="ar-EG" w:bidi="ar-EG"/>
              </w:rPr>
              <w:t>مؤشرات الأداء</w:t>
            </w:r>
          </w:p>
        </w:tc>
        <w:tc>
          <w:tcPr>
            <w:tcW w:w="1690" w:type="pct"/>
            <w:shd w:val="clear" w:color="auto" w:fill="auto"/>
            <w:tcMar>
              <w:left w:w="58" w:type="dxa"/>
              <w:right w:w="58" w:type="dxa"/>
            </w:tcMar>
            <w:vAlign w:val="center"/>
          </w:tcPr>
          <w:p w14:paraId="5103BBB9" w14:textId="77777777" w:rsidR="00CE6E0B" w:rsidRPr="005D75F8" w:rsidRDefault="00CE6E0B" w:rsidP="0031289D">
            <w:pPr>
              <w:bidi/>
              <w:spacing w:after="120"/>
              <w:rPr>
                <w:rFonts w:ascii="Arabic Typesetting" w:eastAsia="Arabic Typesetting" w:hAnsi="Arabic Typesetting" w:cs="Arabic Typesetting"/>
                <w:b/>
                <w:bCs/>
                <w:sz w:val="28"/>
                <w:szCs w:val="28"/>
                <w:lang w:eastAsia="ar-EG" w:bidi="ar-EG"/>
              </w:rPr>
            </w:pPr>
            <w:r w:rsidRPr="005D75F8">
              <w:rPr>
                <w:rFonts w:ascii="Arabic Typesetting" w:eastAsia="Arabic Typesetting" w:hAnsi="Arabic Typesetting" w:cs="Arabic Typesetting"/>
                <w:b/>
                <w:bCs/>
                <w:sz w:val="28"/>
                <w:szCs w:val="28"/>
                <w:rtl/>
                <w:lang w:eastAsia="ar-EG" w:bidi="ar-EG"/>
              </w:rPr>
              <w:t>أسس المقارنة</w:t>
            </w:r>
          </w:p>
        </w:tc>
        <w:tc>
          <w:tcPr>
            <w:tcW w:w="1045" w:type="pct"/>
            <w:shd w:val="clear" w:color="auto" w:fill="auto"/>
            <w:tcMar>
              <w:top w:w="110" w:type="dxa"/>
              <w:left w:w="58" w:type="dxa"/>
              <w:right w:w="58" w:type="dxa"/>
            </w:tcMar>
            <w:vAlign w:val="center"/>
          </w:tcPr>
          <w:p w14:paraId="17458831" w14:textId="77777777" w:rsidR="00CE6E0B" w:rsidRPr="005D75F8" w:rsidRDefault="00CE6E0B" w:rsidP="0031289D">
            <w:pPr>
              <w:bidi/>
              <w:spacing w:after="120"/>
              <w:rPr>
                <w:rFonts w:ascii="Arabic Typesetting" w:eastAsia="Arabic Typesetting" w:hAnsi="Arabic Typesetting" w:cs="Arabic Typesetting"/>
                <w:b/>
                <w:bCs/>
                <w:sz w:val="28"/>
                <w:szCs w:val="28"/>
                <w:lang w:eastAsia="ar-EG" w:bidi="ar-EG"/>
              </w:rPr>
            </w:pPr>
            <w:r w:rsidRPr="005D75F8">
              <w:rPr>
                <w:rFonts w:ascii="Arabic Typesetting" w:eastAsia="Arabic Typesetting" w:hAnsi="Arabic Typesetting" w:cs="Arabic Typesetting"/>
                <w:b/>
                <w:bCs/>
                <w:sz w:val="28"/>
                <w:szCs w:val="28"/>
                <w:rtl/>
                <w:lang w:eastAsia="ar-EG" w:bidi="ar-EG"/>
              </w:rPr>
              <w:t>الأهداف</w:t>
            </w:r>
          </w:p>
        </w:tc>
        <w:tc>
          <w:tcPr>
            <w:tcW w:w="692" w:type="pct"/>
            <w:shd w:val="clear" w:color="auto" w:fill="FFFFFF"/>
            <w:tcMar>
              <w:top w:w="110" w:type="dxa"/>
              <w:left w:w="58" w:type="dxa"/>
              <w:right w:w="58" w:type="dxa"/>
            </w:tcMar>
            <w:vAlign w:val="center"/>
          </w:tcPr>
          <w:p w14:paraId="61868D6D" w14:textId="77777777" w:rsidR="00CE6E0B" w:rsidRPr="005D75F8" w:rsidRDefault="00CE6E0B" w:rsidP="0031289D">
            <w:pPr>
              <w:bidi/>
              <w:spacing w:after="120"/>
              <w:rPr>
                <w:rFonts w:ascii="Arabic Typesetting" w:eastAsia="Arabic Typesetting" w:hAnsi="Arabic Typesetting" w:cs="Arabic Typesetting"/>
                <w:b/>
                <w:bCs/>
                <w:sz w:val="28"/>
                <w:szCs w:val="28"/>
                <w:lang w:eastAsia="ar-EG" w:bidi="ar-EG"/>
              </w:rPr>
            </w:pPr>
            <w:r w:rsidRPr="005D75F8">
              <w:rPr>
                <w:rFonts w:ascii="Arabic Typesetting" w:eastAsia="Arabic Typesetting" w:hAnsi="Arabic Typesetting" w:cs="Arabic Typesetting"/>
                <w:b/>
                <w:bCs/>
                <w:sz w:val="28"/>
                <w:szCs w:val="28"/>
                <w:rtl/>
                <w:lang w:eastAsia="ar-EG" w:bidi="ar-EG"/>
              </w:rPr>
              <w:t>بيانات الأداء</w:t>
            </w:r>
          </w:p>
        </w:tc>
        <w:tc>
          <w:tcPr>
            <w:tcW w:w="500" w:type="pct"/>
            <w:shd w:val="clear" w:color="auto" w:fill="auto"/>
            <w:tcMar>
              <w:top w:w="110" w:type="dxa"/>
              <w:left w:w="58" w:type="dxa"/>
              <w:right w:w="58" w:type="dxa"/>
            </w:tcMar>
            <w:vAlign w:val="center"/>
          </w:tcPr>
          <w:p w14:paraId="01EC6F56" w14:textId="77777777" w:rsidR="00CE6E0B" w:rsidRPr="005D75F8" w:rsidRDefault="00CE6E0B" w:rsidP="0031289D">
            <w:pPr>
              <w:bidi/>
              <w:spacing w:after="120"/>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5D75F8" w14:paraId="05005062" w14:textId="77777777" w:rsidTr="00BB3820">
        <w:trPr>
          <w:cantSplit/>
          <w:trHeight w:val="2916"/>
        </w:trPr>
        <w:tc>
          <w:tcPr>
            <w:tcW w:w="1073" w:type="pct"/>
            <w:shd w:val="clear" w:color="auto" w:fill="auto"/>
            <w:tcMar>
              <w:left w:w="58" w:type="dxa"/>
              <w:right w:w="58" w:type="dxa"/>
            </w:tcMar>
          </w:tcPr>
          <w:p w14:paraId="1E6B4AC2"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عدد المستخدمين المختلفين لكل فترة ربع سنوية على صعيد كاف</w:t>
            </w:r>
            <w:r>
              <w:rPr>
                <w:rFonts w:ascii="Arabic Typesetting" w:eastAsia="Arabic Typesetting" w:hAnsi="Arabic Typesetting" w:cs="Arabic Typesetting"/>
                <w:color w:val="000000"/>
                <w:sz w:val="28"/>
                <w:szCs w:val="28"/>
                <w:rtl/>
                <w:lang w:eastAsia="ar-EG" w:bidi="ar-EG"/>
              </w:rPr>
              <w:t>ة أنظمة قواعد البيانات العالمية</w:t>
            </w:r>
          </w:p>
        </w:tc>
        <w:tc>
          <w:tcPr>
            <w:tcW w:w="1690" w:type="pct"/>
            <w:shd w:val="clear" w:color="auto" w:fill="auto"/>
            <w:tcMar>
              <w:left w:w="58" w:type="dxa"/>
              <w:right w:w="58" w:type="dxa"/>
            </w:tcMar>
          </w:tcPr>
          <w:p w14:paraId="151FAF73" w14:textId="0CD94E66" w:rsidR="00CE6E0B" w:rsidRPr="005D75F8" w:rsidRDefault="00CE6E0B" w:rsidP="00816AAC">
            <w:pPr>
              <w:bidi/>
              <w:rPr>
                <w:rFonts w:ascii="Arabic Typesetting" w:eastAsia="Arabic Typesetting" w:hAnsi="Arabic Typesetting" w:cs="Arabic Typesetting"/>
                <w:color w:val="002060"/>
                <w:sz w:val="28"/>
                <w:szCs w:val="28"/>
                <w:lang w:eastAsia="ar-EG" w:bidi="ar-EG"/>
              </w:rPr>
            </w:pPr>
            <w:r w:rsidRPr="005D75F8">
              <w:rPr>
                <w:rFonts w:ascii="Arabic Typesetting" w:eastAsia="Arabic Typesetting" w:hAnsi="Arabic Typesetting" w:cs="Arabic Typesetting"/>
                <w:i/>
                <w:iCs/>
                <w:color w:val="002060"/>
                <w:sz w:val="28"/>
                <w:szCs w:val="28"/>
                <w:rtl/>
                <w:lang w:eastAsia="ar-EG" w:bidi="ar-EG"/>
              </w:rPr>
              <w:t>أساس المقارنة المُحدَّث في نهاية</w:t>
            </w:r>
            <w:r>
              <w:rPr>
                <w:rFonts w:ascii="Arabic Typesetting" w:eastAsia="Arabic Typesetting" w:hAnsi="Arabic Typesetting" w:cs="Arabic Typesetting"/>
                <w:i/>
                <w:iCs/>
                <w:color w:val="002060"/>
                <w:sz w:val="28"/>
                <w:szCs w:val="28"/>
                <w:lang w:eastAsia="ar-EG" w:bidi="ar-EG"/>
              </w:rPr>
              <w:t> </w:t>
            </w:r>
            <w:r w:rsidRPr="005D75F8">
              <w:rPr>
                <w:rFonts w:ascii="Arabic Typesetting" w:eastAsia="Arabic Typesetting" w:hAnsi="Arabic Typesetting" w:cs="Arabic Typesetting"/>
                <w:i/>
                <w:iCs/>
                <w:color w:val="002060"/>
                <w:sz w:val="28"/>
                <w:szCs w:val="28"/>
                <w:rtl/>
                <w:lang w:eastAsia="ar-EG" w:bidi="ar-EG"/>
              </w:rPr>
              <w:t>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5D75F8">
              <w:rPr>
                <w:rFonts w:ascii="Arabic Typesetting" w:eastAsia="Arabic Typesetting" w:hAnsi="Arabic Typesetting" w:cs="Arabic Typesetting"/>
                <w:color w:val="002060"/>
                <w:sz w:val="28"/>
                <w:szCs w:val="28"/>
                <w:rtl/>
                <w:lang w:eastAsia="ar-EG" w:bidi="ar-EG"/>
              </w:rPr>
              <w:t>ركن البراءات</w:t>
            </w:r>
            <w:r>
              <w:rPr>
                <w:rFonts w:ascii="Arabic Typesetting" w:eastAsia="Arabic Typesetting" w:hAnsi="Arabic Typesetting" w:cs="Arabic Typesetting"/>
                <w:color w:val="002060"/>
                <w:sz w:val="28"/>
                <w:szCs w:val="28"/>
                <w:rtl/>
                <w:lang w:eastAsia="ar-EG" w:bidi="ar-EG"/>
              </w:rPr>
              <w:t>:</w:t>
            </w:r>
            <w:r w:rsidR="00816AAC">
              <w:rPr>
                <w:rFonts w:ascii="Arabic Typesetting" w:eastAsia="Arabic Typesetting" w:hAnsi="Arabic Typesetting" w:cs="Arabic Typesetting" w:hint="cs"/>
                <w:color w:val="002060"/>
                <w:sz w:val="28"/>
                <w:szCs w:val="28"/>
                <w:rtl/>
                <w:lang w:eastAsia="ar-EG" w:bidi="ar-EG"/>
              </w:rPr>
              <w:t xml:space="preserve"> 981 221</w:t>
            </w:r>
          </w:p>
          <w:p w14:paraId="7B9A8060" w14:textId="1EB76579" w:rsidR="00CE6E0B" w:rsidRPr="005D75F8" w:rsidRDefault="00CE6E0B" w:rsidP="00816AAC">
            <w:pPr>
              <w:bidi/>
              <w:rPr>
                <w:rFonts w:ascii="Arabic Typesetting" w:eastAsia="Arabic Typesetting" w:hAnsi="Arabic Typesetting" w:cs="Arabic Typesetting"/>
                <w:color w:val="002060"/>
                <w:sz w:val="28"/>
                <w:szCs w:val="28"/>
                <w:lang w:eastAsia="ar-EG" w:bidi="ar-EG"/>
              </w:rPr>
            </w:pPr>
            <w:r w:rsidRPr="005D75F8">
              <w:rPr>
                <w:rFonts w:ascii="Arabic Typesetting" w:eastAsia="Arabic Typesetting" w:hAnsi="Arabic Typesetting" w:cs="Arabic Typesetting"/>
                <w:color w:val="002060"/>
                <w:sz w:val="28"/>
                <w:szCs w:val="28"/>
                <w:rtl/>
                <w:lang w:eastAsia="ar-EG" w:bidi="ar-EG"/>
              </w:rPr>
              <w:t>‏قاعدة البيانات العالمية لأدوات التوسيم</w:t>
            </w:r>
            <w:r>
              <w:rPr>
                <w:rFonts w:ascii="Arabic Typesetting" w:eastAsia="Arabic Typesetting" w:hAnsi="Arabic Typesetting" w:cs="Arabic Typesetting"/>
                <w:color w:val="002060"/>
                <w:sz w:val="28"/>
                <w:szCs w:val="28"/>
                <w:rtl/>
                <w:lang w:eastAsia="ar-EG" w:bidi="ar-EG"/>
              </w:rPr>
              <w:t>:</w:t>
            </w:r>
            <w:r w:rsidR="00816AAC">
              <w:rPr>
                <w:rFonts w:ascii="Arabic Typesetting" w:eastAsia="Arabic Typesetting" w:hAnsi="Arabic Typesetting" w:cs="Arabic Typesetting" w:hint="cs"/>
                <w:color w:val="002060"/>
                <w:sz w:val="28"/>
                <w:szCs w:val="28"/>
                <w:rtl/>
                <w:lang w:eastAsia="ar-EG" w:bidi="ar-EG"/>
              </w:rPr>
              <w:t xml:space="preserve"> 490 80</w:t>
            </w:r>
          </w:p>
          <w:p w14:paraId="713BEC84" w14:textId="08A98741" w:rsidR="00CE6E0B" w:rsidRDefault="00CE6E0B" w:rsidP="00816AAC">
            <w:pPr>
              <w:bidi/>
              <w:spacing w:after="120"/>
              <w:rPr>
                <w:rFonts w:ascii="Arabic Typesetting" w:eastAsia="Arabic Typesetting" w:hAnsi="Arabic Typesetting" w:cs="Arabic Typesetting"/>
                <w:color w:val="002060"/>
                <w:sz w:val="28"/>
                <w:szCs w:val="28"/>
                <w:lang w:eastAsia="ar-EG" w:bidi="ar-EG"/>
              </w:rPr>
            </w:pPr>
            <w:r w:rsidRPr="005D75F8">
              <w:rPr>
                <w:rFonts w:ascii="Arabic Typesetting" w:eastAsia="Arabic Typesetting" w:hAnsi="Arabic Typesetting" w:cs="Arabic Typesetting"/>
                <w:color w:val="002060"/>
                <w:sz w:val="28"/>
                <w:szCs w:val="28"/>
                <w:rtl/>
                <w:lang w:eastAsia="ar-EG" w:bidi="ar-EG"/>
              </w:rPr>
              <w:t>قاعدة البيانات العالمية للتصاميم</w:t>
            </w:r>
            <w:r>
              <w:rPr>
                <w:rFonts w:ascii="Arabic Typesetting" w:eastAsia="Arabic Typesetting" w:hAnsi="Arabic Typesetting" w:cs="Arabic Typesetting"/>
                <w:color w:val="002060"/>
                <w:sz w:val="28"/>
                <w:szCs w:val="28"/>
                <w:rtl/>
                <w:lang w:eastAsia="ar-EG" w:bidi="ar-EG"/>
              </w:rPr>
              <w:t>:</w:t>
            </w:r>
            <w:r w:rsidR="00816AAC">
              <w:rPr>
                <w:rFonts w:ascii="Arabic Typesetting" w:eastAsia="Arabic Typesetting" w:hAnsi="Arabic Typesetting" w:cs="Arabic Typesetting" w:hint="cs"/>
                <w:color w:val="002060"/>
                <w:sz w:val="28"/>
                <w:szCs w:val="28"/>
                <w:rtl/>
                <w:lang w:eastAsia="ar-EG" w:bidi="ar-EG"/>
              </w:rPr>
              <w:t xml:space="preserve"> 946 13</w:t>
            </w:r>
          </w:p>
          <w:p w14:paraId="22ED77B8" w14:textId="2F798DAF" w:rsidR="00CE6E0B" w:rsidRPr="005D75F8" w:rsidRDefault="00CE6E0B" w:rsidP="00816AAC">
            <w:pPr>
              <w:bidi/>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hint="cs"/>
                <w:i/>
                <w:sz w:val="28"/>
                <w:szCs w:val="28"/>
                <w:rtl/>
                <w:lang w:eastAsia="ar-EG" w:bidi="ar-EG"/>
              </w:rPr>
              <w:t xml:space="preserve"> </w:t>
            </w:r>
            <w:r w:rsidRPr="005D75F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5D75F8">
              <w:rPr>
                <w:rFonts w:ascii="Arabic Typesetting" w:eastAsia="Arabic Typesetting" w:hAnsi="Arabic Typesetting" w:cs="Arabic Typesetting"/>
                <w:color w:val="000000"/>
                <w:sz w:val="28"/>
                <w:szCs w:val="28"/>
                <w:rtl/>
                <w:lang w:eastAsia="ar-EG" w:bidi="ar-EG"/>
              </w:rPr>
              <w:t>الزائرون المتفردون (الفصل الرابع من</w:t>
            </w:r>
            <w:r>
              <w:rPr>
                <w:rFonts w:ascii="Arabic Typesetting" w:eastAsia="Arabic Typesetting" w:hAnsi="Arabic Typesetting" w:cs="Arabic Typesetting" w:hint="cs"/>
                <w:color w:val="000000"/>
                <w:sz w:val="28"/>
                <w:szCs w:val="28"/>
                <w:rtl/>
                <w:lang w:eastAsia="ar-EG" w:bidi="ar-EG"/>
              </w:rPr>
              <w:t> </w:t>
            </w:r>
            <w:r w:rsidRPr="005D75F8">
              <w:rPr>
                <w:rFonts w:ascii="Arabic Typesetting" w:eastAsia="Arabic Typesetting" w:hAnsi="Arabic Typesetting" w:cs="Arabic Typesetting"/>
                <w:color w:val="000000"/>
                <w:sz w:val="28"/>
                <w:szCs w:val="28"/>
                <w:rtl/>
                <w:lang w:eastAsia="ar-EG" w:bidi="ar-EG"/>
              </w:rPr>
              <w:t>عام</w:t>
            </w:r>
            <w:r>
              <w:rPr>
                <w:rFonts w:ascii="Arabic Typesetting" w:eastAsia="Arabic Typesetting" w:hAnsi="Arabic Typesetting" w:cs="Arabic Typesetting" w:hint="cs"/>
                <w:color w:val="000000"/>
                <w:sz w:val="28"/>
                <w:szCs w:val="28"/>
                <w:rtl/>
                <w:lang w:eastAsia="ar-EG" w:bidi="ar-EG"/>
              </w:rPr>
              <w:t> </w:t>
            </w:r>
            <w:r w:rsidRPr="005D75F8">
              <w:rPr>
                <w:rFonts w:ascii="Arabic Typesetting" w:eastAsia="Arabic Typesetting" w:hAnsi="Arabic Typesetting" w:cs="Arabic Typesetting"/>
                <w:color w:val="000000"/>
                <w:sz w:val="28"/>
                <w:szCs w:val="28"/>
                <w:rtl/>
                <w:lang w:eastAsia="ar-EG" w:bidi="ar-EG"/>
              </w:rPr>
              <w:t>2014)</w:t>
            </w:r>
            <w:r w:rsidRPr="005D75F8">
              <w:rPr>
                <w:rFonts w:ascii="Arabic Typesetting" w:eastAsia="Arabic Typesetting" w:hAnsi="Arabic Typesetting" w:cs="Arabic Typesetting"/>
                <w:color w:val="000000"/>
                <w:sz w:val="28"/>
                <w:szCs w:val="28"/>
                <w:lang w:eastAsia="ar-EG" w:bidi="ar-EG"/>
              </w:rPr>
              <w:br/>
            </w:r>
            <w:r w:rsidRPr="005D75F8">
              <w:rPr>
                <w:rFonts w:ascii="Arabic Typesetting" w:eastAsia="Arabic Typesetting" w:hAnsi="Arabic Typesetting" w:cs="Arabic Typesetting"/>
                <w:color w:val="000000"/>
                <w:sz w:val="28"/>
                <w:szCs w:val="28"/>
                <w:rtl/>
                <w:lang w:eastAsia="ar-EG" w:bidi="ar-EG"/>
              </w:rPr>
              <w:t>ركن البراءات</w:t>
            </w:r>
            <w:r>
              <w:rPr>
                <w:rFonts w:ascii="Arabic Typesetting" w:eastAsia="Arabic Typesetting" w:hAnsi="Arabic Typesetting" w:cs="Arabic Typesetting"/>
                <w:color w:val="000000"/>
                <w:sz w:val="28"/>
                <w:szCs w:val="28"/>
                <w:rtl/>
                <w:lang w:eastAsia="ar-EG" w:bidi="ar-EG"/>
              </w:rPr>
              <w:t>:</w:t>
            </w:r>
            <w:r w:rsidR="00816AAC">
              <w:rPr>
                <w:rFonts w:ascii="Arabic Typesetting" w:eastAsia="Arabic Typesetting" w:hAnsi="Arabic Typesetting" w:cs="Arabic Typesetting" w:hint="cs"/>
                <w:color w:val="000000"/>
                <w:sz w:val="28"/>
                <w:szCs w:val="28"/>
                <w:rtl/>
                <w:lang w:eastAsia="ar-EG" w:bidi="ar-EG"/>
              </w:rPr>
              <w:t xml:space="preserve"> 000 592</w:t>
            </w:r>
            <w:r>
              <w:rPr>
                <w:rFonts w:ascii="Arabic Typesetting" w:eastAsia="Arabic Typesetting" w:hAnsi="Arabic Typesetting" w:cs="Arabic Typesetting"/>
                <w:color w:val="000000"/>
                <w:sz w:val="28"/>
                <w:szCs w:val="28"/>
                <w:rtl/>
                <w:lang w:eastAsia="ar-EG" w:bidi="ar-EG"/>
              </w:rPr>
              <w:t>؛</w:t>
            </w:r>
          </w:p>
          <w:p w14:paraId="0B1699C0" w14:textId="508941AF" w:rsidR="00CE6E0B" w:rsidRPr="005D75F8" w:rsidRDefault="00CE6E0B" w:rsidP="00816AAC">
            <w:pPr>
              <w:bidi/>
              <w:rPr>
                <w:rFonts w:ascii="Arabic Typesetting" w:eastAsia="Arabic Typesetting" w:hAnsi="Arabic Typesetting" w:cs="Arabic Typesetting"/>
                <w:color w:val="000000"/>
                <w:sz w:val="28"/>
                <w:szCs w:val="28"/>
                <w:rtl/>
                <w:lang w:eastAsia="ar-EG" w:bidi="ar-EG"/>
              </w:rPr>
            </w:pPr>
            <w:r w:rsidRPr="005D75F8">
              <w:rPr>
                <w:rFonts w:ascii="Arabic Typesetting" w:eastAsia="Arabic Typesetting" w:hAnsi="Arabic Typesetting" w:cs="Arabic Typesetting"/>
                <w:color w:val="000000"/>
                <w:sz w:val="28"/>
                <w:szCs w:val="28"/>
                <w:rtl/>
                <w:lang w:eastAsia="ar-EG" w:bidi="ar-EG"/>
              </w:rPr>
              <w:t>قاعدة البيانات العالمية لأدوات التوسيم</w:t>
            </w:r>
            <w:r>
              <w:rPr>
                <w:rFonts w:ascii="Arabic Typesetting" w:eastAsia="Arabic Typesetting" w:hAnsi="Arabic Typesetting" w:cs="Arabic Typesetting"/>
                <w:color w:val="000000"/>
                <w:sz w:val="28"/>
                <w:szCs w:val="28"/>
                <w:rtl/>
                <w:lang w:eastAsia="ar-EG" w:bidi="ar-EG"/>
              </w:rPr>
              <w:t>:</w:t>
            </w:r>
            <w:r w:rsidR="00816AAC">
              <w:rPr>
                <w:rFonts w:ascii="Arabic Typesetting" w:eastAsia="Arabic Typesetting" w:hAnsi="Arabic Typesetting" w:cs="Arabic Typesetting" w:hint="cs"/>
                <w:color w:val="000000"/>
                <w:sz w:val="28"/>
                <w:szCs w:val="28"/>
                <w:rtl/>
                <w:lang w:eastAsia="ar-EG" w:bidi="ar-EG"/>
              </w:rPr>
              <w:t xml:space="preserve"> 000 49</w:t>
            </w:r>
            <w:r>
              <w:rPr>
                <w:rFonts w:ascii="Arabic Typesetting" w:eastAsia="Arabic Typesetting" w:hAnsi="Arabic Typesetting" w:cs="Arabic Typesetting"/>
                <w:color w:val="000000"/>
                <w:sz w:val="28"/>
                <w:szCs w:val="28"/>
                <w:rtl/>
                <w:lang w:eastAsia="ar-EG" w:bidi="ar-EG"/>
              </w:rPr>
              <w:t>؛</w:t>
            </w:r>
          </w:p>
          <w:p w14:paraId="7D150E4C" w14:textId="77777777" w:rsidR="00CE6E0B" w:rsidRPr="005D75F8" w:rsidRDefault="00CE6E0B" w:rsidP="0031289D">
            <w:pPr>
              <w:bidi/>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قاعدة البيانات العالمية للتصاميم</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5D75F8">
              <w:rPr>
                <w:rFonts w:ascii="Arabic Typesetting" w:eastAsia="Arabic Typesetting" w:hAnsi="Arabic Typesetting" w:cs="Arabic Typesetting"/>
                <w:color w:val="000000"/>
                <w:sz w:val="28"/>
                <w:szCs w:val="28"/>
                <w:rtl/>
                <w:lang w:eastAsia="ar-EG" w:bidi="ar-EG"/>
              </w:rPr>
              <w:t>غير متاح</w:t>
            </w:r>
          </w:p>
        </w:tc>
        <w:tc>
          <w:tcPr>
            <w:tcW w:w="1045" w:type="pct"/>
            <w:shd w:val="clear" w:color="auto" w:fill="auto"/>
            <w:tcMar>
              <w:top w:w="110" w:type="dxa"/>
              <w:left w:w="58" w:type="dxa"/>
              <w:right w:w="58" w:type="dxa"/>
            </w:tcMar>
          </w:tcPr>
          <w:p w14:paraId="2BD2789D" w14:textId="628EF055" w:rsidR="00CE6E0B" w:rsidRPr="005D75F8" w:rsidRDefault="00CE6E0B" w:rsidP="00816AAC">
            <w:pPr>
              <w:bidi/>
              <w:rPr>
                <w:rFonts w:ascii="Arabic Typesetting" w:eastAsia="Arabic Typesetting" w:hAnsi="Arabic Typesetting" w:cs="Arabic Typesetting"/>
                <w:i/>
                <w:color w:val="002060"/>
                <w:sz w:val="28"/>
                <w:szCs w:val="28"/>
                <w:lang w:eastAsia="ar-EG" w:bidi="ar-EG"/>
              </w:rPr>
            </w:pPr>
            <w:r w:rsidRPr="005D75F8">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5D75F8">
              <w:rPr>
                <w:rFonts w:ascii="Arabic Typesetting" w:eastAsia="Arabic Typesetting" w:hAnsi="Arabic Typesetting" w:cs="Arabic Typesetting"/>
                <w:color w:val="002060"/>
                <w:sz w:val="28"/>
                <w:szCs w:val="28"/>
                <w:rtl/>
                <w:lang w:eastAsia="ar-EG" w:bidi="ar-EG"/>
              </w:rPr>
              <w:t>ركن البراءات</w:t>
            </w:r>
            <w:r>
              <w:rPr>
                <w:rFonts w:ascii="Arabic Typesetting" w:eastAsia="Arabic Typesetting" w:hAnsi="Arabic Typesetting" w:cs="Arabic Typesetting"/>
                <w:color w:val="002060"/>
                <w:sz w:val="28"/>
                <w:szCs w:val="28"/>
                <w:rtl/>
                <w:lang w:eastAsia="ar-EG" w:bidi="ar-EG"/>
              </w:rPr>
              <w:t>:</w:t>
            </w:r>
            <w:r w:rsidR="00816AAC">
              <w:rPr>
                <w:rFonts w:ascii="Arabic Typesetting" w:eastAsia="Arabic Typesetting" w:hAnsi="Arabic Typesetting" w:cs="Arabic Typesetting" w:hint="cs"/>
                <w:color w:val="002060"/>
                <w:sz w:val="28"/>
                <w:szCs w:val="28"/>
                <w:rtl/>
                <w:lang w:eastAsia="ar-EG" w:bidi="ar-EG"/>
              </w:rPr>
              <w:t xml:space="preserve"> 000 250</w:t>
            </w:r>
          </w:p>
          <w:p w14:paraId="4469F461" w14:textId="7FD57E01" w:rsidR="00CE6E0B" w:rsidRPr="005D75F8" w:rsidRDefault="00CE6E0B" w:rsidP="00816AAC">
            <w:pPr>
              <w:bidi/>
              <w:rPr>
                <w:rFonts w:ascii="Arabic Typesetting" w:eastAsia="Arabic Typesetting" w:hAnsi="Arabic Typesetting" w:cs="Arabic Typesetting"/>
                <w:i/>
                <w:color w:val="002060"/>
                <w:sz w:val="28"/>
                <w:szCs w:val="28"/>
                <w:lang w:eastAsia="ar-EG" w:bidi="ar-EG"/>
              </w:rPr>
            </w:pPr>
            <w:r w:rsidRPr="005D75F8">
              <w:rPr>
                <w:rFonts w:ascii="Arabic Typesetting" w:eastAsia="Arabic Typesetting" w:hAnsi="Arabic Typesetting" w:cs="Arabic Typesetting"/>
                <w:color w:val="002060"/>
                <w:sz w:val="28"/>
                <w:szCs w:val="28"/>
                <w:rtl/>
                <w:lang w:eastAsia="ar-EG" w:bidi="ar-EG"/>
              </w:rPr>
              <w:t>قاعدة البيانات العالمية لأدوات التوسيم</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816AAC">
              <w:rPr>
                <w:rFonts w:ascii="Arabic Typesetting" w:eastAsia="Arabic Typesetting" w:hAnsi="Arabic Typesetting" w:cs="Arabic Typesetting" w:hint="cs"/>
                <w:color w:val="002060"/>
                <w:sz w:val="28"/>
                <w:szCs w:val="28"/>
                <w:rtl/>
                <w:lang w:eastAsia="ar-EG" w:bidi="ar-EG"/>
              </w:rPr>
              <w:t>000 75</w:t>
            </w:r>
          </w:p>
          <w:p w14:paraId="2FD102CF" w14:textId="552B0921" w:rsidR="00CE6E0B" w:rsidRDefault="00CE6E0B" w:rsidP="00816AAC">
            <w:pPr>
              <w:bidi/>
              <w:spacing w:after="120"/>
              <w:rPr>
                <w:rFonts w:ascii="Arabic Typesetting" w:eastAsia="Arabic Typesetting" w:hAnsi="Arabic Typesetting" w:cs="Arabic Typesetting"/>
                <w:i/>
                <w:color w:val="002060"/>
                <w:sz w:val="28"/>
                <w:szCs w:val="28"/>
                <w:lang w:eastAsia="ar-EG" w:bidi="ar-EG"/>
              </w:rPr>
            </w:pPr>
            <w:r w:rsidRPr="005D75F8">
              <w:rPr>
                <w:rFonts w:ascii="Arabic Typesetting" w:eastAsia="Arabic Typesetting" w:hAnsi="Arabic Typesetting" w:cs="Arabic Typesetting"/>
                <w:color w:val="002060"/>
                <w:sz w:val="28"/>
                <w:szCs w:val="28"/>
                <w:rtl/>
                <w:lang w:eastAsia="ar-EG" w:bidi="ar-EG"/>
              </w:rPr>
              <w:t>قاعدة البيانات العالمية للتصاميم</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816AAC">
              <w:rPr>
                <w:rFonts w:ascii="Arabic Typesetting" w:eastAsia="Arabic Typesetting" w:hAnsi="Arabic Typesetting" w:cs="Arabic Typesetting" w:hint="cs"/>
                <w:color w:val="002060"/>
                <w:sz w:val="28"/>
                <w:szCs w:val="28"/>
                <w:rtl/>
                <w:lang w:eastAsia="ar-EG" w:bidi="ar-EG"/>
              </w:rPr>
              <w:t>000 15</w:t>
            </w:r>
          </w:p>
          <w:p w14:paraId="00658350" w14:textId="320C6691" w:rsidR="00CE6E0B" w:rsidRPr="005D75F8" w:rsidRDefault="00CE6E0B" w:rsidP="00816AAC">
            <w:pPr>
              <w:bidi/>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i/>
                <w:iCs/>
                <w:sz w:val="28"/>
                <w:szCs w:val="28"/>
                <w:rtl/>
                <w:lang w:eastAsia="ar-EG" w:bidi="ar-EG"/>
              </w:rPr>
              <w:t>الهدف الأصلي:</w:t>
            </w:r>
            <w:r w:rsidRPr="005D75F8">
              <w:rPr>
                <w:rFonts w:ascii="Arabic Typesetting" w:eastAsia="Arabic Typesetting" w:hAnsi="Arabic Typesetting" w:cs="Arabic Typesetting"/>
                <w:sz w:val="28"/>
                <w:szCs w:val="28"/>
                <w:lang w:eastAsia="ar-EG" w:bidi="ar-EG"/>
              </w:rPr>
              <w:br/>
            </w:r>
            <w:r w:rsidRPr="005D75F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5D75F8">
              <w:rPr>
                <w:rFonts w:ascii="Arabic Typesetting" w:eastAsia="Arabic Typesetting" w:hAnsi="Arabic Typesetting" w:cs="Arabic Typesetting"/>
                <w:color w:val="000000"/>
                <w:sz w:val="28"/>
                <w:szCs w:val="28"/>
                <w:rtl/>
                <w:lang w:eastAsia="ar-EG" w:bidi="ar-EG"/>
              </w:rPr>
              <w:t>ركن البراءات</w:t>
            </w:r>
            <w:r>
              <w:rPr>
                <w:rFonts w:ascii="Arabic Typesetting" w:eastAsia="Arabic Typesetting" w:hAnsi="Arabic Typesetting" w:cs="Arabic Typesetting"/>
                <w:color w:val="000000"/>
                <w:sz w:val="28"/>
                <w:szCs w:val="28"/>
                <w:rtl/>
                <w:lang w:eastAsia="ar-EG" w:bidi="ar-EG"/>
              </w:rPr>
              <w:t>:</w:t>
            </w:r>
            <w:r w:rsidR="00816AAC">
              <w:rPr>
                <w:rFonts w:ascii="Arabic Typesetting" w:eastAsia="Arabic Typesetting" w:hAnsi="Arabic Typesetting" w:cs="Arabic Typesetting" w:hint="cs"/>
                <w:color w:val="000000"/>
                <w:sz w:val="28"/>
                <w:szCs w:val="28"/>
                <w:rtl/>
                <w:lang w:eastAsia="ar-EG" w:bidi="ar-EG"/>
              </w:rPr>
              <w:t xml:space="preserve"> 000 650</w:t>
            </w:r>
          </w:p>
          <w:p w14:paraId="516B4BCF" w14:textId="450EB8F1" w:rsidR="00CE6E0B" w:rsidRPr="005D75F8" w:rsidRDefault="00CE6E0B" w:rsidP="00816AAC">
            <w:pPr>
              <w:bidi/>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قاعدة البيانات العالمية لأدوات التوسيم</w:t>
            </w:r>
            <w:r>
              <w:rPr>
                <w:rFonts w:ascii="Arabic Typesetting" w:eastAsia="Arabic Typesetting" w:hAnsi="Arabic Typesetting" w:cs="Arabic Typesetting"/>
                <w:color w:val="000000"/>
                <w:sz w:val="28"/>
                <w:szCs w:val="28"/>
                <w:rtl/>
                <w:lang w:eastAsia="ar-EG" w:bidi="ar-EG"/>
              </w:rPr>
              <w:t>:</w:t>
            </w:r>
            <w:r w:rsidR="00816AAC">
              <w:rPr>
                <w:rFonts w:ascii="Arabic Typesetting" w:eastAsia="Arabic Typesetting" w:hAnsi="Arabic Typesetting" w:cs="Arabic Typesetting" w:hint="cs"/>
                <w:color w:val="000000"/>
                <w:sz w:val="28"/>
                <w:szCs w:val="28"/>
                <w:rtl/>
                <w:lang w:eastAsia="ar-EG" w:bidi="ar-EG"/>
              </w:rPr>
              <w:t xml:space="preserve"> 000 70</w:t>
            </w:r>
          </w:p>
          <w:p w14:paraId="1C482370" w14:textId="68E1D533" w:rsidR="00CE6E0B" w:rsidRPr="005D75F8" w:rsidRDefault="00CE6E0B" w:rsidP="00816AAC">
            <w:pPr>
              <w:bidi/>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قاعدة البيانات العالمية للتصاميم</w:t>
            </w:r>
            <w:r>
              <w:rPr>
                <w:rFonts w:ascii="Arabic Typesetting" w:eastAsia="Arabic Typesetting" w:hAnsi="Arabic Typesetting" w:cs="Arabic Typesetting"/>
                <w:color w:val="000000"/>
                <w:sz w:val="28"/>
                <w:szCs w:val="28"/>
                <w:rtl/>
                <w:lang w:eastAsia="ar-EG" w:bidi="ar-EG"/>
              </w:rPr>
              <w:t>:</w:t>
            </w:r>
            <w:r w:rsidR="00816AAC">
              <w:rPr>
                <w:rFonts w:ascii="Arabic Typesetting" w:eastAsia="Arabic Typesetting" w:hAnsi="Arabic Typesetting" w:cs="Arabic Typesetting" w:hint="cs"/>
                <w:color w:val="000000"/>
                <w:sz w:val="28"/>
                <w:szCs w:val="28"/>
                <w:rtl/>
                <w:lang w:eastAsia="ar-EG" w:bidi="ar-EG"/>
              </w:rPr>
              <w:t xml:space="preserve"> 000 15</w:t>
            </w:r>
          </w:p>
        </w:tc>
        <w:tc>
          <w:tcPr>
            <w:tcW w:w="692" w:type="pct"/>
            <w:shd w:val="clear" w:color="auto" w:fill="FFFFFF"/>
            <w:tcMar>
              <w:top w:w="110" w:type="dxa"/>
              <w:left w:w="58" w:type="dxa"/>
              <w:right w:w="58" w:type="dxa"/>
            </w:tcMar>
          </w:tcPr>
          <w:p w14:paraId="3B45CE72" w14:textId="77777777" w:rsidR="00816AAC" w:rsidRDefault="00CE6E0B" w:rsidP="00816AAC">
            <w:pPr>
              <w:bidi/>
              <w:rPr>
                <w:rFonts w:ascii="Arabic Typesetting" w:eastAsia="Arabic Typesetting" w:hAnsi="Arabic Typesetting" w:cs="Arabic Typesetting"/>
                <w:color w:val="000000"/>
                <w:sz w:val="28"/>
                <w:szCs w:val="28"/>
                <w:rtl/>
                <w:lang w:eastAsia="ar-EG" w:bidi="ar-EG"/>
              </w:rPr>
            </w:pPr>
            <w:r w:rsidRPr="005D75F8">
              <w:rPr>
                <w:rFonts w:ascii="Arabic Typesetting" w:eastAsia="Arabic Typesetting" w:hAnsi="Arabic Typesetting" w:cs="Arabic Typesetting"/>
                <w:color w:val="000000"/>
                <w:sz w:val="28"/>
                <w:szCs w:val="28"/>
                <w:rtl/>
                <w:lang w:eastAsia="ar-EG" w:bidi="ar-EG"/>
              </w:rPr>
              <w:t>‏ركن البراءات</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816AAC">
              <w:rPr>
                <w:rFonts w:ascii="Arabic Typesetting" w:eastAsia="Arabic Typesetting" w:hAnsi="Arabic Typesetting" w:cs="Arabic Typesetting" w:hint="cs"/>
                <w:color w:val="000000"/>
                <w:sz w:val="28"/>
                <w:szCs w:val="28"/>
                <w:rtl/>
                <w:lang w:eastAsia="ar-EG" w:bidi="ar-EG"/>
              </w:rPr>
              <w:t>516 </w:t>
            </w:r>
            <w:r w:rsidR="00816AAC" w:rsidRPr="00396976">
              <w:rPr>
                <w:rFonts w:ascii="Arabic Typesetting" w:eastAsia="Arabic Typesetting" w:hAnsi="Arabic Typesetting" w:cs="Arabic Typesetting"/>
                <w:color w:val="000000"/>
                <w:sz w:val="28"/>
                <w:szCs w:val="28"/>
                <w:rtl/>
                <w:lang w:eastAsia="ar-EG" w:bidi="ar-EG"/>
              </w:rPr>
              <w:t>246</w:t>
            </w:r>
          </w:p>
          <w:p w14:paraId="253A29DB" w14:textId="2CD67F81" w:rsidR="00816AAC" w:rsidRDefault="00CE6E0B" w:rsidP="00816AAC">
            <w:pPr>
              <w:bidi/>
              <w:rPr>
                <w:rFonts w:ascii="Arabic Typesetting" w:eastAsia="Arabic Typesetting" w:hAnsi="Arabic Typesetting" w:cs="Arabic Typesetting"/>
                <w:color w:val="000000"/>
                <w:sz w:val="28"/>
                <w:szCs w:val="28"/>
                <w:rtl/>
                <w:lang w:eastAsia="ar-EG" w:bidi="ar-EG"/>
              </w:rPr>
            </w:pPr>
            <w:r w:rsidRPr="005D75F8">
              <w:rPr>
                <w:rFonts w:ascii="Arabic Typesetting" w:eastAsia="Arabic Typesetting" w:hAnsi="Arabic Typesetting" w:cs="Arabic Typesetting"/>
                <w:color w:val="000000"/>
                <w:sz w:val="28"/>
                <w:szCs w:val="28"/>
                <w:rtl/>
                <w:lang w:eastAsia="ar-EG" w:bidi="ar-EG"/>
              </w:rPr>
              <w:t>قاعدة البيانات العالمية لأدوات التوسيم</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816AAC">
              <w:rPr>
                <w:rFonts w:ascii="Arabic Typesetting" w:eastAsia="Arabic Typesetting" w:hAnsi="Arabic Typesetting" w:cs="Arabic Typesetting" w:hint="cs"/>
                <w:color w:val="000000"/>
                <w:sz w:val="28"/>
                <w:szCs w:val="28"/>
                <w:rtl/>
                <w:lang w:eastAsia="ar-EG" w:bidi="ar-EG"/>
              </w:rPr>
              <w:t>208 </w:t>
            </w:r>
            <w:r w:rsidR="00816AAC" w:rsidRPr="00396976">
              <w:rPr>
                <w:rFonts w:ascii="Arabic Typesetting" w:eastAsia="Arabic Typesetting" w:hAnsi="Arabic Typesetting" w:cs="Arabic Typesetting"/>
                <w:color w:val="000000"/>
                <w:sz w:val="28"/>
                <w:szCs w:val="28"/>
                <w:rtl/>
                <w:lang w:eastAsia="ar-EG" w:bidi="ar-EG"/>
              </w:rPr>
              <w:t>119</w:t>
            </w:r>
          </w:p>
          <w:p w14:paraId="17919B68" w14:textId="1E5B8A44" w:rsidR="00CE6E0B" w:rsidRPr="005D75F8" w:rsidRDefault="00CE6E0B" w:rsidP="00816AAC">
            <w:pPr>
              <w:bidi/>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قاعدة البيانات العالمية للتصاميم</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00816AAC" w:rsidRPr="00396976">
              <w:rPr>
                <w:rFonts w:ascii="Arabic Typesetting" w:eastAsia="Arabic Typesetting" w:hAnsi="Arabic Typesetting" w:cs="Arabic Typesetting"/>
                <w:color w:val="000000"/>
                <w:sz w:val="28"/>
                <w:szCs w:val="28"/>
                <w:rtl/>
                <w:lang w:eastAsia="ar-EG" w:bidi="ar-EG"/>
              </w:rPr>
              <w:t>868</w:t>
            </w:r>
            <w:r w:rsidR="00816AAC">
              <w:rPr>
                <w:rFonts w:ascii="Arabic Typesetting" w:eastAsia="Arabic Typesetting" w:hAnsi="Arabic Typesetting" w:cs="Arabic Typesetting" w:hint="cs"/>
                <w:color w:val="000000"/>
                <w:sz w:val="28"/>
                <w:szCs w:val="28"/>
                <w:rtl/>
                <w:lang w:eastAsia="ar-EG" w:bidi="ar-EG"/>
              </w:rPr>
              <w:t> 16</w:t>
            </w:r>
          </w:p>
          <w:p w14:paraId="4803945C" w14:textId="72671F2E"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(الفصل الرابع من عام 2016)</w:t>
            </w:r>
          </w:p>
        </w:tc>
        <w:tc>
          <w:tcPr>
            <w:tcW w:w="500" w:type="pct"/>
            <w:shd w:val="clear" w:color="auto" w:fill="auto"/>
            <w:tcMar>
              <w:top w:w="110" w:type="dxa"/>
              <w:left w:w="58" w:type="dxa"/>
              <w:right w:w="58" w:type="dxa"/>
            </w:tcMar>
          </w:tcPr>
          <w:p w14:paraId="4C5F745F" w14:textId="77777777" w:rsidR="00CE6E0B" w:rsidRPr="005D75F8" w:rsidRDefault="00CE6E0B" w:rsidP="0031289D">
            <w:pPr>
              <w:bidi/>
              <w:spacing w:after="120"/>
              <w:jc w:val="center"/>
              <w:rPr>
                <w:rFonts w:ascii="Arabic Typesetting" w:eastAsia="Arabic Typesetting" w:hAnsi="Arabic Typesetting" w:cs="Arabic Typesetting"/>
                <w:b/>
                <w:color w:val="000000"/>
                <w:sz w:val="28"/>
                <w:szCs w:val="28"/>
                <w:lang w:eastAsia="ar-EG" w:bidi="ar-EG"/>
              </w:rPr>
            </w:pPr>
            <w:r w:rsidRPr="005D75F8">
              <w:rPr>
                <w:rFonts w:ascii="Arabic Typesetting" w:eastAsia="Arabic Typesetting" w:hAnsi="Arabic Typesetting" w:cs="Arabic Typesetting"/>
                <w:b/>
                <w:bCs/>
                <w:color w:val="00B050"/>
                <w:sz w:val="28"/>
                <w:szCs w:val="28"/>
                <w:rtl/>
                <w:lang w:eastAsia="ar-EG" w:bidi="ar-EG"/>
              </w:rPr>
              <w:t>ثابت</w:t>
            </w:r>
          </w:p>
        </w:tc>
      </w:tr>
      <w:tr w:rsidR="00CE6E0B" w:rsidRPr="005D75F8" w14:paraId="36CB927F" w14:textId="77777777" w:rsidTr="00BB3820">
        <w:trPr>
          <w:cantSplit/>
          <w:trHeight w:val="691"/>
        </w:trPr>
        <w:tc>
          <w:tcPr>
            <w:tcW w:w="1073" w:type="pct"/>
            <w:shd w:val="clear" w:color="auto" w:fill="auto"/>
            <w:tcMar>
              <w:left w:w="58" w:type="dxa"/>
              <w:right w:w="58" w:type="dxa"/>
            </w:tcMar>
          </w:tcPr>
          <w:p w14:paraId="78187A58"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عدد اللغات المتاح بها البحث عبر لغات مختلفة</w:t>
            </w:r>
          </w:p>
        </w:tc>
        <w:tc>
          <w:tcPr>
            <w:tcW w:w="1690" w:type="pct"/>
            <w:shd w:val="clear" w:color="auto" w:fill="auto"/>
            <w:tcMar>
              <w:left w:w="58" w:type="dxa"/>
              <w:right w:w="58" w:type="dxa"/>
            </w:tcMar>
          </w:tcPr>
          <w:p w14:paraId="5E1A6B64" w14:textId="77777777" w:rsidR="00CE6E0B" w:rsidRDefault="00CE6E0B" w:rsidP="0031289D">
            <w:pPr>
              <w:bidi/>
              <w:spacing w:after="120"/>
              <w:rPr>
                <w:rFonts w:ascii="Arabic Typesetting" w:eastAsia="Arabic Typesetting" w:hAnsi="Arabic Typesetting" w:cs="Arabic Typesetting"/>
                <w:color w:val="002060"/>
                <w:sz w:val="28"/>
                <w:szCs w:val="28"/>
                <w:lang w:eastAsia="ar-EG" w:bidi="ar-EG"/>
              </w:rPr>
            </w:pPr>
            <w:r w:rsidRPr="005D75F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5D75F8">
              <w:rPr>
                <w:rFonts w:ascii="Arabic Typesetting" w:eastAsia="Arabic Typesetting" w:hAnsi="Arabic Typesetting" w:cs="Arabic Typesetting"/>
                <w:color w:val="002060"/>
                <w:sz w:val="28"/>
                <w:szCs w:val="28"/>
                <w:rtl/>
                <w:lang w:eastAsia="ar-EG" w:bidi="ar-EG"/>
              </w:rPr>
              <w:t>14</w:t>
            </w:r>
            <w:r>
              <w:rPr>
                <w:rFonts w:ascii="Arabic Typesetting" w:eastAsia="Arabic Typesetting" w:hAnsi="Arabic Typesetting" w:cs="Arabic Typesetting" w:hint="cs"/>
                <w:color w:val="002060"/>
                <w:sz w:val="28"/>
                <w:szCs w:val="28"/>
                <w:rtl/>
                <w:lang w:eastAsia="ar-EG" w:bidi="ar-EG"/>
              </w:rPr>
              <w:t xml:space="preserve"> (</w:t>
            </w:r>
            <w:r w:rsidRPr="005D75F8">
              <w:rPr>
                <w:rFonts w:ascii="Arabic Typesetting" w:eastAsia="Arabic Typesetting" w:hAnsi="Arabic Typesetting" w:cs="Arabic Typesetting"/>
                <w:color w:val="002060"/>
                <w:sz w:val="28"/>
                <w:szCs w:val="28"/>
                <w:rtl/>
                <w:lang w:eastAsia="ar-EG" w:bidi="ar-EG"/>
              </w:rPr>
              <w:t>الصينية والدانمركية والهولندية والإنكليزية والفرنسية والألمانية والإيطالية واليابانية والكورية والبولندية والبرتغالية والروسية والإسبانية والسويدية</w:t>
            </w:r>
            <w:r>
              <w:rPr>
                <w:rFonts w:ascii="Arabic Typesetting" w:eastAsia="Arabic Typesetting" w:hAnsi="Arabic Typesetting" w:cs="Arabic Typesetting" w:hint="cs"/>
                <w:color w:val="002060"/>
                <w:sz w:val="28"/>
                <w:szCs w:val="28"/>
                <w:rtl/>
                <w:lang w:eastAsia="ar-EG" w:bidi="ar-EG"/>
              </w:rPr>
              <w:t>)</w:t>
            </w:r>
          </w:p>
          <w:p w14:paraId="3696CB0C"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hint="cs"/>
                <w:i/>
                <w:sz w:val="28"/>
                <w:szCs w:val="28"/>
                <w:rtl/>
                <w:lang w:eastAsia="ar-EG" w:bidi="ar-EG"/>
              </w:rPr>
              <w:t xml:space="preserve"> </w:t>
            </w:r>
            <w:r w:rsidRPr="005D75F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5D75F8">
              <w:rPr>
                <w:rFonts w:ascii="Arabic Typesetting" w:eastAsia="Arabic Typesetting" w:hAnsi="Arabic Typesetting" w:cs="Arabic Typesetting"/>
                <w:color w:val="000000"/>
                <w:sz w:val="28"/>
                <w:szCs w:val="28"/>
                <w:rtl/>
                <w:lang w:eastAsia="ar-EG" w:bidi="ar-EG"/>
              </w:rPr>
              <w:t>12 (نهاية 2014)</w:t>
            </w:r>
          </w:p>
        </w:tc>
        <w:tc>
          <w:tcPr>
            <w:tcW w:w="1045" w:type="pct"/>
            <w:shd w:val="clear" w:color="auto" w:fill="auto"/>
            <w:tcMar>
              <w:top w:w="110" w:type="dxa"/>
              <w:left w:w="58" w:type="dxa"/>
              <w:right w:w="58" w:type="dxa"/>
            </w:tcMar>
          </w:tcPr>
          <w:p w14:paraId="51F85E87" w14:textId="77777777" w:rsidR="00CE6E0B" w:rsidRPr="005D75F8" w:rsidRDefault="00CE6E0B" w:rsidP="0031289D">
            <w:pPr>
              <w:bidi/>
              <w:spacing w:after="120"/>
              <w:rPr>
                <w:rFonts w:ascii="Arabic Typesetting" w:eastAsia="Arabic Typesetting" w:hAnsi="Arabic Typesetting" w:cs="Arabic Typesetting"/>
                <w:sz w:val="28"/>
                <w:szCs w:val="28"/>
                <w:lang w:eastAsia="ar-EG" w:bidi="ar-EG"/>
              </w:rPr>
            </w:pPr>
            <w:r w:rsidRPr="005D75F8">
              <w:rPr>
                <w:rFonts w:ascii="Arabic Typesetting" w:eastAsia="Arabic Typesetting" w:hAnsi="Arabic Typesetting" w:cs="Arabic Typesetting"/>
                <w:sz w:val="28"/>
                <w:szCs w:val="28"/>
                <w:rtl/>
                <w:lang w:eastAsia="ar-EG" w:bidi="ar-EG"/>
              </w:rPr>
              <w:t>14</w:t>
            </w:r>
          </w:p>
        </w:tc>
        <w:tc>
          <w:tcPr>
            <w:tcW w:w="692" w:type="pct"/>
            <w:shd w:val="clear" w:color="auto" w:fill="FFFFFF"/>
            <w:tcMar>
              <w:top w:w="110" w:type="dxa"/>
              <w:left w:w="58" w:type="dxa"/>
              <w:right w:w="58" w:type="dxa"/>
            </w:tcMar>
          </w:tcPr>
          <w:p w14:paraId="404F52B6" w14:textId="77777777" w:rsidR="00CE6E0B"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عدد اللغات الإضافية المضافة في عام 2016.</w:t>
            </w:r>
          </w:p>
          <w:p w14:paraId="3E24D8A6"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 xml:space="preserve">التراكمي </w:t>
            </w:r>
            <w:r>
              <w:rPr>
                <w:rFonts w:ascii="Arabic Typesetting" w:eastAsia="Arabic Typesetting" w:hAnsi="Arabic Typesetting" w:cs="Arabic Typesetting"/>
                <w:color w:val="000000"/>
                <w:sz w:val="28"/>
                <w:szCs w:val="28"/>
                <w:rtl/>
                <w:lang w:eastAsia="ar-EG" w:bidi="ar-EG"/>
              </w:rPr>
              <w:t>14 لغة</w:t>
            </w:r>
          </w:p>
        </w:tc>
        <w:tc>
          <w:tcPr>
            <w:tcW w:w="500" w:type="pct"/>
            <w:shd w:val="clear" w:color="auto" w:fill="auto"/>
            <w:tcMar>
              <w:top w:w="110" w:type="dxa"/>
              <w:left w:w="58" w:type="dxa"/>
              <w:right w:w="58" w:type="dxa"/>
            </w:tcMar>
          </w:tcPr>
          <w:p w14:paraId="26982B8D" w14:textId="77777777" w:rsidR="00CE6E0B" w:rsidRPr="005D75F8" w:rsidRDefault="00CE6E0B" w:rsidP="0031289D">
            <w:pPr>
              <w:bidi/>
              <w:spacing w:after="120"/>
              <w:jc w:val="center"/>
              <w:rPr>
                <w:rFonts w:ascii="Arabic Typesetting" w:eastAsia="Arabic Typesetting" w:hAnsi="Arabic Typesetting" w:cs="Arabic Typesetting"/>
                <w:b/>
                <w:color w:val="000000"/>
                <w:sz w:val="28"/>
                <w:szCs w:val="28"/>
                <w:lang w:eastAsia="ar-EG" w:bidi="ar-EG"/>
              </w:rPr>
            </w:pPr>
            <w:r w:rsidRPr="005D75F8">
              <w:rPr>
                <w:rFonts w:ascii="Arabic Typesetting" w:eastAsia="Arabic Typesetting" w:hAnsi="Arabic Typesetting" w:cs="Arabic Typesetting"/>
                <w:b/>
                <w:bCs/>
                <w:color w:val="00B050"/>
                <w:sz w:val="28"/>
                <w:szCs w:val="28"/>
                <w:rtl/>
                <w:lang w:eastAsia="ar-EG" w:bidi="ar-EG"/>
              </w:rPr>
              <w:t>ثابت</w:t>
            </w:r>
          </w:p>
        </w:tc>
      </w:tr>
      <w:tr w:rsidR="00CE6E0B" w:rsidRPr="005D75F8" w14:paraId="13F6FCAD" w14:textId="77777777" w:rsidTr="00BB3820">
        <w:trPr>
          <w:cantSplit/>
          <w:trHeight w:val="691"/>
        </w:trPr>
        <w:tc>
          <w:tcPr>
            <w:tcW w:w="1073" w:type="pct"/>
            <w:shd w:val="clear" w:color="auto" w:fill="auto"/>
            <w:tcMar>
              <w:left w:w="58" w:type="dxa"/>
              <w:right w:w="58" w:type="dxa"/>
            </w:tcMar>
          </w:tcPr>
          <w:p w14:paraId="3ABFD68C"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lastRenderedPageBreak/>
              <w:t>‏عدد أزواج اللغات المتاحة لترجمة الأوصاف والمطالبات</w:t>
            </w:r>
          </w:p>
        </w:tc>
        <w:tc>
          <w:tcPr>
            <w:tcW w:w="1690" w:type="pct"/>
            <w:shd w:val="clear" w:color="auto" w:fill="auto"/>
            <w:tcMar>
              <w:left w:w="58" w:type="dxa"/>
              <w:right w:w="58" w:type="dxa"/>
            </w:tcMar>
          </w:tcPr>
          <w:p w14:paraId="6C968C7A" w14:textId="77777777" w:rsidR="00CE6E0B" w:rsidRPr="005D75F8" w:rsidRDefault="00CE6E0B" w:rsidP="0031289D">
            <w:pPr>
              <w:bidi/>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1 (نهاية 2015)</w:t>
            </w:r>
          </w:p>
          <w:p w14:paraId="6698196E"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 xml:space="preserve">الإنكليزية </w:t>
            </w:r>
            <w:r>
              <w:rPr>
                <w:rFonts w:ascii="Arabic Typesetting" w:eastAsia="Arabic Typesetting" w:hAnsi="Arabic Typesetting" w:cs="Arabic Typesetting"/>
                <w:color w:val="000000"/>
                <w:sz w:val="28"/>
                <w:szCs w:val="28"/>
                <w:rtl/>
                <w:lang w:eastAsia="ar-EG" w:bidi="ar-EG"/>
              </w:rPr>
              <w:t>–</w:t>
            </w:r>
            <w:r w:rsidRPr="005D75F8">
              <w:rPr>
                <w:rFonts w:ascii="Arabic Typesetting" w:eastAsia="Arabic Typesetting" w:hAnsi="Arabic Typesetting" w:cs="Arabic Typesetting"/>
                <w:color w:val="000000"/>
                <w:sz w:val="28"/>
                <w:szCs w:val="28"/>
                <w:rtl/>
                <w:lang w:eastAsia="ar-EG" w:bidi="ar-EG"/>
              </w:rPr>
              <w:t xml:space="preserve"> الصينية</w:t>
            </w:r>
          </w:p>
        </w:tc>
        <w:tc>
          <w:tcPr>
            <w:tcW w:w="1045" w:type="pct"/>
            <w:shd w:val="clear" w:color="auto" w:fill="auto"/>
            <w:tcMar>
              <w:top w:w="110" w:type="dxa"/>
              <w:left w:w="58" w:type="dxa"/>
              <w:right w:w="58" w:type="dxa"/>
            </w:tcMar>
          </w:tcPr>
          <w:p w14:paraId="74148D90"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4</w:t>
            </w:r>
          </w:p>
        </w:tc>
        <w:tc>
          <w:tcPr>
            <w:tcW w:w="692" w:type="pct"/>
            <w:shd w:val="clear" w:color="auto" w:fill="FFFFFF"/>
            <w:tcMar>
              <w:top w:w="110" w:type="dxa"/>
              <w:left w:w="58" w:type="dxa"/>
              <w:right w:w="58" w:type="dxa"/>
            </w:tcMar>
          </w:tcPr>
          <w:p w14:paraId="5387D023" w14:textId="77777777" w:rsidR="00CE6E0B" w:rsidRPr="005D75F8" w:rsidRDefault="00CE6E0B" w:rsidP="0031289D">
            <w:pPr>
              <w:bidi/>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لغتان إضافيتان</w:t>
            </w:r>
          </w:p>
          <w:p w14:paraId="1C48AE40" w14:textId="77777777" w:rsidR="00CE6E0B" w:rsidRPr="005D75F8" w:rsidRDefault="00CE6E0B" w:rsidP="0031289D">
            <w:pPr>
              <w:bidi/>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الإنكليزية - الفرنسية</w:t>
            </w:r>
          </w:p>
          <w:p w14:paraId="2B51976E" w14:textId="77777777" w:rsidR="00CE6E0B" w:rsidRPr="005D75F8" w:rsidRDefault="00CE6E0B" w:rsidP="0031289D">
            <w:pPr>
              <w:bidi/>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الإنكليزية - اليابانية</w:t>
            </w:r>
          </w:p>
          <w:p w14:paraId="742B2A0E"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 xml:space="preserve">(التراكمي 3 </w:t>
            </w:r>
            <w:r>
              <w:rPr>
                <w:rFonts w:ascii="Arabic Typesetting" w:eastAsia="Arabic Typesetting" w:hAnsi="Arabic Typesetting" w:cs="Arabic Typesetting" w:hint="cs"/>
                <w:color w:val="000000"/>
                <w:sz w:val="28"/>
                <w:szCs w:val="28"/>
                <w:rtl/>
                <w:lang w:eastAsia="ar-EG" w:bidi="ar-EG"/>
              </w:rPr>
              <w:t>في</w:t>
            </w:r>
            <w:r w:rsidRPr="005D75F8">
              <w:rPr>
                <w:rFonts w:ascii="Arabic Typesetting" w:eastAsia="Arabic Typesetting" w:hAnsi="Arabic Typesetting" w:cs="Arabic Typesetting"/>
                <w:color w:val="000000"/>
                <w:sz w:val="28"/>
                <w:szCs w:val="28"/>
                <w:rtl/>
                <w:lang w:eastAsia="ar-EG" w:bidi="ar-EG"/>
              </w:rPr>
              <w:t xml:space="preserve"> نهاية 2016)</w:t>
            </w:r>
          </w:p>
        </w:tc>
        <w:tc>
          <w:tcPr>
            <w:tcW w:w="500" w:type="pct"/>
            <w:shd w:val="clear" w:color="auto" w:fill="auto"/>
            <w:tcMar>
              <w:top w:w="110" w:type="dxa"/>
              <w:left w:w="58" w:type="dxa"/>
              <w:right w:w="58" w:type="dxa"/>
            </w:tcMar>
          </w:tcPr>
          <w:p w14:paraId="36F945C9" w14:textId="77777777" w:rsidR="00CE6E0B" w:rsidRPr="005D75F8" w:rsidRDefault="00CE6E0B" w:rsidP="0031289D">
            <w:pPr>
              <w:bidi/>
              <w:spacing w:after="120"/>
              <w:jc w:val="center"/>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b/>
                <w:bCs/>
                <w:color w:val="00B050"/>
                <w:sz w:val="28"/>
                <w:szCs w:val="28"/>
                <w:rtl/>
                <w:lang w:eastAsia="ar-EG" w:bidi="ar-EG"/>
              </w:rPr>
              <w:t>ثابت</w:t>
            </w:r>
          </w:p>
        </w:tc>
      </w:tr>
      <w:tr w:rsidR="00CE6E0B" w:rsidRPr="005D75F8" w14:paraId="3E579B5E" w14:textId="77777777" w:rsidTr="00BB3820">
        <w:trPr>
          <w:cantSplit/>
          <w:trHeight w:val="1430"/>
        </w:trPr>
        <w:tc>
          <w:tcPr>
            <w:tcW w:w="1073" w:type="pct"/>
            <w:shd w:val="clear" w:color="auto" w:fill="auto"/>
            <w:tcMar>
              <w:left w:w="58" w:type="dxa"/>
              <w:right w:w="58" w:type="dxa"/>
            </w:tcMar>
          </w:tcPr>
          <w:p w14:paraId="0548255C"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عدد السجلات المدرجة في ركن</w:t>
            </w:r>
            <w:r>
              <w:rPr>
                <w:rFonts w:ascii="Arabic Typesetting" w:eastAsia="Arabic Typesetting" w:hAnsi="Arabic Typesetting" w:cs="Arabic Typesetting" w:hint="cs"/>
                <w:color w:val="000000"/>
                <w:sz w:val="28"/>
                <w:szCs w:val="28"/>
                <w:rtl/>
                <w:lang w:eastAsia="ar-EG" w:bidi="ar-EG"/>
              </w:rPr>
              <w:t> </w:t>
            </w:r>
            <w:r w:rsidRPr="005D75F8">
              <w:rPr>
                <w:rFonts w:ascii="Arabic Typesetting" w:eastAsia="Arabic Typesetting" w:hAnsi="Arabic Typesetting" w:cs="Arabic Typesetting"/>
                <w:color w:val="000000"/>
                <w:sz w:val="28"/>
                <w:szCs w:val="28"/>
                <w:rtl/>
                <w:lang w:eastAsia="ar-EG" w:bidi="ar-EG"/>
              </w:rPr>
              <w:t>البراءات</w:t>
            </w:r>
          </w:p>
        </w:tc>
        <w:tc>
          <w:tcPr>
            <w:tcW w:w="1690" w:type="pct"/>
            <w:shd w:val="clear" w:color="auto" w:fill="auto"/>
            <w:tcMar>
              <w:left w:w="58" w:type="dxa"/>
              <w:right w:w="58" w:type="dxa"/>
            </w:tcMar>
          </w:tcPr>
          <w:p w14:paraId="3BCDE9DA" w14:textId="3F2A2F3B" w:rsidR="00CE6E0B" w:rsidRDefault="00CE6E0B" w:rsidP="00816AAC">
            <w:pPr>
              <w:bidi/>
              <w:spacing w:after="120"/>
              <w:rPr>
                <w:rFonts w:ascii="Arabic Typesetting" w:eastAsia="Arabic Typesetting" w:hAnsi="Arabic Typesetting" w:cs="Arabic Typesetting"/>
                <w:color w:val="002060"/>
                <w:sz w:val="28"/>
                <w:szCs w:val="28"/>
                <w:lang w:eastAsia="ar-EG" w:bidi="ar-EG"/>
              </w:rPr>
            </w:pPr>
            <w:r w:rsidRPr="005D75F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00816AAC">
              <w:rPr>
                <w:rFonts w:ascii="Arabic Typesetting" w:eastAsia="Arabic Typesetting" w:hAnsi="Arabic Typesetting" w:cs="Arabic Typesetting" w:hint="cs"/>
                <w:color w:val="002060"/>
                <w:sz w:val="28"/>
                <w:szCs w:val="28"/>
                <w:rtl/>
                <w:lang w:eastAsia="ar-EG" w:bidi="ar-EG"/>
              </w:rPr>
              <w:t>000 000 50</w:t>
            </w:r>
            <w:r>
              <w:rPr>
                <w:rFonts w:ascii="Arabic Typesetting" w:eastAsia="Arabic Typesetting" w:hAnsi="Arabic Typesetting" w:cs="Arabic Typesetting"/>
                <w:color w:val="002060"/>
                <w:sz w:val="28"/>
                <w:szCs w:val="28"/>
                <w:rtl/>
                <w:lang w:eastAsia="ar-EG" w:bidi="ar-EG"/>
              </w:rPr>
              <w:br/>
            </w:r>
            <w:r w:rsidRPr="005D75F8">
              <w:rPr>
                <w:rFonts w:ascii="Arabic Typesetting" w:eastAsia="Arabic Typesetting" w:hAnsi="Arabic Typesetting" w:cs="Arabic Typesetting"/>
                <w:color w:val="002060"/>
                <w:sz w:val="28"/>
                <w:szCs w:val="28"/>
                <w:rtl/>
                <w:lang w:eastAsia="ar-EG" w:bidi="ar-EG"/>
              </w:rPr>
              <w:t>(تراكمي)</w:t>
            </w:r>
          </w:p>
          <w:p w14:paraId="65912935" w14:textId="42F32D87" w:rsidR="00CE6E0B" w:rsidRPr="005D75F8" w:rsidRDefault="00CE6E0B" w:rsidP="00816AAC">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hint="cs"/>
                <w:i/>
                <w:sz w:val="28"/>
                <w:szCs w:val="28"/>
                <w:rtl/>
                <w:lang w:eastAsia="ar-EG" w:bidi="ar-EG"/>
              </w:rPr>
              <w:t xml:space="preserve"> </w:t>
            </w:r>
            <w:r w:rsidRPr="005D75F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00816AAC">
              <w:rPr>
                <w:rFonts w:ascii="Arabic Typesetting" w:eastAsia="Arabic Typesetting" w:hAnsi="Arabic Typesetting" w:cs="Arabic Typesetting" w:hint="cs"/>
                <w:color w:val="000000"/>
                <w:sz w:val="28"/>
                <w:szCs w:val="28"/>
                <w:rtl/>
                <w:lang w:eastAsia="ar-EG" w:bidi="ar-EG"/>
              </w:rPr>
              <w:t>000 000 43</w:t>
            </w:r>
            <w:r w:rsidRPr="005D75F8">
              <w:rPr>
                <w:rFonts w:ascii="Arabic Typesetting" w:eastAsia="Arabic Typesetting" w:hAnsi="Arabic Typesetting" w:cs="Arabic Typesetting"/>
                <w:color w:val="000000"/>
                <w:sz w:val="28"/>
                <w:szCs w:val="28"/>
                <w:rtl/>
                <w:lang w:eastAsia="ar-EG" w:bidi="ar-EG"/>
              </w:rPr>
              <w:t xml:space="preserve"> (نهاية 2014)</w:t>
            </w:r>
          </w:p>
        </w:tc>
        <w:tc>
          <w:tcPr>
            <w:tcW w:w="1045" w:type="pct"/>
            <w:shd w:val="clear" w:color="auto" w:fill="auto"/>
            <w:tcMar>
              <w:top w:w="110" w:type="dxa"/>
              <w:left w:w="58" w:type="dxa"/>
              <w:right w:w="58" w:type="dxa"/>
            </w:tcMar>
          </w:tcPr>
          <w:p w14:paraId="0CE6CE5E" w14:textId="77777777" w:rsidR="00CE6E0B" w:rsidRPr="005D75F8" w:rsidRDefault="00CE6E0B" w:rsidP="0031289D">
            <w:pPr>
              <w:bidi/>
              <w:spacing w:after="120"/>
              <w:rPr>
                <w:rFonts w:ascii="Arabic Typesetting" w:eastAsia="Arabic Typesetting" w:hAnsi="Arabic Typesetting" w:cs="Arabic Typesetting"/>
                <w:color w:val="002060"/>
                <w:sz w:val="28"/>
                <w:szCs w:val="28"/>
                <w:lang w:eastAsia="ar-EG" w:bidi="ar-EG"/>
              </w:rPr>
            </w:pPr>
            <w:r w:rsidRPr="005D75F8">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5D75F8">
              <w:rPr>
                <w:rFonts w:ascii="Arabic Typesetting" w:eastAsia="Arabic Typesetting" w:hAnsi="Arabic Typesetting" w:cs="Arabic Typesetting"/>
                <w:color w:val="002060"/>
                <w:sz w:val="28"/>
                <w:szCs w:val="28"/>
                <w:rtl/>
                <w:lang w:eastAsia="ar-EG" w:bidi="ar-EG"/>
              </w:rPr>
              <w:t>000 000 55 (تراكمي)</w:t>
            </w:r>
          </w:p>
          <w:p w14:paraId="0D87A625" w14:textId="71DE2852" w:rsidR="00CE6E0B" w:rsidRPr="005D75F8" w:rsidRDefault="00CE6E0B" w:rsidP="00816AAC">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i/>
                <w:iCs/>
                <w:sz w:val="28"/>
                <w:szCs w:val="28"/>
                <w:rtl/>
                <w:lang w:eastAsia="ar-EG" w:bidi="ar-EG"/>
              </w:rPr>
              <w:t>الهدف الأصلي:</w:t>
            </w:r>
            <w:r w:rsidRPr="005D75F8">
              <w:rPr>
                <w:rFonts w:ascii="Arabic Typesetting" w:eastAsia="Arabic Typesetting" w:hAnsi="Arabic Typesetting" w:cs="Arabic Typesetting"/>
                <w:sz w:val="28"/>
                <w:szCs w:val="28"/>
                <w:lang w:eastAsia="ar-EG" w:bidi="ar-EG"/>
              </w:rPr>
              <w:br/>
            </w:r>
            <w:r w:rsidRPr="005D75F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00816AAC">
              <w:rPr>
                <w:rFonts w:ascii="Arabic Typesetting" w:eastAsia="Arabic Typesetting" w:hAnsi="Arabic Typesetting" w:cs="Arabic Typesetting" w:hint="cs"/>
                <w:sz w:val="28"/>
                <w:szCs w:val="28"/>
                <w:rtl/>
                <w:lang w:eastAsia="ar-EG" w:bidi="ar-EG"/>
              </w:rPr>
              <w:t>000 000 50</w:t>
            </w:r>
          </w:p>
        </w:tc>
        <w:tc>
          <w:tcPr>
            <w:tcW w:w="692" w:type="pct"/>
            <w:shd w:val="clear" w:color="auto" w:fill="FFFFFF"/>
            <w:tcMar>
              <w:top w:w="110" w:type="dxa"/>
              <w:left w:w="58" w:type="dxa"/>
              <w:right w:w="58" w:type="dxa"/>
            </w:tcMar>
          </w:tcPr>
          <w:p w14:paraId="27FDA38C"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000 820 57 (تراكمي)</w:t>
            </w:r>
          </w:p>
        </w:tc>
        <w:tc>
          <w:tcPr>
            <w:tcW w:w="500" w:type="pct"/>
            <w:shd w:val="clear" w:color="auto" w:fill="auto"/>
            <w:tcMar>
              <w:top w:w="110" w:type="dxa"/>
              <w:left w:w="58" w:type="dxa"/>
              <w:right w:w="58" w:type="dxa"/>
            </w:tcMar>
          </w:tcPr>
          <w:p w14:paraId="4877FDFD" w14:textId="77777777" w:rsidR="00CE6E0B" w:rsidRPr="005D75F8" w:rsidRDefault="00CE6E0B" w:rsidP="0031289D">
            <w:pPr>
              <w:bidi/>
              <w:spacing w:after="120"/>
              <w:jc w:val="center"/>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b/>
                <w:bCs/>
                <w:color w:val="00B050"/>
                <w:sz w:val="28"/>
                <w:szCs w:val="28"/>
                <w:rtl/>
                <w:lang w:eastAsia="ar-EG" w:bidi="ar-EG"/>
              </w:rPr>
              <w:t>ثابت</w:t>
            </w:r>
          </w:p>
        </w:tc>
      </w:tr>
      <w:tr w:rsidR="00CE6E0B" w:rsidRPr="005D75F8" w14:paraId="33B3A309" w14:textId="77777777" w:rsidTr="00BB3820">
        <w:trPr>
          <w:cantSplit/>
          <w:trHeight w:val="1213"/>
        </w:trPr>
        <w:tc>
          <w:tcPr>
            <w:tcW w:w="1073" w:type="pct"/>
            <w:shd w:val="clear" w:color="auto" w:fill="auto"/>
            <w:tcMar>
              <w:left w:w="58" w:type="dxa"/>
              <w:right w:w="58" w:type="dxa"/>
            </w:tcMar>
          </w:tcPr>
          <w:p w14:paraId="41F0316D"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توقيت رفع البيانات (معدل الفترة المحسوبة بالأيام بين تاريخ نشر السجلات في سجلها الرسمي وتوافرها في قواعد البيانات العالمية لأغراض إتاحة مجموعة فرعية من المجموعات الوطنية)</w:t>
            </w:r>
          </w:p>
        </w:tc>
        <w:tc>
          <w:tcPr>
            <w:tcW w:w="1690" w:type="pct"/>
            <w:shd w:val="clear" w:color="auto" w:fill="auto"/>
            <w:tcMar>
              <w:left w:w="58" w:type="dxa"/>
              <w:right w:w="58" w:type="dxa"/>
            </w:tcMar>
          </w:tcPr>
          <w:p w14:paraId="36A4F8FE"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غير متاح</w:t>
            </w:r>
            <w:r>
              <w:rPr>
                <w:rFonts w:ascii="Arabic Typesetting" w:eastAsia="Arabic Typesetting" w:hAnsi="Arabic Typesetting" w:cs="Arabic Typesetting" w:hint="cs"/>
                <w:color w:val="000000"/>
                <w:sz w:val="28"/>
                <w:szCs w:val="28"/>
                <w:rtl/>
                <w:lang w:eastAsia="ar-EG" w:bidi="ar-EG"/>
              </w:rPr>
              <w:t xml:space="preserve"> </w:t>
            </w:r>
            <w:r w:rsidRPr="005D75F8">
              <w:rPr>
                <w:rFonts w:ascii="Arabic Typesetting" w:eastAsia="Arabic Typesetting" w:hAnsi="Arabic Typesetting" w:cs="Arabic Typesetting"/>
                <w:color w:val="000000"/>
                <w:sz w:val="28"/>
                <w:szCs w:val="28"/>
                <w:rtl/>
                <w:lang w:eastAsia="ar-EG" w:bidi="ar-EG"/>
              </w:rPr>
              <w:t>(مؤشر أداء جديد)</w:t>
            </w:r>
          </w:p>
        </w:tc>
        <w:tc>
          <w:tcPr>
            <w:tcW w:w="1045" w:type="pct"/>
            <w:shd w:val="clear" w:color="auto" w:fill="auto"/>
            <w:tcMar>
              <w:top w:w="110" w:type="dxa"/>
              <w:left w:w="58" w:type="dxa"/>
              <w:right w:w="58" w:type="dxa"/>
            </w:tcMar>
          </w:tcPr>
          <w:p w14:paraId="71F0EC4E"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‏45 يوما</w:t>
            </w:r>
            <w:r>
              <w:rPr>
                <w:rFonts w:ascii="Arabic Typesetting" w:eastAsia="Arabic Typesetting" w:hAnsi="Arabic Typesetting" w:cs="Arabic Typesetting" w:hint="cs"/>
                <w:color w:val="000000"/>
                <w:sz w:val="28"/>
                <w:szCs w:val="28"/>
                <w:rtl/>
                <w:lang w:eastAsia="ar-EG" w:bidi="ar-EG"/>
              </w:rPr>
              <w:t>ً</w:t>
            </w:r>
          </w:p>
        </w:tc>
        <w:tc>
          <w:tcPr>
            <w:tcW w:w="692" w:type="pct"/>
            <w:shd w:val="clear" w:color="auto" w:fill="FFFFFF"/>
            <w:tcMar>
              <w:top w:w="110" w:type="dxa"/>
              <w:left w:w="58" w:type="dxa"/>
              <w:right w:w="58" w:type="dxa"/>
            </w:tcMar>
          </w:tcPr>
          <w:p w14:paraId="42A669D7"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5.6 يوم (2016)</w:t>
            </w:r>
          </w:p>
        </w:tc>
        <w:tc>
          <w:tcPr>
            <w:tcW w:w="500" w:type="pct"/>
            <w:shd w:val="clear" w:color="auto" w:fill="auto"/>
            <w:tcMar>
              <w:top w:w="110" w:type="dxa"/>
              <w:left w:w="58" w:type="dxa"/>
              <w:right w:w="58" w:type="dxa"/>
            </w:tcMar>
          </w:tcPr>
          <w:p w14:paraId="0537408A" w14:textId="77777777" w:rsidR="00CE6E0B" w:rsidRPr="005D75F8" w:rsidRDefault="00CE6E0B" w:rsidP="0031289D">
            <w:pPr>
              <w:bidi/>
              <w:spacing w:after="120"/>
              <w:jc w:val="center"/>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b/>
                <w:bCs/>
                <w:color w:val="00B050"/>
                <w:sz w:val="28"/>
                <w:szCs w:val="28"/>
                <w:rtl/>
                <w:lang w:eastAsia="ar-EG" w:bidi="ar-EG"/>
              </w:rPr>
              <w:t>ثابت</w:t>
            </w:r>
          </w:p>
        </w:tc>
      </w:tr>
      <w:tr w:rsidR="00CE6E0B" w:rsidRPr="005D75F8" w14:paraId="5ACC7848" w14:textId="77777777" w:rsidTr="00BB3820">
        <w:trPr>
          <w:cantSplit/>
          <w:trHeight w:val="565"/>
        </w:trPr>
        <w:tc>
          <w:tcPr>
            <w:tcW w:w="5000" w:type="pct"/>
            <w:gridSpan w:val="5"/>
            <w:shd w:val="clear" w:color="auto" w:fill="C6D9F1"/>
            <w:tcMar>
              <w:left w:w="58" w:type="dxa"/>
              <w:right w:w="58" w:type="dxa"/>
            </w:tcMar>
            <w:vAlign w:val="center"/>
          </w:tcPr>
          <w:p w14:paraId="0D824CE4" w14:textId="3BE50B20" w:rsidR="00CE6E0B" w:rsidRPr="005D75F8" w:rsidRDefault="00CE6E0B" w:rsidP="0031289D">
            <w:pPr>
              <w:keepNext/>
              <w:bidi/>
              <w:spacing w:before="120" w:after="120"/>
              <w:ind w:left="1452" w:hanging="1452"/>
              <w:rPr>
                <w:rFonts w:ascii="Arabic Typesetting" w:eastAsia="Arabic Typesetting" w:hAnsi="Arabic Typesetting" w:cs="Arabic Typesetting"/>
                <w:b/>
                <w:bCs/>
                <w:sz w:val="28"/>
                <w:szCs w:val="28"/>
                <w:lang w:eastAsia="ar-EG" w:bidi="ar-EG"/>
              </w:rPr>
            </w:pPr>
            <w:r w:rsidRPr="005D75F8">
              <w:rPr>
                <w:rFonts w:ascii="Arabic Typesetting" w:eastAsia="Arabic Typesetting" w:hAnsi="Arabic Typesetting" w:cs="Arabic Typesetting"/>
                <w:b/>
                <w:bCs/>
                <w:sz w:val="28"/>
                <w:szCs w:val="28"/>
                <w:rtl/>
                <w:lang w:eastAsia="ar-EG" w:bidi="ar-EG"/>
              </w:rPr>
              <w:t>‏النتيجة المرتقبة:</w:t>
            </w:r>
            <w:r w:rsidRPr="005D75F8">
              <w:rPr>
                <w:rFonts w:ascii="Arabic Typesetting" w:eastAsia="Arabic Typesetting" w:hAnsi="Arabic Typesetting" w:cs="Arabic Typesetting"/>
                <w:sz w:val="28"/>
                <w:szCs w:val="28"/>
                <w:lang w:eastAsia="ar-EG" w:bidi="ar-EG"/>
              </w:rPr>
              <w:tab/>
            </w:r>
            <w:r w:rsidRPr="005D75F8">
              <w:rPr>
                <w:rFonts w:ascii="Arabic Typesetting" w:eastAsia="Arabic Typesetting" w:hAnsi="Arabic Typesetting" w:cs="Arabic Typesetting"/>
                <w:color w:val="000000"/>
                <w:sz w:val="28"/>
                <w:szCs w:val="28"/>
                <w:rtl/>
                <w:lang w:eastAsia="ar-EG" w:bidi="ar-EG"/>
              </w:rPr>
              <w:t xml:space="preserve">ه3.4 </w:t>
            </w:r>
            <w:r w:rsidR="007B1E0A">
              <w:rPr>
                <w:rFonts w:ascii="Arabic Typesetting" w:eastAsia="Arabic Typesetting" w:hAnsi="Arabic Typesetting" w:cs="Arabic Typesetting"/>
                <w:color w:val="000000"/>
                <w:sz w:val="28"/>
                <w:szCs w:val="28"/>
                <w:rtl/>
                <w:lang w:eastAsia="ar-EG" w:bidi="ar-EG"/>
              </w:rPr>
              <w:t>تغطية جغرافية واسعة لقواعد بيانات الويبو العالمية بشأن الملكية الفكرية من حيث المحتوى والاستخدام</w:t>
            </w:r>
          </w:p>
        </w:tc>
      </w:tr>
      <w:tr w:rsidR="00CE6E0B" w:rsidRPr="005D75F8" w14:paraId="6B1E75D6" w14:textId="77777777" w:rsidTr="00BB3820">
        <w:trPr>
          <w:cantSplit/>
        </w:trPr>
        <w:tc>
          <w:tcPr>
            <w:tcW w:w="1073" w:type="pct"/>
            <w:shd w:val="clear" w:color="auto" w:fill="auto"/>
            <w:tcMar>
              <w:left w:w="58" w:type="dxa"/>
              <w:right w:w="58" w:type="dxa"/>
            </w:tcMar>
            <w:vAlign w:val="center"/>
          </w:tcPr>
          <w:p w14:paraId="712F377F" w14:textId="77777777" w:rsidR="00CE6E0B" w:rsidRPr="005D75F8" w:rsidRDefault="00CE6E0B" w:rsidP="0031289D">
            <w:pPr>
              <w:keepNext/>
              <w:bidi/>
              <w:spacing w:after="120"/>
              <w:rPr>
                <w:rFonts w:ascii="Arabic Typesetting" w:eastAsia="Arabic Typesetting" w:hAnsi="Arabic Typesetting" w:cs="Arabic Typesetting"/>
                <w:b/>
                <w:bCs/>
                <w:sz w:val="28"/>
                <w:szCs w:val="28"/>
                <w:lang w:eastAsia="ar-EG" w:bidi="ar-EG"/>
              </w:rPr>
            </w:pPr>
            <w:r w:rsidRPr="005D75F8">
              <w:rPr>
                <w:rFonts w:ascii="Arabic Typesetting" w:eastAsia="Arabic Typesetting" w:hAnsi="Arabic Typesetting" w:cs="Arabic Typesetting"/>
                <w:b/>
                <w:bCs/>
                <w:sz w:val="28"/>
                <w:szCs w:val="28"/>
                <w:rtl/>
                <w:lang w:eastAsia="ar-EG" w:bidi="ar-EG"/>
              </w:rPr>
              <w:t>مؤشرات الأداء</w:t>
            </w:r>
          </w:p>
        </w:tc>
        <w:tc>
          <w:tcPr>
            <w:tcW w:w="1690" w:type="pct"/>
            <w:shd w:val="clear" w:color="auto" w:fill="auto"/>
            <w:tcMar>
              <w:left w:w="58" w:type="dxa"/>
              <w:right w:w="58" w:type="dxa"/>
            </w:tcMar>
            <w:vAlign w:val="center"/>
          </w:tcPr>
          <w:p w14:paraId="3B70FF12" w14:textId="77777777" w:rsidR="00CE6E0B" w:rsidRPr="005D75F8" w:rsidRDefault="00CE6E0B" w:rsidP="0031289D">
            <w:pPr>
              <w:bidi/>
              <w:spacing w:after="120"/>
              <w:rPr>
                <w:rFonts w:ascii="Arabic Typesetting" w:eastAsia="Arabic Typesetting" w:hAnsi="Arabic Typesetting" w:cs="Arabic Typesetting"/>
                <w:b/>
                <w:bCs/>
                <w:sz w:val="28"/>
                <w:szCs w:val="28"/>
                <w:lang w:eastAsia="ar-EG" w:bidi="ar-EG"/>
              </w:rPr>
            </w:pPr>
            <w:r w:rsidRPr="005D75F8">
              <w:rPr>
                <w:rFonts w:ascii="Arabic Typesetting" w:eastAsia="Arabic Typesetting" w:hAnsi="Arabic Typesetting" w:cs="Arabic Typesetting"/>
                <w:b/>
                <w:bCs/>
                <w:sz w:val="28"/>
                <w:szCs w:val="28"/>
                <w:rtl/>
                <w:lang w:eastAsia="ar-EG" w:bidi="ar-EG"/>
              </w:rPr>
              <w:t>أسس المقارنة</w:t>
            </w:r>
          </w:p>
        </w:tc>
        <w:tc>
          <w:tcPr>
            <w:tcW w:w="1045" w:type="pct"/>
            <w:shd w:val="clear" w:color="auto" w:fill="auto"/>
            <w:tcMar>
              <w:top w:w="110" w:type="dxa"/>
              <w:left w:w="58" w:type="dxa"/>
              <w:right w:w="58" w:type="dxa"/>
            </w:tcMar>
            <w:vAlign w:val="center"/>
          </w:tcPr>
          <w:p w14:paraId="78F619CC" w14:textId="77777777" w:rsidR="00CE6E0B" w:rsidRPr="005D75F8" w:rsidRDefault="00CE6E0B" w:rsidP="0031289D">
            <w:pPr>
              <w:bidi/>
              <w:spacing w:after="120"/>
              <w:rPr>
                <w:rFonts w:ascii="Arabic Typesetting" w:eastAsia="Arabic Typesetting" w:hAnsi="Arabic Typesetting" w:cs="Arabic Typesetting"/>
                <w:b/>
                <w:bCs/>
                <w:sz w:val="28"/>
                <w:szCs w:val="28"/>
                <w:lang w:eastAsia="ar-EG" w:bidi="ar-EG"/>
              </w:rPr>
            </w:pPr>
            <w:r w:rsidRPr="005D75F8">
              <w:rPr>
                <w:rFonts w:ascii="Arabic Typesetting" w:eastAsia="Arabic Typesetting" w:hAnsi="Arabic Typesetting" w:cs="Arabic Typesetting"/>
                <w:b/>
                <w:bCs/>
                <w:sz w:val="28"/>
                <w:szCs w:val="28"/>
                <w:rtl/>
                <w:lang w:eastAsia="ar-EG" w:bidi="ar-EG"/>
              </w:rPr>
              <w:t>الأهداف</w:t>
            </w:r>
          </w:p>
        </w:tc>
        <w:tc>
          <w:tcPr>
            <w:tcW w:w="692" w:type="pct"/>
            <w:shd w:val="clear" w:color="auto" w:fill="FFFFFF"/>
            <w:tcMar>
              <w:top w:w="110" w:type="dxa"/>
              <w:left w:w="58" w:type="dxa"/>
              <w:right w:w="58" w:type="dxa"/>
            </w:tcMar>
            <w:vAlign w:val="center"/>
          </w:tcPr>
          <w:p w14:paraId="14489329" w14:textId="77777777" w:rsidR="00CE6E0B" w:rsidRPr="005D75F8" w:rsidRDefault="00CE6E0B" w:rsidP="0031289D">
            <w:pPr>
              <w:bidi/>
              <w:spacing w:after="120"/>
              <w:rPr>
                <w:rFonts w:ascii="Arabic Typesetting" w:eastAsia="Arabic Typesetting" w:hAnsi="Arabic Typesetting" w:cs="Arabic Typesetting"/>
                <w:b/>
                <w:bCs/>
                <w:sz w:val="28"/>
                <w:szCs w:val="28"/>
                <w:lang w:eastAsia="ar-EG" w:bidi="ar-EG"/>
              </w:rPr>
            </w:pPr>
            <w:r w:rsidRPr="005D75F8">
              <w:rPr>
                <w:rFonts w:ascii="Arabic Typesetting" w:eastAsia="Arabic Typesetting" w:hAnsi="Arabic Typesetting" w:cs="Arabic Typesetting"/>
                <w:b/>
                <w:bCs/>
                <w:sz w:val="28"/>
                <w:szCs w:val="28"/>
                <w:rtl/>
                <w:lang w:eastAsia="ar-EG" w:bidi="ar-EG"/>
              </w:rPr>
              <w:t>بيانات الأداء</w:t>
            </w:r>
          </w:p>
        </w:tc>
        <w:tc>
          <w:tcPr>
            <w:tcW w:w="500" w:type="pct"/>
            <w:shd w:val="clear" w:color="auto" w:fill="auto"/>
            <w:tcMar>
              <w:top w:w="110" w:type="dxa"/>
              <w:left w:w="58" w:type="dxa"/>
              <w:right w:w="58" w:type="dxa"/>
            </w:tcMar>
            <w:vAlign w:val="center"/>
          </w:tcPr>
          <w:p w14:paraId="3F423CAC" w14:textId="77777777" w:rsidR="00CE6E0B" w:rsidRPr="005D75F8" w:rsidRDefault="00CE6E0B" w:rsidP="0031289D">
            <w:pPr>
              <w:bidi/>
              <w:spacing w:after="120"/>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5D75F8" w14:paraId="6F40E7C5" w14:textId="77777777" w:rsidTr="00BB3820">
        <w:trPr>
          <w:cantSplit/>
          <w:trHeight w:val="430"/>
        </w:trPr>
        <w:tc>
          <w:tcPr>
            <w:tcW w:w="1073" w:type="pct"/>
            <w:shd w:val="clear" w:color="auto" w:fill="auto"/>
            <w:tcMar>
              <w:left w:w="58" w:type="dxa"/>
              <w:right w:w="58" w:type="dxa"/>
            </w:tcMar>
          </w:tcPr>
          <w:p w14:paraId="0A9B8D67"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عدد السجلات المدرجة في قاعدة ا</w:t>
            </w:r>
            <w:r>
              <w:rPr>
                <w:rFonts w:ascii="Arabic Typesetting" w:eastAsia="Arabic Typesetting" w:hAnsi="Arabic Typesetting" w:cs="Arabic Typesetting"/>
                <w:color w:val="000000"/>
                <w:sz w:val="28"/>
                <w:szCs w:val="28"/>
                <w:rtl/>
                <w:lang w:eastAsia="ar-EG" w:bidi="ar-EG"/>
              </w:rPr>
              <w:t>لبيانات العالمية لأدوات</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التوسيم</w:t>
            </w:r>
          </w:p>
        </w:tc>
        <w:tc>
          <w:tcPr>
            <w:tcW w:w="1690" w:type="pct"/>
            <w:shd w:val="clear" w:color="auto" w:fill="auto"/>
            <w:tcMar>
              <w:left w:w="58" w:type="dxa"/>
              <w:right w:w="58" w:type="dxa"/>
            </w:tcMar>
          </w:tcPr>
          <w:p w14:paraId="0C8C693C" w14:textId="77777777" w:rsidR="00CE6E0B" w:rsidRDefault="00CE6E0B" w:rsidP="0031289D">
            <w:pPr>
              <w:bidi/>
              <w:spacing w:after="120"/>
              <w:rPr>
                <w:rFonts w:ascii="Arabic Typesetting" w:eastAsia="Arabic Typesetting" w:hAnsi="Arabic Typesetting" w:cs="Arabic Typesetting"/>
                <w:sz w:val="28"/>
                <w:szCs w:val="28"/>
                <w:lang w:eastAsia="ar-EG" w:bidi="ar-EG"/>
              </w:rPr>
            </w:pPr>
            <w:r w:rsidRPr="005D75F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5D75F8">
              <w:rPr>
                <w:rFonts w:ascii="Arabic Typesetting" w:eastAsia="Arabic Typesetting" w:hAnsi="Arabic Typesetting" w:cs="Arabic Typesetting"/>
                <w:color w:val="002060"/>
                <w:sz w:val="28"/>
                <w:szCs w:val="28"/>
                <w:rtl/>
                <w:lang w:eastAsia="ar-EG" w:bidi="ar-EG"/>
              </w:rPr>
              <w:t>000 500 24 (تراكمي)</w:t>
            </w:r>
          </w:p>
          <w:p w14:paraId="01ADDAD9" w14:textId="3A73DB13" w:rsidR="00CE6E0B" w:rsidRPr="005D75F8" w:rsidRDefault="00CE6E0B" w:rsidP="00816AAC">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hint="cs"/>
                <w:i/>
                <w:sz w:val="28"/>
                <w:szCs w:val="28"/>
                <w:rtl/>
                <w:lang w:eastAsia="ar-EG" w:bidi="ar-EG"/>
              </w:rPr>
              <w:t xml:space="preserve"> </w:t>
            </w:r>
            <w:r w:rsidRPr="005D75F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00816AAC">
              <w:rPr>
                <w:rFonts w:ascii="Arabic Typesetting" w:eastAsia="Arabic Typesetting" w:hAnsi="Arabic Typesetting" w:cs="Arabic Typesetting" w:hint="cs"/>
                <w:color w:val="000000"/>
                <w:sz w:val="28"/>
                <w:szCs w:val="28"/>
                <w:rtl/>
                <w:lang w:eastAsia="ar-EG" w:bidi="ar-EG"/>
              </w:rPr>
              <w:t>000 800 15</w:t>
            </w:r>
            <w:r w:rsidRPr="005D75F8">
              <w:rPr>
                <w:rFonts w:ascii="Arabic Typesetting" w:eastAsia="Arabic Typesetting" w:hAnsi="Arabic Typesetting" w:cs="Arabic Typesetting"/>
                <w:color w:val="000000"/>
                <w:sz w:val="28"/>
                <w:szCs w:val="28"/>
                <w:rtl/>
                <w:lang w:eastAsia="ar-EG" w:bidi="ar-EG"/>
              </w:rPr>
              <w:t xml:space="preserve"> (نهاية 2014)</w:t>
            </w:r>
          </w:p>
        </w:tc>
        <w:tc>
          <w:tcPr>
            <w:tcW w:w="1045" w:type="pct"/>
            <w:shd w:val="clear" w:color="auto" w:fill="auto"/>
            <w:tcMar>
              <w:top w:w="110" w:type="dxa"/>
              <w:left w:w="58" w:type="dxa"/>
              <w:right w:w="58" w:type="dxa"/>
            </w:tcMar>
          </w:tcPr>
          <w:p w14:paraId="05B16537" w14:textId="08BE1E30" w:rsidR="00CE6E0B" w:rsidRDefault="00CE6E0B" w:rsidP="00816AAC">
            <w:pPr>
              <w:bidi/>
              <w:spacing w:after="120"/>
              <w:rPr>
                <w:rFonts w:ascii="Arabic Typesetting" w:eastAsia="Arabic Typesetting" w:hAnsi="Arabic Typesetting" w:cs="Arabic Typesetting"/>
                <w:color w:val="002060"/>
                <w:sz w:val="28"/>
                <w:szCs w:val="28"/>
                <w:lang w:eastAsia="ar-EG" w:bidi="ar-EG"/>
              </w:rPr>
            </w:pPr>
            <w:r w:rsidRPr="005D75F8">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00816AAC">
              <w:rPr>
                <w:rFonts w:ascii="Arabic Typesetting" w:eastAsia="Arabic Typesetting" w:hAnsi="Arabic Typesetting" w:cs="Arabic Typesetting" w:hint="cs"/>
                <w:color w:val="002060"/>
                <w:sz w:val="28"/>
                <w:szCs w:val="28"/>
                <w:rtl/>
                <w:lang w:eastAsia="ar-EG" w:bidi="ar-EG"/>
              </w:rPr>
              <w:t>000 000 30</w:t>
            </w:r>
          </w:p>
          <w:p w14:paraId="0184B32C" w14:textId="422B351C" w:rsidR="00CE6E0B" w:rsidRPr="005D75F8" w:rsidRDefault="00CE6E0B" w:rsidP="00816AAC">
            <w:pPr>
              <w:bidi/>
              <w:spacing w:after="120"/>
              <w:rPr>
                <w:rFonts w:ascii="Arabic Typesetting" w:eastAsia="Arabic Typesetting" w:hAnsi="Arabic Typesetting" w:cs="Arabic Typesetting"/>
                <w:sz w:val="28"/>
                <w:szCs w:val="28"/>
                <w:lang w:eastAsia="ar-EG" w:bidi="ar-EG"/>
              </w:rPr>
            </w:pPr>
            <w:r w:rsidRPr="005D75F8">
              <w:rPr>
                <w:rFonts w:ascii="Arabic Typesetting" w:eastAsia="Arabic Typesetting" w:hAnsi="Arabic Typesetting" w:cs="Arabic Typesetting"/>
                <w:i/>
                <w:iCs/>
                <w:sz w:val="28"/>
                <w:szCs w:val="28"/>
                <w:rtl/>
                <w:lang w:eastAsia="ar-EG" w:bidi="ar-EG"/>
              </w:rPr>
              <w:t>الهدف الأصلي:</w:t>
            </w:r>
            <w:r w:rsidRPr="005D75F8">
              <w:rPr>
                <w:rFonts w:ascii="Arabic Typesetting" w:eastAsia="Arabic Typesetting" w:hAnsi="Arabic Typesetting" w:cs="Arabic Typesetting"/>
                <w:sz w:val="28"/>
                <w:szCs w:val="28"/>
                <w:lang w:eastAsia="ar-EG" w:bidi="ar-EG"/>
              </w:rPr>
              <w:br/>
            </w:r>
            <w:r w:rsidRPr="005D75F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00816AAC">
              <w:rPr>
                <w:rFonts w:ascii="Arabic Typesetting" w:eastAsia="Arabic Typesetting" w:hAnsi="Arabic Typesetting" w:cs="Arabic Typesetting" w:hint="cs"/>
                <w:sz w:val="28"/>
                <w:szCs w:val="28"/>
                <w:rtl/>
                <w:lang w:eastAsia="ar-EG" w:bidi="ar-EG"/>
              </w:rPr>
              <w:t>000 000 25</w:t>
            </w:r>
          </w:p>
        </w:tc>
        <w:tc>
          <w:tcPr>
            <w:tcW w:w="692" w:type="pct"/>
            <w:shd w:val="clear" w:color="auto" w:fill="FFFFFF"/>
            <w:tcMar>
              <w:top w:w="110" w:type="dxa"/>
              <w:left w:w="58" w:type="dxa"/>
              <w:right w:w="58" w:type="dxa"/>
            </w:tcMar>
          </w:tcPr>
          <w:p w14:paraId="5ADA4E54" w14:textId="77777777" w:rsidR="00CE6E0B" w:rsidRPr="005D75F8" w:rsidRDefault="00CE6E0B" w:rsidP="0031289D">
            <w:pPr>
              <w:bidi/>
              <w:spacing w:after="120"/>
              <w:rPr>
                <w:rFonts w:ascii="Arabic Typesetting" w:eastAsia="Arabic Typesetting" w:hAnsi="Arabic Typesetting" w:cs="Arabic Typesetting"/>
                <w:sz w:val="28"/>
                <w:szCs w:val="28"/>
                <w:lang w:eastAsia="ar-EG" w:bidi="ar-EG"/>
              </w:rPr>
            </w:pPr>
            <w:r w:rsidRPr="005D75F8">
              <w:rPr>
                <w:rFonts w:ascii="Arabic Typesetting" w:eastAsia="Arabic Typesetting" w:hAnsi="Arabic Typesetting" w:cs="Arabic Typesetting"/>
                <w:sz w:val="28"/>
                <w:szCs w:val="28"/>
                <w:rtl/>
                <w:lang w:eastAsia="ar-EG" w:bidi="ar-EG"/>
              </w:rPr>
              <w:t>000 760 27 (تراكمي)</w:t>
            </w:r>
          </w:p>
        </w:tc>
        <w:tc>
          <w:tcPr>
            <w:tcW w:w="500" w:type="pct"/>
            <w:shd w:val="clear" w:color="auto" w:fill="auto"/>
            <w:tcMar>
              <w:top w:w="110" w:type="dxa"/>
              <w:left w:w="58" w:type="dxa"/>
              <w:right w:w="58" w:type="dxa"/>
            </w:tcMar>
          </w:tcPr>
          <w:p w14:paraId="03FBD5AC" w14:textId="77777777" w:rsidR="00CE6E0B" w:rsidRPr="005D75F8" w:rsidRDefault="00CE6E0B" w:rsidP="0031289D">
            <w:pPr>
              <w:bidi/>
              <w:spacing w:after="120"/>
              <w:jc w:val="center"/>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b/>
                <w:bCs/>
                <w:color w:val="00B050"/>
                <w:sz w:val="28"/>
                <w:szCs w:val="28"/>
                <w:rtl/>
                <w:lang w:eastAsia="ar-EG" w:bidi="ar-EG"/>
              </w:rPr>
              <w:t>ثابت</w:t>
            </w:r>
          </w:p>
        </w:tc>
      </w:tr>
      <w:tr w:rsidR="00CE6E0B" w:rsidRPr="005D75F8" w14:paraId="493C48B8" w14:textId="77777777" w:rsidTr="00BB3820">
        <w:trPr>
          <w:cantSplit/>
          <w:trHeight w:val="619"/>
        </w:trPr>
        <w:tc>
          <w:tcPr>
            <w:tcW w:w="1073" w:type="pct"/>
            <w:shd w:val="clear" w:color="auto" w:fill="auto"/>
            <w:tcMar>
              <w:left w:w="58" w:type="dxa"/>
              <w:right w:w="58" w:type="dxa"/>
            </w:tcMar>
          </w:tcPr>
          <w:p w14:paraId="28086AED"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عدد السجلات المدرجة في قاعدة البيانات العالمية للتصاميم</w:t>
            </w:r>
          </w:p>
        </w:tc>
        <w:tc>
          <w:tcPr>
            <w:tcW w:w="1690" w:type="pct"/>
            <w:shd w:val="clear" w:color="auto" w:fill="auto"/>
            <w:tcMar>
              <w:left w:w="58" w:type="dxa"/>
              <w:right w:w="58" w:type="dxa"/>
            </w:tcMar>
          </w:tcPr>
          <w:p w14:paraId="65FAD166" w14:textId="77777777" w:rsidR="00CE6E0B" w:rsidRDefault="00CE6E0B" w:rsidP="0031289D">
            <w:pPr>
              <w:bidi/>
              <w:spacing w:after="120"/>
              <w:rPr>
                <w:rFonts w:ascii="Arabic Typesetting" w:eastAsia="Arabic Typesetting" w:hAnsi="Arabic Typesetting" w:cs="Arabic Typesetting"/>
                <w:color w:val="002060"/>
                <w:sz w:val="28"/>
                <w:szCs w:val="28"/>
                <w:lang w:eastAsia="ar-EG" w:bidi="ar-EG"/>
              </w:rPr>
            </w:pPr>
            <w:r w:rsidRPr="005D75F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5D75F8">
              <w:rPr>
                <w:rFonts w:ascii="Arabic Typesetting" w:eastAsia="Arabic Typesetting" w:hAnsi="Arabic Typesetting" w:cs="Arabic Typesetting"/>
                <w:color w:val="002060"/>
                <w:sz w:val="28"/>
                <w:szCs w:val="28"/>
                <w:rtl/>
                <w:lang w:eastAsia="ar-EG" w:bidi="ar-EG"/>
              </w:rPr>
              <w:t>مجموع السجلات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5D75F8">
              <w:rPr>
                <w:rFonts w:ascii="Arabic Typesetting" w:eastAsia="Arabic Typesetting" w:hAnsi="Arabic Typesetting" w:cs="Arabic Typesetting"/>
                <w:color w:val="002060"/>
                <w:sz w:val="28"/>
                <w:szCs w:val="28"/>
                <w:rtl/>
                <w:lang w:eastAsia="ar-EG" w:bidi="ar-EG"/>
              </w:rPr>
              <w:t>1.53 مليون</w:t>
            </w:r>
            <w:r>
              <w:rPr>
                <w:rFonts w:ascii="Arabic Typesetting" w:eastAsia="Arabic Typesetting" w:hAnsi="Arabic Typesetting" w:cs="Arabic Typesetting"/>
                <w:color w:val="002060"/>
                <w:sz w:val="28"/>
                <w:szCs w:val="28"/>
                <w:rtl/>
                <w:lang w:eastAsia="ar-EG" w:bidi="ar-EG"/>
              </w:rPr>
              <w:br/>
            </w:r>
            <w:r w:rsidRPr="005D75F8">
              <w:rPr>
                <w:rFonts w:ascii="Arabic Typesetting" w:eastAsia="Arabic Typesetting" w:hAnsi="Arabic Typesetting" w:cs="Arabic Typesetting"/>
                <w:color w:val="002060"/>
                <w:sz w:val="28"/>
                <w:szCs w:val="28"/>
                <w:rtl/>
                <w:lang w:eastAsia="ar-EG" w:bidi="ar-EG"/>
              </w:rPr>
              <w:t>المجموعات الوطنية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5D75F8">
              <w:rPr>
                <w:rFonts w:ascii="Arabic Typesetting" w:eastAsia="Arabic Typesetting" w:hAnsi="Arabic Typesetting" w:cs="Arabic Typesetting"/>
                <w:color w:val="002060"/>
                <w:sz w:val="28"/>
                <w:szCs w:val="28"/>
                <w:rtl/>
                <w:lang w:eastAsia="ar-EG" w:bidi="ar-EG"/>
              </w:rPr>
              <w:t>5</w:t>
            </w:r>
          </w:p>
          <w:p w14:paraId="624024F2"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hint="cs"/>
                <w:i/>
                <w:sz w:val="28"/>
                <w:szCs w:val="28"/>
                <w:rtl/>
                <w:lang w:eastAsia="ar-EG" w:bidi="ar-EG"/>
              </w:rPr>
              <w:t xml:space="preserve"> </w:t>
            </w:r>
            <w:r w:rsidRPr="005D75F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غير متاح</w:t>
            </w:r>
          </w:p>
        </w:tc>
        <w:tc>
          <w:tcPr>
            <w:tcW w:w="1045" w:type="pct"/>
            <w:shd w:val="clear" w:color="auto" w:fill="auto"/>
            <w:tcMar>
              <w:top w:w="110" w:type="dxa"/>
              <w:left w:w="58" w:type="dxa"/>
              <w:right w:w="58" w:type="dxa"/>
            </w:tcMar>
          </w:tcPr>
          <w:p w14:paraId="51D65186" w14:textId="43F6147A" w:rsidR="00CE6E0B" w:rsidRDefault="00CE6E0B" w:rsidP="00816AAC">
            <w:pPr>
              <w:bidi/>
              <w:spacing w:after="120"/>
              <w:rPr>
                <w:rFonts w:ascii="Arabic Typesetting" w:eastAsia="Arabic Typesetting" w:hAnsi="Arabic Typesetting" w:cs="Arabic Typesetting"/>
                <w:color w:val="002060"/>
                <w:sz w:val="28"/>
                <w:szCs w:val="28"/>
                <w:lang w:eastAsia="ar-EG" w:bidi="ar-EG"/>
              </w:rPr>
            </w:pPr>
            <w:r w:rsidRPr="005D75F8">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00816AAC">
              <w:rPr>
                <w:rFonts w:ascii="Arabic Typesetting" w:eastAsia="Arabic Typesetting" w:hAnsi="Arabic Typesetting" w:cs="Arabic Typesetting" w:hint="cs"/>
                <w:color w:val="002060"/>
                <w:sz w:val="28"/>
                <w:szCs w:val="28"/>
                <w:rtl/>
                <w:lang w:eastAsia="ar-EG" w:bidi="ar-EG"/>
              </w:rPr>
              <w:t>000 000 2</w:t>
            </w:r>
          </w:p>
          <w:p w14:paraId="260253F4" w14:textId="08F3695E" w:rsidR="00CE6E0B" w:rsidRPr="005D75F8" w:rsidRDefault="00CE6E0B" w:rsidP="00816AAC">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i/>
                <w:iCs/>
                <w:sz w:val="28"/>
                <w:szCs w:val="28"/>
                <w:rtl/>
                <w:lang w:eastAsia="ar-EG" w:bidi="ar-EG"/>
              </w:rPr>
              <w:t>الهدف الأصلي:</w:t>
            </w:r>
            <w:r w:rsidRPr="005D75F8">
              <w:rPr>
                <w:rFonts w:ascii="Arabic Typesetting" w:eastAsia="Arabic Typesetting" w:hAnsi="Arabic Typesetting" w:cs="Arabic Typesetting"/>
                <w:sz w:val="28"/>
                <w:szCs w:val="28"/>
                <w:lang w:eastAsia="ar-EG" w:bidi="ar-EG"/>
              </w:rPr>
              <w:br/>
            </w:r>
            <w:r w:rsidRPr="005D75F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00816AAC">
              <w:rPr>
                <w:rFonts w:ascii="Arabic Typesetting" w:eastAsia="Arabic Typesetting" w:hAnsi="Arabic Typesetting" w:cs="Arabic Typesetting" w:hint="cs"/>
                <w:color w:val="000000"/>
                <w:sz w:val="28"/>
                <w:szCs w:val="28"/>
                <w:rtl/>
                <w:lang w:eastAsia="ar-EG" w:bidi="ar-EG"/>
              </w:rPr>
              <w:t>000 000 1</w:t>
            </w:r>
          </w:p>
        </w:tc>
        <w:tc>
          <w:tcPr>
            <w:tcW w:w="692" w:type="pct"/>
            <w:shd w:val="clear" w:color="auto" w:fill="FFFFFF"/>
            <w:tcMar>
              <w:top w:w="110" w:type="dxa"/>
              <w:left w:w="58" w:type="dxa"/>
              <w:right w:w="58" w:type="dxa"/>
            </w:tcMar>
          </w:tcPr>
          <w:p w14:paraId="425B7C0D"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sz w:val="28"/>
                <w:szCs w:val="28"/>
                <w:rtl/>
                <w:lang w:eastAsia="ar-EG" w:bidi="ar-EG"/>
              </w:rPr>
              <w:t>000 600 1 (تراكمي)</w:t>
            </w:r>
          </w:p>
        </w:tc>
        <w:tc>
          <w:tcPr>
            <w:tcW w:w="500" w:type="pct"/>
            <w:shd w:val="clear" w:color="auto" w:fill="auto"/>
            <w:tcMar>
              <w:top w:w="110" w:type="dxa"/>
              <w:left w:w="58" w:type="dxa"/>
              <w:right w:w="58" w:type="dxa"/>
            </w:tcMar>
          </w:tcPr>
          <w:p w14:paraId="4AB2D258" w14:textId="77777777" w:rsidR="00CE6E0B" w:rsidRPr="005D75F8" w:rsidRDefault="00CE6E0B" w:rsidP="0031289D">
            <w:pPr>
              <w:bidi/>
              <w:spacing w:after="120"/>
              <w:jc w:val="center"/>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b/>
                <w:bCs/>
                <w:color w:val="00B050"/>
                <w:sz w:val="28"/>
                <w:szCs w:val="28"/>
                <w:rtl/>
                <w:lang w:eastAsia="ar-EG" w:bidi="ar-EG"/>
              </w:rPr>
              <w:t>ثابت</w:t>
            </w:r>
          </w:p>
        </w:tc>
      </w:tr>
      <w:tr w:rsidR="00CE6E0B" w:rsidRPr="005D75F8" w14:paraId="232FF5C5" w14:textId="77777777" w:rsidTr="00BB3820">
        <w:trPr>
          <w:cantSplit/>
          <w:trHeight w:val="601"/>
        </w:trPr>
        <w:tc>
          <w:tcPr>
            <w:tcW w:w="1073" w:type="pct"/>
            <w:shd w:val="clear" w:color="auto" w:fill="auto"/>
            <w:tcMar>
              <w:left w:w="58" w:type="dxa"/>
              <w:right w:w="58" w:type="dxa"/>
            </w:tcMar>
          </w:tcPr>
          <w:p w14:paraId="28BE9103"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عدد المجموعات الوطنية في ركن</w:t>
            </w:r>
            <w:r>
              <w:rPr>
                <w:rFonts w:ascii="Arabic Typesetting" w:eastAsia="Arabic Typesetting" w:hAnsi="Arabic Typesetting" w:cs="Arabic Typesetting" w:hint="cs"/>
                <w:color w:val="000000"/>
                <w:sz w:val="28"/>
                <w:szCs w:val="28"/>
                <w:rtl/>
                <w:lang w:eastAsia="ar-EG" w:bidi="ar-EG"/>
              </w:rPr>
              <w:t> </w:t>
            </w:r>
            <w:r w:rsidRPr="005D75F8">
              <w:rPr>
                <w:rFonts w:ascii="Arabic Typesetting" w:eastAsia="Arabic Typesetting" w:hAnsi="Arabic Typesetting" w:cs="Arabic Typesetting"/>
                <w:color w:val="000000"/>
                <w:sz w:val="28"/>
                <w:szCs w:val="28"/>
                <w:rtl/>
                <w:lang w:eastAsia="ar-EG" w:bidi="ar-EG"/>
              </w:rPr>
              <w:t>البراءات</w:t>
            </w:r>
          </w:p>
        </w:tc>
        <w:tc>
          <w:tcPr>
            <w:tcW w:w="1690" w:type="pct"/>
            <w:shd w:val="clear" w:color="auto" w:fill="auto"/>
            <w:tcMar>
              <w:left w:w="58" w:type="dxa"/>
              <w:right w:w="58" w:type="dxa"/>
            </w:tcMar>
          </w:tcPr>
          <w:p w14:paraId="31CDF596" w14:textId="77777777" w:rsidR="00CE6E0B" w:rsidRDefault="00CE6E0B" w:rsidP="0031289D">
            <w:pPr>
              <w:bidi/>
              <w:spacing w:after="120"/>
              <w:rPr>
                <w:rFonts w:ascii="Arabic Typesetting" w:eastAsia="Arabic Typesetting" w:hAnsi="Arabic Typesetting" w:cs="Arabic Typesetting"/>
                <w:color w:val="002060"/>
                <w:sz w:val="28"/>
                <w:szCs w:val="28"/>
                <w:lang w:eastAsia="ar-EG" w:bidi="ar-EG"/>
              </w:rPr>
            </w:pPr>
            <w:r w:rsidRPr="005D75F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5D75F8">
              <w:rPr>
                <w:rFonts w:ascii="Arabic Typesetting" w:eastAsia="Arabic Typesetting" w:hAnsi="Arabic Typesetting" w:cs="Arabic Typesetting"/>
                <w:color w:val="002060"/>
                <w:sz w:val="28"/>
                <w:szCs w:val="28"/>
                <w:rtl/>
                <w:lang w:eastAsia="ar-EG" w:bidi="ar-EG"/>
              </w:rPr>
              <w:t>43 (تراكمي)</w:t>
            </w:r>
          </w:p>
          <w:p w14:paraId="455338A2"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hint="cs"/>
                <w:i/>
                <w:sz w:val="28"/>
                <w:szCs w:val="28"/>
                <w:rtl/>
                <w:lang w:eastAsia="ar-EG" w:bidi="ar-EG"/>
              </w:rPr>
              <w:t xml:space="preserve"> </w:t>
            </w:r>
            <w:r w:rsidRPr="005D75F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5D75F8">
              <w:rPr>
                <w:rFonts w:ascii="Arabic Typesetting" w:eastAsia="Arabic Typesetting" w:hAnsi="Arabic Typesetting" w:cs="Arabic Typesetting"/>
                <w:color w:val="000000"/>
                <w:sz w:val="28"/>
                <w:szCs w:val="28"/>
                <w:rtl/>
                <w:lang w:eastAsia="ar-EG" w:bidi="ar-EG"/>
              </w:rPr>
              <w:t>40 (نهاية 2014)</w:t>
            </w:r>
          </w:p>
        </w:tc>
        <w:tc>
          <w:tcPr>
            <w:tcW w:w="1045" w:type="pct"/>
            <w:shd w:val="clear" w:color="auto" w:fill="auto"/>
            <w:tcMar>
              <w:top w:w="110" w:type="dxa"/>
              <w:left w:w="58" w:type="dxa"/>
              <w:right w:w="58" w:type="dxa"/>
            </w:tcMar>
          </w:tcPr>
          <w:p w14:paraId="24B08116"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50</w:t>
            </w:r>
          </w:p>
        </w:tc>
        <w:tc>
          <w:tcPr>
            <w:tcW w:w="692" w:type="pct"/>
            <w:shd w:val="clear" w:color="auto" w:fill="FFFFFF"/>
            <w:tcMar>
              <w:top w:w="110" w:type="dxa"/>
              <w:left w:w="58" w:type="dxa"/>
              <w:right w:w="58" w:type="dxa"/>
            </w:tcMar>
          </w:tcPr>
          <w:p w14:paraId="2254E17E"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sz w:val="28"/>
                <w:szCs w:val="28"/>
                <w:rtl/>
                <w:lang w:eastAsia="ar-EG" w:bidi="ar-EG"/>
              </w:rPr>
              <w:t>43 (تراكمي)</w:t>
            </w:r>
          </w:p>
        </w:tc>
        <w:tc>
          <w:tcPr>
            <w:tcW w:w="500" w:type="pct"/>
            <w:shd w:val="clear" w:color="auto" w:fill="auto"/>
            <w:tcMar>
              <w:top w:w="110" w:type="dxa"/>
              <w:left w:w="58" w:type="dxa"/>
              <w:right w:w="58" w:type="dxa"/>
            </w:tcMar>
          </w:tcPr>
          <w:p w14:paraId="2D5B509A" w14:textId="77777777" w:rsidR="00CE6E0B" w:rsidRPr="005D75F8" w:rsidRDefault="00CE6E0B" w:rsidP="0031289D">
            <w:pPr>
              <w:bidi/>
              <w:spacing w:after="120"/>
              <w:jc w:val="center"/>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b/>
                <w:bCs/>
                <w:color w:val="00B050"/>
                <w:sz w:val="28"/>
                <w:szCs w:val="28"/>
                <w:rtl/>
                <w:lang w:eastAsia="ar-EG" w:bidi="ar-EG"/>
              </w:rPr>
              <w:t>ثابت</w:t>
            </w:r>
          </w:p>
        </w:tc>
      </w:tr>
      <w:tr w:rsidR="00CE6E0B" w:rsidRPr="005D75F8" w14:paraId="36A7ED72" w14:textId="77777777" w:rsidTr="00BB3820">
        <w:trPr>
          <w:cantSplit/>
          <w:trHeight w:val="619"/>
        </w:trPr>
        <w:tc>
          <w:tcPr>
            <w:tcW w:w="1073" w:type="pct"/>
            <w:shd w:val="clear" w:color="auto" w:fill="auto"/>
            <w:tcMar>
              <w:left w:w="58" w:type="dxa"/>
              <w:right w:w="58" w:type="dxa"/>
            </w:tcMar>
          </w:tcPr>
          <w:p w14:paraId="01F44789"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عدد المجموعات الوطنية في قاعدة البيانات العالمية لأدوات التوسيم</w:t>
            </w:r>
          </w:p>
        </w:tc>
        <w:tc>
          <w:tcPr>
            <w:tcW w:w="1690" w:type="pct"/>
            <w:shd w:val="clear" w:color="auto" w:fill="auto"/>
            <w:tcMar>
              <w:left w:w="58" w:type="dxa"/>
              <w:right w:w="58" w:type="dxa"/>
            </w:tcMar>
          </w:tcPr>
          <w:p w14:paraId="1368F264" w14:textId="77777777" w:rsidR="00CE6E0B" w:rsidRDefault="00CE6E0B" w:rsidP="0031289D">
            <w:pPr>
              <w:bidi/>
              <w:spacing w:after="120"/>
              <w:rPr>
                <w:rFonts w:ascii="Arabic Typesetting" w:eastAsia="Arabic Typesetting" w:hAnsi="Arabic Typesetting" w:cs="Arabic Typesetting"/>
                <w:color w:val="002060"/>
                <w:sz w:val="28"/>
                <w:szCs w:val="28"/>
                <w:lang w:eastAsia="ar-EG" w:bidi="ar-EG"/>
              </w:rPr>
            </w:pPr>
            <w:r w:rsidRPr="005D75F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5D75F8">
              <w:rPr>
                <w:rFonts w:ascii="Arabic Typesetting" w:eastAsia="Arabic Typesetting" w:hAnsi="Arabic Typesetting" w:cs="Arabic Typesetting"/>
                <w:color w:val="002060"/>
                <w:sz w:val="28"/>
                <w:szCs w:val="28"/>
                <w:rtl/>
                <w:lang w:eastAsia="ar-EG" w:bidi="ar-EG"/>
              </w:rPr>
              <w:t>26 (تراكمي)</w:t>
            </w:r>
          </w:p>
          <w:p w14:paraId="3C27B2D5"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5D75F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hint="cs"/>
                <w:i/>
                <w:sz w:val="28"/>
                <w:szCs w:val="28"/>
                <w:rtl/>
                <w:lang w:eastAsia="ar-EG" w:bidi="ar-EG"/>
              </w:rPr>
              <w:t xml:space="preserve"> </w:t>
            </w:r>
            <w:r w:rsidRPr="005D75F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5D75F8">
              <w:rPr>
                <w:rFonts w:ascii="Arabic Typesetting" w:eastAsia="Arabic Typesetting" w:hAnsi="Arabic Typesetting" w:cs="Arabic Typesetting"/>
                <w:color w:val="000000"/>
                <w:sz w:val="28"/>
                <w:szCs w:val="28"/>
                <w:rtl/>
                <w:lang w:eastAsia="ar-EG" w:bidi="ar-EG"/>
              </w:rPr>
              <w:t>18 (نهاية 2014)</w:t>
            </w:r>
          </w:p>
        </w:tc>
        <w:tc>
          <w:tcPr>
            <w:tcW w:w="1045" w:type="pct"/>
            <w:shd w:val="clear" w:color="auto" w:fill="auto"/>
            <w:tcMar>
              <w:top w:w="110" w:type="dxa"/>
              <w:left w:w="58" w:type="dxa"/>
              <w:right w:w="58" w:type="dxa"/>
            </w:tcMar>
          </w:tcPr>
          <w:p w14:paraId="5A047151"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color w:val="000000"/>
                <w:sz w:val="28"/>
                <w:szCs w:val="28"/>
                <w:rtl/>
                <w:lang w:eastAsia="ar-EG" w:bidi="ar-EG"/>
              </w:rPr>
              <w:t>32</w:t>
            </w:r>
          </w:p>
        </w:tc>
        <w:tc>
          <w:tcPr>
            <w:tcW w:w="692" w:type="pct"/>
            <w:shd w:val="clear" w:color="auto" w:fill="FFFFFF"/>
            <w:tcMar>
              <w:top w:w="110" w:type="dxa"/>
              <w:left w:w="58" w:type="dxa"/>
              <w:right w:w="58" w:type="dxa"/>
            </w:tcMar>
          </w:tcPr>
          <w:p w14:paraId="777C0564" w14:textId="77777777" w:rsidR="00CE6E0B" w:rsidRPr="005D75F8" w:rsidRDefault="00CE6E0B" w:rsidP="0031289D">
            <w:pPr>
              <w:bidi/>
              <w:spacing w:after="120"/>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sz w:val="28"/>
                <w:szCs w:val="28"/>
                <w:rtl/>
                <w:lang w:eastAsia="ar-EG" w:bidi="ar-EG"/>
              </w:rPr>
              <w:t>32 (تراكمي)</w:t>
            </w:r>
          </w:p>
        </w:tc>
        <w:tc>
          <w:tcPr>
            <w:tcW w:w="500" w:type="pct"/>
            <w:shd w:val="clear" w:color="auto" w:fill="auto"/>
            <w:tcMar>
              <w:top w:w="110" w:type="dxa"/>
              <w:left w:w="58" w:type="dxa"/>
              <w:right w:w="58" w:type="dxa"/>
            </w:tcMar>
          </w:tcPr>
          <w:p w14:paraId="6BE7CCC7" w14:textId="77777777" w:rsidR="00CE6E0B" w:rsidRPr="005D75F8" w:rsidRDefault="00CE6E0B" w:rsidP="0031289D">
            <w:pPr>
              <w:bidi/>
              <w:spacing w:after="120"/>
              <w:jc w:val="center"/>
              <w:rPr>
                <w:rFonts w:ascii="Arabic Typesetting" w:eastAsia="Arabic Typesetting" w:hAnsi="Arabic Typesetting" w:cs="Arabic Typesetting"/>
                <w:color w:val="000000"/>
                <w:sz w:val="28"/>
                <w:szCs w:val="28"/>
                <w:lang w:eastAsia="ar-EG" w:bidi="ar-EG"/>
              </w:rPr>
            </w:pPr>
            <w:r w:rsidRPr="005D75F8">
              <w:rPr>
                <w:rFonts w:ascii="Arabic Typesetting" w:eastAsia="Arabic Typesetting" w:hAnsi="Arabic Typesetting" w:cs="Arabic Typesetting"/>
                <w:b/>
                <w:bCs/>
                <w:color w:val="00B050"/>
                <w:sz w:val="28"/>
                <w:szCs w:val="28"/>
                <w:rtl/>
                <w:lang w:eastAsia="ar-EG" w:bidi="ar-EG"/>
              </w:rPr>
              <w:t>ثابت</w:t>
            </w:r>
          </w:p>
        </w:tc>
      </w:tr>
    </w:tbl>
    <w:p w14:paraId="634D11B1" w14:textId="77777777" w:rsidR="00CE6E0B" w:rsidRPr="009D6224" w:rsidRDefault="00CE6E0B" w:rsidP="0031289D">
      <w:pPr>
        <w:bidi/>
        <w:rPr>
          <w:sz w:val="6"/>
          <w:szCs w:val="4"/>
          <w:rtl/>
        </w:rPr>
      </w:pPr>
    </w:p>
    <w:tbl>
      <w:tblPr>
        <w:tblStyle w:val="TableGrid"/>
        <w:bidiVisual/>
        <w:tblW w:w="0" w:type="auto"/>
        <w:tblLook w:val="04A0" w:firstRow="1" w:lastRow="0" w:firstColumn="1" w:lastColumn="0" w:noHBand="0" w:noVBand="1"/>
      </w:tblPr>
      <w:tblGrid>
        <w:gridCol w:w="9571"/>
      </w:tblGrid>
      <w:tr w:rsidR="00CE6E0B" w14:paraId="608F2322" w14:textId="77777777" w:rsidTr="00BB3820">
        <w:tc>
          <w:tcPr>
            <w:tcW w:w="9571" w:type="dxa"/>
            <w:tcBorders>
              <w:top w:val="nil"/>
              <w:left w:val="nil"/>
              <w:bottom w:val="nil"/>
              <w:right w:val="nil"/>
            </w:tcBorders>
            <w:shd w:val="clear" w:color="auto" w:fill="C6D9F1"/>
            <w:vAlign w:val="center"/>
          </w:tcPr>
          <w:p w14:paraId="1EACA6FE" w14:textId="77777777" w:rsidR="00CE6E0B" w:rsidRPr="00A2672B" w:rsidRDefault="00CE6E0B"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13</w:t>
            </w:r>
          </w:p>
        </w:tc>
      </w:tr>
    </w:tbl>
    <w:p w14:paraId="6E43A66A" w14:textId="77777777" w:rsidR="00CE6E0B" w:rsidRPr="00FE3908"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34543342" w14:textId="77777777" w:rsidR="00CE6E0B" w:rsidRDefault="00CE6E0B"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E6E0B" w:rsidRPr="00211D55" w14:paraId="18FC6FB0"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1D3F4378"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1F0C19EE"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2E4B6FF1" w14:textId="77777777" w:rsidR="00CE6E0B" w:rsidRPr="00A2672B" w:rsidRDefault="00CE6E0B"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1F123809"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CE6E0B" w:rsidRPr="00211D55" w14:paraId="6B64A572" w14:textId="77777777" w:rsidTr="00BB3820">
        <w:trPr>
          <w:trHeight w:val="55"/>
        </w:trPr>
        <w:tc>
          <w:tcPr>
            <w:tcW w:w="413" w:type="pct"/>
            <w:shd w:val="clear" w:color="auto" w:fill="auto"/>
            <w:noWrap/>
            <w:tcMar>
              <w:top w:w="15" w:type="dxa"/>
              <w:left w:w="15" w:type="dxa"/>
              <w:bottom w:w="0" w:type="dxa"/>
              <w:right w:w="15" w:type="dxa"/>
            </w:tcMar>
            <w:vAlign w:val="center"/>
          </w:tcPr>
          <w:p w14:paraId="2755722E" w14:textId="77777777" w:rsidR="00CE6E0B" w:rsidRPr="00211D55" w:rsidRDefault="00CE6E0B" w:rsidP="0031289D">
            <w:pPr>
              <w:bidi/>
              <w:spacing w:before="120" w:after="120"/>
              <w:rPr>
                <w:rFonts w:ascii="Arabic Typesetting" w:hAnsi="Arabic Typesetting" w:cs="Arabic Typesetting"/>
                <w:sz w:val="28"/>
                <w:szCs w:val="28"/>
              </w:rPr>
            </w:pPr>
            <w:r w:rsidRPr="005D75F8">
              <w:rPr>
                <w:rFonts w:ascii="Arabic Typesetting" w:hAnsi="Arabic Typesetting" w:cs="Arabic Typesetting"/>
                <w:sz w:val="28"/>
                <w:szCs w:val="28"/>
                <w:rtl/>
              </w:rPr>
              <w:t>ھ2.4</w:t>
            </w:r>
          </w:p>
        </w:tc>
        <w:tc>
          <w:tcPr>
            <w:tcW w:w="2340" w:type="pct"/>
            <w:shd w:val="clear" w:color="auto" w:fill="auto"/>
            <w:tcMar>
              <w:top w:w="15" w:type="dxa"/>
              <w:left w:w="15" w:type="dxa"/>
              <w:bottom w:w="0" w:type="dxa"/>
              <w:right w:w="15" w:type="dxa"/>
            </w:tcMar>
            <w:vAlign w:val="center"/>
          </w:tcPr>
          <w:p w14:paraId="140A0DE1" w14:textId="3C106681" w:rsidR="00CE6E0B" w:rsidRPr="00211D55" w:rsidRDefault="007B1E0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نفاذ محسّن إلى المعلومات المتعلقة بالملكية الفكرية واستخدامها من قبل مؤسسات الملكية الفكرية والجمهور لتشجيع الابتكار والإبداع</w:t>
            </w:r>
          </w:p>
        </w:tc>
        <w:tc>
          <w:tcPr>
            <w:tcW w:w="749" w:type="pct"/>
            <w:shd w:val="clear" w:color="auto" w:fill="auto"/>
            <w:tcMar>
              <w:top w:w="15" w:type="dxa"/>
              <w:left w:w="15" w:type="dxa"/>
              <w:bottom w:w="0" w:type="dxa"/>
              <w:right w:w="15" w:type="dxa"/>
            </w:tcMar>
            <w:vAlign w:val="center"/>
          </w:tcPr>
          <w:p w14:paraId="60C328EF" w14:textId="77777777" w:rsidR="00CE6E0B" w:rsidRPr="009D6224" w:rsidRDefault="00CE6E0B" w:rsidP="0031289D">
            <w:pPr>
              <w:keepNext/>
              <w:keepLines/>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3 803</w:t>
            </w:r>
          </w:p>
        </w:tc>
        <w:tc>
          <w:tcPr>
            <w:tcW w:w="749" w:type="pct"/>
            <w:shd w:val="clear" w:color="auto" w:fill="auto"/>
            <w:tcMar>
              <w:top w:w="15" w:type="dxa"/>
              <w:left w:w="15" w:type="dxa"/>
              <w:bottom w:w="0" w:type="dxa"/>
              <w:right w:w="15" w:type="dxa"/>
            </w:tcMar>
            <w:vAlign w:val="center"/>
          </w:tcPr>
          <w:p w14:paraId="3A063B81" w14:textId="77777777" w:rsidR="00CE6E0B" w:rsidRPr="009D6224" w:rsidRDefault="00CE6E0B" w:rsidP="0031289D">
            <w:pPr>
              <w:keepNext/>
              <w:keepLines/>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5 578</w:t>
            </w:r>
          </w:p>
        </w:tc>
        <w:tc>
          <w:tcPr>
            <w:tcW w:w="749" w:type="pct"/>
            <w:shd w:val="clear" w:color="auto" w:fill="auto"/>
            <w:noWrap/>
            <w:tcMar>
              <w:top w:w="15" w:type="dxa"/>
              <w:left w:w="15" w:type="dxa"/>
              <w:bottom w:w="0" w:type="dxa"/>
              <w:right w:w="15" w:type="dxa"/>
            </w:tcMar>
            <w:vAlign w:val="center"/>
          </w:tcPr>
          <w:p w14:paraId="1C25A62C" w14:textId="77777777" w:rsidR="00CE6E0B" w:rsidRPr="009D6224" w:rsidRDefault="00CE6E0B" w:rsidP="0031289D">
            <w:pPr>
              <w:keepNext/>
              <w:keepLines/>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2 305</w:t>
            </w:r>
          </w:p>
        </w:tc>
      </w:tr>
      <w:tr w:rsidR="00CE6E0B" w:rsidRPr="00211D55" w14:paraId="21DDAC39" w14:textId="77777777" w:rsidTr="00BB3820">
        <w:trPr>
          <w:trHeight w:val="55"/>
        </w:trPr>
        <w:tc>
          <w:tcPr>
            <w:tcW w:w="413" w:type="pct"/>
            <w:shd w:val="clear" w:color="auto" w:fill="auto"/>
            <w:noWrap/>
            <w:tcMar>
              <w:top w:w="15" w:type="dxa"/>
              <w:left w:w="15" w:type="dxa"/>
              <w:bottom w:w="0" w:type="dxa"/>
              <w:right w:w="15" w:type="dxa"/>
            </w:tcMar>
            <w:vAlign w:val="center"/>
          </w:tcPr>
          <w:p w14:paraId="0F2C00DA" w14:textId="77777777" w:rsidR="00CE6E0B" w:rsidRPr="00211D55" w:rsidRDefault="00CE6E0B" w:rsidP="0031289D">
            <w:pPr>
              <w:bidi/>
              <w:spacing w:before="120" w:after="120"/>
              <w:rPr>
                <w:rFonts w:ascii="Arabic Typesetting" w:hAnsi="Arabic Typesetting" w:cs="Arabic Typesetting"/>
                <w:sz w:val="28"/>
                <w:szCs w:val="28"/>
              </w:rPr>
            </w:pPr>
            <w:r w:rsidRPr="005D75F8">
              <w:rPr>
                <w:rFonts w:ascii="Arabic Typesetting" w:hAnsi="Arabic Typesetting" w:cs="Arabic Typesetting"/>
                <w:sz w:val="28"/>
                <w:szCs w:val="28"/>
                <w:rtl/>
              </w:rPr>
              <w:t>ه3.4</w:t>
            </w:r>
          </w:p>
        </w:tc>
        <w:tc>
          <w:tcPr>
            <w:tcW w:w="2340" w:type="pct"/>
            <w:shd w:val="clear" w:color="auto" w:fill="auto"/>
            <w:tcMar>
              <w:top w:w="15" w:type="dxa"/>
              <w:left w:w="15" w:type="dxa"/>
              <w:bottom w:w="0" w:type="dxa"/>
              <w:right w:w="15" w:type="dxa"/>
            </w:tcMar>
            <w:vAlign w:val="center"/>
          </w:tcPr>
          <w:p w14:paraId="2629572E" w14:textId="62CC687B" w:rsidR="00CE6E0B" w:rsidRPr="00211D55" w:rsidRDefault="007B1E0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تغطية جغرافية واسعة لقواعد بيانات الويبو العالمية بشأن الملكية الفكرية من حيث المحتوى والاستخدام</w:t>
            </w:r>
          </w:p>
        </w:tc>
        <w:tc>
          <w:tcPr>
            <w:tcW w:w="749" w:type="pct"/>
            <w:shd w:val="clear" w:color="auto" w:fill="auto"/>
            <w:tcMar>
              <w:top w:w="15" w:type="dxa"/>
              <w:left w:w="15" w:type="dxa"/>
              <w:bottom w:w="0" w:type="dxa"/>
              <w:right w:w="15" w:type="dxa"/>
            </w:tcMar>
            <w:vAlign w:val="center"/>
          </w:tcPr>
          <w:p w14:paraId="1B024B17" w14:textId="77777777" w:rsidR="00CE6E0B" w:rsidRPr="009D6224" w:rsidRDefault="00CE6E0B" w:rsidP="0031289D">
            <w:pPr>
              <w:keepNext/>
              <w:keepLines/>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1 956</w:t>
            </w:r>
          </w:p>
        </w:tc>
        <w:tc>
          <w:tcPr>
            <w:tcW w:w="749" w:type="pct"/>
            <w:shd w:val="clear" w:color="auto" w:fill="auto"/>
            <w:tcMar>
              <w:top w:w="15" w:type="dxa"/>
              <w:left w:w="15" w:type="dxa"/>
              <w:bottom w:w="0" w:type="dxa"/>
              <w:right w:w="15" w:type="dxa"/>
            </w:tcMar>
            <w:vAlign w:val="center"/>
          </w:tcPr>
          <w:p w14:paraId="420780DB" w14:textId="77777777" w:rsidR="00CE6E0B" w:rsidRPr="009D6224" w:rsidRDefault="00CE6E0B" w:rsidP="0031289D">
            <w:pPr>
              <w:keepNext/>
              <w:keepLines/>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2 196</w:t>
            </w:r>
          </w:p>
        </w:tc>
        <w:tc>
          <w:tcPr>
            <w:tcW w:w="749" w:type="pct"/>
            <w:shd w:val="clear" w:color="auto" w:fill="auto"/>
            <w:noWrap/>
            <w:tcMar>
              <w:top w:w="15" w:type="dxa"/>
              <w:left w:w="15" w:type="dxa"/>
              <w:bottom w:w="0" w:type="dxa"/>
              <w:right w:w="15" w:type="dxa"/>
            </w:tcMar>
            <w:vAlign w:val="center"/>
          </w:tcPr>
          <w:p w14:paraId="34E720AF" w14:textId="77777777" w:rsidR="00CE6E0B" w:rsidRPr="009D6224" w:rsidRDefault="00CE6E0B" w:rsidP="0031289D">
            <w:pPr>
              <w:keepNext/>
              <w:keepLines/>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851</w:t>
            </w:r>
          </w:p>
        </w:tc>
      </w:tr>
      <w:tr w:rsidR="00CE6E0B" w:rsidRPr="00211D55" w14:paraId="22899EC5"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5024C798" w14:textId="77777777" w:rsidR="00CE6E0B" w:rsidRPr="00211D55" w:rsidRDefault="00CE6E0B"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2E09F799" w14:textId="77777777" w:rsidR="00CE6E0B" w:rsidRPr="00280D1A" w:rsidRDefault="00CE6E0B"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4F6C7934" w14:textId="77777777" w:rsidR="00CE6E0B" w:rsidRPr="00280D1A" w:rsidRDefault="00CE6E0B"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5 758</w:t>
            </w:r>
          </w:p>
        </w:tc>
        <w:tc>
          <w:tcPr>
            <w:tcW w:w="749" w:type="pct"/>
            <w:shd w:val="clear" w:color="auto" w:fill="C6D9F1"/>
            <w:noWrap/>
            <w:tcMar>
              <w:top w:w="15" w:type="dxa"/>
              <w:left w:w="15" w:type="dxa"/>
              <w:bottom w:w="0" w:type="dxa"/>
              <w:right w:w="15" w:type="dxa"/>
            </w:tcMar>
            <w:vAlign w:val="center"/>
          </w:tcPr>
          <w:p w14:paraId="0F72AAD1" w14:textId="77777777" w:rsidR="00CE6E0B" w:rsidRPr="00280D1A" w:rsidRDefault="00CE6E0B"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7 774</w:t>
            </w:r>
          </w:p>
        </w:tc>
        <w:tc>
          <w:tcPr>
            <w:tcW w:w="749" w:type="pct"/>
            <w:shd w:val="clear" w:color="auto" w:fill="C6D9F1"/>
            <w:noWrap/>
            <w:tcMar>
              <w:top w:w="15" w:type="dxa"/>
              <w:left w:w="15" w:type="dxa"/>
              <w:bottom w:w="0" w:type="dxa"/>
              <w:right w:w="15" w:type="dxa"/>
            </w:tcMar>
            <w:vAlign w:val="center"/>
          </w:tcPr>
          <w:p w14:paraId="3D0FCF1F" w14:textId="77777777" w:rsidR="00CE6E0B" w:rsidRPr="00280D1A" w:rsidRDefault="00CE6E0B"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3 156</w:t>
            </w:r>
          </w:p>
        </w:tc>
      </w:tr>
      <w:tr w:rsidR="00CE6E0B" w:rsidRPr="00211D55" w14:paraId="5CDDDD7F"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149CC27C" w14:textId="77777777" w:rsidR="00CE6E0B" w:rsidRPr="00A2672B" w:rsidRDefault="00CE6E0B"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468731CB" w14:textId="77777777" w:rsidR="00CE6E0B" w:rsidRPr="00252762"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4B8E1EB9" w14:textId="77777777" w:rsidR="00CE6E0B" w:rsidRPr="00DF1D8A" w:rsidRDefault="00CE6E0B" w:rsidP="0031289D">
      <w:pPr>
        <w:keepNext/>
        <w:bidi/>
        <w:spacing w:line="36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CE6E0B" w:rsidRPr="00211D55" w14:paraId="0EDC51EB" w14:textId="77777777" w:rsidTr="00BB3820">
        <w:trPr>
          <w:trHeight w:val="645"/>
        </w:trPr>
        <w:tc>
          <w:tcPr>
            <w:tcW w:w="1118" w:type="pct"/>
            <w:shd w:val="clear" w:color="auto" w:fill="C6D9F1"/>
            <w:noWrap/>
            <w:vAlign w:val="center"/>
            <w:hideMark/>
          </w:tcPr>
          <w:p w14:paraId="263D8137" w14:textId="77777777" w:rsidR="00CE6E0B" w:rsidRPr="00211D55" w:rsidRDefault="00CE6E0B"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2092E4F0"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3E658961"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58541EEF"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2E33A8B7"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CE6E0B" w:rsidRPr="00211D55" w14:paraId="3B7755AB" w14:textId="77777777" w:rsidTr="00BB3820">
        <w:trPr>
          <w:trHeight w:val="70"/>
        </w:trPr>
        <w:tc>
          <w:tcPr>
            <w:tcW w:w="1118" w:type="pct"/>
            <w:shd w:val="clear" w:color="auto" w:fill="auto"/>
            <w:noWrap/>
            <w:vAlign w:val="center"/>
            <w:hideMark/>
          </w:tcPr>
          <w:p w14:paraId="353F6B41"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5D027002" w14:textId="77777777" w:rsidR="00CE6E0B" w:rsidRPr="009D6224" w:rsidRDefault="00CE6E0B" w:rsidP="0031289D">
            <w:pPr>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 xml:space="preserve">4 551 </w:t>
            </w:r>
          </w:p>
        </w:tc>
        <w:tc>
          <w:tcPr>
            <w:tcW w:w="971" w:type="pct"/>
            <w:shd w:val="clear" w:color="auto" w:fill="auto"/>
            <w:vAlign w:val="center"/>
          </w:tcPr>
          <w:p w14:paraId="418FDCEF" w14:textId="77777777" w:rsidR="00CE6E0B" w:rsidRPr="009D6224" w:rsidRDefault="00CE6E0B" w:rsidP="0031289D">
            <w:pPr>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 xml:space="preserve">5 742 </w:t>
            </w:r>
          </w:p>
        </w:tc>
        <w:tc>
          <w:tcPr>
            <w:tcW w:w="970" w:type="pct"/>
            <w:shd w:val="clear" w:color="auto" w:fill="auto"/>
            <w:vAlign w:val="center"/>
          </w:tcPr>
          <w:p w14:paraId="471B9F5B" w14:textId="77777777" w:rsidR="00CE6E0B" w:rsidRPr="009D6224" w:rsidRDefault="00CE6E0B" w:rsidP="0031289D">
            <w:pPr>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 xml:space="preserve">2 309 </w:t>
            </w:r>
          </w:p>
        </w:tc>
        <w:tc>
          <w:tcPr>
            <w:tcW w:w="970" w:type="pct"/>
            <w:shd w:val="clear" w:color="auto" w:fill="auto"/>
            <w:vAlign w:val="center"/>
          </w:tcPr>
          <w:p w14:paraId="09BD3A6E" w14:textId="77777777" w:rsidR="00CE6E0B" w:rsidRPr="009D6224" w:rsidRDefault="00CE6E0B" w:rsidP="0031289D">
            <w:pPr>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%40</w:t>
            </w:r>
          </w:p>
        </w:tc>
      </w:tr>
      <w:tr w:rsidR="00CE6E0B" w:rsidRPr="00211D55" w14:paraId="72026616" w14:textId="77777777" w:rsidTr="00BB3820">
        <w:trPr>
          <w:trHeight w:val="70"/>
        </w:trPr>
        <w:tc>
          <w:tcPr>
            <w:tcW w:w="1118" w:type="pct"/>
            <w:shd w:val="clear" w:color="auto" w:fill="auto"/>
            <w:noWrap/>
            <w:vAlign w:val="center"/>
            <w:hideMark/>
          </w:tcPr>
          <w:p w14:paraId="6C1E5470"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629A4C4A" w14:textId="77777777" w:rsidR="00CE6E0B" w:rsidRPr="009D6224" w:rsidRDefault="00CE6E0B" w:rsidP="0031289D">
            <w:pPr>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 xml:space="preserve">1 208 </w:t>
            </w:r>
          </w:p>
        </w:tc>
        <w:tc>
          <w:tcPr>
            <w:tcW w:w="971" w:type="pct"/>
            <w:shd w:val="clear" w:color="auto" w:fill="auto"/>
            <w:vAlign w:val="center"/>
          </w:tcPr>
          <w:p w14:paraId="546D999C" w14:textId="77777777" w:rsidR="00CE6E0B" w:rsidRPr="009D6224" w:rsidRDefault="00CE6E0B" w:rsidP="0031289D">
            <w:pPr>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 xml:space="preserve">2 032 </w:t>
            </w:r>
          </w:p>
        </w:tc>
        <w:tc>
          <w:tcPr>
            <w:tcW w:w="970" w:type="pct"/>
            <w:shd w:val="clear" w:color="auto" w:fill="auto"/>
            <w:vAlign w:val="center"/>
          </w:tcPr>
          <w:p w14:paraId="0BAAD0A3" w14:textId="77777777" w:rsidR="00CE6E0B" w:rsidRPr="009D6224" w:rsidRDefault="00CE6E0B" w:rsidP="0031289D">
            <w:pPr>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 xml:space="preserve">847 </w:t>
            </w:r>
          </w:p>
        </w:tc>
        <w:tc>
          <w:tcPr>
            <w:tcW w:w="970" w:type="pct"/>
            <w:shd w:val="clear" w:color="auto" w:fill="auto"/>
            <w:vAlign w:val="center"/>
          </w:tcPr>
          <w:p w14:paraId="3312C453" w14:textId="77777777" w:rsidR="00CE6E0B" w:rsidRPr="009D6224" w:rsidRDefault="00CE6E0B" w:rsidP="0031289D">
            <w:pPr>
              <w:jc w:val="center"/>
              <w:rPr>
                <w:rFonts w:ascii="Arabic Typesetting" w:hAnsi="Arabic Typesetting" w:cs="Arabic Typesetting"/>
                <w:color w:val="000000"/>
                <w:sz w:val="28"/>
                <w:szCs w:val="28"/>
              </w:rPr>
            </w:pPr>
            <w:r w:rsidRPr="009D6224">
              <w:rPr>
                <w:rFonts w:ascii="Arabic Typesetting" w:hAnsi="Arabic Typesetting" w:cs="Arabic Typesetting"/>
                <w:color w:val="000000"/>
                <w:sz w:val="28"/>
                <w:szCs w:val="28"/>
              </w:rPr>
              <w:t>%42</w:t>
            </w:r>
          </w:p>
        </w:tc>
      </w:tr>
      <w:tr w:rsidR="00CE6E0B" w:rsidRPr="00211D55" w14:paraId="592B1C25" w14:textId="77777777" w:rsidTr="00AF6433">
        <w:trPr>
          <w:trHeight w:val="70"/>
        </w:trPr>
        <w:tc>
          <w:tcPr>
            <w:tcW w:w="1118" w:type="pct"/>
            <w:shd w:val="clear" w:color="auto" w:fill="C6D9F1"/>
            <w:noWrap/>
            <w:vAlign w:val="center"/>
            <w:hideMark/>
          </w:tcPr>
          <w:p w14:paraId="61135433" w14:textId="77777777" w:rsidR="00CE6E0B" w:rsidRPr="00211D55" w:rsidRDefault="00CE6E0B"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3D920C42" w14:textId="77777777" w:rsidR="00CE6E0B" w:rsidRPr="009D6224" w:rsidRDefault="00CE6E0B" w:rsidP="0031289D">
            <w:pPr>
              <w:jc w:val="center"/>
              <w:rPr>
                <w:rFonts w:ascii="Arabic Typesetting" w:hAnsi="Arabic Typesetting" w:cs="Arabic Typesetting"/>
                <w:b/>
                <w:bCs/>
                <w:color w:val="000000"/>
                <w:sz w:val="28"/>
                <w:szCs w:val="28"/>
              </w:rPr>
            </w:pPr>
            <w:r w:rsidRPr="009D6224">
              <w:rPr>
                <w:rFonts w:ascii="Arabic Typesetting" w:hAnsi="Arabic Typesetting" w:cs="Arabic Typesetting"/>
                <w:b/>
                <w:bCs/>
                <w:color w:val="000000"/>
                <w:sz w:val="28"/>
                <w:szCs w:val="28"/>
              </w:rPr>
              <w:t xml:space="preserve">5 758 </w:t>
            </w:r>
          </w:p>
        </w:tc>
        <w:tc>
          <w:tcPr>
            <w:tcW w:w="971" w:type="pct"/>
            <w:shd w:val="clear" w:color="auto" w:fill="C6D9F1"/>
            <w:vAlign w:val="center"/>
          </w:tcPr>
          <w:p w14:paraId="26ED10C0" w14:textId="77777777" w:rsidR="00CE6E0B" w:rsidRPr="009D6224" w:rsidRDefault="00CE6E0B" w:rsidP="0031289D">
            <w:pPr>
              <w:jc w:val="center"/>
              <w:rPr>
                <w:rFonts w:ascii="Arabic Typesetting" w:hAnsi="Arabic Typesetting" w:cs="Arabic Typesetting"/>
                <w:b/>
                <w:bCs/>
                <w:color w:val="000000"/>
                <w:sz w:val="28"/>
                <w:szCs w:val="28"/>
              </w:rPr>
            </w:pPr>
            <w:r w:rsidRPr="009D6224">
              <w:rPr>
                <w:rFonts w:ascii="Arabic Typesetting" w:hAnsi="Arabic Typesetting" w:cs="Arabic Typesetting"/>
                <w:b/>
                <w:bCs/>
                <w:color w:val="000000"/>
                <w:sz w:val="28"/>
                <w:szCs w:val="28"/>
              </w:rPr>
              <w:t xml:space="preserve">7 774 </w:t>
            </w:r>
          </w:p>
        </w:tc>
        <w:tc>
          <w:tcPr>
            <w:tcW w:w="970" w:type="pct"/>
            <w:shd w:val="clear" w:color="auto" w:fill="C6D9F1"/>
            <w:vAlign w:val="center"/>
          </w:tcPr>
          <w:p w14:paraId="6FA8683E" w14:textId="77777777" w:rsidR="00CE6E0B" w:rsidRPr="009D6224" w:rsidRDefault="00CE6E0B" w:rsidP="0031289D">
            <w:pPr>
              <w:jc w:val="center"/>
              <w:rPr>
                <w:rFonts w:ascii="Arabic Typesetting" w:hAnsi="Arabic Typesetting" w:cs="Arabic Typesetting"/>
                <w:b/>
                <w:bCs/>
                <w:color w:val="000000"/>
                <w:sz w:val="28"/>
                <w:szCs w:val="28"/>
              </w:rPr>
            </w:pPr>
            <w:r w:rsidRPr="009D6224">
              <w:rPr>
                <w:rFonts w:ascii="Arabic Typesetting" w:hAnsi="Arabic Typesetting" w:cs="Arabic Typesetting"/>
                <w:b/>
                <w:bCs/>
                <w:color w:val="000000"/>
                <w:sz w:val="28"/>
                <w:szCs w:val="28"/>
              </w:rPr>
              <w:t xml:space="preserve">3 156 </w:t>
            </w:r>
          </w:p>
        </w:tc>
        <w:tc>
          <w:tcPr>
            <w:tcW w:w="970" w:type="pct"/>
            <w:shd w:val="clear" w:color="auto" w:fill="C6D9F1"/>
            <w:vAlign w:val="center"/>
          </w:tcPr>
          <w:p w14:paraId="2AB41234" w14:textId="77777777" w:rsidR="00CE6E0B" w:rsidRPr="009D6224" w:rsidRDefault="00CE6E0B" w:rsidP="0031289D">
            <w:pPr>
              <w:jc w:val="center"/>
              <w:rPr>
                <w:rFonts w:ascii="Arabic Typesetting" w:hAnsi="Arabic Typesetting" w:cs="Arabic Typesetting"/>
                <w:b/>
                <w:bCs/>
                <w:color w:val="000000"/>
                <w:sz w:val="28"/>
                <w:szCs w:val="28"/>
              </w:rPr>
            </w:pPr>
            <w:r w:rsidRPr="009D6224">
              <w:rPr>
                <w:rFonts w:ascii="Arabic Typesetting" w:hAnsi="Arabic Typesetting" w:cs="Arabic Typesetting"/>
                <w:b/>
                <w:bCs/>
                <w:color w:val="000000"/>
                <w:sz w:val="28"/>
                <w:szCs w:val="28"/>
              </w:rPr>
              <w:t>%41</w:t>
            </w:r>
          </w:p>
        </w:tc>
      </w:tr>
      <w:tr w:rsidR="00CE6E0B" w:rsidRPr="00211D55" w14:paraId="66BA8AF7" w14:textId="77777777" w:rsidTr="00BB3820">
        <w:trPr>
          <w:trHeight w:val="540"/>
        </w:trPr>
        <w:tc>
          <w:tcPr>
            <w:tcW w:w="5000" w:type="pct"/>
            <w:gridSpan w:val="5"/>
            <w:shd w:val="clear" w:color="auto" w:fill="auto"/>
            <w:noWrap/>
            <w:vAlign w:val="center"/>
          </w:tcPr>
          <w:p w14:paraId="65E3ADAD" w14:textId="77777777" w:rsidR="00CE6E0B" w:rsidRDefault="00CE6E0B"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6A8AB7D0" w14:textId="77777777" w:rsidR="00CE6E0B" w:rsidRPr="00D41845" w:rsidRDefault="00CE6E0B"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1D720EDB" w14:textId="77777777" w:rsidR="00CE6E0B" w:rsidRPr="00706F20" w:rsidRDefault="00CE6E0B"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3BB0BB54" w14:textId="32B9ADB1" w:rsidR="00CE6E0B" w:rsidRDefault="00CE6E0B" w:rsidP="00FF57F6">
      <w:pPr>
        <w:numPr>
          <w:ilvl w:val="1"/>
          <w:numId w:val="82"/>
        </w:numPr>
        <w:bidi/>
        <w:spacing w:after="120" w:line="360" w:lineRule="exact"/>
        <w:ind w:left="0" w:firstLine="0"/>
        <w:rPr>
          <w:rFonts w:ascii="Arabic Typesetting" w:hAnsi="Arabic Typesetting" w:cs="Arabic Typesetting"/>
          <w:sz w:val="34"/>
          <w:szCs w:val="34"/>
        </w:rPr>
      </w:pPr>
      <w:r w:rsidRPr="005D75F8">
        <w:rPr>
          <w:rFonts w:ascii="Arabic Typesetting" w:hAnsi="Arabic Typesetting" w:cs="Arabic Typesetting"/>
          <w:sz w:val="34"/>
          <w:szCs w:val="34"/>
          <w:rtl/>
        </w:rPr>
        <w:t>تُعزى الزيادة في موارد الموظفين مقارنة ب</w:t>
      </w:r>
      <w:r>
        <w:rPr>
          <w:rFonts w:ascii="Arabic Typesetting" w:hAnsi="Arabic Typesetting" w:cs="Arabic Typesetting"/>
          <w:sz w:val="34"/>
          <w:szCs w:val="34"/>
          <w:rtl/>
        </w:rPr>
        <w:t xml:space="preserve">الميزانية المعتمدة 2016/17 إلى </w:t>
      </w:r>
      <w:r w:rsidRPr="005D75F8">
        <w:rPr>
          <w:rFonts w:ascii="Arabic Typesetting" w:hAnsi="Arabic Typesetting" w:cs="Arabic Typesetting"/>
          <w:sz w:val="34"/>
          <w:szCs w:val="34"/>
          <w:rtl/>
        </w:rPr>
        <w:t xml:space="preserve">"1" تحويل </w:t>
      </w:r>
      <w:r>
        <w:rPr>
          <w:rFonts w:ascii="Arabic Typesetting" w:hAnsi="Arabic Typesetting" w:cs="Arabic Typesetting" w:hint="cs"/>
          <w:sz w:val="34"/>
          <w:szCs w:val="34"/>
          <w:rtl/>
          <w:lang w:bidi="ar-EG"/>
        </w:rPr>
        <w:t xml:space="preserve">ويبو ليكس </w:t>
      </w:r>
      <w:r w:rsidRPr="005D75F8">
        <w:rPr>
          <w:rFonts w:ascii="Arabic Typesetting" w:hAnsi="Arabic Typesetting" w:cs="Arabic Typesetting"/>
          <w:sz w:val="34"/>
          <w:szCs w:val="34"/>
          <w:rtl/>
        </w:rPr>
        <w:t>من الإدارة التنفيذية (البرنامج</w:t>
      </w:r>
      <w:r>
        <w:rPr>
          <w:rFonts w:ascii="Arabic Typesetting" w:hAnsi="Arabic Typesetting" w:cs="Arabic Typesetting" w:hint="cs"/>
          <w:sz w:val="34"/>
          <w:szCs w:val="34"/>
          <w:rtl/>
        </w:rPr>
        <w:t> </w:t>
      </w:r>
      <w:r w:rsidRPr="005D75F8">
        <w:rPr>
          <w:rFonts w:ascii="Arabic Typesetting" w:hAnsi="Arabic Typesetting" w:cs="Arabic Typesetting"/>
          <w:sz w:val="34"/>
          <w:szCs w:val="34"/>
          <w:rtl/>
        </w:rPr>
        <w:t xml:space="preserve">21) إلى </w:t>
      </w:r>
      <w:r>
        <w:rPr>
          <w:rFonts w:ascii="Arabic Typesetting" w:hAnsi="Arabic Typesetting" w:cs="Arabic Typesetting" w:hint="cs"/>
          <w:sz w:val="34"/>
          <w:szCs w:val="34"/>
          <w:rtl/>
        </w:rPr>
        <w:t>البرنامج</w:t>
      </w:r>
      <w:r w:rsidRPr="005D75F8">
        <w:rPr>
          <w:rFonts w:ascii="Arabic Typesetting" w:hAnsi="Arabic Typesetting" w:cs="Arabic Typesetting"/>
          <w:sz w:val="34"/>
          <w:szCs w:val="34"/>
          <w:rtl/>
        </w:rPr>
        <w:t xml:space="preserve"> كما هو مبيَّن في النتيجة المرتقبة ه2.4 (</w:t>
      </w:r>
      <w:r w:rsidR="00FF57F6" w:rsidRPr="00FF57F6">
        <w:rPr>
          <w:rFonts w:ascii="Arabic Typesetting" w:hAnsi="Arabic Typesetting" w:cs="Arabic Typesetting"/>
          <w:sz w:val="34"/>
          <w:szCs w:val="34"/>
          <w:rtl/>
        </w:rPr>
        <w:t>نفاذ محسّن إلى المعلومات المتعلقة بالملكية الفكرية واستخدامها</w:t>
      </w:r>
      <w:r w:rsidRPr="005D75F8">
        <w:rPr>
          <w:rFonts w:ascii="Arabic Typesetting" w:hAnsi="Arabic Typesetting" w:cs="Arabic Typesetting"/>
          <w:sz w:val="34"/>
          <w:szCs w:val="34"/>
          <w:rtl/>
        </w:rPr>
        <w:t>)؛ "2" وتحويل منصبين لدعم عبء العمل المتزايد المتعلق برفع المجموعات الوطنية إلى ركن البراءات وتشغيل قاعدة</w:t>
      </w:r>
      <w:r>
        <w:rPr>
          <w:rFonts w:ascii="Arabic Typesetting" w:hAnsi="Arabic Typesetting" w:cs="Arabic Typesetting" w:hint="cs"/>
          <w:sz w:val="34"/>
          <w:szCs w:val="34"/>
          <w:rtl/>
        </w:rPr>
        <w:t> </w:t>
      </w:r>
      <w:r w:rsidRPr="00257704">
        <w:rPr>
          <w:rFonts w:ascii="Arabic Typesetting" w:hAnsi="Arabic Typesetting" w:cs="Arabic Typesetting"/>
          <w:spacing w:val="-3"/>
          <w:sz w:val="34"/>
          <w:szCs w:val="34"/>
          <w:rtl/>
        </w:rPr>
        <w:t>بيانات</w:t>
      </w:r>
      <w:r w:rsidRPr="005D75F8">
        <w:rPr>
          <w:rFonts w:ascii="Arabic Typesetting" w:hAnsi="Arabic Typesetting" w:cs="Arabic Typesetting"/>
          <w:sz w:val="34"/>
          <w:szCs w:val="34"/>
          <w:rtl/>
        </w:rPr>
        <w:t xml:space="preserve"> ويبو ليكس؛ "3" وإعادة تصنيف منصب واحد</w:t>
      </w:r>
      <w:r w:rsidRPr="005D75F8">
        <w:rPr>
          <w:rFonts w:ascii="Arabic Typesetting" w:hAnsi="Arabic Typesetting" w:cs="Arabic Typesetting"/>
          <w:sz w:val="34"/>
          <w:szCs w:val="34"/>
        </w:rPr>
        <w:t>.</w:t>
      </w:r>
    </w:p>
    <w:p w14:paraId="060F6235" w14:textId="203858DD" w:rsidR="00CE6E0B" w:rsidRPr="009D6224" w:rsidRDefault="00CE6E0B" w:rsidP="00AF6433">
      <w:pPr>
        <w:numPr>
          <w:ilvl w:val="1"/>
          <w:numId w:val="82"/>
        </w:numPr>
        <w:bidi/>
        <w:spacing w:after="120" w:line="360" w:lineRule="exact"/>
        <w:ind w:left="0" w:firstLine="0"/>
        <w:rPr>
          <w:rFonts w:ascii="Arabic Typesetting" w:hAnsi="Arabic Typesetting" w:cs="Arabic Typesetting"/>
          <w:spacing w:val="-3"/>
          <w:sz w:val="34"/>
          <w:szCs w:val="34"/>
        </w:rPr>
      </w:pPr>
      <w:r w:rsidRPr="009D6224">
        <w:rPr>
          <w:rFonts w:ascii="Arabic Typesetting" w:hAnsi="Arabic Typesetting" w:cs="Arabic Typesetting"/>
          <w:spacing w:val="-3"/>
          <w:sz w:val="34"/>
          <w:szCs w:val="34"/>
          <w:rtl/>
        </w:rPr>
        <w:t xml:space="preserve">وتبيِّن خلاف موارد الموظفين </w:t>
      </w:r>
      <w:r>
        <w:rPr>
          <w:rFonts w:ascii="Arabic Typesetting" w:hAnsi="Arabic Typesetting" w:cs="Arabic Typesetting"/>
          <w:spacing w:val="-3"/>
          <w:sz w:val="34"/>
          <w:szCs w:val="34"/>
          <w:rtl/>
        </w:rPr>
        <w:t xml:space="preserve">تسوية بالزيادة تعزى أساساً إلى </w:t>
      </w:r>
      <w:r w:rsidRPr="009D6224">
        <w:rPr>
          <w:rFonts w:ascii="Arabic Typesetting" w:hAnsi="Arabic Typesetting" w:cs="Arabic Typesetting"/>
          <w:spacing w:val="-3"/>
          <w:sz w:val="34"/>
          <w:szCs w:val="34"/>
          <w:rtl/>
        </w:rPr>
        <w:t xml:space="preserve">"1" تحويل </w:t>
      </w:r>
      <w:r w:rsidRPr="009D6224">
        <w:rPr>
          <w:rFonts w:ascii="Arabic Typesetting" w:hAnsi="Arabic Typesetting" w:cs="Arabic Typesetting" w:hint="cs"/>
          <w:spacing w:val="-3"/>
          <w:sz w:val="34"/>
          <w:szCs w:val="34"/>
          <w:rtl/>
        </w:rPr>
        <w:t xml:space="preserve">ويبو ليكس </w:t>
      </w:r>
      <w:r w:rsidRPr="009D6224">
        <w:rPr>
          <w:rFonts w:ascii="Arabic Typesetting" w:hAnsi="Arabic Typesetting" w:cs="Arabic Typesetting"/>
          <w:spacing w:val="-3"/>
          <w:sz w:val="34"/>
          <w:szCs w:val="34"/>
          <w:rtl/>
        </w:rPr>
        <w:t xml:space="preserve">من الإدارة التنفيذية (البرنامج 21) إلى </w:t>
      </w:r>
      <w:r w:rsidRPr="009D6224">
        <w:rPr>
          <w:rFonts w:ascii="Arabic Typesetting" w:hAnsi="Arabic Typesetting" w:cs="Arabic Typesetting" w:hint="cs"/>
          <w:spacing w:val="-3"/>
          <w:sz w:val="34"/>
          <w:szCs w:val="34"/>
          <w:rtl/>
        </w:rPr>
        <w:t>البرنامج</w:t>
      </w:r>
      <w:r w:rsidRPr="009D6224">
        <w:rPr>
          <w:rFonts w:ascii="Arabic Typesetting" w:hAnsi="Arabic Typesetting" w:cs="Arabic Typesetting"/>
          <w:spacing w:val="-3"/>
          <w:sz w:val="34"/>
          <w:szCs w:val="34"/>
          <w:rtl/>
        </w:rPr>
        <w:t>؛ "2" وتحويل مسؤولية مشاريع المساعدة الخاصة (مشروع البراءات اللاتينية ومشروع البراءات العربية) من</w:t>
      </w:r>
      <w:r w:rsidRPr="009D6224">
        <w:rPr>
          <w:rFonts w:ascii="Arabic Typesetting" w:hAnsi="Arabic Typesetting" w:cs="Arabic Typesetting" w:hint="cs"/>
          <w:spacing w:val="-3"/>
          <w:sz w:val="34"/>
          <w:szCs w:val="34"/>
          <w:rtl/>
        </w:rPr>
        <w:t> </w:t>
      </w:r>
      <w:r w:rsidRPr="009D6224">
        <w:rPr>
          <w:rFonts w:ascii="Arabic Typesetting" w:hAnsi="Arabic Typesetting" w:cs="Arabic Typesetting"/>
          <w:spacing w:val="-3"/>
          <w:sz w:val="34"/>
          <w:szCs w:val="34"/>
          <w:rtl/>
        </w:rPr>
        <w:t xml:space="preserve">خدمات النفاذ إلى المعلومات </w:t>
      </w:r>
      <w:r w:rsidR="00AF6433">
        <w:rPr>
          <w:rFonts w:ascii="Arabic Typesetting" w:hAnsi="Arabic Typesetting" w:cs="Arabic Typesetting" w:hint="cs"/>
          <w:spacing w:val="-3"/>
          <w:sz w:val="34"/>
          <w:szCs w:val="34"/>
          <w:rtl/>
        </w:rPr>
        <w:t>والمعرفة</w:t>
      </w:r>
      <w:r w:rsidRPr="009D6224">
        <w:rPr>
          <w:rFonts w:ascii="Arabic Typesetting" w:hAnsi="Arabic Typesetting" w:cs="Arabic Typesetting"/>
          <w:spacing w:val="-3"/>
          <w:sz w:val="34"/>
          <w:szCs w:val="34"/>
          <w:rtl/>
        </w:rPr>
        <w:t xml:space="preserve"> (البرنامج 14) إلى البرنامج؛ "3" وتكاليف إضافية لتلزيم رفع المجموعات الوطنية إلى مزود خدمات</w:t>
      </w:r>
      <w:r w:rsidRPr="009D6224">
        <w:rPr>
          <w:rFonts w:ascii="Arabic Typesetting" w:hAnsi="Arabic Typesetting" w:cs="Arabic Typesetting" w:hint="cs"/>
          <w:spacing w:val="-3"/>
          <w:sz w:val="34"/>
          <w:szCs w:val="34"/>
          <w:rtl/>
        </w:rPr>
        <w:t> </w:t>
      </w:r>
      <w:r w:rsidRPr="009D6224">
        <w:rPr>
          <w:rFonts w:ascii="Arabic Typesetting" w:hAnsi="Arabic Typesetting" w:cs="Arabic Typesetting"/>
          <w:spacing w:val="-3"/>
          <w:sz w:val="34"/>
          <w:szCs w:val="34"/>
          <w:rtl/>
        </w:rPr>
        <w:t>خارجي.</w:t>
      </w:r>
    </w:p>
    <w:p w14:paraId="173732D2" w14:textId="77777777" w:rsidR="00CE6E0B" w:rsidRPr="00706F20" w:rsidRDefault="00CE6E0B"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3BA5522B" w14:textId="492BC994" w:rsidR="00CE6E0B" w:rsidRDefault="00CE6E0B" w:rsidP="00D94CDB">
      <w:pPr>
        <w:numPr>
          <w:ilvl w:val="1"/>
          <w:numId w:val="82"/>
        </w:numPr>
        <w:bidi/>
        <w:spacing w:line="360" w:lineRule="exact"/>
        <w:ind w:left="0" w:firstLine="0"/>
        <w:rPr>
          <w:rFonts w:ascii="Arabic Typesetting" w:hAnsi="Arabic Typesetting" w:cs="Arabic Typesetting"/>
          <w:sz w:val="34"/>
          <w:szCs w:val="34"/>
          <w:rtl/>
        </w:rPr>
      </w:pPr>
      <w:r w:rsidRPr="005D75F8">
        <w:rPr>
          <w:rFonts w:ascii="Arabic Typesetting" w:hAnsi="Arabic Typesetting" w:cs="Arabic Typesetting"/>
          <w:sz w:val="34"/>
          <w:szCs w:val="34"/>
          <w:rtl/>
        </w:rPr>
        <w:t>كانت نسبة استخدام الميزانية ضمن النطاق المتوقع المتراوح بين 40 و60 بالمئة للسنة الأولى من الثنائية.</w:t>
      </w:r>
    </w:p>
    <w:p w14:paraId="7F9A80D7" w14:textId="66650B65" w:rsidR="00CE6E0B" w:rsidRDefault="00CE6E0B" w:rsidP="0031289D">
      <w:pPr>
        <w:spacing w:line="360" w:lineRule="exact"/>
        <w:rPr>
          <w:rFonts w:ascii="Arabic Typesetting" w:hAnsi="Arabic Typesetting" w:cs="Arabic Typesetting"/>
          <w:sz w:val="34"/>
          <w:szCs w:val="34"/>
          <w:rtl/>
        </w:rPr>
      </w:pPr>
      <w:r>
        <w:rPr>
          <w:rFonts w:ascii="Arabic Typesetting" w:hAnsi="Arabic Typesetting" w:cs="Arabic Typesetting"/>
          <w:sz w:val="34"/>
          <w:szCs w:val="34"/>
          <w:rtl/>
        </w:rPr>
        <w:br w:type="page"/>
      </w:r>
    </w:p>
    <w:p w14:paraId="197948D4" w14:textId="32870B60" w:rsidR="00CE6E0B" w:rsidRPr="00611558" w:rsidRDefault="00CE6E0B" w:rsidP="00DA7DF7">
      <w:pPr>
        <w:pStyle w:val="Heading3"/>
        <w:ind w:left="1984" w:hanging="1984"/>
      </w:pPr>
      <w:bookmarkStart w:id="35" w:name="_Toc482782762"/>
      <w:r w:rsidRPr="00611558">
        <w:rPr>
          <w:rtl/>
        </w:rPr>
        <w:lastRenderedPageBreak/>
        <w:t>البرنامج</w:t>
      </w:r>
      <w:r w:rsidRPr="00611558">
        <w:rPr>
          <w:rFonts w:hint="cs"/>
          <w:rtl/>
        </w:rPr>
        <w:t xml:space="preserve"> 14:</w:t>
      </w:r>
      <w:r w:rsidRPr="00611558">
        <w:tab/>
      </w:r>
      <w:r w:rsidRPr="00611558">
        <w:rPr>
          <w:rtl/>
        </w:rPr>
        <w:t xml:space="preserve">خدمات النفاذ إلى المعلومات </w:t>
      </w:r>
      <w:r w:rsidR="00FF57F6">
        <w:rPr>
          <w:rFonts w:hint="cs"/>
          <w:rtl/>
        </w:rPr>
        <w:t>والمعرفة</w:t>
      </w:r>
      <w:bookmarkEnd w:id="35"/>
    </w:p>
    <w:p w14:paraId="5CEBA80F" w14:textId="77777777" w:rsidR="00CE6E0B" w:rsidRDefault="00CE6E0B"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A86211">
        <w:rPr>
          <w:rFonts w:ascii="Arabic Typesetting" w:hAnsi="Arabic Typesetting" w:cs="Arabic Typesetting"/>
          <w:b/>
          <w:bCs/>
          <w:sz w:val="36"/>
          <w:szCs w:val="36"/>
          <w:rtl/>
          <w:lang w:val="fr-CH"/>
        </w:rPr>
        <w:t>السيد يوشيوكي تاكاغي</w:t>
      </w:r>
    </w:p>
    <w:p w14:paraId="579B2662" w14:textId="6A56B8D9" w:rsidR="00CE6E0B" w:rsidRDefault="009C2128"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16021EFF" wp14:editId="5B7B9366">
            <wp:extent cx="3577718" cy="21600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5000" w:type="pct"/>
        <w:tblInd w:w="58" w:type="dxa"/>
        <w:tblLayout w:type="fixed"/>
        <w:tblCellMar>
          <w:left w:w="115" w:type="dxa"/>
          <w:right w:w="115" w:type="dxa"/>
        </w:tblCellMar>
        <w:tblLook w:val="0000" w:firstRow="0" w:lastRow="0" w:firstColumn="0" w:lastColumn="0" w:noHBand="0" w:noVBand="0"/>
      </w:tblPr>
      <w:tblGrid>
        <w:gridCol w:w="2206"/>
        <w:gridCol w:w="2404"/>
        <w:gridCol w:w="1502"/>
        <w:gridCol w:w="2385"/>
        <w:gridCol w:w="974"/>
      </w:tblGrid>
      <w:tr w:rsidR="00CE6E0B" w:rsidRPr="00A86211" w14:paraId="391F728B" w14:textId="77777777" w:rsidTr="00BB3820">
        <w:trPr>
          <w:trHeight w:val="565"/>
        </w:trPr>
        <w:tc>
          <w:tcPr>
            <w:tcW w:w="5000" w:type="pct"/>
            <w:gridSpan w:val="5"/>
            <w:shd w:val="clear" w:color="auto" w:fill="C6D9F1"/>
            <w:tcMar>
              <w:left w:w="58" w:type="dxa"/>
              <w:right w:w="58" w:type="dxa"/>
            </w:tcMar>
            <w:vAlign w:val="center"/>
          </w:tcPr>
          <w:p w14:paraId="761C5CC2" w14:textId="1A679C3D" w:rsidR="00CE6E0B" w:rsidRPr="00A86211" w:rsidRDefault="00CE6E0B"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A86211">
              <w:rPr>
                <w:rFonts w:ascii="Arabic Typesetting" w:eastAsia="Arabic Typesetting" w:hAnsi="Arabic Typesetting" w:cs="Arabic Typesetting"/>
                <w:b/>
                <w:bCs/>
                <w:sz w:val="28"/>
                <w:szCs w:val="28"/>
                <w:rtl/>
                <w:lang w:eastAsia="ar-EG" w:bidi="ar-EG"/>
              </w:rPr>
              <w:t>‏النتيجة المرتقبة:</w:t>
            </w:r>
            <w:r w:rsidRPr="00A86211">
              <w:rPr>
                <w:rFonts w:ascii="Arabic Typesetting" w:eastAsia="Arabic Typesetting" w:hAnsi="Arabic Typesetting" w:cs="Arabic Typesetting"/>
                <w:sz w:val="28"/>
                <w:szCs w:val="28"/>
                <w:lang w:eastAsia="ar-EG" w:bidi="ar-EG"/>
              </w:rPr>
              <w:tab/>
            </w:r>
            <w:r w:rsidRPr="00A86211">
              <w:rPr>
                <w:rFonts w:ascii="Arabic Typesetting" w:eastAsia="Arabic Typesetting" w:hAnsi="Arabic Typesetting" w:cs="Arabic Typesetting"/>
                <w:color w:val="000000"/>
                <w:sz w:val="28"/>
                <w:szCs w:val="28"/>
                <w:rtl/>
                <w:lang w:eastAsia="ar-EG" w:bidi="ar-EG"/>
              </w:rPr>
              <w:t xml:space="preserve">ھ2.4 </w:t>
            </w:r>
            <w:r w:rsidR="007B1E0A">
              <w:rPr>
                <w:rFonts w:ascii="Arabic Typesetting" w:eastAsia="Arabic Typesetting" w:hAnsi="Arabic Typesetting" w:cs="Arabic Typesetting"/>
                <w:color w:val="000000"/>
                <w:sz w:val="28"/>
                <w:szCs w:val="28"/>
                <w:rtl/>
                <w:lang w:eastAsia="ar-EG" w:bidi="ar-EG"/>
              </w:rPr>
              <w:t>نفاذ محسّن إلى المعلومات المتعلقة بالملكية الفكرية واستخدامها من قبل مؤسسات الملكية الفكرية والجمهور لتشجيع الابتكار والإبداع</w:t>
            </w:r>
          </w:p>
        </w:tc>
      </w:tr>
      <w:tr w:rsidR="00CE6E0B" w:rsidRPr="00A86211" w14:paraId="348430DD" w14:textId="77777777" w:rsidTr="00BB3820">
        <w:tc>
          <w:tcPr>
            <w:tcW w:w="1165" w:type="pct"/>
            <w:shd w:val="clear" w:color="auto" w:fill="auto"/>
            <w:tcMar>
              <w:left w:w="58" w:type="dxa"/>
              <w:right w:w="58" w:type="dxa"/>
            </w:tcMar>
            <w:vAlign w:val="center"/>
          </w:tcPr>
          <w:p w14:paraId="0679FFEA" w14:textId="77777777" w:rsidR="00CE6E0B" w:rsidRPr="00A86211" w:rsidRDefault="00CE6E0B" w:rsidP="0031289D">
            <w:pPr>
              <w:keepNext/>
              <w:bidi/>
              <w:spacing w:after="120" w:line="280" w:lineRule="exact"/>
              <w:rPr>
                <w:rFonts w:ascii="Arabic Typesetting" w:eastAsia="Arabic Typesetting" w:hAnsi="Arabic Typesetting" w:cs="Arabic Typesetting"/>
                <w:b/>
                <w:bCs/>
                <w:sz w:val="28"/>
                <w:szCs w:val="28"/>
                <w:lang w:eastAsia="ar-EG" w:bidi="ar-EG"/>
              </w:rPr>
            </w:pPr>
            <w:r w:rsidRPr="00A86211">
              <w:rPr>
                <w:rFonts w:ascii="Arabic Typesetting" w:eastAsia="Arabic Typesetting" w:hAnsi="Arabic Typesetting" w:cs="Arabic Typesetting"/>
                <w:b/>
                <w:bCs/>
                <w:sz w:val="28"/>
                <w:szCs w:val="28"/>
                <w:rtl/>
                <w:lang w:eastAsia="ar-EG" w:bidi="ar-EG"/>
              </w:rPr>
              <w:t>مؤشرات الأداء</w:t>
            </w:r>
          </w:p>
        </w:tc>
        <w:tc>
          <w:tcPr>
            <w:tcW w:w="1269" w:type="pct"/>
            <w:shd w:val="clear" w:color="auto" w:fill="auto"/>
            <w:tcMar>
              <w:left w:w="58" w:type="dxa"/>
              <w:right w:w="58" w:type="dxa"/>
            </w:tcMar>
            <w:vAlign w:val="center"/>
          </w:tcPr>
          <w:p w14:paraId="115B5714" w14:textId="77777777" w:rsidR="00CE6E0B" w:rsidRPr="00A862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86211">
              <w:rPr>
                <w:rFonts w:ascii="Arabic Typesetting" w:eastAsia="Arabic Typesetting" w:hAnsi="Arabic Typesetting" w:cs="Arabic Typesetting"/>
                <w:b/>
                <w:bCs/>
                <w:sz w:val="28"/>
                <w:szCs w:val="28"/>
                <w:rtl/>
                <w:lang w:eastAsia="ar-EG" w:bidi="ar-EG"/>
              </w:rPr>
              <w:t>أسس المقارنة</w:t>
            </w:r>
          </w:p>
        </w:tc>
        <w:tc>
          <w:tcPr>
            <w:tcW w:w="793" w:type="pct"/>
            <w:shd w:val="clear" w:color="auto" w:fill="auto"/>
            <w:tcMar>
              <w:top w:w="110" w:type="dxa"/>
              <w:left w:w="58" w:type="dxa"/>
              <w:right w:w="58" w:type="dxa"/>
            </w:tcMar>
            <w:vAlign w:val="center"/>
          </w:tcPr>
          <w:p w14:paraId="78284E0A" w14:textId="77777777" w:rsidR="00CE6E0B" w:rsidRPr="00A862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86211">
              <w:rPr>
                <w:rFonts w:ascii="Arabic Typesetting" w:eastAsia="Arabic Typesetting" w:hAnsi="Arabic Typesetting" w:cs="Arabic Typesetting"/>
                <w:b/>
                <w:bCs/>
                <w:sz w:val="28"/>
                <w:szCs w:val="28"/>
                <w:rtl/>
                <w:lang w:eastAsia="ar-EG" w:bidi="ar-EG"/>
              </w:rPr>
              <w:t>الأهداف</w:t>
            </w:r>
          </w:p>
        </w:tc>
        <w:tc>
          <w:tcPr>
            <w:tcW w:w="1259" w:type="pct"/>
            <w:shd w:val="clear" w:color="auto" w:fill="FFFFFF"/>
            <w:tcMar>
              <w:top w:w="110" w:type="dxa"/>
              <w:left w:w="58" w:type="dxa"/>
              <w:right w:w="58" w:type="dxa"/>
            </w:tcMar>
            <w:vAlign w:val="center"/>
          </w:tcPr>
          <w:p w14:paraId="3D46C32E" w14:textId="77777777" w:rsidR="00CE6E0B" w:rsidRPr="00A86211" w:rsidRDefault="00CE6E0B" w:rsidP="0031289D">
            <w:pPr>
              <w:bidi/>
              <w:spacing w:after="120" w:line="280" w:lineRule="exact"/>
              <w:rPr>
                <w:rFonts w:ascii="Arabic Typesetting" w:eastAsia="Arabic Typesetting" w:hAnsi="Arabic Typesetting" w:cs="Arabic Typesetting"/>
                <w:b/>
                <w:bCs/>
                <w:sz w:val="28"/>
                <w:szCs w:val="28"/>
                <w:lang w:eastAsia="ar-EG" w:bidi="ar-EG"/>
              </w:rPr>
            </w:pPr>
            <w:r w:rsidRPr="00A86211">
              <w:rPr>
                <w:rFonts w:ascii="Arabic Typesetting" w:eastAsia="Arabic Typesetting" w:hAnsi="Arabic Typesetting" w:cs="Arabic Typesetting"/>
                <w:b/>
                <w:bCs/>
                <w:sz w:val="28"/>
                <w:szCs w:val="28"/>
                <w:rtl/>
                <w:lang w:eastAsia="ar-EG" w:bidi="ar-EG"/>
              </w:rPr>
              <w:t>بيانات الأداء</w:t>
            </w:r>
          </w:p>
        </w:tc>
        <w:tc>
          <w:tcPr>
            <w:tcW w:w="514" w:type="pct"/>
            <w:shd w:val="clear" w:color="auto" w:fill="auto"/>
            <w:tcMar>
              <w:top w:w="110" w:type="dxa"/>
              <w:left w:w="58" w:type="dxa"/>
              <w:right w:w="58" w:type="dxa"/>
            </w:tcMar>
            <w:vAlign w:val="center"/>
          </w:tcPr>
          <w:p w14:paraId="5EBA84C4" w14:textId="77777777" w:rsidR="00CE6E0B" w:rsidRPr="00A86211" w:rsidRDefault="00CE6E0B" w:rsidP="0031289D">
            <w:pPr>
              <w:keepNext/>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CE6E0B" w:rsidRPr="00A86211" w14:paraId="0B876DDE" w14:textId="77777777" w:rsidTr="00BB3820">
        <w:trPr>
          <w:trHeight w:val="1534"/>
        </w:trPr>
        <w:tc>
          <w:tcPr>
            <w:tcW w:w="1165" w:type="pct"/>
            <w:shd w:val="clear" w:color="auto" w:fill="auto"/>
            <w:tcMar>
              <w:left w:w="58" w:type="dxa"/>
              <w:right w:w="58" w:type="dxa"/>
            </w:tcMar>
          </w:tcPr>
          <w:p w14:paraId="4E536A12" w14:textId="77777777"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rtl/>
                <w:lang w:eastAsia="ar-EG" w:bidi="ar-EG"/>
              </w:rPr>
              <w:t>‏عدد الشبكات الوطنية المستدامة</w:t>
            </w:r>
            <w:r w:rsidRPr="00A86211">
              <w:rPr>
                <w:rFonts w:ascii="Arabic Typesetting" w:eastAsia="Arabic Typesetting" w:hAnsi="Arabic Typesetting" w:cs="Arabic Typesetting"/>
                <w:sz w:val="28"/>
                <w:szCs w:val="28"/>
                <w:vertAlign w:val="superscript"/>
                <w:lang w:eastAsia="ar-EG" w:bidi="ar-EG"/>
              </w:rPr>
              <w:footnoteReference w:id="60"/>
            </w:r>
            <w:r w:rsidRPr="00A86211">
              <w:rPr>
                <w:rFonts w:ascii="Arabic Typesetting" w:eastAsia="Arabic Typesetting" w:hAnsi="Arabic Typesetting" w:cs="Arabic Typesetting"/>
                <w:color w:val="000000"/>
                <w:sz w:val="28"/>
                <w:szCs w:val="28"/>
                <w:rtl/>
                <w:lang w:eastAsia="ar-EG" w:bidi="ar-EG"/>
              </w:rPr>
              <w:t xml:space="preserve"> لمراكز دعم الابتكار والتكنولوجيا </w:t>
            </w:r>
          </w:p>
          <w:p w14:paraId="711921EF" w14:textId="77777777"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rtl/>
                <w:lang w:eastAsia="ar-EG" w:bidi="ar-EG"/>
              </w:rPr>
              <w:t>(الأعداد تراكمية)</w:t>
            </w:r>
          </w:p>
        </w:tc>
        <w:tc>
          <w:tcPr>
            <w:tcW w:w="1269" w:type="pct"/>
            <w:shd w:val="clear" w:color="auto" w:fill="auto"/>
            <w:tcMar>
              <w:left w:w="58" w:type="dxa"/>
              <w:right w:w="58" w:type="dxa"/>
            </w:tcMar>
          </w:tcPr>
          <w:p w14:paraId="6C37AF27"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86211">
              <w:rPr>
                <w:rFonts w:ascii="Arabic Typesetting" w:eastAsia="Arabic Typesetting" w:hAnsi="Arabic Typesetting" w:cs="Arabic Typesetting"/>
                <w:color w:val="002060"/>
                <w:sz w:val="28"/>
                <w:szCs w:val="28"/>
                <w:rtl/>
                <w:lang w:eastAsia="ar-EG" w:bidi="ar-EG"/>
              </w:rPr>
              <w:t>24 شبكة مراكز وطنية مستدامة م</w:t>
            </w:r>
            <w:r>
              <w:rPr>
                <w:rFonts w:ascii="Arabic Typesetting" w:eastAsia="Arabic Typesetting" w:hAnsi="Arabic Typesetting" w:cs="Arabic Typesetting"/>
                <w:color w:val="002060"/>
                <w:sz w:val="28"/>
                <w:szCs w:val="28"/>
                <w:rtl/>
                <w:lang w:eastAsia="ar-EG" w:bidi="ar-EG"/>
              </w:rPr>
              <w:t>ن أصل 50 شبكة مراكز قائمة رسميا</w:t>
            </w:r>
          </w:p>
          <w:p w14:paraId="2F476993" w14:textId="77777777" w:rsidR="00CE6E0B" w:rsidRDefault="00CE6E0B" w:rsidP="0031289D">
            <w:pPr>
              <w:bidi/>
              <w:spacing w:line="280" w:lineRule="exact"/>
              <w:rPr>
                <w:rFonts w:ascii="Arabic Typesetting" w:eastAsia="Arabic Typesetting" w:hAnsi="Arabic Typesetting" w:cs="Arabic Typesetting"/>
                <w:color w:val="002060"/>
                <w:sz w:val="28"/>
                <w:szCs w:val="28"/>
                <w:rtl/>
                <w:lang w:eastAsia="ar-EG" w:bidi="ar-EG"/>
              </w:rPr>
            </w:pPr>
            <w:r w:rsidRPr="00A86211">
              <w:rPr>
                <w:rFonts w:ascii="Arabic Typesetting" w:eastAsia="Arabic Typesetting" w:hAnsi="Arabic Typesetting" w:cs="Arabic Typesetting"/>
                <w:color w:val="002060"/>
                <w:sz w:val="28"/>
                <w:szCs w:val="28"/>
                <w:rtl/>
                <w:lang w:eastAsia="ar-EG" w:bidi="ar-EG"/>
              </w:rPr>
              <w:t>مستوى النضج الأول:</w:t>
            </w:r>
          </w:p>
          <w:p w14:paraId="61A9F05C" w14:textId="77777777" w:rsidR="00CE6E0B" w:rsidRPr="00A86211" w:rsidRDefault="00CE6E0B" w:rsidP="0031289D">
            <w:pPr>
              <w:bidi/>
              <w:spacing w:line="280" w:lineRule="exact"/>
              <w:rPr>
                <w:rFonts w:ascii="Arabic Typesetting" w:eastAsia="Arabic Typesetting" w:hAnsi="Arabic Typesetting" w:cs="Arabic Typesetting"/>
                <w:color w:val="002060"/>
                <w:w w:val="90"/>
                <w:sz w:val="28"/>
                <w:szCs w:val="28"/>
                <w:lang w:eastAsia="ar-EG" w:bidi="ar-EG"/>
              </w:rPr>
            </w:pPr>
            <w:r w:rsidRPr="00A86211">
              <w:rPr>
                <w:rFonts w:ascii="Arabic Typesetting" w:eastAsia="Arabic Typesetting" w:hAnsi="Arabic Typesetting" w:cs="Arabic Typesetting"/>
                <w:color w:val="002060"/>
                <w:w w:val="90"/>
                <w:sz w:val="28"/>
                <w:szCs w:val="28"/>
                <w:rtl/>
                <w:lang w:eastAsia="ar-EG" w:bidi="ar-EG"/>
              </w:rPr>
              <w:t>أفريقيا</w:t>
            </w:r>
            <w:r w:rsidRPr="0028314D">
              <w:rPr>
                <w:rFonts w:ascii="Arabic Typesetting" w:eastAsia="Arabic Typesetting" w:hAnsi="Arabic Typesetting" w:cs="Arabic Typesetting"/>
                <w:color w:val="002060"/>
                <w:w w:val="90"/>
                <w:sz w:val="28"/>
                <w:szCs w:val="28"/>
                <w:rtl/>
                <w:lang w:eastAsia="ar-EG" w:bidi="ar-EG"/>
              </w:rPr>
              <w:t>:</w:t>
            </w:r>
            <w:r w:rsidRPr="0028314D">
              <w:rPr>
                <w:rFonts w:ascii="Arabic Typesetting" w:eastAsia="Arabic Typesetting" w:hAnsi="Arabic Typesetting" w:cs="Arabic Typesetting" w:hint="cs"/>
                <w:color w:val="002060"/>
                <w:w w:val="90"/>
                <w:sz w:val="28"/>
                <w:szCs w:val="28"/>
                <w:rtl/>
                <w:lang w:eastAsia="ar-EG" w:bidi="ar-EG"/>
              </w:rPr>
              <w:t xml:space="preserve"> </w:t>
            </w:r>
            <w:r w:rsidRPr="00A86211">
              <w:rPr>
                <w:rFonts w:ascii="Arabic Typesetting" w:eastAsia="Arabic Typesetting" w:hAnsi="Arabic Typesetting" w:cs="Arabic Typesetting"/>
                <w:color w:val="002060"/>
                <w:w w:val="90"/>
                <w:sz w:val="28"/>
                <w:szCs w:val="28"/>
                <w:rtl/>
                <w:lang w:eastAsia="ar-EG" w:bidi="ar-EG"/>
              </w:rPr>
              <w:t>(8 شبكات منها 7 في البلدان الأقل نموا)</w:t>
            </w:r>
          </w:p>
          <w:p w14:paraId="4F76EFF5" w14:textId="77777777" w:rsidR="00CE6E0B" w:rsidRPr="00A862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المنطقة العربية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86211">
              <w:rPr>
                <w:rFonts w:ascii="Arabic Typesetting" w:eastAsia="Arabic Typesetting" w:hAnsi="Arabic Typesetting" w:cs="Arabic Typesetting"/>
                <w:color w:val="002060"/>
                <w:sz w:val="28"/>
                <w:szCs w:val="28"/>
                <w:rtl/>
                <w:lang w:eastAsia="ar-EG" w:bidi="ar-EG"/>
              </w:rPr>
              <w:t>(1)</w:t>
            </w:r>
          </w:p>
          <w:p w14:paraId="20E0717B" w14:textId="77777777" w:rsidR="00CE6E0B" w:rsidRPr="00A862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آسيا والمحيط الهادئ</w:t>
            </w:r>
            <w:r>
              <w:rPr>
                <w:rFonts w:ascii="Arabic Typesetting" w:eastAsia="Arabic Typesetting" w:hAnsi="Arabic Typesetting" w:cs="Arabic Typesetting"/>
                <w:color w:val="002060"/>
                <w:sz w:val="28"/>
                <w:szCs w:val="28"/>
                <w:rtl/>
                <w:lang w:eastAsia="ar-EG" w:bidi="ar-EG"/>
              </w:rPr>
              <w:t>:</w:t>
            </w:r>
            <w:r w:rsidRPr="00A86211">
              <w:rPr>
                <w:rFonts w:ascii="Arabic Typesetting" w:eastAsia="Arabic Typesetting" w:hAnsi="Arabic Typesetting" w:cs="Arabic Typesetting"/>
                <w:color w:val="002060"/>
                <w:sz w:val="28"/>
                <w:szCs w:val="28"/>
                <w:rtl/>
                <w:lang w:eastAsia="ar-EG" w:bidi="ar-EG"/>
              </w:rPr>
              <w:t xml:space="preserve"> (3)</w:t>
            </w:r>
          </w:p>
          <w:p w14:paraId="5D6E4F9A" w14:textId="77777777" w:rsidR="00CE6E0B" w:rsidRPr="00A862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أمريكيا اللاتينية والكاريبي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86211">
              <w:rPr>
                <w:rFonts w:ascii="Arabic Typesetting" w:eastAsia="Arabic Typesetting" w:hAnsi="Arabic Typesetting" w:cs="Arabic Typesetting"/>
                <w:color w:val="002060"/>
                <w:sz w:val="28"/>
                <w:szCs w:val="28"/>
                <w:rtl/>
                <w:lang w:eastAsia="ar-EG" w:bidi="ar-EG"/>
              </w:rPr>
              <w:t>(5)</w:t>
            </w:r>
          </w:p>
          <w:p w14:paraId="6BF0B191"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(17 إجمالاً)</w:t>
            </w:r>
          </w:p>
          <w:p w14:paraId="0BD8F3BA" w14:textId="77777777" w:rsidR="00CE6E0B" w:rsidRPr="00A862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مستوى النضج الثاني:</w:t>
            </w:r>
          </w:p>
          <w:p w14:paraId="1D0AD75A" w14:textId="77777777" w:rsidR="00CE6E0B" w:rsidRPr="00A862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‏أفريقيا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86211">
              <w:rPr>
                <w:rFonts w:ascii="Arabic Typesetting" w:eastAsia="Arabic Typesetting" w:hAnsi="Arabic Typesetting" w:cs="Arabic Typesetting"/>
                <w:color w:val="002060"/>
                <w:sz w:val="28"/>
                <w:szCs w:val="28"/>
                <w:rtl/>
                <w:lang w:eastAsia="ar-EG" w:bidi="ar-EG"/>
              </w:rPr>
              <w:t>(شبكتان منه</w:t>
            </w:r>
            <w:r>
              <w:rPr>
                <w:rFonts w:ascii="Arabic Typesetting" w:eastAsia="Arabic Typesetting" w:hAnsi="Arabic Typesetting" w:cs="Arabic Typesetting" w:hint="cs"/>
                <w:color w:val="002060"/>
                <w:sz w:val="28"/>
                <w:szCs w:val="28"/>
                <w:rtl/>
                <w:lang w:eastAsia="ar-EG" w:bidi="ar-EG"/>
              </w:rPr>
              <w:t>م</w:t>
            </w:r>
            <w:r w:rsidRPr="00A86211">
              <w:rPr>
                <w:rFonts w:ascii="Arabic Typesetting" w:eastAsia="Arabic Typesetting" w:hAnsi="Arabic Typesetting" w:cs="Arabic Typesetting"/>
                <w:color w:val="002060"/>
                <w:sz w:val="28"/>
                <w:szCs w:val="28"/>
                <w:rtl/>
                <w:lang w:eastAsia="ar-EG" w:bidi="ar-EG"/>
              </w:rPr>
              <w:t>ا شبكة في البلدان الأقل نموا)</w:t>
            </w:r>
          </w:p>
          <w:p w14:paraId="43F454B0" w14:textId="77777777" w:rsidR="00CE6E0B" w:rsidRPr="00A862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أمريكيا اللاتينية والكاريبي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86211">
              <w:rPr>
                <w:rFonts w:ascii="Arabic Typesetting" w:eastAsia="Arabic Typesetting" w:hAnsi="Arabic Typesetting" w:cs="Arabic Typesetting"/>
                <w:color w:val="002060"/>
                <w:sz w:val="28"/>
                <w:szCs w:val="28"/>
                <w:rtl/>
                <w:lang w:eastAsia="ar-EG" w:bidi="ar-EG"/>
              </w:rPr>
              <w:t>(2)</w:t>
            </w:r>
          </w:p>
          <w:p w14:paraId="0F61B83C"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rtl/>
                <w:lang w:eastAsia="ar-EG" w:bidi="ar-EG"/>
              </w:rPr>
            </w:pPr>
            <w:r w:rsidRPr="00A86211">
              <w:rPr>
                <w:rFonts w:ascii="Arabic Typesetting" w:eastAsia="Arabic Typesetting" w:hAnsi="Arabic Typesetting" w:cs="Arabic Typesetting"/>
                <w:color w:val="002060"/>
                <w:sz w:val="28"/>
                <w:szCs w:val="28"/>
                <w:rtl/>
                <w:lang w:eastAsia="ar-EG" w:bidi="ar-EG"/>
              </w:rPr>
              <w:t>(4 إجمالاً)</w:t>
            </w:r>
          </w:p>
          <w:p w14:paraId="32E59689"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p>
          <w:p w14:paraId="2CCCDD36" w14:textId="77777777" w:rsidR="00CE6E0B" w:rsidRPr="00A862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lastRenderedPageBreak/>
              <w:t>مستوى النضج الثالث، بما في ذلك توفير خدمات ذات قيمة مضافة</w:t>
            </w:r>
            <w:r w:rsidRPr="0028314D">
              <w:rPr>
                <w:rFonts w:ascii="Arabic Typesetting" w:eastAsia="Arabic Typesetting" w:hAnsi="Arabic Typesetting" w:cs="Arabic Typesetting"/>
                <w:color w:val="002060"/>
                <w:sz w:val="28"/>
                <w:szCs w:val="28"/>
                <w:vertAlign w:val="superscript"/>
                <w:lang w:eastAsia="ar-EG" w:bidi="ar-EG"/>
              </w:rPr>
              <w:footnoteReference w:id="61"/>
            </w:r>
            <w:r w:rsidRPr="00A86211">
              <w:rPr>
                <w:rFonts w:ascii="Arabic Typesetting" w:eastAsia="Arabic Typesetting" w:hAnsi="Arabic Typesetting" w:cs="Arabic Typesetting"/>
                <w:color w:val="002060"/>
                <w:sz w:val="28"/>
                <w:szCs w:val="28"/>
                <w:rtl/>
                <w:lang w:eastAsia="ar-EG" w:bidi="ar-EG"/>
              </w:rPr>
              <w:t>:</w:t>
            </w:r>
          </w:p>
          <w:p w14:paraId="4A4F397B" w14:textId="77777777" w:rsidR="00CE6E0B" w:rsidRPr="00A862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المنطقة العربية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86211">
              <w:rPr>
                <w:rFonts w:ascii="Arabic Typesetting" w:eastAsia="Arabic Typesetting" w:hAnsi="Arabic Typesetting" w:cs="Arabic Typesetting"/>
                <w:color w:val="002060"/>
                <w:sz w:val="28"/>
                <w:szCs w:val="28"/>
                <w:rtl/>
                <w:lang w:eastAsia="ar-EG" w:bidi="ar-EG"/>
              </w:rPr>
              <w:t>(1)</w:t>
            </w:r>
          </w:p>
          <w:p w14:paraId="5C5D0DDB" w14:textId="77777777" w:rsidR="00CE6E0B" w:rsidRPr="00A862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آسيا والمحيط الهادئ</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86211">
              <w:rPr>
                <w:rFonts w:ascii="Arabic Typesetting" w:eastAsia="Arabic Typesetting" w:hAnsi="Arabic Typesetting" w:cs="Arabic Typesetting"/>
                <w:color w:val="002060"/>
                <w:sz w:val="28"/>
                <w:szCs w:val="28"/>
                <w:rtl/>
                <w:lang w:eastAsia="ar-EG" w:bidi="ar-EG"/>
              </w:rPr>
              <w:t>(1)</w:t>
            </w:r>
          </w:p>
          <w:p w14:paraId="78E97328" w14:textId="29D26DB8" w:rsidR="00CE6E0B" w:rsidRPr="00A86211" w:rsidRDefault="00AF6433" w:rsidP="0031289D">
            <w:pPr>
              <w:bidi/>
              <w:spacing w:line="280" w:lineRule="exact"/>
              <w:rPr>
                <w:rFonts w:ascii="Arabic Typesetting" w:eastAsia="Arabic Typesetting" w:hAnsi="Arabic Typesetting" w:cs="Arabic Typesetting"/>
                <w:color w:val="002060"/>
                <w:spacing w:val="-2"/>
                <w:w w:val="90"/>
                <w:sz w:val="28"/>
                <w:szCs w:val="28"/>
                <w:lang w:eastAsia="ar-EG" w:bidi="ar-EG"/>
              </w:rPr>
            </w:pPr>
            <w:r>
              <w:rPr>
                <w:rFonts w:ascii="Arabic Typesetting" w:eastAsia="Arabic Typesetting" w:hAnsi="Arabic Typesetting" w:cs="Arabic Typesetting"/>
                <w:color w:val="002060"/>
                <w:spacing w:val="-2"/>
                <w:w w:val="90"/>
                <w:sz w:val="28"/>
                <w:szCs w:val="28"/>
                <w:rtl/>
                <w:lang w:eastAsia="ar-EG" w:bidi="ar-EG"/>
              </w:rPr>
              <w:t>البلدان المتحولة</w:t>
            </w:r>
            <w:r w:rsidR="00CE6E0B" w:rsidRPr="0028314D">
              <w:rPr>
                <w:rFonts w:ascii="Arabic Typesetting" w:eastAsia="Arabic Typesetting" w:hAnsi="Arabic Typesetting" w:cs="Arabic Typesetting"/>
                <w:color w:val="002060"/>
                <w:spacing w:val="-2"/>
                <w:w w:val="90"/>
                <w:sz w:val="28"/>
                <w:szCs w:val="28"/>
                <w:rtl/>
                <w:lang w:eastAsia="ar-EG" w:bidi="ar-EG"/>
              </w:rPr>
              <w:t>:</w:t>
            </w:r>
            <w:r w:rsidR="00CE6E0B" w:rsidRPr="0028314D">
              <w:rPr>
                <w:rFonts w:ascii="Arabic Typesetting" w:eastAsia="Arabic Typesetting" w:hAnsi="Arabic Typesetting" w:cs="Arabic Typesetting" w:hint="cs"/>
                <w:color w:val="002060"/>
                <w:spacing w:val="-2"/>
                <w:w w:val="90"/>
                <w:sz w:val="28"/>
                <w:szCs w:val="28"/>
                <w:rtl/>
                <w:lang w:eastAsia="ar-EG" w:bidi="ar-EG"/>
              </w:rPr>
              <w:t xml:space="preserve"> </w:t>
            </w:r>
            <w:r w:rsidR="00CE6E0B" w:rsidRPr="00A86211">
              <w:rPr>
                <w:rFonts w:ascii="Arabic Typesetting" w:eastAsia="Arabic Typesetting" w:hAnsi="Arabic Typesetting" w:cs="Arabic Typesetting"/>
                <w:color w:val="002060"/>
                <w:spacing w:val="-2"/>
                <w:w w:val="90"/>
                <w:sz w:val="28"/>
                <w:szCs w:val="28"/>
                <w:rtl/>
                <w:lang w:eastAsia="ar-EG" w:bidi="ar-EG"/>
              </w:rPr>
              <w:t>(1)</w:t>
            </w:r>
          </w:p>
          <w:p w14:paraId="2EF3B540"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(3 إجمالاً)</w:t>
            </w:r>
          </w:p>
          <w:p w14:paraId="567D2B7F" w14:textId="77777777"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A86211">
              <w:rPr>
                <w:rFonts w:ascii="Arabic Typesetting" w:eastAsia="Arabic Typesetting" w:hAnsi="Arabic Typesetting" w:cs="Arabic Typesetting"/>
                <w:i/>
                <w:iCs/>
                <w:color w:val="000000"/>
                <w:sz w:val="28"/>
                <w:szCs w:val="28"/>
                <w:rtl/>
                <w:lang w:eastAsia="ar-EG" w:bidi="ar-EG"/>
              </w:rPr>
              <w:t>:</w:t>
            </w:r>
            <w:r w:rsidRPr="00A86211">
              <w:rPr>
                <w:rFonts w:ascii="Arabic Typesetting" w:eastAsia="Arabic Typesetting" w:hAnsi="Arabic Typesetting" w:cs="Arabic Typesetting"/>
                <w:i/>
                <w:color w:val="000000"/>
                <w:sz w:val="28"/>
                <w:szCs w:val="28"/>
                <w:lang w:eastAsia="ar-EG" w:bidi="ar-EG"/>
              </w:rPr>
              <w:br/>
            </w:r>
            <w:r w:rsidRPr="00A8621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A86211">
              <w:rPr>
                <w:rFonts w:ascii="Arabic Typesetting" w:eastAsia="Arabic Typesetting" w:hAnsi="Arabic Typesetting" w:cs="Arabic Typesetting"/>
                <w:color w:val="000000"/>
                <w:sz w:val="28"/>
                <w:szCs w:val="28"/>
                <w:rtl/>
                <w:lang w:eastAsia="ar-EG" w:bidi="ar-EG"/>
              </w:rPr>
              <w:t>20 شبكة مراكز وطنية مستدامة من أصل 45 شبكة مراكز قائمة رسميا (تراكميا)</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lang w:eastAsia="ar-EG" w:bidi="ar-EG"/>
              </w:rPr>
              <w:t xml:space="preserve"> </w:t>
            </w:r>
            <w:r w:rsidRPr="00A86211">
              <w:rPr>
                <w:rFonts w:ascii="Arabic Typesetting" w:eastAsia="Arabic Typesetting" w:hAnsi="Arabic Typesetting" w:cs="Arabic Typesetting"/>
                <w:color w:val="000000"/>
                <w:sz w:val="28"/>
                <w:szCs w:val="28"/>
                <w:rtl/>
                <w:lang w:eastAsia="ar-EG" w:bidi="ar-EG"/>
              </w:rPr>
              <w:t>أفريقيا (9 شبكات منها 6 في البلدان الأقل نمواً)؛ والمنطقة العربية (2)؛ وآسيا والمحيط الهادئ (3</w:t>
            </w:r>
            <w:r>
              <w:rPr>
                <w:rFonts w:ascii="Arabic Typesetting" w:eastAsia="Arabic Typesetting" w:hAnsi="Arabic Typesetting" w:cs="Arabic Typesetting"/>
                <w:color w:val="000000"/>
                <w:sz w:val="28"/>
                <w:szCs w:val="28"/>
                <w:lang w:eastAsia="ar-EG" w:bidi="ar-EG"/>
              </w:rPr>
              <w:t> </w:t>
            </w:r>
            <w:r w:rsidRPr="00A86211">
              <w:rPr>
                <w:rFonts w:ascii="Arabic Typesetting" w:eastAsia="Arabic Typesetting" w:hAnsi="Arabic Typesetting" w:cs="Arabic Typesetting"/>
                <w:color w:val="000000"/>
                <w:sz w:val="28"/>
                <w:szCs w:val="28"/>
                <w:rtl/>
                <w:lang w:eastAsia="ar-EG" w:bidi="ar-EG"/>
              </w:rPr>
              <w:t>شبكات منها شبكة في البلدان الأقل نمواً)؛ وأمريكا</w:t>
            </w:r>
            <w:r>
              <w:rPr>
                <w:rFonts w:ascii="Arabic Typesetting" w:eastAsia="Arabic Typesetting" w:hAnsi="Arabic Typesetting" w:cs="Arabic Typesetting" w:hint="cs"/>
                <w:color w:val="000000"/>
                <w:sz w:val="28"/>
                <w:szCs w:val="28"/>
                <w:rtl/>
                <w:lang w:eastAsia="ar-EG" w:bidi="ar-EG"/>
              </w:rPr>
              <w:t> </w:t>
            </w:r>
            <w:r w:rsidRPr="00A86211">
              <w:rPr>
                <w:rFonts w:ascii="Arabic Typesetting" w:eastAsia="Arabic Typesetting" w:hAnsi="Arabic Typesetting" w:cs="Arabic Typesetting"/>
                <w:color w:val="000000"/>
                <w:sz w:val="28"/>
                <w:szCs w:val="28"/>
                <w:rtl/>
                <w:lang w:eastAsia="ar-EG" w:bidi="ar-EG"/>
              </w:rPr>
              <w:t>اللاتينية والكاريبي (5)؛ وبعض</w:t>
            </w:r>
            <w:r>
              <w:rPr>
                <w:rFonts w:ascii="Arabic Typesetting" w:eastAsia="Arabic Typesetting" w:hAnsi="Arabic Typesetting" w:cs="Arabic Typesetting" w:hint="cs"/>
                <w:color w:val="000000"/>
                <w:sz w:val="28"/>
                <w:szCs w:val="28"/>
                <w:rtl/>
                <w:lang w:eastAsia="ar-EG" w:bidi="ar-EG"/>
              </w:rPr>
              <w:t> </w:t>
            </w:r>
            <w:r w:rsidRPr="00A86211">
              <w:rPr>
                <w:rFonts w:ascii="Arabic Typesetting" w:eastAsia="Arabic Typesetting" w:hAnsi="Arabic Typesetting" w:cs="Arabic Typesetting"/>
                <w:color w:val="000000"/>
                <w:sz w:val="28"/>
                <w:szCs w:val="28"/>
                <w:rtl/>
                <w:lang w:eastAsia="ar-EG" w:bidi="ar-EG"/>
              </w:rPr>
              <w:t>البلدان في أوروبا وآسيا</w:t>
            </w:r>
            <w:r>
              <w:rPr>
                <w:rFonts w:ascii="Arabic Typesetting" w:eastAsia="Arabic Typesetting" w:hAnsi="Arabic Typesetting" w:cs="Arabic Typesetting"/>
                <w:color w:val="000000"/>
                <w:sz w:val="28"/>
                <w:szCs w:val="28"/>
                <w:lang w:eastAsia="ar-EG" w:bidi="ar-EG"/>
              </w:rPr>
              <w:t> </w:t>
            </w:r>
            <w:r w:rsidRPr="00A86211">
              <w:rPr>
                <w:rFonts w:ascii="Arabic Typesetting" w:eastAsia="Arabic Typesetting" w:hAnsi="Arabic Typesetting" w:cs="Arabic Typesetting"/>
                <w:color w:val="000000"/>
                <w:sz w:val="28"/>
                <w:szCs w:val="28"/>
                <w:rtl/>
                <w:lang w:eastAsia="ar-EG" w:bidi="ar-EG"/>
              </w:rPr>
              <w:t>(1)</w:t>
            </w:r>
          </w:p>
        </w:tc>
        <w:tc>
          <w:tcPr>
            <w:tcW w:w="793" w:type="pct"/>
            <w:shd w:val="clear" w:color="auto" w:fill="auto"/>
            <w:tcMar>
              <w:top w:w="110" w:type="dxa"/>
              <w:left w:w="58" w:type="dxa"/>
              <w:right w:w="58" w:type="dxa"/>
            </w:tcMar>
          </w:tcPr>
          <w:p w14:paraId="1AFA7969"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i/>
                <w:iCs/>
                <w:color w:val="002060"/>
                <w:sz w:val="28"/>
                <w:szCs w:val="28"/>
                <w:rtl/>
                <w:lang w:eastAsia="ar-EG" w:bidi="ar-EG"/>
              </w:rPr>
              <w:lastRenderedPageBreak/>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86211">
              <w:rPr>
                <w:rFonts w:ascii="Arabic Typesetting" w:eastAsia="Arabic Typesetting" w:hAnsi="Arabic Typesetting" w:cs="Arabic Typesetting"/>
                <w:color w:val="002060"/>
                <w:sz w:val="28"/>
                <w:szCs w:val="28"/>
                <w:rtl/>
                <w:lang w:eastAsia="ar-EG" w:bidi="ar-EG"/>
              </w:rPr>
              <w:t>30 شبكة وطنية لمراكز دعم التكنولوجيا والابتكار (التراكمي)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A86211">
              <w:rPr>
                <w:rFonts w:ascii="Arabic Typesetting" w:eastAsia="Arabic Typesetting" w:hAnsi="Arabic Typesetting" w:cs="Arabic Typesetting"/>
                <w:color w:val="002060"/>
                <w:sz w:val="28"/>
                <w:szCs w:val="28"/>
                <w:rtl/>
                <w:lang w:eastAsia="ar-EG" w:bidi="ar-EG"/>
              </w:rPr>
              <w:t>‏</w:t>
            </w:r>
            <w:r w:rsidRPr="00A86211">
              <w:rPr>
                <w:rFonts w:ascii="Arabic Typesetting" w:eastAsia="Arabic Typesetting" w:hAnsi="Arabic Typesetting" w:cs="Arabic Typesetting"/>
                <w:color w:val="002060"/>
                <w:spacing w:val="-2"/>
                <w:sz w:val="28"/>
                <w:szCs w:val="28"/>
                <w:rtl/>
                <w:lang w:eastAsia="ar-EG" w:bidi="ar-EG"/>
              </w:rPr>
              <w:t>أفريقيا</w:t>
            </w:r>
            <w:r w:rsidRPr="0028314D">
              <w:rPr>
                <w:rFonts w:ascii="Arabic Typesetting" w:eastAsia="Arabic Typesetting" w:hAnsi="Arabic Typesetting" w:cs="Arabic Typesetting"/>
                <w:color w:val="002060"/>
                <w:spacing w:val="-2"/>
                <w:sz w:val="28"/>
                <w:szCs w:val="28"/>
                <w:rtl/>
                <w:lang w:eastAsia="ar-EG" w:bidi="ar-EG"/>
              </w:rPr>
              <w:t>:</w:t>
            </w:r>
            <w:r w:rsidRPr="0028314D">
              <w:rPr>
                <w:rFonts w:ascii="Arabic Typesetting" w:eastAsia="Arabic Typesetting" w:hAnsi="Arabic Typesetting" w:cs="Arabic Typesetting" w:hint="cs"/>
                <w:color w:val="002060"/>
                <w:spacing w:val="-2"/>
                <w:sz w:val="28"/>
                <w:szCs w:val="28"/>
                <w:rtl/>
                <w:lang w:eastAsia="ar-EG" w:bidi="ar-EG"/>
              </w:rPr>
              <w:t xml:space="preserve"> </w:t>
            </w:r>
            <w:r w:rsidRPr="00A86211">
              <w:rPr>
                <w:rFonts w:ascii="Arabic Typesetting" w:eastAsia="Arabic Typesetting" w:hAnsi="Arabic Typesetting" w:cs="Arabic Typesetting"/>
                <w:color w:val="002060"/>
                <w:spacing w:val="-2"/>
                <w:sz w:val="28"/>
                <w:szCs w:val="28"/>
                <w:rtl/>
                <w:lang w:eastAsia="ar-EG" w:bidi="ar-EG"/>
              </w:rPr>
              <w:t>(13 شبكة</w:t>
            </w:r>
            <w:r w:rsidRPr="0028314D">
              <w:rPr>
                <w:rFonts w:ascii="Arabic Typesetting" w:eastAsia="Arabic Typesetting" w:hAnsi="Arabic Typesetting" w:cs="Arabic Typesetting"/>
                <w:color w:val="002060"/>
                <w:spacing w:val="-2"/>
                <w:sz w:val="28"/>
                <w:szCs w:val="28"/>
                <w:rtl/>
                <w:lang w:eastAsia="ar-EG" w:bidi="ar-EG"/>
              </w:rPr>
              <w:t xml:space="preserve"> منها 9 في البلدان الأقل نموا)</w:t>
            </w:r>
          </w:p>
          <w:p w14:paraId="1610758F"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المنطقة العربية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86211">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t>2)؛</w:t>
            </w:r>
          </w:p>
          <w:p w14:paraId="107A9C36"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آسيا والمحيط الهادئ</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86211">
              <w:rPr>
                <w:rFonts w:ascii="Arabic Typesetting" w:eastAsia="Arabic Typesetting" w:hAnsi="Arabic Typesetting" w:cs="Arabic Typesetting"/>
                <w:color w:val="002060"/>
                <w:sz w:val="28"/>
                <w:szCs w:val="28"/>
                <w:rtl/>
                <w:lang w:eastAsia="ar-EG" w:bidi="ar-EG"/>
              </w:rPr>
              <w:t xml:space="preserve">(5 </w:t>
            </w:r>
            <w:r>
              <w:rPr>
                <w:rFonts w:ascii="Arabic Typesetting" w:eastAsia="Arabic Typesetting" w:hAnsi="Arabic Typesetting" w:cs="Arabic Typesetting" w:hint="cs"/>
                <w:color w:val="002060"/>
                <w:sz w:val="28"/>
                <w:szCs w:val="28"/>
                <w:rtl/>
                <w:lang w:eastAsia="ar-EG" w:bidi="ar-EG"/>
              </w:rPr>
              <w:t>شبكات</w:t>
            </w:r>
            <w:r>
              <w:rPr>
                <w:rFonts w:ascii="Arabic Typesetting" w:eastAsia="Arabic Typesetting" w:hAnsi="Arabic Typesetting" w:cs="Arabic Typesetting"/>
                <w:color w:val="002060"/>
                <w:sz w:val="28"/>
                <w:szCs w:val="28"/>
                <w:rtl/>
                <w:lang w:eastAsia="ar-EG" w:bidi="ar-EG"/>
              </w:rPr>
              <w:t xml:space="preserve"> منها 2 في البلدان الأقل نموا)</w:t>
            </w:r>
          </w:p>
          <w:p w14:paraId="4AC76C01"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rtl/>
                <w:lang w:eastAsia="ar-EG" w:bidi="ar-EG"/>
              </w:rPr>
              <w:t>أمريكا اللاتينية والكاريبي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86211">
              <w:rPr>
                <w:rFonts w:ascii="Arabic Typesetting" w:eastAsia="Arabic Typesetting" w:hAnsi="Arabic Typesetting" w:cs="Arabic Typesetting"/>
                <w:color w:val="002060"/>
                <w:sz w:val="28"/>
                <w:szCs w:val="28"/>
                <w:rtl/>
                <w:lang w:eastAsia="ar-EG" w:bidi="ar-EG"/>
              </w:rPr>
              <w:t>(9)</w:t>
            </w:r>
          </w:p>
          <w:p w14:paraId="5F873887" w14:textId="7B97A75D" w:rsidR="00CE6E0B" w:rsidRDefault="00AF6433" w:rsidP="0031289D">
            <w:pPr>
              <w:bidi/>
              <w:spacing w:after="120" w:line="280" w:lineRule="exact"/>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color w:val="002060"/>
                <w:sz w:val="28"/>
                <w:szCs w:val="28"/>
                <w:rtl/>
                <w:lang w:eastAsia="ar-EG" w:bidi="ar-EG"/>
              </w:rPr>
              <w:t>البلدان المتحولة</w:t>
            </w:r>
            <w:r w:rsidR="00CE6E0B">
              <w:rPr>
                <w:rFonts w:ascii="Arabic Typesetting" w:eastAsia="Arabic Typesetting" w:hAnsi="Arabic Typesetting" w:cs="Arabic Typesetting"/>
                <w:color w:val="002060"/>
                <w:sz w:val="28"/>
                <w:szCs w:val="28"/>
                <w:rtl/>
                <w:lang w:eastAsia="ar-EG" w:bidi="ar-EG"/>
              </w:rPr>
              <w:t>:</w:t>
            </w:r>
            <w:r w:rsidR="00CE6E0B">
              <w:rPr>
                <w:rFonts w:ascii="Arabic Typesetting" w:eastAsia="Arabic Typesetting" w:hAnsi="Arabic Typesetting" w:cs="Arabic Typesetting" w:hint="cs"/>
                <w:color w:val="002060"/>
                <w:sz w:val="28"/>
                <w:szCs w:val="28"/>
                <w:rtl/>
                <w:lang w:eastAsia="ar-EG" w:bidi="ar-EG"/>
              </w:rPr>
              <w:t xml:space="preserve"> </w:t>
            </w:r>
            <w:r w:rsidR="00CE6E0B" w:rsidRPr="00A86211">
              <w:rPr>
                <w:rFonts w:ascii="Arabic Typesetting" w:eastAsia="Arabic Typesetting" w:hAnsi="Arabic Typesetting" w:cs="Arabic Typesetting"/>
                <w:color w:val="002060"/>
                <w:sz w:val="28"/>
                <w:szCs w:val="28"/>
                <w:rtl/>
                <w:lang w:eastAsia="ar-EG" w:bidi="ar-EG"/>
              </w:rPr>
              <w:t>(1)</w:t>
            </w:r>
          </w:p>
          <w:p w14:paraId="61908EE6" w14:textId="77777777" w:rsidR="00CE6E0B" w:rsidRDefault="00CE6E0B" w:rsidP="0031289D">
            <w:pPr>
              <w:bidi/>
              <w:spacing w:line="280" w:lineRule="exact"/>
              <w:rPr>
                <w:rFonts w:ascii="Arabic Typesetting" w:eastAsia="Arabic Typesetting" w:hAnsi="Arabic Typesetting" w:cs="Arabic Typesetting"/>
                <w:i/>
                <w:iCs/>
                <w:color w:val="000000"/>
                <w:sz w:val="28"/>
                <w:szCs w:val="28"/>
                <w:lang w:eastAsia="ar-EG" w:bidi="ar-EG"/>
              </w:rPr>
            </w:pPr>
          </w:p>
          <w:p w14:paraId="01C6F110" w14:textId="77777777" w:rsidR="00CE6E0B" w:rsidRDefault="00CE6E0B" w:rsidP="0031289D">
            <w:pPr>
              <w:bidi/>
              <w:spacing w:line="280" w:lineRule="exact"/>
              <w:rPr>
                <w:rFonts w:ascii="Arabic Typesetting" w:eastAsia="Arabic Typesetting" w:hAnsi="Arabic Typesetting" w:cs="Arabic Typesetting"/>
                <w:i/>
                <w:iCs/>
                <w:color w:val="000000"/>
                <w:sz w:val="28"/>
                <w:szCs w:val="28"/>
                <w:lang w:eastAsia="ar-EG" w:bidi="ar-EG"/>
              </w:rPr>
            </w:pPr>
          </w:p>
          <w:p w14:paraId="481AAEAE" w14:textId="77777777" w:rsidR="00CE6E0B" w:rsidRDefault="00CE6E0B" w:rsidP="0031289D">
            <w:pPr>
              <w:bidi/>
              <w:spacing w:line="280" w:lineRule="exact"/>
              <w:rPr>
                <w:rFonts w:ascii="Arabic Typesetting" w:eastAsia="Arabic Typesetting" w:hAnsi="Arabic Typesetting" w:cs="Arabic Typesetting"/>
                <w:i/>
                <w:iCs/>
                <w:color w:val="000000"/>
                <w:sz w:val="28"/>
                <w:szCs w:val="28"/>
                <w:lang w:eastAsia="ar-EG" w:bidi="ar-EG"/>
              </w:rPr>
            </w:pPr>
          </w:p>
          <w:p w14:paraId="42AC2813" w14:textId="6D50D55B" w:rsidR="00CE6E0B" w:rsidRDefault="000C4432" w:rsidP="0031289D">
            <w:pPr>
              <w:bidi/>
              <w:spacing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i/>
                <w:iCs/>
                <w:color w:val="000000"/>
                <w:sz w:val="28"/>
                <w:szCs w:val="28"/>
                <w:rtl/>
                <w:lang w:eastAsia="ar-EG" w:bidi="ar-EG"/>
              </w:rPr>
              <w:lastRenderedPageBreak/>
              <w:t>الهدف الأصلي:</w:t>
            </w:r>
            <w:r>
              <w:rPr>
                <w:rFonts w:ascii="Arabic Typesetting" w:eastAsia="Arabic Typesetting" w:hAnsi="Arabic Typesetting" w:cs="Arabic Typesetting"/>
                <w:i/>
                <w:iCs/>
                <w:color w:val="000000"/>
                <w:sz w:val="28"/>
                <w:szCs w:val="28"/>
                <w:rtl/>
                <w:lang w:eastAsia="ar-EG" w:bidi="ar-EG"/>
              </w:rPr>
              <w:br/>
            </w:r>
            <w:r w:rsidR="00CE6E0B" w:rsidRPr="00A86211">
              <w:rPr>
                <w:rFonts w:ascii="Arabic Typesetting" w:eastAsia="Arabic Typesetting" w:hAnsi="Arabic Typesetting" w:cs="Arabic Typesetting"/>
                <w:i/>
                <w:iCs/>
                <w:color w:val="000000"/>
                <w:sz w:val="28"/>
                <w:szCs w:val="28"/>
                <w:rtl/>
                <w:lang w:eastAsia="ar-EG" w:bidi="ar-EG"/>
              </w:rPr>
              <w:t>برنامج وميزانية 2016/17</w:t>
            </w:r>
            <w:r w:rsidR="00CE6E0B">
              <w:rPr>
                <w:rFonts w:ascii="Arabic Typesetting" w:eastAsia="Arabic Typesetting" w:hAnsi="Arabic Typesetting" w:cs="Arabic Typesetting"/>
                <w:i/>
                <w:iCs/>
                <w:color w:val="000000"/>
                <w:sz w:val="28"/>
                <w:szCs w:val="28"/>
                <w:rtl/>
                <w:lang w:eastAsia="ar-EG" w:bidi="ar-EG"/>
              </w:rPr>
              <w:t>:</w:t>
            </w:r>
            <w:r w:rsidR="00CE6E0B">
              <w:rPr>
                <w:rFonts w:ascii="Arabic Typesetting" w:eastAsia="Arabic Typesetting" w:hAnsi="Arabic Typesetting" w:cs="Arabic Typesetting"/>
                <w:i/>
                <w:iCs/>
                <w:color w:val="000000"/>
                <w:sz w:val="28"/>
                <w:szCs w:val="28"/>
                <w:rtl/>
                <w:lang w:eastAsia="ar-EG" w:bidi="ar-EG"/>
              </w:rPr>
              <w:br/>
            </w:r>
            <w:r w:rsidR="00CE6E0B" w:rsidRPr="00A86211">
              <w:rPr>
                <w:rFonts w:ascii="Arabic Typesetting" w:eastAsia="Arabic Typesetting" w:hAnsi="Arabic Typesetting" w:cs="Arabic Typesetting"/>
                <w:color w:val="000000"/>
                <w:sz w:val="28"/>
                <w:szCs w:val="28"/>
                <w:rtl/>
                <w:lang w:eastAsia="ar-EG" w:bidi="ar-EG"/>
              </w:rPr>
              <w:t xml:space="preserve">30 شبكة وطنية لمراكز دعم التكنولوجيا </w:t>
            </w:r>
            <w:r w:rsidR="00CE6E0B" w:rsidRPr="00A86211">
              <w:rPr>
                <w:rFonts w:ascii="Arabic Typesetting" w:eastAsia="Arabic Typesetting" w:hAnsi="Arabic Typesetting" w:cs="Arabic Typesetting"/>
                <w:sz w:val="28"/>
                <w:szCs w:val="28"/>
                <w:rtl/>
                <w:lang w:eastAsia="ar-EG" w:bidi="ar-EG"/>
              </w:rPr>
              <w:t>والابتكار</w:t>
            </w:r>
            <w:r w:rsidR="00CE6E0B" w:rsidRPr="00A86211">
              <w:rPr>
                <w:rFonts w:ascii="Arabic Typesetting" w:eastAsia="Arabic Typesetting" w:hAnsi="Arabic Typesetting" w:cs="Arabic Typesetting"/>
                <w:color w:val="000000"/>
                <w:sz w:val="28"/>
                <w:szCs w:val="28"/>
                <w:rtl/>
                <w:lang w:eastAsia="ar-EG" w:bidi="ar-EG"/>
              </w:rPr>
              <w:t xml:space="preserve"> (التراكمي)</w:t>
            </w:r>
            <w:r w:rsidR="00CE6E0B">
              <w:rPr>
                <w:rFonts w:ascii="Arabic Typesetting" w:eastAsia="Arabic Typesetting" w:hAnsi="Arabic Typesetting" w:cs="Arabic Typesetting"/>
                <w:color w:val="000000"/>
                <w:sz w:val="28"/>
                <w:szCs w:val="28"/>
                <w:rtl/>
                <w:lang w:eastAsia="ar-EG" w:bidi="ar-EG"/>
              </w:rPr>
              <w:t>:</w:t>
            </w:r>
          </w:p>
          <w:p w14:paraId="618A29BB" w14:textId="77777777" w:rsidR="00CE6E0B" w:rsidRPr="00A86211" w:rsidRDefault="00CE6E0B" w:rsidP="0031289D">
            <w:pPr>
              <w:bidi/>
              <w:spacing w:line="280" w:lineRule="exact"/>
              <w:rPr>
                <w:rFonts w:ascii="Arabic Typesetting" w:eastAsia="Arabic Typesetting" w:hAnsi="Arabic Typesetting" w:cs="Arabic Typesetting"/>
                <w:color w:val="000000"/>
                <w:spacing w:val="-6"/>
                <w:sz w:val="28"/>
                <w:szCs w:val="28"/>
                <w:lang w:eastAsia="ar-EG" w:bidi="ar-EG"/>
              </w:rPr>
            </w:pPr>
            <w:r w:rsidRPr="00A86211">
              <w:rPr>
                <w:rFonts w:ascii="Arabic Typesetting" w:eastAsia="Arabic Typesetting" w:hAnsi="Arabic Typesetting" w:cs="Arabic Typesetting"/>
                <w:color w:val="000000"/>
                <w:spacing w:val="-6"/>
                <w:sz w:val="28"/>
                <w:szCs w:val="28"/>
                <w:rtl/>
                <w:lang w:eastAsia="ar-EG" w:bidi="ar-EG"/>
              </w:rPr>
              <w:t xml:space="preserve">أفريقيا (11 شبكة </w:t>
            </w:r>
            <w:r w:rsidRPr="0028314D">
              <w:rPr>
                <w:rFonts w:ascii="Arabic Typesetting" w:eastAsia="Arabic Typesetting" w:hAnsi="Arabic Typesetting" w:cs="Arabic Typesetting"/>
                <w:color w:val="000000"/>
                <w:spacing w:val="-6"/>
                <w:sz w:val="28"/>
                <w:szCs w:val="28"/>
                <w:rtl/>
                <w:lang w:eastAsia="ar-EG" w:bidi="ar-EG"/>
              </w:rPr>
              <w:t>منها 8 في البلدان الأقل نموا)؛</w:t>
            </w:r>
          </w:p>
          <w:p w14:paraId="0C6FDA0E" w14:textId="77777777" w:rsidR="00CE6E0B" w:rsidRPr="00A86211" w:rsidRDefault="00CE6E0B" w:rsidP="0031289D">
            <w:pPr>
              <w:bidi/>
              <w:spacing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rtl/>
                <w:lang w:eastAsia="ar-EG" w:bidi="ar-EG"/>
              </w:rPr>
              <w:t>‏المنطقة العربية (</w:t>
            </w:r>
            <w:r>
              <w:rPr>
                <w:rFonts w:ascii="Arabic Typesetting" w:eastAsia="Arabic Typesetting" w:hAnsi="Arabic Typesetting" w:cs="Arabic Typesetting"/>
                <w:color w:val="000000"/>
                <w:sz w:val="28"/>
                <w:szCs w:val="28"/>
                <w:rtl/>
                <w:lang w:eastAsia="ar-EG" w:bidi="ar-EG"/>
              </w:rPr>
              <w:t>4)؛</w:t>
            </w:r>
          </w:p>
          <w:p w14:paraId="3A0D0CE0" w14:textId="77777777" w:rsidR="00CE6E0B" w:rsidRPr="00A86211" w:rsidRDefault="00CE6E0B" w:rsidP="0031289D">
            <w:pPr>
              <w:bidi/>
              <w:spacing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rtl/>
                <w:lang w:eastAsia="ar-EG" w:bidi="ar-EG"/>
              </w:rPr>
              <w:t xml:space="preserve">آسيا والمحيط الهادئ (5 شبكات منها </w:t>
            </w:r>
            <w:r>
              <w:rPr>
                <w:rFonts w:ascii="Arabic Typesetting" w:eastAsia="Arabic Typesetting" w:hAnsi="Arabic Typesetting" w:cs="Arabic Typesetting" w:hint="cs"/>
                <w:color w:val="000000"/>
                <w:sz w:val="28"/>
                <w:szCs w:val="28"/>
                <w:rtl/>
                <w:lang w:eastAsia="ar-EG" w:bidi="ar-EG"/>
              </w:rPr>
              <w:t>2</w:t>
            </w:r>
            <w:r>
              <w:rPr>
                <w:rFonts w:ascii="Arabic Typesetting" w:eastAsia="Arabic Typesetting" w:hAnsi="Arabic Typesetting" w:cs="Arabic Typesetting"/>
                <w:color w:val="000000"/>
                <w:sz w:val="28"/>
                <w:szCs w:val="28"/>
                <w:rtl/>
                <w:lang w:eastAsia="ar-EG" w:bidi="ar-EG"/>
              </w:rPr>
              <w:t xml:space="preserve"> في البلدان الأقل نموا)؛</w:t>
            </w:r>
          </w:p>
          <w:p w14:paraId="21B3B349" w14:textId="77777777" w:rsidR="00CE6E0B" w:rsidRPr="00A86211" w:rsidRDefault="00CE6E0B" w:rsidP="0031289D">
            <w:pPr>
              <w:bidi/>
              <w:spacing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rtl/>
                <w:lang w:eastAsia="ar-EG" w:bidi="ar-EG"/>
              </w:rPr>
              <w:t>أمريكا اللاتينية والكاريبي (7)؛</w:t>
            </w:r>
          </w:p>
          <w:p w14:paraId="05F1BD0F" w14:textId="77777777"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highlight w:val="yellow"/>
                <w:lang w:eastAsia="ar-EG" w:bidi="ar-EG"/>
              </w:rPr>
            </w:pPr>
            <w:r w:rsidRPr="00A86211">
              <w:rPr>
                <w:rFonts w:ascii="Arabic Typesetting" w:eastAsia="Arabic Typesetting" w:hAnsi="Arabic Typesetting" w:cs="Arabic Typesetting"/>
                <w:color w:val="000000"/>
                <w:sz w:val="28"/>
                <w:szCs w:val="28"/>
                <w:rtl/>
                <w:lang w:eastAsia="ar-EG" w:bidi="ar-EG"/>
              </w:rPr>
              <w:t>بعض البلدان في أوروبا وآسيا (3)</w:t>
            </w:r>
          </w:p>
        </w:tc>
        <w:tc>
          <w:tcPr>
            <w:tcW w:w="1259" w:type="pct"/>
            <w:shd w:val="clear" w:color="auto" w:fill="FFFFFF"/>
            <w:tcMar>
              <w:top w:w="110" w:type="dxa"/>
              <w:left w:w="58" w:type="dxa"/>
              <w:right w:w="58" w:type="dxa"/>
            </w:tcMar>
          </w:tcPr>
          <w:p w14:paraId="25EE8B25" w14:textId="77777777" w:rsidR="00CE6E0B"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lastRenderedPageBreak/>
              <w:t>28 شبكة وطنية مستدامة (التراكمي</w:t>
            </w:r>
            <w:r>
              <w:rPr>
                <w:rFonts w:ascii="Arabic Typesetting" w:eastAsia="Arabic Typesetting" w:hAnsi="Arabic Typesetting" w:cs="Arabic Typesetting" w:hint="cs"/>
                <w:sz w:val="28"/>
                <w:szCs w:val="28"/>
                <w:rtl/>
                <w:lang w:eastAsia="ar-EG" w:bidi="ar-EG"/>
              </w:rPr>
              <w:t> </w:t>
            </w:r>
            <w:r w:rsidRPr="00A86211">
              <w:rPr>
                <w:rFonts w:ascii="Arabic Typesetting" w:eastAsia="Arabic Typesetting" w:hAnsi="Arabic Typesetting" w:cs="Arabic Typesetting"/>
                <w:sz w:val="28"/>
                <w:szCs w:val="28"/>
                <w:rtl/>
                <w:lang w:eastAsia="ar-EG" w:bidi="ar-EG"/>
              </w:rPr>
              <w:t>في نهاية عام 2016)</w:t>
            </w:r>
          </w:p>
          <w:p w14:paraId="4B5CC1BD"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مستوى النضج الأول:</w:t>
            </w:r>
          </w:p>
          <w:p w14:paraId="40814B73"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أفريقيا (3 شبكات منها شبكة في البلدان الأقل نموا)</w:t>
            </w:r>
          </w:p>
          <w:p w14:paraId="3B3841CF"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آسيا والمحيط الهادئ (2)</w:t>
            </w:r>
          </w:p>
          <w:p w14:paraId="78418387"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أمريكا اللاتينية والكاريبي (2)</w:t>
            </w:r>
          </w:p>
          <w:p w14:paraId="045FD060" w14:textId="77777777" w:rsidR="00CE6E0B"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(7 إجمالاً)</w:t>
            </w:r>
          </w:p>
          <w:p w14:paraId="6AC9AFF0"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مستوى النضج الثاني:</w:t>
            </w:r>
          </w:p>
          <w:p w14:paraId="566F8BD0"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أفريقيا (8 شبكات منها 6 في البلدان الأقل نموا)</w:t>
            </w:r>
          </w:p>
          <w:p w14:paraId="10538DB2"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المنطقة العربية (1)</w:t>
            </w:r>
          </w:p>
          <w:p w14:paraId="706FA50D"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آسيا والمحيط الهادئ (2)</w:t>
            </w:r>
          </w:p>
          <w:p w14:paraId="061BD731"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‏أمريكا اللاتينية والكاريبي (4)</w:t>
            </w:r>
          </w:p>
          <w:p w14:paraId="751B22D4" w14:textId="77777777" w:rsidR="00CE6E0B" w:rsidRDefault="00CE6E0B" w:rsidP="0031289D">
            <w:pPr>
              <w:bidi/>
              <w:spacing w:after="120"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(15 إجمالاً)</w:t>
            </w:r>
          </w:p>
          <w:p w14:paraId="2D14096A" w14:textId="77777777" w:rsidR="00CE6E0B" w:rsidRDefault="00CE6E0B" w:rsidP="0031289D">
            <w:pPr>
              <w:bidi/>
              <w:spacing w:line="280" w:lineRule="exact"/>
              <w:rPr>
                <w:rFonts w:ascii="Arabic Typesetting" w:eastAsia="Arabic Typesetting" w:hAnsi="Arabic Typesetting" w:cs="Arabic Typesetting"/>
                <w:sz w:val="28"/>
                <w:szCs w:val="28"/>
                <w:lang w:eastAsia="ar-EG" w:bidi="ar-EG"/>
              </w:rPr>
            </w:pPr>
          </w:p>
          <w:p w14:paraId="74B9FEA6" w14:textId="77777777" w:rsidR="00CE6E0B" w:rsidRDefault="00CE6E0B" w:rsidP="0031289D">
            <w:pPr>
              <w:bidi/>
              <w:spacing w:line="280" w:lineRule="exact"/>
              <w:rPr>
                <w:rFonts w:ascii="Arabic Typesetting" w:eastAsia="Arabic Typesetting" w:hAnsi="Arabic Typesetting" w:cs="Arabic Typesetting"/>
                <w:sz w:val="28"/>
                <w:szCs w:val="28"/>
                <w:lang w:eastAsia="ar-EG" w:bidi="ar-EG"/>
              </w:rPr>
            </w:pPr>
          </w:p>
          <w:p w14:paraId="1E6B09A9"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lastRenderedPageBreak/>
              <w:t>مستوى النضج الثالث، بما في ذلك توفير خدمات ذات قيمة مضافة</w:t>
            </w:r>
            <w:r w:rsidRPr="0028314D">
              <w:rPr>
                <w:rFonts w:ascii="Arabic Typesetting" w:eastAsia="Arabic Typesetting" w:hAnsi="Arabic Typesetting" w:cs="Arabic Typesetting"/>
                <w:sz w:val="28"/>
                <w:szCs w:val="28"/>
                <w:vertAlign w:val="superscript"/>
                <w:lang w:eastAsia="ar-EG" w:bidi="ar-EG"/>
              </w:rPr>
              <w:footnoteReference w:id="62"/>
            </w:r>
            <w:r w:rsidRPr="00A86211">
              <w:rPr>
                <w:rFonts w:ascii="Arabic Typesetting" w:eastAsia="Arabic Typesetting" w:hAnsi="Arabic Typesetting" w:cs="Arabic Typesetting"/>
                <w:sz w:val="28"/>
                <w:szCs w:val="28"/>
                <w:rtl/>
                <w:lang w:eastAsia="ar-EG" w:bidi="ar-EG"/>
              </w:rPr>
              <w:t>:</w:t>
            </w:r>
          </w:p>
          <w:p w14:paraId="0B5E6CD8"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أفريقيا (1)</w:t>
            </w:r>
          </w:p>
          <w:p w14:paraId="408242C8"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المنطقة العربية (1)</w:t>
            </w:r>
          </w:p>
          <w:p w14:paraId="6048C1DB"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آسيا والمحيط الهادئ (1)</w:t>
            </w:r>
          </w:p>
          <w:p w14:paraId="6241C82C" w14:textId="77777777" w:rsidR="00CE6E0B" w:rsidRPr="00A86211" w:rsidRDefault="00CE6E0B" w:rsidP="0031289D">
            <w:pPr>
              <w:bidi/>
              <w:spacing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‏أمريكا اللاتينية والكاريبي (2)</w:t>
            </w:r>
          </w:p>
          <w:p w14:paraId="10A9231E" w14:textId="0E201EA9" w:rsidR="00CE6E0B" w:rsidRPr="00A86211" w:rsidRDefault="00AF6433" w:rsidP="0031289D">
            <w:pPr>
              <w:bidi/>
              <w:spacing w:line="280" w:lineRule="exact"/>
              <w:rPr>
                <w:rFonts w:ascii="Arabic Typesetting" w:eastAsia="Arabic Typesetting" w:hAnsi="Arabic Typesetting" w:cs="Arabic Typesetting"/>
                <w:spacing w:val="-2"/>
                <w:w w:val="90"/>
                <w:sz w:val="28"/>
                <w:szCs w:val="28"/>
                <w:lang w:eastAsia="ar-EG" w:bidi="ar-EG"/>
              </w:rPr>
            </w:pPr>
            <w:r>
              <w:rPr>
                <w:rFonts w:ascii="Arabic Typesetting" w:eastAsia="Arabic Typesetting" w:hAnsi="Arabic Typesetting" w:cs="Arabic Typesetting"/>
                <w:spacing w:val="-2"/>
                <w:w w:val="90"/>
                <w:sz w:val="28"/>
                <w:szCs w:val="28"/>
                <w:rtl/>
                <w:lang w:eastAsia="ar-EG" w:bidi="ar-EG"/>
              </w:rPr>
              <w:t>البلدان المتحولة</w:t>
            </w:r>
            <w:r w:rsidR="00CE6E0B" w:rsidRPr="00A86211">
              <w:rPr>
                <w:rFonts w:ascii="Arabic Typesetting" w:eastAsia="Arabic Typesetting" w:hAnsi="Arabic Typesetting" w:cs="Arabic Typesetting"/>
                <w:spacing w:val="-2"/>
                <w:w w:val="90"/>
                <w:sz w:val="28"/>
                <w:szCs w:val="28"/>
                <w:rtl/>
                <w:lang w:eastAsia="ar-EG" w:bidi="ar-EG"/>
              </w:rPr>
              <w:t xml:space="preserve"> (</w:t>
            </w:r>
            <w:r w:rsidR="00CE6E0B" w:rsidRPr="0028314D">
              <w:rPr>
                <w:rFonts w:ascii="Arabic Typesetting" w:eastAsia="Arabic Typesetting" w:hAnsi="Arabic Typesetting" w:cs="Arabic Typesetting"/>
                <w:spacing w:val="-2"/>
                <w:w w:val="90"/>
                <w:sz w:val="28"/>
                <w:szCs w:val="28"/>
                <w:rtl/>
                <w:lang w:eastAsia="ar-EG" w:bidi="ar-EG"/>
              </w:rPr>
              <w:t>1)</w:t>
            </w:r>
          </w:p>
          <w:p w14:paraId="43B4F54A" w14:textId="77777777"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sz w:val="28"/>
                <w:szCs w:val="28"/>
                <w:rtl/>
                <w:lang w:eastAsia="ar-EG" w:bidi="ar-EG"/>
              </w:rPr>
              <w:t>(6 إجمالاً)</w:t>
            </w:r>
          </w:p>
        </w:tc>
        <w:tc>
          <w:tcPr>
            <w:tcW w:w="514" w:type="pct"/>
            <w:shd w:val="clear" w:color="auto" w:fill="auto"/>
            <w:tcMar>
              <w:top w:w="110" w:type="dxa"/>
              <w:left w:w="58" w:type="dxa"/>
              <w:right w:w="58" w:type="dxa"/>
            </w:tcMar>
          </w:tcPr>
          <w:p w14:paraId="1032E4FD" w14:textId="77777777" w:rsidR="00CE6E0B" w:rsidRPr="00A86211" w:rsidRDefault="00CE6E0B" w:rsidP="0031289D">
            <w:pPr>
              <w:keepNext/>
              <w:bidi/>
              <w:spacing w:after="120" w:line="280" w:lineRule="exact"/>
              <w:jc w:val="center"/>
              <w:rPr>
                <w:rFonts w:ascii="Arabic Typesetting" w:eastAsia="Arabic Typesetting" w:hAnsi="Arabic Typesetting" w:cs="Arabic Typesetting"/>
                <w:b/>
                <w:color w:val="000000"/>
                <w:sz w:val="28"/>
                <w:szCs w:val="28"/>
                <w:lang w:eastAsia="ar-EG" w:bidi="ar-EG"/>
              </w:rPr>
            </w:pPr>
            <w:r w:rsidRPr="00A86211">
              <w:rPr>
                <w:rFonts w:ascii="Arabic Typesetting" w:eastAsia="Arabic Typesetting" w:hAnsi="Arabic Typesetting" w:cs="Arabic Typesetting"/>
                <w:b/>
                <w:bCs/>
                <w:color w:val="00B050"/>
                <w:sz w:val="28"/>
                <w:szCs w:val="28"/>
                <w:rtl/>
                <w:lang w:eastAsia="ar-EG" w:bidi="ar-EG"/>
              </w:rPr>
              <w:lastRenderedPageBreak/>
              <w:t>ثابت</w:t>
            </w:r>
          </w:p>
        </w:tc>
      </w:tr>
      <w:tr w:rsidR="00CE6E0B" w:rsidRPr="00A86211" w14:paraId="1D063FE0" w14:textId="77777777" w:rsidTr="00BB3820">
        <w:trPr>
          <w:trHeight w:val="1315"/>
        </w:trPr>
        <w:tc>
          <w:tcPr>
            <w:tcW w:w="1165" w:type="pct"/>
            <w:shd w:val="clear" w:color="auto" w:fill="auto"/>
            <w:tcMar>
              <w:left w:w="58" w:type="dxa"/>
              <w:right w:w="58" w:type="dxa"/>
            </w:tcMar>
          </w:tcPr>
          <w:p w14:paraId="658E9AB7" w14:textId="77777777"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rtl/>
                <w:lang w:eastAsia="ar-EG" w:bidi="ar-EG"/>
              </w:rPr>
              <w:lastRenderedPageBreak/>
              <w:t>متوسط عدد المستخدمين الذين حصلوا على خدمات مراكز دعم التكنولوجيا والابتكار سنويا</w:t>
            </w:r>
          </w:p>
        </w:tc>
        <w:tc>
          <w:tcPr>
            <w:tcW w:w="1269" w:type="pct"/>
            <w:shd w:val="clear" w:color="auto" w:fill="auto"/>
            <w:tcMar>
              <w:left w:w="58" w:type="dxa"/>
              <w:right w:w="58" w:type="dxa"/>
            </w:tcMar>
          </w:tcPr>
          <w:p w14:paraId="2AD239BF" w14:textId="4472938D" w:rsidR="00CE6E0B" w:rsidRDefault="00CE6E0B" w:rsidP="007F2033">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86211">
              <w:rPr>
                <w:rFonts w:ascii="Arabic Typesetting" w:eastAsia="Arabic Typesetting" w:hAnsi="Arabic Typesetting" w:cs="Arabic Typesetting"/>
                <w:color w:val="002060"/>
                <w:sz w:val="28"/>
                <w:szCs w:val="28"/>
                <w:rtl/>
                <w:lang w:eastAsia="ar-EG" w:bidi="ar-EG"/>
              </w:rPr>
              <w:t>874 (حد أدنى) - 2631 (حد</w:t>
            </w:r>
            <w:r>
              <w:rPr>
                <w:rFonts w:ascii="Arabic Typesetting" w:eastAsia="Arabic Typesetting" w:hAnsi="Arabic Typesetting" w:cs="Arabic Typesetting" w:hint="cs"/>
                <w:color w:val="002060"/>
                <w:sz w:val="28"/>
                <w:szCs w:val="28"/>
                <w:rtl/>
                <w:lang w:eastAsia="ar-EG" w:bidi="ar-EG"/>
              </w:rPr>
              <w:t> </w:t>
            </w:r>
            <w:r w:rsidRPr="00A86211">
              <w:rPr>
                <w:rFonts w:ascii="Arabic Typesetting" w:eastAsia="Arabic Typesetting" w:hAnsi="Arabic Typesetting" w:cs="Arabic Typesetting"/>
                <w:color w:val="002060"/>
                <w:sz w:val="28"/>
                <w:szCs w:val="28"/>
                <w:rtl/>
                <w:lang w:eastAsia="ar-EG" w:bidi="ar-EG"/>
              </w:rPr>
              <w:t>أقصى) = متوسط 1730</w:t>
            </w:r>
          </w:p>
          <w:p w14:paraId="5DFE1101" w14:textId="77777777" w:rsidR="00CE6E0B" w:rsidRPr="00A86211" w:rsidRDefault="00CE6E0B" w:rsidP="0031289D">
            <w:pPr>
              <w:bidi/>
              <w:spacing w:after="120" w:line="280" w:lineRule="exact"/>
              <w:ind w:left="5" w:firstLineChars="19" w:firstLine="53"/>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A86211">
              <w:rPr>
                <w:rFonts w:ascii="Arabic Typesetting" w:eastAsia="Arabic Typesetting" w:hAnsi="Arabic Typesetting" w:cs="Arabic Typesetting"/>
                <w:i/>
                <w:iCs/>
                <w:sz w:val="28"/>
                <w:szCs w:val="28"/>
                <w:rtl/>
                <w:lang w:eastAsia="ar-EG" w:bidi="ar-EG"/>
              </w:rPr>
              <w:t>:</w:t>
            </w:r>
            <w:r w:rsidRPr="00A86211">
              <w:rPr>
                <w:rFonts w:ascii="Arabic Typesetting" w:eastAsia="Arabic Typesetting" w:hAnsi="Arabic Typesetting" w:cs="Arabic Typesetting"/>
                <w:i/>
                <w:sz w:val="28"/>
                <w:szCs w:val="28"/>
                <w:lang w:eastAsia="ar-EG" w:bidi="ar-EG"/>
              </w:rPr>
              <w:br/>
            </w:r>
            <w:r w:rsidRPr="00A862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86211">
              <w:rPr>
                <w:rFonts w:ascii="Arabic Typesetting" w:eastAsia="Arabic Typesetting" w:hAnsi="Arabic Typesetting" w:cs="Arabic Typesetting"/>
                <w:color w:val="000000"/>
                <w:sz w:val="28"/>
                <w:szCs w:val="28"/>
                <w:rtl/>
                <w:lang w:eastAsia="ar-EG" w:bidi="ar-EG"/>
              </w:rPr>
              <w:t>‏ما بين 548 (</w:t>
            </w:r>
            <w:r>
              <w:rPr>
                <w:rFonts w:ascii="Arabic Typesetting" w:eastAsia="Arabic Typesetting" w:hAnsi="Arabic Typesetting" w:cs="Arabic Typesetting" w:hint="cs"/>
                <w:color w:val="000000"/>
                <w:sz w:val="28"/>
                <w:szCs w:val="28"/>
                <w:rtl/>
                <w:lang w:eastAsia="ar-EG" w:bidi="ar-EG"/>
              </w:rPr>
              <w:t>حد أدنى</w:t>
            </w:r>
            <w:r w:rsidRPr="00A86211">
              <w:rPr>
                <w:rFonts w:ascii="Arabic Typesetting" w:eastAsia="Arabic Typesetting" w:hAnsi="Arabic Typesetting" w:cs="Arabic Typesetting"/>
                <w:color w:val="000000"/>
                <w:sz w:val="28"/>
                <w:szCs w:val="28"/>
                <w:rtl/>
                <w:lang w:eastAsia="ar-EG" w:bidi="ar-EG"/>
              </w:rPr>
              <w:t>) و1625</w:t>
            </w:r>
            <w:r>
              <w:rPr>
                <w:rFonts w:ascii="Arabic Typesetting" w:eastAsia="Arabic Typesetting" w:hAnsi="Arabic Typesetting" w:cs="Arabic Typesetting" w:hint="cs"/>
                <w:color w:val="000000"/>
                <w:sz w:val="28"/>
                <w:szCs w:val="28"/>
                <w:rtl/>
                <w:lang w:eastAsia="ar-EG" w:bidi="ar-EG"/>
              </w:rPr>
              <w:t> </w:t>
            </w:r>
            <w:r w:rsidRPr="00A86211">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حد أقصى</w:t>
            </w:r>
            <w:r w:rsidRPr="00A86211">
              <w:rPr>
                <w:rFonts w:ascii="Arabic Typesetting" w:eastAsia="Arabic Typesetting" w:hAnsi="Arabic Typesetting" w:cs="Arabic Typesetting"/>
                <w:color w:val="000000"/>
                <w:sz w:val="28"/>
                <w:szCs w:val="28"/>
                <w:rtl/>
                <w:lang w:eastAsia="ar-EG" w:bidi="ar-EG"/>
              </w:rPr>
              <w:t>)</w:t>
            </w:r>
          </w:p>
        </w:tc>
        <w:tc>
          <w:tcPr>
            <w:tcW w:w="793" w:type="pct"/>
            <w:shd w:val="clear" w:color="auto" w:fill="auto"/>
            <w:tcMar>
              <w:top w:w="110" w:type="dxa"/>
              <w:left w:w="58" w:type="dxa"/>
              <w:right w:w="58" w:type="dxa"/>
            </w:tcMar>
          </w:tcPr>
          <w:p w14:paraId="76DF2B2D" w14:textId="402E1C48" w:rsidR="00CE6E0B" w:rsidRPr="007F2033" w:rsidRDefault="00CE6E0B" w:rsidP="007F2033">
            <w:pPr>
              <w:bidi/>
              <w:spacing w:after="120" w:line="280" w:lineRule="exact"/>
              <w:rPr>
                <w:rFonts w:ascii="Arabic Typesetting" w:eastAsia="Arabic Typesetting" w:hAnsi="Arabic Typesetting" w:cs="Arabic Typesetting"/>
                <w:iCs/>
                <w:color w:val="002060"/>
                <w:sz w:val="28"/>
                <w:szCs w:val="28"/>
                <w:lang w:eastAsia="ar-EG" w:bidi="ar-EG"/>
              </w:rPr>
            </w:pPr>
            <w:r w:rsidRPr="00A8621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7F2033">
              <w:rPr>
                <w:rFonts w:ascii="Arabic Typesetting" w:eastAsia="Arabic Typesetting" w:hAnsi="Arabic Typesetting" w:cs="Arabic Typesetting"/>
                <w:color w:val="002060"/>
                <w:sz w:val="28"/>
                <w:szCs w:val="28"/>
                <w:rtl/>
                <w:lang w:eastAsia="ar-EG" w:bidi="ar-EG"/>
              </w:rPr>
              <w:t>3500</w:t>
            </w:r>
          </w:p>
          <w:p w14:paraId="0BCD43BC" w14:textId="0035F672" w:rsidR="00CE6E0B" w:rsidRPr="00A86211" w:rsidRDefault="00CE6E0B" w:rsidP="007F2033">
            <w:pPr>
              <w:bidi/>
              <w:spacing w:after="120" w:line="280" w:lineRule="exact"/>
              <w:ind w:left="-3" w:firstLineChars="25" w:firstLine="70"/>
              <w:rPr>
                <w:rFonts w:ascii="Arabic Typesetting" w:eastAsia="Arabic Typesetting" w:hAnsi="Arabic Typesetting" w:cs="Arabic Typesetting"/>
                <w:i/>
                <w:color w:val="000000"/>
                <w:sz w:val="28"/>
                <w:szCs w:val="28"/>
                <w:lang w:eastAsia="ar-EG" w:bidi="ar-EG"/>
              </w:rPr>
            </w:pPr>
            <w:r w:rsidRPr="00A86211">
              <w:rPr>
                <w:rFonts w:ascii="Arabic Typesetting" w:eastAsia="Arabic Typesetting" w:hAnsi="Arabic Typesetting" w:cs="Arabic Typesetting"/>
                <w:i/>
                <w:iCs/>
                <w:color w:val="000000"/>
                <w:sz w:val="28"/>
                <w:szCs w:val="28"/>
                <w:rtl/>
                <w:lang w:eastAsia="ar-EG" w:bidi="ar-EG"/>
              </w:rPr>
              <w:t>الهدف الأصلي:</w:t>
            </w:r>
            <w:r w:rsidR="007F2033">
              <w:rPr>
                <w:rFonts w:ascii="Arabic Typesetting" w:eastAsia="Arabic Typesetting" w:hAnsi="Arabic Typesetting" w:cs="Arabic Typesetting"/>
                <w:i/>
                <w:iCs/>
                <w:color w:val="000000"/>
                <w:sz w:val="28"/>
                <w:szCs w:val="28"/>
                <w:rtl/>
                <w:lang w:eastAsia="ar-EG" w:bidi="ar-EG"/>
              </w:rPr>
              <w:br/>
            </w:r>
            <w:r w:rsidR="007F2033">
              <w:rPr>
                <w:rFonts w:ascii="Arabic Typesetting" w:eastAsia="Arabic Typesetting" w:hAnsi="Arabic Typesetting" w:cs="Arabic Typesetting" w:hint="cs"/>
                <w:i/>
                <w:iCs/>
                <w:color w:val="000000"/>
                <w:sz w:val="28"/>
                <w:szCs w:val="28"/>
                <w:rtl/>
                <w:lang w:eastAsia="ar-EG" w:bidi="ar-EG"/>
              </w:rPr>
              <w:t>1100</w:t>
            </w:r>
          </w:p>
        </w:tc>
        <w:tc>
          <w:tcPr>
            <w:tcW w:w="1259" w:type="pct"/>
            <w:shd w:val="clear" w:color="auto" w:fill="FFFFFF"/>
            <w:tcMar>
              <w:top w:w="110" w:type="dxa"/>
              <w:left w:w="58" w:type="dxa"/>
              <w:right w:w="58" w:type="dxa"/>
            </w:tcMar>
          </w:tcPr>
          <w:p w14:paraId="5CAC2803" w14:textId="77777777" w:rsidR="00CE6E0B" w:rsidRPr="00A86211" w:rsidRDefault="00CE6E0B"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rtl/>
                <w:lang w:eastAsia="ar-EG" w:bidi="ar-EG"/>
              </w:rPr>
              <w:t>1750 مستخدماً استفادوا من خدمات مراكز دعم التكنولوجيا والابتكار في عام 2016</w:t>
            </w:r>
          </w:p>
        </w:tc>
        <w:tc>
          <w:tcPr>
            <w:tcW w:w="514" w:type="pct"/>
            <w:shd w:val="clear" w:color="auto" w:fill="auto"/>
            <w:tcMar>
              <w:top w:w="110" w:type="dxa"/>
              <w:left w:w="58" w:type="dxa"/>
              <w:right w:w="58" w:type="dxa"/>
            </w:tcMar>
          </w:tcPr>
          <w:p w14:paraId="5387D514" w14:textId="77777777" w:rsidR="00CE6E0B" w:rsidRPr="00A86211" w:rsidRDefault="00CE6E0B" w:rsidP="0031289D">
            <w:pPr>
              <w:keepNext/>
              <w:bidi/>
              <w:spacing w:after="120" w:line="280" w:lineRule="exact"/>
              <w:jc w:val="center"/>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b/>
                <w:bCs/>
                <w:color w:val="00B050"/>
                <w:sz w:val="28"/>
                <w:szCs w:val="28"/>
                <w:rtl/>
                <w:lang w:eastAsia="ar-EG" w:bidi="ar-EG"/>
              </w:rPr>
              <w:t>ثابت</w:t>
            </w:r>
          </w:p>
        </w:tc>
      </w:tr>
      <w:tr w:rsidR="00C61D0D" w:rsidRPr="00A86211" w14:paraId="31843B46" w14:textId="77777777" w:rsidTr="00BB3820">
        <w:trPr>
          <w:trHeight w:val="1855"/>
        </w:trPr>
        <w:tc>
          <w:tcPr>
            <w:tcW w:w="1165" w:type="pct"/>
            <w:shd w:val="clear" w:color="auto" w:fill="auto"/>
            <w:tcMar>
              <w:left w:w="58" w:type="dxa"/>
              <w:right w:w="58" w:type="dxa"/>
            </w:tcMar>
          </w:tcPr>
          <w:p w14:paraId="3B3889E8" w14:textId="74BA1ED1" w:rsidR="00C61D0D" w:rsidRPr="00A86211" w:rsidRDefault="00C61D0D" w:rsidP="0031289D">
            <w:pPr>
              <w:bidi/>
              <w:spacing w:after="120"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عدد الدول الأعضاء المتعاونة مع قواعد البيانات العالمية من كل منطقة</w:t>
            </w:r>
          </w:p>
        </w:tc>
        <w:tc>
          <w:tcPr>
            <w:tcW w:w="1269" w:type="pct"/>
            <w:shd w:val="clear" w:color="auto" w:fill="auto"/>
            <w:tcMar>
              <w:left w:w="58" w:type="dxa"/>
              <w:right w:w="58" w:type="dxa"/>
            </w:tcMar>
          </w:tcPr>
          <w:p w14:paraId="14FA83F1" w14:textId="7D918B47" w:rsidR="00C61D0D" w:rsidRDefault="00C61D0D" w:rsidP="00673F64">
            <w:pPr>
              <w:bidi/>
              <w:spacing w:after="60" w:line="280" w:lineRule="exact"/>
              <w:rPr>
                <w:rFonts w:ascii="Arabic Typesetting" w:eastAsia="Arabic Typesetting" w:hAnsi="Arabic Typesetting" w:cs="Arabic Typesetting"/>
                <w:color w:val="002060"/>
                <w:sz w:val="28"/>
                <w:szCs w:val="28"/>
                <w:rtl/>
                <w:lang w:eastAsia="ar-EG" w:bidi="ar-EG"/>
              </w:rPr>
            </w:pPr>
            <w:r w:rsidRPr="00A862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hint="cs"/>
                <w:i/>
                <w:iCs/>
                <w:color w:val="002060"/>
                <w:sz w:val="28"/>
                <w:szCs w:val="28"/>
                <w:rtl/>
                <w:lang w:eastAsia="ar-EG" w:bidi="ar-EG"/>
              </w:rPr>
              <w:br/>
            </w:r>
            <w:r w:rsidRPr="00C61D0D">
              <w:rPr>
                <w:rFonts w:ascii="Arabic Typesetting" w:eastAsia="Arabic Typesetting" w:hAnsi="Arabic Typesetting" w:cs="Arabic Typesetting" w:hint="cs"/>
                <w:color w:val="002060"/>
                <w:sz w:val="28"/>
                <w:szCs w:val="28"/>
                <w:rtl/>
                <w:lang w:eastAsia="ar-EG" w:bidi="ar-EG"/>
              </w:rPr>
              <w:t>ركن البراءات (19):</w:t>
            </w:r>
            <w:r>
              <w:rPr>
                <w:rFonts w:ascii="Arabic Typesetting" w:eastAsia="Arabic Typesetting" w:hAnsi="Arabic Typesetting" w:cs="Arabic Typesetting"/>
                <w:color w:val="002060"/>
                <w:sz w:val="28"/>
                <w:szCs w:val="28"/>
                <w:rtl/>
                <w:lang w:eastAsia="ar-EG" w:bidi="ar-EG"/>
              </w:rPr>
              <w:br/>
            </w:r>
            <w:r>
              <w:rPr>
                <w:rFonts w:ascii="Arabic Typesetting" w:eastAsia="Arabic Typesetting" w:hAnsi="Arabic Typesetting" w:cs="Arabic Typesetting" w:hint="cs"/>
                <w:color w:val="002060"/>
                <w:sz w:val="28"/>
                <w:szCs w:val="28"/>
                <w:rtl/>
                <w:lang w:eastAsia="ar-EG" w:bidi="ar-EG"/>
              </w:rPr>
              <w:t xml:space="preserve">- </w:t>
            </w:r>
            <w:r w:rsidR="00E03348">
              <w:rPr>
                <w:rFonts w:ascii="Arabic Typesetting" w:eastAsia="Arabic Typesetting" w:hAnsi="Arabic Typesetting" w:cs="Arabic Typesetting"/>
                <w:color w:val="002060"/>
                <w:sz w:val="28"/>
                <w:szCs w:val="28"/>
                <w:lang w:eastAsia="ar-EG" w:bidi="ar-EG"/>
              </w:rPr>
              <w:t>ARABPAT</w:t>
            </w:r>
            <w:r>
              <w:rPr>
                <w:rFonts w:ascii="Arabic Typesetting" w:eastAsia="Arabic Typesetting" w:hAnsi="Arabic Typesetting" w:cs="Arabic Typesetting" w:hint="cs"/>
                <w:color w:val="002060"/>
                <w:sz w:val="28"/>
                <w:szCs w:val="28"/>
                <w:rtl/>
                <w:lang w:eastAsia="ar-EG" w:bidi="ar-EG"/>
              </w:rPr>
              <w:t xml:space="preserve"> (4)</w:t>
            </w:r>
            <w:r>
              <w:rPr>
                <w:rFonts w:ascii="Arabic Typesetting" w:eastAsia="Arabic Typesetting" w:hAnsi="Arabic Typesetting" w:cs="Arabic Typesetting" w:hint="cs"/>
                <w:color w:val="002060"/>
                <w:sz w:val="28"/>
                <w:szCs w:val="28"/>
                <w:rtl/>
                <w:lang w:eastAsia="ar-EG" w:bidi="ar-EG"/>
              </w:rPr>
              <w:br/>
              <w:t xml:space="preserve">- </w:t>
            </w:r>
            <w:r w:rsidR="00E03348">
              <w:rPr>
                <w:rFonts w:ascii="Arabic Typesetting" w:eastAsia="Arabic Typesetting" w:hAnsi="Arabic Typesetting" w:cs="Arabic Typesetting"/>
                <w:color w:val="002060"/>
                <w:sz w:val="28"/>
                <w:szCs w:val="28"/>
                <w:lang w:eastAsia="ar-EG" w:bidi="ar-EG"/>
              </w:rPr>
              <w:t>LATIPAT</w:t>
            </w:r>
            <w:r>
              <w:rPr>
                <w:rFonts w:ascii="Arabic Typesetting" w:eastAsia="Arabic Typesetting" w:hAnsi="Arabic Typesetting" w:cs="Arabic Typesetting" w:hint="cs"/>
                <w:color w:val="002060"/>
                <w:sz w:val="28"/>
                <w:szCs w:val="28"/>
                <w:rtl/>
                <w:lang w:eastAsia="ar-EG" w:bidi="ar-EG"/>
              </w:rPr>
              <w:t xml:space="preserve"> (15)</w:t>
            </w:r>
          </w:p>
          <w:p w14:paraId="6204140D" w14:textId="51D188DA" w:rsidR="00C61D0D" w:rsidRDefault="00C61D0D" w:rsidP="00673F64">
            <w:pPr>
              <w:bidi/>
              <w:spacing w:after="60" w:line="280" w:lineRule="exact"/>
              <w:rPr>
                <w:rFonts w:ascii="Arabic Typesetting" w:eastAsia="Arabic Typesetting" w:hAnsi="Arabic Typesetting" w:cs="Arabic Typesetting"/>
                <w:color w:val="002060"/>
                <w:sz w:val="28"/>
                <w:szCs w:val="28"/>
                <w:rtl/>
                <w:lang w:eastAsia="ar-EG" w:bidi="ar-EG"/>
              </w:rPr>
            </w:pPr>
            <w:r>
              <w:rPr>
                <w:rFonts w:ascii="Arabic Typesetting" w:eastAsia="Arabic Typesetting" w:hAnsi="Arabic Typesetting" w:cs="Arabic Typesetting" w:hint="cs"/>
                <w:color w:val="002060"/>
                <w:sz w:val="28"/>
                <w:szCs w:val="28"/>
                <w:rtl/>
                <w:lang w:eastAsia="ar-EG" w:bidi="ar-EG"/>
              </w:rPr>
              <w:t xml:space="preserve">قاعدة البيانات العالمية </w:t>
            </w:r>
            <w:r w:rsidR="00E03348">
              <w:rPr>
                <w:rFonts w:ascii="Arabic Typesetting" w:eastAsia="Arabic Typesetting" w:hAnsi="Arabic Typesetting" w:cs="Arabic Typesetting" w:hint="cs"/>
                <w:color w:val="002060"/>
                <w:sz w:val="28"/>
                <w:szCs w:val="28"/>
                <w:rtl/>
                <w:lang w:eastAsia="ar-EG" w:bidi="ar-EG"/>
              </w:rPr>
              <w:t>لأدوات التوسيم</w:t>
            </w:r>
            <w:r w:rsidR="00E03348">
              <w:rPr>
                <w:rFonts w:ascii="Arabic Typesetting" w:eastAsia="Arabic Typesetting" w:hAnsi="Arabic Typesetting" w:cs="Arabic Typesetting" w:hint="eastAsia"/>
                <w:color w:val="002060"/>
                <w:sz w:val="28"/>
                <w:szCs w:val="28"/>
                <w:rtl/>
                <w:lang w:eastAsia="ar-EG" w:bidi="ar-EG"/>
              </w:rPr>
              <w:t> </w:t>
            </w:r>
            <w:r>
              <w:rPr>
                <w:rFonts w:ascii="Arabic Typesetting" w:eastAsia="Arabic Typesetting" w:hAnsi="Arabic Typesetting" w:cs="Arabic Typesetting" w:hint="cs"/>
                <w:color w:val="002060"/>
                <w:sz w:val="28"/>
                <w:szCs w:val="28"/>
                <w:rtl/>
                <w:lang w:eastAsia="ar-EG" w:bidi="ar-EG"/>
              </w:rPr>
              <w:t>(4):</w:t>
            </w:r>
            <w:r w:rsidR="00E03348">
              <w:rPr>
                <w:rFonts w:ascii="Arabic Typesetting" w:eastAsia="Arabic Typesetting" w:hAnsi="Arabic Typesetting" w:cs="Arabic Typesetting"/>
                <w:color w:val="002060"/>
                <w:sz w:val="28"/>
                <w:szCs w:val="28"/>
                <w:rtl/>
                <w:lang w:eastAsia="ar-EG" w:bidi="ar-EG"/>
              </w:rPr>
              <w:br/>
            </w:r>
            <w:r w:rsidR="00E03348">
              <w:rPr>
                <w:rFonts w:ascii="Arabic Typesetting" w:eastAsia="Arabic Typesetting" w:hAnsi="Arabic Typesetting" w:cs="Arabic Typesetting" w:hint="cs"/>
                <w:color w:val="002060"/>
                <w:sz w:val="28"/>
                <w:szCs w:val="28"/>
                <w:rtl/>
                <w:lang w:eastAsia="ar-EG" w:bidi="ar-EG"/>
              </w:rPr>
              <w:t xml:space="preserve">- </w:t>
            </w:r>
            <w:r w:rsidR="00E03348">
              <w:rPr>
                <w:rFonts w:ascii="Arabic Typesetting" w:eastAsia="Arabic Typesetting" w:hAnsi="Arabic Typesetting" w:cs="Arabic Typesetting"/>
                <w:color w:val="002060"/>
                <w:sz w:val="28"/>
                <w:szCs w:val="28"/>
                <w:lang w:eastAsia="ar-EG" w:bidi="ar-EG"/>
              </w:rPr>
              <w:t>ARABPAT</w:t>
            </w:r>
            <w:r w:rsidR="00E03348">
              <w:rPr>
                <w:rFonts w:ascii="Arabic Typesetting" w:eastAsia="Arabic Typesetting" w:hAnsi="Arabic Typesetting" w:cs="Arabic Typesetting" w:hint="cs"/>
                <w:color w:val="002060"/>
                <w:sz w:val="28"/>
                <w:szCs w:val="28"/>
                <w:rtl/>
                <w:lang w:eastAsia="ar-EG" w:bidi="ar-EG"/>
              </w:rPr>
              <w:t xml:space="preserve"> (3)</w:t>
            </w:r>
            <w:r w:rsidR="00E03348">
              <w:rPr>
                <w:rFonts w:ascii="Arabic Typesetting" w:eastAsia="Arabic Typesetting" w:hAnsi="Arabic Typesetting" w:cs="Arabic Typesetting" w:hint="cs"/>
                <w:color w:val="002060"/>
                <w:sz w:val="28"/>
                <w:szCs w:val="28"/>
                <w:rtl/>
                <w:lang w:eastAsia="ar-EG" w:bidi="ar-EG"/>
              </w:rPr>
              <w:br/>
              <w:t xml:space="preserve">- </w:t>
            </w:r>
            <w:r w:rsidR="00E03348">
              <w:rPr>
                <w:rFonts w:ascii="Arabic Typesetting" w:eastAsia="Arabic Typesetting" w:hAnsi="Arabic Typesetting" w:cs="Arabic Typesetting"/>
                <w:color w:val="002060"/>
                <w:sz w:val="28"/>
                <w:szCs w:val="28"/>
                <w:lang w:eastAsia="ar-EG" w:bidi="ar-EG"/>
              </w:rPr>
              <w:t>LATIPAT</w:t>
            </w:r>
            <w:r w:rsidR="00E03348">
              <w:rPr>
                <w:rFonts w:ascii="Arabic Typesetting" w:eastAsia="Arabic Typesetting" w:hAnsi="Arabic Typesetting" w:cs="Arabic Typesetting" w:hint="cs"/>
                <w:color w:val="002060"/>
                <w:sz w:val="28"/>
                <w:szCs w:val="28"/>
                <w:rtl/>
                <w:lang w:eastAsia="ar-EG" w:bidi="ar-EG"/>
              </w:rPr>
              <w:t xml:space="preserve"> (1)</w:t>
            </w:r>
          </w:p>
          <w:p w14:paraId="41E12D9C" w14:textId="77777777" w:rsidR="00C61D0D" w:rsidRDefault="00E03348" w:rsidP="00673F64">
            <w:pPr>
              <w:bidi/>
              <w:spacing w:after="60" w:line="280" w:lineRule="exact"/>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hint="cs"/>
                <w:color w:val="002060"/>
                <w:sz w:val="28"/>
                <w:szCs w:val="28"/>
                <w:rtl/>
                <w:lang w:eastAsia="ar-EG" w:bidi="ar-EG"/>
              </w:rPr>
              <w:t>قاعدة البيانات العالمية للتصاميم (0):</w:t>
            </w:r>
            <w:r>
              <w:rPr>
                <w:rFonts w:ascii="Arabic Typesetting" w:eastAsia="Arabic Typesetting" w:hAnsi="Arabic Typesetting" w:cs="Arabic Typesetting" w:hint="cs"/>
                <w:color w:val="002060"/>
                <w:sz w:val="28"/>
                <w:szCs w:val="28"/>
                <w:rtl/>
                <w:lang w:eastAsia="ar-EG" w:bidi="ar-EG"/>
              </w:rPr>
              <w:br/>
              <w:t xml:space="preserve">- </w:t>
            </w:r>
            <w:r>
              <w:rPr>
                <w:rFonts w:ascii="Arabic Typesetting" w:eastAsia="Arabic Typesetting" w:hAnsi="Arabic Typesetting" w:cs="Arabic Typesetting"/>
                <w:color w:val="002060"/>
                <w:sz w:val="28"/>
                <w:szCs w:val="28"/>
                <w:lang w:eastAsia="ar-EG" w:bidi="ar-EG"/>
              </w:rPr>
              <w:t>ARABPAT</w:t>
            </w:r>
            <w:r>
              <w:rPr>
                <w:rFonts w:ascii="Arabic Typesetting" w:eastAsia="Arabic Typesetting" w:hAnsi="Arabic Typesetting" w:cs="Arabic Typesetting" w:hint="cs"/>
                <w:color w:val="002060"/>
                <w:sz w:val="28"/>
                <w:szCs w:val="28"/>
                <w:rtl/>
                <w:lang w:eastAsia="ar-EG" w:bidi="ar-EG"/>
              </w:rPr>
              <w:t xml:space="preserve"> (0)</w:t>
            </w:r>
            <w:r>
              <w:rPr>
                <w:rFonts w:ascii="Arabic Typesetting" w:eastAsia="Arabic Typesetting" w:hAnsi="Arabic Typesetting" w:cs="Arabic Typesetting" w:hint="cs"/>
                <w:color w:val="002060"/>
                <w:sz w:val="28"/>
                <w:szCs w:val="28"/>
                <w:rtl/>
                <w:lang w:eastAsia="ar-EG" w:bidi="ar-EG"/>
              </w:rPr>
              <w:br/>
              <w:t xml:space="preserve">- </w:t>
            </w:r>
            <w:r>
              <w:rPr>
                <w:rFonts w:ascii="Arabic Typesetting" w:eastAsia="Arabic Typesetting" w:hAnsi="Arabic Typesetting" w:cs="Arabic Typesetting"/>
                <w:color w:val="002060"/>
                <w:sz w:val="28"/>
                <w:szCs w:val="28"/>
                <w:lang w:eastAsia="ar-EG" w:bidi="ar-EG"/>
              </w:rPr>
              <w:t>LATIPAT</w:t>
            </w:r>
            <w:r>
              <w:rPr>
                <w:rFonts w:ascii="Arabic Typesetting" w:eastAsia="Arabic Typesetting" w:hAnsi="Arabic Typesetting" w:cs="Arabic Typesetting" w:hint="cs"/>
                <w:color w:val="002060"/>
                <w:sz w:val="28"/>
                <w:szCs w:val="28"/>
                <w:rtl/>
                <w:lang w:eastAsia="ar-EG" w:bidi="ar-EG"/>
              </w:rPr>
              <w:t xml:space="preserve"> (0)</w:t>
            </w:r>
          </w:p>
          <w:p w14:paraId="3B3BFD55" w14:textId="77777777" w:rsidR="00E335D4" w:rsidRDefault="00E335D4" w:rsidP="00E335D4">
            <w:pPr>
              <w:bidi/>
              <w:spacing w:after="60" w:line="280" w:lineRule="exact"/>
              <w:rPr>
                <w:rFonts w:ascii="Arabic Typesetting" w:eastAsia="Arabic Typesetting" w:hAnsi="Arabic Typesetting" w:cs="Arabic Typesetting"/>
                <w:color w:val="002060"/>
                <w:sz w:val="28"/>
                <w:szCs w:val="28"/>
                <w:lang w:eastAsia="ar-EG" w:bidi="ar-EG"/>
              </w:rPr>
            </w:pPr>
          </w:p>
          <w:p w14:paraId="07728378" w14:textId="77777777" w:rsidR="00E335D4" w:rsidRDefault="00E335D4" w:rsidP="00E335D4">
            <w:pPr>
              <w:bidi/>
              <w:spacing w:after="60" w:line="280" w:lineRule="exact"/>
              <w:rPr>
                <w:rFonts w:ascii="Arabic Typesetting" w:eastAsia="Arabic Typesetting" w:hAnsi="Arabic Typesetting" w:cs="Arabic Typesetting"/>
                <w:color w:val="002060"/>
                <w:sz w:val="28"/>
                <w:szCs w:val="28"/>
                <w:lang w:eastAsia="ar-EG" w:bidi="ar-EG"/>
              </w:rPr>
            </w:pPr>
          </w:p>
          <w:p w14:paraId="4F2A410C" w14:textId="77777777" w:rsidR="00E335D4" w:rsidRDefault="00E335D4" w:rsidP="00E335D4">
            <w:pPr>
              <w:bidi/>
              <w:spacing w:after="60" w:line="280" w:lineRule="exact"/>
              <w:rPr>
                <w:rFonts w:ascii="Arabic Typesetting" w:eastAsia="Arabic Typesetting" w:hAnsi="Arabic Typesetting" w:cs="Arabic Typesetting"/>
                <w:color w:val="002060"/>
                <w:sz w:val="28"/>
                <w:szCs w:val="28"/>
                <w:lang w:eastAsia="ar-EG" w:bidi="ar-EG"/>
              </w:rPr>
            </w:pPr>
          </w:p>
          <w:p w14:paraId="230E5AE1" w14:textId="77777777" w:rsidR="00E335D4" w:rsidRDefault="00E335D4" w:rsidP="00E335D4">
            <w:pPr>
              <w:bidi/>
              <w:spacing w:after="60" w:line="280" w:lineRule="exact"/>
              <w:rPr>
                <w:rFonts w:ascii="Arabic Typesetting" w:eastAsia="Arabic Typesetting" w:hAnsi="Arabic Typesetting" w:cs="Arabic Typesetting"/>
                <w:color w:val="002060"/>
                <w:sz w:val="28"/>
                <w:szCs w:val="28"/>
                <w:rtl/>
                <w:lang w:eastAsia="ar-EG" w:bidi="ar-EG"/>
              </w:rPr>
            </w:pPr>
          </w:p>
          <w:p w14:paraId="21403F87" w14:textId="2F7A95E0" w:rsidR="00E03348" w:rsidRDefault="00E03348" w:rsidP="00673F64">
            <w:pPr>
              <w:bidi/>
              <w:spacing w:line="280" w:lineRule="exact"/>
              <w:rPr>
                <w:rFonts w:ascii="Arabic Typesetting" w:eastAsia="Arabic Typesetting" w:hAnsi="Arabic Typesetting" w:cs="Arabic Typesetting"/>
                <w:color w:val="000000"/>
                <w:sz w:val="28"/>
                <w:szCs w:val="28"/>
                <w:rtl/>
                <w:lang w:eastAsia="ar-EG" w:bidi="ar-EG"/>
              </w:rPr>
            </w:pPr>
            <w:r w:rsidRPr="00A86211">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A86211">
              <w:rPr>
                <w:rFonts w:ascii="Arabic Typesetting" w:eastAsia="Arabic Typesetting" w:hAnsi="Arabic Typesetting" w:cs="Arabic Typesetting"/>
                <w:i/>
                <w:iCs/>
                <w:sz w:val="28"/>
                <w:szCs w:val="28"/>
                <w:rtl/>
                <w:lang w:eastAsia="ar-EG" w:bidi="ar-EG"/>
              </w:rPr>
              <w:t>:</w:t>
            </w:r>
            <w:r w:rsidRPr="00A86211">
              <w:rPr>
                <w:rFonts w:ascii="Arabic Typesetting" w:eastAsia="Arabic Typesetting" w:hAnsi="Arabic Typesetting" w:cs="Arabic Typesetting"/>
                <w:i/>
                <w:sz w:val="28"/>
                <w:szCs w:val="28"/>
                <w:lang w:eastAsia="ar-EG" w:bidi="ar-EG"/>
              </w:rPr>
              <w:br/>
            </w:r>
            <w:r w:rsidRPr="00A862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lang w:eastAsia="ar-EG" w:bidi="ar-EG"/>
              </w:rPr>
              <w:t>LATIPAT</w:t>
            </w:r>
            <w:r>
              <w:rPr>
                <w:rFonts w:ascii="Arabic Typesetting" w:eastAsia="Arabic Typesetting" w:hAnsi="Arabic Typesetting" w:cs="Arabic Typesetting" w:hint="cs"/>
                <w:color w:val="000000"/>
                <w:sz w:val="28"/>
                <w:szCs w:val="28"/>
                <w:rtl/>
                <w:lang w:eastAsia="ar-EG" w:bidi="ar-EG"/>
              </w:rPr>
              <w:t xml:space="preserve">: ركن البراءات (15)، </w:t>
            </w:r>
            <w:r>
              <w:rPr>
                <w:rFonts w:ascii="Arabic Typesetting" w:eastAsia="Arabic Typesetting" w:hAnsi="Arabic Typesetting" w:cs="Arabic Typesetting" w:hint="cs"/>
                <w:color w:val="000000"/>
                <w:sz w:val="28"/>
                <w:szCs w:val="28"/>
                <w:rtl/>
                <w:lang w:eastAsia="ar-EG" w:bidi="ar-EG"/>
              </w:rPr>
              <w:lastRenderedPageBreak/>
              <w:t>قاعدة البيانات العالمية لأدوات التوسيم (1)، قاعدة</w:t>
            </w:r>
            <w:r>
              <w:rPr>
                <w:rFonts w:ascii="Arabic Typesetting" w:eastAsia="Arabic Typesetting" w:hAnsi="Arabic Typesetting" w:cs="Arabic Typesetting" w:hint="eastAsia"/>
                <w:color w:val="000000"/>
                <w:sz w:val="28"/>
                <w:szCs w:val="28"/>
                <w:rtl/>
                <w:lang w:eastAsia="ar-EG" w:bidi="ar-EG"/>
              </w:rPr>
              <w:t> </w:t>
            </w:r>
            <w:r>
              <w:rPr>
                <w:rFonts w:ascii="Arabic Typesetting" w:eastAsia="Arabic Typesetting" w:hAnsi="Arabic Typesetting" w:cs="Arabic Typesetting" w:hint="cs"/>
                <w:color w:val="000000"/>
                <w:sz w:val="28"/>
                <w:szCs w:val="28"/>
                <w:rtl/>
                <w:lang w:eastAsia="ar-EG" w:bidi="ar-EG"/>
              </w:rPr>
              <w:t>البيانات العالمية للتصاميم</w:t>
            </w:r>
            <w:r w:rsidR="00673F64">
              <w:rPr>
                <w:rFonts w:ascii="Arabic Typesetting" w:eastAsia="Arabic Typesetting" w:hAnsi="Arabic Typesetting" w:cs="Arabic Typesetting" w:hint="eastAsia"/>
                <w:color w:val="000000"/>
                <w:sz w:val="28"/>
                <w:szCs w:val="28"/>
                <w:rtl/>
                <w:lang w:eastAsia="ar-EG" w:bidi="ar-EG"/>
              </w:rPr>
              <w:t> </w:t>
            </w:r>
            <w:r>
              <w:rPr>
                <w:rFonts w:ascii="Arabic Typesetting" w:eastAsia="Arabic Typesetting" w:hAnsi="Arabic Typesetting" w:cs="Arabic Typesetting" w:hint="cs"/>
                <w:color w:val="000000"/>
                <w:sz w:val="28"/>
                <w:szCs w:val="28"/>
                <w:rtl/>
                <w:lang w:eastAsia="ar-EG" w:bidi="ar-EG"/>
              </w:rPr>
              <w:t>(0)</w:t>
            </w:r>
          </w:p>
          <w:p w14:paraId="4ECB89E4" w14:textId="74CBDF8A" w:rsidR="00E03348" w:rsidRDefault="00E03348" w:rsidP="00E03348">
            <w:pPr>
              <w:bidi/>
              <w:spacing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color w:val="000000"/>
                <w:sz w:val="28"/>
                <w:szCs w:val="28"/>
                <w:lang w:eastAsia="ar-EG" w:bidi="ar-EG"/>
              </w:rPr>
              <w:t>ARABPAT</w:t>
            </w:r>
            <w:r>
              <w:rPr>
                <w:rFonts w:ascii="Arabic Typesetting" w:eastAsia="Arabic Typesetting" w:hAnsi="Arabic Typesetting" w:cs="Arabic Typesetting" w:hint="cs"/>
                <w:color w:val="000000"/>
                <w:sz w:val="28"/>
                <w:szCs w:val="28"/>
                <w:rtl/>
                <w:lang w:eastAsia="ar-EG" w:bidi="ar-EG"/>
              </w:rPr>
              <w:t>: ركن البراءات (3)، قاعدة البيانات العالمية لأدوات التوسيم (1)، قاعدة</w:t>
            </w:r>
            <w:r>
              <w:rPr>
                <w:rFonts w:ascii="Arabic Typesetting" w:eastAsia="Arabic Typesetting" w:hAnsi="Arabic Typesetting" w:cs="Arabic Typesetting" w:hint="eastAsia"/>
                <w:color w:val="000000"/>
                <w:sz w:val="28"/>
                <w:szCs w:val="28"/>
                <w:rtl/>
                <w:lang w:eastAsia="ar-EG" w:bidi="ar-EG"/>
              </w:rPr>
              <w:t> </w:t>
            </w:r>
            <w:r>
              <w:rPr>
                <w:rFonts w:ascii="Arabic Typesetting" w:eastAsia="Arabic Typesetting" w:hAnsi="Arabic Typesetting" w:cs="Arabic Typesetting" w:hint="cs"/>
                <w:color w:val="000000"/>
                <w:sz w:val="28"/>
                <w:szCs w:val="28"/>
                <w:rtl/>
                <w:lang w:eastAsia="ar-EG" w:bidi="ar-EG"/>
              </w:rPr>
              <w:t>البيانات العالمية للتصاميم (0)</w:t>
            </w:r>
          </w:p>
          <w:p w14:paraId="030F4A8C" w14:textId="7175C0AC" w:rsidR="00E03348" w:rsidRPr="00C61D0D" w:rsidRDefault="00E03348" w:rsidP="00E03348">
            <w:pPr>
              <w:bidi/>
              <w:spacing w:line="280" w:lineRule="exact"/>
              <w:rPr>
                <w:rFonts w:ascii="Arabic Typesetting" w:eastAsia="Arabic Typesetting" w:hAnsi="Arabic Typesetting" w:cs="Arabic Typesetting"/>
                <w:color w:val="002060"/>
                <w:sz w:val="28"/>
                <w:szCs w:val="28"/>
                <w:rtl/>
                <w:lang w:eastAsia="ar-EG" w:bidi="ar-EG"/>
              </w:rPr>
            </w:pPr>
            <w:r>
              <w:rPr>
                <w:rFonts w:ascii="Arabic Typesetting" w:eastAsia="Arabic Typesetting" w:hAnsi="Arabic Typesetting" w:cs="Arabic Typesetting" w:hint="cs"/>
                <w:color w:val="000000"/>
                <w:sz w:val="28"/>
                <w:szCs w:val="28"/>
                <w:rtl/>
                <w:lang w:eastAsia="ar-EG" w:bidi="ar-EG"/>
              </w:rPr>
              <w:t>(فبراير 2015)</w:t>
            </w:r>
          </w:p>
        </w:tc>
        <w:tc>
          <w:tcPr>
            <w:tcW w:w="793" w:type="pct"/>
            <w:shd w:val="clear" w:color="auto" w:fill="auto"/>
            <w:tcMar>
              <w:top w:w="110" w:type="dxa"/>
              <w:left w:w="58" w:type="dxa"/>
              <w:right w:w="58" w:type="dxa"/>
            </w:tcMar>
          </w:tcPr>
          <w:p w14:paraId="0AFC6EBD" w14:textId="77777777" w:rsidR="00C61D0D" w:rsidRPr="00E03348" w:rsidRDefault="00E03348" w:rsidP="0031289D">
            <w:pPr>
              <w:bidi/>
              <w:spacing w:line="280" w:lineRule="exact"/>
              <w:rPr>
                <w:rFonts w:ascii="Arabic Typesetting" w:eastAsia="Arabic Typesetting" w:hAnsi="Arabic Typesetting" w:cs="Arabic Typesetting"/>
                <w:color w:val="000000"/>
                <w:sz w:val="28"/>
                <w:szCs w:val="28"/>
                <w:rtl/>
                <w:lang w:eastAsia="ar-EG" w:bidi="ar-EG"/>
              </w:rPr>
            </w:pPr>
            <w:r w:rsidRPr="00E03348">
              <w:rPr>
                <w:rFonts w:ascii="Arabic Typesetting" w:eastAsia="Arabic Typesetting" w:hAnsi="Arabic Typesetting" w:cs="Arabic Typesetting" w:hint="cs"/>
                <w:color w:val="000000"/>
                <w:sz w:val="28"/>
                <w:szCs w:val="28"/>
                <w:rtl/>
                <w:lang w:eastAsia="ar-EG" w:bidi="ar-EG"/>
              </w:rPr>
              <w:lastRenderedPageBreak/>
              <w:t>ركن البراءات (+2)</w:t>
            </w:r>
          </w:p>
          <w:p w14:paraId="1F086804" w14:textId="77777777" w:rsidR="00E03348" w:rsidRDefault="00E03348" w:rsidP="00E03348">
            <w:pPr>
              <w:bidi/>
              <w:spacing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قاعدة البيانات العالمية لأدوات التوسيم (+4)</w:t>
            </w:r>
          </w:p>
          <w:p w14:paraId="7CAB9859" w14:textId="6F0612A0" w:rsidR="00E03348" w:rsidRPr="00E03348" w:rsidRDefault="00E03348" w:rsidP="00E03348">
            <w:pPr>
              <w:bidi/>
              <w:spacing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قاعدة</w:t>
            </w:r>
            <w:r>
              <w:rPr>
                <w:rFonts w:ascii="Arabic Typesetting" w:eastAsia="Arabic Typesetting" w:hAnsi="Arabic Typesetting" w:cs="Arabic Typesetting" w:hint="eastAsia"/>
                <w:color w:val="000000"/>
                <w:sz w:val="28"/>
                <w:szCs w:val="28"/>
                <w:rtl/>
                <w:lang w:eastAsia="ar-EG" w:bidi="ar-EG"/>
              </w:rPr>
              <w:t> </w:t>
            </w:r>
            <w:r>
              <w:rPr>
                <w:rFonts w:ascii="Arabic Typesetting" w:eastAsia="Arabic Typesetting" w:hAnsi="Arabic Typesetting" w:cs="Arabic Typesetting" w:hint="cs"/>
                <w:color w:val="000000"/>
                <w:sz w:val="28"/>
                <w:szCs w:val="28"/>
                <w:rtl/>
                <w:lang w:eastAsia="ar-EG" w:bidi="ar-EG"/>
              </w:rPr>
              <w:t>البيانات العالمية للتصاميم (+2)</w:t>
            </w:r>
          </w:p>
        </w:tc>
        <w:tc>
          <w:tcPr>
            <w:tcW w:w="1259" w:type="pct"/>
            <w:shd w:val="clear" w:color="auto" w:fill="FFFFFF"/>
            <w:tcMar>
              <w:top w:w="110" w:type="dxa"/>
              <w:left w:w="58" w:type="dxa"/>
              <w:right w:w="58" w:type="dxa"/>
            </w:tcMar>
          </w:tcPr>
          <w:p w14:paraId="1B975970" w14:textId="77777777" w:rsidR="00C61D0D" w:rsidRDefault="00E03348" w:rsidP="0031289D">
            <w:pPr>
              <w:bidi/>
              <w:spacing w:after="120" w:line="280" w:lineRule="exact"/>
              <w:rPr>
                <w:rFonts w:ascii="Arabic Typesetting" w:eastAsia="Arabic Typesetting" w:hAnsi="Arabic Typesetting" w:cs="Arabic Typesetting"/>
                <w:sz w:val="28"/>
                <w:szCs w:val="28"/>
                <w:rtl/>
                <w:lang w:eastAsia="ar-EG" w:bidi="ar-EG"/>
              </w:rPr>
            </w:pPr>
            <w:r>
              <w:rPr>
                <w:rFonts w:ascii="Arabic Typesetting" w:eastAsia="Arabic Typesetting" w:hAnsi="Arabic Typesetting" w:cs="Arabic Typesetting" w:hint="cs"/>
                <w:sz w:val="28"/>
                <w:szCs w:val="28"/>
                <w:rtl/>
                <w:lang w:eastAsia="ar-EG" w:bidi="ar-EG"/>
              </w:rPr>
              <w:t>ركن البراءات:</w:t>
            </w:r>
            <w:r>
              <w:rPr>
                <w:rFonts w:ascii="Arabic Typesetting" w:eastAsia="Arabic Typesetting" w:hAnsi="Arabic Typesetting" w:cs="Arabic Typesetting" w:hint="cs"/>
                <w:sz w:val="28"/>
                <w:szCs w:val="28"/>
                <w:rtl/>
                <w:lang w:eastAsia="ar-EG" w:bidi="ar-EG"/>
              </w:rPr>
              <w:br/>
              <w:t>عدم زيادة الدول الأعضاء</w:t>
            </w:r>
          </w:p>
          <w:p w14:paraId="6258661E" w14:textId="77777777" w:rsidR="00E03348" w:rsidRDefault="00E03348" w:rsidP="00E03348">
            <w:pPr>
              <w:bidi/>
              <w:spacing w:after="120"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قاعدة البيانات العالمية لأدوات التوسيم:</w:t>
            </w:r>
            <w:r>
              <w:rPr>
                <w:rFonts w:ascii="Arabic Typesetting" w:eastAsia="Arabic Typesetting" w:hAnsi="Arabic Typesetting" w:cs="Arabic Typesetting" w:hint="cs"/>
                <w:color w:val="000000"/>
                <w:sz w:val="28"/>
                <w:szCs w:val="28"/>
                <w:rtl/>
                <w:lang w:eastAsia="ar-EG" w:bidi="ar-EG"/>
              </w:rPr>
              <w:br/>
              <w:t>عدم زيادة الدول الأعضاء</w:t>
            </w:r>
          </w:p>
          <w:p w14:paraId="5E009714" w14:textId="40351E52" w:rsidR="00E03348" w:rsidRDefault="00E03348" w:rsidP="00E03348">
            <w:pPr>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hint="cs"/>
                <w:color w:val="000000"/>
                <w:sz w:val="28"/>
                <w:szCs w:val="28"/>
                <w:rtl/>
                <w:lang w:eastAsia="ar-EG" w:bidi="ar-EG"/>
              </w:rPr>
              <w:t>قاعدة</w:t>
            </w:r>
            <w:r>
              <w:rPr>
                <w:rFonts w:ascii="Arabic Typesetting" w:eastAsia="Arabic Typesetting" w:hAnsi="Arabic Typesetting" w:cs="Arabic Typesetting" w:hint="eastAsia"/>
                <w:color w:val="000000"/>
                <w:sz w:val="28"/>
                <w:szCs w:val="28"/>
                <w:rtl/>
                <w:lang w:eastAsia="ar-EG" w:bidi="ar-EG"/>
              </w:rPr>
              <w:t> </w:t>
            </w:r>
            <w:r>
              <w:rPr>
                <w:rFonts w:ascii="Arabic Typesetting" w:eastAsia="Arabic Typesetting" w:hAnsi="Arabic Typesetting" w:cs="Arabic Typesetting" w:hint="cs"/>
                <w:color w:val="000000"/>
                <w:sz w:val="28"/>
                <w:szCs w:val="28"/>
                <w:rtl/>
                <w:lang w:eastAsia="ar-EG" w:bidi="ar-EG"/>
              </w:rPr>
              <w:t>البيانات العالمية للتصاميم:</w:t>
            </w:r>
            <w:r>
              <w:rPr>
                <w:rFonts w:ascii="Arabic Typesetting" w:eastAsia="Arabic Typesetting" w:hAnsi="Arabic Typesetting" w:cs="Arabic Typesetting" w:hint="cs"/>
                <w:color w:val="000000"/>
                <w:sz w:val="28"/>
                <w:szCs w:val="28"/>
                <w:rtl/>
                <w:lang w:eastAsia="ar-EG" w:bidi="ar-EG"/>
              </w:rPr>
              <w:br/>
              <w:t>عم زيادة الدول الأعضاء</w:t>
            </w:r>
          </w:p>
        </w:tc>
        <w:tc>
          <w:tcPr>
            <w:tcW w:w="514" w:type="pct"/>
            <w:shd w:val="clear" w:color="auto" w:fill="auto"/>
            <w:tcMar>
              <w:top w:w="110" w:type="dxa"/>
              <w:left w:w="58" w:type="dxa"/>
              <w:right w:w="58" w:type="dxa"/>
            </w:tcMar>
          </w:tcPr>
          <w:p w14:paraId="57B0B7B3" w14:textId="336CBEFA" w:rsidR="00C61D0D" w:rsidRPr="00E03348" w:rsidRDefault="00E03348" w:rsidP="0031289D">
            <w:pPr>
              <w:keepNext/>
              <w:bidi/>
              <w:spacing w:after="120" w:line="280" w:lineRule="exact"/>
              <w:jc w:val="center"/>
              <w:rPr>
                <w:rFonts w:ascii="Arabic Typesetting" w:eastAsia="Arabic Typesetting" w:hAnsi="Arabic Typesetting" w:cs="Arabic Typesetting"/>
                <w:b/>
                <w:bCs/>
                <w:color w:val="00B050"/>
                <w:sz w:val="28"/>
                <w:szCs w:val="28"/>
                <w:rtl/>
                <w:lang w:eastAsia="ar-EG" w:bidi="ar-EG"/>
              </w:rPr>
            </w:pPr>
            <w:r w:rsidRPr="00E03348">
              <w:rPr>
                <w:rFonts w:ascii="Arabic Typesetting" w:eastAsia="Arabic Typesetting" w:hAnsi="Arabic Typesetting" w:cs="Arabic Typesetting" w:hint="cs"/>
                <w:b/>
                <w:bCs/>
                <w:color w:val="FF0000"/>
                <w:sz w:val="28"/>
                <w:szCs w:val="28"/>
                <w:rtl/>
                <w:lang w:eastAsia="ar-EG" w:bidi="ar-EG"/>
              </w:rPr>
              <w:t>غير ثابت</w:t>
            </w:r>
          </w:p>
        </w:tc>
      </w:tr>
      <w:tr w:rsidR="00CE6E0B" w:rsidRPr="00A86211" w14:paraId="0CB67350" w14:textId="77777777" w:rsidTr="00BB3820">
        <w:trPr>
          <w:trHeight w:val="1855"/>
        </w:trPr>
        <w:tc>
          <w:tcPr>
            <w:tcW w:w="1165" w:type="pct"/>
            <w:shd w:val="clear" w:color="auto" w:fill="auto"/>
            <w:tcMar>
              <w:left w:w="58" w:type="dxa"/>
              <w:right w:w="58" w:type="dxa"/>
            </w:tcMar>
          </w:tcPr>
          <w:p w14:paraId="13CD4586" w14:textId="7452756C"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rtl/>
                <w:lang w:eastAsia="ar-EG" w:bidi="ar-EG"/>
              </w:rPr>
              <w:lastRenderedPageBreak/>
              <w:t>عدد مستخدمي برنامج النفاذ إلى الأبحاث من أجل التنمية والابتكار (</w:t>
            </w:r>
            <w:r w:rsidRPr="00A86211">
              <w:rPr>
                <w:rFonts w:ascii="Arabic Typesetting" w:eastAsia="Arabic Typesetting" w:hAnsi="Arabic Typesetting" w:cs="Arabic Typesetting"/>
                <w:color w:val="000000"/>
                <w:sz w:val="28"/>
                <w:szCs w:val="28"/>
                <w:lang w:eastAsia="ar-EG" w:bidi="ar-EG"/>
              </w:rPr>
              <w:t>ARDI</w:t>
            </w:r>
            <w:r w:rsidRPr="00A86211">
              <w:rPr>
                <w:rFonts w:ascii="Arabic Typesetting" w:eastAsia="Arabic Typesetting" w:hAnsi="Arabic Typesetting" w:cs="Arabic Typesetting"/>
                <w:color w:val="000000"/>
                <w:sz w:val="28"/>
                <w:szCs w:val="28"/>
                <w:rtl/>
                <w:lang w:eastAsia="ar-EG" w:bidi="ar-EG"/>
              </w:rPr>
              <w:t>) وبرنامج النفاذ إلى المعلومات المتخصصة بشأن البراءات (</w:t>
            </w:r>
            <w:r w:rsidRPr="00A86211">
              <w:rPr>
                <w:rFonts w:ascii="Arabic Typesetting" w:eastAsia="Arabic Typesetting" w:hAnsi="Arabic Typesetting" w:cs="Arabic Typesetting"/>
                <w:color w:val="000000"/>
                <w:sz w:val="28"/>
                <w:szCs w:val="28"/>
                <w:lang w:eastAsia="ar-EG" w:bidi="ar-EG"/>
              </w:rPr>
              <w:t>ASPI</w:t>
            </w:r>
            <w:r w:rsidRPr="00A86211">
              <w:rPr>
                <w:rFonts w:ascii="Arabic Typesetting" w:eastAsia="Arabic Typesetting" w:hAnsi="Arabic Typesetting" w:cs="Arabic Typesetting"/>
                <w:color w:val="000000"/>
                <w:sz w:val="28"/>
                <w:szCs w:val="28"/>
                <w:rtl/>
                <w:lang w:eastAsia="ar-EG" w:bidi="ar-EG"/>
              </w:rPr>
              <w:t>)</w:t>
            </w:r>
          </w:p>
        </w:tc>
        <w:tc>
          <w:tcPr>
            <w:tcW w:w="1269" w:type="pct"/>
            <w:shd w:val="clear" w:color="auto" w:fill="auto"/>
            <w:tcMar>
              <w:left w:w="58" w:type="dxa"/>
              <w:right w:w="58" w:type="dxa"/>
            </w:tcMar>
          </w:tcPr>
          <w:p w14:paraId="44F0F4A7" w14:textId="77777777" w:rsidR="00CE6E0B" w:rsidRPr="00A862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86211">
              <w:rPr>
                <w:rFonts w:ascii="Arabic Typesetting" w:eastAsia="Arabic Typesetting" w:hAnsi="Arabic Typesetting" w:cs="Arabic Typesetting"/>
                <w:color w:val="002060"/>
                <w:sz w:val="28"/>
                <w:szCs w:val="28"/>
                <w:lang w:eastAsia="ar-EG" w:bidi="ar-EG"/>
              </w:rPr>
              <w:t>ARDI</w:t>
            </w:r>
            <w:r>
              <w:rPr>
                <w:rFonts w:ascii="Arabic Typesetting" w:eastAsia="Arabic Typesetting" w:hAnsi="Arabic Typesetting" w:cs="Arabic Typesetting" w:hint="cs"/>
                <w:color w:val="002060"/>
                <w:sz w:val="28"/>
                <w:szCs w:val="28"/>
                <w:rtl/>
                <w:lang w:eastAsia="ar-EG" w:bidi="ar-EG"/>
              </w:rPr>
              <w:t xml:space="preserve"> (623</w:t>
            </w:r>
            <w:r w:rsidRPr="00A86211">
              <w:rPr>
                <w:rFonts w:ascii="Arabic Typesetting" w:eastAsia="Arabic Typesetting" w:hAnsi="Arabic Typesetting" w:cs="Arabic Typesetting"/>
                <w:color w:val="002060"/>
                <w:sz w:val="28"/>
                <w:szCs w:val="28"/>
                <w:rtl/>
                <w:lang w:eastAsia="ar-EG" w:bidi="ar-EG"/>
              </w:rPr>
              <w:t>)</w:t>
            </w:r>
          </w:p>
          <w:p w14:paraId="6AE695BD"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lang w:eastAsia="ar-EG" w:bidi="ar-EG"/>
              </w:rPr>
              <w:t>ASPI</w:t>
            </w:r>
            <w:r>
              <w:rPr>
                <w:rFonts w:ascii="Arabic Typesetting" w:eastAsia="Arabic Typesetting" w:hAnsi="Arabic Typesetting" w:cs="Arabic Typesetting" w:hint="cs"/>
                <w:color w:val="002060"/>
                <w:sz w:val="28"/>
                <w:szCs w:val="28"/>
                <w:rtl/>
                <w:lang w:eastAsia="ar-EG" w:bidi="ar-EG"/>
              </w:rPr>
              <w:t xml:space="preserve"> (42</w:t>
            </w:r>
            <w:r w:rsidRPr="00A86211">
              <w:rPr>
                <w:rFonts w:ascii="Arabic Typesetting" w:eastAsia="Arabic Typesetting" w:hAnsi="Arabic Typesetting" w:cs="Arabic Typesetting"/>
                <w:color w:val="002060"/>
                <w:sz w:val="28"/>
                <w:szCs w:val="28"/>
                <w:rtl/>
                <w:lang w:eastAsia="ar-EG" w:bidi="ar-EG"/>
              </w:rPr>
              <w:t>)</w:t>
            </w:r>
          </w:p>
          <w:p w14:paraId="2B0B6328" w14:textId="77777777" w:rsidR="00CE6E0B" w:rsidRPr="00A86211" w:rsidRDefault="00CE6E0B" w:rsidP="0031289D">
            <w:pPr>
              <w:bidi/>
              <w:spacing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A86211">
              <w:rPr>
                <w:rFonts w:ascii="Arabic Typesetting" w:eastAsia="Arabic Typesetting" w:hAnsi="Arabic Typesetting" w:cs="Arabic Typesetting"/>
                <w:i/>
                <w:iCs/>
                <w:sz w:val="28"/>
                <w:szCs w:val="28"/>
                <w:rtl/>
                <w:lang w:eastAsia="ar-EG" w:bidi="ar-EG"/>
              </w:rPr>
              <w:t>:</w:t>
            </w:r>
            <w:r w:rsidRPr="00A86211">
              <w:rPr>
                <w:rFonts w:ascii="Arabic Typesetting" w:eastAsia="Arabic Typesetting" w:hAnsi="Arabic Typesetting" w:cs="Arabic Typesetting"/>
                <w:i/>
                <w:sz w:val="28"/>
                <w:szCs w:val="28"/>
                <w:lang w:eastAsia="ar-EG" w:bidi="ar-EG"/>
              </w:rPr>
              <w:br/>
            </w:r>
            <w:r w:rsidRPr="00A862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A86211">
              <w:rPr>
                <w:rFonts w:ascii="Arabic Typesetting" w:eastAsia="Arabic Typesetting" w:hAnsi="Arabic Typesetting" w:cs="Arabic Typesetting"/>
                <w:color w:val="000000"/>
                <w:sz w:val="28"/>
                <w:szCs w:val="28"/>
                <w:lang w:eastAsia="ar-EG" w:bidi="ar-EG"/>
              </w:rPr>
              <w:t>ARDI</w:t>
            </w:r>
            <w:r>
              <w:rPr>
                <w:rFonts w:ascii="Arabic Typesetting" w:eastAsia="Arabic Typesetting" w:hAnsi="Arabic Typesetting" w:cs="Arabic Typesetting" w:hint="cs"/>
                <w:color w:val="000000"/>
                <w:sz w:val="28"/>
                <w:szCs w:val="28"/>
                <w:rtl/>
                <w:lang w:eastAsia="ar-EG" w:bidi="ar-EG"/>
              </w:rPr>
              <w:t xml:space="preserve"> (</w:t>
            </w:r>
            <w:r w:rsidRPr="00A86211">
              <w:rPr>
                <w:rFonts w:ascii="Arabic Typesetting" w:eastAsia="Arabic Typesetting" w:hAnsi="Arabic Typesetting" w:cs="Arabic Typesetting"/>
                <w:color w:val="000000"/>
                <w:sz w:val="28"/>
                <w:szCs w:val="28"/>
                <w:lang w:eastAsia="ar-EG" w:bidi="ar-EG"/>
              </w:rPr>
              <w:t>411</w:t>
            </w:r>
            <w:r>
              <w:rPr>
                <w:rFonts w:ascii="Arabic Typesetting" w:eastAsia="Arabic Typesetting" w:hAnsi="Arabic Typesetting" w:cs="Arabic Typesetting"/>
                <w:color w:val="000000"/>
                <w:sz w:val="28"/>
                <w:szCs w:val="28"/>
                <w:rtl/>
                <w:lang w:eastAsia="ar-EG" w:bidi="ar-EG"/>
              </w:rPr>
              <w:t xml:space="preserve"> مستخدماً نشطاً)</w:t>
            </w:r>
          </w:p>
          <w:p w14:paraId="6EE7B3CB" w14:textId="77777777" w:rsidR="00CE6E0B" w:rsidRPr="00A86211" w:rsidRDefault="00CE6E0B" w:rsidP="0031289D">
            <w:pPr>
              <w:bidi/>
              <w:spacing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lang w:eastAsia="ar-EG" w:bidi="ar-EG"/>
              </w:rPr>
              <w:t>ASPI</w:t>
            </w:r>
            <w:r>
              <w:rPr>
                <w:rFonts w:ascii="Arabic Typesetting" w:eastAsia="Arabic Typesetting" w:hAnsi="Arabic Typesetting" w:cs="Arabic Typesetting" w:hint="cs"/>
                <w:color w:val="000000"/>
                <w:sz w:val="28"/>
                <w:szCs w:val="28"/>
                <w:rtl/>
                <w:lang w:eastAsia="ar-EG" w:bidi="ar-EG"/>
              </w:rPr>
              <w:t xml:space="preserve"> (</w:t>
            </w:r>
            <w:r w:rsidRPr="00A86211">
              <w:rPr>
                <w:rFonts w:ascii="Arabic Typesetting" w:eastAsia="Arabic Typesetting" w:hAnsi="Arabic Typesetting" w:cs="Arabic Typesetting"/>
                <w:color w:val="000000"/>
                <w:sz w:val="28"/>
                <w:szCs w:val="28"/>
                <w:lang w:eastAsia="ar-EG" w:bidi="ar-EG"/>
              </w:rPr>
              <w:t>35</w:t>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rtl/>
                <w:lang w:eastAsia="ar-EG" w:bidi="ar-EG"/>
              </w:rPr>
              <w:t>مستخدما</w:t>
            </w:r>
            <w:r>
              <w:rPr>
                <w:rFonts w:ascii="Arabic Typesetting" w:eastAsia="Arabic Typesetting" w:hAnsi="Arabic Typesetting" w:cs="Arabic Typesetting" w:hint="cs"/>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 xml:space="preserve"> نشطا</w:t>
            </w:r>
            <w:r>
              <w:rPr>
                <w:rFonts w:ascii="Arabic Typesetting" w:eastAsia="Arabic Typesetting" w:hAnsi="Arabic Typesetting" w:cs="Arabic Typesetting" w:hint="cs"/>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w:t>
            </w:r>
          </w:p>
          <w:p w14:paraId="49E970C6" w14:textId="77777777"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rtl/>
                <w:lang w:eastAsia="ar-EG" w:bidi="ar-EG"/>
              </w:rPr>
              <w:t>(بنهاية 2014)</w:t>
            </w:r>
          </w:p>
        </w:tc>
        <w:tc>
          <w:tcPr>
            <w:tcW w:w="793" w:type="pct"/>
            <w:shd w:val="clear" w:color="auto" w:fill="auto"/>
            <w:tcMar>
              <w:top w:w="110" w:type="dxa"/>
              <w:left w:w="58" w:type="dxa"/>
              <w:right w:w="58" w:type="dxa"/>
            </w:tcMar>
          </w:tcPr>
          <w:p w14:paraId="1B9849DA" w14:textId="77777777" w:rsidR="00CE6E0B" w:rsidRPr="00A86211" w:rsidRDefault="00CE6E0B" w:rsidP="0031289D">
            <w:pPr>
              <w:bidi/>
              <w:spacing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86211">
              <w:rPr>
                <w:rFonts w:ascii="Arabic Typesetting" w:eastAsia="Arabic Typesetting" w:hAnsi="Arabic Typesetting" w:cs="Arabic Typesetting"/>
                <w:color w:val="002060"/>
                <w:sz w:val="28"/>
                <w:szCs w:val="28"/>
                <w:lang w:eastAsia="ar-EG" w:bidi="ar-EG"/>
              </w:rPr>
              <w:t>ARDI</w:t>
            </w:r>
            <w:r>
              <w:rPr>
                <w:rFonts w:ascii="Arabic Typesetting" w:eastAsia="Arabic Typesetting" w:hAnsi="Arabic Typesetting" w:cs="Arabic Typesetting" w:hint="cs"/>
                <w:color w:val="002060"/>
                <w:sz w:val="28"/>
                <w:szCs w:val="28"/>
                <w:rtl/>
                <w:lang w:eastAsia="ar-EG" w:bidi="ar-EG"/>
              </w:rPr>
              <w:t xml:space="preserve"> (900</w:t>
            </w:r>
            <w:r w:rsidRPr="00A86211">
              <w:rPr>
                <w:rFonts w:ascii="Arabic Typesetting" w:eastAsia="Arabic Typesetting" w:hAnsi="Arabic Typesetting" w:cs="Arabic Typesetting"/>
                <w:color w:val="002060"/>
                <w:sz w:val="28"/>
                <w:szCs w:val="28"/>
                <w:rtl/>
                <w:lang w:eastAsia="ar-EG" w:bidi="ar-EG"/>
              </w:rPr>
              <w:t>)</w:t>
            </w:r>
          </w:p>
          <w:p w14:paraId="3C55F594"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color w:val="002060"/>
                <w:sz w:val="28"/>
                <w:szCs w:val="28"/>
                <w:lang w:eastAsia="ar-EG" w:bidi="ar-EG"/>
              </w:rPr>
              <w:t>ASPI</w:t>
            </w:r>
            <w:r>
              <w:rPr>
                <w:rFonts w:ascii="Arabic Typesetting" w:eastAsia="Arabic Typesetting" w:hAnsi="Arabic Typesetting" w:cs="Arabic Typesetting" w:hint="cs"/>
                <w:color w:val="002060"/>
                <w:sz w:val="28"/>
                <w:szCs w:val="28"/>
                <w:rtl/>
                <w:lang w:eastAsia="ar-EG" w:bidi="ar-EG"/>
              </w:rPr>
              <w:t xml:space="preserve"> (55</w:t>
            </w:r>
            <w:r w:rsidRPr="00A86211">
              <w:rPr>
                <w:rFonts w:ascii="Arabic Typesetting" w:eastAsia="Arabic Typesetting" w:hAnsi="Arabic Typesetting" w:cs="Arabic Typesetting"/>
                <w:color w:val="002060"/>
                <w:sz w:val="28"/>
                <w:szCs w:val="28"/>
                <w:rtl/>
                <w:lang w:eastAsia="ar-EG" w:bidi="ar-EG"/>
              </w:rPr>
              <w:t>)</w:t>
            </w:r>
          </w:p>
          <w:p w14:paraId="48BB103F" w14:textId="6088BA93" w:rsidR="00CE6E0B" w:rsidRPr="00A86211" w:rsidRDefault="00CE6E0B" w:rsidP="0031289D">
            <w:pPr>
              <w:bidi/>
              <w:spacing w:after="120" w:line="280" w:lineRule="exact"/>
              <w:ind w:left="-3"/>
              <w:rPr>
                <w:rFonts w:ascii="Arabic Typesetting" w:eastAsia="Arabic Typesetting" w:hAnsi="Arabic Typesetting" w:cs="Arabic Typesetting"/>
                <w:color w:val="000000"/>
                <w:sz w:val="28"/>
                <w:szCs w:val="28"/>
                <w:rtl/>
                <w:lang w:eastAsia="ar-EG" w:bidi="ar-EG"/>
              </w:rPr>
            </w:pPr>
            <w:r w:rsidRPr="00A86211">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A86211">
              <w:rPr>
                <w:rFonts w:ascii="Arabic Typesetting" w:eastAsia="Arabic Typesetting" w:hAnsi="Arabic Typesetting" w:cs="Arabic Typesetting"/>
                <w:i/>
                <w:sz w:val="28"/>
                <w:szCs w:val="28"/>
                <w:lang w:eastAsia="ar-EG" w:bidi="ar-EG"/>
              </w:rPr>
              <w:br/>
            </w:r>
            <w:r w:rsidRPr="00A862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sz w:val="28"/>
                <w:szCs w:val="28"/>
                <w:lang w:eastAsia="ar-EG" w:bidi="ar-EG"/>
              </w:rPr>
              <w:t>ARDI</w:t>
            </w:r>
            <w:r>
              <w:rPr>
                <w:rFonts w:ascii="Arabic Typesetting" w:eastAsia="Arabic Typesetting" w:hAnsi="Arabic Typesetting" w:cs="Arabic Typesetting" w:hint="cs"/>
                <w:sz w:val="28"/>
                <w:szCs w:val="28"/>
                <w:rtl/>
                <w:lang w:eastAsia="ar-EG" w:bidi="ar-EG"/>
              </w:rPr>
              <w:t xml:space="preserve"> (600)</w:t>
            </w:r>
            <w:r>
              <w:rPr>
                <w:rFonts w:ascii="Arabic Typesetting" w:eastAsia="Arabic Typesetting" w:hAnsi="Arabic Typesetting" w:cs="Arabic Typesetting"/>
                <w:sz w:val="28"/>
                <w:szCs w:val="28"/>
                <w:rtl/>
                <w:lang w:eastAsia="ar-EG" w:bidi="ar-EG"/>
              </w:rPr>
              <w:br/>
            </w:r>
            <w:r>
              <w:rPr>
                <w:rFonts w:ascii="Arabic Typesetting" w:eastAsia="Arabic Typesetting" w:hAnsi="Arabic Typesetting" w:cs="Arabic Typesetting"/>
                <w:color w:val="000000"/>
                <w:sz w:val="28"/>
                <w:szCs w:val="28"/>
                <w:lang w:eastAsia="ar-EG" w:bidi="ar-EG"/>
              </w:rPr>
              <w:t>ASPI</w:t>
            </w:r>
            <w:r>
              <w:rPr>
                <w:rFonts w:ascii="Arabic Typesetting" w:eastAsia="Arabic Typesetting" w:hAnsi="Arabic Typesetting" w:cs="Arabic Typesetting" w:hint="cs"/>
                <w:color w:val="000000"/>
                <w:sz w:val="28"/>
                <w:szCs w:val="28"/>
                <w:rtl/>
                <w:lang w:eastAsia="ar-EG" w:bidi="ar-EG"/>
              </w:rPr>
              <w:t xml:space="preserve"> (60)</w:t>
            </w:r>
          </w:p>
        </w:tc>
        <w:tc>
          <w:tcPr>
            <w:tcW w:w="1259" w:type="pct"/>
            <w:shd w:val="clear" w:color="auto" w:fill="FFFFFF"/>
            <w:tcMar>
              <w:top w:w="110" w:type="dxa"/>
              <w:left w:w="58" w:type="dxa"/>
              <w:right w:w="58" w:type="dxa"/>
            </w:tcMar>
          </w:tcPr>
          <w:p w14:paraId="4B6B26CA" w14:textId="77777777" w:rsidR="00CE6E0B" w:rsidRPr="00A86211" w:rsidRDefault="00CE6E0B" w:rsidP="0031289D">
            <w:pPr>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sz w:val="28"/>
                <w:szCs w:val="28"/>
                <w:lang w:eastAsia="ar-EG" w:bidi="ar-EG"/>
              </w:rPr>
              <w:t>ARDI</w:t>
            </w:r>
            <w:r>
              <w:rPr>
                <w:rFonts w:ascii="Arabic Typesetting" w:eastAsia="Arabic Typesetting" w:hAnsi="Arabic Typesetting" w:cs="Arabic Typesetting" w:hint="cs"/>
                <w:sz w:val="28"/>
                <w:szCs w:val="28"/>
                <w:rtl/>
                <w:lang w:eastAsia="ar-EG" w:bidi="ar-EG"/>
              </w:rPr>
              <w:t xml:space="preserve"> (800</w:t>
            </w:r>
            <w:r>
              <w:rPr>
                <w:rFonts w:ascii="Arabic Typesetting" w:eastAsia="Arabic Typesetting" w:hAnsi="Arabic Typesetting" w:cs="Arabic Typesetting"/>
                <w:sz w:val="28"/>
                <w:szCs w:val="28"/>
                <w:lang w:eastAsia="ar-EG" w:bidi="ar-EG"/>
              </w:rPr>
              <w:t>(</w:t>
            </w:r>
            <w:r>
              <w:rPr>
                <w:rFonts w:ascii="Arabic Typesetting" w:eastAsia="Arabic Typesetting" w:hAnsi="Arabic Typesetting" w:cs="Arabic Typesetting"/>
                <w:sz w:val="28"/>
                <w:szCs w:val="28"/>
                <w:rtl/>
                <w:lang w:eastAsia="ar-EG" w:bidi="ar-EG"/>
              </w:rPr>
              <w:br/>
            </w:r>
            <w:r>
              <w:rPr>
                <w:rFonts w:ascii="Arabic Typesetting" w:eastAsia="Arabic Typesetting" w:hAnsi="Arabic Typesetting" w:cs="Arabic Typesetting"/>
                <w:sz w:val="28"/>
                <w:szCs w:val="28"/>
                <w:lang w:eastAsia="ar-EG" w:bidi="ar-EG"/>
              </w:rPr>
              <w:t>ASPI</w:t>
            </w:r>
            <w:r>
              <w:rPr>
                <w:rFonts w:ascii="Arabic Typesetting" w:eastAsia="Arabic Typesetting" w:hAnsi="Arabic Typesetting" w:cs="Arabic Typesetting" w:hint="cs"/>
                <w:sz w:val="28"/>
                <w:szCs w:val="28"/>
                <w:rtl/>
                <w:lang w:eastAsia="ar-EG" w:bidi="ar-EG"/>
              </w:rPr>
              <w:t xml:space="preserve"> (55)</w:t>
            </w:r>
          </w:p>
        </w:tc>
        <w:tc>
          <w:tcPr>
            <w:tcW w:w="514" w:type="pct"/>
            <w:shd w:val="clear" w:color="auto" w:fill="auto"/>
            <w:tcMar>
              <w:top w:w="110" w:type="dxa"/>
              <w:left w:w="58" w:type="dxa"/>
              <w:right w:w="58" w:type="dxa"/>
            </w:tcMar>
          </w:tcPr>
          <w:p w14:paraId="68BBEE6B" w14:textId="77777777" w:rsidR="00CE6E0B" w:rsidRPr="00A86211" w:rsidRDefault="00CE6E0B" w:rsidP="0031289D">
            <w:pPr>
              <w:keepNext/>
              <w:bidi/>
              <w:spacing w:after="120" w:line="280" w:lineRule="exact"/>
              <w:jc w:val="center"/>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b/>
                <w:bCs/>
                <w:color w:val="00B050"/>
                <w:sz w:val="28"/>
                <w:szCs w:val="28"/>
                <w:rtl/>
                <w:lang w:eastAsia="ar-EG" w:bidi="ar-EG"/>
              </w:rPr>
              <w:t>ثابت</w:t>
            </w:r>
          </w:p>
        </w:tc>
      </w:tr>
      <w:tr w:rsidR="00CE6E0B" w:rsidRPr="00A86211" w14:paraId="3FF24250" w14:textId="77777777" w:rsidTr="00BB3820">
        <w:trPr>
          <w:trHeight w:val="1504"/>
        </w:trPr>
        <w:tc>
          <w:tcPr>
            <w:tcW w:w="1165" w:type="pct"/>
            <w:shd w:val="clear" w:color="auto" w:fill="auto"/>
            <w:tcMar>
              <w:left w:w="58" w:type="dxa"/>
              <w:right w:w="58" w:type="dxa"/>
            </w:tcMar>
          </w:tcPr>
          <w:p w14:paraId="4E7281E1" w14:textId="77777777"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rtl/>
                <w:lang w:eastAsia="ar-EG" w:bidi="ar-EG"/>
              </w:rPr>
              <w:t>عدد الطلبات المقدمة إلى مراكز دعم التكنولوجيا والابتكار في إطار مشروع الخدمات التجريبية (</w:t>
            </w:r>
            <w:r w:rsidRPr="00A86211">
              <w:rPr>
                <w:rFonts w:ascii="Arabic Typesetting" w:eastAsia="Arabic Typesetting" w:hAnsi="Arabic Typesetting" w:cs="Arabic Typesetting"/>
                <w:color w:val="000000"/>
                <w:sz w:val="28"/>
                <w:szCs w:val="28"/>
                <w:lang w:eastAsia="ar-EG" w:bidi="ar-EG"/>
              </w:rPr>
              <w:t>TISC Clinic</w:t>
            </w:r>
            <w:r w:rsidRPr="00A86211">
              <w:rPr>
                <w:rFonts w:ascii="Arabic Typesetting" w:eastAsia="Arabic Typesetting" w:hAnsi="Arabic Typesetting" w:cs="Arabic Typesetting"/>
                <w:color w:val="000000"/>
                <w:sz w:val="28"/>
                <w:szCs w:val="28"/>
                <w:rtl/>
                <w:lang w:eastAsia="ar-EG" w:bidi="ar-EG"/>
              </w:rPr>
              <w:t>)</w:t>
            </w:r>
          </w:p>
        </w:tc>
        <w:tc>
          <w:tcPr>
            <w:tcW w:w="1269" w:type="pct"/>
            <w:shd w:val="clear" w:color="auto" w:fill="auto"/>
            <w:tcMar>
              <w:left w:w="58" w:type="dxa"/>
              <w:right w:w="58" w:type="dxa"/>
            </w:tcMar>
          </w:tcPr>
          <w:p w14:paraId="19ED68F6"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86211">
              <w:rPr>
                <w:rFonts w:ascii="Arabic Typesetting" w:eastAsia="Arabic Typesetting" w:hAnsi="Arabic Typesetting" w:cs="Arabic Typesetting"/>
                <w:color w:val="002060"/>
                <w:sz w:val="28"/>
                <w:szCs w:val="28"/>
                <w:rtl/>
                <w:lang w:eastAsia="ar-EG" w:bidi="ar-EG"/>
              </w:rPr>
              <w:t>0 (صفر)</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sidRPr="00A86211">
              <w:rPr>
                <w:rFonts w:ascii="Arabic Typesetting" w:eastAsia="Arabic Typesetting" w:hAnsi="Arabic Typesetting" w:cs="Arabic Typesetting"/>
                <w:color w:val="002060"/>
                <w:sz w:val="28"/>
                <w:szCs w:val="28"/>
                <w:rtl/>
                <w:lang w:eastAsia="ar-EG" w:bidi="ar-EG"/>
              </w:rPr>
              <w:t>عدد الخدمات التجريبية الموضوعة قبل عام 2016</w:t>
            </w:r>
          </w:p>
          <w:p w14:paraId="43E05F23" w14:textId="77777777"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A86211">
              <w:rPr>
                <w:rFonts w:ascii="Arabic Typesetting" w:eastAsia="Arabic Typesetting" w:hAnsi="Arabic Typesetting" w:cs="Arabic Typesetting"/>
                <w:i/>
                <w:iCs/>
                <w:sz w:val="28"/>
                <w:szCs w:val="28"/>
                <w:rtl/>
                <w:lang w:eastAsia="ar-EG" w:bidi="ar-EG"/>
              </w:rPr>
              <w:t>:</w:t>
            </w:r>
            <w:r w:rsidRPr="00A86211">
              <w:rPr>
                <w:rFonts w:ascii="Arabic Typesetting" w:eastAsia="Arabic Typesetting" w:hAnsi="Arabic Typesetting" w:cs="Arabic Typesetting"/>
                <w:i/>
                <w:sz w:val="28"/>
                <w:szCs w:val="28"/>
                <w:lang w:eastAsia="ar-EG" w:bidi="ar-EG"/>
              </w:rPr>
              <w:br/>
            </w:r>
            <w:r w:rsidRPr="00A862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غير متاح</w:t>
            </w:r>
            <w:r w:rsidRPr="00A86211">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جديد</w:t>
            </w:r>
            <w:r w:rsidRPr="00A86211">
              <w:rPr>
                <w:rFonts w:ascii="Arabic Typesetting" w:eastAsia="Arabic Typesetting" w:hAnsi="Arabic Typesetting" w:cs="Arabic Typesetting"/>
                <w:color w:val="000000"/>
                <w:sz w:val="28"/>
                <w:szCs w:val="28"/>
                <w:rtl/>
                <w:lang w:eastAsia="ar-EG" w:bidi="ar-EG"/>
              </w:rPr>
              <w:t>)</w:t>
            </w:r>
          </w:p>
        </w:tc>
        <w:tc>
          <w:tcPr>
            <w:tcW w:w="793" w:type="pct"/>
            <w:shd w:val="clear" w:color="auto" w:fill="auto"/>
            <w:tcMar>
              <w:top w:w="110" w:type="dxa"/>
              <w:left w:w="58" w:type="dxa"/>
              <w:right w:w="58" w:type="dxa"/>
            </w:tcMar>
          </w:tcPr>
          <w:p w14:paraId="72D48548" w14:textId="7CC0FD56" w:rsidR="00CE6E0B" w:rsidRDefault="00CE6E0B" w:rsidP="007F2033">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i/>
                <w:iCs/>
                <w:color w:val="002060"/>
                <w:sz w:val="28"/>
                <w:szCs w:val="28"/>
                <w:rtl/>
                <w:lang w:eastAsia="ar-EG" w:bidi="ar-EG"/>
              </w:rPr>
              <w:t>الهدف المحدَّث:</w:t>
            </w:r>
            <w:r w:rsidR="007F2033">
              <w:rPr>
                <w:rFonts w:ascii="Arabic Typesetting" w:eastAsia="Arabic Typesetting" w:hAnsi="Arabic Typesetting" w:cs="Arabic Typesetting"/>
                <w:i/>
                <w:iCs/>
                <w:color w:val="002060"/>
                <w:sz w:val="28"/>
                <w:szCs w:val="28"/>
                <w:rtl/>
                <w:lang w:eastAsia="ar-EG" w:bidi="ar-EG"/>
              </w:rPr>
              <w:br/>
            </w:r>
            <w:r w:rsidRPr="00A86211">
              <w:rPr>
                <w:rFonts w:ascii="Arabic Typesetting" w:eastAsia="Arabic Typesetting" w:hAnsi="Arabic Typesetting" w:cs="Arabic Typesetting"/>
                <w:color w:val="002060"/>
                <w:sz w:val="28"/>
                <w:szCs w:val="28"/>
                <w:rtl/>
                <w:lang w:eastAsia="ar-EG" w:bidi="ar-EG"/>
              </w:rPr>
              <w:t>40</w:t>
            </w:r>
          </w:p>
          <w:p w14:paraId="5E0A08DA" w14:textId="786A88F8"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A86211">
              <w:rPr>
                <w:rFonts w:ascii="Arabic Typesetting" w:eastAsia="Arabic Typesetting" w:hAnsi="Arabic Typesetting" w:cs="Arabic Typesetting"/>
                <w:i/>
                <w:sz w:val="28"/>
                <w:szCs w:val="28"/>
                <w:lang w:eastAsia="ar-EG" w:bidi="ar-EG"/>
              </w:rPr>
              <w:br/>
            </w:r>
            <w:r w:rsidRPr="00A862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A86211">
              <w:rPr>
                <w:rFonts w:ascii="Arabic Typesetting" w:eastAsia="Arabic Typesetting" w:hAnsi="Arabic Typesetting" w:cs="Arabic Typesetting"/>
                <w:sz w:val="28"/>
                <w:szCs w:val="28"/>
                <w:rtl/>
                <w:lang w:eastAsia="ar-EG" w:bidi="ar-EG"/>
              </w:rPr>
              <w:t>10</w:t>
            </w:r>
          </w:p>
        </w:tc>
        <w:tc>
          <w:tcPr>
            <w:tcW w:w="1259" w:type="pct"/>
            <w:shd w:val="clear" w:color="auto" w:fill="FFFFFF"/>
            <w:tcMar>
              <w:top w:w="110" w:type="dxa"/>
              <w:left w:w="58" w:type="dxa"/>
              <w:right w:w="58" w:type="dxa"/>
            </w:tcMar>
          </w:tcPr>
          <w:p w14:paraId="42026A0A" w14:textId="77777777" w:rsidR="00CE6E0B" w:rsidRPr="00A86211" w:rsidRDefault="00CE6E0B" w:rsidP="0031289D">
            <w:pPr>
              <w:keepNext/>
              <w:bidi/>
              <w:spacing w:after="120" w:line="280" w:lineRule="exact"/>
              <w:rPr>
                <w:rFonts w:ascii="Arabic Typesetting" w:eastAsia="Arabic Typesetting" w:hAnsi="Arabic Typesetting" w:cs="Arabic Typesetting"/>
                <w:sz w:val="28"/>
                <w:szCs w:val="28"/>
                <w:lang w:eastAsia="ar-EG" w:bidi="ar-EG"/>
              </w:rPr>
            </w:pPr>
            <w:r w:rsidRPr="00A86211">
              <w:rPr>
                <w:rFonts w:ascii="Arabic Typesetting" w:eastAsia="Arabic Typesetting" w:hAnsi="Arabic Typesetting" w:cs="Arabic Typesetting"/>
                <w:sz w:val="28"/>
                <w:szCs w:val="28"/>
                <w:rtl/>
                <w:lang w:eastAsia="ar-EG" w:bidi="ar-EG"/>
              </w:rPr>
              <w:t>35 التماسا في عام 2016</w:t>
            </w:r>
          </w:p>
        </w:tc>
        <w:tc>
          <w:tcPr>
            <w:tcW w:w="514" w:type="pct"/>
            <w:shd w:val="clear" w:color="auto" w:fill="auto"/>
            <w:tcMar>
              <w:top w:w="110" w:type="dxa"/>
              <w:left w:w="58" w:type="dxa"/>
              <w:right w:w="58" w:type="dxa"/>
            </w:tcMar>
          </w:tcPr>
          <w:p w14:paraId="71AAC91D" w14:textId="77777777" w:rsidR="00CE6E0B" w:rsidRPr="00A86211" w:rsidRDefault="00CE6E0B" w:rsidP="0031289D">
            <w:pPr>
              <w:keepNext/>
              <w:bidi/>
              <w:spacing w:after="120" w:line="280" w:lineRule="exact"/>
              <w:jc w:val="center"/>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b/>
                <w:bCs/>
                <w:color w:val="00B050"/>
                <w:sz w:val="28"/>
                <w:szCs w:val="28"/>
                <w:rtl/>
                <w:lang w:eastAsia="ar-EG" w:bidi="ar-EG"/>
              </w:rPr>
              <w:t>ثابت</w:t>
            </w:r>
          </w:p>
        </w:tc>
      </w:tr>
      <w:tr w:rsidR="00CE6E0B" w:rsidRPr="00A86211" w14:paraId="1B242A94" w14:textId="77777777" w:rsidTr="00BB3820">
        <w:trPr>
          <w:trHeight w:val="1374"/>
        </w:trPr>
        <w:tc>
          <w:tcPr>
            <w:tcW w:w="1165" w:type="pct"/>
            <w:shd w:val="clear" w:color="auto" w:fill="auto"/>
            <w:tcMar>
              <w:left w:w="58" w:type="dxa"/>
              <w:right w:w="58" w:type="dxa"/>
            </w:tcMar>
          </w:tcPr>
          <w:p w14:paraId="4BE6DCBD" w14:textId="77777777"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color w:val="000000"/>
                <w:sz w:val="28"/>
                <w:szCs w:val="28"/>
                <w:rtl/>
                <w:lang w:eastAsia="ar-EG" w:bidi="ar-EG"/>
              </w:rPr>
              <w:t>عدد مراكز دعم التكنولوجيا والابتكار التي تقدم خدمات تحليلية في مجال البراءات</w:t>
            </w:r>
          </w:p>
        </w:tc>
        <w:tc>
          <w:tcPr>
            <w:tcW w:w="1269" w:type="pct"/>
            <w:shd w:val="clear" w:color="auto" w:fill="auto"/>
            <w:tcMar>
              <w:left w:w="58" w:type="dxa"/>
              <w:right w:w="58" w:type="dxa"/>
            </w:tcMar>
          </w:tcPr>
          <w:p w14:paraId="72AF2B27" w14:textId="77777777" w:rsidR="00CE6E0B" w:rsidRDefault="00CE6E0B" w:rsidP="0031289D">
            <w:pPr>
              <w:bidi/>
              <w:spacing w:after="120" w:line="280" w:lineRule="exact"/>
              <w:rPr>
                <w:rFonts w:ascii="Arabic Typesetting" w:eastAsia="Arabic Typesetting" w:hAnsi="Arabic Typesetting" w:cs="Arabic Typesetting"/>
                <w:color w:val="002060"/>
                <w:sz w:val="28"/>
                <w:szCs w:val="28"/>
                <w:lang w:eastAsia="ar-EG" w:bidi="ar-EG"/>
              </w:rPr>
            </w:pPr>
            <w:r w:rsidRPr="00A8621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A86211">
              <w:rPr>
                <w:rFonts w:ascii="Arabic Typesetting" w:eastAsia="Arabic Typesetting" w:hAnsi="Arabic Typesetting" w:cs="Arabic Typesetting"/>
                <w:color w:val="002060"/>
                <w:sz w:val="28"/>
                <w:szCs w:val="28"/>
                <w:rtl/>
                <w:lang w:eastAsia="ar-EG" w:bidi="ar-EG"/>
              </w:rPr>
              <w:t>0 (صفر)</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A86211">
              <w:rPr>
                <w:rFonts w:ascii="Arabic Typesetting" w:eastAsia="Arabic Typesetting" w:hAnsi="Arabic Typesetting" w:cs="Arabic Typesetting"/>
                <w:color w:val="002060"/>
                <w:sz w:val="28"/>
                <w:szCs w:val="28"/>
                <w:rtl/>
                <w:lang w:eastAsia="ar-EG" w:bidi="ar-EG"/>
              </w:rPr>
              <w:t>عدد مراكز دعم التكنولوجيا والابتكار التي وفرت خدمات تحليلية في مجال البراءات قبل عام 2016</w:t>
            </w:r>
          </w:p>
          <w:p w14:paraId="451777F8" w14:textId="77777777" w:rsidR="00CE6E0B" w:rsidRPr="00A86211" w:rsidRDefault="00CE6E0B" w:rsidP="0031289D">
            <w:pPr>
              <w:bidi/>
              <w:spacing w:after="120" w:line="280" w:lineRule="exact"/>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A86211">
              <w:rPr>
                <w:rFonts w:ascii="Arabic Typesetting" w:eastAsia="Arabic Typesetting" w:hAnsi="Arabic Typesetting" w:cs="Arabic Typesetting"/>
                <w:i/>
                <w:iCs/>
                <w:sz w:val="28"/>
                <w:szCs w:val="28"/>
                <w:rtl/>
                <w:lang w:eastAsia="ar-EG" w:bidi="ar-EG"/>
              </w:rPr>
              <w:t>:</w:t>
            </w:r>
            <w:r w:rsidRPr="00A86211">
              <w:rPr>
                <w:rFonts w:ascii="Arabic Typesetting" w:eastAsia="Arabic Typesetting" w:hAnsi="Arabic Typesetting" w:cs="Arabic Typesetting"/>
                <w:i/>
                <w:sz w:val="28"/>
                <w:szCs w:val="28"/>
                <w:lang w:eastAsia="ar-EG" w:bidi="ar-EG"/>
              </w:rPr>
              <w:br/>
            </w:r>
            <w:r w:rsidRPr="00A8621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غير متاح (جديد</w:t>
            </w:r>
            <w:r w:rsidRPr="00A86211">
              <w:rPr>
                <w:rFonts w:ascii="Arabic Typesetting" w:eastAsia="Arabic Typesetting" w:hAnsi="Arabic Typesetting" w:cs="Arabic Typesetting"/>
                <w:color w:val="000000"/>
                <w:sz w:val="28"/>
                <w:szCs w:val="28"/>
                <w:rtl/>
                <w:lang w:eastAsia="ar-EG" w:bidi="ar-EG"/>
              </w:rPr>
              <w:t>)</w:t>
            </w:r>
          </w:p>
        </w:tc>
        <w:tc>
          <w:tcPr>
            <w:tcW w:w="793" w:type="pct"/>
            <w:shd w:val="clear" w:color="auto" w:fill="auto"/>
            <w:tcMar>
              <w:top w:w="110" w:type="dxa"/>
              <w:left w:w="58" w:type="dxa"/>
              <w:right w:w="58" w:type="dxa"/>
            </w:tcMar>
          </w:tcPr>
          <w:p w14:paraId="3062483A" w14:textId="77777777" w:rsidR="00CE6E0B" w:rsidRDefault="00CE6E0B"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A8621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br/>
            </w:r>
            <w:r w:rsidRPr="00A86211">
              <w:rPr>
                <w:rFonts w:ascii="Arabic Typesetting" w:eastAsia="Arabic Typesetting" w:hAnsi="Arabic Typesetting" w:cs="Arabic Typesetting"/>
                <w:i/>
                <w:iCs/>
                <w:color w:val="002060"/>
                <w:sz w:val="28"/>
                <w:szCs w:val="28"/>
                <w:rtl/>
                <w:lang w:eastAsia="ar-EG" w:bidi="ar-EG"/>
              </w:rPr>
              <w:t>7</w:t>
            </w:r>
          </w:p>
          <w:p w14:paraId="45799876" w14:textId="77777777" w:rsidR="00CE6E0B" w:rsidRPr="00A86211" w:rsidRDefault="00CE6E0B" w:rsidP="0031289D">
            <w:pPr>
              <w:bidi/>
              <w:spacing w:after="120" w:line="280" w:lineRule="exact"/>
              <w:rPr>
                <w:rFonts w:ascii="Arabic Typesetting" w:eastAsia="Arabic Typesetting" w:hAnsi="Arabic Typesetting" w:cs="Arabic Typesetting"/>
                <w:i/>
                <w:color w:val="000000"/>
                <w:sz w:val="28"/>
                <w:szCs w:val="28"/>
                <w:lang w:eastAsia="ar-EG" w:bidi="ar-EG"/>
              </w:rPr>
            </w:pPr>
            <w:r w:rsidRPr="00A86211">
              <w:rPr>
                <w:rFonts w:ascii="Arabic Typesetting" w:eastAsia="Arabic Typesetting" w:hAnsi="Arabic Typesetting" w:cs="Arabic Typesetting"/>
                <w:i/>
                <w:iCs/>
                <w:color w:val="000000"/>
                <w:sz w:val="28"/>
                <w:szCs w:val="28"/>
                <w:rtl/>
                <w:lang w:eastAsia="ar-EG" w:bidi="ar-EG"/>
              </w:rPr>
              <w:t>الهدف الأصلي:</w:t>
            </w:r>
            <w:r>
              <w:rPr>
                <w:rFonts w:ascii="Arabic Typesetting" w:eastAsia="Arabic Typesetting" w:hAnsi="Arabic Typesetting" w:cs="Arabic Typesetting"/>
                <w:i/>
                <w:iCs/>
                <w:color w:val="000000"/>
                <w:sz w:val="28"/>
                <w:szCs w:val="28"/>
                <w:rtl/>
                <w:lang w:eastAsia="ar-EG" w:bidi="ar-EG"/>
              </w:rPr>
              <w:br/>
            </w:r>
            <w:r w:rsidRPr="00A86211">
              <w:rPr>
                <w:rFonts w:ascii="Arabic Typesetting" w:eastAsia="Arabic Typesetting" w:hAnsi="Arabic Typesetting" w:cs="Arabic Typesetting"/>
                <w:i/>
                <w:iCs/>
                <w:color w:val="000000"/>
                <w:sz w:val="28"/>
                <w:szCs w:val="28"/>
                <w:rtl/>
                <w:lang w:eastAsia="ar-EG" w:bidi="ar-EG"/>
              </w:rPr>
              <w:t>5</w:t>
            </w:r>
          </w:p>
        </w:tc>
        <w:tc>
          <w:tcPr>
            <w:tcW w:w="1259" w:type="pct"/>
            <w:shd w:val="clear" w:color="auto" w:fill="FFFFFF"/>
            <w:tcMar>
              <w:top w:w="110" w:type="dxa"/>
              <w:left w:w="58" w:type="dxa"/>
              <w:right w:w="58" w:type="dxa"/>
            </w:tcMar>
          </w:tcPr>
          <w:p w14:paraId="64DAB3F7" w14:textId="77777777" w:rsidR="00CE6E0B" w:rsidRPr="00A86211" w:rsidRDefault="00CE6E0B" w:rsidP="0031289D">
            <w:pPr>
              <w:keepNext/>
              <w:bidi/>
              <w:spacing w:after="120" w:line="280" w:lineRule="exact"/>
              <w:rPr>
                <w:rFonts w:ascii="Arabic Typesetting" w:eastAsia="Arabic Typesetting" w:hAnsi="Arabic Typesetting" w:cs="Arabic Typesetting"/>
                <w:color w:val="000000"/>
                <w:spacing w:val="-2"/>
                <w:sz w:val="28"/>
                <w:szCs w:val="28"/>
                <w:lang w:eastAsia="ar-EG" w:bidi="ar-EG"/>
              </w:rPr>
            </w:pPr>
            <w:r w:rsidRPr="00A86211">
              <w:rPr>
                <w:rFonts w:ascii="Arabic Typesetting" w:eastAsia="Arabic Typesetting" w:hAnsi="Arabic Typesetting" w:cs="Arabic Typesetting"/>
                <w:color w:val="000000"/>
                <w:spacing w:val="-2"/>
                <w:sz w:val="28"/>
                <w:szCs w:val="28"/>
                <w:rtl/>
                <w:lang w:eastAsia="ar-EG" w:bidi="ar-EG"/>
              </w:rPr>
              <w:t xml:space="preserve">6 (انظر مستوى النضج الثالث </w:t>
            </w:r>
            <w:r w:rsidRPr="009C2F51">
              <w:rPr>
                <w:rFonts w:ascii="Arabic Typesetting" w:eastAsia="Arabic Typesetting" w:hAnsi="Arabic Typesetting" w:cs="Arabic Typesetting" w:hint="cs"/>
                <w:color w:val="000000"/>
                <w:spacing w:val="-2"/>
                <w:sz w:val="28"/>
                <w:szCs w:val="28"/>
                <w:rtl/>
                <w:lang w:eastAsia="ar-EG" w:bidi="ar-EG"/>
              </w:rPr>
              <w:t>أعلاه</w:t>
            </w:r>
            <w:r w:rsidRPr="00A86211">
              <w:rPr>
                <w:rFonts w:ascii="Arabic Typesetting" w:eastAsia="Arabic Typesetting" w:hAnsi="Arabic Typesetting" w:cs="Arabic Typesetting"/>
                <w:color w:val="000000"/>
                <w:spacing w:val="-2"/>
                <w:sz w:val="28"/>
                <w:szCs w:val="28"/>
                <w:rtl/>
                <w:lang w:eastAsia="ar-EG" w:bidi="ar-EG"/>
              </w:rPr>
              <w:t>)</w:t>
            </w:r>
          </w:p>
        </w:tc>
        <w:tc>
          <w:tcPr>
            <w:tcW w:w="514" w:type="pct"/>
            <w:shd w:val="clear" w:color="auto" w:fill="auto"/>
            <w:tcMar>
              <w:top w:w="110" w:type="dxa"/>
              <w:left w:w="58" w:type="dxa"/>
              <w:right w:w="58" w:type="dxa"/>
            </w:tcMar>
          </w:tcPr>
          <w:p w14:paraId="3537076A" w14:textId="77777777" w:rsidR="00CE6E0B" w:rsidRPr="00A86211" w:rsidRDefault="00CE6E0B" w:rsidP="0031289D">
            <w:pPr>
              <w:keepNext/>
              <w:bidi/>
              <w:spacing w:after="120" w:line="280" w:lineRule="exact"/>
              <w:jc w:val="center"/>
              <w:rPr>
                <w:rFonts w:ascii="Arabic Typesetting" w:eastAsia="Arabic Typesetting" w:hAnsi="Arabic Typesetting" w:cs="Arabic Typesetting"/>
                <w:color w:val="000000"/>
                <w:sz w:val="28"/>
                <w:szCs w:val="28"/>
                <w:lang w:eastAsia="ar-EG" w:bidi="ar-EG"/>
              </w:rPr>
            </w:pPr>
            <w:r w:rsidRPr="00A86211">
              <w:rPr>
                <w:rFonts w:ascii="Arabic Typesetting" w:eastAsia="Arabic Typesetting" w:hAnsi="Arabic Typesetting" w:cs="Arabic Typesetting"/>
                <w:b/>
                <w:bCs/>
                <w:color w:val="00B050"/>
                <w:sz w:val="28"/>
                <w:szCs w:val="28"/>
                <w:rtl/>
                <w:lang w:eastAsia="ar-EG" w:bidi="ar-EG"/>
              </w:rPr>
              <w:t>ثابت</w:t>
            </w:r>
          </w:p>
        </w:tc>
      </w:tr>
    </w:tbl>
    <w:p w14:paraId="558224AA" w14:textId="77777777" w:rsidR="00CE6E0B" w:rsidRDefault="00CE6E0B" w:rsidP="0031289D">
      <w:pPr>
        <w:bidi/>
      </w:pPr>
    </w:p>
    <w:tbl>
      <w:tblPr>
        <w:tblStyle w:val="TableGrid"/>
        <w:bidiVisual/>
        <w:tblW w:w="0" w:type="auto"/>
        <w:tblLook w:val="04A0" w:firstRow="1" w:lastRow="0" w:firstColumn="1" w:lastColumn="0" w:noHBand="0" w:noVBand="1"/>
      </w:tblPr>
      <w:tblGrid>
        <w:gridCol w:w="9571"/>
      </w:tblGrid>
      <w:tr w:rsidR="00CE6E0B" w14:paraId="3D82DA7A" w14:textId="77777777" w:rsidTr="00BB3820">
        <w:tc>
          <w:tcPr>
            <w:tcW w:w="9571" w:type="dxa"/>
            <w:tcBorders>
              <w:top w:val="nil"/>
              <w:left w:val="nil"/>
              <w:bottom w:val="nil"/>
              <w:right w:val="nil"/>
            </w:tcBorders>
            <w:shd w:val="clear" w:color="auto" w:fill="C6D9F1"/>
            <w:vAlign w:val="center"/>
          </w:tcPr>
          <w:p w14:paraId="7CC570BC" w14:textId="73A028F0" w:rsidR="00CE6E0B" w:rsidRPr="00A2672B" w:rsidRDefault="00CE6E0B" w:rsidP="00E335D4">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sidRPr="00A2672B">
              <w:rPr>
                <w:rFonts w:ascii="Arabic Typesetting" w:hAnsi="Arabic Typesetting" w:cs="Arabic Typesetting"/>
                <w:b/>
                <w:bCs/>
                <w:sz w:val="34"/>
                <w:szCs w:val="34"/>
                <w:rtl/>
                <w:lang w:bidi="ar-EG"/>
              </w:rPr>
              <w:t xml:space="preserve">ام موارد البرنامج </w:t>
            </w:r>
            <w:r w:rsidR="00E03348">
              <w:rPr>
                <w:rFonts w:ascii="Arabic Typesetting" w:hAnsi="Arabic Typesetting" w:cs="Arabic Typesetting" w:hint="cs"/>
                <w:b/>
                <w:bCs/>
                <w:sz w:val="34"/>
                <w:szCs w:val="34"/>
                <w:rtl/>
                <w:lang w:bidi="ar-EG"/>
              </w:rPr>
              <w:t>14</w:t>
            </w:r>
          </w:p>
        </w:tc>
      </w:tr>
    </w:tbl>
    <w:p w14:paraId="60044FA9" w14:textId="77777777" w:rsidR="00CE6E0B" w:rsidRPr="00FE3908"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20710254" w14:textId="77777777" w:rsidR="00CE6E0B" w:rsidRDefault="00CE6E0B"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E6E0B" w:rsidRPr="00211D55" w14:paraId="1D1086FC"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2A7314A1"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1BEB1C3D"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25A70908" w14:textId="77777777" w:rsidR="00CE6E0B" w:rsidRPr="00A2672B" w:rsidRDefault="00CE6E0B"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14124C94" w14:textId="77777777" w:rsidR="00CE6E0B" w:rsidRPr="00A2672B" w:rsidRDefault="00CE6E0B"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CE6E0B" w:rsidRPr="00211D55" w14:paraId="3E7E0B50" w14:textId="77777777" w:rsidTr="00BB3820">
        <w:trPr>
          <w:trHeight w:val="55"/>
        </w:trPr>
        <w:tc>
          <w:tcPr>
            <w:tcW w:w="413" w:type="pct"/>
            <w:shd w:val="clear" w:color="auto" w:fill="auto"/>
            <w:noWrap/>
            <w:tcMar>
              <w:top w:w="15" w:type="dxa"/>
              <w:left w:w="15" w:type="dxa"/>
              <w:bottom w:w="0" w:type="dxa"/>
              <w:right w:w="15" w:type="dxa"/>
            </w:tcMar>
            <w:vAlign w:val="center"/>
          </w:tcPr>
          <w:p w14:paraId="1E173463" w14:textId="77777777" w:rsidR="00CE6E0B" w:rsidRPr="00211D55" w:rsidRDefault="00CE6E0B" w:rsidP="0031289D">
            <w:pPr>
              <w:bidi/>
              <w:spacing w:before="120" w:after="120"/>
              <w:rPr>
                <w:rFonts w:ascii="Arabic Typesetting" w:hAnsi="Arabic Typesetting" w:cs="Arabic Typesetting"/>
                <w:sz w:val="28"/>
                <w:szCs w:val="28"/>
              </w:rPr>
            </w:pPr>
            <w:r w:rsidRPr="00A86211">
              <w:rPr>
                <w:rFonts w:ascii="Arabic Typesetting" w:hAnsi="Arabic Typesetting" w:cs="Arabic Typesetting"/>
                <w:sz w:val="28"/>
                <w:szCs w:val="28"/>
                <w:rtl/>
              </w:rPr>
              <w:t>ھ2.4</w:t>
            </w:r>
          </w:p>
        </w:tc>
        <w:tc>
          <w:tcPr>
            <w:tcW w:w="2340" w:type="pct"/>
            <w:shd w:val="clear" w:color="auto" w:fill="auto"/>
            <w:tcMar>
              <w:top w:w="15" w:type="dxa"/>
              <w:left w:w="15" w:type="dxa"/>
              <w:bottom w:w="0" w:type="dxa"/>
              <w:right w:w="15" w:type="dxa"/>
            </w:tcMar>
            <w:vAlign w:val="center"/>
          </w:tcPr>
          <w:p w14:paraId="7B416E56" w14:textId="4F278301" w:rsidR="00CE6E0B" w:rsidRPr="00211D55" w:rsidRDefault="007B1E0A" w:rsidP="0059581F">
            <w:pPr>
              <w:bidi/>
              <w:spacing w:before="120"/>
              <w:rPr>
                <w:rFonts w:ascii="Arabic Typesetting" w:hAnsi="Arabic Typesetting" w:cs="Arabic Typesetting"/>
                <w:sz w:val="28"/>
                <w:szCs w:val="28"/>
              </w:rPr>
            </w:pPr>
            <w:r>
              <w:rPr>
                <w:rFonts w:ascii="Arabic Typesetting" w:hAnsi="Arabic Typesetting" w:cs="Arabic Typesetting"/>
                <w:sz w:val="28"/>
                <w:szCs w:val="28"/>
                <w:rtl/>
              </w:rPr>
              <w:t>نفاذ محسّن إلى المعلومات المتعلقة بالملكية الفكرية واستخدامها من قبل مؤسسات الملكية الفكرية والجمهور لتشجيع الابتكار والإبداع</w:t>
            </w:r>
          </w:p>
        </w:tc>
        <w:tc>
          <w:tcPr>
            <w:tcW w:w="749" w:type="pct"/>
            <w:shd w:val="clear" w:color="auto" w:fill="auto"/>
            <w:tcMar>
              <w:top w:w="15" w:type="dxa"/>
              <w:left w:w="15" w:type="dxa"/>
              <w:bottom w:w="0" w:type="dxa"/>
              <w:right w:w="15" w:type="dxa"/>
            </w:tcMar>
            <w:vAlign w:val="center"/>
          </w:tcPr>
          <w:p w14:paraId="1832D82C"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6 990</w:t>
            </w:r>
          </w:p>
        </w:tc>
        <w:tc>
          <w:tcPr>
            <w:tcW w:w="749" w:type="pct"/>
            <w:shd w:val="clear" w:color="auto" w:fill="auto"/>
            <w:tcMar>
              <w:top w:w="15" w:type="dxa"/>
              <w:left w:w="15" w:type="dxa"/>
              <w:bottom w:w="0" w:type="dxa"/>
              <w:right w:w="15" w:type="dxa"/>
            </w:tcMar>
            <w:vAlign w:val="center"/>
          </w:tcPr>
          <w:p w14:paraId="719BDE6E"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7 235</w:t>
            </w:r>
          </w:p>
        </w:tc>
        <w:tc>
          <w:tcPr>
            <w:tcW w:w="749" w:type="pct"/>
            <w:shd w:val="clear" w:color="auto" w:fill="auto"/>
            <w:noWrap/>
            <w:tcMar>
              <w:top w:w="15" w:type="dxa"/>
              <w:left w:w="15" w:type="dxa"/>
              <w:bottom w:w="0" w:type="dxa"/>
              <w:right w:w="15" w:type="dxa"/>
            </w:tcMar>
            <w:vAlign w:val="center"/>
          </w:tcPr>
          <w:p w14:paraId="03B128FC"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3 169</w:t>
            </w:r>
          </w:p>
        </w:tc>
      </w:tr>
      <w:tr w:rsidR="00CE6E0B" w:rsidRPr="00211D55" w14:paraId="44BEE92A"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0484C5A5" w14:textId="77777777" w:rsidR="00CE6E0B" w:rsidRPr="00211D55" w:rsidRDefault="00CE6E0B"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749F0CA7" w14:textId="77777777" w:rsidR="00CE6E0B" w:rsidRPr="00280D1A" w:rsidRDefault="00CE6E0B"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14B547F9"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6 990</w:t>
            </w:r>
          </w:p>
        </w:tc>
        <w:tc>
          <w:tcPr>
            <w:tcW w:w="749" w:type="pct"/>
            <w:shd w:val="clear" w:color="auto" w:fill="C6D9F1"/>
            <w:noWrap/>
            <w:tcMar>
              <w:top w:w="15" w:type="dxa"/>
              <w:left w:w="15" w:type="dxa"/>
              <w:bottom w:w="0" w:type="dxa"/>
              <w:right w:w="15" w:type="dxa"/>
            </w:tcMar>
            <w:vAlign w:val="center"/>
          </w:tcPr>
          <w:p w14:paraId="0996E51D"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7 235</w:t>
            </w:r>
          </w:p>
        </w:tc>
        <w:tc>
          <w:tcPr>
            <w:tcW w:w="749" w:type="pct"/>
            <w:shd w:val="clear" w:color="auto" w:fill="C6D9F1"/>
            <w:noWrap/>
            <w:tcMar>
              <w:top w:w="15" w:type="dxa"/>
              <w:left w:w="15" w:type="dxa"/>
              <w:bottom w:w="0" w:type="dxa"/>
              <w:right w:w="15" w:type="dxa"/>
            </w:tcMar>
            <w:vAlign w:val="center"/>
          </w:tcPr>
          <w:p w14:paraId="7CE05236"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3 169</w:t>
            </w:r>
          </w:p>
        </w:tc>
      </w:tr>
      <w:tr w:rsidR="00CE6E0B" w:rsidRPr="00211D55" w14:paraId="09114DEA"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6B03BA5C" w14:textId="77777777" w:rsidR="00CE6E0B" w:rsidRPr="00A2672B" w:rsidRDefault="00CE6E0B"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77E6D276" w14:textId="77777777" w:rsidR="00CE6E0B" w:rsidRPr="00252762" w:rsidRDefault="00CE6E0B"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6D24EB81" w14:textId="77777777" w:rsidR="00CE6E0B" w:rsidRPr="00DF1D8A" w:rsidRDefault="00CE6E0B"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CE6E0B" w:rsidRPr="00211D55" w14:paraId="2EE97C3B" w14:textId="77777777" w:rsidTr="00BB3820">
        <w:trPr>
          <w:trHeight w:val="645"/>
        </w:trPr>
        <w:tc>
          <w:tcPr>
            <w:tcW w:w="1118" w:type="pct"/>
            <w:shd w:val="clear" w:color="auto" w:fill="C6D9F1"/>
            <w:noWrap/>
            <w:vAlign w:val="center"/>
            <w:hideMark/>
          </w:tcPr>
          <w:p w14:paraId="3C6BB0C5" w14:textId="77777777" w:rsidR="00CE6E0B" w:rsidRPr="00211D55" w:rsidRDefault="00CE6E0B"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0A69479E"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03ED27E8"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3C20A8E7" w14:textId="77777777" w:rsidR="00CE6E0B" w:rsidRPr="00211D55" w:rsidRDefault="00CE6E0B"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4BFC738B" w14:textId="77777777" w:rsidR="00CE6E0B" w:rsidRPr="00211D55" w:rsidRDefault="00CE6E0B"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CE6E0B" w:rsidRPr="00211D55" w14:paraId="29186BDB" w14:textId="77777777" w:rsidTr="00BB3820">
        <w:trPr>
          <w:trHeight w:val="70"/>
        </w:trPr>
        <w:tc>
          <w:tcPr>
            <w:tcW w:w="1118" w:type="pct"/>
            <w:shd w:val="clear" w:color="auto" w:fill="auto"/>
            <w:noWrap/>
            <w:vAlign w:val="center"/>
            <w:hideMark/>
          </w:tcPr>
          <w:p w14:paraId="4E4FAA04"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613A3956"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5 764 </w:t>
            </w:r>
          </w:p>
        </w:tc>
        <w:tc>
          <w:tcPr>
            <w:tcW w:w="971" w:type="pct"/>
            <w:shd w:val="clear" w:color="auto" w:fill="auto"/>
            <w:vAlign w:val="center"/>
          </w:tcPr>
          <w:p w14:paraId="11B688F0"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6 060 </w:t>
            </w:r>
          </w:p>
        </w:tc>
        <w:tc>
          <w:tcPr>
            <w:tcW w:w="970" w:type="pct"/>
            <w:shd w:val="clear" w:color="auto" w:fill="auto"/>
            <w:vAlign w:val="center"/>
          </w:tcPr>
          <w:p w14:paraId="22B019DC"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2 862 </w:t>
            </w:r>
          </w:p>
        </w:tc>
        <w:tc>
          <w:tcPr>
            <w:tcW w:w="970" w:type="pct"/>
            <w:shd w:val="clear" w:color="auto" w:fill="auto"/>
            <w:vAlign w:val="center"/>
          </w:tcPr>
          <w:p w14:paraId="58DCC903"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%47</w:t>
            </w:r>
          </w:p>
        </w:tc>
      </w:tr>
      <w:tr w:rsidR="00CE6E0B" w:rsidRPr="00211D55" w14:paraId="04761DEF" w14:textId="77777777" w:rsidTr="00BB3820">
        <w:trPr>
          <w:trHeight w:val="70"/>
        </w:trPr>
        <w:tc>
          <w:tcPr>
            <w:tcW w:w="1118" w:type="pct"/>
            <w:shd w:val="clear" w:color="auto" w:fill="auto"/>
            <w:noWrap/>
            <w:vAlign w:val="center"/>
            <w:hideMark/>
          </w:tcPr>
          <w:p w14:paraId="28EE7C63" w14:textId="77777777" w:rsidR="00CE6E0B" w:rsidRPr="00211D55" w:rsidRDefault="00CE6E0B"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6026B4E9"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1 225 </w:t>
            </w:r>
          </w:p>
        </w:tc>
        <w:tc>
          <w:tcPr>
            <w:tcW w:w="971" w:type="pct"/>
            <w:shd w:val="clear" w:color="auto" w:fill="auto"/>
            <w:vAlign w:val="center"/>
          </w:tcPr>
          <w:p w14:paraId="47F72B68"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1 174 </w:t>
            </w:r>
          </w:p>
        </w:tc>
        <w:tc>
          <w:tcPr>
            <w:tcW w:w="970" w:type="pct"/>
            <w:shd w:val="clear" w:color="auto" w:fill="auto"/>
            <w:vAlign w:val="center"/>
          </w:tcPr>
          <w:p w14:paraId="704909AC"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307 </w:t>
            </w:r>
          </w:p>
        </w:tc>
        <w:tc>
          <w:tcPr>
            <w:tcW w:w="970" w:type="pct"/>
            <w:shd w:val="clear" w:color="auto" w:fill="auto"/>
            <w:vAlign w:val="center"/>
          </w:tcPr>
          <w:p w14:paraId="3D0503F8" w14:textId="77777777" w:rsidR="00CE6E0B" w:rsidRPr="00280D1A" w:rsidRDefault="00CE6E0B"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%26</w:t>
            </w:r>
          </w:p>
        </w:tc>
      </w:tr>
      <w:tr w:rsidR="00CE6E0B" w:rsidRPr="00211D55" w14:paraId="3EA6DFC4" w14:textId="77777777" w:rsidTr="00AF6433">
        <w:trPr>
          <w:trHeight w:val="70"/>
        </w:trPr>
        <w:tc>
          <w:tcPr>
            <w:tcW w:w="1118" w:type="pct"/>
            <w:shd w:val="clear" w:color="auto" w:fill="C6D9F1"/>
            <w:noWrap/>
            <w:vAlign w:val="center"/>
            <w:hideMark/>
          </w:tcPr>
          <w:p w14:paraId="42670F53" w14:textId="77777777" w:rsidR="00CE6E0B" w:rsidRPr="00211D55" w:rsidRDefault="00CE6E0B"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06C3B128"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6 990 </w:t>
            </w:r>
          </w:p>
        </w:tc>
        <w:tc>
          <w:tcPr>
            <w:tcW w:w="971" w:type="pct"/>
            <w:shd w:val="clear" w:color="auto" w:fill="C6D9F1"/>
            <w:vAlign w:val="center"/>
          </w:tcPr>
          <w:p w14:paraId="1C700262"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7 235 </w:t>
            </w:r>
          </w:p>
        </w:tc>
        <w:tc>
          <w:tcPr>
            <w:tcW w:w="970" w:type="pct"/>
            <w:shd w:val="clear" w:color="auto" w:fill="C6D9F1"/>
            <w:vAlign w:val="center"/>
          </w:tcPr>
          <w:p w14:paraId="10181B95"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3 169 </w:t>
            </w:r>
          </w:p>
        </w:tc>
        <w:tc>
          <w:tcPr>
            <w:tcW w:w="970" w:type="pct"/>
            <w:shd w:val="clear" w:color="auto" w:fill="C6D9F1"/>
            <w:vAlign w:val="center"/>
          </w:tcPr>
          <w:p w14:paraId="07E6DC87" w14:textId="77777777" w:rsidR="00CE6E0B" w:rsidRPr="00280D1A" w:rsidRDefault="00CE6E0B"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%44</w:t>
            </w:r>
          </w:p>
        </w:tc>
      </w:tr>
      <w:tr w:rsidR="00CE6E0B" w:rsidRPr="00211D55" w14:paraId="28A45665" w14:textId="77777777" w:rsidTr="00BB3820">
        <w:trPr>
          <w:trHeight w:val="540"/>
        </w:trPr>
        <w:tc>
          <w:tcPr>
            <w:tcW w:w="5000" w:type="pct"/>
            <w:gridSpan w:val="5"/>
            <w:shd w:val="clear" w:color="auto" w:fill="auto"/>
            <w:noWrap/>
            <w:vAlign w:val="center"/>
          </w:tcPr>
          <w:p w14:paraId="22E328F0" w14:textId="77777777" w:rsidR="00CE6E0B" w:rsidRDefault="00CE6E0B"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7FA644A4" w14:textId="77777777" w:rsidR="00CE6E0B" w:rsidRPr="00D41845" w:rsidRDefault="00CE6E0B"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43931C42" w14:textId="77777777" w:rsidR="00CE6E0B" w:rsidRPr="00706F20" w:rsidRDefault="00CE6E0B"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7DAFF953" w14:textId="77777777" w:rsidR="00CE6E0B" w:rsidRDefault="00CE6E0B" w:rsidP="00D94CDB">
      <w:pPr>
        <w:keepNext/>
        <w:numPr>
          <w:ilvl w:val="1"/>
          <w:numId w:val="83"/>
        </w:numPr>
        <w:bidi/>
        <w:spacing w:after="240" w:line="360" w:lineRule="exact"/>
        <w:rPr>
          <w:rFonts w:ascii="Arabic Typesetting" w:hAnsi="Arabic Typesetting" w:cs="Arabic Typesetting"/>
          <w:sz w:val="34"/>
          <w:szCs w:val="34"/>
        </w:rPr>
      </w:pPr>
      <w:r w:rsidRPr="00A86211">
        <w:rPr>
          <w:rFonts w:ascii="Arabic Typesetting" w:hAnsi="Arabic Typesetting" w:cs="Arabic Typesetting"/>
          <w:sz w:val="34"/>
          <w:szCs w:val="34"/>
          <w:rtl/>
        </w:rPr>
        <w:t>تُعزى الزيادة في موارد الموظفين مقارنة بالميزانية المعتمدة 2016/17 أساساً إلى تسوية وظائف مستمرة.</w:t>
      </w:r>
    </w:p>
    <w:p w14:paraId="62FCCDD3" w14:textId="77777777" w:rsidR="00CE6E0B" w:rsidRPr="00A86211" w:rsidRDefault="00CE6E0B" w:rsidP="00D94CDB">
      <w:pPr>
        <w:keepNext/>
        <w:numPr>
          <w:ilvl w:val="1"/>
          <w:numId w:val="83"/>
        </w:numPr>
        <w:bidi/>
        <w:spacing w:after="240" w:line="360" w:lineRule="exact"/>
        <w:ind w:left="0" w:firstLine="0"/>
        <w:rPr>
          <w:rFonts w:ascii="Arabic Typesetting" w:hAnsi="Arabic Typesetting" w:cs="Arabic Typesetting"/>
          <w:sz w:val="34"/>
          <w:szCs w:val="34"/>
        </w:rPr>
      </w:pPr>
      <w:r w:rsidRPr="00A86211">
        <w:rPr>
          <w:rFonts w:ascii="Arabic Typesetting" w:hAnsi="Arabic Typesetting" w:cs="Arabic Typesetting"/>
          <w:sz w:val="34"/>
          <w:szCs w:val="34"/>
          <w:rtl/>
        </w:rPr>
        <w:t>ويُعزى الانخفاض الطفيف في خلاف موارد الموظفين أساساً إلى تحويل مسؤولية مشاريع المساعدة التقنية الخاصة (مشروع</w:t>
      </w:r>
      <w:r>
        <w:rPr>
          <w:rFonts w:ascii="Arabic Typesetting" w:hAnsi="Arabic Typesetting" w:cs="Arabic Typesetting" w:hint="cs"/>
          <w:sz w:val="34"/>
          <w:szCs w:val="34"/>
          <w:rtl/>
        </w:rPr>
        <w:t> </w:t>
      </w:r>
      <w:r w:rsidRPr="00A86211">
        <w:rPr>
          <w:rFonts w:ascii="Arabic Typesetting" w:hAnsi="Arabic Typesetting" w:cs="Arabic Typesetting"/>
          <w:sz w:val="34"/>
          <w:szCs w:val="34"/>
          <w:rtl/>
        </w:rPr>
        <w:t>البراءات اللاتينية ومشروع البراءات العربية) من البرنامج إلى قواعد البيانات العالمية (البرنامج 13) وتحويل جزء من</w:t>
      </w:r>
      <w:r>
        <w:rPr>
          <w:rFonts w:ascii="Arabic Typesetting" w:hAnsi="Arabic Typesetting" w:cs="Arabic Typesetting" w:hint="cs"/>
          <w:sz w:val="34"/>
          <w:szCs w:val="34"/>
          <w:rtl/>
        </w:rPr>
        <w:t> </w:t>
      </w:r>
      <w:r w:rsidRPr="00A86211">
        <w:rPr>
          <w:rFonts w:ascii="Arabic Typesetting" w:hAnsi="Arabic Typesetting" w:cs="Arabic Typesetting"/>
          <w:sz w:val="34"/>
          <w:szCs w:val="34"/>
          <w:rtl/>
        </w:rPr>
        <w:t>خلاف موارد الموظفين المخصصة للمتدربين إلى إدارة الموارد البشرية (البرنامج 23) التي تتولى الإدارة المركزية للمتدربين</w:t>
      </w:r>
      <w:r w:rsidRPr="00A86211">
        <w:rPr>
          <w:rFonts w:ascii="Arabic Typesetting" w:hAnsi="Arabic Typesetting" w:cs="Arabic Typesetting"/>
          <w:sz w:val="34"/>
          <w:szCs w:val="34"/>
        </w:rPr>
        <w:t>.</w:t>
      </w:r>
    </w:p>
    <w:p w14:paraId="17710E6B" w14:textId="77777777" w:rsidR="00CE6E0B" w:rsidRPr="00706F20" w:rsidRDefault="00CE6E0B"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6742CE86" w14:textId="77777777" w:rsidR="00CE6E0B" w:rsidRDefault="00CE6E0B" w:rsidP="00D94CDB">
      <w:pPr>
        <w:numPr>
          <w:ilvl w:val="1"/>
          <w:numId w:val="83"/>
        </w:numPr>
        <w:bidi/>
        <w:spacing w:after="240" w:line="360" w:lineRule="exact"/>
        <w:ind w:left="0" w:firstLine="0"/>
        <w:rPr>
          <w:rFonts w:ascii="Arabic Typesetting" w:hAnsi="Arabic Typesetting" w:cs="Arabic Typesetting"/>
          <w:sz w:val="34"/>
          <w:szCs w:val="34"/>
        </w:rPr>
      </w:pPr>
      <w:r w:rsidRPr="00A86211">
        <w:rPr>
          <w:rFonts w:ascii="Arabic Typesetting" w:hAnsi="Arabic Typesetting" w:cs="Arabic Typesetting"/>
          <w:sz w:val="34"/>
          <w:szCs w:val="34"/>
          <w:rtl/>
        </w:rPr>
        <w:t>بلغت نسبة استخدام ميزانية خلاف موارد الموظفين 26 بالمئة ويُعزى ذلك أساساً إلى إنفاق مبلغ أقل من المتوقع على بعثات الموظفين.</w:t>
      </w:r>
    </w:p>
    <w:p w14:paraId="1428CE01" w14:textId="5682EE6B" w:rsidR="00BB3820" w:rsidRDefault="00BB3820"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134AFFBB" w14:textId="7EDA6746" w:rsidR="00BB3820" w:rsidRPr="00F95C23" w:rsidRDefault="00BB3820" w:rsidP="00DA7DF7">
      <w:pPr>
        <w:pStyle w:val="Heading3"/>
        <w:ind w:left="1984" w:hanging="1984"/>
      </w:pPr>
      <w:bookmarkStart w:id="36" w:name="_Toc482782763"/>
      <w:r w:rsidRPr="00F95C23">
        <w:rPr>
          <w:rtl/>
        </w:rPr>
        <w:lastRenderedPageBreak/>
        <w:t>البرنامج</w:t>
      </w:r>
      <w:r w:rsidRPr="00F95C23">
        <w:rPr>
          <w:rFonts w:hint="cs"/>
          <w:rtl/>
        </w:rPr>
        <w:t xml:space="preserve"> 15:</w:t>
      </w:r>
      <w:r w:rsidRPr="00F95C23">
        <w:tab/>
      </w:r>
      <w:r w:rsidR="00FF57F6">
        <w:rPr>
          <w:rFonts w:hint="cs"/>
          <w:rtl/>
        </w:rPr>
        <w:t>الحلول التجارية</w:t>
      </w:r>
      <w:r w:rsidRPr="00F95C23">
        <w:rPr>
          <w:rtl/>
        </w:rPr>
        <w:t xml:space="preserve"> </w:t>
      </w:r>
      <w:r w:rsidR="00FF57F6">
        <w:rPr>
          <w:rFonts w:hint="cs"/>
          <w:rtl/>
        </w:rPr>
        <w:t>ل</w:t>
      </w:r>
      <w:r w:rsidRPr="00F95C23">
        <w:rPr>
          <w:rtl/>
        </w:rPr>
        <w:t>مكاتب الملكية الفكرية</w:t>
      </w:r>
      <w:bookmarkEnd w:id="36"/>
    </w:p>
    <w:p w14:paraId="3F4167E0" w14:textId="77777777" w:rsidR="00BB3820" w:rsidRDefault="00BB3820"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7E3C6F">
        <w:rPr>
          <w:rFonts w:ascii="Arabic Typesetting" w:hAnsi="Arabic Typesetting" w:cs="Arabic Typesetting"/>
          <w:b/>
          <w:bCs/>
          <w:sz w:val="36"/>
          <w:szCs w:val="36"/>
          <w:rtl/>
          <w:lang w:val="fr-CH"/>
        </w:rPr>
        <w:t>السيد يوشيوكي تاكاغي</w:t>
      </w:r>
    </w:p>
    <w:p w14:paraId="4B3AC607" w14:textId="77777777" w:rsidR="00BB3820" w:rsidRDefault="00BB3820"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600133BD" wp14:editId="292AC628">
            <wp:extent cx="3606152"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06152" cy="2160000"/>
                    </a:xfrm>
                    <a:prstGeom prst="rect">
                      <a:avLst/>
                    </a:prstGeom>
                    <a:noFill/>
                  </pic:spPr>
                </pic:pic>
              </a:graphicData>
            </a:graphic>
          </wp:inline>
        </w:drawing>
      </w:r>
    </w:p>
    <w:tbl>
      <w:tblPr>
        <w:tblpPr w:leftFromText="180" w:rightFromText="180" w:vertAnchor="text" w:horzAnchor="margin" w:tblpY="314"/>
        <w:bidiVisual/>
        <w:tblW w:w="5000" w:type="pct"/>
        <w:tblCellMar>
          <w:left w:w="115" w:type="dxa"/>
          <w:right w:w="115" w:type="dxa"/>
        </w:tblCellMar>
        <w:tblLook w:val="0000" w:firstRow="0" w:lastRow="0" w:firstColumn="0" w:lastColumn="0" w:noHBand="0" w:noVBand="0"/>
      </w:tblPr>
      <w:tblGrid>
        <w:gridCol w:w="2388"/>
        <w:gridCol w:w="2546"/>
        <w:gridCol w:w="1133"/>
        <w:gridCol w:w="2349"/>
        <w:gridCol w:w="1055"/>
      </w:tblGrid>
      <w:tr w:rsidR="00BB3820" w:rsidRPr="007E3C6F" w14:paraId="31CD00AD" w14:textId="77777777" w:rsidTr="00BB3820">
        <w:trPr>
          <w:cantSplit/>
          <w:trHeight w:val="710"/>
        </w:trPr>
        <w:tc>
          <w:tcPr>
            <w:tcW w:w="5000" w:type="pct"/>
            <w:gridSpan w:val="5"/>
            <w:shd w:val="clear" w:color="auto" w:fill="C6D9F1"/>
            <w:tcMar>
              <w:left w:w="58" w:type="dxa"/>
              <w:right w:w="58" w:type="dxa"/>
            </w:tcMar>
            <w:vAlign w:val="center"/>
          </w:tcPr>
          <w:p w14:paraId="28CBE997" w14:textId="0AE8FB25" w:rsidR="00BB3820" w:rsidRPr="007E3C6F" w:rsidRDefault="00BB3820" w:rsidP="0031289D">
            <w:pPr>
              <w:keepNext/>
              <w:keepLines/>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7E3C6F">
              <w:rPr>
                <w:rFonts w:ascii="Arabic Typesetting" w:eastAsia="Arabic Typesetting" w:hAnsi="Arabic Typesetting" w:cs="Arabic Typesetting"/>
                <w:b/>
                <w:bCs/>
                <w:sz w:val="28"/>
                <w:szCs w:val="28"/>
                <w:rtl/>
                <w:lang w:eastAsia="ar-EG" w:bidi="ar-EG"/>
              </w:rPr>
              <w:t>‏النتيجة المرتقبة:</w:t>
            </w:r>
            <w:r w:rsidRPr="007E3C6F">
              <w:rPr>
                <w:rFonts w:ascii="Arabic Typesetting" w:eastAsia="Arabic Typesetting" w:hAnsi="Arabic Typesetting" w:cs="Arabic Typesetting"/>
                <w:sz w:val="28"/>
                <w:szCs w:val="28"/>
                <w:lang w:eastAsia="ar-EG" w:bidi="ar-EG"/>
              </w:rPr>
              <w:tab/>
            </w:r>
            <w:r w:rsidRPr="007E3C6F">
              <w:rPr>
                <w:rFonts w:ascii="Arabic Typesetting" w:eastAsia="Arabic Typesetting" w:hAnsi="Arabic Typesetting" w:cs="Arabic Typesetting"/>
                <w:color w:val="000000"/>
                <w:sz w:val="28"/>
                <w:szCs w:val="28"/>
                <w:rtl/>
                <w:lang w:eastAsia="ar-EG" w:bidi="ar-EG"/>
              </w:rPr>
              <w:t xml:space="preserve">ه4.4 </w:t>
            </w:r>
            <w:r w:rsidR="007B1E0A">
              <w:rPr>
                <w:rFonts w:ascii="Arabic Typesetting" w:eastAsia="Arabic Typesetting" w:hAnsi="Arabic Typesetting" w:cs="Arabic Typesetting"/>
                <w:color w:val="000000"/>
                <w:sz w:val="28"/>
                <w:szCs w:val="28"/>
                <w:rtl/>
                <w:lang w:eastAsia="ar-EG" w:bidi="ar-EG"/>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r>
      <w:tr w:rsidR="00BB3820" w:rsidRPr="007E3C6F" w14:paraId="768700AE" w14:textId="77777777" w:rsidTr="00BB3820">
        <w:trPr>
          <w:cantSplit/>
        </w:trPr>
        <w:tc>
          <w:tcPr>
            <w:tcW w:w="1261" w:type="pct"/>
            <w:shd w:val="clear" w:color="auto" w:fill="auto"/>
            <w:tcMar>
              <w:left w:w="58" w:type="dxa"/>
              <w:right w:w="58" w:type="dxa"/>
            </w:tcMar>
            <w:vAlign w:val="center"/>
          </w:tcPr>
          <w:p w14:paraId="209FB6E1" w14:textId="77777777" w:rsidR="00BB3820" w:rsidRPr="007E3C6F"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7E3C6F">
              <w:rPr>
                <w:rFonts w:ascii="Arabic Typesetting" w:eastAsia="Arabic Typesetting" w:hAnsi="Arabic Typesetting" w:cs="Arabic Typesetting"/>
                <w:b/>
                <w:bCs/>
                <w:sz w:val="28"/>
                <w:szCs w:val="28"/>
                <w:rtl/>
                <w:lang w:eastAsia="ar-EG" w:bidi="ar-EG"/>
              </w:rPr>
              <w:t>مؤشرات الأداء</w:t>
            </w:r>
          </w:p>
        </w:tc>
        <w:tc>
          <w:tcPr>
            <w:tcW w:w="1344" w:type="pct"/>
            <w:shd w:val="clear" w:color="auto" w:fill="auto"/>
            <w:tcMar>
              <w:left w:w="58" w:type="dxa"/>
              <w:right w:w="58" w:type="dxa"/>
            </w:tcMar>
            <w:vAlign w:val="center"/>
          </w:tcPr>
          <w:p w14:paraId="2A379AE6" w14:textId="77777777" w:rsidR="00BB3820" w:rsidRPr="007E3C6F"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7E3C6F">
              <w:rPr>
                <w:rFonts w:ascii="Arabic Typesetting" w:eastAsia="Arabic Typesetting" w:hAnsi="Arabic Typesetting" w:cs="Arabic Typesetting"/>
                <w:b/>
                <w:bCs/>
                <w:sz w:val="28"/>
                <w:szCs w:val="28"/>
                <w:rtl/>
                <w:lang w:eastAsia="ar-EG" w:bidi="ar-EG"/>
              </w:rPr>
              <w:t>أسس المقارنة</w:t>
            </w:r>
          </w:p>
        </w:tc>
        <w:tc>
          <w:tcPr>
            <w:tcW w:w="598" w:type="pct"/>
            <w:shd w:val="clear" w:color="auto" w:fill="auto"/>
            <w:tcMar>
              <w:top w:w="110" w:type="dxa"/>
              <w:left w:w="58" w:type="dxa"/>
              <w:right w:w="58" w:type="dxa"/>
            </w:tcMar>
            <w:vAlign w:val="center"/>
          </w:tcPr>
          <w:p w14:paraId="323E3622" w14:textId="77777777" w:rsidR="00BB3820" w:rsidRPr="007E3C6F"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7E3C6F">
              <w:rPr>
                <w:rFonts w:ascii="Arabic Typesetting" w:eastAsia="Arabic Typesetting" w:hAnsi="Arabic Typesetting" w:cs="Arabic Typesetting"/>
                <w:b/>
                <w:bCs/>
                <w:sz w:val="28"/>
                <w:szCs w:val="28"/>
                <w:rtl/>
                <w:lang w:eastAsia="ar-EG" w:bidi="ar-EG"/>
              </w:rPr>
              <w:t>الأهداف</w:t>
            </w:r>
          </w:p>
        </w:tc>
        <w:tc>
          <w:tcPr>
            <w:tcW w:w="1240" w:type="pct"/>
            <w:shd w:val="clear" w:color="auto" w:fill="FFFFFF"/>
            <w:tcMar>
              <w:top w:w="110" w:type="dxa"/>
              <w:left w:w="58" w:type="dxa"/>
              <w:right w:w="58" w:type="dxa"/>
            </w:tcMar>
            <w:vAlign w:val="center"/>
          </w:tcPr>
          <w:p w14:paraId="17AF8242" w14:textId="77777777" w:rsidR="00BB3820" w:rsidRPr="007E3C6F"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7E3C6F">
              <w:rPr>
                <w:rFonts w:ascii="Arabic Typesetting" w:eastAsia="Arabic Typesetting" w:hAnsi="Arabic Typesetting" w:cs="Arabic Typesetting"/>
                <w:b/>
                <w:bCs/>
                <w:sz w:val="28"/>
                <w:szCs w:val="28"/>
                <w:rtl/>
                <w:lang w:eastAsia="ar-EG" w:bidi="ar-EG"/>
              </w:rPr>
              <w:t>بيانات الأداء</w:t>
            </w:r>
          </w:p>
        </w:tc>
        <w:tc>
          <w:tcPr>
            <w:tcW w:w="557" w:type="pct"/>
            <w:shd w:val="clear" w:color="auto" w:fill="auto"/>
            <w:tcMar>
              <w:top w:w="110" w:type="dxa"/>
              <w:left w:w="58" w:type="dxa"/>
              <w:right w:w="58" w:type="dxa"/>
            </w:tcMar>
            <w:vAlign w:val="center"/>
          </w:tcPr>
          <w:p w14:paraId="4324D187" w14:textId="77777777" w:rsidR="00BB3820" w:rsidRPr="007E3C6F" w:rsidRDefault="00BB3820"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B3820" w:rsidRPr="007E3C6F" w14:paraId="7C4C1B4F" w14:textId="77777777" w:rsidTr="00BB3820">
        <w:trPr>
          <w:cantSplit/>
          <w:trHeight w:val="2761"/>
        </w:trPr>
        <w:tc>
          <w:tcPr>
            <w:tcW w:w="1261" w:type="pct"/>
            <w:shd w:val="clear" w:color="auto" w:fill="auto"/>
            <w:tcMar>
              <w:left w:w="58" w:type="dxa"/>
              <w:right w:w="58" w:type="dxa"/>
            </w:tcMar>
          </w:tcPr>
          <w:p w14:paraId="34320ED8" w14:textId="77777777" w:rsidR="00BB3820" w:rsidRPr="007E3C6F"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عدد المكاتب التي تستخدم منصات الويبو للبنية التحتية</w:t>
            </w:r>
          </w:p>
        </w:tc>
        <w:tc>
          <w:tcPr>
            <w:tcW w:w="1344" w:type="pct"/>
            <w:shd w:val="clear" w:color="auto" w:fill="auto"/>
            <w:tcMar>
              <w:left w:w="58" w:type="dxa"/>
              <w:right w:w="58" w:type="dxa"/>
            </w:tcMar>
          </w:tcPr>
          <w:p w14:paraId="7F704337" w14:textId="77777777" w:rsidR="00BB3820" w:rsidRDefault="00BB3820" w:rsidP="0031289D">
            <w:pPr>
              <w:bidi/>
              <w:spacing w:line="280" w:lineRule="exact"/>
              <w:rPr>
                <w:rFonts w:ascii="Arabic Typesetting" w:eastAsia="Arabic Typesetting" w:hAnsi="Arabic Typesetting" w:cs="Arabic Typesetting"/>
                <w:i/>
                <w:iCs/>
                <w:color w:val="002060"/>
                <w:sz w:val="28"/>
                <w:szCs w:val="28"/>
                <w:rtl/>
                <w:lang w:eastAsia="ar-EG" w:bidi="ar-EG"/>
              </w:rPr>
            </w:pPr>
            <w:r w:rsidRPr="007E3C6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p>
          <w:p w14:paraId="10CF9184" w14:textId="77777777" w:rsidR="00BB3820" w:rsidRPr="007E3C6F" w:rsidRDefault="00BB3820" w:rsidP="0031289D">
            <w:pPr>
              <w:pStyle w:val="ListParagraph"/>
              <w:numPr>
                <w:ilvl w:val="0"/>
                <w:numId w:val="25"/>
              </w:numPr>
              <w:bidi/>
              <w:spacing w:line="280" w:lineRule="exact"/>
              <w:rPr>
                <w:rFonts w:ascii="Arabic Typesetting" w:eastAsia="Arabic Typesetting" w:hAnsi="Arabic Typesetting" w:cs="Arabic Typesetting"/>
                <w:color w:val="002060"/>
                <w:sz w:val="28"/>
                <w:szCs w:val="28"/>
                <w:lang w:eastAsia="ar-EG" w:bidi="ar-EG"/>
              </w:rPr>
            </w:pPr>
            <w:r w:rsidRPr="007E3C6F">
              <w:rPr>
                <w:rFonts w:ascii="Arabic Typesetting" w:eastAsia="Arabic Typesetting" w:hAnsi="Arabic Typesetting" w:cs="Arabic Typesetting"/>
                <w:color w:val="002060"/>
                <w:sz w:val="28"/>
                <w:szCs w:val="28"/>
                <w:rtl/>
                <w:lang w:eastAsia="ar-EG" w:bidi="ar-EG"/>
              </w:rPr>
              <w:t>آسيا والمحيط الهادئ</w:t>
            </w:r>
            <w:r>
              <w:rPr>
                <w:rFonts w:ascii="Arabic Typesetting" w:eastAsia="Arabic Typesetting" w:hAnsi="Arabic Typesetting" w:cs="Arabic Typesetting" w:hint="cs"/>
                <w:color w:val="002060"/>
                <w:sz w:val="28"/>
                <w:szCs w:val="28"/>
                <w:rtl/>
                <w:lang w:eastAsia="ar-EG" w:bidi="ar-EG"/>
              </w:rPr>
              <w:t xml:space="preserve"> (12)</w:t>
            </w:r>
          </w:p>
          <w:p w14:paraId="060E243D" w14:textId="77777777" w:rsidR="00BB3820" w:rsidRPr="007E3C6F" w:rsidRDefault="00BB3820" w:rsidP="0031289D">
            <w:pPr>
              <w:numPr>
                <w:ilvl w:val="0"/>
                <w:numId w:val="25"/>
              </w:numPr>
              <w:bidi/>
              <w:spacing w:line="280" w:lineRule="exact"/>
              <w:ind w:left="201" w:hanging="201"/>
              <w:rPr>
                <w:rFonts w:ascii="Arabic Typesetting" w:eastAsia="Arabic Typesetting" w:hAnsi="Arabic Typesetting" w:cs="Arabic Typesetting"/>
                <w:sz w:val="28"/>
                <w:szCs w:val="28"/>
                <w:lang w:eastAsia="ar-EG" w:bidi="ar-EG"/>
              </w:rPr>
            </w:pPr>
            <w:r w:rsidRPr="007E3C6F">
              <w:rPr>
                <w:rFonts w:ascii="Arabic Typesetting" w:eastAsia="Arabic Typesetting" w:hAnsi="Arabic Typesetting" w:cs="Arabic Typesetting"/>
                <w:color w:val="002060"/>
                <w:sz w:val="28"/>
                <w:szCs w:val="28"/>
                <w:rtl/>
                <w:lang w:eastAsia="ar-EG" w:bidi="ar-EG"/>
              </w:rPr>
              <w:t>أمريكا اللاتينية والكاريبي</w:t>
            </w:r>
            <w:r>
              <w:rPr>
                <w:rFonts w:ascii="Arabic Typesetting" w:eastAsia="Arabic Typesetting" w:hAnsi="Arabic Typesetting" w:cs="Arabic Typesetting" w:hint="cs"/>
                <w:color w:val="002060"/>
                <w:sz w:val="28"/>
                <w:szCs w:val="28"/>
                <w:rtl/>
                <w:lang w:eastAsia="ar-EG" w:bidi="ar-EG"/>
              </w:rPr>
              <w:t xml:space="preserve"> (1)</w:t>
            </w:r>
          </w:p>
          <w:p w14:paraId="6790DCDF" w14:textId="77777777" w:rsidR="00BB3820" w:rsidRPr="007E3C6F" w:rsidRDefault="00BB3820" w:rsidP="0031289D">
            <w:pPr>
              <w:numPr>
                <w:ilvl w:val="0"/>
                <w:numId w:val="25"/>
              </w:numPr>
              <w:bidi/>
              <w:spacing w:line="280" w:lineRule="exact"/>
              <w:ind w:left="201" w:hanging="201"/>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2060"/>
                <w:sz w:val="28"/>
                <w:szCs w:val="28"/>
                <w:rtl/>
                <w:lang w:eastAsia="ar-EG" w:bidi="ar-EG"/>
              </w:rPr>
              <w:t>آخر</w:t>
            </w:r>
            <w:r>
              <w:rPr>
                <w:rFonts w:ascii="Arabic Typesetting" w:eastAsia="Arabic Typesetting" w:hAnsi="Arabic Typesetting" w:cs="Arabic Typesetting"/>
                <w:color w:val="002060"/>
                <w:sz w:val="28"/>
                <w:szCs w:val="28"/>
                <w:lang w:eastAsia="ar-EG" w:bidi="ar-EG"/>
              </w:rPr>
              <w:t xml:space="preserve"> </w:t>
            </w:r>
            <w:r>
              <w:rPr>
                <w:rFonts w:ascii="Arabic Typesetting" w:eastAsia="Arabic Typesetting" w:hAnsi="Arabic Typesetting" w:cs="Arabic Typesetting" w:hint="cs"/>
                <w:color w:val="002060"/>
                <w:sz w:val="28"/>
                <w:szCs w:val="28"/>
                <w:rtl/>
                <w:lang w:eastAsia="ar-EG" w:bidi="ar-EG"/>
              </w:rPr>
              <w:t>(12)</w:t>
            </w:r>
            <w:r w:rsidRPr="007E3C6F">
              <w:rPr>
                <w:rFonts w:ascii="Arabic Typesetting" w:eastAsia="Arabic Typesetting" w:hAnsi="Arabic Typesetting" w:cs="Arabic Typesetting"/>
                <w:color w:val="002060"/>
                <w:sz w:val="28"/>
                <w:szCs w:val="28"/>
                <w:vertAlign w:val="superscript"/>
                <w:lang w:eastAsia="ar-EG" w:bidi="ar-EG"/>
              </w:rPr>
              <w:footnoteReference w:id="63"/>
            </w:r>
          </w:p>
          <w:p w14:paraId="3B76575D" w14:textId="77777777" w:rsidR="00BB3820" w:rsidRDefault="00BB3820" w:rsidP="0031289D">
            <w:pPr>
              <w:bidi/>
              <w:spacing w:after="240" w:line="280" w:lineRule="exact"/>
              <w:rPr>
                <w:rFonts w:ascii="Arabic Typesetting" w:eastAsia="Arabic Typesetting" w:hAnsi="Arabic Typesetting" w:cs="Arabic Typesetting"/>
                <w:color w:val="002060"/>
                <w:sz w:val="28"/>
                <w:szCs w:val="28"/>
                <w:lang w:eastAsia="ar-EG" w:bidi="ar-EG"/>
              </w:rPr>
            </w:pPr>
            <w:r w:rsidRPr="007E3C6F">
              <w:rPr>
                <w:rFonts w:ascii="Arabic Typesetting" w:eastAsia="Arabic Typesetting" w:hAnsi="Arabic Typesetting" w:cs="Arabic Typesetting"/>
                <w:color w:val="002060"/>
                <w:sz w:val="28"/>
                <w:szCs w:val="28"/>
                <w:rtl/>
                <w:lang w:eastAsia="ar-EG" w:bidi="ar-EG"/>
              </w:rPr>
              <w:t>(عدد المكاتب التراكمي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sidRPr="007E3C6F">
              <w:rPr>
                <w:rFonts w:ascii="Arabic Typesetting" w:eastAsia="Arabic Typesetting" w:hAnsi="Arabic Typesetting" w:cs="Arabic Typesetting"/>
                <w:color w:val="002060"/>
                <w:sz w:val="28"/>
                <w:szCs w:val="28"/>
                <w:rtl/>
                <w:lang w:eastAsia="ar-EG" w:bidi="ar-EG"/>
              </w:rPr>
              <w:t>25)</w:t>
            </w:r>
          </w:p>
          <w:p w14:paraId="46026A65" w14:textId="77777777" w:rsidR="00BB3820" w:rsidRPr="007E3C6F" w:rsidRDefault="00BB3820" w:rsidP="0031289D">
            <w:pPr>
              <w:bidi/>
              <w:spacing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Pr>
                <w:rFonts w:ascii="Arabic Typesetting" w:eastAsia="Arabic Typesetting" w:hAnsi="Arabic Typesetting" w:cs="Arabic Typesetting"/>
                <w:i/>
                <w:iCs/>
                <w:sz w:val="28"/>
                <w:szCs w:val="28"/>
                <w:rtl/>
                <w:lang w:eastAsia="ar-EG" w:bidi="ar-EG"/>
              </w:rPr>
              <w:br/>
            </w:r>
            <w:r w:rsidRPr="007E3C6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7E3C6F">
              <w:rPr>
                <w:rFonts w:ascii="Arabic Typesetting" w:eastAsia="Arabic Typesetting" w:hAnsi="Arabic Typesetting" w:cs="Arabic Typesetting"/>
                <w:color w:val="000000"/>
                <w:sz w:val="28"/>
                <w:szCs w:val="28"/>
                <w:rtl/>
                <w:lang w:eastAsia="ar-EG" w:bidi="ar-EG"/>
              </w:rPr>
              <w:t>‏22 مكتبا اعتبارا من مارس 2015</w:t>
            </w:r>
          </w:p>
          <w:p w14:paraId="65B875D6" w14:textId="77777777" w:rsidR="00BB3820" w:rsidRPr="007E3C6F" w:rsidRDefault="00BB3820" w:rsidP="0031289D">
            <w:pPr>
              <w:bidi/>
              <w:spacing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آسيا والمحيط الهادئ</w:t>
            </w:r>
            <w:r>
              <w:rPr>
                <w:rFonts w:ascii="Arabic Typesetting" w:eastAsia="Arabic Typesetting" w:hAnsi="Arabic Typesetting" w:cs="Arabic Typesetting" w:hint="cs"/>
                <w:color w:val="000000"/>
                <w:sz w:val="28"/>
                <w:szCs w:val="28"/>
                <w:rtl/>
                <w:lang w:eastAsia="ar-EG" w:bidi="ar-EG"/>
              </w:rPr>
              <w:t xml:space="preserve"> (12)</w:t>
            </w:r>
          </w:p>
          <w:p w14:paraId="708D8814" w14:textId="4A93ABF4" w:rsidR="00BB3820" w:rsidRPr="007E3C6F" w:rsidRDefault="00AF6433" w:rsidP="0031289D">
            <w:pPr>
              <w:bidi/>
              <w:spacing w:line="280" w:lineRule="exact"/>
              <w:rPr>
                <w:rFonts w:ascii="Arabic Typesetting" w:eastAsia="Arabic Typesetting" w:hAnsi="Arabic Typesetting" w:cs="Arabic Typesetting"/>
                <w:color w:val="000000"/>
                <w:w w:val="90"/>
                <w:sz w:val="28"/>
                <w:szCs w:val="28"/>
                <w:lang w:eastAsia="ar-EG" w:bidi="ar-EG"/>
              </w:rPr>
            </w:pPr>
            <w:r>
              <w:rPr>
                <w:rFonts w:ascii="Arabic Typesetting" w:eastAsia="Arabic Typesetting" w:hAnsi="Arabic Typesetting" w:cs="Arabic Typesetting"/>
                <w:color w:val="000000"/>
                <w:w w:val="90"/>
                <w:sz w:val="28"/>
                <w:szCs w:val="28"/>
                <w:rtl/>
                <w:lang w:eastAsia="ar-EG" w:bidi="ar-EG"/>
              </w:rPr>
              <w:t>البلدان المتحولة</w:t>
            </w:r>
            <w:r w:rsidR="00BB3820">
              <w:rPr>
                <w:rFonts w:ascii="Arabic Typesetting" w:eastAsia="Arabic Typesetting" w:hAnsi="Arabic Typesetting" w:cs="Arabic Typesetting" w:hint="cs"/>
                <w:color w:val="000000"/>
                <w:w w:val="90"/>
                <w:sz w:val="28"/>
                <w:szCs w:val="28"/>
                <w:rtl/>
                <w:lang w:eastAsia="ar-EG" w:bidi="ar-EG"/>
              </w:rPr>
              <w:t xml:space="preserve"> (1)</w:t>
            </w:r>
          </w:p>
          <w:p w14:paraId="00AA5258" w14:textId="77777777" w:rsidR="00BB3820" w:rsidRPr="007E3C6F" w:rsidRDefault="00BB3820" w:rsidP="0031289D">
            <w:pPr>
              <w:bidi/>
              <w:spacing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البلدان المتقدمة</w:t>
            </w:r>
            <w:r>
              <w:rPr>
                <w:rFonts w:ascii="Arabic Typesetting" w:eastAsia="Arabic Typesetting" w:hAnsi="Arabic Typesetting" w:cs="Arabic Typesetting" w:hint="cs"/>
                <w:color w:val="000000"/>
                <w:sz w:val="28"/>
                <w:szCs w:val="28"/>
                <w:rtl/>
                <w:lang w:eastAsia="ar-EG" w:bidi="ar-EG"/>
              </w:rPr>
              <w:t xml:space="preserve"> (9)</w:t>
            </w:r>
          </w:p>
        </w:tc>
        <w:tc>
          <w:tcPr>
            <w:tcW w:w="598" w:type="pct"/>
            <w:shd w:val="clear" w:color="auto" w:fill="auto"/>
            <w:tcMar>
              <w:top w:w="110" w:type="dxa"/>
              <w:left w:w="58" w:type="dxa"/>
              <w:right w:w="58" w:type="dxa"/>
            </w:tcMar>
          </w:tcPr>
          <w:p w14:paraId="21259CD0" w14:textId="77777777" w:rsidR="00BB3820" w:rsidRPr="007E3C6F"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‏29 مكتبا بنهاية</w:t>
            </w:r>
            <w:r>
              <w:rPr>
                <w:rFonts w:ascii="Arabic Typesetting" w:eastAsia="Arabic Typesetting" w:hAnsi="Arabic Typesetting" w:cs="Arabic Typesetting"/>
                <w:color w:val="000000"/>
                <w:sz w:val="28"/>
                <w:szCs w:val="28"/>
                <w:lang w:eastAsia="ar-EG" w:bidi="ar-EG"/>
              </w:rPr>
              <w:t> </w:t>
            </w:r>
            <w:r w:rsidRPr="007E3C6F">
              <w:rPr>
                <w:rFonts w:ascii="Arabic Typesetting" w:eastAsia="Arabic Typesetting" w:hAnsi="Arabic Typesetting" w:cs="Arabic Typesetting"/>
                <w:color w:val="000000"/>
                <w:sz w:val="28"/>
                <w:szCs w:val="28"/>
                <w:rtl/>
                <w:lang w:eastAsia="ar-EG" w:bidi="ar-EG"/>
              </w:rPr>
              <w:t>2017</w:t>
            </w:r>
          </w:p>
        </w:tc>
        <w:tc>
          <w:tcPr>
            <w:tcW w:w="1240" w:type="pct"/>
            <w:shd w:val="clear" w:color="auto" w:fill="FFFFFF"/>
            <w:tcMar>
              <w:top w:w="110" w:type="dxa"/>
              <w:left w:w="58" w:type="dxa"/>
              <w:right w:w="58" w:type="dxa"/>
            </w:tcMar>
          </w:tcPr>
          <w:p w14:paraId="3AFD9CCC" w14:textId="77777777" w:rsidR="00BB3820" w:rsidRDefault="00BB3820" w:rsidP="0031289D">
            <w:pPr>
              <w:bidi/>
              <w:spacing w:after="120" w:line="280" w:lineRule="exact"/>
              <w:rPr>
                <w:rFonts w:ascii="Arabic Typesetting" w:eastAsia="Arabic Typesetting" w:hAnsi="Arabic Typesetting" w:cs="Arabic Typesetting"/>
                <w:sz w:val="28"/>
                <w:szCs w:val="28"/>
                <w:lang w:eastAsia="ar-EG" w:bidi="ar-EG"/>
              </w:rPr>
            </w:pPr>
            <w:r w:rsidRPr="007E3C6F">
              <w:rPr>
                <w:rFonts w:ascii="Arabic Typesetting" w:eastAsia="Arabic Typesetting" w:hAnsi="Arabic Typesetting" w:cs="Arabic Typesetting"/>
                <w:sz w:val="28"/>
                <w:szCs w:val="28"/>
                <w:rtl/>
                <w:lang w:eastAsia="ar-EG" w:bidi="ar-EG"/>
              </w:rPr>
              <w:t>6 مكاتب إضافية في 2016</w:t>
            </w:r>
            <w:r>
              <w:rPr>
                <w:rFonts w:ascii="Arabic Typesetting" w:eastAsia="Arabic Typesetting" w:hAnsi="Arabic Typesetting" w:cs="Arabic Typesetting"/>
                <w:sz w:val="28"/>
                <w:szCs w:val="28"/>
                <w:rtl/>
                <w:lang w:eastAsia="ar-EG" w:bidi="ar-EG"/>
              </w:rPr>
              <w:t>:</w:t>
            </w:r>
          </w:p>
          <w:p w14:paraId="2E751D28" w14:textId="77777777" w:rsidR="00BB3820" w:rsidRPr="007E3C6F" w:rsidRDefault="00BB3820" w:rsidP="0031289D">
            <w:pPr>
              <w:numPr>
                <w:ilvl w:val="0"/>
                <w:numId w:val="25"/>
              </w:numPr>
              <w:bidi/>
              <w:spacing w:after="120" w:line="280" w:lineRule="exact"/>
              <w:ind w:left="201" w:hanging="201"/>
              <w:rPr>
                <w:rFonts w:ascii="Arabic Typesetting" w:eastAsia="Arabic Typesetting" w:hAnsi="Arabic Typesetting" w:cs="Arabic Typesetting"/>
                <w:sz w:val="28"/>
                <w:szCs w:val="28"/>
                <w:lang w:eastAsia="ar-EG" w:bidi="ar-EG"/>
              </w:rPr>
            </w:pPr>
            <w:r w:rsidRPr="007E3C6F">
              <w:rPr>
                <w:rFonts w:ascii="Arabic Typesetting" w:eastAsia="Arabic Typesetting" w:hAnsi="Arabic Typesetting" w:cs="Arabic Typesetting"/>
                <w:sz w:val="28"/>
                <w:szCs w:val="28"/>
                <w:rtl/>
                <w:lang w:eastAsia="ar-EG" w:bidi="ar-EG"/>
              </w:rPr>
              <w:t>آسيا والمحيط الهادئ (2)</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lang w:eastAsia="ar-EG" w:bidi="ar-EG"/>
              </w:rPr>
              <w:t xml:space="preserve"> </w:t>
            </w:r>
            <w:r w:rsidRPr="007E3C6F">
              <w:rPr>
                <w:rFonts w:ascii="Arabic Typesetting" w:eastAsia="Arabic Typesetting" w:hAnsi="Arabic Typesetting" w:cs="Arabic Typesetting"/>
                <w:sz w:val="28"/>
                <w:szCs w:val="28"/>
                <w:rtl/>
                <w:lang w:eastAsia="ar-EG" w:bidi="ar-EG"/>
              </w:rPr>
              <w:t>كمبوديا</w:t>
            </w:r>
            <w:r>
              <w:rPr>
                <w:rFonts w:ascii="Arabic Typesetting" w:eastAsia="Arabic Typesetting" w:hAnsi="Arabic Typesetting" w:cs="Arabic Typesetting"/>
                <w:sz w:val="28"/>
                <w:szCs w:val="28"/>
                <w:lang w:eastAsia="ar-EG" w:bidi="ar-EG"/>
              </w:rPr>
              <w:t> </w:t>
            </w:r>
            <w:r w:rsidRPr="007E3C6F">
              <w:rPr>
                <w:rFonts w:ascii="Arabic Typesetting" w:eastAsia="Arabic Typesetting" w:hAnsi="Arabic Typesetting" w:cs="Arabic Typesetting"/>
                <w:sz w:val="28"/>
                <w:szCs w:val="28"/>
                <w:rtl/>
                <w:lang w:eastAsia="ar-EG" w:bidi="ar-EG"/>
              </w:rPr>
              <w:t>وبابوا غينيا الجديدة (التراكمي 14).</w:t>
            </w:r>
          </w:p>
          <w:p w14:paraId="5DEC5DFF" w14:textId="77777777" w:rsidR="00BB3820" w:rsidRPr="007E3C6F" w:rsidRDefault="00BB3820" w:rsidP="0031289D">
            <w:pPr>
              <w:numPr>
                <w:ilvl w:val="0"/>
                <w:numId w:val="25"/>
              </w:numPr>
              <w:bidi/>
              <w:spacing w:after="120" w:line="280" w:lineRule="exact"/>
              <w:ind w:left="198" w:hanging="198"/>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sz w:val="28"/>
                <w:szCs w:val="28"/>
                <w:rtl/>
                <w:lang w:eastAsia="ar-EG" w:bidi="ar-EG"/>
              </w:rPr>
              <w:t>لا توجد مكاتب إضافية في أمريكا</w:t>
            </w:r>
            <w:r>
              <w:rPr>
                <w:rFonts w:ascii="Arabic Typesetting" w:eastAsia="Arabic Typesetting" w:hAnsi="Arabic Typesetting" w:cs="Arabic Typesetting" w:hint="cs"/>
                <w:sz w:val="28"/>
                <w:szCs w:val="28"/>
                <w:rtl/>
                <w:lang w:eastAsia="ar-EG" w:bidi="ar-EG"/>
              </w:rPr>
              <w:t> </w:t>
            </w:r>
            <w:r w:rsidRPr="007E3C6F">
              <w:rPr>
                <w:rFonts w:ascii="Arabic Typesetting" w:eastAsia="Arabic Typesetting" w:hAnsi="Arabic Typesetting" w:cs="Arabic Typesetting"/>
                <w:sz w:val="28"/>
                <w:szCs w:val="28"/>
                <w:rtl/>
                <w:lang w:eastAsia="ar-EG" w:bidi="ar-EG"/>
              </w:rPr>
              <w:t>اللاتينية والكاريبي</w:t>
            </w:r>
            <w:r>
              <w:rPr>
                <w:rFonts w:ascii="Arabic Typesetting" w:eastAsia="Arabic Typesetting" w:hAnsi="Arabic Typesetting" w:cs="Arabic Typesetting"/>
                <w:sz w:val="28"/>
                <w:szCs w:val="28"/>
                <w:lang w:eastAsia="ar-EG" w:bidi="ar-EG"/>
              </w:rPr>
              <w:br/>
            </w:r>
            <w:r>
              <w:rPr>
                <w:rFonts w:ascii="Arabic Typesetting" w:eastAsia="Arabic Typesetting" w:hAnsi="Arabic Typesetting" w:cs="Arabic Typesetting"/>
                <w:sz w:val="28"/>
                <w:szCs w:val="28"/>
                <w:rtl/>
                <w:lang w:eastAsia="ar-EG" w:bidi="ar-EG"/>
              </w:rPr>
              <w:t>(التراكمي مكتب واحد)</w:t>
            </w:r>
          </w:p>
          <w:p w14:paraId="4FDEF101" w14:textId="77777777" w:rsidR="00BB3820" w:rsidRPr="007E3C6F" w:rsidRDefault="00BB3820" w:rsidP="0031289D">
            <w:pPr>
              <w:numPr>
                <w:ilvl w:val="0"/>
                <w:numId w:val="25"/>
              </w:numPr>
              <w:bidi/>
              <w:spacing w:after="120" w:line="280" w:lineRule="exact"/>
              <w:ind w:left="201" w:hanging="201"/>
              <w:rPr>
                <w:rFonts w:ascii="Arabic Typesetting" w:eastAsia="Arabic Typesetting" w:hAnsi="Arabic Typesetting" w:cs="Arabic Typesetting"/>
                <w:sz w:val="28"/>
                <w:szCs w:val="28"/>
                <w:lang w:eastAsia="ar-EG" w:bidi="ar-EG"/>
              </w:rPr>
            </w:pPr>
            <w:r w:rsidRPr="007E3C6F">
              <w:rPr>
                <w:rFonts w:ascii="Arabic Typesetting" w:eastAsia="Arabic Typesetting" w:hAnsi="Arabic Typesetting" w:cs="Arabic Typesetting"/>
                <w:sz w:val="28"/>
                <w:szCs w:val="28"/>
                <w:rtl/>
                <w:lang w:eastAsia="ar-EG" w:bidi="ar-EG"/>
              </w:rPr>
              <w:t>آخر (3)</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lang w:eastAsia="ar-EG" w:bidi="ar-EG"/>
              </w:rPr>
              <w:t xml:space="preserve"> </w:t>
            </w:r>
            <w:r w:rsidRPr="007E3C6F">
              <w:rPr>
                <w:rFonts w:ascii="Arabic Typesetting" w:eastAsia="Arabic Typesetting" w:hAnsi="Arabic Typesetting" w:cs="Arabic Typesetting"/>
                <w:sz w:val="28"/>
                <w:szCs w:val="28"/>
                <w:rtl/>
                <w:lang w:eastAsia="ar-EG" w:bidi="ar-EG"/>
              </w:rPr>
              <w:t>المكتب الأوروبي للبراءات والمكتب الأوروبي الآسيوي للبراءات والبرتغال (التراكمي 15)</w:t>
            </w:r>
          </w:p>
          <w:p w14:paraId="36D08662" w14:textId="79F67134" w:rsidR="00BB3820" w:rsidRPr="007E3C6F" w:rsidRDefault="00AF6433" w:rsidP="0031289D">
            <w:pPr>
              <w:numPr>
                <w:ilvl w:val="0"/>
                <w:numId w:val="25"/>
              </w:numPr>
              <w:bidi/>
              <w:spacing w:after="120" w:line="280" w:lineRule="exact"/>
              <w:ind w:left="201" w:hanging="201"/>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sz w:val="28"/>
                <w:szCs w:val="28"/>
                <w:rtl/>
                <w:lang w:eastAsia="ar-EG" w:bidi="ar-EG"/>
              </w:rPr>
              <w:t>البلدان المتحولة</w:t>
            </w:r>
            <w:r w:rsidR="00BB3820" w:rsidRPr="007E3C6F">
              <w:rPr>
                <w:rFonts w:ascii="Arabic Typesetting" w:eastAsia="Arabic Typesetting" w:hAnsi="Arabic Typesetting" w:cs="Arabic Typesetting"/>
                <w:sz w:val="28"/>
                <w:szCs w:val="28"/>
                <w:rtl/>
                <w:lang w:eastAsia="ar-EG" w:bidi="ar-EG"/>
              </w:rPr>
              <w:t xml:space="preserve"> (1)</w:t>
            </w:r>
            <w:r w:rsidR="00BB3820">
              <w:rPr>
                <w:rFonts w:ascii="Arabic Typesetting" w:eastAsia="Arabic Typesetting" w:hAnsi="Arabic Typesetting" w:cs="Arabic Typesetting"/>
                <w:sz w:val="28"/>
                <w:szCs w:val="28"/>
                <w:rtl/>
                <w:lang w:eastAsia="ar-EG" w:bidi="ar-EG"/>
              </w:rPr>
              <w:t>:</w:t>
            </w:r>
            <w:r w:rsidR="00BB3820">
              <w:rPr>
                <w:rFonts w:ascii="Arabic Typesetting" w:eastAsia="Arabic Typesetting" w:hAnsi="Arabic Typesetting" w:cs="Arabic Typesetting"/>
                <w:sz w:val="28"/>
                <w:szCs w:val="28"/>
                <w:lang w:eastAsia="ar-EG" w:bidi="ar-EG"/>
              </w:rPr>
              <w:t xml:space="preserve"> </w:t>
            </w:r>
            <w:r w:rsidR="00BB3820" w:rsidRPr="007E3C6F">
              <w:rPr>
                <w:rFonts w:ascii="Arabic Typesetting" w:eastAsia="Arabic Typesetting" w:hAnsi="Arabic Typesetting" w:cs="Arabic Typesetting"/>
                <w:sz w:val="28"/>
                <w:szCs w:val="28"/>
                <w:rtl/>
                <w:lang w:eastAsia="ar-EG" w:bidi="ar-EG"/>
              </w:rPr>
              <w:t>أذربيجان (التراكمي 1)</w:t>
            </w:r>
          </w:p>
          <w:p w14:paraId="78C04154" w14:textId="77777777" w:rsidR="00BB3820" w:rsidRPr="007E3C6F"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31 مكتباً (عدد تراكمي)</w:t>
            </w:r>
          </w:p>
        </w:tc>
        <w:tc>
          <w:tcPr>
            <w:tcW w:w="557" w:type="pct"/>
            <w:shd w:val="clear" w:color="auto" w:fill="auto"/>
            <w:tcMar>
              <w:top w:w="110" w:type="dxa"/>
              <w:left w:w="58" w:type="dxa"/>
              <w:right w:w="58" w:type="dxa"/>
            </w:tcMar>
          </w:tcPr>
          <w:p w14:paraId="02972AA8" w14:textId="77777777" w:rsidR="00BB3820" w:rsidRPr="007E3C6F" w:rsidRDefault="00BB3820"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7E3C6F">
              <w:rPr>
                <w:rFonts w:ascii="Arabic Typesetting" w:eastAsia="Arabic Typesetting" w:hAnsi="Arabic Typesetting" w:cs="Arabic Typesetting"/>
                <w:b/>
                <w:bCs/>
                <w:color w:val="00B050"/>
                <w:sz w:val="28"/>
                <w:szCs w:val="28"/>
                <w:rtl/>
                <w:lang w:eastAsia="ar-EG" w:bidi="ar-EG"/>
              </w:rPr>
              <w:t>ثابت</w:t>
            </w:r>
          </w:p>
        </w:tc>
      </w:tr>
      <w:tr w:rsidR="00BB3820" w:rsidRPr="007E3C6F" w14:paraId="1AA37762" w14:textId="77777777" w:rsidTr="00BB3820">
        <w:trPr>
          <w:cantSplit/>
          <w:trHeight w:val="524"/>
        </w:trPr>
        <w:tc>
          <w:tcPr>
            <w:tcW w:w="1261" w:type="pct"/>
            <w:shd w:val="clear" w:color="auto" w:fill="auto"/>
            <w:tcMar>
              <w:left w:w="58" w:type="dxa"/>
              <w:right w:w="58" w:type="dxa"/>
            </w:tcMar>
          </w:tcPr>
          <w:p w14:paraId="0EC0B352" w14:textId="77777777" w:rsidR="00BB3820" w:rsidRPr="007E3C6F"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lastRenderedPageBreak/>
              <w:t>متوسط مستوى الخدمة التي تقدمها المكاتب التي تلقت مساعدة (من</w:t>
            </w:r>
            <w:r>
              <w:rPr>
                <w:rFonts w:ascii="Arabic Typesetting" w:eastAsia="Arabic Typesetting" w:hAnsi="Arabic Typesetting" w:cs="Arabic Typesetting" w:hint="cs"/>
                <w:color w:val="000000"/>
                <w:sz w:val="28"/>
                <w:szCs w:val="28"/>
                <w:rtl/>
                <w:lang w:eastAsia="ar-EG" w:bidi="ar-EG"/>
              </w:rPr>
              <w:t> </w:t>
            </w:r>
            <w:r w:rsidRPr="007E3C6F">
              <w:rPr>
                <w:rFonts w:ascii="Arabic Typesetting" w:eastAsia="Arabic Typesetting" w:hAnsi="Arabic Typesetting" w:cs="Arabic Typesetting"/>
                <w:color w:val="000000"/>
                <w:sz w:val="28"/>
                <w:szCs w:val="28"/>
                <w:rtl/>
                <w:lang w:eastAsia="ar-EG" w:bidi="ar-EG"/>
              </w:rPr>
              <w:t>1</w:t>
            </w:r>
            <w:r>
              <w:rPr>
                <w:rFonts w:ascii="Arabic Typesetting" w:eastAsia="Arabic Typesetting" w:hAnsi="Arabic Typesetting" w:cs="Arabic Typesetting" w:hint="cs"/>
                <w:color w:val="000000"/>
                <w:sz w:val="28"/>
                <w:szCs w:val="28"/>
                <w:rtl/>
                <w:lang w:eastAsia="ar-EG" w:bidi="ar-EG"/>
              </w:rPr>
              <w:t> </w:t>
            </w:r>
            <w:r w:rsidRPr="007E3C6F">
              <w:rPr>
                <w:rFonts w:ascii="Arabic Typesetting" w:eastAsia="Arabic Typesetting" w:hAnsi="Arabic Typesetting" w:cs="Arabic Typesetting"/>
                <w:color w:val="000000"/>
                <w:sz w:val="28"/>
                <w:szCs w:val="28"/>
                <w:rtl/>
                <w:lang w:eastAsia="ar-EG" w:bidi="ar-EG"/>
              </w:rPr>
              <w:t>إلى 5)</w:t>
            </w:r>
          </w:p>
        </w:tc>
        <w:tc>
          <w:tcPr>
            <w:tcW w:w="1344" w:type="pct"/>
            <w:shd w:val="clear" w:color="auto" w:fill="auto"/>
            <w:tcMar>
              <w:left w:w="58" w:type="dxa"/>
              <w:right w:w="58" w:type="dxa"/>
            </w:tcMar>
          </w:tcPr>
          <w:p w14:paraId="11AC0086" w14:textId="77777777" w:rsidR="00BB3820" w:rsidRPr="007E3C6F" w:rsidRDefault="00BB3820" w:rsidP="0031289D">
            <w:pPr>
              <w:bidi/>
              <w:spacing w:line="280" w:lineRule="exact"/>
              <w:rPr>
                <w:rFonts w:ascii="Arabic Typesetting" w:eastAsia="Arabic Typesetting" w:hAnsi="Arabic Typesetting" w:cs="Arabic Typesetting"/>
                <w:color w:val="002060"/>
                <w:sz w:val="28"/>
                <w:szCs w:val="28"/>
                <w:lang w:eastAsia="ar-EG" w:bidi="ar-EG"/>
              </w:rPr>
            </w:pPr>
            <w:r w:rsidRPr="007E3C6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7E3C6F">
              <w:rPr>
                <w:rFonts w:ascii="Arabic Typesetting" w:eastAsia="Arabic Typesetting" w:hAnsi="Arabic Typesetting" w:cs="Arabic Typesetting"/>
                <w:color w:val="002060"/>
                <w:sz w:val="28"/>
                <w:szCs w:val="28"/>
                <w:rtl/>
                <w:lang w:eastAsia="ar-EG" w:bidi="ar-EG"/>
              </w:rPr>
              <w:t>المتوسط الإجمالي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sidRPr="007E3C6F">
              <w:rPr>
                <w:rFonts w:ascii="Arabic Typesetting" w:eastAsia="Arabic Typesetting" w:hAnsi="Arabic Typesetting" w:cs="Arabic Typesetting"/>
                <w:color w:val="002060"/>
                <w:sz w:val="28"/>
                <w:szCs w:val="28"/>
                <w:rtl/>
                <w:lang w:eastAsia="ar-EG" w:bidi="ar-EG"/>
              </w:rPr>
              <w:t>2.9</w:t>
            </w:r>
          </w:p>
          <w:p w14:paraId="0E9CBCD8" w14:textId="77777777" w:rsidR="00BB3820" w:rsidRPr="007E3C6F" w:rsidRDefault="00BB3820" w:rsidP="0031289D">
            <w:pPr>
              <w:numPr>
                <w:ilvl w:val="0"/>
                <w:numId w:val="26"/>
              </w:numPr>
              <w:bidi/>
              <w:spacing w:line="280" w:lineRule="exact"/>
              <w:ind w:left="201" w:hanging="201"/>
              <w:rPr>
                <w:rFonts w:ascii="Arabic Typesetting" w:eastAsia="Arabic Typesetting" w:hAnsi="Arabic Typesetting" w:cs="Arabic Typesetting"/>
                <w:color w:val="002060"/>
                <w:sz w:val="28"/>
                <w:szCs w:val="28"/>
                <w:lang w:eastAsia="ar-EG" w:bidi="ar-EG"/>
              </w:rPr>
            </w:pPr>
            <w:r w:rsidRPr="007E3C6F">
              <w:rPr>
                <w:rFonts w:ascii="Arabic Typesetting" w:eastAsia="Arabic Typesetting" w:hAnsi="Arabic Typesetting" w:cs="Arabic Typesetting"/>
                <w:color w:val="002060"/>
                <w:sz w:val="28"/>
                <w:szCs w:val="28"/>
                <w:rtl/>
                <w:lang w:eastAsia="ar-EG" w:bidi="ar-EG"/>
              </w:rPr>
              <w:t>‏أفريقيا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sidRPr="007E3C6F">
              <w:rPr>
                <w:rFonts w:ascii="Arabic Typesetting" w:eastAsia="Arabic Typesetting" w:hAnsi="Arabic Typesetting" w:cs="Arabic Typesetting"/>
                <w:color w:val="002060"/>
                <w:sz w:val="28"/>
                <w:szCs w:val="28"/>
                <w:rtl/>
                <w:lang w:eastAsia="ar-EG" w:bidi="ar-EG"/>
              </w:rPr>
              <w:t>2.9</w:t>
            </w:r>
          </w:p>
          <w:p w14:paraId="2E056BBC" w14:textId="77777777" w:rsidR="00BB3820" w:rsidRPr="007E3C6F" w:rsidRDefault="00BB3820" w:rsidP="0031289D">
            <w:pPr>
              <w:numPr>
                <w:ilvl w:val="0"/>
                <w:numId w:val="26"/>
              </w:numPr>
              <w:bidi/>
              <w:spacing w:line="280" w:lineRule="exact"/>
              <w:ind w:left="201" w:hanging="201"/>
              <w:rPr>
                <w:rFonts w:ascii="Arabic Typesetting" w:eastAsia="Arabic Typesetting" w:hAnsi="Arabic Typesetting" w:cs="Arabic Typesetting"/>
                <w:color w:val="002060"/>
                <w:sz w:val="28"/>
                <w:szCs w:val="28"/>
                <w:lang w:eastAsia="ar-EG" w:bidi="ar-EG"/>
              </w:rPr>
            </w:pPr>
            <w:r w:rsidRPr="007E3C6F">
              <w:rPr>
                <w:rFonts w:ascii="Arabic Typesetting" w:eastAsia="Arabic Typesetting" w:hAnsi="Arabic Typesetting" w:cs="Arabic Typesetting"/>
                <w:color w:val="002060"/>
                <w:sz w:val="28"/>
                <w:szCs w:val="28"/>
                <w:rtl/>
                <w:lang w:eastAsia="ar-EG" w:bidi="ar-EG"/>
              </w:rPr>
              <w:t>المنطقة العربية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sidRPr="007E3C6F">
              <w:rPr>
                <w:rFonts w:ascii="Arabic Typesetting" w:eastAsia="Arabic Typesetting" w:hAnsi="Arabic Typesetting" w:cs="Arabic Typesetting"/>
                <w:color w:val="002060"/>
                <w:sz w:val="28"/>
                <w:szCs w:val="28"/>
                <w:rtl/>
                <w:lang w:eastAsia="ar-EG" w:bidi="ar-EG"/>
              </w:rPr>
              <w:t>2.8</w:t>
            </w:r>
          </w:p>
          <w:p w14:paraId="2102C6CB" w14:textId="77777777" w:rsidR="00BB3820" w:rsidRPr="007E3C6F" w:rsidRDefault="00BB3820" w:rsidP="0031289D">
            <w:pPr>
              <w:numPr>
                <w:ilvl w:val="0"/>
                <w:numId w:val="26"/>
              </w:numPr>
              <w:bidi/>
              <w:spacing w:line="280" w:lineRule="exact"/>
              <w:ind w:left="201" w:hanging="201"/>
              <w:rPr>
                <w:rFonts w:ascii="Arabic Typesetting" w:eastAsia="Arabic Typesetting" w:hAnsi="Arabic Typesetting" w:cs="Arabic Typesetting"/>
                <w:color w:val="002060"/>
                <w:sz w:val="28"/>
                <w:szCs w:val="28"/>
                <w:lang w:eastAsia="ar-EG" w:bidi="ar-EG"/>
              </w:rPr>
            </w:pPr>
            <w:r w:rsidRPr="007E3C6F">
              <w:rPr>
                <w:rFonts w:ascii="Arabic Typesetting" w:eastAsia="Arabic Typesetting" w:hAnsi="Arabic Typesetting" w:cs="Arabic Typesetting"/>
                <w:color w:val="002060"/>
                <w:sz w:val="28"/>
                <w:szCs w:val="28"/>
                <w:rtl/>
                <w:lang w:eastAsia="ar-EG" w:bidi="ar-EG"/>
              </w:rPr>
              <w:t>آسيا والمحيط الهادئ</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sidRPr="007E3C6F">
              <w:rPr>
                <w:rFonts w:ascii="Arabic Typesetting" w:eastAsia="Arabic Typesetting" w:hAnsi="Arabic Typesetting" w:cs="Arabic Typesetting"/>
                <w:color w:val="002060"/>
                <w:sz w:val="28"/>
                <w:szCs w:val="28"/>
                <w:rtl/>
                <w:lang w:eastAsia="ar-EG" w:bidi="ar-EG"/>
              </w:rPr>
              <w:t>2.7</w:t>
            </w:r>
          </w:p>
          <w:p w14:paraId="029115C5" w14:textId="77777777" w:rsidR="00BB3820" w:rsidRPr="007E3C6F" w:rsidRDefault="00BB3820" w:rsidP="0031289D">
            <w:pPr>
              <w:numPr>
                <w:ilvl w:val="0"/>
                <w:numId w:val="26"/>
              </w:numPr>
              <w:bidi/>
              <w:spacing w:line="280" w:lineRule="exact"/>
              <w:ind w:left="201" w:hanging="201"/>
              <w:rPr>
                <w:rFonts w:ascii="Arabic Typesetting" w:eastAsia="Arabic Typesetting" w:hAnsi="Arabic Typesetting" w:cs="Arabic Typesetting"/>
                <w:color w:val="002060"/>
                <w:sz w:val="28"/>
                <w:szCs w:val="28"/>
                <w:lang w:eastAsia="ar-EG" w:bidi="ar-EG"/>
              </w:rPr>
            </w:pPr>
            <w:r w:rsidRPr="007E3C6F">
              <w:rPr>
                <w:rFonts w:ascii="Arabic Typesetting" w:eastAsia="Arabic Typesetting" w:hAnsi="Arabic Typesetting" w:cs="Arabic Typesetting"/>
                <w:color w:val="002060"/>
                <w:sz w:val="28"/>
                <w:szCs w:val="28"/>
                <w:rtl/>
                <w:lang w:eastAsia="ar-EG" w:bidi="ar-EG"/>
              </w:rPr>
              <w:t>بعض البلدان في أوروبا وآسيا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sidRPr="007E3C6F">
              <w:rPr>
                <w:rFonts w:ascii="Arabic Typesetting" w:eastAsia="Arabic Typesetting" w:hAnsi="Arabic Typesetting" w:cs="Arabic Typesetting"/>
                <w:color w:val="002060"/>
                <w:sz w:val="28"/>
                <w:szCs w:val="28"/>
                <w:rtl/>
                <w:lang w:eastAsia="ar-EG" w:bidi="ar-EG"/>
              </w:rPr>
              <w:t>3.3</w:t>
            </w:r>
          </w:p>
          <w:p w14:paraId="12FCC6A4" w14:textId="77777777" w:rsidR="00BB3820" w:rsidRPr="007E3C6F" w:rsidRDefault="00BB3820" w:rsidP="0031289D">
            <w:pPr>
              <w:numPr>
                <w:ilvl w:val="0"/>
                <w:numId w:val="26"/>
              </w:numPr>
              <w:bidi/>
              <w:spacing w:line="280" w:lineRule="exact"/>
              <w:ind w:left="201" w:hanging="201"/>
              <w:rPr>
                <w:rFonts w:ascii="Arabic Typesetting" w:eastAsia="Arabic Typesetting" w:hAnsi="Arabic Typesetting" w:cs="Arabic Typesetting"/>
                <w:color w:val="002060"/>
                <w:sz w:val="28"/>
                <w:szCs w:val="28"/>
                <w:lang w:eastAsia="ar-EG" w:bidi="ar-EG"/>
              </w:rPr>
            </w:pPr>
            <w:r w:rsidRPr="007E3C6F">
              <w:rPr>
                <w:rFonts w:ascii="Arabic Typesetting" w:eastAsia="Arabic Typesetting" w:hAnsi="Arabic Typesetting" w:cs="Arabic Typesetting"/>
                <w:color w:val="002060"/>
                <w:sz w:val="28"/>
                <w:szCs w:val="28"/>
                <w:rtl/>
                <w:lang w:eastAsia="ar-EG" w:bidi="ar-EG"/>
              </w:rPr>
              <w:t>أمريكا اللاتينية والكاريبي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sidRPr="007E3C6F">
              <w:rPr>
                <w:rFonts w:ascii="Arabic Typesetting" w:eastAsia="Arabic Typesetting" w:hAnsi="Arabic Typesetting" w:cs="Arabic Typesetting"/>
                <w:color w:val="002060"/>
                <w:sz w:val="28"/>
                <w:szCs w:val="28"/>
                <w:rtl/>
                <w:lang w:eastAsia="ar-EG" w:bidi="ar-EG"/>
              </w:rPr>
              <w:t>3</w:t>
            </w:r>
          </w:p>
          <w:p w14:paraId="065D2B2B" w14:textId="77777777" w:rsidR="00BB3820" w:rsidRDefault="00BB3820" w:rsidP="0031289D">
            <w:pPr>
              <w:numPr>
                <w:ilvl w:val="0"/>
                <w:numId w:val="26"/>
              </w:numPr>
              <w:bidi/>
              <w:spacing w:after="120" w:line="280" w:lineRule="exact"/>
              <w:ind w:left="201" w:hanging="201"/>
              <w:rPr>
                <w:rFonts w:ascii="Arabic Typesetting" w:eastAsia="Arabic Typesetting" w:hAnsi="Arabic Typesetting" w:cs="Arabic Typesetting"/>
                <w:color w:val="002060"/>
                <w:sz w:val="28"/>
                <w:szCs w:val="28"/>
                <w:lang w:eastAsia="ar-EG" w:bidi="ar-EG"/>
              </w:rPr>
            </w:pPr>
            <w:r w:rsidRPr="007E3C6F">
              <w:rPr>
                <w:rFonts w:ascii="Arabic Typesetting" w:eastAsia="Arabic Typesetting" w:hAnsi="Arabic Typesetting" w:cs="Arabic Typesetting"/>
                <w:color w:val="002060"/>
                <w:sz w:val="28"/>
                <w:szCs w:val="28"/>
                <w:rtl/>
                <w:lang w:eastAsia="ar-EG" w:bidi="ar-EG"/>
              </w:rPr>
              <w:t>آخر</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sidRPr="007E3C6F">
              <w:rPr>
                <w:rFonts w:ascii="Arabic Typesetting" w:eastAsia="Arabic Typesetting" w:hAnsi="Arabic Typesetting" w:cs="Arabic Typesetting"/>
                <w:color w:val="002060"/>
                <w:sz w:val="28"/>
                <w:szCs w:val="28"/>
                <w:rtl/>
                <w:lang w:eastAsia="ar-EG" w:bidi="ar-EG"/>
              </w:rPr>
              <w:t>2.5</w:t>
            </w:r>
          </w:p>
          <w:p w14:paraId="3F4DD3D5" w14:textId="77777777" w:rsidR="00BB3820" w:rsidRPr="007E3C6F"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7E3C6F">
              <w:rPr>
                <w:rFonts w:ascii="Arabic Typesetting" w:eastAsia="Arabic Typesetting" w:hAnsi="Arabic Typesetting" w:cs="Arabic Typesetting"/>
                <w:i/>
                <w:iCs/>
                <w:sz w:val="28"/>
                <w:szCs w:val="28"/>
                <w:rtl/>
                <w:lang w:eastAsia="ar-EG" w:bidi="ar-EG"/>
              </w:rPr>
              <w:t>:</w:t>
            </w:r>
            <w:r w:rsidRPr="007E3C6F">
              <w:rPr>
                <w:rFonts w:ascii="Arabic Typesetting" w:eastAsia="Arabic Typesetting" w:hAnsi="Arabic Typesetting" w:cs="Arabic Typesetting"/>
                <w:i/>
                <w:sz w:val="28"/>
                <w:szCs w:val="28"/>
                <w:lang w:eastAsia="ar-EG" w:bidi="ar-EG"/>
              </w:rPr>
              <w:br/>
            </w:r>
            <w:r w:rsidRPr="007E3C6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7E3C6F">
              <w:rPr>
                <w:rFonts w:ascii="Arabic Typesetting" w:eastAsia="Arabic Typesetting" w:hAnsi="Arabic Typesetting" w:cs="Arabic Typesetting"/>
                <w:color w:val="000000"/>
                <w:sz w:val="28"/>
                <w:szCs w:val="28"/>
                <w:rtl/>
                <w:lang w:eastAsia="ar-EG" w:bidi="ar-EG"/>
              </w:rPr>
              <w:t>‏2.9 بنهاية 2015</w:t>
            </w:r>
          </w:p>
        </w:tc>
        <w:tc>
          <w:tcPr>
            <w:tcW w:w="598" w:type="pct"/>
            <w:shd w:val="clear" w:color="auto" w:fill="auto"/>
            <w:tcMar>
              <w:top w:w="110" w:type="dxa"/>
              <w:left w:w="58" w:type="dxa"/>
              <w:right w:w="58" w:type="dxa"/>
            </w:tcMar>
          </w:tcPr>
          <w:p w14:paraId="27C46999" w14:textId="77777777" w:rsidR="00BB3820" w:rsidRPr="007E3C6F"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3 بنهاية 2017</w:t>
            </w:r>
          </w:p>
        </w:tc>
        <w:tc>
          <w:tcPr>
            <w:tcW w:w="1240" w:type="pct"/>
            <w:shd w:val="clear" w:color="auto" w:fill="FFFFFF"/>
            <w:tcMar>
              <w:top w:w="110" w:type="dxa"/>
              <w:left w:w="58" w:type="dxa"/>
              <w:right w:w="58" w:type="dxa"/>
            </w:tcMar>
          </w:tcPr>
          <w:p w14:paraId="3513D68B" w14:textId="77777777" w:rsidR="00BB3820" w:rsidRPr="007E3C6F" w:rsidRDefault="00BB3820" w:rsidP="0031289D">
            <w:pPr>
              <w:keepNext/>
              <w:keepLines/>
              <w:bidi/>
              <w:spacing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المتوسط الإجمالي</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lang w:eastAsia="ar-EG" w:bidi="ar-EG"/>
              </w:rPr>
              <w:t xml:space="preserve"> </w:t>
            </w:r>
            <w:r>
              <w:rPr>
                <w:rFonts w:ascii="Arabic Typesetting" w:eastAsia="Arabic Typesetting" w:hAnsi="Arabic Typesetting" w:cs="Arabic Typesetting"/>
                <w:color w:val="000000"/>
                <w:sz w:val="28"/>
                <w:szCs w:val="28"/>
                <w:rtl/>
                <w:lang w:eastAsia="ar-EG" w:bidi="ar-EG"/>
              </w:rPr>
              <w:t>3.1</w:t>
            </w:r>
          </w:p>
          <w:p w14:paraId="551A62AB" w14:textId="77777777" w:rsidR="00BB3820" w:rsidRPr="007E3C6F" w:rsidRDefault="00BB3820" w:rsidP="0031289D">
            <w:pPr>
              <w:keepNext/>
              <w:keepLines/>
              <w:numPr>
                <w:ilvl w:val="0"/>
                <w:numId w:val="15"/>
              </w:numPr>
              <w:bidi/>
              <w:spacing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‏أفريقيا</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lang w:eastAsia="ar-EG" w:bidi="ar-EG"/>
              </w:rPr>
              <w:t xml:space="preserve"> </w:t>
            </w:r>
            <w:r w:rsidRPr="007E3C6F">
              <w:rPr>
                <w:rFonts w:ascii="Arabic Typesetting" w:eastAsia="Arabic Typesetting" w:hAnsi="Arabic Typesetting" w:cs="Arabic Typesetting"/>
                <w:color w:val="000000"/>
                <w:sz w:val="28"/>
                <w:szCs w:val="28"/>
                <w:rtl/>
                <w:lang w:eastAsia="ar-EG" w:bidi="ar-EG"/>
              </w:rPr>
              <w:t>3.0</w:t>
            </w:r>
          </w:p>
          <w:p w14:paraId="70482198" w14:textId="77777777" w:rsidR="00BB3820" w:rsidRPr="007E3C6F" w:rsidRDefault="00BB3820" w:rsidP="0031289D">
            <w:pPr>
              <w:keepNext/>
              <w:keepLines/>
              <w:numPr>
                <w:ilvl w:val="0"/>
                <w:numId w:val="15"/>
              </w:numPr>
              <w:bidi/>
              <w:spacing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المنطقة العربية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lang w:eastAsia="ar-EG" w:bidi="ar-EG"/>
              </w:rPr>
              <w:t xml:space="preserve"> </w:t>
            </w:r>
            <w:r w:rsidRPr="007E3C6F">
              <w:rPr>
                <w:rFonts w:ascii="Arabic Typesetting" w:eastAsia="Arabic Typesetting" w:hAnsi="Arabic Typesetting" w:cs="Arabic Typesetting"/>
                <w:color w:val="000000"/>
                <w:sz w:val="28"/>
                <w:szCs w:val="28"/>
                <w:rtl/>
                <w:lang w:eastAsia="ar-EG" w:bidi="ar-EG"/>
              </w:rPr>
              <w:t>2.9</w:t>
            </w:r>
          </w:p>
          <w:p w14:paraId="1A3DBE81" w14:textId="77777777" w:rsidR="00BB3820" w:rsidRPr="007E3C6F" w:rsidRDefault="00BB3820" w:rsidP="0031289D">
            <w:pPr>
              <w:keepNext/>
              <w:keepLines/>
              <w:numPr>
                <w:ilvl w:val="0"/>
                <w:numId w:val="15"/>
              </w:numPr>
              <w:bidi/>
              <w:spacing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آسيا والمحيط الهادئ</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lang w:eastAsia="ar-EG" w:bidi="ar-EG"/>
              </w:rPr>
              <w:t xml:space="preserve"> </w:t>
            </w:r>
            <w:r w:rsidRPr="007E3C6F">
              <w:rPr>
                <w:rFonts w:ascii="Arabic Typesetting" w:eastAsia="Arabic Typesetting" w:hAnsi="Arabic Typesetting" w:cs="Arabic Typesetting"/>
                <w:color w:val="000000"/>
                <w:sz w:val="28"/>
                <w:szCs w:val="28"/>
                <w:rtl/>
                <w:lang w:eastAsia="ar-EG" w:bidi="ar-EG"/>
              </w:rPr>
              <w:t>3.4</w:t>
            </w:r>
          </w:p>
          <w:p w14:paraId="4DC21F1F" w14:textId="77777777" w:rsidR="00BB3820" w:rsidRPr="007E3C6F" w:rsidRDefault="00BB3820" w:rsidP="0031289D">
            <w:pPr>
              <w:keepNext/>
              <w:keepLines/>
              <w:numPr>
                <w:ilvl w:val="0"/>
                <w:numId w:val="15"/>
              </w:numPr>
              <w:bidi/>
              <w:spacing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أمريكا اللاتينية والكاريبي</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lang w:eastAsia="ar-EG" w:bidi="ar-EG"/>
              </w:rPr>
              <w:t xml:space="preserve"> </w:t>
            </w:r>
            <w:r w:rsidRPr="007E3C6F">
              <w:rPr>
                <w:rFonts w:ascii="Arabic Typesetting" w:eastAsia="Arabic Typesetting" w:hAnsi="Arabic Typesetting" w:cs="Arabic Typesetting"/>
                <w:color w:val="000000"/>
                <w:sz w:val="28"/>
                <w:szCs w:val="28"/>
                <w:rtl/>
                <w:lang w:eastAsia="ar-EG" w:bidi="ar-EG"/>
              </w:rPr>
              <w:t>3.2</w:t>
            </w:r>
          </w:p>
          <w:p w14:paraId="2B30D44F" w14:textId="77777777" w:rsidR="00BB3820" w:rsidRPr="007E3C6F" w:rsidRDefault="00BB3820" w:rsidP="0031289D">
            <w:pPr>
              <w:keepNext/>
              <w:keepLines/>
              <w:numPr>
                <w:ilvl w:val="0"/>
                <w:numId w:val="15"/>
              </w:numPr>
              <w:bidi/>
              <w:spacing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آخر</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lang w:eastAsia="ar-EG" w:bidi="ar-EG"/>
              </w:rPr>
              <w:t xml:space="preserve"> </w:t>
            </w:r>
            <w:r>
              <w:rPr>
                <w:rFonts w:ascii="Arabic Typesetting" w:eastAsia="Arabic Typesetting" w:hAnsi="Arabic Typesetting" w:cs="Arabic Typesetting"/>
                <w:color w:val="000000"/>
                <w:sz w:val="28"/>
                <w:szCs w:val="28"/>
                <w:rtl/>
                <w:lang w:eastAsia="ar-EG" w:bidi="ar-EG"/>
              </w:rPr>
              <w:t>2.6</w:t>
            </w:r>
          </w:p>
          <w:p w14:paraId="0B4DB1B2" w14:textId="0B415BBE" w:rsidR="00BB3820" w:rsidRPr="007E3C6F" w:rsidRDefault="00AF6433" w:rsidP="0031289D">
            <w:pPr>
              <w:keepNext/>
              <w:keepLines/>
              <w:numPr>
                <w:ilvl w:val="0"/>
                <w:numId w:val="15"/>
              </w:num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البلدان المتحولة</w:t>
            </w:r>
            <w:r w:rsidR="00BB3820">
              <w:rPr>
                <w:rFonts w:ascii="Arabic Typesetting" w:eastAsia="Arabic Typesetting" w:hAnsi="Arabic Typesetting" w:cs="Arabic Typesetting"/>
                <w:color w:val="000000"/>
                <w:sz w:val="28"/>
                <w:szCs w:val="28"/>
                <w:rtl/>
                <w:lang w:eastAsia="ar-EG" w:bidi="ar-EG"/>
              </w:rPr>
              <w:t>:</w:t>
            </w:r>
            <w:r w:rsidR="00BB3820">
              <w:rPr>
                <w:rFonts w:ascii="Arabic Typesetting" w:eastAsia="Arabic Typesetting" w:hAnsi="Arabic Typesetting" w:cs="Arabic Typesetting"/>
                <w:color w:val="000000"/>
                <w:sz w:val="28"/>
                <w:szCs w:val="28"/>
                <w:lang w:eastAsia="ar-EG" w:bidi="ar-EG"/>
              </w:rPr>
              <w:t xml:space="preserve"> </w:t>
            </w:r>
            <w:r w:rsidR="00BB3820" w:rsidRPr="007E3C6F">
              <w:rPr>
                <w:rFonts w:ascii="Arabic Typesetting" w:eastAsia="Arabic Typesetting" w:hAnsi="Arabic Typesetting" w:cs="Arabic Typesetting"/>
                <w:color w:val="000000"/>
                <w:sz w:val="28"/>
                <w:szCs w:val="28"/>
                <w:rtl/>
                <w:lang w:eastAsia="ar-EG" w:bidi="ar-EG"/>
              </w:rPr>
              <w:t>3.5</w:t>
            </w:r>
          </w:p>
        </w:tc>
        <w:tc>
          <w:tcPr>
            <w:tcW w:w="557" w:type="pct"/>
            <w:shd w:val="clear" w:color="auto" w:fill="auto"/>
            <w:tcMar>
              <w:top w:w="110" w:type="dxa"/>
              <w:left w:w="58" w:type="dxa"/>
              <w:right w:w="58" w:type="dxa"/>
            </w:tcMar>
          </w:tcPr>
          <w:p w14:paraId="3EA6A8B8" w14:textId="77777777" w:rsidR="00BB3820" w:rsidRPr="007E3C6F" w:rsidRDefault="00BB3820"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7E3C6F">
              <w:rPr>
                <w:rFonts w:ascii="Arabic Typesetting" w:eastAsia="Arabic Typesetting" w:hAnsi="Arabic Typesetting" w:cs="Arabic Typesetting"/>
                <w:b/>
                <w:bCs/>
                <w:color w:val="00B050"/>
                <w:sz w:val="28"/>
                <w:szCs w:val="28"/>
                <w:rtl/>
                <w:lang w:eastAsia="ar-EG" w:bidi="ar-EG"/>
              </w:rPr>
              <w:t>ثابت</w:t>
            </w:r>
          </w:p>
        </w:tc>
      </w:tr>
      <w:tr w:rsidR="00BB3820" w:rsidRPr="007E3C6F" w14:paraId="670F1211" w14:textId="77777777" w:rsidTr="00BB3820">
        <w:trPr>
          <w:cantSplit/>
          <w:trHeight w:val="1213"/>
        </w:trPr>
        <w:tc>
          <w:tcPr>
            <w:tcW w:w="1261" w:type="pct"/>
            <w:shd w:val="clear" w:color="auto" w:fill="auto"/>
            <w:tcMar>
              <w:left w:w="58" w:type="dxa"/>
              <w:right w:w="58" w:type="dxa"/>
            </w:tcMar>
          </w:tcPr>
          <w:p w14:paraId="0C27AA98" w14:textId="77777777" w:rsidR="00BB3820" w:rsidRPr="007E3C6F"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عدد منظمات الإدارة الجماعية في البلدان النامية والبلدان الأقل نمواً المشاركة في الشبكات الإقليمية والعالمية التي تقوم الويبو بتيسير عملها</w:t>
            </w:r>
          </w:p>
        </w:tc>
        <w:tc>
          <w:tcPr>
            <w:tcW w:w="1344" w:type="pct"/>
            <w:shd w:val="clear" w:color="auto" w:fill="auto"/>
            <w:tcMar>
              <w:left w:w="58" w:type="dxa"/>
              <w:right w:w="58" w:type="dxa"/>
            </w:tcMar>
          </w:tcPr>
          <w:p w14:paraId="68C84156" w14:textId="77777777" w:rsidR="00BB3820"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7E3C6F">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7E3C6F">
              <w:rPr>
                <w:rFonts w:ascii="Arabic Typesetting" w:eastAsia="Arabic Typesetting" w:hAnsi="Arabic Typesetting" w:cs="Arabic Typesetting"/>
                <w:color w:val="002060"/>
                <w:sz w:val="28"/>
                <w:szCs w:val="28"/>
                <w:rtl/>
                <w:lang w:eastAsia="ar-EG" w:bidi="ar-EG"/>
              </w:rPr>
              <w:t>دخل نظام رابط الويبو مرحلة التطوير النهائي في نهاية الثنائية 2014/15 ويزمع إطلاقه في منظمتين رائدتين من منظمات الإدارة الجماعية في البلدان النامية والبلدان الأقل نموا في نهاية عام 2016.</w:t>
            </w:r>
          </w:p>
          <w:p w14:paraId="657F8251" w14:textId="77777777" w:rsidR="00BB3820" w:rsidRPr="007E3C6F"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7E3C6F">
              <w:rPr>
                <w:rFonts w:ascii="Arabic Typesetting" w:eastAsia="Arabic Typesetting" w:hAnsi="Arabic Typesetting" w:cs="Arabic Typesetting"/>
                <w:i/>
                <w:iCs/>
                <w:sz w:val="28"/>
                <w:szCs w:val="28"/>
                <w:rtl/>
                <w:lang w:eastAsia="ar-EG" w:bidi="ar-EG"/>
              </w:rPr>
              <w:t>:</w:t>
            </w:r>
            <w:r w:rsidRPr="007E3C6F">
              <w:rPr>
                <w:rFonts w:ascii="Arabic Typesetting" w:eastAsia="Arabic Typesetting" w:hAnsi="Arabic Typesetting" w:cs="Arabic Typesetting"/>
                <w:i/>
                <w:sz w:val="28"/>
                <w:szCs w:val="28"/>
                <w:lang w:eastAsia="ar-EG" w:bidi="ar-EG"/>
              </w:rPr>
              <w:br/>
            </w:r>
            <w:r w:rsidRPr="007E3C6F">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7E3C6F">
              <w:rPr>
                <w:rFonts w:ascii="Arabic Typesetting" w:eastAsia="Arabic Typesetting" w:hAnsi="Arabic Typesetting" w:cs="Arabic Typesetting"/>
                <w:color w:val="000000"/>
                <w:spacing w:val="-4"/>
                <w:sz w:val="28"/>
                <w:szCs w:val="28"/>
                <w:rtl/>
                <w:lang w:eastAsia="ar-EG" w:bidi="ar-EG"/>
              </w:rPr>
              <w:t>عد</w:t>
            </w:r>
            <w:r w:rsidRPr="0076665F">
              <w:rPr>
                <w:rFonts w:ascii="Arabic Typesetting" w:eastAsia="Arabic Typesetting" w:hAnsi="Arabic Typesetting" w:cs="Arabic Typesetting"/>
                <w:color w:val="000000"/>
                <w:spacing w:val="-4"/>
                <w:sz w:val="28"/>
                <w:szCs w:val="28"/>
                <w:rtl/>
                <w:lang w:eastAsia="ar-EG" w:bidi="ar-EG"/>
              </w:rPr>
              <w:t xml:space="preserve">د منظمات الإدارة الجماعية </w:t>
            </w:r>
            <w:r w:rsidRPr="0076665F">
              <w:rPr>
                <w:rFonts w:ascii="Arabic Typesetting" w:eastAsia="Arabic Typesetting" w:hAnsi="Arabic Typesetting" w:cs="Arabic Typesetting" w:hint="cs"/>
                <w:color w:val="000000"/>
                <w:spacing w:val="-4"/>
                <w:sz w:val="28"/>
                <w:szCs w:val="28"/>
                <w:rtl/>
                <w:lang w:eastAsia="ar-EG" w:bidi="ar-EG"/>
              </w:rPr>
              <w:t xml:space="preserve">بنهاية </w:t>
            </w:r>
            <w:r w:rsidRPr="007E3C6F">
              <w:rPr>
                <w:rFonts w:ascii="Arabic Typesetting" w:eastAsia="Arabic Typesetting" w:hAnsi="Arabic Typesetting" w:cs="Arabic Typesetting"/>
                <w:color w:val="000000"/>
                <w:spacing w:val="-4"/>
                <w:sz w:val="28"/>
                <w:szCs w:val="28"/>
                <w:rtl/>
                <w:lang w:eastAsia="ar-EG" w:bidi="ar-EG"/>
              </w:rPr>
              <w:t>2015</w:t>
            </w:r>
            <w:r>
              <w:rPr>
                <w:rFonts w:ascii="Arabic Typesetting" w:eastAsia="Arabic Typesetting" w:hAnsi="Arabic Typesetting" w:cs="Arabic Typesetting"/>
                <w:color w:val="000000"/>
                <w:spacing w:val="-4"/>
                <w:sz w:val="28"/>
                <w:szCs w:val="28"/>
                <w:rtl/>
                <w:lang w:eastAsia="ar-EG" w:bidi="ar-EG"/>
              </w:rPr>
              <w:t>:</w:t>
            </w:r>
            <w:r>
              <w:rPr>
                <w:rFonts w:ascii="Arabic Typesetting" w:eastAsia="Arabic Typesetting" w:hAnsi="Arabic Typesetting" w:cs="Arabic Typesetting"/>
                <w:color w:val="000000"/>
                <w:spacing w:val="-4"/>
                <w:sz w:val="28"/>
                <w:szCs w:val="28"/>
                <w:lang w:eastAsia="ar-EG" w:bidi="ar-EG"/>
              </w:rPr>
              <w:t xml:space="preserve"> </w:t>
            </w:r>
            <w:r w:rsidRPr="007E3C6F">
              <w:rPr>
                <w:rFonts w:ascii="Arabic Typesetting" w:eastAsia="Arabic Typesetting" w:hAnsi="Arabic Typesetting" w:cs="Arabic Typesetting"/>
                <w:color w:val="000000"/>
                <w:sz w:val="28"/>
                <w:szCs w:val="28"/>
                <w:rtl/>
                <w:lang w:eastAsia="ar-EG" w:bidi="ar-EG"/>
              </w:rPr>
              <w:t>صفر</w:t>
            </w:r>
          </w:p>
        </w:tc>
        <w:tc>
          <w:tcPr>
            <w:tcW w:w="598" w:type="pct"/>
            <w:shd w:val="clear" w:color="auto" w:fill="auto"/>
            <w:tcMar>
              <w:top w:w="110" w:type="dxa"/>
              <w:left w:w="58" w:type="dxa"/>
              <w:right w:w="58" w:type="dxa"/>
            </w:tcMar>
          </w:tcPr>
          <w:p w14:paraId="67B743DA" w14:textId="77777777" w:rsidR="00BB3820" w:rsidRPr="007E3C6F"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7 منظمات إدارة جماعية بنهاية 2017</w:t>
            </w:r>
          </w:p>
        </w:tc>
        <w:tc>
          <w:tcPr>
            <w:tcW w:w="1240" w:type="pct"/>
            <w:shd w:val="clear" w:color="auto" w:fill="FFFFFF"/>
            <w:tcMar>
              <w:top w:w="110" w:type="dxa"/>
              <w:left w:w="58" w:type="dxa"/>
              <w:right w:w="58" w:type="dxa"/>
            </w:tcMar>
          </w:tcPr>
          <w:p w14:paraId="7CB2E7A5" w14:textId="77777777" w:rsidR="00BB3820" w:rsidRPr="007E3C6F" w:rsidRDefault="00BB3820"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7E3C6F">
              <w:rPr>
                <w:rFonts w:ascii="Arabic Typesetting" w:eastAsia="Arabic Typesetting" w:hAnsi="Arabic Typesetting" w:cs="Arabic Typesetting"/>
                <w:color w:val="000000"/>
                <w:sz w:val="28"/>
                <w:szCs w:val="28"/>
                <w:rtl/>
                <w:lang w:eastAsia="ar-EG" w:bidi="ar-EG"/>
              </w:rPr>
              <w:t>عدد منظمات الإدارة الجماعية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lang w:eastAsia="ar-EG" w:bidi="ar-EG"/>
              </w:rPr>
              <w:t xml:space="preserve"> </w:t>
            </w:r>
            <w:r>
              <w:rPr>
                <w:rFonts w:ascii="Arabic Typesetting" w:eastAsia="Arabic Typesetting" w:hAnsi="Arabic Typesetting" w:cs="Arabic Typesetting"/>
                <w:color w:val="000000"/>
                <w:sz w:val="28"/>
                <w:szCs w:val="28"/>
                <w:rtl/>
                <w:lang w:eastAsia="ar-EG" w:bidi="ar-EG"/>
              </w:rPr>
              <w:t>صفر</w:t>
            </w:r>
          </w:p>
        </w:tc>
        <w:tc>
          <w:tcPr>
            <w:tcW w:w="557" w:type="pct"/>
            <w:shd w:val="clear" w:color="auto" w:fill="auto"/>
            <w:tcMar>
              <w:top w:w="110" w:type="dxa"/>
              <w:left w:w="58" w:type="dxa"/>
              <w:right w:w="58" w:type="dxa"/>
            </w:tcMar>
          </w:tcPr>
          <w:p w14:paraId="766DA2E5" w14:textId="77777777" w:rsidR="00BB3820" w:rsidRPr="007E3C6F" w:rsidRDefault="00BB3820" w:rsidP="0031289D">
            <w:pPr>
              <w:keepNext/>
              <w:keepLines/>
              <w:bidi/>
              <w:spacing w:after="120" w:line="280" w:lineRule="exact"/>
              <w:jc w:val="center"/>
              <w:rPr>
                <w:rFonts w:ascii="Arabic Typesetting" w:eastAsia="Arabic Typesetting" w:hAnsi="Arabic Typesetting" w:cs="Arabic Typesetting"/>
                <w:b/>
                <w:color w:val="FF0000"/>
                <w:sz w:val="28"/>
                <w:szCs w:val="28"/>
                <w:lang w:eastAsia="ar-EG" w:bidi="ar-EG"/>
              </w:rPr>
            </w:pPr>
            <w:r w:rsidRPr="007E3C6F">
              <w:rPr>
                <w:rFonts w:ascii="Arabic Typesetting" w:eastAsia="Arabic Typesetting" w:hAnsi="Arabic Typesetting" w:cs="Arabic Typesetting"/>
                <w:b/>
                <w:bCs/>
                <w:color w:val="FF0000"/>
                <w:sz w:val="28"/>
                <w:szCs w:val="28"/>
                <w:rtl/>
                <w:lang w:eastAsia="ar-EG" w:bidi="ar-EG"/>
              </w:rPr>
              <w:t>غير ثابت</w:t>
            </w:r>
          </w:p>
        </w:tc>
      </w:tr>
    </w:tbl>
    <w:p w14:paraId="4834FF26" w14:textId="77777777" w:rsidR="00BB3820" w:rsidRDefault="00BB3820" w:rsidP="0031289D">
      <w:pPr>
        <w:bidi/>
      </w:pPr>
    </w:p>
    <w:tbl>
      <w:tblPr>
        <w:tblStyle w:val="TableGrid"/>
        <w:bidiVisual/>
        <w:tblW w:w="0" w:type="auto"/>
        <w:tblLook w:val="04A0" w:firstRow="1" w:lastRow="0" w:firstColumn="1" w:lastColumn="0" w:noHBand="0" w:noVBand="1"/>
      </w:tblPr>
      <w:tblGrid>
        <w:gridCol w:w="9571"/>
      </w:tblGrid>
      <w:tr w:rsidR="00BB3820" w14:paraId="472381EE" w14:textId="77777777" w:rsidTr="00BB3820">
        <w:tc>
          <w:tcPr>
            <w:tcW w:w="9571" w:type="dxa"/>
            <w:tcBorders>
              <w:top w:val="nil"/>
              <w:left w:val="nil"/>
              <w:bottom w:val="nil"/>
              <w:right w:val="nil"/>
            </w:tcBorders>
            <w:shd w:val="clear" w:color="auto" w:fill="C6D9F1"/>
            <w:vAlign w:val="center"/>
          </w:tcPr>
          <w:p w14:paraId="342D4101" w14:textId="77777777" w:rsidR="00BB3820" w:rsidRPr="00A2672B" w:rsidRDefault="00BB3820" w:rsidP="0031289D">
            <w:pPr>
              <w:keepNext/>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15</w:t>
            </w:r>
          </w:p>
        </w:tc>
      </w:tr>
    </w:tbl>
    <w:p w14:paraId="383C54A3" w14:textId="77777777" w:rsidR="00BB3820" w:rsidRPr="00FE3908" w:rsidRDefault="00BB3820"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7D87CE7F" w14:textId="77777777" w:rsidR="00BB3820" w:rsidRDefault="00BB3820"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B3820" w:rsidRPr="00211D55" w14:paraId="61153EBC"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5E09E3CF"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3C7557D6"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7CB78C33" w14:textId="77777777" w:rsidR="00BB3820" w:rsidRPr="00A2672B" w:rsidRDefault="00BB3820"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288A6A1A"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B3820" w:rsidRPr="00211D55" w14:paraId="2A1D3320" w14:textId="77777777" w:rsidTr="00BB3820">
        <w:trPr>
          <w:trHeight w:val="55"/>
        </w:trPr>
        <w:tc>
          <w:tcPr>
            <w:tcW w:w="413" w:type="pct"/>
            <w:shd w:val="clear" w:color="auto" w:fill="auto"/>
            <w:noWrap/>
            <w:tcMar>
              <w:top w:w="15" w:type="dxa"/>
              <w:left w:w="15" w:type="dxa"/>
              <w:bottom w:w="0" w:type="dxa"/>
              <w:right w:w="15" w:type="dxa"/>
            </w:tcMar>
            <w:vAlign w:val="center"/>
          </w:tcPr>
          <w:p w14:paraId="0714A398" w14:textId="77777777" w:rsidR="00BB3820" w:rsidRPr="00211D55" w:rsidRDefault="00BB3820" w:rsidP="0031289D">
            <w:pPr>
              <w:bidi/>
              <w:spacing w:before="120" w:after="120"/>
              <w:rPr>
                <w:rFonts w:ascii="Arabic Typesetting" w:hAnsi="Arabic Typesetting" w:cs="Arabic Typesetting"/>
                <w:sz w:val="28"/>
                <w:szCs w:val="28"/>
              </w:rPr>
            </w:pPr>
            <w:r w:rsidRPr="007E3C6F">
              <w:rPr>
                <w:rFonts w:ascii="Arabic Typesetting" w:hAnsi="Arabic Typesetting" w:cs="Arabic Typesetting"/>
                <w:sz w:val="28"/>
                <w:szCs w:val="28"/>
                <w:rtl/>
              </w:rPr>
              <w:t>ه4.4</w:t>
            </w:r>
          </w:p>
        </w:tc>
        <w:tc>
          <w:tcPr>
            <w:tcW w:w="2340" w:type="pct"/>
            <w:shd w:val="clear" w:color="auto" w:fill="auto"/>
            <w:tcMar>
              <w:top w:w="15" w:type="dxa"/>
              <w:left w:w="15" w:type="dxa"/>
              <w:bottom w:w="0" w:type="dxa"/>
              <w:right w:w="15" w:type="dxa"/>
            </w:tcMar>
            <w:vAlign w:val="center"/>
          </w:tcPr>
          <w:p w14:paraId="3DD4A3E8" w14:textId="61936CDD" w:rsidR="00BB3820" w:rsidRPr="00211D55" w:rsidRDefault="007B1E0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749" w:type="pct"/>
            <w:shd w:val="clear" w:color="auto" w:fill="auto"/>
            <w:tcMar>
              <w:top w:w="15" w:type="dxa"/>
              <w:left w:w="15" w:type="dxa"/>
              <w:bottom w:w="0" w:type="dxa"/>
              <w:right w:w="15" w:type="dxa"/>
            </w:tcMar>
            <w:vAlign w:val="center"/>
          </w:tcPr>
          <w:p w14:paraId="21A0E322"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13</w:t>
            </w:r>
            <w:r>
              <w:rPr>
                <w:rFonts w:ascii="Arabic Typesetting" w:hAnsi="Arabic Typesetting" w:cs="Arabic Typesetting"/>
                <w:color w:val="000000"/>
                <w:sz w:val="28"/>
                <w:szCs w:val="28"/>
              </w:rPr>
              <w:t> </w:t>
            </w:r>
            <w:r w:rsidRPr="0076665F">
              <w:rPr>
                <w:rFonts w:ascii="Arabic Typesetting" w:hAnsi="Arabic Typesetting" w:cs="Arabic Typesetting"/>
                <w:color w:val="000000"/>
                <w:sz w:val="28"/>
                <w:szCs w:val="28"/>
              </w:rPr>
              <w:t>806</w:t>
            </w:r>
          </w:p>
        </w:tc>
        <w:tc>
          <w:tcPr>
            <w:tcW w:w="749" w:type="pct"/>
            <w:shd w:val="clear" w:color="auto" w:fill="auto"/>
            <w:tcMar>
              <w:top w:w="15" w:type="dxa"/>
              <w:left w:w="15" w:type="dxa"/>
              <w:bottom w:w="0" w:type="dxa"/>
              <w:right w:w="15" w:type="dxa"/>
            </w:tcMar>
            <w:vAlign w:val="center"/>
          </w:tcPr>
          <w:p w14:paraId="34365FC0"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14</w:t>
            </w:r>
            <w:r>
              <w:rPr>
                <w:rFonts w:ascii="Arabic Typesetting" w:hAnsi="Arabic Typesetting" w:cs="Arabic Typesetting"/>
                <w:color w:val="000000"/>
                <w:sz w:val="28"/>
                <w:szCs w:val="28"/>
              </w:rPr>
              <w:t> </w:t>
            </w:r>
            <w:r w:rsidRPr="0076665F">
              <w:rPr>
                <w:rFonts w:ascii="Arabic Typesetting" w:hAnsi="Arabic Typesetting" w:cs="Arabic Typesetting"/>
                <w:color w:val="000000"/>
                <w:sz w:val="28"/>
                <w:szCs w:val="28"/>
              </w:rPr>
              <w:t>016</w:t>
            </w:r>
          </w:p>
        </w:tc>
        <w:tc>
          <w:tcPr>
            <w:tcW w:w="749" w:type="pct"/>
            <w:shd w:val="clear" w:color="auto" w:fill="auto"/>
            <w:noWrap/>
            <w:tcMar>
              <w:top w:w="15" w:type="dxa"/>
              <w:left w:w="15" w:type="dxa"/>
              <w:bottom w:w="0" w:type="dxa"/>
              <w:right w:w="15" w:type="dxa"/>
            </w:tcMar>
            <w:vAlign w:val="center"/>
          </w:tcPr>
          <w:p w14:paraId="25041EC5"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6</w:t>
            </w:r>
            <w:r>
              <w:rPr>
                <w:rFonts w:ascii="Arabic Typesetting" w:hAnsi="Arabic Typesetting" w:cs="Arabic Typesetting"/>
                <w:color w:val="000000"/>
                <w:sz w:val="28"/>
                <w:szCs w:val="28"/>
              </w:rPr>
              <w:t> </w:t>
            </w:r>
            <w:r w:rsidRPr="0076665F">
              <w:rPr>
                <w:rFonts w:ascii="Arabic Typesetting" w:hAnsi="Arabic Typesetting" w:cs="Arabic Typesetting"/>
                <w:color w:val="000000"/>
                <w:sz w:val="28"/>
                <w:szCs w:val="28"/>
              </w:rPr>
              <w:t>449</w:t>
            </w:r>
          </w:p>
        </w:tc>
      </w:tr>
      <w:tr w:rsidR="00BB3820" w:rsidRPr="00211D55" w14:paraId="30570996" w14:textId="77777777" w:rsidTr="00BB3820">
        <w:trPr>
          <w:trHeight w:val="55"/>
        </w:trPr>
        <w:tc>
          <w:tcPr>
            <w:tcW w:w="413" w:type="pct"/>
            <w:shd w:val="clear" w:color="auto" w:fill="auto"/>
            <w:noWrap/>
            <w:tcMar>
              <w:top w:w="15" w:type="dxa"/>
              <w:left w:w="15" w:type="dxa"/>
              <w:bottom w:w="0" w:type="dxa"/>
              <w:right w:w="15" w:type="dxa"/>
            </w:tcMar>
            <w:vAlign w:val="center"/>
          </w:tcPr>
          <w:p w14:paraId="3D3F1802" w14:textId="77777777" w:rsidR="00BB3820" w:rsidRPr="007E3C6F" w:rsidRDefault="00BB3820" w:rsidP="0031289D">
            <w:pPr>
              <w:bidi/>
              <w:spacing w:before="120" w:after="120"/>
              <w:rPr>
                <w:rFonts w:ascii="Arabic Typesetting" w:hAnsi="Arabic Typesetting" w:cs="Arabic Typesetting"/>
                <w:sz w:val="28"/>
                <w:szCs w:val="28"/>
                <w:rtl/>
              </w:rPr>
            </w:pPr>
            <w:r w:rsidRPr="007E3C6F">
              <w:rPr>
                <w:rFonts w:ascii="Arabic Typesetting" w:hAnsi="Arabic Typesetting" w:cs="Arabic Typesetting"/>
                <w:sz w:val="28"/>
                <w:szCs w:val="28"/>
                <w:rtl/>
              </w:rPr>
              <w:t>ه2.7</w:t>
            </w:r>
          </w:p>
        </w:tc>
        <w:tc>
          <w:tcPr>
            <w:tcW w:w="2340" w:type="pct"/>
            <w:shd w:val="clear" w:color="auto" w:fill="auto"/>
            <w:tcMar>
              <w:top w:w="15" w:type="dxa"/>
              <w:left w:w="15" w:type="dxa"/>
              <w:bottom w:w="0" w:type="dxa"/>
              <w:right w:w="15" w:type="dxa"/>
            </w:tcMar>
            <w:vAlign w:val="center"/>
          </w:tcPr>
          <w:p w14:paraId="3888E636" w14:textId="77777777" w:rsidR="00BB3820" w:rsidRPr="007E3C6F" w:rsidRDefault="00BB3820" w:rsidP="0031289D">
            <w:pPr>
              <w:bidi/>
              <w:spacing w:before="120" w:after="120"/>
              <w:rPr>
                <w:rFonts w:ascii="Arabic Typesetting" w:hAnsi="Arabic Typesetting" w:cs="Arabic Typesetting"/>
                <w:sz w:val="28"/>
                <w:szCs w:val="28"/>
                <w:rtl/>
              </w:rPr>
            </w:pPr>
            <w:r w:rsidRPr="007E3C6F">
              <w:rPr>
                <w:rFonts w:ascii="Arabic Typesetting" w:hAnsi="Arabic Typesetting" w:cs="Arabic Typesetting"/>
                <w:sz w:val="28"/>
                <w:szCs w:val="28"/>
                <w:rtl/>
              </w:rPr>
              <w:t>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749" w:type="pct"/>
            <w:shd w:val="clear" w:color="auto" w:fill="auto"/>
            <w:tcMar>
              <w:top w:w="15" w:type="dxa"/>
              <w:left w:w="15" w:type="dxa"/>
              <w:bottom w:w="0" w:type="dxa"/>
              <w:right w:w="15" w:type="dxa"/>
            </w:tcMar>
            <w:vAlign w:val="center"/>
          </w:tcPr>
          <w:p w14:paraId="76F46527"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0</w:t>
            </w:r>
          </w:p>
        </w:tc>
        <w:tc>
          <w:tcPr>
            <w:tcW w:w="749" w:type="pct"/>
            <w:shd w:val="clear" w:color="auto" w:fill="auto"/>
            <w:tcMar>
              <w:top w:w="15" w:type="dxa"/>
              <w:left w:w="15" w:type="dxa"/>
              <w:bottom w:w="0" w:type="dxa"/>
              <w:right w:w="15" w:type="dxa"/>
            </w:tcMar>
            <w:vAlign w:val="center"/>
          </w:tcPr>
          <w:p w14:paraId="18D98A92"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355</w:t>
            </w:r>
          </w:p>
        </w:tc>
        <w:tc>
          <w:tcPr>
            <w:tcW w:w="749" w:type="pct"/>
            <w:shd w:val="clear" w:color="auto" w:fill="auto"/>
            <w:noWrap/>
            <w:tcMar>
              <w:top w:w="15" w:type="dxa"/>
              <w:left w:w="15" w:type="dxa"/>
              <w:bottom w:w="0" w:type="dxa"/>
              <w:right w:w="15" w:type="dxa"/>
            </w:tcMar>
            <w:vAlign w:val="center"/>
          </w:tcPr>
          <w:p w14:paraId="6CA5D130"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309</w:t>
            </w:r>
          </w:p>
        </w:tc>
      </w:tr>
      <w:tr w:rsidR="00BB3820" w:rsidRPr="00211D55" w14:paraId="3F73E0BF"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16178FBE" w14:textId="77777777" w:rsidR="00BB3820" w:rsidRPr="00211D55" w:rsidRDefault="00BB3820"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20F2341B" w14:textId="77777777" w:rsidR="00BB3820" w:rsidRPr="00280D1A" w:rsidRDefault="00BB3820"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06C5BF9C"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13 806</w:t>
            </w:r>
          </w:p>
        </w:tc>
        <w:tc>
          <w:tcPr>
            <w:tcW w:w="749" w:type="pct"/>
            <w:shd w:val="clear" w:color="auto" w:fill="C6D9F1"/>
            <w:noWrap/>
            <w:tcMar>
              <w:top w:w="15" w:type="dxa"/>
              <w:left w:w="15" w:type="dxa"/>
              <w:bottom w:w="0" w:type="dxa"/>
              <w:right w:w="15" w:type="dxa"/>
            </w:tcMar>
            <w:vAlign w:val="center"/>
          </w:tcPr>
          <w:p w14:paraId="6B54884E"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14 371</w:t>
            </w:r>
          </w:p>
        </w:tc>
        <w:tc>
          <w:tcPr>
            <w:tcW w:w="749" w:type="pct"/>
            <w:shd w:val="clear" w:color="auto" w:fill="C6D9F1"/>
            <w:noWrap/>
            <w:tcMar>
              <w:top w:w="15" w:type="dxa"/>
              <w:left w:w="15" w:type="dxa"/>
              <w:bottom w:w="0" w:type="dxa"/>
              <w:right w:w="15" w:type="dxa"/>
            </w:tcMar>
            <w:vAlign w:val="center"/>
          </w:tcPr>
          <w:p w14:paraId="24FE00DD"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6 758</w:t>
            </w:r>
          </w:p>
        </w:tc>
      </w:tr>
      <w:tr w:rsidR="00BB3820" w:rsidRPr="00211D55" w14:paraId="2020F01D"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5B81DDA5" w14:textId="77777777" w:rsidR="00BB3820" w:rsidRPr="00A2672B" w:rsidRDefault="00BB3820"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2AA854F7" w14:textId="77777777" w:rsidR="00BB3820" w:rsidRPr="00252762" w:rsidRDefault="00BB3820"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14:paraId="16D045B3" w14:textId="77777777" w:rsidR="00BB3820" w:rsidRPr="00DF1D8A" w:rsidRDefault="00BB3820"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9"/>
        <w:gridCol w:w="1859"/>
        <w:gridCol w:w="1859"/>
        <w:gridCol w:w="1857"/>
        <w:gridCol w:w="1857"/>
      </w:tblGrid>
      <w:tr w:rsidR="00BB3820" w:rsidRPr="00211D55" w14:paraId="6425F60B" w14:textId="77777777" w:rsidTr="00BB3820">
        <w:trPr>
          <w:trHeight w:val="645"/>
        </w:trPr>
        <w:tc>
          <w:tcPr>
            <w:tcW w:w="1118" w:type="pct"/>
            <w:shd w:val="clear" w:color="auto" w:fill="C6D9F1"/>
            <w:noWrap/>
            <w:vAlign w:val="center"/>
            <w:hideMark/>
          </w:tcPr>
          <w:p w14:paraId="4F0E9FD2" w14:textId="77777777" w:rsidR="00BB3820" w:rsidRPr="00211D55" w:rsidRDefault="00BB3820"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7F16132D" w14:textId="77777777" w:rsidR="00BB3820" w:rsidRPr="00211D55" w:rsidRDefault="00BB3820"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0CEAA807" w14:textId="77777777" w:rsidR="00BB3820" w:rsidRPr="00211D55" w:rsidRDefault="00BB3820"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213CBFA1" w14:textId="77777777" w:rsidR="00BB3820" w:rsidRPr="00211D55" w:rsidRDefault="00BB3820"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329047F9" w14:textId="77777777" w:rsidR="00BB3820" w:rsidRPr="00211D55" w:rsidRDefault="00BB3820"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B3820" w:rsidRPr="00211D55" w14:paraId="1A213E37" w14:textId="77777777" w:rsidTr="00BB3820">
        <w:trPr>
          <w:trHeight w:val="70"/>
        </w:trPr>
        <w:tc>
          <w:tcPr>
            <w:tcW w:w="1118" w:type="pct"/>
            <w:shd w:val="clear" w:color="auto" w:fill="auto"/>
            <w:noWrap/>
            <w:vAlign w:val="center"/>
            <w:hideMark/>
          </w:tcPr>
          <w:p w14:paraId="1F5CF4FE" w14:textId="77777777" w:rsidR="00BB3820" w:rsidRPr="00211D55" w:rsidRDefault="00BB3820"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4C2F6474"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7</w:t>
            </w:r>
            <w:r>
              <w:rPr>
                <w:rFonts w:ascii="Arabic Typesetting" w:hAnsi="Arabic Typesetting" w:cs="Arabic Typesetting"/>
                <w:color w:val="000000"/>
                <w:sz w:val="28"/>
                <w:szCs w:val="28"/>
              </w:rPr>
              <w:t> </w:t>
            </w:r>
            <w:r w:rsidRPr="0076665F">
              <w:rPr>
                <w:rFonts w:ascii="Arabic Typesetting" w:hAnsi="Arabic Typesetting" w:cs="Arabic Typesetting"/>
                <w:color w:val="000000"/>
                <w:sz w:val="28"/>
                <w:szCs w:val="28"/>
              </w:rPr>
              <w:t xml:space="preserve">756 </w:t>
            </w:r>
          </w:p>
        </w:tc>
        <w:tc>
          <w:tcPr>
            <w:tcW w:w="971" w:type="pct"/>
            <w:shd w:val="clear" w:color="auto" w:fill="auto"/>
            <w:vAlign w:val="center"/>
          </w:tcPr>
          <w:p w14:paraId="512D881D"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7</w:t>
            </w:r>
            <w:r>
              <w:rPr>
                <w:rFonts w:ascii="Arabic Typesetting" w:hAnsi="Arabic Typesetting" w:cs="Arabic Typesetting"/>
                <w:color w:val="000000"/>
                <w:sz w:val="28"/>
                <w:szCs w:val="28"/>
              </w:rPr>
              <w:t> </w:t>
            </w:r>
            <w:r w:rsidRPr="0076665F">
              <w:rPr>
                <w:rFonts w:ascii="Arabic Typesetting" w:hAnsi="Arabic Typesetting" w:cs="Arabic Typesetting"/>
                <w:color w:val="000000"/>
                <w:sz w:val="28"/>
                <w:szCs w:val="28"/>
              </w:rPr>
              <w:t xml:space="preserve">931 </w:t>
            </w:r>
          </w:p>
        </w:tc>
        <w:tc>
          <w:tcPr>
            <w:tcW w:w="970" w:type="pct"/>
            <w:shd w:val="clear" w:color="auto" w:fill="auto"/>
            <w:vAlign w:val="center"/>
          </w:tcPr>
          <w:p w14:paraId="5ACB8F6F"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76665F">
              <w:rPr>
                <w:rFonts w:ascii="Arabic Typesetting" w:hAnsi="Arabic Typesetting" w:cs="Arabic Typesetting"/>
                <w:color w:val="000000"/>
                <w:sz w:val="28"/>
                <w:szCs w:val="28"/>
              </w:rPr>
              <w:t xml:space="preserve">841 </w:t>
            </w:r>
          </w:p>
        </w:tc>
        <w:tc>
          <w:tcPr>
            <w:tcW w:w="970" w:type="pct"/>
            <w:shd w:val="clear" w:color="auto" w:fill="auto"/>
            <w:vAlign w:val="center"/>
          </w:tcPr>
          <w:p w14:paraId="4E4A796E" w14:textId="77777777" w:rsidR="00BB3820" w:rsidRPr="0076665F" w:rsidRDefault="00BB3820"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%48</w:t>
            </w:r>
          </w:p>
        </w:tc>
      </w:tr>
      <w:tr w:rsidR="00BB3820" w:rsidRPr="00211D55" w14:paraId="38BFAC43" w14:textId="77777777" w:rsidTr="00BB3820">
        <w:trPr>
          <w:trHeight w:val="70"/>
        </w:trPr>
        <w:tc>
          <w:tcPr>
            <w:tcW w:w="1118" w:type="pct"/>
            <w:shd w:val="clear" w:color="auto" w:fill="auto"/>
            <w:noWrap/>
            <w:vAlign w:val="center"/>
            <w:hideMark/>
          </w:tcPr>
          <w:p w14:paraId="085C81E0" w14:textId="77777777" w:rsidR="00BB3820" w:rsidRPr="00211D55" w:rsidRDefault="00BB3820"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5FEF2333"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6</w:t>
            </w:r>
            <w:r>
              <w:rPr>
                <w:rFonts w:ascii="Arabic Typesetting" w:hAnsi="Arabic Typesetting" w:cs="Arabic Typesetting"/>
                <w:color w:val="000000"/>
                <w:sz w:val="28"/>
                <w:szCs w:val="28"/>
              </w:rPr>
              <w:t> </w:t>
            </w:r>
            <w:r w:rsidRPr="0076665F">
              <w:rPr>
                <w:rFonts w:ascii="Arabic Typesetting" w:hAnsi="Arabic Typesetting" w:cs="Arabic Typesetting"/>
                <w:color w:val="000000"/>
                <w:sz w:val="28"/>
                <w:szCs w:val="28"/>
              </w:rPr>
              <w:t xml:space="preserve">050 </w:t>
            </w:r>
          </w:p>
        </w:tc>
        <w:tc>
          <w:tcPr>
            <w:tcW w:w="971" w:type="pct"/>
            <w:shd w:val="clear" w:color="auto" w:fill="auto"/>
            <w:vAlign w:val="center"/>
          </w:tcPr>
          <w:p w14:paraId="74263789"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6</w:t>
            </w:r>
            <w:r>
              <w:rPr>
                <w:rFonts w:ascii="Arabic Typesetting" w:hAnsi="Arabic Typesetting" w:cs="Arabic Typesetting"/>
                <w:color w:val="000000"/>
                <w:sz w:val="28"/>
                <w:szCs w:val="28"/>
              </w:rPr>
              <w:t> </w:t>
            </w:r>
            <w:r w:rsidRPr="0076665F">
              <w:rPr>
                <w:rFonts w:ascii="Arabic Typesetting" w:hAnsi="Arabic Typesetting" w:cs="Arabic Typesetting"/>
                <w:color w:val="000000"/>
                <w:sz w:val="28"/>
                <w:szCs w:val="28"/>
              </w:rPr>
              <w:t xml:space="preserve">440 </w:t>
            </w:r>
          </w:p>
        </w:tc>
        <w:tc>
          <w:tcPr>
            <w:tcW w:w="970" w:type="pct"/>
            <w:shd w:val="clear" w:color="auto" w:fill="auto"/>
            <w:vAlign w:val="center"/>
          </w:tcPr>
          <w:p w14:paraId="792D8511" w14:textId="77777777" w:rsidR="00BB3820" w:rsidRPr="0076665F" w:rsidRDefault="00BB3820" w:rsidP="0031289D">
            <w:pPr>
              <w:jc w:val="center"/>
              <w:rPr>
                <w:rFonts w:ascii="Arabic Typesetting" w:hAnsi="Arabic Typesetting" w:cs="Arabic Typesetting"/>
                <w:color w:val="000000"/>
                <w:sz w:val="28"/>
                <w:szCs w:val="28"/>
              </w:rPr>
            </w:pPr>
            <w:r w:rsidRPr="0076665F">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76665F">
              <w:rPr>
                <w:rFonts w:ascii="Arabic Typesetting" w:hAnsi="Arabic Typesetting" w:cs="Arabic Typesetting"/>
                <w:color w:val="000000"/>
                <w:sz w:val="28"/>
                <w:szCs w:val="28"/>
              </w:rPr>
              <w:t xml:space="preserve">916 </w:t>
            </w:r>
          </w:p>
        </w:tc>
        <w:tc>
          <w:tcPr>
            <w:tcW w:w="970" w:type="pct"/>
            <w:shd w:val="clear" w:color="auto" w:fill="auto"/>
            <w:vAlign w:val="center"/>
          </w:tcPr>
          <w:p w14:paraId="6256D895" w14:textId="77777777" w:rsidR="00BB3820" w:rsidRPr="0076665F" w:rsidRDefault="00BB3820"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%45</w:t>
            </w:r>
          </w:p>
        </w:tc>
      </w:tr>
      <w:tr w:rsidR="00BB3820" w:rsidRPr="00211D55" w14:paraId="2A0ACA71" w14:textId="77777777" w:rsidTr="00AF6433">
        <w:trPr>
          <w:trHeight w:val="70"/>
        </w:trPr>
        <w:tc>
          <w:tcPr>
            <w:tcW w:w="1118" w:type="pct"/>
            <w:shd w:val="clear" w:color="auto" w:fill="C6D9F1"/>
            <w:noWrap/>
            <w:vAlign w:val="center"/>
            <w:hideMark/>
          </w:tcPr>
          <w:p w14:paraId="2C4061E7" w14:textId="77777777" w:rsidR="00BB3820" w:rsidRPr="00211D55" w:rsidRDefault="00BB3820"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3CF8B369" w14:textId="77777777" w:rsidR="00BB3820" w:rsidRPr="0076665F" w:rsidRDefault="00BB3820" w:rsidP="0031289D">
            <w:pPr>
              <w:jc w:val="center"/>
              <w:rPr>
                <w:rFonts w:ascii="Arabic Typesetting" w:hAnsi="Arabic Typesetting" w:cs="Arabic Typesetting"/>
                <w:b/>
                <w:bCs/>
                <w:color w:val="000000"/>
                <w:sz w:val="28"/>
                <w:szCs w:val="28"/>
              </w:rPr>
            </w:pPr>
            <w:r w:rsidRPr="0076665F">
              <w:rPr>
                <w:rFonts w:ascii="Arabic Typesetting" w:hAnsi="Arabic Typesetting" w:cs="Arabic Typesetting"/>
                <w:b/>
                <w:bCs/>
                <w:color w:val="000000"/>
                <w:sz w:val="28"/>
                <w:szCs w:val="28"/>
              </w:rPr>
              <w:t>13</w:t>
            </w:r>
            <w:r>
              <w:rPr>
                <w:rFonts w:ascii="Arabic Typesetting" w:hAnsi="Arabic Typesetting" w:cs="Arabic Typesetting"/>
                <w:b/>
                <w:bCs/>
                <w:color w:val="000000"/>
                <w:sz w:val="28"/>
                <w:szCs w:val="28"/>
              </w:rPr>
              <w:t> </w:t>
            </w:r>
            <w:r w:rsidRPr="0076665F">
              <w:rPr>
                <w:rFonts w:ascii="Arabic Typesetting" w:hAnsi="Arabic Typesetting" w:cs="Arabic Typesetting"/>
                <w:b/>
                <w:bCs/>
                <w:color w:val="000000"/>
                <w:sz w:val="28"/>
                <w:szCs w:val="28"/>
              </w:rPr>
              <w:t xml:space="preserve">806 </w:t>
            </w:r>
          </w:p>
        </w:tc>
        <w:tc>
          <w:tcPr>
            <w:tcW w:w="971" w:type="pct"/>
            <w:shd w:val="clear" w:color="auto" w:fill="C6D9F1"/>
            <w:vAlign w:val="center"/>
          </w:tcPr>
          <w:p w14:paraId="2C078A7A" w14:textId="77777777" w:rsidR="00BB3820" w:rsidRPr="0076665F" w:rsidRDefault="00BB3820" w:rsidP="0031289D">
            <w:pPr>
              <w:jc w:val="center"/>
              <w:rPr>
                <w:rFonts w:ascii="Arabic Typesetting" w:hAnsi="Arabic Typesetting" w:cs="Arabic Typesetting"/>
                <w:b/>
                <w:bCs/>
                <w:color w:val="000000"/>
                <w:sz w:val="28"/>
                <w:szCs w:val="28"/>
              </w:rPr>
            </w:pPr>
            <w:r w:rsidRPr="0076665F">
              <w:rPr>
                <w:rFonts w:ascii="Arabic Typesetting" w:hAnsi="Arabic Typesetting" w:cs="Arabic Typesetting"/>
                <w:b/>
                <w:bCs/>
                <w:color w:val="000000"/>
                <w:sz w:val="28"/>
                <w:szCs w:val="28"/>
              </w:rPr>
              <w:t>14</w:t>
            </w:r>
            <w:r>
              <w:rPr>
                <w:rFonts w:ascii="Arabic Typesetting" w:hAnsi="Arabic Typesetting" w:cs="Arabic Typesetting"/>
                <w:b/>
                <w:bCs/>
                <w:color w:val="000000"/>
                <w:sz w:val="28"/>
                <w:szCs w:val="28"/>
              </w:rPr>
              <w:t> </w:t>
            </w:r>
            <w:r w:rsidRPr="0076665F">
              <w:rPr>
                <w:rFonts w:ascii="Arabic Typesetting" w:hAnsi="Arabic Typesetting" w:cs="Arabic Typesetting"/>
                <w:b/>
                <w:bCs/>
                <w:color w:val="000000"/>
                <w:sz w:val="28"/>
                <w:szCs w:val="28"/>
              </w:rPr>
              <w:t xml:space="preserve">371 </w:t>
            </w:r>
          </w:p>
        </w:tc>
        <w:tc>
          <w:tcPr>
            <w:tcW w:w="970" w:type="pct"/>
            <w:shd w:val="clear" w:color="auto" w:fill="C6D9F1"/>
            <w:vAlign w:val="center"/>
          </w:tcPr>
          <w:p w14:paraId="3858412A" w14:textId="77777777" w:rsidR="00BB3820" w:rsidRPr="0076665F" w:rsidRDefault="00BB3820" w:rsidP="0031289D">
            <w:pPr>
              <w:jc w:val="center"/>
              <w:rPr>
                <w:rFonts w:ascii="Arabic Typesetting" w:hAnsi="Arabic Typesetting" w:cs="Arabic Typesetting"/>
                <w:b/>
                <w:bCs/>
                <w:color w:val="000000"/>
                <w:sz w:val="28"/>
                <w:szCs w:val="28"/>
              </w:rPr>
            </w:pPr>
            <w:r w:rsidRPr="0076665F">
              <w:rPr>
                <w:rFonts w:ascii="Arabic Typesetting" w:hAnsi="Arabic Typesetting" w:cs="Arabic Typesetting"/>
                <w:b/>
                <w:bCs/>
                <w:color w:val="000000"/>
                <w:sz w:val="28"/>
                <w:szCs w:val="28"/>
              </w:rPr>
              <w:t>6</w:t>
            </w:r>
            <w:r>
              <w:rPr>
                <w:rFonts w:ascii="Arabic Typesetting" w:hAnsi="Arabic Typesetting" w:cs="Arabic Typesetting"/>
                <w:b/>
                <w:bCs/>
                <w:color w:val="000000"/>
                <w:sz w:val="28"/>
                <w:szCs w:val="28"/>
              </w:rPr>
              <w:t> </w:t>
            </w:r>
            <w:r w:rsidRPr="0076665F">
              <w:rPr>
                <w:rFonts w:ascii="Arabic Typesetting" w:hAnsi="Arabic Typesetting" w:cs="Arabic Typesetting"/>
                <w:b/>
                <w:bCs/>
                <w:color w:val="000000"/>
                <w:sz w:val="28"/>
                <w:szCs w:val="28"/>
              </w:rPr>
              <w:t xml:space="preserve">758 </w:t>
            </w:r>
          </w:p>
        </w:tc>
        <w:tc>
          <w:tcPr>
            <w:tcW w:w="970" w:type="pct"/>
            <w:shd w:val="clear" w:color="auto" w:fill="C6D9F1"/>
            <w:vAlign w:val="center"/>
          </w:tcPr>
          <w:p w14:paraId="2CC8AFBE" w14:textId="77777777" w:rsidR="00BB3820" w:rsidRPr="0076665F" w:rsidRDefault="00BB3820" w:rsidP="0031289D">
            <w:pPr>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%47</w:t>
            </w:r>
          </w:p>
        </w:tc>
      </w:tr>
      <w:tr w:rsidR="00BB3820" w:rsidRPr="00211D55" w14:paraId="4604B6C7" w14:textId="77777777" w:rsidTr="00BB3820">
        <w:trPr>
          <w:trHeight w:val="540"/>
        </w:trPr>
        <w:tc>
          <w:tcPr>
            <w:tcW w:w="5000" w:type="pct"/>
            <w:gridSpan w:val="5"/>
            <w:shd w:val="clear" w:color="auto" w:fill="auto"/>
            <w:noWrap/>
            <w:vAlign w:val="center"/>
          </w:tcPr>
          <w:p w14:paraId="7B051049" w14:textId="77777777" w:rsidR="00BB3820" w:rsidRDefault="00BB3820"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0C4ECC6A" w14:textId="77777777" w:rsidR="00BB3820" w:rsidRPr="00D41845" w:rsidRDefault="00BB3820"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i/>
                <w:iCs/>
                <w:color w:val="000000"/>
                <w:sz w:val="28"/>
                <w:szCs w:val="28"/>
                <w:rtl/>
                <w:lang w:bidi="ar-EG"/>
              </w:rPr>
              <w:br/>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3DE4D9F1" w14:textId="77777777" w:rsidR="00BB3820" w:rsidRPr="00706F20" w:rsidRDefault="00BB3820"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0F89D0BD" w14:textId="77777777" w:rsidR="00BB3820" w:rsidRPr="0076665F" w:rsidRDefault="00BB3820" w:rsidP="00D94CDB">
      <w:pPr>
        <w:numPr>
          <w:ilvl w:val="1"/>
          <w:numId w:val="84"/>
        </w:numPr>
        <w:bidi/>
        <w:spacing w:after="240" w:line="360" w:lineRule="exact"/>
        <w:ind w:left="0" w:hanging="1"/>
        <w:rPr>
          <w:rFonts w:ascii="Arabic Typesetting" w:hAnsi="Arabic Typesetting" w:cs="Arabic Typesetting"/>
          <w:sz w:val="34"/>
          <w:szCs w:val="34"/>
          <w:rtl/>
        </w:rPr>
      </w:pPr>
      <w:r w:rsidRPr="0076665F">
        <w:rPr>
          <w:rFonts w:ascii="Arabic Typesetting" w:hAnsi="Arabic Typesetting" w:cs="Arabic Typesetting"/>
          <w:sz w:val="34"/>
          <w:szCs w:val="34"/>
          <w:rtl/>
        </w:rPr>
        <w:t>تُعزى الزيادة الإجمالية في موارد الموظفين مقارنة بالميزانية المعتمدة 2016/17 أساساً إلى "1" النتيجة الصافية لإعادة تصنيف ثلاثة مناصب؛ "2" وتحويل منصب من حلول الأعمال لمكاتب الملكية الفكرية (البرنامج 15) إلى مكتب الويبو في سنغافورة (البرنامج 20) لتعزيز دعم نظام أتمتة الملكية الصناعية في المكاتب الوطنية للملكية الفكرية في المنطقة</w:t>
      </w:r>
      <w:r w:rsidRPr="0076665F">
        <w:rPr>
          <w:rFonts w:ascii="Arabic Typesetting" w:hAnsi="Arabic Typesetting" w:cs="Arabic Typesetting"/>
          <w:sz w:val="34"/>
          <w:szCs w:val="34"/>
        </w:rPr>
        <w:t>.</w:t>
      </w:r>
    </w:p>
    <w:p w14:paraId="3519A280" w14:textId="77777777" w:rsidR="00BB3820" w:rsidRDefault="00BB3820" w:rsidP="00D94CDB">
      <w:pPr>
        <w:numPr>
          <w:ilvl w:val="1"/>
          <w:numId w:val="84"/>
        </w:numPr>
        <w:bidi/>
        <w:spacing w:after="240" w:line="360" w:lineRule="exact"/>
        <w:ind w:left="0" w:hanging="1"/>
        <w:rPr>
          <w:rFonts w:ascii="Arabic Typesetting" w:hAnsi="Arabic Typesetting" w:cs="Arabic Typesetting"/>
          <w:sz w:val="34"/>
          <w:szCs w:val="34"/>
          <w:rtl/>
        </w:rPr>
      </w:pPr>
      <w:r w:rsidRPr="007E3C6F">
        <w:rPr>
          <w:rFonts w:ascii="Arabic Typesetting" w:hAnsi="Arabic Typesetting" w:cs="Arabic Typesetting"/>
          <w:sz w:val="34"/>
          <w:szCs w:val="34"/>
          <w:rtl/>
        </w:rPr>
        <w:t>وتبيِّن خلاف موارد الموظفين تسوية بالزيادة بسبب تحويل موارد إضافية لدعم إنشاء قاعدة بيانات أسرة البراءات وتغطية زيادة التكالي</w:t>
      </w:r>
      <w:r>
        <w:rPr>
          <w:rFonts w:ascii="Arabic Typesetting" w:hAnsi="Arabic Typesetting" w:cs="Arabic Typesetting"/>
          <w:sz w:val="34"/>
          <w:szCs w:val="34"/>
          <w:rtl/>
        </w:rPr>
        <w:t xml:space="preserve">ف التشغيلية لنظام رابط الويبو. </w:t>
      </w:r>
      <w:r w:rsidRPr="007E3C6F">
        <w:rPr>
          <w:rFonts w:ascii="Arabic Typesetting" w:hAnsi="Arabic Typesetting" w:cs="Arabic Typesetting"/>
          <w:sz w:val="34"/>
          <w:szCs w:val="34"/>
          <w:rtl/>
        </w:rPr>
        <w:t>وفضلاً عن ذلك، حوِّل جزء من موارد الموظفين في البرنامج إلى خلاف موارد الموظفين لدعم إنشاء برنامج زمالة رائد.</w:t>
      </w:r>
    </w:p>
    <w:p w14:paraId="337BD90D" w14:textId="77777777" w:rsidR="00BB3820" w:rsidRDefault="00BB3820"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31428551" w14:textId="1C69DFD6" w:rsidR="00BB3820" w:rsidRDefault="00BB3820" w:rsidP="00D94CDB">
      <w:pPr>
        <w:numPr>
          <w:ilvl w:val="1"/>
          <w:numId w:val="84"/>
        </w:numPr>
        <w:bidi/>
        <w:spacing w:after="240" w:line="360" w:lineRule="exact"/>
        <w:ind w:left="0" w:hanging="1"/>
        <w:rPr>
          <w:rFonts w:ascii="Arabic Typesetting" w:hAnsi="Arabic Typesetting" w:cs="Arabic Typesetting"/>
          <w:sz w:val="34"/>
          <w:szCs w:val="34"/>
        </w:rPr>
      </w:pPr>
      <w:r w:rsidRPr="007E3C6F">
        <w:rPr>
          <w:rFonts w:ascii="Arabic Typesetting" w:hAnsi="Arabic Typesetting" w:cs="Arabic Typesetting"/>
          <w:sz w:val="34"/>
          <w:szCs w:val="34"/>
          <w:rtl/>
        </w:rPr>
        <w:t>كانت نسبة استخدام الميزانية ضمن النطاق المتوقع المتراوح بين 40 و60 بالمئة للسنة الأولى من الثنائية.</w:t>
      </w:r>
    </w:p>
    <w:p w14:paraId="78017541" w14:textId="5DDDFB26" w:rsidR="00BB3820" w:rsidRDefault="00BB3820"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0F75F4D4" w14:textId="09C023A8" w:rsidR="00390415" w:rsidRDefault="00390415" w:rsidP="00390415">
      <w:pPr>
        <w:pStyle w:val="Heading3"/>
        <w:pageBreakBefore w:val="0"/>
        <w:spacing w:after="240"/>
        <w:ind w:left="1134" w:hanging="1134"/>
        <w:jc w:val="center"/>
        <w:rPr>
          <w:rtl/>
          <w:lang w:bidi="ar-EG"/>
        </w:rPr>
      </w:pPr>
      <w:bookmarkStart w:id="37" w:name="_Toc482782764"/>
      <w:r>
        <w:rPr>
          <w:rtl/>
        </w:rPr>
        <w:lastRenderedPageBreak/>
        <w:t xml:space="preserve">الهدف الاستراتيجي </w:t>
      </w:r>
      <w:r>
        <w:rPr>
          <w:rFonts w:hint="cs"/>
          <w:rtl/>
          <w:lang w:bidi="ar-EG"/>
        </w:rPr>
        <w:t>الخامس</w:t>
      </w:r>
      <w:bookmarkEnd w:id="37"/>
    </w:p>
    <w:p w14:paraId="3B3E27E2" w14:textId="33FCFE8C" w:rsidR="00390415" w:rsidRPr="00B54D74" w:rsidRDefault="00390415" w:rsidP="00390415">
      <w:pPr>
        <w:pStyle w:val="NormalParaAR"/>
        <w:jc w:val="center"/>
        <w:rPr>
          <w:b/>
          <w:bCs/>
          <w:rtl/>
        </w:rPr>
      </w:pPr>
      <w:r w:rsidRPr="00390415">
        <w:rPr>
          <w:b/>
          <w:bCs/>
          <w:rtl/>
        </w:rPr>
        <w:t>المصدر العالمي لمراجع المعلومات والدراسات المتعلقة بالملكية الفكرية</w:t>
      </w:r>
    </w:p>
    <w:p w14:paraId="5A8CCBC9" w14:textId="77777777" w:rsidR="00390415" w:rsidRPr="00B54D74" w:rsidRDefault="00390415" w:rsidP="00390415">
      <w:pPr>
        <w:pStyle w:val="NormalParaAR"/>
        <w:jc w:val="center"/>
        <w:rPr>
          <w:b/>
          <w:bCs/>
          <w:rtl/>
        </w:rPr>
      </w:pPr>
      <w:r w:rsidRPr="00B54D74">
        <w:rPr>
          <w:b/>
          <w:bCs/>
          <w:rtl/>
        </w:rPr>
        <w:t>لوحة بيانات الأداء في منتصف المدة (</w:t>
      </w:r>
      <w:r>
        <w:rPr>
          <w:rFonts w:hint="cs"/>
          <w:b/>
          <w:bCs/>
          <w:rtl/>
        </w:rPr>
        <w:t>2016</w:t>
      </w:r>
      <w:r w:rsidRPr="00B54D74">
        <w:rPr>
          <w:b/>
          <w:bCs/>
          <w:rtl/>
        </w:rPr>
        <w:t>)</w:t>
      </w:r>
    </w:p>
    <w:p w14:paraId="6672D12F" w14:textId="77777777" w:rsidR="00390415" w:rsidRDefault="00390415" w:rsidP="00390415">
      <w:pPr>
        <w:pStyle w:val="NormalParaAR"/>
        <w:rPr>
          <w:rtl/>
        </w:rPr>
      </w:pPr>
      <w:r>
        <w:rPr>
          <w:rtl/>
        </w:rPr>
        <w:t xml:space="preserve">توجز لوحة البيانات </w:t>
      </w:r>
      <w:r>
        <w:rPr>
          <w:rFonts w:hint="cs"/>
          <w:rtl/>
        </w:rPr>
        <w:t xml:space="preserve">التالية </w:t>
      </w:r>
      <w:r>
        <w:rPr>
          <w:rtl/>
        </w:rPr>
        <w:t xml:space="preserve">التقدم المحرز </w:t>
      </w:r>
      <w:r>
        <w:rPr>
          <w:rFonts w:hint="cs"/>
          <w:rtl/>
        </w:rPr>
        <w:t>نحو</w:t>
      </w:r>
      <w:r>
        <w:rPr>
          <w:rtl/>
        </w:rPr>
        <w:t xml:space="preserve"> تحقيق النتائج</w:t>
      </w:r>
      <w:r>
        <w:rPr>
          <w:rFonts w:hint="cs"/>
          <w:rtl/>
        </w:rPr>
        <w:t xml:space="preserve"> المرتقبة</w:t>
      </w:r>
      <w:r>
        <w:rPr>
          <w:rtl/>
        </w:rPr>
        <w:t xml:space="preserve"> في عام </w:t>
      </w:r>
      <w:r>
        <w:rPr>
          <w:rFonts w:hint="cs"/>
          <w:rtl/>
        </w:rPr>
        <w:t>2016</w:t>
      </w:r>
      <w:r>
        <w:rPr>
          <w:rtl/>
        </w:rPr>
        <w:t xml:space="preserve"> قياسا</w:t>
      </w:r>
      <w:r>
        <w:rPr>
          <w:rFonts w:hint="cs"/>
          <w:rtl/>
        </w:rPr>
        <w:t>ً</w:t>
      </w:r>
      <w:r>
        <w:rPr>
          <w:rtl/>
        </w:rPr>
        <w:t xml:space="preserve"> بمؤشرات الأداء </w:t>
      </w:r>
      <w:r>
        <w:rPr>
          <w:rFonts w:hint="cs"/>
          <w:rtl/>
        </w:rPr>
        <w:t>في إطار</w:t>
      </w:r>
      <w:r>
        <w:rPr>
          <w:rtl/>
        </w:rPr>
        <w:t xml:space="preserve"> البرامج التي تس</w:t>
      </w:r>
      <w:r>
        <w:rPr>
          <w:rFonts w:hint="cs"/>
          <w:rtl/>
        </w:rPr>
        <w:t>ا</w:t>
      </w:r>
      <w:r>
        <w:rPr>
          <w:rtl/>
        </w:rPr>
        <w:t>هم في تحقيق هذا الهدف الاستراتيجي</w:t>
      </w:r>
      <w:r>
        <w:rPr>
          <w:rFonts w:hint="cs"/>
          <w:rtl/>
        </w:rPr>
        <w:t>.</w:t>
      </w:r>
    </w:p>
    <w:p w14:paraId="0BBE1143" w14:textId="05008024" w:rsidR="00390415" w:rsidRDefault="009C2128" w:rsidP="00390415">
      <w:pPr>
        <w:pStyle w:val="NormalParaAR"/>
        <w:spacing w:line="240" w:lineRule="auto"/>
        <w:jc w:val="center"/>
        <w:rPr>
          <w:rtl/>
        </w:rPr>
      </w:pPr>
      <w:r>
        <w:rPr>
          <w:noProof/>
        </w:rPr>
        <w:drawing>
          <wp:inline distT="0" distB="0" distL="0" distR="0" wp14:anchorId="7029B255" wp14:editId="3B9AFBA8">
            <wp:extent cx="3577718" cy="21600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9212" w:type="dxa"/>
        <w:tblLayout w:type="fixed"/>
        <w:tblLook w:val="0000" w:firstRow="0" w:lastRow="0" w:firstColumn="0" w:lastColumn="0" w:noHBand="0" w:noVBand="0"/>
      </w:tblPr>
      <w:tblGrid>
        <w:gridCol w:w="2722"/>
        <w:gridCol w:w="3855"/>
        <w:gridCol w:w="1587"/>
        <w:gridCol w:w="1048"/>
      </w:tblGrid>
      <w:tr w:rsidR="00390415" w:rsidRPr="0036256E" w14:paraId="0252A298" w14:textId="77777777" w:rsidTr="006E24D8">
        <w:trPr>
          <w:cantSplit/>
          <w:trHeight w:val="605"/>
        </w:trPr>
        <w:tc>
          <w:tcPr>
            <w:tcW w:w="1477" w:type="pct"/>
            <w:shd w:val="clear" w:color="auto" w:fill="B8CCE4" w:themeFill="accent1" w:themeFillTint="66"/>
            <w:tcMar>
              <w:top w:w="113" w:type="dxa"/>
              <w:bottom w:w="85" w:type="dxa"/>
            </w:tcMar>
            <w:vAlign w:val="center"/>
          </w:tcPr>
          <w:p w14:paraId="74E9DA4B" w14:textId="77777777" w:rsidR="00390415" w:rsidRPr="00ED5D24" w:rsidRDefault="00390415" w:rsidP="006E24D8">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النتائج المرتقبة</w:t>
            </w:r>
          </w:p>
        </w:tc>
        <w:tc>
          <w:tcPr>
            <w:tcW w:w="2092" w:type="pct"/>
            <w:shd w:val="clear" w:color="auto" w:fill="B8CCE4" w:themeFill="accent1" w:themeFillTint="66"/>
            <w:tcMar>
              <w:top w:w="113" w:type="dxa"/>
              <w:bottom w:w="85" w:type="dxa"/>
            </w:tcMar>
            <w:vAlign w:val="center"/>
          </w:tcPr>
          <w:p w14:paraId="4A68609D" w14:textId="77777777" w:rsidR="00390415" w:rsidRPr="00ED5D24" w:rsidRDefault="00390415" w:rsidP="006E24D8">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مؤشرات الأداء</w:t>
            </w:r>
          </w:p>
        </w:tc>
        <w:tc>
          <w:tcPr>
            <w:tcW w:w="861" w:type="pct"/>
            <w:shd w:val="clear" w:color="auto" w:fill="B8CCE4" w:themeFill="accent1" w:themeFillTint="66"/>
            <w:tcMar>
              <w:top w:w="113" w:type="dxa"/>
              <w:bottom w:w="85" w:type="dxa"/>
            </w:tcMar>
            <w:vAlign w:val="center"/>
          </w:tcPr>
          <w:p w14:paraId="214F3A22" w14:textId="77777777" w:rsidR="00390415" w:rsidRPr="00ED5D24" w:rsidRDefault="00390415" w:rsidP="006E24D8">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البرامج المسؤولة</w:t>
            </w:r>
          </w:p>
        </w:tc>
        <w:tc>
          <w:tcPr>
            <w:tcW w:w="569" w:type="pct"/>
            <w:shd w:val="clear" w:color="auto" w:fill="B8CCE4" w:themeFill="accent1" w:themeFillTint="66"/>
            <w:vAlign w:val="center"/>
          </w:tcPr>
          <w:p w14:paraId="7775EEAF" w14:textId="77777777" w:rsidR="00390415" w:rsidRPr="00ED5D24" w:rsidRDefault="00390415" w:rsidP="006E24D8">
            <w:pPr>
              <w:bidi/>
              <w:spacing w:before="120" w:after="120" w:line="280" w:lineRule="exact"/>
              <w:rPr>
                <w:rFonts w:ascii="Arabic Typesetting" w:eastAsia="Arabic Typesetting" w:hAnsi="Arabic Typesetting" w:cs="Arabic Typesetting"/>
                <w:bCs/>
                <w:sz w:val="28"/>
                <w:szCs w:val="28"/>
                <w:lang w:eastAsia="ar-EG" w:bidi="ar-EG"/>
              </w:rPr>
            </w:pPr>
            <w:r w:rsidRPr="00ED5D24">
              <w:rPr>
                <w:rFonts w:ascii="Arabic Typesetting" w:eastAsia="Arabic Typesetting" w:hAnsi="Arabic Typesetting" w:cs="Arabic Typesetting"/>
                <w:bCs/>
                <w:sz w:val="28"/>
                <w:szCs w:val="28"/>
                <w:rtl/>
                <w:lang w:eastAsia="ar-EG" w:bidi="ar-EG"/>
              </w:rPr>
              <w:t>السير</w:t>
            </w:r>
          </w:p>
        </w:tc>
      </w:tr>
      <w:tr w:rsidR="00390415" w:rsidRPr="0036256E" w14:paraId="3C04A881" w14:textId="77777777" w:rsidTr="006E24D8">
        <w:trPr>
          <w:cantSplit/>
          <w:trHeight w:val="249"/>
        </w:trPr>
        <w:tc>
          <w:tcPr>
            <w:tcW w:w="1477" w:type="pct"/>
            <w:vMerge w:val="restart"/>
            <w:shd w:val="clear" w:color="auto" w:fill="auto"/>
            <w:tcMar>
              <w:top w:w="113" w:type="dxa"/>
              <w:bottom w:w="85" w:type="dxa"/>
            </w:tcMar>
          </w:tcPr>
          <w:p w14:paraId="37344DCD" w14:textId="77777777" w:rsidR="00390415" w:rsidRPr="0036256E" w:rsidRDefault="00390415" w:rsidP="006E24D8">
            <w:pPr>
              <w:bidi/>
              <w:spacing w:before="120" w:after="120" w:line="280" w:lineRule="exact"/>
              <w:rPr>
                <w:rFonts w:ascii="Arabic Typesetting" w:hAnsi="Arabic Typesetting" w:cs="Arabic Typesetting"/>
                <w:sz w:val="28"/>
                <w:szCs w:val="28"/>
              </w:rPr>
            </w:pPr>
            <w:r w:rsidRPr="0036256E">
              <w:rPr>
                <w:rFonts w:ascii="Arabic Typesetting" w:eastAsia="Arabic Typesetting" w:hAnsi="Arabic Typesetting" w:cs="Arabic Typesetting"/>
                <w:color w:val="000000"/>
                <w:sz w:val="28"/>
                <w:szCs w:val="28"/>
                <w:rtl/>
                <w:lang w:eastAsia="ar-EG" w:bidi="ar-EG"/>
              </w:rPr>
              <w:t>ه1.5 استخدام معلومات الويبو الإحصائية بشأن الملكية الفكرية على نطاق أوسع ونحو أفضل</w:t>
            </w:r>
          </w:p>
        </w:tc>
        <w:tc>
          <w:tcPr>
            <w:tcW w:w="2092" w:type="pct"/>
            <w:shd w:val="clear" w:color="auto" w:fill="auto"/>
            <w:tcMar>
              <w:top w:w="113" w:type="dxa"/>
              <w:bottom w:w="85" w:type="dxa"/>
            </w:tcMar>
          </w:tcPr>
          <w:p w14:paraId="6C998E3C" w14:textId="77777777" w:rsidR="00390415" w:rsidRPr="0036256E" w:rsidRDefault="00390415" w:rsidP="006E24D8">
            <w:pPr>
              <w:bidi/>
              <w:spacing w:before="120" w:after="120" w:line="280" w:lineRule="exact"/>
              <w:rPr>
                <w:rFonts w:ascii="Arabic Typesetting" w:hAnsi="Arabic Typesetting" w:cs="Arabic Typesetting"/>
                <w:sz w:val="28"/>
                <w:szCs w:val="28"/>
              </w:rPr>
            </w:pPr>
            <w:r w:rsidRPr="0036256E">
              <w:rPr>
                <w:rFonts w:ascii="Arabic Typesetting" w:eastAsia="Arabic Typesetting" w:hAnsi="Arabic Typesetting" w:cs="Arabic Typesetting"/>
                <w:color w:val="000000"/>
                <w:sz w:val="28"/>
                <w:szCs w:val="28"/>
                <w:rtl/>
                <w:lang w:eastAsia="ar-EG" w:bidi="ar-EG"/>
              </w:rPr>
              <w:t>الفرق بين تنبؤات يناير والعدد الفعلي لإيداعات معاهدة البراءات ومدريد ولاهاي ضمن النطاق المحدد</w:t>
            </w:r>
          </w:p>
        </w:tc>
        <w:tc>
          <w:tcPr>
            <w:tcW w:w="861" w:type="pct"/>
            <w:shd w:val="clear" w:color="auto" w:fill="FFFFFF"/>
            <w:tcMar>
              <w:top w:w="113" w:type="dxa"/>
              <w:bottom w:w="85" w:type="dxa"/>
            </w:tcMar>
          </w:tcPr>
          <w:p w14:paraId="59F27FB1" w14:textId="77777777" w:rsidR="00390415" w:rsidRPr="0036256E" w:rsidRDefault="00390415" w:rsidP="006E24D8">
            <w:pPr>
              <w:bidi/>
              <w:spacing w:before="120" w:after="120" w:line="280" w:lineRule="exact"/>
              <w:jc w:val="center"/>
              <w:rPr>
                <w:rFonts w:ascii="Arabic Typesetting" w:hAnsi="Arabic Typesetting" w:cs="Arabic Typesetting"/>
                <w:sz w:val="28"/>
                <w:szCs w:val="28"/>
                <w:lang w:bidi="th-TH"/>
              </w:rPr>
            </w:pPr>
            <w:r w:rsidRPr="0036256E">
              <w:rPr>
                <w:rFonts w:ascii="Arabic Typesetting" w:hAnsi="Arabic Typesetting" w:cs="Arabic Typesetting"/>
                <w:sz w:val="28"/>
                <w:szCs w:val="28"/>
                <w:rtl/>
              </w:rPr>
              <w:t>البرنامج 16</w:t>
            </w:r>
          </w:p>
        </w:tc>
        <w:tc>
          <w:tcPr>
            <w:tcW w:w="569" w:type="pct"/>
            <w:shd w:val="clear" w:color="auto" w:fill="FFFFFF"/>
          </w:tcPr>
          <w:p w14:paraId="471998B8" w14:textId="77777777" w:rsidR="00390415" w:rsidRPr="0036256E" w:rsidRDefault="00390415" w:rsidP="006E24D8">
            <w:pPr>
              <w:bidi/>
              <w:spacing w:before="120" w:after="120" w:line="280" w:lineRule="exact"/>
              <w:jc w:val="center"/>
              <w:rPr>
                <w:rFonts w:ascii="Arabic Typesetting" w:hAnsi="Arabic Typesetting" w:cs="Arabic Typesetting"/>
                <w:color w:val="A6A6A6" w:themeColor="background1" w:themeShade="A6"/>
                <w:sz w:val="28"/>
                <w:szCs w:val="28"/>
              </w:rPr>
            </w:pPr>
            <w:r w:rsidRPr="0036256E">
              <w:rPr>
                <w:rFonts w:ascii="Arabic Typesetting" w:hAnsi="Arabic Typesetting" w:cs="Arabic Typesetting"/>
                <w:color w:val="00B050"/>
                <w:sz w:val="28"/>
                <w:szCs w:val="28"/>
              </w:rPr>
              <w:sym w:font="Wingdings" w:char="F06C"/>
            </w:r>
          </w:p>
        </w:tc>
      </w:tr>
      <w:tr w:rsidR="00390415" w:rsidRPr="0036256E" w14:paraId="20EA433F" w14:textId="77777777" w:rsidTr="006E24D8">
        <w:trPr>
          <w:cantSplit/>
          <w:trHeight w:val="203"/>
        </w:trPr>
        <w:tc>
          <w:tcPr>
            <w:tcW w:w="1477" w:type="pct"/>
            <w:vMerge/>
            <w:shd w:val="clear" w:color="auto" w:fill="auto"/>
            <w:tcMar>
              <w:top w:w="113" w:type="dxa"/>
              <w:bottom w:w="85" w:type="dxa"/>
            </w:tcMar>
          </w:tcPr>
          <w:p w14:paraId="19C138A7" w14:textId="77777777" w:rsidR="00390415" w:rsidRPr="0036256E" w:rsidRDefault="00390415" w:rsidP="006E24D8">
            <w:pPr>
              <w:bidi/>
              <w:spacing w:before="120" w:after="120" w:line="280" w:lineRule="exact"/>
              <w:rPr>
                <w:rFonts w:ascii="Arabic Typesetting" w:hAnsi="Arabic Typesetting" w:cs="Arabic Typesetting"/>
                <w:sz w:val="28"/>
                <w:szCs w:val="28"/>
              </w:rPr>
            </w:pPr>
          </w:p>
        </w:tc>
        <w:tc>
          <w:tcPr>
            <w:tcW w:w="2092" w:type="pct"/>
            <w:shd w:val="clear" w:color="auto" w:fill="auto"/>
            <w:tcMar>
              <w:top w:w="113" w:type="dxa"/>
              <w:bottom w:w="85" w:type="dxa"/>
            </w:tcMar>
          </w:tcPr>
          <w:p w14:paraId="24A725B4" w14:textId="77777777" w:rsidR="00390415" w:rsidRPr="0036256E" w:rsidRDefault="00390415" w:rsidP="006E24D8">
            <w:pPr>
              <w:bidi/>
              <w:spacing w:before="120" w:after="120" w:line="280" w:lineRule="exact"/>
              <w:rPr>
                <w:rFonts w:ascii="Arabic Typesetting" w:hAnsi="Arabic Typesetting" w:cs="Arabic Typesetting"/>
                <w:sz w:val="28"/>
                <w:szCs w:val="28"/>
              </w:rPr>
            </w:pPr>
            <w:r w:rsidRPr="0036256E">
              <w:rPr>
                <w:rFonts w:ascii="Arabic Typesetting" w:eastAsia="Arabic Typesetting" w:hAnsi="Arabic Typesetting" w:cs="Arabic Typesetting"/>
                <w:color w:val="000000"/>
                <w:sz w:val="28"/>
                <w:szCs w:val="28"/>
                <w:rtl/>
                <w:lang w:eastAsia="ar-EG" w:bidi="ar-EG"/>
              </w:rPr>
              <w:t>عدد مرات تحميل التقرير العالمي للملكية الفكرية في غضون 6 أشهر من نشره</w:t>
            </w:r>
          </w:p>
        </w:tc>
        <w:tc>
          <w:tcPr>
            <w:tcW w:w="861" w:type="pct"/>
            <w:shd w:val="clear" w:color="auto" w:fill="FFFFFF"/>
            <w:tcMar>
              <w:top w:w="113" w:type="dxa"/>
              <w:bottom w:w="85" w:type="dxa"/>
            </w:tcMar>
          </w:tcPr>
          <w:p w14:paraId="3B5E255C" w14:textId="77777777" w:rsidR="00390415" w:rsidRPr="0036256E" w:rsidRDefault="00390415" w:rsidP="006E24D8">
            <w:pPr>
              <w:bidi/>
              <w:spacing w:before="120" w:after="120" w:line="280" w:lineRule="exact"/>
              <w:jc w:val="center"/>
              <w:rPr>
                <w:rFonts w:ascii="Arabic Typesetting" w:hAnsi="Arabic Typesetting" w:cs="Arabic Typesetting"/>
                <w:sz w:val="28"/>
                <w:szCs w:val="28"/>
                <w:lang w:bidi="th-TH"/>
              </w:rPr>
            </w:pPr>
            <w:r w:rsidRPr="0036256E">
              <w:rPr>
                <w:rFonts w:ascii="Arabic Typesetting" w:hAnsi="Arabic Typesetting" w:cs="Arabic Typesetting"/>
                <w:sz w:val="28"/>
                <w:szCs w:val="28"/>
                <w:rtl/>
              </w:rPr>
              <w:t>البرنامج 16</w:t>
            </w:r>
          </w:p>
        </w:tc>
        <w:tc>
          <w:tcPr>
            <w:tcW w:w="569" w:type="pct"/>
            <w:shd w:val="clear" w:color="auto" w:fill="FFFFFF"/>
          </w:tcPr>
          <w:p w14:paraId="25CC1264" w14:textId="77777777" w:rsidR="00390415" w:rsidRPr="0036256E" w:rsidRDefault="00390415" w:rsidP="006E24D8">
            <w:pPr>
              <w:bidi/>
              <w:spacing w:before="120" w:after="120" w:line="280" w:lineRule="exact"/>
              <w:jc w:val="center"/>
              <w:rPr>
                <w:rFonts w:ascii="Arabic Typesetting" w:hAnsi="Arabic Typesetting" w:cs="Arabic Typesetting"/>
                <w:sz w:val="28"/>
                <w:szCs w:val="28"/>
              </w:rPr>
            </w:pPr>
            <w:r w:rsidRPr="0036256E">
              <w:rPr>
                <w:rFonts w:ascii="Arabic Typesetting" w:hAnsi="Arabic Typesetting" w:cs="Arabic Typesetting"/>
                <w:color w:val="0070C0"/>
                <w:sz w:val="28"/>
                <w:szCs w:val="28"/>
              </w:rPr>
              <w:sym w:font="Wingdings" w:char="F06C"/>
            </w:r>
          </w:p>
        </w:tc>
      </w:tr>
      <w:tr w:rsidR="00390415" w:rsidRPr="0036256E" w14:paraId="12FFAEEE" w14:textId="77777777" w:rsidTr="006E24D8">
        <w:trPr>
          <w:cantSplit/>
          <w:trHeight w:val="20"/>
        </w:trPr>
        <w:tc>
          <w:tcPr>
            <w:tcW w:w="1477" w:type="pct"/>
            <w:vMerge/>
            <w:shd w:val="clear" w:color="auto" w:fill="auto"/>
            <w:tcMar>
              <w:top w:w="113" w:type="dxa"/>
              <w:bottom w:w="85" w:type="dxa"/>
            </w:tcMar>
          </w:tcPr>
          <w:p w14:paraId="56229536" w14:textId="77777777" w:rsidR="00390415" w:rsidRPr="0036256E" w:rsidRDefault="00390415" w:rsidP="006E24D8">
            <w:pPr>
              <w:tabs>
                <w:tab w:val="right" w:pos="2835"/>
              </w:tabs>
              <w:bidi/>
              <w:spacing w:before="120" w:after="120" w:line="280" w:lineRule="exact"/>
              <w:rPr>
                <w:rFonts w:ascii="Arabic Typesetting" w:hAnsi="Arabic Typesetting" w:cs="Arabic Typesetting"/>
                <w:sz w:val="28"/>
                <w:szCs w:val="28"/>
              </w:rPr>
            </w:pPr>
          </w:p>
        </w:tc>
        <w:tc>
          <w:tcPr>
            <w:tcW w:w="2092" w:type="pct"/>
            <w:shd w:val="clear" w:color="auto" w:fill="auto"/>
            <w:tcMar>
              <w:top w:w="113" w:type="dxa"/>
              <w:bottom w:w="85" w:type="dxa"/>
            </w:tcMar>
          </w:tcPr>
          <w:p w14:paraId="07C323D8" w14:textId="77777777" w:rsidR="00390415" w:rsidRPr="0036256E" w:rsidRDefault="00390415" w:rsidP="006E24D8">
            <w:pPr>
              <w:bidi/>
              <w:spacing w:before="120" w:after="120" w:line="280" w:lineRule="exact"/>
              <w:rPr>
                <w:rFonts w:ascii="Arabic Typesetting" w:hAnsi="Arabic Typesetting" w:cs="Arabic Typesetting"/>
                <w:sz w:val="28"/>
                <w:szCs w:val="28"/>
              </w:rPr>
            </w:pPr>
            <w:r w:rsidRPr="0036256E">
              <w:rPr>
                <w:rFonts w:ascii="Arabic Typesetting" w:eastAsia="Arabic Typesetting" w:hAnsi="Arabic Typesetting" w:cs="Arabic Typesetting"/>
                <w:color w:val="000000"/>
                <w:sz w:val="28"/>
                <w:szCs w:val="28"/>
                <w:rtl/>
                <w:lang w:eastAsia="ar-EG" w:bidi="ar-EG"/>
              </w:rPr>
              <w:t>عدد عمليات البحث باستخدام مركز البيانات الإحصائية للملكية الفكرية</w:t>
            </w:r>
          </w:p>
        </w:tc>
        <w:tc>
          <w:tcPr>
            <w:tcW w:w="861" w:type="pct"/>
            <w:shd w:val="clear" w:color="auto" w:fill="FFFFFF"/>
            <w:tcMar>
              <w:top w:w="113" w:type="dxa"/>
              <w:bottom w:w="85" w:type="dxa"/>
            </w:tcMar>
          </w:tcPr>
          <w:p w14:paraId="6442C62C" w14:textId="77777777" w:rsidR="00390415" w:rsidRPr="0036256E" w:rsidRDefault="00390415" w:rsidP="006E24D8">
            <w:pPr>
              <w:bidi/>
              <w:spacing w:before="120" w:after="120" w:line="280" w:lineRule="exact"/>
              <w:jc w:val="center"/>
              <w:rPr>
                <w:rFonts w:ascii="Arabic Typesetting" w:hAnsi="Arabic Typesetting" w:cs="Arabic Typesetting"/>
                <w:sz w:val="28"/>
                <w:szCs w:val="28"/>
                <w:lang w:bidi="th-TH"/>
              </w:rPr>
            </w:pPr>
            <w:r w:rsidRPr="0036256E">
              <w:rPr>
                <w:rFonts w:ascii="Arabic Typesetting" w:hAnsi="Arabic Typesetting" w:cs="Arabic Typesetting"/>
                <w:sz w:val="28"/>
                <w:szCs w:val="28"/>
                <w:rtl/>
              </w:rPr>
              <w:t>البرنامج 16</w:t>
            </w:r>
          </w:p>
        </w:tc>
        <w:tc>
          <w:tcPr>
            <w:tcW w:w="569" w:type="pct"/>
            <w:shd w:val="clear" w:color="auto" w:fill="FFFFFF"/>
          </w:tcPr>
          <w:p w14:paraId="70B9625E" w14:textId="77777777" w:rsidR="00390415" w:rsidRPr="0036256E" w:rsidRDefault="00390415" w:rsidP="006E24D8">
            <w:pPr>
              <w:bidi/>
              <w:spacing w:before="120" w:after="120" w:line="280" w:lineRule="exact"/>
              <w:jc w:val="center"/>
              <w:rPr>
                <w:rFonts w:ascii="Arabic Typesetting" w:hAnsi="Arabic Typesetting" w:cs="Arabic Typesetting"/>
                <w:sz w:val="28"/>
                <w:szCs w:val="28"/>
              </w:rPr>
            </w:pPr>
            <w:r w:rsidRPr="0036256E">
              <w:rPr>
                <w:rFonts w:ascii="Arabic Typesetting" w:hAnsi="Arabic Typesetting" w:cs="Arabic Typesetting"/>
                <w:color w:val="0070C0"/>
                <w:sz w:val="28"/>
                <w:szCs w:val="28"/>
              </w:rPr>
              <w:sym w:font="Wingdings" w:char="F06C"/>
            </w:r>
          </w:p>
        </w:tc>
      </w:tr>
      <w:tr w:rsidR="00390415" w:rsidRPr="0036256E" w14:paraId="1129591B" w14:textId="77777777" w:rsidTr="006E24D8">
        <w:trPr>
          <w:cantSplit/>
          <w:trHeight w:val="20"/>
        </w:trPr>
        <w:tc>
          <w:tcPr>
            <w:tcW w:w="1477" w:type="pct"/>
            <w:vMerge w:val="restart"/>
            <w:shd w:val="clear" w:color="auto" w:fill="auto"/>
            <w:tcMar>
              <w:top w:w="113" w:type="dxa"/>
              <w:bottom w:w="85" w:type="dxa"/>
            </w:tcMar>
          </w:tcPr>
          <w:p w14:paraId="75E6A0D2" w14:textId="77777777" w:rsidR="00390415" w:rsidRPr="0036256E" w:rsidRDefault="00390415" w:rsidP="006E24D8">
            <w:pPr>
              <w:tabs>
                <w:tab w:val="right" w:pos="2835"/>
              </w:tabs>
              <w:bidi/>
              <w:spacing w:before="120" w:after="120" w:line="280" w:lineRule="exact"/>
              <w:rPr>
                <w:rFonts w:ascii="Arabic Typesetting" w:hAnsi="Arabic Typesetting" w:cs="Arabic Typesetting"/>
                <w:sz w:val="28"/>
                <w:szCs w:val="28"/>
              </w:rPr>
            </w:pPr>
            <w:r w:rsidRPr="0036256E">
              <w:rPr>
                <w:rFonts w:ascii="Arabic Typesetting" w:eastAsia="Arabic Typesetting" w:hAnsi="Arabic Typesetting" w:cs="Arabic Typesetting"/>
                <w:color w:val="000000"/>
                <w:sz w:val="28"/>
                <w:szCs w:val="28"/>
                <w:rtl/>
                <w:lang w:eastAsia="ar-EG" w:bidi="ar-EG"/>
              </w:rPr>
              <w:t>ه2.5 استخدام تحليلات الويبو الاقتصادية على نطاق أوسع ونحو أفضل في صياغة السياسات العامة</w:t>
            </w:r>
          </w:p>
        </w:tc>
        <w:tc>
          <w:tcPr>
            <w:tcW w:w="2092" w:type="pct"/>
            <w:shd w:val="clear" w:color="auto" w:fill="auto"/>
            <w:tcMar>
              <w:top w:w="113" w:type="dxa"/>
              <w:bottom w:w="85" w:type="dxa"/>
            </w:tcMar>
          </w:tcPr>
          <w:p w14:paraId="2BB4999E" w14:textId="77777777" w:rsidR="00390415" w:rsidRPr="0036256E" w:rsidRDefault="00390415" w:rsidP="006E24D8">
            <w:pPr>
              <w:bidi/>
              <w:spacing w:before="120" w:after="120" w:line="280" w:lineRule="exact"/>
              <w:rPr>
                <w:rFonts w:ascii="Arabic Typesetting" w:hAnsi="Arabic Typesetting" w:cs="Arabic Typesetting"/>
                <w:sz w:val="28"/>
                <w:szCs w:val="28"/>
              </w:rPr>
            </w:pPr>
            <w:r w:rsidRPr="0036256E">
              <w:rPr>
                <w:rFonts w:ascii="Arabic Typesetting" w:eastAsia="Arabic Typesetting" w:hAnsi="Arabic Typesetting" w:cs="Arabic Typesetting"/>
                <w:color w:val="000000"/>
                <w:sz w:val="28"/>
                <w:szCs w:val="28"/>
                <w:rtl/>
                <w:lang w:eastAsia="ar-EG" w:bidi="ar-EG"/>
              </w:rPr>
              <w:t>العدد السنوي لزائري مواقع مؤشر الابتكار العالمي</w:t>
            </w:r>
          </w:p>
        </w:tc>
        <w:tc>
          <w:tcPr>
            <w:tcW w:w="861" w:type="pct"/>
            <w:shd w:val="clear" w:color="auto" w:fill="FFFFFF"/>
            <w:tcMar>
              <w:top w:w="113" w:type="dxa"/>
              <w:bottom w:w="85" w:type="dxa"/>
            </w:tcMar>
          </w:tcPr>
          <w:p w14:paraId="4A760981" w14:textId="77777777" w:rsidR="00390415" w:rsidRPr="0036256E" w:rsidRDefault="00390415" w:rsidP="006E24D8">
            <w:pPr>
              <w:bidi/>
              <w:spacing w:before="120" w:after="120" w:line="280" w:lineRule="exact"/>
              <w:jc w:val="center"/>
              <w:rPr>
                <w:rFonts w:ascii="Arabic Typesetting" w:hAnsi="Arabic Typesetting" w:cs="Arabic Typesetting"/>
                <w:sz w:val="28"/>
                <w:szCs w:val="28"/>
                <w:lang w:bidi="th-TH"/>
              </w:rPr>
            </w:pPr>
            <w:r w:rsidRPr="0036256E">
              <w:rPr>
                <w:rFonts w:ascii="Arabic Typesetting" w:hAnsi="Arabic Typesetting" w:cs="Arabic Typesetting"/>
                <w:sz w:val="28"/>
                <w:szCs w:val="28"/>
                <w:rtl/>
              </w:rPr>
              <w:t>البرنامج 16</w:t>
            </w:r>
          </w:p>
        </w:tc>
        <w:tc>
          <w:tcPr>
            <w:tcW w:w="569" w:type="pct"/>
            <w:shd w:val="clear" w:color="auto" w:fill="FFFFFF"/>
          </w:tcPr>
          <w:p w14:paraId="2D57822A" w14:textId="77777777" w:rsidR="00390415" w:rsidRPr="0036256E" w:rsidRDefault="00390415" w:rsidP="006E24D8">
            <w:pPr>
              <w:bidi/>
              <w:spacing w:before="120" w:after="120" w:line="280" w:lineRule="exact"/>
              <w:jc w:val="center"/>
              <w:rPr>
                <w:rFonts w:ascii="Arabic Typesetting" w:hAnsi="Arabic Typesetting" w:cs="Arabic Typesetting"/>
                <w:sz w:val="28"/>
                <w:szCs w:val="28"/>
              </w:rPr>
            </w:pPr>
            <w:r w:rsidRPr="0036256E">
              <w:rPr>
                <w:rFonts w:ascii="Arabic Typesetting" w:hAnsi="Arabic Typesetting" w:cs="Arabic Typesetting"/>
                <w:color w:val="00B050"/>
                <w:sz w:val="28"/>
                <w:szCs w:val="28"/>
              </w:rPr>
              <w:sym w:font="Wingdings" w:char="F06C"/>
            </w:r>
          </w:p>
        </w:tc>
      </w:tr>
      <w:tr w:rsidR="00390415" w:rsidRPr="0036256E" w14:paraId="6CCEDC86" w14:textId="77777777" w:rsidTr="006E24D8">
        <w:trPr>
          <w:cantSplit/>
          <w:trHeight w:val="512"/>
        </w:trPr>
        <w:tc>
          <w:tcPr>
            <w:tcW w:w="1477" w:type="pct"/>
            <w:vMerge/>
            <w:shd w:val="clear" w:color="auto" w:fill="auto"/>
            <w:tcMar>
              <w:top w:w="113" w:type="dxa"/>
              <w:bottom w:w="85" w:type="dxa"/>
            </w:tcMar>
          </w:tcPr>
          <w:p w14:paraId="7A4C1E19" w14:textId="77777777" w:rsidR="00390415" w:rsidRPr="0036256E" w:rsidRDefault="00390415" w:rsidP="006E24D8">
            <w:pPr>
              <w:bidi/>
              <w:spacing w:before="120" w:after="120" w:line="280" w:lineRule="exact"/>
              <w:rPr>
                <w:rFonts w:ascii="Arabic Typesetting" w:hAnsi="Arabic Typesetting" w:cs="Arabic Typesetting"/>
                <w:sz w:val="28"/>
                <w:szCs w:val="28"/>
              </w:rPr>
            </w:pPr>
          </w:p>
        </w:tc>
        <w:tc>
          <w:tcPr>
            <w:tcW w:w="2092" w:type="pct"/>
            <w:shd w:val="clear" w:color="auto" w:fill="auto"/>
            <w:tcMar>
              <w:top w:w="113" w:type="dxa"/>
              <w:bottom w:w="85" w:type="dxa"/>
            </w:tcMar>
          </w:tcPr>
          <w:p w14:paraId="552B9540" w14:textId="77777777" w:rsidR="00390415" w:rsidRPr="0036256E" w:rsidRDefault="00390415" w:rsidP="006E24D8">
            <w:pPr>
              <w:bidi/>
              <w:spacing w:before="120" w:after="120" w:line="280" w:lineRule="exact"/>
              <w:rPr>
                <w:rFonts w:ascii="Arabic Typesetting" w:hAnsi="Arabic Typesetting" w:cs="Arabic Typesetting"/>
                <w:sz w:val="28"/>
                <w:szCs w:val="28"/>
              </w:rPr>
            </w:pPr>
            <w:r w:rsidRPr="0036256E">
              <w:rPr>
                <w:rFonts w:ascii="Arabic Typesetting" w:eastAsia="Arabic Typesetting" w:hAnsi="Arabic Typesetting" w:cs="Arabic Typesetting"/>
                <w:color w:val="000000"/>
                <w:sz w:val="28"/>
                <w:szCs w:val="28"/>
                <w:rtl/>
                <w:lang w:eastAsia="ar-EG" w:bidi="ar-EG"/>
              </w:rPr>
              <w:t>عدد مرات تحميل التقارير الإحصائية السنوية في غضون 6 أشهر من نشرها</w:t>
            </w:r>
          </w:p>
        </w:tc>
        <w:tc>
          <w:tcPr>
            <w:tcW w:w="861" w:type="pct"/>
            <w:shd w:val="clear" w:color="auto" w:fill="FFFFFF"/>
            <w:tcMar>
              <w:top w:w="113" w:type="dxa"/>
              <w:bottom w:w="85" w:type="dxa"/>
            </w:tcMar>
          </w:tcPr>
          <w:p w14:paraId="04098EF2" w14:textId="77777777" w:rsidR="00390415" w:rsidRPr="0036256E" w:rsidRDefault="00390415" w:rsidP="006E24D8">
            <w:pPr>
              <w:bidi/>
              <w:spacing w:before="120" w:after="120" w:line="280" w:lineRule="exact"/>
              <w:jc w:val="center"/>
              <w:rPr>
                <w:rFonts w:ascii="Arabic Typesetting" w:hAnsi="Arabic Typesetting" w:cs="Arabic Typesetting"/>
                <w:sz w:val="28"/>
                <w:szCs w:val="28"/>
                <w:lang w:bidi="th-TH"/>
              </w:rPr>
            </w:pPr>
            <w:r w:rsidRPr="0036256E">
              <w:rPr>
                <w:rFonts w:ascii="Arabic Typesetting" w:hAnsi="Arabic Typesetting" w:cs="Arabic Typesetting"/>
                <w:sz w:val="28"/>
                <w:szCs w:val="28"/>
                <w:rtl/>
              </w:rPr>
              <w:t>البرنامج 16</w:t>
            </w:r>
          </w:p>
        </w:tc>
        <w:tc>
          <w:tcPr>
            <w:tcW w:w="569" w:type="pct"/>
            <w:shd w:val="clear" w:color="auto" w:fill="FFFFFF"/>
          </w:tcPr>
          <w:p w14:paraId="7DBD9375" w14:textId="77777777" w:rsidR="00390415" w:rsidRPr="0036256E" w:rsidRDefault="00390415" w:rsidP="006E24D8">
            <w:pPr>
              <w:bidi/>
              <w:spacing w:before="120" w:after="120" w:line="280" w:lineRule="exact"/>
              <w:jc w:val="center"/>
              <w:rPr>
                <w:rFonts w:ascii="Arabic Typesetting" w:hAnsi="Arabic Typesetting" w:cs="Arabic Typesetting"/>
                <w:color w:val="A6A6A6" w:themeColor="background1" w:themeShade="A6"/>
                <w:sz w:val="28"/>
                <w:szCs w:val="28"/>
              </w:rPr>
            </w:pPr>
            <w:r w:rsidRPr="0036256E">
              <w:rPr>
                <w:rFonts w:ascii="Arabic Typesetting" w:hAnsi="Arabic Typesetting" w:cs="Arabic Typesetting"/>
                <w:color w:val="0070C0"/>
                <w:sz w:val="28"/>
                <w:szCs w:val="28"/>
              </w:rPr>
              <w:sym w:font="Wingdings" w:char="F06C"/>
            </w:r>
          </w:p>
        </w:tc>
      </w:tr>
    </w:tbl>
    <w:p w14:paraId="781EF2F0" w14:textId="77777777" w:rsidR="00390415" w:rsidRDefault="00390415" w:rsidP="00390415">
      <w:pPr>
        <w:pStyle w:val="NormalParaAR"/>
        <w:rPr>
          <w:rtl/>
        </w:rPr>
      </w:pPr>
    </w:p>
    <w:p w14:paraId="58F9F4E4" w14:textId="77777777" w:rsidR="00BB3820" w:rsidRPr="00A901E6" w:rsidRDefault="00BB3820" w:rsidP="00DA7DF7">
      <w:pPr>
        <w:pStyle w:val="Heading3"/>
        <w:ind w:left="1984" w:hanging="1984"/>
      </w:pPr>
      <w:bookmarkStart w:id="38" w:name="_Toc482782765"/>
      <w:r w:rsidRPr="00A901E6">
        <w:rPr>
          <w:rtl/>
        </w:rPr>
        <w:lastRenderedPageBreak/>
        <w:t>البرنامج</w:t>
      </w:r>
      <w:r w:rsidRPr="00A901E6">
        <w:rPr>
          <w:rFonts w:hint="cs"/>
          <w:rtl/>
        </w:rPr>
        <w:t xml:space="preserve"> 16:</w:t>
      </w:r>
      <w:r w:rsidRPr="00A901E6">
        <w:tab/>
      </w:r>
      <w:r w:rsidRPr="00A901E6">
        <w:rPr>
          <w:rFonts w:hint="cs"/>
          <w:rtl/>
        </w:rPr>
        <w:t>الاقتصاد والإحصاء</w:t>
      </w:r>
      <w:bookmarkEnd w:id="38"/>
    </w:p>
    <w:p w14:paraId="0834ABAB" w14:textId="77777777" w:rsidR="00BB3820" w:rsidRDefault="00BB3820"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Pr>
          <w:rFonts w:ascii="Arabic Typesetting" w:hAnsi="Arabic Typesetting" w:cs="Arabic Typesetting" w:hint="cs"/>
          <w:b/>
          <w:bCs/>
          <w:sz w:val="36"/>
          <w:szCs w:val="36"/>
          <w:rtl/>
          <w:lang w:val="fr-CH"/>
        </w:rPr>
        <w:t>المدير العام</w:t>
      </w:r>
    </w:p>
    <w:p w14:paraId="67AA749E" w14:textId="77777777" w:rsidR="00BB3820" w:rsidRDefault="00BB3820"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20C9E3AA" wp14:editId="7C2FAE6C">
            <wp:extent cx="3606152"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06152" cy="2160000"/>
                    </a:xfrm>
                    <a:prstGeom prst="rect">
                      <a:avLst/>
                    </a:prstGeom>
                    <a:noFill/>
                  </pic:spPr>
                </pic:pic>
              </a:graphicData>
            </a:graphic>
          </wp:inline>
        </w:drawing>
      </w:r>
    </w:p>
    <w:tbl>
      <w:tblPr>
        <w:bidiVisual/>
        <w:tblW w:w="5000" w:type="pct"/>
        <w:tblInd w:w="108" w:type="dxa"/>
        <w:tblLayout w:type="fixed"/>
        <w:tblCellMar>
          <w:left w:w="115" w:type="dxa"/>
          <w:right w:w="115" w:type="dxa"/>
        </w:tblCellMar>
        <w:tblLook w:val="0000" w:firstRow="0" w:lastRow="0" w:firstColumn="0" w:lastColumn="0" w:noHBand="0" w:noVBand="0"/>
      </w:tblPr>
      <w:tblGrid>
        <w:gridCol w:w="1983"/>
        <w:gridCol w:w="2641"/>
        <w:gridCol w:w="1424"/>
        <w:gridCol w:w="2550"/>
        <w:gridCol w:w="873"/>
      </w:tblGrid>
      <w:tr w:rsidR="00BB3820" w:rsidRPr="00CB25CC" w14:paraId="2FD7A70D" w14:textId="77777777" w:rsidTr="00BB3820">
        <w:trPr>
          <w:cantSplit/>
          <w:trHeight w:val="565"/>
        </w:trPr>
        <w:tc>
          <w:tcPr>
            <w:tcW w:w="5000" w:type="pct"/>
            <w:gridSpan w:val="5"/>
            <w:shd w:val="clear" w:color="auto" w:fill="C6D9F1"/>
            <w:tcMar>
              <w:left w:w="58" w:type="dxa"/>
              <w:right w:w="58" w:type="dxa"/>
            </w:tcMar>
            <w:vAlign w:val="center"/>
          </w:tcPr>
          <w:p w14:paraId="1148C5C4" w14:textId="77777777" w:rsidR="00BB3820" w:rsidRPr="00CB25CC" w:rsidRDefault="00BB3820"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‏النتيجة المرتقبة:</w:t>
            </w:r>
            <w:r w:rsidRPr="00CB25CC">
              <w:rPr>
                <w:rFonts w:ascii="Arabic Typesetting" w:eastAsia="Arabic Typesetting" w:hAnsi="Arabic Typesetting" w:cs="Arabic Typesetting"/>
                <w:sz w:val="28"/>
                <w:szCs w:val="28"/>
                <w:lang w:eastAsia="ar-EG" w:bidi="ar-EG"/>
              </w:rPr>
              <w:tab/>
            </w:r>
            <w:r w:rsidRPr="00CB25CC">
              <w:rPr>
                <w:rFonts w:ascii="Arabic Typesetting" w:eastAsia="Arabic Typesetting" w:hAnsi="Arabic Typesetting" w:cs="Arabic Typesetting"/>
                <w:color w:val="000000"/>
                <w:sz w:val="28"/>
                <w:szCs w:val="28"/>
                <w:rtl/>
                <w:lang w:eastAsia="ar-EG" w:bidi="ar-EG"/>
              </w:rPr>
              <w:t>ه1.5 استخدام معلومات الويبو الإحصائية بشأن الملكية الفكرية على نطاق أوسع ونحو أفضل</w:t>
            </w:r>
          </w:p>
        </w:tc>
      </w:tr>
      <w:tr w:rsidR="00BB3820" w:rsidRPr="00CB25CC" w14:paraId="693B97CE" w14:textId="77777777" w:rsidTr="00BB3820">
        <w:trPr>
          <w:cantSplit/>
        </w:trPr>
        <w:tc>
          <w:tcPr>
            <w:tcW w:w="1047" w:type="pct"/>
            <w:shd w:val="clear" w:color="auto" w:fill="auto"/>
            <w:tcMar>
              <w:left w:w="58" w:type="dxa"/>
              <w:right w:w="58" w:type="dxa"/>
            </w:tcMar>
            <w:vAlign w:val="center"/>
          </w:tcPr>
          <w:p w14:paraId="7F30760F" w14:textId="77777777" w:rsidR="00BB3820" w:rsidRPr="00CB25CC" w:rsidRDefault="00BB3820" w:rsidP="0031289D">
            <w:pPr>
              <w:keepNext/>
              <w:bidi/>
              <w:spacing w:after="120" w:line="280" w:lineRule="exact"/>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مؤشرات الأداء</w:t>
            </w:r>
          </w:p>
        </w:tc>
        <w:tc>
          <w:tcPr>
            <w:tcW w:w="1394" w:type="pct"/>
            <w:shd w:val="clear" w:color="auto" w:fill="auto"/>
            <w:tcMar>
              <w:left w:w="58" w:type="dxa"/>
              <w:right w:w="58" w:type="dxa"/>
            </w:tcMar>
            <w:vAlign w:val="center"/>
          </w:tcPr>
          <w:p w14:paraId="012E2393" w14:textId="77777777" w:rsidR="00BB3820" w:rsidRPr="00CB25CC"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أسس المقارنة</w:t>
            </w:r>
          </w:p>
        </w:tc>
        <w:tc>
          <w:tcPr>
            <w:tcW w:w="752" w:type="pct"/>
            <w:shd w:val="clear" w:color="auto" w:fill="auto"/>
            <w:tcMar>
              <w:top w:w="110" w:type="dxa"/>
              <w:left w:w="58" w:type="dxa"/>
              <w:right w:w="58" w:type="dxa"/>
            </w:tcMar>
            <w:vAlign w:val="center"/>
          </w:tcPr>
          <w:p w14:paraId="62177745" w14:textId="77777777" w:rsidR="00BB3820" w:rsidRPr="00CB25CC"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الأهداف</w:t>
            </w:r>
          </w:p>
        </w:tc>
        <w:tc>
          <w:tcPr>
            <w:tcW w:w="1346" w:type="pct"/>
            <w:shd w:val="clear" w:color="auto" w:fill="FFFFFF"/>
            <w:tcMar>
              <w:top w:w="110" w:type="dxa"/>
              <w:left w:w="58" w:type="dxa"/>
              <w:right w:w="58" w:type="dxa"/>
            </w:tcMar>
            <w:vAlign w:val="center"/>
          </w:tcPr>
          <w:p w14:paraId="39478D1A" w14:textId="77777777" w:rsidR="00BB3820" w:rsidRPr="00CB25CC"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بيانات الأداء</w:t>
            </w:r>
          </w:p>
        </w:tc>
        <w:tc>
          <w:tcPr>
            <w:tcW w:w="461" w:type="pct"/>
            <w:shd w:val="clear" w:color="auto" w:fill="auto"/>
            <w:tcMar>
              <w:top w:w="110" w:type="dxa"/>
              <w:left w:w="58" w:type="dxa"/>
              <w:right w:w="58" w:type="dxa"/>
            </w:tcMar>
            <w:vAlign w:val="center"/>
          </w:tcPr>
          <w:p w14:paraId="08FCE721" w14:textId="77777777" w:rsidR="00BB3820" w:rsidRPr="00CB25CC" w:rsidRDefault="00BB3820" w:rsidP="0031289D">
            <w:pPr>
              <w:keepNext/>
              <w:bidi/>
              <w:spacing w:after="120" w:line="280" w:lineRule="exact"/>
              <w:jc w:val="center"/>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السير</w:t>
            </w:r>
          </w:p>
        </w:tc>
      </w:tr>
      <w:tr w:rsidR="00BB3820" w:rsidRPr="00CB25CC" w14:paraId="5453FF73" w14:textId="77777777" w:rsidTr="00BB3820">
        <w:trPr>
          <w:cantSplit/>
          <w:trHeight w:val="1438"/>
        </w:trPr>
        <w:tc>
          <w:tcPr>
            <w:tcW w:w="1047" w:type="pct"/>
            <w:shd w:val="clear" w:color="auto" w:fill="auto"/>
            <w:tcMar>
              <w:left w:w="58" w:type="dxa"/>
              <w:right w:w="58" w:type="dxa"/>
            </w:tcMar>
          </w:tcPr>
          <w:p w14:paraId="2E3BAA3B" w14:textId="77777777" w:rsidR="00BB3820" w:rsidRPr="00CB25CC"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color w:val="000000"/>
                <w:sz w:val="28"/>
                <w:szCs w:val="28"/>
                <w:rtl/>
                <w:lang w:eastAsia="ar-EG" w:bidi="ar-EG"/>
              </w:rPr>
              <w:t>عدد عمليات البحث باستخدام مركز البيانات الإحصائية للملكية الفكرية</w:t>
            </w:r>
          </w:p>
        </w:tc>
        <w:tc>
          <w:tcPr>
            <w:tcW w:w="1394" w:type="pct"/>
            <w:shd w:val="clear" w:color="auto" w:fill="auto"/>
            <w:tcMar>
              <w:left w:w="58" w:type="dxa"/>
              <w:right w:w="58" w:type="dxa"/>
            </w:tcMar>
          </w:tcPr>
          <w:p w14:paraId="41FE5E98" w14:textId="232D7750" w:rsidR="00BB3820" w:rsidRPr="00CB25CC" w:rsidRDefault="00BB3820" w:rsidP="00E91832">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CB25CC">
              <w:rPr>
                <w:rFonts w:ascii="Arabic Typesetting" w:eastAsia="Arabic Typesetting" w:hAnsi="Arabic Typesetting" w:cs="Arabic Typesetting"/>
                <w:color w:val="002060"/>
                <w:sz w:val="28"/>
                <w:szCs w:val="28"/>
                <w:vertAlign w:val="superscript"/>
                <w:lang w:eastAsia="ar-EG" w:bidi="ar-EG"/>
              </w:rPr>
              <w:footnoteReference w:id="64"/>
            </w:r>
            <w:r>
              <w:rPr>
                <w:rFonts w:ascii="Arabic Typesetting" w:eastAsia="Arabic Typesetting" w:hAnsi="Arabic Typesetting" w:cs="Arabic Typesetting"/>
                <w:i/>
                <w:iCs/>
                <w:color w:val="002060"/>
                <w:sz w:val="28"/>
                <w:szCs w:val="28"/>
                <w:rtl/>
                <w:lang w:eastAsia="ar-EG" w:bidi="ar-EG"/>
              </w:rPr>
              <w:br/>
            </w:r>
            <w:r w:rsidR="00E91832">
              <w:rPr>
                <w:rFonts w:ascii="Arabic Typesetting" w:eastAsia="Arabic Typesetting" w:hAnsi="Arabic Typesetting" w:cs="Arabic Typesetting" w:hint="cs"/>
                <w:color w:val="002060"/>
                <w:sz w:val="28"/>
                <w:szCs w:val="28"/>
                <w:rtl/>
                <w:lang w:eastAsia="ar-EG" w:bidi="ar-EG"/>
              </w:rPr>
              <w:t>692 68</w:t>
            </w:r>
          </w:p>
          <w:p w14:paraId="567FB9CB" w14:textId="77777777" w:rsidR="00BB3820" w:rsidRPr="00CB25CC" w:rsidRDefault="00BB3820" w:rsidP="0031289D">
            <w:pPr>
              <w:bidi/>
              <w:spacing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i/>
                <w:iCs/>
                <w:sz w:val="28"/>
                <w:szCs w:val="28"/>
                <w:rtl/>
                <w:lang w:eastAsia="ar-EG" w:bidi="ar-EG"/>
              </w:rPr>
              <w:t>‏أساس المقارنة الأصلي:</w:t>
            </w:r>
            <w:r w:rsidRPr="00CB25CC">
              <w:rPr>
                <w:rFonts w:ascii="Arabic Typesetting" w:eastAsia="Arabic Typesetting" w:hAnsi="Arabic Typesetting" w:cs="Arabic Typesetting"/>
                <w:i/>
                <w:sz w:val="28"/>
                <w:szCs w:val="28"/>
                <w:lang w:eastAsia="ar-EG" w:bidi="ar-EG"/>
              </w:rPr>
              <w:br/>
            </w:r>
            <w:r w:rsidRPr="00CB25CC">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CB25CC">
              <w:rPr>
                <w:rFonts w:ascii="Arabic Typesetting" w:eastAsia="Arabic Typesetting" w:hAnsi="Arabic Typesetting" w:cs="Arabic Typesetting"/>
                <w:color w:val="000000"/>
                <w:sz w:val="28"/>
                <w:szCs w:val="28"/>
                <w:rtl/>
                <w:lang w:eastAsia="ar-EG" w:bidi="ar-EG"/>
              </w:rPr>
              <w:t>‏تحدد في نهاية 2015</w:t>
            </w:r>
          </w:p>
        </w:tc>
        <w:tc>
          <w:tcPr>
            <w:tcW w:w="752" w:type="pct"/>
            <w:shd w:val="clear" w:color="auto" w:fill="auto"/>
            <w:tcMar>
              <w:top w:w="110" w:type="dxa"/>
              <w:left w:w="58" w:type="dxa"/>
              <w:right w:w="58" w:type="dxa"/>
            </w:tcMar>
          </w:tcPr>
          <w:p w14:paraId="7D079302" w14:textId="77777777" w:rsidR="00BB3820" w:rsidRPr="00CB25CC"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i/>
                <w:iCs/>
                <w:color w:val="002060"/>
                <w:sz w:val="28"/>
                <w:szCs w:val="28"/>
                <w:rtl/>
                <w:lang w:eastAsia="ar-EG" w:bidi="ar-EG"/>
              </w:rPr>
              <w:t>الهدف المحدد:</w:t>
            </w:r>
            <w:r w:rsidRPr="00CB25CC">
              <w:rPr>
                <w:rFonts w:ascii="Arabic Typesetting" w:eastAsia="Arabic Typesetting" w:hAnsi="Arabic Typesetting" w:cs="Arabic Typesetting"/>
                <w:i/>
                <w:iCs/>
                <w:color w:val="002060"/>
                <w:sz w:val="28"/>
                <w:szCs w:val="28"/>
                <w:rtl/>
                <w:lang w:eastAsia="ar-EG" w:bidi="ar-EG"/>
              </w:rPr>
              <w:br/>
            </w:r>
            <w:r w:rsidRPr="00CB25CC">
              <w:rPr>
                <w:rFonts w:ascii="Arabic Typesetting" w:eastAsia="Arabic Typesetting" w:hAnsi="Arabic Typesetting" w:cs="Arabic Typesetting"/>
                <w:color w:val="002060"/>
                <w:sz w:val="28"/>
                <w:szCs w:val="28"/>
                <w:rtl/>
                <w:lang w:eastAsia="ar-EG" w:bidi="ar-EG"/>
              </w:rPr>
              <w:t>‏زيادة بنسبة 10%</w:t>
            </w:r>
          </w:p>
          <w:p w14:paraId="269FB401" w14:textId="77777777" w:rsidR="00BB3820" w:rsidRPr="00CB25CC"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i/>
                <w:iCs/>
                <w:sz w:val="28"/>
                <w:szCs w:val="28"/>
                <w:rtl/>
                <w:lang w:eastAsia="ar-EG" w:bidi="ar-EG"/>
              </w:rPr>
              <w:t>الهدف الأصلي:</w:t>
            </w:r>
            <w:r w:rsidRPr="00CB25CC">
              <w:rPr>
                <w:rFonts w:ascii="Arabic Typesetting" w:eastAsia="Arabic Typesetting" w:hAnsi="Arabic Typesetting" w:cs="Arabic Typesetting"/>
                <w:i/>
                <w:iCs/>
                <w:sz w:val="28"/>
                <w:szCs w:val="28"/>
                <w:rtl/>
                <w:lang w:eastAsia="ar-EG" w:bidi="ar-EG"/>
              </w:rPr>
              <w:br/>
            </w:r>
            <w:r w:rsidRPr="00CB25CC">
              <w:rPr>
                <w:rFonts w:ascii="Arabic Typesetting" w:eastAsia="Arabic Typesetting" w:hAnsi="Arabic Typesetting" w:cs="Arabic Typesetting"/>
                <w:color w:val="000000"/>
                <w:sz w:val="28"/>
                <w:szCs w:val="28"/>
                <w:rtl/>
                <w:lang w:eastAsia="ar-EG" w:bidi="ar-EG"/>
              </w:rPr>
              <w:t>يُحدَّد لاحقاً</w:t>
            </w:r>
          </w:p>
        </w:tc>
        <w:tc>
          <w:tcPr>
            <w:tcW w:w="1346" w:type="pct"/>
            <w:shd w:val="clear" w:color="auto" w:fill="FFFFFF"/>
            <w:tcMar>
              <w:top w:w="110" w:type="dxa"/>
              <w:left w:w="58" w:type="dxa"/>
              <w:right w:w="58" w:type="dxa"/>
            </w:tcMar>
          </w:tcPr>
          <w:p w14:paraId="57C96301" w14:textId="77777777" w:rsidR="00BB3820" w:rsidRPr="00CB25CC"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sz w:val="28"/>
                <w:szCs w:val="28"/>
                <w:rtl/>
                <w:lang w:eastAsia="ar-EG" w:bidi="ar-EG"/>
              </w:rPr>
              <w:t>نفِّذت الأداة المعززة للتحليلات الشبكية على مدى عام 2016 فأدى ذلك إلى عدم القدرة على تعقب بيانات عام</w:t>
            </w:r>
            <w:r>
              <w:rPr>
                <w:rFonts w:ascii="Arabic Typesetting" w:eastAsia="Arabic Typesetting" w:hAnsi="Arabic Typesetting" w:cs="Arabic Typesetting" w:hint="cs"/>
                <w:sz w:val="28"/>
                <w:szCs w:val="28"/>
                <w:rtl/>
                <w:lang w:eastAsia="ar-EG" w:bidi="ar-EG"/>
              </w:rPr>
              <w:t> </w:t>
            </w:r>
            <w:r w:rsidRPr="00CB25CC">
              <w:rPr>
                <w:rFonts w:ascii="Arabic Typesetting" w:eastAsia="Arabic Typesetting" w:hAnsi="Arabic Typesetting" w:cs="Arabic Typesetting"/>
                <w:sz w:val="28"/>
                <w:szCs w:val="28"/>
                <w:rtl/>
                <w:lang w:eastAsia="ar-EG" w:bidi="ar-EG"/>
              </w:rPr>
              <w:t>2016</w:t>
            </w:r>
          </w:p>
        </w:tc>
        <w:tc>
          <w:tcPr>
            <w:tcW w:w="461" w:type="pct"/>
            <w:shd w:val="clear" w:color="auto" w:fill="auto"/>
            <w:tcMar>
              <w:top w:w="110" w:type="dxa"/>
              <w:left w:w="58" w:type="dxa"/>
              <w:right w:w="58" w:type="dxa"/>
            </w:tcMar>
          </w:tcPr>
          <w:p w14:paraId="63E7F2A1" w14:textId="77777777" w:rsidR="00BB3820" w:rsidRPr="00CB25CC" w:rsidRDefault="00BB3820" w:rsidP="0031289D">
            <w:pPr>
              <w:keepNext/>
              <w:bidi/>
              <w:spacing w:after="120" w:line="280" w:lineRule="exact"/>
              <w:jc w:val="center"/>
              <w:rPr>
                <w:rFonts w:ascii="Arabic Typesetting" w:eastAsia="Arabic Typesetting" w:hAnsi="Arabic Typesetting" w:cs="Arabic Typesetting"/>
                <w:b/>
                <w:color w:val="0070C0"/>
                <w:sz w:val="28"/>
                <w:szCs w:val="28"/>
                <w:lang w:eastAsia="ar-EG" w:bidi="ar-EG"/>
              </w:rPr>
            </w:pPr>
            <w:r w:rsidRPr="00CB25CC">
              <w:rPr>
                <w:rFonts w:ascii="Arabic Typesetting" w:eastAsia="Arabic Typesetting" w:hAnsi="Arabic Typesetting" w:cs="Arabic Typesetting"/>
                <w:b/>
                <w:bCs/>
                <w:color w:val="0070C0"/>
                <w:sz w:val="28"/>
                <w:szCs w:val="28"/>
                <w:rtl/>
                <w:lang w:eastAsia="ar-EG" w:bidi="ar-EG"/>
              </w:rPr>
              <w:t>غير متاح في</w:t>
            </w:r>
            <w:r>
              <w:rPr>
                <w:rFonts w:ascii="Arabic Typesetting" w:eastAsia="Arabic Typesetting" w:hAnsi="Arabic Typesetting" w:cs="Arabic Typesetting" w:hint="cs"/>
                <w:b/>
                <w:bCs/>
                <w:color w:val="0070C0"/>
                <w:sz w:val="28"/>
                <w:szCs w:val="28"/>
                <w:rtl/>
                <w:lang w:eastAsia="ar-EG" w:bidi="ar-EG"/>
              </w:rPr>
              <w:t> </w:t>
            </w:r>
            <w:r w:rsidRPr="00CB25CC">
              <w:rPr>
                <w:rFonts w:ascii="Arabic Typesetting" w:eastAsia="Arabic Typesetting" w:hAnsi="Arabic Typesetting" w:cs="Arabic Typesetting"/>
                <w:b/>
                <w:bCs/>
                <w:color w:val="0070C0"/>
                <w:sz w:val="28"/>
                <w:szCs w:val="28"/>
                <w:rtl/>
                <w:lang w:eastAsia="ar-EG" w:bidi="ar-EG"/>
              </w:rPr>
              <w:t>2016</w:t>
            </w:r>
          </w:p>
        </w:tc>
      </w:tr>
      <w:tr w:rsidR="00BB3820" w:rsidRPr="00CB25CC" w14:paraId="6D9EEAE9" w14:textId="77777777" w:rsidTr="00BB3820">
        <w:trPr>
          <w:cantSplit/>
          <w:trHeight w:val="3537"/>
        </w:trPr>
        <w:tc>
          <w:tcPr>
            <w:tcW w:w="1047" w:type="pct"/>
            <w:shd w:val="clear" w:color="auto" w:fill="auto"/>
            <w:tcMar>
              <w:left w:w="58" w:type="dxa"/>
              <w:right w:w="58" w:type="dxa"/>
            </w:tcMar>
          </w:tcPr>
          <w:p w14:paraId="357BCD5F" w14:textId="38C7172E" w:rsidR="00BB3820" w:rsidRPr="00CB25CC" w:rsidRDefault="00BB3820" w:rsidP="00390415">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color w:val="000000"/>
                <w:sz w:val="28"/>
                <w:szCs w:val="28"/>
                <w:rtl/>
                <w:lang w:eastAsia="ar-EG" w:bidi="ar-EG"/>
              </w:rPr>
              <w:t xml:space="preserve">عدد مرات تحميل التقارير الإحصائية السنوية </w:t>
            </w:r>
            <w:r w:rsidR="00390415">
              <w:rPr>
                <w:rFonts w:ascii="Arabic Typesetting" w:eastAsia="Arabic Typesetting" w:hAnsi="Arabic Typesetting" w:cs="Arabic Typesetting" w:hint="cs"/>
                <w:color w:val="000000"/>
                <w:sz w:val="28"/>
                <w:szCs w:val="28"/>
                <w:rtl/>
                <w:lang w:eastAsia="ar-EG" w:bidi="ar-EG"/>
              </w:rPr>
              <w:t>في غضون</w:t>
            </w:r>
            <w:r w:rsidRPr="00CB25CC">
              <w:rPr>
                <w:rFonts w:ascii="Arabic Typesetting" w:eastAsia="Arabic Typesetting" w:hAnsi="Arabic Typesetting" w:cs="Arabic Typesetting"/>
                <w:color w:val="000000"/>
                <w:sz w:val="28"/>
                <w:szCs w:val="28"/>
                <w:rtl/>
                <w:lang w:eastAsia="ar-EG" w:bidi="ar-EG"/>
              </w:rPr>
              <w:t xml:space="preserve"> 6</w:t>
            </w:r>
            <w:r>
              <w:rPr>
                <w:rFonts w:ascii="Arabic Typesetting" w:eastAsia="Arabic Typesetting" w:hAnsi="Arabic Typesetting" w:cs="Arabic Typesetting" w:hint="cs"/>
                <w:color w:val="000000"/>
                <w:sz w:val="28"/>
                <w:szCs w:val="28"/>
                <w:rtl/>
                <w:lang w:eastAsia="ar-EG" w:bidi="ar-EG"/>
              </w:rPr>
              <w:t> </w:t>
            </w:r>
            <w:r w:rsidRPr="00CB25CC">
              <w:rPr>
                <w:rFonts w:ascii="Arabic Typesetting" w:eastAsia="Arabic Typesetting" w:hAnsi="Arabic Typesetting" w:cs="Arabic Typesetting"/>
                <w:color w:val="000000"/>
                <w:sz w:val="28"/>
                <w:szCs w:val="28"/>
                <w:rtl/>
                <w:lang w:eastAsia="ar-EG" w:bidi="ar-EG"/>
              </w:rPr>
              <w:t>أشهر من نشرها</w:t>
            </w:r>
          </w:p>
        </w:tc>
        <w:tc>
          <w:tcPr>
            <w:tcW w:w="1394" w:type="pct"/>
            <w:shd w:val="clear" w:color="auto" w:fill="auto"/>
            <w:tcMar>
              <w:left w:w="58" w:type="dxa"/>
              <w:right w:w="58" w:type="dxa"/>
            </w:tcMar>
          </w:tcPr>
          <w:p w14:paraId="342E7CFC" w14:textId="5F8CFBD3" w:rsidR="00E91832" w:rsidRDefault="00BB3820" w:rsidP="00E91832">
            <w:pPr>
              <w:bidi/>
              <w:spacing w:after="120" w:line="280" w:lineRule="exact"/>
              <w:rPr>
                <w:rFonts w:ascii="Arabic Typesetting" w:eastAsia="Arabic Typesetting" w:hAnsi="Arabic Typesetting" w:cs="Arabic Typesetting"/>
                <w:color w:val="002060"/>
                <w:sz w:val="28"/>
                <w:szCs w:val="28"/>
                <w:rtl/>
                <w:lang w:eastAsia="ar-EG" w:bidi="ar-EG"/>
              </w:rPr>
            </w:pPr>
            <w:r w:rsidRPr="00CB25CC">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CB25CC">
              <w:rPr>
                <w:rFonts w:ascii="Arabic Typesetting" w:eastAsia="Arabic Typesetting" w:hAnsi="Arabic Typesetting" w:cs="Arabic Typesetting"/>
                <w:i/>
                <w:color w:val="002060"/>
                <w:sz w:val="28"/>
                <w:szCs w:val="28"/>
                <w:vertAlign w:val="superscript"/>
                <w:lang w:eastAsia="ar-EG" w:bidi="ar-EG"/>
              </w:rPr>
              <w:footnoteReference w:id="65"/>
            </w:r>
            <w:r>
              <w:rPr>
                <w:rFonts w:ascii="Arabic Typesetting" w:eastAsia="Arabic Typesetting" w:hAnsi="Arabic Typesetting" w:cs="Arabic Typesetting"/>
                <w:i/>
                <w:iCs/>
                <w:color w:val="002060"/>
                <w:sz w:val="28"/>
                <w:szCs w:val="28"/>
                <w:rtl/>
                <w:lang w:eastAsia="ar-EG" w:bidi="ar-EG"/>
              </w:rPr>
              <w:br/>
            </w:r>
            <w:r w:rsidRPr="00CB25CC">
              <w:rPr>
                <w:rFonts w:ascii="Arabic Typesetting" w:eastAsia="Arabic Typesetting" w:hAnsi="Arabic Typesetting" w:cs="Arabic Typesetting"/>
                <w:color w:val="002060"/>
                <w:sz w:val="28"/>
                <w:szCs w:val="28"/>
                <w:rtl/>
                <w:lang w:eastAsia="ar-EG" w:bidi="ar-EG"/>
              </w:rPr>
              <w:t>المؤشرات العالمية للملكية الفكرية:</w:t>
            </w:r>
            <w:r>
              <w:rPr>
                <w:rFonts w:ascii="Arabic Typesetting" w:eastAsia="Arabic Typesetting" w:hAnsi="Arabic Typesetting" w:cs="Arabic Typesetting" w:hint="cs"/>
                <w:color w:val="002060"/>
                <w:sz w:val="28"/>
                <w:szCs w:val="28"/>
                <w:rtl/>
                <w:lang w:eastAsia="ar-EG" w:bidi="ar-EG"/>
              </w:rPr>
              <w:t xml:space="preserve"> </w:t>
            </w:r>
            <w:r w:rsidR="00E91832">
              <w:rPr>
                <w:rFonts w:ascii="Arabic Typesetting" w:eastAsia="Arabic Typesetting" w:hAnsi="Arabic Typesetting" w:cs="Arabic Typesetting" w:hint="cs"/>
                <w:color w:val="002060"/>
                <w:sz w:val="28"/>
                <w:szCs w:val="28"/>
                <w:rtl/>
                <w:lang w:eastAsia="ar-EG" w:bidi="ar-EG"/>
              </w:rPr>
              <w:t>710</w:t>
            </w:r>
            <w:r w:rsidR="00E91832">
              <w:rPr>
                <w:rFonts w:ascii="Arabic Typesetting" w:eastAsia="Arabic Typesetting" w:hAnsi="Arabic Typesetting" w:cs="Arabic Typesetting" w:hint="eastAsia"/>
                <w:color w:val="002060"/>
                <w:sz w:val="28"/>
                <w:szCs w:val="28"/>
                <w:rtl/>
                <w:lang w:eastAsia="ar-EG" w:bidi="ar-EG"/>
              </w:rPr>
              <w:t> </w:t>
            </w:r>
            <w:r w:rsidR="00E91832" w:rsidRPr="00396976">
              <w:rPr>
                <w:rFonts w:ascii="Arabic Typesetting" w:eastAsia="Arabic Typesetting" w:hAnsi="Arabic Typesetting" w:cs="Arabic Typesetting"/>
                <w:color w:val="002060"/>
                <w:sz w:val="28"/>
                <w:szCs w:val="28"/>
                <w:rtl/>
                <w:lang w:eastAsia="ar-EG" w:bidi="ar-EG"/>
              </w:rPr>
              <w:t>26</w:t>
            </w:r>
          </w:p>
          <w:p w14:paraId="5157BAA4" w14:textId="1996B9AE" w:rsidR="00BB3820" w:rsidRPr="00CB25CC" w:rsidRDefault="00BB3820" w:rsidP="00E91832">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color w:val="002060"/>
                <w:sz w:val="28"/>
                <w:szCs w:val="28"/>
                <w:rtl/>
                <w:lang w:eastAsia="ar-EG" w:bidi="ar-EG"/>
              </w:rPr>
              <w:t>الاستعراض السنوي لنظام معاهدة التعاون بشأن البراءات:</w:t>
            </w:r>
            <w:r w:rsidR="00E91832">
              <w:rPr>
                <w:rFonts w:ascii="Arabic Typesetting" w:eastAsia="Arabic Typesetting" w:hAnsi="Arabic Typesetting" w:cs="Arabic Typesetting" w:hint="cs"/>
                <w:color w:val="002060"/>
                <w:sz w:val="28"/>
                <w:szCs w:val="28"/>
                <w:rtl/>
                <w:lang w:eastAsia="ar-EG" w:bidi="ar-EG"/>
              </w:rPr>
              <w:t xml:space="preserve"> 949 11</w:t>
            </w:r>
          </w:p>
          <w:p w14:paraId="2DA00EDB" w14:textId="2724D63C" w:rsidR="00BB3820" w:rsidRPr="00CB25CC" w:rsidRDefault="00BB3820" w:rsidP="00E91832">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color w:val="002060"/>
                <w:sz w:val="28"/>
                <w:szCs w:val="28"/>
                <w:rtl/>
                <w:lang w:eastAsia="ar-EG" w:bidi="ar-EG"/>
              </w:rPr>
              <w:t>الاستعراض السنوي لنظام مدريد:</w:t>
            </w:r>
            <w:r>
              <w:rPr>
                <w:rFonts w:ascii="Arabic Typesetting" w:eastAsia="Arabic Typesetting" w:hAnsi="Arabic Typesetting" w:cs="Arabic Typesetting" w:hint="cs"/>
                <w:color w:val="002060"/>
                <w:sz w:val="28"/>
                <w:szCs w:val="28"/>
                <w:rtl/>
                <w:lang w:eastAsia="ar-EG" w:bidi="ar-EG"/>
              </w:rPr>
              <w:t xml:space="preserve"> </w:t>
            </w:r>
            <w:r w:rsidRPr="00CB25CC">
              <w:rPr>
                <w:rFonts w:ascii="Arabic Typesetting" w:eastAsia="Arabic Typesetting" w:hAnsi="Arabic Typesetting" w:cs="Arabic Typesetting"/>
                <w:color w:val="002060"/>
                <w:sz w:val="28"/>
                <w:szCs w:val="28"/>
                <w:rtl/>
                <w:lang w:eastAsia="ar-EG" w:bidi="ar-EG"/>
              </w:rPr>
              <w:t>4733</w:t>
            </w:r>
          </w:p>
          <w:p w14:paraId="7066A2E6" w14:textId="77E701AF" w:rsidR="00BB3820" w:rsidRPr="00CB25CC" w:rsidRDefault="00BB3820" w:rsidP="00E91832">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color w:val="002060"/>
                <w:sz w:val="28"/>
                <w:szCs w:val="28"/>
                <w:rtl/>
                <w:lang w:eastAsia="ar-EG" w:bidi="ar-EG"/>
              </w:rPr>
              <w:t>الاستعراض السنوي لنظام لاهاي:</w:t>
            </w:r>
            <w:r>
              <w:rPr>
                <w:rFonts w:ascii="Arabic Typesetting" w:eastAsia="Arabic Typesetting" w:hAnsi="Arabic Typesetting" w:cs="Arabic Typesetting" w:hint="cs"/>
                <w:color w:val="002060"/>
                <w:sz w:val="28"/>
                <w:szCs w:val="28"/>
                <w:rtl/>
                <w:lang w:eastAsia="ar-EG" w:bidi="ar-EG"/>
              </w:rPr>
              <w:t xml:space="preserve"> </w:t>
            </w:r>
            <w:r w:rsidRPr="00CB25CC">
              <w:rPr>
                <w:rFonts w:ascii="Arabic Typesetting" w:eastAsia="Arabic Typesetting" w:hAnsi="Arabic Typesetting" w:cs="Arabic Typesetting"/>
                <w:color w:val="002060"/>
                <w:sz w:val="28"/>
                <w:szCs w:val="28"/>
                <w:rtl/>
                <w:lang w:eastAsia="ar-EG" w:bidi="ar-EG"/>
              </w:rPr>
              <w:t>3662</w:t>
            </w:r>
          </w:p>
          <w:p w14:paraId="2C844C5D" w14:textId="77777777" w:rsidR="00BB3820" w:rsidRPr="00CB25CC"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i/>
                <w:iCs/>
                <w:sz w:val="28"/>
                <w:szCs w:val="28"/>
                <w:rtl/>
                <w:lang w:eastAsia="ar-EG" w:bidi="ar-EG"/>
              </w:rPr>
              <w:t>‏أساس المقارنة الأصلي:</w:t>
            </w:r>
            <w:r w:rsidRPr="00CB25CC">
              <w:rPr>
                <w:rFonts w:ascii="Arabic Typesetting" w:eastAsia="Arabic Typesetting" w:hAnsi="Arabic Typesetting" w:cs="Arabic Typesetting"/>
                <w:i/>
                <w:sz w:val="28"/>
                <w:szCs w:val="28"/>
                <w:lang w:eastAsia="ar-EG" w:bidi="ar-EG"/>
              </w:rPr>
              <w:br/>
            </w:r>
            <w:r w:rsidRPr="00CB25CC">
              <w:rPr>
                <w:rFonts w:ascii="Arabic Typesetting" w:eastAsia="Arabic Typesetting" w:hAnsi="Arabic Typesetting" w:cs="Arabic Typesetting"/>
                <w:i/>
                <w:iCs/>
                <w:sz w:val="28"/>
                <w:szCs w:val="28"/>
                <w:rtl/>
                <w:lang w:eastAsia="ar-EG" w:bidi="ar-EG"/>
              </w:rPr>
              <w:t>برنامج وميزانية 2016/17:</w:t>
            </w:r>
            <w:r w:rsidRPr="00CB25CC">
              <w:rPr>
                <w:rFonts w:ascii="Arabic Typesetting" w:eastAsia="Arabic Typesetting" w:hAnsi="Arabic Typesetting" w:cs="Arabic Typesetting"/>
                <w:i/>
                <w:iCs/>
                <w:sz w:val="28"/>
                <w:szCs w:val="28"/>
                <w:rtl/>
                <w:lang w:eastAsia="ar-EG" w:bidi="ar-EG"/>
              </w:rPr>
              <w:br/>
            </w:r>
            <w:r w:rsidRPr="00CB25CC">
              <w:rPr>
                <w:rFonts w:ascii="Arabic Typesetting" w:eastAsia="Arabic Typesetting" w:hAnsi="Arabic Typesetting" w:cs="Arabic Typesetting"/>
                <w:color w:val="000000"/>
                <w:sz w:val="28"/>
                <w:szCs w:val="28"/>
                <w:rtl/>
                <w:lang w:eastAsia="ar-EG" w:bidi="ar-EG"/>
              </w:rPr>
              <w:t>يحدَّد لاحقا</w:t>
            </w:r>
            <w:r w:rsidRPr="00CB25CC">
              <w:rPr>
                <w:rFonts w:ascii="Arabic Typesetting" w:eastAsia="Arabic Typesetting" w:hAnsi="Arabic Typesetting" w:cs="Arabic Typesetting"/>
                <w:sz w:val="28"/>
                <w:szCs w:val="28"/>
                <w:vertAlign w:val="superscript"/>
                <w:lang w:eastAsia="ar-EG" w:bidi="ar-EG"/>
              </w:rPr>
              <w:footnoteReference w:id="66"/>
            </w:r>
          </w:p>
        </w:tc>
        <w:tc>
          <w:tcPr>
            <w:tcW w:w="752" w:type="pct"/>
            <w:shd w:val="clear" w:color="auto" w:fill="auto"/>
            <w:tcMar>
              <w:top w:w="110" w:type="dxa"/>
              <w:left w:w="58" w:type="dxa"/>
              <w:right w:w="58" w:type="dxa"/>
            </w:tcMar>
          </w:tcPr>
          <w:p w14:paraId="6A725A88" w14:textId="77777777" w:rsidR="00BB3820" w:rsidRPr="00CB25CC"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i/>
                <w:iCs/>
                <w:color w:val="002060"/>
                <w:sz w:val="28"/>
                <w:szCs w:val="28"/>
                <w:rtl/>
                <w:lang w:eastAsia="ar-EG" w:bidi="ar-EG"/>
              </w:rPr>
              <w:t>الهدف المحدد:</w:t>
            </w:r>
            <w:r w:rsidRPr="00CB25CC">
              <w:rPr>
                <w:rFonts w:ascii="Arabic Typesetting" w:eastAsia="Arabic Typesetting" w:hAnsi="Arabic Typesetting" w:cs="Arabic Typesetting"/>
                <w:i/>
                <w:iCs/>
                <w:color w:val="002060"/>
                <w:sz w:val="28"/>
                <w:szCs w:val="28"/>
                <w:rtl/>
                <w:lang w:eastAsia="ar-EG" w:bidi="ar-EG"/>
              </w:rPr>
              <w:br/>
            </w:r>
            <w:r w:rsidRPr="00CB25CC">
              <w:rPr>
                <w:rFonts w:ascii="Arabic Typesetting" w:eastAsia="Arabic Typesetting" w:hAnsi="Arabic Typesetting" w:cs="Arabic Typesetting"/>
                <w:color w:val="002060"/>
                <w:sz w:val="28"/>
                <w:szCs w:val="28"/>
                <w:rtl/>
                <w:lang w:eastAsia="ar-EG" w:bidi="ar-EG"/>
              </w:rPr>
              <w:t>المؤشرات العالمية للملكية الفكرية:</w:t>
            </w:r>
            <w:r w:rsidRPr="00CB25CC">
              <w:rPr>
                <w:rFonts w:ascii="Arabic Typesetting" w:eastAsia="Arabic Typesetting" w:hAnsi="Arabic Typesetting" w:cs="Arabic Typesetting"/>
                <w:color w:val="002060"/>
                <w:sz w:val="28"/>
                <w:szCs w:val="28"/>
                <w:rtl/>
                <w:lang w:eastAsia="ar-EG" w:bidi="ar-EG"/>
              </w:rPr>
              <w:br/>
              <w:t>‏زيادة بنسبة 10%</w:t>
            </w:r>
          </w:p>
          <w:p w14:paraId="40080FF0" w14:textId="77777777" w:rsidR="00BB3820" w:rsidRPr="00CB25CC"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color w:val="002060"/>
                <w:sz w:val="28"/>
                <w:szCs w:val="28"/>
                <w:rtl/>
                <w:lang w:eastAsia="ar-EG" w:bidi="ar-EG"/>
              </w:rPr>
              <w:t>الاستعراض السنوي لنظام معاهدة التعاون بشأن البراءات:</w:t>
            </w:r>
            <w:r w:rsidRPr="00CB25CC">
              <w:rPr>
                <w:rFonts w:ascii="Arabic Typesetting" w:eastAsia="Arabic Typesetting" w:hAnsi="Arabic Typesetting" w:cs="Arabic Typesetting"/>
                <w:color w:val="002060"/>
                <w:sz w:val="28"/>
                <w:szCs w:val="28"/>
                <w:rtl/>
                <w:lang w:eastAsia="ar-EG" w:bidi="ar-EG"/>
              </w:rPr>
              <w:br/>
              <w:t>‏زيادة بنسبة 5%</w:t>
            </w:r>
            <w:r w:rsidRPr="00CB25CC">
              <w:rPr>
                <w:rFonts w:ascii="Arabic Typesetting" w:eastAsia="Arabic Typesetting" w:hAnsi="Arabic Typesetting" w:cs="Arabic Typesetting"/>
                <w:color w:val="002060"/>
                <w:sz w:val="28"/>
                <w:szCs w:val="28"/>
                <w:vertAlign w:val="superscript"/>
                <w:lang w:eastAsia="ar-EG" w:bidi="ar-EG"/>
              </w:rPr>
              <w:footnoteReference w:id="67"/>
            </w:r>
          </w:p>
          <w:p w14:paraId="10583FAF" w14:textId="77777777" w:rsidR="00BB3820" w:rsidRPr="00CB25CC"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color w:val="002060"/>
                <w:sz w:val="28"/>
                <w:szCs w:val="28"/>
                <w:rtl/>
                <w:lang w:eastAsia="ar-EG" w:bidi="ar-EG"/>
              </w:rPr>
              <w:t>الاستعراض السنوي لنظام مدريد:</w:t>
            </w:r>
            <w:r w:rsidRPr="00CB25CC">
              <w:rPr>
                <w:rFonts w:ascii="Arabic Typesetting" w:eastAsia="Arabic Typesetting" w:hAnsi="Arabic Typesetting" w:cs="Arabic Typesetting"/>
                <w:color w:val="002060"/>
                <w:sz w:val="28"/>
                <w:szCs w:val="28"/>
                <w:rtl/>
                <w:lang w:eastAsia="ar-EG" w:bidi="ar-EG"/>
              </w:rPr>
              <w:br/>
              <w:t>‏زيادة بنسبة 5%</w:t>
            </w:r>
          </w:p>
          <w:p w14:paraId="248FD9B8" w14:textId="77777777" w:rsidR="00BB3820" w:rsidRPr="00CB25CC"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color w:val="002060"/>
                <w:sz w:val="28"/>
                <w:szCs w:val="28"/>
                <w:rtl/>
                <w:lang w:eastAsia="ar-EG" w:bidi="ar-EG"/>
              </w:rPr>
              <w:t>الاستعراض السنوي لنظام لاهاي:</w:t>
            </w:r>
            <w:r w:rsidRPr="00CB25CC">
              <w:rPr>
                <w:rFonts w:ascii="Arabic Typesetting" w:eastAsia="Arabic Typesetting" w:hAnsi="Arabic Typesetting" w:cs="Arabic Typesetting"/>
                <w:color w:val="002060"/>
                <w:sz w:val="28"/>
                <w:szCs w:val="28"/>
                <w:rtl/>
                <w:lang w:eastAsia="ar-EG" w:bidi="ar-EG"/>
              </w:rPr>
              <w:br/>
              <w:t>‏زيادة بنسبة 5%</w:t>
            </w:r>
          </w:p>
          <w:p w14:paraId="3DA023B6" w14:textId="77777777" w:rsidR="00BB3820" w:rsidRPr="00CB25CC"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i/>
                <w:iCs/>
                <w:sz w:val="28"/>
                <w:szCs w:val="28"/>
                <w:rtl/>
                <w:lang w:eastAsia="ar-EG" w:bidi="ar-EG"/>
              </w:rPr>
              <w:t>الهدف الأصلي:</w:t>
            </w:r>
            <w:r w:rsidRPr="00CB25CC">
              <w:rPr>
                <w:rFonts w:ascii="Arabic Typesetting" w:eastAsia="Arabic Typesetting" w:hAnsi="Arabic Typesetting" w:cs="Arabic Typesetting"/>
                <w:i/>
                <w:iCs/>
                <w:sz w:val="28"/>
                <w:szCs w:val="28"/>
                <w:rtl/>
                <w:lang w:eastAsia="ar-EG" w:bidi="ar-EG"/>
              </w:rPr>
              <w:br/>
            </w:r>
            <w:r w:rsidRPr="00CB25CC">
              <w:rPr>
                <w:rFonts w:ascii="Arabic Typesetting" w:eastAsia="Arabic Typesetting" w:hAnsi="Arabic Typesetting" w:cs="Arabic Typesetting"/>
                <w:color w:val="000000"/>
                <w:sz w:val="28"/>
                <w:szCs w:val="28"/>
                <w:rtl/>
                <w:lang w:eastAsia="ar-EG" w:bidi="ar-EG"/>
              </w:rPr>
              <w:t>يُحدَّد لاحقاً</w:t>
            </w:r>
          </w:p>
        </w:tc>
        <w:tc>
          <w:tcPr>
            <w:tcW w:w="1346" w:type="pct"/>
            <w:shd w:val="clear" w:color="auto" w:fill="FFFFFF"/>
            <w:tcMar>
              <w:top w:w="110" w:type="dxa"/>
              <w:left w:w="58" w:type="dxa"/>
              <w:right w:w="58" w:type="dxa"/>
            </w:tcMar>
          </w:tcPr>
          <w:p w14:paraId="4386DBFA" w14:textId="77777777" w:rsidR="00BB3820" w:rsidRPr="00CB25CC" w:rsidRDefault="00BB3820"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sz w:val="28"/>
                <w:szCs w:val="28"/>
                <w:rtl/>
                <w:lang w:eastAsia="ar-EG" w:bidi="ar-EG"/>
              </w:rPr>
              <w:t>نفِّذت الأداة المعززة للتحليلات الشبكية على مدى عام 2016 فأدى ذلك إلى عدم القدرة على تعقب بيانات عام</w:t>
            </w:r>
            <w:r>
              <w:rPr>
                <w:rFonts w:ascii="Arabic Typesetting" w:eastAsia="Arabic Typesetting" w:hAnsi="Arabic Typesetting" w:cs="Arabic Typesetting" w:hint="cs"/>
                <w:sz w:val="28"/>
                <w:szCs w:val="28"/>
                <w:rtl/>
                <w:lang w:eastAsia="ar-EG" w:bidi="ar-EG"/>
              </w:rPr>
              <w:t> </w:t>
            </w:r>
            <w:r w:rsidRPr="00CB25CC">
              <w:rPr>
                <w:rFonts w:ascii="Arabic Typesetting" w:eastAsia="Arabic Typesetting" w:hAnsi="Arabic Typesetting" w:cs="Arabic Typesetting"/>
                <w:sz w:val="28"/>
                <w:szCs w:val="28"/>
                <w:rtl/>
                <w:lang w:eastAsia="ar-EG" w:bidi="ar-EG"/>
              </w:rPr>
              <w:t>2016</w:t>
            </w:r>
          </w:p>
        </w:tc>
        <w:tc>
          <w:tcPr>
            <w:tcW w:w="461" w:type="pct"/>
            <w:shd w:val="clear" w:color="auto" w:fill="auto"/>
            <w:tcMar>
              <w:top w:w="110" w:type="dxa"/>
              <w:left w:w="58" w:type="dxa"/>
              <w:right w:w="58" w:type="dxa"/>
            </w:tcMar>
          </w:tcPr>
          <w:p w14:paraId="27B1DE03" w14:textId="77777777" w:rsidR="00BB3820" w:rsidRPr="00CB25CC" w:rsidRDefault="00BB3820" w:rsidP="0031289D">
            <w:pPr>
              <w:keepNext/>
              <w:bidi/>
              <w:spacing w:after="120" w:line="280" w:lineRule="exact"/>
              <w:jc w:val="center"/>
              <w:rPr>
                <w:rFonts w:ascii="Arabic Typesetting" w:eastAsia="Arabic Typesetting" w:hAnsi="Arabic Typesetting" w:cs="Arabic Typesetting"/>
                <w:b/>
                <w:color w:val="0070C0"/>
                <w:sz w:val="28"/>
                <w:szCs w:val="28"/>
                <w:lang w:eastAsia="ar-EG" w:bidi="ar-EG"/>
              </w:rPr>
            </w:pPr>
            <w:r w:rsidRPr="00CB25CC">
              <w:rPr>
                <w:rFonts w:ascii="Arabic Typesetting" w:eastAsia="Arabic Typesetting" w:hAnsi="Arabic Typesetting" w:cs="Arabic Typesetting"/>
                <w:b/>
                <w:bCs/>
                <w:color w:val="0070C0"/>
                <w:sz w:val="28"/>
                <w:szCs w:val="28"/>
                <w:rtl/>
                <w:lang w:eastAsia="ar-EG" w:bidi="ar-EG"/>
              </w:rPr>
              <w:t>غير متاح في</w:t>
            </w:r>
            <w:r>
              <w:rPr>
                <w:rFonts w:ascii="Arabic Typesetting" w:eastAsia="Arabic Typesetting" w:hAnsi="Arabic Typesetting" w:cs="Arabic Typesetting" w:hint="cs"/>
                <w:b/>
                <w:bCs/>
                <w:color w:val="0070C0"/>
                <w:sz w:val="28"/>
                <w:szCs w:val="28"/>
                <w:rtl/>
                <w:lang w:eastAsia="ar-EG" w:bidi="ar-EG"/>
              </w:rPr>
              <w:t> </w:t>
            </w:r>
            <w:r w:rsidRPr="00CB25CC">
              <w:rPr>
                <w:rFonts w:ascii="Arabic Typesetting" w:eastAsia="Arabic Typesetting" w:hAnsi="Arabic Typesetting" w:cs="Arabic Typesetting"/>
                <w:b/>
                <w:bCs/>
                <w:color w:val="0070C0"/>
                <w:sz w:val="28"/>
                <w:szCs w:val="28"/>
                <w:rtl/>
                <w:lang w:eastAsia="ar-EG" w:bidi="ar-EG"/>
              </w:rPr>
              <w:t>2016</w:t>
            </w:r>
          </w:p>
        </w:tc>
      </w:tr>
      <w:tr w:rsidR="00BB3820" w:rsidRPr="00CB25CC" w14:paraId="09014409" w14:textId="77777777" w:rsidTr="00BB3820">
        <w:trPr>
          <w:cantSplit/>
          <w:trHeight w:val="165"/>
        </w:trPr>
        <w:tc>
          <w:tcPr>
            <w:tcW w:w="1047" w:type="pct"/>
            <w:shd w:val="clear" w:color="auto" w:fill="auto"/>
            <w:tcMar>
              <w:left w:w="58" w:type="dxa"/>
              <w:right w:w="58" w:type="dxa"/>
            </w:tcMar>
          </w:tcPr>
          <w:p w14:paraId="04A6D3F9" w14:textId="77777777" w:rsidR="00BB3820" w:rsidRPr="00CB25CC" w:rsidRDefault="00BB3820"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color w:val="000000"/>
                <w:sz w:val="28"/>
                <w:szCs w:val="28"/>
                <w:rtl/>
                <w:lang w:eastAsia="ar-EG" w:bidi="ar-EG"/>
              </w:rPr>
              <w:lastRenderedPageBreak/>
              <w:t>الفرق بين تنبؤات يناير والعدد الفعلي لإيداعات معاهدة البراءات ومدريد ولاهاي ضمن</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النطاق المحدد</w:t>
            </w:r>
          </w:p>
        </w:tc>
        <w:tc>
          <w:tcPr>
            <w:tcW w:w="1394" w:type="pct"/>
            <w:shd w:val="clear" w:color="auto" w:fill="auto"/>
            <w:tcMar>
              <w:left w:w="58" w:type="dxa"/>
              <w:right w:w="58" w:type="dxa"/>
            </w:tcMar>
          </w:tcPr>
          <w:p w14:paraId="0F1EBD85" w14:textId="77777777" w:rsidR="00BB3820" w:rsidRDefault="00BB3820" w:rsidP="0031289D">
            <w:pPr>
              <w:keepNext/>
              <w:bidi/>
              <w:spacing w:line="280" w:lineRule="exact"/>
              <w:rPr>
                <w:rFonts w:ascii="Arabic Typesetting" w:eastAsia="Arabic Typesetting" w:hAnsi="Arabic Typesetting" w:cs="Arabic Typesetting"/>
                <w:color w:val="002060"/>
                <w:sz w:val="28"/>
                <w:szCs w:val="28"/>
                <w:rtl/>
                <w:lang w:eastAsia="ar-EG" w:bidi="ar-EG"/>
              </w:rPr>
            </w:pPr>
            <w:r w:rsidRPr="00CB25CC">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CB25CC">
              <w:rPr>
                <w:rFonts w:ascii="Arabic Typesetting" w:eastAsia="Arabic Typesetting" w:hAnsi="Arabic Typesetting" w:cs="Arabic Typesetting"/>
                <w:i/>
                <w:iCs/>
                <w:color w:val="002060"/>
                <w:sz w:val="28"/>
                <w:szCs w:val="28"/>
                <w:rtl/>
                <w:lang w:eastAsia="ar-EG" w:bidi="ar-EG"/>
              </w:rPr>
              <w:br/>
            </w:r>
            <w:r w:rsidRPr="00CB25CC">
              <w:rPr>
                <w:rFonts w:ascii="Arabic Typesetting" w:eastAsia="Arabic Typesetting" w:hAnsi="Arabic Typesetting" w:cs="Arabic Typesetting"/>
                <w:color w:val="002060"/>
                <w:sz w:val="28"/>
                <w:szCs w:val="28"/>
                <w:rtl/>
                <w:lang w:eastAsia="ar-EG" w:bidi="ar-EG"/>
              </w:rPr>
              <w:t>تنبؤات الإيداع في يناير 2015؛ والأعداد</w:t>
            </w:r>
            <w:r>
              <w:rPr>
                <w:rFonts w:ascii="Arabic Typesetting" w:eastAsia="Arabic Typesetting" w:hAnsi="Arabic Typesetting" w:cs="Arabic Typesetting" w:hint="cs"/>
                <w:color w:val="002060"/>
                <w:sz w:val="28"/>
                <w:szCs w:val="28"/>
                <w:rtl/>
                <w:lang w:eastAsia="ar-EG" w:bidi="ar-EG"/>
              </w:rPr>
              <w:t> </w:t>
            </w:r>
            <w:r w:rsidRPr="00CB25CC">
              <w:rPr>
                <w:rFonts w:ascii="Arabic Typesetting" w:eastAsia="Arabic Typesetting" w:hAnsi="Arabic Typesetting" w:cs="Arabic Typesetting"/>
                <w:color w:val="002060"/>
                <w:sz w:val="28"/>
                <w:szCs w:val="28"/>
                <w:rtl/>
                <w:lang w:eastAsia="ar-EG" w:bidi="ar-EG"/>
              </w:rPr>
              <w:t>الفعلية في 2015:</w:t>
            </w:r>
          </w:p>
          <w:p w14:paraId="2959446D" w14:textId="09A0D2EC" w:rsidR="00BB3820" w:rsidRPr="00CB25CC" w:rsidRDefault="00BB3820" w:rsidP="00E91832">
            <w:pPr>
              <w:keepNext/>
              <w:bidi/>
              <w:spacing w:line="280" w:lineRule="exact"/>
              <w:ind w:left="176" w:hanging="176"/>
              <w:rPr>
                <w:rFonts w:ascii="Arabic Typesetting" w:eastAsia="Arabic Typesetting" w:hAnsi="Arabic Typesetting" w:cs="Arabic Typesetting"/>
                <w:color w:val="002060"/>
                <w:sz w:val="28"/>
                <w:szCs w:val="28"/>
                <w:rtl/>
                <w:lang w:eastAsia="ar-EG" w:bidi="ar-EG"/>
              </w:rPr>
            </w:pPr>
            <w:r w:rsidRPr="00CB25CC">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tab/>
            </w:r>
            <w:r w:rsidRPr="00CB25CC">
              <w:rPr>
                <w:rFonts w:ascii="Arabic Typesetting" w:eastAsia="Arabic Typesetting" w:hAnsi="Arabic Typesetting" w:cs="Arabic Typesetting"/>
                <w:color w:val="002060"/>
                <w:sz w:val="28"/>
                <w:szCs w:val="28"/>
                <w:rtl/>
                <w:lang w:eastAsia="ar-EG" w:bidi="ar-EG"/>
              </w:rPr>
              <w:t>معاهدة البراءات (100 216)؛ الفعلي</w:t>
            </w:r>
            <w:r w:rsidRPr="00CB25CC">
              <w:rPr>
                <w:rFonts w:ascii="Arabic Typesetting" w:eastAsia="Arabic Typesetting" w:hAnsi="Arabic Typesetting" w:cs="Arabic Typesetting" w:hint="cs"/>
                <w:color w:val="002060"/>
                <w:sz w:val="28"/>
                <w:szCs w:val="28"/>
                <w:rtl/>
                <w:lang w:eastAsia="ar-EG" w:bidi="ar-EG"/>
              </w:rPr>
              <w:t> </w:t>
            </w:r>
            <w:r w:rsidRPr="00CB25CC">
              <w:rPr>
                <w:rFonts w:ascii="Arabic Typesetting" w:eastAsia="Arabic Typesetting" w:hAnsi="Arabic Typesetting" w:cs="Arabic Typesetting"/>
                <w:color w:val="002060"/>
                <w:sz w:val="28"/>
                <w:szCs w:val="28"/>
                <w:rtl/>
                <w:lang w:eastAsia="ar-EG" w:bidi="ar-EG"/>
              </w:rPr>
              <w:t>(</w:t>
            </w:r>
            <w:r w:rsidR="00E91832">
              <w:rPr>
                <w:rFonts w:ascii="Arabic Typesetting" w:eastAsia="Arabic Typesetting" w:hAnsi="Arabic Typesetting" w:cs="Arabic Typesetting" w:hint="cs"/>
                <w:color w:val="002060"/>
                <w:sz w:val="28"/>
                <w:szCs w:val="28"/>
                <w:rtl/>
                <w:lang w:eastAsia="ar-EG" w:bidi="ar-EG"/>
              </w:rPr>
              <w:t>230 217)</w:t>
            </w:r>
          </w:p>
          <w:p w14:paraId="60A2CA69" w14:textId="26EA6951" w:rsidR="00BB3820" w:rsidRPr="00CB25CC" w:rsidRDefault="00BB3820" w:rsidP="00E91832">
            <w:pPr>
              <w:keepNext/>
              <w:bidi/>
              <w:spacing w:line="280" w:lineRule="exact"/>
              <w:rPr>
                <w:rFonts w:ascii="Arabic Typesetting" w:eastAsia="Arabic Typesetting" w:hAnsi="Arabic Typesetting" w:cs="Arabic Typesetting"/>
                <w:color w:val="002060"/>
                <w:spacing w:val="-2"/>
                <w:sz w:val="28"/>
                <w:szCs w:val="28"/>
                <w:lang w:eastAsia="ar-EG" w:bidi="ar-EG"/>
              </w:rPr>
            </w:pPr>
            <w:r w:rsidRPr="00CB25CC">
              <w:rPr>
                <w:rFonts w:ascii="Arabic Typesetting" w:eastAsia="Arabic Typesetting" w:hAnsi="Arabic Typesetting" w:cs="Arabic Typesetting"/>
                <w:color w:val="002060"/>
                <w:spacing w:val="-2"/>
                <w:sz w:val="28"/>
                <w:szCs w:val="28"/>
                <w:rtl/>
                <w:lang w:eastAsia="ar-EG" w:bidi="ar-EG"/>
              </w:rPr>
              <w:t>- مدريد (090 51)؛ الفعلي</w:t>
            </w:r>
            <w:r w:rsidR="00E91832">
              <w:rPr>
                <w:rFonts w:ascii="Arabic Typesetting" w:eastAsia="Arabic Typesetting" w:hAnsi="Arabic Typesetting" w:cs="Arabic Typesetting" w:hint="cs"/>
                <w:color w:val="002060"/>
                <w:spacing w:val="-2"/>
                <w:sz w:val="28"/>
                <w:szCs w:val="28"/>
                <w:rtl/>
                <w:lang w:eastAsia="ar-EG" w:bidi="ar-EG"/>
              </w:rPr>
              <w:t> (273 49</w:t>
            </w:r>
          </w:p>
          <w:p w14:paraId="603BFC8D" w14:textId="77777777" w:rsidR="00BB3820" w:rsidRPr="00CB25CC" w:rsidRDefault="00BB3820" w:rsidP="0031289D">
            <w:pPr>
              <w:keepNext/>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color w:val="002060"/>
                <w:sz w:val="28"/>
                <w:szCs w:val="28"/>
                <w:rtl/>
                <w:lang w:eastAsia="ar-EG" w:bidi="ar-EG"/>
              </w:rPr>
              <w:t>- لاهاي (940 3)؛ الفعلي (111 4)</w:t>
            </w:r>
          </w:p>
          <w:p w14:paraId="7854A854" w14:textId="77777777" w:rsidR="00BB3820" w:rsidRPr="00CB25CC" w:rsidRDefault="00BB3820"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i/>
                <w:iCs/>
                <w:sz w:val="28"/>
                <w:szCs w:val="28"/>
                <w:rtl/>
                <w:lang w:eastAsia="ar-EG" w:bidi="ar-EG"/>
              </w:rPr>
              <w:t>‏أساس المقارنة الأصلي:</w:t>
            </w:r>
            <w:r w:rsidRPr="00CB25CC">
              <w:rPr>
                <w:rFonts w:ascii="Arabic Typesetting" w:eastAsia="Arabic Typesetting" w:hAnsi="Arabic Typesetting" w:cs="Arabic Typesetting"/>
                <w:i/>
                <w:sz w:val="28"/>
                <w:szCs w:val="28"/>
                <w:lang w:eastAsia="ar-EG" w:bidi="ar-EG"/>
              </w:rPr>
              <w:br/>
            </w:r>
            <w:r w:rsidRPr="00CB25CC">
              <w:rPr>
                <w:rFonts w:ascii="Arabic Typesetting" w:eastAsia="Arabic Typesetting" w:hAnsi="Arabic Typesetting" w:cs="Arabic Typesetting"/>
                <w:i/>
                <w:iCs/>
                <w:sz w:val="28"/>
                <w:szCs w:val="28"/>
                <w:rtl/>
                <w:lang w:eastAsia="ar-EG" w:bidi="ar-EG"/>
              </w:rPr>
              <w:t>برنامج وميزانية 2016/17:</w:t>
            </w:r>
            <w:r w:rsidRPr="00CB25CC">
              <w:rPr>
                <w:rFonts w:ascii="Arabic Typesetting" w:eastAsia="Arabic Typesetting" w:hAnsi="Arabic Typesetting" w:cs="Arabic Typesetting"/>
                <w:i/>
                <w:iCs/>
                <w:sz w:val="28"/>
                <w:szCs w:val="28"/>
                <w:rtl/>
                <w:lang w:eastAsia="ar-EG" w:bidi="ar-EG"/>
              </w:rPr>
              <w:br/>
            </w:r>
            <w:r w:rsidRPr="00CB25CC">
              <w:rPr>
                <w:rFonts w:ascii="Arabic Typesetting" w:eastAsia="Arabic Typesetting" w:hAnsi="Arabic Typesetting" w:cs="Arabic Typesetting"/>
                <w:color w:val="000000"/>
                <w:sz w:val="28"/>
                <w:szCs w:val="28"/>
                <w:rtl/>
                <w:lang w:eastAsia="ar-EG" w:bidi="ar-EG"/>
              </w:rPr>
              <w:t xml:space="preserve">تحدد في </w:t>
            </w:r>
            <w:r>
              <w:rPr>
                <w:rFonts w:ascii="Arabic Typesetting" w:eastAsia="Arabic Typesetting" w:hAnsi="Arabic Typesetting" w:cs="Arabic Typesetting" w:hint="cs"/>
                <w:color w:val="000000"/>
                <w:sz w:val="28"/>
                <w:szCs w:val="28"/>
                <w:rtl/>
                <w:lang w:eastAsia="ar-EG" w:bidi="ar-EG"/>
              </w:rPr>
              <w:t>أوائل عام</w:t>
            </w:r>
            <w:r w:rsidRPr="00CB25CC">
              <w:rPr>
                <w:rFonts w:ascii="Arabic Typesetting" w:eastAsia="Arabic Typesetting" w:hAnsi="Arabic Typesetting" w:cs="Arabic Typesetting"/>
                <w:color w:val="000000"/>
                <w:sz w:val="28"/>
                <w:szCs w:val="28"/>
                <w:rtl/>
                <w:lang w:eastAsia="ar-EG" w:bidi="ar-EG"/>
              </w:rPr>
              <w:t xml:space="preserve"> 2016</w:t>
            </w:r>
          </w:p>
        </w:tc>
        <w:tc>
          <w:tcPr>
            <w:tcW w:w="752" w:type="pct"/>
            <w:shd w:val="clear" w:color="auto" w:fill="auto"/>
            <w:tcMar>
              <w:top w:w="110" w:type="dxa"/>
              <w:left w:w="58" w:type="dxa"/>
              <w:right w:w="58" w:type="dxa"/>
            </w:tcMar>
          </w:tcPr>
          <w:p w14:paraId="62CA8910" w14:textId="77777777" w:rsidR="00BB3820" w:rsidRPr="00CB25CC" w:rsidRDefault="00BB3820"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color w:val="000000"/>
                <w:sz w:val="28"/>
                <w:szCs w:val="28"/>
                <w:rtl/>
                <w:lang w:eastAsia="ar-EG" w:bidi="ar-EG"/>
              </w:rPr>
              <w:t>التنبؤات ضمن 80% من</w:t>
            </w:r>
            <w:r>
              <w:rPr>
                <w:rFonts w:ascii="Arabic Typesetting" w:eastAsia="Arabic Typesetting" w:hAnsi="Arabic Typesetting" w:cs="Arabic Typesetting" w:hint="cs"/>
                <w:color w:val="000000"/>
                <w:sz w:val="28"/>
                <w:szCs w:val="28"/>
                <w:rtl/>
                <w:lang w:eastAsia="ar-EG" w:bidi="ar-EG"/>
              </w:rPr>
              <w:t> </w:t>
            </w:r>
            <w:r w:rsidRPr="00CB25CC">
              <w:rPr>
                <w:rFonts w:ascii="Arabic Typesetting" w:eastAsia="Arabic Typesetting" w:hAnsi="Arabic Typesetting" w:cs="Arabic Typesetting"/>
                <w:color w:val="000000"/>
                <w:sz w:val="28"/>
                <w:szCs w:val="28"/>
                <w:rtl/>
                <w:lang w:eastAsia="ar-EG" w:bidi="ar-EG"/>
              </w:rPr>
              <w:t>مجال الثقة</w:t>
            </w:r>
          </w:p>
        </w:tc>
        <w:tc>
          <w:tcPr>
            <w:tcW w:w="1346" w:type="pct"/>
            <w:shd w:val="clear" w:color="auto" w:fill="FFFFFF"/>
            <w:tcMar>
              <w:top w:w="110" w:type="dxa"/>
              <w:left w:w="58" w:type="dxa"/>
              <w:right w:w="58" w:type="dxa"/>
            </w:tcMar>
          </w:tcPr>
          <w:p w14:paraId="0EF9100B" w14:textId="77777777" w:rsidR="00BB3820" w:rsidRPr="00CB25CC" w:rsidRDefault="00BB3820"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color w:val="000000"/>
                <w:sz w:val="28"/>
                <w:szCs w:val="28"/>
                <w:rtl/>
                <w:lang w:eastAsia="ar-EG" w:bidi="ar-EG"/>
              </w:rPr>
              <w:t xml:space="preserve">التنبؤات ضمن </w:t>
            </w:r>
            <w:r>
              <w:rPr>
                <w:rFonts w:ascii="Arabic Typesetting" w:eastAsia="Arabic Typesetting" w:hAnsi="Arabic Typesetting" w:cs="Arabic Typesetting"/>
                <w:color w:val="000000"/>
                <w:sz w:val="28"/>
                <w:szCs w:val="28"/>
                <w:rtl/>
                <w:lang w:eastAsia="ar-EG" w:bidi="ar-EG"/>
              </w:rPr>
              <w:t>80% من مجال الثقة</w:t>
            </w:r>
          </w:p>
          <w:p w14:paraId="03E938B0" w14:textId="77777777" w:rsidR="00BB3820" w:rsidRDefault="00BB3820" w:rsidP="0031289D">
            <w:pPr>
              <w:keepNext/>
              <w:bidi/>
              <w:spacing w:after="120" w:line="280" w:lineRule="exact"/>
              <w:rPr>
                <w:rFonts w:ascii="Arabic Typesetting" w:eastAsia="Arabic Typesetting" w:hAnsi="Arabic Typesetting" w:cs="Arabic Typesetting"/>
                <w:color w:val="000000"/>
                <w:sz w:val="28"/>
                <w:szCs w:val="28"/>
                <w:rtl/>
                <w:lang w:eastAsia="ar-EG" w:bidi="ar-EG"/>
              </w:rPr>
            </w:pPr>
            <w:r w:rsidRPr="00CB25CC">
              <w:rPr>
                <w:rFonts w:ascii="Arabic Typesetting" w:eastAsia="Arabic Typesetting" w:hAnsi="Arabic Typesetting" w:cs="Arabic Typesetting"/>
                <w:color w:val="000000"/>
                <w:sz w:val="28"/>
                <w:szCs w:val="28"/>
                <w:rtl/>
                <w:lang w:eastAsia="ar-EG" w:bidi="ar-EG"/>
              </w:rPr>
              <w:t>الأرقام المقدَّرة والفعلية لعام 2016:</w:t>
            </w:r>
          </w:p>
          <w:p w14:paraId="25305E61" w14:textId="77777777" w:rsidR="00BB3820" w:rsidRPr="00CB25CC" w:rsidRDefault="00BB3820" w:rsidP="0031289D">
            <w:pPr>
              <w:keepNext/>
              <w:bidi/>
              <w:spacing w:line="280" w:lineRule="exact"/>
              <w:ind w:left="176" w:hanging="176"/>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ab/>
            </w:r>
            <w:r w:rsidRPr="00CB25CC">
              <w:rPr>
                <w:rFonts w:ascii="Arabic Typesetting" w:eastAsia="Arabic Typesetting" w:hAnsi="Arabic Typesetting" w:cs="Arabic Typesetting"/>
                <w:color w:val="000000"/>
                <w:sz w:val="28"/>
                <w:szCs w:val="28"/>
                <w:rtl/>
                <w:lang w:eastAsia="ar-EG" w:bidi="ar-EG"/>
              </w:rPr>
              <w:t>معاهدة البراءات (400 225)؛ الفعلي (000 233)</w:t>
            </w:r>
          </w:p>
          <w:p w14:paraId="4BA169AF" w14:textId="44230785" w:rsidR="00BB3820" w:rsidRPr="00CB25CC" w:rsidRDefault="00BB3820" w:rsidP="00E91832">
            <w:pPr>
              <w:keepNext/>
              <w:bidi/>
              <w:spacing w:line="280" w:lineRule="exact"/>
              <w:rPr>
                <w:rFonts w:ascii="Arabic Typesetting" w:eastAsia="Arabic Typesetting" w:hAnsi="Arabic Typesetting" w:cs="Arabic Typesetting"/>
                <w:color w:val="000000"/>
                <w:spacing w:val="-4"/>
                <w:sz w:val="28"/>
                <w:szCs w:val="28"/>
                <w:lang w:eastAsia="ar-EG" w:bidi="ar-EG"/>
              </w:rPr>
            </w:pPr>
            <w:r w:rsidRPr="00CB25CC">
              <w:rPr>
                <w:rFonts w:ascii="Arabic Typesetting" w:eastAsia="Arabic Typesetting" w:hAnsi="Arabic Typesetting" w:cs="Arabic Typesetting"/>
                <w:color w:val="000000"/>
                <w:spacing w:val="-4"/>
                <w:sz w:val="28"/>
                <w:szCs w:val="28"/>
                <w:rtl/>
                <w:lang w:eastAsia="ar-EG" w:bidi="ar-EG"/>
              </w:rPr>
              <w:t>- مدريد (030 52)؛ الفعلي</w:t>
            </w:r>
            <w:r>
              <w:rPr>
                <w:rFonts w:ascii="Arabic Typesetting" w:eastAsia="Arabic Typesetting" w:hAnsi="Arabic Typesetting" w:cs="Arabic Typesetting" w:hint="cs"/>
                <w:color w:val="000000"/>
                <w:spacing w:val="-4"/>
                <w:sz w:val="28"/>
                <w:szCs w:val="28"/>
                <w:rtl/>
                <w:lang w:eastAsia="ar-EG" w:bidi="ar-EG"/>
              </w:rPr>
              <w:t> </w:t>
            </w:r>
            <w:r w:rsidRPr="00CB25CC">
              <w:rPr>
                <w:rFonts w:ascii="Arabic Typesetting" w:eastAsia="Arabic Typesetting" w:hAnsi="Arabic Typesetting" w:cs="Arabic Typesetting"/>
                <w:color w:val="000000"/>
                <w:spacing w:val="-4"/>
                <w:sz w:val="28"/>
                <w:szCs w:val="28"/>
                <w:rtl/>
                <w:lang w:eastAsia="ar-EG" w:bidi="ar-EG"/>
              </w:rPr>
              <w:t>(</w:t>
            </w:r>
            <w:r w:rsidR="00E91832">
              <w:rPr>
                <w:rFonts w:ascii="Arabic Typesetting" w:eastAsia="Arabic Typesetting" w:hAnsi="Arabic Typesetting" w:cs="Arabic Typesetting" w:hint="cs"/>
                <w:color w:val="000000"/>
                <w:spacing w:val="-4"/>
                <w:sz w:val="28"/>
                <w:szCs w:val="28"/>
                <w:rtl/>
                <w:lang w:eastAsia="ar-EG" w:bidi="ar-EG"/>
              </w:rPr>
              <w:t>900 52</w:t>
            </w:r>
            <w:r w:rsidRPr="00CB25CC">
              <w:rPr>
                <w:rFonts w:ascii="Arabic Typesetting" w:eastAsia="Arabic Typesetting" w:hAnsi="Arabic Typesetting" w:cs="Arabic Typesetting"/>
                <w:color w:val="000000"/>
                <w:spacing w:val="-4"/>
                <w:sz w:val="28"/>
                <w:szCs w:val="28"/>
                <w:rtl/>
                <w:lang w:eastAsia="ar-EG" w:bidi="ar-EG"/>
              </w:rPr>
              <w:t>)</w:t>
            </w:r>
          </w:p>
          <w:p w14:paraId="0A602C21" w14:textId="77777777" w:rsidR="00BB3820" w:rsidRPr="00CB25CC" w:rsidRDefault="00BB3820"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color w:val="000000"/>
                <w:sz w:val="28"/>
                <w:szCs w:val="28"/>
                <w:rtl/>
                <w:lang w:eastAsia="ar-EG" w:bidi="ar-EG"/>
              </w:rPr>
              <w:t>- لاهاي (560 5)؛ الفعلي (562 5)</w:t>
            </w:r>
          </w:p>
        </w:tc>
        <w:tc>
          <w:tcPr>
            <w:tcW w:w="461" w:type="pct"/>
            <w:shd w:val="clear" w:color="auto" w:fill="auto"/>
            <w:tcMar>
              <w:top w:w="110" w:type="dxa"/>
              <w:left w:w="58" w:type="dxa"/>
              <w:right w:w="58" w:type="dxa"/>
            </w:tcMar>
          </w:tcPr>
          <w:p w14:paraId="2689A164" w14:textId="77777777" w:rsidR="00BB3820" w:rsidRPr="00CB25CC" w:rsidRDefault="00BB3820" w:rsidP="0031289D">
            <w:pPr>
              <w:keepNext/>
              <w:bidi/>
              <w:spacing w:after="120" w:line="280" w:lineRule="exact"/>
              <w:jc w:val="center"/>
              <w:rPr>
                <w:rFonts w:ascii="Arabic Typesetting" w:eastAsia="Arabic Typesetting" w:hAnsi="Arabic Typesetting" w:cs="Arabic Typesetting"/>
                <w:b/>
                <w:color w:val="000000"/>
                <w:sz w:val="28"/>
                <w:szCs w:val="28"/>
                <w:lang w:eastAsia="ar-EG" w:bidi="ar-EG"/>
              </w:rPr>
            </w:pPr>
            <w:r w:rsidRPr="00CB25CC">
              <w:rPr>
                <w:rFonts w:ascii="Arabic Typesetting" w:eastAsia="Arabic Typesetting" w:hAnsi="Arabic Typesetting" w:cs="Arabic Typesetting"/>
                <w:b/>
                <w:bCs/>
                <w:color w:val="00B050"/>
                <w:sz w:val="28"/>
                <w:szCs w:val="28"/>
                <w:rtl/>
                <w:lang w:eastAsia="ar-EG" w:bidi="ar-EG"/>
              </w:rPr>
              <w:t>ثابت</w:t>
            </w:r>
          </w:p>
        </w:tc>
      </w:tr>
      <w:tr w:rsidR="00BB3820" w:rsidRPr="00CB25CC" w14:paraId="42CB0AB9" w14:textId="77777777" w:rsidTr="00BB3820">
        <w:trPr>
          <w:cantSplit/>
          <w:trHeight w:val="565"/>
        </w:trPr>
        <w:tc>
          <w:tcPr>
            <w:tcW w:w="5000" w:type="pct"/>
            <w:gridSpan w:val="5"/>
            <w:shd w:val="clear" w:color="auto" w:fill="C6D9F1"/>
            <w:tcMar>
              <w:left w:w="58" w:type="dxa"/>
              <w:right w:w="58" w:type="dxa"/>
            </w:tcMar>
            <w:vAlign w:val="center"/>
          </w:tcPr>
          <w:p w14:paraId="109BC46C" w14:textId="77777777" w:rsidR="00BB3820" w:rsidRPr="00CB25CC" w:rsidRDefault="00BB3820"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‏النتيجة المرتقبة:</w:t>
            </w:r>
            <w:r w:rsidRPr="00CB25CC">
              <w:rPr>
                <w:rFonts w:ascii="Arabic Typesetting" w:eastAsia="Arabic Typesetting" w:hAnsi="Arabic Typesetting" w:cs="Arabic Typesetting"/>
                <w:sz w:val="28"/>
                <w:szCs w:val="28"/>
                <w:lang w:eastAsia="ar-EG" w:bidi="ar-EG"/>
              </w:rPr>
              <w:tab/>
            </w:r>
            <w:r w:rsidRPr="00CB25CC">
              <w:rPr>
                <w:rFonts w:ascii="Arabic Typesetting" w:eastAsia="Arabic Typesetting" w:hAnsi="Arabic Typesetting" w:cs="Arabic Typesetting"/>
                <w:color w:val="000000"/>
                <w:sz w:val="28"/>
                <w:szCs w:val="28"/>
                <w:rtl/>
                <w:lang w:eastAsia="ar-EG" w:bidi="ar-EG"/>
              </w:rPr>
              <w:t>ه2.5 استخدام تحليلات الويبو الاقتصادية على نطاق أوسع ونحو أفضل في صياغة السياسات العامة</w:t>
            </w:r>
          </w:p>
        </w:tc>
      </w:tr>
      <w:tr w:rsidR="00BB3820" w:rsidRPr="00CB25CC" w14:paraId="5A28C38E" w14:textId="77777777" w:rsidTr="00BB3820">
        <w:trPr>
          <w:cantSplit/>
        </w:trPr>
        <w:tc>
          <w:tcPr>
            <w:tcW w:w="1047" w:type="pct"/>
            <w:shd w:val="clear" w:color="auto" w:fill="auto"/>
            <w:tcMar>
              <w:left w:w="58" w:type="dxa"/>
              <w:right w:w="58" w:type="dxa"/>
            </w:tcMar>
            <w:vAlign w:val="center"/>
          </w:tcPr>
          <w:p w14:paraId="02672A7C" w14:textId="77777777" w:rsidR="00BB3820" w:rsidRPr="00CB25CC" w:rsidRDefault="00BB3820" w:rsidP="0031289D">
            <w:pPr>
              <w:keepNext/>
              <w:bidi/>
              <w:spacing w:after="120" w:line="280" w:lineRule="exact"/>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مؤشرات الأداء</w:t>
            </w:r>
          </w:p>
        </w:tc>
        <w:tc>
          <w:tcPr>
            <w:tcW w:w="1394" w:type="pct"/>
            <w:shd w:val="clear" w:color="auto" w:fill="auto"/>
            <w:tcMar>
              <w:left w:w="58" w:type="dxa"/>
              <w:right w:w="58" w:type="dxa"/>
            </w:tcMar>
            <w:vAlign w:val="center"/>
          </w:tcPr>
          <w:p w14:paraId="4AD59144" w14:textId="77777777" w:rsidR="00BB3820" w:rsidRPr="00CB25CC"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أسس المقارنة</w:t>
            </w:r>
          </w:p>
        </w:tc>
        <w:tc>
          <w:tcPr>
            <w:tcW w:w="752" w:type="pct"/>
            <w:shd w:val="clear" w:color="auto" w:fill="auto"/>
            <w:tcMar>
              <w:top w:w="110" w:type="dxa"/>
              <w:left w:w="58" w:type="dxa"/>
              <w:right w:w="58" w:type="dxa"/>
            </w:tcMar>
            <w:vAlign w:val="center"/>
          </w:tcPr>
          <w:p w14:paraId="7E32BCB6" w14:textId="77777777" w:rsidR="00BB3820" w:rsidRPr="00CB25CC"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الأهداف</w:t>
            </w:r>
          </w:p>
        </w:tc>
        <w:tc>
          <w:tcPr>
            <w:tcW w:w="1346" w:type="pct"/>
            <w:shd w:val="clear" w:color="auto" w:fill="FFFFFF"/>
            <w:tcMar>
              <w:top w:w="110" w:type="dxa"/>
              <w:left w:w="58" w:type="dxa"/>
              <w:right w:w="58" w:type="dxa"/>
            </w:tcMar>
            <w:vAlign w:val="center"/>
          </w:tcPr>
          <w:p w14:paraId="7B7E8F3F" w14:textId="77777777" w:rsidR="00BB3820" w:rsidRPr="00CB25CC"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بيانات الأداء</w:t>
            </w:r>
          </w:p>
        </w:tc>
        <w:tc>
          <w:tcPr>
            <w:tcW w:w="461" w:type="pct"/>
            <w:shd w:val="clear" w:color="auto" w:fill="auto"/>
            <w:tcMar>
              <w:top w:w="110" w:type="dxa"/>
              <w:left w:w="58" w:type="dxa"/>
              <w:right w:w="58" w:type="dxa"/>
            </w:tcMar>
            <w:vAlign w:val="center"/>
          </w:tcPr>
          <w:p w14:paraId="414A4AEA" w14:textId="77777777" w:rsidR="00BB3820" w:rsidRPr="00CB25CC" w:rsidRDefault="00BB3820" w:rsidP="0031289D">
            <w:pPr>
              <w:keepNext/>
              <w:bidi/>
              <w:spacing w:after="120" w:line="280" w:lineRule="exact"/>
              <w:jc w:val="center"/>
              <w:rPr>
                <w:rFonts w:ascii="Arabic Typesetting" w:eastAsia="Arabic Typesetting" w:hAnsi="Arabic Typesetting" w:cs="Arabic Typesetting"/>
                <w:b/>
                <w:bCs/>
                <w:sz w:val="28"/>
                <w:szCs w:val="28"/>
                <w:lang w:eastAsia="ar-EG" w:bidi="ar-EG"/>
              </w:rPr>
            </w:pPr>
            <w:r w:rsidRPr="00CB25CC">
              <w:rPr>
                <w:rFonts w:ascii="Arabic Typesetting" w:eastAsia="Arabic Typesetting" w:hAnsi="Arabic Typesetting" w:cs="Arabic Typesetting"/>
                <w:b/>
                <w:bCs/>
                <w:sz w:val="28"/>
                <w:szCs w:val="28"/>
                <w:rtl/>
                <w:lang w:eastAsia="ar-EG" w:bidi="ar-EG"/>
              </w:rPr>
              <w:t>السير</w:t>
            </w:r>
          </w:p>
        </w:tc>
      </w:tr>
      <w:tr w:rsidR="00BB3820" w:rsidRPr="00CB25CC" w14:paraId="4D425905" w14:textId="77777777" w:rsidTr="00BB3820">
        <w:trPr>
          <w:cantSplit/>
          <w:trHeight w:val="423"/>
        </w:trPr>
        <w:tc>
          <w:tcPr>
            <w:tcW w:w="1047" w:type="pct"/>
            <w:shd w:val="clear" w:color="auto" w:fill="auto"/>
            <w:tcMar>
              <w:left w:w="58" w:type="dxa"/>
              <w:right w:w="58" w:type="dxa"/>
            </w:tcMar>
          </w:tcPr>
          <w:p w14:paraId="68E3028A" w14:textId="77777777" w:rsidR="00BB3820" w:rsidRPr="00CB25CC"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color w:val="000000"/>
                <w:sz w:val="28"/>
                <w:szCs w:val="28"/>
                <w:rtl/>
                <w:lang w:eastAsia="ar-EG" w:bidi="ar-EG"/>
              </w:rPr>
              <w:t>العدد السنوي لزائري مواقع مؤشر الابتكار العالمي</w:t>
            </w:r>
          </w:p>
        </w:tc>
        <w:tc>
          <w:tcPr>
            <w:tcW w:w="1394" w:type="pct"/>
            <w:shd w:val="clear" w:color="auto" w:fill="auto"/>
            <w:tcMar>
              <w:left w:w="58" w:type="dxa"/>
              <w:right w:w="58" w:type="dxa"/>
            </w:tcMar>
          </w:tcPr>
          <w:p w14:paraId="67E54DCF" w14:textId="77777777" w:rsidR="00BB3820" w:rsidRPr="00CB25CC" w:rsidRDefault="00BB3820" w:rsidP="0031289D">
            <w:pPr>
              <w:bidi/>
              <w:spacing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CB25CC">
              <w:rPr>
                <w:rFonts w:ascii="Arabic Typesetting" w:eastAsia="Arabic Typesetting" w:hAnsi="Arabic Typesetting" w:cs="Arabic Typesetting"/>
                <w:i/>
                <w:iCs/>
                <w:color w:val="002060"/>
                <w:sz w:val="28"/>
                <w:szCs w:val="28"/>
                <w:rtl/>
                <w:lang w:eastAsia="ar-EG" w:bidi="ar-EG"/>
              </w:rPr>
              <w:br/>
            </w:r>
            <w:r w:rsidRPr="00CB25CC">
              <w:rPr>
                <w:rFonts w:ascii="Arabic Typesetting" w:eastAsia="Arabic Typesetting" w:hAnsi="Arabic Typesetting" w:cs="Arabic Typesetting"/>
                <w:color w:val="002060"/>
                <w:sz w:val="28"/>
                <w:szCs w:val="28"/>
                <w:rtl/>
                <w:lang w:eastAsia="ar-EG" w:bidi="ar-EG"/>
              </w:rPr>
              <w:t>الصفحة الإلكترونية لمؤشر الويبو للابتكار العالمي:</w:t>
            </w:r>
            <w:r w:rsidRPr="00CB25CC">
              <w:rPr>
                <w:rFonts w:ascii="Arabic Typesetting" w:eastAsia="Arabic Typesetting" w:hAnsi="Arabic Typesetting" w:cs="Arabic Typesetting"/>
                <w:color w:val="002060"/>
                <w:sz w:val="28"/>
                <w:szCs w:val="28"/>
                <w:vertAlign w:val="superscript"/>
                <w:lang w:eastAsia="ar-EG" w:bidi="ar-EG"/>
              </w:rPr>
              <w:footnoteReference w:id="68"/>
            </w:r>
          </w:p>
          <w:p w14:paraId="62E6EAB2" w14:textId="257B6F75" w:rsidR="00BB3820" w:rsidRPr="00CB25CC" w:rsidRDefault="00E91832" w:rsidP="00E91832">
            <w:pPr>
              <w:bidi/>
              <w:spacing w:line="280" w:lineRule="exact"/>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hint="cs"/>
                <w:color w:val="002060"/>
                <w:sz w:val="28"/>
                <w:szCs w:val="28"/>
                <w:rtl/>
                <w:lang w:eastAsia="ar-EG" w:bidi="ar-EG"/>
              </w:rPr>
              <w:t xml:space="preserve">556 29 </w:t>
            </w:r>
            <w:r w:rsidR="00BB3820" w:rsidRPr="00CB25CC">
              <w:rPr>
                <w:rFonts w:ascii="Arabic Typesetting" w:eastAsia="Arabic Typesetting" w:hAnsi="Arabic Typesetting" w:cs="Arabic Typesetting"/>
                <w:color w:val="002060"/>
                <w:sz w:val="28"/>
                <w:szCs w:val="28"/>
                <w:rtl/>
                <w:lang w:eastAsia="ar-EG" w:bidi="ar-EG"/>
              </w:rPr>
              <w:t>(2015)</w:t>
            </w:r>
          </w:p>
          <w:p w14:paraId="4FC6891A" w14:textId="34A157ED" w:rsidR="00BB3820" w:rsidRPr="00CB25CC" w:rsidRDefault="00E91832" w:rsidP="00E91832">
            <w:pPr>
              <w:bidi/>
              <w:spacing w:after="120" w:line="280" w:lineRule="exact"/>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hint="cs"/>
                <w:color w:val="002060"/>
                <w:sz w:val="28"/>
                <w:szCs w:val="28"/>
                <w:rtl/>
                <w:lang w:eastAsia="ar-EG" w:bidi="ar-EG"/>
              </w:rPr>
              <w:t>190 48</w:t>
            </w:r>
            <w:r w:rsidR="00BB3820" w:rsidRPr="00CB25CC">
              <w:rPr>
                <w:rFonts w:ascii="Arabic Typesetting" w:eastAsia="Arabic Typesetting" w:hAnsi="Arabic Typesetting" w:cs="Arabic Typesetting"/>
                <w:color w:val="002060"/>
                <w:sz w:val="28"/>
                <w:szCs w:val="28"/>
                <w:rtl/>
                <w:lang w:eastAsia="ar-EG" w:bidi="ar-EG"/>
              </w:rPr>
              <w:t xml:space="preserve"> </w:t>
            </w:r>
            <w:r w:rsidR="00BB3820" w:rsidRPr="00CB25CC">
              <w:rPr>
                <w:rFonts w:ascii="Arabic Typesetting" w:eastAsia="Arabic Typesetting" w:hAnsi="Arabic Typesetting" w:cs="Arabic Typesetting"/>
                <w:color w:val="002060"/>
                <w:sz w:val="28"/>
                <w:szCs w:val="28"/>
                <w:vertAlign w:val="superscript"/>
                <w:lang w:eastAsia="ar-EG" w:bidi="ar-EG"/>
              </w:rPr>
              <w:footnoteReference w:id="69"/>
            </w:r>
            <w:r w:rsidR="00BB3820" w:rsidRPr="00CB25CC">
              <w:rPr>
                <w:rFonts w:ascii="Arabic Typesetting" w:eastAsia="Arabic Typesetting" w:hAnsi="Arabic Typesetting" w:cs="Arabic Typesetting"/>
                <w:color w:val="002060"/>
                <w:sz w:val="28"/>
                <w:szCs w:val="28"/>
                <w:rtl/>
                <w:lang w:eastAsia="ar-EG" w:bidi="ar-EG"/>
              </w:rPr>
              <w:t xml:space="preserve"> (2014/15)</w:t>
            </w:r>
          </w:p>
          <w:p w14:paraId="0E868D81" w14:textId="77777777" w:rsidR="00BB3820" w:rsidRPr="00CB25CC" w:rsidRDefault="00BB3820" w:rsidP="0031289D">
            <w:pPr>
              <w:bidi/>
              <w:spacing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color w:val="002060"/>
                <w:sz w:val="28"/>
                <w:szCs w:val="28"/>
                <w:rtl/>
                <w:lang w:eastAsia="ar-EG" w:bidi="ar-EG"/>
              </w:rPr>
              <w:t>الموقع الإلكتروني المخصص لمؤشر الابتكار</w:t>
            </w:r>
            <w:r>
              <w:rPr>
                <w:rFonts w:ascii="Arabic Typesetting" w:eastAsia="Arabic Typesetting" w:hAnsi="Arabic Typesetting" w:cs="Arabic Typesetting" w:hint="cs"/>
                <w:color w:val="002060"/>
                <w:sz w:val="28"/>
                <w:szCs w:val="28"/>
                <w:rtl/>
                <w:lang w:eastAsia="ar-EG" w:bidi="ar-EG"/>
              </w:rPr>
              <w:t> </w:t>
            </w:r>
            <w:r w:rsidRPr="00CB25CC">
              <w:rPr>
                <w:rFonts w:ascii="Arabic Typesetting" w:eastAsia="Arabic Typesetting" w:hAnsi="Arabic Typesetting" w:cs="Arabic Typesetting"/>
                <w:color w:val="002060"/>
                <w:sz w:val="28"/>
                <w:szCs w:val="28"/>
                <w:rtl/>
                <w:lang w:eastAsia="ar-EG" w:bidi="ar-EG"/>
              </w:rPr>
              <w:t>العالمي:</w:t>
            </w:r>
            <w:r w:rsidRPr="00CB25CC">
              <w:rPr>
                <w:rFonts w:ascii="Arabic Typesetting" w:eastAsia="Arabic Typesetting" w:hAnsi="Arabic Typesetting" w:cs="Arabic Typesetting"/>
                <w:color w:val="002060"/>
                <w:sz w:val="28"/>
                <w:szCs w:val="28"/>
                <w:vertAlign w:val="superscript"/>
                <w:lang w:eastAsia="ar-EG" w:bidi="ar-EG"/>
              </w:rPr>
              <w:footnoteReference w:id="70"/>
            </w:r>
          </w:p>
          <w:p w14:paraId="5AEF4648" w14:textId="414D5533" w:rsidR="00BB3820" w:rsidRPr="00CB25CC" w:rsidRDefault="00E91832" w:rsidP="00E91832">
            <w:pPr>
              <w:bidi/>
              <w:spacing w:line="280" w:lineRule="exact"/>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hint="cs"/>
                <w:color w:val="002060"/>
                <w:sz w:val="28"/>
                <w:szCs w:val="28"/>
                <w:rtl/>
                <w:lang w:eastAsia="ar-EG" w:bidi="ar-EG"/>
              </w:rPr>
              <w:t>417 170</w:t>
            </w:r>
            <w:r w:rsidR="00BB3820" w:rsidRPr="00CB25CC">
              <w:rPr>
                <w:rFonts w:ascii="Arabic Typesetting" w:eastAsia="Arabic Typesetting" w:hAnsi="Arabic Typesetting" w:cs="Arabic Typesetting"/>
                <w:color w:val="002060"/>
                <w:sz w:val="28"/>
                <w:szCs w:val="28"/>
                <w:rtl/>
                <w:lang w:eastAsia="ar-EG" w:bidi="ar-EG"/>
              </w:rPr>
              <w:t xml:space="preserve"> (2015)</w:t>
            </w:r>
          </w:p>
          <w:p w14:paraId="28682FBE" w14:textId="784CFA20" w:rsidR="00BB3820" w:rsidRPr="00CB25CC" w:rsidRDefault="00E91832" w:rsidP="00E91832">
            <w:pPr>
              <w:bidi/>
              <w:spacing w:after="120" w:line="280" w:lineRule="exact"/>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hint="cs"/>
                <w:color w:val="002060"/>
                <w:sz w:val="28"/>
                <w:szCs w:val="28"/>
                <w:rtl/>
                <w:lang w:eastAsia="ar-EG" w:bidi="ar-EG"/>
              </w:rPr>
              <w:t>690 317</w:t>
            </w:r>
            <w:r w:rsidR="00BB3820" w:rsidRPr="00CB25CC">
              <w:rPr>
                <w:rFonts w:ascii="Arabic Typesetting" w:eastAsia="Arabic Typesetting" w:hAnsi="Arabic Typesetting" w:cs="Arabic Typesetting"/>
                <w:color w:val="002060"/>
                <w:sz w:val="28"/>
                <w:szCs w:val="28"/>
                <w:rtl/>
                <w:lang w:eastAsia="ar-EG" w:bidi="ar-EG"/>
              </w:rPr>
              <w:t xml:space="preserve"> (2014/15)</w:t>
            </w:r>
            <w:r w:rsidR="00BB3820" w:rsidRPr="00CB25CC">
              <w:rPr>
                <w:rFonts w:ascii="Arabic Typesetting" w:eastAsia="Arabic Typesetting" w:hAnsi="Arabic Typesetting" w:cs="Arabic Typesetting"/>
                <w:color w:val="002060"/>
                <w:sz w:val="28"/>
                <w:szCs w:val="28"/>
                <w:vertAlign w:val="superscript"/>
                <w:lang w:eastAsia="ar-EG" w:bidi="ar-EG"/>
              </w:rPr>
              <w:footnoteReference w:id="71"/>
            </w:r>
          </w:p>
          <w:p w14:paraId="3FFC61F7" w14:textId="77777777" w:rsidR="00BB3820" w:rsidRPr="00CB25CC"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i/>
                <w:iCs/>
                <w:sz w:val="28"/>
                <w:szCs w:val="28"/>
                <w:rtl/>
                <w:lang w:eastAsia="ar-EG" w:bidi="ar-EG"/>
              </w:rPr>
              <w:t>‏أساس المقارنة الأصلي:</w:t>
            </w:r>
            <w:r w:rsidRPr="00CB25CC">
              <w:rPr>
                <w:rFonts w:ascii="Arabic Typesetting" w:eastAsia="Arabic Typesetting" w:hAnsi="Arabic Typesetting" w:cs="Arabic Typesetting"/>
                <w:i/>
                <w:sz w:val="28"/>
                <w:szCs w:val="28"/>
                <w:lang w:eastAsia="ar-EG" w:bidi="ar-EG"/>
              </w:rPr>
              <w:br/>
            </w:r>
            <w:r w:rsidRPr="00CB25CC">
              <w:rPr>
                <w:rFonts w:ascii="Arabic Typesetting" w:eastAsia="Arabic Typesetting" w:hAnsi="Arabic Typesetting" w:cs="Arabic Typesetting"/>
                <w:i/>
                <w:iCs/>
                <w:sz w:val="28"/>
                <w:szCs w:val="28"/>
                <w:rtl/>
                <w:lang w:eastAsia="ar-EG" w:bidi="ar-EG"/>
              </w:rPr>
              <w:t>برنامج وميزانية 2016/17:</w:t>
            </w:r>
            <w:r w:rsidRPr="00CB25CC">
              <w:rPr>
                <w:rFonts w:ascii="Arabic Typesetting" w:eastAsia="Arabic Typesetting" w:hAnsi="Arabic Typesetting" w:cs="Arabic Typesetting"/>
                <w:i/>
                <w:iCs/>
                <w:sz w:val="28"/>
                <w:szCs w:val="28"/>
                <w:rtl/>
                <w:lang w:eastAsia="ar-EG" w:bidi="ar-EG"/>
              </w:rPr>
              <w:br/>
            </w:r>
            <w:r w:rsidRPr="00CB25CC">
              <w:rPr>
                <w:rFonts w:ascii="Arabic Typesetting" w:eastAsia="Arabic Typesetting" w:hAnsi="Arabic Typesetting" w:cs="Arabic Typesetting"/>
                <w:color w:val="000000"/>
                <w:sz w:val="28"/>
                <w:szCs w:val="28"/>
                <w:rtl/>
                <w:lang w:eastAsia="ar-EG" w:bidi="ar-EG"/>
              </w:rPr>
              <w:t>‏تحدد في نهاية 2015</w:t>
            </w:r>
          </w:p>
        </w:tc>
        <w:tc>
          <w:tcPr>
            <w:tcW w:w="752" w:type="pct"/>
            <w:shd w:val="clear" w:color="auto" w:fill="auto"/>
            <w:tcMar>
              <w:top w:w="110" w:type="dxa"/>
              <w:left w:w="58" w:type="dxa"/>
              <w:right w:w="58" w:type="dxa"/>
            </w:tcMar>
          </w:tcPr>
          <w:p w14:paraId="504727AE" w14:textId="77777777" w:rsidR="00BB3820" w:rsidRPr="00CB25CC" w:rsidRDefault="00BB3820"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CB25CC">
              <w:rPr>
                <w:rFonts w:ascii="Arabic Typesetting" w:eastAsia="Arabic Typesetting" w:hAnsi="Arabic Typesetting" w:cs="Arabic Typesetting"/>
                <w:i/>
                <w:iCs/>
                <w:color w:val="002060"/>
                <w:sz w:val="28"/>
                <w:szCs w:val="28"/>
                <w:rtl/>
                <w:lang w:eastAsia="ar-EG" w:bidi="ar-EG"/>
              </w:rPr>
              <w:t>الهدف المحدد:</w:t>
            </w:r>
          </w:p>
          <w:p w14:paraId="54CA2E14" w14:textId="77777777" w:rsidR="00BB3820" w:rsidRPr="00CB25CC"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color w:val="002060"/>
                <w:sz w:val="28"/>
                <w:szCs w:val="28"/>
                <w:rtl/>
                <w:lang w:eastAsia="ar-EG" w:bidi="ar-EG"/>
              </w:rPr>
              <w:t>مؤشر الابتكار العالمي للويبو:</w:t>
            </w:r>
            <w:r w:rsidRPr="00CB25CC">
              <w:rPr>
                <w:rFonts w:ascii="Arabic Typesetting" w:eastAsia="Arabic Typesetting" w:hAnsi="Arabic Typesetting" w:cs="Arabic Typesetting"/>
                <w:color w:val="002060"/>
                <w:sz w:val="28"/>
                <w:szCs w:val="28"/>
                <w:rtl/>
                <w:lang w:eastAsia="ar-EG" w:bidi="ar-EG"/>
              </w:rPr>
              <w:br/>
              <w:t>‏زيادة بنسبة 10%</w:t>
            </w:r>
          </w:p>
          <w:p w14:paraId="6B56965F" w14:textId="77777777" w:rsidR="00BB3820" w:rsidRPr="00CB25CC"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color w:val="002060"/>
                <w:sz w:val="28"/>
                <w:szCs w:val="28"/>
                <w:rtl/>
                <w:lang w:eastAsia="ar-EG" w:bidi="ar-EG"/>
              </w:rPr>
              <w:t>الموقع الإلكتروني المخصص لمؤشر الابتكار العالمي:</w:t>
            </w:r>
            <w:r w:rsidRPr="00CB25CC">
              <w:rPr>
                <w:rFonts w:ascii="Arabic Typesetting" w:eastAsia="Arabic Typesetting" w:hAnsi="Arabic Typesetting" w:cs="Arabic Typesetting"/>
                <w:color w:val="002060"/>
                <w:sz w:val="28"/>
                <w:szCs w:val="28"/>
                <w:rtl/>
                <w:lang w:eastAsia="ar-EG" w:bidi="ar-EG"/>
              </w:rPr>
              <w:br/>
              <w:t>‏زيادة بنسبة 10%</w:t>
            </w:r>
          </w:p>
          <w:p w14:paraId="73D3A3EF" w14:textId="77777777" w:rsidR="00BB3820" w:rsidRPr="00CB25CC"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i/>
                <w:iCs/>
                <w:sz w:val="28"/>
                <w:szCs w:val="28"/>
                <w:rtl/>
                <w:lang w:eastAsia="ar-EG" w:bidi="ar-EG"/>
              </w:rPr>
              <w:t>الهدف الأصلي:</w:t>
            </w:r>
            <w:r w:rsidRPr="00CB25CC">
              <w:rPr>
                <w:rFonts w:ascii="Arabic Typesetting" w:eastAsia="Arabic Typesetting" w:hAnsi="Arabic Typesetting" w:cs="Arabic Typesetting"/>
                <w:i/>
                <w:iCs/>
                <w:sz w:val="28"/>
                <w:szCs w:val="28"/>
                <w:rtl/>
                <w:lang w:eastAsia="ar-EG" w:bidi="ar-EG"/>
              </w:rPr>
              <w:br/>
            </w:r>
            <w:r w:rsidRPr="00CB25CC">
              <w:rPr>
                <w:rFonts w:ascii="Arabic Typesetting" w:eastAsia="Arabic Typesetting" w:hAnsi="Arabic Typesetting" w:cs="Arabic Typesetting"/>
                <w:color w:val="000000"/>
                <w:sz w:val="28"/>
                <w:szCs w:val="28"/>
                <w:rtl/>
                <w:lang w:eastAsia="ar-EG" w:bidi="ar-EG"/>
              </w:rPr>
              <w:t>يُحدَّد لاحقاً</w:t>
            </w:r>
          </w:p>
        </w:tc>
        <w:tc>
          <w:tcPr>
            <w:tcW w:w="1346" w:type="pct"/>
            <w:shd w:val="clear" w:color="auto" w:fill="FFFFFF"/>
            <w:tcMar>
              <w:top w:w="110" w:type="dxa"/>
              <w:left w:w="58" w:type="dxa"/>
              <w:right w:w="58" w:type="dxa"/>
            </w:tcMar>
          </w:tcPr>
          <w:p w14:paraId="1944F78C" w14:textId="5C8958F9" w:rsidR="00BB3820" w:rsidRPr="00CB25CC" w:rsidRDefault="00BB3820" w:rsidP="00E91832">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color w:val="000000"/>
                <w:sz w:val="28"/>
                <w:szCs w:val="28"/>
                <w:rtl/>
                <w:lang w:eastAsia="ar-EG" w:bidi="ar-EG"/>
              </w:rPr>
              <w:t>مؤشر الابتكار العالمي للويبو:</w:t>
            </w:r>
            <w:r>
              <w:rPr>
                <w:rFonts w:ascii="Arabic Typesetting" w:eastAsia="Arabic Typesetting" w:hAnsi="Arabic Typesetting" w:cs="Arabic Typesetting" w:hint="cs"/>
                <w:color w:val="000000"/>
                <w:sz w:val="28"/>
                <w:szCs w:val="28"/>
                <w:rtl/>
                <w:lang w:eastAsia="ar-EG" w:bidi="ar-EG"/>
              </w:rPr>
              <w:t xml:space="preserve"> </w:t>
            </w:r>
            <w:r w:rsidR="00E91832" w:rsidRPr="00396976">
              <w:rPr>
                <w:rFonts w:ascii="Arabic Typesetting" w:eastAsia="Arabic Typesetting" w:hAnsi="Arabic Typesetting" w:cs="Arabic Typesetting"/>
                <w:color w:val="000000"/>
                <w:sz w:val="28"/>
                <w:szCs w:val="28"/>
                <w:rtl/>
                <w:lang w:eastAsia="ar-EG" w:bidi="ar-EG"/>
              </w:rPr>
              <w:t>244</w:t>
            </w:r>
            <w:r w:rsidR="00E91832">
              <w:rPr>
                <w:rFonts w:ascii="Arabic Typesetting" w:eastAsia="Arabic Typesetting" w:hAnsi="Arabic Typesetting" w:cs="Arabic Typesetting" w:hint="eastAsia"/>
                <w:color w:val="000000"/>
                <w:sz w:val="28"/>
                <w:szCs w:val="28"/>
                <w:rtl/>
                <w:lang w:eastAsia="ar-EG" w:bidi="ar-EG"/>
              </w:rPr>
              <w:t> </w:t>
            </w:r>
            <w:r w:rsidR="00E91832">
              <w:rPr>
                <w:rFonts w:ascii="Arabic Typesetting" w:eastAsia="Arabic Typesetting" w:hAnsi="Arabic Typesetting" w:cs="Arabic Typesetting" w:hint="cs"/>
                <w:color w:val="000000"/>
                <w:sz w:val="28"/>
                <w:szCs w:val="28"/>
                <w:rtl/>
                <w:lang w:eastAsia="ar-EG" w:bidi="ar-EG"/>
              </w:rPr>
              <w:t>44</w:t>
            </w:r>
            <w:r w:rsidR="00E91832">
              <w:rPr>
                <w:rFonts w:ascii="Arabic Typesetting" w:eastAsia="Arabic Typesetting" w:hAnsi="Arabic Typesetting" w:cs="Arabic Typesetting" w:hint="eastAsia"/>
                <w:color w:val="000000"/>
                <w:sz w:val="28"/>
                <w:szCs w:val="28"/>
                <w:rtl/>
                <w:lang w:eastAsia="ar-EG" w:bidi="ar-EG"/>
              </w:rPr>
              <w:t> </w:t>
            </w:r>
            <w:r w:rsidRPr="00CB25CC">
              <w:rPr>
                <w:rFonts w:ascii="Arabic Typesetting" w:eastAsia="Arabic Typesetting" w:hAnsi="Arabic Typesetting" w:cs="Arabic Typesetting"/>
                <w:color w:val="000000"/>
                <w:sz w:val="28"/>
                <w:szCs w:val="28"/>
                <w:rtl/>
                <w:lang w:eastAsia="ar-EG" w:bidi="ar-EG"/>
              </w:rPr>
              <w:t>(+50%)</w:t>
            </w:r>
          </w:p>
          <w:p w14:paraId="05D962BF" w14:textId="0F4CB664" w:rsidR="00BB3820" w:rsidRPr="00CB25CC" w:rsidRDefault="00BB3820" w:rsidP="00E91832">
            <w:pPr>
              <w:bidi/>
              <w:spacing w:after="120" w:line="280" w:lineRule="exact"/>
              <w:rPr>
                <w:rFonts w:ascii="Arabic Typesetting" w:eastAsia="Arabic Typesetting" w:hAnsi="Arabic Typesetting" w:cs="Arabic Typesetting"/>
                <w:color w:val="000000"/>
                <w:sz w:val="28"/>
                <w:szCs w:val="28"/>
                <w:rtl/>
                <w:lang w:eastAsia="ar-EG" w:bidi="ar-EG"/>
              </w:rPr>
            </w:pPr>
            <w:r w:rsidRPr="00CB25CC">
              <w:rPr>
                <w:rFonts w:ascii="Arabic Typesetting" w:eastAsia="Arabic Typesetting" w:hAnsi="Arabic Typesetting" w:cs="Arabic Typesetting"/>
                <w:color w:val="000000"/>
                <w:sz w:val="28"/>
                <w:szCs w:val="28"/>
                <w:rtl/>
                <w:lang w:eastAsia="ar-EG" w:bidi="ar-EG"/>
              </w:rPr>
              <w:t>الموقع الإلكتروني المخصص لمؤشر الابتكار العالمي:</w:t>
            </w:r>
            <w:r w:rsidR="00E91832">
              <w:rPr>
                <w:rFonts w:ascii="Arabic Typesetting" w:eastAsia="Arabic Typesetting" w:hAnsi="Arabic Typesetting" w:cs="Arabic Typesetting" w:hint="cs"/>
                <w:color w:val="000000"/>
                <w:sz w:val="28"/>
                <w:szCs w:val="28"/>
                <w:rtl/>
                <w:lang w:eastAsia="ar-EG" w:bidi="ar-EG"/>
              </w:rPr>
              <w:t xml:space="preserve"> 122 214</w:t>
            </w:r>
            <w:r>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w:t>
            </w:r>
            <w:r>
              <w:rPr>
                <w:rFonts w:ascii="Arabic Typesetting" w:eastAsia="Arabic Typesetting" w:hAnsi="Arabic Typesetting" w:cs="Arabic Typesetting"/>
                <w:color w:val="000000"/>
                <w:sz w:val="28"/>
                <w:szCs w:val="28"/>
                <w:lang w:eastAsia="ar-EG" w:bidi="ar-EG"/>
              </w:rPr>
              <w:t>%25.6</w:t>
            </w:r>
            <w:r>
              <w:rPr>
                <w:rFonts w:ascii="Arabic Typesetting" w:eastAsia="Arabic Typesetting" w:hAnsi="Arabic Typesetting" w:cs="Arabic Typesetting" w:hint="cs"/>
                <w:color w:val="000000"/>
                <w:sz w:val="28"/>
                <w:szCs w:val="28"/>
                <w:rtl/>
                <w:lang w:eastAsia="ar-EG" w:bidi="ar-EG"/>
              </w:rPr>
              <w:t>)</w:t>
            </w:r>
          </w:p>
        </w:tc>
        <w:tc>
          <w:tcPr>
            <w:tcW w:w="461" w:type="pct"/>
            <w:shd w:val="clear" w:color="auto" w:fill="auto"/>
            <w:tcMar>
              <w:top w:w="110" w:type="dxa"/>
              <w:left w:w="58" w:type="dxa"/>
              <w:right w:w="58" w:type="dxa"/>
            </w:tcMar>
          </w:tcPr>
          <w:p w14:paraId="7FADE54B" w14:textId="77777777" w:rsidR="00BB3820" w:rsidRPr="00CB25CC" w:rsidRDefault="00BB3820" w:rsidP="0031289D">
            <w:pPr>
              <w:keepNext/>
              <w:bidi/>
              <w:spacing w:after="120" w:line="280" w:lineRule="exact"/>
              <w:jc w:val="center"/>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b/>
                <w:bCs/>
                <w:color w:val="00B050"/>
                <w:sz w:val="28"/>
                <w:szCs w:val="28"/>
                <w:rtl/>
                <w:lang w:eastAsia="ar-EG" w:bidi="ar-EG"/>
              </w:rPr>
              <w:t>ثابت</w:t>
            </w:r>
          </w:p>
        </w:tc>
      </w:tr>
      <w:tr w:rsidR="00BB3820" w:rsidRPr="00CB25CC" w14:paraId="7EE60CDC" w14:textId="77777777" w:rsidTr="00BB3820">
        <w:trPr>
          <w:cantSplit/>
          <w:trHeight w:val="1186"/>
        </w:trPr>
        <w:tc>
          <w:tcPr>
            <w:tcW w:w="1047" w:type="pct"/>
            <w:shd w:val="clear" w:color="auto" w:fill="auto"/>
            <w:tcMar>
              <w:left w:w="58" w:type="dxa"/>
              <w:right w:w="58" w:type="dxa"/>
            </w:tcMar>
          </w:tcPr>
          <w:p w14:paraId="055DE884" w14:textId="77777777" w:rsidR="00BB3820" w:rsidRPr="00CB25CC"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color w:val="000000"/>
                <w:sz w:val="28"/>
                <w:szCs w:val="28"/>
                <w:rtl/>
                <w:lang w:eastAsia="ar-EG" w:bidi="ar-EG"/>
              </w:rPr>
              <w:t>عدد مرات تحميل التقرير العالمي للملكية الفكرية</w:t>
            </w:r>
            <w:r w:rsidRPr="00CB25CC">
              <w:rPr>
                <w:rFonts w:ascii="Arabic Typesetting" w:eastAsia="Arabic Typesetting" w:hAnsi="Arabic Typesetting" w:cs="Arabic Typesetting"/>
                <w:color w:val="000000"/>
                <w:sz w:val="28"/>
                <w:szCs w:val="28"/>
                <w:vertAlign w:val="superscript"/>
                <w:lang w:eastAsia="ar-EG" w:bidi="ar-EG"/>
              </w:rPr>
              <w:footnoteReference w:id="72"/>
            </w:r>
            <w:r w:rsidRPr="00CB25CC">
              <w:rPr>
                <w:rFonts w:ascii="Arabic Typesetting" w:eastAsia="Arabic Typesetting" w:hAnsi="Arabic Typesetting" w:cs="Arabic Typesetting"/>
                <w:color w:val="000000"/>
                <w:sz w:val="28"/>
                <w:szCs w:val="28"/>
                <w:rtl/>
                <w:lang w:eastAsia="ar-EG" w:bidi="ar-EG"/>
              </w:rPr>
              <w:t xml:space="preserve"> في غضون 6</w:t>
            </w:r>
            <w:r>
              <w:rPr>
                <w:rFonts w:ascii="Arabic Typesetting" w:eastAsia="Arabic Typesetting" w:hAnsi="Arabic Typesetting" w:cs="Arabic Typesetting" w:hint="cs"/>
                <w:color w:val="000000"/>
                <w:sz w:val="28"/>
                <w:szCs w:val="28"/>
                <w:rtl/>
                <w:lang w:eastAsia="ar-EG" w:bidi="ar-EG"/>
              </w:rPr>
              <w:t> </w:t>
            </w:r>
            <w:r w:rsidRPr="00CB25CC">
              <w:rPr>
                <w:rFonts w:ascii="Arabic Typesetting" w:eastAsia="Arabic Typesetting" w:hAnsi="Arabic Typesetting" w:cs="Arabic Typesetting"/>
                <w:color w:val="000000"/>
                <w:sz w:val="28"/>
                <w:szCs w:val="28"/>
                <w:rtl/>
                <w:lang w:eastAsia="ar-EG" w:bidi="ar-EG"/>
              </w:rPr>
              <w:t>أشهر من نشره</w:t>
            </w:r>
          </w:p>
        </w:tc>
        <w:tc>
          <w:tcPr>
            <w:tcW w:w="1394" w:type="pct"/>
            <w:shd w:val="clear" w:color="auto" w:fill="auto"/>
            <w:tcMar>
              <w:left w:w="58" w:type="dxa"/>
              <w:right w:w="58" w:type="dxa"/>
            </w:tcMar>
          </w:tcPr>
          <w:p w14:paraId="7EADBF4E" w14:textId="77777777" w:rsidR="00BB3820" w:rsidRPr="00CB25CC"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i/>
                <w:iCs/>
                <w:color w:val="002060"/>
                <w:sz w:val="28"/>
                <w:szCs w:val="28"/>
                <w:rtl/>
                <w:lang w:eastAsia="ar-EG" w:bidi="ar-EG"/>
              </w:rPr>
              <w:t>أساس المقارنة المحدَّث:</w:t>
            </w:r>
            <w:r w:rsidRPr="00CB25CC">
              <w:rPr>
                <w:rFonts w:ascii="Arabic Typesetting" w:eastAsia="Arabic Typesetting" w:hAnsi="Arabic Typesetting" w:cs="Arabic Typesetting"/>
                <w:i/>
                <w:iCs/>
                <w:color w:val="002060"/>
                <w:sz w:val="28"/>
                <w:szCs w:val="28"/>
                <w:rtl/>
                <w:lang w:eastAsia="ar-EG" w:bidi="ar-EG"/>
              </w:rPr>
              <w:br/>
            </w:r>
            <w:r w:rsidRPr="00CB25CC">
              <w:rPr>
                <w:rFonts w:ascii="Arabic Typesetting" w:eastAsia="Arabic Typesetting" w:hAnsi="Arabic Typesetting" w:cs="Arabic Typesetting"/>
                <w:color w:val="002060"/>
                <w:sz w:val="28"/>
                <w:szCs w:val="28"/>
                <w:rtl/>
                <w:lang w:eastAsia="ar-EG" w:bidi="ar-EG"/>
              </w:rPr>
              <w:t>التقرير العالمي للملكية الفكرية 2015:</w:t>
            </w:r>
            <w:r>
              <w:rPr>
                <w:rFonts w:ascii="Arabic Typesetting" w:eastAsia="Arabic Typesetting" w:hAnsi="Arabic Typesetting" w:cs="Arabic Typesetting" w:hint="cs"/>
                <w:color w:val="002060"/>
                <w:sz w:val="28"/>
                <w:szCs w:val="28"/>
                <w:rtl/>
                <w:lang w:eastAsia="ar-EG" w:bidi="ar-EG"/>
              </w:rPr>
              <w:t xml:space="preserve"> </w:t>
            </w:r>
            <w:r w:rsidRPr="00CB25CC">
              <w:rPr>
                <w:rFonts w:ascii="Arabic Typesetting" w:eastAsia="Arabic Typesetting" w:hAnsi="Arabic Typesetting" w:cs="Arabic Typesetting"/>
                <w:color w:val="002060"/>
                <w:sz w:val="28"/>
                <w:szCs w:val="28"/>
                <w:rtl/>
                <w:lang w:eastAsia="ar-EG" w:bidi="ar-EG"/>
              </w:rPr>
              <w:t>30 017</w:t>
            </w:r>
          </w:p>
          <w:p w14:paraId="6A910BBE" w14:textId="77777777" w:rsidR="00BB3820" w:rsidRPr="00CB25CC"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i/>
                <w:iCs/>
                <w:sz w:val="28"/>
                <w:szCs w:val="28"/>
                <w:rtl/>
                <w:lang w:eastAsia="ar-EG" w:bidi="ar-EG"/>
              </w:rPr>
              <w:t>‏أساس المقارنة الأصلي:</w:t>
            </w:r>
            <w:r w:rsidRPr="00CB25CC">
              <w:rPr>
                <w:rFonts w:ascii="Arabic Typesetting" w:eastAsia="Arabic Typesetting" w:hAnsi="Arabic Typesetting" w:cs="Arabic Typesetting"/>
                <w:i/>
                <w:sz w:val="28"/>
                <w:szCs w:val="28"/>
                <w:lang w:eastAsia="ar-EG" w:bidi="ar-EG"/>
              </w:rPr>
              <w:br/>
            </w:r>
            <w:r w:rsidRPr="00CB25CC">
              <w:rPr>
                <w:rFonts w:ascii="Arabic Typesetting" w:eastAsia="Arabic Typesetting" w:hAnsi="Arabic Typesetting" w:cs="Arabic Typesetting"/>
                <w:i/>
                <w:iCs/>
                <w:sz w:val="28"/>
                <w:szCs w:val="28"/>
                <w:rtl/>
                <w:lang w:eastAsia="ar-EG" w:bidi="ar-EG"/>
              </w:rPr>
              <w:t>برنامج وميزانية 2016/17:</w:t>
            </w:r>
            <w:r w:rsidRPr="00CB25CC">
              <w:rPr>
                <w:rFonts w:ascii="Arabic Typesetting" w:eastAsia="Arabic Typesetting" w:hAnsi="Arabic Typesetting" w:cs="Arabic Typesetting"/>
                <w:i/>
                <w:iCs/>
                <w:sz w:val="28"/>
                <w:szCs w:val="28"/>
                <w:rtl/>
                <w:lang w:eastAsia="ar-EG" w:bidi="ar-EG"/>
              </w:rPr>
              <w:br/>
            </w:r>
            <w:r w:rsidRPr="00CB25CC">
              <w:rPr>
                <w:rFonts w:ascii="Arabic Typesetting" w:eastAsia="Arabic Typesetting" w:hAnsi="Arabic Typesetting" w:cs="Arabic Typesetting"/>
                <w:color w:val="000000"/>
                <w:sz w:val="28"/>
                <w:szCs w:val="28"/>
                <w:rtl/>
                <w:lang w:eastAsia="ar-EG" w:bidi="ar-EG"/>
              </w:rPr>
              <w:t>يحدَّد لاحقا</w:t>
            </w:r>
          </w:p>
        </w:tc>
        <w:tc>
          <w:tcPr>
            <w:tcW w:w="752" w:type="pct"/>
            <w:shd w:val="clear" w:color="auto" w:fill="auto"/>
            <w:tcMar>
              <w:top w:w="110" w:type="dxa"/>
              <w:left w:w="58" w:type="dxa"/>
              <w:right w:w="58" w:type="dxa"/>
            </w:tcMar>
          </w:tcPr>
          <w:p w14:paraId="597C7454" w14:textId="77777777" w:rsidR="00BB3820" w:rsidRPr="00CB25CC"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CB25CC">
              <w:rPr>
                <w:rFonts w:ascii="Arabic Typesetting" w:eastAsia="Arabic Typesetting" w:hAnsi="Arabic Typesetting" w:cs="Arabic Typesetting"/>
                <w:i/>
                <w:iCs/>
                <w:color w:val="002060"/>
                <w:sz w:val="28"/>
                <w:szCs w:val="28"/>
                <w:rtl/>
                <w:lang w:eastAsia="ar-EG" w:bidi="ar-EG"/>
              </w:rPr>
              <w:t>الهدف المحدد:</w:t>
            </w:r>
            <w:r w:rsidRPr="00CB25CC">
              <w:rPr>
                <w:rFonts w:ascii="Arabic Typesetting" w:eastAsia="Arabic Typesetting" w:hAnsi="Arabic Typesetting" w:cs="Arabic Typesetting"/>
                <w:i/>
                <w:iCs/>
                <w:color w:val="002060"/>
                <w:sz w:val="28"/>
                <w:szCs w:val="28"/>
                <w:rtl/>
                <w:lang w:eastAsia="ar-EG" w:bidi="ar-EG"/>
              </w:rPr>
              <w:br/>
            </w:r>
            <w:r w:rsidRPr="00CB25CC">
              <w:rPr>
                <w:rFonts w:ascii="Arabic Typesetting" w:eastAsia="Arabic Typesetting" w:hAnsi="Arabic Typesetting" w:cs="Arabic Typesetting"/>
                <w:color w:val="002060"/>
                <w:sz w:val="28"/>
                <w:szCs w:val="28"/>
                <w:rtl/>
                <w:lang w:eastAsia="ar-EG" w:bidi="ar-EG"/>
              </w:rPr>
              <w:t>‏زيادة بنسبة 10%</w:t>
            </w:r>
          </w:p>
          <w:p w14:paraId="1687A178" w14:textId="77777777" w:rsidR="00BB3820" w:rsidRPr="00CB25CC"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i/>
                <w:iCs/>
                <w:sz w:val="28"/>
                <w:szCs w:val="28"/>
                <w:rtl/>
                <w:lang w:eastAsia="ar-EG" w:bidi="ar-EG"/>
              </w:rPr>
              <w:t>الهدف الأصلي:</w:t>
            </w:r>
            <w:r w:rsidRPr="00CB25CC">
              <w:rPr>
                <w:rFonts w:ascii="Arabic Typesetting" w:eastAsia="Arabic Typesetting" w:hAnsi="Arabic Typesetting" w:cs="Arabic Typesetting"/>
                <w:i/>
                <w:iCs/>
                <w:sz w:val="28"/>
                <w:szCs w:val="28"/>
                <w:rtl/>
                <w:lang w:eastAsia="ar-EG" w:bidi="ar-EG"/>
              </w:rPr>
              <w:br/>
            </w:r>
            <w:r w:rsidRPr="00CB25CC">
              <w:rPr>
                <w:rFonts w:ascii="Arabic Typesetting" w:eastAsia="Arabic Typesetting" w:hAnsi="Arabic Typesetting" w:cs="Arabic Typesetting"/>
                <w:color w:val="000000"/>
                <w:sz w:val="28"/>
                <w:szCs w:val="28"/>
                <w:rtl/>
                <w:lang w:eastAsia="ar-EG" w:bidi="ar-EG"/>
              </w:rPr>
              <w:t>يُحدَّد لاحقاً</w:t>
            </w:r>
          </w:p>
        </w:tc>
        <w:tc>
          <w:tcPr>
            <w:tcW w:w="1346" w:type="pct"/>
            <w:shd w:val="clear" w:color="auto" w:fill="FFFFFF"/>
            <w:tcMar>
              <w:top w:w="110" w:type="dxa"/>
              <w:left w:w="58" w:type="dxa"/>
              <w:right w:w="58" w:type="dxa"/>
            </w:tcMar>
          </w:tcPr>
          <w:p w14:paraId="6C4A4219" w14:textId="77777777" w:rsidR="00BB3820" w:rsidRPr="00CB25CC" w:rsidRDefault="00BB3820"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CB25CC">
              <w:rPr>
                <w:rFonts w:ascii="Arabic Typesetting" w:eastAsia="Arabic Typesetting" w:hAnsi="Arabic Typesetting" w:cs="Arabic Typesetting"/>
                <w:color w:val="000000"/>
                <w:sz w:val="28"/>
                <w:szCs w:val="28"/>
                <w:rtl/>
                <w:lang w:eastAsia="ar-EG" w:bidi="ar-EG"/>
              </w:rPr>
              <w:t>التقرير العالمي للملكية الفكرية منشور ثنائي، ويُتوقع صدور النسخة المقبلة في أواخر عام 2017</w:t>
            </w:r>
          </w:p>
        </w:tc>
        <w:tc>
          <w:tcPr>
            <w:tcW w:w="461" w:type="pct"/>
            <w:shd w:val="clear" w:color="auto" w:fill="auto"/>
            <w:tcMar>
              <w:top w:w="110" w:type="dxa"/>
              <w:left w:w="58" w:type="dxa"/>
              <w:right w:w="58" w:type="dxa"/>
            </w:tcMar>
          </w:tcPr>
          <w:p w14:paraId="77D69A30" w14:textId="77777777" w:rsidR="00BB3820" w:rsidRPr="00CB25CC" w:rsidRDefault="00BB3820" w:rsidP="0031289D">
            <w:pPr>
              <w:keepNext/>
              <w:bidi/>
              <w:spacing w:after="120" w:line="280" w:lineRule="exact"/>
              <w:jc w:val="center"/>
              <w:rPr>
                <w:rFonts w:ascii="Arabic Typesetting" w:eastAsia="Arabic Typesetting" w:hAnsi="Arabic Typesetting" w:cs="Arabic Typesetting"/>
                <w:b/>
                <w:color w:val="0070C0"/>
                <w:sz w:val="28"/>
                <w:szCs w:val="28"/>
                <w:lang w:eastAsia="ar-EG" w:bidi="ar-EG"/>
              </w:rPr>
            </w:pPr>
            <w:r w:rsidRPr="00CB25CC">
              <w:rPr>
                <w:rFonts w:ascii="Arabic Typesetting" w:eastAsia="Arabic Typesetting" w:hAnsi="Arabic Typesetting" w:cs="Arabic Typesetting"/>
                <w:b/>
                <w:bCs/>
                <w:color w:val="0070C0"/>
                <w:sz w:val="28"/>
                <w:szCs w:val="28"/>
                <w:rtl/>
                <w:lang w:eastAsia="ar-EG" w:bidi="ar-EG"/>
              </w:rPr>
              <w:t>غير متاح في</w:t>
            </w:r>
            <w:r>
              <w:rPr>
                <w:rFonts w:ascii="Arabic Typesetting" w:eastAsia="Arabic Typesetting" w:hAnsi="Arabic Typesetting" w:cs="Arabic Typesetting" w:hint="cs"/>
                <w:b/>
                <w:bCs/>
                <w:color w:val="0070C0"/>
                <w:sz w:val="28"/>
                <w:szCs w:val="28"/>
                <w:rtl/>
                <w:lang w:eastAsia="ar-EG" w:bidi="ar-EG"/>
              </w:rPr>
              <w:t> </w:t>
            </w:r>
            <w:r w:rsidRPr="00CB25CC">
              <w:rPr>
                <w:rFonts w:ascii="Arabic Typesetting" w:eastAsia="Arabic Typesetting" w:hAnsi="Arabic Typesetting" w:cs="Arabic Typesetting"/>
                <w:b/>
                <w:bCs/>
                <w:color w:val="0070C0"/>
                <w:sz w:val="28"/>
                <w:szCs w:val="28"/>
                <w:rtl/>
                <w:lang w:eastAsia="ar-EG" w:bidi="ar-EG"/>
              </w:rPr>
              <w:t>2016</w:t>
            </w:r>
          </w:p>
        </w:tc>
      </w:tr>
    </w:tbl>
    <w:p w14:paraId="5A8843A3" w14:textId="77777777" w:rsidR="00BB3820" w:rsidRDefault="00BB3820" w:rsidP="0031289D">
      <w:pPr>
        <w:bidi/>
      </w:pPr>
    </w:p>
    <w:tbl>
      <w:tblPr>
        <w:tblStyle w:val="TableGrid"/>
        <w:bidiVisual/>
        <w:tblW w:w="0" w:type="auto"/>
        <w:tblLook w:val="04A0" w:firstRow="1" w:lastRow="0" w:firstColumn="1" w:lastColumn="0" w:noHBand="0" w:noVBand="1"/>
      </w:tblPr>
      <w:tblGrid>
        <w:gridCol w:w="9571"/>
      </w:tblGrid>
      <w:tr w:rsidR="00BB3820" w14:paraId="305A19ED" w14:textId="77777777" w:rsidTr="00BB3820">
        <w:tc>
          <w:tcPr>
            <w:tcW w:w="9571" w:type="dxa"/>
            <w:tcBorders>
              <w:top w:val="nil"/>
              <w:left w:val="nil"/>
              <w:bottom w:val="nil"/>
              <w:right w:val="nil"/>
            </w:tcBorders>
            <w:shd w:val="clear" w:color="auto" w:fill="C6D9F1"/>
            <w:vAlign w:val="center"/>
          </w:tcPr>
          <w:p w14:paraId="3897BDD3" w14:textId="77777777" w:rsidR="00BB3820" w:rsidRPr="00A2672B" w:rsidRDefault="00BB3820"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16</w:t>
            </w:r>
          </w:p>
        </w:tc>
      </w:tr>
    </w:tbl>
    <w:p w14:paraId="0BA15D83" w14:textId="77777777" w:rsidR="00BB3820" w:rsidRPr="00FE3908" w:rsidRDefault="00BB3820"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488D17D9" w14:textId="77777777" w:rsidR="00BB3820" w:rsidRDefault="00BB3820"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B3820" w:rsidRPr="00211D55" w14:paraId="717E7561"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67D8AE94"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7EAE604B"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02B1191B" w14:textId="77777777" w:rsidR="00BB3820" w:rsidRPr="00A2672B" w:rsidRDefault="00BB3820"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5F1CDE06"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B3820" w:rsidRPr="00211D55" w14:paraId="6029F07D" w14:textId="77777777" w:rsidTr="00BB3820">
        <w:trPr>
          <w:trHeight w:val="55"/>
        </w:trPr>
        <w:tc>
          <w:tcPr>
            <w:tcW w:w="413" w:type="pct"/>
            <w:shd w:val="clear" w:color="auto" w:fill="auto"/>
            <w:noWrap/>
            <w:tcMar>
              <w:top w:w="15" w:type="dxa"/>
              <w:left w:w="15" w:type="dxa"/>
              <w:bottom w:w="0" w:type="dxa"/>
              <w:right w:w="15" w:type="dxa"/>
            </w:tcMar>
            <w:vAlign w:val="center"/>
          </w:tcPr>
          <w:p w14:paraId="1B69FBFB" w14:textId="77777777" w:rsidR="00BB3820" w:rsidRPr="00211D55" w:rsidRDefault="00BB3820" w:rsidP="0031289D">
            <w:pPr>
              <w:bidi/>
              <w:spacing w:before="120" w:after="120"/>
              <w:rPr>
                <w:rFonts w:ascii="Arabic Typesetting" w:hAnsi="Arabic Typesetting" w:cs="Arabic Typesetting"/>
                <w:sz w:val="28"/>
                <w:szCs w:val="28"/>
              </w:rPr>
            </w:pPr>
            <w:r w:rsidRPr="00CB25CC">
              <w:rPr>
                <w:rFonts w:ascii="Arabic Typesetting" w:hAnsi="Arabic Typesetting" w:cs="Arabic Typesetting"/>
                <w:sz w:val="28"/>
                <w:szCs w:val="28"/>
                <w:rtl/>
              </w:rPr>
              <w:t>ه1.5</w:t>
            </w:r>
          </w:p>
        </w:tc>
        <w:tc>
          <w:tcPr>
            <w:tcW w:w="2340" w:type="pct"/>
            <w:shd w:val="clear" w:color="auto" w:fill="auto"/>
            <w:tcMar>
              <w:top w:w="15" w:type="dxa"/>
              <w:left w:w="15" w:type="dxa"/>
              <w:bottom w:w="0" w:type="dxa"/>
              <w:right w:w="15" w:type="dxa"/>
            </w:tcMar>
            <w:vAlign w:val="center"/>
          </w:tcPr>
          <w:p w14:paraId="4BF49BD5" w14:textId="77777777" w:rsidR="00BB3820" w:rsidRPr="00211D55" w:rsidRDefault="00BB3820" w:rsidP="0031289D">
            <w:pPr>
              <w:bidi/>
              <w:spacing w:before="120" w:after="120"/>
              <w:rPr>
                <w:rFonts w:ascii="Arabic Typesetting" w:hAnsi="Arabic Typesetting" w:cs="Arabic Typesetting"/>
                <w:sz w:val="28"/>
                <w:szCs w:val="28"/>
              </w:rPr>
            </w:pPr>
            <w:r w:rsidRPr="00CB25CC">
              <w:rPr>
                <w:rFonts w:ascii="Arabic Typesetting" w:hAnsi="Arabic Typesetting" w:cs="Arabic Typesetting"/>
                <w:sz w:val="28"/>
                <w:szCs w:val="28"/>
                <w:rtl/>
              </w:rPr>
              <w:t>استخدام معلومات الويبو الإحصائية بشأن الملكية الفكرية على نطاق أوسع ونحو أفضل</w:t>
            </w:r>
          </w:p>
        </w:tc>
        <w:tc>
          <w:tcPr>
            <w:tcW w:w="749" w:type="pct"/>
            <w:shd w:val="clear" w:color="auto" w:fill="auto"/>
            <w:tcMar>
              <w:top w:w="15" w:type="dxa"/>
              <w:left w:w="15" w:type="dxa"/>
              <w:bottom w:w="0" w:type="dxa"/>
              <w:right w:w="15" w:type="dxa"/>
            </w:tcMar>
            <w:vAlign w:val="center"/>
          </w:tcPr>
          <w:p w14:paraId="020B1772"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2 677</w:t>
            </w:r>
          </w:p>
        </w:tc>
        <w:tc>
          <w:tcPr>
            <w:tcW w:w="749" w:type="pct"/>
            <w:shd w:val="clear" w:color="auto" w:fill="auto"/>
            <w:tcMar>
              <w:top w:w="15" w:type="dxa"/>
              <w:left w:w="15" w:type="dxa"/>
              <w:bottom w:w="0" w:type="dxa"/>
              <w:right w:w="15" w:type="dxa"/>
            </w:tcMar>
            <w:vAlign w:val="center"/>
          </w:tcPr>
          <w:p w14:paraId="7E8F1473"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2 447</w:t>
            </w:r>
          </w:p>
        </w:tc>
        <w:tc>
          <w:tcPr>
            <w:tcW w:w="749" w:type="pct"/>
            <w:shd w:val="clear" w:color="auto" w:fill="auto"/>
            <w:noWrap/>
            <w:tcMar>
              <w:top w:w="15" w:type="dxa"/>
              <w:left w:w="15" w:type="dxa"/>
              <w:bottom w:w="0" w:type="dxa"/>
              <w:right w:w="15" w:type="dxa"/>
            </w:tcMar>
            <w:vAlign w:val="center"/>
          </w:tcPr>
          <w:p w14:paraId="52108E25"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1 172</w:t>
            </w:r>
          </w:p>
        </w:tc>
      </w:tr>
      <w:tr w:rsidR="00BB3820" w:rsidRPr="00211D55" w14:paraId="5CD2FC09" w14:textId="77777777" w:rsidTr="00BB3820">
        <w:trPr>
          <w:trHeight w:val="55"/>
        </w:trPr>
        <w:tc>
          <w:tcPr>
            <w:tcW w:w="413" w:type="pct"/>
            <w:shd w:val="clear" w:color="auto" w:fill="auto"/>
            <w:noWrap/>
            <w:tcMar>
              <w:top w:w="15" w:type="dxa"/>
              <w:left w:w="15" w:type="dxa"/>
              <w:bottom w:w="0" w:type="dxa"/>
              <w:right w:w="15" w:type="dxa"/>
            </w:tcMar>
            <w:vAlign w:val="center"/>
          </w:tcPr>
          <w:p w14:paraId="43FBDD73" w14:textId="77777777" w:rsidR="00BB3820" w:rsidRPr="00211D55" w:rsidRDefault="00BB3820" w:rsidP="0031289D">
            <w:pPr>
              <w:bidi/>
              <w:spacing w:before="120" w:after="120"/>
              <w:rPr>
                <w:rFonts w:ascii="Arabic Typesetting" w:hAnsi="Arabic Typesetting" w:cs="Arabic Typesetting"/>
                <w:sz w:val="28"/>
                <w:szCs w:val="28"/>
              </w:rPr>
            </w:pPr>
            <w:r w:rsidRPr="00CB25CC">
              <w:rPr>
                <w:rFonts w:ascii="Arabic Typesetting" w:hAnsi="Arabic Typesetting" w:cs="Arabic Typesetting"/>
                <w:sz w:val="28"/>
                <w:szCs w:val="28"/>
                <w:rtl/>
              </w:rPr>
              <w:t>ه2.5</w:t>
            </w:r>
          </w:p>
        </w:tc>
        <w:tc>
          <w:tcPr>
            <w:tcW w:w="2340" w:type="pct"/>
            <w:shd w:val="clear" w:color="auto" w:fill="auto"/>
            <w:tcMar>
              <w:top w:w="15" w:type="dxa"/>
              <w:left w:w="15" w:type="dxa"/>
              <w:bottom w:w="0" w:type="dxa"/>
              <w:right w:w="15" w:type="dxa"/>
            </w:tcMar>
            <w:vAlign w:val="center"/>
          </w:tcPr>
          <w:p w14:paraId="306B7027" w14:textId="77777777" w:rsidR="00BB3820" w:rsidRPr="00211D55" w:rsidRDefault="00BB3820" w:rsidP="0031289D">
            <w:pPr>
              <w:bidi/>
              <w:spacing w:before="120" w:after="120"/>
              <w:rPr>
                <w:rFonts w:ascii="Arabic Typesetting" w:hAnsi="Arabic Typesetting" w:cs="Arabic Typesetting"/>
                <w:sz w:val="28"/>
                <w:szCs w:val="28"/>
              </w:rPr>
            </w:pPr>
            <w:r w:rsidRPr="00CB25CC">
              <w:rPr>
                <w:rFonts w:ascii="Arabic Typesetting" w:hAnsi="Arabic Typesetting" w:cs="Arabic Typesetting"/>
                <w:sz w:val="28"/>
                <w:szCs w:val="28"/>
                <w:rtl/>
              </w:rPr>
              <w:t>استخدام تحليلات الويبو الاقتصادية على نطاق أوسع ونحو أفضل في صياغة السياسات العامة</w:t>
            </w:r>
          </w:p>
        </w:tc>
        <w:tc>
          <w:tcPr>
            <w:tcW w:w="749" w:type="pct"/>
            <w:shd w:val="clear" w:color="auto" w:fill="auto"/>
            <w:tcMar>
              <w:top w:w="15" w:type="dxa"/>
              <w:left w:w="15" w:type="dxa"/>
              <w:bottom w:w="0" w:type="dxa"/>
              <w:right w:w="15" w:type="dxa"/>
            </w:tcMar>
            <w:vAlign w:val="center"/>
          </w:tcPr>
          <w:p w14:paraId="24BA46CF"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3 395</w:t>
            </w:r>
          </w:p>
        </w:tc>
        <w:tc>
          <w:tcPr>
            <w:tcW w:w="749" w:type="pct"/>
            <w:shd w:val="clear" w:color="auto" w:fill="auto"/>
            <w:tcMar>
              <w:top w:w="15" w:type="dxa"/>
              <w:left w:w="15" w:type="dxa"/>
              <w:bottom w:w="0" w:type="dxa"/>
              <w:right w:w="15" w:type="dxa"/>
            </w:tcMar>
            <w:vAlign w:val="center"/>
          </w:tcPr>
          <w:p w14:paraId="193B4759"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3 874</w:t>
            </w:r>
          </w:p>
        </w:tc>
        <w:tc>
          <w:tcPr>
            <w:tcW w:w="749" w:type="pct"/>
            <w:shd w:val="clear" w:color="auto" w:fill="auto"/>
            <w:noWrap/>
            <w:tcMar>
              <w:top w:w="15" w:type="dxa"/>
              <w:left w:w="15" w:type="dxa"/>
              <w:bottom w:w="0" w:type="dxa"/>
              <w:right w:w="15" w:type="dxa"/>
            </w:tcMar>
            <w:vAlign w:val="center"/>
          </w:tcPr>
          <w:p w14:paraId="122CD423"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1 569</w:t>
            </w:r>
          </w:p>
        </w:tc>
      </w:tr>
      <w:tr w:rsidR="00BB3820" w:rsidRPr="00211D55" w14:paraId="183C6F15"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251BBD63" w14:textId="77777777" w:rsidR="00BB3820" w:rsidRPr="00211D55" w:rsidRDefault="00BB3820"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343D49D2" w14:textId="77777777" w:rsidR="00BB3820" w:rsidRPr="00D41845" w:rsidRDefault="00BB3820" w:rsidP="0031289D">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2E45C260"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6 072</w:t>
            </w:r>
          </w:p>
        </w:tc>
        <w:tc>
          <w:tcPr>
            <w:tcW w:w="749" w:type="pct"/>
            <w:shd w:val="clear" w:color="auto" w:fill="C6D9F1"/>
            <w:noWrap/>
            <w:tcMar>
              <w:top w:w="15" w:type="dxa"/>
              <w:left w:w="15" w:type="dxa"/>
              <w:bottom w:w="0" w:type="dxa"/>
              <w:right w:w="15" w:type="dxa"/>
            </w:tcMar>
            <w:vAlign w:val="center"/>
          </w:tcPr>
          <w:p w14:paraId="453EA27C"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6 322</w:t>
            </w:r>
          </w:p>
        </w:tc>
        <w:tc>
          <w:tcPr>
            <w:tcW w:w="749" w:type="pct"/>
            <w:shd w:val="clear" w:color="auto" w:fill="C6D9F1"/>
            <w:noWrap/>
            <w:tcMar>
              <w:top w:w="15" w:type="dxa"/>
              <w:left w:w="15" w:type="dxa"/>
              <w:bottom w:w="0" w:type="dxa"/>
              <w:right w:w="15" w:type="dxa"/>
            </w:tcMar>
            <w:vAlign w:val="center"/>
          </w:tcPr>
          <w:p w14:paraId="0EEC3F13"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2 741</w:t>
            </w:r>
          </w:p>
        </w:tc>
      </w:tr>
      <w:tr w:rsidR="00BB3820" w:rsidRPr="00211D55" w14:paraId="40C7F579"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617E2E6D" w14:textId="77777777" w:rsidR="00BB3820" w:rsidRPr="00A2672B" w:rsidRDefault="00BB3820"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5220EFAF" w14:textId="77777777" w:rsidR="00BB3820" w:rsidRPr="00252762" w:rsidRDefault="00BB3820"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5497E66A" w14:textId="77777777" w:rsidR="00BB3820" w:rsidRPr="00DF1D8A" w:rsidRDefault="00BB3820"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BB3820" w:rsidRPr="00211D55" w14:paraId="06F0A89A" w14:textId="77777777" w:rsidTr="00BB3820">
        <w:trPr>
          <w:trHeight w:val="645"/>
        </w:trPr>
        <w:tc>
          <w:tcPr>
            <w:tcW w:w="1118" w:type="pct"/>
            <w:shd w:val="clear" w:color="auto" w:fill="C6D9F1"/>
            <w:noWrap/>
            <w:vAlign w:val="center"/>
            <w:hideMark/>
          </w:tcPr>
          <w:p w14:paraId="626F422E" w14:textId="77777777" w:rsidR="00BB3820" w:rsidRPr="00211D55" w:rsidRDefault="00BB3820"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614AB819" w14:textId="77777777" w:rsidR="00BB3820" w:rsidRPr="00211D55" w:rsidRDefault="00BB3820"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0A858BAD" w14:textId="77777777" w:rsidR="00BB3820" w:rsidRPr="00211D55" w:rsidRDefault="00BB3820"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404C113D" w14:textId="77777777" w:rsidR="00BB3820" w:rsidRPr="00211D55" w:rsidRDefault="00BB3820"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413E1D23" w14:textId="77777777" w:rsidR="00BB3820" w:rsidRPr="00211D55" w:rsidRDefault="00BB3820"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B3820" w:rsidRPr="00211D55" w14:paraId="24FD9D81" w14:textId="77777777" w:rsidTr="00BB3820">
        <w:trPr>
          <w:trHeight w:val="70"/>
        </w:trPr>
        <w:tc>
          <w:tcPr>
            <w:tcW w:w="1118" w:type="pct"/>
            <w:shd w:val="clear" w:color="auto" w:fill="auto"/>
            <w:noWrap/>
            <w:vAlign w:val="center"/>
            <w:hideMark/>
          </w:tcPr>
          <w:p w14:paraId="5980CA1A" w14:textId="77777777" w:rsidR="00BB3820" w:rsidRPr="00211D55" w:rsidRDefault="00BB3820"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3CD61D17" w14:textId="77777777" w:rsidR="00BB3820" w:rsidRPr="00280D1A" w:rsidRDefault="00BB3820"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4 997 </w:t>
            </w:r>
          </w:p>
        </w:tc>
        <w:tc>
          <w:tcPr>
            <w:tcW w:w="971" w:type="pct"/>
            <w:shd w:val="clear" w:color="auto" w:fill="auto"/>
            <w:vAlign w:val="center"/>
          </w:tcPr>
          <w:p w14:paraId="7D26C66E" w14:textId="77777777" w:rsidR="00BB3820" w:rsidRPr="00280D1A" w:rsidRDefault="00BB3820"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5 021 </w:t>
            </w:r>
          </w:p>
        </w:tc>
        <w:tc>
          <w:tcPr>
            <w:tcW w:w="970" w:type="pct"/>
            <w:shd w:val="clear" w:color="auto" w:fill="auto"/>
            <w:vAlign w:val="center"/>
          </w:tcPr>
          <w:p w14:paraId="53976A50" w14:textId="77777777" w:rsidR="00BB3820" w:rsidRPr="00280D1A" w:rsidRDefault="00BB3820"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2 326 </w:t>
            </w:r>
          </w:p>
        </w:tc>
        <w:tc>
          <w:tcPr>
            <w:tcW w:w="970" w:type="pct"/>
            <w:shd w:val="clear" w:color="auto" w:fill="auto"/>
            <w:vAlign w:val="center"/>
          </w:tcPr>
          <w:p w14:paraId="72D65EBE" w14:textId="77777777" w:rsidR="00BB3820" w:rsidRPr="00280D1A" w:rsidRDefault="00BB3820"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%46</w:t>
            </w:r>
          </w:p>
        </w:tc>
      </w:tr>
      <w:tr w:rsidR="00BB3820" w:rsidRPr="00211D55" w14:paraId="3C3B715C" w14:textId="77777777" w:rsidTr="00BB3820">
        <w:trPr>
          <w:trHeight w:val="70"/>
        </w:trPr>
        <w:tc>
          <w:tcPr>
            <w:tcW w:w="1118" w:type="pct"/>
            <w:shd w:val="clear" w:color="auto" w:fill="auto"/>
            <w:noWrap/>
            <w:vAlign w:val="center"/>
            <w:hideMark/>
          </w:tcPr>
          <w:p w14:paraId="309028B8" w14:textId="77777777" w:rsidR="00BB3820" w:rsidRPr="00211D55" w:rsidRDefault="00BB3820"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2576DFEE" w14:textId="77777777" w:rsidR="00BB3820" w:rsidRPr="00280D1A" w:rsidRDefault="00BB3820"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1 075 </w:t>
            </w:r>
          </w:p>
        </w:tc>
        <w:tc>
          <w:tcPr>
            <w:tcW w:w="971" w:type="pct"/>
            <w:shd w:val="clear" w:color="auto" w:fill="auto"/>
            <w:vAlign w:val="center"/>
          </w:tcPr>
          <w:p w14:paraId="5C797311" w14:textId="77777777" w:rsidR="00BB3820" w:rsidRPr="00280D1A" w:rsidRDefault="00BB3820"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1 300 </w:t>
            </w:r>
          </w:p>
        </w:tc>
        <w:tc>
          <w:tcPr>
            <w:tcW w:w="970" w:type="pct"/>
            <w:shd w:val="clear" w:color="auto" w:fill="auto"/>
            <w:vAlign w:val="center"/>
          </w:tcPr>
          <w:p w14:paraId="3A404990" w14:textId="77777777" w:rsidR="00BB3820" w:rsidRPr="00280D1A" w:rsidRDefault="00BB3820"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415 </w:t>
            </w:r>
          </w:p>
        </w:tc>
        <w:tc>
          <w:tcPr>
            <w:tcW w:w="970" w:type="pct"/>
            <w:shd w:val="clear" w:color="auto" w:fill="auto"/>
            <w:vAlign w:val="center"/>
          </w:tcPr>
          <w:p w14:paraId="4F52F2DA" w14:textId="77777777" w:rsidR="00BB3820" w:rsidRPr="00280D1A" w:rsidRDefault="00BB3820" w:rsidP="0031289D">
            <w:pPr>
              <w:keepNext/>
              <w:keepLines/>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%32</w:t>
            </w:r>
          </w:p>
        </w:tc>
      </w:tr>
      <w:tr w:rsidR="00BB3820" w:rsidRPr="00211D55" w14:paraId="1B0874EA" w14:textId="77777777" w:rsidTr="00AF6433">
        <w:trPr>
          <w:trHeight w:val="70"/>
        </w:trPr>
        <w:tc>
          <w:tcPr>
            <w:tcW w:w="1118" w:type="pct"/>
            <w:shd w:val="clear" w:color="auto" w:fill="C6D9F1"/>
            <w:noWrap/>
            <w:vAlign w:val="center"/>
            <w:hideMark/>
          </w:tcPr>
          <w:p w14:paraId="4F7899EF" w14:textId="77777777" w:rsidR="00BB3820" w:rsidRPr="00211D55" w:rsidRDefault="00BB3820"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60B6328D" w14:textId="77777777" w:rsidR="00BB3820" w:rsidRPr="00280D1A" w:rsidRDefault="00BB3820"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6 072 </w:t>
            </w:r>
          </w:p>
        </w:tc>
        <w:tc>
          <w:tcPr>
            <w:tcW w:w="971" w:type="pct"/>
            <w:shd w:val="clear" w:color="auto" w:fill="C6D9F1"/>
            <w:vAlign w:val="center"/>
          </w:tcPr>
          <w:p w14:paraId="48BE2510" w14:textId="77777777" w:rsidR="00BB3820" w:rsidRPr="00280D1A" w:rsidRDefault="00BB3820"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6 322 </w:t>
            </w:r>
          </w:p>
        </w:tc>
        <w:tc>
          <w:tcPr>
            <w:tcW w:w="970" w:type="pct"/>
            <w:shd w:val="clear" w:color="auto" w:fill="C6D9F1"/>
            <w:vAlign w:val="center"/>
          </w:tcPr>
          <w:p w14:paraId="41A0A87C" w14:textId="77777777" w:rsidR="00BB3820" w:rsidRPr="00280D1A" w:rsidRDefault="00BB3820"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2 741 </w:t>
            </w:r>
          </w:p>
        </w:tc>
        <w:tc>
          <w:tcPr>
            <w:tcW w:w="970" w:type="pct"/>
            <w:shd w:val="clear" w:color="auto" w:fill="C6D9F1"/>
            <w:vAlign w:val="center"/>
          </w:tcPr>
          <w:p w14:paraId="4B6C7670" w14:textId="77777777" w:rsidR="00BB3820" w:rsidRPr="00280D1A" w:rsidRDefault="00BB3820" w:rsidP="0031289D">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%43</w:t>
            </w:r>
          </w:p>
        </w:tc>
      </w:tr>
      <w:tr w:rsidR="00BB3820" w:rsidRPr="00211D55" w14:paraId="45D1A6CF" w14:textId="77777777" w:rsidTr="00BB3820">
        <w:trPr>
          <w:trHeight w:val="540"/>
        </w:trPr>
        <w:tc>
          <w:tcPr>
            <w:tcW w:w="5000" w:type="pct"/>
            <w:gridSpan w:val="5"/>
            <w:shd w:val="clear" w:color="auto" w:fill="auto"/>
            <w:noWrap/>
            <w:vAlign w:val="center"/>
          </w:tcPr>
          <w:p w14:paraId="2E7A00C3" w14:textId="77777777" w:rsidR="00BB3820" w:rsidRDefault="00BB3820"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197C04D2" w14:textId="77777777" w:rsidR="00BB3820" w:rsidRPr="00D41845" w:rsidRDefault="00BB3820"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16F927B9" w14:textId="77777777" w:rsidR="00BB3820" w:rsidRPr="00706F20" w:rsidRDefault="00BB3820"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6F75937C" w14:textId="77777777" w:rsidR="00BB3820" w:rsidRPr="00CB25CC" w:rsidRDefault="00BB3820" w:rsidP="00D94CDB">
      <w:pPr>
        <w:keepNext/>
        <w:numPr>
          <w:ilvl w:val="1"/>
          <w:numId w:val="85"/>
        </w:numPr>
        <w:bidi/>
        <w:spacing w:after="240" w:line="360" w:lineRule="exact"/>
        <w:rPr>
          <w:rFonts w:ascii="Arabic Typesetting" w:hAnsi="Arabic Typesetting" w:cs="Arabic Typesetting"/>
          <w:sz w:val="34"/>
          <w:szCs w:val="34"/>
          <w:rtl/>
        </w:rPr>
      </w:pPr>
      <w:r w:rsidRPr="00CB25CC">
        <w:rPr>
          <w:rFonts w:ascii="Arabic Typesetting" w:hAnsi="Arabic Typesetting" w:cs="Arabic Typesetting"/>
          <w:sz w:val="34"/>
          <w:szCs w:val="34"/>
          <w:rtl/>
        </w:rPr>
        <w:t>تُعزى الزيادة في موارد الموظفين مقارنة بالميزانية المعتمدة 2016/17 أساساً إلى إعادة تصنيف منصب واحد</w:t>
      </w:r>
      <w:r w:rsidRPr="00CB25CC">
        <w:rPr>
          <w:rFonts w:ascii="Arabic Typesetting" w:hAnsi="Arabic Typesetting" w:cs="Arabic Typesetting"/>
          <w:sz w:val="34"/>
          <w:szCs w:val="34"/>
        </w:rPr>
        <w:t>.</w:t>
      </w:r>
    </w:p>
    <w:p w14:paraId="0CA7ED7E" w14:textId="7D816E29" w:rsidR="00BB3820" w:rsidRPr="00CB25CC" w:rsidRDefault="00BB3820" w:rsidP="00D94CDB">
      <w:pPr>
        <w:keepNext/>
        <w:numPr>
          <w:ilvl w:val="1"/>
          <w:numId w:val="85"/>
        </w:numPr>
        <w:bidi/>
        <w:spacing w:after="240" w:line="360" w:lineRule="exact"/>
        <w:ind w:left="0" w:firstLine="0"/>
        <w:rPr>
          <w:rFonts w:ascii="Arabic Typesetting" w:hAnsi="Arabic Typesetting" w:cs="Arabic Typesetting"/>
          <w:sz w:val="34"/>
          <w:szCs w:val="34"/>
          <w:rtl/>
        </w:rPr>
      </w:pPr>
      <w:r w:rsidRPr="00CB25CC">
        <w:rPr>
          <w:rFonts w:ascii="Arabic Typesetting" w:hAnsi="Arabic Typesetting" w:cs="Arabic Typesetting"/>
          <w:sz w:val="34"/>
          <w:szCs w:val="34"/>
          <w:rtl/>
        </w:rPr>
        <w:t xml:space="preserve">وتُعزى الزيادة في خلاف موارد الموظفين المبيَّنة في النتيجة المرتقبة ه2.5 (استخدام تحليلات الويبو الاقتصادية على نطاق أوسع ونحو أفضل) إلى تخصيص الرصيد </w:t>
      </w:r>
      <w:r w:rsidR="00257704" w:rsidRPr="00CB25CC">
        <w:rPr>
          <w:rFonts w:ascii="Arabic Typesetting" w:hAnsi="Arabic Typesetting" w:cs="Arabic Typesetting" w:hint="cs"/>
          <w:sz w:val="34"/>
          <w:szCs w:val="34"/>
          <w:rtl/>
        </w:rPr>
        <w:t>المتبقي</w:t>
      </w:r>
      <w:r w:rsidRPr="00CB25CC">
        <w:rPr>
          <w:rFonts w:ascii="Arabic Typesetting" w:hAnsi="Arabic Typesetting" w:cs="Arabic Typesetting"/>
          <w:sz w:val="34"/>
          <w:szCs w:val="34"/>
          <w:rtl/>
        </w:rPr>
        <w:t xml:space="preserve"> من ميزانية 2015 والمرتبط بمشروع أجندة التنمية بشأن الملكية الفكرية والتنمية الاجتماعية الاقتصادية (المرحلة الثانية) وضرورة تخصيص موارد إضافية لما يلي</w:t>
      </w:r>
      <w:r>
        <w:rPr>
          <w:rFonts w:ascii="Arabic Typesetting" w:hAnsi="Arabic Typesetting" w:cs="Arabic Typesetting"/>
          <w:sz w:val="34"/>
          <w:szCs w:val="34"/>
          <w:rtl/>
        </w:rPr>
        <w:t>:</w:t>
      </w:r>
      <w:r>
        <w:rPr>
          <w:rFonts w:ascii="Arabic Typesetting" w:hAnsi="Arabic Typesetting" w:cs="Arabic Typesetting" w:hint="cs"/>
          <w:sz w:val="34"/>
          <w:szCs w:val="34"/>
          <w:rtl/>
        </w:rPr>
        <w:t xml:space="preserve"> </w:t>
      </w:r>
      <w:r w:rsidRPr="00CB25CC">
        <w:rPr>
          <w:rFonts w:ascii="Arabic Typesetting" w:hAnsi="Arabic Typesetting" w:cs="Arabic Typesetting"/>
          <w:sz w:val="34"/>
          <w:szCs w:val="34"/>
          <w:rtl/>
        </w:rPr>
        <w:t>"1" استحداث مؤشر الابتكار العالمي؛ "2"</w:t>
      </w:r>
      <w:r>
        <w:rPr>
          <w:rFonts w:ascii="Arabic Typesetting" w:hAnsi="Arabic Typesetting" w:cs="Arabic Typesetting" w:hint="cs"/>
          <w:sz w:val="34"/>
          <w:szCs w:val="34"/>
          <w:rtl/>
        </w:rPr>
        <w:t> </w:t>
      </w:r>
      <w:r w:rsidRPr="00CB25CC">
        <w:rPr>
          <w:rFonts w:ascii="Arabic Typesetting" w:hAnsi="Arabic Typesetting" w:cs="Arabic Typesetting"/>
          <w:sz w:val="34"/>
          <w:szCs w:val="34"/>
          <w:rtl/>
        </w:rPr>
        <w:t>ومشاريع بحث محددة تخص التقرير العالمي للملكية الفكرية 2017؛ "3" وبحث متعلق بالاقتصاد الإبداعي</w:t>
      </w:r>
      <w:r>
        <w:rPr>
          <w:rFonts w:ascii="Arabic Typesetting" w:hAnsi="Arabic Typesetting" w:cs="Arabic Typesetting" w:hint="cs"/>
          <w:sz w:val="34"/>
          <w:szCs w:val="34"/>
          <w:rtl/>
        </w:rPr>
        <w:t>.</w:t>
      </w:r>
    </w:p>
    <w:p w14:paraId="214EAE8D" w14:textId="77777777" w:rsidR="00BB3820" w:rsidRDefault="00BB3820" w:rsidP="00D94CDB">
      <w:pPr>
        <w:keepNext/>
        <w:numPr>
          <w:ilvl w:val="1"/>
          <w:numId w:val="85"/>
        </w:numPr>
        <w:bidi/>
        <w:spacing w:after="240" w:line="360" w:lineRule="exact"/>
        <w:ind w:left="0" w:firstLine="0"/>
        <w:rPr>
          <w:rFonts w:ascii="Arabic Typesetting" w:hAnsi="Arabic Typesetting" w:cs="Arabic Typesetting"/>
          <w:sz w:val="34"/>
          <w:szCs w:val="34"/>
        </w:rPr>
      </w:pPr>
      <w:r w:rsidRPr="00CB25CC">
        <w:rPr>
          <w:rFonts w:ascii="Arabic Typesetting" w:hAnsi="Arabic Typesetting" w:cs="Arabic Typesetting"/>
          <w:sz w:val="34"/>
          <w:szCs w:val="34"/>
          <w:rtl/>
        </w:rPr>
        <w:t>ويُعزى الانخفاض في الموارد المخصصة للنتيجة المرتقبة ه1.5 (استخدام تحليلات الويبو الاقتصادية على نطاق أوسع ونحو</w:t>
      </w:r>
      <w:r>
        <w:rPr>
          <w:rFonts w:ascii="Arabic Typesetting" w:hAnsi="Arabic Typesetting" w:cs="Arabic Typesetting" w:hint="cs"/>
          <w:sz w:val="34"/>
          <w:szCs w:val="34"/>
          <w:rtl/>
        </w:rPr>
        <w:t> </w:t>
      </w:r>
      <w:r w:rsidRPr="00CB25CC">
        <w:rPr>
          <w:rFonts w:ascii="Arabic Typesetting" w:hAnsi="Arabic Typesetting" w:cs="Arabic Typesetting"/>
          <w:sz w:val="34"/>
          <w:szCs w:val="34"/>
          <w:rtl/>
        </w:rPr>
        <w:t>أفضل) تحويل موارد لاستهلال بحث جديد عن السياسات العامة والأداء في الاقتصاد الإبداعي في إطار النتيجة المرتقبة</w:t>
      </w:r>
      <w:r>
        <w:rPr>
          <w:rFonts w:ascii="Arabic Typesetting" w:hAnsi="Arabic Typesetting" w:cs="Arabic Typesetting" w:hint="cs"/>
          <w:sz w:val="34"/>
          <w:szCs w:val="34"/>
          <w:rtl/>
        </w:rPr>
        <w:t> </w:t>
      </w:r>
      <w:r w:rsidRPr="00CB25CC">
        <w:rPr>
          <w:rFonts w:ascii="Arabic Typesetting" w:hAnsi="Arabic Typesetting" w:cs="Arabic Typesetting"/>
          <w:sz w:val="34"/>
          <w:szCs w:val="34"/>
          <w:rtl/>
        </w:rPr>
        <w:t>ه2.5 (استخدام تحليلات الويبو الاقتصادية على نطاق أوسع ونحو أفضل).</w:t>
      </w:r>
    </w:p>
    <w:p w14:paraId="628B1E67" w14:textId="77777777" w:rsidR="00BB3820" w:rsidRPr="00706F20" w:rsidRDefault="00BB3820"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0E1A44B1" w14:textId="5E0CF417" w:rsidR="00BB3820" w:rsidRPr="00CB25CC" w:rsidRDefault="00BB3820" w:rsidP="00D94CDB">
      <w:pPr>
        <w:numPr>
          <w:ilvl w:val="1"/>
          <w:numId w:val="85"/>
        </w:numPr>
        <w:bidi/>
        <w:spacing w:after="240" w:line="360" w:lineRule="exact"/>
        <w:ind w:left="0" w:firstLine="0"/>
        <w:rPr>
          <w:rFonts w:ascii="Arabic Typesetting" w:hAnsi="Arabic Typesetting" w:cs="Arabic Typesetting"/>
          <w:sz w:val="34"/>
          <w:szCs w:val="34"/>
        </w:rPr>
      </w:pPr>
      <w:r w:rsidRPr="00CB25CC">
        <w:rPr>
          <w:rFonts w:ascii="Arabic Typesetting" w:hAnsi="Arabic Typesetting" w:cs="Arabic Typesetting"/>
          <w:sz w:val="34"/>
          <w:szCs w:val="34"/>
          <w:rtl/>
        </w:rPr>
        <w:t xml:space="preserve">تُعزى نسبة استخدام الميزانية المخصصة لخلاف موارد الموظفين والبالغة 32 بالمئة أساساً إلى </w:t>
      </w:r>
      <w:r w:rsidR="006A1A09">
        <w:rPr>
          <w:rFonts w:ascii="Arabic Typesetting" w:hAnsi="Arabic Typesetting" w:cs="Arabic Typesetting" w:hint="cs"/>
          <w:sz w:val="34"/>
          <w:szCs w:val="34"/>
          <w:rtl/>
        </w:rPr>
        <w:t>مواعيد سداد المستحقات المرتبطة بالتقرير العالمي للملكية الفكرية 2017 والدراسات المضطلع بها في إطار مشروع أجندة التنمية</w:t>
      </w:r>
      <w:r w:rsidRPr="00CB25CC">
        <w:rPr>
          <w:rFonts w:ascii="Arabic Typesetting" w:hAnsi="Arabic Typesetting" w:cs="Arabic Typesetting"/>
          <w:sz w:val="34"/>
          <w:szCs w:val="34"/>
          <w:rtl/>
        </w:rPr>
        <w:t>.</w:t>
      </w:r>
    </w:p>
    <w:p w14:paraId="27F8BF97" w14:textId="70B3AFE0" w:rsidR="00BB3820" w:rsidRDefault="00BB3820"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1AEEDBD3" w14:textId="23BC9F2C" w:rsidR="00390415" w:rsidRDefault="00390415" w:rsidP="00390415">
      <w:pPr>
        <w:pStyle w:val="Heading3"/>
        <w:pageBreakBefore w:val="0"/>
        <w:spacing w:after="240"/>
        <w:ind w:left="1134" w:hanging="1134"/>
        <w:jc w:val="center"/>
        <w:rPr>
          <w:rtl/>
          <w:lang w:bidi="ar-EG"/>
        </w:rPr>
      </w:pPr>
      <w:bookmarkStart w:id="39" w:name="_Toc482782766"/>
      <w:r>
        <w:rPr>
          <w:rtl/>
        </w:rPr>
        <w:lastRenderedPageBreak/>
        <w:t xml:space="preserve">الهدف الاستراتيجي </w:t>
      </w:r>
      <w:r>
        <w:rPr>
          <w:rFonts w:hint="cs"/>
          <w:rtl/>
          <w:lang w:bidi="ar-EG"/>
        </w:rPr>
        <w:t>السادس</w:t>
      </w:r>
      <w:bookmarkEnd w:id="39"/>
    </w:p>
    <w:p w14:paraId="732A8E67" w14:textId="51F611C7" w:rsidR="006E24D8" w:rsidRDefault="006E24D8" w:rsidP="006E24D8">
      <w:pPr>
        <w:pStyle w:val="NormalParaAR"/>
        <w:jc w:val="center"/>
        <w:rPr>
          <w:b/>
          <w:bCs/>
          <w:rtl/>
          <w:lang w:bidi="ar-EG"/>
        </w:rPr>
      </w:pPr>
      <w:r w:rsidRPr="006E24D8">
        <w:rPr>
          <w:b/>
          <w:bCs/>
          <w:rtl/>
          <w:lang w:bidi="ar-EG"/>
        </w:rPr>
        <w:t>التعاون الدولي على</w:t>
      </w:r>
      <w:r>
        <w:rPr>
          <w:rFonts w:hint="cs"/>
          <w:b/>
          <w:bCs/>
          <w:rtl/>
          <w:lang w:bidi="ar-EG"/>
        </w:rPr>
        <w:t xml:space="preserve"> </w:t>
      </w:r>
      <w:r w:rsidRPr="006E24D8">
        <w:rPr>
          <w:b/>
          <w:bCs/>
          <w:rtl/>
          <w:lang w:bidi="ar-EG"/>
        </w:rPr>
        <w:t>إذكاء الاحترام للملكية الفكرية</w:t>
      </w:r>
    </w:p>
    <w:p w14:paraId="71CF924D" w14:textId="77777777" w:rsidR="00390415" w:rsidRPr="00B54D74" w:rsidRDefault="00390415" w:rsidP="00390415">
      <w:pPr>
        <w:pStyle w:val="NormalParaAR"/>
        <w:jc w:val="center"/>
        <w:rPr>
          <w:b/>
          <w:bCs/>
          <w:rtl/>
        </w:rPr>
      </w:pPr>
      <w:r w:rsidRPr="00B54D74">
        <w:rPr>
          <w:b/>
          <w:bCs/>
          <w:rtl/>
        </w:rPr>
        <w:t>لوحة بيانات الأداء في منتصف المدة (</w:t>
      </w:r>
      <w:r>
        <w:rPr>
          <w:rFonts w:hint="cs"/>
          <w:b/>
          <w:bCs/>
          <w:rtl/>
        </w:rPr>
        <w:t>2016</w:t>
      </w:r>
      <w:r w:rsidRPr="00B54D74">
        <w:rPr>
          <w:b/>
          <w:bCs/>
          <w:rtl/>
        </w:rPr>
        <w:t>)</w:t>
      </w:r>
    </w:p>
    <w:p w14:paraId="432C96A6" w14:textId="77777777" w:rsidR="00390415" w:rsidRDefault="00390415" w:rsidP="00390415">
      <w:pPr>
        <w:pStyle w:val="NormalParaAR"/>
        <w:rPr>
          <w:rtl/>
        </w:rPr>
      </w:pPr>
      <w:r>
        <w:rPr>
          <w:rtl/>
        </w:rPr>
        <w:t xml:space="preserve">توجز لوحة البيانات </w:t>
      </w:r>
      <w:r>
        <w:rPr>
          <w:rFonts w:hint="cs"/>
          <w:rtl/>
        </w:rPr>
        <w:t xml:space="preserve">التالية </w:t>
      </w:r>
      <w:r>
        <w:rPr>
          <w:rtl/>
        </w:rPr>
        <w:t xml:space="preserve">التقدم المحرز </w:t>
      </w:r>
      <w:r>
        <w:rPr>
          <w:rFonts w:hint="cs"/>
          <w:rtl/>
        </w:rPr>
        <w:t>نحو</w:t>
      </w:r>
      <w:r>
        <w:rPr>
          <w:rtl/>
        </w:rPr>
        <w:t xml:space="preserve"> تحقيق النتائج</w:t>
      </w:r>
      <w:r>
        <w:rPr>
          <w:rFonts w:hint="cs"/>
          <w:rtl/>
        </w:rPr>
        <w:t xml:space="preserve"> المرتقبة</w:t>
      </w:r>
      <w:r>
        <w:rPr>
          <w:rtl/>
        </w:rPr>
        <w:t xml:space="preserve"> في عام </w:t>
      </w:r>
      <w:r>
        <w:rPr>
          <w:rFonts w:hint="cs"/>
          <w:rtl/>
        </w:rPr>
        <w:t>2016</w:t>
      </w:r>
      <w:r>
        <w:rPr>
          <w:rtl/>
        </w:rPr>
        <w:t xml:space="preserve"> قياسا</w:t>
      </w:r>
      <w:r>
        <w:rPr>
          <w:rFonts w:hint="cs"/>
          <w:rtl/>
        </w:rPr>
        <w:t>ً</w:t>
      </w:r>
      <w:r>
        <w:rPr>
          <w:rtl/>
        </w:rPr>
        <w:t xml:space="preserve"> بمؤشرات الأداء </w:t>
      </w:r>
      <w:r>
        <w:rPr>
          <w:rFonts w:hint="cs"/>
          <w:rtl/>
        </w:rPr>
        <w:t>في إطار</w:t>
      </w:r>
      <w:r>
        <w:rPr>
          <w:rtl/>
        </w:rPr>
        <w:t xml:space="preserve"> البرامج التي تس</w:t>
      </w:r>
      <w:r>
        <w:rPr>
          <w:rFonts w:hint="cs"/>
          <w:rtl/>
        </w:rPr>
        <w:t>ا</w:t>
      </w:r>
      <w:r>
        <w:rPr>
          <w:rtl/>
        </w:rPr>
        <w:t>هم في تحقيق هذا الهدف الاستراتيجي</w:t>
      </w:r>
      <w:r>
        <w:rPr>
          <w:rFonts w:hint="cs"/>
          <w:rtl/>
        </w:rPr>
        <w:t>.</w:t>
      </w:r>
    </w:p>
    <w:p w14:paraId="1633259E" w14:textId="6CEA0586" w:rsidR="00390415" w:rsidRDefault="009C2128" w:rsidP="00390415">
      <w:pPr>
        <w:pStyle w:val="NormalParaAR"/>
        <w:spacing w:line="240" w:lineRule="auto"/>
        <w:jc w:val="center"/>
        <w:rPr>
          <w:rtl/>
        </w:rPr>
      </w:pPr>
      <w:r>
        <w:rPr>
          <w:noProof/>
        </w:rPr>
        <w:drawing>
          <wp:inline distT="0" distB="0" distL="0" distR="0" wp14:anchorId="312FF011" wp14:editId="20C898CF">
            <wp:extent cx="3577718" cy="21600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9214" w:type="dxa"/>
        <w:tblInd w:w="108" w:type="dxa"/>
        <w:tblLayout w:type="fixed"/>
        <w:tblLook w:val="0000" w:firstRow="0" w:lastRow="0" w:firstColumn="0" w:lastColumn="0" w:noHBand="0" w:noVBand="0"/>
      </w:tblPr>
      <w:tblGrid>
        <w:gridCol w:w="2723"/>
        <w:gridCol w:w="3855"/>
        <w:gridCol w:w="1587"/>
        <w:gridCol w:w="1049"/>
      </w:tblGrid>
      <w:tr w:rsidR="00390415" w:rsidRPr="0036256E" w14:paraId="45551A81" w14:textId="77777777" w:rsidTr="006E24D8">
        <w:trPr>
          <w:cantSplit/>
          <w:trHeight w:val="455"/>
        </w:trPr>
        <w:tc>
          <w:tcPr>
            <w:tcW w:w="1478" w:type="pct"/>
            <w:shd w:val="clear" w:color="auto" w:fill="B8CCE4" w:themeFill="accent1" w:themeFillTint="66"/>
            <w:vAlign w:val="center"/>
          </w:tcPr>
          <w:p w14:paraId="749E392A" w14:textId="77777777" w:rsidR="00390415" w:rsidRPr="00ED5D24" w:rsidRDefault="00390415" w:rsidP="006E24D8">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النتائج المرتقبة</w:t>
            </w:r>
          </w:p>
        </w:tc>
        <w:tc>
          <w:tcPr>
            <w:tcW w:w="2092" w:type="pct"/>
            <w:shd w:val="clear" w:color="auto" w:fill="B8CCE4" w:themeFill="accent1" w:themeFillTint="66"/>
            <w:tcMar>
              <w:top w:w="110" w:type="dxa"/>
            </w:tcMar>
            <w:vAlign w:val="center"/>
          </w:tcPr>
          <w:p w14:paraId="75040182" w14:textId="77777777" w:rsidR="00390415" w:rsidRPr="00ED5D24" w:rsidRDefault="00390415" w:rsidP="006E24D8">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مؤشرات الأداء</w:t>
            </w:r>
          </w:p>
        </w:tc>
        <w:tc>
          <w:tcPr>
            <w:tcW w:w="861" w:type="pct"/>
            <w:shd w:val="clear" w:color="auto" w:fill="B8CCE4" w:themeFill="accent1" w:themeFillTint="66"/>
            <w:tcMar>
              <w:top w:w="110" w:type="dxa"/>
            </w:tcMar>
            <w:vAlign w:val="center"/>
          </w:tcPr>
          <w:p w14:paraId="35BABECE" w14:textId="77777777" w:rsidR="00390415" w:rsidRPr="00ED5D24" w:rsidRDefault="00390415" w:rsidP="006E24D8">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البرامج المسؤولة</w:t>
            </w:r>
          </w:p>
        </w:tc>
        <w:tc>
          <w:tcPr>
            <w:tcW w:w="569" w:type="pct"/>
            <w:shd w:val="clear" w:color="auto" w:fill="B8CCE4" w:themeFill="accent1" w:themeFillTint="66"/>
            <w:vAlign w:val="center"/>
          </w:tcPr>
          <w:p w14:paraId="5836B1F0" w14:textId="77777777" w:rsidR="00390415" w:rsidRPr="00ED5D24" w:rsidRDefault="00390415" w:rsidP="006E24D8">
            <w:pPr>
              <w:bidi/>
              <w:spacing w:before="120" w:after="120" w:line="280" w:lineRule="exact"/>
              <w:jc w:val="center"/>
              <w:rPr>
                <w:rFonts w:ascii="Arabic Typesetting" w:eastAsia="Arabic Typesetting" w:hAnsi="Arabic Typesetting" w:cs="Arabic Typesetting"/>
                <w:bCs/>
                <w:sz w:val="28"/>
                <w:szCs w:val="28"/>
                <w:lang w:eastAsia="ar-EG" w:bidi="ar-EG"/>
              </w:rPr>
            </w:pPr>
            <w:r w:rsidRPr="00ED5D24">
              <w:rPr>
                <w:rFonts w:ascii="Arabic Typesetting" w:eastAsia="Arabic Typesetting" w:hAnsi="Arabic Typesetting" w:cs="Arabic Typesetting"/>
                <w:bCs/>
                <w:sz w:val="28"/>
                <w:szCs w:val="28"/>
                <w:rtl/>
                <w:lang w:eastAsia="ar-EG" w:bidi="ar-EG"/>
              </w:rPr>
              <w:t>السير</w:t>
            </w:r>
          </w:p>
        </w:tc>
      </w:tr>
      <w:tr w:rsidR="00390415" w:rsidRPr="0036256E" w14:paraId="74319CE1" w14:textId="77777777" w:rsidTr="006E24D8">
        <w:trPr>
          <w:cantSplit/>
          <w:trHeight w:val="842"/>
        </w:trPr>
        <w:tc>
          <w:tcPr>
            <w:tcW w:w="1478" w:type="pct"/>
            <w:shd w:val="clear" w:color="auto" w:fill="auto"/>
            <w:tcMar>
              <w:top w:w="113" w:type="dxa"/>
              <w:bottom w:w="85" w:type="dxa"/>
            </w:tcMar>
          </w:tcPr>
          <w:p w14:paraId="6CE6AA4A" w14:textId="77777777" w:rsidR="00390415" w:rsidRPr="0036256E" w:rsidRDefault="00390415" w:rsidP="006E24D8">
            <w:pPr>
              <w:bidi/>
              <w:spacing w:before="120" w:after="120" w:line="280" w:lineRule="exact"/>
              <w:rPr>
                <w:rFonts w:ascii="Arabic Typesetting" w:hAnsi="Arabic Typesetting" w:cs="Arabic Typesetting"/>
                <w:sz w:val="28"/>
                <w:szCs w:val="28"/>
              </w:rPr>
            </w:pPr>
            <w:r w:rsidRPr="0036256E">
              <w:rPr>
                <w:rFonts w:ascii="Arabic Typesetting" w:eastAsia="Arabic Typesetting" w:hAnsi="Arabic Typesetting" w:cs="Arabic Typesetting"/>
                <w:sz w:val="28"/>
                <w:szCs w:val="28"/>
                <w:rtl/>
                <w:lang w:eastAsia="ar-EG" w:bidi="ar-EG"/>
              </w:rPr>
              <w:t>ه1.6 تقدّم في الحوار السياسي الدولي بين الدول الأعضاء في الويبو حول إذكاء الاحترام للملكية الفكرية، مع الاسترشاد بالتوصية رقم 45 من أجندة الويبو بشأن التنمية</w:t>
            </w:r>
          </w:p>
        </w:tc>
        <w:tc>
          <w:tcPr>
            <w:tcW w:w="2092" w:type="pct"/>
            <w:shd w:val="clear" w:color="auto" w:fill="auto"/>
            <w:tcMar>
              <w:top w:w="113" w:type="dxa"/>
              <w:bottom w:w="85" w:type="dxa"/>
            </w:tcMar>
          </w:tcPr>
          <w:p w14:paraId="681FDA82" w14:textId="77777777" w:rsidR="00390415" w:rsidRPr="0036256E" w:rsidRDefault="00390415" w:rsidP="006E24D8">
            <w:pPr>
              <w:bidi/>
              <w:spacing w:before="120" w:after="120" w:line="280" w:lineRule="exact"/>
              <w:rPr>
                <w:rFonts w:ascii="Arabic Typesetting" w:hAnsi="Arabic Typesetting" w:cs="Arabic Typesetting"/>
                <w:sz w:val="28"/>
                <w:szCs w:val="28"/>
              </w:rPr>
            </w:pPr>
            <w:r w:rsidRPr="0036256E">
              <w:rPr>
                <w:rFonts w:ascii="Arabic Typesetting" w:eastAsia="Arabic Typesetting" w:hAnsi="Arabic Typesetting" w:cs="Arabic Typesetting"/>
                <w:color w:val="000000"/>
                <w:sz w:val="28"/>
                <w:szCs w:val="28"/>
                <w:rtl/>
                <w:lang w:eastAsia="ar-EG" w:bidi="ar-EG"/>
              </w:rPr>
              <w:t>استمرار توافق الدول الأعضاء على العمل الجوهري الذي تقوم به لجنة الويبو الاستشارية المعنية بالإنفاذ والرامي إلى إدماج الشواغل الإنمائية</w:t>
            </w:r>
          </w:p>
        </w:tc>
        <w:tc>
          <w:tcPr>
            <w:tcW w:w="861" w:type="pct"/>
            <w:shd w:val="clear" w:color="auto" w:fill="FFFFFF"/>
            <w:tcMar>
              <w:top w:w="113" w:type="dxa"/>
              <w:bottom w:w="85" w:type="dxa"/>
            </w:tcMar>
          </w:tcPr>
          <w:p w14:paraId="290E9035" w14:textId="77777777" w:rsidR="00390415" w:rsidRPr="0036256E" w:rsidRDefault="00390415" w:rsidP="006E24D8">
            <w:pPr>
              <w:bidi/>
              <w:spacing w:before="120" w:after="120" w:line="280" w:lineRule="exact"/>
              <w:jc w:val="center"/>
              <w:rPr>
                <w:rFonts w:ascii="Arabic Typesetting" w:hAnsi="Arabic Typesetting" w:cs="Arabic Typesetting"/>
                <w:sz w:val="28"/>
                <w:szCs w:val="28"/>
              </w:rPr>
            </w:pPr>
            <w:r w:rsidRPr="0036256E">
              <w:rPr>
                <w:rFonts w:ascii="Arabic Typesetting" w:hAnsi="Arabic Typesetting" w:cs="Arabic Typesetting"/>
                <w:sz w:val="28"/>
                <w:szCs w:val="28"/>
                <w:rtl/>
              </w:rPr>
              <w:t>البرنامج 17</w:t>
            </w:r>
          </w:p>
        </w:tc>
        <w:tc>
          <w:tcPr>
            <w:tcW w:w="569" w:type="pct"/>
            <w:shd w:val="clear" w:color="auto" w:fill="FFFFFF"/>
          </w:tcPr>
          <w:p w14:paraId="2EBF1912" w14:textId="77777777" w:rsidR="00390415" w:rsidRPr="0036256E" w:rsidRDefault="00390415" w:rsidP="006E24D8">
            <w:pPr>
              <w:bidi/>
              <w:spacing w:before="120" w:after="120" w:line="280" w:lineRule="exact"/>
              <w:jc w:val="center"/>
              <w:rPr>
                <w:rFonts w:ascii="Arabic Typesetting" w:hAnsi="Arabic Typesetting" w:cs="Arabic Typesetting"/>
                <w:color w:val="A6A6A6" w:themeColor="background1" w:themeShade="A6"/>
                <w:sz w:val="28"/>
                <w:szCs w:val="28"/>
              </w:rPr>
            </w:pPr>
            <w:r w:rsidRPr="0036256E">
              <w:rPr>
                <w:rFonts w:ascii="Arabic Typesetting" w:hAnsi="Arabic Typesetting" w:cs="Arabic Typesetting"/>
                <w:color w:val="00B050"/>
                <w:sz w:val="28"/>
                <w:szCs w:val="28"/>
              </w:rPr>
              <w:sym w:font="Wingdings" w:char="F06C"/>
            </w:r>
          </w:p>
        </w:tc>
      </w:tr>
      <w:tr w:rsidR="00390415" w:rsidRPr="0036256E" w14:paraId="3AC7E96B" w14:textId="77777777" w:rsidTr="006E24D8">
        <w:trPr>
          <w:cantSplit/>
          <w:trHeight w:val="704"/>
        </w:trPr>
        <w:tc>
          <w:tcPr>
            <w:tcW w:w="1478" w:type="pct"/>
            <w:shd w:val="clear" w:color="auto" w:fill="auto"/>
            <w:tcMar>
              <w:top w:w="113" w:type="dxa"/>
              <w:bottom w:w="85" w:type="dxa"/>
            </w:tcMar>
          </w:tcPr>
          <w:p w14:paraId="2E5C5FAC" w14:textId="77777777" w:rsidR="00390415" w:rsidRPr="0036256E" w:rsidRDefault="00390415" w:rsidP="006E24D8">
            <w:pPr>
              <w:bidi/>
              <w:spacing w:before="120" w:after="120" w:line="280" w:lineRule="exact"/>
              <w:rPr>
                <w:rFonts w:ascii="Arabic Typesetting" w:hAnsi="Arabic Typesetting" w:cs="Arabic Typesetting"/>
                <w:sz w:val="28"/>
                <w:szCs w:val="28"/>
              </w:rPr>
            </w:pPr>
            <w:r w:rsidRPr="0036256E">
              <w:rPr>
                <w:rFonts w:ascii="Arabic Typesetting" w:eastAsia="Arabic Typesetting" w:hAnsi="Arabic Typesetting" w:cs="Arabic Typesetting"/>
                <w:sz w:val="28"/>
                <w:szCs w:val="28"/>
                <w:rtl/>
                <w:lang w:eastAsia="ar-EG" w:bidi="ar-EG"/>
              </w:rPr>
              <w:t>ه2.6 تعاون وتنسيق على نحو منتظم وفعال وشفاف بين عمل الويبو وعمل المنظمات الدولية الأخرى في مجال إذكاء الاحترام للملكية الفكرية</w:t>
            </w:r>
          </w:p>
        </w:tc>
        <w:tc>
          <w:tcPr>
            <w:tcW w:w="2092" w:type="pct"/>
            <w:shd w:val="clear" w:color="auto" w:fill="auto"/>
            <w:tcMar>
              <w:top w:w="113" w:type="dxa"/>
              <w:bottom w:w="85" w:type="dxa"/>
            </w:tcMar>
          </w:tcPr>
          <w:p w14:paraId="28CF0D99" w14:textId="77777777" w:rsidR="00390415" w:rsidRPr="0036256E" w:rsidRDefault="00390415" w:rsidP="006E24D8">
            <w:pPr>
              <w:bidi/>
              <w:spacing w:before="120" w:after="120" w:line="280" w:lineRule="exact"/>
              <w:rPr>
                <w:rFonts w:ascii="Arabic Typesetting" w:hAnsi="Arabic Typesetting" w:cs="Arabic Typesetting"/>
                <w:sz w:val="28"/>
                <w:szCs w:val="28"/>
              </w:rPr>
            </w:pPr>
            <w:r w:rsidRPr="0036256E">
              <w:rPr>
                <w:rFonts w:ascii="Arabic Typesetting" w:eastAsia="Arabic Typesetting" w:hAnsi="Arabic Typesetting" w:cs="Arabic Typesetting"/>
                <w:color w:val="000000"/>
                <w:sz w:val="28"/>
                <w:szCs w:val="28"/>
                <w:rtl/>
                <w:lang w:eastAsia="ar-EG" w:bidi="ar-EG"/>
              </w:rPr>
              <w:t>عدد عمليات التعاون الاستراتيجي أو غيرها من الأنشطة المشتركة مع منظمات شريكة بشأن إذكاء الاحترام للملكية الفكرية</w:t>
            </w:r>
          </w:p>
        </w:tc>
        <w:tc>
          <w:tcPr>
            <w:tcW w:w="861" w:type="pct"/>
            <w:shd w:val="clear" w:color="auto" w:fill="FFFFFF"/>
            <w:tcMar>
              <w:top w:w="113" w:type="dxa"/>
              <w:bottom w:w="85" w:type="dxa"/>
            </w:tcMar>
          </w:tcPr>
          <w:p w14:paraId="2A495E55" w14:textId="77777777" w:rsidR="00390415" w:rsidRPr="0036256E" w:rsidRDefault="00390415" w:rsidP="006E24D8">
            <w:pPr>
              <w:bidi/>
              <w:spacing w:before="120" w:after="120" w:line="280" w:lineRule="exact"/>
              <w:jc w:val="center"/>
              <w:rPr>
                <w:rFonts w:ascii="Arabic Typesetting" w:hAnsi="Arabic Typesetting" w:cs="Arabic Typesetting"/>
                <w:sz w:val="28"/>
                <w:szCs w:val="28"/>
              </w:rPr>
            </w:pPr>
            <w:r w:rsidRPr="0036256E">
              <w:rPr>
                <w:rFonts w:ascii="Arabic Typesetting" w:hAnsi="Arabic Typesetting" w:cs="Arabic Typesetting"/>
                <w:sz w:val="28"/>
                <w:szCs w:val="28"/>
                <w:rtl/>
              </w:rPr>
              <w:t>البرنامج 17</w:t>
            </w:r>
          </w:p>
        </w:tc>
        <w:tc>
          <w:tcPr>
            <w:tcW w:w="569" w:type="pct"/>
            <w:shd w:val="clear" w:color="auto" w:fill="FFFFFF"/>
          </w:tcPr>
          <w:p w14:paraId="5BB49BC0" w14:textId="77777777" w:rsidR="00390415" w:rsidRPr="0036256E" w:rsidRDefault="00390415" w:rsidP="006E24D8">
            <w:pPr>
              <w:bidi/>
              <w:spacing w:before="120" w:after="120" w:line="280" w:lineRule="exact"/>
              <w:jc w:val="center"/>
              <w:rPr>
                <w:rFonts w:ascii="Arabic Typesetting" w:hAnsi="Arabic Typesetting" w:cs="Arabic Typesetting"/>
                <w:sz w:val="28"/>
                <w:szCs w:val="28"/>
              </w:rPr>
            </w:pPr>
            <w:r w:rsidRPr="0036256E">
              <w:rPr>
                <w:rFonts w:ascii="Arabic Typesetting" w:hAnsi="Arabic Typesetting" w:cs="Arabic Typesetting"/>
                <w:color w:val="00B050"/>
                <w:sz w:val="28"/>
                <w:szCs w:val="28"/>
              </w:rPr>
              <w:sym w:font="Wingdings" w:char="F06C"/>
            </w:r>
          </w:p>
        </w:tc>
      </w:tr>
    </w:tbl>
    <w:p w14:paraId="6E385AA8" w14:textId="77777777" w:rsidR="00390415" w:rsidRDefault="00390415" w:rsidP="00390415">
      <w:pPr>
        <w:pStyle w:val="NormalParaAR"/>
        <w:rPr>
          <w:rtl/>
        </w:rPr>
      </w:pPr>
    </w:p>
    <w:p w14:paraId="7E12FAA5" w14:textId="77777777" w:rsidR="00BB3820" w:rsidRPr="00053535" w:rsidRDefault="00BB3820" w:rsidP="00DA7DF7">
      <w:pPr>
        <w:pStyle w:val="Heading3"/>
        <w:ind w:left="1984" w:hanging="1984"/>
      </w:pPr>
      <w:bookmarkStart w:id="40" w:name="_Toc482782767"/>
      <w:r w:rsidRPr="00053535">
        <w:rPr>
          <w:rtl/>
        </w:rPr>
        <w:lastRenderedPageBreak/>
        <w:t>البرنامج</w:t>
      </w:r>
      <w:r w:rsidRPr="00053535">
        <w:rPr>
          <w:rFonts w:hint="cs"/>
          <w:rtl/>
        </w:rPr>
        <w:t xml:space="preserve"> 17:</w:t>
      </w:r>
      <w:r w:rsidRPr="00053535">
        <w:tab/>
      </w:r>
      <w:r w:rsidRPr="00053535">
        <w:rPr>
          <w:rtl/>
        </w:rPr>
        <w:t>إذكاء الاحترام للملكية الفكرية</w:t>
      </w:r>
      <w:bookmarkEnd w:id="40"/>
    </w:p>
    <w:p w14:paraId="392675AA" w14:textId="77777777" w:rsidR="00BB3820" w:rsidRDefault="00BB3820" w:rsidP="0031289D">
      <w:pPr>
        <w:keepNext/>
        <w:bidi/>
        <w:spacing w:after="240" w:line="340" w:lineRule="exact"/>
        <w:ind w:left="1984" w:hanging="1984"/>
        <w:rPr>
          <w:rFonts w:ascii="Arabic Typesetting" w:hAnsi="Arabic Typesetting" w:cs="Arabic Typesetting"/>
          <w:b/>
          <w:bCs/>
          <w:sz w:val="36"/>
          <w:szCs w:val="36"/>
          <w:rtl/>
          <w:lang w:val="fr-CH" w:bidi="ar-EG"/>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3876F3">
        <w:rPr>
          <w:rFonts w:ascii="Arabic Typesetting" w:hAnsi="Arabic Typesetting" w:cs="Arabic Typesetting"/>
          <w:b/>
          <w:bCs/>
          <w:sz w:val="36"/>
          <w:szCs w:val="36"/>
          <w:rtl/>
          <w:lang w:val="fr-CH"/>
        </w:rPr>
        <w:t>السيد مينيليك غيتاهون</w:t>
      </w:r>
    </w:p>
    <w:p w14:paraId="137CDFFD" w14:textId="77777777" w:rsidR="00BB3820" w:rsidRDefault="00BB3820"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082D338C" wp14:editId="491F272C">
            <wp:extent cx="3606152"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06152" cy="2160000"/>
                    </a:xfrm>
                    <a:prstGeom prst="rect">
                      <a:avLst/>
                    </a:prstGeom>
                    <a:noFill/>
                  </pic:spPr>
                </pic:pic>
              </a:graphicData>
            </a:graphic>
          </wp:inline>
        </w:drawing>
      </w:r>
    </w:p>
    <w:tbl>
      <w:tblPr>
        <w:bidiVisual/>
        <w:tblW w:w="5000" w:type="pct"/>
        <w:tblInd w:w="58" w:type="dxa"/>
        <w:tblLayout w:type="fixed"/>
        <w:tblCellMar>
          <w:left w:w="115" w:type="dxa"/>
          <w:right w:w="115" w:type="dxa"/>
        </w:tblCellMar>
        <w:tblLook w:val="0000" w:firstRow="0" w:lastRow="0" w:firstColumn="0" w:lastColumn="0" w:noHBand="0" w:noVBand="0"/>
      </w:tblPr>
      <w:tblGrid>
        <w:gridCol w:w="2031"/>
        <w:gridCol w:w="3218"/>
        <w:gridCol w:w="1419"/>
        <w:gridCol w:w="1835"/>
        <w:gridCol w:w="968"/>
      </w:tblGrid>
      <w:tr w:rsidR="00BB3820" w:rsidRPr="003876F3" w14:paraId="60C24D62" w14:textId="77777777" w:rsidTr="00BB3820">
        <w:trPr>
          <w:trHeight w:val="565"/>
        </w:trPr>
        <w:tc>
          <w:tcPr>
            <w:tcW w:w="5000" w:type="pct"/>
            <w:gridSpan w:val="5"/>
            <w:shd w:val="clear" w:color="auto" w:fill="C6D9F1"/>
            <w:tcMar>
              <w:left w:w="58" w:type="dxa"/>
              <w:right w:w="58" w:type="dxa"/>
            </w:tcMar>
            <w:vAlign w:val="center"/>
          </w:tcPr>
          <w:p w14:paraId="38A9AF99" w14:textId="79563598" w:rsidR="00BB3820" w:rsidRPr="003876F3" w:rsidRDefault="00BB3820" w:rsidP="0031289D">
            <w:pPr>
              <w:keepNext/>
              <w:keepLines/>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‏النتيجة المرتقبة:</w:t>
            </w:r>
            <w:r w:rsidRPr="003876F3">
              <w:rPr>
                <w:rFonts w:ascii="Arabic Typesetting" w:eastAsia="Arabic Typesetting" w:hAnsi="Arabic Typesetting" w:cs="Arabic Typesetting"/>
                <w:sz w:val="28"/>
                <w:szCs w:val="28"/>
                <w:lang w:eastAsia="ar-EG" w:bidi="ar-EG"/>
              </w:rPr>
              <w:tab/>
            </w:r>
            <w:r w:rsidRPr="003876F3">
              <w:rPr>
                <w:rFonts w:ascii="Arabic Typesetting" w:eastAsia="Arabic Typesetting" w:hAnsi="Arabic Typesetting" w:cs="Arabic Typesetting"/>
                <w:sz w:val="28"/>
                <w:szCs w:val="28"/>
                <w:rtl/>
                <w:lang w:eastAsia="ar-EG" w:bidi="ar-EG"/>
              </w:rPr>
              <w:t>ه2.1</w:t>
            </w:r>
            <w:r>
              <w:rPr>
                <w:rFonts w:ascii="Arabic Typesetting" w:eastAsia="Arabic Typesetting" w:hAnsi="Arabic Typesetting" w:cs="Arabic Typesetting" w:hint="cs"/>
                <w:sz w:val="28"/>
                <w:szCs w:val="28"/>
                <w:rtl/>
                <w:lang w:eastAsia="ar-EG" w:bidi="ar-EG"/>
              </w:rPr>
              <w:t xml:space="preserve"> </w:t>
            </w:r>
            <w:r w:rsidR="009834BA">
              <w:rPr>
                <w:rFonts w:ascii="Arabic Typesetting" w:eastAsia="Arabic Typesetting" w:hAnsi="Arabic Typesetting" w:cs="Arabic Typesetting"/>
                <w:sz w:val="28"/>
                <w:szCs w:val="28"/>
                <w:rtl/>
                <w:lang w:eastAsia="ar-EG" w:bidi="ar-EG"/>
              </w:rPr>
              <w:t>أطر تشريعية وتنظيمية وسياسية مكيّفة ومتوازنة في مجال الملكية الفكرية</w:t>
            </w:r>
          </w:p>
        </w:tc>
      </w:tr>
      <w:tr w:rsidR="00BB3820" w:rsidRPr="003876F3" w14:paraId="6A4701EA" w14:textId="77777777" w:rsidTr="00BB3820">
        <w:tc>
          <w:tcPr>
            <w:tcW w:w="1072" w:type="pct"/>
            <w:shd w:val="clear" w:color="auto" w:fill="auto"/>
            <w:tcMar>
              <w:left w:w="58" w:type="dxa"/>
              <w:right w:w="58" w:type="dxa"/>
            </w:tcMar>
            <w:vAlign w:val="center"/>
          </w:tcPr>
          <w:p w14:paraId="191F8969"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مؤشرات الأداء</w:t>
            </w:r>
          </w:p>
        </w:tc>
        <w:tc>
          <w:tcPr>
            <w:tcW w:w="1699" w:type="pct"/>
            <w:shd w:val="clear" w:color="auto" w:fill="auto"/>
            <w:tcMar>
              <w:left w:w="58" w:type="dxa"/>
              <w:right w:w="58" w:type="dxa"/>
            </w:tcMar>
            <w:vAlign w:val="center"/>
          </w:tcPr>
          <w:p w14:paraId="69E74EB1"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أسس المقارنة</w:t>
            </w:r>
          </w:p>
        </w:tc>
        <w:tc>
          <w:tcPr>
            <w:tcW w:w="749" w:type="pct"/>
            <w:shd w:val="clear" w:color="auto" w:fill="auto"/>
            <w:tcMar>
              <w:top w:w="110" w:type="dxa"/>
              <w:left w:w="58" w:type="dxa"/>
              <w:right w:w="58" w:type="dxa"/>
            </w:tcMar>
            <w:vAlign w:val="center"/>
          </w:tcPr>
          <w:p w14:paraId="69C2DC6D"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الأهداف</w:t>
            </w:r>
          </w:p>
        </w:tc>
        <w:tc>
          <w:tcPr>
            <w:tcW w:w="969" w:type="pct"/>
            <w:shd w:val="clear" w:color="auto" w:fill="FFFFFF"/>
            <w:tcMar>
              <w:top w:w="110" w:type="dxa"/>
              <w:left w:w="58" w:type="dxa"/>
              <w:right w:w="58" w:type="dxa"/>
            </w:tcMar>
            <w:vAlign w:val="center"/>
          </w:tcPr>
          <w:p w14:paraId="738F32A9"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بيانات الأداء</w:t>
            </w:r>
          </w:p>
        </w:tc>
        <w:tc>
          <w:tcPr>
            <w:tcW w:w="512" w:type="pct"/>
            <w:shd w:val="clear" w:color="auto" w:fill="auto"/>
            <w:tcMar>
              <w:top w:w="110" w:type="dxa"/>
              <w:left w:w="58" w:type="dxa"/>
              <w:right w:w="58" w:type="dxa"/>
            </w:tcMar>
            <w:vAlign w:val="center"/>
          </w:tcPr>
          <w:p w14:paraId="57978144" w14:textId="77777777" w:rsidR="00BB3820" w:rsidRPr="003876F3" w:rsidRDefault="00BB3820"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B3820" w:rsidRPr="003876F3" w14:paraId="3142D5BE" w14:textId="77777777" w:rsidTr="00BB3820">
        <w:trPr>
          <w:trHeight w:val="1636"/>
        </w:trPr>
        <w:tc>
          <w:tcPr>
            <w:tcW w:w="1072" w:type="pct"/>
            <w:shd w:val="clear" w:color="auto" w:fill="auto"/>
            <w:tcMar>
              <w:left w:w="58" w:type="dxa"/>
              <w:right w:w="58" w:type="dxa"/>
            </w:tcMar>
          </w:tcPr>
          <w:p w14:paraId="412163A5"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 xml:space="preserve">عدد البلدان أو المنظمات الإقليمية التي اعتمدت أو عدَّلت أطراً من أجل الإنفاذ الفعال للملكية الفكرية في ضوء الجزء الثالث من اتفاق تريبس والتوصية 45 من توصيات </w:t>
            </w:r>
            <w:r>
              <w:rPr>
                <w:rFonts w:ascii="Arabic Typesetting" w:eastAsia="Arabic Typesetting" w:hAnsi="Arabic Typesetting" w:cs="Arabic Typesetting" w:hint="cs"/>
                <w:color w:val="000000"/>
                <w:sz w:val="28"/>
                <w:szCs w:val="28"/>
                <w:rtl/>
                <w:lang w:eastAsia="ar-EG" w:bidi="ar-EG"/>
              </w:rPr>
              <w:t>أجندة</w:t>
            </w:r>
            <w:r w:rsidRPr="003876F3">
              <w:rPr>
                <w:rFonts w:ascii="Arabic Typesetting" w:eastAsia="Arabic Typesetting" w:hAnsi="Arabic Typesetting" w:cs="Arabic Typesetting"/>
                <w:color w:val="000000"/>
                <w:sz w:val="28"/>
                <w:szCs w:val="28"/>
                <w:rtl/>
                <w:lang w:eastAsia="ar-EG" w:bidi="ar-EG"/>
              </w:rPr>
              <w:t xml:space="preserve"> التنمية، أو</w:t>
            </w:r>
            <w:r>
              <w:rPr>
                <w:rFonts w:ascii="Arabic Typesetting" w:eastAsia="Arabic Typesetting" w:hAnsi="Arabic Typesetting" w:cs="Arabic Typesetting" w:hint="cs"/>
                <w:color w:val="000000"/>
                <w:sz w:val="28"/>
                <w:szCs w:val="28"/>
                <w:rtl/>
                <w:lang w:eastAsia="ar-EG" w:bidi="ar-EG"/>
              </w:rPr>
              <w:t> </w:t>
            </w:r>
            <w:r w:rsidRPr="003876F3">
              <w:rPr>
                <w:rFonts w:ascii="Arabic Typesetting" w:eastAsia="Arabic Typesetting" w:hAnsi="Arabic Typesetting" w:cs="Arabic Typesetting"/>
                <w:color w:val="000000"/>
                <w:sz w:val="28"/>
                <w:szCs w:val="28"/>
                <w:rtl/>
                <w:lang w:eastAsia="ar-EG" w:bidi="ar-EG"/>
              </w:rPr>
              <w:t xml:space="preserve">في طريقها إلى القيام بذلك، </w:t>
            </w:r>
            <w:r>
              <w:rPr>
                <w:rFonts w:ascii="Arabic Typesetting" w:eastAsia="Arabic Typesetting" w:hAnsi="Arabic Typesetting" w:cs="Arabic Typesetting" w:hint="cs"/>
                <w:color w:val="000000"/>
                <w:sz w:val="28"/>
                <w:szCs w:val="28"/>
                <w:rtl/>
                <w:lang w:eastAsia="ar-EG" w:bidi="ar-EG"/>
              </w:rPr>
              <w:t>فضلاً عن</w:t>
            </w:r>
            <w:r>
              <w:rPr>
                <w:rFonts w:ascii="Arabic Typesetting" w:eastAsia="Arabic Typesetting" w:hAnsi="Arabic Typesetting" w:cs="Arabic Typesetting"/>
                <w:color w:val="000000"/>
                <w:sz w:val="28"/>
                <w:szCs w:val="28"/>
                <w:rtl/>
                <w:lang w:eastAsia="ar-EG" w:bidi="ar-EG"/>
              </w:rPr>
              <w:t xml:space="preserve"> مساعدة الويبو</w:t>
            </w:r>
          </w:p>
        </w:tc>
        <w:tc>
          <w:tcPr>
            <w:tcW w:w="1699" w:type="pct"/>
            <w:shd w:val="clear" w:color="auto" w:fill="auto"/>
            <w:tcMar>
              <w:left w:w="58" w:type="dxa"/>
              <w:right w:w="58" w:type="dxa"/>
            </w:tcMar>
          </w:tcPr>
          <w:p w14:paraId="38F89186" w14:textId="77777777" w:rsidR="00BB3820" w:rsidRDefault="00BB3820" w:rsidP="0031289D">
            <w:pPr>
              <w:bidi/>
              <w:spacing w:after="120" w:line="280" w:lineRule="exact"/>
              <w:rPr>
                <w:rFonts w:ascii="Arabic Typesetting" w:eastAsia="Arabic Typesetting" w:hAnsi="Arabic Typesetting" w:cs="Arabic Typesetting"/>
                <w:i/>
                <w:iCs/>
                <w:color w:val="1F497D"/>
                <w:sz w:val="28"/>
                <w:szCs w:val="28"/>
                <w:lang w:eastAsia="ar-EG" w:bidi="ar-EG"/>
              </w:rPr>
            </w:pPr>
            <w:r w:rsidRPr="003876F3">
              <w:rPr>
                <w:rFonts w:ascii="Arabic Typesetting" w:eastAsia="Arabic Typesetting" w:hAnsi="Arabic Typesetting" w:cs="Arabic Typesetting"/>
                <w:i/>
                <w:iCs/>
                <w:color w:val="1F497D"/>
                <w:sz w:val="28"/>
                <w:szCs w:val="28"/>
                <w:rtl/>
                <w:lang w:eastAsia="ar-EG" w:bidi="ar-EG"/>
              </w:rPr>
              <w:t>أساس المقارنة المُحدَّث في نهاية 2015</w:t>
            </w:r>
            <w:r>
              <w:rPr>
                <w:rFonts w:ascii="Arabic Typesetting" w:eastAsia="Arabic Typesetting" w:hAnsi="Arabic Typesetting" w:cs="Arabic Typesetting"/>
                <w:i/>
                <w:iCs/>
                <w:color w:val="1F497D"/>
                <w:sz w:val="28"/>
                <w:szCs w:val="28"/>
                <w:rtl/>
                <w:lang w:eastAsia="ar-EG" w:bidi="ar-EG"/>
              </w:rPr>
              <w:t>:</w:t>
            </w:r>
            <w:r>
              <w:rPr>
                <w:rFonts w:ascii="Arabic Typesetting" w:eastAsia="Arabic Typesetting" w:hAnsi="Arabic Typesetting" w:cs="Arabic Typesetting"/>
                <w:i/>
                <w:iCs/>
                <w:color w:val="1F497D"/>
                <w:sz w:val="28"/>
                <w:szCs w:val="28"/>
                <w:rtl/>
                <w:lang w:eastAsia="ar-EG" w:bidi="ar-EG"/>
              </w:rPr>
              <w:br/>
            </w:r>
            <w:r w:rsidRPr="003876F3">
              <w:rPr>
                <w:rFonts w:ascii="Arabic Typesetting" w:eastAsia="Arabic Typesetting" w:hAnsi="Arabic Typesetting" w:cs="Arabic Typesetting"/>
                <w:color w:val="1F497D"/>
                <w:sz w:val="28"/>
                <w:szCs w:val="28"/>
                <w:rtl/>
                <w:lang w:eastAsia="ar-EG" w:bidi="ar-EG"/>
              </w:rPr>
              <w:t>21 بلداً/منظمة (تراكمي) في طور تعديل و/أو</w:t>
            </w:r>
            <w:r>
              <w:rPr>
                <w:rFonts w:ascii="Arabic Typesetting" w:eastAsia="Arabic Typesetting" w:hAnsi="Arabic Typesetting" w:cs="Arabic Typesetting" w:hint="cs"/>
                <w:color w:val="1F497D"/>
                <w:sz w:val="28"/>
                <w:szCs w:val="28"/>
                <w:rtl/>
                <w:lang w:eastAsia="ar-EG" w:bidi="ar-EG"/>
              </w:rPr>
              <w:t> </w:t>
            </w:r>
            <w:r w:rsidRPr="003876F3">
              <w:rPr>
                <w:rFonts w:ascii="Arabic Typesetting" w:eastAsia="Arabic Typesetting" w:hAnsi="Arabic Typesetting" w:cs="Arabic Typesetting"/>
                <w:color w:val="1F497D"/>
                <w:sz w:val="28"/>
                <w:szCs w:val="28"/>
                <w:rtl/>
                <w:lang w:eastAsia="ar-EG" w:bidi="ar-EG"/>
              </w:rPr>
              <w:t>اعتماد الأطر اللازمة للإنفاذ الفعال للملكية الفكرية</w:t>
            </w:r>
            <w:r>
              <w:rPr>
                <w:rFonts w:ascii="Arabic Typesetting" w:eastAsia="Arabic Typesetting" w:hAnsi="Arabic Typesetting" w:cs="Arabic Typesetting"/>
                <w:color w:val="1F497D"/>
                <w:sz w:val="28"/>
                <w:szCs w:val="28"/>
                <w:rtl/>
                <w:lang w:eastAsia="ar-EG" w:bidi="ar-EG"/>
              </w:rPr>
              <w:t>:</w:t>
            </w:r>
            <w:r>
              <w:rPr>
                <w:rFonts w:ascii="Arabic Typesetting" w:eastAsia="Arabic Typesetting" w:hAnsi="Arabic Typesetting" w:cs="Arabic Typesetting" w:hint="cs"/>
                <w:color w:val="1F497D"/>
                <w:sz w:val="28"/>
                <w:szCs w:val="28"/>
                <w:rtl/>
                <w:lang w:eastAsia="ar-EG" w:bidi="ar-EG"/>
              </w:rPr>
              <w:t xml:space="preserve"> </w:t>
            </w:r>
            <w:r w:rsidRPr="003876F3">
              <w:rPr>
                <w:rFonts w:ascii="Arabic Typesetting" w:eastAsia="Arabic Typesetting" w:hAnsi="Arabic Typesetting" w:cs="Arabic Typesetting"/>
                <w:color w:val="1F497D"/>
                <w:sz w:val="28"/>
                <w:szCs w:val="28"/>
                <w:rtl/>
                <w:lang w:eastAsia="ar-EG" w:bidi="ar-EG"/>
              </w:rPr>
              <w:t xml:space="preserve">‏أفريقيا (8)؛ وآسيا والمحيط الهادئ (8)؛ </w:t>
            </w:r>
            <w:r>
              <w:rPr>
                <w:rFonts w:ascii="Arabic Typesetting" w:eastAsia="Arabic Typesetting" w:hAnsi="Arabic Typesetting" w:cs="Arabic Typesetting"/>
                <w:color w:val="1F497D"/>
                <w:sz w:val="28"/>
                <w:szCs w:val="28"/>
                <w:rtl/>
                <w:lang w:eastAsia="ar-EG" w:bidi="ar-EG"/>
              </w:rPr>
              <w:t>وأمريكا اللاتينية والكاريبي (5)</w:t>
            </w:r>
          </w:p>
          <w:p w14:paraId="32F3A0B1"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3876F3">
              <w:rPr>
                <w:rFonts w:ascii="Arabic Typesetting" w:eastAsia="Arabic Typesetting" w:hAnsi="Arabic Typesetting" w:cs="Arabic Typesetting"/>
                <w:i/>
                <w:iCs/>
                <w:color w:val="000000"/>
                <w:sz w:val="28"/>
                <w:szCs w:val="28"/>
                <w:rtl/>
                <w:lang w:eastAsia="ar-EG" w:bidi="ar-EG"/>
              </w:rPr>
              <w:t>:</w:t>
            </w:r>
            <w:r w:rsidRPr="003876F3">
              <w:rPr>
                <w:rFonts w:ascii="Arabic Typesetting" w:eastAsia="Batang" w:hAnsi="Arabic Typesetting" w:cs="Arabic Typesetting"/>
                <w:i/>
                <w:color w:val="000000"/>
                <w:sz w:val="28"/>
                <w:szCs w:val="28"/>
                <w:lang w:eastAsia="ar-EG" w:bidi="ar-EG"/>
              </w:rPr>
              <w:br/>
            </w:r>
            <w:r w:rsidRPr="003876F3">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3876F3">
              <w:rPr>
                <w:rFonts w:ascii="Arabic Typesetting" w:eastAsia="Arabic Typesetting" w:hAnsi="Arabic Typesetting" w:cs="Arabic Typesetting"/>
                <w:color w:val="000000"/>
                <w:sz w:val="28"/>
                <w:szCs w:val="28"/>
                <w:rtl/>
                <w:lang w:eastAsia="ar-EG" w:bidi="ar-EG"/>
              </w:rPr>
              <w:t>‏13 بلداً في طريقه إلى تعديل أو اعتماد أو</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 xml:space="preserve">تعديل واعتماد أطر </w:t>
            </w:r>
            <w:r w:rsidRPr="003876F3">
              <w:rPr>
                <w:rFonts w:ascii="Arabic Typesetting" w:eastAsia="Arabic Typesetting" w:hAnsi="Arabic Typesetting" w:cs="Arabic Typesetting"/>
                <w:color w:val="000000"/>
                <w:sz w:val="28"/>
                <w:szCs w:val="28"/>
                <w:rtl/>
                <w:lang w:eastAsia="ar-EG" w:bidi="ar-EG"/>
              </w:rPr>
              <w:t>من أجل الإنفاذ الفعال للملكية الفكرية (</w:t>
            </w:r>
            <w:r>
              <w:rPr>
                <w:rFonts w:ascii="Arabic Typesetting" w:eastAsia="Arabic Typesetting" w:hAnsi="Arabic Typesetting" w:cs="Arabic Typesetting" w:hint="cs"/>
                <w:color w:val="000000"/>
                <w:sz w:val="28"/>
                <w:szCs w:val="28"/>
                <w:rtl/>
                <w:lang w:eastAsia="ar-EG" w:bidi="ar-EG"/>
              </w:rPr>
              <w:t>في</w:t>
            </w:r>
            <w:r>
              <w:rPr>
                <w:rFonts w:ascii="Arabic Typesetting" w:eastAsia="Arabic Typesetting" w:hAnsi="Arabic Typesetting" w:cs="Arabic Typesetting"/>
                <w:color w:val="000000"/>
                <w:sz w:val="28"/>
                <w:szCs w:val="28"/>
                <w:rtl/>
                <w:lang w:eastAsia="ar-EG" w:bidi="ar-EG"/>
              </w:rPr>
              <w:t xml:space="preserve"> 15 فبراير 2015)</w:t>
            </w:r>
          </w:p>
        </w:tc>
        <w:tc>
          <w:tcPr>
            <w:tcW w:w="749" w:type="pct"/>
            <w:shd w:val="clear" w:color="auto" w:fill="auto"/>
            <w:tcMar>
              <w:top w:w="110" w:type="dxa"/>
              <w:left w:w="58" w:type="dxa"/>
              <w:right w:w="58" w:type="dxa"/>
            </w:tcMar>
          </w:tcPr>
          <w:p w14:paraId="47686611"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قيام بلد واحد أو</w:t>
            </w:r>
            <w:r>
              <w:rPr>
                <w:rFonts w:ascii="Arabic Typesetting" w:eastAsia="Arabic Typesetting" w:hAnsi="Arabic Typesetting" w:cs="Arabic Typesetting" w:hint="cs"/>
                <w:color w:val="000000"/>
                <w:sz w:val="28"/>
                <w:szCs w:val="28"/>
                <w:rtl/>
                <w:lang w:eastAsia="ar-EG" w:bidi="ar-EG"/>
              </w:rPr>
              <w:t> </w:t>
            </w:r>
            <w:r w:rsidRPr="003876F3">
              <w:rPr>
                <w:rFonts w:ascii="Arabic Typesetting" w:eastAsia="Arabic Typesetting" w:hAnsi="Arabic Typesetting" w:cs="Arabic Typesetting"/>
                <w:color w:val="000000"/>
                <w:sz w:val="28"/>
                <w:szCs w:val="28"/>
                <w:rtl/>
                <w:lang w:eastAsia="ar-EG" w:bidi="ar-EG"/>
              </w:rPr>
              <w:t>منظمة إقليمية واحدة باعتماد و/أو</w:t>
            </w:r>
            <w:r>
              <w:rPr>
                <w:rFonts w:ascii="Arabic Typesetting" w:eastAsia="Arabic Typesetting" w:hAnsi="Arabic Typesetting" w:cs="Arabic Typesetting" w:hint="cs"/>
                <w:color w:val="000000"/>
                <w:sz w:val="28"/>
                <w:szCs w:val="28"/>
                <w:rtl/>
                <w:lang w:eastAsia="ar-EG" w:bidi="ar-EG"/>
              </w:rPr>
              <w:t> </w:t>
            </w:r>
            <w:r w:rsidRPr="003876F3">
              <w:rPr>
                <w:rFonts w:ascii="Arabic Typesetting" w:eastAsia="Arabic Typesetting" w:hAnsi="Arabic Typesetting" w:cs="Arabic Typesetting"/>
                <w:color w:val="000000"/>
                <w:sz w:val="28"/>
                <w:szCs w:val="28"/>
                <w:rtl/>
                <w:lang w:eastAsia="ar-EG" w:bidi="ar-EG"/>
              </w:rPr>
              <w:t>تعديل الأطر اللازمة</w:t>
            </w:r>
            <w:r>
              <w:rPr>
                <w:rFonts w:ascii="Arabic Typesetting" w:eastAsia="Arabic Typesetting" w:hAnsi="Arabic Typesetting" w:cs="Arabic Typesetting"/>
                <w:color w:val="000000"/>
                <w:sz w:val="28"/>
                <w:szCs w:val="28"/>
                <w:rtl/>
                <w:lang w:eastAsia="ar-EG" w:bidi="ar-EG"/>
              </w:rPr>
              <w:t xml:space="preserve"> للإنفاذ الفعال للملكية الفكرية</w:t>
            </w:r>
          </w:p>
        </w:tc>
        <w:tc>
          <w:tcPr>
            <w:tcW w:w="969" w:type="pct"/>
            <w:shd w:val="clear" w:color="auto" w:fill="FFFFFF"/>
            <w:tcMar>
              <w:top w:w="110" w:type="dxa"/>
              <w:left w:w="58" w:type="dxa"/>
              <w:right w:w="58" w:type="dxa"/>
            </w:tcMar>
          </w:tcPr>
          <w:p w14:paraId="0B2063C2" w14:textId="147AC861" w:rsidR="00BB3820" w:rsidRPr="003876F3"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sz w:val="28"/>
                <w:szCs w:val="28"/>
                <w:rtl/>
                <w:lang w:eastAsia="ar-EG" w:bidi="ar-EG"/>
              </w:rPr>
              <w:t>31 بلداً/منظمة (تراكمي) في طور تعديل و/أو اعتماد الأطر اللازمة للإنفاذ الفعال للملكية الفكرية</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3876F3">
              <w:rPr>
                <w:rFonts w:ascii="Arabic Typesetting" w:eastAsia="Arabic Typesetting" w:hAnsi="Arabic Typesetting" w:cs="Arabic Typesetting"/>
                <w:sz w:val="28"/>
                <w:szCs w:val="28"/>
                <w:rtl/>
                <w:lang w:eastAsia="ar-EG" w:bidi="ar-EG"/>
              </w:rPr>
              <w:t>أفري</w:t>
            </w:r>
            <w:r>
              <w:rPr>
                <w:rFonts w:ascii="Arabic Typesetting" w:eastAsia="Arabic Typesetting" w:hAnsi="Arabic Typesetting" w:cs="Arabic Typesetting"/>
                <w:sz w:val="28"/>
                <w:szCs w:val="28"/>
                <w:rtl/>
                <w:lang w:eastAsia="ar-EG" w:bidi="ar-EG"/>
              </w:rPr>
              <w:t>قيا (12)؛ والمنطقة العربية (2)؛</w:t>
            </w:r>
            <w:r w:rsidRPr="003876F3">
              <w:rPr>
                <w:rFonts w:ascii="Arabic Typesetting" w:eastAsia="Arabic Typesetting" w:hAnsi="Arabic Typesetting" w:cs="Arabic Typesetting"/>
                <w:sz w:val="28"/>
                <w:szCs w:val="28"/>
                <w:rtl/>
                <w:lang w:eastAsia="ar-EG" w:bidi="ar-EG"/>
              </w:rPr>
              <w:t xml:space="preserve"> وآسيا والمحيط الهادئ (10)؛ وأمريكا اللاتينية والكاريبي (6)؛ و</w:t>
            </w:r>
            <w:r w:rsidR="00AF6433">
              <w:rPr>
                <w:rFonts w:ascii="Arabic Typesetting" w:eastAsia="Arabic Typesetting" w:hAnsi="Arabic Typesetting" w:cs="Arabic Typesetting"/>
                <w:sz w:val="28"/>
                <w:szCs w:val="28"/>
                <w:rtl/>
                <w:lang w:eastAsia="ar-EG" w:bidi="ar-EG"/>
              </w:rPr>
              <w:t>البلدان المتحولة</w:t>
            </w:r>
            <w:r>
              <w:rPr>
                <w:rFonts w:ascii="Arabic Typesetting" w:eastAsia="Arabic Typesetting" w:hAnsi="Arabic Typesetting" w:cs="Arabic Typesetting"/>
                <w:sz w:val="28"/>
                <w:szCs w:val="28"/>
                <w:rtl/>
                <w:lang w:eastAsia="ar-EG" w:bidi="ar-EG"/>
              </w:rPr>
              <w:t xml:space="preserve"> (1)</w:t>
            </w:r>
          </w:p>
        </w:tc>
        <w:tc>
          <w:tcPr>
            <w:tcW w:w="512" w:type="pct"/>
            <w:shd w:val="clear" w:color="auto" w:fill="auto"/>
            <w:tcMar>
              <w:top w:w="110" w:type="dxa"/>
              <w:left w:w="58" w:type="dxa"/>
              <w:right w:w="58" w:type="dxa"/>
            </w:tcMar>
          </w:tcPr>
          <w:p w14:paraId="749FCB30" w14:textId="77777777" w:rsidR="00BB3820" w:rsidRPr="003876F3" w:rsidRDefault="00BB3820"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3876F3">
              <w:rPr>
                <w:rFonts w:ascii="Arabic Typesetting" w:eastAsia="Arabic Typesetting" w:hAnsi="Arabic Typesetting" w:cs="Arabic Typesetting"/>
                <w:b/>
                <w:bCs/>
                <w:color w:val="00B050"/>
                <w:sz w:val="28"/>
                <w:szCs w:val="28"/>
                <w:rtl/>
                <w:lang w:eastAsia="ar-EG" w:bidi="ar-EG"/>
              </w:rPr>
              <w:t>ثابت</w:t>
            </w:r>
          </w:p>
        </w:tc>
      </w:tr>
      <w:tr w:rsidR="00BB3820" w:rsidRPr="003876F3" w14:paraId="0AEAB099" w14:textId="77777777" w:rsidTr="00BB3820">
        <w:trPr>
          <w:trHeight w:val="1967"/>
        </w:trPr>
        <w:tc>
          <w:tcPr>
            <w:tcW w:w="1072" w:type="pct"/>
            <w:shd w:val="clear" w:color="auto" w:fill="auto"/>
            <w:tcMar>
              <w:left w:w="58" w:type="dxa"/>
              <w:right w:w="58" w:type="dxa"/>
            </w:tcMar>
          </w:tcPr>
          <w:p w14:paraId="6C0EA3AD"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عدد البلدان التي اعتمدت و/أو</w:t>
            </w:r>
            <w:r>
              <w:rPr>
                <w:rFonts w:ascii="Arabic Typesetting" w:eastAsia="Arabic Typesetting" w:hAnsi="Arabic Typesetting" w:cs="Arabic Typesetting" w:hint="cs"/>
                <w:color w:val="000000"/>
                <w:sz w:val="28"/>
                <w:szCs w:val="28"/>
                <w:rtl/>
                <w:lang w:eastAsia="ar-EG" w:bidi="ar-EG"/>
              </w:rPr>
              <w:t> </w:t>
            </w:r>
            <w:r w:rsidRPr="003876F3">
              <w:rPr>
                <w:rFonts w:ascii="Arabic Typesetting" w:eastAsia="Arabic Typesetting" w:hAnsi="Arabic Typesetting" w:cs="Arabic Typesetting"/>
                <w:color w:val="000000"/>
                <w:sz w:val="28"/>
                <w:szCs w:val="28"/>
                <w:rtl/>
                <w:lang w:eastAsia="ar-EG" w:bidi="ar-EG"/>
              </w:rPr>
              <w:t xml:space="preserve">طبّقت استراتيجيةً وطنيةً بشأن إذكاء الاحترام للملكية الفكرية، أو في طريقها </w:t>
            </w:r>
            <w:r>
              <w:rPr>
                <w:rFonts w:ascii="Arabic Typesetting" w:eastAsia="Arabic Typesetting" w:hAnsi="Arabic Typesetting" w:cs="Arabic Typesetting"/>
                <w:color w:val="000000"/>
                <w:sz w:val="28"/>
                <w:szCs w:val="28"/>
                <w:rtl/>
                <w:lang w:eastAsia="ar-EG" w:bidi="ar-EG"/>
              </w:rPr>
              <w:t>إلى القيام بذلك، بمساعدة الويبو</w:t>
            </w:r>
          </w:p>
        </w:tc>
        <w:tc>
          <w:tcPr>
            <w:tcW w:w="1699" w:type="pct"/>
            <w:shd w:val="clear" w:color="auto" w:fill="auto"/>
            <w:tcMar>
              <w:left w:w="58" w:type="dxa"/>
              <w:right w:w="58" w:type="dxa"/>
            </w:tcMar>
          </w:tcPr>
          <w:p w14:paraId="08AA12E5"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بلدان في طريقهما إلى اعتماد استراتيجية من</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ذلك</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النوع</w:t>
            </w:r>
          </w:p>
        </w:tc>
        <w:tc>
          <w:tcPr>
            <w:tcW w:w="749" w:type="pct"/>
            <w:shd w:val="clear" w:color="auto" w:fill="auto"/>
            <w:tcMar>
              <w:top w:w="110" w:type="dxa"/>
              <w:left w:w="58" w:type="dxa"/>
              <w:right w:w="58" w:type="dxa"/>
            </w:tcMar>
          </w:tcPr>
          <w:p w14:paraId="7FA39628" w14:textId="77777777" w:rsidR="00BB3820" w:rsidRDefault="00BB3820" w:rsidP="0031289D">
            <w:pPr>
              <w:autoSpaceDE w:val="0"/>
              <w:autoSpaceDN w:val="0"/>
              <w:bidi/>
              <w:adjustRightInd w:val="0"/>
              <w:spacing w:after="120" w:line="280" w:lineRule="exact"/>
              <w:rPr>
                <w:rFonts w:ascii="Arabic Typesetting" w:eastAsia="Arabic Typesetting" w:hAnsi="Arabic Typesetting" w:cs="Arabic Typesetting"/>
                <w:color w:val="1F497D"/>
                <w:sz w:val="28"/>
                <w:szCs w:val="28"/>
                <w:lang w:eastAsia="ar-EG" w:bidi="ar-EG"/>
              </w:rPr>
            </w:pPr>
            <w:r w:rsidRPr="003876F3">
              <w:rPr>
                <w:rFonts w:ascii="Arabic Typesetting" w:eastAsia="Arabic Typesetting" w:hAnsi="Arabic Typesetting" w:cs="Arabic Typesetting"/>
                <w:i/>
                <w:iCs/>
                <w:color w:val="1F497D"/>
                <w:sz w:val="28"/>
                <w:szCs w:val="28"/>
                <w:rtl/>
                <w:lang w:eastAsia="ar-EG" w:bidi="ar-EG"/>
              </w:rPr>
              <w:t>الهدف المحدَّث</w:t>
            </w:r>
            <w:r>
              <w:rPr>
                <w:rFonts w:ascii="Arabic Typesetting" w:eastAsia="Arabic Typesetting" w:hAnsi="Arabic Typesetting" w:cs="Arabic Typesetting"/>
                <w:i/>
                <w:iCs/>
                <w:color w:val="1F497D"/>
                <w:sz w:val="28"/>
                <w:szCs w:val="28"/>
                <w:rtl/>
                <w:lang w:eastAsia="ar-EG" w:bidi="ar-EG"/>
              </w:rPr>
              <w:t>:</w:t>
            </w:r>
            <w:r>
              <w:rPr>
                <w:rFonts w:ascii="Arabic Typesetting" w:eastAsia="Arabic Typesetting" w:hAnsi="Arabic Typesetting" w:cs="Arabic Typesetting"/>
                <w:i/>
                <w:iCs/>
                <w:color w:val="1F497D"/>
                <w:sz w:val="28"/>
                <w:szCs w:val="28"/>
                <w:rtl/>
                <w:lang w:eastAsia="ar-EG" w:bidi="ar-EG"/>
              </w:rPr>
              <w:br/>
            </w:r>
            <w:r w:rsidRPr="003876F3">
              <w:rPr>
                <w:rFonts w:ascii="Arabic Typesetting" w:eastAsia="Arabic Typesetting" w:hAnsi="Arabic Typesetting" w:cs="Arabic Typesetting"/>
                <w:color w:val="1F497D"/>
                <w:sz w:val="28"/>
                <w:szCs w:val="28"/>
                <w:rtl/>
                <w:lang w:eastAsia="ar-EG" w:bidi="ar-EG"/>
              </w:rPr>
              <w:t>اعتماد بلدين استراتيجية من ذلك النوع خلال الثنائية</w:t>
            </w:r>
          </w:p>
          <w:p w14:paraId="41C47ADC" w14:textId="2A157DB1"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3876F3">
              <w:rPr>
                <w:rFonts w:ascii="Arabic Typesetting" w:eastAsia="Batang" w:hAnsi="Arabic Typesetting" w:cs="Arabic Typesetting"/>
                <w:i/>
                <w:sz w:val="28"/>
                <w:szCs w:val="28"/>
                <w:lang w:eastAsia="ar-EG" w:bidi="ar-EG"/>
              </w:rPr>
              <w:br/>
            </w:r>
            <w:r w:rsidRPr="003876F3">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876F3">
              <w:rPr>
                <w:rFonts w:ascii="Arabic Typesetting" w:eastAsia="Arabic Typesetting" w:hAnsi="Arabic Typesetting" w:cs="Arabic Typesetting"/>
                <w:color w:val="000000"/>
                <w:sz w:val="28"/>
                <w:szCs w:val="28"/>
                <w:rtl/>
                <w:lang w:eastAsia="ar-EG" w:bidi="ar-EG"/>
              </w:rPr>
              <w:t>اعتماد بلدين استراتيجية من ذلك</w:t>
            </w:r>
            <w:r>
              <w:rPr>
                <w:rFonts w:ascii="Arabic Typesetting" w:eastAsia="Arabic Typesetting" w:hAnsi="Arabic Typesetting" w:cs="Arabic Typesetting" w:hint="cs"/>
                <w:color w:val="000000"/>
                <w:sz w:val="28"/>
                <w:szCs w:val="28"/>
                <w:rtl/>
                <w:lang w:eastAsia="ar-EG" w:bidi="ar-EG"/>
              </w:rPr>
              <w:t> </w:t>
            </w:r>
            <w:r w:rsidRPr="003876F3">
              <w:rPr>
                <w:rFonts w:ascii="Arabic Typesetting" w:eastAsia="Arabic Typesetting" w:hAnsi="Arabic Typesetting" w:cs="Arabic Typesetting"/>
                <w:color w:val="000000"/>
                <w:sz w:val="28"/>
                <w:szCs w:val="28"/>
                <w:rtl/>
                <w:lang w:eastAsia="ar-EG" w:bidi="ar-EG"/>
              </w:rPr>
              <w:t>النوع</w:t>
            </w:r>
          </w:p>
        </w:tc>
        <w:tc>
          <w:tcPr>
            <w:tcW w:w="969" w:type="pct"/>
            <w:shd w:val="clear" w:color="auto" w:fill="FFFFFF"/>
            <w:tcMar>
              <w:top w:w="110" w:type="dxa"/>
              <w:left w:w="58" w:type="dxa"/>
              <w:right w:w="58" w:type="dxa"/>
            </w:tcMar>
          </w:tcPr>
          <w:p w14:paraId="29AA2D5A" w14:textId="77777777" w:rsidR="00BB3820" w:rsidRPr="003876F3" w:rsidRDefault="00BB3820" w:rsidP="0031289D">
            <w:pPr>
              <w:keepNext/>
              <w:keepLines/>
              <w:numPr>
                <w:ilvl w:val="0"/>
                <w:numId w:val="27"/>
              </w:numPr>
              <w:bidi/>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sz w:val="28"/>
                <w:szCs w:val="28"/>
                <w:rtl/>
                <w:lang w:eastAsia="ar-EG" w:bidi="ar-EG"/>
              </w:rPr>
              <w:t>بلد واحد (لاتفيا) في المراحل الأخيرة من اعتماد استراتيجية لإ</w:t>
            </w:r>
            <w:r>
              <w:rPr>
                <w:rFonts w:ascii="Arabic Typesetting" w:eastAsia="Arabic Typesetting" w:hAnsi="Arabic Typesetting" w:cs="Arabic Typesetting"/>
                <w:sz w:val="28"/>
                <w:szCs w:val="28"/>
                <w:rtl/>
                <w:lang w:eastAsia="ar-EG" w:bidi="ar-EG"/>
              </w:rPr>
              <w:t>ذكاء الاحترام للملكية</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الفكرية؛</w:t>
            </w:r>
          </w:p>
          <w:p w14:paraId="009AB0F6" w14:textId="77777777" w:rsidR="00BB3820" w:rsidRPr="003876F3" w:rsidRDefault="00BB3820" w:rsidP="0031289D">
            <w:pPr>
              <w:keepNext/>
              <w:keepLines/>
              <w:numPr>
                <w:ilvl w:val="0"/>
                <w:numId w:val="27"/>
              </w:num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sz w:val="28"/>
                <w:szCs w:val="28"/>
                <w:rtl/>
                <w:lang w:eastAsia="ar-EG" w:bidi="ar-EG"/>
              </w:rPr>
              <w:t>بلد واحد (ناميبيا)</w:t>
            </w:r>
            <w:r w:rsidRPr="003876F3">
              <w:rPr>
                <w:rFonts w:ascii="Arabic Typesetting" w:eastAsia="Arabic Typesetting" w:hAnsi="Arabic Typesetting" w:cs="Arabic Typesetting"/>
                <w:sz w:val="28"/>
                <w:szCs w:val="28"/>
                <w:rtl/>
                <w:lang w:eastAsia="ar-EG" w:bidi="ar-EG"/>
              </w:rPr>
              <w:t xml:space="preserve"> يطبِّق استراتيجية لإذكاء الاحترام للملكية الفكرية؛</w:t>
            </w:r>
          </w:p>
          <w:p w14:paraId="498389FC" w14:textId="77777777" w:rsidR="00BB3820" w:rsidRPr="003876F3" w:rsidRDefault="00BB3820" w:rsidP="0031289D">
            <w:pPr>
              <w:keepNext/>
              <w:keepLines/>
              <w:numPr>
                <w:ilvl w:val="0"/>
                <w:numId w:val="27"/>
              </w:numPr>
              <w:bidi/>
              <w:spacing w:after="120" w:line="280" w:lineRule="exact"/>
              <w:ind w:left="357" w:hanging="357"/>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sz w:val="28"/>
                <w:szCs w:val="28"/>
                <w:rtl/>
                <w:lang w:eastAsia="ar-EG" w:bidi="ar-EG"/>
              </w:rPr>
              <w:t>بلد واحد (كيريباس) قدم</w:t>
            </w:r>
            <w:r>
              <w:rPr>
                <w:rFonts w:ascii="Arabic Typesetting" w:eastAsia="Arabic Typesetting" w:hAnsi="Arabic Typesetting" w:cs="Arabic Typesetting" w:hint="cs"/>
                <w:sz w:val="28"/>
                <w:szCs w:val="28"/>
                <w:rtl/>
                <w:lang w:eastAsia="ar-EG" w:bidi="ar-EG"/>
              </w:rPr>
              <w:t> </w:t>
            </w:r>
            <w:r w:rsidRPr="003876F3">
              <w:rPr>
                <w:rFonts w:ascii="Arabic Typesetting" w:eastAsia="Arabic Typesetting" w:hAnsi="Arabic Typesetting" w:cs="Arabic Typesetting"/>
                <w:sz w:val="28"/>
                <w:szCs w:val="28"/>
                <w:rtl/>
                <w:lang w:eastAsia="ar-EG" w:bidi="ar-EG"/>
              </w:rPr>
              <w:t xml:space="preserve">المساعدة في صياغة استراتيجية </w:t>
            </w:r>
            <w:r>
              <w:rPr>
                <w:rFonts w:ascii="Arabic Typesetting" w:eastAsia="Arabic Typesetting" w:hAnsi="Arabic Typesetting" w:cs="Arabic Typesetting"/>
                <w:sz w:val="28"/>
                <w:szCs w:val="28"/>
                <w:rtl/>
                <w:lang w:eastAsia="ar-EG" w:bidi="ar-EG"/>
              </w:rPr>
              <w:t>لإذكاء الاحترام للملكية</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الفكرية</w:t>
            </w:r>
          </w:p>
        </w:tc>
        <w:tc>
          <w:tcPr>
            <w:tcW w:w="512" w:type="pct"/>
            <w:shd w:val="clear" w:color="auto" w:fill="auto"/>
            <w:tcMar>
              <w:top w:w="110" w:type="dxa"/>
              <w:left w:w="58" w:type="dxa"/>
              <w:right w:w="58" w:type="dxa"/>
            </w:tcMar>
          </w:tcPr>
          <w:p w14:paraId="5651605D" w14:textId="77777777" w:rsidR="00BB3820" w:rsidRPr="003876F3" w:rsidRDefault="00BB3820"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3876F3">
              <w:rPr>
                <w:rFonts w:ascii="Arabic Typesetting" w:eastAsia="Arabic Typesetting" w:hAnsi="Arabic Typesetting" w:cs="Arabic Typesetting"/>
                <w:b/>
                <w:bCs/>
                <w:color w:val="00B050"/>
                <w:sz w:val="28"/>
                <w:szCs w:val="28"/>
                <w:rtl/>
                <w:lang w:eastAsia="ar-EG" w:bidi="ar-EG"/>
              </w:rPr>
              <w:t>ثابت</w:t>
            </w:r>
          </w:p>
        </w:tc>
      </w:tr>
      <w:tr w:rsidR="00BB3820" w:rsidRPr="003876F3" w14:paraId="65435354" w14:textId="77777777" w:rsidTr="00BB3820">
        <w:trPr>
          <w:trHeight w:val="648"/>
        </w:trPr>
        <w:tc>
          <w:tcPr>
            <w:tcW w:w="5000" w:type="pct"/>
            <w:gridSpan w:val="5"/>
            <w:shd w:val="clear" w:color="auto" w:fill="C6D9F1"/>
            <w:tcMar>
              <w:left w:w="58" w:type="dxa"/>
              <w:right w:w="58" w:type="dxa"/>
            </w:tcMar>
            <w:vAlign w:val="center"/>
          </w:tcPr>
          <w:p w14:paraId="688584C4" w14:textId="77777777" w:rsidR="00BB3820" w:rsidRPr="003876F3" w:rsidRDefault="00BB3820" w:rsidP="0031289D">
            <w:pPr>
              <w:keepNext/>
              <w:keepLines/>
              <w:bidi/>
              <w:spacing w:before="120" w:after="120" w:line="280" w:lineRule="exact"/>
              <w:ind w:left="1452" w:hanging="1452"/>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b/>
                <w:bCs/>
                <w:sz w:val="28"/>
                <w:szCs w:val="28"/>
                <w:rtl/>
                <w:lang w:eastAsia="ar-EG" w:bidi="ar-EG"/>
              </w:rPr>
              <w:lastRenderedPageBreak/>
              <w:t>‏النتيجة المرتقبة:</w:t>
            </w:r>
            <w:r w:rsidRPr="003876F3">
              <w:rPr>
                <w:rFonts w:ascii="Arabic Typesetting" w:eastAsia="Arabic Typesetting" w:hAnsi="Arabic Typesetting" w:cs="Arabic Typesetting"/>
                <w:sz w:val="28"/>
                <w:szCs w:val="28"/>
                <w:lang w:eastAsia="ar-EG" w:bidi="ar-EG"/>
              </w:rPr>
              <w:tab/>
            </w:r>
            <w:r w:rsidRPr="003876F3">
              <w:rPr>
                <w:rFonts w:ascii="Arabic Typesetting" w:eastAsia="Arabic Typesetting" w:hAnsi="Arabic Typesetting" w:cs="Arabic Typesetting"/>
                <w:sz w:val="28"/>
                <w:szCs w:val="28"/>
                <w:rtl/>
                <w:lang w:eastAsia="ar-EG" w:bidi="ar-EG"/>
              </w:rPr>
              <w:t>‏ه</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cs/>
                <w:lang w:eastAsia="ar-EG" w:bidi="ar-EG"/>
              </w:rPr>
              <w:t>2.3</w:t>
            </w:r>
            <w:r w:rsidRPr="003876F3">
              <w:rPr>
                <w:rFonts w:ascii="Arabic Typesetting" w:eastAsia="Arabic Typesetting" w:hAnsi="Arabic Typesetting" w:cs="Arabic Typesetting"/>
                <w:sz w:val="28"/>
                <w:szCs w:val="28"/>
                <w:rtl/>
                <w:lang w:eastAsia="ar-EG" w:bidi="ar-EG"/>
              </w:rPr>
              <w:t>‏ كفاءات</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‏معزَّزة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‏للموارد</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‏البشرية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‏القادرة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‏على</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‏تلبية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‏تشكيلة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‏واسعة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‏من</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‏المتطلبات</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‏لتسخير</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‏الملكية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‏الفكرية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‏بفعالية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‏لأغراض</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‏التنمية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‏في</w:t>
            </w:r>
            <w:r w:rsidRPr="003876F3">
              <w:rPr>
                <w:rFonts w:ascii="Arabic Typesetting" w:eastAsia="Arabic Typesetting" w:hAnsi="Arabic Typesetting" w:cs="Arabic Typesetting"/>
                <w:sz w:val="28"/>
                <w:szCs w:val="28"/>
                <w:cs/>
                <w:lang w:eastAsia="ar-EG" w:bidi="ar-EG"/>
              </w:rPr>
              <w:t>‎</w:t>
            </w:r>
            <w:r>
              <w:rPr>
                <w:rFonts w:ascii="Arabic Typesetting" w:eastAsia="Arabic Typesetting" w:hAnsi="Arabic Typesetting" w:cs="Arabic Typesetting" w:hint="cs"/>
                <w:sz w:val="28"/>
                <w:szCs w:val="28"/>
                <w:rtl/>
                <w:lang w:eastAsia="ar-EG" w:bidi="ar-EG"/>
              </w:rPr>
              <w:t> </w:t>
            </w:r>
            <w:r w:rsidRPr="003876F3">
              <w:rPr>
                <w:rFonts w:ascii="Arabic Typesetting" w:eastAsia="Arabic Typesetting" w:hAnsi="Arabic Typesetting" w:cs="Arabic Typesetting"/>
                <w:sz w:val="28"/>
                <w:szCs w:val="28"/>
                <w:rtl/>
                <w:lang w:eastAsia="ar-EG" w:bidi="ar-EG"/>
              </w:rPr>
              <w:t>‏البلدان</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‏النامية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‏والبلدان</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‏الأقل</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‏نموا</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‏والبلدان</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‏المنتقلة</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‏إلى</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w:t>
            </w:r>
            <w:r>
              <w:rPr>
                <w:rFonts w:ascii="Arabic Typesetting" w:eastAsia="Arabic Typesetting" w:hAnsi="Arabic Typesetting" w:cs="Arabic Typesetting" w:hint="cs"/>
                <w:sz w:val="28"/>
                <w:szCs w:val="28"/>
                <w:rtl/>
                <w:lang w:eastAsia="ar-EG" w:bidi="ar-EG"/>
              </w:rPr>
              <w:t>نظام</w:t>
            </w:r>
            <w:r w:rsidRPr="003876F3">
              <w:rPr>
                <w:rFonts w:ascii="Arabic Typesetting" w:eastAsia="Arabic Typesetting" w:hAnsi="Arabic Typesetting" w:cs="Arabic Typesetting"/>
                <w:sz w:val="28"/>
                <w:szCs w:val="28"/>
                <w:cs/>
                <w:lang w:eastAsia="ar-EG" w:bidi="ar-EG"/>
              </w:rPr>
              <w:t>‎</w:t>
            </w:r>
            <w:r w:rsidRPr="003876F3">
              <w:rPr>
                <w:rFonts w:ascii="Arabic Typesetting" w:eastAsia="Arabic Typesetting" w:hAnsi="Arabic Typesetting" w:cs="Arabic Typesetting"/>
                <w:sz w:val="28"/>
                <w:szCs w:val="28"/>
                <w:rtl/>
                <w:lang w:eastAsia="ar-EG" w:bidi="ar-EG"/>
              </w:rPr>
              <w:t xml:space="preserve"> ‏</w:t>
            </w:r>
            <w:r>
              <w:rPr>
                <w:rFonts w:ascii="Arabic Typesetting" w:eastAsia="Arabic Typesetting" w:hAnsi="Arabic Typesetting" w:cs="Arabic Typesetting" w:hint="cs"/>
                <w:sz w:val="28"/>
                <w:szCs w:val="28"/>
                <w:rtl/>
                <w:lang w:eastAsia="ar-EG" w:bidi="ar-EG"/>
              </w:rPr>
              <w:t>الاقتصاد</w:t>
            </w:r>
            <w:r w:rsidRPr="003876F3">
              <w:rPr>
                <w:rFonts w:ascii="Arabic Typesetting" w:eastAsia="Arabic Typesetting" w:hAnsi="Arabic Typesetting" w:cs="Arabic Typesetting"/>
                <w:sz w:val="28"/>
                <w:szCs w:val="28"/>
                <w:cs/>
                <w:lang w:eastAsia="ar-EG" w:bidi="ar-EG"/>
              </w:rPr>
              <w:t>‎</w:t>
            </w:r>
            <w:r>
              <w:rPr>
                <w:rFonts w:ascii="Arabic Typesetting" w:eastAsia="Arabic Typesetting" w:hAnsi="Arabic Typesetting" w:cs="Arabic Typesetting"/>
                <w:sz w:val="28"/>
                <w:szCs w:val="28"/>
                <w:rtl/>
                <w:lang w:eastAsia="ar-EG" w:bidi="ar-EG"/>
              </w:rPr>
              <w:t xml:space="preserve"> ‏الحر</w:t>
            </w:r>
          </w:p>
        </w:tc>
      </w:tr>
      <w:tr w:rsidR="00BB3820" w:rsidRPr="003876F3" w14:paraId="7D1DED3E" w14:textId="77777777" w:rsidTr="00BB3820">
        <w:tc>
          <w:tcPr>
            <w:tcW w:w="1072" w:type="pct"/>
            <w:shd w:val="clear" w:color="auto" w:fill="auto"/>
            <w:tcMar>
              <w:left w:w="58" w:type="dxa"/>
              <w:right w:w="58" w:type="dxa"/>
            </w:tcMar>
            <w:vAlign w:val="center"/>
          </w:tcPr>
          <w:p w14:paraId="62E0AE95" w14:textId="77777777" w:rsidR="00BB3820" w:rsidRPr="003876F3" w:rsidRDefault="00BB3820"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مؤشرات الأداء</w:t>
            </w:r>
          </w:p>
        </w:tc>
        <w:tc>
          <w:tcPr>
            <w:tcW w:w="1699" w:type="pct"/>
            <w:shd w:val="clear" w:color="auto" w:fill="auto"/>
            <w:tcMar>
              <w:left w:w="58" w:type="dxa"/>
              <w:right w:w="58" w:type="dxa"/>
            </w:tcMar>
            <w:vAlign w:val="center"/>
          </w:tcPr>
          <w:p w14:paraId="609667A3" w14:textId="77777777" w:rsidR="00BB3820" w:rsidRPr="003876F3" w:rsidRDefault="00BB3820"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أسس المقارنة</w:t>
            </w:r>
          </w:p>
        </w:tc>
        <w:tc>
          <w:tcPr>
            <w:tcW w:w="749" w:type="pct"/>
            <w:shd w:val="clear" w:color="auto" w:fill="auto"/>
            <w:tcMar>
              <w:top w:w="110" w:type="dxa"/>
              <w:left w:w="58" w:type="dxa"/>
              <w:right w:w="58" w:type="dxa"/>
            </w:tcMar>
            <w:vAlign w:val="center"/>
          </w:tcPr>
          <w:p w14:paraId="0512CC6F" w14:textId="77777777" w:rsidR="00BB3820" w:rsidRPr="003876F3" w:rsidRDefault="00BB3820"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الأهداف</w:t>
            </w:r>
          </w:p>
        </w:tc>
        <w:tc>
          <w:tcPr>
            <w:tcW w:w="969" w:type="pct"/>
            <w:shd w:val="clear" w:color="auto" w:fill="FFFFFF"/>
            <w:tcMar>
              <w:top w:w="110" w:type="dxa"/>
              <w:left w:w="58" w:type="dxa"/>
              <w:right w:w="58" w:type="dxa"/>
            </w:tcMar>
            <w:vAlign w:val="center"/>
          </w:tcPr>
          <w:p w14:paraId="3D39673C" w14:textId="77777777" w:rsidR="00BB3820" w:rsidRPr="003876F3" w:rsidRDefault="00BB3820"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بيانات الأداء</w:t>
            </w:r>
          </w:p>
        </w:tc>
        <w:tc>
          <w:tcPr>
            <w:tcW w:w="512" w:type="pct"/>
            <w:shd w:val="clear" w:color="auto" w:fill="auto"/>
            <w:tcMar>
              <w:top w:w="110" w:type="dxa"/>
              <w:left w:w="58" w:type="dxa"/>
              <w:right w:w="58" w:type="dxa"/>
            </w:tcMar>
            <w:vAlign w:val="center"/>
          </w:tcPr>
          <w:p w14:paraId="5E3A4961" w14:textId="77777777" w:rsidR="00BB3820" w:rsidRPr="003876F3" w:rsidRDefault="00BB3820"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B3820" w:rsidRPr="003876F3" w14:paraId="6047746D" w14:textId="77777777" w:rsidTr="00BB3820">
        <w:trPr>
          <w:trHeight w:val="107"/>
        </w:trPr>
        <w:tc>
          <w:tcPr>
            <w:tcW w:w="1072" w:type="pct"/>
            <w:shd w:val="clear" w:color="auto" w:fill="auto"/>
            <w:tcMar>
              <w:left w:w="58" w:type="dxa"/>
              <w:right w:w="58" w:type="dxa"/>
            </w:tcMar>
          </w:tcPr>
          <w:p w14:paraId="00237005" w14:textId="5D969B3C" w:rsidR="00BB3820" w:rsidRPr="003876F3" w:rsidRDefault="00BB3820" w:rsidP="004B40B5">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النسبة المئوية للمشاركين المُدرَّبين الراضين عن فائدة ووجاهة التدريب المُقدَّم</w:t>
            </w:r>
            <w:r>
              <w:rPr>
                <w:rFonts w:ascii="Arabic Typesetting" w:eastAsia="Arabic Typesetting" w:hAnsi="Arabic Typesetting" w:cs="Arabic Typesetting"/>
                <w:color w:val="000000"/>
                <w:sz w:val="28"/>
                <w:szCs w:val="28"/>
                <w:rtl/>
                <w:lang w:eastAsia="ar-EG" w:bidi="ar-EG"/>
              </w:rPr>
              <w:t xml:space="preserve"> من أجل </w:t>
            </w:r>
            <w:r w:rsidR="004B40B5">
              <w:rPr>
                <w:rFonts w:ascii="Arabic Typesetting" w:eastAsia="Arabic Typesetting" w:hAnsi="Arabic Typesetting" w:cs="Arabic Typesetting" w:hint="cs"/>
                <w:color w:val="000000"/>
                <w:sz w:val="28"/>
                <w:szCs w:val="28"/>
                <w:rtl/>
                <w:lang w:eastAsia="ar-EG" w:bidi="ar-EG"/>
              </w:rPr>
              <w:t>أداء</w:t>
            </w:r>
            <w:r>
              <w:rPr>
                <w:rFonts w:ascii="Arabic Typesetting" w:eastAsia="Arabic Typesetting" w:hAnsi="Arabic Typesetting" w:cs="Arabic Typesetting"/>
                <w:color w:val="000000"/>
                <w:sz w:val="28"/>
                <w:szCs w:val="28"/>
                <w:rtl/>
                <w:lang w:eastAsia="ar-EG" w:bidi="ar-EG"/>
              </w:rPr>
              <w:t xml:space="preserve"> واجباتهم المهنية</w:t>
            </w:r>
          </w:p>
        </w:tc>
        <w:tc>
          <w:tcPr>
            <w:tcW w:w="1699" w:type="pct"/>
            <w:shd w:val="clear" w:color="auto" w:fill="auto"/>
            <w:tcMar>
              <w:left w:w="58" w:type="dxa"/>
              <w:right w:w="58" w:type="dxa"/>
            </w:tcMar>
          </w:tcPr>
          <w:p w14:paraId="6A8D131B" w14:textId="77777777" w:rsidR="00BB3820" w:rsidRPr="003876F3" w:rsidRDefault="00BB3820" w:rsidP="0031289D">
            <w:pPr>
              <w:keepNext/>
              <w:keepLines/>
              <w:bidi/>
              <w:spacing w:line="280" w:lineRule="exact"/>
              <w:rPr>
                <w:rFonts w:ascii="Arabic Typesetting" w:eastAsia="Arabic Typesetting" w:hAnsi="Arabic Typesetting" w:cs="Arabic Typesetting"/>
                <w:color w:val="1F497D"/>
                <w:sz w:val="28"/>
                <w:szCs w:val="28"/>
                <w:lang w:eastAsia="ar-EG" w:bidi="ar-EG"/>
              </w:rPr>
            </w:pPr>
            <w:r w:rsidRPr="003876F3">
              <w:rPr>
                <w:rFonts w:ascii="Arabic Typesetting" w:eastAsia="Arabic Typesetting" w:hAnsi="Arabic Typesetting" w:cs="Arabic Typesetting"/>
                <w:i/>
                <w:iCs/>
                <w:color w:val="1F497D"/>
                <w:sz w:val="28"/>
                <w:szCs w:val="28"/>
                <w:rtl/>
                <w:lang w:eastAsia="ar-EG" w:bidi="ar-EG"/>
              </w:rPr>
              <w:t>أساس المقارنة المُحدَّث في نهاية 2015</w:t>
            </w:r>
            <w:r>
              <w:rPr>
                <w:rFonts w:ascii="Arabic Typesetting" w:eastAsia="Arabic Typesetting" w:hAnsi="Arabic Typesetting" w:cs="Arabic Typesetting"/>
                <w:i/>
                <w:iCs/>
                <w:color w:val="1F497D"/>
                <w:sz w:val="28"/>
                <w:szCs w:val="28"/>
                <w:rtl/>
                <w:lang w:eastAsia="ar-EG" w:bidi="ar-EG"/>
              </w:rPr>
              <w:t>:</w:t>
            </w:r>
            <w:r>
              <w:rPr>
                <w:rFonts w:ascii="Arabic Typesetting" w:eastAsia="Arabic Typesetting" w:hAnsi="Arabic Typesetting" w:cs="Arabic Typesetting"/>
                <w:i/>
                <w:iCs/>
                <w:color w:val="1F497D"/>
                <w:sz w:val="28"/>
                <w:szCs w:val="28"/>
                <w:rtl/>
                <w:lang w:eastAsia="ar-EG" w:bidi="ar-EG"/>
              </w:rPr>
              <w:br/>
            </w:r>
            <w:r w:rsidRPr="003876F3">
              <w:rPr>
                <w:rFonts w:ascii="Arabic Typesetting" w:eastAsia="Arabic Typesetting" w:hAnsi="Arabic Typesetting" w:cs="Arabic Typesetting"/>
                <w:color w:val="1F497D"/>
                <w:sz w:val="28"/>
                <w:szCs w:val="28"/>
                <w:rtl/>
                <w:lang w:eastAsia="ar-EG" w:bidi="ar-EG"/>
              </w:rPr>
              <w:t>معدل الفائدة المتوسط</w:t>
            </w:r>
            <w:r>
              <w:rPr>
                <w:rFonts w:ascii="Arabic Typesetting" w:eastAsia="Arabic Typesetting" w:hAnsi="Arabic Typesetting" w:cs="Arabic Typesetting"/>
                <w:color w:val="1F497D"/>
                <w:sz w:val="28"/>
                <w:szCs w:val="28"/>
                <w:rtl/>
                <w:lang w:eastAsia="ar-EG" w:bidi="ar-EG"/>
              </w:rPr>
              <w:t>:</w:t>
            </w:r>
            <w:r>
              <w:rPr>
                <w:rFonts w:ascii="Arabic Typesetting" w:eastAsia="Arabic Typesetting" w:hAnsi="Arabic Typesetting" w:cs="Arabic Typesetting" w:hint="cs"/>
                <w:color w:val="1F497D"/>
                <w:sz w:val="28"/>
                <w:szCs w:val="28"/>
                <w:rtl/>
                <w:lang w:eastAsia="ar-EG" w:bidi="ar-EG"/>
              </w:rPr>
              <w:t xml:space="preserve"> </w:t>
            </w:r>
            <w:r w:rsidRPr="003876F3">
              <w:rPr>
                <w:rFonts w:ascii="Arabic Typesetting" w:eastAsia="Arabic Typesetting" w:hAnsi="Arabic Typesetting" w:cs="Arabic Typesetting"/>
                <w:color w:val="1F497D"/>
                <w:sz w:val="28"/>
                <w:szCs w:val="28"/>
                <w:rtl/>
                <w:lang w:eastAsia="ar-EG" w:bidi="ar-EG"/>
              </w:rPr>
              <w:t>93%</w:t>
            </w:r>
          </w:p>
          <w:p w14:paraId="4122E1DB" w14:textId="77777777" w:rsidR="00BB3820" w:rsidRDefault="00BB3820" w:rsidP="0031289D">
            <w:pPr>
              <w:keepNext/>
              <w:keepLines/>
              <w:bidi/>
              <w:spacing w:after="120" w:line="280" w:lineRule="exact"/>
              <w:rPr>
                <w:rFonts w:ascii="Arabic Typesetting" w:eastAsia="Arabic Typesetting" w:hAnsi="Arabic Typesetting" w:cs="Arabic Typesetting"/>
                <w:color w:val="1F497D"/>
                <w:sz w:val="28"/>
                <w:szCs w:val="28"/>
                <w:lang w:eastAsia="ar-EG" w:bidi="ar-EG"/>
              </w:rPr>
            </w:pPr>
            <w:r w:rsidRPr="003876F3">
              <w:rPr>
                <w:rFonts w:ascii="Arabic Typesetting" w:eastAsia="Arabic Typesetting" w:hAnsi="Arabic Typesetting" w:cs="Arabic Typesetting"/>
                <w:color w:val="1F497D"/>
                <w:sz w:val="28"/>
                <w:szCs w:val="28"/>
                <w:rtl/>
                <w:lang w:eastAsia="ar-EG" w:bidi="ar-EG"/>
              </w:rPr>
              <w:t>معدل الرضا المتوسط</w:t>
            </w:r>
            <w:r>
              <w:rPr>
                <w:rFonts w:ascii="Arabic Typesetting" w:eastAsia="Arabic Typesetting" w:hAnsi="Arabic Typesetting" w:cs="Arabic Typesetting"/>
                <w:color w:val="1F497D"/>
                <w:sz w:val="28"/>
                <w:szCs w:val="28"/>
                <w:rtl/>
                <w:lang w:eastAsia="ar-EG" w:bidi="ar-EG"/>
              </w:rPr>
              <w:t>:</w:t>
            </w:r>
            <w:r>
              <w:rPr>
                <w:rFonts w:ascii="Arabic Typesetting" w:eastAsia="Arabic Typesetting" w:hAnsi="Arabic Typesetting" w:cs="Arabic Typesetting" w:hint="cs"/>
                <w:color w:val="1F497D"/>
                <w:sz w:val="28"/>
                <w:szCs w:val="28"/>
                <w:rtl/>
                <w:lang w:eastAsia="ar-EG" w:bidi="ar-EG"/>
              </w:rPr>
              <w:t xml:space="preserve"> </w:t>
            </w:r>
            <w:r w:rsidRPr="003876F3">
              <w:rPr>
                <w:rFonts w:ascii="Arabic Typesetting" w:eastAsia="Arabic Typesetting" w:hAnsi="Arabic Typesetting" w:cs="Arabic Typesetting"/>
                <w:color w:val="1F497D"/>
                <w:sz w:val="28"/>
                <w:szCs w:val="28"/>
                <w:rtl/>
                <w:lang w:eastAsia="ar-EG" w:bidi="ar-EG"/>
              </w:rPr>
              <w:t>92%</w:t>
            </w:r>
          </w:p>
          <w:p w14:paraId="723F57C3" w14:textId="77777777" w:rsidR="00BB3820" w:rsidRPr="003876F3" w:rsidRDefault="00BB3820" w:rsidP="0031289D">
            <w:pPr>
              <w:keepNext/>
              <w:keepLines/>
              <w:autoSpaceDE w:val="0"/>
              <w:autoSpaceDN w:val="0"/>
              <w:bidi/>
              <w:adjustRightInd w:val="0"/>
              <w:spacing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3876F3">
              <w:rPr>
                <w:rFonts w:ascii="Arabic Typesetting" w:eastAsia="Arabic Typesetting" w:hAnsi="Arabic Typesetting" w:cs="Arabic Typesetting"/>
                <w:i/>
                <w:iCs/>
                <w:color w:val="000000"/>
                <w:sz w:val="28"/>
                <w:szCs w:val="28"/>
                <w:rtl/>
                <w:lang w:eastAsia="ar-EG" w:bidi="ar-EG"/>
              </w:rPr>
              <w:t>:</w:t>
            </w:r>
            <w:r w:rsidRPr="003876F3">
              <w:rPr>
                <w:rFonts w:ascii="Arabic Typesetting" w:eastAsia="Batang" w:hAnsi="Arabic Typesetting" w:cs="Arabic Typesetting"/>
                <w:i/>
                <w:color w:val="000000"/>
                <w:sz w:val="28"/>
                <w:szCs w:val="28"/>
                <w:lang w:eastAsia="ar-EG" w:bidi="ar-EG"/>
              </w:rPr>
              <w:br/>
            </w:r>
            <w:r w:rsidRPr="003876F3">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3876F3">
              <w:rPr>
                <w:rFonts w:ascii="Arabic Typesetting" w:eastAsia="Arabic Typesetting" w:hAnsi="Arabic Typesetting" w:cs="Arabic Typesetting"/>
                <w:color w:val="000000"/>
                <w:sz w:val="28"/>
                <w:szCs w:val="28"/>
                <w:rtl/>
                <w:lang w:eastAsia="ar-EG" w:bidi="ar-EG"/>
              </w:rPr>
              <w:t>الجدوى</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rtl/>
                <w:lang w:eastAsia="ar-EG" w:bidi="ar-EG"/>
              </w:rPr>
              <w:t>90%</w:t>
            </w:r>
            <w:r>
              <w:rPr>
                <w:rFonts w:ascii="Arabic Typesetting" w:eastAsia="Arabic Typesetting" w:hAnsi="Arabic Typesetting" w:cs="Arabic Typesetting" w:hint="cs"/>
                <w:color w:val="000000"/>
                <w:sz w:val="28"/>
                <w:szCs w:val="28"/>
                <w:rtl/>
                <w:lang w:eastAsia="ar-EG" w:bidi="ar-EG"/>
              </w:rPr>
              <w:t xml:space="preserve"> - ال</w:t>
            </w:r>
            <w:r w:rsidRPr="003876F3">
              <w:rPr>
                <w:rFonts w:ascii="Arabic Typesetting" w:eastAsia="Arabic Typesetting" w:hAnsi="Arabic Typesetting" w:cs="Arabic Typesetting"/>
                <w:color w:val="000000"/>
                <w:sz w:val="28"/>
                <w:szCs w:val="28"/>
                <w:rtl/>
                <w:lang w:eastAsia="ar-EG" w:bidi="ar-EG"/>
              </w:rPr>
              <w:t>فائدة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rtl/>
                <w:lang w:eastAsia="ar-EG" w:bidi="ar-EG"/>
              </w:rPr>
              <w:t>90%</w:t>
            </w:r>
          </w:p>
          <w:p w14:paraId="0316BF71" w14:textId="77777777" w:rsidR="00BB3820" w:rsidRPr="003876F3" w:rsidRDefault="00BB3820"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(في 15 فبراير 2015)</w:t>
            </w:r>
          </w:p>
        </w:tc>
        <w:tc>
          <w:tcPr>
            <w:tcW w:w="749" w:type="pct"/>
            <w:shd w:val="clear" w:color="auto" w:fill="auto"/>
            <w:tcMar>
              <w:top w:w="110" w:type="dxa"/>
              <w:left w:w="58" w:type="dxa"/>
              <w:right w:w="58" w:type="dxa"/>
            </w:tcMar>
          </w:tcPr>
          <w:p w14:paraId="1ABAFF3C" w14:textId="77777777" w:rsidR="00BB3820" w:rsidRPr="003876F3" w:rsidRDefault="00BB3820"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الجدوى</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3876F3">
              <w:rPr>
                <w:rFonts w:ascii="Arabic Typesetting" w:eastAsia="Arabic Typesetting" w:hAnsi="Arabic Typesetting" w:cs="Arabic Typesetting"/>
                <w:color w:val="000000"/>
                <w:sz w:val="28"/>
                <w:szCs w:val="28"/>
                <w:rtl/>
                <w:lang w:eastAsia="ar-EG" w:bidi="ar-EG"/>
              </w:rPr>
              <w:t xml:space="preserve">أعلى من </w:t>
            </w:r>
            <w:r>
              <w:rPr>
                <w:rFonts w:ascii="Arabic Typesetting" w:eastAsia="Arabic Typesetting" w:hAnsi="Arabic Typesetting" w:cs="Arabic Typesetting"/>
                <w:color w:val="000000"/>
                <w:sz w:val="28"/>
                <w:szCs w:val="28"/>
                <w:rtl/>
                <w:lang w:eastAsia="ar-EG" w:bidi="ar-EG"/>
              </w:rPr>
              <w:t>85%</w:t>
            </w:r>
            <w:r>
              <w:rPr>
                <w:rFonts w:ascii="Arabic Typesetting" w:eastAsia="Arabic Typesetting" w:hAnsi="Arabic Typesetting" w:cs="Arabic Typesetting"/>
                <w:color w:val="000000"/>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ال</w:t>
            </w:r>
            <w:r w:rsidRPr="003876F3">
              <w:rPr>
                <w:rFonts w:ascii="Arabic Typesetting" w:eastAsia="Arabic Typesetting" w:hAnsi="Arabic Typesetting" w:cs="Arabic Typesetting"/>
                <w:color w:val="000000"/>
                <w:sz w:val="28"/>
                <w:szCs w:val="28"/>
                <w:rtl/>
                <w:lang w:eastAsia="ar-EG" w:bidi="ar-EG"/>
              </w:rPr>
              <w:t>فائدة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rtl/>
                <w:lang w:eastAsia="ar-EG" w:bidi="ar-EG"/>
              </w:rPr>
              <w:t>‏أعلى من 85%</w:t>
            </w:r>
          </w:p>
        </w:tc>
        <w:tc>
          <w:tcPr>
            <w:tcW w:w="969" w:type="pct"/>
            <w:shd w:val="clear" w:color="auto" w:fill="FFFFFF"/>
            <w:tcMar>
              <w:top w:w="110" w:type="dxa"/>
              <w:left w:w="58" w:type="dxa"/>
              <w:right w:w="58" w:type="dxa"/>
            </w:tcMar>
          </w:tcPr>
          <w:p w14:paraId="12DE6895" w14:textId="77777777" w:rsidR="00BB3820" w:rsidRPr="003876F3" w:rsidRDefault="00BB3820" w:rsidP="0031289D">
            <w:pPr>
              <w:keepNext/>
              <w:keepLines/>
              <w:bidi/>
              <w:spacing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الجدوى</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3876F3">
              <w:rPr>
                <w:rFonts w:ascii="Arabic Typesetting" w:eastAsia="Arabic Typesetting" w:hAnsi="Arabic Typesetting" w:cs="Arabic Typesetting"/>
                <w:color w:val="000000"/>
                <w:sz w:val="28"/>
                <w:szCs w:val="28"/>
                <w:rtl/>
                <w:lang w:eastAsia="ar-EG" w:bidi="ar-EG"/>
              </w:rPr>
              <w:t>92%</w:t>
            </w:r>
          </w:p>
          <w:p w14:paraId="795EE70E" w14:textId="77777777" w:rsidR="00BB3820" w:rsidRPr="003876F3" w:rsidRDefault="00BB3820"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الفائدة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3876F3">
              <w:rPr>
                <w:rFonts w:ascii="Arabic Typesetting" w:eastAsia="Arabic Typesetting" w:hAnsi="Arabic Typesetting" w:cs="Arabic Typesetting"/>
                <w:color w:val="000000"/>
                <w:sz w:val="28"/>
                <w:szCs w:val="28"/>
                <w:rtl/>
                <w:lang w:eastAsia="ar-EG" w:bidi="ar-EG"/>
              </w:rPr>
              <w:t>92%</w:t>
            </w:r>
          </w:p>
        </w:tc>
        <w:tc>
          <w:tcPr>
            <w:tcW w:w="512" w:type="pct"/>
            <w:shd w:val="clear" w:color="auto" w:fill="auto"/>
            <w:tcMar>
              <w:top w:w="110" w:type="dxa"/>
              <w:left w:w="58" w:type="dxa"/>
              <w:right w:w="58" w:type="dxa"/>
            </w:tcMar>
          </w:tcPr>
          <w:p w14:paraId="48D2F680" w14:textId="77777777" w:rsidR="00BB3820" w:rsidRPr="003876F3" w:rsidRDefault="00BB3820"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3876F3">
              <w:rPr>
                <w:rFonts w:ascii="Arabic Typesetting" w:eastAsia="Arabic Typesetting" w:hAnsi="Arabic Typesetting" w:cs="Arabic Typesetting"/>
                <w:b/>
                <w:bCs/>
                <w:color w:val="00B050"/>
                <w:sz w:val="28"/>
                <w:szCs w:val="28"/>
                <w:rtl/>
                <w:lang w:eastAsia="ar-EG" w:bidi="ar-EG"/>
              </w:rPr>
              <w:t>ثابت</w:t>
            </w:r>
          </w:p>
        </w:tc>
      </w:tr>
      <w:tr w:rsidR="00BB3820" w:rsidRPr="003876F3" w14:paraId="2E10E5A1" w14:textId="77777777" w:rsidTr="00BB3820">
        <w:trPr>
          <w:trHeight w:val="565"/>
        </w:trPr>
        <w:tc>
          <w:tcPr>
            <w:tcW w:w="5000" w:type="pct"/>
            <w:gridSpan w:val="5"/>
            <w:shd w:val="clear" w:color="auto" w:fill="C6D9F1"/>
            <w:tcMar>
              <w:left w:w="58" w:type="dxa"/>
              <w:right w:w="58" w:type="dxa"/>
            </w:tcMar>
            <w:vAlign w:val="center"/>
          </w:tcPr>
          <w:p w14:paraId="304A50F7" w14:textId="77777777" w:rsidR="00BB3820" w:rsidRPr="003876F3" w:rsidRDefault="00BB3820" w:rsidP="0031289D">
            <w:pPr>
              <w:keepNext/>
              <w:keepLines/>
              <w:bidi/>
              <w:spacing w:before="120" w:after="120" w:line="280" w:lineRule="exact"/>
              <w:ind w:left="1452" w:hanging="1452"/>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b/>
                <w:bCs/>
                <w:sz w:val="28"/>
                <w:szCs w:val="28"/>
                <w:rtl/>
                <w:lang w:eastAsia="ar-EG" w:bidi="ar-EG"/>
              </w:rPr>
              <w:t>‏النتيجة المرتقبة:</w:t>
            </w:r>
            <w:r w:rsidRPr="003876F3">
              <w:rPr>
                <w:rFonts w:ascii="Arabic Typesetting" w:eastAsia="Arabic Typesetting" w:hAnsi="Arabic Typesetting" w:cs="Arabic Typesetting"/>
                <w:sz w:val="28"/>
                <w:szCs w:val="28"/>
                <w:lang w:eastAsia="ar-EG" w:bidi="ar-EG"/>
              </w:rPr>
              <w:tab/>
            </w:r>
            <w:r w:rsidRPr="003876F3">
              <w:rPr>
                <w:rFonts w:ascii="Arabic Typesetting" w:eastAsia="Arabic Typesetting" w:hAnsi="Arabic Typesetting" w:cs="Arabic Typesetting"/>
                <w:sz w:val="28"/>
                <w:szCs w:val="28"/>
                <w:rtl/>
                <w:lang w:eastAsia="ar-EG" w:bidi="ar-EG"/>
              </w:rPr>
              <w:t>ه1.6 تقدّم في الحوار السياسي الدولي بين الدول الأعضاء في الويبو حول إذكاء الاحترام للملكية الفكرية، مع الاسترشاد بالتوصية رقم</w:t>
            </w:r>
            <w:r>
              <w:rPr>
                <w:rFonts w:ascii="Arabic Typesetting" w:eastAsia="Arabic Typesetting" w:hAnsi="Arabic Typesetting" w:cs="Arabic Typesetting" w:hint="cs"/>
                <w:sz w:val="28"/>
                <w:szCs w:val="28"/>
                <w:rtl/>
                <w:lang w:eastAsia="ar-EG" w:bidi="ar-EG"/>
              </w:rPr>
              <w:t> </w:t>
            </w:r>
            <w:r w:rsidRPr="003876F3">
              <w:rPr>
                <w:rFonts w:ascii="Arabic Typesetting" w:eastAsia="Arabic Typesetting" w:hAnsi="Arabic Typesetting" w:cs="Arabic Typesetting"/>
                <w:sz w:val="28"/>
                <w:szCs w:val="28"/>
                <w:rtl/>
                <w:lang w:eastAsia="ar-EG" w:bidi="ar-EG"/>
              </w:rPr>
              <w:t>45 من</w:t>
            </w:r>
            <w:r>
              <w:rPr>
                <w:rFonts w:ascii="Arabic Typesetting" w:eastAsia="Arabic Typesetting" w:hAnsi="Arabic Typesetting" w:cs="Arabic Typesetting"/>
                <w:sz w:val="28"/>
                <w:szCs w:val="28"/>
                <w:rtl/>
                <w:lang w:eastAsia="ar-EG" w:bidi="ar-EG"/>
              </w:rPr>
              <w:t xml:space="preserve"> </w:t>
            </w:r>
            <w:r>
              <w:rPr>
                <w:rFonts w:ascii="Arabic Typesetting" w:eastAsia="Arabic Typesetting" w:hAnsi="Arabic Typesetting" w:cs="Arabic Typesetting" w:hint="cs"/>
                <w:sz w:val="28"/>
                <w:szCs w:val="28"/>
                <w:rtl/>
                <w:lang w:eastAsia="ar-EG" w:bidi="ar-EG"/>
              </w:rPr>
              <w:t>أجندة</w:t>
            </w:r>
            <w:r>
              <w:rPr>
                <w:rFonts w:ascii="Arabic Typesetting" w:eastAsia="Arabic Typesetting" w:hAnsi="Arabic Typesetting" w:cs="Arabic Typesetting"/>
                <w:sz w:val="28"/>
                <w:szCs w:val="28"/>
                <w:rtl/>
                <w:lang w:eastAsia="ar-EG" w:bidi="ar-EG"/>
              </w:rPr>
              <w:t xml:space="preserve"> الويبو بشأن التنمية</w:t>
            </w:r>
          </w:p>
        </w:tc>
      </w:tr>
      <w:tr w:rsidR="00BB3820" w:rsidRPr="003876F3" w14:paraId="17501F11" w14:textId="77777777" w:rsidTr="00BB3820">
        <w:tc>
          <w:tcPr>
            <w:tcW w:w="1072" w:type="pct"/>
            <w:shd w:val="clear" w:color="auto" w:fill="auto"/>
            <w:tcMar>
              <w:left w:w="58" w:type="dxa"/>
              <w:right w:w="58" w:type="dxa"/>
            </w:tcMar>
            <w:vAlign w:val="center"/>
          </w:tcPr>
          <w:p w14:paraId="5946196B"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مؤشرات الأداء</w:t>
            </w:r>
          </w:p>
        </w:tc>
        <w:tc>
          <w:tcPr>
            <w:tcW w:w="1699" w:type="pct"/>
            <w:shd w:val="clear" w:color="auto" w:fill="auto"/>
            <w:tcMar>
              <w:left w:w="58" w:type="dxa"/>
              <w:right w:w="58" w:type="dxa"/>
            </w:tcMar>
            <w:vAlign w:val="center"/>
          </w:tcPr>
          <w:p w14:paraId="714A0618"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أسس المقارنة</w:t>
            </w:r>
          </w:p>
        </w:tc>
        <w:tc>
          <w:tcPr>
            <w:tcW w:w="749" w:type="pct"/>
            <w:shd w:val="clear" w:color="auto" w:fill="auto"/>
            <w:tcMar>
              <w:top w:w="110" w:type="dxa"/>
              <w:left w:w="58" w:type="dxa"/>
              <w:right w:w="58" w:type="dxa"/>
            </w:tcMar>
            <w:vAlign w:val="center"/>
          </w:tcPr>
          <w:p w14:paraId="3FD8B9F5"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الأهداف</w:t>
            </w:r>
          </w:p>
        </w:tc>
        <w:tc>
          <w:tcPr>
            <w:tcW w:w="969" w:type="pct"/>
            <w:shd w:val="clear" w:color="auto" w:fill="FFFFFF"/>
            <w:tcMar>
              <w:top w:w="110" w:type="dxa"/>
              <w:left w:w="58" w:type="dxa"/>
              <w:right w:w="58" w:type="dxa"/>
            </w:tcMar>
            <w:vAlign w:val="center"/>
          </w:tcPr>
          <w:p w14:paraId="7862D3ED"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بيانات الأداء</w:t>
            </w:r>
          </w:p>
        </w:tc>
        <w:tc>
          <w:tcPr>
            <w:tcW w:w="512" w:type="pct"/>
            <w:shd w:val="clear" w:color="auto" w:fill="auto"/>
            <w:tcMar>
              <w:top w:w="110" w:type="dxa"/>
              <w:left w:w="58" w:type="dxa"/>
              <w:right w:w="58" w:type="dxa"/>
            </w:tcMar>
            <w:vAlign w:val="center"/>
          </w:tcPr>
          <w:p w14:paraId="026928D5" w14:textId="77777777" w:rsidR="00BB3820" w:rsidRPr="003876F3" w:rsidRDefault="00BB3820"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B3820" w:rsidRPr="003876F3" w14:paraId="5444EEA5" w14:textId="77777777" w:rsidTr="00BB3820">
        <w:trPr>
          <w:trHeight w:val="1582"/>
        </w:trPr>
        <w:tc>
          <w:tcPr>
            <w:tcW w:w="1072" w:type="pct"/>
            <w:shd w:val="clear" w:color="auto" w:fill="auto"/>
            <w:tcMar>
              <w:left w:w="58" w:type="dxa"/>
              <w:right w:w="58" w:type="dxa"/>
            </w:tcMar>
          </w:tcPr>
          <w:p w14:paraId="77C47EAE"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استمرار توافق الدول الأعضاء على العمل الجوهري الذي تقوم به لجنة الويبو الاستشارية المعنية بالإنفاذ والر</w:t>
            </w:r>
            <w:r>
              <w:rPr>
                <w:rFonts w:ascii="Arabic Typesetting" w:eastAsia="Arabic Typesetting" w:hAnsi="Arabic Typesetting" w:cs="Arabic Typesetting"/>
                <w:color w:val="000000"/>
                <w:sz w:val="28"/>
                <w:szCs w:val="28"/>
                <w:rtl/>
                <w:lang w:eastAsia="ar-EG" w:bidi="ar-EG"/>
              </w:rPr>
              <w:t xml:space="preserve">امي إلى </w:t>
            </w:r>
            <w:r>
              <w:rPr>
                <w:rFonts w:ascii="Arabic Typesetting" w:eastAsia="Arabic Typesetting" w:hAnsi="Arabic Typesetting" w:cs="Arabic Typesetting" w:hint="cs"/>
                <w:color w:val="000000"/>
                <w:sz w:val="28"/>
                <w:szCs w:val="28"/>
                <w:rtl/>
                <w:lang w:eastAsia="ar-EG" w:bidi="ar-EG"/>
              </w:rPr>
              <w:t>إدماج</w:t>
            </w:r>
            <w:r>
              <w:rPr>
                <w:rFonts w:ascii="Arabic Typesetting" w:eastAsia="Arabic Typesetting" w:hAnsi="Arabic Typesetting" w:cs="Arabic Typesetting"/>
                <w:color w:val="000000"/>
                <w:sz w:val="28"/>
                <w:szCs w:val="28"/>
                <w:rtl/>
                <w:lang w:eastAsia="ar-EG" w:bidi="ar-EG"/>
              </w:rPr>
              <w:t xml:space="preserve"> الشواغل الإنمائية</w:t>
            </w:r>
          </w:p>
        </w:tc>
        <w:tc>
          <w:tcPr>
            <w:tcW w:w="1699" w:type="pct"/>
            <w:shd w:val="clear" w:color="auto" w:fill="auto"/>
            <w:tcMar>
              <w:left w:w="58" w:type="dxa"/>
              <w:right w:w="58" w:type="dxa"/>
            </w:tcMar>
          </w:tcPr>
          <w:p w14:paraId="483CD032" w14:textId="32B5D34E" w:rsidR="00BB3820" w:rsidRPr="00C32596" w:rsidRDefault="00BB3820" w:rsidP="006A1A09">
            <w:pPr>
              <w:bidi/>
              <w:spacing w:after="120" w:line="280" w:lineRule="exact"/>
              <w:rPr>
                <w:rFonts w:ascii="Arabic Typesetting" w:eastAsia="Arabic Typesetting" w:hAnsi="Arabic Typesetting" w:cs="Arabic Typesetting"/>
                <w:color w:val="1F497D"/>
                <w:sz w:val="28"/>
                <w:szCs w:val="28"/>
                <w:rtl/>
                <w:lang w:eastAsia="ar-EG" w:bidi="ar-EG"/>
              </w:rPr>
            </w:pPr>
            <w:r w:rsidRPr="003876F3">
              <w:rPr>
                <w:rFonts w:ascii="Arabic Typesetting" w:eastAsia="Arabic Typesetting" w:hAnsi="Arabic Typesetting" w:cs="Arabic Typesetting"/>
                <w:i/>
                <w:iCs/>
                <w:color w:val="1F497D"/>
                <w:sz w:val="28"/>
                <w:szCs w:val="28"/>
                <w:rtl/>
                <w:lang w:eastAsia="ar-EG" w:bidi="ar-EG"/>
              </w:rPr>
              <w:t>أساس المقارنة المُحدَّث في نهاية 2015</w:t>
            </w:r>
            <w:r>
              <w:rPr>
                <w:rFonts w:ascii="Arabic Typesetting" w:eastAsia="Arabic Typesetting" w:hAnsi="Arabic Typesetting" w:cs="Arabic Typesetting"/>
                <w:i/>
                <w:iCs/>
                <w:color w:val="1F497D"/>
                <w:sz w:val="28"/>
                <w:szCs w:val="28"/>
                <w:rtl/>
                <w:lang w:eastAsia="ar-EG" w:bidi="ar-EG"/>
              </w:rPr>
              <w:t>:</w:t>
            </w:r>
            <w:r>
              <w:rPr>
                <w:rFonts w:ascii="Arabic Typesetting" w:eastAsia="Arabic Typesetting" w:hAnsi="Arabic Typesetting" w:cs="Arabic Typesetting"/>
                <w:i/>
                <w:iCs/>
                <w:color w:val="1F497D"/>
                <w:sz w:val="28"/>
                <w:szCs w:val="28"/>
                <w:rtl/>
                <w:lang w:eastAsia="ar-EG" w:bidi="ar-EG"/>
              </w:rPr>
              <w:br/>
            </w:r>
            <w:r w:rsidRPr="003876F3">
              <w:rPr>
                <w:rFonts w:ascii="Arabic Typesetting" w:eastAsia="Arabic Typesetting" w:hAnsi="Arabic Typesetting" w:cs="Arabic Typesetting"/>
                <w:color w:val="1F497D"/>
                <w:sz w:val="28"/>
                <w:szCs w:val="28"/>
                <w:rtl/>
                <w:lang w:eastAsia="ar-EG" w:bidi="ar-EG"/>
              </w:rPr>
              <w:t xml:space="preserve">اتُفق على برنامج العمل بّان الدورتين </w:t>
            </w:r>
            <w:r w:rsidR="00D02C02" w:rsidRPr="003876F3">
              <w:rPr>
                <w:rFonts w:ascii="Arabic Typesetting" w:eastAsia="Arabic Typesetting" w:hAnsi="Arabic Typesetting" w:cs="Arabic Typesetting" w:hint="cs"/>
                <w:color w:val="1F497D"/>
                <w:sz w:val="28"/>
                <w:szCs w:val="28"/>
                <w:rtl/>
                <w:lang w:eastAsia="ar-EG" w:bidi="ar-EG"/>
              </w:rPr>
              <w:t>ا</w:t>
            </w:r>
            <w:r w:rsidR="00D02C02">
              <w:rPr>
                <w:rFonts w:ascii="Arabic Typesetting" w:eastAsia="Arabic Typesetting" w:hAnsi="Arabic Typesetting" w:cs="Arabic Typesetting" w:hint="cs"/>
                <w:color w:val="1F497D"/>
                <w:sz w:val="28"/>
                <w:szCs w:val="28"/>
                <w:rtl/>
                <w:lang w:eastAsia="ar-EG" w:bidi="ar-EG"/>
              </w:rPr>
              <w:t>لتاسع</w:t>
            </w:r>
            <w:r w:rsidR="00D02C02">
              <w:rPr>
                <w:rFonts w:ascii="Arabic Typesetting" w:eastAsia="Arabic Typesetting" w:hAnsi="Arabic Typesetting" w:cs="Arabic Typesetting" w:hint="eastAsia"/>
                <w:color w:val="1F497D"/>
                <w:sz w:val="28"/>
                <w:szCs w:val="28"/>
                <w:rtl/>
                <w:lang w:eastAsia="ar-EG" w:bidi="ar-EG"/>
              </w:rPr>
              <w:t>ة</w:t>
            </w:r>
            <w:r>
              <w:rPr>
                <w:rFonts w:ascii="Arabic Typesetting" w:eastAsia="Arabic Typesetting" w:hAnsi="Arabic Typesetting" w:cs="Arabic Typesetting"/>
                <w:color w:val="1F497D"/>
                <w:sz w:val="28"/>
                <w:szCs w:val="28"/>
                <w:rtl/>
                <w:lang w:eastAsia="ar-EG" w:bidi="ar-EG"/>
              </w:rPr>
              <w:t xml:space="preserve"> والعاشرة للجنة الاستشارية</w:t>
            </w:r>
            <w:r>
              <w:rPr>
                <w:rFonts w:ascii="Arabic Typesetting" w:eastAsia="Arabic Typesetting" w:hAnsi="Arabic Typesetting" w:cs="Arabic Typesetting"/>
                <w:color w:val="1F497D"/>
                <w:sz w:val="28"/>
                <w:szCs w:val="28"/>
                <w:rtl/>
                <w:lang w:eastAsia="ar-EG" w:bidi="ar-EG"/>
              </w:rPr>
              <w:br/>
            </w:r>
            <w:r w:rsidRPr="003876F3">
              <w:rPr>
                <w:rFonts w:ascii="Arabic Typesetting" w:eastAsia="Arabic Typesetting" w:hAnsi="Arabic Typesetting" w:cs="Arabic Typesetting"/>
                <w:color w:val="1F497D"/>
                <w:sz w:val="28"/>
                <w:szCs w:val="28"/>
                <w:rtl/>
                <w:lang w:eastAsia="ar-EG" w:bidi="ar-EG"/>
              </w:rPr>
              <w:t xml:space="preserve">الفقرة 44 من الوثيقة </w:t>
            </w:r>
            <w:r w:rsidRPr="003876F3">
              <w:rPr>
                <w:rFonts w:ascii="Arabic Typesetting" w:eastAsia="Arabic Typesetting" w:hAnsi="Arabic Typesetting" w:cs="Arabic Typesetting"/>
                <w:color w:val="1F497D"/>
                <w:sz w:val="28"/>
                <w:szCs w:val="28"/>
                <w:lang w:eastAsia="ar-EG" w:bidi="ar-EG"/>
              </w:rPr>
              <w:t>WIPO/ACE/9/29</w:t>
            </w:r>
            <w:r w:rsidRPr="003876F3">
              <w:rPr>
                <w:rFonts w:ascii="Arabic Typesetting" w:eastAsia="Arabic Typesetting" w:hAnsi="Arabic Typesetting" w:cs="Arabic Typesetting"/>
                <w:color w:val="1F497D"/>
                <w:sz w:val="28"/>
                <w:szCs w:val="28"/>
                <w:rtl/>
                <w:lang w:eastAsia="ar-EG" w:bidi="ar-EG"/>
              </w:rPr>
              <w:t xml:space="preserve"> </w:t>
            </w:r>
            <w:r w:rsidRPr="00C32596">
              <w:rPr>
                <w:rFonts w:ascii="Arabic Typesetting" w:eastAsia="Arabic Typesetting" w:hAnsi="Arabic Typesetting" w:cs="Arabic Typesetting" w:hint="cs"/>
                <w:color w:val="1F497D"/>
                <w:sz w:val="28"/>
                <w:szCs w:val="28"/>
                <w:rtl/>
                <w:lang w:eastAsia="ar-EG" w:bidi="ar-EG"/>
              </w:rPr>
              <w:t>و</w:t>
            </w:r>
            <w:r w:rsidRPr="003876F3">
              <w:rPr>
                <w:rFonts w:ascii="Arabic Typesetting" w:eastAsia="Arabic Typesetting" w:hAnsi="Arabic Typesetting" w:cs="Arabic Typesetting"/>
                <w:color w:val="1F497D"/>
                <w:sz w:val="28"/>
                <w:szCs w:val="28"/>
                <w:rtl/>
                <w:lang w:eastAsia="ar-EG" w:bidi="ar-EG"/>
              </w:rPr>
              <w:t>الفقرة 40 من الوثيقة</w:t>
            </w:r>
            <w:r w:rsidRPr="00C32596">
              <w:rPr>
                <w:rFonts w:ascii="Arabic Typesetting" w:eastAsia="Arabic Typesetting" w:hAnsi="Arabic Typesetting" w:cs="Arabic Typesetting" w:hint="cs"/>
                <w:color w:val="1F497D"/>
                <w:sz w:val="28"/>
                <w:szCs w:val="28"/>
                <w:rtl/>
                <w:lang w:eastAsia="ar-EG" w:bidi="ar-EG"/>
              </w:rPr>
              <w:t> </w:t>
            </w:r>
            <w:r w:rsidRPr="003876F3">
              <w:rPr>
                <w:rFonts w:ascii="Arabic Typesetting" w:eastAsia="Arabic Typesetting" w:hAnsi="Arabic Typesetting" w:cs="Arabic Typesetting"/>
                <w:color w:val="1F497D"/>
                <w:sz w:val="28"/>
                <w:szCs w:val="28"/>
                <w:lang w:eastAsia="ar-EG" w:bidi="ar-EG"/>
              </w:rPr>
              <w:t>WIPO/ACE/10/2</w:t>
            </w:r>
            <w:r w:rsidRPr="00C32596">
              <w:rPr>
                <w:rFonts w:ascii="Arabic Typesetting" w:eastAsia="Arabic Typesetting" w:hAnsi="Arabic Typesetting" w:cs="Arabic Typesetting"/>
                <w:color w:val="1F497D"/>
                <w:sz w:val="28"/>
                <w:szCs w:val="28"/>
                <w:lang w:eastAsia="ar-EG" w:bidi="ar-EG"/>
              </w:rPr>
              <w:t>6 PROV.</w:t>
            </w:r>
          </w:p>
          <w:p w14:paraId="600BF916"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3876F3">
              <w:rPr>
                <w:rFonts w:ascii="Arabic Typesetting" w:eastAsia="Arabic Typesetting" w:hAnsi="Arabic Typesetting" w:cs="Arabic Typesetting"/>
                <w:i/>
                <w:iCs/>
                <w:color w:val="000000"/>
                <w:sz w:val="28"/>
                <w:szCs w:val="28"/>
                <w:rtl/>
                <w:lang w:eastAsia="ar-EG" w:bidi="ar-EG"/>
              </w:rPr>
              <w:t>:</w:t>
            </w:r>
            <w:r w:rsidRPr="003876F3">
              <w:rPr>
                <w:rFonts w:ascii="Arabic Typesetting" w:eastAsia="Batang" w:hAnsi="Arabic Typesetting" w:cs="Arabic Typesetting"/>
                <w:i/>
                <w:color w:val="000000"/>
                <w:sz w:val="28"/>
                <w:szCs w:val="28"/>
                <w:lang w:eastAsia="ar-EG" w:bidi="ar-EG"/>
              </w:rPr>
              <w:br/>
            </w:r>
            <w:r w:rsidRPr="003876F3">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3876F3">
              <w:rPr>
                <w:rFonts w:ascii="Arabic Typesetting" w:eastAsia="Arabic Typesetting" w:hAnsi="Arabic Typesetting" w:cs="Arabic Typesetting"/>
                <w:color w:val="000000"/>
                <w:sz w:val="28"/>
                <w:szCs w:val="28"/>
                <w:rtl/>
                <w:lang w:eastAsia="ar-EG" w:bidi="ar-EG"/>
              </w:rPr>
              <w:t xml:space="preserve">الاتفاق على برنامج عمل </w:t>
            </w:r>
            <w:r>
              <w:rPr>
                <w:rFonts w:ascii="Arabic Typesetting" w:eastAsia="Arabic Typesetting" w:hAnsi="Arabic Typesetting" w:cs="Arabic Typesetting"/>
                <w:color w:val="000000"/>
                <w:sz w:val="28"/>
                <w:szCs w:val="28"/>
                <w:rtl/>
                <w:lang w:eastAsia="ar-EG" w:bidi="ar-EG"/>
              </w:rPr>
              <w:t>الدورة العاشرة للجنة</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الاستشارية</w:t>
            </w:r>
          </w:p>
        </w:tc>
        <w:tc>
          <w:tcPr>
            <w:tcW w:w="749" w:type="pct"/>
            <w:shd w:val="clear" w:color="auto" w:fill="auto"/>
            <w:tcMar>
              <w:top w:w="110" w:type="dxa"/>
              <w:left w:w="58" w:type="dxa"/>
              <w:right w:w="58" w:type="dxa"/>
            </w:tcMar>
          </w:tcPr>
          <w:p w14:paraId="465FA28C"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 xml:space="preserve">الاتفاق على برنامج عمل </w:t>
            </w:r>
            <w:r>
              <w:rPr>
                <w:rFonts w:ascii="Arabic Typesetting" w:eastAsia="Arabic Typesetting" w:hAnsi="Arabic Typesetting" w:cs="Arabic Typesetting"/>
                <w:color w:val="000000"/>
                <w:sz w:val="28"/>
                <w:szCs w:val="28"/>
                <w:rtl/>
                <w:lang w:eastAsia="ar-EG" w:bidi="ar-EG"/>
              </w:rPr>
              <w:t>الدورة القادمة للجنة الاستشارية</w:t>
            </w:r>
          </w:p>
        </w:tc>
        <w:tc>
          <w:tcPr>
            <w:tcW w:w="969" w:type="pct"/>
            <w:shd w:val="clear" w:color="auto" w:fill="FFFFFF"/>
            <w:tcMar>
              <w:top w:w="110" w:type="dxa"/>
              <w:left w:w="58" w:type="dxa"/>
              <w:right w:w="58" w:type="dxa"/>
            </w:tcMar>
          </w:tcPr>
          <w:p w14:paraId="5DEBC1BB"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sz w:val="28"/>
                <w:szCs w:val="28"/>
                <w:rtl/>
                <w:lang w:eastAsia="ar-EG" w:bidi="ar-EG"/>
              </w:rPr>
              <w:t>الاتفاق على برنامج العمل الخاص بالدورة الثانية عشرة للجنة الاستشارية (الفقرة</w:t>
            </w:r>
            <w:r>
              <w:rPr>
                <w:rFonts w:ascii="Arabic Typesetting" w:eastAsia="Arabic Typesetting" w:hAnsi="Arabic Typesetting" w:cs="Arabic Typesetting" w:hint="cs"/>
                <w:sz w:val="28"/>
                <w:szCs w:val="28"/>
                <w:rtl/>
                <w:lang w:eastAsia="ar-EG" w:bidi="ar-EG"/>
              </w:rPr>
              <w:t> </w:t>
            </w:r>
            <w:r w:rsidRPr="003876F3">
              <w:rPr>
                <w:rFonts w:ascii="Arabic Typesetting" w:eastAsia="Arabic Typesetting" w:hAnsi="Arabic Typesetting" w:cs="Arabic Typesetting"/>
                <w:sz w:val="28"/>
                <w:szCs w:val="28"/>
                <w:rtl/>
                <w:lang w:eastAsia="ar-EG" w:bidi="ar-EG"/>
              </w:rPr>
              <w:t xml:space="preserve">39 من الوثيقة </w:t>
            </w:r>
            <w:r w:rsidRPr="003876F3">
              <w:rPr>
                <w:rFonts w:ascii="Arabic Typesetting" w:eastAsia="Arabic Typesetting" w:hAnsi="Arabic Typesetting" w:cs="Arabic Typesetting"/>
                <w:sz w:val="28"/>
                <w:szCs w:val="28"/>
                <w:lang w:eastAsia="ar-EG" w:bidi="ar-EG"/>
              </w:rPr>
              <w:t>WIPO/ACE/11/11</w:t>
            </w:r>
            <w:r>
              <w:rPr>
                <w:rFonts w:ascii="Arabic Typesetting" w:eastAsia="Arabic Typesetting" w:hAnsi="Arabic Typesetting" w:cs="Arabic Typesetting"/>
                <w:sz w:val="28"/>
                <w:szCs w:val="28"/>
                <w:rtl/>
                <w:lang w:eastAsia="ar-EG" w:bidi="ar-EG"/>
              </w:rPr>
              <w:t>)</w:t>
            </w:r>
          </w:p>
        </w:tc>
        <w:tc>
          <w:tcPr>
            <w:tcW w:w="512" w:type="pct"/>
            <w:shd w:val="clear" w:color="auto" w:fill="auto"/>
            <w:tcMar>
              <w:top w:w="110" w:type="dxa"/>
              <w:left w:w="58" w:type="dxa"/>
              <w:right w:w="58" w:type="dxa"/>
            </w:tcMar>
          </w:tcPr>
          <w:p w14:paraId="3873F9DA" w14:textId="77777777" w:rsidR="00BB3820" w:rsidRPr="003876F3" w:rsidRDefault="00BB3820"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3876F3">
              <w:rPr>
                <w:rFonts w:ascii="Arabic Typesetting" w:eastAsia="Arabic Typesetting" w:hAnsi="Arabic Typesetting" w:cs="Arabic Typesetting"/>
                <w:b/>
                <w:bCs/>
                <w:color w:val="00B050"/>
                <w:sz w:val="28"/>
                <w:szCs w:val="28"/>
                <w:rtl/>
                <w:lang w:eastAsia="ar-EG" w:bidi="ar-EG"/>
              </w:rPr>
              <w:t>ثابت</w:t>
            </w:r>
          </w:p>
        </w:tc>
      </w:tr>
      <w:tr w:rsidR="00BB3820" w:rsidRPr="003876F3" w14:paraId="2C7DA390" w14:textId="77777777" w:rsidTr="00BB3820">
        <w:trPr>
          <w:trHeight w:val="565"/>
        </w:trPr>
        <w:tc>
          <w:tcPr>
            <w:tcW w:w="5000" w:type="pct"/>
            <w:gridSpan w:val="5"/>
            <w:shd w:val="clear" w:color="auto" w:fill="C6D9F1"/>
            <w:tcMar>
              <w:left w:w="58" w:type="dxa"/>
              <w:right w:w="58" w:type="dxa"/>
            </w:tcMar>
            <w:vAlign w:val="center"/>
          </w:tcPr>
          <w:p w14:paraId="73841099" w14:textId="77777777" w:rsidR="00BB3820" w:rsidRPr="003876F3" w:rsidRDefault="00BB3820" w:rsidP="0031289D">
            <w:pPr>
              <w:keepNext/>
              <w:keepLines/>
              <w:bidi/>
              <w:spacing w:before="120" w:after="120" w:line="280" w:lineRule="exact"/>
              <w:ind w:left="1452" w:hanging="1452"/>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b/>
                <w:bCs/>
                <w:sz w:val="28"/>
                <w:szCs w:val="28"/>
                <w:rtl/>
                <w:lang w:eastAsia="ar-EG" w:bidi="ar-EG"/>
              </w:rPr>
              <w:t>‏النتيجة المرتقبة:</w:t>
            </w:r>
            <w:r w:rsidRPr="003876F3">
              <w:rPr>
                <w:rFonts w:ascii="Arabic Typesetting" w:eastAsia="Arabic Typesetting" w:hAnsi="Arabic Typesetting" w:cs="Arabic Typesetting"/>
                <w:sz w:val="28"/>
                <w:szCs w:val="28"/>
                <w:lang w:eastAsia="ar-EG" w:bidi="ar-EG"/>
              </w:rPr>
              <w:tab/>
            </w:r>
            <w:r w:rsidRPr="003876F3">
              <w:rPr>
                <w:rFonts w:ascii="Arabic Typesetting" w:eastAsia="Arabic Typesetting" w:hAnsi="Arabic Typesetting" w:cs="Arabic Typesetting"/>
                <w:sz w:val="28"/>
                <w:szCs w:val="28"/>
                <w:rtl/>
                <w:lang w:eastAsia="ar-EG" w:bidi="ar-EG"/>
              </w:rPr>
              <w:t xml:space="preserve">ه2.6 تعاون وتنسيق على نحو منتظم وفعال وشفاف بين عمل الويبو وعمل المنظمات الدولية الأخرى في مجال إذكاء </w:t>
            </w:r>
            <w:r>
              <w:rPr>
                <w:rFonts w:ascii="Arabic Typesetting" w:eastAsia="Arabic Typesetting" w:hAnsi="Arabic Typesetting" w:cs="Arabic Typesetting" w:hint="cs"/>
                <w:sz w:val="28"/>
                <w:szCs w:val="28"/>
                <w:rtl/>
                <w:lang w:eastAsia="ar-EG" w:bidi="ar-EG"/>
              </w:rPr>
              <w:t>ال</w:t>
            </w:r>
            <w:r w:rsidRPr="003876F3">
              <w:rPr>
                <w:rFonts w:ascii="Arabic Typesetting" w:eastAsia="Arabic Typesetting" w:hAnsi="Arabic Typesetting" w:cs="Arabic Typesetting"/>
                <w:sz w:val="28"/>
                <w:szCs w:val="28"/>
                <w:rtl/>
                <w:lang w:eastAsia="ar-EG" w:bidi="ar-EG"/>
              </w:rPr>
              <w:t xml:space="preserve">احترام </w:t>
            </w:r>
            <w:r>
              <w:rPr>
                <w:rFonts w:ascii="Arabic Typesetting" w:eastAsia="Arabic Typesetting" w:hAnsi="Arabic Typesetting" w:cs="Arabic Typesetting" w:hint="cs"/>
                <w:sz w:val="28"/>
                <w:szCs w:val="28"/>
                <w:rtl/>
                <w:lang w:eastAsia="ar-EG" w:bidi="ar-EG"/>
              </w:rPr>
              <w:t>ل</w:t>
            </w:r>
            <w:r w:rsidRPr="003876F3">
              <w:rPr>
                <w:rFonts w:ascii="Arabic Typesetting" w:eastAsia="Arabic Typesetting" w:hAnsi="Arabic Typesetting" w:cs="Arabic Typesetting"/>
                <w:sz w:val="28"/>
                <w:szCs w:val="28"/>
                <w:rtl/>
                <w:lang w:eastAsia="ar-EG" w:bidi="ar-EG"/>
              </w:rPr>
              <w:t>لملكية</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الفكرية</w:t>
            </w:r>
          </w:p>
        </w:tc>
      </w:tr>
      <w:tr w:rsidR="00BB3820" w:rsidRPr="003876F3" w14:paraId="75C26DCB" w14:textId="77777777" w:rsidTr="00BB3820">
        <w:tc>
          <w:tcPr>
            <w:tcW w:w="1072" w:type="pct"/>
            <w:shd w:val="clear" w:color="auto" w:fill="auto"/>
            <w:tcMar>
              <w:left w:w="58" w:type="dxa"/>
              <w:right w:w="58" w:type="dxa"/>
            </w:tcMar>
            <w:vAlign w:val="center"/>
          </w:tcPr>
          <w:p w14:paraId="6AF88707"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مؤشرات الأداء</w:t>
            </w:r>
          </w:p>
        </w:tc>
        <w:tc>
          <w:tcPr>
            <w:tcW w:w="1699" w:type="pct"/>
            <w:shd w:val="clear" w:color="auto" w:fill="auto"/>
            <w:tcMar>
              <w:left w:w="58" w:type="dxa"/>
              <w:right w:w="58" w:type="dxa"/>
            </w:tcMar>
            <w:vAlign w:val="center"/>
          </w:tcPr>
          <w:p w14:paraId="5B610ED4"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أسس المقارنة</w:t>
            </w:r>
          </w:p>
        </w:tc>
        <w:tc>
          <w:tcPr>
            <w:tcW w:w="749" w:type="pct"/>
            <w:shd w:val="clear" w:color="auto" w:fill="auto"/>
            <w:tcMar>
              <w:top w:w="110" w:type="dxa"/>
              <w:left w:w="58" w:type="dxa"/>
              <w:right w:w="58" w:type="dxa"/>
            </w:tcMar>
            <w:vAlign w:val="center"/>
          </w:tcPr>
          <w:p w14:paraId="3582BB73"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الأهداف</w:t>
            </w:r>
          </w:p>
        </w:tc>
        <w:tc>
          <w:tcPr>
            <w:tcW w:w="969" w:type="pct"/>
            <w:shd w:val="clear" w:color="auto" w:fill="FFFFFF"/>
            <w:tcMar>
              <w:top w:w="110" w:type="dxa"/>
              <w:left w:w="58" w:type="dxa"/>
              <w:right w:w="58" w:type="dxa"/>
            </w:tcMar>
            <w:vAlign w:val="center"/>
          </w:tcPr>
          <w:p w14:paraId="735DFBD9"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بيانات الأداء</w:t>
            </w:r>
          </w:p>
        </w:tc>
        <w:tc>
          <w:tcPr>
            <w:tcW w:w="512" w:type="pct"/>
            <w:shd w:val="clear" w:color="auto" w:fill="auto"/>
            <w:tcMar>
              <w:top w:w="110" w:type="dxa"/>
              <w:left w:w="58" w:type="dxa"/>
              <w:right w:w="58" w:type="dxa"/>
            </w:tcMar>
            <w:vAlign w:val="center"/>
          </w:tcPr>
          <w:p w14:paraId="7793A233" w14:textId="77777777" w:rsidR="00BB3820" w:rsidRPr="003876F3" w:rsidRDefault="00BB3820"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B3820" w:rsidRPr="003876F3" w14:paraId="7446B726" w14:textId="77777777" w:rsidTr="00BB3820">
        <w:trPr>
          <w:trHeight w:val="1582"/>
        </w:trPr>
        <w:tc>
          <w:tcPr>
            <w:tcW w:w="1072" w:type="pct"/>
            <w:shd w:val="clear" w:color="auto" w:fill="auto"/>
            <w:tcMar>
              <w:left w:w="58" w:type="dxa"/>
              <w:right w:w="58" w:type="dxa"/>
            </w:tcMar>
          </w:tcPr>
          <w:p w14:paraId="3EFAFAE9"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عدد عمليات التعاون الاستراتيجي أو غيرها من الأنشطة المشتركة مع منظمات شريكة بشأن</w:t>
            </w:r>
            <w:r>
              <w:rPr>
                <w:rFonts w:ascii="Arabic Typesetting" w:eastAsia="Arabic Typesetting" w:hAnsi="Arabic Typesetting" w:cs="Arabic Typesetting"/>
                <w:color w:val="000000"/>
                <w:sz w:val="28"/>
                <w:szCs w:val="28"/>
                <w:rtl/>
                <w:lang w:eastAsia="ar-EG" w:bidi="ar-EG"/>
              </w:rPr>
              <w:t xml:space="preserve"> إذكاء الاحترام للملكية الفكرية</w:t>
            </w:r>
          </w:p>
        </w:tc>
        <w:tc>
          <w:tcPr>
            <w:tcW w:w="1699" w:type="pct"/>
            <w:shd w:val="clear" w:color="auto" w:fill="auto"/>
            <w:tcMar>
              <w:left w:w="58" w:type="dxa"/>
              <w:right w:w="58" w:type="dxa"/>
            </w:tcMar>
          </w:tcPr>
          <w:p w14:paraId="3D78815B" w14:textId="77777777" w:rsidR="00BB3820" w:rsidRDefault="00BB3820" w:rsidP="0031289D">
            <w:pPr>
              <w:bidi/>
              <w:spacing w:after="120" w:line="280" w:lineRule="exact"/>
              <w:rPr>
                <w:rFonts w:ascii="Arabic Typesetting" w:eastAsia="Arabic Typesetting" w:hAnsi="Arabic Typesetting" w:cs="Arabic Typesetting"/>
                <w:color w:val="1F497D"/>
                <w:sz w:val="28"/>
                <w:szCs w:val="28"/>
                <w:lang w:eastAsia="ar-EG" w:bidi="ar-EG"/>
              </w:rPr>
            </w:pPr>
            <w:r w:rsidRPr="003876F3">
              <w:rPr>
                <w:rFonts w:ascii="Arabic Typesetting" w:eastAsia="Arabic Typesetting" w:hAnsi="Arabic Typesetting" w:cs="Arabic Typesetting"/>
                <w:i/>
                <w:iCs/>
                <w:color w:val="1F497D"/>
                <w:sz w:val="28"/>
                <w:szCs w:val="28"/>
                <w:rtl/>
                <w:lang w:eastAsia="ar-EG" w:bidi="ar-EG"/>
              </w:rPr>
              <w:t>أساس المقارنة المُحدَّث في نهاية 2015</w:t>
            </w:r>
            <w:r>
              <w:rPr>
                <w:rFonts w:ascii="Arabic Typesetting" w:eastAsia="Arabic Typesetting" w:hAnsi="Arabic Typesetting" w:cs="Arabic Typesetting"/>
                <w:i/>
                <w:iCs/>
                <w:color w:val="1F497D"/>
                <w:sz w:val="28"/>
                <w:szCs w:val="28"/>
                <w:rtl/>
                <w:lang w:eastAsia="ar-EG" w:bidi="ar-EG"/>
              </w:rPr>
              <w:t>:</w:t>
            </w:r>
            <w:r>
              <w:rPr>
                <w:rFonts w:ascii="Arabic Typesetting" w:eastAsia="Arabic Typesetting" w:hAnsi="Arabic Typesetting" w:cs="Arabic Typesetting"/>
                <w:i/>
                <w:iCs/>
                <w:color w:val="1F497D"/>
                <w:sz w:val="28"/>
                <w:szCs w:val="28"/>
                <w:rtl/>
                <w:lang w:eastAsia="ar-EG" w:bidi="ar-EG"/>
              </w:rPr>
              <w:br/>
            </w:r>
            <w:r w:rsidRPr="003876F3">
              <w:rPr>
                <w:rFonts w:ascii="Arabic Typesetting" w:eastAsia="Arabic Typesetting" w:hAnsi="Arabic Typesetting" w:cs="Arabic Typesetting"/>
                <w:color w:val="1F497D"/>
                <w:sz w:val="28"/>
                <w:szCs w:val="28"/>
                <w:rtl/>
                <w:lang w:eastAsia="ar-EG" w:bidi="ar-EG"/>
              </w:rPr>
              <w:t>نظمت 7 عمليات تعاون استراتيجي</w:t>
            </w:r>
            <w:r w:rsidRPr="003876F3">
              <w:rPr>
                <w:rFonts w:ascii="Arabic Typesetting" w:eastAsia="Arabic Typesetting" w:hAnsi="Arabic Typesetting" w:cs="Arabic Typesetting"/>
                <w:color w:val="1F497D"/>
                <w:sz w:val="28"/>
                <w:szCs w:val="28"/>
                <w:vertAlign w:val="superscript"/>
                <w:lang w:eastAsia="ar-EG" w:bidi="ar-EG"/>
              </w:rPr>
              <w:footnoteReference w:id="73"/>
            </w:r>
            <w:r w:rsidRPr="003876F3">
              <w:rPr>
                <w:rFonts w:ascii="Arabic Typesetting" w:eastAsia="Arabic Typesetting" w:hAnsi="Arabic Typesetting" w:cs="Arabic Typesetting"/>
                <w:color w:val="1F497D"/>
                <w:sz w:val="28"/>
                <w:szCs w:val="28"/>
                <w:rtl/>
                <w:lang w:eastAsia="ar-EG" w:bidi="ar-EG"/>
              </w:rPr>
              <w:t xml:space="preserve"> في 2014/15 (التراكمي) و55 نشاطاً بالاشتراك مع المنظمات الشريكة وأصحاب المصلحة و/أو شارك البرنامج 17 فيها</w:t>
            </w:r>
          </w:p>
          <w:p w14:paraId="53074930"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3876F3">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876F3">
              <w:rPr>
                <w:rFonts w:ascii="Arabic Typesetting" w:eastAsia="Arabic Typesetting" w:hAnsi="Arabic Typesetting" w:cs="Arabic Typesetting"/>
                <w:i/>
                <w:iCs/>
                <w:sz w:val="28"/>
                <w:szCs w:val="28"/>
                <w:rtl/>
                <w:lang w:eastAsia="ar-EG" w:bidi="ar-EG"/>
              </w:rPr>
              <w:t>:</w:t>
            </w:r>
            <w:r w:rsidRPr="003876F3">
              <w:rPr>
                <w:rFonts w:ascii="Arabic Typesetting" w:eastAsia="Batang" w:hAnsi="Arabic Typesetting" w:cs="Arabic Typesetting"/>
                <w:i/>
                <w:sz w:val="28"/>
                <w:szCs w:val="28"/>
                <w:lang w:eastAsia="ar-EG" w:bidi="ar-EG"/>
              </w:rPr>
              <w:br/>
            </w:r>
            <w:r w:rsidRPr="003876F3">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876F3">
              <w:rPr>
                <w:rFonts w:ascii="Arabic Typesetting" w:eastAsia="Arabic Typesetting" w:hAnsi="Arabic Typesetting" w:cs="Arabic Typesetting"/>
                <w:sz w:val="28"/>
                <w:szCs w:val="28"/>
                <w:rtl/>
                <w:lang w:eastAsia="ar-EG" w:bidi="ar-EG"/>
              </w:rPr>
              <w:t xml:space="preserve">6 عمليات تعاون استراتيجي، و24 نشاطاً مشتركاً </w:t>
            </w:r>
            <w:r>
              <w:rPr>
                <w:rFonts w:ascii="Arabic Typesetting" w:eastAsia="Arabic Typesetting" w:hAnsi="Arabic Typesetting" w:cs="Arabic Typesetting" w:hint="cs"/>
                <w:sz w:val="28"/>
                <w:szCs w:val="28"/>
                <w:rtl/>
                <w:lang w:eastAsia="ar-EG" w:bidi="ar-EG"/>
              </w:rPr>
              <w:t xml:space="preserve">آخر </w:t>
            </w:r>
            <w:r w:rsidRPr="003876F3">
              <w:rPr>
                <w:rFonts w:ascii="Arabic Typesetting" w:eastAsia="Arabic Typesetting" w:hAnsi="Arabic Typesetting" w:cs="Arabic Typesetting"/>
                <w:sz w:val="28"/>
                <w:szCs w:val="28"/>
                <w:rtl/>
                <w:lang w:eastAsia="ar-EG" w:bidi="ar-EG"/>
              </w:rPr>
              <w:t>(في 15 فبراير 2015)</w:t>
            </w:r>
          </w:p>
        </w:tc>
        <w:tc>
          <w:tcPr>
            <w:tcW w:w="749" w:type="pct"/>
            <w:shd w:val="clear" w:color="auto" w:fill="auto"/>
            <w:tcMar>
              <w:top w:w="110" w:type="dxa"/>
              <w:left w:w="58" w:type="dxa"/>
              <w:right w:w="58" w:type="dxa"/>
            </w:tcMar>
          </w:tcPr>
          <w:p w14:paraId="598F9B11" w14:textId="77777777" w:rsidR="00BB3820" w:rsidRDefault="00BB3820" w:rsidP="0031289D">
            <w:pPr>
              <w:bidi/>
              <w:spacing w:after="120" w:line="280" w:lineRule="exact"/>
              <w:rPr>
                <w:rFonts w:ascii="Arabic Typesetting" w:eastAsia="Arabic Typesetting" w:hAnsi="Arabic Typesetting" w:cs="Arabic Typesetting"/>
                <w:color w:val="1F497D"/>
                <w:sz w:val="28"/>
                <w:szCs w:val="28"/>
                <w:lang w:eastAsia="ar-EG" w:bidi="ar-EG"/>
              </w:rPr>
            </w:pPr>
            <w:r w:rsidRPr="003876F3">
              <w:rPr>
                <w:rFonts w:ascii="Arabic Typesetting" w:eastAsia="Arabic Typesetting" w:hAnsi="Arabic Typesetting" w:cs="Arabic Typesetting"/>
                <w:i/>
                <w:iCs/>
                <w:color w:val="1F497D"/>
                <w:sz w:val="28"/>
                <w:szCs w:val="28"/>
                <w:rtl/>
                <w:lang w:eastAsia="ar-EG" w:bidi="ar-EG"/>
              </w:rPr>
              <w:t>الهدف المحدَّث</w:t>
            </w:r>
            <w:r>
              <w:rPr>
                <w:rFonts w:ascii="Arabic Typesetting" w:eastAsia="Arabic Typesetting" w:hAnsi="Arabic Typesetting" w:cs="Arabic Typesetting"/>
                <w:i/>
                <w:iCs/>
                <w:color w:val="1F497D"/>
                <w:sz w:val="28"/>
                <w:szCs w:val="28"/>
                <w:rtl/>
                <w:lang w:eastAsia="ar-EG" w:bidi="ar-EG"/>
              </w:rPr>
              <w:t>:</w:t>
            </w:r>
            <w:r>
              <w:rPr>
                <w:rFonts w:ascii="Arabic Typesetting" w:eastAsia="Arabic Typesetting" w:hAnsi="Arabic Typesetting" w:cs="Arabic Typesetting"/>
                <w:i/>
                <w:iCs/>
                <w:color w:val="1F497D"/>
                <w:sz w:val="28"/>
                <w:szCs w:val="28"/>
                <w:rtl/>
                <w:lang w:eastAsia="ar-EG" w:bidi="ar-EG"/>
              </w:rPr>
              <w:br/>
            </w:r>
            <w:r w:rsidRPr="003876F3">
              <w:rPr>
                <w:rFonts w:ascii="Arabic Typesetting" w:eastAsia="Arabic Typesetting" w:hAnsi="Arabic Typesetting" w:cs="Arabic Typesetting"/>
                <w:color w:val="1F497D"/>
                <w:sz w:val="28"/>
                <w:szCs w:val="28"/>
                <w:rtl/>
                <w:lang w:eastAsia="ar-EG" w:bidi="ar-EG"/>
              </w:rPr>
              <w:t>7 شراكات استراتيجية؛ و50</w:t>
            </w:r>
            <w:r>
              <w:rPr>
                <w:rFonts w:ascii="Arabic Typesetting" w:eastAsia="Arabic Typesetting" w:hAnsi="Arabic Typesetting" w:cs="Arabic Typesetting" w:hint="cs"/>
                <w:color w:val="1F497D"/>
                <w:sz w:val="28"/>
                <w:szCs w:val="28"/>
                <w:rtl/>
                <w:lang w:eastAsia="ar-EG" w:bidi="ar-EG"/>
              </w:rPr>
              <w:t> </w:t>
            </w:r>
            <w:r w:rsidRPr="003876F3">
              <w:rPr>
                <w:rFonts w:ascii="Arabic Typesetting" w:eastAsia="Arabic Typesetting" w:hAnsi="Arabic Typesetting" w:cs="Arabic Typesetting"/>
                <w:color w:val="1F497D"/>
                <w:sz w:val="28"/>
                <w:szCs w:val="28"/>
                <w:rtl/>
                <w:lang w:eastAsia="ar-EG" w:bidi="ar-EG"/>
              </w:rPr>
              <w:t>نشاطاً مشتركاً خلال الثنائية</w:t>
            </w:r>
          </w:p>
          <w:p w14:paraId="753CB2D7" w14:textId="1583C2D9"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3876F3">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3876F3">
              <w:rPr>
                <w:rFonts w:ascii="Arabic Typesetting" w:eastAsia="Arabic Typesetting" w:hAnsi="Arabic Typesetting" w:cs="Arabic Typesetting"/>
                <w:i/>
                <w:sz w:val="28"/>
                <w:szCs w:val="28"/>
                <w:lang w:eastAsia="ar-EG" w:bidi="ar-EG"/>
              </w:rPr>
              <w:br/>
            </w:r>
            <w:r w:rsidRPr="003876F3">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sz w:val="28"/>
                <w:szCs w:val="28"/>
                <w:rtl/>
                <w:lang w:eastAsia="ar-EG" w:bidi="ar-EG"/>
              </w:rPr>
              <w:t>6 شراكات استراتيجية؛</w:t>
            </w:r>
          </w:p>
          <w:p w14:paraId="34A5CFE0"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sz w:val="28"/>
                <w:szCs w:val="28"/>
                <w:rtl/>
                <w:lang w:eastAsia="ar-EG" w:bidi="ar-EG"/>
              </w:rPr>
              <w:t>25 نشاطاً مشتركاً</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آخر</w:t>
            </w:r>
          </w:p>
        </w:tc>
        <w:tc>
          <w:tcPr>
            <w:tcW w:w="969" w:type="pct"/>
            <w:shd w:val="clear" w:color="auto" w:fill="FFFFFF"/>
            <w:tcMar>
              <w:top w:w="110" w:type="dxa"/>
              <w:left w:w="58" w:type="dxa"/>
              <w:right w:w="58" w:type="dxa"/>
            </w:tcMar>
          </w:tcPr>
          <w:p w14:paraId="5824A242" w14:textId="77777777" w:rsidR="00BB3820" w:rsidRPr="003876F3"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 xml:space="preserve">تنظيم 7 عمليات تعاون استراتيجي و20 نشاطاً بالاشتراك مع المنظمات الشريكة وأصحاب المصلحة و/أو شارك البرنامج 17 فيها </w:t>
            </w:r>
          </w:p>
        </w:tc>
        <w:tc>
          <w:tcPr>
            <w:tcW w:w="512" w:type="pct"/>
            <w:shd w:val="clear" w:color="auto" w:fill="auto"/>
            <w:tcMar>
              <w:top w:w="110" w:type="dxa"/>
              <w:left w:w="58" w:type="dxa"/>
              <w:right w:w="58" w:type="dxa"/>
            </w:tcMar>
          </w:tcPr>
          <w:p w14:paraId="1071AEAC" w14:textId="77777777" w:rsidR="00BB3820" w:rsidRPr="003876F3" w:rsidRDefault="00BB3820"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3876F3">
              <w:rPr>
                <w:rFonts w:ascii="Arabic Typesetting" w:eastAsia="Arabic Typesetting" w:hAnsi="Arabic Typesetting" w:cs="Arabic Typesetting"/>
                <w:b/>
                <w:bCs/>
                <w:color w:val="00B050"/>
                <w:sz w:val="28"/>
                <w:szCs w:val="28"/>
                <w:rtl/>
                <w:lang w:eastAsia="ar-EG" w:bidi="ar-EG"/>
              </w:rPr>
              <w:t>ثابت</w:t>
            </w:r>
          </w:p>
        </w:tc>
      </w:tr>
      <w:tr w:rsidR="00BB3820" w:rsidRPr="003876F3" w14:paraId="422F08AD" w14:textId="77777777" w:rsidTr="00BB3820">
        <w:trPr>
          <w:trHeight w:val="565"/>
        </w:trPr>
        <w:tc>
          <w:tcPr>
            <w:tcW w:w="5000" w:type="pct"/>
            <w:gridSpan w:val="5"/>
            <w:shd w:val="clear" w:color="auto" w:fill="C6D9F1"/>
            <w:tcMar>
              <w:left w:w="58" w:type="dxa"/>
              <w:right w:w="58" w:type="dxa"/>
            </w:tcMar>
            <w:vAlign w:val="center"/>
          </w:tcPr>
          <w:p w14:paraId="57ED359F" w14:textId="77777777" w:rsidR="00BB3820" w:rsidRPr="003876F3" w:rsidRDefault="00BB3820" w:rsidP="0031289D">
            <w:pPr>
              <w:keepNext/>
              <w:keepLines/>
              <w:bidi/>
              <w:spacing w:before="120" w:after="120" w:line="280" w:lineRule="exact"/>
              <w:ind w:left="1452" w:hanging="1452"/>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b/>
                <w:bCs/>
                <w:sz w:val="28"/>
                <w:szCs w:val="28"/>
                <w:rtl/>
                <w:lang w:eastAsia="ar-EG" w:bidi="ar-EG"/>
              </w:rPr>
              <w:lastRenderedPageBreak/>
              <w:t>‏النتيجة المرتقبة:</w:t>
            </w:r>
            <w:r w:rsidRPr="003876F3">
              <w:rPr>
                <w:rFonts w:ascii="Arabic Typesetting" w:eastAsia="Arabic Typesetting" w:hAnsi="Arabic Typesetting" w:cs="Arabic Typesetting"/>
                <w:sz w:val="28"/>
                <w:szCs w:val="28"/>
                <w:lang w:eastAsia="ar-EG" w:bidi="ar-EG"/>
              </w:rPr>
              <w:tab/>
            </w:r>
            <w:r w:rsidRPr="003876F3">
              <w:rPr>
                <w:rFonts w:ascii="Arabic Typesetting" w:eastAsia="Arabic Typesetting" w:hAnsi="Arabic Typesetting" w:cs="Arabic Typesetting"/>
                <w:sz w:val="28"/>
                <w:szCs w:val="28"/>
                <w:rtl/>
                <w:lang w:eastAsia="ar-EG" w:bidi="ar-EG"/>
              </w:rPr>
              <w:t>ه1.8 التواصل بفعالية أكبر مع جمهور واسع ب</w:t>
            </w:r>
            <w:r>
              <w:rPr>
                <w:rFonts w:ascii="Arabic Typesetting" w:eastAsia="Arabic Typesetting" w:hAnsi="Arabic Typesetting" w:cs="Arabic Typesetting"/>
                <w:sz w:val="28"/>
                <w:szCs w:val="28"/>
                <w:rtl/>
                <w:lang w:eastAsia="ar-EG" w:bidi="ar-EG"/>
              </w:rPr>
              <w:t>شأن الملكية الفكرية ودور الويبو</w:t>
            </w:r>
          </w:p>
        </w:tc>
      </w:tr>
      <w:tr w:rsidR="00BB3820" w:rsidRPr="003876F3" w14:paraId="427CAB09" w14:textId="77777777" w:rsidTr="00BB3820">
        <w:tc>
          <w:tcPr>
            <w:tcW w:w="1072" w:type="pct"/>
            <w:shd w:val="clear" w:color="auto" w:fill="auto"/>
            <w:tcMar>
              <w:left w:w="58" w:type="dxa"/>
              <w:right w:w="58" w:type="dxa"/>
            </w:tcMar>
            <w:vAlign w:val="center"/>
          </w:tcPr>
          <w:p w14:paraId="216CAE9D"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مؤشرات الأداء</w:t>
            </w:r>
          </w:p>
        </w:tc>
        <w:tc>
          <w:tcPr>
            <w:tcW w:w="1699" w:type="pct"/>
            <w:shd w:val="clear" w:color="auto" w:fill="auto"/>
            <w:tcMar>
              <w:left w:w="58" w:type="dxa"/>
              <w:right w:w="58" w:type="dxa"/>
            </w:tcMar>
            <w:vAlign w:val="center"/>
          </w:tcPr>
          <w:p w14:paraId="617387BD"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أسس المقارنة</w:t>
            </w:r>
          </w:p>
        </w:tc>
        <w:tc>
          <w:tcPr>
            <w:tcW w:w="749" w:type="pct"/>
            <w:shd w:val="clear" w:color="auto" w:fill="auto"/>
            <w:tcMar>
              <w:top w:w="110" w:type="dxa"/>
              <w:left w:w="58" w:type="dxa"/>
              <w:right w:w="58" w:type="dxa"/>
            </w:tcMar>
            <w:vAlign w:val="center"/>
          </w:tcPr>
          <w:p w14:paraId="282B3B2C"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الأهداف</w:t>
            </w:r>
          </w:p>
        </w:tc>
        <w:tc>
          <w:tcPr>
            <w:tcW w:w="969" w:type="pct"/>
            <w:shd w:val="clear" w:color="auto" w:fill="FFFFFF"/>
            <w:tcMar>
              <w:top w:w="110" w:type="dxa"/>
              <w:left w:w="58" w:type="dxa"/>
              <w:right w:w="58" w:type="dxa"/>
            </w:tcMar>
            <w:vAlign w:val="center"/>
          </w:tcPr>
          <w:p w14:paraId="1D89D4D6" w14:textId="77777777" w:rsidR="00BB3820" w:rsidRPr="003876F3"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3876F3">
              <w:rPr>
                <w:rFonts w:ascii="Arabic Typesetting" w:eastAsia="Arabic Typesetting" w:hAnsi="Arabic Typesetting" w:cs="Arabic Typesetting"/>
                <w:b/>
                <w:bCs/>
                <w:sz w:val="28"/>
                <w:szCs w:val="28"/>
                <w:rtl/>
                <w:lang w:eastAsia="ar-EG" w:bidi="ar-EG"/>
              </w:rPr>
              <w:t>بيانات الأداء</w:t>
            </w:r>
          </w:p>
        </w:tc>
        <w:tc>
          <w:tcPr>
            <w:tcW w:w="512" w:type="pct"/>
            <w:shd w:val="clear" w:color="auto" w:fill="auto"/>
            <w:tcMar>
              <w:top w:w="110" w:type="dxa"/>
              <w:left w:w="58" w:type="dxa"/>
              <w:right w:w="58" w:type="dxa"/>
            </w:tcMar>
            <w:vAlign w:val="center"/>
          </w:tcPr>
          <w:p w14:paraId="4BB6E504" w14:textId="77777777" w:rsidR="00BB3820" w:rsidRPr="003876F3" w:rsidRDefault="00BB3820"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B3820" w:rsidRPr="003876F3" w14:paraId="2CC92966" w14:textId="77777777" w:rsidTr="00BB3820">
        <w:trPr>
          <w:trHeight w:val="1318"/>
        </w:trPr>
        <w:tc>
          <w:tcPr>
            <w:tcW w:w="1072" w:type="pct"/>
            <w:shd w:val="clear" w:color="auto" w:fill="auto"/>
            <w:tcMar>
              <w:left w:w="58" w:type="dxa"/>
              <w:right w:w="58" w:type="dxa"/>
            </w:tcMar>
          </w:tcPr>
          <w:p w14:paraId="43BA5747"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 xml:space="preserve">عدد الدول الأعضاء </w:t>
            </w:r>
            <w:r>
              <w:rPr>
                <w:rFonts w:ascii="Arabic Typesetting" w:eastAsia="Arabic Typesetting" w:hAnsi="Arabic Typesetting" w:cs="Arabic Typesetting"/>
                <w:color w:val="000000"/>
                <w:sz w:val="28"/>
                <w:szCs w:val="28"/>
                <w:rtl/>
                <w:lang w:eastAsia="ar-EG" w:bidi="ar-EG"/>
              </w:rPr>
              <w:t>المشاركة في برنامج جوائز الويبو</w:t>
            </w:r>
          </w:p>
        </w:tc>
        <w:tc>
          <w:tcPr>
            <w:tcW w:w="1699" w:type="pct"/>
            <w:shd w:val="clear" w:color="auto" w:fill="auto"/>
            <w:tcMar>
              <w:left w:w="58" w:type="dxa"/>
              <w:right w:w="58" w:type="dxa"/>
            </w:tcMar>
          </w:tcPr>
          <w:p w14:paraId="5EB324EB" w14:textId="77777777" w:rsidR="00BB3820" w:rsidRDefault="00BB3820" w:rsidP="0031289D">
            <w:pPr>
              <w:bidi/>
              <w:spacing w:after="120" w:line="280" w:lineRule="exact"/>
              <w:ind w:left="24"/>
              <w:rPr>
                <w:rFonts w:ascii="Arabic Typesetting" w:eastAsia="Arabic Typesetting" w:hAnsi="Arabic Typesetting" w:cs="Arabic Typesetting"/>
                <w:color w:val="1F497D"/>
                <w:sz w:val="28"/>
                <w:szCs w:val="28"/>
                <w:lang w:eastAsia="ar-EG" w:bidi="ar-EG"/>
              </w:rPr>
            </w:pPr>
            <w:r w:rsidRPr="003876F3">
              <w:rPr>
                <w:rFonts w:ascii="Arabic Typesetting" w:eastAsia="Arabic Typesetting" w:hAnsi="Arabic Typesetting" w:cs="Arabic Typesetting"/>
                <w:i/>
                <w:iCs/>
                <w:color w:val="1F497D"/>
                <w:sz w:val="28"/>
                <w:szCs w:val="28"/>
                <w:rtl/>
                <w:lang w:eastAsia="ar-EG" w:bidi="ar-EG"/>
              </w:rPr>
              <w:t>أساس المقارنة المُحدَّث في نهاية 2015</w:t>
            </w:r>
            <w:r>
              <w:rPr>
                <w:rFonts w:ascii="Arabic Typesetting" w:eastAsia="Arabic Typesetting" w:hAnsi="Arabic Typesetting" w:cs="Arabic Typesetting"/>
                <w:i/>
                <w:iCs/>
                <w:color w:val="1F497D"/>
                <w:sz w:val="28"/>
                <w:szCs w:val="28"/>
                <w:rtl/>
                <w:lang w:eastAsia="ar-EG" w:bidi="ar-EG"/>
              </w:rPr>
              <w:t>:</w:t>
            </w:r>
            <w:r>
              <w:rPr>
                <w:rFonts w:ascii="Arabic Typesetting" w:eastAsia="Arabic Typesetting" w:hAnsi="Arabic Typesetting" w:cs="Arabic Typesetting"/>
                <w:i/>
                <w:iCs/>
                <w:color w:val="1F497D"/>
                <w:sz w:val="28"/>
                <w:szCs w:val="28"/>
                <w:rtl/>
                <w:lang w:eastAsia="ar-EG" w:bidi="ar-EG"/>
              </w:rPr>
              <w:br/>
            </w:r>
            <w:r w:rsidRPr="003876F3">
              <w:rPr>
                <w:rFonts w:ascii="Arabic Typesetting" w:eastAsia="Arabic Typesetting" w:hAnsi="Arabic Typesetting" w:cs="Arabic Typesetting"/>
                <w:color w:val="1F497D"/>
                <w:sz w:val="28"/>
                <w:szCs w:val="28"/>
                <w:rtl/>
                <w:lang w:eastAsia="ar-EG" w:bidi="ar-EG"/>
              </w:rPr>
              <w:t>في الثنائية 2014/15، شارك ما مجموعه 54 بلداً مختلفاً في برنامج جوائز الويبو</w:t>
            </w:r>
          </w:p>
          <w:p w14:paraId="199C3B51" w14:textId="77777777"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3876F3">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876F3">
              <w:rPr>
                <w:rFonts w:ascii="Arabic Typesetting" w:eastAsia="Arabic Typesetting" w:hAnsi="Arabic Typesetting" w:cs="Arabic Typesetting"/>
                <w:i/>
                <w:iCs/>
                <w:sz w:val="28"/>
                <w:szCs w:val="28"/>
                <w:rtl/>
                <w:lang w:eastAsia="ar-EG" w:bidi="ar-EG"/>
              </w:rPr>
              <w:t>:</w:t>
            </w:r>
            <w:r w:rsidRPr="003876F3">
              <w:rPr>
                <w:rFonts w:ascii="Arabic Typesetting" w:eastAsia="Batang" w:hAnsi="Arabic Typesetting" w:cs="Arabic Typesetting"/>
                <w:i/>
                <w:sz w:val="28"/>
                <w:szCs w:val="28"/>
                <w:lang w:eastAsia="ar-EG" w:bidi="ar-EG"/>
              </w:rPr>
              <w:br/>
            </w:r>
            <w:r w:rsidRPr="003876F3">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876F3">
              <w:rPr>
                <w:rFonts w:ascii="Arabic Typesetting" w:eastAsia="Arabic Typesetting" w:hAnsi="Arabic Typesetting" w:cs="Arabic Typesetting"/>
                <w:sz w:val="28"/>
                <w:szCs w:val="28"/>
                <w:rtl/>
                <w:lang w:eastAsia="ar-EG" w:bidi="ar-EG"/>
              </w:rPr>
              <w:t>‏38 (في عام 2014)</w:t>
            </w:r>
          </w:p>
        </w:tc>
        <w:tc>
          <w:tcPr>
            <w:tcW w:w="749" w:type="pct"/>
            <w:shd w:val="clear" w:color="auto" w:fill="auto"/>
            <w:tcMar>
              <w:top w:w="110" w:type="dxa"/>
              <w:left w:w="58" w:type="dxa"/>
              <w:right w:w="58" w:type="dxa"/>
            </w:tcMar>
          </w:tcPr>
          <w:p w14:paraId="199C5424" w14:textId="77777777" w:rsidR="00BB3820" w:rsidRDefault="00BB3820" w:rsidP="0031289D">
            <w:pPr>
              <w:bidi/>
              <w:spacing w:after="120" w:line="280" w:lineRule="exact"/>
              <w:rPr>
                <w:rFonts w:ascii="Arabic Typesetting" w:eastAsia="Arabic Typesetting" w:hAnsi="Arabic Typesetting" w:cs="Arabic Typesetting"/>
                <w:color w:val="1F497D"/>
                <w:sz w:val="28"/>
                <w:szCs w:val="28"/>
                <w:lang w:eastAsia="ar-EG" w:bidi="ar-EG"/>
              </w:rPr>
            </w:pPr>
            <w:r w:rsidRPr="003876F3">
              <w:rPr>
                <w:rFonts w:ascii="Arabic Typesetting" w:eastAsia="Arabic Typesetting" w:hAnsi="Arabic Typesetting" w:cs="Arabic Typesetting"/>
                <w:i/>
                <w:iCs/>
                <w:color w:val="1F497D"/>
                <w:sz w:val="28"/>
                <w:szCs w:val="28"/>
                <w:rtl/>
                <w:lang w:eastAsia="ar-EG" w:bidi="ar-EG"/>
              </w:rPr>
              <w:t>الهدف المحدَّث</w:t>
            </w:r>
            <w:r>
              <w:rPr>
                <w:rFonts w:ascii="Arabic Typesetting" w:eastAsia="Arabic Typesetting" w:hAnsi="Arabic Typesetting" w:cs="Arabic Typesetting"/>
                <w:i/>
                <w:iCs/>
                <w:color w:val="1F497D"/>
                <w:sz w:val="28"/>
                <w:szCs w:val="28"/>
                <w:rtl/>
                <w:lang w:eastAsia="ar-EG" w:bidi="ar-EG"/>
              </w:rPr>
              <w:t>:</w:t>
            </w:r>
            <w:r>
              <w:rPr>
                <w:rFonts w:ascii="Arabic Typesetting" w:eastAsia="Arabic Typesetting" w:hAnsi="Arabic Typesetting" w:cs="Arabic Typesetting"/>
                <w:i/>
                <w:iCs/>
                <w:color w:val="1F497D"/>
                <w:sz w:val="28"/>
                <w:szCs w:val="28"/>
                <w:rtl/>
                <w:lang w:eastAsia="ar-EG" w:bidi="ar-EG"/>
              </w:rPr>
              <w:br/>
            </w:r>
            <w:r w:rsidRPr="003876F3">
              <w:rPr>
                <w:rFonts w:ascii="Arabic Typesetting" w:eastAsia="Arabic Typesetting" w:hAnsi="Arabic Typesetting" w:cs="Arabic Typesetting"/>
                <w:color w:val="1F497D"/>
                <w:sz w:val="28"/>
                <w:szCs w:val="28"/>
                <w:rtl/>
                <w:lang w:eastAsia="ar-EG" w:bidi="ar-EG"/>
              </w:rPr>
              <w:t>54</w:t>
            </w:r>
          </w:p>
          <w:p w14:paraId="1D54A805" w14:textId="7AD6C69C" w:rsidR="00BB3820" w:rsidRPr="003876F3" w:rsidRDefault="00BB3820"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0C4432">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0C4432">
              <w:rPr>
                <w:rFonts w:ascii="Arabic Typesetting" w:eastAsia="Arabic Typesetting" w:hAnsi="Arabic Typesetting" w:cs="Arabic Typesetting"/>
                <w:i/>
                <w:iCs/>
                <w:sz w:val="28"/>
                <w:szCs w:val="28"/>
                <w:lang w:eastAsia="ar-EG" w:bidi="ar-EG"/>
              </w:rPr>
              <w:br/>
            </w:r>
            <w:r w:rsidRPr="000C4432">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sz w:val="28"/>
                <w:szCs w:val="28"/>
                <w:rtl/>
                <w:lang w:eastAsia="ar-EG" w:bidi="ar-EG"/>
              </w:rPr>
              <w:br/>
            </w:r>
            <w:r w:rsidRPr="003876F3">
              <w:rPr>
                <w:rFonts w:ascii="Arabic Typesetting" w:eastAsia="Arabic Typesetting" w:hAnsi="Arabic Typesetting" w:cs="Arabic Typesetting"/>
                <w:sz w:val="28"/>
                <w:szCs w:val="28"/>
                <w:rtl/>
                <w:lang w:eastAsia="ar-EG" w:bidi="ar-EG"/>
              </w:rPr>
              <w:t>‏45 في 2016/17</w:t>
            </w:r>
          </w:p>
        </w:tc>
        <w:tc>
          <w:tcPr>
            <w:tcW w:w="969" w:type="pct"/>
            <w:shd w:val="clear" w:color="auto" w:fill="FFFFFF"/>
            <w:tcMar>
              <w:top w:w="110" w:type="dxa"/>
              <w:left w:w="58" w:type="dxa"/>
              <w:right w:w="58" w:type="dxa"/>
            </w:tcMar>
          </w:tcPr>
          <w:p w14:paraId="53BE9178" w14:textId="77777777" w:rsidR="00BB3820" w:rsidRPr="003876F3"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3876F3">
              <w:rPr>
                <w:rFonts w:ascii="Arabic Typesetting" w:eastAsia="Arabic Typesetting" w:hAnsi="Arabic Typesetting" w:cs="Arabic Typesetting"/>
                <w:color w:val="000000"/>
                <w:sz w:val="28"/>
                <w:szCs w:val="28"/>
                <w:rtl/>
                <w:lang w:eastAsia="ar-EG" w:bidi="ar-EG"/>
              </w:rPr>
              <w:t>في 2016، شارك ما مجموعه 45 بلداً مختلفاً في برنامج جوائز الويبو</w:t>
            </w:r>
          </w:p>
        </w:tc>
        <w:tc>
          <w:tcPr>
            <w:tcW w:w="512" w:type="pct"/>
            <w:shd w:val="clear" w:color="auto" w:fill="auto"/>
            <w:tcMar>
              <w:top w:w="110" w:type="dxa"/>
              <w:left w:w="58" w:type="dxa"/>
              <w:right w:w="58" w:type="dxa"/>
            </w:tcMar>
          </w:tcPr>
          <w:p w14:paraId="50DF97A3" w14:textId="77777777" w:rsidR="00BB3820" w:rsidRPr="003876F3" w:rsidRDefault="00BB3820"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3876F3">
              <w:rPr>
                <w:rFonts w:ascii="Arabic Typesetting" w:eastAsia="Arabic Typesetting" w:hAnsi="Arabic Typesetting" w:cs="Arabic Typesetting"/>
                <w:b/>
                <w:bCs/>
                <w:color w:val="00B050"/>
                <w:sz w:val="28"/>
                <w:szCs w:val="28"/>
                <w:rtl/>
                <w:lang w:eastAsia="ar-EG" w:bidi="ar-EG"/>
              </w:rPr>
              <w:t>ثابت</w:t>
            </w:r>
          </w:p>
        </w:tc>
      </w:tr>
    </w:tbl>
    <w:p w14:paraId="3C45F816" w14:textId="77777777" w:rsidR="00BB3820" w:rsidRDefault="00BB3820" w:rsidP="0031289D">
      <w:pPr>
        <w:bidi/>
      </w:pPr>
    </w:p>
    <w:tbl>
      <w:tblPr>
        <w:tblStyle w:val="TableGrid"/>
        <w:bidiVisual/>
        <w:tblW w:w="0" w:type="auto"/>
        <w:tblLook w:val="04A0" w:firstRow="1" w:lastRow="0" w:firstColumn="1" w:lastColumn="0" w:noHBand="0" w:noVBand="1"/>
      </w:tblPr>
      <w:tblGrid>
        <w:gridCol w:w="9571"/>
      </w:tblGrid>
      <w:tr w:rsidR="00BB3820" w14:paraId="557689BE" w14:textId="77777777" w:rsidTr="00BB3820">
        <w:tc>
          <w:tcPr>
            <w:tcW w:w="9571" w:type="dxa"/>
            <w:tcBorders>
              <w:top w:val="nil"/>
              <w:left w:val="nil"/>
              <w:bottom w:val="nil"/>
              <w:right w:val="nil"/>
            </w:tcBorders>
            <w:shd w:val="clear" w:color="auto" w:fill="C6D9F1"/>
            <w:vAlign w:val="center"/>
          </w:tcPr>
          <w:p w14:paraId="634B2926" w14:textId="77777777" w:rsidR="00BB3820" w:rsidRPr="00A2672B" w:rsidRDefault="00BB3820" w:rsidP="0031289D">
            <w:pPr>
              <w:keepNext/>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t>استخد</w:t>
            </w:r>
            <w:r w:rsidRPr="00A2672B">
              <w:rPr>
                <w:rFonts w:ascii="Arabic Typesetting" w:hAnsi="Arabic Typesetting" w:cs="Arabic Typesetting"/>
                <w:b/>
                <w:bCs/>
                <w:sz w:val="34"/>
                <w:szCs w:val="34"/>
                <w:rtl/>
                <w:lang w:bidi="ar-EG"/>
              </w:rPr>
              <w:t>ام موارد البرنامج 1</w:t>
            </w:r>
            <w:r>
              <w:rPr>
                <w:rFonts w:ascii="Arabic Typesetting" w:hAnsi="Arabic Typesetting" w:cs="Arabic Typesetting" w:hint="cs"/>
                <w:b/>
                <w:bCs/>
                <w:sz w:val="34"/>
                <w:szCs w:val="34"/>
                <w:rtl/>
                <w:lang w:bidi="ar-EG"/>
              </w:rPr>
              <w:t>7</w:t>
            </w:r>
          </w:p>
        </w:tc>
      </w:tr>
    </w:tbl>
    <w:p w14:paraId="3F8F304A" w14:textId="77777777" w:rsidR="00BB3820" w:rsidRPr="00FE3908" w:rsidRDefault="00BB3820"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733C60CB" w14:textId="77777777" w:rsidR="00BB3820" w:rsidRDefault="00BB3820"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B3820" w:rsidRPr="00211D55" w14:paraId="54005946"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6E5A4ABF"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18F27D19"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29B5D75D" w14:textId="77777777" w:rsidR="00BB3820" w:rsidRPr="00A2672B" w:rsidRDefault="00BB3820"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4013D5DD"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B3820" w:rsidRPr="00211D55" w14:paraId="6C0F3CAD" w14:textId="77777777" w:rsidTr="00BB3820">
        <w:trPr>
          <w:trHeight w:val="55"/>
        </w:trPr>
        <w:tc>
          <w:tcPr>
            <w:tcW w:w="413" w:type="pct"/>
            <w:shd w:val="clear" w:color="auto" w:fill="auto"/>
            <w:noWrap/>
            <w:tcMar>
              <w:top w:w="15" w:type="dxa"/>
              <w:left w:w="15" w:type="dxa"/>
              <w:bottom w:w="0" w:type="dxa"/>
              <w:right w:w="15" w:type="dxa"/>
            </w:tcMar>
            <w:vAlign w:val="center"/>
          </w:tcPr>
          <w:p w14:paraId="2C6DB20A" w14:textId="77777777" w:rsidR="00BB3820" w:rsidRPr="003876F3" w:rsidRDefault="00BB3820" w:rsidP="0031289D">
            <w:pPr>
              <w:bidi/>
              <w:rPr>
                <w:rFonts w:ascii="Arabic Typesetting" w:hAnsi="Arabic Typesetting" w:cs="Arabic Typesetting"/>
                <w:sz w:val="28"/>
                <w:szCs w:val="28"/>
              </w:rPr>
            </w:pPr>
            <w:r w:rsidRPr="003876F3">
              <w:rPr>
                <w:rFonts w:ascii="Arabic Typesetting" w:hAnsi="Arabic Typesetting" w:cs="Arabic Typesetting"/>
                <w:sz w:val="28"/>
                <w:szCs w:val="28"/>
                <w:rtl/>
              </w:rPr>
              <w:t>ه2.1</w:t>
            </w:r>
          </w:p>
        </w:tc>
        <w:tc>
          <w:tcPr>
            <w:tcW w:w="2340" w:type="pct"/>
            <w:shd w:val="clear" w:color="auto" w:fill="auto"/>
            <w:tcMar>
              <w:top w:w="15" w:type="dxa"/>
              <w:left w:w="15" w:type="dxa"/>
              <w:bottom w:w="0" w:type="dxa"/>
              <w:right w:w="15" w:type="dxa"/>
            </w:tcMar>
            <w:vAlign w:val="center"/>
          </w:tcPr>
          <w:p w14:paraId="0753FAC9" w14:textId="3AD31047" w:rsidR="00BB3820" w:rsidRPr="003876F3" w:rsidRDefault="009834BA" w:rsidP="0031289D">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مكيّفة ومتوازنة في مجال الملكية الفكرية</w:t>
            </w:r>
          </w:p>
        </w:tc>
        <w:tc>
          <w:tcPr>
            <w:tcW w:w="749" w:type="pct"/>
            <w:shd w:val="clear" w:color="auto" w:fill="auto"/>
            <w:tcMar>
              <w:top w:w="15" w:type="dxa"/>
              <w:left w:w="15" w:type="dxa"/>
              <w:bottom w:w="0" w:type="dxa"/>
              <w:right w:w="15" w:type="dxa"/>
            </w:tcMar>
            <w:vAlign w:val="center"/>
          </w:tcPr>
          <w:p w14:paraId="3BC899A2"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639</w:t>
            </w:r>
          </w:p>
        </w:tc>
        <w:tc>
          <w:tcPr>
            <w:tcW w:w="749" w:type="pct"/>
            <w:shd w:val="clear" w:color="auto" w:fill="auto"/>
            <w:tcMar>
              <w:top w:w="15" w:type="dxa"/>
              <w:left w:w="15" w:type="dxa"/>
              <w:bottom w:w="0" w:type="dxa"/>
              <w:right w:w="15" w:type="dxa"/>
            </w:tcMar>
            <w:vAlign w:val="center"/>
          </w:tcPr>
          <w:p w14:paraId="19BAA090"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659</w:t>
            </w:r>
          </w:p>
        </w:tc>
        <w:tc>
          <w:tcPr>
            <w:tcW w:w="749" w:type="pct"/>
            <w:shd w:val="clear" w:color="auto" w:fill="auto"/>
            <w:noWrap/>
            <w:tcMar>
              <w:top w:w="15" w:type="dxa"/>
              <w:left w:w="15" w:type="dxa"/>
              <w:bottom w:w="0" w:type="dxa"/>
              <w:right w:w="15" w:type="dxa"/>
            </w:tcMar>
            <w:vAlign w:val="center"/>
          </w:tcPr>
          <w:p w14:paraId="27AE7D72"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316</w:t>
            </w:r>
          </w:p>
        </w:tc>
      </w:tr>
      <w:tr w:rsidR="00BB3820" w:rsidRPr="00211D55" w14:paraId="763CCC5C" w14:textId="77777777" w:rsidTr="00BB3820">
        <w:trPr>
          <w:trHeight w:val="55"/>
        </w:trPr>
        <w:tc>
          <w:tcPr>
            <w:tcW w:w="413" w:type="pct"/>
            <w:shd w:val="clear" w:color="auto" w:fill="auto"/>
            <w:noWrap/>
            <w:tcMar>
              <w:top w:w="15" w:type="dxa"/>
              <w:left w:w="15" w:type="dxa"/>
              <w:bottom w:w="0" w:type="dxa"/>
              <w:right w:w="15" w:type="dxa"/>
            </w:tcMar>
            <w:vAlign w:val="center"/>
          </w:tcPr>
          <w:p w14:paraId="1F97B6E1" w14:textId="77777777" w:rsidR="00BB3820" w:rsidRPr="003876F3" w:rsidRDefault="00BB3820" w:rsidP="0031289D">
            <w:pPr>
              <w:bidi/>
              <w:rPr>
                <w:rFonts w:ascii="Arabic Typesetting" w:hAnsi="Arabic Typesetting" w:cs="Arabic Typesetting"/>
                <w:sz w:val="28"/>
                <w:szCs w:val="28"/>
              </w:rPr>
            </w:pPr>
            <w:r w:rsidRPr="003876F3">
              <w:rPr>
                <w:rFonts w:ascii="Arabic Typesetting" w:hAnsi="Arabic Typesetting" w:cs="Arabic Typesetting"/>
                <w:sz w:val="28"/>
                <w:szCs w:val="28"/>
                <w:rtl/>
              </w:rPr>
              <w:t>ه2.3</w:t>
            </w:r>
          </w:p>
        </w:tc>
        <w:tc>
          <w:tcPr>
            <w:tcW w:w="2340" w:type="pct"/>
            <w:shd w:val="clear" w:color="auto" w:fill="auto"/>
            <w:tcMar>
              <w:top w:w="15" w:type="dxa"/>
              <w:left w:w="15" w:type="dxa"/>
              <w:bottom w:w="0" w:type="dxa"/>
              <w:right w:w="15" w:type="dxa"/>
            </w:tcMar>
            <w:vAlign w:val="center"/>
          </w:tcPr>
          <w:p w14:paraId="1A4F9D4C" w14:textId="77777777" w:rsidR="00BB3820" w:rsidRPr="003876F3" w:rsidRDefault="00BB3820" w:rsidP="0031289D">
            <w:pPr>
              <w:bidi/>
              <w:spacing w:before="120" w:after="120"/>
              <w:rPr>
                <w:rFonts w:ascii="Arabic Typesetting" w:hAnsi="Arabic Typesetting" w:cs="Arabic Typesetting"/>
                <w:sz w:val="28"/>
                <w:szCs w:val="28"/>
              </w:rPr>
            </w:pPr>
            <w:r w:rsidRPr="003876F3">
              <w:rPr>
                <w:rFonts w:ascii="Arabic Typesetting" w:hAnsi="Arabic Typesetting" w:cs="Arabic Typesetting"/>
                <w:sz w:val="28"/>
                <w:szCs w:val="28"/>
                <w:rtl/>
              </w:rPr>
              <w:t>كفاءات</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‏معزَّزة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‏للموارد</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‏البشرية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‏القادرة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‏على</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‏تلبية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‏تشكيلة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‏واسعة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‏من المتطلبات</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‏لتسخير</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‏الملكية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‏الفكرية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‏بفعالية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‏لأغراض</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‏التنمية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‏في</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‏البلدان</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‏النامية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‏والبلدان</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‏الأقل</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‏نموا</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‏والبلدان</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‏المنتقلة</w:t>
            </w:r>
            <w:r w:rsidRPr="003876F3">
              <w:rPr>
                <w:rFonts w:ascii="Arabic Typesetting" w:hAnsi="Arabic Typesetting" w:cs="Arabic Typesetting"/>
                <w:sz w:val="28"/>
                <w:szCs w:val="28"/>
                <w:cs/>
              </w:rPr>
              <w:t>‎</w:t>
            </w:r>
            <w:r w:rsidRPr="003876F3">
              <w:rPr>
                <w:rFonts w:ascii="Arabic Typesetting" w:hAnsi="Arabic Typesetting" w:cs="Arabic Typesetting"/>
                <w:sz w:val="28"/>
                <w:szCs w:val="28"/>
              </w:rPr>
              <w:t xml:space="preserve"> </w:t>
            </w:r>
            <w:r w:rsidRPr="003876F3">
              <w:rPr>
                <w:rFonts w:ascii="Arabic Typesetting" w:hAnsi="Arabic Typesetting" w:cs="Arabic Typesetting"/>
                <w:sz w:val="28"/>
                <w:szCs w:val="28"/>
                <w:rtl/>
              </w:rPr>
              <w:t>‏إلى</w:t>
            </w:r>
            <w:r>
              <w:rPr>
                <w:rFonts w:ascii="Arabic Typesetting" w:hAnsi="Arabic Typesetting" w:cs="Arabic Typesetting" w:hint="cs"/>
                <w:sz w:val="28"/>
                <w:szCs w:val="28"/>
                <w:rtl/>
                <w:cs/>
              </w:rPr>
              <w:t xml:space="preserve"> نظام الاقتصاد الحر</w:t>
            </w:r>
          </w:p>
        </w:tc>
        <w:tc>
          <w:tcPr>
            <w:tcW w:w="749" w:type="pct"/>
            <w:shd w:val="clear" w:color="auto" w:fill="auto"/>
            <w:tcMar>
              <w:top w:w="15" w:type="dxa"/>
              <w:left w:w="15" w:type="dxa"/>
              <w:bottom w:w="0" w:type="dxa"/>
              <w:right w:w="15" w:type="dxa"/>
            </w:tcMar>
            <w:vAlign w:val="center"/>
          </w:tcPr>
          <w:p w14:paraId="7B5231FD"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1 105</w:t>
            </w:r>
          </w:p>
        </w:tc>
        <w:tc>
          <w:tcPr>
            <w:tcW w:w="749" w:type="pct"/>
            <w:shd w:val="clear" w:color="auto" w:fill="auto"/>
            <w:tcMar>
              <w:top w:w="15" w:type="dxa"/>
              <w:left w:w="15" w:type="dxa"/>
              <w:bottom w:w="0" w:type="dxa"/>
              <w:right w:w="15" w:type="dxa"/>
            </w:tcMar>
            <w:vAlign w:val="center"/>
          </w:tcPr>
          <w:p w14:paraId="1B54BEC2"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1 114</w:t>
            </w:r>
          </w:p>
        </w:tc>
        <w:tc>
          <w:tcPr>
            <w:tcW w:w="749" w:type="pct"/>
            <w:shd w:val="clear" w:color="auto" w:fill="auto"/>
            <w:noWrap/>
            <w:tcMar>
              <w:top w:w="15" w:type="dxa"/>
              <w:left w:w="15" w:type="dxa"/>
              <w:bottom w:w="0" w:type="dxa"/>
              <w:right w:w="15" w:type="dxa"/>
            </w:tcMar>
            <w:vAlign w:val="center"/>
          </w:tcPr>
          <w:p w14:paraId="1D26D818"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519</w:t>
            </w:r>
          </w:p>
        </w:tc>
      </w:tr>
      <w:tr w:rsidR="00BB3820" w:rsidRPr="00211D55" w14:paraId="4B9B7955" w14:textId="77777777" w:rsidTr="00BB3820">
        <w:trPr>
          <w:trHeight w:val="735"/>
        </w:trPr>
        <w:tc>
          <w:tcPr>
            <w:tcW w:w="413" w:type="pct"/>
            <w:shd w:val="clear" w:color="auto" w:fill="auto"/>
            <w:noWrap/>
            <w:tcMar>
              <w:top w:w="15" w:type="dxa"/>
              <w:left w:w="15" w:type="dxa"/>
              <w:bottom w:w="0" w:type="dxa"/>
              <w:right w:w="15" w:type="dxa"/>
            </w:tcMar>
            <w:vAlign w:val="center"/>
          </w:tcPr>
          <w:p w14:paraId="1578D5BE" w14:textId="77777777" w:rsidR="00BB3820" w:rsidRPr="003876F3" w:rsidRDefault="00BB3820" w:rsidP="0031289D">
            <w:pPr>
              <w:bidi/>
              <w:rPr>
                <w:rFonts w:ascii="Arabic Typesetting" w:hAnsi="Arabic Typesetting" w:cs="Arabic Typesetting"/>
                <w:sz w:val="28"/>
                <w:szCs w:val="28"/>
              </w:rPr>
            </w:pPr>
            <w:r w:rsidRPr="003876F3">
              <w:rPr>
                <w:rFonts w:ascii="Arabic Typesetting" w:hAnsi="Arabic Typesetting" w:cs="Arabic Typesetting"/>
                <w:sz w:val="28"/>
                <w:szCs w:val="28"/>
                <w:rtl/>
              </w:rPr>
              <w:t>ه1.6</w:t>
            </w:r>
          </w:p>
        </w:tc>
        <w:tc>
          <w:tcPr>
            <w:tcW w:w="2340" w:type="pct"/>
            <w:shd w:val="clear" w:color="auto" w:fill="auto"/>
            <w:tcMar>
              <w:top w:w="15" w:type="dxa"/>
              <w:left w:w="15" w:type="dxa"/>
              <w:bottom w:w="0" w:type="dxa"/>
              <w:right w:w="15" w:type="dxa"/>
            </w:tcMar>
            <w:vAlign w:val="center"/>
          </w:tcPr>
          <w:p w14:paraId="57AC984A" w14:textId="77777777" w:rsidR="00BB3820" w:rsidRPr="003876F3" w:rsidRDefault="00BB3820" w:rsidP="0031289D">
            <w:pPr>
              <w:bidi/>
              <w:spacing w:before="120" w:after="120"/>
              <w:rPr>
                <w:rFonts w:ascii="Arabic Typesetting" w:hAnsi="Arabic Typesetting" w:cs="Arabic Typesetting"/>
                <w:sz w:val="28"/>
                <w:szCs w:val="28"/>
              </w:rPr>
            </w:pPr>
            <w:r w:rsidRPr="003876F3">
              <w:rPr>
                <w:rFonts w:ascii="Arabic Typesetting" w:hAnsi="Arabic Typesetting" w:cs="Arabic Typesetting"/>
                <w:sz w:val="28"/>
                <w:szCs w:val="28"/>
                <w:rtl/>
              </w:rPr>
              <w:t xml:space="preserve">تقدّم في الحوار السياسي الدولي بين الدول الأعضاء في الويبو حول إذكاء الاحترام للملكية الفكرية، مع الاسترشاد بالتوصية رقم 45 من </w:t>
            </w:r>
            <w:r>
              <w:rPr>
                <w:rFonts w:ascii="Arabic Typesetting" w:hAnsi="Arabic Typesetting" w:cs="Arabic Typesetting" w:hint="cs"/>
                <w:sz w:val="28"/>
                <w:szCs w:val="28"/>
                <w:rtl/>
              </w:rPr>
              <w:t xml:space="preserve">أجندة </w:t>
            </w:r>
            <w:r w:rsidRPr="003876F3">
              <w:rPr>
                <w:rFonts w:ascii="Arabic Typesetting" w:hAnsi="Arabic Typesetting" w:cs="Arabic Typesetting"/>
                <w:sz w:val="28"/>
                <w:szCs w:val="28"/>
                <w:rtl/>
              </w:rPr>
              <w:t>الويبو بشأن التنمية</w:t>
            </w:r>
          </w:p>
        </w:tc>
        <w:tc>
          <w:tcPr>
            <w:tcW w:w="749" w:type="pct"/>
            <w:shd w:val="clear" w:color="auto" w:fill="auto"/>
            <w:tcMar>
              <w:top w:w="15" w:type="dxa"/>
              <w:left w:w="15" w:type="dxa"/>
              <w:bottom w:w="0" w:type="dxa"/>
              <w:right w:w="15" w:type="dxa"/>
            </w:tcMar>
            <w:vAlign w:val="center"/>
          </w:tcPr>
          <w:p w14:paraId="135B268D"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569</w:t>
            </w:r>
          </w:p>
        </w:tc>
        <w:tc>
          <w:tcPr>
            <w:tcW w:w="749" w:type="pct"/>
            <w:shd w:val="clear" w:color="auto" w:fill="auto"/>
            <w:tcMar>
              <w:top w:w="15" w:type="dxa"/>
              <w:left w:w="15" w:type="dxa"/>
              <w:bottom w:w="0" w:type="dxa"/>
              <w:right w:w="15" w:type="dxa"/>
            </w:tcMar>
            <w:vAlign w:val="center"/>
          </w:tcPr>
          <w:p w14:paraId="2AE2B6A2"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823</w:t>
            </w:r>
          </w:p>
        </w:tc>
        <w:tc>
          <w:tcPr>
            <w:tcW w:w="749" w:type="pct"/>
            <w:shd w:val="clear" w:color="auto" w:fill="auto"/>
            <w:noWrap/>
            <w:tcMar>
              <w:top w:w="15" w:type="dxa"/>
              <w:left w:w="15" w:type="dxa"/>
              <w:bottom w:w="0" w:type="dxa"/>
              <w:right w:w="15" w:type="dxa"/>
            </w:tcMar>
            <w:vAlign w:val="center"/>
          </w:tcPr>
          <w:p w14:paraId="56851C4C"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383</w:t>
            </w:r>
          </w:p>
        </w:tc>
      </w:tr>
      <w:tr w:rsidR="00BB3820" w:rsidRPr="00211D55" w14:paraId="2D9BE539" w14:textId="77777777" w:rsidTr="00BB3820">
        <w:trPr>
          <w:trHeight w:val="735"/>
        </w:trPr>
        <w:tc>
          <w:tcPr>
            <w:tcW w:w="413" w:type="pct"/>
            <w:shd w:val="clear" w:color="auto" w:fill="auto"/>
            <w:noWrap/>
            <w:tcMar>
              <w:top w:w="15" w:type="dxa"/>
              <w:left w:w="15" w:type="dxa"/>
              <w:bottom w:w="0" w:type="dxa"/>
              <w:right w:w="15" w:type="dxa"/>
            </w:tcMar>
            <w:vAlign w:val="center"/>
          </w:tcPr>
          <w:p w14:paraId="268A9709" w14:textId="77777777" w:rsidR="00BB3820" w:rsidRPr="003876F3" w:rsidRDefault="00BB3820" w:rsidP="0031289D">
            <w:pPr>
              <w:bidi/>
              <w:rPr>
                <w:rFonts w:ascii="Arabic Typesetting" w:hAnsi="Arabic Typesetting" w:cs="Arabic Typesetting"/>
                <w:sz w:val="28"/>
                <w:szCs w:val="28"/>
              </w:rPr>
            </w:pPr>
            <w:r w:rsidRPr="003876F3">
              <w:rPr>
                <w:rFonts w:ascii="Arabic Typesetting" w:hAnsi="Arabic Typesetting" w:cs="Arabic Typesetting"/>
                <w:sz w:val="28"/>
                <w:szCs w:val="28"/>
                <w:rtl/>
              </w:rPr>
              <w:t>ه2.6</w:t>
            </w:r>
          </w:p>
        </w:tc>
        <w:tc>
          <w:tcPr>
            <w:tcW w:w="2340" w:type="pct"/>
            <w:shd w:val="clear" w:color="auto" w:fill="auto"/>
            <w:tcMar>
              <w:top w:w="15" w:type="dxa"/>
              <w:left w:w="15" w:type="dxa"/>
              <w:bottom w:w="0" w:type="dxa"/>
              <w:right w:w="15" w:type="dxa"/>
            </w:tcMar>
            <w:vAlign w:val="center"/>
          </w:tcPr>
          <w:p w14:paraId="2DD0EFFD" w14:textId="77777777" w:rsidR="00BB3820" w:rsidRPr="003876F3" w:rsidRDefault="00BB3820" w:rsidP="0031289D">
            <w:pPr>
              <w:bidi/>
              <w:spacing w:before="120" w:after="120"/>
              <w:rPr>
                <w:rFonts w:ascii="Arabic Typesetting" w:hAnsi="Arabic Typesetting" w:cs="Arabic Typesetting"/>
                <w:sz w:val="28"/>
                <w:szCs w:val="28"/>
              </w:rPr>
            </w:pPr>
            <w:r w:rsidRPr="003876F3">
              <w:rPr>
                <w:rFonts w:ascii="Arabic Typesetting" w:hAnsi="Arabic Typesetting" w:cs="Arabic Typesetting"/>
                <w:sz w:val="28"/>
                <w:szCs w:val="28"/>
                <w:rtl/>
              </w:rPr>
              <w:t>تعاون وتنسيق على نحو منتظم وفعال وشفاف بين عمل الويبو وعمل المنظمات الدولية الأخرى في مجال إذكاء الاحترام للملكية الفكرية</w:t>
            </w:r>
          </w:p>
        </w:tc>
        <w:tc>
          <w:tcPr>
            <w:tcW w:w="749" w:type="pct"/>
            <w:shd w:val="clear" w:color="auto" w:fill="auto"/>
            <w:tcMar>
              <w:top w:w="15" w:type="dxa"/>
              <w:left w:w="15" w:type="dxa"/>
              <w:bottom w:w="0" w:type="dxa"/>
              <w:right w:w="15" w:type="dxa"/>
            </w:tcMar>
            <w:vAlign w:val="center"/>
          </w:tcPr>
          <w:p w14:paraId="43938DD5"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1 111</w:t>
            </w:r>
          </w:p>
        </w:tc>
        <w:tc>
          <w:tcPr>
            <w:tcW w:w="749" w:type="pct"/>
            <w:shd w:val="clear" w:color="auto" w:fill="auto"/>
            <w:tcMar>
              <w:top w:w="15" w:type="dxa"/>
              <w:left w:w="15" w:type="dxa"/>
              <w:bottom w:w="0" w:type="dxa"/>
              <w:right w:w="15" w:type="dxa"/>
            </w:tcMar>
            <w:vAlign w:val="center"/>
          </w:tcPr>
          <w:p w14:paraId="0EB504D1"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1 278</w:t>
            </w:r>
          </w:p>
        </w:tc>
        <w:tc>
          <w:tcPr>
            <w:tcW w:w="749" w:type="pct"/>
            <w:shd w:val="clear" w:color="auto" w:fill="auto"/>
            <w:noWrap/>
            <w:tcMar>
              <w:top w:w="15" w:type="dxa"/>
              <w:left w:w="15" w:type="dxa"/>
              <w:bottom w:w="0" w:type="dxa"/>
              <w:right w:w="15" w:type="dxa"/>
            </w:tcMar>
            <w:vAlign w:val="center"/>
          </w:tcPr>
          <w:p w14:paraId="518670A2"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684</w:t>
            </w:r>
          </w:p>
        </w:tc>
      </w:tr>
      <w:tr w:rsidR="00BB3820" w:rsidRPr="00211D55" w14:paraId="6DC4E3D9" w14:textId="77777777" w:rsidTr="00BB3820">
        <w:trPr>
          <w:trHeight w:val="735"/>
        </w:trPr>
        <w:tc>
          <w:tcPr>
            <w:tcW w:w="413" w:type="pct"/>
            <w:shd w:val="clear" w:color="auto" w:fill="auto"/>
            <w:noWrap/>
            <w:tcMar>
              <w:top w:w="15" w:type="dxa"/>
              <w:left w:w="15" w:type="dxa"/>
              <w:bottom w:w="0" w:type="dxa"/>
              <w:right w:w="15" w:type="dxa"/>
            </w:tcMar>
            <w:vAlign w:val="center"/>
          </w:tcPr>
          <w:p w14:paraId="50B58489" w14:textId="77777777" w:rsidR="00BB3820" w:rsidRPr="003876F3" w:rsidRDefault="00BB3820" w:rsidP="0031289D">
            <w:pPr>
              <w:bidi/>
              <w:rPr>
                <w:rFonts w:ascii="Arabic Typesetting" w:hAnsi="Arabic Typesetting" w:cs="Arabic Typesetting"/>
                <w:sz w:val="28"/>
                <w:szCs w:val="28"/>
              </w:rPr>
            </w:pPr>
            <w:r w:rsidRPr="003876F3">
              <w:rPr>
                <w:rFonts w:ascii="Arabic Typesetting" w:hAnsi="Arabic Typesetting" w:cs="Arabic Typesetting"/>
                <w:sz w:val="28"/>
                <w:szCs w:val="28"/>
                <w:rtl/>
              </w:rPr>
              <w:t>ه1.8</w:t>
            </w:r>
          </w:p>
        </w:tc>
        <w:tc>
          <w:tcPr>
            <w:tcW w:w="2340" w:type="pct"/>
            <w:shd w:val="clear" w:color="auto" w:fill="auto"/>
            <w:tcMar>
              <w:top w:w="15" w:type="dxa"/>
              <w:left w:w="15" w:type="dxa"/>
              <w:bottom w:w="0" w:type="dxa"/>
              <w:right w:w="15" w:type="dxa"/>
            </w:tcMar>
            <w:vAlign w:val="center"/>
          </w:tcPr>
          <w:p w14:paraId="5EAA6AE3" w14:textId="77777777" w:rsidR="00BB3820" w:rsidRPr="003876F3" w:rsidRDefault="00BB3820" w:rsidP="0031289D">
            <w:pPr>
              <w:bidi/>
              <w:spacing w:before="120" w:after="120"/>
              <w:rPr>
                <w:rFonts w:ascii="Arabic Typesetting" w:hAnsi="Arabic Typesetting" w:cs="Arabic Typesetting"/>
                <w:sz w:val="28"/>
                <w:szCs w:val="28"/>
              </w:rPr>
            </w:pPr>
            <w:r w:rsidRPr="003876F3">
              <w:rPr>
                <w:rFonts w:ascii="Arabic Typesetting" w:hAnsi="Arabic Typesetting" w:cs="Arabic Typesetting"/>
                <w:sz w:val="28"/>
                <w:szCs w:val="28"/>
                <w:rtl/>
              </w:rPr>
              <w:t>التواصل بفعالية أكبر مع جمهور أوسع بشأن الملكية الفكرية ودور الويبو</w:t>
            </w:r>
          </w:p>
        </w:tc>
        <w:tc>
          <w:tcPr>
            <w:tcW w:w="749" w:type="pct"/>
            <w:shd w:val="clear" w:color="auto" w:fill="auto"/>
            <w:tcMar>
              <w:top w:w="15" w:type="dxa"/>
              <w:left w:w="15" w:type="dxa"/>
              <w:bottom w:w="0" w:type="dxa"/>
              <w:right w:w="15" w:type="dxa"/>
            </w:tcMar>
            <w:vAlign w:val="center"/>
          </w:tcPr>
          <w:p w14:paraId="4AD36E9D"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327</w:t>
            </w:r>
          </w:p>
        </w:tc>
        <w:tc>
          <w:tcPr>
            <w:tcW w:w="749" w:type="pct"/>
            <w:shd w:val="clear" w:color="auto" w:fill="auto"/>
            <w:tcMar>
              <w:top w:w="15" w:type="dxa"/>
              <w:left w:w="15" w:type="dxa"/>
              <w:bottom w:w="0" w:type="dxa"/>
              <w:right w:w="15" w:type="dxa"/>
            </w:tcMar>
            <w:vAlign w:val="center"/>
          </w:tcPr>
          <w:p w14:paraId="2C47694F"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0</w:t>
            </w:r>
          </w:p>
        </w:tc>
        <w:tc>
          <w:tcPr>
            <w:tcW w:w="749" w:type="pct"/>
            <w:shd w:val="clear" w:color="auto" w:fill="auto"/>
            <w:noWrap/>
            <w:tcMar>
              <w:top w:w="15" w:type="dxa"/>
              <w:left w:w="15" w:type="dxa"/>
              <w:bottom w:w="0" w:type="dxa"/>
              <w:right w:w="15" w:type="dxa"/>
            </w:tcMar>
            <w:vAlign w:val="center"/>
          </w:tcPr>
          <w:p w14:paraId="4A9FC13B"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w:t>
            </w:r>
          </w:p>
        </w:tc>
      </w:tr>
      <w:tr w:rsidR="00BB3820" w:rsidRPr="00211D55" w14:paraId="429BE84E"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3565FFDB" w14:textId="77777777" w:rsidR="00BB3820" w:rsidRPr="00211D55" w:rsidRDefault="00BB3820"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2515507F" w14:textId="77777777" w:rsidR="00BB3820" w:rsidRPr="00280D1A" w:rsidRDefault="00BB3820"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3DBDED1B"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3 752</w:t>
            </w:r>
          </w:p>
        </w:tc>
        <w:tc>
          <w:tcPr>
            <w:tcW w:w="749" w:type="pct"/>
            <w:shd w:val="clear" w:color="auto" w:fill="C6D9F1"/>
            <w:noWrap/>
            <w:tcMar>
              <w:top w:w="15" w:type="dxa"/>
              <w:left w:w="15" w:type="dxa"/>
              <w:bottom w:w="0" w:type="dxa"/>
              <w:right w:w="15" w:type="dxa"/>
            </w:tcMar>
            <w:vAlign w:val="center"/>
          </w:tcPr>
          <w:p w14:paraId="3A3DFDE6"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3 874</w:t>
            </w:r>
          </w:p>
        </w:tc>
        <w:tc>
          <w:tcPr>
            <w:tcW w:w="749" w:type="pct"/>
            <w:shd w:val="clear" w:color="auto" w:fill="C6D9F1"/>
            <w:noWrap/>
            <w:tcMar>
              <w:top w:w="15" w:type="dxa"/>
              <w:left w:w="15" w:type="dxa"/>
              <w:bottom w:w="0" w:type="dxa"/>
              <w:right w:w="15" w:type="dxa"/>
            </w:tcMar>
            <w:vAlign w:val="center"/>
          </w:tcPr>
          <w:p w14:paraId="77423944"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1 905</w:t>
            </w:r>
          </w:p>
        </w:tc>
      </w:tr>
      <w:tr w:rsidR="00BB3820" w:rsidRPr="00211D55" w14:paraId="13E07468"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722BC2E3" w14:textId="77777777" w:rsidR="00BB3820" w:rsidRPr="00A2672B" w:rsidRDefault="00BB3820"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24DE69AA" w14:textId="77777777" w:rsidR="00BB3820" w:rsidRPr="00252762" w:rsidRDefault="00BB3820"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14:paraId="038854DC" w14:textId="77777777" w:rsidR="00BB3820" w:rsidRPr="00DF1D8A" w:rsidRDefault="00BB3820"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BB3820" w:rsidRPr="00211D55" w14:paraId="23FBD541" w14:textId="77777777" w:rsidTr="00BB3820">
        <w:trPr>
          <w:trHeight w:val="645"/>
        </w:trPr>
        <w:tc>
          <w:tcPr>
            <w:tcW w:w="1118" w:type="pct"/>
            <w:shd w:val="clear" w:color="auto" w:fill="C6D9F1"/>
            <w:noWrap/>
            <w:vAlign w:val="center"/>
            <w:hideMark/>
          </w:tcPr>
          <w:p w14:paraId="202C34F2" w14:textId="77777777" w:rsidR="00BB3820" w:rsidRPr="00211D55" w:rsidRDefault="00BB3820" w:rsidP="0031289D">
            <w:pPr>
              <w:keepNext/>
              <w:bidi/>
              <w:jc w:val="center"/>
              <w:rPr>
                <w:rFonts w:ascii="Arabic Typesetting" w:hAnsi="Arabic Typesetting" w:cs="Arabic Typesetting"/>
                <w:b/>
                <w:bCs/>
                <w:i/>
                <w:iCs/>
                <w:sz w:val="28"/>
                <w:szCs w:val="28"/>
              </w:rPr>
            </w:pPr>
          </w:p>
        </w:tc>
        <w:tc>
          <w:tcPr>
            <w:tcW w:w="971" w:type="pct"/>
            <w:shd w:val="clear" w:color="auto" w:fill="C6D9F1"/>
            <w:vAlign w:val="center"/>
            <w:hideMark/>
          </w:tcPr>
          <w:p w14:paraId="5AF7E428" w14:textId="77777777" w:rsidR="00BB3820" w:rsidRPr="00211D55" w:rsidRDefault="00BB3820" w:rsidP="0031289D">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72F8ADDE" w14:textId="77777777" w:rsidR="00BB3820" w:rsidRPr="00211D55" w:rsidRDefault="00BB3820" w:rsidP="0031289D">
            <w:pPr>
              <w:keepNext/>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49330799" w14:textId="77777777" w:rsidR="00BB3820" w:rsidRPr="00211D55" w:rsidRDefault="00BB3820" w:rsidP="0031289D">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45B74C6D" w14:textId="77777777" w:rsidR="00BB3820" w:rsidRPr="00211D55" w:rsidRDefault="00BB3820" w:rsidP="0031289D">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B3820" w:rsidRPr="00211D55" w14:paraId="31833A6B" w14:textId="77777777" w:rsidTr="00BB3820">
        <w:trPr>
          <w:trHeight w:val="70"/>
        </w:trPr>
        <w:tc>
          <w:tcPr>
            <w:tcW w:w="1118" w:type="pct"/>
            <w:shd w:val="clear" w:color="auto" w:fill="auto"/>
            <w:noWrap/>
            <w:vAlign w:val="center"/>
            <w:hideMark/>
          </w:tcPr>
          <w:p w14:paraId="0F30E86C" w14:textId="77777777" w:rsidR="00BB3820" w:rsidRPr="00211D55" w:rsidRDefault="00BB3820" w:rsidP="0031289D">
            <w:pPr>
              <w:keepNext/>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6251277D" w14:textId="77777777" w:rsidR="00BB3820" w:rsidRPr="00280D1A" w:rsidRDefault="00BB3820" w:rsidP="0031289D">
            <w:pPr>
              <w:keepNext/>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3 073 </w:t>
            </w:r>
          </w:p>
        </w:tc>
        <w:tc>
          <w:tcPr>
            <w:tcW w:w="971" w:type="pct"/>
            <w:shd w:val="clear" w:color="auto" w:fill="auto"/>
            <w:vAlign w:val="center"/>
          </w:tcPr>
          <w:p w14:paraId="5E64BF59" w14:textId="77777777" w:rsidR="00BB3820" w:rsidRPr="00280D1A" w:rsidRDefault="00BB3820" w:rsidP="0031289D">
            <w:pPr>
              <w:keepNext/>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3 073 </w:t>
            </w:r>
          </w:p>
        </w:tc>
        <w:tc>
          <w:tcPr>
            <w:tcW w:w="970" w:type="pct"/>
            <w:shd w:val="clear" w:color="auto" w:fill="auto"/>
            <w:vAlign w:val="center"/>
          </w:tcPr>
          <w:p w14:paraId="5A0DAA79" w14:textId="77777777" w:rsidR="00BB3820" w:rsidRPr="00280D1A" w:rsidRDefault="00BB3820" w:rsidP="0031289D">
            <w:pPr>
              <w:keepNext/>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1 567 </w:t>
            </w:r>
          </w:p>
        </w:tc>
        <w:tc>
          <w:tcPr>
            <w:tcW w:w="970" w:type="pct"/>
            <w:shd w:val="clear" w:color="auto" w:fill="auto"/>
            <w:vAlign w:val="center"/>
          </w:tcPr>
          <w:p w14:paraId="5951C86F" w14:textId="77777777" w:rsidR="00BB3820" w:rsidRPr="00280D1A" w:rsidRDefault="00BB3820" w:rsidP="0031289D">
            <w:pPr>
              <w:keepNext/>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%51</w:t>
            </w:r>
          </w:p>
        </w:tc>
      </w:tr>
      <w:tr w:rsidR="00BB3820" w:rsidRPr="00211D55" w14:paraId="1BE89E39" w14:textId="77777777" w:rsidTr="00BB3820">
        <w:trPr>
          <w:trHeight w:val="70"/>
        </w:trPr>
        <w:tc>
          <w:tcPr>
            <w:tcW w:w="1118" w:type="pct"/>
            <w:shd w:val="clear" w:color="auto" w:fill="auto"/>
            <w:noWrap/>
            <w:vAlign w:val="center"/>
            <w:hideMark/>
          </w:tcPr>
          <w:p w14:paraId="1264EA86" w14:textId="77777777" w:rsidR="00BB3820" w:rsidRPr="00211D55" w:rsidRDefault="00BB3820"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4485CD61"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679 </w:t>
            </w:r>
          </w:p>
        </w:tc>
        <w:tc>
          <w:tcPr>
            <w:tcW w:w="971" w:type="pct"/>
            <w:shd w:val="clear" w:color="auto" w:fill="auto"/>
            <w:vAlign w:val="center"/>
          </w:tcPr>
          <w:p w14:paraId="5C24CCA4"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801 </w:t>
            </w:r>
          </w:p>
        </w:tc>
        <w:tc>
          <w:tcPr>
            <w:tcW w:w="970" w:type="pct"/>
            <w:shd w:val="clear" w:color="auto" w:fill="auto"/>
            <w:vAlign w:val="center"/>
          </w:tcPr>
          <w:p w14:paraId="0ACB9795"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338 </w:t>
            </w:r>
          </w:p>
        </w:tc>
        <w:tc>
          <w:tcPr>
            <w:tcW w:w="970" w:type="pct"/>
            <w:shd w:val="clear" w:color="auto" w:fill="auto"/>
            <w:vAlign w:val="center"/>
          </w:tcPr>
          <w:p w14:paraId="3F82E71A" w14:textId="77777777" w:rsidR="00BB3820" w:rsidRPr="00280D1A" w:rsidRDefault="00BB3820"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%42</w:t>
            </w:r>
          </w:p>
        </w:tc>
      </w:tr>
      <w:tr w:rsidR="00BB3820" w:rsidRPr="00211D55" w14:paraId="2BC72082" w14:textId="77777777" w:rsidTr="00AF6433">
        <w:trPr>
          <w:trHeight w:val="70"/>
        </w:trPr>
        <w:tc>
          <w:tcPr>
            <w:tcW w:w="1118" w:type="pct"/>
            <w:shd w:val="clear" w:color="auto" w:fill="C6D9F1"/>
            <w:noWrap/>
            <w:vAlign w:val="center"/>
            <w:hideMark/>
          </w:tcPr>
          <w:p w14:paraId="460AB903" w14:textId="77777777" w:rsidR="00BB3820" w:rsidRPr="00211D55" w:rsidRDefault="00BB3820"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24688CCC"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3 752 </w:t>
            </w:r>
          </w:p>
        </w:tc>
        <w:tc>
          <w:tcPr>
            <w:tcW w:w="971" w:type="pct"/>
            <w:shd w:val="clear" w:color="auto" w:fill="C6D9F1"/>
            <w:vAlign w:val="center"/>
          </w:tcPr>
          <w:p w14:paraId="59EE2661"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3 874 </w:t>
            </w:r>
          </w:p>
        </w:tc>
        <w:tc>
          <w:tcPr>
            <w:tcW w:w="970" w:type="pct"/>
            <w:shd w:val="clear" w:color="auto" w:fill="C6D9F1"/>
            <w:vAlign w:val="center"/>
          </w:tcPr>
          <w:p w14:paraId="204340E4"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1 905 </w:t>
            </w:r>
          </w:p>
        </w:tc>
        <w:tc>
          <w:tcPr>
            <w:tcW w:w="970" w:type="pct"/>
            <w:shd w:val="clear" w:color="auto" w:fill="C6D9F1"/>
            <w:vAlign w:val="center"/>
          </w:tcPr>
          <w:p w14:paraId="4F1D22A6"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%49</w:t>
            </w:r>
          </w:p>
        </w:tc>
      </w:tr>
      <w:tr w:rsidR="00BB3820" w:rsidRPr="00211D55" w14:paraId="2F7C39C8" w14:textId="77777777" w:rsidTr="00BB3820">
        <w:trPr>
          <w:trHeight w:val="540"/>
        </w:trPr>
        <w:tc>
          <w:tcPr>
            <w:tcW w:w="5000" w:type="pct"/>
            <w:gridSpan w:val="5"/>
            <w:shd w:val="clear" w:color="auto" w:fill="auto"/>
            <w:noWrap/>
            <w:vAlign w:val="center"/>
          </w:tcPr>
          <w:p w14:paraId="1136EBC7" w14:textId="77777777" w:rsidR="00BB3820" w:rsidRDefault="00BB3820"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02FFEEE3" w14:textId="77777777" w:rsidR="00BB3820" w:rsidRPr="00D41845" w:rsidRDefault="00BB3820"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4BC173CB" w14:textId="77777777" w:rsidR="00BB3820" w:rsidRPr="00706F20" w:rsidRDefault="00BB3820"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5783FDD3" w14:textId="77777777" w:rsidR="00BB3820" w:rsidRPr="003876F3" w:rsidRDefault="00BB3820" w:rsidP="00D94CDB">
      <w:pPr>
        <w:numPr>
          <w:ilvl w:val="1"/>
          <w:numId w:val="86"/>
        </w:numPr>
        <w:bidi/>
        <w:spacing w:after="240" w:line="36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تشمل </w:t>
      </w:r>
      <w:r w:rsidRPr="003876F3">
        <w:rPr>
          <w:rFonts w:ascii="Arabic Typesetting" w:hAnsi="Arabic Typesetting" w:cs="Arabic Typesetting"/>
          <w:sz w:val="34"/>
          <w:szCs w:val="34"/>
          <w:rtl/>
        </w:rPr>
        <w:t xml:space="preserve">الميزانية بعد التحويلات تحويل </w:t>
      </w:r>
      <w:r>
        <w:rPr>
          <w:rFonts w:ascii="Arabic Typesetting" w:hAnsi="Arabic Typesetting" w:cs="Arabic Typesetting" w:hint="cs"/>
          <w:sz w:val="34"/>
          <w:szCs w:val="34"/>
          <w:rtl/>
        </w:rPr>
        <w:t>جزء</w:t>
      </w:r>
      <w:r w:rsidRPr="003876F3">
        <w:rPr>
          <w:rFonts w:ascii="Arabic Typesetting" w:hAnsi="Arabic Typesetting" w:cs="Arabic Typesetting"/>
          <w:sz w:val="34"/>
          <w:szCs w:val="34"/>
          <w:rtl/>
        </w:rPr>
        <w:t xml:space="preserve"> من خلاف موارد الموظفين إلى البرنامج في إطار النتيجة المرتقبة</w:t>
      </w:r>
      <w:r>
        <w:rPr>
          <w:rFonts w:ascii="Arabic Typesetting" w:hAnsi="Arabic Typesetting" w:cs="Arabic Typesetting" w:hint="cs"/>
          <w:sz w:val="34"/>
          <w:szCs w:val="34"/>
          <w:rtl/>
        </w:rPr>
        <w:t xml:space="preserve"> ه</w:t>
      </w:r>
      <w:r w:rsidRPr="003876F3">
        <w:rPr>
          <w:rFonts w:ascii="Arabic Typesetting" w:hAnsi="Arabic Typesetting" w:cs="Arabic Typesetting"/>
          <w:sz w:val="34"/>
          <w:szCs w:val="34"/>
          <w:rtl/>
        </w:rPr>
        <w:t>1.6</w:t>
      </w:r>
      <w:r>
        <w:rPr>
          <w:rFonts w:ascii="Arabic Typesetting" w:hAnsi="Arabic Typesetting" w:cs="Arabic Typesetting" w:hint="cs"/>
          <w:sz w:val="34"/>
          <w:szCs w:val="34"/>
          <w:rtl/>
        </w:rPr>
        <w:t> </w:t>
      </w:r>
      <w:r w:rsidRPr="003876F3">
        <w:rPr>
          <w:rFonts w:ascii="Arabic Typesetting" w:hAnsi="Arabic Typesetting" w:cs="Arabic Typesetting"/>
          <w:sz w:val="34"/>
          <w:szCs w:val="34"/>
          <w:rtl/>
        </w:rPr>
        <w:t>(تقدّم</w:t>
      </w:r>
      <w:r>
        <w:rPr>
          <w:rFonts w:ascii="Arabic Typesetting" w:hAnsi="Arabic Typesetting" w:cs="Arabic Typesetting" w:hint="cs"/>
          <w:sz w:val="34"/>
          <w:szCs w:val="34"/>
          <w:rtl/>
        </w:rPr>
        <w:t> </w:t>
      </w:r>
      <w:r w:rsidRPr="003876F3">
        <w:rPr>
          <w:rFonts w:ascii="Arabic Typesetting" w:hAnsi="Arabic Typesetting" w:cs="Arabic Typesetting"/>
          <w:sz w:val="34"/>
          <w:szCs w:val="34"/>
          <w:rtl/>
        </w:rPr>
        <w:t>ف</w:t>
      </w:r>
      <w:r>
        <w:rPr>
          <w:rFonts w:ascii="Arabic Typesetting" w:hAnsi="Arabic Typesetting" w:cs="Arabic Typesetting" w:hint="cs"/>
          <w:sz w:val="34"/>
          <w:szCs w:val="34"/>
          <w:rtl/>
        </w:rPr>
        <w:t>ي </w:t>
      </w:r>
      <w:r w:rsidRPr="003876F3">
        <w:rPr>
          <w:rFonts w:ascii="Arabic Typesetting" w:hAnsi="Arabic Typesetting" w:cs="Arabic Typesetting"/>
          <w:sz w:val="34"/>
          <w:szCs w:val="34"/>
          <w:rtl/>
        </w:rPr>
        <w:t>الحوار السياسي الدولي بين الدول الأعضاء في الويبو حول إذكاء ا</w:t>
      </w:r>
      <w:r>
        <w:rPr>
          <w:rFonts w:ascii="Arabic Typesetting" w:hAnsi="Arabic Typesetting" w:cs="Arabic Typesetting"/>
          <w:sz w:val="34"/>
          <w:szCs w:val="34"/>
          <w:rtl/>
        </w:rPr>
        <w:t>لاحترام للملكية الفكرية) لتمويل</w:t>
      </w:r>
      <w:r>
        <w:rPr>
          <w:rFonts w:ascii="Arabic Typesetting" w:hAnsi="Arabic Typesetting" w:cs="Arabic Typesetting" w:hint="cs"/>
          <w:sz w:val="34"/>
          <w:szCs w:val="34"/>
          <w:rtl/>
        </w:rPr>
        <w:t xml:space="preserve"> </w:t>
      </w:r>
      <w:r w:rsidRPr="003876F3">
        <w:rPr>
          <w:rFonts w:ascii="Arabic Typesetting" w:hAnsi="Arabic Typesetting" w:cs="Arabic Typesetting"/>
          <w:sz w:val="34"/>
          <w:szCs w:val="34"/>
          <w:rtl/>
        </w:rPr>
        <w:t>"1"</w:t>
      </w:r>
      <w:r>
        <w:rPr>
          <w:rFonts w:ascii="Arabic Typesetting" w:hAnsi="Arabic Typesetting" w:cs="Arabic Typesetting" w:hint="cs"/>
          <w:sz w:val="34"/>
          <w:szCs w:val="34"/>
          <w:rtl/>
        </w:rPr>
        <w:t> </w:t>
      </w:r>
      <w:r w:rsidRPr="003876F3">
        <w:rPr>
          <w:rFonts w:ascii="Arabic Typesetting" w:hAnsi="Arabic Typesetting" w:cs="Arabic Typesetting"/>
          <w:sz w:val="34"/>
          <w:szCs w:val="34"/>
          <w:rtl/>
        </w:rPr>
        <w:t>الدورة</w:t>
      </w:r>
      <w:r>
        <w:rPr>
          <w:rFonts w:ascii="Arabic Typesetting" w:hAnsi="Arabic Typesetting" w:cs="Arabic Typesetting" w:hint="cs"/>
          <w:sz w:val="34"/>
          <w:szCs w:val="34"/>
          <w:rtl/>
        </w:rPr>
        <w:t> </w:t>
      </w:r>
      <w:r w:rsidRPr="003876F3">
        <w:rPr>
          <w:rFonts w:ascii="Arabic Typesetting" w:hAnsi="Arabic Typesetting" w:cs="Arabic Typesetting"/>
          <w:sz w:val="34"/>
          <w:szCs w:val="34"/>
          <w:rtl/>
        </w:rPr>
        <w:t>الثانية عشرة للجنة الاستشارية؛ "2" وإعداد دراستين والعمل المقبل الذي اتفقت عليه الدول الأعضاء إبّان</w:t>
      </w:r>
      <w:r>
        <w:rPr>
          <w:rFonts w:ascii="Arabic Typesetting" w:hAnsi="Arabic Typesetting" w:cs="Arabic Typesetting" w:hint="cs"/>
          <w:sz w:val="34"/>
          <w:szCs w:val="34"/>
          <w:rtl/>
        </w:rPr>
        <w:t> </w:t>
      </w:r>
      <w:r w:rsidRPr="003876F3">
        <w:rPr>
          <w:rFonts w:ascii="Arabic Typesetting" w:hAnsi="Arabic Typesetting" w:cs="Arabic Typesetting"/>
          <w:sz w:val="34"/>
          <w:szCs w:val="34"/>
          <w:rtl/>
        </w:rPr>
        <w:t>الدورة</w:t>
      </w:r>
      <w:r>
        <w:rPr>
          <w:rFonts w:ascii="Arabic Typesetting" w:hAnsi="Arabic Typesetting" w:cs="Arabic Typesetting" w:hint="cs"/>
          <w:sz w:val="34"/>
          <w:szCs w:val="34"/>
          <w:rtl/>
        </w:rPr>
        <w:t> </w:t>
      </w:r>
      <w:r w:rsidRPr="003876F3">
        <w:rPr>
          <w:rFonts w:ascii="Arabic Typesetting" w:hAnsi="Arabic Typesetting" w:cs="Arabic Typesetting"/>
          <w:sz w:val="34"/>
          <w:szCs w:val="34"/>
          <w:rtl/>
        </w:rPr>
        <w:t>الحادية عشرة للجنة الاستشارية.</w:t>
      </w:r>
    </w:p>
    <w:p w14:paraId="7DAD61A3" w14:textId="77777777" w:rsidR="00BB3820" w:rsidRPr="00706F20" w:rsidRDefault="00BB3820"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7F87B02F" w14:textId="77777777" w:rsidR="00BB3820" w:rsidRPr="003876F3" w:rsidRDefault="00BB3820" w:rsidP="00D94CDB">
      <w:pPr>
        <w:numPr>
          <w:ilvl w:val="1"/>
          <w:numId w:val="86"/>
        </w:numPr>
        <w:bidi/>
        <w:spacing w:after="240" w:line="360" w:lineRule="exact"/>
        <w:ind w:left="0" w:firstLine="0"/>
        <w:rPr>
          <w:rFonts w:ascii="Arabic Typesetting" w:hAnsi="Arabic Typesetting" w:cs="Arabic Typesetting"/>
          <w:sz w:val="34"/>
          <w:szCs w:val="34"/>
          <w:rtl/>
        </w:rPr>
      </w:pPr>
      <w:r w:rsidRPr="003876F3">
        <w:rPr>
          <w:rFonts w:ascii="Arabic Typesetting" w:hAnsi="Arabic Typesetting" w:cs="Arabic Typesetting"/>
          <w:sz w:val="34"/>
          <w:szCs w:val="34"/>
          <w:rtl/>
        </w:rPr>
        <w:t>كانت نسبة استخدام الميزانية ضمن النطاق المتوقع المتراوح بين 40 و60 بالمئة للسنة الأولى من الثنائية</w:t>
      </w:r>
      <w:r w:rsidRPr="003876F3">
        <w:rPr>
          <w:rFonts w:ascii="Arabic Typesetting" w:hAnsi="Arabic Typesetting" w:cs="Arabic Typesetting"/>
          <w:sz w:val="34"/>
          <w:szCs w:val="34"/>
        </w:rPr>
        <w:t>.</w:t>
      </w:r>
    </w:p>
    <w:p w14:paraId="137EF297" w14:textId="77777777" w:rsidR="00BB3820" w:rsidRDefault="00BB3820" w:rsidP="00D94CDB">
      <w:pPr>
        <w:numPr>
          <w:ilvl w:val="1"/>
          <w:numId w:val="86"/>
        </w:numPr>
        <w:bidi/>
        <w:spacing w:after="240" w:line="360" w:lineRule="exact"/>
        <w:ind w:left="0" w:firstLine="0"/>
        <w:rPr>
          <w:rFonts w:ascii="Arabic Typesetting" w:hAnsi="Arabic Typesetting" w:cs="Arabic Typesetting"/>
          <w:sz w:val="34"/>
          <w:szCs w:val="34"/>
        </w:rPr>
      </w:pPr>
      <w:r w:rsidRPr="003876F3">
        <w:rPr>
          <w:rFonts w:ascii="Arabic Typesetting" w:hAnsi="Arabic Typesetting" w:cs="Arabic Typesetting"/>
          <w:sz w:val="34"/>
          <w:szCs w:val="34"/>
          <w:rtl/>
        </w:rPr>
        <w:t>وتعلق الإنفاق في إطار النتيجة المرتقبة</w:t>
      </w:r>
      <w:r>
        <w:rPr>
          <w:rFonts w:ascii="Arabic Typesetting" w:hAnsi="Arabic Typesetting" w:cs="Arabic Typesetting" w:hint="cs"/>
          <w:sz w:val="34"/>
          <w:szCs w:val="34"/>
          <w:rtl/>
        </w:rPr>
        <w:t xml:space="preserve"> ه</w:t>
      </w:r>
      <w:r w:rsidRPr="003876F3">
        <w:rPr>
          <w:rFonts w:ascii="Arabic Typesetting" w:hAnsi="Arabic Typesetting" w:cs="Arabic Typesetting"/>
          <w:sz w:val="34"/>
          <w:szCs w:val="34"/>
          <w:rtl/>
        </w:rPr>
        <w:t>1.8 (التواصل بفعالية أكبر مع جمهور أوسع) ببرنامج الويبو للجوائز الذي</w:t>
      </w:r>
      <w:r>
        <w:rPr>
          <w:rFonts w:ascii="Arabic Typesetting" w:hAnsi="Arabic Typesetting" w:cs="Arabic Typesetting" w:hint="cs"/>
          <w:sz w:val="34"/>
          <w:szCs w:val="34"/>
          <w:rtl/>
        </w:rPr>
        <w:t> نُقل </w:t>
      </w:r>
      <w:r w:rsidRPr="003876F3">
        <w:rPr>
          <w:rFonts w:ascii="Arabic Typesetting" w:hAnsi="Arabic Typesetting" w:cs="Arabic Typesetting"/>
          <w:sz w:val="34"/>
          <w:szCs w:val="34"/>
          <w:rtl/>
        </w:rPr>
        <w:t>إلى</w:t>
      </w:r>
      <w:r>
        <w:rPr>
          <w:rFonts w:ascii="Arabic Typesetting" w:hAnsi="Arabic Typesetting" w:cs="Arabic Typesetting" w:hint="cs"/>
          <w:sz w:val="34"/>
          <w:szCs w:val="34"/>
          <w:rtl/>
        </w:rPr>
        <w:t> </w:t>
      </w:r>
      <w:r w:rsidRPr="003876F3">
        <w:rPr>
          <w:rFonts w:ascii="Arabic Typesetting" w:hAnsi="Arabic Typesetting" w:cs="Arabic Typesetting"/>
          <w:sz w:val="34"/>
          <w:szCs w:val="34"/>
          <w:rtl/>
        </w:rPr>
        <w:t>الإدارة التنفيذية (البرنامج 21).</w:t>
      </w:r>
    </w:p>
    <w:p w14:paraId="386F101F" w14:textId="58E3BE10" w:rsidR="00BB3820" w:rsidRDefault="00BB3820"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05AB5289" w14:textId="0BA6629E" w:rsidR="006E24D8" w:rsidRDefault="006E24D8" w:rsidP="006E24D8">
      <w:pPr>
        <w:pStyle w:val="Heading3"/>
        <w:pageBreakBefore w:val="0"/>
        <w:spacing w:after="240"/>
        <w:ind w:left="1134" w:hanging="1134"/>
        <w:jc w:val="center"/>
        <w:rPr>
          <w:rtl/>
          <w:lang w:bidi="ar-EG"/>
        </w:rPr>
      </w:pPr>
      <w:bookmarkStart w:id="41" w:name="_Toc482782768"/>
      <w:r>
        <w:rPr>
          <w:rtl/>
        </w:rPr>
        <w:lastRenderedPageBreak/>
        <w:t xml:space="preserve">الهدف الاستراتيجي </w:t>
      </w:r>
      <w:r>
        <w:rPr>
          <w:rFonts w:hint="cs"/>
          <w:rtl/>
          <w:lang w:bidi="ar-EG"/>
        </w:rPr>
        <w:t>السابع</w:t>
      </w:r>
      <w:bookmarkEnd w:id="41"/>
    </w:p>
    <w:p w14:paraId="188A1150" w14:textId="3E84729D" w:rsidR="006E24D8" w:rsidRDefault="006E24D8" w:rsidP="006E24D8">
      <w:pPr>
        <w:pStyle w:val="NormalParaAR"/>
        <w:jc w:val="center"/>
        <w:rPr>
          <w:b/>
          <w:bCs/>
          <w:rtl/>
          <w:lang w:bidi="ar-EG"/>
        </w:rPr>
      </w:pPr>
      <w:r w:rsidRPr="006E24D8">
        <w:rPr>
          <w:b/>
          <w:bCs/>
          <w:rtl/>
          <w:lang w:bidi="ar-EG"/>
        </w:rPr>
        <w:t>الملكية الفكرية</w:t>
      </w:r>
      <w:r>
        <w:rPr>
          <w:rFonts w:hint="cs"/>
          <w:b/>
          <w:bCs/>
          <w:rtl/>
          <w:lang w:bidi="ar-EG"/>
        </w:rPr>
        <w:t xml:space="preserve"> </w:t>
      </w:r>
      <w:r w:rsidRPr="006E24D8">
        <w:rPr>
          <w:b/>
          <w:bCs/>
          <w:rtl/>
          <w:lang w:bidi="ar-EG"/>
        </w:rPr>
        <w:t>وقضايا السياسات العامة العالمية</w:t>
      </w:r>
    </w:p>
    <w:p w14:paraId="03C6DEBE" w14:textId="77777777" w:rsidR="006E24D8" w:rsidRPr="00B54D74" w:rsidRDefault="006E24D8" w:rsidP="006E24D8">
      <w:pPr>
        <w:pStyle w:val="NormalParaAR"/>
        <w:jc w:val="center"/>
        <w:rPr>
          <w:b/>
          <w:bCs/>
          <w:rtl/>
        </w:rPr>
      </w:pPr>
      <w:r w:rsidRPr="00B54D74">
        <w:rPr>
          <w:b/>
          <w:bCs/>
          <w:rtl/>
        </w:rPr>
        <w:t>لوحة بيانات الأداء في منتصف المدة (</w:t>
      </w:r>
      <w:r>
        <w:rPr>
          <w:rFonts w:hint="cs"/>
          <w:b/>
          <w:bCs/>
          <w:rtl/>
        </w:rPr>
        <w:t>2016</w:t>
      </w:r>
      <w:r w:rsidRPr="00B54D74">
        <w:rPr>
          <w:b/>
          <w:bCs/>
          <w:rtl/>
        </w:rPr>
        <w:t>)</w:t>
      </w:r>
    </w:p>
    <w:p w14:paraId="7F5BC6BB" w14:textId="77777777" w:rsidR="006E24D8" w:rsidRDefault="006E24D8" w:rsidP="006E24D8">
      <w:pPr>
        <w:pStyle w:val="NormalParaAR"/>
      </w:pPr>
      <w:r>
        <w:rPr>
          <w:rtl/>
        </w:rPr>
        <w:t xml:space="preserve">توجز لوحة البيانات </w:t>
      </w:r>
      <w:r>
        <w:rPr>
          <w:rFonts w:hint="cs"/>
          <w:rtl/>
        </w:rPr>
        <w:t xml:space="preserve">التالية </w:t>
      </w:r>
      <w:r>
        <w:rPr>
          <w:rtl/>
        </w:rPr>
        <w:t xml:space="preserve">التقدم المحرز </w:t>
      </w:r>
      <w:r>
        <w:rPr>
          <w:rFonts w:hint="cs"/>
          <w:rtl/>
        </w:rPr>
        <w:t>نحو</w:t>
      </w:r>
      <w:r>
        <w:rPr>
          <w:rtl/>
        </w:rPr>
        <w:t xml:space="preserve"> تحقيق النتائج</w:t>
      </w:r>
      <w:r>
        <w:rPr>
          <w:rFonts w:hint="cs"/>
          <w:rtl/>
        </w:rPr>
        <w:t xml:space="preserve"> المرتقبة</w:t>
      </w:r>
      <w:r>
        <w:rPr>
          <w:rtl/>
        </w:rPr>
        <w:t xml:space="preserve"> في عام </w:t>
      </w:r>
      <w:r>
        <w:rPr>
          <w:rFonts w:hint="cs"/>
          <w:rtl/>
        </w:rPr>
        <w:t>2016</w:t>
      </w:r>
      <w:r>
        <w:rPr>
          <w:rtl/>
        </w:rPr>
        <w:t xml:space="preserve"> قياسا</w:t>
      </w:r>
      <w:r>
        <w:rPr>
          <w:rFonts w:hint="cs"/>
          <w:rtl/>
        </w:rPr>
        <w:t>ً</w:t>
      </w:r>
      <w:r>
        <w:rPr>
          <w:rtl/>
        </w:rPr>
        <w:t xml:space="preserve"> بمؤشرات الأداء </w:t>
      </w:r>
      <w:r>
        <w:rPr>
          <w:rFonts w:hint="cs"/>
          <w:rtl/>
        </w:rPr>
        <w:t>في إطار</w:t>
      </w:r>
      <w:r>
        <w:rPr>
          <w:rtl/>
        </w:rPr>
        <w:t xml:space="preserve"> البرامج التي تس</w:t>
      </w:r>
      <w:r>
        <w:rPr>
          <w:rFonts w:hint="cs"/>
          <w:rtl/>
        </w:rPr>
        <w:t>ا</w:t>
      </w:r>
      <w:r>
        <w:rPr>
          <w:rtl/>
        </w:rPr>
        <w:t>هم في تحقيق هذا الهدف الاستراتيجي</w:t>
      </w:r>
      <w:r>
        <w:rPr>
          <w:rFonts w:hint="cs"/>
          <w:rtl/>
        </w:rPr>
        <w:t>.</w:t>
      </w:r>
    </w:p>
    <w:p w14:paraId="5FC7FE55" w14:textId="674527C2" w:rsidR="006E24D8" w:rsidRDefault="00902A0A" w:rsidP="006E24D8">
      <w:pPr>
        <w:pStyle w:val="NormalParaAR"/>
        <w:spacing w:line="240" w:lineRule="auto"/>
        <w:jc w:val="center"/>
      </w:pPr>
      <w:r>
        <w:rPr>
          <w:noProof/>
        </w:rPr>
        <w:drawing>
          <wp:inline distT="0" distB="0" distL="0" distR="0" wp14:anchorId="5BCDFB92" wp14:editId="65ADE856">
            <wp:extent cx="3577718" cy="21600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9208" w:type="dxa"/>
        <w:tblInd w:w="108" w:type="dxa"/>
        <w:tblLayout w:type="fixed"/>
        <w:tblLook w:val="0000" w:firstRow="0" w:lastRow="0" w:firstColumn="0" w:lastColumn="0" w:noHBand="0" w:noVBand="0"/>
      </w:tblPr>
      <w:tblGrid>
        <w:gridCol w:w="2722"/>
        <w:gridCol w:w="3854"/>
        <w:gridCol w:w="1586"/>
        <w:gridCol w:w="1046"/>
      </w:tblGrid>
      <w:tr w:rsidR="006E24D8" w:rsidRPr="00EC422A" w14:paraId="71EBBF1E" w14:textId="77777777" w:rsidTr="006E24D8">
        <w:trPr>
          <w:cantSplit/>
          <w:tblHeader/>
        </w:trPr>
        <w:tc>
          <w:tcPr>
            <w:tcW w:w="1478" w:type="pct"/>
            <w:shd w:val="clear" w:color="auto" w:fill="B8CCE4" w:themeFill="accent1" w:themeFillTint="66"/>
            <w:tcMar>
              <w:top w:w="113" w:type="dxa"/>
              <w:bottom w:w="85" w:type="dxa"/>
            </w:tcMar>
            <w:vAlign w:val="center"/>
          </w:tcPr>
          <w:p w14:paraId="0FDFB82D" w14:textId="77777777" w:rsidR="006E24D8" w:rsidRPr="00ED5D24" w:rsidRDefault="006E24D8" w:rsidP="006E24D8">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النتائج المرتقبة</w:t>
            </w:r>
          </w:p>
        </w:tc>
        <w:tc>
          <w:tcPr>
            <w:tcW w:w="2093" w:type="pct"/>
            <w:shd w:val="clear" w:color="auto" w:fill="B8CCE4" w:themeFill="accent1" w:themeFillTint="66"/>
            <w:tcMar>
              <w:top w:w="113" w:type="dxa"/>
              <w:bottom w:w="85" w:type="dxa"/>
            </w:tcMar>
            <w:vAlign w:val="center"/>
          </w:tcPr>
          <w:p w14:paraId="14A95F68" w14:textId="77777777" w:rsidR="006E24D8" w:rsidRPr="00ED5D24" w:rsidRDefault="006E24D8" w:rsidP="006E24D8">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مؤشرات الأداء</w:t>
            </w:r>
          </w:p>
        </w:tc>
        <w:tc>
          <w:tcPr>
            <w:tcW w:w="861" w:type="pct"/>
            <w:shd w:val="clear" w:color="auto" w:fill="B8CCE4" w:themeFill="accent1" w:themeFillTint="66"/>
            <w:tcMar>
              <w:top w:w="113" w:type="dxa"/>
              <w:bottom w:w="85" w:type="dxa"/>
            </w:tcMar>
            <w:vAlign w:val="center"/>
          </w:tcPr>
          <w:p w14:paraId="40BDD014" w14:textId="77777777" w:rsidR="006E24D8" w:rsidRPr="00ED5D24" w:rsidRDefault="006E24D8" w:rsidP="006E24D8">
            <w:pPr>
              <w:bidi/>
              <w:spacing w:before="120" w:after="120" w:line="280" w:lineRule="exact"/>
              <w:jc w:val="center"/>
              <w:rPr>
                <w:rFonts w:ascii="Arabic Typesetting" w:eastAsia="SimSun" w:hAnsi="Arabic Typesetting" w:cs="Arabic Typesetting"/>
                <w:bCs/>
                <w:sz w:val="28"/>
                <w:szCs w:val="28"/>
                <w:lang w:eastAsia="ar-EG" w:bidi="ar-EG"/>
              </w:rPr>
            </w:pPr>
            <w:r w:rsidRPr="00ED5D24">
              <w:rPr>
                <w:rFonts w:ascii="Arabic Typesetting" w:eastAsia="SimSun" w:hAnsi="Arabic Typesetting" w:cs="Arabic Typesetting"/>
                <w:bCs/>
                <w:sz w:val="28"/>
                <w:szCs w:val="28"/>
                <w:rtl/>
                <w:lang w:eastAsia="ar-EG" w:bidi="ar-EG"/>
              </w:rPr>
              <w:t>البرامج المسؤولة</w:t>
            </w:r>
          </w:p>
        </w:tc>
        <w:tc>
          <w:tcPr>
            <w:tcW w:w="568" w:type="pct"/>
            <w:shd w:val="clear" w:color="auto" w:fill="B8CCE4" w:themeFill="accent1" w:themeFillTint="66"/>
            <w:vAlign w:val="center"/>
          </w:tcPr>
          <w:p w14:paraId="4CE46B0D" w14:textId="77777777" w:rsidR="006E24D8" w:rsidRPr="00ED5D24" w:rsidRDefault="006E24D8" w:rsidP="006E24D8">
            <w:pPr>
              <w:bidi/>
              <w:spacing w:before="120" w:after="120" w:line="280" w:lineRule="exact"/>
              <w:jc w:val="center"/>
              <w:rPr>
                <w:rFonts w:ascii="Arabic Typesetting" w:eastAsia="Arabic Typesetting" w:hAnsi="Arabic Typesetting" w:cs="Arabic Typesetting"/>
                <w:bCs/>
                <w:sz w:val="28"/>
                <w:szCs w:val="28"/>
                <w:lang w:eastAsia="ar-EG" w:bidi="ar-EG"/>
              </w:rPr>
            </w:pPr>
            <w:r w:rsidRPr="00ED5D24">
              <w:rPr>
                <w:rFonts w:ascii="Arabic Typesetting" w:eastAsia="Arabic Typesetting" w:hAnsi="Arabic Typesetting" w:cs="Arabic Typesetting"/>
                <w:bCs/>
                <w:sz w:val="28"/>
                <w:szCs w:val="28"/>
                <w:rtl/>
                <w:lang w:eastAsia="ar-EG" w:bidi="ar-EG"/>
              </w:rPr>
              <w:t>السير</w:t>
            </w:r>
          </w:p>
        </w:tc>
      </w:tr>
      <w:tr w:rsidR="006E24D8" w:rsidRPr="00EC422A" w14:paraId="543C79FE" w14:textId="77777777" w:rsidTr="006E24D8">
        <w:trPr>
          <w:cantSplit/>
          <w:trHeight w:val="291"/>
        </w:trPr>
        <w:tc>
          <w:tcPr>
            <w:tcW w:w="1478" w:type="pct"/>
            <w:vMerge w:val="restart"/>
            <w:shd w:val="clear" w:color="auto" w:fill="auto"/>
            <w:tcMar>
              <w:top w:w="113" w:type="dxa"/>
              <w:bottom w:w="85" w:type="dxa"/>
            </w:tcMar>
          </w:tcPr>
          <w:p w14:paraId="7C0FC33A" w14:textId="77777777" w:rsidR="006E24D8" w:rsidRPr="00EC422A" w:rsidRDefault="006E24D8" w:rsidP="006E24D8">
            <w:pPr>
              <w:bidi/>
              <w:spacing w:before="120" w:after="120" w:line="280" w:lineRule="exact"/>
              <w:rPr>
                <w:rFonts w:ascii="Arabic Typesetting" w:hAnsi="Arabic Typesetting" w:cs="Arabic Typesetting"/>
                <w:sz w:val="28"/>
                <w:szCs w:val="28"/>
              </w:rPr>
            </w:pPr>
            <w:r w:rsidRPr="00EC422A">
              <w:rPr>
                <w:rFonts w:ascii="Arabic Typesetting" w:eastAsia="Arabic Typesetting" w:hAnsi="Arabic Typesetting" w:cs="Arabic Typesetting"/>
                <w:color w:val="000000"/>
                <w:sz w:val="28"/>
                <w:szCs w:val="28"/>
                <w:rtl/>
                <w:lang w:eastAsia="ar-EG" w:bidi="ar-EG"/>
              </w:rPr>
              <w:t xml:space="preserve">ه2.7 منصات وأدوات الملكية الفكرية لنقل المعارف وتطويع التكنولوجيا ونشرها من البلدان المتقدمة إلى البلدان النامية، ولا سيما البلدان الأقل نموا، </w:t>
            </w:r>
            <w:r w:rsidRPr="00EC422A">
              <w:rPr>
                <w:rFonts w:ascii="Arabic Typesetting" w:eastAsia="Arabic Typesetting" w:hAnsi="Arabic Typesetting" w:cs="Arabic Typesetting"/>
                <w:sz w:val="28"/>
                <w:szCs w:val="28"/>
                <w:rtl/>
                <w:lang w:eastAsia="ar-EG" w:bidi="ar-EG"/>
              </w:rPr>
              <w:t>لمواجهة</w:t>
            </w:r>
            <w:r w:rsidRPr="00EC422A">
              <w:rPr>
                <w:rFonts w:ascii="Arabic Typesetting" w:eastAsia="Arabic Typesetting" w:hAnsi="Arabic Typesetting" w:cs="Arabic Typesetting"/>
                <w:color w:val="000000"/>
                <w:sz w:val="28"/>
                <w:szCs w:val="28"/>
                <w:rtl/>
                <w:lang w:eastAsia="ar-EG" w:bidi="ar-EG"/>
              </w:rPr>
              <w:t xml:space="preserve"> التحديات العالمية</w:t>
            </w:r>
          </w:p>
        </w:tc>
        <w:tc>
          <w:tcPr>
            <w:tcW w:w="2093" w:type="pct"/>
            <w:shd w:val="clear" w:color="auto" w:fill="auto"/>
            <w:tcMar>
              <w:top w:w="113" w:type="dxa"/>
              <w:bottom w:w="85" w:type="dxa"/>
            </w:tcMar>
          </w:tcPr>
          <w:p w14:paraId="03C1867A" w14:textId="77777777" w:rsidR="006E24D8" w:rsidRPr="00EC422A" w:rsidRDefault="006E24D8" w:rsidP="006E24D8">
            <w:pPr>
              <w:bidi/>
              <w:spacing w:before="120" w:after="120" w:line="280" w:lineRule="exact"/>
              <w:rPr>
                <w:rFonts w:ascii="Arabic Typesetting" w:hAnsi="Arabic Typesetting" w:cs="Arabic Typesetting"/>
                <w:sz w:val="28"/>
                <w:szCs w:val="28"/>
              </w:rPr>
            </w:pPr>
            <w:r w:rsidRPr="00EC422A">
              <w:rPr>
                <w:rFonts w:ascii="Arabic Typesetting" w:eastAsia="Arabic Typesetting" w:hAnsi="Arabic Typesetting" w:cs="Arabic Typesetting"/>
                <w:color w:val="000000"/>
                <w:sz w:val="28"/>
                <w:szCs w:val="28"/>
                <w:rtl/>
                <w:lang w:eastAsia="ar-EG" w:bidi="ar-EG"/>
              </w:rPr>
              <w:t xml:space="preserve">ارتفاع عدد الأعضاء المشتركين في برنامج </w:t>
            </w:r>
            <w:r w:rsidRPr="00EC422A">
              <w:rPr>
                <w:rFonts w:ascii="Arabic Typesetting" w:eastAsia="Arabic Typesetting" w:hAnsi="Arabic Typesetting" w:cs="Arabic Typesetting"/>
                <w:color w:val="000000"/>
                <w:sz w:val="28"/>
                <w:szCs w:val="28"/>
                <w:lang w:eastAsia="ar-EG" w:bidi="ar-EG"/>
              </w:rPr>
              <w:t>WIPO Re:Search</w:t>
            </w:r>
            <w:r w:rsidRPr="00EC422A">
              <w:rPr>
                <w:rFonts w:ascii="Arabic Typesetting" w:eastAsia="Arabic Typesetting" w:hAnsi="Arabic Typesetting" w:cs="Arabic Typesetting"/>
                <w:color w:val="000000"/>
                <w:sz w:val="28"/>
                <w:szCs w:val="28"/>
                <w:rtl/>
                <w:lang w:eastAsia="ar-EG" w:bidi="ar-EG"/>
              </w:rPr>
              <w:t>، بما في ذلك أعضاء من البلدان النامية والبلدان الأقل نموا</w:t>
            </w:r>
          </w:p>
        </w:tc>
        <w:tc>
          <w:tcPr>
            <w:tcW w:w="861" w:type="pct"/>
            <w:shd w:val="clear" w:color="auto" w:fill="FFFFFF"/>
            <w:tcMar>
              <w:top w:w="113" w:type="dxa"/>
              <w:bottom w:w="85" w:type="dxa"/>
            </w:tcMar>
          </w:tcPr>
          <w:p w14:paraId="3250BA48" w14:textId="77777777" w:rsidR="006E24D8" w:rsidRPr="00EC422A" w:rsidRDefault="006E24D8" w:rsidP="006E24D8">
            <w:pPr>
              <w:bidi/>
              <w:spacing w:before="120" w:after="120" w:line="280" w:lineRule="exact"/>
              <w:jc w:val="center"/>
              <w:rPr>
                <w:rFonts w:ascii="Arabic Typesetting" w:hAnsi="Arabic Typesetting" w:cs="Arabic Typesetting"/>
                <w:sz w:val="28"/>
                <w:szCs w:val="28"/>
                <w:lang w:bidi="th-TH"/>
              </w:rPr>
            </w:pPr>
            <w:r w:rsidRPr="00EC422A">
              <w:rPr>
                <w:rFonts w:ascii="Arabic Typesetting" w:hAnsi="Arabic Typesetting" w:cs="Arabic Typesetting"/>
                <w:sz w:val="28"/>
                <w:szCs w:val="28"/>
                <w:rtl/>
              </w:rPr>
              <w:t>البرنامج 18</w:t>
            </w:r>
            <w:r w:rsidRPr="00EC422A">
              <w:rPr>
                <w:rFonts w:ascii="Arabic Typesetting" w:hAnsi="Arabic Typesetting" w:cs="Arabic Typesetting"/>
                <w:sz w:val="28"/>
                <w:szCs w:val="28"/>
                <w:lang w:bidi="th-TH"/>
              </w:rPr>
              <w:t xml:space="preserve"> </w:t>
            </w:r>
          </w:p>
        </w:tc>
        <w:tc>
          <w:tcPr>
            <w:tcW w:w="568" w:type="pct"/>
            <w:shd w:val="clear" w:color="auto" w:fill="FFFFFF"/>
          </w:tcPr>
          <w:p w14:paraId="5E072C54" w14:textId="77777777" w:rsidR="006E24D8" w:rsidRPr="00EC422A" w:rsidRDefault="006E24D8" w:rsidP="006E24D8">
            <w:pPr>
              <w:bidi/>
              <w:spacing w:before="120" w:after="120" w:line="280" w:lineRule="exact"/>
              <w:jc w:val="center"/>
              <w:rPr>
                <w:rFonts w:ascii="Arabic Typesetting" w:hAnsi="Arabic Typesetting" w:cs="Arabic Typesetting"/>
                <w:color w:val="A6A6A6" w:themeColor="background1" w:themeShade="A6"/>
                <w:sz w:val="28"/>
                <w:szCs w:val="28"/>
              </w:rPr>
            </w:pPr>
            <w:r w:rsidRPr="00EC422A">
              <w:rPr>
                <w:rFonts w:ascii="Arabic Typesetting" w:hAnsi="Arabic Typesetting" w:cs="Arabic Typesetting"/>
                <w:color w:val="00B050"/>
                <w:sz w:val="28"/>
                <w:szCs w:val="28"/>
              </w:rPr>
              <w:sym w:font="Wingdings" w:char="F06C"/>
            </w:r>
          </w:p>
        </w:tc>
      </w:tr>
      <w:tr w:rsidR="006E24D8" w:rsidRPr="00EC422A" w14:paraId="726CAA38" w14:textId="77777777" w:rsidTr="006E24D8">
        <w:trPr>
          <w:cantSplit/>
          <w:trHeight w:val="44"/>
        </w:trPr>
        <w:tc>
          <w:tcPr>
            <w:tcW w:w="1478" w:type="pct"/>
            <w:vMerge/>
            <w:shd w:val="clear" w:color="auto" w:fill="auto"/>
            <w:tcMar>
              <w:top w:w="113" w:type="dxa"/>
              <w:bottom w:w="85" w:type="dxa"/>
            </w:tcMar>
          </w:tcPr>
          <w:p w14:paraId="2F20D932" w14:textId="77777777" w:rsidR="006E24D8" w:rsidRPr="00EC422A" w:rsidRDefault="006E24D8"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A39176D" w14:textId="77777777" w:rsidR="006E24D8" w:rsidRPr="00EC422A" w:rsidRDefault="006E24D8" w:rsidP="006E24D8">
            <w:pPr>
              <w:bidi/>
              <w:spacing w:before="120" w:after="120" w:line="280" w:lineRule="exact"/>
              <w:rPr>
                <w:rFonts w:ascii="Arabic Typesetting" w:hAnsi="Arabic Typesetting" w:cs="Arabic Typesetting"/>
                <w:sz w:val="28"/>
                <w:szCs w:val="28"/>
              </w:rPr>
            </w:pPr>
            <w:r w:rsidRPr="00EC422A">
              <w:rPr>
                <w:rFonts w:ascii="Arabic Typesetting" w:eastAsia="Arabic Typesetting" w:hAnsi="Arabic Typesetting" w:cs="Arabic Typesetting"/>
                <w:color w:val="000000"/>
                <w:sz w:val="28"/>
                <w:szCs w:val="28"/>
                <w:rtl/>
                <w:lang w:eastAsia="ar-EG" w:bidi="ar-EG"/>
              </w:rPr>
              <w:t xml:space="preserve">عدد السجلات في قاعدة بيانات </w:t>
            </w:r>
            <w:r w:rsidRPr="00EC422A">
              <w:rPr>
                <w:rFonts w:ascii="Arabic Typesetting" w:eastAsia="Arabic Typesetting" w:hAnsi="Arabic Typesetting" w:cs="Arabic Typesetting"/>
                <w:color w:val="000000"/>
                <w:sz w:val="28"/>
                <w:szCs w:val="28"/>
                <w:lang w:eastAsia="ar-EG" w:bidi="ar-EG"/>
              </w:rPr>
              <w:t>WIPO Re:Search</w:t>
            </w:r>
          </w:p>
        </w:tc>
        <w:tc>
          <w:tcPr>
            <w:tcW w:w="861" w:type="pct"/>
            <w:shd w:val="clear" w:color="auto" w:fill="FFFFFF"/>
            <w:tcMar>
              <w:top w:w="113" w:type="dxa"/>
              <w:bottom w:w="85" w:type="dxa"/>
            </w:tcMar>
          </w:tcPr>
          <w:p w14:paraId="1B447649" w14:textId="77777777" w:rsidR="006E24D8" w:rsidRPr="00EC422A" w:rsidRDefault="006E24D8" w:rsidP="006E24D8">
            <w:pPr>
              <w:bidi/>
              <w:spacing w:before="120" w:after="120" w:line="280" w:lineRule="exact"/>
              <w:jc w:val="center"/>
              <w:rPr>
                <w:rFonts w:ascii="Arabic Typesetting" w:hAnsi="Arabic Typesetting" w:cs="Arabic Typesetting"/>
                <w:sz w:val="28"/>
                <w:szCs w:val="28"/>
                <w:lang w:bidi="th-TH"/>
              </w:rPr>
            </w:pPr>
            <w:r w:rsidRPr="00EC422A">
              <w:rPr>
                <w:rFonts w:ascii="Arabic Typesetting" w:hAnsi="Arabic Typesetting" w:cs="Arabic Typesetting"/>
                <w:sz w:val="28"/>
                <w:szCs w:val="28"/>
                <w:rtl/>
              </w:rPr>
              <w:t>البرنامج 18</w:t>
            </w:r>
            <w:r w:rsidRPr="00EC422A">
              <w:rPr>
                <w:rFonts w:ascii="Arabic Typesetting" w:hAnsi="Arabic Typesetting" w:cs="Arabic Typesetting"/>
                <w:sz w:val="28"/>
                <w:szCs w:val="28"/>
                <w:lang w:bidi="th-TH"/>
              </w:rPr>
              <w:t xml:space="preserve"> </w:t>
            </w:r>
          </w:p>
        </w:tc>
        <w:tc>
          <w:tcPr>
            <w:tcW w:w="568" w:type="pct"/>
            <w:shd w:val="clear" w:color="auto" w:fill="FFFFFF"/>
          </w:tcPr>
          <w:p w14:paraId="2C7A7F26" w14:textId="77777777" w:rsidR="006E24D8" w:rsidRPr="00EC422A" w:rsidRDefault="006E24D8" w:rsidP="006E24D8">
            <w:pPr>
              <w:bidi/>
              <w:spacing w:before="120" w:after="120" w:line="280" w:lineRule="exact"/>
              <w:jc w:val="center"/>
              <w:rPr>
                <w:rFonts w:ascii="Arabic Typesetting" w:hAnsi="Arabic Typesetting" w:cs="Arabic Typesetting"/>
                <w:sz w:val="28"/>
                <w:szCs w:val="28"/>
              </w:rPr>
            </w:pPr>
            <w:r w:rsidRPr="00EC422A">
              <w:rPr>
                <w:rFonts w:ascii="Arabic Typesetting" w:hAnsi="Arabic Typesetting" w:cs="Arabic Typesetting"/>
                <w:color w:val="FF0000"/>
                <w:sz w:val="28"/>
                <w:szCs w:val="28"/>
              </w:rPr>
              <w:sym w:font="Wingdings" w:char="F06C"/>
            </w:r>
          </w:p>
        </w:tc>
      </w:tr>
      <w:tr w:rsidR="006E24D8" w:rsidRPr="00EC422A" w14:paraId="091BB47C" w14:textId="77777777" w:rsidTr="006E24D8">
        <w:trPr>
          <w:cantSplit/>
          <w:trHeight w:val="164"/>
        </w:trPr>
        <w:tc>
          <w:tcPr>
            <w:tcW w:w="1478" w:type="pct"/>
            <w:vMerge/>
            <w:shd w:val="clear" w:color="auto" w:fill="auto"/>
            <w:tcMar>
              <w:top w:w="113" w:type="dxa"/>
              <w:bottom w:w="85" w:type="dxa"/>
            </w:tcMar>
          </w:tcPr>
          <w:p w14:paraId="4DCB293E" w14:textId="77777777" w:rsidR="006E24D8" w:rsidRPr="00EC422A" w:rsidRDefault="006E24D8"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5FA15F4" w14:textId="77777777" w:rsidR="006E24D8" w:rsidRPr="00EC422A" w:rsidRDefault="006E24D8" w:rsidP="006E24D8">
            <w:pPr>
              <w:bidi/>
              <w:spacing w:before="120" w:after="120" w:line="280" w:lineRule="exact"/>
              <w:rPr>
                <w:rFonts w:ascii="Arabic Typesetting" w:hAnsi="Arabic Typesetting" w:cs="Arabic Typesetting"/>
                <w:sz w:val="28"/>
                <w:szCs w:val="28"/>
              </w:rPr>
            </w:pPr>
            <w:r w:rsidRPr="00EC422A">
              <w:rPr>
                <w:rFonts w:ascii="Arabic Typesetting" w:eastAsia="Arabic Typesetting" w:hAnsi="Arabic Typesetting" w:cs="Arabic Typesetting"/>
                <w:sz w:val="28"/>
                <w:szCs w:val="28"/>
                <w:rtl/>
                <w:lang w:eastAsia="ar-EG" w:bidi="ar-EG"/>
              </w:rPr>
              <w:t xml:space="preserve">تزايد عدد الاتفاقات ضمن قاعدة بيانات </w:t>
            </w:r>
            <w:r w:rsidRPr="00EC422A">
              <w:rPr>
                <w:rFonts w:ascii="Arabic Typesetting" w:eastAsia="Arabic Typesetting" w:hAnsi="Arabic Typesetting" w:cs="Arabic Typesetting"/>
                <w:sz w:val="28"/>
                <w:szCs w:val="28"/>
                <w:lang w:eastAsia="ar-EG" w:bidi="ar-EG"/>
              </w:rPr>
              <w:t>WIPO Re:Search</w:t>
            </w:r>
            <w:r w:rsidRPr="00EC422A">
              <w:rPr>
                <w:rFonts w:ascii="Arabic Typesetting" w:eastAsia="Arabic Typesetting" w:hAnsi="Arabic Typesetting" w:cs="Arabic Typesetting"/>
                <w:sz w:val="28"/>
                <w:szCs w:val="28"/>
                <w:rtl/>
                <w:lang w:eastAsia="ar-EG" w:bidi="ar-EG"/>
              </w:rPr>
              <w:t xml:space="preserve"> بما يؤدي إلى القيام بأنشطة بحث وتطوير جديدة أو تسريع الأنشطة القائمة منها في مجال الأمراض المدارية المهملة والملاريا والسل</w:t>
            </w:r>
          </w:p>
        </w:tc>
        <w:tc>
          <w:tcPr>
            <w:tcW w:w="861" w:type="pct"/>
            <w:shd w:val="clear" w:color="auto" w:fill="FFFFFF"/>
            <w:tcMar>
              <w:top w:w="113" w:type="dxa"/>
              <w:bottom w:w="85" w:type="dxa"/>
            </w:tcMar>
          </w:tcPr>
          <w:p w14:paraId="6628F0BA" w14:textId="77777777" w:rsidR="006E24D8" w:rsidRPr="00EC422A" w:rsidRDefault="006E24D8" w:rsidP="006E24D8">
            <w:pPr>
              <w:bidi/>
              <w:spacing w:before="120" w:after="120" w:line="280" w:lineRule="exact"/>
              <w:jc w:val="center"/>
              <w:rPr>
                <w:rFonts w:ascii="Arabic Typesetting" w:hAnsi="Arabic Typesetting" w:cs="Arabic Typesetting"/>
                <w:sz w:val="28"/>
                <w:szCs w:val="28"/>
                <w:lang w:bidi="th-TH"/>
              </w:rPr>
            </w:pPr>
            <w:r w:rsidRPr="00EC422A">
              <w:rPr>
                <w:rFonts w:ascii="Arabic Typesetting" w:hAnsi="Arabic Typesetting" w:cs="Arabic Typesetting"/>
                <w:sz w:val="28"/>
                <w:szCs w:val="28"/>
                <w:rtl/>
              </w:rPr>
              <w:t>البرنامج 18</w:t>
            </w:r>
            <w:r w:rsidRPr="00EC422A">
              <w:rPr>
                <w:rFonts w:ascii="Arabic Typesetting" w:hAnsi="Arabic Typesetting" w:cs="Arabic Typesetting"/>
                <w:sz w:val="28"/>
                <w:szCs w:val="28"/>
                <w:lang w:bidi="th-TH"/>
              </w:rPr>
              <w:t xml:space="preserve"> </w:t>
            </w:r>
          </w:p>
        </w:tc>
        <w:tc>
          <w:tcPr>
            <w:tcW w:w="568" w:type="pct"/>
            <w:shd w:val="clear" w:color="auto" w:fill="FFFFFF"/>
          </w:tcPr>
          <w:p w14:paraId="4BA80D86" w14:textId="77777777" w:rsidR="006E24D8" w:rsidRPr="00EC422A" w:rsidRDefault="006E24D8" w:rsidP="006E24D8">
            <w:pPr>
              <w:bidi/>
              <w:spacing w:before="120" w:after="120" w:line="280" w:lineRule="exact"/>
              <w:jc w:val="center"/>
              <w:rPr>
                <w:rFonts w:ascii="Arabic Typesetting" w:hAnsi="Arabic Typesetting" w:cs="Arabic Typesetting"/>
                <w:sz w:val="28"/>
                <w:szCs w:val="28"/>
              </w:rPr>
            </w:pPr>
            <w:r w:rsidRPr="00EC422A">
              <w:rPr>
                <w:rFonts w:ascii="Arabic Typesetting" w:hAnsi="Arabic Typesetting" w:cs="Arabic Typesetting"/>
                <w:color w:val="00B050"/>
                <w:sz w:val="28"/>
                <w:szCs w:val="28"/>
              </w:rPr>
              <w:sym w:font="Wingdings" w:char="F06C"/>
            </w:r>
            <w:r w:rsidRPr="00EC422A">
              <w:rPr>
                <w:rFonts w:ascii="Arabic Typesetting" w:hAnsi="Arabic Typesetting" w:cs="Arabic Typesetting"/>
                <w:color w:val="FF0000"/>
                <w:sz w:val="28"/>
                <w:szCs w:val="28"/>
              </w:rPr>
              <w:sym w:font="Wingdings" w:char="F06C"/>
            </w:r>
          </w:p>
        </w:tc>
      </w:tr>
      <w:tr w:rsidR="006E24D8" w:rsidRPr="00EC422A" w14:paraId="297D04F4" w14:textId="77777777" w:rsidTr="006E24D8">
        <w:trPr>
          <w:cantSplit/>
          <w:trHeight w:val="245"/>
        </w:trPr>
        <w:tc>
          <w:tcPr>
            <w:tcW w:w="1478" w:type="pct"/>
            <w:vMerge/>
            <w:shd w:val="clear" w:color="auto" w:fill="auto"/>
            <w:tcMar>
              <w:top w:w="113" w:type="dxa"/>
              <w:bottom w:w="85" w:type="dxa"/>
            </w:tcMar>
          </w:tcPr>
          <w:p w14:paraId="06E7B49E" w14:textId="77777777" w:rsidR="006E24D8" w:rsidRPr="00EC422A" w:rsidRDefault="006E24D8"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208D463" w14:textId="5BC628C2" w:rsidR="006E24D8" w:rsidRPr="00EC422A" w:rsidRDefault="006E24D8" w:rsidP="006E24D8">
            <w:pPr>
              <w:bidi/>
              <w:spacing w:before="120" w:after="120" w:line="280" w:lineRule="exact"/>
              <w:rPr>
                <w:rFonts w:ascii="Arabic Typesetting" w:hAnsi="Arabic Typesetting" w:cs="Arabic Typesetting"/>
                <w:sz w:val="28"/>
                <w:szCs w:val="28"/>
              </w:rPr>
            </w:pPr>
            <w:r w:rsidRPr="00EC422A">
              <w:rPr>
                <w:rFonts w:ascii="Arabic Typesetting" w:eastAsia="Arabic Typesetting" w:hAnsi="Arabic Typesetting" w:cs="Arabic Typesetting"/>
                <w:sz w:val="28"/>
                <w:szCs w:val="28"/>
                <w:rtl/>
                <w:lang w:eastAsia="ar-EG" w:bidi="ar-EG"/>
              </w:rPr>
              <w:t xml:space="preserve">عدد أعضاء </w:t>
            </w:r>
            <w:r w:rsidR="00BD308F">
              <w:rPr>
                <w:rFonts w:ascii="Arabic Typesetting" w:eastAsia="Arabic Typesetting" w:hAnsi="Arabic Typesetting" w:cs="Arabic Typesetting"/>
                <w:sz w:val="28"/>
                <w:szCs w:val="28"/>
                <w:lang w:eastAsia="ar-EG" w:bidi="ar-EG"/>
              </w:rPr>
              <w:t>WIPO GREEN</w:t>
            </w:r>
          </w:p>
        </w:tc>
        <w:tc>
          <w:tcPr>
            <w:tcW w:w="861" w:type="pct"/>
            <w:shd w:val="clear" w:color="auto" w:fill="FFFFFF"/>
            <w:tcMar>
              <w:top w:w="113" w:type="dxa"/>
              <w:bottom w:w="85" w:type="dxa"/>
            </w:tcMar>
          </w:tcPr>
          <w:p w14:paraId="27C89C47" w14:textId="77777777" w:rsidR="006E24D8" w:rsidRPr="00EC422A" w:rsidRDefault="006E24D8" w:rsidP="006E24D8">
            <w:pPr>
              <w:bidi/>
              <w:spacing w:before="120" w:after="120" w:line="280" w:lineRule="exact"/>
              <w:jc w:val="center"/>
              <w:rPr>
                <w:rFonts w:ascii="Arabic Typesetting" w:hAnsi="Arabic Typesetting" w:cs="Arabic Typesetting"/>
                <w:sz w:val="28"/>
                <w:szCs w:val="28"/>
                <w:lang w:bidi="th-TH"/>
              </w:rPr>
            </w:pPr>
            <w:r w:rsidRPr="00EC422A">
              <w:rPr>
                <w:rFonts w:ascii="Arabic Typesetting" w:hAnsi="Arabic Typesetting" w:cs="Arabic Typesetting"/>
                <w:sz w:val="28"/>
                <w:szCs w:val="28"/>
                <w:rtl/>
              </w:rPr>
              <w:t>البرنامج 18</w:t>
            </w:r>
          </w:p>
        </w:tc>
        <w:tc>
          <w:tcPr>
            <w:tcW w:w="568" w:type="pct"/>
            <w:shd w:val="clear" w:color="auto" w:fill="FFFFFF"/>
          </w:tcPr>
          <w:p w14:paraId="5620201E" w14:textId="77777777" w:rsidR="006E24D8" w:rsidRPr="00EC422A" w:rsidRDefault="006E24D8" w:rsidP="006E24D8">
            <w:pPr>
              <w:bidi/>
              <w:spacing w:before="120" w:after="120" w:line="280" w:lineRule="exact"/>
              <w:jc w:val="center"/>
              <w:rPr>
                <w:rFonts w:ascii="Arabic Typesetting" w:hAnsi="Arabic Typesetting" w:cs="Arabic Typesetting"/>
                <w:sz w:val="28"/>
                <w:szCs w:val="28"/>
              </w:rPr>
            </w:pPr>
            <w:r w:rsidRPr="00EC422A">
              <w:rPr>
                <w:rFonts w:ascii="Arabic Typesetting" w:hAnsi="Arabic Typesetting" w:cs="Arabic Typesetting"/>
                <w:color w:val="00B050"/>
                <w:sz w:val="28"/>
                <w:szCs w:val="28"/>
              </w:rPr>
              <w:sym w:font="Wingdings" w:char="F06C"/>
            </w:r>
          </w:p>
        </w:tc>
      </w:tr>
      <w:tr w:rsidR="006E24D8" w:rsidRPr="00EC422A" w14:paraId="334BA1BA" w14:textId="77777777" w:rsidTr="006E24D8">
        <w:trPr>
          <w:cantSplit/>
          <w:trHeight w:val="20"/>
        </w:trPr>
        <w:tc>
          <w:tcPr>
            <w:tcW w:w="1478" w:type="pct"/>
            <w:vMerge/>
            <w:shd w:val="clear" w:color="auto" w:fill="auto"/>
            <w:tcMar>
              <w:top w:w="113" w:type="dxa"/>
              <w:bottom w:w="85" w:type="dxa"/>
            </w:tcMar>
          </w:tcPr>
          <w:p w14:paraId="3C33C741" w14:textId="77777777" w:rsidR="006E24D8" w:rsidRPr="00EC422A" w:rsidRDefault="006E24D8"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96FCE73" w14:textId="693342A6" w:rsidR="006E24D8" w:rsidRPr="00EC422A" w:rsidRDefault="006E24D8" w:rsidP="006E24D8">
            <w:pPr>
              <w:bidi/>
              <w:spacing w:before="120" w:after="120" w:line="280" w:lineRule="exact"/>
              <w:rPr>
                <w:rFonts w:ascii="Arabic Typesetting" w:hAnsi="Arabic Typesetting" w:cs="Arabic Typesetting"/>
                <w:sz w:val="28"/>
                <w:szCs w:val="28"/>
              </w:rPr>
            </w:pPr>
            <w:r w:rsidRPr="00EC422A">
              <w:rPr>
                <w:rFonts w:ascii="Arabic Typesetting" w:eastAsia="Arabic Typesetting" w:hAnsi="Arabic Typesetting" w:cs="Arabic Typesetting"/>
                <w:color w:val="000000"/>
                <w:sz w:val="28"/>
                <w:szCs w:val="28"/>
                <w:rtl/>
                <w:lang w:eastAsia="ar-EG" w:bidi="ar-EG"/>
              </w:rPr>
              <w:t xml:space="preserve">عدد السجلات في قاعدة بيانات </w:t>
            </w:r>
            <w:r w:rsidR="00BD308F">
              <w:rPr>
                <w:rFonts w:ascii="Arabic Typesetting" w:eastAsia="Arabic Typesetting" w:hAnsi="Arabic Typesetting" w:cs="Arabic Typesetting"/>
                <w:color w:val="000000"/>
                <w:sz w:val="28"/>
                <w:szCs w:val="28"/>
                <w:lang w:eastAsia="ar-EG" w:bidi="ar-EG"/>
              </w:rPr>
              <w:t>WIPO GREEN</w:t>
            </w:r>
          </w:p>
        </w:tc>
        <w:tc>
          <w:tcPr>
            <w:tcW w:w="861" w:type="pct"/>
            <w:shd w:val="clear" w:color="auto" w:fill="FFFFFF"/>
            <w:tcMar>
              <w:top w:w="113" w:type="dxa"/>
              <w:bottom w:w="85" w:type="dxa"/>
            </w:tcMar>
          </w:tcPr>
          <w:p w14:paraId="414FD058" w14:textId="77777777" w:rsidR="006E24D8" w:rsidRPr="00EC422A" w:rsidRDefault="006E24D8" w:rsidP="006E24D8">
            <w:pPr>
              <w:bidi/>
              <w:spacing w:before="120" w:after="120" w:line="280" w:lineRule="exact"/>
              <w:jc w:val="center"/>
              <w:rPr>
                <w:rFonts w:ascii="Arabic Typesetting" w:hAnsi="Arabic Typesetting" w:cs="Arabic Typesetting"/>
                <w:sz w:val="28"/>
                <w:szCs w:val="28"/>
                <w:lang w:bidi="th-TH"/>
              </w:rPr>
            </w:pPr>
            <w:r w:rsidRPr="00EC422A">
              <w:rPr>
                <w:rFonts w:ascii="Arabic Typesetting" w:hAnsi="Arabic Typesetting" w:cs="Arabic Typesetting"/>
                <w:sz w:val="28"/>
                <w:szCs w:val="28"/>
                <w:rtl/>
              </w:rPr>
              <w:t>البرنامج 18</w:t>
            </w:r>
          </w:p>
        </w:tc>
        <w:tc>
          <w:tcPr>
            <w:tcW w:w="568" w:type="pct"/>
            <w:shd w:val="clear" w:color="auto" w:fill="FFFFFF"/>
          </w:tcPr>
          <w:p w14:paraId="2DF88D25" w14:textId="77777777" w:rsidR="006E24D8" w:rsidRPr="00EC422A" w:rsidRDefault="006E24D8" w:rsidP="006E24D8">
            <w:pPr>
              <w:bidi/>
              <w:spacing w:before="120" w:after="120" w:line="280" w:lineRule="exact"/>
              <w:jc w:val="center"/>
              <w:rPr>
                <w:rFonts w:ascii="Arabic Typesetting" w:hAnsi="Arabic Typesetting" w:cs="Arabic Typesetting"/>
                <w:color w:val="A6A6A6" w:themeColor="background1" w:themeShade="A6"/>
                <w:sz w:val="28"/>
                <w:szCs w:val="28"/>
              </w:rPr>
            </w:pPr>
            <w:r w:rsidRPr="00EC422A">
              <w:rPr>
                <w:rFonts w:ascii="Arabic Typesetting" w:hAnsi="Arabic Typesetting" w:cs="Arabic Typesetting"/>
                <w:color w:val="FF0000"/>
                <w:sz w:val="28"/>
                <w:szCs w:val="28"/>
              </w:rPr>
              <w:sym w:font="Wingdings" w:char="F06C"/>
            </w:r>
          </w:p>
        </w:tc>
      </w:tr>
      <w:tr w:rsidR="006E24D8" w:rsidRPr="00EC422A" w14:paraId="3030CD40" w14:textId="77777777" w:rsidTr="006E24D8">
        <w:trPr>
          <w:cantSplit/>
          <w:trHeight w:val="296"/>
        </w:trPr>
        <w:tc>
          <w:tcPr>
            <w:tcW w:w="1478" w:type="pct"/>
            <w:shd w:val="clear" w:color="auto" w:fill="auto"/>
            <w:tcMar>
              <w:top w:w="113" w:type="dxa"/>
              <w:bottom w:w="85" w:type="dxa"/>
            </w:tcMar>
          </w:tcPr>
          <w:p w14:paraId="77883BE0" w14:textId="77777777" w:rsidR="006E24D8" w:rsidRPr="00EC422A" w:rsidRDefault="006E24D8"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406E0260" w14:textId="44BFAE8C" w:rsidR="006E24D8" w:rsidRPr="00EC422A" w:rsidRDefault="006E24D8" w:rsidP="006E24D8">
            <w:pPr>
              <w:bidi/>
              <w:spacing w:before="120" w:after="120" w:line="280" w:lineRule="exact"/>
              <w:rPr>
                <w:rFonts w:ascii="Arabic Typesetting" w:hAnsi="Arabic Typesetting" w:cs="Arabic Typesetting"/>
                <w:sz w:val="28"/>
                <w:szCs w:val="28"/>
              </w:rPr>
            </w:pPr>
            <w:r w:rsidRPr="00EC422A">
              <w:rPr>
                <w:rFonts w:ascii="Arabic Typesetting" w:eastAsia="Arabic Typesetting" w:hAnsi="Arabic Typesetting" w:cs="Arabic Typesetting"/>
                <w:color w:val="000000"/>
                <w:sz w:val="28"/>
                <w:szCs w:val="28"/>
                <w:rtl/>
                <w:lang w:eastAsia="ar-EG" w:bidi="ar-EG"/>
              </w:rPr>
              <w:t xml:space="preserve">عدد الاتفاقات التي حفزها برنامج </w:t>
            </w:r>
            <w:r w:rsidR="00BD308F">
              <w:rPr>
                <w:rFonts w:ascii="Arabic Typesetting" w:eastAsia="Arabic Typesetting" w:hAnsi="Arabic Typesetting" w:cs="Arabic Typesetting"/>
                <w:color w:val="000000"/>
                <w:sz w:val="28"/>
                <w:szCs w:val="28"/>
                <w:lang w:eastAsia="ar-EG" w:bidi="ar-EG"/>
              </w:rPr>
              <w:t>WIPO GREEN</w:t>
            </w:r>
            <w:r w:rsidRPr="00EC422A">
              <w:rPr>
                <w:rFonts w:ascii="Arabic Typesetting" w:eastAsia="Arabic Typesetting" w:hAnsi="Arabic Typesetting" w:cs="Arabic Typesetting"/>
                <w:color w:val="000000"/>
                <w:sz w:val="28"/>
                <w:szCs w:val="28"/>
                <w:rtl/>
                <w:lang w:eastAsia="ar-EG" w:bidi="ar-EG"/>
              </w:rPr>
              <w:t xml:space="preserve"> والرامية إلى تيسير نقل المعارف وتطويع التكنولوجيا و/أو نقلها و/أو نشرها</w:t>
            </w:r>
          </w:p>
        </w:tc>
        <w:tc>
          <w:tcPr>
            <w:tcW w:w="861" w:type="pct"/>
            <w:shd w:val="clear" w:color="auto" w:fill="FFFFFF"/>
            <w:tcMar>
              <w:top w:w="113" w:type="dxa"/>
              <w:bottom w:w="85" w:type="dxa"/>
            </w:tcMar>
          </w:tcPr>
          <w:p w14:paraId="575DFC68" w14:textId="77777777" w:rsidR="006E24D8" w:rsidRPr="00EC422A" w:rsidRDefault="006E24D8" w:rsidP="006E24D8">
            <w:pPr>
              <w:bidi/>
              <w:spacing w:before="120" w:after="120" w:line="280" w:lineRule="exact"/>
              <w:jc w:val="center"/>
              <w:rPr>
                <w:rFonts w:ascii="Arabic Typesetting" w:hAnsi="Arabic Typesetting" w:cs="Arabic Typesetting"/>
                <w:sz w:val="28"/>
                <w:szCs w:val="28"/>
                <w:lang w:bidi="th-TH"/>
              </w:rPr>
            </w:pPr>
            <w:r w:rsidRPr="00EC422A">
              <w:rPr>
                <w:rFonts w:ascii="Arabic Typesetting" w:hAnsi="Arabic Typesetting" w:cs="Arabic Typesetting"/>
                <w:sz w:val="28"/>
                <w:szCs w:val="28"/>
                <w:rtl/>
              </w:rPr>
              <w:t>البرنامج 18</w:t>
            </w:r>
          </w:p>
        </w:tc>
        <w:tc>
          <w:tcPr>
            <w:tcW w:w="568" w:type="pct"/>
            <w:shd w:val="clear" w:color="auto" w:fill="FFFFFF"/>
          </w:tcPr>
          <w:p w14:paraId="4BA91253" w14:textId="77777777" w:rsidR="006E24D8" w:rsidRPr="00EC422A" w:rsidRDefault="006E24D8" w:rsidP="006E24D8">
            <w:pPr>
              <w:bidi/>
              <w:spacing w:before="120" w:after="120" w:line="280" w:lineRule="exact"/>
              <w:jc w:val="center"/>
              <w:rPr>
                <w:rFonts w:ascii="Arabic Typesetting" w:hAnsi="Arabic Typesetting" w:cs="Arabic Typesetting"/>
                <w:sz w:val="28"/>
                <w:szCs w:val="28"/>
              </w:rPr>
            </w:pPr>
            <w:r w:rsidRPr="00EC422A">
              <w:rPr>
                <w:rFonts w:ascii="Arabic Typesetting" w:hAnsi="Arabic Typesetting" w:cs="Arabic Typesetting"/>
                <w:color w:val="00B050"/>
                <w:sz w:val="28"/>
                <w:szCs w:val="28"/>
              </w:rPr>
              <w:sym w:font="Wingdings" w:char="F06C"/>
            </w:r>
          </w:p>
        </w:tc>
      </w:tr>
      <w:tr w:rsidR="006E24D8" w:rsidRPr="00EC422A" w14:paraId="76EF3992" w14:textId="77777777" w:rsidTr="006E24D8">
        <w:trPr>
          <w:cantSplit/>
          <w:trHeight w:val="344"/>
        </w:trPr>
        <w:tc>
          <w:tcPr>
            <w:tcW w:w="1478" w:type="pct"/>
            <w:shd w:val="clear" w:color="auto" w:fill="auto"/>
            <w:tcMar>
              <w:top w:w="113" w:type="dxa"/>
              <w:bottom w:w="85" w:type="dxa"/>
            </w:tcMar>
          </w:tcPr>
          <w:p w14:paraId="5B3ED495" w14:textId="77777777" w:rsidR="006E24D8" w:rsidRPr="00EC422A" w:rsidRDefault="006E24D8"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46E4B26" w14:textId="77777777" w:rsidR="006E24D8" w:rsidRPr="00EC422A" w:rsidRDefault="006E24D8" w:rsidP="006E24D8">
            <w:pPr>
              <w:bidi/>
              <w:spacing w:before="120" w:after="120" w:line="280" w:lineRule="exact"/>
              <w:rPr>
                <w:rFonts w:ascii="Arabic Typesetting" w:hAnsi="Arabic Typesetting" w:cs="Arabic Typesetting"/>
                <w:sz w:val="28"/>
                <w:szCs w:val="28"/>
              </w:rPr>
            </w:pPr>
            <w:r w:rsidRPr="00EC422A">
              <w:rPr>
                <w:rFonts w:ascii="Arabic Typesetting" w:eastAsia="Arabic Typesetting" w:hAnsi="Arabic Typesetting" w:cs="Arabic Typesetting"/>
                <w:color w:val="000000"/>
                <w:sz w:val="28"/>
                <w:szCs w:val="28"/>
                <w:rtl/>
                <w:lang w:eastAsia="ar-EG" w:bidi="ar-EG"/>
              </w:rPr>
              <w:t>إحراز تقدم في إقامة إطار للتعاون الدولي من أجل إسهام الملكية الفكرية إسهاماً فعالاً في الأمن الغذائي من خلال عملية التشاور</w:t>
            </w:r>
          </w:p>
        </w:tc>
        <w:tc>
          <w:tcPr>
            <w:tcW w:w="861" w:type="pct"/>
            <w:shd w:val="clear" w:color="auto" w:fill="FFFFFF"/>
            <w:tcMar>
              <w:top w:w="113" w:type="dxa"/>
              <w:bottom w:w="85" w:type="dxa"/>
            </w:tcMar>
          </w:tcPr>
          <w:p w14:paraId="66459D4F" w14:textId="77777777" w:rsidR="006E24D8" w:rsidRPr="00EC422A" w:rsidRDefault="006E24D8" w:rsidP="006E24D8">
            <w:pPr>
              <w:bidi/>
              <w:spacing w:before="120" w:after="120" w:line="280" w:lineRule="exact"/>
              <w:jc w:val="center"/>
              <w:rPr>
                <w:rFonts w:ascii="Arabic Typesetting" w:hAnsi="Arabic Typesetting" w:cs="Arabic Typesetting"/>
                <w:sz w:val="28"/>
                <w:szCs w:val="28"/>
                <w:lang w:bidi="th-TH"/>
              </w:rPr>
            </w:pPr>
            <w:r w:rsidRPr="00EC422A">
              <w:rPr>
                <w:rFonts w:ascii="Arabic Typesetting" w:hAnsi="Arabic Typesetting" w:cs="Arabic Typesetting"/>
                <w:sz w:val="28"/>
                <w:szCs w:val="28"/>
                <w:rtl/>
              </w:rPr>
              <w:t>البرنامج 18</w:t>
            </w:r>
          </w:p>
        </w:tc>
        <w:tc>
          <w:tcPr>
            <w:tcW w:w="568" w:type="pct"/>
            <w:shd w:val="clear" w:color="auto" w:fill="FFFFFF"/>
          </w:tcPr>
          <w:p w14:paraId="17B0DBDC" w14:textId="77777777" w:rsidR="006E24D8" w:rsidRPr="00EC422A" w:rsidRDefault="006E24D8" w:rsidP="006E24D8">
            <w:pPr>
              <w:bidi/>
              <w:spacing w:before="120" w:after="120" w:line="280" w:lineRule="exact"/>
              <w:jc w:val="center"/>
              <w:rPr>
                <w:rFonts w:ascii="Arabic Typesetting" w:hAnsi="Arabic Typesetting" w:cs="Arabic Typesetting"/>
                <w:color w:val="A6A6A6" w:themeColor="background1" w:themeShade="A6"/>
                <w:sz w:val="28"/>
                <w:szCs w:val="28"/>
              </w:rPr>
            </w:pPr>
            <w:r w:rsidRPr="00EC422A">
              <w:rPr>
                <w:rFonts w:ascii="Arabic Typesetting" w:hAnsi="Arabic Typesetting" w:cs="Arabic Typesetting"/>
                <w:color w:val="00B050"/>
                <w:sz w:val="28"/>
                <w:szCs w:val="28"/>
              </w:rPr>
              <w:sym w:font="Wingdings" w:char="F06C"/>
            </w:r>
          </w:p>
        </w:tc>
      </w:tr>
      <w:tr w:rsidR="006E24D8" w:rsidRPr="00EC422A" w14:paraId="045D31E1" w14:textId="77777777" w:rsidTr="006E24D8">
        <w:trPr>
          <w:cantSplit/>
          <w:trHeight w:val="20"/>
        </w:trPr>
        <w:tc>
          <w:tcPr>
            <w:tcW w:w="1478" w:type="pct"/>
            <w:shd w:val="clear" w:color="auto" w:fill="auto"/>
            <w:tcMar>
              <w:top w:w="113" w:type="dxa"/>
              <w:bottom w:w="85" w:type="dxa"/>
            </w:tcMar>
          </w:tcPr>
          <w:p w14:paraId="52808E26" w14:textId="77777777" w:rsidR="006E24D8" w:rsidRPr="00EC422A" w:rsidRDefault="006E24D8"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8DA283D" w14:textId="77777777" w:rsidR="006E24D8" w:rsidRPr="00EC422A" w:rsidRDefault="006E24D8" w:rsidP="006E24D8">
            <w:pPr>
              <w:bidi/>
              <w:spacing w:before="120" w:after="120" w:line="280" w:lineRule="exact"/>
              <w:rPr>
                <w:rFonts w:ascii="Arabic Typesetting" w:hAnsi="Arabic Typesetting" w:cs="Arabic Typesetting"/>
                <w:sz w:val="28"/>
                <w:szCs w:val="28"/>
              </w:rPr>
            </w:pPr>
            <w:r w:rsidRPr="00EC422A">
              <w:rPr>
                <w:rFonts w:ascii="Arabic Typesetting" w:eastAsia="Arabic Typesetting" w:hAnsi="Arabic Typesetting" w:cs="Arabic Typesetting"/>
                <w:color w:val="000000"/>
                <w:sz w:val="28"/>
                <w:szCs w:val="28"/>
                <w:rtl/>
                <w:lang w:eastAsia="ar-EG" w:bidi="ar-EG"/>
              </w:rPr>
              <w:t>عدد زائري الموقع الإلكتروني للتحديات العالمية</w:t>
            </w:r>
          </w:p>
        </w:tc>
        <w:tc>
          <w:tcPr>
            <w:tcW w:w="861" w:type="pct"/>
            <w:shd w:val="clear" w:color="auto" w:fill="FFFFFF"/>
            <w:tcMar>
              <w:top w:w="113" w:type="dxa"/>
              <w:bottom w:w="85" w:type="dxa"/>
            </w:tcMar>
          </w:tcPr>
          <w:p w14:paraId="54467D3B" w14:textId="77777777" w:rsidR="006E24D8" w:rsidRPr="00EC422A" w:rsidRDefault="006E24D8" w:rsidP="006E24D8">
            <w:pPr>
              <w:bidi/>
              <w:spacing w:before="120" w:after="120" w:line="280" w:lineRule="exact"/>
              <w:jc w:val="center"/>
              <w:rPr>
                <w:rFonts w:ascii="Arabic Typesetting" w:hAnsi="Arabic Typesetting" w:cs="Arabic Typesetting"/>
                <w:sz w:val="28"/>
                <w:szCs w:val="28"/>
                <w:lang w:bidi="th-TH"/>
              </w:rPr>
            </w:pPr>
            <w:r w:rsidRPr="00EC422A">
              <w:rPr>
                <w:rFonts w:ascii="Arabic Typesetting" w:hAnsi="Arabic Typesetting" w:cs="Arabic Typesetting"/>
                <w:sz w:val="28"/>
                <w:szCs w:val="28"/>
                <w:rtl/>
              </w:rPr>
              <w:t>البرنامج 18</w:t>
            </w:r>
          </w:p>
        </w:tc>
        <w:tc>
          <w:tcPr>
            <w:tcW w:w="568" w:type="pct"/>
            <w:shd w:val="clear" w:color="auto" w:fill="FFFFFF"/>
          </w:tcPr>
          <w:p w14:paraId="2F3F2ECE" w14:textId="77777777" w:rsidR="006E24D8" w:rsidRPr="00EC422A" w:rsidRDefault="006E24D8" w:rsidP="006E24D8">
            <w:pPr>
              <w:bidi/>
              <w:spacing w:before="120" w:after="120" w:line="280" w:lineRule="exact"/>
              <w:jc w:val="center"/>
              <w:rPr>
                <w:rFonts w:ascii="Arabic Typesetting" w:hAnsi="Arabic Typesetting" w:cs="Arabic Typesetting"/>
                <w:color w:val="00B050"/>
                <w:sz w:val="28"/>
                <w:szCs w:val="28"/>
              </w:rPr>
            </w:pPr>
            <w:r w:rsidRPr="00EC422A">
              <w:rPr>
                <w:rFonts w:ascii="Arabic Typesetting" w:hAnsi="Arabic Typesetting" w:cs="Arabic Typesetting"/>
                <w:color w:val="FF0000"/>
                <w:sz w:val="28"/>
                <w:szCs w:val="28"/>
              </w:rPr>
              <w:sym w:font="Wingdings" w:char="F06C"/>
            </w:r>
            <w:r w:rsidRPr="00EC422A">
              <w:rPr>
                <w:rFonts w:ascii="Arabic Typesetting" w:hAnsi="Arabic Typesetting" w:cs="Arabic Typesetting"/>
                <w:color w:val="00B050"/>
                <w:sz w:val="28"/>
                <w:szCs w:val="28"/>
              </w:rPr>
              <w:sym w:font="Wingdings" w:char="F06C"/>
            </w:r>
            <w:r w:rsidRPr="00EC422A">
              <w:rPr>
                <w:rFonts w:ascii="Arabic Typesetting" w:hAnsi="Arabic Typesetting" w:cs="Arabic Typesetting"/>
                <w:color w:val="00B050"/>
                <w:sz w:val="28"/>
                <w:szCs w:val="28"/>
              </w:rPr>
              <w:sym w:font="Wingdings" w:char="F06C"/>
            </w:r>
          </w:p>
          <w:p w14:paraId="25F35DAB" w14:textId="77777777" w:rsidR="006E24D8" w:rsidRPr="00EC422A" w:rsidRDefault="006E24D8" w:rsidP="006E24D8">
            <w:pPr>
              <w:bidi/>
              <w:spacing w:before="120" w:after="120" w:line="280" w:lineRule="exact"/>
              <w:jc w:val="center"/>
              <w:rPr>
                <w:rFonts w:ascii="Arabic Typesetting" w:hAnsi="Arabic Typesetting" w:cs="Arabic Typesetting"/>
                <w:color w:val="008000"/>
                <w:sz w:val="28"/>
                <w:szCs w:val="28"/>
              </w:rPr>
            </w:pPr>
            <w:r w:rsidRPr="00EC422A">
              <w:rPr>
                <w:rFonts w:ascii="Arabic Typesetting" w:hAnsi="Arabic Typesetting" w:cs="Arabic Typesetting"/>
                <w:color w:val="FF0000"/>
                <w:sz w:val="28"/>
                <w:szCs w:val="28"/>
              </w:rPr>
              <w:sym w:font="Wingdings" w:char="F06C"/>
            </w:r>
            <w:r w:rsidRPr="00EC422A">
              <w:rPr>
                <w:rFonts w:ascii="Arabic Typesetting" w:hAnsi="Arabic Typesetting" w:cs="Arabic Typesetting"/>
                <w:color w:val="00B050"/>
                <w:sz w:val="28"/>
                <w:szCs w:val="28"/>
              </w:rPr>
              <w:sym w:font="Wingdings" w:char="F06C"/>
            </w:r>
            <w:r w:rsidRPr="00EC422A">
              <w:rPr>
                <w:rFonts w:ascii="Arabic Typesetting" w:hAnsi="Arabic Typesetting" w:cs="Arabic Typesetting"/>
                <w:color w:val="00B050"/>
                <w:sz w:val="28"/>
                <w:szCs w:val="28"/>
              </w:rPr>
              <w:sym w:font="Wingdings" w:char="F06C"/>
            </w:r>
          </w:p>
        </w:tc>
      </w:tr>
      <w:tr w:rsidR="006E24D8" w:rsidRPr="00EC422A" w14:paraId="12A94F0E" w14:textId="77777777" w:rsidTr="006E24D8">
        <w:trPr>
          <w:cantSplit/>
          <w:trHeight w:val="602"/>
        </w:trPr>
        <w:tc>
          <w:tcPr>
            <w:tcW w:w="1478" w:type="pct"/>
            <w:shd w:val="clear" w:color="auto" w:fill="auto"/>
            <w:tcMar>
              <w:top w:w="113" w:type="dxa"/>
              <w:bottom w:w="85" w:type="dxa"/>
            </w:tcMar>
          </w:tcPr>
          <w:p w14:paraId="064F4687" w14:textId="77777777" w:rsidR="006E24D8" w:rsidRPr="00EC422A" w:rsidRDefault="006E24D8" w:rsidP="006E24D8">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A516EF4" w14:textId="45C5B4F8" w:rsidR="006E24D8" w:rsidRPr="00EC422A" w:rsidRDefault="00EF3FA1" w:rsidP="006E24D8">
            <w:pPr>
              <w:bidi/>
              <w:spacing w:before="120" w:after="120" w:line="280" w:lineRule="exact"/>
              <w:rPr>
                <w:rFonts w:ascii="Arabic Typesetting" w:hAnsi="Arabic Typesetting" w:cs="Arabic Typesetting"/>
                <w:sz w:val="28"/>
                <w:szCs w:val="28"/>
              </w:rPr>
            </w:pPr>
            <w:r w:rsidRPr="00EF3FA1">
              <w:rPr>
                <w:rFonts w:ascii="Arabic Typesetting" w:hAnsi="Arabic Typesetting" w:cs="Arabic Typesetting"/>
                <w:sz w:val="28"/>
                <w:szCs w:val="28"/>
                <w:rtl/>
              </w:rPr>
              <w:t xml:space="preserve">مشاركة أصحاب المصالح في منصات الويبو مثل منصتي </w:t>
            </w:r>
            <w:r w:rsidRPr="00EF3FA1">
              <w:rPr>
                <w:rFonts w:ascii="Arabic Typesetting" w:hAnsi="Arabic Typesetting" w:cs="Arabic Typesetting"/>
                <w:sz w:val="28"/>
                <w:szCs w:val="28"/>
              </w:rPr>
              <w:t>WIPO GREEN</w:t>
            </w:r>
            <w:r w:rsidRPr="00EF3FA1">
              <w:rPr>
                <w:rFonts w:ascii="Arabic Typesetting" w:hAnsi="Arabic Typesetting" w:cs="Arabic Typesetting"/>
                <w:sz w:val="28"/>
                <w:szCs w:val="28"/>
                <w:rtl/>
              </w:rPr>
              <w:t xml:space="preserve"> و</w:t>
            </w:r>
            <w:r w:rsidRPr="00EF3FA1">
              <w:rPr>
                <w:rFonts w:ascii="Arabic Typesetting" w:hAnsi="Arabic Typesetting" w:cs="Arabic Typesetting"/>
                <w:sz w:val="28"/>
                <w:szCs w:val="28"/>
              </w:rPr>
              <w:t>WIPO Re:Search</w:t>
            </w:r>
          </w:p>
        </w:tc>
        <w:tc>
          <w:tcPr>
            <w:tcW w:w="861" w:type="pct"/>
            <w:shd w:val="clear" w:color="auto" w:fill="FFFFFF"/>
            <w:tcMar>
              <w:top w:w="113" w:type="dxa"/>
              <w:bottom w:w="85" w:type="dxa"/>
            </w:tcMar>
          </w:tcPr>
          <w:p w14:paraId="111A4C2D" w14:textId="77777777" w:rsidR="006E24D8" w:rsidRPr="00EC422A" w:rsidRDefault="006E24D8" w:rsidP="006E24D8">
            <w:pPr>
              <w:bidi/>
              <w:spacing w:before="120" w:after="120" w:line="280" w:lineRule="exact"/>
              <w:jc w:val="center"/>
              <w:rPr>
                <w:rFonts w:ascii="Arabic Typesetting" w:hAnsi="Arabic Typesetting" w:cs="Arabic Typesetting"/>
                <w:sz w:val="28"/>
                <w:szCs w:val="28"/>
                <w:lang w:bidi="th-TH"/>
              </w:rPr>
            </w:pPr>
            <w:r w:rsidRPr="00EC422A">
              <w:rPr>
                <w:rFonts w:ascii="Arabic Typesetting" w:hAnsi="Arabic Typesetting" w:cs="Arabic Typesetting"/>
                <w:sz w:val="28"/>
                <w:szCs w:val="28"/>
                <w:rtl/>
              </w:rPr>
              <w:t>البرنامج 20</w:t>
            </w:r>
          </w:p>
        </w:tc>
        <w:tc>
          <w:tcPr>
            <w:tcW w:w="568" w:type="pct"/>
            <w:shd w:val="clear" w:color="auto" w:fill="FFFFFF"/>
          </w:tcPr>
          <w:p w14:paraId="63000414" w14:textId="044A931F" w:rsidR="006E24D8" w:rsidRPr="006E24D8" w:rsidRDefault="006E24D8" w:rsidP="006E24D8">
            <w:pPr>
              <w:bidi/>
              <w:spacing w:before="120" w:after="120" w:line="280" w:lineRule="exact"/>
              <w:jc w:val="center"/>
              <w:rPr>
                <w:rFonts w:ascii="Arabic Typesetting" w:hAnsi="Arabic Typesetting" w:cs="Arabic Typesetting"/>
                <w:color w:val="00B050"/>
                <w:sz w:val="28"/>
                <w:szCs w:val="28"/>
              </w:rPr>
            </w:pPr>
            <w:r w:rsidRPr="00EC422A">
              <w:rPr>
                <w:rFonts w:ascii="Arabic Typesetting" w:hAnsi="Arabic Typesetting" w:cs="Arabic Typesetting"/>
                <w:color w:val="00B050"/>
                <w:sz w:val="28"/>
                <w:szCs w:val="28"/>
              </w:rPr>
              <w:sym w:font="Wingdings" w:char="F06C"/>
            </w:r>
            <w:r w:rsidRPr="00EC422A">
              <w:rPr>
                <w:rFonts w:ascii="Arabic Typesetting" w:hAnsi="Arabic Typesetting" w:cs="Arabic Typesetting"/>
                <w:color w:val="FF0000"/>
                <w:sz w:val="28"/>
                <w:szCs w:val="28"/>
              </w:rPr>
              <w:sym w:font="Wingdings" w:char="F06C"/>
            </w:r>
            <w:r w:rsidRPr="00EC422A">
              <w:rPr>
                <w:rFonts w:ascii="Arabic Typesetting" w:hAnsi="Arabic Typesetting" w:cs="Arabic Typesetting"/>
                <w:color w:val="FF0000"/>
                <w:sz w:val="28"/>
                <w:szCs w:val="28"/>
              </w:rPr>
              <w:sym w:font="Wingdings" w:char="F06C"/>
            </w:r>
            <w:r w:rsidRPr="00EC422A">
              <w:rPr>
                <w:rFonts w:ascii="Arabic Typesetting" w:hAnsi="Arabic Typesetting" w:cs="Arabic Typesetting"/>
                <w:color w:val="A6A6A6" w:themeColor="background1" w:themeShade="A6"/>
                <w:sz w:val="28"/>
                <w:szCs w:val="28"/>
              </w:rPr>
              <w:sym w:font="Wingdings" w:char="F06C"/>
            </w:r>
            <w:r w:rsidRPr="00EC422A">
              <w:rPr>
                <w:rFonts w:ascii="Arabic Typesetting" w:hAnsi="Arabic Typesetting" w:cs="Arabic Typesetting"/>
                <w:color w:val="00B050"/>
                <w:sz w:val="28"/>
                <w:szCs w:val="28"/>
              </w:rPr>
              <w:sym w:font="Wingdings" w:char="F06C"/>
            </w:r>
            <w:r w:rsidRPr="00EC422A">
              <w:rPr>
                <w:rFonts w:ascii="Arabic Typesetting" w:hAnsi="Arabic Typesetting" w:cs="Arabic Typesetting"/>
                <w:color w:val="00B050"/>
                <w:sz w:val="28"/>
                <w:szCs w:val="28"/>
              </w:rPr>
              <w:sym w:font="Wingdings" w:char="F06C"/>
            </w:r>
            <w:r w:rsidRPr="00EC422A">
              <w:rPr>
                <w:rFonts w:ascii="Arabic Typesetting" w:hAnsi="Arabic Typesetting" w:cs="Arabic Typesetting"/>
                <w:color w:val="00B050"/>
                <w:sz w:val="28"/>
                <w:szCs w:val="28"/>
              </w:rPr>
              <w:sym w:font="Wingdings" w:char="F06C"/>
            </w:r>
            <w:r w:rsidRPr="00EC422A">
              <w:rPr>
                <w:rFonts w:ascii="Arabic Typesetting" w:hAnsi="Arabic Typesetting" w:cs="Arabic Typesetting"/>
                <w:color w:val="00B050"/>
                <w:sz w:val="28"/>
                <w:szCs w:val="28"/>
              </w:rPr>
              <w:sym w:font="Wingdings" w:char="F06C"/>
            </w:r>
            <w:r w:rsidRPr="00EC422A">
              <w:rPr>
                <w:rFonts w:ascii="Arabic Typesetting" w:hAnsi="Arabic Typesetting" w:cs="Arabic Typesetting"/>
                <w:color w:val="A6A6A6" w:themeColor="background1" w:themeShade="A6"/>
                <w:sz w:val="28"/>
                <w:szCs w:val="28"/>
              </w:rPr>
              <w:sym w:font="Wingdings" w:char="F06C"/>
            </w:r>
            <w:r w:rsidRPr="00EC422A">
              <w:rPr>
                <w:rFonts w:ascii="Arabic Typesetting" w:hAnsi="Arabic Typesetting" w:cs="Arabic Typesetting"/>
                <w:color w:val="00B050"/>
                <w:sz w:val="28"/>
                <w:szCs w:val="28"/>
              </w:rPr>
              <w:sym w:font="Wingdings" w:char="F06C"/>
            </w:r>
          </w:p>
        </w:tc>
      </w:tr>
    </w:tbl>
    <w:p w14:paraId="0E29CEBF" w14:textId="77777777" w:rsidR="006E24D8" w:rsidRDefault="006E24D8" w:rsidP="006E24D8">
      <w:pPr>
        <w:pStyle w:val="NormalParaAR"/>
        <w:rPr>
          <w:rtl/>
        </w:rPr>
      </w:pPr>
    </w:p>
    <w:p w14:paraId="3AA910B3" w14:textId="77777777" w:rsidR="00BB3820" w:rsidRPr="00254297" w:rsidRDefault="00BB3820" w:rsidP="00DA7DF7">
      <w:pPr>
        <w:pStyle w:val="Heading3"/>
        <w:ind w:left="1984" w:hanging="1984"/>
      </w:pPr>
      <w:bookmarkStart w:id="42" w:name="_Toc482782769"/>
      <w:r w:rsidRPr="00254297">
        <w:rPr>
          <w:rtl/>
        </w:rPr>
        <w:lastRenderedPageBreak/>
        <w:t>البرنامج</w:t>
      </w:r>
      <w:r>
        <w:rPr>
          <w:rFonts w:hint="cs"/>
          <w:rtl/>
        </w:rPr>
        <w:t xml:space="preserve"> 18</w:t>
      </w:r>
      <w:r w:rsidRPr="00254297">
        <w:rPr>
          <w:rFonts w:hint="cs"/>
          <w:rtl/>
        </w:rPr>
        <w:t>:</w:t>
      </w:r>
      <w:r w:rsidRPr="00254297">
        <w:tab/>
      </w:r>
      <w:r w:rsidRPr="001E6D34">
        <w:rPr>
          <w:rtl/>
        </w:rPr>
        <w:t>الملكية الفكرية والتحديات العالمية</w:t>
      </w:r>
      <w:bookmarkEnd w:id="42"/>
    </w:p>
    <w:p w14:paraId="02F27E4B" w14:textId="77777777" w:rsidR="00BB3820" w:rsidRDefault="00BB3820"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1E6D34">
        <w:rPr>
          <w:rFonts w:ascii="Arabic Typesetting" w:hAnsi="Arabic Typesetting" w:cs="Arabic Typesetting"/>
          <w:b/>
          <w:bCs/>
          <w:sz w:val="36"/>
          <w:szCs w:val="36"/>
          <w:rtl/>
          <w:lang w:val="fr-CH"/>
        </w:rPr>
        <w:t>السيد مينيليك غيتاهون</w:t>
      </w:r>
    </w:p>
    <w:p w14:paraId="2BE3BFDD" w14:textId="75260406" w:rsidR="00BB3820" w:rsidRDefault="00902A0A" w:rsidP="0031289D">
      <w:pPr>
        <w:bidi/>
        <w:spacing w:after="120"/>
        <w:jc w:val="center"/>
        <w:rPr>
          <w:rFonts w:ascii="Arabic Typesetting" w:hAnsi="Arabic Typesetting" w:cs="Arabic Typesetting"/>
          <w:noProof/>
          <w:sz w:val="36"/>
          <w:szCs w:val="36"/>
          <w:rtl/>
        </w:rPr>
      </w:pPr>
      <w:r>
        <w:rPr>
          <w:rFonts w:ascii="Arabic Typesetting" w:hAnsi="Arabic Typesetting" w:cs="Arabic Typesetting"/>
          <w:noProof/>
          <w:sz w:val="36"/>
          <w:szCs w:val="36"/>
        </w:rPr>
        <w:drawing>
          <wp:inline distT="0" distB="0" distL="0" distR="0" wp14:anchorId="598EB00C" wp14:editId="57EEAECC">
            <wp:extent cx="3577718" cy="216000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5015" w:type="pct"/>
        <w:tblInd w:w="58" w:type="dxa"/>
        <w:tblLayout w:type="fixed"/>
        <w:tblCellMar>
          <w:left w:w="115" w:type="dxa"/>
          <w:right w:w="115" w:type="dxa"/>
        </w:tblCellMar>
        <w:tblLook w:val="0000" w:firstRow="0" w:lastRow="0" w:firstColumn="0" w:lastColumn="0" w:noHBand="0" w:noVBand="0"/>
      </w:tblPr>
      <w:tblGrid>
        <w:gridCol w:w="2035"/>
        <w:gridCol w:w="2926"/>
        <w:gridCol w:w="1415"/>
        <w:gridCol w:w="2126"/>
        <w:gridCol w:w="997"/>
      </w:tblGrid>
      <w:tr w:rsidR="00BB3820" w:rsidRPr="001E6D34" w14:paraId="681B26CA" w14:textId="77777777" w:rsidTr="00BB3820">
        <w:trPr>
          <w:cantSplit/>
          <w:trHeight w:val="562"/>
        </w:trPr>
        <w:tc>
          <w:tcPr>
            <w:tcW w:w="5000" w:type="pct"/>
            <w:gridSpan w:val="5"/>
            <w:shd w:val="clear" w:color="auto" w:fill="C6D9F1"/>
            <w:tcMar>
              <w:left w:w="58" w:type="dxa"/>
              <w:right w:w="58" w:type="dxa"/>
            </w:tcMar>
            <w:vAlign w:val="center"/>
          </w:tcPr>
          <w:p w14:paraId="5B44591A" w14:textId="6269CA05" w:rsidR="00BB3820" w:rsidRPr="001E6D34" w:rsidRDefault="00BB3820" w:rsidP="0031289D">
            <w:pPr>
              <w:keepNext/>
              <w:bidi/>
              <w:spacing w:before="120" w:after="120" w:line="280" w:lineRule="exact"/>
              <w:ind w:left="1167" w:hanging="1167"/>
              <w:rPr>
                <w:rFonts w:ascii="Arabic Typesetting" w:eastAsia="Arabic Typesetting" w:hAnsi="Arabic Typesetting" w:cs="Arabic Typesetting"/>
                <w:bCs/>
                <w:sz w:val="28"/>
                <w:szCs w:val="28"/>
                <w:lang w:eastAsia="ar-EG" w:bidi="ar-EG"/>
              </w:rPr>
            </w:pPr>
            <w:r w:rsidRPr="001E6D34">
              <w:rPr>
                <w:rFonts w:ascii="Arabic Typesetting" w:eastAsia="Arabic Typesetting" w:hAnsi="Arabic Typesetting" w:cs="Arabic Typesetting"/>
                <w:b/>
                <w:bCs/>
                <w:sz w:val="28"/>
                <w:szCs w:val="28"/>
                <w:rtl/>
                <w:lang w:eastAsia="ar-EG" w:bidi="ar-EG"/>
              </w:rPr>
              <w:t>‏النتيجة المرتقبة:</w:t>
            </w:r>
            <w:r w:rsidRPr="001E6D34">
              <w:rPr>
                <w:rFonts w:ascii="Arabic Typesetting" w:eastAsia="Arabic Typesetting" w:hAnsi="Arabic Typesetting" w:cs="Arabic Typesetting"/>
                <w:sz w:val="28"/>
                <w:szCs w:val="28"/>
                <w:lang w:eastAsia="ar-EG" w:bidi="ar-EG"/>
              </w:rPr>
              <w:tab/>
            </w:r>
            <w:r w:rsidRPr="001E6D34">
              <w:rPr>
                <w:rFonts w:ascii="Arabic Typesetting" w:eastAsia="Arabic Typesetting" w:hAnsi="Arabic Typesetting" w:cs="Arabic Typesetting"/>
                <w:sz w:val="28"/>
                <w:szCs w:val="28"/>
                <w:rtl/>
                <w:lang w:eastAsia="ar-EG" w:bidi="ar-EG"/>
              </w:rPr>
              <w:t>ه2.1</w:t>
            </w:r>
            <w:r w:rsidRPr="001E6D34">
              <w:rPr>
                <w:rFonts w:ascii="Arabic Typesetting" w:eastAsia="Arabic Typesetting" w:hAnsi="Arabic Typesetting" w:cs="Arabic Typesetting" w:hint="cs"/>
                <w:sz w:val="28"/>
                <w:szCs w:val="28"/>
                <w:lang w:eastAsia="ar-EG" w:bidi="ar-EG"/>
              </w:rPr>
              <w:t xml:space="preserve"> </w:t>
            </w:r>
            <w:r w:rsidR="009834BA">
              <w:rPr>
                <w:rFonts w:ascii="Arabic Typesetting" w:eastAsia="Arabic Typesetting" w:hAnsi="Arabic Typesetting" w:cs="Arabic Typesetting"/>
                <w:sz w:val="28"/>
                <w:szCs w:val="28"/>
                <w:rtl/>
                <w:lang w:eastAsia="ar-EG" w:bidi="ar-EG"/>
              </w:rPr>
              <w:t>أطر تشريعية وتنظيمية وسياسية مكيّفة ومتوازنة في مجال الملكية الفكرية</w:t>
            </w:r>
            <w:r w:rsidRPr="001E6D34">
              <w:rPr>
                <w:rFonts w:ascii="Arabic Typesetting" w:eastAsia="Arabic Typesetting" w:hAnsi="Arabic Typesetting" w:cs="Arabic Typesetting"/>
                <w:sz w:val="28"/>
                <w:szCs w:val="28"/>
                <w:rtl/>
                <w:lang w:eastAsia="ar-EG" w:bidi="ar-EG"/>
              </w:rPr>
              <w:t xml:space="preserve"> </w:t>
            </w:r>
          </w:p>
        </w:tc>
      </w:tr>
      <w:tr w:rsidR="00BB3820" w:rsidRPr="001E6D34" w14:paraId="4DE5B99A" w14:textId="77777777" w:rsidTr="00BB3820">
        <w:trPr>
          <w:cantSplit/>
          <w:trHeight w:val="80"/>
        </w:trPr>
        <w:tc>
          <w:tcPr>
            <w:tcW w:w="1071" w:type="pct"/>
            <w:shd w:val="clear" w:color="auto" w:fill="auto"/>
            <w:tcMar>
              <w:left w:w="58" w:type="dxa"/>
              <w:right w:w="58" w:type="dxa"/>
            </w:tcMar>
          </w:tcPr>
          <w:p w14:paraId="74AC063F" w14:textId="77777777" w:rsidR="00BB3820" w:rsidRPr="001E6D34" w:rsidRDefault="00BB3820" w:rsidP="0031289D">
            <w:pPr>
              <w:keepNext/>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مؤشرات الأداء</w:t>
            </w:r>
          </w:p>
        </w:tc>
        <w:tc>
          <w:tcPr>
            <w:tcW w:w="1540" w:type="pct"/>
            <w:shd w:val="clear" w:color="auto" w:fill="auto"/>
            <w:tcMar>
              <w:left w:w="58" w:type="dxa"/>
              <w:right w:w="58" w:type="dxa"/>
            </w:tcMar>
            <w:vAlign w:val="center"/>
          </w:tcPr>
          <w:p w14:paraId="06788A30" w14:textId="77777777" w:rsidR="00BB3820" w:rsidRPr="001E6D34"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أسس المقارنة</w:t>
            </w:r>
          </w:p>
        </w:tc>
        <w:tc>
          <w:tcPr>
            <w:tcW w:w="745" w:type="pct"/>
            <w:shd w:val="clear" w:color="auto" w:fill="auto"/>
            <w:tcMar>
              <w:top w:w="110" w:type="dxa"/>
              <w:left w:w="58" w:type="dxa"/>
              <w:right w:w="58" w:type="dxa"/>
            </w:tcMar>
            <w:vAlign w:val="center"/>
          </w:tcPr>
          <w:p w14:paraId="595A0B1C" w14:textId="77777777" w:rsidR="00BB3820" w:rsidRPr="001E6D34"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الأهداف</w:t>
            </w:r>
          </w:p>
        </w:tc>
        <w:tc>
          <w:tcPr>
            <w:tcW w:w="1119" w:type="pct"/>
            <w:shd w:val="clear" w:color="auto" w:fill="FFFFFF"/>
            <w:tcMar>
              <w:top w:w="110" w:type="dxa"/>
              <w:left w:w="58" w:type="dxa"/>
              <w:right w:w="58" w:type="dxa"/>
            </w:tcMar>
            <w:vAlign w:val="center"/>
          </w:tcPr>
          <w:p w14:paraId="6E69096F" w14:textId="77777777" w:rsidR="00BB3820" w:rsidRPr="001E6D34"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بيانات الأداء</w:t>
            </w:r>
          </w:p>
        </w:tc>
        <w:tc>
          <w:tcPr>
            <w:tcW w:w="525" w:type="pct"/>
            <w:shd w:val="clear" w:color="auto" w:fill="auto"/>
            <w:tcMar>
              <w:top w:w="110" w:type="dxa"/>
              <w:left w:w="58" w:type="dxa"/>
              <w:right w:w="58" w:type="dxa"/>
            </w:tcMar>
            <w:vAlign w:val="center"/>
          </w:tcPr>
          <w:p w14:paraId="4E9BE67A" w14:textId="77777777" w:rsidR="00BB3820" w:rsidRPr="001E6D34" w:rsidRDefault="00BB3820" w:rsidP="0031289D">
            <w:pPr>
              <w:bidi/>
              <w:spacing w:after="120" w:line="280" w:lineRule="exact"/>
              <w:jc w:val="center"/>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السير</w:t>
            </w:r>
          </w:p>
        </w:tc>
      </w:tr>
      <w:tr w:rsidR="00BB3820" w:rsidRPr="001E6D34" w14:paraId="2D692EEF" w14:textId="77777777" w:rsidTr="00BB3820">
        <w:trPr>
          <w:cantSplit/>
          <w:trHeight w:val="966"/>
        </w:trPr>
        <w:tc>
          <w:tcPr>
            <w:tcW w:w="1071" w:type="pct"/>
            <w:shd w:val="clear" w:color="auto" w:fill="auto"/>
            <w:tcMar>
              <w:left w:w="58" w:type="dxa"/>
              <w:right w:w="58" w:type="dxa"/>
            </w:tcMar>
          </w:tcPr>
          <w:p w14:paraId="010E1647"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 xml:space="preserve">عدد البلدان التي تلتمس مساهمات خصوصية من الويبو بشأن الملكية الفكرية فيما يتعلق بالقضايا المتعلقة بسياسة المنافسة </w:t>
            </w:r>
          </w:p>
        </w:tc>
        <w:tc>
          <w:tcPr>
            <w:tcW w:w="1540" w:type="pct"/>
            <w:shd w:val="clear" w:color="auto" w:fill="auto"/>
            <w:tcMar>
              <w:left w:w="58" w:type="dxa"/>
              <w:right w:w="58" w:type="dxa"/>
            </w:tcMar>
          </w:tcPr>
          <w:p w14:paraId="1479404B" w14:textId="77777777" w:rsidR="00BB3820"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16 بلداً (2014/15)</w:t>
            </w:r>
          </w:p>
          <w:p w14:paraId="0AA42DF4"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i/>
                <w:iCs/>
                <w:color w:val="000000"/>
                <w:sz w:val="28"/>
                <w:szCs w:val="28"/>
                <w:rtl/>
                <w:lang w:eastAsia="ar-EG" w:bidi="ar-EG"/>
              </w:rPr>
              <w:t>‏أساس المقارنة الأصلي:</w:t>
            </w:r>
            <w:r w:rsidRPr="001E6D34">
              <w:rPr>
                <w:rFonts w:ascii="Arabic Typesetting" w:eastAsia="Batang" w:hAnsi="Arabic Typesetting" w:cs="Arabic Typesetting"/>
                <w:i/>
                <w:color w:val="000000"/>
                <w:sz w:val="28"/>
                <w:szCs w:val="28"/>
                <w:lang w:eastAsia="ar-EG" w:bidi="ar-EG"/>
              </w:rPr>
              <w:br/>
            </w:r>
            <w:r w:rsidRPr="001E6D3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Pr>
                <w:rFonts w:ascii="Arabic Typesetting" w:eastAsia="Arabic Typesetting" w:hAnsi="Arabic Typesetting" w:cs="Arabic Typesetting"/>
                <w:color w:val="000000"/>
                <w:sz w:val="28"/>
                <w:szCs w:val="28"/>
                <w:rtl/>
                <w:lang w:eastAsia="ar-EG" w:bidi="ar-EG"/>
              </w:rPr>
              <w:t>12 بلداً (2014)</w:t>
            </w:r>
          </w:p>
        </w:tc>
        <w:tc>
          <w:tcPr>
            <w:tcW w:w="745" w:type="pct"/>
            <w:shd w:val="clear" w:color="auto" w:fill="auto"/>
            <w:tcMar>
              <w:top w:w="110" w:type="dxa"/>
              <w:left w:w="58" w:type="dxa"/>
              <w:right w:w="58" w:type="dxa"/>
            </w:tcMar>
          </w:tcPr>
          <w:p w14:paraId="5783AB2A"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 xml:space="preserve">‏12 بلدا في 2016/17 </w:t>
            </w:r>
          </w:p>
        </w:tc>
        <w:tc>
          <w:tcPr>
            <w:tcW w:w="1119" w:type="pct"/>
            <w:shd w:val="clear" w:color="auto" w:fill="auto"/>
            <w:tcMar>
              <w:top w:w="110" w:type="dxa"/>
              <w:left w:w="58" w:type="dxa"/>
              <w:right w:w="58" w:type="dxa"/>
            </w:tcMar>
          </w:tcPr>
          <w:p w14:paraId="714A5152" w14:textId="77777777" w:rsidR="00BB3820" w:rsidRPr="001E6D34" w:rsidRDefault="00BB3820" w:rsidP="0031289D">
            <w:pPr>
              <w:bidi/>
              <w:spacing w:after="120" w:line="280" w:lineRule="exact"/>
              <w:rPr>
                <w:rFonts w:ascii="Arabic Typesetting" w:eastAsia="Arabic Typesetting" w:hAnsi="Arabic Typesetting" w:cs="Arabic Typesetting"/>
                <w:sz w:val="28"/>
                <w:szCs w:val="28"/>
                <w:lang w:eastAsia="ar-EG" w:bidi="ar-EG"/>
              </w:rPr>
            </w:pPr>
            <w:r w:rsidRPr="001E6D34">
              <w:rPr>
                <w:rFonts w:ascii="Arabic Typesetting" w:eastAsia="Arabic Typesetting" w:hAnsi="Arabic Typesetting" w:cs="Arabic Typesetting"/>
                <w:sz w:val="28"/>
                <w:szCs w:val="28"/>
                <w:rtl/>
                <w:lang w:eastAsia="ar-EG" w:bidi="ar-EG"/>
              </w:rPr>
              <w:t>بلدان (بيرو والفلبين)</w:t>
            </w:r>
          </w:p>
          <w:p w14:paraId="4B1E9DE4"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sz w:val="28"/>
                <w:szCs w:val="28"/>
                <w:rtl/>
                <w:lang w:eastAsia="ar-EG" w:bidi="ar-EG"/>
              </w:rPr>
              <w:t>(التراكمي 18)</w:t>
            </w:r>
          </w:p>
        </w:tc>
        <w:tc>
          <w:tcPr>
            <w:tcW w:w="525" w:type="pct"/>
            <w:shd w:val="clear" w:color="auto" w:fill="auto"/>
            <w:tcMar>
              <w:top w:w="110" w:type="dxa"/>
              <w:left w:w="58" w:type="dxa"/>
              <w:right w:w="58" w:type="dxa"/>
            </w:tcMar>
          </w:tcPr>
          <w:p w14:paraId="709C0B44" w14:textId="77777777" w:rsidR="00BB3820" w:rsidRPr="001E6D34" w:rsidRDefault="00BB3820"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1E6D34">
              <w:rPr>
                <w:rFonts w:ascii="Arabic Typesetting" w:eastAsia="Arabic Typesetting" w:hAnsi="Arabic Typesetting" w:cs="Arabic Typesetting"/>
                <w:b/>
                <w:bCs/>
                <w:color w:val="FF0000"/>
                <w:sz w:val="28"/>
                <w:szCs w:val="28"/>
                <w:rtl/>
                <w:lang w:eastAsia="ar-EG" w:bidi="ar-EG"/>
              </w:rPr>
              <w:t>غير ثابت</w:t>
            </w:r>
          </w:p>
        </w:tc>
      </w:tr>
      <w:tr w:rsidR="00BB3820" w:rsidRPr="001E6D34" w14:paraId="4BB76BE5" w14:textId="77777777" w:rsidTr="00BB3820">
        <w:trPr>
          <w:cantSplit/>
          <w:trHeight w:val="1414"/>
        </w:trPr>
        <w:tc>
          <w:tcPr>
            <w:tcW w:w="1071" w:type="pct"/>
            <w:shd w:val="clear" w:color="auto" w:fill="auto"/>
            <w:tcMar>
              <w:left w:w="58" w:type="dxa"/>
              <w:right w:w="58" w:type="dxa"/>
            </w:tcMar>
          </w:tcPr>
          <w:p w14:paraId="373A4AC9"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عدد أصحاب المصالح (مكاتب الملكية الفكرية والسلطات المعنية بالمنافسة والمنظمات الحكومية الدولية والمنظمات غير الحكومية الوجيهة) الذين يخوض</w:t>
            </w:r>
            <w:r>
              <w:rPr>
                <w:rFonts w:ascii="Arabic Typesetting" w:eastAsia="Arabic Typesetting" w:hAnsi="Arabic Typesetting" w:cs="Arabic Typesetting"/>
                <w:color w:val="000000"/>
                <w:sz w:val="28"/>
                <w:szCs w:val="28"/>
                <w:rtl/>
                <w:lang w:eastAsia="ar-EG" w:bidi="ar-EG"/>
              </w:rPr>
              <w:t>ون حوارا مع الويبو، ومدى تنوعهم</w:t>
            </w:r>
          </w:p>
        </w:tc>
        <w:tc>
          <w:tcPr>
            <w:tcW w:w="1540" w:type="pct"/>
            <w:shd w:val="clear" w:color="auto" w:fill="auto"/>
            <w:tcMar>
              <w:left w:w="58" w:type="dxa"/>
              <w:right w:w="58" w:type="dxa"/>
            </w:tcMar>
          </w:tcPr>
          <w:p w14:paraId="5253D131" w14:textId="77777777" w:rsidR="00BB3820"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77 سلطة وطنية معنية بالملكية الفكرية والمنافسة و5 منظمات حكومية دولية/منظمات غير حكومية (تراكمي)</w:t>
            </w:r>
          </w:p>
          <w:p w14:paraId="748D2C46"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i/>
                <w:iCs/>
                <w:color w:val="000000"/>
                <w:sz w:val="28"/>
                <w:szCs w:val="28"/>
                <w:rtl/>
                <w:lang w:eastAsia="ar-EG" w:bidi="ar-EG"/>
              </w:rPr>
              <w:t>‏أساس المقارنة الأصلي:</w:t>
            </w:r>
            <w:r w:rsidRPr="001E6D34">
              <w:rPr>
                <w:rFonts w:ascii="Arabic Typesetting" w:eastAsia="Batang" w:hAnsi="Arabic Typesetting" w:cs="Arabic Typesetting"/>
                <w:i/>
                <w:color w:val="000000"/>
                <w:sz w:val="28"/>
                <w:szCs w:val="28"/>
                <w:lang w:eastAsia="ar-EG" w:bidi="ar-EG"/>
              </w:rPr>
              <w:br/>
            </w:r>
            <w:r w:rsidRPr="001E6D3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‏64 سلطة وطنية معنية بالملكية الفكرية/ المنافسة و5 منظمات حكومية د</w:t>
            </w:r>
            <w:r>
              <w:rPr>
                <w:rFonts w:ascii="Arabic Typesetting" w:eastAsia="Arabic Typesetting" w:hAnsi="Arabic Typesetting" w:cs="Arabic Typesetting"/>
                <w:color w:val="000000"/>
                <w:sz w:val="28"/>
                <w:szCs w:val="28"/>
                <w:rtl/>
                <w:lang w:eastAsia="ar-EG" w:bidi="ar-EG"/>
              </w:rPr>
              <w:t>ولية/منظمات غير حكومية (تراكمي)</w:t>
            </w:r>
          </w:p>
        </w:tc>
        <w:tc>
          <w:tcPr>
            <w:tcW w:w="745" w:type="pct"/>
            <w:shd w:val="clear" w:color="auto" w:fill="auto"/>
            <w:tcMar>
              <w:top w:w="110" w:type="dxa"/>
              <w:left w:w="58" w:type="dxa"/>
              <w:right w:w="58" w:type="dxa"/>
            </w:tcMar>
          </w:tcPr>
          <w:p w14:paraId="66E873B6"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‏26 سلطة وطنية إضافية معنية بالملكية الفكرية والمنافسة و5</w:t>
            </w:r>
            <w:r>
              <w:rPr>
                <w:rFonts w:ascii="Arabic Typesetting" w:eastAsia="Arabic Typesetting" w:hAnsi="Arabic Typesetting" w:cs="Arabic Typesetting" w:hint="cs"/>
                <w:color w:val="000000"/>
                <w:sz w:val="28"/>
                <w:szCs w:val="28"/>
                <w:rtl/>
                <w:lang w:eastAsia="ar-EG" w:bidi="ar-EG"/>
              </w:rPr>
              <w:t> </w:t>
            </w:r>
            <w:r w:rsidRPr="001E6D34">
              <w:rPr>
                <w:rFonts w:ascii="Arabic Typesetting" w:eastAsia="Arabic Typesetting" w:hAnsi="Arabic Typesetting" w:cs="Arabic Typesetting"/>
                <w:color w:val="000000"/>
                <w:sz w:val="28"/>
                <w:szCs w:val="28"/>
                <w:rtl/>
                <w:lang w:eastAsia="ar-EG" w:bidi="ar-EG"/>
              </w:rPr>
              <w:t>منظمات حكومية دولية/منظمات غير</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حكومية</w:t>
            </w:r>
          </w:p>
        </w:tc>
        <w:tc>
          <w:tcPr>
            <w:tcW w:w="1119" w:type="pct"/>
            <w:shd w:val="clear" w:color="auto" w:fill="FFFFFF"/>
            <w:tcMar>
              <w:top w:w="110" w:type="dxa"/>
              <w:left w:w="58" w:type="dxa"/>
              <w:right w:w="58" w:type="dxa"/>
            </w:tcMar>
          </w:tcPr>
          <w:p w14:paraId="7EABF7BD"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sz w:val="28"/>
                <w:szCs w:val="28"/>
                <w:rtl/>
                <w:lang w:eastAsia="ar-EG" w:bidi="ar-EG"/>
              </w:rPr>
              <w:t>23 سلطة إضافية (التراكمي 100)</w:t>
            </w:r>
            <w:r>
              <w:rPr>
                <w:rFonts w:ascii="Arabic Typesetting" w:eastAsia="Arabic Typesetting" w:hAnsi="Arabic Typesetting" w:cs="Arabic Typesetting" w:hint="cs"/>
                <w:sz w:val="28"/>
                <w:szCs w:val="28"/>
                <w:rtl/>
                <w:lang w:eastAsia="ar-EG" w:bidi="ar-EG"/>
              </w:rPr>
              <w:t xml:space="preserve"> </w:t>
            </w:r>
            <w:r w:rsidRPr="001E6D34">
              <w:rPr>
                <w:rFonts w:ascii="Arabic Typesetting" w:eastAsia="Arabic Typesetting" w:hAnsi="Arabic Typesetting" w:cs="Arabic Typesetting"/>
                <w:sz w:val="28"/>
                <w:szCs w:val="28"/>
                <w:rtl/>
                <w:lang w:eastAsia="ar-EG" w:bidi="ar-EG"/>
              </w:rPr>
              <w:t>و5 منظمات حكومية دولية/منظمات غير حكومية (الجمعية الدولية لوحدة وثقة المستهلكين، وشبكة المنافسة الدولية، ومنظمة التعاون والتنمية في الميدان الاقتصادي، والأو</w:t>
            </w:r>
            <w:r>
              <w:rPr>
                <w:rFonts w:ascii="Arabic Typesetting" w:eastAsia="Arabic Typesetting" w:hAnsi="Arabic Typesetting" w:cs="Arabic Typesetting"/>
                <w:sz w:val="28"/>
                <w:szCs w:val="28"/>
                <w:rtl/>
                <w:lang w:eastAsia="ar-EG" w:bidi="ar-EG"/>
              </w:rPr>
              <w:t>نكتاد، ومنظمة التجارة العالمية)</w:t>
            </w:r>
          </w:p>
        </w:tc>
        <w:tc>
          <w:tcPr>
            <w:tcW w:w="525" w:type="pct"/>
            <w:shd w:val="clear" w:color="auto" w:fill="auto"/>
            <w:tcMar>
              <w:top w:w="110" w:type="dxa"/>
              <w:left w:w="58" w:type="dxa"/>
              <w:right w:w="58" w:type="dxa"/>
            </w:tcMar>
          </w:tcPr>
          <w:p w14:paraId="264BF9B5" w14:textId="77777777" w:rsidR="00BB3820" w:rsidRPr="001E6D34" w:rsidRDefault="00BB3820"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1E6D34">
              <w:rPr>
                <w:rFonts w:ascii="Arabic Typesetting" w:eastAsia="Arabic Typesetting" w:hAnsi="Arabic Typesetting" w:cs="Arabic Typesetting"/>
                <w:b/>
                <w:bCs/>
                <w:color w:val="00B050"/>
                <w:sz w:val="28"/>
                <w:szCs w:val="28"/>
                <w:rtl/>
                <w:lang w:eastAsia="ar-EG" w:bidi="ar-EG"/>
              </w:rPr>
              <w:t>ثابت</w:t>
            </w:r>
          </w:p>
        </w:tc>
      </w:tr>
      <w:tr w:rsidR="00BB3820" w:rsidRPr="001E6D34" w14:paraId="2F01B628" w14:textId="77777777" w:rsidTr="00BB3820">
        <w:trPr>
          <w:cantSplit/>
          <w:trHeight w:val="720"/>
        </w:trPr>
        <w:tc>
          <w:tcPr>
            <w:tcW w:w="5000" w:type="pct"/>
            <w:gridSpan w:val="5"/>
            <w:shd w:val="clear" w:color="auto" w:fill="C6D9F1"/>
            <w:tcMar>
              <w:left w:w="58" w:type="dxa"/>
              <w:right w:w="58" w:type="dxa"/>
            </w:tcMar>
            <w:vAlign w:val="center"/>
          </w:tcPr>
          <w:p w14:paraId="56B3138C" w14:textId="77777777" w:rsidR="00BB3820" w:rsidRPr="001E6D34" w:rsidRDefault="00BB3820" w:rsidP="0031289D">
            <w:pPr>
              <w:keepNext/>
              <w:bidi/>
              <w:spacing w:before="120" w:after="120" w:line="280" w:lineRule="exact"/>
              <w:ind w:left="1167" w:hanging="1167"/>
              <w:rPr>
                <w:rFonts w:ascii="Arabic Typesetting" w:eastAsia="Arabic Typesetting" w:hAnsi="Arabic Typesetting" w:cs="Arabic Typesetting"/>
                <w:b/>
                <w:sz w:val="28"/>
                <w:szCs w:val="28"/>
                <w:lang w:eastAsia="ar-EG" w:bidi="ar-EG"/>
              </w:rPr>
            </w:pPr>
            <w:r w:rsidRPr="001E6D34">
              <w:rPr>
                <w:rFonts w:ascii="Arabic Typesetting" w:eastAsia="Arabic Typesetting" w:hAnsi="Arabic Typesetting" w:cs="Arabic Typesetting"/>
                <w:b/>
                <w:bCs/>
                <w:sz w:val="28"/>
                <w:szCs w:val="28"/>
                <w:rtl/>
                <w:lang w:eastAsia="ar-EG" w:bidi="ar-EG"/>
              </w:rPr>
              <w:t>‏النتيجة المرتقبة:</w:t>
            </w:r>
            <w:r w:rsidRPr="001E6D34">
              <w:rPr>
                <w:rFonts w:ascii="Arabic Typesetting" w:eastAsia="Arabic Typesetting" w:hAnsi="Arabic Typesetting" w:cs="Arabic Typesetting"/>
                <w:sz w:val="28"/>
                <w:szCs w:val="28"/>
                <w:lang w:eastAsia="ar-EG" w:bidi="ar-EG"/>
              </w:rPr>
              <w:tab/>
            </w:r>
            <w:r w:rsidRPr="001E6D34">
              <w:rPr>
                <w:rFonts w:ascii="Arabic Typesetting" w:eastAsia="Arabic Typesetting" w:hAnsi="Arabic Typesetting" w:cs="Arabic Typesetting"/>
                <w:sz w:val="28"/>
                <w:szCs w:val="28"/>
                <w:rtl/>
                <w:lang w:eastAsia="ar-EG" w:bidi="ar-EG"/>
              </w:rPr>
              <w:t>‏ه</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cs/>
                <w:lang w:eastAsia="ar-EG" w:bidi="ar-EG"/>
              </w:rPr>
              <w:t>2.3</w:t>
            </w:r>
            <w:r w:rsidRPr="001E6D34">
              <w:rPr>
                <w:rFonts w:ascii="Arabic Typesetting" w:eastAsia="Arabic Typesetting" w:hAnsi="Arabic Typesetting" w:cs="Arabic Typesetting"/>
                <w:sz w:val="28"/>
                <w:szCs w:val="28"/>
                <w:rtl/>
                <w:lang w:eastAsia="ar-EG" w:bidi="ar-EG"/>
              </w:rPr>
              <w:t>‏ كفاءات</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‏معزَّزة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‏للموارد</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‏البشرية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‏القادرة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‏على</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‏تلبية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‏تشكيلة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‏واسعة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‏من</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‏المتطلبات</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‏لتسخير</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‏الملكية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‏الفكرية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‏بفعالية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‏لأغراض</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‏التنمية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‏في</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‏البلدان</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‏النامية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‏والبلدان</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‏الأقل</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‏نموا</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‏والبلدان</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‏المنتقلة</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‏إلى</w:t>
            </w:r>
            <w:r w:rsidRPr="001E6D34">
              <w:rPr>
                <w:rFonts w:ascii="Arabic Typesetting" w:eastAsia="Arabic Typesetting" w:hAnsi="Arabic Typesetting" w:cs="Arabic Typesetting"/>
                <w:sz w:val="28"/>
                <w:szCs w:val="28"/>
                <w:cs/>
                <w:lang w:eastAsia="ar-EG" w:bidi="ar-EG"/>
              </w:rPr>
              <w:t>‎</w:t>
            </w:r>
            <w:r w:rsidRPr="001E6D34">
              <w:rPr>
                <w:rFonts w:ascii="Arabic Typesetting" w:eastAsia="Arabic Typesetting" w:hAnsi="Arabic Typesetting" w:cs="Arabic Typesetting"/>
                <w:sz w:val="28"/>
                <w:szCs w:val="28"/>
                <w:rtl/>
                <w:lang w:eastAsia="ar-EG" w:bidi="ar-EG"/>
              </w:rPr>
              <w:t xml:space="preserve"> ‏نظام الاقتصاد ‏الحر</w:t>
            </w:r>
          </w:p>
        </w:tc>
      </w:tr>
      <w:tr w:rsidR="00BB3820" w:rsidRPr="001E6D34" w14:paraId="42CB9180" w14:textId="77777777" w:rsidTr="00BB3820">
        <w:trPr>
          <w:cantSplit/>
          <w:trHeight w:val="74"/>
        </w:trPr>
        <w:tc>
          <w:tcPr>
            <w:tcW w:w="1071" w:type="pct"/>
            <w:shd w:val="clear" w:color="auto" w:fill="auto"/>
            <w:tcMar>
              <w:left w:w="58" w:type="dxa"/>
              <w:right w:w="58" w:type="dxa"/>
            </w:tcMar>
            <w:vAlign w:val="center"/>
          </w:tcPr>
          <w:p w14:paraId="6FB5DD44" w14:textId="77777777" w:rsidR="00BB3820" w:rsidRPr="001E6D34" w:rsidRDefault="00BB3820" w:rsidP="0031289D">
            <w:pPr>
              <w:keepNext/>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مؤشرات الأداء</w:t>
            </w:r>
          </w:p>
        </w:tc>
        <w:tc>
          <w:tcPr>
            <w:tcW w:w="1540" w:type="pct"/>
            <w:shd w:val="clear" w:color="auto" w:fill="auto"/>
            <w:tcMar>
              <w:left w:w="58" w:type="dxa"/>
              <w:right w:w="58" w:type="dxa"/>
            </w:tcMar>
            <w:vAlign w:val="center"/>
          </w:tcPr>
          <w:p w14:paraId="2EF67782" w14:textId="77777777" w:rsidR="00BB3820" w:rsidRPr="001E6D34"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أسس المقارنة</w:t>
            </w:r>
          </w:p>
        </w:tc>
        <w:tc>
          <w:tcPr>
            <w:tcW w:w="745" w:type="pct"/>
            <w:shd w:val="clear" w:color="auto" w:fill="auto"/>
            <w:tcMar>
              <w:top w:w="110" w:type="dxa"/>
              <w:left w:w="58" w:type="dxa"/>
              <w:right w:w="58" w:type="dxa"/>
            </w:tcMar>
            <w:vAlign w:val="center"/>
          </w:tcPr>
          <w:p w14:paraId="40538F2B" w14:textId="77777777" w:rsidR="00BB3820" w:rsidRPr="001E6D34"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الأهداف</w:t>
            </w:r>
          </w:p>
        </w:tc>
        <w:tc>
          <w:tcPr>
            <w:tcW w:w="1119" w:type="pct"/>
            <w:shd w:val="clear" w:color="auto" w:fill="FFFFFF"/>
            <w:tcMar>
              <w:top w:w="110" w:type="dxa"/>
              <w:left w:w="58" w:type="dxa"/>
              <w:right w:w="58" w:type="dxa"/>
            </w:tcMar>
            <w:vAlign w:val="center"/>
          </w:tcPr>
          <w:p w14:paraId="60A82F66" w14:textId="77777777" w:rsidR="00BB3820" w:rsidRPr="001E6D34" w:rsidRDefault="00BB3820" w:rsidP="0031289D">
            <w:pPr>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بيانات الأداء</w:t>
            </w:r>
          </w:p>
        </w:tc>
        <w:tc>
          <w:tcPr>
            <w:tcW w:w="525" w:type="pct"/>
            <w:shd w:val="clear" w:color="auto" w:fill="auto"/>
            <w:tcMar>
              <w:top w:w="110" w:type="dxa"/>
              <w:left w:w="58" w:type="dxa"/>
              <w:right w:w="58" w:type="dxa"/>
            </w:tcMar>
            <w:vAlign w:val="center"/>
          </w:tcPr>
          <w:p w14:paraId="2F2F4089" w14:textId="77777777" w:rsidR="00BB3820" w:rsidRPr="001E6D34" w:rsidRDefault="00BB3820" w:rsidP="0031289D">
            <w:pPr>
              <w:bidi/>
              <w:spacing w:after="120" w:line="280" w:lineRule="exact"/>
              <w:jc w:val="center"/>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السير</w:t>
            </w:r>
          </w:p>
        </w:tc>
      </w:tr>
      <w:tr w:rsidR="00BB3820" w:rsidRPr="001E6D34" w14:paraId="6B5958BC" w14:textId="77777777" w:rsidTr="00BB3820">
        <w:trPr>
          <w:cantSplit/>
          <w:trHeight w:val="1191"/>
        </w:trPr>
        <w:tc>
          <w:tcPr>
            <w:tcW w:w="1071" w:type="pct"/>
            <w:shd w:val="clear" w:color="auto" w:fill="auto"/>
            <w:tcMar>
              <w:left w:w="58" w:type="dxa"/>
              <w:right w:w="58" w:type="dxa"/>
            </w:tcMar>
          </w:tcPr>
          <w:p w14:paraId="1699AB27"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عدد ترتيبات ا</w:t>
            </w:r>
            <w:r>
              <w:rPr>
                <w:rFonts w:ascii="Arabic Typesetting" w:eastAsia="Arabic Typesetting" w:hAnsi="Arabic Typesetting" w:cs="Arabic Typesetting"/>
                <w:color w:val="000000"/>
                <w:sz w:val="28"/>
                <w:szCs w:val="28"/>
                <w:rtl/>
                <w:lang w:eastAsia="ar-EG" w:bidi="ar-EG"/>
              </w:rPr>
              <w:t>ستقبال علماء من البلدان النامية</w:t>
            </w:r>
          </w:p>
        </w:tc>
        <w:tc>
          <w:tcPr>
            <w:tcW w:w="1540" w:type="pct"/>
            <w:shd w:val="clear" w:color="auto" w:fill="auto"/>
            <w:tcMar>
              <w:left w:w="58" w:type="dxa"/>
              <w:right w:w="58" w:type="dxa"/>
            </w:tcMar>
          </w:tcPr>
          <w:p w14:paraId="2047ADDE" w14:textId="77777777" w:rsidR="00BB3820"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6 اتفاقات استقبال</w:t>
            </w:r>
            <w:r>
              <w:rPr>
                <w:rFonts w:ascii="Arabic Typesetting" w:eastAsia="Arabic Typesetting" w:hAnsi="Arabic Typesetting" w:cs="Arabic Typesetting" w:hint="cs"/>
                <w:color w:val="002060"/>
                <w:sz w:val="28"/>
                <w:szCs w:val="28"/>
                <w:rtl/>
                <w:lang w:eastAsia="ar-EG" w:bidi="ar-EG"/>
              </w:rPr>
              <w:t xml:space="preserve"> </w:t>
            </w:r>
            <w:r w:rsidRPr="001E6D34">
              <w:rPr>
                <w:rFonts w:ascii="Arabic Typesetting" w:eastAsia="Arabic Typesetting" w:hAnsi="Arabic Typesetting" w:cs="Arabic Typesetting"/>
                <w:color w:val="002060"/>
                <w:sz w:val="28"/>
                <w:szCs w:val="28"/>
                <w:rtl/>
                <w:lang w:eastAsia="ar-EG" w:bidi="ar-EG"/>
              </w:rPr>
              <w:t>(تراكمي)</w:t>
            </w:r>
          </w:p>
          <w:p w14:paraId="78E5E80D"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i/>
                <w:iCs/>
                <w:color w:val="000000"/>
                <w:sz w:val="28"/>
                <w:szCs w:val="28"/>
                <w:rtl/>
                <w:lang w:eastAsia="ar-EG" w:bidi="ar-EG"/>
              </w:rPr>
              <w:t>‏أساس المقارنة الأصلي:</w:t>
            </w:r>
            <w:r w:rsidRPr="001E6D34">
              <w:rPr>
                <w:rFonts w:ascii="Arabic Typesetting" w:eastAsia="Batang" w:hAnsi="Arabic Typesetting" w:cs="Arabic Typesetting"/>
                <w:i/>
                <w:color w:val="000000"/>
                <w:sz w:val="28"/>
                <w:szCs w:val="28"/>
                <w:lang w:eastAsia="ar-EG" w:bidi="ar-EG"/>
              </w:rPr>
              <w:br/>
            </w:r>
            <w:r w:rsidRPr="001E6D3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Pr>
                <w:rFonts w:ascii="Arabic Typesetting" w:eastAsia="Arabic Typesetting" w:hAnsi="Arabic Typesetting" w:cs="Arabic Typesetting"/>
                <w:color w:val="000000"/>
                <w:sz w:val="28"/>
                <w:szCs w:val="28"/>
                <w:rtl/>
                <w:lang w:eastAsia="ar-EG" w:bidi="ar-EG"/>
              </w:rPr>
              <w:t>5</w:t>
            </w:r>
          </w:p>
        </w:tc>
        <w:tc>
          <w:tcPr>
            <w:tcW w:w="745" w:type="pct"/>
            <w:shd w:val="clear" w:color="auto" w:fill="auto"/>
            <w:tcMar>
              <w:top w:w="110" w:type="dxa"/>
              <w:left w:w="58" w:type="dxa"/>
              <w:right w:w="58" w:type="dxa"/>
            </w:tcMar>
          </w:tcPr>
          <w:p w14:paraId="270422BA"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 xml:space="preserve">ترتيبا استقبال إضافيان آخران </w:t>
            </w:r>
          </w:p>
        </w:tc>
        <w:tc>
          <w:tcPr>
            <w:tcW w:w="1119" w:type="pct"/>
            <w:shd w:val="clear" w:color="auto" w:fill="FFFFFF"/>
            <w:tcMar>
              <w:top w:w="110" w:type="dxa"/>
              <w:left w:w="58" w:type="dxa"/>
              <w:right w:w="58" w:type="dxa"/>
            </w:tcMar>
          </w:tcPr>
          <w:p w14:paraId="64B4F18A"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عدم وجود ترتيبات استقبال إضافية</w:t>
            </w:r>
          </w:p>
        </w:tc>
        <w:tc>
          <w:tcPr>
            <w:tcW w:w="525" w:type="pct"/>
            <w:shd w:val="clear" w:color="auto" w:fill="auto"/>
            <w:tcMar>
              <w:top w:w="110" w:type="dxa"/>
              <w:left w:w="58" w:type="dxa"/>
              <w:right w:w="58" w:type="dxa"/>
            </w:tcMar>
          </w:tcPr>
          <w:p w14:paraId="0CA32F46" w14:textId="77777777" w:rsidR="00BB3820" w:rsidRPr="001E6D34" w:rsidRDefault="00BB3820"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1E6D34">
              <w:rPr>
                <w:rFonts w:ascii="Arabic Typesetting" w:eastAsia="Arabic Typesetting" w:hAnsi="Arabic Typesetting" w:cs="Arabic Typesetting"/>
                <w:b/>
                <w:bCs/>
                <w:color w:val="FF0000"/>
                <w:sz w:val="28"/>
                <w:szCs w:val="28"/>
                <w:rtl/>
                <w:lang w:eastAsia="ar-EG" w:bidi="ar-EG"/>
              </w:rPr>
              <w:t>غير ثابت</w:t>
            </w:r>
          </w:p>
        </w:tc>
      </w:tr>
      <w:tr w:rsidR="00BB3820" w:rsidRPr="001E6D34" w14:paraId="5B54A89F" w14:textId="77777777" w:rsidTr="00BB3820">
        <w:trPr>
          <w:cantSplit/>
          <w:trHeight w:val="507"/>
        </w:trPr>
        <w:tc>
          <w:tcPr>
            <w:tcW w:w="1071" w:type="pct"/>
            <w:shd w:val="clear" w:color="auto" w:fill="auto"/>
            <w:tcMar>
              <w:left w:w="58" w:type="dxa"/>
              <w:right w:w="58" w:type="dxa"/>
            </w:tcMar>
          </w:tcPr>
          <w:p w14:paraId="5DAE0900"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lastRenderedPageBreak/>
              <w:t xml:space="preserve">النسبة المئوية للمشاركين في دورة التعلم عن بعد بشأن الملكية الفكرية والصحة الذين أكدوا استخدام الملكة الفكرية في سبيل التنمية من خلال </w:t>
            </w:r>
            <w:r>
              <w:rPr>
                <w:rFonts w:ascii="Arabic Typesetting" w:eastAsia="Arabic Typesetting" w:hAnsi="Arabic Typesetting" w:cs="Arabic Typesetting"/>
                <w:color w:val="000000"/>
                <w:sz w:val="28"/>
                <w:szCs w:val="28"/>
                <w:rtl/>
                <w:lang w:eastAsia="ar-EG" w:bidi="ar-EG"/>
              </w:rPr>
              <w:t>نقل التكنولوجيا وتوليد المهارات</w:t>
            </w:r>
          </w:p>
        </w:tc>
        <w:tc>
          <w:tcPr>
            <w:tcW w:w="1540" w:type="pct"/>
            <w:shd w:val="clear" w:color="auto" w:fill="auto"/>
            <w:tcMar>
              <w:left w:w="58" w:type="dxa"/>
              <w:right w:w="58" w:type="dxa"/>
            </w:tcMar>
          </w:tcPr>
          <w:p w14:paraId="789C23A2"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غير متاح</w:t>
            </w:r>
          </w:p>
        </w:tc>
        <w:tc>
          <w:tcPr>
            <w:tcW w:w="745" w:type="pct"/>
            <w:shd w:val="clear" w:color="auto" w:fill="auto"/>
            <w:tcMar>
              <w:top w:w="110" w:type="dxa"/>
              <w:left w:w="58" w:type="dxa"/>
              <w:right w:w="58" w:type="dxa"/>
            </w:tcMar>
          </w:tcPr>
          <w:p w14:paraId="190FE781"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 xml:space="preserve">ما لا يقل عن 70% من المجيبين </w:t>
            </w:r>
          </w:p>
        </w:tc>
        <w:tc>
          <w:tcPr>
            <w:tcW w:w="1119" w:type="pct"/>
            <w:shd w:val="clear" w:color="auto" w:fill="FFFFFF"/>
            <w:tcMar>
              <w:top w:w="110" w:type="dxa"/>
              <w:left w:w="58" w:type="dxa"/>
              <w:right w:w="58" w:type="dxa"/>
            </w:tcMar>
          </w:tcPr>
          <w:p w14:paraId="1230F7D6"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67%</w:t>
            </w:r>
          </w:p>
        </w:tc>
        <w:tc>
          <w:tcPr>
            <w:tcW w:w="525" w:type="pct"/>
            <w:shd w:val="clear" w:color="auto" w:fill="auto"/>
            <w:tcMar>
              <w:top w:w="110" w:type="dxa"/>
              <w:left w:w="58" w:type="dxa"/>
              <w:right w:w="58" w:type="dxa"/>
            </w:tcMar>
          </w:tcPr>
          <w:p w14:paraId="7BA09A84" w14:textId="77777777" w:rsidR="00BB3820" w:rsidRPr="001E6D34" w:rsidRDefault="00BB3820"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1E6D34">
              <w:rPr>
                <w:rFonts w:ascii="Arabic Typesetting" w:eastAsia="Arabic Typesetting" w:hAnsi="Arabic Typesetting" w:cs="Arabic Typesetting"/>
                <w:b/>
                <w:bCs/>
                <w:color w:val="00B050"/>
                <w:sz w:val="28"/>
                <w:szCs w:val="28"/>
                <w:rtl/>
                <w:lang w:eastAsia="ar-EG" w:bidi="ar-EG"/>
              </w:rPr>
              <w:t>ثابت</w:t>
            </w:r>
          </w:p>
        </w:tc>
      </w:tr>
      <w:tr w:rsidR="00BB3820" w:rsidRPr="001E6D34" w14:paraId="784853BC" w14:textId="77777777" w:rsidTr="00BB3820">
        <w:trPr>
          <w:cantSplit/>
          <w:trHeight w:val="562"/>
        </w:trPr>
        <w:tc>
          <w:tcPr>
            <w:tcW w:w="5000" w:type="pct"/>
            <w:gridSpan w:val="5"/>
            <w:shd w:val="clear" w:color="auto" w:fill="C6D9F1"/>
            <w:tcMar>
              <w:left w:w="58" w:type="dxa"/>
              <w:right w:w="58" w:type="dxa"/>
            </w:tcMar>
            <w:vAlign w:val="center"/>
          </w:tcPr>
          <w:p w14:paraId="59D5C08A" w14:textId="77777777" w:rsidR="00BB3820" w:rsidRPr="001E6D34" w:rsidRDefault="00BB3820"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‏النتيجة المرتقبة:</w:t>
            </w:r>
            <w:r w:rsidRPr="001E6D34">
              <w:rPr>
                <w:rFonts w:ascii="Arabic Typesetting" w:eastAsia="Arabic Typesetting" w:hAnsi="Arabic Typesetting" w:cs="Arabic Typesetting"/>
                <w:sz w:val="28"/>
                <w:szCs w:val="28"/>
                <w:lang w:eastAsia="ar-EG" w:bidi="ar-EG"/>
              </w:rPr>
              <w:tab/>
            </w:r>
            <w:r w:rsidRPr="001E6D34">
              <w:rPr>
                <w:rFonts w:ascii="Arabic Typesetting" w:eastAsia="Arabic Typesetting" w:hAnsi="Arabic Typesetting" w:cs="Arabic Typesetting"/>
                <w:color w:val="000000"/>
                <w:sz w:val="28"/>
                <w:szCs w:val="28"/>
                <w:rtl/>
                <w:lang w:eastAsia="ar-EG" w:bidi="ar-EG"/>
              </w:rPr>
              <w:t xml:space="preserve">ه2.7 منصات وأدوات الملكية الفكرية لنقل المعارف وتطويع التكنولوجيا ونشرها من البلدان المتقدمة إلى البلدان النامية، ولا سيما البلدان الأقل نموا، </w:t>
            </w:r>
            <w:r w:rsidRPr="001E6D34">
              <w:rPr>
                <w:rFonts w:ascii="Arabic Typesetting" w:eastAsia="Arabic Typesetting" w:hAnsi="Arabic Typesetting" w:cs="Arabic Typesetting"/>
                <w:sz w:val="28"/>
                <w:szCs w:val="28"/>
                <w:rtl/>
                <w:lang w:eastAsia="ar-EG" w:bidi="ar-EG"/>
              </w:rPr>
              <w:t>لمواجهة</w:t>
            </w:r>
            <w:r w:rsidRPr="001E6D34">
              <w:rPr>
                <w:rFonts w:ascii="Arabic Typesetting" w:eastAsia="Arabic Typesetting" w:hAnsi="Arabic Typesetting" w:cs="Arabic Typesetting"/>
                <w:color w:val="000000"/>
                <w:sz w:val="28"/>
                <w:szCs w:val="28"/>
                <w:rtl/>
                <w:lang w:eastAsia="ar-EG" w:bidi="ar-EG"/>
              </w:rPr>
              <w:t xml:space="preserve"> التحديات العالمية</w:t>
            </w:r>
          </w:p>
        </w:tc>
      </w:tr>
      <w:tr w:rsidR="00BB3820" w:rsidRPr="001E6D34" w14:paraId="78140F2D" w14:textId="77777777" w:rsidTr="00BB3820">
        <w:trPr>
          <w:cantSplit/>
          <w:trHeight w:val="80"/>
        </w:trPr>
        <w:tc>
          <w:tcPr>
            <w:tcW w:w="1071" w:type="pct"/>
            <w:shd w:val="clear" w:color="auto" w:fill="auto"/>
            <w:tcMar>
              <w:left w:w="58" w:type="dxa"/>
              <w:right w:w="58" w:type="dxa"/>
            </w:tcMar>
            <w:vAlign w:val="center"/>
          </w:tcPr>
          <w:p w14:paraId="09C138D4" w14:textId="77777777" w:rsidR="00BB3820" w:rsidRPr="001E6D34" w:rsidRDefault="00BB3820" w:rsidP="0031289D">
            <w:pPr>
              <w:keepNext/>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مؤشرات الأداء</w:t>
            </w:r>
          </w:p>
        </w:tc>
        <w:tc>
          <w:tcPr>
            <w:tcW w:w="1540" w:type="pct"/>
            <w:shd w:val="clear" w:color="auto" w:fill="auto"/>
            <w:tcMar>
              <w:left w:w="58" w:type="dxa"/>
              <w:right w:w="58" w:type="dxa"/>
            </w:tcMar>
            <w:vAlign w:val="center"/>
          </w:tcPr>
          <w:p w14:paraId="54ADD549" w14:textId="77777777" w:rsidR="00BB3820" w:rsidRPr="001E6D34" w:rsidRDefault="00BB3820"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أسس المقارنة</w:t>
            </w:r>
          </w:p>
        </w:tc>
        <w:tc>
          <w:tcPr>
            <w:tcW w:w="745" w:type="pct"/>
            <w:shd w:val="clear" w:color="auto" w:fill="auto"/>
            <w:tcMar>
              <w:top w:w="110" w:type="dxa"/>
              <w:left w:w="58" w:type="dxa"/>
              <w:right w:w="58" w:type="dxa"/>
            </w:tcMar>
            <w:vAlign w:val="center"/>
          </w:tcPr>
          <w:p w14:paraId="2BDC3B2C" w14:textId="77777777" w:rsidR="00BB3820" w:rsidRPr="001E6D34" w:rsidRDefault="00BB3820"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الأهداف</w:t>
            </w:r>
          </w:p>
        </w:tc>
        <w:tc>
          <w:tcPr>
            <w:tcW w:w="1119" w:type="pct"/>
            <w:shd w:val="clear" w:color="auto" w:fill="FFFFFF"/>
            <w:tcMar>
              <w:top w:w="110" w:type="dxa"/>
              <w:left w:w="58" w:type="dxa"/>
              <w:right w:w="58" w:type="dxa"/>
            </w:tcMar>
            <w:vAlign w:val="center"/>
          </w:tcPr>
          <w:p w14:paraId="3AD6BECE" w14:textId="77777777" w:rsidR="00BB3820" w:rsidRPr="001E6D34" w:rsidRDefault="00BB3820"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بيانات الأداء</w:t>
            </w:r>
          </w:p>
        </w:tc>
        <w:tc>
          <w:tcPr>
            <w:tcW w:w="525" w:type="pct"/>
            <w:shd w:val="clear" w:color="auto" w:fill="auto"/>
            <w:tcMar>
              <w:top w:w="110" w:type="dxa"/>
              <w:left w:w="58" w:type="dxa"/>
              <w:right w:w="58" w:type="dxa"/>
            </w:tcMar>
            <w:vAlign w:val="center"/>
          </w:tcPr>
          <w:p w14:paraId="5B62CB09" w14:textId="77777777" w:rsidR="00BB3820" w:rsidRPr="001E6D34" w:rsidRDefault="00BB3820"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1E6D34">
              <w:rPr>
                <w:rFonts w:ascii="Arabic Typesetting" w:eastAsia="Arabic Typesetting" w:hAnsi="Arabic Typesetting" w:cs="Arabic Typesetting"/>
                <w:b/>
                <w:bCs/>
                <w:sz w:val="28"/>
                <w:szCs w:val="28"/>
                <w:rtl/>
                <w:lang w:eastAsia="ar-EG" w:bidi="ar-EG"/>
              </w:rPr>
              <w:t>السير</w:t>
            </w:r>
          </w:p>
        </w:tc>
      </w:tr>
      <w:tr w:rsidR="00BB3820" w:rsidRPr="001E6D34" w14:paraId="398F71E7" w14:textId="77777777" w:rsidTr="00BB3820">
        <w:trPr>
          <w:cantSplit/>
          <w:trHeight w:val="1686"/>
        </w:trPr>
        <w:tc>
          <w:tcPr>
            <w:tcW w:w="1071" w:type="pct"/>
            <w:shd w:val="clear" w:color="auto" w:fill="auto"/>
            <w:tcMar>
              <w:left w:w="58" w:type="dxa"/>
              <w:right w:w="58" w:type="dxa"/>
            </w:tcMar>
          </w:tcPr>
          <w:p w14:paraId="34973BAB" w14:textId="77777777" w:rsidR="00BB3820" w:rsidRPr="001E6D34" w:rsidRDefault="00BB3820"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 xml:space="preserve">ارتفاع عدد الأعضاء المشتركين في برنامج </w:t>
            </w:r>
            <w:r w:rsidRPr="001E6D34">
              <w:rPr>
                <w:rFonts w:ascii="Arabic Typesetting" w:eastAsia="Arabic Typesetting" w:hAnsi="Arabic Typesetting" w:cs="Arabic Typesetting"/>
                <w:color w:val="000000"/>
                <w:sz w:val="28"/>
                <w:szCs w:val="28"/>
                <w:lang w:eastAsia="ar-EG" w:bidi="ar-EG"/>
              </w:rPr>
              <w:t>WIPO</w:t>
            </w:r>
            <w:r>
              <w:rPr>
                <w:rFonts w:ascii="Arabic Typesetting" w:eastAsia="Arabic Typesetting" w:hAnsi="Arabic Typesetting" w:cs="Arabic Typesetting"/>
                <w:color w:val="000000"/>
                <w:sz w:val="28"/>
                <w:szCs w:val="28"/>
                <w:lang w:eastAsia="ar-EG" w:bidi="ar-EG"/>
              </w:rPr>
              <w:t> </w:t>
            </w:r>
            <w:r w:rsidRPr="001E6D34">
              <w:rPr>
                <w:rFonts w:ascii="Arabic Typesetting" w:eastAsia="Arabic Typesetting" w:hAnsi="Arabic Typesetting" w:cs="Arabic Typesetting"/>
                <w:color w:val="000000"/>
                <w:sz w:val="28"/>
                <w:szCs w:val="28"/>
                <w:lang w:eastAsia="ar-EG" w:bidi="ar-EG"/>
              </w:rPr>
              <w:t>Re:Search</w:t>
            </w:r>
            <w:r w:rsidRPr="001E6D34">
              <w:rPr>
                <w:rFonts w:ascii="Arabic Typesetting" w:eastAsia="Arabic Typesetting" w:hAnsi="Arabic Typesetting" w:cs="Arabic Typesetting"/>
                <w:color w:val="000000"/>
                <w:sz w:val="28"/>
                <w:szCs w:val="28"/>
                <w:rtl/>
                <w:lang w:eastAsia="ar-EG" w:bidi="ar-EG"/>
              </w:rPr>
              <w:t>، بما</w:t>
            </w:r>
            <w:r>
              <w:rPr>
                <w:rFonts w:ascii="Arabic Typesetting" w:eastAsia="Arabic Typesetting" w:hAnsi="Arabic Typesetting" w:cs="Arabic Typesetting" w:hint="cs"/>
                <w:color w:val="000000"/>
                <w:sz w:val="28"/>
                <w:szCs w:val="28"/>
                <w:rtl/>
                <w:lang w:eastAsia="ar-EG" w:bidi="ar-EG"/>
              </w:rPr>
              <w:t> </w:t>
            </w:r>
            <w:r w:rsidRPr="001E6D34">
              <w:rPr>
                <w:rFonts w:ascii="Arabic Typesetting" w:eastAsia="Arabic Typesetting" w:hAnsi="Arabic Typesetting" w:cs="Arabic Typesetting"/>
                <w:color w:val="000000"/>
                <w:sz w:val="28"/>
                <w:szCs w:val="28"/>
                <w:rtl/>
                <w:lang w:eastAsia="ar-EG" w:bidi="ar-EG"/>
              </w:rPr>
              <w:t>في</w:t>
            </w:r>
            <w:r>
              <w:rPr>
                <w:rFonts w:ascii="Arabic Typesetting" w:eastAsia="Arabic Typesetting" w:hAnsi="Arabic Typesetting" w:cs="Arabic Typesetting" w:hint="cs"/>
                <w:color w:val="000000"/>
                <w:sz w:val="28"/>
                <w:szCs w:val="28"/>
                <w:rtl/>
                <w:lang w:eastAsia="ar-EG" w:bidi="ar-EG"/>
              </w:rPr>
              <w:t> </w:t>
            </w:r>
            <w:r w:rsidRPr="001E6D34">
              <w:rPr>
                <w:rFonts w:ascii="Arabic Typesetting" w:eastAsia="Arabic Typesetting" w:hAnsi="Arabic Typesetting" w:cs="Arabic Typesetting"/>
                <w:color w:val="000000"/>
                <w:sz w:val="28"/>
                <w:szCs w:val="28"/>
                <w:rtl/>
                <w:lang w:eastAsia="ar-EG" w:bidi="ar-EG"/>
              </w:rPr>
              <w:t>ذلك أعضاء من البلدان النامية والبلدان الأقل نموا</w:t>
            </w:r>
          </w:p>
        </w:tc>
        <w:tc>
          <w:tcPr>
            <w:tcW w:w="1540" w:type="pct"/>
            <w:shd w:val="clear" w:color="auto" w:fill="auto"/>
            <w:tcMar>
              <w:left w:w="58" w:type="dxa"/>
              <w:right w:w="58" w:type="dxa"/>
            </w:tcMar>
          </w:tcPr>
          <w:p w14:paraId="28D8CE96" w14:textId="77777777" w:rsidR="00BB3820" w:rsidRDefault="00BB3820" w:rsidP="0031289D">
            <w:pPr>
              <w:keepNext/>
              <w:keepLines/>
              <w:bidi/>
              <w:spacing w:after="120" w:line="280" w:lineRule="exact"/>
              <w:rPr>
                <w:rFonts w:ascii="Arabic Typesetting" w:eastAsia="Arabic Typesetting" w:hAnsi="Arabic Typesetting" w:cs="Arabic Typesetting"/>
                <w:i/>
                <w:color w:val="002060"/>
                <w:sz w:val="28"/>
                <w:szCs w:val="28"/>
                <w:lang w:eastAsia="ar-EG" w:bidi="ar-EG"/>
              </w:rPr>
            </w:pPr>
            <w:r w:rsidRPr="001E6D3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100 عضو إجمالا (36 منهم من البلدان النامية/الأقل نموا</w:t>
            </w:r>
            <w:r w:rsidRPr="001E6D34">
              <w:rPr>
                <w:rFonts w:ascii="Arabic Typesetting" w:eastAsia="Arabic Typesetting" w:hAnsi="Arabic Typesetting" w:cs="Arabic Typesetting"/>
                <w:color w:val="002060"/>
                <w:sz w:val="28"/>
                <w:szCs w:val="28"/>
                <w:vertAlign w:val="superscript"/>
                <w:lang w:eastAsia="ar-EG" w:bidi="ar-EG"/>
              </w:rPr>
              <w:footnoteReference w:id="74"/>
            </w:r>
            <w:r w:rsidRPr="001E6D34">
              <w:rPr>
                <w:rFonts w:ascii="Arabic Typesetting" w:eastAsia="Arabic Typesetting" w:hAnsi="Arabic Typesetting" w:cs="Arabic Typesetting"/>
                <w:color w:val="002060"/>
                <w:sz w:val="28"/>
                <w:szCs w:val="28"/>
                <w:rtl/>
                <w:lang w:eastAsia="ar-EG" w:bidi="ar-EG"/>
              </w:rPr>
              <w:t>)</w:t>
            </w:r>
          </w:p>
          <w:p w14:paraId="207A2490" w14:textId="77777777" w:rsidR="00BB3820" w:rsidRPr="001E6D34" w:rsidRDefault="00BB3820"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i/>
                <w:iCs/>
                <w:color w:val="000000"/>
                <w:sz w:val="28"/>
                <w:szCs w:val="28"/>
                <w:rtl/>
                <w:lang w:eastAsia="ar-EG" w:bidi="ar-EG"/>
              </w:rPr>
              <w:t>‏أساس المقارنة الأصلي:</w:t>
            </w:r>
            <w:r w:rsidRPr="001E6D34">
              <w:rPr>
                <w:rFonts w:ascii="Arabic Typesetting" w:eastAsia="Batang" w:hAnsi="Arabic Typesetting" w:cs="Arabic Typesetting"/>
                <w:i/>
                <w:color w:val="000000"/>
                <w:sz w:val="28"/>
                <w:szCs w:val="28"/>
                <w:lang w:eastAsia="ar-EG" w:bidi="ar-EG"/>
              </w:rPr>
              <w:br/>
            </w:r>
            <w:r w:rsidRPr="001E6D3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 xml:space="preserve">96 </w:t>
            </w:r>
            <w:r>
              <w:rPr>
                <w:rFonts w:ascii="Arabic Typesetting" w:eastAsia="Arabic Typesetting" w:hAnsi="Arabic Typesetting" w:cs="Arabic Typesetting"/>
                <w:color w:val="000000"/>
                <w:sz w:val="28"/>
                <w:szCs w:val="28"/>
                <w:rtl/>
                <w:lang w:eastAsia="ar-EG" w:bidi="ar-EG"/>
              </w:rPr>
              <w:t>عضوا منهم 27 من البلدان النامية</w:t>
            </w:r>
            <w:r>
              <w:rPr>
                <w:rFonts w:ascii="Arabic Typesetting" w:eastAsia="Arabic Typesetting" w:hAnsi="Arabic Typesetting" w:cs="Arabic Typesetting"/>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(في نهاية ديسمبر 2014)</w:t>
            </w:r>
          </w:p>
        </w:tc>
        <w:tc>
          <w:tcPr>
            <w:tcW w:w="745" w:type="pct"/>
            <w:shd w:val="clear" w:color="auto" w:fill="auto"/>
            <w:tcMar>
              <w:top w:w="110" w:type="dxa"/>
              <w:left w:w="58" w:type="dxa"/>
              <w:right w:w="58" w:type="dxa"/>
            </w:tcMar>
          </w:tcPr>
          <w:p w14:paraId="08D97A83" w14:textId="77777777" w:rsidR="00BB3820" w:rsidRPr="001E6D34" w:rsidRDefault="00BB3820"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8 أعضاء جدد</w:t>
            </w:r>
            <w:r>
              <w:rPr>
                <w:rFonts w:ascii="Arabic Typesetting" w:eastAsia="Arabic Typesetting" w:hAnsi="Arabic Typesetting" w:cs="Arabic Typesetting" w:hint="cs"/>
                <w:color w:val="000000"/>
                <w:sz w:val="28"/>
                <w:szCs w:val="28"/>
                <w:rtl/>
                <w:lang w:eastAsia="ar-EG" w:bidi="ar-EG"/>
              </w:rPr>
              <w:t xml:space="preserve"> منهم </w:t>
            </w:r>
            <w:r w:rsidRPr="001E6D34">
              <w:rPr>
                <w:rFonts w:ascii="Arabic Typesetting" w:eastAsia="Arabic Typesetting" w:hAnsi="Arabic Typesetting" w:cs="Arabic Typesetting"/>
                <w:color w:val="000000"/>
                <w:sz w:val="28"/>
                <w:szCs w:val="28"/>
                <w:rtl/>
                <w:lang w:eastAsia="ar-EG" w:bidi="ar-EG"/>
              </w:rPr>
              <w:t>7 من البلدان النامية</w:t>
            </w:r>
          </w:p>
        </w:tc>
        <w:tc>
          <w:tcPr>
            <w:tcW w:w="1119" w:type="pct"/>
            <w:shd w:val="clear" w:color="auto" w:fill="FFFFFF"/>
            <w:tcMar>
              <w:top w:w="110" w:type="dxa"/>
              <w:left w:w="58" w:type="dxa"/>
              <w:right w:w="58" w:type="dxa"/>
            </w:tcMar>
          </w:tcPr>
          <w:p w14:paraId="1A3DB109" w14:textId="77777777" w:rsidR="00BB3820" w:rsidRPr="001E6D34" w:rsidRDefault="00BB3820"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8 أعضاء جدد منهم 5 من البلدان</w:t>
            </w:r>
            <w:r>
              <w:rPr>
                <w:rFonts w:ascii="Arabic Typesetting" w:eastAsia="Arabic Typesetting" w:hAnsi="Arabic Typesetting" w:cs="Arabic Typesetting" w:hint="cs"/>
                <w:color w:val="000000"/>
                <w:sz w:val="28"/>
                <w:szCs w:val="28"/>
                <w:rtl/>
                <w:lang w:eastAsia="ar-EG" w:bidi="ar-EG"/>
              </w:rPr>
              <w:t> </w:t>
            </w:r>
            <w:r w:rsidRPr="001E6D34">
              <w:rPr>
                <w:rFonts w:ascii="Arabic Typesetting" w:eastAsia="Arabic Typesetting" w:hAnsi="Arabic Typesetting" w:cs="Arabic Typesetting"/>
                <w:color w:val="000000"/>
                <w:sz w:val="28"/>
                <w:szCs w:val="28"/>
                <w:rtl/>
                <w:lang w:eastAsia="ar-EG" w:bidi="ar-EG"/>
              </w:rPr>
              <w:t>النامية</w:t>
            </w:r>
          </w:p>
          <w:p w14:paraId="4BBD57A6" w14:textId="77777777" w:rsidR="00BB3820" w:rsidRPr="001E6D34" w:rsidRDefault="00BB3820"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(التراكمي 108 أعضاء جدد منهم 41 من البلدان النامية والبلدان الأقل نموا)</w:t>
            </w:r>
          </w:p>
        </w:tc>
        <w:tc>
          <w:tcPr>
            <w:tcW w:w="525" w:type="pct"/>
            <w:shd w:val="clear" w:color="auto" w:fill="auto"/>
            <w:tcMar>
              <w:top w:w="110" w:type="dxa"/>
              <w:left w:w="58" w:type="dxa"/>
              <w:right w:w="58" w:type="dxa"/>
            </w:tcMar>
          </w:tcPr>
          <w:p w14:paraId="39D849AE" w14:textId="77777777" w:rsidR="00BB3820" w:rsidRPr="001E6D34" w:rsidRDefault="00BB3820"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1E6D34">
              <w:rPr>
                <w:rFonts w:ascii="Arabic Typesetting" w:eastAsia="Arabic Typesetting" w:hAnsi="Arabic Typesetting" w:cs="Arabic Typesetting"/>
                <w:b/>
                <w:bCs/>
                <w:color w:val="00B050"/>
                <w:sz w:val="28"/>
                <w:szCs w:val="28"/>
                <w:rtl/>
                <w:lang w:eastAsia="ar-EG" w:bidi="ar-EG"/>
              </w:rPr>
              <w:t>ثابت</w:t>
            </w:r>
          </w:p>
        </w:tc>
      </w:tr>
      <w:tr w:rsidR="00BB3820" w:rsidRPr="001E6D34" w14:paraId="3F8959BE" w14:textId="77777777" w:rsidTr="00BB3820">
        <w:trPr>
          <w:cantSplit/>
          <w:trHeight w:val="574"/>
        </w:trPr>
        <w:tc>
          <w:tcPr>
            <w:tcW w:w="1071" w:type="pct"/>
            <w:shd w:val="clear" w:color="auto" w:fill="auto"/>
            <w:tcMar>
              <w:left w:w="58" w:type="dxa"/>
              <w:right w:w="58" w:type="dxa"/>
            </w:tcMar>
          </w:tcPr>
          <w:p w14:paraId="4F116EA7" w14:textId="0C5C147F" w:rsidR="00BB3820" w:rsidRPr="001E6D34" w:rsidRDefault="006E24D8" w:rsidP="006E24D8">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عدد ال</w:t>
            </w:r>
            <w:r w:rsidR="00BB3820" w:rsidRPr="001E6D34">
              <w:rPr>
                <w:rFonts w:ascii="Arabic Typesetting" w:eastAsia="Arabic Typesetting" w:hAnsi="Arabic Typesetting" w:cs="Arabic Typesetting"/>
                <w:color w:val="000000"/>
                <w:sz w:val="28"/>
                <w:szCs w:val="28"/>
                <w:rtl/>
                <w:lang w:eastAsia="ar-EG" w:bidi="ar-EG"/>
              </w:rPr>
              <w:t xml:space="preserve">سجلات في </w:t>
            </w:r>
            <w:r>
              <w:rPr>
                <w:rFonts w:ascii="Arabic Typesetting" w:eastAsia="Arabic Typesetting" w:hAnsi="Arabic Typesetting" w:cs="Arabic Typesetting" w:hint="cs"/>
                <w:color w:val="000000"/>
                <w:sz w:val="28"/>
                <w:szCs w:val="28"/>
                <w:rtl/>
                <w:lang w:eastAsia="ar-EG" w:bidi="ar-EG"/>
              </w:rPr>
              <w:t>قاعدة بيانات</w:t>
            </w:r>
            <w:r w:rsidR="00BB3820" w:rsidRPr="001E6D34">
              <w:rPr>
                <w:rFonts w:ascii="Arabic Typesetting" w:eastAsia="Arabic Typesetting" w:hAnsi="Arabic Typesetting" w:cs="Arabic Typesetting"/>
                <w:color w:val="000000"/>
                <w:sz w:val="28"/>
                <w:szCs w:val="28"/>
                <w:rtl/>
                <w:lang w:eastAsia="ar-EG" w:bidi="ar-EG"/>
              </w:rPr>
              <w:t xml:space="preserve"> </w:t>
            </w:r>
            <w:r w:rsidR="00BB3820" w:rsidRPr="001E6D34">
              <w:rPr>
                <w:rFonts w:ascii="Arabic Typesetting" w:eastAsia="Arabic Typesetting" w:hAnsi="Arabic Typesetting" w:cs="Arabic Typesetting"/>
                <w:color w:val="000000"/>
                <w:sz w:val="28"/>
                <w:szCs w:val="28"/>
                <w:lang w:eastAsia="ar-EG" w:bidi="ar-EG"/>
              </w:rPr>
              <w:t>WIPO Re:Search</w:t>
            </w:r>
          </w:p>
        </w:tc>
        <w:tc>
          <w:tcPr>
            <w:tcW w:w="1540" w:type="pct"/>
            <w:shd w:val="clear" w:color="auto" w:fill="auto"/>
            <w:tcMar>
              <w:left w:w="58" w:type="dxa"/>
              <w:right w:w="58" w:type="dxa"/>
            </w:tcMar>
          </w:tcPr>
          <w:p w14:paraId="6ACEDE4C" w14:textId="77777777" w:rsidR="00BB3820"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193 تسجيلاً في قاعدة البيانات</w:t>
            </w:r>
          </w:p>
          <w:p w14:paraId="1D32FD73"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i/>
                <w:iCs/>
                <w:color w:val="000000"/>
                <w:sz w:val="28"/>
                <w:szCs w:val="28"/>
                <w:rtl/>
                <w:lang w:eastAsia="ar-EG" w:bidi="ar-EG"/>
              </w:rPr>
              <w:t>‏أساس المقارنة الأصلي:</w:t>
            </w:r>
            <w:r w:rsidRPr="001E6D34">
              <w:rPr>
                <w:rFonts w:ascii="Arabic Typesetting" w:eastAsia="Batang" w:hAnsi="Arabic Typesetting" w:cs="Arabic Typesetting"/>
                <w:i/>
                <w:color w:val="000000"/>
                <w:sz w:val="28"/>
                <w:szCs w:val="28"/>
                <w:lang w:eastAsia="ar-EG" w:bidi="ar-EG"/>
              </w:rPr>
              <w:br/>
            </w:r>
            <w:r w:rsidRPr="001E6D3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Pr>
                <w:rFonts w:ascii="Arabic Typesetting" w:eastAsia="Arabic Typesetting" w:hAnsi="Arabic Typesetting" w:cs="Arabic Typesetting"/>
                <w:color w:val="000000"/>
                <w:sz w:val="28"/>
                <w:szCs w:val="28"/>
                <w:rtl/>
                <w:lang w:eastAsia="ar-EG" w:bidi="ar-EG"/>
              </w:rPr>
              <w:t>186 تسجيلاً في قاعدة البيانات</w:t>
            </w:r>
            <w:r>
              <w:rPr>
                <w:rFonts w:ascii="Arabic Typesetting" w:eastAsia="Arabic Typesetting" w:hAnsi="Arabic Typesetting" w:cs="Arabic Typesetting"/>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 xml:space="preserve">(في 24 </w:t>
            </w:r>
            <w:r>
              <w:rPr>
                <w:rFonts w:ascii="Arabic Typesetting" w:eastAsia="Arabic Typesetting" w:hAnsi="Arabic Typesetting" w:cs="Arabic Typesetting"/>
                <w:color w:val="000000"/>
                <w:sz w:val="28"/>
                <w:szCs w:val="28"/>
                <w:rtl/>
                <w:lang w:eastAsia="ar-EG" w:bidi="ar-EG"/>
              </w:rPr>
              <w:t>أبريل</w:t>
            </w:r>
            <w:r w:rsidRPr="001E6D34">
              <w:rPr>
                <w:rFonts w:ascii="Arabic Typesetting" w:eastAsia="Arabic Typesetting" w:hAnsi="Arabic Typesetting" w:cs="Arabic Typesetting"/>
                <w:color w:val="000000"/>
                <w:sz w:val="28"/>
                <w:szCs w:val="28"/>
                <w:rtl/>
                <w:lang w:eastAsia="ar-EG" w:bidi="ar-EG"/>
              </w:rPr>
              <w:t xml:space="preserve"> 2015)</w:t>
            </w:r>
          </w:p>
        </w:tc>
        <w:tc>
          <w:tcPr>
            <w:tcW w:w="745" w:type="pct"/>
            <w:shd w:val="clear" w:color="auto" w:fill="auto"/>
            <w:tcMar>
              <w:top w:w="110" w:type="dxa"/>
              <w:left w:w="58" w:type="dxa"/>
              <w:right w:w="58" w:type="dxa"/>
            </w:tcMar>
          </w:tcPr>
          <w:p w14:paraId="4831F7B9"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300 تسجيل إجمالاً في قاعدة البيانات</w:t>
            </w:r>
          </w:p>
        </w:tc>
        <w:tc>
          <w:tcPr>
            <w:tcW w:w="1119" w:type="pct"/>
            <w:shd w:val="clear" w:color="auto" w:fill="FFFFFF"/>
            <w:tcMar>
              <w:top w:w="110" w:type="dxa"/>
              <w:left w:w="58" w:type="dxa"/>
              <w:right w:w="58" w:type="dxa"/>
            </w:tcMar>
          </w:tcPr>
          <w:p w14:paraId="3FF950F8" w14:textId="77777777" w:rsidR="00BB3820" w:rsidRPr="001E6D34" w:rsidRDefault="00BB3820" w:rsidP="0031289D">
            <w:pPr>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sz w:val="28"/>
                <w:szCs w:val="28"/>
                <w:rtl/>
                <w:lang w:eastAsia="ar-EG" w:bidi="ar-EG"/>
              </w:rPr>
              <w:t>لا توجد تسجيلات إضافية</w:t>
            </w:r>
          </w:p>
          <w:p w14:paraId="5AA40EFC"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sz w:val="28"/>
                <w:szCs w:val="28"/>
                <w:rtl/>
                <w:lang w:eastAsia="ar-EG" w:bidi="ar-EG"/>
              </w:rPr>
              <w:t>(التراكمي 193 تسجيلاً في قاعدة</w:t>
            </w:r>
            <w:r>
              <w:rPr>
                <w:rFonts w:ascii="Arabic Typesetting" w:eastAsia="Arabic Typesetting" w:hAnsi="Arabic Typesetting" w:cs="Arabic Typesetting" w:hint="cs"/>
                <w:sz w:val="28"/>
                <w:szCs w:val="28"/>
                <w:rtl/>
                <w:lang w:eastAsia="ar-EG" w:bidi="ar-EG"/>
              </w:rPr>
              <w:t> </w:t>
            </w:r>
            <w:r w:rsidRPr="001E6D34">
              <w:rPr>
                <w:rFonts w:ascii="Arabic Typesetting" w:eastAsia="Arabic Typesetting" w:hAnsi="Arabic Typesetting" w:cs="Arabic Typesetting"/>
                <w:sz w:val="28"/>
                <w:szCs w:val="28"/>
                <w:rtl/>
                <w:lang w:eastAsia="ar-EG" w:bidi="ar-EG"/>
              </w:rPr>
              <w:t>البيانات)</w:t>
            </w:r>
          </w:p>
        </w:tc>
        <w:tc>
          <w:tcPr>
            <w:tcW w:w="525" w:type="pct"/>
            <w:shd w:val="clear" w:color="auto" w:fill="auto"/>
            <w:tcMar>
              <w:top w:w="110" w:type="dxa"/>
              <w:left w:w="58" w:type="dxa"/>
              <w:right w:w="58" w:type="dxa"/>
            </w:tcMar>
          </w:tcPr>
          <w:p w14:paraId="62DFD208" w14:textId="77777777" w:rsidR="00BB3820" w:rsidRPr="001E6D34" w:rsidRDefault="00BB3820"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1E6D34">
              <w:rPr>
                <w:rFonts w:ascii="Arabic Typesetting" w:eastAsia="Arabic Typesetting" w:hAnsi="Arabic Typesetting" w:cs="Arabic Typesetting"/>
                <w:b/>
                <w:bCs/>
                <w:color w:val="FF0000"/>
                <w:sz w:val="28"/>
                <w:szCs w:val="28"/>
                <w:rtl/>
                <w:lang w:eastAsia="ar-EG" w:bidi="ar-EG"/>
              </w:rPr>
              <w:t>غير ثابت</w:t>
            </w:r>
          </w:p>
        </w:tc>
      </w:tr>
      <w:tr w:rsidR="00BB3820" w:rsidRPr="001E6D34" w14:paraId="73BD146B" w14:textId="77777777" w:rsidTr="00BB3820">
        <w:trPr>
          <w:cantSplit/>
          <w:trHeight w:val="676"/>
        </w:trPr>
        <w:tc>
          <w:tcPr>
            <w:tcW w:w="1071" w:type="pct"/>
            <w:shd w:val="clear" w:color="auto" w:fill="auto"/>
            <w:tcMar>
              <w:left w:w="58" w:type="dxa"/>
              <w:right w:w="58" w:type="dxa"/>
            </w:tcMar>
          </w:tcPr>
          <w:p w14:paraId="1344A9E3"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sz w:val="28"/>
                <w:szCs w:val="28"/>
                <w:rtl/>
                <w:lang w:eastAsia="ar-EG" w:bidi="ar-EG"/>
              </w:rPr>
              <w:t xml:space="preserve">تزايد عدد الاتفاقات ضمن قاعدة بيانات </w:t>
            </w:r>
            <w:r w:rsidRPr="001E6D34">
              <w:rPr>
                <w:rFonts w:ascii="Arabic Typesetting" w:eastAsia="Arabic Typesetting" w:hAnsi="Arabic Typesetting" w:cs="Arabic Typesetting"/>
                <w:sz w:val="28"/>
                <w:szCs w:val="28"/>
                <w:lang w:eastAsia="ar-EG" w:bidi="ar-EG"/>
              </w:rPr>
              <w:t>WIPO Re:Search</w:t>
            </w:r>
            <w:r w:rsidRPr="001E6D34">
              <w:rPr>
                <w:rFonts w:ascii="Arabic Typesetting" w:eastAsia="Arabic Typesetting" w:hAnsi="Arabic Typesetting" w:cs="Arabic Typesetting"/>
                <w:sz w:val="28"/>
                <w:szCs w:val="28"/>
                <w:rtl/>
                <w:lang w:eastAsia="ar-EG" w:bidi="ar-EG"/>
              </w:rPr>
              <w:t xml:space="preserve"> بما يؤدي إلى القيام بأنشطة بحث</w:t>
            </w:r>
            <w:r>
              <w:rPr>
                <w:rFonts w:ascii="Arabic Typesetting" w:eastAsia="Arabic Typesetting" w:hAnsi="Arabic Typesetting" w:cs="Arabic Typesetting" w:hint="cs"/>
                <w:sz w:val="28"/>
                <w:szCs w:val="28"/>
                <w:rtl/>
                <w:lang w:eastAsia="ar-EG" w:bidi="ar-EG"/>
              </w:rPr>
              <w:t> </w:t>
            </w:r>
            <w:r w:rsidRPr="001E6D34">
              <w:rPr>
                <w:rFonts w:ascii="Arabic Typesetting" w:eastAsia="Arabic Typesetting" w:hAnsi="Arabic Typesetting" w:cs="Arabic Typesetting"/>
                <w:sz w:val="28"/>
                <w:szCs w:val="28"/>
                <w:rtl/>
                <w:lang w:eastAsia="ar-EG" w:bidi="ar-EG"/>
              </w:rPr>
              <w:t>وتطوير جديدة أو تسريع الأنشطة القائمة منها في مجال الأمراض المدارية المهملة والملاريا</w:t>
            </w:r>
            <w:r>
              <w:rPr>
                <w:rFonts w:ascii="Arabic Typesetting" w:eastAsia="Arabic Typesetting" w:hAnsi="Arabic Typesetting" w:cs="Arabic Typesetting" w:hint="cs"/>
                <w:sz w:val="28"/>
                <w:szCs w:val="28"/>
                <w:rtl/>
                <w:lang w:eastAsia="ar-EG" w:bidi="ar-EG"/>
              </w:rPr>
              <w:t> </w:t>
            </w:r>
            <w:r w:rsidRPr="001E6D34">
              <w:rPr>
                <w:rFonts w:ascii="Arabic Typesetting" w:eastAsia="Arabic Typesetting" w:hAnsi="Arabic Typesetting" w:cs="Arabic Typesetting"/>
                <w:sz w:val="28"/>
                <w:szCs w:val="28"/>
                <w:rtl/>
                <w:lang w:eastAsia="ar-EG" w:bidi="ar-EG"/>
              </w:rPr>
              <w:t>والسل</w:t>
            </w:r>
          </w:p>
        </w:tc>
        <w:tc>
          <w:tcPr>
            <w:tcW w:w="1540" w:type="pct"/>
            <w:shd w:val="clear" w:color="auto" w:fill="auto"/>
            <w:tcMar>
              <w:left w:w="58" w:type="dxa"/>
              <w:right w:w="58" w:type="dxa"/>
            </w:tcMar>
          </w:tcPr>
          <w:p w14:paraId="4C363777" w14:textId="77777777" w:rsidR="00BB3820"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96 اتفاقاً إجمالاً</w:t>
            </w:r>
          </w:p>
          <w:p w14:paraId="56FAAD71"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i/>
                <w:iCs/>
                <w:color w:val="000000"/>
                <w:sz w:val="28"/>
                <w:szCs w:val="28"/>
                <w:rtl/>
                <w:lang w:eastAsia="ar-EG" w:bidi="ar-EG"/>
              </w:rPr>
              <w:t>‏أساس المقارنة الأصلي:</w:t>
            </w:r>
            <w:r w:rsidRPr="001E6D34">
              <w:rPr>
                <w:rFonts w:ascii="Arabic Typesetting" w:eastAsia="Batang" w:hAnsi="Arabic Typesetting" w:cs="Arabic Typesetting"/>
                <w:i/>
                <w:color w:val="000000"/>
                <w:sz w:val="28"/>
                <w:szCs w:val="28"/>
                <w:lang w:eastAsia="ar-EG" w:bidi="ar-EG"/>
              </w:rPr>
              <w:br/>
            </w:r>
            <w:r w:rsidRPr="001E6D3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Pr>
                <w:rFonts w:ascii="Arabic Typesetting" w:eastAsia="Arabic Typesetting" w:hAnsi="Arabic Typesetting" w:cs="Arabic Typesetting"/>
                <w:color w:val="000000"/>
                <w:sz w:val="28"/>
                <w:szCs w:val="28"/>
                <w:rtl/>
                <w:lang w:eastAsia="ar-EG" w:bidi="ar-EG"/>
              </w:rPr>
              <w:t>90 اتفاقاً</w:t>
            </w:r>
            <w:r>
              <w:rPr>
                <w:rFonts w:ascii="Arabic Typesetting" w:eastAsia="Arabic Typesetting" w:hAnsi="Arabic Typesetting" w:cs="Arabic Typesetting"/>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 xml:space="preserve">(في 9 </w:t>
            </w:r>
            <w:r>
              <w:rPr>
                <w:rFonts w:ascii="Arabic Typesetting" w:eastAsia="Arabic Typesetting" w:hAnsi="Arabic Typesetting" w:cs="Arabic Typesetting"/>
                <w:color w:val="000000"/>
                <w:sz w:val="28"/>
                <w:szCs w:val="28"/>
                <w:rtl/>
                <w:lang w:eastAsia="ar-EG" w:bidi="ar-EG"/>
              </w:rPr>
              <w:t>أبريل</w:t>
            </w:r>
            <w:r w:rsidRPr="001E6D34">
              <w:rPr>
                <w:rFonts w:ascii="Arabic Typesetting" w:eastAsia="Arabic Typesetting" w:hAnsi="Arabic Typesetting" w:cs="Arabic Typesetting"/>
                <w:color w:val="000000"/>
                <w:sz w:val="28"/>
                <w:szCs w:val="28"/>
                <w:rtl/>
                <w:lang w:eastAsia="ar-EG" w:bidi="ar-EG"/>
              </w:rPr>
              <w:t xml:space="preserve"> 2015)</w:t>
            </w:r>
          </w:p>
        </w:tc>
        <w:tc>
          <w:tcPr>
            <w:tcW w:w="745" w:type="pct"/>
            <w:shd w:val="clear" w:color="auto" w:fill="auto"/>
            <w:tcMar>
              <w:top w:w="110" w:type="dxa"/>
              <w:left w:w="58" w:type="dxa"/>
              <w:right w:w="58" w:type="dxa"/>
            </w:tcMar>
          </w:tcPr>
          <w:p w14:paraId="69DCA064"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30 اتفاقاً جديداً منها 20 اتفاق</w:t>
            </w:r>
            <w:r>
              <w:rPr>
                <w:rFonts w:ascii="Arabic Typesetting" w:eastAsia="Arabic Typesetting" w:hAnsi="Arabic Typesetting" w:cs="Arabic Typesetting" w:hint="cs"/>
                <w:color w:val="000000"/>
                <w:sz w:val="28"/>
                <w:szCs w:val="28"/>
                <w:rtl/>
                <w:lang w:eastAsia="ar-EG" w:bidi="ar-EG"/>
              </w:rPr>
              <w:t>اً</w:t>
            </w:r>
            <w:r w:rsidRPr="001E6D34">
              <w:rPr>
                <w:rFonts w:ascii="Arabic Typesetting" w:eastAsia="Arabic Typesetting" w:hAnsi="Arabic Typesetting" w:cs="Arabic Typesetting"/>
                <w:color w:val="000000"/>
                <w:sz w:val="28"/>
                <w:szCs w:val="28"/>
                <w:rtl/>
                <w:lang w:eastAsia="ar-EG" w:bidi="ar-EG"/>
              </w:rPr>
              <w:t xml:space="preserve"> مكمّل</w:t>
            </w:r>
            <w:r>
              <w:rPr>
                <w:rFonts w:ascii="Arabic Typesetting" w:eastAsia="Arabic Typesetting" w:hAnsi="Arabic Typesetting" w:cs="Arabic Typesetting" w:hint="cs"/>
                <w:color w:val="000000"/>
                <w:sz w:val="28"/>
                <w:szCs w:val="28"/>
                <w:rtl/>
                <w:lang w:eastAsia="ar-EG" w:bidi="ar-EG"/>
              </w:rPr>
              <w:t>اً</w:t>
            </w:r>
          </w:p>
        </w:tc>
        <w:tc>
          <w:tcPr>
            <w:tcW w:w="1119" w:type="pct"/>
            <w:shd w:val="clear" w:color="auto" w:fill="FFFFFF"/>
            <w:tcMar>
              <w:top w:w="110" w:type="dxa"/>
              <w:left w:w="58" w:type="dxa"/>
              <w:right w:w="58" w:type="dxa"/>
            </w:tcMar>
          </w:tcPr>
          <w:p w14:paraId="5001FC16" w14:textId="77777777" w:rsidR="00BB3820" w:rsidRPr="001E6D34" w:rsidRDefault="00BB3820" w:rsidP="0031289D">
            <w:pPr>
              <w:bidi/>
              <w:spacing w:after="120" w:line="280" w:lineRule="exact"/>
              <w:rPr>
                <w:rFonts w:ascii="Arabic Typesetting" w:eastAsia="Arabic Typesetting" w:hAnsi="Arabic Typesetting" w:cs="Arabic Typesetting"/>
                <w:sz w:val="28"/>
                <w:szCs w:val="28"/>
                <w:lang w:eastAsia="ar-EG" w:bidi="ar-EG"/>
              </w:rPr>
            </w:pPr>
            <w:r w:rsidRPr="001E6D34">
              <w:rPr>
                <w:rFonts w:ascii="Arabic Typesetting" w:eastAsia="Arabic Typesetting" w:hAnsi="Arabic Typesetting" w:cs="Arabic Typesetting"/>
                <w:sz w:val="28"/>
                <w:szCs w:val="28"/>
                <w:rtl/>
                <w:lang w:eastAsia="ar-EG" w:bidi="ar-EG"/>
              </w:rPr>
              <w:t>12 اتفاقاً جديداً</w:t>
            </w:r>
            <w:r>
              <w:rPr>
                <w:rFonts w:ascii="Arabic Typesetting" w:eastAsia="Arabic Typesetting" w:hAnsi="Arabic Typesetting" w:cs="Arabic Typesetting"/>
                <w:sz w:val="28"/>
                <w:szCs w:val="28"/>
                <w:rtl/>
                <w:lang w:eastAsia="ar-EG" w:bidi="ar-EG"/>
              </w:rPr>
              <w:br/>
            </w:r>
            <w:r w:rsidRPr="001E6D34">
              <w:rPr>
                <w:rFonts w:ascii="Arabic Typesetting" w:eastAsia="Arabic Typesetting" w:hAnsi="Arabic Typesetting" w:cs="Arabic Typesetting"/>
                <w:sz w:val="28"/>
                <w:szCs w:val="28"/>
                <w:rtl/>
                <w:lang w:eastAsia="ar-EG" w:bidi="ar-EG"/>
              </w:rPr>
              <w:t>(التراكمي 108 اتفاقات)</w:t>
            </w:r>
          </w:p>
          <w:p w14:paraId="7730B713" w14:textId="77777777" w:rsidR="00BB3820" w:rsidRPr="001E6D34" w:rsidRDefault="00BB3820" w:rsidP="0031289D">
            <w:pPr>
              <w:bidi/>
              <w:spacing w:after="120" w:line="280" w:lineRule="exact"/>
              <w:rPr>
                <w:rFonts w:ascii="Arabic Typesetting" w:eastAsia="Arabic Typesetting" w:hAnsi="Arabic Typesetting" w:cs="Arabic Typesetting"/>
                <w:sz w:val="28"/>
                <w:szCs w:val="28"/>
                <w:lang w:eastAsia="ar-EG" w:bidi="ar-EG"/>
              </w:rPr>
            </w:pPr>
            <w:r w:rsidRPr="001E6D34">
              <w:rPr>
                <w:rFonts w:ascii="Arabic Typesetting" w:eastAsia="Arabic Typesetting" w:hAnsi="Arabic Typesetting" w:cs="Arabic Typesetting"/>
                <w:sz w:val="28"/>
                <w:szCs w:val="28"/>
                <w:rtl/>
                <w:lang w:eastAsia="ar-EG" w:bidi="ar-EG"/>
              </w:rPr>
              <w:t>اتفاق مكمل واحد</w:t>
            </w:r>
          </w:p>
        </w:tc>
        <w:tc>
          <w:tcPr>
            <w:tcW w:w="525" w:type="pct"/>
            <w:shd w:val="clear" w:color="auto" w:fill="auto"/>
            <w:tcMar>
              <w:top w:w="110" w:type="dxa"/>
              <w:left w:w="58" w:type="dxa"/>
              <w:right w:w="58" w:type="dxa"/>
            </w:tcMar>
          </w:tcPr>
          <w:p w14:paraId="22EC4100" w14:textId="77777777" w:rsidR="00BB3820" w:rsidRPr="00E009A6" w:rsidRDefault="00BB3820" w:rsidP="0031289D">
            <w:pPr>
              <w:keepNext/>
              <w:keepLines/>
              <w:bidi/>
              <w:spacing w:after="120" w:line="280" w:lineRule="exact"/>
              <w:jc w:val="center"/>
              <w:rPr>
                <w:rFonts w:ascii="Arabic Typesetting" w:eastAsia="Arabic Typesetting" w:hAnsi="Arabic Typesetting" w:cs="Arabic Typesetting"/>
                <w:b/>
                <w:bCs/>
                <w:color w:val="00B050"/>
                <w:sz w:val="28"/>
                <w:szCs w:val="28"/>
                <w:lang w:eastAsia="ar-EG" w:bidi="ar-EG"/>
              </w:rPr>
            </w:pPr>
            <w:r w:rsidRPr="001E6D34">
              <w:rPr>
                <w:rFonts w:ascii="Arabic Typesetting" w:eastAsia="Arabic Typesetting" w:hAnsi="Arabic Typesetting" w:cs="Arabic Typesetting"/>
                <w:b/>
                <w:bCs/>
                <w:color w:val="00B050"/>
                <w:sz w:val="28"/>
                <w:szCs w:val="28"/>
                <w:rtl/>
                <w:lang w:eastAsia="ar-EG" w:bidi="ar-EG"/>
              </w:rPr>
              <w:t>ثابت</w:t>
            </w:r>
          </w:p>
          <w:p w14:paraId="5C866275" w14:textId="77777777" w:rsidR="00BB3820" w:rsidRPr="00E009A6" w:rsidRDefault="00BB3820" w:rsidP="0031289D">
            <w:pPr>
              <w:keepNext/>
              <w:keepLines/>
              <w:bidi/>
              <w:spacing w:after="120" w:line="280" w:lineRule="exact"/>
              <w:jc w:val="center"/>
              <w:rPr>
                <w:rFonts w:ascii="Arabic Typesetting" w:eastAsia="Arabic Typesetting" w:hAnsi="Arabic Typesetting" w:cs="Arabic Typesetting"/>
                <w:b/>
                <w:bCs/>
                <w:color w:val="00B050"/>
                <w:sz w:val="28"/>
                <w:szCs w:val="28"/>
                <w:rtl/>
                <w:lang w:eastAsia="ar-EG" w:bidi="ar-EG"/>
              </w:rPr>
            </w:pPr>
          </w:p>
          <w:p w14:paraId="2A7C0AF5" w14:textId="77777777" w:rsidR="00BB3820" w:rsidRPr="001E6D34" w:rsidRDefault="00BB3820"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1E6D34">
              <w:rPr>
                <w:rFonts w:ascii="Arabic Typesetting" w:eastAsia="Arabic Typesetting" w:hAnsi="Arabic Typesetting" w:cs="Arabic Typesetting"/>
                <w:b/>
                <w:bCs/>
                <w:color w:val="FF0000"/>
                <w:sz w:val="28"/>
                <w:szCs w:val="28"/>
                <w:rtl/>
                <w:lang w:eastAsia="ar-EG" w:bidi="ar-EG"/>
              </w:rPr>
              <w:t>غير ثابت</w:t>
            </w:r>
          </w:p>
        </w:tc>
      </w:tr>
      <w:tr w:rsidR="00BB3820" w:rsidRPr="001E6D34" w14:paraId="14373DC3" w14:textId="77777777" w:rsidTr="00BB3820">
        <w:trPr>
          <w:cantSplit/>
          <w:trHeight w:val="676"/>
        </w:trPr>
        <w:tc>
          <w:tcPr>
            <w:tcW w:w="1071" w:type="pct"/>
            <w:shd w:val="clear" w:color="auto" w:fill="auto"/>
            <w:tcMar>
              <w:left w:w="58" w:type="dxa"/>
              <w:right w:w="58" w:type="dxa"/>
            </w:tcMar>
          </w:tcPr>
          <w:p w14:paraId="37C54EA6" w14:textId="6B4067E1"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sz w:val="28"/>
                <w:szCs w:val="28"/>
                <w:rtl/>
                <w:lang w:eastAsia="ar-EG" w:bidi="ar-EG"/>
              </w:rPr>
              <w:t xml:space="preserve">عدد أعضاء </w:t>
            </w:r>
            <w:r w:rsidR="00BD308F">
              <w:rPr>
                <w:rFonts w:ascii="Arabic Typesetting" w:eastAsia="Arabic Typesetting" w:hAnsi="Arabic Typesetting" w:cs="Arabic Typesetting"/>
                <w:sz w:val="28"/>
                <w:szCs w:val="28"/>
                <w:lang w:eastAsia="ar-EG" w:bidi="ar-EG"/>
              </w:rPr>
              <w:t>WIPO GREEN</w:t>
            </w:r>
          </w:p>
        </w:tc>
        <w:tc>
          <w:tcPr>
            <w:tcW w:w="1540" w:type="pct"/>
            <w:shd w:val="clear" w:color="auto" w:fill="auto"/>
            <w:tcMar>
              <w:left w:w="58" w:type="dxa"/>
              <w:right w:w="58" w:type="dxa"/>
            </w:tcMar>
          </w:tcPr>
          <w:p w14:paraId="276700DC" w14:textId="77777777" w:rsidR="00BB3820" w:rsidRDefault="00BB3820" w:rsidP="0031289D">
            <w:pPr>
              <w:bidi/>
              <w:spacing w:line="280" w:lineRule="exact"/>
              <w:rPr>
                <w:rFonts w:ascii="Arabic Typesetting" w:eastAsia="Arabic Typesetting" w:hAnsi="Arabic Typesetting" w:cs="Arabic Typesetting"/>
                <w:color w:val="002060"/>
                <w:sz w:val="28"/>
                <w:szCs w:val="28"/>
                <w:rtl/>
                <w:lang w:eastAsia="ar-EG" w:bidi="ar-EG"/>
              </w:rPr>
            </w:pPr>
            <w:r w:rsidRPr="001E6D3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p>
          <w:p w14:paraId="3598C77F" w14:textId="77777777" w:rsidR="00BB3820" w:rsidRPr="00E009A6" w:rsidRDefault="00BB3820" w:rsidP="0031289D">
            <w:pPr>
              <w:pStyle w:val="ListParagraph"/>
              <w:numPr>
                <w:ilvl w:val="0"/>
                <w:numId w:val="29"/>
              </w:numPr>
              <w:bidi/>
              <w:spacing w:after="120" w:line="280" w:lineRule="exact"/>
              <w:rPr>
                <w:rFonts w:ascii="Arabic Typesetting" w:eastAsia="Arabic Typesetting" w:hAnsi="Arabic Typesetting" w:cs="Arabic Typesetting"/>
                <w:color w:val="002060"/>
                <w:sz w:val="28"/>
                <w:szCs w:val="28"/>
                <w:lang w:eastAsia="ar-EG" w:bidi="ar-EG"/>
              </w:rPr>
            </w:pPr>
            <w:r w:rsidRPr="00E009A6">
              <w:rPr>
                <w:rFonts w:ascii="Arabic Typesetting" w:eastAsia="Arabic Typesetting" w:hAnsi="Arabic Typesetting" w:cs="Arabic Typesetting"/>
                <w:color w:val="002060"/>
                <w:sz w:val="28"/>
                <w:szCs w:val="28"/>
                <w:rtl/>
                <w:lang w:eastAsia="ar-EG" w:bidi="ar-EG"/>
              </w:rPr>
              <w:t>65 شريكاً إجمالاً</w:t>
            </w:r>
          </w:p>
          <w:p w14:paraId="412A293B" w14:textId="77777777" w:rsidR="00BB3820" w:rsidRDefault="00BB3820" w:rsidP="0031289D">
            <w:pPr>
              <w:pStyle w:val="ListParagraph"/>
              <w:numPr>
                <w:ilvl w:val="0"/>
                <w:numId w:val="29"/>
              </w:num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color w:val="002060"/>
                <w:sz w:val="28"/>
                <w:szCs w:val="28"/>
                <w:rtl/>
                <w:lang w:eastAsia="ar-EG" w:bidi="ar-EG"/>
              </w:rPr>
              <w:t>490 مستخدماً إجمالاً</w:t>
            </w:r>
          </w:p>
          <w:p w14:paraId="097C8AF6" w14:textId="77777777" w:rsidR="00BB3820" w:rsidRPr="001E6D34"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i/>
                <w:iCs/>
                <w:color w:val="000000"/>
                <w:sz w:val="28"/>
                <w:szCs w:val="28"/>
                <w:rtl/>
                <w:lang w:eastAsia="ar-EG" w:bidi="ar-EG"/>
              </w:rPr>
              <w:t>‏أساس المقارنة الأصلي:</w:t>
            </w:r>
            <w:r w:rsidRPr="001E6D34">
              <w:rPr>
                <w:rFonts w:ascii="Arabic Typesetting" w:eastAsia="Batang" w:hAnsi="Arabic Typesetting" w:cs="Arabic Typesetting"/>
                <w:i/>
                <w:color w:val="000000"/>
                <w:sz w:val="28"/>
                <w:szCs w:val="28"/>
                <w:lang w:eastAsia="ar-EG" w:bidi="ar-EG"/>
              </w:rPr>
              <w:br/>
            </w:r>
            <w:r w:rsidRPr="001E6D3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t>57 شريك</w:t>
            </w:r>
            <w:r>
              <w:rPr>
                <w:rFonts w:ascii="Arabic Typesetting" w:eastAsia="Arabic Typesetting" w:hAnsi="Arabic Typesetting" w:cs="Arabic Typesetting" w:hint="cs"/>
                <w:color w:val="000000"/>
                <w:sz w:val="28"/>
                <w:szCs w:val="28"/>
                <w:rtl/>
                <w:lang w:eastAsia="ar-EG" w:bidi="ar-EG"/>
              </w:rPr>
              <w:t>اً</w:t>
            </w:r>
            <w:r>
              <w:rPr>
                <w:rFonts w:ascii="Arabic Typesetting" w:eastAsia="Arabic Typesetting" w:hAnsi="Arabic Typesetting" w:cs="Arabic Typesetting"/>
                <w:color w:val="000000"/>
                <w:sz w:val="28"/>
                <w:szCs w:val="28"/>
                <w:rtl/>
                <w:lang w:eastAsia="ar-EG" w:bidi="ar-EG"/>
              </w:rPr>
              <w:t xml:space="preserve"> و430 مستخدماً</w:t>
            </w:r>
            <w:r>
              <w:rPr>
                <w:rFonts w:ascii="Arabic Typesetting" w:eastAsia="Arabic Typesetting" w:hAnsi="Arabic Typesetting" w:cs="Arabic Typesetting"/>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 xml:space="preserve">(في 24 </w:t>
            </w:r>
            <w:r>
              <w:rPr>
                <w:rFonts w:ascii="Arabic Typesetting" w:eastAsia="Arabic Typesetting" w:hAnsi="Arabic Typesetting" w:cs="Arabic Typesetting"/>
                <w:color w:val="000000"/>
                <w:sz w:val="28"/>
                <w:szCs w:val="28"/>
                <w:rtl/>
                <w:lang w:eastAsia="ar-EG" w:bidi="ar-EG"/>
              </w:rPr>
              <w:t>أبريل</w:t>
            </w:r>
            <w:r w:rsidRPr="001E6D34">
              <w:rPr>
                <w:rFonts w:ascii="Arabic Typesetting" w:eastAsia="Arabic Typesetting" w:hAnsi="Arabic Typesetting" w:cs="Arabic Typesetting"/>
                <w:color w:val="000000"/>
                <w:sz w:val="28"/>
                <w:szCs w:val="28"/>
                <w:rtl/>
                <w:lang w:eastAsia="ar-EG" w:bidi="ar-EG"/>
              </w:rPr>
              <w:t xml:space="preserve"> 2015)</w:t>
            </w:r>
          </w:p>
        </w:tc>
        <w:tc>
          <w:tcPr>
            <w:tcW w:w="745" w:type="pct"/>
            <w:shd w:val="clear" w:color="auto" w:fill="auto"/>
            <w:tcMar>
              <w:top w:w="110" w:type="dxa"/>
              <w:left w:w="58" w:type="dxa"/>
              <w:right w:w="58" w:type="dxa"/>
            </w:tcMar>
          </w:tcPr>
          <w:p w14:paraId="09EBC0A2"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14 شريكاً إضافياً</w:t>
            </w:r>
            <w:r>
              <w:rPr>
                <w:rFonts w:ascii="Arabic Typesetting" w:eastAsia="Arabic Typesetting" w:hAnsi="Arabic Typesetting" w:cs="Arabic Typesetting" w:hint="cs"/>
                <w:color w:val="000000"/>
                <w:sz w:val="28"/>
                <w:szCs w:val="28"/>
                <w:rtl/>
                <w:lang w:eastAsia="ar-EG" w:bidi="ar-EG"/>
              </w:rPr>
              <w:t xml:space="preserve"> و</w:t>
            </w:r>
            <w:r w:rsidRPr="001E6D34">
              <w:rPr>
                <w:rFonts w:ascii="Arabic Typesetting" w:eastAsia="Arabic Typesetting" w:hAnsi="Arabic Typesetting" w:cs="Arabic Typesetting"/>
                <w:color w:val="000000"/>
                <w:sz w:val="28"/>
                <w:szCs w:val="28"/>
                <w:rtl/>
                <w:lang w:eastAsia="ar-EG" w:bidi="ar-EG"/>
              </w:rPr>
              <w:t>200 مستخدم إضافي</w:t>
            </w:r>
          </w:p>
        </w:tc>
        <w:tc>
          <w:tcPr>
            <w:tcW w:w="1119" w:type="pct"/>
            <w:shd w:val="clear" w:color="auto" w:fill="FFFFFF"/>
            <w:tcMar>
              <w:top w:w="110" w:type="dxa"/>
              <w:left w:w="58" w:type="dxa"/>
              <w:right w:w="58" w:type="dxa"/>
            </w:tcMar>
          </w:tcPr>
          <w:p w14:paraId="3449C258" w14:textId="77777777" w:rsidR="00BB3820" w:rsidRPr="001E6D34" w:rsidRDefault="00BB3820" w:rsidP="0031289D">
            <w:pPr>
              <w:numPr>
                <w:ilvl w:val="0"/>
                <w:numId w:val="29"/>
              </w:num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9 شركاء إضافيين</w:t>
            </w:r>
          </w:p>
          <w:p w14:paraId="0CB18C5A" w14:textId="77777777" w:rsidR="00BB3820" w:rsidRPr="001E6D34" w:rsidRDefault="00BB3820" w:rsidP="0031289D">
            <w:pPr>
              <w:numPr>
                <w:ilvl w:val="0"/>
                <w:numId w:val="29"/>
              </w:num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318 مستخدماً إضافياً</w:t>
            </w:r>
          </w:p>
          <w:p w14:paraId="12621F22"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(التراكمي 74 شريكاً و808</w:t>
            </w:r>
            <w:r>
              <w:rPr>
                <w:rFonts w:ascii="Arabic Typesetting" w:eastAsia="Arabic Typesetting" w:hAnsi="Arabic Typesetting" w:cs="Arabic Typesetting" w:hint="cs"/>
                <w:color w:val="000000"/>
                <w:sz w:val="28"/>
                <w:szCs w:val="28"/>
                <w:rtl/>
                <w:lang w:eastAsia="ar-EG" w:bidi="ar-EG"/>
              </w:rPr>
              <w:t> </w:t>
            </w:r>
            <w:r w:rsidRPr="001E6D34">
              <w:rPr>
                <w:rFonts w:ascii="Arabic Typesetting" w:eastAsia="Arabic Typesetting" w:hAnsi="Arabic Typesetting" w:cs="Arabic Typesetting"/>
                <w:color w:val="000000"/>
                <w:sz w:val="28"/>
                <w:szCs w:val="28"/>
                <w:rtl/>
                <w:lang w:eastAsia="ar-EG" w:bidi="ar-EG"/>
              </w:rPr>
              <w:t>مستخدمين إجمالاً)</w:t>
            </w:r>
          </w:p>
        </w:tc>
        <w:tc>
          <w:tcPr>
            <w:tcW w:w="525" w:type="pct"/>
            <w:shd w:val="clear" w:color="auto" w:fill="auto"/>
            <w:tcMar>
              <w:top w:w="110" w:type="dxa"/>
              <w:left w:w="58" w:type="dxa"/>
              <w:right w:w="58" w:type="dxa"/>
            </w:tcMar>
          </w:tcPr>
          <w:p w14:paraId="595104F0" w14:textId="77777777" w:rsidR="00BB3820" w:rsidRPr="001E6D34" w:rsidRDefault="00BB3820"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1E6D34">
              <w:rPr>
                <w:rFonts w:ascii="Arabic Typesetting" w:eastAsia="Arabic Typesetting" w:hAnsi="Arabic Typesetting" w:cs="Arabic Typesetting"/>
                <w:b/>
                <w:bCs/>
                <w:color w:val="00B050"/>
                <w:sz w:val="28"/>
                <w:szCs w:val="28"/>
                <w:rtl/>
                <w:lang w:eastAsia="ar-EG" w:bidi="ar-EG"/>
              </w:rPr>
              <w:t>ثابت</w:t>
            </w:r>
          </w:p>
        </w:tc>
      </w:tr>
      <w:tr w:rsidR="00BB3820" w:rsidRPr="001E6D34" w14:paraId="6447036F" w14:textId="77777777" w:rsidTr="00BB3820">
        <w:trPr>
          <w:cantSplit/>
          <w:trHeight w:val="1173"/>
        </w:trPr>
        <w:tc>
          <w:tcPr>
            <w:tcW w:w="1071" w:type="pct"/>
            <w:shd w:val="clear" w:color="auto" w:fill="auto"/>
            <w:tcMar>
              <w:left w:w="58" w:type="dxa"/>
              <w:right w:w="58" w:type="dxa"/>
            </w:tcMar>
          </w:tcPr>
          <w:p w14:paraId="26491BC3" w14:textId="003DBF5C" w:rsidR="00BB3820" w:rsidRPr="001E6D34" w:rsidRDefault="006E24D8" w:rsidP="006E24D8">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lastRenderedPageBreak/>
              <w:t>عدد ال</w:t>
            </w:r>
            <w:r w:rsidR="00BB3820" w:rsidRPr="001E6D34">
              <w:rPr>
                <w:rFonts w:ascii="Arabic Typesetting" w:eastAsia="Arabic Typesetting" w:hAnsi="Arabic Typesetting" w:cs="Arabic Typesetting"/>
                <w:color w:val="000000"/>
                <w:sz w:val="28"/>
                <w:szCs w:val="28"/>
                <w:rtl/>
                <w:lang w:eastAsia="ar-EG" w:bidi="ar-EG"/>
              </w:rPr>
              <w:t xml:space="preserve">سجلات في قاعدة بيانات </w:t>
            </w:r>
            <w:r w:rsidR="00BD308F">
              <w:rPr>
                <w:rFonts w:ascii="Arabic Typesetting" w:eastAsia="Arabic Typesetting" w:hAnsi="Arabic Typesetting" w:cs="Arabic Typesetting"/>
                <w:color w:val="000000"/>
                <w:sz w:val="28"/>
                <w:szCs w:val="28"/>
                <w:lang w:eastAsia="ar-EG" w:bidi="ar-EG"/>
              </w:rPr>
              <w:t>WIPO GREEN</w:t>
            </w:r>
          </w:p>
        </w:tc>
        <w:tc>
          <w:tcPr>
            <w:tcW w:w="1540" w:type="pct"/>
            <w:shd w:val="clear" w:color="auto" w:fill="auto"/>
            <w:tcMar>
              <w:left w:w="58" w:type="dxa"/>
              <w:right w:w="58" w:type="dxa"/>
            </w:tcMar>
          </w:tcPr>
          <w:p w14:paraId="5DBACAF9" w14:textId="77777777" w:rsidR="00BB3820"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2181 طرفا إجمالا</w:t>
            </w:r>
          </w:p>
          <w:p w14:paraId="6209A911" w14:textId="77777777" w:rsidR="00BB3820" w:rsidRPr="001E6D34"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i/>
                <w:iCs/>
                <w:color w:val="000000"/>
                <w:sz w:val="28"/>
                <w:szCs w:val="28"/>
                <w:rtl/>
                <w:lang w:eastAsia="ar-EG" w:bidi="ar-EG"/>
              </w:rPr>
              <w:t>‏أساس المقارنة الأصلي:</w:t>
            </w:r>
            <w:r w:rsidRPr="001E6D34">
              <w:rPr>
                <w:rFonts w:ascii="Arabic Typesetting" w:eastAsia="Batang" w:hAnsi="Arabic Typesetting" w:cs="Arabic Typesetting"/>
                <w:i/>
                <w:color w:val="000000"/>
                <w:sz w:val="28"/>
                <w:szCs w:val="28"/>
                <w:lang w:eastAsia="ar-EG" w:bidi="ar-EG"/>
              </w:rPr>
              <w:br/>
            </w:r>
            <w:r w:rsidRPr="001E6D3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Pr>
                <w:rFonts w:ascii="Arabic Typesetting" w:eastAsia="Arabic Typesetting" w:hAnsi="Arabic Typesetting" w:cs="Arabic Typesetting"/>
                <w:color w:val="000000"/>
                <w:sz w:val="28"/>
                <w:szCs w:val="28"/>
                <w:rtl/>
                <w:lang w:eastAsia="ar-EG" w:bidi="ar-EG"/>
              </w:rPr>
              <w:t>2050 تسجيلاً</w:t>
            </w:r>
            <w:r>
              <w:rPr>
                <w:rFonts w:ascii="Arabic Typesetting" w:eastAsia="Arabic Typesetting" w:hAnsi="Arabic Typesetting" w:cs="Arabic Typesetting"/>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 xml:space="preserve">(في 24 </w:t>
            </w:r>
            <w:r>
              <w:rPr>
                <w:rFonts w:ascii="Arabic Typesetting" w:eastAsia="Arabic Typesetting" w:hAnsi="Arabic Typesetting" w:cs="Arabic Typesetting"/>
                <w:color w:val="000000"/>
                <w:sz w:val="28"/>
                <w:szCs w:val="28"/>
                <w:rtl/>
                <w:lang w:eastAsia="ar-EG" w:bidi="ar-EG"/>
              </w:rPr>
              <w:t>أبريل</w:t>
            </w:r>
            <w:r w:rsidRPr="001E6D34">
              <w:rPr>
                <w:rFonts w:ascii="Arabic Typesetting" w:eastAsia="Arabic Typesetting" w:hAnsi="Arabic Typesetting" w:cs="Arabic Typesetting"/>
                <w:color w:val="000000"/>
                <w:sz w:val="28"/>
                <w:szCs w:val="28"/>
                <w:rtl/>
                <w:lang w:eastAsia="ar-EG" w:bidi="ar-EG"/>
              </w:rPr>
              <w:t xml:space="preserve"> 2015)</w:t>
            </w:r>
          </w:p>
        </w:tc>
        <w:tc>
          <w:tcPr>
            <w:tcW w:w="745" w:type="pct"/>
            <w:shd w:val="clear" w:color="auto" w:fill="auto"/>
            <w:tcMar>
              <w:top w:w="110" w:type="dxa"/>
              <w:left w:w="58" w:type="dxa"/>
              <w:right w:w="58" w:type="dxa"/>
            </w:tcMar>
          </w:tcPr>
          <w:p w14:paraId="27A7DF9F"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1200 سجل إضافي</w:t>
            </w:r>
          </w:p>
        </w:tc>
        <w:tc>
          <w:tcPr>
            <w:tcW w:w="1119" w:type="pct"/>
            <w:shd w:val="clear" w:color="auto" w:fill="FFFFFF"/>
            <w:tcMar>
              <w:top w:w="110" w:type="dxa"/>
              <w:left w:w="58" w:type="dxa"/>
              <w:right w:w="58" w:type="dxa"/>
            </w:tcMar>
          </w:tcPr>
          <w:p w14:paraId="6E3AA68F" w14:textId="77777777" w:rsidR="00BB3820" w:rsidRPr="001E6D34" w:rsidRDefault="00BB3820" w:rsidP="0031289D">
            <w:pPr>
              <w:bidi/>
              <w:spacing w:after="120" w:line="280" w:lineRule="exact"/>
              <w:rPr>
                <w:rFonts w:ascii="Arabic Typesetting" w:eastAsia="Arabic Typesetting" w:hAnsi="Arabic Typesetting" w:cs="Arabic Typesetting"/>
                <w:sz w:val="28"/>
                <w:szCs w:val="28"/>
                <w:lang w:eastAsia="ar-EG" w:bidi="ar-EG"/>
              </w:rPr>
            </w:pPr>
            <w:r w:rsidRPr="001E6D34">
              <w:rPr>
                <w:rFonts w:ascii="Arabic Typesetting" w:eastAsia="Arabic Typesetting" w:hAnsi="Arabic Typesetting" w:cs="Arabic Typesetting"/>
                <w:sz w:val="28"/>
                <w:szCs w:val="28"/>
                <w:rtl/>
                <w:lang w:eastAsia="ar-EG" w:bidi="ar-EG"/>
              </w:rPr>
              <w:t xml:space="preserve">440 سجلاً إضافياً </w:t>
            </w:r>
          </w:p>
          <w:p w14:paraId="5B14A6F2"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sz w:val="28"/>
                <w:szCs w:val="28"/>
                <w:rtl/>
                <w:lang w:eastAsia="ar-EG" w:bidi="ar-EG"/>
              </w:rPr>
              <w:t>(التراكمي 2621 سجلاً)</w:t>
            </w:r>
          </w:p>
        </w:tc>
        <w:tc>
          <w:tcPr>
            <w:tcW w:w="525" w:type="pct"/>
            <w:shd w:val="clear" w:color="auto" w:fill="auto"/>
            <w:tcMar>
              <w:top w:w="110" w:type="dxa"/>
              <w:left w:w="58" w:type="dxa"/>
              <w:right w:w="58" w:type="dxa"/>
            </w:tcMar>
          </w:tcPr>
          <w:p w14:paraId="42557A70" w14:textId="77777777" w:rsidR="00BB3820" w:rsidRPr="001E6D34" w:rsidRDefault="00BB3820"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1E6D34">
              <w:rPr>
                <w:rFonts w:ascii="Arabic Typesetting" w:eastAsia="Arabic Typesetting" w:hAnsi="Arabic Typesetting" w:cs="Arabic Typesetting"/>
                <w:b/>
                <w:bCs/>
                <w:color w:val="FF0000"/>
                <w:sz w:val="28"/>
                <w:szCs w:val="28"/>
                <w:rtl/>
                <w:lang w:eastAsia="ar-EG" w:bidi="ar-EG"/>
              </w:rPr>
              <w:t>غير ثابت</w:t>
            </w:r>
          </w:p>
        </w:tc>
      </w:tr>
      <w:tr w:rsidR="00BB3820" w:rsidRPr="001E6D34" w14:paraId="34E7512E" w14:textId="77777777" w:rsidTr="00BB3820">
        <w:trPr>
          <w:cantSplit/>
          <w:trHeight w:val="676"/>
        </w:trPr>
        <w:tc>
          <w:tcPr>
            <w:tcW w:w="1071" w:type="pct"/>
            <w:shd w:val="clear" w:color="auto" w:fill="auto"/>
            <w:tcMar>
              <w:left w:w="58" w:type="dxa"/>
              <w:right w:w="58" w:type="dxa"/>
            </w:tcMar>
          </w:tcPr>
          <w:p w14:paraId="135BB6FB" w14:textId="2A1EA772"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 xml:space="preserve">عدد الاتفاقات التي حفزها برنامج </w:t>
            </w:r>
            <w:r w:rsidR="00BD308F">
              <w:rPr>
                <w:rFonts w:ascii="Arabic Typesetting" w:eastAsia="Arabic Typesetting" w:hAnsi="Arabic Typesetting" w:cs="Arabic Typesetting"/>
                <w:color w:val="000000"/>
                <w:sz w:val="28"/>
                <w:szCs w:val="28"/>
                <w:lang w:eastAsia="ar-EG" w:bidi="ar-EG"/>
              </w:rPr>
              <w:t>WIPO GREEN</w:t>
            </w:r>
            <w:r w:rsidRPr="001E6D34">
              <w:rPr>
                <w:rFonts w:ascii="Arabic Typesetting" w:eastAsia="Arabic Typesetting" w:hAnsi="Arabic Typesetting" w:cs="Arabic Typesetting"/>
                <w:color w:val="000000"/>
                <w:sz w:val="28"/>
                <w:szCs w:val="28"/>
                <w:rtl/>
                <w:lang w:eastAsia="ar-EG" w:bidi="ar-EG"/>
              </w:rPr>
              <w:t xml:space="preserve"> والرامية إلى تيسير نقل المعارف وتطويع التكنولوجيا و/أو نقلها و/أو نشرها</w:t>
            </w:r>
          </w:p>
        </w:tc>
        <w:tc>
          <w:tcPr>
            <w:tcW w:w="1540" w:type="pct"/>
            <w:shd w:val="clear" w:color="auto" w:fill="auto"/>
            <w:tcMar>
              <w:left w:w="58" w:type="dxa"/>
              <w:right w:w="58" w:type="dxa"/>
            </w:tcMar>
          </w:tcPr>
          <w:p w14:paraId="4087861D" w14:textId="77777777" w:rsidR="00BB3820"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7 اتفاقات (جمعية مديري التكنولوجيا في الجامعات (</w:t>
            </w:r>
            <w:r w:rsidRPr="001E6D34">
              <w:rPr>
                <w:rFonts w:ascii="Arabic Typesetting" w:eastAsia="Arabic Typesetting" w:hAnsi="Arabic Typesetting" w:cs="Arabic Typesetting"/>
                <w:color w:val="002060"/>
                <w:sz w:val="28"/>
                <w:szCs w:val="28"/>
                <w:lang w:eastAsia="ar-EG" w:bidi="ar-EG"/>
              </w:rPr>
              <w:t>AUTM</w:t>
            </w:r>
            <w:r w:rsidRPr="001E6D34">
              <w:rPr>
                <w:rFonts w:ascii="Arabic Typesetting" w:eastAsia="Arabic Typesetting" w:hAnsi="Arabic Typesetting" w:cs="Arabic Typesetting"/>
                <w:color w:val="002060"/>
                <w:sz w:val="28"/>
                <w:szCs w:val="28"/>
                <w:rtl/>
                <w:lang w:eastAsia="ar-EG" w:bidi="ar-EG"/>
              </w:rPr>
              <w:t>) ومكتب الدانمرك للبراءات والعلامات التجارية (</w:t>
            </w:r>
            <w:r w:rsidRPr="001E6D34">
              <w:rPr>
                <w:rFonts w:ascii="Arabic Typesetting" w:eastAsia="Arabic Typesetting" w:hAnsi="Arabic Typesetting" w:cs="Arabic Typesetting"/>
                <w:color w:val="002060"/>
                <w:sz w:val="28"/>
                <w:szCs w:val="28"/>
                <w:lang w:eastAsia="ar-EG" w:bidi="ar-EG"/>
              </w:rPr>
              <w:t>DKPTO</w:t>
            </w:r>
            <w:r w:rsidRPr="001E6D34">
              <w:rPr>
                <w:rFonts w:ascii="Arabic Typesetting" w:eastAsia="Arabic Typesetting" w:hAnsi="Arabic Typesetting" w:cs="Arabic Typesetting"/>
                <w:color w:val="002060"/>
                <w:sz w:val="28"/>
                <w:szCs w:val="28"/>
                <w:rtl/>
                <w:lang w:eastAsia="ar-EG" w:bidi="ar-EG"/>
              </w:rPr>
              <w:t>) وشبكة شرق أفريقيا للابتكار في مجال المناخ (</w:t>
            </w:r>
            <w:r w:rsidRPr="001E6D34">
              <w:rPr>
                <w:rFonts w:ascii="Arabic Typesetting" w:eastAsia="Arabic Typesetting" w:hAnsi="Arabic Typesetting" w:cs="Arabic Typesetting"/>
                <w:color w:val="002060"/>
                <w:sz w:val="28"/>
                <w:szCs w:val="28"/>
                <w:lang w:eastAsia="ar-EG" w:bidi="ar-EG"/>
              </w:rPr>
              <w:t>EACIN</w:t>
            </w:r>
            <w:r w:rsidRPr="001E6D34">
              <w:rPr>
                <w:rFonts w:ascii="Arabic Typesetting" w:eastAsia="Arabic Typesetting" w:hAnsi="Arabic Typesetting" w:cs="Arabic Typesetting"/>
                <w:color w:val="002060"/>
                <w:sz w:val="28"/>
                <w:szCs w:val="28"/>
                <w:rtl/>
                <w:lang w:eastAsia="ar-EG" w:bidi="ar-EG"/>
              </w:rPr>
              <w:t>) ومشاعات البراءات المفيدة للبيئة (</w:t>
            </w:r>
            <w:r w:rsidRPr="001E6D34">
              <w:rPr>
                <w:rFonts w:ascii="Arabic Typesetting" w:eastAsia="Arabic Typesetting" w:hAnsi="Arabic Typesetting" w:cs="Arabic Typesetting"/>
                <w:color w:val="002060"/>
                <w:sz w:val="28"/>
                <w:szCs w:val="28"/>
                <w:lang w:eastAsia="ar-EG" w:bidi="ar-EG"/>
              </w:rPr>
              <w:t>Eco-patent commons</w:t>
            </w:r>
            <w:r w:rsidRPr="001E6D34">
              <w:rPr>
                <w:rFonts w:ascii="Arabic Typesetting" w:eastAsia="Arabic Typesetting" w:hAnsi="Arabic Typesetting" w:cs="Arabic Typesetting"/>
                <w:color w:val="002060"/>
                <w:sz w:val="28"/>
                <w:szCs w:val="28"/>
                <w:rtl/>
                <w:lang w:eastAsia="ar-EG" w:bidi="ar-EG"/>
              </w:rPr>
              <w:t>) ومؤسسة تمويل التكنولوجيا الكورية (</w:t>
            </w:r>
            <w:r w:rsidRPr="001E6D34">
              <w:rPr>
                <w:rFonts w:ascii="Arabic Typesetting" w:eastAsia="Arabic Typesetting" w:hAnsi="Arabic Typesetting" w:cs="Arabic Typesetting"/>
                <w:color w:val="002060"/>
                <w:sz w:val="28"/>
                <w:szCs w:val="28"/>
                <w:lang w:eastAsia="ar-EG" w:bidi="ar-EG"/>
              </w:rPr>
              <w:t>KOTEC</w:t>
            </w:r>
            <w:r w:rsidRPr="001E6D34">
              <w:rPr>
                <w:rFonts w:ascii="Arabic Typesetting" w:eastAsia="Arabic Typesetting" w:hAnsi="Arabic Typesetting" w:cs="Arabic Typesetting"/>
                <w:color w:val="002060"/>
                <w:sz w:val="28"/>
                <w:szCs w:val="28"/>
                <w:rtl/>
                <w:lang w:eastAsia="ar-EG" w:bidi="ar-EG"/>
              </w:rPr>
              <w:t>) و</w:t>
            </w:r>
            <w:r w:rsidRPr="001E6D34">
              <w:rPr>
                <w:rFonts w:ascii="Arabic Typesetting" w:eastAsia="Arabic Typesetting" w:hAnsi="Arabic Typesetting" w:cs="Arabic Typesetting"/>
                <w:color w:val="002060"/>
                <w:sz w:val="28"/>
                <w:szCs w:val="28"/>
                <w:lang w:eastAsia="ar-EG" w:bidi="ar-EG"/>
              </w:rPr>
              <w:t>TechnologieAllianz</w:t>
            </w:r>
            <w:r w:rsidRPr="001E6D34">
              <w:rPr>
                <w:rFonts w:ascii="Arabic Typesetting" w:eastAsia="Arabic Typesetting" w:hAnsi="Arabic Typesetting" w:cs="Arabic Typesetting"/>
                <w:color w:val="002060"/>
                <w:sz w:val="28"/>
                <w:szCs w:val="28"/>
                <w:rtl/>
                <w:lang w:eastAsia="ar-EG" w:bidi="ar-EG"/>
              </w:rPr>
              <w:t xml:space="preserve"> ومكتب الأمم المتحدة للتعاون فيما بين بلدان الجنوب </w:t>
            </w:r>
            <w:r w:rsidRPr="001E6D34">
              <w:rPr>
                <w:rFonts w:ascii="Arabic Typesetting" w:eastAsia="Arabic Typesetting" w:hAnsi="Arabic Typesetting" w:cs="Arabic Typesetting"/>
                <w:color w:val="002060"/>
                <w:sz w:val="28"/>
                <w:szCs w:val="28"/>
                <w:lang w:eastAsia="ar-EG" w:bidi="ar-EG"/>
              </w:rPr>
              <w:t>(UNOSSC)</w:t>
            </w:r>
            <w:r w:rsidRPr="001E6D34">
              <w:rPr>
                <w:rFonts w:ascii="Arabic Typesetting" w:eastAsia="Arabic Typesetting" w:hAnsi="Arabic Typesetting" w:cs="Arabic Typesetting"/>
                <w:color w:val="002060"/>
                <w:sz w:val="28"/>
                <w:szCs w:val="28"/>
                <w:rtl/>
                <w:lang w:eastAsia="ar-EG" w:bidi="ar-EG"/>
              </w:rPr>
              <w:t>) (تراكمي)</w:t>
            </w:r>
          </w:p>
          <w:p w14:paraId="2A30D297" w14:textId="77777777" w:rsidR="00BB3820" w:rsidRPr="001E6D34"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i/>
                <w:iCs/>
                <w:color w:val="000000"/>
                <w:sz w:val="28"/>
                <w:szCs w:val="28"/>
                <w:rtl/>
                <w:lang w:eastAsia="ar-EG" w:bidi="ar-EG"/>
              </w:rPr>
              <w:t>‏أساس المقارنة الأصلي:</w:t>
            </w:r>
            <w:r w:rsidRPr="001E6D34">
              <w:rPr>
                <w:rFonts w:ascii="Arabic Typesetting" w:eastAsia="Batang" w:hAnsi="Arabic Typesetting" w:cs="Arabic Typesetting"/>
                <w:i/>
                <w:color w:val="000000"/>
                <w:sz w:val="28"/>
                <w:szCs w:val="28"/>
                <w:lang w:eastAsia="ar-EG" w:bidi="ar-EG"/>
              </w:rPr>
              <w:br/>
            </w:r>
            <w:r w:rsidRPr="001E6D3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7 اتفاقات (جمعية مديري التكنولوجيا في الجامعات (</w:t>
            </w:r>
            <w:r w:rsidRPr="001E6D34">
              <w:rPr>
                <w:rFonts w:ascii="Arabic Typesetting" w:eastAsia="Arabic Typesetting" w:hAnsi="Arabic Typesetting" w:cs="Arabic Typesetting"/>
                <w:color w:val="000000"/>
                <w:sz w:val="28"/>
                <w:szCs w:val="28"/>
                <w:lang w:eastAsia="ar-EG" w:bidi="ar-EG"/>
              </w:rPr>
              <w:t>AUTM</w:t>
            </w:r>
            <w:r w:rsidRPr="001E6D34">
              <w:rPr>
                <w:rFonts w:ascii="Arabic Typesetting" w:eastAsia="Arabic Typesetting" w:hAnsi="Arabic Typesetting" w:cs="Arabic Typesetting"/>
                <w:color w:val="000000"/>
                <w:sz w:val="28"/>
                <w:szCs w:val="28"/>
                <w:rtl/>
                <w:lang w:eastAsia="ar-EG" w:bidi="ar-EG"/>
              </w:rPr>
              <w:t>) ومكتب الدانمرك للبراءات والعلامات التجارية (</w:t>
            </w:r>
            <w:r w:rsidRPr="001E6D34">
              <w:rPr>
                <w:rFonts w:ascii="Arabic Typesetting" w:eastAsia="Arabic Typesetting" w:hAnsi="Arabic Typesetting" w:cs="Arabic Typesetting"/>
                <w:color w:val="000000"/>
                <w:sz w:val="28"/>
                <w:szCs w:val="28"/>
                <w:lang w:eastAsia="ar-EG" w:bidi="ar-EG"/>
              </w:rPr>
              <w:t>DKPTO</w:t>
            </w:r>
            <w:r w:rsidRPr="001E6D34">
              <w:rPr>
                <w:rFonts w:ascii="Arabic Typesetting" w:eastAsia="Arabic Typesetting" w:hAnsi="Arabic Typesetting" w:cs="Arabic Typesetting"/>
                <w:color w:val="000000"/>
                <w:sz w:val="28"/>
                <w:szCs w:val="28"/>
                <w:rtl/>
                <w:lang w:eastAsia="ar-EG" w:bidi="ar-EG"/>
              </w:rPr>
              <w:t>) وشبكة شرق أفريقيا للابتكار في مجال المناخ (</w:t>
            </w:r>
            <w:r w:rsidRPr="001E6D34">
              <w:rPr>
                <w:rFonts w:ascii="Arabic Typesetting" w:eastAsia="Arabic Typesetting" w:hAnsi="Arabic Typesetting" w:cs="Arabic Typesetting"/>
                <w:color w:val="000000"/>
                <w:sz w:val="28"/>
                <w:szCs w:val="28"/>
                <w:lang w:eastAsia="ar-EG" w:bidi="ar-EG"/>
              </w:rPr>
              <w:t>EACIN</w:t>
            </w:r>
            <w:r w:rsidRPr="001E6D34">
              <w:rPr>
                <w:rFonts w:ascii="Arabic Typesetting" w:eastAsia="Arabic Typesetting" w:hAnsi="Arabic Typesetting" w:cs="Arabic Typesetting"/>
                <w:color w:val="000000"/>
                <w:sz w:val="28"/>
                <w:szCs w:val="28"/>
                <w:rtl/>
                <w:lang w:eastAsia="ar-EG" w:bidi="ar-EG"/>
              </w:rPr>
              <w:t>) ومشاعات البراءات المفيدة للبيئة (</w:t>
            </w:r>
            <w:r w:rsidRPr="001E6D34">
              <w:rPr>
                <w:rFonts w:ascii="Arabic Typesetting" w:eastAsia="Arabic Typesetting" w:hAnsi="Arabic Typesetting" w:cs="Arabic Typesetting"/>
                <w:color w:val="000000"/>
                <w:sz w:val="28"/>
                <w:szCs w:val="28"/>
                <w:lang w:eastAsia="ar-EG" w:bidi="ar-EG"/>
              </w:rPr>
              <w:t>Eco-patent commons</w:t>
            </w:r>
            <w:r w:rsidRPr="001E6D34">
              <w:rPr>
                <w:rFonts w:ascii="Arabic Typesetting" w:eastAsia="Arabic Typesetting" w:hAnsi="Arabic Typesetting" w:cs="Arabic Typesetting"/>
                <w:color w:val="000000"/>
                <w:sz w:val="28"/>
                <w:szCs w:val="28"/>
                <w:rtl/>
                <w:lang w:eastAsia="ar-EG" w:bidi="ar-EG"/>
              </w:rPr>
              <w:t>) ومؤسسة تمويل التكنولوجيا الكورية (</w:t>
            </w:r>
            <w:r w:rsidRPr="001E6D34">
              <w:rPr>
                <w:rFonts w:ascii="Arabic Typesetting" w:eastAsia="Arabic Typesetting" w:hAnsi="Arabic Typesetting" w:cs="Arabic Typesetting"/>
                <w:color w:val="000000"/>
                <w:sz w:val="28"/>
                <w:szCs w:val="28"/>
                <w:lang w:eastAsia="ar-EG" w:bidi="ar-EG"/>
              </w:rPr>
              <w:t>KOTEC</w:t>
            </w:r>
            <w:r w:rsidRPr="001E6D34">
              <w:rPr>
                <w:rFonts w:ascii="Arabic Typesetting" w:eastAsia="Arabic Typesetting" w:hAnsi="Arabic Typesetting" w:cs="Arabic Typesetting"/>
                <w:color w:val="000000"/>
                <w:sz w:val="28"/>
                <w:szCs w:val="28"/>
                <w:rtl/>
                <w:lang w:eastAsia="ar-EG" w:bidi="ar-EG"/>
              </w:rPr>
              <w:t>) و</w:t>
            </w:r>
            <w:r w:rsidRPr="001E6D34">
              <w:rPr>
                <w:rFonts w:ascii="Arabic Typesetting" w:eastAsia="Arabic Typesetting" w:hAnsi="Arabic Typesetting" w:cs="Arabic Typesetting"/>
                <w:color w:val="000000"/>
                <w:sz w:val="28"/>
                <w:szCs w:val="28"/>
                <w:lang w:eastAsia="ar-EG" w:bidi="ar-EG"/>
              </w:rPr>
              <w:t>TechnologieAllianz</w:t>
            </w:r>
            <w:r w:rsidRPr="001E6D34">
              <w:rPr>
                <w:rFonts w:ascii="Arabic Typesetting" w:eastAsia="Arabic Typesetting" w:hAnsi="Arabic Typesetting" w:cs="Arabic Typesetting"/>
                <w:color w:val="000000"/>
                <w:sz w:val="28"/>
                <w:szCs w:val="28"/>
                <w:rtl/>
                <w:lang w:eastAsia="ar-EG" w:bidi="ar-EG"/>
              </w:rPr>
              <w:t xml:space="preserve"> ومكتب الأمم المتحدة للتعاون فيما بين بلدان الجنوب </w:t>
            </w:r>
            <w:r w:rsidRPr="001E6D34">
              <w:rPr>
                <w:rFonts w:ascii="Arabic Typesetting" w:eastAsia="Arabic Typesetting" w:hAnsi="Arabic Typesetting" w:cs="Arabic Typesetting"/>
                <w:color w:val="000000"/>
                <w:sz w:val="28"/>
                <w:szCs w:val="28"/>
                <w:lang w:eastAsia="ar-EG" w:bidi="ar-EG"/>
              </w:rPr>
              <w:t>(UNOSSC)</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 xml:space="preserve">(في 24 </w:t>
            </w:r>
            <w:r>
              <w:rPr>
                <w:rFonts w:ascii="Arabic Typesetting" w:eastAsia="Arabic Typesetting" w:hAnsi="Arabic Typesetting" w:cs="Arabic Typesetting"/>
                <w:color w:val="000000"/>
                <w:sz w:val="28"/>
                <w:szCs w:val="28"/>
                <w:rtl/>
                <w:lang w:eastAsia="ar-EG" w:bidi="ar-EG"/>
              </w:rPr>
              <w:t>أبريل</w:t>
            </w:r>
            <w:r w:rsidRPr="001E6D34">
              <w:rPr>
                <w:rFonts w:ascii="Arabic Typesetting" w:eastAsia="Arabic Typesetting" w:hAnsi="Arabic Typesetting" w:cs="Arabic Typesetting"/>
                <w:color w:val="000000"/>
                <w:sz w:val="28"/>
                <w:szCs w:val="28"/>
                <w:rtl/>
                <w:lang w:eastAsia="ar-EG" w:bidi="ar-EG"/>
              </w:rPr>
              <w:t xml:space="preserve"> 2015)</w:t>
            </w:r>
          </w:p>
        </w:tc>
        <w:tc>
          <w:tcPr>
            <w:tcW w:w="745" w:type="pct"/>
            <w:shd w:val="clear" w:color="auto" w:fill="auto"/>
            <w:tcMar>
              <w:top w:w="110" w:type="dxa"/>
              <w:left w:w="58" w:type="dxa"/>
              <w:right w:w="58" w:type="dxa"/>
            </w:tcMar>
          </w:tcPr>
          <w:p w14:paraId="2E0BAC58"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10 اتفاقات</w:t>
            </w:r>
            <w:r>
              <w:rPr>
                <w:rFonts w:ascii="Arabic Typesetting" w:eastAsia="Arabic Typesetting" w:hAnsi="Arabic Typesetting" w:cs="Arabic Typesetting"/>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(تراكمي)</w:t>
            </w:r>
          </w:p>
        </w:tc>
        <w:tc>
          <w:tcPr>
            <w:tcW w:w="1119" w:type="pct"/>
            <w:shd w:val="clear" w:color="auto" w:fill="FFFFFF"/>
            <w:tcMar>
              <w:top w:w="110" w:type="dxa"/>
              <w:left w:w="58" w:type="dxa"/>
              <w:right w:w="58" w:type="dxa"/>
            </w:tcMar>
          </w:tcPr>
          <w:p w14:paraId="10DF7C5F"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sz w:val="28"/>
                <w:szCs w:val="28"/>
                <w:rtl/>
                <w:lang w:eastAsia="ar-EG" w:bidi="ar-EG"/>
              </w:rPr>
              <w:t>اتفاقان جديدان لتبادل البيانات</w:t>
            </w:r>
            <w:r>
              <w:rPr>
                <w:rFonts w:ascii="Arabic Typesetting" w:eastAsia="Arabic Typesetting" w:hAnsi="Arabic Typesetting" w:cs="Arabic Typesetting" w:hint="cs"/>
                <w:sz w:val="28"/>
                <w:szCs w:val="28"/>
                <w:rtl/>
                <w:lang w:eastAsia="ar-EG" w:bidi="ar-EG"/>
              </w:rPr>
              <w:t xml:space="preserve"> (</w:t>
            </w:r>
            <w:r w:rsidRPr="001E6D34">
              <w:rPr>
                <w:rFonts w:ascii="Arabic Typesetting" w:eastAsia="Arabic Typesetting" w:hAnsi="Arabic Typesetting" w:cs="Arabic Typesetting"/>
                <w:sz w:val="28"/>
                <w:szCs w:val="28"/>
                <w:rtl/>
                <w:lang w:eastAsia="ar-EG" w:bidi="ar-EG"/>
              </w:rPr>
              <w:t>وزارة الاقتصاد الإسرائيلية واتحاد</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المختبرات الاتحادية)</w:t>
            </w:r>
            <w:r>
              <w:rPr>
                <w:rFonts w:ascii="Arabic Typesetting" w:eastAsia="Arabic Typesetting" w:hAnsi="Arabic Typesetting" w:cs="Arabic Typesetting"/>
                <w:sz w:val="28"/>
                <w:szCs w:val="28"/>
                <w:rtl/>
                <w:lang w:eastAsia="ar-EG" w:bidi="ar-EG"/>
              </w:rPr>
              <w:br/>
            </w:r>
            <w:r w:rsidRPr="001E6D34">
              <w:rPr>
                <w:rFonts w:ascii="Arabic Typesetting" w:eastAsia="Arabic Typesetting" w:hAnsi="Arabic Typesetting" w:cs="Arabic Typesetting"/>
                <w:sz w:val="28"/>
                <w:szCs w:val="28"/>
                <w:rtl/>
                <w:lang w:eastAsia="ar-EG" w:bidi="ar-EG"/>
              </w:rPr>
              <w:t>(التراكمي 9 اتفاقات)</w:t>
            </w:r>
          </w:p>
        </w:tc>
        <w:tc>
          <w:tcPr>
            <w:tcW w:w="525" w:type="pct"/>
            <w:shd w:val="clear" w:color="auto" w:fill="auto"/>
            <w:tcMar>
              <w:top w:w="110" w:type="dxa"/>
              <w:left w:w="58" w:type="dxa"/>
              <w:right w:w="58" w:type="dxa"/>
            </w:tcMar>
          </w:tcPr>
          <w:p w14:paraId="68B2F82A" w14:textId="77777777" w:rsidR="00BB3820" w:rsidRPr="001E6D34" w:rsidRDefault="00BB3820" w:rsidP="0031289D">
            <w:pPr>
              <w:keepNext/>
              <w:keepLines/>
              <w:bidi/>
              <w:spacing w:after="120" w:line="280" w:lineRule="exact"/>
              <w:jc w:val="center"/>
              <w:rPr>
                <w:rFonts w:ascii="Arabic Typesetting" w:eastAsia="Arabic Typesetting" w:hAnsi="Arabic Typesetting" w:cs="Arabic Typesetting"/>
                <w:b/>
                <w:bCs/>
                <w:color w:val="00B050"/>
                <w:sz w:val="28"/>
                <w:szCs w:val="28"/>
                <w:lang w:eastAsia="ar-EG" w:bidi="ar-EG"/>
              </w:rPr>
            </w:pPr>
            <w:r w:rsidRPr="001E6D34">
              <w:rPr>
                <w:rFonts w:ascii="Arabic Typesetting" w:eastAsia="Arabic Typesetting" w:hAnsi="Arabic Typesetting" w:cs="Arabic Typesetting"/>
                <w:b/>
                <w:bCs/>
                <w:color w:val="00B050"/>
                <w:sz w:val="28"/>
                <w:szCs w:val="28"/>
                <w:rtl/>
                <w:lang w:eastAsia="ar-EG" w:bidi="ar-EG"/>
              </w:rPr>
              <w:t>ثابت</w:t>
            </w:r>
          </w:p>
        </w:tc>
      </w:tr>
      <w:tr w:rsidR="00BB3820" w:rsidRPr="001E6D34" w14:paraId="3BC29016" w14:textId="77777777" w:rsidTr="00BB3820">
        <w:trPr>
          <w:cantSplit/>
          <w:trHeight w:val="1326"/>
        </w:trPr>
        <w:tc>
          <w:tcPr>
            <w:tcW w:w="1071" w:type="pct"/>
            <w:shd w:val="clear" w:color="auto" w:fill="auto"/>
            <w:tcMar>
              <w:left w:w="58" w:type="dxa"/>
              <w:right w:w="58" w:type="dxa"/>
            </w:tcMar>
          </w:tcPr>
          <w:p w14:paraId="29221719" w14:textId="77777777" w:rsidR="00BB3820" w:rsidRPr="001E6D34"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إحراز تقدم في إقامة إطار للتعاون الدولي من أجل إسهام الملكية الفكرية إسهاماً فعالاً في الأمن الغذائي من خلال عملية</w:t>
            </w:r>
            <w:r>
              <w:rPr>
                <w:rFonts w:ascii="Arabic Typesetting" w:eastAsia="Arabic Typesetting" w:hAnsi="Arabic Typesetting" w:cs="Arabic Typesetting" w:hint="cs"/>
                <w:color w:val="000000"/>
                <w:sz w:val="28"/>
                <w:szCs w:val="28"/>
                <w:rtl/>
                <w:lang w:eastAsia="ar-EG" w:bidi="ar-EG"/>
              </w:rPr>
              <w:t> </w:t>
            </w:r>
            <w:r w:rsidRPr="001E6D34">
              <w:rPr>
                <w:rFonts w:ascii="Arabic Typesetting" w:eastAsia="Arabic Typesetting" w:hAnsi="Arabic Typesetting" w:cs="Arabic Typesetting"/>
                <w:color w:val="000000"/>
                <w:sz w:val="28"/>
                <w:szCs w:val="28"/>
                <w:rtl/>
                <w:lang w:eastAsia="ar-EG" w:bidi="ar-EG"/>
              </w:rPr>
              <w:t>التشاور</w:t>
            </w:r>
          </w:p>
        </w:tc>
        <w:tc>
          <w:tcPr>
            <w:tcW w:w="1540" w:type="pct"/>
            <w:shd w:val="clear" w:color="auto" w:fill="auto"/>
            <w:tcMar>
              <w:left w:w="58" w:type="dxa"/>
              <w:right w:w="58" w:type="dxa"/>
            </w:tcMar>
          </w:tcPr>
          <w:p w14:paraId="1BDCD534" w14:textId="77777777" w:rsidR="00BB3820" w:rsidRPr="001E6D34" w:rsidRDefault="00BB3820" w:rsidP="0031289D">
            <w:pPr>
              <w:bidi/>
              <w:spacing w:after="120" w:line="280" w:lineRule="exact"/>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sz w:val="28"/>
                <w:szCs w:val="28"/>
                <w:rtl/>
                <w:lang w:eastAsia="ar-EG" w:bidi="ar-EG"/>
              </w:rPr>
              <w:t>غير متاح - عدم وجود مشروع إطار</w:t>
            </w:r>
          </w:p>
        </w:tc>
        <w:tc>
          <w:tcPr>
            <w:tcW w:w="745" w:type="pct"/>
            <w:shd w:val="clear" w:color="auto" w:fill="auto"/>
            <w:tcMar>
              <w:top w:w="110" w:type="dxa"/>
              <w:left w:w="58" w:type="dxa"/>
              <w:right w:w="58" w:type="dxa"/>
            </w:tcMar>
          </w:tcPr>
          <w:p w14:paraId="01EBEB6F"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صيغ مشروع إطار</w:t>
            </w:r>
            <w:r>
              <w:rPr>
                <w:rFonts w:ascii="Arabic Typesetting" w:eastAsia="Arabic Typesetting" w:hAnsi="Arabic Typesetting" w:cs="Arabic Typesetting" w:hint="cs"/>
                <w:color w:val="000000"/>
                <w:sz w:val="28"/>
                <w:szCs w:val="28"/>
                <w:rtl/>
                <w:lang w:eastAsia="ar-EG" w:bidi="ar-EG"/>
              </w:rPr>
              <w:t> </w:t>
            </w:r>
            <w:r w:rsidRPr="001E6D34">
              <w:rPr>
                <w:rFonts w:ascii="Arabic Typesetting" w:eastAsia="Arabic Typesetting" w:hAnsi="Arabic Typesetting" w:cs="Arabic Typesetting"/>
                <w:color w:val="000000"/>
                <w:sz w:val="28"/>
                <w:szCs w:val="28"/>
                <w:rtl/>
                <w:lang w:eastAsia="ar-EG" w:bidi="ar-EG"/>
              </w:rPr>
              <w:t>شامل</w:t>
            </w:r>
          </w:p>
        </w:tc>
        <w:tc>
          <w:tcPr>
            <w:tcW w:w="1119" w:type="pct"/>
            <w:shd w:val="clear" w:color="auto" w:fill="FFFFFF"/>
            <w:tcMar>
              <w:top w:w="110" w:type="dxa"/>
              <w:left w:w="58" w:type="dxa"/>
              <w:right w:w="58" w:type="dxa"/>
            </w:tcMar>
          </w:tcPr>
          <w:p w14:paraId="52B3B5FF"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وُضعت وثيقة مناقشة</w:t>
            </w:r>
          </w:p>
        </w:tc>
        <w:tc>
          <w:tcPr>
            <w:tcW w:w="525" w:type="pct"/>
            <w:shd w:val="clear" w:color="auto" w:fill="auto"/>
            <w:tcMar>
              <w:top w:w="110" w:type="dxa"/>
              <w:left w:w="58" w:type="dxa"/>
              <w:right w:w="58" w:type="dxa"/>
            </w:tcMar>
          </w:tcPr>
          <w:p w14:paraId="5359EC14" w14:textId="77777777" w:rsidR="00BB3820" w:rsidRPr="001E6D34" w:rsidRDefault="00BB3820" w:rsidP="0031289D">
            <w:pPr>
              <w:keepNext/>
              <w:keepLines/>
              <w:bidi/>
              <w:spacing w:after="120" w:line="280" w:lineRule="exact"/>
              <w:jc w:val="center"/>
              <w:rPr>
                <w:rFonts w:ascii="Arabic Typesetting" w:eastAsia="Arabic Typesetting" w:hAnsi="Arabic Typesetting" w:cs="Arabic Typesetting"/>
                <w:b/>
                <w:color w:val="008000"/>
                <w:sz w:val="28"/>
                <w:szCs w:val="28"/>
                <w:lang w:eastAsia="ar-EG" w:bidi="ar-EG"/>
              </w:rPr>
            </w:pPr>
            <w:r w:rsidRPr="001E6D34">
              <w:rPr>
                <w:rFonts w:ascii="Arabic Typesetting" w:eastAsia="Arabic Typesetting" w:hAnsi="Arabic Typesetting" w:cs="Arabic Typesetting"/>
                <w:b/>
                <w:bCs/>
                <w:color w:val="00B050"/>
                <w:sz w:val="28"/>
                <w:szCs w:val="28"/>
                <w:rtl/>
                <w:lang w:eastAsia="ar-EG" w:bidi="ar-EG"/>
              </w:rPr>
              <w:t>ثابت</w:t>
            </w:r>
          </w:p>
        </w:tc>
      </w:tr>
      <w:tr w:rsidR="00BB3820" w:rsidRPr="001E6D34" w14:paraId="4527BCB1" w14:textId="77777777" w:rsidTr="00BB3820">
        <w:trPr>
          <w:cantSplit/>
          <w:trHeight w:val="676"/>
        </w:trPr>
        <w:tc>
          <w:tcPr>
            <w:tcW w:w="1071" w:type="pct"/>
            <w:shd w:val="clear" w:color="auto" w:fill="auto"/>
            <w:tcMar>
              <w:left w:w="58" w:type="dxa"/>
              <w:right w:w="58" w:type="dxa"/>
            </w:tcMar>
          </w:tcPr>
          <w:p w14:paraId="321E6725" w14:textId="77777777" w:rsidR="00BB3820" w:rsidRPr="001E6D34" w:rsidRDefault="00BB3820"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lastRenderedPageBreak/>
              <w:t>عدد زائري المو</w:t>
            </w:r>
            <w:r>
              <w:rPr>
                <w:rFonts w:ascii="Arabic Typesetting" w:eastAsia="Arabic Typesetting" w:hAnsi="Arabic Typesetting" w:cs="Arabic Typesetting"/>
                <w:color w:val="000000"/>
                <w:sz w:val="28"/>
                <w:szCs w:val="28"/>
                <w:rtl/>
                <w:lang w:eastAsia="ar-EG" w:bidi="ar-EG"/>
              </w:rPr>
              <w:t>قع الإلكتروني للتحديات العالمية</w:t>
            </w:r>
          </w:p>
        </w:tc>
        <w:tc>
          <w:tcPr>
            <w:tcW w:w="1540" w:type="pct"/>
            <w:shd w:val="clear" w:color="auto" w:fill="auto"/>
            <w:tcMar>
              <w:left w:w="58" w:type="dxa"/>
              <w:right w:w="58" w:type="dxa"/>
            </w:tcMar>
          </w:tcPr>
          <w:p w14:paraId="5367D766" w14:textId="77777777" w:rsidR="00BB3820" w:rsidRDefault="00BB3820" w:rsidP="0031289D">
            <w:pPr>
              <w:numPr>
                <w:ilvl w:val="0"/>
                <w:numId w:val="28"/>
              </w:numPr>
              <w:bidi/>
              <w:spacing w:after="120" w:line="280" w:lineRule="exact"/>
              <w:ind w:left="169" w:hanging="169"/>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عدد مرات مشاهدة الصفحة في 2014/15</w:t>
            </w:r>
            <w:r>
              <w:rPr>
                <w:rFonts w:ascii="Arabic Typesetting" w:eastAsia="Arabic Typesetting" w:hAnsi="Arabic Typesetting" w:cs="Arabic Typesetting"/>
                <w:color w:val="002060"/>
                <w:sz w:val="28"/>
                <w:szCs w:val="28"/>
                <w:rtl/>
                <w:lang w:eastAsia="ar-EG" w:bidi="ar-EG"/>
              </w:rPr>
              <w:t>:</w:t>
            </w:r>
          </w:p>
          <w:p w14:paraId="51BF3F8B" w14:textId="77777777" w:rsidR="00BB3820" w:rsidRPr="001E6D34" w:rsidRDefault="00BB3820" w:rsidP="0031289D">
            <w:pPr>
              <w:numPr>
                <w:ilvl w:val="0"/>
                <w:numId w:val="28"/>
              </w:numPr>
              <w:bidi/>
              <w:spacing w:after="120" w:line="280" w:lineRule="exact"/>
              <w:ind w:left="169" w:hanging="169"/>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color w:val="002060"/>
                <w:sz w:val="28"/>
                <w:szCs w:val="28"/>
                <w:rtl/>
                <w:lang w:eastAsia="ar-EG" w:bidi="ar-EG"/>
              </w:rPr>
              <w:t>قاعدة بيانات التحديات العالمية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2693</w:t>
            </w:r>
          </w:p>
          <w:p w14:paraId="30F58905" w14:textId="77777777" w:rsidR="00BB3820" w:rsidRPr="001E6D34" w:rsidRDefault="00BB3820" w:rsidP="0031289D">
            <w:pPr>
              <w:numPr>
                <w:ilvl w:val="0"/>
                <w:numId w:val="28"/>
              </w:numPr>
              <w:bidi/>
              <w:spacing w:after="120" w:line="280" w:lineRule="exact"/>
              <w:ind w:left="118" w:hanging="118"/>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color w:val="002060"/>
                <w:sz w:val="28"/>
                <w:szCs w:val="28"/>
                <w:rtl/>
                <w:lang w:eastAsia="ar-EG" w:bidi="ar-EG"/>
              </w:rPr>
              <w:t>الصحة العالمية والملكية الفكرية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 xml:space="preserve">9233 </w:t>
            </w:r>
            <w:r w:rsidRPr="001E6D34">
              <w:rPr>
                <w:rFonts w:ascii="Arabic Typesetting" w:eastAsia="Arabic Typesetting" w:hAnsi="Arabic Typesetting" w:cs="Arabic Typesetting"/>
                <w:color w:val="002060"/>
                <w:sz w:val="28"/>
                <w:szCs w:val="28"/>
                <w:vertAlign w:val="superscript"/>
                <w:lang w:eastAsia="ar-EG" w:bidi="ar-EG"/>
              </w:rPr>
              <w:footnoteReference w:id="75"/>
            </w:r>
          </w:p>
          <w:p w14:paraId="56965045" w14:textId="77777777" w:rsidR="00BB3820" w:rsidRPr="001E6D34" w:rsidRDefault="00BB3820" w:rsidP="0031289D">
            <w:pPr>
              <w:numPr>
                <w:ilvl w:val="0"/>
                <w:numId w:val="28"/>
              </w:numPr>
              <w:bidi/>
              <w:spacing w:after="120" w:line="280" w:lineRule="exact"/>
              <w:ind w:left="118" w:hanging="118"/>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color w:val="002060"/>
                <w:sz w:val="28"/>
                <w:szCs w:val="28"/>
                <w:rtl/>
                <w:lang w:eastAsia="ar-EG" w:bidi="ar-EG"/>
              </w:rPr>
              <w:t>تغير المناخ والملكية الفكرية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1E6D34">
              <w:rPr>
                <w:rFonts w:ascii="Arabic Typesetting" w:eastAsia="Arabic Typesetting" w:hAnsi="Arabic Typesetting" w:cs="Arabic Typesetting"/>
                <w:color w:val="002060"/>
                <w:sz w:val="28"/>
                <w:szCs w:val="28"/>
                <w:rtl/>
                <w:lang w:eastAsia="ar-EG" w:bidi="ar-EG"/>
              </w:rPr>
              <w:t>4952</w:t>
            </w:r>
          </w:p>
          <w:p w14:paraId="5F923D88" w14:textId="77777777" w:rsidR="00BB3820" w:rsidRPr="001E6D34" w:rsidRDefault="00BB3820" w:rsidP="0031289D">
            <w:pPr>
              <w:numPr>
                <w:ilvl w:val="0"/>
                <w:numId w:val="28"/>
              </w:numPr>
              <w:bidi/>
              <w:spacing w:after="120" w:line="280" w:lineRule="exact"/>
              <w:ind w:left="118" w:hanging="118"/>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color w:val="002060"/>
                <w:sz w:val="28"/>
                <w:szCs w:val="28"/>
                <w:lang w:eastAsia="ar-EG" w:bidi="ar-EG"/>
              </w:rPr>
              <w:t>WIPO Re:Search</w:t>
            </w:r>
            <w:r>
              <w:rPr>
                <w:rFonts w:ascii="Arabic Typesetting" w:eastAsia="Arabic Typesetting" w:hAnsi="Arabic Typesetting" w:cs="Arabic Typesetting" w:hint="cs"/>
                <w:color w:val="002060"/>
                <w:sz w:val="28"/>
                <w:szCs w:val="28"/>
                <w:rtl/>
                <w:lang w:eastAsia="ar-EG" w:bidi="ar-EG"/>
              </w:rPr>
              <w:t>: 118 62</w:t>
            </w:r>
          </w:p>
          <w:p w14:paraId="084F7BC7" w14:textId="2F48C9C4" w:rsidR="00BB3820" w:rsidRDefault="00BD308F" w:rsidP="0031289D">
            <w:pPr>
              <w:numPr>
                <w:ilvl w:val="0"/>
                <w:numId w:val="28"/>
              </w:numPr>
              <w:bidi/>
              <w:spacing w:after="120" w:line="280" w:lineRule="exact"/>
              <w:ind w:left="118" w:hanging="118"/>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color w:val="002060"/>
                <w:sz w:val="28"/>
                <w:szCs w:val="28"/>
                <w:lang w:eastAsia="ar-EG" w:bidi="ar-EG"/>
              </w:rPr>
              <w:t>WIPO GREEN</w:t>
            </w:r>
            <w:r w:rsidR="00BB3820" w:rsidRPr="00F84345">
              <w:rPr>
                <w:rFonts w:ascii="Arabic Typesetting" w:eastAsia="Arabic Typesetting" w:hAnsi="Arabic Typesetting" w:cs="Arabic Typesetting" w:hint="cs"/>
                <w:color w:val="002060"/>
                <w:sz w:val="28"/>
                <w:szCs w:val="28"/>
                <w:rtl/>
                <w:lang w:eastAsia="ar-EG" w:bidi="ar-EG"/>
              </w:rPr>
              <w:t xml:space="preserve">: </w:t>
            </w:r>
            <w:r w:rsidR="00BB3820" w:rsidRPr="00396976">
              <w:rPr>
                <w:rFonts w:ascii="Arabic Typesetting" w:eastAsia="Arabic Typesetting" w:hAnsi="Arabic Typesetting" w:cs="Arabic Typesetting"/>
                <w:color w:val="002060"/>
                <w:sz w:val="28"/>
                <w:szCs w:val="28"/>
                <w:rtl/>
                <w:lang w:eastAsia="ar-EG" w:bidi="ar-EG"/>
              </w:rPr>
              <w:t>716</w:t>
            </w:r>
            <w:r w:rsidR="00BB3820">
              <w:rPr>
                <w:rFonts w:ascii="Arabic Typesetting" w:eastAsia="Arabic Typesetting" w:hAnsi="Arabic Typesetting" w:cs="Arabic Typesetting" w:hint="cs"/>
                <w:color w:val="002060"/>
                <w:sz w:val="28"/>
                <w:szCs w:val="28"/>
                <w:rtl/>
                <w:lang w:eastAsia="ar-EG" w:bidi="ar-EG"/>
              </w:rPr>
              <w:t> </w:t>
            </w:r>
            <w:r w:rsidR="00BB3820" w:rsidRPr="00F84345">
              <w:rPr>
                <w:rFonts w:ascii="Arabic Typesetting" w:eastAsia="Arabic Typesetting" w:hAnsi="Arabic Typesetting" w:cs="Arabic Typesetting" w:hint="cs"/>
                <w:color w:val="002060"/>
                <w:sz w:val="28"/>
                <w:szCs w:val="28"/>
                <w:rtl/>
                <w:lang w:eastAsia="ar-EG" w:bidi="ar-EG"/>
              </w:rPr>
              <w:t>207</w:t>
            </w:r>
          </w:p>
          <w:p w14:paraId="6C4C2DF3" w14:textId="77777777" w:rsidR="00BB3820" w:rsidRPr="00F84345" w:rsidRDefault="00BB3820" w:rsidP="0031289D">
            <w:pPr>
              <w:numPr>
                <w:ilvl w:val="0"/>
                <w:numId w:val="28"/>
              </w:numPr>
              <w:bidi/>
              <w:spacing w:after="120" w:line="280" w:lineRule="exact"/>
              <w:ind w:left="118" w:hanging="118"/>
              <w:rPr>
                <w:rFonts w:ascii="Arabic Typesetting" w:eastAsia="Arabic Typesetting" w:hAnsi="Arabic Typesetting" w:cs="Arabic Typesetting"/>
                <w:color w:val="002060"/>
                <w:sz w:val="28"/>
                <w:szCs w:val="28"/>
                <w:lang w:eastAsia="ar-EG" w:bidi="ar-EG"/>
              </w:rPr>
            </w:pPr>
            <w:r w:rsidRPr="001E6D34">
              <w:rPr>
                <w:rFonts w:ascii="Arabic Typesetting" w:eastAsia="Arabic Typesetting" w:hAnsi="Arabic Typesetting" w:cs="Arabic Typesetting"/>
                <w:color w:val="002060"/>
                <w:sz w:val="28"/>
                <w:szCs w:val="28"/>
                <w:rtl/>
                <w:lang w:eastAsia="ar-EG" w:bidi="ar-EG"/>
              </w:rPr>
              <w:t xml:space="preserve">عدد مرات تحميل ملفات </w:t>
            </w:r>
            <w:r w:rsidRPr="001E6D34">
              <w:rPr>
                <w:rFonts w:ascii="Arabic Typesetting" w:eastAsia="Arabic Typesetting" w:hAnsi="Arabic Typesetting" w:cs="Arabic Typesetting"/>
                <w:color w:val="002060"/>
                <w:sz w:val="28"/>
                <w:szCs w:val="28"/>
                <w:lang w:eastAsia="ar-EG" w:bidi="ar-EG"/>
              </w:rPr>
              <w:t>pdf</w:t>
            </w:r>
            <w:r w:rsidRPr="00F84345">
              <w:rPr>
                <w:rFonts w:ascii="Arabic Typesetting" w:eastAsia="Arabic Typesetting" w:hAnsi="Arabic Typesetting" w:cs="Arabic Typesetting"/>
                <w:color w:val="002060"/>
                <w:sz w:val="28"/>
                <w:szCs w:val="28"/>
                <w:lang w:eastAsia="ar-EG" w:bidi="ar-EG"/>
              </w:rPr>
              <w:t>:</w:t>
            </w:r>
            <w:r w:rsidRPr="00F84345">
              <w:rPr>
                <w:rFonts w:ascii="Arabic Typesetting" w:eastAsia="Arabic Typesetting" w:hAnsi="Arabic Typesetting" w:cs="Arabic Typesetting"/>
                <w:color w:val="002060"/>
                <w:sz w:val="28"/>
                <w:szCs w:val="28"/>
                <w:lang w:eastAsia="ar-EG" w:bidi="ar-EG"/>
              </w:rPr>
              <w:br/>
            </w:r>
            <w:r>
              <w:rPr>
                <w:rFonts w:ascii="Arabic Typesetting" w:eastAsia="Arabic Typesetting" w:hAnsi="Arabic Typesetting" w:cs="Arabic Typesetting" w:hint="cs"/>
                <w:color w:val="002060"/>
                <w:sz w:val="28"/>
                <w:szCs w:val="28"/>
                <w:rtl/>
                <w:lang w:eastAsia="ar-EG" w:bidi="ar-EG"/>
              </w:rPr>
              <w:t>253 45</w:t>
            </w:r>
          </w:p>
          <w:p w14:paraId="418BA702" w14:textId="77777777" w:rsidR="00BB3820" w:rsidRDefault="00BB3820" w:rsidP="0031289D">
            <w:pPr>
              <w:bidi/>
              <w:spacing w:after="120" w:line="280" w:lineRule="exact"/>
              <w:rPr>
                <w:rFonts w:ascii="Arabic Typesetting" w:eastAsia="Arabic Typesetting" w:hAnsi="Arabic Typesetting" w:cs="Arabic Typesetting"/>
                <w:color w:val="000000"/>
                <w:sz w:val="28"/>
                <w:szCs w:val="28"/>
                <w:rtl/>
                <w:lang w:eastAsia="ar-EG" w:bidi="ar-EG"/>
              </w:rPr>
            </w:pPr>
            <w:r w:rsidRPr="001E6D34">
              <w:rPr>
                <w:rFonts w:ascii="Arabic Typesetting" w:eastAsia="Arabic Typesetting" w:hAnsi="Arabic Typesetting" w:cs="Arabic Typesetting"/>
                <w:i/>
                <w:iCs/>
                <w:color w:val="000000"/>
                <w:sz w:val="28"/>
                <w:szCs w:val="28"/>
                <w:rtl/>
                <w:lang w:eastAsia="ar-EG" w:bidi="ar-EG"/>
              </w:rPr>
              <w:t>‏أساس المقارنة الأصلي:</w:t>
            </w:r>
            <w:r w:rsidRPr="001E6D34">
              <w:rPr>
                <w:rFonts w:ascii="Arabic Typesetting" w:eastAsia="Batang" w:hAnsi="Arabic Typesetting" w:cs="Arabic Typesetting"/>
                <w:i/>
                <w:color w:val="000000"/>
                <w:sz w:val="28"/>
                <w:szCs w:val="28"/>
                <w:lang w:eastAsia="ar-EG" w:bidi="ar-EG"/>
              </w:rPr>
              <w:br/>
            </w:r>
            <w:r w:rsidRPr="001E6D34">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1E6D34">
              <w:rPr>
                <w:rFonts w:ascii="Arabic Typesetting" w:eastAsia="Arabic Typesetting" w:hAnsi="Arabic Typesetting" w:cs="Arabic Typesetting"/>
                <w:color w:val="000000"/>
                <w:sz w:val="28"/>
                <w:szCs w:val="28"/>
                <w:rtl/>
                <w:lang w:eastAsia="ar-EG" w:bidi="ar-EG"/>
              </w:rPr>
              <w:t>عدد مشاهدات الموقع الإلكتروني</w:t>
            </w:r>
            <w:r>
              <w:rPr>
                <w:rFonts w:ascii="Arabic Typesetting" w:eastAsia="Arabic Typesetting" w:hAnsi="Arabic Typesetting" w:cs="Arabic Typesetting"/>
                <w:color w:val="000000"/>
                <w:sz w:val="28"/>
                <w:szCs w:val="28"/>
                <w:rtl/>
                <w:lang w:eastAsia="ar-EG" w:bidi="ar-EG"/>
              </w:rPr>
              <w:t>:</w:t>
            </w:r>
          </w:p>
          <w:p w14:paraId="2592C893" w14:textId="0F2CD74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 قاعدة بيانات التحديات العالمية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E6D34">
              <w:rPr>
                <w:rFonts w:ascii="Arabic Typesetting" w:eastAsia="Arabic Typesetting" w:hAnsi="Arabic Typesetting" w:cs="Arabic Typesetting"/>
                <w:color w:val="000000"/>
                <w:sz w:val="28"/>
                <w:szCs w:val="28"/>
                <w:rtl/>
                <w:lang w:eastAsia="ar-EG" w:bidi="ar-EG"/>
              </w:rPr>
              <w:t>1353</w:t>
            </w:r>
            <w:r w:rsidRPr="001E6D34">
              <w:rPr>
                <w:rFonts w:ascii="Arabic Typesetting" w:eastAsia="Arabic Typesetting" w:hAnsi="Arabic Typesetting" w:cs="Arabic Typesetting"/>
                <w:color w:val="000000"/>
                <w:sz w:val="28"/>
                <w:szCs w:val="28"/>
                <w:lang w:eastAsia="ar-EG" w:bidi="ar-EG"/>
              </w:rPr>
              <w:br/>
            </w:r>
            <w:r w:rsidRPr="001E6D34">
              <w:rPr>
                <w:rFonts w:ascii="Arabic Typesetting" w:eastAsia="Arabic Typesetting" w:hAnsi="Arabic Typesetting" w:cs="Arabic Typesetting"/>
                <w:color w:val="000000"/>
                <w:sz w:val="28"/>
                <w:szCs w:val="28"/>
                <w:rtl/>
                <w:lang w:eastAsia="ar-EG" w:bidi="ar-EG"/>
              </w:rPr>
              <w:t>- الصحة العامة والملكية الفكرية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E6D34">
              <w:rPr>
                <w:rFonts w:ascii="Arabic Typesetting" w:eastAsia="Arabic Typesetting" w:hAnsi="Arabic Typesetting" w:cs="Arabic Typesetting"/>
                <w:color w:val="000000"/>
                <w:sz w:val="28"/>
                <w:szCs w:val="28"/>
                <w:rtl/>
                <w:lang w:eastAsia="ar-EG" w:bidi="ar-EG"/>
              </w:rPr>
              <w:t>4778</w:t>
            </w:r>
            <w:r>
              <w:rPr>
                <w:rFonts w:ascii="Arabic Typesetting" w:eastAsia="Arabic Typesetting" w:hAnsi="Arabic Typesetting" w:cs="Arabic Typesetting"/>
                <w:color w:val="000000"/>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w:t>
            </w:r>
            <w:r w:rsidRPr="001E6D34">
              <w:rPr>
                <w:rFonts w:ascii="Arabic Typesetting" w:eastAsia="Arabic Typesetting" w:hAnsi="Arabic Typesetting" w:cs="Arabic Typesetting"/>
                <w:color w:val="000000"/>
                <w:sz w:val="28"/>
                <w:szCs w:val="28"/>
                <w:rtl/>
                <w:lang w:eastAsia="ar-EG" w:bidi="ar-EG"/>
              </w:rPr>
              <w:t xml:space="preserve"> تغير المناخ والملكية الفكرية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E6D34">
              <w:rPr>
                <w:rFonts w:ascii="Arabic Typesetting" w:eastAsia="Arabic Typesetting" w:hAnsi="Arabic Typesetting" w:cs="Arabic Typesetting"/>
                <w:color w:val="000000"/>
                <w:sz w:val="28"/>
                <w:szCs w:val="28"/>
                <w:rtl/>
                <w:lang w:eastAsia="ar-EG" w:bidi="ar-EG"/>
              </w:rPr>
              <w:t>2462</w:t>
            </w:r>
            <w:r w:rsidRPr="001E6D34">
              <w:rPr>
                <w:rFonts w:ascii="Arabic Typesetting" w:eastAsia="Arabic Typesetting" w:hAnsi="Arabic Typesetting" w:cs="Arabic Typesetting"/>
                <w:color w:val="000000"/>
                <w:sz w:val="28"/>
                <w:szCs w:val="28"/>
                <w:lang w:eastAsia="ar-EG" w:bidi="ar-EG"/>
              </w:rPr>
              <w:br/>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lang w:eastAsia="ar-EG" w:bidi="ar-EG"/>
              </w:rPr>
              <w:t>WIPO Re:Search</w:t>
            </w:r>
            <w:r>
              <w:rPr>
                <w:rFonts w:ascii="Arabic Typesetting" w:eastAsia="Arabic Typesetting" w:hAnsi="Arabic Typesetting" w:cs="Arabic Typesetting" w:hint="cs"/>
                <w:color w:val="000000"/>
                <w:sz w:val="28"/>
                <w:szCs w:val="28"/>
                <w:rtl/>
                <w:lang w:eastAsia="ar-EG" w:bidi="ar-EG"/>
              </w:rPr>
              <w:t>: 852 38</w:t>
            </w:r>
            <w:r>
              <w:rPr>
                <w:rFonts w:ascii="Arabic Typesetting" w:eastAsia="Arabic Typesetting" w:hAnsi="Arabic Typesetting" w:cs="Arabic Typesetting"/>
                <w:color w:val="000000"/>
                <w:sz w:val="28"/>
                <w:szCs w:val="28"/>
                <w:rtl/>
                <w:lang w:eastAsia="ar-EG" w:bidi="ar-EG"/>
              </w:rPr>
              <w:br/>
            </w:r>
            <w:r w:rsidR="00BD308F">
              <w:rPr>
                <w:rFonts w:ascii="Arabic Typesetting" w:eastAsia="Arabic Typesetting" w:hAnsi="Arabic Typesetting" w:cs="Arabic Typesetting"/>
                <w:color w:val="000000"/>
                <w:sz w:val="28"/>
                <w:szCs w:val="28"/>
                <w:lang w:eastAsia="ar-EG" w:bidi="ar-EG"/>
              </w:rPr>
              <w:t>WIPO GREEN</w:t>
            </w:r>
            <w:r>
              <w:rPr>
                <w:rFonts w:ascii="Arabic Typesetting" w:eastAsia="Arabic Typesetting" w:hAnsi="Arabic Typesetting" w:cs="Arabic Typesetting" w:hint="cs"/>
                <w:color w:val="000000"/>
                <w:sz w:val="28"/>
                <w:szCs w:val="28"/>
                <w:rtl/>
                <w:lang w:eastAsia="ar-EG" w:bidi="ar-EG"/>
              </w:rPr>
              <w:t>: 752 77</w:t>
            </w:r>
          </w:p>
        </w:tc>
        <w:tc>
          <w:tcPr>
            <w:tcW w:w="745" w:type="pct"/>
            <w:shd w:val="clear" w:color="auto" w:fill="auto"/>
            <w:tcMar>
              <w:top w:w="110" w:type="dxa"/>
              <w:left w:w="58" w:type="dxa"/>
              <w:right w:w="58" w:type="dxa"/>
            </w:tcMar>
          </w:tcPr>
          <w:p w14:paraId="0B2588DF" w14:textId="77777777" w:rsidR="00BB3820" w:rsidRPr="001E6D34" w:rsidRDefault="00BB3820" w:rsidP="0031289D">
            <w:pPr>
              <w:bidi/>
              <w:spacing w:after="120" w:line="280" w:lineRule="exact"/>
              <w:rPr>
                <w:rFonts w:ascii="Arabic Typesetting" w:eastAsia="Arabic Typesetting" w:hAnsi="Arabic Typesetting" w:cs="Arabic Typesetting"/>
                <w:color w:val="000000"/>
                <w:sz w:val="28"/>
                <w:szCs w:val="28"/>
                <w:lang w:eastAsia="ar-EG" w:bidi="ar-EG"/>
              </w:rPr>
            </w:pPr>
            <w:r w:rsidRPr="001E6D34">
              <w:rPr>
                <w:rFonts w:ascii="Arabic Typesetting" w:eastAsia="Arabic Typesetting" w:hAnsi="Arabic Typesetting" w:cs="Arabic Typesetting"/>
                <w:color w:val="000000"/>
                <w:sz w:val="28"/>
                <w:szCs w:val="28"/>
                <w:rtl/>
                <w:lang w:eastAsia="ar-EG" w:bidi="ar-EG"/>
              </w:rPr>
              <w:t>‏زيادة بنسبة 10%</w:t>
            </w:r>
          </w:p>
        </w:tc>
        <w:tc>
          <w:tcPr>
            <w:tcW w:w="1119" w:type="pct"/>
            <w:shd w:val="clear" w:color="auto" w:fill="FFFFFF"/>
            <w:tcMar>
              <w:top w:w="110" w:type="dxa"/>
              <w:left w:w="58" w:type="dxa"/>
              <w:right w:w="58" w:type="dxa"/>
            </w:tcMar>
          </w:tcPr>
          <w:p w14:paraId="3A0081D8" w14:textId="77777777" w:rsidR="00BB3820" w:rsidRDefault="00BB3820" w:rsidP="0031289D">
            <w:pPr>
              <w:bidi/>
              <w:spacing w:after="120" w:line="280" w:lineRule="exact"/>
              <w:rPr>
                <w:rFonts w:ascii="Arabic Typesetting" w:eastAsia="Arabic Typesetting" w:hAnsi="Arabic Typesetting" w:cs="Arabic Typesetting"/>
                <w:sz w:val="28"/>
                <w:szCs w:val="28"/>
                <w:lang w:eastAsia="ar-EG" w:bidi="ar-EG"/>
              </w:rPr>
            </w:pPr>
            <w:r w:rsidRPr="001E6D34">
              <w:rPr>
                <w:rFonts w:ascii="Arabic Typesetting" w:eastAsia="Arabic Typesetting" w:hAnsi="Arabic Typesetting" w:cs="Arabic Typesetting"/>
                <w:sz w:val="28"/>
                <w:szCs w:val="28"/>
                <w:rtl/>
                <w:lang w:eastAsia="ar-EG" w:bidi="ar-EG"/>
              </w:rPr>
              <w:t>عدد مشاهدات الموقع الإلكتروني:</w:t>
            </w:r>
          </w:p>
          <w:p w14:paraId="4082031A" w14:textId="77777777" w:rsidR="00BB3820" w:rsidRDefault="00BB3820" w:rsidP="0031289D">
            <w:pPr>
              <w:bidi/>
              <w:spacing w:after="120" w:line="280" w:lineRule="exact"/>
              <w:rPr>
                <w:rFonts w:ascii="Arabic Typesetting" w:eastAsia="Arabic Typesetting" w:hAnsi="Arabic Typesetting" w:cs="Arabic Typesetting"/>
                <w:sz w:val="28"/>
                <w:szCs w:val="28"/>
                <w:lang w:eastAsia="ar-EG" w:bidi="ar-EG"/>
              </w:rPr>
            </w:pPr>
            <w:r w:rsidRPr="001E6D34">
              <w:rPr>
                <w:rFonts w:ascii="Arabic Typesetting" w:eastAsia="Arabic Typesetting" w:hAnsi="Arabic Typesetting" w:cs="Arabic Typesetting"/>
                <w:sz w:val="28"/>
                <w:szCs w:val="28"/>
                <w:rtl/>
                <w:lang w:eastAsia="ar-EG" w:bidi="ar-EG"/>
              </w:rPr>
              <w:t>قاعدة بيانات التحديات العالمية</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1E6D34">
              <w:rPr>
                <w:rFonts w:ascii="Arabic Typesetting" w:eastAsia="Arabic Typesetting" w:hAnsi="Arabic Typesetting" w:cs="Arabic Typesetting"/>
                <w:sz w:val="28"/>
                <w:szCs w:val="28"/>
                <w:rtl/>
                <w:lang w:eastAsia="ar-EG" w:bidi="ar-EG"/>
              </w:rPr>
              <w:t>742</w:t>
            </w:r>
          </w:p>
          <w:p w14:paraId="56BDC8CC" w14:textId="77777777" w:rsidR="00BB3820" w:rsidRDefault="00BB3820" w:rsidP="0031289D">
            <w:pPr>
              <w:bidi/>
              <w:spacing w:after="120" w:line="280" w:lineRule="exact"/>
              <w:rPr>
                <w:rFonts w:ascii="Arabic Typesetting" w:eastAsia="Arabic Typesetting" w:hAnsi="Arabic Typesetting" w:cs="Arabic Typesetting"/>
                <w:sz w:val="28"/>
                <w:szCs w:val="28"/>
                <w:rtl/>
                <w:lang w:eastAsia="ar-EG" w:bidi="ar-EG"/>
              </w:rPr>
            </w:pPr>
            <w:r w:rsidRPr="001E6D34">
              <w:rPr>
                <w:rFonts w:ascii="Arabic Typesetting" w:eastAsia="Arabic Typesetting" w:hAnsi="Arabic Typesetting" w:cs="Arabic Typesetting"/>
                <w:sz w:val="28"/>
                <w:szCs w:val="28"/>
                <w:rtl/>
                <w:lang w:eastAsia="ar-EG" w:bidi="ar-EG"/>
              </w:rPr>
              <w:t>الصحة العالمية والملكية الفكرية</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1E6D34">
              <w:rPr>
                <w:rFonts w:ascii="Arabic Typesetting" w:eastAsia="Arabic Typesetting" w:hAnsi="Arabic Typesetting" w:cs="Arabic Typesetting"/>
                <w:sz w:val="28"/>
                <w:szCs w:val="28"/>
                <w:rtl/>
                <w:lang w:eastAsia="ar-EG" w:bidi="ar-EG"/>
              </w:rPr>
              <w:t>4566</w:t>
            </w:r>
          </w:p>
          <w:p w14:paraId="49CD1778" w14:textId="77777777" w:rsidR="00BB3820" w:rsidRDefault="00BB3820" w:rsidP="0031289D">
            <w:pPr>
              <w:bidi/>
              <w:spacing w:after="120" w:line="280" w:lineRule="exact"/>
              <w:rPr>
                <w:rFonts w:ascii="Arabic Typesetting" w:eastAsia="Arabic Typesetting" w:hAnsi="Arabic Typesetting" w:cs="Arabic Typesetting"/>
                <w:sz w:val="28"/>
                <w:szCs w:val="28"/>
                <w:lang w:eastAsia="ar-EG" w:bidi="ar-EG"/>
              </w:rPr>
            </w:pPr>
            <w:r w:rsidRPr="001E6D34">
              <w:rPr>
                <w:rFonts w:ascii="Arabic Typesetting" w:eastAsia="Arabic Typesetting" w:hAnsi="Arabic Typesetting" w:cs="Arabic Typesetting"/>
                <w:sz w:val="28"/>
                <w:szCs w:val="28"/>
                <w:rtl/>
                <w:lang w:eastAsia="ar-EG" w:bidi="ar-EG"/>
              </w:rPr>
              <w:t>تغير المناخ والملكية الفكرية</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1E6D34">
              <w:rPr>
                <w:rFonts w:ascii="Arabic Typesetting" w:eastAsia="Arabic Typesetting" w:hAnsi="Arabic Typesetting" w:cs="Arabic Typesetting"/>
                <w:sz w:val="28"/>
                <w:szCs w:val="28"/>
                <w:rtl/>
                <w:lang w:eastAsia="ar-EG" w:bidi="ar-EG"/>
              </w:rPr>
              <w:t>2709</w:t>
            </w:r>
          </w:p>
          <w:p w14:paraId="7045100C" w14:textId="5E87C072" w:rsidR="00E91832" w:rsidRDefault="00BB3820" w:rsidP="00E91832">
            <w:pPr>
              <w:bidi/>
              <w:spacing w:after="120" w:line="280" w:lineRule="exact"/>
              <w:rPr>
                <w:rFonts w:ascii="Arabic Typesetting" w:eastAsia="Arabic Typesetting" w:hAnsi="Arabic Typesetting" w:cs="Arabic Typesetting"/>
                <w:sz w:val="28"/>
                <w:szCs w:val="28"/>
                <w:rtl/>
                <w:lang w:eastAsia="ar-EG" w:bidi="ar-EG"/>
              </w:rPr>
            </w:pPr>
            <w:r w:rsidRPr="001E6D34">
              <w:rPr>
                <w:rFonts w:ascii="Arabic Typesetting" w:eastAsia="Arabic Typesetting" w:hAnsi="Arabic Typesetting" w:cs="Arabic Typesetting"/>
                <w:sz w:val="28"/>
                <w:szCs w:val="28"/>
                <w:lang w:eastAsia="ar-EG" w:bidi="ar-EG"/>
              </w:rPr>
              <w:t>WIPO Re:Search</w:t>
            </w:r>
            <w:r>
              <w:rPr>
                <w:rFonts w:ascii="Arabic Typesetting" w:eastAsia="Arabic Typesetting" w:hAnsi="Arabic Typesetting" w:cs="Arabic Typesetting" w:hint="cs"/>
                <w:sz w:val="28"/>
                <w:szCs w:val="28"/>
                <w:rtl/>
                <w:lang w:eastAsia="ar-EG" w:bidi="ar-EG"/>
              </w:rPr>
              <w:t xml:space="preserve">: </w:t>
            </w:r>
            <w:r w:rsidR="00E91832">
              <w:rPr>
                <w:rFonts w:ascii="Arabic Typesetting" w:eastAsia="Arabic Typesetting" w:hAnsi="Arabic Typesetting" w:cs="Arabic Typesetting" w:hint="cs"/>
                <w:sz w:val="28"/>
                <w:szCs w:val="28"/>
                <w:rtl/>
                <w:lang w:eastAsia="ar-EG" w:bidi="ar-EG"/>
              </w:rPr>
              <w:t>345</w:t>
            </w:r>
            <w:r w:rsidR="00E91832">
              <w:rPr>
                <w:rFonts w:ascii="Arabic Typesetting" w:eastAsia="Arabic Typesetting" w:hAnsi="Arabic Typesetting" w:cs="Arabic Typesetting" w:hint="eastAsia"/>
                <w:sz w:val="28"/>
                <w:szCs w:val="28"/>
                <w:rtl/>
                <w:lang w:eastAsia="ar-EG" w:bidi="ar-EG"/>
              </w:rPr>
              <w:t> </w:t>
            </w:r>
            <w:r w:rsidR="00E91832">
              <w:rPr>
                <w:rFonts w:ascii="Arabic Typesetting" w:eastAsia="Arabic Typesetting" w:hAnsi="Arabic Typesetting" w:cs="Arabic Typesetting" w:hint="cs"/>
                <w:sz w:val="28"/>
                <w:szCs w:val="28"/>
                <w:rtl/>
                <w:lang w:eastAsia="ar-EG" w:bidi="ar-EG"/>
              </w:rPr>
              <w:t>18</w:t>
            </w:r>
          </w:p>
          <w:p w14:paraId="62E2C319" w14:textId="022A2D8F" w:rsidR="00E91832" w:rsidRDefault="00BD308F" w:rsidP="00E91832">
            <w:pPr>
              <w:bidi/>
              <w:spacing w:after="360" w:line="280" w:lineRule="exact"/>
              <w:rPr>
                <w:rFonts w:ascii="Arabic Typesetting" w:eastAsia="Arabic Typesetting" w:hAnsi="Arabic Typesetting" w:cs="Arabic Typesetting"/>
                <w:sz w:val="28"/>
                <w:szCs w:val="28"/>
                <w:rtl/>
                <w:lang w:eastAsia="ar-EG" w:bidi="ar-EG"/>
              </w:rPr>
            </w:pPr>
            <w:r>
              <w:rPr>
                <w:rFonts w:ascii="Arabic Typesetting" w:eastAsia="Arabic Typesetting" w:hAnsi="Arabic Typesetting" w:cs="Arabic Typesetting"/>
                <w:sz w:val="28"/>
                <w:szCs w:val="28"/>
                <w:lang w:eastAsia="ar-EG" w:bidi="ar-EG"/>
              </w:rPr>
              <w:t>WIPO GREEN</w:t>
            </w:r>
            <w:r w:rsidR="00BB3820">
              <w:rPr>
                <w:rFonts w:ascii="Arabic Typesetting" w:eastAsia="Arabic Typesetting" w:hAnsi="Arabic Typesetting" w:cs="Arabic Typesetting" w:hint="cs"/>
                <w:sz w:val="28"/>
                <w:szCs w:val="28"/>
                <w:rtl/>
                <w:lang w:eastAsia="ar-EG" w:bidi="ar-EG"/>
              </w:rPr>
              <w:t>:</w:t>
            </w:r>
            <w:r w:rsidR="00E91832">
              <w:rPr>
                <w:rFonts w:ascii="Arabic Typesetting" w:eastAsia="Arabic Typesetting" w:hAnsi="Arabic Typesetting" w:cs="Arabic Typesetting" w:hint="cs"/>
                <w:sz w:val="28"/>
                <w:szCs w:val="28"/>
                <w:rtl/>
                <w:lang w:eastAsia="ar-EG" w:bidi="ar-EG"/>
              </w:rPr>
              <w:t xml:space="preserve"> 176</w:t>
            </w:r>
            <w:r w:rsidR="00E91832">
              <w:rPr>
                <w:rFonts w:ascii="Arabic Typesetting" w:eastAsia="Arabic Typesetting" w:hAnsi="Arabic Typesetting" w:cs="Arabic Typesetting" w:hint="eastAsia"/>
                <w:sz w:val="28"/>
                <w:szCs w:val="28"/>
                <w:rtl/>
                <w:lang w:eastAsia="ar-EG" w:bidi="ar-EG"/>
              </w:rPr>
              <w:t> </w:t>
            </w:r>
            <w:r w:rsidR="00E91832" w:rsidRPr="00396976">
              <w:rPr>
                <w:rFonts w:ascii="Arabic Typesetting" w:eastAsia="Arabic Typesetting" w:hAnsi="Arabic Typesetting" w:cs="Arabic Typesetting"/>
                <w:sz w:val="28"/>
                <w:szCs w:val="28"/>
                <w:rtl/>
                <w:lang w:eastAsia="ar-EG" w:bidi="ar-EG"/>
              </w:rPr>
              <w:t>117</w:t>
            </w:r>
          </w:p>
          <w:p w14:paraId="6F1030E0" w14:textId="67570A9C" w:rsidR="00BB3820" w:rsidRPr="001E6D34" w:rsidRDefault="00BB3820" w:rsidP="00E91832">
            <w:pPr>
              <w:bidi/>
              <w:spacing w:after="120" w:line="280" w:lineRule="exact"/>
              <w:rPr>
                <w:rFonts w:ascii="Arabic Typesetting" w:eastAsia="Arabic Typesetting" w:hAnsi="Arabic Typesetting" w:cs="Arabic Typesetting"/>
                <w:sz w:val="28"/>
                <w:szCs w:val="28"/>
                <w:lang w:eastAsia="ar-EG" w:bidi="ar-EG"/>
              </w:rPr>
            </w:pPr>
            <w:r w:rsidRPr="001E6D34">
              <w:rPr>
                <w:rFonts w:ascii="Arabic Typesetting" w:eastAsia="Arabic Typesetting" w:hAnsi="Arabic Typesetting" w:cs="Arabic Typesetting"/>
                <w:sz w:val="28"/>
                <w:szCs w:val="28"/>
                <w:rtl/>
                <w:lang w:eastAsia="ar-EG" w:bidi="ar-EG"/>
              </w:rPr>
              <w:t>عدد مرات تحميل ملفات</w:t>
            </w:r>
            <w:r>
              <w:rPr>
                <w:rFonts w:ascii="Arabic Typesetting" w:eastAsia="Arabic Typesetting" w:hAnsi="Arabic Typesetting" w:cs="Arabic Typesetting" w:hint="cs"/>
                <w:sz w:val="28"/>
                <w:szCs w:val="28"/>
                <w:rtl/>
                <w:lang w:eastAsia="ar-EG" w:bidi="ar-EG"/>
              </w:rPr>
              <w:t xml:space="preserve"> </w:t>
            </w:r>
            <w:r>
              <w:rPr>
                <w:rFonts w:ascii="Arabic Typesetting" w:eastAsia="Arabic Typesetting" w:hAnsi="Arabic Typesetting" w:cs="Arabic Typesetting"/>
                <w:sz w:val="28"/>
                <w:szCs w:val="28"/>
                <w:lang w:eastAsia="ar-EG" w:bidi="ar-EG"/>
              </w:rPr>
              <w:t>pdf</w:t>
            </w:r>
            <w:r>
              <w:rPr>
                <w:rFonts w:ascii="Arabic Typesetting" w:eastAsia="Arabic Typesetting" w:hAnsi="Arabic Typesetting" w:cs="Arabic Typesetting" w:hint="cs"/>
                <w:sz w:val="28"/>
                <w:szCs w:val="28"/>
                <w:rtl/>
                <w:lang w:eastAsia="ar-EG" w:bidi="ar-EG"/>
              </w:rPr>
              <w:t xml:space="preserve">: </w:t>
            </w:r>
            <w:r w:rsidR="00E91832">
              <w:rPr>
                <w:rFonts w:ascii="Arabic Typesetting" w:eastAsia="Arabic Typesetting" w:hAnsi="Arabic Typesetting" w:cs="Arabic Typesetting" w:hint="cs"/>
                <w:sz w:val="28"/>
                <w:szCs w:val="28"/>
                <w:rtl/>
                <w:lang w:eastAsia="ar-EG" w:bidi="ar-EG"/>
              </w:rPr>
              <w:t>868 37</w:t>
            </w:r>
            <w:r>
              <w:rPr>
                <w:rFonts w:ascii="Arabic Typesetting" w:eastAsia="Arabic Typesetting" w:hAnsi="Arabic Typesetting" w:cs="Arabic Typesetting" w:hint="cs"/>
                <w:sz w:val="28"/>
                <w:szCs w:val="28"/>
                <w:rtl/>
                <w:lang w:eastAsia="ar-EG" w:bidi="ar-EG"/>
              </w:rPr>
              <w:t xml:space="preserve"> </w:t>
            </w:r>
            <w:r w:rsidRPr="001E6D34">
              <w:rPr>
                <w:rFonts w:ascii="Arabic Typesetting" w:eastAsia="Arabic Typesetting" w:hAnsi="Arabic Typesetting" w:cs="Arabic Typesetting"/>
                <w:sz w:val="28"/>
                <w:szCs w:val="28"/>
                <w:vertAlign w:val="superscript"/>
                <w:lang w:eastAsia="ar-EG" w:bidi="ar-EG"/>
              </w:rPr>
              <w:footnoteReference w:id="76"/>
            </w:r>
          </w:p>
        </w:tc>
        <w:tc>
          <w:tcPr>
            <w:tcW w:w="525" w:type="pct"/>
            <w:shd w:val="clear" w:color="auto" w:fill="auto"/>
            <w:tcMar>
              <w:top w:w="110" w:type="dxa"/>
              <w:left w:w="58" w:type="dxa"/>
              <w:right w:w="58" w:type="dxa"/>
            </w:tcMar>
          </w:tcPr>
          <w:p w14:paraId="5B2FE76D" w14:textId="77777777" w:rsidR="00BB3820" w:rsidRDefault="00BB3820"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p>
          <w:p w14:paraId="57CE29B9" w14:textId="77777777" w:rsidR="00BB3820" w:rsidRPr="001E6D34" w:rsidRDefault="00BB3820" w:rsidP="0031289D">
            <w:pPr>
              <w:bidi/>
              <w:spacing w:after="120" w:line="280" w:lineRule="exact"/>
              <w:jc w:val="center"/>
              <w:rPr>
                <w:rFonts w:ascii="Arabic Typesetting" w:eastAsia="Arabic Typesetting" w:hAnsi="Arabic Typesetting" w:cs="Arabic Typesetting"/>
                <w:b/>
                <w:color w:val="FF0000"/>
                <w:sz w:val="28"/>
                <w:szCs w:val="28"/>
                <w:lang w:eastAsia="ar-EG" w:bidi="ar-EG"/>
              </w:rPr>
            </w:pPr>
            <w:r w:rsidRPr="001E6D34">
              <w:rPr>
                <w:rFonts w:ascii="Arabic Typesetting" w:eastAsia="Arabic Typesetting" w:hAnsi="Arabic Typesetting" w:cs="Arabic Typesetting"/>
                <w:b/>
                <w:bCs/>
                <w:color w:val="FF0000"/>
                <w:sz w:val="28"/>
                <w:szCs w:val="28"/>
                <w:rtl/>
                <w:lang w:eastAsia="ar-EG" w:bidi="ar-EG"/>
              </w:rPr>
              <w:t>غير ثابت</w:t>
            </w:r>
          </w:p>
          <w:p w14:paraId="1B2371FB" w14:textId="77777777" w:rsidR="00BB3820" w:rsidRPr="001E6D34" w:rsidRDefault="00BB3820" w:rsidP="0031289D">
            <w:pPr>
              <w:keepNext/>
              <w:keepLines/>
              <w:bidi/>
              <w:spacing w:after="120" w:line="280" w:lineRule="exact"/>
              <w:jc w:val="center"/>
              <w:rPr>
                <w:rFonts w:ascii="Arabic Typesetting" w:eastAsia="Arabic Typesetting" w:hAnsi="Arabic Typesetting" w:cs="Arabic Typesetting"/>
                <w:b/>
                <w:bCs/>
                <w:color w:val="00B050"/>
                <w:sz w:val="28"/>
                <w:szCs w:val="28"/>
                <w:lang w:eastAsia="ar-EG" w:bidi="ar-EG"/>
              </w:rPr>
            </w:pPr>
            <w:r w:rsidRPr="001E6D34">
              <w:rPr>
                <w:rFonts w:ascii="Arabic Typesetting" w:eastAsia="Arabic Typesetting" w:hAnsi="Arabic Typesetting" w:cs="Arabic Typesetting"/>
                <w:b/>
                <w:color w:val="FF0000"/>
                <w:sz w:val="28"/>
                <w:szCs w:val="28"/>
                <w:lang w:eastAsia="ar-EG" w:bidi="ar-EG"/>
              </w:rPr>
              <w:br/>
            </w:r>
            <w:r w:rsidRPr="001E6D34">
              <w:rPr>
                <w:rFonts w:ascii="Arabic Typesetting" w:eastAsia="Arabic Typesetting" w:hAnsi="Arabic Typesetting" w:cs="Arabic Typesetting"/>
                <w:b/>
                <w:bCs/>
                <w:color w:val="00B050"/>
                <w:sz w:val="28"/>
                <w:szCs w:val="28"/>
                <w:rtl/>
                <w:lang w:eastAsia="ar-EG" w:bidi="ar-EG"/>
              </w:rPr>
              <w:t>ثابت</w:t>
            </w:r>
          </w:p>
          <w:p w14:paraId="39D86082" w14:textId="77777777" w:rsidR="00BB3820" w:rsidRPr="001E6D34" w:rsidRDefault="00BB3820" w:rsidP="0031289D">
            <w:pPr>
              <w:keepNext/>
              <w:keepLines/>
              <w:bidi/>
              <w:spacing w:after="120" w:line="280" w:lineRule="exact"/>
              <w:jc w:val="center"/>
              <w:rPr>
                <w:rFonts w:ascii="Arabic Typesetting" w:eastAsia="Arabic Typesetting" w:hAnsi="Arabic Typesetting" w:cs="Arabic Typesetting"/>
                <w:b/>
                <w:bCs/>
                <w:color w:val="00B050"/>
                <w:sz w:val="28"/>
                <w:szCs w:val="28"/>
                <w:lang w:eastAsia="ar-EG" w:bidi="ar-EG"/>
              </w:rPr>
            </w:pPr>
            <w:r w:rsidRPr="001E6D34">
              <w:rPr>
                <w:rFonts w:ascii="Arabic Typesetting" w:eastAsia="Arabic Typesetting" w:hAnsi="Arabic Typesetting" w:cs="Arabic Typesetting"/>
                <w:b/>
                <w:color w:val="008000"/>
                <w:sz w:val="28"/>
                <w:szCs w:val="28"/>
                <w:lang w:eastAsia="ar-EG" w:bidi="ar-EG"/>
              </w:rPr>
              <w:br/>
            </w:r>
            <w:r w:rsidRPr="001E6D34">
              <w:rPr>
                <w:rFonts w:ascii="Arabic Typesetting" w:eastAsia="Arabic Typesetting" w:hAnsi="Arabic Typesetting" w:cs="Arabic Typesetting"/>
                <w:b/>
                <w:bCs/>
                <w:color w:val="00B050"/>
                <w:sz w:val="28"/>
                <w:szCs w:val="28"/>
                <w:rtl/>
                <w:lang w:eastAsia="ar-EG" w:bidi="ar-EG"/>
              </w:rPr>
              <w:t>ثابت</w:t>
            </w:r>
          </w:p>
          <w:p w14:paraId="3CFB2927" w14:textId="77777777" w:rsidR="00BB3820" w:rsidRDefault="00BB3820" w:rsidP="0031289D">
            <w:pPr>
              <w:bidi/>
              <w:spacing w:after="120" w:line="280" w:lineRule="exact"/>
              <w:jc w:val="center"/>
              <w:rPr>
                <w:rFonts w:ascii="Arabic Typesetting" w:eastAsia="Arabic Typesetting" w:hAnsi="Arabic Typesetting" w:cs="Arabic Typesetting"/>
                <w:b/>
                <w:bCs/>
                <w:color w:val="FF0000"/>
                <w:sz w:val="28"/>
                <w:szCs w:val="28"/>
                <w:rtl/>
                <w:lang w:eastAsia="ar-EG" w:bidi="ar-EG"/>
              </w:rPr>
            </w:pPr>
            <w:r w:rsidRPr="001E6D34">
              <w:rPr>
                <w:rFonts w:ascii="Arabic Typesetting" w:eastAsia="Arabic Typesetting" w:hAnsi="Arabic Typesetting" w:cs="Arabic Typesetting"/>
                <w:b/>
                <w:color w:val="FF0000"/>
                <w:sz w:val="28"/>
                <w:szCs w:val="28"/>
                <w:lang w:eastAsia="ar-EG" w:bidi="ar-EG"/>
              </w:rPr>
              <w:br/>
            </w:r>
            <w:r w:rsidRPr="001E6D34">
              <w:rPr>
                <w:rFonts w:ascii="Arabic Typesetting" w:eastAsia="Arabic Typesetting" w:hAnsi="Arabic Typesetting" w:cs="Arabic Typesetting"/>
                <w:b/>
                <w:bCs/>
                <w:color w:val="FF0000"/>
                <w:sz w:val="28"/>
                <w:szCs w:val="28"/>
                <w:rtl/>
                <w:lang w:eastAsia="ar-EG" w:bidi="ar-EG"/>
              </w:rPr>
              <w:t>غير ثابت</w:t>
            </w:r>
          </w:p>
          <w:p w14:paraId="0A66936A" w14:textId="77777777" w:rsidR="00BB3820" w:rsidRPr="001E6D34" w:rsidRDefault="00BB3820" w:rsidP="0031289D">
            <w:pPr>
              <w:bidi/>
              <w:spacing w:after="120" w:line="280" w:lineRule="exact"/>
              <w:jc w:val="center"/>
              <w:rPr>
                <w:rFonts w:ascii="Arabic Typesetting" w:eastAsia="Arabic Typesetting" w:hAnsi="Arabic Typesetting" w:cs="Arabic Typesetting"/>
                <w:b/>
                <w:bCs/>
                <w:color w:val="00B050"/>
                <w:sz w:val="28"/>
                <w:szCs w:val="28"/>
                <w:lang w:eastAsia="ar-EG" w:bidi="ar-EG"/>
              </w:rPr>
            </w:pPr>
            <w:r>
              <w:rPr>
                <w:rFonts w:ascii="Arabic Typesetting" w:eastAsia="Arabic Typesetting" w:hAnsi="Arabic Typesetting" w:cs="Arabic Typesetting"/>
                <w:b/>
                <w:bCs/>
                <w:color w:val="FF0000"/>
                <w:sz w:val="28"/>
                <w:szCs w:val="28"/>
                <w:rtl/>
                <w:lang w:eastAsia="ar-EG" w:bidi="ar-EG"/>
              </w:rPr>
              <w:br/>
            </w:r>
            <w:r w:rsidRPr="001E6D34">
              <w:rPr>
                <w:rFonts w:ascii="Arabic Typesetting" w:eastAsia="Arabic Typesetting" w:hAnsi="Arabic Typesetting" w:cs="Arabic Typesetting"/>
                <w:b/>
                <w:bCs/>
                <w:color w:val="00B050"/>
                <w:sz w:val="28"/>
                <w:szCs w:val="28"/>
                <w:rtl/>
                <w:lang w:eastAsia="ar-EG" w:bidi="ar-EG"/>
              </w:rPr>
              <w:t>ثابت</w:t>
            </w:r>
          </w:p>
          <w:p w14:paraId="1C31FF9C" w14:textId="77777777" w:rsidR="00BB3820" w:rsidRPr="001E6D34" w:rsidRDefault="00BB3820"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1E6D34">
              <w:rPr>
                <w:rFonts w:ascii="Arabic Typesetting" w:eastAsia="Arabic Typesetting" w:hAnsi="Arabic Typesetting" w:cs="Arabic Typesetting"/>
                <w:b/>
                <w:color w:val="008000"/>
                <w:sz w:val="28"/>
                <w:szCs w:val="28"/>
                <w:lang w:eastAsia="ar-EG" w:bidi="ar-EG"/>
              </w:rPr>
              <w:br/>
            </w:r>
            <w:r w:rsidRPr="001E6D34">
              <w:rPr>
                <w:rFonts w:ascii="Arabic Typesetting" w:eastAsia="Arabic Typesetting" w:hAnsi="Arabic Typesetting" w:cs="Arabic Typesetting"/>
                <w:b/>
                <w:bCs/>
                <w:color w:val="00B050"/>
                <w:sz w:val="28"/>
                <w:szCs w:val="28"/>
                <w:rtl/>
                <w:lang w:eastAsia="ar-EG" w:bidi="ar-EG"/>
              </w:rPr>
              <w:t>ثابت</w:t>
            </w:r>
          </w:p>
        </w:tc>
      </w:tr>
    </w:tbl>
    <w:p w14:paraId="207EB4E9" w14:textId="77777777" w:rsidR="00BB3820" w:rsidRDefault="00BB3820" w:rsidP="0031289D">
      <w:pPr>
        <w:bidi/>
      </w:pPr>
    </w:p>
    <w:tbl>
      <w:tblPr>
        <w:tblStyle w:val="TableGrid"/>
        <w:bidiVisual/>
        <w:tblW w:w="0" w:type="auto"/>
        <w:tblLook w:val="04A0" w:firstRow="1" w:lastRow="0" w:firstColumn="1" w:lastColumn="0" w:noHBand="0" w:noVBand="1"/>
      </w:tblPr>
      <w:tblGrid>
        <w:gridCol w:w="9571"/>
      </w:tblGrid>
      <w:tr w:rsidR="00BB3820" w14:paraId="676AAE58" w14:textId="77777777" w:rsidTr="00BB3820">
        <w:tc>
          <w:tcPr>
            <w:tcW w:w="9571" w:type="dxa"/>
            <w:tcBorders>
              <w:top w:val="nil"/>
              <w:left w:val="nil"/>
              <w:bottom w:val="nil"/>
              <w:right w:val="nil"/>
            </w:tcBorders>
            <w:shd w:val="clear" w:color="auto" w:fill="C6D9F1"/>
            <w:vAlign w:val="center"/>
          </w:tcPr>
          <w:p w14:paraId="37EF039F" w14:textId="77777777" w:rsidR="00BB3820" w:rsidRPr="00A2672B" w:rsidRDefault="00BB3820"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18</w:t>
            </w:r>
          </w:p>
        </w:tc>
      </w:tr>
    </w:tbl>
    <w:p w14:paraId="02AF6008" w14:textId="77777777" w:rsidR="00BB3820" w:rsidRPr="00FE3908" w:rsidRDefault="00BB3820"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1D03C243" w14:textId="77777777" w:rsidR="00BB3820" w:rsidRDefault="00BB3820"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B3820" w:rsidRPr="00211D55" w14:paraId="1EB26421" w14:textId="77777777" w:rsidTr="00BB3820">
        <w:trPr>
          <w:trHeight w:val="825"/>
        </w:trPr>
        <w:tc>
          <w:tcPr>
            <w:tcW w:w="2753" w:type="pct"/>
            <w:gridSpan w:val="2"/>
            <w:shd w:val="clear" w:color="auto" w:fill="C6D9F1"/>
            <w:noWrap/>
            <w:tcMar>
              <w:top w:w="15" w:type="dxa"/>
              <w:left w:w="15" w:type="dxa"/>
              <w:bottom w:w="0" w:type="dxa"/>
              <w:right w:w="15" w:type="dxa"/>
            </w:tcMar>
            <w:vAlign w:val="center"/>
            <w:hideMark/>
          </w:tcPr>
          <w:p w14:paraId="34405664"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233F00D6"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430FE8A9" w14:textId="77777777" w:rsidR="00BB3820" w:rsidRPr="00A2672B" w:rsidRDefault="00BB3820"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545D69D8" w14:textId="77777777" w:rsidR="00BB3820" w:rsidRPr="00A2672B" w:rsidRDefault="00BB3820"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B3820" w:rsidRPr="00211D55" w14:paraId="33C00CE8" w14:textId="77777777" w:rsidTr="00BB3820">
        <w:trPr>
          <w:trHeight w:val="55"/>
        </w:trPr>
        <w:tc>
          <w:tcPr>
            <w:tcW w:w="413" w:type="pct"/>
            <w:shd w:val="clear" w:color="auto" w:fill="auto"/>
            <w:noWrap/>
            <w:tcMar>
              <w:top w:w="15" w:type="dxa"/>
              <w:left w:w="15" w:type="dxa"/>
              <w:bottom w:w="0" w:type="dxa"/>
              <w:right w:w="15" w:type="dxa"/>
            </w:tcMar>
          </w:tcPr>
          <w:p w14:paraId="3CB8059A" w14:textId="77777777" w:rsidR="00BB3820" w:rsidRPr="001E6D34" w:rsidRDefault="00BB3820" w:rsidP="0031289D">
            <w:pPr>
              <w:bidi/>
              <w:spacing w:before="80" w:after="100"/>
              <w:rPr>
                <w:rFonts w:ascii="Arabic Typesetting" w:hAnsi="Arabic Typesetting" w:cs="Arabic Typesetting"/>
                <w:sz w:val="28"/>
                <w:szCs w:val="28"/>
              </w:rPr>
            </w:pPr>
            <w:r w:rsidRPr="001E6D34">
              <w:rPr>
                <w:rFonts w:ascii="Arabic Typesetting" w:hAnsi="Arabic Typesetting" w:cs="Arabic Typesetting"/>
                <w:sz w:val="28"/>
                <w:szCs w:val="28"/>
                <w:rtl/>
              </w:rPr>
              <w:t>ه1.1</w:t>
            </w:r>
          </w:p>
        </w:tc>
        <w:tc>
          <w:tcPr>
            <w:tcW w:w="2340" w:type="pct"/>
            <w:shd w:val="clear" w:color="auto" w:fill="auto"/>
            <w:tcMar>
              <w:top w:w="15" w:type="dxa"/>
              <w:left w:w="15" w:type="dxa"/>
              <w:bottom w:w="0" w:type="dxa"/>
              <w:right w:w="15" w:type="dxa"/>
            </w:tcMar>
          </w:tcPr>
          <w:p w14:paraId="7ABBC6F3" w14:textId="1A395CD4" w:rsidR="00BB3820" w:rsidRPr="001E6D34" w:rsidRDefault="009834BA" w:rsidP="0031289D">
            <w:pPr>
              <w:bidi/>
              <w:spacing w:before="80" w:after="100"/>
              <w:rPr>
                <w:rFonts w:ascii="Arabic Typesetting" w:hAnsi="Arabic Typesetting" w:cs="Arabic Typesetting"/>
                <w:sz w:val="28"/>
                <w:szCs w:val="28"/>
              </w:rPr>
            </w:pPr>
            <w:r>
              <w:rPr>
                <w:rFonts w:ascii="Arabic Typesetting" w:hAnsi="Arabic Typesetting" w:cs="Arabic Typesetting"/>
                <w:sz w:val="28"/>
                <w:szCs w:val="28"/>
                <w:rtl/>
              </w:rPr>
              <w:t>تعاون معزز بين الدول الأعضاء في وضع أطر تقنينية دولية متوازنة في مجال الملكية الفكرية</w:t>
            </w:r>
          </w:p>
        </w:tc>
        <w:tc>
          <w:tcPr>
            <w:tcW w:w="749" w:type="pct"/>
            <w:shd w:val="clear" w:color="auto" w:fill="auto"/>
            <w:tcMar>
              <w:top w:w="15" w:type="dxa"/>
              <w:left w:w="15" w:type="dxa"/>
              <w:bottom w:w="0" w:type="dxa"/>
              <w:right w:w="15" w:type="dxa"/>
            </w:tcMar>
            <w:vAlign w:val="center"/>
          </w:tcPr>
          <w:p w14:paraId="10CC4899"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387</w:t>
            </w:r>
          </w:p>
        </w:tc>
        <w:tc>
          <w:tcPr>
            <w:tcW w:w="749" w:type="pct"/>
            <w:shd w:val="clear" w:color="auto" w:fill="auto"/>
            <w:tcMar>
              <w:top w:w="15" w:type="dxa"/>
              <w:left w:w="15" w:type="dxa"/>
              <w:bottom w:w="0" w:type="dxa"/>
              <w:right w:w="15" w:type="dxa"/>
            </w:tcMar>
            <w:vAlign w:val="center"/>
          </w:tcPr>
          <w:p w14:paraId="0809D3DA"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389</w:t>
            </w:r>
          </w:p>
        </w:tc>
        <w:tc>
          <w:tcPr>
            <w:tcW w:w="749" w:type="pct"/>
            <w:shd w:val="clear" w:color="auto" w:fill="auto"/>
            <w:noWrap/>
            <w:tcMar>
              <w:top w:w="15" w:type="dxa"/>
              <w:left w:w="15" w:type="dxa"/>
              <w:bottom w:w="0" w:type="dxa"/>
              <w:right w:w="15" w:type="dxa"/>
            </w:tcMar>
            <w:vAlign w:val="center"/>
          </w:tcPr>
          <w:p w14:paraId="7C11037F"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181</w:t>
            </w:r>
          </w:p>
        </w:tc>
      </w:tr>
      <w:tr w:rsidR="00BB3820" w:rsidRPr="00211D55" w14:paraId="5FFBCE8A" w14:textId="77777777" w:rsidTr="00BB3820">
        <w:trPr>
          <w:trHeight w:val="55"/>
        </w:trPr>
        <w:tc>
          <w:tcPr>
            <w:tcW w:w="413" w:type="pct"/>
            <w:shd w:val="clear" w:color="auto" w:fill="auto"/>
            <w:noWrap/>
            <w:tcMar>
              <w:top w:w="15" w:type="dxa"/>
              <w:left w:w="15" w:type="dxa"/>
              <w:bottom w:w="0" w:type="dxa"/>
              <w:right w:w="15" w:type="dxa"/>
            </w:tcMar>
          </w:tcPr>
          <w:p w14:paraId="69BBFE2A" w14:textId="77777777" w:rsidR="00BB3820" w:rsidRPr="001E6D34" w:rsidRDefault="00BB3820" w:rsidP="0031289D">
            <w:pPr>
              <w:bidi/>
              <w:spacing w:before="80" w:after="100"/>
              <w:rPr>
                <w:rFonts w:ascii="Arabic Typesetting" w:hAnsi="Arabic Typesetting" w:cs="Arabic Typesetting"/>
                <w:sz w:val="28"/>
                <w:szCs w:val="28"/>
              </w:rPr>
            </w:pPr>
            <w:r w:rsidRPr="001E6D34">
              <w:rPr>
                <w:rFonts w:ascii="Arabic Typesetting" w:hAnsi="Arabic Typesetting" w:cs="Arabic Typesetting"/>
                <w:sz w:val="28"/>
                <w:szCs w:val="28"/>
                <w:rtl/>
              </w:rPr>
              <w:t>ه2.1</w:t>
            </w:r>
          </w:p>
        </w:tc>
        <w:tc>
          <w:tcPr>
            <w:tcW w:w="2340" w:type="pct"/>
            <w:shd w:val="clear" w:color="auto" w:fill="auto"/>
            <w:tcMar>
              <w:top w:w="15" w:type="dxa"/>
              <w:left w:w="15" w:type="dxa"/>
              <w:bottom w:w="0" w:type="dxa"/>
              <w:right w:w="15" w:type="dxa"/>
            </w:tcMar>
          </w:tcPr>
          <w:p w14:paraId="6C1281F3" w14:textId="0D597B87" w:rsidR="00BB3820" w:rsidRPr="001E6D34" w:rsidRDefault="009834BA" w:rsidP="0031289D">
            <w:pPr>
              <w:bidi/>
              <w:spacing w:before="80" w:after="100"/>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مكيّفة ومتوازنة في مجال الملكية الفكرية</w:t>
            </w:r>
          </w:p>
        </w:tc>
        <w:tc>
          <w:tcPr>
            <w:tcW w:w="749" w:type="pct"/>
            <w:shd w:val="clear" w:color="auto" w:fill="auto"/>
            <w:tcMar>
              <w:top w:w="15" w:type="dxa"/>
              <w:left w:w="15" w:type="dxa"/>
              <w:bottom w:w="0" w:type="dxa"/>
              <w:right w:w="15" w:type="dxa"/>
            </w:tcMar>
            <w:vAlign w:val="center"/>
          </w:tcPr>
          <w:p w14:paraId="1D102850"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1 500</w:t>
            </w:r>
          </w:p>
        </w:tc>
        <w:tc>
          <w:tcPr>
            <w:tcW w:w="749" w:type="pct"/>
            <w:shd w:val="clear" w:color="auto" w:fill="auto"/>
            <w:tcMar>
              <w:top w:w="15" w:type="dxa"/>
              <w:left w:w="15" w:type="dxa"/>
              <w:bottom w:w="0" w:type="dxa"/>
              <w:right w:w="15" w:type="dxa"/>
            </w:tcMar>
            <w:vAlign w:val="center"/>
          </w:tcPr>
          <w:p w14:paraId="0FE7413C"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202</w:t>
            </w:r>
          </w:p>
        </w:tc>
        <w:tc>
          <w:tcPr>
            <w:tcW w:w="749" w:type="pct"/>
            <w:shd w:val="clear" w:color="auto" w:fill="auto"/>
            <w:noWrap/>
            <w:tcMar>
              <w:top w:w="15" w:type="dxa"/>
              <w:left w:w="15" w:type="dxa"/>
              <w:bottom w:w="0" w:type="dxa"/>
              <w:right w:w="15" w:type="dxa"/>
            </w:tcMar>
            <w:vAlign w:val="center"/>
          </w:tcPr>
          <w:p w14:paraId="35BE48CE"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142</w:t>
            </w:r>
          </w:p>
        </w:tc>
      </w:tr>
      <w:tr w:rsidR="00BB3820" w:rsidRPr="00211D55" w14:paraId="4AC8B78B" w14:textId="77777777" w:rsidTr="00BB3820">
        <w:trPr>
          <w:trHeight w:val="735"/>
        </w:trPr>
        <w:tc>
          <w:tcPr>
            <w:tcW w:w="413" w:type="pct"/>
            <w:shd w:val="clear" w:color="auto" w:fill="auto"/>
            <w:noWrap/>
            <w:tcMar>
              <w:top w:w="15" w:type="dxa"/>
              <w:left w:w="15" w:type="dxa"/>
              <w:bottom w:w="0" w:type="dxa"/>
              <w:right w:w="15" w:type="dxa"/>
            </w:tcMar>
          </w:tcPr>
          <w:p w14:paraId="5A2F7DD1" w14:textId="77777777" w:rsidR="00BB3820" w:rsidRPr="001E6D34" w:rsidRDefault="00BB3820" w:rsidP="0031289D">
            <w:pPr>
              <w:bidi/>
              <w:spacing w:before="80" w:after="100"/>
              <w:rPr>
                <w:rFonts w:ascii="Arabic Typesetting" w:hAnsi="Arabic Typesetting" w:cs="Arabic Typesetting"/>
                <w:sz w:val="28"/>
                <w:szCs w:val="28"/>
              </w:rPr>
            </w:pPr>
            <w:r w:rsidRPr="001E6D34">
              <w:rPr>
                <w:rFonts w:ascii="Arabic Typesetting" w:hAnsi="Arabic Typesetting" w:cs="Arabic Typesetting"/>
                <w:sz w:val="28"/>
                <w:szCs w:val="28"/>
                <w:rtl/>
              </w:rPr>
              <w:t>ه2.3</w:t>
            </w:r>
          </w:p>
        </w:tc>
        <w:tc>
          <w:tcPr>
            <w:tcW w:w="2340" w:type="pct"/>
            <w:shd w:val="clear" w:color="auto" w:fill="auto"/>
            <w:tcMar>
              <w:top w:w="15" w:type="dxa"/>
              <w:left w:w="15" w:type="dxa"/>
              <w:bottom w:w="0" w:type="dxa"/>
              <w:right w:w="15" w:type="dxa"/>
            </w:tcMar>
          </w:tcPr>
          <w:p w14:paraId="6AFA942A" w14:textId="77777777" w:rsidR="00BB3820" w:rsidRPr="001E6D34" w:rsidRDefault="00BB3820" w:rsidP="0031289D">
            <w:pPr>
              <w:bidi/>
              <w:spacing w:before="80" w:after="100"/>
              <w:rPr>
                <w:rFonts w:ascii="Arabic Typesetting" w:hAnsi="Arabic Typesetting" w:cs="Arabic Typesetting"/>
                <w:sz w:val="28"/>
                <w:szCs w:val="28"/>
              </w:rPr>
            </w:pPr>
            <w:r w:rsidRPr="00311919">
              <w:rPr>
                <w:rFonts w:ascii="Arabic Typesetting" w:hAnsi="Arabic Typesetting" w:cs="Arabic Typesetting"/>
                <w:sz w:val="28"/>
                <w:szCs w:val="28"/>
                <w:rtl/>
              </w:rPr>
              <w:t>كفاءات</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‏معزَّزة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‏للموارد</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‏البشرية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‏القادرة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‏على</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‏تلبية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‏تشكيلة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‏واسعة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‏من</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‏المتطلبات</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‏لتسخير</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‏الملكية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‏الفكرية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‏بفعالية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‏لأغراض</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‏التنمية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‏في</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‏البلدان</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‏النامية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‏والبلدان</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‏الأقل</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‏نموا</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‏والبلدان</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‏المنتقلة</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‏إلى</w:t>
            </w:r>
            <w:r w:rsidRPr="00311919">
              <w:rPr>
                <w:rFonts w:ascii="Arabic Typesetting" w:hAnsi="Arabic Typesetting" w:cs="Arabic Typesetting"/>
                <w:sz w:val="28"/>
                <w:szCs w:val="28"/>
                <w:cs/>
              </w:rPr>
              <w:t>‎</w:t>
            </w:r>
            <w:r w:rsidRPr="00311919">
              <w:rPr>
                <w:rFonts w:ascii="Arabic Typesetting" w:hAnsi="Arabic Typesetting" w:cs="Arabic Typesetting"/>
                <w:sz w:val="28"/>
                <w:szCs w:val="28"/>
                <w:rtl/>
              </w:rPr>
              <w:t xml:space="preserve"> ‏نظام الاقتصاد ‏الحر</w:t>
            </w:r>
          </w:p>
        </w:tc>
        <w:tc>
          <w:tcPr>
            <w:tcW w:w="749" w:type="pct"/>
            <w:shd w:val="clear" w:color="auto" w:fill="auto"/>
            <w:tcMar>
              <w:top w:w="15" w:type="dxa"/>
              <w:left w:w="15" w:type="dxa"/>
              <w:bottom w:w="0" w:type="dxa"/>
              <w:right w:w="15" w:type="dxa"/>
            </w:tcMar>
            <w:vAlign w:val="center"/>
          </w:tcPr>
          <w:p w14:paraId="2A12F5E9"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145</w:t>
            </w:r>
          </w:p>
        </w:tc>
        <w:tc>
          <w:tcPr>
            <w:tcW w:w="749" w:type="pct"/>
            <w:shd w:val="clear" w:color="auto" w:fill="auto"/>
            <w:tcMar>
              <w:top w:w="15" w:type="dxa"/>
              <w:left w:w="15" w:type="dxa"/>
              <w:bottom w:w="0" w:type="dxa"/>
              <w:right w:w="15" w:type="dxa"/>
            </w:tcMar>
            <w:vAlign w:val="center"/>
          </w:tcPr>
          <w:p w14:paraId="3470BFCA"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436</w:t>
            </w:r>
          </w:p>
        </w:tc>
        <w:tc>
          <w:tcPr>
            <w:tcW w:w="749" w:type="pct"/>
            <w:shd w:val="clear" w:color="auto" w:fill="auto"/>
            <w:noWrap/>
            <w:tcMar>
              <w:top w:w="15" w:type="dxa"/>
              <w:left w:w="15" w:type="dxa"/>
              <w:bottom w:w="0" w:type="dxa"/>
              <w:right w:w="15" w:type="dxa"/>
            </w:tcMar>
            <w:vAlign w:val="center"/>
          </w:tcPr>
          <w:p w14:paraId="647A818C"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218</w:t>
            </w:r>
          </w:p>
        </w:tc>
      </w:tr>
      <w:tr w:rsidR="00BB3820" w:rsidRPr="00211D55" w14:paraId="00223EA6" w14:textId="77777777" w:rsidTr="00BB3820">
        <w:trPr>
          <w:trHeight w:val="735"/>
        </w:trPr>
        <w:tc>
          <w:tcPr>
            <w:tcW w:w="413" w:type="pct"/>
            <w:shd w:val="clear" w:color="auto" w:fill="auto"/>
            <w:noWrap/>
            <w:tcMar>
              <w:top w:w="15" w:type="dxa"/>
              <w:left w:w="15" w:type="dxa"/>
              <w:bottom w:w="0" w:type="dxa"/>
              <w:right w:w="15" w:type="dxa"/>
            </w:tcMar>
          </w:tcPr>
          <w:p w14:paraId="1136279D" w14:textId="77777777" w:rsidR="00BB3820" w:rsidRPr="001E6D34" w:rsidRDefault="00BB3820" w:rsidP="0031289D">
            <w:pPr>
              <w:bidi/>
              <w:spacing w:before="80" w:after="100"/>
              <w:rPr>
                <w:rFonts w:ascii="Arabic Typesetting" w:hAnsi="Arabic Typesetting" w:cs="Arabic Typesetting"/>
                <w:sz w:val="28"/>
                <w:szCs w:val="28"/>
              </w:rPr>
            </w:pPr>
            <w:r w:rsidRPr="001E6D34">
              <w:rPr>
                <w:rFonts w:ascii="Arabic Typesetting" w:hAnsi="Arabic Typesetting" w:cs="Arabic Typesetting"/>
                <w:sz w:val="28"/>
                <w:szCs w:val="28"/>
                <w:rtl/>
              </w:rPr>
              <w:t>ه1.6</w:t>
            </w:r>
          </w:p>
        </w:tc>
        <w:tc>
          <w:tcPr>
            <w:tcW w:w="2340" w:type="pct"/>
            <w:shd w:val="clear" w:color="auto" w:fill="auto"/>
            <w:tcMar>
              <w:top w:w="15" w:type="dxa"/>
              <w:left w:w="15" w:type="dxa"/>
              <w:bottom w:w="0" w:type="dxa"/>
              <w:right w:w="15" w:type="dxa"/>
            </w:tcMar>
          </w:tcPr>
          <w:p w14:paraId="659A7CE3" w14:textId="77777777" w:rsidR="00BB3820" w:rsidRPr="001E6D34" w:rsidRDefault="00BB3820" w:rsidP="0031289D">
            <w:pPr>
              <w:bidi/>
              <w:spacing w:before="80" w:after="100"/>
              <w:rPr>
                <w:rFonts w:ascii="Arabic Typesetting" w:hAnsi="Arabic Typesetting" w:cs="Arabic Typesetting"/>
                <w:sz w:val="28"/>
                <w:szCs w:val="28"/>
              </w:rPr>
            </w:pPr>
            <w:r w:rsidRPr="001E6D34">
              <w:rPr>
                <w:rFonts w:ascii="Arabic Typesetting" w:hAnsi="Arabic Typesetting" w:cs="Arabic Typesetting"/>
                <w:sz w:val="28"/>
                <w:szCs w:val="28"/>
                <w:rtl/>
              </w:rPr>
              <w:t>تقدّم في الحوار السياسي الدولي بين الدول الأعضاء في الويبو حول إذكاء الاحترام للملكية الفكرية، مع ال</w:t>
            </w:r>
            <w:r>
              <w:rPr>
                <w:rFonts w:ascii="Arabic Typesetting" w:hAnsi="Arabic Typesetting" w:cs="Arabic Typesetting"/>
                <w:sz w:val="28"/>
                <w:szCs w:val="28"/>
                <w:rtl/>
              </w:rPr>
              <w:t xml:space="preserve">استرشاد بالتوصية رقم 45 من </w:t>
            </w:r>
            <w:r>
              <w:rPr>
                <w:rFonts w:ascii="Arabic Typesetting" w:hAnsi="Arabic Typesetting" w:cs="Arabic Typesetting" w:hint="cs"/>
                <w:sz w:val="28"/>
                <w:szCs w:val="28"/>
                <w:rtl/>
              </w:rPr>
              <w:t xml:space="preserve">أجندة </w:t>
            </w:r>
            <w:r w:rsidRPr="001E6D34">
              <w:rPr>
                <w:rFonts w:ascii="Arabic Typesetting" w:hAnsi="Arabic Typesetting" w:cs="Arabic Typesetting"/>
                <w:sz w:val="28"/>
                <w:szCs w:val="28"/>
                <w:rtl/>
              </w:rPr>
              <w:t>الويبو بشأن التنمية</w:t>
            </w:r>
          </w:p>
        </w:tc>
        <w:tc>
          <w:tcPr>
            <w:tcW w:w="749" w:type="pct"/>
            <w:shd w:val="clear" w:color="auto" w:fill="auto"/>
            <w:tcMar>
              <w:top w:w="15" w:type="dxa"/>
              <w:left w:w="15" w:type="dxa"/>
              <w:bottom w:w="0" w:type="dxa"/>
              <w:right w:w="15" w:type="dxa"/>
            </w:tcMar>
            <w:vAlign w:val="center"/>
          </w:tcPr>
          <w:p w14:paraId="72B5FBE9"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187</w:t>
            </w:r>
          </w:p>
        </w:tc>
        <w:tc>
          <w:tcPr>
            <w:tcW w:w="749" w:type="pct"/>
            <w:shd w:val="clear" w:color="auto" w:fill="auto"/>
            <w:tcMar>
              <w:top w:w="15" w:type="dxa"/>
              <w:left w:w="15" w:type="dxa"/>
              <w:bottom w:w="0" w:type="dxa"/>
              <w:right w:w="15" w:type="dxa"/>
            </w:tcMar>
            <w:vAlign w:val="center"/>
          </w:tcPr>
          <w:p w14:paraId="4A8E059E"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375</w:t>
            </w:r>
          </w:p>
        </w:tc>
        <w:tc>
          <w:tcPr>
            <w:tcW w:w="749" w:type="pct"/>
            <w:shd w:val="clear" w:color="auto" w:fill="auto"/>
            <w:noWrap/>
            <w:tcMar>
              <w:top w:w="15" w:type="dxa"/>
              <w:left w:w="15" w:type="dxa"/>
              <w:bottom w:w="0" w:type="dxa"/>
              <w:right w:w="15" w:type="dxa"/>
            </w:tcMar>
            <w:vAlign w:val="center"/>
          </w:tcPr>
          <w:p w14:paraId="457A4E7F"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180</w:t>
            </w:r>
          </w:p>
        </w:tc>
      </w:tr>
      <w:tr w:rsidR="00BB3820" w:rsidRPr="00211D55" w14:paraId="0CFA9457" w14:textId="77777777" w:rsidTr="00BB3820">
        <w:trPr>
          <w:trHeight w:val="735"/>
        </w:trPr>
        <w:tc>
          <w:tcPr>
            <w:tcW w:w="413" w:type="pct"/>
            <w:shd w:val="clear" w:color="auto" w:fill="auto"/>
            <w:noWrap/>
            <w:tcMar>
              <w:top w:w="15" w:type="dxa"/>
              <w:left w:w="15" w:type="dxa"/>
              <w:bottom w:w="0" w:type="dxa"/>
              <w:right w:w="15" w:type="dxa"/>
            </w:tcMar>
          </w:tcPr>
          <w:p w14:paraId="3CCA17FC" w14:textId="77777777" w:rsidR="00BB3820" w:rsidRPr="001E6D34" w:rsidRDefault="00BB3820" w:rsidP="0031289D">
            <w:pPr>
              <w:bidi/>
              <w:spacing w:before="80" w:after="100"/>
              <w:rPr>
                <w:rFonts w:ascii="Arabic Typesetting" w:hAnsi="Arabic Typesetting" w:cs="Arabic Typesetting"/>
                <w:sz w:val="28"/>
                <w:szCs w:val="28"/>
              </w:rPr>
            </w:pPr>
            <w:r w:rsidRPr="001E6D34">
              <w:rPr>
                <w:rFonts w:ascii="Arabic Typesetting" w:hAnsi="Arabic Typesetting" w:cs="Arabic Typesetting"/>
                <w:sz w:val="28"/>
                <w:szCs w:val="28"/>
                <w:rtl/>
              </w:rPr>
              <w:t>ه2.6</w:t>
            </w:r>
          </w:p>
        </w:tc>
        <w:tc>
          <w:tcPr>
            <w:tcW w:w="2340" w:type="pct"/>
            <w:shd w:val="clear" w:color="auto" w:fill="auto"/>
            <w:tcMar>
              <w:top w:w="15" w:type="dxa"/>
              <w:left w:w="15" w:type="dxa"/>
              <w:bottom w:w="0" w:type="dxa"/>
              <w:right w:w="15" w:type="dxa"/>
            </w:tcMar>
          </w:tcPr>
          <w:p w14:paraId="3006E26F" w14:textId="77777777" w:rsidR="00BB3820" w:rsidRPr="001E6D34" w:rsidRDefault="00BB3820" w:rsidP="0031289D">
            <w:pPr>
              <w:bidi/>
              <w:spacing w:before="80" w:after="100"/>
              <w:rPr>
                <w:rFonts w:ascii="Arabic Typesetting" w:hAnsi="Arabic Typesetting" w:cs="Arabic Typesetting"/>
                <w:sz w:val="28"/>
                <w:szCs w:val="28"/>
              </w:rPr>
            </w:pPr>
            <w:r w:rsidRPr="001E6D34">
              <w:rPr>
                <w:rFonts w:ascii="Arabic Typesetting" w:hAnsi="Arabic Typesetting" w:cs="Arabic Typesetting"/>
                <w:sz w:val="28"/>
                <w:szCs w:val="28"/>
                <w:rtl/>
              </w:rPr>
              <w:t>تعاون وتنسيق على نحو منتظم وفعال وشفاف بين عمل الويبو وعمل المنظمات الدولية الأخرى في مجال إذكاء الاحترام للملكية الفكرية</w:t>
            </w:r>
          </w:p>
        </w:tc>
        <w:tc>
          <w:tcPr>
            <w:tcW w:w="749" w:type="pct"/>
            <w:shd w:val="clear" w:color="auto" w:fill="auto"/>
            <w:tcMar>
              <w:top w:w="15" w:type="dxa"/>
              <w:left w:w="15" w:type="dxa"/>
              <w:bottom w:w="0" w:type="dxa"/>
              <w:right w:w="15" w:type="dxa"/>
            </w:tcMar>
            <w:vAlign w:val="center"/>
          </w:tcPr>
          <w:p w14:paraId="132993EB"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197</w:t>
            </w:r>
          </w:p>
        </w:tc>
        <w:tc>
          <w:tcPr>
            <w:tcW w:w="749" w:type="pct"/>
            <w:shd w:val="clear" w:color="auto" w:fill="auto"/>
            <w:tcMar>
              <w:top w:w="15" w:type="dxa"/>
              <w:left w:w="15" w:type="dxa"/>
              <w:bottom w:w="0" w:type="dxa"/>
              <w:right w:w="15" w:type="dxa"/>
            </w:tcMar>
            <w:vAlign w:val="center"/>
          </w:tcPr>
          <w:p w14:paraId="3D1C5ECF"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216</w:t>
            </w:r>
          </w:p>
        </w:tc>
        <w:tc>
          <w:tcPr>
            <w:tcW w:w="749" w:type="pct"/>
            <w:shd w:val="clear" w:color="auto" w:fill="auto"/>
            <w:noWrap/>
            <w:tcMar>
              <w:top w:w="15" w:type="dxa"/>
              <w:left w:w="15" w:type="dxa"/>
              <w:bottom w:w="0" w:type="dxa"/>
              <w:right w:w="15" w:type="dxa"/>
            </w:tcMar>
            <w:vAlign w:val="center"/>
          </w:tcPr>
          <w:p w14:paraId="046E0D22"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105</w:t>
            </w:r>
          </w:p>
        </w:tc>
      </w:tr>
      <w:tr w:rsidR="00BB3820" w:rsidRPr="00211D55" w14:paraId="7421A0EB" w14:textId="77777777" w:rsidTr="00BB3820">
        <w:trPr>
          <w:trHeight w:val="735"/>
        </w:trPr>
        <w:tc>
          <w:tcPr>
            <w:tcW w:w="413" w:type="pct"/>
            <w:shd w:val="clear" w:color="auto" w:fill="auto"/>
            <w:noWrap/>
            <w:tcMar>
              <w:top w:w="15" w:type="dxa"/>
              <w:left w:w="15" w:type="dxa"/>
              <w:bottom w:w="0" w:type="dxa"/>
              <w:right w:w="15" w:type="dxa"/>
            </w:tcMar>
          </w:tcPr>
          <w:p w14:paraId="04198FEC" w14:textId="77777777" w:rsidR="00BB3820" w:rsidRPr="001E6D34" w:rsidRDefault="00BB3820" w:rsidP="0031289D">
            <w:pPr>
              <w:bidi/>
              <w:spacing w:before="80" w:after="100"/>
              <w:rPr>
                <w:rFonts w:ascii="Arabic Typesetting" w:hAnsi="Arabic Typesetting" w:cs="Arabic Typesetting"/>
                <w:sz w:val="28"/>
                <w:szCs w:val="28"/>
              </w:rPr>
            </w:pPr>
            <w:r w:rsidRPr="001E6D34">
              <w:rPr>
                <w:rFonts w:ascii="Arabic Typesetting" w:hAnsi="Arabic Typesetting" w:cs="Arabic Typesetting"/>
                <w:sz w:val="28"/>
                <w:szCs w:val="28"/>
                <w:rtl/>
              </w:rPr>
              <w:t>ه2.7</w:t>
            </w:r>
          </w:p>
        </w:tc>
        <w:tc>
          <w:tcPr>
            <w:tcW w:w="2340" w:type="pct"/>
            <w:shd w:val="clear" w:color="auto" w:fill="auto"/>
            <w:tcMar>
              <w:top w:w="15" w:type="dxa"/>
              <w:left w:w="15" w:type="dxa"/>
              <w:bottom w:w="0" w:type="dxa"/>
              <w:right w:w="15" w:type="dxa"/>
            </w:tcMar>
          </w:tcPr>
          <w:p w14:paraId="63B2FAB1" w14:textId="77777777" w:rsidR="00BB3820" w:rsidRPr="001E6D34" w:rsidRDefault="00BB3820" w:rsidP="0031289D">
            <w:pPr>
              <w:bidi/>
              <w:spacing w:before="80" w:after="100"/>
              <w:rPr>
                <w:rFonts w:ascii="Arabic Typesetting" w:hAnsi="Arabic Typesetting" w:cs="Arabic Typesetting"/>
                <w:sz w:val="28"/>
                <w:szCs w:val="28"/>
              </w:rPr>
            </w:pPr>
            <w:r w:rsidRPr="001E6D34">
              <w:rPr>
                <w:rFonts w:ascii="Arabic Typesetting" w:hAnsi="Arabic Typesetting" w:cs="Arabic Typesetting"/>
                <w:sz w:val="28"/>
                <w:szCs w:val="28"/>
                <w:rtl/>
              </w:rPr>
              <w:t>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749" w:type="pct"/>
            <w:shd w:val="clear" w:color="auto" w:fill="auto"/>
            <w:tcMar>
              <w:top w:w="15" w:type="dxa"/>
              <w:left w:w="15" w:type="dxa"/>
              <w:bottom w:w="0" w:type="dxa"/>
              <w:right w:w="15" w:type="dxa"/>
            </w:tcMar>
            <w:vAlign w:val="center"/>
          </w:tcPr>
          <w:p w14:paraId="64484DB6"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3 497</w:t>
            </w:r>
          </w:p>
        </w:tc>
        <w:tc>
          <w:tcPr>
            <w:tcW w:w="749" w:type="pct"/>
            <w:shd w:val="clear" w:color="auto" w:fill="auto"/>
            <w:tcMar>
              <w:top w:w="15" w:type="dxa"/>
              <w:left w:w="15" w:type="dxa"/>
              <w:bottom w:w="0" w:type="dxa"/>
              <w:right w:w="15" w:type="dxa"/>
            </w:tcMar>
            <w:vAlign w:val="center"/>
          </w:tcPr>
          <w:p w14:paraId="44DA3128"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4 005</w:t>
            </w:r>
          </w:p>
        </w:tc>
        <w:tc>
          <w:tcPr>
            <w:tcW w:w="749" w:type="pct"/>
            <w:shd w:val="clear" w:color="auto" w:fill="auto"/>
            <w:noWrap/>
            <w:tcMar>
              <w:top w:w="15" w:type="dxa"/>
              <w:left w:w="15" w:type="dxa"/>
              <w:bottom w:w="0" w:type="dxa"/>
              <w:right w:w="15" w:type="dxa"/>
            </w:tcMar>
            <w:vAlign w:val="center"/>
          </w:tcPr>
          <w:p w14:paraId="019CB6E8"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1 845</w:t>
            </w:r>
          </w:p>
        </w:tc>
      </w:tr>
      <w:tr w:rsidR="00BB3820" w:rsidRPr="00211D55" w14:paraId="59088566" w14:textId="77777777" w:rsidTr="00BB3820">
        <w:trPr>
          <w:trHeight w:val="735"/>
        </w:trPr>
        <w:tc>
          <w:tcPr>
            <w:tcW w:w="413" w:type="pct"/>
            <w:shd w:val="clear" w:color="auto" w:fill="auto"/>
            <w:noWrap/>
            <w:tcMar>
              <w:top w:w="15" w:type="dxa"/>
              <w:left w:w="15" w:type="dxa"/>
              <w:bottom w:w="0" w:type="dxa"/>
              <w:right w:w="15" w:type="dxa"/>
            </w:tcMar>
          </w:tcPr>
          <w:p w14:paraId="492751E1" w14:textId="77777777" w:rsidR="00BB3820" w:rsidRPr="001E6D34" w:rsidRDefault="00BB3820" w:rsidP="0031289D">
            <w:pPr>
              <w:bidi/>
              <w:spacing w:before="80" w:after="100"/>
              <w:rPr>
                <w:rFonts w:ascii="Arabic Typesetting" w:hAnsi="Arabic Typesetting" w:cs="Arabic Typesetting"/>
                <w:sz w:val="28"/>
                <w:szCs w:val="28"/>
              </w:rPr>
            </w:pPr>
            <w:r w:rsidRPr="001E6D34">
              <w:rPr>
                <w:rFonts w:ascii="Arabic Typesetting" w:hAnsi="Arabic Typesetting" w:cs="Arabic Typesetting"/>
                <w:sz w:val="28"/>
                <w:szCs w:val="28"/>
                <w:rtl/>
              </w:rPr>
              <w:t>ه5.8</w:t>
            </w:r>
          </w:p>
        </w:tc>
        <w:tc>
          <w:tcPr>
            <w:tcW w:w="2340" w:type="pct"/>
            <w:shd w:val="clear" w:color="auto" w:fill="auto"/>
            <w:tcMar>
              <w:top w:w="15" w:type="dxa"/>
              <w:left w:w="15" w:type="dxa"/>
              <w:bottom w:w="0" w:type="dxa"/>
              <w:right w:w="15" w:type="dxa"/>
            </w:tcMar>
          </w:tcPr>
          <w:p w14:paraId="047D0985" w14:textId="77777777" w:rsidR="00BB3820" w:rsidRPr="001E6D34" w:rsidRDefault="00BB3820" w:rsidP="0031289D">
            <w:pPr>
              <w:bidi/>
              <w:spacing w:before="80" w:after="100"/>
              <w:rPr>
                <w:rFonts w:ascii="Arabic Typesetting" w:hAnsi="Arabic Typesetting" w:cs="Arabic Typesetting"/>
                <w:sz w:val="28"/>
                <w:szCs w:val="28"/>
              </w:rPr>
            </w:pPr>
            <w:r w:rsidRPr="001E6D34">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shd w:val="clear" w:color="auto" w:fill="auto"/>
            <w:tcMar>
              <w:top w:w="15" w:type="dxa"/>
              <w:left w:w="15" w:type="dxa"/>
              <w:bottom w:w="0" w:type="dxa"/>
              <w:right w:w="15" w:type="dxa"/>
            </w:tcMar>
            <w:vAlign w:val="center"/>
          </w:tcPr>
          <w:p w14:paraId="4BE2F28E"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410</w:t>
            </w:r>
          </w:p>
        </w:tc>
        <w:tc>
          <w:tcPr>
            <w:tcW w:w="749" w:type="pct"/>
            <w:shd w:val="clear" w:color="auto" w:fill="auto"/>
            <w:tcMar>
              <w:top w:w="15" w:type="dxa"/>
              <w:left w:w="15" w:type="dxa"/>
              <w:bottom w:w="0" w:type="dxa"/>
              <w:right w:w="15" w:type="dxa"/>
            </w:tcMar>
            <w:vAlign w:val="center"/>
          </w:tcPr>
          <w:p w14:paraId="5C80171D"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400</w:t>
            </w:r>
          </w:p>
        </w:tc>
        <w:tc>
          <w:tcPr>
            <w:tcW w:w="749" w:type="pct"/>
            <w:shd w:val="clear" w:color="auto" w:fill="auto"/>
            <w:noWrap/>
            <w:tcMar>
              <w:top w:w="15" w:type="dxa"/>
              <w:left w:w="15" w:type="dxa"/>
              <w:bottom w:w="0" w:type="dxa"/>
              <w:right w:w="15" w:type="dxa"/>
            </w:tcMar>
            <w:vAlign w:val="center"/>
          </w:tcPr>
          <w:p w14:paraId="39039218" w14:textId="77777777" w:rsidR="00BB3820" w:rsidRPr="00876522" w:rsidRDefault="00BB3820" w:rsidP="0031289D">
            <w:pPr>
              <w:spacing w:before="80" w:after="100"/>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200</w:t>
            </w:r>
          </w:p>
        </w:tc>
      </w:tr>
      <w:tr w:rsidR="00BB3820" w:rsidRPr="00211D55" w14:paraId="28B6F470" w14:textId="77777777" w:rsidTr="00BB3820">
        <w:trPr>
          <w:trHeight w:val="225"/>
        </w:trPr>
        <w:tc>
          <w:tcPr>
            <w:tcW w:w="413" w:type="pct"/>
            <w:shd w:val="clear" w:color="auto" w:fill="C6D9F1"/>
            <w:noWrap/>
            <w:tcMar>
              <w:top w:w="15" w:type="dxa"/>
              <w:left w:w="15" w:type="dxa"/>
              <w:bottom w:w="0" w:type="dxa"/>
              <w:right w:w="15" w:type="dxa"/>
            </w:tcMar>
            <w:vAlign w:val="bottom"/>
            <w:hideMark/>
          </w:tcPr>
          <w:p w14:paraId="36F27C5D" w14:textId="77777777" w:rsidR="00BB3820" w:rsidRPr="00211D55" w:rsidRDefault="00BB3820"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0F99BB41" w14:textId="77777777" w:rsidR="00BB3820" w:rsidRPr="00D41845" w:rsidRDefault="00BB3820" w:rsidP="0031289D">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17B15A53"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6 323</w:t>
            </w:r>
          </w:p>
        </w:tc>
        <w:tc>
          <w:tcPr>
            <w:tcW w:w="749" w:type="pct"/>
            <w:shd w:val="clear" w:color="auto" w:fill="C6D9F1"/>
            <w:noWrap/>
            <w:tcMar>
              <w:top w:w="15" w:type="dxa"/>
              <w:left w:w="15" w:type="dxa"/>
              <w:bottom w:w="0" w:type="dxa"/>
              <w:right w:w="15" w:type="dxa"/>
            </w:tcMar>
            <w:vAlign w:val="center"/>
          </w:tcPr>
          <w:p w14:paraId="09E2CDFD"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6 023</w:t>
            </w:r>
          </w:p>
        </w:tc>
        <w:tc>
          <w:tcPr>
            <w:tcW w:w="749" w:type="pct"/>
            <w:shd w:val="clear" w:color="auto" w:fill="C6D9F1"/>
            <w:noWrap/>
            <w:tcMar>
              <w:top w:w="15" w:type="dxa"/>
              <w:left w:w="15" w:type="dxa"/>
              <w:bottom w:w="0" w:type="dxa"/>
              <w:right w:w="15" w:type="dxa"/>
            </w:tcMar>
            <w:vAlign w:val="center"/>
          </w:tcPr>
          <w:p w14:paraId="5D05205A" w14:textId="77777777" w:rsidR="00BB3820" w:rsidRPr="00280D1A" w:rsidRDefault="00BB3820"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2 871</w:t>
            </w:r>
          </w:p>
        </w:tc>
      </w:tr>
      <w:tr w:rsidR="00BB3820" w:rsidRPr="00211D55" w14:paraId="6F02AE80" w14:textId="77777777" w:rsidTr="00BB3820">
        <w:trPr>
          <w:trHeight w:val="225"/>
        </w:trPr>
        <w:tc>
          <w:tcPr>
            <w:tcW w:w="5000" w:type="pct"/>
            <w:gridSpan w:val="5"/>
            <w:shd w:val="clear" w:color="auto" w:fill="auto"/>
            <w:noWrap/>
            <w:tcMar>
              <w:top w:w="15" w:type="dxa"/>
              <w:left w:w="15" w:type="dxa"/>
              <w:bottom w:w="0" w:type="dxa"/>
              <w:right w:w="15" w:type="dxa"/>
            </w:tcMar>
            <w:vAlign w:val="bottom"/>
          </w:tcPr>
          <w:p w14:paraId="0DCC3B11" w14:textId="77777777" w:rsidR="00BB3820" w:rsidRPr="00A2672B" w:rsidRDefault="00BB3820"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54ED4E99" w14:textId="77777777" w:rsidR="00BB3820" w:rsidRPr="00252762" w:rsidRDefault="00BB3820"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2EED2537" w14:textId="77777777" w:rsidR="00BB3820" w:rsidRPr="00DF1D8A" w:rsidRDefault="00BB3820"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BB3820" w:rsidRPr="00211D55" w14:paraId="426CB7DB" w14:textId="77777777" w:rsidTr="00BB3820">
        <w:trPr>
          <w:trHeight w:val="645"/>
        </w:trPr>
        <w:tc>
          <w:tcPr>
            <w:tcW w:w="1118" w:type="pct"/>
            <w:shd w:val="clear" w:color="auto" w:fill="C6D9F1"/>
            <w:noWrap/>
            <w:vAlign w:val="center"/>
            <w:hideMark/>
          </w:tcPr>
          <w:p w14:paraId="5AB97C74" w14:textId="77777777" w:rsidR="00BB3820" w:rsidRPr="00211D55" w:rsidRDefault="00BB3820"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18E8674D" w14:textId="77777777" w:rsidR="00BB3820" w:rsidRPr="00211D55" w:rsidRDefault="00BB3820"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26CFC3CD" w14:textId="77777777" w:rsidR="00BB3820" w:rsidRPr="00211D55" w:rsidRDefault="00BB3820"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0B974640" w14:textId="77777777" w:rsidR="00BB3820" w:rsidRPr="00211D55" w:rsidRDefault="00BB3820"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456EB042" w14:textId="77777777" w:rsidR="00BB3820" w:rsidRPr="00211D55" w:rsidRDefault="00BB3820"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B3820" w:rsidRPr="00211D55" w14:paraId="3C1B665B" w14:textId="77777777" w:rsidTr="00BB3820">
        <w:trPr>
          <w:trHeight w:val="70"/>
        </w:trPr>
        <w:tc>
          <w:tcPr>
            <w:tcW w:w="1118" w:type="pct"/>
            <w:shd w:val="clear" w:color="auto" w:fill="auto"/>
            <w:noWrap/>
            <w:vAlign w:val="center"/>
            <w:hideMark/>
          </w:tcPr>
          <w:p w14:paraId="5FD62B44" w14:textId="77777777" w:rsidR="00BB3820" w:rsidRPr="00211D55" w:rsidRDefault="00BB3820"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3646C052" w14:textId="77777777" w:rsidR="00BB3820" w:rsidRPr="00876522" w:rsidRDefault="00BB3820" w:rsidP="0031289D">
            <w:pPr>
              <w:keepNext/>
              <w:keepLines/>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 xml:space="preserve">5 545 </w:t>
            </w:r>
          </w:p>
        </w:tc>
        <w:tc>
          <w:tcPr>
            <w:tcW w:w="971" w:type="pct"/>
            <w:shd w:val="clear" w:color="auto" w:fill="auto"/>
            <w:vAlign w:val="center"/>
          </w:tcPr>
          <w:p w14:paraId="534CE3DA" w14:textId="77777777" w:rsidR="00BB3820" w:rsidRPr="00876522" w:rsidRDefault="00BB3820" w:rsidP="0031289D">
            <w:pPr>
              <w:keepNext/>
              <w:keepLines/>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 xml:space="preserve">5 076 </w:t>
            </w:r>
          </w:p>
        </w:tc>
        <w:tc>
          <w:tcPr>
            <w:tcW w:w="970" w:type="pct"/>
            <w:shd w:val="clear" w:color="auto" w:fill="auto"/>
            <w:vAlign w:val="center"/>
          </w:tcPr>
          <w:p w14:paraId="47CE08C6" w14:textId="77777777" w:rsidR="00BB3820" w:rsidRPr="00876522" w:rsidRDefault="00BB3820" w:rsidP="0031289D">
            <w:pPr>
              <w:keepNext/>
              <w:keepLines/>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 xml:space="preserve">2 505 </w:t>
            </w:r>
          </w:p>
        </w:tc>
        <w:tc>
          <w:tcPr>
            <w:tcW w:w="970" w:type="pct"/>
            <w:shd w:val="clear" w:color="auto" w:fill="auto"/>
            <w:vAlign w:val="center"/>
          </w:tcPr>
          <w:p w14:paraId="463360F5" w14:textId="77777777" w:rsidR="00BB3820" w:rsidRPr="00876522" w:rsidRDefault="00BB3820" w:rsidP="0031289D">
            <w:pPr>
              <w:keepNext/>
              <w:keepLines/>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%49</w:t>
            </w:r>
          </w:p>
        </w:tc>
      </w:tr>
      <w:tr w:rsidR="00BB3820" w:rsidRPr="00211D55" w14:paraId="05807427" w14:textId="77777777" w:rsidTr="00BB3820">
        <w:trPr>
          <w:trHeight w:val="70"/>
        </w:trPr>
        <w:tc>
          <w:tcPr>
            <w:tcW w:w="1118" w:type="pct"/>
            <w:shd w:val="clear" w:color="auto" w:fill="auto"/>
            <w:noWrap/>
            <w:vAlign w:val="center"/>
            <w:hideMark/>
          </w:tcPr>
          <w:p w14:paraId="02327240" w14:textId="77777777" w:rsidR="00BB3820" w:rsidRPr="00211D55" w:rsidRDefault="00BB3820"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6455B5C6" w14:textId="77777777" w:rsidR="00BB3820" w:rsidRPr="00876522" w:rsidRDefault="00BB3820" w:rsidP="0031289D">
            <w:pPr>
              <w:keepNext/>
              <w:keepLines/>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 xml:space="preserve">778 </w:t>
            </w:r>
          </w:p>
        </w:tc>
        <w:tc>
          <w:tcPr>
            <w:tcW w:w="971" w:type="pct"/>
            <w:shd w:val="clear" w:color="auto" w:fill="auto"/>
            <w:vAlign w:val="center"/>
          </w:tcPr>
          <w:p w14:paraId="472B536F" w14:textId="77777777" w:rsidR="00BB3820" w:rsidRPr="00876522" w:rsidRDefault="00BB3820" w:rsidP="0031289D">
            <w:pPr>
              <w:keepNext/>
              <w:keepLines/>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 xml:space="preserve">947 </w:t>
            </w:r>
          </w:p>
        </w:tc>
        <w:tc>
          <w:tcPr>
            <w:tcW w:w="970" w:type="pct"/>
            <w:shd w:val="clear" w:color="auto" w:fill="auto"/>
            <w:vAlign w:val="center"/>
          </w:tcPr>
          <w:p w14:paraId="642CA662" w14:textId="77777777" w:rsidR="00BB3820" w:rsidRPr="00876522" w:rsidRDefault="00BB3820" w:rsidP="0031289D">
            <w:pPr>
              <w:keepNext/>
              <w:keepLines/>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 xml:space="preserve">366 </w:t>
            </w:r>
          </w:p>
        </w:tc>
        <w:tc>
          <w:tcPr>
            <w:tcW w:w="970" w:type="pct"/>
            <w:shd w:val="clear" w:color="auto" w:fill="auto"/>
            <w:vAlign w:val="center"/>
          </w:tcPr>
          <w:p w14:paraId="1FF7EE5F" w14:textId="77777777" w:rsidR="00BB3820" w:rsidRPr="00876522" w:rsidRDefault="00BB3820" w:rsidP="0031289D">
            <w:pPr>
              <w:keepNext/>
              <w:keepLines/>
              <w:jc w:val="center"/>
              <w:rPr>
                <w:rFonts w:ascii="Arabic Typesetting" w:hAnsi="Arabic Typesetting" w:cs="Arabic Typesetting"/>
                <w:color w:val="000000"/>
                <w:sz w:val="28"/>
                <w:szCs w:val="28"/>
              </w:rPr>
            </w:pPr>
            <w:r w:rsidRPr="00876522">
              <w:rPr>
                <w:rFonts w:ascii="Arabic Typesetting" w:hAnsi="Arabic Typesetting" w:cs="Arabic Typesetting"/>
                <w:color w:val="000000"/>
                <w:sz w:val="28"/>
                <w:szCs w:val="28"/>
              </w:rPr>
              <w:t>%39</w:t>
            </w:r>
          </w:p>
        </w:tc>
      </w:tr>
      <w:tr w:rsidR="00BB3820" w:rsidRPr="00211D55" w14:paraId="7EFD6B24" w14:textId="77777777" w:rsidTr="00AF6433">
        <w:trPr>
          <w:trHeight w:val="70"/>
        </w:trPr>
        <w:tc>
          <w:tcPr>
            <w:tcW w:w="1118" w:type="pct"/>
            <w:shd w:val="clear" w:color="auto" w:fill="C6D9F1"/>
            <w:noWrap/>
            <w:vAlign w:val="center"/>
            <w:hideMark/>
          </w:tcPr>
          <w:p w14:paraId="2BF4B424" w14:textId="77777777" w:rsidR="00BB3820" w:rsidRPr="00211D55" w:rsidRDefault="00BB3820"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65AF96DA" w14:textId="77777777" w:rsidR="00BB3820" w:rsidRPr="00876522" w:rsidRDefault="00BB3820" w:rsidP="0031289D">
            <w:pPr>
              <w:keepNext/>
              <w:keepLines/>
              <w:jc w:val="center"/>
              <w:rPr>
                <w:rFonts w:ascii="Arabic Typesetting" w:hAnsi="Arabic Typesetting" w:cs="Arabic Typesetting"/>
                <w:b/>
                <w:bCs/>
                <w:color w:val="000000"/>
                <w:sz w:val="28"/>
                <w:szCs w:val="28"/>
              </w:rPr>
            </w:pPr>
            <w:r w:rsidRPr="00876522">
              <w:rPr>
                <w:rFonts w:ascii="Arabic Typesetting" w:hAnsi="Arabic Typesetting" w:cs="Arabic Typesetting"/>
                <w:b/>
                <w:bCs/>
                <w:color w:val="000000"/>
                <w:sz w:val="28"/>
                <w:szCs w:val="28"/>
              </w:rPr>
              <w:t xml:space="preserve">6 323 </w:t>
            </w:r>
          </w:p>
        </w:tc>
        <w:tc>
          <w:tcPr>
            <w:tcW w:w="971" w:type="pct"/>
            <w:shd w:val="clear" w:color="auto" w:fill="C6D9F1"/>
            <w:vAlign w:val="center"/>
          </w:tcPr>
          <w:p w14:paraId="1C3B17DE" w14:textId="77777777" w:rsidR="00BB3820" w:rsidRPr="00876522" w:rsidRDefault="00BB3820" w:rsidP="0031289D">
            <w:pPr>
              <w:keepNext/>
              <w:keepLines/>
              <w:jc w:val="center"/>
              <w:rPr>
                <w:rFonts w:ascii="Arabic Typesetting" w:hAnsi="Arabic Typesetting" w:cs="Arabic Typesetting"/>
                <w:b/>
                <w:bCs/>
                <w:color w:val="000000"/>
                <w:sz w:val="28"/>
                <w:szCs w:val="28"/>
              </w:rPr>
            </w:pPr>
            <w:r w:rsidRPr="00876522">
              <w:rPr>
                <w:rFonts w:ascii="Arabic Typesetting" w:hAnsi="Arabic Typesetting" w:cs="Arabic Typesetting"/>
                <w:b/>
                <w:bCs/>
                <w:color w:val="000000"/>
                <w:sz w:val="28"/>
                <w:szCs w:val="28"/>
              </w:rPr>
              <w:t xml:space="preserve">6 023 </w:t>
            </w:r>
          </w:p>
        </w:tc>
        <w:tc>
          <w:tcPr>
            <w:tcW w:w="970" w:type="pct"/>
            <w:shd w:val="clear" w:color="auto" w:fill="C6D9F1"/>
            <w:vAlign w:val="center"/>
          </w:tcPr>
          <w:p w14:paraId="220F5DFE" w14:textId="77777777" w:rsidR="00BB3820" w:rsidRPr="00876522" w:rsidRDefault="00BB3820" w:rsidP="0031289D">
            <w:pPr>
              <w:keepNext/>
              <w:keepLines/>
              <w:jc w:val="center"/>
              <w:rPr>
                <w:rFonts w:ascii="Arabic Typesetting" w:hAnsi="Arabic Typesetting" w:cs="Arabic Typesetting"/>
                <w:b/>
                <w:bCs/>
                <w:color w:val="000000"/>
                <w:sz w:val="28"/>
                <w:szCs w:val="28"/>
              </w:rPr>
            </w:pPr>
            <w:r w:rsidRPr="00876522">
              <w:rPr>
                <w:rFonts w:ascii="Arabic Typesetting" w:hAnsi="Arabic Typesetting" w:cs="Arabic Typesetting"/>
                <w:b/>
                <w:bCs/>
                <w:color w:val="000000"/>
                <w:sz w:val="28"/>
                <w:szCs w:val="28"/>
              </w:rPr>
              <w:t xml:space="preserve">2 871 </w:t>
            </w:r>
          </w:p>
        </w:tc>
        <w:tc>
          <w:tcPr>
            <w:tcW w:w="970" w:type="pct"/>
            <w:shd w:val="clear" w:color="auto" w:fill="C6D9F1"/>
            <w:vAlign w:val="center"/>
          </w:tcPr>
          <w:p w14:paraId="4295918B" w14:textId="77777777" w:rsidR="00BB3820" w:rsidRPr="00876522" w:rsidRDefault="00BB3820" w:rsidP="0031289D">
            <w:pPr>
              <w:keepNext/>
              <w:keepLines/>
              <w:jc w:val="center"/>
              <w:rPr>
                <w:rFonts w:ascii="Arabic Typesetting" w:hAnsi="Arabic Typesetting" w:cs="Arabic Typesetting"/>
                <w:b/>
                <w:bCs/>
                <w:color w:val="000000"/>
                <w:sz w:val="28"/>
                <w:szCs w:val="28"/>
              </w:rPr>
            </w:pPr>
            <w:r w:rsidRPr="00876522">
              <w:rPr>
                <w:rFonts w:ascii="Arabic Typesetting" w:hAnsi="Arabic Typesetting" w:cs="Arabic Typesetting"/>
                <w:b/>
                <w:bCs/>
                <w:color w:val="000000"/>
                <w:sz w:val="28"/>
                <w:szCs w:val="28"/>
              </w:rPr>
              <w:t>%48</w:t>
            </w:r>
          </w:p>
        </w:tc>
      </w:tr>
      <w:tr w:rsidR="00BB3820" w:rsidRPr="00211D55" w14:paraId="48462EEF" w14:textId="77777777" w:rsidTr="00BB3820">
        <w:trPr>
          <w:trHeight w:val="540"/>
        </w:trPr>
        <w:tc>
          <w:tcPr>
            <w:tcW w:w="5000" w:type="pct"/>
            <w:gridSpan w:val="5"/>
            <w:shd w:val="clear" w:color="auto" w:fill="auto"/>
            <w:noWrap/>
            <w:vAlign w:val="center"/>
          </w:tcPr>
          <w:p w14:paraId="5B0448A0" w14:textId="77777777" w:rsidR="00BB3820" w:rsidRDefault="00BB3820"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4E630867" w14:textId="77777777" w:rsidR="00BB3820" w:rsidRPr="00D41845" w:rsidRDefault="00BB3820"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i/>
                <w:iCs/>
                <w:color w:val="000000"/>
                <w:sz w:val="28"/>
                <w:szCs w:val="28"/>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478366A8" w14:textId="77777777" w:rsidR="00BB3820" w:rsidRPr="00706F20" w:rsidRDefault="00BB3820"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17062116" w14:textId="4524B9B7" w:rsidR="00BB3820" w:rsidRPr="001E6D34" w:rsidRDefault="00BB3820" w:rsidP="00D94CDB">
      <w:pPr>
        <w:numPr>
          <w:ilvl w:val="1"/>
          <w:numId w:val="87"/>
        </w:numPr>
        <w:bidi/>
        <w:spacing w:after="240" w:line="360" w:lineRule="exact"/>
        <w:ind w:left="0" w:hanging="1"/>
        <w:rPr>
          <w:rFonts w:ascii="Arabic Typesetting" w:hAnsi="Arabic Typesetting" w:cs="Arabic Typesetting"/>
          <w:sz w:val="34"/>
          <w:szCs w:val="34"/>
          <w:rtl/>
        </w:rPr>
      </w:pPr>
      <w:r w:rsidRPr="001E6D34">
        <w:rPr>
          <w:rFonts w:ascii="Arabic Typesetting" w:hAnsi="Arabic Typesetting" w:cs="Arabic Typesetting"/>
          <w:sz w:val="34"/>
          <w:szCs w:val="34"/>
          <w:rtl/>
        </w:rPr>
        <w:t>تُعزى الزيادة في خلاف موارد الموظفين أساساً إلى تعزيز البرنامج بموارد لدعم "1" تعزيز منصتي</w:t>
      </w:r>
      <w:r w:rsidRPr="001E6D34">
        <w:rPr>
          <w:rFonts w:ascii="Arabic Typesetting" w:hAnsi="Arabic Typesetting" w:cs="Arabic Typesetting"/>
          <w:sz w:val="34"/>
          <w:szCs w:val="34"/>
        </w:rPr>
        <w:t xml:space="preserve"> WIPO Re:Search </w:t>
      </w:r>
      <w:r w:rsidRPr="001E6D34">
        <w:rPr>
          <w:rFonts w:ascii="Arabic Typesetting" w:hAnsi="Arabic Typesetting" w:cs="Arabic Typesetting"/>
          <w:sz w:val="34"/>
          <w:szCs w:val="34"/>
          <w:rtl/>
        </w:rPr>
        <w:t>و</w:t>
      </w:r>
      <w:r w:rsidR="00BD308F">
        <w:rPr>
          <w:rFonts w:ascii="Arabic Typesetting" w:hAnsi="Arabic Typesetting" w:cs="Arabic Typesetting"/>
          <w:sz w:val="34"/>
          <w:szCs w:val="34"/>
        </w:rPr>
        <w:t>WIPO GREEN</w:t>
      </w:r>
      <w:r>
        <w:rPr>
          <w:rFonts w:ascii="Arabic Typesetting" w:hAnsi="Arabic Typesetting" w:cs="Arabic Typesetting" w:hint="cs"/>
          <w:sz w:val="34"/>
          <w:szCs w:val="34"/>
          <w:rtl/>
        </w:rPr>
        <w:t xml:space="preserve"> </w:t>
      </w:r>
      <w:r w:rsidRPr="001E6D34">
        <w:rPr>
          <w:rFonts w:ascii="Arabic Typesetting" w:hAnsi="Arabic Typesetting" w:cs="Arabic Typesetting"/>
          <w:sz w:val="34"/>
          <w:szCs w:val="34"/>
          <w:rtl/>
        </w:rPr>
        <w:t>في إطار النتيجة المرتقبة ه2.7 (منصات وأدوات الملكية الفكرية)؛ "2" والعمل على سياسة الملكية الفكرية والمنافسة في إطار النتيجة المرتقب</w:t>
      </w:r>
      <w:r>
        <w:rPr>
          <w:rFonts w:ascii="Arabic Typesetting" w:hAnsi="Arabic Typesetting" w:cs="Arabic Typesetting"/>
          <w:sz w:val="34"/>
          <w:szCs w:val="34"/>
          <w:rtl/>
        </w:rPr>
        <w:t xml:space="preserve">ة </w:t>
      </w:r>
      <w:r>
        <w:rPr>
          <w:rFonts w:ascii="Arabic Typesetting" w:hAnsi="Arabic Typesetting" w:cs="Arabic Typesetting" w:hint="cs"/>
          <w:sz w:val="34"/>
          <w:szCs w:val="34"/>
          <w:rtl/>
        </w:rPr>
        <w:t>ه</w:t>
      </w:r>
      <w:r w:rsidRPr="001E6D34">
        <w:rPr>
          <w:rFonts w:ascii="Arabic Typesetting" w:hAnsi="Arabic Typesetting" w:cs="Arabic Typesetting"/>
          <w:sz w:val="34"/>
          <w:szCs w:val="34"/>
          <w:rtl/>
        </w:rPr>
        <w:t>2.1 (المشورة التشريعية)؛ "3" وإنجاز الإصدار الثاني من منشور "مدخل إلى الملكية الفكرية - النظريات والممارسات العملية" في إطار النتيجة المرتقبة ه5.8 (تفاعل الويبو وتشاركها بفعالية مع مسارات ومفاوضات الأمم المتحدة وسائر المنظمات الحكومية الدولية)</w:t>
      </w:r>
      <w:r w:rsidRPr="001E6D34">
        <w:rPr>
          <w:rFonts w:ascii="Arabic Typesetting" w:hAnsi="Arabic Typesetting" w:cs="Arabic Typesetting"/>
          <w:sz w:val="34"/>
          <w:szCs w:val="34"/>
        </w:rPr>
        <w:t>.</w:t>
      </w:r>
    </w:p>
    <w:p w14:paraId="61300B9A" w14:textId="77777777" w:rsidR="00BB3820" w:rsidRPr="001E6D34" w:rsidRDefault="00BB3820" w:rsidP="00D94CDB">
      <w:pPr>
        <w:numPr>
          <w:ilvl w:val="1"/>
          <w:numId w:val="87"/>
        </w:numPr>
        <w:bidi/>
        <w:spacing w:after="240" w:line="360" w:lineRule="exact"/>
        <w:ind w:left="0" w:hanging="1"/>
        <w:rPr>
          <w:rFonts w:ascii="Arabic Typesetting" w:hAnsi="Arabic Typesetting" w:cs="Arabic Typesetting"/>
          <w:sz w:val="34"/>
          <w:szCs w:val="34"/>
        </w:rPr>
      </w:pPr>
      <w:r w:rsidRPr="001E6D34">
        <w:rPr>
          <w:rFonts w:ascii="Arabic Typesetting" w:hAnsi="Arabic Typesetting" w:cs="Arabic Typesetting"/>
          <w:sz w:val="34"/>
          <w:szCs w:val="34"/>
          <w:rtl/>
        </w:rPr>
        <w:t>ويُعزى انخفاض موارد الموظفين المخصصة للنتيجة المرتقبة ه2.1 (المشورة التشريعية) إلى "1" نقل موظف واحد من إدارة المعارف التقليدية والتحديات العالمية (البرنامج 4) لتعزيز التنسيق العام والإدارة العامة في المجالين؛ "2" ونقل منصب لدعم أولويات حق المؤلف والصناعات الإبداعية (البرنامج 3).</w:t>
      </w:r>
    </w:p>
    <w:p w14:paraId="0B39FF25" w14:textId="77777777" w:rsidR="00BB3820" w:rsidRPr="00706F20" w:rsidRDefault="00BB3820"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4AFDED02" w14:textId="77777777" w:rsidR="00BB3820" w:rsidRDefault="00BB3820" w:rsidP="00D94CDB">
      <w:pPr>
        <w:numPr>
          <w:ilvl w:val="1"/>
          <w:numId w:val="87"/>
        </w:numPr>
        <w:bidi/>
        <w:spacing w:after="240" w:line="360" w:lineRule="exact"/>
        <w:ind w:left="0" w:hanging="1"/>
        <w:rPr>
          <w:rFonts w:ascii="Arabic Typesetting" w:hAnsi="Arabic Typesetting" w:cs="Arabic Typesetting"/>
          <w:sz w:val="34"/>
          <w:szCs w:val="34"/>
        </w:rPr>
      </w:pPr>
      <w:r w:rsidRPr="001E6D34">
        <w:rPr>
          <w:rFonts w:ascii="Arabic Typesetting" w:hAnsi="Arabic Typesetting" w:cs="Arabic Typesetting"/>
          <w:sz w:val="34"/>
          <w:szCs w:val="34"/>
          <w:rtl/>
        </w:rPr>
        <w:t xml:space="preserve">يُعزى النقص الطفيف في استخدام خلاف موارد الموظفين (38 بالمئة) أساساً إلى تأجيل بعض الأنشطة المتعلقة ببرنامج </w:t>
      </w:r>
      <w:r w:rsidRPr="001E6D34">
        <w:rPr>
          <w:rFonts w:ascii="Arabic Typesetting" w:hAnsi="Arabic Typesetting" w:cs="Arabic Typesetting"/>
          <w:sz w:val="34"/>
          <w:szCs w:val="34"/>
        </w:rPr>
        <w:t>WIPO Re:Search</w:t>
      </w:r>
      <w:r w:rsidRPr="001E6D34">
        <w:rPr>
          <w:rFonts w:ascii="Arabic Typesetting" w:hAnsi="Arabic Typesetting" w:cs="Arabic Typesetting"/>
          <w:sz w:val="34"/>
          <w:szCs w:val="34"/>
          <w:rtl/>
        </w:rPr>
        <w:t xml:space="preserve"> في انتظار تحديد الدراسة المشتركة بين منظمة الصحة العالمية والويبو ومنظمة التجارة العالمية.</w:t>
      </w:r>
    </w:p>
    <w:p w14:paraId="0A7A32E8" w14:textId="77777777" w:rsidR="00BB3820" w:rsidRPr="001E6D34" w:rsidRDefault="00BB3820" w:rsidP="0031289D">
      <w:pPr>
        <w:bidi/>
        <w:spacing w:after="240" w:line="360" w:lineRule="exact"/>
        <w:rPr>
          <w:rFonts w:ascii="Arabic Typesetting" w:hAnsi="Arabic Typesetting" w:cs="Arabic Typesetting"/>
          <w:sz w:val="34"/>
          <w:szCs w:val="34"/>
        </w:rPr>
      </w:pPr>
    </w:p>
    <w:p w14:paraId="33FF3FF5" w14:textId="570B334D" w:rsidR="00BB3820" w:rsidRDefault="00BB3820"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6AECA7BE" w14:textId="63F92221" w:rsidR="006E24D8" w:rsidRDefault="006E24D8" w:rsidP="006E24D8">
      <w:pPr>
        <w:pStyle w:val="Heading3"/>
        <w:pageBreakBefore w:val="0"/>
        <w:spacing w:after="240"/>
        <w:ind w:left="1134" w:hanging="1134"/>
        <w:jc w:val="center"/>
        <w:rPr>
          <w:rtl/>
          <w:lang w:bidi="ar-EG"/>
        </w:rPr>
      </w:pPr>
      <w:bookmarkStart w:id="43" w:name="_Toc482782770"/>
      <w:r>
        <w:rPr>
          <w:rtl/>
        </w:rPr>
        <w:lastRenderedPageBreak/>
        <w:t xml:space="preserve">الهدف الاستراتيجي </w:t>
      </w:r>
      <w:r>
        <w:rPr>
          <w:rFonts w:hint="cs"/>
          <w:rtl/>
          <w:lang w:bidi="ar-EG"/>
        </w:rPr>
        <w:t>الثامن</w:t>
      </w:r>
      <w:bookmarkEnd w:id="43"/>
    </w:p>
    <w:p w14:paraId="13EC0595" w14:textId="297D1236" w:rsidR="006E24D8" w:rsidRDefault="006E24D8" w:rsidP="006E24D8">
      <w:pPr>
        <w:pStyle w:val="NormalParaAR"/>
        <w:jc w:val="center"/>
        <w:rPr>
          <w:b/>
          <w:bCs/>
          <w:rtl/>
          <w:lang w:bidi="ar-EG"/>
        </w:rPr>
      </w:pPr>
      <w:r w:rsidRPr="006E24D8">
        <w:rPr>
          <w:b/>
          <w:bCs/>
          <w:rtl/>
          <w:lang w:bidi="ar-EG"/>
        </w:rPr>
        <w:t>آلية تواصل متجاوب بين الويبو والأعضاء وجميع أصحاب المصالح</w:t>
      </w:r>
    </w:p>
    <w:p w14:paraId="609EEBA3" w14:textId="77777777" w:rsidR="006E24D8" w:rsidRPr="00B54D74" w:rsidRDefault="006E24D8" w:rsidP="006E24D8">
      <w:pPr>
        <w:pStyle w:val="NormalParaAR"/>
        <w:jc w:val="center"/>
        <w:rPr>
          <w:b/>
          <w:bCs/>
          <w:rtl/>
        </w:rPr>
      </w:pPr>
      <w:r w:rsidRPr="00B54D74">
        <w:rPr>
          <w:b/>
          <w:bCs/>
          <w:rtl/>
        </w:rPr>
        <w:t>لوحة بيانات الأداء في منتصف المدة (</w:t>
      </w:r>
      <w:r>
        <w:rPr>
          <w:rFonts w:hint="cs"/>
          <w:b/>
          <w:bCs/>
          <w:rtl/>
        </w:rPr>
        <w:t>2016</w:t>
      </w:r>
      <w:r w:rsidRPr="00B54D74">
        <w:rPr>
          <w:b/>
          <w:bCs/>
          <w:rtl/>
        </w:rPr>
        <w:t>)</w:t>
      </w:r>
    </w:p>
    <w:p w14:paraId="4BC2A322" w14:textId="77777777" w:rsidR="006E24D8" w:rsidRDefault="006E24D8" w:rsidP="006E24D8">
      <w:pPr>
        <w:pStyle w:val="NormalParaAR"/>
      </w:pPr>
      <w:r>
        <w:rPr>
          <w:rtl/>
        </w:rPr>
        <w:t xml:space="preserve">توجز لوحة البيانات </w:t>
      </w:r>
      <w:r>
        <w:rPr>
          <w:rFonts w:hint="cs"/>
          <w:rtl/>
        </w:rPr>
        <w:t xml:space="preserve">التالية </w:t>
      </w:r>
      <w:r>
        <w:rPr>
          <w:rtl/>
        </w:rPr>
        <w:t xml:space="preserve">التقدم المحرز </w:t>
      </w:r>
      <w:r>
        <w:rPr>
          <w:rFonts w:hint="cs"/>
          <w:rtl/>
        </w:rPr>
        <w:t>نحو</w:t>
      </w:r>
      <w:r>
        <w:rPr>
          <w:rtl/>
        </w:rPr>
        <w:t xml:space="preserve"> تحقيق النتائج</w:t>
      </w:r>
      <w:r>
        <w:rPr>
          <w:rFonts w:hint="cs"/>
          <w:rtl/>
        </w:rPr>
        <w:t xml:space="preserve"> المرتقبة</w:t>
      </w:r>
      <w:r>
        <w:rPr>
          <w:rtl/>
        </w:rPr>
        <w:t xml:space="preserve"> في عام </w:t>
      </w:r>
      <w:r>
        <w:rPr>
          <w:rFonts w:hint="cs"/>
          <w:rtl/>
        </w:rPr>
        <w:t>2016</w:t>
      </w:r>
      <w:r>
        <w:rPr>
          <w:rtl/>
        </w:rPr>
        <w:t xml:space="preserve"> قياسا</w:t>
      </w:r>
      <w:r>
        <w:rPr>
          <w:rFonts w:hint="cs"/>
          <w:rtl/>
        </w:rPr>
        <w:t>ً</w:t>
      </w:r>
      <w:r>
        <w:rPr>
          <w:rtl/>
        </w:rPr>
        <w:t xml:space="preserve"> بمؤشرات الأداء </w:t>
      </w:r>
      <w:r>
        <w:rPr>
          <w:rFonts w:hint="cs"/>
          <w:rtl/>
        </w:rPr>
        <w:t>في إطار</w:t>
      </w:r>
      <w:r>
        <w:rPr>
          <w:rtl/>
        </w:rPr>
        <w:t xml:space="preserve"> البرامج التي تس</w:t>
      </w:r>
      <w:r>
        <w:rPr>
          <w:rFonts w:hint="cs"/>
          <w:rtl/>
        </w:rPr>
        <w:t>ا</w:t>
      </w:r>
      <w:r>
        <w:rPr>
          <w:rtl/>
        </w:rPr>
        <w:t>هم في تحقيق هذا الهدف الاستراتيجي</w:t>
      </w:r>
      <w:r>
        <w:rPr>
          <w:rFonts w:hint="cs"/>
          <w:rtl/>
        </w:rPr>
        <w:t>.</w:t>
      </w:r>
    </w:p>
    <w:p w14:paraId="3BFAC73B" w14:textId="4AEB9C7F" w:rsidR="006E24D8" w:rsidRDefault="00902A0A" w:rsidP="006E24D8">
      <w:pPr>
        <w:pStyle w:val="NormalParaAR"/>
        <w:spacing w:line="240" w:lineRule="auto"/>
        <w:jc w:val="center"/>
      </w:pPr>
      <w:r>
        <w:rPr>
          <w:noProof/>
        </w:rPr>
        <w:drawing>
          <wp:inline distT="0" distB="0" distL="0" distR="0" wp14:anchorId="2AF1EFFA" wp14:editId="5CB6BC6B">
            <wp:extent cx="3577718" cy="21600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9210" w:type="dxa"/>
        <w:tblInd w:w="108" w:type="dxa"/>
        <w:tblLayout w:type="fixed"/>
        <w:tblLook w:val="0000" w:firstRow="0" w:lastRow="0" w:firstColumn="0" w:lastColumn="0" w:noHBand="0" w:noVBand="0"/>
      </w:tblPr>
      <w:tblGrid>
        <w:gridCol w:w="2723"/>
        <w:gridCol w:w="3855"/>
        <w:gridCol w:w="1588"/>
        <w:gridCol w:w="1044"/>
      </w:tblGrid>
      <w:tr w:rsidR="00574A27" w:rsidRPr="009638AE" w14:paraId="67542B6D" w14:textId="77777777" w:rsidTr="00574A27">
        <w:trPr>
          <w:cantSplit/>
          <w:trHeight w:val="383"/>
          <w:tblHeader/>
        </w:trPr>
        <w:tc>
          <w:tcPr>
            <w:tcW w:w="1478" w:type="pct"/>
            <w:shd w:val="clear" w:color="auto" w:fill="B8CCE4" w:themeFill="accent1" w:themeFillTint="66"/>
            <w:tcMar>
              <w:top w:w="113" w:type="dxa"/>
              <w:bottom w:w="85" w:type="dxa"/>
            </w:tcMar>
            <w:vAlign w:val="center"/>
          </w:tcPr>
          <w:p w14:paraId="4B86D96B" w14:textId="77777777" w:rsidR="00574A27" w:rsidRPr="009638AE" w:rsidRDefault="00574A27" w:rsidP="00574A27">
            <w:pPr>
              <w:bidi/>
              <w:spacing w:before="120" w:after="120" w:line="280" w:lineRule="exact"/>
              <w:jc w:val="center"/>
              <w:rPr>
                <w:rFonts w:ascii="Arabic Typesetting" w:eastAsia="SimSun" w:hAnsi="Arabic Typesetting" w:cs="Arabic Typesetting"/>
                <w:bCs/>
                <w:sz w:val="28"/>
                <w:szCs w:val="28"/>
                <w:lang w:eastAsia="ar-EG" w:bidi="ar-EG"/>
              </w:rPr>
            </w:pPr>
            <w:r w:rsidRPr="009638AE">
              <w:rPr>
                <w:rFonts w:ascii="Arabic Typesetting" w:eastAsia="SimSun" w:hAnsi="Arabic Typesetting" w:cs="Arabic Typesetting"/>
                <w:bCs/>
                <w:sz w:val="28"/>
                <w:szCs w:val="28"/>
                <w:rtl/>
                <w:lang w:eastAsia="ar-EG" w:bidi="ar-EG"/>
              </w:rPr>
              <w:t>النتائج المرتقبة</w:t>
            </w:r>
          </w:p>
        </w:tc>
        <w:tc>
          <w:tcPr>
            <w:tcW w:w="2093" w:type="pct"/>
            <w:shd w:val="clear" w:color="auto" w:fill="B8CCE4" w:themeFill="accent1" w:themeFillTint="66"/>
            <w:tcMar>
              <w:top w:w="113" w:type="dxa"/>
              <w:bottom w:w="85" w:type="dxa"/>
            </w:tcMar>
            <w:vAlign w:val="center"/>
          </w:tcPr>
          <w:p w14:paraId="0F4FA967" w14:textId="77777777" w:rsidR="00574A27" w:rsidRPr="009638AE" w:rsidRDefault="00574A27" w:rsidP="00574A27">
            <w:pPr>
              <w:bidi/>
              <w:spacing w:before="120" w:after="120" w:line="280" w:lineRule="exact"/>
              <w:jc w:val="center"/>
              <w:rPr>
                <w:rFonts w:ascii="Arabic Typesetting" w:eastAsia="SimSun" w:hAnsi="Arabic Typesetting" w:cs="Arabic Typesetting"/>
                <w:bCs/>
                <w:sz w:val="28"/>
                <w:szCs w:val="28"/>
                <w:lang w:eastAsia="ar-EG" w:bidi="ar-EG"/>
              </w:rPr>
            </w:pPr>
            <w:r w:rsidRPr="009638AE">
              <w:rPr>
                <w:rFonts w:ascii="Arabic Typesetting" w:eastAsia="SimSun" w:hAnsi="Arabic Typesetting" w:cs="Arabic Typesetting"/>
                <w:bCs/>
                <w:sz w:val="28"/>
                <w:szCs w:val="28"/>
                <w:rtl/>
                <w:lang w:eastAsia="ar-EG" w:bidi="ar-EG"/>
              </w:rPr>
              <w:t>مؤشرات الأداء</w:t>
            </w:r>
          </w:p>
        </w:tc>
        <w:tc>
          <w:tcPr>
            <w:tcW w:w="862" w:type="pct"/>
            <w:shd w:val="clear" w:color="auto" w:fill="B8CCE4" w:themeFill="accent1" w:themeFillTint="66"/>
            <w:tcMar>
              <w:top w:w="113" w:type="dxa"/>
              <w:bottom w:w="85" w:type="dxa"/>
            </w:tcMar>
            <w:vAlign w:val="center"/>
          </w:tcPr>
          <w:p w14:paraId="7E228B7D" w14:textId="77777777" w:rsidR="00574A27" w:rsidRPr="009638AE" w:rsidRDefault="00574A27" w:rsidP="00574A27">
            <w:pPr>
              <w:bidi/>
              <w:spacing w:before="120" w:after="120" w:line="280" w:lineRule="exact"/>
              <w:jc w:val="center"/>
              <w:rPr>
                <w:rFonts w:ascii="Arabic Typesetting" w:eastAsia="SimSun" w:hAnsi="Arabic Typesetting" w:cs="Arabic Typesetting"/>
                <w:bCs/>
                <w:sz w:val="28"/>
                <w:szCs w:val="28"/>
                <w:lang w:eastAsia="ar-EG" w:bidi="ar-EG"/>
              </w:rPr>
            </w:pPr>
            <w:r w:rsidRPr="009638AE">
              <w:rPr>
                <w:rFonts w:ascii="Arabic Typesetting" w:eastAsia="SimSun" w:hAnsi="Arabic Typesetting" w:cs="Arabic Typesetting"/>
                <w:bCs/>
                <w:sz w:val="28"/>
                <w:szCs w:val="28"/>
                <w:rtl/>
                <w:lang w:eastAsia="ar-EG" w:bidi="ar-EG"/>
              </w:rPr>
              <w:t>البرامج المسؤولة</w:t>
            </w:r>
          </w:p>
        </w:tc>
        <w:tc>
          <w:tcPr>
            <w:tcW w:w="567" w:type="pct"/>
            <w:shd w:val="clear" w:color="auto" w:fill="B8CCE4" w:themeFill="accent1" w:themeFillTint="66"/>
            <w:vAlign w:val="center"/>
          </w:tcPr>
          <w:p w14:paraId="0E4E27A9" w14:textId="77777777" w:rsidR="00574A27" w:rsidRPr="009638AE" w:rsidRDefault="00574A27" w:rsidP="00574A27">
            <w:pPr>
              <w:bidi/>
              <w:spacing w:before="120" w:after="120" w:line="280" w:lineRule="exact"/>
              <w:jc w:val="center"/>
              <w:rPr>
                <w:rFonts w:ascii="Arabic Typesetting" w:eastAsia="Arabic Typesetting" w:hAnsi="Arabic Typesetting" w:cs="Arabic Typesetting"/>
                <w:bCs/>
                <w:sz w:val="28"/>
                <w:szCs w:val="28"/>
                <w:lang w:eastAsia="ar-EG" w:bidi="ar-EG"/>
              </w:rPr>
            </w:pPr>
            <w:r w:rsidRPr="009638AE">
              <w:rPr>
                <w:rFonts w:ascii="Arabic Typesetting" w:eastAsia="Arabic Typesetting" w:hAnsi="Arabic Typesetting" w:cs="Arabic Typesetting"/>
                <w:bCs/>
                <w:sz w:val="28"/>
                <w:szCs w:val="28"/>
                <w:rtl/>
                <w:lang w:eastAsia="ar-EG" w:bidi="ar-EG"/>
              </w:rPr>
              <w:t>السير</w:t>
            </w:r>
          </w:p>
        </w:tc>
      </w:tr>
      <w:tr w:rsidR="00574A27" w:rsidRPr="009638AE" w14:paraId="0D256A81" w14:textId="77777777" w:rsidTr="00574A27">
        <w:trPr>
          <w:cantSplit/>
          <w:trHeight w:val="379"/>
        </w:trPr>
        <w:tc>
          <w:tcPr>
            <w:tcW w:w="1478" w:type="pct"/>
            <w:vMerge w:val="restart"/>
            <w:shd w:val="clear" w:color="auto" w:fill="auto"/>
            <w:tcMar>
              <w:top w:w="113" w:type="dxa"/>
              <w:bottom w:w="85" w:type="dxa"/>
            </w:tcMar>
          </w:tcPr>
          <w:p w14:paraId="2312D4CF"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 xml:space="preserve">ه1.8 التواصل </w:t>
            </w:r>
            <w:r w:rsidRPr="009638AE">
              <w:rPr>
                <w:rFonts w:ascii="Arabic Typesetting" w:eastAsia="Arabic Typesetting" w:hAnsi="Arabic Typesetting" w:cs="Arabic Typesetting"/>
                <w:sz w:val="28"/>
                <w:szCs w:val="28"/>
                <w:rtl/>
                <w:lang w:eastAsia="ar-EG" w:bidi="ar-EG"/>
              </w:rPr>
              <w:t>بفعالية</w:t>
            </w:r>
            <w:r w:rsidRPr="009638AE">
              <w:rPr>
                <w:rFonts w:ascii="Arabic Typesetting" w:eastAsia="Arabic Typesetting" w:hAnsi="Arabic Typesetting" w:cs="Arabic Typesetting"/>
                <w:color w:val="000000"/>
                <w:sz w:val="28"/>
                <w:szCs w:val="28"/>
                <w:rtl/>
                <w:lang w:eastAsia="ar-EG" w:bidi="ar-EG"/>
              </w:rPr>
              <w:t xml:space="preserve"> أكبر مع جمهور واسع بشأن الملكية الفكرية ودور الويبو</w:t>
            </w:r>
          </w:p>
        </w:tc>
        <w:tc>
          <w:tcPr>
            <w:tcW w:w="2093" w:type="pct"/>
            <w:shd w:val="clear" w:color="auto" w:fill="auto"/>
            <w:tcMar>
              <w:top w:w="113" w:type="dxa"/>
              <w:bottom w:w="85" w:type="dxa"/>
            </w:tcMar>
          </w:tcPr>
          <w:p w14:paraId="247AC55E"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عدد الدول الأعضاء المشاركة في برنامج جوائز الويبو</w:t>
            </w:r>
          </w:p>
        </w:tc>
        <w:tc>
          <w:tcPr>
            <w:tcW w:w="862" w:type="pct"/>
            <w:shd w:val="clear" w:color="auto" w:fill="FFFFFF"/>
            <w:tcMar>
              <w:top w:w="113" w:type="dxa"/>
              <w:bottom w:w="85" w:type="dxa"/>
            </w:tcMar>
          </w:tcPr>
          <w:p w14:paraId="14F27B85"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17</w:t>
            </w:r>
          </w:p>
        </w:tc>
        <w:tc>
          <w:tcPr>
            <w:tcW w:w="567" w:type="pct"/>
            <w:shd w:val="clear" w:color="auto" w:fill="FFFFFF"/>
          </w:tcPr>
          <w:p w14:paraId="35796506"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r w:rsidR="00574A27" w:rsidRPr="009638AE" w14:paraId="03AA85C7" w14:textId="77777777" w:rsidTr="00574A27">
        <w:trPr>
          <w:cantSplit/>
          <w:trHeight w:val="514"/>
        </w:trPr>
        <w:tc>
          <w:tcPr>
            <w:tcW w:w="1478" w:type="pct"/>
            <w:vMerge/>
            <w:shd w:val="clear" w:color="auto" w:fill="auto"/>
            <w:tcMar>
              <w:top w:w="113" w:type="dxa"/>
              <w:bottom w:w="85" w:type="dxa"/>
            </w:tcMar>
          </w:tcPr>
          <w:p w14:paraId="6F7389BD"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3E77FE50"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تصور أصحاب المصالح الإيجابي لسمعة الويبو، وزيادة تعرفهم على السمة التجارية للويبو</w:t>
            </w:r>
          </w:p>
        </w:tc>
        <w:tc>
          <w:tcPr>
            <w:tcW w:w="862" w:type="pct"/>
            <w:shd w:val="clear" w:color="auto" w:fill="FFFFFF"/>
            <w:tcMar>
              <w:top w:w="113" w:type="dxa"/>
              <w:bottom w:w="85" w:type="dxa"/>
            </w:tcMar>
          </w:tcPr>
          <w:p w14:paraId="1C64170F"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19</w:t>
            </w:r>
          </w:p>
        </w:tc>
        <w:tc>
          <w:tcPr>
            <w:tcW w:w="567" w:type="pct"/>
            <w:shd w:val="clear" w:color="auto" w:fill="FFFFFF"/>
          </w:tcPr>
          <w:p w14:paraId="46D565AD" w14:textId="77777777" w:rsidR="00574A27" w:rsidRPr="009638AE" w:rsidRDefault="00574A27" w:rsidP="00574A27">
            <w:pPr>
              <w:bidi/>
              <w:spacing w:before="120" w:after="120" w:line="280" w:lineRule="exact"/>
              <w:jc w:val="center"/>
              <w:rPr>
                <w:rFonts w:ascii="Arabic Typesetting" w:hAnsi="Arabic Typesetting" w:cs="Arabic Typesetting"/>
                <w:color w:val="A6A6A6" w:themeColor="background1" w:themeShade="A6"/>
                <w:sz w:val="28"/>
                <w:szCs w:val="28"/>
              </w:rPr>
            </w:pP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p>
        </w:tc>
      </w:tr>
      <w:tr w:rsidR="00574A27" w:rsidRPr="009638AE" w14:paraId="26CB255B" w14:textId="77777777" w:rsidTr="00574A27">
        <w:trPr>
          <w:cantSplit/>
          <w:trHeight w:val="314"/>
        </w:trPr>
        <w:tc>
          <w:tcPr>
            <w:tcW w:w="1478" w:type="pct"/>
            <w:vMerge/>
            <w:shd w:val="clear" w:color="auto" w:fill="auto"/>
            <w:tcMar>
              <w:top w:w="113" w:type="dxa"/>
              <w:bottom w:w="85" w:type="dxa"/>
            </w:tcMar>
          </w:tcPr>
          <w:p w14:paraId="3FDAD44C"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490F3981"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عدد الأشخاص الذين يشاهدون محتوى عن تظاهرات الويبو وإنجازاتها وأنشطتها الرئيسية</w:t>
            </w:r>
          </w:p>
        </w:tc>
        <w:tc>
          <w:tcPr>
            <w:tcW w:w="862" w:type="pct"/>
            <w:shd w:val="clear" w:color="auto" w:fill="FFFFFF"/>
            <w:tcMar>
              <w:top w:w="113" w:type="dxa"/>
              <w:bottom w:w="85" w:type="dxa"/>
            </w:tcMar>
          </w:tcPr>
          <w:p w14:paraId="681DF828"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19</w:t>
            </w:r>
          </w:p>
        </w:tc>
        <w:tc>
          <w:tcPr>
            <w:tcW w:w="567" w:type="pct"/>
            <w:shd w:val="clear" w:color="auto" w:fill="FFFFFF"/>
          </w:tcPr>
          <w:p w14:paraId="60C5FEC1"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r w:rsidR="00574A27" w:rsidRPr="009638AE" w14:paraId="575FCF2D" w14:textId="77777777" w:rsidTr="00574A27">
        <w:trPr>
          <w:cantSplit/>
          <w:trHeight w:val="180"/>
        </w:trPr>
        <w:tc>
          <w:tcPr>
            <w:tcW w:w="1478" w:type="pct"/>
            <w:shd w:val="clear" w:color="auto" w:fill="auto"/>
            <w:tcMar>
              <w:top w:w="113" w:type="dxa"/>
              <w:bottom w:w="85" w:type="dxa"/>
            </w:tcMar>
          </w:tcPr>
          <w:p w14:paraId="5A64D578"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695E4C62"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المشاركة العالمية في حملة اليوم العالمي للملكية الفكرية</w:t>
            </w:r>
          </w:p>
        </w:tc>
        <w:tc>
          <w:tcPr>
            <w:tcW w:w="862" w:type="pct"/>
            <w:shd w:val="clear" w:color="auto" w:fill="FFFFFF"/>
            <w:tcMar>
              <w:top w:w="113" w:type="dxa"/>
              <w:bottom w:w="85" w:type="dxa"/>
            </w:tcMar>
          </w:tcPr>
          <w:p w14:paraId="61A54C1A"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19</w:t>
            </w:r>
          </w:p>
        </w:tc>
        <w:tc>
          <w:tcPr>
            <w:tcW w:w="567" w:type="pct"/>
            <w:shd w:val="clear" w:color="auto" w:fill="FFFFFF"/>
          </w:tcPr>
          <w:p w14:paraId="1D656EFE"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r w:rsidR="00574A27" w:rsidRPr="009638AE" w14:paraId="7022AAFE" w14:textId="77777777" w:rsidTr="00574A27">
        <w:trPr>
          <w:cantSplit/>
          <w:trHeight w:val="353"/>
        </w:trPr>
        <w:tc>
          <w:tcPr>
            <w:tcW w:w="1478" w:type="pct"/>
            <w:shd w:val="clear" w:color="auto" w:fill="auto"/>
            <w:tcMar>
              <w:top w:w="113" w:type="dxa"/>
              <w:bottom w:w="85" w:type="dxa"/>
            </w:tcMar>
          </w:tcPr>
          <w:p w14:paraId="119BE770"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50A715B" w14:textId="77777777" w:rsidR="00574A27" w:rsidRPr="009638AE" w:rsidRDefault="00574A27" w:rsidP="00574A27">
            <w:pPr>
              <w:bidi/>
              <w:spacing w:before="120" w:after="120" w:line="280" w:lineRule="exact"/>
              <w:rPr>
                <w:rFonts w:ascii="Arabic Typesetting" w:eastAsia="Arabic Typesetting" w:hAnsi="Arabic Typesetting" w:cs="Arabic Typesetting"/>
                <w:color w:val="000000"/>
                <w:sz w:val="28"/>
                <w:szCs w:val="28"/>
                <w:lang w:eastAsia="ar-EG" w:bidi="ar-EG"/>
              </w:rPr>
            </w:pPr>
            <w:r w:rsidRPr="009638AE">
              <w:rPr>
                <w:rFonts w:ascii="Arabic Typesetting" w:eastAsia="Arabic Typesetting" w:hAnsi="Arabic Typesetting" w:cs="Arabic Typesetting"/>
                <w:color w:val="000000"/>
                <w:sz w:val="28"/>
                <w:szCs w:val="28"/>
                <w:rtl/>
                <w:lang w:eastAsia="ar-EG" w:bidi="ar-EG"/>
              </w:rPr>
              <w:t>عدد زيارات موقع منشورات الويبو وموقع مجلة الويبو</w:t>
            </w:r>
          </w:p>
        </w:tc>
        <w:tc>
          <w:tcPr>
            <w:tcW w:w="862" w:type="pct"/>
            <w:shd w:val="clear" w:color="auto" w:fill="FFFFFF"/>
            <w:tcMar>
              <w:top w:w="113" w:type="dxa"/>
              <w:bottom w:w="85" w:type="dxa"/>
            </w:tcMar>
          </w:tcPr>
          <w:p w14:paraId="1CAB7658"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19</w:t>
            </w:r>
          </w:p>
        </w:tc>
        <w:tc>
          <w:tcPr>
            <w:tcW w:w="567" w:type="pct"/>
            <w:shd w:val="clear" w:color="auto" w:fill="FFFFFF"/>
          </w:tcPr>
          <w:p w14:paraId="78E7CFFA" w14:textId="77777777" w:rsidR="00574A27" w:rsidRPr="009638AE" w:rsidRDefault="00574A27" w:rsidP="00574A27">
            <w:pPr>
              <w:bidi/>
              <w:spacing w:before="120" w:after="120" w:line="280" w:lineRule="exact"/>
              <w:jc w:val="center"/>
              <w:rPr>
                <w:rFonts w:ascii="Arabic Typesetting" w:hAnsi="Arabic Typesetting" w:cs="Arabic Typesetting"/>
                <w:color w:val="0070C0"/>
                <w:sz w:val="28"/>
                <w:szCs w:val="28"/>
              </w:rPr>
            </w:pP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p>
        </w:tc>
      </w:tr>
      <w:tr w:rsidR="00574A27" w:rsidRPr="009638AE" w14:paraId="5727E46F" w14:textId="77777777" w:rsidTr="00574A27">
        <w:trPr>
          <w:cantSplit/>
          <w:trHeight w:val="330"/>
        </w:trPr>
        <w:tc>
          <w:tcPr>
            <w:tcW w:w="1478" w:type="pct"/>
            <w:shd w:val="clear" w:color="auto" w:fill="auto"/>
            <w:tcMar>
              <w:top w:w="113" w:type="dxa"/>
              <w:bottom w:w="85" w:type="dxa"/>
            </w:tcMar>
          </w:tcPr>
          <w:p w14:paraId="7D06D82B"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A9FDA3E" w14:textId="77777777" w:rsidR="00574A27" w:rsidRPr="009638AE" w:rsidRDefault="00574A27" w:rsidP="00574A27">
            <w:pPr>
              <w:bidi/>
              <w:spacing w:before="120" w:after="120" w:line="280" w:lineRule="exact"/>
              <w:rPr>
                <w:rFonts w:ascii="Arabic Typesetting" w:eastAsia="Arabic Typesetting" w:hAnsi="Arabic Typesetting" w:cs="Arabic Typesetting"/>
                <w:color w:val="000000"/>
                <w:sz w:val="28"/>
                <w:szCs w:val="28"/>
                <w:lang w:eastAsia="ar-EG" w:bidi="ar-EG"/>
              </w:rPr>
            </w:pPr>
            <w:r w:rsidRPr="009638AE">
              <w:rPr>
                <w:rFonts w:ascii="Arabic Typesetting" w:eastAsia="Arabic Typesetting" w:hAnsi="Arabic Typesetting" w:cs="Arabic Typesetting"/>
                <w:color w:val="000000"/>
                <w:sz w:val="28"/>
                <w:szCs w:val="28"/>
                <w:rtl/>
                <w:lang w:eastAsia="ar-EG" w:bidi="ar-EG"/>
              </w:rPr>
              <w:t>عدد زيارات المحتوى الإخباري والفيديو والصور على موقع الويبو</w:t>
            </w:r>
          </w:p>
        </w:tc>
        <w:tc>
          <w:tcPr>
            <w:tcW w:w="862" w:type="pct"/>
            <w:shd w:val="clear" w:color="auto" w:fill="FFFFFF"/>
            <w:tcMar>
              <w:top w:w="113" w:type="dxa"/>
              <w:bottom w:w="85" w:type="dxa"/>
            </w:tcMar>
          </w:tcPr>
          <w:p w14:paraId="3184304D"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19</w:t>
            </w:r>
          </w:p>
        </w:tc>
        <w:tc>
          <w:tcPr>
            <w:tcW w:w="567" w:type="pct"/>
            <w:shd w:val="clear" w:color="auto" w:fill="FFFFFF"/>
          </w:tcPr>
          <w:p w14:paraId="373DC128"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p>
        </w:tc>
      </w:tr>
      <w:tr w:rsidR="00574A27" w:rsidRPr="009638AE" w14:paraId="2C208B9E" w14:textId="77777777" w:rsidTr="00574A27">
        <w:trPr>
          <w:cantSplit/>
          <w:trHeight w:val="20"/>
        </w:trPr>
        <w:tc>
          <w:tcPr>
            <w:tcW w:w="1478" w:type="pct"/>
            <w:shd w:val="clear" w:color="auto" w:fill="auto"/>
            <w:tcMar>
              <w:top w:w="113" w:type="dxa"/>
              <w:bottom w:w="85" w:type="dxa"/>
            </w:tcMar>
          </w:tcPr>
          <w:p w14:paraId="30736C6A"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5712DC2C"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عدد أقل من المستخدمين الذين يغادرون موقع الويبو الإلكتروني مباشرةً من صفحة الدخول وصفحات البوابة الرئيسية</w:t>
            </w:r>
          </w:p>
        </w:tc>
        <w:tc>
          <w:tcPr>
            <w:tcW w:w="862" w:type="pct"/>
            <w:shd w:val="clear" w:color="auto" w:fill="FFFFFF"/>
            <w:tcMar>
              <w:top w:w="113" w:type="dxa"/>
              <w:bottom w:w="85" w:type="dxa"/>
            </w:tcMar>
          </w:tcPr>
          <w:p w14:paraId="099570A2"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19</w:t>
            </w:r>
          </w:p>
        </w:tc>
        <w:tc>
          <w:tcPr>
            <w:tcW w:w="567" w:type="pct"/>
            <w:shd w:val="clear" w:color="auto" w:fill="FFFFFF"/>
          </w:tcPr>
          <w:p w14:paraId="450EB8DD" w14:textId="77777777" w:rsidR="00574A27" w:rsidRPr="009638AE" w:rsidRDefault="00574A27" w:rsidP="00574A27">
            <w:pPr>
              <w:bidi/>
              <w:spacing w:before="120" w:after="120" w:line="280" w:lineRule="exact"/>
              <w:jc w:val="center"/>
              <w:rPr>
                <w:rFonts w:ascii="Arabic Typesetting" w:hAnsi="Arabic Typesetting" w:cs="Arabic Typesetting"/>
                <w:color w:val="00B050"/>
                <w:sz w:val="28"/>
                <w:szCs w:val="28"/>
              </w:rPr>
            </w:pP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p>
          <w:p w14:paraId="60D6D119"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FF0000"/>
                <w:sz w:val="28"/>
                <w:szCs w:val="28"/>
              </w:rPr>
              <w:sym w:font="Wingdings" w:char="F06C"/>
            </w:r>
            <w:r w:rsidRPr="009638AE">
              <w:rPr>
                <w:rFonts w:ascii="Arabic Typesetting" w:hAnsi="Arabic Typesetting" w:cs="Arabic Typesetting"/>
                <w:color w:val="FF0000"/>
                <w:sz w:val="28"/>
                <w:szCs w:val="28"/>
              </w:rPr>
              <w:sym w:font="Wingdings" w:char="F06C"/>
            </w:r>
          </w:p>
        </w:tc>
      </w:tr>
      <w:tr w:rsidR="00574A27" w:rsidRPr="009638AE" w14:paraId="78DB8744" w14:textId="77777777" w:rsidTr="00574A27">
        <w:trPr>
          <w:cantSplit/>
          <w:trHeight w:val="335"/>
        </w:trPr>
        <w:tc>
          <w:tcPr>
            <w:tcW w:w="1478" w:type="pct"/>
            <w:shd w:val="clear" w:color="auto" w:fill="auto"/>
            <w:tcMar>
              <w:top w:w="113" w:type="dxa"/>
              <w:bottom w:w="85" w:type="dxa"/>
            </w:tcMar>
          </w:tcPr>
          <w:p w14:paraId="7798F693"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42385EDC"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تأثير الويبو في وسائل التواصل الاجتماعي وإشراك أصحاب المصالح فيها</w:t>
            </w:r>
          </w:p>
        </w:tc>
        <w:tc>
          <w:tcPr>
            <w:tcW w:w="862" w:type="pct"/>
            <w:shd w:val="clear" w:color="auto" w:fill="FFFFFF"/>
            <w:tcMar>
              <w:top w:w="113" w:type="dxa"/>
              <w:bottom w:w="85" w:type="dxa"/>
            </w:tcMar>
          </w:tcPr>
          <w:p w14:paraId="079C08B3"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19</w:t>
            </w:r>
          </w:p>
        </w:tc>
        <w:tc>
          <w:tcPr>
            <w:tcW w:w="567" w:type="pct"/>
            <w:shd w:val="clear" w:color="auto" w:fill="FFFFFF"/>
          </w:tcPr>
          <w:p w14:paraId="0806684A" w14:textId="77777777" w:rsidR="00574A27" w:rsidRPr="009638AE" w:rsidRDefault="00574A27" w:rsidP="00574A27">
            <w:pPr>
              <w:bidi/>
              <w:spacing w:before="120" w:after="120" w:line="280" w:lineRule="exact"/>
              <w:jc w:val="center"/>
              <w:rPr>
                <w:rFonts w:ascii="Arabic Typesetting" w:hAnsi="Arabic Typesetting" w:cs="Arabic Typesetting"/>
                <w:color w:val="A6A6A6" w:themeColor="background1" w:themeShade="A6"/>
                <w:sz w:val="28"/>
                <w:szCs w:val="28"/>
              </w:rPr>
            </w:pP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p>
        </w:tc>
      </w:tr>
      <w:tr w:rsidR="00574A27" w:rsidRPr="009638AE" w14:paraId="7B875605" w14:textId="77777777" w:rsidTr="00574A27">
        <w:trPr>
          <w:cantSplit/>
          <w:trHeight w:val="385"/>
        </w:trPr>
        <w:tc>
          <w:tcPr>
            <w:tcW w:w="1478" w:type="pct"/>
            <w:shd w:val="clear" w:color="auto" w:fill="auto"/>
            <w:tcMar>
              <w:top w:w="113" w:type="dxa"/>
              <w:bottom w:w="85" w:type="dxa"/>
            </w:tcMar>
          </w:tcPr>
          <w:p w14:paraId="18E1383D"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3372B4B" w14:textId="02E6636B" w:rsidR="00574A27" w:rsidRPr="009638AE" w:rsidRDefault="00EF3FA1" w:rsidP="00574A27">
            <w:pPr>
              <w:bidi/>
              <w:spacing w:before="120" w:after="120" w:line="280" w:lineRule="exact"/>
              <w:rPr>
                <w:rFonts w:ascii="Arabic Typesetting" w:hAnsi="Arabic Typesetting" w:cs="Arabic Typesetting"/>
                <w:sz w:val="28"/>
                <w:szCs w:val="28"/>
              </w:rPr>
            </w:pPr>
            <w:r w:rsidRPr="00EF3FA1">
              <w:rPr>
                <w:rFonts w:ascii="Arabic Typesetting" w:hAnsi="Arabic Typesetting" w:cs="Arabic Typesetting"/>
                <w:sz w:val="28"/>
                <w:szCs w:val="28"/>
                <w:rtl/>
              </w:rPr>
              <w:t>تزايد عدد زيارات الموقع الإلكتروني لمكاتب الويبو الخارجية</w:t>
            </w:r>
          </w:p>
        </w:tc>
        <w:tc>
          <w:tcPr>
            <w:tcW w:w="862" w:type="pct"/>
            <w:shd w:val="clear" w:color="auto" w:fill="FFFFFF"/>
            <w:tcMar>
              <w:top w:w="113" w:type="dxa"/>
              <w:bottom w:w="85" w:type="dxa"/>
            </w:tcMar>
          </w:tcPr>
          <w:p w14:paraId="46849963"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20</w:t>
            </w:r>
          </w:p>
        </w:tc>
        <w:tc>
          <w:tcPr>
            <w:tcW w:w="567" w:type="pct"/>
            <w:shd w:val="clear" w:color="auto" w:fill="FFFFFF"/>
          </w:tcPr>
          <w:p w14:paraId="67FD4D32"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FF0000"/>
                <w:sz w:val="28"/>
                <w:szCs w:val="28"/>
              </w:rPr>
              <w:sym w:font="Wingdings" w:char="F06C"/>
            </w:r>
          </w:p>
        </w:tc>
      </w:tr>
      <w:tr w:rsidR="00574A27" w:rsidRPr="009638AE" w14:paraId="5EDC81DD" w14:textId="77777777" w:rsidTr="00574A27">
        <w:trPr>
          <w:cantSplit/>
          <w:trHeight w:val="172"/>
        </w:trPr>
        <w:tc>
          <w:tcPr>
            <w:tcW w:w="1478" w:type="pct"/>
            <w:vMerge w:val="restart"/>
            <w:shd w:val="clear" w:color="auto" w:fill="auto"/>
            <w:tcMar>
              <w:top w:w="113" w:type="dxa"/>
              <w:bottom w:w="85" w:type="dxa"/>
            </w:tcMar>
          </w:tcPr>
          <w:p w14:paraId="11FBFC60"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 xml:space="preserve">ه2.8 توجّه أكبر </w:t>
            </w:r>
            <w:r w:rsidRPr="009638AE">
              <w:rPr>
                <w:rFonts w:ascii="Arabic Typesetting" w:eastAsia="Arabic Typesetting" w:hAnsi="Arabic Typesetting" w:cs="Arabic Typesetting"/>
                <w:sz w:val="28"/>
                <w:szCs w:val="28"/>
                <w:rtl/>
                <w:lang w:eastAsia="ar-EG" w:bidi="ar-EG"/>
              </w:rPr>
              <w:t>نحو</w:t>
            </w:r>
            <w:r w:rsidRPr="009638AE">
              <w:rPr>
                <w:rFonts w:ascii="Arabic Typesetting" w:eastAsia="Arabic Typesetting" w:hAnsi="Arabic Typesetting" w:cs="Arabic Typesetting"/>
                <w:color w:val="000000"/>
                <w:sz w:val="28"/>
                <w:szCs w:val="28"/>
                <w:rtl/>
                <w:lang w:eastAsia="ar-EG" w:bidi="ar-EG"/>
              </w:rPr>
              <w:t xml:space="preserve"> تقديم الخدمات واستجابة أفضل للاستفسارات</w:t>
            </w:r>
          </w:p>
        </w:tc>
        <w:tc>
          <w:tcPr>
            <w:tcW w:w="2093" w:type="pct"/>
            <w:shd w:val="clear" w:color="auto" w:fill="auto"/>
            <w:tcMar>
              <w:top w:w="113" w:type="dxa"/>
              <w:bottom w:w="85" w:type="dxa"/>
            </w:tcMar>
          </w:tcPr>
          <w:p w14:paraId="0B0D9A69"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رضا المستخدمين عن خدمات المكتبة</w:t>
            </w:r>
          </w:p>
        </w:tc>
        <w:tc>
          <w:tcPr>
            <w:tcW w:w="862" w:type="pct"/>
            <w:shd w:val="clear" w:color="auto" w:fill="FFFFFF"/>
            <w:tcMar>
              <w:top w:w="113" w:type="dxa"/>
              <w:bottom w:w="85" w:type="dxa"/>
            </w:tcMar>
          </w:tcPr>
          <w:p w14:paraId="23E97614"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19</w:t>
            </w:r>
          </w:p>
        </w:tc>
        <w:tc>
          <w:tcPr>
            <w:tcW w:w="567" w:type="pct"/>
            <w:shd w:val="clear" w:color="auto" w:fill="FFFFFF"/>
          </w:tcPr>
          <w:p w14:paraId="4E639F21" w14:textId="77777777" w:rsidR="00574A27" w:rsidRPr="009638AE" w:rsidRDefault="00574A27" w:rsidP="00574A27">
            <w:pPr>
              <w:bidi/>
              <w:spacing w:before="120" w:after="120" w:line="280" w:lineRule="exact"/>
              <w:jc w:val="center"/>
              <w:rPr>
                <w:rFonts w:ascii="Arabic Typesetting" w:hAnsi="Arabic Typesetting" w:cs="Arabic Typesetting"/>
                <w:color w:val="00B050"/>
                <w:sz w:val="28"/>
                <w:szCs w:val="28"/>
              </w:rPr>
            </w:pPr>
            <w:r w:rsidRPr="009638AE">
              <w:rPr>
                <w:rFonts w:ascii="Arabic Typesetting" w:hAnsi="Arabic Typesetting" w:cs="Arabic Typesetting"/>
                <w:color w:val="00B050"/>
                <w:sz w:val="28"/>
                <w:szCs w:val="28"/>
              </w:rPr>
              <w:sym w:font="Wingdings" w:char="F06C"/>
            </w:r>
          </w:p>
        </w:tc>
      </w:tr>
      <w:tr w:rsidR="00574A27" w:rsidRPr="009638AE" w14:paraId="236CA875" w14:textId="77777777" w:rsidTr="00574A27">
        <w:trPr>
          <w:cantSplit/>
          <w:trHeight w:val="20"/>
        </w:trPr>
        <w:tc>
          <w:tcPr>
            <w:tcW w:w="1478" w:type="pct"/>
            <w:vMerge/>
            <w:shd w:val="clear" w:color="auto" w:fill="auto"/>
            <w:tcMar>
              <w:top w:w="113" w:type="dxa"/>
              <w:bottom w:w="85" w:type="dxa"/>
            </w:tcMar>
          </w:tcPr>
          <w:p w14:paraId="4C6EE30F"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5509A63E" w14:textId="77777777" w:rsidR="00574A27" w:rsidRPr="009638AE" w:rsidRDefault="00574A27" w:rsidP="00574A27">
            <w:pPr>
              <w:bidi/>
              <w:spacing w:before="120" w:after="120" w:line="280" w:lineRule="exact"/>
              <w:rPr>
                <w:rFonts w:ascii="Arabic Typesetting" w:hAnsi="Arabic Typesetting" w:cs="Arabic Typesetting"/>
                <w:color w:val="000000"/>
                <w:sz w:val="28"/>
                <w:szCs w:val="28"/>
              </w:rPr>
            </w:pPr>
            <w:r w:rsidRPr="009638AE">
              <w:rPr>
                <w:rFonts w:ascii="Arabic Typesetting" w:eastAsia="Arabic Typesetting" w:hAnsi="Arabic Typesetting" w:cs="Arabic Typesetting"/>
                <w:color w:val="000000"/>
                <w:sz w:val="28"/>
                <w:szCs w:val="28"/>
                <w:rtl/>
                <w:lang w:eastAsia="ar-EG" w:bidi="ar-EG"/>
              </w:rPr>
              <w:t>نسبة رضا الزبائن وأصحاب المصالح</w:t>
            </w:r>
          </w:p>
        </w:tc>
        <w:tc>
          <w:tcPr>
            <w:tcW w:w="862" w:type="pct"/>
            <w:shd w:val="clear" w:color="auto" w:fill="FFFFFF"/>
            <w:tcMar>
              <w:top w:w="113" w:type="dxa"/>
              <w:bottom w:w="85" w:type="dxa"/>
            </w:tcMar>
          </w:tcPr>
          <w:p w14:paraId="6E3B72A9"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19</w:t>
            </w:r>
          </w:p>
        </w:tc>
        <w:tc>
          <w:tcPr>
            <w:tcW w:w="567" w:type="pct"/>
            <w:shd w:val="clear" w:color="auto" w:fill="FFFFFF"/>
          </w:tcPr>
          <w:p w14:paraId="79AAAAF0" w14:textId="77777777" w:rsidR="00574A27" w:rsidRPr="009638AE" w:rsidRDefault="00574A27" w:rsidP="00574A27">
            <w:pPr>
              <w:bidi/>
              <w:spacing w:before="120" w:after="120" w:line="280" w:lineRule="exact"/>
              <w:jc w:val="center"/>
              <w:rPr>
                <w:rFonts w:ascii="Arabic Typesetting" w:hAnsi="Arabic Typesetting" w:cs="Arabic Typesetting"/>
                <w:color w:val="00B050"/>
                <w:sz w:val="28"/>
                <w:szCs w:val="28"/>
              </w:rPr>
            </w:pPr>
            <w:r w:rsidRPr="009638AE">
              <w:rPr>
                <w:rFonts w:ascii="Arabic Typesetting" w:hAnsi="Arabic Typesetting" w:cs="Arabic Typesetting"/>
                <w:color w:val="0070C0"/>
                <w:sz w:val="28"/>
                <w:szCs w:val="28"/>
              </w:rPr>
              <w:sym w:font="Wingdings" w:char="F06C"/>
            </w:r>
            <w:r w:rsidRPr="009638AE">
              <w:rPr>
                <w:rFonts w:ascii="Arabic Typesetting" w:hAnsi="Arabic Typesetting" w:cs="Arabic Typesetting"/>
                <w:color w:val="A6A6A6" w:themeColor="background1" w:themeShade="A6"/>
                <w:sz w:val="28"/>
                <w:szCs w:val="28"/>
              </w:rPr>
              <w:sym w:font="Wingdings" w:char="F06C"/>
            </w:r>
          </w:p>
        </w:tc>
      </w:tr>
      <w:tr w:rsidR="00574A27" w:rsidRPr="009638AE" w14:paraId="037ACD1A" w14:textId="77777777" w:rsidTr="00574A27">
        <w:trPr>
          <w:cantSplit/>
          <w:trHeight w:val="20"/>
        </w:trPr>
        <w:tc>
          <w:tcPr>
            <w:tcW w:w="1478" w:type="pct"/>
            <w:shd w:val="clear" w:color="auto" w:fill="auto"/>
            <w:tcMar>
              <w:top w:w="113" w:type="dxa"/>
              <w:bottom w:w="85" w:type="dxa"/>
            </w:tcMar>
          </w:tcPr>
          <w:p w14:paraId="1A87604E"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568654F8"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معايير الخدمات في مركز الويبو لخدمة الزبائن</w:t>
            </w:r>
          </w:p>
        </w:tc>
        <w:tc>
          <w:tcPr>
            <w:tcW w:w="862" w:type="pct"/>
            <w:shd w:val="clear" w:color="auto" w:fill="FFFFFF"/>
            <w:tcMar>
              <w:top w:w="113" w:type="dxa"/>
              <w:bottom w:w="85" w:type="dxa"/>
            </w:tcMar>
          </w:tcPr>
          <w:p w14:paraId="7A76969E"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19</w:t>
            </w:r>
          </w:p>
        </w:tc>
        <w:tc>
          <w:tcPr>
            <w:tcW w:w="567" w:type="pct"/>
            <w:shd w:val="clear" w:color="auto" w:fill="FFFFFF"/>
          </w:tcPr>
          <w:p w14:paraId="327D1426" w14:textId="77777777" w:rsidR="00574A27" w:rsidRPr="009638AE" w:rsidRDefault="00574A27" w:rsidP="00574A27">
            <w:pPr>
              <w:bidi/>
              <w:spacing w:before="120" w:after="120" w:line="280" w:lineRule="exact"/>
              <w:jc w:val="center"/>
              <w:rPr>
                <w:rFonts w:ascii="Arabic Typesetting" w:hAnsi="Arabic Typesetting" w:cs="Arabic Typesetting"/>
                <w:color w:val="00B050"/>
                <w:sz w:val="28"/>
                <w:szCs w:val="28"/>
              </w:rPr>
            </w:pPr>
            <w:r w:rsidRPr="009638AE">
              <w:rPr>
                <w:rFonts w:ascii="Arabic Typesetting" w:hAnsi="Arabic Typesetting" w:cs="Arabic Typesetting"/>
                <w:color w:val="0070C0"/>
                <w:sz w:val="28"/>
                <w:szCs w:val="28"/>
              </w:rPr>
              <w:sym w:font="Wingdings" w:char="F06C"/>
            </w:r>
            <w:r w:rsidRPr="009638AE">
              <w:rPr>
                <w:rFonts w:ascii="Arabic Typesetting" w:hAnsi="Arabic Typesetting" w:cs="Arabic Typesetting"/>
                <w:color w:val="00B050"/>
                <w:sz w:val="28"/>
                <w:szCs w:val="28"/>
              </w:rPr>
              <w:sym w:font="Wingdings" w:char="F06C"/>
            </w:r>
          </w:p>
        </w:tc>
      </w:tr>
      <w:tr w:rsidR="00574A27" w:rsidRPr="009638AE" w14:paraId="301C79F1" w14:textId="77777777" w:rsidTr="00574A27">
        <w:trPr>
          <w:cantSplit/>
          <w:trHeight w:val="16"/>
        </w:trPr>
        <w:tc>
          <w:tcPr>
            <w:tcW w:w="1478" w:type="pct"/>
            <w:shd w:val="clear" w:color="auto" w:fill="auto"/>
            <w:tcMar>
              <w:top w:w="113" w:type="dxa"/>
              <w:bottom w:w="85" w:type="dxa"/>
            </w:tcMar>
          </w:tcPr>
          <w:p w14:paraId="191B0303"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3C4F5625" w14:textId="32283ACE" w:rsidR="00574A27" w:rsidRPr="009638AE" w:rsidRDefault="00EF3FA1" w:rsidP="00574A27">
            <w:pPr>
              <w:bidi/>
              <w:spacing w:before="120" w:after="120" w:line="280" w:lineRule="exact"/>
              <w:rPr>
                <w:rFonts w:ascii="Arabic Typesetting" w:hAnsi="Arabic Typesetting" w:cs="Arabic Typesetting"/>
                <w:sz w:val="28"/>
                <w:szCs w:val="28"/>
              </w:rPr>
            </w:pPr>
            <w:r w:rsidRPr="00EF3FA1">
              <w:rPr>
                <w:rFonts w:ascii="Arabic Typesetting" w:hAnsi="Arabic Typesetting" w:cs="Arabic Typesetting"/>
                <w:sz w:val="28"/>
                <w:szCs w:val="28"/>
                <w:rtl/>
              </w:rPr>
              <w:t>الوقت المستغرق في معالجة الاستفسارات</w:t>
            </w:r>
          </w:p>
        </w:tc>
        <w:tc>
          <w:tcPr>
            <w:tcW w:w="862" w:type="pct"/>
            <w:shd w:val="clear" w:color="auto" w:fill="FFFFFF"/>
            <w:tcMar>
              <w:top w:w="113" w:type="dxa"/>
              <w:bottom w:w="85" w:type="dxa"/>
            </w:tcMar>
          </w:tcPr>
          <w:p w14:paraId="4AA88AEE"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20</w:t>
            </w:r>
          </w:p>
        </w:tc>
        <w:tc>
          <w:tcPr>
            <w:tcW w:w="567" w:type="pct"/>
            <w:shd w:val="clear" w:color="auto" w:fill="FFFFFF"/>
          </w:tcPr>
          <w:p w14:paraId="3EE69CDC"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A6A6A6" w:themeColor="background1" w:themeShade="A6"/>
                <w:sz w:val="28"/>
                <w:szCs w:val="28"/>
              </w:rPr>
              <w:sym w:font="Wingdings" w:char="F06C"/>
            </w: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r w:rsidRPr="009638AE">
              <w:rPr>
                <w:rFonts w:ascii="Arabic Typesetting" w:hAnsi="Arabic Typesetting" w:cs="Arabic Typesetting"/>
                <w:color w:val="00B050"/>
                <w:sz w:val="28"/>
                <w:szCs w:val="28"/>
              </w:rPr>
              <w:sym w:font="Wingdings" w:char="F06C"/>
            </w:r>
          </w:p>
        </w:tc>
      </w:tr>
      <w:tr w:rsidR="00574A27" w:rsidRPr="009638AE" w14:paraId="6542424D" w14:textId="77777777" w:rsidTr="00574A27">
        <w:trPr>
          <w:cantSplit/>
          <w:trHeight w:val="124"/>
        </w:trPr>
        <w:tc>
          <w:tcPr>
            <w:tcW w:w="1478" w:type="pct"/>
            <w:shd w:val="clear" w:color="auto" w:fill="auto"/>
            <w:tcMar>
              <w:top w:w="113" w:type="dxa"/>
              <w:bottom w:w="85" w:type="dxa"/>
            </w:tcMar>
          </w:tcPr>
          <w:p w14:paraId="4F7EDA1B"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 xml:space="preserve">ه3.8 التزام </w:t>
            </w:r>
            <w:r w:rsidRPr="009638AE">
              <w:rPr>
                <w:rFonts w:ascii="Arabic Typesetting" w:eastAsia="Arabic Typesetting" w:hAnsi="Arabic Typesetting" w:cs="Arabic Typesetting"/>
                <w:sz w:val="28"/>
                <w:szCs w:val="28"/>
                <w:rtl/>
                <w:lang w:eastAsia="ar-EG" w:bidi="ar-EG"/>
              </w:rPr>
              <w:t>فعال</w:t>
            </w:r>
            <w:r w:rsidRPr="009638AE">
              <w:rPr>
                <w:rFonts w:ascii="Arabic Typesetting" w:eastAsia="Arabic Typesetting" w:hAnsi="Arabic Typesetting" w:cs="Arabic Typesetting"/>
                <w:color w:val="000000"/>
                <w:sz w:val="28"/>
                <w:szCs w:val="28"/>
                <w:rtl/>
                <w:lang w:eastAsia="ar-EG" w:bidi="ar-EG"/>
              </w:rPr>
              <w:t xml:space="preserve"> مع الدول الأعضاء</w:t>
            </w:r>
          </w:p>
        </w:tc>
        <w:tc>
          <w:tcPr>
            <w:tcW w:w="2093" w:type="pct"/>
            <w:shd w:val="clear" w:color="auto" w:fill="auto"/>
            <w:tcMar>
              <w:top w:w="113" w:type="dxa"/>
              <w:bottom w:w="85" w:type="dxa"/>
            </w:tcMar>
          </w:tcPr>
          <w:p w14:paraId="5082298E"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النسبة المئوية من اجتماعات اللجان التي عقدت من أجلها اجتماعات إعلامية للدول الأعضاء قبل اجتماع اللجنة</w:t>
            </w:r>
          </w:p>
        </w:tc>
        <w:tc>
          <w:tcPr>
            <w:tcW w:w="862" w:type="pct"/>
            <w:shd w:val="clear" w:color="auto" w:fill="FFFFFF"/>
            <w:tcMar>
              <w:top w:w="113" w:type="dxa"/>
              <w:bottom w:w="85" w:type="dxa"/>
            </w:tcMar>
          </w:tcPr>
          <w:p w14:paraId="2C810E12"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21</w:t>
            </w:r>
          </w:p>
        </w:tc>
        <w:tc>
          <w:tcPr>
            <w:tcW w:w="567" w:type="pct"/>
            <w:shd w:val="clear" w:color="auto" w:fill="FFFFFF"/>
          </w:tcPr>
          <w:p w14:paraId="6E058813"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r w:rsidR="00574A27" w:rsidRPr="009638AE" w14:paraId="6BE114DF" w14:textId="77777777" w:rsidTr="00574A27">
        <w:trPr>
          <w:cantSplit/>
          <w:trHeight w:val="259"/>
        </w:trPr>
        <w:tc>
          <w:tcPr>
            <w:tcW w:w="1478" w:type="pct"/>
            <w:shd w:val="clear" w:color="auto" w:fill="auto"/>
            <w:tcMar>
              <w:top w:w="113" w:type="dxa"/>
              <w:bottom w:w="85" w:type="dxa"/>
            </w:tcMar>
          </w:tcPr>
          <w:p w14:paraId="39F6787D"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3F791832"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النسبة المئوية لإخطارات انضمام الدول الأعضاء وغيره من الأعمال المتعلقة بمعاهدات الويبو التي عولجت في الوقت المناسب</w:t>
            </w:r>
          </w:p>
        </w:tc>
        <w:tc>
          <w:tcPr>
            <w:tcW w:w="862" w:type="pct"/>
            <w:shd w:val="clear" w:color="auto" w:fill="FFFFFF"/>
            <w:tcMar>
              <w:top w:w="113" w:type="dxa"/>
              <w:bottom w:w="85" w:type="dxa"/>
            </w:tcMar>
          </w:tcPr>
          <w:p w14:paraId="23A20644"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21</w:t>
            </w:r>
          </w:p>
        </w:tc>
        <w:tc>
          <w:tcPr>
            <w:tcW w:w="567" w:type="pct"/>
            <w:shd w:val="clear" w:color="auto" w:fill="FFFFFF"/>
          </w:tcPr>
          <w:p w14:paraId="19D718DA" w14:textId="77777777" w:rsidR="00574A27" w:rsidRPr="009638AE" w:rsidRDefault="00574A27" w:rsidP="00574A27">
            <w:pPr>
              <w:bidi/>
              <w:spacing w:before="120" w:after="120" w:line="280" w:lineRule="exact"/>
              <w:jc w:val="center"/>
              <w:rPr>
                <w:rFonts w:ascii="Arabic Typesetting" w:hAnsi="Arabic Typesetting" w:cs="Arabic Typesetting"/>
                <w:color w:val="A6A6A6" w:themeColor="background1" w:themeShade="A6"/>
                <w:sz w:val="28"/>
                <w:szCs w:val="28"/>
              </w:rPr>
            </w:pPr>
            <w:r w:rsidRPr="009638AE">
              <w:rPr>
                <w:rFonts w:ascii="Arabic Typesetting" w:hAnsi="Arabic Typesetting" w:cs="Arabic Typesetting"/>
                <w:color w:val="00B050"/>
                <w:sz w:val="28"/>
                <w:szCs w:val="28"/>
              </w:rPr>
              <w:sym w:font="Wingdings" w:char="F06C"/>
            </w:r>
          </w:p>
        </w:tc>
      </w:tr>
      <w:tr w:rsidR="00574A27" w:rsidRPr="009638AE" w14:paraId="54B5FC7C" w14:textId="77777777" w:rsidTr="00574A27">
        <w:trPr>
          <w:cantSplit/>
          <w:trHeight w:val="20"/>
        </w:trPr>
        <w:tc>
          <w:tcPr>
            <w:tcW w:w="1478" w:type="pct"/>
            <w:shd w:val="clear" w:color="auto" w:fill="auto"/>
            <w:tcMar>
              <w:top w:w="113" w:type="dxa"/>
              <w:bottom w:w="85" w:type="dxa"/>
            </w:tcMar>
          </w:tcPr>
          <w:p w14:paraId="34EA9943"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706688C"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نشر وثائق الجمعيات في موعدها</w:t>
            </w:r>
          </w:p>
        </w:tc>
        <w:tc>
          <w:tcPr>
            <w:tcW w:w="862" w:type="pct"/>
            <w:shd w:val="clear" w:color="auto" w:fill="FFFFFF"/>
            <w:tcMar>
              <w:top w:w="113" w:type="dxa"/>
              <w:bottom w:w="85" w:type="dxa"/>
            </w:tcMar>
          </w:tcPr>
          <w:p w14:paraId="3BE58818"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21</w:t>
            </w:r>
          </w:p>
        </w:tc>
        <w:tc>
          <w:tcPr>
            <w:tcW w:w="567" w:type="pct"/>
            <w:shd w:val="clear" w:color="auto" w:fill="FFFFFF"/>
          </w:tcPr>
          <w:p w14:paraId="6FA2D443"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r w:rsidR="00574A27" w:rsidRPr="009638AE" w14:paraId="01CA9A3E" w14:textId="77777777" w:rsidTr="00574A27">
        <w:trPr>
          <w:cantSplit/>
          <w:trHeight w:val="20"/>
        </w:trPr>
        <w:tc>
          <w:tcPr>
            <w:tcW w:w="1478" w:type="pct"/>
            <w:shd w:val="clear" w:color="auto" w:fill="auto"/>
            <w:tcMar>
              <w:top w:w="113" w:type="dxa"/>
              <w:bottom w:w="85" w:type="dxa"/>
            </w:tcMar>
          </w:tcPr>
          <w:p w14:paraId="64A3FB55"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1EDE75D"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مستويات رضا الدول الأعضاء وأصحاب المصالح عن تنظيم التظاهرات</w:t>
            </w:r>
          </w:p>
        </w:tc>
        <w:tc>
          <w:tcPr>
            <w:tcW w:w="862" w:type="pct"/>
            <w:shd w:val="clear" w:color="auto" w:fill="FFFFFF"/>
            <w:tcMar>
              <w:top w:w="113" w:type="dxa"/>
              <w:bottom w:w="85" w:type="dxa"/>
            </w:tcMar>
          </w:tcPr>
          <w:p w14:paraId="1ED19B73"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21</w:t>
            </w:r>
          </w:p>
        </w:tc>
        <w:tc>
          <w:tcPr>
            <w:tcW w:w="567" w:type="pct"/>
            <w:shd w:val="clear" w:color="auto" w:fill="FFFFFF"/>
          </w:tcPr>
          <w:p w14:paraId="6A455B40"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r w:rsidR="00574A27" w:rsidRPr="009638AE" w14:paraId="1461A115" w14:textId="77777777" w:rsidTr="00574A27">
        <w:trPr>
          <w:cantSplit/>
          <w:trHeight w:val="58"/>
        </w:trPr>
        <w:tc>
          <w:tcPr>
            <w:tcW w:w="1478" w:type="pct"/>
            <w:shd w:val="clear" w:color="auto" w:fill="auto"/>
            <w:tcMar>
              <w:top w:w="113" w:type="dxa"/>
              <w:bottom w:w="85" w:type="dxa"/>
            </w:tcMar>
          </w:tcPr>
          <w:p w14:paraId="548BF6E4"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88B75C7"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مستويات رضا الوفود عن تنظيم الجمعيات</w:t>
            </w:r>
          </w:p>
        </w:tc>
        <w:tc>
          <w:tcPr>
            <w:tcW w:w="862" w:type="pct"/>
            <w:shd w:val="clear" w:color="auto" w:fill="FFFFFF"/>
            <w:tcMar>
              <w:top w:w="113" w:type="dxa"/>
              <w:bottom w:w="85" w:type="dxa"/>
            </w:tcMar>
          </w:tcPr>
          <w:p w14:paraId="393221D2"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21</w:t>
            </w:r>
          </w:p>
        </w:tc>
        <w:tc>
          <w:tcPr>
            <w:tcW w:w="567" w:type="pct"/>
            <w:shd w:val="clear" w:color="auto" w:fill="FFFFFF"/>
          </w:tcPr>
          <w:p w14:paraId="5348368D" w14:textId="77777777" w:rsidR="00574A27" w:rsidRPr="009638AE" w:rsidRDefault="00574A27" w:rsidP="00574A27">
            <w:pPr>
              <w:bidi/>
              <w:spacing w:before="120" w:after="120" w:line="280" w:lineRule="exact"/>
              <w:jc w:val="center"/>
              <w:rPr>
                <w:rFonts w:ascii="Arabic Typesetting" w:hAnsi="Arabic Typesetting" w:cs="Arabic Typesetting"/>
                <w:color w:val="A6A6A6" w:themeColor="background1" w:themeShade="A6"/>
                <w:sz w:val="28"/>
                <w:szCs w:val="28"/>
              </w:rPr>
            </w:pPr>
            <w:r w:rsidRPr="009638AE">
              <w:rPr>
                <w:rFonts w:ascii="Arabic Typesetting" w:hAnsi="Arabic Typesetting" w:cs="Arabic Typesetting"/>
                <w:color w:val="00B050"/>
                <w:sz w:val="28"/>
                <w:szCs w:val="28"/>
              </w:rPr>
              <w:sym w:font="Wingdings" w:char="F06C"/>
            </w:r>
          </w:p>
        </w:tc>
      </w:tr>
      <w:tr w:rsidR="00574A27" w:rsidRPr="009638AE" w14:paraId="45742C05" w14:textId="77777777" w:rsidTr="00574A27">
        <w:trPr>
          <w:cantSplit/>
          <w:trHeight w:val="207"/>
        </w:trPr>
        <w:tc>
          <w:tcPr>
            <w:tcW w:w="1478" w:type="pct"/>
            <w:shd w:val="clear" w:color="auto" w:fill="auto"/>
            <w:tcMar>
              <w:top w:w="113" w:type="dxa"/>
              <w:bottom w:w="85" w:type="dxa"/>
            </w:tcMar>
          </w:tcPr>
          <w:p w14:paraId="006D5EA7"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ه4.8 تفاعل منفتح وشفاف ومتجاوب مع أصحاب المصلحة غير الحكوميين</w:t>
            </w:r>
          </w:p>
        </w:tc>
        <w:tc>
          <w:tcPr>
            <w:tcW w:w="2093" w:type="pct"/>
            <w:shd w:val="clear" w:color="auto" w:fill="auto"/>
            <w:tcMar>
              <w:top w:w="113" w:type="dxa"/>
              <w:bottom w:w="85" w:type="dxa"/>
            </w:tcMar>
          </w:tcPr>
          <w:p w14:paraId="7ED4CCBC" w14:textId="77777777" w:rsidR="00574A27" w:rsidRPr="00EF3FA1" w:rsidRDefault="00574A27" w:rsidP="00574A27">
            <w:pPr>
              <w:bidi/>
              <w:spacing w:before="120" w:after="120" w:line="280" w:lineRule="exact"/>
              <w:rPr>
                <w:rFonts w:ascii="Arabic Typesetting" w:eastAsia="Arabic Typesetting" w:hAnsi="Arabic Typesetting" w:cs="Arabic Typesetting"/>
                <w:color w:val="000000"/>
                <w:sz w:val="28"/>
                <w:szCs w:val="28"/>
                <w:lang w:eastAsia="ar-EG" w:bidi="ar-EG"/>
              </w:rPr>
            </w:pPr>
            <w:r w:rsidRPr="009638AE">
              <w:rPr>
                <w:rFonts w:ascii="Arabic Typesetting" w:eastAsia="Arabic Typesetting" w:hAnsi="Arabic Typesetting" w:cs="Arabic Typesetting"/>
                <w:color w:val="000000"/>
                <w:sz w:val="28"/>
                <w:szCs w:val="28"/>
                <w:rtl/>
                <w:lang w:eastAsia="ar-EG" w:bidi="ar-EG"/>
              </w:rPr>
              <w:t>عدد المنظمات غير الحكومية التي تتمتع بصفة المراقب الدائم وتشارك في عمل الويبو وتشارك الويبو في عملها</w:t>
            </w:r>
          </w:p>
        </w:tc>
        <w:tc>
          <w:tcPr>
            <w:tcW w:w="862" w:type="pct"/>
            <w:shd w:val="clear" w:color="auto" w:fill="FFFFFF"/>
            <w:tcMar>
              <w:top w:w="113" w:type="dxa"/>
              <w:bottom w:w="85" w:type="dxa"/>
            </w:tcMar>
          </w:tcPr>
          <w:p w14:paraId="44BF3E9C"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21</w:t>
            </w:r>
          </w:p>
        </w:tc>
        <w:tc>
          <w:tcPr>
            <w:tcW w:w="567" w:type="pct"/>
            <w:shd w:val="clear" w:color="auto" w:fill="FFFFFF"/>
          </w:tcPr>
          <w:p w14:paraId="77D1C4B4"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r w:rsidR="00EF3FA1" w:rsidRPr="009638AE" w14:paraId="20524DB1" w14:textId="77777777" w:rsidTr="00574A27">
        <w:trPr>
          <w:cantSplit/>
          <w:trHeight w:val="431"/>
        </w:trPr>
        <w:tc>
          <w:tcPr>
            <w:tcW w:w="1478" w:type="pct"/>
            <w:shd w:val="clear" w:color="auto" w:fill="auto"/>
            <w:tcMar>
              <w:top w:w="113" w:type="dxa"/>
              <w:bottom w:w="85" w:type="dxa"/>
            </w:tcMar>
          </w:tcPr>
          <w:p w14:paraId="14C9949C" w14:textId="77777777" w:rsidR="00EF3FA1" w:rsidRPr="009638AE" w:rsidRDefault="00EF3FA1"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 xml:space="preserve">ه5.8 تفاعل الويبو وتشاركها </w:t>
            </w:r>
            <w:r w:rsidRPr="009638AE">
              <w:rPr>
                <w:rFonts w:ascii="Arabic Typesetting" w:eastAsia="Arabic Typesetting" w:hAnsi="Arabic Typesetting" w:cs="Arabic Typesetting"/>
                <w:sz w:val="28"/>
                <w:szCs w:val="28"/>
                <w:rtl/>
                <w:lang w:eastAsia="ar-EG" w:bidi="ar-EG"/>
              </w:rPr>
              <w:t>بفعالية</w:t>
            </w:r>
            <w:r w:rsidRPr="009638AE">
              <w:rPr>
                <w:rFonts w:ascii="Arabic Typesetting" w:eastAsia="Arabic Typesetting" w:hAnsi="Arabic Typesetting" w:cs="Arabic Typesetting"/>
                <w:color w:val="000000"/>
                <w:sz w:val="28"/>
                <w:szCs w:val="28"/>
                <w:rtl/>
                <w:lang w:eastAsia="ar-EG" w:bidi="ar-EG"/>
              </w:rPr>
              <w:t xml:space="preserve"> مع مسارات ومفاوضات الأمم المتحدة وسائر المنظمات الحكومية الدولية</w:t>
            </w:r>
          </w:p>
        </w:tc>
        <w:tc>
          <w:tcPr>
            <w:tcW w:w="2093" w:type="pct"/>
            <w:shd w:val="clear" w:color="auto" w:fill="auto"/>
            <w:tcMar>
              <w:top w:w="113" w:type="dxa"/>
              <w:bottom w:w="85" w:type="dxa"/>
            </w:tcMar>
          </w:tcPr>
          <w:p w14:paraId="1456E184" w14:textId="568CAF1B" w:rsidR="00EF3FA1" w:rsidRPr="00EF3FA1" w:rsidRDefault="00EF3FA1" w:rsidP="00EF3FA1">
            <w:pPr>
              <w:bidi/>
              <w:spacing w:before="120" w:after="120" w:line="280" w:lineRule="exact"/>
              <w:rPr>
                <w:rFonts w:ascii="Arabic Typesetting" w:eastAsia="Arabic Typesetting" w:hAnsi="Arabic Typesetting" w:cs="Arabic Typesetting"/>
                <w:color w:val="000000"/>
                <w:sz w:val="28"/>
                <w:szCs w:val="28"/>
                <w:lang w:eastAsia="ar-EG" w:bidi="ar-EG"/>
              </w:rPr>
            </w:pPr>
            <w:r w:rsidRPr="00EF3FA1">
              <w:rPr>
                <w:rFonts w:ascii="Arabic Typesetting" w:eastAsia="Arabic Typesetting" w:hAnsi="Arabic Typesetting" w:cs="Arabic Typesetting"/>
                <w:color w:val="000000"/>
                <w:sz w:val="28"/>
                <w:szCs w:val="28"/>
                <w:rtl/>
                <w:lang w:eastAsia="ar-EG" w:bidi="ar-EG"/>
              </w:rPr>
              <w:t>إسهامات الويبو المبيّنة في تقارير الأمم المتحدة والمنظمات الحكومية الدولية وقراراتها ووثائقها المنبثقة عن العمليات الهادفة ذات الصلة</w:t>
            </w:r>
          </w:p>
        </w:tc>
        <w:tc>
          <w:tcPr>
            <w:tcW w:w="862" w:type="pct"/>
            <w:shd w:val="clear" w:color="auto" w:fill="FFFFFF"/>
            <w:tcMar>
              <w:top w:w="113" w:type="dxa"/>
              <w:bottom w:w="85" w:type="dxa"/>
            </w:tcMar>
          </w:tcPr>
          <w:p w14:paraId="64164B4F" w14:textId="77777777" w:rsidR="00EF3FA1" w:rsidRPr="009638AE" w:rsidRDefault="00EF3FA1"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20</w:t>
            </w:r>
          </w:p>
        </w:tc>
        <w:tc>
          <w:tcPr>
            <w:tcW w:w="567" w:type="pct"/>
            <w:shd w:val="clear" w:color="auto" w:fill="FFFFFF"/>
          </w:tcPr>
          <w:p w14:paraId="4654050B" w14:textId="77777777" w:rsidR="00EF3FA1" w:rsidRPr="009638AE" w:rsidRDefault="00EF3FA1"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r w:rsidR="00EF3FA1" w:rsidRPr="009638AE" w14:paraId="239AF90E" w14:textId="77777777" w:rsidTr="00574A27">
        <w:trPr>
          <w:cantSplit/>
          <w:trHeight w:val="372"/>
        </w:trPr>
        <w:tc>
          <w:tcPr>
            <w:tcW w:w="1478" w:type="pct"/>
            <w:shd w:val="clear" w:color="auto" w:fill="auto"/>
            <w:tcMar>
              <w:top w:w="113" w:type="dxa"/>
              <w:bottom w:w="85" w:type="dxa"/>
            </w:tcMar>
          </w:tcPr>
          <w:p w14:paraId="107B38D9" w14:textId="77777777" w:rsidR="00EF3FA1" w:rsidRPr="009638AE" w:rsidRDefault="00EF3FA1"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6240A37D" w14:textId="6FF843B5" w:rsidR="00EF3FA1" w:rsidRPr="00EF3FA1" w:rsidRDefault="00EF3FA1" w:rsidP="00574A27">
            <w:pPr>
              <w:bidi/>
              <w:spacing w:before="120" w:after="120" w:line="280" w:lineRule="exact"/>
              <w:rPr>
                <w:rFonts w:ascii="Arabic Typesetting" w:eastAsia="Arabic Typesetting" w:hAnsi="Arabic Typesetting" w:cs="Arabic Typesetting"/>
                <w:color w:val="000000"/>
                <w:sz w:val="28"/>
                <w:szCs w:val="28"/>
                <w:lang w:eastAsia="ar-EG" w:bidi="ar-EG"/>
              </w:rPr>
            </w:pPr>
            <w:r w:rsidRPr="00EF3FA1">
              <w:rPr>
                <w:rFonts w:ascii="Arabic Typesetting" w:eastAsia="Arabic Typesetting" w:hAnsi="Arabic Typesetting" w:cs="Arabic Typesetting"/>
                <w:color w:val="000000"/>
                <w:sz w:val="28"/>
                <w:szCs w:val="28"/>
                <w:rtl/>
                <w:lang w:eastAsia="ar-EG" w:bidi="ar-EG"/>
              </w:rPr>
              <w:t>عدد المبادرات التي تقودها الويبو بالتشارك مع الأمم المتحدة وسائر المنظمات الحكومية الدولية من أجل تنفيذ أهداف التنمية المستدامة</w:t>
            </w:r>
          </w:p>
        </w:tc>
        <w:tc>
          <w:tcPr>
            <w:tcW w:w="862" w:type="pct"/>
            <w:shd w:val="clear" w:color="auto" w:fill="FFFFFF"/>
            <w:tcMar>
              <w:top w:w="113" w:type="dxa"/>
              <w:bottom w:w="85" w:type="dxa"/>
            </w:tcMar>
          </w:tcPr>
          <w:p w14:paraId="64CCD743" w14:textId="77777777" w:rsidR="00EF3FA1" w:rsidRPr="009638AE" w:rsidRDefault="00EF3FA1"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20</w:t>
            </w:r>
          </w:p>
        </w:tc>
        <w:tc>
          <w:tcPr>
            <w:tcW w:w="567" w:type="pct"/>
            <w:shd w:val="clear" w:color="auto" w:fill="FFFFFF"/>
          </w:tcPr>
          <w:p w14:paraId="216B11EA" w14:textId="77777777" w:rsidR="00EF3FA1" w:rsidRPr="009638AE" w:rsidRDefault="00EF3FA1" w:rsidP="00574A27">
            <w:pPr>
              <w:bidi/>
              <w:spacing w:before="120" w:after="120" w:line="280" w:lineRule="exact"/>
              <w:jc w:val="center"/>
              <w:rPr>
                <w:rFonts w:ascii="Arabic Typesetting" w:hAnsi="Arabic Typesetting" w:cs="Arabic Typesetting"/>
                <w:color w:val="A6A6A6" w:themeColor="background1" w:themeShade="A6"/>
                <w:sz w:val="28"/>
                <w:szCs w:val="28"/>
              </w:rPr>
            </w:pPr>
            <w:r w:rsidRPr="009638AE">
              <w:rPr>
                <w:rFonts w:ascii="Arabic Typesetting" w:hAnsi="Arabic Typesetting" w:cs="Arabic Typesetting"/>
                <w:color w:val="00B050"/>
                <w:sz w:val="28"/>
                <w:szCs w:val="28"/>
              </w:rPr>
              <w:sym w:font="Wingdings" w:char="F06C"/>
            </w:r>
          </w:p>
        </w:tc>
      </w:tr>
      <w:tr w:rsidR="00574A27" w:rsidRPr="009638AE" w14:paraId="4BC4FA5A" w14:textId="77777777" w:rsidTr="00574A27">
        <w:trPr>
          <w:cantSplit/>
          <w:trHeight w:val="238"/>
        </w:trPr>
        <w:tc>
          <w:tcPr>
            <w:tcW w:w="1478" w:type="pct"/>
            <w:shd w:val="clear" w:color="auto" w:fill="auto"/>
            <w:tcMar>
              <w:top w:w="113" w:type="dxa"/>
              <w:bottom w:w="85" w:type="dxa"/>
            </w:tcMar>
          </w:tcPr>
          <w:p w14:paraId="0B5146A9"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48107A31" w14:textId="44F6F57A" w:rsidR="00574A27" w:rsidRPr="009638AE" w:rsidRDefault="00EF3FA1" w:rsidP="00574A27">
            <w:pPr>
              <w:bidi/>
              <w:spacing w:before="120" w:after="120" w:line="280" w:lineRule="exact"/>
              <w:rPr>
                <w:rFonts w:ascii="Arabic Typesetting" w:hAnsi="Arabic Typesetting" w:cs="Arabic Typesetting"/>
                <w:sz w:val="28"/>
                <w:szCs w:val="28"/>
              </w:rPr>
            </w:pPr>
            <w:r w:rsidRPr="00EF3FA1">
              <w:rPr>
                <w:rFonts w:ascii="Arabic Typesetting" w:hAnsi="Arabic Typesetting" w:cs="Arabic Typesetting"/>
                <w:color w:val="000000"/>
                <w:sz w:val="28"/>
                <w:szCs w:val="28"/>
                <w:rtl/>
              </w:rPr>
              <w:t>عدد الأنشطة المشتركة مع أمانة رابطة أمم جنوب شرق آسيا (</w:t>
            </w:r>
            <w:r w:rsidRPr="00EF3FA1">
              <w:rPr>
                <w:rFonts w:ascii="Arabic Typesetting" w:hAnsi="Arabic Typesetting" w:cs="Arabic Typesetting"/>
                <w:color w:val="000000"/>
                <w:sz w:val="28"/>
                <w:szCs w:val="28"/>
              </w:rPr>
              <w:t>ASEAN</w:t>
            </w:r>
            <w:r w:rsidRPr="00EF3FA1">
              <w:rPr>
                <w:rFonts w:ascii="Arabic Typesetting" w:hAnsi="Arabic Typesetting" w:cs="Arabic Typesetting"/>
                <w:color w:val="000000"/>
                <w:sz w:val="28"/>
                <w:szCs w:val="28"/>
                <w:rtl/>
              </w:rPr>
              <w:t>)، والمشروع المشترك بين الاتحاد الأوروبي ورابطة أمم جنوب شرق آسيا بشأن حماية حقوق الملكية الفكرية الذي يشرف عليه مكتب مواءمة السوق الداخلية (</w:t>
            </w:r>
            <w:r w:rsidRPr="00EF3FA1">
              <w:rPr>
                <w:rFonts w:ascii="Arabic Typesetting" w:hAnsi="Arabic Typesetting" w:cs="Arabic Typesetting"/>
                <w:color w:val="000000"/>
                <w:sz w:val="28"/>
                <w:szCs w:val="28"/>
              </w:rPr>
              <w:t>ECAP/OHIM</w:t>
            </w:r>
            <w:r w:rsidRPr="00EF3FA1">
              <w:rPr>
                <w:rFonts w:ascii="Arabic Typesetting" w:hAnsi="Arabic Typesetting" w:cs="Arabic Typesetting"/>
                <w:color w:val="000000"/>
                <w:sz w:val="28"/>
                <w:szCs w:val="28"/>
                <w:rtl/>
              </w:rPr>
              <w:t>)، ومؤسسة آسيا/أوروبا، واتفاق التبادل الحر بين رابطة أمم جنوب شرق آسيا وأستراليا ونيوزيلاندا (</w:t>
            </w:r>
            <w:r w:rsidRPr="00EF3FA1">
              <w:rPr>
                <w:rFonts w:ascii="Arabic Typesetting" w:hAnsi="Arabic Typesetting" w:cs="Arabic Typesetting"/>
                <w:color w:val="000000"/>
                <w:sz w:val="28"/>
                <w:szCs w:val="28"/>
                <w:cs/>
              </w:rPr>
              <w:t>‎</w:t>
            </w:r>
            <w:r w:rsidRPr="00EF3FA1">
              <w:rPr>
                <w:rFonts w:ascii="Arabic Typesetting" w:hAnsi="Arabic Typesetting" w:cs="Arabic Typesetting"/>
                <w:color w:val="000000"/>
                <w:sz w:val="28"/>
                <w:szCs w:val="28"/>
              </w:rPr>
              <w:t>AANZFTA</w:t>
            </w:r>
            <w:r w:rsidRPr="00EF3FA1">
              <w:rPr>
                <w:rFonts w:ascii="Arabic Typesetting" w:hAnsi="Arabic Typesetting" w:cs="Arabic Typesetting"/>
                <w:color w:val="000000"/>
                <w:sz w:val="28"/>
                <w:szCs w:val="28"/>
                <w:rtl/>
              </w:rPr>
              <w:t>‏)</w:t>
            </w:r>
          </w:p>
        </w:tc>
        <w:tc>
          <w:tcPr>
            <w:tcW w:w="862" w:type="pct"/>
            <w:shd w:val="clear" w:color="auto" w:fill="FFFFFF"/>
            <w:tcMar>
              <w:top w:w="113" w:type="dxa"/>
              <w:bottom w:w="85" w:type="dxa"/>
            </w:tcMar>
          </w:tcPr>
          <w:p w14:paraId="3B2C7781"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20</w:t>
            </w:r>
            <w:r w:rsidRPr="009638AE">
              <w:rPr>
                <w:rFonts w:ascii="Arabic Typesetting" w:hAnsi="Arabic Typesetting" w:cs="Arabic Typesetting"/>
                <w:sz w:val="28"/>
                <w:szCs w:val="28"/>
                <w:lang w:bidi="th-TH"/>
              </w:rPr>
              <w:t xml:space="preserve"> </w:t>
            </w:r>
          </w:p>
        </w:tc>
        <w:tc>
          <w:tcPr>
            <w:tcW w:w="567" w:type="pct"/>
            <w:shd w:val="clear" w:color="auto" w:fill="FFFFFF"/>
          </w:tcPr>
          <w:p w14:paraId="33F15134"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r w:rsidR="00574A27" w:rsidRPr="009638AE" w14:paraId="074B2852" w14:textId="77777777" w:rsidTr="00574A27">
        <w:trPr>
          <w:cantSplit/>
          <w:trHeight w:val="16"/>
        </w:trPr>
        <w:tc>
          <w:tcPr>
            <w:tcW w:w="1478" w:type="pct"/>
            <w:shd w:val="clear" w:color="auto" w:fill="auto"/>
            <w:tcMar>
              <w:top w:w="113" w:type="dxa"/>
              <w:bottom w:w="85" w:type="dxa"/>
            </w:tcMar>
          </w:tcPr>
          <w:p w14:paraId="5EC52CF4"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4D5A79D0" w14:textId="77777777" w:rsidR="00574A27" w:rsidRPr="009638AE" w:rsidRDefault="00574A27" w:rsidP="00574A27">
            <w:pPr>
              <w:bidi/>
              <w:spacing w:before="120" w:after="120" w:line="280" w:lineRule="exact"/>
              <w:rPr>
                <w:rFonts w:ascii="Arabic Typesetting" w:hAnsi="Arabic Typesetting" w:cs="Arabic Typesetting"/>
                <w:sz w:val="28"/>
                <w:szCs w:val="28"/>
              </w:rPr>
            </w:pPr>
            <w:r w:rsidRPr="009638AE">
              <w:rPr>
                <w:rFonts w:ascii="Arabic Typesetting" w:eastAsia="Arabic Typesetting" w:hAnsi="Arabic Typesetting" w:cs="Arabic Typesetting"/>
                <w:color w:val="000000"/>
                <w:sz w:val="28"/>
                <w:szCs w:val="28"/>
                <w:rtl/>
                <w:lang w:eastAsia="ar-EG" w:bidi="ar-EG"/>
              </w:rPr>
              <w:t>مبادرات جديدة مشتركة مع الوكالات الأخرى التابعة للأمم المتحدة/المنظمات الحكومية الدولية</w:t>
            </w:r>
          </w:p>
        </w:tc>
        <w:tc>
          <w:tcPr>
            <w:tcW w:w="862" w:type="pct"/>
            <w:shd w:val="clear" w:color="auto" w:fill="FFFFFF"/>
            <w:tcMar>
              <w:top w:w="113" w:type="dxa"/>
              <w:bottom w:w="85" w:type="dxa"/>
            </w:tcMar>
          </w:tcPr>
          <w:p w14:paraId="22FFECFE"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21</w:t>
            </w:r>
          </w:p>
        </w:tc>
        <w:tc>
          <w:tcPr>
            <w:tcW w:w="567" w:type="pct"/>
            <w:shd w:val="clear" w:color="auto" w:fill="FFFFFF"/>
          </w:tcPr>
          <w:p w14:paraId="4F338A3D"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r w:rsidR="00574A27" w:rsidRPr="009638AE" w14:paraId="6DBF979E" w14:textId="77777777" w:rsidTr="00574A27">
        <w:trPr>
          <w:cantSplit/>
          <w:trHeight w:val="383"/>
        </w:trPr>
        <w:tc>
          <w:tcPr>
            <w:tcW w:w="1478" w:type="pct"/>
            <w:shd w:val="clear" w:color="auto" w:fill="auto"/>
            <w:tcMar>
              <w:top w:w="113" w:type="dxa"/>
              <w:bottom w:w="85" w:type="dxa"/>
            </w:tcMar>
          </w:tcPr>
          <w:p w14:paraId="69568351"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36F896BD" w14:textId="77777777" w:rsidR="00574A27" w:rsidRPr="009638AE" w:rsidRDefault="00574A27" w:rsidP="00574A27">
            <w:pPr>
              <w:bidi/>
              <w:spacing w:before="120" w:after="120" w:line="280" w:lineRule="exact"/>
              <w:rPr>
                <w:rFonts w:ascii="Arabic Typesetting" w:eastAsia="Arabic Typesetting" w:hAnsi="Arabic Typesetting" w:cs="Arabic Typesetting"/>
                <w:color w:val="000000"/>
                <w:sz w:val="28"/>
                <w:szCs w:val="28"/>
                <w:lang w:eastAsia="ar-EG" w:bidi="ar-EG"/>
              </w:rPr>
            </w:pPr>
            <w:r w:rsidRPr="009638AE">
              <w:rPr>
                <w:rFonts w:ascii="Arabic Typesetting" w:eastAsia="Arabic Typesetting" w:hAnsi="Arabic Typesetting" w:cs="Arabic Typesetting"/>
                <w:color w:val="000000"/>
                <w:sz w:val="28"/>
                <w:szCs w:val="28"/>
                <w:rtl/>
                <w:lang w:eastAsia="ar-EG" w:bidi="ar-EG"/>
              </w:rPr>
              <w:t>النسبة المئوية للسلع والخدمات المحلية المصدر مقارنة بالمبلغ الإجمالي المخصص لنشاط التنمية</w:t>
            </w:r>
          </w:p>
        </w:tc>
        <w:tc>
          <w:tcPr>
            <w:tcW w:w="862" w:type="pct"/>
            <w:shd w:val="clear" w:color="auto" w:fill="FFFFFF"/>
            <w:tcMar>
              <w:top w:w="113" w:type="dxa"/>
              <w:bottom w:w="85" w:type="dxa"/>
            </w:tcMar>
          </w:tcPr>
          <w:p w14:paraId="79BBA21B"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24</w:t>
            </w:r>
          </w:p>
        </w:tc>
        <w:tc>
          <w:tcPr>
            <w:tcW w:w="567" w:type="pct"/>
            <w:shd w:val="clear" w:color="auto" w:fill="FFFFFF"/>
          </w:tcPr>
          <w:p w14:paraId="2E46D0A8"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r w:rsidR="00574A27" w:rsidRPr="009638AE" w14:paraId="29170285" w14:textId="77777777" w:rsidTr="00574A27">
        <w:trPr>
          <w:cantSplit/>
          <w:trHeight w:val="515"/>
        </w:trPr>
        <w:tc>
          <w:tcPr>
            <w:tcW w:w="1478" w:type="pct"/>
            <w:shd w:val="clear" w:color="auto" w:fill="auto"/>
            <w:tcMar>
              <w:top w:w="113" w:type="dxa"/>
              <w:bottom w:w="85" w:type="dxa"/>
            </w:tcMar>
          </w:tcPr>
          <w:p w14:paraId="6A287963" w14:textId="77777777" w:rsidR="00574A27" w:rsidRPr="009638AE" w:rsidRDefault="00574A27" w:rsidP="00574A27">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DC5C7DF" w14:textId="77777777" w:rsidR="00574A27" w:rsidRPr="009638AE" w:rsidRDefault="00574A27" w:rsidP="00574A27">
            <w:pPr>
              <w:bidi/>
              <w:spacing w:before="120" w:after="120" w:line="280" w:lineRule="exact"/>
              <w:rPr>
                <w:rFonts w:ascii="Arabic Typesetting" w:eastAsia="Arabic Typesetting" w:hAnsi="Arabic Typesetting" w:cs="Arabic Typesetting"/>
                <w:color w:val="000000"/>
                <w:sz w:val="28"/>
                <w:szCs w:val="28"/>
                <w:lang w:eastAsia="ar-EG" w:bidi="ar-EG"/>
              </w:rPr>
            </w:pPr>
            <w:r w:rsidRPr="009638AE">
              <w:rPr>
                <w:rFonts w:ascii="Arabic Typesetting" w:eastAsia="Arabic Typesetting" w:hAnsi="Arabic Typesetting" w:cs="Arabic Typesetting"/>
                <w:color w:val="000000"/>
                <w:sz w:val="28"/>
                <w:szCs w:val="28"/>
                <w:rtl/>
                <w:lang w:eastAsia="ar-EG" w:bidi="ar-EG"/>
              </w:rPr>
              <w:t>النسبة المئوية للنفقات الخاضعة لعمليات التحسين التي تجريها الأمم المتحدة (سواء العطاء المشترك أو الاستحمال)</w:t>
            </w:r>
          </w:p>
        </w:tc>
        <w:tc>
          <w:tcPr>
            <w:tcW w:w="862" w:type="pct"/>
            <w:shd w:val="clear" w:color="auto" w:fill="FFFFFF"/>
            <w:tcMar>
              <w:top w:w="113" w:type="dxa"/>
              <w:bottom w:w="85" w:type="dxa"/>
            </w:tcMar>
          </w:tcPr>
          <w:p w14:paraId="179187FC" w14:textId="77777777" w:rsidR="00574A27" w:rsidRPr="009638AE" w:rsidRDefault="00574A27" w:rsidP="00574A27">
            <w:pPr>
              <w:bidi/>
              <w:spacing w:before="120" w:after="120" w:line="280" w:lineRule="exact"/>
              <w:jc w:val="center"/>
              <w:rPr>
                <w:rFonts w:ascii="Arabic Typesetting" w:hAnsi="Arabic Typesetting" w:cs="Arabic Typesetting"/>
                <w:sz w:val="28"/>
                <w:szCs w:val="28"/>
                <w:lang w:bidi="th-TH"/>
              </w:rPr>
            </w:pPr>
            <w:r w:rsidRPr="009638AE">
              <w:rPr>
                <w:rFonts w:ascii="Arabic Typesetting" w:hAnsi="Arabic Typesetting" w:cs="Arabic Typesetting"/>
                <w:sz w:val="28"/>
                <w:szCs w:val="28"/>
                <w:rtl/>
              </w:rPr>
              <w:t>البرنامج 24</w:t>
            </w:r>
          </w:p>
        </w:tc>
        <w:tc>
          <w:tcPr>
            <w:tcW w:w="567" w:type="pct"/>
            <w:shd w:val="clear" w:color="auto" w:fill="FFFFFF"/>
          </w:tcPr>
          <w:p w14:paraId="451A9D72" w14:textId="77777777" w:rsidR="00574A27" w:rsidRPr="009638AE" w:rsidRDefault="00574A27" w:rsidP="00574A27">
            <w:pPr>
              <w:bidi/>
              <w:spacing w:before="120" w:after="120" w:line="280" w:lineRule="exact"/>
              <w:jc w:val="center"/>
              <w:rPr>
                <w:rFonts w:ascii="Arabic Typesetting" w:hAnsi="Arabic Typesetting" w:cs="Arabic Typesetting"/>
                <w:sz w:val="28"/>
                <w:szCs w:val="28"/>
              </w:rPr>
            </w:pPr>
            <w:r w:rsidRPr="009638AE">
              <w:rPr>
                <w:rFonts w:ascii="Arabic Typesetting" w:hAnsi="Arabic Typesetting" w:cs="Arabic Typesetting"/>
                <w:color w:val="00B050"/>
                <w:sz w:val="28"/>
                <w:szCs w:val="28"/>
              </w:rPr>
              <w:sym w:font="Wingdings" w:char="F06C"/>
            </w:r>
          </w:p>
        </w:tc>
      </w:tr>
    </w:tbl>
    <w:p w14:paraId="1EB9FA67" w14:textId="77777777" w:rsidR="006E24D8" w:rsidRDefault="006E24D8" w:rsidP="006E24D8">
      <w:pPr>
        <w:pStyle w:val="NormalParaAR"/>
        <w:rPr>
          <w:rtl/>
        </w:rPr>
      </w:pPr>
    </w:p>
    <w:p w14:paraId="16CB9FE8" w14:textId="77777777" w:rsidR="00BD3831" w:rsidRPr="00254297" w:rsidRDefault="00BD3831" w:rsidP="00DA7DF7">
      <w:pPr>
        <w:pStyle w:val="Heading3"/>
        <w:ind w:left="1984" w:hanging="1984"/>
      </w:pPr>
      <w:bookmarkStart w:id="44" w:name="_Toc482782771"/>
      <w:r w:rsidRPr="00254297">
        <w:rPr>
          <w:rtl/>
        </w:rPr>
        <w:lastRenderedPageBreak/>
        <w:t>البرنامج</w:t>
      </w:r>
      <w:r>
        <w:rPr>
          <w:rFonts w:hint="cs"/>
          <w:rtl/>
          <w:lang w:bidi="ar-EG"/>
        </w:rPr>
        <w:t xml:space="preserve"> 19</w:t>
      </w:r>
      <w:r w:rsidRPr="00254297">
        <w:rPr>
          <w:rFonts w:hint="cs"/>
          <w:rtl/>
        </w:rPr>
        <w:t>:</w:t>
      </w:r>
      <w:r w:rsidRPr="00254297">
        <w:tab/>
      </w:r>
      <w:r>
        <w:rPr>
          <w:rFonts w:hint="cs"/>
          <w:rtl/>
        </w:rPr>
        <w:t>التواصل</w:t>
      </w:r>
      <w:bookmarkEnd w:id="44"/>
    </w:p>
    <w:p w14:paraId="1CC23FDB" w14:textId="77777777" w:rsidR="00BD3831" w:rsidRDefault="00BD3831"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w:t>
      </w:r>
      <w:r>
        <w:rPr>
          <w:rFonts w:ascii="Arabic Typesetting" w:hAnsi="Arabic Typesetting" w:cs="Arabic Typesetting" w:hint="cs"/>
          <w:b/>
          <w:bCs/>
          <w:sz w:val="36"/>
          <w:szCs w:val="36"/>
          <w:rtl/>
          <w:lang w:val="fr-CH"/>
        </w:rPr>
        <w:t>ة</w:t>
      </w:r>
      <w:r w:rsidRPr="00FE3908">
        <w:rPr>
          <w:rFonts w:ascii="Arabic Typesetting" w:hAnsi="Arabic Typesetting" w:cs="Arabic Typesetting"/>
          <w:b/>
          <w:bCs/>
          <w:sz w:val="36"/>
          <w:szCs w:val="36"/>
          <w:rtl/>
          <w:lang w:val="fr-CH"/>
        </w:rPr>
        <w:t xml:space="preserve">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1F2068">
        <w:rPr>
          <w:rFonts w:ascii="Arabic Typesetting" w:hAnsi="Arabic Typesetting" w:cs="Arabic Typesetting"/>
          <w:b/>
          <w:bCs/>
          <w:sz w:val="36"/>
          <w:szCs w:val="36"/>
          <w:rtl/>
          <w:lang w:val="fr-CH"/>
        </w:rPr>
        <w:t xml:space="preserve">السيدة </w:t>
      </w:r>
      <w:r>
        <w:rPr>
          <w:rFonts w:ascii="Arabic Typesetting" w:hAnsi="Arabic Typesetting" w:cs="Arabic Typesetting" w:hint="cs"/>
          <w:b/>
          <w:bCs/>
          <w:sz w:val="36"/>
          <w:szCs w:val="36"/>
          <w:rtl/>
          <w:lang w:val="fr-CH"/>
        </w:rPr>
        <w:t>سيلفي</w:t>
      </w:r>
      <w:r>
        <w:rPr>
          <w:rFonts w:ascii="Arabic Typesetting" w:hAnsi="Arabic Typesetting" w:cs="Arabic Typesetting"/>
          <w:b/>
          <w:bCs/>
          <w:sz w:val="36"/>
          <w:szCs w:val="36"/>
          <w:rtl/>
          <w:lang w:val="fr-CH"/>
        </w:rPr>
        <w:t xml:space="preserve"> </w:t>
      </w:r>
      <w:r>
        <w:rPr>
          <w:rFonts w:ascii="Arabic Typesetting" w:hAnsi="Arabic Typesetting" w:cs="Arabic Typesetting" w:hint="cs"/>
          <w:b/>
          <w:bCs/>
          <w:sz w:val="36"/>
          <w:szCs w:val="36"/>
          <w:rtl/>
          <w:lang w:val="fr-CH"/>
        </w:rPr>
        <w:t>فوربين</w:t>
      </w:r>
    </w:p>
    <w:p w14:paraId="63186D5A" w14:textId="77777777" w:rsidR="00BD3831" w:rsidRDefault="00BD3831"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0F53C2E7" wp14:editId="1B68C746">
            <wp:extent cx="3592185"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92185" cy="2160000"/>
                    </a:xfrm>
                    <a:prstGeom prst="rect">
                      <a:avLst/>
                    </a:prstGeom>
                    <a:noFill/>
                  </pic:spPr>
                </pic:pic>
              </a:graphicData>
            </a:graphic>
          </wp:inline>
        </w:drawing>
      </w:r>
    </w:p>
    <w:tbl>
      <w:tblPr>
        <w:tblpPr w:leftFromText="180" w:rightFromText="180" w:vertAnchor="text" w:tblpY="109"/>
        <w:bidiVisual/>
        <w:tblW w:w="5000" w:type="pct"/>
        <w:tblCellMar>
          <w:left w:w="115" w:type="dxa"/>
          <w:right w:w="115" w:type="dxa"/>
        </w:tblCellMar>
        <w:tblLook w:val="0000" w:firstRow="0" w:lastRow="0" w:firstColumn="0" w:lastColumn="0" w:noHBand="0" w:noVBand="0"/>
      </w:tblPr>
      <w:tblGrid>
        <w:gridCol w:w="1888"/>
        <w:gridCol w:w="2468"/>
        <w:gridCol w:w="1644"/>
        <w:gridCol w:w="2192"/>
        <w:gridCol w:w="1279"/>
      </w:tblGrid>
      <w:tr w:rsidR="00BD3831" w:rsidRPr="001F2068" w14:paraId="0A0B3F2E" w14:textId="77777777" w:rsidTr="00DF6715">
        <w:trPr>
          <w:cantSplit/>
          <w:trHeight w:val="565"/>
        </w:trPr>
        <w:tc>
          <w:tcPr>
            <w:tcW w:w="5000" w:type="pct"/>
            <w:gridSpan w:val="5"/>
            <w:shd w:val="clear" w:color="auto" w:fill="C6D9F1"/>
            <w:tcMar>
              <w:left w:w="58" w:type="dxa"/>
              <w:right w:w="58" w:type="dxa"/>
            </w:tcMar>
            <w:vAlign w:val="center"/>
          </w:tcPr>
          <w:p w14:paraId="3B2809C3" w14:textId="77777777" w:rsidR="00BD3831" w:rsidRPr="001F2068"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‏النتيجة المرتقبة:</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0000"/>
                <w:sz w:val="28"/>
                <w:szCs w:val="28"/>
                <w:rtl/>
                <w:lang w:eastAsia="ar-EG" w:bidi="ar-EG"/>
              </w:rPr>
              <w:t xml:space="preserve">ه1.8 التواصل </w:t>
            </w:r>
            <w:r w:rsidRPr="001F2068">
              <w:rPr>
                <w:rFonts w:ascii="Arabic Typesetting" w:eastAsia="Arabic Typesetting" w:hAnsi="Arabic Typesetting" w:cs="Arabic Typesetting"/>
                <w:sz w:val="28"/>
                <w:szCs w:val="28"/>
                <w:rtl/>
                <w:lang w:eastAsia="ar-EG" w:bidi="ar-EG"/>
              </w:rPr>
              <w:t>بفعالية</w:t>
            </w:r>
            <w:r w:rsidRPr="001F2068">
              <w:rPr>
                <w:rFonts w:ascii="Arabic Typesetting" w:eastAsia="Arabic Typesetting" w:hAnsi="Arabic Typesetting" w:cs="Arabic Typesetting"/>
                <w:color w:val="000000"/>
                <w:sz w:val="28"/>
                <w:szCs w:val="28"/>
                <w:rtl/>
                <w:lang w:eastAsia="ar-EG" w:bidi="ar-EG"/>
              </w:rPr>
              <w:t xml:space="preserve"> أكبر مع جمهور واسع بشأن الملكية الفكرية ودور الويبو</w:t>
            </w:r>
          </w:p>
        </w:tc>
      </w:tr>
      <w:tr w:rsidR="00BD3831" w:rsidRPr="001F2068" w14:paraId="62A92622" w14:textId="77777777" w:rsidTr="00DF6715">
        <w:trPr>
          <w:cantSplit/>
        </w:trPr>
        <w:tc>
          <w:tcPr>
            <w:tcW w:w="997" w:type="pct"/>
            <w:shd w:val="clear" w:color="auto" w:fill="auto"/>
            <w:tcMar>
              <w:left w:w="58" w:type="dxa"/>
              <w:right w:w="58" w:type="dxa"/>
            </w:tcMar>
            <w:vAlign w:val="center"/>
          </w:tcPr>
          <w:p w14:paraId="6C838A2C" w14:textId="77777777" w:rsidR="00BD3831" w:rsidRPr="001F2068"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مؤشرات الأداء</w:t>
            </w:r>
          </w:p>
        </w:tc>
        <w:tc>
          <w:tcPr>
            <w:tcW w:w="1303" w:type="pct"/>
            <w:shd w:val="clear" w:color="auto" w:fill="auto"/>
            <w:tcMar>
              <w:left w:w="58" w:type="dxa"/>
              <w:right w:w="58" w:type="dxa"/>
            </w:tcMar>
            <w:vAlign w:val="center"/>
          </w:tcPr>
          <w:p w14:paraId="0D58983F" w14:textId="77777777" w:rsidR="00BD3831" w:rsidRPr="001F2068"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أسس المقارنة</w:t>
            </w:r>
          </w:p>
        </w:tc>
        <w:tc>
          <w:tcPr>
            <w:tcW w:w="868" w:type="pct"/>
            <w:shd w:val="clear" w:color="auto" w:fill="auto"/>
            <w:tcMar>
              <w:top w:w="110" w:type="dxa"/>
              <w:left w:w="58" w:type="dxa"/>
              <w:right w:w="58" w:type="dxa"/>
            </w:tcMar>
            <w:vAlign w:val="center"/>
          </w:tcPr>
          <w:p w14:paraId="1AD56FD9" w14:textId="77777777" w:rsidR="00BD3831" w:rsidRPr="001F2068"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الأهداف</w:t>
            </w:r>
          </w:p>
        </w:tc>
        <w:tc>
          <w:tcPr>
            <w:tcW w:w="1157" w:type="pct"/>
            <w:shd w:val="clear" w:color="auto" w:fill="FFFFFF"/>
            <w:tcMar>
              <w:top w:w="110" w:type="dxa"/>
              <w:left w:w="58" w:type="dxa"/>
              <w:right w:w="58" w:type="dxa"/>
            </w:tcMar>
            <w:vAlign w:val="center"/>
          </w:tcPr>
          <w:p w14:paraId="09308BD6" w14:textId="77777777" w:rsidR="00BD3831" w:rsidRPr="001F2068"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بيانات الأداء</w:t>
            </w:r>
          </w:p>
        </w:tc>
        <w:tc>
          <w:tcPr>
            <w:tcW w:w="676" w:type="pct"/>
            <w:shd w:val="clear" w:color="auto" w:fill="auto"/>
            <w:tcMar>
              <w:top w:w="110" w:type="dxa"/>
              <w:left w:w="58" w:type="dxa"/>
              <w:right w:w="58" w:type="dxa"/>
            </w:tcMar>
            <w:vAlign w:val="center"/>
          </w:tcPr>
          <w:p w14:paraId="26714678"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السير</w:t>
            </w:r>
          </w:p>
        </w:tc>
      </w:tr>
      <w:tr w:rsidR="00BD3831" w:rsidRPr="001F2068" w14:paraId="11C57AF4" w14:textId="77777777" w:rsidTr="00DF6715">
        <w:trPr>
          <w:cantSplit/>
          <w:trHeight w:val="1465"/>
        </w:trPr>
        <w:tc>
          <w:tcPr>
            <w:tcW w:w="997" w:type="pct"/>
            <w:shd w:val="clear" w:color="auto" w:fill="auto"/>
            <w:tcMar>
              <w:left w:w="58" w:type="dxa"/>
              <w:right w:w="58" w:type="dxa"/>
            </w:tcMar>
          </w:tcPr>
          <w:p w14:paraId="0E28DD91"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تصور أصحاب المصالح الإيجابي لسمعة الويبو، وزيادة تعرفهم على السمة التجارية للويبو</w:t>
            </w:r>
          </w:p>
        </w:tc>
        <w:tc>
          <w:tcPr>
            <w:tcW w:w="1303" w:type="pct"/>
            <w:shd w:val="clear" w:color="auto" w:fill="auto"/>
            <w:tcMar>
              <w:left w:w="58" w:type="dxa"/>
              <w:right w:w="58" w:type="dxa"/>
            </w:tcMar>
          </w:tcPr>
          <w:p w14:paraId="50C8B6C7"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85.3% من المجيبين عن الاستقصاء يوافقون/يوافقون بشدة على أن الويبو تتمتع بسمعة عامة جيدة. يرى 70.2% من المجيبين أن الويبو هي المنتدى العالمي للملكية الفكرية (استقصاء الويبو لتصورات أصحاب المصالح، يونيو</w:t>
            </w:r>
            <w:r>
              <w:rPr>
                <w:rFonts w:ascii="Arabic Typesetting" w:eastAsia="Arabic Typesetting" w:hAnsi="Arabic Typesetting" w:cs="Arabic Typesetting" w:hint="cs"/>
                <w:color w:val="000000"/>
                <w:sz w:val="28"/>
                <w:szCs w:val="28"/>
                <w:rtl/>
                <w:lang w:eastAsia="ar-EG" w:bidi="ar-EG"/>
              </w:rPr>
              <w:t> </w:t>
            </w:r>
            <w:r w:rsidRPr="001F2068">
              <w:rPr>
                <w:rFonts w:ascii="Arabic Typesetting" w:eastAsia="Arabic Typesetting" w:hAnsi="Arabic Typesetting" w:cs="Arabic Typesetting"/>
                <w:color w:val="000000"/>
                <w:sz w:val="28"/>
                <w:szCs w:val="28"/>
                <w:rtl/>
                <w:lang w:eastAsia="ar-EG" w:bidi="ar-EG"/>
              </w:rPr>
              <w:t>2014)</w:t>
            </w:r>
          </w:p>
        </w:tc>
        <w:tc>
          <w:tcPr>
            <w:tcW w:w="868" w:type="pct"/>
            <w:shd w:val="clear" w:color="auto" w:fill="auto"/>
            <w:tcMar>
              <w:top w:w="110" w:type="dxa"/>
              <w:left w:w="58" w:type="dxa"/>
              <w:right w:w="58" w:type="dxa"/>
            </w:tcMar>
          </w:tcPr>
          <w:p w14:paraId="3F18C57D"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85% لهم تصور إيجابي لسمعة الويبو</w:t>
            </w:r>
          </w:p>
          <w:p w14:paraId="345D140B" w14:textId="77777777" w:rsidR="00BD3831" w:rsidRDefault="00BD3831" w:rsidP="0031289D">
            <w:pPr>
              <w:bidi/>
              <w:spacing w:after="60" w:line="280" w:lineRule="exact"/>
              <w:rPr>
                <w:rFonts w:ascii="Arabic Typesetting" w:eastAsia="Arabic Typesetting" w:hAnsi="Arabic Typesetting" w:cs="Arabic Typesetting"/>
                <w:color w:val="000000"/>
                <w:sz w:val="28"/>
                <w:szCs w:val="28"/>
                <w:rtl/>
                <w:lang w:eastAsia="ar-EG" w:bidi="ar-EG"/>
              </w:rPr>
            </w:pPr>
          </w:p>
          <w:p w14:paraId="71D6B658"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75% يرون أن الويبو هي المنتدى العالمي للملكية الفكرية</w:t>
            </w:r>
          </w:p>
        </w:tc>
        <w:tc>
          <w:tcPr>
            <w:tcW w:w="1157" w:type="pct"/>
            <w:shd w:val="clear" w:color="auto" w:fill="FFFFFF"/>
            <w:tcMar>
              <w:top w:w="110" w:type="dxa"/>
              <w:left w:w="58" w:type="dxa"/>
              <w:right w:w="58" w:type="dxa"/>
            </w:tcMar>
          </w:tcPr>
          <w:p w14:paraId="551E51B1"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84% يوافقون/يوافقون بشدة على أن الويبو تتمتع بسمعة عامة جيدة (استقصاء الويبو لتصورات أصحاب المصالح في عام 2016)</w:t>
            </w:r>
          </w:p>
          <w:p w14:paraId="0730D9BB"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sz w:val="28"/>
                <w:szCs w:val="28"/>
                <w:rtl/>
                <w:lang w:eastAsia="ar-EG" w:bidi="ar-EG"/>
              </w:rPr>
              <w:t>يرى 74% من المجيبين عن الاستقصاء أن الويبو هي المنتدى العالمي للملكية الفكرية (استقصاء الويبو لتصورات أصحاب المصالح في عام 2016)</w:t>
            </w:r>
          </w:p>
        </w:tc>
        <w:tc>
          <w:tcPr>
            <w:tcW w:w="676" w:type="pct"/>
            <w:shd w:val="clear" w:color="auto" w:fill="auto"/>
            <w:tcMar>
              <w:top w:w="110" w:type="dxa"/>
              <w:left w:w="58" w:type="dxa"/>
              <w:right w:w="58" w:type="dxa"/>
            </w:tcMar>
          </w:tcPr>
          <w:p w14:paraId="781D9A05" w14:textId="77777777" w:rsidR="00BD3831"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p w14:paraId="22AAAFC6" w14:textId="77777777" w:rsidR="00BD3831"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p>
          <w:p w14:paraId="0925FF72"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tc>
      </w:tr>
      <w:tr w:rsidR="00BD3831" w:rsidRPr="001F2068" w14:paraId="20BC28A8" w14:textId="77777777" w:rsidTr="00DF6715">
        <w:trPr>
          <w:cantSplit/>
          <w:trHeight w:val="1142"/>
        </w:trPr>
        <w:tc>
          <w:tcPr>
            <w:tcW w:w="997" w:type="pct"/>
            <w:shd w:val="clear" w:color="auto" w:fill="auto"/>
            <w:tcMar>
              <w:left w:w="58" w:type="dxa"/>
              <w:right w:w="58" w:type="dxa"/>
            </w:tcMar>
          </w:tcPr>
          <w:p w14:paraId="600AA181"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عدد الأشخاص الذين يشاهدون محتوى عن تظاهرات الويبو وإنجازاتها وأنشطتها الرئيسية</w:t>
            </w:r>
          </w:p>
        </w:tc>
        <w:tc>
          <w:tcPr>
            <w:tcW w:w="1303" w:type="pct"/>
            <w:shd w:val="clear" w:color="auto" w:fill="auto"/>
            <w:tcMar>
              <w:left w:w="58" w:type="dxa"/>
              <w:right w:w="58" w:type="dxa"/>
            </w:tcMar>
          </w:tcPr>
          <w:p w14:paraId="12E2BAEA"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معدل الفتح المتوسط في 2015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33.1%</w:t>
            </w:r>
          </w:p>
          <w:p w14:paraId="1F296FD0"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1F2068">
              <w:rPr>
                <w:rFonts w:ascii="Arabic Typesetting" w:eastAsia="Arabic Typesetting" w:hAnsi="Arabic Typesetting" w:cs="Arabic Typesetting"/>
                <w:i/>
                <w:iCs/>
                <w:sz w:val="28"/>
                <w:szCs w:val="28"/>
                <w:rtl/>
                <w:lang w:eastAsia="ar-EG" w:bidi="ar-EG"/>
              </w:rPr>
              <w:t>:</w:t>
            </w:r>
            <w:r w:rsidRPr="001F2068">
              <w:rPr>
                <w:rFonts w:ascii="Arabic Typesetting" w:eastAsia="Arabic Typesetting" w:hAnsi="Arabic Typesetting" w:cs="Arabic Typesetting"/>
                <w:i/>
                <w:sz w:val="28"/>
                <w:szCs w:val="28"/>
                <w:lang w:eastAsia="ar-EG" w:bidi="ar-EG"/>
              </w:rPr>
              <w:br/>
            </w:r>
            <w:r w:rsidRPr="001F206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يحدَّد لاحقا</w:t>
            </w:r>
          </w:p>
        </w:tc>
        <w:tc>
          <w:tcPr>
            <w:tcW w:w="868" w:type="pct"/>
            <w:shd w:val="clear" w:color="auto" w:fill="auto"/>
            <w:tcMar>
              <w:top w:w="110" w:type="dxa"/>
              <w:left w:w="58" w:type="dxa"/>
              <w:right w:w="58" w:type="dxa"/>
            </w:tcMar>
          </w:tcPr>
          <w:p w14:paraId="13B33902"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‏23% أو أكثر</w:t>
            </w:r>
            <w:r w:rsidRPr="001F2068">
              <w:rPr>
                <w:rFonts w:ascii="Arabic Typesetting" w:eastAsia="Arabic Typesetting" w:hAnsi="Arabic Typesetting" w:cs="Arabic Typesetting"/>
                <w:color w:val="000000"/>
                <w:sz w:val="28"/>
                <w:szCs w:val="28"/>
                <w:vertAlign w:val="superscript"/>
                <w:lang w:eastAsia="ar-EG" w:bidi="ar-EG"/>
              </w:rPr>
              <w:footnoteReference w:id="77"/>
            </w:r>
            <w:r w:rsidRPr="001F2068">
              <w:rPr>
                <w:rFonts w:ascii="Arabic Typesetting" w:eastAsia="Arabic Typesetting" w:hAnsi="Arabic Typesetting" w:cs="Arabic Typesetting"/>
                <w:color w:val="000000"/>
                <w:sz w:val="28"/>
                <w:szCs w:val="28"/>
                <w:rtl/>
                <w:lang w:eastAsia="ar-EG" w:bidi="ar-EG"/>
              </w:rPr>
              <w:t xml:space="preserve"> مِمَّنْ يتلقون نشرة الويبو الإخبارية يفتحونها لعرض مضمونها</w:t>
            </w:r>
          </w:p>
        </w:tc>
        <w:tc>
          <w:tcPr>
            <w:tcW w:w="1157" w:type="pct"/>
            <w:shd w:val="clear" w:color="auto" w:fill="FFFFFF"/>
            <w:tcMar>
              <w:top w:w="110" w:type="dxa"/>
              <w:left w:w="58" w:type="dxa"/>
              <w:right w:w="58" w:type="dxa"/>
            </w:tcMar>
          </w:tcPr>
          <w:p w14:paraId="5D9ECF47"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26.4% مِمَّنْ يتلقون نشرة الويبو الإخبارية يفتحونها لعرض مضمونها</w:t>
            </w:r>
          </w:p>
        </w:tc>
        <w:tc>
          <w:tcPr>
            <w:tcW w:w="676" w:type="pct"/>
            <w:shd w:val="clear" w:color="auto" w:fill="auto"/>
            <w:tcMar>
              <w:top w:w="110" w:type="dxa"/>
              <w:left w:w="58" w:type="dxa"/>
              <w:right w:w="58" w:type="dxa"/>
            </w:tcMar>
          </w:tcPr>
          <w:p w14:paraId="3082B08F"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tc>
      </w:tr>
      <w:tr w:rsidR="00BD3831" w:rsidRPr="001F2068" w14:paraId="3DCF3A35" w14:textId="77777777" w:rsidTr="00DF6715">
        <w:trPr>
          <w:cantSplit/>
          <w:trHeight w:val="1213"/>
        </w:trPr>
        <w:tc>
          <w:tcPr>
            <w:tcW w:w="997" w:type="pct"/>
            <w:shd w:val="clear" w:color="auto" w:fill="auto"/>
            <w:tcMar>
              <w:left w:w="58" w:type="dxa"/>
              <w:right w:w="58" w:type="dxa"/>
            </w:tcMar>
          </w:tcPr>
          <w:p w14:paraId="6D706C2D"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lastRenderedPageBreak/>
              <w:t>المشاركة العالمية في حملة اليوم العالمي للملكية الفكرية</w:t>
            </w:r>
          </w:p>
        </w:tc>
        <w:tc>
          <w:tcPr>
            <w:tcW w:w="1303" w:type="pct"/>
            <w:shd w:val="clear" w:color="auto" w:fill="auto"/>
            <w:tcMar>
              <w:left w:w="58" w:type="dxa"/>
              <w:right w:w="58" w:type="dxa"/>
            </w:tcMar>
          </w:tcPr>
          <w:p w14:paraId="0CF2EE91"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نُشرت التظاهرات في 105 بلدان على خريطة تظاهرات اليوم العالمي للملكية الفكرية لعام 2015</w:t>
            </w:r>
          </w:p>
          <w:p w14:paraId="5EB6D9A9" w14:textId="77777777" w:rsidR="00BD3831" w:rsidRPr="001F2068" w:rsidRDefault="00BD3831" w:rsidP="0031289D">
            <w:pPr>
              <w:bidi/>
              <w:spacing w:after="120" w:line="280" w:lineRule="exact"/>
              <w:rPr>
                <w:rFonts w:ascii="Arabic Typesetting" w:eastAsia="Arabic Typesetting" w:hAnsi="Arabic Typesetting" w:cs="Arabic Typesetting"/>
                <w:i/>
                <w:sz w:val="28"/>
                <w:szCs w:val="28"/>
                <w:lang w:eastAsia="ar-EG" w:bidi="ar-EG"/>
              </w:rPr>
            </w:pPr>
            <w:r w:rsidRPr="001F206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1F2068">
              <w:rPr>
                <w:rFonts w:ascii="Arabic Typesetting" w:eastAsia="Arabic Typesetting" w:hAnsi="Arabic Typesetting" w:cs="Arabic Typesetting"/>
                <w:i/>
                <w:iCs/>
                <w:sz w:val="28"/>
                <w:szCs w:val="28"/>
                <w:rtl/>
                <w:lang w:eastAsia="ar-EG" w:bidi="ar-EG"/>
              </w:rPr>
              <w:t>:</w:t>
            </w:r>
            <w:r w:rsidRPr="001F2068">
              <w:rPr>
                <w:rFonts w:ascii="Arabic Typesetting" w:eastAsia="Arabic Typesetting" w:hAnsi="Arabic Typesetting" w:cs="Arabic Typesetting"/>
                <w:i/>
                <w:sz w:val="28"/>
                <w:szCs w:val="28"/>
                <w:lang w:eastAsia="ar-EG" w:bidi="ar-EG"/>
              </w:rPr>
              <w:br/>
            </w:r>
            <w:r w:rsidRPr="001F206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نُشرت التظاهرات في 110 بلدان على خريطة تظاهرات اليوم العالمي للملكية الفكرية لعام 2014</w:t>
            </w:r>
          </w:p>
        </w:tc>
        <w:tc>
          <w:tcPr>
            <w:tcW w:w="868" w:type="pct"/>
            <w:shd w:val="clear" w:color="auto" w:fill="auto"/>
            <w:tcMar>
              <w:top w:w="110" w:type="dxa"/>
              <w:left w:w="58" w:type="dxa"/>
              <w:right w:w="58" w:type="dxa"/>
            </w:tcMar>
          </w:tcPr>
          <w:p w14:paraId="27C90FF2" w14:textId="77777777" w:rsidR="00BD3831" w:rsidRDefault="00BD3831" w:rsidP="0031289D">
            <w:pPr>
              <w:keepNext/>
              <w:keepLines/>
              <w:bidi/>
              <w:spacing w:after="120" w:line="280" w:lineRule="exact"/>
              <w:rPr>
                <w:rFonts w:ascii="Arabic Typesetting" w:eastAsia="Arabic Typesetting" w:hAnsi="Arabic Typesetting" w:cs="Arabic Typesetting"/>
                <w:color w:val="002060"/>
                <w:sz w:val="28"/>
                <w:szCs w:val="28"/>
                <w:highlight w:val="yellow"/>
                <w:lang w:eastAsia="ar-EG" w:bidi="ar-EG"/>
              </w:rPr>
            </w:pPr>
            <w:r w:rsidRPr="001F2068">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نشر التظاهرات في 105 بلد أو أكثر على خريطة تظاهرات اليوم العالمي للملكية الفكرية</w:t>
            </w:r>
          </w:p>
          <w:p w14:paraId="677591CD" w14:textId="1C8E4F54"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1F2068">
              <w:rPr>
                <w:rFonts w:ascii="Arabic Typesetting" w:eastAsia="Arabic Typesetting" w:hAnsi="Arabic Typesetting" w:cs="Arabic Typesetting"/>
                <w:i/>
                <w:sz w:val="28"/>
                <w:szCs w:val="28"/>
                <w:lang w:eastAsia="ar-EG" w:bidi="ar-EG"/>
              </w:rPr>
              <w:br/>
            </w:r>
            <w:r w:rsidRPr="001F206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نشر التظاهرات في 100 بلد أو أكثر على خريطة تظاهرات اليوم العالمي للملكية الفكرية</w:t>
            </w:r>
          </w:p>
        </w:tc>
        <w:tc>
          <w:tcPr>
            <w:tcW w:w="1157" w:type="pct"/>
            <w:shd w:val="clear" w:color="auto" w:fill="FFFFFF"/>
            <w:tcMar>
              <w:top w:w="110" w:type="dxa"/>
              <w:left w:w="58" w:type="dxa"/>
              <w:right w:w="58" w:type="dxa"/>
            </w:tcMar>
          </w:tcPr>
          <w:p w14:paraId="24674BFA"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 xml:space="preserve">الإبلاغ عن </w:t>
            </w:r>
            <w:r>
              <w:rPr>
                <w:rFonts w:ascii="Arabic Typesetting" w:eastAsia="Arabic Typesetting" w:hAnsi="Arabic Typesetting" w:cs="Arabic Typesetting"/>
                <w:color w:val="000000"/>
                <w:sz w:val="28"/>
                <w:szCs w:val="28"/>
                <w:rtl/>
                <w:lang w:eastAsia="ar-EG" w:bidi="ar-EG"/>
              </w:rPr>
              <w:t>450 تظاهرة في 122 بلداً</w:t>
            </w:r>
          </w:p>
        </w:tc>
        <w:tc>
          <w:tcPr>
            <w:tcW w:w="676" w:type="pct"/>
            <w:shd w:val="clear" w:color="auto" w:fill="auto"/>
            <w:tcMar>
              <w:top w:w="110" w:type="dxa"/>
              <w:left w:w="58" w:type="dxa"/>
              <w:right w:w="58" w:type="dxa"/>
            </w:tcMar>
          </w:tcPr>
          <w:p w14:paraId="29DA7BE1"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tc>
      </w:tr>
      <w:tr w:rsidR="00BD3831" w:rsidRPr="001F2068" w14:paraId="63FE10A9" w14:textId="77777777" w:rsidTr="00DF6715">
        <w:trPr>
          <w:cantSplit/>
          <w:trHeight w:val="1213"/>
        </w:trPr>
        <w:tc>
          <w:tcPr>
            <w:tcW w:w="997" w:type="pct"/>
            <w:shd w:val="clear" w:color="auto" w:fill="auto"/>
            <w:tcMar>
              <w:left w:w="58" w:type="dxa"/>
              <w:right w:w="58" w:type="dxa"/>
            </w:tcMar>
          </w:tcPr>
          <w:p w14:paraId="51F8EA6E"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عدد زيارات موقع منشورات الويبو وموقع مجلة الويبو</w:t>
            </w:r>
          </w:p>
        </w:tc>
        <w:tc>
          <w:tcPr>
            <w:tcW w:w="1303" w:type="pct"/>
            <w:shd w:val="clear" w:color="auto" w:fill="auto"/>
            <w:tcMar>
              <w:left w:w="58" w:type="dxa"/>
              <w:right w:w="58" w:type="dxa"/>
            </w:tcMar>
          </w:tcPr>
          <w:p w14:paraId="55465C5F" w14:textId="77777777" w:rsidR="00BD3831" w:rsidRPr="001F2068" w:rsidRDefault="00BD3831" w:rsidP="0031289D">
            <w:pPr>
              <w:bidi/>
              <w:spacing w:after="120" w:line="280" w:lineRule="exact"/>
              <w:rPr>
                <w:rFonts w:ascii="Arabic Typesetting" w:eastAsia="Arabic Typesetting" w:hAnsi="Arabic Typesetting" w:cs="Arabic Typesetting"/>
                <w:color w:val="002060"/>
                <w:sz w:val="28"/>
                <w:szCs w:val="28"/>
                <w:highlight w:val="yellow"/>
                <w:lang w:eastAsia="ar-EG" w:bidi="ar-EG"/>
              </w:rPr>
            </w:pPr>
            <w:r w:rsidRPr="001F206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"1"</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2060"/>
                <w:sz w:val="28"/>
                <w:szCs w:val="28"/>
                <w:rtl/>
                <w:lang w:eastAsia="ar-EG" w:bidi="ar-EG"/>
              </w:rPr>
              <w:t>600 217 مشاهدة فريدة للموقع الإلكتروني لمجلة الويبو في 2014/15</w:t>
            </w:r>
          </w:p>
          <w:p w14:paraId="07527D42" w14:textId="77777777" w:rsidR="00BD3831" w:rsidRDefault="00BD3831"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1F2068">
              <w:rPr>
                <w:rFonts w:ascii="Arabic Typesetting" w:eastAsia="Arabic Typesetting" w:hAnsi="Arabic Typesetting" w:cs="Arabic Typesetting"/>
                <w:color w:val="002060"/>
                <w:sz w:val="28"/>
                <w:szCs w:val="28"/>
                <w:rtl/>
                <w:lang w:eastAsia="ar-EG" w:bidi="ar-EG"/>
              </w:rPr>
              <w:t>"2"</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2060"/>
                <w:sz w:val="28"/>
                <w:szCs w:val="28"/>
                <w:rtl/>
                <w:lang w:eastAsia="ar-EG" w:bidi="ar-EG"/>
              </w:rPr>
              <w:t>790 024 1 مشاهدة فريدة للموقع الإلكتروني لمجلة الويبو في 2014/15</w:t>
            </w:r>
          </w:p>
          <w:p w14:paraId="029C112A" w14:textId="77777777" w:rsidR="00BD3831" w:rsidRPr="001F2068"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1F206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1F2068">
              <w:rPr>
                <w:rFonts w:ascii="Arabic Typesetting" w:eastAsia="Arabic Typesetting" w:hAnsi="Arabic Typesetting" w:cs="Arabic Typesetting"/>
                <w:i/>
                <w:iCs/>
                <w:sz w:val="28"/>
                <w:szCs w:val="28"/>
                <w:rtl/>
                <w:lang w:eastAsia="ar-EG" w:bidi="ar-EG"/>
              </w:rPr>
              <w:t>:</w:t>
            </w:r>
            <w:r w:rsidRPr="001F2068">
              <w:rPr>
                <w:rFonts w:ascii="Arabic Typesetting" w:eastAsia="Arabic Typesetting" w:hAnsi="Arabic Typesetting" w:cs="Arabic Typesetting"/>
                <w:i/>
                <w:sz w:val="28"/>
                <w:szCs w:val="28"/>
                <w:lang w:eastAsia="ar-EG" w:bidi="ar-EG"/>
              </w:rPr>
              <w:br/>
            </w:r>
            <w:r w:rsidRPr="001F206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1F2068">
              <w:rPr>
                <w:rFonts w:ascii="Arabic Typesetting" w:eastAsia="Arabic Typesetting" w:hAnsi="Arabic Typesetting" w:cs="Arabic Typesetting"/>
                <w:sz w:val="28"/>
                <w:szCs w:val="28"/>
                <w:rtl/>
                <w:lang w:eastAsia="ar-EG" w:bidi="ar-EG"/>
              </w:rPr>
              <w:t>"1"</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sz w:val="28"/>
                <w:szCs w:val="28"/>
                <w:rtl/>
                <w:lang w:eastAsia="ar-EG" w:bidi="ar-EG"/>
              </w:rPr>
              <w:t>804 97 مشاهدات فريدة للمو</w:t>
            </w:r>
            <w:r>
              <w:rPr>
                <w:rFonts w:ascii="Arabic Typesetting" w:eastAsia="Arabic Typesetting" w:hAnsi="Arabic Typesetting" w:cs="Arabic Typesetting"/>
                <w:sz w:val="28"/>
                <w:szCs w:val="28"/>
                <w:rtl/>
                <w:lang w:eastAsia="ar-EG" w:bidi="ar-EG"/>
              </w:rPr>
              <w:t>قع الإلكتروني لمنشورات الويبو؛</w:t>
            </w:r>
          </w:p>
          <w:p w14:paraId="384B36F9" w14:textId="77777777" w:rsidR="00BD3831" w:rsidRPr="001F2068"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1F2068">
              <w:rPr>
                <w:rFonts w:ascii="Arabic Typesetting" w:eastAsia="Arabic Typesetting" w:hAnsi="Arabic Typesetting" w:cs="Arabic Typesetting"/>
                <w:sz w:val="28"/>
                <w:szCs w:val="28"/>
                <w:rtl/>
                <w:lang w:eastAsia="ar-EG" w:bidi="ar-EG"/>
              </w:rPr>
              <w:t>"2" 342 432 مشاهدة فريدة للموقع الإلكتروني لمجلة الويبو في 2014</w:t>
            </w:r>
          </w:p>
        </w:tc>
        <w:tc>
          <w:tcPr>
            <w:tcW w:w="868" w:type="pct"/>
            <w:shd w:val="clear" w:color="auto" w:fill="auto"/>
            <w:tcMar>
              <w:top w:w="110" w:type="dxa"/>
              <w:left w:w="58" w:type="dxa"/>
              <w:right w:w="58" w:type="dxa"/>
            </w:tcMar>
          </w:tcPr>
          <w:p w14:paraId="3888C993"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"1"</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0000"/>
                <w:sz w:val="28"/>
                <w:szCs w:val="28"/>
                <w:rtl/>
                <w:lang w:eastAsia="ar-EG" w:bidi="ar-EG"/>
              </w:rPr>
              <w:t>زيادة بنسبة 20% في عدد المشاهدات الفريدة للمو</w:t>
            </w:r>
            <w:r>
              <w:rPr>
                <w:rFonts w:ascii="Arabic Typesetting" w:eastAsia="Arabic Typesetting" w:hAnsi="Arabic Typesetting" w:cs="Arabic Typesetting"/>
                <w:color w:val="000000"/>
                <w:sz w:val="28"/>
                <w:szCs w:val="28"/>
                <w:rtl/>
                <w:lang w:eastAsia="ar-EG" w:bidi="ar-EG"/>
              </w:rPr>
              <w:t>قع الإلكتروني لمنشورات الويبو؛</w:t>
            </w:r>
          </w:p>
          <w:p w14:paraId="72A9D215"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"2"</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0000"/>
                <w:sz w:val="28"/>
                <w:szCs w:val="28"/>
                <w:rtl/>
                <w:lang w:eastAsia="ar-EG" w:bidi="ar-EG"/>
              </w:rPr>
              <w:t>زيادة بنسبة 10% في عدد المشاهدات الفريدة للموقع الإلكتروني لمجلة الويبو</w:t>
            </w:r>
          </w:p>
        </w:tc>
        <w:tc>
          <w:tcPr>
            <w:tcW w:w="1157" w:type="pct"/>
            <w:shd w:val="clear" w:color="auto" w:fill="FFFFFF"/>
            <w:tcMar>
              <w:top w:w="110" w:type="dxa"/>
              <w:left w:w="58" w:type="dxa"/>
              <w:right w:w="58" w:type="dxa"/>
            </w:tcMar>
          </w:tcPr>
          <w:p w14:paraId="77ED6CFB" w14:textId="77777777" w:rsidR="00BD3831" w:rsidRDefault="00BD3831" w:rsidP="0031289D">
            <w:pPr>
              <w:keepNext/>
              <w:keepLines/>
              <w:bidi/>
              <w:spacing w:after="400" w:line="280" w:lineRule="exact"/>
              <w:rPr>
                <w:rFonts w:ascii="Arabic Typesetting" w:eastAsia="Arabic Typesetting" w:hAnsi="Arabic Typesetting" w:cs="Arabic Typesetting"/>
                <w:sz w:val="28"/>
                <w:szCs w:val="28"/>
                <w:lang w:eastAsia="ar-EG" w:bidi="ar-EG"/>
              </w:rPr>
            </w:pPr>
            <w:r w:rsidRPr="001F2068">
              <w:rPr>
                <w:rFonts w:ascii="Arabic Typesetting" w:eastAsia="Arabic Typesetting" w:hAnsi="Arabic Typesetting" w:cs="Arabic Typesetting"/>
                <w:sz w:val="28"/>
                <w:szCs w:val="28"/>
                <w:rtl/>
                <w:lang w:eastAsia="ar-EG" w:bidi="ar-EG"/>
              </w:rPr>
              <w:t>"1"</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sz w:val="28"/>
                <w:szCs w:val="28"/>
                <w:rtl/>
                <w:lang w:eastAsia="ar-EG" w:bidi="ar-EG"/>
              </w:rPr>
              <w:t>011 139 مشاهدة فريدة للم</w:t>
            </w:r>
            <w:r>
              <w:rPr>
                <w:rFonts w:ascii="Arabic Typesetting" w:eastAsia="Arabic Typesetting" w:hAnsi="Arabic Typesetting" w:cs="Arabic Typesetting"/>
                <w:sz w:val="28"/>
                <w:szCs w:val="28"/>
                <w:rtl/>
                <w:lang w:eastAsia="ar-EG" w:bidi="ar-EG"/>
              </w:rPr>
              <w:t>وقع الإلكتروني لمنشورات الويبو؛</w:t>
            </w:r>
          </w:p>
          <w:p w14:paraId="6A7AD50A" w14:textId="77777777" w:rsidR="00BD3831" w:rsidRPr="001F2068"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1F2068">
              <w:rPr>
                <w:rFonts w:ascii="Arabic Typesetting" w:eastAsia="Arabic Typesetting" w:hAnsi="Arabic Typesetting" w:cs="Arabic Typesetting"/>
                <w:sz w:val="28"/>
                <w:szCs w:val="28"/>
                <w:rtl/>
                <w:lang w:eastAsia="ar-EG" w:bidi="ar-EG"/>
              </w:rPr>
              <w:t>"2" 200 735 مشاهدة فريدة للموقع الإلكتروني لمجلة الويبو</w:t>
            </w:r>
          </w:p>
        </w:tc>
        <w:tc>
          <w:tcPr>
            <w:tcW w:w="676" w:type="pct"/>
            <w:shd w:val="clear" w:color="auto" w:fill="auto"/>
            <w:tcMar>
              <w:top w:w="110" w:type="dxa"/>
              <w:left w:w="58" w:type="dxa"/>
              <w:right w:w="58" w:type="dxa"/>
            </w:tcMar>
          </w:tcPr>
          <w:p w14:paraId="054BC437" w14:textId="77777777" w:rsidR="00BD3831" w:rsidRDefault="00BD3831" w:rsidP="0031289D">
            <w:pPr>
              <w:keepNext/>
              <w:keepLines/>
              <w:bidi/>
              <w:spacing w:after="960" w:line="280" w:lineRule="exact"/>
              <w:jc w:val="center"/>
              <w:rPr>
                <w:rFonts w:ascii="Arabic Typesetting" w:eastAsia="Arabic Typesetting" w:hAnsi="Arabic Typesetting" w:cs="Arabic Typesetting"/>
                <w:b/>
                <w:color w:val="00B05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p w14:paraId="46B334D1"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tc>
      </w:tr>
      <w:tr w:rsidR="00BD3831" w:rsidRPr="001F2068" w14:paraId="294DEF40" w14:textId="77777777" w:rsidTr="00DF6715">
        <w:trPr>
          <w:cantSplit/>
          <w:trHeight w:val="4053"/>
        </w:trPr>
        <w:tc>
          <w:tcPr>
            <w:tcW w:w="997" w:type="pct"/>
            <w:shd w:val="clear" w:color="auto" w:fill="auto"/>
            <w:tcMar>
              <w:left w:w="58" w:type="dxa"/>
              <w:right w:w="58" w:type="dxa"/>
            </w:tcMar>
          </w:tcPr>
          <w:p w14:paraId="24D22253"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lastRenderedPageBreak/>
              <w:t>عدد زيارات المحتوى الإخباري والفيديو والصور على موقع الويبو</w:t>
            </w:r>
          </w:p>
        </w:tc>
        <w:tc>
          <w:tcPr>
            <w:tcW w:w="1303" w:type="pct"/>
            <w:shd w:val="clear" w:color="auto" w:fill="auto"/>
            <w:tcMar>
              <w:left w:w="58" w:type="dxa"/>
              <w:right w:w="58" w:type="dxa"/>
            </w:tcMar>
          </w:tcPr>
          <w:p w14:paraId="2C7B9874" w14:textId="77777777" w:rsidR="00BD3831" w:rsidRDefault="00BD3831" w:rsidP="0031289D">
            <w:pPr>
              <w:bidi/>
              <w:spacing w:after="120" w:line="280" w:lineRule="exact"/>
              <w:rPr>
                <w:rFonts w:ascii="Arabic Typesetting" w:eastAsia="Arabic Typesetting" w:hAnsi="Arabic Typesetting" w:cs="Arabic Typesetting"/>
                <w:i/>
                <w:iCs/>
                <w:color w:val="002060"/>
                <w:sz w:val="28"/>
                <w:szCs w:val="28"/>
                <w:rtl/>
                <w:lang w:eastAsia="ar-EG" w:bidi="ar-EG"/>
              </w:rPr>
            </w:pPr>
            <w:r w:rsidRPr="001F2068">
              <w:rPr>
                <w:rFonts w:ascii="Arabic Typesetting" w:eastAsia="Arabic Typesetting" w:hAnsi="Arabic Typesetting" w:cs="Arabic Typesetting"/>
                <w:i/>
                <w:iCs/>
                <w:color w:val="002060"/>
                <w:sz w:val="28"/>
                <w:szCs w:val="28"/>
                <w:rtl/>
                <w:lang w:eastAsia="ar-EG" w:bidi="ar-EG"/>
              </w:rPr>
              <w:t>أساس المقارنة المُحدَّث في نهاية 2015:</w:t>
            </w:r>
          </w:p>
          <w:p w14:paraId="1C946CDD" w14:textId="77777777" w:rsidR="00BD3831" w:rsidRPr="001F2068"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color w:val="002060"/>
                <w:sz w:val="28"/>
                <w:szCs w:val="28"/>
                <w:rtl/>
                <w:lang w:eastAsia="ar-EG" w:bidi="ar-EG"/>
              </w:rPr>
              <w:t>"1" 120 503 مشاهدة فريدة لمحتوى موقع المركز الإعلامي (بكل</w:t>
            </w:r>
            <w:r>
              <w:rPr>
                <w:rFonts w:ascii="Arabic Typesetting" w:eastAsia="Arabic Typesetting" w:hAnsi="Arabic Typesetting" w:cs="Arabic Typesetting" w:hint="cs"/>
                <w:color w:val="002060"/>
                <w:sz w:val="28"/>
                <w:szCs w:val="28"/>
                <w:rtl/>
                <w:lang w:eastAsia="ar-EG" w:bidi="ar-EG"/>
              </w:rPr>
              <w:t> </w:t>
            </w:r>
            <w:r w:rsidRPr="001F2068">
              <w:rPr>
                <w:rFonts w:ascii="Arabic Typesetting" w:eastAsia="Arabic Typesetting" w:hAnsi="Arabic Typesetting" w:cs="Arabic Typesetting"/>
                <w:color w:val="002060"/>
                <w:sz w:val="28"/>
                <w:szCs w:val="28"/>
                <w:rtl/>
                <w:lang w:eastAsia="ar-EG" w:bidi="ar-EG"/>
              </w:rPr>
              <w:t>اللغات) في 2014/15</w:t>
            </w:r>
          </w:p>
          <w:p w14:paraId="05212225" w14:textId="77777777" w:rsidR="00BD3831" w:rsidRPr="001F2068"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color w:val="002060"/>
                <w:sz w:val="28"/>
                <w:szCs w:val="28"/>
                <w:rtl/>
                <w:lang w:eastAsia="ar-EG" w:bidi="ar-EG"/>
              </w:rPr>
              <w:t>"2" 360 473 مشاهدة لقناة الويبو على موقع اليوتيوب في 2014/15 (باستثناء مرحلة ما قبل المدرسة)</w:t>
            </w:r>
          </w:p>
          <w:p w14:paraId="6327A055"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color w:val="002060"/>
                <w:sz w:val="28"/>
                <w:szCs w:val="28"/>
                <w:rtl/>
                <w:lang w:eastAsia="ar-EG" w:bidi="ar-EG"/>
              </w:rPr>
              <w:t>"3" 2.54 مليون مشاهدة للصور على موقع فليكر في 2014/15 (3.44</w:t>
            </w:r>
            <w:r>
              <w:rPr>
                <w:rFonts w:ascii="Arabic Typesetting" w:eastAsia="Arabic Typesetting" w:hAnsi="Arabic Typesetting" w:cs="Arabic Typesetting" w:hint="cs"/>
                <w:color w:val="002060"/>
                <w:sz w:val="28"/>
                <w:szCs w:val="28"/>
                <w:rtl/>
                <w:lang w:eastAsia="ar-EG" w:bidi="ar-EG"/>
              </w:rPr>
              <w:t> </w:t>
            </w:r>
            <w:r w:rsidRPr="001F2068">
              <w:rPr>
                <w:rFonts w:ascii="Arabic Typesetting" w:eastAsia="Arabic Typesetting" w:hAnsi="Arabic Typesetting" w:cs="Arabic Typesetting"/>
                <w:color w:val="002060"/>
                <w:sz w:val="28"/>
                <w:szCs w:val="28"/>
                <w:rtl/>
                <w:lang w:eastAsia="ar-EG" w:bidi="ar-EG"/>
              </w:rPr>
              <w:t>مليون مشاهدة إجمالية في</w:t>
            </w:r>
            <w:r>
              <w:rPr>
                <w:rFonts w:ascii="Arabic Typesetting" w:eastAsia="Arabic Typesetting" w:hAnsi="Arabic Typesetting" w:cs="Arabic Typesetting" w:hint="cs"/>
                <w:color w:val="002060"/>
                <w:sz w:val="28"/>
                <w:szCs w:val="28"/>
                <w:rtl/>
                <w:lang w:eastAsia="ar-EG" w:bidi="ar-EG"/>
              </w:rPr>
              <w:t> </w:t>
            </w:r>
            <w:r w:rsidRPr="001F2068">
              <w:rPr>
                <w:rFonts w:ascii="Arabic Typesetting" w:eastAsia="Arabic Typesetting" w:hAnsi="Arabic Typesetting" w:cs="Arabic Typesetting"/>
                <w:color w:val="002060"/>
                <w:sz w:val="28"/>
                <w:szCs w:val="28"/>
                <w:rtl/>
                <w:lang w:eastAsia="ar-EG" w:bidi="ar-EG"/>
              </w:rPr>
              <w:t>نهاية</w:t>
            </w:r>
            <w:r>
              <w:rPr>
                <w:rFonts w:ascii="Arabic Typesetting" w:eastAsia="Arabic Typesetting" w:hAnsi="Arabic Typesetting" w:cs="Arabic Typesetting" w:hint="cs"/>
                <w:color w:val="002060"/>
                <w:sz w:val="28"/>
                <w:szCs w:val="28"/>
                <w:rtl/>
                <w:lang w:eastAsia="ar-EG" w:bidi="ar-EG"/>
              </w:rPr>
              <w:t> </w:t>
            </w:r>
            <w:r w:rsidRPr="001F2068">
              <w:rPr>
                <w:rFonts w:ascii="Arabic Typesetting" w:eastAsia="Arabic Typesetting" w:hAnsi="Arabic Typesetting" w:cs="Arabic Typesetting"/>
                <w:color w:val="002060"/>
                <w:sz w:val="28"/>
                <w:szCs w:val="28"/>
                <w:rtl/>
                <w:lang w:eastAsia="ar-EG" w:bidi="ar-EG"/>
              </w:rPr>
              <w:t>2015)</w:t>
            </w:r>
          </w:p>
          <w:p w14:paraId="023ED43E"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1F2068">
              <w:rPr>
                <w:rFonts w:ascii="Arabic Typesetting" w:eastAsia="Arabic Typesetting" w:hAnsi="Arabic Typesetting" w:cs="Arabic Typesetting"/>
                <w:i/>
                <w:iCs/>
                <w:sz w:val="28"/>
                <w:szCs w:val="28"/>
                <w:rtl/>
                <w:lang w:eastAsia="ar-EG" w:bidi="ar-EG"/>
              </w:rPr>
              <w:t>:</w:t>
            </w:r>
            <w:r w:rsidRPr="001F2068">
              <w:rPr>
                <w:rFonts w:ascii="Arabic Typesetting" w:eastAsia="Arabic Typesetting" w:hAnsi="Arabic Typesetting" w:cs="Arabic Typesetting"/>
                <w:i/>
                <w:sz w:val="28"/>
                <w:szCs w:val="28"/>
                <w:lang w:eastAsia="ar-EG" w:bidi="ar-EG"/>
              </w:rPr>
              <w:br/>
            </w:r>
            <w:r w:rsidRPr="001F206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‏"1"</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000 250 مشاهدة فريدة لمحتوى موقع المركز الإعلامي (بكل اللغات) في 2014</w:t>
            </w:r>
            <w:r w:rsidRPr="001F2068">
              <w:rPr>
                <w:rFonts w:ascii="Arabic Typesetting" w:eastAsia="Arabic Typesetting" w:hAnsi="Arabic Typesetting" w:cs="Arabic Typesetting"/>
                <w:color w:val="000000"/>
                <w:sz w:val="28"/>
                <w:szCs w:val="28"/>
                <w:lang w:eastAsia="ar-EG" w:bidi="ar-EG"/>
              </w:rPr>
              <w:br/>
            </w:r>
            <w:r w:rsidRPr="001F2068">
              <w:rPr>
                <w:rFonts w:ascii="Arabic Typesetting" w:eastAsia="Arabic Typesetting" w:hAnsi="Arabic Typesetting" w:cs="Arabic Typesetting"/>
                <w:color w:val="000000"/>
                <w:sz w:val="28"/>
                <w:szCs w:val="28"/>
                <w:rtl/>
                <w:lang w:eastAsia="ar-EG" w:bidi="ar-EG"/>
              </w:rPr>
              <w:t>"2"</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180 467 مشاهدة لقناة الويبو على موقع اليوتيوب في</w:t>
            </w:r>
            <w:r>
              <w:rPr>
                <w:rFonts w:ascii="Arabic Typesetting" w:eastAsia="Arabic Typesetting" w:hAnsi="Arabic Typesetting" w:cs="Arabic Typesetting" w:hint="cs"/>
                <w:color w:val="000000"/>
                <w:sz w:val="28"/>
                <w:szCs w:val="28"/>
                <w:rtl/>
                <w:lang w:eastAsia="ar-EG" w:bidi="ar-EG"/>
              </w:rPr>
              <w:t> </w:t>
            </w:r>
            <w:r w:rsidRPr="001F2068">
              <w:rPr>
                <w:rFonts w:ascii="Arabic Typesetting" w:eastAsia="Arabic Typesetting" w:hAnsi="Arabic Typesetting" w:cs="Arabic Typesetting"/>
                <w:color w:val="000000"/>
                <w:sz w:val="28"/>
                <w:szCs w:val="28"/>
                <w:rtl/>
                <w:lang w:eastAsia="ar-EG" w:bidi="ar-EG"/>
              </w:rPr>
              <w:t>2013/14 (باستثناء مرحلة ما قبل</w:t>
            </w:r>
            <w:r>
              <w:rPr>
                <w:rFonts w:ascii="Arabic Typesetting" w:eastAsia="Arabic Typesetting" w:hAnsi="Arabic Typesetting" w:cs="Arabic Typesetting" w:hint="cs"/>
                <w:color w:val="000000"/>
                <w:sz w:val="28"/>
                <w:szCs w:val="28"/>
                <w:rtl/>
                <w:lang w:eastAsia="ar-EG" w:bidi="ar-EG"/>
              </w:rPr>
              <w:t> </w:t>
            </w:r>
            <w:r w:rsidRPr="001F2068">
              <w:rPr>
                <w:rFonts w:ascii="Arabic Typesetting" w:eastAsia="Arabic Typesetting" w:hAnsi="Arabic Typesetting" w:cs="Arabic Typesetting"/>
                <w:color w:val="000000"/>
                <w:sz w:val="28"/>
                <w:szCs w:val="28"/>
                <w:rtl/>
                <w:lang w:eastAsia="ar-EG" w:bidi="ar-EG"/>
              </w:rPr>
              <w:t>المدرسة)</w:t>
            </w:r>
            <w:r w:rsidRPr="001F2068">
              <w:rPr>
                <w:rFonts w:ascii="Arabic Typesetting" w:eastAsia="Arabic Typesetting" w:hAnsi="Arabic Typesetting" w:cs="Arabic Typesetting"/>
                <w:color w:val="000000"/>
                <w:sz w:val="28"/>
                <w:szCs w:val="28"/>
                <w:lang w:eastAsia="ar-EG" w:bidi="ar-EG"/>
              </w:rPr>
              <w:br/>
            </w:r>
            <w:r w:rsidRPr="001F2068">
              <w:rPr>
                <w:rFonts w:ascii="Arabic Typesetting" w:eastAsia="Arabic Typesetting" w:hAnsi="Arabic Typesetting" w:cs="Arabic Typesetting"/>
                <w:color w:val="000000"/>
                <w:sz w:val="28"/>
                <w:szCs w:val="28"/>
                <w:rtl/>
                <w:lang w:eastAsia="ar-EG" w:bidi="ar-EG"/>
              </w:rPr>
              <w:t>"3"</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0000"/>
                <w:sz w:val="28"/>
                <w:szCs w:val="28"/>
                <w:rtl/>
                <w:lang w:eastAsia="ar-EG" w:bidi="ar-EG"/>
              </w:rPr>
              <w:t>1.44 مليون مشاهدة إضافية للصور على موقع فليكر في 2014 (المشاهدات الإجمالية في نهاية 2014</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2.41 مليون)</w:t>
            </w:r>
          </w:p>
        </w:tc>
        <w:tc>
          <w:tcPr>
            <w:tcW w:w="868" w:type="pct"/>
            <w:shd w:val="clear" w:color="auto" w:fill="auto"/>
            <w:tcMar>
              <w:top w:w="110" w:type="dxa"/>
              <w:left w:w="58" w:type="dxa"/>
              <w:right w:w="58" w:type="dxa"/>
            </w:tcMar>
          </w:tcPr>
          <w:p w14:paraId="3F610F90"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"1"</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زيادة بنسبة 10% في عدد المشاهدات الفريدة لمحتوى موقع المركز الإعلامي</w:t>
            </w:r>
            <w:r w:rsidRPr="001F2068">
              <w:rPr>
                <w:rFonts w:ascii="Arabic Typesetting" w:eastAsia="Arabic Typesetting" w:hAnsi="Arabic Typesetting" w:cs="Arabic Typesetting"/>
                <w:color w:val="000000"/>
                <w:sz w:val="28"/>
                <w:szCs w:val="28"/>
                <w:lang w:eastAsia="ar-EG" w:bidi="ar-EG"/>
              </w:rPr>
              <w:br/>
            </w:r>
            <w:r w:rsidRPr="001F2068">
              <w:rPr>
                <w:rFonts w:ascii="Arabic Typesetting" w:eastAsia="Arabic Typesetting" w:hAnsi="Arabic Typesetting" w:cs="Arabic Typesetting"/>
                <w:color w:val="000000"/>
                <w:sz w:val="28"/>
                <w:szCs w:val="28"/>
                <w:rtl/>
                <w:lang w:eastAsia="ar-EG" w:bidi="ar-EG"/>
              </w:rPr>
              <w:t>"2"</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زيادة بنسبة 10% في إجمالي عدد مشاهدات الفيديوهات المنشورة على قناة الويبو باليوتيوب (باستثناء مرحلة ما قبل</w:t>
            </w:r>
            <w:r>
              <w:rPr>
                <w:rFonts w:ascii="Arabic Typesetting" w:eastAsia="Arabic Typesetting" w:hAnsi="Arabic Typesetting" w:cs="Arabic Typesetting" w:hint="cs"/>
                <w:color w:val="000000"/>
                <w:sz w:val="28"/>
                <w:szCs w:val="28"/>
                <w:rtl/>
                <w:lang w:eastAsia="ar-EG" w:bidi="ar-EG"/>
              </w:rPr>
              <w:t> </w:t>
            </w:r>
            <w:r w:rsidRPr="001F2068">
              <w:rPr>
                <w:rFonts w:ascii="Arabic Typesetting" w:eastAsia="Arabic Typesetting" w:hAnsi="Arabic Typesetting" w:cs="Arabic Typesetting"/>
                <w:color w:val="000000"/>
                <w:sz w:val="28"/>
                <w:szCs w:val="28"/>
                <w:rtl/>
                <w:lang w:eastAsia="ar-EG" w:bidi="ar-EG"/>
              </w:rPr>
              <w:t>المدرسة)</w:t>
            </w:r>
            <w:r w:rsidRPr="001F2068">
              <w:rPr>
                <w:rFonts w:ascii="Arabic Typesetting" w:eastAsia="Arabic Typesetting" w:hAnsi="Arabic Typesetting" w:cs="Arabic Typesetting"/>
                <w:color w:val="000000"/>
                <w:sz w:val="28"/>
                <w:szCs w:val="28"/>
                <w:lang w:eastAsia="ar-EG" w:bidi="ar-EG"/>
              </w:rPr>
              <w:br/>
            </w:r>
            <w:r w:rsidRPr="001F2068">
              <w:rPr>
                <w:rFonts w:ascii="Arabic Typesetting" w:eastAsia="Arabic Typesetting" w:hAnsi="Arabic Typesetting" w:cs="Arabic Typesetting"/>
                <w:color w:val="000000"/>
                <w:sz w:val="28"/>
                <w:szCs w:val="28"/>
                <w:rtl/>
                <w:lang w:eastAsia="ar-EG" w:bidi="ar-EG"/>
              </w:rPr>
              <w:t>"3"</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2.5 مليون مشاهدة للصور على موقع فليكر في 2016/17 (أي 5.94 مليون مشاهدة إجمالية في نهاية</w:t>
            </w:r>
            <w:r>
              <w:rPr>
                <w:rFonts w:ascii="Arabic Typesetting" w:eastAsia="Arabic Typesetting" w:hAnsi="Arabic Typesetting" w:cs="Arabic Typesetting" w:hint="cs"/>
                <w:color w:val="000000"/>
                <w:sz w:val="28"/>
                <w:szCs w:val="28"/>
                <w:rtl/>
                <w:lang w:eastAsia="ar-EG" w:bidi="ar-EG"/>
              </w:rPr>
              <w:t> </w:t>
            </w:r>
            <w:r w:rsidRPr="001F2068">
              <w:rPr>
                <w:rFonts w:ascii="Arabic Typesetting" w:eastAsia="Arabic Typesetting" w:hAnsi="Arabic Typesetting" w:cs="Arabic Typesetting"/>
                <w:color w:val="000000"/>
                <w:sz w:val="28"/>
                <w:szCs w:val="28"/>
                <w:rtl/>
                <w:lang w:eastAsia="ar-EG" w:bidi="ar-EG"/>
              </w:rPr>
              <w:t>2017)</w:t>
            </w:r>
          </w:p>
        </w:tc>
        <w:tc>
          <w:tcPr>
            <w:tcW w:w="1157" w:type="pct"/>
            <w:shd w:val="clear" w:color="auto" w:fill="FFFFFF"/>
            <w:tcMar>
              <w:top w:w="110" w:type="dxa"/>
              <w:left w:w="58" w:type="dxa"/>
              <w:right w:w="58" w:type="dxa"/>
            </w:tcMar>
          </w:tcPr>
          <w:p w14:paraId="099ED445" w14:textId="77777777" w:rsidR="00BD383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sz w:val="28"/>
                <w:szCs w:val="28"/>
                <w:rtl/>
                <w:lang w:eastAsia="ar-EG" w:bidi="ar-EG"/>
              </w:rPr>
              <w:t>"1" 959 309 مشاهدة فريدة لمحتوى موقع المركز الإعلامي (بكل</w:t>
            </w:r>
            <w:r>
              <w:rPr>
                <w:rFonts w:ascii="Arabic Typesetting" w:eastAsia="Arabic Typesetting" w:hAnsi="Arabic Typesetting" w:cs="Arabic Typesetting" w:hint="cs"/>
                <w:sz w:val="28"/>
                <w:szCs w:val="28"/>
                <w:rtl/>
                <w:lang w:eastAsia="ar-EG" w:bidi="ar-EG"/>
              </w:rPr>
              <w:t> </w:t>
            </w:r>
            <w:r w:rsidRPr="001F2068">
              <w:rPr>
                <w:rFonts w:ascii="Arabic Typesetting" w:eastAsia="Arabic Typesetting" w:hAnsi="Arabic Typesetting" w:cs="Arabic Typesetting"/>
                <w:sz w:val="28"/>
                <w:szCs w:val="28"/>
                <w:rtl/>
                <w:lang w:eastAsia="ar-EG" w:bidi="ar-EG"/>
              </w:rPr>
              <w:t>اللغات)</w:t>
            </w:r>
            <w:r w:rsidRPr="001F2068">
              <w:rPr>
                <w:rFonts w:ascii="Arabic Typesetting" w:eastAsia="Arabic Typesetting" w:hAnsi="Arabic Typesetting" w:cs="Arabic Typesetting"/>
                <w:color w:val="000000"/>
                <w:sz w:val="28"/>
                <w:szCs w:val="28"/>
                <w:rtl/>
                <w:lang w:eastAsia="ar-EG" w:bidi="ar-EG"/>
              </w:rPr>
              <w:t xml:space="preserve"> </w:t>
            </w:r>
          </w:p>
          <w:p w14:paraId="2D421417"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sz w:val="28"/>
                <w:szCs w:val="28"/>
                <w:rtl/>
                <w:lang w:eastAsia="ar-EG" w:bidi="ar-EG"/>
              </w:rPr>
              <w:t>"2"</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sz w:val="28"/>
                <w:szCs w:val="28"/>
                <w:rtl/>
                <w:lang w:eastAsia="ar-EG" w:bidi="ar-EG"/>
              </w:rPr>
              <w:t>734 238 مشاهدة لقناة الويبو على اليوتيوب (باستثناء</w:t>
            </w:r>
            <w:r>
              <w:rPr>
                <w:rFonts w:ascii="Arabic Typesetting" w:eastAsia="Arabic Typesetting" w:hAnsi="Arabic Typesetting" w:cs="Arabic Typesetting" w:hint="cs"/>
                <w:sz w:val="28"/>
                <w:szCs w:val="28"/>
                <w:rtl/>
                <w:lang w:eastAsia="ar-EG" w:bidi="ar-EG"/>
              </w:rPr>
              <w:t> </w:t>
            </w:r>
            <w:r w:rsidRPr="001F2068">
              <w:rPr>
                <w:rFonts w:ascii="Arabic Typesetting" w:eastAsia="Arabic Typesetting" w:hAnsi="Arabic Typesetting" w:cs="Arabic Typesetting"/>
                <w:sz w:val="28"/>
                <w:szCs w:val="28"/>
                <w:rtl/>
                <w:lang w:eastAsia="ar-EG" w:bidi="ar-EG"/>
              </w:rPr>
              <w:t>مرحلة ما قبل المدرسة)</w:t>
            </w:r>
            <w:r w:rsidRPr="001F2068">
              <w:rPr>
                <w:rFonts w:ascii="Arabic Typesetting" w:eastAsia="Arabic Typesetting" w:hAnsi="Arabic Typesetting" w:cs="Arabic Typesetting"/>
                <w:color w:val="000000"/>
                <w:sz w:val="28"/>
                <w:szCs w:val="28"/>
                <w:rtl/>
                <w:lang w:eastAsia="ar-EG" w:bidi="ar-EG"/>
              </w:rPr>
              <w:t xml:space="preserve"> </w:t>
            </w:r>
          </w:p>
          <w:p w14:paraId="147E32EC" w14:textId="01C35226" w:rsidR="00BD3831" w:rsidRPr="001F2068" w:rsidRDefault="00BD3831" w:rsidP="00E91832">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"3"</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855 284 1 مشاهدة للصور على موقع فليكر (</w:t>
            </w:r>
            <w:r w:rsidR="00E91832">
              <w:rPr>
                <w:rFonts w:ascii="Arabic Typesetting" w:eastAsia="Arabic Typesetting" w:hAnsi="Arabic Typesetting" w:cs="Arabic Typesetting" w:hint="cs"/>
                <w:color w:val="000000"/>
                <w:sz w:val="28"/>
                <w:szCs w:val="28"/>
                <w:rtl/>
                <w:lang w:eastAsia="ar-EG" w:bidi="ar-EG"/>
              </w:rPr>
              <w:t>055</w:t>
            </w:r>
            <w:r w:rsidR="00E91832">
              <w:rPr>
                <w:rFonts w:ascii="Arabic Typesetting" w:eastAsia="Arabic Typesetting" w:hAnsi="Arabic Typesetting" w:cs="Arabic Typesetting" w:hint="eastAsia"/>
                <w:color w:val="000000"/>
                <w:sz w:val="28"/>
                <w:szCs w:val="28"/>
                <w:rtl/>
                <w:lang w:eastAsia="ar-EG" w:bidi="ar-EG"/>
              </w:rPr>
              <w:t> </w:t>
            </w:r>
            <w:r w:rsidR="00E91832">
              <w:rPr>
                <w:rFonts w:ascii="Arabic Typesetting" w:eastAsia="Arabic Typesetting" w:hAnsi="Arabic Typesetting" w:cs="Arabic Typesetting" w:hint="cs"/>
                <w:color w:val="000000"/>
                <w:sz w:val="28"/>
                <w:szCs w:val="28"/>
                <w:rtl/>
                <w:lang w:eastAsia="ar-EG" w:bidi="ar-EG"/>
              </w:rPr>
              <w:t>646</w:t>
            </w:r>
            <w:r w:rsidR="00E91832">
              <w:rPr>
                <w:rFonts w:ascii="Arabic Typesetting" w:eastAsia="Arabic Typesetting" w:hAnsi="Arabic Typesetting" w:cs="Arabic Typesetting" w:hint="eastAsia"/>
                <w:color w:val="000000"/>
                <w:sz w:val="28"/>
                <w:szCs w:val="28"/>
                <w:rtl/>
                <w:lang w:eastAsia="ar-EG" w:bidi="ar-EG"/>
              </w:rPr>
              <w:t> </w:t>
            </w:r>
            <w:r w:rsidR="00E91832">
              <w:rPr>
                <w:rFonts w:ascii="Arabic Typesetting" w:eastAsia="Arabic Typesetting" w:hAnsi="Arabic Typesetting" w:cs="Arabic Typesetting" w:hint="cs"/>
                <w:color w:val="000000"/>
                <w:sz w:val="28"/>
                <w:szCs w:val="28"/>
                <w:rtl/>
                <w:lang w:eastAsia="ar-EG" w:bidi="ar-EG"/>
              </w:rPr>
              <w:t>4</w:t>
            </w:r>
            <w:r w:rsidRPr="001F2068">
              <w:rPr>
                <w:rFonts w:ascii="Arabic Typesetting" w:eastAsia="Arabic Typesetting" w:hAnsi="Arabic Typesetting" w:cs="Arabic Typesetting"/>
                <w:color w:val="000000"/>
                <w:sz w:val="28"/>
                <w:szCs w:val="28"/>
                <w:rtl/>
                <w:lang w:eastAsia="ar-EG" w:bidi="ar-EG"/>
              </w:rPr>
              <w:t xml:space="preserve"> مشاهدة إجمالية في نهاية 2016)</w:t>
            </w:r>
          </w:p>
        </w:tc>
        <w:tc>
          <w:tcPr>
            <w:tcW w:w="676" w:type="pct"/>
            <w:shd w:val="clear" w:color="auto" w:fill="auto"/>
            <w:tcMar>
              <w:top w:w="110" w:type="dxa"/>
              <w:left w:w="58" w:type="dxa"/>
              <w:right w:w="58" w:type="dxa"/>
            </w:tcMar>
          </w:tcPr>
          <w:p w14:paraId="48744B52" w14:textId="77777777" w:rsidR="00BD3831" w:rsidRPr="001F2068" w:rsidRDefault="00BD3831" w:rsidP="0031289D">
            <w:pPr>
              <w:keepNext/>
              <w:keepLines/>
              <w:bidi/>
              <w:spacing w:after="640" w:line="280" w:lineRule="exact"/>
              <w:jc w:val="center"/>
              <w:rPr>
                <w:rFonts w:ascii="Arabic Typesetting" w:eastAsia="Arabic Typesetting" w:hAnsi="Arabic Typesetting" w:cs="Arabic Typesetting"/>
                <w:b/>
                <w:bCs/>
                <w:color w:val="00B05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p w14:paraId="307A5C7C" w14:textId="77777777" w:rsidR="00BD3831" w:rsidRDefault="00BD3831" w:rsidP="0031289D">
            <w:pPr>
              <w:keepNext/>
              <w:keepLines/>
              <w:bidi/>
              <w:spacing w:after="760" w:line="280" w:lineRule="exact"/>
              <w:jc w:val="center"/>
              <w:rPr>
                <w:rFonts w:ascii="Arabic Typesetting" w:eastAsia="Arabic Typesetting" w:hAnsi="Arabic Typesetting" w:cs="Arabic Typesetting"/>
                <w:b/>
                <w:color w:val="00B05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p w14:paraId="613AD6C3"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tc>
      </w:tr>
      <w:tr w:rsidR="00BD3831" w:rsidRPr="001F2068" w14:paraId="265FBEC5" w14:textId="77777777" w:rsidTr="00DF6715">
        <w:trPr>
          <w:cantSplit/>
          <w:trHeight w:val="1213"/>
        </w:trPr>
        <w:tc>
          <w:tcPr>
            <w:tcW w:w="997" w:type="pct"/>
            <w:shd w:val="clear" w:color="auto" w:fill="auto"/>
            <w:tcMar>
              <w:left w:w="58" w:type="dxa"/>
              <w:right w:w="58" w:type="dxa"/>
            </w:tcMar>
          </w:tcPr>
          <w:p w14:paraId="2DE0401F"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عدد أقل من المستخدمين الذين يغادرون موقع الويبو الإلكتروني مباشرةً من صفحة الدخول وصفحات البوابة الرئيسية</w:t>
            </w:r>
          </w:p>
        </w:tc>
        <w:tc>
          <w:tcPr>
            <w:tcW w:w="1303" w:type="pct"/>
            <w:shd w:val="clear" w:color="auto" w:fill="auto"/>
            <w:tcMar>
              <w:left w:w="58" w:type="dxa"/>
              <w:right w:w="58" w:type="dxa"/>
            </w:tcMar>
          </w:tcPr>
          <w:p w14:paraId="0F089EE3"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"1"</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2060"/>
                <w:sz w:val="28"/>
                <w:szCs w:val="28"/>
                <w:rtl/>
                <w:lang w:eastAsia="ar-EG" w:bidi="ar-EG"/>
              </w:rPr>
              <w:t>معدل الارتداد من البوابة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Pr>
                <w:rFonts w:ascii="Arabic Typesetting" w:eastAsia="Arabic Typesetting" w:hAnsi="Arabic Typesetting" w:cs="Arabic Typesetting"/>
                <w:color w:val="002060"/>
                <w:sz w:val="28"/>
                <w:szCs w:val="28"/>
                <w:rtl/>
                <w:lang w:eastAsia="ar-EG" w:bidi="ar-EG"/>
              </w:rPr>
              <w:t>29.8%</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"2"</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2060"/>
                <w:sz w:val="28"/>
                <w:szCs w:val="28"/>
                <w:rtl/>
                <w:lang w:eastAsia="ar-EG" w:bidi="ar-EG"/>
              </w:rPr>
              <w:t>معدلات الخروج من صفحات "البوابة" (بالإنكليزية)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 خدمات الملكية الفكرية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1F2068">
              <w:rPr>
                <w:rFonts w:ascii="Arabic Typesetting" w:eastAsia="Arabic Typesetting" w:hAnsi="Arabic Typesetting" w:cs="Arabic Typesetting"/>
                <w:color w:val="002060"/>
                <w:sz w:val="28"/>
                <w:szCs w:val="28"/>
                <w:rtl/>
                <w:lang w:eastAsia="ar-EG" w:bidi="ar-EG"/>
              </w:rPr>
              <w:t>16.6%</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 سياسة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1F2068">
              <w:rPr>
                <w:rFonts w:ascii="Arabic Typesetting" w:eastAsia="Arabic Typesetting" w:hAnsi="Arabic Typesetting" w:cs="Arabic Typesetting"/>
                <w:color w:val="002060"/>
                <w:sz w:val="28"/>
                <w:szCs w:val="28"/>
                <w:rtl/>
                <w:lang w:eastAsia="ar-EG" w:bidi="ar-EG"/>
              </w:rPr>
              <w:t>27.2%</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 التعاون</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1F2068">
              <w:rPr>
                <w:rFonts w:ascii="Arabic Typesetting" w:eastAsia="Arabic Typesetting" w:hAnsi="Arabic Typesetting" w:cs="Arabic Typesetting"/>
                <w:color w:val="002060"/>
                <w:sz w:val="28"/>
                <w:szCs w:val="28"/>
                <w:rtl/>
                <w:lang w:eastAsia="ar-EG" w:bidi="ar-EG"/>
              </w:rPr>
              <w:t>20.1%</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 مراجع</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1F2068">
              <w:rPr>
                <w:rFonts w:ascii="Arabic Typesetting" w:eastAsia="Arabic Typesetting" w:hAnsi="Arabic Typesetting" w:cs="Arabic Typesetting"/>
                <w:color w:val="002060"/>
                <w:sz w:val="28"/>
                <w:szCs w:val="28"/>
                <w:rtl/>
                <w:lang w:eastAsia="ar-EG" w:bidi="ar-EG"/>
              </w:rPr>
              <w:t>29.1%</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 ‏عن الملكية الفكرية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1F2068">
              <w:rPr>
                <w:rFonts w:ascii="Arabic Typesetting" w:eastAsia="Arabic Typesetting" w:hAnsi="Arabic Typesetting" w:cs="Arabic Typesetting"/>
                <w:color w:val="002060"/>
                <w:sz w:val="28"/>
                <w:szCs w:val="28"/>
                <w:rtl/>
                <w:lang w:eastAsia="ar-EG" w:bidi="ar-EG"/>
              </w:rPr>
              <w:t>59.9%</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 داخل الويبو</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1F2068">
              <w:rPr>
                <w:rFonts w:ascii="Arabic Typesetting" w:eastAsia="Arabic Typesetting" w:hAnsi="Arabic Typesetting" w:cs="Arabic Typesetting"/>
                <w:color w:val="002060"/>
                <w:sz w:val="28"/>
                <w:szCs w:val="28"/>
                <w:rtl/>
                <w:lang w:eastAsia="ar-EG" w:bidi="ar-EG"/>
              </w:rPr>
              <w:t>26.1%</w:t>
            </w:r>
          </w:p>
          <w:p w14:paraId="58C411BA"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1F2068">
              <w:rPr>
                <w:rFonts w:ascii="Arabic Typesetting" w:eastAsia="Arabic Typesetting" w:hAnsi="Arabic Typesetting" w:cs="Arabic Typesetting"/>
                <w:i/>
                <w:iCs/>
                <w:sz w:val="28"/>
                <w:szCs w:val="28"/>
                <w:rtl/>
                <w:lang w:eastAsia="ar-EG" w:bidi="ar-EG"/>
              </w:rPr>
              <w:t>:</w:t>
            </w:r>
            <w:r w:rsidRPr="001F2068">
              <w:rPr>
                <w:rFonts w:ascii="Arabic Typesetting" w:eastAsia="Arabic Typesetting" w:hAnsi="Arabic Typesetting" w:cs="Arabic Typesetting"/>
                <w:i/>
                <w:sz w:val="28"/>
                <w:szCs w:val="28"/>
                <w:lang w:eastAsia="ar-EG" w:bidi="ar-EG"/>
              </w:rPr>
              <w:br/>
            </w:r>
            <w:r w:rsidRPr="001F206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"1"</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معدل الارتداد من البوابة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25.1%</w:t>
            </w:r>
            <w:r>
              <w:rPr>
                <w:rFonts w:ascii="Arabic Typesetting" w:eastAsia="Arabic Typesetting" w:hAnsi="Arabic Typesetting" w:cs="Arabic Typesetting"/>
                <w:color w:val="000000"/>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"2"</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معدلات الخروج من صفحات "البوابة"</w:t>
            </w:r>
            <w:r>
              <w:rPr>
                <w:rFonts w:ascii="Arabic Typesetting" w:eastAsia="Arabic Typesetting" w:hAnsi="Arabic Typesetting" w:cs="Arabic Typesetting" w:hint="cs"/>
                <w:color w:val="000000"/>
                <w:sz w:val="28"/>
                <w:szCs w:val="28"/>
                <w:rtl/>
                <w:lang w:eastAsia="ar-EG" w:bidi="ar-EG"/>
              </w:rPr>
              <w:t>:</w:t>
            </w:r>
          </w:p>
          <w:p w14:paraId="74E8ED4D"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خدمات الملكية الفكرية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rtl/>
                <w:lang w:eastAsia="ar-EG" w:bidi="ar-EG"/>
              </w:rPr>
              <w:t>13%</w:t>
            </w:r>
            <w:r>
              <w:rPr>
                <w:rFonts w:ascii="Arabic Typesetting" w:eastAsia="Arabic Typesetting" w:hAnsi="Arabic Typesetting" w:cs="Arabic Typesetting" w:hint="cs"/>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سياسة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rtl/>
                <w:lang w:eastAsia="ar-EG" w:bidi="ar-EG"/>
              </w:rPr>
              <w:t>16.9%؛</w:t>
            </w:r>
            <w:r>
              <w:rPr>
                <w:rFonts w:ascii="Arabic Typesetting" w:eastAsia="Arabic Typesetting" w:hAnsi="Arabic Typesetting" w:cs="Arabic Typesetting"/>
                <w:color w:val="000000"/>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التعاون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rtl/>
                <w:lang w:eastAsia="ar-EG" w:bidi="ar-EG"/>
              </w:rPr>
              <w:t>15.3%؛</w:t>
            </w:r>
            <w:r>
              <w:rPr>
                <w:rFonts w:ascii="Arabic Typesetting" w:eastAsia="Arabic Typesetting" w:hAnsi="Arabic Typesetting" w:cs="Arabic Typesetting"/>
                <w:color w:val="000000"/>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مراجع</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rtl/>
                <w:lang w:eastAsia="ar-EG" w:bidi="ar-EG"/>
              </w:rPr>
              <w:t>19.1%؛</w:t>
            </w:r>
            <w:r>
              <w:rPr>
                <w:rFonts w:ascii="Arabic Typesetting" w:eastAsia="Arabic Typesetting" w:hAnsi="Arabic Typesetting" w:cs="Arabic Typesetting"/>
                <w:color w:val="000000"/>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عن الملكية الفكرية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rtl/>
                <w:lang w:eastAsia="ar-EG" w:bidi="ar-EG"/>
              </w:rPr>
              <w:t>55.1%؛</w:t>
            </w:r>
            <w:r>
              <w:rPr>
                <w:rFonts w:ascii="Arabic Typesetting" w:eastAsia="Arabic Typesetting" w:hAnsi="Arabic Typesetting" w:cs="Arabic Typesetting"/>
                <w:color w:val="000000"/>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داخل الويبو</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23.5%</w:t>
            </w:r>
          </w:p>
        </w:tc>
        <w:tc>
          <w:tcPr>
            <w:tcW w:w="868" w:type="pct"/>
            <w:shd w:val="clear" w:color="auto" w:fill="auto"/>
            <w:tcMar>
              <w:top w:w="110" w:type="dxa"/>
              <w:left w:w="58" w:type="dxa"/>
              <w:right w:w="58" w:type="dxa"/>
            </w:tcMar>
          </w:tcPr>
          <w:p w14:paraId="26E48FEC"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"1"</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0000"/>
                <w:sz w:val="28"/>
                <w:szCs w:val="28"/>
                <w:rtl/>
                <w:lang w:eastAsia="ar-EG" w:bidi="ar-EG"/>
              </w:rPr>
              <w:t>است</w:t>
            </w:r>
            <w:r>
              <w:rPr>
                <w:rFonts w:ascii="Arabic Typesetting" w:eastAsia="Arabic Typesetting" w:hAnsi="Arabic Typesetting" w:cs="Arabic Typesetting"/>
                <w:color w:val="000000"/>
                <w:sz w:val="28"/>
                <w:szCs w:val="28"/>
                <w:rtl/>
                <w:lang w:eastAsia="ar-EG" w:bidi="ar-EG"/>
              </w:rPr>
              <w:t>قرار معدل الارتداد من البوابة؛</w:t>
            </w:r>
          </w:p>
          <w:p w14:paraId="29720868"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"2"</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0000"/>
                <w:sz w:val="28"/>
                <w:szCs w:val="28"/>
                <w:rtl/>
                <w:lang w:eastAsia="ar-EG" w:bidi="ar-EG"/>
              </w:rPr>
              <w:t>استقرار معدل الخروج من صفحة "البوابة" لكل من المجالات الست الرئيسية للموقع الإلكتروني (خدمات الملكية الفكرية، سياسة، التعاون، مرجع، عن الملكية الفكرية، داخل الويبو)</w:t>
            </w:r>
          </w:p>
        </w:tc>
        <w:tc>
          <w:tcPr>
            <w:tcW w:w="1157" w:type="pct"/>
            <w:shd w:val="clear" w:color="auto" w:fill="FFFFFF"/>
            <w:tcMar>
              <w:top w:w="110" w:type="dxa"/>
              <w:left w:w="58" w:type="dxa"/>
              <w:right w:w="58" w:type="dxa"/>
            </w:tcMar>
          </w:tcPr>
          <w:p w14:paraId="16B9560D" w14:textId="77777777" w:rsidR="00BD383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"1"</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0000"/>
                <w:sz w:val="28"/>
                <w:szCs w:val="28"/>
                <w:rtl/>
                <w:lang w:eastAsia="ar-EG" w:bidi="ar-EG"/>
              </w:rPr>
              <w:t>معدل الارتداد من البوابة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29.1% (بالإنكليزية)</w:t>
            </w:r>
          </w:p>
          <w:p w14:paraId="5F26E326"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"2"</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0000"/>
                <w:sz w:val="28"/>
                <w:szCs w:val="28"/>
                <w:rtl/>
                <w:lang w:eastAsia="ar-EG" w:bidi="ar-EG"/>
              </w:rPr>
              <w:t>معدلات الخروج من صفحات "البوابة" الرئيسية:</w:t>
            </w:r>
          </w:p>
          <w:p w14:paraId="71E50C02" w14:textId="77777777" w:rsidR="00BD3831" w:rsidRDefault="00BD3831" w:rsidP="0031289D">
            <w:pPr>
              <w:keepNext/>
              <w:keepLines/>
              <w:bidi/>
              <w:spacing w:after="120" w:line="280" w:lineRule="exact"/>
              <w:rPr>
                <w:rFonts w:ascii="Arabic Typesetting" w:eastAsia="Arabic Typesetting" w:hAnsi="Arabic Typesetting" w:cs="Arabic Typesetting"/>
                <w:color w:val="000000"/>
                <w:sz w:val="28"/>
                <w:szCs w:val="28"/>
                <w:rtl/>
                <w:lang w:eastAsia="ar-EG" w:bidi="ar-EG"/>
              </w:rPr>
            </w:pPr>
            <w:r w:rsidRPr="001F2068">
              <w:rPr>
                <w:rFonts w:ascii="Arabic Typesetting" w:eastAsia="Arabic Typesetting" w:hAnsi="Arabic Typesetting" w:cs="Arabic Typesetting"/>
                <w:color w:val="000000"/>
                <w:sz w:val="28"/>
                <w:szCs w:val="28"/>
                <w:rtl/>
                <w:lang w:eastAsia="ar-EG" w:bidi="ar-EG"/>
              </w:rPr>
              <w:t>- خدمات الملكية الفكرية</w:t>
            </w:r>
            <w:r>
              <w:rPr>
                <w:rFonts w:ascii="Arabic Typesetting" w:eastAsia="Arabic Typesetting" w:hAnsi="Arabic Typesetting" w:cs="Arabic Typesetting"/>
                <w:color w:val="000000"/>
                <w:sz w:val="28"/>
                <w:szCs w:val="28"/>
                <w:rtl/>
                <w:lang w:eastAsia="ar-EG" w:bidi="ar-EG"/>
              </w:rPr>
              <w:t>:</w:t>
            </w:r>
            <w:r w:rsidRPr="001F2068">
              <w:rPr>
                <w:rFonts w:ascii="Arabic Typesetting" w:eastAsia="Arabic Typesetting" w:hAnsi="Arabic Typesetting" w:cs="Arabic Typesetting"/>
                <w:color w:val="000000"/>
                <w:sz w:val="28"/>
                <w:szCs w:val="28"/>
                <w:rtl/>
                <w:lang w:eastAsia="ar-EG" w:bidi="ar-EG"/>
              </w:rPr>
              <w:t xml:space="preserve"> 14.9%</w:t>
            </w:r>
          </w:p>
          <w:p w14:paraId="7B0A9572" w14:textId="77777777" w:rsidR="00BD3831" w:rsidRDefault="00BD3831" w:rsidP="0031289D">
            <w:pPr>
              <w:keepNext/>
              <w:keepLines/>
              <w:bidi/>
              <w:spacing w:after="120" w:line="280" w:lineRule="exact"/>
              <w:rPr>
                <w:rFonts w:ascii="Arabic Typesetting" w:eastAsia="Arabic Typesetting" w:hAnsi="Arabic Typesetting" w:cs="Arabic Typesetting"/>
                <w:color w:val="000000"/>
                <w:sz w:val="28"/>
                <w:szCs w:val="28"/>
                <w:rtl/>
                <w:lang w:eastAsia="ar-EG" w:bidi="ar-EG"/>
              </w:rPr>
            </w:pPr>
            <w:r w:rsidRPr="001F2068">
              <w:rPr>
                <w:rFonts w:ascii="Arabic Typesetting" w:eastAsia="Arabic Typesetting" w:hAnsi="Arabic Typesetting" w:cs="Arabic Typesetting"/>
                <w:color w:val="000000"/>
                <w:sz w:val="28"/>
                <w:szCs w:val="28"/>
                <w:rtl/>
                <w:lang w:eastAsia="ar-EG" w:bidi="ar-EG"/>
              </w:rPr>
              <w:t>- سياسة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18.4%</w:t>
            </w:r>
          </w:p>
          <w:p w14:paraId="601425D5" w14:textId="77777777" w:rsidR="00BD3831" w:rsidRDefault="00BD3831" w:rsidP="0031289D">
            <w:pPr>
              <w:keepNext/>
              <w:keepLines/>
              <w:bidi/>
              <w:spacing w:after="120" w:line="280" w:lineRule="exact"/>
              <w:rPr>
                <w:rFonts w:ascii="Arabic Typesetting" w:eastAsia="Arabic Typesetting" w:hAnsi="Arabic Typesetting" w:cs="Arabic Typesetting"/>
                <w:color w:val="000000"/>
                <w:sz w:val="28"/>
                <w:szCs w:val="28"/>
                <w:rtl/>
                <w:lang w:eastAsia="ar-EG" w:bidi="ar-EG"/>
              </w:rPr>
            </w:pPr>
            <w:r w:rsidRPr="001F2068">
              <w:rPr>
                <w:rFonts w:ascii="Arabic Typesetting" w:eastAsia="Arabic Typesetting" w:hAnsi="Arabic Typesetting" w:cs="Arabic Typesetting"/>
                <w:color w:val="000000"/>
                <w:sz w:val="28"/>
                <w:szCs w:val="28"/>
                <w:rtl/>
                <w:lang w:eastAsia="ar-EG" w:bidi="ar-EG"/>
              </w:rPr>
              <w:t>- التعاون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17.8%</w:t>
            </w:r>
          </w:p>
          <w:p w14:paraId="7FFC3A1C" w14:textId="77777777" w:rsidR="00BD3831" w:rsidRDefault="00BD3831" w:rsidP="0031289D">
            <w:pPr>
              <w:keepNext/>
              <w:keepLines/>
              <w:bidi/>
              <w:spacing w:after="120" w:line="280" w:lineRule="exact"/>
              <w:rPr>
                <w:rFonts w:ascii="Arabic Typesetting" w:eastAsia="Arabic Typesetting" w:hAnsi="Arabic Typesetting" w:cs="Arabic Typesetting"/>
                <w:color w:val="000000"/>
                <w:sz w:val="28"/>
                <w:szCs w:val="28"/>
                <w:rtl/>
                <w:lang w:eastAsia="ar-EG" w:bidi="ar-EG"/>
              </w:rPr>
            </w:pPr>
            <w:r w:rsidRPr="001F2068">
              <w:rPr>
                <w:rFonts w:ascii="Arabic Typesetting" w:eastAsia="Arabic Typesetting" w:hAnsi="Arabic Typesetting" w:cs="Arabic Typesetting"/>
                <w:color w:val="000000"/>
                <w:sz w:val="28"/>
                <w:szCs w:val="28"/>
                <w:rtl/>
                <w:lang w:eastAsia="ar-EG" w:bidi="ar-EG"/>
              </w:rPr>
              <w:t>- مراجع</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15.6%</w:t>
            </w:r>
          </w:p>
          <w:p w14:paraId="0A4E4D4B" w14:textId="77777777" w:rsidR="00BD3831" w:rsidRDefault="00BD3831" w:rsidP="0031289D">
            <w:pPr>
              <w:keepNext/>
              <w:keepLines/>
              <w:bidi/>
              <w:spacing w:after="120" w:line="280" w:lineRule="exact"/>
              <w:rPr>
                <w:rFonts w:ascii="Arabic Typesetting" w:eastAsia="Arabic Typesetting" w:hAnsi="Arabic Typesetting" w:cs="Arabic Typesetting"/>
                <w:color w:val="000000"/>
                <w:sz w:val="28"/>
                <w:szCs w:val="28"/>
                <w:rtl/>
                <w:lang w:eastAsia="ar-EG" w:bidi="ar-EG"/>
              </w:rPr>
            </w:pPr>
            <w:r w:rsidRPr="001F2068">
              <w:rPr>
                <w:rFonts w:ascii="Arabic Typesetting" w:eastAsia="Arabic Typesetting" w:hAnsi="Arabic Typesetting" w:cs="Arabic Typesetting"/>
                <w:color w:val="000000"/>
                <w:sz w:val="28"/>
                <w:szCs w:val="28"/>
                <w:rtl/>
                <w:lang w:eastAsia="ar-EG" w:bidi="ar-EG"/>
              </w:rPr>
              <w:t>- ‏عن الملكية الفكرية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64%</w:t>
            </w:r>
          </w:p>
          <w:p w14:paraId="78F7F94E"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 داخل الويبو</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32.8%</w:t>
            </w:r>
          </w:p>
        </w:tc>
        <w:tc>
          <w:tcPr>
            <w:tcW w:w="676" w:type="pct"/>
            <w:shd w:val="clear" w:color="auto" w:fill="auto"/>
            <w:tcMar>
              <w:top w:w="110" w:type="dxa"/>
              <w:left w:w="58" w:type="dxa"/>
              <w:right w:w="58" w:type="dxa"/>
            </w:tcMar>
          </w:tcPr>
          <w:p w14:paraId="5C2414FA" w14:textId="77777777" w:rsidR="00BD3831" w:rsidRDefault="00BD3831" w:rsidP="0031289D">
            <w:pPr>
              <w:keepNext/>
              <w:keepLines/>
              <w:bidi/>
              <w:spacing w:after="1080" w:line="280" w:lineRule="exact"/>
              <w:jc w:val="center"/>
              <w:rPr>
                <w:rFonts w:ascii="Arabic Typesetting" w:eastAsia="Arabic Typesetting" w:hAnsi="Arabic Typesetting" w:cs="Arabic Typesetting"/>
                <w:b/>
                <w:color w:val="00B05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p w14:paraId="6F45AD88"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p w14:paraId="5F1F3E21"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p w14:paraId="4C9F5E6A"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p w14:paraId="18F5EDF7"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p w14:paraId="2DB6CDF6"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b/>
                <w:color w:val="FF0000"/>
                <w:sz w:val="28"/>
                <w:szCs w:val="28"/>
                <w:lang w:eastAsia="ar-EG" w:bidi="ar-EG"/>
              </w:rPr>
            </w:pPr>
            <w:r w:rsidRPr="001F2068">
              <w:rPr>
                <w:rFonts w:ascii="Arabic Typesetting" w:eastAsia="Arabic Typesetting" w:hAnsi="Arabic Typesetting" w:cs="Arabic Typesetting"/>
                <w:b/>
                <w:bCs/>
                <w:color w:val="FF0000"/>
                <w:sz w:val="28"/>
                <w:szCs w:val="28"/>
                <w:rtl/>
                <w:lang w:eastAsia="ar-EG" w:bidi="ar-EG"/>
              </w:rPr>
              <w:t>غير ثابت</w:t>
            </w:r>
          </w:p>
          <w:p w14:paraId="590816CE"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b/>
                <w:color w:val="FF0000"/>
                <w:sz w:val="28"/>
                <w:szCs w:val="28"/>
                <w:lang w:eastAsia="ar-EG" w:bidi="ar-EG"/>
              </w:rPr>
            </w:pPr>
            <w:r w:rsidRPr="001F2068">
              <w:rPr>
                <w:rFonts w:ascii="Arabic Typesetting" w:eastAsia="Arabic Typesetting" w:hAnsi="Arabic Typesetting" w:cs="Arabic Typesetting"/>
                <w:b/>
                <w:bCs/>
                <w:color w:val="FF0000"/>
                <w:sz w:val="28"/>
                <w:szCs w:val="28"/>
                <w:rtl/>
                <w:lang w:eastAsia="ar-EG" w:bidi="ar-EG"/>
              </w:rPr>
              <w:t>غير ثابت</w:t>
            </w:r>
          </w:p>
        </w:tc>
      </w:tr>
      <w:tr w:rsidR="00BD3831" w:rsidRPr="001F2068" w14:paraId="1B9D3E8A" w14:textId="77777777" w:rsidTr="00DF6715">
        <w:trPr>
          <w:cantSplit/>
          <w:trHeight w:val="2680"/>
        </w:trPr>
        <w:tc>
          <w:tcPr>
            <w:tcW w:w="997" w:type="pct"/>
            <w:shd w:val="clear" w:color="auto" w:fill="auto"/>
            <w:tcMar>
              <w:left w:w="58" w:type="dxa"/>
              <w:right w:w="58" w:type="dxa"/>
            </w:tcMar>
          </w:tcPr>
          <w:p w14:paraId="42264E8D"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lastRenderedPageBreak/>
              <w:t>تأثير الويبو في وسائل التواصل الاجتماعي وإشراك أصحاب المصالح فيها</w:t>
            </w:r>
          </w:p>
        </w:tc>
        <w:tc>
          <w:tcPr>
            <w:tcW w:w="1303" w:type="pct"/>
            <w:shd w:val="clear" w:color="auto" w:fill="auto"/>
            <w:tcMar>
              <w:left w:w="58" w:type="dxa"/>
              <w:right w:w="58" w:type="dxa"/>
            </w:tcMar>
          </w:tcPr>
          <w:p w14:paraId="52A05FE6" w14:textId="77777777" w:rsidR="00BD3831" w:rsidRPr="001F2068"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"1"</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2060"/>
                <w:sz w:val="28"/>
                <w:szCs w:val="28"/>
                <w:rtl/>
                <w:lang w:eastAsia="ar-EG" w:bidi="ar-EG"/>
              </w:rPr>
              <w:t>عدد المفضلات في 2015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1F2068">
              <w:rPr>
                <w:rFonts w:ascii="Arabic Typesetting" w:eastAsia="Arabic Typesetting" w:hAnsi="Arabic Typesetting" w:cs="Arabic Typesetting"/>
                <w:color w:val="002060"/>
                <w:sz w:val="28"/>
                <w:szCs w:val="28"/>
                <w:rtl/>
                <w:lang w:eastAsia="ar-EG" w:bidi="ar-EG"/>
              </w:rPr>
              <w:t>6420 (2014 = 5121)</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المتوسط السنوي 2014/15</w:t>
            </w:r>
            <w:r>
              <w:rPr>
                <w:rFonts w:ascii="Arabic Typesetting" w:eastAsia="Arabic Typesetting" w:hAnsi="Arabic Typesetting" w:cs="Arabic Typesetting" w:hint="cs"/>
                <w:color w:val="002060"/>
                <w:sz w:val="28"/>
                <w:szCs w:val="28"/>
                <w:rtl/>
                <w:lang w:eastAsia="ar-EG" w:bidi="ar-EG"/>
              </w:rPr>
              <w:t> </w:t>
            </w:r>
            <w:r w:rsidRPr="001F2068">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w:t>
            </w:r>
            <w:r w:rsidRPr="001F2068">
              <w:rPr>
                <w:rFonts w:ascii="Arabic Typesetting" w:eastAsia="Arabic Typesetting" w:hAnsi="Arabic Typesetting" w:cs="Arabic Typesetting"/>
                <w:color w:val="002060"/>
                <w:sz w:val="28"/>
                <w:szCs w:val="28"/>
                <w:rtl/>
                <w:lang w:eastAsia="ar-EG" w:bidi="ar-EG"/>
              </w:rPr>
              <w:t>5770</w:t>
            </w:r>
          </w:p>
          <w:p w14:paraId="6D8BCAE0" w14:textId="77777777" w:rsidR="00BD3831" w:rsidRPr="001F2068"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color w:val="002060"/>
                <w:sz w:val="28"/>
                <w:szCs w:val="28"/>
                <w:rtl/>
                <w:lang w:eastAsia="ar-EG" w:bidi="ar-EG"/>
              </w:rPr>
              <w:t>‏"2"</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2060"/>
                <w:sz w:val="28"/>
                <w:szCs w:val="28"/>
                <w:rtl/>
                <w:lang w:eastAsia="ar-EG" w:bidi="ar-EG"/>
              </w:rPr>
              <w:t>إجمالي عدد مرات إعادة نشر التغريدات في 2015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820 14 (2014 = 920 11)</w:t>
            </w:r>
          </w:p>
          <w:p w14:paraId="602552F0" w14:textId="0005FBC9" w:rsidR="00E91832" w:rsidRDefault="00BD3831" w:rsidP="0031289D">
            <w:pPr>
              <w:bidi/>
              <w:spacing w:after="120" w:line="280" w:lineRule="exact"/>
              <w:rPr>
                <w:rFonts w:ascii="Arabic Typesetting" w:eastAsia="Arabic Typesetting" w:hAnsi="Arabic Typesetting" w:cs="Arabic Typesetting"/>
                <w:color w:val="002060"/>
                <w:sz w:val="28"/>
                <w:szCs w:val="28"/>
                <w:rtl/>
                <w:lang w:eastAsia="ar-EG" w:bidi="ar-EG"/>
              </w:rPr>
            </w:pPr>
            <w:r w:rsidRPr="001F2068">
              <w:rPr>
                <w:rFonts w:ascii="Arabic Typesetting" w:eastAsia="Arabic Typesetting" w:hAnsi="Arabic Typesetting" w:cs="Arabic Typesetting"/>
                <w:color w:val="002060"/>
                <w:sz w:val="28"/>
                <w:szCs w:val="28"/>
                <w:rtl/>
                <w:lang w:eastAsia="ar-EG" w:bidi="ar-EG"/>
              </w:rPr>
              <w:t xml:space="preserve">المتوسط السنوي 2014/15 = </w:t>
            </w:r>
            <w:r w:rsidR="00E91832">
              <w:rPr>
                <w:rFonts w:ascii="Arabic Typesetting" w:eastAsia="Arabic Typesetting" w:hAnsi="Arabic Typesetting" w:cs="Arabic Typesetting" w:hint="cs"/>
                <w:color w:val="002060"/>
                <w:sz w:val="28"/>
                <w:szCs w:val="28"/>
                <w:rtl/>
                <w:lang w:eastAsia="ar-EG" w:bidi="ar-EG"/>
              </w:rPr>
              <w:t>370 13</w:t>
            </w:r>
          </w:p>
          <w:p w14:paraId="4FD95922" w14:textId="77777777" w:rsidR="00BD3831" w:rsidRPr="001F2068"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1F206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1F2068">
              <w:rPr>
                <w:rFonts w:ascii="Arabic Typesetting" w:eastAsia="Arabic Typesetting" w:hAnsi="Arabic Typesetting" w:cs="Arabic Typesetting"/>
                <w:i/>
                <w:iCs/>
                <w:sz w:val="28"/>
                <w:szCs w:val="28"/>
                <w:rtl/>
                <w:lang w:eastAsia="ar-EG" w:bidi="ar-EG"/>
              </w:rPr>
              <w:t>:</w:t>
            </w:r>
            <w:r w:rsidRPr="001F2068">
              <w:rPr>
                <w:rFonts w:ascii="Arabic Typesetting" w:eastAsia="Arabic Typesetting" w:hAnsi="Arabic Typesetting" w:cs="Arabic Typesetting"/>
                <w:i/>
                <w:sz w:val="28"/>
                <w:szCs w:val="28"/>
                <w:lang w:eastAsia="ar-EG" w:bidi="ar-EG"/>
              </w:rPr>
              <w:br/>
            </w:r>
            <w:r w:rsidRPr="001F206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"1"</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عدد مرات "التفضيل"</w:t>
            </w:r>
            <w:r>
              <w:rPr>
                <w:rFonts w:ascii="Arabic Typesetting" w:eastAsia="Arabic Typesetting" w:hAnsi="Arabic Typesetting" w:cs="Arabic Typesetting"/>
                <w:color w:val="000000"/>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(2014 = 5121)</w:t>
            </w:r>
            <w:r w:rsidRPr="001F2068">
              <w:rPr>
                <w:rFonts w:ascii="Arabic Typesetting" w:eastAsia="Arabic Typesetting" w:hAnsi="Arabic Typesetting" w:cs="Arabic Typesetting"/>
                <w:color w:val="000000"/>
                <w:sz w:val="28"/>
                <w:szCs w:val="28"/>
                <w:lang w:eastAsia="ar-EG" w:bidi="ar-EG"/>
              </w:rPr>
              <w:br/>
            </w:r>
            <w:r w:rsidRPr="001F2068">
              <w:rPr>
                <w:rFonts w:ascii="Arabic Typesetting" w:eastAsia="Arabic Typesetting" w:hAnsi="Arabic Typesetting" w:cs="Arabic Typesetting"/>
                <w:color w:val="000000"/>
                <w:sz w:val="28"/>
                <w:szCs w:val="28"/>
                <w:rtl/>
                <w:lang w:eastAsia="ar-EG" w:bidi="ar-EG"/>
              </w:rPr>
              <w:t>"2"</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إجمالي عدد مرات إعادة التغريد</w:t>
            </w:r>
            <w:r>
              <w:rPr>
                <w:rFonts w:ascii="Arabic Typesetting" w:eastAsia="Arabic Typesetting" w:hAnsi="Arabic Typesetting" w:cs="Arabic Typesetting"/>
                <w:color w:val="000000"/>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(2014 = 920 11)</w:t>
            </w:r>
          </w:p>
        </w:tc>
        <w:tc>
          <w:tcPr>
            <w:tcW w:w="868" w:type="pct"/>
            <w:shd w:val="clear" w:color="auto" w:fill="auto"/>
            <w:tcMar>
              <w:top w:w="110" w:type="dxa"/>
              <w:left w:w="58" w:type="dxa"/>
              <w:right w:w="58" w:type="dxa"/>
            </w:tcMar>
          </w:tcPr>
          <w:p w14:paraId="603D5FB1"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rtl/>
                <w:lang w:eastAsia="ar-EG" w:bidi="ar-EG"/>
              </w:rPr>
            </w:pPr>
            <w:r w:rsidRPr="001F2068">
              <w:rPr>
                <w:rFonts w:ascii="Arabic Typesetting" w:eastAsia="Arabic Typesetting" w:hAnsi="Arabic Typesetting" w:cs="Arabic Typesetting"/>
                <w:color w:val="000000"/>
                <w:sz w:val="28"/>
                <w:szCs w:val="28"/>
                <w:rtl/>
                <w:lang w:eastAsia="ar-EG" w:bidi="ar-EG"/>
              </w:rPr>
              <w:t>"1" زيادة بنسبة 25% في العدد السنوي لتغريدات الويبو "المفضلة"</w:t>
            </w:r>
          </w:p>
          <w:p w14:paraId="2D8CEA2F"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‏"2" زيادة بنسبة 15% في إجمالي العدد السنوي لإعادة التغريد</w:t>
            </w:r>
          </w:p>
        </w:tc>
        <w:tc>
          <w:tcPr>
            <w:tcW w:w="1157" w:type="pct"/>
            <w:shd w:val="clear" w:color="auto" w:fill="FFFFFF"/>
            <w:tcMar>
              <w:top w:w="110" w:type="dxa"/>
              <w:left w:w="58" w:type="dxa"/>
              <w:right w:w="58" w:type="dxa"/>
            </w:tcMar>
          </w:tcPr>
          <w:p w14:paraId="1200E199" w14:textId="77777777" w:rsidR="00BD3831" w:rsidRDefault="00BD3831" w:rsidP="0031289D">
            <w:pPr>
              <w:keepNext/>
              <w:keepLines/>
              <w:bidi/>
              <w:spacing w:after="40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"1"</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0000"/>
                <w:sz w:val="28"/>
                <w:szCs w:val="28"/>
                <w:rtl/>
                <w:lang w:eastAsia="ar-EG" w:bidi="ar-EG"/>
              </w:rPr>
              <w:t>289 13 "إعجاباً"</w:t>
            </w:r>
            <w:r w:rsidRPr="001F2068">
              <w:rPr>
                <w:rFonts w:ascii="Arabic Typesetting" w:eastAsia="Arabic Typesetting" w:hAnsi="Arabic Typesetting" w:cs="Arabic Typesetting"/>
                <w:color w:val="000000"/>
                <w:sz w:val="28"/>
                <w:szCs w:val="28"/>
                <w:vertAlign w:val="superscript"/>
                <w:lang w:eastAsia="ar-EG" w:bidi="ar-EG"/>
              </w:rPr>
              <w:footnoteReference w:id="78"/>
            </w:r>
            <w:r>
              <w:rPr>
                <w:rFonts w:ascii="Arabic Typesetting" w:eastAsia="Arabic Typesetting" w:hAnsi="Arabic Typesetting" w:cs="Arabic Typesetting"/>
                <w:color w:val="000000"/>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(زيادة بنسبة 107% مقارنة بعام</w:t>
            </w:r>
            <w:r>
              <w:rPr>
                <w:rFonts w:ascii="Arabic Typesetting" w:eastAsia="Arabic Typesetting" w:hAnsi="Arabic Typesetting" w:cs="Arabic Typesetting" w:hint="cs"/>
                <w:color w:val="000000"/>
                <w:sz w:val="28"/>
                <w:szCs w:val="28"/>
                <w:rtl/>
                <w:lang w:eastAsia="ar-EG" w:bidi="ar-EG"/>
              </w:rPr>
              <w:t> </w:t>
            </w:r>
            <w:r w:rsidRPr="001F2068">
              <w:rPr>
                <w:rFonts w:ascii="Arabic Typesetting" w:eastAsia="Arabic Typesetting" w:hAnsi="Arabic Typesetting" w:cs="Arabic Typesetting"/>
                <w:color w:val="000000"/>
                <w:sz w:val="28"/>
                <w:szCs w:val="28"/>
                <w:rtl/>
                <w:lang w:eastAsia="ar-EG" w:bidi="ar-EG"/>
              </w:rPr>
              <w:t>2015)</w:t>
            </w:r>
          </w:p>
          <w:p w14:paraId="46DB59DD"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"2" 715 19 إعادة تغريد</w:t>
            </w:r>
            <w:r>
              <w:rPr>
                <w:rFonts w:ascii="Arabic Typesetting" w:eastAsia="Arabic Typesetting" w:hAnsi="Arabic Typesetting" w:cs="Arabic Typesetting"/>
                <w:color w:val="000000"/>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(زيادة بنسبة 33% مقارنة بعام</w:t>
            </w:r>
            <w:r>
              <w:rPr>
                <w:rFonts w:ascii="Arabic Typesetting" w:eastAsia="Arabic Typesetting" w:hAnsi="Arabic Typesetting" w:cs="Arabic Typesetting" w:hint="cs"/>
                <w:color w:val="000000"/>
                <w:sz w:val="28"/>
                <w:szCs w:val="28"/>
                <w:rtl/>
                <w:lang w:eastAsia="ar-EG" w:bidi="ar-EG"/>
              </w:rPr>
              <w:t> </w:t>
            </w:r>
            <w:r w:rsidRPr="001F2068">
              <w:rPr>
                <w:rFonts w:ascii="Arabic Typesetting" w:eastAsia="Arabic Typesetting" w:hAnsi="Arabic Typesetting" w:cs="Arabic Typesetting"/>
                <w:color w:val="000000"/>
                <w:sz w:val="28"/>
                <w:szCs w:val="28"/>
                <w:rtl/>
                <w:lang w:eastAsia="ar-EG" w:bidi="ar-EG"/>
              </w:rPr>
              <w:t>2015)</w:t>
            </w:r>
          </w:p>
        </w:tc>
        <w:tc>
          <w:tcPr>
            <w:tcW w:w="676" w:type="pct"/>
            <w:shd w:val="clear" w:color="auto" w:fill="auto"/>
            <w:tcMar>
              <w:top w:w="110" w:type="dxa"/>
              <w:left w:w="58" w:type="dxa"/>
              <w:right w:w="58" w:type="dxa"/>
            </w:tcMar>
          </w:tcPr>
          <w:p w14:paraId="68133E5C" w14:textId="77777777" w:rsidR="00BD3831" w:rsidRPr="002358A9" w:rsidRDefault="00BD3831" w:rsidP="0031289D">
            <w:pPr>
              <w:keepNext/>
              <w:keepLines/>
              <w:bidi/>
              <w:spacing w:after="720" w:line="280" w:lineRule="exact"/>
              <w:jc w:val="center"/>
              <w:rPr>
                <w:rFonts w:ascii="Arabic Typesetting" w:eastAsia="Arabic Typesetting" w:hAnsi="Arabic Typesetting" w:cs="Arabic Typesetting"/>
                <w:b/>
                <w:bCs/>
                <w:color w:val="00B05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p w14:paraId="454C4FC6"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tc>
      </w:tr>
      <w:tr w:rsidR="00BD3831" w:rsidRPr="001F2068" w14:paraId="76586A21" w14:textId="77777777" w:rsidTr="00DF6715">
        <w:trPr>
          <w:cantSplit/>
          <w:trHeight w:val="565"/>
        </w:trPr>
        <w:tc>
          <w:tcPr>
            <w:tcW w:w="5000" w:type="pct"/>
            <w:gridSpan w:val="5"/>
            <w:shd w:val="clear" w:color="auto" w:fill="C6D9F1"/>
            <w:tcMar>
              <w:left w:w="58" w:type="dxa"/>
              <w:right w:w="58" w:type="dxa"/>
            </w:tcMar>
            <w:vAlign w:val="center"/>
          </w:tcPr>
          <w:p w14:paraId="7A750547" w14:textId="77777777" w:rsidR="00BD3831" w:rsidRPr="001F2068"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‏النتيجة المرتقبة:</w:t>
            </w:r>
            <w:r w:rsidRPr="001F2068">
              <w:rPr>
                <w:rFonts w:ascii="Arabic Typesetting" w:eastAsia="Arabic Typesetting" w:hAnsi="Arabic Typesetting" w:cs="Arabic Typesetting"/>
                <w:sz w:val="28"/>
                <w:szCs w:val="28"/>
                <w:lang w:eastAsia="ar-EG" w:bidi="ar-EG"/>
              </w:rPr>
              <w:tab/>
            </w:r>
            <w:r w:rsidRPr="001F2068">
              <w:rPr>
                <w:rFonts w:ascii="Arabic Typesetting" w:eastAsia="Arabic Typesetting" w:hAnsi="Arabic Typesetting" w:cs="Arabic Typesetting"/>
                <w:color w:val="000000"/>
                <w:sz w:val="28"/>
                <w:szCs w:val="28"/>
                <w:rtl/>
                <w:lang w:eastAsia="ar-EG" w:bidi="ar-EG"/>
              </w:rPr>
              <w:t xml:space="preserve">ه2.8 توجّه أكبر </w:t>
            </w:r>
            <w:r w:rsidRPr="001F2068">
              <w:rPr>
                <w:rFonts w:ascii="Arabic Typesetting" w:eastAsia="Arabic Typesetting" w:hAnsi="Arabic Typesetting" w:cs="Arabic Typesetting"/>
                <w:sz w:val="28"/>
                <w:szCs w:val="28"/>
                <w:rtl/>
                <w:lang w:eastAsia="ar-EG" w:bidi="ar-EG"/>
              </w:rPr>
              <w:t>نحو</w:t>
            </w:r>
            <w:r w:rsidRPr="001F2068">
              <w:rPr>
                <w:rFonts w:ascii="Arabic Typesetting" w:eastAsia="Arabic Typesetting" w:hAnsi="Arabic Typesetting" w:cs="Arabic Typesetting"/>
                <w:color w:val="000000"/>
                <w:sz w:val="28"/>
                <w:szCs w:val="28"/>
                <w:rtl/>
                <w:lang w:eastAsia="ar-EG" w:bidi="ar-EG"/>
              </w:rPr>
              <w:t xml:space="preserve"> تقديم الخدمات واستجابة أفضل للاستفسارات</w:t>
            </w:r>
          </w:p>
        </w:tc>
      </w:tr>
      <w:tr w:rsidR="00BD3831" w:rsidRPr="001F2068" w14:paraId="76AD2BEE" w14:textId="77777777" w:rsidTr="00DF6715">
        <w:trPr>
          <w:cantSplit/>
        </w:trPr>
        <w:tc>
          <w:tcPr>
            <w:tcW w:w="997" w:type="pct"/>
            <w:shd w:val="clear" w:color="auto" w:fill="auto"/>
            <w:tcMar>
              <w:left w:w="58" w:type="dxa"/>
              <w:right w:w="58" w:type="dxa"/>
            </w:tcMar>
            <w:vAlign w:val="center"/>
          </w:tcPr>
          <w:p w14:paraId="38EC5F36" w14:textId="77777777" w:rsidR="00BD3831" w:rsidRPr="001F2068"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مؤشرات الأداء</w:t>
            </w:r>
          </w:p>
        </w:tc>
        <w:tc>
          <w:tcPr>
            <w:tcW w:w="1303" w:type="pct"/>
            <w:shd w:val="clear" w:color="auto" w:fill="auto"/>
            <w:tcMar>
              <w:left w:w="58" w:type="dxa"/>
              <w:right w:w="58" w:type="dxa"/>
            </w:tcMar>
            <w:vAlign w:val="center"/>
          </w:tcPr>
          <w:p w14:paraId="5F0D71C2" w14:textId="77777777" w:rsidR="00BD3831" w:rsidRPr="001F2068"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أسس المقارنة</w:t>
            </w:r>
          </w:p>
        </w:tc>
        <w:tc>
          <w:tcPr>
            <w:tcW w:w="868" w:type="pct"/>
            <w:shd w:val="clear" w:color="auto" w:fill="auto"/>
            <w:tcMar>
              <w:top w:w="110" w:type="dxa"/>
              <w:left w:w="58" w:type="dxa"/>
              <w:right w:w="58" w:type="dxa"/>
            </w:tcMar>
            <w:vAlign w:val="center"/>
          </w:tcPr>
          <w:p w14:paraId="21D202D5" w14:textId="77777777" w:rsidR="00BD3831" w:rsidRPr="001F2068"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الأهداف</w:t>
            </w:r>
          </w:p>
        </w:tc>
        <w:tc>
          <w:tcPr>
            <w:tcW w:w="1157" w:type="pct"/>
            <w:shd w:val="clear" w:color="auto" w:fill="FFFFFF"/>
            <w:tcMar>
              <w:top w:w="110" w:type="dxa"/>
              <w:left w:w="58" w:type="dxa"/>
              <w:right w:w="58" w:type="dxa"/>
            </w:tcMar>
            <w:vAlign w:val="center"/>
          </w:tcPr>
          <w:p w14:paraId="10C379AD" w14:textId="77777777" w:rsidR="00BD3831" w:rsidRPr="001F2068"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بيانات الأداء</w:t>
            </w:r>
          </w:p>
        </w:tc>
        <w:tc>
          <w:tcPr>
            <w:tcW w:w="676" w:type="pct"/>
            <w:shd w:val="clear" w:color="auto" w:fill="auto"/>
            <w:tcMar>
              <w:top w:w="110" w:type="dxa"/>
              <w:left w:w="58" w:type="dxa"/>
              <w:right w:w="58" w:type="dxa"/>
            </w:tcMar>
            <w:vAlign w:val="center"/>
          </w:tcPr>
          <w:p w14:paraId="361FA296"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1F2068">
              <w:rPr>
                <w:rFonts w:ascii="Arabic Typesetting" w:eastAsia="Arabic Typesetting" w:hAnsi="Arabic Typesetting" w:cs="Arabic Typesetting"/>
                <w:b/>
                <w:bCs/>
                <w:sz w:val="28"/>
                <w:szCs w:val="28"/>
                <w:rtl/>
                <w:lang w:eastAsia="ar-EG" w:bidi="ar-EG"/>
              </w:rPr>
              <w:t>السير</w:t>
            </w:r>
          </w:p>
        </w:tc>
      </w:tr>
      <w:tr w:rsidR="00BD3831" w:rsidRPr="001F2068" w14:paraId="0468F506" w14:textId="77777777" w:rsidTr="00DF6715">
        <w:trPr>
          <w:cantSplit/>
          <w:trHeight w:val="697"/>
        </w:trPr>
        <w:tc>
          <w:tcPr>
            <w:tcW w:w="997" w:type="pct"/>
            <w:shd w:val="clear" w:color="auto" w:fill="auto"/>
            <w:tcMar>
              <w:left w:w="58" w:type="dxa"/>
              <w:right w:w="58" w:type="dxa"/>
            </w:tcMar>
          </w:tcPr>
          <w:p w14:paraId="6C7B48B0"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رضا المستخدمين عن خدمات المكتبة</w:t>
            </w:r>
          </w:p>
        </w:tc>
        <w:tc>
          <w:tcPr>
            <w:tcW w:w="1303" w:type="pct"/>
            <w:shd w:val="clear" w:color="auto" w:fill="auto"/>
            <w:tcMar>
              <w:left w:w="58" w:type="dxa"/>
              <w:right w:w="58" w:type="dxa"/>
            </w:tcMar>
          </w:tcPr>
          <w:p w14:paraId="50A07243" w14:textId="77777777" w:rsidR="00BD3831" w:rsidRDefault="00BD3831" w:rsidP="0031289D">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70% ممن أجابوا عن استبيان لآراء مستخدمي المكتبة كانوا راضين للغاية عن الخدمات. (100% راضون أو</w:t>
            </w:r>
            <w:r>
              <w:rPr>
                <w:rFonts w:ascii="Arabic Typesetting" w:eastAsia="Arabic Typesetting" w:hAnsi="Arabic Typesetting" w:cs="Arabic Typesetting" w:hint="cs"/>
                <w:color w:val="002060"/>
                <w:sz w:val="28"/>
                <w:szCs w:val="28"/>
                <w:rtl/>
                <w:lang w:eastAsia="ar-EG" w:bidi="ar-EG"/>
              </w:rPr>
              <w:t> </w:t>
            </w:r>
            <w:r w:rsidRPr="001F2068">
              <w:rPr>
                <w:rFonts w:ascii="Arabic Typesetting" w:eastAsia="Arabic Typesetting" w:hAnsi="Arabic Typesetting" w:cs="Arabic Typesetting"/>
                <w:color w:val="002060"/>
                <w:sz w:val="28"/>
                <w:szCs w:val="28"/>
                <w:rtl/>
                <w:lang w:eastAsia="ar-EG" w:bidi="ar-EG"/>
              </w:rPr>
              <w:t>راضون للغاية)</w:t>
            </w:r>
          </w:p>
          <w:p w14:paraId="364C4497"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1F2068">
              <w:rPr>
                <w:rFonts w:ascii="Arabic Typesetting" w:eastAsia="Arabic Typesetting" w:hAnsi="Arabic Typesetting" w:cs="Arabic Typesetting"/>
                <w:i/>
                <w:iCs/>
                <w:sz w:val="28"/>
                <w:szCs w:val="28"/>
                <w:rtl/>
                <w:lang w:eastAsia="ar-EG" w:bidi="ar-EG"/>
              </w:rPr>
              <w:t>:</w:t>
            </w:r>
            <w:r w:rsidRPr="001F2068">
              <w:rPr>
                <w:rFonts w:ascii="Arabic Typesetting" w:eastAsia="Arabic Typesetting" w:hAnsi="Arabic Typesetting" w:cs="Arabic Typesetting"/>
                <w:i/>
                <w:sz w:val="28"/>
                <w:szCs w:val="28"/>
                <w:lang w:eastAsia="ar-EG" w:bidi="ar-EG"/>
              </w:rPr>
              <w:br/>
            </w:r>
            <w:r w:rsidRPr="001F206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72.2% من المُجيبين عن الاستبيان الذي وُجِّه إلى مستخدمي خدمات المكتبة في عام 2014 كانوا راضين</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للغاية</w:t>
            </w:r>
          </w:p>
        </w:tc>
        <w:tc>
          <w:tcPr>
            <w:tcW w:w="868" w:type="pct"/>
            <w:shd w:val="clear" w:color="auto" w:fill="auto"/>
            <w:tcMar>
              <w:top w:w="110" w:type="dxa"/>
              <w:left w:w="58" w:type="dxa"/>
              <w:right w:w="58" w:type="dxa"/>
            </w:tcMar>
          </w:tcPr>
          <w:p w14:paraId="26F01CF0"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70% أو أكثر من زوار المكتبة والزبائن على الإنترنت راضون للغاية</w:t>
            </w:r>
          </w:p>
        </w:tc>
        <w:tc>
          <w:tcPr>
            <w:tcW w:w="1157" w:type="pct"/>
            <w:shd w:val="clear" w:color="auto" w:fill="FFFFFF"/>
            <w:tcMar>
              <w:top w:w="110" w:type="dxa"/>
              <w:left w:w="58" w:type="dxa"/>
              <w:right w:w="58" w:type="dxa"/>
            </w:tcMar>
          </w:tcPr>
          <w:p w14:paraId="6492F2FC"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sz w:val="28"/>
                <w:szCs w:val="28"/>
                <w:rtl/>
                <w:lang w:eastAsia="ar-EG" w:bidi="ar-EG"/>
              </w:rPr>
              <w:t>70% من الزبائن راضون للغاية ("مم</w:t>
            </w:r>
            <w:r>
              <w:rPr>
                <w:rFonts w:ascii="Arabic Typesetting" w:eastAsia="Arabic Typesetting" w:hAnsi="Arabic Typesetting" w:cs="Arabic Typesetting"/>
                <w:sz w:val="28"/>
                <w:szCs w:val="28"/>
                <w:rtl/>
                <w:lang w:eastAsia="ar-EG" w:bidi="ar-EG"/>
              </w:rPr>
              <w:t>تاز")</w:t>
            </w:r>
          </w:p>
        </w:tc>
        <w:tc>
          <w:tcPr>
            <w:tcW w:w="676" w:type="pct"/>
            <w:shd w:val="clear" w:color="auto" w:fill="auto"/>
            <w:tcMar>
              <w:top w:w="110" w:type="dxa"/>
              <w:left w:w="58" w:type="dxa"/>
              <w:right w:w="58" w:type="dxa"/>
            </w:tcMar>
          </w:tcPr>
          <w:p w14:paraId="7480988B"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tc>
      </w:tr>
      <w:tr w:rsidR="00BD3831" w:rsidRPr="001F2068" w14:paraId="76F14FA5" w14:textId="77777777" w:rsidTr="00DF6715">
        <w:trPr>
          <w:cantSplit/>
          <w:trHeight w:val="1186"/>
        </w:trPr>
        <w:tc>
          <w:tcPr>
            <w:tcW w:w="997" w:type="pct"/>
            <w:shd w:val="clear" w:color="auto" w:fill="auto"/>
            <w:tcMar>
              <w:left w:w="58" w:type="dxa"/>
              <w:right w:w="58" w:type="dxa"/>
            </w:tcMar>
          </w:tcPr>
          <w:p w14:paraId="498CA9A4"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نسبة رضا الزبائن وأصحاب المصالح</w:t>
            </w:r>
          </w:p>
        </w:tc>
        <w:tc>
          <w:tcPr>
            <w:tcW w:w="1303" w:type="pct"/>
            <w:shd w:val="clear" w:color="auto" w:fill="auto"/>
            <w:tcMar>
              <w:left w:w="58" w:type="dxa"/>
              <w:right w:w="58" w:type="dxa"/>
            </w:tcMar>
          </w:tcPr>
          <w:p w14:paraId="3454D6D7" w14:textId="77777777" w:rsidR="00BD3831" w:rsidRDefault="00BD3831" w:rsidP="0031289D">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كان 85% من زبائن نظامي معاهدة البراءا</w:t>
            </w:r>
            <w:r>
              <w:rPr>
                <w:rFonts w:ascii="Arabic Typesetting" w:eastAsia="Arabic Typesetting" w:hAnsi="Arabic Typesetting" w:cs="Arabic Typesetting"/>
                <w:color w:val="002060"/>
                <w:sz w:val="28"/>
                <w:szCs w:val="28"/>
                <w:rtl/>
                <w:lang w:eastAsia="ar-EG" w:bidi="ar-EG"/>
              </w:rPr>
              <w:t>ت ومدريد راضين أو راضين للغاية</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معاهدة البراءات = 89%</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مدريد = 81%</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لم يُقيَّم رضا عملاء نظام لاهاي في الثنائية 2014/15</w:t>
            </w:r>
          </w:p>
          <w:p w14:paraId="35C2BCEA"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1F2068">
              <w:rPr>
                <w:rFonts w:ascii="Arabic Typesetting" w:eastAsia="Arabic Typesetting" w:hAnsi="Arabic Typesetting" w:cs="Arabic Typesetting"/>
                <w:i/>
                <w:iCs/>
                <w:sz w:val="28"/>
                <w:szCs w:val="28"/>
                <w:rtl/>
                <w:lang w:eastAsia="ar-EG" w:bidi="ar-EG"/>
              </w:rPr>
              <w:t>:</w:t>
            </w:r>
            <w:r w:rsidRPr="001F2068">
              <w:rPr>
                <w:rFonts w:ascii="Arabic Typesetting" w:eastAsia="Arabic Typesetting" w:hAnsi="Arabic Typesetting" w:cs="Arabic Typesetting"/>
                <w:i/>
                <w:sz w:val="28"/>
                <w:szCs w:val="28"/>
                <w:lang w:eastAsia="ar-EG" w:bidi="ar-EG"/>
              </w:rPr>
              <w:br/>
            </w:r>
            <w:r w:rsidRPr="001F206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86% </w:t>
            </w:r>
            <w:r w:rsidRPr="001F2068">
              <w:rPr>
                <w:rFonts w:ascii="Arabic Typesetting" w:eastAsia="Arabic Typesetting" w:hAnsi="Arabic Typesetting" w:cs="Arabic Typesetting"/>
                <w:color w:val="000000"/>
                <w:sz w:val="28"/>
                <w:szCs w:val="28"/>
                <w:rtl/>
                <w:lang w:eastAsia="ar-EG" w:bidi="ar-EG"/>
              </w:rPr>
              <w:t>من زبائن نظامي مدريد ولاهاي راضون أو راضون للغاية (الدراسة</w:t>
            </w:r>
            <w:r>
              <w:rPr>
                <w:rFonts w:ascii="Arabic Typesetting" w:eastAsia="Arabic Typesetting" w:hAnsi="Arabic Typesetting" w:cs="Arabic Typesetting" w:hint="cs"/>
                <w:color w:val="000000"/>
                <w:sz w:val="28"/>
                <w:szCs w:val="28"/>
                <w:rtl/>
                <w:lang w:eastAsia="ar-EG" w:bidi="ar-EG"/>
              </w:rPr>
              <w:t> </w:t>
            </w:r>
            <w:r w:rsidRPr="001F2068">
              <w:rPr>
                <w:rFonts w:ascii="Arabic Typesetting" w:eastAsia="Arabic Typesetting" w:hAnsi="Arabic Typesetting" w:cs="Arabic Typesetting"/>
                <w:color w:val="000000"/>
                <w:sz w:val="28"/>
                <w:szCs w:val="28"/>
                <w:rtl/>
                <w:lang w:eastAsia="ar-EG" w:bidi="ar-EG"/>
              </w:rPr>
              <w:t>الاستقصائية لسنة 2013)</w:t>
            </w:r>
          </w:p>
        </w:tc>
        <w:tc>
          <w:tcPr>
            <w:tcW w:w="868" w:type="pct"/>
            <w:shd w:val="clear" w:color="auto" w:fill="auto"/>
            <w:tcMar>
              <w:top w:w="110" w:type="dxa"/>
              <w:left w:w="58" w:type="dxa"/>
              <w:right w:w="58" w:type="dxa"/>
            </w:tcMar>
          </w:tcPr>
          <w:p w14:paraId="0AD62970" w14:textId="77777777" w:rsidR="00BD3831" w:rsidRPr="001F2068"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90% أو أكثر راضون أو</w:t>
            </w:r>
            <w:r>
              <w:rPr>
                <w:rFonts w:ascii="Arabic Typesetting" w:eastAsia="Arabic Typesetting" w:hAnsi="Arabic Typesetting" w:cs="Arabic Typesetting" w:hint="cs"/>
                <w:color w:val="000000"/>
                <w:sz w:val="28"/>
                <w:szCs w:val="28"/>
                <w:rtl/>
                <w:lang w:eastAsia="ar-EG" w:bidi="ar-EG"/>
              </w:rPr>
              <w:t> </w:t>
            </w:r>
            <w:r w:rsidRPr="001F2068">
              <w:rPr>
                <w:rFonts w:ascii="Arabic Typesetting" w:eastAsia="Arabic Typesetting" w:hAnsi="Arabic Typesetting" w:cs="Arabic Typesetting"/>
                <w:color w:val="000000"/>
                <w:sz w:val="28"/>
                <w:szCs w:val="28"/>
                <w:rtl/>
                <w:lang w:eastAsia="ar-EG" w:bidi="ar-EG"/>
              </w:rPr>
              <w:t>راضون للغاية</w:t>
            </w:r>
          </w:p>
        </w:tc>
        <w:tc>
          <w:tcPr>
            <w:tcW w:w="1157" w:type="pct"/>
            <w:shd w:val="clear" w:color="auto" w:fill="FFFFFF"/>
            <w:tcMar>
              <w:top w:w="110" w:type="dxa"/>
              <w:left w:w="58" w:type="dxa"/>
              <w:right w:w="58" w:type="dxa"/>
            </w:tcMar>
          </w:tcPr>
          <w:p w14:paraId="55006BA7" w14:textId="77777777" w:rsidR="00BD383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استقصاءات زبائن نظامي مدريد ولاهاي في 2017</w:t>
            </w:r>
          </w:p>
          <w:p w14:paraId="0C2EC7D4" w14:textId="3706526B" w:rsidR="00BD3831" w:rsidRPr="001F2068" w:rsidRDefault="00BD3831" w:rsidP="006A1A09">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مؤشر الويبو لرضا الزبائن العام</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1F2068">
              <w:rPr>
                <w:rFonts w:ascii="Arabic Typesetting" w:eastAsia="Arabic Typesetting" w:hAnsi="Arabic Typesetting" w:cs="Arabic Typesetting"/>
                <w:color w:val="000000"/>
                <w:sz w:val="28"/>
                <w:szCs w:val="28"/>
                <w:rtl/>
                <w:lang w:eastAsia="ar-EG" w:bidi="ar-EG"/>
              </w:rPr>
              <w:t>51%</w:t>
            </w:r>
          </w:p>
        </w:tc>
        <w:tc>
          <w:tcPr>
            <w:tcW w:w="676" w:type="pct"/>
            <w:shd w:val="clear" w:color="auto" w:fill="auto"/>
            <w:tcMar>
              <w:top w:w="110" w:type="dxa"/>
              <w:left w:w="58" w:type="dxa"/>
              <w:right w:w="58" w:type="dxa"/>
            </w:tcMar>
          </w:tcPr>
          <w:p w14:paraId="79B4C18A" w14:textId="77777777" w:rsidR="00BD3831" w:rsidRDefault="00BD3831" w:rsidP="0031289D">
            <w:pPr>
              <w:keepNext/>
              <w:keepLines/>
              <w:bidi/>
              <w:spacing w:after="120" w:line="280" w:lineRule="exact"/>
              <w:jc w:val="center"/>
              <w:rPr>
                <w:rFonts w:ascii="Arabic Typesetting" w:eastAsia="Arabic Typesetting" w:hAnsi="Arabic Typesetting" w:cs="Arabic Typesetting"/>
                <w:b/>
                <w:color w:val="0070C0"/>
                <w:sz w:val="28"/>
                <w:szCs w:val="28"/>
                <w:lang w:eastAsia="ar-EG" w:bidi="ar-EG"/>
              </w:rPr>
            </w:pPr>
            <w:r w:rsidRPr="001F2068">
              <w:rPr>
                <w:rFonts w:ascii="Arabic Typesetting" w:eastAsia="Arabic Typesetting" w:hAnsi="Arabic Typesetting" w:cs="Arabic Typesetting"/>
                <w:b/>
                <w:bCs/>
                <w:color w:val="0070C0"/>
                <w:sz w:val="28"/>
                <w:szCs w:val="28"/>
                <w:rtl/>
                <w:lang w:eastAsia="ar-EG" w:bidi="ar-EG"/>
              </w:rPr>
              <w:t>غير متاح في</w:t>
            </w:r>
            <w:r>
              <w:rPr>
                <w:rFonts w:ascii="Arabic Typesetting" w:eastAsia="Arabic Typesetting" w:hAnsi="Arabic Typesetting" w:cs="Arabic Typesetting" w:hint="cs"/>
                <w:b/>
                <w:bCs/>
                <w:color w:val="0070C0"/>
                <w:sz w:val="28"/>
                <w:szCs w:val="28"/>
                <w:rtl/>
                <w:lang w:eastAsia="ar-EG" w:bidi="ar-EG"/>
              </w:rPr>
              <w:t> </w:t>
            </w:r>
            <w:r w:rsidRPr="001F2068">
              <w:rPr>
                <w:rFonts w:ascii="Arabic Typesetting" w:eastAsia="Arabic Typesetting" w:hAnsi="Arabic Typesetting" w:cs="Arabic Typesetting"/>
                <w:b/>
                <w:bCs/>
                <w:color w:val="0070C0"/>
                <w:sz w:val="28"/>
                <w:szCs w:val="28"/>
                <w:rtl/>
                <w:lang w:eastAsia="ar-EG" w:bidi="ar-EG"/>
              </w:rPr>
              <w:t>2016</w:t>
            </w:r>
          </w:p>
          <w:p w14:paraId="2671CDCF" w14:textId="0894AC7D" w:rsidR="00BD3831" w:rsidRPr="006A1A09"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b/>
                <w:bCs/>
                <w:color w:val="A6A6A6"/>
                <w:sz w:val="28"/>
                <w:szCs w:val="28"/>
                <w:rtl/>
                <w:lang w:eastAsia="ar-EG" w:bidi="ar-EG"/>
              </w:rPr>
              <w:t>‏غير قابل للقياس</w:t>
            </w:r>
            <w:r w:rsidR="006A1A09" w:rsidRPr="001F2068">
              <w:rPr>
                <w:rFonts w:ascii="Arabic Typesetting" w:eastAsia="Arabic Typesetting" w:hAnsi="Arabic Typesetting" w:cs="Arabic Typesetting"/>
                <w:color w:val="000000"/>
                <w:sz w:val="28"/>
                <w:szCs w:val="28"/>
                <w:vertAlign w:val="superscript"/>
                <w:lang w:eastAsia="ar-EG" w:bidi="ar-EG"/>
              </w:rPr>
              <w:footnoteReference w:id="79"/>
            </w:r>
          </w:p>
        </w:tc>
      </w:tr>
      <w:tr w:rsidR="00BD3831" w:rsidRPr="001F2068" w14:paraId="645D205C" w14:textId="77777777" w:rsidTr="00DF6715">
        <w:trPr>
          <w:cantSplit/>
          <w:trHeight w:val="3153"/>
        </w:trPr>
        <w:tc>
          <w:tcPr>
            <w:tcW w:w="997" w:type="pct"/>
            <w:shd w:val="clear" w:color="auto" w:fill="auto"/>
            <w:tcMar>
              <w:left w:w="58" w:type="dxa"/>
              <w:right w:w="58" w:type="dxa"/>
            </w:tcMar>
          </w:tcPr>
          <w:p w14:paraId="228957CB"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lastRenderedPageBreak/>
              <w:t>معايير الخدم</w:t>
            </w:r>
            <w:r>
              <w:rPr>
                <w:rFonts w:ascii="Arabic Typesetting" w:eastAsia="Arabic Typesetting" w:hAnsi="Arabic Typesetting" w:cs="Arabic Typesetting"/>
                <w:color w:val="000000"/>
                <w:sz w:val="28"/>
                <w:szCs w:val="28"/>
                <w:rtl/>
                <w:lang w:eastAsia="ar-EG" w:bidi="ar-EG"/>
              </w:rPr>
              <w:t>ات في مركز الويبو لخدمة الزبائن</w:t>
            </w:r>
          </w:p>
        </w:tc>
        <w:tc>
          <w:tcPr>
            <w:tcW w:w="1303" w:type="pct"/>
            <w:shd w:val="clear" w:color="auto" w:fill="auto"/>
            <w:tcMar>
              <w:left w:w="58" w:type="dxa"/>
              <w:right w:w="58" w:type="dxa"/>
            </w:tcMar>
          </w:tcPr>
          <w:p w14:paraId="09F9BB20" w14:textId="77777777" w:rsidR="00BD3831" w:rsidRDefault="00BD3831" w:rsidP="0031289D">
            <w:pPr>
              <w:autoSpaceDE w:val="0"/>
              <w:autoSpaceDN w:val="0"/>
              <w:bidi/>
              <w:adjustRightInd w:val="0"/>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‏"1" تمت معالجة 92% من التذاكر في غضون يوم واحد</w:t>
            </w:r>
            <w:r>
              <w:rPr>
                <w:rFonts w:ascii="Arabic Typesetting" w:eastAsia="Arabic Typesetting" w:hAnsi="Arabic Typesetting" w:cs="Arabic Typesetting"/>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‏"2" تمت معالجة 100% من الشكاوى في غضون 8 ساعات عمل</w:t>
            </w:r>
          </w:p>
          <w:p w14:paraId="4C8C6CD4"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1F2068">
              <w:rPr>
                <w:rFonts w:ascii="Arabic Typesetting" w:eastAsia="Arabic Typesetting" w:hAnsi="Arabic Typesetting" w:cs="Arabic Typesetting"/>
                <w:i/>
                <w:iCs/>
                <w:sz w:val="28"/>
                <w:szCs w:val="28"/>
                <w:rtl/>
                <w:lang w:eastAsia="ar-EG" w:bidi="ar-EG"/>
              </w:rPr>
              <w:t>:</w:t>
            </w:r>
            <w:r w:rsidRPr="001F2068">
              <w:rPr>
                <w:rFonts w:ascii="Arabic Typesetting" w:eastAsia="Arabic Typesetting" w:hAnsi="Arabic Typesetting" w:cs="Arabic Typesetting"/>
                <w:i/>
                <w:sz w:val="28"/>
                <w:szCs w:val="28"/>
                <w:lang w:eastAsia="ar-EG" w:bidi="ar-EG"/>
              </w:rPr>
              <w:br/>
            </w:r>
            <w:r w:rsidRPr="001F206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تمت معالجة 92</w:t>
            </w:r>
            <w:r>
              <w:rPr>
                <w:rFonts w:ascii="Arabic Typesetting" w:eastAsia="Arabic Typesetting" w:hAnsi="Arabic Typesetting" w:cs="Arabic Typesetting"/>
                <w:color w:val="000000"/>
                <w:sz w:val="28"/>
                <w:szCs w:val="28"/>
                <w:rtl/>
                <w:lang w:eastAsia="ar-EG" w:bidi="ar-EG"/>
              </w:rPr>
              <w:t>% من التذاكر في غضون يوم واحد؛</w:t>
            </w:r>
          </w:p>
          <w:p w14:paraId="4237CF51" w14:textId="77777777"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color w:val="000000"/>
                <w:sz w:val="28"/>
                <w:szCs w:val="28"/>
                <w:rtl/>
                <w:lang w:eastAsia="ar-EG" w:bidi="ar-EG"/>
              </w:rPr>
              <w:t>تمت معالجة 100% من الشكاوى في غضون 8 ساعات عمل</w:t>
            </w:r>
          </w:p>
        </w:tc>
        <w:tc>
          <w:tcPr>
            <w:tcW w:w="868" w:type="pct"/>
            <w:shd w:val="clear" w:color="auto" w:fill="auto"/>
            <w:tcMar>
              <w:top w:w="110" w:type="dxa"/>
              <w:left w:w="58" w:type="dxa"/>
              <w:right w:w="58" w:type="dxa"/>
            </w:tcMar>
          </w:tcPr>
          <w:p w14:paraId="72192925" w14:textId="77777777" w:rsidR="00BD3831" w:rsidRPr="001F2068" w:rsidRDefault="00BD3831" w:rsidP="0031289D">
            <w:pPr>
              <w:autoSpaceDE w:val="0"/>
              <w:autoSpaceDN w:val="0"/>
              <w:bidi/>
              <w:adjustRightInd w:val="0"/>
              <w:spacing w:after="120" w:line="280" w:lineRule="exact"/>
              <w:rPr>
                <w:rFonts w:ascii="Arabic Typesetting" w:eastAsia="Arabic Typesetting" w:hAnsi="Arabic Typesetting" w:cs="Arabic Typesetting"/>
                <w:color w:val="002060"/>
                <w:sz w:val="28"/>
                <w:szCs w:val="28"/>
                <w:highlight w:val="yellow"/>
                <w:lang w:eastAsia="ar-EG" w:bidi="ar-EG"/>
              </w:rPr>
            </w:pPr>
            <w:r w:rsidRPr="001F2068">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1F2068">
              <w:rPr>
                <w:rFonts w:ascii="Arabic Typesetting" w:eastAsia="Arabic Typesetting" w:hAnsi="Arabic Typesetting" w:cs="Arabic Typesetting"/>
                <w:color w:val="002060"/>
                <w:sz w:val="28"/>
                <w:szCs w:val="28"/>
                <w:rtl/>
                <w:lang w:eastAsia="ar-EG" w:bidi="ar-EG"/>
              </w:rPr>
              <w:t>‏"1" تمت معالجة 92% من التذاكر في غضون يوم</w:t>
            </w:r>
            <w:r>
              <w:rPr>
                <w:rFonts w:ascii="Arabic Typesetting" w:eastAsia="Arabic Typesetting" w:hAnsi="Arabic Typesetting" w:cs="Arabic Typesetting" w:hint="cs"/>
                <w:color w:val="002060"/>
                <w:sz w:val="28"/>
                <w:szCs w:val="28"/>
                <w:rtl/>
                <w:lang w:eastAsia="ar-EG" w:bidi="ar-EG"/>
              </w:rPr>
              <w:t> </w:t>
            </w:r>
            <w:r w:rsidRPr="001F2068">
              <w:rPr>
                <w:rFonts w:ascii="Arabic Typesetting" w:eastAsia="Arabic Typesetting" w:hAnsi="Arabic Typesetting" w:cs="Arabic Typesetting"/>
                <w:color w:val="002060"/>
                <w:sz w:val="28"/>
                <w:szCs w:val="28"/>
                <w:rtl/>
                <w:lang w:eastAsia="ar-EG" w:bidi="ar-EG"/>
              </w:rPr>
              <w:t>واحد</w:t>
            </w:r>
          </w:p>
          <w:p w14:paraId="4A4C5EA9" w14:textId="77777777" w:rsidR="00BD3831" w:rsidRDefault="00BD3831" w:rsidP="0031289D">
            <w:pPr>
              <w:autoSpaceDE w:val="0"/>
              <w:autoSpaceDN w:val="0"/>
              <w:bidi/>
              <w:adjustRightInd w:val="0"/>
              <w:spacing w:after="120" w:line="280" w:lineRule="exact"/>
              <w:rPr>
                <w:rFonts w:ascii="Arabic Typesetting" w:eastAsia="Arabic Typesetting" w:hAnsi="Arabic Typesetting" w:cs="Arabic Typesetting"/>
                <w:color w:val="002060"/>
                <w:sz w:val="28"/>
                <w:szCs w:val="28"/>
                <w:lang w:eastAsia="ar-EG" w:bidi="ar-EG"/>
              </w:rPr>
            </w:pPr>
            <w:r w:rsidRPr="001F2068">
              <w:rPr>
                <w:rFonts w:ascii="Arabic Typesetting" w:eastAsia="Arabic Typesetting" w:hAnsi="Arabic Typesetting" w:cs="Arabic Typesetting"/>
                <w:color w:val="002060"/>
                <w:sz w:val="28"/>
                <w:szCs w:val="28"/>
                <w:rtl/>
                <w:lang w:eastAsia="ar-EG" w:bidi="ar-EG"/>
              </w:rPr>
              <w:t>‏"2" تمت معالجة 100% من الشكاوى في غضون 8 ساعات عمل</w:t>
            </w:r>
          </w:p>
          <w:p w14:paraId="6ED85AB9" w14:textId="1A85F859" w:rsidR="00BD3831" w:rsidRPr="001F2068"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1F2068">
              <w:rPr>
                <w:rFonts w:ascii="Arabic Typesetting" w:eastAsia="Arabic Typesetting" w:hAnsi="Arabic Typesetting" w:cs="Arabic Typesetting"/>
                <w:i/>
                <w:sz w:val="28"/>
                <w:szCs w:val="28"/>
                <w:lang w:eastAsia="ar-EG" w:bidi="ar-EG"/>
              </w:rPr>
              <w:br/>
            </w:r>
            <w:r w:rsidRPr="001F2068">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1F2068">
              <w:rPr>
                <w:rFonts w:ascii="Arabic Typesetting" w:eastAsia="Arabic Typesetting" w:hAnsi="Arabic Typesetting" w:cs="Arabic Typesetting"/>
                <w:color w:val="000000"/>
                <w:sz w:val="28"/>
                <w:szCs w:val="28"/>
                <w:rtl/>
                <w:lang w:eastAsia="ar-EG" w:bidi="ar-EG"/>
              </w:rPr>
              <w:t>‏معالجة 90% من التذاكر في غضون يوم واحد؛ ومعالجة 90% من الشكاوى في غضون 8</w:t>
            </w:r>
            <w:r>
              <w:rPr>
                <w:rFonts w:ascii="Arabic Typesetting" w:eastAsia="Arabic Typesetting" w:hAnsi="Arabic Typesetting" w:cs="Arabic Typesetting" w:hint="cs"/>
                <w:color w:val="000000"/>
                <w:sz w:val="28"/>
                <w:szCs w:val="28"/>
                <w:rtl/>
                <w:lang w:eastAsia="ar-EG" w:bidi="ar-EG"/>
              </w:rPr>
              <w:t> </w:t>
            </w:r>
            <w:r w:rsidRPr="001F2068">
              <w:rPr>
                <w:rFonts w:ascii="Arabic Typesetting" w:eastAsia="Arabic Typesetting" w:hAnsi="Arabic Typesetting" w:cs="Arabic Typesetting"/>
                <w:color w:val="000000"/>
                <w:sz w:val="28"/>
                <w:szCs w:val="28"/>
                <w:rtl/>
                <w:lang w:eastAsia="ar-EG" w:bidi="ar-EG"/>
              </w:rPr>
              <w:t>ساعات عمل</w:t>
            </w:r>
          </w:p>
        </w:tc>
        <w:tc>
          <w:tcPr>
            <w:tcW w:w="1157" w:type="pct"/>
            <w:shd w:val="clear" w:color="auto" w:fill="FFFFFF"/>
            <w:tcMar>
              <w:top w:w="110" w:type="dxa"/>
              <w:left w:w="58" w:type="dxa"/>
              <w:right w:w="58" w:type="dxa"/>
            </w:tcMar>
          </w:tcPr>
          <w:p w14:paraId="7D1D6988" w14:textId="77777777" w:rsidR="00BD3831"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highlight w:val="yellow"/>
                <w:lang w:eastAsia="ar-EG" w:bidi="ar-EG"/>
              </w:rPr>
            </w:pPr>
            <w:r w:rsidRPr="001F2068">
              <w:rPr>
                <w:rFonts w:ascii="Arabic Typesetting" w:eastAsia="Arabic Typesetting" w:hAnsi="Arabic Typesetting" w:cs="Arabic Typesetting"/>
                <w:sz w:val="28"/>
                <w:szCs w:val="28"/>
                <w:rtl/>
                <w:lang w:eastAsia="ar-EG" w:bidi="ar-EG"/>
              </w:rPr>
              <w:t>"1"</w:t>
            </w:r>
            <w:r>
              <w:rPr>
                <w:rFonts w:ascii="Arabic Typesetting" w:eastAsia="Arabic Typesetting" w:hAnsi="Arabic Typesetting" w:cs="Arabic Typesetting" w:hint="cs"/>
                <w:sz w:val="28"/>
                <w:szCs w:val="28"/>
                <w:rtl/>
                <w:lang w:eastAsia="ar-EG" w:bidi="ar-EG"/>
              </w:rPr>
              <w:t xml:space="preserve"> </w:t>
            </w:r>
            <w:r w:rsidRPr="001F2068">
              <w:rPr>
                <w:rFonts w:ascii="Arabic Typesetting" w:eastAsia="Arabic Typesetting" w:hAnsi="Arabic Typesetting" w:cs="Arabic Typesetting"/>
                <w:sz w:val="28"/>
                <w:szCs w:val="28"/>
                <w:rtl/>
                <w:lang w:eastAsia="ar-EG" w:bidi="ar-EG"/>
              </w:rPr>
              <w:t>استُحدثت آلية تعقب محسَّنة خلال عام 2016 أُطلقت في نهاية عام 2016</w:t>
            </w:r>
          </w:p>
          <w:p w14:paraId="6C669032" w14:textId="77777777" w:rsidR="00BD3831" w:rsidRPr="001F2068"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1F2068">
              <w:rPr>
                <w:rFonts w:ascii="Arabic Typesetting" w:eastAsia="Arabic Typesetting" w:hAnsi="Arabic Typesetting" w:cs="Arabic Typesetting"/>
                <w:sz w:val="28"/>
                <w:szCs w:val="28"/>
                <w:rtl/>
                <w:lang w:eastAsia="ar-EG" w:bidi="ar-EG"/>
              </w:rPr>
              <w:t>‏"2" تمت معالجة 100% من الشكاوى في غضون 8</w:t>
            </w:r>
            <w:r>
              <w:rPr>
                <w:rFonts w:ascii="Arabic Typesetting" w:eastAsia="Arabic Typesetting" w:hAnsi="Arabic Typesetting" w:cs="Arabic Typesetting" w:hint="cs"/>
                <w:sz w:val="28"/>
                <w:szCs w:val="28"/>
                <w:rtl/>
                <w:lang w:eastAsia="ar-EG" w:bidi="ar-EG"/>
              </w:rPr>
              <w:t> </w:t>
            </w:r>
            <w:r w:rsidRPr="001F2068">
              <w:rPr>
                <w:rFonts w:ascii="Arabic Typesetting" w:eastAsia="Arabic Typesetting" w:hAnsi="Arabic Typesetting" w:cs="Arabic Typesetting"/>
                <w:sz w:val="28"/>
                <w:szCs w:val="28"/>
                <w:rtl/>
                <w:lang w:eastAsia="ar-EG" w:bidi="ar-EG"/>
              </w:rPr>
              <w:t>ساعات</w:t>
            </w:r>
            <w:r>
              <w:rPr>
                <w:rFonts w:ascii="Arabic Typesetting" w:eastAsia="Arabic Typesetting" w:hAnsi="Arabic Typesetting" w:cs="Arabic Typesetting" w:hint="cs"/>
                <w:sz w:val="28"/>
                <w:szCs w:val="28"/>
                <w:rtl/>
                <w:lang w:eastAsia="ar-EG" w:bidi="ar-EG"/>
              </w:rPr>
              <w:t> </w:t>
            </w:r>
            <w:r w:rsidRPr="001F2068">
              <w:rPr>
                <w:rFonts w:ascii="Arabic Typesetting" w:eastAsia="Arabic Typesetting" w:hAnsi="Arabic Typesetting" w:cs="Arabic Typesetting"/>
                <w:sz w:val="28"/>
                <w:szCs w:val="28"/>
                <w:rtl/>
                <w:lang w:eastAsia="ar-EG" w:bidi="ar-EG"/>
              </w:rPr>
              <w:t>عمل</w:t>
            </w:r>
          </w:p>
        </w:tc>
        <w:tc>
          <w:tcPr>
            <w:tcW w:w="676" w:type="pct"/>
            <w:shd w:val="clear" w:color="auto" w:fill="auto"/>
            <w:tcMar>
              <w:top w:w="110" w:type="dxa"/>
              <w:left w:w="58" w:type="dxa"/>
              <w:right w:w="58" w:type="dxa"/>
            </w:tcMar>
          </w:tcPr>
          <w:p w14:paraId="35B6CFDE" w14:textId="77777777" w:rsidR="00BD3831" w:rsidRDefault="00BD3831" w:rsidP="0031289D">
            <w:pPr>
              <w:bidi/>
              <w:spacing w:after="400" w:line="280" w:lineRule="exact"/>
              <w:jc w:val="center"/>
              <w:rPr>
                <w:rFonts w:ascii="Arabic Typesetting" w:eastAsia="Arabic Typesetting" w:hAnsi="Arabic Typesetting" w:cs="Arabic Typesetting"/>
                <w:b/>
                <w:color w:val="0070C0"/>
                <w:sz w:val="28"/>
                <w:szCs w:val="28"/>
                <w:lang w:eastAsia="ar-EG" w:bidi="ar-EG"/>
              </w:rPr>
            </w:pPr>
            <w:r w:rsidRPr="001F2068">
              <w:rPr>
                <w:rFonts w:ascii="Arabic Typesetting" w:eastAsia="Arabic Typesetting" w:hAnsi="Arabic Typesetting" w:cs="Arabic Typesetting"/>
                <w:b/>
                <w:bCs/>
                <w:color w:val="0070C0"/>
                <w:sz w:val="28"/>
                <w:szCs w:val="28"/>
                <w:rtl/>
                <w:lang w:eastAsia="ar-EG" w:bidi="ar-EG"/>
              </w:rPr>
              <w:t>غير متاح في</w:t>
            </w:r>
            <w:r>
              <w:rPr>
                <w:rFonts w:ascii="Arabic Typesetting" w:eastAsia="Arabic Typesetting" w:hAnsi="Arabic Typesetting" w:cs="Arabic Typesetting" w:hint="cs"/>
                <w:b/>
                <w:bCs/>
                <w:color w:val="0070C0"/>
                <w:sz w:val="28"/>
                <w:szCs w:val="28"/>
                <w:rtl/>
                <w:lang w:eastAsia="ar-EG" w:bidi="ar-EG"/>
              </w:rPr>
              <w:t> </w:t>
            </w:r>
            <w:r w:rsidRPr="001F2068">
              <w:rPr>
                <w:rFonts w:ascii="Arabic Typesetting" w:eastAsia="Arabic Typesetting" w:hAnsi="Arabic Typesetting" w:cs="Arabic Typesetting"/>
                <w:b/>
                <w:bCs/>
                <w:color w:val="0070C0"/>
                <w:sz w:val="28"/>
                <w:szCs w:val="28"/>
                <w:rtl/>
                <w:lang w:eastAsia="ar-EG" w:bidi="ar-EG"/>
              </w:rPr>
              <w:t>2016</w:t>
            </w:r>
          </w:p>
          <w:p w14:paraId="41513B4F" w14:textId="77777777" w:rsidR="00BD3831" w:rsidRPr="001F2068"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1F2068">
              <w:rPr>
                <w:rFonts w:ascii="Arabic Typesetting" w:eastAsia="Arabic Typesetting" w:hAnsi="Arabic Typesetting" w:cs="Arabic Typesetting"/>
                <w:b/>
                <w:bCs/>
                <w:color w:val="00B050"/>
                <w:sz w:val="28"/>
                <w:szCs w:val="28"/>
                <w:rtl/>
                <w:lang w:eastAsia="ar-EG" w:bidi="ar-EG"/>
              </w:rPr>
              <w:t>ثابت</w:t>
            </w:r>
          </w:p>
        </w:tc>
      </w:tr>
    </w:tbl>
    <w:p w14:paraId="63AF6161" w14:textId="77777777" w:rsidR="00BD3831" w:rsidRDefault="00BD3831" w:rsidP="0031289D">
      <w:pPr>
        <w:bidi/>
        <w:rPr>
          <w:rtl/>
        </w:rPr>
      </w:pPr>
    </w:p>
    <w:tbl>
      <w:tblPr>
        <w:tblStyle w:val="TableGrid"/>
        <w:bidiVisual/>
        <w:tblW w:w="0" w:type="auto"/>
        <w:tblLook w:val="04A0" w:firstRow="1" w:lastRow="0" w:firstColumn="1" w:lastColumn="0" w:noHBand="0" w:noVBand="1"/>
      </w:tblPr>
      <w:tblGrid>
        <w:gridCol w:w="9571"/>
      </w:tblGrid>
      <w:tr w:rsidR="00BD3831" w14:paraId="27A81B87" w14:textId="77777777" w:rsidTr="00DF6715">
        <w:tc>
          <w:tcPr>
            <w:tcW w:w="9571" w:type="dxa"/>
            <w:tcBorders>
              <w:top w:val="nil"/>
              <w:left w:val="nil"/>
              <w:bottom w:val="nil"/>
              <w:right w:val="nil"/>
            </w:tcBorders>
            <w:shd w:val="clear" w:color="auto" w:fill="C6D9F1"/>
            <w:vAlign w:val="center"/>
          </w:tcPr>
          <w:p w14:paraId="5A37BF05" w14:textId="77777777" w:rsidR="00BD3831" w:rsidRPr="00A2672B" w:rsidRDefault="00BD3831"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19</w:t>
            </w:r>
          </w:p>
        </w:tc>
      </w:tr>
    </w:tbl>
    <w:p w14:paraId="7734D56B" w14:textId="77777777" w:rsidR="00BD3831" w:rsidRPr="00FE3908" w:rsidRDefault="00BD3831"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40EC5FBC" w14:textId="77777777" w:rsidR="00BD3831" w:rsidRDefault="00BD3831"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D3831" w:rsidRPr="00211D55" w14:paraId="018DC2C0" w14:textId="77777777" w:rsidTr="00DF6715">
        <w:trPr>
          <w:trHeight w:val="825"/>
        </w:trPr>
        <w:tc>
          <w:tcPr>
            <w:tcW w:w="2753" w:type="pct"/>
            <w:gridSpan w:val="2"/>
            <w:shd w:val="clear" w:color="auto" w:fill="C6D9F1"/>
            <w:noWrap/>
            <w:tcMar>
              <w:top w:w="15" w:type="dxa"/>
              <w:left w:w="15" w:type="dxa"/>
              <w:bottom w:w="0" w:type="dxa"/>
              <w:right w:w="15" w:type="dxa"/>
            </w:tcMar>
            <w:vAlign w:val="center"/>
            <w:hideMark/>
          </w:tcPr>
          <w:p w14:paraId="47217E7F"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6AFEA7C0"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467653E1" w14:textId="77777777" w:rsidR="00BD3831" w:rsidRPr="00A2672B" w:rsidRDefault="00BD3831"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447CC491"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D3831" w:rsidRPr="00211D55" w14:paraId="55890044" w14:textId="77777777" w:rsidTr="00DF6715">
        <w:trPr>
          <w:trHeight w:val="55"/>
        </w:trPr>
        <w:tc>
          <w:tcPr>
            <w:tcW w:w="413" w:type="pct"/>
            <w:shd w:val="clear" w:color="auto" w:fill="auto"/>
            <w:noWrap/>
            <w:tcMar>
              <w:top w:w="15" w:type="dxa"/>
              <w:left w:w="15" w:type="dxa"/>
              <w:bottom w:w="0" w:type="dxa"/>
              <w:right w:w="15" w:type="dxa"/>
            </w:tcMar>
          </w:tcPr>
          <w:p w14:paraId="3674EB95" w14:textId="77777777" w:rsidR="00BD3831" w:rsidRPr="001F2068" w:rsidRDefault="00BD3831" w:rsidP="0031289D">
            <w:pPr>
              <w:bidi/>
              <w:spacing w:before="120" w:after="120"/>
              <w:rPr>
                <w:rFonts w:ascii="Arabic Typesetting" w:hAnsi="Arabic Typesetting" w:cs="Arabic Typesetting"/>
                <w:sz w:val="28"/>
                <w:szCs w:val="28"/>
              </w:rPr>
            </w:pPr>
            <w:r w:rsidRPr="001F2068">
              <w:rPr>
                <w:rFonts w:ascii="Arabic Typesetting" w:hAnsi="Arabic Typesetting" w:cs="Arabic Typesetting"/>
                <w:sz w:val="28"/>
                <w:szCs w:val="28"/>
                <w:rtl/>
              </w:rPr>
              <w:t>ه1.8</w:t>
            </w:r>
          </w:p>
        </w:tc>
        <w:tc>
          <w:tcPr>
            <w:tcW w:w="2340" w:type="pct"/>
            <w:shd w:val="clear" w:color="auto" w:fill="auto"/>
            <w:tcMar>
              <w:top w:w="15" w:type="dxa"/>
              <w:left w:w="15" w:type="dxa"/>
              <w:bottom w:w="0" w:type="dxa"/>
              <w:right w:w="15" w:type="dxa"/>
            </w:tcMar>
          </w:tcPr>
          <w:p w14:paraId="3E7E96EF" w14:textId="77777777" w:rsidR="00BD3831" w:rsidRPr="001F2068" w:rsidRDefault="00BD3831" w:rsidP="0031289D">
            <w:pPr>
              <w:bidi/>
              <w:spacing w:before="120" w:after="120"/>
              <w:rPr>
                <w:rFonts w:ascii="Arabic Typesetting" w:hAnsi="Arabic Typesetting" w:cs="Arabic Typesetting"/>
                <w:sz w:val="28"/>
                <w:szCs w:val="28"/>
              </w:rPr>
            </w:pPr>
            <w:r w:rsidRPr="001F2068">
              <w:rPr>
                <w:rFonts w:ascii="Arabic Typesetting" w:hAnsi="Arabic Typesetting" w:cs="Arabic Typesetting"/>
                <w:sz w:val="28"/>
                <w:szCs w:val="28"/>
                <w:rtl/>
              </w:rPr>
              <w:t>التواصل بفعالية أكبر مع جمهور أوسع بشأن الملكية الفكرية ودور الويبو</w:t>
            </w:r>
          </w:p>
        </w:tc>
        <w:tc>
          <w:tcPr>
            <w:tcW w:w="749" w:type="pct"/>
            <w:shd w:val="clear" w:color="auto" w:fill="auto"/>
            <w:tcMar>
              <w:top w:w="15" w:type="dxa"/>
              <w:left w:w="15" w:type="dxa"/>
              <w:bottom w:w="0" w:type="dxa"/>
              <w:right w:w="15" w:type="dxa"/>
            </w:tcMar>
            <w:vAlign w:val="center"/>
          </w:tcPr>
          <w:p w14:paraId="19713208"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10</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808</w:t>
            </w:r>
          </w:p>
        </w:tc>
        <w:tc>
          <w:tcPr>
            <w:tcW w:w="749" w:type="pct"/>
            <w:shd w:val="clear" w:color="auto" w:fill="auto"/>
            <w:tcMar>
              <w:top w:w="15" w:type="dxa"/>
              <w:left w:w="15" w:type="dxa"/>
              <w:bottom w:w="0" w:type="dxa"/>
              <w:right w:w="15" w:type="dxa"/>
            </w:tcMar>
            <w:vAlign w:val="center"/>
          </w:tcPr>
          <w:p w14:paraId="26992344"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11</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336</w:t>
            </w:r>
          </w:p>
        </w:tc>
        <w:tc>
          <w:tcPr>
            <w:tcW w:w="749" w:type="pct"/>
            <w:shd w:val="clear" w:color="auto" w:fill="auto"/>
            <w:noWrap/>
            <w:tcMar>
              <w:top w:w="15" w:type="dxa"/>
              <w:left w:w="15" w:type="dxa"/>
              <w:bottom w:w="0" w:type="dxa"/>
              <w:right w:w="15" w:type="dxa"/>
            </w:tcMar>
            <w:vAlign w:val="center"/>
          </w:tcPr>
          <w:p w14:paraId="5BEAB0AF"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5</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078</w:t>
            </w:r>
          </w:p>
        </w:tc>
      </w:tr>
      <w:tr w:rsidR="00BD3831" w:rsidRPr="00211D55" w14:paraId="65A4F71C" w14:textId="77777777" w:rsidTr="00DF6715">
        <w:trPr>
          <w:trHeight w:val="55"/>
        </w:trPr>
        <w:tc>
          <w:tcPr>
            <w:tcW w:w="413" w:type="pct"/>
            <w:shd w:val="clear" w:color="auto" w:fill="auto"/>
            <w:noWrap/>
            <w:tcMar>
              <w:top w:w="15" w:type="dxa"/>
              <w:left w:w="15" w:type="dxa"/>
              <w:bottom w:w="0" w:type="dxa"/>
              <w:right w:w="15" w:type="dxa"/>
            </w:tcMar>
          </w:tcPr>
          <w:p w14:paraId="03DC109E" w14:textId="77777777" w:rsidR="00BD3831" w:rsidRPr="001F2068" w:rsidRDefault="00BD3831" w:rsidP="0031289D">
            <w:pPr>
              <w:bidi/>
              <w:spacing w:before="120" w:after="120"/>
              <w:rPr>
                <w:rFonts w:ascii="Arabic Typesetting" w:hAnsi="Arabic Typesetting" w:cs="Arabic Typesetting"/>
                <w:sz w:val="28"/>
                <w:szCs w:val="28"/>
              </w:rPr>
            </w:pPr>
            <w:r w:rsidRPr="001F2068">
              <w:rPr>
                <w:rFonts w:ascii="Arabic Typesetting" w:hAnsi="Arabic Typesetting" w:cs="Arabic Typesetting"/>
                <w:sz w:val="28"/>
                <w:szCs w:val="28"/>
                <w:rtl/>
              </w:rPr>
              <w:t>ه2.8</w:t>
            </w:r>
          </w:p>
        </w:tc>
        <w:tc>
          <w:tcPr>
            <w:tcW w:w="2340" w:type="pct"/>
            <w:shd w:val="clear" w:color="auto" w:fill="auto"/>
            <w:tcMar>
              <w:top w:w="15" w:type="dxa"/>
              <w:left w:w="15" w:type="dxa"/>
              <w:bottom w:w="0" w:type="dxa"/>
              <w:right w:w="15" w:type="dxa"/>
            </w:tcMar>
          </w:tcPr>
          <w:p w14:paraId="2C761DB2" w14:textId="77777777" w:rsidR="00BD3831" w:rsidRPr="001F2068" w:rsidRDefault="00BD3831" w:rsidP="0031289D">
            <w:pPr>
              <w:bidi/>
              <w:spacing w:before="120" w:after="120"/>
              <w:rPr>
                <w:rFonts w:ascii="Arabic Typesetting" w:hAnsi="Arabic Typesetting" w:cs="Arabic Typesetting"/>
                <w:sz w:val="28"/>
                <w:szCs w:val="28"/>
              </w:rPr>
            </w:pPr>
            <w:r w:rsidRPr="001F2068">
              <w:rPr>
                <w:rFonts w:ascii="Arabic Typesetting" w:hAnsi="Arabic Typesetting" w:cs="Arabic Typesetting"/>
                <w:sz w:val="28"/>
                <w:szCs w:val="28"/>
                <w:rtl/>
              </w:rPr>
              <w:t>توجّه أكبر نحو تقديم الخدمات واستجابة أفضل للاستفسارات</w:t>
            </w:r>
          </w:p>
        </w:tc>
        <w:tc>
          <w:tcPr>
            <w:tcW w:w="749" w:type="pct"/>
            <w:shd w:val="clear" w:color="auto" w:fill="auto"/>
            <w:tcMar>
              <w:top w:w="15" w:type="dxa"/>
              <w:left w:w="15" w:type="dxa"/>
              <w:bottom w:w="0" w:type="dxa"/>
              <w:right w:w="15" w:type="dxa"/>
            </w:tcMar>
            <w:vAlign w:val="center"/>
          </w:tcPr>
          <w:p w14:paraId="4A5DF427"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5</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674</w:t>
            </w:r>
          </w:p>
        </w:tc>
        <w:tc>
          <w:tcPr>
            <w:tcW w:w="749" w:type="pct"/>
            <w:shd w:val="clear" w:color="auto" w:fill="auto"/>
            <w:tcMar>
              <w:top w:w="15" w:type="dxa"/>
              <w:left w:w="15" w:type="dxa"/>
              <w:bottom w:w="0" w:type="dxa"/>
              <w:right w:w="15" w:type="dxa"/>
            </w:tcMar>
            <w:vAlign w:val="center"/>
          </w:tcPr>
          <w:p w14:paraId="116C68BE"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5</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653</w:t>
            </w:r>
          </w:p>
        </w:tc>
        <w:tc>
          <w:tcPr>
            <w:tcW w:w="749" w:type="pct"/>
            <w:shd w:val="clear" w:color="auto" w:fill="auto"/>
            <w:noWrap/>
            <w:tcMar>
              <w:top w:w="15" w:type="dxa"/>
              <w:left w:w="15" w:type="dxa"/>
              <w:bottom w:w="0" w:type="dxa"/>
              <w:right w:w="15" w:type="dxa"/>
            </w:tcMar>
            <w:vAlign w:val="center"/>
          </w:tcPr>
          <w:p w14:paraId="06FAFC12"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609</w:t>
            </w:r>
          </w:p>
        </w:tc>
      </w:tr>
      <w:tr w:rsidR="00BD3831" w:rsidRPr="00211D55" w14:paraId="3B28F524" w14:textId="77777777" w:rsidTr="00DF6715">
        <w:trPr>
          <w:trHeight w:val="225"/>
        </w:trPr>
        <w:tc>
          <w:tcPr>
            <w:tcW w:w="413" w:type="pct"/>
            <w:shd w:val="clear" w:color="auto" w:fill="C6D9F1"/>
            <w:noWrap/>
            <w:tcMar>
              <w:top w:w="15" w:type="dxa"/>
              <w:left w:w="15" w:type="dxa"/>
              <w:bottom w:w="0" w:type="dxa"/>
              <w:right w:w="15" w:type="dxa"/>
            </w:tcMar>
            <w:vAlign w:val="bottom"/>
            <w:hideMark/>
          </w:tcPr>
          <w:p w14:paraId="04A8CC56" w14:textId="77777777" w:rsidR="00BD3831" w:rsidRPr="00211D55" w:rsidRDefault="00BD3831"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5AB3A694" w14:textId="77777777" w:rsidR="00BD3831" w:rsidRPr="00280D1A" w:rsidRDefault="00BD3831" w:rsidP="0031289D">
            <w:pPr>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390A6378" w14:textId="77777777"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16 483</w:t>
            </w:r>
          </w:p>
        </w:tc>
        <w:tc>
          <w:tcPr>
            <w:tcW w:w="749" w:type="pct"/>
            <w:shd w:val="clear" w:color="auto" w:fill="C6D9F1"/>
            <w:noWrap/>
            <w:tcMar>
              <w:top w:w="15" w:type="dxa"/>
              <w:left w:w="15" w:type="dxa"/>
              <w:bottom w:w="0" w:type="dxa"/>
              <w:right w:w="15" w:type="dxa"/>
            </w:tcMar>
            <w:vAlign w:val="center"/>
          </w:tcPr>
          <w:p w14:paraId="5E96B50E" w14:textId="77777777"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16 989</w:t>
            </w:r>
          </w:p>
        </w:tc>
        <w:tc>
          <w:tcPr>
            <w:tcW w:w="749" w:type="pct"/>
            <w:shd w:val="clear" w:color="auto" w:fill="C6D9F1"/>
            <w:noWrap/>
            <w:tcMar>
              <w:top w:w="15" w:type="dxa"/>
              <w:left w:w="15" w:type="dxa"/>
              <w:bottom w:w="0" w:type="dxa"/>
              <w:right w:w="15" w:type="dxa"/>
            </w:tcMar>
            <w:vAlign w:val="center"/>
          </w:tcPr>
          <w:p w14:paraId="56ACB858" w14:textId="77777777"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7 687</w:t>
            </w:r>
          </w:p>
        </w:tc>
      </w:tr>
      <w:tr w:rsidR="00BD3831" w:rsidRPr="00211D55" w14:paraId="1F0B6332" w14:textId="77777777" w:rsidTr="00DF6715">
        <w:trPr>
          <w:trHeight w:val="225"/>
        </w:trPr>
        <w:tc>
          <w:tcPr>
            <w:tcW w:w="5000" w:type="pct"/>
            <w:gridSpan w:val="5"/>
            <w:shd w:val="clear" w:color="auto" w:fill="auto"/>
            <w:noWrap/>
            <w:tcMar>
              <w:top w:w="15" w:type="dxa"/>
              <w:left w:w="15" w:type="dxa"/>
              <w:bottom w:w="0" w:type="dxa"/>
              <w:right w:w="15" w:type="dxa"/>
            </w:tcMar>
            <w:vAlign w:val="bottom"/>
          </w:tcPr>
          <w:p w14:paraId="2D513282" w14:textId="77777777" w:rsidR="00BD3831" w:rsidRPr="00A2672B" w:rsidRDefault="00BD3831"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12E930F6" w14:textId="77777777" w:rsidR="00BD3831" w:rsidRPr="00252762" w:rsidRDefault="00BD3831"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1707FEE6" w14:textId="77777777" w:rsidR="00BD3831" w:rsidRPr="00DF1D8A" w:rsidRDefault="00BD3831"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BD3831" w:rsidRPr="00211D55" w14:paraId="58F3ED1B" w14:textId="77777777" w:rsidTr="00DF6715">
        <w:trPr>
          <w:trHeight w:val="645"/>
        </w:trPr>
        <w:tc>
          <w:tcPr>
            <w:tcW w:w="1118" w:type="pct"/>
            <w:shd w:val="clear" w:color="auto" w:fill="C6D9F1"/>
            <w:noWrap/>
            <w:vAlign w:val="center"/>
            <w:hideMark/>
          </w:tcPr>
          <w:p w14:paraId="28CA7381" w14:textId="77777777" w:rsidR="00BD3831" w:rsidRPr="00211D55" w:rsidRDefault="00BD3831"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79BDED4F" w14:textId="77777777" w:rsidR="00BD3831" w:rsidRPr="00211D55" w:rsidRDefault="00BD3831"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0645DA8D" w14:textId="77777777" w:rsidR="00BD3831" w:rsidRPr="00211D55" w:rsidRDefault="00BD3831"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40DE0799" w14:textId="77777777" w:rsidR="00BD3831" w:rsidRPr="00211D55" w:rsidRDefault="00BD3831"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20D65126" w14:textId="77777777" w:rsidR="00BD3831" w:rsidRPr="00211D55" w:rsidRDefault="00BD3831"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D3831" w:rsidRPr="00211D55" w14:paraId="34E9C893" w14:textId="77777777" w:rsidTr="00DF6715">
        <w:trPr>
          <w:trHeight w:val="70"/>
        </w:trPr>
        <w:tc>
          <w:tcPr>
            <w:tcW w:w="1118" w:type="pct"/>
            <w:shd w:val="clear" w:color="auto" w:fill="auto"/>
            <w:noWrap/>
            <w:vAlign w:val="center"/>
            <w:hideMark/>
          </w:tcPr>
          <w:p w14:paraId="20DBF788" w14:textId="77777777" w:rsidR="00BD3831" w:rsidRPr="00211D55" w:rsidRDefault="00BD3831"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31B3E444"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13</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 xml:space="preserve">996 </w:t>
            </w:r>
          </w:p>
        </w:tc>
        <w:tc>
          <w:tcPr>
            <w:tcW w:w="971" w:type="pct"/>
            <w:shd w:val="clear" w:color="auto" w:fill="auto"/>
            <w:vAlign w:val="center"/>
          </w:tcPr>
          <w:p w14:paraId="5D48BF98"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13</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 xml:space="preserve">991 </w:t>
            </w:r>
          </w:p>
        </w:tc>
        <w:tc>
          <w:tcPr>
            <w:tcW w:w="970" w:type="pct"/>
            <w:shd w:val="clear" w:color="auto" w:fill="auto"/>
            <w:vAlign w:val="center"/>
          </w:tcPr>
          <w:p w14:paraId="4AEB2194"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6</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 xml:space="preserve">500 </w:t>
            </w:r>
          </w:p>
        </w:tc>
        <w:tc>
          <w:tcPr>
            <w:tcW w:w="970" w:type="pct"/>
            <w:shd w:val="clear" w:color="auto" w:fill="auto"/>
            <w:vAlign w:val="center"/>
          </w:tcPr>
          <w:p w14:paraId="3974122B" w14:textId="77777777" w:rsidR="00BD3831" w:rsidRPr="001F2068" w:rsidRDefault="00BD3831"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%46</w:t>
            </w:r>
          </w:p>
        </w:tc>
      </w:tr>
      <w:tr w:rsidR="00BD3831" w:rsidRPr="00211D55" w14:paraId="1075A65B" w14:textId="77777777" w:rsidTr="00DF6715">
        <w:trPr>
          <w:trHeight w:val="70"/>
        </w:trPr>
        <w:tc>
          <w:tcPr>
            <w:tcW w:w="1118" w:type="pct"/>
            <w:shd w:val="clear" w:color="auto" w:fill="auto"/>
            <w:noWrap/>
            <w:vAlign w:val="center"/>
            <w:hideMark/>
          </w:tcPr>
          <w:p w14:paraId="07C077C9" w14:textId="77777777" w:rsidR="00BD3831" w:rsidRPr="00211D55" w:rsidRDefault="00BD3831"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7DC01F53"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 xml:space="preserve">487 </w:t>
            </w:r>
          </w:p>
        </w:tc>
        <w:tc>
          <w:tcPr>
            <w:tcW w:w="971" w:type="pct"/>
            <w:shd w:val="clear" w:color="auto" w:fill="auto"/>
            <w:vAlign w:val="center"/>
          </w:tcPr>
          <w:p w14:paraId="4E7EB407"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 xml:space="preserve">998 </w:t>
            </w:r>
          </w:p>
        </w:tc>
        <w:tc>
          <w:tcPr>
            <w:tcW w:w="970" w:type="pct"/>
            <w:shd w:val="clear" w:color="auto" w:fill="auto"/>
            <w:vAlign w:val="center"/>
          </w:tcPr>
          <w:p w14:paraId="6DCD5A90" w14:textId="77777777" w:rsidR="00BD3831" w:rsidRPr="001F2068" w:rsidRDefault="00BD3831" w:rsidP="0031289D">
            <w:pPr>
              <w:jc w:val="center"/>
              <w:rPr>
                <w:rFonts w:ascii="Arabic Typesetting" w:hAnsi="Arabic Typesetting" w:cs="Arabic Typesetting"/>
                <w:color w:val="000000"/>
                <w:sz w:val="28"/>
                <w:szCs w:val="28"/>
              </w:rPr>
            </w:pPr>
            <w:r w:rsidRPr="001F2068">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1F2068">
              <w:rPr>
                <w:rFonts w:ascii="Arabic Typesetting" w:hAnsi="Arabic Typesetting" w:cs="Arabic Typesetting"/>
                <w:color w:val="000000"/>
                <w:sz w:val="28"/>
                <w:szCs w:val="28"/>
              </w:rPr>
              <w:t xml:space="preserve">187 </w:t>
            </w:r>
          </w:p>
        </w:tc>
        <w:tc>
          <w:tcPr>
            <w:tcW w:w="970" w:type="pct"/>
            <w:shd w:val="clear" w:color="auto" w:fill="auto"/>
            <w:vAlign w:val="center"/>
          </w:tcPr>
          <w:p w14:paraId="7A184756" w14:textId="77777777" w:rsidR="00BD3831" w:rsidRPr="001F2068" w:rsidRDefault="00BD3831"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%40</w:t>
            </w:r>
          </w:p>
        </w:tc>
      </w:tr>
      <w:tr w:rsidR="00BD3831" w:rsidRPr="00211D55" w14:paraId="28334D7F" w14:textId="77777777" w:rsidTr="00AF6433">
        <w:trPr>
          <w:trHeight w:val="70"/>
        </w:trPr>
        <w:tc>
          <w:tcPr>
            <w:tcW w:w="1118" w:type="pct"/>
            <w:shd w:val="clear" w:color="auto" w:fill="C6D9F1"/>
            <w:noWrap/>
            <w:vAlign w:val="center"/>
            <w:hideMark/>
          </w:tcPr>
          <w:p w14:paraId="0C7BAB22" w14:textId="77777777" w:rsidR="00BD3831" w:rsidRPr="00211D55" w:rsidRDefault="00BD3831"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7F60E20F" w14:textId="77777777" w:rsidR="00BD3831" w:rsidRPr="001F2068" w:rsidRDefault="00BD3831" w:rsidP="0031289D">
            <w:pPr>
              <w:jc w:val="center"/>
              <w:rPr>
                <w:rFonts w:ascii="Arabic Typesetting" w:hAnsi="Arabic Typesetting" w:cs="Arabic Typesetting"/>
                <w:b/>
                <w:bCs/>
                <w:color w:val="000000"/>
                <w:sz w:val="28"/>
                <w:szCs w:val="28"/>
              </w:rPr>
            </w:pPr>
            <w:r w:rsidRPr="001F2068">
              <w:rPr>
                <w:rFonts w:ascii="Arabic Typesetting" w:hAnsi="Arabic Typesetting" w:cs="Arabic Typesetting"/>
                <w:b/>
                <w:bCs/>
                <w:color w:val="000000"/>
                <w:sz w:val="28"/>
                <w:szCs w:val="28"/>
              </w:rPr>
              <w:t>16</w:t>
            </w:r>
            <w:r>
              <w:rPr>
                <w:rFonts w:ascii="Arabic Typesetting" w:hAnsi="Arabic Typesetting" w:cs="Arabic Typesetting"/>
                <w:b/>
                <w:bCs/>
                <w:color w:val="000000"/>
                <w:sz w:val="28"/>
                <w:szCs w:val="28"/>
              </w:rPr>
              <w:t> </w:t>
            </w:r>
            <w:r w:rsidRPr="001F2068">
              <w:rPr>
                <w:rFonts w:ascii="Arabic Typesetting" w:hAnsi="Arabic Typesetting" w:cs="Arabic Typesetting"/>
                <w:b/>
                <w:bCs/>
                <w:color w:val="000000"/>
                <w:sz w:val="28"/>
                <w:szCs w:val="28"/>
              </w:rPr>
              <w:t xml:space="preserve">483 </w:t>
            </w:r>
          </w:p>
        </w:tc>
        <w:tc>
          <w:tcPr>
            <w:tcW w:w="971" w:type="pct"/>
            <w:shd w:val="clear" w:color="auto" w:fill="C6D9F1"/>
            <w:vAlign w:val="center"/>
          </w:tcPr>
          <w:p w14:paraId="42CD47D2" w14:textId="77777777" w:rsidR="00BD3831" w:rsidRPr="001F2068" w:rsidRDefault="00BD3831" w:rsidP="0031289D">
            <w:pPr>
              <w:jc w:val="center"/>
              <w:rPr>
                <w:rFonts w:ascii="Arabic Typesetting" w:hAnsi="Arabic Typesetting" w:cs="Arabic Typesetting"/>
                <w:b/>
                <w:bCs/>
                <w:color w:val="000000"/>
                <w:sz w:val="28"/>
                <w:szCs w:val="28"/>
              </w:rPr>
            </w:pPr>
            <w:r w:rsidRPr="001F2068">
              <w:rPr>
                <w:rFonts w:ascii="Arabic Typesetting" w:hAnsi="Arabic Typesetting" w:cs="Arabic Typesetting"/>
                <w:b/>
                <w:bCs/>
                <w:color w:val="000000"/>
                <w:sz w:val="28"/>
                <w:szCs w:val="28"/>
              </w:rPr>
              <w:t>16</w:t>
            </w:r>
            <w:r>
              <w:rPr>
                <w:rFonts w:ascii="Arabic Typesetting" w:hAnsi="Arabic Typesetting" w:cs="Arabic Typesetting"/>
                <w:b/>
                <w:bCs/>
                <w:color w:val="000000"/>
                <w:sz w:val="28"/>
                <w:szCs w:val="28"/>
              </w:rPr>
              <w:t> </w:t>
            </w:r>
            <w:r w:rsidRPr="001F2068">
              <w:rPr>
                <w:rFonts w:ascii="Arabic Typesetting" w:hAnsi="Arabic Typesetting" w:cs="Arabic Typesetting"/>
                <w:b/>
                <w:bCs/>
                <w:color w:val="000000"/>
                <w:sz w:val="28"/>
                <w:szCs w:val="28"/>
              </w:rPr>
              <w:t xml:space="preserve">989 </w:t>
            </w:r>
          </w:p>
        </w:tc>
        <w:tc>
          <w:tcPr>
            <w:tcW w:w="970" w:type="pct"/>
            <w:shd w:val="clear" w:color="auto" w:fill="C6D9F1"/>
            <w:vAlign w:val="center"/>
          </w:tcPr>
          <w:p w14:paraId="58490C31" w14:textId="77777777" w:rsidR="00BD3831" w:rsidRPr="001F2068" w:rsidRDefault="00BD3831" w:rsidP="0031289D">
            <w:pPr>
              <w:jc w:val="center"/>
              <w:rPr>
                <w:rFonts w:ascii="Arabic Typesetting" w:hAnsi="Arabic Typesetting" w:cs="Arabic Typesetting"/>
                <w:b/>
                <w:bCs/>
                <w:color w:val="000000"/>
                <w:sz w:val="28"/>
                <w:szCs w:val="28"/>
              </w:rPr>
            </w:pPr>
            <w:r w:rsidRPr="001F2068">
              <w:rPr>
                <w:rFonts w:ascii="Arabic Typesetting" w:hAnsi="Arabic Typesetting" w:cs="Arabic Typesetting"/>
                <w:b/>
                <w:bCs/>
                <w:color w:val="000000"/>
                <w:sz w:val="28"/>
                <w:szCs w:val="28"/>
              </w:rPr>
              <w:t>7</w:t>
            </w:r>
            <w:r>
              <w:rPr>
                <w:rFonts w:ascii="Arabic Typesetting" w:hAnsi="Arabic Typesetting" w:cs="Arabic Typesetting"/>
                <w:b/>
                <w:bCs/>
                <w:color w:val="000000"/>
                <w:sz w:val="28"/>
                <w:szCs w:val="28"/>
              </w:rPr>
              <w:t> </w:t>
            </w:r>
            <w:r w:rsidRPr="001F2068">
              <w:rPr>
                <w:rFonts w:ascii="Arabic Typesetting" w:hAnsi="Arabic Typesetting" w:cs="Arabic Typesetting"/>
                <w:b/>
                <w:bCs/>
                <w:color w:val="000000"/>
                <w:sz w:val="28"/>
                <w:szCs w:val="28"/>
              </w:rPr>
              <w:t xml:space="preserve">687 </w:t>
            </w:r>
          </w:p>
        </w:tc>
        <w:tc>
          <w:tcPr>
            <w:tcW w:w="970" w:type="pct"/>
            <w:shd w:val="clear" w:color="auto" w:fill="C6D9F1"/>
            <w:vAlign w:val="center"/>
          </w:tcPr>
          <w:p w14:paraId="0565A9E4" w14:textId="77777777" w:rsidR="00BD3831" w:rsidRPr="001F2068" w:rsidRDefault="00BD3831" w:rsidP="0031289D">
            <w:pPr>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%45</w:t>
            </w:r>
          </w:p>
        </w:tc>
      </w:tr>
      <w:tr w:rsidR="00BD3831" w:rsidRPr="00211D55" w14:paraId="0D9717B4" w14:textId="77777777" w:rsidTr="00DF6715">
        <w:trPr>
          <w:trHeight w:val="540"/>
        </w:trPr>
        <w:tc>
          <w:tcPr>
            <w:tcW w:w="5000" w:type="pct"/>
            <w:gridSpan w:val="5"/>
            <w:shd w:val="clear" w:color="auto" w:fill="auto"/>
            <w:noWrap/>
            <w:vAlign w:val="center"/>
          </w:tcPr>
          <w:p w14:paraId="5330C76B" w14:textId="77777777" w:rsidR="00BD3831" w:rsidRDefault="00BD3831"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115F3C40" w14:textId="77777777" w:rsidR="00BD3831" w:rsidRPr="00D41845" w:rsidRDefault="00BD3831" w:rsidP="0031289D">
            <w:pPr>
              <w:bidi/>
              <w:spacing w:before="60"/>
              <w:rPr>
                <w:rFonts w:ascii="Arabic Typesetting" w:hAnsi="Arabic Typesetting" w:cs="Arabic Typesetting"/>
                <w:i/>
                <w:iCs/>
                <w:color w:val="000000"/>
                <w:sz w:val="28"/>
                <w:szCs w:val="28"/>
                <w:lang w:bidi="ar-EG"/>
              </w:rPr>
            </w:pPr>
            <w:r>
              <w:rPr>
                <w:rFonts w:ascii="Arabic Typesetting" w:hAnsi="Arabic Typesetting" w:cs="Arabic Typesetting"/>
                <w:i/>
                <w:iCs/>
                <w:color w:val="000000"/>
                <w:sz w:val="28"/>
                <w:szCs w:val="28"/>
                <w:rtl/>
                <w:lang w:bidi="ar-EG"/>
              </w:rPr>
              <w:t xml:space="preserve">ملاحظة: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78750D8F" w14:textId="77777777" w:rsidR="00BD3831" w:rsidRPr="00706F20" w:rsidRDefault="00BD3831"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3D96177E" w14:textId="77777777" w:rsidR="00BD3831" w:rsidRPr="001F2068" w:rsidRDefault="00BD3831" w:rsidP="00D94CDB">
      <w:pPr>
        <w:numPr>
          <w:ilvl w:val="1"/>
          <w:numId w:val="88"/>
        </w:numPr>
        <w:bidi/>
        <w:spacing w:after="240" w:line="360" w:lineRule="exact"/>
        <w:ind w:left="0" w:hanging="1"/>
        <w:rPr>
          <w:rFonts w:ascii="Arabic Typesetting" w:hAnsi="Arabic Typesetting" w:cs="Arabic Typesetting"/>
          <w:sz w:val="34"/>
          <w:szCs w:val="34"/>
        </w:rPr>
      </w:pPr>
      <w:r w:rsidRPr="001F2068">
        <w:rPr>
          <w:rFonts w:ascii="Arabic Typesetting" w:hAnsi="Arabic Typesetting" w:cs="Arabic Typesetting"/>
          <w:sz w:val="34"/>
          <w:szCs w:val="34"/>
          <w:rtl/>
        </w:rPr>
        <w:t>تُعزى الزيادة في خلاف موارد الموظفين مقارنة بالميزانية المعتمدة 2016/17 أساساً إلى تعزيز البرنامج بموارد إضافية لتغطية هجرة قاعدة البيانات بشأن المرونة في نظام الملكية الفكرية وتعزيز أدوات تحليل الويب وإصدار الفيديوهات في إطار النتيجة المرتقبة ه1.8 (التواصل بفعالية أكبر).</w:t>
      </w:r>
    </w:p>
    <w:p w14:paraId="42101005" w14:textId="77777777" w:rsidR="00BD3831" w:rsidRPr="00706F20" w:rsidRDefault="00BD3831"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7D436216" w14:textId="77777777" w:rsidR="00BD3831" w:rsidRDefault="00BD3831" w:rsidP="00D94CDB">
      <w:pPr>
        <w:numPr>
          <w:ilvl w:val="1"/>
          <w:numId w:val="88"/>
        </w:numPr>
        <w:bidi/>
        <w:spacing w:after="240" w:line="360" w:lineRule="exact"/>
        <w:ind w:left="0" w:hanging="1"/>
        <w:rPr>
          <w:rFonts w:ascii="Arabic Typesetting" w:hAnsi="Arabic Typesetting" w:cs="Arabic Typesetting"/>
          <w:sz w:val="34"/>
          <w:szCs w:val="34"/>
        </w:rPr>
      </w:pPr>
      <w:r w:rsidRPr="001F2068">
        <w:rPr>
          <w:rFonts w:ascii="Arabic Typesetting" w:hAnsi="Arabic Typesetting" w:cs="Arabic Typesetting"/>
          <w:sz w:val="34"/>
          <w:szCs w:val="34"/>
          <w:rtl/>
        </w:rPr>
        <w:t>تُعزى نسبة استخدام خلاف موارد الموظفين البالغة 40 بالمئة في السنة الأولى للثنائية إلى زيادة في ميزانية 2016/17 بعد التحويلات لتغطية أدوات تحليل الويب وإصدار الفيديوهات المزمعة في السنة الثانية من الثنائية فقط.</w:t>
      </w:r>
    </w:p>
    <w:p w14:paraId="1D16D0C4" w14:textId="5549B9DC" w:rsidR="00BD3831" w:rsidRDefault="00BD3831"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5067F3EB" w14:textId="6BD7998F" w:rsidR="00574A27" w:rsidRPr="008E484B" w:rsidRDefault="00574A27" w:rsidP="00DA7DF7">
      <w:pPr>
        <w:pStyle w:val="Heading3"/>
        <w:ind w:left="1984" w:hanging="1984"/>
        <w:rPr>
          <w:rtl/>
        </w:rPr>
      </w:pPr>
      <w:bookmarkStart w:id="45" w:name="_Toc422210508"/>
      <w:bookmarkStart w:id="46" w:name="_Toc482087956"/>
      <w:bookmarkStart w:id="47" w:name="_Toc482088022"/>
      <w:bookmarkStart w:id="48" w:name="_Toc482105825"/>
      <w:bookmarkStart w:id="49" w:name="_Toc482782772"/>
      <w:r w:rsidRPr="00257294">
        <w:rPr>
          <w:rtl/>
        </w:rPr>
        <w:lastRenderedPageBreak/>
        <w:t>البرنامج 20:</w:t>
      </w:r>
      <w:r w:rsidRPr="00257294">
        <w:rPr>
          <w:rtl/>
        </w:rPr>
        <w:tab/>
        <w:t>العلاقات الخارجية والشراكات والمكاتب الخارجية</w:t>
      </w:r>
      <w:bookmarkEnd w:id="45"/>
      <w:bookmarkEnd w:id="46"/>
      <w:bookmarkEnd w:id="47"/>
      <w:bookmarkEnd w:id="48"/>
      <w:bookmarkEnd w:id="49"/>
    </w:p>
    <w:p w14:paraId="3F056BD7" w14:textId="77777777" w:rsidR="00574A27" w:rsidRPr="00257294" w:rsidRDefault="00574A27" w:rsidP="008E484B">
      <w:pPr>
        <w:keepNext/>
        <w:bidi/>
        <w:spacing w:after="120" w:line="340" w:lineRule="exact"/>
        <w:ind w:left="1984" w:hanging="1984"/>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t>المسؤولون عن</w:t>
      </w:r>
      <w:r w:rsidRPr="00257294">
        <w:rPr>
          <w:rFonts w:ascii="Arabic Typesetting" w:hAnsi="Arabic Typesetting" w:cs="Arabic Typesetting"/>
          <w:b/>
          <w:bCs/>
          <w:sz w:val="36"/>
          <w:szCs w:val="36"/>
          <w:rtl/>
          <w:lang w:val="fr-CH"/>
        </w:rPr>
        <w:t xml:space="preserve"> البرنامج</w:t>
      </w:r>
      <w:r w:rsidRPr="00257294">
        <w:rPr>
          <w:rFonts w:ascii="Arabic Typesetting" w:hAnsi="Arabic Typesetting" w:cs="Arabic Typesetting"/>
          <w:b/>
          <w:bCs/>
          <w:sz w:val="36"/>
          <w:szCs w:val="36"/>
          <w:rtl/>
          <w:lang w:val="fr-CH"/>
        </w:rPr>
        <w:tab/>
        <w:t>المدير العام</w:t>
      </w:r>
    </w:p>
    <w:p w14:paraId="4E06FF68" w14:textId="77777777" w:rsidR="00574A27" w:rsidRPr="00257294" w:rsidRDefault="00574A27" w:rsidP="00574A27">
      <w:pPr>
        <w:keepNext/>
        <w:bidi/>
        <w:spacing w:after="120" w:line="340" w:lineRule="exact"/>
        <w:ind w:left="1984" w:firstLine="5"/>
        <w:rPr>
          <w:rFonts w:ascii="Arabic Typesetting" w:hAnsi="Arabic Typesetting" w:cs="Arabic Typesetting"/>
          <w:b/>
          <w:bCs/>
          <w:sz w:val="36"/>
          <w:szCs w:val="36"/>
          <w:rtl/>
          <w:lang w:val="fr-CH"/>
        </w:rPr>
      </w:pPr>
      <w:r w:rsidRPr="00257294">
        <w:rPr>
          <w:rFonts w:ascii="Arabic Typesetting" w:hAnsi="Arabic Typesetting" w:cs="Arabic Typesetting"/>
          <w:b/>
          <w:bCs/>
          <w:sz w:val="36"/>
          <w:szCs w:val="36"/>
          <w:rtl/>
          <w:lang w:val="fr-CH"/>
        </w:rPr>
        <w:t xml:space="preserve">السيد </w:t>
      </w:r>
      <w:r w:rsidRPr="00257294">
        <w:rPr>
          <w:rFonts w:ascii="Arabic Typesetting" w:hAnsi="Arabic Typesetting" w:cs="Arabic Typesetting" w:hint="cs"/>
          <w:b/>
          <w:bCs/>
          <w:sz w:val="36"/>
          <w:szCs w:val="36"/>
          <w:rtl/>
          <w:lang w:val="fr-CH"/>
        </w:rPr>
        <w:t>مينيليك</w:t>
      </w:r>
      <w:r w:rsidRPr="00257294">
        <w:rPr>
          <w:rFonts w:ascii="Arabic Typesetting" w:hAnsi="Arabic Typesetting" w:cs="Arabic Typesetting"/>
          <w:b/>
          <w:bCs/>
          <w:sz w:val="36"/>
          <w:szCs w:val="36"/>
          <w:rtl/>
          <w:lang w:val="fr-CH"/>
        </w:rPr>
        <w:t xml:space="preserve"> غيتاهون</w:t>
      </w:r>
    </w:p>
    <w:p w14:paraId="7D810C9F" w14:textId="77777777" w:rsidR="00574A27" w:rsidRPr="00257294" w:rsidRDefault="00574A27" w:rsidP="00574A27">
      <w:pPr>
        <w:keepNext/>
        <w:bidi/>
        <w:spacing w:after="120" w:line="340" w:lineRule="exact"/>
        <w:ind w:left="1984" w:firstLine="5"/>
        <w:rPr>
          <w:rFonts w:ascii="Arabic Typesetting" w:hAnsi="Arabic Typesetting" w:cs="Arabic Typesetting"/>
          <w:b/>
          <w:bCs/>
          <w:sz w:val="36"/>
          <w:szCs w:val="36"/>
          <w:rtl/>
          <w:lang w:val="fr-CH"/>
        </w:rPr>
      </w:pPr>
      <w:r w:rsidRPr="00257294">
        <w:rPr>
          <w:rFonts w:ascii="Arabic Typesetting" w:hAnsi="Arabic Typesetting" w:cs="Arabic Typesetting"/>
          <w:b/>
          <w:bCs/>
          <w:sz w:val="36"/>
          <w:szCs w:val="36"/>
          <w:rtl/>
          <w:lang w:val="fr-CH"/>
        </w:rPr>
        <w:t>السيد</w:t>
      </w:r>
      <w:r w:rsidRPr="00257294">
        <w:rPr>
          <w:rFonts w:ascii="Arabic Typesetting" w:hAnsi="Arabic Typesetting" w:cs="Arabic Typesetting" w:hint="cs"/>
          <w:b/>
          <w:bCs/>
          <w:sz w:val="36"/>
          <w:szCs w:val="36"/>
          <w:rtl/>
          <w:lang w:val="fr-CH"/>
        </w:rPr>
        <w:t xml:space="preserve"> </w:t>
      </w:r>
      <w:r w:rsidRPr="00257294">
        <w:rPr>
          <w:rFonts w:ascii="Arabic Typesetting" w:hAnsi="Arabic Typesetting" w:cs="Arabic Typesetting"/>
          <w:b/>
          <w:bCs/>
          <w:sz w:val="36"/>
          <w:szCs w:val="36"/>
          <w:rtl/>
          <w:lang w:val="fr-CH"/>
        </w:rPr>
        <w:t>يوشيوكي تاكاغي</w:t>
      </w:r>
    </w:p>
    <w:p w14:paraId="5ACE39C7" w14:textId="77777777" w:rsidR="00574A27" w:rsidRPr="00257294" w:rsidRDefault="00574A27" w:rsidP="008E484B">
      <w:pPr>
        <w:keepNext/>
        <w:bidi/>
        <w:spacing w:after="240" w:line="340" w:lineRule="exact"/>
        <w:ind w:left="1984" w:firstLine="5"/>
        <w:rPr>
          <w:rFonts w:ascii="Arabic Typesetting" w:hAnsi="Arabic Typesetting" w:cs="Arabic Typesetting"/>
          <w:b/>
          <w:bCs/>
          <w:sz w:val="36"/>
          <w:szCs w:val="36"/>
          <w:rtl/>
          <w:lang w:val="fr-CH"/>
        </w:rPr>
      </w:pPr>
      <w:r w:rsidRPr="00257294">
        <w:rPr>
          <w:rFonts w:ascii="Arabic Typesetting" w:hAnsi="Arabic Typesetting" w:cs="Arabic Typesetting"/>
          <w:b/>
          <w:bCs/>
          <w:sz w:val="36"/>
          <w:szCs w:val="36"/>
          <w:rtl/>
          <w:lang w:val="fr-CH"/>
        </w:rPr>
        <w:t>السيدة بينينغ وانغ</w:t>
      </w:r>
    </w:p>
    <w:p w14:paraId="7884A852" w14:textId="5EBC47FC" w:rsidR="00902A0A" w:rsidRDefault="00902A0A" w:rsidP="00902A0A">
      <w:pPr>
        <w:bidi/>
        <w:spacing w:after="240"/>
        <w:jc w:val="center"/>
        <w:rPr>
          <w:rFonts w:ascii="Arabic Typesetting" w:hAnsi="Arabic Typesetting" w:cs="Arabic Typesetting"/>
          <w:sz w:val="38"/>
          <w:szCs w:val="38"/>
        </w:rPr>
      </w:pPr>
      <w:r>
        <w:rPr>
          <w:rFonts w:ascii="Arabic Typesetting" w:hAnsi="Arabic Typesetting" w:cs="Arabic Typesetting"/>
          <w:noProof/>
          <w:sz w:val="38"/>
          <w:szCs w:val="38"/>
        </w:rPr>
        <w:drawing>
          <wp:inline distT="0" distB="0" distL="0" distR="0" wp14:anchorId="661BBDCB" wp14:editId="0FF84239">
            <wp:extent cx="3577718" cy="21600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p w14:paraId="348B7776" w14:textId="748420FA" w:rsidR="00574A27" w:rsidRPr="008E492F" w:rsidRDefault="00574A27" w:rsidP="00902A0A">
      <w:pPr>
        <w:bidi/>
        <w:spacing w:after="240" w:line="360" w:lineRule="exact"/>
        <w:rPr>
          <w:rFonts w:ascii="Arabic Typesetting" w:hAnsi="Arabic Typesetting" w:cs="Arabic Typesetting"/>
          <w:sz w:val="38"/>
          <w:szCs w:val="38"/>
          <w:rtl/>
        </w:rPr>
      </w:pPr>
      <w:r w:rsidRPr="008E492F">
        <w:rPr>
          <w:rFonts w:ascii="Arabic Typesetting" w:hAnsi="Arabic Typesetting" w:cs="Arabic Typesetting"/>
          <w:sz w:val="38"/>
          <w:szCs w:val="38"/>
          <w:rtl/>
        </w:rPr>
        <w:t>العلاقات الخارجية</w:t>
      </w:r>
      <w:r w:rsidR="00E66B4B">
        <w:rPr>
          <w:rFonts w:ascii="Arabic Typesetting" w:hAnsi="Arabic Typesetting" w:cs="Arabic Typesetting" w:hint="cs"/>
          <w:sz w:val="38"/>
          <w:szCs w:val="38"/>
          <w:rtl/>
        </w:rPr>
        <w:t xml:space="preserve"> و</w:t>
      </w:r>
      <w:r w:rsidRPr="008E492F">
        <w:rPr>
          <w:rFonts w:ascii="Arabic Typesetting" w:hAnsi="Arabic Typesetting" w:cs="Arabic Typesetting"/>
          <w:sz w:val="38"/>
          <w:szCs w:val="38"/>
          <w:rtl/>
        </w:rPr>
        <w:t>الشراكات</w:t>
      </w:r>
    </w:p>
    <w:tbl>
      <w:tblPr>
        <w:bidiVisual/>
        <w:tblW w:w="9214" w:type="dxa"/>
        <w:tblInd w:w="58" w:type="dxa"/>
        <w:tblLayout w:type="fixed"/>
        <w:tblCellMar>
          <w:left w:w="115" w:type="dxa"/>
          <w:right w:w="115" w:type="dxa"/>
        </w:tblCellMar>
        <w:tblLook w:val="0000" w:firstRow="0" w:lastRow="0" w:firstColumn="0" w:lastColumn="0" w:noHBand="0" w:noVBand="0"/>
      </w:tblPr>
      <w:tblGrid>
        <w:gridCol w:w="1930"/>
        <w:gridCol w:w="2436"/>
        <w:gridCol w:w="1588"/>
        <w:gridCol w:w="2436"/>
        <w:gridCol w:w="824"/>
      </w:tblGrid>
      <w:tr w:rsidR="00574A27" w:rsidRPr="00297980" w14:paraId="7E4F2DFC" w14:textId="77777777" w:rsidTr="00574A27">
        <w:trPr>
          <w:trHeight w:val="565"/>
        </w:trPr>
        <w:tc>
          <w:tcPr>
            <w:tcW w:w="5000" w:type="pct"/>
            <w:gridSpan w:val="5"/>
            <w:shd w:val="clear" w:color="auto" w:fill="C6D9F1" w:themeFill="text2" w:themeFillTint="33"/>
            <w:tcMar>
              <w:left w:w="58" w:type="dxa"/>
              <w:right w:w="58" w:type="dxa"/>
            </w:tcMar>
            <w:vAlign w:val="center"/>
          </w:tcPr>
          <w:p w14:paraId="6572C07B" w14:textId="77777777" w:rsidR="00574A27" w:rsidRPr="008E484B" w:rsidRDefault="00574A27" w:rsidP="000D515F">
            <w:pPr>
              <w:keepNext/>
              <w:bidi/>
              <w:spacing w:before="120" w:after="120" w:line="280" w:lineRule="exact"/>
              <w:ind w:left="1167" w:hanging="1167"/>
              <w:rPr>
                <w:rFonts w:ascii="Arabic Typesetting" w:hAnsi="Arabic Typesetting" w:cs="Arabic Typesetting"/>
                <w:sz w:val="28"/>
                <w:szCs w:val="28"/>
                <w:rtl/>
                <w:lang w:bidi="ar-EG"/>
              </w:rPr>
            </w:pPr>
            <w:r w:rsidRPr="008E484B">
              <w:rPr>
                <w:rFonts w:ascii="Arabic Typesetting" w:hAnsi="Arabic Typesetting" w:cs="Arabic Typesetting"/>
                <w:b/>
                <w:bCs/>
                <w:sz w:val="28"/>
                <w:szCs w:val="28"/>
                <w:rtl/>
                <w:lang w:bidi="ar-EG"/>
              </w:rPr>
              <w:t>النتيجة المرتقبة:</w:t>
            </w:r>
            <w:r w:rsidRPr="008E484B">
              <w:rPr>
                <w:rFonts w:ascii="Arabic Typesetting" w:hAnsi="Arabic Typesetting" w:cs="Arabic Typesetting"/>
                <w:sz w:val="28"/>
                <w:szCs w:val="28"/>
                <w:rtl/>
                <w:lang w:bidi="ar-EG"/>
              </w:rPr>
              <w:tab/>
            </w:r>
            <w:r w:rsidRPr="00297980">
              <w:rPr>
                <w:rFonts w:ascii="Arabic Typesetting" w:hAnsi="Arabic Typesetting" w:cs="Arabic Typesetting"/>
                <w:sz w:val="28"/>
                <w:szCs w:val="28"/>
                <w:rtl/>
                <w:lang w:bidi="ar-EG"/>
              </w:rPr>
              <w:t>ھ5.8</w:t>
            </w:r>
            <w:r>
              <w:rPr>
                <w:rFonts w:ascii="Arabic Typesetting" w:hAnsi="Arabic Typesetting" w:cs="Arabic Typesetting" w:hint="cs"/>
                <w:sz w:val="28"/>
                <w:szCs w:val="28"/>
                <w:rtl/>
                <w:lang w:bidi="ar-EG"/>
              </w:rPr>
              <w:t xml:space="preserve"> </w:t>
            </w:r>
            <w:r w:rsidRPr="00297980">
              <w:rPr>
                <w:rFonts w:ascii="Arabic Typesetting" w:hAnsi="Arabic Typesetting" w:cs="Arabic Typesetting"/>
                <w:sz w:val="28"/>
                <w:szCs w:val="28"/>
                <w:rtl/>
                <w:lang w:bidi="ar-EG"/>
              </w:rPr>
              <w:t>تفاعل الويبو وتشاركها بفعالية مع مسارات ومفاوضات الأمم المتحدة وسائر المنظمات الحكومية الدولية</w:t>
            </w:r>
          </w:p>
        </w:tc>
      </w:tr>
      <w:tr w:rsidR="00574A27" w:rsidRPr="00297980" w14:paraId="529D0A8F" w14:textId="77777777" w:rsidTr="00574A27">
        <w:tc>
          <w:tcPr>
            <w:tcW w:w="1047" w:type="pct"/>
            <w:shd w:val="clear" w:color="auto" w:fill="auto"/>
            <w:tcMar>
              <w:left w:w="58" w:type="dxa"/>
              <w:right w:w="58" w:type="dxa"/>
            </w:tcMar>
            <w:vAlign w:val="center"/>
          </w:tcPr>
          <w:p w14:paraId="3EA40DB0" w14:textId="77777777" w:rsidR="00574A27" w:rsidRPr="008E484B" w:rsidRDefault="00574A27" w:rsidP="000D515F">
            <w:pPr>
              <w:keepNext/>
              <w:bidi/>
              <w:spacing w:after="120" w:line="280" w:lineRule="exact"/>
              <w:rPr>
                <w:rFonts w:ascii="Arabic Typesetting" w:hAnsi="Arabic Typesetting" w:cs="Arabic Typesetting"/>
                <w:bCs/>
                <w:sz w:val="28"/>
                <w:szCs w:val="28"/>
                <w:rtl/>
                <w:lang w:bidi="ar-EG"/>
              </w:rPr>
            </w:pPr>
            <w:r w:rsidRPr="008E484B">
              <w:rPr>
                <w:rFonts w:ascii="Arabic Typesetting" w:hAnsi="Arabic Typesetting" w:cs="Arabic Typesetting"/>
                <w:bCs/>
                <w:sz w:val="28"/>
                <w:szCs w:val="28"/>
                <w:rtl/>
                <w:lang w:bidi="ar-EG"/>
              </w:rPr>
              <w:t>مؤشرات الأداء</w:t>
            </w:r>
          </w:p>
        </w:tc>
        <w:tc>
          <w:tcPr>
            <w:tcW w:w="1322" w:type="pct"/>
            <w:shd w:val="clear" w:color="auto" w:fill="auto"/>
            <w:tcMar>
              <w:left w:w="58" w:type="dxa"/>
              <w:right w:w="58" w:type="dxa"/>
            </w:tcMar>
            <w:vAlign w:val="center"/>
          </w:tcPr>
          <w:p w14:paraId="36ADFD6B" w14:textId="77777777" w:rsidR="00574A27" w:rsidRPr="008E484B" w:rsidRDefault="00574A27" w:rsidP="000D515F">
            <w:pPr>
              <w:keepNext/>
              <w:bidi/>
              <w:spacing w:after="120" w:line="280" w:lineRule="exact"/>
              <w:rPr>
                <w:rFonts w:ascii="Arabic Typesetting" w:hAnsi="Arabic Typesetting" w:cs="Arabic Typesetting"/>
                <w:bCs/>
                <w:sz w:val="28"/>
                <w:szCs w:val="28"/>
                <w:rtl/>
                <w:lang w:bidi="ar-EG"/>
              </w:rPr>
            </w:pPr>
            <w:r w:rsidRPr="008E484B">
              <w:rPr>
                <w:rFonts w:ascii="Arabic Typesetting" w:hAnsi="Arabic Typesetting" w:cs="Arabic Typesetting"/>
                <w:bCs/>
                <w:sz w:val="28"/>
                <w:szCs w:val="28"/>
                <w:rtl/>
                <w:lang w:bidi="ar-EG"/>
              </w:rPr>
              <w:t>أسس المقارنة</w:t>
            </w:r>
          </w:p>
        </w:tc>
        <w:tc>
          <w:tcPr>
            <w:tcW w:w="862" w:type="pct"/>
            <w:shd w:val="clear" w:color="auto" w:fill="auto"/>
            <w:tcMar>
              <w:top w:w="110" w:type="dxa"/>
              <w:left w:w="58" w:type="dxa"/>
              <w:right w:w="58" w:type="dxa"/>
            </w:tcMar>
            <w:vAlign w:val="center"/>
          </w:tcPr>
          <w:p w14:paraId="4BDFBB9A" w14:textId="77777777" w:rsidR="00574A27" w:rsidRPr="008E484B" w:rsidRDefault="00574A27" w:rsidP="000D515F">
            <w:pPr>
              <w:keepNext/>
              <w:tabs>
                <w:tab w:val="left" w:pos="290"/>
              </w:tabs>
              <w:bidi/>
              <w:spacing w:after="120" w:line="280" w:lineRule="exact"/>
              <w:jc w:val="center"/>
              <w:rPr>
                <w:rFonts w:ascii="Arabic Typesetting" w:hAnsi="Arabic Typesetting" w:cs="Arabic Typesetting"/>
                <w:bCs/>
                <w:sz w:val="28"/>
                <w:szCs w:val="28"/>
                <w:rtl/>
                <w:lang w:bidi="ar-EG"/>
              </w:rPr>
            </w:pPr>
            <w:r w:rsidRPr="008E484B">
              <w:rPr>
                <w:rFonts w:ascii="Arabic Typesetting" w:hAnsi="Arabic Typesetting" w:cs="Arabic Typesetting"/>
                <w:bCs/>
                <w:sz w:val="28"/>
                <w:szCs w:val="28"/>
                <w:rtl/>
                <w:lang w:bidi="ar-EG"/>
              </w:rPr>
              <w:t>الأهداف</w:t>
            </w:r>
          </w:p>
        </w:tc>
        <w:tc>
          <w:tcPr>
            <w:tcW w:w="1322" w:type="pct"/>
            <w:shd w:val="clear" w:color="auto" w:fill="FFFFFF"/>
            <w:tcMar>
              <w:top w:w="110" w:type="dxa"/>
              <w:left w:w="58" w:type="dxa"/>
              <w:right w:w="58" w:type="dxa"/>
            </w:tcMar>
            <w:vAlign w:val="center"/>
          </w:tcPr>
          <w:p w14:paraId="612CD298" w14:textId="77777777" w:rsidR="00574A27" w:rsidRPr="008E484B" w:rsidRDefault="00574A27" w:rsidP="000D515F">
            <w:pPr>
              <w:keepNext/>
              <w:bidi/>
              <w:spacing w:after="120" w:line="280" w:lineRule="exact"/>
              <w:rPr>
                <w:rFonts w:ascii="Arabic Typesetting" w:hAnsi="Arabic Typesetting" w:cs="Arabic Typesetting"/>
                <w:bCs/>
                <w:sz w:val="28"/>
                <w:szCs w:val="28"/>
                <w:rtl/>
                <w:lang w:bidi="ar-EG"/>
              </w:rPr>
            </w:pPr>
            <w:r w:rsidRPr="008E484B">
              <w:rPr>
                <w:rFonts w:ascii="Arabic Typesetting" w:hAnsi="Arabic Typesetting" w:cs="Arabic Typesetting"/>
                <w:bCs/>
                <w:sz w:val="28"/>
                <w:szCs w:val="28"/>
                <w:rtl/>
                <w:lang w:bidi="ar-EG"/>
              </w:rPr>
              <w:t>بيانات الأداء</w:t>
            </w:r>
          </w:p>
        </w:tc>
        <w:tc>
          <w:tcPr>
            <w:tcW w:w="446" w:type="pct"/>
            <w:shd w:val="clear" w:color="auto" w:fill="auto"/>
            <w:tcMar>
              <w:top w:w="110" w:type="dxa"/>
              <w:left w:w="58" w:type="dxa"/>
              <w:right w:w="58" w:type="dxa"/>
            </w:tcMar>
            <w:vAlign w:val="center"/>
          </w:tcPr>
          <w:p w14:paraId="0F97EE48" w14:textId="77777777" w:rsidR="00574A27" w:rsidRPr="008E484B" w:rsidRDefault="00574A27" w:rsidP="000D515F">
            <w:pPr>
              <w:keepNext/>
              <w:keepLines/>
              <w:bidi/>
              <w:spacing w:after="120" w:line="280" w:lineRule="exact"/>
              <w:jc w:val="center"/>
              <w:rPr>
                <w:rFonts w:ascii="Arabic Typesetting" w:hAnsi="Arabic Typesetting" w:cs="Arabic Typesetting"/>
                <w:bCs/>
                <w:sz w:val="28"/>
                <w:szCs w:val="28"/>
                <w:rtl/>
                <w:lang w:bidi="ar-EG"/>
              </w:rPr>
            </w:pPr>
            <w:r w:rsidRPr="008E484B">
              <w:rPr>
                <w:rFonts w:ascii="Arabic Typesetting" w:hAnsi="Arabic Typesetting" w:cs="Arabic Typesetting"/>
                <w:bCs/>
                <w:sz w:val="28"/>
                <w:szCs w:val="28"/>
                <w:rtl/>
                <w:lang w:bidi="ar-EG"/>
              </w:rPr>
              <w:t>السير</w:t>
            </w:r>
          </w:p>
        </w:tc>
      </w:tr>
      <w:tr w:rsidR="00574A27" w:rsidRPr="00297980" w14:paraId="17D010FD" w14:textId="77777777" w:rsidTr="00574A27">
        <w:trPr>
          <w:trHeight w:val="1487"/>
        </w:trPr>
        <w:tc>
          <w:tcPr>
            <w:tcW w:w="1047" w:type="pct"/>
            <w:shd w:val="clear" w:color="auto" w:fill="auto"/>
            <w:tcMar>
              <w:left w:w="58" w:type="dxa"/>
              <w:right w:w="58" w:type="dxa"/>
            </w:tcMar>
          </w:tcPr>
          <w:p w14:paraId="52F7039C" w14:textId="4C2B8801" w:rsidR="00574A27" w:rsidRPr="008E484B" w:rsidRDefault="002B0DFD" w:rsidP="000D515F">
            <w:pPr>
              <w:bidi/>
              <w:spacing w:after="120" w:line="280" w:lineRule="exact"/>
              <w:rPr>
                <w:rFonts w:ascii="Arabic Typesetting" w:hAnsi="Arabic Typesetting" w:cs="Arabic Typesetting"/>
                <w:b/>
                <w:sz w:val="28"/>
                <w:szCs w:val="28"/>
                <w:lang w:bidi="ar-EG"/>
              </w:rPr>
            </w:pPr>
            <w:r>
              <w:rPr>
                <w:rFonts w:ascii="Arabic Typesetting" w:hAnsi="Arabic Typesetting" w:cs="Arabic Typesetting" w:hint="cs"/>
                <w:b/>
                <w:sz w:val="28"/>
                <w:szCs w:val="28"/>
                <w:rtl/>
                <w:lang w:bidi="ar-EG"/>
              </w:rPr>
              <w:t>مساهمات</w:t>
            </w:r>
            <w:r w:rsidR="00574A27" w:rsidRPr="008E484B">
              <w:rPr>
                <w:rFonts w:ascii="Arabic Typesetting" w:hAnsi="Arabic Typesetting" w:cs="Arabic Typesetting"/>
                <w:b/>
                <w:sz w:val="28"/>
                <w:szCs w:val="28"/>
                <w:rtl/>
                <w:lang w:bidi="ar-EG"/>
              </w:rPr>
              <w:t xml:space="preserve"> الويبو المبيّنة في تقارير الأمم المتحدة والمنظمات الحكومية الدولية وقراراتها ووثائقها المنبثقة عن العمليات الهادفة ذات الصلة</w:t>
            </w:r>
          </w:p>
        </w:tc>
        <w:tc>
          <w:tcPr>
            <w:tcW w:w="1322" w:type="pct"/>
            <w:shd w:val="clear" w:color="auto" w:fill="auto"/>
            <w:tcMar>
              <w:left w:w="58" w:type="dxa"/>
              <w:right w:w="58" w:type="dxa"/>
            </w:tcMar>
          </w:tcPr>
          <w:p w14:paraId="1A01B2BE" w14:textId="7098EA5B" w:rsidR="00574A27" w:rsidRDefault="00574A27" w:rsidP="000D515F">
            <w:pPr>
              <w:bidi/>
              <w:spacing w:after="120" w:line="280" w:lineRule="exact"/>
              <w:rPr>
                <w:rFonts w:ascii="Arabic Typesetting" w:hAnsi="Arabic Typesetting" w:cs="Arabic Typesetting"/>
                <w:color w:val="002060"/>
                <w:sz w:val="28"/>
                <w:szCs w:val="28"/>
                <w:rtl/>
              </w:rPr>
            </w:pPr>
            <w:r w:rsidRPr="00297980">
              <w:rPr>
                <w:rFonts w:ascii="Arabic Typesetting" w:hAnsi="Arabic Typesetting" w:cs="Arabic Typesetting"/>
                <w:iCs/>
                <w:color w:val="002060"/>
                <w:sz w:val="28"/>
                <w:szCs w:val="28"/>
                <w:rtl/>
              </w:rPr>
              <w:t>أساس المقارنة المحدّث في نهاية 2015:</w:t>
            </w:r>
            <w:r w:rsidR="000D515F">
              <w:rPr>
                <w:rFonts w:ascii="Arabic Typesetting" w:hAnsi="Arabic Typesetting" w:cs="Arabic Typesetting" w:hint="cs"/>
                <w:iCs/>
                <w:color w:val="002060"/>
                <w:sz w:val="28"/>
                <w:szCs w:val="28"/>
                <w:rtl/>
              </w:rPr>
              <w:br/>
            </w:r>
            <w:r w:rsidRPr="00297980">
              <w:rPr>
                <w:rFonts w:ascii="Arabic Typesetting" w:hAnsi="Arabic Typesetting" w:cs="Arabic Typesetting"/>
                <w:color w:val="002060"/>
                <w:sz w:val="28"/>
                <w:szCs w:val="28"/>
                <w:rtl/>
              </w:rPr>
              <w:t>33 بياناً في الثنائية 2014/15، وكلها</w:t>
            </w:r>
            <w:r w:rsidR="000D515F">
              <w:rPr>
                <w:rFonts w:ascii="Arabic Typesetting" w:hAnsi="Arabic Typesetting" w:cs="Arabic Typesetting" w:hint="cs"/>
                <w:color w:val="002060"/>
                <w:sz w:val="28"/>
                <w:szCs w:val="28"/>
                <w:rtl/>
              </w:rPr>
              <w:t> </w:t>
            </w:r>
            <w:r w:rsidRPr="00297980">
              <w:rPr>
                <w:rFonts w:ascii="Arabic Typesetting" w:hAnsi="Arabic Typesetting" w:cs="Arabic Typesetting"/>
                <w:color w:val="002060"/>
                <w:sz w:val="28"/>
                <w:szCs w:val="28"/>
                <w:rtl/>
              </w:rPr>
              <w:t>انعكست بصورة مرضية.</w:t>
            </w:r>
          </w:p>
          <w:p w14:paraId="09139E5A" w14:textId="7D10B042" w:rsidR="00574A27" w:rsidRPr="00297980" w:rsidRDefault="000D515F" w:rsidP="000D515F">
            <w:pPr>
              <w:bidi/>
              <w:spacing w:after="120" w:line="280" w:lineRule="exact"/>
              <w:rPr>
                <w:rFonts w:ascii="Arabic Typesetting" w:hAnsi="Arabic Typesetting" w:cs="Arabic Typesetting"/>
                <w:color w:val="000000"/>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برنامج وميزانية 2016/17:</w:t>
            </w:r>
            <w:r>
              <w:rPr>
                <w:rFonts w:ascii="Arabic Typesetting" w:hAnsi="Arabic Typesetting" w:cs="Arabic Typesetting"/>
                <w:iCs/>
                <w:sz w:val="28"/>
                <w:szCs w:val="28"/>
              </w:rPr>
              <w:br/>
            </w:r>
            <w:r w:rsidR="00574A27" w:rsidRPr="00297980">
              <w:rPr>
                <w:rFonts w:ascii="Arabic Typesetting" w:hAnsi="Arabic Typesetting" w:cs="Arabic Typesetting"/>
                <w:color w:val="000000"/>
                <w:sz w:val="28"/>
                <w:szCs w:val="28"/>
                <w:rtl/>
              </w:rPr>
              <w:t>2012/13</w:t>
            </w:r>
            <w:r w:rsidR="00574A27">
              <w:rPr>
                <w:rFonts w:ascii="Arabic Typesetting" w:hAnsi="Arabic Typesetting" w:cs="Arabic Typesetting" w:hint="cs"/>
                <w:color w:val="000000"/>
                <w:sz w:val="28"/>
                <w:szCs w:val="28"/>
                <w:rtl/>
              </w:rPr>
              <w:t>:</w:t>
            </w:r>
            <w:r w:rsidR="00574A27" w:rsidRPr="00297980">
              <w:rPr>
                <w:rFonts w:ascii="Arabic Typesetting" w:hAnsi="Arabic Typesetting" w:cs="Arabic Typesetting"/>
                <w:color w:val="000000"/>
                <w:sz w:val="28"/>
                <w:szCs w:val="28"/>
                <w:rtl/>
              </w:rPr>
              <w:t xml:space="preserve"> 38</w:t>
            </w:r>
            <w:r w:rsidR="00574A27">
              <w:rPr>
                <w:rFonts w:ascii="Arabic Typesetting" w:hAnsi="Arabic Typesetting" w:cs="Arabic Typesetting" w:hint="cs"/>
                <w:color w:val="000000"/>
                <w:sz w:val="28"/>
                <w:szCs w:val="28"/>
                <w:rtl/>
              </w:rPr>
              <w:t xml:space="preserve"> </w:t>
            </w:r>
            <w:r w:rsidR="00574A27" w:rsidRPr="00297980">
              <w:rPr>
                <w:rFonts w:ascii="Arabic Typesetting" w:hAnsi="Arabic Typesetting" w:cs="Arabic Typesetting"/>
                <w:color w:val="000000"/>
                <w:sz w:val="28"/>
                <w:szCs w:val="28"/>
                <w:rtl/>
              </w:rPr>
              <w:t>م</w:t>
            </w:r>
            <w:r>
              <w:rPr>
                <w:rFonts w:ascii="Arabic Typesetting" w:hAnsi="Arabic Typesetting" w:cs="Arabic Typesetting"/>
                <w:color w:val="000000"/>
                <w:sz w:val="28"/>
                <w:szCs w:val="28"/>
                <w:rtl/>
              </w:rPr>
              <w:t>ن أصل 38؛</w:t>
            </w:r>
            <w:r>
              <w:rPr>
                <w:rFonts w:ascii="Arabic Typesetting" w:hAnsi="Arabic Typesetting" w:cs="Arabic Typesetting" w:hint="cs"/>
                <w:color w:val="000000"/>
                <w:sz w:val="28"/>
                <w:szCs w:val="28"/>
                <w:rtl/>
              </w:rPr>
              <w:br/>
            </w:r>
            <w:r w:rsidR="00574A27" w:rsidRPr="00297980">
              <w:rPr>
                <w:rFonts w:ascii="Arabic Typesetting" w:hAnsi="Arabic Typesetting" w:cs="Arabic Typesetting"/>
                <w:color w:val="000000"/>
                <w:sz w:val="28"/>
                <w:szCs w:val="28"/>
                <w:rtl/>
              </w:rPr>
              <w:t>2014</w:t>
            </w:r>
            <w:r w:rsidR="00574A27">
              <w:rPr>
                <w:rFonts w:ascii="Arabic Typesetting" w:hAnsi="Arabic Typesetting" w:cs="Arabic Typesetting" w:hint="cs"/>
                <w:color w:val="000000"/>
                <w:sz w:val="28"/>
                <w:szCs w:val="28"/>
                <w:rtl/>
              </w:rPr>
              <w:t xml:space="preserve">: </w:t>
            </w:r>
            <w:r w:rsidR="00574A27" w:rsidRPr="00297980">
              <w:rPr>
                <w:rFonts w:ascii="Arabic Typesetting" w:hAnsi="Arabic Typesetting" w:cs="Arabic Typesetting"/>
                <w:color w:val="000000"/>
                <w:sz w:val="28"/>
                <w:szCs w:val="28"/>
                <w:rtl/>
              </w:rPr>
              <w:t>12</w:t>
            </w:r>
            <w:r w:rsidR="00574A27">
              <w:rPr>
                <w:rFonts w:ascii="Arabic Typesetting" w:hAnsi="Arabic Typesetting" w:cs="Arabic Typesetting" w:hint="cs"/>
                <w:color w:val="000000"/>
                <w:sz w:val="28"/>
                <w:szCs w:val="28"/>
                <w:rtl/>
              </w:rPr>
              <w:t xml:space="preserve"> </w:t>
            </w:r>
            <w:r w:rsidR="00574A27" w:rsidRPr="00297980">
              <w:rPr>
                <w:rFonts w:ascii="Arabic Typesetting" w:hAnsi="Arabic Typesetting" w:cs="Arabic Typesetting"/>
                <w:color w:val="000000"/>
                <w:sz w:val="28"/>
                <w:szCs w:val="28"/>
                <w:rtl/>
              </w:rPr>
              <w:t>من أصل 15</w:t>
            </w:r>
            <w:r>
              <w:rPr>
                <w:rFonts w:ascii="Arabic Typesetting" w:hAnsi="Arabic Typesetting" w:cs="Arabic Typesetting" w:hint="cs"/>
                <w:color w:val="000000"/>
                <w:sz w:val="28"/>
                <w:szCs w:val="28"/>
                <w:rtl/>
              </w:rPr>
              <w:t xml:space="preserve"> و</w:t>
            </w:r>
            <w:r w:rsidR="00574A27" w:rsidRPr="00297980">
              <w:rPr>
                <w:rFonts w:ascii="Arabic Typesetting" w:hAnsi="Arabic Typesetting" w:cs="Arabic Typesetting"/>
                <w:color w:val="000000"/>
                <w:sz w:val="28"/>
                <w:szCs w:val="28"/>
                <w:rtl/>
              </w:rPr>
              <w:t>3</w:t>
            </w:r>
            <w:r>
              <w:rPr>
                <w:rFonts w:ascii="Arabic Typesetting" w:hAnsi="Arabic Typesetting" w:cs="Arabic Typesetting" w:hint="cs"/>
                <w:color w:val="000000"/>
                <w:sz w:val="28"/>
                <w:szCs w:val="28"/>
                <w:rtl/>
              </w:rPr>
              <w:t> </w:t>
            </w:r>
            <w:r w:rsidR="00574A27" w:rsidRPr="00297980">
              <w:rPr>
                <w:rFonts w:ascii="Arabic Typesetting" w:hAnsi="Arabic Typesetting" w:cs="Arabic Typesetting"/>
                <w:color w:val="000000"/>
                <w:sz w:val="28"/>
                <w:szCs w:val="28"/>
                <w:rtl/>
              </w:rPr>
              <w:t>مستمرة</w:t>
            </w:r>
          </w:p>
        </w:tc>
        <w:tc>
          <w:tcPr>
            <w:tcW w:w="862" w:type="pct"/>
            <w:shd w:val="clear" w:color="auto" w:fill="auto"/>
            <w:tcMar>
              <w:top w:w="110" w:type="dxa"/>
              <w:left w:w="58" w:type="dxa"/>
              <w:right w:w="58" w:type="dxa"/>
            </w:tcMar>
          </w:tcPr>
          <w:p w14:paraId="50AEA468" w14:textId="77777777" w:rsidR="00574A27" w:rsidRPr="00297980" w:rsidRDefault="00574A27" w:rsidP="000D515F">
            <w:pPr>
              <w:bidi/>
              <w:spacing w:after="120" w:line="280" w:lineRule="exact"/>
              <w:jc w:val="center"/>
              <w:rPr>
                <w:rFonts w:ascii="Arabic Typesetting" w:hAnsi="Arabic Typesetting" w:cs="Arabic Typesetting"/>
                <w:color w:val="000000"/>
                <w:sz w:val="28"/>
                <w:szCs w:val="28"/>
                <w:rtl/>
              </w:rPr>
            </w:pPr>
            <w:r w:rsidRPr="00297980">
              <w:rPr>
                <w:rFonts w:ascii="Arabic Typesetting" w:hAnsi="Arabic Typesetting" w:cs="Arabic Typesetting"/>
                <w:color w:val="000000"/>
                <w:sz w:val="28"/>
                <w:szCs w:val="28"/>
                <w:rtl/>
              </w:rPr>
              <w:t>80%</w:t>
            </w:r>
          </w:p>
        </w:tc>
        <w:tc>
          <w:tcPr>
            <w:tcW w:w="1322" w:type="pct"/>
            <w:shd w:val="clear" w:color="auto" w:fill="FFFFFF"/>
            <w:tcMar>
              <w:top w:w="110" w:type="dxa"/>
              <w:left w:w="58" w:type="dxa"/>
              <w:right w:w="58" w:type="dxa"/>
            </w:tcMar>
          </w:tcPr>
          <w:p w14:paraId="56E60F15" w14:textId="20FF080B" w:rsidR="00574A27" w:rsidRPr="00297980" w:rsidRDefault="00574A27" w:rsidP="00E91832">
            <w:pPr>
              <w:bidi/>
              <w:spacing w:after="120" w:line="280" w:lineRule="exact"/>
              <w:rPr>
                <w:rFonts w:ascii="Arabic Typesetting" w:hAnsi="Arabic Typesetting" w:cs="Arabic Typesetting"/>
                <w:color w:val="000000"/>
                <w:sz w:val="28"/>
                <w:szCs w:val="28"/>
                <w:rtl/>
              </w:rPr>
            </w:pPr>
            <w:r w:rsidRPr="00297980">
              <w:rPr>
                <w:rFonts w:ascii="Arabic Typesetting" w:hAnsi="Arabic Typesetting" w:cs="Arabic Typesetting"/>
                <w:color w:val="000000"/>
                <w:sz w:val="28"/>
                <w:szCs w:val="28"/>
                <w:rtl/>
              </w:rPr>
              <w:t>انعكس 80% من إسهامات الويبو (26 من أصل 33 بيانا</w:t>
            </w:r>
            <w:r>
              <w:rPr>
                <w:rFonts w:ascii="Arabic Typesetting" w:hAnsi="Arabic Typesetting" w:cs="Arabic Typesetting" w:hint="cs"/>
                <w:color w:val="000000"/>
                <w:sz w:val="28"/>
                <w:szCs w:val="28"/>
                <w:rtl/>
              </w:rPr>
              <w:t>ً</w:t>
            </w:r>
            <w:r w:rsidRPr="00297980">
              <w:rPr>
                <w:rFonts w:ascii="Arabic Typesetting" w:hAnsi="Arabic Typesetting" w:cs="Arabic Typesetting"/>
                <w:color w:val="000000"/>
                <w:sz w:val="28"/>
                <w:szCs w:val="28"/>
                <w:rtl/>
              </w:rPr>
              <w:t>) (نهاية</w:t>
            </w:r>
            <w:r w:rsidR="00E91832">
              <w:rPr>
                <w:rFonts w:ascii="Arabic Typesetting" w:hAnsi="Arabic Typesetting" w:cs="Arabic Typesetting" w:hint="cs"/>
                <w:color w:val="000000"/>
                <w:sz w:val="28"/>
                <w:szCs w:val="28"/>
                <w:rtl/>
              </w:rPr>
              <w:t> </w:t>
            </w:r>
            <w:r w:rsidRPr="00297980">
              <w:rPr>
                <w:rFonts w:ascii="Arabic Typesetting" w:hAnsi="Arabic Typesetting" w:cs="Arabic Typesetting"/>
                <w:color w:val="000000"/>
                <w:sz w:val="28"/>
                <w:szCs w:val="28"/>
                <w:rtl/>
              </w:rPr>
              <w:t>2016)</w:t>
            </w:r>
          </w:p>
        </w:tc>
        <w:tc>
          <w:tcPr>
            <w:tcW w:w="446" w:type="pct"/>
            <w:shd w:val="clear" w:color="auto" w:fill="auto"/>
            <w:tcMar>
              <w:top w:w="110" w:type="dxa"/>
              <w:left w:w="58" w:type="dxa"/>
              <w:right w:w="58" w:type="dxa"/>
            </w:tcMar>
          </w:tcPr>
          <w:p w14:paraId="52DD88A5" w14:textId="77777777" w:rsidR="00574A27" w:rsidRPr="00297980" w:rsidRDefault="00574A27" w:rsidP="000D515F">
            <w:pPr>
              <w:keepLines/>
              <w:bidi/>
              <w:spacing w:after="120" w:line="280" w:lineRule="exact"/>
              <w:jc w:val="center"/>
              <w:rPr>
                <w:rFonts w:ascii="Arabic Typesetting" w:hAnsi="Arabic Typesetting" w:cs="Arabic Typesetting"/>
                <w:bCs/>
                <w:color w:val="000000"/>
                <w:sz w:val="28"/>
                <w:szCs w:val="28"/>
                <w:rtl/>
              </w:rPr>
            </w:pPr>
            <w:r w:rsidRPr="00297980">
              <w:rPr>
                <w:rFonts w:ascii="Arabic Typesetting" w:hAnsi="Arabic Typesetting" w:cs="Arabic Typesetting"/>
                <w:bCs/>
                <w:color w:val="00B050"/>
                <w:sz w:val="28"/>
                <w:szCs w:val="28"/>
                <w:rtl/>
              </w:rPr>
              <w:t>ثابت</w:t>
            </w:r>
          </w:p>
        </w:tc>
      </w:tr>
      <w:tr w:rsidR="00574A27" w:rsidRPr="00297980" w14:paraId="6306B60C" w14:textId="77777777" w:rsidTr="00574A27">
        <w:trPr>
          <w:trHeight w:val="972"/>
        </w:trPr>
        <w:tc>
          <w:tcPr>
            <w:tcW w:w="1047" w:type="pct"/>
            <w:shd w:val="clear" w:color="auto" w:fill="auto"/>
            <w:tcMar>
              <w:left w:w="58" w:type="dxa"/>
              <w:right w:w="58" w:type="dxa"/>
            </w:tcMar>
          </w:tcPr>
          <w:p w14:paraId="3F12F3F7" w14:textId="08308781" w:rsidR="00574A27" w:rsidRPr="008E484B" w:rsidRDefault="00574A27" w:rsidP="000D515F">
            <w:pPr>
              <w:bidi/>
              <w:spacing w:after="120" w:line="280" w:lineRule="exact"/>
              <w:rPr>
                <w:rFonts w:ascii="Arabic Typesetting" w:hAnsi="Arabic Typesetting" w:cs="Arabic Typesetting"/>
                <w:b/>
                <w:sz w:val="28"/>
                <w:szCs w:val="28"/>
                <w:rtl/>
                <w:lang w:bidi="ar-EG"/>
              </w:rPr>
            </w:pPr>
            <w:r w:rsidRPr="008E484B">
              <w:rPr>
                <w:rFonts w:ascii="Arabic Typesetting" w:hAnsi="Arabic Typesetting" w:cs="Arabic Typesetting"/>
                <w:b/>
                <w:sz w:val="28"/>
                <w:szCs w:val="28"/>
                <w:rtl/>
                <w:lang w:bidi="ar-EG"/>
              </w:rPr>
              <w:t xml:space="preserve"> عدد المبادرات التي تقودها الويبو بالتشارك مع الأمم المتحدة وسائر المنظمات الحكومية الدولية من أجل تنفيذ أهداف التنمية المستدامة</w:t>
            </w:r>
          </w:p>
        </w:tc>
        <w:tc>
          <w:tcPr>
            <w:tcW w:w="1322" w:type="pct"/>
            <w:shd w:val="clear" w:color="auto" w:fill="auto"/>
            <w:tcMar>
              <w:left w:w="58" w:type="dxa"/>
              <w:right w:w="58" w:type="dxa"/>
            </w:tcMar>
          </w:tcPr>
          <w:p w14:paraId="55260FE3" w14:textId="31DA0078" w:rsidR="00574A27" w:rsidRPr="00297980" w:rsidRDefault="00574A27" w:rsidP="000D515F">
            <w:pPr>
              <w:bidi/>
              <w:spacing w:after="120" w:line="280" w:lineRule="exact"/>
              <w:rPr>
                <w:rFonts w:ascii="Arabic Typesetting" w:hAnsi="Arabic Typesetting" w:cs="Arabic Typesetting"/>
                <w:color w:val="000000"/>
                <w:sz w:val="28"/>
                <w:szCs w:val="28"/>
                <w:rtl/>
              </w:rPr>
            </w:pPr>
            <w:r w:rsidRPr="00297980">
              <w:rPr>
                <w:rFonts w:ascii="Arabic Typesetting" w:hAnsi="Arabic Typesetting" w:cs="Arabic Typesetting"/>
                <w:color w:val="000000"/>
                <w:sz w:val="28"/>
                <w:szCs w:val="28"/>
                <w:rtl/>
              </w:rPr>
              <w:t>لا شيء</w:t>
            </w:r>
          </w:p>
        </w:tc>
        <w:tc>
          <w:tcPr>
            <w:tcW w:w="862" w:type="pct"/>
            <w:shd w:val="clear" w:color="auto" w:fill="auto"/>
            <w:tcMar>
              <w:top w:w="110" w:type="dxa"/>
              <w:left w:w="58" w:type="dxa"/>
              <w:right w:w="58" w:type="dxa"/>
            </w:tcMar>
          </w:tcPr>
          <w:p w14:paraId="303C6A68" w14:textId="77777777" w:rsidR="00574A27" w:rsidRPr="00297980" w:rsidRDefault="00574A27" w:rsidP="000D515F">
            <w:pPr>
              <w:bidi/>
              <w:spacing w:after="120" w:line="280" w:lineRule="exact"/>
              <w:jc w:val="center"/>
              <w:rPr>
                <w:rFonts w:ascii="Arabic Typesetting" w:hAnsi="Arabic Typesetting" w:cs="Arabic Typesetting"/>
                <w:color w:val="000000"/>
                <w:sz w:val="28"/>
                <w:szCs w:val="28"/>
                <w:rtl/>
              </w:rPr>
            </w:pPr>
            <w:r w:rsidRPr="00297980">
              <w:rPr>
                <w:rFonts w:ascii="Arabic Typesetting" w:hAnsi="Arabic Typesetting" w:cs="Arabic Typesetting"/>
                <w:color w:val="000000"/>
                <w:sz w:val="28"/>
                <w:szCs w:val="28"/>
                <w:rtl/>
              </w:rPr>
              <w:t>5</w:t>
            </w:r>
          </w:p>
        </w:tc>
        <w:tc>
          <w:tcPr>
            <w:tcW w:w="1322" w:type="pct"/>
            <w:shd w:val="clear" w:color="auto" w:fill="FFFFFF"/>
            <w:tcMar>
              <w:top w:w="110" w:type="dxa"/>
              <w:left w:w="58" w:type="dxa"/>
              <w:right w:w="58" w:type="dxa"/>
            </w:tcMar>
          </w:tcPr>
          <w:p w14:paraId="18CAE3B0" w14:textId="77777777" w:rsidR="00574A27" w:rsidRPr="00297980" w:rsidRDefault="00574A27" w:rsidP="000D515F">
            <w:pPr>
              <w:keepLines/>
              <w:bidi/>
              <w:spacing w:after="120" w:line="280" w:lineRule="exact"/>
              <w:rPr>
                <w:rFonts w:ascii="Arabic Typesetting" w:hAnsi="Arabic Typesetting" w:cs="Arabic Typesetting"/>
                <w:color w:val="000000"/>
                <w:sz w:val="28"/>
                <w:szCs w:val="28"/>
                <w:rtl/>
              </w:rPr>
            </w:pPr>
            <w:r w:rsidRPr="00297980">
              <w:rPr>
                <w:rFonts w:ascii="Arabic Typesetting" w:hAnsi="Arabic Typesetting" w:cs="Arabic Typesetting"/>
                <w:color w:val="000000"/>
                <w:sz w:val="28"/>
                <w:szCs w:val="28"/>
                <w:rtl/>
              </w:rPr>
              <w:t>3 مبادرات</w:t>
            </w:r>
          </w:p>
        </w:tc>
        <w:tc>
          <w:tcPr>
            <w:tcW w:w="446" w:type="pct"/>
            <w:shd w:val="clear" w:color="auto" w:fill="auto"/>
            <w:tcMar>
              <w:top w:w="110" w:type="dxa"/>
              <w:left w:w="58" w:type="dxa"/>
              <w:right w:w="58" w:type="dxa"/>
            </w:tcMar>
          </w:tcPr>
          <w:p w14:paraId="3A8D8A7D" w14:textId="77777777" w:rsidR="00574A27" w:rsidRPr="00EE280E" w:rsidRDefault="00574A27" w:rsidP="000D515F">
            <w:pPr>
              <w:keepLines/>
              <w:bidi/>
              <w:spacing w:after="120" w:line="280" w:lineRule="exact"/>
              <w:jc w:val="center"/>
              <w:rPr>
                <w:rFonts w:ascii="Arabic Typesetting" w:hAnsi="Arabic Typesetting" w:cs="Arabic Typesetting"/>
                <w:bCs/>
                <w:color w:val="000000"/>
                <w:sz w:val="28"/>
                <w:szCs w:val="28"/>
                <w:rtl/>
              </w:rPr>
            </w:pPr>
            <w:r w:rsidRPr="00EE280E">
              <w:rPr>
                <w:rFonts w:ascii="Arabic Typesetting" w:hAnsi="Arabic Typesetting" w:cs="Arabic Typesetting"/>
                <w:bCs/>
                <w:color w:val="00B050"/>
                <w:sz w:val="28"/>
                <w:szCs w:val="28"/>
                <w:rtl/>
              </w:rPr>
              <w:t>ثابت</w:t>
            </w:r>
          </w:p>
        </w:tc>
      </w:tr>
    </w:tbl>
    <w:p w14:paraId="1382E5FE" w14:textId="77777777" w:rsidR="00574A27" w:rsidRPr="00941612" w:rsidRDefault="00574A27" w:rsidP="002B0DFD">
      <w:pPr>
        <w:keepNext/>
        <w:bidi/>
        <w:spacing w:after="240" w:line="360" w:lineRule="exact"/>
        <w:rPr>
          <w:rFonts w:ascii="Arabic Typesetting" w:hAnsi="Arabic Typesetting" w:cs="Arabic Typesetting"/>
          <w:bCs/>
          <w:iCs/>
          <w:sz w:val="38"/>
          <w:szCs w:val="38"/>
        </w:rPr>
      </w:pPr>
      <w:r w:rsidRPr="00941612">
        <w:rPr>
          <w:rFonts w:ascii="Arabic Typesetting" w:hAnsi="Arabic Typesetting" w:cs="Arabic Typesetting"/>
          <w:sz w:val="38"/>
          <w:szCs w:val="38"/>
          <w:rtl/>
        </w:rPr>
        <w:lastRenderedPageBreak/>
        <w:t>المكاتب الخارجية</w:t>
      </w:r>
    </w:p>
    <w:tbl>
      <w:tblPr>
        <w:bidiVisual/>
        <w:tblW w:w="9490" w:type="dxa"/>
        <w:tblInd w:w="108" w:type="dxa"/>
        <w:tblLayout w:type="fixed"/>
        <w:tblCellMar>
          <w:left w:w="115" w:type="dxa"/>
          <w:right w:w="115" w:type="dxa"/>
        </w:tblCellMar>
        <w:tblLook w:val="0000" w:firstRow="0" w:lastRow="0" w:firstColumn="0" w:lastColumn="0" w:noHBand="0" w:noVBand="0"/>
      </w:tblPr>
      <w:tblGrid>
        <w:gridCol w:w="1749"/>
        <w:gridCol w:w="2250"/>
        <w:gridCol w:w="345"/>
        <w:gridCol w:w="106"/>
        <w:gridCol w:w="89"/>
        <w:gridCol w:w="1349"/>
        <w:gridCol w:w="53"/>
        <w:gridCol w:w="21"/>
        <w:gridCol w:w="287"/>
        <w:gridCol w:w="180"/>
        <w:gridCol w:w="1959"/>
        <w:gridCol w:w="17"/>
        <w:gridCol w:w="818"/>
        <w:gridCol w:w="15"/>
        <w:gridCol w:w="252"/>
      </w:tblGrid>
      <w:tr w:rsidR="00574A27" w:rsidRPr="000D515F" w14:paraId="5973CC9B" w14:textId="77777777" w:rsidTr="000D515F">
        <w:trPr>
          <w:gridAfter w:val="2"/>
          <w:wAfter w:w="141" w:type="pct"/>
          <w:cantSplit/>
          <w:trHeight w:val="565"/>
        </w:trPr>
        <w:tc>
          <w:tcPr>
            <w:tcW w:w="4859" w:type="pct"/>
            <w:gridSpan w:val="13"/>
            <w:shd w:val="clear" w:color="auto" w:fill="C6D9F1" w:themeFill="text2" w:themeFillTint="33"/>
            <w:tcMar>
              <w:left w:w="58" w:type="dxa"/>
              <w:right w:w="58" w:type="dxa"/>
            </w:tcMar>
            <w:vAlign w:val="center"/>
          </w:tcPr>
          <w:p w14:paraId="1FBE0FE0" w14:textId="2C119926" w:rsidR="00574A27" w:rsidRPr="000D515F" w:rsidRDefault="00574A27" w:rsidP="000D515F">
            <w:pPr>
              <w:keepNext/>
              <w:bidi/>
              <w:spacing w:before="120" w:after="120" w:line="280" w:lineRule="exact"/>
              <w:ind w:left="1167" w:hanging="1167"/>
              <w:rPr>
                <w:rFonts w:ascii="Arabic Typesetting" w:hAnsi="Arabic Typesetting" w:cs="Arabic Typesetting"/>
                <w:b/>
                <w:bCs/>
                <w:sz w:val="28"/>
                <w:szCs w:val="28"/>
                <w:rtl/>
              </w:rPr>
            </w:pPr>
            <w:r w:rsidRPr="000D515F">
              <w:rPr>
                <w:rFonts w:ascii="Arabic Typesetting" w:hAnsi="Arabic Typesetting" w:cs="Arabic Typesetting"/>
                <w:b/>
                <w:bCs/>
                <w:sz w:val="28"/>
                <w:szCs w:val="28"/>
                <w:rtl/>
              </w:rPr>
              <w:t xml:space="preserve">النتيجة </w:t>
            </w:r>
            <w:r w:rsidRPr="000D515F">
              <w:rPr>
                <w:rFonts w:ascii="Arabic Typesetting" w:hAnsi="Arabic Typesetting" w:cs="Arabic Typesetting"/>
                <w:b/>
                <w:bCs/>
                <w:sz w:val="28"/>
                <w:szCs w:val="28"/>
                <w:rtl/>
                <w:lang w:bidi="ar-EG"/>
              </w:rPr>
              <w:t>المرتقبة</w:t>
            </w:r>
            <w:r w:rsidRPr="000D515F">
              <w:rPr>
                <w:rFonts w:ascii="Arabic Typesetting" w:hAnsi="Arabic Typesetting" w:cs="Arabic Typesetting"/>
                <w:b/>
                <w:bCs/>
                <w:sz w:val="28"/>
                <w:szCs w:val="28"/>
                <w:rtl/>
              </w:rPr>
              <w:t>:</w:t>
            </w:r>
            <w:r w:rsidRPr="000D515F">
              <w:rPr>
                <w:rFonts w:ascii="Arabic Typesetting" w:hAnsi="Arabic Typesetting" w:cs="Arabic Typesetting"/>
                <w:b/>
                <w:bCs/>
                <w:sz w:val="28"/>
                <w:szCs w:val="28"/>
                <w:rtl/>
              </w:rPr>
              <w:tab/>
            </w:r>
            <w:r w:rsidRPr="000D515F">
              <w:rPr>
                <w:rFonts w:ascii="Arabic Typesetting" w:hAnsi="Arabic Typesetting" w:cs="Arabic Typesetting"/>
                <w:sz w:val="28"/>
                <w:szCs w:val="28"/>
                <w:rtl/>
                <w:lang w:bidi="ar-EG"/>
              </w:rPr>
              <w:t xml:space="preserve">ھ1.1 </w:t>
            </w:r>
            <w:r w:rsidR="009834BA">
              <w:rPr>
                <w:rFonts w:ascii="Arabic Typesetting" w:hAnsi="Arabic Typesetting" w:cs="Arabic Typesetting"/>
                <w:sz w:val="28"/>
                <w:szCs w:val="28"/>
                <w:rtl/>
                <w:lang w:bidi="ar-EG"/>
              </w:rPr>
              <w:t>تعاون معزز بين الدول الأعضاء في وضع أطر تقنينية دولية متوازنة في مجال الملكية الفكرية</w:t>
            </w:r>
          </w:p>
        </w:tc>
      </w:tr>
      <w:tr w:rsidR="00574A27" w:rsidRPr="000D515F" w14:paraId="57370751" w14:textId="77777777" w:rsidTr="000D515F">
        <w:trPr>
          <w:gridAfter w:val="1"/>
          <w:wAfter w:w="133" w:type="pct"/>
          <w:cantSplit/>
        </w:trPr>
        <w:tc>
          <w:tcPr>
            <w:tcW w:w="921" w:type="pct"/>
            <w:shd w:val="clear" w:color="auto" w:fill="auto"/>
            <w:tcMar>
              <w:left w:w="58" w:type="dxa"/>
              <w:right w:w="58" w:type="dxa"/>
            </w:tcMar>
            <w:vAlign w:val="center"/>
          </w:tcPr>
          <w:p w14:paraId="4A7D340B" w14:textId="77777777" w:rsidR="00574A27" w:rsidRPr="000D515F" w:rsidRDefault="00574A27" w:rsidP="000D515F">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مؤشرات الأداء</w:t>
            </w:r>
          </w:p>
        </w:tc>
        <w:tc>
          <w:tcPr>
            <w:tcW w:w="1470" w:type="pct"/>
            <w:gridSpan w:val="4"/>
            <w:shd w:val="clear" w:color="auto" w:fill="auto"/>
            <w:tcMar>
              <w:left w:w="58" w:type="dxa"/>
              <w:right w:w="58" w:type="dxa"/>
            </w:tcMar>
            <w:vAlign w:val="center"/>
          </w:tcPr>
          <w:p w14:paraId="40426CC0" w14:textId="77777777" w:rsidR="00574A27" w:rsidRPr="000D515F" w:rsidRDefault="00574A27" w:rsidP="000D515F">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أسس المقارنة</w:t>
            </w:r>
          </w:p>
        </w:tc>
        <w:tc>
          <w:tcPr>
            <w:tcW w:w="739" w:type="pct"/>
            <w:gridSpan w:val="2"/>
            <w:shd w:val="clear" w:color="auto" w:fill="auto"/>
            <w:tcMar>
              <w:top w:w="58" w:type="dxa"/>
              <w:left w:w="29" w:type="dxa"/>
              <w:right w:w="29" w:type="dxa"/>
            </w:tcMar>
            <w:vAlign w:val="center"/>
          </w:tcPr>
          <w:p w14:paraId="4F52EB06" w14:textId="77777777" w:rsidR="00574A27" w:rsidRPr="000D515F" w:rsidRDefault="00574A27" w:rsidP="000D515F">
            <w:pPr>
              <w:keepNext/>
              <w:tabs>
                <w:tab w:val="left" w:pos="290"/>
              </w:tabs>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الأهداف</w:t>
            </w:r>
          </w:p>
        </w:tc>
        <w:tc>
          <w:tcPr>
            <w:tcW w:w="1289" w:type="pct"/>
            <w:gridSpan w:val="4"/>
            <w:shd w:val="clear" w:color="auto" w:fill="FFFFFF"/>
            <w:tcMar>
              <w:top w:w="58" w:type="dxa"/>
              <w:left w:w="29" w:type="dxa"/>
              <w:right w:w="29" w:type="dxa"/>
            </w:tcMar>
            <w:vAlign w:val="center"/>
          </w:tcPr>
          <w:p w14:paraId="3B0F26E3" w14:textId="77777777" w:rsidR="00574A27" w:rsidRPr="000D515F" w:rsidRDefault="00574A27" w:rsidP="000D515F">
            <w:pPr>
              <w:keepNext/>
              <w:bidi/>
              <w:spacing w:before="120"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بيانات الأداء</w:t>
            </w:r>
          </w:p>
        </w:tc>
        <w:tc>
          <w:tcPr>
            <w:tcW w:w="448" w:type="pct"/>
            <w:gridSpan w:val="3"/>
            <w:shd w:val="clear" w:color="auto" w:fill="auto"/>
            <w:tcMar>
              <w:top w:w="58" w:type="dxa"/>
              <w:left w:w="29" w:type="dxa"/>
              <w:right w:w="29" w:type="dxa"/>
            </w:tcMar>
            <w:vAlign w:val="center"/>
          </w:tcPr>
          <w:p w14:paraId="4F53A6E9" w14:textId="77777777" w:rsidR="00574A27" w:rsidRPr="000D515F" w:rsidRDefault="00574A27" w:rsidP="000D515F">
            <w:pPr>
              <w:keepNext/>
              <w:bidi/>
              <w:spacing w:before="120"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السير</w:t>
            </w:r>
          </w:p>
        </w:tc>
      </w:tr>
      <w:tr w:rsidR="00574A27" w:rsidRPr="000D515F" w14:paraId="3BB2B267" w14:textId="77777777" w:rsidTr="000D515F">
        <w:trPr>
          <w:gridAfter w:val="1"/>
          <w:wAfter w:w="133" w:type="pct"/>
          <w:cantSplit/>
          <w:trHeight w:val="288"/>
        </w:trPr>
        <w:tc>
          <w:tcPr>
            <w:tcW w:w="921" w:type="pct"/>
            <w:shd w:val="clear" w:color="auto" w:fill="auto"/>
            <w:tcMar>
              <w:left w:w="58" w:type="dxa"/>
              <w:right w:w="58" w:type="dxa"/>
            </w:tcMar>
          </w:tcPr>
          <w:p w14:paraId="7520A3FC"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عدد حالات التصديق على معاهدة مراكش و/أو حالات الانضمام إليها</w:t>
            </w:r>
          </w:p>
        </w:tc>
        <w:tc>
          <w:tcPr>
            <w:tcW w:w="1423" w:type="pct"/>
            <w:gridSpan w:val="3"/>
            <w:shd w:val="clear" w:color="auto" w:fill="auto"/>
            <w:tcMar>
              <w:left w:w="58" w:type="dxa"/>
              <w:right w:w="58" w:type="dxa"/>
            </w:tcMar>
          </w:tcPr>
          <w:p w14:paraId="3C111C68" w14:textId="77777777" w:rsid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
                <w:color w:val="002060"/>
                <w:sz w:val="28"/>
                <w:szCs w:val="28"/>
                <w:rtl/>
              </w:rPr>
              <w:t xml:space="preserve"> </w:t>
            </w:r>
            <w:r w:rsidRPr="000D515F">
              <w:rPr>
                <w:rFonts w:ascii="Arabic Typesetting" w:hAnsi="Arabic Typesetting" w:cs="Arabic Typesetting"/>
                <w:iCs/>
                <w:color w:val="002060"/>
                <w:sz w:val="28"/>
                <w:szCs w:val="28"/>
                <w:rtl/>
              </w:rPr>
              <w:t xml:space="preserve">أساس </w:t>
            </w:r>
            <w:r w:rsidR="000D515F">
              <w:rPr>
                <w:rFonts w:ascii="Arabic Typesetting" w:hAnsi="Arabic Typesetting" w:cs="Arabic Typesetting"/>
                <w:iCs/>
                <w:color w:val="002060"/>
                <w:sz w:val="28"/>
                <w:szCs w:val="28"/>
                <w:rtl/>
              </w:rPr>
              <w:t>المقارنة المحدّث في نهاية 2015:</w:t>
            </w:r>
            <w:r w:rsidR="000D515F">
              <w:rPr>
                <w:rFonts w:ascii="Arabic Typesetting" w:hAnsi="Arabic Typesetting" w:cs="Arabic Typesetting"/>
                <w:iCs/>
                <w:color w:val="002060"/>
                <w:sz w:val="28"/>
                <w:szCs w:val="28"/>
              </w:rPr>
              <w:br/>
            </w:r>
            <w:r w:rsidRPr="000D515F">
              <w:rPr>
                <w:rFonts w:ascii="Arabic Typesetting" w:hAnsi="Arabic Typesetting" w:cs="Arabic Typesetting"/>
                <w:color w:val="002060"/>
                <w:sz w:val="28"/>
                <w:szCs w:val="28"/>
                <w:rtl/>
              </w:rPr>
              <w:t>1 (مكتب البرازيل)</w:t>
            </w:r>
            <w:r w:rsidR="000D515F">
              <w:rPr>
                <w:rFonts w:ascii="Arabic Typesetting" w:hAnsi="Arabic Typesetting" w:cs="Arabic Typesetting" w:hint="cs"/>
                <w:color w:val="002060"/>
                <w:sz w:val="28"/>
                <w:szCs w:val="28"/>
                <w:rtl/>
              </w:rPr>
              <w:br/>
            </w:r>
            <w:r w:rsidRPr="000D515F">
              <w:rPr>
                <w:rFonts w:ascii="Arabic Typesetting" w:hAnsi="Arabic Typesetting" w:cs="Arabic Typesetting"/>
                <w:color w:val="002060"/>
                <w:sz w:val="28"/>
                <w:szCs w:val="28"/>
                <w:rtl/>
              </w:rPr>
              <w:t>0 (مكتب الصين)</w:t>
            </w:r>
            <w:r w:rsidR="000D515F">
              <w:rPr>
                <w:rFonts w:ascii="Arabic Typesetting" w:hAnsi="Arabic Typesetting" w:cs="Arabic Typesetting" w:hint="cs"/>
                <w:color w:val="002060"/>
                <w:sz w:val="28"/>
                <w:szCs w:val="28"/>
                <w:rtl/>
              </w:rPr>
              <w:br/>
            </w:r>
            <w:r w:rsidRPr="000D515F">
              <w:rPr>
                <w:rFonts w:ascii="Arabic Typesetting" w:hAnsi="Arabic Typesetting" w:cs="Arabic Typesetting"/>
                <w:color w:val="002060"/>
                <w:sz w:val="28"/>
                <w:szCs w:val="28"/>
                <w:rtl/>
              </w:rPr>
              <w:t>0 (مكتب اليابان)</w:t>
            </w:r>
            <w:r w:rsidR="000D515F">
              <w:rPr>
                <w:rFonts w:ascii="Arabic Typesetting" w:hAnsi="Arabic Typesetting" w:cs="Arabic Typesetting" w:hint="cs"/>
                <w:color w:val="002060"/>
                <w:sz w:val="28"/>
                <w:szCs w:val="28"/>
                <w:rtl/>
              </w:rPr>
              <w:br/>
            </w:r>
            <w:r w:rsidRPr="000D515F">
              <w:rPr>
                <w:rFonts w:ascii="Arabic Typesetting" w:hAnsi="Arabic Typesetting" w:cs="Arabic Typesetting"/>
                <w:color w:val="002060"/>
                <w:sz w:val="28"/>
                <w:szCs w:val="28"/>
                <w:rtl/>
              </w:rPr>
              <w:t>0 (مكتب روسيا)</w:t>
            </w:r>
            <w:r w:rsidR="000D515F">
              <w:rPr>
                <w:rFonts w:ascii="Arabic Typesetting" w:hAnsi="Arabic Typesetting" w:cs="Arabic Typesetting" w:hint="cs"/>
                <w:color w:val="002060"/>
                <w:sz w:val="28"/>
                <w:szCs w:val="28"/>
                <w:rtl/>
              </w:rPr>
              <w:br/>
            </w:r>
            <w:r w:rsidRPr="000D515F">
              <w:rPr>
                <w:rFonts w:ascii="Arabic Typesetting" w:hAnsi="Arabic Typesetting" w:cs="Arabic Typesetting"/>
                <w:color w:val="002060"/>
                <w:sz w:val="28"/>
                <w:szCs w:val="28"/>
                <w:rtl/>
              </w:rPr>
              <w:t>1 (مكتب سنغافورة) (سنغافورة)</w:t>
            </w:r>
          </w:p>
          <w:p w14:paraId="55037F3C" w14:textId="2E466370" w:rsidR="00574A27" w:rsidRPr="000D515F" w:rsidRDefault="000D515F" w:rsidP="000D515F">
            <w:pPr>
              <w:suppressLineNumbers/>
              <w:suppressAutoHyphens/>
              <w:bidi/>
              <w:spacing w:after="120" w:line="280" w:lineRule="exact"/>
              <w:rPr>
                <w:rFonts w:ascii="Arabic Typesetting" w:hAnsi="Arabic Typesetting" w:cs="Arabic Typesetting"/>
                <w:color w:val="000000"/>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برنامج وميزانية 2016/17:</w:t>
            </w:r>
            <w:r>
              <w:rPr>
                <w:rFonts w:ascii="Arabic Typesetting" w:hAnsi="Arabic Typesetting" w:cs="Arabic Typesetting" w:hint="cs"/>
                <w:iCs/>
                <w:sz w:val="28"/>
                <w:szCs w:val="28"/>
                <w:rtl/>
              </w:rPr>
              <w:br/>
            </w:r>
            <w:r w:rsidR="00574A27" w:rsidRPr="000D515F">
              <w:rPr>
                <w:rFonts w:ascii="Arabic Typesetting" w:hAnsi="Arabic Typesetting" w:cs="Arabic Typesetting"/>
                <w:color w:val="000000"/>
                <w:sz w:val="28"/>
                <w:szCs w:val="28"/>
                <w:rtl/>
              </w:rPr>
              <w:t>0 (جميع المكاتب الخارجية)</w:t>
            </w:r>
          </w:p>
        </w:tc>
        <w:tc>
          <w:tcPr>
            <w:tcW w:w="1043" w:type="pct"/>
            <w:gridSpan w:val="6"/>
            <w:shd w:val="clear" w:color="auto" w:fill="auto"/>
            <w:tcMar>
              <w:top w:w="58" w:type="dxa"/>
              <w:left w:w="29" w:type="dxa"/>
              <w:right w:w="29" w:type="dxa"/>
            </w:tcMar>
          </w:tcPr>
          <w:p w14:paraId="05C01B62" w14:textId="77777777" w:rsidR="000D515F" w:rsidRDefault="000D515F" w:rsidP="000D515F">
            <w:pPr>
              <w:suppressLineNumbers/>
              <w:suppressAutoHyphens/>
              <w:bidi/>
              <w:spacing w:after="12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rPr>
              <w:t>الهدف المُحدَّث:</w:t>
            </w:r>
            <w:r>
              <w:rPr>
                <w:rFonts w:ascii="Arabic Typesetting" w:hAnsi="Arabic Typesetting" w:cs="Arabic Typesetting" w:hint="cs"/>
                <w:iCs/>
                <w:color w:val="002060"/>
                <w:sz w:val="28"/>
                <w:szCs w:val="28"/>
                <w:rtl/>
              </w:rPr>
              <w:br/>
            </w:r>
            <w:r w:rsidR="00574A27" w:rsidRPr="000D515F">
              <w:rPr>
                <w:rFonts w:ascii="Arabic Typesetting" w:hAnsi="Arabic Typesetting" w:cs="Arabic Typesetting"/>
                <w:color w:val="002060"/>
                <w:sz w:val="28"/>
                <w:szCs w:val="28"/>
                <w:rtl/>
              </w:rPr>
              <w:t>1 (مكتب الصين)</w:t>
            </w:r>
            <w:r>
              <w:rPr>
                <w:rFonts w:ascii="Arabic Typesetting" w:hAnsi="Arabic Typesetting" w:cs="Arabic Typesetting" w:hint="cs"/>
                <w:color w:val="002060"/>
                <w:sz w:val="28"/>
                <w:szCs w:val="28"/>
                <w:rtl/>
              </w:rPr>
              <w:br/>
            </w:r>
            <w:r w:rsidR="00574A27" w:rsidRPr="000D515F">
              <w:rPr>
                <w:rFonts w:ascii="Arabic Typesetting" w:hAnsi="Arabic Typesetting" w:cs="Arabic Typesetting"/>
                <w:color w:val="002060"/>
                <w:sz w:val="28"/>
                <w:szCs w:val="28"/>
                <w:rtl/>
              </w:rPr>
              <w:t>1 (مكتب اليابان)</w:t>
            </w:r>
            <w:r>
              <w:rPr>
                <w:rFonts w:ascii="Arabic Typesetting" w:hAnsi="Arabic Typesetting" w:cs="Arabic Typesetting" w:hint="cs"/>
                <w:color w:val="002060"/>
                <w:sz w:val="28"/>
                <w:szCs w:val="28"/>
                <w:rtl/>
              </w:rPr>
              <w:br/>
            </w:r>
            <w:r w:rsidR="00574A27" w:rsidRPr="000D515F">
              <w:rPr>
                <w:rFonts w:ascii="Arabic Typesetting" w:hAnsi="Arabic Typesetting" w:cs="Arabic Typesetting"/>
                <w:color w:val="002060"/>
                <w:sz w:val="28"/>
                <w:szCs w:val="28"/>
                <w:rtl/>
              </w:rPr>
              <w:t>1 (مكتب روسيا)</w:t>
            </w:r>
            <w:r>
              <w:rPr>
                <w:rFonts w:ascii="Arabic Typesetting" w:hAnsi="Arabic Typesetting" w:cs="Arabic Typesetting" w:hint="cs"/>
                <w:color w:val="002060"/>
                <w:sz w:val="28"/>
                <w:szCs w:val="28"/>
                <w:rtl/>
              </w:rPr>
              <w:br/>
            </w:r>
            <w:r w:rsidR="00574A27" w:rsidRPr="000D515F">
              <w:rPr>
                <w:rFonts w:ascii="Arabic Typesetting" w:hAnsi="Arabic Typesetting" w:cs="Arabic Typesetting"/>
                <w:color w:val="002060"/>
                <w:sz w:val="28"/>
                <w:szCs w:val="28"/>
                <w:rtl/>
              </w:rPr>
              <w:t>2 إضافيتان (مكتب سنغافورة)</w:t>
            </w:r>
          </w:p>
          <w:p w14:paraId="58BF28C2" w14:textId="2966937A" w:rsidR="00574A27" w:rsidRPr="000D515F" w:rsidRDefault="00574A27" w:rsidP="000C4432">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iCs/>
                <w:sz w:val="28"/>
                <w:szCs w:val="28"/>
                <w:rtl/>
              </w:rPr>
              <w:t>الهدف الأصلي</w:t>
            </w:r>
            <w:r w:rsidR="000C4432">
              <w:rPr>
                <w:rFonts w:ascii="Arabic Typesetting" w:hAnsi="Arabic Typesetting" w:cs="Arabic Typesetting" w:hint="cs"/>
                <w:iCs/>
                <w:sz w:val="28"/>
                <w:szCs w:val="28"/>
                <w:rtl/>
              </w:rPr>
              <w:t>:</w:t>
            </w:r>
            <w:r w:rsidR="000C4432">
              <w:rPr>
                <w:rFonts w:ascii="Arabic Typesetting" w:hAnsi="Arabic Typesetting" w:cs="Arabic Typesetting"/>
                <w:iCs/>
                <w:sz w:val="28"/>
                <w:szCs w:val="28"/>
                <w:rtl/>
              </w:rPr>
              <w:br/>
            </w:r>
            <w:r w:rsidRPr="000D515F">
              <w:rPr>
                <w:rFonts w:ascii="Arabic Typesetting" w:hAnsi="Arabic Typesetting" w:cs="Arabic Typesetting"/>
                <w:iCs/>
                <w:sz w:val="28"/>
                <w:szCs w:val="28"/>
                <w:rtl/>
              </w:rPr>
              <w:t>برنامج وميزانية 2016/17:</w:t>
            </w:r>
            <w:r w:rsidR="000D515F">
              <w:rPr>
                <w:rFonts w:ascii="Arabic Typesetting" w:hAnsi="Arabic Typesetting" w:cs="Arabic Typesetting" w:hint="cs"/>
                <w:iCs/>
                <w:sz w:val="28"/>
                <w:szCs w:val="28"/>
                <w:rtl/>
              </w:rPr>
              <w:br/>
            </w:r>
            <w:r w:rsidRPr="000D515F">
              <w:rPr>
                <w:rFonts w:ascii="Arabic Typesetting" w:hAnsi="Arabic Typesetting" w:cs="Arabic Typesetting"/>
                <w:sz w:val="28"/>
                <w:szCs w:val="28"/>
                <w:rtl/>
              </w:rPr>
              <w:t>1 (مكتب البرازيل، مكتب الصين، مكتب اليابان، مكتب روسيا)، 2 (مكتب سنغافورة)</w:t>
            </w:r>
          </w:p>
        </w:tc>
        <w:tc>
          <w:tcPr>
            <w:tcW w:w="1032" w:type="pct"/>
            <w:shd w:val="clear" w:color="auto" w:fill="FFFFFF"/>
            <w:tcMar>
              <w:top w:w="58" w:type="dxa"/>
              <w:left w:w="29" w:type="dxa"/>
              <w:right w:w="29" w:type="dxa"/>
            </w:tcMar>
          </w:tcPr>
          <w:p w14:paraId="388B9283" w14:textId="77777777"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0 (مكتب الصين)</w:t>
            </w:r>
          </w:p>
          <w:p w14:paraId="5D8084FA" w14:textId="77777777"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0 (مكتب اليابان)</w:t>
            </w:r>
          </w:p>
          <w:p w14:paraId="267A5F69" w14:textId="77777777"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0 (مكتب روسيا)</w:t>
            </w:r>
          </w:p>
          <w:p w14:paraId="1FCDE589" w14:textId="512F4045" w:rsidR="00574A27" w:rsidRPr="000D515F" w:rsidRDefault="000C4432" w:rsidP="000D515F">
            <w:pPr>
              <w:suppressLineNumbers/>
              <w:suppressAutoHyphens/>
              <w:bidi/>
              <w:spacing w:after="120" w:line="280" w:lineRule="exact"/>
              <w:rPr>
                <w:rFonts w:ascii="Arabic Typesetting" w:hAnsi="Arabic Typesetting" w:cs="Arabic Typesetting"/>
                <w:sz w:val="28"/>
                <w:szCs w:val="28"/>
              </w:rPr>
            </w:pPr>
            <w:r>
              <w:rPr>
                <w:rFonts w:ascii="Arabic Typesetting" w:hAnsi="Arabic Typesetting" w:cs="Arabic Typesetting" w:hint="cs"/>
                <w:sz w:val="28"/>
                <w:szCs w:val="28"/>
                <w:rtl/>
                <w:lang w:bidi="ar-EG"/>
              </w:rPr>
              <w:t>لا حالات إضافية</w:t>
            </w:r>
            <w:r w:rsidR="00574A27" w:rsidRPr="000D515F">
              <w:rPr>
                <w:rFonts w:ascii="Arabic Typesetting" w:hAnsi="Arabic Typesetting" w:cs="Arabic Typesetting"/>
                <w:sz w:val="28"/>
                <w:szCs w:val="28"/>
                <w:rtl/>
              </w:rPr>
              <w:t xml:space="preserve"> (مكتب</w:t>
            </w:r>
            <w:r w:rsidR="000D515F">
              <w:rPr>
                <w:rFonts w:ascii="Arabic Typesetting" w:hAnsi="Arabic Typesetting" w:cs="Arabic Typesetting" w:hint="cs"/>
                <w:sz w:val="28"/>
                <w:szCs w:val="28"/>
                <w:rtl/>
              </w:rPr>
              <w:t> </w:t>
            </w:r>
            <w:r w:rsidR="00574A27" w:rsidRPr="000D515F">
              <w:rPr>
                <w:rFonts w:ascii="Arabic Typesetting" w:hAnsi="Arabic Typesetting" w:cs="Arabic Typesetting"/>
                <w:sz w:val="28"/>
                <w:szCs w:val="28"/>
                <w:rtl/>
              </w:rPr>
              <w:t>سنغافورة)</w:t>
            </w:r>
          </w:p>
        </w:tc>
        <w:tc>
          <w:tcPr>
            <w:tcW w:w="448" w:type="pct"/>
            <w:gridSpan w:val="3"/>
            <w:shd w:val="clear" w:color="auto" w:fill="auto"/>
            <w:tcMar>
              <w:top w:w="58" w:type="dxa"/>
              <w:left w:w="29" w:type="dxa"/>
              <w:right w:w="29" w:type="dxa"/>
            </w:tcMar>
          </w:tcPr>
          <w:p w14:paraId="38EB734A"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0000"/>
                <w:sz w:val="28"/>
                <w:szCs w:val="28"/>
                <w:rtl/>
              </w:rPr>
            </w:pPr>
            <w:r w:rsidRPr="000D515F">
              <w:rPr>
                <w:rFonts w:ascii="Arabic Typesetting" w:hAnsi="Arabic Typesetting" w:cs="Arabic Typesetting"/>
                <w:bCs/>
                <w:color w:val="FF0000"/>
                <w:sz w:val="28"/>
                <w:szCs w:val="28"/>
                <w:rtl/>
              </w:rPr>
              <w:t>غير ثابت</w:t>
            </w:r>
          </w:p>
        </w:tc>
      </w:tr>
      <w:tr w:rsidR="00574A27" w:rsidRPr="000D515F" w14:paraId="216AE9F8" w14:textId="77777777" w:rsidTr="000D515F">
        <w:trPr>
          <w:gridAfter w:val="1"/>
          <w:wAfter w:w="133" w:type="pct"/>
          <w:cantSplit/>
          <w:trHeight w:val="1204"/>
        </w:trPr>
        <w:tc>
          <w:tcPr>
            <w:tcW w:w="921" w:type="pct"/>
            <w:shd w:val="clear" w:color="auto" w:fill="auto"/>
            <w:tcMar>
              <w:left w:w="58" w:type="dxa"/>
              <w:right w:w="58" w:type="dxa"/>
            </w:tcMar>
          </w:tcPr>
          <w:p w14:paraId="5172EF0F"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عدد حالات التصديق على معاهدة بيجين و/أو حالات الانضمام إليها</w:t>
            </w:r>
          </w:p>
        </w:tc>
        <w:tc>
          <w:tcPr>
            <w:tcW w:w="1470" w:type="pct"/>
            <w:gridSpan w:val="4"/>
            <w:shd w:val="clear" w:color="auto" w:fill="auto"/>
            <w:tcMar>
              <w:left w:w="58" w:type="dxa"/>
              <w:right w:w="58" w:type="dxa"/>
            </w:tcMar>
          </w:tcPr>
          <w:p w14:paraId="4F841BD1" w14:textId="5DD41021"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
                <w:color w:val="002060"/>
                <w:sz w:val="28"/>
                <w:szCs w:val="28"/>
                <w:rtl/>
              </w:rPr>
              <w:t xml:space="preserve"> </w:t>
            </w:r>
            <w:r w:rsidRPr="000D515F">
              <w:rPr>
                <w:rFonts w:ascii="Arabic Typesetting" w:hAnsi="Arabic Typesetting" w:cs="Arabic Typesetting"/>
                <w:iCs/>
                <w:color w:val="002060"/>
                <w:sz w:val="28"/>
                <w:szCs w:val="28"/>
                <w:rtl/>
              </w:rPr>
              <w:t>أساس المقارنة المحدّث في نهاية 2015:</w:t>
            </w:r>
            <w:r w:rsidR="000D515F">
              <w:rPr>
                <w:rFonts w:ascii="Arabic Typesetting" w:hAnsi="Arabic Typesetting" w:cs="Arabic Typesetting" w:hint="cs"/>
                <w:iCs/>
                <w:color w:val="002060"/>
                <w:sz w:val="28"/>
                <w:szCs w:val="28"/>
                <w:rtl/>
              </w:rPr>
              <w:br/>
            </w:r>
            <w:r w:rsidRPr="000D515F">
              <w:rPr>
                <w:rFonts w:ascii="Arabic Typesetting" w:hAnsi="Arabic Typesetting" w:cs="Arabic Typesetting"/>
                <w:color w:val="002060"/>
                <w:sz w:val="28"/>
                <w:szCs w:val="28"/>
                <w:rtl/>
              </w:rPr>
              <w:t>0 (مكتب سنغافورة)</w:t>
            </w:r>
            <w:r w:rsidRPr="000D515F">
              <w:rPr>
                <w:rFonts w:ascii="Arabic Typesetting" w:hAnsi="Arabic Typesetting" w:cs="Arabic Typesetting"/>
                <w:color w:val="002060"/>
                <w:sz w:val="28"/>
                <w:szCs w:val="28"/>
                <w:rtl/>
              </w:rPr>
              <w:br/>
              <w:t>1 (مكتب روسيا)</w:t>
            </w:r>
          </w:p>
          <w:p w14:paraId="71E8FE58" w14:textId="04937E7C" w:rsidR="00574A27" w:rsidRPr="000D515F" w:rsidRDefault="000D515F" w:rsidP="000D515F">
            <w:pPr>
              <w:suppressLineNumbers/>
              <w:suppressAutoHyphens/>
              <w:bidi/>
              <w:spacing w:after="120" w:line="280" w:lineRule="exact"/>
              <w:rPr>
                <w:rFonts w:ascii="Arabic Typesetting" w:hAnsi="Arabic Typesetting" w:cs="Arabic Typesetting"/>
                <w:color w:val="000000"/>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برنامج وميزانية 2016/17:</w:t>
            </w:r>
            <w:r>
              <w:rPr>
                <w:rFonts w:ascii="Arabic Typesetting" w:hAnsi="Arabic Typesetting" w:cs="Arabic Typesetting" w:hint="cs"/>
                <w:iCs/>
                <w:sz w:val="28"/>
                <w:szCs w:val="28"/>
                <w:rtl/>
              </w:rPr>
              <w:br/>
            </w:r>
            <w:r w:rsidR="00574A27" w:rsidRPr="000D515F">
              <w:rPr>
                <w:rFonts w:ascii="Arabic Typesetting" w:hAnsi="Arabic Typesetting" w:cs="Arabic Typesetting"/>
                <w:color w:val="000000"/>
                <w:sz w:val="28"/>
                <w:szCs w:val="28"/>
                <w:rtl/>
              </w:rPr>
              <w:t>0 (مكتب سنغافورة)</w:t>
            </w:r>
            <w:r>
              <w:rPr>
                <w:rFonts w:ascii="Arabic Typesetting" w:hAnsi="Arabic Typesetting" w:cs="Arabic Typesetting" w:hint="cs"/>
                <w:color w:val="000000"/>
                <w:sz w:val="28"/>
                <w:szCs w:val="28"/>
                <w:rtl/>
              </w:rPr>
              <w:br/>
            </w:r>
            <w:r w:rsidR="00574A27" w:rsidRPr="000D515F">
              <w:rPr>
                <w:rFonts w:ascii="Arabic Typesetting" w:hAnsi="Arabic Typesetting" w:cs="Arabic Typesetting"/>
                <w:color w:val="000000"/>
                <w:sz w:val="28"/>
                <w:szCs w:val="28"/>
                <w:rtl/>
              </w:rPr>
              <w:t>0 (مكتب روسيا)</w:t>
            </w:r>
          </w:p>
        </w:tc>
        <w:tc>
          <w:tcPr>
            <w:tcW w:w="996" w:type="pct"/>
            <w:gridSpan w:val="5"/>
            <w:shd w:val="clear" w:color="auto" w:fill="auto"/>
            <w:tcMar>
              <w:top w:w="58" w:type="dxa"/>
              <w:left w:w="29" w:type="dxa"/>
              <w:right w:w="29" w:type="dxa"/>
            </w:tcMar>
          </w:tcPr>
          <w:p w14:paraId="4901AC33" w14:textId="16EB0BF6" w:rsidR="00574A27" w:rsidRPr="000D515F" w:rsidRDefault="00574A27" w:rsidP="000D515F">
            <w:pPr>
              <w:suppressLineNumbers/>
              <w:suppressAutoHyphens/>
              <w:bidi/>
              <w:spacing w:after="120" w:line="280" w:lineRule="exact"/>
              <w:rPr>
                <w:rFonts w:ascii="Arabic Typesetting" w:hAnsi="Arabic Typesetting" w:cs="Arabic Typesetting"/>
                <w:strike/>
                <w:color w:val="000000"/>
                <w:sz w:val="28"/>
                <w:szCs w:val="28"/>
                <w:rtl/>
              </w:rPr>
            </w:pPr>
            <w:r w:rsidRPr="000D515F">
              <w:rPr>
                <w:rFonts w:ascii="Arabic Typesetting" w:hAnsi="Arabic Typesetting" w:cs="Arabic Typesetting"/>
                <w:iCs/>
                <w:color w:val="002060"/>
                <w:sz w:val="28"/>
                <w:szCs w:val="28"/>
                <w:rtl/>
              </w:rPr>
              <w:t>الهدف المُحدَّث:</w:t>
            </w:r>
            <w:r w:rsidR="000D515F">
              <w:rPr>
                <w:rFonts w:ascii="Arabic Typesetting" w:hAnsi="Arabic Typesetting" w:cs="Arabic Typesetting" w:hint="cs"/>
                <w:iCs/>
                <w:color w:val="002060"/>
                <w:sz w:val="28"/>
                <w:szCs w:val="28"/>
                <w:rtl/>
              </w:rPr>
              <w:br/>
            </w:r>
            <w:r w:rsidRPr="000D515F">
              <w:rPr>
                <w:rFonts w:ascii="Arabic Typesetting" w:hAnsi="Arabic Typesetting" w:cs="Arabic Typesetting"/>
                <w:color w:val="002060"/>
                <w:sz w:val="28"/>
                <w:szCs w:val="28"/>
                <w:rtl/>
              </w:rPr>
              <w:t>2 (مكتب سنغافورة)</w:t>
            </w:r>
          </w:p>
          <w:p w14:paraId="6135FB2B" w14:textId="05C22C65" w:rsidR="00574A27" w:rsidRPr="000D515F" w:rsidRDefault="000C4432" w:rsidP="000C4432">
            <w:pPr>
              <w:suppressLineNumbers/>
              <w:suppressAutoHyphens/>
              <w:bidi/>
              <w:spacing w:after="120" w:line="280" w:lineRule="exact"/>
              <w:rPr>
                <w:rFonts w:ascii="Arabic Typesetting" w:hAnsi="Arabic Typesetting" w:cs="Arabic Typesetting"/>
                <w:sz w:val="28"/>
                <w:szCs w:val="28"/>
                <w:rtl/>
              </w:rPr>
            </w:pPr>
            <w:r>
              <w:rPr>
                <w:rFonts w:ascii="Arabic Typesetting" w:hAnsi="Arabic Typesetting" w:cs="Arabic Typesetting"/>
                <w:iCs/>
                <w:sz w:val="28"/>
                <w:szCs w:val="28"/>
                <w:rtl/>
              </w:rPr>
              <w:t>الهدف الأصلي</w:t>
            </w:r>
            <w:r>
              <w:rPr>
                <w:rFonts w:ascii="Arabic Typesetting" w:hAnsi="Arabic Typesetting" w:cs="Arabic Typesetting" w:hint="cs"/>
                <w:iCs/>
                <w:sz w:val="28"/>
                <w:szCs w:val="28"/>
                <w:rtl/>
              </w:rPr>
              <w:t>:</w:t>
            </w:r>
            <w:r>
              <w:rPr>
                <w:rFonts w:ascii="Arabic Typesetting" w:hAnsi="Arabic Typesetting" w:cs="Arabic Typesetting" w:hint="cs"/>
                <w:iCs/>
                <w:sz w:val="28"/>
                <w:szCs w:val="28"/>
                <w:rtl/>
              </w:rPr>
              <w:br/>
            </w:r>
            <w:r w:rsidR="00574A27" w:rsidRPr="000D515F">
              <w:rPr>
                <w:rFonts w:ascii="Arabic Typesetting" w:hAnsi="Arabic Typesetting" w:cs="Arabic Typesetting"/>
                <w:iCs/>
                <w:sz w:val="28"/>
                <w:szCs w:val="28"/>
                <w:rtl/>
              </w:rPr>
              <w:t>برنامج وميزانية 2016/17:</w:t>
            </w:r>
            <w:r w:rsidR="000D515F">
              <w:rPr>
                <w:rFonts w:ascii="Arabic Typesetting" w:hAnsi="Arabic Typesetting" w:cs="Arabic Typesetting" w:hint="cs"/>
                <w:iCs/>
                <w:sz w:val="28"/>
                <w:szCs w:val="28"/>
                <w:rtl/>
              </w:rPr>
              <w:br/>
            </w:r>
            <w:r w:rsidR="00574A27" w:rsidRPr="000D515F">
              <w:rPr>
                <w:rFonts w:ascii="Arabic Typesetting" w:hAnsi="Arabic Typesetting" w:cs="Arabic Typesetting"/>
                <w:sz w:val="28"/>
                <w:szCs w:val="28"/>
                <w:rtl/>
              </w:rPr>
              <w:t>2 (مكتب سنغافورة)، 1</w:t>
            </w:r>
            <w:r w:rsidR="000D515F">
              <w:rPr>
                <w:rFonts w:ascii="Arabic Typesetting" w:hAnsi="Arabic Typesetting" w:cs="Arabic Typesetting" w:hint="cs"/>
                <w:sz w:val="28"/>
                <w:szCs w:val="28"/>
                <w:rtl/>
              </w:rPr>
              <w:t> </w:t>
            </w:r>
            <w:r w:rsidR="00574A27" w:rsidRPr="000D515F">
              <w:rPr>
                <w:rFonts w:ascii="Arabic Typesetting" w:hAnsi="Arabic Typesetting" w:cs="Arabic Typesetting"/>
                <w:sz w:val="28"/>
                <w:szCs w:val="28"/>
                <w:rtl/>
              </w:rPr>
              <w:t>(مكتب روسيا)</w:t>
            </w:r>
          </w:p>
        </w:tc>
        <w:tc>
          <w:tcPr>
            <w:tcW w:w="1041" w:type="pct"/>
            <w:gridSpan w:val="2"/>
            <w:shd w:val="clear" w:color="auto" w:fill="FFFFFF"/>
            <w:tcMar>
              <w:top w:w="58" w:type="dxa"/>
              <w:left w:w="29" w:type="dxa"/>
              <w:right w:w="29" w:type="dxa"/>
            </w:tcMar>
          </w:tcPr>
          <w:p w14:paraId="6EF18EC3"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0 (مكتب سنغافورة)</w:t>
            </w:r>
          </w:p>
        </w:tc>
        <w:tc>
          <w:tcPr>
            <w:tcW w:w="439" w:type="pct"/>
            <w:gridSpan w:val="2"/>
            <w:shd w:val="clear" w:color="auto" w:fill="auto"/>
            <w:tcMar>
              <w:top w:w="58" w:type="dxa"/>
              <w:left w:w="29" w:type="dxa"/>
              <w:right w:w="29" w:type="dxa"/>
            </w:tcMar>
          </w:tcPr>
          <w:p w14:paraId="43FECF7E"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0000"/>
                <w:sz w:val="28"/>
                <w:szCs w:val="28"/>
                <w:rtl/>
              </w:rPr>
            </w:pPr>
            <w:r w:rsidRPr="000D515F">
              <w:rPr>
                <w:rFonts w:ascii="Arabic Typesetting" w:hAnsi="Arabic Typesetting" w:cs="Arabic Typesetting"/>
                <w:bCs/>
                <w:color w:val="FF0000"/>
                <w:sz w:val="28"/>
                <w:szCs w:val="28"/>
                <w:rtl/>
              </w:rPr>
              <w:t>غير ثابت</w:t>
            </w:r>
          </w:p>
        </w:tc>
      </w:tr>
      <w:tr w:rsidR="00574A27" w:rsidRPr="000D515F" w14:paraId="0E3BF573" w14:textId="77777777" w:rsidTr="000D515F">
        <w:trPr>
          <w:gridAfter w:val="1"/>
          <w:wAfter w:w="133" w:type="pct"/>
          <w:cantSplit/>
          <w:trHeight w:val="474"/>
        </w:trPr>
        <w:tc>
          <w:tcPr>
            <w:tcW w:w="921" w:type="pct"/>
            <w:shd w:val="clear" w:color="auto" w:fill="auto"/>
            <w:tcMar>
              <w:left w:w="58" w:type="dxa"/>
              <w:right w:w="58" w:type="dxa"/>
            </w:tcMar>
          </w:tcPr>
          <w:p w14:paraId="1D9E96BA"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عدد حالات التصديق على معاهدة سنغافورة و/أو حالات الانضمام إليها</w:t>
            </w:r>
          </w:p>
        </w:tc>
        <w:tc>
          <w:tcPr>
            <w:tcW w:w="1470" w:type="pct"/>
            <w:gridSpan w:val="4"/>
            <w:shd w:val="clear" w:color="auto" w:fill="auto"/>
            <w:tcMar>
              <w:left w:w="58" w:type="dxa"/>
              <w:right w:w="58" w:type="dxa"/>
            </w:tcMar>
          </w:tcPr>
          <w:p w14:paraId="429A2018" w14:textId="556BA03D"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0 (مكتب اليابان)</w:t>
            </w:r>
            <w:r w:rsidR="000D515F">
              <w:rPr>
                <w:rFonts w:ascii="Arabic Typesetting" w:hAnsi="Arabic Typesetting" w:cs="Arabic Typesetting" w:hint="cs"/>
                <w:color w:val="000000"/>
                <w:sz w:val="28"/>
                <w:szCs w:val="28"/>
                <w:rtl/>
              </w:rPr>
              <w:br/>
            </w:r>
            <w:r w:rsidRPr="000D515F">
              <w:rPr>
                <w:rFonts w:ascii="Arabic Typesetting" w:hAnsi="Arabic Typesetting" w:cs="Arabic Typesetting"/>
                <w:color w:val="000000"/>
                <w:sz w:val="28"/>
                <w:szCs w:val="28"/>
                <w:rtl/>
              </w:rPr>
              <w:t>1 (مكتب سنغافورة)</w:t>
            </w:r>
          </w:p>
        </w:tc>
        <w:tc>
          <w:tcPr>
            <w:tcW w:w="750" w:type="pct"/>
            <w:gridSpan w:val="3"/>
            <w:shd w:val="clear" w:color="auto" w:fill="auto"/>
            <w:tcMar>
              <w:top w:w="58" w:type="dxa"/>
              <w:left w:w="29" w:type="dxa"/>
              <w:right w:w="29" w:type="dxa"/>
            </w:tcMar>
          </w:tcPr>
          <w:p w14:paraId="5787F427" w14:textId="7BA5AB12"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1 (مكتب اليابان)</w:t>
            </w:r>
            <w:r w:rsidR="000D515F">
              <w:rPr>
                <w:rFonts w:ascii="Arabic Typesetting" w:hAnsi="Arabic Typesetting" w:cs="Arabic Typesetting" w:hint="cs"/>
                <w:color w:val="000000"/>
                <w:sz w:val="28"/>
                <w:szCs w:val="28"/>
                <w:rtl/>
              </w:rPr>
              <w:br/>
            </w:r>
            <w:r w:rsidRPr="000D515F">
              <w:rPr>
                <w:rFonts w:ascii="Arabic Typesetting" w:hAnsi="Arabic Typesetting" w:cs="Arabic Typesetting"/>
                <w:sz w:val="28"/>
                <w:szCs w:val="28"/>
                <w:rtl/>
              </w:rPr>
              <w:t>1 إضافية (مكتب سنغافورة)</w:t>
            </w:r>
          </w:p>
        </w:tc>
        <w:tc>
          <w:tcPr>
            <w:tcW w:w="1287" w:type="pct"/>
            <w:gridSpan w:val="4"/>
            <w:shd w:val="clear" w:color="auto" w:fill="FFFFFF"/>
            <w:tcMar>
              <w:top w:w="58" w:type="dxa"/>
              <w:left w:w="29" w:type="dxa"/>
              <w:right w:w="29" w:type="dxa"/>
            </w:tcMar>
          </w:tcPr>
          <w:p w14:paraId="5D0C520D" w14:textId="3CC3A165"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1 (مكتب اليابان)</w:t>
            </w:r>
            <w:r w:rsidR="000D515F">
              <w:rPr>
                <w:rFonts w:ascii="Arabic Typesetting" w:hAnsi="Arabic Typesetting" w:cs="Arabic Typesetting" w:hint="cs"/>
                <w:color w:val="000000"/>
                <w:sz w:val="28"/>
                <w:szCs w:val="28"/>
                <w:rtl/>
              </w:rPr>
              <w:br/>
            </w:r>
            <w:r w:rsidRPr="000D515F">
              <w:rPr>
                <w:rFonts w:ascii="Arabic Typesetting" w:hAnsi="Arabic Typesetting" w:cs="Arabic Typesetting"/>
                <w:color w:val="000000"/>
                <w:sz w:val="28"/>
                <w:szCs w:val="28"/>
                <w:rtl/>
              </w:rPr>
              <w:t>أُحرز تقدم نحو حالات انضمام محتملة (مكتب سنغافورة)</w:t>
            </w:r>
          </w:p>
        </w:tc>
        <w:tc>
          <w:tcPr>
            <w:tcW w:w="439" w:type="pct"/>
            <w:gridSpan w:val="2"/>
            <w:shd w:val="clear" w:color="auto" w:fill="auto"/>
            <w:tcMar>
              <w:top w:w="58" w:type="dxa"/>
              <w:left w:w="29" w:type="dxa"/>
              <w:right w:w="29" w:type="dxa"/>
            </w:tcMar>
          </w:tcPr>
          <w:p w14:paraId="7BC6A1D9" w14:textId="320560E3"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B050"/>
                <w:sz w:val="28"/>
                <w:szCs w:val="28"/>
              </w:rPr>
            </w:pPr>
            <w:r w:rsidRPr="000D515F">
              <w:rPr>
                <w:rFonts w:ascii="Arabic Typesetting" w:hAnsi="Arabic Typesetting" w:cs="Arabic Typesetting"/>
                <w:bCs/>
                <w:color w:val="00B050"/>
                <w:sz w:val="28"/>
                <w:szCs w:val="28"/>
                <w:rtl/>
              </w:rPr>
              <w:t>ثابت</w:t>
            </w:r>
          </w:p>
        </w:tc>
      </w:tr>
      <w:tr w:rsidR="00574A27" w:rsidRPr="000D515F" w14:paraId="70E260FF" w14:textId="77777777" w:rsidTr="000D515F">
        <w:trPr>
          <w:gridAfter w:val="1"/>
          <w:wAfter w:w="133" w:type="pct"/>
          <w:cantSplit/>
          <w:trHeight w:val="288"/>
        </w:trPr>
        <w:tc>
          <w:tcPr>
            <w:tcW w:w="921" w:type="pct"/>
            <w:shd w:val="clear" w:color="auto" w:fill="auto"/>
            <w:tcMar>
              <w:left w:w="58" w:type="dxa"/>
              <w:right w:w="58" w:type="dxa"/>
            </w:tcMar>
          </w:tcPr>
          <w:p w14:paraId="2D43FABF"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عدد حالات التصديق على معاهدات الإنترنت و/أو حالات الانضمام إليها</w:t>
            </w:r>
          </w:p>
        </w:tc>
        <w:tc>
          <w:tcPr>
            <w:tcW w:w="1470" w:type="pct"/>
            <w:gridSpan w:val="4"/>
            <w:shd w:val="clear" w:color="auto" w:fill="auto"/>
            <w:tcMar>
              <w:left w:w="58" w:type="dxa"/>
              <w:right w:w="14" w:type="dxa"/>
            </w:tcMar>
          </w:tcPr>
          <w:p w14:paraId="23F72D2E" w14:textId="1E50014D"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 xml:space="preserve"> معاهدة الويبو بشأن حق المؤلف: 4 (مكتب</w:t>
            </w:r>
            <w:r w:rsidR="000D515F">
              <w:rPr>
                <w:rFonts w:ascii="Arabic Typesetting" w:hAnsi="Arabic Typesetting" w:cs="Arabic Typesetting" w:hint="cs"/>
                <w:color w:val="000000"/>
                <w:sz w:val="28"/>
                <w:szCs w:val="28"/>
                <w:rtl/>
              </w:rPr>
              <w:t> </w:t>
            </w:r>
            <w:r w:rsidRPr="000D515F">
              <w:rPr>
                <w:rFonts w:ascii="Arabic Typesetting" w:hAnsi="Arabic Typesetting" w:cs="Arabic Typesetting"/>
                <w:color w:val="000000"/>
                <w:sz w:val="28"/>
                <w:szCs w:val="28"/>
                <w:rtl/>
              </w:rPr>
              <w:t>سنغافورة)</w:t>
            </w:r>
          </w:p>
          <w:p w14:paraId="5C8D159A"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Pr>
            </w:pPr>
            <w:r w:rsidRPr="000D515F">
              <w:rPr>
                <w:rFonts w:ascii="Arabic Typesetting" w:hAnsi="Arabic Typesetting" w:cs="Arabic Typesetting"/>
                <w:color w:val="000000"/>
                <w:sz w:val="28"/>
                <w:szCs w:val="28"/>
                <w:rtl/>
              </w:rPr>
              <w:t>معاهدة الويبو بشأن الأداء والتسجيل الصوتي: 4 (مكتب سنغافورة)</w:t>
            </w:r>
          </w:p>
        </w:tc>
        <w:tc>
          <w:tcPr>
            <w:tcW w:w="750" w:type="pct"/>
            <w:gridSpan w:val="3"/>
            <w:shd w:val="clear" w:color="auto" w:fill="auto"/>
            <w:tcMar>
              <w:top w:w="58" w:type="dxa"/>
              <w:left w:w="29" w:type="dxa"/>
              <w:right w:w="29" w:type="dxa"/>
            </w:tcMar>
          </w:tcPr>
          <w:p w14:paraId="2B829142" w14:textId="7C740FEB"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color w:val="000000"/>
                <w:sz w:val="28"/>
                <w:szCs w:val="28"/>
                <w:rtl/>
              </w:rPr>
              <w:t>1 إضافية (مكتب</w:t>
            </w:r>
            <w:r w:rsidR="000D515F">
              <w:rPr>
                <w:rFonts w:ascii="Arabic Typesetting" w:hAnsi="Arabic Typesetting" w:cs="Arabic Typesetting" w:hint="eastAsia"/>
                <w:color w:val="000000"/>
                <w:sz w:val="28"/>
                <w:szCs w:val="28"/>
                <w:rtl/>
              </w:rPr>
              <w:t> </w:t>
            </w:r>
            <w:r w:rsidRPr="000D515F">
              <w:rPr>
                <w:rFonts w:ascii="Arabic Typesetting" w:hAnsi="Arabic Typesetting" w:cs="Arabic Typesetting"/>
                <w:color w:val="000000"/>
                <w:sz w:val="28"/>
                <w:szCs w:val="28"/>
                <w:rtl/>
              </w:rPr>
              <w:t>سنغافورة)</w:t>
            </w:r>
          </w:p>
          <w:p w14:paraId="4B0B626C" w14:textId="38463AB5"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color w:val="000000"/>
                <w:sz w:val="28"/>
                <w:szCs w:val="28"/>
                <w:rtl/>
              </w:rPr>
              <w:t>1 إضافية (مكتب</w:t>
            </w:r>
            <w:r w:rsidR="000D515F">
              <w:rPr>
                <w:rFonts w:ascii="Arabic Typesetting" w:hAnsi="Arabic Typesetting" w:cs="Arabic Typesetting" w:hint="cs"/>
                <w:color w:val="000000"/>
                <w:sz w:val="28"/>
                <w:szCs w:val="28"/>
                <w:rtl/>
              </w:rPr>
              <w:t> </w:t>
            </w:r>
            <w:r w:rsidRPr="000D515F">
              <w:rPr>
                <w:rFonts w:ascii="Arabic Typesetting" w:hAnsi="Arabic Typesetting" w:cs="Arabic Typesetting"/>
                <w:color w:val="000000"/>
                <w:sz w:val="28"/>
                <w:szCs w:val="28"/>
                <w:rtl/>
              </w:rPr>
              <w:t xml:space="preserve">سنغافورة) </w:t>
            </w:r>
          </w:p>
        </w:tc>
        <w:tc>
          <w:tcPr>
            <w:tcW w:w="1287" w:type="pct"/>
            <w:gridSpan w:val="4"/>
            <w:shd w:val="clear" w:color="auto" w:fill="FFFFFF"/>
            <w:tcMar>
              <w:top w:w="58" w:type="dxa"/>
              <w:left w:w="29" w:type="dxa"/>
              <w:right w:w="29" w:type="dxa"/>
            </w:tcMar>
          </w:tcPr>
          <w:p w14:paraId="0ECBB416"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أُحرز تقدم نحو حالات انضمام محتملة (مكتب سنغافورة)</w:t>
            </w:r>
          </w:p>
        </w:tc>
        <w:tc>
          <w:tcPr>
            <w:tcW w:w="439" w:type="pct"/>
            <w:gridSpan w:val="2"/>
            <w:shd w:val="clear" w:color="auto" w:fill="auto"/>
            <w:tcMar>
              <w:top w:w="58" w:type="dxa"/>
              <w:left w:w="29" w:type="dxa"/>
              <w:right w:w="29" w:type="dxa"/>
            </w:tcMar>
          </w:tcPr>
          <w:p w14:paraId="1DB982FA" w14:textId="7946F3D6"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B050"/>
                <w:sz w:val="28"/>
                <w:szCs w:val="28"/>
              </w:rPr>
            </w:pPr>
            <w:r w:rsidRPr="000D515F">
              <w:rPr>
                <w:rFonts w:ascii="Arabic Typesetting" w:hAnsi="Arabic Typesetting" w:cs="Arabic Typesetting"/>
                <w:bCs/>
                <w:color w:val="00B050"/>
                <w:sz w:val="28"/>
                <w:szCs w:val="28"/>
                <w:rtl/>
              </w:rPr>
              <w:t>ثابت</w:t>
            </w:r>
          </w:p>
        </w:tc>
      </w:tr>
      <w:tr w:rsidR="00574A27" w:rsidRPr="000D515F" w14:paraId="783B355A" w14:textId="77777777" w:rsidTr="000D515F">
        <w:trPr>
          <w:gridAfter w:val="1"/>
          <w:wAfter w:w="133" w:type="pct"/>
          <w:cantSplit/>
          <w:trHeight w:val="565"/>
        </w:trPr>
        <w:tc>
          <w:tcPr>
            <w:tcW w:w="4867" w:type="pct"/>
            <w:gridSpan w:val="14"/>
            <w:shd w:val="clear" w:color="auto" w:fill="C6D9F1" w:themeFill="text2" w:themeFillTint="33"/>
            <w:tcMar>
              <w:left w:w="58" w:type="dxa"/>
              <w:right w:w="58" w:type="dxa"/>
            </w:tcMar>
            <w:vAlign w:val="center"/>
          </w:tcPr>
          <w:p w14:paraId="37B00EF9" w14:textId="77777777" w:rsidR="00574A27" w:rsidRPr="000D515F" w:rsidRDefault="00574A27" w:rsidP="000D515F">
            <w:pPr>
              <w:keepNext/>
              <w:bidi/>
              <w:spacing w:before="120" w:after="120" w:line="280" w:lineRule="exact"/>
              <w:ind w:left="1167" w:hanging="1167"/>
              <w:rPr>
                <w:rFonts w:ascii="Arabic Typesetting" w:hAnsi="Arabic Typesetting" w:cs="Arabic Typesetting"/>
                <w:b/>
                <w:bCs/>
                <w:sz w:val="28"/>
                <w:szCs w:val="28"/>
                <w:rtl/>
              </w:rPr>
            </w:pPr>
            <w:r w:rsidRPr="000D515F">
              <w:rPr>
                <w:rFonts w:ascii="Arabic Typesetting" w:hAnsi="Arabic Typesetting" w:cs="Arabic Typesetting"/>
                <w:b/>
                <w:bCs/>
                <w:sz w:val="28"/>
                <w:szCs w:val="28"/>
                <w:rtl/>
              </w:rPr>
              <w:lastRenderedPageBreak/>
              <w:t>النتيجة المرتقبة:</w:t>
            </w:r>
            <w:r w:rsidRPr="000D515F">
              <w:rPr>
                <w:rFonts w:ascii="Arabic Typesetting" w:hAnsi="Arabic Typesetting" w:cs="Arabic Typesetting"/>
                <w:b/>
                <w:bCs/>
                <w:sz w:val="28"/>
                <w:szCs w:val="28"/>
                <w:rtl/>
              </w:rPr>
              <w:tab/>
            </w:r>
            <w:r w:rsidRPr="000D515F">
              <w:rPr>
                <w:rFonts w:ascii="Arabic Typesetting" w:hAnsi="Arabic Typesetting" w:cs="Arabic Typesetting"/>
                <w:sz w:val="28"/>
                <w:szCs w:val="28"/>
                <w:rtl/>
              </w:rPr>
              <w:t xml:space="preserve">ه 1.2 </w:t>
            </w:r>
            <w:r w:rsidRPr="000D515F">
              <w:rPr>
                <w:rFonts w:ascii="Arabic Typesetting" w:hAnsi="Arabic Typesetting" w:cs="Arabic Typesetting"/>
                <w:sz w:val="28"/>
                <w:szCs w:val="28"/>
                <w:rtl/>
                <w:lang w:bidi="ar-EG"/>
              </w:rPr>
              <w:t>استخدام</w:t>
            </w:r>
            <w:r w:rsidRPr="000D515F">
              <w:rPr>
                <w:rFonts w:ascii="Arabic Typesetting" w:hAnsi="Arabic Typesetting" w:cs="Arabic Typesetting"/>
                <w:sz w:val="28"/>
                <w:szCs w:val="28"/>
                <w:rtl/>
              </w:rPr>
              <w:t xml:space="preserve"> نظام معاهدة التعاون بشأن البراءات على نطاق أوسع وبفعالية أكبر لإيداع طلبات البراءات الدولية</w:t>
            </w:r>
          </w:p>
        </w:tc>
      </w:tr>
      <w:tr w:rsidR="00574A27" w:rsidRPr="000D515F" w14:paraId="5380791E" w14:textId="77777777" w:rsidTr="000D515F">
        <w:trPr>
          <w:gridAfter w:val="1"/>
          <w:wAfter w:w="133" w:type="pct"/>
          <w:cantSplit/>
        </w:trPr>
        <w:tc>
          <w:tcPr>
            <w:tcW w:w="921" w:type="pct"/>
            <w:shd w:val="clear" w:color="auto" w:fill="auto"/>
            <w:tcMar>
              <w:left w:w="58" w:type="dxa"/>
              <w:right w:w="58" w:type="dxa"/>
            </w:tcMar>
            <w:vAlign w:val="center"/>
          </w:tcPr>
          <w:p w14:paraId="127AC82A" w14:textId="77777777" w:rsidR="00574A27" w:rsidRPr="000D515F" w:rsidRDefault="00574A27" w:rsidP="000D515F">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مؤشرات الأداء</w:t>
            </w:r>
          </w:p>
        </w:tc>
        <w:tc>
          <w:tcPr>
            <w:tcW w:w="1470" w:type="pct"/>
            <w:gridSpan w:val="4"/>
            <w:shd w:val="clear" w:color="auto" w:fill="auto"/>
            <w:tcMar>
              <w:left w:w="58" w:type="dxa"/>
              <w:right w:w="58" w:type="dxa"/>
            </w:tcMar>
            <w:vAlign w:val="center"/>
          </w:tcPr>
          <w:p w14:paraId="0B5DC083" w14:textId="77777777" w:rsidR="00574A27" w:rsidRPr="000D515F" w:rsidRDefault="00574A27" w:rsidP="000D515F">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أسس المقارنة</w:t>
            </w:r>
          </w:p>
        </w:tc>
        <w:tc>
          <w:tcPr>
            <w:tcW w:w="750" w:type="pct"/>
            <w:gridSpan w:val="3"/>
            <w:shd w:val="clear" w:color="auto" w:fill="auto"/>
            <w:tcMar>
              <w:top w:w="110" w:type="dxa"/>
              <w:left w:w="58" w:type="dxa"/>
              <w:right w:w="58" w:type="dxa"/>
            </w:tcMar>
            <w:vAlign w:val="center"/>
          </w:tcPr>
          <w:p w14:paraId="26AF1F7C" w14:textId="77777777" w:rsidR="00574A27" w:rsidRPr="000D515F" w:rsidRDefault="00574A27" w:rsidP="000D515F">
            <w:pPr>
              <w:keepNext/>
              <w:tabs>
                <w:tab w:val="left" w:pos="290"/>
              </w:tabs>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الأهداف</w:t>
            </w:r>
          </w:p>
        </w:tc>
        <w:tc>
          <w:tcPr>
            <w:tcW w:w="1287" w:type="pct"/>
            <w:gridSpan w:val="4"/>
            <w:shd w:val="clear" w:color="auto" w:fill="FFFFFF"/>
            <w:tcMar>
              <w:top w:w="110" w:type="dxa"/>
              <w:left w:w="58" w:type="dxa"/>
              <w:right w:w="58" w:type="dxa"/>
            </w:tcMar>
            <w:vAlign w:val="center"/>
          </w:tcPr>
          <w:p w14:paraId="27578CE0" w14:textId="77777777" w:rsidR="00574A27" w:rsidRPr="000D515F" w:rsidRDefault="00574A27" w:rsidP="000D515F">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بيانات الأداء</w:t>
            </w:r>
          </w:p>
        </w:tc>
        <w:tc>
          <w:tcPr>
            <w:tcW w:w="439" w:type="pct"/>
            <w:gridSpan w:val="2"/>
            <w:shd w:val="clear" w:color="auto" w:fill="auto"/>
            <w:tcMar>
              <w:top w:w="110" w:type="dxa"/>
              <w:left w:w="58" w:type="dxa"/>
              <w:right w:w="58" w:type="dxa"/>
            </w:tcMar>
            <w:vAlign w:val="center"/>
          </w:tcPr>
          <w:p w14:paraId="64C42306" w14:textId="77777777" w:rsidR="00574A27" w:rsidRPr="000D515F" w:rsidRDefault="00574A27" w:rsidP="000D515F">
            <w:pPr>
              <w:keepNext/>
              <w:bidi/>
              <w:spacing w:before="120"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السير</w:t>
            </w:r>
          </w:p>
        </w:tc>
      </w:tr>
      <w:tr w:rsidR="00574A27" w:rsidRPr="000D515F" w14:paraId="585E233A" w14:textId="77777777" w:rsidTr="000D515F">
        <w:trPr>
          <w:gridAfter w:val="1"/>
          <w:wAfter w:w="133" w:type="pct"/>
          <w:cantSplit/>
          <w:trHeight w:val="1636"/>
        </w:trPr>
        <w:tc>
          <w:tcPr>
            <w:tcW w:w="921" w:type="pct"/>
            <w:shd w:val="clear" w:color="auto" w:fill="auto"/>
            <w:tcMar>
              <w:left w:w="58" w:type="dxa"/>
              <w:right w:w="58" w:type="dxa"/>
            </w:tcMar>
          </w:tcPr>
          <w:p w14:paraId="02B348DF"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عدد الطلبات المودعة بناء على معاهدة البراءات</w:t>
            </w:r>
          </w:p>
        </w:tc>
        <w:tc>
          <w:tcPr>
            <w:tcW w:w="1470" w:type="pct"/>
            <w:gridSpan w:val="4"/>
            <w:shd w:val="clear" w:color="auto" w:fill="auto"/>
            <w:tcMar>
              <w:left w:w="58" w:type="dxa"/>
              <w:right w:w="58" w:type="dxa"/>
            </w:tcMar>
          </w:tcPr>
          <w:p w14:paraId="32FF45BD" w14:textId="5C5746FB" w:rsidR="00574A27" w:rsidRPr="00E91832" w:rsidRDefault="00574A27" w:rsidP="00E91832">
            <w:pPr>
              <w:suppressLineNumbers/>
              <w:suppressAutoHyphens/>
              <w:bidi/>
              <w:spacing w:after="120" w:line="280" w:lineRule="exact"/>
              <w:rPr>
                <w:rFonts w:ascii="Arabic Typesetting" w:hAnsi="Arabic Typesetting" w:cs="Arabic Typesetting"/>
                <w:iCs/>
                <w:color w:val="002060"/>
                <w:sz w:val="28"/>
                <w:szCs w:val="28"/>
                <w:rtl/>
              </w:rPr>
            </w:pPr>
            <w:r w:rsidRPr="000D515F">
              <w:rPr>
                <w:rFonts w:ascii="Arabic Typesetting" w:hAnsi="Arabic Typesetting" w:cs="Arabic Typesetting"/>
                <w:iCs/>
                <w:color w:val="002060"/>
                <w:sz w:val="28"/>
                <w:szCs w:val="28"/>
                <w:rtl/>
              </w:rPr>
              <w:t>أساس المقارنة المحدّث في نهاية 2015</w:t>
            </w:r>
            <w:r w:rsidR="000D515F">
              <w:rPr>
                <w:rFonts w:ascii="Arabic Typesetting" w:hAnsi="Arabic Typesetting" w:cs="Arabic Typesetting"/>
                <w:iCs/>
                <w:color w:val="002060"/>
                <w:sz w:val="28"/>
                <w:szCs w:val="28"/>
                <w:rtl/>
              </w:rPr>
              <w:t>:</w:t>
            </w:r>
            <w:r w:rsidR="00E91832">
              <w:rPr>
                <w:rFonts w:ascii="Arabic Typesetting" w:hAnsi="Arabic Typesetting" w:cs="Arabic Typesetting" w:hint="cs"/>
                <w:iCs/>
                <w:color w:val="002060"/>
                <w:sz w:val="28"/>
                <w:szCs w:val="28"/>
                <w:rtl/>
              </w:rPr>
              <w:t xml:space="preserve"> </w:t>
            </w:r>
            <w:r w:rsidR="00E91832" w:rsidRPr="000D515F">
              <w:rPr>
                <w:rStyle w:val="FootnoteReference"/>
                <w:iCs/>
                <w:color w:val="002060"/>
              </w:rPr>
              <w:footnoteReference w:id="80"/>
            </w:r>
          </w:p>
          <w:tbl>
            <w:tblPr>
              <w:tblStyle w:val="TableGrid"/>
              <w:bidiVisual/>
              <w:tblW w:w="2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2"/>
              <w:gridCol w:w="1347"/>
            </w:tblGrid>
            <w:tr w:rsidR="00574A27" w:rsidRPr="000D515F" w14:paraId="1BB99A50" w14:textId="77777777" w:rsidTr="000D515F">
              <w:tc>
                <w:tcPr>
                  <w:tcW w:w="1472" w:type="dxa"/>
                </w:tcPr>
                <w:p w14:paraId="06233C62"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- 2015: 548</w:t>
                  </w:r>
                </w:p>
              </w:tc>
              <w:tc>
                <w:tcPr>
                  <w:tcW w:w="1347" w:type="dxa"/>
                  <w:vMerge w:val="restart"/>
                  <w:vAlign w:val="center"/>
                </w:tcPr>
                <w:p w14:paraId="10D0221E" w14:textId="77777777" w:rsidR="00574A27" w:rsidRPr="000D515F" w:rsidRDefault="00574A27" w:rsidP="000D515F">
                  <w:pPr>
                    <w:suppressLineNumbers/>
                    <w:suppressAutoHyphens/>
                    <w:bidi/>
                    <w:spacing w:after="120" w:line="280" w:lineRule="exact"/>
                    <w:jc w:val="both"/>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xml:space="preserve"> (مكتب البرازيل)</w:t>
                  </w:r>
                </w:p>
              </w:tc>
            </w:tr>
            <w:tr w:rsidR="00574A27" w:rsidRPr="000D515F" w14:paraId="6F0A3F30" w14:textId="77777777" w:rsidTr="000D515F">
              <w:tc>
                <w:tcPr>
                  <w:tcW w:w="1472" w:type="dxa"/>
                </w:tcPr>
                <w:p w14:paraId="3A61B87E" w14:textId="694B7DF8"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w:t>
                  </w:r>
                  <w:r w:rsidR="00DF47AF">
                    <w:rPr>
                      <w:rFonts w:ascii="Arabic Typesetting" w:hAnsi="Arabic Typesetting" w:cs="Arabic Typesetting"/>
                      <w:color w:val="002060"/>
                      <w:sz w:val="28"/>
                      <w:szCs w:val="28"/>
                      <w:rtl/>
                    </w:rPr>
                    <w:t xml:space="preserve"> </w:t>
                  </w:r>
                  <w:r w:rsidRPr="000D515F">
                    <w:rPr>
                      <w:rFonts w:ascii="Arabic Typesetting" w:hAnsi="Arabic Typesetting" w:cs="Arabic Typesetting"/>
                      <w:color w:val="002060"/>
                      <w:sz w:val="28"/>
                      <w:szCs w:val="28"/>
                      <w:rtl/>
                    </w:rPr>
                    <w:t>2014: 580</w:t>
                  </w:r>
                </w:p>
              </w:tc>
              <w:tc>
                <w:tcPr>
                  <w:tcW w:w="1347" w:type="dxa"/>
                  <w:vMerge/>
                </w:tcPr>
                <w:p w14:paraId="51EF93E9"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Pr>
                  </w:pPr>
                </w:p>
              </w:tc>
            </w:tr>
            <w:tr w:rsidR="00574A27" w:rsidRPr="000D515F" w14:paraId="7DF63A4B" w14:textId="77777777" w:rsidTr="000D515F">
              <w:tc>
                <w:tcPr>
                  <w:tcW w:w="1472" w:type="dxa"/>
                  <w:tcMar>
                    <w:left w:w="115" w:type="dxa"/>
                    <w:right w:w="14" w:type="dxa"/>
                  </w:tcMar>
                </w:tcPr>
                <w:p w14:paraId="772703B4"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- 2015: 838 29</w:t>
                  </w:r>
                </w:p>
              </w:tc>
              <w:tc>
                <w:tcPr>
                  <w:tcW w:w="1347" w:type="dxa"/>
                  <w:vMerge w:val="restart"/>
                  <w:vAlign w:val="center"/>
                </w:tcPr>
                <w:p w14:paraId="2EC6068E" w14:textId="77777777" w:rsidR="00574A27" w:rsidRPr="000D515F" w:rsidRDefault="00574A27" w:rsidP="000D515F">
                  <w:pPr>
                    <w:suppressLineNumbers/>
                    <w:suppressAutoHyphens/>
                    <w:bidi/>
                    <w:spacing w:after="120" w:line="280" w:lineRule="exact"/>
                    <w:ind w:left="199" w:right="-340" w:hanging="199"/>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xml:space="preserve"> (مكتب الصين)</w:t>
                  </w:r>
                </w:p>
              </w:tc>
            </w:tr>
            <w:tr w:rsidR="00574A27" w:rsidRPr="000D515F" w14:paraId="2AD0978D" w14:textId="77777777" w:rsidTr="000D515F">
              <w:tc>
                <w:tcPr>
                  <w:tcW w:w="1472" w:type="dxa"/>
                  <w:tcMar>
                    <w:left w:w="115" w:type="dxa"/>
                    <w:right w:w="14" w:type="dxa"/>
                  </w:tcMar>
                </w:tcPr>
                <w:p w14:paraId="6A273EBD"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- 2014: 548 25</w:t>
                  </w:r>
                </w:p>
              </w:tc>
              <w:tc>
                <w:tcPr>
                  <w:tcW w:w="1347" w:type="dxa"/>
                  <w:vMerge/>
                </w:tcPr>
                <w:p w14:paraId="7E9EBD49"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Pr>
                  </w:pPr>
                </w:p>
              </w:tc>
            </w:tr>
            <w:tr w:rsidR="00574A27" w:rsidRPr="000D515F" w14:paraId="242EAE56" w14:textId="77777777" w:rsidTr="000D515F">
              <w:tc>
                <w:tcPr>
                  <w:tcW w:w="1472" w:type="dxa"/>
                  <w:tcMar>
                    <w:left w:w="115" w:type="dxa"/>
                    <w:right w:w="14" w:type="dxa"/>
                  </w:tcMar>
                </w:tcPr>
                <w:p w14:paraId="1F52C3A2" w14:textId="18C83E1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w:t>
                  </w:r>
                  <w:r w:rsidR="00DF47AF">
                    <w:rPr>
                      <w:rFonts w:ascii="Arabic Typesetting" w:hAnsi="Arabic Typesetting" w:cs="Arabic Typesetting"/>
                      <w:color w:val="002060"/>
                      <w:sz w:val="28"/>
                      <w:szCs w:val="28"/>
                      <w:rtl/>
                    </w:rPr>
                    <w:t xml:space="preserve"> </w:t>
                  </w:r>
                  <w:r w:rsidRPr="000D515F">
                    <w:rPr>
                      <w:rFonts w:ascii="Arabic Typesetting" w:hAnsi="Arabic Typesetting" w:cs="Arabic Typesetting"/>
                      <w:color w:val="002060"/>
                      <w:sz w:val="28"/>
                      <w:szCs w:val="28"/>
                      <w:rtl/>
                    </w:rPr>
                    <w:t>2015: 053 44</w:t>
                  </w:r>
                </w:p>
              </w:tc>
              <w:tc>
                <w:tcPr>
                  <w:tcW w:w="1347" w:type="dxa"/>
                  <w:vMerge w:val="restart"/>
                  <w:vAlign w:val="center"/>
                </w:tcPr>
                <w:p w14:paraId="4527D54C" w14:textId="77777777" w:rsidR="00574A27" w:rsidRPr="000D515F" w:rsidRDefault="00574A27" w:rsidP="000D515F">
                  <w:pPr>
                    <w:suppressLineNumbers/>
                    <w:suppressAutoHyphens/>
                    <w:bidi/>
                    <w:spacing w:after="120" w:line="280" w:lineRule="exact"/>
                    <w:ind w:left="199" w:right="-338" w:hanging="199"/>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xml:space="preserve"> (مكتب اليابان)</w:t>
                  </w:r>
                </w:p>
              </w:tc>
            </w:tr>
            <w:tr w:rsidR="00574A27" w:rsidRPr="000D515F" w14:paraId="2EDB96D6" w14:textId="77777777" w:rsidTr="000D515F">
              <w:tc>
                <w:tcPr>
                  <w:tcW w:w="1472" w:type="dxa"/>
                  <w:tcMar>
                    <w:left w:w="115" w:type="dxa"/>
                    <w:right w:w="14" w:type="dxa"/>
                  </w:tcMar>
                </w:tcPr>
                <w:p w14:paraId="2DE2D809"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- 2014: 381 42</w:t>
                  </w:r>
                </w:p>
              </w:tc>
              <w:tc>
                <w:tcPr>
                  <w:tcW w:w="1347" w:type="dxa"/>
                  <w:vMerge/>
                </w:tcPr>
                <w:p w14:paraId="72868CFC"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Pr>
                  </w:pPr>
                </w:p>
              </w:tc>
            </w:tr>
            <w:tr w:rsidR="00574A27" w:rsidRPr="000D515F" w14:paraId="780C1238" w14:textId="77777777" w:rsidTr="000D515F">
              <w:tc>
                <w:tcPr>
                  <w:tcW w:w="1472" w:type="dxa"/>
                </w:tcPr>
                <w:p w14:paraId="393649D0" w14:textId="12BA9CC2"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w:t>
                  </w:r>
                  <w:r w:rsidR="00DF47AF">
                    <w:rPr>
                      <w:rFonts w:ascii="Arabic Typesetting" w:hAnsi="Arabic Typesetting" w:cs="Arabic Typesetting"/>
                      <w:color w:val="002060"/>
                      <w:sz w:val="28"/>
                      <w:szCs w:val="28"/>
                      <w:rtl/>
                    </w:rPr>
                    <w:t xml:space="preserve"> </w:t>
                  </w:r>
                  <w:r w:rsidRPr="000D515F">
                    <w:rPr>
                      <w:rFonts w:ascii="Arabic Typesetting" w:hAnsi="Arabic Typesetting" w:cs="Arabic Typesetting"/>
                      <w:color w:val="002060"/>
                      <w:sz w:val="28"/>
                      <w:szCs w:val="28"/>
                      <w:rtl/>
                    </w:rPr>
                    <w:t>2015: 876</w:t>
                  </w:r>
                </w:p>
              </w:tc>
              <w:tc>
                <w:tcPr>
                  <w:tcW w:w="1347" w:type="dxa"/>
                  <w:vMerge w:val="restart"/>
                  <w:vAlign w:val="center"/>
                </w:tcPr>
                <w:p w14:paraId="72BA81A2" w14:textId="77777777" w:rsidR="00574A27" w:rsidRPr="000D515F" w:rsidRDefault="00574A27" w:rsidP="000D515F">
                  <w:pPr>
                    <w:suppressLineNumbers/>
                    <w:suppressAutoHyphens/>
                    <w:bidi/>
                    <w:spacing w:after="120" w:line="280" w:lineRule="exact"/>
                    <w:ind w:left="199" w:right="-340" w:hanging="199"/>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xml:space="preserve"> (مكتب روسيا)</w:t>
                  </w:r>
                </w:p>
              </w:tc>
            </w:tr>
            <w:tr w:rsidR="00574A27" w:rsidRPr="000D515F" w14:paraId="67759960" w14:textId="77777777" w:rsidTr="000D515F">
              <w:tc>
                <w:tcPr>
                  <w:tcW w:w="1472" w:type="dxa"/>
                </w:tcPr>
                <w:p w14:paraId="0223DD9E"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- 2014: 948</w:t>
                  </w:r>
                </w:p>
              </w:tc>
              <w:tc>
                <w:tcPr>
                  <w:tcW w:w="1347" w:type="dxa"/>
                  <w:vMerge/>
                </w:tcPr>
                <w:p w14:paraId="34F99FD6"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Pr>
                  </w:pPr>
                </w:p>
              </w:tc>
            </w:tr>
            <w:tr w:rsidR="00574A27" w:rsidRPr="000D515F" w14:paraId="45C15F90" w14:textId="77777777" w:rsidTr="000D515F">
              <w:tc>
                <w:tcPr>
                  <w:tcW w:w="1472" w:type="dxa"/>
                </w:tcPr>
                <w:p w14:paraId="2589F768"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- 2015: 369 1</w:t>
                  </w:r>
                </w:p>
              </w:tc>
              <w:tc>
                <w:tcPr>
                  <w:tcW w:w="1347" w:type="dxa"/>
                  <w:vMerge w:val="restart"/>
                  <w:vAlign w:val="center"/>
                </w:tcPr>
                <w:p w14:paraId="38E50A1A"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سنغافورة)</w:t>
                  </w:r>
                </w:p>
              </w:tc>
            </w:tr>
            <w:tr w:rsidR="00574A27" w:rsidRPr="000D515F" w14:paraId="1644F55D" w14:textId="77777777" w:rsidTr="000D515F">
              <w:tc>
                <w:tcPr>
                  <w:tcW w:w="1472" w:type="dxa"/>
                </w:tcPr>
                <w:p w14:paraId="267BE22B"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- 2014: 382 1</w:t>
                  </w:r>
                </w:p>
              </w:tc>
              <w:tc>
                <w:tcPr>
                  <w:tcW w:w="1347" w:type="dxa"/>
                  <w:vMerge/>
                </w:tcPr>
                <w:p w14:paraId="79A050B4"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Pr>
                  </w:pPr>
                </w:p>
              </w:tc>
            </w:tr>
          </w:tbl>
          <w:p w14:paraId="6E85C0E2" w14:textId="19BF884F" w:rsidR="00574A27" w:rsidRPr="000D515F" w:rsidRDefault="000D515F" w:rsidP="000D515F">
            <w:pPr>
              <w:suppressLineNumbers/>
              <w:suppressAutoHyphens/>
              <w:bidi/>
              <w:spacing w:after="120" w:line="280" w:lineRule="exact"/>
              <w:rPr>
                <w:rFonts w:ascii="Arabic Typesetting" w:hAnsi="Arabic Typesetting" w:cs="Arabic Typesetting"/>
                <w:iCs/>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574A27" w:rsidRPr="000D515F">
              <w:rPr>
                <w:rFonts w:ascii="Arabic Typesetting" w:hAnsi="Arabic Typesetting" w:cs="Arabic Typesetting"/>
                <w:iCs/>
                <w:sz w:val="28"/>
                <w:szCs w:val="28"/>
                <w:rtl/>
              </w:rPr>
              <w:t xml:space="preserve">2016/17: </w:t>
            </w:r>
          </w:p>
          <w:p w14:paraId="1C457E9D"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387 1 (في 2014) (مكتب سنغافورة)</w:t>
            </w:r>
            <w:r w:rsidRPr="000D515F">
              <w:rPr>
                <w:rFonts w:ascii="Arabic Typesetting" w:hAnsi="Arabic Typesetting" w:cs="Arabic Typesetting"/>
                <w:color w:val="000000"/>
                <w:sz w:val="28"/>
                <w:szCs w:val="28"/>
                <w:rtl/>
              </w:rPr>
              <w:br/>
              <w:t>581 (في 2014) (مكتب البرازيل)</w:t>
            </w:r>
            <w:r w:rsidRPr="000D515F">
              <w:rPr>
                <w:rFonts w:ascii="Arabic Typesetting" w:hAnsi="Arabic Typesetting" w:cs="Arabic Typesetting"/>
                <w:color w:val="000000"/>
                <w:sz w:val="28"/>
                <w:szCs w:val="28"/>
                <w:rtl/>
              </w:rPr>
              <w:br/>
              <w:t>459 42 (في 2014) (مكتب اليابان)</w:t>
            </w:r>
            <w:r w:rsidRPr="000D515F">
              <w:rPr>
                <w:rFonts w:ascii="Arabic Typesetting" w:hAnsi="Arabic Typesetting" w:cs="Arabic Typesetting"/>
                <w:i/>
                <w:iCs/>
                <w:color w:val="000000"/>
                <w:sz w:val="28"/>
                <w:szCs w:val="28"/>
                <w:rtl/>
              </w:rPr>
              <w:br/>
            </w:r>
            <w:r w:rsidRPr="000D515F">
              <w:rPr>
                <w:rFonts w:ascii="Arabic Typesetting" w:hAnsi="Arabic Typesetting" w:cs="Arabic Typesetting"/>
                <w:color w:val="000000"/>
                <w:sz w:val="28"/>
                <w:szCs w:val="28"/>
                <w:rtl/>
              </w:rPr>
              <w:t>890 (في 2014) (مكتب روسيا)</w:t>
            </w:r>
            <w:r w:rsidRPr="000D515F">
              <w:rPr>
                <w:rFonts w:ascii="Arabic Typesetting" w:hAnsi="Arabic Typesetting" w:cs="Arabic Typesetting"/>
                <w:i/>
                <w:iCs/>
                <w:color w:val="000000"/>
                <w:sz w:val="28"/>
                <w:szCs w:val="28"/>
                <w:rtl/>
              </w:rPr>
              <w:br/>
            </w:r>
            <w:r w:rsidRPr="000D515F">
              <w:rPr>
                <w:rFonts w:ascii="Arabic Typesetting" w:hAnsi="Arabic Typesetting" w:cs="Arabic Typesetting"/>
                <w:color w:val="000000"/>
                <w:sz w:val="28"/>
                <w:szCs w:val="28"/>
                <w:rtl/>
              </w:rPr>
              <w:t>539 25 (في 2014) (مكتب الصين)</w:t>
            </w:r>
          </w:p>
        </w:tc>
        <w:tc>
          <w:tcPr>
            <w:tcW w:w="750" w:type="pct"/>
            <w:gridSpan w:val="3"/>
            <w:shd w:val="clear" w:color="auto" w:fill="auto"/>
            <w:tcMar>
              <w:top w:w="110" w:type="dxa"/>
              <w:left w:w="58" w:type="dxa"/>
              <w:right w:w="58" w:type="dxa"/>
            </w:tcMar>
          </w:tcPr>
          <w:p w14:paraId="3116FEB7" w14:textId="77777777"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زيادة سنوية بنسبة 2% (جميع المكاتب)</w:t>
            </w:r>
          </w:p>
        </w:tc>
        <w:tc>
          <w:tcPr>
            <w:tcW w:w="1287" w:type="pct"/>
            <w:gridSpan w:val="4"/>
            <w:shd w:val="clear" w:color="auto" w:fill="FFFFFF"/>
            <w:tcMar>
              <w:top w:w="110" w:type="dxa"/>
              <w:left w:w="58" w:type="dxa"/>
              <w:right w:w="58" w:type="dxa"/>
            </w:tcMar>
          </w:tcPr>
          <w:p w14:paraId="17E407A0" w14:textId="77777777" w:rsidR="00574A27" w:rsidRDefault="0044787A" w:rsidP="0044787A">
            <w:pPr>
              <w:suppressLineNumbers/>
              <w:suppressAutoHyphens/>
              <w:bidi/>
              <w:spacing w:after="120" w:line="280" w:lineRule="exact"/>
              <w:rPr>
                <w:rFonts w:ascii="Arabic Typesetting" w:hAnsi="Arabic Typesetting" w:cs="Arabic Typesetting"/>
                <w:color w:val="000000"/>
                <w:sz w:val="28"/>
                <w:szCs w:val="28"/>
                <w:rtl/>
              </w:rPr>
            </w:pPr>
            <w:r w:rsidRPr="0044787A">
              <w:rPr>
                <w:rFonts w:ascii="Arabic Typesetting" w:hAnsi="Arabic Typesetting" w:cs="Arabic Typesetting"/>
                <w:color w:val="000000"/>
                <w:sz w:val="28"/>
                <w:szCs w:val="28"/>
                <w:rtl/>
              </w:rPr>
              <w:t>مكتب البرازيل:</w:t>
            </w:r>
            <w:r>
              <w:rPr>
                <w:rFonts w:ascii="Arabic Typesetting" w:hAnsi="Arabic Typesetting" w:cs="Arabic Typesetting" w:hint="cs"/>
                <w:color w:val="000000"/>
                <w:sz w:val="28"/>
                <w:szCs w:val="28"/>
                <w:rtl/>
              </w:rPr>
              <w:t xml:space="preserve"> </w:t>
            </w:r>
            <w:r w:rsidRPr="0044787A">
              <w:rPr>
                <w:rFonts w:ascii="Arabic Typesetting" w:hAnsi="Arabic Typesetting" w:cs="Arabic Typesetting"/>
                <w:color w:val="000000"/>
                <w:sz w:val="28"/>
                <w:szCs w:val="28"/>
                <w:rtl/>
              </w:rPr>
              <w:t>568</w:t>
            </w:r>
            <w:r>
              <w:rPr>
                <w:rFonts w:ascii="Arabic Typesetting" w:hAnsi="Arabic Typesetting" w:cs="Arabic Typesetting" w:hint="cs"/>
                <w:color w:val="000000"/>
                <w:sz w:val="28"/>
                <w:szCs w:val="28"/>
                <w:rtl/>
              </w:rPr>
              <w:t xml:space="preserve"> </w:t>
            </w:r>
            <w:r w:rsidRPr="0044787A">
              <w:rPr>
                <w:rFonts w:ascii="Arabic Typesetting" w:hAnsi="Arabic Typesetting" w:cs="Arabic Typesetting"/>
                <w:color w:val="000000"/>
                <w:sz w:val="28"/>
                <w:szCs w:val="28"/>
                <w:rtl/>
              </w:rPr>
              <w:t>(+3.7%)</w:t>
            </w:r>
          </w:p>
          <w:p w14:paraId="190034B0" w14:textId="74F4B06E" w:rsidR="0044787A" w:rsidRDefault="0044787A" w:rsidP="0044787A">
            <w:pPr>
              <w:suppressLineNumbers/>
              <w:suppressAutoHyphens/>
              <w:bidi/>
              <w:spacing w:after="120" w:line="280" w:lineRule="exact"/>
              <w:rPr>
                <w:rFonts w:ascii="Arabic Typesetting" w:hAnsi="Arabic Typesetting" w:cs="Arabic Typesetting"/>
                <w:color w:val="000000"/>
                <w:sz w:val="28"/>
                <w:szCs w:val="28"/>
                <w:rtl/>
              </w:rPr>
            </w:pPr>
            <w:r>
              <w:rPr>
                <w:rFonts w:ascii="Arabic Typesetting" w:hAnsi="Arabic Typesetting" w:cs="Arabic Typesetting"/>
                <w:color w:val="000000"/>
                <w:sz w:val="28"/>
                <w:szCs w:val="28"/>
                <w:rtl/>
              </w:rPr>
              <w:t>مكتب الصين:</w:t>
            </w:r>
            <w:r>
              <w:rPr>
                <w:rFonts w:ascii="Arabic Typesetting" w:hAnsi="Arabic Typesetting" w:cs="Arabic Typesetting" w:hint="cs"/>
                <w:color w:val="000000"/>
                <w:sz w:val="28"/>
                <w:szCs w:val="28"/>
                <w:rtl/>
              </w:rPr>
              <w:t xml:space="preserve"> </w:t>
            </w:r>
            <w:r>
              <w:rPr>
                <w:rFonts w:ascii="Arabic Typesetting" w:hAnsi="Arabic Typesetting" w:cs="Arabic Typesetting"/>
                <w:color w:val="000000"/>
                <w:sz w:val="28"/>
                <w:szCs w:val="28"/>
                <w:rtl/>
              </w:rPr>
              <w:t>128 43</w:t>
            </w:r>
            <w:r>
              <w:rPr>
                <w:rFonts w:ascii="Arabic Typesetting" w:hAnsi="Arabic Typesetting" w:cs="Arabic Typesetting" w:hint="cs"/>
                <w:color w:val="000000"/>
                <w:sz w:val="28"/>
                <w:szCs w:val="28"/>
                <w:rtl/>
              </w:rPr>
              <w:t xml:space="preserve"> </w:t>
            </w:r>
            <w:r w:rsidRPr="0044787A">
              <w:rPr>
                <w:rFonts w:ascii="Arabic Typesetting" w:hAnsi="Arabic Typesetting" w:cs="Arabic Typesetting"/>
                <w:color w:val="000000"/>
                <w:sz w:val="28"/>
                <w:szCs w:val="28"/>
                <w:rtl/>
              </w:rPr>
              <w:t>(+45%)</w:t>
            </w:r>
          </w:p>
          <w:p w14:paraId="3748E7CD" w14:textId="4D59D3D2" w:rsidR="0044787A" w:rsidRDefault="0044787A" w:rsidP="0044787A">
            <w:pPr>
              <w:suppressLineNumbers/>
              <w:suppressAutoHyphens/>
              <w:bidi/>
              <w:spacing w:after="120" w:line="280" w:lineRule="exact"/>
              <w:rPr>
                <w:rFonts w:ascii="Arabic Typesetting" w:hAnsi="Arabic Typesetting" w:cs="Arabic Typesetting"/>
                <w:color w:val="000000"/>
                <w:sz w:val="28"/>
                <w:szCs w:val="28"/>
                <w:rtl/>
              </w:rPr>
            </w:pPr>
            <w:r w:rsidRPr="0044787A">
              <w:rPr>
                <w:rFonts w:ascii="Arabic Typesetting" w:hAnsi="Arabic Typesetting" w:cs="Arabic Typesetting"/>
                <w:color w:val="000000"/>
                <w:sz w:val="28"/>
                <w:szCs w:val="28"/>
                <w:rtl/>
              </w:rPr>
              <w:t>مكتب اليابان:</w:t>
            </w:r>
            <w:r>
              <w:rPr>
                <w:rFonts w:ascii="Arabic Typesetting" w:hAnsi="Arabic Typesetting" w:cs="Arabic Typesetting" w:hint="cs"/>
                <w:color w:val="000000"/>
                <w:sz w:val="28"/>
                <w:szCs w:val="28"/>
                <w:rtl/>
              </w:rPr>
              <w:t xml:space="preserve"> </w:t>
            </w:r>
            <w:r w:rsidRPr="0044787A">
              <w:rPr>
                <w:rFonts w:ascii="Arabic Typesetting" w:hAnsi="Arabic Typesetting" w:cs="Arabic Typesetting"/>
                <w:color w:val="000000"/>
                <w:sz w:val="28"/>
                <w:szCs w:val="28"/>
                <w:rtl/>
              </w:rPr>
              <w:t>220 45</w:t>
            </w:r>
            <w:r>
              <w:rPr>
                <w:rFonts w:ascii="Arabic Typesetting" w:hAnsi="Arabic Typesetting" w:cs="Arabic Typesetting" w:hint="cs"/>
                <w:color w:val="000000"/>
                <w:sz w:val="28"/>
                <w:szCs w:val="28"/>
                <w:rtl/>
              </w:rPr>
              <w:t xml:space="preserve"> </w:t>
            </w:r>
            <w:r w:rsidRPr="0044787A">
              <w:rPr>
                <w:rFonts w:ascii="Arabic Typesetting" w:hAnsi="Arabic Typesetting" w:cs="Arabic Typesetting"/>
                <w:color w:val="000000"/>
                <w:sz w:val="28"/>
                <w:szCs w:val="28"/>
                <w:rtl/>
              </w:rPr>
              <w:t>(+2.7%)</w:t>
            </w:r>
          </w:p>
          <w:p w14:paraId="0E773753" w14:textId="163E3337" w:rsidR="0044787A" w:rsidRDefault="0044787A" w:rsidP="0044787A">
            <w:pPr>
              <w:suppressLineNumbers/>
              <w:suppressAutoHyphens/>
              <w:bidi/>
              <w:spacing w:after="120" w:line="280" w:lineRule="exact"/>
              <w:rPr>
                <w:rFonts w:ascii="Arabic Typesetting" w:hAnsi="Arabic Typesetting" w:cs="Arabic Typesetting"/>
                <w:color w:val="000000"/>
                <w:sz w:val="28"/>
                <w:szCs w:val="28"/>
                <w:rtl/>
              </w:rPr>
            </w:pPr>
            <w:r w:rsidRPr="0044787A">
              <w:rPr>
                <w:rFonts w:ascii="Arabic Typesetting" w:hAnsi="Arabic Typesetting" w:cs="Arabic Typesetting"/>
                <w:color w:val="000000"/>
                <w:sz w:val="28"/>
                <w:szCs w:val="28"/>
                <w:rtl/>
              </w:rPr>
              <w:t>مكتب روسيا:</w:t>
            </w:r>
            <w:r>
              <w:rPr>
                <w:rFonts w:ascii="Arabic Typesetting" w:hAnsi="Arabic Typesetting" w:cs="Arabic Typesetting" w:hint="cs"/>
                <w:color w:val="000000"/>
                <w:sz w:val="28"/>
                <w:szCs w:val="28"/>
                <w:rtl/>
              </w:rPr>
              <w:t xml:space="preserve"> </w:t>
            </w:r>
            <w:r w:rsidRPr="0044787A">
              <w:rPr>
                <w:rFonts w:ascii="Arabic Typesetting" w:hAnsi="Arabic Typesetting" w:cs="Arabic Typesetting"/>
                <w:color w:val="000000"/>
                <w:sz w:val="28"/>
                <w:szCs w:val="28"/>
                <w:rtl/>
              </w:rPr>
              <w:t>805</w:t>
            </w:r>
            <w:r>
              <w:rPr>
                <w:rFonts w:ascii="Arabic Typesetting" w:hAnsi="Arabic Typesetting" w:cs="Arabic Typesetting" w:hint="cs"/>
                <w:color w:val="000000"/>
                <w:sz w:val="28"/>
                <w:szCs w:val="28"/>
                <w:rtl/>
              </w:rPr>
              <w:t xml:space="preserve"> </w:t>
            </w:r>
            <w:r w:rsidRPr="0044787A">
              <w:rPr>
                <w:rFonts w:ascii="Arabic Typesetting" w:hAnsi="Arabic Typesetting" w:cs="Arabic Typesetting"/>
                <w:color w:val="000000"/>
                <w:sz w:val="28"/>
                <w:szCs w:val="28"/>
                <w:rtl/>
              </w:rPr>
              <w:t>(-8.1%)</w:t>
            </w:r>
          </w:p>
          <w:p w14:paraId="3A1FB33E" w14:textId="35A801A8" w:rsidR="0044787A" w:rsidRPr="000D515F" w:rsidRDefault="0044787A" w:rsidP="0044787A">
            <w:pPr>
              <w:suppressLineNumbers/>
              <w:suppressAutoHyphens/>
              <w:bidi/>
              <w:spacing w:after="120" w:line="280" w:lineRule="exact"/>
              <w:rPr>
                <w:rFonts w:ascii="Arabic Typesetting" w:hAnsi="Arabic Typesetting" w:cs="Arabic Typesetting"/>
                <w:color w:val="000000"/>
                <w:sz w:val="28"/>
                <w:szCs w:val="28"/>
              </w:rPr>
            </w:pPr>
            <w:r w:rsidRPr="0044787A">
              <w:rPr>
                <w:rFonts w:ascii="Arabic Typesetting" w:hAnsi="Arabic Typesetting" w:cs="Arabic Typesetting"/>
                <w:color w:val="000000"/>
                <w:sz w:val="28"/>
                <w:szCs w:val="28"/>
                <w:rtl/>
              </w:rPr>
              <w:t>مكتب سنغافورة:</w:t>
            </w:r>
            <w:r>
              <w:rPr>
                <w:rFonts w:ascii="Arabic Typesetting" w:hAnsi="Arabic Typesetting" w:cs="Arabic Typesetting" w:hint="cs"/>
                <w:color w:val="000000"/>
                <w:sz w:val="28"/>
                <w:szCs w:val="28"/>
                <w:rtl/>
              </w:rPr>
              <w:t xml:space="preserve"> </w:t>
            </w:r>
            <w:r w:rsidRPr="0044787A">
              <w:rPr>
                <w:rFonts w:ascii="Arabic Typesetting" w:hAnsi="Arabic Typesetting" w:cs="Arabic Typesetting"/>
                <w:color w:val="000000"/>
                <w:sz w:val="28"/>
                <w:szCs w:val="28"/>
                <w:rtl/>
              </w:rPr>
              <w:t>285 1 (-6.1%)</w:t>
            </w:r>
          </w:p>
        </w:tc>
        <w:tc>
          <w:tcPr>
            <w:tcW w:w="439" w:type="pct"/>
            <w:gridSpan w:val="2"/>
            <w:shd w:val="clear" w:color="auto" w:fill="auto"/>
            <w:tcMar>
              <w:top w:w="110" w:type="dxa"/>
              <w:left w:w="58" w:type="dxa"/>
              <w:right w:w="58" w:type="dxa"/>
            </w:tcMar>
          </w:tcPr>
          <w:p w14:paraId="095460CE" w14:textId="77777777" w:rsidR="00574A27" w:rsidRPr="0044787A" w:rsidRDefault="0044787A" w:rsidP="000D515F">
            <w:pPr>
              <w:suppressLineNumbers/>
              <w:suppressAutoHyphens/>
              <w:bidi/>
              <w:spacing w:after="120" w:line="280" w:lineRule="exact"/>
              <w:jc w:val="center"/>
              <w:rPr>
                <w:rFonts w:ascii="Arabic Typesetting" w:hAnsi="Arabic Typesetting" w:cs="Arabic Typesetting"/>
                <w:bCs/>
                <w:color w:val="00B050"/>
                <w:sz w:val="28"/>
                <w:szCs w:val="28"/>
                <w:rtl/>
              </w:rPr>
            </w:pPr>
            <w:r w:rsidRPr="0044787A">
              <w:rPr>
                <w:rFonts w:ascii="Arabic Typesetting" w:hAnsi="Arabic Typesetting" w:cs="Arabic Typesetting" w:hint="cs"/>
                <w:bCs/>
                <w:color w:val="00B050"/>
                <w:sz w:val="28"/>
                <w:szCs w:val="28"/>
                <w:rtl/>
              </w:rPr>
              <w:t>ثابت</w:t>
            </w:r>
          </w:p>
          <w:p w14:paraId="2DA470A9" w14:textId="77777777" w:rsidR="0044787A" w:rsidRPr="0044787A" w:rsidRDefault="0044787A" w:rsidP="0044787A">
            <w:pPr>
              <w:suppressLineNumbers/>
              <w:suppressAutoHyphens/>
              <w:bidi/>
              <w:spacing w:after="120" w:line="280" w:lineRule="exact"/>
              <w:jc w:val="center"/>
              <w:rPr>
                <w:rFonts w:ascii="Arabic Typesetting" w:hAnsi="Arabic Typesetting" w:cs="Arabic Typesetting"/>
                <w:bCs/>
                <w:color w:val="00B050"/>
                <w:sz w:val="28"/>
                <w:szCs w:val="28"/>
                <w:rtl/>
              </w:rPr>
            </w:pPr>
            <w:r w:rsidRPr="0044787A">
              <w:rPr>
                <w:rFonts w:ascii="Arabic Typesetting" w:hAnsi="Arabic Typesetting" w:cs="Arabic Typesetting" w:hint="cs"/>
                <w:bCs/>
                <w:color w:val="00B050"/>
                <w:sz w:val="28"/>
                <w:szCs w:val="28"/>
                <w:rtl/>
              </w:rPr>
              <w:t>ثابت</w:t>
            </w:r>
          </w:p>
          <w:p w14:paraId="6EA201A6" w14:textId="77777777" w:rsidR="0044787A" w:rsidRDefault="0044787A" w:rsidP="0044787A">
            <w:pPr>
              <w:suppressLineNumbers/>
              <w:suppressAutoHyphens/>
              <w:bidi/>
              <w:spacing w:after="120" w:line="280" w:lineRule="exact"/>
              <w:jc w:val="center"/>
              <w:rPr>
                <w:rFonts w:ascii="Arabic Typesetting" w:hAnsi="Arabic Typesetting" w:cs="Arabic Typesetting"/>
                <w:color w:val="000000"/>
                <w:sz w:val="28"/>
                <w:szCs w:val="28"/>
                <w:rtl/>
              </w:rPr>
            </w:pPr>
            <w:r w:rsidRPr="0044787A">
              <w:rPr>
                <w:rFonts w:ascii="Arabic Typesetting" w:hAnsi="Arabic Typesetting" w:cs="Arabic Typesetting" w:hint="cs"/>
                <w:bCs/>
                <w:color w:val="00B050"/>
                <w:sz w:val="28"/>
                <w:szCs w:val="28"/>
                <w:rtl/>
              </w:rPr>
              <w:t>ثابت</w:t>
            </w:r>
          </w:p>
          <w:p w14:paraId="5912557B" w14:textId="77777777" w:rsidR="0044787A" w:rsidRPr="0044787A" w:rsidRDefault="0044787A" w:rsidP="0044787A">
            <w:pPr>
              <w:suppressLineNumbers/>
              <w:suppressAutoHyphens/>
              <w:bidi/>
              <w:spacing w:after="120" w:line="280" w:lineRule="exact"/>
              <w:jc w:val="center"/>
              <w:rPr>
                <w:rFonts w:ascii="Arabic Typesetting" w:hAnsi="Arabic Typesetting" w:cs="Arabic Typesetting"/>
                <w:bCs/>
                <w:color w:val="FF0000"/>
                <w:sz w:val="28"/>
                <w:szCs w:val="28"/>
                <w:rtl/>
              </w:rPr>
            </w:pPr>
            <w:r w:rsidRPr="0044787A">
              <w:rPr>
                <w:rFonts w:ascii="Arabic Typesetting" w:hAnsi="Arabic Typesetting" w:cs="Arabic Typesetting" w:hint="cs"/>
                <w:bCs/>
                <w:color w:val="FF0000"/>
                <w:sz w:val="28"/>
                <w:szCs w:val="28"/>
                <w:rtl/>
              </w:rPr>
              <w:t>غير ثابت</w:t>
            </w:r>
          </w:p>
          <w:p w14:paraId="7C620B73" w14:textId="2798E1CA" w:rsidR="0044787A" w:rsidRPr="000D515F" w:rsidRDefault="0044787A" w:rsidP="0044787A">
            <w:pPr>
              <w:suppressLineNumbers/>
              <w:suppressAutoHyphens/>
              <w:bidi/>
              <w:spacing w:after="120" w:line="280" w:lineRule="exact"/>
              <w:jc w:val="center"/>
              <w:rPr>
                <w:rFonts w:ascii="Arabic Typesetting" w:hAnsi="Arabic Typesetting" w:cs="Arabic Typesetting"/>
                <w:color w:val="000000"/>
                <w:sz w:val="28"/>
                <w:szCs w:val="28"/>
              </w:rPr>
            </w:pPr>
            <w:r w:rsidRPr="0044787A">
              <w:rPr>
                <w:rFonts w:ascii="Arabic Typesetting" w:hAnsi="Arabic Typesetting" w:cs="Arabic Typesetting" w:hint="cs"/>
                <w:bCs/>
                <w:color w:val="FF0000"/>
                <w:sz w:val="28"/>
                <w:szCs w:val="28"/>
                <w:rtl/>
              </w:rPr>
              <w:t>غير ثابت</w:t>
            </w:r>
          </w:p>
        </w:tc>
      </w:tr>
      <w:tr w:rsidR="00574A27" w:rsidRPr="000D515F" w14:paraId="1655B1BC" w14:textId="77777777" w:rsidTr="000D515F">
        <w:trPr>
          <w:gridAfter w:val="1"/>
          <w:wAfter w:w="133" w:type="pct"/>
          <w:cantSplit/>
          <w:trHeight w:val="1787"/>
        </w:trPr>
        <w:tc>
          <w:tcPr>
            <w:tcW w:w="921" w:type="pct"/>
            <w:shd w:val="clear" w:color="auto" w:fill="auto"/>
            <w:tcMar>
              <w:left w:w="58" w:type="dxa"/>
              <w:right w:w="58" w:type="dxa"/>
            </w:tcMar>
          </w:tcPr>
          <w:p w14:paraId="2E7A49DA" w14:textId="2F664732"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النسبة المئوية لواضعي السياسات والمسؤولين الحكوميين والعاملين في مجال الملكية الفكرية والمشاركين في حلقات العمل المستهدفة ممن لديهم فهم معمّق لمعاهدة التعاون بشأن البراءات وما يتعلق بها من موضوعات</w:t>
            </w:r>
          </w:p>
        </w:tc>
        <w:tc>
          <w:tcPr>
            <w:tcW w:w="1470" w:type="pct"/>
            <w:gridSpan w:val="4"/>
            <w:shd w:val="clear" w:color="auto" w:fill="auto"/>
            <w:tcMar>
              <w:left w:w="58" w:type="dxa"/>
              <w:right w:w="58" w:type="dxa"/>
            </w:tcMar>
          </w:tcPr>
          <w:p w14:paraId="797A2A39" w14:textId="477B48E8" w:rsidR="00574A27" w:rsidRPr="000D515F" w:rsidRDefault="00574A27" w:rsidP="0044787A">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Cs/>
                <w:color w:val="002060"/>
                <w:sz w:val="28"/>
                <w:szCs w:val="28"/>
                <w:rtl/>
              </w:rPr>
              <w:t xml:space="preserve">أساس </w:t>
            </w:r>
            <w:r w:rsidR="0044787A">
              <w:rPr>
                <w:rFonts w:ascii="Arabic Typesetting" w:hAnsi="Arabic Typesetting" w:cs="Arabic Typesetting"/>
                <w:iCs/>
                <w:color w:val="002060"/>
                <w:sz w:val="28"/>
                <w:szCs w:val="28"/>
                <w:rtl/>
              </w:rPr>
              <w:t>المقارنة المحدّث في نهاية 2015:</w:t>
            </w:r>
            <w:r w:rsidR="0044787A">
              <w:rPr>
                <w:rFonts w:ascii="Arabic Typesetting" w:hAnsi="Arabic Typesetting" w:cs="Arabic Typesetting" w:hint="cs"/>
                <w:iCs/>
                <w:color w:val="002060"/>
                <w:sz w:val="28"/>
                <w:szCs w:val="28"/>
                <w:rtl/>
              </w:rPr>
              <w:br/>
            </w:r>
            <w:r w:rsidRPr="000D515F">
              <w:rPr>
                <w:rFonts w:ascii="Arabic Typesetting" w:hAnsi="Arabic Typesetting" w:cs="Arabic Typesetting"/>
                <w:color w:val="002060"/>
                <w:sz w:val="28"/>
                <w:szCs w:val="28"/>
                <w:rtl/>
              </w:rPr>
              <w:t>75% (مكتب البرازيل)</w:t>
            </w:r>
          </w:p>
          <w:p w14:paraId="5EB2C2A5"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91% (مكتب اليابان)</w:t>
            </w:r>
          </w:p>
          <w:p w14:paraId="0AE20A0A"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95% (مكتب سنغافورة)</w:t>
            </w:r>
          </w:p>
          <w:p w14:paraId="74B885D6" w14:textId="6A5D89FE" w:rsidR="00574A27" w:rsidRPr="000D515F" w:rsidRDefault="000D515F" w:rsidP="0044787A">
            <w:pPr>
              <w:suppressLineNumbers/>
              <w:suppressAutoHyphens/>
              <w:bidi/>
              <w:spacing w:after="120" w:line="280" w:lineRule="exact"/>
              <w:rPr>
                <w:rFonts w:ascii="Arabic Typesetting" w:hAnsi="Arabic Typesetting" w:cs="Arabic Typesetting"/>
                <w:color w:val="000000"/>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44787A">
              <w:rPr>
                <w:rFonts w:ascii="Arabic Typesetting" w:hAnsi="Arabic Typesetting" w:cs="Arabic Typesetting"/>
                <w:iCs/>
                <w:sz w:val="28"/>
                <w:szCs w:val="28"/>
                <w:rtl/>
              </w:rPr>
              <w:t>2016/17:</w:t>
            </w:r>
            <w:r w:rsidR="0044787A">
              <w:rPr>
                <w:rFonts w:ascii="Arabic Typesetting" w:hAnsi="Arabic Typesetting" w:cs="Arabic Typesetting" w:hint="cs"/>
                <w:iCs/>
                <w:sz w:val="28"/>
                <w:szCs w:val="28"/>
                <w:rtl/>
              </w:rPr>
              <w:br/>
            </w:r>
            <w:r w:rsidR="00574A27" w:rsidRPr="000D515F">
              <w:rPr>
                <w:rFonts w:ascii="Arabic Typesetting" w:hAnsi="Arabic Typesetting" w:cs="Arabic Typesetting"/>
                <w:color w:val="000000"/>
                <w:sz w:val="28"/>
                <w:szCs w:val="28"/>
                <w:rtl/>
              </w:rPr>
              <w:t>93% (مكتب سنغافورة)</w:t>
            </w:r>
            <w:r w:rsidR="0044787A">
              <w:rPr>
                <w:rFonts w:ascii="Arabic Typesetting" w:hAnsi="Arabic Typesetting" w:cs="Arabic Typesetting" w:hint="cs"/>
                <w:color w:val="000000"/>
                <w:sz w:val="28"/>
                <w:szCs w:val="28"/>
                <w:rtl/>
              </w:rPr>
              <w:br/>
            </w:r>
            <w:r w:rsidR="00574A27" w:rsidRPr="000D515F">
              <w:rPr>
                <w:rFonts w:ascii="Arabic Typesetting" w:hAnsi="Arabic Typesetting" w:cs="Arabic Typesetting"/>
                <w:color w:val="000000"/>
                <w:sz w:val="28"/>
                <w:szCs w:val="28"/>
                <w:rtl/>
              </w:rPr>
              <w:t>75% (مكتب البرازيل)</w:t>
            </w:r>
            <w:r w:rsidR="0044787A">
              <w:rPr>
                <w:rFonts w:ascii="Arabic Typesetting" w:hAnsi="Arabic Typesetting" w:cs="Arabic Typesetting" w:hint="cs"/>
                <w:color w:val="000000"/>
                <w:sz w:val="28"/>
                <w:szCs w:val="28"/>
                <w:rtl/>
              </w:rPr>
              <w:br/>
            </w:r>
            <w:r w:rsidR="00574A27" w:rsidRPr="000D515F">
              <w:rPr>
                <w:rFonts w:ascii="Arabic Typesetting" w:hAnsi="Arabic Typesetting" w:cs="Arabic Typesetting"/>
                <w:color w:val="000000"/>
                <w:sz w:val="28"/>
                <w:szCs w:val="28"/>
                <w:rtl/>
              </w:rPr>
              <w:t>94% (مكتب اليابان)</w:t>
            </w:r>
          </w:p>
        </w:tc>
        <w:tc>
          <w:tcPr>
            <w:tcW w:w="750" w:type="pct"/>
            <w:gridSpan w:val="3"/>
            <w:shd w:val="clear" w:color="auto" w:fill="auto"/>
            <w:tcMar>
              <w:top w:w="110" w:type="dxa"/>
              <w:left w:w="58" w:type="dxa"/>
              <w:right w:w="58" w:type="dxa"/>
            </w:tcMar>
          </w:tcPr>
          <w:p w14:paraId="65F3590D" w14:textId="59DDD846" w:rsidR="00574A27" w:rsidRPr="000D515F" w:rsidRDefault="00574A27" w:rsidP="0044787A">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75% (جميع</w:t>
            </w:r>
            <w:r w:rsidR="0044787A">
              <w:rPr>
                <w:rFonts w:ascii="Arabic Typesetting" w:hAnsi="Arabic Typesetting" w:cs="Arabic Typesetting" w:hint="cs"/>
                <w:sz w:val="28"/>
                <w:szCs w:val="28"/>
                <w:rtl/>
              </w:rPr>
              <w:t> </w:t>
            </w:r>
            <w:r w:rsidRPr="000D515F">
              <w:rPr>
                <w:rFonts w:ascii="Arabic Typesetting" w:hAnsi="Arabic Typesetting" w:cs="Arabic Typesetting"/>
                <w:sz w:val="28"/>
                <w:szCs w:val="28"/>
                <w:rtl/>
              </w:rPr>
              <w:t>المكاتب)</w:t>
            </w:r>
          </w:p>
        </w:tc>
        <w:tc>
          <w:tcPr>
            <w:tcW w:w="1287" w:type="pct"/>
            <w:gridSpan w:val="4"/>
            <w:shd w:val="clear" w:color="auto" w:fill="FFFFFF"/>
            <w:tcMar>
              <w:top w:w="110" w:type="dxa"/>
              <w:left w:w="58" w:type="dxa"/>
              <w:right w:w="58" w:type="dxa"/>
            </w:tcMar>
          </w:tcPr>
          <w:p w14:paraId="6F4B580C" w14:textId="37ED65AC" w:rsidR="0044787A" w:rsidRPr="000D515F" w:rsidRDefault="00574A27" w:rsidP="0044787A">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لا توجد بيانات متاحة (مكتب</w:t>
            </w:r>
            <w:r w:rsidR="0044787A">
              <w:rPr>
                <w:rFonts w:ascii="Arabic Typesetting" w:hAnsi="Arabic Typesetting" w:cs="Arabic Typesetting" w:hint="cs"/>
                <w:color w:val="000000"/>
                <w:sz w:val="28"/>
                <w:szCs w:val="28"/>
                <w:rtl/>
              </w:rPr>
              <w:t> </w:t>
            </w:r>
            <w:r w:rsidR="0044787A">
              <w:rPr>
                <w:rFonts w:ascii="Arabic Typesetting" w:hAnsi="Arabic Typesetting" w:cs="Arabic Typesetting"/>
                <w:color w:val="000000"/>
                <w:sz w:val="28"/>
                <w:szCs w:val="28"/>
                <w:rtl/>
              </w:rPr>
              <w:t>البرازيل)</w:t>
            </w:r>
          </w:p>
          <w:p w14:paraId="423C2D2F"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81% (مكتب اليابان)</w:t>
            </w:r>
          </w:p>
          <w:p w14:paraId="60BA9EC3" w14:textId="296239CC" w:rsidR="00574A27" w:rsidRPr="0044787A" w:rsidRDefault="00574A27" w:rsidP="0044787A">
            <w:pPr>
              <w:suppressLineNumbers/>
              <w:suppressAutoHyphens/>
              <w:bidi/>
              <w:spacing w:after="120" w:line="280" w:lineRule="exact"/>
              <w:rPr>
                <w:rFonts w:ascii="Arabic Typesetting" w:hAnsi="Arabic Typesetting" w:cs="Arabic Typesetting"/>
                <w:color w:val="000000"/>
                <w:sz w:val="28"/>
                <w:szCs w:val="28"/>
              </w:rPr>
            </w:pPr>
            <w:r w:rsidRPr="000D515F">
              <w:rPr>
                <w:rFonts w:ascii="Arabic Typesetting" w:hAnsi="Arabic Typesetting" w:cs="Arabic Typesetting"/>
                <w:color w:val="000000"/>
                <w:sz w:val="28"/>
                <w:szCs w:val="28"/>
                <w:rtl/>
              </w:rPr>
              <w:t>94% (مكتب سنغافورة)</w:t>
            </w:r>
          </w:p>
        </w:tc>
        <w:tc>
          <w:tcPr>
            <w:tcW w:w="439" w:type="pct"/>
            <w:gridSpan w:val="2"/>
            <w:shd w:val="clear" w:color="auto" w:fill="auto"/>
            <w:tcMar>
              <w:top w:w="110" w:type="dxa"/>
              <w:left w:w="58" w:type="dxa"/>
              <w:right w:w="58" w:type="dxa"/>
            </w:tcMar>
          </w:tcPr>
          <w:p w14:paraId="72698065"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808080"/>
                <w:sz w:val="28"/>
                <w:szCs w:val="28"/>
                <w:rtl/>
              </w:rPr>
            </w:pPr>
            <w:r w:rsidRPr="000D515F">
              <w:rPr>
                <w:rFonts w:ascii="Arabic Typesetting" w:hAnsi="Arabic Typesetting" w:cs="Arabic Typesetting"/>
                <w:bCs/>
                <w:color w:val="808080"/>
                <w:sz w:val="28"/>
                <w:szCs w:val="28"/>
                <w:rtl/>
              </w:rPr>
              <w:t>غير قابل للقياس</w:t>
            </w:r>
          </w:p>
          <w:p w14:paraId="546F8F90"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4DBAE7A6" w14:textId="3850176F" w:rsidR="00574A27" w:rsidRPr="0044787A" w:rsidRDefault="00574A27" w:rsidP="0044787A">
            <w:pPr>
              <w:suppressLineNumbers/>
              <w:suppressAutoHyphens/>
              <w:bidi/>
              <w:spacing w:after="120" w:line="280" w:lineRule="exact"/>
              <w:jc w:val="center"/>
              <w:rPr>
                <w:rFonts w:ascii="Arabic Typesetting" w:hAnsi="Arabic Typesetting" w:cs="Arabic Typesetting"/>
                <w:bCs/>
                <w:color w:val="00B050"/>
                <w:sz w:val="28"/>
                <w:szCs w:val="28"/>
              </w:rPr>
            </w:pPr>
            <w:r w:rsidRPr="000D515F">
              <w:rPr>
                <w:rFonts w:ascii="Arabic Typesetting" w:hAnsi="Arabic Typesetting" w:cs="Arabic Typesetting"/>
                <w:bCs/>
                <w:color w:val="00B050"/>
                <w:sz w:val="28"/>
                <w:szCs w:val="28"/>
                <w:rtl/>
              </w:rPr>
              <w:t>ثابت</w:t>
            </w:r>
          </w:p>
        </w:tc>
      </w:tr>
      <w:tr w:rsidR="00574A27" w:rsidRPr="000D515F" w14:paraId="67D0058E" w14:textId="77777777" w:rsidTr="000D515F">
        <w:trPr>
          <w:gridAfter w:val="1"/>
          <w:wAfter w:w="133" w:type="pct"/>
          <w:cantSplit/>
          <w:trHeight w:val="565"/>
        </w:trPr>
        <w:tc>
          <w:tcPr>
            <w:tcW w:w="4867" w:type="pct"/>
            <w:gridSpan w:val="14"/>
            <w:shd w:val="clear" w:color="auto" w:fill="C6D9F1" w:themeFill="text2" w:themeFillTint="33"/>
            <w:tcMar>
              <w:left w:w="58" w:type="dxa"/>
              <w:right w:w="58" w:type="dxa"/>
            </w:tcMar>
            <w:vAlign w:val="center"/>
          </w:tcPr>
          <w:p w14:paraId="70903862" w14:textId="77777777" w:rsidR="00574A27" w:rsidRPr="000D515F" w:rsidRDefault="00574A27" w:rsidP="000C4432">
            <w:pPr>
              <w:keepNext/>
              <w:bidi/>
              <w:spacing w:before="120" w:after="120" w:line="280" w:lineRule="exact"/>
              <w:ind w:left="1167" w:hanging="1167"/>
              <w:rPr>
                <w:rFonts w:ascii="Arabic Typesetting" w:hAnsi="Arabic Typesetting" w:cs="Arabic Typesetting"/>
                <w:b/>
                <w:bCs/>
                <w:sz w:val="28"/>
                <w:szCs w:val="28"/>
                <w:rtl/>
              </w:rPr>
            </w:pPr>
            <w:r w:rsidRPr="000D515F">
              <w:rPr>
                <w:rFonts w:ascii="Arabic Typesetting" w:hAnsi="Arabic Typesetting" w:cs="Arabic Typesetting"/>
                <w:b/>
                <w:bCs/>
                <w:sz w:val="28"/>
                <w:szCs w:val="28"/>
                <w:rtl/>
              </w:rPr>
              <w:lastRenderedPageBreak/>
              <w:t>النتيجة المرتقبة:</w:t>
            </w:r>
            <w:r w:rsidRPr="000D515F">
              <w:rPr>
                <w:rFonts w:ascii="Arabic Typesetting" w:hAnsi="Arabic Typesetting" w:cs="Arabic Typesetting"/>
                <w:b/>
                <w:bCs/>
                <w:sz w:val="28"/>
                <w:szCs w:val="28"/>
                <w:rtl/>
              </w:rPr>
              <w:tab/>
            </w:r>
            <w:r w:rsidRPr="000D515F">
              <w:rPr>
                <w:rFonts w:ascii="Arabic Typesetting" w:hAnsi="Arabic Typesetting" w:cs="Arabic Typesetting"/>
                <w:sz w:val="28"/>
                <w:szCs w:val="28"/>
                <w:rtl/>
              </w:rPr>
              <w:t xml:space="preserve">ه 4.2 </w:t>
            </w:r>
            <w:r w:rsidRPr="000D515F">
              <w:rPr>
                <w:rFonts w:ascii="Arabic Typesetting" w:hAnsi="Arabic Typesetting" w:cs="Arabic Typesetting"/>
                <w:sz w:val="28"/>
                <w:szCs w:val="28"/>
                <w:rtl/>
                <w:lang w:bidi="ar-EG"/>
              </w:rPr>
              <w:t>استخدام</w:t>
            </w:r>
            <w:r w:rsidRPr="000D515F">
              <w:rPr>
                <w:rFonts w:ascii="Arabic Typesetting" w:hAnsi="Arabic Typesetting" w:cs="Arabic Typesetting"/>
                <w:sz w:val="28"/>
                <w:szCs w:val="28"/>
                <w:rtl/>
              </w:rPr>
              <w:t xml:space="preserve"> نظام لاهاي على نطاق أوسع وبفعالية أكبر، بما في ذلك من قبل البلدان النامية والبلدان الأقل نموا</w:t>
            </w:r>
          </w:p>
        </w:tc>
      </w:tr>
      <w:tr w:rsidR="00574A27" w:rsidRPr="000D515F" w14:paraId="6778E9A2" w14:textId="77777777" w:rsidTr="000D515F">
        <w:trPr>
          <w:gridAfter w:val="1"/>
          <w:wAfter w:w="133" w:type="pct"/>
          <w:cantSplit/>
        </w:trPr>
        <w:tc>
          <w:tcPr>
            <w:tcW w:w="921" w:type="pct"/>
            <w:shd w:val="clear" w:color="auto" w:fill="auto"/>
            <w:tcMar>
              <w:left w:w="58" w:type="dxa"/>
              <w:right w:w="58" w:type="dxa"/>
            </w:tcMar>
            <w:vAlign w:val="center"/>
          </w:tcPr>
          <w:p w14:paraId="3271FF77" w14:textId="77777777" w:rsidR="00574A27" w:rsidRPr="000D515F" w:rsidRDefault="00574A27" w:rsidP="000C4432">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مؤشرات الأداء</w:t>
            </w:r>
          </w:p>
        </w:tc>
        <w:tc>
          <w:tcPr>
            <w:tcW w:w="1470" w:type="pct"/>
            <w:gridSpan w:val="4"/>
            <w:shd w:val="clear" w:color="auto" w:fill="auto"/>
            <w:tcMar>
              <w:left w:w="58" w:type="dxa"/>
              <w:right w:w="58" w:type="dxa"/>
            </w:tcMar>
            <w:vAlign w:val="center"/>
          </w:tcPr>
          <w:p w14:paraId="5A623AC4" w14:textId="77777777" w:rsidR="00574A27" w:rsidRPr="000D515F" w:rsidRDefault="00574A27" w:rsidP="000C4432">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أسس المقارنة</w:t>
            </w:r>
          </w:p>
        </w:tc>
        <w:tc>
          <w:tcPr>
            <w:tcW w:w="750" w:type="pct"/>
            <w:gridSpan w:val="3"/>
            <w:shd w:val="clear" w:color="auto" w:fill="auto"/>
            <w:tcMar>
              <w:top w:w="110" w:type="dxa"/>
              <w:left w:w="58" w:type="dxa"/>
              <w:right w:w="58" w:type="dxa"/>
            </w:tcMar>
            <w:vAlign w:val="center"/>
          </w:tcPr>
          <w:p w14:paraId="0575566F" w14:textId="77777777" w:rsidR="00574A27" w:rsidRPr="000D515F" w:rsidRDefault="00574A27" w:rsidP="000C4432">
            <w:pPr>
              <w:keepNext/>
              <w:tabs>
                <w:tab w:val="left" w:pos="290"/>
              </w:tabs>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الأهداف</w:t>
            </w:r>
          </w:p>
        </w:tc>
        <w:tc>
          <w:tcPr>
            <w:tcW w:w="1287" w:type="pct"/>
            <w:gridSpan w:val="4"/>
            <w:shd w:val="clear" w:color="auto" w:fill="FFFFFF"/>
            <w:tcMar>
              <w:top w:w="110" w:type="dxa"/>
              <w:left w:w="58" w:type="dxa"/>
              <w:right w:w="58" w:type="dxa"/>
            </w:tcMar>
            <w:vAlign w:val="center"/>
          </w:tcPr>
          <w:p w14:paraId="0181A304" w14:textId="77777777" w:rsidR="00574A27" w:rsidRPr="000D515F" w:rsidRDefault="00574A27" w:rsidP="000C4432">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بيانات الأداء</w:t>
            </w:r>
          </w:p>
        </w:tc>
        <w:tc>
          <w:tcPr>
            <w:tcW w:w="439" w:type="pct"/>
            <w:gridSpan w:val="2"/>
            <w:shd w:val="clear" w:color="auto" w:fill="auto"/>
            <w:tcMar>
              <w:top w:w="110" w:type="dxa"/>
              <w:left w:w="58" w:type="dxa"/>
              <w:right w:w="58" w:type="dxa"/>
            </w:tcMar>
            <w:vAlign w:val="center"/>
          </w:tcPr>
          <w:p w14:paraId="655776E4" w14:textId="77777777" w:rsidR="00574A27" w:rsidRPr="000D515F" w:rsidRDefault="00574A27" w:rsidP="000C4432">
            <w:pPr>
              <w:keepNext/>
              <w:bidi/>
              <w:spacing w:before="120"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السير</w:t>
            </w:r>
          </w:p>
        </w:tc>
      </w:tr>
      <w:tr w:rsidR="00574A27" w:rsidRPr="000D515F" w14:paraId="38E26E67" w14:textId="77777777" w:rsidTr="00BD308F">
        <w:trPr>
          <w:gridAfter w:val="1"/>
          <w:wAfter w:w="133" w:type="pct"/>
          <w:cantSplit/>
          <w:trHeight w:val="542"/>
        </w:trPr>
        <w:tc>
          <w:tcPr>
            <w:tcW w:w="921" w:type="pct"/>
            <w:shd w:val="clear" w:color="auto" w:fill="auto"/>
            <w:tcMar>
              <w:left w:w="58" w:type="dxa"/>
              <w:right w:w="58" w:type="dxa"/>
            </w:tcMar>
          </w:tcPr>
          <w:p w14:paraId="24A7EB3B" w14:textId="77777777" w:rsidR="00574A27" w:rsidRPr="000D515F" w:rsidRDefault="00574A27" w:rsidP="000C4432">
            <w:pPr>
              <w:keepNext/>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مجموع أعضاء وثيقة جنيف (1999)</w:t>
            </w:r>
          </w:p>
        </w:tc>
        <w:tc>
          <w:tcPr>
            <w:tcW w:w="1185" w:type="pct"/>
            <w:shd w:val="clear" w:color="auto" w:fill="auto"/>
            <w:tcMar>
              <w:left w:w="58" w:type="dxa"/>
              <w:right w:w="58" w:type="dxa"/>
            </w:tcMar>
          </w:tcPr>
          <w:p w14:paraId="58F8082E" w14:textId="77777777" w:rsidR="00574A27" w:rsidRPr="000D515F" w:rsidRDefault="00574A27" w:rsidP="000C4432">
            <w:pPr>
              <w:keepNext/>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2 (مكتب سنغافورة)</w:t>
            </w:r>
            <w:r w:rsidRPr="000D515F">
              <w:rPr>
                <w:rFonts w:ascii="Arabic Typesetting" w:hAnsi="Arabic Typesetting" w:cs="Arabic Typesetting"/>
                <w:color w:val="000000"/>
                <w:sz w:val="28"/>
                <w:szCs w:val="28"/>
                <w:rtl/>
              </w:rPr>
              <w:br/>
              <w:t>0 (مكتب روسيا)</w:t>
            </w:r>
          </w:p>
        </w:tc>
        <w:tc>
          <w:tcPr>
            <w:tcW w:w="1034" w:type="pct"/>
            <w:gridSpan w:val="6"/>
            <w:shd w:val="clear" w:color="auto" w:fill="auto"/>
            <w:tcMar>
              <w:top w:w="110" w:type="dxa"/>
              <w:left w:w="58" w:type="dxa"/>
              <w:right w:w="58" w:type="dxa"/>
            </w:tcMar>
          </w:tcPr>
          <w:p w14:paraId="3E5EAD12" w14:textId="77777777" w:rsidR="00574A27" w:rsidRPr="000D515F" w:rsidRDefault="00574A27" w:rsidP="000C4432">
            <w:pPr>
              <w:keepNext/>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3 إضافيين (مكتب سنغافورة)</w:t>
            </w:r>
          </w:p>
          <w:p w14:paraId="512255A4" w14:textId="77777777" w:rsidR="00574A27" w:rsidRPr="000D515F" w:rsidRDefault="00574A27" w:rsidP="000C4432">
            <w:pPr>
              <w:keepNext/>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color w:val="000000"/>
                <w:sz w:val="28"/>
                <w:szCs w:val="28"/>
                <w:rtl/>
              </w:rPr>
              <w:t>1 (مكتب روسيا)</w:t>
            </w:r>
          </w:p>
        </w:tc>
        <w:tc>
          <w:tcPr>
            <w:tcW w:w="1287" w:type="pct"/>
            <w:gridSpan w:val="4"/>
            <w:shd w:val="clear" w:color="auto" w:fill="FFFFFF"/>
            <w:tcMar>
              <w:top w:w="110" w:type="dxa"/>
              <w:left w:w="58" w:type="dxa"/>
              <w:right w:w="58" w:type="dxa"/>
            </w:tcMar>
          </w:tcPr>
          <w:p w14:paraId="2D3C6712" w14:textId="77777777" w:rsidR="00574A27" w:rsidRPr="000D515F" w:rsidRDefault="00574A27" w:rsidP="000C4432">
            <w:pPr>
              <w:keepNext/>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0 (مكتب سنغافورة)</w:t>
            </w:r>
          </w:p>
          <w:p w14:paraId="014AE600" w14:textId="77777777" w:rsidR="00574A27" w:rsidRPr="000D515F" w:rsidRDefault="00574A27" w:rsidP="000C4432">
            <w:pPr>
              <w:keepNext/>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0 (مكتب روسيا)</w:t>
            </w:r>
          </w:p>
        </w:tc>
        <w:tc>
          <w:tcPr>
            <w:tcW w:w="439" w:type="pct"/>
            <w:gridSpan w:val="2"/>
            <w:shd w:val="clear" w:color="auto" w:fill="auto"/>
            <w:tcMar>
              <w:top w:w="110" w:type="dxa"/>
              <w:left w:w="58" w:type="dxa"/>
              <w:right w:w="58" w:type="dxa"/>
            </w:tcMar>
          </w:tcPr>
          <w:p w14:paraId="316633EA" w14:textId="77777777" w:rsidR="00574A27" w:rsidRPr="000D515F" w:rsidRDefault="00574A27" w:rsidP="000C4432">
            <w:pPr>
              <w:keepNext/>
              <w:suppressLineNumbers/>
              <w:suppressAutoHyphens/>
              <w:bidi/>
              <w:spacing w:after="120" w:line="280" w:lineRule="exact"/>
              <w:jc w:val="center"/>
              <w:rPr>
                <w:rFonts w:ascii="Arabic Typesetting" w:hAnsi="Arabic Typesetting" w:cs="Arabic Typesetting"/>
                <w:bCs/>
                <w:color w:val="FF0000"/>
                <w:sz w:val="28"/>
                <w:szCs w:val="28"/>
                <w:rtl/>
              </w:rPr>
            </w:pPr>
            <w:r w:rsidRPr="000D515F">
              <w:rPr>
                <w:rFonts w:ascii="Arabic Typesetting" w:hAnsi="Arabic Typesetting" w:cs="Arabic Typesetting"/>
                <w:bCs/>
                <w:color w:val="FF0000"/>
                <w:sz w:val="28"/>
                <w:szCs w:val="28"/>
                <w:rtl/>
              </w:rPr>
              <w:t>غير ثابت</w:t>
            </w:r>
          </w:p>
        </w:tc>
      </w:tr>
      <w:tr w:rsidR="00574A27" w:rsidRPr="000D515F" w14:paraId="64706EE4" w14:textId="77777777" w:rsidTr="000D515F">
        <w:trPr>
          <w:gridAfter w:val="1"/>
          <w:wAfter w:w="133" w:type="pct"/>
          <w:cantSplit/>
          <w:trHeight w:val="1195"/>
        </w:trPr>
        <w:tc>
          <w:tcPr>
            <w:tcW w:w="921" w:type="pct"/>
            <w:shd w:val="clear" w:color="auto" w:fill="auto"/>
            <w:tcMar>
              <w:left w:w="58" w:type="dxa"/>
              <w:right w:w="58" w:type="dxa"/>
            </w:tcMar>
          </w:tcPr>
          <w:p w14:paraId="61B234F4"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عدد الطلبات بناء على نظام لاهاي</w:t>
            </w:r>
          </w:p>
        </w:tc>
        <w:tc>
          <w:tcPr>
            <w:tcW w:w="1470" w:type="pct"/>
            <w:gridSpan w:val="4"/>
            <w:shd w:val="clear" w:color="auto" w:fill="auto"/>
            <w:tcMar>
              <w:left w:w="58" w:type="dxa"/>
              <w:right w:w="58" w:type="dxa"/>
            </w:tcMar>
          </w:tcPr>
          <w:p w14:paraId="64E981A9" w14:textId="6D162238" w:rsidR="00574A27" w:rsidRPr="000D515F" w:rsidRDefault="00574A27" w:rsidP="0044787A">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iCs/>
                <w:color w:val="002060"/>
                <w:sz w:val="28"/>
                <w:szCs w:val="28"/>
                <w:rtl/>
              </w:rPr>
              <w:t xml:space="preserve">أساس </w:t>
            </w:r>
            <w:r w:rsidR="0044787A">
              <w:rPr>
                <w:rFonts w:ascii="Arabic Typesetting" w:hAnsi="Arabic Typesetting" w:cs="Arabic Typesetting"/>
                <w:iCs/>
                <w:color w:val="002060"/>
                <w:sz w:val="28"/>
                <w:szCs w:val="28"/>
                <w:rtl/>
              </w:rPr>
              <w:t>المقارنة المحدّث في نهاية 2015:</w:t>
            </w:r>
            <w:r w:rsidR="0044787A">
              <w:rPr>
                <w:rFonts w:ascii="Arabic Typesetting" w:hAnsi="Arabic Typesetting" w:cs="Arabic Typesetting" w:hint="cs"/>
                <w:iCs/>
                <w:color w:val="002060"/>
                <w:sz w:val="28"/>
                <w:szCs w:val="28"/>
                <w:rtl/>
              </w:rPr>
              <w:br/>
            </w:r>
            <w:r w:rsidRPr="000D515F">
              <w:rPr>
                <w:rFonts w:ascii="Arabic Typesetting" w:hAnsi="Arabic Typesetting" w:cs="Arabic Typesetting"/>
                <w:color w:val="002060"/>
                <w:sz w:val="28"/>
                <w:szCs w:val="28"/>
                <w:rtl/>
              </w:rPr>
              <w:t>34 (مكتب سنغافورة) (2015) (-3%)</w:t>
            </w:r>
            <w:r w:rsidRPr="000D515F">
              <w:rPr>
                <w:rFonts w:ascii="Arabic Typesetting" w:hAnsi="Arabic Typesetting" w:cs="Arabic Typesetting"/>
                <w:color w:val="002060"/>
                <w:sz w:val="28"/>
                <w:szCs w:val="28"/>
                <w:rtl/>
              </w:rPr>
              <w:br/>
              <w:t>128 (مكتب اليابان) (2015)</w:t>
            </w:r>
          </w:p>
          <w:p w14:paraId="17147928" w14:textId="2DE7EED1" w:rsidR="00574A27" w:rsidRPr="000D515F" w:rsidRDefault="000D515F" w:rsidP="0044787A">
            <w:pPr>
              <w:suppressLineNumbers/>
              <w:suppressAutoHyphens/>
              <w:bidi/>
              <w:spacing w:after="120" w:line="280" w:lineRule="exact"/>
              <w:rPr>
                <w:rFonts w:ascii="Arabic Typesetting" w:hAnsi="Arabic Typesetting" w:cs="Arabic Typesetting"/>
                <w:color w:val="000000"/>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574A27" w:rsidRPr="000D515F">
              <w:rPr>
                <w:rFonts w:ascii="Arabic Typesetting" w:hAnsi="Arabic Typesetting" w:cs="Arabic Typesetting"/>
                <w:iCs/>
                <w:sz w:val="28"/>
                <w:szCs w:val="28"/>
                <w:rtl/>
              </w:rPr>
              <w:t>201</w:t>
            </w:r>
            <w:r w:rsidR="0044787A">
              <w:rPr>
                <w:rFonts w:ascii="Arabic Typesetting" w:hAnsi="Arabic Typesetting" w:cs="Arabic Typesetting"/>
                <w:iCs/>
                <w:sz w:val="28"/>
                <w:szCs w:val="28"/>
                <w:rtl/>
              </w:rPr>
              <w:t>6/17:</w:t>
            </w:r>
            <w:r w:rsidR="0044787A">
              <w:rPr>
                <w:rFonts w:ascii="Arabic Typesetting" w:hAnsi="Arabic Typesetting" w:cs="Arabic Typesetting" w:hint="cs"/>
                <w:iCs/>
                <w:sz w:val="28"/>
                <w:szCs w:val="28"/>
                <w:rtl/>
              </w:rPr>
              <w:br/>
            </w:r>
            <w:r w:rsidR="00574A27" w:rsidRPr="000D515F">
              <w:rPr>
                <w:rFonts w:ascii="Arabic Typesetting" w:hAnsi="Arabic Typesetting" w:cs="Arabic Typesetting"/>
                <w:color w:val="000000"/>
                <w:sz w:val="28"/>
                <w:szCs w:val="28"/>
                <w:rtl/>
              </w:rPr>
              <w:t>50 (مكتب سنغافورة) (2014)</w:t>
            </w:r>
            <w:r w:rsidR="00574A27" w:rsidRPr="000D515F">
              <w:rPr>
                <w:rFonts w:ascii="Arabic Typesetting" w:hAnsi="Arabic Typesetting" w:cs="Arabic Typesetting"/>
                <w:color w:val="000000"/>
                <w:sz w:val="28"/>
                <w:szCs w:val="28"/>
                <w:rtl/>
              </w:rPr>
              <w:br/>
              <w:t>0 (مكتب اليابان) (2014)</w:t>
            </w:r>
          </w:p>
        </w:tc>
        <w:tc>
          <w:tcPr>
            <w:tcW w:w="750" w:type="pct"/>
            <w:gridSpan w:val="3"/>
            <w:shd w:val="clear" w:color="auto" w:fill="auto"/>
            <w:tcMar>
              <w:top w:w="110" w:type="dxa"/>
              <w:left w:w="58" w:type="dxa"/>
              <w:right w:w="58" w:type="dxa"/>
            </w:tcMar>
          </w:tcPr>
          <w:p w14:paraId="0778C1E9" w14:textId="77777777"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نمو سنوي بنسبة 2%</w:t>
            </w:r>
          </w:p>
        </w:tc>
        <w:tc>
          <w:tcPr>
            <w:tcW w:w="1287" w:type="pct"/>
            <w:gridSpan w:val="4"/>
            <w:shd w:val="clear" w:color="auto" w:fill="FFFFFF"/>
            <w:tcMar>
              <w:top w:w="110" w:type="dxa"/>
              <w:left w:w="58" w:type="dxa"/>
              <w:right w:w="58" w:type="dxa"/>
            </w:tcMar>
          </w:tcPr>
          <w:p w14:paraId="3EB3BAF9"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348 (مكتب اليابان) (+172%)</w:t>
            </w:r>
          </w:p>
          <w:p w14:paraId="1018A632"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sz w:val="28"/>
                <w:szCs w:val="28"/>
                <w:rtl/>
              </w:rPr>
              <w:t>50 (مكتب سنغافورة) (+4.7%)</w:t>
            </w:r>
          </w:p>
        </w:tc>
        <w:tc>
          <w:tcPr>
            <w:tcW w:w="439" w:type="pct"/>
            <w:gridSpan w:val="2"/>
            <w:shd w:val="clear" w:color="auto" w:fill="auto"/>
            <w:tcMar>
              <w:top w:w="110" w:type="dxa"/>
              <w:left w:w="58" w:type="dxa"/>
              <w:right w:w="58" w:type="dxa"/>
            </w:tcMar>
          </w:tcPr>
          <w:p w14:paraId="1CAC876F"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21D47ACD"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B050"/>
                <w:sz w:val="28"/>
                <w:szCs w:val="28"/>
              </w:rPr>
            </w:pPr>
          </w:p>
          <w:p w14:paraId="6F77DD44"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0000"/>
                <w:sz w:val="28"/>
                <w:szCs w:val="28"/>
              </w:rPr>
            </w:pPr>
          </w:p>
        </w:tc>
      </w:tr>
      <w:tr w:rsidR="00574A27" w:rsidRPr="000D515F" w14:paraId="5C8D1C5C" w14:textId="77777777" w:rsidTr="000D515F">
        <w:trPr>
          <w:gridAfter w:val="1"/>
          <w:wAfter w:w="133" w:type="pct"/>
          <w:cantSplit/>
          <w:trHeight w:val="1330"/>
        </w:trPr>
        <w:tc>
          <w:tcPr>
            <w:tcW w:w="921" w:type="pct"/>
            <w:shd w:val="clear" w:color="auto" w:fill="auto"/>
            <w:tcMar>
              <w:left w:w="58" w:type="dxa"/>
              <w:right w:w="58" w:type="dxa"/>
            </w:tcMar>
          </w:tcPr>
          <w:p w14:paraId="485AFDF7"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لاهاي</w:t>
            </w:r>
          </w:p>
        </w:tc>
        <w:tc>
          <w:tcPr>
            <w:tcW w:w="1470" w:type="pct"/>
            <w:gridSpan w:val="4"/>
            <w:shd w:val="clear" w:color="auto" w:fill="auto"/>
            <w:tcMar>
              <w:left w:w="58" w:type="dxa"/>
              <w:right w:w="58" w:type="dxa"/>
            </w:tcMar>
          </w:tcPr>
          <w:p w14:paraId="2102CF54" w14:textId="2AC16CE4" w:rsidR="00574A27" w:rsidRPr="000D515F" w:rsidRDefault="00574A27" w:rsidP="0044787A">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Cs/>
                <w:color w:val="002060"/>
                <w:sz w:val="28"/>
                <w:szCs w:val="28"/>
                <w:rtl/>
              </w:rPr>
              <w:t xml:space="preserve">أساس </w:t>
            </w:r>
            <w:r w:rsidR="0044787A">
              <w:rPr>
                <w:rFonts w:ascii="Arabic Typesetting" w:hAnsi="Arabic Typesetting" w:cs="Arabic Typesetting"/>
                <w:iCs/>
                <w:color w:val="002060"/>
                <w:sz w:val="28"/>
                <w:szCs w:val="28"/>
                <w:rtl/>
              </w:rPr>
              <w:t>المقارنة المحدّث في نهاية 2015:</w:t>
            </w:r>
            <w:r w:rsidR="0044787A">
              <w:rPr>
                <w:rFonts w:ascii="Arabic Typesetting" w:hAnsi="Arabic Typesetting" w:cs="Arabic Typesetting" w:hint="cs"/>
                <w:iCs/>
                <w:color w:val="002060"/>
                <w:sz w:val="28"/>
                <w:szCs w:val="28"/>
                <w:rtl/>
              </w:rPr>
              <w:br/>
            </w:r>
            <w:r w:rsidRPr="000D515F">
              <w:rPr>
                <w:rFonts w:ascii="Arabic Typesetting" w:hAnsi="Arabic Typesetting" w:cs="Arabic Typesetting"/>
                <w:color w:val="002060"/>
                <w:sz w:val="28"/>
                <w:szCs w:val="28"/>
                <w:rtl/>
              </w:rPr>
              <w:t>75% (مكتب البرازيل)</w:t>
            </w:r>
          </w:p>
          <w:p w14:paraId="03D881DE"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94% (مكتب اليابان)</w:t>
            </w:r>
          </w:p>
          <w:p w14:paraId="23FAC58B"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88% (مكتب سنغافورة)</w:t>
            </w:r>
          </w:p>
          <w:p w14:paraId="7BF33B0C" w14:textId="1CCD367B" w:rsidR="00574A27" w:rsidRPr="000D515F" w:rsidRDefault="000D515F" w:rsidP="0044787A">
            <w:pPr>
              <w:suppressLineNumbers/>
              <w:suppressAutoHyphens/>
              <w:bidi/>
              <w:spacing w:after="120" w:line="280" w:lineRule="exact"/>
              <w:rPr>
                <w:rFonts w:ascii="Arabic Typesetting" w:hAnsi="Arabic Typesetting" w:cs="Arabic Typesetting"/>
                <w:color w:val="000000"/>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44787A">
              <w:rPr>
                <w:rFonts w:ascii="Arabic Typesetting" w:hAnsi="Arabic Typesetting" w:cs="Arabic Typesetting"/>
                <w:iCs/>
                <w:sz w:val="28"/>
                <w:szCs w:val="28"/>
                <w:rtl/>
              </w:rPr>
              <w:t>2016/17:</w:t>
            </w:r>
            <w:r w:rsidR="0044787A">
              <w:rPr>
                <w:rFonts w:ascii="Arabic Typesetting" w:hAnsi="Arabic Typesetting" w:cs="Arabic Typesetting" w:hint="cs"/>
                <w:iCs/>
                <w:sz w:val="28"/>
                <w:szCs w:val="28"/>
                <w:rtl/>
              </w:rPr>
              <w:br/>
            </w:r>
            <w:r w:rsidR="00574A27" w:rsidRPr="000D515F">
              <w:rPr>
                <w:rFonts w:ascii="Arabic Typesetting" w:hAnsi="Arabic Typesetting" w:cs="Arabic Typesetting"/>
                <w:color w:val="000000"/>
                <w:sz w:val="28"/>
                <w:szCs w:val="28"/>
                <w:rtl/>
              </w:rPr>
              <w:t>85% (مكتب سنغافورة)</w:t>
            </w:r>
          </w:p>
          <w:p w14:paraId="3D2D3112"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75% (مكتب البرازيل)</w:t>
            </w:r>
          </w:p>
          <w:p w14:paraId="09C0672B"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94% (مكتب اليابان)</w:t>
            </w:r>
          </w:p>
        </w:tc>
        <w:tc>
          <w:tcPr>
            <w:tcW w:w="750" w:type="pct"/>
            <w:gridSpan w:val="3"/>
            <w:shd w:val="clear" w:color="auto" w:fill="auto"/>
            <w:tcMar>
              <w:top w:w="110" w:type="dxa"/>
              <w:left w:w="58" w:type="dxa"/>
              <w:right w:w="58" w:type="dxa"/>
            </w:tcMar>
          </w:tcPr>
          <w:p w14:paraId="56D272EA" w14:textId="5EDECFCF" w:rsidR="00574A27" w:rsidRPr="000D515F" w:rsidRDefault="00574A27" w:rsidP="0044787A">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Cs/>
                <w:color w:val="002060"/>
                <w:sz w:val="28"/>
                <w:szCs w:val="28"/>
                <w:rtl/>
              </w:rPr>
              <w:t>الهدف المُحدَّ</w:t>
            </w:r>
            <w:r w:rsidR="0044787A">
              <w:rPr>
                <w:rFonts w:ascii="Arabic Typesetting" w:hAnsi="Arabic Typesetting" w:cs="Arabic Typesetting"/>
                <w:iCs/>
                <w:color w:val="002060"/>
                <w:sz w:val="28"/>
                <w:szCs w:val="28"/>
                <w:rtl/>
              </w:rPr>
              <w:t>ث:</w:t>
            </w:r>
            <w:r w:rsidR="0044787A">
              <w:rPr>
                <w:rFonts w:ascii="Arabic Typesetting" w:hAnsi="Arabic Typesetting" w:cs="Arabic Typesetting" w:hint="cs"/>
                <w:iCs/>
                <w:color w:val="002060"/>
                <w:sz w:val="28"/>
                <w:szCs w:val="28"/>
                <w:rtl/>
              </w:rPr>
              <w:br/>
            </w:r>
            <w:r w:rsidRPr="000D515F">
              <w:rPr>
                <w:rFonts w:ascii="Arabic Typesetting" w:hAnsi="Arabic Typesetting" w:cs="Arabic Typesetting"/>
                <w:color w:val="002060"/>
                <w:sz w:val="28"/>
                <w:szCs w:val="28"/>
                <w:rtl/>
              </w:rPr>
              <w:t>85%</w:t>
            </w:r>
          </w:p>
          <w:p w14:paraId="10800698" w14:textId="15B92083" w:rsidR="00574A27" w:rsidRPr="000D515F" w:rsidRDefault="00574A27" w:rsidP="000C4432">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iCs/>
                <w:sz w:val="28"/>
                <w:szCs w:val="28"/>
                <w:rtl/>
              </w:rPr>
              <w:t>الهدف الأ</w:t>
            </w:r>
            <w:r w:rsidR="0044787A">
              <w:rPr>
                <w:rFonts w:ascii="Arabic Typesetting" w:hAnsi="Arabic Typesetting" w:cs="Arabic Typesetting"/>
                <w:iCs/>
                <w:sz w:val="28"/>
                <w:szCs w:val="28"/>
                <w:rtl/>
              </w:rPr>
              <w:t>صلي</w:t>
            </w:r>
            <w:r w:rsidR="000C4432">
              <w:rPr>
                <w:rFonts w:ascii="Arabic Typesetting" w:hAnsi="Arabic Typesetting" w:cs="Arabic Typesetting" w:hint="cs"/>
                <w:iCs/>
                <w:sz w:val="28"/>
                <w:szCs w:val="28"/>
                <w:rtl/>
              </w:rPr>
              <w:t>:</w:t>
            </w:r>
            <w:r w:rsidR="000C4432">
              <w:rPr>
                <w:rFonts w:ascii="Arabic Typesetting" w:hAnsi="Arabic Typesetting" w:cs="Arabic Typesetting" w:hint="cs"/>
                <w:iCs/>
                <w:sz w:val="28"/>
                <w:szCs w:val="28"/>
                <w:rtl/>
              </w:rPr>
              <w:br/>
            </w:r>
            <w:r w:rsidR="0044787A">
              <w:rPr>
                <w:rFonts w:ascii="Arabic Typesetting" w:hAnsi="Arabic Typesetting" w:cs="Arabic Typesetting"/>
                <w:iCs/>
                <w:sz w:val="28"/>
                <w:szCs w:val="28"/>
                <w:rtl/>
              </w:rPr>
              <w:t>برنامج وميزانية 2016/17:</w:t>
            </w:r>
            <w:r w:rsidR="0044787A">
              <w:rPr>
                <w:rFonts w:ascii="Arabic Typesetting" w:hAnsi="Arabic Typesetting" w:cs="Arabic Typesetting" w:hint="cs"/>
                <w:iCs/>
                <w:sz w:val="28"/>
                <w:szCs w:val="28"/>
                <w:rtl/>
              </w:rPr>
              <w:br/>
            </w:r>
            <w:r w:rsidRPr="000D515F">
              <w:rPr>
                <w:rFonts w:ascii="Arabic Typesetting" w:hAnsi="Arabic Typesetting" w:cs="Arabic Typesetting"/>
                <w:sz w:val="28"/>
                <w:szCs w:val="28"/>
                <w:rtl/>
              </w:rPr>
              <w:t>75%</w:t>
            </w:r>
          </w:p>
        </w:tc>
        <w:tc>
          <w:tcPr>
            <w:tcW w:w="1287" w:type="pct"/>
            <w:gridSpan w:val="4"/>
            <w:shd w:val="clear" w:color="auto" w:fill="FFFFFF"/>
            <w:tcMar>
              <w:top w:w="110" w:type="dxa"/>
              <w:left w:w="58" w:type="dxa"/>
              <w:right w:w="58" w:type="dxa"/>
            </w:tcMar>
          </w:tcPr>
          <w:p w14:paraId="1A89AF24" w14:textId="3644382A" w:rsidR="00574A27" w:rsidRPr="000D515F" w:rsidRDefault="00574A27" w:rsidP="0044787A">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لا توجد بيانات متاحة (مكتب</w:t>
            </w:r>
            <w:r w:rsidR="0044787A">
              <w:rPr>
                <w:rFonts w:ascii="Arabic Typesetting" w:hAnsi="Arabic Typesetting" w:cs="Arabic Typesetting" w:hint="cs"/>
                <w:sz w:val="28"/>
                <w:szCs w:val="28"/>
                <w:rtl/>
              </w:rPr>
              <w:t> </w:t>
            </w:r>
            <w:r w:rsidRPr="000D515F">
              <w:rPr>
                <w:rFonts w:ascii="Arabic Typesetting" w:hAnsi="Arabic Typesetting" w:cs="Arabic Typesetting"/>
                <w:sz w:val="28"/>
                <w:szCs w:val="28"/>
                <w:rtl/>
              </w:rPr>
              <w:t>البرازيل)</w:t>
            </w:r>
          </w:p>
          <w:p w14:paraId="2F10BB37" w14:textId="77777777"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62% (مكتب اليابان)</w:t>
            </w:r>
          </w:p>
          <w:p w14:paraId="340653C0" w14:textId="722B71EE" w:rsidR="00574A27" w:rsidRPr="0044787A" w:rsidRDefault="00574A27" w:rsidP="0044787A">
            <w:pPr>
              <w:suppressLineNumbers/>
              <w:suppressAutoHyphens/>
              <w:bidi/>
              <w:spacing w:after="120" w:line="280" w:lineRule="exact"/>
              <w:rPr>
                <w:rFonts w:ascii="Arabic Typesetting" w:hAnsi="Arabic Typesetting" w:cs="Arabic Typesetting"/>
                <w:sz w:val="28"/>
                <w:szCs w:val="28"/>
              </w:rPr>
            </w:pPr>
            <w:r w:rsidRPr="000D515F">
              <w:rPr>
                <w:rFonts w:ascii="Arabic Typesetting" w:hAnsi="Arabic Typesetting" w:cs="Arabic Typesetting"/>
                <w:sz w:val="28"/>
                <w:szCs w:val="28"/>
                <w:rtl/>
              </w:rPr>
              <w:t>86% (مكتب سنغافورة)</w:t>
            </w:r>
          </w:p>
        </w:tc>
        <w:tc>
          <w:tcPr>
            <w:tcW w:w="439" w:type="pct"/>
            <w:gridSpan w:val="2"/>
            <w:shd w:val="clear" w:color="auto" w:fill="auto"/>
            <w:tcMar>
              <w:top w:w="110" w:type="dxa"/>
              <w:left w:w="58" w:type="dxa"/>
              <w:right w:w="58" w:type="dxa"/>
            </w:tcMar>
          </w:tcPr>
          <w:p w14:paraId="71C7AEE9"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808080"/>
                <w:sz w:val="28"/>
                <w:szCs w:val="28"/>
                <w:rtl/>
              </w:rPr>
            </w:pPr>
            <w:r w:rsidRPr="000D515F">
              <w:rPr>
                <w:rFonts w:ascii="Arabic Typesetting" w:hAnsi="Arabic Typesetting" w:cs="Arabic Typesetting"/>
                <w:bCs/>
                <w:color w:val="808080"/>
                <w:sz w:val="28"/>
                <w:szCs w:val="28"/>
                <w:rtl/>
              </w:rPr>
              <w:t>غير قابل للقياس</w:t>
            </w:r>
          </w:p>
          <w:p w14:paraId="148E0966"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FF0000"/>
                <w:sz w:val="28"/>
                <w:szCs w:val="28"/>
                <w:rtl/>
              </w:rPr>
            </w:pPr>
            <w:r w:rsidRPr="000D515F">
              <w:rPr>
                <w:rFonts w:ascii="Arabic Typesetting" w:hAnsi="Arabic Typesetting" w:cs="Arabic Typesetting"/>
                <w:bCs/>
                <w:color w:val="FF0000"/>
                <w:sz w:val="28"/>
                <w:szCs w:val="28"/>
                <w:rtl/>
              </w:rPr>
              <w:t>غير ثابت</w:t>
            </w:r>
          </w:p>
          <w:p w14:paraId="7D2A585E" w14:textId="07BEAD07" w:rsidR="00574A27" w:rsidRPr="0044787A" w:rsidRDefault="00574A27" w:rsidP="0044787A">
            <w:pPr>
              <w:suppressLineNumbers/>
              <w:suppressAutoHyphens/>
              <w:bidi/>
              <w:spacing w:after="120" w:line="280" w:lineRule="exact"/>
              <w:jc w:val="center"/>
              <w:rPr>
                <w:rFonts w:ascii="Arabic Typesetting" w:hAnsi="Arabic Typesetting" w:cs="Arabic Typesetting"/>
                <w:bCs/>
                <w:color w:val="00B050"/>
                <w:sz w:val="28"/>
                <w:szCs w:val="28"/>
              </w:rPr>
            </w:pPr>
            <w:r w:rsidRPr="000D515F">
              <w:rPr>
                <w:rFonts w:ascii="Arabic Typesetting" w:hAnsi="Arabic Typesetting" w:cs="Arabic Typesetting"/>
                <w:bCs/>
                <w:color w:val="00B050"/>
                <w:sz w:val="28"/>
                <w:szCs w:val="28"/>
                <w:rtl/>
              </w:rPr>
              <w:t>ثابت</w:t>
            </w:r>
          </w:p>
        </w:tc>
      </w:tr>
      <w:tr w:rsidR="00574A27" w:rsidRPr="000D515F" w14:paraId="28C29D18" w14:textId="77777777" w:rsidTr="000D515F">
        <w:trPr>
          <w:gridAfter w:val="1"/>
          <w:wAfter w:w="133" w:type="pct"/>
          <w:cantSplit/>
          <w:trHeight w:val="565"/>
        </w:trPr>
        <w:tc>
          <w:tcPr>
            <w:tcW w:w="4867" w:type="pct"/>
            <w:gridSpan w:val="14"/>
            <w:shd w:val="clear" w:color="auto" w:fill="C6D9F1" w:themeFill="text2" w:themeFillTint="33"/>
            <w:tcMar>
              <w:left w:w="58" w:type="dxa"/>
              <w:right w:w="58" w:type="dxa"/>
            </w:tcMar>
            <w:vAlign w:val="center"/>
          </w:tcPr>
          <w:p w14:paraId="2C85EC2F" w14:textId="77777777" w:rsidR="00574A27" w:rsidRPr="000D515F" w:rsidRDefault="00574A27" w:rsidP="0044787A">
            <w:pPr>
              <w:keepNext/>
              <w:bidi/>
              <w:spacing w:before="120" w:after="120" w:line="280" w:lineRule="exact"/>
              <w:ind w:left="1167" w:hanging="1167"/>
              <w:rPr>
                <w:rFonts w:ascii="Arabic Typesetting" w:hAnsi="Arabic Typesetting" w:cs="Arabic Typesetting"/>
                <w:b/>
                <w:bCs/>
                <w:sz w:val="28"/>
                <w:szCs w:val="28"/>
                <w:rtl/>
              </w:rPr>
            </w:pPr>
            <w:r w:rsidRPr="000D515F">
              <w:rPr>
                <w:rFonts w:ascii="Arabic Typesetting" w:hAnsi="Arabic Typesetting" w:cs="Arabic Typesetting"/>
                <w:b/>
                <w:bCs/>
                <w:sz w:val="28"/>
                <w:szCs w:val="28"/>
                <w:rtl/>
              </w:rPr>
              <w:t>النتيجة المرتقبة:</w:t>
            </w:r>
            <w:r w:rsidRPr="000D515F">
              <w:rPr>
                <w:rFonts w:ascii="Arabic Typesetting" w:hAnsi="Arabic Typesetting" w:cs="Arabic Typesetting"/>
                <w:b/>
                <w:bCs/>
                <w:sz w:val="28"/>
                <w:szCs w:val="28"/>
                <w:rtl/>
              </w:rPr>
              <w:tab/>
            </w:r>
            <w:r w:rsidRPr="000D515F">
              <w:rPr>
                <w:rFonts w:ascii="Arabic Typesetting" w:hAnsi="Arabic Typesetting" w:cs="Arabic Typesetting"/>
                <w:sz w:val="28"/>
                <w:szCs w:val="28"/>
                <w:rtl/>
              </w:rPr>
              <w:t xml:space="preserve">ه 6.2 </w:t>
            </w:r>
            <w:r w:rsidRPr="000D515F">
              <w:rPr>
                <w:rFonts w:ascii="Arabic Typesetting" w:hAnsi="Arabic Typesetting" w:cs="Arabic Typesetting"/>
                <w:sz w:val="28"/>
                <w:szCs w:val="28"/>
                <w:rtl/>
                <w:lang w:bidi="ar-EG"/>
              </w:rPr>
              <w:t>استخدام</w:t>
            </w:r>
            <w:r w:rsidRPr="000D515F">
              <w:rPr>
                <w:rFonts w:ascii="Arabic Typesetting" w:hAnsi="Arabic Typesetting" w:cs="Arabic Typesetting"/>
                <w:sz w:val="28"/>
                <w:szCs w:val="28"/>
                <w:rtl/>
              </w:rPr>
              <w:t xml:space="preserve"> نظام مدريد على نطاق أوسع وبفعالية أكبر، بما في ذلك من قبل البلدان النامية والبلدان الأقل نمواً</w:t>
            </w:r>
          </w:p>
        </w:tc>
      </w:tr>
      <w:tr w:rsidR="00574A27" w:rsidRPr="000D515F" w14:paraId="56029738" w14:textId="77777777" w:rsidTr="000D515F">
        <w:trPr>
          <w:gridAfter w:val="1"/>
          <w:wAfter w:w="133" w:type="pct"/>
          <w:cantSplit/>
        </w:trPr>
        <w:tc>
          <w:tcPr>
            <w:tcW w:w="921" w:type="pct"/>
            <w:shd w:val="clear" w:color="auto" w:fill="auto"/>
            <w:tcMar>
              <w:left w:w="58" w:type="dxa"/>
              <w:right w:w="58" w:type="dxa"/>
            </w:tcMar>
            <w:vAlign w:val="center"/>
          </w:tcPr>
          <w:p w14:paraId="4D116946" w14:textId="77777777" w:rsidR="00574A27" w:rsidRPr="000D515F" w:rsidRDefault="00574A27" w:rsidP="0044787A">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مؤشرات الأداء</w:t>
            </w:r>
          </w:p>
        </w:tc>
        <w:tc>
          <w:tcPr>
            <w:tcW w:w="1470" w:type="pct"/>
            <w:gridSpan w:val="4"/>
            <w:shd w:val="clear" w:color="auto" w:fill="auto"/>
            <w:tcMar>
              <w:left w:w="58" w:type="dxa"/>
              <w:right w:w="58" w:type="dxa"/>
            </w:tcMar>
            <w:vAlign w:val="center"/>
          </w:tcPr>
          <w:p w14:paraId="30008E2E" w14:textId="77777777" w:rsidR="00574A27" w:rsidRPr="000D515F" w:rsidRDefault="00574A27" w:rsidP="0044787A">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أسس المقارنة</w:t>
            </w:r>
          </w:p>
        </w:tc>
        <w:tc>
          <w:tcPr>
            <w:tcW w:w="750" w:type="pct"/>
            <w:gridSpan w:val="3"/>
            <w:shd w:val="clear" w:color="auto" w:fill="auto"/>
            <w:tcMar>
              <w:top w:w="110" w:type="dxa"/>
              <w:left w:w="58" w:type="dxa"/>
              <w:right w:w="58" w:type="dxa"/>
            </w:tcMar>
            <w:vAlign w:val="center"/>
          </w:tcPr>
          <w:p w14:paraId="205B35D5" w14:textId="77777777" w:rsidR="00574A27" w:rsidRPr="000D515F" w:rsidRDefault="00574A27" w:rsidP="0044787A">
            <w:pPr>
              <w:keepNext/>
              <w:tabs>
                <w:tab w:val="left" w:pos="290"/>
              </w:tabs>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الأهداف</w:t>
            </w:r>
          </w:p>
        </w:tc>
        <w:tc>
          <w:tcPr>
            <w:tcW w:w="1287" w:type="pct"/>
            <w:gridSpan w:val="4"/>
            <w:shd w:val="clear" w:color="auto" w:fill="FFFFFF"/>
            <w:tcMar>
              <w:top w:w="110" w:type="dxa"/>
              <w:left w:w="58" w:type="dxa"/>
              <w:right w:w="58" w:type="dxa"/>
            </w:tcMar>
            <w:vAlign w:val="center"/>
          </w:tcPr>
          <w:p w14:paraId="662CEBEB" w14:textId="77777777" w:rsidR="00574A27" w:rsidRPr="000D515F" w:rsidRDefault="00574A27" w:rsidP="0044787A">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بيانات الأداء</w:t>
            </w:r>
          </w:p>
        </w:tc>
        <w:tc>
          <w:tcPr>
            <w:tcW w:w="439" w:type="pct"/>
            <w:gridSpan w:val="2"/>
            <w:shd w:val="clear" w:color="auto" w:fill="auto"/>
            <w:tcMar>
              <w:top w:w="110" w:type="dxa"/>
              <w:left w:w="58" w:type="dxa"/>
              <w:right w:w="58" w:type="dxa"/>
            </w:tcMar>
            <w:vAlign w:val="center"/>
          </w:tcPr>
          <w:p w14:paraId="64637168" w14:textId="77777777" w:rsidR="00574A27" w:rsidRPr="000D515F" w:rsidRDefault="00574A27" w:rsidP="0044787A">
            <w:pPr>
              <w:keepNext/>
              <w:bidi/>
              <w:spacing w:before="120"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السير</w:t>
            </w:r>
          </w:p>
        </w:tc>
      </w:tr>
      <w:tr w:rsidR="00574A27" w:rsidRPr="000D515F" w14:paraId="3D1E16D5" w14:textId="77777777" w:rsidTr="000D515F">
        <w:trPr>
          <w:gridAfter w:val="1"/>
          <w:wAfter w:w="133" w:type="pct"/>
          <w:cantSplit/>
          <w:trHeight w:val="1548"/>
        </w:trPr>
        <w:tc>
          <w:tcPr>
            <w:tcW w:w="921" w:type="pct"/>
            <w:shd w:val="clear" w:color="auto" w:fill="auto"/>
            <w:tcMar>
              <w:left w:w="58" w:type="dxa"/>
              <w:right w:w="58" w:type="dxa"/>
            </w:tcMar>
          </w:tcPr>
          <w:p w14:paraId="350F9FE6" w14:textId="390098DF" w:rsidR="00574A27" w:rsidRPr="000D515F" w:rsidRDefault="00574A27" w:rsidP="0044787A">
            <w:pPr>
              <w:suppressLineNumbers/>
              <w:suppressAutoHyphens/>
              <w:bidi/>
              <w:spacing w:after="120" w:line="280" w:lineRule="exact"/>
              <w:rPr>
                <w:rFonts w:ascii="Arabic Typesetting" w:hAnsi="Arabic Typesetting" w:cs="Arabic Typesetting"/>
                <w:color w:val="000000"/>
                <w:sz w:val="28"/>
                <w:szCs w:val="28"/>
              </w:rPr>
            </w:pPr>
            <w:r w:rsidRPr="000D515F">
              <w:rPr>
                <w:rFonts w:ascii="Arabic Typesetting" w:hAnsi="Arabic Typesetting" w:cs="Arabic Typesetting"/>
                <w:color w:val="000000"/>
                <w:sz w:val="28"/>
                <w:szCs w:val="28"/>
                <w:rtl/>
              </w:rPr>
              <w:t>إجمالي أعضاء نظام مدريد</w:t>
            </w:r>
          </w:p>
        </w:tc>
        <w:tc>
          <w:tcPr>
            <w:tcW w:w="1470" w:type="pct"/>
            <w:gridSpan w:val="4"/>
            <w:shd w:val="clear" w:color="auto" w:fill="auto"/>
            <w:tcMar>
              <w:left w:w="58" w:type="dxa"/>
              <w:right w:w="58" w:type="dxa"/>
            </w:tcMar>
          </w:tcPr>
          <w:p w14:paraId="4A0EDFFD" w14:textId="658A6CF9" w:rsidR="00574A27" w:rsidRPr="000D515F" w:rsidRDefault="00574A27" w:rsidP="0044787A">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
                <w:color w:val="002060"/>
                <w:sz w:val="28"/>
                <w:szCs w:val="28"/>
                <w:rtl/>
              </w:rPr>
              <w:t xml:space="preserve"> </w:t>
            </w:r>
            <w:r w:rsidRPr="000D515F">
              <w:rPr>
                <w:rFonts w:ascii="Arabic Typesetting" w:hAnsi="Arabic Typesetting" w:cs="Arabic Typesetting"/>
                <w:iCs/>
                <w:color w:val="002060"/>
                <w:sz w:val="28"/>
                <w:szCs w:val="28"/>
                <w:rtl/>
              </w:rPr>
              <w:t>أساس المقارنة المحدّث في نهاية 2015</w:t>
            </w:r>
            <w:r w:rsidR="0044787A">
              <w:rPr>
                <w:rFonts w:ascii="Arabic Typesetting" w:hAnsi="Arabic Typesetting" w:cs="Arabic Typesetting"/>
                <w:i/>
                <w:color w:val="002060"/>
                <w:sz w:val="28"/>
                <w:szCs w:val="28"/>
                <w:rtl/>
              </w:rPr>
              <w:t>:</w:t>
            </w:r>
            <w:r w:rsidR="0044787A">
              <w:rPr>
                <w:rFonts w:ascii="Arabic Typesetting" w:hAnsi="Arabic Typesetting" w:cs="Arabic Typesetting" w:hint="cs"/>
                <w:i/>
                <w:color w:val="002060"/>
                <w:sz w:val="28"/>
                <w:szCs w:val="28"/>
                <w:rtl/>
              </w:rPr>
              <w:br/>
            </w:r>
            <w:r w:rsidRPr="000D515F">
              <w:rPr>
                <w:rFonts w:ascii="Arabic Typesetting" w:hAnsi="Arabic Typesetting" w:cs="Arabic Typesetting"/>
                <w:color w:val="002060"/>
                <w:sz w:val="28"/>
                <w:szCs w:val="28"/>
                <w:rtl/>
              </w:rPr>
              <w:t>كمبوديا، جمهورية لاو الديمقراطية الشعبية</w:t>
            </w:r>
            <w:r w:rsidRPr="000D515F">
              <w:rPr>
                <w:rStyle w:val="FootnoteReference"/>
                <w:color w:val="002060"/>
              </w:rPr>
              <w:footnoteReference w:id="81"/>
            </w:r>
            <w:r w:rsidRPr="000D515F">
              <w:rPr>
                <w:rFonts w:ascii="Arabic Typesetting" w:hAnsi="Arabic Typesetting" w:cs="Arabic Typesetting"/>
                <w:color w:val="002060"/>
                <w:sz w:val="28"/>
                <w:szCs w:val="28"/>
                <w:rtl/>
              </w:rPr>
              <w:t>، الفلبين، سنغافورة، فييت نام (مكتب</w:t>
            </w:r>
            <w:r w:rsidR="0044787A">
              <w:rPr>
                <w:rFonts w:ascii="Arabic Typesetting" w:hAnsi="Arabic Typesetting" w:cs="Arabic Typesetting" w:hint="cs"/>
                <w:color w:val="002060"/>
                <w:sz w:val="28"/>
                <w:szCs w:val="28"/>
                <w:rtl/>
              </w:rPr>
              <w:t> </w:t>
            </w:r>
            <w:r w:rsidRPr="000D515F">
              <w:rPr>
                <w:rFonts w:ascii="Arabic Typesetting" w:hAnsi="Arabic Typesetting" w:cs="Arabic Typesetting"/>
                <w:color w:val="002060"/>
                <w:sz w:val="28"/>
                <w:szCs w:val="28"/>
                <w:rtl/>
              </w:rPr>
              <w:t>سنغافورة)</w:t>
            </w:r>
            <w:r w:rsidR="0044787A">
              <w:rPr>
                <w:rFonts w:ascii="Arabic Typesetting" w:hAnsi="Arabic Typesetting" w:cs="Arabic Typesetting" w:hint="cs"/>
                <w:color w:val="002060"/>
                <w:sz w:val="28"/>
                <w:szCs w:val="28"/>
                <w:rtl/>
              </w:rPr>
              <w:br/>
            </w:r>
            <w:r w:rsidRPr="000D515F">
              <w:rPr>
                <w:rFonts w:ascii="Arabic Typesetting" w:hAnsi="Arabic Typesetting" w:cs="Arabic Typesetting"/>
                <w:color w:val="002060"/>
                <w:sz w:val="28"/>
                <w:szCs w:val="28"/>
                <w:rtl/>
              </w:rPr>
              <w:t>(5 تراكمياً)</w:t>
            </w:r>
          </w:p>
          <w:p w14:paraId="09D64327" w14:textId="046D2315" w:rsidR="00574A27" w:rsidRPr="000D515F" w:rsidRDefault="000D515F" w:rsidP="0044787A">
            <w:pPr>
              <w:suppressLineNumbers/>
              <w:suppressAutoHyphens/>
              <w:bidi/>
              <w:spacing w:after="120" w:line="280" w:lineRule="exact"/>
              <w:rPr>
                <w:rFonts w:ascii="Arabic Typesetting" w:hAnsi="Arabic Typesetting" w:cs="Arabic Typesetting"/>
                <w:color w:val="000000"/>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44787A">
              <w:rPr>
                <w:rFonts w:ascii="Arabic Typesetting" w:hAnsi="Arabic Typesetting" w:cs="Arabic Typesetting"/>
                <w:iCs/>
                <w:sz w:val="28"/>
                <w:szCs w:val="28"/>
                <w:rtl/>
              </w:rPr>
              <w:t>2016/17:</w:t>
            </w:r>
            <w:r w:rsidR="0044787A">
              <w:rPr>
                <w:rFonts w:ascii="Arabic Typesetting" w:hAnsi="Arabic Typesetting" w:cs="Arabic Typesetting" w:hint="cs"/>
                <w:iCs/>
                <w:sz w:val="28"/>
                <w:szCs w:val="28"/>
                <w:rtl/>
              </w:rPr>
              <w:br/>
            </w:r>
            <w:r w:rsidR="00574A27" w:rsidRPr="000D515F">
              <w:rPr>
                <w:rFonts w:ascii="Arabic Typesetting" w:hAnsi="Arabic Typesetting" w:cs="Arabic Typesetting"/>
                <w:color w:val="000000"/>
                <w:sz w:val="28"/>
                <w:szCs w:val="28"/>
                <w:rtl/>
              </w:rPr>
              <w:t>4 (مكتب سنغافورة)</w:t>
            </w:r>
          </w:p>
        </w:tc>
        <w:tc>
          <w:tcPr>
            <w:tcW w:w="750" w:type="pct"/>
            <w:gridSpan w:val="3"/>
            <w:shd w:val="clear" w:color="auto" w:fill="auto"/>
            <w:tcMar>
              <w:top w:w="110" w:type="dxa"/>
              <w:left w:w="58" w:type="dxa"/>
              <w:right w:w="58" w:type="dxa"/>
            </w:tcMar>
          </w:tcPr>
          <w:p w14:paraId="7BDAF6A5" w14:textId="75F471EE" w:rsidR="00574A27" w:rsidRPr="000D515F" w:rsidRDefault="00574A27" w:rsidP="0044787A">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5 إضافيين (مكتب</w:t>
            </w:r>
            <w:r w:rsidR="0044787A">
              <w:rPr>
                <w:rFonts w:ascii="Arabic Typesetting" w:hAnsi="Arabic Typesetting" w:cs="Arabic Typesetting" w:hint="cs"/>
                <w:sz w:val="28"/>
                <w:szCs w:val="28"/>
                <w:rtl/>
              </w:rPr>
              <w:t> </w:t>
            </w:r>
            <w:r w:rsidRPr="000D515F">
              <w:rPr>
                <w:rFonts w:ascii="Arabic Typesetting" w:hAnsi="Arabic Typesetting" w:cs="Arabic Typesetting"/>
                <w:sz w:val="28"/>
                <w:szCs w:val="28"/>
                <w:rtl/>
              </w:rPr>
              <w:t>سنغافورة)</w:t>
            </w:r>
          </w:p>
        </w:tc>
        <w:tc>
          <w:tcPr>
            <w:tcW w:w="1287" w:type="pct"/>
            <w:gridSpan w:val="4"/>
            <w:shd w:val="clear" w:color="auto" w:fill="FFFFFF"/>
            <w:tcMar>
              <w:top w:w="110" w:type="dxa"/>
              <w:left w:w="58" w:type="dxa"/>
              <w:right w:w="58" w:type="dxa"/>
            </w:tcMar>
          </w:tcPr>
          <w:p w14:paraId="1A352316"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لا شيء إضافي (مكتب سنغافورة)</w:t>
            </w:r>
          </w:p>
        </w:tc>
        <w:tc>
          <w:tcPr>
            <w:tcW w:w="439" w:type="pct"/>
            <w:gridSpan w:val="2"/>
            <w:shd w:val="clear" w:color="auto" w:fill="auto"/>
            <w:tcMar>
              <w:top w:w="110" w:type="dxa"/>
              <w:left w:w="58" w:type="dxa"/>
              <w:right w:w="58" w:type="dxa"/>
            </w:tcMar>
          </w:tcPr>
          <w:p w14:paraId="038FC250"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0000"/>
                <w:sz w:val="28"/>
                <w:szCs w:val="28"/>
                <w:rtl/>
              </w:rPr>
            </w:pPr>
            <w:r w:rsidRPr="000D515F">
              <w:rPr>
                <w:rFonts w:ascii="Arabic Typesetting" w:hAnsi="Arabic Typesetting" w:cs="Arabic Typesetting"/>
                <w:bCs/>
                <w:color w:val="FF0000"/>
                <w:sz w:val="28"/>
                <w:szCs w:val="28"/>
                <w:rtl/>
              </w:rPr>
              <w:t>غير ثابت</w:t>
            </w:r>
          </w:p>
        </w:tc>
      </w:tr>
      <w:tr w:rsidR="00574A27" w:rsidRPr="000D515F" w14:paraId="2BA1FC2A" w14:textId="77777777" w:rsidTr="000D515F">
        <w:trPr>
          <w:gridAfter w:val="1"/>
          <w:wAfter w:w="133" w:type="pct"/>
          <w:cantSplit/>
          <w:trHeight w:val="2351"/>
        </w:trPr>
        <w:tc>
          <w:tcPr>
            <w:tcW w:w="921" w:type="pct"/>
            <w:shd w:val="clear" w:color="auto" w:fill="auto"/>
            <w:tcMar>
              <w:left w:w="58" w:type="dxa"/>
              <w:right w:w="58" w:type="dxa"/>
            </w:tcMar>
          </w:tcPr>
          <w:p w14:paraId="465EC3D1"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lastRenderedPageBreak/>
              <w:t>عدد الطلبات بناء على نظام مدريد</w:t>
            </w:r>
          </w:p>
        </w:tc>
        <w:tc>
          <w:tcPr>
            <w:tcW w:w="1470" w:type="pct"/>
            <w:gridSpan w:val="4"/>
            <w:shd w:val="clear" w:color="auto" w:fill="auto"/>
            <w:tcMar>
              <w:left w:w="58" w:type="dxa"/>
              <w:right w:w="58" w:type="dxa"/>
            </w:tcMar>
          </w:tcPr>
          <w:p w14:paraId="60154D50" w14:textId="72D0EBC7" w:rsidR="00574A27" w:rsidRPr="000D515F" w:rsidRDefault="00574A27" w:rsidP="0044787A">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Cs/>
                <w:color w:val="002060"/>
                <w:sz w:val="28"/>
                <w:szCs w:val="28"/>
                <w:rtl/>
              </w:rPr>
              <w:t>أساس المقارنة المحدّث في نهاية 2015:</w:t>
            </w:r>
            <w:r w:rsidR="0044787A">
              <w:rPr>
                <w:rFonts w:ascii="Arabic Typesetting" w:hAnsi="Arabic Typesetting" w:cs="Arabic Typesetting" w:hint="cs"/>
                <w:iCs/>
                <w:color w:val="002060"/>
                <w:sz w:val="28"/>
                <w:szCs w:val="28"/>
                <w:rtl/>
              </w:rPr>
              <w:br/>
            </w:r>
            <w:r w:rsidRPr="000D515F">
              <w:rPr>
                <w:rFonts w:ascii="Arabic Typesetting" w:hAnsi="Arabic Typesetting" w:cs="Arabic Typesetting"/>
                <w:color w:val="002060"/>
                <w:sz w:val="28"/>
                <w:szCs w:val="28"/>
                <w:rtl/>
              </w:rPr>
              <w:t>0 (مكتب البرازيل)</w:t>
            </w:r>
            <w:r w:rsidRPr="000D515F">
              <w:rPr>
                <w:rFonts w:ascii="Arabic Typesetting" w:hAnsi="Arabic Typesetting" w:cs="Arabic Typesetting"/>
                <w:color w:val="002060"/>
                <w:sz w:val="28"/>
                <w:szCs w:val="28"/>
                <w:rtl/>
              </w:rPr>
              <w:br/>
              <w:t>321 2 (مكتب الصين) (+8%)</w:t>
            </w:r>
            <w:r w:rsidR="0044787A">
              <w:rPr>
                <w:rFonts w:ascii="Arabic Typesetting" w:hAnsi="Arabic Typesetting" w:cs="Arabic Typesetting" w:hint="cs"/>
                <w:color w:val="002060"/>
                <w:sz w:val="28"/>
                <w:szCs w:val="28"/>
                <w:rtl/>
              </w:rPr>
              <w:br/>
            </w:r>
            <w:r w:rsidRPr="000D515F">
              <w:rPr>
                <w:rFonts w:ascii="Arabic Typesetting" w:hAnsi="Arabic Typesetting" w:cs="Arabic Typesetting"/>
                <w:color w:val="002060"/>
                <w:sz w:val="28"/>
                <w:szCs w:val="28"/>
                <w:rtl/>
              </w:rPr>
              <w:t>167 2 (مكتب اليابان) (+6.6%)</w:t>
            </w:r>
            <w:r w:rsidRPr="000D515F">
              <w:rPr>
                <w:rFonts w:ascii="Arabic Typesetting" w:hAnsi="Arabic Typesetting" w:cs="Arabic Typesetting"/>
                <w:color w:val="002060"/>
                <w:sz w:val="28"/>
                <w:szCs w:val="28"/>
                <w:rtl/>
              </w:rPr>
              <w:br/>
              <w:t>059 1 (مكتب روسيا) (-31%)</w:t>
            </w:r>
            <w:r w:rsidRPr="000D515F">
              <w:rPr>
                <w:rFonts w:ascii="Arabic Typesetting" w:hAnsi="Arabic Typesetting" w:cs="Arabic Typesetting"/>
                <w:color w:val="002060"/>
                <w:sz w:val="28"/>
                <w:szCs w:val="28"/>
                <w:rtl/>
              </w:rPr>
              <w:br/>
              <w:t>509 (مكتب سنغافورة) (+45%)</w:t>
            </w:r>
          </w:p>
          <w:p w14:paraId="6E6F99F3" w14:textId="6E58EB48" w:rsidR="00574A27" w:rsidRPr="000D515F" w:rsidRDefault="000D515F" w:rsidP="0044787A">
            <w:pPr>
              <w:suppressLineNumbers/>
              <w:suppressAutoHyphens/>
              <w:bidi/>
              <w:spacing w:after="120" w:line="280" w:lineRule="exact"/>
              <w:rPr>
                <w:rFonts w:ascii="Arabic Typesetting" w:hAnsi="Arabic Typesetting" w:cs="Arabic Typesetting"/>
                <w:color w:val="000000"/>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44787A">
              <w:rPr>
                <w:rFonts w:ascii="Arabic Typesetting" w:hAnsi="Arabic Typesetting" w:cs="Arabic Typesetting"/>
                <w:iCs/>
                <w:sz w:val="28"/>
                <w:szCs w:val="28"/>
                <w:rtl/>
              </w:rPr>
              <w:t>2016/17:</w:t>
            </w:r>
            <w:r w:rsidR="0044787A">
              <w:rPr>
                <w:rFonts w:ascii="Arabic Typesetting" w:hAnsi="Arabic Typesetting" w:cs="Arabic Typesetting" w:hint="cs"/>
                <w:iCs/>
                <w:sz w:val="28"/>
                <w:szCs w:val="28"/>
                <w:rtl/>
              </w:rPr>
              <w:br/>
            </w:r>
            <w:r w:rsidR="00574A27" w:rsidRPr="000D515F">
              <w:rPr>
                <w:rFonts w:ascii="Arabic Typesetting" w:hAnsi="Arabic Typesetting" w:cs="Arabic Typesetting"/>
                <w:color w:val="000000"/>
                <w:sz w:val="28"/>
                <w:szCs w:val="28"/>
                <w:rtl/>
              </w:rPr>
              <w:t>351 (مكتب سنغافورة)</w:t>
            </w:r>
            <w:r w:rsidR="00574A27" w:rsidRPr="000D515F">
              <w:rPr>
                <w:rFonts w:ascii="Arabic Typesetting" w:hAnsi="Arabic Typesetting" w:cs="Arabic Typesetting"/>
                <w:color w:val="000000"/>
                <w:sz w:val="28"/>
                <w:szCs w:val="28"/>
                <w:rtl/>
              </w:rPr>
              <w:br/>
              <w:t>0 (مكتب البرازيل)</w:t>
            </w:r>
            <w:r w:rsidR="00574A27" w:rsidRPr="000D515F">
              <w:rPr>
                <w:rFonts w:ascii="Arabic Typesetting" w:hAnsi="Arabic Typesetting" w:cs="Arabic Typesetting"/>
                <w:color w:val="000000"/>
                <w:sz w:val="28"/>
                <w:szCs w:val="28"/>
                <w:rtl/>
              </w:rPr>
              <w:br/>
              <w:t>033 2 (مكتب اليابان)</w:t>
            </w:r>
            <w:r w:rsidR="00574A27" w:rsidRPr="000D515F">
              <w:rPr>
                <w:rFonts w:ascii="Arabic Typesetting" w:hAnsi="Arabic Typesetting" w:cs="Arabic Typesetting"/>
                <w:color w:val="000000"/>
                <w:sz w:val="28"/>
                <w:szCs w:val="28"/>
                <w:rtl/>
              </w:rPr>
              <w:br/>
              <w:t xml:space="preserve">543 1 (مكتب روسيا) </w:t>
            </w:r>
            <w:r w:rsidR="00574A27" w:rsidRPr="000D515F">
              <w:rPr>
                <w:rFonts w:ascii="Arabic Typesetting" w:hAnsi="Arabic Typesetting" w:cs="Arabic Typesetting"/>
                <w:color w:val="000000"/>
                <w:sz w:val="28"/>
                <w:szCs w:val="28"/>
                <w:rtl/>
              </w:rPr>
              <w:br/>
              <w:t>140 2 (مكتب الصين)</w:t>
            </w:r>
          </w:p>
        </w:tc>
        <w:tc>
          <w:tcPr>
            <w:tcW w:w="750" w:type="pct"/>
            <w:gridSpan w:val="3"/>
            <w:shd w:val="clear" w:color="auto" w:fill="auto"/>
            <w:tcMar>
              <w:top w:w="110" w:type="dxa"/>
              <w:left w:w="58" w:type="dxa"/>
              <w:right w:w="58" w:type="dxa"/>
            </w:tcMar>
          </w:tcPr>
          <w:p w14:paraId="4A71E062" w14:textId="77777777"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نمو سنوي بنسبة 2% (جميع المكاتب)</w:t>
            </w:r>
          </w:p>
        </w:tc>
        <w:tc>
          <w:tcPr>
            <w:tcW w:w="1287" w:type="pct"/>
            <w:gridSpan w:val="4"/>
            <w:shd w:val="clear" w:color="auto" w:fill="FFFFFF"/>
            <w:tcMar>
              <w:top w:w="110" w:type="dxa"/>
              <w:left w:w="58" w:type="dxa"/>
              <w:right w:w="58" w:type="dxa"/>
            </w:tcMar>
          </w:tcPr>
          <w:p w14:paraId="5EEC7AAF" w14:textId="1184D733" w:rsidR="0044787A" w:rsidRDefault="0044787A" w:rsidP="0044787A">
            <w:pPr>
              <w:suppressLineNumbers/>
              <w:suppressAutoHyphens/>
              <w:bidi/>
              <w:spacing w:after="120" w:line="280" w:lineRule="exact"/>
              <w:rPr>
                <w:rFonts w:ascii="Arabic Typesetting" w:hAnsi="Arabic Typesetting" w:cs="Arabic Typesetting"/>
                <w:color w:val="000000"/>
                <w:sz w:val="28"/>
                <w:szCs w:val="28"/>
                <w:rtl/>
              </w:rPr>
            </w:pPr>
            <w:r w:rsidRPr="0044787A">
              <w:rPr>
                <w:rFonts w:ascii="Arabic Typesetting" w:hAnsi="Arabic Typesetting" w:cs="Arabic Typesetting"/>
                <w:color w:val="000000"/>
                <w:sz w:val="28"/>
                <w:szCs w:val="28"/>
                <w:rtl/>
              </w:rPr>
              <w:t>0</w:t>
            </w:r>
            <w:r>
              <w:rPr>
                <w:rFonts w:ascii="Arabic Typesetting" w:hAnsi="Arabic Typesetting" w:cs="Arabic Typesetting" w:hint="cs"/>
                <w:color w:val="000000"/>
                <w:sz w:val="28"/>
                <w:szCs w:val="28"/>
                <w:rtl/>
              </w:rPr>
              <w:tab/>
            </w:r>
            <w:r w:rsidRPr="0044787A">
              <w:rPr>
                <w:rFonts w:ascii="Arabic Typesetting" w:hAnsi="Arabic Typesetting" w:cs="Arabic Typesetting"/>
                <w:color w:val="000000"/>
                <w:sz w:val="28"/>
                <w:szCs w:val="28"/>
                <w:rtl/>
              </w:rPr>
              <w:t>مكتب البرازيل</w:t>
            </w:r>
          </w:p>
          <w:p w14:paraId="66C806E5" w14:textId="77777777" w:rsidR="0044787A" w:rsidRPr="0044787A" w:rsidRDefault="0044787A" w:rsidP="0044787A">
            <w:pPr>
              <w:suppressLineNumbers/>
              <w:suppressAutoHyphens/>
              <w:bidi/>
              <w:spacing w:after="120" w:line="280" w:lineRule="exact"/>
              <w:rPr>
                <w:rFonts w:ascii="Arabic Typesetting" w:hAnsi="Arabic Typesetting" w:cs="Arabic Typesetting"/>
                <w:color w:val="000000"/>
                <w:sz w:val="28"/>
                <w:szCs w:val="28"/>
              </w:rPr>
            </w:pPr>
          </w:p>
          <w:p w14:paraId="312B7680" w14:textId="77777777" w:rsidR="0044787A" w:rsidRPr="0044787A" w:rsidRDefault="0044787A" w:rsidP="0044787A">
            <w:pPr>
              <w:suppressLineNumbers/>
              <w:suppressAutoHyphens/>
              <w:bidi/>
              <w:spacing w:after="120" w:line="280" w:lineRule="exact"/>
              <w:rPr>
                <w:rFonts w:ascii="Arabic Typesetting" w:hAnsi="Arabic Typesetting" w:cs="Arabic Typesetting"/>
                <w:color w:val="000000"/>
                <w:sz w:val="28"/>
                <w:szCs w:val="28"/>
              </w:rPr>
            </w:pPr>
            <w:r w:rsidRPr="0044787A">
              <w:rPr>
                <w:rFonts w:ascii="Arabic Typesetting" w:hAnsi="Arabic Typesetting" w:cs="Arabic Typesetting"/>
                <w:color w:val="000000"/>
                <w:sz w:val="28"/>
                <w:szCs w:val="28"/>
                <w:rtl/>
              </w:rPr>
              <w:t>014 3</w:t>
            </w:r>
            <w:r w:rsidRPr="0044787A">
              <w:rPr>
                <w:rFonts w:ascii="Arabic Typesetting" w:hAnsi="Arabic Typesetting" w:cs="Arabic Typesetting"/>
                <w:color w:val="000000"/>
                <w:sz w:val="28"/>
                <w:szCs w:val="28"/>
                <w:rtl/>
              </w:rPr>
              <w:tab/>
              <w:t>مكتب الصين</w:t>
            </w:r>
            <w:r w:rsidRPr="0044787A">
              <w:rPr>
                <w:rFonts w:ascii="Arabic Typesetting" w:hAnsi="Arabic Typesetting" w:cs="Arabic Typesetting"/>
                <w:color w:val="000000"/>
                <w:sz w:val="28"/>
                <w:szCs w:val="28"/>
                <w:rtl/>
              </w:rPr>
              <w:tab/>
              <w:t>+31%</w:t>
            </w:r>
          </w:p>
          <w:p w14:paraId="6B6DC7B1" w14:textId="77777777" w:rsidR="0044787A" w:rsidRPr="0044787A" w:rsidRDefault="0044787A" w:rsidP="0044787A">
            <w:pPr>
              <w:suppressLineNumbers/>
              <w:suppressAutoHyphens/>
              <w:bidi/>
              <w:spacing w:after="120" w:line="280" w:lineRule="exact"/>
              <w:rPr>
                <w:rFonts w:ascii="Arabic Typesetting" w:hAnsi="Arabic Typesetting" w:cs="Arabic Typesetting"/>
                <w:color w:val="000000"/>
                <w:sz w:val="28"/>
                <w:szCs w:val="28"/>
              </w:rPr>
            </w:pPr>
            <w:r w:rsidRPr="0044787A">
              <w:rPr>
                <w:rFonts w:ascii="Arabic Typesetting" w:hAnsi="Arabic Typesetting" w:cs="Arabic Typesetting"/>
                <w:color w:val="000000"/>
                <w:sz w:val="28"/>
                <w:szCs w:val="28"/>
                <w:rtl/>
              </w:rPr>
              <w:t>281 2</w:t>
            </w:r>
            <w:r w:rsidRPr="0044787A">
              <w:rPr>
                <w:rFonts w:ascii="Arabic Typesetting" w:hAnsi="Arabic Typesetting" w:cs="Arabic Typesetting"/>
                <w:color w:val="000000"/>
                <w:sz w:val="28"/>
                <w:szCs w:val="28"/>
                <w:rtl/>
              </w:rPr>
              <w:tab/>
              <w:t>مكتب اليابان</w:t>
            </w:r>
            <w:r w:rsidRPr="0044787A">
              <w:rPr>
                <w:rFonts w:ascii="Arabic Typesetting" w:hAnsi="Arabic Typesetting" w:cs="Arabic Typesetting"/>
                <w:color w:val="000000"/>
                <w:sz w:val="28"/>
                <w:szCs w:val="28"/>
                <w:rtl/>
              </w:rPr>
              <w:tab/>
              <w:t>+5.3%</w:t>
            </w:r>
          </w:p>
          <w:p w14:paraId="6D92BE2B" w14:textId="2D39A03E" w:rsidR="0044787A" w:rsidRPr="0044787A" w:rsidRDefault="0044787A" w:rsidP="00E335D4">
            <w:pPr>
              <w:suppressLineNumbers/>
              <w:suppressAutoHyphens/>
              <w:bidi/>
              <w:spacing w:after="120" w:line="280" w:lineRule="exact"/>
              <w:rPr>
                <w:rFonts w:ascii="Arabic Typesetting" w:hAnsi="Arabic Typesetting" w:cs="Arabic Typesetting"/>
                <w:color w:val="000000"/>
                <w:sz w:val="28"/>
                <w:szCs w:val="28"/>
              </w:rPr>
            </w:pPr>
            <w:r w:rsidRPr="0044787A">
              <w:rPr>
                <w:rFonts w:ascii="Arabic Typesetting" w:hAnsi="Arabic Typesetting" w:cs="Arabic Typesetting"/>
                <w:color w:val="000000"/>
                <w:sz w:val="28"/>
                <w:szCs w:val="28"/>
                <w:rtl/>
              </w:rPr>
              <w:t>255 1</w:t>
            </w:r>
            <w:r w:rsidRPr="0044787A">
              <w:rPr>
                <w:rFonts w:ascii="Arabic Typesetting" w:hAnsi="Arabic Typesetting" w:cs="Arabic Typesetting"/>
                <w:color w:val="000000"/>
                <w:sz w:val="28"/>
                <w:szCs w:val="28"/>
                <w:rtl/>
              </w:rPr>
              <w:tab/>
              <w:t>مكتب روسيا</w:t>
            </w:r>
            <w:r w:rsidR="00E335D4">
              <w:rPr>
                <w:rFonts w:ascii="Arabic Typesetting" w:hAnsi="Arabic Typesetting" w:cs="Arabic Typesetting" w:hint="cs"/>
                <w:color w:val="000000"/>
                <w:sz w:val="28"/>
                <w:szCs w:val="28"/>
                <w:rtl/>
              </w:rPr>
              <w:t xml:space="preserve">    </w:t>
            </w:r>
            <w:r w:rsidRPr="0044787A">
              <w:rPr>
                <w:rFonts w:ascii="Arabic Typesetting" w:hAnsi="Arabic Typesetting" w:cs="Arabic Typesetting"/>
                <w:color w:val="000000"/>
                <w:sz w:val="28"/>
                <w:szCs w:val="28"/>
                <w:rtl/>
              </w:rPr>
              <w:t>+18.5%</w:t>
            </w:r>
          </w:p>
          <w:p w14:paraId="534C1058" w14:textId="3DBA414A" w:rsidR="00574A27" w:rsidRPr="000D515F" w:rsidRDefault="0044787A" w:rsidP="00D70D19">
            <w:pPr>
              <w:suppressLineNumbers/>
              <w:suppressAutoHyphens/>
              <w:bidi/>
              <w:spacing w:after="120" w:line="280" w:lineRule="exact"/>
              <w:rPr>
                <w:rFonts w:ascii="Arabic Typesetting" w:hAnsi="Arabic Typesetting" w:cs="Arabic Typesetting"/>
                <w:color w:val="000000"/>
                <w:sz w:val="28"/>
                <w:szCs w:val="28"/>
              </w:rPr>
            </w:pPr>
            <w:r>
              <w:rPr>
                <w:rFonts w:ascii="Arabic Typesetting" w:hAnsi="Arabic Typesetting" w:cs="Arabic Typesetting"/>
                <w:color w:val="000000"/>
                <w:sz w:val="28"/>
                <w:szCs w:val="28"/>
                <w:rtl/>
              </w:rPr>
              <w:t>614</w:t>
            </w:r>
            <w:r>
              <w:rPr>
                <w:rFonts w:ascii="Arabic Typesetting" w:hAnsi="Arabic Typesetting" w:cs="Arabic Typesetting"/>
                <w:color w:val="000000"/>
                <w:sz w:val="28"/>
                <w:szCs w:val="28"/>
                <w:rtl/>
              </w:rPr>
              <w:tab/>
              <w:t>مكتب سنغافورة</w:t>
            </w:r>
            <w:r w:rsidR="00D70D19">
              <w:rPr>
                <w:rFonts w:ascii="Arabic Typesetting" w:hAnsi="Arabic Typesetting" w:cs="Arabic Typesetting"/>
                <w:color w:val="000000"/>
                <w:sz w:val="28"/>
                <w:szCs w:val="28"/>
                <w:rtl/>
              </w:rPr>
              <w:tab/>
            </w:r>
            <w:r w:rsidRPr="0044787A">
              <w:rPr>
                <w:rFonts w:ascii="Arabic Typesetting" w:hAnsi="Arabic Typesetting" w:cs="Arabic Typesetting"/>
                <w:color w:val="000000"/>
                <w:sz w:val="28"/>
                <w:szCs w:val="28"/>
                <w:rtl/>
              </w:rPr>
              <w:t>+20%</w:t>
            </w:r>
          </w:p>
        </w:tc>
        <w:tc>
          <w:tcPr>
            <w:tcW w:w="439" w:type="pct"/>
            <w:gridSpan w:val="2"/>
            <w:shd w:val="clear" w:color="auto" w:fill="auto"/>
            <w:tcMar>
              <w:top w:w="110" w:type="dxa"/>
              <w:left w:w="58" w:type="dxa"/>
              <w:right w:w="58" w:type="dxa"/>
            </w:tcMar>
          </w:tcPr>
          <w:p w14:paraId="281BEA72" w14:textId="380F0976" w:rsidR="00574A27" w:rsidRPr="000D515F" w:rsidRDefault="00574A27" w:rsidP="0044787A">
            <w:pPr>
              <w:suppressLineNumbers/>
              <w:suppressAutoHyphens/>
              <w:bidi/>
              <w:spacing w:after="240" w:line="280" w:lineRule="exact"/>
              <w:jc w:val="center"/>
              <w:rPr>
                <w:rFonts w:ascii="Arabic Typesetting" w:hAnsi="Arabic Typesetting" w:cs="Arabic Typesetting"/>
                <w:bCs/>
                <w:color w:val="808080"/>
                <w:sz w:val="28"/>
                <w:szCs w:val="28"/>
                <w:rtl/>
              </w:rPr>
            </w:pPr>
            <w:r w:rsidRPr="000D515F">
              <w:rPr>
                <w:rFonts w:ascii="Arabic Typesetting" w:hAnsi="Arabic Typesetting" w:cs="Arabic Typesetting"/>
                <w:bCs/>
                <w:color w:val="808080"/>
                <w:sz w:val="28"/>
                <w:szCs w:val="28"/>
                <w:rtl/>
              </w:rPr>
              <w:t>غير قابل للقيس</w:t>
            </w:r>
          </w:p>
          <w:p w14:paraId="23DE5A9F" w14:textId="77777777" w:rsidR="0044787A" w:rsidRPr="0044787A" w:rsidRDefault="0044787A" w:rsidP="0044787A">
            <w:pPr>
              <w:suppressLineNumbers/>
              <w:suppressAutoHyphens/>
              <w:bidi/>
              <w:spacing w:after="120" w:line="280" w:lineRule="exact"/>
              <w:jc w:val="center"/>
              <w:rPr>
                <w:rFonts w:ascii="Arabic Typesetting" w:hAnsi="Arabic Typesetting" w:cs="Arabic Typesetting"/>
                <w:bCs/>
                <w:color w:val="00B050"/>
                <w:sz w:val="28"/>
                <w:szCs w:val="28"/>
              </w:rPr>
            </w:pPr>
            <w:r w:rsidRPr="0044787A">
              <w:rPr>
                <w:rFonts w:ascii="Arabic Typesetting" w:hAnsi="Arabic Typesetting" w:cs="Arabic Typesetting"/>
                <w:bCs/>
                <w:color w:val="00B050"/>
                <w:sz w:val="28"/>
                <w:szCs w:val="28"/>
                <w:rtl/>
              </w:rPr>
              <w:t>ثابت</w:t>
            </w:r>
          </w:p>
          <w:p w14:paraId="24474BAC" w14:textId="77777777" w:rsidR="0044787A" w:rsidRPr="0044787A" w:rsidRDefault="0044787A" w:rsidP="0044787A">
            <w:pPr>
              <w:suppressLineNumbers/>
              <w:suppressAutoHyphens/>
              <w:bidi/>
              <w:spacing w:after="120" w:line="280" w:lineRule="exact"/>
              <w:jc w:val="center"/>
              <w:rPr>
                <w:rFonts w:ascii="Arabic Typesetting" w:hAnsi="Arabic Typesetting" w:cs="Arabic Typesetting"/>
                <w:bCs/>
                <w:color w:val="00B050"/>
                <w:sz w:val="28"/>
                <w:szCs w:val="28"/>
              </w:rPr>
            </w:pPr>
            <w:r w:rsidRPr="0044787A">
              <w:rPr>
                <w:rFonts w:ascii="Arabic Typesetting" w:hAnsi="Arabic Typesetting" w:cs="Arabic Typesetting"/>
                <w:bCs/>
                <w:color w:val="00B050"/>
                <w:sz w:val="28"/>
                <w:szCs w:val="28"/>
                <w:rtl/>
              </w:rPr>
              <w:t>ثابت</w:t>
            </w:r>
          </w:p>
          <w:p w14:paraId="442F47DF" w14:textId="77777777" w:rsidR="0044787A" w:rsidRPr="0044787A" w:rsidRDefault="0044787A" w:rsidP="0044787A">
            <w:pPr>
              <w:suppressLineNumbers/>
              <w:suppressAutoHyphens/>
              <w:bidi/>
              <w:spacing w:after="120" w:line="280" w:lineRule="exact"/>
              <w:jc w:val="center"/>
              <w:rPr>
                <w:rFonts w:ascii="Arabic Typesetting" w:hAnsi="Arabic Typesetting" w:cs="Arabic Typesetting"/>
                <w:bCs/>
                <w:color w:val="00B050"/>
                <w:sz w:val="28"/>
                <w:szCs w:val="28"/>
              </w:rPr>
            </w:pPr>
            <w:r w:rsidRPr="0044787A">
              <w:rPr>
                <w:rFonts w:ascii="Arabic Typesetting" w:hAnsi="Arabic Typesetting" w:cs="Arabic Typesetting"/>
                <w:bCs/>
                <w:color w:val="00B050"/>
                <w:sz w:val="28"/>
                <w:szCs w:val="28"/>
                <w:rtl/>
              </w:rPr>
              <w:t>ثابت</w:t>
            </w:r>
          </w:p>
          <w:p w14:paraId="3576DA50" w14:textId="43308946" w:rsidR="00574A27" w:rsidRPr="000D515F" w:rsidRDefault="0044787A" w:rsidP="0044787A">
            <w:pPr>
              <w:suppressLineNumbers/>
              <w:suppressAutoHyphens/>
              <w:bidi/>
              <w:spacing w:after="120" w:line="280" w:lineRule="exact"/>
              <w:jc w:val="center"/>
              <w:rPr>
                <w:rFonts w:ascii="Arabic Typesetting" w:hAnsi="Arabic Typesetting" w:cs="Arabic Typesetting"/>
                <w:color w:val="000000"/>
                <w:sz w:val="28"/>
                <w:szCs w:val="28"/>
              </w:rPr>
            </w:pPr>
            <w:r w:rsidRPr="0044787A">
              <w:rPr>
                <w:rFonts w:ascii="Arabic Typesetting" w:hAnsi="Arabic Typesetting" w:cs="Arabic Typesetting"/>
                <w:bCs/>
                <w:color w:val="00B050"/>
                <w:sz w:val="28"/>
                <w:szCs w:val="28"/>
                <w:rtl/>
              </w:rPr>
              <w:t>ثابت</w:t>
            </w:r>
          </w:p>
        </w:tc>
      </w:tr>
      <w:tr w:rsidR="00574A27" w:rsidRPr="000D515F" w14:paraId="5A8468E2" w14:textId="77777777" w:rsidTr="00BD308F">
        <w:trPr>
          <w:gridAfter w:val="1"/>
          <w:wAfter w:w="133" w:type="pct"/>
          <w:cantSplit/>
          <w:trHeight w:val="430"/>
        </w:trPr>
        <w:tc>
          <w:tcPr>
            <w:tcW w:w="921" w:type="pct"/>
            <w:shd w:val="clear" w:color="auto" w:fill="auto"/>
            <w:tcMar>
              <w:left w:w="58" w:type="dxa"/>
              <w:right w:w="58" w:type="dxa"/>
            </w:tcMar>
          </w:tcPr>
          <w:p w14:paraId="0053AD94"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مدريد</w:t>
            </w:r>
          </w:p>
        </w:tc>
        <w:tc>
          <w:tcPr>
            <w:tcW w:w="1470" w:type="pct"/>
            <w:gridSpan w:val="4"/>
            <w:shd w:val="clear" w:color="auto" w:fill="auto"/>
            <w:tcMar>
              <w:left w:w="58" w:type="dxa"/>
              <w:right w:w="58" w:type="dxa"/>
            </w:tcMar>
          </w:tcPr>
          <w:p w14:paraId="41039DA5" w14:textId="4AB3CFA9" w:rsidR="00574A27" w:rsidRPr="000D515F" w:rsidRDefault="00574A27" w:rsidP="0044787A">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Cs/>
                <w:color w:val="002060"/>
                <w:sz w:val="28"/>
                <w:szCs w:val="28"/>
                <w:rtl/>
              </w:rPr>
              <w:t xml:space="preserve">أساس </w:t>
            </w:r>
            <w:r w:rsidR="0044787A">
              <w:rPr>
                <w:rFonts w:ascii="Arabic Typesetting" w:hAnsi="Arabic Typesetting" w:cs="Arabic Typesetting"/>
                <w:iCs/>
                <w:color w:val="002060"/>
                <w:sz w:val="28"/>
                <w:szCs w:val="28"/>
                <w:rtl/>
              </w:rPr>
              <w:t>المقارنة المحدّث في نهاية 2015:</w:t>
            </w:r>
            <w:r w:rsidR="0044787A">
              <w:rPr>
                <w:rFonts w:ascii="Arabic Typesetting" w:hAnsi="Arabic Typesetting" w:cs="Arabic Typesetting" w:hint="cs"/>
                <w:iCs/>
                <w:color w:val="002060"/>
                <w:sz w:val="28"/>
                <w:szCs w:val="28"/>
                <w:rtl/>
              </w:rPr>
              <w:br/>
            </w:r>
            <w:r w:rsidRPr="000D515F">
              <w:rPr>
                <w:rFonts w:ascii="Arabic Typesetting" w:hAnsi="Arabic Typesetting" w:cs="Arabic Typesetting"/>
                <w:color w:val="002060"/>
                <w:sz w:val="28"/>
                <w:szCs w:val="28"/>
                <w:rtl/>
              </w:rPr>
              <w:t>90% (مكتب سنغافورة)</w:t>
            </w:r>
          </w:p>
          <w:p w14:paraId="63294FEF" w14:textId="63553BAA" w:rsidR="00574A27" w:rsidRPr="000D515F" w:rsidRDefault="000D515F" w:rsidP="000D515F">
            <w:pPr>
              <w:suppressLineNumbers/>
              <w:suppressAutoHyphens/>
              <w:bidi/>
              <w:spacing w:after="120" w:line="280" w:lineRule="exact"/>
              <w:rPr>
                <w:rFonts w:ascii="Arabic Typesetting" w:hAnsi="Arabic Typesetting" w:cs="Arabic Typesetting"/>
                <w:color w:val="000000"/>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574A27" w:rsidRPr="000D515F">
              <w:rPr>
                <w:rFonts w:ascii="Arabic Typesetting" w:hAnsi="Arabic Typesetting" w:cs="Arabic Typesetting"/>
                <w:iCs/>
                <w:sz w:val="28"/>
                <w:szCs w:val="28"/>
                <w:rtl/>
              </w:rPr>
              <w:t xml:space="preserve">2016/17: </w:t>
            </w:r>
            <w:r w:rsidR="00574A27" w:rsidRPr="000D515F">
              <w:rPr>
                <w:rFonts w:ascii="Arabic Typesetting" w:hAnsi="Arabic Typesetting" w:cs="Arabic Typesetting"/>
                <w:color w:val="000000"/>
                <w:sz w:val="28"/>
                <w:szCs w:val="28"/>
                <w:rtl/>
              </w:rPr>
              <w:t>89% استناداً إلى ردود المشاركين (مكتب سنغافورة)</w:t>
            </w:r>
          </w:p>
        </w:tc>
        <w:tc>
          <w:tcPr>
            <w:tcW w:w="901" w:type="pct"/>
            <w:gridSpan w:val="4"/>
            <w:shd w:val="clear" w:color="auto" w:fill="auto"/>
            <w:tcMar>
              <w:top w:w="110" w:type="dxa"/>
              <w:left w:w="58" w:type="dxa"/>
              <w:right w:w="58" w:type="dxa"/>
            </w:tcMar>
          </w:tcPr>
          <w:p w14:paraId="024D835D" w14:textId="3AB14D01" w:rsidR="00574A27" w:rsidRPr="000D515F" w:rsidRDefault="0044787A" w:rsidP="0044787A">
            <w:pPr>
              <w:suppressLineNumbers/>
              <w:suppressAutoHyphens/>
              <w:bidi/>
              <w:spacing w:after="12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rPr>
              <w:t>الهدف المُحدَّث:</w:t>
            </w:r>
            <w:r>
              <w:rPr>
                <w:rFonts w:ascii="Arabic Typesetting" w:hAnsi="Arabic Typesetting" w:cs="Arabic Typesetting" w:hint="cs"/>
                <w:iCs/>
                <w:color w:val="002060"/>
                <w:sz w:val="28"/>
                <w:szCs w:val="28"/>
                <w:rtl/>
              </w:rPr>
              <w:br/>
            </w:r>
            <w:r w:rsidR="00574A27" w:rsidRPr="000D515F">
              <w:rPr>
                <w:rFonts w:ascii="Arabic Typesetting" w:hAnsi="Arabic Typesetting" w:cs="Arabic Typesetting"/>
                <w:color w:val="002060"/>
                <w:sz w:val="28"/>
                <w:szCs w:val="28"/>
                <w:rtl/>
              </w:rPr>
              <w:t>85%</w:t>
            </w:r>
          </w:p>
          <w:p w14:paraId="422B501F" w14:textId="16DF398B" w:rsidR="00574A27" w:rsidRPr="000D515F" w:rsidRDefault="00574A27" w:rsidP="000C4432">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iCs/>
                <w:sz w:val="28"/>
                <w:szCs w:val="28"/>
                <w:rtl/>
              </w:rPr>
              <w:t>الهدف الأصلي</w:t>
            </w:r>
            <w:r w:rsidR="000C4432">
              <w:rPr>
                <w:rFonts w:ascii="Arabic Typesetting" w:hAnsi="Arabic Typesetting" w:cs="Arabic Typesetting" w:hint="cs"/>
                <w:iCs/>
                <w:sz w:val="28"/>
                <w:szCs w:val="28"/>
                <w:rtl/>
              </w:rPr>
              <w:t>:</w:t>
            </w:r>
            <w:r w:rsidR="000C4432">
              <w:rPr>
                <w:rFonts w:ascii="Arabic Typesetting" w:hAnsi="Arabic Typesetting" w:cs="Arabic Typesetting" w:hint="cs"/>
                <w:iCs/>
                <w:sz w:val="28"/>
                <w:szCs w:val="28"/>
                <w:rtl/>
              </w:rPr>
              <w:br/>
            </w:r>
            <w:r w:rsidR="0044787A">
              <w:rPr>
                <w:rFonts w:ascii="Arabic Typesetting" w:hAnsi="Arabic Typesetting" w:cs="Arabic Typesetting"/>
                <w:iCs/>
                <w:sz w:val="28"/>
                <w:szCs w:val="28"/>
                <w:rtl/>
              </w:rPr>
              <w:t>برنامج وميزانية 2016/17:</w:t>
            </w:r>
            <w:r w:rsidR="0044787A">
              <w:rPr>
                <w:rFonts w:ascii="Arabic Typesetting" w:hAnsi="Arabic Typesetting" w:cs="Arabic Typesetting" w:hint="cs"/>
                <w:iCs/>
                <w:sz w:val="28"/>
                <w:szCs w:val="28"/>
                <w:rtl/>
              </w:rPr>
              <w:br/>
            </w:r>
            <w:r w:rsidRPr="000D515F">
              <w:rPr>
                <w:rFonts w:ascii="Arabic Typesetting" w:hAnsi="Arabic Typesetting" w:cs="Arabic Typesetting"/>
                <w:sz w:val="28"/>
                <w:szCs w:val="28"/>
                <w:rtl/>
              </w:rPr>
              <w:t>75%</w:t>
            </w:r>
          </w:p>
        </w:tc>
        <w:tc>
          <w:tcPr>
            <w:tcW w:w="1136" w:type="pct"/>
            <w:gridSpan w:val="3"/>
            <w:shd w:val="clear" w:color="auto" w:fill="FFFFFF"/>
            <w:tcMar>
              <w:top w:w="110" w:type="dxa"/>
              <w:left w:w="58" w:type="dxa"/>
              <w:right w:w="58" w:type="dxa"/>
            </w:tcMar>
          </w:tcPr>
          <w:p w14:paraId="2931F4C8" w14:textId="5766F463" w:rsidR="00574A27" w:rsidRPr="0044787A" w:rsidRDefault="00574A27" w:rsidP="0044787A">
            <w:pPr>
              <w:suppressLineNumbers/>
              <w:suppressAutoHyphens/>
              <w:bidi/>
              <w:spacing w:after="120" w:line="280" w:lineRule="exact"/>
              <w:rPr>
                <w:rFonts w:ascii="Arabic Typesetting" w:hAnsi="Arabic Typesetting" w:cs="Arabic Typesetting"/>
                <w:sz w:val="28"/>
                <w:szCs w:val="28"/>
              </w:rPr>
            </w:pPr>
            <w:r w:rsidRPr="000D515F">
              <w:rPr>
                <w:rFonts w:ascii="Arabic Typesetting" w:hAnsi="Arabic Typesetting" w:cs="Arabic Typesetting"/>
                <w:sz w:val="28"/>
                <w:szCs w:val="28"/>
                <w:rtl/>
              </w:rPr>
              <w:t>86% (مكتب سنغافورة</w:t>
            </w:r>
            <w:r w:rsidR="0044787A">
              <w:rPr>
                <w:rFonts w:ascii="Arabic Typesetting" w:hAnsi="Arabic Typesetting" w:cs="Arabic Typesetting" w:hint="cs"/>
                <w:sz w:val="28"/>
                <w:szCs w:val="28"/>
                <w:rtl/>
              </w:rPr>
              <w:t>)</w:t>
            </w:r>
          </w:p>
        </w:tc>
        <w:tc>
          <w:tcPr>
            <w:tcW w:w="439" w:type="pct"/>
            <w:gridSpan w:val="2"/>
            <w:shd w:val="clear" w:color="auto" w:fill="auto"/>
            <w:tcMar>
              <w:top w:w="110" w:type="dxa"/>
              <w:left w:w="58" w:type="dxa"/>
              <w:right w:w="58" w:type="dxa"/>
            </w:tcMar>
          </w:tcPr>
          <w:p w14:paraId="15FB0891" w14:textId="6F326780" w:rsidR="00574A27" w:rsidRPr="0044787A" w:rsidRDefault="00574A27" w:rsidP="0044787A">
            <w:pPr>
              <w:suppressLineNumbers/>
              <w:suppressAutoHyphens/>
              <w:bidi/>
              <w:spacing w:after="120" w:line="280" w:lineRule="exact"/>
              <w:jc w:val="center"/>
              <w:rPr>
                <w:rFonts w:ascii="Arabic Typesetting" w:hAnsi="Arabic Typesetting" w:cs="Arabic Typesetting"/>
                <w:bCs/>
                <w:color w:val="00B050"/>
                <w:sz w:val="28"/>
                <w:szCs w:val="28"/>
              </w:rPr>
            </w:pPr>
            <w:r w:rsidRPr="000D515F">
              <w:rPr>
                <w:rFonts w:ascii="Arabic Typesetting" w:hAnsi="Arabic Typesetting" w:cs="Arabic Typesetting"/>
                <w:bCs/>
                <w:color w:val="00B050"/>
                <w:sz w:val="28"/>
                <w:szCs w:val="28"/>
                <w:rtl/>
              </w:rPr>
              <w:t>ثابت</w:t>
            </w:r>
          </w:p>
        </w:tc>
      </w:tr>
      <w:tr w:rsidR="00574A27" w:rsidRPr="000D515F" w14:paraId="0CBCB50F" w14:textId="77777777" w:rsidTr="000D515F">
        <w:trPr>
          <w:gridAfter w:val="1"/>
          <w:wAfter w:w="133" w:type="pct"/>
          <w:cantSplit/>
          <w:trHeight w:val="648"/>
        </w:trPr>
        <w:tc>
          <w:tcPr>
            <w:tcW w:w="4867" w:type="pct"/>
            <w:gridSpan w:val="14"/>
            <w:shd w:val="clear" w:color="auto" w:fill="C6D9F1" w:themeFill="text2" w:themeFillTint="33"/>
            <w:tcMar>
              <w:left w:w="58" w:type="dxa"/>
              <w:right w:w="58" w:type="dxa"/>
            </w:tcMar>
            <w:vAlign w:val="center"/>
          </w:tcPr>
          <w:p w14:paraId="56336529" w14:textId="4B0F25D6" w:rsidR="00574A27" w:rsidRPr="000D515F" w:rsidRDefault="00574A27" w:rsidP="0044787A">
            <w:pPr>
              <w:keepNext/>
              <w:bidi/>
              <w:spacing w:before="120" w:after="120" w:line="280" w:lineRule="exact"/>
              <w:ind w:left="1167" w:hanging="1167"/>
              <w:rPr>
                <w:rFonts w:ascii="Arabic Typesetting" w:hAnsi="Arabic Typesetting" w:cs="Arabic Typesetting"/>
                <w:sz w:val="28"/>
                <w:szCs w:val="28"/>
                <w:rtl/>
              </w:rPr>
            </w:pPr>
            <w:r w:rsidRPr="000D515F">
              <w:rPr>
                <w:rFonts w:ascii="Arabic Typesetting" w:hAnsi="Arabic Typesetting" w:cs="Arabic Typesetting"/>
                <w:b/>
                <w:bCs/>
                <w:sz w:val="28"/>
                <w:szCs w:val="28"/>
                <w:rtl/>
              </w:rPr>
              <w:t>النتيجة المرتقبة:</w:t>
            </w:r>
            <w:r w:rsidRPr="000D515F">
              <w:rPr>
                <w:rFonts w:ascii="Arabic Typesetting" w:hAnsi="Arabic Typesetting" w:cs="Arabic Typesetting"/>
                <w:b/>
                <w:bCs/>
                <w:sz w:val="28"/>
                <w:szCs w:val="28"/>
                <w:rtl/>
              </w:rPr>
              <w:tab/>
            </w:r>
            <w:r w:rsidRPr="000D515F">
              <w:rPr>
                <w:rFonts w:ascii="Arabic Typesetting" w:hAnsi="Arabic Typesetting" w:cs="Arabic Typesetting"/>
                <w:sz w:val="28"/>
                <w:szCs w:val="28"/>
                <w:rtl/>
              </w:rPr>
              <w:t xml:space="preserve">ھ2.3 </w:t>
            </w:r>
            <w:r w:rsidR="009834BA" w:rsidRPr="009834BA">
              <w:rPr>
                <w:rFonts w:ascii="Arabic Typesetting" w:hAnsi="Arabic Typesetting" w:cs="Arabic Typesetting"/>
                <w:sz w:val="28"/>
                <w:szCs w:val="28"/>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المتحولة</w:t>
            </w:r>
          </w:p>
        </w:tc>
      </w:tr>
      <w:tr w:rsidR="00574A27" w:rsidRPr="000D515F" w14:paraId="7BE8B4DD" w14:textId="77777777" w:rsidTr="000D515F">
        <w:trPr>
          <w:gridAfter w:val="1"/>
          <w:wAfter w:w="133" w:type="pct"/>
          <w:cantSplit/>
        </w:trPr>
        <w:tc>
          <w:tcPr>
            <w:tcW w:w="921" w:type="pct"/>
            <w:shd w:val="clear" w:color="auto" w:fill="auto"/>
            <w:tcMar>
              <w:left w:w="58" w:type="dxa"/>
              <w:right w:w="58" w:type="dxa"/>
            </w:tcMar>
            <w:vAlign w:val="center"/>
          </w:tcPr>
          <w:p w14:paraId="3E7AA7C9" w14:textId="77777777" w:rsidR="00574A27" w:rsidRPr="000D515F" w:rsidRDefault="00574A27" w:rsidP="0044787A">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 xml:space="preserve"> مؤشرات الأداء</w:t>
            </w:r>
          </w:p>
        </w:tc>
        <w:tc>
          <w:tcPr>
            <w:tcW w:w="1470" w:type="pct"/>
            <w:gridSpan w:val="4"/>
            <w:shd w:val="clear" w:color="auto" w:fill="auto"/>
            <w:tcMar>
              <w:left w:w="58" w:type="dxa"/>
              <w:right w:w="58" w:type="dxa"/>
            </w:tcMar>
            <w:vAlign w:val="center"/>
          </w:tcPr>
          <w:p w14:paraId="0283B1B9" w14:textId="77777777" w:rsidR="00574A27" w:rsidRPr="000D515F" w:rsidRDefault="00574A27" w:rsidP="0044787A">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أسس المقارنة</w:t>
            </w:r>
          </w:p>
        </w:tc>
        <w:tc>
          <w:tcPr>
            <w:tcW w:w="739" w:type="pct"/>
            <w:gridSpan w:val="2"/>
            <w:shd w:val="clear" w:color="auto" w:fill="auto"/>
            <w:tcMar>
              <w:top w:w="110" w:type="dxa"/>
              <w:left w:w="58" w:type="dxa"/>
              <w:right w:w="58" w:type="dxa"/>
            </w:tcMar>
            <w:vAlign w:val="center"/>
          </w:tcPr>
          <w:p w14:paraId="1145C8AC" w14:textId="77777777" w:rsidR="00574A27" w:rsidRPr="000D515F" w:rsidRDefault="00574A27" w:rsidP="0044787A">
            <w:pPr>
              <w:keepNext/>
              <w:tabs>
                <w:tab w:val="left" w:pos="290"/>
              </w:tabs>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الأهداف</w:t>
            </w:r>
          </w:p>
        </w:tc>
        <w:tc>
          <w:tcPr>
            <w:tcW w:w="1289" w:type="pct"/>
            <w:gridSpan w:val="4"/>
            <w:shd w:val="clear" w:color="auto" w:fill="FFFFFF"/>
            <w:tcMar>
              <w:top w:w="110" w:type="dxa"/>
              <w:left w:w="58" w:type="dxa"/>
              <w:right w:w="58" w:type="dxa"/>
            </w:tcMar>
            <w:vAlign w:val="center"/>
          </w:tcPr>
          <w:p w14:paraId="3D302662" w14:textId="77777777" w:rsidR="00574A27" w:rsidRPr="000D515F" w:rsidRDefault="00574A27" w:rsidP="0044787A">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بيانات الأداء</w:t>
            </w:r>
          </w:p>
        </w:tc>
        <w:tc>
          <w:tcPr>
            <w:tcW w:w="448" w:type="pct"/>
            <w:gridSpan w:val="3"/>
            <w:shd w:val="clear" w:color="auto" w:fill="auto"/>
            <w:tcMar>
              <w:top w:w="110" w:type="dxa"/>
              <w:left w:w="58" w:type="dxa"/>
              <w:right w:w="58" w:type="dxa"/>
            </w:tcMar>
            <w:vAlign w:val="center"/>
          </w:tcPr>
          <w:p w14:paraId="7B3D5B69" w14:textId="77777777" w:rsidR="00574A27" w:rsidRPr="000D515F" w:rsidRDefault="00574A27" w:rsidP="0044787A">
            <w:pPr>
              <w:keepNext/>
              <w:bidi/>
              <w:spacing w:before="120"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السير</w:t>
            </w:r>
          </w:p>
        </w:tc>
      </w:tr>
      <w:tr w:rsidR="00574A27" w:rsidRPr="000D515F" w14:paraId="660700B7" w14:textId="77777777" w:rsidTr="000D515F">
        <w:trPr>
          <w:gridAfter w:val="1"/>
          <w:wAfter w:w="133" w:type="pct"/>
          <w:cantSplit/>
          <w:trHeight w:val="20"/>
        </w:trPr>
        <w:tc>
          <w:tcPr>
            <w:tcW w:w="921" w:type="pct"/>
            <w:shd w:val="clear" w:color="auto" w:fill="auto"/>
            <w:tcMar>
              <w:left w:w="58" w:type="dxa"/>
              <w:right w:w="58" w:type="dxa"/>
            </w:tcMar>
          </w:tcPr>
          <w:p w14:paraId="37A2B380" w14:textId="7BB982EC" w:rsidR="00574A27" w:rsidRPr="000D515F" w:rsidRDefault="00574A27" w:rsidP="0044787A">
            <w:pPr>
              <w:pStyle w:val="Default"/>
              <w:suppressLineNumbers/>
              <w:suppressAutoHyphens/>
              <w:spacing w:after="120" w:line="280" w:lineRule="exact"/>
              <w:rPr>
                <w:rFonts w:ascii="Arabic Typesetting" w:hAnsi="Arabic Typesetting" w:cs="Arabic Typesetting"/>
                <w:sz w:val="28"/>
                <w:szCs w:val="28"/>
              </w:rPr>
            </w:pPr>
            <w:r w:rsidRPr="000D515F">
              <w:rPr>
                <w:rFonts w:ascii="Arabic Typesetting" w:hAnsi="Arabic Typesetting" w:cs="Arabic Typesetting"/>
                <w:sz w:val="28"/>
                <w:szCs w:val="28"/>
              </w:rPr>
              <w:t>النسبة المئوية لواضعي السياسات والمسؤولين الحكوميين والعاملين في مجال الملكية الفكرية وسائر الفئات المستهدفة، بما في ذلك الجامعات ومنظمات الإدارة الجماعية والصحفيون، ممن لديهم فهم معمّق لسياسات الملكية الفكرية وكيفية الانتفاع على نحو فعال بتطور الملكية الفكرية</w:t>
            </w:r>
          </w:p>
        </w:tc>
        <w:tc>
          <w:tcPr>
            <w:tcW w:w="1470" w:type="pct"/>
            <w:gridSpan w:val="4"/>
            <w:shd w:val="clear" w:color="auto" w:fill="auto"/>
            <w:tcMar>
              <w:left w:w="58" w:type="dxa"/>
              <w:right w:w="58" w:type="dxa"/>
            </w:tcMar>
          </w:tcPr>
          <w:p w14:paraId="0EBCFFC0" w14:textId="6ADEB91C" w:rsidR="00574A27" w:rsidRPr="000D515F" w:rsidRDefault="00574A27" w:rsidP="0044787A">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
                <w:color w:val="002060"/>
                <w:sz w:val="28"/>
                <w:szCs w:val="28"/>
                <w:rtl/>
              </w:rPr>
              <w:t xml:space="preserve"> </w:t>
            </w:r>
            <w:r w:rsidRPr="000D515F">
              <w:rPr>
                <w:rFonts w:ascii="Arabic Typesetting" w:hAnsi="Arabic Typesetting" w:cs="Arabic Typesetting"/>
                <w:iCs/>
                <w:color w:val="002060"/>
                <w:sz w:val="28"/>
                <w:szCs w:val="28"/>
                <w:rtl/>
              </w:rPr>
              <w:t xml:space="preserve">أساس </w:t>
            </w:r>
            <w:r w:rsidR="0044787A">
              <w:rPr>
                <w:rFonts w:ascii="Arabic Typesetting" w:hAnsi="Arabic Typesetting" w:cs="Arabic Typesetting"/>
                <w:iCs/>
                <w:color w:val="002060"/>
                <w:sz w:val="28"/>
                <w:szCs w:val="28"/>
                <w:rtl/>
              </w:rPr>
              <w:t>المقارنة المحدّث في نهاية 2015:</w:t>
            </w:r>
            <w:r w:rsidR="0044787A">
              <w:rPr>
                <w:rFonts w:ascii="Arabic Typesetting" w:hAnsi="Arabic Typesetting" w:cs="Arabic Typesetting" w:hint="cs"/>
                <w:iCs/>
                <w:color w:val="002060"/>
                <w:sz w:val="28"/>
                <w:szCs w:val="28"/>
                <w:rtl/>
              </w:rPr>
              <w:br/>
            </w:r>
            <w:r w:rsidRPr="000D515F">
              <w:rPr>
                <w:rFonts w:ascii="Arabic Typesetting" w:hAnsi="Arabic Typesetting" w:cs="Arabic Typesetting"/>
                <w:color w:val="002060"/>
                <w:sz w:val="28"/>
                <w:szCs w:val="28"/>
                <w:rtl/>
              </w:rPr>
              <w:t>75% (مكتب البرازيل)</w:t>
            </w:r>
            <w:r w:rsidR="0044787A">
              <w:rPr>
                <w:rFonts w:ascii="Arabic Typesetting" w:hAnsi="Arabic Typesetting" w:cs="Arabic Typesetting" w:hint="cs"/>
                <w:color w:val="002060"/>
                <w:sz w:val="28"/>
                <w:szCs w:val="28"/>
                <w:rtl/>
              </w:rPr>
              <w:br/>
            </w:r>
            <w:r w:rsidRPr="000D515F">
              <w:rPr>
                <w:rFonts w:ascii="Arabic Typesetting" w:hAnsi="Arabic Typesetting" w:cs="Arabic Typesetting"/>
                <w:color w:val="002060"/>
                <w:sz w:val="28"/>
                <w:szCs w:val="28"/>
                <w:rtl/>
              </w:rPr>
              <w:t>100% (مكتب اليابان)</w:t>
            </w:r>
            <w:r w:rsidR="0044787A">
              <w:rPr>
                <w:rFonts w:ascii="Arabic Typesetting" w:hAnsi="Arabic Typesetting" w:cs="Arabic Typesetting" w:hint="cs"/>
                <w:color w:val="002060"/>
                <w:sz w:val="28"/>
                <w:szCs w:val="28"/>
                <w:rtl/>
              </w:rPr>
              <w:br/>
            </w:r>
            <w:r w:rsidRPr="000D515F">
              <w:rPr>
                <w:rFonts w:ascii="Arabic Typesetting" w:hAnsi="Arabic Typesetting" w:cs="Arabic Typesetting"/>
                <w:color w:val="002060"/>
                <w:sz w:val="28"/>
                <w:szCs w:val="28"/>
                <w:rtl/>
              </w:rPr>
              <w:t>100% (مكتب سنغافورة)</w:t>
            </w:r>
          </w:p>
          <w:p w14:paraId="7C8A3153" w14:textId="5D7E97EE" w:rsidR="00574A27" w:rsidRDefault="000D515F" w:rsidP="0044787A">
            <w:pPr>
              <w:suppressLineNumbers/>
              <w:suppressAutoHyphens/>
              <w:bidi/>
              <w:spacing w:line="280" w:lineRule="exact"/>
              <w:rPr>
                <w:rFonts w:ascii="Arabic Typesetting" w:hAnsi="Arabic Typesetting" w:cs="Arabic Typesetting"/>
                <w:iCs/>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44787A">
              <w:rPr>
                <w:rFonts w:ascii="Arabic Typesetting" w:hAnsi="Arabic Typesetting" w:cs="Arabic Typesetting"/>
                <w:iCs/>
                <w:sz w:val="28"/>
                <w:szCs w:val="28"/>
                <w:rtl/>
              </w:rPr>
              <w:t>2016/17:</w:t>
            </w:r>
          </w:p>
          <w:p w14:paraId="5C934299"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100% من المشاركين اتفقوا على أن المهارات والمعارف المكتسبة من الندوة جلبت قيمة مضافة إلى منظمتهم (مكتب سنغافورة)، 75% (مكتب البرازيل)، لا ينطبق (مكتب اليابان) (لم ينظم مكتب الويبو في اليابان ندوات في عام 2014)</w:t>
            </w:r>
          </w:p>
        </w:tc>
        <w:tc>
          <w:tcPr>
            <w:tcW w:w="739" w:type="pct"/>
            <w:gridSpan w:val="2"/>
            <w:shd w:val="clear" w:color="auto" w:fill="auto"/>
            <w:tcMar>
              <w:top w:w="110" w:type="dxa"/>
              <w:left w:w="58" w:type="dxa"/>
              <w:right w:w="58" w:type="dxa"/>
            </w:tcMar>
          </w:tcPr>
          <w:p w14:paraId="6EE4BC8A" w14:textId="5E3F70CD" w:rsidR="00574A27" w:rsidRPr="000D515F" w:rsidRDefault="00574A27" w:rsidP="0044787A">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
                <w:color w:val="002060"/>
                <w:sz w:val="28"/>
                <w:szCs w:val="28"/>
                <w:rtl/>
              </w:rPr>
              <w:t xml:space="preserve"> </w:t>
            </w:r>
            <w:r w:rsidR="0044787A">
              <w:rPr>
                <w:rFonts w:ascii="Arabic Typesetting" w:hAnsi="Arabic Typesetting" w:cs="Arabic Typesetting"/>
                <w:iCs/>
                <w:color w:val="002060"/>
                <w:sz w:val="28"/>
                <w:szCs w:val="28"/>
                <w:rtl/>
              </w:rPr>
              <w:t>الهدف المُحدَّث:</w:t>
            </w:r>
            <w:r w:rsidR="0044787A">
              <w:rPr>
                <w:rFonts w:ascii="Arabic Typesetting" w:hAnsi="Arabic Typesetting" w:cs="Arabic Typesetting" w:hint="cs"/>
                <w:iCs/>
                <w:color w:val="002060"/>
                <w:sz w:val="28"/>
                <w:szCs w:val="28"/>
                <w:rtl/>
              </w:rPr>
              <w:br/>
            </w:r>
            <w:r w:rsidRPr="000D515F">
              <w:rPr>
                <w:rFonts w:ascii="Arabic Typesetting" w:hAnsi="Arabic Typesetting" w:cs="Arabic Typesetting"/>
                <w:color w:val="002060"/>
                <w:sz w:val="28"/>
                <w:szCs w:val="28"/>
                <w:rtl/>
              </w:rPr>
              <w:t>85%</w:t>
            </w:r>
          </w:p>
          <w:p w14:paraId="542E98F1" w14:textId="3D49B7A3" w:rsidR="00574A27" w:rsidRPr="000D515F" w:rsidRDefault="00574A27" w:rsidP="000C4432">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iCs/>
                <w:sz w:val="28"/>
                <w:szCs w:val="28"/>
                <w:rtl/>
              </w:rPr>
              <w:t>الهدف الأ</w:t>
            </w:r>
            <w:r w:rsidR="000C4432">
              <w:rPr>
                <w:rFonts w:ascii="Arabic Typesetting" w:hAnsi="Arabic Typesetting" w:cs="Arabic Typesetting"/>
                <w:iCs/>
                <w:sz w:val="28"/>
                <w:szCs w:val="28"/>
                <w:rtl/>
              </w:rPr>
              <w:t>صلي</w:t>
            </w:r>
            <w:r w:rsidR="000C4432">
              <w:rPr>
                <w:rFonts w:ascii="Arabic Typesetting" w:hAnsi="Arabic Typesetting" w:cs="Arabic Typesetting" w:hint="cs"/>
                <w:iCs/>
                <w:sz w:val="28"/>
                <w:szCs w:val="28"/>
                <w:rtl/>
              </w:rPr>
              <w:t>:</w:t>
            </w:r>
            <w:r w:rsidR="000C4432">
              <w:rPr>
                <w:rFonts w:ascii="Arabic Typesetting" w:hAnsi="Arabic Typesetting" w:cs="Arabic Typesetting" w:hint="cs"/>
                <w:iCs/>
                <w:sz w:val="28"/>
                <w:szCs w:val="28"/>
                <w:rtl/>
              </w:rPr>
              <w:br/>
            </w:r>
            <w:r w:rsidR="0044787A">
              <w:rPr>
                <w:rFonts w:ascii="Arabic Typesetting" w:hAnsi="Arabic Typesetting" w:cs="Arabic Typesetting"/>
                <w:iCs/>
                <w:sz w:val="28"/>
                <w:szCs w:val="28"/>
                <w:rtl/>
              </w:rPr>
              <w:t>برنامج وميزانية 2016/17:</w:t>
            </w:r>
            <w:r w:rsidR="0044787A">
              <w:rPr>
                <w:rFonts w:ascii="Arabic Typesetting" w:hAnsi="Arabic Typesetting" w:cs="Arabic Typesetting" w:hint="cs"/>
                <w:iCs/>
                <w:sz w:val="28"/>
                <w:szCs w:val="28"/>
                <w:rtl/>
              </w:rPr>
              <w:br/>
            </w:r>
            <w:r w:rsidR="0044787A">
              <w:rPr>
                <w:rFonts w:ascii="Arabic Typesetting" w:hAnsi="Arabic Typesetting" w:cs="Arabic Typesetting" w:hint="cs"/>
                <w:sz w:val="28"/>
                <w:szCs w:val="28"/>
                <w:rtl/>
              </w:rPr>
              <w:t>75%</w:t>
            </w:r>
          </w:p>
        </w:tc>
        <w:tc>
          <w:tcPr>
            <w:tcW w:w="1289" w:type="pct"/>
            <w:gridSpan w:val="4"/>
            <w:shd w:val="clear" w:color="auto" w:fill="FFFFFF"/>
            <w:tcMar>
              <w:top w:w="110" w:type="dxa"/>
              <w:left w:w="58" w:type="dxa"/>
              <w:right w:w="58" w:type="dxa"/>
            </w:tcMar>
          </w:tcPr>
          <w:p w14:paraId="1AAE2DBE" w14:textId="77777777" w:rsidR="00574A27"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 xml:space="preserve"> البيانات غير متاحة (مكتب البرازيل)</w:t>
            </w:r>
          </w:p>
          <w:p w14:paraId="4E55F702" w14:textId="77777777" w:rsidR="0044787A" w:rsidRPr="000D515F" w:rsidRDefault="0044787A" w:rsidP="0044787A">
            <w:pPr>
              <w:suppressLineNumbers/>
              <w:suppressAutoHyphens/>
              <w:bidi/>
              <w:spacing w:after="120" w:line="280" w:lineRule="exact"/>
              <w:rPr>
                <w:rFonts w:ascii="Arabic Typesetting" w:hAnsi="Arabic Typesetting" w:cs="Arabic Typesetting"/>
                <w:sz w:val="28"/>
                <w:szCs w:val="28"/>
                <w:rtl/>
              </w:rPr>
            </w:pPr>
          </w:p>
          <w:p w14:paraId="37237CCC" w14:textId="77777777"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100% (مكتب اليابان)</w:t>
            </w:r>
          </w:p>
          <w:p w14:paraId="5C9984A4" w14:textId="567E8234" w:rsidR="00574A27" w:rsidRPr="0044787A" w:rsidRDefault="00574A27" w:rsidP="0044787A">
            <w:pPr>
              <w:suppressLineNumbers/>
              <w:suppressAutoHyphens/>
              <w:bidi/>
              <w:spacing w:after="120" w:line="280" w:lineRule="exact"/>
              <w:rPr>
                <w:rFonts w:ascii="Arabic Typesetting" w:eastAsia="Calibri" w:hAnsi="Arabic Typesetting" w:cs="Arabic Typesetting"/>
                <w:sz w:val="28"/>
                <w:szCs w:val="28"/>
              </w:rPr>
            </w:pPr>
            <w:r w:rsidRPr="000D515F">
              <w:rPr>
                <w:rFonts w:ascii="Arabic Typesetting" w:hAnsi="Arabic Typesetting" w:cs="Arabic Typesetting"/>
                <w:sz w:val="28"/>
                <w:szCs w:val="28"/>
                <w:rtl/>
              </w:rPr>
              <w:t>87% (مكتب سنغافورة)</w:t>
            </w:r>
          </w:p>
        </w:tc>
        <w:tc>
          <w:tcPr>
            <w:tcW w:w="448" w:type="pct"/>
            <w:gridSpan w:val="3"/>
            <w:shd w:val="clear" w:color="auto" w:fill="auto"/>
            <w:tcMar>
              <w:top w:w="110" w:type="dxa"/>
              <w:left w:w="58" w:type="dxa"/>
              <w:right w:w="58" w:type="dxa"/>
            </w:tcMar>
          </w:tcPr>
          <w:p w14:paraId="0882659E" w14:textId="77777777" w:rsidR="00574A27" w:rsidRPr="000D515F" w:rsidRDefault="00574A27" w:rsidP="0044787A">
            <w:pPr>
              <w:suppressLineNumbers/>
              <w:suppressAutoHyphens/>
              <w:bidi/>
              <w:spacing w:after="240" w:line="280" w:lineRule="exact"/>
              <w:jc w:val="center"/>
              <w:rPr>
                <w:rFonts w:ascii="Arabic Typesetting" w:hAnsi="Arabic Typesetting" w:cs="Arabic Typesetting"/>
                <w:bCs/>
                <w:color w:val="808080"/>
                <w:sz w:val="28"/>
                <w:szCs w:val="28"/>
                <w:rtl/>
              </w:rPr>
            </w:pPr>
            <w:r w:rsidRPr="000D515F">
              <w:rPr>
                <w:rFonts w:ascii="Arabic Typesetting" w:hAnsi="Arabic Typesetting" w:cs="Arabic Typesetting"/>
                <w:bCs/>
                <w:color w:val="808080"/>
                <w:sz w:val="28"/>
                <w:szCs w:val="28"/>
                <w:rtl/>
              </w:rPr>
              <w:t>غير قابل للقياس</w:t>
            </w:r>
          </w:p>
          <w:p w14:paraId="0D81104E"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64B7460B" w14:textId="52F1D3B4" w:rsidR="00574A27" w:rsidRPr="0044787A" w:rsidRDefault="00574A27" w:rsidP="0044787A">
            <w:pPr>
              <w:suppressLineNumbers/>
              <w:suppressAutoHyphens/>
              <w:bidi/>
              <w:spacing w:after="120" w:line="280" w:lineRule="exact"/>
              <w:jc w:val="center"/>
              <w:rPr>
                <w:rFonts w:ascii="Arabic Typesetting" w:hAnsi="Arabic Typesetting" w:cs="Arabic Typesetting"/>
                <w:bCs/>
                <w:color w:val="00B050"/>
                <w:sz w:val="28"/>
                <w:szCs w:val="28"/>
              </w:rPr>
            </w:pPr>
            <w:r w:rsidRPr="000D515F">
              <w:rPr>
                <w:rFonts w:ascii="Arabic Typesetting" w:hAnsi="Arabic Typesetting" w:cs="Arabic Typesetting"/>
                <w:bCs/>
                <w:color w:val="00B050"/>
                <w:sz w:val="28"/>
                <w:szCs w:val="28"/>
                <w:rtl/>
              </w:rPr>
              <w:t>ثابت</w:t>
            </w:r>
          </w:p>
        </w:tc>
      </w:tr>
      <w:tr w:rsidR="00574A27" w:rsidRPr="000D515F" w14:paraId="3CD68458" w14:textId="77777777" w:rsidTr="00BD308F">
        <w:trPr>
          <w:gridAfter w:val="1"/>
          <w:wAfter w:w="133" w:type="pct"/>
          <w:trHeight w:val="565"/>
        </w:trPr>
        <w:tc>
          <w:tcPr>
            <w:tcW w:w="4867" w:type="pct"/>
            <w:gridSpan w:val="14"/>
            <w:shd w:val="clear" w:color="auto" w:fill="C6D9F1" w:themeFill="text2" w:themeFillTint="33"/>
            <w:tcMar>
              <w:left w:w="58" w:type="dxa"/>
              <w:right w:w="58" w:type="dxa"/>
            </w:tcMar>
            <w:vAlign w:val="center"/>
          </w:tcPr>
          <w:p w14:paraId="35B35BD3" w14:textId="77777777" w:rsidR="00574A27" w:rsidRPr="000D515F" w:rsidRDefault="00574A27" w:rsidP="00E335D4">
            <w:pPr>
              <w:keepNext/>
              <w:bidi/>
              <w:spacing w:before="120" w:after="120" w:line="280" w:lineRule="exact"/>
              <w:ind w:left="1167" w:hanging="1167"/>
              <w:rPr>
                <w:rFonts w:ascii="Arabic Typesetting" w:hAnsi="Arabic Typesetting" w:cs="Arabic Typesetting"/>
                <w:color w:val="000000"/>
                <w:sz w:val="28"/>
                <w:szCs w:val="28"/>
                <w:rtl/>
              </w:rPr>
            </w:pPr>
            <w:r w:rsidRPr="000D515F">
              <w:rPr>
                <w:rFonts w:ascii="Arabic Typesetting" w:hAnsi="Arabic Typesetting" w:cs="Arabic Typesetting"/>
                <w:b/>
                <w:bCs/>
                <w:sz w:val="28"/>
                <w:szCs w:val="28"/>
                <w:rtl/>
              </w:rPr>
              <w:lastRenderedPageBreak/>
              <w:t>النتيجة المرتقبة:</w:t>
            </w:r>
            <w:r w:rsidRPr="000D515F">
              <w:rPr>
                <w:rFonts w:ascii="Arabic Typesetting" w:hAnsi="Arabic Typesetting" w:cs="Arabic Typesetting"/>
                <w:b/>
                <w:bCs/>
                <w:sz w:val="28"/>
                <w:szCs w:val="28"/>
                <w:rtl/>
              </w:rPr>
              <w:tab/>
            </w:r>
            <w:r w:rsidRPr="000D515F">
              <w:rPr>
                <w:rFonts w:ascii="Arabic Typesetting" w:hAnsi="Arabic Typesetting" w:cs="Arabic Typesetting"/>
                <w:sz w:val="28"/>
                <w:szCs w:val="28"/>
                <w:rtl/>
              </w:rPr>
              <w:t>ھ2.4 نفاذ محسّن إلى المعلومات المتعلقة بالملكية الفكرية واستخدامها من قبل مؤسسات الملكية الفكرية والجمهور لتشجيع الابتكار والإبداع</w:t>
            </w:r>
          </w:p>
        </w:tc>
      </w:tr>
      <w:tr w:rsidR="00574A27" w:rsidRPr="000D515F" w14:paraId="05EB1D11" w14:textId="77777777" w:rsidTr="00BD308F">
        <w:trPr>
          <w:gridAfter w:val="1"/>
          <w:wAfter w:w="133" w:type="pct"/>
        </w:trPr>
        <w:tc>
          <w:tcPr>
            <w:tcW w:w="921" w:type="pct"/>
            <w:shd w:val="clear" w:color="auto" w:fill="auto"/>
            <w:tcMar>
              <w:left w:w="58" w:type="dxa"/>
              <w:right w:w="58" w:type="dxa"/>
            </w:tcMar>
            <w:vAlign w:val="center"/>
          </w:tcPr>
          <w:p w14:paraId="0CA003E1" w14:textId="77777777" w:rsidR="00574A27" w:rsidRPr="000D515F" w:rsidRDefault="00574A27" w:rsidP="00E335D4">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 xml:space="preserve"> مؤشرات الأداء</w:t>
            </w:r>
          </w:p>
        </w:tc>
        <w:tc>
          <w:tcPr>
            <w:tcW w:w="1470" w:type="pct"/>
            <w:gridSpan w:val="4"/>
            <w:shd w:val="clear" w:color="auto" w:fill="auto"/>
            <w:tcMar>
              <w:left w:w="58" w:type="dxa"/>
              <w:right w:w="58" w:type="dxa"/>
            </w:tcMar>
            <w:vAlign w:val="center"/>
          </w:tcPr>
          <w:p w14:paraId="71C19565" w14:textId="77777777" w:rsidR="00574A27" w:rsidRPr="000D515F" w:rsidRDefault="00574A27" w:rsidP="00E335D4">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أسس المقارنة</w:t>
            </w:r>
          </w:p>
        </w:tc>
        <w:tc>
          <w:tcPr>
            <w:tcW w:w="739" w:type="pct"/>
            <w:gridSpan w:val="2"/>
            <w:shd w:val="clear" w:color="auto" w:fill="auto"/>
            <w:tcMar>
              <w:top w:w="110" w:type="dxa"/>
              <w:left w:w="58" w:type="dxa"/>
              <w:right w:w="58" w:type="dxa"/>
            </w:tcMar>
            <w:vAlign w:val="center"/>
          </w:tcPr>
          <w:p w14:paraId="2A8D288C" w14:textId="77777777" w:rsidR="00574A27" w:rsidRPr="000D515F" w:rsidRDefault="00574A27" w:rsidP="00E335D4">
            <w:pPr>
              <w:keepNext/>
              <w:tabs>
                <w:tab w:val="left" w:pos="290"/>
              </w:tabs>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الأهداف</w:t>
            </w:r>
          </w:p>
        </w:tc>
        <w:tc>
          <w:tcPr>
            <w:tcW w:w="1289" w:type="pct"/>
            <w:gridSpan w:val="4"/>
            <w:shd w:val="clear" w:color="auto" w:fill="FFFFFF"/>
            <w:tcMar>
              <w:top w:w="110" w:type="dxa"/>
              <w:left w:w="58" w:type="dxa"/>
              <w:right w:w="58" w:type="dxa"/>
            </w:tcMar>
            <w:vAlign w:val="center"/>
          </w:tcPr>
          <w:p w14:paraId="04594912" w14:textId="77777777" w:rsidR="00574A27" w:rsidRPr="000D515F" w:rsidRDefault="00574A27" w:rsidP="00E335D4">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بيانات الأداء</w:t>
            </w:r>
          </w:p>
        </w:tc>
        <w:tc>
          <w:tcPr>
            <w:tcW w:w="448" w:type="pct"/>
            <w:gridSpan w:val="3"/>
            <w:shd w:val="clear" w:color="auto" w:fill="auto"/>
            <w:tcMar>
              <w:top w:w="110" w:type="dxa"/>
              <w:left w:w="58" w:type="dxa"/>
              <w:right w:w="58" w:type="dxa"/>
            </w:tcMar>
            <w:vAlign w:val="center"/>
          </w:tcPr>
          <w:p w14:paraId="7054F294" w14:textId="77777777" w:rsidR="00574A27" w:rsidRPr="000D515F" w:rsidRDefault="00574A27" w:rsidP="00E335D4">
            <w:pPr>
              <w:keepNext/>
              <w:bidi/>
              <w:spacing w:before="120"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السير</w:t>
            </w:r>
          </w:p>
        </w:tc>
      </w:tr>
      <w:tr w:rsidR="00574A27" w:rsidRPr="000D515F" w14:paraId="4324BEF8" w14:textId="77777777" w:rsidTr="00BD308F">
        <w:trPr>
          <w:gridAfter w:val="1"/>
          <w:wAfter w:w="133" w:type="pct"/>
          <w:trHeight w:val="520"/>
        </w:trPr>
        <w:tc>
          <w:tcPr>
            <w:tcW w:w="921" w:type="pct"/>
            <w:shd w:val="clear" w:color="auto" w:fill="auto"/>
            <w:tcMar>
              <w:left w:w="58" w:type="dxa"/>
              <w:right w:w="58" w:type="dxa"/>
            </w:tcMar>
          </w:tcPr>
          <w:p w14:paraId="10DB7708" w14:textId="51B20F6E"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عدد مستخدمي قواعد بيانات</w:t>
            </w:r>
            <w:r w:rsidR="0044787A">
              <w:rPr>
                <w:rFonts w:ascii="Arabic Typesetting" w:hAnsi="Arabic Typesetting" w:cs="Arabic Typesetting"/>
                <w:sz w:val="28"/>
                <w:szCs w:val="28"/>
              </w:rPr>
              <w:t xml:space="preserve"> الويبو العالمية: ركن البراءات </w:t>
            </w:r>
            <w:r w:rsidRPr="000D515F">
              <w:rPr>
                <w:rFonts w:ascii="Arabic Typesetting" w:hAnsi="Arabic Typesetting" w:cs="Arabic Typesetting"/>
                <w:sz w:val="28"/>
                <w:szCs w:val="28"/>
              </w:rPr>
              <w:t>وقاعدة البيانات العالمية لأدوات التوسيم، وقاعدة البيانات العالمية للتصاميم</w:t>
            </w:r>
          </w:p>
        </w:tc>
        <w:tc>
          <w:tcPr>
            <w:tcW w:w="1470" w:type="pct"/>
            <w:gridSpan w:val="4"/>
            <w:shd w:val="clear" w:color="auto" w:fill="auto"/>
            <w:tcMar>
              <w:left w:w="58" w:type="dxa"/>
              <w:right w:w="58" w:type="dxa"/>
            </w:tcMar>
          </w:tcPr>
          <w:p w14:paraId="01F5E29C" w14:textId="6ECFE60D" w:rsidR="00574A27" w:rsidRPr="000D515F" w:rsidRDefault="00574A27" w:rsidP="00E335D4">
            <w:pPr>
              <w:keepNext/>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Cs/>
                <w:color w:val="002060"/>
                <w:sz w:val="28"/>
                <w:szCs w:val="28"/>
                <w:rtl/>
              </w:rPr>
              <w:t xml:space="preserve"> أساس ال</w:t>
            </w:r>
            <w:r w:rsidR="0044787A">
              <w:rPr>
                <w:rFonts w:ascii="Arabic Typesetting" w:hAnsi="Arabic Typesetting" w:cs="Arabic Typesetting"/>
                <w:iCs/>
                <w:color w:val="002060"/>
                <w:sz w:val="28"/>
                <w:szCs w:val="28"/>
                <w:rtl/>
              </w:rPr>
              <w:t>مقارنة المحدّث في نهاية 2015</w:t>
            </w:r>
            <w:r w:rsidR="0044787A">
              <w:rPr>
                <w:rFonts w:ascii="Arabic Typesetting" w:hAnsi="Arabic Typesetting" w:cs="Arabic Typesetting" w:hint="cs"/>
                <w:iCs/>
                <w:color w:val="002060"/>
                <w:sz w:val="28"/>
                <w:szCs w:val="28"/>
                <w:rtl/>
              </w:rPr>
              <w:t>:</w:t>
            </w:r>
            <w:r w:rsidR="0044787A">
              <w:rPr>
                <w:rFonts w:ascii="Arabic Typesetting" w:hAnsi="Arabic Typesetting" w:cs="Arabic Typesetting" w:hint="cs"/>
                <w:iCs/>
                <w:color w:val="002060"/>
                <w:sz w:val="28"/>
                <w:szCs w:val="28"/>
                <w:rtl/>
              </w:rPr>
              <w:br/>
            </w:r>
            <w:r w:rsidRPr="000D515F">
              <w:rPr>
                <w:rFonts w:ascii="Arabic Typesetting" w:hAnsi="Arabic Typesetting" w:cs="Arabic Typesetting"/>
                <w:iCs/>
                <w:color w:val="002060"/>
                <w:sz w:val="28"/>
                <w:szCs w:val="28"/>
                <w:rtl/>
              </w:rPr>
              <w:t>2014/15:</w:t>
            </w:r>
            <w:r w:rsidR="0044787A">
              <w:rPr>
                <w:rFonts w:ascii="Arabic Typesetting" w:hAnsi="Arabic Typesetting" w:cs="Arabic Typesetting" w:hint="cs"/>
                <w:iCs/>
                <w:color w:val="002060"/>
                <w:sz w:val="28"/>
                <w:szCs w:val="28"/>
                <w:rtl/>
              </w:rPr>
              <w:br/>
            </w:r>
            <w:r w:rsidRPr="000D515F">
              <w:rPr>
                <w:rFonts w:ascii="Arabic Typesetting" w:hAnsi="Arabic Typesetting" w:cs="Arabic Typesetting"/>
                <w:color w:val="002060"/>
                <w:sz w:val="28"/>
                <w:szCs w:val="28"/>
                <w:rtl/>
              </w:rPr>
              <w:t>ركن البراءات (</w:t>
            </w:r>
            <w:r w:rsidRPr="000D515F">
              <w:rPr>
                <w:rFonts w:ascii="Arabic Typesetting" w:hAnsi="Arabic Typesetting" w:cs="Arabic Typesetting"/>
                <w:color w:val="002060"/>
                <w:sz w:val="28"/>
                <w:szCs w:val="28"/>
              </w:rPr>
              <w:t>PATENTSCOPE</w:t>
            </w:r>
            <w:r w:rsidR="0044787A">
              <w:rPr>
                <w:rFonts w:ascii="Arabic Typesetting" w:hAnsi="Arabic Typesetting" w:cs="Arabic Typesetting"/>
                <w:color w:val="002060"/>
                <w:sz w:val="28"/>
                <w:szCs w:val="28"/>
                <w:rtl/>
              </w:rPr>
              <w:t>):</w:t>
            </w:r>
          </w:p>
          <w:p w14:paraId="51032CE0" w14:textId="77777777"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البرازيل (533 8)</w:t>
            </w:r>
          </w:p>
          <w:p w14:paraId="01DD5BAE" w14:textId="103A81E2"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الصين (454 27) (2015 فقط)</w:t>
            </w:r>
          </w:p>
          <w:p w14:paraId="2412E593" w14:textId="77777777"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اليابان (743 30)</w:t>
            </w:r>
          </w:p>
          <w:p w14:paraId="03FDF733" w14:textId="77777777"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روسيا (292 6) (2015 فقط)</w:t>
            </w:r>
          </w:p>
          <w:p w14:paraId="41010BE3" w14:textId="77777777" w:rsidR="00574A27" w:rsidRPr="000D515F" w:rsidRDefault="00574A27" w:rsidP="00E335D4">
            <w:pPr>
              <w:pStyle w:val="ListParagraph"/>
              <w:keepNext/>
              <w:numPr>
                <w:ilvl w:val="0"/>
                <w:numId w:val="105"/>
              </w:numPr>
              <w:bidi/>
              <w:spacing w:after="24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سنغافورة (525 15)</w:t>
            </w:r>
          </w:p>
          <w:p w14:paraId="7151EA0B" w14:textId="77777777" w:rsidR="00574A27" w:rsidRPr="000D515F" w:rsidRDefault="00574A27" w:rsidP="00E335D4">
            <w:pPr>
              <w:keepNext/>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قاعدة البيانات العالمية لأدوات التوسيم:</w:t>
            </w:r>
          </w:p>
          <w:p w14:paraId="6E8C9F5B" w14:textId="77777777"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البرازيل (036 1)</w:t>
            </w:r>
          </w:p>
          <w:p w14:paraId="23CA4D89" w14:textId="77777777"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الصين (181 3) (2015 فقط)</w:t>
            </w:r>
          </w:p>
          <w:p w14:paraId="230D54C4" w14:textId="77777777"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اليابان (883 6)</w:t>
            </w:r>
          </w:p>
          <w:p w14:paraId="5179AE6E" w14:textId="77777777"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روسيا (475 2) (2015 فقط)</w:t>
            </w:r>
          </w:p>
          <w:p w14:paraId="442599E3" w14:textId="77777777" w:rsidR="00574A27" w:rsidRPr="000D515F" w:rsidRDefault="00574A27" w:rsidP="00E335D4">
            <w:pPr>
              <w:pStyle w:val="ListParagraph"/>
              <w:keepNext/>
              <w:numPr>
                <w:ilvl w:val="0"/>
                <w:numId w:val="105"/>
              </w:numPr>
              <w:bidi/>
              <w:spacing w:after="24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سنغافورة (947 24)</w:t>
            </w:r>
          </w:p>
          <w:p w14:paraId="5A2E6D46" w14:textId="45D0FE6A" w:rsidR="00574A27" w:rsidRPr="000D515F" w:rsidRDefault="00574A27" w:rsidP="00E335D4">
            <w:pPr>
              <w:keepNext/>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قاعدة البيانات العالمية للتصاميم (2015</w:t>
            </w:r>
            <w:r w:rsidR="0044787A">
              <w:rPr>
                <w:rFonts w:ascii="Arabic Typesetting" w:hAnsi="Arabic Typesetting" w:cs="Arabic Typesetting" w:hint="cs"/>
                <w:color w:val="002060"/>
                <w:sz w:val="28"/>
                <w:szCs w:val="28"/>
                <w:rtl/>
              </w:rPr>
              <w:t> </w:t>
            </w:r>
            <w:r w:rsidRPr="000D515F">
              <w:rPr>
                <w:rFonts w:ascii="Arabic Typesetting" w:hAnsi="Arabic Typesetting" w:cs="Arabic Typesetting"/>
                <w:color w:val="002060"/>
                <w:sz w:val="28"/>
                <w:szCs w:val="28"/>
                <w:rtl/>
              </w:rPr>
              <w:t>فقط)</w:t>
            </w:r>
            <w:r w:rsidR="0044787A">
              <w:rPr>
                <w:rFonts w:ascii="Arabic Typesetting" w:hAnsi="Arabic Typesetting" w:cs="Arabic Typesetting" w:hint="cs"/>
                <w:color w:val="002060"/>
                <w:sz w:val="28"/>
                <w:szCs w:val="28"/>
                <w:rtl/>
              </w:rPr>
              <w:t>:</w:t>
            </w:r>
          </w:p>
          <w:p w14:paraId="422304CD" w14:textId="77777777"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البرازيل (107)</w:t>
            </w:r>
          </w:p>
          <w:p w14:paraId="547BF54D" w14:textId="77777777"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الصين (420)</w:t>
            </w:r>
          </w:p>
          <w:p w14:paraId="327E7A18" w14:textId="41125F91"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اليابان (736 1)</w:t>
            </w:r>
          </w:p>
          <w:p w14:paraId="391EAC82" w14:textId="77777777" w:rsidR="00574A27" w:rsidRPr="000D515F" w:rsidRDefault="00574A27" w:rsidP="00E335D4">
            <w:pPr>
              <w:pStyle w:val="ListParagraph"/>
              <w:keepNext/>
              <w:numPr>
                <w:ilvl w:val="0"/>
                <w:numId w:val="105"/>
              </w:numPr>
              <w:bidi/>
              <w:spacing w:after="120" w:line="280" w:lineRule="exact"/>
              <w:ind w:hanging="180"/>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روسيا (516)</w:t>
            </w:r>
          </w:p>
          <w:p w14:paraId="68CCBD22" w14:textId="1577F93D" w:rsidR="00574A27" w:rsidRPr="000D515F" w:rsidRDefault="00574A27" w:rsidP="00E335D4">
            <w:pPr>
              <w:pStyle w:val="ListParagraph"/>
              <w:keepNext/>
              <w:numPr>
                <w:ilvl w:val="0"/>
                <w:numId w:val="105"/>
              </w:numPr>
              <w:bidi/>
              <w:spacing w:after="240" w:line="280" w:lineRule="exact"/>
              <w:ind w:hanging="180"/>
              <w:contextualSpacing w:val="0"/>
              <w:rPr>
                <w:rFonts w:ascii="Arabic Typesetting" w:hAnsi="Arabic Typesetting" w:cs="Arabic Typesetting"/>
                <w:i/>
                <w:color w:val="002060"/>
                <w:sz w:val="28"/>
                <w:szCs w:val="28"/>
                <w:rtl/>
              </w:rPr>
            </w:pPr>
            <w:r w:rsidRPr="000D515F">
              <w:rPr>
                <w:rFonts w:ascii="Arabic Typesetting" w:hAnsi="Arabic Typesetting" w:cs="Arabic Typesetting"/>
                <w:color w:val="002060"/>
                <w:sz w:val="28"/>
                <w:szCs w:val="28"/>
                <w:rtl/>
              </w:rPr>
              <w:t>مكتب سنغافورة (437)</w:t>
            </w:r>
          </w:p>
          <w:p w14:paraId="1083394F" w14:textId="6CCCCC91" w:rsidR="00574A27" w:rsidRPr="000D515F" w:rsidRDefault="000D515F" w:rsidP="00E335D4">
            <w:pPr>
              <w:keepNext/>
              <w:suppressLineNumbers/>
              <w:suppressAutoHyphens/>
              <w:bidi/>
              <w:spacing w:after="120" w:line="280" w:lineRule="exact"/>
              <w:rPr>
                <w:rFonts w:ascii="Arabic Typesetting" w:hAnsi="Arabic Typesetting" w:cs="Arabic Typesetting"/>
                <w:iCs/>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574A27" w:rsidRPr="000D515F">
              <w:rPr>
                <w:rFonts w:ascii="Arabic Typesetting" w:hAnsi="Arabic Typesetting" w:cs="Arabic Typesetting"/>
                <w:iCs/>
                <w:sz w:val="28"/>
                <w:szCs w:val="28"/>
                <w:rtl/>
              </w:rPr>
              <w:t>2016/17:</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7"/>
              <w:gridCol w:w="1009"/>
              <w:gridCol w:w="167"/>
            </w:tblGrid>
            <w:tr w:rsidR="00574A27" w:rsidRPr="000D515F" w14:paraId="7CCE78A0" w14:textId="77777777" w:rsidTr="00574A27">
              <w:trPr>
                <w:gridAfter w:val="1"/>
                <w:wAfter w:w="167" w:type="dxa"/>
              </w:trPr>
              <w:tc>
                <w:tcPr>
                  <w:tcW w:w="1287" w:type="dxa"/>
                  <w:tcMar>
                    <w:left w:w="14" w:type="dxa"/>
                    <w:right w:w="14" w:type="dxa"/>
                  </w:tcMar>
                </w:tcPr>
                <w:p w14:paraId="153A4300" w14:textId="1FA8A24A" w:rsidR="00574A27" w:rsidRPr="000D515F" w:rsidRDefault="00574A27" w:rsidP="00E335D4">
                  <w:pPr>
                    <w:keepNext/>
                    <w:suppressLineNumbers/>
                    <w:suppressAutoHyphens/>
                    <w:bidi/>
                    <w:spacing w:after="120" w:line="280" w:lineRule="exact"/>
                    <w:rPr>
                      <w:rFonts w:ascii="Arabic Typesetting" w:hAnsi="Arabic Typesetting" w:cs="Arabic Typesetting"/>
                      <w:i/>
                      <w:sz w:val="28"/>
                      <w:szCs w:val="28"/>
                      <w:rtl/>
                    </w:rPr>
                  </w:pPr>
                  <w:r w:rsidRPr="000D515F">
                    <w:rPr>
                      <w:rFonts w:ascii="Arabic Typesetting" w:hAnsi="Arabic Typesetting" w:cs="Arabic Typesetting"/>
                      <w:sz w:val="28"/>
                      <w:szCs w:val="28"/>
                      <w:rtl/>
                    </w:rPr>
                    <w:t xml:space="preserve">ركن البراءات: </w:t>
                  </w:r>
                </w:p>
              </w:tc>
              <w:tc>
                <w:tcPr>
                  <w:tcW w:w="1009" w:type="dxa"/>
                  <w:tcMar>
                    <w:left w:w="14" w:type="dxa"/>
                    <w:right w:w="14" w:type="dxa"/>
                  </w:tcMar>
                </w:tcPr>
                <w:p w14:paraId="77290C6C" w14:textId="77777777" w:rsidR="00574A27" w:rsidRPr="000D515F" w:rsidRDefault="00574A27" w:rsidP="00E335D4">
                  <w:pPr>
                    <w:keepNext/>
                    <w:suppressLineNumbers/>
                    <w:suppressAutoHyphens/>
                    <w:bidi/>
                    <w:spacing w:after="120" w:line="280" w:lineRule="exact"/>
                    <w:rPr>
                      <w:rFonts w:ascii="Arabic Typesetting" w:hAnsi="Arabic Typesetting" w:cs="Arabic Typesetting"/>
                      <w:i/>
                      <w:sz w:val="28"/>
                      <w:szCs w:val="28"/>
                      <w:rtl/>
                    </w:rPr>
                  </w:pPr>
                  <w:r w:rsidRPr="000D515F">
                    <w:rPr>
                      <w:rFonts w:ascii="Arabic Typesetting" w:hAnsi="Arabic Typesetting" w:cs="Arabic Typesetting"/>
                      <w:sz w:val="28"/>
                      <w:szCs w:val="28"/>
                      <w:rtl/>
                    </w:rPr>
                    <w:t xml:space="preserve">قاعدة البيانات العالمية لأدوات التوسيم: </w:t>
                  </w:r>
                </w:p>
              </w:tc>
            </w:tr>
            <w:tr w:rsidR="00574A27" w:rsidRPr="000D515F" w14:paraId="33A17569" w14:textId="77777777" w:rsidTr="00574A27">
              <w:tc>
                <w:tcPr>
                  <w:tcW w:w="1287" w:type="dxa"/>
                  <w:tcMar>
                    <w:left w:w="14" w:type="dxa"/>
                    <w:right w:w="14" w:type="dxa"/>
                  </w:tcMar>
                </w:tcPr>
                <w:p w14:paraId="17F699D3" w14:textId="77777777" w:rsidR="00574A27" w:rsidRPr="000D515F" w:rsidRDefault="00574A27" w:rsidP="00E335D4">
                  <w:pPr>
                    <w:keepNext/>
                    <w:suppressLineNumbers/>
                    <w:suppressAutoHyphens/>
                    <w:bidi/>
                    <w:spacing w:after="120" w:line="280" w:lineRule="exact"/>
                    <w:rPr>
                      <w:rFonts w:ascii="Arabic Typesetting" w:hAnsi="Arabic Typesetting" w:cs="Arabic Typesetting"/>
                      <w:i/>
                      <w:sz w:val="28"/>
                      <w:szCs w:val="28"/>
                      <w:rtl/>
                    </w:rPr>
                  </w:pPr>
                  <w:r w:rsidRPr="000D515F">
                    <w:rPr>
                      <w:rFonts w:ascii="Arabic Typesetting" w:hAnsi="Arabic Typesetting" w:cs="Arabic Typesetting"/>
                      <w:sz w:val="28"/>
                      <w:szCs w:val="28"/>
                      <w:rtl/>
                    </w:rPr>
                    <w:t xml:space="preserve">054 8 </w:t>
                  </w:r>
                  <w:r w:rsidRPr="000D515F">
                    <w:rPr>
                      <w:rFonts w:ascii="Arabic Typesetting" w:hAnsi="Arabic Typesetting" w:cs="Arabic Typesetting"/>
                      <w:sz w:val="28"/>
                      <w:szCs w:val="28"/>
                      <w:rtl/>
                    </w:rPr>
                    <w:br/>
                    <w:t>(مكتب سنغافورة)</w:t>
                  </w:r>
                </w:p>
              </w:tc>
              <w:tc>
                <w:tcPr>
                  <w:tcW w:w="1176" w:type="dxa"/>
                  <w:gridSpan w:val="2"/>
                  <w:tcMar>
                    <w:left w:w="14" w:type="dxa"/>
                    <w:right w:w="14" w:type="dxa"/>
                  </w:tcMar>
                </w:tcPr>
                <w:p w14:paraId="14A5B1C4" w14:textId="599F79DC" w:rsidR="00574A27" w:rsidRPr="000D515F" w:rsidRDefault="00574A27" w:rsidP="00E335D4">
                  <w:pPr>
                    <w:keepNext/>
                    <w:suppressLineNumbers/>
                    <w:suppressAutoHyphens/>
                    <w:bidi/>
                    <w:spacing w:after="120" w:line="280" w:lineRule="exact"/>
                    <w:rPr>
                      <w:rFonts w:ascii="Arabic Typesetting" w:hAnsi="Arabic Typesetting" w:cs="Arabic Typesetting"/>
                      <w:i/>
                      <w:sz w:val="28"/>
                      <w:szCs w:val="28"/>
                      <w:rtl/>
                    </w:rPr>
                  </w:pPr>
                  <w:r w:rsidRPr="000D515F">
                    <w:rPr>
                      <w:rFonts w:ascii="Arabic Typesetting" w:hAnsi="Arabic Typesetting" w:cs="Arabic Typesetting"/>
                      <w:sz w:val="28"/>
                      <w:szCs w:val="28"/>
                      <w:rtl/>
                    </w:rPr>
                    <w:t xml:space="preserve"> </w:t>
                  </w:r>
                  <w:r w:rsidR="00BD308F">
                    <w:rPr>
                      <w:rFonts w:ascii="Arabic Typesetting" w:hAnsi="Arabic Typesetting" w:cs="Arabic Typesetting"/>
                      <w:sz w:val="28"/>
                      <w:szCs w:val="28"/>
                      <w:rtl/>
                    </w:rPr>
                    <w:t>162 9</w:t>
                  </w:r>
                  <w:r w:rsidR="00BD308F">
                    <w:rPr>
                      <w:rFonts w:ascii="Arabic Typesetting" w:hAnsi="Arabic Typesetting" w:cs="Arabic Typesetting" w:hint="cs"/>
                      <w:sz w:val="28"/>
                      <w:szCs w:val="28"/>
                      <w:rtl/>
                    </w:rPr>
                    <w:br/>
                  </w:r>
                  <w:r w:rsidRPr="000D515F">
                    <w:rPr>
                      <w:rFonts w:ascii="Arabic Typesetting" w:hAnsi="Arabic Typesetting" w:cs="Arabic Typesetting"/>
                      <w:sz w:val="28"/>
                      <w:szCs w:val="28"/>
                      <w:rtl/>
                    </w:rPr>
                    <w:t>(مكتب سنغافورة)</w:t>
                  </w:r>
                </w:p>
              </w:tc>
            </w:tr>
            <w:tr w:rsidR="00574A27" w:rsidRPr="000D515F" w14:paraId="538666C3" w14:textId="77777777" w:rsidTr="00574A27">
              <w:trPr>
                <w:gridAfter w:val="1"/>
                <w:wAfter w:w="167" w:type="dxa"/>
              </w:trPr>
              <w:tc>
                <w:tcPr>
                  <w:tcW w:w="1287" w:type="dxa"/>
                  <w:tcMar>
                    <w:left w:w="14" w:type="dxa"/>
                    <w:right w:w="14" w:type="dxa"/>
                  </w:tcMar>
                </w:tcPr>
                <w:p w14:paraId="54220261" w14:textId="77777777" w:rsidR="00574A27" w:rsidRPr="000D515F" w:rsidRDefault="00574A27" w:rsidP="00E335D4">
                  <w:pPr>
                    <w:keepNext/>
                    <w:suppressLineNumbers/>
                    <w:suppressAutoHyphens/>
                    <w:bidi/>
                    <w:spacing w:after="120" w:line="280" w:lineRule="exact"/>
                    <w:rPr>
                      <w:rFonts w:ascii="Arabic Typesetting" w:hAnsi="Arabic Typesetting" w:cs="Arabic Typesetting"/>
                      <w:i/>
                      <w:sz w:val="28"/>
                      <w:szCs w:val="28"/>
                      <w:rtl/>
                    </w:rPr>
                  </w:pPr>
                  <w:r w:rsidRPr="000D515F">
                    <w:rPr>
                      <w:rFonts w:ascii="Arabic Typesetting" w:hAnsi="Arabic Typesetting" w:cs="Arabic Typesetting"/>
                      <w:sz w:val="28"/>
                      <w:szCs w:val="28"/>
                      <w:rtl/>
                    </w:rPr>
                    <w:t xml:space="preserve"> 688 4 </w:t>
                  </w:r>
                  <w:r w:rsidRPr="000D515F">
                    <w:rPr>
                      <w:rFonts w:ascii="Arabic Typesetting" w:hAnsi="Arabic Typesetting" w:cs="Arabic Typesetting"/>
                      <w:sz w:val="28"/>
                      <w:szCs w:val="28"/>
                      <w:rtl/>
                    </w:rPr>
                    <w:br/>
                    <w:t>(مكتب البرازيل)</w:t>
                  </w:r>
                </w:p>
              </w:tc>
              <w:tc>
                <w:tcPr>
                  <w:tcW w:w="1009" w:type="dxa"/>
                  <w:tcMar>
                    <w:left w:w="14" w:type="dxa"/>
                    <w:right w:w="14" w:type="dxa"/>
                  </w:tcMar>
                </w:tcPr>
                <w:p w14:paraId="2BF0E4CD" w14:textId="4B741F8C" w:rsidR="00574A27" w:rsidRPr="000D515F" w:rsidRDefault="00BD308F" w:rsidP="00E335D4">
                  <w:pPr>
                    <w:keepNext/>
                    <w:suppressLineNumbers/>
                    <w:suppressAutoHyphens/>
                    <w:bidi/>
                    <w:spacing w:after="120" w:line="280" w:lineRule="exact"/>
                    <w:rPr>
                      <w:rFonts w:ascii="Arabic Typesetting" w:hAnsi="Arabic Typesetting" w:cs="Arabic Typesetting"/>
                      <w:i/>
                      <w:sz w:val="28"/>
                      <w:szCs w:val="28"/>
                      <w:rtl/>
                    </w:rPr>
                  </w:pPr>
                  <w:r>
                    <w:rPr>
                      <w:rFonts w:ascii="Arabic Typesetting" w:hAnsi="Arabic Typesetting" w:cs="Arabic Typesetting"/>
                      <w:sz w:val="28"/>
                      <w:szCs w:val="28"/>
                      <w:rtl/>
                    </w:rPr>
                    <w:t xml:space="preserve"> 596</w:t>
                  </w:r>
                  <w:r>
                    <w:rPr>
                      <w:rFonts w:ascii="Arabic Typesetting" w:hAnsi="Arabic Typesetting" w:cs="Arabic Typesetting" w:hint="cs"/>
                      <w:sz w:val="28"/>
                      <w:szCs w:val="28"/>
                      <w:rtl/>
                    </w:rPr>
                    <w:br/>
                  </w:r>
                  <w:r w:rsidR="00574A27" w:rsidRPr="000D515F">
                    <w:rPr>
                      <w:rFonts w:ascii="Arabic Typesetting" w:hAnsi="Arabic Typesetting" w:cs="Arabic Typesetting"/>
                      <w:sz w:val="28"/>
                      <w:szCs w:val="28"/>
                      <w:rtl/>
                    </w:rPr>
                    <w:t>(مكتب البرازيل)</w:t>
                  </w:r>
                </w:p>
              </w:tc>
            </w:tr>
            <w:tr w:rsidR="00574A27" w:rsidRPr="000D515F" w14:paraId="1F759C62" w14:textId="77777777" w:rsidTr="00574A27">
              <w:trPr>
                <w:gridAfter w:val="1"/>
                <w:wAfter w:w="167" w:type="dxa"/>
              </w:trPr>
              <w:tc>
                <w:tcPr>
                  <w:tcW w:w="1287" w:type="dxa"/>
                  <w:tcMar>
                    <w:left w:w="14" w:type="dxa"/>
                    <w:right w:w="14" w:type="dxa"/>
                  </w:tcMar>
                </w:tcPr>
                <w:p w14:paraId="66211BF5" w14:textId="77777777" w:rsidR="00574A27" w:rsidRPr="000D515F" w:rsidRDefault="00574A27" w:rsidP="00E335D4">
                  <w:pPr>
                    <w:keepNext/>
                    <w:suppressLineNumbers/>
                    <w:suppressAutoHyphens/>
                    <w:bidi/>
                    <w:spacing w:after="120" w:line="280" w:lineRule="exact"/>
                    <w:rPr>
                      <w:rFonts w:ascii="Arabic Typesetting" w:hAnsi="Arabic Typesetting" w:cs="Arabic Typesetting"/>
                      <w:i/>
                      <w:sz w:val="28"/>
                      <w:szCs w:val="28"/>
                      <w:rtl/>
                    </w:rPr>
                  </w:pPr>
                  <w:r w:rsidRPr="000D515F">
                    <w:rPr>
                      <w:rFonts w:ascii="Arabic Typesetting" w:hAnsi="Arabic Typesetting" w:cs="Arabic Typesetting"/>
                      <w:sz w:val="28"/>
                      <w:szCs w:val="28"/>
                      <w:rtl/>
                    </w:rPr>
                    <w:t xml:space="preserve"> 711 14 </w:t>
                  </w:r>
                  <w:r w:rsidRPr="000D515F">
                    <w:rPr>
                      <w:rFonts w:ascii="Arabic Typesetting" w:hAnsi="Arabic Typesetting" w:cs="Arabic Typesetting"/>
                      <w:sz w:val="28"/>
                      <w:szCs w:val="28"/>
                      <w:rtl/>
                    </w:rPr>
                    <w:br/>
                    <w:t>(مكتب اليابان)</w:t>
                  </w:r>
                </w:p>
              </w:tc>
              <w:tc>
                <w:tcPr>
                  <w:tcW w:w="1009" w:type="dxa"/>
                  <w:tcMar>
                    <w:left w:w="14" w:type="dxa"/>
                    <w:right w:w="14" w:type="dxa"/>
                  </w:tcMar>
                </w:tcPr>
                <w:p w14:paraId="1F3A6D08" w14:textId="77777777" w:rsidR="00574A27" w:rsidRPr="000D515F" w:rsidRDefault="00574A27" w:rsidP="00E335D4">
                  <w:pPr>
                    <w:keepNext/>
                    <w:suppressLineNumbers/>
                    <w:suppressAutoHyphens/>
                    <w:bidi/>
                    <w:spacing w:after="120" w:line="280" w:lineRule="exact"/>
                    <w:rPr>
                      <w:rFonts w:ascii="Arabic Typesetting" w:hAnsi="Arabic Typesetting" w:cs="Arabic Typesetting"/>
                      <w:i/>
                      <w:sz w:val="28"/>
                      <w:szCs w:val="28"/>
                      <w:rtl/>
                    </w:rPr>
                  </w:pPr>
                  <w:r w:rsidRPr="000D515F">
                    <w:rPr>
                      <w:rFonts w:ascii="Arabic Typesetting" w:hAnsi="Arabic Typesetting" w:cs="Arabic Typesetting"/>
                      <w:sz w:val="28"/>
                      <w:szCs w:val="28"/>
                      <w:rtl/>
                    </w:rPr>
                    <w:t xml:space="preserve"> 871 2 (مكتب اليابان)</w:t>
                  </w:r>
                </w:p>
              </w:tc>
            </w:tr>
            <w:tr w:rsidR="00574A27" w:rsidRPr="000D515F" w14:paraId="512086FC" w14:textId="77777777" w:rsidTr="00574A27">
              <w:trPr>
                <w:gridAfter w:val="1"/>
                <w:wAfter w:w="167" w:type="dxa"/>
              </w:trPr>
              <w:tc>
                <w:tcPr>
                  <w:tcW w:w="1287" w:type="dxa"/>
                  <w:tcMar>
                    <w:left w:w="14" w:type="dxa"/>
                    <w:right w:w="14" w:type="dxa"/>
                  </w:tcMar>
                </w:tcPr>
                <w:p w14:paraId="7DFD1239" w14:textId="2CA31D18" w:rsidR="00574A27" w:rsidRPr="000D515F" w:rsidRDefault="00574A27" w:rsidP="00E335D4">
                  <w:pPr>
                    <w:keepNext/>
                    <w:suppressLineNumbers/>
                    <w:suppressAutoHyphens/>
                    <w:bidi/>
                    <w:spacing w:after="120" w:line="280" w:lineRule="exact"/>
                    <w:rPr>
                      <w:rFonts w:ascii="Arabic Typesetting" w:hAnsi="Arabic Typesetting" w:cs="Arabic Typesetting"/>
                      <w:i/>
                      <w:sz w:val="28"/>
                      <w:szCs w:val="28"/>
                      <w:rtl/>
                    </w:rPr>
                  </w:pPr>
                  <w:r w:rsidRPr="000D515F">
                    <w:rPr>
                      <w:rFonts w:ascii="Arabic Typesetting" w:hAnsi="Arabic Typesetting" w:cs="Arabic Typesetting"/>
                      <w:sz w:val="28"/>
                      <w:szCs w:val="28"/>
                      <w:rtl/>
                    </w:rPr>
                    <w:t xml:space="preserve">257 6 </w:t>
                  </w:r>
                  <w:r w:rsidRPr="000D515F">
                    <w:rPr>
                      <w:rFonts w:ascii="Arabic Typesetting" w:hAnsi="Arabic Typesetting" w:cs="Arabic Typesetting"/>
                      <w:sz w:val="28"/>
                      <w:szCs w:val="28"/>
                      <w:rtl/>
                    </w:rPr>
                    <w:br/>
                  </w:r>
                  <w:r w:rsidRPr="000D515F">
                    <w:rPr>
                      <w:rFonts w:ascii="Arabic Typesetting" w:hAnsi="Arabic Typesetting" w:cs="Arabic Typesetting"/>
                      <w:sz w:val="28"/>
                      <w:szCs w:val="28"/>
                      <w:rtl/>
                    </w:rPr>
                    <w:lastRenderedPageBreak/>
                    <w:t>(مكتب روسيا)</w:t>
                  </w:r>
                </w:p>
              </w:tc>
              <w:tc>
                <w:tcPr>
                  <w:tcW w:w="1009" w:type="dxa"/>
                  <w:tcMar>
                    <w:left w:w="14" w:type="dxa"/>
                    <w:right w:w="14" w:type="dxa"/>
                  </w:tcMar>
                </w:tcPr>
                <w:p w14:paraId="70B0FE81" w14:textId="77777777" w:rsidR="00574A27" w:rsidRPr="000D515F" w:rsidRDefault="00574A27" w:rsidP="00E335D4">
                  <w:pPr>
                    <w:keepNext/>
                    <w:suppressLineNumbers/>
                    <w:suppressAutoHyphens/>
                    <w:bidi/>
                    <w:spacing w:after="120" w:line="280" w:lineRule="exact"/>
                    <w:rPr>
                      <w:rFonts w:ascii="Arabic Typesetting" w:hAnsi="Arabic Typesetting" w:cs="Arabic Typesetting"/>
                      <w:i/>
                      <w:sz w:val="28"/>
                      <w:szCs w:val="28"/>
                      <w:rtl/>
                    </w:rPr>
                  </w:pPr>
                  <w:r w:rsidRPr="000D515F">
                    <w:rPr>
                      <w:rFonts w:ascii="Arabic Typesetting" w:hAnsi="Arabic Typesetting" w:cs="Arabic Typesetting"/>
                      <w:sz w:val="28"/>
                      <w:szCs w:val="28"/>
                      <w:rtl/>
                    </w:rPr>
                    <w:lastRenderedPageBreak/>
                    <w:t xml:space="preserve"> 352 2 </w:t>
                  </w:r>
                  <w:r w:rsidRPr="000D515F">
                    <w:rPr>
                      <w:rFonts w:ascii="Arabic Typesetting" w:hAnsi="Arabic Typesetting" w:cs="Arabic Typesetting"/>
                      <w:sz w:val="28"/>
                      <w:szCs w:val="28"/>
                      <w:rtl/>
                    </w:rPr>
                    <w:lastRenderedPageBreak/>
                    <w:t>(مكتب روسيا)</w:t>
                  </w:r>
                </w:p>
              </w:tc>
            </w:tr>
            <w:tr w:rsidR="00574A27" w:rsidRPr="000D515F" w14:paraId="7A5AFE7A" w14:textId="77777777" w:rsidTr="00574A27">
              <w:trPr>
                <w:gridAfter w:val="1"/>
                <w:wAfter w:w="167" w:type="dxa"/>
              </w:trPr>
              <w:tc>
                <w:tcPr>
                  <w:tcW w:w="1287" w:type="dxa"/>
                  <w:tcMar>
                    <w:left w:w="14" w:type="dxa"/>
                    <w:right w:w="14" w:type="dxa"/>
                  </w:tcMar>
                </w:tcPr>
                <w:p w14:paraId="67E74F94" w14:textId="2055C0B8" w:rsidR="00574A27" w:rsidRPr="000D515F" w:rsidRDefault="00574A27" w:rsidP="00E335D4">
                  <w:pPr>
                    <w:keepNext/>
                    <w:suppressLineNumbers/>
                    <w:suppressAutoHyphens/>
                    <w:bidi/>
                    <w:spacing w:after="120" w:line="280" w:lineRule="exact"/>
                    <w:rPr>
                      <w:rFonts w:ascii="Arabic Typesetting" w:hAnsi="Arabic Typesetting" w:cs="Arabic Typesetting"/>
                      <w:i/>
                      <w:sz w:val="28"/>
                      <w:szCs w:val="28"/>
                      <w:rtl/>
                    </w:rPr>
                  </w:pPr>
                  <w:r w:rsidRPr="000D515F">
                    <w:rPr>
                      <w:rFonts w:ascii="Arabic Typesetting" w:hAnsi="Arabic Typesetting" w:cs="Arabic Typesetting"/>
                      <w:sz w:val="28"/>
                      <w:szCs w:val="28"/>
                      <w:rtl/>
                    </w:rPr>
                    <w:lastRenderedPageBreak/>
                    <w:t xml:space="preserve">355 56 </w:t>
                  </w:r>
                  <w:r w:rsidRPr="000D515F">
                    <w:rPr>
                      <w:rFonts w:ascii="Arabic Typesetting" w:hAnsi="Arabic Typesetting" w:cs="Arabic Typesetting"/>
                      <w:sz w:val="28"/>
                      <w:szCs w:val="28"/>
                      <w:rtl/>
                    </w:rPr>
                    <w:br/>
                    <w:t>(مكتب الصين)</w:t>
                  </w:r>
                </w:p>
              </w:tc>
              <w:tc>
                <w:tcPr>
                  <w:tcW w:w="1009" w:type="dxa"/>
                  <w:tcMar>
                    <w:left w:w="14" w:type="dxa"/>
                    <w:right w:w="14" w:type="dxa"/>
                  </w:tcMar>
                </w:tcPr>
                <w:p w14:paraId="2FE4DF65" w14:textId="642076DE" w:rsidR="00574A27" w:rsidRPr="000D515F" w:rsidRDefault="00574A27" w:rsidP="00E335D4">
                  <w:pPr>
                    <w:keepNext/>
                    <w:suppressLineNumbers/>
                    <w:suppressAutoHyphens/>
                    <w:bidi/>
                    <w:spacing w:after="120" w:line="280" w:lineRule="exact"/>
                    <w:rPr>
                      <w:rFonts w:ascii="Arabic Typesetting" w:hAnsi="Arabic Typesetting" w:cs="Arabic Typesetting"/>
                      <w:i/>
                      <w:sz w:val="28"/>
                      <w:szCs w:val="28"/>
                      <w:rtl/>
                    </w:rPr>
                  </w:pPr>
                  <w:r w:rsidRPr="000D515F">
                    <w:rPr>
                      <w:rFonts w:ascii="Arabic Typesetting" w:hAnsi="Arabic Typesetting" w:cs="Arabic Typesetting"/>
                      <w:sz w:val="28"/>
                      <w:szCs w:val="28"/>
                      <w:rtl/>
                    </w:rPr>
                    <w:t>398 3 (مكتب الصين)</w:t>
                  </w:r>
                </w:p>
              </w:tc>
            </w:tr>
          </w:tbl>
          <w:p w14:paraId="0FE197E4" w14:textId="2366C3C1"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قاعدة بيانات التصاميم: غير متاح</w:t>
            </w:r>
          </w:p>
        </w:tc>
        <w:tc>
          <w:tcPr>
            <w:tcW w:w="739" w:type="pct"/>
            <w:gridSpan w:val="2"/>
            <w:shd w:val="clear" w:color="auto" w:fill="auto"/>
            <w:tcMar>
              <w:top w:w="110" w:type="dxa"/>
              <w:left w:w="58" w:type="dxa"/>
              <w:right w:w="58" w:type="dxa"/>
            </w:tcMar>
          </w:tcPr>
          <w:p w14:paraId="5C8CCC2F"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lastRenderedPageBreak/>
              <w:t xml:space="preserve"> 5% زيادة (الثنائية)</w:t>
            </w:r>
          </w:p>
          <w:p w14:paraId="2082166B"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Pr>
            </w:pPr>
          </w:p>
          <w:p w14:paraId="39A2DD90"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Pr>
            </w:pPr>
          </w:p>
          <w:p w14:paraId="381ABD39"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Pr>
            </w:pPr>
          </w:p>
          <w:p w14:paraId="74D9FA5D"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Pr>
            </w:pPr>
          </w:p>
          <w:p w14:paraId="6966A6A3"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Pr>
            </w:pPr>
          </w:p>
          <w:p w14:paraId="2213A7CA" w14:textId="77777777" w:rsidR="00574A27" w:rsidRPr="000D515F" w:rsidRDefault="00574A27" w:rsidP="00E335D4">
            <w:pPr>
              <w:pStyle w:val="Default"/>
              <w:keepNext/>
              <w:suppressLineNumbers/>
              <w:suppressAutoHyphens/>
              <w:spacing w:after="480" w:line="280" w:lineRule="exact"/>
              <w:rPr>
                <w:rFonts w:ascii="Arabic Typesetting" w:hAnsi="Arabic Typesetting" w:cs="Arabic Typesetting"/>
                <w:sz w:val="28"/>
                <w:szCs w:val="28"/>
              </w:rPr>
            </w:pPr>
          </w:p>
          <w:p w14:paraId="08126792"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5% زيادة</w:t>
            </w:r>
          </w:p>
          <w:p w14:paraId="451BF360"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(الثنائية)</w:t>
            </w:r>
          </w:p>
          <w:p w14:paraId="5C549193"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Pr>
            </w:pPr>
          </w:p>
          <w:p w14:paraId="33619D3A"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Pr>
            </w:pPr>
          </w:p>
          <w:p w14:paraId="42D99855"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Pr>
            </w:pPr>
          </w:p>
          <w:p w14:paraId="30B5BBB0" w14:textId="77777777" w:rsidR="00574A27" w:rsidRPr="000D515F" w:rsidRDefault="00574A27" w:rsidP="00E335D4">
            <w:pPr>
              <w:pStyle w:val="Default"/>
              <w:keepNext/>
              <w:suppressLineNumbers/>
              <w:suppressAutoHyphens/>
              <w:spacing w:after="240" w:line="280" w:lineRule="exact"/>
              <w:rPr>
                <w:rFonts w:ascii="Arabic Typesetting" w:hAnsi="Arabic Typesetting" w:cs="Arabic Typesetting"/>
                <w:sz w:val="28"/>
                <w:szCs w:val="28"/>
              </w:rPr>
            </w:pPr>
          </w:p>
          <w:p w14:paraId="0C8B10FC" w14:textId="77777777"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5% زيادة</w:t>
            </w:r>
          </w:p>
          <w:p w14:paraId="4E175808" w14:textId="2B120FB6" w:rsidR="00574A27" w:rsidRPr="000D515F" w:rsidRDefault="00574A27" w:rsidP="00E335D4">
            <w:pPr>
              <w:pStyle w:val="Default"/>
              <w:keepNex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(الثنائية)</w:t>
            </w:r>
          </w:p>
        </w:tc>
        <w:tc>
          <w:tcPr>
            <w:tcW w:w="1289" w:type="pct"/>
            <w:gridSpan w:val="4"/>
            <w:shd w:val="clear" w:color="auto" w:fill="FFFFFF"/>
            <w:tcMar>
              <w:top w:w="110" w:type="dxa"/>
              <w:left w:w="58" w:type="dxa"/>
              <w:right w:w="58" w:type="dxa"/>
            </w:tcMar>
          </w:tcPr>
          <w:tbl>
            <w:tblPr>
              <w:tblStyle w:val="TableGrid"/>
              <w:bidiVisual/>
              <w:tblW w:w="3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
              <w:gridCol w:w="22"/>
              <w:gridCol w:w="843"/>
              <w:gridCol w:w="1816"/>
              <w:gridCol w:w="622"/>
            </w:tblGrid>
            <w:tr w:rsidR="00574A27" w:rsidRPr="000D515F" w14:paraId="3974A3C4" w14:textId="77777777" w:rsidTr="00BD308F">
              <w:trPr>
                <w:gridBefore w:val="2"/>
                <w:gridAfter w:val="1"/>
                <w:wBefore w:w="45" w:type="dxa"/>
                <w:wAfter w:w="622" w:type="dxa"/>
              </w:trPr>
              <w:tc>
                <w:tcPr>
                  <w:tcW w:w="2659" w:type="dxa"/>
                  <w:gridSpan w:val="2"/>
                  <w:hideMark/>
                </w:tcPr>
                <w:p w14:paraId="7099057E" w14:textId="17FCBFF5"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ركن البراءات:</w:t>
                  </w:r>
                </w:p>
              </w:tc>
            </w:tr>
            <w:tr w:rsidR="00574A27" w:rsidRPr="000D515F" w14:paraId="3FD27152" w14:textId="77777777" w:rsidTr="00BD308F">
              <w:trPr>
                <w:gridBefore w:val="2"/>
                <w:wBefore w:w="45" w:type="dxa"/>
              </w:trPr>
              <w:tc>
                <w:tcPr>
                  <w:tcW w:w="843" w:type="dxa"/>
                  <w:shd w:val="clear" w:color="auto" w:fill="auto"/>
                </w:tcPr>
                <w:p w14:paraId="4ABB6CBF" w14:textId="77777777" w:rsidR="00574A27" w:rsidRPr="000D515F" w:rsidRDefault="00574A27" w:rsidP="00E335D4">
                  <w:pPr>
                    <w:keepNext/>
                    <w:bidi/>
                    <w:spacing w:after="120" w:line="280" w:lineRule="exact"/>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531 4</w:t>
                  </w:r>
                </w:p>
              </w:tc>
              <w:tc>
                <w:tcPr>
                  <w:tcW w:w="2438" w:type="dxa"/>
                  <w:gridSpan w:val="2"/>
                  <w:hideMark/>
                </w:tcPr>
                <w:p w14:paraId="1347AD5C"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البرازيل)</w:t>
                  </w:r>
                </w:p>
              </w:tc>
            </w:tr>
            <w:tr w:rsidR="00574A27" w:rsidRPr="000D515F" w14:paraId="3411434E" w14:textId="77777777" w:rsidTr="00574A27">
              <w:trPr>
                <w:gridBefore w:val="1"/>
                <w:wBefore w:w="23" w:type="dxa"/>
              </w:trPr>
              <w:tc>
                <w:tcPr>
                  <w:tcW w:w="865" w:type="dxa"/>
                  <w:gridSpan w:val="2"/>
                  <w:shd w:val="clear" w:color="auto" w:fill="auto"/>
                  <w:hideMark/>
                </w:tcPr>
                <w:p w14:paraId="07523AE6" w14:textId="77777777" w:rsidR="00574A27" w:rsidRPr="000D515F" w:rsidRDefault="00574A27" w:rsidP="00E335D4">
                  <w:pPr>
                    <w:keepNext/>
                    <w:bidi/>
                    <w:spacing w:after="120" w:line="280" w:lineRule="exact"/>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122 29</w:t>
                  </w:r>
                </w:p>
              </w:tc>
              <w:tc>
                <w:tcPr>
                  <w:tcW w:w="2438" w:type="dxa"/>
                  <w:gridSpan w:val="2"/>
                  <w:hideMark/>
                </w:tcPr>
                <w:p w14:paraId="78AA3070"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الصين)</w:t>
                  </w:r>
                </w:p>
              </w:tc>
            </w:tr>
            <w:tr w:rsidR="00574A27" w:rsidRPr="000D515F" w14:paraId="2D51043D" w14:textId="77777777" w:rsidTr="00574A27">
              <w:tc>
                <w:tcPr>
                  <w:tcW w:w="888" w:type="dxa"/>
                  <w:gridSpan w:val="3"/>
                  <w:shd w:val="clear" w:color="auto" w:fill="auto"/>
                </w:tcPr>
                <w:p w14:paraId="154FE287" w14:textId="77777777" w:rsidR="00574A27" w:rsidRPr="000D515F" w:rsidRDefault="00574A27" w:rsidP="00E335D4">
                  <w:pPr>
                    <w:keepNext/>
                    <w:bidi/>
                    <w:spacing w:after="120" w:line="280" w:lineRule="exact"/>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226 23</w:t>
                  </w:r>
                </w:p>
              </w:tc>
              <w:tc>
                <w:tcPr>
                  <w:tcW w:w="2438" w:type="dxa"/>
                  <w:gridSpan w:val="2"/>
                  <w:hideMark/>
                </w:tcPr>
                <w:p w14:paraId="34B20AB1"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اليابان)</w:t>
                  </w:r>
                </w:p>
              </w:tc>
            </w:tr>
            <w:tr w:rsidR="00574A27" w:rsidRPr="000D515F" w14:paraId="52732BFB" w14:textId="77777777" w:rsidTr="00BD308F">
              <w:trPr>
                <w:gridBefore w:val="2"/>
                <w:wBefore w:w="45" w:type="dxa"/>
              </w:trPr>
              <w:tc>
                <w:tcPr>
                  <w:tcW w:w="843" w:type="dxa"/>
                  <w:shd w:val="clear" w:color="auto" w:fill="auto"/>
                  <w:hideMark/>
                </w:tcPr>
                <w:p w14:paraId="181C6D22" w14:textId="77777777" w:rsidR="00574A27" w:rsidRPr="000D515F" w:rsidRDefault="00574A27" w:rsidP="00E335D4">
                  <w:pPr>
                    <w:keepNext/>
                    <w:bidi/>
                    <w:spacing w:after="120" w:line="280" w:lineRule="exact"/>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152 8</w:t>
                  </w:r>
                </w:p>
              </w:tc>
              <w:tc>
                <w:tcPr>
                  <w:tcW w:w="2438" w:type="dxa"/>
                  <w:gridSpan w:val="2"/>
                  <w:hideMark/>
                </w:tcPr>
                <w:p w14:paraId="15936415"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روسيا)</w:t>
                  </w:r>
                </w:p>
              </w:tc>
            </w:tr>
            <w:tr w:rsidR="00574A27" w:rsidRPr="000D515F" w14:paraId="2D728216" w14:textId="77777777" w:rsidTr="00BD308F">
              <w:trPr>
                <w:gridBefore w:val="2"/>
                <w:wBefore w:w="45" w:type="dxa"/>
              </w:trPr>
              <w:tc>
                <w:tcPr>
                  <w:tcW w:w="843" w:type="dxa"/>
                  <w:shd w:val="clear" w:color="auto" w:fill="auto"/>
                </w:tcPr>
                <w:p w14:paraId="276B186C" w14:textId="77777777" w:rsidR="00574A27" w:rsidRPr="000D515F" w:rsidRDefault="00574A27" w:rsidP="00E335D4">
                  <w:pPr>
                    <w:keepNext/>
                    <w:bidi/>
                    <w:spacing w:after="120" w:line="280" w:lineRule="exact"/>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912 8</w:t>
                  </w:r>
                </w:p>
              </w:tc>
              <w:tc>
                <w:tcPr>
                  <w:tcW w:w="2438" w:type="dxa"/>
                  <w:gridSpan w:val="2"/>
                  <w:hideMark/>
                </w:tcPr>
                <w:p w14:paraId="5294B1B6"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سنغافورة)</w:t>
                  </w:r>
                </w:p>
              </w:tc>
            </w:tr>
            <w:tr w:rsidR="00574A27" w:rsidRPr="000D515F" w14:paraId="0A881D92" w14:textId="77777777" w:rsidTr="00BD308F">
              <w:trPr>
                <w:gridBefore w:val="2"/>
                <w:gridAfter w:val="1"/>
                <w:wBefore w:w="45" w:type="dxa"/>
                <w:wAfter w:w="622" w:type="dxa"/>
              </w:trPr>
              <w:tc>
                <w:tcPr>
                  <w:tcW w:w="2659" w:type="dxa"/>
                  <w:gridSpan w:val="2"/>
                </w:tcPr>
                <w:p w14:paraId="1CF56035" w14:textId="77777777" w:rsidR="00574A27" w:rsidRPr="000D515F" w:rsidRDefault="00574A27" w:rsidP="00E335D4">
                  <w:pPr>
                    <w:keepNext/>
                    <w:suppressLineNumbers/>
                    <w:suppressAutoHyphens/>
                    <w:bidi/>
                    <w:spacing w:after="120" w:line="280" w:lineRule="exact"/>
                    <w:ind w:left="-80"/>
                    <w:jc w:val="both"/>
                    <w:rPr>
                      <w:rFonts w:ascii="Arabic Typesetting" w:hAnsi="Arabic Typesetting" w:cs="Arabic Typesetting"/>
                      <w:sz w:val="28"/>
                      <w:szCs w:val="28"/>
                    </w:rPr>
                  </w:pPr>
                </w:p>
                <w:p w14:paraId="0C789F68" w14:textId="77777777" w:rsidR="00574A27" w:rsidRPr="000D515F" w:rsidRDefault="00574A27" w:rsidP="00E335D4">
                  <w:pPr>
                    <w:keepNext/>
                    <w:suppressLineNumbers/>
                    <w:suppressAutoHyphens/>
                    <w:bidi/>
                    <w:spacing w:after="120" w:line="280" w:lineRule="exact"/>
                    <w:ind w:left="-80"/>
                    <w:jc w:val="both"/>
                    <w:rPr>
                      <w:rFonts w:ascii="Arabic Typesetting" w:hAnsi="Arabic Typesetting" w:cs="Arabic Typesetting"/>
                      <w:sz w:val="28"/>
                      <w:szCs w:val="28"/>
                      <w:rtl/>
                    </w:rPr>
                  </w:pPr>
                  <w:r w:rsidRPr="000D515F">
                    <w:rPr>
                      <w:rFonts w:ascii="Arabic Typesetting" w:hAnsi="Arabic Typesetting" w:cs="Arabic Typesetting"/>
                      <w:sz w:val="28"/>
                      <w:szCs w:val="28"/>
                      <w:rtl/>
                    </w:rPr>
                    <w:t>قاعدة البيانات العالمية لأدوات التوسيم:</w:t>
                  </w:r>
                </w:p>
              </w:tc>
            </w:tr>
            <w:tr w:rsidR="00574A27" w:rsidRPr="000D515F" w14:paraId="00AB67BC" w14:textId="77777777" w:rsidTr="00BD308F">
              <w:trPr>
                <w:gridBefore w:val="2"/>
                <w:wBefore w:w="45" w:type="dxa"/>
              </w:trPr>
              <w:tc>
                <w:tcPr>
                  <w:tcW w:w="843" w:type="dxa"/>
                  <w:shd w:val="clear" w:color="auto" w:fill="FFFFFF" w:themeFill="background1"/>
                  <w:vAlign w:val="bottom"/>
                </w:tcPr>
                <w:p w14:paraId="22E313C7" w14:textId="77777777" w:rsidR="00574A27" w:rsidRPr="000D515F" w:rsidRDefault="00574A27" w:rsidP="00E335D4">
                  <w:pPr>
                    <w:keepNext/>
                    <w:suppressLineNumbers/>
                    <w:suppressAutoHyphens/>
                    <w:bidi/>
                    <w:spacing w:after="120" w:line="280" w:lineRule="exact"/>
                    <w:ind w:left="-80"/>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 xml:space="preserve"> 647</w:t>
                  </w:r>
                </w:p>
              </w:tc>
              <w:tc>
                <w:tcPr>
                  <w:tcW w:w="2438" w:type="dxa"/>
                  <w:gridSpan w:val="2"/>
                  <w:vAlign w:val="center"/>
                  <w:hideMark/>
                </w:tcPr>
                <w:p w14:paraId="7C7A736F"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البرازيل)</w:t>
                  </w:r>
                </w:p>
              </w:tc>
            </w:tr>
            <w:tr w:rsidR="00574A27" w:rsidRPr="000D515F" w14:paraId="315BB3BA" w14:textId="77777777" w:rsidTr="00BD308F">
              <w:trPr>
                <w:gridBefore w:val="2"/>
                <w:wBefore w:w="45" w:type="dxa"/>
              </w:trPr>
              <w:tc>
                <w:tcPr>
                  <w:tcW w:w="843" w:type="dxa"/>
                  <w:shd w:val="clear" w:color="auto" w:fill="FFFFFF" w:themeFill="background1"/>
                  <w:vAlign w:val="bottom"/>
                </w:tcPr>
                <w:p w14:paraId="4AB734E5" w14:textId="77777777" w:rsidR="00574A27" w:rsidRPr="000D515F" w:rsidRDefault="00574A27" w:rsidP="00E335D4">
                  <w:pPr>
                    <w:keepNext/>
                    <w:suppressLineNumbers/>
                    <w:suppressAutoHyphens/>
                    <w:autoSpaceDE w:val="0"/>
                    <w:autoSpaceDN w:val="0"/>
                    <w:bidi/>
                    <w:adjustRightInd w:val="0"/>
                    <w:spacing w:after="120" w:line="280" w:lineRule="exact"/>
                    <w:ind w:left="-80"/>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061 8</w:t>
                  </w:r>
                </w:p>
              </w:tc>
              <w:tc>
                <w:tcPr>
                  <w:tcW w:w="2438" w:type="dxa"/>
                  <w:gridSpan w:val="2"/>
                  <w:vAlign w:val="center"/>
                  <w:hideMark/>
                </w:tcPr>
                <w:p w14:paraId="7175055D"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الصين)</w:t>
                  </w:r>
                </w:p>
              </w:tc>
            </w:tr>
            <w:tr w:rsidR="00574A27" w:rsidRPr="000D515F" w14:paraId="208134A7" w14:textId="77777777" w:rsidTr="00BD308F">
              <w:trPr>
                <w:gridBefore w:val="2"/>
                <w:wBefore w:w="45" w:type="dxa"/>
              </w:trPr>
              <w:tc>
                <w:tcPr>
                  <w:tcW w:w="843" w:type="dxa"/>
                  <w:shd w:val="clear" w:color="auto" w:fill="FFFFFF" w:themeFill="background1"/>
                  <w:vAlign w:val="bottom"/>
                </w:tcPr>
                <w:p w14:paraId="260AB279" w14:textId="77777777" w:rsidR="00574A27" w:rsidRPr="000D515F" w:rsidRDefault="00574A27" w:rsidP="00E335D4">
                  <w:pPr>
                    <w:keepNext/>
                    <w:suppressLineNumbers/>
                    <w:suppressAutoHyphens/>
                    <w:bidi/>
                    <w:spacing w:after="120" w:line="280" w:lineRule="exact"/>
                    <w:ind w:left="-80"/>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964 5</w:t>
                  </w:r>
                </w:p>
              </w:tc>
              <w:tc>
                <w:tcPr>
                  <w:tcW w:w="2438" w:type="dxa"/>
                  <w:gridSpan w:val="2"/>
                  <w:vAlign w:val="center"/>
                  <w:hideMark/>
                </w:tcPr>
                <w:p w14:paraId="036DA5E0"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اليابان)</w:t>
                  </w:r>
                </w:p>
              </w:tc>
            </w:tr>
            <w:tr w:rsidR="00574A27" w:rsidRPr="000D515F" w14:paraId="50AE959D" w14:textId="77777777" w:rsidTr="00BD308F">
              <w:trPr>
                <w:gridBefore w:val="2"/>
                <w:wBefore w:w="45" w:type="dxa"/>
              </w:trPr>
              <w:tc>
                <w:tcPr>
                  <w:tcW w:w="843" w:type="dxa"/>
                  <w:shd w:val="clear" w:color="auto" w:fill="FFFFFF" w:themeFill="background1"/>
                  <w:vAlign w:val="bottom"/>
                </w:tcPr>
                <w:p w14:paraId="17CDBFF0" w14:textId="77777777" w:rsidR="00574A27" w:rsidRPr="000D515F" w:rsidRDefault="00574A27" w:rsidP="00E335D4">
                  <w:pPr>
                    <w:keepNext/>
                    <w:suppressLineNumbers/>
                    <w:suppressAutoHyphens/>
                    <w:bidi/>
                    <w:spacing w:after="120" w:line="280" w:lineRule="exact"/>
                    <w:ind w:left="-80"/>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914 3</w:t>
                  </w:r>
                </w:p>
              </w:tc>
              <w:tc>
                <w:tcPr>
                  <w:tcW w:w="2438" w:type="dxa"/>
                  <w:gridSpan w:val="2"/>
                  <w:vAlign w:val="center"/>
                  <w:hideMark/>
                </w:tcPr>
                <w:p w14:paraId="4B4928C9"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روسيا)</w:t>
                  </w:r>
                </w:p>
              </w:tc>
            </w:tr>
            <w:tr w:rsidR="00574A27" w:rsidRPr="000D515F" w14:paraId="55286810" w14:textId="77777777" w:rsidTr="00BD308F">
              <w:trPr>
                <w:gridBefore w:val="2"/>
                <w:wBefore w:w="45" w:type="dxa"/>
              </w:trPr>
              <w:tc>
                <w:tcPr>
                  <w:tcW w:w="843" w:type="dxa"/>
                  <w:shd w:val="clear" w:color="auto" w:fill="FFFFFF" w:themeFill="background1"/>
                  <w:vAlign w:val="bottom"/>
                </w:tcPr>
                <w:p w14:paraId="54AE85C5" w14:textId="77777777" w:rsidR="00574A27" w:rsidRPr="000D515F" w:rsidRDefault="00574A27" w:rsidP="00E335D4">
                  <w:pPr>
                    <w:keepNext/>
                    <w:suppressLineNumbers/>
                    <w:suppressAutoHyphens/>
                    <w:autoSpaceDE w:val="0"/>
                    <w:autoSpaceDN w:val="0"/>
                    <w:bidi/>
                    <w:adjustRightInd w:val="0"/>
                    <w:spacing w:after="120" w:line="280" w:lineRule="exact"/>
                    <w:ind w:left="-80"/>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217 34</w:t>
                  </w:r>
                </w:p>
              </w:tc>
              <w:tc>
                <w:tcPr>
                  <w:tcW w:w="2438" w:type="dxa"/>
                  <w:gridSpan w:val="2"/>
                  <w:vAlign w:val="center"/>
                  <w:hideMark/>
                </w:tcPr>
                <w:p w14:paraId="464EB952"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سنغافورة)</w:t>
                  </w:r>
                </w:p>
              </w:tc>
            </w:tr>
            <w:tr w:rsidR="00574A27" w:rsidRPr="000D515F" w14:paraId="45504884" w14:textId="77777777" w:rsidTr="00BD308F">
              <w:trPr>
                <w:gridBefore w:val="2"/>
                <w:gridAfter w:val="1"/>
                <w:wBefore w:w="45" w:type="dxa"/>
                <w:wAfter w:w="622" w:type="dxa"/>
              </w:trPr>
              <w:tc>
                <w:tcPr>
                  <w:tcW w:w="2659" w:type="dxa"/>
                  <w:gridSpan w:val="2"/>
                </w:tcPr>
                <w:p w14:paraId="0A2D0F86"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Pr>
                  </w:pPr>
                </w:p>
                <w:p w14:paraId="7DB935C2"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قاعدة البيانات العالمية للتصاميم:</w:t>
                  </w:r>
                </w:p>
              </w:tc>
            </w:tr>
            <w:tr w:rsidR="00574A27" w:rsidRPr="000D515F" w14:paraId="271E1FCA" w14:textId="77777777" w:rsidTr="00BD308F">
              <w:trPr>
                <w:gridBefore w:val="2"/>
                <w:wBefore w:w="45" w:type="dxa"/>
              </w:trPr>
              <w:tc>
                <w:tcPr>
                  <w:tcW w:w="843" w:type="dxa"/>
                  <w:shd w:val="clear" w:color="auto" w:fill="FFFFFF" w:themeFill="background1"/>
                  <w:vAlign w:val="bottom"/>
                </w:tcPr>
                <w:p w14:paraId="33FABF27" w14:textId="77777777" w:rsidR="00574A27" w:rsidRPr="000D515F" w:rsidRDefault="00574A27" w:rsidP="00E335D4">
                  <w:pPr>
                    <w:keepNext/>
                    <w:suppressLineNumbers/>
                    <w:suppressAutoHyphens/>
                    <w:autoSpaceDE w:val="0"/>
                    <w:autoSpaceDN w:val="0"/>
                    <w:bidi/>
                    <w:adjustRightInd w:val="0"/>
                    <w:spacing w:after="120" w:line="280" w:lineRule="exact"/>
                    <w:ind w:left="-80"/>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 xml:space="preserve"> 221</w:t>
                  </w:r>
                </w:p>
              </w:tc>
              <w:tc>
                <w:tcPr>
                  <w:tcW w:w="2438" w:type="dxa"/>
                  <w:gridSpan w:val="2"/>
                  <w:vAlign w:val="center"/>
                  <w:hideMark/>
                </w:tcPr>
                <w:p w14:paraId="358414C8"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البرازيل)</w:t>
                  </w:r>
                </w:p>
              </w:tc>
            </w:tr>
            <w:tr w:rsidR="00574A27" w:rsidRPr="000D515F" w14:paraId="32FABD3A" w14:textId="77777777" w:rsidTr="00BD308F">
              <w:trPr>
                <w:gridBefore w:val="2"/>
                <w:wBefore w:w="45" w:type="dxa"/>
              </w:trPr>
              <w:tc>
                <w:tcPr>
                  <w:tcW w:w="843" w:type="dxa"/>
                  <w:shd w:val="clear" w:color="auto" w:fill="FFFFFF" w:themeFill="background1"/>
                  <w:vAlign w:val="bottom"/>
                </w:tcPr>
                <w:p w14:paraId="49B647C6" w14:textId="77777777" w:rsidR="00574A27" w:rsidRPr="000D515F" w:rsidRDefault="00574A27" w:rsidP="00E335D4">
                  <w:pPr>
                    <w:keepNext/>
                    <w:suppressLineNumbers/>
                    <w:suppressAutoHyphens/>
                    <w:autoSpaceDE w:val="0"/>
                    <w:autoSpaceDN w:val="0"/>
                    <w:bidi/>
                    <w:adjustRightInd w:val="0"/>
                    <w:spacing w:after="120" w:line="280" w:lineRule="exact"/>
                    <w:ind w:left="-80"/>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531 1</w:t>
                  </w:r>
                </w:p>
              </w:tc>
              <w:tc>
                <w:tcPr>
                  <w:tcW w:w="2438" w:type="dxa"/>
                  <w:gridSpan w:val="2"/>
                  <w:vAlign w:val="center"/>
                  <w:hideMark/>
                </w:tcPr>
                <w:p w14:paraId="70EC4407"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الصين)</w:t>
                  </w:r>
                </w:p>
              </w:tc>
            </w:tr>
            <w:tr w:rsidR="00574A27" w:rsidRPr="000D515F" w14:paraId="72127DCC" w14:textId="77777777" w:rsidTr="00BD308F">
              <w:trPr>
                <w:gridBefore w:val="2"/>
                <w:wBefore w:w="45" w:type="dxa"/>
              </w:trPr>
              <w:tc>
                <w:tcPr>
                  <w:tcW w:w="843" w:type="dxa"/>
                  <w:shd w:val="clear" w:color="auto" w:fill="FFFFFF" w:themeFill="background1"/>
                  <w:vAlign w:val="bottom"/>
                </w:tcPr>
                <w:p w14:paraId="583A1723" w14:textId="77777777" w:rsidR="00574A27" w:rsidRPr="000D515F" w:rsidRDefault="00574A27" w:rsidP="00E335D4">
                  <w:pPr>
                    <w:keepNext/>
                    <w:suppressLineNumbers/>
                    <w:suppressAutoHyphens/>
                    <w:autoSpaceDE w:val="0"/>
                    <w:autoSpaceDN w:val="0"/>
                    <w:bidi/>
                    <w:adjustRightInd w:val="0"/>
                    <w:spacing w:after="120" w:line="280" w:lineRule="exact"/>
                    <w:ind w:left="-80"/>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754 1</w:t>
                  </w:r>
                </w:p>
              </w:tc>
              <w:tc>
                <w:tcPr>
                  <w:tcW w:w="2438" w:type="dxa"/>
                  <w:gridSpan w:val="2"/>
                  <w:vAlign w:val="center"/>
                  <w:hideMark/>
                </w:tcPr>
                <w:p w14:paraId="479674FA"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اليابان)</w:t>
                  </w:r>
                </w:p>
              </w:tc>
            </w:tr>
            <w:tr w:rsidR="00574A27" w:rsidRPr="000D515F" w14:paraId="2156C3A4" w14:textId="77777777" w:rsidTr="00BD308F">
              <w:trPr>
                <w:gridBefore w:val="2"/>
                <w:wBefore w:w="45" w:type="dxa"/>
              </w:trPr>
              <w:tc>
                <w:tcPr>
                  <w:tcW w:w="843" w:type="dxa"/>
                  <w:shd w:val="clear" w:color="auto" w:fill="FFFFFF" w:themeFill="background1"/>
                  <w:vAlign w:val="bottom"/>
                </w:tcPr>
                <w:p w14:paraId="4A70F94A" w14:textId="77777777" w:rsidR="00574A27" w:rsidRPr="000D515F" w:rsidRDefault="00574A27" w:rsidP="00E335D4">
                  <w:pPr>
                    <w:keepNext/>
                    <w:suppressLineNumbers/>
                    <w:suppressAutoHyphens/>
                    <w:autoSpaceDE w:val="0"/>
                    <w:autoSpaceDN w:val="0"/>
                    <w:bidi/>
                    <w:adjustRightInd w:val="0"/>
                    <w:spacing w:after="120" w:line="280" w:lineRule="exact"/>
                    <w:ind w:left="-80"/>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010 1</w:t>
                  </w:r>
                </w:p>
              </w:tc>
              <w:tc>
                <w:tcPr>
                  <w:tcW w:w="2438" w:type="dxa"/>
                  <w:gridSpan w:val="2"/>
                  <w:vAlign w:val="center"/>
                  <w:hideMark/>
                </w:tcPr>
                <w:p w14:paraId="6B186139"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روسيا)</w:t>
                  </w:r>
                </w:p>
              </w:tc>
            </w:tr>
            <w:tr w:rsidR="00574A27" w:rsidRPr="000D515F" w14:paraId="3E1A4F98" w14:textId="77777777" w:rsidTr="00BD308F">
              <w:trPr>
                <w:gridBefore w:val="2"/>
                <w:wBefore w:w="45" w:type="dxa"/>
              </w:trPr>
              <w:tc>
                <w:tcPr>
                  <w:tcW w:w="843" w:type="dxa"/>
                  <w:shd w:val="clear" w:color="auto" w:fill="FFFFFF" w:themeFill="background1"/>
                  <w:vAlign w:val="bottom"/>
                </w:tcPr>
                <w:p w14:paraId="189C2EB1" w14:textId="77777777" w:rsidR="00574A27" w:rsidRPr="000D515F" w:rsidRDefault="00574A27" w:rsidP="00E335D4">
                  <w:pPr>
                    <w:keepNext/>
                    <w:suppressLineNumbers/>
                    <w:suppressAutoHyphens/>
                    <w:autoSpaceDE w:val="0"/>
                    <w:autoSpaceDN w:val="0"/>
                    <w:bidi/>
                    <w:adjustRightInd w:val="0"/>
                    <w:spacing w:after="120" w:line="280" w:lineRule="exact"/>
                    <w:ind w:left="-80"/>
                    <w:jc w:val="right"/>
                    <w:rPr>
                      <w:rFonts w:ascii="Arabic Typesetting" w:hAnsi="Arabic Typesetting" w:cs="Arabic Typesetting"/>
                      <w:sz w:val="28"/>
                      <w:szCs w:val="28"/>
                      <w:rtl/>
                    </w:rPr>
                  </w:pPr>
                  <w:r w:rsidRPr="000D515F">
                    <w:rPr>
                      <w:rFonts w:ascii="Arabic Typesetting" w:hAnsi="Arabic Typesetting" w:cs="Arabic Typesetting"/>
                      <w:sz w:val="28"/>
                      <w:szCs w:val="28"/>
                      <w:rtl/>
                    </w:rPr>
                    <w:t>576</w:t>
                  </w:r>
                </w:p>
              </w:tc>
              <w:tc>
                <w:tcPr>
                  <w:tcW w:w="2438" w:type="dxa"/>
                  <w:gridSpan w:val="2"/>
                  <w:vAlign w:val="center"/>
                  <w:hideMark/>
                </w:tcPr>
                <w:p w14:paraId="3AB7F40C" w14:textId="77777777" w:rsidR="00574A27" w:rsidRPr="000D515F" w:rsidRDefault="00574A27" w:rsidP="00E335D4">
                  <w:pPr>
                    <w:keepNext/>
                    <w:suppressLineNumbers/>
                    <w:suppressAutoHyphens/>
                    <w:bidi/>
                    <w:spacing w:after="120" w:line="280" w:lineRule="exact"/>
                    <w:ind w:left="-108"/>
                    <w:rPr>
                      <w:rFonts w:ascii="Arabic Typesetting" w:hAnsi="Arabic Typesetting" w:cs="Arabic Typesetting"/>
                      <w:sz w:val="28"/>
                      <w:szCs w:val="28"/>
                      <w:rtl/>
                    </w:rPr>
                  </w:pPr>
                  <w:r w:rsidRPr="000D515F">
                    <w:rPr>
                      <w:rFonts w:ascii="Arabic Typesetting" w:hAnsi="Arabic Typesetting" w:cs="Arabic Typesetting"/>
                      <w:sz w:val="28"/>
                      <w:szCs w:val="28"/>
                      <w:rtl/>
                    </w:rPr>
                    <w:t>(مكتب سنغافورة)</w:t>
                  </w:r>
                </w:p>
              </w:tc>
            </w:tr>
          </w:tbl>
          <w:p w14:paraId="126C4EE4" w14:textId="77777777" w:rsidR="00574A27" w:rsidRPr="000D515F" w:rsidRDefault="00574A27" w:rsidP="00E335D4">
            <w:pPr>
              <w:keepNext/>
              <w:suppressLineNumbers/>
              <w:suppressAutoHyphens/>
              <w:bidi/>
              <w:spacing w:after="120" w:line="280" w:lineRule="exact"/>
              <w:rPr>
                <w:rFonts w:ascii="Arabic Typesetting" w:hAnsi="Arabic Typesetting" w:cs="Arabic Typesetting"/>
                <w:color w:val="000000"/>
                <w:sz w:val="28"/>
                <w:szCs w:val="28"/>
              </w:rPr>
            </w:pPr>
          </w:p>
        </w:tc>
        <w:tc>
          <w:tcPr>
            <w:tcW w:w="448" w:type="pct"/>
            <w:gridSpan w:val="3"/>
            <w:shd w:val="clear" w:color="auto" w:fill="auto"/>
            <w:tcMar>
              <w:top w:w="110" w:type="dxa"/>
              <w:left w:w="58" w:type="dxa"/>
              <w:right w:w="58" w:type="dxa"/>
            </w:tcMar>
          </w:tcPr>
          <w:p w14:paraId="601B3E0B" w14:textId="77777777" w:rsidR="00574A27" w:rsidRPr="000D515F" w:rsidRDefault="00574A27" w:rsidP="00E335D4">
            <w:pPr>
              <w:keepNext/>
              <w:suppressLineNumbers/>
              <w:suppressAutoHyphens/>
              <w:bidi/>
              <w:spacing w:after="120" w:line="280" w:lineRule="exact"/>
              <w:rPr>
                <w:rFonts w:ascii="Arabic Typesetting" w:hAnsi="Arabic Typesetting" w:cs="Arabic Typesetting"/>
                <w:color w:val="000000"/>
                <w:sz w:val="28"/>
                <w:szCs w:val="28"/>
              </w:rPr>
            </w:pPr>
          </w:p>
          <w:p w14:paraId="10281533"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6CC1F9E6"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689CEB7B"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6702C258"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6FE6A30D"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
                <w:color w:val="00B050"/>
                <w:sz w:val="28"/>
                <w:szCs w:val="28"/>
                <w:rtl/>
              </w:rPr>
            </w:pPr>
            <w:r w:rsidRPr="000D515F">
              <w:rPr>
                <w:rFonts w:ascii="Arabic Typesetting" w:hAnsi="Arabic Typesetting" w:cs="Arabic Typesetting"/>
                <w:bCs/>
                <w:color w:val="00B050"/>
                <w:sz w:val="28"/>
                <w:szCs w:val="28"/>
                <w:rtl/>
              </w:rPr>
              <w:t>ثابت</w:t>
            </w:r>
          </w:p>
          <w:p w14:paraId="7E0A17F0"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color w:val="000000"/>
                <w:sz w:val="28"/>
                <w:szCs w:val="28"/>
              </w:rPr>
            </w:pPr>
          </w:p>
          <w:p w14:paraId="644559E1"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color w:val="000000"/>
                <w:sz w:val="28"/>
                <w:szCs w:val="28"/>
              </w:rPr>
            </w:pPr>
          </w:p>
          <w:p w14:paraId="53960B24"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3E364E54"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4467B5B8"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59B33F71"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4C95A598"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23FEA65E"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
                <w:color w:val="00B050"/>
                <w:sz w:val="28"/>
                <w:szCs w:val="28"/>
                <w:rtl/>
              </w:rPr>
            </w:pPr>
          </w:p>
          <w:p w14:paraId="7B411812"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
                <w:color w:val="00B050"/>
                <w:sz w:val="28"/>
                <w:szCs w:val="28"/>
              </w:rPr>
            </w:pPr>
          </w:p>
          <w:p w14:paraId="0B456606"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0067B4D9"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259192F2"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FF0000"/>
                <w:sz w:val="28"/>
                <w:szCs w:val="28"/>
                <w:rtl/>
              </w:rPr>
            </w:pPr>
            <w:r w:rsidRPr="000D515F">
              <w:rPr>
                <w:rFonts w:ascii="Arabic Typesetting" w:hAnsi="Arabic Typesetting" w:cs="Arabic Typesetting"/>
                <w:bCs/>
                <w:color w:val="FF0000"/>
                <w:sz w:val="28"/>
                <w:szCs w:val="28"/>
                <w:rtl/>
              </w:rPr>
              <w:t>غير ثابت</w:t>
            </w:r>
          </w:p>
          <w:p w14:paraId="5CBF0489"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271DF3F5" w14:textId="77777777" w:rsidR="00574A27" w:rsidRPr="000D515F" w:rsidRDefault="00574A27" w:rsidP="00E335D4">
            <w:pPr>
              <w:keepNext/>
              <w:suppressLineNumbers/>
              <w:suppressAutoHyphens/>
              <w:bidi/>
              <w:spacing w:after="120" w:line="280" w:lineRule="exact"/>
              <w:jc w:val="center"/>
              <w:rPr>
                <w:rFonts w:ascii="Arabic Typesetting" w:hAnsi="Arabic Typesetting" w:cs="Arabic Typesetting"/>
                <w:b/>
                <w:color w:val="00B050"/>
                <w:sz w:val="28"/>
                <w:szCs w:val="28"/>
                <w:rtl/>
              </w:rPr>
            </w:pPr>
            <w:r w:rsidRPr="000D515F">
              <w:rPr>
                <w:rFonts w:ascii="Arabic Typesetting" w:hAnsi="Arabic Typesetting" w:cs="Arabic Typesetting"/>
                <w:bCs/>
                <w:color w:val="00B050"/>
                <w:sz w:val="28"/>
                <w:szCs w:val="28"/>
                <w:rtl/>
              </w:rPr>
              <w:t>ثابت</w:t>
            </w:r>
          </w:p>
        </w:tc>
      </w:tr>
      <w:tr w:rsidR="00574A27" w:rsidRPr="000D515F" w14:paraId="7FD0D74C" w14:textId="77777777" w:rsidTr="0059581F">
        <w:trPr>
          <w:gridAfter w:val="1"/>
          <w:wAfter w:w="133" w:type="pct"/>
          <w:cantSplit/>
          <w:trHeight w:val="970"/>
        </w:trPr>
        <w:tc>
          <w:tcPr>
            <w:tcW w:w="921" w:type="pct"/>
            <w:shd w:val="clear" w:color="auto" w:fill="auto"/>
            <w:tcMar>
              <w:left w:w="58" w:type="dxa"/>
              <w:right w:w="58" w:type="dxa"/>
            </w:tcMar>
          </w:tcPr>
          <w:p w14:paraId="73BEF613" w14:textId="77777777" w:rsidR="00574A27" w:rsidRPr="000D515F" w:rsidRDefault="00574A27" w:rsidP="0059581F">
            <w:pPr>
              <w:pStyle w:val="Default"/>
              <w:keepNex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lastRenderedPageBreak/>
              <w:t>عدد الشبكات الوطنية المستدامة</w:t>
            </w:r>
            <w:r w:rsidRPr="000D515F">
              <w:rPr>
                <w:rStyle w:val="FootnoteReference"/>
                <w:rFonts w:eastAsia="SimSun"/>
              </w:rPr>
              <w:footnoteReference w:id="82"/>
            </w:r>
            <w:r w:rsidRPr="000D515F">
              <w:rPr>
                <w:rFonts w:ascii="Arabic Typesetting" w:hAnsi="Arabic Typesetting" w:cs="Arabic Typesetting"/>
                <w:sz w:val="28"/>
                <w:szCs w:val="28"/>
              </w:rPr>
              <w:t xml:space="preserve"> لمراكز دعم الابتكار والتكنولوجيا</w:t>
            </w:r>
          </w:p>
        </w:tc>
        <w:tc>
          <w:tcPr>
            <w:tcW w:w="1470" w:type="pct"/>
            <w:gridSpan w:val="4"/>
            <w:shd w:val="clear" w:color="auto" w:fill="auto"/>
            <w:tcMar>
              <w:left w:w="58" w:type="dxa"/>
              <w:right w:w="58" w:type="dxa"/>
            </w:tcMar>
          </w:tcPr>
          <w:p w14:paraId="7FF329C4" w14:textId="77777777" w:rsidR="00574A27" w:rsidRPr="000D515F" w:rsidRDefault="00574A27" w:rsidP="0059581F">
            <w:pPr>
              <w:keepNext/>
              <w:suppressLineNumbers/>
              <w:suppressAutoHyphens/>
              <w:bidi/>
              <w:spacing w:after="120" w:line="280" w:lineRule="exact"/>
              <w:rPr>
                <w:rFonts w:ascii="Arabic Typesetting" w:hAnsi="Arabic Typesetting" w:cs="Arabic Typesetting"/>
                <w:iCs/>
                <w:color w:val="000000"/>
                <w:sz w:val="28"/>
                <w:szCs w:val="28"/>
                <w:rtl/>
              </w:rPr>
            </w:pPr>
            <w:r w:rsidRPr="000D515F">
              <w:rPr>
                <w:rFonts w:ascii="Arabic Typesetting" w:hAnsi="Arabic Typesetting" w:cs="Arabic Typesetting"/>
                <w:i/>
                <w:color w:val="002060"/>
                <w:sz w:val="28"/>
                <w:szCs w:val="28"/>
                <w:rtl/>
              </w:rPr>
              <w:t xml:space="preserve"> </w:t>
            </w:r>
            <w:r w:rsidRPr="000D515F">
              <w:rPr>
                <w:rFonts w:ascii="Arabic Typesetting" w:hAnsi="Arabic Typesetting" w:cs="Arabic Typesetting"/>
                <w:iCs/>
                <w:color w:val="002060"/>
                <w:sz w:val="28"/>
                <w:szCs w:val="28"/>
                <w:rtl/>
              </w:rPr>
              <w:t xml:space="preserve">أساس المقارنة المحدّث في نهاية 2015: </w:t>
            </w:r>
          </w:p>
          <w:p w14:paraId="2E962F94" w14:textId="77777777" w:rsidR="00574A27" w:rsidRPr="000D515F" w:rsidRDefault="00574A27" w:rsidP="0059581F">
            <w:pPr>
              <w:keepNext/>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الصين: 0</w:t>
            </w:r>
          </w:p>
          <w:p w14:paraId="52ABFF7B" w14:textId="77777777" w:rsidR="00574A27" w:rsidRPr="000D515F" w:rsidRDefault="00574A27" w:rsidP="0059581F">
            <w:pPr>
              <w:keepNext/>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مكتب سنغافورة: 2</w:t>
            </w:r>
          </w:p>
          <w:p w14:paraId="2B74ECCC" w14:textId="77777777" w:rsidR="00574A27" w:rsidRPr="000D515F" w:rsidRDefault="00574A27" w:rsidP="0059581F">
            <w:pPr>
              <w:keepNext/>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- 1 مستوى النضج الأول</w:t>
            </w:r>
          </w:p>
          <w:p w14:paraId="3FAD2327" w14:textId="77777777" w:rsidR="00574A27" w:rsidRPr="000D515F" w:rsidRDefault="00574A27" w:rsidP="0059581F">
            <w:pPr>
              <w:keepNext/>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- 1 مستوى النضج الثالث</w:t>
            </w:r>
          </w:p>
          <w:p w14:paraId="26F9D8AB" w14:textId="719C89CF" w:rsidR="00574A27" w:rsidRPr="000D515F" w:rsidRDefault="000D515F" w:rsidP="0059581F">
            <w:pPr>
              <w:keepNext/>
              <w:suppressLineNumbers/>
              <w:suppressAutoHyphens/>
              <w:bidi/>
              <w:spacing w:line="280" w:lineRule="exact"/>
              <w:rPr>
                <w:rFonts w:ascii="Arabic Typesetting" w:hAnsi="Arabic Typesetting" w:cs="Arabic Typesetting"/>
                <w:iCs/>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574A27" w:rsidRPr="000D515F">
              <w:rPr>
                <w:rFonts w:ascii="Arabic Typesetting" w:hAnsi="Arabic Typesetting" w:cs="Arabic Typesetting"/>
                <w:iCs/>
                <w:sz w:val="28"/>
                <w:szCs w:val="28"/>
                <w:rtl/>
              </w:rPr>
              <w:t xml:space="preserve">2016/17: </w:t>
            </w:r>
          </w:p>
          <w:p w14:paraId="59F9CE71" w14:textId="52A6D54C" w:rsidR="00574A27" w:rsidRPr="000D515F" w:rsidRDefault="00574A27" w:rsidP="0059581F">
            <w:pPr>
              <w:keepNext/>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2 (مكتب سنغافورة)</w:t>
            </w:r>
            <w:r w:rsidR="00BD308F">
              <w:rPr>
                <w:rFonts w:ascii="Arabic Typesetting" w:hAnsi="Arabic Typesetting" w:cs="Arabic Typesetting" w:hint="cs"/>
                <w:sz w:val="28"/>
                <w:szCs w:val="28"/>
                <w:rtl/>
              </w:rPr>
              <w:br/>
            </w:r>
            <w:r w:rsidRPr="000D515F">
              <w:rPr>
                <w:rFonts w:ascii="Arabic Typesetting" w:hAnsi="Arabic Typesetting" w:cs="Arabic Typesetting"/>
                <w:sz w:val="28"/>
                <w:szCs w:val="28"/>
                <w:rtl/>
              </w:rPr>
              <w:t>0 (مكتب الصين)</w:t>
            </w:r>
          </w:p>
        </w:tc>
        <w:tc>
          <w:tcPr>
            <w:tcW w:w="739" w:type="pct"/>
            <w:gridSpan w:val="2"/>
            <w:shd w:val="clear" w:color="auto" w:fill="auto"/>
            <w:tcMar>
              <w:top w:w="110" w:type="dxa"/>
              <w:left w:w="58" w:type="dxa"/>
              <w:right w:w="58" w:type="dxa"/>
            </w:tcMar>
          </w:tcPr>
          <w:p w14:paraId="5F71B957" w14:textId="48E5D0EF" w:rsidR="00574A27" w:rsidRPr="000D515F" w:rsidRDefault="00574A27" w:rsidP="0059581F">
            <w:pPr>
              <w:pStyle w:val="Default"/>
              <w:keepNext/>
              <w:suppressLineNumbers/>
              <w:suppressAutoHyphens/>
              <w:spacing w:after="120" w:line="280" w:lineRule="exact"/>
              <w:ind w:right="-94"/>
              <w:rPr>
                <w:rFonts w:ascii="Arabic Typesetting" w:hAnsi="Arabic Typesetting" w:cs="Arabic Typesetting"/>
                <w:sz w:val="28"/>
                <w:szCs w:val="28"/>
                <w:rtl w:val="0"/>
              </w:rPr>
            </w:pPr>
            <w:r w:rsidRPr="000D515F">
              <w:rPr>
                <w:rFonts w:ascii="Arabic Typesetting" w:hAnsi="Arabic Typesetting" w:cs="Arabic Typesetting"/>
                <w:sz w:val="28"/>
                <w:szCs w:val="28"/>
              </w:rPr>
              <w:t>1 (مكتب الصين)</w:t>
            </w:r>
          </w:p>
          <w:p w14:paraId="29AE0DA2" w14:textId="16E8193F" w:rsidR="00574A27" w:rsidRPr="000D515F" w:rsidRDefault="00574A27" w:rsidP="0059581F">
            <w:pPr>
              <w:pStyle w:val="Default"/>
              <w:keepNext/>
              <w:suppressLineNumbers/>
              <w:suppressAutoHyphens/>
              <w:spacing w:after="120" w:line="280" w:lineRule="exact"/>
              <w:ind w:right="-94"/>
              <w:rPr>
                <w:rFonts w:ascii="Arabic Typesetting" w:hAnsi="Arabic Typesetting" w:cs="Arabic Typesetting"/>
                <w:sz w:val="28"/>
                <w:szCs w:val="28"/>
              </w:rPr>
            </w:pPr>
            <w:r w:rsidRPr="000D515F">
              <w:rPr>
                <w:rFonts w:ascii="Arabic Typesetting" w:hAnsi="Arabic Typesetting" w:cs="Arabic Typesetting"/>
                <w:sz w:val="28"/>
                <w:szCs w:val="28"/>
              </w:rPr>
              <w:t>2 إضافيتان (مكتب سنغافورة)</w:t>
            </w:r>
          </w:p>
        </w:tc>
        <w:tc>
          <w:tcPr>
            <w:tcW w:w="1289" w:type="pct"/>
            <w:gridSpan w:val="4"/>
            <w:shd w:val="clear" w:color="auto" w:fill="FFFFFF"/>
            <w:tcMar>
              <w:top w:w="110" w:type="dxa"/>
              <w:left w:w="58" w:type="dxa"/>
              <w:right w:w="58" w:type="dxa"/>
            </w:tcMar>
          </w:tcPr>
          <w:p w14:paraId="154DBC19" w14:textId="35A4E83A" w:rsidR="00574A27" w:rsidRPr="000D515F" w:rsidRDefault="00574A27" w:rsidP="0059581F">
            <w:pPr>
              <w:keepNext/>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0 (مكتب الصين)</w:t>
            </w:r>
          </w:p>
          <w:p w14:paraId="4315C309" w14:textId="77777777" w:rsidR="00574A27" w:rsidRPr="000D515F" w:rsidRDefault="00574A27" w:rsidP="0059581F">
            <w:pPr>
              <w:pStyle w:val="Default"/>
              <w:keepNext/>
              <w:suppressLineNumbers/>
              <w:suppressAutoHyphens/>
              <w:spacing w:after="120" w:line="280" w:lineRule="exact"/>
              <w:ind w:right="-94"/>
              <w:rPr>
                <w:rFonts w:ascii="Arabic Typesetting" w:hAnsi="Arabic Typesetting" w:cs="Arabic Typesetting"/>
                <w:sz w:val="28"/>
                <w:szCs w:val="28"/>
                <w:rtl w:val="0"/>
              </w:rPr>
            </w:pPr>
            <w:r w:rsidRPr="000D515F">
              <w:rPr>
                <w:rFonts w:ascii="Arabic Typesetting" w:hAnsi="Arabic Typesetting" w:cs="Arabic Typesetting"/>
                <w:sz w:val="28"/>
                <w:szCs w:val="28"/>
              </w:rPr>
              <w:t>3 (مكتب سنغافورة):</w:t>
            </w:r>
          </w:p>
          <w:p w14:paraId="34E803F7" w14:textId="77777777" w:rsidR="00574A27" w:rsidRPr="000D515F" w:rsidRDefault="00574A27" w:rsidP="0059581F">
            <w:pPr>
              <w:pStyle w:val="Default"/>
              <w:keepNext/>
              <w:suppressLineNumbers/>
              <w:suppressAutoHyphens/>
              <w:spacing w:after="120" w:line="280" w:lineRule="exact"/>
              <w:ind w:right="-94"/>
              <w:rPr>
                <w:rFonts w:ascii="Arabic Typesetting" w:hAnsi="Arabic Typesetting" w:cs="Arabic Typesetting"/>
                <w:sz w:val="28"/>
                <w:szCs w:val="28"/>
                <w:rtl w:val="0"/>
              </w:rPr>
            </w:pPr>
            <w:r w:rsidRPr="000D515F">
              <w:rPr>
                <w:rFonts w:ascii="Arabic Typesetting" w:hAnsi="Arabic Typesetting" w:cs="Arabic Typesetting"/>
                <w:sz w:val="28"/>
                <w:szCs w:val="28"/>
              </w:rPr>
              <w:t>- 1 مستوى النضج الأول</w:t>
            </w:r>
          </w:p>
          <w:p w14:paraId="43ECF073" w14:textId="77777777" w:rsidR="00574A27" w:rsidRPr="000D515F" w:rsidRDefault="00574A27" w:rsidP="0059581F">
            <w:pPr>
              <w:keepNext/>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- 1 مستوى النضج الثاني</w:t>
            </w:r>
          </w:p>
          <w:p w14:paraId="73D13DD2" w14:textId="77777777" w:rsidR="00574A27" w:rsidRPr="000D515F" w:rsidRDefault="00574A27" w:rsidP="0059581F">
            <w:pPr>
              <w:keepNext/>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- 1 مستوى النضج الثالث</w:t>
            </w:r>
          </w:p>
        </w:tc>
        <w:tc>
          <w:tcPr>
            <w:tcW w:w="448" w:type="pct"/>
            <w:gridSpan w:val="3"/>
            <w:shd w:val="clear" w:color="auto" w:fill="auto"/>
            <w:tcMar>
              <w:top w:w="110" w:type="dxa"/>
              <w:left w:w="58" w:type="dxa"/>
              <w:right w:w="58" w:type="dxa"/>
            </w:tcMar>
          </w:tcPr>
          <w:p w14:paraId="3D3D9D85" w14:textId="77777777" w:rsidR="00574A27" w:rsidRPr="000D515F" w:rsidRDefault="00574A27" w:rsidP="0059581F">
            <w:pPr>
              <w:keepNext/>
              <w:suppressLineNumbers/>
              <w:suppressAutoHyphens/>
              <w:bidi/>
              <w:spacing w:after="120" w:line="280" w:lineRule="exact"/>
              <w:jc w:val="center"/>
              <w:rPr>
                <w:rFonts w:ascii="Arabic Typesetting" w:hAnsi="Arabic Typesetting" w:cs="Arabic Typesetting"/>
                <w:bCs/>
                <w:color w:val="000000"/>
                <w:sz w:val="28"/>
                <w:szCs w:val="28"/>
                <w:rtl/>
              </w:rPr>
            </w:pPr>
            <w:r w:rsidRPr="000D515F">
              <w:rPr>
                <w:rFonts w:ascii="Arabic Typesetting" w:hAnsi="Arabic Typesetting" w:cs="Arabic Typesetting"/>
                <w:bCs/>
                <w:color w:val="00B050"/>
                <w:sz w:val="28"/>
                <w:szCs w:val="28"/>
                <w:rtl/>
              </w:rPr>
              <w:t>ثابت</w:t>
            </w:r>
          </w:p>
        </w:tc>
      </w:tr>
      <w:tr w:rsidR="00574A27" w:rsidRPr="000D515F" w14:paraId="02993852" w14:textId="77777777" w:rsidTr="000D515F">
        <w:trPr>
          <w:gridAfter w:val="1"/>
          <w:wAfter w:w="133" w:type="pct"/>
          <w:cantSplit/>
          <w:trHeight w:val="648"/>
        </w:trPr>
        <w:tc>
          <w:tcPr>
            <w:tcW w:w="4867" w:type="pct"/>
            <w:gridSpan w:val="14"/>
            <w:shd w:val="clear" w:color="auto" w:fill="C6D9F1" w:themeFill="text2" w:themeFillTint="33"/>
            <w:tcMar>
              <w:left w:w="58" w:type="dxa"/>
              <w:right w:w="58" w:type="dxa"/>
            </w:tcMar>
            <w:vAlign w:val="center"/>
          </w:tcPr>
          <w:p w14:paraId="09E0729A" w14:textId="54E5633C" w:rsidR="00574A27" w:rsidRPr="000D515F" w:rsidRDefault="00574A27" w:rsidP="000D515F">
            <w:pPr>
              <w:keepNext/>
              <w:bidi/>
              <w:spacing w:after="120" w:line="280" w:lineRule="exact"/>
              <w:ind w:left="1167" w:hanging="1167"/>
              <w:rPr>
                <w:rFonts w:ascii="Arabic Typesetting" w:hAnsi="Arabic Typesetting" w:cs="Arabic Typesetting"/>
                <w:sz w:val="28"/>
                <w:szCs w:val="28"/>
                <w:rtl/>
              </w:rPr>
            </w:pPr>
            <w:r w:rsidRPr="000D515F">
              <w:rPr>
                <w:rFonts w:ascii="Arabic Typesetting" w:hAnsi="Arabic Typesetting" w:cs="Arabic Typesetting"/>
                <w:b/>
                <w:bCs/>
                <w:sz w:val="28"/>
                <w:szCs w:val="28"/>
                <w:rtl/>
              </w:rPr>
              <w:t>النتيجة المرتقبة:</w:t>
            </w:r>
            <w:r w:rsidRPr="000D515F">
              <w:rPr>
                <w:rFonts w:ascii="Arabic Typesetting" w:hAnsi="Arabic Typesetting" w:cs="Arabic Typesetting"/>
                <w:b/>
                <w:bCs/>
                <w:sz w:val="28"/>
                <w:szCs w:val="28"/>
                <w:rtl/>
              </w:rPr>
              <w:tab/>
            </w:r>
            <w:r w:rsidRPr="000D515F">
              <w:rPr>
                <w:rFonts w:ascii="Arabic Typesetting" w:hAnsi="Arabic Typesetting" w:cs="Arabic Typesetting"/>
                <w:sz w:val="28"/>
                <w:szCs w:val="28"/>
                <w:rtl/>
              </w:rPr>
              <w:t xml:space="preserve">ھ4.4 </w:t>
            </w:r>
            <w:r w:rsidR="007B1E0A">
              <w:rPr>
                <w:rFonts w:ascii="Arabic Typesetting" w:hAnsi="Arabic Typesetting" w:cs="Arabic Typesetting"/>
                <w:sz w:val="28"/>
                <w:szCs w:val="28"/>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r>
      <w:tr w:rsidR="00574A27" w:rsidRPr="000D515F" w14:paraId="5205D840" w14:textId="77777777" w:rsidTr="000D515F">
        <w:trPr>
          <w:gridAfter w:val="1"/>
          <w:wAfter w:w="133" w:type="pct"/>
          <w:cantSplit/>
        </w:trPr>
        <w:tc>
          <w:tcPr>
            <w:tcW w:w="921" w:type="pct"/>
            <w:shd w:val="clear" w:color="auto" w:fill="auto"/>
            <w:tcMar>
              <w:left w:w="58" w:type="dxa"/>
              <w:right w:w="58" w:type="dxa"/>
            </w:tcMar>
            <w:vAlign w:val="center"/>
          </w:tcPr>
          <w:p w14:paraId="4B124202"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 xml:space="preserve"> مؤشرات الأداء</w:t>
            </w:r>
          </w:p>
        </w:tc>
        <w:tc>
          <w:tcPr>
            <w:tcW w:w="1470" w:type="pct"/>
            <w:gridSpan w:val="4"/>
            <w:shd w:val="clear" w:color="auto" w:fill="auto"/>
            <w:tcMar>
              <w:left w:w="58" w:type="dxa"/>
              <w:right w:w="58" w:type="dxa"/>
            </w:tcMar>
            <w:vAlign w:val="center"/>
          </w:tcPr>
          <w:p w14:paraId="167B249E"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أسس المقارنة</w:t>
            </w:r>
          </w:p>
        </w:tc>
        <w:tc>
          <w:tcPr>
            <w:tcW w:w="739" w:type="pct"/>
            <w:gridSpan w:val="2"/>
            <w:shd w:val="clear" w:color="auto" w:fill="auto"/>
            <w:tcMar>
              <w:top w:w="110" w:type="dxa"/>
              <w:left w:w="58" w:type="dxa"/>
              <w:right w:w="58" w:type="dxa"/>
            </w:tcMar>
            <w:vAlign w:val="center"/>
          </w:tcPr>
          <w:p w14:paraId="0D387C5F" w14:textId="77777777" w:rsidR="00574A27" w:rsidRPr="000D515F" w:rsidRDefault="00574A27" w:rsidP="000D515F">
            <w:pPr>
              <w:keepNext/>
              <w:tabs>
                <w:tab w:val="left" w:pos="290"/>
              </w:tabs>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الأهداف</w:t>
            </w:r>
          </w:p>
        </w:tc>
        <w:tc>
          <w:tcPr>
            <w:tcW w:w="1289" w:type="pct"/>
            <w:gridSpan w:val="4"/>
            <w:shd w:val="clear" w:color="auto" w:fill="FFFFFF"/>
            <w:tcMar>
              <w:top w:w="110" w:type="dxa"/>
              <w:left w:w="58" w:type="dxa"/>
              <w:right w:w="58" w:type="dxa"/>
            </w:tcMar>
            <w:vAlign w:val="center"/>
          </w:tcPr>
          <w:p w14:paraId="4B07FA1D"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بيانات الأداء</w:t>
            </w:r>
          </w:p>
        </w:tc>
        <w:tc>
          <w:tcPr>
            <w:tcW w:w="448" w:type="pct"/>
            <w:gridSpan w:val="3"/>
            <w:shd w:val="clear" w:color="auto" w:fill="auto"/>
            <w:tcMar>
              <w:top w:w="110" w:type="dxa"/>
              <w:left w:w="58" w:type="dxa"/>
              <w:right w:w="58" w:type="dxa"/>
            </w:tcMar>
            <w:vAlign w:val="center"/>
          </w:tcPr>
          <w:p w14:paraId="0C130DD2" w14:textId="77777777" w:rsidR="00574A27" w:rsidRPr="000D515F" w:rsidRDefault="00574A27" w:rsidP="000D515F">
            <w:pPr>
              <w:keepNext/>
              <w:bidi/>
              <w:spacing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السير</w:t>
            </w:r>
          </w:p>
        </w:tc>
      </w:tr>
      <w:tr w:rsidR="00574A27" w:rsidRPr="000D515F" w14:paraId="46E2E727" w14:textId="77777777" w:rsidTr="000D515F">
        <w:trPr>
          <w:gridAfter w:val="1"/>
          <w:wAfter w:w="133" w:type="pct"/>
          <w:cantSplit/>
          <w:trHeight w:val="1060"/>
        </w:trPr>
        <w:tc>
          <w:tcPr>
            <w:tcW w:w="921" w:type="pct"/>
            <w:shd w:val="clear" w:color="auto" w:fill="auto"/>
            <w:tcMar>
              <w:left w:w="58" w:type="dxa"/>
              <w:right w:w="58" w:type="dxa"/>
            </w:tcMar>
          </w:tcPr>
          <w:p w14:paraId="4545FA79"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عدد المكاتب التي تستخدم منصات الويبو للبنية التحتية</w:t>
            </w:r>
          </w:p>
        </w:tc>
        <w:tc>
          <w:tcPr>
            <w:tcW w:w="1470" w:type="pct"/>
            <w:gridSpan w:val="4"/>
            <w:shd w:val="clear" w:color="auto" w:fill="auto"/>
            <w:tcMar>
              <w:left w:w="58" w:type="dxa"/>
              <w:right w:w="58" w:type="dxa"/>
            </w:tcMar>
          </w:tcPr>
          <w:p w14:paraId="7DC27016" w14:textId="0A1B6385" w:rsidR="00574A27" w:rsidRPr="000D515F" w:rsidRDefault="00574A27" w:rsidP="00BD308F">
            <w:pPr>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iCs/>
                <w:color w:val="002060"/>
                <w:sz w:val="28"/>
                <w:szCs w:val="28"/>
                <w:rtl/>
              </w:rPr>
              <w:t xml:space="preserve">أساس </w:t>
            </w:r>
            <w:r w:rsidR="00BD308F">
              <w:rPr>
                <w:rFonts w:ascii="Arabic Typesetting" w:hAnsi="Arabic Typesetting" w:cs="Arabic Typesetting"/>
                <w:iCs/>
                <w:color w:val="002060"/>
                <w:sz w:val="28"/>
                <w:szCs w:val="28"/>
                <w:rtl/>
              </w:rPr>
              <w:t>المقارنة المحدّث في نهاية 2015:</w:t>
            </w:r>
            <w:r w:rsidR="00BD308F">
              <w:rPr>
                <w:rFonts w:ascii="Arabic Typesetting" w:hAnsi="Arabic Typesetting" w:cs="Arabic Typesetting" w:hint="cs"/>
                <w:iCs/>
                <w:color w:val="002060"/>
                <w:sz w:val="28"/>
                <w:szCs w:val="28"/>
                <w:rtl/>
              </w:rPr>
              <w:br/>
            </w:r>
            <w:r w:rsidR="00BD308F">
              <w:rPr>
                <w:rFonts w:ascii="Arabic Typesetting" w:hAnsi="Arabic Typesetting" w:cs="Arabic Typesetting" w:hint="cs"/>
                <w:color w:val="002060"/>
                <w:sz w:val="28"/>
                <w:szCs w:val="28"/>
                <w:rtl/>
              </w:rPr>
              <w:t>0 (مكتب البرازيل)</w:t>
            </w:r>
            <w:r w:rsidR="00BD308F">
              <w:rPr>
                <w:rFonts w:ascii="Arabic Typesetting" w:hAnsi="Arabic Typesetting" w:cs="Arabic Typesetting"/>
                <w:color w:val="002060"/>
                <w:sz w:val="28"/>
                <w:szCs w:val="28"/>
                <w:rtl/>
              </w:rPr>
              <w:br/>
            </w:r>
            <w:r w:rsidRPr="000D515F">
              <w:rPr>
                <w:rFonts w:ascii="Arabic Typesetting" w:hAnsi="Arabic Typesetting" w:cs="Arabic Typesetting"/>
                <w:color w:val="002060"/>
                <w:sz w:val="28"/>
                <w:szCs w:val="28"/>
                <w:rtl/>
              </w:rPr>
              <w:t>8 (مكتب سنغافورة) (بروني دار السلام، إندونيسيا، جمهورية لاو الديمقراطية الشعبية، ماليزيا، الفلبين، سنغافورة، تايلند، فييت</w:t>
            </w:r>
            <w:r w:rsidR="00BD308F">
              <w:rPr>
                <w:rFonts w:hint="cs"/>
                <w:rtl/>
              </w:rPr>
              <w:t> </w:t>
            </w:r>
            <w:r w:rsidRPr="000D515F">
              <w:rPr>
                <w:rFonts w:ascii="Arabic Typesetting" w:hAnsi="Arabic Typesetting" w:cs="Arabic Typesetting"/>
                <w:color w:val="002060"/>
                <w:sz w:val="28"/>
                <w:szCs w:val="28"/>
                <w:rtl/>
              </w:rPr>
              <w:t>نام)</w:t>
            </w:r>
          </w:p>
          <w:p w14:paraId="4A958558" w14:textId="6FB57D00" w:rsidR="00574A27" w:rsidRPr="000D515F" w:rsidRDefault="000D515F" w:rsidP="00BD308F">
            <w:pPr>
              <w:suppressLineNumbers/>
              <w:suppressAutoHyphens/>
              <w:bidi/>
              <w:spacing w:after="120" w:line="280" w:lineRule="exact"/>
              <w:rPr>
                <w:rFonts w:ascii="Arabic Typesetting" w:hAnsi="Arabic Typesetting" w:cs="Arabic Typesetting"/>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BD308F">
              <w:rPr>
                <w:rFonts w:ascii="Arabic Typesetting" w:hAnsi="Arabic Typesetting" w:cs="Arabic Typesetting"/>
                <w:iCs/>
                <w:sz w:val="28"/>
                <w:szCs w:val="28"/>
                <w:rtl/>
              </w:rPr>
              <w:t>2016/17:</w:t>
            </w:r>
            <w:r w:rsidR="00BD308F">
              <w:rPr>
                <w:rFonts w:ascii="Arabic Typesetting" w:hAnsi="Arabic Typesetting" w:cs="Arabic Typesetting" w:hint="cs"/>
                <w:iCs/>
                <w:sz w:val="28"/>
                <w:szCs w:val="28"/>
                <w:rtl/>
              </w:rPr>
              <w:br/>
            </w:r>
            <w:r w:rsidR="00BD308F">
              <w:rPr>
                <w:rFonts w:ascii="Arabic Typesetting" w:hAnsi="Arabic Typesetting" w:cs="Arabic Typesetting" w:hint="cs"/>
                <w:sz w:val="28"/>
                <w:szCs w:val="28"/>
                <w:rtl/>
              </w:rPr>
              <w:t>7 (مكتب فييت نام)</w:t>
            </w:r>
            <w:r w:rsidR="00BD308F">
              <w:rPr>
                <w:rFonts w:ascii="Arabic Typesetting" w:hAnsi="Arabic Typesetting" w:cs="Arabic Typesetting" w:hint="cs"/>
                <w:sz w:val="28"/>
                <w:szCs w:val="28"/>
                <w:rtl/>
              </w:rPr>
              <w:br/>
              <w:t xml:space="preserve">0 </w:t>
            </w:r>
            <w:r w:rsidR="00574A27" w:rsidRPr="000D515F">
              <w:rPr>
                <w:rFonts w:ascii="Arabic Typesetting" w:hAnsi="Arabic Typesetting" w:cs="Arabic Typesetting"/>
                <w:sz w:val="28"/>
                <w:szCs w:val="28"/>
              </w:rPr>
              <w:t>(</w:t>
            </w:r>
            <w:r w:rsidR="00574A27" w:rsidRPr="000D515F">
              <w:rPr>
                <w:rFonts w:ascii="Arabic Typesetting" w:hAnsi="Arabic Typesetting" w:cs="Arabic Typesetting"/>
                <w:sz w:val="28"/>
                <w:szCs w:val="28"/>
                <w:rtl/>
              </w:rPr>
              <w:t>مكتب البرازيل</w:t>
            </w:r>
            <w:r w:rsidR="00574A27" w:rsidRPr="000D515F">
              <w:rPr>
                <w:rFonts w:ascii="Arabic Typesetting" w:hAnsi="Arabic Typesetting" w:cs="Arabic Typesetting"/>
                <w:sz w:val="28"/>
                <w:szCs w:val="28"/>
              </w:rPr>
              <w:t>)</w:t>
            </w:r>
          </w:p>
        </w:tc>
        <w:tc>
          <w:tcPr>
            <w:tcW w:w="901" w:type="pct"/>
            <w:gridSpan w:val="4"/>
            <w:shd w:val="clear" w:color="auto" w:fill="auto"/>
            <w:tcMar>
              <w:top w:w="110" w:type="dxa"/>
              <w:left w:w="58" w:type="dxa"/>
              <w:right w:w="58" w:type="dxa"/>
            </w:tcMar>
          </w:tcPr>
          <w:p w14:paraId="4827A69A" w14:textId="0A6E3FED" w:rsidR="00574A27" w:rsidRPr="000D515F" w:rsidRDefault="00BD308F" w:rsidP="00BD308F">
            <w:pPr>
              <w:suppressLineNumbers/>
              <w:suppressAutoHyphens/>
              <w:bidi/>
              <w:spacing w:after="12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rPr>
              <w:t>الهدف المحدّد:</w:t>
            </w:r>
            <w:r>
              <w:rPr>
                <w:rFonts w:ascii="Arabic Typesetting" w:hAnsi="Arabic Typesetting" w:cs="Arabic Typesetting" w:hint="cs"/>
                <w:iCs/>
                <w:color w:val="002060"/>
                <w:sz w:val="28"/>
                <w:szCs w:val="28"/>
                <w:rtl/>
              </w:rPr>
              <w:br/>
            </w:r>
            <w:r w:rsidR="00574A27" w:rsidRPr="000D515F">
              <w:rPr>
                <w:rFonts w:ascii="Arabic Typesetting" w:hAnsi="Arabic Typesetting" w:cs="Arabic Typesetting"/>
                <w:color w:val="002060"/>
                <w:sz w:val="28"/>
                <w:szCs w:val="28"/>
                <w:rtl/>
              </w:rPr>
              <w:t>1 (مكتب البرازيل)</w:t>
            </w:r>
            <w:r>
              <w:rPr>
                <w:rFonts w:ascii="Arabic Typesetting" w:hAnsi="Arabic Typesetting" w:cs="Arabic Typesetting" w:hint="cs"/>
                <w:color w:val="002060"/>
                <w:sz w:val="28"/>
                <w:szCs w:val="28"/>
                <w:rtl/>
              </w:rPr>
              <w:br/>
              <w:t>1 إضافي (مكتب سنغافورة)</w:t>
            </w:r>
          </w:p>
          <w:p w14:paraId="751170A8" w14:textId="3F6AF4DA" w:rsidR="00574A27" w:rsidRPr="000D515F" w:rsidRDefault="00574A27" w:rsidP="00BD308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iCs/>
                <w:sz w:val="28"/>
                <w:szCs w:val="28"/>
                <w:rtl/>
              </w:rPr>
              <w:t>الهدف الأ</w:t>
            </w:r>
            <w:r w:rsidR="00BD308F">
              <w:rPr>
                <w:rFonts w:ascii="Arabic Typesetting" w:hAnsi="Arabic Typesetting" w:cs="Arabic Typesetting"/>
                <w:iCs/>
                <w:sz w:val="28"/>
                <w:szCs w:val="28"/>
                <w:rtl/>
              </w:rPr>
              <w:t>صلي</w:t>
            </w:r>
            <w:r w:rsidR="00BD308F">
              <w:rPr>
                <w:rFonts w:ascii="Arabic Typesetting" w:hAnsi="Arabic Typesetting" w:cs="Arabic Typesetting" w:hint="cs"/>
                <w:iCs/>
                <w:sz w:val="28"/>
                <w:szCs w:val="28"/>
                <w:rtl/>
              </w:rPr>
              <w:t>:</w:t>
            </w:r>
            <w:r w:rsidR="00BD308F">
              <w:rPr>
                <w:rFonts w:ascii="Arabic Typesetting" w:hAnsi="Arabic Typesetting" w:cs="Arabic Typesetting" w:hint="cs"/>
                <w:iCs/>
                <w:sz w:val="28"/>
                <w:szCs w:val="28"/>
                <w:rtl/>
              </w:rPr>
              <w:br/>
            </w:r>
            <w:r w:rsidR="00BD308F">
              <w:rPr>
                <w:rFonts w:ascii="Arabic Typesetting" w:hAnsi="Arabic Typesetting" w:cs="Arabic Typesetting"/>
                <w:iCs/>
                <w:sz w:val="28"/>
                <w:szCs w:val="28"/>
                <w:rtl/>
              </w:rPr>
              <w:t>برنامج وميزانية 2016/17:</w:t>
            </w:r>
            <w:r w:rsidR="00BD308F">
              <w:rPr>
                <w:rFonts w:ascii="Arabic Typesetting" w:hAnsi="Arabic Typesetting" w:cs="Arabic Typesetting" w:hint="cs"/>
                <w:iCs/>
                <w:sz w:val="28"/>
                <w:szCs w:val="28"/>
                <w:rtl/>
              </w:rPr>
              <w:br/>
            </w:r>
            <w:r w:rsidRPr="000D515F">
              <w:rPr>
                <w:rFonts w:ascii="Arabic Typesetting" w:hAnsi="Arabic Typesetting" w:cs="Arabic Typesetting"/>
                <w:sz w:val="28"/>
                <w:szCs w:val="28"/>
                <w:rtl/>
              </w:rPr>
              <w:t xml:space="preserve">يحدد لاحقاً </w:t>
            </w:r>
            <w:r w:rsidRPr="000D515F">
              <w:rPr>
                <w:rFonts w:ascii="Arabic Typesetting" w:hAnsi="Arabic Typesetting" w:cs="Arabic Typesetting"/>
                <w:sz w:val="28"/>
                <w:szCs w:val="28"/>
              </w:rPr>
              <w:t>(</w:t>
            </w:r>
            <w:r w:rsidRPr="000D515F">
              <w:rPr>
                <w:rFonts w:ascii="Arabic Typesetting" w:hAnsi="Arabic Typesetting" w:cs="Arabic Typesetting"/>
                <w:sz w:val="28"/>
                <w:szCs w:val="28"/>
                <w:rtl/>
              </w:rPr>
              <w:t>مكتب سنغافورة</w:t>
            </w:r>
            <w:r w:rsidRPr="000D515F">
              <w:rPr>
                <w:rFonts w:ascii="Arabic Typesetting" w:hAnsi="Arabic Typesetting" w:cs="Arabic Typesetting"/>
                <w:sz w:val="28"/>
                <w:szCs w:val="28"/>
              </w:rPr>
              <w:t>)</w:t>
            </w:r>
            <w:r w:rsidR="00BD308F">
              <w:rPr>
                <w:rFonts w:ascii="Arabic Typesetting" w:hAnsi="Arabic Typesetting" w:cs="Arabic Typesetting" w:hint="cs"/>
                <w:sz w:val="28"/>
                <w:szCs w:val="28"/>
                <w:rtl/>
              </w:rPr>
              <w:t>)</w:t>
            </w:r>
          </w:p>
          <w:p w14:paraId="391BCAE0"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1 (مكتب البرازيل)</w:t>
            </w:r>
          </w:p>
        </w:tc>
        <w:tc>
          <w:tcPr>
            <w:tcW w:w="1127" w:type="pct"/>
            <w:gridSpan w:val="2"/>
            <w:shd w:val="clear" w:color="auto" w:fill="FFFFFF"/>
            <w:tcMar>
              <w:top w:w="110" w:type="dxa"/>
              <w:left w:w="58" w:type="dxa"/>
              <w:right w:w="58" w:type="dxa"/>
            </w:tcMar>
          </w:tcPr>
          <w:p w14:paraId="7A42D826" w14:textId="77777777"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 xml:space="preserve"> 0 (مكتب البرازيل)</w:t>
            </w:r>
          </w:p>
          <w:p w14:paraId="03A8F35B" w14:textId="5F28E730" w:rsidR="00574A27" w:rsidRPr="00BD308F" w:rsidRDefault="00574A27" w:rsidP="00BD308F">
            <w:pPr>
              <w:pStyle w:val="Default"/>
              <w:suppressLineNumbers/>
              <w:suppressAutoHyphens/>
              <w:spacing w:after="120" w:line="280" w:lineRule="exact"/>
              <w:rPr>
                <w:rFonts w:ascii="Arabic Typesetting" w:hAnsi="Arabic Typesetting" w:cs="Arabic Typesetting"/>
                <w:color w:val="auto"/>
                <w:sz w:val="28"/>
                <w:szCs w:val="28"/>
              </w:rPr>
            </w:pPr>
            <w:r w:rsidRPr="000D515F">
              <w:rPr>
                <w:rFonts w:ascii="Arabic Typesetting" w:hAnsi="Arabic Typesetting" w:cs="Arabic Typesetting"/>
                <w:color w:val="auto"/>
                <w:sz w:val="28"/>
                <w:szCs w:val="28"/>
              </w:rPr>
              <w:t>1 إضافي (كمبوديا) (مكتب سنغافورة) (9 تراكمياً)</w:t>
            </w:r>
          </w:p>
        </w:tc>
        <w:tc>
          <w:tcPr>
            <w:tcW w:w="448" w:type="pct"/>
            <w:gridSpan w:val="3"/>
            <w:shd w:val="clear" w:color="auto" w:fill="auto"/>
            <w:tcMar>
              <w:top w:w="110" w:type="dxa"/>
              <w:left w:w="58" w:type="dxa"/>
              <w:right w:w="58" w:type="dxa"/>
            </w:tcMar>
          </w:tcPr>
          <w:p w14:paraId="038CAD59"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0000"/>
                <w:sz w:val="28"/>
                <w:szCs w:val="28"/>
                <w:rtl/>
              </w:rPr>
            </w:pPr>
            <w:r w:rsidRPr="000D515F">
              <w:rPr>
                <w:rFonts w:ascii="Arabic Typesetting" w:hAnsi="Arabic Typesetting" w:cs="Arabic Typesetting"/>
                <w:bCs/>
                <w:color w:val="00B050"/>
                <w:sz w:val="28"/>
                <w:szCs w:val="28"/>
                <w:rtl/>
              </w:rPr>
              <w:t>ثابت</w:t>
            </w:r>
          </w:p>
        </w:tc>
      </w:tr>
      <w:tr w:rsidR="00574A27" w:rsidRPr="000D515F" w14:paraId="3ED0720F" w14:textId="77777777" w:rsidTr="000D515F">
        <w:trPr>
          <w:gridAfter w:val="1"/>
          <w:wAfter w:w="133" w:type="pct"/>
          <w:cantSplit/>
          <w:trHeight w:val="648"/>
        </w:trPr>
        <w:tc>
          <w:tcPr>
            <w:tcW w:w="4867" w:type="pct"/>
            <w:gridSpan w:val="14"/>
            <w:shd w:val="clear" w:color="auto" w:fill="C6D9F1" w:themeFill="text2" w:themeFillTint="33"/>
            <w:tcMar>
              <w:left w:w="58" w:type="dxa"/>
              <w:right w:w="58" w:type="dxa"/>
            </w:tcMar>
            <w:vAlign w:val="center"/>
          </w:tcPr>
          <w:p w14:paraId="09CAA960" w14:textId="77777777" w:rsidR="00574A27" w:rsidRPr="000D515F" w:rsidRDefault="00574A27" w:rsidP="00BD308F">
            <w:pPr>
              <w:keepNext/>
              <w:bidi/>
              <w:spacing w:before="120" w:after="120" w:line="280" w:lineRule="exact"/>
              <w:ind w:left="1167" w:hanging="1167"/>
              <w:rPr>
                <w:rFonts w:ascii="Arabic Typesetting" w:hAnsi="Arabic Typesetting" w:cs="Arabic Typesetting"/>
                <w:sz w:val="28"/>
                <w:szCs w:val="28"/>
                <w:rtl/>
              </w:rPr>
            </w:pPr>
            <w:r w:rsidRPr="000D515F">
              <w:rPr>
                <w:rFonts w:ascii="Arabic Typesetting" w:hAnsi="Arabic Typesetting" w:cs="Arabic Typesetting"/>
                <w:b/>
                <w:bCs/>
                <w:sz w:val="28"/>
                <w:szCs w:val="28"/>
                <w:rtl/>
              </w:rPr>
              <w:lastRenderedPageBreak/>
              <w:t>النتيجة المرتقبة:</w:t>
            </w:r>
            <w:r w:rsidRPr="000D515F">
              <w:rPr>
                <w:rFonts w:ascii="Arabic Typesetting" w:hAnsi="Arabic Typesetting" w:cs="Arabic Typesetting"/>
                <w:b/>
                <w:bCs/>
                <w:sz w:val="28"/>
                <w:szCs w:val="28"/>
                <w:rtl/>
              </w:rPr>
              <w:tab/>
            </w:r>
            <w:r w:rsidRPr="000D515F">
              <w:rPr>
                <w:rFonts w:ascii="Arabic Typesetting" w:hAnsi="Arabic Typesetting" w:cs="Arabic Typesetting"/>
                <w:sz w:val="28"/>
                <w:szCs w:val="28"/>
                <w:rtl/>
              </w:rPr>
              <w:t>ھ2.7 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r>
      <w:tr w:rsidR="00574A27" w:rsidRPr="000D515F" w14:paraId="621D20E1" w14:textId="77777777" w:rsidTr="00BD308F">
        <w:trPr>
          <w:gridAfter w:val="1"/>
          <w:wAfter w:w="133" w:type="pct"/>
          <w:cantSplit/>
        </w:trPr>
        <w:tc>
          <w:tcPr>
            <w:tcW w:w="921" w:type="pct"/>
            <w:shd w:val="clear" w:color="auto" w:fill="auto"/>
            <w:tcMar>
              <w:left w:w="58" w:type="dxa"/>
              <w:right w:w="58" w:type="dxa"/>
            </w:tcMar>
            <w:vAlign w:val="center"/>
          </w:tcPr>
          <w:p w14:paraId="5DB48D67"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 xml:space="preserve"> مؤشرات الأداء</w:t>
            </w:r>
          </w:p>
        </w:tc>
        <w:tc>
          <w:tcPr>
            <w:tcW w:w="1367" w:type="pct"/>
            <w:gridSpan w:val="2"/>
            <w:shd w:val="clear" w:color="auto" w:fill="auto"/>
            <w:tcMar>
              <w:left w:w="58" w:type="dxa"/>
              <w:right w:w="58" w:type="dxa"/>
            </w:tcMar>
            <w:vAlign w:val="center"/>
          </w:tcPr>
          <w:p w14:paraId="72A18E18"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أسس المقارنة</w:t>
            </w:r>
          </w:p>
        </w:tc>
        <w:tc>
          <w:tcPr>
            <w:tcW w:w="841" w:type="pct"/>
            <w:gridSpan w:val="4"/>
            <w:shd w:val="clear" w:color="auto" w:fill="auto"/>
            <w:tcMar>
              <w:top w:w="110" w:type="dxa"/>
              <w:left w:w="58" w:type="dxa"/>
              <w:right w:w="58" w:type="dxa"/>
            </w:tcMar>
            <w:vAlign w:val="center"/>
          </w:tcPr>
          <w:p w14:paraId="3AD51B37" w14:textId="77777777" w:rsidR="00574A27" w:rsidRPr="000D515F" w:rsidRDefault="00574A27" w:rsidP="000D515F">
            <w:pPr>
              <w:keepNext/>
              <w:tabs>
                <w:tab w:val="left" w:pos="290"/>
              </w:tabs>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الأهداف</w:t>
            </w:r>
          </w:p>
        </w:tc>
        <w:tc>
          <w:tcPr>
            <w:tcW w:w="1289" w:type="pct"/>
            <w:gridSpan w:val="4"/>
            <w:shd w:val="clear" w:color="auto" w:fill="FFFFFF"/>
            <w:tcMar>
              <w:top w:w="110" w:type="dxa"/>
              <w:left w:w="58" w:type="dxa"/>
              <w:right w:w="58" w:type="dxa"/>
            </w:tcMar>
            <w:vAlign w:val="center"/>
          </w:tcPr>
          <w:p w14:paraId="1C81E76C"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بيانات الأداء</w:t>
            </w:r>
          </w:p>
        </w:tc>
        <w:tc>
          <w:tcPr>
            <w:tcW w:w="448" w:type="pct"/>
            <w:gridSpan w:val="3"/>
            <w:shd w:val="clear" w:color="auto" w:fill="auto"/>
            <w:tcMar>
              <w:top w:w="110" w:type="dxa"/>
              <w:left w:w="58" w:type="dxa"/>
              <w:right w:w="58" w:type="dxa"/>
            </w:tcMar>
            <w:vAlign w:val="center"/>
          </w:tcPr>
          <w:p w14:paraId="3E97D6ED" w14:textId="77777777" w:rsidR="00574A27" w:rsidRPr="000D515F" w:rsidRDefault="00574A27" w:rsidP="000D515F">
            <w:pPr>
              <w:keepNext/>
              <w:bidi/>
              <w:spacing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السير</w:t>
            </w:r>
          </w:p>
        </w:tc>
      </w:tr>
      <w:tr w:rsidR="00574A27" w:rsidRPr="000D515F" w14:paraId="6EDA7F95" w14:textId="77777777" w:rsidTr="00BD308F">
        <w:trPr>
          <w:cantSplit/>
          <w:trHeight w:val="1060"/>
        </w:trPr>
        <w:tc>
          <w:tcPr>
            <w:tcW w:w="921" w:type="pct"/>
            <w:shd w:val="clear" w:color="auto" w:fill="auto"/>
            <w:tcMar>
              <w:left w:w="58" w:type="dxa"/>
              <w:right w:w="58" w:type="dxa"/>
            </w:tcMar>
          </w:tcPr>
          <w:p w14:paraId="12834F54" w14:textId="6BB61619" w:rsidR="00574A27" w:rsidRPr="000D515F" w:rsidRDefault="00574A27" w:rsidP="00BD308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 xml:space="preserve">مشاركة أصحاب المصالح في منصات الويبو مثل منصتي </w:t>
            </w:r>
            <w:r w:rsidR="00BD308F">
              <w:rPr>
                <w:rFonts w:ascii="Arabic Typesetting" w:hAnsi="Arabic Typesetting" w:cs="Arabic Typesetting"/>
                <w:sz w:val="28"/>
                <w:szCs w:val="28"/>
                <w:rtl w:val="0"/>
              </w:rPr>
              <w:t>WIPO GREEN</w:t>
            </w:r>
            <w:r w:rsidRPr="000D515F">
              <w:rPr>
                <w:rFonts w:ascii="Arabic Typesetting" w:hAnsi="Arabic Typesetting" w:cs="Arabic Typesetting"/>
                <w:sz w:val="28"/>
                <w:szCs w:val="28"/>
              </w:rPr>
              <w:t xml:space="preserve"> </w:t>
            </w:r>
            <w:r w:rsidR="00BD308F">
              <w:rPr>
                <w:rFonts w:ascii="Arabic Typesetting" w:hAnsi="Arabic Typesetting" w:cs="Arabic Typesetting" w:hint="cs"/>
                <w:sz w:val="28"/>
                <w:szCs w:val="28"/>
              </w:rPr>
              <w:t>و</w:t>
            </w:r>
            <w:r w:rsidR="00BD308F">
              <w:rPr>
                <w:rFonts w:ascii="Arabic Typesetting" w:hAnsi="Arabic Typesetting" w:cs="Arabic Typesetting"/>
                <w:sz w:val="28"/>
                <w:szCs w:val="28"/>
                <w:rtl w:val="0"/>
              </w:rPr>
              <w:t>WIPO Re:Search</w:t>
            </w:r>
          </w:p>
        </w:tc>
        <w:tc>
          <w:tcPr>
            <w:tcW w:w="1367" w:type="pct"/>
            <w:gridSpan w:val="2"/>
            <w:shd w:val="clear" w:color="auto" w:fill="auto"/>
            <w:tcMar>
              <w:left w:w="58" w:type="dxa"/>
              <w:right w:w="58" w:type="dxa"/>
            </w:tcMar>
          </w:tcPr>
          <w:p w14:paraId="1BCD33FE" w14:textId="5C105012" w:rsidR="00574A27" w:rsidRPr="000D515F" w:rsidRDefault="00574A27" w:rsidP="00BD308F">
            <w:pPr>
              <w:suppressLineNumbers/>
              <w:suppressAutoHyphens/>
              <w:bidi/>
              <w:spacing w:after="120" w:line="280" w:lineRule="exact"/>
              <w:rPr>
                <w:rFonts w:ascii="Arabic Typesetting" w:hAnsi="Arabic Typesetting" w:cs="Arabic Typesetting"/>
                <w:color w:val="002060"/>
                <w:sz w:val="28"/>
                <w:szCs w:val="28"/>
                <w:rtl/>
              </w:rPr>
            </w:pPr>
            <w:r w:rsidRPr="000D515F">
              <w:rPr>
                <w:rFonts w:ascii="Arabic Typesetting" w:hAnsi="Arabic Typesetting" w:cs="Arabic Typesetting"/>
                <w:i/>
                <w:iCs/>
                <w:color w:val="002060"/>
                <w:sz w:val="28"/>
                <w:szCs w:val="28"/>
                <w:rtl/>
              </w:rPr>
              <w:t xml:space="preserve"> أساس المقارنة المحدّث ف</w:t>
            </w:r>
            <w:r w:rsidR="00BD308F">
              <w:rPr>
                <w:rFonts w:ascii="Arabic Typesetting" w:hAnsi="Arabic Typesetting" w:cs="Arabic Typesetting"/>
                <w:i/>
                <w:iCs/>
                <w:color w:val="002060"/>
                <w:sz w:val="28"/>
                <w:szCs w:val="28"/>
                <w:rtl/>
              </w:rPr>
              <w:t>ي نهاية 2015:</w:t>
            </w:r>
            <w:r w:rsidR="00BD308F">
              <w:rPr>
                <w:rFonts w:ascii="Arabic Typesetting" w:hAnsi="Arabic Typesetting" w:cs="Arabic Typesetting"/>
                <w:i/>
                <w:iCs/>
                <w:color w:val="002060"/>
                <w:sz w:val="28"/>
                <w:szCs w:val="28"/>
              </w:rPr>
              <w:br/>
            </w:r>
            <w:r w:rsidRPr="000D515F">
              <w:rPr>
                <w:rFonts w:ascii="Arabic Typesetting" w:hAnsi="Arabic Typesetting" w:cs="Arabic Typesetting"/>
                <w:color w:val="002060"/>
                <w:sz w:val="28"/>
                <w:szCs w:val="28"/>
              </w:rPr>
              <w:t>WIPO Re:Search</w:t>
            </w:r>
            <w:r w:rsidR="00BD308F">
              <w:rPr>
                <w:rFonts w:ascii="Arabic Typesetting" w:hAnsi="Arabic Typesetting" w:cs="Arabic Typesetting"/>
                <w:color w:val="002060"/>
                <w:sz w:val="28"/>
                <w:szCs w:val="28"/>
                <w:rtl/>
              </w:rPr>
              <w:t>:</w:t>
            </w:r>
            <w:r w:rsidR="00BD308F">
              <w:rPr>
                <w:rFonts w:ascii="Arabic Typesetting" w:hAnsi="Arabic Typesetting" w:cs="Arabic Typesetting" w:hint="cs"/>
                <w:color w:val="002060"/>
                <w:sz w:val="28"/>
                <w:szCs w:val="28"/>
                <w:rtl/>
              </w:rPr>
              <w:br/>
            </w:r>
            <w:r w:rsidR="00EF3FA1" w:rsidRPr="00EF3FA1">
              <w:rPr>
                <w:rFonts w:ascii="Arabic Typesetting" w:eastAsia="Batang" w:hAnsi="Arabic Typesetting" w:cs="Arabic Typesetting" w:hint="cs"/>
                <w:color w:val="002060"/>
                <w:sz w:val="28"/>
                <w:szCs w:val="28"/>
                <w:rtl/>
                <w:lang w:eastAsia="ja-JP" w:bidi="ar-EG"/>
              </w:rPr>
              <w:t xml:space="preserve">2 </w:t>
            </w:r>
            <w:r w:rsidR="00EF3FA1" w:rsidRPr="00EF3FA1">
              <w:rPr>
                <w:rFonts w:ascii="Arabic Typesetting" w:eastAsia="Batang" w:hAnsi="Arabic Typesetting" w:cs="Arabic Typesetting"/>
                <w:color w:val="002060"/>
                <w:sz w:val="28"/>
                <w:szCs w:val="28"/>
                <w:rtl/>
                <w:lang w:eastAsia="ja-JP" w:bidi="ar-EG"/>
              </w:rPr>
              <w:t>فيما</w:t>
            </w:r>
            <w:r w:rsidR="00EF3FA1" w:rsidRPr="00EF3FA1">
              <w:rPr>
                <w:rFonts w:ascii="Arabic Typesetting" w:eastAsia="Batang" w:hAnsi="Arabic Typesetting" w:cs="Arabic Typesetting"/>
                <w:color w:val="002060"/>
                <w:sz w:val="28"/>
                <w:szCs w:val="28"/>
                <w:lang w:eastAsia="ja-JP" w:bidi="ar-EG"/>
              </w:rPr>
              <w:t xml:space="preserve"> </w:t>
            </w:r>
            <w:r w:rsidR="00EF3FA1" w:rsidRPr="00EF3FA1">
              <w:rPr>
                <w:rFonts w:ascii="Arabic Typesetting" w:eastAsia="Batang" w:hAnsi="Arabic Typesetting" w:cs="Arabic Typesetting"/>
                <w:color w:val="002060"/>
                <w:sz w:val="28"/>
                <w:szCs w:val="28"/>
                <w:rtl/>
                <w:lang w:eastAsia="ja-JP" w:bidi="ar-EG"/>
              </w:rPr>
              <w:t>يخص</w:t>
            </w:r>
            <w:r w:rsidR="00EF3FA1" w:rsidRPr="00EF3FA1">
              <w:rPr>
                <w:rFonts w:ascii="Arabic Typesetting" w:eastAsia="Batang" w:hAnsi="Arabic Typesetting" w:cs="Arabic Typesetting"/>
                <w:color w:val="002060"/>
                <w:sz w:val="28"/>
                <w:szCs w:val="28"/>
                <w:lang w:eastAsia="ja-JP" w:bidi="ar-EG"/>
              </w:rPr>
              <w:t xml:space="preserve"> </w:t>
            </w:r>
            <w:r w:rsidR="00EF3FA1" w:rsidRPr="00EF3FA1">
              <w:rPr>
                <w:rFonts w:ascii="Arabic Typesetting" w:eastAsia="Batang" w:hAnsi="Arabic Typesetting" w:cs="Arabic Typesetting"/>
                <w:color w:val="002060"/>
                <w:sz w:val="28"/>
                <w:szCs w:val="28"/>
                <w:rtl/>
                <w:lang w:eastAsia="ja-JP" w:bidi="ar-EG"/>
              </w:rPr>
              <w:t>منطقة</w:t>
            </w:r>
            <w:r w:rsidR="00EF3FA1" w:rsidRPr="00EF3FA1">
              <w:rPr>
                <w:rFonts w:ascii="Arabic Typesetting" w:eastAsia="Batang" w:hAnsi="Arabic Typesetting" w:cs="Arabic Typesetting"/>
                <w:color w:val="002060"/>
                <w:sz w:val="28"/>
                <w:szCs w:val="28"/>
                <w:lang w:eastAsia="ja-JP" w:bidi="ar-EG"/>
              </w:rPr>
              <w:t xml:space="preserve"> </w:t>
            </w:r>
            <w:r w:rsidR="00EF3FA1" w:rsidRPr="00EF3FA1">
              <w:rPr>
                <w:rFonts w:ascii="Arabic Typesetting" w:eastAsia="Batang" w:hAnsi="Arabic Typesetting" w:cs="Arabic Typesetting"/>
                <w:color w:val="002060"/>
                <w:sz w:val="28"/>
                <w:szCs w:val="28"/>
                <w:rtl/>
                <w:lang w:eastAsia="ja-JP" w:bidi="ar-EG"/>
              </w:rPr>
              <w:t>بلدان</w:t>
            </w:r>
            <w:r w:rsidR="00EF3FA1" w:rsidRPr="00EF3FA1">
              <w:rPr>
                <w:rFonts w:ascii="Arabic Typesetting" w:eastAsia="Batang" w:hAnsi="Arabic Typesetting" w:cs="Arabic Typesetting"/>
                <w:color w:val="002060"/>
                <w:sz w:val="28"/>
                <w:szCs w:val="28"/>
                <w:lang w:eastAsia="ja-JP" w:bidi="ar-EG"/>
              </w:rPr>
              <w:t xml:space="preserve"> </w:t>
            </w:r>
            <w:r w:rsidR="00EF3FA1" w:rsidRPr="00EF3FA1">
              <w:rPr>
                <w:rFonts w:ascii="Arabic Typesetting" w:eastAsia="Batang" w:hAnsi="Arabic Typesetting" w:cs="Arabic Typesetting"/>
                <w:color w:val="002060"/>
                <w:sz w:val="28"/>
                <w:szCs w:val="28"/>
                <w:rtl/>
                <w:lang w:eastAsia="ja-JP" w:bidi="ar-EG"/>
              </w:rPr>
              <w:t>أمريكا</w:t>
            </w:r>
            <w:r w:rsidR="00EF3FA1" w:rsidRPr="00EF3FA1">
              <w:rPr>
                <w:rFonts w:ascii="Arabic Typesetting" w:eastAsia="Batang" w:hAnsi="Arabic Typesetting" w:cs="Arabic Typesetting"/>
                <w:color w:val="002060"/>
                <w:sz w:val="28"/>
                <w:szCs w:val="28"/>
                <w:lang w:eastAsia="ja-JP" w:bidi="ar-EG"/>
              </w:rPr>
              <w:t xml:space="preserve"> </w:t>
            </w:r>
            <w:r w:rsidR="00EF3FA1" w:rsidRPr="00EF3FA1">
              <w:rPr>
                <w:rFonts w:ascii="Arabic Typesetting" w:eastAsia="Batang" w:hAnsi="Arabic Typesetting" w:cs="Arabic Typesetting"/>
                <w:color w:val="002060"/>
                <w:sz w:val="28"/>
                <w:szCs w:val="28"/>
                <w:rtl/>
                <w:lang w:eastAsia="ja-JP" w:bidi="ar-EG"/>
              </w:rPr>
              <w:t>اللاتينية</w:t>
            </w:r>
            <w:r w:rsidR="00EF3FA1" w:rsidRPr="00EF3FA1">
              <w:rPr>
                <w:rFonts w:ascii="Arabic Typesetting" w:eastAsia="Batang" w:hAnsi="Arabic Typesetting" w:cs="Arabic Typesetting"/>
                <w:color w:val="002060"/>
                <w:sz w:val="28"/>
                <w:szCs w:val="28"/>
                <w:lang w:eastAsia="ja-JP" w:bidi="ar-EG"/>
              </w:rPr>
              <w:t xml:space="preserve"> </w:t>
            </w:r>
            <w:r w:rsidR="00EF3FA1" w:rsidRPr="00EF3FA1">
              <w:rPr>
                <w:rFonts w:ascii="Arabic Typesetting" w:eastAsia="Batang" w:hAnsi="Arabic Typesetting" w:cs="Arabic Typesetting"/>
                <w:color w:val="002060"/>
                <w:sz w:val="28"/>
                <w:szCs w:val="28"/>
                <w:rtl/>
                <w:lang w:eastAsia="ja-JP" w:bidi="ar-EG"/>
              </w:rPr>
              <w:t>(مكتب</w:t>
            </w:r>
            <w:r w:rsidR="00EF3FA1" w:rsidRPr="00EF3FA1">
              <w:rPr>
                <w:rFonts w:ascii="Arabic Typesetting" w:eastAsia="Batang" w:hAnsi="Arabic Typesetting" w:cs="Arabic Typesetting"/>
                <w:color w:val="002060"/>
                <w:sz w:val="28"/>
                <w:szCs w:val="28"/>
                <w:lang w:eastAsia="ja-JP" w:bidi="ar-EG"/>
              </w:rPr>
              <w:t xml:space="preserve"> </w:t>
            </w:r>
            <w:r w:rsidR="00EF3FA1" w:rsidRPr="00EF3FA1">
              <w:rPr>
                <w:rFonts w:ascii="Arabic Typesetting" w:eastAsia="Batang" w:hAnsi="Arabic Typesetting" w:cs="Arabic Typesetting"/>
                <w:color w:val="002060"/>
                <w:sz w:val="28"/>
                <w:szCs w:val="28"/>
                <w:rtl/>
                <w:lang w:eastAsia="ja-JP" w:bidi="ar-EG"/>
              </w:rPr>
              <w:t>البرازيل</w:t>
            </w:r>
            <w:r w:rsidR="00EF3FA1" w:rsidRPr="00EF3FA1">
              <w:rPr>
                <w:rFonts w:ascii="Arabic Typesetting" w:eastAsia="Batang" w:hAnsi="Arabic Typesetting" w:cs="Arabic Typesetting" w:hint="cs"/>
                <w:color w:val="002060"/>
                <w:sz w:val="28"/>
                <w:szCs w:val="28"/>
                <w:rtl/>
                <w:lang w:eastAsia="ja-JP" w:bidi="ar-EG"/>
              </w:rPr>
              <w:t>)</w:t>
            </w:r>
          </w:p>
          <w:p w14:paraId="2A505205"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2 (مكتب الصين)</w:t>
            </w:r>
          </w:p>
          <w:p w14:paraId="66674CE0"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2 (مكتب اليابان)</w:t>
            </w:r>
          </w:p>
          <w:p w14:paraId="23FD1D05"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0 (مكتب روسيا)</w:t>
            </w:r>
          </w:p>
          <w:p w14:paraId="404F1505"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3 (مكتب سنغافورة)</w:t>
            </w:r>
          </w:p>
          <w:p w14:paraId="34E6303E" w14:textId="18BF9DDB"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الإجمالي: 9</w:t>
            </w:r>
          </w:p>
          <w:p w14:paraId="030323FB" w14:textId="486B1601" w:rsidR="00574A27" w:rsidRPr="000D515F" w:rsidRDefault="00BD308F" w:rsidP="00BD308F">
            <w:pPr>
              <w:suppressLineNumbers/>
              <w:suppressAutoHyphens/>
              <w:bidi/>
              <w:spacing w:line="280" w:lineRule="exact"/>
              <w:rPr>
                <w:rFonts w:ascii="Arabic Typesetting" w:hAnsi="Arabic Typesetting" w:cs="Arabic Typesetting"/>
                <w:i/>
                <w:color w:val="002060"/>
                <w:sz w:val="28"/>
                <w:szCs w:val="28"/>
                <w:rtl/>
              </w:rPr>
            </w:pPr>
            <w:r>
              <w:rPr>
                <w:rFonts w:ascii="Arabic Typesetting" w:hAnsi="Arabic Typesetting" w:cs="Arabic Typesetting"/>
                <w:color w:val="002060"/>
                <w:sz w:val="28"/>
                <w:szCs w:val="28"/>
              </w:rPr>
              <w:t>WIPO GREEN</w:t>
            </w:r>
            <w:r>
              <w:rPr>
                <w:rFonts w:ascii="Arabic Typesetting" w:hAnsi="Arabic Typesetting" w:cs="Arabic Typesetting"/>
                <w:i/>
                <w:color w:val="002060"/>
                <w:sz w:val="28"/>
                <w:szCs w:val="28"/>
                <w:rtl/>
              </w:rPr>
              <w:t>:</w:t>
            </w:r>
          </w:p>
          <w:p w14:paraId="2A8814B3"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16 فيما يخص منطقة بلدان أمريكا اللاتينية (مكتب البرازيل)</w:t>
            </w:r>
          </w:p>
          <w:p w14:paraId="418ED991"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26 (مكتب الصين)</w:t>
            </w:r>
          </w:p>
          <w:p w14:paraId="203D658C"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54 (مكتب اليابان)</w:t>
            </w:r>
          </w:p>
          <w:p w14:paraId="6E6D657A"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0 (مكتب روسيا)</w:t>
            </w:r>
          </w:p>
          <w:p w14:paraId="75DAED4E"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32 (مكتب سنغافورة)</w:t>
            </w:r>
          </w:p>
          <w:p w14:paraId="6ACED06E" w14:textId="0326EAFD"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الإجمالي: 128</w:t>
            </w:r>
          </w:p>
          <w:p w14:paraId="0E429A1E" w14:textId="14DE425D" w:rsidR="00574A27" w:rsidRPr="000D515F" w:rsidRDefault="000D515F" w:rsidP="000D515F">
            <w:pPr>
              <w:suppressLineNumbers/>
              <w:suppressAutoHyphens/>
              <w:bidi/>
              <w:spacing w:after="120" w:line="280" w:lineRule="exact"/>
              <w:rPr>
                <w:rFonts w:ascii="Arabic Typesetting" w:hAnsi="Arabic Typesetting" w:cs="Arabic Typesetting"/>
                <w:iCs/>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574A27" w:rsidRPr="000D515F">
              <w:rPr>
                <w:rFonts w:ascii="Arabic Typesetting" w:hAnsi="Arabic Typesetting" w:cs="Arabic Typesetting"/>
                <w:iCs/>
                <w:sz w:val="28"/>
                <w:szCs w:val="28"/>
                <w:rtl/>
              </w:rPr>
              <w:t xml:space="preserve">2016/17: </w:t>
            </w:r>
          </w:p>
          <w:p w14:paraId="2C1F17B6" w14:textId="0711A130" w:rsidR="00574A27" w:rsidRPr="000D515F" w:rsidRDefault="00BD308F" w:rsidP="000D515F">
            <w:pPr>
              <w:pStyle w:val="Default"/>
              <w:suppressLineNumbers/>
              <w:suppressAutoHyphens/>
              <w:spacing w:after="120" w:line="280" w:lineRule="exact"/>
              <w:rPr>
                <w:rFonts w:ascii="Arabic Typesetting" w:hAnsi="Arabic Typesetting" w:cs="Arabic Typesetting"/>
                <w:sz w:val="28"/>
                <w:szCs w:val="28"/>
                <w:rtl w:val="0"/>
              </w:rPr>
            </w:pPr>
            <w:r>
              <w:rPr>
                <w:rFonts w:ascii="Arabic Typesetting" w:hAnsi="Arabic Typesetting" w:cs="Arabic Typesetting"/>
                <w:sz w:val="28"/>
                <w:szCs w:val="28"/>
                <w:rtl w:val="0"/>
              </w:rPr>
              <w:t>WIPO GREEN</w:t>
            </w:r>
            <w:r>
              <w:rPr>
                <w:rFonts w:ascii="Arabic Typesetting" w:hAnsi="Arabic Typesetting" w:cs="Arabic Typesetting" w:hint="cs"/>
                <w:sz w:val="28"/>
                <w:szCs w:val="28"/>
              </w:rPr>
              <w:t>:</w:t>
            </w:r>
          </w:p>
          <w:p w14:paraId="3FDD7E67"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21 (مكتب سنغافورة)</w:t>
            </w:r>
          </w:p>
          <w:p w14:paraId="2F4714BA"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48 فيما يخص منطقة بلدان أمريكا اللاتينية (مكتب البرازيل)</w:t>
            </w:r>
          </w:p>
          <w:p w14:paraId="54F2FF35"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45 (مكتب اليابان)</w:t>
            </w:r>
          </w:p>
          <w:p w14:paraId="093573B7"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1 (مكتب روسيا)</w:t>
            </w:r>
          </w:p>
          <w:p w14:paraId="62A4F6B0"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29 (مكتب الصين)</w:t>
            </w:r>
          </w:p>
          <w:p w14:paraId="6D98BB84" w14:textId="15CDCCFA" w:rsidR="00574A27" w:rsidRPr="000D515F" w:rsidRDefault="00BD308F" w:rsidP="000D515F">
            <w:pPr>
              <w:pStyle w:val="Default"/>
              <w:suppressLineNumbers/>
              <w:suppressAutoHyphens/>
              <w:spacing w:after="120" w:line="280" w:lineRule="exact"/>
              <w:rPr>
                <w:rFonts w:ascii="Arabic Typesetting" w:hAnsi="Arabic Typesetting" w:cs="Arabic Typesetting"/>
                <w:sz w:val="28"/>
                <w:szCs w:val="28"/>
                <w:rtl w:val="0"/>
              </w:rPr>
            </w:pPr>
            <w:r>
              <w:rPr>
                <w:rFonts w:ascii="Arabic Typesetting" w:hAnsi="Arabic Typesetting" w:cs="Arabic Typesetting"/>
                <w:sz w:val="28"/>
                <w:szCs w:val="28"/>
                <w:rtl w:val="0"/>
              </w:rPr>
              <w:t>WIPO Re:Search</w:t>
            </w:r>
            <w:r w:rsidR="00574A27" w:rsidRPr="000D515F">
              <w:rPr>
                <w:rFonts w:ascii="Arabic Typesetting" w:hAnsi="Arabic Typesetting" w:cs="Arabic Typesetting"/>
                <w:sz w:val="28"/>
                <w:szCs w:val="28"/>
              </w:rPr>
              <w:t>: غير متاح</w:t>
            </w:r>
          </w:p>
        </w:tc>
        <w:tc>
          <w:tcPr>
            <w:tcW w:w="841" w:type="pct"/>
            <w:gridSpan w:val="4"/>
            <w:shd w:val="clear" w:color="auto" w:fill="auto"/>
            <w:tcMar>
              <w:top w:w="110" w:type="dxa"/>
              <w:left w:w="58" w:type="dxa"/>
              <w:right w:w="58" w:type="dxa"/>
            </w:tcMar>
          </w:tcPr>
          <w:p w14:paraId="175EA147" w14:textId="64AAF4A0" w:rsidR="00574A27" w:rsidRPr="00BD308F" w:rsidRDefault="00574A27" w:rsidP="00BD308F">
            <w:pPr>
              <w:pStyle w:val="Default"/>
              <w:suppressLineNumbers/>
              <w:suppressAutoHyphens/>
              <w:spacing w:after="120" w:line="280" w:lineRule="exact"/>
              <w:rPr>
                <w:rFonts w:ascii="Arabic Typesetting" w:hAnsi="Arabic Typesetting" w:cs="Arabic Typesetting"/>
              </w:rPr>
            </w:pPr>
            <w:r w:rsidRPr="000D515F">
              <w:rPr>
                <w:rFonts w:ascii="Arabic Typesetting" w:hAnsi="Arabic Typesetting" w:cs="Arabic Typesetting"/>
                <w:sz w:val="28"/>
                <w:szCs w:val="28"/>
              </w:rPr>
              <w:t xml:space="preserve"> زيادة بنسبة 20% فيما يخص كلا من </w:t>
            </w:r>
            <w:r w:rsidR="00BD308F">
              <w:rPr>
                <w:rFonts w:ascii="Arabic Typesetting" w:hAnsi="Arabic Typesetting" w:cs="Arabic Typesetting"/>
                <w:sz w:val="28"/>
                <w:szCs w:val="28"/>
                <w:rtl w:val="0"/>
              </w:rPr>
              <w:t>WIPO GREEN</w:t>
            </w:r>
            <w:r w:rsidR="00BD308F">
              <w:rPr>
                <w:rFonts w:ascii="Arabic Typesetting" w:hAnsi="Arabic Typesetting" w:cs="Arabic Typesetting" w:hint="cs"/>
                <w:sz w:val="28"/>
                <w:szCs w:val="28"/>
              </w:rPr>
              <w:t xml:space="preserve"> </w:t>
            </w:r>
            <w:r w:rsidR="00BD308F" w:rsidRPr="00BD308F">
              <w:rPr>
                <w:rFonts w:ascii="Arabic Typesetting" w:hAnsi="Arabic Typesetting" w:cs="Arabic Typesetting" w:hint="cs"/>
              </w:rPr>
              <w:t>و</w:t>
            </w:r>
            <w:r w:rsidR="00BD308F" w:rsidRPr="00BD308F">
              <w:rPr>
                <w:rFonts w:ascii="Arabic Typesetting" w:hAnsi="Arabic Typesetting" w:cs="Arabic Typesetting"/>
                <w:rtl w:val="0"/>
              </w:rPr>
              <w:t>WIPO Re:Search</w:t>
            </w:r>
          </w:p>
          <w:p w14:paraId="245DF10B" w14:textId="77777777"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(جميع</w:t>
            </w:r>
            <w:r w:rsidRPr="000D515F">
              <w:rPr>
                <w:rFonts w:ascii="Arabic Typesetting" w:hAnsi="Arabic Typesetting" w:cs="Arabic Typesetting"/>
                <w:sz w:val="28"/>
                <w:szCs w:val="28"/>
              </w:rPr>
              <w:t xml:space="preserve"> </w:t>
            </w:r>
            <w:r w:rsidRPr="000D515F">
              <w:rPr>
                <w:rFonts w:ascii="Arabic Typesetting" w:hAnsi="Arabic Typesetting" w:cs="Arabic Typesetting"/>
                <w:sz w:val="28"/>
                <w:szCs w:val="28"/>
                <w:rtl/>
              </w:rPr>
              <w:t>المكاتب)</w:t>
            </w:r>
          </w:p>
        </w:tc>
        <w:tc>
          <w:tcPr>
            <w:tcW w:w="1289" w:type="pct"/>
            <w:gridSpan w:val="4"/>
            <w:shd w:val="clear" w:color="auto" w:fill="FFFFFF"/>
            <w:tcMar>
              <w:top w:w="110" w:type="dxa"/>
              <w:left w:w="58" w:type="dxa"/>
              <w:right w:w="58" w:type="dxa"/>
            </w:tcMar>
          </w:tcPr>
          <w:p w14:paraId="42F4FB14" w14:textId="77777777" w:rsidR="00574A27" w:rsidRPr="000D515F" w:rsidRDefault="00574A27" w:rsidP="000D515F">
            <w:pPr>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Pr>
              <w:t>WIPO Re:Search</w:t>
            </w:r>
            <w:r w:rsidRPr="000D515F">
              <w:rPr>
                <w:rFonts w:ascii="Arabic Typesetting" w:hAnsi="Arabic Typesetting" w:cs="Arabic Typesetting"/>
                <w:sz w:val="28"/>
                <w:szCs w:val="28"/>
                <w:rtl/>
              </w:rPr>
              <w:t xml:space="preserve">: </w:t>
            </w:r>
          </w:p>
          <w:p w14:paraId="4B50FE10" w14:textId="77777777" w:rsidR="00574A27" w:rsidRPr="000D515F" w:rsidRDefault="00574A27" w:rsidP="000D515F">
            <w:pPr>
              <w:suppressLineNumbers/>
              <w:suppressAutoHyphens/>
              <w:bidi/>
              <w:spacing w:after="120" w:line="280" w:lineRule="exact"/>
              <w:ind w:right="-74"/>
              <w:rPr>
                <w:rFonts w:ascii="Arabic Typesetting" w:hAnsi="Arabic Typesetting" w:cs="Arabic Typesetting"/>
                <w:sz w:val="28"/>
                <w:szCs w:val="28"/>
                <w:rtl/>
              </w:rPr>
            </w:pPr>
            <w:r w:rsidRPr="000D515F">
              <w:rPr>
                <w:rFonts w:ascii="Arabic Typesetting" w:hAnsi="Arabic Typesetting" w:cs="Arabic Typesetting"/>
                <w:sz w:val="28"/>
                <w:szCs w:val="28"/>
                <w:rtl/>
              </w:rPr>
              <w:t>7 فيما</w:t>
            </w:r>
            <w:r w:rsidRPr="000D515F">
              <w:rPr>
                <w:rFonts w:ascii="Arabic Typesetting" w:hAnsi="Arabic Typesetting" w:cs="Arabic Typesetting"/>
                <w:sz w:val="28"/>
                <w:szCs w:val="28"/>
              </w:rPr>
              <w:t xml:space="preserve"> </w:t>
            </w:r>
            <w:r w:rsidRPr="000D515F">
              <w:rPr>
                <w:rFonts w:ascii="Arabic Typesetting" w:hAnsi="Arabic Typesetting" w:cs="Arabic Typesetting"/>
                <w:sz w:val="28"/>
                <w:szCs w:val="28"/>
                <w:rtl/>
              </w:rPr>
              <w:t>يخص</w:t>
            </w:r>
            <w:r w:rsidRPr="000D515F">
              <w:rPr>
                <w:rFonts w:ascii="Arabic Typesetting" w:hAnsi="Arabic Typesetting" w:cs="Arabic Typesetting"/>
                <w:sz w:val="28"/>
                <w:szCs w:val="28"/>
              </w:rPr>
              <w:t xml:space="preserve"> </w:t>
            </w:r>
            <w:r w:rsidRPr="000D515F">
              <w:rPr>
                <w:rFonts w:ascii="Arabic Typesetting" w:hAnsi="Arabic Typesetting" w:cs="Arabic Typesetting"/>
                <w:sz w:val="28"/>
                <w:szCs w:val="28"/>
                <w:rtl/>
              </w:rPr>
              <w:t>منطقة</w:t>
            </w:r>
            <w:r w:rsidRPr="000D515F">
              <w:rPr>
                <w:rFonts w:ascii="Arabic Typesetting" w:hAnsi="Arabic Typesetting" w:cs="Arabic Typesetting"/>
                <w:sz w:val="28"/>
                <w:szCs w:val="28"/>
              </w:rPr>
              <w:t xml:space="preserve"> </w:t>
            </w:r>
            <w:r w:rsidRPr="000D515F">
              <w:rPr>
                <w:rFonts w:ascii="Arabic Typesetting" w:hAnsi="Arabic Typesetting" w:cs="Arabic Typesetting"/>
                <w:sz w:val="28"/>
                <w:szCs w:val="28"/>
                <w:rtl/>
              </w:rPr>
              <w:t>بلدان</w:t>
            </w:r>
            <w:r w:rsidRPr="000D515F">
              <w:rPr>
                <w:rFonts w:ascii="Arabic Typesetting" w:hAnsi="Arabic Typesetting" w:cs="Arabic Typesetting"/>
                <w:sz w:val="28"/>
                <w:szCs w:val="28"/>
              </w:rPr>
              <w:t xml:space="preserve"> </w:t>
            </w:r>
            <w:r w:rsidRPr="000D515F">
              <w:rPr>
                <w:rFonts w:ascii="Arabic Typesetting" w:hAnsi="Arabic Typesetting" w:cs="Arabic Typesetting"/>
                <w:sz w:val="28"/>
                <w:szCs w:val="28"/>
                <w:rtl/>
              </w:rPr>
              <w:t>أمريكا</w:t>
            </w:r>
            <w:r w:rsidRPr="000D515F">
              <w:rPr>
                <w:rFonts w:ascii="Arabic Typesetting" w:hAnsi="Arabic Typesetting" w:cs="Arabic Typesetting"/>
                <w:sz w:val="28"/>
                <w:szCs w:val="28"/>
              </w:rPr>
              <w:t xml:space="preserve"> </w:t>
            </w:r>
            <w:r w:rsidRPr="000D515F">
              <w:rPr>
                <w:rFonts w:ascii="Arabic Typesetting" w:hAnsi="Arabic Typesetting" w:cs="Arabic Typesetting"/>
                <w:sz w:val="28"/>
                <w:szCs w:val="28"/>
                <w:rtl/>
              </w:rPr>
              <w:t>اللاتينية</w:t>
            </w:r>
            <w:r w:rsidRPr="000D515F">
              <w:rPr>
                <w:rFonts w:ascii="Arabic Typesetting" w:hAnsi="Arabic Typesetting" w:cs="Arabic Typesetting"/>
                <w:sz w:val="28"/>
                <w:szCs w:val="28"/>
              </w:rPr>
              <w:t xml:space="preserve"> </w:t>
            </w:r>
            <w:r w:rsidRPr="000D515F">
              <w:rPr>
                <w:rFonts w:ascii="Arabic Typesetting" w:hAnsi="Arabic Typesetting" w:cs="Arabic Typesetting"/>
                <w:sz w:val="28"/>
                <w:szCs w:val="28"/>
                <w:rtl/>
              </w:rPr>
              <w:t>(مكتب</w:t>
            </w:r>
            <w:r w:rsidRPr="000D515F">
              <w:rPr>
                <w:rFonts w:ascii="Arabic Typesetting" w:hAnsi="Arabic Typesetting" w:cs="Arabic Typesetting"/>
                <w:sz w:val="28"/>
                <w:szCs w:val="28"/>
              </w:rPr>
              <w:t xml:space="preserve"> </w:t>
            </w:r>
            <w:r w:rsidRPr="000D515F">
              <w:rPr>
                <w:rFonts w:ascii="Arabic Typesetting" w:hAnsi="Arabic Typesetting" w:cs="Arabic Typesetting"/>
                <w:sz w:val="28"/>
                <w:szCs w:val="28"/>
                <w:rtl/>
              </w:rPr>
              <w:t>البرازيل)</w:t>
            </w:r>
          </w:p>
          <w:p w14:paraId="7D2F96CF" w14:textId="77777777" w:rsidR="00574A27" w:rsidRPr="000D515F" w:rsidRDefault="00574A27" w:rsidP="000D515F">
            <w:pPr>
              <w:pStyle w:val="Default"/>
              <w:spacing w:after="120" w:line="280" w:lineRule="exact"/>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2 (مكتب الصين)</w:t>
            </w:r>
          </w:p>
          <w:p w14:paraId="25B96BBA" w14:textId="77777777" w:rsidR="00574A27" w:rsidRPr="000D515F" w:rsidRDefault="00574A27" w:rsidP="000D515F">
            <w:pPr>
              <w:pStyle w:val="Default"/>
              <w:spacing w:after="120" w:line="280" w:lineRule="exact"/>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2 (مكتب اليابان)</w:t>
            </w:r>
          </w:p>
          <w:p w14:paraId="55668108" w14:textId="77777777" w:rsidR="00574A27" w:rsidRPr="000D515F" w:rsidRDefault="00574A27" w:rsidP="000D515F">
            <w:pPr>
              <w:pStyle w:val="Default"/>
              <w:spacing w:after="120" w:line="280" w:lineRule="exact"/>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0 (مكتب روسيا)</w:t>
            </w:r>
          </w:p>
          <w:p w14:paraId="5870EE2A" w14:textId="77777777" w:rsidR="00574A27" w:rsidRPr="000D515F" w:rsidRDefault="00574A27" w:rsidP="000D515F">
            <w:pPr>
              <w:pStyle w:val="Default"/>
              <w:spacing w:after="120" w:line="280" w:lineRule="exact"/>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 xml:space="preserve">6 (مكتب سنغافورة) </w:t>
            </w:r>
          </w:p>
          <w:p w14:paraId="7F6DAE6D" w14:textId="77777777" w:rsidR="00574A27" w:rsidRPr="000D515F" w:rsidRDefault="00574A27" w:rsidP="000D515F">
            <w:pPr>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الإجمالي: 16</w:t>
            </w:r>
          </w:p>
          <w:p w14:paraId="2602804C" w14:textId="3B2CF594" w:rsidR="00574A27" w:rsidRPr="000D515F" w:rsidRDefault="00BD308F" w:rsidP="000D515F">
            <w:pPr>
              <w:bidi/>
              <w:spacing w:after="120" w:line="280" w:lineRule="exact"/>
              <w:rPr>
                <w:rFonts w:ascii="Arabic Typesetting" w:hAnsi="Arabic Typesetting" w:cs="Arabic Typesetting"/>
                <w:i/>
                <w:iCs/>
                <w:sz w:val="28"/>
                <w:szCs w:val="28"/>
                <w:rtl/>
              </w:rPr>
            </w:pPr>
            <w:r>
              <w:rPr>
                <w:rFonts w:ascii="Arabic Typesetting" w:hAnsi="Arabic Typesetting" w:cs="Arabic Typesetting"/>
                <w:sz w:val="28"/>
                <w:szCs w:val="28"/>
              </w:rPr>
              <w:t>WIPO GREEN</w:t>
            </w:r>
            <w:r w:rsidR="00574A27" w:rsidRPr="000D515F">
              <w:rPr>
                <w:rFonts w:ascii="Arabic Typesetting" w:hAnsi="Arabic Typesetting" w:cs="Arabic Typesetting"/>
                <w:i/>
                <w:iCs/>
                <w:sz w:val="28"/>
                <w:szCs w:val="28"/>
                <w:rtl/>
              </w:rPr>
              <w:t xml:space="preserve">: </w:t>
            </w:r>
          </w:p>
          <w:p w14:paraId="49009F67" w14:textId="77777777" w:rsidR="00574A27" w:rsidRPr="000D515F" w:rsidRDefault="00574A27" w:rsidP="000D515F">
            <w:pPr>
              <w:pStyle w:val="Default"/>
              <w:spacing w:after="120" w:line="280" w:lineRule="exact"/>
              <w:ind w:right="-74"/>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78 (فيما يخص منطقة بلدان أمريكا اللاتينية (مكتب البرازيل)</w:t>
            </w:r>
          </w:p>
          <w:p w14:paraId="37F00A4F" w14:textId="77777777" w:rsidR="00574A27" w:rsidRPr="000D515F" w:rsidRDefault="00574A27" w:rsidP="00BD308F">
            <w:pPr>
              <w:pStyle w:val="Default"/>
              <w:spacing w:after="120" w:line="280" w:lineRule="exact"/>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34 (مكتب الصين)</w:t>
            </w:r>
          </w:p>
          <w:p w14:paraId="0EC85504" w14:textId="77777777" w:rsidR="00574A27" w:rsidRPr="000D515F" w:rsidRDefault="00574A27" w:rsidP="000D515F">
            <w:pPr>
              <w:pStyle w:val="Default"/>
              <w:spacing w:after="120" w:line="280" w:lineRule="exact"/>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70 (مكتب اليابان)</w:t>
            </w:r>
          </w:p>
          <w:p w14:paraId="3672258A" w14:textId="77777777" w:rsidR="00574A27" w:rsidRPr="000D515F" w:rsidRDefault="00574A27" w:rsidP="000D515F">
            <w:pPr>
              <w:pStyle w:val="Default"/>
              <w:spacing w:after="120" w:line="280" w:lineRule="exact"/>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0 (مكتب روسيا)</w:t>
            </w:r>
          </w:p>
          <w:p w14:paraId="5416E39E" w14:textId="738F324A" w:rsidR="00574A27" w:rsidRPr="000D515F" w:rsidRDefault="00574A27" w:rsidP="000D515F">
            <w:pPr>
              <w:pStyle w:val="Default"/>
              <w:spacing w:after="120" w:line="280" w:lineRule="exact"/>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43 (</w:t>
            </w:r>
            <w:r w:rsidR="00BD308F">
              <w:rPr>
                <w:rFonts w:ascii="Arabic Typesetting" w:hAnsi="Arabic Typesetting" w:cs="Arabic Typesetting"/>
                <w:color w:val="auto"/>
                <w:sz w:val="28"/>
                <w:szCs w:val="28"/>
              </w:rPr>
              <w:t>مكتب سنغافورة)</w:t>
            </w:r>
          </w:p>
          <w:p w14:paraId="2C10FA8A" w14:textId="0D779A96" w:rsidR="00574A27" w:rsidRPr="00BD308F" w:rsidRDefault="00574A27" w:rsidP="00BD308F">
            <w:pPr>
              <w:bidi/>
              <w:spacing w:after="120" w:line="280" w:lineRule="exact"/>
              <w:rPr>
                <w:rFonts w:ascii="Arabic Typesetting" w:hAnsi="Arabic Typesetting" w:cs="Arabic Typesetting"/>
                <w:sz w:val="28"/>
                <w:szCs w:val="28"/>
              </w:rPr>
            </w:pPr>
            <w:r w:rsidRPr="000D515F">
              <w:rPr>
                <w:rFonts w:ascii="Arabic Typesetting" w:hAnsi="Arabic Typesetting" w:cs="Arabic Typesetting"/>
                <w:sz w:val="28"/>
                <w:szCs w:val="28"/>
                <w:rtl/>
              </w:rPr>
              <w:t>الإجمالي: 225</w:t>
            </w:r>
          </w:p>
        </w:tc>
        <w:tc>
          <w:tcPr>
            <w:tcW w:w="581" w:type="pct"/>
            <w:gridSpan w:val="4"/>
            <w:shd w:val="clear" w:color="auto" w:fill="auto"/>
            <w:tcMar>
              <w:top w:w="110" w:type="dxa"/>
              <w:left w:w="58" w:type="dxa"/>
              <w:right w:w="58" w:type="dxa"/>
            </w:tcMar>
          </w:tcPr>
          <w:p w14:paraId="17D1FCD2"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color w:val="000000"/>
                <w:sz w:val="28"/>
                <w:szCs w:val="28"/>
                <w:rtl/>
              </w:rPr>
            </w:pPr>
          </w:p>
          <w:p w14:paraId="6DDCD330" w14:textId="11AA2112" w:rsidR="00574A27" w:rsidRPr="000D515F" w:rsidRDefault="00574A27" w:rsidP="00BD308F">
            <w:pPr>
              <w:autoSpaceDE w:val="0"/>
              <w:autoSpaceDN w:val="0"/>
              <w:bidi/>
              <w:adjustRightInd w:val="0"/>
              <w:spacing w:after="36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4B9EBC8B" w14:textId="77777777" w:rsidR="00574A27" w:rsidRPr="000D515F" w:rsidRDefault="00574A27" w:rsidP="000D515F">
            <w:pPr>
              <w:autoSpaceDE w:val="0"/>
              <w:autoSpaceDN w:val="0"/>
              <w:bidi/>
              <w:adjustRightInd w:val="0"/>
              <w:spacing w:after="120" w:line="280" w:lineRule="exact"/>
              <w:jc w:val="center"/>
              <w:rPr>
                <w:rFonts w:ascii="Arabic Typesetting" w:hAnsi="Arabic Typesetting" w:cs="Arabic Typesetting"/>
                <w:bCs/>
                <w:color w:val="FF0000"/>
                <w:sz w:val="28"/>
                <w:szCs w:val="28"/>
                <w:rtl/>
              </w:rPr>
            </w:pPr>
            <w:r w:rsidRPr="000D515F">
              <w:rPr>
                <w:rFonts w:ascii="Arabic Typesetting" w:hAnsi="Arabic Typesetting" w:cs="Arabic Typesetting"/>
                <w:bCs/>
                <w:color w:val="FF0000"/>
                <w:sz w:val="28"/>
                <w:szCs w:val="28"/>
                <w:rtl/>
              </w:rPr>
              <w:t>غير ثابت</w:t>
            </w:r>
          </w:p>
          <w:p w14:paraId="23B3EDC0" w14:textId="77777777" w:rsidR="00574A27" w:rsidRPr="000D515F" w:rsidRDefault="00574A27" w:rsidP="000D515F">
            <w:pPr>
              <w:autoSpaceDE w:val="0"/>
              <w:autoSpaceDN w:val="0"/>
              <w:bidi/>
              <w:adjustRightInd w:val="0"/>
              <w:spacing w:after="120" w:line="280" w:lineRule="exact"/>
              <w:jc w:val="center"/>
              <w:rPr>
                <w:rFonts w:ascii="Arabic Typesetting" w:hAnsi="Arabic Typesetting" w:cs="Arabic Typesetting"/>
                <w:bCs/>
                <w:color w:val="FF0000"/>
                <w:sz w:val="28"/>
                <w:szCs w:val="28"/>
                <w:rtl/>
              </w:rPr>
            </w:pPr>
            <w:r w:rsidRPr="000D515F">
              <w:rPr>
                <w:rFonts w:ascii="Arabic Typesetting" w:hAnsi="Arabic Typesetting" w:cs="Arabic Typesetting"/>
                <w:bCs/>
                <w:color w:val="FF0000"/>
                <w:sz w:val="28"/>
                <w:szCs w:val="28"/>
                <w:rtl/>
              </w:rPr>
              <w:t>غير ثابت</w:t>
            </w:r>
          </w:p>
          <w:p w14:paraId="48B49CA4" w14:textId="77777777" w:rsidR="00574A27" w:rsidRPr="000D515F" w:rsidRDefault="00574A27" w:rsidP="000D515F">
            <w:pPr>
              <w:autoSpaceDE w:val="0"/>
              <w:autoSpaceDN w:val="0"/>
              <w:bidi/>
              <w:adjustRightInd w:val="0"/>
              <w:spacing w:after="120" w:line="280" w:lineRule="exact"/>
              <w:jc w:val="center"/>
              <w:rPr>
                <w:rFonts w:ascii="Arabic Typesetting" w:hAnsi="Arabic Typesetting" w:cs="Arabic Typesetting"/>
                <w:bCs/>
                <w:color w:val="808080"/>
                <w:sz w:val="28"/>
                <w:szCs w:val="28"/>
                <w:rtl/>
              </w:rPr>
            </w:pPr>
            <w:r w:rsidRPr="000D515F">
              <w:rPr>
                <w:rFonts w:ascii="Arabic Typesetting" w:hAnsi="Arabic Typesetting" w:cs="Arabic Typesetting"/>
                <w:bCs/>
                <w:color w:val="808080"/>
                <w:sz w:val="28"/>
                <w:szCs w:val="28"/>
                <w:rtl/>
              </w:rPr>
              <w:t>غير قابل للقياس</w:t>
            </w:r>
          </w:p>
          <w:p w14:paraId="53EA1AC4"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5711AD37"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
                <w:color w:val="00B050"/>
                <w:sz w:val="28"/>
                <w:szCs w:val="28"/>
              </w:rPr>
            </w:pPr>
          </w:p>
          <w:p w14:paraId="34DC40B2"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
                <w:color w:val="00B050"/>
                <w:sz w:val="28"/>
                <w:szCs w:val="28"/>
              </w:rPr>
            </w:pPr>
          </w:p>
          <w:p w14:paraId="00AAC562" w14:textId="77777777" w:rsidR="00574A27" w:rsidRPr="000D515F" w:rsidRDefault="00574A27" w:rsidP="00BD308F">
            <w:pPr>
              <w:suppressLineNumbers/>
              <w:suppressAutoHyphens/>
              <w:bidi/>
              <w:spacing w:after="40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3262F67A"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199670CE"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3B723C95" w14:textId="77777777" w:rsidR="00574A27" w:rsidRPr="000D515F" w:rsidRDefault="00574A27" w:rsidP="000D515F">
            <w:pPr>
              <w:suppressLineNumbers/>
              <w:suppressAutoHyphens/>
              <w:bidi/>
              <w:spacing w:after="120" w:line="280" w:lineRule="exact"/>
              <w:jc w:val="center"/>
              <w:rPr>
                <w:rFonts w:ascii="Arabic Typesetting" w:hAnsi="Arabic Typesetting" w:cs="Arabic Typesetting"/>
                <w:bCs/>
                <w:color w:val="808080"/>
                <w:sz w:val="28"/>
                <w:szCs w:val="28"/>
                <w:rtl/>
              </w:rPr>
            </w:pPr>
            <w:r w:rsidRPr="000D515F">
              <w:rPr>
                <w:rFonts w:ascii="Arabic Typesetting" w:hAnsi="Arabic Typesetting" w:cs="Arabic Typesetting"/>
                <w:bCs/>
                <w:color w:val="808080"/>
                <w:sz w:val="28"/>
                <w:szCs w:val="28"/>
                <w:rtl/>
              </w:rPr>
              <w:t>غير قابل للقياس</w:t>
            </w:r>
          </w:p>
          <w:p w14:paraId="73250916" w14:textId="5789491A" w:rsidR="00574A27" w:rsidRPr="00BD308F" w:rsidRDefault="00574A27" w:rsidP="00BD308F">
            <w:pPr>
              <w:suppressLineNumbers/>
              <w:suppressAutoHyphens/>
              <w:bidi/>
              <w:spacing w:after="120" w:line="280" w:lineRule="exact"/>
              <w:jc w:val="center"/>
              <w:rPr>
                <w:rFonts w:ascii="Arabic Typesetting" w:hAnsi="Arabic Typesetting" w:cs="Arabic Typesetting"/>
                <w:b/>
                <w:color w:val="00B050"/>
                <w:sz w:val="28"/>
                <w:szCs w:val="28"/>
              </w:rPr>
            </w:pPr>
            <w:r w:rsidRPr="000D515F">
              <w:rPr>
                <w:rFonts w:ascii="Arabic Typesetting" w:hAnsi="Arabic Typesetting" w:cs="Arabic Typesetting"/>
                <w:bCs/>
                <w:color w:val="00B050"/>
                <w:sz w:val="28"/>
                <w:szCs w:val="28"/>
                <w:rtl/>
              </w:rPr>
              <w:t>ثابت</w:t>
            </w:r>
          </w:p>
        </w:tc>
      </w:tr>
      <w:tr w:rsidR="00574A27" w:rsidRPr="000D515F" w14:paraId="504D42E6" w14:textId="77777777" w:rsidTr="000D515F">
        <w:trPr>
          <w:gridAfter w:val="1"/>
          <w:wAfter w:w="133" w:type="pct"/>
          <w:cantSplit/>
          <w:trHeight w:val="648"/>
        </w:trPr>
        <w:tc>
          <w:tcPr>
            <w:tcW w:w="4867" w:type="pct"/>
            <w:gridSpan w:val="14"/>
            <w:shd w:val="clear" w:color="auto" w:fill="C6D9F1" w:themeFill="text2" w:themeFillTint="33"/>
            <w:tcMar>
              <w:left w:w="58" w:type="dxa"/>
              <w:right w:w="58" w:type="dxa"/>
            </w:tcMar>
            <w:vAlign w:val="center"/>
          </w:tcPr>
          <w:p w14:paraId="4F5D7B3A" w14:textId="77777777" w:rsidR="00574A27" w:rsidRPr="000D515F" w:rsidRDefault="00574A27" w:rsidP="000D515F">
            <w:pPr>
              <w:keepNext/>
              <w:bidi/>
              <w:spacing w:after="120" w:line="280" w:lineRule="exact"/>
              <w:ind w:left="1167" w:hanging="1167"/>
              <w:rPr>
                <w:rFonts w:ascii="Arabic Typesetting" w:hAnsi="Arabic Typesetting" w:cs="Arabic Typesetting"/>
                <w:sz w:val="28"/>
                <w:szCs w:val="28"/>
                <w:rtl/>
              </w:rPr>
            </w:pPr>
            <w:r w:rsidRPr="000D515F">
              <w:rPr>
                <w:rFonts w:ascii="Arabic Typesetting" w:hAnsi="Arabic Typesetting" w:cs="Arabic Typesetting"/>
                <w:b/>
                <w:bCs/>
                <w:sz w:val="28"/>
                <w:szCs w:val="28"/>
                <w:rtl/>
              </w:rPr>
              <w:lastRenderedPageBreak/>
              <w:t>النتيجة المرتقبة:</w:t>
            </w:r>
            <w:r w:rsidRPr="000D515F">
              <w:rPr>
                <w:rFonts w:ascii="Arabic Typesetting" w:hAnsi="Arabic Typesetting" w:cs="Arabic Typesetting"/>
                <w:b/>
                <w:bCs/>
                <w:sz w:val="28"/>
                <w:szCs w:val="28"/>
                <w:rtl/>
              </w:rPr>
              <w:tab/>
            </w:r>
            <w:r w:rsidRPr="000D515F">
              <w:rPr>
                <w:rFonts w:ascii="Arabic Typesetting" w:hAnsi="Arabic Typesetting" w:cs="Arabic Typesetting"/>
                <w:sz w:val="28"/>
                <w:szCs w:val="28"/>
                <w:rtl/>
              </w:rPr>
              <w:t xml:space="preserve">ھ1.8 </w:t>
            </w:r>
            <w:r w:rsidRPr="000D515F">
              <w:rPr>
                <w:rFonts w:ascii="Arabic Typesetting" w:hAnsi="Arabic Typesetting" w:cs="Arabic Typesetting"/>
                <w:sz w:val="28"/>
                <w:szCs w:val="28"/>
                <w:rtl/>
                <w:lang w:bidi="ar-EG"/>
              </w:rPr>
              <w:t>التواصل</w:t>
            </w:r>
            <w:r w:rsidRPr="000D515F">
              <w:rPr>
                <w:rFonts w:ascii="Arabic Typesetting" w:hAnsi="Arabic Typesetting" w:cs="Arabic Typesetting"/>
                <w:sz w:val="28"/>
                <w:szCs w:val="28"/>
                <w:rtl/>
              </w:rPr>
              <w:t xml:space="preserve"> بفعالية أكبر مع جمهور واسع بشأن الملكية الفكرية ودور الويبو</w:t>
            </w:r>
          </w:p>
        </w:tc>
      </w:tr>
      <w:tr w:rsidR="00574A27" w:rsidRPr="000D515F" w14:paraId="3634F268" w14:textId="77777777" w:rsidTr="000D515F">
        <w:trPr>
          <w:gridAfter w:val="1"/>
          <w:wAfter w:w="133" w:type="pct"/>
          <w:cantSplit/>
        </w:trPr>
        <w:tc>
          <w:tcPr>
            <w:tcW w:w="921" w:type="pct"/>
            <w:shd w:val="clear" w:color="auto" w:fill="auto"/>
            <w:tcMar>
              <w:left w:w="58" w:type="dxa"/>
              <w:right w:w="58" w:type="dxa"/>
            </w:tcMar>
            <w:vAlign w:val="center"/>
          </w:tcPr>
          <w:p w14:paraId="3F0C61CC"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 xml:space="preserve"> مؤشرات الأداء</w:t>
            </w:r>
          </w:p>
        </w:tc>
        <w:tc>
          <w:tcPr>
            <w:tcW w:w="1470" w:type="pct"/>
            <w:gridSpan w:val="4"/>
            <w:shd w:val="clear" w:color="auto" w:fill="auto"/>
            <w:tcMar>
              <w:left w:w="58" w:type="dxa"/>
              <w:right w:w="58" w:type="dxa"/>
            </w:tcMar>
            <w:vAlign w:val="center"/>
          </w:tcPr>
          <w:p w14:paraId="5910ACB2"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أسس المقارنة</w:t>
            </w:r>
          </w:p>
        </w:tc>
        <w:tc>
          <w:tcPr>
            <w:tcW w:w="739" w:type="pct"/>
            <w:gridSpan w:val="2"/>
            <w:shd w:val="clear" w:color="auto" w:fill="auto"/>
            <w:tcMar>
              <w:top w:w="110" w:type="dxa"/>
              <w:left w:w="58" w:type="dxa"/>
              <w:right w:w="58" w:type="dxa"/>
            </w:tcMar>
            <w:vAlign w:val="center"/>
          </w:tcPr>
          <w:p w14:paraId="6FBDFD7B" w14:textId="77777777" w:rsidR="00574A27" w:rsidRPr="000D515F" w:rsidRDefault="00574A27" w:rsidP="000D515F">
            <w:pPr>
              <w:keepNext/>
              <w:tabs>
                <w:tab w:val="left" w:pos="290"/>
              </w:tabs>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الأهداف</w:t>
            </w:r>
          </w:p>
        </w:tc>
        <w:tc>
          <w:tcPr>
            <w:tcW w:w="1289" w:type="pct"/>
            <w:gridSpan w:val="4"/>
            <w:shd w:val="clear" w:color="auto" w:fill="FFFFFF"/>
            <w:tcMar>
              <w:top w:w="110" w:type="dxa"/>
              <w:left w:w="58" w:type="dxa"/>
              <w:right w:w="58" w:type="dxa"/>
            </w:tcMar>
            <w:vAlign w:val="center"/>
          </w:tcPr>
          <w:p w14:paraId="66B24933"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بيانات الأداء</w:t>
            </w:r>
          </w:p>
        </w:tc>
        <w:tc>
          <w:tcPr>
            <w:tcW w:w="448" w:type="pct"/>
            <w:gridSpan w:val="3"/>
            <w:shd w:val="clear" w:color="auto" w:fill="auto"/>
            <w:tcMar>
              <w:top w:w="110" w:type="dxa"/>
              <w:left w:w="58" w:type="dxa"/>
              <w:right w:w="58" w:type="dxa"/>
            </w:tcMar>
            <w:vAlign w:val="center"/>
          </w:tcPr>
          <w:p w14:paraId="60AF0A8F" w14:textId="77777777" w:rsidR="00574A27" w:rsidRPr="000D515F" w:rsidRDefault="00574A27" w:rsidP="000D515F">
            <w:pPr>
              <w:keepNext/>
              <w:bidi/>
              <w:spacing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السير</w:t>
            </w:r>
          </w:p>
        </w:tc>
      </w:tr>
      <w:tr w:rsidR="00574A27" w:rsidRPr="000D515F" w14:paraId="5492F4EE" w14:textId="77777777" w:rsidTr="000D515F">
        <w:trPr>
          <w:gridAfter w:val="1"/>
          <w:wAfter w:w="133" w:type="pct"/>
          <w:cantSplit/>
          <w:trHeight w:val="2278"/>
        </w:trPr>
        <w:tc>
          <w:tcPr>
            <w:tcW w:w="921" w:type="pct"/>
            <w:shd w:val="clear" w:color="auto" w:fill="auto"/>
            <w:tcMar>
              <w:left w:w="58" w:type="dxa"/>
              <w:right w:w="58" w:type="dxa"/>
            </w:tcMar>
          </w:tcPr>
          <w:p w14:paraId="28444D2F"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تزايد عدد زيارات الموقع الإلكتروني لمكاتب الويبو الخارجية</w:t>
            </w:r>
          </w:p>
        </w:tc>
        <w:tc>
          <w:tcPr>
            <w:tcW w:w="1470" w:type="pct"/>
            <w:gridSpan w:val="4"/>
            <w:shd w:val="clear" w:color="auto" w:fill="auto"/>
            <w:tcMar>
              <w:left w:w="58" w:type="dxa"/>
              <w:right w:w="58" w:type="dxa"/>
            </w:tcMar>
          </w:tcPr>
          <w:p w14:paraId="5F51CFE6" w14:textId="7A7E2772" w:rsidR="00574A27" w:rsidRPr="000D515F" w:rsidRDefault="00574A27" w:rsidP="00BD308F">
            <w:pPr>
              <w:suppressLineNumbers/>
              <w:suppressAutoHyphens/>
              <w:bidi/>
              <w:spacing w:line="280" w:lineRule="exact"/>
              <w:rPr>
                <w:rFonts w:ascii="Arabic Typesetting" w:hAnsi="Arabic Typesetting" w:cs="Arabic Typesetting"/>
                <w:iCs/>
                <w:color w:val="002060"/>
                <w:sz w:val="28"/>
                <w:szCs w:val="28"/>
                <w:rtl/>
              </w:rPr>
            </w:pPr>
            <w:r w:rsidRPr="000D515F">
              <w:rPr>
                <w:rFonts w:ascii="Arabic Typesetting" w:hAnsi="Arabic Typesetting" w:cs="Arabic Typesetting"/>
                <w:iCs/>
                <w:color w:val="002060"/>
                <w:sz w:val="28"/>
                <w:szCs w:val="28"/>
                <w:rtl/>
              </w:rPr>
              <w:t xml:space="preserve">أساس </w:t>
            </w:r>
            <w:r w:rsidR="00BD308F">
              <w:rPr>
                <w:rFonts w:ascii="Arabic Typesetting" w:hAnsi="Arabic Typesetting" w:cs="Arabic Typesetting"/>
                <w:iCs/>
                <w:color w:val="002060"/>
                <w:sz w:val="28"/>
                <w:szCs w:val="28"/>
                <w:rtl/>
              </w:rPr>
              <w:t>المقارنة المحدّث في نهاية 2015:</w:t>
            </w:r>
          </w:p>
          <w:p w14:paraId="60A1A3DD" w14:textId="77777777" w:rsidR="00574A27" w:rsidRPr="000D515F" w:rsidRDefault="00574A27" w:rsidP="00BD308F">
            <w:pPr>
              <w:pStyle w:val="Default"/>
              <w:suppressLineNumbers/>
              <w:suppressAutoHyphens/>
              <w:spacing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966 1 (مكتب البرازيل)</w:t>
            </w:r>
          </w:p>
          <w:p w14:paraId="3418320C" w14:textId="4514F821" w:rsidR="00574A27" w:rsidRPr="000D515F" w:rsidRDefault="00574A27" w:rsidP="00BD308F">
            <w:pPr>
              <w:suppressLineNumbers/>
              <w:suppressAutoHyphens/>
              <w:bidi/>
              <w:spacing w:line="280" w:lineRule="exact"/>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204 4 (مكتب الصين)</w:t>
            </w:r>
          </w:p>
          <w:p w14:paraId="1F44CB41" w14:textId="77777777" w:rsidR="00574A27" w:rsidRPr="000D515F" w:rsidRDefault="00574A27" w:rsidP="00BD308F">
            <w:pPr>
              <w:pStyle w:val="Default"/>
              <w:suppressLineNumbers/>
              <w:suppressAutoHyphens/>
              <w:spacing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027 7 (مكتب اليابان)</w:t>
            </w:r>
          </w:p>
          <w:p w14:paraId="2D364EBC" w14:textId="77777777" w:rsidR="00574A27" w:rsidRPr="000D515F" w:rsidRDefault="00574A27" w:rsidP="00BD308F">
            <w:pPr>
              <w:pStyle w:val="Default"/>
              <w:suppressLineNumbers/>
              <w:suppressAutoHyphens/>
              <w:spacing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327 4 (مكتب روسيا)</w:t>
            </w:r>
          </w:p>
          <w:p w14:paraId="17775F23" w14:textId="62C238D4" w:rsidR="00574A27" w:rsidRPr="000D515F" w:rsidRDefault="00574A27" w:rsidP="000D515F">
            <w:pPr>
              <w:pStyle w:val="Default"/>
              <w:suppressLineNumbers/>
              <w:suppressAutoHyphens/>
              <w:spacing w:after="120" w:line="280" w:lineRule="exact"/>
              <w:rPr>
                <w:rFonts w:ascii="Arabic Typesetting" w:hAnsi="Arabic Typesetting" w:cs="Arabic Typesetting"/>
                <w:color w:val="002060"/>
                <w:sz w:val="28"/>
                <w:szCs w:val="28"/>
                <w:rtl w:val="0"/>
              </w:rPr>
            </w:pPr>
            <w:r w:rsidRPr="000D515F">
              <w:rPr>
                <w:rFonts w:ascii="Arabic Typesetting" w:hAnsi="Arabic Typesetting" w:cs="Arabic Typesetting"/>
                <w:color w:val="002060"/>
                <w:sz w:val="28"/>
                <w:szCs w:val="28"/>
              </w:rPr>
              <w:t>042 10 (مكتب سنغافورة)</w:t>
            </w:r>
          </w:p>
          <w:p w14:paraId="59897736" w14:textId="77777777" w:rsidR="00574A27" w:rsidRPr="000D515F" w:rsidRDefault="00574A27" w:rsidP="000D515F">
            <w:pPr>
              <w:suppressLineNumbers/>
              <w:suppressAutoHyphens/>
              <w:bidi/>
              <w:spacing w:after="120" w:line="280" w:lineRule="exact"/>
              <w:rPr>
                <w:rFonts w:ascii="Arabic Typesetting" w:hAnsi="Arabic Typesetting" w:cs="Arabic Typesetting"/>
                <w:color w:val="000000"/>
                <w:sz w:val="28"/>
                <w:szCs w:val="28"/>
              </w:rPr>
            </w:pPr>
          </w:p>
          <w:p w14:paraId="5AB928DE" w14:textId="01B53213" w:rsidR="00BD308F" w:rsidRPr="000D515F" w:rsidRDefault="000D515F" w:rsidP="00BD308F">
            <w:pPr>
              <w:suppressLineNumbers/>
              <w:suppressAutoHyphens/>
              <w:bidi/>
              <w:spacing w:line="280" w:lineRule="exact"/>
              <w:rPr>
                <w:rFonts w:ascii="Arabic Typesetting" w:hAnsi="Arabic Typesetting" w:cs="Arabic Typesetting"/>
                <w:iCs/>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BD308F">
              <w:rPr>
                <w:rFonts w:ascii="Arabic Typesetting" w:hAnsi="Arabic Typesetting" w:cs="Arabic Typesetting"/>
                <w:iCs/>
                <w:sz w:val="28"/>
                <w:szCs w:val="28"/>
                <w:rtl/>
              </w:rPr>
              <w:t>2016/17:</w:t>
            </w:r>
          </w:p>
          <w:p w14:paraId="2442E865"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882 9 (مكتب سنغافورة)</w:t>
            </w:r>
          </w:p>
          <w:p w14:paraId="35DA4308" w14:textId="1EB56559" w:rsidR="00574A27" w:rsidRPr="000D515F" w:rsidRDefault="00574A27" w:rsidP="00BD308F">
            <w:pPr>
              <w:pStyle w:val="Default"/>
              <w:suppressLineNumbers/>
              <w:suppressAutoHyphens/>
              <w:spacing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مكتب البرازيل ومكتب اليابان: يُحدد</w:t>
            </w:r>
            <w:r w:rsidR="00BD308F">
              <w:rPr>
                <w:rFonts w:ascii="Arabic Typesetting" w:hAnsi="Arabic Typesetting" w:cs="Arabic Typesetting" w:hint="cs"/>
                <w:sz w:val="28"/>
                <w:szCs w:val="28"/>
              </w:rPr>
              <w:t> </w:t>
            </w:r>
            <w:r w:rsidRPr="000D515F">
              <w:rPr>
                <w:rFonts w:ascii="Arabic Typesetting" w:hAnsi="Arabic Typesetting" w:cs="Arabic Typesetting"/>
                <w:sz w:val="28"/>
                <w:szCs w:val="28"/>
              </w:rPr>
              <w:t>لاحقاً</w:t>
            </w:r>
          </w:p>
          <w:p w14:paraId="114A69AB" w14:textId="48F4C9D4" w:rsidR="00574A27" w:rsidRPr="000D515F" w:rsidRDefault="00574A27" w:rsidP="00BD308F">
            <w:pPr>
              <w:pStyle w:val="Default"/>
              <w:suppressLineNumbers/>
              <w:suppressAutoHyphens/>
              <w:spacing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0 (مكتب روسيا)</w:t>
            </w:r>
          </w:p>
          <w:p w14:paraId="6EC47DD7" w14:textId="5882BF72"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0 (مكتب الصين)</w:t>
            </w:r>
          </w:p>
        </w:tc>
        <w:tc>
          <w:tcPr>
            <w:tcW w:w="711" w:type="pct"/>
            <w:shd w:val="clear" w:color="auto" w:fill="auto"/>
            <w:tcMar>
              <w:top w:w="110" w:type="dxa"/>
              <w:left w:w="58" w:type="dxa"/>
              <w:right w:w="58" w:type="dxa"/>
            </w:tcMar>
          </w:tcPr>
          <w:p w14:paraId="031C8E35" w14:textId="7A46BFFD"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زيادة بنسبة 5% في جميع المكاتب</w:t>
            </w:r>
          </w:p>
        </w:tc>
        <w:tc>
          <w:tcPr>
            <w:tcW w:w="1317" w:type="pct"/>
            <w:gridSpan w:val="5"/>
            <w:shd w:val="clear" w:color="auto" w:fill="FFFFFF"/>
            <w:tcMar>
              <w:top w:w="110" w:type="dxa"/>
              <w:left w:w="58" w:type="dxa"/>
              <w:right w:w="58" w:type="dxa"/>
            </w:tcMar>
          </w:tcPr>
          <w:p w14:paraId="79882659"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 xml:space="preserve"> 932 2 (مكتب البرازيل) (+49%)</w:t>
            </w:r>
          </w:p>
          <w:p w14:paraId="77340CC8" w14:textId="77777777"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722 4 (مكتب الصين) (+12%)</w:t>
            </w:r>
          </w:p>
          <w:p w14:paraId="22DB4D5E"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724 7 (مكتب اليابان) (+10%)</w:t>
            </w:r>
          </w:p>
          <w:p w14:paraId="5233DA9A"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color w:val="auto"/>
                <w:sz w:val="28"/>
                <w:szCs w:val="28"/>
                <w:rtl w:val="0"/>
              </w:rPr>
            </w:pPr>
            <w:r w:rsidRPr="000D515F">
              <w:rPr>
                <w:rFonts w:ascii="Arabic Typesetting" w:hAnsi="Arabic Typesetting" w:cs="Arabic Typesetting"/>
                <w:color w:val="auto"/>
                <w:sz w:val="28"/>
                <w:szCs w:val="28"/>
              </w:rPr>
              <w:t>894 5 (مكتب روسيا) (+36%)</w:t>
            </w:r>
          </w:p>
          <w:p w14:paraId="448CD983" w14:textId="76EEA9B8" w:rsidR="00574A27" w:rsidRPr="00BD308F" w:rsidRDefault="00574A27" w:rsidP="00BD308F">
            <w:pPr>
              <w:pStyle w:val="Default"/>
              <w:suppressLineNumbers/>
              <w:suppressAutoHyphens/>
              <w:spacing w:after="120" w:line="280" w:lineRule="exact"/>
              <w:rPr>
                <w:rFonts w:ascii="Arabic Typesetting" w:hAnsi="Arabic Typesetting" w:cs="Arabic Typesetting"/>
                <w:color w:val="auto"/>
                <w:sz w:val="28"/>
                <w:szCs w:val="28"/>
              </w:rPr>
            </w:pPr>
            <w:r w:rsidRPr="000D515F">
              <w:rPr>
                <w:rFonts w:ascii="Arabic Typesetting" w:hAnsi="Arabic Typesetting" w:cs="Arabic Typesetting"/>
                <w:color w:val="auto"/>
                <w:sz w:val="28"/>
                <w:szCs w:val="28"/>
              </w:rPr>
              <w:t>752 7 (مكتب سنغافورة) (</w:t>
            </w:r>
            <w:r w:rsidR="00BD308F">
              <w:rPr>
                <w:rFonts w:ascii="Arabic Typesetting" w:hAnsi="Arabic Typesetting" w:cs="Arabic Typesetting" w:hint="cs"/>
                <w:color w:val="auto"/>
                <w:sz w:val="28"/>
                <w:szCs w:val="28"/>
              </w:rPr>
              <w:noBreakHyphen/>
            </w:r>
            <w:r w:rsidRPr="000D515F">
              <w:rPr>
                <w:rFonts w:ascii="Arabic Typesetting" w:hAnsi="Arabic Typesetting" w:cs="Arabic Typesetting"/>
                <w:color w:val="auto"/>
                <w:sz w:val="28"/>
                <w:szCs w:val="28"/>
              </w:rPr>
              <w:t>23%)</w:t>
            </w:r>
          </w:p>
        </w:tc>
        <w:tc>
          <w:tcPr>
            <w:tcW w:w="448" w:type="pct"/>
            <w:gridSpan w:val="3"/>
            <w:shd w:val="clear" w:color="auto" w:fill="auto"/>
            <w:tcMar>
              <w:top w:w="110" w:type="dxa"/>
              <w:left w:w="58" w:type="dxa"/>
              <w:right w:w="58" w:type="dxa"/>
            </w:tcMar>
          </w:tcPr>
          <w:p w14:paraId="6A81499C" w14:textId="77777777" w:rsidR="00574A27" w:rsidRPr="000D515F" w:rsidRDefault="00574A27" w:rsidP="00BD308F">
            <w:pPr>
              <w:suppressLineNumbers/>
              <w:suppressAutoHyphens/>
              <w:bidi/>
              <w:spacing w:after="400" w:line="280" w:lineRule="exact"/>
              <w:jc w:val="center"/>
              <w:rPr>
                <w:rFonts w:ascii="Arabic Typesetting" w:eastAsia="Calibri"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7CF1C966" w14:textId="77777777" w:rsidR="00574A27" w:rsidRPr="000D515F" w:rsidRDefault="00574A27" w:rsidP="000D515F">
            <w:pPr>
              <w:suppressLineNumbers/>
              <w:suppressAutoHyphens/>
              <w:bidi/>
              <w:spacing w:after="120" w:line="280" w:lineRule="exact"/>
              <w:jc w:val="center"/>
              <w:rPr>
                <w:rFonts w:ascii="Arabic Typesetting" w:eastAsia="Calibri"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62C84530" w14:textId="77777777" w:rsidR="00574A27" w:rsidRPr="000D515F" w:rsidRDefault="00574A27" w:rsidP="000D515F">
            <w:pPr>
              <w:suppressLineNumbers/>
              <w:suppressAutoHyphens/>
              <w:bidi/>
              <w:spacing w:after="120" w:line="280" w:lineRule="exact"/>
              <w:jc w:val="center"/>
              <w:rPr>
                <w:rFonts w:ascii="Arabic Typesetting" w:eastAsia="Calibri"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38133B4C" w14:textId="77777777" w:rsidR="00574A27" w:rsidRPr="000D515F" w:rsidRDefault="00574A27" w:rsidP="000D515F">
            <w:pPr>
              <w:suppressLineNumbers/>
              <w:suppressAutoHyphens/>
              <w:bidi/>
              <w:spacing w:after="120" w:line="280" w:lineRule="exact"/>
              <w:jc w:val="center"/>
              <w:rPr>
                <w:rFonts w:ascii="Arabic Typesetting" w:eastAsia="Calibri" w:hAnsi="Arabic Typesetting" w:cs="Arabic Typesetting"/>
                <w:bCs/>
                <w:color w:val="00B050"/>
                <w:sz w:val="28"/>
                <w:szCs w:val="28"/>
                <w:rtl/>
              </w:rPr>
            </w:pPr>
            <w:r w:rsidRPr="000D515F">
              <w:rPr>
                <w:rFonts w:ascii="Arabic Typesetting" w:hAnsi="Arabic Typesetting" w:cs="Arabic Typesetting"/>
                <w:bCs/>
                <w:color w:val="00B050"/>
                <w:sz w:val="28"/>
                <w:szCs w:val="28"/>
                <w:rtl/>
              </w:rPr>
              <w:t>ثابت</w:t>
            </w:r>
          </w:p>
          <w:p w14:paraId="4A8E6A5B" w14:textId="3CF1FABE" w:rsidR="00574A27" w:rsidRPr="00BD308F" w:rsidRDefault="00574A27" w:rsidP="00BD308F">
            <w:pPr>
              <w:suppressLineNumbers/>
              <w:suppressAutoHyphens/>
              <w:bidi/>
              <w:spacing w:after="120" w:line="280" w:lineRule="exact"/>
              <w:jc w:val="center"/>
              <w:rPr>
                <w:rFonts w:ascii="Arabic Typesetting" w:hAnsi="Arabic Typesetting" w:cs="Arabic Typesetting"/>
                <w:bCs/>
                <w:color w:val="FF0000"/>
                <w:sz w:val="28"/>
                <w:szCs w:val="28"/>
              </w:rPr>
            </w:pPr>
            <w:r w:rsidRPr="000D515F">
              <w:rPr>
                <w:rFonts w:ascii="Arabic Typesetting" w:hAnsi="Arabic Typesetting" w:cs="Arabic Typesetting"/>
                <w:bCs/>
                <w:color w:val="FF0000"/>
                <w:sz w:val="28"/>
                <w:szCs w:val="28"/>
                <w:rtl/>
              </w:rPr>
              <w:t>غير ثابت</w:t>
            </w:r>
          </w:p>
        </w:tc>
      </w:tr>
      <w:tr w:rsidR="00574A27" w:rsidRPr="000D515F" w14:paraId="24737A01" w14:textId="77777777" w:rsidTr="000D515F">
        <w:trPr>
          <w:gridAfter w:val="2"/>
          <w:wAfter w:w="141" w:type="pct"/>
          <w:cantSplit/>
          <w:trHeight w:val="648"/>
        </w:trPr>
        <w:tc>
          <w:tcPr>
            <w:tcW w:w="4859" w:type="pct"/>
            <w:gridSpan w:val="13"/>
            <w:shd w:val="clear" w:color="auto" w:fill="C6D9F1" w:themeFill="text2" w:themeFillTint="33"/>
            <w:tcMar>
              <w:left w:w="58" w:type="dxa"/>
              <w:right w:w="58" w:type="dxa"/>
            </w:tcMar>
            <w:vAlign w:val="center"/>
          </w:tcPr>
          <w:p w14:paraId="24CB406E" w14:textId="77777777" w:rsidR="00574A27" w:rsidRPr="000D515F" w:rsidRDefault="00574A27" w:rsidP="00BD308F">
            <w:pPr>
              <w:keepNext/>
              <w:bidi/>
              <w:spacing w:before="120" w:after="120" w:line="280" w:lineRule="exact"/>
              <w:ind w:left="1167" w:hanging="1167"/>
              <w:rPr>
                <w:rFonts w:ascii="Arabic Typesetting" w:hAnsi="Arabic Typesetting" w:cs="Arabic Typesetting"/>
                <w:sz w:val="28"/>
                <w:szCs w:val="28"/>
                <w:rtl/>
              </w:rPr>
            </w:pPr>
            <w:r w:rsidRPr="000D515F">
              <w:rPr>
                <w:rFonts w:ascii="Arabic Typesetting" w:hAnsi="Arabic Typesetting" w:cs="Arabic Typesetting"/>
                <w:b/>
                <w:bCs/>
                <w:sz w:val="28"/>
                <w:szCs w:val="28"/>
                <w:rtl/>
              </w:rPr>
              <w:t>النتيجة المرتقبة:</w:t>
            </w:r>
            <w:r w:rsidRPr="000D515F">
              <w:rPr>
                <w:rFonts w:ascii="Arabic Typesetting" w:hAnsi="Arabic Typesetting" w:cs="Arabic Typesetting"/>
                <w:b/>
                <w:bCs/>
                <w:sz w:val="28"/>
                <w:szCs w:val="28"/>
                <w:rtl/>
              </w:rPr>
              <w:tab/>
            </w:r>
            <w:r w:rsidRPr="000D515F">
              <w:rPr>
                <w:rFonts w:ascii="Arabic Typesetting" w:hAnsi="Arabic Typesetting" w:cs="Arabic Typesetting"/>
                <w:sz w:val="28"/>
                <w:szCs w:val="28"/>
                <w:rtl/>
              </w:rPr>
              <w:t xml:space="preserve">ھ2.8 توجّه </w:t>
            </w:r>
            <w:r w:rsidRPr="000D515F">
              <w:rPr>
                <w:rFonts w:ascii="Arabic Typesetting" w:hAnsi="Arabic Typesetting" w:cs="Arabic Typesetting"/>
                <w:sz w:val="28"/>
                <w:szCs w:val="28"/>
                <w:rtl/>
                <w:lang w:bidi="ar-EG"/>
              </w:rPr>
              <w:t>أكبر</w:t>
            </w:r>
            <w:r w:rsidRPr="000D515F">
              <w:rPr>
                <w:rFonts w:ascii="Arabic Typesetting" w:hAnsi="Arabic Typesetting" w:cs="Arabic Typesetting"/>
                <w:sz w:val="28"/>
                <w:szCs w:val="28"/>
                <w:rtl/>
              </w:rPr>
              <w:t xml:space="preserve"> نحو تقديم الخدمات واستجابة أفضل للاستفسارات</w:t>
            </w:r>
          </w:p>
        </w:tc>
      </w:tr>
      <w:tr w:rsidR="00574A27" w:rsidRPr="000D515F" w14:paraId="7541BFF5" w14:textId="77777777" w:rsidTr="000D515F">
        <w:trPr>
          <w:gridAfter w:val="2"/>
          <w:wAfter w:w="141" w:type="pct"/>
          <w:cantSplit/>
        </w:trPr>
        <w:tc>
          <w:tcPr>
            <w:tcW w:w="921" w:type="pct"/>
            <w:shd w:val="clear" w:color="auto" w:fill="auto"/>
            <w:tcMar>
              <w:left w:w="58" w:type="dxa"/>
              <w:right w:w="58" w:type="dxa"/>
            </w:tcMar>
            <w:vAlign w:val="center"/>
          </w:tcPr>
          <w:p w14:paraId="7D1C3B1F" w14:textId="77777777" w:rsidR="00574A27" w:rsidRPr="000D515F" w:rsidRDefault="00574A27" w:rsidP="00BD308F">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 xml:space="preserve"> مؤشرات الأداء</w:t>
            </w:r>
          </w:p>
        </w:tc>
        <w:tc>
          <w:tcPr>
            <w:tcW w:w="1470" w:type="pct"/>
            <w:gridSpan w:val="4"/>
            <w:shd w:val="clear" w:color="auto" w:fill="auto"/>
            <w:tcMar>
              <w:left w:w="58" w:type="dxa"/>
              <w:right w:w="58" w:type="dxa"/>
            </w:tcMar>
            <w:vAlign w:val="center"/>
          </w:tcPr>
          <w:p w14:paraId="3F150E65" w14:textId="77777777" w:rsidR="00574A27" w:rsidRPr="000D515F" w:rsidRDefault="00574A27" w:rsidP="00BD308F">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أسس المقارنة</w:t>
            </w:r>
          </w:p>
        </w:tc>
        <w:tc>
          <w:tcPr>
            <w:tcW w:w="739" w:type="pct"/>
            <w:gridSpan w:val="2"/>
            <w:shd w:val="clear" w:color="auto" w:fill="auto"/>
            <w:tcMar>
              <w:top w:w="110" w:type="dxa"/>
              <w:left w:w="58" w:type="dxa"/>
              <w:right w:w="58" w:type="dxa"/>
            </w:tcMar>
            <w:vAlign w:val="center"/>
          </w:tcPr>
          <w:p w14:paraId="25D61561" w14:textId="77777777" w:rsidR="00574A27" w:rsidRPr="000D515F" w:rsidRDefault="00574A27" w:rsidP="00BD308F">
            <w:pPr>
              <w:keepNext/>
              <w:tabs>
                <w:tab w:val="left" w:pos="290"/>
              </w:tabs>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الأهداف</w:t>
            </w:r>
          </w:p>
        </w:tc>
        <w:tc>
          <w:tcPr>
            <w:tcW w:w="1289" w:type="pct"/>
            <w:gridSpan w:val="4"/>
            <w:shd w:val="clear" w:color="auto" w:fill="FFFFFF"/>
            <w:tcMar>
              <w:top w:w="110" w:type="dxa"/>
              <w:left w:w="58" w:type="dxa"/>
              <w:right w:w="58" w:type="dxa"/>
            </w:tcMar>
            <w:vAlign w:val="center"/>
          </w:tcPr>
          <w:p w14:paraId="20FEF82A" w14:textId="77777777" w:rsidR="00574A27" w:rsidRPr="000D515F" w:rsidRDefault="00574A27" w:rsidP="00BD308F">
            <w:pPr>
              <w:keepNext/>
              <w:bidi/>
              <w:spacing w:before="120"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بيانات الأداء</w:t>
            </w:r>
          </w:p>
        </w:tc>
        <w:tc>
          <w:tcPr>
            <w:tcW w:w="440" w:type="pct"/>
            <w:gridSpan w:val="2"/>
            <w:shd w:val="clear" w:color="auto" w:fill="auto"/>
            <w:tcMar>
              <w:top w:w="110" w:type="dxa"/>
              <w:left w:w="58" w:type="dxa"/>
              <w:right w:w="58" w:type="dxa"/>
            </w:tcMar>
            <w:vAlign w:val="center"/>
          </w:tcPr>
          <w:p w14:paraId="7083397F" w14:textId="77777777" w:rsidR="00574A27" w:rsidRPr="000D515F" w:rsidRDefault="00574A27" w:rsidP="00BD308F">
            <w:pPr>
              <w:keepNext/>
              <w:bidi/>
              <w:spacing w:before="120"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السير</w:t>
            </w:r>
          </w:p>
        </w:tc>
      </w:tr>
      <w:tr w:rsidR="00574A27" w:rsidRPr="000D515F" w14:paraId="23E2DD2B" w14:textId="77777777" w:rsidTr="000D515F">
        <w:trPr>
          <w:gridAfter w:val="2"/>
          <w:wAfter w:w="141" w:type="pct"/>
          <w:cantSplit/>
          <w:trHeight w:val="2572"/>
        </w:trPr>
        <w:tc>
          <w:tcPr>
            <w:tcW w:w="921" w:type="pct"/>
            <w:shd w:val="clear" w:color="auto" w:fill="auto"/>
            <w:tcMar>
              <w:left w:w="58" w:type="dxa"/>
              <w:right w:w="58" w:type="dxa"/>
            </w:tcMar>
          </w:tcPr>
          <w:p w14:paraId="766E1FBF"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الوقت المستغرق في معالجة الاستفسارات</w:t>
            </w:r>
          </w:p>
        </w:tc>
        <w:tc>
          <w:tcPr>
            <w:tcW w:w="1470" w:type="pct"/>
            <w:gridSpan w:val="4"/>
            <w:shd w:val="clear" w:color="auto" w:fill="auto"/>
            <w:tcMar>
              <w:left w:w="58" w:type="dxa"/>
              <w:right w:w="58" w:type="dxa"/>
            </w:tcMar>
          </w:tcPr>
          <w:p w14:paraId="79C4EB6D" w14:textId="77777777" w:rsidR="00574A27" w:rsidRPr="000D515F" w:rsidRDefault="00574A27" w:rsidP="000D515F">
            <w:pPr>
              <w:suppressLineNumbers/>
              <w:suppressAutoHyphens/>
              <w:bidi/>
              <w:spacing w:after="120" w:line="280" w:lineRule="exact"/>
              <w:rPr>
                <w:rFonts w:ascii="Arabic Typesetting" w:hAnsi="Arabic Typesetting" w:cs="Arabic Typesetting"/>
                <w:iCs/>
                <w:color w:val="002060"/>
                <w:sz w:val="28"/>
                <w:szCs w:val="28"/>
                <w:rtl/>
              </w:rPr>
            </w:pPr>
            <w:r w:rsidRPr="000D515F">
              <w:rPr>
                <w:rFonts w:ascii="Arabic Typesetting" w:hAnsi="Arabic Typesetting" w:cs="Arabic Typesetting"/>
                <w:i/>
                <w:color w:val="002060"/>
                <w:sz w:val="28"/>
                <w:szCs w:val="28"/>
                <w:rtl/>
              </w:rPr>
              <w:t xml:space="preserve"> </w:t>
            </w:r>
            <w:r w:rsidRPr="000D515F">
              <w:rPr>
                <w:rFonts w:ascii="Arabic Typesetting" w:hAnsi="Arabic Typesetting" w:cs="Arabic Typesetting"/>
                <w:iCs/>
                <w:color w:val="002060"/>
                <w:sz w:val="28"/>
                <w:szCs w:val="28"/>
                <w:rtl/>
              </w:rPr>
              <w:t xml:space="preserve">أساس المقارنة المحدّث في نهاية 2015: </w:t>
            </w:r>
          </w:p>
          <w:p w14:paraId="1288BD58" w14:textId="77777777" w:rsidR="00574A27" w:rsidRPr="000D515F" w:rsidRDefault="00574A27" w:rsidP="00D94CDB">
            <w:pPr>
              <w:pStyle w:val="ListParagraph"/>
              <w:numPr>
                <w:ilvl w:val="0"/>
                <w:numId w:val="103"/>
              </w:numPr>
              <w:suppressLineNumbers/>
              <w:suppressAutoHyphens/>
              <w:bidi/>
              <w:spacing w:after="120" w:line="280" w:lineRule="exact"/>
              <w:ind w:left="213" w:hanging="213"/>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البيانات غير متاحة (مكتب البرازيل)</w:t>
            </w:r>
          </w:p>
          <w:p w14:paraId="22D49F7A" w14:textId="77777777" w:rsidR="00574A27" w:rsidRPr="000D515F" w:rsidRDefault="00574A27" w:rsidP="00D94CDB">
            <w:pPr>
              <w:pStyle w:val="ListParagraph"/>
              <w:numPr>
                <w:ilvl w:val="0"/>
                <w:numId w:val="103"/>
              </w:numPr>
              <w:suppressLineNumbers/>
              <w:suppressAutoHyphens/>
              <w:bidi/>
              <w:spacing w:after="120" w:line="280" w:lineRule="exact"/>
              <w:ind w:left="213" w:hanging="213"/>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البيانات غير متاحة (مكتب الصين)</w:t>
            </w:r>
          </w:p>
          <w:p w14:paraId="51F6E23D" w14:textId="77777777" w:rsidR="00574A27" w:rsidRPr="000D515F" w:rsidRDefault="00574A27" w:rsidP="00D94CDB">
            <w:pPr>
              <w:pStyle w:val="ListParagraph"/>
              <w:numPr>
                <w:ilvl w:val="0"/>
                <w:numId w:val="103"/>
              </w:numPr>
              <w:suppressLineNumbers/>
              <w:suppressAutoHyphens/>
              <w:bidi/>
              <w:spacing w:after="120" w:line="280" w:lineRule="exact"/>
              <w:ind w:left="213" w:hanging="213"/>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أُعِدّ الرد في غضون 3 أيام عمل في 99% من الحالات (مكتب اليابان)</w:t>
            </w:r>
          </w:p>
          <w:p w14:paraId="07520C9D" w14:textId="77777777" w:rsidR="00574A27" w:rsidRPr="000D515F" w:rsidRDefault="00574A27" w:rsidP="00D94CDB">
            <w:pPr>
              <w:pStyle w:val="ListParagraph"/>
              <w:numPr>
                <w:ilvl w:val="0"/>
                <w:numId w:val="103"/>
              </w:numPr>
              <w:suppressLineNumbers/>
              <w:suppressAutoHyphens/>
              <w:bidi/>
              <w:spacing w:after="120" w:line="280" w:lineRule="exact"/>
              <w:ind w:left="213" w:hanging="213"/>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البيانات غير متاحة (مكتب روسيا)</w:t>
            </w:r>
          </w:p>
          <w:p w14:paraId="71BA9D54" w14:textId="77777777" w:rsidR="00574A27" w:rsidRPr="000D515F" w:rsidRDefault="00574A27" w:rsidP="00D94CDB">
            <w:pPr>
              <w:pStyle w:val="ListParagraph"/>
              <w:numPr>
                <w:ilvl w:val="0"/>
                <w:numId w:val="103"/>
              </w:numPr>
              <w:suppressLineNumbers/>
              <w:suppressAutoHyphens/>
              <w:bidi/>
              <w:spacing w:after="120" w:line="280" w:lineRule="exact"/>
              <w:ind w:left="213" w:hanging="213"/>
              <w:contextualSpacing w:val="0"/>
              <w:rPr>
                <w:rFonts w:ascii="Arabic Typesetting" w:hAnsi="Arabic Typesetting" w:cs="Arabic Typesetting"/>
                <w:color w:val="002060"/>
                <w:sz w:val="28"/>
                <w:szCs w:val="28"/>
                <w:rtl/>
              </w:rPr>
            </w:pPr>
            <w:r w:rsidRPr="000D515F">
              <w:rPr>
                <w:rFonts w:ascii="Arabic Typesetting" w:hAnsi="Arabic Typesetting" w:cs="Arabic Typesetting"/>
                <w:color w:val="002060"/>
                <w:sz w:val="28"/>
                <w:szCs w:val="28"/>
                <w:rtl/>
              </w:rPr>
              <w:t>أُعِدّت الردود في غضون 3 أيام عمل في 95% من الحالات (مكتب سنغافورة)</w:t>
            </w:r>
          </w:p>
          <w:p w14:paraId="703814DA" w14:textId="22CEEE3B" w:rsidR="00574A27" w:rsidRPr="000D515F" w:rsidRDefault="000D515F" w:rsidP="00BD308F">
            <w:pPr>
              <w:suppressLineNumbers/>
              <w:suppressAutoHyphens/>
              <w:bidi/>
              <w:spacing w:line="280" w:lineRule="exact"/>
              <w:rPr>
                <w:rFonts w:ascii="Arabic Typesetting" w:hAnsi="Arabic Typesetting" w:cs="Arabic Typesetting"/>
                <w:iCs/>
                <w:sz w:val="28"/>
                <w:szCs w:val="28"/>
                <w:rtl/>
              </w:rPr>
            </w:pPr>
            <w:r>
              <w:rPr>
                <w:rFonts w:ascii="Arabic Typesetting" w:hAnsi="Arabic Typesetting" w:cs="Arabic Typesetting"/>
                <w:iCs/>
                <w:sz w:val="28"/>
                <w:szCs w:val="28"/>
                <w:rtl/>
              </w:rPr>
              <w:t>أساس المقارنة الأصلي:</w:t>
            </w:r>
            <w:r>
              <w:rPr>
                <w:rFonts w:ascii="Arabic Typesetting" w:hAnsi="Arabic Typesetting" w:cs="Arabic Typesetting"/>
                <w:iCs/>
                <w:sz w:val="28"/>
                <w:szCs w:val="28"/>
                <w:rtl/>
              </w:rPr>
              <w:br/>
              <w:t xml:space="preserve">برنامج وميزانية </w:t>
            </w:r>
            <w:r w:rsidR="00BD308F">
              <w:rPr>
                <w:rFonts w:ascii="Arabic Typesetting" w:hAnsi="Arabic Typesetting" w:cs="Arabic Typesetting"/>
                <w:iCs/>
                <w:sz w:val="28"/>
                <w:szCs w:val="28"/>
                <w:rtl/>
              </w:rPr>
              <w:t>2016/17:</w:t>
            </w:r>
          </w:p>
          <w:p w14:paraId="3284E67B" w14:textId="77777777" w:rsidR="00574A27" w:rsidRPr="000D515F" w:rsidRDefault="00574A27" w:rsidP="000D515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48 ساعة (جميع المكاتب)</w:t>
            </w:r>
          </w:p>
        </w:tc>
        <w:tc>
          <w:tcPr>
            <w:tcW w:w="739" w:type="pct"/>
            <w:gridSpan w:val="2"/>
            <w:shd w:val="clear" w:color="auto" w:fill="auto"/>
            <w:tcMar>
              <w:top w:w="110" w:type="dxa"/>
              <w:left w:w="58" w:type="dxa"/>
              <w:right w:w="58" w:type="dxa"/>
            </w:tcMar>
          </w:tcPr>
          <w:p w14:paraId="2F8ADD1E" w14:textId="37132C1E" w:rsidR="00574A27" w:rsidRPr="000D515F" w:rsidRDefault="00574A27" w:rsidP="00BD308F">
            <w:pPr>
              <w:pStyle w:val="Default"/>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 xml:space="preserve"> 36 ساعة (جميع</w:t>
            </w:r>
            <w:r w:rsidR="00BD308F">
              <w:rPr>
                <w:rFonts w:ascii="Arabic Typesetting" w:hAnsi="Arabic Typesetting" w:cs="Arabic Typesetting" w:hint="cs"/>
                <w:sz w:val="28"/>
                <w:szCs w:val="28"/>
              </w:rPr>
              <w:t> </w:t>
            </w:r>
            <w:r w:rsidRPr="000D515F">
              <w:rPr>
                <w:rFonts w:ascii="Arabic Typesetting" w:hAnsi="Arabic Typesetting" w:cs="Arabic Typesetting"/>
                <w:sz w:val="28"/>
                <w:szCs w:val="28"/>
              </w:rPr>
              <w:t>المكاتب)</w:t>
            </w:r>
          </w:p>
        </w:tc>
        <w:tc>
          <w:tcPr>
            <w:tcW w:w="1289" w:type="pct"/>
            <w:gridSpan w:val="4"/>
            <w:shd w:val="clear" w:color="auto" w:fill="FFFFFF"/>
            <w:tcMar>
              <w:top w:w="110" w:type="dxa"/>
              <w:left w:w="58" w:type="dxa"/>
              <w:right w:w="58" w:type="dxa"/>
            </w:tcMar>
          </w:tcPr>
          <w:p w14:paraId="7D5198F8" w14:textId="75903D22" w:rsidR="00574A27" w:rsidRPr="000D515F" w:rsidRDefault="00574A27" w:rsidP="000D515F">
            <w:pPr>
              <w:suppressLineNumbers/>
              <w:suppressAutoHyphens/>
              <w:bidi/>
              <w:spacing w:after="120"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أُعِدّت الردود في غضون:</w:t>
            </w:r>
          </w:p>
          <w:p w14:paraId="3E665077" w14:textId="77777777" w:rsidR="00574A27" w:rsidRPr="000D515F" w:rsidRDefault="00574A27" w:rsidP="00D94CDB">
            <w:pPr>
              <w:pStyle w:val="ListParagraph"/>
              <w:numPr>
                <w:ilvl w:val="0"/>
                <w:numId w:val="103"/>
              </w:numPr>
              <w:suppressLineNumbers/>
              <w:suppressAutoHyphens/>
              <w:bidi/>
              <w:spacing w:after="120" w:line="280" w:lineRule="exact"/>
              <w:ind w:left="216" w:right="-74" w:hanging="216"/>
              <w:contextualSpacing w:val="0"/>
              <w:rPr>
                <w:rFonts w:ascii="Arabic Typesetting" w:hAnsi="Arabic Typesetting" w:cs="Arabic Typesetting"/>
                <w:sz w:val="28"/>
                <w:szCs w:val="28"/>
                <w:rtl/>
              </w:rPr>
            </w:pPr>
            <w:r w:rsidRPr="000D515F">
              <w:rPr>
                <w:rFonts w:ascii="Arabic Typesetting" w:hAnsi="Arabic Typesetting" w:cs="Arabic Typesetting"/>
                <w:sz w:val="28"/>
                <w:szCs w:val="28"/>
                <w:rtl/>
              </w:rPr>
              <w:t>البيانات غير متاحة (مكتب البرازيل)</w:t>
            </w:r>
          </w:p>
          <w:p w14:paraId="7629AE22" w14:textId="77777777" w:rsidR="00574A27" w:rsidRPr="000D515F" w:rsidRDefault="00574A27" w:rsidP="00D94CDB">
            <w:pPr>
              <w:pStyle w:val="ListParagraph"/>
              <w:numPr>
                <w:ilvl w:val="0"/>
                <w:numId w:val="103"/>
              </w:numPr>
              <w:suppressLineNumbers/>
              <w:suppressAutoHyphens/>
              <w:bidi/>
              <w:spacing w:after="120" w:line="280" w:lineRule="exact"/>
              <w:ind w:left="216" w:hanging="216"/>
              <w:contextualSpacing w:val="0"/>
              <w:rPr>
                <w:rFonts w:ascii="Arabic Typesetting" w:hAnsi="Arabic Typesetting" w:cs="Arabic Typesetting"/>
                <w:sz w:val="28"/>
                <w:szCs w:val="28"/>
                <w:rtl/>
              </w:rPr>
            </w:pPr>
            <w:r w:rsidRPr="000D515F">
              <w:rPr>
                <w:rFonts w:ascii="Arabic Typesetting" w:hAnsi="Arabic Typesetting" w:cs="Arabic Typesetting"/>
                <w:sz w:val="28"/>
                <w:szCs w:val="28"/>
                <w:rtl/>
              </w:rPr>
              <w:t>90% في غضون 24 ساعة (مكتب الصين)</w:t>
            </w:r>
          </w:p>
          <w:p w14:paraId="380A4470" w14:textId="77777777" w:rsidR="00574A27" w:rsidRPr="000D515F" w:rsidRDefault="00574A27" w:rsidP="00D94CDB">
            <w:pPr>
              <w:pStyle w:val="ListParagraph"/>
              <w:numPr>
                <w:ilvl w:val="0"/>
                <w:numId w:val="103"/>
              </w:numPr>
              <w:suppressLineNumbers/>
              <w:suppressAutoHyphens/>
              <w:bidi/>
              <w:spacing w:after="120" w:line="280" w:lineRule="exact"/>
              <w:ind w:left="216" w:hanging="216"/>
              <w:contextualSpacing w:val="0"/>
              <w:rPr>
                <w:rFonts w:ascii="Arabic Typesetting" w:hAnsi="Arabic Typesetting" w:cs="Arabic Typesetting"/>
                <w:sz w:val="28"/>
                <w:szCs w:val="28"/>
                <w:rtl/>
              </w:rPr>
            </w:pPr>
            <w:r w:rsidRPr="000D515F">
              <w:rPr>
                <w:rFonts w:ascii="Arabic Typesetting" w:hAnsi="Arabic Typesetting" w:cs="Arabic Typesetting"/>
                <w:sz w:val="28"/>
                <w:szCs w:val="28"/>
                <w:rtl/>
              </w:rPr>
              <w:t>100% في غضون 24 ساعة (مكتب اليابان)</w:t>
            </w:r>
          </w:p>
          <w:p w14:paraId="7CF060B7" w14:textId="77777777" w:rsidR="00574A27" w:rsidRPr="000D515F" w:rsidRDefault="00574A27" w:rsidP="00D94CDB">
            <w:pPr>
              <w:pStyle w:val="ListParagraph"/>
              <w:numPr>
                <w:ilvl w:val="0"/>
                <w:numId w:val="103"/>
              </w:numPr>
              <w:suppressLineNumbers/>
              <w:suppressAutoHyphens/>
              <w:bidi/>
              <w:spacing w:after="120" w:line="280" w:lineRule="exact"/>
              <w:ind w:left="216" w:hanging="216"/>
              <w:contextualSpacing w:val="0"/>
              <w:rPr>
                <w:rFonts w:ascii="Arabic Typesetting" w:hAnsi="Arabic Typesetting" w:cs="Arabic Typesetting"/>
                <w:sz w:val="28"/>
                <w:szCs w:val="28"/>
                <w:rtl/>
              </w:rPr>
            </w:pPr>
            <w:r w:rsidRPr="000D515F">
              <w:rPr>
                <w:rFonts w:ascii="Arabic Typesetting" w:hAnsi="Arabic Typesetting" w:cs="Arabic Typesetting"/>
                <w:sz w:val="28"/>
                <w:szCs w:val="28"/>
                <w:rtl/>
              </w:rPr>
              <w:t>100% في غضون 24 ساعة (مكتب روسيا)</w:t>
            </w:r>
          </w:p>
          <w:p w14:paraId="2CBB3921" w14:textId="77777777" w:rsidR="00574A27" w:rsidRPr="000D515F" w:rsidRDefault="00574A27" w:rsidP="00D94CDB">
            <w:pPr>
              <w:pStyle w:val="ListParagraph"/>
              <w:numPr>
                <w:ilvl w:val="0"/>
                <w:numId w:val="103"/>
              </w:numPr>
              <w:suppressLineNumbers/>
              <w:suppressAutoHyphens/>
              <w:bidi/>
              <w:spacing w:after="120" w:line="280" w:lineRule="exact"/>
              <w:ind w:left="216" w:hanging="216"/>
              <w:contextualSpacing w:val="0"/>
              <w:rPr>
                <w:rFonts w:ascii="Arabic Typesetting" w:hAnsi="Arabic Typesetting" w:cs="Arabic Typesetting"/>
                <w:sz w:val="28"/>
                <w:szCs w:val="28"/>
                <w:rtl/>
              </w:rPr>
            </w:pPr>
            <w:r w:rsidRPr="000D515F">
              <w:rPr>
                <w:rFonts w:ascii="Arabic Typesetting" w:hAnsi="Arabic Typesetting" w:cs="Arabic Typesetting"/>
                <w:sz w:val="28"/>
                <w:szCs w:val="28"/>
                <w:rtl/>
              </w:rPr>
              <w:t>100% في غضون 24 ساعة (مكتب سنغافورة)</w:t>
            </w:r>
          </w:p>
        </w:tc>
        <w:tc>
          <w:tcPr>
            <w:tcW w:w="440" w:type="pct"/>
            <w:gridSpan w:val="2"/>
            <w:shd w:val="clear" w:color="auto" w:fill="auto"/>
            <w:tcMar>
              <w:top w:w="110" w:type="dxa"/>
              <w:left w:w="58" w:type="dxa"/>
              <w:right w:w="58" w:type="dxa"/>
            </w:tcMar>
          </w:tcPr>
          <w:p w14:paraId="258B6901" w14:textId="77777777" w:rsidR="00574A27" w:rsidRPr="000D515F" w:rsidRDefault="00574A27" w:rsidP="00BD308F">
            <w:pPr>
              <w:suppressLineNumbers/>
              <w:suppressAutoHyphens/>
              <w:bidi/>
              <w:spacing w:before="360" w:after="120" w:line="280" w:lineRule="exact"/>
              <w:jc w:val="center"/>
              <w:rPr>
                <w:rFonts w:ascii="Arabic Typesetting" w:hAnsi="Arabic Typesetting" w:cs="Arabic Typesetting"/>
                <w:b/>
                <w:bCs/>
                <w:color w:val="808080"/>
                <w:sz w:val="28"/>
                <w:szCs w:val="28"/>
                <w:rtl/>
              </w:rPr>
            </w:pPr>
            <w:r w:rsidRPr="000D515F">
              <w:rPr>
                <w:rFonts w:ascii="Arabic Typesetting" w:hAnsi="Arabic Typesetting" w:cs="Arabic Typesetting"/>
                <w:b/>
                <w:bCs/>
                <w:color w:val="808080"/>
                <w:sz w:val="28"/>
                <w:szCs w:val="28"/>
                <w:rtl/>
              </w:rPr>
              <w:t>غير قابل للقياس</w:t>
            </w:r>
          </w:p>
          <w:p w14:paraId="7047FFCF" w14:textId="77777777" w:rsidR="00574A27" w:rsidRPr="000D515F" w:rsidRDefault="00574A27" w:rsidP="00BD308F">
            <w:pPr>
              <w:suppressLineNumbers/>
              <w:suppressAutoHyphens/>
              <w:bidi/>
              <w:spacing w:after="240" w:line="280" w:lineRule="exact"/>
              <w:jc w:val="center"/>
              <w:rPr>
                <w:rFonts w:ascii="Arabic Typesetting" w:eastAsia="Calibri" w:hAnsi="Arabic Typesetting" w:cs="Arabic Typesetting"/>
                <w:b/>
                <w:bCs/>
                <w:color w:val="00B050"/>
                <w:sz w:val="28"/>
                <w:szCs w:val="28"/>
                <w:rtl/>
              </w:rPr>
            </w:pPr>
            <w:r w:rsidRPr="000D515F">
              <w:rPr>
                <w:rFonts w:ascii="Arabic Typesetting" w:hAnsi="Arabic Typesetting" w:cs="Arabic Typesetting"/>
                <w:b/>
                <w:bCs/>
                <w:color w:val="00B050"/>
                <w:sz w:val="28"/>
                <w:szCs w:val="28"/>
                <w:rtl/>
              </w:rPr>
              <w:t>ثابت</w:t>
            </w:r>
          </w:p>
          <w:p w14:paraId="147CBF57" w14:textId="77777777" w:rsidR="00574A27" w:rsidRPr="000D515F" w:rsidRDefault="00574A27" w:rsidP="00BD308F">
            <w:pPr>
              <w:suppressLineNumbers/>
              <w:suppressAutoHyphens/>
              <w:bidi/>
              <w:spacing w:after="360" w:line="280" w:lineRule="exact"/>
              <w:jc w:val="center"/>
              <w:rPr>
                <w:rFonts w:ascii="Arabic Typesetting" w:eastAsia="Calibri" w:hAnsi="Arabic Typesetting" w:cs="Arabic Typesetting"/>
                <w:b/>
                <w:bCs/>
                <w:color w:val="00B050"/>
                <w:sz w:val="28"/>
                <w:szCs w:val="28"/>
                <w:rtl/>
              </w:rPr>
            </w:pPr>
            <w:r w:rsidRPr="000D515F">
              <w:rPr>
                <w:rFonts w:ascii="Arabic Typesetting" w:hAnsi="Arabic Typesetting" w:cs="Arabic Typesetting"/>
                <w:b/>
                <w:bCs/>
                <w:color w:val="00B050"/>
                <w:sz w:val="28"/>
                <w:szCs w:val="28"/>
                <w:rtl/>
              </w:rPr>
              <w:t>ثابت</w:t>
            </w:r>
          </w:p>
          <w:p w14:paraId="757536E9" w14:textId="77777777" w:rsidR="00574A27" w:rsidRPr="000D515F" w:rsidRDefault="00574A27" w:rsidP="00BD308F">
            <w:pPr>
              <w:suppressLineNumbers/>
              <w:suppressAutoHyphens/>
              <w:bidi/>
              <w:spacing w:after="360" w:line="280" w:lineRule="exact"/>
              <w:jc w:val="center"/>
              <w:rPr>
                <w:rFonts w:ascii="Arabic Typesetting" w:eastAsia="Calibri" w:hAnsi="Arabic Typesetting" w:cs="Arabic Typesetting"/>
                <w:b/>
                <w:bCs/>
                <w:color w:val="00B050"/>
                <w:sz w:val="28"/>
                <w:szCs w:val="28"/>
                <w:rtl/>
              </w:rPr>
            </w:pPr>
            <w:r w:rsidRPr="000D515F">
              <w:rPr>
                <w:rFonts w:ascii="Arabic Typesetting" w:hAnsi="Arabic Typesetting" w:cs="Arabic Typesetting"/>
                <w:b/>
                <w:bCs/>
                <w:color w:val="00B050"/>
                <w:sz w:val="28"/>
                <w:szCs w:val="28"/>
                <w:rtl/>
              </w:rPr>
              <w:t>ثابت</w:t>
            </w:r>
          </w:p>
          <w:p w14:paraId="3A2E78F3" w14:textId="39863112" w:rsidR="00574A27" w:rsidRPr="00BD308F" w:rsidRDefault="00574A27" w:rsidP="00BD308F">
            <w:pPr>
              <w:suppressLineNumbers/>
              <w:suppressAutoHyphens/>
              <w:bidi/>
              <w:spacing w:after="120" w:line="280" w:lineRule="exact"/>
              <w:jc w:val="center"/>
              <w:rPr>
                <w:rFonts w:ascii="Arabic Typesetting" w:eastAsia="Calibri" w:hAnsi="Arabic Typesetting" w:cs="Arabic Typesetting"/>
                <w:b/>
                <w:bCs/>
                <w:color w:val="00B050"/>
                <w:sz w:val="28"/>
                <w:szCs w:val="28"/>
              </w:rPr>
            </w:pPr>
            <w:r w:rsidRPr="000D515F">
              <w:rPr>
                <w:rFonts w:ascii="Arabic Typesetting" w:hAnsi="Arabic Typesetting" w:cs="Arabic Typesetting"/>
                <w:b/>
                <w:bCs/>
                <w:color w:val="00B050"/>
                <w:sz w:val="28"/>
                <w:szCs w:val="28"/>
                <w:rtl/>
              </w:rPr>
              <w:t>ثابت</w:t>
            </w:r>
          </w:p>
        </w:tc>
      </w:tr>
      <w:tr w:rsidR="00574A27" w:rsidRPr="000D515F" w14:paraId="57B150E6" w14:textId="77777777" w:rsidTr="000D515F">
        <w:trPr>
          <w:gridAfter w:val="2"/>
          <w:wAfter w:w="141" w:type="pct"/>
          <w:cantSplit/>
          <w:trHeight w:val="648"/>
        </w:trPr>
        <w:tc>
          <w:tcPr>
            <w:tcW w:w="4859" w:type="pct"/>
            <w:gridSpan w:val="13"/>
            <w:shd w:val="clear" w:color="auto" w:fill="C6D9F1" w:themeFill="text2" w:themeFillTint="33"/>
            <w:tcMar>
              <w:left w:w="58" w:type="dxa"/>
              <w:right w:w="58" w:type="dxa"/>
            </w:tcMar>
            <w:vAlign w:val="center"/>
          </w:tcPr>
          <w:p w14:paraId="514B7AC2" w14:textId="77777777" w:rsidR="00574A27" w:rsidRPr="000D515F" w:rsidRDefault="00574A27" w:rsidP="000D515F">
            <w:pPr>
              <w:keepNext/>
              <w:bidi/>
              <w:spacing w:after="120" w:line="280" w:lineRule="exact"/>
              <w:ind w:left="1167" w:hanging="1167"/>
              <w:rPr>
                <w:rFonts w:ascii="Arabic Typesetting" w:hAnsi="Arabic Typesetting" w:cs="Arabic Typesetting"/>
                <w:sz w:val="28"/>
                <w:szCs w:val="28"/>
                <w:rtl/>
              </w:rPr>
            </w:pPr>
            <w:r w:rsidRPr="000D515F">
              <w:rPr>
                <w:rFonts w:ascii="Arabic Typesetting" w:hAnsi="Arabic Typesetting" w:cs="Arabic Typesetting"/>
                <w:b/>
                <w:bCs/>
                <w:sz w:val="28"/>
                <w:szCs w:val="28"/>
                <w:rtl/>
              </w:rPr>
              <w:lastRenderedPageBreak/>
              <w:t>النتيجة المرتقبة:</w:t>
            </w:r>
            <w:r w:rsidRPr="000D515F">
              <w:rPr>
                <w:rFonts w:ascii="Arabic Typesetting" w:hAnsi="Arabic Typesetting" w:cs="Arabic Typesetting"/>
                <w:b/>
                <w:bCs/>
                <w:sz w:val="28"/>
                <w:szCs w:val="28"/>
                <w:rtl/>
              </w:rPr>
              <w:tab/>
            </w:r>
            <w:r w:rsidRPr="000D515F">
              <w:rPr>
                <w:rFonts w:ascii="Arabic Typesetting" w:hAnsi="Arabic Typesetting" w:cs="Arabic Typesetting"/>
                <w:sz w:val="28"/>
                <w:szCs w:val="28"/>
                <w:rtl/>
              </w:rPr>
              <w:t xml:space="preserve">ھ5.8 تفاعل الويبو </w:t>
            </w:r>
            <w:r w:rsidRPr="000D515F">
              <w:rPr>
                <w:rFonts w:ascii="Arabic Typesetting" w:hAnsi="Arabic Typesetting" w:cs="Arabic Typesetting"/>
                <w:sz w:val="28"/>
                <w:szCs w:val="28"/>
                <w:rtl/>
                <w:lang w:bidi="ar-EG"/>
              </w:rPr>
              <w:t>وتشاركها</w:t>
            </w:r>
            <w:r w:rsidRPr="000D515F">
              <w:rPr>
                <w:rFonts w:ascii="Arabic Typesetting" w:hAnsi="Arabic Typesetting" w:cs="Arabic Typesetting"/>
                <w:sz w:val="28"/>
                <w:szCs w:val="28"/>
                <w:rtl/>
              </w:rPr>
              <w:t xml:space="preserve"> بفعالية مع مسارات ومفاوضات الأمم المتحدة وسائر المنظمات الحكومية الدولية</w:t>
            </w:r>
          </w:p>
        </w:tc>
      </w:tr>
      <w:tr w:rsidR="00574A27" w:rsidRPr="000D515F" w14:paraId="66F31476" w14:textId="77777777" w:rsidTr="000D515F">
        <w:trPr>
          <w:gridAfter w:val="1"/>
          <w:wAfter w:w="133" w:type="pct"/>
          <w:cantSplit/>
        </w:trPr>
        <w:tc>
          <w:tcPr>
            <w:tcW w:w="921" w:type="pct"/>
            <w:shd w:val="clear" w:color="auto" w:fill="auto"/>
            <w:tcMar>
              <w:left w:w="58" w:type="dxa"/>
              <w:right w:w="58" w:type="dxa"/>
            </w:tcMar>
            <w:vAlign w:val="center"/>
          </w:tcPr>
          <w:p w14:paraId="48795B06"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 xml:space="preserve"> مؤشرات الأداء</w:t>
            </w:r>
          </w:p>
        </w:tc>
        <w:tc>
          <w:tcPr>
            <w:tcW w:w="1470" w:type="pct"/>
            <w:gridSpan w:val="4"/>
            <w:shd w:val="clear" w:color="auto" w:fill="auto"/>
            <w:tcMar>
              <w:left w:w="58" w:type="dxa"/>
              <w:right w:w="58" w:type="dxa"/>
            </w:tcMar>
            <w:vAlign w:val="center"/>
          </w:tcPr>
          <w:p w14:paraId="72A5DC5A"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أسس المقارنة</w:t>
            </w:r>
          </w:p>
        </w:tc>
        <w:tc>
          <w:tcPr>
            <w:tcW w:w="750" w:type="pct"/>
            <w:gridSpan w:val="3"/>
            <w:shd w:val="clear" w:color="auto" w:fill="auto"/>
            <w:tcMar>
              <w:top w:w="110" w:type="dxa"/>
              <w:left w:w="58" w:type="dxa"/>
              <w:right w:w="58" w:type="dxa"/>
            </w:tcMar>
            <w:vAlign w:val="center"/>
          </w:tcPr>
          <w:p w14:paraId="60036D77" w14:textId="77777777" w:rsidR="00574A27" w:rsidRPr="000D515F" w:rsidRDefault="00574A27" w:rsidP="000D515F">
            <w:pPr>
              <w:keepNext/>
              <w:tabs>
                <w:tab w:val="left" w:pos="290"/>
              </w:tabs>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الأهداف</w:t>
            </w:r>
          </w:p>
        </w:tc>
        <w:tc>
          <w:tcPr>
            <w:tcW w:w="1287" w:type="pct"/>
            <w:gridSpan w:val="4"/>
            <w:shd w:val="clear" w:color="auto" w:fill="FFFFFF"/>
            <w:tcMar>
              <w:top w:w="110" w:type="dxa"/>
              <w:left w:w="58" w:type="dxa"/>
              <w:right w:w="58" w:type="dxa"/>
            </w:tcMar>
            <w:vAlign w:val="center"/>
          </w:tcPr>
          <w:p w14:paraId="7E8B6956" w14:textId="77777777" w:rsidR="00574A27" w:rsidRPr="000D515F" w:rsidRDefault="00574A27" w:rsidP="000D515F">
            <w:pPr>
              <w:keepNext/>
              <w:bidi/>
              <w:spacing w:after="120" w:line="280" w:lineRule="exact"/>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بيانات الأداء</w:t>
            </w:r>
          </w:p>
        </w:tc>
        <w:tc>
          <w:tcPr>
            <w:tcW w:w="439" w:type="pct"/>
            <w:gridSpan w:val="2"/>
            <w:shd w:val="clear" w:color="auto" w:fill="auto"/>
            <w:tcMar>
              <w:top w:w="110" w:type="dxa"/>
              <w:left w:w="58" w:type="dxa"/>
              <w:right w:w="58" w:type="dxa"/>
            </w:tcMar>
            <w:vAlign w:val="center"/>
          </w:tcPr>
          <w:p w14:paraId="4554F2CA" w14:textId="77777777" w:rsidR="00574A27" w:rsidRPr="000D515F" w:rsidRDefault="00574A27" w:rsidP="000D515F">
            <w:pPr>
              <w:keepNext/>
              <w:bidi/>
              <w:spacing w:after="120" w:line="280" w:lineRule="exact"/>
              <w:jc w:val="center"/>
              <w:rPr>
                <w:rFonts w:ascii="Arabic Typesetting" w:hAnsi="Arabic Typesetting" w:cs="Arabic Typesetting"/>
                <w:bCs/>
                <w:sz w:val="28"/>
                <w:szCs w:val="28"/>
                <w:rtl/>
                <w:lang w:bidi="ar-EG"/>
              </w:rPr>
            </w:pPr>
            <w:r w:rsidRPr="000D515F">
              <w:rPr>
                <w:rFonts w:ascii="Arabic Typesetting" w:hAnsi="Arabic Typesetting" w:cs="Arabic Typesetting"/>
                <w:bCs/>
                <w:sz w:val="28"/>
                <w:szCs w:val="28"/>
                <w:rtl/>
                <w:lang w:bidi="ar-EG"/>
              </w:rPr>
              <w:t>السير</w:t>
            </w:r>
          </w:p>
        </w:tc>
      </w:tr>
      <w:tr w:rsidR="00574A27" w:rsidRPr="000D515F" w14:paraId="4438AC01" w14:textId="77777777" w:rsidTr="000D515F">
        <w:trPr>
          <w:gridAfter w:val="1"/>
          <w:wAfter w:w="133" w:type="pct"/>
          <w:cantSplit/>
          <w:trHeight w:val="1636"/>
        </w:trPr>
        <w:tc>
          <w:tcPr>
            <w:tcW w:w="921" w:type="pct"/>
            <w:shd w:val="clear" w:color="auto" w:fill="auto"/>
            <w:tcMar>
              <w:left w:w="58" w:type="dxa"/>
              <w:right w:w="58" w:type="dxa"/>
            </w:tcMar>
          </w:tcPr>
          <w:p w14:paraId="1664CDFC" w14:textId="77777777" w:rsidR="00574A27" w:rsidRPr="000D515F" w:rsidRDefault="00574A27" w:rsidP="000D515F">
            <w:pPr>
              <w:pStyle w:val="Default"/>
              <w:keepLines/>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عدد الأنشطة المشتركة مع أمانة رابطة أمم جنوب شرق آسيا (ASEAN)، والمشروع المشترك بين الاتحاد الأوروبي ورابطة أمم جنوب شرق آسيا بشأن حماية حقوق الملكية الفكرية الذي يشرف عليه مكتب مواءمة السوق الداخلية (ECAP/OHIM)، ومؤسسة آسيا/أوروبا، واتفاق التبادل الحر بين رابطة أمم جنوب شرق آسيا وأستراليا ونيوزيلاندا (</w:t>
            </w:r>
            <w:r w:rsidRPr="000D515F">
              <w:rPr>
                <w:rFonts w:ascii="Arabic Typesetting" w:hAnsi="Arabic Typesetting" w:cs="Arabic Typesetting"/>
                <w:sz w:val="28"/>
                <w:szCs w:val="28"/>
                <w:rtl w:val="0"/>
                <w:cs/>
              </w:rPr>
              <w:t>‎AANZFTA</w:t>
            </w:r>
            <w:r w:rsidRPr="000D515F">
              <w:rPr>
                <w:rFonts w:ascii="Arabic Typesetting" w:hAnsi="Arabic Typesetting" w:cs="Arabic Typesetting"/>
                <w:sz w:val="28"/>
                <w:szCs w:val="28"/>
              </w:rPr>
              <w:t>‏)</w:t>
            </w:r>
          </w:p>
        </w:tc>
        <w:tc>
          <w:tcPr>
            <w:tcW w:w="1470" w:type="pct"/>
            <w:gridSpan w:val="4"/>
            <w:shd w:val="clear" w:color="auto" w:fill="auto"/>
            <w:tcMar>
              <w:left w:w="58" w:type="dxa"/>
              <w:right w:w="58" w:type="dxa"/>
            </w:tcMar>
          </w:tcPr>
          <w:p w14:paraId="343EEB3A" w14:textId="6C1552C8" w:rsidR="00574A27" w:rsidRPr="000D515F" w:rsidRDefault="00574A27" w:rsidP="000D515F">
            <w:pPr>
              <w:pStyle w:val="Default"/>
              <w:keepLines/>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11 (مكتب سنغافورة)</w:t>
            </w:r>
          </w:p>
        </w:tc>
        <w:tc>
          <w:tcPr>
            <w:tcW w:w="750" w:type="pct"/>
            <w:gridSpan w:val="3"/>
            <w:shd w:val="clear" w:color="auto" w:fill="auto"/>
            <w:tcMar>
              <w:top w:w="110" w:type="dxa"/>
              <w:left w:w="58" w:type="dxa"/>
              <w:right w:w="58" w:type="dxa"/>
            </w:tcMar>
          </w:tcPr>
          <w:p w14:paraId="6CD2F020" w14:textId="0915BB4B" w:rsidR="00574A27" w:rsidRPr="000D515F" w:rsidRDefault="00574A27" w:rsidP="000D515F">
            <w:pPr>
              <w:pStyle w:val="Default"/>
              <w:keepLines/>
              <w:suppressLineNumbers/>
              <w:suppressAutoHyphens/>
              <w:spacing w:after="120" w:line="280" w:lineRule="exact"/>
              <w:rPr>
                <w:rFonts w:ascii="Arabic Typesetting" w:hAnsi="Arabic Typesetting" w:cs="Arabic Typesetting"/>
                <w:sz w:val="28"/>
                <w:szCs w:val="28"/>
                <w:rtl w:val="0"/>
              </w:rPr>
            </w:pPr>
            <w:r w:rsidRPr="000D515F">
              <w:rPr>
                <w:rFonts w:ascii="Arabic Typesetting" w:hAnsi="Arabic Typesetting" w:cs="Arabic Typesetting"/>
                <w:sz w:val="28"/>
                <w:szCs w:val="28"/>
              </w:rPr>
              <w:t>8 أنشطة إضافية</w:t>
            </w:r>
          </w:p>
        </w:tc>
        <w:tc>
          <w:tcPr>
            <w:tcW w:w="1287" w:type="pct"/>
            <w:gridSpan w:val="4"/>
            <w:shd w:val="clear" w:color="auto" w:fill="FFFFFF"/>
            <w:tcMar>
              <w:top w:w="110" w:type="dxa"/>
              <w:left w:w="58" w:type="dxa"/>
              <w:right w:w="58" w:type="dxa"/>
            </w:tcMar>
          </w:tcPr>
          <w:p w14:paraId="7352F694" w14:textId="21BEF0A8" w:rsidR="00574A27" w:rsidRPr="000D515F" w:rsidRDefault="00574A27" w:rsidP="00BD308F">
            <w:pPr>
              <w:keepLines/>
              <w:suppressLineNumbers/>
              <w:suppressAutoHyphens/>
              <w:bidi/>
              <w:spacing w:line="280" w:lineRule="exact"/>
              <w:rPr>
                <w:rFonts w:ascii="Arabic Typesetting" w:hAnsi="Arabic Typesetting" w:cs="Arabic Typesetting"/>
                <w:sz w:val="28"/>
                <w:szCs w:val="28"/>
                <w:rtl/>
              </w:rPr>
            </w:pPr>
            <w:r w:rsidRPr="000D515F">
              <w:rPr>
                <w:rFonts w:ascii="Arabic Typesetting" w:hAnsi="Arabic Typesetting" w:cs="Arabic Typesetting"/>
                <w:sz w:val="28"/>
                <w:szCs w:val="28"/>
                <w:rtl/>
              </w:rPr>
              <w:t>4 أنشطة مشتركة إضافية:</w:t>
            </w:r>
          </w:p>
          <w:p w14:paraId="50CA8ED1" w14:textId="77777777" w:rsidR="00574A27" w:rsidRPr="000D515F" w:rsidRDefault="00574A27" w:rsidP="00D94CDB">
            <w:pPr>
              <w:pStyle w:val="ListParagraph"/>
              <w:keepLines/>
              <w:numPr>
                <w:ilvl w:val="0"/>
                <w:numId w:val="104"/>
              </w:numPr>
              <w:bidi/>
              <w:spacing w:line="280" w:lineRule="exact"/>
              <w:ind w:left="180" w:hanging="180"/>
              <w:contextualSpacing w:val="0"/>
              <w:rPr>
                <w:rFonts w:ascii="Arabic Typesetting" w:hAnsi="Arabic Typesetting" w:cs="Arabic Typesetting"/>
                <w:sz w:val="28"/>
                <w:szCs w:val="28"/>
                <w:rtl/>
              </w:rPr>
            </w:pPr>
            <w:r w:rsidRPr="000D515F">
              <w:rPr>
                <w:rFonts w:ascii="Arabic Typesetting" w:hAnsi="Arabic Typesetting" w:cs="Arabic Typesetting"/>
                <w:sz w:val="28"/>
                <w:szCs w:val="28"/>
                <w:rtl/>
              </w:rPr>
              <w:t>حلقة عمل مشتركة بين رابطة أمم جنوب شرق آسيا ومكتب الولايات المتحدة للبراءات والعلامات التجارية بشأن استخدام الملكية الفكرية لحماية وتعزيز الحرف والفنون التقليدية، بانكوك، 6-8 سبتمبر</w:t>
            </w:r>
          </w:p>
          <w:p w14:paraId="05D5B5EE" w14:textId="77777777" w:rsidR="00574A27" w:rsidRPr="000D515F" w:rsidRDefault="00574A27" w:rsidP="00D94CDB">
            <w:pPr>
              <w:pStyle w:val="ListParagraph"/>
              <w:keepLines/>
              <w:numPr>
                <w:ilvl w:val="0"/>
                <w:numId w:val="104"/>
              </w:numPr>
              <w:bidi/>
              <w:spacing w:line="280" w:lineRule="exact"/>
              <w:ind w:left="180" w:hanging="180"/>
              <w:contextualSpacing w:val="0"/>
              <w:rPr>
                <w:rFonts w:ascii="Arabic Typesetting" w:hAnsi="Arabic Typesetting" w:cs="Arabic Typesetting"/>
                <w:sz w:val="28"/>
                <w:szCs w:val="28"/>
                <w:rtl/>
              </w:rPr>
            </w:pPr>
            <w:r w:rsidRPr="000D515F">
              <w:rPr>
                <w:rFonts w:ascii="Arabic Typesetting" w:hAnsi="Arabic Typesetting" w:cs="Arabic Typesetting"/>
                <w:sz w:val="28"/>
                <w:szCs w:val="28"/>
                <w:rtl/>
              </w:rPr>
              <w:t>الدورة الأولى للجنة المعنية بتكنولوجيا المعلومات والاتصالات والعلم والتكنولوجيا والابتكار التابعة للجنة الأمم المتحدة الاقتصادية والاجتماعية لآسيا والمحيط الهادئ، بانكوك،</w:t>
            </w:r>
          </w:p>
          <w:p w14:paraId="72B1224E" w14:textId="77777777" w:rsidR="00574A27" w:rsidRPr="000D515F" w:rsidRDefault="00574A27" w:rsidP="00BD308F">
            <w:pPr>
              <w:pStyle w:val="ListParagraph"/>
              <w:keepLines/>
              <w:bidi/>
              <w:spacing w:line="280" w:lineRule="exact"/>
              <w:ind w:left="0"/>
              <w:contextualSpacing w:val="0"/>
              <w:rPr>
                <w:rFonts w:ascii="Arabic Typesetting" w:hAnsi="Arabic Typesetting" w:cs="Arabic Typesetting"/>
                <w:sz w:val="28"/>
                <w:szCs w:val="28"/>
                <w:rtl/>
              </w:rPr>
            </w:pPr>
            <w:r w:rsidRPr="000D515F">
              <w:rPr>
                <w:rFonts w:ascii="Arabic Typesetting" w:hAnsi="Arabic Typesetting" w:cs="Arabic Typesetting"/>
                <w:sz w:val="28"/>
                <w:szCs w:val="28"/>
                <w:rtl/>
              </w:rPr>
              <w:t>5-7 أكتوبر</w:t>
            </w:r>
          </w:p>
          <w:p w14:paraId="107E090B" w14:textId="77777777" w:rsidR="00574A27" w:rsidRPr="000D515F" w:rsidRDefault="00574A27" w:rsidP="00D94CDB">
            <w:pPr>
              <w:pStyle w:val="ListParagraph"/>
              <w:keepLines/>
              <w:numPr>
                <w:ilvl w:val="0"/>
                <w:numId w:val="104"/>
              </w:numPr>
              <w:bidi/>
              <w:spacing w:line="280" w:lineRule="exact"/>
              <w:ind w:left="180" w:hanging="180"/>
              <w:contextualSpacing w:val="0"/>
              <w:rPr>
                <w:rFonts w:ascii="Arabic Typesetting" w:hAnsi="Arabic Typesetting" w:cs="Arabic Typesetting"/>
                <w:sz w:val="28"/>
                <w:szCs w:val="28"/>
                <w:rtl/>
              </w:rPr>
            </w:pPr>
            <w:r w:rsidRPr="000D515F">
              <w:rPr>
                <w:rFonts w:ascii="Arabic Typesetting" w:hAnsi="Arabic Typesetting" w:cs="Arabic Typesetting"/>
                <w:sz w:val="28"/>
                <w:szCs w:val="28"/>
                <w:rtl/>
              </w:rPr>
              <w:t>الاجتماع غير الرسمي السابع لمقدمي المساعدة التقنية في مجال الملكية الفكرية إلى بلدان رابطة أمم جنوب شرقي آسيا، بانكوك، 17 نوفمبر</w:t>
            </w:r>
          </w:p>
          <w:p w14:paraId="4E2DA477" w14:textId="220E456B" w:rsidR="00574A27" w:rsidRPr="000D515F" w:rsidRDefault="00574A27" w:rsidP="00D94CDB">
            <w:pPr>
              <w:pStyle w:val="ListParagraph"/>
              <w:keepLines/>
              <w:numPr>
                <w:ilvl w:val="0"/>
                <w:numId w:val="104"/>
              </w:numPr>
              <w:bidi/>
              <w:spacing w:line="280" w:lineRule="exact"/>
              <w:ind w:left="180" w:hanging="180"/>
              <w:contextualSpacing w:val="0"/>
              <w:rPr>
                <w:rFonts w:ascii="Arabic Typesetting" w:hAnsi="Arabic Typesetting" w:cs="Arabic Typesetting"/>
                <w:sz w:val="28"/>
                <w:szCs w:val="28"/>
                <w:rtl/>
              </w:rPr>
            </w:pPr>
            <w:r w:rsidRPr="000D515F">
              <w:rPr>
                <w:rFonts w:ascii="Arabic Typesetting" w:hAnsi="Arabic Typesetting" w:cs="Arabic Typesetting"/>
                <w:sz w:val="28"/>
                <w:szCs w:val="28"/>
                <w:rtl/>
              </w:rPr>
              <w:t>حلقة دراسية إقليمية بشأن البيانات الجغرافية، نظّمها مشروع الاتحاد الأوروبي ورابطة أمم جنوب شرق آسيا بشأن حماية حقوق الملكية الفكرية (</w:t>
            </w:r>
            <w:r w:rsidRPr="000D515F">
              <w:rPr>
                <w:rFonts w:ascii="Arabic Typesetting" w:hAnsi="Arabic Typesetting" w:cs="Arabic Typesetting"/>
                <w:sz w:val="28"/>
                <w:szCs w:val="28"/>
              </w:rPr>
              <w:t>ECAP III</w:t>
            </w:r>
            <w:r w:rsidRPr="000D515F">
              <w:rPr>
                <w:rFonts w:ascii="Arabic Typesetting" w:hAnsi="Arabic Typesetting" w:cs="Arabic Typesetting"/>
                <w:sz w:val="28"/>
                <w:szCs w:val="28"/>
                <w:rtl/>
              </w:rPr>
              <w:t>)، مانيلا، 28</w:t>
            </w:r>
            <w:r w:rsidR="00BD308F">
              <w:rPr>
                <w:rFonts w:ascii="Arabic Typesetting" w:hAnsi="Arabic Typesetting" w:cs="Arabic Typesetting" w:hint="cs"/>
                <w:sz w:val="28"/>
                <w:szCs w:val="28"/>
                <w:rtl/>
              </w:rPr>
              <w:noBreakHyphen/>
            </w:r>
            <w:r w:rsidRPr="000D515F">
              <w:rPr>
                <w:rFonts w:ascii="Arabic Typesetting" w:hAnsi="Arabic Typesetting" w:cs="Arabic Typesetting"/>
                <w:sz w:val="28"/>
                <w:szCs w:val="28"/>
                <w:rtl/>
              </w:rPr>
              <w:t>29 نوفمبر،</w:t>
            </w:r>
          </w:p>
          <w:p w14:paraId="74ED6621" w14:textId="34821ED7" w:rsidR="00574A27" w:rsidRPr="000D515F" w:rsidRDefault="00574A27" w:rsidP="00BD308F">
            <w:pPr>
              <w:keepLines/>
              <w:suppressLineNumbers/>
              <w:suppressAutoHyphens/>
              <w:bidi/>
              <w:spacing w:after="120" w:line="280" w:lineRule="exact"/>
              <w:rPr>
                <w:rFonts w:ascii="Arabic Typesetting" w:hAnsi="Arabic Typesetting" w:cs="Arabic Typesetting"/>
                <w:color w:val="000000"/>
                <w:sz w:val="28"/>
                <w:szCs w:val="28"/>
                <w:rtl/>
              </w:rPr>
            </w:pPr>
            <w:r w:rsidRPr="000D515F">
              <w:rPr>
                <w:rFonts w:ascii="Arabic Typesetting" w:hAnsi="Arabic Typesetting" w:cs="Arabic Typesetting"/>
                <w:color w:val="000000"/>
                <w:sz w:val="28"/>
                <w:szCs w:val="28"/>
                <w:rtl/>
              </w:rPr>
              <w:t>(15 تراكمياً)</w:t>
            </w:r>
          </w:p>
        </w:tc>
        <w:tc>
          <w:tcPr>
            <w:tcW w:w="439" w:type="pct"/>
            <w:gridSpan w:val="2"/>
            <w:shd w:val="clear" w:color="auto" w:fill="auto"/>
            <w:tcMar>
              <w:top w:w="110" w:type="dxa"/>
              <w:left w:w="58" w:type="dxa"/>
              <w:right w:w="58" w:type="dxa"/>
            </w:tcMar>
          </w:tcPr>
          <w:p w14:paraId="5273EC2F" w14:textId="77777777" w:rsidR="00574A27" w:rsidRPr="000D515F" w:rsidRDefault="00574A27" w:rsidP="000D515F">
            <w:pPr>
              <w:keepLines/>
              <w:suppressLineNumbers/>
              <w:suppressAutoHyphens/>
              <w:bidi/>
              <w:spacing w:after="120" w:line="280" w:lineRule="exact"/>
              <w:jc w:val="center"/>
              <w:rPr>
                <w:rFonts w:ascii="Arabic Typesetting" w:hAnsi="Arabic Typesetting" w:cs="Arabic Typesetting"/>
                <w:bCs/>
                <w:color w:val="000000"/>
                <w:sz w:val="28"/>
                <w:szCs w:val="28"/>
                <w:rtl/>
              </w:rPr>
            </w:pPr>
            <w:r w:rsidRPr="000D515F">
              <w:rPr>
                <w:rFonts w:ascii="Arabic Typesetting" w:hAnsi="Arabic Typesetting" w:cs="Arabic Typesetting"/>
                <w:bCs/>
                <w:color w:val="00B050"/>
                <w:sz w:val="28"/>
                <w:szCs w:val="28"/>
                <w:rtl/>
              </w:rPr>
              <w:t>ثابت</w:t>
            </w:r>
          </w:p>
        </w:tc>
      </w:tr>
    </w:tbl>
    <w:tbl>
      <w:tblPr>
        <w:tblStyle w:val="TableGrid"/>
        <w:bidiVisual/>
        <w:tblW w:w="0" w:type="auto"/>
        <w:tblLook w:val="04A0" w:firstRow="1" w:lastRow="0" w:firstColumn="1" w:lastColumn="0" w:noHBand="0" w:noVBand="1"/>
      </w:tblPr>
      <w:tblGrid>
        <w:gridCol w:w="9571"/>
      </w:tblGrid>
      <w:tr w:rsidR="00BD308F" w14:paraId="31660243" w14:textId="77777777" w:rsidTr="00BD308F">
        <w:tc>
          <w:tcPr>
            <w:tcW w:w="9571" w:type="dxa"/>
            <w:tcBorders>
              <w:top w:val="nil"/>
              <w:left w:val="nil"/>
              <w:bottom w:val="nil"/>
              <w:right w:val="nil"/>
            </w:tcBorders>
            <w:shd w:val="clear" w:color="auto" w:fill="C6D9F1"/>
            <w:vAlign w:val="center"/>
          </w:tcPr>
          <w:p w14:paraId="6D780BB5" w14:textId="71A5F164" w:rsidR="00BD308F" w:rsidRPr="00A2672B" w:rsidRDefault="00BD308F" w:rsidP="00BD308F">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ام موارد البرنام</w:t>
            </w:r>
            <w:r>
              <w:rPr>
                <w:rFonts w:ascii="Arabic Typesetting" w:hAnsi="Arabic Typesetting" w:cs="Arabic Typesetting" w:hint="cs"/>
                <w:b/>
                <w:bCs/>
                <w:sz w:val="34"/>
                <w:szCs w:val="34"/>
                <w:rtl/>
                <w:lang w:bidi="ar-EG"/>
              </w:rPr>
              <w:t>ج 20</w:t>
            </w:r>
          </w:p>
        </w:tc>
      </w:tr>
    </w:tbl>
    <w:p w14:paraId="31718035" w14:textId="77777777" w:rsidR="00BD308F" w:rsidRPr="00FE3908" w:rsidRDefault="00BD308F" w:rsidP="00BD308F">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6A50501C" w14:textId="77777777" w:rsidR="00BD308F" w:rsidRDefault="00BD308F" w:rsidP="00BD308F">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jc w:val="center"/>
        <w:tblLook w:val="04A0" w:firstRow="1" w:lastRow="0" w:firstColumn="1" w:lastColumn="0" w:noHBand="0" w:noVBand="1"/>
      </w:tblPr>
      <w:tblGrid>
        <w:gridCol w:w="791"/>
        <w:gridCol w:w="4799"/>
        <w:gridCol w:w="1309"/>
        <w:gridCol w:w="1309"/>
        <w:gridCol w:w="1363"/>
      </w:tblGrid>
      <w:tr w:rsidR="00BD308F" w:rsidRPr="00BD308F" w14:paraId="04F9DDEB" w14:textId="77777777" w:rsidTr="00BD308F">
        <w:trPr>
          <w:trHeight w:val="626"/>
          <w:jc w:val="center"/>
        </w:trPr>
        <w:tc>
          <w:tcPr>
            <w:tcW w:w="2920" w:type="pct"/>
            <w:gridSpan w:val="2"/>
            <w:tcBorders>
              <w:top w:val="nil"/>
              <w:left w:val="nil"/>
              <w:bottom w:val="nil"/>
              <w:right w:val="nil"/>
            </w:tcBorders>
            <w:shd w:val="clear" w:color="000000" w:fill="C5D9F1"/>
            <w:noWrap/>
            <w:vAlign w:val="center"/>
          </w:tcPr>
          <w:p w14:paraId="61874964" w14:textId="7BD17AE7" w:rsidR="00BD308F" w:rsidRPr="00BD308F" w:rsidRDefault="00BD308F" w:rsidP="00574A27">
            <w:pPr>
              <w:keepLines/>
              <w:bidi/>
              <w:spacing w:before="60" w:after="60" w:line="280" w:lineRule="exact"/>
              <w:jc w:val="center"/>
              <w:rPr>
                <w:rFonts w:ascii="Arabic Typesetting" w:hAnsi="Arabic Typesetting" w:cs="Arabic Typesetting"/>
                <w:b/>
                <w:bCs/>
                <w:sz w:val="28"/>
                <w:szCs w:val="28"/>
                <w:rtl/>
              </w:rPr>
            </w:pPr>
            <w:r w:rsidRPr="00A2672B">
              <w:rPr>
                <w:rFonts w:ascii="Arabic Typesetting" w:hAnsi="Arabic Typesetting" w:cs="Arabic Typesetting"/>
                <w:b/>
                <w:bCs/>
                <w:i/>
                <w:iCs/>
                <w:sz w:val="28"/>
                <w:szCs w:val="28"/>
                <w:rtl/>
              </w:rPr>
              <w:t>رقم النتيجة المرتقبة ووصفها</w:t>
            </w:r>
          </w:p>
        </w:tc>
        <w:tc>
          <w:tcPr>
            <w:tcW w:w="684" w:type="pct"/>
            <w:tcBorders>
              <w:top w:val="nil"/>
              <w:left w:val="nil"/>
              <w:bottom w:val="nil"/>
              <w:right w:val="nil"/>
            </w:tcBorders>
            <w:shd w:val="clear" w:color="000000" w:fill="C5D9F1"/>
            <w:vAlign w:val="center"/>
          </w:tcPr>
          <w:p w14:paraId="1E1767E8" w14:textId="2E64DF30" w:rsidR="00BD308F" w:rsidRPr="00BD308F" w:rsidRDefault="00BD308F" w:rsidP="00574A27">
            <w:pPr>
              <w:keepLines/>
              <w:bidi/>
              <w:spacing w:before="60" w:after="60" w:line="280" w:lineRule="exact"/>
              <w:jc w:val="center"/>
              <w:rPr>
                <w:rFonts w:ascii="Arabic Typesetting" w:hAnsi="Arabic Typesetting" w:cs="Arabic Typesetting"/>
                <w:b/>
                <w:bCs/>
                <w:sz w:val="28"/>
                <w:szCs w:val="28"/>
                <w:rtl/>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684" w:type="pct"/>
            <w:tcBorders>
              <w:top w:val="nil"/>
              <w:left w:val="nil"/>
              <w:bottom w:val="nil"/>
              <w:right w:val="nil"/>
            </w:tcBorders>
            <w:shd w:val="clear" w:color="000000" w:fill="C5D9F1"/>
            <w:vAlign w:val="center"/>
          </w:tcPr>
          <w:p w14:paraId="02F9FC50" w14:textId="6ED3043C" w:rsidR="00BD308F" w:rsidRPr="00BD308F" w:rsidRDefault="00BD308F" w:rsidP="00574A27">
            <w:pPr>
              <w:keepLines/>
              <w:bidi/>
              <w:spacing w:before="60" w:after="60" w:line="280" w:lineRule="exact"/>
              <w:jc w:val="center"/>
              <w:rPr>
                <w:rFonts w:ascii="Arabic Typesetting" w:hAnsi="Arabic Typesetting" w:cs="Arabic Typesetting"/>
                <w:b/>
                <w:bCs/>
                <w:sz w:val="28"/>
                <w:szCs w:val="28"/>
                <w:rtl/>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12" w:type="pct"/>
            <w:tcBorders>
              <w:top w:val="nil"/>
              <w:left w:val="nil"/>
              <w:bottom w:val="nil"/>
              <w:right w:val="nil"/>
            </w:tcBorders>
            <w:shd w:val="clear" w:color="000000" w:fill="C5D9F1"/>
            <w:vAlign w:val="center"/>
          </w:tcPr>
          <w:p w14:paraId="4B51320C" w14:textId="30565CCC" w:rsidR="00BD308F" w:rsidRPr="00BD308F" w:rsidRDefault="00BD308F" w:rsidP="00574A27">
            <w:pPr>
              <w:keepLines/>
              <w:bidi/>
              <w:spacing w:before="60" w:after="60" w:line="280" w:lineRule="exact"/>
              <w:jc w:val="center"/>
              <w:rPr>
                <w:rFonts w:ascii="Arabic Typesetting" w:hAnsi="Arabic Typesetting" w:cs="Arabic Typesetting"/>
                <w:b/>
                <w:bCs/>
                <w:sz w:val="28"/>
                <w:szCs w:val="28"/>
                <w:rtl/>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21943" w:rsidRPr="00BD308F" w14:paraId="59465258" w14:textId="77777777" w:rsidTr="00BD308F">
        <w:trPr>
          <w:trHeight w:val="738"/>
          <w:jc w:val="center"/>
        </w:trPr>
        <w:tc>
          <w:tcPr>
            <w:tcW w:w="413" w:type="pct"/>
            <w:tcBorders>
              <w:top w:val="nil"/>
              <w:left w:val="nil"/>
              <w:bottom w:val="nil"/>
              <w:right w:val="nil"/>
            </w:tcBorders>
            <w:shd w:val="clear" w:color="000000" w:fill="FFFFFF"/>
            <w:noWrap/>
            <w:vAlign w:val="center"/>
            <w:hideMark/>
          </w:tcPr>
          <w:p w14:paraId="133ADDBA" w14:textId="7C32C045"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ھ1.1</w:t>
            </w:r>
          </w:p>
        </w:tc>
        <w:tc>
          <w:tcPr>
            <w:tcW w:w="2507" w:type="pct"/>
            <w:tcBorders>
              <w:top w:val="nil"/>
              <w:left w:val="nil"/>
              <w:bottom w:val="nil"/>
              <w:right w:val="nil"/>
            </w:tcBorders>
            <w:shd w:val="clear" w:color="auto" w:fill="auto"/>
            <w:vAlign w:val="center"/>
            <w:hideMark/>
          </w:tcPr>
          <w:p w14:paraId="5458D620" w14:textId="6D984AA6" w:rsidR="00B21943" w:rsidRPr="00BD308F" w:rsidRDefault="009834BA" w:rsidP="00B21943">
            <w:p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تعاون معزز بين الدول الأعضاء في وضع أطر تقنينية دولية متوازنة في مجال الملكية الفكرية</w:t>
            </w:r>
          </w:p>
        </w:tc>
        <w:tc>
          <w:tcPr>
            <w:tcW w:w="684" w:type="pct"/>
            <w:tcBorders>
              <w:top w:val="nil"/>
              <w:left w:val="nil"/>
              <w:bottom w:val="nil"/>
              <w:right w:val="nil"/>
            </w:tcBorders>
            <w:shd w:val="clear" w:color="auto" w:fill="auto"/>
            <w:noWrap/>
            <w:vAlign w:val="center"/>
            <w:hideMark/>
          </w:tcPr>
          <w:p w14:paraId="6F1B743F" w14:textId="3A8FE8EA"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685</w:t>
            </w:r>
          </w:p>
        </w:tc>
        <w:tc>
          <w:tcPr>
            <w:tcW w:w="684" w:type="pct"/>
            <w:tcBorders>
              <w:top w:val="nil"/>
              <w:left w:val="nil"/>
              <w:bottom w:val="nil"/>
              <w:right w:val="nil"/>
            </w:tcBorders>
            <w:shd w:val="clear" w:color="auto" w:fill="auto"/>
            <w:noWrap/>
            <w:vAlign w:val="center"/>
            <w:hideMark/>
          </w:tcPr>
          <w:p w14:paraId="0B4780F0" w14:textId="698B0105"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679</w:t>
            </w:r>
          </w:p>
        </w:tc>
        <w:tc>
          <w:tcPr>
            <w:tcW w:w="712" w:type="pct"/>
            <w:tcBorders>
              <w:top w:val="nil"/>
              <w:left w:val="nil"/>
              <w:bottom w:val="nil"/>
              <w:right w:val="nil"/>
            </w:tcBorders>
            <w:shd w:val="clear" w:color="auto" w:fill="auto"/>
            <w:noWrap/>
            <w:vAlign w:val="center"/>
            <w:hideMark/>
          </w:tcPr>
          <w:p w14:paraId="512A27D1" w14:textId="33148107"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372</w:t>
            </w:r>
          </w:p>
        </w:tc>
      </w:tr>
      <w:tr w:rsidR="00B21943" w:rsidRPr="00BD308F" w14:paraId="73AC10B2" w14:textId="77777777" w:rsidTr="00BD308F">
        <w:trPr>
          <w:trHeight w:val="436"/>
          <w:jc w:val="center"/>
        </w:trPr>
        <w:tc>
          <w:tcPr>
            <w:tcW w:w="413" w:type="pct"/>
            <w:tcBorders>
              <w:top w:val="nil"/>
              <w:left w:val="nil"/>
              <w:bottom w:val="nil"/>
              <w:right w:val="nil"/>
            </w:tcBorders>
            <w:shd w:val="clear" w:color="auto" w:fill="auto"/>
            <w:noWrap/>
            <w:vAlign w:val="center"/>
            <w:hideMark/>
          </w:tcPr>
          <w:p w14:paraId="79D1D681"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ھ1.2</w:t>
            </w:r>
          </w:p>
        </w:tc>
        <w:tc>
          <w:tcPr>
            <w:tcW w:w="2507" w:type="pct"/>
            <w:tcBorders>
              <w:top w:val="nil"/>
              <w:left w:val="nil"/>
              <w:bottom w:val="nil"/>
              <w:right w:val="nil"/>
            </w:tcBorders>
            <w:shd w:val="clear" w:color="auto" w:fill="auto"/>
            <w:vAlign w:val="center"/>
            <w:hideMark/>
          </w:tcPr>
          <w:p w14:paraId="021EF938"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استخدام نظام معاهدة التعاون بشأن البراءات على نطاق أوسع وبفعالية أكبر لإيداع طلبات البراءات الدولية</w:t>
            </w:r>
          </w:p>
        </w:tc>
        <w:tc>
          <w:tcPr>
            <w:tcW w:w="684" w:type="pct"/>
            <w:tcBorders>
              <w:top w:val="nil"/>
              <w:left w:val="nil"/>
              <w:bottom w:val="nil"/>
              <w:right w:val="nil"/>
            </w:tcBorders>
            <w:shd w:val="clear" w:color="auto" w:fill="auto"/>
            <w:noWrap/>
            <w:vAlign w:val="center"/>
            <w:hideMark/>
          </w:tcPr>
          <w:p w14:paraId="794B9176" w14:textId="7CA25845"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857</w:t>
            </w:r>
          </w:p>
        </w:tc>
        <w:tc>
          <w:tcPr>
            <w:tcW w:w="684" w:type="pct"/>
            <w:tcBorders>
              <w:top w:val="nil"/>
              <w:left w:val="nil"/>
              <w:bottom w:val="nil"/>
              <w:right w:val="nil"/>
            </w:tcBorders>
            <w:shd w:val="clear" w:color="auto" w:fill="auto"/>
            <w:noWrap/>
            <w:vAlign w:val="center"/>
            <w:hideMark/>
          </w:tcPr>
          <w:p w14:paraId="63185DF1" w14:textId="47D99C97"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904</w:t>
            </w:r>
          </w:p>
        </w:tc>
        <w:tc>
          <w:tcPr>
            <w:tcW w:w="712" w:type="pct"/>
            <w:tcBorders>
              <w:top w:val="nil"/>
              <w:left w:val="nil"/>
              <w:bottom w:val="nil"/>
              <w:right w:val="nil"/>
            </w:tcBorders>
            <w:shd w:val="clear" w:color="auto" w:fill="auto"/>
            <w:noWrap/>
            <w:vAlign w:val="center"/>
            <w:hideMark/>
          </w:tcPr>
          <w:p w14:paraId="38D8E3E8" w14:textId="3020187E"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398</w:t>
            </w:r>
          </w:p>
        </w:tc>
      </w:tr>
      <w:tr w:rsidR="00B21943" w:rsidRPr="00BD308F" w14:paraId="1EBDD688" w14:textId="77777777" w:rsidTr="00BD308F">
        <w:trPr>
          <w:trHeight w:val="556"/>
          <w:jc w:val="center"/>
        </w:trPr>
        <w:tc>
          <w:tcPr>
            <w:tcW w:w="413" w:type="pct"/>
            <w:tcBorders>
              <w:top w:val="nil"/>
              <w:left w:val="nil"/>
              <w:bottom w:val="nil"/>
              <w:right w:val="nil"/>
            </w:tcBorders>
            <w:shd w:val="clear" w:color="auto" w:fill="auto"/>
            <w:noWrap/>
            <w:vAlign w:val="center"/>
            <w:hideMark/>
          </w:tcPr>
          <w:p w14:paraId="2B097F91"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ھ4.2</w:t>
            </w:r>
          </w:p>
        </w:tc>
        <w:tc>
          <w:tcPr>
            <w:tcW w:w="2507" w:type="pct"/>
            <w:tcBorders>
              <w:top w:val="nil"/>
              <w:left w:val="nil"/>
              <w:bottom w:val="nil"/>
              <w:right w:val="nil"/>
            </w:tcBorders>
            <w:shd w:val="clear" w:color="auto" w:fill="auto"/>
            <w:vAlign w:val="center"/>
            <w:hideMark/>
          </w:tcPr>
          <w:p w14:paraId="266F9DBE"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استخدام نظام لاهاي على نطاق أوسع وبفعالية أكبر، بما في ذلك من قبل البلدان النامية والبلدان الأقل نموا</w:t>
            </w:r>
          </w:p>
        </w:tc>
        <w:tc>
          <w:tcPr>
            <w:tcW w:w="684" w:type="pct"/>
            <w:tcBorders>
              <w:top w:val="nil"/>
              <w:left w:val="nil"/>
              <w:bottom w:val="nil"/>
              <w:right w:val="nil"/>
            </w:tcBorders>
            <w:shd w:val="clear" w:color="auto" w:fill="auto"/>
            <w:noWrap/>
            <w:vAlign w:val="center"/>
            <w:hideMark/>
          </w:tcPr>
          <w:p w14:paraId="2303411D" w14:textId="0ED6B106"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729</w:t>
            </w:r>
          </w:p>
        </w:tc>
        <w:tc>
          <w:tcPr>
            <w:tcW w:w="684" w:type="pct"/>
            <w:tcBorders>
              <w:top w:val="nil"/>
              <w:left w:val="nil"/>
              <w:bottom w:val="nil"/>
              <w:right w:val="nil"/>
            </w:tcBorders>
            <w:shd w:val="clear" w:color="auto" w:fill="auto"/>
            <w:noWrap/>
            <w:vAlign w:val="center"/>
            <w:hideMark/>
          </w:tcPr>
          <w:p w14:paraId="4EE5CD20" w14:textId="2A2FEB06"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535</w:t>
            </w:r>
          </w:p>
        </w:tc>
        <w:tc>
          <w:tcPr>
            <w:tcW w:w="712" w:type="pct"/>
            <w:tcBorders>
              <w:top w:val="nil"/>
              <w:left w:val="nil"/>
              <w:bottom w:val="nil"/>
              <w:right w:val="nil"/>
            </w:tcBorders>
            <w:shd w:val="clear" w:color="auto" w:fill="auto"/>
            <w:noWrap/>
            <w:vAlign w:val="center"/>
            <w:hideMark/>
          </w:tcPr>
          <w:p w14:paraId="60FB2B6D" w14:textId="4C520F84"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213</w:t>
            </w:r>
          </w:p>
        </w:tc>
      </w:tr>
      <w:tr w:rsidR="00B21943" w:rsidRPr="00BD308F" w14:paraId="54549211" w14:textId="77777777" w:rsidTr="00BD308F">
        <w:trPr>
          <w:trHeight w:val="338"/>
          <w:jc w:val="center"/>
        </w:trPr>
        <w:tc>
          <w:tcPr>
            <w:tcW w:w="413" w:type="pct"/>
            <w:tcBorders>
              <w:top w:val="nil"/>
              <w:left w:val="nil"/>
              <w:bottom w:val="nil"/>
              <w:right w:val="nil"/>
            </w:tcBorders>
            <w:shd w:val="clear" w:color="auto" w:fill="auto"/>
            <w:noWrap/>
            <w:vAlign w:val="center"/>
            <w:hideMark/>
          </w:tcPr>
          <w:p w14:paraId="73DBE264"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ھ6.2</w:t>
            </w:r>
          </w:p>
        </w:tc>
        <w:tc>
          <w:tcPr>
            <w:tcW w:w="2507" w:type="pct"/>
            <w:tcBorders>
              <w:top w:val="nil"/>
              <w:left w:val="nil"/>
              <w:bottom w:val="nil"/>
              <w:right w:val="nil"/>
            </w:tcBorders>
            <w:shd w:val="clear" w:color="auto" w:fill="auto"/>
            <w:vAlign w:val="center"/>
            <w:hideMark/>
          </w:tcPr>
          <w:p w14:paraId="5588FF01"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استخدام نظامي مدريد ولشبونة على نطاق أوسع وبفعالية أكبر، بما في ذلك من قبل البلدان النامية والبلدان الأقل نموا</w:t>
            </w:r>
          </w:p>
        </w:tc>
        <w:tc>
          <w:tcPr>
            <w:tcW w:w="684" w:type="pct"/>
            <w:tcBorders>
              <w:top w:val="nil"/>
              <w:left w:val="nil"/>
              <w:bottom w:val="nil"/>
              <w:right w:val="nil"/>
            </w:tcBorders>
            <w:shd w:val="clear" w:color="auto" w:fill="auto"/>
            <w:noWrap/>
            <w:vAlign w:val="center"/>
            <w:hideMark/>
          </w:tcPr>
          <w:p w14:paraId="03AB99C4" w14:textId="02F34453"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789</w:t>
            </w:r>
          </w:p>
        </w:tc>
        <w:tc>
          <w:tcPr>
            <w:tcW w:w="684" w:type="pct"/>
            <w:tcBorders>
              <w:top w:val="nil"/>
              <w:left w:val="nil"/>
              <w:bottom w:val="nil"/>
              <w:right w:val="nil"/>
            </w:tcBorders>
            <w:shd w:val="clear" w:color="auto" w:fill="auto"/>
            <w:noWrap/>
            <w:vAlign w:val="center"/>
            <w:hideMark/>
          </w:tcPr>
          <w:p w14:paraId="6936A3DB" w14:textId="53A1D02F"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526</w:t>
            </w:r>
          </w:p>
        </w:tc>
        <w:tc>
          <w:tcPr>
            <w:tcW w:w="712" w:type="pct"/>
            <w:tcBorders>
              <w:top w:val="nil"/>
              <w:left w:val="nil"/>
              <w:bottom w:val="nil"/>
              <w:right w:val="nil"/>
            </w:tcBorders>
            <w:shd w:val="clear" w:color="auto" w:fill="auto"/>
            <w:noWrap/>
            <w:vAlign w:val="center"/>
            <w:hideMark/>
          </w:tcPr>
          <w:p w14:paraId="7038F67A" w14:textId="38FD22BA"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229</w:t>
            </w:r>
          </w:p>
        </w:tc>
      </w:tr>
      <w:tr w:rsidR="00B21943" w:rsidRPr="00BD308F" w14:paraId="39E1412A" w14:textId="77777777" w:rsidTr="00BD308F">
        <w:trPr>
          <w:trHeight w:val="1051"/>
          <w:jc w:val="center"/>
        </w:trPr>
        <w:tc>
          <w:tcPr>
            <w:tcW w:w="413" w:type="pct"/>
            <w:tcBorders>
              <w:top w:val="nil"/>
              <w:left w:val="nil"/>
              <w:bottom w:val="nil"/>
              <w:right w:val="nil"/>
            </w:tcBorders>
            <w:shd w:val="clear" w:color="auto" w:fill="auto"/>
            <w:noWrap/>
            <w:vAlign w:val="center"/>
            <w:hideMark/>
          </w:tcPr>
          <w:p w14:paraId="4B7477A8"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ھ2.3</w:t>
            </w:r>
          </w:p>
        </w:tc>
        <w:tc>
          <w:tcPr>
            <w:tcW w:w="2507" w:type="pct"/>
            <w:tcBorders>
              <w:top w:val="nil"/>
              <w:left w:val="nil"/>
              <w:bottom w:val="nil"/>
              <w:right w:val="nil"/>
            </w:tcBorders>
            <w:shd w:val="clear" w:color="auto" w:fill="auto"/>
            <w:vAlign w:val="center"/>
            <w:hideMark/>
          </w:tcPr>
          <w:p w14:paraId="4E1F4DEF" w14:textId="47ECBEEB" w:rsidR="00B21943" w:rsidRPr="00BD308F" w:rsidRDefault="009834BA" w:rsidP="00B21943">
            <w:pPr>
              <w:bidi/>
              <w:spacing w:before="60" w:after="60" w:line="280" w:lineRule="exact"/>
              <w:rPr>
                <w:rFonts w:ascii="Arabic Typesetting" w:hAnsi="Arabic Typesetting" w:cs="Arabic Typesetting"/>
                <w:sz w:val="28"/>
                <w:szCs w:val="28"/>
                <w:rtl/>
              </w:rPr>
            </w:pPr>
            <w:r w:rsidRPr="009834BA">
              <w:rPr>
                <w:rFonts w:ascii="Arabic Typesetting" w:hAnsi="Arabic Typesetting" w:cs="Arabic Typesetting"/>
                <w:sz w:val="28"/>
                <w:szCs w:val="28"/>
                <w:rtl/>
              </w:rPr>
              <w:t>كفاءات معزَّزة للموارد البشرية القادرة على تلبية تشكيلة واسعة من المتطلبات لتسخير الملكية الفكرية بفعالية لأغراض التنمية في البلدان النامية والبلدان الأقل نموا والبلدان ذات الاقتصادات المتحولة</w:t>
            </w:r>
          </w:p>
        </w:tc>
        <w:tc>
          <w:tcPr>
            <w:tcW w:w="684" w:type="pct"/>
            <w:tcBorders>
              <w:top w:val="nil"/>
              <w:left w:val="nil"/>
              <w:bottom w:val="nil"/>
              <w:right w:val="nil"/>
            </w:tcBorders>
            <w:shd w:val="clear" w:color="auto" w:fill="auto"/>
            <w:noWrap/>
            <w:vAlign w:val="center"/>
            <w:hideMark/>
          </w:tcPr>
          <w:p w14:paraId="21FDA4DD" w14:textId="03EF838C"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858</w:t>
            </w:r>
          </w:p>
        </w:tc>
        <w:tc>
          <w:tcPr>
            <w:tcW w:w="684" w:type="pct"/>
            <w:tcBorders>
              <w:top w:val="nil"/>
              <w:left w:val="nil"/>
              <w:bottom w:val="nil"/>
              <w:right w:val="nil"/>
            </w:tcBorders>
            <w:shd w:val="clear" w:color="auto" w:fill="auto"/>
            <w:noWrap/>
            <w:vAlign w:val="center"/>
            <w:hideMark/>
          </w:tcPr>
          <w:p w14:paraId="1AAA805D" w14:textId="06DFEE28"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1 516</w:t>
            </w:r>
          </w:p>
        </w:tc>
        <w:tc>
          <w:tcPr>
            <w:tcW w:w="712" w:type="pct"/>
            <w:tcBorders>
              <w:top w:val="nil"/>
              <w:left w:val="nil"/>
              <w:bottom w:val="nil"/>
              <w:right w:val="nil"/>
            </w:tcBorders>
            <w:shd w:val="clear" w:color="auto" w:fill="auto"/>
            <w:noWrap/>
            <w:vAlign w:val="center"/>
            <w:hideMark/>
          </w:tcPr>
          <w:p w14:paraId="1A0B2D9B" w14:textId="0B620982"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582</w:t>
            </w:r>
          </w:p>
        </w:tc>
      </w:tr>
      <w:tr w:rsidR="00B21943" w:rsidRPr="00BD308F" w14:paraId="3FAEF64A" w14:textId="77777777" w:rsidTr="00BD308F">
        <w:trPr>
          <w:trHeight w:val="429"/>
          <w:jc w:val="center"/>
        </w:trPr>
        <w:tc>
          <w:tcPr>
            <w:tcW w:w="413" w:type="pct"/>
            <w:tcBorders>
              <w:top w:val="nil"/>
              <w:left w:val="nil"/>
              <w:bottom w:val="nil"/>
              <w:right w:val="nil"/>
            </w:tcBorders>
            <w:shd w:val="clear" w:color="auto" w:fill="auto"/>
            <w:noWrap/>
            <w:vAlign w:val="center"/>
            <w:hideMark/>
          </w:tcPr>
          <w:p w14:paraId="118DC865"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ھ2.4</w:t>
            </w:r>
          </w:p>
        </w:tc>
        <w:tc>
          <w:tcPr>
            <w:tcW w:w="2507" w:type="pct"/>
            <w:tcBorders>
              <w:top w:val="nil"/>
              <w:left w:val="nil"/>
              <w:bottom w:val="nil"/>
              <w:right w:val="nil"/>
            </w:tcBorders>
            <w:shd w:val="clear" w:color="auto" w:fill="auto"/>
            <w:vAlign w:val="center"/>
            <w:hideMark/>
          </w:tcPr>
          <w:p w14:paraId="074D7FE5"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نفاذ محسّن إلى المعلومات المتعلقة بالملكية الفكرية واستخدامها من قبل مؤسسات الملكية الفكرية والجمهور لتشجيع الابتكار والإبداع</w:t>
            </w:r>
          </w:p>
        </w:tc>
        <w:tc>
          <w:tcPr>
            <w:tcW w:w="684" w:type="pct"/>
            <w:tcBorders>
              <w:top w:val="nil"/>
              <w:left w:val="nil"/>
              <w:bottom w:val="nil"/>
              <w:right w:val="nil"/>
            </w:tcBorders>
            <w:shd w:val="clear" w:color="auto" w:fill="auto"/>
            <w:noWrap/>
            <w:vAlign w:val="center"/>
            <w:hideMark/>
          </w:tcPr>
          <w:p w14:paraId="43302652" w14:textId="0008B9B1"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1 209</w:t>
            </w:r>
          </w:p>
        </w:tc>
        <w:tc>
          <w:tcPr>
            <w:tcW w:w="684" w:type="pct"/>
            <w:tcBorders>
              <w:top w:val="nil"/>
              <w:left w:val="nil"/>
              <w:bottom w:val="nil"/>
              <w:right w:val="nil"/>
            </w:tcBorders>
            <w:shd w:val="clear" w:color="auto" w:fill="auto"/>
            <w:noWrap/>
            <w:vAlign w:val="center"/>
            <w:hideMark/>
          </w:tcPr>
          <w:p w14:paraId="293ADF1F" w14:textId="01EFD3A7"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1 075</w:t>
            </w:r>
          </w:p>
        </w:tc>
        <w:tc>
          <w:tcPr>
            <w:tcW w:w="712" w:type="pct"/>
            <w:tcBorders>
              <w:top w:val="nil"/>
              <w:left w:val="nil"/>
              <w:bottom w:val="nil"/>
              <w:right w:val="nil"/>
            </w:tcBorders>
            <w:shd w:val="clear" w:color="auto" w:fill="auto"/>
            <w:noWrap/>
            <w:vAlign w:val="center"/>
            <w:hideMark/>
          </w:tcPr>
          <w:p w14:paraId="528E7F1A" w14:textId="3CC3EDB8"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433</w:t>
            </w:r>
          </w:p>
        </w:tc>
      </w:tr>
      <w:tr w:rsidR="00B21943" w:rsidRPr="00BD308F" w14:paraId="1653DA9E" w14:textId="77777777" w:rsidTr="00BD308F">
        <w:trPr>
          <w:trHeight w:val="1018"/>
          <w:jc w:val="center"/>
        </w:trPr>
        <w:tc>
          <w:tcPr>
            <w:tcW w:w="413" w:type="pct"/>
            <w:tcBorders>
              <w:top w:val="nil"/>
              <w:left w:val="nil"/>
              <w:bottom w:val="nil"/>
              <w:right w:val="nil"/>
            </w:tcBorders>
            <w:shd w:val="clear" w:color="auto" w:fill="auto"/>
            <w:noWrap/>
            <w:vAlign w:val="center"/>
            <w:hideMark/>
          </w:tcPr>
          <w:p w14:paraId="362B59AA"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ھ4.4</w:t>
            </w:r>
          </w:p>
        </w:tc>
        <w:tc>
          <w:tcPr>
            <w:tcW w:w="2507" w:type="pct"/>
            <w:tcBorders>
              <w:top w:val="nil"/>
              <w:left w:val="nil"/>
              <w:bottom w:val="nil"/>
              <w:right w:val="nil"/>
            </w:tcBorders>
            <w:shd w:val="clear" w:color="auto" w:fill="auto"/>
            <w:vAlign w:val="center"/>
            <w:hideMark/>
          </w:tcPr>
          <w:p w14:paraId="381B8E00" w14:textId="12A56D0F" w:rsidR="00B21943" w:rsidRPr="00BD308F" w:rsidRDefault="007B1E0A" w:rsidP="00B21943">
            <w:p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c>
          <w:tcPr>
            <w:tcW w:w="684" w:type="pct"/>
            <w:tcBorders>
              <w:top w:val="nil"/>
              <w:left w:val="nil"/>
              <w:bottom w:val="nil"/>
              <w:right w:val="nil"/>
            </w:tcBorders>
            <w:shd w:val="clear" w:color="auto" w:fill="auto"/>
            <w:noWrap/>
            <w:vAlign w:val="center"/>
            <w:hideMark/>
          </w:tcPr>
          <w:p w14:paraId="1423552B" w14:textId="254AF7AA"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264</w:t>
            </w:r>
          </w:p>
        </w:tc>
        <w:tc>
          <w:tcPr>
            <w:tcW w:w="684" w:type="pct"/>
            <w:tcBorders>
              <w:top w:val="nil"/>
              <w:left w:val="nil"/>
              <w:bottom w:val="nil"/>
              <w:right w:val="nil"/>
            </w:tcBorders>
            <w:shd w:val="clear" w:color="auto" w:fill="auto"/>
            <w:noWrap/>
            <w:vAlign w:val="center"/>
            <w:hideMark/>
          </w:tcPr>
          <w:p w14:paraId="2A870AD2" w14:textId="103A2509"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43</w:t>
            </w:r>
          </w:p>
        </w:tc>
        <w:tc>
          <w:tcPr>
            <w:tcW w:w="712" w:type="pct"/>
            <w:tcBorders>
              <w:top w:val="nil"/>
              <w:left w:val="nil"/>
              <w:bottom w:val="nil"/>
              <w:right w:val="nil"/>
            </w:tcBorders>
            <w:shd w:val="clear" w:color="auto" w:fill="auto"/>
            <w:noWrap/>
            <w:vAlign w:val="center"/>
            <w:hideMark/>
          </w:tcPr>
          <w:p w14:paraId="19B6D69C" w14:textId="4B8DD3DA"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32</w:t>
            </w:r>
          </w:p>
        </w:tc>
      </w:tr>
      <w:tr w:rsidR="00B21943" w:rsidRPr="00BD308F" w14:paraId="2CEEA94D" w14:textId="77777777" w:rsidTr="00BD308F">
        <w:trPr>
          <w:trHeight w:val="705"/>
          <w:jc w:val="center"/>
        </w:trPr>
        <w:tc>
          <w:tcPr>
            <w:tcW w:w="413" w:type="pct"/>
            <w:tcBorders>
              <w:top w:val="nil"/>
              <w:left w:val="nil"/>
              <w:bottom w:val="nil"/>
              <w:right w:val="nil"/>
            </w:tcBorders>
            <w:shd w:val="clear" w:color="auto" w:fill="auto"/>
            <w:noWrap/>
            <w:vAlign w:val="center"/>
            <w:hideMark/>
          </w:tcPr>
          <w:p w14:paraId="29F69EDD"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ھ2.7</w:t>
            </w:r>
          </w:p>
        </w:tc>
        <w:tc>
          <w:tcPr>
            <w:tcW w:w="2507" w:type="pct"/>
            <w:tcBorders>
              <w:top w:val="nil"/>
              <w:left w:val="nil"/>
              <w:bottom w:val="nil"/>
              <w:right w:val="nil"/>
            </w:tcBorders>
            <w:shd w:val="clear" w:color="auto" w:fill="auto"/>
            <w:vAlign w:val="center"/>
            <w:hideMark/>
          </w:tcPr>
          <w:p w14:paraId="7539585A"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منصات وأدوات الملكية الفكرية لنقل المعارف وتطويع التكنولوجيا ونشرها من البلدان المتقدمة إلى البلدان النامية، ولا سيما البلدان الأقل نموا، لمواجهة التحديات العالمية</w:t>
            </w:r>
          </w:p>
        </w:tc>
        <w:tc>
          <w:tcPr>
            <w:tcW w:w="684" w:type="pct"/>
            <w:tcBorders>
              <w:top w:val="nil"/>
              <w:left w:val="nil"/>
              <w:bottom w:val="nil"/>
              <w:right w:val="nil"/>
            </w:tcBorders>
            <w:shd w:val="clear" w:color="auto" w:fill="auto"/>
            <w:noWrap/>
            <w:vAlign w:val="center"/>
            <w:hideMark/>
          </w:tcPr>
          <w:p w14:paraId="33FF6D42" w14:textId="2F7FF211"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452</w:t>
            </w:r>
          </w:p>
        </w:tc>
        <w:tc>
          <w:tcPr>
            <w:tcW w:w="684" w:type="pct"/>
            <w:tcBorders>
              <w:top w:val="nil"/>
              <w:left w:val="nil"/>
              <w:bottom w:val="nil"/>
              <w:right w:val="nil"/>
            </w:tcBorders>
            <w:shd w:val="clear" w:color="auto" w:fill="auto"/>
            <w:noWrap/>
            <w:vAlign w:val="center"/>
            <w:hideMark/>
          </w:tcPr>
          <w:p w14:paraId="690F3A7E" w14:textId="03762E58"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456</w:t>
            </w:r>
          </w:p>
        </w:tc>
        <w:tc>
          <w:tcPr>
            <w:tcW w:w="712" w:type="pct"/>
            <w:tcBorders>
              <w:top w:val="nil"/>
              <w:left w:val="nil"/>
              <w:bottom w:val="nil"/>
              <w:right w:val="nil"/>
            </w:tcBorders>
            <w:shd w:val="clear" w:color="auto" w:fill="auto"/>
            <w:noWrap/>
            <w:vAlign w:val="center"/>
            <w:hideMark/>
          </w:tcPr>
          <w:p w14:paraId="0843D27D" w14:textId="123FDB63"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207</w:t>
            </w:r>
          </w:p>
        </w:tc>
      </w:tr>
      <w:tr w:rsidR="00B21943" w:rsidRPr="00BD308F" w14:paraId="766E6649" w14:textId="77777777" w:rsidTr="00BD308F">
        <w:trPr>
          <w:trHeight w:val="532"/>
          <w:jc w:val="center"/>
        </w:trPr>
        <w:tc>
          <w:tcPr>
            <w:tcW w:w="413" w:type="pct"/>
            <w:tcBorders>
              <w:top w:val="nil"/>
              <w:left w:val="nil"/>
              <w:bottom w:val="nil"/>
              <w:right w:val="nil"/>
            </w:tcBorders>
            <w:shd w:val="clear" w:color="auto" w:fill="auto"/>
            <w:noWrap/>
            <w:vAlign w:val="center"/>
            <w:hideMark/>
          </w:tcPr>
          <w:p w14:paraId="5AE1C909"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ھ1.8</w:t>
            </w:r>
          </w:p>
        </w:tc>
        <w:tc>
          <w:tcPr>
            <w:tcW w:w="2507" w:type="pct"/>
            <w:tcBorders>
              <w:top w:val="nil"/>
              <w:left w:val="nil"/>
              <w:bottom w:val="nil"/>
              <w:right w:val="nil"/>
            </w:tcBorders>
            <w:shd w:val="clear" w:color="auto" w:fill="auto"/>
            <w:vAlign w:val="center"/>
            <w:hideMark/>
          </w:tcPr>
          <w:p w14:paraId="22EA44D9"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التواصل بفعالية أكبر مع جمهور واسع بشأن الملكية الفكرية ودور الويبو</w:t>
            </w:r>
          </w:p>
        </w:tc>
        <w:tc>
          <w:tcPr>
            <w:tcW w:w="684" w:type="pct"/>
            <w:tcBorders>
              <w:top w:val="nil"/>
              <w:left w:val="nil"/>
              <w:bottom w:val="nil"/>
              <w:right w:val="nil"/>
            </w:tcBorders>
            <w:shd w:val="clear" w:color="auto" w:fill="auto"/>
            <w:noWrap/>
            <w:vAlign w:val="center"/>
            <w:hideMark/>
          </w:tcPr>
          <w:p w14:paraId="106005DD" w14:textId="682F79C1"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878</w:t>
            </w:r>
          </w:p>
        </w:tc>
        <w:tc>
          <w:tcPr>
            <w:tcW w:w="684" w:type="pct"/>
            <w:tcBorders>
              <w:top w:val="nil"/>
              <w:left w:val="nil"/>
              <w:bottom w:val="nil"/>
              <w:right w:val="nil"/>
            </w:tcBorders>
            <w:shd w:val="clear" w:color="auto" w:fill="auto"/>
            <w:noWrap/>
            <w:vAlign w:val="center"/>
            <w:hideMark/>
          </w:tcPr>
          <w:p w14:paraId="4ECD9845" w14:textId="101BC7EC"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1 521</w:t>
            </w:r>
          </w:p>
        </w:tc>
        <w:tc>
          <w:tcPr>
            <w:tcW w:w="712" w:type="pct"/>
            <w:tcBorders>
              <w:top w:val="nil"/>
              <w:left w:val="nil"/>
              <w:bottom w:val="nil"/>
              <w:right w:val="nil"/>
            </w:tcBorders>
            <w:shd w:val="clear" w:color="auto" w:fill="auto"/>
            <w:noWrap/>
            <w:vAlign w:val="center"/>
            <w:hideMark/>
          </w:tcPr>
          <w:p w14:paraId="4057769E" w14:textId="789188C0"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535</w:t>
            </w:r>
          </w:p>
        </w:tc>
      </w:tr>
      <w:tr w:rsidR="00B21943" w:rsidRPr="00BD308F" w14:paraId="5EAFFD5D" w14:textId="77777777" w:rsidTr="00BD308F">
        <w:trPr>
          <w:trHeight w:val="456"/>
          <w:jc w:val="center"/>
        </w:trPr>
        <w:tc>
          <w:tcPr>
            <w:tcW w:w="413" w:type="pct"/>
            <w:tcBorders>
              <w:top w:val="nil"/>
              <w:left w:val="nil"/>
              <w:bottom w:val="nil"/>
              <w:right w:val="nil"/>
            </w:tcBorders>
            <w:shd w:val="clear" w:color="auto" w:fill="auto"/>
            <w:noWrap/>
            <w:vAlign w:val="center"/>
            <w:hideMark/>
          </w:tcPr>
          <w:p w14:paraId="0456E507"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ھ2.8</w:t>
            </w:r>
          </w:p>
        </w:tc>
        <w:tc>
          <w:tcPr>
            <w:tcW w:w="2507" w:type="pct"/>
            <w:tcBorders>
              <w:top w:val="nil"/>
              <w:left w:val="nil"/>
              <w:bottom w:val="nil"/>
              <w:right w:val="nil"/>
            </w:tcBorders>
            <w:shd w:val="clear" w:color="auto" w:fill="auto"/>
            <w:vAlign w:val="center"/>
            <w:hideMark/>
          </w:tcPr>
          <w:p w14:paraId="149CDD3E"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توجّه أكبر نحو تقديم الخدمات واستجابة أفضل للاستفسارات</w:t>
            </w:r>
          </w:p>
        </w:tc>
        <w:tc>
          <w:tcPr>
            <w:tcW w:w="684" w:type="pct"/>
            <w:tcBorders>
              <w:top w:val="nil"/>
              <w:left w:val="nil"/>
              <w:bottom w:val="nil"/>
              <w:right w:val="nil"/>
            </w:tcBorders>
            <w:shd w:val="clear" w:color="auto" w:fill="auto"/>
            <w:noWrap/>
            <w:vAlign w:val="center"/>
            <w:hideMark/>
          </w:tcPr>
          <w:p w14:paraId="60E040A1" w14:textId="3E5F1160"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544</w:t>
            </w:r>
          </w:p>
        </w:tc>
        <w:tc>
          <w:tcPr>
            <w:tcW w:w="684" w:type="pct"/>
            <w:tcBorders>
              <w:top w:val="nil"/>
              <w:left w:val="nil"/>
              <w:bottom w:val="nil"/>
              <w:right w:val="nil"/>
            </w:tcBorders>
            <w:shd w:val="clear" w:color="auto" w:fill="auto"/>
            <w:noWrap/>
            <w:vAlign w:val="center"/>
            <w:hideMark/>
          </w:tcPr>
          <w:p w14:paraId="161C47AB" w14:textId="52E1FFCA"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486</w:t>
            </w:r>
          </w:p>
        </w:tc>
        <w:tc>
          <w:tcPr>
            <w:tcW w:w="712" w:type="pct"/>
            <w:tcBorders>
              <w:top w:val="nil"/>
              <w:left w:val="nil"/>
              <w:bottom w:val="nil"/>
              <w:right w:val="nil"/>
            </w:tcBorders>
            <w:shd w:val="clear" w:color="auto" w:fill="auto"/>
            <w:noWrap/>
            <w:vAlign w:val="center"/>
            <w:hideMark/>
          </w:tcPr>
          <w:p w14:paraId="55F6232B" w14:textId="0E1F159B"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190</w:t>
            </w:r>
          </w:p>
        </w:tc>
      </w:tr>
      <w:tr w:rsidR="00B21943" w:rsidRPr="00BD308F" w14:paraId="0ACE1B45" w14:textId="77777777" w:rsidTr="00BD308F">
        <w:trPr>
          <w:trHeight w:val="532"/>
          <w:jc w:val="center"/>
        </w:trPr>
        <w:tc>
          <w:tcPr>
            <w:tcW w:w="413" w:type="pct"/>
            <w:tcBorders>
              <w:top w:val="nil"/>
              <w:left w:val="nil"/>
              <w:bottom w:val="nil"/>
              <w:right w:val="nil"/>
            </w:tcBorders>
            <w:shd w:val="clear" w:color="auto" w:fill="auto"/>
            <w:noWrap/>
            <w:vAlign w:val="center"/>
            <w:hideMark/>
          </w:tcPr>
          <w:p w14:paraId="2097C356"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ھ4.8</w:t>
            </w:r>
          </w:p>
        </w:tc>
        <w:tc>
          <w:tcPr>
            <w:tcW w:w="2507" w:type="pct"/>
            <w:tcBorders>
              <w:top w:val="nil"/>
              <w:left w:val="nil"/>
              <w:bottom w:val="nil"/>
              <w:right w:val="nil"/>
            </w:tcBorders>
            <w:shd w:val="clear" w:color="auto" w:fill="auto"/>
            <w:vAlign w:val="center"/>
            <w:hideMark/>
          </w:tcPr>
          <w:p w14:paraId="792D78F4"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تفاعل منفتح وشفاف ومتجاوب مع أصحاب المصلحة غير الحكوميين</w:t>
            </w:r>
          </w:p>
        </w:tc>
        <w:tc>
          <w:tcPr>
            <w:tcW w:w="684" w:type="pct"/>
            <w:tcBorders>
              <w:top w:val="nil"/>
              <w:left w:val="nil"/>
              <w:bottom w:val="nil"/>
              <w:right w:val="nil"/>
            </w:tcBorders>
            <w:shd w:val="clear" w:color="auto" w:fill="auto"/>
            <w:noWrap/>
            <w:vAlign w:val="center"/>
            <w:hideMark/>
          </w:tcPr>
          <w:p w14:paraId="60862A1D" w14:textId="02486FEF"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666</w:t>
            </w:r>
          </w:p>
        </w:tc>
        <w:tc>
          <w:tcPr>
            <w:tcW w:w="684" w:type="pct"/>
            <w:tcBorders>
              <w:top w:val="nil"/>
              <w:left w:val="nil"/>
              <w:bottom w:val="nil"/>
              <w:right w:val="nil"/>
            </w:tcBorders>
            <w:shd w:val="clear" w:color="auto" w:fill="auto"/>
            <w:noWrap/>
            <w:vAlign w:val="center"/>
            <w:hideMark/>
          </w:tcPr>
          <w:p w14:paraId="160A95F2" w14:textId="459B3137"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207</w:t>
            </w:r>
          </w:p>
        </w:tc>
        <w:tc>
          <w:tcPr>
            <w:tcW w:w="712" w:type="pct"/>
            <w:tcBorders>
              <w:top w:val="nil"/>
              <w:left w:val="nil"/>
              <w:bottom w:val="nil"/>
              <w:right w:val="nil"/>
            </w:tcBorders>
            <w:shd w:val="clear" w:color="auto" w:fill="auto"/>
            <w:noWrap/>
            <w:vAlign w:val="center"/>
            <w:hideMark/>
          </w:tcPr>
          <w:p w14:paraId="2F271E9C" w14:textId="5CB638EA"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87</w:t>
            </w:r>
          </w:p>
        </w:tc>
      </w:tr>
      <w:tr w:rsidR="00B21943" w:rsidRPr="00BD308F" w14:paraId="54C11A3A" w14:textId="77777777" w:rsidTr="00BD308F">
        <w:trPr>
          <w:trHeight w:val="426"/>
          <w:jc w:val="center"/>
        </w:trPr>
        <w:tc>
          <w:tcPr>
            <w:tcW w:w="413" w:type="pct"/>
            <w:tcBorders>
              <w:top w:val="nil"/>
              <w:left w:val="nil"/>
              <w:bottom w:val="nil"/>
              <w:right w:val="nil"/>
            </w:tcBorders>
            <w:shd w:val="clear" w:color="auto" w:fill="auto"/>
            <w:noWrap/>
            <w:vAlign w:val="center"/>
            <w:hideMark/>
          </w:tcPr>
          <w:p w14:paraId="1FF8DC51"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ھ5.8</w:t>
            </w:r>
          </w:p>
        </w:tc>
        <w:tc>
          <w:tcPr>
            <w:tcW w:w="2507" w:type="pct"/>
            <w:tcBorders>
              <w:top w:val="nil"/>
              <w:left w:val="nil"/>
              <w:bottom w:val="nil"/>
              <w:right w:val="nil"/>
            </w:tcBorders>
            <w:shd w:val="clear" w:color="auto" w:fill="auto"/>
            <w:vAlign w:val="center"/>
            <w:hideMark/>
          </w:tcPr>
          <w:p w14:paraId="2928D662"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684" w:type="pct"/>
            <w:tcBorders>
              <w:top w:val="nil"/>
              <w:left w:val="nil"/>
              <w:bottom w:val="nil"/>
              <w:right w:val="nil"/>
            </w:tcBorders>
            <w:shd w:val="clear" w:color="auto" w:fill="auto"/>
            <w:noWrap/>
            <w:vAlign w:val="center"/>
            <w:hideMark/>
          </w:tcPr>
          <w:p w14:paraId="1EB547F8" w14:textId="2486AA09"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4 152</w:t>
            </w:r>
          </w:p>
        </w:tc>
        <w:tc>
          <w:tcPr>
            <w:tcW w:w="684" w:type="pct"/>
            <w:tcBorders>
              <w:top w:val="nil"/>
              <w:left w:val="nil"/>
              <w:bottom w:val="nil"/>
              <w:right w:val="nil"/>
            </w:tcBorders>
            <w:shd w:val="clear" w:color="auto" w:fill="auto"/>
            <w:noWrap/>
            <w:vAlign w:val="center"/>
            <w:hideMark/>
          </w:tcPr>
          <w:p w14:paraId="2B96AAD2" w14:textId="0ED4AAF8"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4 098</w:t>
            </w:r>
          </w:p>
        </w:tc>
        <w:tc>
          <w:tcPr>
            <w:tcW w:w="712" w:type="pct"/>
            <w:tcBorders>
              <w:top w:val="nil"/>
              <w:left w:val="nil"/>
              <w:bottom w:val="nil"/>
              <w:right w:val="nil"/>
            </w:tcBorders>
            <w:shd w:val="clear" w:color="auto" w:fill="auto"/>
            <w:noWrap/>
            <w:vAlign w:val="center"/>
            <w:hideMark/>
          </w:tcPr>
          <w:p w14:paraId="4E23F6D5" w14:textId="7EEED7FF"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1 862</w:t>
            </w:r>
          </w:p>
        </w:tc>
      </w:tr>
      <w:tr w:rsidR="00B21943" w:rsidRPr="00BD308F" w14:paraId="19ADC60E" w14:textId="77777777" w:rsidTr="00BD308F">
        <w:trPr>
          <w:trHeight w:val="716"/>
          <w:jc w:val="center"/>
        </w:trPr>
        <w:tc>
          <w:tcPr>
            <w:tcW w:w="413" w:type="pct"/>
            <w:tcBorders>
              <w:top w:val="nil"/>
              <w:left w:val="nil"/>
              <w:bottom w:val="nil"/>
              <w:right w:val="nil"/>
            </w:tcBorders>
            <w:shd w:val="clear" w:color="auto" w:fill="auto"/>
            <w:noWrap/>
            <w:vAlign w:val="center"/>
            <w:hideMark/>
          </w:tcPr>
          <w:p w14:paraId="0F17FC8A"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ھ1.9</w:t>
            </w:r>
          </w:p>
        </w:tc>
        <w:tc>
          <w:tcPr>
            <w:tcW w:w="2507" w:type="pct"/>
            <w:tcBorders>
              <w:top w:val="nil"/>
              <w:left w:val="nil"/>
              <w:bottom w:val="nil"/>
              <w:right w:val="nil"/>
            </w:tcBorders>
            <w:shd w:val="clear" w:color="auto" w:fill="auto"/>
            <w:vAlign w:val="center"/>
            <w:hideMark/>
          </w:tcPr>
          <w:p w14:paraId="263FE8F7" w14:textId="5E9323B4" w:rsidR="00B21943" w:rsidRPr="00BD308F" w:rsidRDefault="00B21943" w:rsidP="002920A9">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خدمات دعم موجهة للزبون بفعالية وكف</w:t>
            </w:r>
            <w:r w:rsidR="002920A9">
              <w:rPr>
                <w:rFonts w:ascii="Arabic Typesetting" w:hAnsi="Arabic Typesetting" w:cs="Arabic Typesetting"/>
                <w:sz w:val="28"/>
                <w:szCs w:val="28"/>
                <w:rtl/>
              </w:rPr>
              <w:t>اءة وجودة لفائدة الزبائن الداخل</w:t>
            </w:r>
            <w:r w:rsidR="002920A9">
              <w:rPr>
                <w:rFonts w:ascii="Arabic Typesetting" w:hAnsi="Arabic Typesetting" w:cs="Arabic Typesetting" w:hint="cs"/>
                <w:sz w:val="28"/>
                <w:szCs w:val="28"/>
                <w:rtl/>
              </w:rPr>
              <w:t>يي</w:t>
            </w:r>
            <w:r w:rsidRPr="00BD308F">
              <w:rPr>
                <w:rFonts w:ascii="Arabic Typesetting" w:hAnsi="Arabic Typesetting" w:cs="Arabic Typesetting"/>
                <w:sz w:val="28"/>
                <w:szCs w:val="28"/>
                <w:rtl/>
              </w:rPr>
              <w:t>ن وأصحاب المصلحة الخارجيين</w:t>
            </w:r>
          </w:p>
        </w:tc>
        <w:tc>
          <w:tcPr>
            <w:tcW w:w="684" w:type="pct"/>
            <w:tcBorders>
              <w:top w:val="nil"/>
              <w:left w:val="nil"/>
              <w:bottom w:val="nil"/>
              <w:right w:val="nil"/>
            </w:tcBorders>
            <w:shd w:val="clear" w:color="auto" w:fill="auto"/>
            <w:noWrap/>
            <w:vAlign w:val="center"/>
            <w:hideMark/>
          </w:tcPr>
          <w:p w14:paraId="7CD9135C" w14:textId="4F643315"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311</w:t>
            </w:r>
          </w:p>
        </w:tc>
        <w:tc>
          <w:tcPr>
            <w:tcW w:w="684" w:type="pct"/>
            <w:tcBorders>
              <w:top w:val="nil"/>
              <w:left w:val="nil"/>
              <w:bottom w:val="nil"/>
              <w:right w:val="nil"/>
            </w:tcBorders>
            <w:shd w:val="clear" w:color="auto" w:fill="auto"/>
            <w:noWrap/>
            <w:vAlign w:val="center"/>
            <w:hideMark/>
          </w:tcPr>
          <w:p w14:paraId="2EC8A323" w14:textId="2FBEE85E"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132</w:t>
            </w:r>
          </w:p>
        </w:tc>
        <w:tc>
          <w:tcPr>
            <w:tcW w:w="712" w:type="pct"/>
            <w:tcBorders>
              <w:top w:val="nil"/>
              <w:left w:val="nil"/>
              <w:bottom w:val="nil"/>
              <w:right w:val="nil"/>
            </w:tcBorders>
            <w:shd w:val="clear" w:color="auto" w:fill="auto"/>
            <w:noWrap/>
            <w:vAlign w:val="center"/>
            <w:hideMark/>
          </w:tcPr>
          <w:p w14:paraId="62275326" w14:textId="79541A12"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38</w:t>
            </w:r>
          </w:p>
        </w:tc>
      </w:tr>
      <w:tr w:rsidR="00B21943" w:rsidRPr="00BD308F" w14:paraId="20A6F25E" w14:textId="77777777" w:rsidTr="00BD308F">
        <w:trPr>
          <w:trHeight w:val="225"/>
          <w:jc w:val="center"/>
        </w:trPr>
        <w:tc>
          <w:tcPr>
            <w:tcW w:w="413" w:type="pct"/>
            <w:tcBorders>
              <w:top w:val="nil"/>
              <w:left w:val="nil"/>
              <w:bottom w:val="nil"/>
              <w:right w:val="nil"/>
            </w:tcBorders>
            <w:shd w:val="clear" w:color="auto" w:fill="C6D9F1"/>
            <w:noWrap/>
            <w:vAlign w:val="bottom"/>
            <w:hideMark/>
          </w:tcPr>
          <w:p w14:paraId="3A93B41E" w14:textId="77777777" w:rsidR="00B21943" w:rsidRPr="00BD308F" w:rsidRDefault="00B21943" w:rsidP="00B21943">
            <w:pPr>
              <w:bidi/>
              <w:spacing w:before="60" w:after="60" w:line="280" w:lineRule="exact"/>
              <w:rPr>
                <w:rFonts w:ascii="Arabic Typesetting" w:hAnsi="Arabic Typesetting" w:cs="Arabic Typesetting"/>
                <w:sz w:val="28"/>
                <w:szCs w:val="28"/>
                <w:rtl/>
              </w:rPr>
            </w:pPr>
            <w:r w:rsidRPr="00BD308F">
              <w:rPr>
                <w:rFonts w:ascii="Arabic Typesetting" w:hAnsi="Arabic Typesetting" w:cs="Arabic Typesetting"/>
                <w:sz w:val="28"/>
                <w:szCs w:val="28"/>
                <w:rtl/>
              </w:rPr>
              <w:t> </w:t>
            </w:r>
          </w:p>
        </w:tc>
        <w:tc>
          <w:tcPr>
            <w:tcW w:w="2507" w:type="pct"/>
            <w:tcBorders>
              <w:top w:val="nil"/>
              <w:left w:val="nil"/>
              <w:bottom w:val="nil"/>
              <w:right w:val="nil"/>
            </w:tcBorders>
            <w:shd w:val="clear" w:color="auto" w:fill="C6D9F1"/>
            <w:noWrap/>
            <w:vAlign w:val="bottom"/>
            <w:hideMark/>
          </w:tcPr>
          <w:p w14:paraId="4F71C31B" w14:textId="77777777" w:rsidR="00B21943" w:rsidRPr="00BD308F" w:rsidRDefault="00B21943" w:rsidP="00B21943">
            <w:pPr>
              <w:bidi/>
              <w:spacing w:before="60" w:after="60" w:line="280" w:lineRule="exact"/>
              <w:jc w:val="right"/>
              <w:rPr>
                <w:rFonts w:ascii="Arabic Typesetting" w:hAnsi="Arabic Typesetting" w:cs="Arabic Typesetting"/>
                <w:b/>
                <w:bCs/>
                <w:sz w:val="28"/>
                <w:szCs w:val="28"/>
                <w:rtl/>
              </w:rPr>
            </w:pPr>
            <w:r w:rsidRPr="00BD308F">
              <w:rPr>
                <w:rFonts w:ascii="Arabic Typesetting" w:hAnsi="Arabic Typesetting" w:cs="Arabic Typesetting"/>
                <w:b/>
                <w:bCs/>
                <w:sz w:val="28"/>
                <w:szCs w:val="28"/>
                <w:rtl/>
              </w:rPr>
              <w:t>المجموع</w:t>
            </w:r>
          </w:p>
        </w:tc>
        <w:tc>
          <w:tcPr>
            <w:tcW w:w="684" w:type="pct"/>
            <w:tcBorders>
              <w:top w:val="nil"/>
              <w:left w:val="nil"/>
              <w:bottom w:val="nil"/>
              <w:right w:val="nil"/>
            </w:tcBorders>
            <w:shd w:val="clear" w:color="auto" w:fill="C6D9F1"/>
            <w:noWrap/>
            <w:vAlign w:val="center"/>
            <w:hideMark/>
          </w:tcPr>
          <w:p w14:paraId="5A56C557" w14:textId="1B4FBC2F" w:rsidR="00B21943" w:rsidRPr="00280D1A" w:rsidRDefault="00B21943" w:rsidP="00B21943">
            <w:pPr>
              <w:bidi/>
              <w:spacing w:before="60" w:after="60" w:line="280" w:lineRule="exact"/>
              <w:jc w:val="center"/>
              <w:rPr>
                <w:rFonts w:ascii="Arabic Typesetting" w:hAnsi="Arabic Typesetting" w:cs="Arabic Typesetting"/>
                <w:b/>
                <w:bCs/>
                <w:color w:val="000000"/>
                <w:sz w:val="28"/>
                <w:szCs w:val="28"/>
                <w:rtl/>
              </w:rPr>
            </w:pPr>
            <w:r w:rsidRPr="00280D1A">
              <w:rPr>
                <w:rFonts w:ascii="Arabic Typesetting" w:hAnsi="Arabic Typesetting" w:cs="Arabic Typesetting"/>
                <w:b/>
                <w:bCs/>
                <w:color w:val="000000"/>
                <w:sz w:val="28"/>
                <w:szCs w:val="28"/>
              </w:rPr>
              <w:t>12 395</w:t>
            </w:r>
          </w:p>
        </w:tc>
        <w:tc>
          <w:tcPr>
            <w:tcW w:w="684" w:type="pct"/>
            <w:tcBorders>
              <w:top w:val="nil"/>
              <w:left w:val="nil"/>
              <w:bottom w:val="nil"/>
              <w:right w:val="nil"/>
            </w:tcBorders>
            <w:shd w:val="clear" w:color="auto" w:fill="C6D9F1"/>
            <w:noWrap/>
            <w:vAlign w:val="center"/>
            <w:hideMark/>
          </w:tcPr>
          <w:p w14:paraId="4DDD6EF9" w14:textId="2023D211" w:rsidR="00B21943" w:rsidRPr="00280D1A" w:rsidRDefault="00B21943" w:rsidP="00B21943">
            <w:pPr>
              <w:bidi/>
              <w:spacing w:before="60" w:after="60" w:line="280" w:lineRule="exact"/>
              <w:jc w:val="center"/>
              <w:rPr>
                <w:rFonts w:ascii="Arabic Typesetting" w:hAnsi="Arabic Typesetting" w:cs="Arabic Typesetting"/>
                <w:b/>
                <w:bCs/>
                <w:color w:val="000000"/>
                <w:sz w:val="28"/>
                <w:szCs w:val="28"/>
                <w:rtl/>
              </w:rPr>
            </w:pPr>
            <w:r w:rsidRPr="00280D1A">
              <w:rPr>
                <w:rFonts w:ascii="Arabic Typesetting" w:hAnsi="Arabic Typesetting" w:cs="Arabic Typesetting"/>
                <w:b/>
                <w:bCs/>
                <w:color w:val="000000"/>
                <w:sz w:val="28"/>
                <w:szCs w:val="28"/>
              </w:rPr>
              <w:t>12 178</w:t>
            </w:r>
          </w:p>
        </w:tc>
        <w:tc>
          <w:tcPr>
            <w:tcW w:w="712" w:type="pct"/>
            <w:tcBorders>
              <w:top w:val="nil"/>
              <w:left w:val="nil"/>
              <w:bottom w:val="nil"/>
              <w:right w:val="nil"/>
            </w:tcBorders>
            <w:shd w:val="clear" w:color="auto" w:fill="C6D9F1"/>
            <w:noWrap/>
            <w:vAlign w:val="center"/>
            <w:hideMark/>
          </w:tcPr>
          <w:p w14:paraId="42F73487" w14:textId="10570F8C" w:rsidR="00B21943" w:rsidRPr="00280D1A" w:rsidRDefault="00B21943" w:rsidP="00B21943">
            <w:pPr>
              <w:bidi/>
              <w:spacing w:before="60" w:after="60" w:line="280" w:lineRule="exact"/>
              <w:jc w:val="center"/>
              <w:rPr>
                <w:rFonts w:ascii="Arabic Typesetting" w:hAnsi="Arabic Typesetting" w:cs="Arabic Typesetting"/>
                <w:b/>
                <w:bCs/>
                <w:color w:val="000000"/>
                <w:sz w:val="28"/>
                <w:szCs w:val="28"/>
                <w:rtl/>
              </w:rPr>
            </w:pPr>
            <w:r w:rsidRPr="00280D1A">
              <w:rPr>
                <w:rFonts w:ascii="Arabic Typesetting" w:hAnsi="Arabic Typesetting" w:cs="Arabic Typesetting"/>
                <w:b/>
                <w:bCs/>
                <w:color w:val="000000"/>
                <w:sz w:val="28"/>
                <w:szCs w:val="28"/>
              </w:rPr>
              <w:t>5 177</w:t>
            </w:r>
          </w:p>
        </w:tc>
      </w:tr>
      <w:tr w:rsidR="00BD308F" w:rsidRPr="00BD308F" w14:paraId="07376661" w14:textId="77777777" w:rsidTr="00BD308F">
        <w:trPr>
          <w:trHeight w:val="330"/>
          <w:jc w:val="center"/>
        </w:trPr>
        <w:tc>
          <w:tcPr>
            <w:tcW w:w="4288" w:type="pct"/>
            <w:gridSpan w:val="4"/>
            <w:tcBorders>
              <w:top w:val="nil"/>
              <w:left w:val="nil"/>
              <w:bottom w:val="nil"/>
              <w:right w:val="nil"/>
            </w:tcBorders>
            <w:shd w:val="clear" w:color="auto" w:fill="auto"/>
            <w:noWrap/>
            <w:vAlign w:val="center"/>
            <w:hideMark/>
          </w:tcPr>
          <w:p w14:paraId="3FACB306" w14:textId="0AE43534" w:rsidR="00BD308F" w:rsidRPr="00BD308F" w:rsidRDefault="00BD308F" w:rsidP="00574A27">
            <w:pPr>
              <w:keepLines/>
              <w:bidi/>
              <w:spacing w:before="60" w:after="60" w:line="280" w:lineRule="exact"/>
              <w:rPr>
                <w:rFonts w:ascii="Arabic Typesetting" w:hAnsi="Arabic Typesetting" w:cs="Arabic Typesetting"/>
                <w:i/>
                <w:iCs/>
                <w:sz w:val="28"/>
                <w:szCs w:val="28"/>
                <w:rtl/>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c>
          <w:tcPr>
            <w:tcW w:w="712" w:type="pct"/>
            <w:tcBorders>
              <w:top w:val="nil"/>
              <w:left w:val="nil"/>
              <w:bottom w:val="nil"/>
              <w:right w:val="nil"/>
            </w:tcBorders>
            <w:shd w:val="clear" w:color="auto" w:fill="auto"/>
            <w:noWrap/>
            <w:vAlign w:val="center"/>
            <w:hideMark/>
          </w:tcPr>
          <w:p w14:paraId="5F5CD3D4" w14:textId="77777777" w:rsidR="00BD308F" w:rsidRPr="00BD308F" w:rsidRDefault="00BD308F" w:rsidP="00574A27">
            <w:pPr>
              <w:keepLines/>
              <w:bidi/>
              <w:spacing w:before="60" w:after="60" w:line="280" w:lineRule="exact"/>
              <w:rPr>
                <w:rFonts w:ascii="Arabic Typesetting" w:hAnsi="Arabic Typesetting" w:cs="Arabic Typesetting"/>
                <w:sz w:val="28"/>
                <w:szCs w:val="28"/>
              </w:rPr>
            </w:pPr>
          </w:p>
        </w:tc>
      </w:tr>
    </w:tbl>
    <w:p w14:paraId="71554620" w14:textId="77777777" w:rsidR="00BD308F" w:rsidRPr="00252762" w:rsidRDefault="00BD308F" w:rsidP="00BD308F">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14:paraId="6F702213" w14:textId="77777777" w:rsidR="00BD308F" w:rsidRPr="00DF1D8A" w:rsidRDefault="00BD308F" w:rsidP="00BD308F">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8120" w:type="dxa"/>
        <w:jc w:val="center"/>
        <w:tblLook w:val="04A0" w:firstRow="1" w:lastRow="0" w:firstColumn="1" w:lastColumn="0" w:noHBand="0" w:noVBand="1"/>
      </w:tblPr>
      <w:tblGrid>
        <w:gridCol w:w="2440"/>
        <w:gridCol w:w="1420"/>
        <w:gridCol w:w="1420"/>
        <w:gridCol w:w="1420"/>
        <w:gridCol w:w="1420"/>
      </w:tblGrid>
      <w:tr w:rsidR="00BD308F" w:rsidRPr="008E492F" w14:paraId="7EC55251" w14:textId="77777777" w:rsidTr="00574A27">
        <w:trPr>
          <w:trHeight w:val="685"/>
          <w:jc w:val="center"/>
        </w:trPr>
        <w:tc>
          <w:tcPr>
            <w:tcW w:w="2440" w:type="dxa"/>
            <w:tcBorders>
              <w:top w:val="nil"/>
              <w:left w:val="nil"/>
              <w:bottom w:val="nil"/>
              <w:right w:val="nil"/>
            </w:tcBorders>
            <w:shd w:val="clear" w:color="000000" w:fill="C5D9F1"/>
            <w:noWrap/>
            <w:vAlign w:val="center"/>
            <w:hideMark/>
          </w:tcPr>
          <w:p w14:paraId="17B5A8F5" w14:textId="789EDF16" w:rsidR="00BD308F" w:rsidRPr="008E492F" w:rsidRDefault="00BD308F" w:rsidP="00574A27">
            <w:pPr>
              <w:bidi/>
              <w:spacing w:before="60" w:after="60" w:line="280" w:lineRule="exact"/>
              <w:rPr>
                <w:rFonts w:ascii="Arabic Typesetting" w:hAnsi="Arabic Typesetting" w:cs="Arabic Typesetting"/>
                <w:color w:val="000000"/>
                <w:sz w:val="28"/>
                <w:szCs w:val="28"/>
                <w:rtl/>
              </w:rPr>
            </w:pPr>
          </w:p>
        </w:tc>
        <w:tc>
          <w:tcPr>
            <w:tcW w:w="1420" w:type="dxa"/>
            <w:tcBorders>
              <w:top w:val="nil"/>
              <w:left w:val="nil"/>
              <w:bottom w:val="nil"/>
              <w:right w:val="nil"/>
            </w:tcBorders>
            <w:shd w:val="clear" w:color="000000" w:fill="C5D9F1"/>
            <w:vAlign w:val="center"/>
            <w:hideMark/>
          </w:tcPr>
          <w:p w14:paraId="2F1F7182" w14:textId="3C8558E1" w:rsidR="00BD308F" w:rsidRPr="008E492F" w:rsidRDefault="00BD308F" w:rsidP="00574A27">
            <w:pPr>
              <w:bidi/>
              <w:spacing w:before="60" w:after="60" w:line="280" w:lineRule="exact"/>
              <w:jc w:val="center"/>
              <w:rPr>
                <w:rFonts w:ascii="Arabic Typesetting" w:hAnsi="Arabic Typesetting" w:cs="Arabic Typesetting"/>
                <w:b/>
                <w:bCs/>
                <w:color w:val="000000"/>
                <w:sz w:val="28"/>
                <w:szCs w:val="28"/>
                <w:rtl/>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1420" w:type="dxa"/>
            <w:tcBorders>
              <w:top w:val="nil"/>
              <w:left w:val="nil"/>
              <w:bottom w:val="nil"/>
              <w:right w:val="nil"/>
            </w:tcBorders>
            <w:shd w:val="clear" w:color="000000" w:fill="C5D9F1"/>
            <w:vAlign w:val="center"/>
            <w:hideMark/>
          </w:tcPr>
          <w:p w14:paraId="64524C09" w14:textId="019D0E32" w:rsidR="00BD308F" w:rsidRPr="008E492F" w:rsidRDefault="00BD308F" w:rsidP="00574A27">
            <w:pPr>
              <w:bidi/>
              <w:spacing w:before="60" w:after="60" w:line="280" w:lineRule="exact"/>
              <w:jc w:val="center"/>
              <w:rPr>
                <w:rFonts w:ascii="Arabic Typesetting" w:hAnsi="Arabic Typesetting" w:cs="Arabic Typesetting"/>
                <w:b/>
                <w:bCs/>
                <w:color w:val="000000"/>
                <w:sz w:val="28"/>
                <w:szCs w:val="28"/>
                <w:rtl/>
              </w:rPr>
            </w:pPr>
            <w:r>
              <w:rPr>
                <w:rFonts w:ascii="Arabic Typesetting" w:hAnsi="Arabic Typesetting" w:cs="Arabic Typesetting" w:hint="cs"/>
                <w:b/>
                <w:bCs/>
                <w:i/>
                <w:iCs/>
                <w:sz w:val="28"/>
                <w:szCs w:val="28"/>
                <w:rtl/>
              </w:rPr>
              <w:t>ميزانية 2016/17 بعد التحويلات</w:t>
            </w:r>
          </w:p>
        </w:tc>
        <w:tc>
          <w:tcPr>
            <w:tcW w:w="1420" w:type="dxa"/>
            <w:tcBorders>
              <w:top w:val="nil"/>
              <w:left w:val="nil"/>
              <w:bottom w:val="nil"/>
              <w:right w:val="nil"/>
            </w:tcBorders>
            <w:shd w:val="clear" w:color="000000" w:fill="C5D9F1"/>
            <w:vAlign w:val="center"/>
            <w:hideMark/>
          </w:tcPr>
          <w:p w14:paraId="443BDDDF" w14:textId="1C4A1A87" w:rsidR="00BD308F" w:rsidRPr="008E492F" w:rsidRDefault="00BD308F" w:rsidP="00574A27">
            <w:pPr>
              <w:bidi/>
              <w:spacing w:before="60" w:after="60" w:line="280" w:lineRule="exact"/>
              <w:jc w:val="center"/>
              <w:rPr>
                <w:rFonts w:ascii="Arabic Typesetting" w:hAnsi="Arabic Typesetting" w:cs="Arabic Typesetting"/>
                <w:b/>
                <w:bCs/>
                <w:color w:val="000000"/>
                <w:sz w:val="28"/>
                <w:szCs w:val="28"/>
                <w:rtl/>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1420" w:type="dxa"/>
            <w:tcBorders>
              <w:top w:val="nil"/>
              <w:left w:val="nil"/>
              <w:bottom w:val="nil"/>
              <w:right w:val="nil"/>
            </w:tcBorders>
            <w:shd w:val="clear" w:color="000000" w:fill="C5D9F1"/>
            <w:vAlign w:val="center"/>
            <w:hideMark/>
          </w:tcPr>
          <w:p w14:paraId="47BB7D5E" w14:textId="2C2E8904" w:rsidR="00BD308F" w:rsidRPr="008E492F" w:rsidRDefault="00BD308F" w:rsidP="00574A27">
            <w:pPr>
              <w:bidi/>
              <w:spacing w:before="60" w:after="60" w:line="280" w:lineRule="exact"/>
              <w:jc w:val="center"/>
              <w:rPr>
                <w:rFonts w:ascii="Arabic Typesetting" w:hAnsi="Arabic Typesetting" w:cs="Arabic Typesetting"/>
                <w:b/>
                <w:bCs/>
                <w:color w:val="000000"/>
                <w:sz w:val="28"/>
                <w:szCs w:val="28"/>
                <w:rtl/>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21943" w:rsidRPr="008E492F" w14:paraId="7C8DA2D9" w14:textId="77777777" w:rsidTr="00574A27">
        <w:trPr>
          <w:trHeight w:val="315"/>
          <w:jc w:val="center"/>
        </w:trPr>
        <w:tc>
          <w:tcPr>
            <w:tcW w:w="2440" w:type="dxa"/>
            <w:tcBorders>
              <w:top w:val="nil"/>
              <w:left w:val="nil"/>
              <w:bottom w:val="nil"/>
              <w:right w:val="nil"/>
            </w:tcBorders>
            <w:shd w:val="clear" w:color="auto" w:fill="auto"/>
            <w:noWrap/>
            <w:vAlign w:val="center"/>
            <w:hideMark/>
          </w:tcPr>
          <w:p w14:paraId="72F3DF17" w14:textId="466D7A2E" w:rsidR="00B21943" w:rsidRPr="008E492F" w:rsidRDefault="00B21943" w:rsidP="00B21943">
            <w:pPr>
              <w:bidi/>
              <w:spacing w:before="60" w:after="60" w:line="280" w:lineRule="exact"/>
              <w:rPr>
                <w:rFonts w:ascii="Arabic Typesetting" w:hAnsi="Arabic Typesetting" w:cs="Arabic Typesetting"/>
                <w:color w:val="000000"/>
                <w:sz w:val="28"/>
                <w:szCs w:val="28"/>
                <w:rtl/>
              </w:rPr>
            </w:pPr>
            <w:r w:rsidRPr="00211D55">
              <w:rPr>
                <w:rFonts w:ascii="Arabic Typesetting" w:hAnsi="Arabic Typesetting" w:cs="Arabic Typesetting"/>
                <w:sz w:val="28"/>
                <w:szCs w:val="28"/>
                <w:rtl/>
              </w:rPr>
              <w:t>موارد الموظفين</w:t>
            </w:r>
          </w:p>
        </w:tc>
        <w:tc>
          <w:tcPr>
            <w:tcW w:w="1420" w:type="dxa"/>
            <w:tcBorders>
              <w:top w:val="nil"/>
              <w:left w:val="nil"/>
              <w:bottom w:val="nil"/>
              <w:right w:val="nil"/>
            </w:tcBorders>
            <w:shd w:val="clear" w:color="auto" w:fill="auto"/>
            <w:vAlign w:val="center"/>
            <w:hideMark/>
          </w:tcPr>
          <w:p w14:paraId="10C26454" w14:textId="21B819E9"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 xml:space="preserve">9 525 </w:t>
            </w:r>
          </w:p>
        </w:tc>
        <w:tc>
          <w:tcPr>
            <w:tcW w:w="1420" w:type="dxa"/>
            <w:tcBorders>
              <w:top w:val="nil"/>
              <w:left w:val="nil"/>
              <w:bottom w:val="nil"/>
              <w:right w:val="nil"/>
            </w:tcBorders>
            <w:shd w:val="clear" w:color="auto" w:fill="auto"/>
            <w:vAlign w:val="center"/>
            <w:hideMark/>
          </w:tcPr>
          <w:p w14:paraId="0C8F9E72" w14:textId="63EC95F0"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 xml:space="preserve">9 102 </w:t>
            </w:r>
          </w:p>
        </w:tc>
        <w:tc>
          <w:tcPr>
            <w:tcW w:w="1420" w:type="dxa"/>
            <w:tcBorders>
              <w:top w:val="nil"/>
              <w:left w:val="nil"/>
              <w:bottom w:val="nil"/>
              <w:right w:val="nil"/>
            </w:tcBorders>
            <w:shd w:val="clear" w:color="auto" w:fill="auto"/>
            <w:vAlign w:val="center"/>
            <w:hideMark/>
          </w:tcPr>
          <w:p w14:paraId="7CBE2A2A" w14:textId="48B08F5B"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 xml:space="preserve">3 895 </w:t>
            </w:r>
          </w:p>
        </w:tc>
        <w:tc>
          <w:tcPr>
            <w:tcW w:w="1420" w:type="dxa"/>
            <w:tcBorders>
              <w:top w:val="nil"/>
              <w:left w:val="nil"/>
              <w:bottom w:val="nil"/>
              <w:right w:val="nil"/>
            </w:tcBorders>
            <w:shd w:val="clear" w:color="auto" w:fill="auto"/>
            <w:vAlign w:val="center"/>
            <w:hideMark/>
          </w:tcPr>
          <w:p w14:paraId="26649AA6" w14:textId="15D71457"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%43</w:t>
            </w:r>
          </w:p>
        </w:tc>
      </w:tr>
      <w:tr w:rsidR="00B21943" w:rsidRPr="008E492F" w14:paraId="3EB5B494" w14:textId="77777777" w:rsidTr="00574A27">
        <w:trPr>
          <w:trHeight w:val="315"/>
          <w:jc w:val="center"/>
        </w:trPr>
        <w:tc>
          <w:tcPr>
            <w:tcW w:w="2440" w:type="dxa"/>
            <w:tcBorders>
              <w:top w:val="nil"/>
              <w:left w:val="nil"/>
              <w:bottom w:val="nil"/>
              <w:right w:val="nil"/>
            </w:tcBorders>
            <w:shd w:val="clear" w:color="auto" w:fill="auto"/>
            <w:noWrap/>
            <w:vAlign w:val="center"/>
            <w:hideMark/>
          </w:tcPr>
          <w:p w14:paraId="60AD6926" w14:textId="01D6E1F0" w:rsidR="00B21943" w:rsidRPr="008E492F" w:rsidRDefault="00B21943" w:rsidP="00B21943">
            <w:pPr>
              <w:bidi/>
              <w:spacing w:before="60" w:after="60" w:line="280" w:lineRule="exact"/>
              <w:rPr>
                <w:rFonts w:ascii="Arabic Typesetting" w:hAnsi="Arabic Typesetting" w:cs="Arabic Typesetting"/>
                <w:color w:val="000000"/>
                <w:sz w:val="28"/>
                <w:szCs w:val="28"/>
                <w:rtl/>
              </w:rPr>
            </w:pPr>
            <w:r w:rsidRPr="00211D55">
              <w:rPr>
                <w:rFonts w:ascii="Arabic Typesetting" w:hAnsi="Arabic Typesetting" w:cs="Arabic Typesetting"/>
                <w:sz w:val="28"/>
                <w:szCs w:val="28"/>
                <w:rtl/>
              </w:rPr>
              <w:t>خلاف موارد الموظفين</w:t>
            </w:r>
          </w:p>
        </w:tc>
        <w:tc>
          <w:tcPr>
            <w:tcW w:w="1420" w:type="dxa"/>
            <w:tcBorders>
              <w:top w:val="nil"/>
              <w:left w:val="nil"/>
              <w:bottom w:val="nil"/>
              <w:right w:val="nil"/>
            </w:tcBorders>
            <w:shd w:val="clear" w:color="auto" w:fill="auto"/>
            <w:vAlign w:val="center"/>
            <w:hideMark/>
          </w:tcPr>
          <w:p w14:paraId="77A7BC7B" w14:textId="70EF04EB"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 xml:space="preserve">2 869 </w:t>
            </w:r>
          </w:p>
        </w:tc>
        <w:tc>
          <w:tcPr>
            <w:tcW w:w="1420" w:type="dxa"/>
            <w:tcBorders>
              <w:top w:val="nil"/>
              <w:left w:val="nil"/>
              <w:bottom w:val="nil"/>
              <w:right w:val="nil"/>
            </w:tcBorders>
            <w:shd w:val="clear" w:color="auto" w:fill="auto"/>
            <w:vAlign w:val="center"/>
            <w:hideMark/>
          </w:tcPr>
          <w:p w14:paraId="78F6A72D" w14:textId="76D58CC4"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 xml:space="preserve">3 077 </w:t>
            </w:r>
          </w:p>
        </w:tc>
        <w:tc>
          <w:tcPr>
            <w:tcW w:w="1420" w:type="dxa"/>
            <w:tcBorders>
              <w:top w:val="nil"/>
              <w:left w:val="nil"/>
              <w:bottom w:val="nil"/>
              <w:right w:val="nil"/>
            </w:tcBorders>
            <w:shd w:val="clear" w:color="auto" w:fill="auto"/>
            <w:vAlign w:val="center"/>
            <w:hideMark/>
          </w:tcPr>
          <w:p w14:paraId="29786A27" w14:textId="0F368FE9"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 xml:space="preserve">1 282 </w:t>
            </w:r>
          </w:p>
        </w:tc>
        <w:tc>
          <w:tcPr>
            <w:tcW w:w="1420" w:type="dxa"/>
            <w:tcBorders>
              <w:top w:val="nil"/>
              <w:left w:val="nil"/>
              <w:bottom w:val="nil"/>
              <w:right w:val="nil"/>
            </w:tcBorders>
            <w:shd w:val="clear" w:color="auto" w:fill="auto"/>
            <w:vAlign w:val="center"/>
            <w:hideMark/>
          </w:tcPr>
          <w:p w14:paraId="0B8D16F0" w14:textId="4EF53B2C" w:rsidR="00B21943" w:rsidRPr="00280D1A" w:rsidRDefault="00B21943" w:rsidP="00B21943">
            <w:pPr>
              <w:bidi/>
              <w:spacing w:before="60" w:after="60" w:line="280" w:lineRule="exact"/>
              <w:jc w:val="center"/>
              <w:rPr>
                <w:rFonts w:ascii="Arabic Typesetting" w:hAnsi="Arabic Typesetting" w:cs="Arabic Typesetting"/>
                <w:color w:val="000000"/>
                <w:sz w:val="28"/>
                <w:szCs w:val="28"/>
                <w:rtl/>
              </w:rPr>
            </w:pPr>
            <w:r w:rsidRPr="00280D1A">
              <w:rPr>
                <w:rFonts w:ascii="Arabic Typesetting" w:hAnsi="Arabic Typesetting" w:cs="Arabic Typesetting"/>
                <w:color w:val="000000"/>
                <w:sz w:val="28"/>
                <w:szCs w:val="28"/>
              </w:rPr>
              <w:t>%42</w:t>
            </w:r>
          </w:p>
        </w:tc>
      </w:tr>
      <w:tr w:rsidR="00B21943" w:rsidRPr="008E492F" w14:paraId="6ECFF967" w14:textId="77777777" w:rsidTr="00AF6433">
        <w:trPr>
          <w:trHeight w:val="225"/>
          <w:jc w:val="center"/>
        </w:trPr>
        <w:tc>
          <w:tcPr>
            <w:tcW w:w="2440" w:type="dxa"/>
            <w:tcBorders>
              <w:top w:val="nil"/>
              <w:left w:val="nil"/>
              <w:bottom w:val="nil"/>
              <w:right w:val="nil"/>
            </w:tcBorders>
            <w:shd w:val="clear" w:color="auto" w:fill="C6D9F1"/>
            <w:noWrap/>
            <w:vAlign w:val="center"/>
            <w:hideMark/>
          </w:tcPr>
          <w:p w14:paraId="5BDD5EDE" w14:textId="563601FA" w:rsidR="00B21943" w:rsidRPr="008E492F" w:rsidRDefault="00B21943" w:rsidP="00B21943">
            <w:pPr>
              <w:bidi/>
              <w:spacing w:before="60" w:after="60" w:line="280" w:lineRule="exact"/>
              <w:jc w:val="right"/>
              <w:rPr>
                <w:rFonts w:ascii="Arabic Typesetting" w:hAnsi="Arabic Typesetting" w:cs="Arabic Typesetting"/>
                <w:b/>
                <w:bCs/>
                <w:color w:val="000000"/>
                <w:sz w:val="28"/>
                <w:szCs w:val="28"/>
                <w:rtl/>
              </w:rPr>
            </w:pPr>
            <w:r w:rsidRPr="00211D55">
              <w:rPr>
                <w:rFonts w:ascii="Arabic Typesetting" w:hAnsi="Arabic Typesetting" w:cs="Arabic Typesetting"/>
                <w:b/>
                <w:bCs/>
                <w:sz w:val="28"/>
                <w:szCs w:val="28"/>
                <w:rtl/>
              </w:rPr>
              <w:t>المجموع</w:t>
            </w:r>
          </w:p>
        </w:tc>
        <w:tc>
          <w:tcPr>
            <w:tcW w:w="1420" w:type="dxa"/>
            <w:tcBorders>
              <w:top w:val="nil"/>
              <w:left w:val="nil"/>
              <w:bottom w:val="nil"/>
              <w:right w:val="nil"/>
            </w:tcBorders>
            <w:shd w:val="clear" w:color="auto" w:fill="C6D9F1"/>
            <w:vAlign w:val="center"/>
            <w:hideMark/>
          </w:tcPr>
          <w:p w14:paraId="568D40F7" w14:textId="6ABAB059" w:rsidR="00B21943" w:rsidRPr="00280D1A" w:rsidRDefault="00B21943" w:rsidP="00B21943">
            <w:pPr>
              <w:bidi/>
              <w:spacing w:before="60" w:after="60" w:line="280" w:lineRule="exact"/>
              <w:jc w:val="center"/>
              <w:rPr>
                <w:rFonts w:ascii="Arabic Typesetting" w:hAnsi="Arabic Typesetting" w:cs="Arabic Typesetting"/>
                <w:b/>
                <w:bCs/>
                <w:color w:val="000000"/>
                <w:sz w:val="28"/>
                <w:szCs w:val="28"/>
                <w:rtl/>
              </w:rPr>
            </w:pPr>
            <w:r w:rsidRPr="00280D1A">
              <w:rPr>
                <w:rFonts w:ascii="Arabic Typesetting" w:hAnsi="Arabic Typesetting" w:cs="Arabic Typesetting"/>
                <w:b/>
                <w:bCs/>
                <w:color w:val="000000"/>
                <w:sz w:val="28"/>
                <w:szCs w:val="28"/>
              </w:rPr>
              <w:t xml:space="preserve">12 395 </w:t>
            </w:r>
          </w:p>
        </w:tc>
        <w:tc>
          <w:tcPr>
            <w:tcW w:w="1420" w:type="dxa"/>
            <w:tcBorders>
              <w:top w:val="nil"/>
              <w:left w:val="nil"/>
              <w:bottom w:val="nil"/>
              <w:right w:val="nil"/>
            </w:tcBorders>
            <w:shd w:val="clear" w:color="auto" w:fill="C6D9F1"/>
            <w:vAlign w:val="center"/>
            <w:hideMark/>
          </w:tcPr>
          <w:p w14:paraId="0402272A" w14:textId="6BEF3A18" w:rsidR="00B21943" w:rsidRPr="00280D1A" w:rsidRDefault="00B21943" w:rsidP="00B21943">
            <w:pPr>
              <w:bidi/>
              <w:spacing w:before="60" w:after="60" w:line="280" w:lineRule="exact"/>
              <w:jc w:val="center"/>
              <w:rPr>
                <w:rFonts w:ascii="Arabic Typesetting" w:hAnsi="Arabic Typesetting" w:cs="Arabic Typesetting"/>
                <w:b/>
                <w:bCs/>
                <w:color w:val="000000"/>
                <w:sz w:val="28"/>
                <w:szCs w:val="28"/>
                <w:rtl/>
              </w:rPr>
            </w:pPr>
            <w:r w:rsidRPr="00280D1A">
              <w:rPr>
                <w:rFonts w:ascii="Arabic Typesetting" w:hAnsi="Arabic Typesetting" w:cs="Arabic Typesetting"/>
                <w:b/>
                <w:bCs/>
                <w:color w:val="000000"/>
                <w:sz w:val="28"/>
                <w:szCs w:val="28"/>
              </w:rPr>
              <w:t xml:space="preserve">12 178 </w:t>
            </w:r>
          </w:p>
        </w:tc>
        <w:tc>
          <w:tcPr>
            <w:tcW w:w="1420" w:type="dxa"/>
            <w:tcBorders>
              <w:top w:val="nil"/>
              <w:left w:val="nil"/>
              <w:bottom w:val="nil"/>
              <w:right w:val="nil"/>
            </w:tcBorders>
            <w:shd w:val="clear" w:color="auto" w:fill="C6D9F1"/>
            <w:vAlign w:val="center"/>
            <w:hideMark/>
          </w:tcPr>
          <w:p w14:paraId="61A52B28" w14:textId="0FF49CCE" w:rsidR="00B21943" w:rsidRPr="00280D1A" w:rsidRDefault="00B21943" w:rsidP="00B21943">
            <w:pPr>
              <w:bidi/>
              <w:spacing w:before="60" w:after="60" w:line="280" w:lineRule="exact"/>
              <w:jc w:val="center"/>
              <w:rPr>
                <w:rFonts w:ascii="Arabic Typesetting" w:hAnsi="Arabic Typesetting" w:cs="Arabic Typesetting"/>
                <w:b/>
                <w:bCs/>
                <w:color w:val="000000"/>
                <w:sz w:val="28"/>
                <w:szCs w:val="28"/>
                <w:rtl/>
              </w:rPr>
            </w:pPr>
            <w:r w:rsidRPr="00280D1A">
              <w:rPr>
                <w:rFonts w:ascii="Arabic Typesetting" w:hAnsi="Arabic Typesetting" w:cs="Arabic Typesetting"/>
                <w:b/>
                <w:bCs/>
                <w:color w:val="000000"/>
                <w:sz w:val="28"/>
                <w:szCs w:val="28"/>
              </w:rPr>
              <w:t>5 177</w:t>
            </w:r>
          </w:p>
        </w:tc>
        <w:tc>
          <w:tcPr>
            <w:tcW w:w="1420" w:type="dxa"/>
            <w:tcBorders>
              <w:top w:val="nil"/>
              <w:left w:val="nil"/>
              <w:bottom w:val="nil"/>
              <w:right w:val="nil"/>
            </w:tcBorders>
            <w:shd w:val="clear" w:color="auto" w:fill="C6D9F1"/>
            <w:vAlign w:val="center"/>
            <w:hideMark/>
          </w:tcPr>
          <w:p w14:paraId="18758084" w14:textId="42D15BAD" w:rsidR="00B21943" w:rsidRPr="00280D1A" w:rsidRDefault="00B21943" w:rsidP="00B21943">
            <w:pPr>
              <w:bidi/>
              <w:spacing w:before="60" w:after="60" w:line="280" w:lineRule="exact"/>
              <w:jc w:val="center"/>
              <w:rPr>
                <w:rFonts w:ascii="Arabic Typesetting" w:hAnsi="Arabic Typesetting" w:cs="Arabic Typesetting"/>
                <w:b/>
                <w:bCs/>
                <w:color w:val="000000"/>
                <w:sz w:val="28"/>
                <w:szCs w:val="28"/>
                <w:rtl/>
              </w:rPr>
            </w:pPr>
            <w:r w:rsidRPr="00280D1A">
              <w:rPr>
                <w:rFonts w:ascii="Arabic Typesetting" w:hAnsi="Arabic Typesetting" w:cs="Arabic Typesetting"/>
                <w:b/>
                <w:bCs/>
                <w:color w:val="000000"/>
                <w:sz w:val="28"/>
                <w:szCs w:val="28"/>
              </w:rPr>
              <w:t>%43</w:t>
            </w:r>
          </w:p>
        </w:tc>
      </w:tr>
      <w:tr w:rsidR="00574A27" w:rsidRPr="008E492F" w14:paraId="7F660144" w14:textId="77777777" w:rsidTr="00574A27">
        <w:trPr>
          <w:trHeight w:val="300"/>
          <w:jc w:val="center"/>
        </w:trPr>
        <w:tc>
          <w:tcPr>
            <w:tcW w:w="8120" w:type="dxa"/>
            <w:gridSpan w:val="5"/>
            <w:tcBorders>
              <w:top w:val="nil"/>
              <w:left w:val="nil"/>
              <w:bottom w:val="nil"/>
              <w:right w:val="nil"/>
            </w:tcBorders>
            <w:shd w:val="clear" w:color="auto" w:fill="auto"/>
            <w:noWrap/>
            <w:vAlign w:val="center"/>
            <w:hideMark/>
          </w:tcPr>
          <w:p w14:paraId="18CD924B" w14:textId="77777777" w:rsidR="00BD308F" w:rsidRDefault="00BD308F" w:rsidP="00BD308F">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3B9FE020" w14:textId="21720D62" w:rsidR="00574A27" w:rsidRPr="008E492F" w:rsidRDefault="00BD308F" w:rsidP="00BD308F">
            <w:pPr>
              <w:bidi/>
              <w:spacing w:before="60" w:after="60" w:line="280" w:lineRule="exact"/>
              <w:rPr>
                <w:rFonts w:ascii="Arabic Typesetting" w:hAnsi="Arabic Typesetting" w:cs="Arabic Typesetting"/>
                <w:i/>
                <w:iCs/>
                <w:color w:val="000000"/>
                <w:sz w:val="28"/>
                <w:szCs w:val="28"/>
                <w:rtl/>
              </w:rPr>
            </w:pPr>
            <w:r w:rsidRPr="00D41845">
              <w:rPr>
                <w:rFonts w:ascii="Arabic Typesetting" w:hAnsi="Arabic Typesetting" w:cs="Arabic Typesetting"/>
                <w:i/>
                <w:iCs/>
                <w:color w:val="000000"/>
                <w:sz w:val="28"/>
                <w:szCs w:val="28"/>
                <w:rtl/>
                <w:lang w:bidi="ar-EG"/>
              </w:rPr>
              <w:t>ملاحظة: 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7659886D" w14:textId="77777777" w:rsidR="00574A27" w:rsidRPr="00BD308F" w:rsidRDefault="00574A27" w:rsidP="00BD308F">
      <w:pPr>
        <w:keepNext/>
        <w:bidi/>
        <w:spacing w:before="240" w:after="240" w:line="360" w:lineRule="exact"/>
        <w:rPr>
          <w:rFonts w:ascii="Arabic Typesetting" w:hAnsi="Arabic Typesetting" w:cs="Arabic Typesetting"/>
          <w:sz w:val="34"/>
          <w:szCs w:val="34"/>
          <w:u w:val="single"/>
          <w:rtl/>
          <w:lang w:bidi="ar-EG"/>
        </w:rPr>
      </w:pPr>
      <w:r w:rsidRPr="00BD308F">
        <w:rPr>
          <w:rFonts w:ascii="Arabic Typesetting" w:hAnsi="Arabic Typesetting" w:cs="Arabic Typesetting"/>
          <w:sz w:val="34"/>
          <w:szCs w:val="34"/>
          <w:rtl/>
          <w:lang w:bidi="ar-EG"/>
        </w:rPr>
        <w:t>ألف.</w:t>
      </w:r>
      <w:r w:rsidRPr="00BD308F">
        <w:rPr>
          <w:rFonts w:ascii="Arabic Typesetting" w:hAnsi="Arabic Typesetting" w:cs="Arabic Typesetting"/>
          <w:sz w:val="34"/>
          <w:szCs w:val="34"/>
          <w:rtl/>
          <w:lang w:bidi="ar-EG"/>
        </w:rPr>
        <w:tab/>
      </w:r>
      <w:r w:rsidRPr="00BD308F">
        <w:rPr>
          <w:rFonts w:ascii="Arabic Typesetting" w:hAnsi="Arabic Typesetting" w:cs="Arabic Typesetting"/>
          <w:sz w:val="34"/>
          <w:szCs w:val="34"/>
          <w:u w:val="single"/>
          <w:rtl/>
          <w:lang w:bidi="ar-EG"/>
        </w:rPr>
        <w:t>ميزانية الثنائية 2016/17 بعد التحويلات</w:t>
      </w:r>
    </w:p>
    <w:p w14:paraId="63D3C391" w14:textId="77777777" w:rsidR="00574A27" w:rsidRPr="00BD308F" w:rsidRDefault="00574A27" w:rsidP="00D94CDB">
      <w:pPr>
        <w:pStyle w:val="NormalParaAR"/>
        <w:numPr>
          <w:ilvl w:val="0"/>
          <w:numId w:val="108"/>
        </w:numPr>
        <w:ind w:left="0" w:firstLine="0"/>
        <w:rPr>
          <w:sz w:val="34"/>
          <w:szCs w:val="34"/>
          <w:rtl/>
        </w:rPr>
      </w:pPr>
      <w:r w:rsidRPr="00BD308F">
        <w:rPr>
          <w:sz w:val="34"/>
          <w:szCs w:val="34"/>
          <w:rtl/>
        </w:rPr>
        <w:t>كانت الزيادة في موارد خلاف الموظفين ترجع إلى: "1" تخصيص أموال إضافية لتغطية الاحتياجات التشغيلية لمكتب الويبو للتنسيق في نيويورك في عام 2017 في إطار النتيجة المرتقبة ھ5.8 (تفاعل الويبو وتشاركها بفعالية مع مسارات ومفاوضات الأمم المتحدة وسائر المنظمات الحكومية الدولية)</w:t>
      </w:r>
      <w:r w:rsidRPr="00BD308F">
        <w:rPr>
          <w:rFonts w:hint="cs"/>
          <w:sz w:val="34"/>
          <w:szCs w:val="34"/>
          <w:rtl/>
        </w:rPr>
        <w:t>؛</w:t>
      </w:r>
      <w:r w:rsidRPr="00BD308F">
        <w:rPr>
          <w:sz w:val="34"/>
          <w:szCs w:val="34"/>
          <w:rtl/>
        </w:rPr>
        <w:t xml:space="preserve"> "2" وتحويل أموال إلى مكتب الويبو في الصين من أجل المؤتمر الرفيع المستوى بشأن إذكاء الاحترام للملكية الفكرية، شنغهاي، نوفمبر 2016.</w:t>
      </w:r>
    </w:p>
    <w:p w14:paraId="4E028930" w14:textId="0DE44D3E" w:rsidR="00574A27" w:rsidRPr="00BD308F" w:rsidRDefault="00574A27" w:rsidP="00D94CDB">
      <w:pPr>
        <w:pStyle w:val="NormalParaAR"/>
        <w:numPr>
          <w:ilvl w:val="0"/>
          <w:numId w:val="108"/>
        </w:numPr>
        <w:ind w:left="0" w:firstLine="0"/>
        <w:rPr>
          <w:sz w:val="34"/>
          <w:szCs w:val="34"/>
          <w:rtl/>
        </w:rPr>
      </w:pPr>
      <w:r w:rsidRPr="00BD308F">
        <w:rPr>
          <w:rFonts w:hint="cs"/>
          <w:sz w:val="34"/>
          <w:szCs w:val="34"/>
          <w:rtl/>
        </w:rPr>
        <w:t xml:space="preserve">أما </w:t>
      </w:r>
      <w:r w:rsidRPr="00BD308F">
        <w:rPr>
          <w:sz w:val="34"/>
          <w:szCs w:val="34"/>
          <w:rtl/>
        </w:rPr>
        <w:t>الانخفاض الصافي في موارد الموظفين مقارنة</w:t>
      </w:r>
      <w:r w:rsidRPr="00BD308F">
        <w:rPr>
          <w:rFonts w:hint="cs"/>
          <w:sz w:val="34"/>
          <w:szCs w:val="34"/>
          <w:rtl/>
        </w:rPr>
        <w:t>ً</w:t>
      </w:r>
      <w:r w:rsidRPr="00BD308F">
        <w:rPr>
          <w:sz w:val="34"/>
          <w:szCs w:val="34"/>
          <w:rtl/>
        </w:rPr>
        <w:t xml:space="preserve"> بالميزانية المعتمدة للثنائية 2016/17 </w:t>
      </w:r>
      <w:r w:rsidRPr="00BD308F">
        <w:rPr>
          <w:rFonts w:hint="cs"/>
          <w:sz w:val="34"/>
          <w:szCs w:val="34"/>
          <w:rtl/>
        </w:rPr>
        <w:t>ف</w:t>
      </w:r>
      <w:r w:rsidRPr="00BD308F">
        <w:rPr>
          <w:sz w:val="34"/>
          <w:szCs w:val="34"/>
          <w:rtl/>
        </w:rPr>
        <w:t>يعكس في المقام الأول نقل موظفين إضافيين إلى البرنامج لتعزيز عمل المكاتب الخارجية، بما في ذلك مدير مكتب الويبو في روسيا واثنين من الموظفين الفنيين الوطنيين في مكتب الصين من ناحية، و</w:t>
      </w:r>
      <w:r w:rsidRPr="00BD308F">
        <w:rPr>
          <w:rFonts w:hint="cs"/>
          <w:sz w:val="34"/>
          <w:szCs w:val="34"/>
          <w:rtl/>
        </w:rPr>
        <w:t xml:space="preserve">يعكس </w:t>
      </w:r>
      <w:r w:rsidRPr="00BD308F">
        <w:rPr>
          <w:sz w:val="34"/>
          <w:szCs w:val="34"/>
          <w:rtl/>
        </w:rPr>
        <w:t>من ناحية أخرى نقل موارد الموظفين، بما في ذلك: "1" النقل المؤقت لوظيفة واحدة لدعم الأولويات في الاتصالات (البرنامج 19)، وهو ما ينعكس في النتيجة المرتقبة ھ4.8 (تفاعل منفتح وشفاف ومتجاوب مع أصحاب المصلحة غير الحكوميين)؛ "2" ونقل وظيفة مؤقتة لدعم ترتيب أولويات العمل بشأن مراكز دعم التكنولوجي</w:t>
      </w:r>
      <w:r w:rsidRPr="00BD308F">
        <w:rPr>
          <w:rFonts w:hint="cs"/>
          <w:sz w:val="34"/>
          <w:szCs w:val="34"/>
          <w:rtl/>
        </w:rPr>
        <w:t>ا</w:t>
      </w:r>
      <w:r w:rsidRPr="00BD308F">
        <w:rPr>
          <w:sz w:val="34"/>
          <w:szCs w:val="34"/>
          <w:rtl/>
        </w:rPr>
        <w:t xml:space="preserve"> </w:t>
      </w:r>
      <w:r w:rsidRPr="00BD308F">
        <w:rPr>
          <w:rFonts w:hint="cs"/>
          <w:sz w:val="34"/>
          <w:szCs w:val="34"/>
          <w:rtl/>
        </w:rPr>
        <w:t>و</w:t>
      </w:r>
      <w:r w:rsidRPr="00BD308F">
        <w:rPr>
          <w:sz w:val="34"/>
          <w:szCs w:val="34"/>
          <w:rtl/>
        </w:rPr>
        <w:t>الابتكار (البرنامج 14)؛ "3" والنقل المؤقت لوظيفة واحدة لدعم مبادرة إصلاح نظام مدريد (البرنامج 6)؛ "4" ونقل الوفورات المتراكمة لاستيعاب أولويات تنظيمية أخرى. ويتجلى أثر الأمرين</w:t>
      </w:r>
      <w:r w:rsidR="00DF47AF">
        <w:rPr>
          <w:sz w:val="34"/>
          <w:szCs w:val="34"/>
          <w:rtl/>
        </w:rPr>
        <w:t xml:space="preserve"> الأخيرين في النتائج المرتقبة.</w:t>
      </w:r>
    </w:p>
    <w:p w14:paraId="5255C569" w14:textId="67C9C7E9" w:rsidR="00574A27" w:rsidRPr="00BD308F" w:rsidRDefault="00574A27" w:rsidP="00D94CDB">
      <w:pPr>
        <w:pStyle w:val="NormalParaAR"/>
        <w:numPr>
          <w:ilvl w:val="0"/>
          <w:numId w:val="108"/>
        </w:numPr>
        <w:ind w:left="0" w:firstLine="0"/>
        <w:rPr>
          <w:sz w:val="34"/>
          <w:szCs w:val="34"/>
          <w:rtl/>
        </w:rPr>
      </w:pPr>
      <w:r w:rsidRPr="00BD308F">
        <w:rPr>
          <w:sz w:val="34"/>
          <w:szCs w:val="34"/>
          <w:rtl/>
        </w:rPr>
        <w:t>و</w:t>
      </w:r>
      <w:r w:rsidRPr="00BD308F">
        <w:rPr>
          <w:rFonts w:hint="cs"/>
          <w:sz w:val="34"/>
          <w:szCs w:val="34"/>
          <w:rtl/>
        </w:rPr>
        <w:t xml:space="preserve">خُصصت </w:t>
      </w:r>
      <w:r w:rsidRPr="00BD308F">
        <w:rPr>
          <w:sz w:val="34"/>
          <w:szCs w:val="34"/>
          <w:rtl/>
        </w:rPr>
        <w:t xml:space="preserve">الزيادة في الموارد لما يلي: "1" أظهرت النتيجة المرتقبة ھ2.3 (كفاءات معزَّزة للموارد البشرية) </w:t>
      </w:r>
      <w:r w:rsidRPr="00BD308F">
        <w:rPr>
          <w:rFonts w:hint="cs"/>
          <w:sz w:val="34"/>
          <w:szCs w:val="34"/>
          <w:rtl/>
        </w:rPr>
        <w:t>ازدياد</w:t>
      </w:r>
      <w:r w:rsidRPr="00BD308F">
        <w:rPr>
          <w:sz w:val="34"/>
          <w:szCs w:val="34"/>
          <w:rtl/>
        </w:rPr>
        <w:t xml:space="preserve"> التركيز فيما بين المكاتب الخارجية على تكوين الكفاءات؛ "2" </w:t>
      </w:r>
      <w:r w:rsidRPr="00BD308F">
        <w:rPr>
          <w:rFonts w:hint="cs"/>
          <w:sz w:val="34"/>
          <w:szCs w:val="34"/>
          <w:rtl/>
        </w:rPr>
        <w:t>و</w:t>
      </w:r>
      <w:r w:rsidRPr="00BD308F">
        <w:rPr>
          <w:sz w:val="34"/>
          <w:szCs w:val="34"/>
          <w:rtl/>
        </w:rPr>
        <w:t>أظهرت النتيجة المرتقبة ھ1.8 (التواصل بفعالية أكبر مع جمهور واسع) زيادة التركيز فيما بين المكاتب الخارجية على زياد</w:t>
      </w:r>
      <w:r w:rsidR="00DF47AF">
        <w:rPr>
          <w:sz w:val="34"/>
          <w:szCs w:val="34"/>
          <w:rtl/>
        </w:rPr>
        <w:t>ة الوعي بالويبو والترويج لها.</w:t>
      </w:r>
    </w:p>
    <w:p w14:paraId="3F833838" w14:textId="77777777" w:rsidR="00574A27" w:rsidRPr="00BD308F" w:rsidRDefault="00574A27" w:rsidP="00BD308F">
      <w:pPr>
        <w:keepNext/>
        <w:bidi/>
        <w:spacing w:before="240" w:after="240" w:line="360" w:lineRule="exact"/>
        <w:rPr>
          <w:rFonts w:ascii="Arabic Typesetting" w:hAnsi="Arabic Typesetting" w:cs="Arabic Typesetting"/>
          <w:sz w:val="34"/>
          <w:szCs w:val="34"/>
          <w:u w:val="single"/>
          <w:rtl/>
          <w:lang w:bidi="ar-EG"/>
        </w:rPr>
      </w:pPr>
      <w:r w:rsidRPr="00BD308F">
        <w:rPr>
          <w:rFonts w:ascii="Arabic Typesetting" w:hAnsi="Arabic Typesetting" w:cs="Arabic Typesetting"/>
          <w:sz w:val="34"/>
          <w:szCs w:val="34"/>
          <w:rtl/>
          <w:lang w:bidi="ar-EG"/>
        </w:rPr>
        <w:t>باء.</w:t>
      </w:r>
      <w:r w:rsidRPr="00BD308F">
        <w:rPr>
          <w:rFonts w:ascii="Arabic Typesetting" w:hAnsi="Arabic Typesetting" w:cs="Arabic Typesetting"/>
          <w:sz w:val="34"/>
          <w:szCs w:val="34"/>
          <w:rtl/>
          <w:lang w:bidi="ar-EG"/>
        </w:rPr>
        <w:tab/>
      </w:r>
      <w:r w:rsidRPr="00BD308F">
        <w:rPr>
          <w:rFonts w:ascii="Arabic Typesetting" w:hAnsi="Arabic Typesetting" w:cs="Arabic Typesetting"/>
          <w:sz w:val="34"/>
          <w:szCs w:val="34"/>
          <w:u w:val="single"/>
          <w:rtl/>
          <w:lang w:bidi="ar-EG"/>
        </w:rPr>
        <w:t>استخدام ميزانية 2016/17</w:t>
      </w:r>
    </w:p>
    <w:p w14:paraId="409800A0" w14:textId="225CD923" w:rsidR="00BD308F" w:rsidRDefault="00BD308F" w:rsidP="00D94CDB">
      <w:pPr>
        <w:pStyle w:val="NormalParaAR"/>
        <w:numPr>
          <w:ilvl w:val="0"/>
          <w:numId w:val="108"/>
        </w:numPr>
        <w:ind w:left="0" w:firstLine="0"/>
        <w:rPr>
          <w:sz w:val="34"/>
          <w:szCs w:val="34"/>
        </w:rPr>
      </w:pPr>
      <w:r>
        <w:rPr>
          <w:rFonts w:hint="cs"/>
          <w:sz w:val="34"/>
          <w:szCs w:val="34"/>
          <w:rtl/>
        </w:rPr>
        <w:t>كانت نسبة استخدام الميزانية ضمن النطاق المتوقع المتراوح بين 40 و60 بالمئة للسنة الأولى من الثنائية.</w:t>
      </w:r>
    </w:p>
    <w:p w14:paraId="1D5C49F3" w14:textId="788DB854" w:rsidR="00574A27" w:rsidRDefault="00574A27">
      <w:pPr>
        <w:rPr>
          <w:rFonts w:ascii="Arabic Typesetting" w:hAnsi="Arabic Typesetting" w:cs="Arabic Typesetting"/>
          <w:sz w:val="36"/>
          <w:szCs w:val="36"/>
          <w:rtl/>
          <w:lang w:val="fr-CH"/>
        </w:rPr>
      </w:pPr>
      <w:r>
        <w:rPr>
          <w:rtl/>
          <w:lang w:val="fr-CH"/>
        </w:rPr>
        <w:br w:type="page"/>
      </w:r>
    </w:p>
    <w:p w14:paraId="1E8DE982" w14:textId="374879F1" w:rsidR="006E24D8" w:rsidRDefault="006E24D8" w:rsidP="006E24D8">
      <w:pPr>
        <w:pStyle w:val="Heading3"/>
        <w:pageBreakBefore w:val="0"/>
        <w:spacing w:after="240"/>
        <w:ind w:left="1134" w:hanging="1134"/>
        <w:jc w:val="center"/>
        <w:rPr>
          <w:rtl/>
          <w:lang w:bidi="ar-EG"/>
        </w:rPr>
      </w:pPr>
      <w:bookmarkStart w:id="50" w:name="_Toc482782773"/>
      <w:r>
        <w:rPr>
          <w:rtl/>
        </w:rPr>
        <w:lastRenderedPageBreak/>
        <w:t xml:space="preserve">الهدف الاستراتيجي </w:t>
      </w:r>
      <w:r>
        <w:rPr>
          <w:rFonts w:hint="cs"/>
          <w:rtl/>
          <w:lang w:bidi="ar-EG"/>
        </w:rPr>
        <w:t>التاسع</w:t>
      </w:r>
      <w:bookmarkEnd w:id="50"/>
    </w:p>
    <w:p w14:paraId="4543EB74" w14:textId="2506BA67" w:rsidR="006E24D8" w:rsidRDefault="006E24D8" w:rsidP="006E24D8">
      <w:pPr>
        <w:pStyle w:val="NormalParaAR"/>
        <w:jc w:val="center"/>
        <w:rPr>
          <w:b/>
          <w:bCs/>
          <w:rtl/>
          <w:lang w:bidi="ar-EG"/>
        </w:rPr>
      </w:pPr>
      <w:r w:rsidRPr="006E24D8">
        <w:rPr>
          <w:b/>
          <w:bCs/>
          <w:rtl/>
          <w:lang w:bidi="ar-EG"/>
        </w:rPr>
        <w:t>دعم إداري ومالي فعال لتمكين الويبو من تنفيذ برامجها</w:t>
      </w:r>
    </w:p>
    <w:p w14:paraId="59ACA911" w14:textId="77777777" w:rsidR="006E24D8" w:rsidRPr="00B54D74" w:rsidRDefault="006E24D8" w:rsidP="006E24D8">
      <w:pPr>
        <w:pStyle w:val="NormalParaAR"/>
        <w:jc w:val="center"/>
        <w:rPr>
          <w:b/>
          <w:bCs/>
          <w:rtl/>
        </w:rPr>
      </w:pPr>
      <w:r w:rsidRPr="00B54D74">
        <w:rPr>
          <w:b/>
          <w:bCs/>
          <w:rtl/>
        </w:rPr>
        <w:t>لوحة بيانات الأداء في منتصف المدة (</w:t>
      </w:r>
      <w:r>
        <w:rPr>
          <w:rFonts w:hint="cs"/>
          <w:b/>
          <w:bCs/>
          <w:rtl/>
        </w:rPr>
        <w:t>2016</w:t>
      </w:r>
      <w:r w:rsidRPr="00B54D74">
        <w:rPr>
          <w:b/>
          <w:bCs/>
          <w:rtl/>
        </w:rPr>
        <w:t>)</w:t>
      </w:r>
    </w:p>
    <w:p w14:paraId="4FDEC88B" w14:textId="77777777" w:rsidR="006E24D8" w:rsidRDefault="006E24D8" w:rsidP="006E24D8">
      <w:pPr>
        <w:pStyle w:val="NormalParaAR"/>
        <w:rPr>
          <w:rtl/>
        </w:rPr>
      </w:pPr>
      <w:r>
        <w:rPr>
          <w:rtl/>
        </w:rPr>
        <w:t xml:space="preserve">توجز لوحة البيانات </w:t>
      </w:r>
      <w:r>
        <w:rPr>
          <w:rFonts w:hint="cs"/>
          <w:rtl/>
        </w:rPr>
        <w:t xml:space="preserve">التالية </w:t>
      </w:r>
      <w:r>
        <w:rPr>
          <w:rtl/>
        </w:rPr>
        <w:t xml:space="preserve">التقدم المحرز </w:t>
      </w:r>
      <w:r>
        <w:rPr>
          <w:rFonts w:hint="cs"/>
          <w:rtl/>
        </w:rPr>
        <w:t>نحو</w:t>
      </w:r>
      <w:r>
        <w:rPr>
          <w:rtl/>
        </w:rPr>
        <w:t xml:space="preserve"> تحقيق النتائج</w:t>
      </w:r>
      <w:r>
        <w:rPr>
          <w:rFonts w:hint="cs"/>
          <w:rtl/>
        </w:rPr>
        <w:t xml:space="preserve"> المرتقبة</w:t>
      </w:r>
      <w:r>
        <w:rPr>
          <w:rtl/>
        </w:rPr>
        <w:t xml:space="preserve"> في عام </w:t>
      </w:r>
      <w:r>
        <w:rPr>
          <w:rFonts w:hint="cs"/>
          <w:rtl/>
        </w:rPr>
        <w:t>2016</w:t>
      </w:r>
      <w:r>
        <w:rPr>
          <w:rtl/>
        </w:rPr>
        <w:t xml:space="preserve"> قياسا</w:t>
      </w:r>
      <w:r>
        <w:rPr>
          <w:rFonts w:hint="cs"/>
          <w:rtl/>
        </w:rPr>
        <w:t>ً</w:t>
      </w:r>
      <w:r>
        <w:rPr>
          <w:rtl/>
        </w:rPr>
        <w:t xml:space="preserve"> بمؤشرات الأداء </w:t>
      </w:r>
      <w:r>
        <w:rPr>
          <w:rFonts w:hint="cs"/>
          <w:rtl/>
        </w:rPr>
        <w:t>في إطار</w:t>
      </w:r>
      <w:r>
        <w:rPr>
          <w:rtl/>
        </w:rPr>
        <w:t xml:space="preserve"> البرامج التي تس</w:t>
      </w:r>
      <w:r>
        <w:rPr>
          <w:rFonts w:hint="cs"/>
          <w:rtl/>
        </w:rPr>
        <w:t>ا</w:t>
      </w:r>
      <w:r>
        <w:rPr>
          <w:rtl/>
        </w:rPr>
        <w:t>هم في تحقيق هذا الهدف الاستراتيجي</w:t>
      </w:r>
      <w:r>
        <w:rPr>
          <w:rFonts w:hint="cs"/>
          <w:rtl/>
        </w:rPr>
        <w:t>.</w:t>
      </w:r>
    </w:p>
    <w:p w14:paraId="10A5014B" w14:textId="302E1056" w:rsidR="00574A27" w:rsidRDefault="00902A0A" w:rsidP="00574A27">
      <w:pPr>
        <w:pStyle w:val="NormalParaAR"/>
        <w:spacing w:line="240" w:lineRule="auto"/>
        <w:jc w:val="center"/>
        <w:rPr>
          <w:rtl/>
        </w:rPr>
      </w:pPr>
      <w:r>
        <w:rPr>
          <w:noProof/>
        </w:rPr>
        <w:drawing>
          <wp:inline distT="0" distB="0" distL="0" distR="0" wp14:anchorId="7E4E1A59" wp14:editId="692D8A4F">
            <wp:extent cx="3577718" cy="216000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9208" w:type="dxa"/>
        <w:tblInd w:w="108" w:type="dxa"/>
        <w:tblLayout w:type="fixed"/>
        <w:tblLook w:val="0000" w:firstRow="0" w:lastRow="0" w:firstColumn="0" w:lastColumn="0" w:noHBand="0" w:noVBand="0"/>
      </w:tblPr>
      <w:tblGrid>
        <w:gridCol w:w="2722"/>
        <w:gridCol w:w="3854"/>
        <w:gridCol w:w="1586"/>
        <w:gridCol w:w="1046"/>
      </w:tblGrid>
      <w:tr w:rsidR="0049618D" w:rsidRPr="00A770FA" w14:paraId="34EDE898" w14:textId="77777777" w:rsidTr="00482893">
        <w:trPr>
          <w:cantSplit/>
          <w:trHeight w:val="317"/>
          <w:tblHeader/>
        </w:trPr>
        <w:tc>
          <w:tcPr>
            <w:tcW w:w="1478" w:type="pct"/>
            <w:shd w:val="clear" w:color="auto" w:fill="B8CCE4" w:themeFill="accent1" w:themeFillTint="66"/>
            <w:tcMar>
              <w:top w:w="113" w:type="dxa"/>
              <w:bottom w:w="85" w:type="dxa"/>
            </w:tcMar>
            <w:vAlign w:val="center"/>
          </w:tcPr>
          <w:p w14:paraId="270BA7C8" w14:textId="77777777" w:rsidR="0049618D" w:rsidRPr="00A770FA" w:rsidRDefault="0049618D" w:rsidP="00482893">
            <w:pPr>
              <w:bidi/>
              <w:spacing w:before="120" w:after="120" w:line="280" w:lineRule="exact"/>
              <w:jc w:val="center"/>
              <w:rPr>
                <w:rFonts w:ascii="Arabic Typesetting" w:eastAsia="SimSun" w:hAnsi="Arabic Typesetting" w:cs="Arabic Typesetting"/>
                <w:bCs/>
                <w:sz w:val="28"/>
                <w:szCs w:val="28"/>
                <w:lang w:eastAsia="ar-EG" w:bidi="ar-EG"/>
              </w:rPr>
            </w:pPr>
            <w:r w:rsidRPr="00A770FA">
              <w:rPr>
                <w:rFonts w:ascii="Arabic Typesetting" w:eastAsia="SimSun" w:hAnsi="Arabic Typesetting" w:cs="Arabic Typesetting"/>
                <w:bCs/>
                <w:sz w:val="28"/>
                <w:szCs w:val="28"/>
                <w:rtl/>
                <w:lang w:eastAsia="ar-EG" w:bidi="ar-EG"/>
              </w:rPr>
              <w:t>النتائج المرتقبة</w:t>
            </w:r>
          </w:p>
        </w:tc>
        <w:tc>
          <w:tcPr>
            <w:tcW w:w="2093" w:type="pct"/>
            <w:shd w:val="clear" w:color="auto" w:fill="B8CCE4" w:themeFill="accent1" w:themeFillTint="66"/>
            <w:tcMar>
              <w:top w:w="113" w:type="dxa"/>
              <w:bottom w:w="85" w:type="dxa"/>
            </w:tcMar>
            <w:vAlign w:val="center"/>
          </w:tcPr>
          <w:p w14:paraId="05305A95" w14:textId="77777777" w:rsidR="0049618D" w:rsidRPr="00A770FA" w:rsidRDefault="0049618D" w:rsidP="00482893">
            <w:pPr>
              <w:bidi/>
              <w:spacing w:before="120" w:after="120" w:line="280" w:lineRule="exact"/>
              <w:jc w:val="center"/>
              <w:rPr>
                <w:rFonts w:ascii="Arabic Typesetting" w:eastAsia="SimSun" w:hAnsi="Arabic Typesetting" w:cs="Arabic Typesetting"/>
                <w:bCs/>
                <w:sz w:val="28"/>
                <w:szCs w:val="28"/>
                <w:lang w:eastAsia="ar-EG" w:bidi="ar-EG"/>
              </w:rPr>
            </w:pPr>
            <w:r w:rsidRPr="00A770FA">
              <w:rPr>
                <w:rFonts w:ascii="Arabic Typesetting" w:eastAsia="SimSun" w:hAnsi="Arabic Typesetting" w:cs="Arabic Typesetting"/>
                <w:bCs/>
                <w:sz w:val="28"/>
                <w:szCs w:val="28"/>
                <w:rtl/>
                <w:lang w:eastAsia="ar-EG" w:bidi="ar-EG"/>
              </w:rPr>
              <w:t>مؤشرات الأداء</w:t>
            </w:r>
          </w:p>
        </w:tc>
        <w:tc>
          <w:tcPr>
            <w:tcW w:w="861" w:type="pct"/>
            <w:shd w:val="clear" w:color="auto" w:fill="B8CCE4" w:themeFill="accent1" w:themeFillTint="66"/>
            <w:tcMar>
              <w:top w:w="113" w:type="dxa"/>
              <w:bottom w:w="85" w:type="dxa"/>
            </w:tcMar>
            <w:vAlign w:val="center"/>
          </w:tcPr>
          <w:p w14:paraId="2B0FBF13" w14:textId="77777777" w:rsidR="0049618D" w:rsidRPr="00A770FA" w:rsidRDefault="0049618D" w:rsidP="00482893">
            <w:pPr>
              <w:bidi/>
              <w:spacing w:before="120" w:after="120" w:line="280" w:lineRule="exact"/>
              <w:jc w:val="center"/>
              <w:rPr>
                <w:rFonts w:ascii="Arabic Typesetting" w:eastAsia="SimSun" w:hAnsi="Arabic Typesetting" w:cs="Arabic Typesetting"/>
                <w:bCs/>
                <w:sz w:val="28"/>
                <w:szCs w:val="28"/>
                <w:lang w:eastAsia="ar-EG" w:bidi="ar-EG"/>
              </w:rPr>
            </w:pPr>
            <w:r w:rsidRPr="00A770FA">
              <w:rPr>
                <w:rFonts w:ascii="Arabic Typesetting" w:eastAsia="SimSun" w:hAnsi="Arabic Typesetting" w:cs="Arabic Typesetting"/>
                <w:bCs/>
                <w:sz w:val="28"/>
                <w:szCs w:val="28"/>
                <w:rtl/>
                <w:lang w:eastAsia="ar-EG" w:bidi="ar-EG"/>
              </w:rPr>
              <w:t>البرامج المسؤولة</w:t>
            </w:r>
          </w:p>
        </w:tc>
        <w:tc>
          <w:tcPr>
            <w:tcW w:w="568" w:type="pct"/>
            <w:shd w:val="clear" w:color="auto" w:fill="B8CCE4" w:themeFill="accent1" w:themeFillTint="66"/>
            <w:vAlign w:val="center"/>
          </w:tcPr>
          <w:p w14:paraId="1622178B" w14:textId="77777777" w:rsidR="0049618D" w:rsidRPr="00A770FA" w:rsidRDefault="0049618D" w:rsidP="00482893">
            <w:pPr>
              <w:bidi/>
              <w:spacing w:before="120" w:after="120" w:line="280" w:lineRule="exact"/>
              <w:jc w:val="center"/>
              <w:rPr>
                <w:rFonts w:ascii="Arabic Typesetting" w:eastAsia="Arabic Typesetting" w:hAnsi="Arabic Typesetting" w:cs="Arabic Typesetting"/>
                <w:bCs/>
                <w:sz w:val="28"/>
                <w:szCs w:val="28"/>
                <w:lang w:eastAsia="ar-EG" w:bidi="ar-EG"/>
              </w:rPr>
            </w:pPr>
            <w:r w:rsidRPr="00A770FA">
              <w:rPr>
                <w:rFonts w:ascii="Arabic Typesetting" w:eastAsia="Arabic Typesetting" w:hAnsi="Arabic Typesetting" w:cs="Arabic Typesetting"/>
                <w:bCs/>
                <w:sz w:val="28"/>
                <w:szCs w:val="28"/>
                <w:rtl/>
                <w:lang w:eastAsia="ar-EG" w:bidi="ar-EG"/>
              </w:rPr>
              <w:t>السير</w:t>
            </w:r>
          </w:p>
        </w:tc>
      </w:tr>
      <w:tr w:rsidR="0049618D" w:rsidRPr="00A770FA" w14:paraId="44798B82" w14:textId="77777777" w:rsidTr="00482893">
        <w:trPr>
          <w:cantSplit/>
          <w:trHeight w:val="319"/>
        </w:trPr>
        <w:tc>
          <w:tcPr>
            <w:tcW w:w="1478" w:type="pct"/>
            <w:vMerge w:val="restart"/>
            <w:shd w:val="clear" w:color="auto" w:fill="auto"/>
            <w:tcMar>
              <w:top w:w="113" w:type="dxa"/>
              <w:bottom w:w="85" w:type="dxa"/>
            </w:tcMar>
          </w:tcPr>
          <w:p w14:paraId="2600D26E" w14:textId="77777777" w:rsidR="0049618D" w:rsidRPr="00A770FA" w:rsidRDefault="0049618D" w:rsidP="00482893">
            <w:pPr>
              <w:bidi/>
              <w:spacing w:before="120" w:after="120" w:line="280" w:lineRule="exact"/>
              <w:rPr>
                <w:rFonts w:ascii="Arabic Typesetting" w:hAnsi="Arabic Typesetting" w:cs="Arabic Typesetting"/>
                <w:sz w:val="28"/>
                <w:szCs w:val="28"/>
              </w:rPr>
            </w:pPr>
            <w:r w:rsidRPr="00A770FA">
              <w:rPr>
                <w:rFonts w:ascii="Arabic Typesetting" w:eastAsia="Arabic Typesetting" w:hAnsi="Arabic Typesetting" w:cs="Arabic Typesetting"/>
                <w:color w:val="000000"/>
                <w:sz w:val="28"/>
                <w:szCs w:val="28"/>
                <w:rtl/>
                <w:lang w:eastAsia="ar-EG" w:bidi="ar-EG"/>
              </w:rPr>
              <w:t>ه1.9 خدمات دعم موجهة للزبون بفعالية وكفاءة وجودة لفائدة الزبائن الداخليين وأصحاب المصلحة الخارجيين</w:t>
            </w:r>
          </w:p>
        </w:tc>
        <w:tc>
          <w:tcPr>
            <w:tcW w:w="2093" w:type="pct"/>
            <w:shd w:val="clear" w:color="auto" w:fill="auto"/>
            <w:tcMar>
              <w:top w:w="113" w:type="dxa"/>
              <w:bottom w:w="85" w:type="dxa"/>
            </w:tcMar>
          </w:tcPr>
          <w:p w14:paraId="08959D2E" w14:textId="77777777" w:rsidR="0049618D" w:rsidRPr="00A770FA" w:rsidRDefault="0049618D" w:rsidP="00482893">
            <w:pPr>
              <w:bidi/>
              <w:spacing w:before="120" w:after="120" w:line="280" w:lineRule="exact"/>
              <w:rPr>
                <w:rFonts w:ascii="Arabic Typesetting" w:hAnsi="Arabic Typesetting" w:cs="Arabic Typesetting"/>
                <w:sz w:val="28"/>
                <w:szCs w:val="28"/>
              </w:rPr>
            </w:pPr>
            <w:r w:rsidRPr="00A770FA">
              <w:rPr>
                <w:rFonts w:ascii="Arabic Typesetting" w:eastAsia="Arabic Typesetting" w:hAnsi="Arabic Typesetting" w:cs="Arabic Typesetting"/>
                <w:color w:val="000000"/>
                <w:sz w:val="28"/>
                <w:szCs w:val="28"/>
                <w:rtl/>
                <w:lang w:eastAsia="ar-EG" w:bidi="ar-EG"/>
              </w:rPr>
              <w:t>النسبة المئوية لطلبات المشورة والخدمات القانونية التي تلقت ردودا سريعة من مكتب المستشار القانوني</w:t>
            </w:r>
          </w:p>
        </w:tc>
        <w:tc>
          <w:tcPr>
            <w:tcW w:w="861" w:type="pct"/>
            <w:shd w:val="clear" w:color="auto" w:fill="FFFFFF"/>
            <w:tcMar>
              <w:top w:w="113" w:type="dxa"/>
              <w:bottom w:w="85" w:type="dxa"/>
            </w:tcMar>
          </w:tcPr>
          <w:p w14:paraId="6EBBB1AB"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21</w:t>
            </w:r>
          </w:p>
        </w:tc>
        <w:tc>
          <w:tcPr>
            <w:tcW w:w="568" w:type="pct"/>
            <w:shd w:val="clear" w:color="auto" w:fill="auto"/>
          </w:tcPr>
          <w:p w14:paraId="319BE3A9"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1F8AD16E" w14:textId="77777777" w:rsidTr="00482893">
        <w:trPr>
          <w:cantSplit/>
        </w:trPr>
        <w:tc>
          <w:tcPr>
            <w:tcW w:w="1478" w:type="pct"/>
            <w:vMerge/>
            <w:shd w:val="clear" w:color="auto" w:fill="auto"/>
            <w:tcMar>
              <w:top w:w="113" w:type="dxa"/>
              <w:bottom w:w="85" w:type="dxa"/>
            </w:tcMar>
          </w:tcPr>
          <w:p w14:paraId="05E9CE26"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75964C10" w14:textId="77777777" w:rsidR="0049618D" w:rsidRPr="00A770FA" w:rsidRDefault="0049618D" w:rsidP="00482893">
            <w:pPr>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861" w:type="pct"/>
            <w:shd w:val="clear" w:color="auto" w:fill="FFFFFF"/>
            <w:tcMar>
              <w:top w:w="113" w:type="dxa"/>
              <w:bottom w:w="85" w:type="dxa"/>
            </w:tcMar>
          </w:tcPr>
          <w:p w14:paraId="21F0EDDC"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22</w:t>
            </w:r>
          </w:p>
        </w:tc>
        <w:tc>
          <w:tcPr>
            <w:tcW w:w="568" w:type="pct"/>
            <w:shd w:val="clear" w:color="auto" w:fill="auto"/>
          </w:tcPr>
          <w:p w14:paraId="32E1E7EA"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FF0000"/>
                <w:sz w:val="28"/>
                <w:szCs w:val="28"/>
              </w:rPr>
              <w:sym w:font="Wingdings" w:char="F06C"/>
            </w:r>
          </w:p>
        </w:tc>
      </w:tr>
      <w:tr w:rsidR="0049618D" w:rsidRPr="00A770FA" w14:paraId="48DEBF4A" w14:textId="77777777" w:rsidTr="00482893">
        <w:trPr>
          <w:cantSplit/>
          <w:trHeight w:val="242"/>
        </w:trPr>
        <w:tc>
          <w:tcPr>
            <w:tcW w:w="1478" w:type="pct"/>
            <w:vMerge/>
            <w:shd w:val="clear" w:color="auto" w:fill="auto"/>
            <w:tcMar>
              <w:top w:w="113" w:type="dxa"/>
              <w:bottom w:w="85" w:type="dxa"/>
            </w:tcMar>
          </w:tcPr>
          <w:p w14:paraId="2B911F23"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796441B3" w14:textId="77777777" w:rsidR="0049618D" w:rsidRPr="00A770FA" w:rsidRDefault="0049618D" w:rsidP="00482893">
            <w:pPr>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عدد وثائق لجنة البرنامج والميزانية المُقدَّمة إلى الدول الأعضاء في موعدها</w:t>
            </w:r>
          </w:p>
        </w:tc>
        <w:tc>
          <w:tcPr>
            <w:tcW w:w="861" w:type="pct"/>
            <w:shd w:val="clear" w:color="auto" w:fill="FFFFFF"/>
            <w:tcMar>
              <w:top w:w="113" w:type="dxa"/>
              <w:bottom w:w="85" w:type="dxa"/>
            </w:tcMar>
          </w:tcPr>
          <w:p w14:paraId="163974E1"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22</w:t>
            </w:r>
          </w:p>
        </w:tc>
        <w:tc>
          <w:tcPr>
            <w:tcW w:w="568" w:type="pct"/>
            <w:shd w:val="clear" w:color="auto" w:fill="auto"/>
          </w:tcPr>
          <w:p w14:paraId="3545912A"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1FA938A3" w14:textId="77777777" w:rsidTr="00482893">
        <w:trPr>
          <w:cantSplit/>
          <w:trHeight w:val="472"/>
        </w:trPr>
        <w:tc>
          <w:tcPr>
            <w:tcW w:w="1478" w:type="pct"/>
            <w:shd w:val="clear" w:color="auto" w:fill="auto"/>
            <w:tcMar>
              <w:top w:w="113" w:type="dxa"/>
              <w:bottom w:w="85" w:type="dxa"/>
            </w:tcMar>
          </w:tcPr>
          <w:p w14:paraId="245D5B37"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C8124F3" w14:textId="77777777" w:rsidR="0049618D" w:rsidRPr="00A770FA" w:rsidRDefault="0049618D" w:rsidP="00482893">
            <w:pPr>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عمل نظام الويبو للتخطيط للموارد المؤسسية (</w:t>
            </w:r>
            <w:r w:rsidRPr="00A770FA">
              <w:rPr>
                <w:rFonts w:ascii="Arabic Typesetting" w:eastAsia="Arabic Typesetting" w:hAnsi="Arabic Typesetting" w:cs="Arabic Typesetting"/>
                <w:color w:val="000000"/>
                <w:sz w:val="28"/>
                <w:szCs w:val="28"/>
                <w:lang w:eastAsia="ar-EG" w:bidi="ar-EG"/>
              </w:rPr>
              <w:t>AIMS</w:t>
            </w:r>
            <w:r w:rsidRPr="00A770FA">
              <w:rPr>
                <w:rFonts w:ascii="Arabic Typesetting" w:eastAsia="Arabic Typesetting" w:hAnsi="Arabic Typesetting" w:cs="Arabic Typesetting"/>
                <w:color w:val="000000"/>
                <w:sz w:val="28"/>
                <w:szCs w:val="28"/>
                <w:rtl/>
                <w:lang w:eastAsia="ar-EG" w:bidi="ar-EG"/>
              </w:rPr>
              <w:t>) بكفاءة وفقاً لاحتياجات العمل وبما يتماشى مع أفضل الممارسات</w:t>
            </w:r>
          </w:p>
        </w:tc>
        <w:tc>
          <w:tcPr>
            <w:tcW w:w="861" w:type="pct"/>
            <w:shd w:val="clear" w:color="auto" w:fill="FFFFFF"/>
            <w:tcMar>
              <w:top w:w="113" w:type="dxa"/>
              <w:bottom w:w="85" w:type="dxa"/>
            </w:tcMar>
          </w:tcPr>
          <w:p w14:paraId="71733B31"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22</w:t>
            </w:r>
          </w:p>
        </w:tc>
        <w:tc>
          <w:tcPr>
            <w:tcW w:w="568" w:type="pct"/>
            <w:shd w:val="clear" w:color="auto" w:fill="auto"/>
          </w:tcPr>
          <w:p w14:paraId="6CB2BA7D"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FF0000"/>
                <w:sz w:val="28"/>
                <w:szCs w:val="28"/>
              </w:rPr>
              <w:sym w:font="Wingdings" w:char="F06C"/>
            </w:r>
          </w:p>
        </w:tc>
      </w:tr>
      <w:tr w:rsidR="0049618D" w:rsidRPr="00A770FA" w14:paraId="7695C4EA" w14:textId="77777777" w:rsidTr="00482893">
        <w:trPr>
          <w:cantSplit/>
          <w:trHeight w:val="345"/>
        </w:trPr>
        <w:tc>
          <w:tcPr>
            <w:tcW w:w="1478" w:type="pct"/>
            <w:shd w:val="clear" w:color="auto" w:fill="auto"/>
            <w:tcMar>
              <w:top w:w="113" w:type="dxa"/>
              <w:bottom w:w="85" w:type="dxa"/>
            </w:tcMar>
          </w:tcPr>
          <w:p w14:paraId="39EE75FE"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C3174A2" w14:textId="77777777" w:rsidR="0049618D" w:rsidRPr="00A770FA" w:rsidRDefault="0049618D" w:rsidP="00482893">
            <w:pPr>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تنفيذ مشاريع التخطيط للموارد المؤسسية وفقاً للخطة وفي حدود ميزانية المحفظة</w:t>
            </w:r>
          </w:p>
        </w:tc>
        <w:tc>
          <w:tcPr>
            <w:tcW w:w="861" w:type="pct"/>
            <w:shd w:val="clear" w:color="auto" w:fill="FFFFFF"/>
            <w:tcMar>
              <w:top w:w="113" w:type="dxa"/>
              <w:bottom w:w="85" w:type="dxa"/>
            </w:tcMar>
          </w:tcPr>
          <w:p w14:paraId="605418C8"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22</w:t>
            </w:r>
          </w:p>
        </w:tc>
        <w:tc>
          <w:tcPr>
            <w:tcW w:w="568" w:type="pct"/>
            <w:shd w:val="clear" w:color="auto" w:fill="auto"/>
          </w:tcPr>
          <w:p w14:paraId="154797C3"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FF0000"/>
                <w:sz w:val="28"/>
                <w:szCs w:val="28"/>
              </w:rPr>
              <w:sym w:font="Wingdings" w:char="F06C"/>
            </w:r>
          </w:p>
        </w:tc>
      </w:tr>
      <w:tr w:rsidR="0049618D" w:rsidRPr="00A770FA" w14:paraId="21AA99FD" w14:textId="77777777" w:rsidTr="00482893">
        <w:trPr>
          <w:cantSplit/>
          <w:trHeight w:val="198"/>
        </w:trPr>
        <w:tc>
          <w:tcPr>
            <w:tcW w:w="1478" w:type="pct"/>
            <w:shd w:val="clear" w:color="auto" w:fill="auto"/>
            <w:tcMar>
              <w:top w:w="113" w:type="dxa"/>
              <w:bottom w:w="85" w:type="dxa"/>
            </w:tcMar>
          </w:tcPr>
          <w:p w14:paraId="6AB0443C"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7369BF9"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للموظفين الراضين عن خدمات الموارد البشرية</w:t>
            </w:r>
          </w:p>
        </w:tc>
        <w:tc>
          <w:tcPr>
            <w:tcW w:w="861" w:type="pct"/>
            <w:shd w:val="clear" w:color="auto" w:fill="FFFFFF"/>
            <w:tcMar>
              <w:top w:w="113" w:type="dxa"/>
              <w:bottom w:w="85" w:type="dxa"/>
            </w:tcMar>
          </w:tcPr>
          <w:p w14:paraId="550A61B1"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23</w:t>
            </w:r>
          </w:p>
        </w:tc>
        <w:tc>
          <w:tcPr>
            <w:tcW w:w="568" w:type="pct"/>
            <w:shd w:val="clear" w:color="auto" w:fill="auto"/>
          </w:tcPr>
          <w:p w14:paraId="0A52B306"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70C0"/>
                <w:sz w:val="28"/>
                <w:szCs w:val="28"/>
              </w:rPr>
              <w:sym w:font="Wingdings" w:char="F06C"/>
            </w:r>
          </w:p>
        </w:tc>
      </w:tr>
      <w:tr w:rsidR="0049618D" w:rsidRPr="00A770FA" w14:paraId="04F0CDDE" w14:textId="77777777" w:rsidTr="00482893">
        <w:trPr>
          <w:cantSplit/>
          <w:trHeight w:val="176"/>
        </w:trPr>
        <w:tc>
          <w:tcPr>
            <w:tcW w:w="1478" w:type="pct"/>
            <w:shd w:val="clear" w:color="auto" w:fill="auto"/>
            <w:tcMar>
              <w:top w:w="113" w:type="dxa"/>
              <w:bottom w:w="85" w:type="dxa"/>
            </w:tcMar>
          </w:tcPr>
          <w:p w14:paraId="28E24A37"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C45E884"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زيادة الإجراءات المؤتمتة مقابل الإجراءات اليدوية</w:t>
            </w:r>
          </w:p>
        </w:tc>
        <w:tc>
          <w:tcPr>
            <w:tcW w:w="861" w:type="pct"/>
            <w:shd w:val="clear" w:color="auto" w:fill="FFFFFF"/>
            <w:tcMar>
              <w:top w:w="113" w:type="dxa"/>
              <w:bottom w:w="85" w:type="dxa"/>
            </w:tcMar>
          </w:tcPr>
          <w:p w14:paraId="70F5BCD5"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23</w:t>
            </w:r>
          </w:p>
        </w:tc>
        <w:tc>
          <w:tcPr>
            <w:tcW w:w="568" w:type="pct"/>
            <w:shd w:val="clear" w:color="auto" w:fill="auto"/>
          </w:tcPr>
          <w:p w14:paraId="1E5A3004"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7D04B631" w14:textId="77777777" w:rsidTr="00482893">
        <w:trPr>
          <w:cantSplit/>
          <w:trHeight w:val="42"/>
        </w:trPr>
        <w:tc>
          <w:tcPr>
            <w:tcW w:w="1478" w:type="pct"/>
            <w:shd w:val="clear" w:color="auto" w:fill="auto"/>
            <w:tcMar>
              <w:top w:w="113" w:type="dxa"/>
              <w:bottom w:w="85" w:type="dxa"/>
            </w:tcMar>
          </w:tcPr>
          <w:p w14:paraId="25166AE8"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68101507"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للاستفسارات المعالجة خلال 5 أيام عمل</w:t>
            </w:r>
          </w:p>
        </w:tc>
        <w:tc>
          <w:tcPr>
            <w:tcW w:w="861" w:type="pct"/>
            <w:shd w:val="clear" w:color="auto" w:fill="FFFFFF"/>
            <w:tcMar>
              <w:top w:w="113" w:type="dxa"/>
              <w:bottom w:w="85" w:type="dxa"/>
            </w:tcMar>
          </w:tcPr>
          <w:p w14:paraId="4C03AA13"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23</w:t>
            </w:r>
          </w:p>
        </w:tc>
        <w:tc>
          <w:tcPr>
            <w:tcW w:w="568" w:type="pct"/>
            <w:shd w:val="clear" w:color="auto" w:fill="auto"/>
          </w:tcPr>
          <w:p w14:paraId="43A07065"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70C0"/>
                <w:sz w:val="28"/>
                <w:szCs w:val="28"/>
              </w:rPr>
              <w:sym w:font="Wingdings" w:char="F06C"/>
            </w:r>
          </w:p>
        </w:tc>
      </w:tr>
      <w:tr w:rsidR="0049618D" w:rsidRPr="00A770FA" w14:paraId="54A7960B" w14:textId="77777777" w:rsidTr="00482893">
        <w:trPr>
          <w:cantSplit/>
          <w:trHeight w:val="19"/>
        </w:trPr>
        <w:tc>
          <w:tcPr>
            <w:tcW w:w="1478" w:type="pct"/>
            <w:shd w:val="clear" w:color="auto" w:fill="auto"/>
            <w:tcMar>
              <w:top w:w="113" w:type="dxa"/>
              <w:bottom w:w="85" w:type="dxa"/>
            </w:tcMar>
          </w:tcPr>
          <w:p w14:paraId="38CE7E65"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64D3C7A0"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تغطية تأمينية مُثلى</w:t>
            </w:r>
          </w:p>
        </w:tc>
        <w:tc>
          <w:tcPr>
            <w:tcW w:w="861" w:type="pct"/>
            <w:shd w:val="clear" w:color="auto" w:fill="FFFFFF"/>
            <w:tcMar>
              <w:top w:w="113" w:type="dxa"/>
              <w:bottom w:w="85" w:type="dxa"/>
            </w:tcMar>
          </w:tcPr>
          <w:p w14:paraId="2B9E2449"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23</w:t>
            </w:r>
          </w:p>
        </w:tc>
        <w:tc>
          <w:tcPr>
            <w:tcW w:w="568" w:type="pct"/>
            <w:shd w:val="clear" w:color="auto" w:fill="auto"/>
          </w:tcPr>
          <w:p w14:paraId="6CE2D238"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154FE636" w14:textId="77777777" w:rsidTr="00482893">
        <w:trPr>
          <w:cantSplit/>
          <w:trHeight w:val="153"/>
        </w:trPr>
        <w:tc>
          <w:tcPr>
            <w:tcW w:w="1478" w:type="pct"/>
            <w:shd w:val="clear" w:color="auto" w:fill="auto"/>
            <w:tcMar>
              <w:top w:w="113" w:type="dxa"/>
              <w:bottom w:w="85" w:type="dxa"/>
            </w:tcMar>
          </w:tcPr>
          <w:p w14:paraId="3C340CD2"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33DCB28D"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تحقيق وفورات في السلع والخدمات التي تشتريها الويبو (مستمدة من طلبات العطاءات أو المفاوضات المباشرة)</w:t>
            </w:r>
          </w:p>
        </w:tc>
        <w:tc>
          <w:tcPr>
            <w:tcW w:w="861" w:type="pct"/>
            <w:shd w:val="clear" w:color="auto" w:fill="FFFFFF"/>
            <w:tcMar>
              <w:top w:w="113" w:type="dxa"/>
              <w:bottom w:w="85" w:type="dxa"/>
            </w:tcMar>
          </w:tcPr>
          <w:p w14:paraId="34BA9208"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24</w:t>
            </w:r>
          </w:p>
        </w:tc>
        <w:tc>
          <w:tcPr>
            <w:tcW w:w="568" w:type="pct"/>
            <w:shd w:val="clear" w:color="auto" w:fill="auto"/>
          </w:tcPr>
          <w:p w14:paraId="74810955"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FF0000"/>
                <w:sz w:val="28"/>
                <w:szCs w:val="28"/>
              </w:rPr>
              <w:sym w:font="Wingdings" w:char="F06C"/>
            </w:r>
          </w:p>
        </w:tc>
      </w:tr>
      <w:tr w:rsidR="0049618D" w:rsidRPr="00A770FA" w14:paraId="6B42EC9E" w14:textId="77777777" w:rsidTr="00482893">
        <w:trPr>
          <w:cantSplit/>
          <w:trHeight w:val="16"/>
        </w:trPr>
        <w:tc>
          <w:tcPr>
            <w:tcW w:w="1478" w:type="pct"/>
            <w:shd w:val="clear" w:color="auto" w:fill="auto"/>
            <w:tcMar>
              <w:top w:w="113" w:type="dxa"/>
              <w:bottom w:w="85" w:type="dxa"/>
            </w:tcMar>
          </w:tcPr>
          <w:p w14:paraId="353F617C"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5B8BB0E8"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highlight w:val="yellow"/>
                <w:lang w:eastAsia="ar-EG" w:bidi="ar-EG"/>
              </w:rPr>
            </w:pPr>
            <w:r w:rsidRPr="00A770FA">
              <w:rPr>
                <w:rFonts w:ascii="Arabic Typesetting" w:eastAsia="Arabic Typesetting" w:hAnsi="Arabic Typesetting" w:cs="Arabic Typesetting"/>
                <w:color w:val="000000"/>
                <w:sz w:val="28"/>
                <w:szCs w:val="28"/>
                <w:rtl/>
                <w:lang w:eastAsia="ar-EG" w:bidi="ar-EG"/>
              </w:rPr>
              <w:t>مدة معالجة الطلبات الإلكترونية</w:t>
            </w:r>
          </w:p>
        </w:tc>
        <w:tc>
          <w:tcPr>
            <w:tcW w:w="861" w:type="pct"/>
            <w:shd w:val="clear" w:color="auto" w:fill="FFFFFF"/>
            <w:tcMar>
              <w:top w:w="113" w:type="dxa"/>
              <w:bottom w:w="85" w:type="dxa"/>
            </w:tcMar>
          </w:tcPr>
          <w:p w14:paraId="190E8C79"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24</w:t>
            </w:r>
          </w:p>
        </w:tc>
        <w:tc>
          <w:tcPr>
            <w:tcW w:w="568" w:type="pct"/>
            <w:shd w:val="clear" w:color="auto" w:fill="auto"/>
          </w:tcPr>
          <w:p w14:paraId="5E2FCFC7"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7ADDC6C0" w14:textId="77777777" w:rsidTr="00482893">
        <w:trPr>
          <w:cantSplit/>
          <w:trHeight w:val="16"/>
        </w:trPr>
        <w:tc>
          <w:tcPr>
            <w:tcW w:w="1478" w:type="pct"/>
            <w:shd w:val="clear" w:color="auto" w:fill="auto"/>
            <w:tcMar>
              <w:top w:w="113" w:type="dxa"/>
              <w:bottom w:w="85" w:type="dxa"/>
            </w:tcMar>
          </w:tcPr>
          <w:p w14:paraId="017C55C0"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9F24CE4"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مدة معالجة تصريحات السفر الإلكترونية</w:t>
            </w:r>
          </w:p>
        </w:tc>
        <w:tc>
          <w:tcPr>
            <w:tcW w:w="861" w:type="pct"/>
            <w:shd w:val="clear" w:color="auto" w:fill="FFFFFF"/>
            <w:tcMar>
              <w:top w:w="113" w:type="dxa"/>
              <w:bottom w:w="85" w:type="dxa"/>
            </w:tcMar>
          </w:tcPr>
          <w:p w14:paraId="7F7C8BC3"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24</w:t>
            </w:r>
          </w:p>
        </w:tc>
        <w:tc>
          <w:tcPr>
            <w:tcW w:w="568" w:type="pct"/>
            <w:shd w:val="clear" w:color="auto" w:fill="auto"/>
          </w:tcPr>
          <w:p w14:paraId="680AA160"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57E6C124" w14:textId="77777777" w:rsidTr="00482893">
        <w:trPr>
          <w:cantSplit/>
          <w:trHeight w:val="118"/>
        </w:trPr>
        <w:tc>
          <w:tcPr>
            <w:tcW w:w="1478" w:type="pct"/>
            <w:shd w:val="clear" w:color="auto" w:fill="auto"/>
            <w:tcMar>
              <w:top w:w="113" w:type="dxa"/>
              <w:bottom w:w="85" w:type="dxa"/>
            </w:tcMar>
          </w:tcPr>
          <w:p w14:paraId="291E9CA7"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66C7189"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مدة معالجة التأشيرات</w:t>
            </w:r>
          </w:p>
        </w:tc>
        <w:tc>
          <w:tcPr>
            <w:tcW w:w="861" w:type="pct"/>
            <w:shd w:val="clear" w:color="auto" w:fill="FFFFFF"/>
            <w:tcMar>
              <w:top w:w="113" w:type="dxa"/>
              <w:bottom w:w="85" w:type="dxa"/>
            </w:tcMar>
          </w:tcPr>
          <w:p w14:paraId="594C5774"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24</w:t>
            </w:r>
          </w:p>
        </w:tc>
        <w:tc>
          <w:tcPr>
            <w:tcW w:w="568" w:type="pct"/>
            <w:shd w:val="clear" w:color="auto" w:fill="auto"/>
          </w:tcPr>
          <w:p w14:paraId="60C3F04E"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736BAAF6" w14:textId="77777777" w:rsidTr="00482893">
        <w:trPr>
          <w:cantSplit/>
          <w:trHeight w:val="82"/>
        </w:trPr>
        <w:tc>
          <w:tcPr>
            <w:tcW w:w="1478" w:type="pct"/>
            <w:shd w:val="clear" w:color="auto" w:fill="auto"/>
            <w:tcMar>
              <w:top w:w="113" w:type="dxa"/>
              <w:bottom w:w="85" w:type="dxa"/>
            </w:tcMar>
          </w:tcPr>
          <w:p w14:paraId="4A8C75FE"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9976B0B"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متوسط أسعار تذاكر شركة إدارة الأسفار (</w:t>
            </w:r>
            <w:r w:rsidRPr="00A770FA">
              <w:rPr>
                <w:rFonts w:ascii="Arabic Typesetting" w:eastAsia="Arabic Typesetting" w:hAnsi="Arabic Typesetting" w:cs="Arabic Typesetting"/>
                <w:color w:val="000000"/>
                <w:sz w:val="28"/>
                <w:szCs w:val="28"/>
                <w:lang w:eastAsia="ar-EG" w:bidi="ar-EG"/>
              </w:rPr>
              <w:t>TMC</w:t>
            </w:r>
            <w:r w:rsidRPr="00A770FA">
              <w:rPr>
                <w:rFonts w:ascii="Arabic Typesetting" w:eastAsia="Arabic Typesetting" w:hAnsi="Arabic Typesetting" w:cs="Arabic Typesetting"/>
                <w:color w:val="000000"/>
                <w:sz w:val="28"/>
                <w:szCs w:val="28"/>
                <w:rtl/>
                <w:lang w:eastAsia="ar-EG" w:bidi="ar-EG"/>
              </w:rPr>
              <w:t>)</w:t>
            </w:r>
          </w:p>
        </w:tc>
        <w:tc>
          <w:tcPr>
            <w:tcW w:w="861" w:type="pct"/>
            <w:shd w:val="clear" w:color="auto" w:fill="FFFFFF"/>
            <w:tcMar>
              <w:top w:w="113" w:type="dxa"/>
              <w:bottom w:w="85" w:type="dxa"/>
            </w:tcMar>
          </w:tcPr>
          <w:p w14:paraId="10F22957"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24</w:t>
            </w:r>
          </w:p>
        </w:tc>
        <w:tc>
          <w:tcPr>
            <w:tcW w:w="568" w:type="pct"/>
            <w:shd w:val="clear" w:color="auto" w:fill="auto"/>
          </w:tcPr>
          <w:p w14:paraId="3528A5C1"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605DB3DD" w14:textId="77777777" w:rsidTr="00482893">
        <w:trPr>
          <w:cantSplit/>
          <w:trHeight w:val="224"/>
        </w:trPr>
        <w:tc>
          <w:tcPr>
            <w:tcW w:w="1478" w:type="pct"/>
            <w:shd w:val="clear" w:color="auto" w:fill="auto"/>
            <w:tcMar>
              <w:top w:w="113" w:type="dxa"/>
              <w:bottom w:w="85" w:type="dxa"/>
            </w:tcMar>
          </w:tcPr>
          <w:p w14:paraId="048A9502"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538327F2"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المتوسط العالمي لأسعار التذاكر</w:t>
            </w:r>
          </w:p>
        </w:tc>
        <w:tc>
          <w:tcPr>
            <w:tcW w:w="861" w:type="pct"/>
            <w:shd w:val="clear" w:color="auto" w:fill="FFFFFF"/>
            <w:tcMar>
              <w:top w:w="113" w:type="dxa"/>
              <w:bottom w:w="85" w:type="dxa"/>
            </w:tcMar>
          </w:tcPr>
          <w:p w14:paraId="69A04DEC"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24</w:t>
            </w:r>
          </w:p>
        </w:tc>
        <w:tc>
          <w:tcPr>
            <w:tcW w:w="568" w:type="pct"/>
            <w:shd w:val="clear" w:color="auto" w:fill="auto"/>
          </w:tcPr>
          <w:p w14:paraId="45DA3CDD"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7F434FEE" w14:textId="77777777" w:rsidTr="00482893">
        <w:trPr>
          <w:cantSplit/>
          <w:trHeight w:val="216"/>
        </w:trPr>
        <w:tc>
          <w:tcPr>
            <w:tcW w:w="1478" w:type="pct"/>
            <w:shd w:val="clear" w:color="auto" w:fill="auto"/>
            <w:tcMar>
              <w:top w:w="113" w:type="dxa"/>
              <w:bottom w:w="85" w:type="dxa"/>
            </w:tcMar>
          </w:tcPr>
          <w:p w14:paraId="05CA0D5D"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336F67BA"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متوسط رسوم الخدمات</w:t>
            </w:r>
          </w:p>
        </w:tc>
        <w:tc>
          <w:tcPr>
            <w:tcW w:w="861" w:type="pct"/>
            <w:shd w:val="clear" w:color="auto" w:fill="FFFFFF"/>
            <w:tcMar>
              <w:top w:w="113" w:type="dxa"/>
              <w:bottom w:w="85" w:type="dxa"/>
            </w:tcMar>
          </w:tcPr>
          <w:p w14:paraId="53EB1439"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24</w:t>
            </w:r>
          </w:p>
        </w:tc>
        <w:tc>
          <w:tcPr>
            <w:tcW w:w="568" w:type="pct"/>
            <w:shd w:val="clear" w:color="auto" w:fill="auto"/>
          </w:tcPr>
          <w:p w14:paraId="7C73BDBF"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06A9D148" w14:textId="77777777" w:rsidTr="00482893">
        <w:trPr>
          <w:cantSplit/>
          <w:trHeight w:val="335"/>
        </w:trPr>
        <w:tc>
          <w:tcPr>
            <w:tcW w:w="1478" w:type="pct"/>
            <w:shd w:val="clear" w:color="auto" w:fill="auto"/>
            <w:tcMar>
              <w:top w:w="113" w:type="dxa"/>
              <w:bottom w:w="85" w:type="dxa"/>
            </w:tcMar>
          </w:tcPr>
          <w:p w14:paraId="545E4DED"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40E06FAA"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مباني الويبو وتجهيزاتها لا تزال ملائمة للغرض</w:t>
            </w:r>
          </w:p>
        </w:tc>
        <w:tc>
          <w:tcPr>
            <w:tcW w:w="861" w:type="pct"/>
            <w:shd w:val="clear" w:color="auto" w:fill="FFFFFF"/>
            <w:tcMar>
              <w:top w:w="113" w:type="dxa"/>
              <w:bottom w:w="85" w:type="dxa"/>
            </w:tcMar>
          </w:tcPr>
          <w:p w14:paraId="7D289C2E"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24</w:t>
            </w:r>
          </w:p>
        </w:tc>
        <w:tc>
          <w:tcPr>
            <w:tcW w:w="568" w:type="pct"/>
            <w:shd w:val="clear" w:color="auto" w:fill="auto"/>
          </w:tcPr>
          <w:p w14:paraId="19FC7F3C"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7E126D8C" w14:textId="77777777" w:rsidTr="00482893">
        <w:trPr>
          <w:cantSplit/>
          <w:trHeight w:val="343"/>
        </w:trPr>
        <w:tc>
          <w:tcPr>
            <w:tcW w:w="1478" w:type="pct"/>
            <w:shd w:val="clear" w:color="auto" w:fill="auto"/>
            <w:tcMar>
              <w:top w:w="113" w:type="dxa"/>
              <w:bottom w:w="85" w:type="dxa"/>
            </w:tcMar>
          </w:tcPr>
          <w:p w14:paraId="3BCE5846"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761D5A35"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استخدام مباني الويبو وجميع أنواع الأماكن وشغلها على الوجه الأمثل</w:t>
            </w:r>
          </w:p>
        </w:tc>
        <w:tc>
          <w:tcPr>
            <w:tcW w:w="861" w:type="pct"/>
            <w:shd w:val="clear" w:color="auto" w:fill="FFFFFF"/>
            <w:tcMar>
              <w:top w:w="113" w:type="dxa"/>
              <w:bottom w:w="85" w:type="dxa"/>
            </w:tcMar>
          </w:tcPr>
          <w:p w14:paraId="5F1A88DB"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24</w:t>
            </w:r>
          </w:p>
        </w:tc>
        <w:tc>
          <w:tcPr>
            <w:tcW w:w="568" w:type="pct"/>
            <w:shd w:val="clear" w:color="auto" w:fill="auto"/>
          </w:tcPr>
          <w:p w14:paraId="18011F17"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43A03581" w14:textId="77777777" w:rsidTr="00482893">
        <w:trPr>
          <w:cantSplit/>
          <w:trHeight w:val="209"/>
        </w:trPr>
        <w:tc>
          <w:tcPr>
            <w:tcW w:w="1478" w:type="pct"/>
            <w:shd w:val="clear" w:color="auto" w:fill="auto"/>
            <w:tcMar>
              <w:top w:w="113" w:type="dxa"/>
              <w:bottom w:w="85" w:type="dxa"/>
            </w:tcMar>
          </w:tcPr>
          <w:p w14:paraId="24019CE8"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6CED2C4C"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للعناصر العالية القيمة (أي أعلى من 000 5 فرنك سويسري) الخاضعة للجرد</w:t>
            </w:r>
          </w:p>
        </w:tc>
        <w:tc>
          <w:tcPr>
            <w:tcW w:w="861" w:type="pct"/>
            <w:shd w:val="clear" w:color="auto" w:fill="FFFFFF"/>
            <w:tcMar>
              <w:top w:w="113" w:type="dxa"/>
              <w:bottom w:w="85" w:type="dxa"/>
            </w:tcMar>
          </w:tcPr>
          <w:p w14:paraId="61C94C67"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24</w:t>
            </w:r>
          </w:p>
        </w:tc>
        <w:tc>
          <w:tcPr>
            <w:tcW w:w="568" w:type="pct"/>
            <w:shd w:val="clear" w:color="auto" w:fill="auto"/>
          </w:tcPr>
          <w:p w14:paraId="028501BC"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2DF4DE87" w14:textId="77777777" w:rsidTr="00482893">
        <w:trPr>
          <w:cantSplit/>
          <w:trHeight w:val="203"/>
        </w:trPr>
        <w:tc>
          <w:tcPr>
            <w:tcW w:w="1478" w:type="pct"/>
            <w:shd w:val="clear" w:color="auto" w:fill="auto"/>
            <w:tcMar>
              <w:top w:w="113" w:type="dxa"/>
              <w:bottom w:w="85" w:type="dxa"/>
            </w:tcMar>
          </w:tcPr>
          <w:p w14:paraId="74317625"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88E69F2"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للعناصر التي تتراوح قيمتها بين 000 1 و000 5 فرنك سويسري، والمصنفات الفنية والعناصر الجذّابة</w:t>
            </w:r>
          </w:p>
        </w:tc>
        <w:tc>
          <w:tcPr>
            <w:tcW w:w="861" w:type="pct"/>
            <w:shd w:val="clear" w:color="auto" w:fill="FFFFFF"/>
            <w:tcMar>
              <w:top w:w="113" w:type="dxa"/>
              <w:bottom w:w="85" w:type="dxa"/>
            </w:tcMar>
          </w:tcPr>
          <w:p w14:paraId="7A83302B"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24</w:t>
            </w:r>
          </w:p>
        </w:tc>
        <w:tc>
          <w:tcPr>
            <w:tcW w:w="568" w:type="pct"/>
            <w:shd w:val="clear" w:color="auto" w:fill="auto"/>
          </w:tcPr>
          <w:p w14:paraId="15DBD7DC"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70C0"/>
                <w:sz w:val="28"/>
                <w:szCs w:val="28"/>
              </w:rPr>
              <w:sym w:font="Wingdings" w:char="F06C"/>
            </w:r>
          </w:p>
        </w:tc>
      </w:tr>
      <w:tr w:rsidR="0049618D" w:rsidRPr="00A770FA" w14:paraId="3507D9D0" w14:textId="77777777" w:rsidTr="00482893">
        <w:trPr>
          <w:cantSplit/>
          <w:trHeight w:val="211"/>
        </w:trPr>
        <w:tc>
          <w:tcPr>
            <w:tcW w:w="1478" w:type="pct"/>
            <w:shd w:val="clear" w:color="auto" w:fill="auto"/>
            <w:tcMar>
              <w:top w:w="113" w:type="dxa"/>
              <w:bottom w:w="85" w:type="dxa"/>
            </w:tcMar>
          </w:tcPr>
          <w:p w14:paraId="26099F16"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5A28D1C1" w14:textId="77777777" w:rsidR="0049618D" w:rsidRPr="00A770FA" w:rsidRDefault="0049618D" w:rsidP="00482893">
            <w:pPr>
              <w:bidi/>
              <w:spacing w:before="120" w:after="120" w:line="280" w:lineRule="exact"/>
              <w:rPr>
                <w:rFonts w:ascii="Arabic Typesetting" w:hAnsi="Arabic Typesetting" w:cs="Arabic Typesetting"/>
                <w:sz w:val="28"/>
                <w:szCs w:val="28"/>
              </w:rPr>
            </w:pPr>
            <w:r w:rsidRPr="00A770FA">
              <w:rPr>
                <w:rFonts w:ascii="Arabic Typesetting" w:eastAsia="Arabic Typesetting" w:hAnsi="Arabic Typesetting" w:cs="Arabic Typesetting"/>
                <w:color w:val="000000"/>
                <w:sz w:val="28"/>
                <w:szCs w:val="28"/>
                <w:rtl/>
                <w:lang w:eastAsia="ar-EG" w:bidi="ar-EG"/>
              </w:rPr>
              <w:t>استضافة منصّات تكنولوجيا المعلومات وإدارتها على نحو فعال من حيث التكلفة بما يتماشى مع متطلبات الأعمال</w:t>
            </w:r>
          </w:p>
        </w:tc>
        <w:tc>
          <w:tcPr>
            <w:tcW w:w="861" w:type="pct"/>
            <w:shd w:val="clear" w:color="auto" w:fill="FFFFFF"/>
            <w:tcMar>
              <w:top w:w="113" w:type="dxa"/>
              <w:bottom w:w="85" w:type="dxa"/>
            </w:tcMar>
          </w:tcPr>
          <w:p w14:paraId="6B03ACE1"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25</w:t>
            </w:r>
          </w:p>
        </w:tc>
        <w:tc>
          <w:tcPr>
            <w:tcW w:w="568" w:type="pct"/>
            <w:shd w:val="clear" w:color="auto" w:fill="auto"/>
          </w:tcPr>
          <w:p w14:paraId="070C36CB" w14:textId="77777777" w:rsidR="0049618D" w:rsidRPr="00A770FA" w:rsidRDefault="0049618D" w:rsidP="00482893">
            <w:pPr>
              <w:bidi/>
              <w:spacing w:before="120" w:after="120" w:line="280" w:lineRule="exact"/>
              <w:jc w:val="center"/>
              <w:rPr>
                <w:rFonts w:ascii="Arabic Typesetting" w:hAnsi="Arabic Typesetting" w:cs="Arabic Typesetting"/>
                <w:color w:val="00B050"/>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FF0000"/>
                <w:sz w:val="28"/>
                <w:szCs w:val="28"/>
              </w:rPr>
              <w:sym w:font="Wingdings" w:char="F06C"/>
            </w:r>
            <w:r w:rsidRPr="00A770FA">
              <w:rPr>
                <w:rFonts w:ascii="Arabic Typesetting" w:hAnsi="Arabic Typesetting" w:cs="Arabic Typesetting"/>
                <w:color w:val="FF0000"/>
                <w:sz w:val="28"/>
                <w:szCs w:val="28"/>
              </w:rPr>
              <w:sym w:font="Wingdings" w:char="F06C"/>
            </w:r>
            <w:r w:rsidRPr="00A770FA">
              <w:rPr>
                <w:rFonts w:ascii="Arabic Typesetting" w:hAnsi="Arabic Typesetting" w:cs="Arabic Typesetting"/>
                <w:color w:val="00B050"/>
                <w:sz w:val="28"/>
                <w:szCs w:val="28"/>
              </w:rPr>
              <w:sym w:font="Wingdings" w:char="F06C"/>
            </w:r>
          </w:p>
          <w:p w14:paraId="7A9EB161"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62E03A68" w14:textId="77777777" w:rsidTr="00482893">
        <w:trPr>
          <w:cantSplit/>
          <w:trHeight w:val="222"/>
        </w:trPr>
        <w:tc>
          <w:tcPr>
            <w:tcW w:w="1478" w:type="pct"/>
            <w:shd w:val="clear" w:color="auto" w:fill="auto"/>
            <w:tcMar>
              <w:top w:w="113" w:type="dxa"/>
              <w:bottom w:w="85" w:type="dxa"/>
            </w:tcMar>
          </w:tcPr>
          <w:p w14:paraId="093BD8E8"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57FCF5AD"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‏التزام أنشطة تطوير التطبيقات بمعايير الويبو الخاصة بالبيانات المرجعية والرئيسية</w:t>
            </w:r>
          </w:p>
        </w:tc>
        <w:tc>
          <w:tcPr>
            <w:tcW w:w="861" w:type="pct"/>
            <w:shd w:val="clear" w:color="auto" w:fill="FFFFFF"/>
            <w:tcMar>
              <w:top w:w="113" w:type="dxa"/>
              <w:bottom w:w="85" w:type="dxa"/>
            </w:tcMar>
          </w:tcPr>
          <w:p w14:paraId="1E69CCEF"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25</w:t>
            </w:r>
          </w:p>
        </w:tc>
        <w:tc>
          <w:tcPr>
            <w:tcW w:w="568" w:type="pct"/>
            <w:shd w:val="clear" w:color="auto" w:fill="auto"/>
          </w:tcPr>
          <w:p w14:paraId="5BE7B38E"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FF0000"/>
                <w:sz w:val="28"/>
                <w:szCs w:val="28"/>
              </w:rPr>
              <w:sym w:font="Wingdings" w:char="F06C"/>
            </w:r>
          </w:p>
        </w:tc>
      </w:tr>
      <w:tr w:rsidR="0049618D" w:rsidRPr="00A770FA" w14:paraId="0B862777" w14:textId="77777777" w:rsidTr="00482893">
        <w:trPr>
          <w:cantSplit/>
          <w:trHeight w:val="230"/>
        </w:trPr>
        <w:tc>
          <w:tcPr>
            <w:tcW w:w="1478" w:type="pct"/>
            <w:shd w:val="clear" w:color="auto" w:fill="auto"/>
            <w:tcMar>
              <w:top w:w="113" w:type="dxa"/>
              <w:bottom w:w="85" w:type="dxa"/>
            </w:tcMar>
          </w:tcPr>
          <w:p w14:paraId="4F2D903B"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2030938"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للزبائن الراضين عن خدمات مكتب الخدمات</w:t>
            </w:r>
          </w:p>
        </w:tc>
        <w:tc>
          <w:tcPr>
            <w:tcW w:w="861" w:type="pct"/>
            <w:shd w:val="clear" w:color="auto" w:fill="FFFFFF"/>
            <w:tcMar>
              <w:top w:w="113" w:type="dxa"/>
              <w:bottom w:w="85" w:type="dxa"/>
            </w:tcMar>
          </w:tcPr>
          <w:p w14:paraId="69855E64"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25</w:t>
            </w:r>
          </w:p>
        </w:tc>
        <w:tc>
          <w:tcPr>
            <w:tcW w:w="568" w:type="pct"/>
            <w:shd w:val="clear" w:color="auto" w:fill="auto"/>
          </w:tcPr>
          <w:p w14:paraId="3C83133F"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5CCEC804" w14:textId="77777777" w:rsidTr="00482893">
        <w:trPr>
          <w:cantSplit/>
          <w:trHeight w:val="516"/>
        </w:trPr>
        <w:tc>
          <w:tcPr>
            <w:tcW w:w="1478" w:type="pct"/>
            <w:shd w:val="clear" w:color="auto" w:fill="auto"/>
            <w:tcMar>
              <w:top w:w="113" w:type="dxa"/>
              <w:bottom w:w="85" w:type="dxa"/>
            </w:tcMar>
          </w:tcPr>
          <w:p w14:paraId="34A4AFF6"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CFF3EE5"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إدارة مشاريع تكنولوجيا المعلومات والاتصالات في الويبو وفقاً لمبادئ الويبو التوجيهية الخاصة بإدارة المشاريع ومبادئ الويبو التوجيهية الخاصة بانتقال الخدمات</w:t>
            </w:r>
          </w:p>
        </w:tc>
        <w:tc>
          <w:tcPr>
            <w:tcW w:w="861" w:type="pct"/>
            <w:shd w:val="clear" w:color="auto" w:fill="FFFFFF"/>
            <w:tcMar>
              <w:top w:w="113" w:type="dxa"/>
              <w:bottom w:w="85" w:type="dxa"/>
            </w:tcMar>
          </w:tcPr>
          <w:p w14:paraId="571C9874"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25</w:t>
            </w:r>
          </w:p>
        </w:tc>
        <w:tc>
          <w:tcPr>
            <w:tcW w:w="568" w:type="pct"/>
            <w:shd w:val="clear" w:color="auto" w:fill="auto"/>
          </w:tcPr>
          <w:p w14:paraId="7F117BFE"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p>
        </w:tc>
      </w:tr>
      <w:tr w:rsidR="0049618D" w:rsidRPr="00A770FA" w14:paraId="007773A8" w14:textId="77777777" w:rsidTr="00482893">
        <w:trPr>
          <w:cantSplit/>
          <w:trHeight w:val="335"/>
        </w:trPr>
        <w:tc>
          <w:tcPr>
            <w:tcW w:w="1478" w:type="pct"/>
            <w:shd w:val="clear" w:color="auto" w:fill="auto"/>
            <w:tcMar>
              <w:top w:w="113" w:type="dxa"/>
              <w:bottom w:w="85" w:type="dxa"/>
            </w:tcMar>
          </w:tcPr>
          <w:p w14:paraId="03DC2E54"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30E9FD12"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للمشاركين الداخليين والخارجيين الراضين عن خدمات المؤتمرات في الويبو</w:t>
            </w:r>
          </w:p>
        </w:tc>
        <w:tc>
          <w:tcPr>
            <w:tcW w:w="861" w:type="pct"/>
            <w:shd w:val="clear" w:color="auto" w:fill="FFFFFF"/>
            <w:tcMar>
              <w:top w:w="113" w:type="dxa"/>
              <w:bottom w:w="85" w:type="dxa"/>
            </w:tcMar>
          </w:tcPr>
          <w:p w14:paraId="1B9E69FE"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27</w:t>
            </w:r>
          </w:p>
        </w:tc>
        <w:tc>
          <w:tcPr>
            <w:tcW w:w="568" w:type="pct"/>
            <w:shd w:val="clear" w:color="auto" w:fill="auto"/>
          </w:tcPr>
          <w:p w14:paraId="2754EF92"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481EA709" w14:textId="77777777" w:rsidTr="00482893">
        <w:trPr>
          <w:cantSplit/>
          <w:trHeight w:val="185"/>
        </w:trPr>
        <w:tc>
          <w:tcPr>
            <w:tcW w:w="1478" w:type="pct"/>
            <w:shd w:val="clear" w:color="auto" w:fill="auto"/>
            <w:tcMar>
              <w:top w:w="113" w:type="dxa"/>
              <w:bottom w:w="85" w:type="dxa"/>
            </w:tcMar>
          </w:tcPr>
          <w:p w14:paraId="019CAFAE"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730C49CD"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تطبيق فعال لسياسة اللغات في الويبو</w:t>
            </w:r>
          </w:p>
        </w:tc>
        <w:tc>
          <w:tcPr>
            <w:tcW w:w="861" w:type="pct"/>
            <w:shd w:val="clear" w:color="auto" w:fill="FFFFFF"/>
            <w:tcMar>
              <w:top w:w="113" w:type="dxa"/>
              <w:bottom w:w="85" w:type="dxa"/>
            </w:tcMar>
          </w:tcPr>
          <w:p w14:paraId="39782D87"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27</w:t>
            </w:r>
          </w:p>
        </w:tc>
        <w:tc>
          <w:tcPr>
            <w:tcW w:w="568" w:type="pct"/>
            <w:shd w:val="clear" w:color="auto" w:fill="auto"/>
          </w:tcPr>
          <w:p w14:paraId="52775C59"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p>
        </w:tc>
      </w:tr>
      <w:tr w:rsidR="0049618D" w:rsidRPr="00A770FA" w14:paraId="7036BF2C" w14:textId="77777777" w:rsidTr="00482893">
        <w:trPr>
          <w:cantSplit/>
          <w:trHeight w:val="22"/>
        </w:trPr>
        <w:tc>
          <w:tcPr>
            <w:tcW w:w="1478" w:type="pct"/>
            <w:shd w:val="clear" w:color="auto" w:fill="auto"/>
            <w:tcMar>
              <w:top w:w="113" w:type="dxa"/>
              <w:bottom w:w="85" w:type="dxa"/>
            </w:tcMar>
          </w:tcPr>
          <w:p w14:paraId="5AFAE2E7"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65DFA191"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خفض تكاليف الطباعة (لكل صفحة)</w:t>
            </w:r>
          </w:p>
        </w:tc>
        <w:tc>
          <w:tcPr>
            <w:tcW w:w="861" w:type="pct"/>
            <w:shd w:val="clear" w:color="auto" w:fill="FFFFFF"/>
            <w:tcMar>
              <w:top w:w="113" w:type="dxa"/>
              <w:bottom w:w="85" w:type="dxa"/>
            </w:tcMar>
          </w:tcPr>
          <w:p w14:paraId="4F4615DC"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27</w:t>
            </w:r>
          </w:p>
        </w:tc>
        <w:tc>
          <w:tcPr>
            <w:tcW w:w="568" w:type="pct"/>
            <w:shd w:val="clear" w:color="auto" w:fill="auto"/>
          </w:tcPr>
          <w:p w14:paraId="4EC17F20"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FF0000"/>
                <w:sz w:val="28"/>
                <w:szCs w:val="28"/>
              </w:rPr>
              <w:sym w:font="Wingdings" w:char="F06C"/>
            </w:r>
          </w:p>
        </w:tc>
      </w:tr>
      <w:tr w:rsidR="0049618D" w:rsidRPr="00A770FA" w14:paraId="4FEAF0AA" w14:textId="77777777" w:rsidTr="00482893">
        <w:trPr>
          <w:cantSplit/>
          <w:trHeight w:val="335"/>
        </w:trPr>
        <w:tc>
          <w:tcPr>
            <w:tcW w:w="1478" w:type="pct"/>
            <w:shd w:val="clear" w:color="auto" w:fill="auto"/>
            <w:tcMar>
              <w:top w:w="113" w:type="dxa"/>
              <w:bottom w:w="85" w:type="dxa"/>
            </w:tcMar>
          </w:tcPr>
          <w:p w14:paraId="7F50DEEF"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5C8582DD"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نشر وثائق اللجان والأفرقة العاملة في مواعيدها</w:t>
            </w:r>
          </w:p>
        </w:tc>
        <w:tc>
          <w:tcPr>
            <w:tcW w:w="861" w:type="pct"/>
            <w:shd w:val="clear" w:color="auto" w:fill="FFFFFF"/>
            <w:tcMar>
              <w:top w:w="113" w:type="dxa"/>
              <w:bottom w:w="85" w:type="dxa"/>
            </w:tcMar>
          </w:tcPr>
          <w:p w14:paraId="08FA44DC"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27</w:t>
            </w:r>
          </w:p>
        </w:tc>
        <w:tc>
          <w:tcPr>
            <w:tcW w:w="568" w:type="pct"/>
            <w:shd w:val="clear" w:color="auto" w:fill="auto"/>
          </w:tcPr>
          <w:p w14:paraId="043066F8"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FF0000"/>
                <w:sz w:val="28"/>
                <w:szCs w:val="28"/>
              </w:rPr>
              <w:sym w:font="Wingdings" w:char="F06C"/>
            </w:r>
          </w:p>
        </w:tc>
      </w:tr>
      <w:tr w:rsidR="0049618D" w:rsidRPr="00A770FA" w14:paraId="4CACA13C" w14:textId="77777777" w:rsidTr="00482893">
        <w:trPr>
          <w:cantSplit/>
          <w:trHeight w:val="149"/>
        </w:trPr>
        <w:tc>
          <w:tcPr>
            <w:tcW w:w="1478" w:type="pct"/>
            <w:shd w:val="clear" w:color="auto" w:fill="auto"/>
            <w:tcMar>
              <w:top w:w="113" w:type="dxa"/>
              <w:bottom w:w="85" w:type="dxa"/>
            </w:tcMar>
          </w:tcPr>
          <w:p w14:paraId="031F88EC"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6BD46D12"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تكلفة الترجمة لكل كلمة</w:t>
            </w:r>
          </w:p>
        </w:tc>
        <w:tc>
          <w:tcPr>
            <w:tcW w:w="861" w:type="pct"/>
            <w:shd w:val="clear" w:color="auto" w:fill="FFFFFF"/>
            <w:tcMar>
              <w:top w:w="113" w:type="dxa"/>
              <w:bottom w:w="85" w:type="dxa"/>
            </w:tcMar>
          </w:tcPr>
          <w:p w14:paraId="4F69333E"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27</w:t>
            </w:r>
          </w:p>
        </w:tc>
        <w:tc>
          <w:tcPr>
            <w:tcW w:w="568" w:type="pct"/>
            <w:shd w:val="clear" w:color="auto" w:fill="auto"/>
          </w:tcPr>
          <w:p w14:paraId="11DFAAEB"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66BDB345" w14:textId="77777777" w:rsidTr="00482893">
        <w:trPr>
          <w:cantSplit/>
          <w:trHeight w:val="141"/>
        </w:trPr>
        <w:tc>
          <w:tcPr>
            <w:tcW w:w="1478" w:type="pct"/>
            <w:shd w:val="clear" w:color="auto" w:fill="auto"/>
            <w:tcMar>
              <w:top w:w="113" w:type="dxa"/>
              <w:bottom w:w="85" w:type="dxa"/>
            </w:tcMar>
          </w:tcPr>
          <w:p w14:paraId="15B2468D"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73495B32"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‏إدارة تأمين المعلومات مُحدَّدة ومنفَّذة</w:t>
            </w:r>
          </w:p>
        </w:tc>
        <w:tc>
          <w:tcPr>
            <w:tcW w:w="861" w:type="pct"/>
            <w:shd w:val="clear" w:color="auto" w:fill="FFFFFF"/>
            <w:tcMar>
              <w:top w:w="113" w:type="dxa"/>
              <w:bottom w:w="85" w:type="dxa"/>
            </w:tcMar>
          </w:tcPr>
          <w:p w14:paraId="603C9468"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28</w:t>
            </w:r>
            <w:r w:rsidRPr="00A770FA">
              <w:rPr>
                <w:rFonts w:ascii="Arabic Typesetting" w:hAnsi="Arabic Typesetting" w:cs="Arabic Typesetting"/>
                <w:sz w:val="28"/>
                <w:szCs w:val="28"/>
                <w:lang w:bidi="th-TH"/>
              </w:rPr>
              <w:t xml:space="preserve"> </w:t>
            </w:r>
          </w:p>
        </w:tc>
        <w:tc>
          <w:tcPr>
            <w:tcW w:w="568" w:type="pct"/>
            <w:shd w:val="clear" w:color="auto" w:fill="auto"/>
          </w:tcPr>
          <w:p w14:paraId="0F1654BE"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365E070B" w14:textId="77777777" w:rsidTr="00482893">
        <w:trPr>
          <w:cantSplit/>
          <w:trHeight w:val="335"/>
        </w:trPr>
        <w:tc>
          <w:tcPr>
            <w:tcW w:w="1478" w:type="pct"/>
            <w:shd w:val="clear" w:color="auto" w:fill="auto"/>
            <w:tcMar>
              <w:top w:w="113" w:type="dxa"/>
              <w:bottom w:w="85" w:type="dxa"/>
            </w:tcMar>
          </w:tcPr>
          <w:p w14:paraId="16934B64"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BBFEF54"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عدد الموظفين الذين هم على علم بمسؤولياتهم فيما يخص أمن المعلومات وسياسات الأمن وأفضل الممارسات</w:t>
            </w:r>
          </w:p>
        </w:tc>
        <w:tc>
          <w:tcPr>
            <w:tcW w:w="861" w:type="pct"/>
            <w:shd w:val="clear" w:color="auto" w:fill="FFFFFF"/>
            <w:tcMar>
              <w:top w:w="113" w:type="dxa"/>
              <w:bottom w:w="85" w:type="dxa"/>
            </w:tcMar>
          </w:tcPr>
          <w:p w14:paraId="7D4D4599"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28</w:t>
            </w:r>
          </w:p>
        </w:tc>
        <w:tc>
          <w:tcPr>
            <w:tcW w:w="568" w:type="pct"/>
            <w:shd w:val="clear" w:color="auto" w:fill="auto"/>
          </w:tcPr>
          <w:p w14:paraId="187407DA"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FF0000"/>
                <w:sz w:val="28"/>
                <w:szCs w:val="28"/>
              </w:rPr>
              <w:sym w:font="Wingdings" w:char="F06C"/>
            </w:r>
          </w:p>
        </w:tc>
      </w:tr>
      <w:tr w:rsidR="0049618D" w:rsidRPr="00A770FA" w14:paraId="05660CA5" w14:textId="77777777" w:rsidTr="00482893">
        <w:trPr>
          <w:cantSplit/>
          <w:trHeight w:val="335"/>
        </w:trPr>
        <w:tc>
          <w:tcPr>
            <w:tcW w:w="1478" w:type="pct"/>
            <w:vMerge w:val="restart"/>
            <w:shd w:val="clear" w:color="auto" w:fill="auto"/>
            <w:tcMar>
              <w:top w:w="113" w:type="dxa"/>
              <w:bottom w:w="85" w:type="dxa"/>
            </w:tcMar>
          </w:tcPr>
          <w:p w14:paraId="50410A76" w14:textId="45D1C646" w:rsidR="0049618D" w:rsidRPr="00A770FA" w:rsidRDefault="0049618D" w:rsidP="00482893">
            <w:pPr>
              <w:bidi/>
              <w:spacing w:before="120" w:after="120" w:line="280" w:lineRule="exact"/>
              <w:rPr>
                <w:rFonts w:ascii="Arabic Typesetting" w:hAnsi="Arabic Typesetting" w:cs="Arabic Typesetting"/>
                <w:sz w:val="28"/>
                <w:szCs w:val="28"/>
              </w:rPr>
            </w:pPr>
            <w:r w:rsidRPr="00A770FA">
              <w:rPr>
                <w:rFonts w:ascii="Arabic Typesetting" w:eastAsia="Arabic Typesetting" w:hAnsi="Arabic Typesetting" w:cs="Arabic Typesetting"/>
                <w:color w:val="000000"/>
                <w:sz w:val="28"/>
                <w:szCs w:val="28"/>
                <w:rtl/>
                <w:lang w:eastAsia="ar-EG" w:bidi="ar-EG"/>
              </w:rPr>
              <w:t xml:space="preserve">ه2.9 </w:t>
            </w:r>
            <w:r w:rsidR="002920A9">
              <w:rPr>
                <w:rFonts w:ascii="Arabic Typesetting" w:eastAsia="Arabic Typesetting" w:hAnsi="Arabic Typesetting" w:cs="Arabic Typesetting"/>
                <w:color w:val="000000"/>
                <w:sz w:val="28"/>
                <w:szCs w:val="28"/>
                <w:rtl/>
                <w:lang w:eastAsia="ar-EG" w:bidi="ar-EG"/>
              </w:rPr>
              <w:t>أمانة نبيهة تعمل بسلاسة وموظفون يعملون تحت إدارة جيّدة وبمهارات مناسبة ويحققون النتائج بكفاءة</w:t>
            </w:r>
          </w:p>
        </w:tc>
        <w:tc>
          <w:tcPr>
            <w:tcW w:w="2093" w:type="pct"/>
            <w:shd w:val="clear" w:color="auto" w:fill="auto"/>
            <w:tcMar>
              <w:top w:w="113" w:type="dxa"/>
              <w:bottom w:w="85" w:type="dxa"/>
            </w:tcMar>
          </w:tcPr>
          <w:p w14:paraId="6A3B260F" w14:textId="77777777" w:rsidR="0049618D" w:rsidRPr="00A770FA" w:rsidRDefault="0049618D" w:rsidP="00482893">
            <w:pPr>
              <w:bidi/>
              <w:spacing w:before="120" w:after="120" w:line="280" w:lineRule="exact"/>
              <w:rPr>
                <w:rFonts w:ascii="Arabic Typesetting" w:hAnsi="Arabic Typesetting" w:cs="Arabic Typesetting"/>
                <w:sz w:val="28"/>
                <w:szCs w:val="28"/>
              </w:rPr>
            </w:pPr>
            <w:r w:rsidRPr="00A770FA">
              <w:rPr>
                <w:rFonts w:ascii="Arabic Typesetting" w:eastAsia="Arabic Typesetting" w:hAnsi="Arabic Typesetting" w:cs="Arabic Typesetting"/>
                <w:color w:val="000000"/>
                <w:sz w:val="28"/>
                <w:szCs w:val="28"/>
                <w:rtl/>
                <w:lang w:eastAsia="ar-EG" w:bidi="ar-EG"/>
              </w:rPr>
              <w:t>إنشاء إطار جديد للمرونة التنظيمية واستمرارية العمل وإعداد الوثائق المتصلة به</w:t>
            </w:r>
          </w:p>
        </w:tc>
        <w:tc>
          <w:tcPr>
            <w:tcW w:w="861" w:type="pct"/>
            <w:shd w:val="clear" w:color="auto" w:fill="FFFFFF"/>
            <w:tcMar>
              <w:top w:w="113" w:type="dxa"/>
              <w:bottom w:w="85" w:type="dxa"/>
            </w:tcMar>
          </w:tcPr>
          <w:p w14:paraId="7A2FFB71"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21</w:t>
            </w:r>
          </w:p>
        </w:tc>
        <w:tc>
          <w:tcPr>
            <w:tcW w:w="568" w:type="pct"/>
            <w:shd w:val="clear" w:color="auto" w:fill="auto"/>
          </w:tcPr>
          <w:p w14:paraId="1DCE10C5"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4F1CF3B2" w14:textId="77777777" w:rsidTr="00482893">
        <w:trPr>
          <w:cantSplit/>
          <w:trHeight w:val="335"/>
        </w:trPr>
        <w:tc>
          <w:tcPr>
            <w:tcW w:w="1478" w:type="pct"/>
            <w:vMerge/>
            <w:shd w:val="clear" w:color="auto" w:fill="auto"/>
            <w:tcMar>
              <w:top w:w="113" w:type="dxa"/>
              <w:bottom w:w="85" w:type="dxa"/>
            </w:tcMar>
          </w:tcPr>
          <w:p w14:paraId="36FFB676"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B07A044" w14:textId="77777777" w:rsidR="0049618D" w:rsidRPr="00A770FA" w:rsidRDefault="0049618D" w:rsidP="00482893">
            <w:pPr>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التقرير المالي المُرضي الذي قدمه مراجعو الحسابات الخارجيون يؤكد امتثال العمليات المالية لأحكام اتفاقيات ومعاهدات الويبو السارية ونظام الويبو المالي ولائحته والمعايير المحاسبية الدولية للقطاع العام (</w:t>
            </w:r>
            <w:r w:rsidRPr="00A770FA">
              <w:rPr>
                <w:rFonts w:ascii="Arabic Typesetting" w:eastAsia="Arabic Typesetting" w:hAnsi="Arabic Typesetting" w:cs="Arabic Typesetting"/>
                <w:color w:val="000000"/>
                <w:sz w:val="28"/>
                <w:szCs w:val="28"/>
                <w:lang w:eastAsia="ar-EG" w:bidi="ar-EG"/>
              </w:rPr>
              <w:t>IPSAS</w:t>
            </w:r>
            <w:r w:rsidRPr="00A770FA">
              <w:rPr>
                <w:rFonts w:ascii="Arabic Typesetting" w:eastAsia="Arabic Typesetting" w:hAnsi="Arabic Typesetting" w:cs="Arabic Typesetting"/>
                <w:color w:val="000000"/>
                <w:sz w:val="28"/>
                <w:szCs w:val="28"/>
                <w:rtl/>
                <w:lang w:eastAsia="ar-EG" w:bidi="ar-EG"/>
              </w:rPr>
              <w:t>)</w:t>
            </w:r>
          </w:p>
        </w:tc>
        <w:tc>
          <w:tcPr>
            <w:tcW w:w="861" w:type="pct"/>
            <w:shd w:val="clear" w:color="auto" w:fill="FFFFFF"/>
            <w:tcMar>
              <w:top w:w="113" w:type="dxa"/>
              <w:bottom w:w="85" w:type="dxa"/>
            </w:tcMar>
          </w:tcPr>
          <w:p w14:paraId="3E9C0A8C"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22</w:t>
            </w:r>
          </w:p>
        </w:tc>
        <w:tc>
          <w:tcPr>
            <w:tcW w:w="568" w:type="pct"/>
            <w:shd w:val="clear" w:color="auto" w:fill="auto"/>
          </w:tcPr>
          <w:p w14:paraId="034D7F65"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77BF4FF7" w14:textId="77777777" w:rsidTr="00482893">
        <w:trPr>
          <w:cantSplit/>
          <w:trHeight w:val="239"/>
        </w:trPr>
        <w:tc>
          <w:tcPr>
            <w:tcW w:w="1478" w:type="pct"/>
            <w:shd w:val="clear" w:color="auto" w:fill="auto"/>
            <w:tcMar>
              <w:top w:w="113" w:type="dxa"/>
              <w:bottom w:w="85" w:type="dxa"/>
            </w:tcMar>
          </w:tcPr>
          <w:p w14:paraId="24BDE1BD"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2389D39F" w14:textId="77777777" w:rsidR="0049618D" w:rsidRPr="00A770FA" w:rsidRDefault="0049618D" w:rsidP="00482893">
            <w:pPr>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تعزيز نضج الإدارة القائمة على النتائج</w:t>
            </w:r>
          </w:p>
        </w:tc>
        <w:tc>
          <w:tcPr>
            <w:tcW w:w="861" w:type="pct"/>
            <w:shd w:val="clear" w:color="auto" w:fill="FFFFFF"/>
            <w:tcMar>
              <w:top w:w="113" w:type="dxa"/>
              <w:bottom w:w="85" w:type="dxa"/>
            </w:tcMar>
          </w:tcPr>
          <w:p w14:paraId="79884AEF"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22</w:t>
            </w:r>
          </w:p>
        </w:tc>
        <w:tc>
          <w:tcPr>
            <w:tcW w:w="568" w:type="pct"/>
            <w:shd w:val="clear" w:color="auto" w:fill="auto"/>
          </w:tcPr>
          <w:p w14:paraId="7CAF9A4C"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70C0"/>
                <w:sz w:val="28"/>
                <w:szCs w:val="28"/>
              </w:rPr>
              <w:sym w:font="Wingdings" w:char="F06C"/>
            </w:r>
          </w:p>
        </w:tc>
      </w:tr>
      <w:tr w:rsidR="0049618D" w:rsidRPr="00A770FA" w14:paraId="5C612795" w14:textId="77777777" w:rsidTr="00482893">
        <w:trPr>
          <w:cantSplit/>
          <w:trHeight w:val="335"/>
        </w:trPr>
        <w:tc>
          <w:tcPr>
            <w:tcW w:w="1478" w:type="pct"/>
            <w:shd w:val="clear" w:color="auto" w:fill="auto"/>
            <w:tcMar>
              <w:top w:w="113" w:type="dxa"/>
              <w:bottom w:w="85" w:type="dxa"/>
            </w:tcMar>
          </w:tcPr>
          <w:p w14:paraId="016BA867"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A2819AA" w14:textId="77777777" w:rsidR="0049618D" w:rsidRPr="00A770FA" w:rsidRDefault="0049618D" w:rsidP="00482893">
            <w:pPr>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تماشي عوائد الأموال المستثمرة مع المعايير المرجعية التي وضعتها اللجنة الاستشارية المعنية بالاستثمار</w:t>
            </w:r>
          </w:p>
        </w:tc>
        <w:tc>
          <w:tcPr>
            <w:tcW w:w="861" w:type="pct"/>
            <w:shd w:val="clear" w:color="auto" w:fill="FFFFFF"/>
            <w:tcMar>
              <w:top w:w="113" w:type="dxa"/>
              <w:bottom w:w="85" w:type="dxa"/>
            </w:tcMar>
          </w:tcPr>
          <w:p w14:paraId="0F6D429D"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22</w:t>
            </w:r>
          </w:p>
        </w:tc>
        <w:tc>
          <w:tcPr>
            <w:tcW w:w="568" w:type="pct"/>
            <w:shd w:val="clear" w:color="auto" w:fill="auto"/>
          </w:tcPr>
          <w:p w14:paraId="6DA13452"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56E72456" w14:textId="77777777" w:rsidTr="00482893">
        <w:trPr>
          <w:cantSplit/>
          <w:trHeight w:val="185"/>
        </w:trPr>
        <w:tc>
          <w:tcPr>
            <w:tcW w:w="1478" w:type="pct"/>
            <w:shd w:val="clear" w:color="auto" w:fill="auto"/>
            <w:tcMar>
              <w:top w:w="113" w:type="dxa"/>
              <w:bottom w:w="85" w:type="dxa"/>
            </w:tcMar>
          </w:tcPr>
          <w:p w14:paraId="1638760B"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F154197" w14:textId="77777777" w:rsidR="0049618D" w:rsidRPr="00A770FA" w:rsidRDefault="0049618D" w:rsidP="00482893">
            <w:pPr>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الإدارة الفعالة للنفقات والاحتياطيات</w:t>
            </w:r>
          </w:p>
        </w:tc>
        <w:tc>
          <w:tcPr>
            <w:tcW w:w="861" w:type="pct"/>
            <w:shd w:val="clear" w:color="auto" w:fill="FFFFFF"/>
            <w:tcMar>
              <w:top w:w="113" w:type="dxa"/>
              <w:bottom w:w="85" w:type="dxa"/>
            </w:tcMar>
          </w:tcPr>
          <w:p w14:paraId="3D81FD2C"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22</w:t>
            </w:r>
          </w:p>
        </w:tc>
        <w:tc>
          <w:tcPr>
            <w:tcW w:w="568" w:type="pct"/>
            <w:shd w:val="clear" w:color="auto" w:fill="auto"/>
          </w:tcPr>
          <w:p w14:paraId="3EDA471E"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08855820" w14:textId="77777777" w:rsidTr="00482893">
        <w:trPr>
          <w:cantSplit/>
          <w:trHeight w:val="21"/>
        </w:trPr>
        <w:tc>
          <w:tcPr>
            <w:tcW w:w="1478" w:type="pct"/>
            <w:shd w:val="clear" w:color="auto" w:fill="auto"/>
            <w:tcMar>
              <w:top w:w="113" w:type="dxa"/>
              <w:bottom w:w="85" w:type="dxa"/>
            </w:tcMar>
          </w:tcPr>
          <w:p w14:paraId="7C69DA4B"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3E87466" w14:textId="77777777" w:rsidR="0049618D" w:rsidRPr="00A770FA" w:rsidRDefault="0049618D" w:rsidP="00482893">
            <w:pPr>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سداد المدفوعات (بما في ذلك رسوم مدريد ولاهاي) في المواعيد المحددة</w:t>
            </w:r>
          </w:p>
        </w:tc>
        <w:tc>
          <w:tcPr>
            <w:tcW w:w="861" w:type="pct"/>
            <w:shd w:val="clear" w:color="auto" w:fill="FFFFFF"/>
            <w:tcMar>
              <w:top w:w="113" w:type="dxa"/>
              <w:bottom w:w="85" w:type="dxa"/>
            </w:tcMar>
          </w:tcPr>
          <w:p w14:paraId="07C617FE"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22</w:t>
            </w:r>
          </w:p>
        </w:tc>
        <w:tc>
          <w:tcPr>
            <w:tcW w:w="568" w:type="pct"/>
            <w:shd w:val="clear" w:color="auto" w:fill="auto"/>
          </w:tcPr>
          <w:p w14:paraId="559321D2"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p>
        </w:tc>
      </w:tr>
      <w:tr w:rsidR="0049618D" w:rsidRPr="00A770FA" w14:paraId="2E863938" w14:textId="77777777" w:rsidTr="00482893">
        <w:trPr>
          <w:cantSplit/>
          <w:trHeight w:val="110"/>
        </w:trPr>
        <w:tc>
          <w:tcPr>
            <w:tcW w:w="1478" w:type="pct"/>
            <w:shd w:val="clear" w:color="auto" w:fill="auto"/>
            <w:tcMar>
              <w:top w:w="113" w:type="dxa"/>
              <w:bottom w:w="85" w:type="dxa"/>
            </w:tcMar>
          </w:tcPr>
          <w:p w14:paraId="7E926723"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518BADAA"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للنساء في المناصب من فئة الفنيين فما فوق</w:t>
            </w:r>
          </w:p>
        </w:tc>
        <w:tc>
          <w:tcPr>
            <w:tcW w:w="861" w:type="pct"/>
            <w:shd w:val="clear" w:color="auto" w:fill="FFFFFF"/>
            <w:tcMar>
              <w:top w:w="113" w:type="dxa"/>
              <w:bottom w:w="85" w:type="dxa"/>
            </w:tcMar>
          </w:tcPr>
          <w:p w14:paraId="769227A6"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23</w:t>
            </w:r>
          </w:p>
        </w:tc>
        <w:tc>
          <w:tcPr>
            <w:tcW w:w="568" w:type="pct"/>
            <w:shd w:val="clear" w:color="auto" w:fill="auto"/>
          </w:tcPr>
          <w:p w14:paraId="600803CA" w14:textId="77777777" w:rsidR="0049618D" w:rsidRPr="00A770FA" w:rsidRDefault="0049618D" w:rsidP="00482893">
            <w:pPr>
              <w:bidi/>
              <w:spacing w:before="120" w:after="120" w:line="280" w:lineRule="exact"/>
              <w:jc w:val="center"/>
              <w:rPr>
                <w:rFonts w:ascii="Arabic Typesetting" w:hAnsi="Arabic Typesetting" w:cs="Arabic Typesetting"/>
                <w:color w:val="A6A6A6"/>
                <w:sz w:val="28"/>
                <w:szCs w:val="28"/>
              </w:rPr>
            </w:pPr>
            <w:r w:rsidRPr="00A770FA">
              <w:rPr>
                <w:rFonts w:ascii="Arabic Typesetting" w:hAnsi="Arabic Typesetting" w:cs="Arabic Typesetting"/>
                <w:color w:val="FF0000"/>
                <w:sz w:val="28"/>
                <w:szCs w:val="28"/>
              </w:rPr>
              <w:sym w:font="Wingdings" w:char="F06C"/>
            </w: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FF0000"/>
                <w:sz w:val="28"/>
                <w:szCs w:val="28"/>
              </w:rPr>
              <w:sym w:font="Wingdings" w:char="F06C"/>
            </w:r>
          </w:p>
        </w:tc>
      </w:tr>
      <w:tr w:rsidR="0049618D" w:rsidRPr="00A770FA" w14:paraId="116CE1ED" w14:textId="77777777" w:rsidTr="00482893">
        <w:trPr>
          <w:cantSplit/>
          <w:trHeight w:val="102"/>
        </w:trPr>
        <w:tc>
          <w:tcPr>
            <w:tcW w:w="1478" w:type="pct"/>
            <w:shd w:val="clear" w:color="auto" w:fill="auto"/>
            <w:tcMar>
              <w:top w:w="113" w:type="dxa"/>
              <w:bottom w:w="85" w:type="dxa"/>
            </w:tcMar>
          </w:tcPr>
          <w:p w14:paraId="6E4DF534"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3FC4C041"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‏مهلة البدء في التعيينات</w:t>
            </w:r>
          </w:p>
        </w:tc>
        <w:tc>
          <w:tcPr>
            <w:tcW w:w="861" w:type="pct"/>
            <w:shd w:val="clear" w:color="auto" w:fill="FFFFFF"/>
            <w:tcMar>
              <w:top w:w="113" w:type="dxa"/>
              <w:bottom w:w="85" w:type="dxa"/>
            </w:tcMar>
          </w:tcPr>
          <w:p w14:paraId="7A105AE5"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23</w:t>
            </w:r>
          </w:p>
        </w:tc>
        <w:tc>
          <w:tcPr>
            <w:tcW w:w="568" w:type="pct"/>
            <w:shd w:val="clear" w:color="auto" w:fill="auto"/>
          </w:tcPr>
          <w:p w14:paraId="607C08DD"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33153863" w14:textId="77777777" w:rsidTr="00482893">
        <w:trPr>
          <w:cantSplit/>
          <w:trHeight w:val="335"/>
        </w:trPr>
        <w:tc>
          <w:tcPr>
            <w:tcW w:w="1478" w:type="pct"/>
            <w:shd w:val="clear" w:color="auto" w:fill="auto"/>
            <w:tcMar>
              <w:top w:w="113" w:type="dxa"/>
              <w:bottom w:w="85" w:type="dxa"/>
            </w:tcMar>
          </w:tcPr>
          <w:p w14:paraId="1923FA32"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4421361" w14:textId="77777777" w:rsidR="0049618D" w:rsidRPr="00A770FA" w:rsidRDefault="0049618D" w:rsidP="00482893">
            <w:pPr>
              <w:keepLines/>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للموظفين الذين يقيم أداؤهم مقارنة بأهدافهم وكفاءاتهم الفردية</w:t>
            </w:r>
          </w:p>
        </w:tc>
        <w:tc>
          <w:tcPr>
            <w:tcW w:w="861" w:type="pct"/>
            <w:shd w:val="clear" w:color="auto" w:fill="FFFFFF"/>
            <w:tcMar>
              <w:top w:w="113" w:type="dxa"/>
              <w:bottom w:w="85" w:type="dxa"/>
            </w:tcMar>
          </w:tcPr>
          <w:p w14:paraId="45EE2117"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23</w:t>
            </w:r>
          </w:p>
        </w:tc>
        <w:tc>
          <w:tcPr>
            <w:tcW w:w="568" w:type="pct"/>
            <w:shd w:val="clear" w:color="auto" w:fill="auto"/>
          </w:tcPr>
          <w:p w14:paraId="5B7859AD"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7AD9F01B" w14:textId="77777777" w:rsidTr="00482893">
        <w:trPr>
          <w:cantSplit/>
          <w:trHeight w:val="335"/>
        </w:trPr>
        <w:tc>
          <w:tcPr>
            <w:tcW w:w="1478" w:type="pct"/>
            <w:shd w:val="clear" w:color="auto" w:fill="auto"/>
            <w:tcMar>
              <w:top w:w="113" w:type="dxa"/>
              <w:bottom w:w="85" w:type="dxa"/>
            </w:tcMar>
          </w:tcPr>
          <w:p w14:paraId="5020EF14"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A80A630" w14:textId="77777777" w:rsidR="0049618D" w:rsidRPr="00A770FA" w:rsidRDefault="0049618D" w:rsidP="00482893">
            <w:pPr>
              <w:keepNext/>
              <w:keepLines/>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عدد الأيام المستغرقة من أجل "1" إخطار الموظفين بالقرارات في التماسات إعادة النظر/التظلمات؛ "2" وإخطار الموظفين بالقرارات في حالات النقض/الحالات التأديبية؛ "3" والرد على التماسات المشورة</w:t>
            </w:r>
          </w:p>
        </w:tc>
        <w:tc>
          <w:tcPr>
            <w:tcW w:w="861" w:type="pct"/>
            <w:shd w:val="clear" w:color="auto" w:fill="FFFFFF"/>
            <w:tcMar>
              <w:top w:w="113" w:type="dxa"/>
              <w:bottom w:w="85" w:type="dxa"/>
            </w:tcMar>
          </w:tcPr>
          <w:p w14:paraId="547443B2"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23</w:t>
            </w:r>
          </w:p>
        </w:tc>
        <w:tc>
          <w:tcPr>
            <w:tcW w:w="568" w:type="pct"/>
            <w:shd w:val="clear" w:color="auto" w:fill="auto"/>
          </w:tcPr>
          <w:p w14:paraId="0B55EFB7"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p>
        </w:tc>
      </w:tr>
      <w:tr w:rsidR="0049618D" w:rsidRPr="00A770FA" w14:paraId="3FE5DF60" w14:textId="77777777" w:rsidTr="00482893">
        <w:trPr>
          <w:cantSplit/>
          <w:trHeight w:val="16"/>
        </w:trPr>
        <w:tc>
          <w:tcPr>
            <w:tcW w:w="1478" w:type="pct"/>
            <w:shd w:val="clear" w:color="auto" w:fill="auto"/>
            <w:tcMar>
              <w:top w:w="113" w:type="dxa"/>
              <w:bottom w:w="85" w:type="dxa"/>
            </w:tcMar>
          </w:tcPr>
          <w:p w14:paraId="15DD3798"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62AA7864" w14:textId="175463D5"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‏التنوع الجغرافي: النسبة المئوية للموظفين</w:t>
            </w:r>
            <w:r w:rsidR="00DF47AF">
              <w:rPr>
                <w:rFonts w:ascii="Arabic Typesetting" w:eastAsia="Arabic Typesetting" w:hAnsi="Arabic Typesetting" w:cs="Arabic Typesetting"/>
                <w:color w:val="000000"/>
                <w:sz w:val="28"/>
                <w:szCs w:val="28"/>
                <w:rtl/>
                <w:lang w:eastAsia="ar-EG" w:bidi="ar-EG"/>
              </w:rPr>
              <w:t xml:space="preserve"> </w:t>
            </w:r>
            <w:r w:rsidRPr="00A770FA">
              <w:rPr>
                <w:rFonts w:ascii="Arabic Typesetting" w:eastAsia="Arabic Typesetting" w:hAnsi="Arabic Typesetting" w:cs="Arabic Typesetting"/>
                <w:color w:val="000000"/>
                <w:sz w:val="28"/>
                <w:szCs w:val="28"/>
                <w:rtl/>
                <w:lang w:eastAsia="ar-EG" w:bidi="ar-EG"/>
              </w:rPr>
              <w:t>في كل منطقة</w:t>
            </w:r>
          </w:p>
        </w:tc>
        <w:tc>
          <w:tcPr>
            <w:tcW w:w="861" w:type="pct"/>
            <w:shd w:val="clear" w:color="auto" w:fill="FFFFFF"/>
            <w:tcMar>
              <w:top w:w="113" w:type="dxa"/>
              <w:bottom w:w="85" w:type="dxa"/>
            </w:tcMar>
          </w:tcPr>
          <w:p w14:paraId="40D97AAE"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23</w:t>
            </w:r>
          </w:p>
        </w:tc>
        <w:tc>
          <w:tcPr>
            <w:tcW w:w="568" w:type="pct"/>
            <w:shd w:val="clear" w:color="auto" w:fill="auto"/>
          </w:tcPr>
          <w:p w14:paraId="724443B1"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A6A6A6" w:themeColor="background1" w:themeShade="A6"/>
                <w:sz w:val="28"/>
                <w:szCs w:val="28"/>
              </w:rPr>
              <w:sym w:font="Wingdings" w:char="F06C"/>
            </w:r>
          </w:p>
        </w:tc>
      </w:tr>
      <w:tr w:rsidR="0049618D" w:rsidRPr="00A770FA" w14:paraId="347F4A18" w14:textId="77777777" w:rsidTr="00482893">
        <w:trPr>
          <w:cantSplit/>
          <w:trHeight w:val="335"/>
        </w:trPr>
        <w:tc>
          <w:tcPr>
            <w:tcW w:w="1478" w:type="pct"/>
            <w:shd w:val="clear" w:color="auto" w:fill="auto"/>
            <w:tcMar>
              <w:top w:w="113" w:type="dxa"/>
              <w:bottom w:w="85" w:type="dxa"/>
            </w:tcMar>
          </w:tcPr>
          <w:p w14:paraId="70B74C4D"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42F70B6D"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عدد الطلبات الواردة من الدول الأعضاء غير الممثلة كنسبة مئوية من مجموع الطلبات</w:t>
            </w:r>
          </w:p>
        </w:tc>
        <w:tc>
          <w:tcPr>
            <w:tcW w:w="861" w:type="pct"/>
            <w:shd w:val="clear" w:color="auto" w:fill="FFFFFF"/>
            <w:tcMar>
              <w:top w:w="113" w:type="dxa"/>
              <w:bottom w:w="85" w:type="dxa"/>
            </w:tcMar>
          </w:tcPr>
          <w:p w14:paraId="1A7E2C31"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23</w:t>
            </w:r>
          </w:p>
        </w:tc>
        <w:tc>
          <w:tcPr>
            <w:tcW w:w="568" w:type="pct"/>
            <w:shd w:val="clear" w:color="auto" w:fill="auto"/>
          </w:tcPr>
          <w:p w14:paraId="7572143C"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59692045" w14:textId="77777777" w:rsidTr="00482893">
        <w:trPr>
          <w:cantSplit/>
          <w:trHeight w:val="16"/>
        </w:trPr>
        <w:tc>
          <w:tcPr>
            <w:tcW w:w="1478" w:type="pct"/>
            <w:shd w:val="clear" w:color="auto" w:fill="auto"/>
            <w:tcMar>
              <w:top w:w="113" w:type="dxa"/>
              <w:bottom w:w="85" w:type="dxa"/>
            </w:tcMar>
          </w:tcPr>
          <w:p w14:paraId="124A3DC8"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4530EAF0" w14:textId="77777777" w:rsidR="0049618D" w:rsidRPr="00A770FA" w:rsidRDefault="0049618D" w:rsidP="00482893">
            <w:pPr>
              <w:keepNext/>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تعزيز نضج التخطيط للموارد البشرية</w:t>
            </w:r>
          </w:p>
        </w:tc>
        <w:tc>
          <w:tcPr>
            <w:tcW w:w="861" w:type="pct"/>
            <w:shd w:val="clear" w:color="auto" w:fill="FFFFFF"/>
            <w:tcMar>
              <w:top w:w="113" w:type="dxa"/>
              <w:bottom w:w="85" w:type="dxa"/>
            </w:tcMar>
          </w:tcPr>
          <w:p w14:paraId="00B1C565"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23</w:t>
            </w:r>
          </w:p>
        </w:tc>
        <w:tc>
          <w:tcPr>
            <w:tcW w:w="568" w:type="pct"/>
            <w:shd w:val="clear" w:color="auto" w:fill="auto"/>
          </w:tcPr>
          <w:p w14:paraId="3EEE5CC1"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70C0"/>
                <w:sz w:val="28"/>
                <w:szCs w:val="28"/>
              </w:rPr>
              <w:sym w:font="Wingdings" w:char="F06C"/>
            </w:r>
          </w:p>
        </w:tc>
      </w:tr>
      <w:tr w:rsidR="0049618D" w:rsidRPr="00A770FA" w14:paraId="04216D70" w14:textId="77777777" w:rsidTr="00482893">
        <w:trPr>
          <w:cantSplit/>
          <w:trHeight w:val="335"/>
        </w:trPr>
        <w:tc>
          <w:tcPr>
            <w:tcW w:w="1478" w:type="pct"/>
            <w:shd w:val="clear" w:color="auto" w:fill="auto"/>
            <w:tcMar>
              <w:top w:w="113" w:type="dxa"/>
              <w:bottom w:w="85" w:type="dxa"/>
            </w:tcMar>
          </w:tcPr>
          <w:p w14:paraId="3107D94C"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5281779" w14:textId="77777777" w:rsidR="0049618D" w:rsidRPr="00A770FA" w:rsidRDefault="0049618D" w:rsidP="00482893">
            <w:pPr>
              <w:keepNext/>
              <w:keepLines/>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لبرامج التدريب اللازمة من أجل "1" احتياجات التدريب الجماعية الهامة؛ "2" واحتياجات التدريب الفردية</w:t>
            </w:r>
          </w:p>
        </w:tc>
        <w:tc>
          <w:tcPr>
            <w:tcW w:w="861" w:type="pct"/>
            <w:shd w:val="clear" w:color="auto" w:fill="FFFFFF"/>
            <w:tcMar>
              <w:top w:w="113" w:type="dxa"/>
              <w:bottom w:w="85" w:type="dxa"/>
            </w:tcMar>
          </w:tcPr>
          <w:p w14:paraId="3E192EC9"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23</w:t>
            </w:r>
          </w:p>
        </w:tc>
        <w:tc>
          <w:tcPr>
            <w:tcW w:w="568" w:type="pct"/>
            <w:shd w:val="clear" w:color="auto" w:fill="auto"/>
          </w:tcPr>
          <w:p w14:paraId="6724A6D7"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p>
        </w:tc>
      </w:tr>
      <w:tr w:rsidR="0049618D" w:rsidRPr="00A770FA" w14:paraId="431A8B34" w14:textId="77777777" w:rsidTr="00482893">
        <w:trPr>
          <w:cantSplit/>
          <w:trHeight w:val="335"/>
        </w:trPr>
        <w:tc>
          <w:tcPr>
            <w:tcW w:w="1478" w:type="pct"/>
            <w:vMerge w:val="restart"/>
            <w:shd w:val="clear" w:color="auto" w:fill="auto"/>
            <w:tcMar>
              <w:top w:w="113" w:type="dxa"/>
              <w:bottom w:w="85" w:type="dxa"/>
            </w:tcMar>
          </w:tcPr>
          <w:p w14:paraId="1170014F" w14:textId="77777777" w:rsidR="0049618D" w:rsidRPr="00A770FA" w:rsidRDefault="0049618D" w:rsidP="00482893">
            <w:pPr>
              <w:bidi/>
              <w:spacing w:before="120" w:after="120" w:line="280" w:lineRule="exact"/>
              <w:rPr>
                <w:rFonts w:ascii="Arabic Typesetting" w:hAnsi="Arabic Typesetting" w:cs="Arabic Typesetting"/>
                <w:sz w:val="28"/>
                <w:szCs w:val="28"/>
              </w:rPr>
            </w:pPr>
            <w:r w:rsidRPr="00A770FA">
              <w:rPr>
                <w:rFonts w:ascii="Arabic Typesetting" w:eastAsia="Arabic Typesetting" w:hAnsi="Arabic Typesetting" w:cs="Arabic Typesetting"/>
                <w:color w:val="000000"/>
                <w:sz w:val="28"/>
                <w:szCs w:val="28"/>
                <w:rtl/>
                <w:lang w:eastAsia="ar-EG" w:bidi="ar-EG"/>
              </w:rPr>
              <w:t>ه3.9 بيئة عمل داعمة ومسنودة بإطار تنظيمي فعال وقنوات فعالة لمعالجة مشاغل الموظفين</w:t>
            </w:r>
          </w:p>
        </w:tc>
        <w:tc>
          <w:tcPr>
            <w:tcW w:w="2093" w:type="pct"/>
            <w:shd w:val="clear" w:color="auto" w:fill="auto"/>
            <w:tcMar>
              <w:top w:w="113" w:type="dxa"/>
              <w:bottom w:w="85" w:type="dxa"/>
            </w:tcMar>
          </w:tcPr>
          <w:p w14:paraId="10EF0034" w14:textId="77777777" w:rsidR="0049618D" w:rsidRPr="00A770FA" w:rsidRDefault="0049618D" w:rsidP="00482893">
            <w:pPr>
              <w:bidi/>
              <w:spacing w:before="120" w:after="120" w:line="280" w:lineRule="exact"/>
              <w:rPr>
                <w:rFonts w:ascii="Arabic Typesetting" w:hAnsi="Arabic Typesetting" w:cs="Arabic Typesetting"/>
                <w:color w:val="000000"/>
                <w:sz w:val="28"/>
                <w:szCs w:val="28"/>
              </w:rPr>
            </w:pPr>
            <w:r w:rsidRPr="00A770FA">
              <w:rPr>
                <w:rFonts w:ascii="Arabic Typesetting" w:eastAsia="Arabic Typesetting" w:hAnsi="Arabic Typesetting" w:cs="Arabic Typesetting"/>
                <w:color w:val="000000"/>
                <w:sz w:val="28"/>
                <w:szCs w:val="28"/>
                <w:rtl/>
                <w:lang w:eastAsia="ar-EG" w:bidi="ar-EG"/>
              </w:rPr>
              <w:t>النسبة المئوية لموظفي الويبو الواعين بالخدمات التي يقدمها مكتب أمين المظالم وآلية تسوية المنازعات بشكل غير رسمي</w:t>
            </w:r>
          </w:p>
        </w:tc>
        <w:tc>
          <w:tcPr>
            <w:tcW w:w="861" w:type="pct"/>
            <w:shd w:val="clear" w:color="auto" w:fill="FFFFFF"/>
            <w:tcMar>
              <w:top w:w="113" w:type="dxa"/>
              <w:bottom w:w="85" w:type="dxa"/>
            </w:tcMar>
          </w:tcPr>
          <w:p w14:paraId="3BE78FD3"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21</w:t>
            </w:r>
          </w:p>
        </w:tc>
        <w:tc>
          <w:tcPr>
            <w:tcW w:w="568" w:type="pct"/>
            <w:shd w:val="clear" w:color="auto" w:fill="auto"/>
          </w:tcPr>
          <w:p w14:paraId="3D856FB0"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A6A6A6" w:themeColor="background1" w:themeShade="A6"/>
                <w:sz w:val="28"/>
                <w:szCs w:val="28"/>
              </w:rPr>
              <w:sym w:font="Wingdings" w:char="F06C"/>
            </w:r>
          </w:p>
        </w:tc>
      </w:tr>
      <w:tr w:rsidR="0049618D" w:rsidRPr="00A770FA" w14:paraId="4233D025" w14:textId="77777777" w:rsidTr="00482893">
        <w:trPr>
          <w:cantSplit/>
          <w:trHeight w:val="335"/>
        </w:trPr>
        <w:tc>
          <w:tcPr>
            <w:tcW w:w="1478" w:type="pct"/>
            <w:vMerge/>
            <w:shd w:val="clear" w:color="auto" w:fill="auto"/>
            <w:tcMar>
              <w:top w:w="113" w:type="dxa"/>
              <w:bottom w:w="85" w:type="dxa"/>
            </w:tcMar>
          </w:tcPr>
          <w:p w14:paraId="6C5B22AE"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7F4E506A" w14:textId="77777777" w:rsidR="0049618D" w:rsidRPr="00A770FA" w:rsidRDefault="0049618D" w:rsidP="00482893">
            <w:pPr>
              <w:bidi/>
              <w:spacing w:before="120" w:after="120" w:line="280" w:lineRule="exact"/>
              <w:rPr>
                <w:rFonts w:ascii="Arabic Typesetting" w:hAnsi="Arabic Typesetting" w:cs="Arabic Typesetting"/>
                <w:color w:val="000000"/>
                <w:sz w:val="28"/>
                <w:szCs w:val="28"/>
              </w:rPr>
            </w:pPr>
            <w:r w:rsidRPr="00A770FA">
              <w:rPr>
                <w:rFonts w:ascii="Arabic Typesetting" w:eastAsia="Arabic Typesetting" w:hAnsi="Arabic Typesetting" w:cs="Arabic Typesetting"/>
                <w:color w:val="000000"/>
                <w:sz w:val="28"/>
                <w:szCs w:val="28"/>
                <w:rtl/>
                <w:lang w:eastAsia="ar-EG" w:bidi="ar-EG"/>
              </w:rPr>
              <w:t>النسبة المئوية لموظفي الويبو الواعين بالمبادئ والسياسات الأخلاقية للويبو</w:t>
            </w:r>
          </w:p>
        </w:tc>
        <w:tc>
          <w:tcPr>
            <w:tcW w:w="861" w:type="pct"/>
            <w:shd w:val="clear" w:color="auto" w:fill="FFFFFF"/>
            <w:tcMar>
              <w:top w:w="113" w:type="dxa"/>
              <w:bottom w:w="85" w:type="dxa"/>
            </w:tcMar>
          </w:tcPr>
          <w:p w14:paraId="7A6FDF3A"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21</w:t>
            </w:r>
          </w:p>
        </w:tc>
        <w:tc>
          <w:tcPr>
            <w:tcW w:w="568" w:type="pct"/>
            <w:shd w:val="clear" w:color="auto" w:fill="auto"/>
          </w:tcPr>
          <w:p w14:paraId="30D3A37D"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7994A363" w14:textId="77777777" w:rsidTr="00482893">
        <w:trPr>
          <w:cantSplit/>
          <w:trHeight w:val="335"/>
        </w:trPr>
        <w:tc>
          <w:tcPr>
            <w:tcW w:w="1478" w:type="pct"/>
            <w:shd w:val="clear" w:color="auto" w:fill="auto"/>
            <w:tcMar>
              <w:top w:w="113" w:type="dxa"/>
              <w:bottom w:w="85" w:type="dxa"/>
            </w:tcMar>
          </w:tcPr>
          <w:p w14:paraId="58C4FE32"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858AD71" w14:textId="77777777" w:rsidR="0049618D" w:rsidRPr="00A770FA" w:rsidRDefault="0049618D" w:rsidP="00482893">
            <w:pPr>
              <w:keepNext/>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تحديث النظام المالي ولائحته والتعليمات الإدارية ذات الصلة</w:t>
            </w:r>
          </w:p>
        </w:tc>
        <w:tc>
          <w:tcPr>
            <w:tcW w:w="861" w:type="pct"/>
            <w:shd w:val="clear" w:color="auto" w:fill="FFFFFF"/>
            <w:tcMar>
              <w:top w:w="113" w:type="dxa"/>
              <w:bottom w:w="85" w:type="dxa"/>
            </w:tcMar>
          </w:tcPr>
          <w:p w14:paraId="1D028365"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22</w:t>
            </w:r>
          </w:p>
        </w:tc>
        <w:tc>
          <w:tcPr>
            <w:tcW w:w="568" w:type="pct"/>
            <w:shd w:val="clear" w:color="auto" w:fill="auto"/>
          </w:tcPr>
          <w:p w14:paraId="04778E24"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p>
        </w:tc>
      </w:tr>
      <w:tr w:rsidR="0049618D" w:rsidRPr="00A770FA" w14:paraId="2E7D35AF" w14:textId="77777777" w:rsidTr="00482893">
        <w:trPr>
          <w:cantSplit/>
          <w:trHeight w:val="335"/>
        </w:trPr>
        <w:tc>
          <w:tcPr>
            <w:tcW w:w="1478" w:type="pct"/>
            <w:shd w:val="clear" w:color="auto" w:fill="auto"/>
            <w:tcMar>
              <w:top w:w="113" w:type="dxa"/>
              <w:bottom w:w="85" w:type="dxa"/>
            </w:tcMar>
          </w:tcPr>
          <w:p w14:paraId="564D0287"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6366CEBB" w14:textId="77777777" w:rsidR="0049618D" w:rsidRPr="00A770FA" w:rsidRDefault="0049618D" w:rsidP="00482893">
            <w:pPr>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زيادة نضج إدارة المخاطر والضوابط الداخلية، وفقاً لخارطة الطريق</w:t>
            </w:r>
          </w:p>
        </w:tc>
        <w:tc>
          <w:tcPr>
            <w:tcW w:w="861" w:type="pct"/>
            <w:shd w:val="clear" w:color="auto" w:fill="FFFFFF"/>
            <w:tcMar>
              <w:top w:w="113" w:type="dxa"/>
              <w:bottom w:w="85" w:type="dxa"/>
            </w:tcMar>
          </w:tcPr>
          <w:p w14:paraId="7A15C607"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22</w:t>
            </w:r>
          </w:p>
        </w:tc>
        <w:tc>
          <w:tcPr>
            <w:tcW w:w="568" w:type="pct"/>
            <w:shd w:val="clear" w:color="auto" w:fill="auto"/>
          </w:tcPr>
          <w:p w14:paraId="305B028A"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p>
        </w:tc>
      </w:tr>
      <w:tr w:rsidR="0049618D" w:rsidRPr="00A770FA" w14:paraId="128007DF" w14:textId="77777777" w:rsidTr="00482893">
        <w:trPr>
          <w:cantSplit/>
          <w:trHeight w:val="40"/>
        </w:trPr>
        <w:tc>
          <w:tcPr>
            <w:tcW w:w="1478" w:type="pct"/>
            <w:shd w:val="clear" w:color="auto" w:fill="auto"/>
            <w:tcMar>
              <w:top w:w="113" w:type="dxa"/>
              <w:bottom w:w="85" w:type="dxa"/>
            </w:tcMar>
          </w:tcPr>
          <w:p w14:paraId="14815457"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408D584F" w14:textId="77777777" w:rsidR="0049618D" w:rsidRPr="00A770FA" w:rsidRDefault="0049618D" w:rsidP="00482893">
            <w:pPr>
              <w:bidi/>
              <w:spacing w:before="120" w:after="120" w:line="280" w:lineRule="exact"/>
              <w:ind w:left="33"/>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متابعة فعالة لتوصيات الرقابة</w:t>
            </w:r>
          </w:p>
        </w:tc>
        <w:tc>
          <w:tcPr>
            <w:tcW w:w="861" w:type="pct"/>
            <w:shd w:val="clear" w:color="auto" w:fill="FFFFFF"/>
            <w:tcMar>
              <w:top w:w="113" w:type="dxa"/>
              <w:bottom w:w="85" w:type="dxa"/>
            </w:tcMar>
          </w:tcPr>
          <w:p w14:paraId="0981AC37"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22</w:t>
            </w:r>
          </w:p>
        </w:tc>
        <w:tc>
          <w:tcPr>
            <w:tcW w:w="568" w:type="pct"/>
            <w:shd w:val="clear" w:color="auto" w:fill="auto"/>
          </w:tcPr>
          <w:p w14:paraId="4EB86178"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p>
        </w:tc>
      </w:tr>
      <w:tr w:rsidR="0049618D" w:rsidRPr="00A770FA" w14:paraId="6195AFF5" w14:textId="77777777" w:rsidTr="00482893">
        <w:trPr>
          <w:cantSplit/>
          <w:trHeight w:val="335"/>
        </w:trPr>
        <w:tc>
          <w:tcPr>
            <w:tcW w:w="1478" w:type="pct"/>
            <w:vMerge w:val="restart"/>
            <w:shd w:val="clear" w:color="auto" w:fill="auto"/>
            <w:tcMar>
              <w:top w:w="113" w:type="dxa"/>
              <w:bottom w:w="85" w:type="dxa"/>
            </w:tcMar>
          </w:tcPr>
          <w:p w14:paraId="54BAB03B" w14:textId="77777777" w:rsidR="0049618D" w:rsidRPr="00A770FA" w:rsidRDefault="0049618D" w:rsidP="0059581F">
            <w:pPr>
              <w:keepNext/>
              <w:bidi/>
              <w:spacing w:before="120" w:after="120" w:line="280" w:lineRule="exact"/>
              <w:rPr>
                <w:rFonts w:ascii="Arabic Typesetting" w:hAnsi="Arabic Typesetting" w:cs="Arabic Typesetting"/>
                <w:sz w:val="28"/>
                <w:szCs w:val="28"/>
              </w:rPr>
            </w:pPr>
            <w:r w:rsidRPr="00A770FA">
              <w:rPr>
                <w:rFonts w:ascii="Arabic Typesetting" w:eastAsia="Arabic Typesetting" w:hAnsi="Arabic Typesetting" w:cs="Arabic Typesetting"/>
                <w:color w:val="000000"/>
                <w:sz w:val="28"/>
                <w:szCs w:val="28"/>
                <w:rtl/>
                <w:lang w:eastAsia="ar-EG" w:bidi="ar-EG"/>
              </w:rPr>
              <w:lastRenderedPageBreak/>
              <w:t>ه4.9 منظمة ذات مسؤولية بيئية واجتماعية تكفل السلامة والأمن للموظفين في الويبو والمندوبين والزائرين والممتلكات المادية والمعلومات</w:t>
            </w:r>
          </w:p>
        </w:tc>
        <w:tc>
          <w:tcPr>
            <w:tcW w:w="2093" w:type="pct"/>
            <w:shd w:val="clear" w:color="auto" w:fill="auto"/>
            <w:tcMar>
              <w:top w:w="113" w:type="dxa"/>
              <w:bottom w:w="85" w:type="dxa"/>
            </w:tcMar>
          </w:tcPr>
          <w:p w14:paraId="1907A672" w14:textId="77777777" w:rsidR="0049618D" w:rsidRPr="00A770FA" w:rsidRDefault="0049618D" w:rsidP="0059581F">
            <w:pPr>
              <w:keepNext/>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انخفاض تأثير أنشطة الويبو في البيئة</w:t>
            </w:r>
          </w:p>
        </w:tc>
        <w:tc>
          <w:tcPr>
            <w:tcW w:w="861" w:type="pct"/>
            <w:shd w:val="clear" w:color="auto" w:fill="FFFFFF"/>
            <w:tcMar>
              <w:top w:w="113" w:type="dxa"/>
              <w:bottom w:w="85" w:type="dxa"/>
            </w:tcMar>
          </w:tcPr>
          <w:p w14:paraId="5589232D" w14:textId="77777777" w:rsidR="0049618D" w:rsidRPr="00A770FA" w:rsidRDefault="0049618D" w:rsidP="0059581F">
            <w:pPr>
              <w:keepNext/>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24</w:t>
            </w:r>
          </w:p>
        </w:tc>
        <w:tc>
          <w:tcPr>
            <w:tcW w:w="568" w:type="pct"/>
            <w:shd w:val="clear" w:color="auto" w:fill="auto"/>
          </w:tcPr>
          <w:p w14:paraId="0917654B" w14:textId="77777777" w:rsidR="0049618D" w:rsidRPr="00A770FA" w:rsidRDefault="0049618D" w:rsidP="0059581F">
            <w:pPr>
              <w:keepNext/>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FF0000"/>
                <w:sz w:val="28"/>
                <w:szCs w:val="28"/>
              </w:rPr>
              <w:sym w:font="Wingdings" w:char="F06C"/>
            </w:r>
            <w:r w:rsidRPr="00A770FA">
              <w:rPr>
                <w:rFonts w:ascii="Arabic Typesetting" w:hAnsi="Arabic Typesetting" w:cs="Arabic Typesetting"/>
                <w:color w:val="FF0000"/>
                <w:sz w:val="28"/>
                <w:szCs w:val="28"/>
              </w:rPr>
              <w:sym w:font="Wingdings" w:char="F06C"/>
            </w:r>
          </w:p>
        </w:tc>
      </w:tr>
      <w:tr w:rsidR="0049618D" w:rsidRPr="00A770FA" w14:paraId="384A3180" w14:textId="77777777" w:rsidTr="00482893">
        <w:trPr>
          <w:cantSplit/>
          <w:trHeight w:val="20"/>
        </w:trPr>
        <w:tc>
          <w:tcPr>
            <w:tcW w:w="1478" w:type="pct"/>
            <w:vMerge/>
            <w:shd w:val="clear" w:color="auto" w:fill="auto"/>
            <w:tcMar>
              <w:top w:w="113" w:type="dxa"/>
              <w:bottom w:w="85" w:type="dxa"/>
            </w:tcMar>
          </w:tcPr>
          <w:p w14:paraId="468C2F4F" w14:textId="77777777" w:rsidR="0049618D" w:rsidRPr="00A770FA" w:rsidRDefault="0049618D" w:rsidP="0059581F">
            <w:pPr>
              <w:keepNext/>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AFFB35B" w14:textId="77777777" w:rsidR="0049618D" w:rsidRPr="00A770FA" w:rsidRDefault="0049618D" w:rsidP="0059581F">
            <w:pPr>
              <w:keepNext/>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تحسين النفاذ المادي إلى مجمّع الويبو</w:t>
            </w:r>
          </w:p>
        </w:tc>
        <w:tc>
          <w:tcPr>
            <w:tcW w:w="861" w:type="pct"/>
            <w:shd w:val="clear" w:color="auto" w:fill="FFFFFF"/>
            <w:tcMar>
              <w:top w:w="113" w:type="dxa"/>
              <w:bottom w:w="85" w:type="dxa"/>
            </w:tcMar>
          </w:tcPr>
          <w:p w14:paraId="0E9072BE" w14:textId="77777777" w:rsidR="0049618D" w:rsidRPr="00A770FA" w:rsidRDefault="0049618D" w:rsidP="0059581F">
            <w:pPr>
              <w:keepNext/>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24</w:t>
            </w:r>
          </w:p>
        </w:tc>
        <w:tc>
          <w:tcPr>
            <w:tcW w:w="568" w:type="pct"/>
            <w:shd w:val="clear" w:color="auto" w:fill="auto"/>
          </w:tcPr>
          <w:p w14:paraId="568E9DD7" w14:textId="77777777" w:rsidR="0049618D" w:rsidRPr="00A770FA" w:rsidRDefault="0049618D" w:rsidP="0059581F">
            <w:pPr>
              <w:keepNext/>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FF0000"/>
                <w:sz w:val="28"/>
                <w:szCs w:val="28"/>
              </w:rPr>
              <w:sym w:font="Wingdings" w:char="F06C"/>
            </w:r>
            <w:r w:rsidRPr="00A770FA">
              <w:rPr>
                <w:rFonts w:ascii="Arabic Typesetting" w:hAnsi="Arabic Typesetting" w:cs="Arabic Typesetting"/>
                <w:color w:val="FF0000"/>
                <w:sz w:val="28"/>
                <w:szCs w:val="28"/>
              </w:rPr>
              <w:sym w:font="Wingdings" w:char="F06C"/>
            </w:r>
          </w:p>
        </w:tc>
      </w:tr>
      <w:tr w:rsidR="0049618D" w:rsidRPr="00A770FA" w14:paraId="487949E2" w14:textId="77777777" w:rsidTr="00482893">
        <w:trPr>
          <w:cantSplit/>
          <w:trHeight w:val="20"/>
        </w:trPr>
        <w:tc>
          <w:tcPr>
            <w:tcW w:w="1478" w:type="pct"/>
            <w:vMerge/>
            <w:shd w:val="clear" w:color="auto" w:fill="auto"/>
            <w:tcMar>
              <w:top w:w="113" w:type="dxa"/>
              <w:bottom w:w="85" w:type="dxa"/>
            </w:tcMar>
          </w:tcPr>
          <w:p w14:paraId="1159C0A9"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3B40DFF9" w14:textId="77777777" w:rsidR="0049618D" w:rsidRPr="00A770FA" w:rsidRDefault="0049618D" w:rsidP="00482893">
            <w:pPr>
              <w:bidi/>
              <w:spacing w:before="120" w:after="120" w:line="280" w:lineRule="exact"/>
              <w:rPr>
                <w:rFonts w:ascii="Arabic Typesetting" w:hAnsi="Arabic Typesetting" w:cs="Arabic Typesetting"/>
                <w:b/>
                <w:sz w:val="28"/>
                <w:szCs w:val="28"/>
              </w:rPr>
            </w:pPr>
            <w:r w:rsidRPr="00A770FA">
              <w:rPr>
                <w:rFonts w:ascii="Arabic Typesetting" w:eastAsia="Arabic Typesetting" w:hAnsi="Arabic Typesetting" w:cs="Arabic Typesetting"/>
                <w:color w:val="000000"/>
                <w:sz w:val="28"/>
                <w:szCs w:val="28"/>
                <w:rtl/>
                <w:lang w:eastAsia="ar-EG" w:bidi="ar-EG"/>
              </w:rPr>
              <w:t>استمرارية خدمات تكنولوجيا المعلومات والاتصالات بالنسبة للأنظمة الجوهرية</w:t>
            </w:r>
          </w:p>
        </w:tc>
        <w:tc>
          <w:tcPr>
            <w:tcW w:w="861" w:type="pct"/>
            <w:shd w:val="clear" w:color="auto" w:fill="FFFFFF"/>
            <w:tcMar>
              <w:top w:w="113" w:type="dxa"/>
              <w:bottom w:w="85" w:type="dxa"/>
            </w:tcMar>
          </w:tcPr>
          <w:p w14:paraId="42DD1F5C"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25</w:t>
            </w:r>
          </w:p>
        </w:tc>
        <w:tc>
          <w:tcPr>
            <w:tcW w:w="568" w:type="pct"/>
            <w:shd w:val="clear" w:color="auto" w:fill="auto"/>
          </w:tcPr>
          <w:p w14:paraId="3808E656"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4DF21ED5" w14:textId="77777777" w:rsidTr="00482893">
        <w:trPr>
          <w:cantSplit/>
          <w:trHeight w:val="335"/>
        </w:trPr>
        <w:tc>
          <w:tcPr>
            <w:tcW w:w="1478" w:type="pct"/>
            <w:shd w:val="clear" w:color="auto" w:fill="auto"/>
            <w:tcMar>
              <w:top w:w="113" w:type="dxa"/>
              <w:bottom w:w="85" w:type="dxa"/>
            </w:tcMar>
          </w:tcPr>
          <w:p w14:paraId="7014385E"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52C3631C"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لمخاطر المعلومات، بما في ذلك مخاطر الغير، التي تم الإبلاغ عنها وإدارتها بشكل متسق ضمن حدود تحمل الويبو للمخاطر</w:t>
            </w:r>
          </w:p>
        </w:tc>
        <w:tc>
          <w:tcPr>
            <w:tcW w:w="861" w:type="pct"/>
            <w:shd w:val="clear" w:color="auto" w:fill="FFFFFF"/>
            <w:tcMar>
              <w:top w:w="113" w:type="dxa"/>
              <w:bottom w:w="85" w:type="dxa"/>
            </w:tcMar>
          </w:tcPr>
          <w:p w14:paraId="2CBE17D8"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28</w:t>
            </w:r>
          </w:p>
        </w:tc>
        <w:tc>
          <w:tcPr>
            <w:tcW w:w="568" w:type="pct"/>
            <w:shd w:val="clear" w:color="auto" w:fill="auto"/>
          </w:tcPr>
          <w:p w14:paraId="13A577D0"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p>
        </w:tc>
      </w:tr>
      <w:tr w:rsidR="0049618D" w:rsidRPr="00A770FA" w14:paraId="27FA2247" w14:textId="77777777" w:rsidTr="00482893">
        <w:trPr>
          <w:cantSplit/>
          <w:trHeight w:val="335"/>
        </w:trPr>
        <w:tc>
          <w:tcPr>
            <w:tcW w:w="1478" w:type="pct"/>
            <w:shd w:val="clear" w:color="auto" w:fill="auto"/>
            <w:tcMar>
              <w:top w:w="113" w:type="dxa"/>
              <w:bottom w:w="85" w:type="dxa"/>
            </w:tcMar>
          </w:tcPr>
          <w:p w14:paraId="5C95BB07"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7734D9BA"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تحديد ومعالجة الثغرات بشكل استباقي وفي الوقت المناسب ضمن مستويات الخدمة المتفق عليها</w:t>
            </w:r>
          </w:p>
        </w:tc>
        <w:tc>
          <w:tcPr>
            <w:tcW w:w="861" w:type="pct"/>
            <w:shd w:val="clear" w:color="auto" w:fill="FFFFFF"/>
            <w:tcMar>
              <w:top w:w="113" w:type="dxa"/>
              <w:bottom w:w="85" w:type="dxa"/>
            </w:tcMar>
          </w:tcPr>
          <w:p w14:paraId="41919AC6"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28</w:t>
            </w:r>
          </w:p>
        </w:tc>
        <w:tc>
          <w:tcPr>
            <w:tcW w:w="568" w:type="pct"/>
            <w:shd w:val="clear" w:color="auto" w:fill="auto"/>
          </w:tcPr>
          <w:p w14:paraId="09EB6E7B"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0C6DB756" w14:textId="77777777" w:rsidTr="00482893">
        <w:trPr>
          <w:cantSplit/>
          <w:trHeight w:val="16"/>
        </w:trPr>
        <w:tc>
          <w:tcPr>
            <w:tcW w:w="1478" w:type="pct"/>
            <w:shd w:val="clear" w:color="auto" w:fill="auto"/>
            <w:tcMar>
              <w:top w:w="113" w:type="dxa"/>
              <w:bottom w:w="85" w:type="dxa"/>
            </w:tcMar>
          </w:tcPr>
          <w:p w14:paraId="4201BD1C"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57C0A14E"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زيادة الامتثال لسياسات ومعايير تأمين المعلومات</w:t>
            </w:r>
          </w:p>
        </w:tc>
        <w:tc>
          <w:tcPr>
            <w:tcW w:w="861" w:type="pct"/>
            <w:shd w:val="clear" w:color="auto" w:fill="FFFFFF"/>
            <w:tcMar>
              <w:top w:w="113" w:type="dxa"/>
              <w:bottom w:w="85" w:type="dxa"/>
            </w:tcMar>
          </w:tcPr>
          <w:p w14:paraId="13F907C7"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28</w:t>
            </w:r>
          </w:p>
        </w:tc>
        <w:tc>
          <w:tcPr>
            <w:tcW w:w="568" w:type="pct"/>
            <w:shd w:val="clear" w:color="auto" w:fill="auto"/>
          </w:tcPr>
          <w:p w14:paraId="53AC19FC" w14:textId="77777777" w:rsidR="0049618D" w:rsidRPr="00A770FA" w:rsidRDefault="0049618D" w:rsidP="00482893">
            <w:pPr>
              <w:bidi/>
              <w:spacing w:before="120" w:after="120" w:line="280" w:lineRule="exact"/>
              <w:jc w:val="center"/>
              <w:rPr>
                <w:rFonts w:ascii="Arabic Typesetting" w:hAnsi="Arabic Typesetting" w:cs="Arabic Typesetting"/>
                <w:color w:val="0070C0"/>
                <w:sz w:val="28"/>
                <w:szCs w:val="28"/>
              </w:rPr>
            </w:pPr>
            <w:r w:rsidRPr="00A770FA">
              <w:rPr>
                <w:rFonts w:ascii="Arabic Typesetting" w:hAnsi="Arabic Typesetting" w:cs="Arabic Typesetting"/>
                <w:color w:val="00B050"/>
                <w:sz w:val="28"/>
                <w:szCs w:val="28"/>
              </w:rPr>
              <w:sym w:font="Wingdings" w:char="F06C"/>
            </w:r>
          </w:p>
        </w:tc>
      </w:tr>
      <w:tr w:rsidR="0049618D" w:rsidRPr="00A770FA" w14:paraId="7A920E7B" w14:textId="77777777" w:rsidTr="00482893">
        <w:trPr>
          <w:cantSplit/>
          <w:trHeight w:val="335"/>
        </w:trPr>
        <w:tc>
          <w:tcPr>
            <w:tcW w:w="1478" w:type="pct"/>
            <w:shd w:val="clear" w:color="auto" w:fill="auto"/>
            <w:tcMar>
              <w:top w:w="113" w:type="dxa"/>
              <w:bottom w:w="85" w:type="dxa"/>
            </w:tcMar>
          </w:tcPr>
          <w:p w14:paraId="681F0919"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9AD0064"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سياسة بشأن تصنيف المعلومات ومعالجتها تُعتمد على نطاق واسع لضمان سرية المعلومات</w:t>
            </w:r>
          </w:p>
        </w:tc>
        <w:tc>
          <w:tcPr>
            <w:tcW w:w="861" w:type="pct"/>
            <w:shd w:val="clear" w:color="auto" w:fill="FFFFFF"/>
            <w:tcMar>
              <w:top w:w="113" w:type="dxa"/>
              <w:bottom w:w="85" w:type="dxa"/>
            </w:tcMar>
          </w:tcPr>
          <w:p w14:paraId="4CF4BCEA" w14:textId="77777777" w:rsidR="0049618D" w:rsidRPr="00A770FA" w:rsidRDefault="0049618D" w:rsidP="00482893">
            <w:pPr>
              <w:bidi/>
              <w:spacing w:before="120" w:after="120" w:line="280" w:lineRule="exact"/>
              <w:jc w:val="center"/>
              <w:rPr>
                <w:rFonts w:ascii="Arabic Typesetting" w:hAnsi="Arabic Typesetting" w:cs="Arabic Typesetting"/>
                <w:sz w:val="28"/>
                <w:szCs w:val="28"/>
                <w:lang w:bidi="th-TH"/>
              </w:rPr>
            </w:pPr>
            <w:r w:rsidRPr="00A770FA">
              <w:rPr>
                <w:rFonts w:ascii="Arabic Typesetting" w:hAnsi="Arabic Typesetting" w:cs="Arabic Typesetting"/>
                <w:sz w:val="28"/>
                <w:szCs w:val="28"/>
                <w:rtl/>
              </w:rPr>
              <w:t>البرنامج 28</w:t>
            </w:r>
          </w:p>
        </w:tc>
        <w:tc>
          <w:tcPr>
            <w:tcW w:w="568" w:type="pct"/>
            <w:shd w:val="clear" w:color="auto" w:fill="auto"/>
          </w:tcPr>
          <w:p w14:paraId="64004CE0" w14:textId="77777777" w:rsidR="0049618D" w:rsidRPr="00A770FA" w:rsidRDefault="0049618D" w:rsidP="00482893">
            <w:pPr>
              <w:bidi/>
              <w:spacing w:before="120" w:after="120" w:line="280" w:lineRule="exact"/>
              <w:jc w:val="center"/>
              <w:rPr>
                <w:rFonts w:ascii="Arabic Typesetting" w:hAnsi="Arabic Typesetting" w:cs="Arabic Typesetting"/>
                <w:color w:val="A6A6A6" w:themeColor="background1" w:themeShade="A6"/>
                <w:sz w:val="28"/>
                <w:szCs w:val="28"/>
              </w:rPr>
            </w:pPr>
            <w:r w:rsidRPr="00A770FA">
              <w:rPr>
                <w:rFonts w:ascii="Arabic Typesetting" w:hAnsi="Arabic Typesetting" w:cs="Arabic Typesetting"/>
                <w:color w:val="00B050"/>
                <w:sz w:val="28"/>
                <w:szCs w:val="28"/>
              </w:rPr>
              <w:sym w:font="Wingdings" w:char="F06C"/>
            </w:r>
          </w:p>
        </w:tc>
      </w:tr>
      <w:tr w:rsidR="0049618D" w:rsidRPr="00A770FA" w14:paraId="6446B10C" w14:textId="77777777" w:rsidTr="00482893">
        <w:trPr>
          <w:cantSplit/>
          <w:trHeight w:val="335"/>
        </w:trPr>
        <w:tc>
          <w:tcPr>
            <w:tcW w:w="1478" w:type="pct"/>
            <w:shd w:val="clear" w:color="auto" w:fill="auto"/>
            <w:tcMar>
              <w:top w:w="113" w:type="dxa"/>
              <w:bottom w:w="85" w:type="dxa"/>
            </w:tcMar>
          </w:tcPr>
          <w:p w14:paraId="50426E1B"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F86F187"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الحد من ازدواجية القدرات التقنية الخاصة بأمن المعلومات عبر أنماط بنية أمن قابلة لإعادة الاستخدام</w:t>
            </w:r>
          </w:p>
        </w:tc>
        <w:tc>
          <w:tcPr>
            <w:tcW w:w="861" w:type="pct"/>
            <w:shd w:val="clear" w:color="auto" w:fill="FFFFFF"/>
            <w:tcMar>
              <w:top w:w="113" w:type="dxa"/>
              <w:bottom w:w="85" w:type="dxa"/>
            </w:tcMar>
          </w:tcPr>
          <w:p w14:paraId="16EC9B37"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28</w:t>
            </w:r>
          </w:p>
        </w:tc>
        <w:tc>
          <w:tcPr>
            <w:tcW w:w="568" w:type="pct"/>
            <w:shd w:val="clear" w:color="auto" w:fill="auto"/>
          </w:tcPr>
          <w:p w14:paraId="0E0B5849" w14:textId="77777777" w:rsidR="0049618D" w:rsidRPr="00A770FA" w:rsidRDefault="0049618D" w:rsidP="00482893">
            <w:pPr>
              <w:bidi/>
              <w:spacing w:before="120" w:after="120" w:line="280" w:lineRule="exact"/>
              <w:jc w:val="center"/>
              <w:rPr>
                <w:rFonts w:ascii="Arabic Typesetting" w:hAnsi="Arabic Typesetting" w:cs="Arabic Typesetting"/>
                <w:color w:val="008000"/>
                <w:sz w:val="28"/>
                <w:szCs w:val="28"/>
              </w:rPr>
            </w:pPr>
            <w:r w:rsidRPr="00A770FA">
              <w:rPr>
                <w:rFonts w:ascii="Arabic Typesetting" w:hAnsi="Arabic Typesetting" w:cs="Arabic Typesetting"/>
                <w:color w:val="00B050"/>
                <w:sz w:val="28"/>
                <w:szCs w:val="28"/>
              </w:rPr>
              <w:sym w:font="Wingdings" w:char="F06C"/>
            </w:r>
          </w:p>
        </w:tc>
      </w:tr>
      <w:tr w:rsidR="0049618D" w:rsidRPr="00A770FA" w14:paraId="4BDB14CA" w14:textId="77777777" w:rsidTr="00482893">
        <w:trPr>
          <w:cantSplit/>
          <w:trHeight w:val="335"/>
        </w:trPr>
        <w:tc>
          <w:tcPr>
            <w:tcW w:w="1478" w:type="pct"/>
            <w:shd w:val="clear" w:color="auto" w:fill="auto"/>
            <w:tcMar>
              <w:top w:w="113" w:type="dxa"/>
              <w:bottom w:w="85" w:type="dxa"/>
            </w:tcMar>
          </w:tcPr>
          <w:p w14:paraId="070312F9"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BFB865E"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قدرة معزَّزة على الكشف عن تهديدات أمن المعلومات والاستجابة لها بسرعة أكبر بكثير بما يضمن حدا أدنى لتعطل الأعمال</w:t>
            </w:r>
          </w:p>
        </w:tc>
        <w:tc>
          <w:tcPr>
            <w:tcW w:w="861" w:type="pct"/>
            <w:shd w:val="clear" w:color="auto" w:fill="FFFFFF"/>
            <w:tcMar>
              <w:top w:w="113" w:type="dxa"/>
              <w:bottom w:w="85" w:type="dxa"/>
            </w:tcMar>
          </w:tcPr>
          <w:p w14:paraId="1B5E888F"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28</w:t>
            </w:r>
          </w:p>
        </w:tc>
        <w:tc>
          <w:tcPr>
            <w:tcW w:w="568" w:type="pct"/>
            <w:shd w:val="clear" w:color="auto" w:fill="auto"/>
          </w:tcPr>
          <w:p w14:paraId="14A9A992" w14:textId="77777777" w:rsidR="0049618D" w:rsidRPr="00A770FA" w:rsidRDefault="0049618D" w:rsidP="00482893">
            <w:pPr>
              <w:bidi/>
              <w:spacing w:before="120" w:after="120" w:line="280" w:lineRule="exact"/>
              <w:jc w:val="center"/>
              <w:rPr>
                <w:rFonts w:ascii="Arabic Typesetting" w:hAnsi="Arabic Typesetting" w:cs="Arabic Typesetting"/>
                <w:color w:val="008000"/>
                <w:sz w:val="28"/>
                <w:szCs w:val="28"/>
              </w:rPr>
            </w:pPr>
            <w:r w:rsidRPr="00A770FA">
              <w:rPr>
                <w:rFonts w:ascii="Arabic Typesetting" w:hAnsi="Arabic Typesetting" w:cs="Arabic Typesetting"/>
                <w:color w:val="00B050"/>
                <w:sz w:val="28"/>
                <w:szCs w:val="28"/>
              </w:rPr>
              <w:sym w:font="Wingdings" w:char="F06C"/>
            </w:r>
          </w:p>
        </w:tc>
      </w:tr>
      <w:tr w:rsidR="0049618D" w:rsidRPr="00A770FA" w14:paraId="73710639" w14:textId="77777777" w:rsidTr="00482893">
        <w:trPr>
          <w:cantSplit/>
          <w:trHeight w:val="335"/>
        </w:trPr>
        <w:tc>
          <w:tcPr>
            <w:tcW w:w="1478" w:type="pct"/>
            <w:shd w:val="clear" w:color="auto" w:fill="auto"/>
            <w:tcMar>
              <w:top w:w="113" w:type="dxa"/>
              <w:bottom w:w="85" w:type="dxa"/>
            </w:tcMar>
          </w:tcPr>
          <w:p w14:paraId="2EB95F8D"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89379B8"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لموظفي الويبو والمندوبين والزوار الذين يبلغون عن إصابات أو حوادث أثناء العمل</w:t>
            </w:r>
          </w:p>
        </w:tc>
        <w:tc>
          <w:tcPr>
            <w:tcW w:w="861" w:type="pct"/>
            <w:shd w:val="clear" w:color="auto" w:fill="FFFFFF"/>
            <w:tcMar>
              <w:top w:w="113" w:type="dxa"/>
              <w:bottom w:w="85" w:type="dxa"/>
            </w:tcMar>
          </w:tcPr>
          <w:p w14:paraId="6CB144FC"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28</w:t>
            </w:r>
          </w:p>
        </w:tc>
        <w:tc>
          <w:tcPr>
            <w:tcW w:w="568" w:type="pct"/>
            <w:shd w:val="clear" w:color="auto" w:fill="auto"/>
          </w:tcPr>
          <w:p w14:paraId="67B059C7" w14:textId="77777777" w:rsidR="0049618D" w:rsidRPr="00A770FA" w:rsidRDefault="0049618D" w:rsidP="00482893">
            <w:pPr>
              <w:bidi/>
              <w:spacing w:before="120" w:after="120" w:line="280" w:lineRule="exact"/>
              <w:jc w:val="center"/>
              <w:rPr>
                <w:rFonts w:ascii="Arabic Typesetting" w:hAnsi="Arabic Typesetting" w:cs="Arabic Typesetting"/>
                <w:color w:val="008000"/>
                <w:sz w:val="28"/>
                <w:szCs w:val="28"/>
              </w:rPr>
            </w:pPr>
            <w:r w:rsidRPr="00A770FA">
              <w:rPr>
                <w:rFonts w:ascii="Arabic Typesetting" w:hAnsi="Arabic Typesetting" w:cs="Arabic Typesetting"/>
                <w:color w:val="00B050"/>
                <w:sz w:val="28"/>
                <w:szCs w:val="28"/>
              </w:rPr>
              <w:sym w:font="Wingdings" w:char="F06C"/>
            </w:r>
          </w:p>
        </w:tc>
      </w:tr>
      <w:tr w:rsidR="0049618D" w:rsidRPr="00A770FA" w14:paraId="5C14BF1E" w14:textId="77777777" w:rsidTr="00482893">
        <w:trPr>
          <w:cantSplit/>
          <w:trHeight w:val="335"/>
        </w:trPr>
        <w:tc>
          <w:tcPr>
            <w:tcW w:w="1478" w:type="pct"/>
            <w:shd w:val="clear" w:color="auto" w:fill="auto"/>
            <w:tcMar>
              <w:top w:w="113" w:type="dxa"/>
              <w:bottom w:w="85" w:type="dxa"/>
            </w:tcMar>
          </w:tcPr>
          <w:p w14:paraId="5208BE3A"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3476AB23" w14:textId="38E5703A" w:rsidR="0049618D" w:rsidRPr="0049618D"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النسبة المئوية للمؤتمرات والتظاهرات المدعومة بأمن داخل جنيف وخارجها</w:t>
            </w:r>
            <w:r w:rsidRPr="003B3821">
              <w:rPr>
                <w:rFonts w:ascii="Arabic Typesetting" w:eastAsia="Arabic Typesetting" w:hAnsi="Arabic Typesetting" w:cs="Arabic Typesetting"/>
                <w:color w:val="000000"/>
                <w:sz w:val="28"/>
                <w:szCs w:val="28"/>
                <w:vertAlign w:val="superscript"/>
                <w:lang w:eastAsia="ar-EG" w:bidi="ar-EG"/>
              </w:rPr>
              <w:footnoteReference w:id="83"/>
            </w:r>
          </w:p>
        </w:tc>
        <w:tc>
          <w:tcPr>
            <w:tcW w:w="861" w:type="pct"/>
            <w:shd w:val="clear" w:color="auto" w:fill="FFFFFF"/>
            <w:tcMar>
              <w:top w:w="113" w:type="dxa"/>
              <w:bottom w:w="85" w:type="dxa"/>
            </w:tcMar>
          </w:tcPr>
          <w:p w14:paraId="47901F0D"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28</w:t>
            </w:r>
          </w:p>
        </w:tc>
        <w:tc>
          <w:tcPr>
            <w:tcW w:w="568" w:type="pct"/>
            <w:shd w:val="clear" w:color="auto" w:fill="auto"/>
          </w:tcPr>
          <w:p w14:paraId="7F041E8B" w14:textId="77777777" w:rsidR="0049618D" w:rsidRPr="00A770FA" w:rsidRDefault="0049618D" w:rsidP="00482893">
            <w:pPr>
              <w:bidi/>
              <w:spacing w:before="120" w:after="120" w:line="280" w:lineRule="exact"/>
              <w:jc w:val="center"/>
              <w:rPr>
                <w:rFonts w:ascii="Arabic Typesetting" w:hAnsi="Arabic Typesetting" w:cs="Arabic Typesetting"/>
                <w:color w:val="008000"/>
                <w:sz w:val="28"/>
                <w:szCs w:val="28"/>
              </w:rPr>
            </w:pPr>
            <w:r w:rsidRPr="00A770FA">
              <w:rPr>
                <w:rFonts w:ascii="Arabic Typesetting" w:hAnsi="Arabic Typesetting" w:cs="Arabic Typesetting"/>
                <w:color w:val="00B050"/>
                <w:sz w:val="28"/>
                <w:szCs w:val="28"/>
              </w:rPr>
              <w:sym w:font="Wingdings" w:char="F06C"/>
            </w:r>
          </w:p>
        </w:tc>
      </w:tr>
      <w:tr w:rsidR="0049618D" w:rsidRPr="00A770FA" w14:paraId="5DE3AC33" w14:textId="77777777" w:rsidTr="00482893">
        <w:trPr>
          <w:cantSplit/>
          <w:trHeight w:val="335"/>
        </w:trPr>
        <w:tc>
          <w:tcPr>
            <w:tcW w:w="1478" w:type="pct"/>
            <w:vMerge w:val="restart"/>
            <w:shd w:val="clear" w:color="auto" w:fill="auto"/>
            <w:tcMar>
              <w:top w:w="113" w:type="dxa"/>
              <w:bottom w:w="85" w:type="dxa"/>
            </w:tcMar>
          </w:tcPr>
          <w:p w14:paraId="22F4CF12" w14:textId="77777777" w:rsidR="0049618D" w:rsidRPr="00A770FA" w:rsidRDefault="0049618D" w:rsidP="0059581F">
            <w:pPr>
              <w:keepNext/>
              <w:bidi/>
              <w:spacing w:before="120" w:after="120" w:line="280" w:lineRule="exact"/>
              <w:rPr>
                <w:rFonts w:ascii="Arabic Typesetting" w:hAnsi="Arabic Typesetting" w:cs="Arabic Typesetting"/>
                <w:sz w:val="28"/>
                <w:szCs w:val="28"/>
              </w:rPr>
            </w:pPr>
            <w:r w:rsidRPr="00A770FA">
              <w:rPr>
                <w:rFonts w:ascii="Arabic Typesetting" w:eastAsia="Arabic Typesetting" w:hAnsi="Arabic Typesetting" w:cs="Arabic Typesetting"/>
                <w:color w:val="000000"/>
                <w:sz w:val="28"/>
                <w:szCs w:val="28"/>
                <w:rtl/>
                <w:lang w:eastAsia="ar-EG" w:bidi="ar-EG"/>
              </w:rPr>
              <w:lastRenderedPageBreak/>
              <w:t>ه8.9 مستوى محسّن فيما يخص المساءلة، والتعلم المؤسسي، والقيمة مقابل المال، والريادة، والمراقبة الداخلية، والحوكمة المؤسسية من خلال الاستعانة برقابة فعالة ومستقلة</w:t>
            </w:r>
          </w:p>
        </w:tc>
        <w:tc>
          <w:tcPr>
            <w:tcW w:w="2093" w:type="pct"/>
            <w:shd w:val="clear" w:color="auto" w:fill="auto"/>
            <w:tcMar>
              <w:top w:w="113" w:type="dxa"/>
              <w:bottom w:w="85" w:type="dxa"/>
            </w:tcMar>
          </w:tcPr>
          <w:p w14:paraId="24B8B1F8" w14:textId="77777777" w:rsidR="0049618D" w:rsidRPr="00A770FA" w:rsidRDefault="0049618D" w:rsidP="0059581F">
            <w:pPr>
              <w:keepNext/>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الاستقلالية – عدم تدخل كبار أصحاب المصالح ومراعاتهم للاستقلالية</w:t>
            </w:r>
          </w:p>
        </w:tc>
        <w:tc>
          <w:tcPr>
            <w:tcW w:w="861" w:type="pct"/>
            <w:shd w:val="clear" w:color="auto" w:fill="FFFFFF"/>
            <w:tcMar>
              <w:top w:w="113" w:type="dxa"/>
              <w:bottom w:w="85" w:type="dxa"/>
            </w:tcMar>
          </w:tcPr>
          <w:p w14:paraId="5C90350F" w14:textId="77777777" w:rsidR="0049618D" w:rsidRPr="00A770FA" w:rsidRDefault="0049618D" w:rsidP="0059581F">
            <w:pPr>
              <w:keepNext/>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26</w:t>
            </w:r>
          </w:p>
        </w:tc>
        <w:tc>
          <w:tcPr>
            <w:tcW w:w="568" w:type="pct"/>
            <w:shd w:val="clear" w:color="auto" w:fill="auto"/>
          </w:tcPr>
          <w:p w14:paraId="2350629B" w14:textId="77777777" w:rsidR="0049618D" w:rsidRPr="00A770FA" w:rsidRDefault="0049618D" w:rsidP="0059581F">
            <w:pPr>
              <w:keepNext/>
              <w:bidi/>
              <w:spacing w:before="120" w:after="120" w:line="280" w:lineRule="exact"/>
              <w:jc w:val="center"/>
              <w:rPr>
                <w:rFonts w:ascii="Arabic Typesetting" w:hAnsi="Arabic Typesetting" w:cs="Arabic Typesetting"/>
                <w:color w:val="008000"/>
                <w:sz w:val="28"/>
                <w:szCs w:val="28"/>
              </w:rPr>
            </w:pPr>
            <w:r w:rsidRPr="00A770FA">
              <w:rPr>
                <w:rFonts w:ascii="Arabic Typesetting" w:hAnsi="Arabic Typesetting" w:cs="Arabic Typesetting"/>
                <w:color w:val="00B050"/>
                <w:sz w:val="28"/>
                <w:szCs w:val="28"/>
              </w:rPr>
              <w:sym w:font="Wingdings" w:char="F06C"/>
            </w:r>
          </w:p>
        </w:tc>
      </w:tr>
      <w:tr w:rsidR="0049618D" w:rsidRPr="00A770FA" w14:paraId="29EBC2EA" w14:textId="77777777" w:rsidTr="00482893">
        <w:trPr>
          <w:cantSplit/>
          <w:trHeight w:val="335"/>
        </w:trPr>
        <w:tc>
          <w:tcPr>
            <w:tcW w:w="1478" w:type="pct"/>
            <w:vMerge/>
            <w:shd w:val="clear" w:color="auto" w:fill="auto"/>
            <w:tcMar>
              <w:top w:w="113" w:type="dxa"/>
              <w:bottom w:w="85" w:type="dxa"/>
            </w:tcMar>
          </w:tcPr>
          <w:p w14:paraId="0251FCD8" w14:textId="77777777" w:rsidR="0049618D" w:rsidRPr="00A770FA" w:rsidRDefault="0049618D" w:rsidP="0059581F">
            <w:pPr>
              <w:keepNext/>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1E5D958E" w14:textId="77777777" w:rsidR="0049618D" w:rsidRPr="00A770FA" w:rsidRDefault="0049618D" w:rsidP="0059581F">
            <w:pPr>
              <w:keepNext/>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الفعالية – النسبة المئوية للعمل الذي يغطي مجالات وجيهة عالية المخاطر بما يتماشى مع استراتيجية المنظمة</w:t>
            </w:r>
          </w:p>
        </w:tc>
        <w:tc>
          <w:tcPr>
            <w:tcW w:w="861" w:type="pct"/>
            <w:shd w:val="clear" w:color="auto" w:fill="FFFFFF"/>
            <w:tcMar>
              <w:top w:w="113" w:type="dxa"/>
              <w:bottom w:w="85" w:type="dxa"/>
            </w:tcMar>
          </w:tcPr>
          <w:p w14:paraId="073F2D14" w14:textId="77777777" w:rsidR="0049618D" w:rsidRPr="00A770FA" w:rsidRDefault="0049618D" w:rsidP="0059581F">
            <w:pPr>
              <w:keepNext/>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26</w:t>
            </w:r>
          </w:p>
        </w:tc>
        <w:tc>
          <w:tcPr>
            <w:tcW w:w="568" w:type="pct"/>
            <w:shd w:val="clear" w:color="auto" w:fill="auto"/>
          </w:tcPr>
          <w:p w14:paraId="1DB0FD22" w14:textId="77777777" w:rsidR="0049618D" w:rsidRPr="00A770FA" w:rsidRDefault="0049618D" w:rsidP="0059581F">
            <w:pPr>
              <w:keepNext/>
              <w:bidi/>
              <w:spacing w:before="120" w:after="120" w:line="280" w:lineRule="exact"/>
              <w:jc w:val="center"/>
              <w:rPr>
                <w:rFonts w:ascii="Arabic Typesetting" w:hAnsi="Arabic Typesetting" w:cs="Arabic Typesetting"/>
                <w:color w:val="008000"/>
                <w:sz w:val="28"/>
                <w:szCs w:val="28"/>
              </w:rPr>
            </w:pPr>
            <w:r w:rsidRPr="00A770FA">
              <w:rPr>
                <w:rFonts w:ascii="Arabic Typesetting" w:hAnsi="Arabic Typesetting" w:cs="Arabic Typesetting"/>
                <w:color w:val="00B050"/>
                <w:sz w:val="28"/>
                <w:szCs w:val="28"/>
              </w:rPr>
              <w:sym w:font="Wingdings" w:char="F06C"/>
            </w:r>
          </w:p>
        </w:tc>
      </w:tr>
      <w:tr w:rsidR="0049618D" w:rsidRPr="00A770FA" w14:paraId="2C8F2FAF" w14:textId="77777777" w:rsidTr="00482893">
        <w:trPr>
          <w:cantSplit/>
          <w:trHeight w:val="335"/>
        </w:trPr>
        <w:tc>
          <w:tcPr>
            <w:tcW w:w="1478" w:type="pct"/>
            <w:vMerge/>
            <w:shd w:val="clear" w:color="auto" w:fill="auto"/>
            <w:tcMar>
              <w:top w:w="113" w:type="dxa"/>
              <w:bottom w:w="85" w:type="dxa"/>
            </w:tcMar>
          </w:tcPr>
          <w:p w14:paraId="54A16260"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4E47CEC5" w14:textId="77777777" w:rsidR="0049618D" w:rsidRPr="00A770FA" w:rsidRDefault="0049618D" w:rsidP="00482893">
            <w:pPr>
              <w:bidi/>
              <w:spacing w:before="120" w:after="120" w:line="280" w:lineRule="exact"/>
              <w:rPr>
                <w:rFonts w:ascii="Arabic Typesetting" w:eastAsia="Arabic Typesetting" w:hAnsi="Arabic Typesetting" w:cs="Arabic Typesetting"/>
                <w:color w:val="000000"/>
                <w:sz w:val="28"/>
                <w:szCs w:val="28"/>
                <w:lang w:eastAsia="ar-EG" w:bidi="ar-EG"/>
              </w:rPr>
            </w:pPr>
            <w:r w:rsidRPr="00A770FA">
              <w:rPr>
                <w:rFonts w:ascii="Arabic Typesetting" w:eastAsia="Arabic Typesetting" w:hAnsi="Arabic Typesetting" w:cs="Arabic Typesetting"/>
                <w:color w:val="000000"/>
                <w:sz w:val="28"/>
                <w:szCs w:val="28"/>
                <w:rtl/>
                <w:lang w:eastAsia="ar-EG" w:bidi="ar-EG"/>
              </w:rPr>
              <w:t>الكفاءة – صدور تقارير شعبة الرقابة الداخلية في الوقت المناسب مع توصيات مُحدَّدة وقابلة للقياس ويمكن تحقيقها وعملية المنحى ومُحدَّد المدة</w:t>
            </w:r>
          </w:p>
        </w:tc>
        <w:tc>
          <w:tcPr>
            <w:tcW w:w="861" w:type="pct"/>
            <w:shd w:val="clear" w:color="auto" w:fill="FFFFFF"/>
            <w:tcMar>
              <w:top w:w="113" w:type="dxa"/>
              <w:bottom w:w="85" w:type="dxa"/>
            </w:tcMar>
          </w:tcPr>
          <w:p w14:paraId="33D449DD"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26</w:t>
            </w:r>
          </w:p>
        </w:tc>
        <w:tc>
          <w:tcPr>
            <w:tcW w:w="568" w:type="pct"/>
            <w:shd w:val="clear" w:color="auto" w:fill="auto"/>
          </w:tcPr>
          <w:p w14:paraId="72226525" w14:textId="77777777" w:rsidR="0049618D" w:rsidRPr="00A770FA" w:rsidRDefault="0049618D" w:rsidP="00482893">
            <w:pPr>
              <w:bidi/>
              <w:spacing w:before="120" w:after="120" w:line="280" w:lineRule="exact"/>
              <w:jc w:val="center"/>
              <w:rPr>
                <w:rFonts w:ascii="Arabic Typesetting" w:hAnsi="Arabic Typesetting" w:cs="Arabic Typesetting"/>
                <w:color w:val="008000"/>
                <w:sz w:val="28"/>
                <w:szCs w:val="28"/>
              </w:rPr>
            </w:pPr>
            <w:r w:rsidRPr="00A770FA">
              <w:rPr>
                <w:rFonts w:ascii="Arabic Typesetting" w:hAnsi="Arabic Typesetting" w:cs="Arabic Typesetting"/>
                <w:color w:val="FF0000"/>
                <w:sz w:val="28"/>
                <w:szCs w:val="28"/>
              </w:rPr>
              <w:sym w:font="Wingdings" w:char="F06C"/>
            </w:r>
            <w:r w:rsidRPr="00A770FA">
              <w:rPr>
                <w:rFonts w:ascii="Arabic Typesetting" w:hAnsi="Arabic Typesetting" w:cs="Arabic Typesetting"/>
                <w:color w:val="FF0000"/>
                <w:sz w:val="28"/>
                <w:szCs w:val="28"/>
              </w:rPr>
              <w:sym w:font="Wingdings" w:char="F06C"/>
            </w:r>
            <w:r w:rsidRPr="00A770FA">
              <w:rPr>
                <w:rFonts w:ascii="Arabic Typesetting" w:hAnsi="Arabic Typesetting" w:cs="Arabic Typesetting"/>
                <w:color w:val="00B050"/>
                <w:sz w:val="28"/>
                <w:szCs w:val="28"/>
              </w:rPr>
              <w:sym w:font="Wingdings" w:char="F06C"/>
            </w:r>
          </w:p>
        </w:tc>
      </w:tr>
      <w:tr w:rsidR="0049618D" w:rsidRPr="00A770FA" w14:paraId="7E8B0EF1" w14:textId="77777777" w:rsidTr="00482893">
        <w:trPr>
          <w:cantSplit/>
          <w:trHeight w:val="335"/>
        </w:trPr>
        <w:tc>
          <w:tcPr>
            <w:tcW w:w="1478" w:type="pct"/>
            <w:shd w:val="clear" w:color="auto" w:fill="auto"/>
            <w:tcMar>
              <w:top w:w="113" w:type="dxa"/>
              <w:bottom w:w="85" w:type="dxa"/>
            </w:tcMar>
          </w:tcPr>
          <w:p w14:paraId="0C250DFD"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04966C58" w14:textId="77777777" w:rsidR="0049618D" w:rsidRPr="00A770FA" w:rsidRDefault="0049618D" w:rsidP="00482893">
            <w:pPr>
              <w:bidi/>
              <w:spacing w:before="120" w:after="120" w:line="280" w:lineRule="exact"/>
              <w:rPr>
                <w:rFonts w:ascii="Arabic Typesetting" w:hAnsi="Arabic Typesetting" w:cs="Arabic Typesetting"/>
                <w:color w:val="000000"/>
                <w:sz w:val="28"/>
                <w:szCs w:val="28"/>
              </w:rPr>
            </w:pPr>
            <w:r w:rsidRPr="00A770FA">
              <w:rPr>
                <w:rFonts w:ascii="Arabic Typesetting" w:eastAsia="Arabic Typesetting" w:hAnsi="Arabic Typesetting" w:cs="Arabic Typesetting"/>
                <w:color w:val="000000"/>
                <w:sz w:val="28"/>
                <w:szCs w:val="28"/>
                <w:rtl/>
                <w:lang w:eastAsia="ar-EG" w:bidi="ar-EG"/>
              </w:rPr>
              <w:t>التعلم المؤسسي ـ تعلم الدروس والتوصيات من عمليات الرقابة</w:t>
            </w:r>
          </w:p>
        </w:tc>
        <w:tc>
          <w:tcPr>
            <w:tcW w:w="861" w:type="pct"/>
            <w:shd w:val="clear" w:color="auto" w:fill="FFFFFF"/>
            <w:tcMar>
              <w:top w:w="113" w:type="dxa"/>
              <w:bottom w:w="85" w:type="dxa"/>
            </w:tcMar>
          </w:tcPr>
          <w:p w14:paraId="19C71FBF"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26</w:t>
            </w:r>
          </w:p>
        </w:tc>
        <w:tc>
          <w:tcPr>
            <w:tcW w:w="568" w:type="pct"/>
            <w:shd w:val="clear" w:color="auto" w:fill="auto"/>
          </w:tcPr>
          <w:p w14:paraId="0719A993" w14:textId="77777777" w:rsidR="0049618D" w:rsidRPr="00A770FA" w:rsidRDefault="0049618D" w:rsidP="00482893">
            <w:pPr>
              <w:bidi/>
              <w:spacing w:before="120" w:after="120" w:line="280" w:lineRule="exact"/>
              <w:jc w:val="center"/>
              <w:rPr>
                <w:rFonts w:ascii="Arabic Typesetting" w:hAnsi="Arabic Typesetting" w:cs="Arabic Typesetting"/>
                <w:color w:val="00B050"/>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00B050"/>
                <w:sz w:val="28"/>
                <w:szCs w:val="28"/>
              </w:rPr>
              <w:sym w:font="Wingdings" w:char="F06C"/>
            </w:r>
          </w:p>
        </w:tc>
      </w:tr>
      <w:tr w:rsidR="0049618D" w:rsidRPr="00A770FA" w14:paraId="1138A374" w14:textId="77777777" w:rsidTr="00482893">
        <w:trPr>
          <w:cantSplit/>
          <w:trHeight w:val="335"/>
        </w:trPr>
        <w:tc>
          <w:tcPr>
            <w:tcW w:w="1478" w:type="pct"/>
            <w:shd w:val="clear" w:color="auto" w:fill="auto"/>
            <w:tcMar>
              <w:top w:w="113" w:type="dxa"/>
              <w:bottom w:w="85" w:type="dxa"/>
            </w:tcMar>
          </w:tcPr>
          <w:p w14:paraId="37C929A3" w14:textId="77777777" w:rsidR="0049618D" w:rsidRPr="00A770FA" w:rsidRDefault="0049618D" w:rsidP="00482893">
            <w:pPr>
              <w:bidi/>
              <w:spacing w:before="120" w:after="120" w:line="280" w:lineRule="exact"/>
              <w:rPr>
                <w:rFonts w:ascii="Arabic Typesetting" w:hAnsi="Arabic Typesetting" w:cs="Arabic Typesetting"/>
                <w:sz w:val="28"/>
                <w:szCs w:val="28"/>
              </w:rPr>
            </w:pPr>
          </w:p>
        </w:tc>
        <w:tc>
          <w:tcPr>
            <w:tcW w:w="2093" w:type="pct"/>
            <w:shd w:val="clear" w:color="auto" w:fill="auto"/>
            <w:tcMar>
              <w:top w:w="113" w:type="dxa"/>
              <w:bottom w:w="85" w:type="dxa"/>
            </w:tcMar>
          </w:tcPr>
          <w:p w14:paraId="3B4F363F" w14:textId="77777777" w:rsidR="0049618D" w:rsidRPr="00A770FA" w:rsidRDefault="0049618D" w:rsidP="00482893">
            <w:pPr>
              <w:bidi/>
              <w:spacing w:before="120" w:after="120" w:line="280" w:lineRule="exact"/>
              <w:rPr>
                <w:rFonts w:ascii="Arabic Typesetting" w:hAnsi="Arabic Typesetting" w:cs="Arabic Typesetting"/>
                <w:color w:val="000000"/>
                <w:sz w:val="28"/>
                <w:szCs w:val="28"/>
              </w:rPr>
            </w:pPr>
            <w:r w:rsidRPr="00A770FA">
              <w:rPr>
                <w:rFonts w:ascii="Arabic Typesetting" w:eastAsia="Arabic Typesetting" w:hAnsi="Arabic Typesetting" w:cs="Arabic Typesetting"/>
                <w:color w:val="000000"/>
                <w:sz w:val="28"/>
                <w:szCs w:val="28"/>
                <w:rtl/>
                <w:lang w:eastAsia="ar-EG" w:bidi="ar-EG"/>
              </w:rPr>
              <w:t>الوجاهة والقيمة المضافة والإشراف ـ وفورات أو تحسينات فعلية في العمليات والأنظمة التجارية</w:t>
            </w:r>
          </w:p>
        </w:tc>
        <w:tc>
          <w:tcPr>
            <w:tcW w:w="861" w:type="pct"/>
            <w:shd w:val="clear" w:color="auto" w:fill="FFFFFF"/>
            <w:tcMar>
              <w:top w:w="113" w:type="dxa"/>
              <w:bottom w:w="85" w:type="dxa"/>
            </w:tcMar>
          </w:tcPr>
          <w:p w14:paraId="68E0D52B" w14:textId="77777777" w:rsidR="0049618D" w:rsidRPr="00A770FA" w:rsidRDefault="0049618D" w:rsidP="00482893">
            <w:pPr>
              <w:bidi/>
              <w:spacing w:before="120" w:after="120" w:line="280" w:lineRule="exact"/>
              <w:jc w:val="center"/>
              <w:rPr>
                <w:rFonts w:ascii="Arabic Typesetting" w:hAnsi="Arabic Typesetting" w:cs="Arabic Typesetting"/>
                <w:sz w:val="28"/>
                <w:szCs w:val="28"/>
              </w:rPr>
            </w:pPr>
            <w:r w:rsidRPr="00A770FA">
              <w:rPr>
                <w:rFonts w:ascii="Arabic Typesetting" w:hAnsi="Arabic Typesetting" w:cs="Arabic Typesetting"/>
                <w:sz w:val="28"/>
                <w:szCs w:val="28"/>
                <w:rtl/>
              </w:rPr>
              <w:t>البرنامج 26</w:t>
            </w:r>
          </w:p>
        </w:tc>
        <w:tc>
          <w:tcPr>
            <w:tcW w:w="568" w:type="pct"/>
            <w:shd w:val="clear" w:color="auto" w:fill="auto"/>
          </w:tcPr>
          <w:p w14:paraId="145EBB00" w14:textId="77777777" w:rsidR="0049618D" w:rsidRPr="00A770FA" w:rsidRDefault="0049618D" w:rsidP="00482893">
            <w:pPr>
              <w:bidi/>
              <w:spacing w:before="120" w:after="120" w:line="280" w:lineRule="exact"/>
              <w:jc w:val="center"/>
              <w:rPr>
                <w:rFonts w:ascii="Arabic Typesetting" w:hAnsi="Arabic Typesetting" w:cs="Arabic Typesetting"/>
                <w:color w:val="008000"/>
                <w:sz w:val="28"/>
                <w:szCs w:val="28"/>
              </w:rPr>
            </w:pPr>
            <w:r w:rsidRPr="00A770FA">
              <w:rPr>
                <w:rFonts w:ascii="Arabic Typesetting" w:hAnsi="Arabic Typesetting" w:cs="Arabic Typesetting"/>
                <w:color w:val="00B050"/>
                <w:sz w:val="28"/>
                <w:szCs w:val="28"/>
              </w:rPr>
              <w:sym w:font="Wingdings" w:char="F06C"/>
            </w:r>
            <w:r w:rsidRPr="00A770FA">
              <w:rPr>
                <w:rFonts w:ascii="Arabic Typesetting" w:hAnsi="Arabic Typesetting" w:cs="Arabic Typesetting"/>
                <w:color w:val="FF0000"/>
                <w:sz w:val="28"/>
                <w:szCs w:val="28"/>
              </w:rPr>
              <w:sym w:font="Wingdings" w:char="F06C"/>
            </w:r>
          </w:p>
        </w:tc>
      </w:tr>
    </w:tbl>
    <w:p w14:paraId="2B1C65DC" w14:textId="77777777" w:rsidR="00574A27" w:rsidRDefault="00574A27" w:rsidP="00574A27">
      <w:pPr>
        <w:pStyle w:val="NormalParaAR"/>
        <w:rPr>
          <w:rtl/>
        </w:rPr>
      </w:pPr>
    </w:p>
    <w:p w14:paraId="62CFF4E6" w14:textId="77777777" w:rsidR="00BD3831" w:rsidRPr="00254297" w:rsidRDefault="00BD3831" w:rsidP="00DA7DF7">
      <w:pPr>
        <w:pStyle w:val="Heading3"/>
        <w:ind w:left="1984" w:hanging="1984"/>
      </w:pPr>
      <w:bookmarkStart w:id="51" w:name="_Toc482782774"/>
      <w:r w:rsidRPr="00254297">
        <w:rPr>
          <w:rtl/>
        </w:rPr>
        <w:lastRenderedPageBreak/>
        <w:t>البرنامج</w:t>
      </w:r>
      <w:r>
        <w:rPr>
          <w:rFonts w:hint="cs"/>
          <w:rtl/>
          <w:lang w:bidi="ar-EG"/>
        </w:rPr>
        <w:t xml:space="preserve"> 21</w:t>
      </w:r>
      <w:r w:rsidRPr="00254297">
        <w:rPr>
          <w:rFonts w:hint="cs"/>
          <w:rtl/>
        </w:rPr>
        <w:t>:</w:t>
      </w:r>
      <w:r w:rsidRPr="00254297">
        <w:tab/>
      </w:r>
      <w:r>
        <w:rPr>
          <w:rFonts w:hint="cs"/>
          <w:rtl/>
        </w:rPr>
        <w:t>الإدارة التنفيذية</w:t>
      </w:r>
      <w:bookmarkEnd w:id="51"/>
    </w:p>
    <w:p w14:paraId="5EF2FDEF" w14:textId="77777777" w:rsidR="00BD3831" w:rsidRDefault="00BD3831"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Pr>
          <w:rFonts w:ascii="Arabic Typesetting" w:hAnsi="Arabic Typesetting" w:cs="Arabic Typesetting" w:hint="cs"/>
          <w:b/>
          <w:bCs/>
          <w:sz w:val="36"/>
          <w:szCs w:val="36"/>
          <w:rtl/>
          <w:lang w:val="fr-CH"/>
        </w:rPr>
        <w:t>المدير العام</w:t>
      </w:r>
    </w:p>
    <w:p w14:paraId="2B04A69F" w14:textId="77777777" w:rsidR="00BD3831" w:rsidRDefault="00BD3831"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4225DB83" wp14:editId="4163131F">
            <wp:extent cx="3592185"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92185" cy="2160000"/>
                    </a:xfrm>
                    <a:prstGeom prst="rect">
                      <a:avLst/>
                    </a:prstGeom>
                    <a:noFill/>
                  </pic:spPr>
                </pic:pic>
              </a:graphicData>
            </a:graphic>
          </wp:inline>
        </w:drawing>
      </w:r>
    </w:p>
    <w:tbl>
      <w:tblPr>
        <w:bidiVisual/>
        <w:tblW w:w="5015" w:type="pct"/>
        <w:tblInd w:w="58" w:type="dxa"/>
        <w:tblLayout w:type="fixed"/>
        <w:tblCellMar>
          <w:left w:w="115" w:type="dxa"/>
          <w:right w:w="115" w:type="dxa"/>
        </w:tblCellMar>
        <w:tblLook w:val="0000" w:firstRow="0" w:lastRow="0" w:firstColumn="0" w:lastColumn="0" w:noHBand="0" w:noVBand="0"/>
      </w:tblPr>
      <w:tblGrid>
        <w:gridCol w:w="2040"/>
        <w:gridCol w:w="2690"/>
        <w:gridCol w:w="1328"/>
        <w:gridCol w:w="2487"/>
        <w:gridCol w:w="954"/>
      </w:tblGrid>
      <w:tr w:rsidR="00BD3831" w:rsidRPr="003726A9" w14:paraId="76DDA5AF" w14:textId="77777777" w:rsidTr="00DF6715">
        <w:trPr>
          <w:cantSplit/>
          <w:trHeight w:val="565"/>
        </w:trPr>
        <w:tc>
          <w:tcPr>
            <w:tcW w:w="5000" w:type="pct"/>
            <w:gridSpan w:val="5"/>
            <w:shd w:val="clear" w:color="auto" w:fill="C6D9F1"/>
            <w:tcMar>
              <w:left w:w="58" w:type="dxa"/>
              <w:right w:w="58" w:type="dxa"/>
            </w:tcMar>
            <w:vAlign w:val="center"/>
          </w:tcPr>
          <w:p w14:paraId="6C78F1B5" w14:textId="77777777" w:rsidR="00BD3831" w:rsidRPr="003726A9"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‏النتيجة المرتقبة:</w:t>
            </w:r>
            <w:r w:rsidRPr="003726A9">
              <w:rPr>
                <w:rFonts w:ascii="Arabic Typesetting" w:eastAsia="Arabic Typesetting" w:hAnsi="Arabic Typesetting" w:cs="Arabic Typesetting"/>
                <w:sz w:val="28"/>
                <w:szCs w:val="28"/>
                <w:lang w:eastAsia="ar-EG" w:bidi="ar-EG"/>
              </w:rPr>
              <w:tab/>
            </w:r>
            <w:r w:rsidRPr="003726A9">
              <w:rPr>
                <w:rFonts w:ascii="Arabic Typesetting" w:eastAsia="Arabic Typesetting" w:hAnsi="Arabic Typesetting" w:cs="Arabic Typesetting"/>
                <w:sz w:val="28"/>
                <w:szCs w:val="28"/>
                <w:rtl/>
                <w:lang w:eastAsia="ar-EG" w:bidi="ar-EG"/>
              </w:rPr>
              <w:t>ه2.4 نفاذ محسّن إلى المعلومات المتعلقة بالملكية الفكرية واستخدامها من قبل مؤسسات الملكية الفكرية والجمهور لتشجيع الابتكار والإبداع</w:t>
            </w:r>
          </w:p>
        </w:tc>
      </w:tr>
      <w:tr w:rsidR="00BD3831" w:rsidRPr="003726A9" w14:paraId="6FDC6A3D" w14:textId="77777777" w:rsidTr="00DF6715">
        <w:trPr>
          <w:cantSplit/>
        </w:trPr>
        <w:tc>
          <w:tcPr>
            <w:tcW w:w="1074" w:type="pct"/>
            <w:shd w:val="clear" w:color="auto" w:fill="auto"/>
            <w:tcMar>
              <w:left w:w="58" w:type="dxa"/>
              <w:right w:w="58" w:type="dxa"/>
            </w:tcMar>
            <w:vAlign w:val="center"/>
          </w:tcPr>
          <w:p w14:paraId="302A315F" w14:textId="77777777" w:rsidR="00BD3831" w:rsidRPr="003726A9"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مؤشرات الأداء</w:t>
            </w:r>
          </w:p>
        </w:tc>
        <w:tc>
          <w:tcPr>
            <w:tcW w:w="1416" w:type="pct"/>
            <w:shd w:val="clear" w:color="auto" w:fill="auto"/>
            <w:tcMar>
              <w:left w:w="58" w:type="dxa"/>
              <w:right w:w="58" w:type="dxa"/>
            </w:tcMar>
            <w:vAlign w:val="center"/>
          </w:tcPr>
          <w:p w14:paraId="5DB4DAA8"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أسس المقارنة</w:t>
            </w:r>
          </w:p>
        </w:tc>
        <w:tc>
          <w:tcPr>
            <w:tcW w:w="699" w:type="pct"/>
            <w:shd w:val="clear" w:color="auto" w:fill="auto"/>
            <w:tcMar>
              <w:top w:w="110" w:type="dxa"/>
              <w:left w:w="58" w:type="dxa"/>
              <w:right w:w="58" w:type="dxa"/>
            </w:tcMar>
            <w:vAlign w:val="center"/>
          </w:tcPr>
          <w:p w14:paraId="7E35545E"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الأهداف</w:t>
            </w:r>
          </w:p>
        </w:tc>
        <w:tc>
          <w:tcPr>
            <w:tcW w:w="1309" w:type="pct"/>
            <w:shd w:val="clear" w:color="auto" w:fill="FFFFFF"/>
            <w:tcMar>
              <w:top w:w="110" w:type="dxa"/>
              <w:left w:w="58" w:type="dxa"/>
              <w:right w:w="58" w:type="dxa"/>
            </w:tcMar>
            <w:vAlign w:val="center"/>
          </w:tcPr>
          <w:p w14:paraId="5EF28538"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بيانات الأداء</w:t>
            </w:r>
          </w:p>
        </w:tc>
        <w:tc>
          <w:tcPr>
            <w:tcW w:w="501" w:type="pct"/>
            <w:shd w:val="clear" w:color="auto" w:fill="auto"/>
            <w:tcMar>
              <w:top w:w="110" w:type="dxa"/>
              <w:left w:w="58" w:type="dxa"/>
              <w:right w:w="58" w:type="dxa"/>
            </w:tcMar>
            <w:vAlign w:val="center"/>
          </w:tcPr>
          <w:p w14:paraId="18EDA4EA"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D3831" w:rsidRPr="003726A9" w14:paraId="5263C8AF" w14:textId="77777777" w:rsidTr="00DF6715">
        <w:trPr>
          <w:cantSplit/>
          <w:trHeight w:val="1946"/>
        </w:trPr>
        <w:tc>
          <w:tcPr>
            <w:tcW w:w="1074" w:type="pct"/>
            <w:shd w:val="clear" w:color="auto" w:fill="auto"/>
            <w:tcMar>
              <w:left w:w="58" w:type="dxa"/>
              <w:right w:w="58" w:type="dxa"/>
            </w:tcMar>
          </w:tcPr>
          <w:p w14:paraId="75E4A011" w14:textId="77777777" w:rsidR="00BD3831" w:rsidRPr="003726A9" w:rsidRDefault="00BD3831" w:rsidP="0031289D">
            <w:pPr>
              <w:widowControl w:val="0"/>
              <w:bidi/>
              <w:spacing w:after="120" w:line="280" w:lineRule="exact"/>
              <w:ind w:right="176"/>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 xml:space="preserve">زيادة عدد مستخدمي قاعدة بيانات </w:t>
            </w:r>
            <w:r w:rsidRPr="003726A9">
              <w:rPr>
                <w:rFonts w:ascii="Arabic Typesetting" w:eastAsia="Arabic Typesetting" w:hAnsi="Arabic Typesetting" w:cs="Arabic Typesetting"/>
                <w:color w:val="000000"/>
                <w:sz w:val="28"/>
                <w:szCs w:val="28"/>
                <w:lang w:eastAsia="ar-EG" w:bidi="ar-EG"/>
              </w:rPr>
              <w:t>WIPO Lex</w:t>
            </w:r>
          </w:p>
        </w:tc>
        <w:tc>
          <w:tcPr>
            <w:tcW w:w="1416" w:type="pct"/>
            <w:shd w:val="clear" w:color="auto" w:fill="auto"/>
            <w:tcMar>
              <w:left w:w="58" w:type="dxa"/>
              <w:right w:w="58" w:type="dxa"/>
            </w:tcMar>
          </w:tcPr>
          <w:p w14:paraId="5EDD9A65" w14:textId="77777777" w:rsidR="00BD3831" w:rsidRPr="003726A9" w:rsidRDefault="00BD3831" w:rsidP="0031289D">
            <w:pPr>
              <w:widowControl w:val="0"/>
              <w:bidi/>
              <w:spacing w:line="280" w:lineRule="exact"/>
              <w:rPr>
                <w:rFonts w:ascii="Arabic Typesetting" w:eastAsia="Arabic Typesetting" w:hAnsi="Arabic Typesetting" w:cs="Arabic Typesetting"/>
                <w:i/>
                <w:color w:val="002060"/>
                <w:sz w:val="28"/>
                <w:szCs w:val="28"/>
                <w:lang w:eastAsia="ar-EG" w:bidi="ar-EG"/>
              </w:rPr>
            </w:pPr>
            <w:r w:rsidRPr="003726A9">
              <w:rPr>
                <w:rFonts w:ascii="Arabic Typesetting" w:eastAsia="Arabic Typesetting" w:hAnsi="Arabic Typesetting" w:cs="Arabic Typesetting"/>
                <w:i/>
                <w:iCs/>
                <w:color w:val="002060"/>
                <w:sz w:val="28"/>
                <w:szCs w:val="28"/>
                <w:rtl/>
                <w:lang w:eastAsia="ar-EG" w:bidi="ar-EG"/>
              </w:rPr>
              <w:t xml:space="preserve"> أساس المقارنة المُحدَّث في نهاية 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643 350 3 (2014/15)</w:t>
            </w:r>
          </w:p>
          <w:p w14:paraId="7678F605" w14:textId="77777777" w:rsidR="00BD3831" w:rsidRPr="003726A9" w:rsidRDefault="00BD3831" w:rsidP="0031289D">
            <w:pPr>
              <w:widowControl w:val="0"/>
              <w:numPr>
                <w:ilvl w:val="0"/>
                <w:numId w:val="30"/>
              </w:numPr>
              <w:bidi/>
              <w:spacing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color w:val="002060"/>
                <w:sz w:val="28"/>
                <w:szCs w:val="28"/>
                <w:rtl/>
                <w:lang w:eastAsia="ar-EG" w:bidi="ar-EG"/>
              </w:rPr>
              <w:t>135 844 1 (2015)</w:t>
            </w:r>
          </w:p>
          <w:p w14:paraId="19831C26" w14:textId="77777777" w:rsidR="00BD3831" w:rsidRDefault="00BD3831" w:rsidP="0031289D">
            <w:pPr>
              <w:widowControl w:val="0"/>
              <w:numPr>
                <w:ilvl w:val="0"/>
                <w:numId w:val="30"/>
              </w:numPr>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color w:val="002060"/>
                <w:sz w:val="28"/>
                <w:szCs w:val="28"/>
                <w:rtl/>
                <w:lang w:eastAsia="ar-EG" w:bidi="ar-EG"/>
              </w:rPr>
              <w:t>508 506 1 (2014)</w:t>
            </w:r>
          </w:p>
          <w:p w14:paraId="55DB9ADF" w14:textId="77777777" w:rsidR="00BD3831" w:rsidRPr="003726A9" w:rsidRDefault="00BD3831" w:rsidP="0031289D">
            <w:pPr>
              <w:widowControl w:val="0"/>
              <w:bidi/>
              <w:spacing w:after="120" w:line="280" w:lineRule="exact"/>
              <w:ind w:left="41" w:hanging="41"/>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726A9">
              <w:rPr>
                <w:rFonts w:ascii="Arabic Typesetting" w:eastAsia="Arabic Typesetting" w:hAnsi="Arabic Typesetting" w:cs="Arabic Typesetting"/>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486 236 2 (2012/13)</w:t>
            </w:r>
            <w:r>
              <w:rPr>
                <w:rFonts w:ascii="Arabic Typesetting" w:eastAsia="Arabic Typesetting" w:hAnsi="Arabic Typesetting" w:cs="Arabic Typesetting"/>
                <w:color w:val="000000"/>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508 506 1 (2014)</w:t>
            </w:r>
          </w:p>
        </w:tc>
        <w:tc>
          <w:tcPr>
            <w:tcW w:w="699" w:type="pct"/>
            <w:shd w:val="clear" w:color="auto" w:fill="auto"/>
            <w:tcMar>
              <w:top w:w="110" w:type="dxa"/>
              <w:left w:w="58" w:type="dxa"/>
              <w:right w:w="58" w:type="dxa"/>
            </w:tcMar>
          </w:tcPr>
          <w:p w14:paraId="64D13846"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i/>
                <w:iCs/>
                <w:color w:val="002060"/>
                <w:sz w:val="28"/>
                <w:szCs w:val="28"/>
                <w:rtl/>
                <w:lang w:eastAsia="ar-EG" w:bidi="ar-EG"/>
              </w:rPr>
              <w:t xml:space="preserve"> </w:t>
            </w:r>
            <w:r w:rsidRPr="003726A9">
              <w:rPr>
                <w:rFonts w:ascii="Arabic Typesetting" w:eastAsia="Arabic Typesetting" w:hAnsi="Arabic Typesetting" w:cs="Arabic Typesetting"/>
                <w:color w:val="002060"/>
                <w:sz w:val="28"/>
                <w:szCs w:val="28"/>
                <w:rtl/>
                <w:lang w:eastAsia="ar-EG" w:bidi="ar-EG"/>
              </w:rPr>
              <w:t>‏زيادة في الثنائية بنسبة 20%</w:t>
            </w:r>
          </w:p>
          <w:p w14:paraId="4968B869" w14:textId="5016CE91"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‏زيادة بنسبة 20%</w:t>
            </w:r>
          </w:p>
        </w:tc>
        <w:tc>
          <w:tcPr>
            <w:tcW w:w="1309" w:type="pct"/>
            <w:shd w:val="clear" w:color="auto" w:fill="FFFFFF"/>
            <w:tcMar>
              <w:top w:w="110" w:type="dxa"/>
              <w:left w:w="58" w:type="dxa"/>
              <w:right w:w="58" w:type="dxa"/>
            </w:tcMar>
          </w:tcPr>
          <w:p w14:paraId="51776BF6"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648 044 2</w:t>
            </w:r>
            <w:r>
              <w:rPr>
                <w:rFonts w:ascii="Arabic Typesetting" w:eastAsia="Arabic Typesetting" w:hAnsi="Arabic Typesetting" w:cs="Arabic Typesetting"/>
                <w:color w:val="000000"/>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(+10.9% مقارنة بعام</w:t>
            </w:r>
            <w:r>
              <w:rPr>
                <w:rFonts w:ascii="Arabic Typesetting" w:eastAsia="Arabic Typesetting" w:hAnsi="Arabic Typesetting" w:cs="Arabic Typesetting" w:hint="cs"/>
                <w:color w:val="000000"/>
                <w:sz w:val="28"/>
                <w:szCs w:val="28"/>
                <w:rtl/>
                <w:lang w:eastAsia="ar-EG" w:bidi="ar-EG"/>
              </w:rPr>
              <w:t> </w:t>
            </w:r>
            <w:r w:rsidRPr="003726A9">
              <w:rPr>
                <w:rFonts w:ascii="Arabic Typesetting" w:eastAsia="Arabic Typesetting" w:hAnsi="Arabic Typesetting" w:cs="Arabic Typesetting"/>
                <w:color w:val="000000"/>
                <w:sz w:val="28"/>
                <w:szCs w:val="28"/>
                <w:rtl/>
                <w:lang w:eastAsia="ar-EG" w:bidi="ar-EG"/>
              </w:rPr>
              <w:t>2015)</w:t>
            </w:r>
          </w:p>
        </w:tc>
        <w:tc>
          <w:tcPr>
            <w:tcW w:w="501" w:type="pct"/>
            <w:shd w:val="clear" w:color="auto" w:fill="auto"/>
            <w:tcMar>
              <w:top w:w="110" w:type="dxa"/>
              <w:left w:w="58" w:type="dxa"/>
              <w:right w:w="58" w:type="dxa"/>
            </w:tcMar>
          </w:tcPr>
          <w:p w14:paraId="6D7591B5"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color w:val="00B050"/>
                <w:sz w:val="28"/>
                <w:szCs w:val="28"/>
                <w:rtl/>
                <w:lang w:eastAsia="ar-EG" w:bidi="ar-EG"/>
              </w:rPr>
              <w:t>ثابت</w:t>
            </w:r>
          </w:p>
        </w:tc>
      </w:tr>
      <w:tr w:rsidR="00BD3831" w:rsidRPr="003726A9" w14:paraId="5AA48636" w14:textId="77777777" w:rsidTr="00DF6715">
        <w:trPr>
          <w:cantSplit/>
          <w:trHeight w:val="565"/>
        </w:trPr>
        <w:tc>
          <w:tcPr>
            <w:tcW w:w="5000" w:type="pct"/>
            <w:gridSpan w:val="5"/>
            <w:shd w:val="clear" w:color="auto" w:fill="C6D9F1"/>
            <w:tcMar>
              <w:left w:w="58" w:type="dxa"/>
              <w:right w:w="58" w:type="dxa"/>
            </w:tcMar>
            <w:vAlign w:val="center"/>
          </w:tcPr>
          <w:p w14:paraId="5916CC32" w14:textId="77777777" w:rsidR="00BD3831" w:rsidRPr="003726A9"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‏النتيجة المرتقبة:</w:t>
            </w:r>
            <w:r w:rsidRPr="003726A9">
              <w:rPr>
                <w:rFonts w:ascii="Arabic Typesetting" w:eastAsia="Arabic Typesetting" w:hAnsi="Arabic Typesetting" w:cs="Arabic Typesetting"/>
                <w:sz w:val="28"/>
                <w:szCs w:val="28"/>
                <w:lang w:eastAsia="ar-EG" w:bidi="ar-EG"/>
              </w:rPr>
              <w:tab/>
            </w:r>
            <w:r w:rsidRPr="003726A9">
              <w:rPr>
                <w:rFonts w:ascii="Arabic Typesetting" w:eastAsia="Arabic Typesetting" w:hAnsi="Arabic Typesetting" w:cs="Arabic Typesetting"/>
                <w:color w:val="000000"/>
                <w:sz w:val="28"/>
                <w:szCs w:val="28"/>
                <w:rtl/>
                <w:lang w:eastAsia="ar-EG" w:bidi="ar-EG"/>
              </w:rPr>
              <w:t xml:space="preserve">ه3.8 التزام </w:t>
            </w:r>
            <w:r w:rsidRPr="003726A9">
              <w:rPr>
                <w:rFonts w:ascii="Arabic Typesetting" w:eastAsia="Arabic Typesetting" w:hAnsi="Arabic Typesetting" w:cs="Arabic Typesetting"/>
                <w:sz w:val="28"/>
                <w:szCs w:val="28"/>
                <w:rtl/>
                <w:lang w:eastAsia="ar-EG" w:bidi="ar-EG"/>
              </w:rPr>
              <w:t>فعال</w:t>
            </w:r>
            <w:r w:rsidRPr="003726A9">
              <w:rPr>
                <w:rFonts w:ascii="Arabic Typesetting" w:eastAsia="Arabic Typesetting" w:hAnsi="Arabic Typesetting" w:cs="Arabic Typesetting"/>
                <w:color w:val="000000"/>
                <w:sz w:val="28"/>
                <w:szCs w:val="28"/>
                <w:rtl/>
                <w:lang w:eastAsia="ar-EG" w:bidi="ar-EG"/>
              </w:rPr>
              <w:t xml:space="preserve"> مع الدول الأعضاء</w:t>
            </w:r>
          </w:p>
        </w:tc>
      </w:tr>
      <w:tr w:rsidR="00BD3831" w:rsidRPr="003726A9" w14:paraId="095A91E1" w14:textId="77777777" w:rsidTr="00DF6715">
        <w:trPr>
          <w:cantSplit/>
        </w:trPr>
        <w:tc>
          <w:tcPr>
            <w:tcW w:w="1074" w:type="pct"/>
            <w:shd w:val="clear" w:color="auto" w:fill="auto"/>
            <w:tcMar>
              <w:left w:w="58" w:type="dxa"/>
              <w:right w:w="58" w:type="dxa"/>
            </w:tcMar>
            <w:vAlign w:val="center"/>
          </w:tcPr>
          <w:p w14:paraId="74BD9C9B" w14:textId="77777777" w:rsidR="00BD3831" w:rsidRPr="003726A9"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مؤشرات الأداء</w:t>
            </w:r>
          </w:p>
        </w:tc>
        <w:tc>
          <w:tcPr>
            <w:tcW w:w="1416" w:type="pct"/>
            <w:shd w:val="clear" w:color="auto" w:fill="auto"/>
            <w:tcMar>
              <w:left w:w="58" w:type="dxa"/>
              <w:right w:w="58" w:type="dxa"/>
            </w:tcMar>
            <w:vAlign w:val="center"/>
          </w:tcPr>
          <w:p w14:paraId="292DE218"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أسس المقارنة</w:t>
            </w:r>
          </w:p>
        </w:tc>
        <w:tc>
          <w:tcPr>
            <w:tcW w:w="699" w:type="pct"/>
            <w:shd w:val="clear" w:color="auto" w:fill="auto"/>
            <w:tcMar>
              <w:top w:w="110" w:type="dxa"/>
              <w:left w:w="58" w:type="dxa"/>
              <w:right w:w="58" w:type="dxa"/>
            </w:tcMar>
            <w:vAlign w:val="center"/>
          </w:tcPr>
          <w:p w14:paraId="604768E4"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الأهداف</w:t>
            </w:r>
          </w:p>
        </w:tc>
        <w:tc>
          <w:tcPr>
            <w:tcW w:w="1309" w:type="pct"/>
            <w:shd w:val="clear" w:color="auto" w:fill="FFFFFF"/>
            <w:tcMar>
              <w:top w:w="110" w:type="dxa"/>
              <w:left w:w="58" w:type="dxa"/>
              <w:right w:w="58" w:type="dxa"/>
            </w:tcMar>
            <w:vAlign w:val="center"/>
          </w:tcPr>
          <w:p w14:paraId="2E8FD92E"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بيانات الأداء</w:t>
            </w:r>
          </w:p>
        </w:tc>
        <w:tc>
          <w:tcPr>
            <w:tcW w:w="501" w:type="pct"/>
            <w:shd w:val="clear" w:color="auto" w:fill="auto"/>
            <w:tcMar>
              <w:top w:w="110" w:type="dxa"/>
              <w:left w:w="58" w:type="dxa"/>
              <w:right w:w="58" w:type="dxa"/>
            </w:tcMar>
            <w:vAlign w:val="center"/>
          </w:tcPr>
          <w:p w14:paraId="5F8B9832"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السير</w:t>
            </w:r>
          </w:p>
        </w:tc>
      </w:tr>
      <w:tr w:rsidR="00BD3831" w:rsidRPr="003726A9" w14:paraId="1C1ABE2D" w14:textId="77777777" w:rsidTr="00DF6715">
        <w:trPr>
          <w:cantSplit/>
          <w:trHeight w:val="1438"/>
        </w:trPr>
        <w:tc>
          <w:tcPr>
            <w:tcW w:w="1074" w:type="pct"/>
            <w:shd w:val="clear" w:color="auto" w:fill="auto"/>
            <w:tcMar>
              <w:left w:w="58" w:type="dxa"/>
              <w:right w:w="58" w:type="dxa"/>
            </w:tcMar>
          </w:tcPr>
          <w:p w14:paraId="729B24CD" w14:textId="77777777" w:rsidR="00BD3831" w:rsidRPr="003726A9" w:rsidRDefault="00BD3831" w:rsidP="0031289D">
            <w:pPr>
              <w:widowControl w:val="0"/>
              <w:bidi/>
              <w:spacing w:after="120" w:line="280" w:lineRule="exact"/>
              <w:ind w:right="176"/>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النسبة المئوية من اجتماعات اللجان التي عقدت من أجلها اجتماعات إعلامية للدول الأعضاء قبل اجتماع اللجنة</w:t>
            </w:r>
          </w:p>
        </w:tc>
        <w:tc>
          <w:tcPr>
            <w:tcW w:w="1416" w:type="pct"/>
            <w:shd w:val="clear" w:color="auto" w:fill="auto"/>
            <w:tcMar>
              <w:left w:w="58" w:type="dxa"/>
              <w:right w:w="58" w:type="dxa"/>
            </w:tcMar>
          </w:tcPr>
          <w:p w14:paraId="44DFB1ED" w14:textId="77777777" w:rsidR="00BD3831" w:rsidRDefault="00BD3831" w:rsidP="0031289D">
            <w:pPr>
              <w:widowControl w:val="0"/>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97% من استقصاء لأمناء اللجان</w:t>
            </w:r>
          </w:p>
          <w:p w14:paraId="54B9A8D6"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726A9">
              <w:rPr>
                <w:rFonts w:ascii="Arabic Typesetting" w:eastAsia="Arabic Typesetting" w:hAnsi="Arabic Typesetting" w:cs="Arabic Typesetting"/>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93% (نهاية 2014)</w:t>
            </w:r>
          </w:p>
        </w:tc>
        <w:tc>
          <w:tcPr>
            <w:tcW w:w="699" w:type="pct"/>
            <w:shd w:val="clear" w:color="auto" w:fill="auto"/>
            <w:tcMar>
              <w:top w:w="110" w:type="dxa"/>
              <w:left w:w="58" w:type="dxa"/>
              <w:right w:w="58" w:type="dxa"/>
            </w:tcMar>
          </w:tcPr>
          <w:p w14:paraId="718F0E7A" w14:textId="77777777" w:rsidR="00BD3831" w:rsidRPr="003726A9" w:rsidRDefault="00BD3831" w:rsidP="0031289D">
            <w:pPr>
              <w:widowControl w:val="0"/>
              <w:bidi/>
              <w:spacing w:after="120" w:line="280" w:lineRule="exact"/>
              <w:ind w:right="176"/>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90%</w:t>
            </w:r>
          </w:p>
        </w:tc>
        <w:tc>
          <w:tcPr>
            <w:tcW w:w="1309" w:type="pct"/>
            <w:shd w:val="clear" w:color="auto" w:fill="FFFFFF"/>
            <w:tcMar>
              <w:top w:w="110" w:type="dxa"/>
              <w:left w:w="58" w:type="dxa"/>
              <w:right w:w="58" w:type="dxa"/>
            </w:tcMar>
          </w:tcPr>
          <w:p w14:paraId="182B5E60"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sz w:val="28"/>
                <w:szCs w:val="28"/>
                <w:rtl/>
                <w:lang w:eastAsia="ar-EG" w:bidi="ar-EG"/>
              </w:rPr>
              <w:t>100% من استقصاء لأمناء اللجان</w:t>
            </w:r>
          </w:p>
        </w:tc>
        <w:tc>
          <w:tcPr>
            <w:tcW w:w="501" w:type="pct"/>
            <w:shd w:val="clear" w:color="auto" w:fill="auto"/>
            <w:tcMar>
              <w:top w:w="110" w:type="dxa"/>
              <w:left w:w="58" w:type="dxa"/>
              <w:right w:w="58" w:type="dxa"/>
            </w:tcMar>
          </w:tcPr>
          <w:p w14:paraId="52D04CAF"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color w:val="00B050"/>
                <w:sz w:val="28"/>
                <w:szCs w:val="28"/>
                <w:rtl/>
                <w:lang w:eastAsia="ar-EG" w:bidi="ar-EG"/>
              </w:rPr>
              <w:t>ثابت</w:t>
            </w:r>
          </w:p>
        </w:tc>
      </w:tr>
      <w:tr w:rsidR="00BD3831" w:rsidRPr="003726A9" w14:paraId="565538D2" w14:textId="77777777" w:rsidTr="00DF6715">
        <w:trPr>
          <w:cantSplit/>
          <w:trHeight w:val="1186"/>
        </w:trPr>
        <w:tc>
          <w:tcPr>
            <w:tcW w:w="1074" w:type="pct"/>
            <w:shd w:val="clear" w:color="auto" w:fill="auto"/>
            <w:tcMar>
              <w:left w:w="58" w:type="dxa"/>
              <w:right w:w="58" w:type="dxa"/>
            </w:tcMar>
          </w:tcPr>
          <w:p w14:paraId="48FE8DB4" w14:textId="77777777" w:rsidR="00BD3831" w:rsidRPr="003726A9" w:rsidRDefault="00BD3831" w:rsidP="0031289D">
            <w:pPr>
              <w:widowControl w:val="0"/>
              <w:bidi/>
              <w:spacing w:after="120" w:line="280" w:lineRule="exact"/>
              <w:ind w:right="176"/>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النسبة المئوية لإخطارات انضمام الدول الأعضاء وغيره من الأعمال المتعلقة بمعاهدات الويبو التي عولجت في الوقت المناسب</w:t>
            </w:r>
          </w:p>
        </w:tc>
        <w:tc>
          <w:tcPr>
            <w:tcW w:w="1416" w:type="pct"/>
            <w:shd w:val="clear" w:color="auto" w:fill="auto"/>
            <w:tcMar>
              <w:left w:w="58" w:type="dxa"/>
              <w:right w:w="58" w:type="dxa"/>
            </w:tcMar>
          </w:tcPr>
          <w:p w14:paraId="688F058F" w14:textId="77777777" w:rsidR="00BD3831" w:rsidRDefault="00BD3831" w:rsidP="0031289D">
            <w:pPr>
              <w:widowControl w:val="0"/>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90% من بلاغات الانضمام والأنشطة الأخرى المتعلقة بالمعاهدات عولجت في</w:t>
            </w:r>
            <w:r>
              <w:rPr>
                <w:rFonts w:ascii="Arabic Typesetting" w:eastAsia="Arabic Typesetting" w:hAnsi="Arabic Typesetting" w:cs="Arabic Typesetting" w:hint="cs"/>
                <w:color w:val="002060"/>
                <w:sz w:val="28"/>
                <w:szCs w:val="28"/>
                <w:rtl/>
                <w:lang w:eastAsia="ar-EG" w:bidi="ar-EG"/>
              </w:rPr>
              <w:t> </w:t>
            </w:r>
            <w:r w:rsidRPr="003726A9">
              <w:rPr>
                <w:rFonts w:ascii="Arabic Typesetting" w:eastAsia="Arabic Typesetting" w:hAnsi="Arabic Typesetting" w:cs="Arabic Typesetting"/>
                <w:color w:val="002060"/>
                <w:sz w:val="28"/>
                <w:szCs w:val="28"/>
                <w:rtl/>
                <w:lang w:eastAsia="ar-EG" w:bidi="ar-EG"/>
              </w:rPr>
              <w:t>ثلاثة أيام</w:t>
            </w:r>
          </w:p>
          <w:p w14:paraId="51D5309D"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726A9">
              <w:rPr>
                <w:rFonts w:ascii="Arabic Typesetting" w:eastAsia="Arabic Typesetting" w:hAnsi="Arabic Typesetting" w:cs="Arabic Typesetting"/>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معالجة</w:t>
            </w:r>
            <w:r>
              <w:rPr>
                <w:rFonts w:ascii="Arabic Typesetting" w:eastAsia="Arabic Typesetting" w:hAnsi="Arabic Typesetting" w:cs="Arabic Typesetting" w:hint="cs"/>
                <w:color w:val="000000"/>
                <w:sz w:val="28"/>
                <w:szCs w:val="28"/>
                <w:rtl/>
                <w:lang w:eastAsia="ar-EG" w:bidi="ar-EG"/>
              </w:rPr>
              <w:t xml:space="preserve"> 95% </w:t>
            </w:r>
            <w:r w:rsidRPr="003726A9">
              <w:rPr>
                <w:rFonts w:ascii="Arabic Typesetting" w:eastAsia="Arabic Typesetting" w:hAnsi="Arabic Typesetting" w:cs="Arabic Typesetting"/>
                <w:color w:val="000000"/>
                <w:sz w:val="28"/>
                <w:szCs w:val="28"/>
                <w:rtl/>
                <w:lang w:eastAsia="ar-EG" w:bidi="ar-EG"/>
              </w:rPr>
              <w:t>في غضون ثلاثة أيام (نهاية</w:t>
            </w:r>
            <w:r>
              <w:rPr>
                <w:rFonts w:ascii="Arabic Typesetting" w:eastAsia="Arabic Typesetting" w:hAnsi="Arabic Typesetting" w:cs="Arabic Typesetting" w:hint="cs"/>
                <w:color w:val="000000"/>
                <w:sz w:val="28"/>
                <w:szCs w:val="28"/>
                <w:rtl/>
                <w:lang w:eastAsia="ar-EG" w:bidi="ar-EG"/>
              </w:rPr>
              <w:t> </w:t>
            </w:r>
            <w:r w:rsidRPr="003726A9">
              <w:rPr>
                <w:rFonts w:ascii="Arabic Typesetting" w:eastAsia="Arabic Typesetting" w:hAnsi="Arabic Typesetting" w:cs="Arabic Typesetting"/>
                <w:color w:val="000000"/>
                <w:sz w:val="28"/>
                <w:szCs w:val="28"/>
                <w:rtl/>
                <w:lang w:eastAsia="ar-EG" w:bidi="ar-EG"/>
              </w:rPr>
              <w:t>2014)</w:t>
            </w:r>
          </w:p>
        </w:tc>
        <w:tc>
          <w:tcPr>
            <w:tcW w:w="699" w:type="pct"/>
            <w:shd w:val="clear" w:color="auto" w:fill="auto"/>
            <w:tcMar>
              <w:top w:w="110" w:type="dxa"/>
              <w:left w:w="58" w:type="dxa"/>
              <w:right w:w="58" w:type="dxa"/>
            </w:tcMar>
          </w:tcPr>
          <w:p w14:paraId="7AB6E5ED" w14:textId="77777777" w:rsidR="00BD3831" w:rsidRPr="003726A9" w:rsidRDefault="00BD3831" w:rsidP="0031289D">
            <w:pPr>
              <w:widowControl w:val="0"/>
              <w:bidi/>
              <w:spacing w:after="120" w:line="280" w:lineRule="exact"/>
              <w:ind w:right="176"/>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‏معالجة 95% في غضون ثلاثة أيام</w:t>
            </w:r>
          </w:p>
        </w:tc>
        <w:tc>
          <w:tcPr>
            <w:tcW w:w="1309" w:type="pct"/>
            <w:shd w:val="clear" w:color="auto" w:fill="FFFFFF"/>
            <w:tcMar>
              <w:top w:w="110" w:type="dxa"/>
              <w:left w:w="58" w:type="dxa"/>
              <w:right w:w="58" w:type="dxa"/>
            </w:tcMar>
          </w:tcPr>
          <w:p w14:paraId="559FAEB5"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معالجة 91% (39 من أصل 43) من كل الأعمال المتعلقة بالمعاهدات في غضون 3 أيام</w:t>
            </w:r>
          </w:p>
        </w:tc>
        <w:tc>
          <w:tcPr>
            <w:tcW w:w="501" w:type="pct"/>
            <w:shd w:val="clear" w:color="auto" w:fill="auto"/>
            <w:tcMar>
              <w:top w:w="110" w:type="dxa"/>
              <w:left w:w="58" w:type="dxa"/>
              <w:right w:w="58" w:type="dxa"/>
            </w:tcMar>
          </w:tcPr>
          <w:p w14:paraId="69FE2819"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color w:val="00B050"/>
                <w:sz w:val="28"/>
                <w:szCs w:val="28"/>
                <w:rtl/>
                <w:lang w:eastAsia="ar-EG" w:bidi="ar-EG"/>
              </w:rPr>
              <w:t>ثابت</w:t>
            </w:r>
          </w:p>
        </w:tc>
      </w:tr>
      <w:tr w:rsidR="00BD3831" w:rsidRPr="003726A9" w14:paraId="374353B8" w14:textId="77777777" w:rsidTr="00DF6715">
        <w:trPr>
          <w:cantSplit/>
          <w:trHeight w:val="968"/>
        </w:trPr>
        <w:tc>
          <w:tcPr>
            <w:tcW w:w="1074" w:type="pct"/>
            <w:shd w:val="clear" w:color="auto" w:fill="auto"/>
            <w:tcMar>
              <w:left w:w="58" w:type="dxa"/>
              <w:right w:w="58" w:type="dxa"/>
            </w:tcMar>
          </w:tcPr>
          <w:p w14:paraId="1E71C627" w14:textId="3B732172" w:rsidR="00BD3831" w:rsidRPr="003726A9" w:rsidRDefault="00BD3831" w:rsidP="0059581F">
            <w:pPr>
              <w:widowControl w:val="0"/>
              <w:bidi/>
              <w:spacing w:after="120" w:line="280" w:lineRule="exact"/>
              <w:ind w:right="176"/>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lastRenderedPageBreak/>
              <w:t>نشر وثائق الجمعيات في</w:t>
            </w:r>
            <w:r w:rsidR="0059581F">
              <w:rPr>
                <w:rFonts w:ascii="Arabic Typesetting" w:eastAsia="Arabic Typesetting" w:hAnsi="Arabic Typesetting" w:cs="Arabic Typesetting" w:hint="cs"/>
                <w:color w:val="000000"/>
                <w:sz w:val="28"/>
                <w:szCs w:val="28"/>
                <w:rtl/>
                <w:lang w:eastAsia="ar-EG" w:bidi="ar-EG"/>
              </w:rPr>
              <w:t> </w:t>
            </w:r>
            <w:r w:rsidRPr="003726A9">
              <w:rPr>
                <w:rFonts w:ascii="Arabic Typesetting" w:eastAsia="Arabic Typesetting" w:hAnsi="Arabic Typesetting" w:cs="Arabic Typesetting"/>
                <w:color w:val="000000"/>
                <w:sz w:val="28"/>
                <w:szCs w:val="28"/>
                <w:rtl/>
                <w:lang w:eastAsia="ar-EG" w:bidi="ar-EG"/>
              </w:rPr>
              <w:t>موعدها</w:t>
            </w:r>
          </w:p>
        </w:tc>
        <w:tc>
          <w:tcPr>
            <w:tcW w:w="1416" w:type="pct"/>
            <w:shd w:val="clear" w:color="auto" w:fill="auto"/>
            <w:tcMar>
              <w:left w:w="58" w:type="dxa"/>
              <w:right w:w="58" w:type="dxa"/>
            </w:tcMar>
          </w:tcPr>
          <w:p w14:paraId="0DCB954C" w14:textId="75094819" w:rsidR="00BD3831" w:rsidRDefault="00BD3831" w:rsidP="006A1A09">
            <w:pPr>
              <w:widowControl w:val="0"/>
              <w:bidi/>
              <w:spacing w:after="240" w:line="280" w:lineRule="exact"/>
              <w:rPr>
                <w:rFonts w:ascii="Arabic Typesetting" w:eastAsia="Arabic Typesetting" w:hAnsi="Arabic Typesetting" w:cs="Arabic Typesetting"/>
                <w:color w:val="002060"/>
                <w:sz w:val="28"/>
                <w:szCs w:val="28"/>
                <w:rtl/>
                <w:lang w:eastAsia="ar-EG" w:bidi="ar-EG"/>
              </w:rPr>
            </w:pPr>
            <w:r w:rsidRPr="003726A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في 2014/15، نُشرت 97% من جميع الوثائق ذات الصلة قبل انعقاد الجمعيات بشهرين على الأقل</w:t>
            </w:r>
          </w:p>
          <w:p w14:paraId="522E1EA5" w14:textId="4CE483DE" w:rsidR="00BD3831" w:rsidRPr="003726A9" w:rsidRDefault="00BD3831" w:rsidP="006A1A09">
            <w:pPr>
              <w:bidi/>
              <w:spacing w:after="24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726A9">
              <w:rPr>
                <w:rFonts w:ascii="Arabic Typesetting" w:eastAsia="Arabic Typesetting" w:hAnsi="Arabic Typesetting" w:cs="Arabic Typesetting"/>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006A1A09">
              <w:rPr>
                <w:rFonts w:ascii="Arabic Typesetting" w:eastAsia="Arabic Typesetting" w:hAnsi="Arabic Typesetting" w:cs="Arabic Typesetting" w:hint="cs"/>
                <w:color w:val="000000"/>
                <w:sz w:val="28"/>
                <w:szCs w:val="28"/>
                <w:rtl/>
                <w:lang w:eastAsia="ar-EG" w:bidi="ar-EG"/>
              </w:rPr>
              <w:t xml:space="preserve">في عام 2014، نُشرت </w:t>
            </w:r>
            <w:r>
              <w:rPr>
                <w:rFonts w:ascii="Arabic Typesetting" w:eastAsia="Arabic Typesetting" w:hAnsi="Arabic Typesetting" w:cs="Arabic Typesetting" w:hint="cs"/>
                <w:color w:val="000000"/>
                <w:sz w:val="28"/>
                <w:szCs w:val="28"/>
                <w:rtl/>
                <w:lang w:eastAsia="ar-EG" w:bidi="ar-EG"/>
              </w:rPr>
              <w:t xml:space="preserve">96% </w:t>
            </w:r>
            <w:r w:rsidRPr="003726A9">
              <w:rPr>
                <w:rFonts w:ascii="Arabic Typesetting" w:eastAsia="Arabic Typesetting" w:hAnsi="Arabic Typesetting" w:cs="Arabic Typesetting"/>
                <w:color w:val="000000"/>
                <w:sz w:val="28"/>
                <w:szCs w:val="28"/>
                <w:rtl/>
                <w:lang w:eastAsia="ar-EG" w:bidi="ar-EG"/>
              </w:rPr>
              <w:t>من</w:t>
            </w:r>
            <w:r w:rsidR="006A1A09">
              <w:rPr>
                <w:rFonts w:ascii="Arabic Typesetting" w:eastAsia="Arabic Typesetting" w:hAnsi="Arabic Typesetting" w:cs="Arabic Typesetting" w:hint="cs"/>
                <w:color w:val="000000"/>
                <w:sz w:val="28"/>
                <w:szCs w:val="28"/>
                <w:rtl/>
                <w:lang w:eastAsia="ar-EG" w:bidi="ar-EG"/>
              </w:rPr>
              <w:t xml:space="preserve"> جميع</w:t>
            </w:r>
            <w:r w:rsidRPr="003726A9">
              <w:rPr>
                <w:rFonts w:ascii="Arabic Typesetting" w:eastAsia="Arabic Typesetting" w:hAnsi="Arabic Typesetting" w:cs="Arabic Typesetting"/>
                <w:color w:val="000000"/>
                <w:sz w:val="28"/>
                <w:szCs w:val="28"/>
                <w:rtl/>
                <w:lang w:eastAsia="ar-EG" w:bidi="ar-EG"/>
              </w:rPr>
              <w:t xml:space="preserve"> الوثائق المعنية قبل انعقاد </w:t>
            </w:r>
            <w:r w:rsidR="006A1A09">
              <w:rPr>
                <w:rFonts w:ascii="Arabic Typesetting" w:eastAsia="Arabic Typesetting" w:hAnsi="Arabic Typesetting" w:cs="Arabic Typesetting" w:hint="cs"/>
                <w:color w:val="000000"/>
                <w:sz w:val="28"/>
                <w:szCs w:val="28"/>
                <w:rtl/>
                <w:lang w:eastAsia="ar-EG" w:bidi="ar-EG"/>
              </w:rPr>
              <w:t>ال</w:t>
            </w:r>
            <w:r w:rsidRPr="003726A9">
              <w:rPr>
                <w:rFonts w:ascii="Arabic Typesetting" w:eastAsia="Arabic Typesetting" w:hAnsi="Arabic Typesetting" w:cs="Arabic Typesetting"/>
                <w:color w:val="000000"/>
                <w:sz w:val="28"/>
                <w:szCs w:val="28"/>
                <w:rtl/>
                <w:lang w:eastAsia="ar-EG" w:bidi="ar-EG"/>
              </w:rPr>
              <w:t>جمعيات بشهرين</w:t>
            </w:r>
          </w:p>
        </w:tc>
        <w:tc>
          <w:tcPr>
            <w:tcW w:w="699" w:type="pct"/>
            <w:shd w:val="clear" w:color="auto" w:fill="auto"/>
            <w:tcMar>
              <w:top w:w="110" w:type="dxa"/>
              <w:left w:w="58" w:type="dxa"/>
              <w:right w:w="58" w:type="dxa"/>
            </w:tcMar>
          </w:tcPr>
          <w:p w14:paraId="4E5A7090" w14:textId="77777777" w:rsidR="00BD3831" w:rsidRPr="003726A9" w:rsidRDefault="00BD3831" w:rsidP="0031289D">
            <w:pPr>
              <w:widowControl w:val="0"/>
              <w:bidi/>
              <w:spacing w:after="120" w:line="280" w:lineRule="exact"/>
              <w:ind w:right="-2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95% من الوثائق المعنية منشورة قبل انعقاد الجمعيات بشهرين</w:t>
            </w:r>
          </w:p>
        </w:tc>
        <w:tc>
          <w:tcPr>
            <w:tcW w:w="1309" w:type="pct"/>
            <w:shd w:val="clear" w:color="auto" w:fill="FFFFFF"/>
            <w:tcMar>
              <w:top w:w="110" w:type="dxa"/>
              <w:left w:w="58" w:type="dxa"/>
              <w:right w:w="58" w:type="dxa"/>
            </w:tcMar>
          </w:tcPr>
          <w:p w14:paraId="7E9D2F3B" w14:textId="001FDA8D" w:rsidR="00BD3831" w:rsidRPr="003726A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نُشرت 93.5% من جميع الوثائق المعنية قبل انعقاد الجمعيات بشهرين</w:t>
            </w:r>
          </w:p>
        </w:tc>
        <w:tc>
          <w:tcPr>
            <w:tcW w:w="501" w:type="pct"/>
            <w:shd w:val="clear" w:color="auto" w:fill="auto"/>
            <w:tcMar>
              <w:top w:w="110" w:type="dxa"/>
              <w:left w:w="58" w:type="dxa"/>
              <w:right w:w="58" w:type="dxa"/>
            </w:tcMar>
          </w:tcPr>
          <w:p w14:paraId="6F29F25A"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color w:val="00B050"/>
                <w:sz w:val="28"/>
                <w:szCs w:val="28"/>
                <w:rtl/>
                <w:lang w:eastAsia="ar-EG" w:bidi="ar-EG"/>
              </w:rPr>
              <w:t>ثابت</w:t>
            </w:r>
          </w:p>
        </w:tc>
      </w:tr>
      <w:tr w:rsidR="00BD3831" w:rsidRPr="003726A9" w14:paraId="230422FE" w14:textId="77777777" w:rsidTr="00DF6715">
        <w:trPr>
          <w:cantSplit/>
          <w:trHeight w:val="250"/>
        </w:trPr>
        <w:tc>
          <w:tcPr>
            <w:tcW w:w="1074" w:type="pct"/>
            <w:shd w:val="clear" w:color="auto" w:fill="auto"/>
            <w:tcMar>
              <w:left w:w="58" w:type="dxa"/>
              <w:right w:w="58" w:type="dxa"/>
            </w:tcMar>
          </w:tcPr>
          <w:p w14:paraId="2CEF7869" w14:textId="77777777" w:rsidR="00BD3831" w:rsidRPr="003726A9" w:rsidRDefault="00BD3831" w:rsidP="0031289D">
            <w:pPr>
              <w:widowControl w:val="0"/>
              <w:bidi/>
              <w:spacing w:after="120" w:line="280" w:lineRule="exact"/>
              <w:ind w:right="176"/>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مستويات رضا الدول الأعضاء وأصحاب المصالح عن</w:t>
            </w:r>
            <w:r>
              <w:rPr>
                <w:rFonts w:ascii="Arabic Typesetting" w:eastAsia="Arabic Typesetting" w:hAnsi="Arabic Typesetting" w:cs="Arabic Typesetting" w:hint="cs"/>
                <w:color w:val="000000"/>
                <w:sz w:val="28"/>
                <w:szCs w:val="28"/>
                <w:rtl/>
                <w:lang w:eastAsia="ar-EG" w:bidi="ar-EG"/>
              </w:rPr>
              <w:t> </w:t>
            </w:r>
            <w:r w:rsidRPr="003726A9">
              <w:rPr>
                <w:rFonts w:ascii="Arabic Typesetting" w:eastAsia="Arabic Typesetting" w:hAnsi="Arabic Typesetting" w:cs="Arabic Typesetting"/>
                <w:color w:val="000000"/>
                <w:sz w:val="28"/>
                <w:szCs w:val="28"/>
                <w:rtl/>
                <w:lang w:eastAsia="ar-EG" w:bidi="ar-EG"/>
              </w:rPr>
              <w:t>تنظيم التظاهرات</w:t>
            </w:r>
          </w:p>
        </w:tc>
        <w:tc>
          <w:tcPr>
            <w:tcW w:w="1416" w:type="pct"/>
            <w:shd w:val="clear" w:color="auto" w:fill="auto"/>
            <w:tcMar>
              <w:left w:w="58" w:type="dxa"/>
              <w:right w:w="58" w:type="dxa"/>
            </w:tcMar>
          </w:tcPr>
          <w:p w14:paraId="79EB2151" w14:textId="77777777" w:rsidR="00BD3831" w:rsidRDefault="00BD3831" w:rsidP="0031289D">
            <w:pPr>
              <w:widowControl w:val="0"/>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رضا 91% من الدول الأعضاء عن</w:t>
            </w:r>
            <w:r>
              <w:rPr>
                <w:rFonts w:ascii="Arabic Typesetting" w:eastAsia="Arabic Typesetting" w:hAnsi="Arabic Typesetting" w:cs="Arabic Typesetting" w:hint="cs"/>
                <w:color w:val="002060"/>
                <w:sz w:val="28"/>
                <w:szCs w:val="28"/>
                <w:rtl/>
                <w:lang w:eastAsia="ar-EG" w:bidi="ar-EG"/>
              </w:rPr>
              <w:t> </w:t>
            </w:r>
            <w:r>
              <w:rPr>
                <w:rFonts w:ascii="Arabic Typesetting" w:eastAsia="Arabic Typesetting" w:hAnsi="Arabic Typesetting" w:cs="Arabic Typesetting"/>
                <w:color w:val="002060"/>
                <w:sz w:val="28"/>
                <w:szCs w:val="28"/>
                <w:rtl/>
                <w:lang w:eastAsia="ar-EG" w:bidi="ar-EG"/>
              </w:rPr>
              <w:t>التظاهرات</w:t>
            </w:r>
            <w:r>
              <w:rPr>
                <w:rFonts w:ascii="Arabic Typesetting" w:eastAsia="Arabic Typesetting" w:hAnsi="Arabic Typesetting" w:cs="Arabic Typesetting"/>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 xml:space="preserve">(استقصاء جمعيات الويبو لعام 2015) </w:t>
            </w:r>
          </w:p>
          <w:p w14:paraId="4C6A2413"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726A9">
              <w:rPr>
                <w:rFonts w:ascii="Arabic Typesetting" w:eastAsia="Arabic Typesetting" w:hAnsi="Arabic Typesetting" w:cs="Arabic Typesetting"/>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‏نتائج استقصاء 2014</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3726A9">
              <w:rPr>
                <w:rFonts w:ascii="Arabic Typesetting" w:eastAsia="Arabic Typesetting" w:hAnsi="Arabic Typesetting" w:cs="Arabic Typesetting"/>
                <w:color w:val="000000"/>
                <w:sz w:val="28"/>
                <w:szCs w:val="28"/>
                <w:rtl/>
                <w:lang w:eastAsia="ar-EG" w:bidi="ar-EG"/>
              </w:rPr>
              <w:t>82%</w:t>
            </w:r>
          </w:p>
        </w:tc>
        <w:tc>
          <w:tcPr>
            <w:tcW w:w="699" w:type="pct"/>
            <w:shd w:val="clear" w:color="auto" w:fill="auto"/>
            <w:tcMar>
              <w:top w:w="110" w:type="dxa"/>
              <w:left w:w="58" w:type="dxa"/>
              <w:right w:w="58" w:type="dxa"/>
            </w:tcMar>
          </w:tcPr>
          <w:p w14:paraId="1EF6CC4A"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90% راضون عن التظاهرات</w:t>
            </w:r>
          </w:p>
          <w:p w14:paraId="7D07EF1F" w14:textId="15FF6F2A" w:rsidR="00BD3831" w:rsidRPr="003726A9" w:rsidRDefault="00BD3831" w:rsidP="0031289D">
            <w:pPr>
              <w:widowControl w:val="0"/>
              <w:bidi/>
              <w:spacing w:after="120" w:line="280" w:lineRule="exact"/>
              <w:ind w:right="176"/>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الهدف الأصلي</w:t>
            </w:r>
            <w:r w:rsidR="000C4432">
              <w:rPr>
                <w:rFonts w:ascii="Arabic Typesetting" w:eastAsia="Arabic Typesetting" w:hAnsi="Arabic Typesetting" w:cs="Arabic Typesetting" w:hint="cs"/>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85%</w:t>
            </w:r>
          </w:p>
        </w:tc>
        <w:tc>
          <w:tcPr>
            <w:tcW w:w="1309" w:type="pct"/>
            <w:shd w:val="clear" w:color="auto" w:fill="FFFFFF"/>
            <w:tcMar>
              <w:top w:w="110" w:type="dxa"/>
              <w:left w:w="58" w:type="dxa"/>
              <w:right w:w="58" w:type="dxa"/>
            </w:tcMar>
          </w:tcPr>
          <w:p w14:paraId="346D79F7"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رضا 87% من الدول الأعضاء عن التظاهرات (استقصاء جمعيات الويبو لعام 2016)</w:t>
            </w:r>
          </w:p>
        </w:tc>
        <w:tc>
          <w:tcPr>
            <w:tcW w:w="501" w:type="pct"/>
            <w:shd w:val="clear" w:color="auto" w:fill="auto"/>
            <w:tcMar>
              <w:top w:w="110" w:type="dxa"/>
              <w:left w:w="58" w:type="dxa"/>
              <w:right w:w="58" w:type="dxa"/>
            </w:tcMar>
          </w:tcPr>
          <w:p w14:paraId="66ECBC63"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color w:val="00B050"/>
                <w:sz w:val="28"/>
                <w:szCs w:val="28"/>
                <w:rtl/>
                <w:lang w:eastAsia="ar-EG" w:bidi="ar-EG"/>
              </w:rPr>
              <w:t>ثابت</w:t>
            </w:r>
          </w:p>
        </w:tc>
      </w:tr>
      <w:tr w:rsidR="00BD3831" w:rsidRPr="003726A9" w14:paraId="354AFE4B" w14:textId="77777777" w:rsidTr="00DF6715">
        <w:trPr>
          <w:cantSplit/>
          <w:trHeight w:val="1730"/>
        </w:trPr>
        <w:tc>
          <w:tcPr>
            <w:tcW w:w="1074" w:type="pct"/>
            <w:shd w:val="clear" w:color="auto" w:fill="auto"/>
            <w:tcMar>
              <w:left w:w="58" w:type="dxa"/>
              <w:right w:w="58" w:type="dxa"/>
            </w:tcMar>
          </w:tcPr>
          <w:p w14:paraId="70BF3BDE" w14:textId="33B379F5" w:rsidR="00BD3831" w:rsidRPr="003726A9" w:rsidRDefault="00BD3831" w:rsidP="0059581F">
            <w:pPr>
              <w:widowControl w:val="0"/>
              <w:bidi/>
              <w:spacing w:after="120" w:line="280" w:lineRule="exact"/>
              <w:ind w:right="176"/>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مستويات رضا الوفود عن</w:t>
            </w:r>
            <w:r w:rsidR="0059581F">
              <w:rPr>
                <w:rFonts w:ascii="Arabic Typesetting" w:eastAsia="Arabic Typesetting" w:hAnsi="Arabic Typesetting" w:cs="Arabic Typesetting" w:hint="cs"/>
                <w:color w:val="000000"/>
                <w:sz w:val="28"/>
                <w:szCs w:val="28"/>
                <w:rtl/>
                <w:lang w:eastAsia="ar-EG" w:bidi="ar-EG"/>
              </w:rPr>
              <w:t> </w:t>
            </w:r>
            <w:r w:rsidRPr="003726A9">
              <w:rPr>
                <w:rFonts w:ascii="Arabic Typesetting" w:eastAsia="Arabic Typesetting" w:hAnsi="Arabic Typesetting" w:cs="Arabic Typesetting"/>
                <w:color w:val="000000"/>
                <w:sz w:val="28"/>
                <w:szCs w:val="28"/>
                <w:rtl/>
                <w:lang w:eastAsia="ar-EG" w:bidi="ar-EG"/>
              </w:rPr>
              <w:t>تنظيم الجمعيات</w:t>
            </w:r>
          </w:p>
        </w:tc>
        <w:tc>
          <w:tcPr>
            <w:tcW w:w="1416" w:type="pct"/>
            <w:shd w:val="clear" w:color="auto" w:fill="auto"/>
            <w:tcMar>
              <w:left w:w="58" w:type="dxa"/>
              <w:right w:w="58" w:type="dxa"/>
            </w:tcMar>
          </w:tcPr>
          <w:p w14:paraId="7368AC6E" w14:textId="16B312BE" w:rsidR="00BD3831" w:rsidRDefault="00BD3831" w:rsidP="006A1A09">
            <w:pPr>
              <w:widowControl w:val="0"/>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 xml:space="preserve">90% </w:t>
            </w:r>
            <w:r w:rsidR="006A1A09">
              <w:rPr>
                <w:rFonts w:ascii="Arabic Typesetting" w:eastAsia="Arabic Typesetting" w:hAnsi="Arabic Typesetting" w:cs="Arabic Typesetting" w:hint="cs"/>
                <w:color w:val="002060"/>
                <w:sz w:val="28"/>
                <w:szCs w:val="28"/>
                <w:rtl/>
                <w:lang w:eastAsia="ar-EG" w:bidi="ar-EG"/>
              </w:rPr>
              <w:t xml:space="preserve">راضون عن الترتيبات </w:t>
            </w:r>
            <w:r w:rsidRPr="003726A9">
              <w:rPr>
                <w:rFonts w:ascii="Arabic Typesetting" w:eastAsia="Arabic Typesetting" w:hAnsi="Arabic Typesetting" w:cs="Arabic Typesetting"/>
                <w:color w:val="002060"/>
                <w:sz w:val="28"/>
                <w:szCs w:val="28"/>
                <w:rtl/>
                <w:lang w:eastAsia="ar-EG" w:bidi="ar-EG"/>
              </w:rPr>
              <w:t>(استقصاء جمعيات الويبو لعام</w:t>
            </w:r>
            <w:r>
              <w:rPr>
                <w:rFonts w:ascii="Arabic Typesetting" w:eastAsia="Arabic Typesetting" w:hAnsi="Arabic Typesetting" w:cs="Arabic Typesetting" w:hint="cs"/>
                <w:color w:val="002060"/>
                <w:sz w:val="28"/>
                <w:szCs w:val="28"/>
                <w:rtl/>
                <w:lang w:eastAsia="ar-EG" w:bidi="ar-EG"/>
              </w:rPr>
              <w:t> </w:t>
            </w:r>
            <w:r w:rsidRPr="003726A9">
              <w:rPr>
                <w:rFonts w:ascii="Arabic Typesetting" w:eastAsia="Arabic Typesetting" w:hAnsi="Arabic Typesetting" w:cs="Arabic Typesetting"/>
                <w:color w:val="002060"/>
                <w:sz w:val="28"/>
                <w:szCs w:val="28"/>
                <w:rtl/>
                <w:lang w:eastAsia="ar-EG" w:bidi="ar-EG"/>
              </w:rPr>
              <w:t>2015)</w:t>
            </w:r>
          </w:p>
          <w:p w14:paraId="11ABF0AC"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726A9">
              <w:rPr>
                <w:rFonts w:ascii="Arabic Typesetting" w:eastAsia="Arabic Typesetting" w:hAnsi="Arabic Typesetting" w:cs="Arabic Typesetting"/>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87% </w:t>
            </w:r>
            <w:r w:rsidRPr="003726A9">
              <w:rPr>
                <w:rFonts w:ascii="Arabic Typesetting" w:eastAsia="Arabic Typesetting" w:hAnsi="Arabic Typesetting" w:cs="Arabic Typesetting"/>
                <w:color w:val="000000"/>
                <w:sz w:val="28"/>
                <w:szCs w:val="28"/>
                <w:rtl/>
                <w:lang w:eastAsia="ar-EG" w:bidi="ar-EG"/>
              </w:rPr>
              <w:t>‏راضون عن الترتيبات (استقصاء</w:t>
            </w:r>
            <w:r>
              <w:rPr>
                <w:rFonts w:ascii="Arabic Typesetting" w:eastAsia="Arabic Typesetting" w:hAnsi="Arabic Typesetting" w:cs="Arabic Typesetting" w:hint="cs"/>
                <w:color w:val="000000"/>
                <w:sz w:val="28"/>
                <w:szCs w:val="28"/>
                <w:rtl/>
                <w:lang w:eastAsia="ar-EG" w:bidi="ar-EG"/>
              </w:rPr>
              <w:t> </w:t>
            </w:r>
            <w:r w:rsidRPr="003726A9">
              <w:rPr>
                <w:rFonts w:ascii="Arabic Typesetting" w:eastAsia="Arabic Typesetting" w:hAnsi="Arabic Typesetting" w:cs="Arabic Typesetting"/>
                <w:color w:val="000000"/>
                <w:sz w:val="28"/>
                <w:szCs w:val="28"/>
                <w:rtl/>
                <w:lang w:eastAsia="ar-EG" w:bidi="ar-EG"/>
              </w:rPr>
              <w:t>جمعيات الويبو لعام 2014)</w:t>
            </w:r>
          </w:p>
        </w:tc>
        <w:tc>
          <w:tcPr>
            <w:tcW w:w="699" w:type="pct"/>
            <w:shd w:val="clear" w:color="auto" w:fill="auto"/>
            <w:tcMar>
              <w:top w:w="110" w:type="dxa"/>
              <w:left w:w="58" w:type="dxa"/>
              <w:right w:w="58" w:type="dxa"/>
            </w:tcMar>
          </w:tcPr>
          <w:p w14:paraId="0C3CC1F1" w14:textId="77777777" w:rsidR="00BD3831" w:rsidRPr="003726A9" w:rsidRDefault="00BD3831" w:rsidP="0031289D">
            <w:pPr>
              <w:widowControl w:val="0"/>
              <w:bidi/>
              <w:spacing w:after="120" w:line="280" w:lineRule="exact"/>
              <w:ind w:right="176"/>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80% راضون عن الترتيبات</w:t>
            </w:r>
          </w:p>
        </w:tc>
        <w:tc>
          <w:tcPr>
            <w:tcW w:w="1309" w:type="pct"/>
            <w:shd w:val="clear" w:color="auto" w:fill="FFFFFF"/>
            <w:tcMar>
              <w:top w:w="110" w:type="dxa"/>
              <w:left w:w="58" w:type="dxa"/>
              <w:right w:w="58" w:type="dxa"/>
            </w:tcMar>
          </w:tcPr>
          <w:p w14:paraId="11E8EAA8" w14:textId="0F989E70" w:rsidR="00BD3831" w:rsidRPr="003726A9" w:rsidRDefault="00BD3831" w:rsidP="006A1A09">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sz w:val="28"/>
                <w:szCs w:val="28"/>
                <w:rtl/>
                <w:lang w:eastAsia="ar-EG" w:bidi="ar-EG"/>
              </w:rPr>
              <w:t xml:space="preserve">94% </w:t>
            </w:r>
            <w:r w:rsidR="006A1A09">
              <w:rPr>
                <w:rFonts w:ascii="Arabic Typesetting" w:eastAsia="Arabic Typesetting" w:hAnsi="Arabic Typesetting" w:cs="Arabic Typesetting" w:hint="cs"/>
                <w:sz w:val="28"/>
                <w:szCs w:val="28"/>
                <w:rtl/>
                <w:lang w:eastAsia="ar-EG" w:bidi="ar-EG"/>
              </w:rPr>
              <w:t xml:space="preserve">راضون عن الترتيبات </w:t>
            </w:r>
            <w:r w:rsidRPr="003726A9">
              <w:rPr>
                <w:rFonts w:ascii="Arabic Typesetting" w:eastAsia="Arabic Typesetting" w:hAnsi="Arabic Typesetting" w:cs="Arabic Typesetting"/>
                <w:sz w:val="28"/>
                <w:szCs w:val="28"/>
                <w:rtl/>
                <w:lang w:eastAsia="ar-EG" w:bidi="ar-EG"/>
              </w:rPr>
              <w:t>(استقصاء</w:t>
            </w:r>
            <w:r w:rsidR="006A1A09">
              <w:rPr>
                <w:rFonts w:ascii="Arabic Typesetting" w:eastAsia="Arabic Typesetting" w:hAnsi="Arabic Typesetting" w:cs="Arabic Typesetting" w:hint="cs"/>
                <w:sz w:val="28"/>
                <w:szCs w:val="28"/>
                <w:rtl/>
                <w:lang w:eastAsia="ar-EG" w:bidi="ar-EG"/>
              </w:rPr>
              <w:t> </w:t>
            </w:r>
            <w:r w:rsidRPr="003726A9">
              <w:rPr>
                <w:rFonts w:ascii="Arabic Typesetting" w:eastAsia="Arabic Typesetting" w:hAnsi="Arabic Typesetting" w:cs="Arabic Typesetting"/>
                <w:sz w:val="28"/>
                <w:szCs w:val="28"/>
                <w:rtl/>
                <w:lang w:eastAsia="ar-EG" w:bidi="ar-EG"/>
              </w:rPr>
              <w:t>جمعيات الويبو لعام</w:t>
            </w:r>
            <w:r>
              <w:rPr>
                <w:rFonts w:ascii="Arabic Typesetting" w:eastAsia="Arabic Typesetting" w:hAnsi="Arabic Typesetting" w:cs="Arabic Typesetting" w:hint="cs"/>
                <w:sz w:val="28"/>
                <w:szCs w:val="28"/>
                <w:rtl/>
                <w:lang w:eastAsia="ar-EG" w:bidi="ar-EG"/>
              </w:rPr>
              <w:t> </w:t>
            </w:r>
            <w:r w:rsidRPr="003726A9">
              <w:rPr>
                <w:rFonts w:ascii="Arabic Typesetting" w:eastAsia="Arabic Typesetting" w:hAnsi="Arabic Typesetting" w:cs="Arabic Typesetting"/>
                <w:sz w:val="28"/>
                <w:szCs w:val="28"/>
                <w:rtl/>
                <w:lang w:eastAsia="ar-EG" w:bidi="ar-EG"/>
              </w:rPr>
              <w:t>2016)</w:t>
            </w:r>
          </w:p>
        </w:tc>
        <w:tc>
          <w:tcPr>
            <w:tcW w:w="501" w:type="pct"/>
            <w:shd w:val="clear" w:color="auto" w:fill="auto"/>
            <w:tcMar>
              <w:top w:w="110" w:type="dxa"/>
              <w:left w:w="58" w:type="dxa"/>
              <w:right w:w="58" w:type="dxa"/>
            </w:tcMar>
          </w:tcPr>
          <w:p w14:paraId="2F7EFA09"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color w:val="00B050"/>
                <w:sz w:val="28"/>
                <w:szCs w:val="28"/>
                <w:rtl/>
                <w:lang w:eastAsia="ar-EG" w:bidi="ar-EG"/>
              </w:rPr>
              <w:t>ثابت</w:t>
            </w:r>
          </w:p>
        </w:tc>
      </w:tr>
      <w:tr w:rsidR="00BD3831" w:rsidRPr="003726A9" w14:paraId="395D97CF" w14:textId="77777777" w:rsidTr="00DF6715">
        <w:trPr>
          <w:cantSplit/>
          <w:trHeight w:val="565"/>
        </w:trPr>
        <w:tc>
          <w:tcPr>
            <w:tcW w:w="5000" w:type="pct"/>
            <w:gridSpan w:val="5"/>
            <w:shd w:val="clear" w:color="auto" w:fill="C6D9F1"/>
            <w:tcMar>
              <w:left w:w="58" w:type="dxa"/>
              <w:right w:w="58" w:type="dxa"/>
            </w:tcMar>
            <w:vAlign w:val="center"/>
          </w:tcPr>
          <w:p w14:paraId="190A409D" w14:textId="77777777" w:rsidR="00BD3831" w:rsidRPr="003726A9" w:rsidRDefault="00BD3831" w:rsidP="0031289D">
            <w:pPr>
              <w:keepNext/>
              <w:bidi/>
              <w:spacing w:before="120" w:after="120" w:line="280" w:lineRule="exact"/>
              <w:ind w:left="1167" w:hanging="1167"/>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sz w:val="28"/>
                <w:szCs w:val="28"/>
                <w:rtl/>
                <w:lang w:eastAsia="ar-EG" w:bidi="ar-EG"/>
              </w:rPr>
              <w:t>‏النتيجة المرتقبة:</w:t>
            </w:r>
            <w:r w:rsidRPr="003726A9">
              <w:rPr>
                <w:rFonts w:ascii="Arabic Typesetting" w:eastAsia="Arabic Typesetting" w:hAnsi="Arabic Typesetting" w:cs="Arabic Typesetting"/>
                <w:sz w:val="28"/>
                <w:szCs w:val="28"/>
                <w:lang w:eastAsia="ar-EG" w:bidi="ar-EG"/>
              </w:rPr>
              <w:tab/>
            </w:r>
            <w:r w:rsidRPr="003726A9">
              <w:rPr>
                <w:rFonts w:ascii="Arabic Typesetting" w:eastAsia="Arabic Typesetting" w:hAnsi="Arabic Typesetting" w:cs="Arabic Typesetting"/>
                <w:color w:val="000000"/>
                <w:sz w:val="28"/>
                <w:szCs w:val="28"/>
                <w:rtl/>
                <w:lang w:eastAsia="ar-EG" w:bidi="ar-EG"/>
              </w:rPr>
              <w:t>ه4.8 تفاعل منفتح وشفاف ومتجاوب</w:t>
            </w:r>
            <w:r>
              <w:rPr>
                <w:rFonts w:ascii="Arabic Typesetting" w:eastAsia="Arabic Typesetting" w:hAnsi="Arabic Typesetting" w:cs="Arabic Typesetting"/>
                <w:color w:val="000000"/>
                <w:sz w:val="28"/>
                <w:szCs w:val="28"/>
                <w:rtl/>
                <w:lang w:eastAsia="ar-EG" w:bidi="ar-EG"/>
              </w:rPr>
              <w:t xml:space="preserve"> مع أصحاب المصلحة غير الحكوميين</w:t>
            </w:r>
          </w:p>
        </w:tc>
      </w:tr>
      <w:tr w:rsidR="00BD3831" w:rsidRPr="003726A9" w14:paraId="403EEB6E" w14:textId="77777777" w:rsidTr="00DF6715">
        <w:trPr>
          <w:cantSplit/>
        </w:trPr>
        <w:tc>
          <w:tcPr>
            <w:tcW w:w="1074" w:type="pct"/>
            <w:shd w:val="clear" w:color="auto" w:fill="auto"/>
            <w:tcMar>
              <w:left w:w="58" w:type="dxa"/>
              <w:right w:w="58" w:type="dxa"/>
            </w:tcMar>
            <w:vAlign w:val="center"/>
          </w:tcPr>
          <w:p w14:paraId="5695B2B2"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مؤشرات الأداء</w:t>
            </w:r>
          </w:p>
        </w:tc>
        <w:tc>
          <w:tcPr>
            <w:tcW w:w="1416" w:type="pct"/>
            <w:shd w:val="clear" w:color="auto" w:fill="auto"/>
            <w:tcMar>
              <w:left w:w="58" w:type="dxa"/>
              <w:right w:w="58" w:type="dxa"/>
            </w:tcMar>
            <w:vAlign w:val="center"/>
          </w:tcPr>
          <w:p w14:paraId="47F52FFA"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أسس المقارنة</w:t>
            </w:r>
          </w:p>
        </w:tc>
        <w:tc>
          <w:tcPr>
            <w:tcW w:w="699" w:type="pct"/>
            <w:shd w:val="clear" w:color="auto" w:fill="auto"/>
            <w:tcMar>
              <w:top w:w="110" w:type="dxa"/>
              <w:left w:w="58" w:type="dxa"/>
              <w:right w:w="58" w:type="dxa"/>
            </w:tcMar>
            <w:vAlign w:val="center"/>
          </w:tcPr>
          <w:p w14:paraId="243E7771"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الأهداف</w:t>
            </w:r>
          </w:p>
        </w:tc>
        <w:tc>
          <w:tcPr>
            <w:tcW w:w="1309" w:type="pct"/>
            <w:shd w:val="clear" w:color="auto" w:fill="FFFFFF"/>
            <w:tcMar>
              <w:top w:w="110" w:type="dxa"/>
              <w:left w:w="58" w:type="dxa"/>
              <w:right w:w="58" w:type="dxa"/>
            </w:tcMar>
            <w:vAlign w:val="center"/>
          </w:tcPr>
          <w:p w14:paraId="0B78F9EE"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بيانات الأداء</w:t>
            </w:r>
          </w:p>
        </w:tc>
        <w:tc>
          <w:tcPr>
            <w:tcW w:w="501" w:type="pct"/>
            <w:shd w:val="clear" w:color="auto" w:fill="auto"/>
            <w:tcMar>
              <w:top w:w="110" w:type="dxa"/>
              <w:left w:w="58" w:type="dxa"/>
              <w:right w:w="58" w:type="dxa"/>
            </w:tcMar>
            <w:vAlign w:val="center"/>
          </w:tcPr>
          <w:p w14:paraId="3B18C4B3"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السير</w:t>
            </w:r>
          </w:p>
        </w:tc>
      </w:tr>
      <w:tr w:rsidR="00BD3831" w:rsidRPr="003726A9" w14:paraId="5B1F5FC6" w14:textId="77777777" w:rsidTr="00DF6715">
        <w:trPr>
          <w:cantSplit/>
          <w:trHeight w:val="1964"/>
        </w:trPr>
        <w:tc>
          <w:tcPr>
            <w:tcW w:w="1074" w:type="pct"/>
            <w:shd w:val="clear" w:color="auto" w:fill="auto"/>
            <w:tcMar>
              <w:left w:w="58" w:type="dxa"/>
              <w:right w:w="58" w:type="dxa"/>
            </w:tcMar>
          </w:tcPr>
          <w:p w14:paraId="48DAC416" w14:textId="08AC398A" w:rsidR="00BD3831" w:rsidRPr="003726A9" w:rsidRDefault="00BD3831" w:rsidP="00574A27">
            <w:pPr>
              <w:widowControl w:val="0"/>
              <w:bidi/>
              <w:spacing w:after="120" w:line="280" w:lineRule="exact"/>
              <w:ind w:right="176"/>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 xml:space="preserve">‏عدد المنظمات غير الحكومية التي </w:t>
            </w:r>
            <w:r w:rsidR="00574A27">
              <w:rPr>
                <w:rFonts w:ascii="Arabic Typesetting" w:eastAsia="Arabic Typesetting" w:hAnsi="Arabic Typesetting" w:cs="Arabic Typesetting" w:hint="cs"/>
                <w:color w:val="000000"/>
                <w:sz w:val="28"/>
                <w:szCs w:val="28"/>
                <w:rtl/>
                <w:lang w:eastAsia="ar-EG" w:bidi="ar-EG"/>
              </w:rPr>
              <w:t>تتمتع</w:t>
            </w:r>
            <w:r w:rsidRPr="003726A9">
              <w:rPr>
                <w:rFonts w:ascii="Arabic Typesetting" w:eastAsia="Arabic Typesetting" w:hAnsi="Arabic Typesetting" w:cs="Arabic Typesetting"/>
                <w:color w:val="000000"/>
                <w:sz w:val="28"/>
                <w:szCs w:val="28"/>
                <w:rtl/>
                <w:lang w:eastAsia="ar-EG" w:bidi="ar-EG"/>
              </w:rPr>
              <w:t xml:space="preserve"> </w:t>
            </w:r>
            <w:r w:rsidR="00574A27">
              <w:rPr>
                <w:rFonts w:ascii="Arabic Typesetting" w:eastAsia="Arabic Typesetting" w:hAnsi="Arabic Typesetting" w:cs="Arabic Typesetting" w:hint="cs"/>
                <w:color w:val="000000"/>
                <w:sz w:val="28"/>
                <w:szCs w:val="28"/>
                <w:rtl/>
                <w:lang w:eastAsia="ar-EG" w:bidi="ar-EG"/>
              </w:rPr>
              <w:t>ب</w:t>
            </w:r>
            <w:r w:rsidRPr="003726A9">
              <w:rPr>
                <w:rFonts w:ascii="Arabic Typesetting" w:eastAsia="Arabic Typesetting" w:hAnsi="Arabic Typesetting" w:cs="Arabic Typesetting"/>
                <w:color w:val="000000"/>
                <w:sz w:val="28"/>
                <w:szCs w:val="28"/>
                <w:rtl/>
                <w:lang w:eastAsia="ar-EG" w:bidi="ar-EG"/>
              </w:rPr>
              <w:t>صفة المراقب الدائم وتشارك في عمل الويبو وتشارك الويبو في عملها</w:t>
            </w:r>
          </w:p>
        </w:tc>
        <w:tc>
          <w:tcPr>
            <w:tcW w:w="1416" w:type="pct"/>
            <w:shd w:val="clear" w:color="auto" w:fill="auto"/>
            <w:tcMar>
              <w:left w:w="58" w:type="dxa"/>
              <w:right w:w="58" w:type="dxa"/>
            </w:tcMar>
          </w:tcPr>
          <w:p w14:paraId="0BA153C4"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حضر 488 ممثلاً لمنظمات غير حكومية معتمدة اعتمادا دائماً اجتماعات لجنة الويبو في 2014/15</w:t>
            </w:r>
          </w:p>
          <w:p w14:paraId="47173C87"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726A9">
              <w:rPr>
                <w:rFonts w:ascii="Arabic Typesetting" w:eastAsia="Arabic Typesetting" w:hAnsi="Arabic Typesetting" w:cs="Arabic Typesetting"/>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يحدَّد لاحقا</w:t>
            </w:r>
          </w:p>
        </w:tc>
        <w:tc>
          <w:tcPr>
            <w:tcW w:w="699" w:type="pct"/>
            <w:shd w:val="clear" w:color="auto" w:fill="auto"/>
            <w:tcMar>
              <w:top w:w="110" w:type="dxa"/>
              <w:left w:w="58" w:type="dxa"/>
              <w:right w:w="58" w:type="dxa"/>
            </w:tcMar>
          </w:tcPr>
          <w:p w14:paraId="6179D4F7"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sz w:val="28"/>
                <w:szCs w:val="28"/>
                <w:rtl/>
                <w:lang w:eastAsia="ar-EG" w:bidi="ar-EG"/>
              </w:rPr>
              <w:t>الحفاظ على المشاركة أو زيادتها</w:t>
            </w:r>
          </w:p>
        </w:tc>
        <w:tc>
          <w:tcPr>
            <w:tcW w:w="1309" w:type="pct"/>
            <w:shd w:val="clear" w:color="auto" w:fill="FFFFFF"/>
            <w:tcMar>
              <w:top w:w="110" w:type="dxa"/>
              <w:left w:w="58" w:type="dxa"/>
              <w:right w:w="58" w:type="dxa"/>
            </w:tcMar>
          </w:tcPr>
          <w:p w14:paraId="19EC0457"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حضور 259 منظمة غير حكومية معتمدة اعتماداً دائماً اجتماعات لجنة الويبو أي 53% من إجمالي عدد المنظمات غير الحكومية التي تحضر تلك الاجتماعات في الثنائية 2014/15</w:t>
            </w:r>
          </w:p>
        </w:tc>
        <w:tc>
          <w:tcPr>
            <w:tcW w:w="501" w:type="pct"/>
            <w:shd w:val="clear" w:color="auto" w:fill="auto"/>
            <w:tcMar>
              <w:top w:w="110" w:type="dxa"/>
              <w:left w:w="58" w:type="dxa"/>
              <w:right w:w="58" w:type="dxa"/>
            </w:tcMar>
          </w:tcPr>
          <w:p w14:paraId="0E6F33B5"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color w:val="00B050"/>
                <w:sz w:val="28"/>
                <w:szCs w:val="28"/>
                <w:rtl/>
                <w:lang w:eastAsia="ar-EG" w:bidi="ar-EG"/>
              </w:rPr>
              <w:t>ثابت</w:t>
            </w:r>
          </w:p>
        </w:tc>
      </w:tr>
      <w:tr w:rsidR="00BD3831" w:rsidRPr="003726A9" w14:paraId="606F901B" w14:textId="77777777" w:rsidTr="00DF6715">
        <w:trPr>
          <w:cantSplit/>
          <w:trHeight w:val="565"/>
        </w:trPr>
        <w:tc>
          <w:tcPr>
            <w:tcW w:w="5000" w:type="pct"/>
            <w:gridSpan w:val="5"/>
            <w:shd w:val="clear" w:color="auto" w:fill="C6D9F1"/>
            <w:tcMar>
              <w:left w:w="58" w:type="dxa"/>
              <w:right w:w="58" w:type="dxa"/>
            </w:tcMar>
            <w:vAlign w:val="center"/>
          </w:tcPr>
          <w:p w14:paraId="5DAA1189" w14:textId="77777777" w:rsidR="00BD3831" w:rsidRPr="003726A9"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lastRenderedPageBreak/>
              <w:t>‏النتيجة المرتقبة:</w:t>
            </w:r>
            <w:r w:rsidRPr="003726A9">
              <w:rPr>
                <w:rFonts w:ascii="Arabic Typesetting" w:eastAsia="Arabic Typesetting" w:hAnsi="Arabic Typesetting" w:cs="Arabic Typesetting"/>
                <w:sz w:val="28"/>
                <w:szCs w:val="28"/>
                <w:lang w:eastAsia="ar-EG" w:bidi="ar-EG"/>
              </w:rPr>
              <w:tab/>
            </w:r>
            <w:r w:rsidRPr="003726A9">
              <w:rPr>
                <w:rFonts w:ascii="Arabic Typesetting" w:eastAsia="Arabic Typesetting" w:hAnsi="Arabic Typesetting" w:cs="Arabic Typesetting"/>
                <w:color w:val="000000"/>
                <w:sz w:val="28"/>
                <w:szCs w:val="28"/>
                <w:rtl/>
                <w:lang w:eastAsia="ar-EG" w:bidi="ar-EG"/>
              </w:rPr>
              <w:t xml:space="preserve">ه5.8 تفاعل الويبو وتشاركها </w:t>
            </w:r>
            <w:r w:rsidRPr="003726A9">
              <w:rPr>
                <w:rFonts w:ascii="Arabic Typesetting" w:eastAsia="Arabic Typesetting" w:hAnsi="Arabic Typesetting" w:cs="Arabic Typesetting"/>
                <w:sz w:val="28"/>
                <w:szCs w:val="28"/>
                <w:rtl/>
                <w:lang w:eastAsia="ar-EG" w:bidi="ar-EG"/>
              </w:rPr>
              <w:t>بفعالية</w:t>
            </w:r>
            <w:r w:rsidRPr="003726A9">
              <w:rPr>
                <w:rFonts w:ascii="Arabic Typesetting" w:eastAsia="Arabic Typesetting" w:hAnsi="Arabic Typesetting" w:cs="Arabic Typesetting"/>
                <w:color w:val="000000"/>
                <w:sz w:val="28"/>
                <w:szCs w:val="28"/>
                <w:rtl/>
                <w:lang w:eastAsia="ar-EG" w:bidi="ar-EG"/>
              </w:rPr>
              <w:t xml:space="preserve"> مع مسارات ومفاوضات الأمم المتحدة وسائر المنظمات الحكومية الدولية</w:t>
            </w:r>
          </w:p>
        </w:tc>
      </w:tr>
      <w:tr w:rsidR="00BD3831" w:rsidRPr="003726A9" w14:paraId="3F449871" w14:textId="77777777" w:rsidTr="00DF6715">
        <w:trPr>
          <w:cantSplit/>
        </w:trPr>
        <w:tc>
          <w:tcPr>
            <w:tcW w:w="1074" w:type="pct"/>
            <w:shd w:val="clear" w:color="auto" w:fill="auto"/>
            <w:tcMar>
              <w:left w:w="58" w:type="dxa"/>
              <w:right w:w="58" w:type="dxa"/>
            </w:tcMar>
            <w:vAlign w:val="center"/>
          </w:tcPr>
          <w:p w14:paraId="32F845C2" w14:textId="77777777" w:rsidR="00BD3831" w:rsidRPr="003726A9" w:rsidRDefault="00BD3831" w:rsidP="0031289D">
            <w:pPr>
              <w:keepNext/>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مؤشرات الأداء</w:t>
            </w:r>
          </w:p>
        </w:tc>
        <w:tc>
          <w:tcPr>
            <w:tcW w:w="1416" w:type="pct"/>
            <w:shd w:val="clear" w:color="auto" w:fill="auto"/>
            <w:tcMar>
              <w:left w:w="58" w:type="dxa"/>
              <w:right w:w="58" w:type="dxa"/>
            </w:tcMar>
            <w:vAlign w:val="center"/>
          </w:tcPr>
          <w:p w14:paraId="7998F72B"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أسس المقارنة</w:t>
            </w:r>
          </w:p>
        </w:tc>
        <w:tc>
          <w:tcPr>
            <w:tcW w:w="699" w:type="pct"/>
            <w:shd w:val="clear" w:color="auto" w:fill="auto"/>
            <w:tcMar>
              <w:top w:w="110" w:type="dxa"/>
              <w:left w:w="58" w:type="dxa"/>
              <w:right w:w="58" w:type="dxa"/>
            </w:tcMar>
            <w:vAlign w:val="center"/>
          </w:tcPr>
          <w:p w14:paraId="7C4F28B3"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الأهداف</w:t>
            </w:r>
          </w:p>
        </w:tc>
        <w:tc>
          <w:tcPr>
            <w:tcW w:w="1309" w:type="pct"/>
            <w:shd w:val="clear" w:color="auto" w:fill="FFFFFF"/>
            <w:tcMar>
              <w:top w:w="110" w:type="dxa"/>
              <w:left w:w="58" w:type="dxa"/>
              <w:right w:w="58" w:type="dxa"/>
            </w:tcMar>
            <w:vAlign w:val="center"/>
          </w:tcPr>
          <w:p w14:paraId="03D95371"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بيانات الأداء</w:t>
            </w:r>
          </w:p>
        </w:tc>
        <w:tc>
          <w:tcPr>
            <w:tcW w:w="501" w:type="pct"/>
            <w:shd w:val="clear" w:color="auto" w:fill="auto"/>
            <w:tcMar>
              <w:top w:w="110" w:type="dxa"/>
              <w:left w:w="58" w:type="dxa"/>
              <w:right w:w="58" w:type="dxa"/>
            </w:tcMar>
            <w:vAlign w:val="center"/>
          </w:tcPr>
          <w:p w14:paraId="4362C5A1"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السير</w:t>
            </w:r>
          </w:p>
        </w:tc>
      </w:tr>
      <w:tr w:rsidR="00BD3831" w:rsidRPr="003726A9" w14:paraId="782D0F63" w14:textId="77777777" w:rsidTr="00DF6715">
        <w:trPr>
          <w:cantSplit/>
          <w:trHeight w:val="3486"/>
        </w:trPr>
        <w:tc>
          <w:tcPr>
            <w:tcW w:w="1074" w:type="pct"/>
            <w:shd w:val="clear" w:color="auto" w:fill="auto"/>
            <w:tcMar>
              <w:left w:w="58" w:type="dxa"/>
              <w:right w:w="58" w:type="dxa"/>
            </w:tcMar>
          </w:tcPr>
          <w:p w14:paraId="4598F08E"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مبادرات جديدة مشتركة مع الوكالات الأخرى التابعة للأمم المتحدة/المنظمات الحكومية الدولية</w:t>
            </w:r>
          </w:p>
        </w:tc>
        <w:tc>
          <w:tcPr>
            <w:tcW w:w="1416" w:type="pct"/>
            <w:shd w:val="clear" w:color="auto" w:fill="auto"/>
            <w:tcMar>
              <w:left w:w="58" w:type="dxa"/>
              <w:right w:w="58" w:type="dxa"/>
            </w:tcMar>
          </w:tcPr>
          <w:p w14:paraId="175158B2" w14:textId="77777777" w:rsidR="00BD3831" w:rsidRDefault="00BD3831" w:rsidP="0031289D">
            <w:pPr>
              <w:keepNext/>
              <w:keepLines/>
              <w:widowControl w:val="0"/>
              <w:bidi/>
              <w:spacing w:line="280" w:lineRule="exact"/>
              <w:rPr>
                <w:rFonts w:ascii="Arabic Typesetting" w:eastAsia="Arabic Typesetting" w:hAnsi="Arabic Typesetting" w:cs="Arabic Typesetting"/>
                <w:i/>
                <w:iCs/>
                <w:color w:val="002060"/>
                <w:sz w:val="28"/>
                <w:szCs w:val="28"/>
                <w:rtl/>
                <w:lang w:eastAsia="ar-EG" w:bidi="ar-EG"/>
              </w:rPr>
            </w:pPr>
            <w:r w:rsidRPr="003726A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p>
          <w:p w14:paraId="26C467BA" w14:textId="77777777" w:rsidR="00BD3831" w:rsidRPr="003726A9" w:rsidRDefault="00BD3831" w:rsidP="0031289D">
            <w:pPr>
              <w:pStyle w:val="ListParagraph"/>
              <w:keepNext/>
              <w:keepLines/>
              <w:widowControl w:val="0"/>
              <w:numPr>
                <w:ilvl w:val="0"/>
                <w:numId w:val="30"/>
              </w:numPr>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color w:val="002060"/>
                <w:sz w:val="28"/>
                <w:szCs w:val="28"/>
                <w:rtl/>
                <w:lang w:eastAsia="ar-EG" w:bidi="ar-EG"/>
              </w:rPr>
              <w:t>اضطلع المدير العام بمبادرتين جديدتين:</w:t>
            </w:r>
            <w:r>
              <w:rPr>
                <w:rFonts w:ascii="Arabic Typesetting" w:eastAsia="Arabic Typesetting" w:hAnsi="Arabic Typesetting" w:cs="Arabic Typesetting" w:hint="cs"/>
                <w:color w:val="002060"/>
                <w:sz w:val="28"/>
                <w:szCs w:val="28"/>
                <w:rtl/>
                <w:lang w:eastAsia="ar-EG" w:bidi="ar-EG"/>
              </w:rPr>
              <w:t xml:space="preserve"> </w:t>
            </w:r>
            <w:r w:rsidRPr="003726A9">
              <w:rPr>
                <w:rFonts w:ascii="Arabic Typesetting" w:eastAsia="Arabic Typesetting" w:hAnsi="Arabic Typesetting" w:cs="Arabic Typesetting"/>
                <w:color w:val="002060"/>
                <w:sz w:val="28"/>
                <w:szCs w:val="28"/>
                <w:rtl/>
                <w:lang w:eastAsia="ar-EG" w:bidi="ar-EG"/>
              </w:rPr>
              <w:t xml:space="preserve">التقدم بطلب إلى المنظمة الدولية للهجرة للحصول على صفة مراقب في عام </w:t>
            </w:r>
            <w:r>
              <w:rPr>
                <w:rFonts w:ascii="Arabic Typesetting" w:eastAsia="Arabic Typesetting" w:hAnsi="Arabic Typesetting" w:cs="Arabic Typesetting"/>
                <w:color w:val="002060"/>
                <w:sz w:val="28"/>
                <w:szCs w:val="28"/>
                <w:rtl/>
                <w:lang w:eastAsia="ar-EG" w:bidi="ar-EG"/>
              </w:rPr>
              <w:t>2014؛</w:t>
            </w:r>
          </w:p>
          <w:p w14:paraId="57CC13D9" w14:textId="77777777" w:rsidR="00BD3831" w:rsidRDefault="00BD3831" w:rsidP="0031289D">
            <w:pPr>
              <w:pStyle w:val="ListParagraph"/>
              <w:keepNext/>
              <w:keepLines/>
              <w:widowControl w:val="0"/>
              <w:numPr>
                <w:ilvl w:val="0"/>
                <w:numId w:val="30"/>
              </w:numPr>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color w:val="002060"/>
                <w:sz w:val="28"/>
                <w:szCs w:val="28"/>
                <w:rtl/>
                <w:lang w:eastAsia="ar-EG" w:bidi="ar-EG"/>
              </w:rPr>
              <w:t>الانضمام في عام 2015 إلى فريق الأمم المتحدة العامل المشترك بين الوكالات المعني بإنشاء آلية التيسير التكنولوجي (الذي أنشئ بموجب خطة عمل أديس أبابا)</w:t>
            </w:r>
          </w:p>
          <w:p w14:paraId="4B225E66"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726A9">
              <w:rPr>
                <w:rFonts w:ascii="Arabic Typesetting" w:eastAsia="Arabic Typesetting" w:hAnsi="Arabic Typesetting" w:cs="Arabic Typesetting"/>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واحدة (2014)</w:t>
            </w:r>
          </w:p>
        </w:tc>
        <w:tc>
          <w:tcPr>
            <w:tcW w:w="699" w:type="pct"/>
            <w:shd w:val="clear" w:color="auto" w:fill="auto"/>
            <w:tcMar>
              <w:top w:w="110" w:type="dxa"/>
              <w:left w:w="58" w:type="dxa"/>
              <w:right w:w="58" w:type="dxa"/>
            </w:tcMar>
          </w:tcPr>
          <w:p w14:paraId="008C3E7C"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اثنتان</w:t>
            </w:r>
          </w:p>
        </w:tc>
        <w:tc>
          <w:tcPr>
            <w:tcW w:w="1309" w:type="pct"/>
            <w:shd w:val="clear" w:color="auto" w:fill="FFFFFF"/>
            <w:tcMar>
              <w:top w:w="110" w:type="dxa"/>
              <w:left w:w="58" w:type="dxa"/>
              <w:right w:w="58" w:type="dxa"/>
            </w:tcMar>
          </w:tcPr>
          <w:p w14:paraId="1F45BCD8"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الندوة التقنية المشتركة بين الويبو ومنظمة الصحة العالمية ومنظمة التجارة العالمية بشأن مقاومة الجراثيم للأدوية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3726A9">
              <w:rPr>
                <w:rFonts w:ascii="Arabic Typesetting" w:eastAsia="Arabic Typesetting" w:hAnsi="Arabic Typesetting" w:cs="Arabic Typesetting"/>
                <w:color w:val="000000"/>
                <w:sz w:val="28"/>
                <w:szCs w:val="28"/>
                <w:rtl/>
                <w:lang w:eastAsia="ar-EG" w:bidi="ar-EG"/>
              </w:rPr>
              <w:t>ما</w:t>
            </w:r>
            <w:r>
              <w:rPr>
                <w:rFonts w:ascii="Arabic Typesetting" w:eastAsia="Arabic Typesetting" w:hAnsi="Arabic Typesetting" w:cs="Arabic Typesetting" w:hint="cs"/>
                <w:color w:val="000000"/>
                <w:sz w:val="28"/>
                <w:szCs w:val="28"/>
                <w:rtl/>
                <w:lang w:eastAsia="ar-EG" w:bidi="ar-EG"/>
              </w:rPr>
              <w:t> </w:t>
            </w:r>
            <w:r w:rsidRPr="003726A9">
              <w:rPr>
                <w:rFonts w:ascii="Arabic Typesetting" w:eastAsia="Arabic Typesetting" w:hAnsi="Arabic Typesetting" w:cs="Arabic Typesetting"/>
                <w:color w:val="000000"/>
                <w:sz w:val="28"/>
                <w:szCs w:val="28"/>
                <w:rtl/>
                <w:lang w:eastAsia="ar-EG" w:bidi="ar-EG"/>
              </w:rPr>
              <w:t>هي سبل تشجيع الابتكار والحصول على المضادات الحيوية واستخدامها على نحو ملائم؟ الذي استضافته الويبو في جنيف في 26 أكتوبر 2016 (مبادرة</w:t>
            </w:r>
            <w:r>
              <w:rPr>
                <w:rFonts w:ascii="Arabic Typesetting" w:eastAsia="Arabic Typesetting" w:hAnsi="Arabic Typesetting" w:cs="Arabic Typesetting" w:hint="cs"/>
                <w:color w:val="000000"/>
                <w:sz w:val="28"/>
                <w:szCs w:val="28"/>
                <w:rtl/>
                <w:lang w:eastAsia="ar-EG" w:bidi="ar-EG"/>
              </w:rPr>
              <w:t> </w:t>
            </w:r>
            <w:r w:rsidRPr="003726A9">
              <w:rPr>
                <w:rFonts w:ascii="Arabic Typesetting" w:eastAsia="Arabic Typesetting" w:hAnsi="Arabic Typesetting" w:cs="Arabic Typesetting"/>
                <w:color w:val="000000"/>
                <w:sz w:val="28"/>
                <w:szCs w:val="28"/>
                <w:rtl/>
                <w:lang w:eastAsia="ar-EG" w:bidi="ar-EG"/>
              </w:rPr>
              <w:t>مشتركة يترأسها المدير العام)</w:t>
            </w:r>
          </w:p>
        </w:tc>
        <w:tc>
          <w:tcPr>
            <w:tcW w:w="501" w:type="pct"/>
            <w:shd w:val="clear" w:color="auto" w:fill="auto"/>
            <w:tcMar>
              <w:top w:w="110" w:type="dxa"/>
              <w:left w:w="58" w:type="dxa"/>
              <w:right w:w="58" w:type="dxa"/>
            </w:tcMar>
          </w:tcPr>
          <w:p w14:paraId="516A5ADF"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color w:val="00B050"/>
                <w:sz w:val="28"/>
                <w:szCs w:val="28"/>
                <w:rtl/>
                <w:lang w:eastAsia="ar-EG" w:bidi="ar-EG"/>
              </w:rPr>
              <w:t>ثابت</w:t>
            </w:r>
          </w:p>
        </w:tc>
      </w:tr>
      <w:tr w:rsidR="00BD3831" w:rsidRPr="003726A9" w14:paraId="651D372A" w14:textId="77777777" w:rsidTr="00DF6715">
        <w:trPr>
          <w:cantSplit/>
          <w:trHeight w:val="565"/>
        </w:trPr>
        <w:tc>
          <w:tcPr>
            <w:tcW w:w="5000" w:type="pct"/>
            <w:gridSpan w:val="5"/>
            <w:shd w:val="clear" w:color="auto" w:fill="C6D9F1"/>
            <w:tcMar>
              <w:left w:w="58" w:type="dxa"/>
              <w:right w:w="58" w:type="dxa"/>
            </w:tcMar>
            <w:vAlign w:val="center"/>
          </w:tcPr>
          <w:p w14:paraId="73B4408C" w14:textId="77777777" w:rsidR="00BD3831" w:rsidRPr="003726A9"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‏النتيجة المرتقبة:</w:t>
            </w:r>
            <w:r w:rsidRPr="003726A9">
              <w:rPr>
                <w:rFonts w:ascii="Arabic Typesetting" w:eastAsia="Arabic Typesetting" w:hAnsi="Arabic Typesetting" w:cs="Arabic Typesetting"/>
                <w:sz w:val="28"/>
                <w:szCs w:val="28"/>
                <w:lang w:eastAsia="ar-EG" w:bidi="ar-EG"/>
              </w:rPr>
              <w:tab/>
            </w:r>
            <w:r w:rsidRPr="003726A9">
              <w:rPr>
                <w:rFonts w:ascii="Arabic Typesetting" w:eastAsia="Arabic Typesetting" w:hAnsi="Arabic Typesetting" w:cs="Arabic Typesetting"/>
                <w:color w:val="000000"/>
                <w:sz w:val="28"/>
                <w:szCs w:val="28"/>
                <w:rtl/>
                <w:lang w:eastAsia="ar-EG" w:bidi="ar-EG"/>
              </w:rPr>
              <w:t xml:space="preserve">ه1.9 </w:t>
            </w:r>
            <w:r w:rsidRPr="003F62A5">
              <w:rPr>
                <w:rFonts w:ascii="Arabic Typesetting" w:eastAsia="Arabic Typesetting" w:hAnsi="Arabic Typesetting" w:cs="Arabic Typesetting"/>
                <w:color w:val="000000"/>
                <w:sz w:val="28"/>
                <w:szCs w:val="28"/>
                <w:rtl/>
                <w:lang w:eastAsia="ar-EG" w:bidi="ar-EG"/>
              </w:rPr>
              <w:t>خدمات دعم موجهة للزبون بفعالية وكفاءة وجودة لفائدة الزبائن الداخليين وأصحاب المصلحة الخارجيين</w:t>
            </w:r>
          </w:p>
        </w:tc>
      </w:tr>
      <w:tr w:rsidR="00BD3831" w:rsidRPr="003726A9" w14:paraId="032A07B0" w14:textId="77777777" w:rsidTr="00DF6715">
        <w:trPr>
          <w:cantSplit/>
        </w:trPr>
        <w:tc>
          <w:tcPr>
            <w:tcW w:w="1074" w:type="pct"/>
            <w:shd w:val="clear" w:color="auto" w:fill="auto"/>
            <w:tcMar>
              <w:left w:w="58" w:type="dxa"/>
              <w:right w:w="58" w:type="dxa"/>
            </w:tcMar>
            <w:vAlign w:val="center"/>
          </w:tcPr>
          <w:p w14:paraId="2CDA2D49" w14:textId="77777777" w:rsidR="00BD3831" w:rsidRPr="003726A9" w:rsidRDefault="00BD3831" w:rsidP="0031289D">
            <w:pPr>
              <w:keepNext/>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مؤشرات الأداء</w:t>
            </w:r>
          </w:p>
        </w:tc>
        <w:tc>
          <w:tcPr>
            <w:tcW w:w="1416" w:type="pct"/>
            <w:shd w:val="clear" w:color="auto" w:fill="auto"/>
            <w:tcMar>
              <w:left w:w="58" w:type="dxa"/>
              <w:right w:w="58" w:type="dxa"/>
            </w:tcMar>
            <w:vAlign w:val="center"/>
          </w:tcPr>
          <w:p w14:paraId="490819FE" w14:textId="77777777" w:rsidR="00BD3831" w:rsidRPr="003726A9" w:rsidRDefault="00BD3831" w:rsidP="0031289D">
            <w:pPr>
              <w:keepNext/>
              <w:keepLines/>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أسس المقارنة</w:t>
            </w:r>
          </w:p>
        </w:tc>
        <w:tc>
          <w:tcPr>
            <w:tcW w:w="699" w:type="pct"/>
            <w:shd w:val="clear" w:color="auto" w:fill="auto"/>
            <w:tcMar>
              <w:top w:w="110" w:type="dxa"/>
              <w:left w:w="58" w:type="dxa"/>
              <w:right w:w="58" w:type="dxa"/>
            </w:tcMar>
            <w:vAlign w:val="center"/>
          </w:tcPr>
          <w:p w14:paraId="56DA0242" w14:textId="77777777" w:rsidR="00BD3831" w:rsidRPr="003726A9" w:rsidRDefault="00BD3831" w:rsidP="0031289D">
            <w:pPr>
              <w:keepNext/>
              <w:keepLines/>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الأهداف</w:t>
            </w:r>
          </w:p>
        </w:tc>
        <w:tc>
          <w:tcPr>
            <w:tcW w:w="1309" w:type="pct"/>
            <w:shd w:val="clear" w:color="auto" w:fill="FFFFFF"/>
            <w:tcMar>
              <w:top w:w="110" w:type="dxa"/>
              <w:left w:w="58" w:type="dxa"/>
              <w:right w:w="58" w:type="dxa"/>
            </w:tcMar>
            <w:vAlign w:val="center"/>
          </w:tcPr>
          <w:p w14:paraId="049587C7" w14:textId="77777777" w:rsidR="00BD3831" w:rsidRPr="003726A9" w:rsidRDefault="00BD3831" w:rsidP="0031289D">
            <w:pPr>
              <w:keepNext/>
              <w:keepLines/>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بيانات الأداء</w:t>
            </w:r>
          </w:p>
        </w:tc>
        <w:tc>
          <w:tcPr>
            <w:tcW w:w="501" w:type="pct"/>
            <w:shd w:val="clear" w:color="auto" w:fill="auto"/>
            <w:tcMar>
              <w:top w:w="110" w:type="dxa"/>
              <w:left w:w="58" w:type="dxa"/>
              <w:right w:w="58" w:type="dxa"/>
            </w:tcMar>
            <w:vAlign w:val="center"/>
          </w:tcPr>
          <w:p w14:paraId="7786A30C" w14:textId="77777777" w:rsidR="00BD3831" w:rsidRPr="003726A9" w:rsidRDefault="00BD3831" w:rsidP="0031289D">
            <w:pPr>
              <w:keepNext/>
              <w:keepLines/>
              <w:widowControl w:val="0"/>
              <w:bidi/>
              <w:spacing w:after="120" w:line="280" w:lineRule="exact"/>
              <w:jc w:val="center"/>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السير</w:t>
            </w:r>
          </w:p>
        </w:tc>
      </w:tr>
      <w:tr w:rsidR="00BD3831" w:rsidRPr="003726A9" w14:paraId="3E22C8D5" w14:textId="77777777" w:rsidTr="00DF6715">
        <w:trPr>
          <w:cantSplit/>
          <w:trHeight w:val="1390"/>
        </w:trPr>
        <w:tc>
          <w:tcPr>
            <w:tcW w:w="1074" w:type="pct"/>
            <w:shd w:val="clear" w:color="auto" w:fill="auto"/>
            <w:tcMar>
              <w:left w:w="58" w:type="dxa"/>
              <w:right w:w="58" w:type="dxa"/>
            </w:tcMar>
          </w:tcPr>
          <w:p w14:paraId="7E759605" w14:textId="77777777" w:rsidR="00BD3831" w:rsidRPr="003726A9" w:rsidRDefault="00BD3831" w:rsidP="0031289D">
            <w:pPr>
              <w:keepNext/>
              <w:keepLines/>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النسبة المئوية لطلبات المشورة والخدمات القانونية التي تلقت ردودا سريعة من مكتب المستشار القانوني</w:t>
            </w:r>
          </w:p>
        </w:tc>
        <w:tc>
          <w:tcPr>
            <w:tcW w:w="1416" w:type="pct"/>
            <w:shd w:val="clear" w:color="auto" w:fill="auto"/>
            <w:tcMar>
              <w:left w:w="58" w:type="dxa"/>
              <w:right w:w="58" w:type="dxa"/>
            </w:tcMar>
          </w:tcPr>
          <w:p w14:paraId="000928AC" w14:textId="77777777" w:rsidR="00BD3831" w:rsidRDefault="00BD3831" w:rsidP="0031289D">
            <w:pPr>
              <w:keepNext/>
              <w:keepLines/>
              <w:widowControl w:val="0"/>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95% في 2014/15</w:t>
            </w:r>
          </w:p>
          <w:p w14:paraId="7A69F36C" w14:textId="77777777" w:rsidR="00BD3831" w:rsidRPr="003726A9" w:rsidRDefault="00BD3831" w:rsidP="0031289D">
            <w:pPr>
              <w:keepNext/>
              <w:keepLines/>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726A9">
              <w:rPr>
                <w:rFonts w:ascii="Arabic Typesetting" w:eastAsia="Arabic Typesetting" w:hAnsi="Arabic Typesetting" w:cs="Arabic Typesetting"/>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95%</w:t>
            </w:r>
          </w:p>
        </w:tc>
        <w:tc>
          <w:tcPr>
            <w:tcW w:w="699" w:type="pct"/>
            <w:shd w:val="clear" w:color="auto" w:fill="auto"/>
            <w:tcMar>
              <w:top w:w="110" w:type="dxa"/>
              <w:left w:w="58" w:type="dxa"/>
              <w:right w:w="58" w:type="dxa"/>
            </w:tcMar>
          </w:tcPr>
          <w:p w14:paraId="4DAC6521" w14:textId="77777777" w:rsidR="00BD3831" w:rsidRPr="003726A9" w:rsidRDefault="00BD3831" w:rsidP="0031289D">
            <w:pPr>
              <w:keepNext/>
              <w:keepLines/>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 xml:space="preserve"> 95%</w:t>
            </w:r>
          </w:p>
        </w:tc>
        <w:tc>
          <w:tcPr>
            <w:tcW w:w="1309" w:type="pct"/>
            <w:shd w:val="clear" w:color="auto" w:fill="FFFFFF"/>
            <w:tcMar>
              <w:top w:w="110" w:type="dxa"/>
              <w:left w:w="58" w:type="dxa"/>
              <w:right w:w="58" w:type="dxa"/>
            </w:tcMar>
          </w:tcPr>
          <w:p w14:paraId="69B08405" w14:textId="77777777" w:rsidR="00BD3831" w:rsidRPr="003726A9" w:rsidRDefault="00BD3831" w:rsidP="0031289D">
            <w:pPr>
              <w:keepNext/>
              <w:keepLines/>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95% من الاستفسارات تلقت ردوداً سريعة من مكتب المستشار القانوني</w:t>
            </w:r>
          </w:p>
        </w:tc>
        <w:tc>
          <w:tcPr>
            <w:tcW w:w="501" w:type="pct"/>
            <w:shd w:val="clear" w:color="auto" w:fill="auto"/>
            <w:tcMar>
              <w:top w:w="110" w:type="dxa"/>
              <w:left w:w="58" w:type="dxa"/>
              <w:right w:w="58" w:type="dxa"/>
            </w:tcMar>
          </w:tcPr>
          <w:p w14:paraId="33C59646" w14:textId="77777777" w:rsidR="00BD3831" w:rsidRPr="003726A9" w:rsidRDefault="00BD3831" w:rsidP="0031289D">
            <w:pPr>
              <w:keepNext/>
              <w:keepLines/>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color w:val="00B050"/>
                <w:sz w:val="28"/>
                <w:szCs w:val="28"/>
                <w:rtl/>
                <w:lang w:eastAsia="ar-EG" w:bidi="ar-EG"/>
              </w:rPr>
              <w:t>ثابت</w:t>
            </w:r>
          </w:p>
        </w:tc>
      </w:tr>
      <w:tr w:rsidR="00BD3831" w:rsidRPr="003726A9" w14:paraId="4C744733" w14:textId="77777777" w:rsidTr="00DF6715">
        <w:trPr>
          <w:cantSplit/>
          <w:trHeight w:val="565"/>
        </w:trPr>
        <w:tc>
          <w:tcPr>
            <w:tcW w:w="5000" w:type="pct"/>
            <w:gridSpan w:val="5"/>
            <w:shd w:val="clear" w:color="auto" w:fill="C6D9F1"/>
            <w:tcMar>
              <w:left w:w="58" w:type="dxa"/>
              <w:right w:w="58" w:type="dxa"/>
            </w:tcMar>
            <w:vAlign w:val="center"/>
          </w:tcPr>
          <w:p w14:paraId="577F5F35" w14:textId="53054942" w:rsidR="00BD3831" w:rsidRPr="003726A9"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‏النتيجة المرتقبة:</w:t>
            </w:r>
            <w:r w:rsidRPr="003726A9">
              <w:rPr>
                <w:rFonts w:ascii="Arabic Typesetting" w:eastAsia="Arabic Typesetting" w:hAnsi="Arabic Typesetting" w:cs="Arabic Typesetting"/>
                <w:sz w:val="28"/>
                <w:szCs w:val="28"/>
                <w:lang w:eastAsia="ar-EG" w:bidi="ar-EG"/>
              </w:rPr>
              <w:tab/>
            </w:r>
            <w:r w:rsidRPr="003726A9">
              <w:rPr>
                <w:rFonts w:ascii="Arabic Typesetting" w:eastAsia="Arabic Typesetting" w:hAnsi="Arabic Typesetting" w:cs="Arabic Typesetting"/>
                <w:color w:val="000000"/>
                <w:sz w:val="28"/>
                <w:szCs w:val="28"/>
                <w:rtl/>
                <w:lang w:eastAsia="ar-EG" w:bidi="ar-EG"/>
              </w:rPr>
              <w:t xml:space="preserve">ه2.9 </w:t>
            </w:r>
            <w:r w:rsidR="002920A9">
              <w:rPr>
                <w:rFonts w:ascii="Arabic Typesetting" w:eastAsia="Arabic Typesetting" w:hAnsi="Arabic Typesetting" w:cs="Arabic Typesetting"/>
                <w:color w:val="000000"/>
                <w:sz w:val="28"/>
                <w:szCs w:val="28"/>
                <w:rtl/>
                <w:lang w:eastAsia="ar-EG" w:bidi="ar-EG"/>
              </w:rPr>
              <w:t>أمانة نبيهة تعمل بسلاسة وموظفون يعملون تحت إدارة جيّدة وبمهارات مناسبة ويحققون النتائج بكفاءة</w:t>
            </w:r>
          </w:p>
        </w:tc>
      </w:tr>
      <w:tr w:rsidR="00BD3831" w:rsidRPr="003726A9" w14:paraId="19A7FA41" w14:textId="77777777" w:rsidTr="00DF6715">
        <w:trPr>
          <w:cantSplit/>
        </w:trPr>
        <w:tc>
          <w:tcPr>
            <w:tcW w:w="1074" w:type="pct"/>
            <w:shd w:val="clear" w:color="auto" w:fill="auto"/>
            <w:tcMar>
              <w:left w:w="58" w:type="dxa"/>
              <w:right w:w="58" w:type="dxa"/>
            </w:tcMar>
            <w:vAlign w:val="center"/>
          </w:tcPr>
          <w:p w14:paraId="23DC4C4A" w14:textId="77777777" w:rsidR="00BD3831" w:rsidRPr="003726A9" w:rsidRDefault="00BD3831" w:rsidP="0031289D">
            <w:pPr>
              <w:keepNext/>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مؤشرات الأداء</w:t>
            </w:r>
          </w:p>
        </w:tc>
        <w:tc>
          <w:tcPr>
            <w:tcW w:w="1416" w:type="pct"/>
            <w:shd w:val="clear" w:color="auto" w:fill="auto"/>
            <w:tcMar>
              <w:left w:w="58" w:type="dxa"/>
              <w:right w:w="58" w:type="dxa"/>
            </w:tcMar>
            <w:vAlign w:val="center"/>
          </w:tcPr>
          <w:p w14:paraId="556787C7"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أسس المقارنة</w:t>
            </w:r>
          </w:p>
        </w:tc>
        <w:tc>
          <w:tcPr>
            <w:tcW w:w="699" w:type="pct"/>
            <w:shd w:val="clear" w:color="auto" w:fill="auto"/>
            <w:tcMar>
              <w:top w:w="110" w:type="dxa"/>
              <w:left w:w="58" w:type="dxa"/>
              <w:right w:w="58" w:type="dxa"/>
            </w:tcMar>
            <w:vAlign w:val="center"/>
          </w:tcPr>
          <w:p w14:paraId="7FD0AF69"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الأهداف</w:t>
            </w:r>
          </w:p>
        </w:tc>
        <w:tc>
          <w:tcPr>
            <w:tcW w:w="1309" w:type="pct"/>
            <w:shd w:val="clear" w:color="auto" w:fill="FFFFFF"/>
            <w:tcMar>
              <w:top w:w="110" w:type="dxa"/>
              <w:left w:w="58" w:type="dxa"/>
              <w:right w:w="58" w:type="dxa"/>
            </w:tcMar>
            <w:vAlign w:val="center"/>
          </w:tcPr>
          <w:p w14:paraId="03E65259"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بيانات الأداء</w:t>
            </w:r>
          </w:p>
        </w:tc>
        <w:tc>
          <w:tcPr>
            <w:tcW w:w="501" w:type="pct"/>
            <w:shd w:val="clear" w:color="auto" w:fill="auto"/>
            <w:tcMar>
              <w:top w:w="110" w:type="dxa"/>
              <w:left w:w="58" w:type="dxa"/>
              <w:right w:w="58" w:type="dxa"/>
            </w:tcMar>
            <w:vAlign w:val="center"/>
          </w:tcPr>
          <w:p w14:paraId="35F1D5E8"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السير</w:t>
            </w:r>
          </w:p>
        </w:tc>
      </w:tr>
      <w:tr w:rsidR="00BD3831" w:rsidRPr="003726A9" w14:paraId="358A7E0B" w14:textId="77777777" w:rsidTr="00DF6715">
        <w:trPr>
          <w:cantSplit/>
          <w:trHeight w:val="1749"/>
        </w:trPr>
        <w:tc>
          <w:tcPr>
            <w:tcW w:w="1074" w:type="pct"/>
            <w:shd w:val="clear" w:color="auto" w:fill="auto"/>
            <w:tcMar>
              <w:left w:w="58" w:type="dxa"/>
              <w:right w:w="58" w:type="dxa"/>
            </w:tcMar>
          </w:tcPr>
          <w:p w14:paraId="5C384257"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إنشاء إطار جديد للمرونة التنظيمية واستمرارية العمل وإعداد الوثائق المتصلة به</w:t>
            </w:r>
          </w:p>
        </w:tc>
        <w:tc>
          <w:tcPr>
            <w:tcW w:w="1416" w:type="pct"/>
            <w:shd w:val="clear" w:color="auto" w:fill="auto"/>
            <w:tcMar>
              <w:left w:w="58" w:type="dxa"/>
              <w:right w:w="58" w:type="dxa"/>
            </w:tcMar>
          </w:tcPr>
          <w:p w14:paraId="7555DC51"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الإطار الحالي ليس شاملاً وينبغي تغيير الاحتياجات</w:t>
            </w:r>
          </w:p>
        </w:tc>
        <w:tc>
          <w:tcPr>
            <w:tcW w:w="699" w:type="pct"/>
            <w:shd w:val="clear" w:color="auto" w:fill="auto"/>
            <w:tcMar>
              <w:top w:w="110" w:type="dxa"/>
              <w:left w:w="58" w:type="dxa"/>
              <w:right w:w="58" w:type="dxa"/>
            </w:tcMar>
          </w:tcPr>
          <w:p w14:paraId="79F21206"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وضع استراتيجيات المرونة التنظيمية واستمرارية العمل وخططها فيما ي</w:t>
            </w:r>
            <w:r>
              <w:rPr>
                <w:rFonts w:ascii="Arabic Typesetting" w:eastAsia="Arabic Typesetting" w:hAnsi="Arabic Typesetting" w:cs="Arabic Typesetting"/>
                <w:color w:val="000000"/>
                <w:sz w:val="28"/>
                <w:szCs w:val="28"/>
                <w:rtl/>
                <w:lang w:eastAsia="ar-EG" w:bidi="ar-EG"/>
              </w:rPr>
              <w:t>خص القطاعات الجوهرية في المنظمة</w:t>
            </w:r>
          </w:p>
        </w:tc>
        <w:tc>
          <w:tcPr>
            <w:tcW w:w="1309" w:type="pct"/>
            <w:shd w:val="clear" w:color="auto" w:fill="FFFFFF"/>
            <w:tcMar>
              <w:top w:w="110" w:type="dxa"/>
              <w:left w:w="58" w:type="dxa"/>
              <w:right w:w="58" w:type="dxa"/>
            </w:tcMar>
          </w:tcPr>
          <w:p w14:paraId="56AA6118"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 أُعدت ونُشرت خطة واحدة لمكافحة الأوبئة</w:t>
            </w:r>
          </w:p>
          <w:p w14:paraId="615BCBBB"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3726A9">
              <w:rPr>
                <w:rFonts w:ascii="Arabic Typesetting" w:eastAsia="Arabic Typesetting" w:hAnsi="Arabic Typesetting" w:cs="Arabic Typesetting"/>
                <w:color w:val="000000"/>
                <w:sz w:val="28"/>
                <w:szCs w:val="28"/>
                <w:rtl/>
                <w:lang w:eastAsia="ar-EG" w:bidi="ar-EG"/>
              </w:rPr>
              <w:t>نُفِّذت تحليلات لآثار العمل فيما يخص وظائف المنظمة الجوهرية ووظائف الدعم ووظائف الأنظمة والبيانات الجوهرية</w:t>
            </w:r>
          </w:p>
        </w:tc>
        <w:tc>
          <w:tcPr>
            <w:tcW w:w="501" w:type="pct"/>
            <w:shd w:val="clear" w:color="auto" w:fill="auto"/>
            <w:tcMar>
              <w:top w:w="110" w:type="dxa"/>
              <w:left w:w="58" w:type="dxa"/>
              <w:right w:w="58" w:type="dxa"/>
            </w:tcMar>
          </w:tcPr>
          <w:p w14:paraId="19A3A1FF"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color w:val="00B050"/>
                <w:sz w:val="28"/>
                <w:szCs w:val="28"/>
                <w:rtl/>
                <w:lang w:eastAsia="ar-EG" w:bidi="ar-EG"/>
              </w:rPr>
              <w:t>ثابت</w:t>
            </w:r>
          </w:p>
        </w:tc>
      </w:tr>
      <w:tr w:rsidR="00BD3831" w:rsidRPr="003726A9" w14:paraId="5D6D7E2F" w14:textId="77777777" w:rsidTr="00DF6715">
        <w:trPr>
          <w:cantSplit/>
          <w:trHeight w:val="565"/>
        </w:trPr>
        <w:tc>
          <w:tcPr>
            <w:tcW w:w="5000" w:type="pct"/>
            <w:gridSpan w:val="5"/>
            <w:shd w:val="clear" w:color="auto" w:fill="C6D9F1"/>
            <w:tcMar>
              <w:left w:w="58" w:type="dxa"/>
              <w:right w:w="58" w:type="dxa"/>
            </w:tcMar>
            <w:vAlign w:val="center"/>
          </w:tcPr>
          <w:p w14:paraId="1D122DA3" w14:textId="77777777" w:rsidR="00BD3831" w:rsidRPr="003726A9"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lastRenderedPageBreak/>
              <w:t>‏النتيجة المرتقبة:</w:t>
            </w:r>
            <w:r w:rsidRPr="003726A9">
              <w:rPr>
                <w:rFonts w:ascii="Arabic Typesetting" w:eastAsia="Arabic Typesetting" w:hAnsi="Arabic Typesetting" w:cs="Arabic Typesetting"/>
                <w:sz w:val="28"/>
                <w:szCs w:val="28"/>
                <w:lang w:eastAsia="ar-EG" w:bidi="ar-EG"/>
              </w:rPr>
              <w:tab/>
            </w:r>
            <w:r w:rsidRPr="003726A9">
              <w:rPr>
                <w:rFonts w:ascii="Arabic Typesetting" w:eastAsia="Arabic Typesetting" w:hAnsi="Arabic Typesetting" w:cs="Arabic Typesetting"/>
                <w:color w:val="000000"/>
                <w:sz w:val="28"/>
                <w:szCs w:val="28"/>
                <w:rtl/>
                <w:lang w:eastAsia="ar-EG" w:bidi="ar-EG"/>
              </w:rPr>
              <w:t>ه3.9 بيئة عمل داعمة ومسنودة بإطار تنظيمي فعال وقنوات فعالة لمعالجة مشاغل الموظفين</w:t>
            </w:r>
          </w:p>
        </w:tc>
      </w:tr>
      <w:tr w:rsidR="00BD3831" w:rsidRPr="003726A9" w14:paraId="5C35C3CC" w14:textId="77777777" w:rsidTr="00DF6715">
        <w:trPr>
          <w:cantSplit/>
        </w:trPr>
        <w:tc>
          <w:tcPr>
            <w:tcW w:w="1074" w:type="pct"/>
            <w:shd w:val="clear" w:color="auto" w:fill="auto"/>
            <w:tcMar>
              <w:left w:w="58" w:type="dxa"/>
              <w:right w:w="58" w:type="dxa"/>
            </w:tcMar>
            <w:vAlign w:val="center"/>
          </w:tcPr>
          <w:p w14:paraId="4C8EC536" w14:textId="77777777" w:rsidR="00BD3831" w:rsidRPr="003726A9" w:rsidRDefault="00BD3831" w:rsidP="0031289D">
            <w:pPr>
              <w:keepNext/>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مؤشرات الأداء</w:t>
            </w:r>
          </w:p>
        </w:tc>
        <w:tc>
          <w:tcPr>
            <w:tcW w:w="1416" w:type="pct"/>
            <w:shd w:val="clear" w:color="auto" w:fill="auto"/>
            <w:tcMar>
              <w:left w:w="58" w:type="dxa"/>
              <w:right w:w="58" w:type="dxa"/>
            </w:tcMar>
            <w:vAlign w:val="center"/>
          </w:tcPr>
          <w:p w14:paraId="1C30974A"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أسس المقارنة</w:t>
            </w:r>
          </w:p>
        </w:tc>
        <w:tc>
          <w:tcPr>
            <w:tcW w:w="699" w:type="pct"/>
            <w:shd w:val="clear" w:color="auto" w:fill="auto"/>
            <w:tcMar>
              <w:top w:w="110" w:type="dxa"/>
              <w:left w:w="58" w:type="dxa"/>
              <w:right w:w="58" w:type="dxa"/>
            </w:tcMar>
            <w:vAlign w:val="center"/>
          </w:tcPr>
          <w:p w14:paraId="0F28B03A"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الأهداف</w:t>
            </w:r>
          </w:p>
        </w:tc>
        <w:tc>
          <w:tcPr>
            <w:tcW w:w="1309" w:type="pct"/>
            <w:shd w:val="clear" w:color="auto" w:fill="FFFFFF"/>
            <w:tcMar>
              <w:top w:w="110" w:type="dxa"/>
              <w:left w:w="58" w:type="dxa"/>
              <w:right w:w="58" w:type="dxa"/>
            </w:tcMar>
            <w:vAlign w:val="center"/>
          </w:tcPr>
          <w:p w14:paraId="26FD5958" w14:textId="77777777" w:rsidR="00BD3831" w:rsidRPr="003726A9" w:rsidRDefault="00BD3831" w:rsidP="0031289D">
            <w:pPr>
              <w:widowControl w:val="0"/>
              <w:bidi/>
              <w:spacing w:after="120" w:line="280" w:lineRule="exact"/>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بيانات الأداء</w:t>
            </w:r>
          </w:p>
        </w:tc>
        <w:tc>
          <w:tcPr>
            <w:tcW w:w="501" w:type="pct"/>
            <w:shd w:val="clear" w:color="auto" w:fill="auto"/>
            <w:tcMar>
              <w:top w:w="110" w:type="dxa"/>
              <w:left w:w="58" w:type="dxa"/>
              <w:right w:w="58" w:type="dxa"/>
            </w:tcMar>
            <w:vAlign w:val="center"/>
          </w:tcPr>
          <w:p w14:paraId="60594841"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b/>
                <w:bCs/>
                <w:sz w:val="28"/>
                <w:szCs w:val="28"/>
                <w:lang w:eastAsia="ar-EG" w:bidi="ar-EG"/>
              </w:rPr>
            </w:pPr>
            <w:r w:rsidRPr="003726A9">
              <w:rPr>
                <w:rFonts w:ascii="Arabic Typesetting" w:eastAsia="Arabic Typesetting" w:hAnsi="Arabic Typesetting" w:cs="Arabic Typesetting"/>
                <w:b/>
                <w:bCs/>
                <w:sz w:val="28"/>
                <w:szCs w:val="28"/>
                <w:rtl/>
                <w:lang w:eastAsia="ar-EG" w:bidi="ar-EG"/>
              </w:rPr>
              <w:t>السير</w:t>
            </w:r>
          </w:p>
        </w:tc>
      </w:tr>
      <w:tr w:rsidR="00BD3831" w:rsidRPr="003726A9" w14:paraId="0E6BD7E6" w14:textId="77777777" w:rsidTr="00DF6715">
        <w:trPr>
          <w:cantSplit/>
          <w:trHeight w:val="17"/>
        </w:trPr>
        <w:tc>
          <w:tcPr>
            <w:tcW w:w="1074" w:type="pct"/>
            <w:shd w:val="clear" w:color="auto" w:fill="auto"/>
            <w:tcMar>
              <w:left w:w="58" w:type="dxa"/>
              <w:right w:w="58" w:type="dxa"/>
            </w:tcMar>
          </w:tcPr>
          <w:p w14:paraId="15A54F51"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النسبة المئوية لموظفي الويبو الواعين بالخدمات التي يقدمها مكتب أمين المظالم وآلية تسوية المنازعات بشكل غير رسمي</w:t>
            </w:r>
          </w:p>
        </w:tc>
        <w:tc>
          <w:tcPr>
            <w:tcW w:w="1416" w:type="pct"/>
            <w:shd w:val="clear" w:color="auto" w:fill="auto"/>
            <w:tcMar>
              <w:left w:w="58" w:type="dxa"/>
              <w:right w:w="58" w:type="dxa"/>
            </w:tcMar>
          </w:tcPr>
          <w:p w14:paraId="01E0809D" w14:textId="77777777" w:rsidR="00BD3831" w:rsidRDefault="00BD3831" w:rsidP="0031289D">
            <w:pPr>
              <w:widowControl w:val="0"/>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لم يجرَ استقصاء آراء الموظفين المزمع لعام</w:t>
            </w:r>
            <w:r>
              <w:rPr>
                <w:rFonts w:ascii="Arabic Typesetting" w:eastAsia="Arabic Typesetting" w:hAnsi="Arabic Typesetting" w:cs="Arabic Typesetting" w:hint="cs"/>
                <w:color w:val="002060"/>
                <w:sz w:val="28"/>
                <w:szCs w:val="28"/>
                <w:rtl/>
                <w:lang w:eastAsia="ar-EG" w:bidi="ar-EG"/>
              </w:rPr>
              <w:t> </w:t>
            </w:r>
            <w:r w:rsidRPr="003726A9">
              <w:rPr>
                <w:rFonts w:ascii="Arabic Typesetting" w:eastAsia="Arabic Typesetting" w:hAnsi="Arabic Typesetting" w:cs="Arabic Typesetting"/>
                <w:color w:val="002060"/>
                <w:sz w:val="28"/>
                <w:szCs w:val="28"/>
                <w:rtl/>
                <w:lang w:eastAsia="ar-EG" w:bidi="ar-EG"/>
              </w:rPr>
              <w:t>2015</w:t>
            </w:r>
          </w:p>
          <w:p w14:paraId="1CB2C4A1"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726A9">
              <w:rPr>
                <w:rFonts w:ascii="Arabic Typesetting" w:eastAsia="Arabic Typesetting" w:hAnsi="Arabic Typesetting" w:cs="Arabic Typesetting"/>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3726A9">
              <w:rPr>
                <w:rFonts w:ascii="Arabic Typesetting" w:eastAsia="Arabic Typesetting" w:hAnsi="Arabic Typesetting" w:cs="Arabic Typesetting"/>
                <w:color w:val="000000"/>
                <w:sz w:val="28"/>
                <w:szCs w:val="28"/>
                <w:rtl/>
                <w:lang w:eastAsia="ar-EG" w:bidi="ar-EG"/>
              </w:rPr>
              <w:t>- استقصاء 2013</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3726A9">
              <w:rPr>
                <w:rFonts w:ascii="Arabic Typesetting" w:eastAsia="Arabic Typesetting" w:hAnsi="Arabic Typesetting" w:cs="Arabic Typesetting"/>
                <w:color w:val="000000"/>
                <w:sz w:val="28"/>
                <w:szCs w:val="28"/>
                <w:rtl/>
                <w:lang w:eastAsia="ar-EG" w:bidi="ar-EG"/>
              </w:rPr>
              <w:t xml:space="preserve">63% على وعي تام </w:t>
            </w:r>
            <w:r>
              <w:rPr>
                <w:rFonts w:ascii="Arabic Typesetting" w:eastAsia="Arabic Typesetting" w:hAnsi="Arabic Typesetting" w:cs="Arabic Typesetting" w:hint="cs"/>
                <w:color w:val="000000"/>
                <w:sz w:val="28"/>
                <w:szCs w:val="28"/>
                <w:rtl/>
                <w:lang w:eastAsia="ar-EG" w:bidi="ar-EG"/>
              </w:rPr>
              <w:t>و</w:t>
            </w:r>
            <w:r w:rsidRPr="003726A9">
              <w:rPr>
                <w:rFonts w:ascii="Arabic Typesetting" w:eastAsia="Arabic Typesetting" w:hAnsi="Arabic Typesetting" w:cs="Arabic Typesetting"/>
                <w:color w:val="000000"/>
                <w:sz w:val="28"/>
                <w:szCs w:val="28"/>
                <w:rtl/>
                <w:lang w:eastAsia="ar-EG" w:bidi="ar-EG"/>
              </w:rPr>
              <w:t>من المخطط إجراء استقصاء آخر في</w:t>
            </w:r>
            <w:r>
              <w:rPr>
                <w:rFonts w:ascii="Arabic Typesetting" w:eastAsia="Arabic Typesetting" w:hAnsi="Arabic Typesetting" w:cs="Arabic Typesetting" w:hint="cs"/>
                <w:color w:val="000000"/>
                <w:sz w:val="28"/>
                <w:szCs w:val="28"/>
                <w:rtl/>
                <w:lang w:eastAsia="ar-EG" w:bidi="ar-EG"/>
              </w:rPr>
              <w:t> </w:t>
            </w:r>
            <w:r w:rsidRPr="003726A9">
              <w:rPr>
                <w:rFonts w:ascii="Arabic Typesetting" w:eastAsia="Arabic Typesetting" w:hAnsi="Arabic Typesetting" w:cs="Arabic Typesetting"/>
                <w:color w:val="000000"/>
                <w:sz w:val="28"/>
                <w:szCs w:val="28"/>
                <w:rtl/>
                <w:lang w:eastAsia="ar-EG" w:bidi="ar-EG"/>
              </w:rPr>
              <w:t>2015.</w:t>
            </w:r>
          </w:p>
        </w:tc>
        <w:tc>
          <w:tcPr>
            <w:tcW w:w="699" w:type="pct"/>
            <w:shd w:val="clear" w:color="auto" w:fill="auto"/>
            <w:tcMar>
              <w:top w:w="110" w:type="dxa"/>
              <w:left w:w="58" w:type="dxa"/>
              <w:right w:w="58" w:type="dxa"/>
            </w:tcMar>
          </w:tcPr>
          <w:p w14:paraId="112E13CF"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70%</w:t>
            </w:r>
          </w:p>
        </w:tc>
        <w:tc>
          <w:tcPr>
            <w:tcW w:w="1309" w:type="pct"/>
            <w:shd w:val="clear" w:color="auto" w:fill="FFFFFF"/>
            <w:tcMar>
              <w:top w:w="110" w:type="dxa"/>
              <w:left w:w="58" w:type="dxa"/>
              <w:right w:w="58" w:type="dxa"/>
            </w:tcMar>
          </w:tcPr>
          <w:p w14:paraId="2FBAA2F9"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لم يُجرَ استقصاءٌ في عام 2016</w:t>
            </w:r>
          </w:p>
        </w:tc>
        <w:tc>
          <w:tcPr>
            <w:tcW w:w="501" w:type="pct"/>
            <w:shd w:val="clear" w:color="auto" w:fill="auto"/>
            <w:tcMar>
              <w:top w:w="110" w:type="dxa"/>
              <w:left w:w="58" w:type="dxa"/>
              <w:right w:w="58" w:type="dxa"/>
            </w:tcMar>
          </w:tcPr>
          <w:p w14:paraId="260AFBD5"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A6A6A6"/>
                <w:sz w:val="28"/>
                <w:szCs w:val="28"/>
                <w:rtl/>
                <w:lang w:eastAsia="ar-EG" w:bidi="ar-EG"/>
              </w:rPr>
              <w:t>‏غير قابل للقياس</w:t>
            </w:r>
          </w:p>
        </w:tc>
      </w:tr>
      <w:tr w:rsidR="00BD3831" w:rsidRPr="003726A9" w14:paraId="19BDD527" w14:textId="77777777" w:rsidTr="00DF6715">
        <w:trPr>
          <w:cantSplit/>
          <w:trHeight w:val="1582"/>
        </w:trPr>
        <w:tc>
          <w:tcPr>
            <w:tcW w:w="1074" w:type="pct"/>
            <w:shd w:val="clear" w:color="auto" w:fill="auto"/>
            <w:tcMar>
              <w:left w:w="58" w:type="dxa"/>
              <w:right w:w="58" w:type="dxa"/>
            </w:tcMar>
          </w:tcPr>
          <w:p w14:paraId="5A464AE6"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النسبة المئوية لموظفي الويبو الواعين بالمبادئ والسياسات الأخلاقية للويبو</w:t>
            </w:r>
          </w:p>
        </w:tc>
        <w:tc>
          <w:tcPr>
            <w:tcW w:w="1416" w:type="pct"/>
            <w:shd w:val="clear" w:color="auto" w:fill="auto"/>
            <w:tcMar>
              <w:left w:w="58" w:type="dxa"/>
              <w:right w:w="58" w:type="dxa"/>
            </w:tcMar>
          </w:tcPr>
          <w:p w14:paraId="55B44A2C" w14:textId="77777777" w:rsidR="00BD3831" w:rsidRDefault="00BD3831" w:rsidP="0031289D">
            <w:pPr>
              <w:widowControl w:val="0"/>
              <w:bidi/>
              <w:spacing w:after="120" w:line="280" w:lineRule="exact"/>
              <w:rPr>
                <w:rFonts w:ascii="Arabic Typesetting" w:eastAsia="Arabic Typesetting" w:hAnsi="Arabic Typesetting" w:cs="Arabic Typesetting"/>
                <w:color w:val="002060"/>
                <w:sz w:val="28"/>
                <w:szCs w:val="28"/>
                <w:lang w:eastAsia="ar-EG" w:bidi="ar-EG"/>
              </w:rPr>
            </w:pPr>
            <w:r w:rsidRPr="003726A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3726A9">
              <w:rPr>
                <w:rFonts w:ascii="Arabic Typesetting" w:eastAsia="Arabic Typesetting" w:hAnsi="Arabic Typesetting" w:cs="Arabic Typesetting"/>
                <w:color w:val="002060"/>
                <w:sz w:val="28"/>
                <w:szCs w:val="28"/>
                <w:rtl/>
                <w:lang w:eastAsia="ar-EG" w:bidi="ar-EG"/>
              </w:rPr>
              <w:t>لم يجرَ استقصاء الموظفين المزمع للثنائية</w:t>
            </w:r>
          </w:p>
          <w:p w14:paraId="008E540D"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3726A9">
              <w:rPr>
                <w:rFonts w:ascii="Arabic Typesetting" w:eastAsia="Arabic Typesetting" w:hAnsi="Arabic Typesetting" w:cs="Arabic Typesetting"/>
                <w:i/>
                <w:iCs/>
                <w:sz w:val="28"/>
                <w:szCs w:val="28"/>
                <w:rtl/>
                <w:lang w:eastAsia="ar-EG" w:bidi="ar-EG"/>
              </w:rPr>
              <w:t>:</w:t>
            </w:r>
            <w:r w:rsidRPr="003726A9">
              <w:rPr>
                <w:rFonts w:ascii="Arabic Typesetting" w:eastAsia="Arabic Typesetting" w:hAnsi="Arabic Typesetting" w:cs="Arabic Typesetting"/>
                <w:i/>
                <w:sz w:val="28"/>
                <w:szCs w:val="28"/>
                <w:lang w:eastAsia="ar-EG" w:bidi="ar-EG"/>
              </w:rPr>
              <w:br/>
            </w:r>
            <w:r w:rsidRPr="003726A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98% </w:t>
            </w:r>
            <w:r w:rsidRPr="003726A9">
              <w:rPr>
                <w:rFonts w:ascii="Arabic Typesetting" w:eastAsia="Arabic Typesetting" w:hAnsi="Arabic Typesetting" w:cs="Arabic Typesetting"/>
                <w:color w:val="000000"/>
                <w:sz w:val="28"/>
                <w:szCs w:val="28"/>
                <w:rtl/>
                <w:lang w:eastAsia="ar-EG" w:bidi="ar-EG"/>
              </w:rPr>
              <w:t>من استقصاء القيم الأساسية لبرنامج التقوي</w:t>
            </w:r>
            <w:r>
              <w:rPr>
                <w:rFonts w:ascii="Arabic Typesetting" w:eastAsia="Arabic Typesetting" w:hAnsi="Arabic Typesetting" w:cs="Arabic Typesetting"/>
                <w:color w:val="000000"/>
                <w:sz w:val="28"/>
                <w:szCs w:val="28"/>
                <w:rtl/>
                <w:lang w:eastAsia="ar-EG" w:bidi="ar-EG"/>
              </w:rPr>
              <w:t xml:space="preserve">م الاستراتيجي (أُجري في 2013). </w:t>
            </w:r>
            <w:r>
              <w:rPr>
                <w:rFonts w:ascii="Arabic Typesetting" w:eastAsia="Arabic Typesetting" w:hAnsi="Arabic Typesetting" w:cs="Arabic Typesetting" w:hint="cs"/>
                <w:color w:val="000000"/>
                <w:sz w:val="28"/>
                <w:szCs w:val="28"/>
                <w:rtl/>
                <w:lang w:eastAsia="ar-EG" w:bidi="ar-EG"/>
              </w:rPr>
              <w:t>و</w:t>
            </w:r>
            <w:r w:rsidRPr="003726A9">
              <w:rPr>
                <w:rFonts w:ascii="Arabic Typesetting" w:eastAsia="Arabic Typesetting" w:hAnsi="Arabic Typesetting" w:cs="Arabic Typesetting"/>
                <w:color w:val="000000"/>
                <w:sz w:val="28"/>
                <w:szCs w:val="28"/>
                <w:rtl/>
                <w:lang w:eastAsia="ar-EG" w:bidi="ar-EG"/>
              </w:rPr>
              <w:t>من المخطط إجراء استقصاء آخر في</w:t>
            </w:r>
            <w:r>
              <w:rPr>
                <w:rFonts w:ascii="Arabic Typesetting" w:eastAsia="Arabic Typesetting" w:hAnsi="Arabic Typesetting" w:cs="Arabic Typesetting" w:hint="cs"/>
                <w:color w:val="000000"/>
                <w:sz w:val="28"/>
                <w:szCs w:val="28"/>
                <w:rtl/>
                <w:lang w:eastAsia="ar-EG" w:bidi="ar-EG"/>
              </w:rPr>
              <w:t> </w:t>
            </w:r>
            <w:r w:rsidRPr="003726A9">
              <w:rPr>
                <w:rFonts w:ascii="Arabic Typesetting" w:eastAsia="Arabic Typesetting" w:hAnsi="Arabic Typesetting" w:cs="Arabic Typesetting"/>
                <w:color w:val="000000"/>
                <w:sz w:val="28"/>
                <w:szCs w:val="28"/>
                <w:rtl/>
                <w:lang w:eastAsia="ar-EG" w:bidi="ar-EG"/>
              </w:rPr>
              <w:t>2015.</w:t>
            </w:r>
          </w:p>
        </w:tc>
        <w:tc>
          <w:tcPr>
            <w:tcW w:w="699" w:type="pct"/>
            <w:shd w:val="clear" w:color="auto" w:fill="auto"/>
            <w:tcMar>
              <w:top w:w="110" w:type="dxa"/>
              <w:left w:w="58" w:type="dxa"/>
              <w:right w:w="58" w:type="dxa"/>
            </w:tcMar>
          </w:tcPr>
          <w:p w14:paraId="6F3B36EF" w14:textId="77777777" w:rsidR="00BD3831" w:rsidRPr="003726A9" w:rsidRDefault="00BD3831" w:rsidP="0031289D">
            <w:pPr>
              <w:widowControl w:val="0"/>
              <w:bidi/>
              <w:spacing w:after="120" w:line="280" w:lineRule="exact"/>
              <w:ind w:left="-18"/>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95%</w:t>
            </w:r>
            <w:r w:rsidRPr="003726A9">
              <w:rPr>
                <w:rFonts w:ascii="Arabic Typesetting" w:eastAsia="Arabic Typesetting" w:hAnsi="Arabic Typesetting" w:cs="Arabic Typesetting"/>
                <w:color w:val="000000"/>
                <w:sz w:val="28"/>
                <w:szCs w:val="28"/>
                <w:cs/>
                <w:lang w:eastAsia="ar-EG" w:bidi="ar-EG"/>
              </w:rPr>
              <w:t>‎</w:t>
            </w:r>
            <w:r w:rsidRPr="003726A9">
              <w:rPr>
                <w:rFonts w:ascii="Arabic Typesetting" w:eastAsia="Arabic Typesetting" w:hAnsi="Arabic Typesetting" w:cs="Arabic Typesetting"/>
                <w:color w:val="000000"/>
                <w:sz w:val="28"/>
                <w:szCs w:val="28"/>
                <w:rtl/>
                <w:lang w:eastAsia="ar-EG" w:bidi="ar-EG"/>
              </w:rPr>
              <w:t xml:space="preserve"> ‏من الموظفين على وعي</w:t>
            </w:r>
          </w:p>
        </w:tc>
        <w:tc>
          <w:tcPr>
            <w:tcW w:w="1309" w:type="pct"/>
            <w:shd w:val="clear" w:color="auto" w:fill="FFFFFF"/>
            <w:tcMar>
              <w:top w:w="110" w:type="dxa"/>
              <w:left w:w="58" w:type="dxa"/>
              <w:right w:w="58" w:type="dxa"/>
            </w:tcMar>
          </w:tcPr>
          <w:p w14:paraId="4DB76237" w14:textId="77777777" w:rsidR="00BD3831" w:rsidRPr="003726A9" w:rsidRDefault="00BD3831" w:rsidP="0031289D">
            <w:pPr>
              <w:widowControl w:val="0"/>
              <w:bidi/>
              <w:spacing w:after="120" w:line="280" w:lineRule="exact"/>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color w:val="000000"/>
                <w:sz w:val="28"/>
                <w:szCs w:val="28"/>
                <w:rtl/>
                <w:lang w:eastAsia="ar-EG" w:bidi="ar-EG"/>
              </w:rPr>
              <w:t>86% (استقصاء مكتب الأخلاقيات لعام 2016)</w:t>
            </w:r>
          </w:p>
        </w:tc>
        <w:tc>
          <w:tcPr>
            <w:tcW w:w="501" w:type="pct"/>
            <w:shd w:val="clear" w:color="auto" w:fill="auto"/>
            <w:tcMar>
              <w:top w:w="110" w:type="dxa"/>
              <w:left w:w="58" w:type="dxa"/>
              <w:right w:w="58" w:type="dxa"/>
            </w:tcMar>
          </w:tcPr>
          <w:p w14:paraId="0F3FB2DF" w14:textId="77777777" w:rsidR="00BD3831" w:rsidRPr="003726A9" w:rsidRDefault="00BD3831" w:rsidP="0031289D">
            <w:pPr>
              <w:widowControl w:val="0"/>
              <w:bidi/>
              <w:spacing w:after="120" w:line="280" w:lineRule="exact"/>
              <w:jc w:val="center"/>
              <w:rPr>
                <w:rFonts w:ascii="Arabic Typesetting" w:eastAsia="Arabic Typesetting" w:hAnsi="Arabic Typesetting" w:cs="Arabic Typesetting"/>
                <w:color w:val="000000"/>
                <w:sz w:val="28"/>
                <w:szCs w:val="28"/>
                <w:lang w:eastAsia="ar-EG" w:bidi="ar-EG"/>
              </w:rPr>
            </w:pPr>
            <w:r w:rsidRPr="003726A9">
              <w:rPr>
                <w:rFonts w:ascii="Arabic Typesetting" w:eastAsia="Arabic Typesetting" w:hAnsi="Arabic Typesetting" w:cs="Arabic Typesetting"/>
                <w:b/>
                <w:bCs/>
                <w:color w:val="00B050"/>
                <w:sz w:val="28"/>
                <w:szCs w:val="28"/>
                <w:rtl/>
                <w:lang w:eastAsia="ar-EG" w:bidi="ar-EG"/>
              </w:rPr>
              <w:t>ثابت</w:t>
            </w:r>
          </w:p>
        </w:tc>
      </w:tr>
    </w:tbl>
    <w:p w14:paraId="22A6FF3A" w14:textId="77777777" w:rsidR="00BD3831" w:rsidRDefault="00BD3831" w:rsidP="0031289D">
      <w:pPr>
        <w:bidi/>
      </w:pPr>
    </w:p>
    <w:tbl>
      <w:tblPr>
        <w:tblStyle w:val="TableGrid"/>
        <w:bidiVisual/>
        <w:tblW w:w="0" w:type="auto"/>
        <w:tblLook w:val="04A0" w:firstRow="1" w:lastRow="0" w:firstColumn="1" w:lastColumn="0" w:noHBand="0" w:noVBand="1"/>
      </w:tblPr>
      <w:tblGrid>
        <w:gridCol w:w="9571"/>
      </w:tblGrid>
      <w:tr w:rsidR="00BD3831" w14:paraId="63EBC04F" w14:textId="77777777" w:rsidTr="00DF6715">
        <w:tc>
          <w:tcPr>
            <w:tcW w:w="9571" w:type="dxa"/>
            <w:tcBorders>
              <w:top w:val="nil"/>
              <w:left w:val="nil"/>
              <w:bottom w:val="nil"/>
              <w:right w:val="nil"/>
            </w:tcBorders>
            <w:shd w:val="clear" w:color="auto" w:fill="C6D9F1"/>
            <w:vAlign w:val="center"/>
          </w:tcPr>
          <w:p w14:paraId="7B9A278A" w14:textId="77777777" w:rsidR="00BD3831" w:rsidRPr="00A2672B" w:rsidRDefault="00BD3831" w:rsidP="000B74B5">
            <w:pPr>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21</w:t>
            </w:r>
          </w:p>
        </w:tc>
      </w:tr>
    </w:tbl>
    <w:p w14:paraId="3F74BA8A" w14:textId="77777777" w:rsidR="000B74B5" w:rsidRDefault="000B74B5" w:rsidP="000B74B5">
      <w:pPr>
        <w:bidi/>
        <w:spacing w:before="120" w:line="340" w:lineRule="exact"/>
        <w:jc w:val="center"/>
        <w:rPr>
          <w:rFonts w:ascii="Arabic Typesetting" w:hAnsi="Arabic Typesetting" w:cs="Arabic Typesetting"/>
          <w:sz w:val="34"/>
          <w:szCs w:val="34"/>
          <w:lang w:bidi="ar-EG"/>
        </w:rPr>
      </w:pPr>
    </w:p>
    <w:p w14:paraId="75902A85" w14:textId="77777777" w:rsidR="000B74B5" w:rsidRPr="00252762" w:rsidRDefault="000B74B5" w:rsidP="000B74B5">
      <w:pPr>
        <w:bidi/>
        <w:spacing w:before="12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36BC1C37" w14:textId="77777777" w:rsidR="000B74B5" w:rsidRPr="00DF1D8A" w:rsidRDefault="000B74B5" w:rsidP="000B74B5">
      <w:pPr>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0B74B5" w:rsidRPr="00211D55" w14:paraId="51C16B60" w14:textId="77777777" w:rsidTr="00B705C2">
        <w:trPr>
          <w:trHeight w:val="645"/>
        </w:trPr>
        <w:tc>
          <w:tcPr>
            <w:tcW w:w="1118" w:type="pct"/>
            <w:shd w:val="clear" w:color="auto" w:fill="C6D9F1"/>
            <w:noWrap/>
            <w:vAlign w:val="center"/>
            <w:hideMark/>
          </w:tcPr>
          <w:p w14:paraId="69933309" w14:textId="77777777" w:rsidR="000B74B5" w:rsidRPr="00211D55" w:rsidRDefault="000B74B5" w:rsidP="00B705C2">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4F19BDEE" w14:textId="77777777" w:rsidR="000B74B5" w:rsidRPr="00211D55" w:rsidRDefault="000B74B5" w:rsidP="00B705C2">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29982F40" w14:textId="77777777" w:rsidR="000B74B5" w:rsidRPr="00211D55" w:rsidRDefault="000B74B5" w:rsidP="00B705C2">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4E597148" w14:textId="77777777" w:rsidR="000B74B5" w:rsidRPr="00211D55" w:rsidRDefault="000B74B5" w:rsidP="00B705C2">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585BB87D" w14:textId="77777777" w:rsidR="000B74B5" w:rsidRPr="00211D55" w:rsidRDefault="000B74B5" w:rsidP="00B705C2">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0B74B5" w:rsidRPr="00211D55" w14:paraId="0DB3EFA3" w14:textId="77777777" w:rsidTr="00B705C2">
        <w:trPr>
          <w:trHeight w:val="70"/>
        </w:trPr>
        <w:tc>
          <w:tcPr>
            <w:tcW w:w="1118" w:type="pct"/>
            <w:shd w:val="clear" w:color="auto" w:fill="auto"/>
            <w:noWrap/>
            <w:vAlign w:val="center"/>
            <w:hideMark/>
          </w:tcPr>
          <w:p w14:paraId="04412529" w14:textId="77777777" w:rsidR="000B74B5" w:rsidRPr="00211D55" w:rsidRDefault="000B74B5" w:rsidP="00B705C2">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523B3CDB" w14:textId="77777777" w:rsidR="000B74B5" w:rsidRPr="003726A9" w:rsidRDefault="000B74B5" w:rsidP="00B705C2">
            <w:pPr>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18</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 xml:space="preserve">130 </w:t>
            </w:r>
          </w:p>
        </w:tc>
        <w:tc>
          <w:tcPr>
            <w:tcW w:w="971" w:type="pct"/>
            <w:shd w:val="clear" w:color="auto" w:fill="auto"/>
            <w:vAlign w:val="center"/>
          </w:tcPr>
          <w:p w14:paraId="459A88C8" w14:textId="77777777" w:rsidR="000B74B5" w:rsidRPr="003726A9" w:rsidRDefault="000B74B5" w:rsidP="00B705C2">
            <w:pPr>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16</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 xml:space="preserve">254 </w:t>
            </w:r>
          </w:p>
        </w:tc>
        <w:tc>
          <w:tcPr>
            <w:tcW w:w="970" w:type="pct"/>
            <w:shd w:val="clear" w:color="auto" w:fill="auto"/>
            <w:vAlign w:val="center"/>
          </w:tcPr>
          <w:p w14:paraId="547E37B9" w14:textId="77777777" w:rsidR="000B74B5" w:rsidRPr="003726A9" w:rsidRDefault="000B74B5" w:rsidP="00B705C2">
            <w:pPr>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7</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 xml:space="preserve">988 </w:t>
            </w:r>
          </w:p>
        </w:tc>
        <w:tc>
          <w:tcPr>
            <w:tcW w:w="970" w:type="pct"/>
            <w:shd w:val="clear" w:color="auto" w:fill="auto"/>
            <w:vAlign w:val="center"/>
          </w:tcPr>
          <w:p w14:paraId="092C9099" w14:textId="77777777" w:rsidR="000B74B5" w:rsidRPr="003726A9" w:rsidRDefault="000B74B5" w:rsidP="00B705C2">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%49</w:t>
            </w:r>
          </w:p>
        </w:tc>
      </w:tr>
      <w:tr w:rsidR="000B74B5" w:rsidRPr="00211D55" w14:paraId="44827FC7" w14:textId="77777777" w:rsidTr="00B705C2">
        <w:trPr>
          <w:trHeight w:val="70"/>
        </w:trPr>
        <w:tc>
          <w:tcPr>
            <w:tcW w:w="1118" w:type="pct"/>
            <w:shd w:val="clear" w:color="auto" w:fill="auto"/>
            <w:noWrap/>
            <w:vAlign w:val="center"/>
            <w:hideMark/>
          </w:tcPr>
          <w:p w14:paraId="4AFD0094" w14:textId="77777777" w:rsidR="000B74B5" w:rsidRPr="00211D55" w:rsidRDefault="000B74B5" w:rsidP="00B705C2">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670C08BA" w14:textId="77777777" w:rsidR="000B74B5" w:rsidRPr="003726A9" w:rsidRDefault="000B74B5" w:rsidP="00B705C2">
            <w:pPr>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 xml:space="preserve">545 </w:t>
            </w:r>
          </w:p>
        </w:tc>
        <w:tc>
          <w:tcPr>
            <w:tcW w:w="971" w:type="pct"/>
            <w:shd w:val="clear" w:color="auto" w:fill="auto"/>
            <w:vAlign w:val="center"/>
          </w:tcPr>
          <w:p w14:paraId="53B7B50A" w14:textId="77777777" w:rsidR="000B74B5" w:rsidRPr="003726A9" w:rsidRDefault="000B74B5" w:rsidP="00B705C2">
            <w:pPr>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 xml:space="preserve">185 </w:t>
            </w:r>
          </w:p>
        </w:tc>
        <w:tc>
          <w:tcPr>
            <w:tcW w:w="970" w:type="pct"/>
            <w:shd w:val="clear" w:color="auto" w:fill="auto"/>
            <w:vAlign w:val="center"/>
          </w:tcPr>
          <w:p w14:paraId="49A928EF" w14:textId="77777777" w:rsidR="000B74B5" w:rsidRPr="003726A9" w:rsidRDefault="000B74B5" w:rsidP="00B705C2">
            <w:pPr>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 xml:space="preserve">441 </w:t>
            </w:r>
          </w:p>
        </w:tc>
        <w:tc>
          <w:tcPr>
            <w:tcW w:w="970" w:type="pct"/>
            <w:shd w:val="clear" w:color="auto" w:fill="auto"/>
            <w:vAlign w:val="center"/>
          </w:tcPr>
          <w:p w14:paraId="79942CAA" w14:textId="77777777" w:rsidR="000B74B5" w:rsidRPr="003726A9" w:rsidRDefault="000B74B5" w:rsidP="00B705C2">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%45</w:t>
            </w:r>
          </w:p>
        </w:tc>
      </w:tr>
      <w:tr w:rsidR="000B74B5" w:rsidRPr="00211D55" w14:paraId="28D4C181" w14:textId="77777777" w:rsidTr="00B705C2">
        <w:trPr>
          <w:trHeight w:val="70"/>
        </w:trPr>
        <w:tc>
          <w:tcPr>
            <w:tcW w:w="1118" w:type="pct"/>
            <w:shd w:val="clear" w:color="auto" w:fill="C6D9F1"/>
            <w:noWrap/>
            <w:vAlign w:val="center"/>
            <w:hideMark/>
          </w:tcPr>
          <w:p w14:paraId="5D6CBF19" w14:textId="77777777" w:rsidR="000B74B5" w:rsidRPr="00211D55" w:rsidRDefault="000B74B5" w:rsidP="00B705C2">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2FEBF8B3" w14:textId="77777777" w:rsidR="000B74B5" w:rsidRPr="003726A9" w:rsidRDefault="000B74B5" w:rsidP="00B705C2">
            <w:pPr>
              <w:jc w:val="center"/>
              <w:rPr>
                <w:rFonts w:ascii="Arabic Typesetting" w:hAnsi="Arabic Typesetting" w:cs="Arabic Typesetting"/>
                <w:b/>
                <w:bCs/>
                <w:color w:val="000000"/>
                <w:sz w:val="28"/>
                <w:szCs w:val="28"/>
              </w:rPr>
            </w:pPr>
            <w:r w:rsidRPr="003726A9">
              <w:rPr>
                <w:rFonts w:ascii="Arabic Typesetting" w:hAnsi="Arabic Typesetting" w:cs="Arabic Typesetting"/>
                <w:b/>
                <w:bCs/>
                <w:color w:val="000000"/>
                <w:sz w:val="28"/>
                <w:szCs w:val="28"/>
              </w:rPr>
              <w:t>20</w:t>
            </w:r>
            <w:r>
              <w:rPr>
                <w:rFonts w:ascii="Arabic Typesetting" w:hAnsi="Arabic Typesetting" w:cs="Arabic Typesetting"/>
                <w:b/>
                <w:bCs/>
                <w:color w:val="000000"/>
                <w:sz w:val="28"/>
                <w:szCs w:val="28"/>
              </w:rPr>
              <w:t> </w:t>
            </w:r>
            <w:r w:rsidRPr="003726A9">
              <w:rPr>
                <w:rFonts w:ascii="Arabic Typesetting" w:hAnsi="Arabic Typesetting" w:cs="Arabic Typesetting"/>
                <w:b/>
                <w:bCs/>
                <w:color w:val="000000"/>
                <w:sz w:val="28"/>
                <w:szCs w:val="28"/>
              </w:rPr>
              <w:t xml:space="preserve">675 </w:t>
            </w:r>
          </w:p>
        </w:tc>
        <w:tc>
          <w:tcPr>
            <w:tcW w:w="971" w:type="pct"/>
            <w:shd w:val="clear" w:color="auto" w:fill="C6D9F1"/>
            <w:vAlign w:val="center"/>
          </w:tcPr>
          <w:p w14:paraId="0AB0C3F9" w14:textId="77777777" w:rsidR="000B74B5" w:rsidRPr="003726A9" w:rsidRDefault="000B74B5" w:rsidP="00B705C2">
            <w:pPr>
              <w:jc w:val="center"/>
              <w:rPr>
                <w:rFonts w:ascii="Arabic Typesetting" w:hAnsi="Arabic Typesetting" w:cs="Arabic Typesetting"/>
                <w:b/>
                <w:bCs/>
                <w:color w:val="000000"/>
                <w:sz w:val="28"/>
                <w:szCs w:val="28"/>
              </w:rPr>
            </w:pPr>
            <w:r w:rsidRPr="003726A9">
              <w:rPr>
                <w:rFonts w:ascii="Arabic Typesetting" w:hAnsi="Arabic Typesetting" w:cs="Arabic Typesetting"/>
                <w:b/>
                <w:bCs/>
                <w:color w:val="000000"/>
                <w:sz w:val="28"/>
                <w:szCs w:val="28"/>
              </w:rPr>
              <w:t>19</w:t>
            </w:r>
            <w:r>
              <w:rPr>
                <w:rFonts w:ascii="Arabic Typesetting" w:hAnsi="Arabic Typesetting" w:cs="Arabic Typesetting"/>
                <w:b/>
                <w:bCs/>
                <w:color w:val="000000"/>
                <w:sz w:val="28"/>
                <w:szCs w:val="28"/>
              </w:rPr>
              <w:t> </w:t>
            </w:r>
            <w:r w:rsidRPr="003726A9">
              <w:rPr>
                <w:rFonts w:ascii="Arabic Typesetting" w:hAnsi="Arabic Typesetting" w:cs="Arabic Typesetting"/>
                <w:b/>
                <w:bCs/>
                <w:color w:val="000000"/>
                <w:sz w:val="28"/>
                <w:szCs w:val="28"/>
              </w:rPr>
              <w:t xml:space="preserve">439 </w:t>
            </w:r>
          </w:p>
        </w:tc>
        <w:tc>
          <w:tcPr>
            <w:tcW w:w="970" w:type="pct"/>
            <w:shd w:val="clear" w:color="auto" w:fill="C6D9F1"/>
            <w:vAlign w:val="center"/>
          </w:tcPr>
          <w:p w14:paraId="3A5ACBDF" w14:textId="77777777" w:rsidR="000B74B5" w:rsidRPr="003726A9" w:rsidRDefault="000B74B5" w:rsidP="00B705C2">
            <w:pPr>
              <w:jc w:val="center"/>
              <w:rPr>
                <w:rFonts w:ascii="Arabic Typesetting" w:hAnsi="Arabic Typesetting" w:cs="Arabic Typesetting"/>
                <w:b/>
                <w:bCs/>
                <w:color w:val="000000"/>
                <w:sz w:val="28"/>
                <w:szCs w:val="28"/>
              </w:rPr>
            </w:pPr>
            <w:r w:rsidRPr="003726A9">
              <w:rPr>
                <w:rFonts w:ascii="Arabic Typesetting" w:hAnsi="Arabic Typesetting" w:cs="Arabic Typesetting"/>
                <w:b/>
                <w:bCs/>
                <w:color w:val="000000"/>
                <w:sz w:val="28"/>
                <w:szCs w:val="28"/>
              </w:rPr>
              <w:t>9</w:t>
            </w:r>
            <w:r>
              <w:rPr>
                <w:rFonts w:ascii="Arabic Typesetting" w:hAnsi="Arabic Typesetting" w:cs="Arabic Typesetting"/>
                <w:b/>
                <w:bCs/>
                <w:color w:val="000000"/>
                <w:sz w:val="28"/>
                <w:szCs w:val="28"/>
              </w:rPr>
              <w:t> </w:t>
            </w:r>
            <w:r w:rsidRPr="003726A9">
              <w:rPr>
                <w:rFonts w:ascii="Arabic Typesetting" w:hAnsi="Arabic Typesetting" w:cs="Arabic Typesetting"/>
                <w:b/>
                <w:bCs/>
                <w:color w:val="000000"/>
                <w:sz w:val="28"/>
                <w:szCs w:val="28"/>
              </w:rPr>
              <w:t xml:space="preserve">429 </w:t>
            </w:r>
          </w:p>
        </w:tc>
        <w:tc>
          <w:tcPr>
            <w:tcW w:w="970" w:type="pct"/>
            <w:shd w:val="clear" w:color="auto" w:fill="C6D9F1"/>
            <w:vAlign w:val="center"/>
          </w:tcPr>
          <w:p w14:paraId="484C0E7E" w14:textId="77777777" w:rsidR="000B74B5" w:rsidRPr="003726A9" w:rsidRDefault="000B74B5" w:rsidP="00B705C2">
            <w:pPr>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%49</w:t>
            </w:r>
          </w:p>
        </w:tc>
      </w:tr>
      <w:tr w:rsidR="000B74B5" w:rsidRPr="00211D55" w14:paraId="4167A012" w14:textId="77777777" w:rsidTr="00B705C2">
        <w:trPr>
          <w:trHeight w:val="540"/>
        </w:trPr>
        <w:tc>
          <w:tcPr>
            <w:tcW w:w="5000" w:type="pct"/>
            <w:gridSpan w:val="5"/>
            <w:shd w:val="clear" w:color="auto" w:fill="auto"/>
            <w:noWrap/>
            <w:vAlign w:val="center"/>
          </w:tcPr>
          <w:p w14:paraId="05104184" w14:textId="77777777" w:rsidR="000B74B5" w:rsidRDefault="000B74B5" w:rsidP="00B705C2">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5BAE1BA6" w14:textId="77777777" w:rsidR="000B74B5" w:rsidRPr="00D41845" w:rsidRDefault="000B74B5" w:rsidP="00B705C2">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6297D340" w14:textId="77777777" w:rsidR="000B74B5" w:rsidRPr="000B74B5" w:rsidRDefault="000B74B5" w:rsidP="000B74B5">
      <w:pPr>
        <w:bidi/>
        <w:spacing w:before="240" w:line="340" w:lineRule="exact"/>
        <w:jc w:val="center"/>
        <w:rPr>
          <w:rFonts w:ascii="Arabic Typesetting" w:hAnsi="Arabic Typesetting" w:cs="Arabic Typesetting"/>
          <w:sz w:val="34"/>
          <w:szCs w:val="34"/>
          <w:lang w:bidi="ar-EG"/>
        </w:rPr>
      </w:pPr>
    </w:p>
    <w:p w14:paraId="663D752F" w14:textId="77777777" w:rsidR="00BD3831" w:rsidRPr="00FE3908" w:rsidRDefault="00BD3831" w:rsidP="000B74B5">
      <w:pPr>
        <w:keepNext/>
        <w:keepLines/>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(بحسب النتائج)</w:t>
      </w:r>
    </w:p>
    <w:p w14:paraId="5EC567C9" w14:textId="77777777" w:rsidR="00BD3831" w:rsidRDefault="00BD3831" w:rsidP="000B74B5">
      <w:pPr>
        <w:keepNext/>
        <w:keepLines/>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D3831" w:rsidRPr="00211D55" w14:paraId="51FBAF4C" w14:textId="77777777" w:rsidTr="00DF6715">
        <w:trPr>
          <w:trHeight w:val="825"/>
        </w:trPr>
        <w:tc>
          <w:tcPr>
            <w:tcW w:w="2753" w:type="pct"/>
            <w:gridSpan w:val="2"/>
            <w:shd w:val="clear" w:color="auto" w:fill="C6D9F1"/>
            <w:noWrap/>
            <w:tcMar>
              <w:top w:w="15" w:type="dxa"/>
              <w:left w:w="15" w:type="dxa"/>
              <w:bottom w:w="0" w:type="dxa"/>
              <w:right w:w="15" w:type="dxa"/>
            </w:tcMar>
            <w:vAlign w:val="center"/>
            <w:hideMark/>
          </w:tcPr>
          <w:p w14:paraId="562B7072" w14:textId="77777777" w:rsidR="00BD3831" w:rsidRPr="00A2672B" w:rsidRDefault="00BD3831" w:rsidP="000B74B5">
            <w:pPr>
              <w:keepNext/>
              <w:keepLines/>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5B85AADE" w14:textId="77777777" w:rsidR="00BD3831" w:rsidRPr="00A2672B" w:rsidRDefault="00BD3831" w:rsidP="000B74B5">
            <w:pPr>
              <w:keepNext/>
              <w:keepLines/>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31F8DE3E" w14:textId="77777777" w:rsidR="00BD3831" w:rsidRPr="00A2672B" w:rsidRDefault="00BD3831" w:rsidP="000B74B5">
            <w:pPr>
              <w:keepNext/>
              <w:keepLines/>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3372B0F6" w14:textId="77777777" w:rsidR="00BD3831" w:rsidRPr="00A2672B" w:rsidRDefault="00BD3831" w:rsidP="000B74B5">
            <w:pPr>
              <w:keepNext/>
              <w:keepLines/>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D3831" w:rsidRPr="00211D55" w14:paraId="2C8B7D1B" w14:textId="77777777" w:rsidTr="00DF6715">
        <w:trPr>
          <w:trHeight w:val="55"/>
        </w:trPr>
        <w:tc>
          <w:tcPr>
            <w:tcW w:w="413" w:type="pct"/>
            <w:shd w:val="clear" w:color="auto" w:fill="auto"/>
            <w:noWrap/>
            <w:tcMar>
              <w:top w:w="15" w:type="dxa"/>
              <w:left w:w="15" w:type="dxa"/>
              <w:bottom w:w="0" w:type="dxa"/>
              <w:right w:w="15" w:type="dxa"/>
            </w:tcMar>
          </w:tcPr>
          <w:p w14:paraId="3F80DFF5"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ه2.4</w:t>
            </w:r>
          </w:p>
        </w:tc>
        <w:tc>
          <w:tcPr>
            <w:tcW w:w="2340" w:type="pct"/>
            <w:shd w:val="clear" w:color="auto" w:fill="auto"/>
            <w:tcMar>
              <w:top w:w="15" w:type="dxa"/>
              <w:left w:w="15" w:type="dxa"/>
              <w:bottom w:w="0" w:type="dxa"/>
              <w:right w:w="15" w:type="dxa"/>
            </w:tcMar>
          </w:tcPr>
          <w:p w14:paraId="4E1CA2AE"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نفاذ محسّن إلى المعلومات المتعلقة بالملكية الفكرية واستخدامها من قبل مؤسسات الملكية الفكرية والجمهور لتشجيع الابتكار والإبداع</w:t>
            </w:r>
          </w:p>
        </w:tc>
        <w:tc>
          <w:tcPr>
            <w:tcW w:w="749" w:type="pct"/>
            <w:shd w:val="clear" w:color="auto" w:fill="auto"/>
            <w:tcMar>
              <w:top w:w="15" w:type="dxa"/>
              <w:left w:w="15" w:type="dxa"/>
              <w:bottom w:w="0" w:type="dxa"/>
              <w:right w:w="15" w:type="dxa"/>
            </w:tcMar>
            <w:vAlign w:val="center"/>
          </w:tcPr>
          <w:p w14:paraId="3B99BD89"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357</w:t>
            </w:r>
          </w:p>
        </w:tc>
        <w:tc>
          <w:tcPr>
            <w:tcW w:w="749" w:type="pct"/>
            <w:shd w:val="clear" w:color="auto" w:fill="auto"/>
            <w:tcMar>
              <w:top w:w="15" w:type="dxa"/>
              <w:left w:w="15" w:type="dxa"/>
              <w:bottom w:w="0" w:type="dxa"/>
              <w:right w:w="15" w:type="dxa"/>
            </w:tcMar>
            <w:vAlign w:val="center"/>
          </w:tcPr>
          <w:p w14:paraId="1408FFD2"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265</w:t>
            </w:r>
          </w:p>
        </w:tc>
        <w:tc>
          <w:tcPr>
            <w:tcW w:w="749" w:type="pct"/>
            <w:shd w:val="clear" w:color="auto" w:fill="auto"/>
            <w:noWrap/>
            <w:tcMar>
              <w:top w:w="15" w:type="dxa"/>
              <w:left w:w="15" w:type="dxa"/>
              <w:bottom w:w="0" w:type="dxa"/>
              <w:right w:w="15" w:type="dxa"/>
            </w:tcMar>
            <w:vAlign w:val="center"/>
          </w:tcPr>
          <w:p w14:paraId="384AE6F8"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271</w:t>
            </w:r>
          </w:p>
        </w:tc>
      </w:tr>
      <w:tr w:rsidR="00BD3831" w:rsidRPr="00211D55" w14:paraId="0BF51DDA" w14:textId="77777777" w:rsidTr="00DF6715">
        <w:trPr>
          <w:trHeight w:val="55"/>
        </w:trPr>
        <w:tc>
          <w:tcPr>
            <w:tcW w:w="413" w:type="pct"/>
            <w:shd w:val="clear" w:color="auto" w:fill="auto"/>
            <w:noWrap/>
            <w:tcMar>
              <w:top w:w="15" w:type="dxa"/>
              <w:left w:w="15" w:type="dxa"/>
              <w:bottom w:w="0" w:type="dxa"/>
              <w:right w:w="15" w:type="dxa"/>
            </w:tcMar>
          </w:tcPr>
          <w:p w14:paraId="7E4B3372"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ه1.8</w:t>
            </w:r>
          </w:p>
        </w:tc>
        <w:tc>
          <w:tcPr>
            <w:tcW w:w="2340" w:type="pct"/>
            <w:shd w:val="clear" w:color="auto" w:fill="auto"/>
            <w:tcMar>
              <w:top w:w="15" w:type="dxa"/>
              <w:left w:w="15" w:type="dxa"/>
              <w:bottom w:w="0" w:type="dxa"/>
              <w:right w:w="15" w:type="dxa"/>
            </w:tcMar>
          </w:tcPr>
          <w:p w14:paraId="260196EC"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التواصل بفعالية أكبر مع جمهور أوسع بشأن الملكية الفكرية ودور الويبو</w:t>
            </w:r>
          </w:p>
        </w:tc>
        <w:tc>
          <w:tcPr>
            <w:tcW w:w="749" w:type="pct"/>
            <w:shd w:val="clear" w:color="auto" w:fill="auto"/>
            <w:tcMar>
              <w:top w:w="15" w:type="dxa"/>
              <w:left w:w="15" w:type="dxa"/>
              <w:bottom w:w="0" w:type="dxa"/>
              <w:right w:w="15" w:type="dxa"/>
            </w:tcMar>
            <w:vAlign w:val="center"/>
          </w:tcPr>
          <w:p w14:paraId="2607B4FA"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0</w:t>
            </w:r>
          </w:p>
        </w:tc>
        <w:tc>
          <w:tcPr>
            <w:tcW w:w="749" w:type="pct"/>
            <w:shd w:val="clear" w:color="auto" w:fill="auto"/>
            <w:tcMar>
              <w:top w:w="15" w:type="dxa"/>
              <w:left w:w="15" w:type="dxa"/>
              <w:bottom w:w="0" w:type="dxa"/>
              <w:right w:w="15" w:type="dxa"/>
            </w:tcMar>
            <w:vAlign w:val="center"/>
          </w:tcPr>
          <w:p w14:paraId="10B69B1D"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109</w:t>
            </w:r>
          </w:p>
        </w:tc>
        <w:tc>
          <w:tcPr>
            <w:tcW w:w="749" w:type="pct"/>
            <w:shd w:val="clear" w:color="auto" w:fill="auto"/>
            <w:noWrap/>
            <w:tcMar>
              <w:top w:w="15" w:type="dxa"/>
              <w:left w:w="15" w:type="dxa"/>
              <w:bottom w:w="0" w:type="dxa"/>
              <w:right w:w="15" w:type="dxa"/>
            </w:tcMar>
            <w:vAlign w:val="center"/>
          </w:tcPr>
          <w:p w14:paraId="4869552B"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15</w:t>
            </w:r>
          </w:p>
        </w:tc>
      </w:tr>
      <w:tr w:rsidR="00BD3831" w:rsidRPr="00211D55" w14:paraId="6B63E1A6" w14:textId="77777777" w:rsidTr="00DF6715">
        <w:trPr>
          <w:trHeight w:val="735"/>
        </w:trPr>
        <w:tc>
          <w:tcPr>
            <w:tcW w:w="413" w:type="pct"/>
            <w:shd w:val="clear" w:color="auto" w:fill="auto"/>
            <w:noWrap/>
            <w:tcMar>
              <w:top w:w="15" w:type="dxa"/>
              <w:left w:w="15" w:type="dxa"/>
              <w:bottom w:w="0" w:type="dxa"/>
              <w:right w:w="15" w:type="dxa"/>
            </w:tcMar>
          </w:tcPr>
          <w:p w14:paraId="5586F5C2"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ه3.8</w:t>
            </w:r>
          </w:p>
        </w:tc>
        <w:tc>
          <w:tcPr>
            <w:tcW w:w="2340" w:type="pct"/>
            <w:shd w:val="clear" w:color="auto" w:fill="auto"/>
            <w:tcMar>
              <w:top w:w="15" w:type="dxa"/>
              <w:left w:w="15" w:type="dxa"/>
              <w:bottom w:w="0" w:type="dxa"/>
              <w:right w:w="15" w:type="dxa"/>
            </w:tcMar>
          </w:tcPr>
          <w:p w14:paraId="358EEAD8"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التزام فعال مع الدول الأعضاء</w:t>
            </w:r>
          </w:p>
        </w:tc>
        <w:tc>
          <w:tcPr>
            <w:tcW w:w="749" w:type="pct"/>
            <w:shd w:val="clear" w:color="auto" w:fill="auto"/>
            <w:tcMar>
              <w:top w:w="15" w:type="dxa"/>
              <w:left w:w="15" w:type="dxa"/>
              <w:bottom w:w="0" w:type="dxa"/>
              <w:right w:w="15" w:type="dxa"/>
            </w:tcMar>
            <w:vAlign w:val="center"/>
          </w:tcPr>
          <w:p w14:paraId="46D4325E"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7</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099</w:t>
            </w:r>
          </w:p>
        </w:tc>
        <w:tc>
          <w:tcPr>
            <w:tcW w:w="749" w:type="pct"/>
            <w:shd w:val="clear" w:color="auto" w:fill="auto"/>
            <w:tcMar>
              <w:top w:w="15" w:type="dxa"/>
              <w:left w:w="15" w:type="dxa"/>
              <w:bottom w:w="0" w:type="dxa"/>
              <w:right w:w="15" w:type="dxa"/>
            </w:tcMar>
            <w:vAlign w:val="center"/>
          </w:tcPr>
          <w:p w14:paraId="559D0814"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7</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040</w:t>
            </w:r>
          </w:p>
        </w:tc>
        <w:tc>
          <w:tcPr>
            <w:tcW w:w="749" w:type="pct"/>
            <w:shd w:val="clear" w:color="auto" w:fill="auto"/>
            <w:noWrap/>
            <w:tcMar>
              <w:top w:w="15" w:type="dxa"/>
              <w:left w:w="15" w:type="dxa"/>
              <w:bottom w:w="0" w:type="dxa"/>
              <w:right w:w="15" w:type="dxa"/>
            </w:tcMar>
            <w:vAlign w:val="center"/>
          </w:tcPr>
          <w:p w14:paraId="044BCF7F"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459</w:t>
            </w:r>
          </w:p>
        </w:tc>
      </w:tr>
      <w:tr w:rsidR="00BD3831" w:rsidRPr="00211D55" w14:paraId="4CA4FEA4" w14:textId="77777777" w:rsidTr="00DF6715">
        <w:trPr>
          <w:trHeight w:val="735"/>
        </w:trPr>
        <w:tc>
          <w:tcPr>
            <w:tcW w:w="413" w:type="pct"/>
            <w:shd w:val="clear" w:color="auto" w:fill="auto"/>
            <w:noWrap/>
            <w:tcMar>
              <w:top w:w="15" w:type="dxa"/>
              <w:left w:w="15" w:type="dxa"/>
              <w:bottom w:w="0" w:type="dxa"/>
              <w:right w:w="15" w:type="dxa"/>
            </w:tcMar>
          </w:tcPr>
          <w:p w14:paraId="71D48514"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ه4.8</w:t>
            </w:r>
          </w:p>
        </w:tc>
        <w:tc>
          <w:tcPr>
            <w:tcW w:w="2340" w:type="pct"/>
            <w:shd w:val="clear" w:color="auto" w:fill="auto"/>
            <w:tcMar>
              <w:top w:w="15" w:type="dxa"/>
              <w:left w:w="15" w:type="dxa"/>
              <w:bottom w:w="0" w:type="dxa"/>
              <w:right w:w="15" w:type="dxa"/>
            </w:tcMar>
          </w:tcPr>
          <w:p w14:paraId="01024023"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تفاعل منفتح وشفاف ومتجاوب مع أصحاب المصلحة غير الحكوميين</w:t>
            </w:r>
          </w:p>
        </w:tc>
        <w:tc>
          <w:tcPr>
            <w:tcW w:w="749" w:type="pct"/>
            <w:shd w:val="clear" w:color="auto" w:fill="auto"/>
            <w:tcMar>
              <w:top w:w="15" w:type="dxa"/>
              <w:left w:w="15" w:type="dxa"/>
              <w:bottom w:w="0" w:type="dxa"/>
              <w:right w:w="15" w:type="dxa"/>
            </w:tcMar>
            <w:vAlign w:val="center"/>
          </w:tcPr>
          <w:p w14:paraId="4E633988"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462</w:t>
            </w:r>
          </w:p>
        </w:tc>
        <w:tc>
          <w:tcPr>
            <w:tcW w:w="749" w:type="pct"/>
            <w:shd w:val="clear" w:color="auto" w:fill="auto"/>
            <w:tcMar>
              <w:top w:w="15" w:type="dxa"/>
              <w:left w:w="15" w:type="dxa"/>
              <w:bottom w:w="0" w:type="dxa"/>
              <w:right w:w="15" w:type="dxa"/>
            </w:tcMar>
            <w:vAlign w:val="center"/>
          </w:tcPr>
          <w:p w14:paraId="4FA306CD"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374</w:t>
            </w:r>
          </w:p>
        </w:tc>
        <w:tc>
          <w:tcPr>
            <w:tcW w:w="749" w:type="pct"/>
            <w:shd w:val="clear" w:color="auto" w:fill="auto"/>
            <w:noWrap/>
            <w:tcMar>
              <w:top w:w="15" w:type="dxa"/>
              <w:left w:w="15" w:type="dxa"/>
              <w:bottom w:w="0" w:type="dxa"/>
              <w:right w:w="15" w:type="dxa"/>
            </w:tcMar>
            <w:vAlign w:val="center"/>
          </w:tcPr>
          <w:p w14:paraId="3C48B719"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188</w:t>
            </w:r>
          </w:p>
        </w:tc>
      </w:tr>
      <w:tr w:rsidR="00BD3831" w:rsidRPr="00211D55" w14:paraId="2A04DEA2" w14:textId="77777777" w:rsidTr="00DF6715">
        <w:trPr>
          <w:trHeight w:val="735"/>
        </w:trPr>
        <w:tc>
          <w:tcPr>
            <w:tcW w:w="413" w:type="pct"/>
            <w:shd w:val="clear" w:color="auto" w:fill="auto"/>
            <w:noWrap/>
            <w:tcMar>
              <w:top w:w="15" w:type="dxa"/>
              <w:left w:w="15" w:type="dxa"/>
              <w:bottom w:w="0" w:type="dxa"/>
              <w:right w:w="15" w:type="dxa"/>
            </w:tcMar>
          </w:tcPr>
          <w:p w14:paraId="70C9BB22"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ه5.8</w:t>
            </w:r>
          </w:p>
        </w:tc>
        <w:tc>
          <w:tcPr>
            <w:tcW w:w="2340" w:type="pct"/>
            <w:shd w:val="clear" w:color="auto" w:fill="auto"/>
            <w:tcMar>
              <w:top w:w="15" w:type="dxa"/>
              <w:left w:w="15" w:type="dxa"/>
              <w:bottom w:w="0" w:type="dxa"/>
              <w:right w:w="15" w:type="dxa"/>
            </w:tcMar>
          </w:tcPr>
          <w:p w14:paraId="061CF43A"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shd w:val="clear" w:color="auto" w:fill="auto"/>
            <w:tcMar>
              <w:top w:w="15" w:type="dxa"/>
              <w:left w:w="15" w:type="dxa"/>
              <w:bottom w:w="0" w:type="dxa"/>
              <w:right w:w="15" w:type="dxa"/>
            </w:tcMar>
            <w:vAlign w:val="center"/>
          </w:tcPr>
          <w:p w14:paraId="1FD205B3"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157</w:t>
            </w:r>
          </w:p>
        </w:tc>
        <w:tc>
          <w:tcPr>
            <w:tcW w:w="749" w:type="pct"/>
            <w:shd w:val="clear" w:color="auto" w:fill="auto"/>
            <w:tcMar>
              <w:top w:w="15" w:type="dxa"/>
              <w:left w:w="15" w:type="dxa"/>
              <w:bottom w:w="0" w:type="dxa"/>
              <w:right w:w="15" w:type="dxa"/>
            </w:tcMar>
            <w:vAlign w:val="center"/>
          </w:tcPr>
          <w:p w14:paraId="57317972"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132</w:t>
            </w:r>
          </w:p>
        </w:tc>
        <w:tc>
          <w:tcPr>
            <w:tcW w:w="749" w:type="pct"/>
            <w:shd w:val="clear" w:color="auto" w:fill="auto"/>
            <w:noWrap/>
            <w:tcMar>
              <w:top w:w="15" w:type="dxa"/>
              <w:left w:w="15" w:type="dxa"/>
              <w:bottom w:w="0" w:type="dxa"/>
              <w:right w:w="15" w:type="dxa"/>
            </w:tcMar>
            <w:vAlign w:val="center"/>
          </w:tcPr>
          <w:p w14:paraId="200CE6F4"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61</w:t>
            </w:r>
          </w:p>
        </w:tc>
      </w:tr>
      <w:tr w:rsidR="00BD3831" w:rsidRPr="00211D55" w14:paraId="0D2346F9" w14:textId="77777777" w:rsidTr="00DF6715">
        <w:trPr>
          <w:trHeight w:val="735"/>
        </w:trPr>
        <w:tc>
          <w:tcPr>
            <w:tcW w:w="413" w:type="pct"/>
            <w:shd w:val="clear" w:color="auto" w:fill="auto"/>
            <w:noWrap/>
            <w:tcMar>
              <w:top w:w="15" w:type="dxa"/>
              <w:left w:w="15" w:type="dxa"/>
              <w:bottom w:w="0" w:type="dxa"/>
              <w:right w:w="15" w:type="dxa"/>
            </w:tcMar>
          </w:tcPr>
          <w:p w14:paraId="17DDA4FA"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ه1.9</w:t>
            </w:r>
          </w:p>
        </w:tc>
        <w:tc>
          <w:tcPr>
            <w:tcW w:w="2340" w:type="pct"/>
            <w:shd w:val="clear" w:color="auto" w:fill="auto"/>
            <w:tcMar>
              <w:top w:w="15" w:type="dxa"/>
              <w:left w:w="15" w:type="dxa"/>
              <w:bottom w:w="0" w:type="dxa"/>
              <w:right w:w="15" w:type="dxa"/>
            </w:tcMar>
          </w:tcPr>
          <w:p w14:paraId="2D0EC02C"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خدمات دعم موجهة للزبون بفعالية وكفاءة وجودة لفائدة الزبائن الداخليين وأصحاب المصلحة الخارجيين</w:t>
            </w:r>
          </w:p>
        </w:tc>
        <w:tc>
          <w:tcPr>
            <w:tcW w:w="749" w:type="pct"/>
            <w:shd w:val="clear" w:color="auto" w:fill="auto"/>
            <w:tcMar>
              <w:top w:w="15" w:type="dxa"/>
              <w:left w:w="15" w:type="dxa"/>
              <w:bottom w:w="0" w:type="dxa"/>
              <w:right w:w="15" w:type="dxa"/>
            </w:tcMar>
            <w:vAlign w:val="center"/>
          </w:tcPr>
          <w:p w14:paraId="29EF180D"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694</w:t>
            </w:r>
          </w:p>
        </w:tc>
        <w:tc>
          <w:tcPr>
            <w:tcW w:w="749" w:type="pct"/>
            <w:shd w:val="clear" w:color="auto" w:fill="auto"/>
            <w:tcMar>
              <w:top w:w="15" w:type="dxa"/>
              <w:left w:w="15" w:type="dxa"/>
              <w:bottom w:w="0" w:type="dxa"/>
              <w:right w:w="15" w:type="dxa"/>
            </w:tcMar>
            <w:vAlign w:val="center"/>
          </w:tcPr>
          <w:p w14:paraId="547A69D0"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649</w:t>
            </w:r>
          </w:p>
        </w:tc>
        <w:tc>
          <w:tcPr>
            <w:tcW w:w="749" w:type="pct"/>
            <w:shd w:val="clear" w:color="auto" w:fill="auto"/>
            <w:noWrap/>
            <w:tcMar>
              <w:top w:w="15" w:type="dxa"/>
              <w:left w:w="15" w:type="dxa"/>
              <w:bottom w:w="0" w:type="dxa"/>
              <w:right w:w="15" w:type="dxa"/>
            </w:tcMar>
            <w:vAlign w:val="center"/>
          </w:tcPr>
          <w:p w14:paraId="773A2827"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736</w:t>
            </w:r>
          </w:p>
        </w:tc>
      </w:tr>
      <w:tr w:rsidR="00BD3831" w:rsidRPr="00211D55" w14:paraId="69BB970D" w14:textId="77777777" w:rsidTr="00DF6715">
        <w:trPr>
          <w:trHeight w:val="735"/>
        </w:trPr>
        <w:tc>
          <w:tcPr>
            <w:tcW w:w="413" w:type="pct"/>
            <w:shd w:val="clear" w:color="auto" w:fill="auto"/>
            <w:noWrap/>
            <w:tcMar>
              <w:top w:w="15" w:type="dxa"/>
              <w:left w:w="15" w:type="dxa"/>
              <w:bottom w:w="0" w:type="dxa"/>
              <w:right w:w="15" w:type="dxa"/>
            </w:tcMar>
          </w:tcPr>
          <w:p w14:paraId="1D667A07"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ه2.9</w:t>
            </w:r>
          </w:p>
        </w:tc>
        <w:tc>
          <w:tcPr>
            <w:tcW w:w="2340" w:type="pct"/>
            <w:shd w:val="clear" w:color="auto" w:fill="auto"/>
            <w:tcMar>
              <w:top w:w="15" w:type="dxa"/>
              <w:left w:w="15" w:type="dxa"/>
              <w:bottom w:w="0" w:type="dxa"/>
              <w:right w:w="15" w:type="dxa"/>
            </w:tcMar>
          </w:tcPr>
          <w:p w14:paraId="7F642186" w14:textId="5ED5E59D" w:rsidR="00BD3831" w:rsidRPr="003726A9" w:rsidRDefault="002920A9" w:rsidP="000B74B5">
            <w:pPr>
              <w:keepNext/>
              <w:keepLines/>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أمانة نبيهة تعمل بسلاسة وموظفون يعملون تحت إدارة جيّدة وبمهارات مناسبة ويحققون النتائج بكفاءة</w:t>
            </w:r>
          </w:p>
        </w:tc>
        <w:tc>
          <w:tcPr>
            <w:tcW w:w="749" w:type="pct"/>
            <w:shd w:val="clear" w:color="auto" w:fill="auto"/>
            <w:tcMar>
              <w:top w:w="15" w:type="dxa"/>
              <w:left w:w="15" w:type="dxa"/>
              <w:bottom w:w="0" w:type="dxa"/>
              <w:right w:w="15" w:type="dxa"/>
            </w:tcMar>
            <w:vAlign w:val="center"/>
          </w:tcPr>
          <w:p w14:paraId="3F6720B8"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5</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992</w:t>
            </w:r>
          </w:p>
        </w:tc>
        <w:tc>
          <w:tcPr>
            <w:tcW w:w="749" w:type="pct"/>
            <w:shd w:val="clear" w:color="auto" w:fill="auto"/>
            <w:tcMar>
              <w:top w:w="15" w:type="dxa"/>
              <w:left w:w="15" w:type="dxa"/>
              <w:bottom w:w="0" w:type="dxa"/>
              <w:right w:w="15" w:type="dxa"/>
            </w:tcMar>
            <w:vAlign w:val="center"/>
          </w:tcPr>
          <w:p w14:paraId="725F033D"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6</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961</w:t>
            </w:r>
          </w:p>
        </w:tc>
        <w:tc>
          <w:tcPr>
            <w:tcW w:w="749" w:type="pct"/>
            <w:shd w:val="clear" w:color="auto" w:fill="auto"/>
            <w:noWrap/>
            <w:tcMar>
              <w:top w:w="15" w:type="dxa"/>
              <w:left w:w="15" w:type="dxa"/>
              <w:bottom w:w="0" w:type="dxa"/>
              <w:right w:w="15" w:type="dxa"/>
            </w:tcMar>
            <w:vAlign w:val="center"/>
          </w:tcPr>
          <w:p w14:paraId="420C378B"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3726A9">
              <w:rPr>
                <w:rFonts w:ascii="Arabic Typesetting" w:hAnsi="Arabic Typesetting" w:cs="Arabic Typesetting"/>
                <w:color w:val="000000"/>
                <w:sz w:val="28"/>
                <w:szCs w:val="28"/>
              </w:rPr>
              <w:t>231</w:t>
            </w:r>
          </w:p>
        </w:tc>
      </w:tr>
      <w:tr w:rsidR="00BD3831" w:rsidRPr="00211D55" w14:paraId="2AA62BD4" w14:textId="77777777" w:rsidTr="00DF6715">
        <w:trPr>
          <w:trHeight w:val="735"/>
        </w:trPr>
        <w:tc>
          <w:tcPr>
            <w:tcW w:w="413" w:type="pct"/>
            <w:shd w:val="clear" w:color="auto" w:fill="auto"/>
            <w:noWrap/>
            <w:tcMar>
              <w:top w:w="15" w:type="dxa"/>
              <w:left w:w="15" w:type="dxa"/>
              <w:bottom w:w="0" w:type="dxa"/>
              <w:right w:w="15" w:type="dxa"/>
            </w:tcMar>
          </w:tcPr>
          <w:p w14:paraId="5C9EB978"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ه3.9</w:t>
            </w:r>
          </w:p>
        </w:tc>
        <w:tc>
          <w:tcPr>
            <w:tcW w:w="2340" w:type="pct"/>
            <w:shd w:val="clear" w:color="auto" w:fill="auto"/>
            <w:tcMar>
              <w:top w:w="15" w:type="dxa"/>
              <w:left w:w="15" w:type="dxa"/>
              <w:bottom w:w="0" w:type="dxa"/>
              <w:right w:w="15" w:type="dxa"/>
            </w:tcMar>
          </w:tcPr>
          <w:p w14:paraId="503E1213" w14:textId="77777777" w:rsidR="00BD3831" w:rsidRPr="003726A9" w:rsidRDefault="00BD3831" w:rsidP="000B74B5">
            <w:pPr>
              <w:keepNext/>
              <w:keepLines/>
              <w:bidi/>
              <w:spacing w:before="120" w:after="120"/>
              <w:rPr>
                <w:rFonts w:ascii="Arabic Typesetting" w:hAnsi="Arabic Typesetting" w:cs="Arabic Typesetting"/>
                <w:sz w:val="28"/>
                <w:szCs w:val="28"/>
              </w:rPr>
            </w:pPr>
            <w:r w:rsidRPr="003726A9">
              <w:rPr>
                <w:rFonts w:ascii="Arabic Typesetting" w:hAnsi="Arabic Typesetting" w:cs="Arabic Typesetting"/>
                <w:sz w:val="28"/>
                <w:szCs w:val="28"/>
                <w:rtl/>
              </w:rPr>
              <w:t>بيئة عمل داعمة ومسنودة بإطار تنظيمي فعال وقنوات فعالة لمعالجة مشاغل الموظفين</w:t>
            </w:r>
          </w:p>
        </w:tc>
        <w:tc>
          <w:tcPr>
            <w:tcW w:w="749" w:type="pct"/>
            <w:shd w:val="clear" w:color="auto" w:fill="auto"/>
            <w:tcMar>
              <w:top w:w="15" w:type="dxa"/>
              <w:left w:w="15" w:type="dxa"/>
              <w:bottom w:w="0" w:type="dxa"/>
              <w:right w:w="15" w:type="dxa"/>
            </w:tcMar>
            <w:vAlign w:val="center"/>
          </w:tcPr>
          <w:p w14:paraId="784848CD"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914</w:t>
            </w:r>
          </w:p>
        </w:tc>
        <w:tc>
          <w:tcPr>
            <w:tcW w:w="749" w:type="pct"/>
            <w:shd w:val="clear" w:color="auto" w:fill="auto"/>
            <w:tcMar>
              <w:top w:w="15" w:type="dxa"/>
              <w:left w:w="15" w:type="dxa"/>
              <w:bottom w:w="0" w:type="dxa"/>
              <w:right w:w="15" w:type="dxa"/>
            </w:tcMar>
            <w:vAlign w:val="center"/>
          </w:tcPr>
          <w:p w14:paraId="081DE1E1"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909</w:t>
            </w:r>
          </w:p>
        </w:tc>
        <w:tc>
          <w:tcPr>
            <w:tcW w:w="749" w:type="pct"/>
            <w:shd w:val="clear" w:color="auto" w:fill="auto"/>
            <w:noWrap/>
            <w:tcMar>
              <w:top w:w="15" w:type="dxa"/>
              <w:left w:w="15" w:type="dxa"/>
              <w:bottom w:w="0" w:type="dxa"/>
              <w:right w:w="15" w:type="dxa"/>
            </w:tcMar>
            <w:vAlign w:val="center"/>
          </w:tcPr>
          <w:p w14:paraId="7D6F1C86" w14:textId="77777777" w:rsidR="00BD3831" w:rsidRPr="003726A9" w:rsidRDefault="00BD3831" w:rsidP="000B74B5">
            <w:pPr>
              <w:keepNext/>
              <w:keepLines/>
              <w:jc w:val="center"/>
              <w:rPr>
                <w:rFonts w:ascii="Arabic Typesetting" w:hAnsi="Arabic Typesetting" w:cs="Arabic Typesetting"/>
                <w:color w:val="000000"/>
                <w:sz w:val="28"/>
                <w:szCs w:val="28"/>
              </w:rPr>
            </w:pPr>
            <w:r w:rsidRPr="003726A9">
              <w:rPr>
                <w:rFonts w:ascii="Arabic Typesetting" w:hAnsi="Arabic Typesetting" w:cs="Arabic Typesetting"/>
                <w:color w:val="000000"/>
                <w:sz w:val="28"/>
                <w:szCs w:val="28"/>
              </w:rPr>
              <w:t>468</w:t>
            </w:r>
          </w:p>
        </w:tc>
      </w:tr>
      <w:tr w:rsidR="00BD3831" w:rsidRPr="00211D55" w14:paraId="2F3698BA" w14:textId="77777777" w:rsidTr="00DF6715">
        <w:trPr>
          <w:trHeight w:val="225"/>
        </w:trPr>
        <w:tc>
          <w:tcPr>
            <w:tcW w:w="413" w:type="pct"/>
            <w:shd w:val="clear" w:color="auto" w:fill="C6D9F1"/>
            <w:noWrap/>
            <w:tcMar>
              <w:top w:w="15" w:type="dxa"/>
              <w:left w:w="15" w:type="dxa"/>
              <w:bottom w:w="0" w:type="dxa"/>
              <w:right w:w="15" w:type="dxa"/>
            </w:tcMar>
            <w:vAlign w:val="bottom"/>
            <w:hideMark/>
          </w:tcPr>
          <w:p w14:paraId="43EC3444" w14:textId="77777777" w:rsidR="00BD3831" w:rsidRPr="00211D55" w:rsidRDefault="00BD3831" w:rsidP="000B74B5">
            <w:pPr>
              <w:keepNext/>
              <w:keepLines/>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579DDCC8" w14:textId="77777777" w:rsidR="00BD3831" w:rsidRPr="00280D1A" w:rsidRDefault="00BD3831" w:rsidP="000B74B5">
            <w:pPr>
              <w:keepNext/>
              <w:keepLines/>
              <w:bidi/>
              <w:jc w:val="right"/>
              <w:rPr>
                <w:rFonts w:ascii="Arabic Typesetting" w:hAnsi="Arabic Typesetting" w:cs="Arabic Typesetting"/>
                <w:b/>
                <w:bCs/>
                <w:sz w:val="28"/>
                <w:szCs w:val="28"/>
              </w:rPr>
            </w:pPr>
            <w:r w:rsidRPr="00280D1A">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5E2BDAD1" w14:textId="77777777" w:rsidR="00BD3831" w:rsidRPr="00280D1A" w:rsidRDefault="00BD3831" w:rsidP="000B74B5">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20 675</w:t>
            </w:r>
          </w:p>
        </w:tc>
        <w:tc>
          <w:tcPr>
            <w:tcW w:w="749" w:type="pct"/>
            <w:shd w:val="clear" w:color="auto" w:fill="C6D9F1"/>
            <w:noWrap/>
            <w:tcMar>
              <w:top w:w="15" w:type="dxa"/>
              <w:left w:w="15" w:type="dxa"/>
              <w:bottom w:w="0" w:type="dxa"/>
              <w:right w:w="15" w:type="dxa"/>
            </w:tcMar>
            <w:vAlign w:val="center"/>
          </w:tcPr>
          <w:p w14:paraId="53766EEC" w14:textId="77777777" w:rsidR="00BD3831" w:rsidRPr="00280D1A" w:rsidRDefault="00BD3831" w:rsidP="000B74B5">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19 439</w:t>
            </w:r>
          </w:p>
        </w:tc>
        <w:tc>
          <w:tcPr>
            <w:tcW w:w="749" w:type="pct"/>
            <w:shd w:val="clear" w:color="auto" w:fill="C6D9F1"/>
            <w:noWrap/>
            <w:tcMar>
              <w:top w:w="15" w:type="dxa"/>
              <w:left w:w="15" w:type="dxa"/>
              <w:bottom w:w="0" w:type="dxa"/>
              <w:right w:w="15" w:type="dxa"/>
            </w:tcMar>
            <w:vAlign w:val="center"/>
          </w:tcPr>
          <w:p w14:paraId="018A3C43" w14:textId="77777777" w:rsidR="00BD3831" w:rsidRPr="00280D1A" w:rsidRDefault="00BD3831" w:rsidP="000B74B5">
            <w:pPr>
              <w:keepNext/>
              <w:keepLines/>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9 429</w:t>
            </w:r>
          </w:p>
        </w:tc>
      </w:tr>
      <w:tr w:rsidR="00BD3831" w:rsidRPr="00211D55" w14:paraId="4C116AB7" w14:textId="77777777" w:rsidTr="00DF6715">
        <w:trPr>
          <w:trHeight w:val="225"/>
        </w:trPr>
        <w:tc>
          <w:tcPr>
            <w:tcW w:w="5000" w:type="pct"/>
            <w:gridSpan w:val="5"/>
            <w:shd w:val="clear" w:color="auto" w:fill="auto"/>
            <w:noWrap/>
            <w:tcMar>
              <w:top w:w="15" w:type="dxa"/>
              <w:left w:w="15" w:type="dxa"/>
              <w:bottom w:w="0" w:type="dxa"/>
              <w:right w:w="15" w:type="dxa"/>
            </w:tcMar>
            <w:vAlign w:val="bottom"/>
          </w:tcPr>
          <w:p w14:paraId="5C8DEEDD" w14:textId="77777777" w:rsidR="00BD3831" w:rsidRPr="00A2672B" w:rsidRDefault="00BD3831" w:rsidP="000B74B5">
            <w:pPr>
              <w:keepNext/>
              <w:keepLines/>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3B743F15" w14:textId="77777777" w:rsidR="00BD3831" w:rsidRPr="00706F20" w:rsidRDefault="00BD3831"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75A4D953" w14:textId="77777777" w:rsidR="00BD3831" w:rsidRPr="003726A9" w:rsidRDefault="00BD3831" w:rsidP="00D94CDB">
      <w:pPr>
        <w:numPr>
          <w:ilvl w:val="1"/>
          <w:numId w:val="89"/>
        </w:numPr>
        <w:bidi/>
        <w:spacing w:after="240" w:line="360" w:lineRule="exact"/>
        <w:ind w:left="0" w:hanging="1"/>
        <w:rPr>
          <w:rFonts w:ascii="Arabic Typesetting" w:hAnsi="Arabic Typesetting" w:cs="Arabic Typesetting"/>
          <w:sz w:val="34"/>
          <w:szCs w:val="34"/>
          <w:rtl/>
          <w:lang w:bidi="ar-EG"/>
        </w:rPr>
      </w:pPr>
      <w:r w:rsidRPr="003726A9">
        <w:rPr>
          <w:rFonts w:ascii="Arabic Typesetting" w:hAnsi="Arabic Typesetting" w:cs="Arabic Typesetting"/>
          <w:sz w:val="34"/>
          <w:szCs w:val="34"/>
          <w:rtl/>
          <w:lang w:bidi="ar-EG"/>
        </w:rPr>
        <w:t xml:space="preserve">يُعزى انخفاض موارد الموظفين مقارنة بالميزانية المعتمدة 2016/17 أساساً إلى نقل قاعدة بيانات ويبو ليكس إلى قواعد البيانات العالمية </w:t>
      </w:r>
      <w:r>
        <w:rPr>
          <w:rFonts w:ascii="Arabic Typesetting" w:hAnsi="Arabic Typesetting" w:cs="Arabic Typesetting"/>
          <w:sz w:val="34"/>
          <w:szCs w:val="34"/>
          <w:rtl/>
          <w:lang w:bidi="ar-EG"/>
        </w:rPr>
        <w:t>(البرنامج 13).</w:t>
      </w:r>
      <w:r w:rsidRPr="003726A9">
        <w:rPr>
          <w:rFonts w:ascii="Arabic Typesetting" w:hAnsi="Arabic Typesetting" w:cs="Arabic Typesetting"/>
          <w:sz w:val="34"/>
          <w:szCs w:val="34"/>
          <w:rtl/>
          <w:lang w:bidi="ar-EG"/>
        </w:rPr>
        <w:t xml:space="preserve"> وأدى ذلك إلى انخفاض في الموارد المخصصة للنتيجة المرتقبة ه2.4 (نفاذ محسّن إلى المعلومات المتعلقة بالملكية الفكرية)</w:t>
      </w:r>
      <w:r w:rsidRPr="003726A9">
        <w:rPr>
          <w:rFonts w:ascii="Arabic Typesetting" w:hAnsi="Arabic Typesetting" w:cs="Arabic Typesetting" w:hint="cs"/>
          <w:sz w:val="34"/>
          <w:szCs w:val="34"/>
          <w:rtl/>
          <w:lang w:bidi="ar-EG"/>
        </w:rPr>
        <w:t>.</w:t>
      </w:r>
    </w:p>
    <w:p w14:paraId="5032370B" w14:textId="45223368" w:rsidR="00BD3831" w:rsidRDefault="00BD3831" w:rsidP="00FF57F6">
      <w:pPr>
        <w:numPr>
          <w:ilvl w:val="1"/>
          <w:numId w:val="89"/>
        </w:numPr>
        <w:bidi/>
        <w:spacing w:after="240" w:line="360" w:lineRule="exact"/>
        <w:ind w:left="0" w:hanging="1"/>
        <w:rPr>
          <w:rFonts w:ascii="Arabic Typesetting" w:hAnsi="Arabic Typesetting" w:cs="Arabic Typesetting"/>
          <w:sz w:val="34"/>
          <w:szCs w:val="34"/>
        </w:rPr>
      </w:pPr>
      <w:r w:rsidRPr="003726A9">
        <w:rPr>
          <w:rFonts w:ascii="Arabic Typesetting" w:hAnsi="Arabic Typesetting" w:cs="Arabic Typesetting"/>
          <w:sz w:val="34"/>
          <w:szCs w:val="34"/>
          <w:rtl/>
          <w:lang w:bidi="ar-EG"/>
        </w:rPr>
        <w:t>وتُعزى الزيادة في خلاف موارد الموظفين أساساً إلى تعزي</w:t>
      </w:r>
      <w:r>
        <w:rPr>
          <w:rFonts w:ascii="Arabic Typesetting" w:hAnsi="Arabic Typesetting" w:cs="Arabic Typesetting"/>
          <w:sz w:val="34"/>
          <w:szCs w:val="34"/>
          <w:rtl/>
          <w:lang w:bidi="ar-EG"/>
        </w:rPr>
        <w:t>ز البرنامج بموارد إضافية لتغطية</w:t>
      </w:r>
      <w:r w:rsidRPr="003726A9">
        <w:rPr>
          <w:rFonts w:ascii="Arabic Typesetting" w:hAnsi="Arabic Typesetting" w:cs="Arabic Typesetting"/>
          <w:sz w:val="34"/>
          <w:szCs w:val="34"/>
          <w:rtl/>
          <w:lang w:bidi="ar-EG"/>
        </w:rPr>
        <w:t xml:space="preserve"> "1" تنظيم </w:t>
      </w:r>
      <w:r w:rsidRPr="00F20129">
        <w:rPr>
          <w:rFonts w:ascii="Arabic Typesetting" w:hAnsi="Arabic Typesetting" w:cs="Arabic Typesetting"/>
          <w:sz w:val="34"/>
          <w:szCs w:val="34"/>
          <w:rtl/>
        </w:rPr>
        <w:t xml:space="preserve">مؤتمر الويبو الدولي بشأن أسواق </w:t>
      </w:r>
      <w:r>
        <w:rPr>
          <w:rFonts w:ascii="Arabic Typesetting" w:hAnsi="Arabic Typesetting" w:cs="Arabic Typesetting"/>
          <w:sz w:val="34"/>
          <w:szCs w:val="34"/>
          <w:rtl/>
        </w:rPr>
        <w:t>المواد الرقمية العالمية</w:t>
      </w:r>
      <w:r w:rsidRPr="003726A9">
        <w:rPr>
          <w:rFonts w:ascii="Arabic Typesetting" w:hAnsi="Arabic Typesetting" w:cs="Arabic Typesetting"/>
          <w:sz w:val="34"/>
          <w:szCs w:val="34"/>
          <w:rtl/>
          <w:lang w:bidi="ar-EG"/>
        </w:rPr>
        <w:t>؛ "2" وتنظيم تظاهرات مختلفة في مرافق الويبو؛ "3" والأنشطة المتعلقة بالبروتوكول وكلها مدرجة في النتيجة المرتقبة ه3.8 (التزام فعال مع الدول الأعضاء)؛ و"4" وتكاليف الاستضافة المتعلقة بجمعيات الويبو في إطار النتيجة ا</w:t>
      </w:r>
      <w:r>
        <w:rPr>
          <w:rFonts w:ascii="Arabic Typesetting" w:hAnsi="Arabic Typesetting" w:cs="Arabic Typesetting"/>
          <w:sz w:val="34"/>
          <w:szCs w:val="34"/>
          <w:rtl/>
          <w:lang w:bidi="ar-EG"/>
        </w:rPr>
        <w:t xml:space="preserve">لمرتقبة ه3.9 (بيئة عمل داعمة). </w:t>
      </w:r>
      <w:r w:rsidRPr="003726A9">
        <w:rPr>
          <w:rFonts w:ascii="Arabic Typesetting" w:hAnsi="Arabic Typesetting" w:cs="Arabic Typesetting"/>
          <w:sz w:val="34"/>
          <w:szCs w:val="34"/>
          <w:rtl/>
          <w:lang w:bidi="ar-EG"/>
        </w:rPr>
        <w:t>وفضلاً عن ذلك، أعيد توزيع بعض الموارد بين النتيجتين المرتقبتين ه3.8 وه</w:t>
      </w:r>
      <w:r w:rsidR="00FF57F6">
        <w:rPr>
          <w:rFonts w:ascii="Arabic Typesetting" w:hAnsi="Arabic Typesetting" w:cs="Arabic Typesetting" w:hint="cs"/>
          <w:sz w:val="34"/>
          <w:szCs w:val="34"/>
          <w:rtl/>
          <w:lang w:bidi="ar-EG"/>
        </w:rPr>
        <w:t>ـ</w:t>
      </w:r>
      <w:r w:rsidRPr="003726A9">
        <w:rPr>
          <w:rFonts w:ascii="Arabic Typesetting" w:hAnsi="Arabic Typesetting" w:cs="Arabic Typesetting"/>
          <w:sz w:val="34"/>
          <w:szCs w:val="34"/>
          <w:rtl/>
          <w:lang w:bidi="ar-EG"/>
        </w:rPr>
        <w:t>2.9 (</w:t>
      </w:r>
      <w:r w:rsidR="00FF57F6" w:rsidRPr="00FF57F6">
        <w:rPr>
          <w:rFonts w:ascii="Arabic Typesetting" w:hAnsi="Arabic Typesetting" w:cs="Arabic Typesetting"/>
          <w:sz w:val="34"/>
          <w:szCs w:val="34"/>
          <w:rtl/>
          <w:lang w:bidi="ar-EG"/>
        </w:rPr>
        <w:t>أمانة نبيهة تعمل بسلاسة</w:t>
      </w:r>
      <w:r w:rsidRPr="003726A9">
        <w:rPr>
          <w:rFonts w:ascii="Arabic Typesetting" w:hAnsi="Arabic Typesetting" w:cs="Arabic Typesetting"/>
          <w:sz w:val="34"/>
          <w:szCs w:val="34"/>
          <w:rtl/>
          <w:lang w:bidi="ar-EG"/>
        </w:rPr>
        <w:t>) تماشياً مع خطط عمل عام 2016.</w:t>
      </w:r>
    </w:p>
    <w:p w14:paraId="31767E6F" w14:textId="77777777" w:rsidR="00BD3831" w:rsidRPr="00706F20" w:rsidRDefault="00BD3831"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086C0DA8" w14:textId="1CB56979" w:rsidR="00BD3831" w:rsidRPr="000B74B5" w:rsidRDefault="00BD3831" w:rsidP="0031289D">
      <w:pPr>
        <w:numPr>
          <w:ilvl w:val="1"/>
          <w:numId w:val="89"/>
        </w:numPr>
        <w:bidi/>
        <w:spacing w:after="240" w:line="360" w:lineRule="exact"/>
        <w:ind w:left="0" w:hanging="1"/>
        <w:rPr>
          <w:rFonts w:ascii="Arabic Typesetting" w:hAnsi="Arabic Typesetting" w:cs="Arabic Typesetting"/>
          <w:sz w:val="34"/>
          <w:szCs w:val="34"/>
          <w:rtl/>
        </w:rPr>
      </w:pPr>
      <w:r w:rsidRPr="000B74B5">
        <w:rPr>
          <w:rFonts w:ascii="Arabic Typesetting" w:hAnsi="Arabic Typesetting" w:cs="Arabic Typesetting"/>
          <w:sz w:val="34"/>
          <w:szCs w:val="34"/>
          <w:rtl/>
        </w:rPr>
        <w:t>كانت نسبة استخدام الميزانية ضمن النطاق المتوقع المتراوح بين 40 و60 بالمئة للسنة الأولى من الثنائية.</w:t>
      </w:r>
      <w:r w:rsidRPr="000B74B5">
        <w:rPr>
          <w:rFonts w:ascii="Arabic Typesetting" w:hAnsi="Arabic Typesetting" w:cs="Arabic Typesetting"/>
          <w:sz w:val="34"/>
          <w:szCs w:val="34"/>
          <w:rtl/>
        </w:rPr>
        <w:br w:type="page"/>
      </w:r>
    </w:p>
    <w:p w14:paraId="79445393" w14:textId="77777777" w:rsidR="00BD3831" w:rsidRPr="00604F13" w:rsidRDefault="00BD3831" w:rsidP="00DA7DF7">
      <w:pPr>
        <w:pStyle w:val="Heading3"/>
        <w:ind w:left="1984" w:hanging="1984"/>
      </w:pPr>
      <w:bookmarkStart w:id="52" w:name="_Toc482782775"/>
      <w:r w:rsidRPr="00604F13">
        <w:rPr>
          <w:rtl/>
        </w:rPr>
        <w:lastRenderedPageBreak/>
        <w:t>البرنامج</w:t>
      </w:r>
      <w:r w:rsidRPr="00604F13">
        <w:rPr>
          <w:rFonts w:hint="cs"/>
          <w:rtl/>
        </w:rPr>
        <w:t xml:space="preserve"> 22:</w:t>
      </w:r>
      <w:r w:rsidRPr="00604F13">
        <w:tab/>
      </w:r>
      <w:r w:rsidRPr="00604F13">
        <w:rPr>
          <w:rtl/>
        </w:rPr>
        <w:t>إدارة البرامج والموارد</w:t>
      </w:r>
      <w:bookmarkEnd w:id="52"/>
    </w:p>
    <w:p w14:paraId="4D4717FA" w14:textId="77777777" w:rsidR="00BD3831" w:rsidRDefault="00BD3831"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D232FE">
        <w:rPr>
          <w:rFonts w:ascii="Arabic Typesetting" w:hAnsi="Arabic Typesetting" w:cs="Arabic Typesetting"/>
          <w:b/>
          <w:bCs/>
          <w:sz w:val="36"/>
          <w:szCs w:val="36"/>
          <w:rtl/>
          <w:lang w:val="fr-CH"/>
        </w:rPr>
        <w:t>السيد أمبي سوندارام</w:t>
      </w:r>
    </w:p>
    <w:p w14:paraId="3B6FA91D" w14:textId="0CD77BAC" w:rsidR="00BD3831" w:rsidRDefault="00380C1F"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2767B06B" wp14:editId="17BA27AD">
            <wp:extent cx="3577718" cy="21600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9214" w:type="dxa"/>
        <w:tblInd w:w="58" w:type="dxa"/>
        <w:tblLayout w:type="fixed"/>
        <w:tblCellMar>
          <w:left w:w="115" w:type="dxa"/>
          <w:right w:w="115" w:type="dxa"/>
        </w:tblCellMar>
        <w:tblLook w:val="0000" w:firstRow="0" w:lastRow="0" w:firstColumn="0" w:lastColumn="0" w:noHBand="0" w:noVBand="0"/>
      </w:tblPr>
      <w:tblGrid>
        <w:gridCol w:w="1668"/>
        <w:gridCol w:w="2718"/>
        <w:gridCol w:w="9"/>
        <w:gridCol w:w="1220"/>
        <w:gridCol w:w="175"/>
        <w:gridCol w:w="88"/>
        <w:gridCol w:w="2475"/>
        <w:gridCol w:w="11"/>
        <w:gridCol w:w="850"/>
      </w:tblGrid>
      <w:tr w:rsidR="00BD3831" w:rsidRPr="00D232FE" w14:paraId="2CFB0949" w14:textId="77777777" w:rsidTr="00DF6715">
        <w:trPr>
          <w:cantSplit/>
          <w:trHeight w:val="565"/>
        </w:trPr>
        <w:tc>
          <w:tcPr>
            <w:tcW w:w="5000" w:type="pct"/>
            <w:gridSpan w:val="9"/>
            <w:shd w:val="clear" w:color="auto" w:fill="C6D9F1"/>
            <w:tcMar>
              <w:left w:w="58" w:type="dxa"/>
              <w:right w:w="58" w:type="dxa"/>
            </w:tcMar>
            <w:vAlign w:val="center"/>
          </w:tcPr>
          <w:p w14:paraId="45B78877" w14:textId="77777777" w:rsidR="00BD3831" w:rsidRPr="00D232FE" w:rsidRDefault="00BD3831"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‏النتيجة المرتقبة:</w:t>
            </w:r>
            <w:r w:rsidRPr="00D232FE">
              <w:rPr>
                <w:rFonts w:ascii="Arabic Typesetting" w:eastAsia="Arabic Typesetting" w:hAnsi="Arabic Typesetting" w:cs="Arabic Typesetting"/>
                <w:sz w:val="28"/>
                <w:szCs w:val="28"/>
                <w:lang w:eastAsia="ar-EG" w:bidi="ar-EG"/>
              </w:rPr>
              <w:tab/>
            </w:r>
            <w:r w:rsidRPr="00D232FE">
              <w:rPr>
                <w:rFonts w:ascii="Arabic Typesetting" w:eastAsia="Arabic Typesetting" w:hAnsi="Arabic Typesetting" w:cs="Arabic Typesetting"/>
                <w:color w:val="000000"/>
                <w:sz w:val="28"/>
                <w:szCs w:val="28"/>
                <w:rtl/>
                <w:lang w:eastAsia="ar-EG" w:bidi="ar-EG"/>
              </w:rPr>
              <w:t>ه1.9 خدمات دعم فعالة وناجعة وذات جودة موجهة نحو الزبائن لفائدة الزبائن الداخليين وأصحاب المصالح الخارجيين</w:t>
            </w:r>
          </w:p>
        </w:tc>
      </w:tr>
      <w:tr w:rsidR="00BD3831" w:rsidRPr="00D232FE" w14:paraId="7086CC95" w14:textId="77777777" w:rsidTr="00DF6715">
        <w:trPr>
          <w:cantSplit/>
          <w:trHeight w:val="16"/>
        </w:trPr>
        <w:tc>
          <w:tcPr>
            <w:tcW w:w="905" w:type="pct"/>
            <w:shd w:val="clear" w:color="auto" w:fill="auto"/>
            <w:tcMar>
              <w:left w:w="58" w:type="dxa"/>
              <w:right w:w="58" w:type="dxa"/>
            </w:tcMar>
            <w:vAlign w:val="center"/>
          </w:tcPr>
          <w:p w14:paraId="359FF702" w14:textId="77777777" w:rsidR="00BD3831" w:rsidRPr="00D232FE"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مؤشرات الأداء</w:t>
            </w:r>
          </w:p>
        </w:tc>
        <w:tc>
          <w:tcPr>
            <w:tcW w:w="1475" w:type="pct"/>
            <w:shd w:val="clear" w:color="auto" w:fill="auto"/>
            <w:tcMar>
              <w:left w:w="58" w:type="dxa"/>
              <w:right w:w="58" w:type="dxa"/>
            </w:tcMar>
            <w:vAlign w:val="center"/>
          </w:tcPr>
          <w:p w14:paraId="54D3D820" w14:textId="77777777" w:rsidR="00BD3831" w:rsidRPr="00D232F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أسس المقارنة</w:t>
            </w:r>
          </w:p>
        </w:tc>
        <w:tc>
          <w:tcPr>
            <w:tcW w:w="810" w:type="pct"/>
            <w:gridSpan w:val="4"/>
            <w:shd w:val="clear" w:color="auto" w:fill="auto"/>
            <w:tcMar>
              <w:top w:w="110" w:type="dxa"/>
              <w:left w:w="58" w:type="dxa"/>
              <w:right w:w="58" w:type="dxa"/>
            </w:tcMar>
            <w:vAlign w:val="center"/>
          </w:tcPr>
          <w:p w14:paraId="5E1719A4" w14:textId="77777777" w:rsidR="00BD3831" w:rsidRPr="00D232F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الأهداف</w:t>
            </w:r>
          </w:p>
        </w:tc>
        <w:tc>
          <w:tcPr>
            <w:tcW w:w="1343" w:type="pct"/>
            <w:shd w:val="clear" w:color="auto" w:fill="FFFFFF"/>
            <w:tcMar>
              <w:top w:w="110" w:type="dxa"/>
              <w:left w:w="58" w:type="dxa"/>
              <w:right w:w="58" w:type="dxa"/>
            </w:tcMar>
            <w:vAlign w:val="center"/>
          </w:tcPr>
          <w:p w14:paraId="373F9680" w14:textId="77777777" w:rsidR="00BD3831" w:rsidRPr="00D232F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بيانات الأداء</w:t>
            </w:r>
          </w:p>
        </w:tc>
        <w:tc>
          <w:tcPr>
            <w:tcW w:w="467" w:type="pct"/>
            <w:gridSpan w:val="2"/>
            <w:shd w:val="clear" w:color="auto" w:fill="auto"/>
            <w:tcMar>
              <w:top w:w="110" w:type="dxa"/>
              <w:left w:w="58" w:type="dxa"/>
              <w:right w:w="58" w:type="dxa"/>
            </w:tcMar>
            <w:vAlign w:val="center"/>
          </w:tcPr>
          <w:p w14:paraId="1D7D71E3" w14:textId="77777777" w:rsidR="00BD3831" w:rsidRPr="00D232FE" w:rsidRDefault="00BD3831" w:rsidP="0031289D">
            <w:pPr>
              <w:keepNext/>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D3831" w:rsidRPr="00D232FE" w14:paraId="2C2471B4" w14:textId="77777777" w:rsidTr="00DF6715">
        <w:trPr>
          <w:cantSplit/>
          <w:trHeight w:val="1330"/>
        </w:trPr>
        <w:tc>
          <w:tcPr>
            <w:tcW w:w="905" w:type="pct"/>
            <w:shd w:val="clear" w:color="auto" w:fill="auto"/>
            <w:tcMar>
              <w:left w:w="58" w:type="dxa"/>
              <w:right w:w="58" w:type="dxa"/>
            </w:tcMar>
          </w:tcPr>
          <w:p w14:paraId="7E635607"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1475" w:type="pct"/>
            <w:shd w:val="clear" w:color="auto" w:fill="auto"/>
            <w:tcMar>
              <w:left w:w="58" w:type="dxa"/>
              <w:right w:w="58" w:type="dxa"/>
            </w:tcMar>
          </w:tcPr>
          <w:p w14:paraId="43E84BF2" w14:textId="77777777" w:rsidR="00BD3831" w:rsidRDefault="00BD3831" w:rsidP="0031289D">
            <w:pPr>
              <w:keepNext/>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 إغلاق شهري في يوم العمل الع</w:t>
            </w:r>
            <w:r>
              <w:rPr>
                <w:rFonts w:ascii="Arabic Typesetting" w:eastAsia="Arabic Typesetting" w:hAnsi="Arabic Typesetting" w:cs="Arabic Typesetting"/>
                <w:color w:val="002060"/>
                <w:sz w:val="28"/>
                <w:szCs w:val="28"/>
                <w:rtl/>
                <w:lang w:eastAsia="ar-EG" w:bidi="ar-EG"/>
              </w:rPr>
              <w:t xml:space="preserve">اشر كحد أقصى على مدار 10 أشهر. </w:t>
            </w:r>
            <w:r w:rsidRPr="00D232FE">
              <w:rPr>
                <w:rFonts w:ascii="Arabic Typesetting" w:eastAsia="Arabic Typesetting" w:hAnsi="Arabic Typesetting" w:cs="Arabic Typesetting"/>
                <w:color w:val="002060"/>
                <w:sz w:val="28"/>
                <w:szCs w:val="28"/>
                <w:rtl/>
                <w:lang w:eastAsia="ar-EG" w:bidi="ar-EG"/>
              </w:rPr>
              <w:t xml:space="preserve">ولكن يُستثنى من ذلك شهرا يناير </w:t>
            </w:r>
            <w:r>
              <w:rPr>
                <w:rFonts w:ascii="Arabic Typesetting" w:eastAsia="Arabic Typesetting" w:hAnsi="Arabic Typesetting" w:cs="Arabic Typesetting"/>
                <w:color w:val="002060"/>
                <w:sz w:val="28"/>
                <w:szCs w:val="28"/>
                <w:rtl/>
                <w:lang w:eastAsia="ar-EG" w:bidi="ar-EG"/>
              </w:rPr>
              <w:t>وأكتوبر نتيجة لتحديث البرنامج.</w:t>
            </w:r>
          </w:p>
          <w:p w14:paraId="41B65111"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D232FE">
              <w:rPr>
                <w:rFonts w:ascii="Arabic Typesetting" w:eastAsia="Arabic Typesetting" w:hAnsi="Arabic Typesetting" w:cs="Arabic Typesetting"/>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إكمال الإغلاق الشهري بعد نهاية الشهر بعشرة أيام (عدا يناير حيث يحدد الإغلاق الشهري وفقاً لتقدم الإغلاق السنوي)</w:t>
            </w:r>
          </w:p>
        </w:tc>
        <w:tc>
          <w:tcPr>
            <w:tcW w:w="810" w:type="pct"/>
            <w:gridSpan w:val="4"/>
            <w:shd w:val="clear" w:color="auto" w:fill="auto"/>
            <w:tcMar>
              <w:top w:w="110" w:type="dxa"/>
              <w:left w:w="58" w:type="dxa"/>
              <w:right w:w="58" w:type="dxa"/>
            </w:tcMar>
          </w:tcPr>
          <w:p w14:paraId="0A50BDF7" w14:textId="77777777" w:rsidR="00BD3831" w:rsidRPr="00D232FE" w:rsidRDefault="00BD3831" w:rsidP="0031289D">
            <w:pPr>
              <w:bidi/>
              <w:spacing w:after="120" w:line="280" w:lineRule="exact"/>
              <w:ind w:left="4"/>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مثل أساس المقارنة</w:t>
            </w:r>
          </w:p>
        </w:tc>
        <w:tc>
          <w:tcPr>
            <w:tcW w:w="1343" w:type="pct"/>
            <w:shd w:val="clear" w:color="auto" w:fill="FFFFFF"/>
            <w:tcMar>
              <w:top w:w="110" w:type="dxa"/>
              <w:left w:w="58" w:type="dxa"/>
              <w:right w:w="58" w:type="dxa"/>
            </w:tcMar>
          </w:tcPr>
          <w:p w14:paraId="56945677" w14:textId="77777777" w:rsidR="00BD3831" w:rsidRPr="00D232F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 xml:space="preserve">إغلاق شهري في يوم العمل العاشر كحد أقصى على مدار </w:t>
            </w:r>
            <w:r>
              <w:rPr>
                <w:rFonts w:ascii="Arabic Typesetting" w:eastAsia="Arabic Typesetting" w:hAnsi="Arabic Typesetting" w:cs="Arabic Typesetting"/>
                <w:color w:val="000000"/>
                <w:sz w:val="28"/>
                <w:szCs w:val="28"/>
                <w:rtl/>
                <w:lang w:eastAsia="ar-EG" w:bidi="ar-EG"/>
              </w:rPr>
              <w:t xml:space="preserve">8 أشهر. ولكن </w:t>
            </w:r>
            <w:r>
              <w:rPr>
                <w:rFonts w:ascii="Arabic Typesetting" w:eastAsia="Arabic Typesetting" w:hAnsi="Arabic Typesetting" w:cs="Arabic Typesetting" w:hint="cs"/>
                <w:color w:val="000000"/>
                <w:sz w:val="28"/>
                <w:szCs w:val="28"/>
                <w:rtl/>
                <w:lang w:eastAsia="ar-EG" w:bidi="ar-EG"/>
              </w:rPr>
              <w:t>تُ</w:t>
            </w:r>
            <w:r w:rsidRPr="00D232FE">
              <w:rPr>
                <w:rFonts w:ascii="Arabic Typesetting" w:eastAsia="Arabic Typesetting" w:hAnsi="Arabic Typesetting" w:cs="Arabic Typesetting"/>
                <w:color w:val="000000"/>
                <w:sz w:val="28"/>
                <w:szCs w:val="28"/>
                <w:rtl/>
                <w:lang w:eastAsia="ar-EG" w:bidi="ar-EG"/>
              </w:rPr>
              <w:t>ستثنى من ذلك أشهر يناير (وفقا لأساس المقارنة) وديسمبر (مغلق طبقا للإغلا</w:t>
            </w:r>
            <w:r>
              <w:rPr>
                <w:rFonts w:ascii="Arabic Typesetting" w:eastAsia="Arabic Typesetting" w:hAnsi="Arabic Typesetting" w:cs="Arabic Typesetting" w:hint="cs"/>
                <w:color w:val="000000"/>
                <w:sz w:val="28"/>
                <w:szCs w:val="28"/>
                <w:rtl/>
                <w:lang w:eastAsia="ar-EG" w:bidi="ar-EG"/>
              </w:rPr>
              <w:t>ق</w:t>
            </w:r>
            <w:r w:rsidRPr="00D232FE">
              <w:rPr>
                <w:rFonts w:ascii="Arabic Typesetting" w:eastAsia="Arabic Typesetting" w:hAnsi="Arabic Typesetting" w:cs="Arabic Typesetting"/>
                <w:color w:val="000000"/>
                <w:sz w:val="28"/>
                <w:szCs w:val="28"/>
                <w:rtl/>
                <w:lang w:eastAsia="ar-EG" w:bidi="ar-EG"/>
              </w:rPr>
              <w:t xml:space="preserve"> المخطط وفقا لأساس المقارنة) وفبراير (بسبب مشكلات نجمت عن تحدي</w:t>
            </w:r>
            <w:r>
              <w:rPr>
                <w:rFonts w:ascii="Arabic Typesetting" w:eastAsia="Arabic Typesetting" w:hAnsi="Arabic Typesetting" w:cs="Arabic Typesetting" w:hint="cs"/>
                <w:color w:val="000000"/>
                <w:sz w:val="28"/>
                <w:szCs w:val="28"/>
                <w:rtl/>
                <w:lang w:eastAsia="ar-EG" w:bidi="ar-EG"/>
              </w:rPr>
              <w:t>ث</w:t>
            </w:r>
            <w:r w:rsidRPr="00D232FE">
              <w:rPr>
                <w:rFonts w:ascii="Arabic Typesetting" w:eastAsia="Arabic Typesetting" w:hAnsi="Arabic Typesetting" w:cs="Arabic Typesetting"/>
                <w:color w:val="000000"/>
                <w:sz w:val="28"/>
                <w:szCs w:val="28"/>
                <w:rtl/>
                <w:lang w:eastAsia="ar-EG" w:bidi="ar-EG"/>
              </w:rPr>
              <w:t xml:space="preserve"> نظام </w:t>
            </w:r>
            <w:r w:rsidRPr="00D232FE">
              <w:rPr>
                <w:rFonts w:ascii="Arabic Typesetting" w:eastAsia="Arabic Typesetting" w:hAnsi="Arabic Typesetting" w:cs="Arabic Typesetting"/>
                <w:color w:val="000000"/>
                <w:sz w:val="28"/>
                <w:szCs w:val="28"/>
                <w:lang w:eastAsia="ar-EG" w:bidi="ar-EG"/>
              </w:rPr>
              <w:t>AIMS</w:t>
            </w:r>
            <w:r w:rsidRPr="00D232FE">
              <w:rPr>
                <w:rFonts w:ascii="Arabic Typesetting" w:eastAsia="Arabic Typesetting" w:hAnsi="Arabic Typesetting" w:cs="Arabic Typesetting"/>
                <w:color w:val="000000"/>
                <w:sz w:val="28"/>
                <w:szCs w:val="28"/>
                <w:rtl/>
                <w:lang w:eastAsia="ar-EG" w:bidi="ar-EG"/>
              </w:rPr>
              <w:t xml:space="preserve"> والتأخر في إغلاق ديسمبر 2015) وأبريل (بسبب التأخر في معالجة نظام معلومات سجلات مدريد الدولية (</w:t>
            </w:r>
            <w:r w:rsidRPr="00D232FE">
              <w:rPr>
                <w:rFonts w:ascii="Arabic Typesetting" w:eastAsia="Arabic Typesetting" w:hAnsi="Arabic Typesetting" w:cs="Arabic Typesetting"/>
                <w:color w:val="000000"/>
                <w:sz w:val="28"/>
                <w:szCs w:val="28"/>
                <w:lang w:eastAsia="ar-EG" w:bidi="ar-EG"/>
              </w:rPr>
              <w:t>MIRIS</w:t>
            </w:r>
            <w:r w:rsidRPr="00D232FE">
              <w:rPr>
                <w:rFonts w:ascii="Arabic Typesetting" w:eastAsia="Arabic Typesetting" w:hAnsi="Arabic Typesetting" w:cs="Arabic Typesetting"/>
                <w:color w:val="000000"/>
                <w:sz w:val="28"/>
                <w:szCs w:val="28"/>
                <w:rtl/>
                <w:lang w:eastAsia="ar-EG" w:bidi="ar-EG"/>
              </w:rPr>
              <w:t>) الذي أدى إلى مشكلات في توزيع مدريد</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الشهري).</w:t>
            </w:r>
          </w:p>
        </w:tc>
        <w:tc>
          <w:tcPr>
            <w:tcW w:w="467" w:type="pct"/>
            <w:gridSpan w:val="2"/>
            <w:shd w:val="clear" w:color="auto" w:fill="auto"/>
            <w:tcMar>
              <w:top w:w="110" w:type="dxa"/>
              <w:left w:w="58" w:type="dxa"/>
              <w:right w:w="58" w:type="dxa"/>
            </w:tcMar>
          </w:tcPr>
          <w:p w14:paraId="13C5F3BE" w14:textId="77777777" w:rsidR="00BD3831" w:rsidRPr="00D232FE" w:rsidRDefault="00BD3831" w:rsidP="0031289D">
            <w:pPr>
              <w:keepNext/>
              <w:bidi/>
              <w:spacing w:after="120" w:line="280" w:lineRule="exact"/>
              <w:jc w:val="center"/>
              <w:rPr>
                <w:rFonts w:ascii="Arabic Typesetting" w:eastAsia="Arabic Typesetting" w:hAnsi="Arabic Typesetting" w:cs="Arabic Typesetting"/>
                <w:b/>
                <w:color w:val="FF0000"/>
                <w:sz w:val="28"/>
                <w:szCs w:val="28"/>
                <w:lang w:eastAsia="ar-EG" w:bidi="ar-EG"/>
              </w:rPr>
            </w:pPr>
            <w:r w:rsidRPr="00D232FE">
              <w:rPr>
                <w:rFonts w:ascii="Arabic Typesetting" w:eastAsia="Arabic Typesetting" w:hAnsi="Arabic Typesetting" w:cs="Arabic Typesetting"/>
                <w:b/>
                <w:bCs/>
                <w:color w:val="FF0000"/>
                <w:sz w:val="28"/>
                <w:szCs w:val="28"/>
                <w:rtl/>
                <w:lang w:eastAsia="ar-EG" w:bidi="ar-EG"/>
              </w:rPr>
              <w:t>غير ثابت</w:t>
            </w:r>
          </w:p>
        </w:tc>
      </w:tr>
      <w:tr w:rsidR="00BD3831" w:rsidRPr="00D232FE" w14:paraId="5135DCC7" w14:textId="77777777" w:rsidTr="00DF6715">
        <w:trPr>
          <w:cantSplit/>
          <w:trHeight w:val="1912"/>
        </w:trPr>
        <w:tc>
          <w:tcPr>
            <w:tcW w:w="905" w:type="pct"/>
            <w:shd w:val="clear" w:color="auto" w:fill="auto"/>
            <w:tcMar>
              <w:left w:w="58" w:type="dxa"/>
              <w:right w:w="58" w:type="dxa"/>
            </w:tcMar>
          </w:tcPr>
          <w:p w14:paraId="0D2ACA47" w14:textId="08B54E36" w:rsidR="00BD3831" w:rsidRPr="00D232FE" w:rsidRDefault="00BD3831" w:rsidP="00574A27">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 xml:space="preserve">عدد وثائق لجنة البرنامج والميزانية المُقدَّمة إلى الدول الأعضاء في </w:t>
            </w:r>
            <w:r w:rsidR="00574A27">
              <w:rPr>
                <w:rFonts w:ascii="Arabic Typesetting" w:eastAsia="Arabic Typesetting" w:hAnsi="Arabic Typesetting" w:cs="Arabic Typesetting" w:hint="cs"/>
                <w:color w:val="000000"/>
                <w:sz w:val="28"/>
                <w:szCs w:val="28"/>
                <w:rtl/>
                <w:lang w:eastAsia="ar-EG" w:bidi="ar-EG"/>
              </w:rPr>
              <w:t>موعدها</w:t>
            </w:r>
          </w:p>
        </w:tc>
        <w:tc>
          <w:tcPr>
            <w:tcW w:w="1475" w:type="pct"/>
            <w:shd w:val="clear" w:color="auto" w:fill="auto"/>
            <w:tcMar>
              <w:left w:w="58" w:type="dxa"/>
              <w:right w:w="58" w:type="dxa"/>
            </w:tcMar>
          </w:tcPr>
          <w:p w14:paraId="3D9ECF00"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18% (على أساس أن الموعد النهائي 8</w:t>
            </w:r>
            <w:r>
              <w:rPr>
                <w:rFonts w:ascii="Arabic Typesetting" w:eastAsia="Arabic Typesetting" w:hAnsi="Arabic Typesetting" w:cs="Arabic Typesetting" w:hint="cs"/>
                <w:color w:val="002060"/>
                <w:sz w:val="28"/>
                <w:szCs w:val="28"/>
                <w:rtl/>
                <w:lang w:eastAsia="ar-EG" w:bidi="ar-EG"/>
              </w:rPr>
              <w:t> </w:t>
            </w:r>
            <w:r w:rsidRPr="00D232FE">
              <w:rPr>
                <w:rFonts w:ascii="Arabic Typesetting" w:eastAsia="Arabic Typesetting" w:hAnsi="Arabic Typesetting" w:cs="Arabic Typesetting"/>
                <w:color w:val="002060"/>
                <w:sz w:val="28"/>
                <w:szCs w:val="28"/>
                <w:rtl/>
                <w:lang w:eastAsia="ar-EG" w:bidi="ar-EG"/>
              </w:rPr>
              <w:t>أسابيع)</w:t>
            </w:r>
          </w:p>
          <w:p w14:paraId="1077F83D" w14:textId="77777777" w:rsidR="00BD3831" w:rsidRPr="00D232FE" w:rsidRDefault="00BD3831" w:rsidP="0031289D">
            <w:pPr>
              <w:bidi/>
              <w:spacing w:after="120" w:line="280" w:lineRule="exact"/>
              <w:ind w:left="34"/>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D232FE">
              <w:rPr>
                <w:rFonts w:ascii="Arabic Typesetting" w:eastAsia="Arabic Typesetting" w:hAnsi="Arabic Typesetting" w:cs="Arabic Typesetting"/>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%12</w:t>
            </w:r>
            <w:r w:rsidRPr="00D232FE">
              <w:rPr>
                <w:rFonts w:ascii="Arabic Typesetting" w:eastAsia="Arabic Typesetting" w:hAnsi="Arabic Typesetting" w:cs="Arabic Typesetting"/>
                <w:color w:val="000000"/>
                <w:sz w:val="28"/>
                <w:szCs w:val="28"/>
                <w:rtl/>
                <w:lang w:eastAsia="ar-EG" w:bidi="ar-EG"/>
              </w:rPr>
              <w:t xml:space="preserve"> (2014 على أساس أن الموعد النهائي 8 أسابيع)</w:t>
            </w:r>
          </w:p>
        </w:tc>
        <w:tc>
          <w:tcPr>
            <w:tcW w:w="810" w:type="pct"/>
            <w:gridSpan w:val="4"/>
            <w:shd w:val="clear" w:color="auto" w:fill="auto"/>
            <w:tcMar>
              <w:top w:w="110" w:type="dxa"/>
              <w:left w:w="58" w:type="dxa"/>
              <w:right w:w="58" w:type="dxa"/>
            </w:tcMar>
          </w:tcPr>
          <w:p w14:paraId="657AE957"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20% (على أساس أن الموعد النهائي 8 أسابيع)</w:t>
            </w:r>
          </w:p>
          <w:p w14:paraId="37569CC0" w14:textId="16A8DCC1" w:rsidR="00BD3831" w:rsidRPr="00D232FE" w:rsidRDefault="00BD3831" w:rsidP="000C4432">
            <w:pPr>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الهدف الأصلي</w:t>
            </w:r>
            <w:r w:rsidR="000C4432">
              <w:rPr>
                <w:rFonts w:ascii="Arabic Typesetting" w:eastAsia="Arabic Typesetting" w:hAnsi="Arabic Typesetting" w:cs="Arabic Typesetting" w:hint="cs"/>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 xml:space="preserve">برنامج وميزانية </w:t>
            </w:r>
            <w:r w:rsidR="000C4432">
              <w:rPr>
                <w:rFonts w:ascii="Arabic Typesetting" w:eastAsia="Arabic Typesetting" w:hAnsi="Arabic Typesetting" w:cs="Arabic Typesetting" w:hint="cs"/>
                <w:i/>
                <w:iCs/>
                <w:color w:val="000000"/>
                <w:sz w:val="28"/>
                <w:szCs w:val="28"/>
                <w:rtl/>
                <w:lang w:eastAsia="ar-EG" w:bidi="ar-EG"/>
              </w:rPr>
              <w:t>2016/17:</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15% (على أساس أن الموعد النهائي 8 أسابيع)</w:t>
            </w:r>
          </w:p>
        </w:tc>
        <w:tc>
          <w:tcPr>
            <w:tcW w:w="1343" w:type="pct"/>
            <w:shd w:val="clear" w:color="auto" w:fill="auto"/>
            <w:tcMar>
              <w:top w:w="110" w:type="dxa"/>
              <w:left w:w="58" w:type="dxa"/>
              <w:right w:w="58" w:type="dxa"/>
            </w:tcMar>
          </w:tcPr>
          <w:p w14:paraId="10C84C0B" w14:textId="77777777" w:rsidR="00BD3831" w:rsidRPr="00D232FE"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50% (على أساس أن الموعد النهائي 8</w:t>
            </w:r>
            <w:r>
              <w:rPr>
                <w:rFonts w:ascii="Arabic Typesetting" w:eastAsia="Arabic Typesetting" w:hAnsi="Arabic Typesetting" w:cs="Arabic Typesetting" w:hint="eastAsia"/>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أسابيع)</w:t>
            </w:r>
          </w:p>
        </w:tc>
        <w:tc>
          <w:tcPr>
            <w:tcW w:w="467" w:type="pct"/>
            <w:gridSpan w:val="2"/>
            <w:shd w:val="clear" w:color="auto" w:fill="auto"/>
            <w:tcMar>
              <w:top w:w="110" w:type="dxa"/>
              <w:left w:w="58" w:type="dxa"/>
              <w:right w:w="58" w:type="dxa"/>
            </w:tcMar>
          </w:tcPr>
          <w:p w14:paraId="6F19F0C0" w14:textId="77777777" w:rsidR="00BD3831" w:rsidRPr="00D232FE" w:rsidRDefault="00BD3831" w:rsidP="0031289D">
            <w:pPr>
              <w:keepNext/>
              <w:bidi/>
              <w:spacing w:after="12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tc>
      </w:tr>
      <w:tr w:rsidR="00BD3831" w:rsidRPr="00D232FE" w14:paraId="78F95DA1" w14:textId="77777777" w:rsidTr="00DF6715">
        <w:trPr>
          <w:cantSplit/>
          <w:trHeight w:val="1213"/>
        </w:trPr>
        <w:tc>
          <w:tcPr>
            <w:tcW w:w="905" w:type="pct"/>
            <w:shd w:val="clear" w:color="auto" w:fill="auto"/>
            <w:tcMar>
              <w:left w:w="58" w:type="dxa"/>
              <w:right w:w="58" w:type="dxa"/>
            </w:tcMar>
          </w:tcPr>
          <w:p w14:paraId="1A638ED8"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lastRenderedPageBreak/>
              <w:t>عمل نظام الويبو للتخطيط للموارد المؤسسية (</w:t>
            </w:r>
            <w:r w:rsidRPr="00D232FE">
              <w:rPr>
                <w:rFonts w:ascii="Arabic Typesetting" w:eastAsia="Arabic Typesetting" w:hAnsi="Arabic Typesetting" w:cs="Arabic Typesetting"/>
                <w:color w:val="000000"/>
                <w:sz w:val="28"/>
                <w:szCs w:val="28"/>
                <w:lang w:eastAsia="ar-EG" w:bidi="ar-EG"/>
              </w:rPr>
              <w:t>AIMS</w:t>
            </w:r>
            <w:r w:rsidRPr="00D232FE">
              <w:rPr>
                <w:rFonts w:ascii="Arabic Typesetting" w:eastAsia="Arabic Typesetting" w:hAnsi="Arabic Typesetting" w:cs="Arabic Typesetting"/>
                <w:color w:val="000000"/>
                <w:sz w:val="28"/>
                <w:szCs w:val="28"/>
                <w:rtl/>
                <w:lang w:eastAsia="ar-EG" w:bidi="ar-EG"/>
              </w:rPr>
              <w:t>) بكفاءة وفقاً لاحتياجات العمل وبما يتماشى مع أفضل الممارسات</w:t>
            </w:r>
          </w:p>
        </w:tc>
        <w:tc>
          <w:tcPr>
            <w:tcW w:w="1475" w:type="pct"/>
            <w:shd w:val="clear" w:color="auto" w:fill="auto"/>
            <w:tcMar>
              <w:left w:w="58" w:type="dxa"/>
              <w:right w:w="58" w:type="dxa"/>
            </w:tcMar>
          </w:tcPr>
          <w:p w14:paraId="786BB20F"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كان وقت تشغيل النظام 99.93% في عام</w:t>
            </w:r>
            <w:r>
              <w:rPr>
                <w:rFonts w:ascii="Arabic Typesetting" w:eastAsia="Arabic Typesetting" w:hAnsi="Arabic Typesetting" w:cs="Arabic Typesetting" w:hint="cs"/>
                <w:color w:val="002060"/>
                <w:sz w:val="28"/>
                <w:szCs w:val="28"/>
                <w:rtl/>
                <w:lang w:eastAsia="ar-EG" w:bidi="ar-EG"/>
              </w:rPr>
              <w:t> </w:t>
            </w:r>
            <w:r w:rsidRPr="00D232FE">
              <w:rPr>
                <w:rFonts w:ascii="Arabic Typesetting" w:eastAsia="Arabic Typesetting" w:hAnsi="Arabic Typesetting" w:cs="Arabic Typesetting"/>
                <w:color w:val="002060"/>
                <w:sz w:val="28"/>
                <w:szCs w:val="28"/>
                <w:rtl/>
                <w:lang w:eastAsia="ar-EG" w:bidi="ar-EG"/>
              </w:rPr>
              <w:t>2015. وأكبر عدد من الحوادث ذات الأولوية العليا المفتوحة في وقت واحد كان</w:t>
            </w:r>
            <w:r>
              <w:rPr>
                <w:rFonts w:ascii="Arabic Typesetting" w:eastAsia="Arabic Typesetting" w:hAnsi="Arabic Typesetting" w:cs="Arabic Typesetting" w:hint="cs"/>
                <w:color w:val="002060"/>
                <w:sz w:val="28"/>
                <w:szCs w:val="28"/>
                <w:rtl/>
                <w:lang w:eastAsia="ar-EG" w:bidi="ar-EG"/>
              </w:rPr>
              <w:t> </w:t>
            </w:r>
            <w:r w:rsidRPr="00D232FE">
              <w:rPr>
                <w:rFonts w:ascii="Arabic Typesetting" w:eastAsia="Arabic Typesetting" w:hAnsi="Arabic Typesetting" w:cs="Arabic Typesetting"/>
                <w:color w:val="002060"/>
                <w:sz w:val="28"/>
                <w:szCs w:val="28"/>
                <w:rtl/>
                <w:lang w:eastAsia="ar-EG" w:bidi="ar-EG"/>
              </w:rPr>
              <w:t>31.</w:t>
            </w:r>
          </w:p>
          <w:p w14:paraId="569ACF20"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D232FE">
              <w:rPr>
                <w:rFonts w:ascii="Arabic Typesetting" w:eastAsia="Arabic Typesetting" w:hAnsi="Arabic Typesetting" w:cs="Arabic Typesetting"/>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كان وقت تشغيل النظام 99.80% في عام</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2014. وأكبر عدد من الحوادث ذات الأولوية العليا المفتوحة في وقت واحد كان</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25.</w:t>
            </w:r>
          </w:p>
        </w:tc>
        <w:tc>
          <w:tcPr>
            <w:tcW w:w="810" w:type="pct"/>
            <w:gridSpan w:val="4"/>
            <w:shd w:val="clear" w:color="auto" w:fill="auto"/>
            <w:tcMar>
              <w:top w:w="110" w:type="dxa"/>
              <w:left w:w="58" w:type="dxa"/>
              <w:right w:w="58" w:type="dxa"/>
            </w:tcMar>
          </w:tcPr>
          <w:p w14:paraId="0C08EB33" w14:textId="77777777" w:rsidR="00BD3831" w:rsidRPr="00D232FE" w:rsidRDefault="00BD3831" w:rsidP="0031289D">
            <w:pPr>
              <w:bidi/>
              <w:spacing w:after="120" w:line="280" w:lineRule="exact"/>
              <w:ind w:left="29"/>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زيادة وقت تشغيل النظام على 99.90%</w:t>
            </w:r>
          </w:p>
          <w:p w14:paraId="4D33BE92" w14:textId="77777777" w:rsidR="00BD3831" w:rsidRPr="00D232FE" w:rsidRDefault="00BD3831" w:rsidP="0031289D">
            <w:pPr>
              <w:bidi/>
              <w:spacing w:after="120" w:line="280" w:lineRule="exact"/>
              <w:ind w:left="29"/>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عدم وجود أكثر من 20 حادثة ذات أولوية عليا مفتوحة في وقت</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واحد</w:t>
            </w:r>
          </w:p>
          <w:p w14:paraId="5522C5F9"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لا تكون الحوادث ذات الأولوية العليا مفتوحة لمدة تزيد على 8 أيام</w:t>
            </w:r>
          </w:p>
        </w:tc>
        <w:tc>
          <w:tcPr>
            <w:tcW w:w="1343" w:type="pct"/>
            <w:shd w:val="clear" w:color="auto" w:fill="FFFFFF"/>
            <w:tcMar>
              <w:top w:w="110" w:type="dxa"/>
              <w:left w:w="58" w:type="dxa"/>
              <w:right w:w="58" w:type="dxa"/>
            </w:tcMar>
          </w:tcPr>
          <w:p w14:paraId="3211C09E" w14:textId="77777777" w:rsidR="00BD3831" w:rsidRPr="00D232FE"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كان وقت تشغيل النظام 100% في عام</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2016</w:t>
            </w:r>
            <w:r>
              <w:rPr>
                <w:rFonts w:ascii="Arabic Typesetting" w:eastAsia="Arabic Typesetting" w:hAnsi="Arabic Typesetting" w:cs="Arabic Typesetting" w:hint="cs"/>
                <w:color w:val="000000"/>
                <w:sz w:val="28"/>
                <w:szCs w:val="28"/>
                <w:rtl/>
                <w:lang w:eastAsia="ar-EG" w:bidi="ar-EG"/>
              </w:rPr>
              <w:t>.</w:t>
            </w:r>
          </w:p>
          <w:p w14:paraId="6E173B19" w14:textId="77777777" w:rsidR="00BD3831" w:rsidRPr="00D232FE"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أكبر عدد من الحوادث ذات الأولوية العليا المفتوحة في وقت واحد كان 16</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في عام 2016</w:t>
            </w:r>
            <w:r>
              <w:rPr>
                <w:rFonts w:ascii="Arabic Typesetting" w:eastAsia="Arabic Typesetting" w:hAnsi="Arabic Typesetting" w:cs="Arabic Typesetting" w:hint="cs"/>
                <w:color w:val="000000"/>
                <w:sz w:val="28"/>
                <w:szCs w:val="28"/>
                <w:rtl/>
                <w:lang w:eastAsia="ar-EG" w:bidi="ar-EG"/>
              </w:rPr>
              <w:t>.</w:t>
            </w:r>
          </w:p>
          <w:p w14:paraId="0C4315C9" w14:textId="77777777" w:rsidR="00BD3831" w:rsidRPr="00D232FE"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كانت الحوادث ذات الأولوية العليا مفتوحة لمدة 25 يوماً في المتوسط في</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عام 2016</w:t>
            </w:r>
            <w:r>
              <w:rPr>
                <w:rFonts w:ascii="Arabic Typesetting" w:eastAsia="Arabic Typesetting" w:hAnsi="Arabic Typesetting" w:cs="Arabic Typesetting" w:hint="cs"/>
                <w:color w:val="000000"/>
                <w:sz w:val="28"/>
                <w:szCs w:val="28"/>
                <w:rtl/>
                <w:lang w:eastAsia="ar-EG" w:bidi="ar-EG"/>
              </w:rPr>
              <w:t>.</w:t>
            </w:r>
          </w:p>
        </w:tc>
        <w:tc>
          <w:tcPr>
            <w:tcW w:w="467" w:type="pct"/>
            <w:gridSpan w:val="2"/>
            <w:shd w:val="clear" w:color="auto" w:fill="auto"/>
            <w:tcMar>
              <w:top w:w="110" w:type="dxa"/>
              <w:left w:w="58" w:type="dxa"/>
              <w:right w:w="58" w:type="dxa"/>
            </w:tcMar>
          </w:tcPr>
          <w:p w14:paraId="04A7827C" w14:textId="77777777" w:rsidR="00BD3831" w:rsidRDefault="00BD3831" w:rsidP="0031289D">
            <w:pPr>
              <w:keepNext/>
              <w:bidi/>
              <w:spacing w:after="360" w:line="280" w:lineRule="exact"/>
              <w:jc w:val="center"/>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p w14:paraId="294586F2" w14:textId="77777777" w:rsidR="00BD3831" w:rsidRDefault="00BD3831" w:rsidP="0031289D">
            <w:pPr>
              <w:keepNext/>
              <w:bidi/>
              <w:spacing w:after="72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p w14:paraId="6B56B8B8" w14:textId="77777777" w:rsidR="00BD3831" w:rsidRPr="00D232FE" w:rsidRDefault="00BD3831" w:rsidP="0031289D">
            <w:pPr>
              <w:keepNext/>
              <w:bidi/>
              <w:spacing w:after="120" w:line="280" w:lineRule="exact"/>
              <w:jc w:val="center"/>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b/>
                <w:bCs/>
                <w:color w:val="FF0000"/>
                <w:sz w:val="28"/>
                <w:szCs w:val="28"/>
                <w:rtl/>
                <w:lang w:eastAsia="ar-EG" w:bidi="ar-EG"/>
              </w:rPr>
              <w:t>غير ثابت</w:t>
            </w:r>
          </w:p>
        </w:tc>
      </w:tr>
      <w:tr w:rsidR="00BD3831" w:rsidRPr="00D232FE" w14:paraId="0377A379" w14:textId="77777777" w:rsidTr="00DF6715">
        <w:trPr>
          <w:cantSplit/>
          <w:trHeight w:val="3665"/>
        </w:trPr>
        <w:tc>
          <w:tcPr>
            <w:tcW w:w="905" w:type="pct"/>
            <w:shd w:val="clear" w:color="auto" w:fill="auto"/>
            <w:tcMar>
              <w:left w:w="58" w:type="dxa"/>
              <w:right w:w="58" w:type="dxa"/>
            </w:tcMar>
          </w:tcPr>
          <w:p w14:paraId="1189F42F"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تنفيذ مشاريع التخطيط للموارد المؤسسية وفقاً للخطة وفي حدود ميزانية</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المحفظة</w:t>
            </w:r>
          </w:p>
        </w:tc>
        <w:tc>
          <w:tcPr>
            <w:tcW w:w="1475" w:type="pct"/>
            <w:shd w:val="clear" w:color="auto" w:fill="auto"/>
            <w:tcMar>
              <w:left w:w="58" w:type="dxa"/>
              <w:right w:w="58" w:type="dxa"/>
            </w:tcMar>
          </w:tcPr>
          <w:p w14:paraId="74696AF0"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sz w:val="28"/>
                <w:szCs w:val="28"/>
                <w:rtl/>
                <w:lang w:eastAsia="ar-EG" w:bidi="ar-EG"/>
              </w:rPr>
              <w:t xml:space="preserve">الخطة المحدثة المقدمة إلى الدول الأعضاء في عام </w:t>
            </w:r>
            <w:r>
              <w:rPr>
                <w:rFonts w:ascii="Arabic Typesetting" w:eastAsia="Arabic Typesetting" w:hAnsi="Arabic Typesetting" w:cs="Arabic Typesetting"/>
                <w:sz w:val="28"/>
                <w:szCs w:val="28"/>
                <w:rtl/>
                <w:lang w:eastAsia="ar-EG" w:bidi="ar-EG"/>
              </w:rPr>
              <w:t xml:space="preserve">2015. </w:t>
            </w:r>
            <w:r w:rsidRPr="00D232FE">
              <w:rPr>
                <w:rFonts w:ascii="Arabic Typesetting" w:eastAsia="Arabic Typesetting" w:hAnsi="Arabic Typesetting" w:cs="Arabic Typesetting"/>
                <w:sz w:val="28"/>
                <w:szCs w:val="28"/>
                <w:rtl/>
                <w:lang w:eastAsia="ar-EG" w:bidi="ar-EG"/>
              </w:rPr>
              <w:t>الميزانية التي وافقت عليها الدول الأعضاء في عام 2010</w:t>
            </w:r>
            <w:r>
              <w:rPr>
                <w:rFonts w:ascii="Arabic Typesetting" w:eastAsia="Arabic Typesetting" w:hAnsi="Arabic Typesetting" w:cs="Arabic Typesetting" w:hint="cs"/>
                <w:sz w:val="28"/>
                <w:szCs w:val="28"/>
                <w:rtl/>
                <w:lang w:eastAsia="ar-EG" w:bidi="ar-EG"/>
              </w:rPr>
              <w:t>.</w:t>
            </w:r>
          </w:p>
        </w:tc>
        <w:tc>
          <w:tcPr>
            <w:tcW w:w="810" w:type="pct"/>
            <w:gridSpan w:val="4"/>
            <w:shd w:val="clear" w:color="auto" w:fill="auto"/>
            <w:tcMar>
              <w:top w:w="110" w:type="dxa"/>
              <w:left w:w="58" w:type="dxa"/>
              <w:right w:w="58" w:type="dxa"/>
            </w:tcMar>
          </w:tcPr>
          <w:p w14:paraId="0B387E6A"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وفقاً للخطة</w:t>
            </w:r>
          </w:p>
        </w:tc>
        <w:tc>
          <w:tcPr>
            <w:tcW w:w="1343" w:type="pct"/>
            <w:shd w:val="clear" w:color="auto" w:fill="FFFFFF"/>
            <w:tcMar>
              <w:top w:w="110" w:type="dxa"/>
              <w:left w:w="58" w:type="dxa"/>
              <w:right w:w="58" w:type="dxa"/>
            </w:tcMar>
          </w:tcPr>
          <w:p w14:paraId="11565A7D" w14:textId="77777777" w:rsidR="00BD3831"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مشاريع التخطيط للموارد المؤسسية المنفذة حتى تاريخ إعداد هذا التقرير في حدود ميزانية المحفظة.</w:t>
            </w:r>
          </w:p>
          <w:p w14:paraId="38DA26CE" w14:textId="77777777" w:rsidR="00BD3831" w:rsidRPr="00D232FE"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 xml:space="preserve">لم تنفذ كل المشاريع وفقا للخطة المقدمة إلى الدول الأعضاء في عام </w:t>
            </w:r>
            <w:r>
              <w:rPr>
                <w:rFonts w:ascii="Arabic Typesetting" w:eastAsia="Arabic Typesetting" w:hAnsi="Arabic Typesetting" w:cs="Arabic Typesetting"/>
                <w:color w:val="000000"/>
                <w:sz w:val="28"/>
                <w:szCs w:val="28"/>
                <w:rtl/>
                <w:lang w:eastAsia="ar-EG" w:bidi="ar-EG"/>
              </w:rPr>
              <w:t xml:space="preserve">2015. </w:t>
            </w:r>
            <w:r w:rsidRPr="00D232FE">
              <w:rPr>
                <w:rFonts w:ascii="Arabic Typesetting" w:eastAsia="Arabic Typesetting" w:hAnsi="Arabic Typesetting" w:cs="Arabic Typesetting"/>
                <w:color w:val="000000"/>
                <w:sz w:val="28"/>
                <w:szCs w:val="28"/>
                <w:rtl/>
                <w:lang w:eastAsia="ar-EG" w:bidi="ar-EG"/>
              </w:rPr>
              <w:t>وفضلاً عن ذلك، ألغيت بعض المشاريع بعد إعادة ال</w:t>
            </w:r>
            <w:r>
              <w:rPr>
                <w:rFonts w:ascii="Arabic Typesetting" w:eastAsia="Arabic Typesetting" w:hAnsi="Arabic Typesetting" w:cs="Arabic Typesetting"/>
                <w:color w:val="000000"/>
                <w:sz w:val="28"/>
                <w:szCs w:val="28"/>
                <w:rtl/>
                <w:lang w:eastAsia="ar-EG" w:bidi="ar-EG"/>
              </w:rPr>
              <w:t xml:space="preserve">نظر فيها وموافقة مجلس المشروع. </w:t>
            </w:r>
            <w:r w:rsidRPr="00D232FE">
              <w:rPr>
                <w:rFonts w:ascii="Arabic Typesetting" w:eastAsia="Arabic Typesetting" w:hAnsi="Arabic Typesetting" w:cs="Arabic Typesetting"/>
                <w:color w:val="000000"/>
                <w:sz w:val="28"/>
                <w:szCs w:val="28"/>
                <w:rtl/>
                <w:lang w:eastAsia="ar-EG" w:bidi="ar-EG"/>
              </w:rPr>
              <w:t>وللمزيد من التفاصيل، انظر التقرير المرحلي النهائي عن تنفيذ نظام شامل ومتكامل للتخطيط للموارد المؤسسية الذي سيقدَّم إلى الدول ال</w:t>
            </w:r>
            <w:r>
              <w:rPr>
                <w:rFonts w:ascii="Arabic Typesetting" w:eastAsia="Arabic Typesetting" w:hAnsi="Arabic Typesetting" w:cs="Arabic Typesetting"/>
                <w:color w:val="000000"/>
                <w:sz w:val="28"/>
                <w:szCs w:val="28"/>
                <w:rtl/>
                <w:lang w:eastAsia="ar-EG" w:bidi="ar-EG"/>
              </w:rPr>
              <w:t xml:space="preserve">أعضاء في الدورة السابعة </w:t>
            </w:r>
            <w:r>
              <w:rPr>
                <w:rFonts w:ascii="Arabic Typesetting" w:eastAsia="Arabic Typesetting" w:hAnsi="Arabic Typesetting" w:cs="Arabic Typesetting" w:hint="cs"/>
                <w:color w:val="000000"/>
                <w:sz w:val="28"/>
                <w:szCs w:val="28"/>
                <w:rtl/>
                <w:lang w:eastAsia="ar-EG" w:bidi="ar-EG"/>
              </w:rPr>
              <w:t>والعشرين</w:t>
            </w:r>
            <w:r>
              <w:rPr>
                <w:rFonts w:ascii="Arabic Typesetting" w:eastAsia="Arabic Typesetting" w:hAnsi="Arabic Typesetting" w:cs="Arabic Typesetting"/>
                <w:color w:val="000000"/>
                <w:sz w:val="28"/>
                <w:szCs w:val="28"/>
                <w:rtl/>
                <w:lang w:eastAsia="ar-EG" w:bidi="ar-EG"/>
              </w:rPr>
              <w:t xml:space="preserve"> للجنة البرنامج والميزانية.</w:t>
            </w:r>
          </w:p>
        </w:tc>
        <w:tc>
          <w:tcPr>
            <w:tcW w:w="467" w:type="pct"/>
            <w:gridSpan w:val="2"/>
            <w:shd w:val="clear" w:color="auto" w:fill="auto"/>
            <w:tcMar>
              <w:top w:w="110" w:type="dxa"/>
              <w:left w:w="58" w:type="dxa"/>
              <w:right w:w="58" w:type="dxa"/>
            </w:tcMar>
          </w:tcPr>
          <w:p w14:paraId="240F8BEC" w14:textId="77777777" w:rsidR="00BD3831" w:rsidRPr="00D232FE" w:rsidRDefault="00BD3831" w:rsidP="0031289D">
            <w:pPr>
              <w:keepNext/>
              <w:bidi/>
              <w:spacing w:after="120" w:line="280" w:lineRule="exact"/>
              <w:jc w:val="center"/>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b/>
                <w:bCs/>
                <w:color w:val="FF0000"/>
                <w:sz w:val="28"/>
                <w:szCs w:val="28"/>
                <w:rtl/>
                <w:lang w:eastAsia="ar-EG" w:bidi="ar-EG"/>
              </w:rPr>
              <w:t>غير ثابت</w:t>
            </w:r>
          </w:p>
        </w:tc>
      </w:tr>
      <w:tr w:rsidR="00BD3831" w:rsidRPr="00D232FE" w14:paraId="2F26F32D" w14:textId="77777777" w:rsidTr="00DF6715">
        <w:trPr>
          <w:cantSplit/>
          <w:trHeight w:val="565"/>
        </w:trPr>
        <w:tc>
          <w:tcPr>
            <w:tcW w:w="5000" w:type="pct"/>
            <w:gridSpan w:val="9"/>
            <w:shd w:val="clear" w:color="auto" w:fill="C6D9F1"/>
            <w:tcMar>
              <w:left w:w="58" w:type="dxa"/>
              <w:right w:w="58" w:type="dxa"/>
            </w:tcMar>
            <w:vAlign w:val="center"/>
          </w:tcPr>
          <w:p w14:paraId="1FC6F80E" w14:textId="1C61651D" w:rsidR="00BD3831" w:rsidRPr="00D232FE" w:rsidRDefault="00BD3831"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‏النتيجة المرتقبة:</w:t>
            </w:r>
            <w:r w:rsidRPr="00D232FE">
              <w:rPr>
                <w:rFonts w:ascii="Arabic Typesetting" w:eastAsia="Arabic Typesetting" w:hAnsi="Arabic Typesetting" w:cs="Arabic Typesetting"/>
                <w:sz w:val="28"/>
                <w:szCs w:val="28"/>
                <w:lang w:eastAsia="ar-EG" w:bidi="ar-EG"/>
              </w:rPr>
              <w:tab/>
            </w:r>
            <w:r w:rsidRPr="00D232FE">
              <w:rPr>
                <w:rFonts w:ascii="Arabic Typesetting" w:eastAsia="Arabic Typesetting" w:hAnsi="Arabic Typesetting" w:cs="Arabic Typesetting"/>
                <w:color w:val="000000"/>
                <w:sz w:val="28"/>
                <w:szCs w:val="28"/>
                <w:rtl/>
                <w:lang w:eastAsia="ar-EG" w:bidi="ar-EG"/>
              </w:rPr>
              <w:t xml:space="preserve">ه2.9 </w:t>
            </w:r>
            <w:r w:rsidR="002920A9">
              <w:rPr>
                <w:rFonts w:ascii="Arabic Typesetting" w:eastAsia="Arabic Typesetting" w:hAnsi="Arabic Typesetting" w:cs="Arabic Typesetting"/>
                <w:color w:val="000000"/>
                <w:sz w:val="28"/>
                <w:szCs w:val="28"/>
                <w:rtl/>
                <w:lang w:eastAsia="ar-EG" w:bidi="ar-EG"/>
              </w:rPr>
              <w:t>أمانة نبيهة تعمل بسلاسة وموظفون يعملون تحت إدارة جيّدة وبمهارات مناسبة ويحققون النتائج بكفاءة</w:t>
            </w:r>
          </w:p>
        </w:tc>
      </w:tr>
      <w:tr w:rsidR="00BD3831" w:rsidRPr="00D232FE" w14:paraId="1FF2B86E" w14:textId="77777777" w:rsidTr="00DF6715">
        <w:trPr>
          <w:cantSplit/>
        </w:trPr>
        <w:tc>
          <w:tcPr>
            <w:tcW w:w="905" w:type="pct"/>
            <w:shd w:val="clear" w:color="auto" w:fill="auto"/>
            <w:tcMar>
              <w:left w:w="58" w:type="dxa"/>
              <w:right w:w="58" w:type="dxa"/>
            </w:tcMar>
            <w:vAlign w:val="center"/>
          </w:tcPr>
          <w:p w14:paraId="044BC0C5" w14:textId="77777777" w:rsidR="00BD3831" w:rsidRPr="00D232FE"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مؤشرات الأداء</w:t>
            </w:r>
          </w:p>
        </w:tc>
        <w:tc>
          <w:tcPr>
            <w:tcW w:w="1480" w:type="pct"/>
            <w:gridSpan w:val="2"/>
            <w:shd w:val="clear" w:color="auto" w:fill="auto"/>
            <w:tcMar>
              <w:left w:w="58" w:type="dxa"/>
              <w:right w:w="58" w:type="dxa"/>
            </w:tcMar>
            <w:vAlign w:val="center"/>
          </w:tcPr>
          <w:p w14:paraId="692EFA9D" w14:textId="77777777" w:rsidR="00BD3831" w:rsidRPr="00D232F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أسس المقارنة</w:t>
            </w:r>
          </w:p>
        </w:tc>
        <w:tc>
          <w:tcPr>
            <w:tcW w:w="662" w:type="pct"/>
            <w:shd w:val="clear" w:color="auto" w:fill="auto"/>
            <w:tcMar>
              <w:top w:w="110" w:type="dxa"/>
              <w:left w:w="58" w:type="dxa"/>
              <w:right w:w="58" w:type="dxa"/>
            </w:tcMar>
            <w:vAlign w:val="center"/>
          </w:tcPr>
          <w:p w14:paraId="4A5149F4" w14:textId="77777777" w:rsidR="00BD3831" w:rsidRPr="00D232F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الأهداف</w:t>
            </w:r>
          </w:p>
        </w:tc>
        <w:tc>
          <w:tcPr>
            <w:tcW w:w="1486" w:type="pct"/>
            <w:gridSpan w:val="3"/>
            <w:shd w:val="clear" w:color="auto" w:fill="FFFFFF"/>
            <w:tcMar>
              <w:top w:w="110" w:type="dxa"/>
              <w:left w:w="58" w:type="dxa"/>
              <w:right w:w="58" w:type="dxa"/>
            </w:tcMar>
            <w:vAlign w:val="center"/>
          </w:tcPr>
          <w:p w14:paraId="2B8EE537" w14:textId="77777777" w:rsidR="00BD3831" w:rsidRPr="00D232F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بيانات الأداء</w:t>
            </w:r>
          </w:p>
        </w:tc>
        <w:tc>
          <w:tcPr>
            <w:tcW w:w="467" w:type="pct"/>
            <w:gridSpan w:val="2"/>
            <w:shd w:val="clear" w:color="auto" w:fill="auto"/>
            <w:tcMar>
              <w:top w:w="110" w:type="dxa"/>
              <w:left w:w="58" w:type="dxa"/>
              <w:right w:w="58" w:type="dxa"/>
            </w:tcMar>
            <w:vAlign w:val="center"/>
          </w:tcPr>
          <w:p w14:paraId="23FC4513" w14:textId="77777777" w:rsidR="00BD3831" w:rsidRPr="00D232FE" w:rsidRDefault="00BD3831" w:rsidP="0031289D">
            <w:pPr>
              <w:keepNext/>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D3831" w:rsidRPr="00D232FE" w14:paraId="7D47A0E7" w14:textId="77777777" w:rsidTr="00DF6715">
        <w:trPr>
          <w:cantSplit/>
          <w:trHeight w:val="2856"/>
        </w:trPr>
        <w:tc>
          <w:tcPr>
            <w:tcW w:w="905" w:type="pct"/>
            <w:shd w:val="clear" w:color="auto" w:fill="auto"/>
            <w:tcMar>
              <w:left w:w="58" w:type="dxa"/>
              <w:right w:w="58" w:type="dxa"/>
            </w:tcMar>
          </w:tcPr>
          <w:p w14:paraId="3D9A1539"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 xml:space="preserve">التقرير المالي المُرضي الذي قدمه مراجعو الحسابات الخارجيون </w:t>
            </w:r>
            <w:r>
              <w:rPr>
                <w:rFonts w:ascii="Arabic Typesetting" w:eastAsia="Arabic Typesetting" w:hAnsi="Arabic Typesetting" w:cs="Arabic Typesetting" w:hint="cs"/>
                <w:color w:val="000000"/>
                <w:sz w:val="28"/>
                <w:szCs w:val="28"/>
                <w:rtl/>
                <w:lang w:eastAsia="ar-EG" w:bidi="ar-EG"/>
              </w:rPr>
              <w:t xml:space="preserve">يؤكد </w:t>
            </w:r>
            <w:r w:rsidRPr="00D232FE">
              <w:rPr>
                <w:rFonts w:ascii="Arabic Typesetting" w:eastAsia="Arabic Typesetting" w:hAnsi="Arabic Typesetting" w:cs="Arabic Typesetting"/>
                <w:color w:val="000000"/>
                <w:sz w:val="28"/>
                <w:szCs w:val="28"/>
                <w:rtl/>
                <w:lang w:eastAsia="ar-EG" w:bidi="ar-EG"/>
              </w:rPr>
              <w:t>امتثال العمليات المالية لأحكام اتفاقيات ومعاهدات الويبو السارية ونظام</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الويبو المالي ولائحته والمعايير المحاسبية الدولية للقطاع العام (</w:t>
            </w:r>
            <w:r w:rsidRPr="00D232FE">
              <w:rPr>
                <w:rFonts w:ascii="Arabic Typesetting" w:eastAsia="Arabic Typesetting" w:hAnsi="Arabic Typesetting" w:cs="Arabic Typesetting"/>
                <w:color w:val="000000"/>
                <w:sz w:val="28"/>
                <w:szCs w:val="28"/>
                <w:lang w:eastAsia="ar-EG" w:bidi="ar-EG"/>
              </w:rPr>
              <w:t>IPSAS</w:t>
            </w:r>
            <w:r w:rsidRPr="00D232FE">
              <w:rPr>
                <w:rFonts w:ascii="Arabic Typesetting" w:eastAsia="Arabic Typesetting" w:hAnsi="Arabic Typesetting" w:cs="Arabic Typesetting"/>
                <w:color w:val="000000"/>
                <w:sz w:val="28"/>
                <w:szCs w:val="28"/>
                <w:rtl/>
                <w:lang w:eastAsia="ar-EG" w:bidi="ar-EG"/>
              </w:rPr>
              <w:t>)</w:t>
            </w:r>
          </w:p>
        </w:tc>
        <w:tc>
          <w:tcPr>
            <w:tcW w:w="1480" w:type="pct"/>
            <w:gridSpan w:val="2"/>
            <w:shd w:val="clear" w:color="auto" w:fill="auto"/>
            <w:tcMar>
              <w:left w:w="58" w:type="dxa"/>
              <w:right w:w="58" w:type="dxa"/>
            </w:tcMar>
          </w:tcPr>
          <w:p w14:paraId="5B2D0D90" w14:textId="77777777" w:rsidR="00BD3831" w:rsidRPr="00D232FE" w:rsidRDefault="00BD3831" w:rsidP="0031289D">
            <w:pPr>
              <w:bidi/>
              <w:spacing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 xml:space="preserve">تسلم تقرير تدقيق خال من الملاحظات عن عامي </w:t>
            </w:r>
            <w:r>
              <w:rPr>
                <w:rFonts w:ascii="Arabic Typesetting" w:eastAsia="Arabic Typesetting" w:hAnsi="Arabic Typesetting" w:cs="Arabic Typesetting"/>
                <w:color w:val="002060"/>
                <w:sz w:val="28"/>
                <w:szCs w:val="28"/>
                <w:rtl/>
                <w:lang w:eastAsia="ar-EG" w:bidi="ar-EG"/>
              </w:rPr>
              <w:t>2014 و 2015.</w:t>
            </w:r>
          </w:p>
          <w:p w14:paraId="6A6E2FB1" w14:textId="77777777" w:rsidR="00BD3831" w:rsidRPr="00D232FE" w:rsidRDefault="00BD3831" w:rsidP="0031289D">
            <w:pPr>
              <w:bidi/>
              <w:spacing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color w:val="002060"/>
                <w:sz w:val="28"/>
                <w:szCs w:val="28"/>
                <w:rtl/>
                <w:lang w:eastAsia="ar-EG" w:bidi="ar-EG"/>
              </w:rPr>
              <w:t xml:space="preserve">لم تكن نتائج التدقيق الخاصة بعام </w:t>
            </w:r>
            <w:r>
              <w:rPr>
                <w:rFonts w:ascii="Arabic Typesetting" w:eastAsia="Arabic Typesetting" w:hAnsi="Arabic Typesetting" w:cs="Arabic Typesetting"/>
                <w:color w:val="002060"/>
                <w:sz w:val="28"/>
                <w:szCs w:val="28"/>
                <w:rtl/>
                <w:lang w:eastAsia="ar-EG" w:bidi="ar-EG"/>
              </w:rPr>
              <w:t>2015 متاحة في تاريخ النشر.</w:t>
            </w:r>
          </w:p>
          <w:p w14:paraId="20288619" w14:textId="77777777" w:rsidR="00BD3831" w:rsidRDefault="00BD3831"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D232FE">
              <w:rPr>
                <w:rFonts w:ascii="Arabic Typesetting" w:eastAsia="Arabic Typesetting" w:hAnsi="Arabic Typesetting" w:cs="Arabic Typesetting"/>
                <w:color w:val="002060"/>
                <w:sz w:val="28"/>
                <w:szCs w:val="28"/>
                <w:rtl/>
                <w:lang w:eastAsia="ar-EG" w:bidi="ar-EG"/>
              </w:rPr>
              <w:t xml:space="preserve">الإجابة عن جميع توصيات التدقيق الواردة في عامي </w:t>
            </w:r>
            <w:r>
              <w:rPr>
                <w:rFonts w:ascii="Arabic Typesetting" w:eastAsia="Arabic Typesetting" w:hAnsi="Arabic Typesetting" w:cs="Arabic Typesetting"/>
                <w:color w:val="002060"/>
                <w:sz w:val="28"/>
                <w:szCs w:val="28"/>
                <w:rtl/>
                <w:lang w:eastAsia="ar-EG" w:bidi="ar-EG"/>
              </w:rPr>
              <w:t>2014 و2015.</w:t>
            </w:r>
          </w:p>
          <w:p w14:paraId="4DAD3D08"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D232FE">
              <w:rPr>
                <w:rFonts w:ascii="Arabic Typesetting" w:eastAsia="Arabic Typesetting" w:hAnsi="Arabic Typesetting" w:cs="Arabic Typesetting"/>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تسلم تقرير تدقيق خال من الملاحظات عن عامي 2014 و2015 والإجابة عن جميع توصيات التدقيق</w:t>
            </w:r>
          </w:p>
        </w:tc>
        <w:tc>
          <w:tcPr>
            <w:tcW w:w="662" w:type="pct"/>
            <w:shd w:val="clear" w:color="auto" w:fill="auto"/>
            <w:tcMar>
              <w:top w:w="110" w:type="dxa"/>
              <w:left w:w="58" w:type="dxa"/>
              <w:right w:w="58" w:type="dxa"/>
            </w:tcMar>
          </w:tcPr>
          <w:p w14:paraId="0A0B2E7B"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تقرير تدقيق خال من الملاحظات عن عامي الثنائية</w:t>
            </w:r>
          </w:p>
        </w:tc>
        <w:tc>
          <w:tcPr>
            <w:tcW w:w="1486" w:type="pct"/>
            <w:gridSpan w:val="3"/>
            <w:shd w:val="clear" w:color="auto" w:fill="FFFFFF"/>
            <w:tcMar>
              <w:top w:w="110" w:type="dxa"/>
              <w:left w:w="58" w:type="dxa"/>
              <w:right w:w="58" w:type="dxa"/>
            </w:tcMar>
          </w:tcPr>
          <w:p w14:paraId="6A02DE9A" w14:textId="77777777" w:rsidR="00BD3831" w:rsidRPr="00D232F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تلقي تقرير تدقيق خال من الملاحظات عن عام 2015.</w:t>
            </w:r>
          </w:p>
          <w:p w14:paraId="0B22A373" w14:textId="77777777" w:rsidR="00BD3831" w:rsidRPr="00D232F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لم ترد نتائج التدقيق الخاصة بعام 2016 في</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تاريخ النشر</w:t>
            </w:r>
            <w:r>
              <w:rPr>
                <w:rFonts w:ascii="Arabic Typesetting" w:eastAsia="Arabic Typesetting" w:hAnsi="Arabic Typesetting" w:cs="Arabic Typesetting"/>
                <w:color w:val="000000"/>
                <w:sz w:val="28"/>
                <w:szCs w:val="28"/>
                <w:rtl/>
                <w:lang w:eastAsia="ar-EG" w:bidi="ar-EG"/>
              </w:rPr>
              <w:t>.</w:t>
            </w:r>
          </w:p>
          <w:p w14:paraId="4AE51CA9" w14:textId="77777777" w:rsidR="00BD3831" w:rsidRPr="00D232F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 xml:space="preserve">الإجابة عن جميع توصيات التدقيق الواردة خلال عام </w:t>
            </w:r>
            <w:r>
              <w:rPr>
                <w:rFonts w:ascii="Arabic Typesetting" w:eastAsia="Arabic Typesetting" w:hAnsi="Arabic Typesetting" w:cs="Arabic Typesetting"/>
                <w:color w:val="000000"/>
                <w:sz w:val="28"/>
                <w:szCs w:val="28"/>
                <w:rtl/>
                <w:lang w:eastAsia="ar-EG" w:bidi="ar-EG"/>
              </w:rPr>
              <w:t>2016</w:t>
            </w:r>
            <w:r>
              <w:rPr>
                <w:rFonts w:ascii="Arabic Typesetting" w:eastAsia="Arabic Typesetting" w:hAnsi="Arabic Typesetting" w:cs="Arabic Typesetting" w:hint="cs"/>
                <w:color w:val="000000"/>
                <w:sz w:val="28"/>
                <w:szCs w:val="28"/>
                <w:rtl/>
                <w:lang w:eastAsia="ar-EG" w:bidi="ar-EG"/>
              </w:rPr>
              <w:t>.</w:t>
            </w:r>
          </w:p>
        </w:tc>
        <w:tc>
          <w:tcPr>
            <w:tcW w:w="467" w:type="pct"/>
            <w:gridSpan w:val="2"/>
            <w:shd w:val="clear" w:color="auto" w:fill="auto"/>
            <w:tcMar>
              <w:top w:w="110" w:type="dxa"/>
              <w:left w:w="58" w:type="dxa"/>
              <w:right w:w="58" w:type="dxa"/>
            </w:tcMar>
          </w:tcPr>
          <w:p w14:paraId="52896DD7" w14:textId="77777777" w:rsidR="00BD3831" w:rsidRPr="00D232FE" w:rsidRDefault="00BD3831" w:rsidP="0031289D">
            <w:pPr>
              <w:keepNext/>
              <w:bidi/>
              <w:spacing w:after="120" w:line="280" w:lineRule="exact"/>
              <w:jc w:val="center"/>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tc>
      </w:tr>
      <w:tr w:rsidR="00BD3831" w:rsidRPr="00D232FE" w14:paraId="161ABE5B" w14:textId="77777777" w:rsidTr="00DF6715">
        <w:trPr>
          <w:cantSplit/>
          <w:trHeight w:val="1186"/>
        </w:trPr>
        <w:tc>
          <w:tcPr>
            <w:tcW w:w="905" w:type="pct"/>
            <w:shd w:val="clear" w:color="auto" w:fill="auto"/>
            <w:tcMar>
              <w:left w:w="58" w:type="dxa"/>
              <w:right w:w="58" w:type="dxa"/>
            </w:tcMar>
          </w:tcPr>
          <w:p w14:paraId="3FF4A8EA"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lastRenderedPageBreak/>
              <w:t xml:space="preserve">تعزيز </w:t>
            </w:r>
            <w:r>
              <w:rPr>
                <w:rFonts w:ascii="Arabic Typesetting" w:eastAsia="Arabic Typesetting" w:hAnsi="Arabic Typesetting" w:cs="Arabic Typesetting"/>
                <w:color w:val="000000"/>
                <w:sz w:val="28"/>
                <w:szCs w:val="28"/>
                <w:rtl/>
                <w:lang w:eastAsia="ar-EG" w:bidi="ar-EG"/>
              </w:rPr>
              <w:t>نضج الإدارة القائمة على النتائج</w:t>
            </w:r>
          </w:p>
        </w:tc>
        <w:tc>
          <w:tcPr>
            <w:tcW w:w="1480" w:type="pct"/>
            <w:gridSpan w:val="2"/>
            <w:shd w:val="clear" w:color="auto" w:fill="auto"/>
            <w:tcMar>
              <w:left w:w="58" w:type="dxa"/>
              <w:right w:w="58" w:type="dxa"/>
            </w:tcMar>
          </w:tcPr>
          <w:p w14:paraId="28010189" w14:textId="77777777" w:rsidR="00BD3831" w:rsidRPr="00D232FE"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المعدل المتوسط</w:t>
            </w:r>
            <w:r w:rsidRPr="00D232FE">
              <w:rPr>
                <w:rFonts w:ascii="Arabic Typesetting" w:eastAsia="Arabic Typesetting" w:hAnsi="Arabic Typesetting" w:cs="Arabic Typesetting"/>
                <w:i/>
                <w:color w:val="002060"/>
                <w:sz w:val="28"/>
                <w:szCs w:val="28"/>
                <w:vertAlign w:val="superscript"/>
                <w:lang w:eastAsia="ar-EG" w:bidi="ar-EG"/>
              </w:rPr>
              <w:footnoteReference w:id="84"/>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D232FE">
              <w:rPr>
                <w:rFonts w:ascii="Arabic Typesetting" w:eastAsia="Arabic Typesetting" w:hAnsi="Arabic Typesetting" w:cs="Arabic Typesetting"/>
                <w:color w:val="002060"/>
                <w:sz w:val="28"/>
                <w:szCs w:val="28"/>
                <w:rtl/>
                <w:lang w:eastAsia="ar-EG" w:bidi="ar-EG"/>
              </w:rPr>
              <w:t>3.6</w:t>
            </w:r>
          </w:p>
          <w:p w14:paraId="49A4A728" w14:textId="77777777" w:rsidR="00BD3831" w:rsidRPr="00D232FE"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color w:val="002060"/>
                <w:sz w:val="28"/>
                <w:szCs w:val="28"/>
                <w:rtl/>
                <w:lang w:eastAsia="ar-EG" w:bidi="ar-EG"/>
              </w:rPr>
              <w:t>العناصر</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D232FE">
              <w:rPr>
                <w:rFonts w:ascii="Arabic Typesetting" w:eastAsia="Arabic Typesetting" w:hAnsi="Arabic Typesetting" w:cs="Arabic Typesetting"/>
                <w:color w:val="002060"/>
                <w:sz w:val="28"/>
                <w:szCs w:val="28"/>
                <w:rtl/>
                <w:lang w:eastAsia="ar-EG" w:bidi="ar-EG"/>
              </w:rPr>
              <w:t xml:space="preserve">(المقياس </w:t>
            </w:r>
            <w:r>
              <w:rPr>
                <w:rFonts w:ascii="Arabic Typesetting" w:eastAsia="Arabic Typesetting" w:hAnsi="Arabic Typesetting" w:cs="Arabic Typesetting"/>
                <w:color w:val="002060"/>
                <w:sz w:val="28"/>
                <w:szCs w:val="28"/>
                <w:rtl/>
                <w:lang w:eastAsia="ar-EG" w:bidi="ar-EG"/>
              </w:rPr>
              <w:t>1-5)</w:t>
            </w:r>
          </w:p>
          <w:tbl>
            <w:tblPr>
              <w:tblStyle w:val="TableGrid1"/>
              <w:bidiVisual/>
              <w:tblW w:w="2669" w:type="dxa"/>
              <w:tblLayout w:type="fixed"/>
              <w:tblLook w:val="04A0" w:firstRow="1" w:lastRow="0" w:firstColumn="1" w:lastColumn="0" w:noHBand="0" w:noVBand="1"/>
            </w:tblPr>
            <w:tblGrid>
              <w:gridCol w:w="2102"/>
              <w:gridCol w:w="567"/>
            </w:tblGrid>
            <w:tr w:rsidR="00BD3831" w:rsidRPr="00D232FE" w14:paraId="5D94C52E" w14:textId="77777777" w:rsidTr="00DF6715">
              <w:trPr>
                <w:trHeight w:val="188"/>
              </w:trPr>
              <w:tc>
                <w:tcPr>
                  <w:tcW w:w="2102" w:type="dxa"/>
                  <w:tcBorders>
                    <w:top w:val="nil"/>
                    <w:left w:val="nil"/>
                    <w:bottom w:val="nil"/>
                    <w:right w:val="nil"/>
                  </w:tcBorders>
                  <w:tcMar>
                    <w:left w:w="14" w:type="dxa"/>
                    <w:right w:w="0" w:type="dxa"/>
                  </w:tcMar>
                </w:tcPr>
                <w:p w14:paraId="4CAD80D2"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استراتيجية الإدارة القائمة على النتائج</w:t>
                  </w:r>
                </w:p>
              </w:tc>
              <w:tc>
                <w:tcPr>
                  <w:tcW w:w="567" w:type="dxa"/>
                  <w:tcBorders>
                    <w:top w:val="nil"/>
                    <w:left w:val="nil"/>
                    <w:bottom w:val="nil"/>
                    <w:right w:val="nil"/>
                  </w:tcBorders>
                  <w:tcMar>
                    <w:left w:w="14" w:type="dxa"/>
                    <w:right w:w="0" w:type="dxa"/>
                  </w:tcMar>
                </w:tcPr>
                <w:p w14:paraId="3733E995"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3</w:t>
                  </w:r>
                </w:p>
              </w:tc>
            </w:tr>
            <w:tr w:rsidR="00BD3831" w:rsidRPr="00D232FE" w14:paraId="12757523" w14:textId="77777777" w:rsidTr="00DF6715">
              <w:trPr>
                <w:trHeight w:val="188"/>
              </w:trPr>
              <w:tc>
                <w:tcPr>
                  <w:tcW w:w="2102" w:type="dxa"/>
                  <w:tcBorders>
                    <w:top w:val="nil"/>
                    <w:left w:val="nil"/>
                    <w:bottom w:val="nil"/>
                    <w:right w:val="nil"/>
                  </w:tcBorders>
                  <w:tcMar>
                    <w:left w:w="14" w:type="dxa"/>
                    <w:right w:w="0" w:type="dxa"/>
                  </w:tcMar>
                </w:tcPr>
                <w:p w14:paraId="2F5D5D90"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‏إطار المساءلة</w:t>
                  </w:r>
                </w:p>
              </w:tc>
              <w:tc>
                <w:tcPr>
                  <w:tcW w:w="567" w:type="dxa"/>
                  <w:tcBorders>
                    <w:top w:val="nil"/>
                    <w:left w:val="nil"/>
                    <w:bottom w:val="nil"/>
                    <w:right w:val="nil"/>
                  </w:tcBorders>
                  <w:tcMar>
                    <w:left w:w="14" w:type="dxa"/>
                    <w:right w:w="0" w:type="dxa"/>
                  </w:tcMar>
                </w:tcPr>
                <w:p w14:paraId="2BDB2DB6"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4</w:t>
                  </w:r>
                </w:p>
              </w:tc>
            </w:tr>
            <w:tr w:rsidR="00BD3831" w:rsidRPr="00D232FE" w14:paraId="7EB3060A" w14:textId="77777777" w:rsidTr="00DF6715">
              <w:trPr>
                <w:trHeight w:val="188"/>
              </w:trPr>
              <w:tc>
                <w:tcPr>
                  <w:tcW w:w="2102" w:type="dxa"/>
                  <w:tcBorders>
                    <w:top w:val="nil"/>
                    <w:left w:val="nil"/>
                    <w:bottom w:val="nil"/>
                    <w:right w:val="nil"/>
                  </w:tcBorders>
                  <w:tcMar>
                    <w:left w:w="14" w:type="dxa"/>
                    <w:right w:w="0" w:type="dxa"/>
                  </w:tcMar>
                </w:tcPr>
                <w:p w14:paraId="3F1B8746"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إطار إدارة التغيير</w:t>
                  </w:r>
                </w:p>
              </w:tc>
              <w:tc>
                <w:tcPr>
                  <w:tcW w:w="567" w:type="dxa"/>
                  <w:tcBorders>
                    <w:top w:val="nil"/>
                    <w:left w:val="nil"/>
                    <w:bottom w:val="nil"/>
                    <w:right w:val="nil"/>
                  </w:tcBorders>
                  <w:tcMar>
                    <w:left w:w="14" w:type="dxa"/>
                    <w:right w:w="0" w:type="dxa"/>
                  </w:tcMar>
                </w:tcPr>
                <w:p w14:paraId="1E214DD1"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2</w:t>
                  </w:r>
                </w:p>
              </w:tc>
            </w:tr>
            <w:tr w:rsidR="00BD3831" w:rsidRPr="00D232FE" w14:paraId="79B9A04A" w14:textId="77777777" w:rsidTr="00DF6715">
              <w:trPr>
                <w:trHeight w:val="187"/>
              </w:trPr>
              <w:tc>
                <w:tcPr>
                  <w:tcW w:w="2102" w:type="dxa"/>
                  <w:tcBorders>
                    <w:top w:val="nil"/>
                    <w:left w:val="nil"/>
                    <w:bottom w:val="nil"/>
                    <w:right w:val="nil"/>
                  </w:tcBorders>
                  <w:tcMar>
                    <w:left w:w="14" w:type="dxa"/>
                    <w:right w:w="0" w:type="dxa"/>
                  </w:tcMar>
                </w:tcPr>
                <w:p w14:paraId="34FBB9E6"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إطار النتائج الاستراتيجية المشترك</w:t>
                  </w:r>
                </w:p>
              </w:tc>
              <w:tc>
                <w:tcPr>
                  <w:tcW w:w="567" w:type="dxa"/>
                  <w:tcBorders>
                    <w:top w:val="nil"/>
                    <w:left w:val="nil"/>
                    <w:bottom w:val="nil"/>
                    <w:right w:val="nil"/>
                  </w:tcBorders>
                  <w:tcMar>
                    <w:left w:w="14" w:type="dxa"/>
                    <w:right w:w="0" w:type="dxa"/>
                  </w:tcMar>
                </w:tcPr>
                <w:p w14:paraId="38178798"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5</w:t>
                  </w:r>
                </w:p>
              </w:tc>
            </w:tr>
            <w:tr w:rsidR="00BD3831" w:rsidRPr="00D232FE" w14:paraId="43CBFFEE" w14:textId="77777777" w:rsidTr="00DF6715">
              <w:trPr>
                <w:trHeight w:val="375"/>
              </w:trPr>
              <w:tc>
                <w:tcPr>
                  <w:tcW w:w="2102" w:type="dxa"/>
                  <w:tcBorders>
                    <w:top w:val="nil"/>
                    <w:left w:val="nil"/>
                    <w:bottom w:val="nil"/>
                    <w:right w:val="nil"/>
                  </w:tcBorders>
                  <w:tcMar>
                    <w:left w:w="14" w:type="dxa"/>
                    <w:right w:w="0" w:type="dxa"/>
                  </w:tcMar>
                </w:tcPr>
                <w:p w14:paraId="6147416C"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Pr>
                      <w:rFonts w:ascii="Arabic Typesetting" w:hAnsi="Arabic Typesetting" w:cs="Arabic Typesetting"/>
                      <w:color w:val="002060"/>
                      <w:sz w:val="28"/>
                      <w:szCs w:val="28"/>
                      <w:rtl/>
                    </w:rPr>
                    <w:t>- برامج ومشاريع أطر النتائج</w:t>
                  </w:r>
                </w:p>
              </w:tc>
              <w:tc>
                <w:tcPr>
                  <w:tcW w:w="567" w:type="dxa"/>
                  <w:tcBorders>
                    <w:top w:val="nil"/>
                    <w:left w:val="nil"/>
                    <w:bottom w:val="nil"/>
                    <w:right w:val="nil"/>
                  </w:tcBorders>
                  <w:tcMar>
                    <w:left w:w="14" w:type="dxa"/>
                    <w:right w:w="0" w:type="dxa"/>
                  </w:tcMar>
                </w:tcPr>
                <w:p w14:paraId="05A5C6E5"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4</w:t>
                  </w:r>
                </w:p>
              </w:tc>
            </w:tr>
            <w:tr w:rsidR="00BD3831" w:rsidRPr="00D232FE" w14:paraId="4D7304D4" w14:textId="77777777" w:rsidTr="00DF6715">
              <w:trPr>
                <w:trHeight w:val="188"/>
              </w:trPr>
              <w:tc>
                <w:tcPr>
                  <w:tcW w:w="2102" w:type="dxa"/>
                  <w:tcBorders>
                    <w:top w:val="nil"/>
                    <w:left w:val="nil"/>
                    <w:bottom w:val="nil"/>
                    <w:right w:val="nil"/>
                  </w:tcBorders>
                  <w:tcMar>
                    <w:left w:w="14" w:type="dxa"/>
                    <w:right w:w="0" w:type="dxa"/>
                  </w:tcMar>
                </w:tcPr>
                <w:p w14:paraId="042624E8"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نظام قياس النتائج</w:t>
                  </w:r>
                </w:p>
              </w:tc>
              <w:tc>
                <w:tcPr>
                  <w:tcW w:w="567" w:type="dxa"/>
                  <w:tcBorders>
                    <w:top w:val="nil"/>
                    <w:left w:val="nil"/>
                    <w:bottom w:val="nil"/>
                    <w:right w:val="nil"/>
                  </w:tcBorders>
                  <w:tcMar>
                    <w:left w:w="14" w:type="dxa"/>
                    <w:right w:w="0" w:type="dxa"/>
                  </w:tcMar>
                </w:tcPr>
                <w:p w14:paraId="46628AC8"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4</w:t>
                  </w:r>
                </w:p>
              </w:tc>
            </w:tr>
            <w:tr w:rsidR="00BD3831" w:rsidRPr="00D232FE" w14:paraId="70188648" w14:textId="77777777" w:rsidTr="00DF6715">
              <w:trPr>
                <w:trHeight w:val="188"/>
              </w:trPr>
              <w:tc>
                <w:tcPr>
                  <w:tcW w:w="2102" w:type="dxa"/>
                  <w:tcBorders>
                    <w:top w:val="nil"/>
                    <w:left w:val="nil"/>
                    <w:bottom w:val="nil"/>
                    <w:right w:val="nil"/>
                  </w:tcBorders>
                  <w:tcMar>
                    <w:left w:w="14" w:type="dxa"/>
                    <w:right w:w="0" w:type="dxa"/>
                  </w:tcMar>
                </w:tcPr>
                <w:p w14:paraId="508D219D"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الميزنة القائمة على النتائج</w:t>
                  </w:r>
                </w:p>
              </w:tc>
              <w:tc>
                <w:tcPr>
                  <w:tcW w:w="567" w:type="dxa"/>
                  <w:tcBorders>
                    <w:top w:val="nil"/>
                    <w:left w:val="nil"/>
                    <w:bottom w:val="nil"/>
                    <w:right w:val="nil"/>
                  </w:tcBorders>
                  <w:tcMar>
                    <w:left w:w="14" w:type="dxa"/>
                    <w:right w:w="0" w:type="dxa"/>
                  </w:tcMar>
                </w:tcPr>
                <w:p w14:paraId="514F73C1"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4</w:t>
                  </w:r>
                </w:p>
              </w:tc>
            </w:tr>
            <w:tr w:rsidR="00BD3831" w:rsidRPr="00D232FE" w14:paraId="2C5D9A44" w14:textId="77777777" w:rsidTr="00DF6715">
              <w:trPr>
                <w:trHeight w:val="188"/>
              </w:trPr>
              <w:tc>
                <w:tcPr>
                  <w:tcW w:w="2102" w:type="dxa"/>
                  <w:tcBorders>
                    <w:top w:val="nil"/>
                    <w:left w:val="nil"/>
                    <w:bottom w:val="nil"/>
                    <w:right w:val="nil"/>
                  </w:tcBorders>
                  <w:tcMar>
                    <w:left w:w="14" w:type="dxa"/>
                    <w:right w:w="0" w:type="dxa"/>
                  </w:tcMar>
                </w:tcPr>
                <w:p w14:paraId="77E469D2"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xml:space="preserve">- إدارة الموارد البشرية </w:t>
                  </w:r>
                </w:p>
              </w:tc>
              <w:tc>
                <w:tcPr>
                  <w:tcW w:w="567" w:type="dxa"/>
                  <w:tcBorders>
                    <w:top w:val="nil"/>
                    <w:left w:val="nil"/>
                    <w:bottom w:val="nil"/>
                    <w:right w:val="nil"/>
                  </w:tcBorders>
                  <w:tcMar>
                    <w:left w:w="14" w:type="dxa"/>
                    <w:right w:w="0" w:type="dxa"/>
                  </w:tcMar>
                </w:tcPr>
                <w:p w14:paraId="10BC8C43"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3</w:t>
                  </w:r>
                </w:p>
              </w:tc>
            </w:tr>
            <w:tr w:rsidR="00BD3831" w:rsidRPr="00D232FE" w14:paraId="7B3965E5" w14:textId="77777777" w:rsidTr="00DF6715">
              <w:trPr>
                <w:trHeight w:val="365"/>
              </w:trPr>
              <w:tc>
                <w:tcPr>
                  <w:tcW w:w="2102" w:type="dxa"/>
                  <w:tcBorders>
                    <w:top w:val="nil"/>
                    <w:left w:val="nil"/>
                    <w:bottom w:val="nil"/>
                    <w:right w:val="nil"/>
                  </w:tcBorders>
                  <w:tcMar>
                    <w:left w:w="14" w:type="dxa"/>
                    <w:right w:w="0" w:type="dxa"/>
                  </w:tcMar>
                </w:tcPr>
                <w:p w14:paraId="1DF3F7D3"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Pr>
                      <w:rFonts w:ascii="Arabic Typesetting" w:hAnsi="Arabic Typesetting" w:cs="Arabic Typesetting"/>
                      <w:color w:val="002060"/>
                      <w:sz w:val="28"/>
                      <w:szCs w:val="28"/>
                      <w:rtl/>
                    </w:rPr>
                    <w:t>- رصد الأداء والنتائج</w:t>
                  </w:r>
                </w:p>
              </w:tc>
              <w:tc>
                <w:tcPr>
                  <w:tcW w:w="567" w:type="dxa"/>
                  <w:tcBorders>
                    <w:top w:val="nil"/>
                    <w:left w:val="nil"/>
                    <w:bottom w:val="nil"/>
                    <w:right w:val="nil"/>
                  </w:tcBorders>
                  <w:tcMar>
                    <w:left w:w="14" w:type="dxa"/>
                    <w:right w:w="0" w:type="dxa"/>
                  </w:tcMar>
                </w:tcPr>
                <w:p w14:paraId="33771A51"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4</w:t>
                  </w:r>
                </w:p>
              </w:tc>
            </w:tr>
            <w:tr w:rsidR="00BD3831" w:rsidRPr="00D232FE" w14:paraId="66053E73" w14:textId="77777777" w:rsidTr="00DF6715">
              <w:trPr>
                <w:trHeight w:val="375"/>
              </w:trPr>
              <w:tc>
                <w:tcPr>
                  <w:tcW w:w="2102" w:type="dxa"/>
                  <w:tcBorders>
                    <w:top w:val="nil"/>
                    <w:left w:val="nil"/>
                    <w:bottom w:val="nil"/>
                    <w:right w:val="nil"/>
                  </w:tcBorders>
                  <w:tcMar>
                    <w:left w:w="14" w:type="dxa"/>
                    <w:right w:w="0" w:type="dxa"/>
                  </w:tcMar>
                </w:tcPr>
                <w:p w14:paraId="6407058A"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تقديم تقارير عن النتائج والإبلاغ بها</w:t>
                  </w:r>
                </w:p>
              </w:tc>
              <w:tc>
                <w:tcPr>
                  <w:tcW w:w="567" w:type="dxa"/>
                  <w:tcBorders>
                    <w:top w:val="nil"/>
                    <w:left w:val="nil"/>
                    <w:bottom w:val="nil"/>
                    <w:right w:val="nil"/>
                  </w:tcBorders>
                  <w:tcMar>
                    <w:left w:w="14" w:type="dxa"/>
                    <w:right w:w="0" w:type="dxa"/>
                  </w:tcMar>
                </w:tcPr>
                <w:p w14:paraId="7C6C6901"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4</w:t>
                  </w:r>
                </w:p>
              </w:tc>
            </w:tr>
            <w:tr w:rsidR="00BD3831" w:rsidRPr="00D232FE" w14:paraId="4AA92A19" w14:textId="77777777" w:rsidTr="00DF6715">
              <w:trPr>
                <w:trHeight w:val="188"/>
              </w:trPr>
              <w:tc>
                <w:tcPr>
                  <w:tcW w:w="2102" w:type="dxa"/>
                  <w:tcBorders>
                    <w:top w:val="nil"/>
                    <w:left w:val="nil"/>
                    <w:bottom w:val="nil"/>
                    <w:right w:val="nil"/>
                  </w:tcBorders>
                  <w:tcMar>
                    <w:left w:w="14" w:type="dxa"/>
                    <w:right w:w="0" w:type="dxa"/>
                  </w:tcMar>
                </w:tcPr>
                <w:p w14:paraId="7239C1FA"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التقييم</w:t>
                  </w:r>
                </w:p>
              </w:tc>
              <w:tc>
                <w:tcPr>
                  <w:tcW w:w="567" w:type="dxa"/>
                  <w:tcBorders>
                    <w:top w:val="nil"/>
                    <w:left w:val="nil"/>
                    <w:bottom w:val="nil"/>
                    <w:right w:val="nil"/>
                  </w:tcBorders>
                  <w:tcMar>
                    <w:left w:w="14" w:type="dxa"/>
                    <w:right w:w="0" w:type="dxa"/>
                  </w:tcMar>
                </w:tcPr>
                <w:p w14:paraId="2CD38BDB"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3</w:t>
                  </w:r>
                </w:p>
              </w:tc>
            </w:tr>
            <w:tr w:rsidR="00BD3831" w:rsidRPr="00D232FE" w14:paraId="217B7EC9" w14:textId="77777777" w:rsidTr="00DF6715">
              <w:trPr>
                <w:trHeight w:val="188"/>
              </w:trPr>
              <w:tc>
                <w:tcPr>
                  <w:tcW w:w="2102" w:type="dxa"/>
                  <w:tcBorders>
                    <w:top w:val="nil"/>
                    <w:left w:val="nil"/>
                    <w:bottom w:val="nil"/>
                    <w:right w:val="nil"/>
                  </w:tcBorders>
                  <w:tcMar>
                    <w:left w:w="14" w:type="dxa"/>
                    <w:right w:w="0" w:type="dxa"/>
                  </w:tcMar>
                </w:tcPr>
                <w:p w14:paraId="56C0DD3E"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أنظمة المعلومات الإدارية</w:t>
                  </w:r>
                </w:p>
              </w:tc>
              <w:tc>
                <w:tcPr>
                  <w:tcW w:w="567" w:type="dxa"/>
                  <w:tcBorders>
                    <w:top w:val="nil"/>
                    <w:left w:val="nil"/>
                    <w:bottom w:val="nil"/>
                    <w:right w:val="nil"/>
                  </w:tcBorders>
                  <w:tcMar>
                    <w:left w:w="14" w:type="dxa"/>
                    <w:right w:w="0" w:type="dxa"/>
                  </w:tcMar>
                </w:tcPr>
                <w:p w14:paraId="3FF47D66"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4</w:t>
                  </w:r>
                </w:p>
              </w:tc>
            </w:tr>
            <w:tr w:rsidR="00BD3831" w:rsidRPr="00D232FE" w14:paraId="4B760B97" w14:textId="77777777" w:rsidTr="00DF6715">
              <w:trPr>
                <w:trHeight w:val="188"/>
              </w:trPr>
              <w:tc>
                <w:tcPr>
                  <w:tcW w:w="2102" w:type="dxa"/>
                  <w:tcBorders>
                    <w:top w:val="nil"/>
                    <w:left w:val="nil"/>
                    <w:bottom w:val="nil"/>
                    <w:right w:val="nil"/>
                  </w:tcBorders>
                  <w:tcMar>
                    <w:left w:w="14" w:type="dxa"/>
                    <w:right w:w="0" w:type="dxa"/>
                  </w:tcMar>
                </w:tcPr>
                <w:p w14:paraId="19BB987F"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الاستيعاب الداخلي</w:t>
                  </w:r>
                </w:p>
              </w:tc>
              <w:tc>
                <w:tcPr>
                  <w:tcW w:w="567" w:type="dxa"/>
                  <w:tcBorders>
                    <w:top w:val="nil"/>
                    <w:left w:val="nil"/>
                    <w:bottom w:val="nil"/>
                    <w:right w:val="nil"/>
                  </w:tcBorders>
                  <w:tcMar>
                    <w:left w:w="14" w:type="dxa"/>
                    <w:right w:w="0" w:type="dxa"/>
                  </w:tcMar>
                </w:tcPr>
                <w:p w14:paraId="4CD611CF"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4</w:t>
                  </w:r>
                </w:p>
              </w:tc>
            </w:tr>
            <w:tr w:rsidR="00BD3831" w:rsidRPr="00D232FE" w14:paraId="59576694" w14:textId="77777777" w:rsidTr="00DF6715">
              <w:trPr>
                <w:trHeight w:val="188"/>
              </w:trPr>
              <w:tc>
                <w:tcPr>
                  <w:tcW w:w="2102" w:type="dxa"/>
                  <w:tcBorders>
                    <w:top w:val="nil"/>
                    <w:left w:val="nil"/>
                    <w:bottom w:val="nil"/>
                    <w:right w:val="nil"/>
                  </w:tcBorders>
                  <w:tcMar>
                    <w:left w:w="14" w:type="dxa"/>
                    <w:right w:w="0" w:type="dxa"/>
                  </w:tcMar>
                </w:tcPr>
                <w:p w14:paraId="0AA76E16"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Pr>
                      <w:rFonts w:ascii="Arabic Typesetting" w:hAnsi="Arabic Typesetting" w:cs="Arabic Typesetting"/>
                      <w:color w:val="002060"/>
                      <w:sz w:val="28"/>
                      <w:szCs w:val="28"/>
                      <w:rtl/>
                    </w:rPr>
                    <w:t>- القيادة</w:t>
                  </w:r>
                </w:p>
              </w:tc>
              <w:tc>
                <w:tcPr>
                  <w:tcW w:w="567" w:type="dxa"/>
                  <w:tcBorders>
                    <w:top w:val="nil"/>
                    <w:left w:val="nil"/>
                    <w:bottom w:val="nil"/>
                    <w:right w:val="nil"/>
                  </w:tcBorders>
                  <w:tcMar>
                    <w:left w:w="14" w:type="dxa"/>
                    <w:right w:w="0" w:type="dxa"/>
                  </w:tcMar>
                </w:tcPr>
                <w:p w14:paraId="5436E761"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4</w:t>
                  </w:r>
                </w:p>
              </w:tc>
            </w:tr>
            <w:tr w:rsidR="00BD3831" w:rsidRPr="00D232FE" w14:paraId="4AD7D44C" w14:textId="77777777" w:rsidTr="00DF6715">
              <w:trPr>
                <w:trHeight w:val="167"/>
              </w:trPr>
              <w:tc>
                <w:tcPr>
                  <w:tcW w:w="2102" w:type="dxa"/>
                  <w:tcBorders>
                    <w:top w:val="nil"/>
                    <w:left w:val="nil"/>
                    <w:bottom w:val="nil"/>
                    <w:right w:val="nil"/>
                  </w:tcBorders>
                  <w:tcMar>
                    <w:left w:w="14" w:type="dxa"/>
                    <w:right w:w="0" w:type="dxa"/>
                  </w:tcMar>
                </w:tcPr>
                <w:p w14:paraId="09071CA7" w14:textId="77777777" w:rsidR="00BD3831" w:rsidRPr="00D232FE" w:rsidRDefault="00BD3831" w:rsidP="0031289D">
                  <w:pPr>
                    <w:bidi/>
                    <w:spacing w:after="120"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 استخدام النتائج والالتزام بالتعلم</w:t>
                  </w:r>
                </w:p>
              </w:tc>
              <w:tc>
                <w:tcPr>
                  <w:tcW w:w="567" w:type="dxa"/>
                  <w:tcBorders>
                    <w:top w:val="nil"/>
                    <w:left w:val="nil"/>
                    <w:bottom w:val="nil"/>
                    <w:right w:val="nil"/>
                  </w:tcBorders>
                  <w:tcMar>
                    <w:left w:w="14" w:type="dxa"/>
                    <w:right w:w="0" w:type="dxa"/>
                  </w:tcMar>
                </w:tcPr>
                <w:p w14:paraId="70E2E0D2" w14:textId="77777777" w:rsidR="00BD3831" w:rsidRPr="00D232FE" w:rsidRDefault="00BD3831" w:rsidP="0031289D">
                  <w:pPr>
                    <w:bidi/>
                    <w:spacing w:after="120" w:line="280" w:lineRule="exact"/>
                    <w:ind w:right="-10"/>
                    <w:jc w:val="center"/>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3</w:t>
                  </w:r>
                </w:p>
              </w:tc>
            </w:tr>
          </w:tbl>
          <w:p w14:paraId="54F832C3" w14:textId="77777777" w:rsidR="00BD3831" w:rsidRPr="00D232FE" w:rsidRDefault="00BD3831" w:rsidP="0031289D">
            <w:pPr>
              <w:bidi/>
              <w:spacing w:after="120" w:line="280" w:lineRule="exact"/>
              <w:rPr>
                <w:rFonts w:ascii="Arabic Typesetting" w:eastAsia="Arabic Typesetting" w:hAnsi="Arabic Typesetting" w:cs="Arabic Typesetting"/>
                <w:i/>
                <w:color w:val="000000"/>
                <w:sz w:val="28"/>
                <w:szCs w:val="28"/>
                <w:lang w:eastAsia="ar-EG" w:bidi="ar-EG"/>
              </w:rPr>
            </w:pPr>
          </w:p>
          <w:p w14:paraId="50C043CC" w14:textId="77777777" w:rsidR="00BD3831" w:rsidRPr="00D232F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t>أساس المقارنة الأصلي</w:t>
            </w:r>
            <w:r w:rsidRPr="00D232FE">
              <w:rPr>
                <w:rFonts w:ascii="Arabic Typesetting" w:eastAsia="Arabic Typesetting" w:hAnsi="Arabic Typesetting" w:cs="Arabic Typesetting"/>
                <w:i/>
                <w:iCs/>
                <w:sz w:val="28"/>
                <w:szCs w:val="28"/>
                <w:rtl/>
                <w:lang w:eastAsia="ar-EG" w:bidi="ar-EG"/>
              </w:rPr>
              <w:t>:</w:t>
            </w:r>
            <w:r w:rsidRPr="00D232FE">
              <w:rPr>
                <w:rFonts w:ascii="Arabic Typesetting" w:eastAsia="Arabic Typesetting" w:hAnsi="Arabic Typesetting" w:cs="Arabic Typesetting"/>
                <w:i/>
                <w:sz w:val="28"/>
                <w:szCs w:val="28"/>
                <w:lang w:eastAsia="ar-EG" w:bidi="ar-EG"/>
              </w:rPr>
              <w:br/>
            </w:r>
            <w:r w:rsidRPr="00D232F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D232FE">
              <w:rPr>
                <w:rFonts w:ascii="Arabic Typesetting" w:eastAsia="Arabic Typesetting" w:hAnsi="Arabic Typesetting" w:cs="Arabic Typesetting"/>
                <w:sz w:val="28"/>
                <w:szCs w:val="28"/>
                <w:rtl/>
                <w:lang w:eastAsia="ar-EG" w:bidi="ar-EG"/>
              </w:rPr>
              <w:t>مستوى النضج الثاني</w:t>
            </w:r>
          </w:p>
        </w:tc>
        <w:tc>
          <w:tcPr>
            <w:tcW w:w="662" w:type="pct"/>
            <w:shd w:val="clear" w:color="auto" w:fill="auto"/>
            <w:tcMar>
              <w:top w:w="110" w:type="dxa"/>
              <w:left w:w="58" w:type="dxa"/>
              <w:right w:w="58" w:type="dxa"/>
            </w:tcMar>
          </w:tcPr>
          <w:p w14:paraId="7AF5C498" w14:textId="77777777" w:rsidR="00BD3831" w:rsidRDefault="00BD3831"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مستوى النضج الرابع</w:t>
            </w:r>
          </w:p>
          <w:p w14:paraId="4183F31B" w14:textId="67298957" w:rsidR="00BD3831" w:rsidRPr="00D232F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الهدف الأصلي</w:t>
            </w:r>
            <w:r w:rsidR="000C4432">
              <w:rPr>
                <w:rFonts w:ascii="Arabic Typesetting" w:eastAsia="Arabic Typesetting" w:hAnsi="Arabic Typesetting" w:cs="Arabic Typesetting" w:hint="cs"/>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مستوى النضج الثالث</w:t>
            </w:r>
          </w:p>
        </w:tc>
        <w:tc>
          <w:tcPr>
            <w:tcW w:w="1486" w:type="pct"/>
            <w:gridSpan w:val="3"/>
            <w:shd w:val="clear" w:color="auto" w:fill="FFFFFF"/>
            <w:tcMar>
              <w:top w:w="110" w:type="dxa"/>
              <w:left w:w="58" w:type="dxa"/>
              <w:right w:w="58" w:type="dxa"/>
            </w:tcMar>
          </w:tcPr>
          <w:p w14:paraId="7E121E42" w14:textId="77777777" w:rsidR="00BD3831" w:rsidRPr="00D232FE"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تقييم يُجرى كل سنتين</w:t>
            </w:r>
          </w:p>
        </w:tc>
        <w:tc>
          <w:tcPr>
            <w:tcW w:w="467" w:type="pct"/>
            <w:gridSpan w:val="2"/>
            <w:shd w:val="clear" w:color="auto" w:fill="auto"/>
            <w:tcMar>
              <w:top w:w="110" w:type="dxa"/>
              <w:left w:w="58" w:type="dxa"/>
              <w:right w:w="58" w:type="dxa"/>
            </w:tcMar>
          </w:tcPr>
          <w:p w14:paraId="181FC6CF" w14:textId="77777777" w:rsidR="00BD3831" w:rsidRPr="00D232FE" w:rsidRDefault="00BD3831" w:rsidP="0031289D">
            <w:pPr>
              <w:keepNext/>
              <w:bidi/>
              <w:spacing w:after="120" w:line="280" w:lineRule="exact"/>
              <w:jc w:val="center"/>
              <w:rPr>
                <w:rFonts w:ascii="Arabic Typesetting" w:eastAsia="Arabic Typesetting" w:hAnsi="Arabic Typesetting" w:cs="Arabic Typesetting"/>
                <w:b/>
                <w:color w:val="000000"/>
                <w:sz w:val="28"/>
                <w:szCs w:val="28"/>
                <w:lang w:eastAsia="ar-EG" w:bidi="ar-EG"/>
              </w:rPr>
            </w:pPr>
            <w:r w:rsidRPr="00D232FE">
              <w:rPr>
                <w:rFonts w:ascii="Arabic Typesetting" w:eastAsia="Arabic Typesetting" w:hAnsi="Arabic Typesetting" w:cs="Arabic Typesetting"/>
                <w:b/>
                <w:bCs/>
                <w:color w:val="0070C0"/>
                <w:sz w:val="28"/>
                <w:szCs w:val="28"/>
                <w:rtl/>
                <w:lang w:eastAsia="ar-EG" w:bidi="ar-EG"/>
              </w:rPr>
              <w:t>غير متاح في</w:t>
            </w:r>
            <w:r>
              <w:rPr>
                <w:rFonts w:ascii="Arabic Typesetting" w:eastAsia="Arabic Typesetting" w:hAnsi="Arabic Typesetting" w:cs="Arabic Typesetting" w:hint="cs"/>
                <w:b/>
                <w:bCs/>
                <w:color w:val="0070C0"/>
                <w:sz w:val="28"/>
                <w:szCs w:val="28"/>
                <w:rtl/>
                <w:lang w:eastAsia="ar-EG" w:bidi="ar-EG"/>
              </w:rPr>
              <w:t> </w:t>
            </w:r>
            <w:r w:rsidRPr="00D232FE">
              <w:rPr>
                <w:rFonts w:ascii="Arabic Typesetting" w:eastAsia="Arabic Typesetting" w:hAnsi="Arabic Typesetting" w:cs="Arabic Typesetting"/>
                <w:b/>
                <w:bCs/>
                <w:color w:val="0070C0"/>
                <w:sz w:val="28"/>
                <w:szCs w:val="28"/>
                <w:rtl/>
                <w:lang w:eastAsia="ar-EG" w:bidi="ar-EG"/>
              </w:rPr>
              <w:t>2016</w:t>
            </w:r>
          </w:p>
        </w:tc>
      </w:tr>
      <w:tr w:rsidR="00BD3831" w:rsidRPr="00D232FE" w14:paraId="25CFEAFE" w14:textId="77777777" w:rsidTr="00DF6715">
        <w:trPr>
          <w:cantSplit/>
          <w:trHeight w:val="3806"/>
        </w:trPr>
        <w:tc>
          <w:tcPr>
            <w:tcW w:w="905" w:type="pct"/>
            <w:shd w:val="clear" w:color="auto" w:fill="auto"/>
            <w:tcMar>
              <w:left w:w="58" w:type="dxa"/>
              <w:right w:w="58" w:type="dxa"/>
            </w:tcMar>
          </w:tcPr>
          <w:p w14:paraId="1B0563A8"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lastRenderedPageBreak/>
              <w:t>تماشي عوائد الأموال المستثمرة مع المعايير المرجعية التي وضعتها اللجنة الاستشارية المعنية بالاستثمار</w:t>
            </w:r>
          </w:p>
        </w:tc>
        <w:tc>
          <w:tcPr>
            <w:tcW w:w="1480" w:type="pct"/>
            <w:gridSpan w:val="2"/>
            <w:shd w:val="clear" w:color="auto" w:fill="auto"/>
            <w:tcMar>
              <w:left w:w="58" w:type="dxa"/>
              <w:right w:w="58" w:type="dxa"/>
            </w:tcMar>
          </w:tcPr>
          <w:p w14:paraId="38CCD928" w14:textId="77777777" w:rsidR="00BD38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 xml:space="preserve">تتواصل الاستثمارات مع السلطات السويسرية تماشيا مع المعايير المرجعية المحددة في </w:t>
            </w:r>
            <w:r>
              <w:rPr>
                <w:rFonts w:ascii="Arabic Typesetting" w:eastAsia="Arabic Typesetting" w:hAnsi="Arabic Typesetting" w:cs="Arabic Typesetting"/>
                <w:color w:val="002060"/>
                <w:sz w:val="28"/>
                <w:szCs w:val="28"/>
                <w:rtl/>
                <w:lang w:eastAsia="ar-EG" w:bidi="ar-EG"/>
              </w:rPr>
              <w:t xml:space="preserve">2014/15. </w:t>
            </w:r>
            <w:r>
              <w:rPr>
                <w:rFonts w:ascii="Arabic Typesetting" w:eastAsia="Arabic Typesetting" w:hAnsi="Arabic Typesetting" w:cs="Arabic Typesetting" w:hint="cs"/>
                <w:color w:val="002060"/>
                <w:sz w:val="28"/>
                <w:szCs w:val="28"/>
                <w:rtl/>
                <w:lang w:eastAsia="ar-EG" w:bidi="ar-EG"/>
              </w:rPr>
              <w:t>و</w:t>
            </w:r>
            <w:r w:rsidRPr="00D232FE">
              <w:rPr>
                <w:rFonts w:ascii="Arabic Typesetting" w:eastAsia="Arabic Typesetting" w:hAnsi="Arabic Typesetting" w:cs="Arabic Typesetting"/>
                <w:color w:val="002060"/>
                <w:sz w:val="28"/>
                <w:szCs w:val="28"/>
                <w:rtl/>
                <w:lang w:eastAsia="ar-EG" w:bidi="ar-EG"/>
              </w:rPr>
              <w:t>تغيرت المعايير المرجعية في منتصف أكتوبر 2015 مع اعتماد سياسة الاستثمار الجديدة</w:t>
            </w:r>
          </w:p>
          <w:p w14:paraId="25B3A50E"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D232FE">
              <w:rPr>
                <w:rFonts w:ascii="Arabic Typesetting" w:eastAsia="Arabic Typesetting" w:hAnsi="Arabic Typesetting" w:cs="Arabic Typesetting"/>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تتواصل الاستثمارات مع السلطات السويسرية تماشيا مع المعايير التي حددتها اللجنة الاستشارية المعنية بالاستثمار في</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2014/15</w:t>
            </w:r>
            <w:r>
              <w:rPr>
                <w:rFonts w:ascii="Arabic Typesetting" w:eastAsia="Arabic Typesetting" w:hAnsi="Arabic Typesetting" w:cs="Arabic Typesetting" w:hint="cs"/>
                <w:color w:val="000000"/>
                <w:sz w:val="28"/>
                <w:szCs w:val="28"/>
                <w:rtl/>
                <w:lang w:eastAsia="ar-EG" w:bidi="ar-EG"/>
              </w:rPr>
              <w:t>.</w:t>
            </w:r>
          </w:p>
        </w:tc>
        <w:tc>
          <w:tcPr>
            <w:tcW w:w="662" w:type="pct"/>
            <w:shd w:val="clear" w:color="auto" w:fill="auto"/>
            <w:tcMar>
              <w:top w:w="110" w:type="dxa"/>
              <w:left w:w="58" w:type="dxa"/>
              <w:right w:w="58" w:type="dxa"/>
            </w:tcMar>
          </w:tcPr>
          <w:p w14:paraId="77CFD589" w14:textId="77777777" w:rsidR="00BD3831" w:rsidRDefault="00BD3831" w:rsidP="0031289D">
            <w:pPr>
              <w:bidi/>
              <w:spacing w:after="120" w:line="280" w:lineRule="exact"/>
              <w:ind w:right="-54"/>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تماشي عوائد الأموال المستثمرة مع المعايير المحددة في سياسة الاستثمار الجديدة</w:t>
            </w:r>
            <w:r w:rsidRPr="00D232FE">
              <w:rPr>
                <w:rFonts w:ascii="Arabic Typesetting" w:eastAsia="Arabic Typesetting" w:hAnsi="Arabic Typesetting" w:cs="Arabic Typesetting"/>
                <w:color w:val="002060"/>
                <w:sz w:val="28"/>
                <w:szCs w:val="28"/>
                <w:vertAlign w:val="superscript"/>
                <w:lang w:eastAsia="ar-EG" w:bidi="ar-EG"/>
              </w:rPr>
              <w:footnoteReference w:id="85"/>
            </w:r>
          </w:p>
          <w:p w14:paraId="7B3FE599" w14:textId="3F86B568" w:rsidR="00BD3831" w:rsidRPr="00D232FE" w:rsidRDefault="00BD3831" w:rsidP="0031289D">
            <w:pPr>
              <w:bidi/>
              <w:spacing w:after="120" w:line="280" w:lineRule="exact"/>
              <w:ind w:left="34"/>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الهدف الأصلي</w:t>
            </w:r>
            <w:r w:rsidR="000C4432">
              <w:rPr>
                <w:rFonts w:ascii="Arabic Typesetting" w:eastAsia="Arabic Typesetting" w:hAnsi="Arabic Typesetting" w:cs="Arabic Typesetting" w:hint="cs"/>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تماشي عوائد الأموال المستثمرة مع المعايير المرجعية التي حددتها اللجنة الاستشارية المعنية بالاستثمار في 2016/17</w:t>
            </w:r>
          </w:p>
        </w:tc>
        <w:tc>
          <w:tcPr>
            <w:tcW w:w="1486" w:type="pct"/>
            <w:gridSpan w:val="3"/>
            <w:shd w:val="clear" w:color="auto" w:fill="FFFFFF"/>
            <w:tcMar>
              <w:top w:w="110" w:type="dxa"/>
              <w:left w:w="58" w:type="dxa"/>
              <w:right w:w="58" w:type="dxa"/>
            </w:tcMar>
          </w:tcPr>
          <w:p w14:paraId="5D581019" w14:textId="77777777" w:rsidR="00BD3831" w:rsidRPr="00D232F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 xml:space="preserve">عوائد الأموال المستثمرة بالفرنك السويسري تجاوزت المعيار المرجعي بانتظام طوال العام. </w:t>
            </w:r>
            <w:r>
              <w:rPr>
                <w:rFonts w:ascii="Arabic Typesetting" w:eastAsia="Arabic Typesetting" w:hAnsi="Arabic Typesetting" w:cs="Arabic Typesetting" w:hint="cs"/>
                <w:color w:val="000000"/>
                <w:sz w:val="28"/>
                <w:szCs w:val="28"/>
                <w:rtl/>
                <w:lang w:eastAsia="ar-EG" w:bidi="ar-EG"/>
              </w:rPr>
              <w:t>و</w:t>
            </w:r>
            <w:r w:rsidRPr="00D232FE">
              <w:rPr>
                <w:rFonts w:ascii="Arabic Typesetting" w:eastAsia="Arabic Typesetting" w:hAnsi="Arabic Typesetting" w:cs="Arabic Typesetting"/>
                <w:color w:val="000000"/>
                <w:sz w:val="28"/>
                <w:szCs w:val="28"/>
                <w:rtl/>
                <w:lang w:eastAsia="ar-EG" w:bidi="ar-EG"/>
              </w:rPr>
              <w:t>تحسن وضوح</w:t>
            </w:r>
            <w:r>
              <w:rPr>
                <w:rFonts w:ascii="Arabic Typesetting" w:eastAsia="Arabic Typesetting" w:hAnsi="Arabic Typesetting" w:cs="Arabic Typesetting" w:hint="cs"/>
                <w:color w:val="000000"/>
                <w:sz w:val="28"/>
                <w:szCs w:val="28"/>
                <w:rtl/>
                <w:lang w:eastAsia="ar-EG" w:bidi="ar-EG"/>
              </w:rPr>
              <w:t xml:space="preserve"> حالة</w:t>
            </w:r>
            <w:r>
              <w:rPr>
                <w:rFonts w:ascii="Arabic Typesetting" w:eastAsia="Arabic Typesetting" w:hAnsi="Arabic Typesetting" w:cs="Arabic Typesetting"/>
                <w:color w:val="000000"/>
                <w:sz w:val="28"/>
                <w:szCs w:val="28"/>
                <w:rtl/>
                <w:lang w:eastAsia="ar-EG" w:bidi="ar-EG"/>
              </w:rPr>
              <w:t xml:space="preserve"> النقد وتوقعات</w:t>
            </w:r>
            <w:r>
              <w:rPr>
                <w:rFonts w:ascii="Arabic Typesetting" w:eastAsia="Arabic Typesetting" w:hAnsi="Arabic Typesetting" w:cs="Arabic Typesetting" w:hint="cs"/>
                <w:color w:val="000000"/>
                <w:sz w:val="28"/>
                <w:szCs w:val="28"/>
                <w:rtl/>
                <w:lang w:eastAsia="ar-EG" w:bidi="ar-EG"/>
              </w:rPr>
              <w:t xml:space="preserve"> النقد</w:t>
            </w:r>
            <w:r w:rsidRPr="00D232FE">
              <w:rPr>
                <w:rFonts w:ascii="Arabic Typesetting" w:eastAsia="Arabic Typesetting" w:hAnsi="Arabic Typesetting" w:cs="Arabic Typesetting"/>
                <w:color w:val="000000"/>
                <w:sz w:val="28"/>
                <w:szCs w:val="28"/>
                <w:rtl/>
                <w:lang w:eastAsia="ar-EG" w:bidi="ar-EG"/>
              </w:rPr>
              <w:t xml:space="preserve"> أتاح الاستثمار في اليورو لفترات أقل من شهر وتجاوزت عوائد تلك الاستثما</w:t>
            </w:r>
            <w:r>
              <w:rPr>
                <w:rFonts w:ascii="Arabic Typesetting" w:eastAsia="Arabic Typesetting" w:hAnsi="Arabic Typesetting" w:cs="Arabic Typesetting" w:hint="cs"/>
                <w:color w:val="000000"/>
                <w:sz w:val="28"/>
                <w:szCs w:val="28"/>
                <w:rtl/>
                <w:lang w:eastAsia="ar-EG" w:bidi="ar-EG"/>
              </w:rPr>
              <w:t>ر</w:t>
            </w:r>
            <w:r w:rsidRPr="00D232FE">
              <w:rPr>
                <w:rFonts w:ascii="Arabic Typesetting" w:eastAsia="Arabic Typesetting" w:hAnsi="Arabic Typesetting" w:cs="Arabic Typesetting"/>
                <w:color w:val="000000"/>
                <w:sz w:val="28"/>
                <w:szCs w:val="28"/>
                <w:rtl/>
                <w:lang w:eastAsia="ar-EG" w:bidi="ar-EG"/>
              </w:rPr>
              <w:t xml:space="preserve">ات المعيار المرجعي منذ بدايتها (أغسطس 2016). </w:t>
            </w:r>
            <w:r>
              <w:rPr>
                <w:rFonts w:ascii="Arabic Typesetting" w:eastAsia="Arabic Typesetting" w:hAnsi="Arabic Typesetting" w:cs="Arabic Typesetting" w:hint="cs"/>
                <w:color w:val="000000"/>
                <w:sz w:val="28"/>
                <w:szCs w:val="28"/>
                <w:rtl/>
                <w:lang w:eastAsia="ar-EG" w:bidi="ar-EG"/>
              </w:rPr>
              <w:t>و</w:t>
            </w:r>
            <w:r w:rsidRPr="00D232FE">
              <w:rPr>
                <w:rFonts w:ascii="Arabic Typesetting" w:eastAsia="Arabic Typesetting" w:hAnsi="Arabic Typesetting" w:cs="Arabic Typesetting"/>
                <w:color w:val="000000"/>
                <w:sz w:val="28"/>
                <w:szCs w:val="28"/>
                <w:rtl/>
                <w:lang w:eastAsia="ar-EG" w:bidi="ar-EG"/>
              </w:rPr>
              <w:t xml:space="preserve">تفادت الأرصدة النقدية بالفرنك السويسري </w:t>
            </w:r>
            <w:r>
              <w:rPr>
                <w:rFonts w:ascii="Arabic Typesetting" w:eastAsia="Arabic Typesetting" w:hAnsi="Arabic Typesetting" w:cs="Arabic Typesetting" w:hint="cs"/>
                <w:color w:val="000000"/>
                <w:sz w:val="28"/>
                <w:szCs w:val="28"/>
                <w:rtl/>
                <w:lang w:eastAsia="ar-EG" w:bidi="ar-EG"/>
              </w:rPr>
              <w:t>الخسارة</w:t>
            </w:r>
            <w:r w:rsidRPr="00D232FE">
              <w:rPr>
                <w:rFonts w:ascii="Arabic Typesetting" w:eastAsia="Arabic Typesetting" w:hAnsi="Arabic Typesetting" w:cs="Arabic Typesetting"/>
                <w:color w:val="000000"/>
                <w:sz w:val="28"/>
                <w:szCs w:val="28"/>
                <w:rtl/>
                <w:lang w:eastAsia="ar-EG" w:bidi="ar-EG"/>
              </w:rPr>
              <w:t xml:space="preserve"> بسبب المعدلات السلبية </w:t>
            </w:r>
            <w:r>
              <w:rPr>
                <w:rFonts w:ascii="Arabic Typesetting" w:eastAsia="Arabic Typesetting" w:hAnsi="Arabic Typesetting" w:cs="Arabic Typesetting" w:hint="cs"/>
                <w:color w:val="000000"/>
                <w:sz w:val="28"/>
                <w:szCs w:val="28"/>
                <w:rtl/>
                <w:lang w:eastAsia="ar-EG" w:bidi="ar-EG"/>
              </w:rPr>
              <w:t xml:space="preserve">إلى حد بعيد </w:t>
            </w:r>
            <w:r w:rsidRPr="00D232FE">
              <w:rPr>
                <w:rFonts w:ascii="Arabic Typesetting" w:eastAsia="Arabic Typesetting" w:hAnsi="Arabic Typesetting" w:cs="Arabic Typesetting"/>
                <w:color w:val="000000"/>
                <w:sz w:val="28"/>
                <w:szCs w:val="28"/>
                <w:rtl/>
                <w:lang w:eastAsia="ar-EG" w:bidi="ar-EG"/>
              </w:rPr>
              <w:t>على الرغم من توليد النقد الكبير للمنظمة وظروف معدلات الفائدة الصعبة بالفرنك السويسري.</w:t>
            </w:r>
          </w:p>
        </w:tc>
        <w:tc>
          <w:tcPr>
            <w:tcW w:w="467" w:type="pct"/>
            <w:gridSpan w:val="2"/>
            <w:shd w:val="clear" w:color="auto" w:fill="auto"/>
            <w:tcMar>
              <w:top w:w="110" w:type="dxa"/>
              <w:left w:w="58" w:type="dxa"/>
              <w:right w:w="58" w:type="dxa"/>
            </w:tcMar>
          </w:tcPr>
          <w:p w14:paraId="166E701E" w14:textId="77777777" w:rsidR="00BD3831" w:rsidRPr="00D232FE" w:rsidRDefault="00BD3831" w:rsidP="0031289D">
            <w:pPr>
              <w:keepNext/>
              <w:bidi/>
              <w:spacing w:after="12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tc>
      </w:tr>
      <w:tr w:rsidR="00BD3831" w:rsidRPr="00D232FE" w14:paraId="56E211D0" w14:textId="77777777" w:rsidTr="00DF6715">
        <w:trPr>
          <w:cantSplit/>
          <w:trHeight w:val="1155"/>
        </w:trPr>
        <w:tc>
          <w:tcPr>
            <w:tcW w:w="905" w:type="pct"/>
            <w:shd w:val="clear" w:color="auto" w:fill="auto"/>
            <w:tcMar>
              <w:left w:w="58" w:type="dxa"/>
              <w:right w:w="58" w:type="dxa"/>
            </w:tcMar>
          </w:tcPr>
          <w:p w14:paraId="3476DFAD"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الإدارة الفعالة للنفقات والاحتياطيات</w:t>
            </w:r>
          </w:p>
        </w:tc>
        <w:tc>
          <w:tcPr>
            <w:tcW w:w="1480" w:type="pct"/>
            <w:gridSpan w:val="2"/>
            <w:shd w:val="clear" w:color="auto" w:fill="auto"/>
            <w:tcMar>
              <w:left w:w="58" w:type="dxa"/>
              <w:right w:w="58" w:type="dxa"/>
            </w:tcMar>
          </w:tcPr>
          <w:p w14:paraId="4F6FBBAD" w14:textId="77777777" w:rsidR="00BD3831" w:rsidRPr="00D232FE" w:rsidRDefault="00BD3831" w:rsidP="0031289D">
            <w:pPr>
              <w:bidi/>
              <w:spacing w:line="280" w:lineRule="exact"/>
              <w:rPr>
                <w:rFonts w:ascii="Arabic Typesetting" w:eastAsia="Arabic Typesetting" w:hAnsi="Arabic Typesetting" w:cs="Arabic Typesetting"/>
                <w:i/>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p>
          <w:tbl>
            <w:tblPr>
              <w:tblStyle w:val="TableGrid1"/>
              <w:bidiVisual/>
              <w:tblW w:w="2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3"/>
            </w:tblGrid>
            <w:tr w:rsidR="00BD3831" w:rsidRPr="00D232FE" w14:paraId="19617E83" w14:textId="77777777" w:rsidTr="00DF6715">
              <w:tc>
                <w:tcPr>
                  <w:tcW w:w="2193" w:type="dxa"/>
                  <w:tcMar>
                    <w:left w:w="14" w:type="dxa"/>
                    <w:right w:w="14" w:type="dxa"/>
                  </w:tcMar>
                </w:tcPr>
                <w:p w14:paraId="0C7FAECC" w14:textId="77777777" w:rsidR="00BD3831" w:rsidRPr="00D232FE" w:rsidRDefault="00BD3831" w:rsidP="0031289D">
                  <w:pPr>
                    <w:bidi/>
                    <w:spacing w:line="280" w:lineRule="exact"/>
                    <w:ind w:right="-14"/>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الميزانية الموافق عليها (بالملايين)</w:t>
                  </w:r>
                </w:p>
              </w:tc>
            </w:tr>
            <w:tr w:rsidR="00BD3831" w:rsidRPr="00D232FE" w14:paraId="2B407562" w14:textId="77777777" w:rsidTr="00DF6715">
              <w:tc>
                <w:tcPr>
                  <w:tcW w:w="2193" w:type="dxa"/>
                  <w:tcMar>
                    <w:left w:w="14" w:type="dxa"/>
                    <w:right w:w="14" w:type="dxa"/>
                  </w:tcMar>
                </w:tcPr>
                <w:p w14:paraId="4C3F161F" w14:textId="3B0288C2" w:rsidR="00BD3831" w:rsidRPr="00D232FE" w:rsidRDefault="00BD3831" w:rsidP="00B21943">
                  <w:pPr>
                    <w:bidi/>
                    <w:spacing w:line="280" w:lineRule="exact"/>
                    <w:ind w:right="-14"/>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673</w:t>
                  </w:r>
                  <w:r>
                    <w:rPr>
                      <w:rFonts w:ascii="Arabic Typesetting" w:hAnsi="Arabic Typesetting" w:cs="Arabic Typesetting" w:hint="cs"/>
                      <w:color w:val="002060"/>
                      <w:sz w:val="28"/>
                      <w:szCs w:val="28"/>
                      <w:rtl/>
                    </w:rPr>
                    <w:t>.</w:t>
                  </w:r>
                  <w:r w:rsidRPr="00D232FE">
                    <w:rPr>
                      <w:rFonts w:ascii="Arabic Typesetting" w:hAnsi="Arabic Typesetting" w:cs="Arabic Typesetting"/>
                      <w:color w:val="002060"/>
                      <w:sz w:val="28"/>
                      <w:szCs w:val="28"/>
                      <w:rtl/>
                    </w:rPr>
                    <w:t xml:space="preserve">993 </w:t>
                  </w:r>
                  <w:r w:rsidR="00B21943">
                    <w:rPr>
                      <w:rFonts w:ascii="Arabic Typesetting" w:hAnsi="Arabic Typesetting" w:cs="Arabic Typesetting" w:hint="cs"/>
                      <w:color w:val="002060"/>
                      <w:sz w:val="28"/>
                      <w:szCs w:val="28"/>
                      <w:rtl/>
                    </w:rPr>
                    <w:t>مليون فرنك سويسري</w:t>
                  </w:r>
                  <w:r w:rsidRPr="00D232FE">
                    <w:rPr>
                      <w:rFonts w:ascii="Arabic Typesetting" w:hAnsi="Arabic Typesetting" w:cs="Arabic Typesetting"/>
                      <w:color w:val="002060"/>
                      <w:sz w:val="28"/>
                      <w:szCs w:val="28"/>
                      <w:rtl/>
                    </w:rPr>
                    <w:t>.</w:t>
                  </w:r>
                </w:p>
              </w:tc>
            </w:tr>
            <w:tr w:rsidR="00BD3831" w:rsidRPr="00D232FE" w14:paraId="61E45D8C" w14:textId="77777777" w:rsidTr="00DF6715">
              <w:tc>
                <w:tcPr>
                  <w:tcW w:w="2193" w:type="dxa"/>
                  <w:tcMar>
                    <w:left w:w="14" w:type="dxa"/>
                    <w:right w:w="14" w:type="dxa"/>
                  </w:tcMar>
                </w:tcPr>
                <w:p w14:paraId="62E40D70" w14:textId="77777777" w:rsidR="00BD3831" w:rsidRPr="00D232FE" w:rsidRDefault="00BD3831" w:rsidP="0031289D">
                  <w:pPr>
                    <w:bidi/>
                    <w:spacing w:line="280" w:lineRule="exact"/>
                    <w:rPr>
                      <w:rFonts w:ascii="Arabic Typesetting" w:hAnsi="Arabic Typesetting" w:cs="Arabic Typesetting"/>
                      <w:color w:val="002060"/>
                      <w:sz w:val="28"/>
                      <w:szCs w:val="28"/>
                    </w:rPr>
                  </w:pPr>
                </w:p>
              </w:tc>
            </w:tr>
            <w:tr w:rsidR="00BD3831" w:rsidRPr="00D232FE" w14:paraId="57D93FEB" w14:textId="77777777" w:rsidTr="00DF6715">
              <w:tc>
                <w:tcPr>
                  <w:tcW w:w="2193" w:type="dxa"/>
                  <w:tcMar>
                    <w:left w:w="14" w:type="dxa"/>
                    <w:right w:w="14" w:type="dxa"/>
                  </w:tcMar>
                </w:tcPr>
                <w:p w14:paraId="10E5B83A" w14:textId="77777777" w:rsidR="00BD3831" w:rsidRPr="00D232FE" w:rsidRDefault="00BD3831" w:rsidP="0031289D">
                  <w:pPr>
                    <w:bidi/>
                    <w:spacing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النفقات الفعلية (بالملايين)</w:t>
                  </w:r>
                </w:p>
              </w:tc>
            </w:tr>
            <w:tr w:rsidR="00BD3831" w:rsidRPr="00D232FE" w14:paraId="5086E375" w14:textId="77777777" w:rsidTr="00DF6715">
              <w:tc>
                <w:tcPr>
                  <w:tcW w:w="2193" w:type="dxa"/>
                  <w:tcMar>
                    <w:left w:w="14" w:type="dxa"/>
                    <w:right w:w="14" w:type="dxa"/>
                  </w:tcMar>
                </w:tcPr>
                <w:p w14:paraId="4475F2B6" w14:textId="66759495" w:rsidR="00BD3831" w:rsidRPr="00D232FE" w:rsidRDefault="00BD3831" w:rsidP="00B21943">
                  <w:pPr>
                    <w:bidi/>
                    <w:spacing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642</w:t>
                  </w:r>
                  <w:r>
                    <w:rPr>
                      <w:rFonts w:ascii="Arabic Typesetting" w:hAnsi="Arabic Typesetting" w:cs="Arabic Typesetting" w:hint="cs"/>
                      <w:color w:val="002060"/>
                      <w:sz w:val="28"/>
                      <w:szCs w:val="28"/>
                      <w:rtl/>
                    </w:rPr>
                    <w:t>.</w:t>
                  </w:r>
                  <w:r w:rsidRPr="00D232FE">
                    <w:rPr>
                      <w:rFonts w:ascii="Arabic Typesetting" w:hAnsi="Arabic Typesetting" w:cs="Arabic Typesetting"/>
                      <w:color w:val="002060"/>
                      <w:sz w:val="28"/>
                      <w:szCs w:val="28"/>
                      <w:rtl/>
                    </w:rPr>
                    <w:t xml:space="preserve">597 </w:t>
                  </w:r>
                  <w:r w:rsidR="00B21943">
                    <w:rPr>
                      <w:rFonts w:ascii="Arabic Typesetting" w:hAnsi="Arabic Typesetting" w:cs="Arabic Typesetting" w:hint="cs"/>
                      <w:color w:val="002060"/>
                      <w:sz w:val="28"/>
                      <w:szCs w:val="28"/>
                      <w:rtl/>
                    </w:rPr>
                    <w:t>مليون فرنك</w:t>
                  </w:r>
                  <w:r w:rsidRPr="00D232FE">
                    <w:rPr>
                      <w:rFonts w:ascii="Arabic Typesetting" w:hAnsi="Arabic Typesetting" w:cs="Arabic Typesetting"/>
                      <w:color w:val="002060"/>
                      <w:sz w:val="28"/>
                      <w:szCs w:val="28"/>
                      <w:rtl/>
                    </w:rPr>
                    <w:t xml:space="preserve"> </w:t>
                  </w:r>
                  <w:r w:rsidR="00B21943">
                    <w:rPr>
                      <w:rFonts w:ascii="Arabic Typesetting" w:hAnsi="Arabic Typesetting" w:cs="Arabic Typesetting" w:hint="cs"/>
                      <w:color w:val="002060"/>
                      <w:sz w:val="28"/>
                      <w:szCs w:val="28"/>
                      <w:rtl/>
                    </w:rPr>
                    <w:t>سويسري</w:t>
                  </w:r>
                  <w:r w:rsidRPr="00D232FE">
                    <w:rPr>
                      <w:rFonts w:ascii="Arabic Typesetting" w:hAnsi="Arabic Typesetting" w:cs="Arabic Typesetting"/>
                      <w:color w:val="002060"/>
                      <w:sz w:val="28"/>
                      <w:szCs w:val="28"/>
                      <w:rtl/>
                    </w:rPr>
                    <w:t>.</w:t>
                  </w:r>
                </w:p>
                <w:p w14:paraId="7BED0FDF" w14:textId="77777777" w:rsidR="00BD3831" w:rsidRPr="00D232FE" w:rsidRDefault="00BD3831" w:rsidP="0031289D">
                  <w:pPr>
                    <w:bidi/>
                    <w:spacing w:line="280" w:lineRule="exact"/>
                    <w:rPr>
                      <w:rFonts w:ascii="Arabic Typesetting" w:hAnsi="Arabic Typesetting" w:cs="Arabic Typesetting"/>
                      <w:color w:val="002060"/>
                      <w:sz w:val="28"/>
                      <w:szCs w:val="28"/>
                    </w:rPr>
                  </w:pPr>
                  <w:r w:rsidRPr="00D232FE">
                    <w:rPr>
                      <w:rFonts w:ascii="Arabic Typesetting" w:hAnsi="Arabic Typesetting" w:cs="Arabic Typesetting"/>
                      <w:color w:val="002060"/>
                      <w:sz w:val="28"/>
                      <w:szCs w:val="28"/>
                      <w:rtl/>
                    </w:rPr>
                    <w:t>(قبل تسويات المعايير المحاسبية الدولية للقطاع العام)</w:t>
                  </w:r>
                </w:p>
              </w:tc>
            </w:tr>
          </w:tbl>
          <w:p w14:paraId="61D0ECAC" w14:textId="77777777" w:rsidR="00BD3831" w:rsidRPr="00D232FE" w:rsidRDefault="00BD3831" w:rsidP="0031289D">
            <w:pPr>
              <w:bidi/>
              <w:spacing w:line="280" w:lineRule="exact"/>
              <w:rPr>
                <w:rFonts w:ascii="Arabic Typesetting" w:eastAsia="Arabic Typesetting" w:hAnsi="Arabic Typesetting" w:cs="Arabic Typesetting"/>
                <w:i/>
                <w:color w:val="002060"/>
                <w:sz w:val="28"/>
                <w:szCs w:val="28"/>
                <w:lang w:eastAsia="ar-EG" w:bidi="ar-EG"/>
              </w:rPr>
            </w:pPr>
          </w:p>
          <w:p w14:paraId="27147547" w14:textId="3D8C8AAC" w:rsidR="00BD3831" w:rsidRDefault="00BD3831" w:rsidP="0031289D">
            <w:pPr>
              <w:bidi/>
              <w:spacing w:line="280" w:lineRule="exact"/>
              <w:rPr>
                <w:rFonts w:ascii="Arabic Typesetting" w:eastAsia="Arabic Typesetting" w:hAnsi="Arabic Typesetting" w:cs="Arabic Typesetting"/>
                <w:color w:val="002060"/>
                <w:sz w:val="28"/>
                <w:szCs w:val="28"/>
                <w:rtl/>
                <w:lang w:eastAsia="ar-EG" w:bidi="ar-EG"/>
              </w:rPr>
            </w:pPr>
            <w:r w:rsidRPr="00D232FE">
              <w:rPr>
                <w:rFonts w:ascii="Arabic Typesetting" w:eastAsia="Arabic Typesetting" w:hAnsi="Arabic Typesetting" w:cs="Arabic Typesetting"/>
                <w:color w:val="002060"/>
                <w:sz w:val="28"/>
                <w:szCs w:val="28"/>
                <w:rtl/>
                <w:lang w:eastAsia="ar-EG" w:bidi="ar-EG"/>
              </w:rPr>
              <w:t>النفقات الفعلية 2014/15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642</w:t>
            </w:r>
            <w:r>
              <w:rPr>
                <w:rFonts w:ascii="Arabic Typesetting" w:eastAsia="Arabic Typesetting" w:hAnsi="Arabic Typesetting" w:cs="Arabic Typesetting" w:hint="cs"/>
                <w:color w:val="002060"/>
                <w:sz w:val="28"/>
                <w:szCs w:val="28"/>
                <w:rtl/>
                <w:lang w:eastAsia="ar-EG" w:bidi="ar-EG"/>
              </w:rPr>
              <w:t>.</w:t>
            </w:r>
            <w:r w:rsidRPr="00D232FE">
              <w:rPr>
                <w:rFonts w:ascii="Arabic Typesetting" w:eastAsia="Arabic Typesetting" w:hAnsi="Arabic Typesetting" w:cs="Arabic Typesetting"/>
                <w:color w:val="002060"/>
                <w:sz w:val="28"/>
                <w:szCs w:val="28"/>
                <w:rtl/>
                <w:lang w:eastAsia="ar-EG" w:bidi="ar-EG"/>
              </w:rPr>
              <w:t xml:space="preserve">597 </w:t>
            </w:r>
            <w:r w:rsidR="00B21943">
              <w:rPr>
                <w:rFonts w:ascii="Arabic Typesetting" w:hAnsi="Arabic Typesetting" w:cs="Arabic Typesetting" w:hint="cs"/>
                <w:color w:val="002060"/>
                <w:sz w:val="28"/>
                <w:szCs w:val="28"/>
                <w:rtl/>
              </w:rPr>
              <w:t>مليون فرنك</w:t>
            </w:r>
            <w:r w:rsidR="00B21943" w:rsidRPr="00D232FE">
              <w:rPr>
                <w:rFonts w:ascii="Arabic Typesetting" w:hAnsi="Arabic Typesetting" w:cs="Arabic Typesetting"/>
                <w:color w:val="002060"/>
                <w:sz w:val="28"/>
                <w:szCs w:val="28"/>
                <w:rtl/>
              </w:rPr>
              <w:t xml:space="preserve"> </w:t>
            </w:r>
            <w:r w:rsidR="00B21943">
              <w:rPr>
                <w:rFonts w:ascii="Arabic Typesetting" w:hAnsi="Arabic Typesetting" w:cs="Arabic Typesetting" w:hint="cs"/>
                <w:color w:val="002060"/>
                <w:sz w:val="28"/>
                <w:szCs w:val="28"/>
                <w:rtl/>
              </w:rPr>
              <w:t>سويسري</w:t>
            </w:r>
            <w:r w:rsidRPr="00D232FE">
              <w:rPr>
                <w:rFonts w:ascii="Arabic Typesetting" w:eastAsia="Arabic Typesetting" w:hAnsi="Arabic Typesetting" w:cs="Arabic Typesetting"/>
                <w:color w:val="002060"/>
                <w:sz w:val="28"/>
                <w:szCs w:val="28"/>
                <w:rtl/>
                <w:lang w:eastAsia="ar-EG" w:bidi="ar-EG"/>
              </w:rPr>
              <w:t>.</w:t>
            </w:r>
          </w:p>
          <w:p w14:paraId="56E3E2C2" w14:textId="77777777" w:rsidR="00BD3831" w:rsidRPr="00D232FE" w:rsidRDefault="00BD3831" w:rsidP="0031289D">
            <w:pPr>
              <w:bidi/>
              <w:spacing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color w:val="002060"/>
                <w:sz w:val="28"/>
                <w:szCs w:val="28"/>
                <w:rtl/>
                <w:lang w:eastAsia="ar-EG" w:bidi="ar-EG"/>
              </w:rPr>
              <w:t>(قبل تسويات المعايير المحاسبية الدولية للقطاع العام)</w:t>
            </w:r>
          </w:p>
          <w:p w14:paraId="7F7F0EA1" w14:textId="1F98CFB4" w:rsidR="00BD3831" w:rsidRDefault="00BD3831" w:rsidP="0031289D">
            <w:pPr>
              <w:bidi/>
              <w:spacing w:after="24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color w:val="002060"/>
                <w:sz w:val="28"/>
                <w:szCs w:val="28"/>
                <w:rtl/>
                <w:lang w:eastAsia="ar-EG" w:bidi="ar-EG"/>
              </w:rPr>
              <w:t>مقارنة مع</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الميزانية المعتمدة 2014/15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673</w:t>
            </w:r>
            <w:r>
              <w:rPr>
                <w:rFonts w:ascii="Arabic Typesetting" w:eastAsia="Arabic Typesetting" w:hAnsi="Arabic Typesetting" w:cs="Arabic Typesetting" w:hint="cs"/>
                <w:color w:val="002060"/>
                <w:sz w:val="28"/>
                <w:szCs w:val="28"/>
                <w:rtl/>
                <w:lang w:eastAsia="ar-EG" w:bidi="ar-EG"/>
              </w:rPr>
              <w:t>.</w:t>
            </w:r>
            <w:r w:rsidRPr="00D232FE">
              <w:rPr>
                <w:rFonts w:ascii="Arabic Typesetting" w:eastAsia="Arabic Typesetting" w:hAnsi="Arabic Typesetting" w:cs="Arabic Typesetting"/>
                <w:color w:val="002060"/>
                <w:sz w:val="28"/>
                <w:szCs w:val="28"/>
                <w:rtl/>
                <w:lang w:eastAsia="ar-EG" w:bidi="ar-EG"/>
              </w:rPr>
              <w:t xml:space="preserve">993 </w:t>
            </w:r>
            <w:r w:rsidR="00B21943">
              <w:rPr>
                <w:rFonts w:ascii="Arabic Typesetting" w:hAnsi="Arabic Typesetting" w:cs="Arabic Typesetting" w:hint="cs"/>
                <w:color w:val="002060"/>
                <w:sz w:val="28"/>
                <w:szCs w:val="28"/>
                <w:rtl/>
              </w:rPr>
              <w:t>مليون فرنك</w:t>
            </w:r>
            <w:r w:rsidR="00B21943" w:rsidRPr="00D232FE">
              <w:rPr>
                <w:rFonts w:ascii="Arabic Typesetting" w:hAnsi="Arabic Typesetting" w:cs="Arabic Typesetting"/>
                <w:color w:val="002060"/>
                <w:sz w:val="28"/>
                <w:szCs w:val="28"/>
                <w:rtl/>
              </w:rPr>
              <w:t xml:space="preserve"> </w:t>
            </w:r>
            <w:r w:rsidR="00B21943">
              <w:rPr>
                <w:rFonts w:ascii="Arabic Typesetting" w:hAnsi="Arabic Typesetting" w:cs="Arabic Typesetting" w:hint="cs"/>
                <w:color w:val="002060"/>
                <w:sz w:val="28"/>
                <w:szCs w:val="28"/>
                <w:rtl/>
              </w:rPr>
              <w:t>سويسري</w:t>
            </w:r>
            <w:r w:rsidRPr="00D232FE">
              <w:rPr>
                <w:rFonts w:ascii="Arabic Typesetting" w:eastAsia="Arabic Typesetting" w:hAnsi="Arabic Typesetting" w:cs="Arabic Typesetting"/>
                <w:color w:val="002060"/>
                <w:sz w:val="28"/>
                <w:szCs w:val="28"/>
                <w:rtl/>
                <w:lang w:eastAsia="ar-EG" w:bidi="ar-EG"/>
              </w:rPr>
              <w:t>.</w:t>
            </w:r>
          </w:p>
          <w:p w14:paraId="486134BE" w14:textId="77777777" w:rsidR="00BD3831" w:rsidRPr="00D232FE" w:rsidRDefault="00BD3831" w:rsidP="0031289D">
            <w:pPr>
              <w:bidi/>
              <w:spacing w:after="120" w:line="280" w:lineRule="exact"/>
              <w:ind w:left="34"/>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D232FE">
              <w:rPr>
                <w:rFonts w:ascii="Arabic Typesetting" w:eastAsia="Arabic Typesetting" w:hAnsi="Arabic Typesetting" w:cs="Arabic Typesetting"/>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توقعات الإنفاق 2014/15 (على</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أساس</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الميزانية قبل تسويات المعايير المحاسبية الدولية للقطاع العام)</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D232FE">
              <w:rPr>
                <w:rFonts w:ascii="Arabic Typesetting" w:eastAsia="Arabic Typesetting" w:hAnsi="Arabic Typesetting" w:cs="Arabic Typesetting"/>
                <w:color w:val="000000"/>
                <w:sz w:val="28"/>
                <w:szCs w:val="28"/>
                <w:rtl/>
                <w:lang w:eastAsia="ar-EG" w:bidi="ar-EG"/>
              </w:rPr>
              <w:t>659.9</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مليون فرنك سويسري (في</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أبريل</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2015)</w:t>
            </w:r>
          </w:p>
        </w:tc>
        <w:tc>
          <w:tcPr>
            <w:tcW w:w="662" w:type="pct"/>
            <w:shd w:val="clear" w:color="auto" w:fill="auto"/>
            <w:tcMar>
              <w:top w:w="110" w:type="dxa"/>
              <w:left w:w="58" w:type="dxa"/>
              <w:right w:w="58" w:type="dxa"/>
            </w:tcMar>
          </w:tcPr>
          <w:p w14:paraId="54313969"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إدارة النفقات في حدود الميزانية الإجمالية ولكن دون تجاوز النفقات للإيرادات (تحسبا لحالات توقع انخفاض استثنائي للإيرادات إلى دون مستويات الإنفاق المتوقعة)</w:t>
            </w:r>
          </w:p>
        </w:tc>
        <w:tc>
          <w:tcPr>
            <w:tcW w:w="1486" w:type="pct"/>
            <w:gridSpan w:val="3"/>
            <w:shd w:val="clear" w:color="auto" w:fill="FFFFFF"/>
            <w:tcMar>
              <w:top w:w="110" w:type="dxa"/>
              <w:left w:w="58" w:type="dxa"/>
              <w:right w:w="58" w:type="dxa"/>
            </w:tcMar>
          </w:tcPr>
          <w:tbl>
            <w:tblPr>
              <w:tblStyle w:val="TableGrid1"/>
              <w:bidiVisual/>
              <w:tblW w:w="2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3"/>
            </w:tblGrid>
            <w:tr w:rsidR="00BD3831" w:rsidRPr="00D232FE" w14:paraId="2B36D9AD" w14:textId="77777777" w:rsidTr="00DF6715">
              <w:tc>
                <w:tcPr>
                  <w:tcW w:w="2193" w:type="dxa"/>
                  <w:tcMar>
                    <w:left w:w="14" w:type="dxa"/>
                    <w:right w:w="14" w:type="dxa"/>
                  </w:tcMar>
                </w:tcPr>
                <w:p w14:paraId="7F74498E" w14:textId="77777777" w:rsidR="00BD3831" w:rsidRPr="00D232FE" w:rsidRDefault="00BD3831" w:rsidP="0031289D">
                  <w:pPr>
                    <w:bidi/>
                    <w:spacing w:line="280" w:lineRule="exact"/>
                    <w:ind w:right="-14"/>
                    <w:rPr>
                      <w:rFonts w:ascii="Arabic Typesetting" w:hAnsi="Arabic Typesetting" w:cs="Arabic Typesetting"/>
                      <w:sz w:val="28"/>
                      <w:szCs w:val="28"/>
                    </w:rPr>
                  </w:pPr>
                  <w:r w:rsidRPr="00D232FE">
                    <w:rPr>
                      <w:rFonts w:ascii="Arabic Typesetting" w:hAnsi="Arabic Typesetting" w:cs="Arabic Typesetting"/>
                      <w:sz w:val="28"/>
                      <w:szCs w:val="28"/>
                      <w:rtl/>
                    </w:rPr>
                    <w:t>الميزانية المعتمدة 2016/17 (بالملايين)</w:t>
                  </w:r>
                </w:p>
              </w:tc>
            </w:tr>
            <w:tr w:rsidR="00BD3831" w:rsidRPr="00D232FE" w14:paraId="0D147E8B" w14:textId="77777777" w:rsidTr="00DF6715">
              <w:tc>
                <w:tcPr>
                  <w:tcW w:w="2193" w:type="dxa"/>
                  <w:tcMar>
                    <w:left w:w="14" w:type="dxa"/>
                    <w:right w:w="14" w:type="dxa"/>
                  </w:tcMar>
                </w:tcPr>
                <w:p w14:paraId="72499CE2" w14:textId="301FD11B" w:rsidR="00BD3831" w:rsidRPr="00D232FE" w:rsidRDefault="00BD3831" w:rsidP="0031289D">
                  <w:pPr>
                    <w:bidi/>
                    <w:spacing w:after="120" w:line="280" w:lineRule="exact"/>
                    <w:ind w:right="-14"/>
                    <w:rPr>
                      <w:rFonts w:ascii="Arabic Typesetting" w:hAnsi="Arabic Typesetting" w:cs="Arabic Typesetting"/>
                      <w:sz w:val="28"/>
                      <w:szCs w:val="28"/>
                    </w:rPr>
                  </w:pPr>
                  <w:r w:rsidRPr="00D232FE">
                    <w:rPr>
                      <w:rFonts w:ascii="Arabic Typesetting" w:hAnsi="Arabic Typesetting" w:cs="Arabic Typesetting"/>
                      <w:sz w:val="28"/>
                      <w:szCs w:val="28"/>
                      <w:rtl/>
                    </w:rPr>
                    <w:t>707</w:t>
                  </w:r>
                  <w:r>
                    <w:rPr>
                      <w:rFonts w:ascii="Arabic Typesetting" w:hAnsi="Arabic Typesetting" w:cs="Arabic Typesetting" w:hint="cs"/>
                      <w:sz w:val="28"/>
                      <w:szCs w:val="28"/>
                      <w:rtl/>
                    </w:rPr>
                    <w:t>.</w:t>
                  </w:r>
                  <w:r w:rsidRPr="00D232FE">
                    <w:rPr>
                      <w:rFonts w:ascii="Arabic Typesetting" w:hAnsi="Arabic Typesetting" w:cs="Arabic Typesetting"/>
                      <w:sz w:val="28"/>
                      <w:szCs w:val="28"/>
                      <w:rtl/>
                    </w:rPr>
                    <w:t xml:space="preserve">036 </w:t>
                  </w:r>
                  <w:r w:rsidR="00B21943" w:rsidRPr="00B21943">
                    <w:rPr>
                      <w:rFonts w:ascii="Arabic Typesetting" w:hAnsi="Arabic Typesetting" w:cs="Arabic Typesetting"/>
                      <w:sz w:val="28"/>
                      <w:szCs w:val="28"/>
                      <w:rtl/>
                    </w:rPr>
                    <w:t>مليون فرنك سويسري</w:t>
                  </w:r>
                </w:p>
              </w:tc>
            </w:tr>
            <w:tr w:rsidR="00BD3831" w:rsidRPr="00D232FE" w14:paraId="5A198906" w14:textId="77777777" w:rsidTr="00DF6715">
              <w:tc>
                <w:tcPr>
                  <w:tcW w:w="2193" w:type="dxa"/>
                  <w:tcMar>
                    <w:left w:w="14" w:type="dxa"/>
                    <w:right w:w="14" w:type="dxa"/>
                  </w:tcMar>
                </w:tcPr>
                <w:p w14:paraId="66475876" w14:textId="77777777" w:rsidR="00BD3831" w:rsidRPr="00D232FE" w:rsidRDefault="00BD3831" w:rsidP="0031289D">
                  <w:pPr>
                    <w:bidi/>
                    <w:spacing w:after="120" w:line="280" w:lineRule="exact"/>
                    <w:rPr>
                      <w:rFonts w:ascii="Arabic Typesetting" w:hAnsi="Arabic Typesetting" w:cs="Arabic Typesetting"/>
                      <w:sz w:val="28"/>
                      <w:szCs w:val="28"/>
                    </w:rPr>
                  </w:pPr>
                </w:p>
              </w:tc>
            </w:tr>
            <w:tr w:rsidR="00BD3831" w:rsidRPr="00D232FE" w14:paraId="487325DA" w14:textId="77777777" w:rsidTr="00DF6715">
              <w:tc>
                <w:tcPr>
                  <w:tcW w:w="2193" w:type="dxa"/>
                  <w:tcMar>
                    <w:left w:w="14" w:type="dxa"/>
                    <w:right w:w="14" w:type="dxa"/>
                  </w:tcMar>
                </w:tcPr>
                <w:p w14:paraId="20AA8313" w14:textId="77777777" w:rsidR="00BD3831" w:rsidRPr="00D232FE" w:rsidRDefault="00BD3831" w:rsidP="0031289D">
                  <w:pPr>
                    <w:bidi/>
                    <w:spacing w:line="280" w:lineRule="exact"/>
                    <w:rPr>
                      <w:rFonts w:ascii="Arabic Typesetting" w:hAnsi="Arabic Typesetting" w:cs="Arabic Typesetting"/>
                      <w:sz w:val="28"/>
                      <w:szCs w:val="28"/>
                    </w:rPr>
                  </w:pPr>
                  <w:r w:rsidRPr="00D232FE">
                    <w:rPr>
                      <w:rFonts w:ascii="Arabic Typesetting" w:hAnsi="Arabic Typesetting" w:cs="Arabic Typesetting"/>
                      <w:sz w:val="28"/>
                      <w:szCs w:val="28"/>
                      <w:rtl/>
                    </w:rPr>
                    <w:t>النفقات الفعلية في نهاية 2016 (بالملايين)</w:t>
                  </w:r>
                </w:p>
              </w:tc>
            </w:tr>
            <w:tr w:rsidR="00BD3831" w:rsidRPr="00D232FE" w14:paraId="55DA0B2F" w14:textId="77777777" w:rsidTr="00DF6715">
              <w:tc>
                <w:tcPr>
                  <w:tcW w:w="2193" w:type="dxa"/>
                  <w:tcMar>
                    <w:left w:w="14" w:type="dxa"/>
                    <w:right w:w="14" w:type="dxa"/>
                  </w:tcMar>
                </w:tcPr>
                <w:p w14:paraId="047FEDA5" w14:textId="22EC1469" w:rsidR="00BD3831" w:rsidRPr="00D232FE" w:rsidRDefault="00BD3831" w:rsidP="0031289D">
                  <w:pPr>
                    <w:bidi/>
                    <w:spacing w:line="280" w:lineRule="exact"/>
                    <w:rPr>
                      <w:rFonts w:ascii="Arabic Typesetting" w:hAnsi="Arabic Typesetting" w:cs="Arabic Typesetting"/>
                      <w:sz w:val="28"/>
                      <w:szCs w:val="28"/>
                    </w:rPr>
                  </w:pPr>
                  <w:r w:rsidRPr="00D232FE">
                    <w:rPr>
                      <w:rFonts w:ascii="Arabic Typesetting" w:hAnsi="Arabic Typesetting" w:cs="Arabic Typesetting"/>
                      <w:sz w:val="28"/>
                      <w:szCs w:val="28"/>
                      <w:rtl/>
                    </w:rPr>
                    <w:t>322</w:t>
                  </w:r>
                  <w:r>
                    <w:rPr>
                      <w:rFonts w:ascii="Arabic Typesetting" w:hAnsi="Arabic Typesetting" w:cs="Arabic Typesetting" w:hint="cs"/>
                      <w:sz w:val="28"/>
                      <w:szCs w:val="28"/>
                      <w:rtl/>
                    </w:rPr>
                    <w:t>.</w:t>
                  </w:r>
                  <w:r w:rsidRPr="00D232FE">
                    <w:rPr>
                      <w:rFonts w:ascii="Arabic Typesetting" w:hAnsi="Arabic Typesetting" w:cs="Arabic Typesetting"/>
                      <w:sz w:val="28"/>
                      <w:szCs w:val="28"/>
                      <w:rtl/>
                    </w:rPr>
                    <w:t xml:space="preserve">178 </w:t>
                  </w:r>
                  <w:r w:rsidR="00B21943" w:rsidRPr="00B21943">
                    <w:rPr>
                      <w:rFonts w:ascii="Arabic Typesetting" w:hAnsi="Arabic Typesetting" w:cs="Arabic Typesetting"/>
                      <w:sz w:val="28"/>
                      <w:szCs w:val="28"/>
                      <w:rtl/>
                    </w:rPr>
                    <w:t>مليون فرنك سويسري</w:t>
                  </w:r>
                </w:p>
                <w:p w14:paraId="3ACC976D" w14:textId="77777777" w:rsidR="00BD3831" w:rsidRPr="00D232FE" w:rsidRDefault="00BD3831" w:rsidP="0031289D">
                  <w:pPr>
                    <w:bidi/>
                    <w:spacing w:after="120" w:line="280" w:lineRule="exact"/>
                    <w:rPr>
                      <w:rFonts w:ascii="Arabic Typesetting" w:hAnsi="Arabic Typesetting" w:cs="Arabic Typesetting"/>
                      <w:sz w:val="28"/>
                      <w:szCs w:val="28"/>
                    </w:rPr>
                  </w:pPr>
                  <w:r w:rsidRPr="00D232FE">
                    <w:rPr>
                      <w:rFonts w:ascii="Arabic Typesetting" w:hAnsi="Arabic Typesetting" w:cs="Arabic Typesetting"/>
                      <w:sz w:val="28"/>
                      <w:szCs w:val="28"/>
                      <w:rtl/>
                    </w:rPr>
                    <w:t>(قبل تسويات المعايير المحاسبية الدولية للقطاع العام)</w:t>
                  </w:r>
                </w:p>
              </w:tc>
            </w:tr>
          </w:tbl>
          <w:p w14:paraId="28EBFB11" w14:textId="77777777" w:rsidR="00BD3831" w:rsidRPr="00D232F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p>
        </w:tc>
        <w:tc>
          <w:tcPr>
            <w:tcW w:w="467" w:type="pct"/>
            <w:gridSpan w:val="2"/>
            <w:shd w:val="clear" w:color="auto" w:fill="auto"/>
            <w:tcMar>
              <w:top w:w="110" w:type="dxa"/>
              <w:left w:w="58" w:type="dxa"/>
              <w:right w:w="58" w:type="dxa"/>
            </w:tcMar>
          </w:tcPr>
          <w:p w14:paraId="000B91B9" w14:textId="77777777" w:rsidR="00BD3831" w:rsidRPr="00D232FE" w:rsidRDefault="00BD3831" w:rsidP="0031289D">
            <w:pPr>
              <w:keepNext/>
              <w:bidi/>
              <w:spacing w:after="12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tc>
      </w:tr>
      <w:tr w:rsidR="00BD3831" w:rsidRPr="00D232FE" w14:paraId="3C1B9C9E" w14:textId="77777777" w:rsidTr="00DF6715">
        <w:trPr>
          <w:cantSplit/>
          <w:trHeight w:val="246"/>
        </w:trPr>
        <w:tc>
          <w:tcPr>
            <w:tcW w:w="905" w:type="pct"/>
            <w:shd w:val="clear" w:color="auto" w:fill="auto"/>
            <w:tcMar>
              <w:left w:w="58" w:type="dxa"/>
              <w:right w:w="58" w:type="dxa"/>
            </w:tcMar>
          </w:tcPr>
          <w:p w14:paraId="39D24DD4"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lastRenderedPageBreak/>
              <w:t>سداد</w:t>
            </w:r>
            <w:r w:rsidRPr="00D232FE">
              <w:rPr>
                <w:rFonts w:ascii="Arabic Typesetting" w:eastAsia="Arabic Typesetting" w:hAnsi="Arabic Typesetting" w:cs="Arabic Typesetting"/>
                <w:color w:val="000000"/>
                <w:sz w:val="28"/>
                <w:szCs w:val="28"/>
                <w:rtl/>
                <w:lang w:eastAsia="ar-EG" w:bidi="ar-EG"/>
              </w:rPr>
              <w:t xml:space="preserve"> المدفوعات (بما</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في</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ذلك رسوم مدريد ولاهاي) في المواعيد</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المحددة</w:t>
            </w:r>
          </w:p>
        </w:tc>
        <w:tc>
          <w:tcPr>
            <w:tcW w:w="1480" w:type="pct"/>
            <w:gridSpan w:val="2"/>
            <w:shd w:val="clear" w:color="auto" w:fill="auto"/>
            <w:tcMar>
              <w:left w:w="58" w:type="dxa"/>
              <w:right w:w="58" w:type="dxa"/>
            </w:tcMar>
          </w:tcPr>
          <w:p w14:paraId="54008965"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دفعت جميع الفواتير في الوقت باستثناء تلك التي لها أثر رجعي أو عندما</w:t>
            </w:r>
            <w:r>
              <w:rPr>
                <w:rFonts w:ascii="Arabic Typesetting" w:eastAsia="Arabic Typesetting" w:hAnsi="Arabic Typesetting" w:cs="Arabic Typesetting"/>
                <w:color w:val="002060"/>
                <w:sz w:val="28"/>
                <w:szCs w:val="28"/>
                <w:rtl/>
                <w:lang w:eastAsia="ar-EG" w:bidi="ar-EG"/>
              </w:rPr>
              <w:t xml:space="preserve"> لا يوجد أي طلب شراء في النظام</w:t>
            </w:r>
            <w:r>
              <w:rPr>
                <w:rFonts w:ascii="Arabic Typesetting" w:eastAsia="Arabic Typesetting" w:hAnsi="Arabic Typesetting" w:cs="Arabic Typesetting" w:hint="cs"/>
                <w:color w:val="002060"/>
                <w:sz w:val="28"/>
                <w:szCs w:val="28"/>
                <w:rtl/>
                <w:lang w:eastAsia="ar-EG" w:bidi="ar-EG"/>
              </w:rPr>
              <w:t>.</w:t>
            </w:r>
          </w:p>
          <w:p w14:paraId="33A3B731"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color w:val="002060"/>
                <w:sz w:val="28"/>
                <w:szCs w:val="28"/>
                <w:rtl/>
                <w:lang w:eastAsia="ar-EG" w:bidi="ar-EG"/>
              </w:rPr>
              <w:t>التوزيع الشهري مدفوع/</w:t>
            </w:r>
            <w:r>
              <w:rPr>
                <w:rFonts w:ascii="Arabic Typesetting" w:eastAsia="Arabic Typesetting" w:hAnsi="Arabic Typesetting" w:cs="Arabic Typesetting"/>
                <w:color w:val="002060"/>
                <w:sz w:val="28"/>
                <w:szCs w:val="28"/>
                <w:rtl/>
                <w:lang w:eastAsia="ar-EG" w:bidi="ar-EG"/>
              </w:rPr>
              <w:t>مودع في حساب جار</w:t>
            </w:r>
            <w:r w:rsidRPr="00D232FE">
              <w:rPr>
                <w:rFonts w:ascii="Arabic Typesetting" w:eastAsia="Arabic Typesetting" w:hAnsi="Arabic Typesetting" w:cs="Arabic Typesetting"/>
                <w:color w:val="002060"/>
                <w:sz w:val="28"/>
                <w:szCs w:val="28"/>
                <w:rtl/>
                <w:lang w:eastAsia="ar-EG" w:bidi="ar-EG"/>
              </w:rPr>
              <w:t xml:space="preserve"> </w:t>
            </w:r>
            <w:r>
              <w:rPr>
                <w:rFonts w:ascii="Arabic Typesetting" w:eastAsia="Arabic Typesetting" w:hAnsi="Arabic Typesetting" w:cs="Arabic Typesetting" w:hint="cs"/>
                <w:color w:val="002060"/>
                <w:sz w:val="28"/>
                <w:szCs w:val="28"/>
                <w:rtl/>
                <w:lang w:eastAsia="ar-EG" w:bidi="ar-EG"/>
              </w:rPr>
              <w:t>بحسب</w:t>
            </w:r>
            <w:r w:rsidRPr="00D232FE">
              <w:rPr>
                <w:rFonts w:ascii="Arabic Typesetting" w:eastAsia="Arabic Typesetting" w:hAnsi="Arabic Typesetting" w:cs="Arabic Typesetting"/>
                <w:color w:val="002060"/>
                <w:sz w:val="28"/>
                <w:szCs w:val="28"/>
                <w:rtl/>
                <w:lang w:eastAsia="ar-EG" w:bidi="ar-EG"/>
              </w:rPr>
              <w:t xml:space="preserve"> الاشتراكات</w:t>
            </w:r>
            <w:r>
              <w:rPr>
                <w:rFonts w:ascii="Arabic Typesetting" w:eastAsia="Arabic Typesetting" w:hAnsi="Arabic Typesetting" w:cs="Arabic Typesetting" w:hint="cs"/>
                <w:color w:val="002060"/>
                <w:sz w:val="28"/>
                <w:szCs w:val="28"/>
                <w:rtl/>
                <w:lang w:eastAsia="ar-EG" w:bidi="ar-EG"/>
              </w:rPr>
              <w:t>،</w:t>
            </w:r>
            <w:r w:rsidRPr="00D232FE">
              <w:rPr>
                <w:rFonts w:ascii="Arabic Typesetting" w:eastAsia="Arabic Typesetting" w:hAnsi="Arabic Typesetting" w:cs="Arabic Typesetting"/>
                <w:color w:val="002060"/>
                <w:sz w:val="28"/>
                <w:szCs w:val="28"/>
                <w:rtl/>
                <w:lang w:eastAsia="ar-EG" w:bidi="ar-EG"/>
              </w:rPr>
              <w:t xml:space="preserve"> في الشهر التالي كما</w:t>
            </w:r>
            <w:r>
              <w:rPr>
                <w:rFonts w:ascii="Arabic Typesetting" w:eastAsia="Arabic Typesetting" w:hAnsi="Arabic Typesetting" w:cs="Arabic Typesetting" w:hint="cs"/>
                <w:color w:val="002060"/>
                <w:sz w:val="28"/>
                <w:szCs w:val="28"/>
                <w:rtl/>
                <w:lang w:eastAsia="ar-EG" w:bidi="ar-EG"/>
              </w:rPr>
              <w:t> </w:t>
            </w:r>
            <w:r>
              <w:rPr>
                <w:rFonts w:ascii="Arabic Typesetting" w:eastAsia="Arabic Typesetting" w:hAnsi="Arabic Typesetting" w:cs="Arabic Typesetting"/>
                <w:color w:val="002060"/>
                <w:sz w:val="28"/>
                <w:szCs w:val="28"/>
                <w:rtl/>
                <w:lang w:eastAsia="ar-EG" w:bidi="ar-EG"/>
              </w:rPr>
              <w:t>هو مطلوب في اللائحة التنفيذية</w:t>
            </w:r>
            <w:r>
              <w:rPr>
                <w:rFonts w:ascii="Arabic Typesetting" w:eastAsia="Arabic Typesetting" w:hAnsi="Arabic Typesetting" w:cs="Arabic Typesetting" w:hint="cs"/>
                <w:color w:val="002060"/>
                <w:sz w:val="28"/>
                <w:szCs w:val="28"/>
                <w:rtl/>
                <w:lang w:eastAsia="ar-EG" w:bidi="ar-EG"/>
              </w:rPr>
              <w:t>.</w:t>
            </w:r>
          </w:p>
          <w:p w14:paraId="2AB7A1ED"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D232FE">
              <w:rPr>
                <w:rFonts w:ascii="Arabic Typesetting" w:eastAsia="Arabic Typesetting" w:hAnsi="Arabic Typesetting" w:cs="Arabic Typesetting"/>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90%</w:t>
            </w:r>
            <w:r w:rsidRPr="00D232FE">
              <w:rPr>
                <w:rFonts w:ascii="Arabic Typesetting" w:eastAsia="Arabic Typesetting" w:hAnsi="Arabic Typesetting" w:cs="Arabic Typesetting"/>
                <w:color w:val="000000"/>
                <w:sz w:val="28"/>
                <w:szCs w:val="28"/>
                <w:rtl/>
                <w:lang w:eastAsia="ar-EG" w:bidi="ar-EG"/>
              </w:rPr>
              <w:t xml:space="preserve"> من المدفوعات سددت في غضون سبعة أيام من تاريخ شروط الدفع أو تاريخ الاستلام (في حالة تأخر الاستلام) بالنسبة لمن ليست لديهم </w:t>
            </w:r>
            <w:r>
              <w:rPr>
                <w:rFonts w:ascii="Arabic Typesetting" w:eastAsia="Arabic Typesetting" w:hAnsi="Arabic Typesetting" w:cs="Arabic Typesetting" w:hint="cs"/>
                <w:color w:val="000000"/>
                <w:sz w:val="28"/>
                <w:szCs w:val="28"/>
                <w:rtl/>
                <w:lang w:eastAsia="ar-EG" w:bidi="ar-EG"/>
              </w:rPr>
              <w:t>مشكلات</w:t>
            </w:r>
            <w:r w:rsidRPr="00D232FE">
              <w:rPr>
                <w:rFonts w:ascii="Arabic Typesetting" w:eastAsia="Arabic Typesetting" w:hAnsi="Arabic Typesetting" w:cs="Arabic Typesetting"/>
                <w:color w:val="000000"/>
                <w:sz w:val="28"/>
                <w:szCs w:val="28"/>
                <w:rtl/>
                <w:lang w:eastAsia="ar-EG" w:bidi="ar-EG"/>
              </w:rPr>
              <w:t xml:space="preserve"> أخرى في تدفق العمل (على سبيل المثال، عدم إرسال أمر الشراء أو غير ذلك)</w:t>
            </w:r>
          </w:p>
        </w:tc>
        <w:tc>
          <w:tcPr>
            <w:tcW w:w="662" w:type="pct"/>
            <w:shd w:val="clear" w:color="auto" w:fill="auto"/>
            <w:tcMar>
              <w:top w:w="110" w:type="dxa"/>
              <w:left w:w="58" w:type="dxa"/>
              <w:right w:w="58" w:type="dxa"/>
            </w:tcMar>
          </w:tcPr>
          <w:p w14:paraId="61CBD3BE" w14:textId="77777777" w:rsidR="00BD3831" w:rsidRPr="00D232FE" w:rsidRDefault="00BD3831" w:rsidP="0031289D">
            <w:pPr>
              <w:bidi/>
              <w:spacing w:line="280" w:lineRule="exact"/>
              <w:ind w:left="33"/>
              <w:rPr>
                <w:rFonts w:ascii="Arabic Typesetting" w:eastAsia="Arabic Typesetting" w:hAnsi="Arabic Typesetting" w:cs="Arabic Typesetting"/>
                <w:i/>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الهدف المحدَّث:</w:t>
            </w:r>
          </w:p>
          <w:p w14:paraId="63870746" w14:textId="77777777" w:rsidR="00BD3831" w:rsidRDefault="00BD3831" w:rsidP="0031289D">
            <w:pPr>
              <w:bidi/>
              <w:spacing w:after="120" w:line="280" w:lineRule="exact"/>
              <w:ind w:left="33"/>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hint="cs"/>
                <w:color w:val="002060"/>
                <w:sz w:val="28"/>
                <w:szCs w:val="28"/>
                <w:rtl/>
                <w:lang w:eastAsia="ar-EG" w:bidi="ar-EG"/>
              </w:rPr>
              <w:t>سداد</w:t>
            </w:r>
            <w:r w:rsidRPr="00D232FE">
              <w:rPr>
                <w:rFonts w:ascii="Arabic Typesetting" w:eastAsia="Arabic Typesetting" w:hAnsi="Arabic Typesetting" w:cs="Arabic Typesetting"/>
                <w:color w:val="002060"/>
                <w:sz w:val="28"/>
                <w:szCs w:val="28"/>
                <w:rtl/>
                <w:lang w:eastAsia="ar-EG" w:bidi="ar-EG"/>
              </w:rPr>
              <w:t xml:space="preserve"> 90% من المدفوعات وفقاً لشروط الموردين</w:t>
            </w:r>
          </w:p>
          <w:p w14:paraId="4E2EEDCF" w14:textId="2DEA38B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الهدف الأصلي</w:t>
            </w:r>
            <w:r w:rsidR="000C4432">
              <w:rPr>
                <w:rFonts w:ascii="Arabic Typesetting" w:eastAsia="Arabic Typesetting" w:hAnsi="Arabic Typesetting" w:cs="Arabic Typesetting" w:hint="cs"/>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سداد</w:t>
            </w:r>
            <w:r w:rsidRPr="00D232FE">
              <w:rPr>
                <w:rFonts w:ascii="Arabic Typesetting" w:eastAsia="Arabic Typesetting" w:hAnsi="Arabic Typesetting" w:cs="Arabic Typesetting"/>
                <w:color w:val="000000"/>
                <w:sz w:val="28"/>
                <w:szCs w:val="28"/>
                <w:rtl/>
                <w:lang w:eastAsia="ar-EG" w:bidi="ar-EG"/>
              </w:rPr>
              <w:t xml:space="preserve"> 90% من المدفوعات في غضون ثلاثة أيام من استلام الفاتورة</w:t>
            </w:r>
          </w:p>
        </w:tc>
        <w:tc>
          <w:tcPr>
            <w:tcW w:w="1486" w:type="pct"/>
            <w:gridSpan w:val="3"/>
            <w:shd w:val="clear" w:color="auto" w:fill="FFFFFF"/>
            <w:tcMar>
              <w:top w:w="110" w:type="dxa"/>
              <w:left w:w="58" w:type="dxa"/>
              <w:right w:w="58" w:type="dxa"/>
            </w:tcMar>
          </w:tcPr>
          <w:p w14:paraId="7965EED2" w14:textId="77777777" w:rsidR="00BD3831" w:rsidRPr="00D232FE" w:rsidRDefault="00BD3831" w:rsidP="0031289D">
            <w:pPr>
              <w:bidi/>
              <w:spacing w:line="280" w:lineRule="exact"/>
              <w:rPr>
                <w:rFonts w:ascii="Arabic Typesetting" w:eastAsia="Arabic Typesetting" w:hAnsi="Arabic Typesetting" w:cs="Arabic Typesetting"/>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المدفوعات المسددة على مدى 30 يوماً</w:t>
            </w:r>
          </w:p>
          <w:p w14:paraId="5687D936" w14:textId="77777777" w:rsidR="00BD3831" w:rsidRPr="00D232FE" w:rsidRDefault="00BD3831" w:rsidP="0031289D">
            <w:pPr>
              <w:numPr>
                <w:ilvl w:val="0"/>
                <w:numId w:val="32"/>
              </w:numPr>
              <w:bidi/>
              <w:spacing w:after="120" w:line="280" w:lineRule="exact"/>
              <w:contextualSpacing/>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94% منها سدد في وقتها وفقاً لتاريخ الفاتورة التي حددها المزود؛</w:t>
            </w:r>
          </w:p>
          <w:p w14:paraId="34A4CE40" w14:textId="77777777" w:rsidR="00BD3831" w:rsidRPr="00D232FE" w:rsidRDefault="00BD3831" w:rsidP="0031289D">
            <w:pPr>
              <w:numPr>
                <w:ilvl w:val="0"/>
                <w:numId w:val="32"/>
              </w:numPr>
              <w:bidi/>
              <w:spacing w:after="120" w:line="280" w:lineRule="exact"/>
              <w:contextualSpacing/>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3% منها سدد في غضون 7 أيام من التسلم المتأخر؛</w:t>
            </w:r>
          </w:p>
          <w:p w14:paraId="31893ABA" w14:textId="77777777" w:rsidR="00BD3831" w:rsidRDefault="00BD3831" w:rsidP="0031289D">
            <w:pPr>
              <w:numPr>
                <w:ilvl w:val="0"/>
                <w:numId w:val="32"/>
              </w:numPr>
              <w:bidi/>
              <w:spacing w:after="240" w:line="280" w:lineRule="exact"/>
              <w:ind w:left="357" w:hanging="357"/>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3% منها سدد لاحقاً (باستثناء تلك التي لها أثر رجعي أو عندما لا يوجد أي طلب شراء في النظام)</w:t>
            </w:r>
          </w:p>
          <w:p w14:paraId="789EC45D" w14:textId="77777777" w:rsidR="00BD3831" w:rsidRPr="00D232FE" w:rsidRDefault="00BD3831" w:rsidP="0031289D">
            <w:pPr>
              <w:bidi/>
              <w:spacing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المدفوعات الفورية</w:t>
            </w:r>
          </w:p>
          <w:p w14:paraId="7DE018F8" w14:textId="77777777" w:rsidR="00BD3831" w:rsidRPr="00D232FE" w:rsidRDefault="00BD3831" w:rsidP="0031289D">
            <w:pPr>
              <w:numPr>
                <w:ilvl w:val="0"/>
                <w:numId w:val="32"/>
              </w:numPr>
              <w:bidi/>
              <w:spacing w:after="120" w:line="280" w:lineRule="exact"/>
              <w:contextualSpacing/>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94% منها سدد في غضون أسبوع من التسلم المتأخر؛</w:t>
            </w:r>
          </w:p>
          <w:p w14:paraId="192AE598" w14:textId="77777777" w:rsidR="00BD3831" w:rsidRDefault="00BD3831" w:rsidP="0031289D">
            <w:pPr>
              <w:numPr>
                <w:ilvl w:val="0"/>
                <w:numId w:val="32"/>
              </w:numPr>
              <w:bidi/>
              <w:spacing w:after="240" w:line="280" w:lineRule="exact"/>
              <w:ind w:left="357" w:hanging="357"/>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6% منها سدد لاحقاً (باستثناء تلك التي لها أثر رجعي أو عندما لا يوجد أي طلب شراء في النظام)</w:t>
            </w:r>
          </w:p>
          <w:p w14:paraId="1DB6C9AB" w14:textId="77777777" w:rsidR="00BD3831" w:rsidRPr="00D232F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 xml:space="preserve">التوزيع </w:t>
            </w:r>
            <w:r>
              <w:rPr>
                <w:rFonts w:ascii="Arabic Typesetting" w:eastAsia="Arabic Typesetting" w:hAnsi="Arabic Typesetting" w:cs="Arabic Typesetting"/>
                <w:color w:val="000000"/>
                <w:sz w:val="28"/>
                <w:szCs w:val="28"/>
                <w:rtl/>
                <w:lang w:eastAsia="ar-EG" w:bidi="ar-EG"/>
              </w:rPr>
              <w:t>الشهري مدفوع/مودع في حساب جار</w:t>
            </w:r>
            <w:r>
              <w:rPr>
                <w:rFonts w:ascii="Arabic Typesetting" w:eastAsia="Arabic Typesetting" w:hAnsi="Arabic Typesetting" w:cs="Arabic Typesetting" w:hint="cs"/>
                <w:color w:val="000000"/>
                <w:sz w:val="28"/>
                <w:szCs w:val="28"/>
                <w:rtl/>
                <w:lang w:eastAsia="ar-EG" w:bidi="ar-EG"/>
              </w:rPr>
              <w:t xml:space="preserve"> بحسب</w:t>
            </w:r>
            <w:r w:rsidRPr="00D232FE">
              <w:rPr>
                <w:rFonts w:ascii="Arabic Typesetting" w:eastAsia="Arabic Typesetting" w:hAnsi="Arabic Typesetting" w:cs="Arabic Typesetting"/>
                <w:color w:val="000000"/>
                <w:sz w:val="28"/>
                <w:szCs w:val="28"/>
                <w:rtl/>
                <w:lang w:eastAsia="ar-EG" w:bidi="ar-EG"/>
              </w:rPr>
              <w:t xml:space="preserve"> الاشتراكات</w:t>
            </w:r>
            <w:r>
              <w:rPr>
                <w:rFonts w:ascii="Arabic Typesetting" w:eastAsia="Arabic Typesetting" w:hAnsi="Arabic Typesetting" w:cs="Arabic Typesetting" w:hint="cs"/>
                <w:color w:val="000000"/>
                <w:sz w:val="28"/>
                <w:szCs w:val="28"/>
                <w:rtl/>
                <w:lang w:eastAsia="ar-EG" w:bidi="ar-EG"/>
              </w:rPr>
              <w:t>،</w:t>
            </w:r>
            <w:r w:rsidRPr="00D232FE">
              <w:rPr>
                <w:rFonts w:ascii="Arabic Typesetting" w:eastAsia="Arabic Typesetting" w:hAnsi="Arabic Typesetting" w:cs="Arabic Typesetting"/>
                <w:color w:val="000000"/>
                <w:sz w:val="28"/>
                <w:szCs w:val="28"/>
                <w:rtl/>
                <w:lang w:eastAsia="ar-EG" w:bidi="ar-EG"/>
              </w:rPr>
              <w:t xml:space="preserve"> في الشهر التالي كما هو مطلوب في اللائحة التنفيذية</w:t>
            </w:r>
            <w:r>
              <w:rPr>
                <w:rFonts w:ascii="Arabic Typesetting" w:eastAsia="Arabic Typesetting" w:hAnsi="Arabic Typesetting" w:cs="Arabic Typesetting" w:hint="cs"/>
                <w:color w:val="000000"/>
                <w:sz w:val="28"/>
                <w:szCs w:val="28"/>
                <w:rtl/>
                <w:lang w:eastAsia="ar-EG" w:bidi="ar-EG"/>
              </w:rPr>
              <w:t>.</w:t>
            </w:r>
          </w:p>
        </w:tc>
        <w:tc>
          <w:tcPr>
            <w:tcW w:w="467" w:type="pct"/>
            <w:gridSpan w:val="2"/>
            <w:shd w:val="clear" w:color="auto" w:fill="auto"/>
            <w:tcMar>
              <w:top w:w="110" w:type="dxa"/>
              <w:left w:w="58" w:type="dxa"/>
              <w:right w:w="58" w:type="dxa"/>
            </w:tcMar>
          </w:tcPr>
          <w:p w14:paraId="0863699C" w14:textId="77777777" w:rsidR="00BD3831" w:rsidRDefault="00BD3831" w:rsidP="0031289D">
            <w:pPr>
              <w:keepNext/>
              <w:bidi/>
              <w:spacing w:after="216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p w14:paraId="04F15C1A" w14:textId="77777777" w:rsidR="00D3741B" w:rsidRDefault="00D3741B" w:rsidP="00D3741B">
            <w:pPr>
              <w:keepNext/>
              <w:bidi/>
              <w:spacing w:line="280" w:lineRule="exact"/>
              <w:jc w:val="center"/>
              <w:rPr>
                <w:rFonts w:ascii="Arabic Typesetting" w:eastAsia="Arabic Typesetting" w:hAnsi="Arabic Typesetting" w:cs="Arabic Typesetting"/>
                <w:b/>
                <w:bCs/>
                <w:color w:val="00B050"/>
                <w:sz w:val="28"/>
                <w:szCs w:val="28"/>
                <w:rtl/>
                <w:lang w:eastAsia="ar-EG" w:bidi="ar-EG"/>
              </w:rPr>
            </w:pPr>
          </w:p>
          <w:p w14:paraId="0A38871B" w14:textId="77777777" w:rsidR="006A1A09" w:rsidRDefault="006A1A09" w:rsidP="00D3741B">
            <w:pPr>
              <w:keepNext/>
              <w:bidi/>
              <w:spacing w:after="1440" w:line="280" w:lineRule="exact"/>
              <w:jc w:val="center"/>
              <w:rPr>
                <w:rFonts w:ascii="Arabic Typesetting" w:eastAsia="Arabic Typesetting" w:hAnsi="Arabic Typesetting" w:cs="Arabic Typesetting"/>
                <w:b/>
                <w:bCs/>
                <w:color w:val="00B050"/>
                <w:sz w:val="28"/>
                <w:szCs w:val="28"/>
                <w:rtl/>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p w14:paraId="23D4F72F" w14:textId="35A3C531" w:rsidR="00BD3831" w:rsidRPr="00D232FE" w:rsidRDefault="00BD3831" w:rsidP="006A1A09">
            <w:pPr>
              <w:keepNext/>
              <w:bidi/>
              <w:spacing w:after="12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tc>
      </w:tr>
      <w:tr w:rsidR="00BD3831" w:rsidRPr="00D232FE" w14:paraId="5A10AA69" w14:textId="77777777" w:rsidTr="00DF6715">
        <w:trPr>
          <w:cantSplit/>
          <w:trHeight w:val="565"/>
        </w:trPr>
        <w:tc>
          <w:tcPr>
            <w:tcW w:w="5000" w:type="pct"/>
            <w:gridSpan w:val="9"/>
            <w:shd w:val="clear" w:color="auto" w:fill="C6D9F1"/>
            <w:tcMar>
              <w:left w:w="58" w:type="dxa"/>
              <w:right w:w="58" w:type="dxa"/>
            </w:tcMar>
            <w:vAlign w:val="center"/>
          </w:tcPr>
          <w:p w14:paraId="0A542B60" w14:textId="4B940F42" w:rsidR="00BD3831" w:rsidRPr="00D232FE" w:rsidRDefault="00BD3831" w:rsidP="0031289D">
            <w:pPr>
              <w:keepNext/>
              <w:bidi/>
              <w:spacing w:before="120" w:after="120" w:line="280" w:lineRule="exact"/>
              <w:ind w:left="1452" w:hanging="1452"/>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lastRenderedPageBreak/>
              <w:t>‏النتيجة المرتقبة:</w:t>
            </w:r>
            <w:r w:rsidRPr="00D232FE">
              <w:rPr>
                <w:rFonts w:ascii="Arabic Typesetting" w:eastAsia="Arabic Typesetting" w:hAnsi="Arabic Typesetting" w:cs="Arabic Typesetting"/>
                <w:sz w:val="28"/>
                <w:szCs w:val="28"/>
                <w:lang w:eastAsia="ar-EG" w:bidi="ar-EG"/>
              </w:rPr>
              <w:tab/>
            </w:r>
            <w:r w:rsidRPr="00D232FE">
              <w:rPr>
                <w:rFonts w:ascii="Arabic Typesetting" w:eastAsia="Arabic Typesetting" w:hAnsi="Arabic Typesetting" w:cs="Arabic Typesetting"/>
                <w:color w:val="000000"/>
                <w:sz w:val="28"/>
                <w:szCs w:val="28"/>
                <w:rtl/>
                <w:lang w:eastAsia="ar-EG" w:bidi="ar-EG"/>
              </w:rPr>
              <w:t>ه3.9 بيئة عمل داعمة ومسنودة بإطار تنظيمي فعال وقنوات فعالة لمعالجة مشاغل الموظفين</w:t>
            </w:r>
          </w:p>
        </w:tc>
      </w:tr>
      <w:tr w:rsidR="00BD3831" w:rsidRPr="00D232FE" w14:paraId="48BD275B" w14:textId="77777777" w:rsidTr="00DF6715">
        <w:trPr>
          <w:cantSplit/>
        </w:trPr>
        <w:tc>
          <w:tcPr>
            <w:tcW w:w="905" w:type="pct"/>
            <w:shd w:val="clear" w:color="auto" w:fill="auto"/>
            <w:tcMar>
              <w:left w:w="58" w:type="dxa"/>
              <w:right w:w="58" w:type="dxa"/>
            </w:tcMar>
            <w:vAlign w:val="center"/>
          </w:tcPr>
          <w:p w14:paraId="4C666240" w14:textId="77777777" w:rsidR="00BD3831" w:rsidRPr="00D232FE"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مؤشرات الأداء</w:t>
            </w:r>
          </w:p>
        </w:tc>
        <w:tc>
          <w:tcPr>
            <w:tcW w:w="1480" w:type="pct"/>
            <w:gridSpan w:val="2"/>
            <w:shd w:val="clear" w:color="auto" w:fill="auto"/>
            <w:tcMar>
              <w:left w:w="58" w:type="dxa"/>
              <w:right w:w="58" w:type="dxa"/>
            </w:tcMar>
            <w:vAlign w:val="center"/>
          </w:tcPr>
          <w:p w14:paraId="0ED3FE81" w14:textId="77777777" w:rsidR="00BD3831" w:rsidRPr="00D232FE"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أسس المقارنة</w:t>
            </w:r>
          </w:p>
        </w:tc>
        <w:tc>
          <w:tcPr>
            <w:tcW w:w="757" w:type="pct"/>
            <w:gridSpan w:val="2"/>
            <w:shd w:val="clear" w:color="auto" w:fill="auto"/>
            <w:tcMar>
              <w:top w:w="110" w:type="dxa"/>
              <w:left w:w="58" w:type="dxa"/>
              <w:right w:w="58" w:type="dxa"/>
            </w:tcMar>
            <w:vAlign w:val="center"/>
          </w:tcPr>
          <w:p w14:paraId="75D758C0" w14:textId="77777777" w:rsidR="00BD3831" w:rsidRPr="00D232FE"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الأهداف</w:t>
            </w:r>
          </w:p>
        </w:tc>
        <w:tc>
          <w:tcPr>
            <w:tcW w:w="1397" w:type="pct"/>
            <w:gridSpan w:val="3"/>
            <w:shd w:val="clear" w:color="auto" w:fill="FFFFFF"/>
            <w:tcMar>
              <w:top w:w="110" w:type="dxa"/>
              <w:left w:w="58" w:type="dxa"/>
              <w:right w:w="58" w:type="dxa"/>
            </w:tcMar>
            <w:vAlign w:val="center"/>
          </w:tcPr>
          <w:p w14:paraId="6174BF4D" w14:textId="77777777" w:rsidR="00BD3831" w:rsidRPr="00D232FE"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D232FE">
              <w:rPr>
                <w:rFonts w:ascii="Arabic Typesetting" w:eastAsia="Arabic Typesetting" w:hAnsi="Arabic Typesetting" w:cs="Arabic Typesetting"/>
                <w:b/>
                <w:bCs/>
                <w:sz w:val="28"/>
                <w:szCs w:val="28"/>
                <w:rtl/>
                <w:lang w:eastAsia="ar-EG" w:bidi="ar-EG"/>
              </w:rPr>
              <w:t>بيانات الأداء</w:t>
            </w:r>
          </w:p>
        </w:tc>
        <w:tc>
          <w:tcPr>
            <w:tcW w:w="461" w:type="pct"/>
            <w:shd w:val="clear" w:color="auto" w:fill="auto"/>
            <w:tcMar>
              <w:top w:w="110" w:type="dxa"/>
              <w:left w:w="58" w:type="dxa"/>
              <w:right w:w="58" w:type="dxa"/>
            </w:tcMar>
            <w:vAlign w:val="center"/>
          </w:tcPr>
          <w:p w14:paraId="56DBC90F" w14:textId="77777777" w:rsidR="00BD3831" w:rsidRPr="00D232FE" w:rsidRDefault="00BD3831" w:rsidP="0031289D">
            <w:pPr>
              <w:keepNext/>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D3831" w:rsidRPr="00D232FE" w14:paraId="2A58C196" w14:textId="77777777" w:rsidTr="00DF6715">
        <w:trPr>
          <w:cantSplit/>
          <w:trHeight w:val="3013"/>
        </w:trPr>
        <w:tc>
          <w:tcPr>
            <w:tcW w:w="905" w:type="pct"/>
            <w:shd w:val="clear" w:color="auto" w:fill="auto"/>
            <w:tcMar>
              <w:left w:w="58" w:type="dxa"/>
              <w:right w:w="58" w:type="dxa"/>
            </w:tcMar>
          </w:tcPr>
          <w:p w14:paraId="1B9B9EE9" w14:textId="77777777" w:rsidR="00BD3831" w:rsidRPr="00D232FE" w:rsidRDefault="00BD3831" w:rsidP="0031289D">
            <w:pPr>
              <w:keepNext/>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تحديث النظام المالي ولائحته والتعليمات الإدارية ذات الصلة</w:t>
            </w:r>
          </w:p>
        </w:tc>
        <w:tc>
          <w:tcPr>
            <w:tcW w:w="1480" w:type="pct"/>
            <w:gridSpan w:val="2"/>
            <w:shd w:val="clear" w:color="auto" w:fill="auto"/>
            <w:tcMar>
              <w:left w:w="58" w:type="dxa"/>
              <w:right w:w="58" w:type="dxa"/>
            </w:tcMar>
          </w:tcPr>
          <w:p w14:paraId="3C2C03BF" w14:textId="77777777" w:rsidR="00BD3831" w:rsidRDefault="00BD3831" w:rsidP="0031289D">
            <w:pPr>
              <w:keepNext/>
              <w:bidi/>
              <w:spacing w:after="120" w:line="280" w:lineRule="exact"/>
              <w:rPr>
                <w:rFonts w:ascii="Arabic Typesetting" w:eastAsia="Arabic Typesetting" w:hAnsi="Arabic Typesetting" w:cs="Arabic Typesetting"/>
                <w:i/>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التعليمات الإدار</w:t>
            </w:r>
            <w:r>
              <w:rPr>
                <w:rFonts w:ascii="Arabic Typesetting" w:eastAsia="Arabic Typesetting" w:hAnsi="Arabic Typesetting" w:cs="Arabic Typesetting"/>
                <w:color w:val="002060"/>
                <w:sz w:val="28"/>
                <w:szCs w:val="28"/>
                <w:rtl/>
                <w:lang w:eastAsia="ar-EG" w:bidi="ar-EG"/>
              </w:rPr>
              <w:t xml:space="preserve">ية الصادرة في عامي 2014 و2015. </w:t>
            </w:r>
            <w:r w:rsidRPr="00D232FE">
              <w:rPr>
                <w:rFonts w:ascii="Arabic Typesetting" w:eastAsia="Arabic Typesetting" w:hAnsi="Arabic Typesetting" w:cs="Arabic Typesetting"/>
                <w:color w:val="002060"/>
                <w:sz w:val="28"/>
                <w:szCs w:val="28"/>
                <w:rtl/>
                <w:lang w:eastAsia="ar-EG" w:bidi="ar-EG"/>
              </w:rPr>
              <w:t>النظام المالي ولائحته المعدل في عامي 2014 و2015 حسب الضرورة</w:t>
            </w:r>
          </w:p>
          <w:p w14:paraId="7F988B94" w14:textId="77777777" w:rsidR="00BD3831" w:rsidRPr="00D232FE" w:rsidRDefault="00BD3831" w:rsidP="0031289D">
            <w:pPr>
              <w:keepNext/>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D232FE">
              <w:rPr>
                <w:rFonts w:ascii="Arabic Typesetting" w:eastAsia="Arabic Typesetting" w:hAnsi="Arabic Typesetting" w:cs="Arabic Typesetting"/>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 xml:space="preserve">التعليمات الإدارية الصادرة في عامي 2014 و2015. النظام المالي ولائحته المعدلان في عام 2014 حسب الاقتضاء </w:t>
            </w:r>
          </w:p>
        </w:tc>
        <w:tc>
          <w:tcPr>
            <w:tcW w:w="757" w:type="pct"/>
            <w:gridSpan w:val="2"/>
            <w:shd w:val="clear" w:color="auto" w:fill="auto"/>
            <w:tcMar>
              <w:top w:w="110" w:type="dxa"/>
              <w:left w:w="58" w:type="dxa"/>
              <w:right w:w="58" w:type="dxa"/>
            </w:tcMar>
          </w:tcPr>
          <w:p w14:paraId="1A2F9AC3" w14:textId="77777777" w:rsidR="00BD3831" w:rsidRPr="00D232FE" w:rsidRDefault="00BD3831" w:rsidP="0031289D">
            <w:pPr>
              <w:keepNext/>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استعراض الإطار التنظيمي ومراجعته إذا اقتضى (حسبما يقتضي) الأمر</w:t>
            </w:r>
          </w:p>
        </w:tc>
        <w:tc>
          <w:tcPr>
            <w:tcW w:w="1397" w:type="pct"/>
            <w:gridSpan w:val="3"/>
            <w:shd w:val="clear" w:color="auto" w:fill="FFFFFF"/>
            <w:tcMar>
              <w:top w:w="110" w:type="dxa"/>
              <w:left w:w="58" w:type="dxa"/>
              <w:right w:w="58" w:type="dxa"/>
            </w:tcMar>
          </w:tcPr>
          <w:p w14:paraId="2F50F731" w14:textId="77777777" w:rsidR="00BD3831"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وضعت إجراءات رسمية لمضمون التعليمات الإدارية واستعراضها وإجازتها.</w:t>
            </w:r>
          </w:p>
          <w:p w14:paraId="5027F029" w14:textId="77777777" w:rsidR="00BD3831" w:rsidRPr="00D232FE"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مراجعة و/أو إصدار جارٍ للتعميمات الإدارية، بما فيها تلك التي تتناول ما يلي:</w:t>
            </w:r>
          </w:p>
          <w:p w14:paraId="27353B2C" w14:textId="77777777" w:rsidR="00BD3831" w:rsidRPr="000B74B5" w:rsidRDefault="00BD3831" w:rsidP="0031289D">
            <w:pPr>
              <w:keepNext/>
              <w:numPr>
                <w:ilvl w:val="0"/>
                <w:numId w:val="31"/>
              </w:numPr>
              <w:overflowPunct w:val="0"/>
              <w:autoSpaceDE w:val="0"/>
              <w:autoSpaceDN w:val="0"/>
              <w:bidi/>
              <w:adjustRightInd w:val="0"/>
              <w:spacing w:after="120" w:line="280" w:lineRule="exact"/>
              <w:rPr>
                <w:rFonts w:ascii="Arabic Typesetting" w:hAnsi="Arabic Typesetting" w:cs="Arabic Typesetting"/>
                <w:b/>
                <w:sz w:val="28"/>
                <w:szCs w:val="28"/>
                <w:lang w:eastAsia="zh-CN" w:bidi="ar-EG"/>
              </w:rPr>
            </w:pPr>
            <w:r w:rsidRPr="00673F64">
              <w:rPr>
                <w:rFonts w:ascii="Arabic Typesetting" w:hAnsi="Arabic Typesetting" w:cs="Arabic Typesetting"/>
                <w:b/>
                <w:sz w:val="28"/>
                <w:szCs w:val="28"/>
                <w:rtl/>
                <w:lang w:val="fr-FR" w:eastAsia="zh-CN" w:bidi="ar-EG"/>
              </w:rPr>
              <w:t>فريق الويبو لإدارة المخاطر - الاختصاصات والعضوية؛</w:t>
            </w:r>
          </w:p>
          <w:p w14:paraId="402BDE80" w14:textId="77777777" w:rsidR="00BD3831" w:rsidRDefault="00BD3831" w:rsidP="0031289D">
            <w:pPr>
              <w:keepNext/>
              <w:numPr>
                <w:ilvl w:val="0"/>
                <w:numId w:val="31"/>
              </w:numPr>
              <w:autoSpaceDE w:val="0"/>
              <w:autoSpaceDN w:val="0"/>
              <w:bidi/>
              <w:adjustRightInd w:val="0"/>
              <w:spacing w:after="120" w:line="280" w:lineRule="exact"/>
              <w:rPr>
                <w:rFonts w:ascii="Arabic Typesetting" w:eastAsia="Arabic Typesetting" w:hAnsi="Arabic Typesetting" w:cs="Arabic Typesetting"/>
                <w:color w:val="000000"/>
                <w:sz w:val="28"/>
                <w:szCs w:val="28"/>
                <w:lang w:val="fr-CH" w:eastAsia="ar-EG" w:bidi="ar-EG"/>
              </w:rPr>
            </w:pPr>
            <w:r w:rsidRPr="00D232FE">
              <w:rPr>
                <w:rFonts w:ascii="Arabic Typesetting" w:eastAsia="Arabic Typesetting" w:hAnsi="Arabic Typesetting" w:cs="Arabic Typesetting"/>
                <w:color w:val="000000"/>
                <w:sz w:val="28"/>
                <w:szCs w:val="28"/>
                <w:rtl/>
                <w:lang w:val="fr-CH" w:eastAsia="ar-EG" w:bidi="ar-EG"/>
              </w:rPr>
              <w:t>استعراض إطار المشتريات.</w:t>
            </w:r>
          </w:p>
          <w:p w14:paraId="6E03B455" w14:textId="77777777" w:rsidR="00BD3831" w:rsidRPr="00D232FE"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sz w:val="28"/>
                <w:szCs w:val="28"/>
                <w:rtl/>
                <w:lang w:eastAsia="ar-EG" w:bidi="ar-EG"/>
              </w:rPr>
              <w:t>إصدار دليل إدارة الممتلكات.</w:t>
            </w:r>
          </w:p>
        </w:tc>
        <w:tc>
          <w:tcPr>
            <w:tcW w:w="461" w:type="pct"/>
            <w:shd w:val="clear" w:color="auto" w:fill="auto"/>
            <w:tcMar>
              <w:top w:w="110" w:type="dxa"/>
              <w:left w:w="58" w:type="dxa"/>
              <w:right w:w="58" w:type="dxa"/>
            </w:tcMar>
          </w:tcPr>
          <w:p w14:paraId="1F2A06EF" w14:textId="77777777" w:rsidR="00BD3831" w:rsidRPr="00C62577" w:rsidRDefault="00BD3831" w:rsidP="0031289D">
            <w:pPr>
              <w:keepNext/>
              <w:bidi/>
              <w:spacing w:after="12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tc>
      </w:tr>
      <w:tr w:rsidR="00BD3831" w:rsidRPr="00D232FE" w14:paraId="4C5DA244" w14:textId="77777777" w:rsidTr="00DF6715">
        <w:trPr>
          <w:cantSplit/>
          <w:trHeight w:val="4393"/>
        </w:trPr>
        <w:tc>
          <w:tcPr>
            <w:tcW w:w="905" w:type="pct"/>
            <w:shd w:val="clear" w:color="auto" w:fill="auto"/>
            <w:tcMar>
              <w:left w:w="58" w:type="dxa"/>
              <w:right w:w="58" w:type="dxa"/>
            </w:tcMar>
          </w:tcPr>
          <w:p w14:paraId="2A076B44"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زيادة نضج إدارة المخاطر والضوابط الداخلية، وفقاً لخارطة الطريق</w:t>
            </w:r>
          </w:p>
        </w:tc>
        <w:tc>
          <w:tcPr>
            <w:tcW w:w="1480" w:type="pct"/>
            <w:gridSpan w:val="2"/>
            <w:shd w:val="clear" w:color="auto" w:fill="auto"/>
            <w:tcMar>
              <w:left w:w="58" w:type="dxa"/>
              <w:right w:w="58" w:type="dxa"/>
            </w:tcMar>
          </w:tcPr>
          <w:p w14:paraId="79AAC606" w14:textId="24088C20" w:rsidR="00BD3831" w:rsidRDefault="00BD3831" w:rsidP="005766FE">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‏تقدُّم بنسبة 80% في خارطة الطريق الخاصة بإدارة المخاطر؛ وتقدُّم بنسبة 30% في خارطة الطريق الخاصة بالضوابط</w:t>
            </w:r>
            <w:r w:rsidR="005766FE">
              <w:rPr>
                <w:rFonts w:ascii="Arabic Typesetting" w:eastAsia="Arabic Typesetting" w:hAnsi="Arabic Typesetting" w:cs="Arabic Typesetting" w:hint="cs"/>
                <w:color w:val="002060"/>
                <w:sz w:val="28"/>
                <w:szCs w:val="28"/>
                <w:rtl/>
                <w:lang w:eastAsia="ar-EG" w:bidi="ar-EG"/>
              </w:rPr>
              <w:t> </w:t>
            </w:r>
            <w:r w:rsidRPr="00D232FE">
              <w:rPr>
                <w:rFonts w:ascii="Arabic Typesetting" w:eastAsia="Arabic Typesetting" w:hAnsi="Arabic Typesetting" w:cs="Arabic Typesetting"/>
                <w:color w:val="002060"/>
                <w:sz w:val="28"/>
                <w:szCs w:val="28"/>
                <w:rtl/>
                <w:lang w:eastAsia="ar-EG" w:bidi="ar-EG"/>
              </w:rPr>
              <w:t>الداخلية</w:t>
            </w:r>
          </w:p>
          <w:p w14:paraId="277BC878"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D232FE">
              <w:rPr>
                <w:rFonts w:ascii="Arabic Typesetting" w:eastAsia="Arabic Typesetting" w:hAnsi="Arabic Typesetting" w:cs="Arabic Typesetting"/>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‏تقدُّم بنسبة 75% في خارطة الطريق الخاصة بإدارة المخاطر؛ وتقدُّم بنسبة 25% في خارطة الطريق الخاصة بالضوابط الداخلية</w:t>
            </w:r>
          </w:p>
        </w:tc>
        <w:tc>
          <w:tcPr>
            <w:tcW w:w="757" w:type="pct"/>
            <w:gridSpan w:val="2"/>
            <w:shd w:val="clear" w:color="auto" w:fill="auto"/>
            <w:tcMar>
              <w:top w:w="110" w:type="dxa"/>
              <w:left w:w="58" w:type="dxa"/>
              <w:right w:w="58" w:type="dxa"/>
            </w:tcMar>
          </w:tcPr>
          <w:p w14:paraId="52C679D6" w14:textId="77777777" w:rsidR="00BD3831"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تقدُّم بنسبة 100% في خارطة</w:t>
            </w:r>
            <w:r>
              <w:rPr>
                <w:rFonts w:ascii="Arabic Typesetting" w:eastAsia="Arabic Typesetting" w:hAnsi="Arabic Typesetting" w:cs="Arabic Typesetting"/>
                <w:color w:val="000000"/>
                <w:sz w:val="28"/>
                <w:szCs w:val="28"/>
                <w:rtl/>
                <w:lang w:eastAsia="ar-EG" w:bidi="ar-EG"/>
              </w:rPr>
              <w:t xml:space="preserve"> الطريق الخاصة بإدارة المخاطر؛</w:t>
            </w:r>
          </w:p>
          <w:p w14:paraId="233CE335"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تقدُّم بنسبة 80% في خارطة الطريق الخاصة بالضوابط الداخلية</w:t>
            </w:r>
          </w:p>
        </w:tc>
        <w:tc>
          <w:tcPr>
            <w:tcW w:w="1397" w:type="pct"/>
            <w:gridSpan w:val="3"/>
            <w:shd w:val="clear" w:color="auto" w:fill="FFFFFF"/>
            <w:tcMar>
              <w:top w:w="110" w:type="dxa"/>
              <w:left w:w="58" w:type="dxa"/>
              <w:right w:w="58" w:type="dxa"/>
            </w:tcMar>
          </w:tcPr>
          <w:p w14:paraId="71E52146" w14:textId="77777777" w:rsidR="00BD3831" w:rsidRPr="00D232FE"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تقدُّم بنسبة 100% في خارطة الطريق الخاصة بإدارة المخاطر، بما في ذلك:</w:t>
            </w:r>
          </w:p>
          <w:p w14:paraId="7E3A5D08" w14:textId="77777777" w:rsidR="00BD3831" w:rsidRPr="00D232FE" w:rsidRDefault="00BD3831" w:rsidP="0031289D">
            <w:pPr>
              <w:keepNext/>
              <w:numPr>
                <w:ilvl w:val="0"/>
                <w:numId w:val="33"/>
              </w:numPr>
              <w:bidi/>
              <w:spacing w:after="120" w:line="280" w:lineRule="exact"/>
              <w:contextualSpacing/>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 xml:space="preserve">إنجاز أنشطة خارطة الطريق للفترة 2014/15 مع تقرير أداء عن المخاطر للدول الأعضاء يوجه إليهم من خلال تقرير أداء البرنامج للثنائية؛ </w:t>
            </w:r>
          </w:p>
          <w:p w14:paraId="200FFD9C" w14:textId="77777777" w:rsidR="00BD3831" w:rsidRPr="00D232FE" w:rsidRDefault="00BD3831" w:rsidP="0031289D">
            <w:pPr>
              <w:keepNext/>
              <w:numPr>
                <w:ilvl w:val="0"/>
                <w:numId w:val="33"/>
              </w:numPr>
              <w:bidi/>
              <w:spacing w:after="120" w:line="280" w:lineRule="exact"/>
              <w:contextualSpacing/>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وأنشطة الفترة 2016/17 بعد التدقيق الداخلي الخاص بإدارة المخاطر المؤسسية المنجز في نهاية 2016.</w:t>
            </w:r>
          </w:p>
          <w:p w14:paraId="20810D56" w14:textId="77777777" w:rsidR="00BD3831" w:rsidRPr="00D232FE"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تقدم بنسبة 40% في مشروع خارطة الطريق الخاصة بالضوابط الداخلية، بما في ذلك التقدم المحرز في ما يلي:</w:t>
            </w:r>
          </w:p>
          <w:p w14:paraId="11E9508C" w14:textId="77777777" w:rsidR="00BD3831" w:rsidRPr="00D232FE" w:rsidRDefault="00BD3831" w:rsidP="0031289D">
            <w:pPr>
              <w:keepNext/>
              <w:numPr>
                <w:ilvl w:val="0"/>
                <w:numId w:val="34"/>
              </w:numPr>
              <w:bidi/>
              <w:spacing w:after="120" w:line="280" w:lineRule="exact"/>
              <w:contextualSpacing/>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 xml:space="preserve">تفصيل المسارات الإدارية والضوابط الداخلية الرئيسية؛ </w:t>
            </w:r>
          </w:p>
          <w:p w14:paraId="3EC3B618" w14:textId="77777777" w:rsidR="00BD3831" w:rsidRPr="00D232FE" w:rsidRDefault="00BD3831" w:rsidP="0031289D">
            <w:pPr>
              <w:keepNext/>
              <w:numPr>
                <w:ilvl w:val="0"/>
                <w:numId w:val="34"/>
              </w:numPr>
              <w:bidi/>
              <w:spacing w:after="120" w:line="280" w:lineRule="exact"/>
              <w:contextualSpacing/>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 xml:space="preserve">ووضع منهجية لتقييم الضوابط؛ </w:t>
            </w:r>
          </w:p>
          <w:p w14:paraId="752D8923" w14:textId="77777777" w:rsidR="00BD3831" w:rsidRPr="00D232FE" w:rsidRDefault="00BD3831" w:rsidP="0031289D">
            <w:pPr>
              <w:keepNext/>
              <w:numPr>
                <w:ilvl w:val="0"/>
                <w:numId w:val="34"/>
              </w:numPr>
              <w:bidi/>
              <w:spacing w:after="120" w:line="280" w:lineRule="exact"/>
              <w:ind w:left="357" w:hanging="357"/>
              <w:contextualSpacing/>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تقييم الضوابط على مستوى الكيان لدعم تسجيلات خطابات تمثيل الإدارة</w:t>
            </w:r>
          </w:p>
        </w:tc>
        <w:tc>
          <w:tcPr>
            <w:tcW w:w="461" w:type="pct"/>
            <w:shd w:val="clear" w:color="auto" w:fill="auto"/>
            <w:tcMar>
              <w:top w:w="110" w:type="dxa"/>
              <w:left w:w="58" w:type="dxa"/>
              <w:right w:w="58" w:type="dxa"/>
            </w:tcMar>
          </w:tcPr>
          <w:p w14:paraId="6EF2FC6C" w14:textId="77777777" w:rsidR="00BD3831" w:rsidRDefault="00BD3831" w:rsidP="0031289D">
            <w:pPr>
              <w:keepNext/>
              <w:bidi/>
              <w:spacing w:after="288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p w14:paraId="7ACAAD0C" w14:textId="77777777" w:rsidR="00BD3831" w:rsidRPr="00C62577" w:rsidRDefault="00BD3831" w:rsidP="0031289D">
            <w:pPr>
              <w:keepNext/>
              <w:bidi/>
              <w:spacing w:after="12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tc>
      </w:tr>
      <w:tr w:rsidR="00BD3831" w:rsidRPr="00D232FE" w14:paraId="654E4BBB" w14:textId="77777777" w:rsidTr="00DF6715">
        <w:trPr>
          <w:cantSplit/>
          <w:trHeight w:val="2942"/>
        </w:trPr>
        <w:tc>
          <w:tcPr>
            <w:tcW w:w="905" w:type="pct"/>
            <w:shd w:val="clear" w:color="auto" w:fill="auto"/>
            <w:tcMar>
              <w:left w:w="58" w:type="dxa"/>
              <w:right w:w="58" w:type="dxa"/>
            </w:tcMar>
          </w:tcPr>
          <w:p w14:paraId="3F26DCC0"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lastRenderedPageBreak/>
              <w:t>متابعة فعالة لتوصيات الرقابة</w:t>
            </w:r>
          </w:p>
        </w:tc>
        <w:tc>
          <w:tcPr>
            <w:tcW w:w="1480" w:type="pct"/>
            <w:gridSpan w:val="2"/>
            <w:shd w:val="clear" w:color="auto" w:fill="auto"/>
            <w:tcMar>
              <w:left w:w="58" w:type="dxa"/>
              <w:right w:w="58" w:type="dxa"/>
            </w:tcMar>
          </w:tcPr>
          <w:p w14:paraId="50EF879E"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مراجِع الحسابات الخارجي = التمكّن في عام 2015 من إقفال 62% من التوصيات المُعلَّقةً في نهاية عام 2013 (المنظمة كلها)</w:t>
            </w:r>
          </w:p>
          <w:p w14:paraId="10329863"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color w:val="002060"/>
                <w:sz w:val="28"/>
                <w:szCs w:val="28"/>
                <w:rtl/>
                <w:lang w:eastAsia="ar-EG" w:bidi="ar-EG"/>
              </w:rPr>
              <w:t>شعبة الرقابة الداخلية = التمكّن في عام 2015 من إقفال 82% من التوصيات المُعلَّقةً في نهاية عام 2013 (البرنامج 22)</w:t>
            </w:r>
          </w:p>
          <w:p w14:paraId="000CB53B"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color w:val="002060"/>
                <w:sz w:val="28"/>
                <w:szCs w:val="28"/>
                <w:rtl/>
                <w:lang w:eastAsia="ar-EG" w:bidi="ar-EG"/>
              </w:rPr>
              <w:t>وحدة التفتيش المشتركة = التمكّن في عام 2015 من إقفال 87% من التوصيات المُعلَّقةً في نهاية عام 2013 (بدءاً</w:t>
            </w:r>
            <w:r>
              <w:rPr>
                <w:rFonts w:ascii="Arabic Typesetting" w:eastAsia="Arabic Typesetting" w:hAnsi="Arabic Typesetting" w:cs="Arabic Typesetting" w:hint="cs"/>
                <w:color w:val="002060"/>
                <w:sz w:val="28"/>
                <w:szCs w:val="28"/>
                <w:rtl/>
                <w:lang w:eastAsia="ar-EG" w:bidi="ar-EG"/>
              </w:rPr>
              <w:t> </w:t>
            </w:r>
            <w:r w:rsidRPr="00D232FE">
              <w:rPr>
                <w:rFonts w:ascii="Arabic Typesetting" w:eastAsia="Arabic Typesetting" w:hAnsi="Arabic Typesetting" w:cs="Arabic Typesetting"/>
                <w:color w:val="002060"/>
                <w:sz w:val="28"/>
                <w:szCs w:val="28"/>
                <w:rtl/>
                <w:lang w:eastAsia="ar-EG" w:bidi="ar-EG"/>
              </w:rPr>
              <w:t>بعام</w:t>
            </w:r>
            <w:r>
              <w:rPr>
                <w:rFonts w:ascii="Arabic Typesetting" w:eastAsia="Arabic Typesetting" w:hAnsi="Arabic Typesetting" w:cs="Arabic Typesetting" w:hint="cs"/>
                <w:color w:val="002060"/>
                <w:sz w:val="28"/>
                <w:szCs w:val="28"/>
                <w:rtl/>
                <w:lang w:eastAsia="ar-EG" w:bidi="ar-EG"/>
              </w:rPr>
              <w:t> </w:t>
            </w:r>
            <w:r w:rsidRPr="00D232FE">
              <w:rPr>
                <w:rFonts w:ascii="Arabic Typesetting" w:eastAsia="Arabic Typesetting" w:hAnsi="Arabic Typesetting" w:cs="Arabic Typesetting"/>
                <w:color w:val="002060"/>
                <w:sz w:val="28"/>
                <w:szCs w:val="28"/>
                <w:rtl/>
                <w:lang w:eastAsia="ar-EG" w:bidi="ar-EG"/>
              </w:rPr>
              <w:t>2010)</w:t>
            </w:r>
          </w:p>
          <w:p w14:paraId="029152CF" w14:textId="77777777" w:rsidR="00BD3831" w:rsidRPr="00D232FE" w:rsidRDefault="00BD3831" w:rsidP="0031289D">
            <w:pPr>
              <w:bidi/>
              <w:spacing w:after="120" w:line="280" w:lineRule="exact"/>
              <w:ind w:left="33"/>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t>أساس المقارنة الأصلي</w:t>
            </w:r>
            <w:r w:rsidRPr="00D232FE">
              <w:rPr>
                <w:rFonts w:ascii="Arabic Typesetting" w:eastAsia="Arabic Typesetting" w:hAnsi="Arabic Typesetting" w:cs="Arabic Typesetting"/>
                <w:i/>
                <w:iCs/>
                <w:color w:val="000000"/>
                <w:sz w:val="28"/>
                <w:szCs w:val="28"/>
                <w:rtl/>
                <w:lang w:eastAsia="ar-EG" w:bidi="ar-EG"/>
              </w:rPr>
              <w:t>:</w:t>
            </w:r>
            <w:r w:rsidRPr="00D232FE">
              <w:rPr>
                <w:rFonts w:ascii="Arabic Typesetting" w:eastAsia="Arabic Typesetting" w:hAnsi="Arabic Typesetting" w:cs="Arabic Typesetting"/>
                <w:i/>
                <w:color w:val="000000"/>
                <w:sz w:val="28"/>
                <w:szCs w:val="28"/>
                <w:lang w:eastAsia="ar-EG" w:bidi="ar-EG"/>
              </w:rPr>
              <w:br/>
            </w:r>
            <w:r w:rsidRPr="00D232FE">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D232FE">
              <w:rPr>
                <w:rFonts w:ascii="Arabic Typesetting" w:eastAsia="Arabic Typesetting" w:hAnsi="Arabic Typesetting" w:cs="Arabic Typesetting"/>
                <w:color w:val="000000"/>
                <w:sz w:val="28"/>
                <w:szCs w:val="28"/>
                <w:rtl/>
                <w:lang w:eastAsia="ar-EG" w:bidi="ar-EG"/>
              </w:rPr>
              <w:t>‏مراجِع الحسابات الخارجي = التمكّن في عام 2014 من إقفال 47% من التوصيات المُعلَّقةً في نهاية عام 2013 (المنظمة كلها)</w:t>
            </w:r>
            <w:r w:rsidRPr="00D232FE">
              <w:rPr>
                <w:rFonts w:ascii="Arabic Typesetting" w:eastAsia="Arabic Typesetting" w:hAnsi="Arabic Typesetting" w:cs="Arabic Typesetting"/>
                <w:color w:val="000000"/>
                <w:sz w:val="28"/>
                <w:szCs w:val="28"/>
                <w:lang w:eastAsia="ar-EG" w:bidi="ar-EG"/>
              </w:rPr>
              <w:br/>
            </w:r>
            <w:r w:rsidRPr="00D232FE">
              <w:rPr>
                <w:rFonts w:ascii="Arabic Typesetting" w:eastAsia="Arabic Typesetting" w:hAnsi="Arabic Typesetting" w:cs="Arabic Typesetting"/>
                <w:color w:val="000000"/>
                <w:sz w:val="28"/>
                <w:szCs w:val="28"/>
                <w:rtl/>
                <w:lang w:eastAsia="ar-EG" w:bidi="ar-EG"/>
              </w:rPr>
              <w:t>شعبة الرقابة الداخلية = التمكّن في عام 2014 من إقفال 64% من التوصيات المُعلَّقةً في نهاية عام 2013 (البرنامج 22)</w:t>
            </w:r>
            <w:r w:rsidRPr="00D232FE">
              <w:rPr>
                <w:rFonts w:ascii="Arabic Typesetting" w:eastAsia="Arabic Typesetting" w:hAnsi="Arabic Typesetting" w:cs="Arabic Typesetting"/>
                <w:color w:val="000000"/>
                <w:sz w:val="28"/>
                <w:szCs w:val="28"/>
                <w:lang w:eastAsia="ar-EG" w:bidi="ar-EG"/>
              </w:rPr>
              <w:br/>
            </w:r>
            <w:r w:rsidRPr="00D232FE">
              <w:rPr>
                <w:rFonts w:ascii="Arabic Typesetting" w:eastAsia="Arabic Typesetting" w:hAnsi="Arabic Typesetting" w:cs="Arabic Typesetting"/>
                <w:color w:val="000000"/>
                <w:sz w:val="28"/>
                <w:szCs w:val="28"/>
                <w:rtl/>
                <w:lang w:eastAsia="ar-EG" w:bidi="ar-EG"/>
              </w:rPr>
              <w:t>وحدة التفتيش المشتركة = التمكّن في عام 2014 من إقفال 61% من التوصيات المُعلَّقةً في نهاية عام 2013 (بدءاً</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بعام</w:t>
            </w:r>
            <w:r>
              <w:rPr>
                <w:rFonts w:ascii="Arabic Typesetting" w:eastAsia="Arabic Typesetting" w:hAnsi="Arabic Typesetting" w:cs="Arabic Typesetting" w:hint="cs"/>
                <w:color w:val="000000"/>
                <w:sz w:val="28"/>
                <w:szCs w:val="28"/>
                <w:rtl/>
                <w:lang w:eastAsia="ar-EG" w:bidi="ar-EG"/>
              </w:rPr>
              <w:t> </w:t>
            </w:r>
            <w:r w:rsidRPr="00D232FE">
              <w:rPr>
                <w:rFonts w:ascii="Arabic Typesetting" w:eastAsia="Arabic Typesetting" w:hAnsi="Arabic Typesetting" w:cs="Arabic Typesetting"/>
                <w:color w:val="000000"/>
                <w:sz w:val="28"/>
                <w:szCs w:val="28"/>
                <w:rtl/>
                <w:lang w:eastAsia="ar-EG" w:bidi="ar-EG"/>
              </w:rPr>
              <w:t>2010)</w:t>
            </w:r>
          </w:p>
        </w:tc>
        <w:tc>
          <w:tcPr>
            <w:tcW w:w="757" w:type="pct"/>
            <w:gridSpan w:val="2"/>
            <w:shd w:val="clear" w:color="auto" w:fill="auto"/>
            <w:tcMar>
              <w:top w:w="110" w:type="dxa"/>
              <w:left w:w="58" w:type="dxa"/>
              <w:right w:w="58" w:type="dxa"/>
            </w:tcMar>
          </w:tcPr>
          <w:p w14:paraId="1C226F6C" w14:textId="77777777" w:rsidR="00BD3831" w:rsidRPr="00D232FE"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D232FE">
              <w:rPr>
                <w:rFonts w:ascii="Arabic Typesetting" w:eastAsia="Arabic Typesetting" w:hAnsi="Arabic Typesetting" w:cs="Arabic Typesetting"/>
                <w:color w:val="002060"/>
                <w:sz w:val="28"/>
                <w:szCs w:val="28"/>
                <w:rtl/>
                <w:lang w:eastAsia="ar-EG" w:bidi="ar-EG"/>
              </w:rPr>
              <w:t>مراجِع الحسابات الخارجي = التمكّن في الثنائية 2016/17 من إقفال 65% من التوصيات المُعلَّقةً في نهاية عام 2015</w:t>
            </w:r>
          </w:p>
          <w:p w14:paraId="70194769"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rtl/>
                <w:lang w:eastAsia="ar-EG" w:bidi="ar-EG"/>
              </w:rPr>
            </w:pPr>
          </w:p>
          <w:p w14:paraId="14D57238" w14:textId="77777777" w:rsidR="00BD3831" w:rsidRPr="00D232FE"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color w:val="002060"/>
                <w:sz w:val="28"/>
                <w:szCs w:val="28"/>
                <w:rtl/>
                <w:lang w:eastAsia="ar-EG" w:bidi="ar-EG"/>
              </w:rPr>
              <w:t>شعبة الرقابة الداخلية = التمكّن في الثنائية 2016/17 من إقفال 85% في الثنائية 2016/17 من التوصيات المُعلَّقةً في نهاية عام 2015</w:t>
            </w:r>
          </w:p>
          <w:p w14:paraId="5B8B978C"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rtl/>
                <w:lang w:eastAsia="ar-EG" w:bidi="ar-EG"/>
              </w:rPr>
            </w:pPr>
          </w:p>
          <w:p w14:paraId="1541C176"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D232FE">
              <w:rPr>
                <w:rFonts w:ascii="Arabic Typesetting" w:eastAsia="Arabic Typesetting" w:hAnsi="Arabic Typesetting" w:cs="Arabic Typesetting"/>
                <w:color w:val="002060"/>
                <w:sz w:val="28"/>
                <w:szCs w:val="28"/>
                <w:rtl/>
                <w:lang w:eastAsia="ar-EG" w:bidi="ar-EG"/>
              </w:rPr>
              <w:t>وحدة التفتيش المشتركة = التمكّن في الثنائية 2016/17 من إقفال 70% من التوصيات المُعلَّقةً في نهاية عام 2015 (بدءاً بعام 2010)</w:t>
            </w:r>
          </w:p>
          <w:p w14:paraId="16A7790D" w14:textId="2FEFC8E8" w:rsidR="00BD3831" w:rsidRDefault="000C4432" w:rsidP="0031289D">
            <w:pPr>
              <w:bidi/>
              <w:spacing w:after="120"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i/>
                <w:iCs/>
                <w:color w:val="000000"/>
                <w:sz w:val="28"/>
                <w:szCs w:val="28"/>
                <w:rtl/>
                <w:lang w:eastAsia="ar-EG" w:bidi="ar-EG"/>
              </w:rPr>
              <w:t>الهدف الأصلي:</w:t>
            </w:r>
            <w:r>
              <w:rPr>
                <w:rFonts w:ascii="Arabic Typesetting" w:eastAsia="Arabic Typesetting" w:hAnsi="Arabic Typesetting" w:cs="Arabic Typesetting"/>
                <w:i/>
                <w:iCs/>
                <w:color w:val="000000"/>
                <w:sz w:val="28"/>
                <w:szCs w:val="28"/>
                <w:rtl/>
                <w:lang w:eastAsia="ar-EG" w:bidi="ar-EG"/>
              </w:rPr>
              <w:br/>
            </w:r>
            <w:r w:rsidR="00BD3831" w:rsidRPr="00D232FE">
              <w:rPr>
                <w:rFonts w:ascii="Arabic Typesetting" w:eastAsia="Arabic Typesetting" w:hAnsi="Arabic Typesetting" w:cs="Arabic Typesetting"/>
                <w:i/>
                <w:iCs/>
                <w:color w:val="000000"/>
                <w:sz w:val="28"/>
                <w:szCs w:val="28"/>
                <w:rtl/>
                <w:lang w:eastAsia="ar-EG" w:bidi="ar-EG"/>
              </w:rPr>
              <w:t>برنامج وميزانية 2016/17</w:t>
            </w:r>
            <w:r w:rsidR="00BD3831">
              <w:rPr>
                <w:rFonts w:ascii="Arabic Typesetting" w:eastAsia="Arabic Typesetting" w:hAnsi="Arabic Typesetting" w:cs="Arabic Typesetting"/>
                <w:i/>
                <w:iCs/>
                <w:color w:val="000000"/>
                <w:sz w:val="28"/>
                <w:szCs w:val="28"/>
                <w:rtl/>
                <w:lang w:eastAsia="ar-EG" w:bidi="ar-EG"/>
              </w:rPr>
              <w:t>:</w:t>
            </w:r>
            <w:r w:rsidR="00BD3831">
              <w:rPr>
                <w:rFonts w:ascii="Arabic Typesetting" w:eastAsia="Arabic Typesetting" w:hAnsi="Arabic Typesetting" w:cs="Arabic Typesetting"/>
                <w:i/>
                <w:iCs/>
                <w:color w:val="000000"/>
                <w:sz w:val="28"/>
                <w:szCs w:val="28"/>
                <w:rtl/>
                <w:lang w:eastAsia="ar-EG" w:bidi="ar-EG"/>
              </w:rPr>
              <w:br/>
            </w:r>
            <w:r w:rsidR="00BD3831" w:rsidRPr="00D232FE">
              <w:rPr>
                <w:rFonts w:ascii="Arabic Typesetting" w:eastAsia="Arabic Typesetting" w:hAnsi="Arabic Typesetting" w:cs="Arabic Typesetting"/>
                <w:color w:val="000000"/>
                <w:sz w:val="28"/>
                <w:szCs w:val="28"/>
                <w:rtl/>
                <w:lang w:eastAsia="ar-EG" w:bidi="ar-EG"/>
              </w:rPr>
              <w:t>‏مراجِع الحسابات الخارجي = التمكّن في الثنائية 2016/17 من إقفال 55% من التوصيات المُعلَّقةً في نهاية عام 2015</w:t>
            </w:r>
          </w:p>
          <w:p w14:paraId="31DBAF81"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rtl/>
                <w:lang w:eastAsia="ar-EG" w:bidi="ar-EG"/>
              </w:rPr>
            </w:pPr>
            <w:r w:rsidRPr="00D232FE">
              <w:rPr>
                <w:rFonts w:ascii="Arabic Typesetting" w:eastAsia="Arabic Typesetting" w:hAnsi="Arabic Typesetting" w:cs="Arabic Typesetting"/>
                <w:color w:val="000000"/>
                <w:sz w:val="28"/>
                <w:szCs w:val="28"/>
                <w:rtl/>
                <w:lang w:eastAsia="ar-EG" w:bidi="ar-EG"/>
              </w:rPr>
              <w:t>شعبة الرقابة الداخلية = التمكّن في الثنائية 2016/17 من إقفال 70% من التوصيات المُعلَّقةً في نهاية عام 2015</w:t>
            </w:r>
          </w:p>
          <w:p w14:paraId="53E8C227" w14:textId="77777777" w:rsidR="00BD3831" w:rsidRPr="00D232F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وحدة التفتيش المشتركة = التمكّن في الثنائية 2016/17 من إقفال 70% من التوصيات المُعلَّقةً في نهاية عام 2015 (بدءاً بعام 2010)</w:t>
            </w:r>
          </w:p>
        </w:tc>
        <w:tc>
          <w:tcPr>
            <w:tcW w:w="1397" w:type="pct"/>
            <w:gridSpan w:val="3"/>
            <w:shd w:val="clear" w:color="auto" w:fill="FFFFFF"/>
            <w:tcMar>
              <w:top w:w="110" w:type="dxa"/>
              <w:left w:w="58" w:type="dxa"/>
              <w:right w:w="58" w:type="dxa"/>
            </w:tcMar>
          </w:tcPr>
          <w:p w14:paraId="236D274A" w14:textId="77777777" w:rsidR="00BD3831"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sz w:val="28"/>
                <w:szCs w:val="28"/>
                <w:rtl/>
                <w:lang w:eastAsia="ar-EG" w:bidi="ar-EG"/>
              </w:rPr>
              <w:t>مراجِع الحسابات الخارجي = التمكّن في الثنائية 2016/17 من إقفال 48% من التوصيات المُعلَّقةً في نهاية عام 2015 (المنظمة كلها)</w:t>
            </w:r>
          </w:p>
          <w:p w14:paraId="2D89028C" w14:textId="77777777" w:rsidR="00BD3831" w:rsidRPr="00D232FE" w:rsidRDefault="00BD3831" w:rsidP="0031289D">
            <w:pPr>
              <w:bidi/>
              <w:spacing w:line="280" w:lineRule="exact"/>
              <w:rPr>
                <w:rFonts w:ascii="Arabic Typesetting" w:eastAsia="Arabic Typesetting" w:hAnsi="Arabic Typesetting" w:cs="Arabic Typesetting"/>
                <w:sz w:val="28"/>
                <w:szCs w:val="28"/>
                <w:lang w:eastAsia="ar-EG" w:bidi="ar-EG"/>
              </w:rPr>
            </w:pPr>
            <w:r w:rsidRPr="00D232FE">
              <w:rPr>
                <w:rFonts w:ascii="Arabic Typesetting" w:eastAsia="Arabic Typesetting" w:hAnsi="Arabic Typesetting" w:cs="Arabic Typesetting"/>
                <w:sz w:val="28"/>
                <w:szCs w:val="28"/>
                <w:rtl/>
                <w:lang w:eastAsia="ar-EG" w:bidi="ar-EG"/>
              </w:rPr>
              <w:t>شعبة الرقابة الداخلية = التمكّن في الثنائية 2016/17 من إقفال 71% من التوصيات المُعلَّقةً في نهاية عام 2015</w:t>
            </w:r>
          </w:p>
          <w:p w14:paraId="7C338554" w14:textId="77777777" w:rsidR="00BD38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D232FE">
              <w:rPr>
                <w:rFonts w:ascii="Arabic Typesetting" w:eastAsia="Arabic Typesetting" w:hAnsi="Arabic Typesetting" w:cs="Arabic Typesetting"/>
                <w:sz w:val="28"/>
                <w:szCs w:val="28"/>
                <w:rtl/>
                <w:lang w:eastAsia="ar-EG" w:bidi="ar-EG"/>
              </w:rPr>
              <w:t>(البرنامج 22)</w:t>
            </w:r>
          </w:p>
          <w:p w14:paraId="5F8EEADD" w14:textId="77777777" w:rsidR="00BD3831" w:rsidRPr="00D232FE" w:rsidRDefault="00BD3831" w:rsidP="0031289D">
            <w:pPr>
              <w:keepNext/>
              <w:bidi/>
              <w:spacing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وحدة التفتيش المشتركة = التمكّن في نهاية عام 2016 من إقفال 58% من التوصيات المُعلَّقةً في نهاية عام 2015</w:t>
            </w:r>
          </w:p>
          <w:p w14:paraId="08D50A2A" w14:textId="77777777" w:rsidR="00BD3831" w:rsidRPr="00D232FE"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D232FE">
              <w:rPr>
                <w:rFonts w:ascii="Arabic Typesetting" w:eastAsia="Arabic Typesetting" w:hAnsi="Arabic Typesetting" w:cs="Arabic Typesetting"/>
                <w:color w:val="000000"/>
                <w:sz w:val="28"/>
                <w:szCs w:val="28"/>
                <w:rtl/>
                <w:lang w:eastAsia="ar-EG" w:bidi="ar-EG"/>
              </w:rPr>
              <w:t>(بدءاً بعام 2010)</w:t>
            </w:r>
          </w:p>
        </w:tc>
        <w:tc>
          <w:tcPr>
            <w:tcW w:w="461" w:type="pct"/>
            <w:shd w:val="clear" w:color="auto" w:fill="auto"/>
            <w:tcMar>
              <w:top w:w="110" w:type="dxa"/>
              <w:left w:w="58" w:type="dxa"/>
              <w:right w:w="58" w:type="dxa"/>
            </w:tcMar>
          </w:tcPr>
          <w:p w14:paraId="6FF3939E" w14:textId="77777777" w:rsidR="00BD3831" w:rsidRDefault="00BD3831" w:rsidP="0031289D">
            <w:pPr>
              <w:keepNext/>
              <w:bidi/>
              <w:spacing w:after="96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p w14:paraId="6E731499" w14:textId="77777777" w:rsidR="00BD3831" w:rsidRDefault="00BD3831" w:rsidP="0031289D">
            <w:pPr>
              <w:keepNext/>
              <w:bidi/>
              <w:spacing w:after="96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p w14:paraId="4FEA29B1" w14:textId="77777777" w:rsidR="00BD3831" w:rsidRPr="00C62577" w:rsidRDefault="00BD3831" w:rsidP="0031289D">
            <w:pPr>
              <w:keepNext/>
              <w:bidi/>
              <w:spacing w:after="120" w:line="280" w:lineRule="exact"/>
              <w:jc w:val="center"/>
              <w:rPr>
                <w:rFonts w:ascii="Arabic Typesetting" w:eastAsia="Arabic Typesetting" w:hAnsi="Arabic Typesetting" w:cs="Arabic Typesetting"/>
                <w:b/>
                <w:color w:val="00B050"/>
                <w:sz w:val="28"/>
                <w:szCs w:val="28"/>
                <w:lang w:eastAsia="ar-EG" w:bidi="ar-EG"/>
              </w:rPr>
            </w:pPr>
            <w:r w:rsidRPr="00D232FE">
              <w:rPr>
                <w:rFonts w:ascii="Arabic Typesetting" w:eastAsia="Arabic Typesetting" w:hAnsi="Arabic Typesetting" w:cs="Arabic Typesetting"/>
                <w:b/>
                <w:bCs/>
                <w:color w:val="00B050"/>
                <w:sz w:val="28"/>
                <w:szCs w:val="28"/>
                <w:rtl/>
                <w:lang w:eastAsia="ar-EG" w:bidi="ar-EG"/>
              </w:rPr>
              <w:t>ثابت</w:t>
            </w:r>
          </w:p>
        </w:tc>
      </w:tr>
    </w:tbl>
    <w:p w14:paraId="07BC3C60" w14:textId="77777777" w:rsidR="00BD3831" w:rsidRDefault="00BD3831" w:rsidP="0031289D">
      <w:pPr>
        <w:bidi/>
      </w:pPr>
    </w:p>
    <w:tbl>
      <w:tblPr>
        <w:tblStyle w:val="TableGrid"/>
        <w:bidiVisual/>
        <w:tblW w:w="0" w:type="auto"/>
        <w:tblLook w:val="04A0" w:firstRow="1" w:lastRow="0" w:firstColumn="1" w:lastColumn="0" w:noHBand="0" w:noVBand="1"/>
      </w:tblPr>
      <w:tblGrid>
        <w:gridCol w:w="9571"/>
      </w:tblGrid>
      <w:tr w:rsidR="00BD3831" w14:paraId="45A04726" w14:textId="77777777" w:rsidTr="00DF6715">
        <w:tc>
          <w:tcPr>
            <w:tcW w:w="9571" w:type="dxa"/>
            <w:tcBorders>
              <w:top w:val="nil"/>
              <w:left w:val="nil"/>
              <w:bottom w:val="nil"/>
              <w:right w:val="nil"/>
            </w:tcBorders>
            <w:shd w:val="clear" w:color="auto" w:fill="C6D9F1"/>
            <w:vAlign w:val="center"/>
          </w:tcPr>
          <w:p w14:paraId="5B64D084" w14:textId="77777777" w:rsidR="00BD3831" w:rsidRPr="00A2672B" w:rsidRDefault="00BD3831"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22</w:t>
            </w:r>
          </w:p>
        </w:tc>
      </w:tr>
    </w:tbl>
    <w:p w14:paraId="30D64590" w14:textId="77777777" w:rsidR="00BD3831" w:rsidRPr="00FE3908" w:rsidRDefault="00BD3831"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2737671A" w14:textId="77777777" w:rsidR="00BD3831" w:rsidRDefault="00BD3831"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D3831" w:rsidRPr="00211D55" w14:paraId="78684B16" w14:textId="77777777" w:rsidTr="00DF6715">
        <w:trPr>
          <w:trHeight w:val="825"/>
        </w:trPr>
        <w:tc>
          <w:tcPr>
            <w:tcW w:w="2753" w:type="pct"/>
            <w:gridSpan w:val="2"/>
            <w:shd w:val="clear" w:color="auto" w:fill="C6D9F1"/>
            <w:noWrap/>
            <w:tcMar>
              <w:top w:w="15" w:type="dxa"/>
              <w:left w:w="15" w:type="dxa"/>
              <w:bottom w:w="0" w:type="dxa"/>
              <w:right w:w="15" w:type="dxa"/>
            </w:tcMar>
            <w:vAlign w:val="center"/>
            <w:hideMark/>
          </w:tcPr>
          <w:p w14:paraId="137B165B"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74156697"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740D9E45" w14:textId="77777777" w:rsidR="00BD3831" w:rsidRPr="00A2672B" w:rsidRDefault="00BD3831"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497DC12A"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D3831" w:rsidRPr="00211D55" w14:paraId="25AE8DF6" w14:textId="77777777" w:rsidTr="00DF6715">
        <w:trPr>
          <w:trHeight w:val="55"/>
        </w:trPr>
        <w:tc>
          <w:tcPr>
            <w:tcW w:w="413" w:type="pct"/>
            <w:shd w:val="clear" w:color="auto" w:fill="auto"/>
            <w:noWrap/>
            <w:tcMar>
              <w:top w:w="15" w:type="dxa"/>
              <w:left w:w="15" w:type="dxa"/>
              <w:bottom w:w="0" w:type="dxa"/>
              <w:right w:w="15" w:type="dxa"/>
            </w:tcMar>
            <w:vAlign w:val="center"/>
          </w:tcPr>
          <w:p w14:paraId="54157B3C" w14:textId="77777777" w:rsidR="00BD3831" w:rsidRPr="00211D55" w:rsidRDefault="00BD3831" w:rsidP="0031289D">
            <w:pPr>
              <w:bidi/>
              <w:spacing w:before="120" w:after="120"/>
              <w:rPr>
                <w:rFonts w:ascii="Arabic Typesetting" w:hAnsi="Arabic Typesetting" w:cs="Arabic Typesetting"/>
                <w:sz w:val="28"/>
                <w:szCs w:val="28"/>
              </w:rPr>
            </w:pPr>
            <w:r>
              <w:rPr>
                <w:rFonts w:ascii="Arabic Typesetting" w:hAnsi="Arabic Typesetting" w:cs="Arabic Typesetting" w:hint="cs"/>
                <w:sz w:val="28"/>
                <w:szCs w:val="28"/>
                <w:rtl/>
              </w:rPr>
              <w:t>ه1.9</w:t>
            </w:r>
          </w:p>
        </w:tc>
        <w:tc>
          <w:tcPr>
            <w:tcW w:w="2340" w:type="pct"/>
            <w:shd w:val="clear" w:color="auto" w:fill="auto"/>
            <w:tcMar>
              <w:top w:w="15" w:type="dxa"/>
              <w:left w:w="15" w:type="dxa"/>
              <w:bottom w:w="0" w:type="dxa"/>
              <w:right w:w="15" w:type="dxa"/>
            </w:tcMar>
          </w:tcPr>
          <w:p w14:paraId="57258A88" w14:textId="77777777" w:rsidR="00BD3831" w:rsidRPr="00D232FE" w:rsidRDefault="00BD3831" w:rsidP="0031289D">
            <w:pPr>
              <w:bidi/>
              <w:rPr>
                <w:rFonts w:ascii="Arabic Typesetting" w:hAnsi="Arabic Typesetting" w:cs="Arabic Typesetting"/>
                <w:sz w:val="28"/>
                <w:szCs w:val="28"/>
              </w:rPr>
            </w:pPr>
            <w:r w:rsidRPr="00D232FE">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shd w:val="clear" w:color="auto" w:fill="auto"/>
            <w:tcMar>
              <w:top w:w="15" w:type="dxa"/>
              <w:left w:w="15" w:type="dxa"/>
              <w:bottom w:w="0" w:type="dxa"/>
              <w:right w:w="15" w:type="dxa"/>
            </w:tcMar>
            <w:vAlign w:val="center"/>
          </w:tcPr>
          <w:p w14:paraId="56406629"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13 229</w:t>
            </w:r>
          </w:p>
        </w:tc>
        <w:tc>
          <w:tcPr>
            <w:tcW w:w="749" w:type="pct"/>
            <w:shd w:val="clear" w:color="auto" w:fill="auto"/>
            <w:tcMar>
              <w:top w:w="15" w:type="dxa"/>
              <w:left w:w="15" w:type="dxa"/>
              <w:bottom w:w="0" w:type="dxa"/>
              <w:right w:w="15" w:type="dxa"/>
            </w:tcMar>
            <w:vAlign w:val="center"/>
          </w:tcPr>
          <w:p w14:paraId="7F9C1C2A"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13 311</w:t>
            </w:r>
          </w:p>
        </w:tc>
        <w:tc>
          <w:tcPr>
            <w:tcW w:w="749" w:type="pct"/>
            <w:shd w:val="clear" w:color="auto" w:fill="auto"/>
            <w:noWrap/>
            <w:tcMar>
              <w:top w:w="15" w:type="dxa"/>
              <w:left w:w="15" w:type="dxa"/>
              <w:bottom w:w="0" w:type="dxa"/>
              <w:right w:w="15" w:type="dxa"/>
            </w:tcMar>
            <w:vAlign w:val="center"/>
          </w:tcPr>
          <w:p w14:paraId="22F17F54"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5 908</w:t>
            </w:r>
          </w:p>
        </w:tc>
      </w:tr>
      <w:tr w:rsidR="00BD3831" w:rsidRPr="00211D55" w14:paraId="297CC94F" w14:textId="77777777" w:rsidTr="00DF6715">
        <w:trPr>
          <w:trHeight w:val="55"/>
        </w:trPr>
        <w:tc>
          <w:tcPr>
            <w:tcW w:w="413" w:type="pct"/>
            <w:shd w:val="clear" w:color="auto" w:fill="auto"/>
            <w:noWrap/>
            <w:tcMar>
              <w:top w:w="15" w:type="dxa"/>
              <w:left w:w="15" w:type="dxa"/>
              <w:bottom w:w="0" w:type="dxa"/>
              <w:right w:w="15" w:type="dxa"/>
            </w:tcMar>
            <w:vAlign w:val="center"/>
          </w:tcPr>
          <w:p w14:paraId="3488E50B" w14:textId="77777777" w:rsidR="00BD3831" w:rsidRPr="00211D55" w:rsidRDefault="00BD3831" w:rsidP="0031289D">
            <w:pPr>
              <w:bidi/>
              <w:spacing w:before="120" w:after="120"/>
              <w:rPr>
                <w:rFonts w:ascii="Arabic Typesetting" w:hAnsi="Arabic Typesetting" w:cs="Arabic Typesetting"/>
                <w:sz w:val="28"/>
                <w:szCs w:val="28"/>
              </w:rPr>
            </w:pPr>
            <w:r>
              <w:rPr>
                <w:rFonts w:ascii="Arabic Typesetting" w:hAnsi="Arabic Typesetting" w:cs="Arabic Typesetting" w:hint="cs"/>
                <w:sz w:val="28"/>
                <w:szCs w:val="28"/>
                <w:rtl/>
              </w:rPr>
              <w:t>ه2.9</w:t>
            </w:r>
          </w:p>
        </w:tc>
        <w:tc>
          <w:tcPr>
            <w:tcW w:w="2340" w:type="pct"/>
            <w:shd w:val="clear" w:color="auto" w:fill="auto"/>
            <w:tcMar>
              <w:top w:w="15" w:type="dxa"/>
              <w:left w:w="15" w:type="dxa"/>
              <w:bottom w:w="0" w:type="dxa"/>
              <w:right w:w="15" w:type="dxa"/>
            </w:tcMar>
          </w:tcPr>
          <w:p w14:paraId="02C7A633" w14:textId="04ED184C" w:rsidR="00BD3831" w:rsidRPr="00D232FE" w:rsidRDefault="002920A9" w:rsidP="0031289D">
            <w:pPr>
              <w:bidi/>
              <w:rPr>
                <w:rFonts w:ascii="Arabic Typesetting" w:hAnsi="Arabic Typesetting" w:cs="Arabic Typesetting"/>
                <w:sz w:val="28"/>
                <w:szCs w:val="28"/>
              </w:rPr>
            </w:pPr>
            <w:r>
              <w:rPr>
                <w:rFonts w:ascii="Arabic Typesetting" w:hAnsi="Arabic Typesetting" w:cs="Arabic Typesetting"/>
                <w:sz w:val="28"/>
                <w:szCs w:val="28"/>
                <w:rtl/>
              </w:rPr>
              <w:t>أمانة نبيهة تعمل بسلاسة وموظفون يعملون تحت إدارة جيّدة وبمهارات مناسبة ويحققون النتائج بكفاءة</w:t>
            </w:r>
          </w:p>
        </w:tc>
        <w:tc>
          <w:tcPr>
            <w:tcW w:w="749" w:type="pct"/>
            <w:shd w:val="clear" w:color="auto" w:fill="auto"/>
            <w:tcMar>
              <w:top w:w="15" w:type="dxa"/>
              <w:left w:w="15" w:type="dxa"/>
              <w:bottom w:w="0" w:type="dxa"/>
              <w:right w:w="15" w:type="dxa"/>
            </w:tcMar>
            <w:vAlign w:val="center"/>
          </w:tcPr>
          <w:p w14:paraId="403FA5C7"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16 744</w:t>
            </w:r>
          </w:p>
        </w:tc>
        <w:tc>
          <w:tcPr>
            <w:tcW w:w="749" w:type="pct"/>
            <w:shd w:val="clear" w:color="auto" w:fill="auto"/>
            <w:tcMar>
              <w:top w:w="15" w:type="dxa"/>
              <w:left w:w="15" w:type="dxa"/>
              <w:bottom w:w="0" w:type="dxa"/>
              <w:right w:w="15" w:type="dxa"/>
            </w:tcMar>
            <w:vAlign w:val="center"/>
          </w:tcPr>
          <w:p w14:paraId="64C7A66C"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15 948</w:t>
            </w:r>
          </w:p>
        </w:tc>
        <w:tc>
          <w:tcPr>
            <w:tcW w:w="749" w:type="pct"/>
            <w:shd w:val="clear" w:color="auto" w:fill="auto"/>
            <w:noWrap/>
            <w:tcMar>
              <w:top w:w="15" w:type="dxa"/>
              <w:left w:w="15" w:type="dxa"/>
              <w:bottom w:w="0" w:type="dxa"/>
              <w:right w:w="15" w:type="dxa"/>
            </w:tcMar>
            <w:vAlign w:val="center"/>
          </w:tcPr>
          <w:p w14:paraId="5A4879FD"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6 902</w:t>
            </w:r>
          </w:p>
        </w:tc>
      </w:tr>
      <w:tr w:rsidR="00BD3831" w:rsidRPr="00211D55" w14:paraId="4BC6F521" w14:textId="77777777" w:rsidTr="00DF6715">
        <w:trPr>
          <w:trHeight w:val="735"/>
        </w:trPr>
        <w:tc>
          <w:tcPr>
            <w:tcW w:w="413" w:type="pct"/>
            <w:shd w:val="clear" w:color="auto" w:fill="auto"/>
            <w:noWrap/>
            <w:tcMar>
              <w:top w:w="15" w:type="dxa"/>
              <w:left w:w="15" w:type="dxa"/>
              <w:bottom w:w="0" w:type="dxa"/>
              <w:right w:w="15" w:type="dxa"/>
            </w:tcMar>
            <w:vAlign w:val="center"/>
          </w:tcPr>
          <w:p w14:paraId="3343B2D8" w14:textId="77777777" w:rsidR="00BD3831" w:rsidRPr="00211D55" w:rsidRDefault="00BD3831" w:rsidP="0031289D">
            <w:pPr>
              <w:bidi/>
              <w:spacing w:before="120" w:after="120"/>
              <w:rPr>
                <w:rFonts w:ascii="Arabic Typesetting" w:hAnsi="Arabic Typesetting" w:cs="Arabic Typesetting"/>
                <w:sz w:val="28"/>
                <w:szCs w:val="28"/>
              </w:rPr>
            </w:pPr>
            <w:r>
              <w:rPr>
                <w:rFonts w:ascii="Arabic Typesetting" w:hAnsi="Arabic Typesetting" w:cs="Arabic Typesetting" w:hint="cs"/>
                <w:sz w:val="28"/>
                <w:szCs w:val="28"/>
                <w:rtl/>
              </w:rPr>
              <w:t>ه3.9</w:t>
            </w:r>
          </w:p>
        </w:tc>
        <w:tc>
          <w:tcPr>
            <w:tcW w:w="2340" w:type="pct"/>
            <w:shd w:val="clear" w:color="auto" w:fill="auto"/>
            <w:tcMar>
              <w:top w:w="15" w:type="dxa"/>
              <w:left w:w="15" w:type="dxa"/>
              <w:bottom w:w="0" w:type="dxa"/>
              <w:right w:w="15" w:type="dxa"/>
            </w:tcMar>
          </w:tcPr>
          <w:p w14:paraId="4730C576" w14:textId="77777777" w:rsidR="00BD3831" w:rsidRPr="00D232FE" w:rsidRDefault="00BD3831" w:rsidP="0031289D">
            <w:pPr>
              <w:bidi/>
              <w:rPr>
                <w:rFonts w:ascii="Arabic Typesetting" w:hAnsi="Arabic Typesetting" w:cs="Arabic Typesetting"/>
                <w:sz w:val="28"/>
                <w:szCs w:val="28"/>
              </w:rPr>
            </w:pPr>
            <w:r w:rsidRPr="00D232FE">
              <w:rPr>
                <w:rFonts w:ascii="Arabic Typesetting" w:hAnsi="Arabic Typesetting" w:cs="Arabic Typesetting"/>
                <w:sz w:val="28"/>
                <w:szCs w:val="28"/>
                <w:rtl/>
              </w:rPr>
              <w:t>بيئة عمل داعمة ومسنودة بإطار تنظيمي فعال وقنوات فعالة لمعالجة مشاغل الموظفين</w:t>
            </w:r>
          </w:p>
        </w:tc>
        <w:tc>
          <w:tcPr>
            <w:tcW w:w="749" w:type="pct"/>
            <w:shd w:val="clear" w:color="auto" w:fill="auto"/>
            <w:tcMar>
              <w:top w:w="15" w:type="dxa"/>
              <w:left w:w="15" w:type="dxa"/>
              <w:bottom w:w="0" w:type="dxa"/>
              <w:right w:w="15" w:type="dxa"/>
            </w:tcMar>
            <w:vAlign w:val="center"/>
          </w:tcPr>
          <w:p w14:paraId="3514142A"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1 626</w:t>
            </w:r>
          </w:p>
        </w:tc>
        <w:tc>
          <w:tcPr>
            <w:tcW w:w="749" w:type="pct"/>
            <w:shd w:val="clear" w:color="auto" w:fill="auto"/>
            <w:tcMar>
              <w:top w:w="15" w:type="dxa"/>
              <w:left w:w="15" w:type="dxa"/>
              <w:bottom w:w="0" w:type="dxa"/>
              <w:right w:w="15" w:type="dxa"/>
            </w:tcMar>
            <w:vAlign w:val="center"/>
          </w:tcPr>
          <w:p w14:paraId="5E564FFF"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2 188</w:t>
            </w:r>
          </w:p>
        </w:tc>
        <w:tc>
          <w:tcPr>
            <w:tcW w:w="749" w:type="pct"/>
            <w:shd w:val="clear" w:color="auto" w:fill="auto"/>
            <w:noWrap/>
            <w:tcMar>
              <w:top w:w="15" w:type="dxa"/>
              <w:left w:w="15" w:type="dxa"/>
              <w:bottom w:w="0" w:type="dxa"/>
              <w:right w:w="15" w:type="dxa"/>
            </w:tcMar>
            <w:vAlign w:val="center"/>
          </w:tcPr>
          <w:p w14:paraId="3047C114"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973</w:t>
            </w:r>
          </w:p>
        </w:tc>
      </w:tr>
      <w:tr w:rsidR="00BD3831" w:rsidRPr="00211D55" w14:paraId="5A303EE0" w14:textId="77777777" w:rsidTr="00DF6715">
        <w:trPr>
          <w:trHeight w:val="735"/>
        </w:trPr>
        <w:tc>
          <w:tcPr>
            <w:tcW w:w="413" w:type="pct"/>
            <w:shd w:val="clear" w:color="auto" w:fill="auto"/>
            <w:noWrap/>
            <w:tcMar>
              <w:top w:w="15" w:type="dxa"/>
              <w:left w:w="15" w:type="dxa"/>
              <w:bottom w:w="0" w:type="dxa"/>
              <w:right w:w="15" w:type="dxa"/>
            </w:tcMar>
            <w:vAlign w:val="center"/>
          </w:tcPr>
          <w:p w14:paraId="2AB6DD2A" w14:textId="77777777" w:rsidR="00BD3831" w:rsidRPr="00211D55" w:rsidRDefault="00BD3831" w:rsidP="0031289D">
            <w:pPr>
              <w:bidi/>
              <w:spacing w:before="120" w:after="120"/>
              <w:rPr>
                <w:rFonts w:ascii="Arabic Typesetting" w:hAnsi="Arabic Typesetting" w:cs="Arabic Typesetting"/>
                <w:sz w:val="28"/>
                <w:szCs w:val="28"/>
              </w:rPr>
            </w:pPr>
            <w:r>
              <w:rPr>
                <w:rFonts w:ascii="Arabic Typesetting" w:hAnsi="Arabic Typesetting" w:cs="Arabic Typesetting" w:hint="cs"/>
                <w:sz w:val="28"/>
                <w:szCs w:val="28"/>
                <w:rtl/>
              </w:rPr>
              <w:t>ه8.9</w:t>
            </w:r>
          </w:p>
        </w:tc>
        <w:tc>
          <w:tcPr>
            <w:tcW w:w="2340" w:type="pct"/>
            <w:shd w:val="clear" w:color="auto" w:fill="auto"/>
            <w:tcMar>
              <w:top w:w="15" w:type="dxa"/>
              <w:left w:w="15" w:type="dxa"/>
              <w:bottom w:w="0" w:type="dxa"/>
              <w:right w:w="15" w:type="dxa"/>
            </w:tcMar>
          </w:tcPr>
          <w:p w14:paraId="444F567F" w14:textId="71642E32" w:rsidR="00BD3831" w:rsidRPr="00D232FE" w:rsidRDefault="00FF57F6" w:rsidP="0031289D">
            <w:pPr>
              <w:bidi/>
              <w:rPr>
                <w:rFonts w:ascii="Arabic Typesetting" w:hAnsi="Arabic Typesetting" w:cs="Arabic Typesetting"/>
                <w:sz w:val="28"/>
                <w:szCs w:val="28"/>
              </w:rPr>
            </w:pPr>
            <w:r w:rsidRPr="00A770FA">
              <w:rPr>
                <w:rFonts w:ascii="Arabic Typesetting" w:eastAsia="Arabic Typesetting" w:hAnsi="Arabic Typesetting" w:cs="Arabic Typesetting"/>
                <w:color w:val="000000"/>
                <w:sz w:val="28"/>
                <w:szCs w:val="28"/>
                <w:rtl/>
                <w:lang w:eastAsia="ar-EG" w:bidi="ar-EG"/>
              </w:rPr>
              <w:t>مستوى محسّن فيما يخص المساءلة، والتعلم المؤسسي، والقيمة مقابل المال، والريادة، والمراقبة الداخلية، والحوكمة المؤسسية من خلال الاستعانة برقابة فعالة ومستقلة</w:t>
            </w:r>
          </w:p>
        </w:tc>
        <w:tc>
          <w:tcPr>
            <w:tcW w:w="749" w:type="pct"/>
            <w:shd w:val="clear" w:color="auto" w:fill="auto"/>
            <w:tcMar>
              <w:top w:w="15" w:type="dxa"/>
              <w:left w:w="15" w:type="dxa"/>
              <w:bottom w:w="0" w:type="dxa"/>
              <w:right w:w="15" w:type="dxa"/>
            </w:tcMar>
            <w:vAlign w:val="center"/>
          </w:tcPr>
          <w:p w14:paraId="32B60F7E"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1 677</w:t>
            </w:r>
          </w:p>
        </w:tc>
        <w:tc>
          <w:tcPr>
            <w:tcW w:w="749" w:type="pct"/>
            <w:shd w:val="clear" w:color="auto" w:fill="auto"/>
            <w:tcMar>
              <w:top w:w="15" w:type="dxa"/>
              <w:left w:w="15" w:type="dxa"/>
              <w:bottom w:w="0" w:type="dxa"/>
              <w:right w:w="15" w:type="dxa"/>
            </w:tcMar>
            <w:vAlign w:val="center"/>
          </w:tcPr>
          <w:p w14:paraId="0D7D27F2"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1 593</w:t>
            </w:r>
          </w:p>
        </w:tc>
        <w:tc>
          <w:tcPr>
            <w:tcW w:w="749" w:type="pct"/>
            <w:shd w:val="clear" w:color="auto" w:fill="auto"/>
            <w:noWrap/>
            <w:tcMar>
              <w:top w:w="15" w:type="dxa"/>
              <w:left w:w="15" w:type="dxa"/>
              <w:bottom w:w="0" w:type="dxa"/>
              <w:right w:w="15" w:type="dxa"/>
            </w:tcMar>
            <w:vAlign w:val="center"/>
          </w:tcPr>
          <w:p w14:paraId="15723A38"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727</w:t>
            </w:r>
          </w:p>
        </w:tc>
      </w:tr>
      <w:tr w:rsidR="00BD3831" w:rsidRPr="00211D55" w14:paraId="4862A928" w14:textId="77777777" w:rsidTr="00DF6715">
        <w:trPr>
          <w:trHeight w:val="225"/>
        </w:trPr>
        <w:tc>
          <w:tcPr>
            <w:tcW w:w="413" w:type="pct"/>
            <w:shd w:val="clear" w:color="auto" w:fill="C6D9F1"/>
            <w:noWrap/>
            <w:tcMar>
              <w:top w:w="15" w:type="dxa"/>
              <w:left w:w="15" w:type="dxa"/>
              <w:bottom w:w="0" w:type="dxa"/>
              <w:right w:w="15" w:type="dxa"/>
            </w:tcMar>
            <w:vAlign w:val="bottom"/>
            <w:hideMark/>
          </w:tcPr>
          <w:p w14:paraId="07E8EAA0" w14:textId="77777777" w:rsidR="00BD3831" w:rsidRPr="00211D55" w:rsidRDefault="00BD3831"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0D7DA809" w14:textId="77777777" w:rsidR="00BD3831" w:rsidRPr="00D41845" w:rsidRDefault="00BD3831" w:rsidP="0031289D">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28A425AE" w14:textId="77777777" w:rsidR="00BD3831" w:rsidRPr="00280D1A" w:rsidRDefault="00BD3831" w:rsidP="0031289D">
            <w:pPr>
              <w:jc w:val="center"/>
              <w:rPr>
                <w:rFonts w:ascii="Arabic Typesetting" w:hAnsi="Arabic Typesetting" w:cs="Arabic Typesetting"/>
                <w:b/>
                <w:color w:val="000000"/>
                <w:sz w:val="28"/>
                <w:szCs w:val="28"/>
              </w:rPr>
            </w:pPr>
            <w:r w:rsidRPr="00280D1A">
              <w:rPr>
                <w:rFonts w:ascii="Arabic Typesetting" w:hAnsi="Arabic Typesetting" w:cs="Arabic Typesetting"/>
                <w:b/>
                <w:color w:val="000000"/>
                <w:sz w:val="28"/>
                <w:szCs w:val="28"/>
              </w:rPr>
              <w:t>33 276</w:t>
            </w:r>
          </w:p>
        </w:tc>
        <w:tc>
          <w:tcPr>
            <w:tcW w:w="749" w:type="pct"/>
            <w:shd w:val="clear" w:color="auto" w:fill="C6D9F1"/>
            <w:noWrap/>
            <w:tcMar>
              <w:top w:w="15" w:type="dxa"/>
              <w:left w:w="15" w:type="dxa"/>
              <w:bottom w:w="0" w:type="dxa"/>
              <w:right w:w="15" w:type="dxa"/>
            </w:tcMar>
            <w:vAlign w:val="center"/>
          </w:tcPr>
          <w:p w14:paraId="3C4657D5" w14:textId="77777777" w:rsidR="00BD3831" w:rsidRPr="00280D1A" w:rsidRDefault="00BD3831" w:rsidP="0031289D">
            <w:pPr>
              <w:jc w:val="center"/>
              <w:rPr>
                <w:rFonts w:ascii="Arabic Typesetting" w:hAnsi="Arabic Typesetting" w:cs="Arabic Typesetting"/>
                <w:b/>
                <w:color w:val="000000"/>
                <w:sz w:val="28"/>
                <w:szCs w:val="28"/>
              </w:rPr>
            </w:pPr>
            <w:r w:rsidRPr="00280D1A">
              <w:rPr>
                <w:rFonts w:ascii="Arabic Typesetting" w:hAnsi="Arabic Typesetting" w:cs="Arabic Typesetting"/>
                <w:b/>
                <w:color w:val="000000"/>
                <w:sz w:val="28"/>
                <w:szCs w:val="28"/>
              </w:rPr>
              <w:t>33 040</w:t>
            </w:r>
          </w:p>
        </w:tc>
        <w:tc>
          <w:tcPr>
            <w:tcW w:w="749" w:type="pct"/>
            <w:shd w:val="clear" w:color="auto" w:fill="C6D9F1"/>
            <w:noWrap/>
            <w:tcMar>
              <w:top w:w="15" w:type="dxa"/>
              <w:left w:w="15" w:type="dxa"/>
              <w:bottom w:w="0" w:type="dxa"/>
              <w:right w:w="15" w:type="dxa"/>
            </w:tcMar>
            <w:vAlign w:val="center"/>
          </w:tcPr>
          <w:p w14:paraId="71A45520" w14:textId="77777777" w:rsidR="00BD3831" w:rsidRPr="00280D1A" w:rsidRDefault="00BD3831" w:rsidP="0031289D">
            <w:pPr>
              <w:jc w:val="center"/>
              <w:rPr>
                <w:rFonts w:ascii="Arabic Typesetting" w:hAnsi="Arabic Typesetting" w:cs="Arabic Typesetting"/>
                <w:b/>
                <w:color w:val="000000"/>
                <w:sz w:val="28"/>
                <w:szCs w:val="28"/>
              </w:rPr>
            </w:pPr>
            <w:r w:rsidRPr="00280D1A">
              <w:rPr>
                <w:rFonts w:ascii="Arabic Typesetting" w:hAnsi="Arabic Typesetting" w:cs="Arabic Typesetting"/>
                <w:b/>
                <w:color w:val="000000"/>
                <w:sz w:val="28"/>
                <w:szCs w:val="28"/>
              </w:rPr>
              <w:t>14 511</w:t>
            </w:r>
          </w:p>
        </w:tc>
      </w:tr>
      <w:tr w:rsidR="00BD3831" w:rsidRPr="00211D55" w14:paraId="7F9E3E6C" w14:textId="77777777" w:rsidTr="00DF6715">
        <w:trPr>
          <w:trHeight w:val="225"/>
        </w:trPr>
        <w:tc>
          <w:tcPr>
            <w:tcW w:w="5000" w:type="pct"/>
            <w:gridSpan w:val="5"/>
            <w:shd w:val="clear" w:color="auto" w:fill="auto"/>
            <w:noWrap/>
            <w:tcMar>
              <w:top w:w="15" w:type="dxa"/>
              <w:left w:w="15" w:type="dxa"/>
              <w:bottom w:w="0" w:type="dxa"/>
              <w:right w:w="15" w:type="dxa"/>
            </w:tcMar>
            <w:vAlign w:val="bottom"/>
          </w:tcPr>
          <w:p w14:paraId="0C00392E" w14:textId="77777777" w:rsidR="00BD3831" w:rsidRPr="00A2672B" w:rsidRDefault="00BD3831"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74CDB595" w14:textId="77777777" w:rsidR="00BD3831" w:rsidRPr="00252762" w:rsidRDefault="00BD3831"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12BC1B2E" w14:textId="77777777" w:rsidR="00BD3831" w:rsidRPr="00DF1D8A" w:rsidRDefault="00BD3831"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BD3831" w:rsidRPr="00211D55" w14:paraId="6B67FC93" w14:textId="77777777" w:rsidTr="00DF6715">
        <w:trPr>
          <w:trHeight w:val="645"/>
        </w:trPr>
        <w:tc>
          <w:tcPr>
            <w:tcW w:w="1118" w:type="pct"/>
            <w:shd w:val="clear" w:color="auto" w:fill="C6D9F1"/>
            <w:noWrap/>
            <w:vAlign w:val="center"/>
            <w:hideMark/>
          </w:tcPr>
          <w:p w14:paraId="556B658A" w14:textId="77777777" w:rsidR="00BD3831" w:rsidRPr="00211D55" w:rsidRDefault="00BD3831"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142330F5" w14:textId="77777777" w:rsidR="00BD3831" w:rsidRPr="00211D55" w:rsidRDefault="00BD3831"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2519E7F8" w14:textId="77777777" w:rsidR="00BD3831" w:rsidRPr="00211D55" w:rsidRDefault="00BD3831"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6DE4DB13" w14:textId="77777777" w:rsidR="00BD3831" w:rsidRPr="00211D55" w:rsidRDefault="00BD3831"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7FB55AC4" w14:textId="77777777" w:rsidR="00BD3831" w:rsidRPr="00211D55" w:rsidRDefault="00BD3831"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D3831" w:rsidRPr="00211D55" w14:paraId="48A7AABD" w14:textId="77777777" w:rsidTr="00DF6715">
        <w:trPr>
          <w:trHeight w:val="70"/>
        </w:trPr>
        <w:tc>
          <w:tcPr>
            <w:tcW w:w="1118" w:type="pct"/>
            <w:shd w:val="clear" w:color="auto" w:fill="auto"/>
            <w:noWrap/>
            <w:vAlign w:val="center"/>
            <w:hideMark/>
          </w:tcPr>
          <w:p w14:paraId="0F51787C" w14:textId="77777777" w:rsidR="00BD3831" w:rsidRPr="00211D55" w:rsidRDefault="00BD3831"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4387E1DF"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23 453 </w:t>
            </w:r>
          </w:p>
        </w:tc>
        <w:tc>
          <w:tcPr>
            <w:tcW w:w="971" w:type="pct"/>
            <w:shd w:val="clear" w:color="auto" w:fill="auto"/>
            <w:vAlign w:val="center"/>
          </w:tcPr>
          <w:p w14:paraId="4EF10406"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23 458 </w:t>
            </w:r>
          </w:p>
        </w:tc>
        <w:tc>
          <w:tcPr>
            <w:tcW w:w="970" w:type="pct"/>
            <w:shd w:val="clear" w:color="auto" w:fill="auto"/>
            <w:vAlign w:val="center"/>
          </w:tcPr>
          <w:p w14:paraId="0F34361F"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10 351 </w:t>
            </w:r>
          </w:p>
        </w:tc>
        <w:tc>
          <w:tcPr>
            <w:tcW w:w="970" w:type="pct"/>
            <w:shd w:val="clear" w:color="auto" w:fill="auto"/>
            <w:vAlign w:val="center"/>
          </w:tcPr>
          <w:p w14:paraId="610CF1DE"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%44</w:t>
            </w:r>
          </w:p>
        </w:tc>
      </w:tr>
      <w:tr w:rsidR="00BD3831" w:rsidRPr="00211D55" w14:paraId="64A9D5E8" w14:textId="77777777" w:rsidTr="00DF6715">
        <w:trPr>
          <w:trHeight w:val="70"/>
        </w:trPr>
        <w:tc>
          <w:tcPr>
            <w:tcW w:w="1118" w:type="pct"/>
            <w:shd w:val="clear" w:color="auto" w:fill="auto"/>
            <w:noWrap/>
            <w:vAlign w:val="center"/>
            <w:hideMark/>
          </w:tcPr>
          <w:p w14:paraId="634DED60" w14:textId="77777777" w:rsidR="00BD3831" w:rsidRPr="00211D55" w:rsidRDefault="00BD3831"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3F98581D"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9 822 </w:t>
            </w:r>
          </w:p>
        </w:tc>
        <w:tc>
          <w:tcPr>
            <w:tcW w:w="971" w:type="pct"/>
            <w:shd w:val="clear" w:color="auto" w:fill="auto"/>
            <w:vAlign w:val="center"/>
          </w:tcPr>
          <w:p w14:paraId="52791B03"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9 582 </w:t>
            </w:r>
          </w:p>
        </w:tc>
        <w:tc>
          <w:tcPr>
            <w:tcW w:w="970" w:type="pct"/>
            <w:shd w:val="clear" w:color="auto" w:fill="auto"/>
            <w:vAlign w:val="center"/>
          </w:tcPr>
          <w:p w14:paraId="0B0E3110"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 xml:space="preserve">4 159 </w:t>
            </w:r>
          </w:p>
        </w:tc>
        <w:tc>
          <w:tcPr>
            <w:tcW w:w="970" w:type="pct"/>
            <w:shd w:val="clear" w:color="auto" w:fill="auto"/>
            <w:vAlign w:val="center"/>
          </w:tcPr>
          <w:p w14:paraId="3A7CE6AA" w14:textId="77777777" w:rsidR="00BD3831" w:rsidRPr="00280D1A" w:rsidRDefault="00BD3831" w:rsidP="0031289D">
            <w:pPr>
              <w:jc w:val="center"/>
              <w:rPr>
                <w:rFonts w:ascii="Arabic Typesetting" w:hAnsi="Arabic Typesetting" w:cs="Arabic Typesetting"/>
                <w:color w:val="000000"/>
                <w:sz w:val="28"/>
                <w:szCs w:val="28"/>
              </w:rPr>
            </w:pPr>
            <w:r w:rsidRPr="00280D1A">
              <w:rPr>
                <w:rFonts w:ascii="Arabic Typesetting" w:hAnsi="Arabic Typesetting" w:cs="Arabic Typesetting"/>
                <w:color w:val="000000"/>
                <w:sz w:val="28"/>
                <w:szCs w:val="28"/>
              </w:rPr>
              <w:t>%43</w:t>
            </w:r>
          </w:p>
        </w:tc>
      </w:tr>
      <w:tr w:rsidR="00BD3831" w:rsidRPr="00211D55" w14:paraId="278E483E" w14:textId="77777777" w:rsidTr="00B21943">
        <w:trPr>
          <w:trHeight w:val="70"/>
        </w:trPr>
        <w:tc>
          <w:tcPr>
            <w:tcW w:w="1118" w:type="pct"/>
            <w:shd w:val="clear" w:color="auto" w:fill="C6D9F1"/>
            <w:noWrap/>
            <w:vAlign w:val="center"/>
            <w:hideMark/>
          </w:tcPr>
          <w:p w14:paraId="6280106D" w14:textId="77777777" w:rsidR="00BD3831" w:rsidRPr="00211D55" w:rsidRDefault="00BD3831"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66031C0F" w14:textId="77777777"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33 276 </w:t>
            </w:r>
          </w:p>
        </w:tc>
        <w:tc>
          <w:tcPr>
            <w:tcW w:w="971" w:type="pct"/>
            <w:shd w:val="clear" w:color="auto" w:fill="C6D9F1"/>
            <w:vAlign w:val="center"/>
          </w:tcPr>
          <w:p w14:paraId="20584BF6" w14:textId="77777777"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33 040 </w:t>
            </w:r>
          </w:p>
        </w:tc>
        <w:tc>
          <w:tcPr>
            <w:tcW w:w="970" w:type="pct"/>
            <w:shd w:val="clear" w:color="auto" w:fill="C6D9F1"/>
            <w:vAlign w:val="center"/>
          </w:tcPr>
          <w:p w14:paraId="7666CE0B" w14:textId="77777777"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 xml:space="preserve">14 511 </w:t>
            </w:r>
          </w:p>
        </w:tc>
        <w:tc>
          <w:tcPr>
            <w:tcW w:w="970" w:type="pct"/>
            <w:shd w:val="clear" w:color="auto" w:fill="C6D9F1"/>
            <w:vAlign w:val="center"/>
          </w:tcPr>
          <w:p w14:paraId="60FB663E" w14:textId="77777777"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%44</w:t>
            </w:r>
          </w:p>
        </w:tc>
      </w:tr>
      <w:tr w:rsidR="00BD3831" w:rsidRPr="00211D55" w14:paraId="54FF5AA0" w14:textId="77777777" w:rsidTr="00DF6715">
        <w:trPr>
          <w:trHeight w:val="540"/>
        </w:trPr>
        <w:tc>
          <w:tcPr>
            <w:tcW w:w="5000" w:type="pct"/>
            <w:gridSpan w:val="5"/>
            <w:shd w:val="clear" w:color="auto" w:fill="auto"/>
            <w:noWrap/>
            <w:vAlign w:val="center"/>
          </w:tcPr>
          <w:p w14:paraId="187645B2" w14:textId="77777777" w:rsidR="00BD3831" w:rsidRDefault="00BD3831"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0C5C88F8" w14:textId="77777777" w:rsidR="00BD3831" w:rsidRPr="00D41845" w:rsidRDefault="00BD3831"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63447F5E" w14:textId="77777777" w:rsidR="00BD3831" w:rsidRPr="00706F20" w:rsidRDefault="00BD3831"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55D731C8" w14:textId="77777777" w:rsidR="00BD3831" w:rsidRDefault="00BD3831" w:rsidP="00D94CDB">
      <w:pPr>
        <w:keepNext/>
        <w:numPr>
          <w:ilvl w:val="1"/>
          <w:numId w:val="90"/>
        </w:numPr>
        <w:bidi/>
        <w:spacing w:after="240" w:line="360" w:lineRule="exact"/>
        <w:ind w:left="0" w:firstLine="0"/>
        <w:rPr>
          <w:rFonts w:ascii="Arabic Typesetting" w:hAnsi="Arabic Typesetting" w:cs="Arabic Typesetting"/>
          <w:sz w:val="34"/>
          <w:szCs w:val="34"/>
        </w:rPr>
      </w:pPr>
      <w:r w:rsidRPr="00C62577">
        <w:rPr>
          <w:rFonts w:ascii="Arabic Typesetting" w:hAnsi="Arabic Typesetting" w:cs="Arabic Typesetting"/>
          <w:sz w:val="34"/>
          <w:szCs w:val="34"/>
          <w:rtl/>
        </w:rPr>
        <w:t xml:space="preserve">يُعزى الانخفاض في خلاف موارد الموظفين مقارنة بالميزانية المعتمدة 2016/17 إلى تسوية بالتخفيض ترجع أساساً إلى تفادي </w:t>
      </w:r>
      <w:r w:rsidRPr="00C62577">
        <w:rPr>
          <w:rFonts w:ascii="Arabic Typesetting" w:hAnsi="Arabic Typesetting" w:cs="Arabic Typesetting" w:hint="cs"/>
          <w:sz w:val="34"/>
          <w:szCs w:val="34"/>
          <w:rtl/>
        </w:rPr>
        <w:t xml:space="preserve">الخسارة الناجمة عن </w:t>
      </w:r>
      <w:r w:rsidRPr="00C62577">
        <w:rPr>
          <w:rFonts w:ascii="Arabic Typesetting" w:hAnsi="Arabic Typesetting" w:cs="Arabic Typesetting"/>
          <w:sz w:val="34"/>
          <w:szCs w:val="34"/>
          <w:rtl/>
        </w:rPr>
        <w:t xml:space="preserve">معدل </w:t>
      </w:r>
      <w:r w:rsidRPr="00C62577">
        <w:rPr>
          <w:rFonts w:ascii="Arabic Typesetting" w:hAnsi="Arabic Typesetting" w:cs="Arabic Typesetting" w:hint="cs"/>
          <w:sz w:val="34"/>
          <w:szCs w:val="34"/>
          <w:rtl/>
        </w:rPr>
        <w:t>ال</w:t>
      </w:r>
      <w:r w:rsidRPr="00C62577">
        <w:rPr>
          <w:rFonts w:ascii="Arabic Typesetting" w:hAnsi="Arabic Typesetting" w:cs="Arabic Typesetting"/>
          <w:sz w:val="34"/>
          <w:szCs w:val="34"/>
          <w:rtl/>
        </w:rPr>
        <w:t xml:space="preserve">فائدة </w:t>
      </w:r>
      <w:r w:rsidRPr="00C62577">
        <w:rPr>
          <w:rFonts w:ascii="Arabic Typesetting" w:hAnsi="Arabic Typesetting" w:cs="Arabic Typesetting" w:hint="cs"/>
          <w:sz w:val="34"/>
          <w:szCs w:val="34"/>
          <w:rtl/>
        </w:rPr>
        <w:t>ال</w:t>
      </w:r>
      <w:r w:rsidRPr="00C62577">
        <w:rPr>
          <w:rFonts w:ascii="Arabic Typesetting" w:hAnsi="Arabic Typesetting" w:cs="Arabic Typesetting"/>
          <w:sz w:val="34"/>
          <w:szCs w:val="34"/>
          <w:rtl/>
        </w:rPr>
        <w:t>سلبي. وعوِّض ذلك جزئياً بفضل تخصيص أموال لدعم وظيفة الخزانة وتشغيل نظام الإدارة المتكاملة وتعزيزه</w:t>
      </w:r>
      <w:r w:rsidRPr="00C62577">
        <w:rPr>
          <w:rFonts w:ascii="Arabic Typesetting" w:hAnsi="Arabic Typesetting" w:cs="Arabic Typesetting" w:hint="cs"/>
          <w:sz w:val="34"/>
          <w:szCs w:val="34"/>
          <w:rtl/>
        </w:rPr>
        <w:t>.</w:t>
      </w:r>
    </w:p>
    <w:p w14:paraId="3B9DB06E" w14:textId="77777777" w:rsidR="00BD3831" w:rsidRPr="00C62577" w:rsidRDefault="00BD3831" w:rsidP="00D94CDB">
      <w:pPr>
        <w:keepNext/>
        <w:numPr>
          <w:ilvl w:val="1"/>
          <w:numId w:val="90"/>
        </w:numPr>
        <w:bidi/>
        <w:spacing w:after="240" w:line="360" w:lineRule="exact"/>
        <w:ind w:left="0" w:firstLine="0"/>
        <w:rPr>
          <w:rFonts w:ascii="Arabic Typesetting" w:hAnsi="Arabic Typesetting" w:cs="Arabic Typesetting"/>
          <w:sz w:val="34"/>
          <w:szCs w:val="34"/>
        </w:rPr>
      </w:pPr>
      <w:r w:rsidRPr="00C62577">
        <w:rPr>
          <w:rFonts w:ascii="Arabic Typesetting" w:hAnsi="Arabic Typesetting" w:cs="Arabic Typesetting"/>
          <w:sz w:val="34"/>
          <w:szCs w:val="34"/>
          <w:rtl/>
        </w:rPr>
        <w:t>وتُعزى الزيادة الطفيفة في موارد الموظفين أساساً إلى إعادة تصنيف وظائف وإتمام تسويات الوظائف المستمرة وتعزيز البرنامج بنقل منصب مؤقت لدعم إدارة الم</w:t>
      </w:r>
      <w:r>
        <w:rPr>
          <w:rFonts w:ascii="Arabic Typesetting" w:hAnsi="Arabic Typesetting" w:cs="Arabic Typesetting"/>
          <w:sz w:val="34"/>
          <w:szCs w:val="34"/>
          <w:rtl/>
        </w:rPr>
        <w:t>خاطر ومنصب لدعم الإبلاغ المالي.</w:t>
      </w:r>
      <w:r w:rsidRPr="00C62577">
        <w:rPr>
          <w:rFonts w:ascii="Arabic Typesetting" w:hAnsi="Arabic Typesetting" w:cs="Arabic Typesetting"/>
          <w:sz w:val="34"/>
          <w:szCs w:val="34"/>
          <w:rtl/>
        </w:rPr>
        <w:t xml:space="preserve"> وانخفضت تلك الزيادة بسبب تحويل جزء من موارد الموظفين إلى خلاف موارد الموظفين لتغطية "1" تنفيذ مشروع مجموعة عناصر الأجر للجنة الخدمة المدنية الدولية؛ "2"</w:t>
      </w:r>
      <w:r>
        <w:rPr>
          <w:rFonts w:ascii="Arabic Typesetting" w:hAnsi="Arabic Typesetting" w:cs="Arabic Typesetting" w:hint="cs"/>
          <w:sz w:val="34"/>
          <w:szCs w:val="34"/>
          <w:rtl/>
        </w:rPr>
        <w:t> </w:t>
      </w:r>
      <w:r w:rsidRPr="00C62577">
        <w:rPr>
          <w:rFonts w:ascii="Arabic Typesetting" w:hAnsi="Arabic Typesetting" w:cs="Arabic Typesetting"/>
          <w:sz w:val="34"/>
          <w:szCs w:val="34"/>
          <w:rtl/>
        </w:rPr>
        <w:t>وإدارة</w:t>
      </w:r>
      <w:r>
        <w:rPr>
          <w:rFonts w:ascii="Arabic Typesetting" w:hAnsi="Arabic Typesetting" w:cs="Arabic Typesetting" w:hint="cs"/>
          <w:sz w:val="34"/>
          <w:szCs w:val="34"/>
          <w:rtl/>
        </w:rPr>
        <w:t> </w:t>
      </w:r>
      <w:r w:rsidRPr="00C62577">
        <w:rPr>
          <w:rFonts w:ascii="Arabic Typesetting" w:hAnsi="Arabic Typesetting" w:cs="Arabic Typesetting"/>
          <w:sz w:val="34"/>
          <w:szCs w:val="34"/>
          <w:rtl/>
        </w:rPr>
        <w:t>الخزانة</w:t>
      </w:r>
      <w:r w:rsidRPr="00C62577">
        <w:rPr>
          <w:rFonts w:ascii="Arabic Typesetting" w:hAnsi="Arabic Typesetting" w:cs="Arabic Typesetting"/>
          <w:sz w:val="34"/>
          <w:szCs w:val="34"/>
        </w:rPr>
        <w:t>.</w:t>
      </w:r>
    </w:p>
    <w:p w14:paraId="2B863F95" w14:textId="77777777" w:rsidR="00BD3831" w:rsidRPr="00706F20" w:rsidRDefault="00BD3831"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584205E1" w14:textId="77777777" w:rsidR="00BD3831" w:rsidRPr="00C62577" w:rsidRDefault="00BD3831" w:rsidP="00D94CDB">
      <w:pPr>
        <w:numPr>
          <w:ilvl w:val="1"/>
          <w:numId w:val="90"/>
        </w:numPr>
        <w:bidi/>
        <w:spacing w:after="240" w:line="360" w:lineRule="exact"/>
        <w:ind w:left="0" w:hanging="1"/>
        <w:rPr>
          <w:rFonts w:ascii="Arabic Typesetting" w:hAnsi="Arabic Typesetting" w:cs="Arabic Typesetting"/>
          <w:sz w:val="34"/>
          <w:szCs w:val="34"/>
        </w:rPr>
      </w:pPr>
      <w:r w:rsidRPr="00C62577">
        <w:rPr>
          <w:rFonts w:ascii="Arabic Typesetting" w:hAnsi="Arabic Typesetting" w:cs="Arabic Typesetting"/>
          <w:sz w:val="34"/>
          <w:szCs w:val="34"/>
          <w:rtl/>
        </w:rPr>
        <w:t>يُعزى النقص الطفيف في استخدام موارد الموظفين أساساً إلى مسارات التعيين الجارية والموظفين العاملين بدوام جزئي.</w:t>
      </w:r>
    </w:p>
    <w:p w14:paraId="77E85EE7" w14:textId="443569CF" w:rsidR="00BD3831" w:rsidRDefault="00BD3831"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12B700EC" w14:textId="4AE254B4" w:rsidR="00BD3831" w:rsidRPr="00254297" w:rsidRDefault="00BD3831" w:rsidP="00DA7DF7">
      <w:pPr>
        <w:pStyle w:val="Heading3"/>
        <w:ind w:left="1984" w:hanging="1984"/>
      </w:pPr>
      <w:bookmarkStart w:id="53" w:name="_Toc482782776"/>
      <w:r w:rsidRPr="00254297">
        <w:rPr>
          <w:rtl/>
        </w:rPr>
        <w:lastRenderedPageBreak/>
        <w:t>البرنامج</w:t>
      </w:r>
      <w:r>
        <w:rPr>
          <w:rFonts w:hint="cs"/>
          <w:rtl/>
        </w:rPr>
        <w:t xml:space="preserve"> 23</w:t>
      </w:r>
      <w:r w:rsidRPr="00254297">
        <w:rPr>
          <w:rFonts w:hint="cs"/>
          <w:rtl/>
        </w:rPr>
        <w:t>:</w:t>
      </w:r>
      <w:r w:rsidRPr="00254297">
        <w:tab/>
      </w:r>
      <w:r w:rsidRPr="00C23C31">
        <w:rPr>
          <w:rtl/>
        </w:rPr>
        <w:t xml:space="preserve">إدارة الموارد البشرية </w:t>
      </w:r>
      <w:r w:rsidR="00AF6433">
        <w:rPr>
          <w:rFonts w:hint="cs"/>
          <w:rtl/>
        </w:rPr>
        <w:t>وتطويرها</w:t>
      </w:r>
      <w:bookmarkEnd w:id="53"/>
    </w:p>
    <w:p w14:paraId="11AB1449" w14:textId="77777777" w:rsidR="00BD3831" w:rsidRDefault="00BD3831"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Pr>
          <w:rFonts w:ascii="Arabic Typesetting" w:hAnsi="Arabic Typesetting" w:cs="Arabic Typesetting" w:hint="cs"/>
          <w:b/>
          <w:bCs/>
          <w:sz w:val="36"/>
          <w:szCs w:val="36"/>
          <w:rtl/>
          <w:lang w:val="fr-CH"/>
        </w:rPr>
        <w:t>المدير العام</w:t>
      </w:r>
    </w:p>
    <w:p w14:paraId="6B35F0FC" w14:textId="77777777" w:rsidR="00BD3831" w:rsidRDefault="00BD3831"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305FE5F2" wp14:editId="6A05301B">
            <wp:extent cx="3577718" cy="21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77718" cy="2160000"/>
                    </a:xfrm>
                    <a:prstGeom prst="rect">
                      <a:avLst/>
                    </a:prstGeom>
                    <a:noFill/>
                  </pic:spPr>
                </pic:pic>
              </a:graphicData>
            </a:graphic>
          </wp:inline>
        </w:drawing>
      </w:r>
    </w:p>
    <w:tbl>
      <w:tblPr>
        <w:bidiVisual/>
        <w:tblW w:w="9214" w:type="dxa"/>
        <w:tblInd w:w="58" w:type="dxa"/>
        <w:tblLayout w:type="fixed"/>
        <w:tblCellMar>
          <w:left w:w="115" w:type="dxa"/>
          <w:right w:w="115" w:type="dxa"/>
        </w:tblCellMar>
        <w:tblLook w:val="0000" w:firstRow="0" w:lastRow="0" w:firstColumn="0" w:lastColumn="0" w:noHBand="0" w:noVBand="0"/>
      </w:tblPr>
      <w:tblGrid>
        <w:gridCol w:w="1950"/>
        <w:gridCol w:w="3007"/>
        <w:gridCol w:w="1845"/>
        <w:gridCol w:w="1561"/>
        <w:gridCol w:w="851"/>
      </w:tblGrid>
      <w:tr w:rsidR="00BD3831" w:rsidRPr="00C23C31" w14:paraId="12B19A1F" w14:textId="77777777" w:rsidTr="00DF6715">
        <w:trPr>
          <w:cantSplit/>
          <w:trHeight w:val="567"/>
        </w:trPr>
        <w:tc>
          <w:tcPr>
            <w:tcW w:w="5000" w:type="pct"/>
            <w:gridSpan w:val="5"/>
            <w:shd w:val="clear" w:color="auto" w:fill="C6D9F1"/>
            <w:tcMar>
              <w:left w:w="58" w:type="dxa"/>
              <w:right w:w="58" w:type="dxa"/>
            </w:tcMar>
            <w:vAlign w:val="center"/>
          </w:tcPr>
          <w:p w14:paraId="0F6AE3CB" w14:textId="2B4D326B" w:rsidR="00BD3831" w:rsidRPr="00C23C31"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‏النتيجة المرتقبة:</w:t>
            </w:r>
            <w:r w:rsidRPr="00C23C31">
              <w:rPr>
                <w:rFonts w:ascii="Arabic Typesetting" w:eastAsia="Arabic Typesetting" w:hAnsi="Arabic Typesetting" w:cs="Arabic Typesetting"/>
                <w:sz w:val="28"/>
                <w:szCs w:val="28"/>
                <w:lang w:eastAsia="ar-EG" w:bidi="ar-EG"/>
              </w:rPr>
              <w:tab/>
            </w:r>
            <w:r w:rsidRPr="00C23C31">
              <w:rPr>
                <w:rFonts w:ascii="Arabic Typesetting" w:eastAsia="Arabic Typesetting" w:hAnsi="Arabic Typesetting" w:cs="Arabic Typesetting"/>
                <w:color w:val="000000"/>
                <w:sz w:val="28"/>
                <w:szCs w:val="28"/>
                <w:rtl/>
                <w:lang w:eastAsia="ar-EG" w:bidi="ar-EG"/>
              </w:rPr>
              <w:t>ه1.9 خدمات دعم موجهة للزبون بفعالية وكفاءة وجودة لفائدة الزبائن الداخليين وأصحاب المصلحة الخارجيين</w:t>
            </w:r>
          </w:p>
        </w:tc>
      </w:tr>
      <w:tr w:rsidR="00BD3831" w:rsidRPr="00C23C31" w14:paraId="410D0BFE" w14:textId="77777777" w:rsidTr="00DF6715">
        <w:trPr>
          <w:cantSplit/>
          <w:trHeight w:val="288"/>
        </w:trPr>
        <w:tc>
          <w:tcPr>
            <w:tcW w:w="1058" w:type="pct"/>
            <w:shd w:val="clear" w:color="auto" w:fill="auto"/>
            <w:tcMar>
              <w:left w:w="58" w:type="dxa"/>
              <w:right w:w="58" w:type="dxa"/>
            </w:tcMar>
            <w:vAlign w:val="center"/>
          </w:tcPr>
          <w:p w14:paraId="427253A7" w14:textId="77777777" w:rsidR="00BD3831" w:rsidRPr="00C23C3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مؤشرات الأداء</w:t>
            </w:r>
          </w:p>
        </w:tc>
        <w:tc>
          <w:tcPr>
            <w:tcW w:w="1632" w:type="pct"/>
            <w:shd w:val="clear" w:color="auto" w:fill="auto"/>
            <w:tcMar>
              <w:left w:w="58" w:type="dxa"/>
              <w:right w:w="58" w:type="dxa"/>
            </w:tcMar>
            <w:vAlign w:val="center"/>
          </w:tcPr>
          <w:p w14:paraId="370016F1" w14:textId="77777777" w:rsidR="00BD3831" w:rsidRPr="00C23C3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أسس المقارنة</w:t>
            </w:r>
          </w:p>
        </w:tc>
        <w:tc>
          <w:tcPr>
            <w:tcW w:w="1001" w:type="pct"/>
            <w:shd w:val="clear" w:color="auto" w:fill="auto"/>
            <w:tcMar>
              <w:top w:w="110" w:type="dxa"/>
              <w:left w:w="58" w:type="dxa"/>
              <w:right w:w="58" w:type="dxa"/>
            </w:tcMar>
            <w:vAlign w:val="center"/>
          </w:tcPr>
          <w:p w14:paraId="197CFD43" w14:textId="77777777" w:rsidR="00BD3831" w:rsidRPr="00C23C3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الأهداف</w:t>
            </w:r>
          </w:p>
        </w:tc>
        <w:tc>
          <w:tcPr>
            <w:tcW w:w="847" w:type="pct"/>
            <w:shd w:val="clear" w:color="auto" w:fill="FFFFFF"/>
            <w:tcMar>
              <w:top w:w="110" w:type="dxa"/>
              <w:left w:w="58" w:type="dxa"/>
              <w:right w:w="58" w:type="dxa"/>
            </w:tcMar>
            <w:vAlign w:val="center"/>
          </w:tcPr>
          <w:p w14:paraId="6B0CA16B" w14:textId="77777777" w:rsidR="00BD3831" w:rsidRPr="00C23C3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بيانات الأداء</w:t>
            </w:r>
          </w:p>
        </w:tc>
        <w:tc>
          <w:tcPr>
            <w:tcW w:w="463" w:type="pct"/>
            <w:shd w:val="clear" w:color="auto" w:fill="auto"/>
            <w:tcMar>
              <w:top w:w="110" w:type="dxa"/>
              <w:left w:w="58" w:type="dxa"/>
              <w:right w:w="58" w:type="dxa"/>
            </w:tcMar>
            <w:vAlign w:val="center"/>
          </w:tcPr>
          <w:p w14:paraId="5E997AE8" w14:textId="77777777" w:rsidR="00BD3831" w:rsidRPr="00C23C31" w:rsidRDefault="00BD3831"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السير</w:t>
            </w:r>
          </w:p>
        </w:tc>
      </w:tr>
      <w:tr w:rsidR="00BD3831" w:rsidRPr="00C23C31" w14:paraId="4760B858" w14:textId="77777777" w:rsidTr="00DF6715">
        <w:trPr>
          <w:cantSplit/>
          <w:trHeight w:val="2163"/>
        </w:trPr>
        <w:tc>
          <w:tcPr>
            <w:tcW w:w="1058" w:type="pct"/>
            <w:shd w:val="clear" w:color="auto" w:fill="auto"/>
            <w:tcMar>
              <w:left w:w="58" w:type="dxa"/>
              <w:right w:w="58" w:type="dxa"/>
            </w:tcMar>
          </w:tcPr>
          <w:p w14:paraId="2C91F6D3"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النسبة المئوية للموظفين الراضين عن خدمات الموارد البشرية</w:t>
            </w:r>
          </w:p>
        </w:tc>
        <w:tc>
          <w:tcPr>
            <w:tcW w:w="1632" w:type="pct"/>
            <w:shd w:val="clear" w:color="auto" w:fill="auto"/>
            <w:tcMar>
              <w:left w:w="58" w:type="dxa"/>
              <w:right w:w="58" w:type="dxa"/>
            </w:tcMar>
          </w:tcPr>
          <w:p w14:paraId="76B6D78A"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لم يُجر أي استقصاء في 2014/15</w:t>
            </w:r>
          </w:p>
          <w:p w14:paraId="5F77AFA2"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‏أساس المقارنة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راضون للغاية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C23C31">
              <w:rPr>
                <w:rFonts w:ascii="Arabic Typesetting" w:eastAsia="Arabic Typesetting" w:hAnsi="Arabic Typesetting" w:cs="Arabic Typesetting"/>
                <w:color w:val="000000"/>
                <w:sz w:val="28"/>
                <w:szCs w:val="28"/>
                <w:rtl/>
                <w:lang w:eastAsia="ar-EG" w:bidi="ar-EG"/>
              </w:rPr>
              <w:t>30.8%</w:t>
            </w:r>
            <w:r w:rsidRPr="00C23C31">
              <w:rPr>
                <w:rFonts w:ascii="Arabic Typesetting" w:eastAsia="Arabic Typesetting" w:hAnsi="Arabic Typesetting" w:cs="Arabic Typesetting"/>
                <w:color w:val="000000"/>
                <w:sz w:val="28"/>
                <w:szCs w:val="28"/>
                <w:lang w:eastAsia="ar-EG" w:bidi="ar-EG"/>
              </w:rPr>
              <w:br/>
            </w:r>
            <w:r w:rsidRPr="00C23C31">
              <w:rPr>
                <w:rFonts w:ascii="Arabic Typesetting" w:eastAsia="Arabic Typesetting" w:hAnsi="Arabic Typesetting" w:cs="Arabic Typesetting"/>
                <w:color w:val="000000"/>
                <w:sz w:val="28"/>
                <w:szCs w:val="28"/>
                <w:rtl/>
                <w:lang w:eastAsia="ar-EG" w:bidi="ar-EG"/>
              </w:rPr>
              <w:t>راضون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C23C31">
              <w:rPr>
                <w:rFonts w:ascii="Arabic Typesetting" w:eastAsia="Arabic Typesetting" w:hAnsi="Arabic Typesetting" w:cs="Arabic Typesetting"/>
                <w:color w:val="000000"/>
                <w:sz w:val="28"/>
                <w:szCs w:val="28"/>
                <w:rtl/>
                <w:lang w:eastAsia="ar-EG" w:bidi="ar-EG"/>
              </w:rPr>
              <w:t>49.1%</w:t>
            </w:r>
            <w:r w:rsidRPr="00C23C31">
              <w:rPr>
                <w:rFonts w:ascii="Arabic Typesetting" w:eastAsia="Arabic Typesetting" w:hAnsi="Arabic Typesetting" w:cs="Arabic Typesetting"/>
                <w:color w:val="000000"/>
                <w:sz w:val="28"/>
                <w:szCs w:val="28"/>
                <w:lang w:eastAsia="ar-EG" w:bidi="ar-EG"/>
              </w:rPr>
              <w:br/>
            </w:r>
            <w:r w:rsidRPr="00C23C31">
              <w:rPr>
                <w:rFonts w:ascii="Arabic Typesetting" w:eastAsia="Arabic Typesetting" w:hAnsi="Arabic Typesetting" w:cs="Arabic Typesetting"/>
                <w:color w:val="000000"/>
                <w:sz w:val="28"/>
                <w:szCs w:val="28"/>
                <w:rtl/>
                <w:lang w:eastAsia="ar-EG" w:bidi="ar-EG"/>
              </w:rPr>
              <w:t>غير راضين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C23C31">
              <w:rPr>
                <w:rFonts w:ascii="Arabic Typesetting" w:eastAsia="Arabic Typesetting" w:hAnsi="Arabic Typesetting" w:cs="Arabic Typesetting"/>
                <w:color w:val="000000"/>
                <w:sz w:val="28"/>
                <w:szCs w:val="28"/>
                <w:rtl/>
                <w:lang w:eastAsia="ar-EG" w:bidi="ar-EG"/>
              </w:rPr>
              <w:t>17.6%</w:t>
            </w:r>
            <w:r w:rsidRPr="00C23C31">
              <w:rPr>
                <w:rFonts w:ascii="Arabic Typesetting" w:eastAsia="Arabic Typesetting" w:hAnsi="Arabic Typesetting" w:cs="Arabic Typesetting"/>
                <w:color w:val="000000"/>
                <w:sz w:val="28"/>
                <w:szCs w:val="28"/>
                <w:lang w:eastAsia="ar-EG" w:bidi="ar-EG"/>
              </w:rPr>
              <w:br/>
            </w:r>
            <w:r w:rsidRPr="00C23C31">
              <w:rPr>
                <w:rFonts w:ascii="Arabic Typesetting" w:eastAsia="Arabic Typesetting" w:hAnsi="Arabic Typesetting" w:cs="Arabic Typesetting"/>
                <w:color w:val="000000"/>
                <w:sz w:val="28"/>
                <w:szCs w:val="28"/>
                <w:rtl/>
                <w:lang w:eastAsia="ar-EG" w:bidi="ar-EG"/>
              </w:rPr>
              <w:t>غير راضين للغاية</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C23C31">
              <w:rPr>
                <w:rFonts w:ascii="Arabic Typesetting" w:eastAsia="Arabic Typesetting" w:hAnsi="Arabic Typesetting" w:cs="Arabic Typesetting"/>
                <w:color w:val="000000"/>
                <w:sz w:val="28"/>
                <w:szCs w:val="28"/>
                <w:rtl/>
                <w:lang w:eastAsia="ar-EG" w:bidi="ar-EG"/>
              </w:rPr>
              <w:t>2.5%</w:t>
            </w:r>
          </w:p>
        </w:tc>
        <w:tc>
          <w:tcPr>
            <w:tcW w:w="1001" w:type="pct"/>
            <w:shd w:val="clear" w:color="auto" w:fill="auto"/>
            <w:tcMar>
              <w:top w:w="110" w:type="dxa"/>
              <w:left w:w="58" w:type="dxa"/>
              <w:right w:w="58" w:type="dxa"/>
            </w:tcMar>
          </w:tcPr>
          <w:p w14:paraId="0D99C647"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85% راضون للغاية أو</w:t>
            </w:r>
            <w:r>
              <w:rPr>
                <w:rFonts w:ascii="Arabic Typesetting" w:eastAsia="Arabic Typesetting" w:hAnsi="Arabic Typesetting" w:cs="Arabic Typesetting" w:hint="cs"/>
                <w:color w:val="000000"/>
                <w:sz w:val="28"/>
                <w:szCs w:val="28"/>
                <w:rtl/>
                <w:lang w:eastAsia="ar-EG" w:bidi="ar-EG"/>
              </w:rPr>
              <w:t> </w:t>
            </w:r>
            <w:r w:rsidRPr="00C23C31">
              <w:rPr>
                <w:rFonts w:ascii="Arabic Typesetting" w:eastAsia="Arabic Typesetting" w:hAnsi="Arabic Typesetting" w:cs="Arabic Typesetting"/>
                <w:color w:val="000000"/>
                <w:sz w:val="28"/>
                <w:szCs w:val="28"/>
                <w:rtl/>
                <w:lang w:eastAsia="ar-EG" w:bidi="ar-EG"/>
              </w:rPr>
              <w:t>راضون</w:t>
            </w:r>
          </w:p>
        </w:tc>
        <w:tc>
          <w:tcPr>
            <w:tcW w:w="847" w:type="pct"/>
            <w:shd w:val="clear" w:color="auto" w:fill="FFFFFF"/>
            <w:tcMar>
              <w:top w:w="110" w:type="dxa"/>
              <w:left w:w="58" w:type="dxa"/>
              <w:right w:w="58" w:type="dxa"/>
            </w:tcMar>
          </w:tcPr>
          <w:p w14:paraId="5F583EE6" w14:textId="77777777" w:rsidR="00BD3831" w:rsidRPr="00C23C31" w:rsidRDefault="00BD3831" w:rsidP="0031289D">
            <w:pPr>
              <w:bidi/>
              <w:spacing w:after="120" w:line="280" w:lineRule="exact"/>
              <w:rPr>
                <w:rFonts w:ascii="Arabic Typesetting" w:eastAsia="Arabic Typesetting" w:hAnsi="Arabic Typesetting" w:cs="Arabic Typesetting"/>
                <w:color w:val="E36C0A"/>
                <w:sz w:val="28"/>
                <w:szCs w:val="28"/>
                <w:lang w:eastAsia="ar-EG" w:bidi="ar-EG"/>
              </w:rPr>
            </w:pPr>
            <w:r w:rsidRPr="00C23C31">
              <w:rPr>
                <w:rFonts w:ascii="Arabic Typesetting" w:eastAsia="Arabic Typesetting" w:hAnsi="Arabic Typesetting" w:cs="Arabic Typesetting"/>
                <w:sz w:val="28"/>
                <w:szCs w:val="28"/>
                <w:rtl/>
                <w:lang w:eastAsia="ar-EG" w:bidi="ar-EG"/>
              </w:rPr>
              <w:t>سيجرى الاستقصاء في نهاية الثنائية</w:t>
            </w:r>
          </w:p>
        </w:tc>
        <w:tc>
          <w:tcPr>
            <w:tcW w:w="463" w:type="pct"/>
            <w:shd w:val="clear" w:color="auto" w:fill="auto"/>
            <w:tcMar>
              <w:top w:w="110" w:type="dxa"/>
              <w:left w:w="58" w:type="dxa"/>
              <w:right w:w="58" w:type="dxa"/>
            </w:tcMar>
          </w:tcPr>
          <w:p w14:paraId="5771E4BB" w14:textId="77777777" w:rsidR="00BD3831" w:rsidRPr="00C23C31" w:rsidRDefault="00BD3831" w:rsidP="0031289D">
            <w:pPr>
              <w:keepNext/>
              <w:keepLines/>
              <w:bidi/>
              <w:spacing w:after="120" w:line="280" w:lineRule="exact"/>
              <w:jc w:val="center"/>
              <w:rPr>
                <w:rFonts w:ascii="Arabic Typesetting" w:eastAsia="Arabic Typesetting" w:hAnsi="Arabic Typesetting" w:cs="Arabic Typesetting"/>
                <w:b/>
                <w:color w:val="E36C0A"/>
                <w:sz w:val="28"/>
                <w:szCs w:val="28"/>
                <w:lang w:eastAsia="ar-EG" w:bidi="ar-EG"/>
              </w:rPr>
            </w:pPr>
            <w:r w:rsidRPr="00C23C31">
              <w:rPr>
                <w:rFonts w:ascii="Arabic Typesetting" w:eastAsia="Arabic Typesetting" w:hAnsi="Arabic Typesetting" w:cs="Arabic Typesetting"/>
                <w:b/>
                <w:bCs/>
                <w:color w:val="0070C0"/>
                <w:sz w:val="28"/>
                <w:szCs w:val="28"/>
                <w:rtl/>
                <w:lang w:eastAsia="ar-EG" w:bidi="ar-EG"/>
              </w:rPr>
              <w:t>غير متاح في 2016</w:t>
            </w:r>
          </w:p>
        </w:tc>
      </w:tr>
      <w:tr w:rsidR="00BD3831" w:rsidRPr="00C23C31" w14:paraId="6F73B5AD" w14:textId="77777777" w:rsidTr="00DF6715">
        <w:trPr>
          <w:cantSplit/>
          <w:trHeight w:val="21"/>
        </w:trPr>
        <w:tc>
          <w:tcPr>
            <w:tcW w:w="1058" w:type="pct"/>
            <w:shd w:val="clear" w:color="auto" w:fill="auto"/>
            <w:tcMar>
              <w:left w:w="58" w:type="dxa"/>
              <w:right w:w="58" w:type="dxa"/>
            </w:tcMar>
          </w:tcPr>
          <w:p w14:paraId="648CDCB6"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زيادة الإجراءات المؤتمتة مقابل الإجراءات اليدوية</w:t>
            </w:r>
          </w:p>
        </w:tc>
        <w:tc>
          <w:tcPr>
            <w:tcW w:w="1632" w:type="pct"/>
            <w:shd w:val="clear" w:color="auto" w:fill="auto"/>
            <w:tcMar>
              <w:left w:w="58" w:type="dxa"/>
              <w:right w:w="58" w:type="dxa"/>
            </w:tcMar>
          </w:tcPr>
          <w:p w14:paraId="0AFC1CAB" w14:textId="77777777" w:rsidR="00BD3831" w:rsidRPr="00C23C31" w:rsidRDefault="00BD3831" w:rsidP="0031289D">
            <w:pPr>
              <w:bidi/>
              <w:spacing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3 إجراءات من أصل 18 إجراء (17%) مؤتمة:</w:t>
            </w:r>
          </w:p>
          <w:p w14:paraId="04E48AD7" w14:textId="77777777" w:rsidR="00BD3831" w:rsidRPr="00C23C31" w:rsidRDefault="00BD3831" w:rsidP="0031289D">
            <w:pPr>
              <w:numPr>
                <w:ilvl w:val="0"/>
                <w:numId w:val="35"/>
              </w:numPr>
              <w:bidi/>
              <w:spacing w:line="280" w:lineRule="exact"/>
              <w:ind w:left="113" w:hanging="113"/>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color w:val="002060"/>
                <w:sz w:val="28"/>
                <w:szCs w:val="28"/>
                <w:rtl/>
                <w:lang w:eastAsia="ar-EG" w:bidi="ar-EG"/>
              </w:rPr>
              <w:t>حساب الترقيات</w:t>
            </w:r>
          </w:p>
          <w:p w14:paraId="4EAF0EDB" w14:textId="77777777" w:rsidR="00BD3831" w:rsidRPr="00C23C31" w:rsidRDefault="00BD3831" w:rsidP="0031289D">
            <w:pPr>
              <w:numPr>
                <w:ilvl w:val="0"/>
                <w:numId w:val="35"/>
              </w:numPr>
              <w:bidi/>
              <w:spacing w:line="280" w:lineRule="exact"/>
              <w:ind w:left="113" w:hanging="113"/>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color w:val="002060"/>
                <w:sz w:val="28"/>
                <w:szCs w:val="28"/>
                <w:rtl/>
                <w:lang w:eastAsia="ar-EG" w:bidi="ar-EG"/>
              </w:rPr>
              <w:t>التقديم الذاتي للطلبات وحساب منحة التعليم</w:t>
            </w:r>
          </w:p>
          <w:p w14:paraId="2CD9BC9B" w14:textId="77777777" w:rsidR="00BD3831" w:rsidRDefault="00BD3831" w:rsidP="0031289D">
            <w:pPr>
              <w:numPr>
                <w:ilvl w:val="0"/>
                <w:numId w:val="35"/>
              </w:numPr>
              <w:bidi/>
              <w:spacing w:after="120" w:line="280" w:lineRule="exact"/>
              <w:ind w:left="113" w:hanging="113"/>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color w:val="002060"/>
                <w:sz w:val="28"/>
                <w:szCs w:val="28"/>
                <w:rtl/>
                <w:lang w:eastAsia="ar-EG" w:bidi="ar-EG"/>
              </w:rPr>
              <w:t>طفل معال جديد</w:t>
            </w:r>
          </w:p>
          <w:p w14:paraId="38254001"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‏أساس المقارنة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hint="cs"/>
                <w:i/>
                <w:iCs/>
                <w:color w:val="000000"/>
                <w:sz w:val="28"/>
                <w:szCs w:val="28"/>
                <w:rtl/>
                <w:lang w:eastAsia="ar-EG" w:bidi="ar-EG"/>
              </w:rPr>
              <w:t xml:space="preserve"> </w:t>
            </w:r>
            <w:r w:rsidRPr="00C23C31">
              <w:rPr>
                <w:rFonts w:ascii="Arabic Typesetting" w:eastAsia="Arabic Typesetting" w:hAnsi="Arabic Typesetting" w:cs="Arabic Typesetting"/>
                <w:color w:val="000000"/>
                <w:sz w:val="28"/>
                <w:szCs w:val="28"/>
                <w:rtl/>
                <w:lang w:eastAsia="ar-EG" w:bidi="ar-EG"/>
              </w:rPr>
              <w:t>0%</w:t>
            </w:r>
          </w:p>
        </w:tc>
        <w:tc>
          <w:tcPr>
            <w:tcW w:w="1001" w:type="pct"/>
            <w:shd w:val="clear" w:color="auto" w:fill="auto"/>
            <w:tcMar>
              <w:top w:w="110" w:type="dxa"/>
              <w:left w:w="58" w:type="dxa"/>
              <w:right w:w="58" w:type="dxa"/>
            </w:tcMar>
          </w:tcPr>
          <w:p w14:paraId="08153AF6"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67%</w:t>
            </w:r>
          </w:p>
        </w:tc>
        <w:tc>
          <w:tcPr>
            <w:tcW w:w="847" w:type="pct"/>
            <w:shd w:val="clear" w:color="auto" w:fill="FFFFFF"/>
            <w:tcMar>
              <w:top w:w="110" w:type="dxa"/>
              <w:left w:w="58" w:type="dxa"/>
              <w:right w:w="58" w:type="dxa"/>
            </w:tcMar>
          </w:tcPr>
          <w:p w14:paraId="3183A59E" w14:textId="77777777" w:rsidR="00BD3831" w:rsidRPr="00C23C31" w:rsidRDefault="00BD3831" w:rsidP="0031289D">
            <w:pPr>
              <w:bidi/>
              <w:spacing w:line="280" w:lineRule="exact"/>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أُتمتت 5 إجراءات إضافية في 2016:</w:t>
            </w:r>
          </w:p>
          <w:p w14:paraId="2275655C" w14:textId="77777777" w:rsidR="00BD3831" w:rsidRPr="00C23C31" w:rsidRDefault="00BD3831" w:rsidP="0031289D">
            <w:pPr>
              <w:numPr>
                <w:ilvl w:val="0"/>
                <w:numId w:val="35"/>
              </w:numPr>
              <w:bidi/>
              <w:spacing w:line="280" w:lineRule="exact"/>
              <w:ind w:left="113" w:hanging="113"/>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تقديم وثائق الإعالة (المرحلة 1)</w:t>
            </w:r>
          </w:p>
          <w:p w14:paraId="0CBE2E6D" w14:textId="77777777" w:rsidR="00BD3831" w:rsidRPr="00C23C31" w:rsidRDefault="00BD3831" w:rsidP="0031289D">
            <w:pPr>
              <w:numPr>
                <w:ilvl w:val="0"/>
                <w:numId w:val="35"/>
              </w:numPr>
              <w:bidi/>
              <w:spacing w:line="280" w:lineRule="exact"/>
              <w:ind w:left="113" w:hanging="113"/>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حساب إعانة الإيجار</w:t>
            </w:r>
          </w:p>
          <w:p w14:paraId="7707C151" w14:textId="77777777" w:rsidR="00BD3831" w:rsidRPr="00C23C31" w:rsidRDefault="00BD3831" w:rsidP="0031289D">
            <w:pPr>
              <w:numPr>
                <w:ilvl w:val="0"/>
                <w:numId w:val="35"/>
              </w:numPr>
              <w:bidi/>
              <w:spacing w:line="280" w:lineRule="exact"/>
              <w:ind w:left="113" w:hanging="113"/>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الإدخال الذاتي للعنوان وتغييره</w:t>
            </w:r>
          </w:p>
          <w:p w14:paraId="7F9049B1" w14:textId="77777777" w:rsidR="00BD3831" w:rsidRPr="00C23C31" w:rsidRDefault="00BD3831" w:rsidP="0031289D">
            <w:pPr>
              <w:numPr>
                <w:ilvl w:val="0"/>
                <w:numId w:val="35"/>
              </w:numPr>
              <w:bidi/>
              <w:spacing w:line="280" w:lineRule="exact"/>
              <w:ind w:left="113" w:hanging="113"/>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خصم قسط التأمين من الراتب لفائدة فريق الموظفين الدوليين المعني بالادخار والتأمين</w:t>
            </w:r>
          </w:p>
          <w:p w14:paraId="5D680283" w14:textId="7D6EBD6C" w:rsidR="00BD3831" w:rsidRPr="00C23C31" w:rsidRDefault="00D3741B" w:rsidP="00D3741B">
            <w:pPr>
              <w:numPr>
                <w:ilvl w:val="0"/>
                <w:numId w:val="35"/>
              </w:numPr>
              <w:bidi/>
              <w:spacing w:line="280" w:lineRule="exact"/>
              <w:ind w:left="113" w:hanging="113"/>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sz w:val="28"/>
                <w:szCs w:val="28"/>
                <w:rtl/>
                <w:lang w:eastAsia="ar-EG" w:bidi="ar-EG"/>
              </w:rPr>
              <w:t>الإجازات وحالات الغياب</w:t>
            </w:r>
          </w:p>
          <w:p w14:paraId="7A353520" w14:textId="77777777" w:rsidR="00BD3831" w:rsidRPr="00C23C31" w:rsidRDefault="00BD3831" w:rsidP="0031289D">
            <w:pPr>
              <w:numPr>
                <w:ilvl w:val="0"/>
                <w:numId w:val="35"/>
              </w:numPr>
              <w:bidi/>
              <w:spacing w:line="280" w:lineRule="exact"/>
              <w:ind w:left="113" w:hanging="113"/>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خصم التأمين الصحي بعد الخدمة من المعاش التقاعدي</w:t>
            </w:r>
          </w:p>
          <w:p w14:paraId="66440F26" w14:textId="77777777" w:rsidR="00BD3831" w:rsidRPr="00C23C31" w:rsidRDefault="00BD3831" w:rsidP="0031289D">
            <w:pPr>
              <w:bidi/>
              <w:spacing w:line="280" w:lineRule="exact"/>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8 من أصل 18</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lang w:eastAsia="ar-EG" w:bidi="ar-EG"/>
              </w:rPr>
              <w:t>%44</w:t>
            </w:r>
            <w:r w:rsidRPr="00C23C31">
              <w:rPr>
                <w:rFonts w:ascii="Arabic Typesetting" w:eastAsia="Arabic Typesetting" w:hAnsi="Arabic Typesetting" w:cs="Arabic Typesetting"/>
                <w:sz w:val="28"/>
                <w:szCs w:val="28"/>
                <w:rtl/>
                <w:lang w:eastAsia="ar-EG" w:bidi="ar-EG"/>
              </w:rPr>
              <w:t>) (تراكمي)</w:t>
            </w:r>
          </w:p>
        </w:tc>
        <w:tc>
          <w:tcPr>
            <w:tcW w:w="463" w:type="pct"/>
            <w:shd w:val="clear" w:color="auto" w:fill="auto"/>
            <w:tcMar>
              <w:top w:w="110" w:type="dxa"/>
              <w:left w:w="58" w:type="dxa"/>
              <w:right w:w="58" w:type="dxa"/>
            </w:tcMar>
          </w:tcPr>
          <w:p w14:paraId="5C060ED4" w14:textId="77777777" w:rsidR="00BD3831" w:rsidRPr="00C23C31" w:rsidRDefault="00BD3831"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C23C31">
              <w:rPr>
                <w:rFonts w:ascii="Arabic Typesetting" w:eastAsia="Arabic Typesetting" w:hAnsi="Arabic Typesetting" w:cs="Arabic Typesetting"/>
                <w:b/>
                <w:bCs/>
                <w:color w:val="00B050"/>
                <w:sz w:val="28"/>
                <w:szCs w:val="28"/>
                <w:rtl/>
                <w:lang w:eastAsia="ar-EG" w:bidi="ar-EG"/>
              </w:rPr>
              <w:t>ثابت</w:t>
            </w:r>
          </w:p>
        </w:tc>
      </w:tr>
      <w:tr w:rsidR="00BD3831" w:rsidRPr="00C23C31" w14:paraId="6F2ABDDD" w14:textId="77777777" w:rsidTr="00DF6715">
        <w:trPr>
          <w:cantSplit/>
          <w:trHeight w:val="2118"/>
        </w:trPr>
        <w:tc>
          <w:tcPr>
            <w:tcW w:w="1058" w:type="pct"/>
            <w:shd w:val="clear" w:color="auto" w:fill="auto"/>
            <w:tcMar>
              <w:left w:w="58" w:type="dxa"/>
              <w:right w:w="58" w:type="dxa"/>
            </w:tcMar>
          </w:tcPr>
          <w:p w14:paraId="450DA5CF"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lastRenderedPageBreak/>
              <w:t>النسبة المئوية للاستفسارات المعالجة خلال 5 أيام عمل</w:t>
            </w:r>
          </w:p>
        </w:tc>
        <w:tc>
          <w:tcPr>
            <w:tcW w:w="1632" w:type="pct"/>
            <w:shd w:val="clear" w:color="auto" w:fill="auto"/>
            <w:tcMar>
              <w:left w:w="58" w:type="dxa"/>
              <w:right w:w="58" w:type="dxa"/>
            </w:tcMar>
          </w:tcPr>
          <w:p w14:paraId="379EC8B2"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 xml:space="preserve">أجيب عن 94.7% </w:t>
            </w:r>
            <w:r w:rsidRPr="00C23C31">
              <w:rPr>
                <w:rFonts w:ascii="Arabic Typesetting" w:eastAsia="Arabic Typesetting" w:hAnsi="Arabic Typesetting" w:cs="Arabic Typesetting"/>
                <w:color w:val="002060"/>
                <w:sz w:val="28"/>
                <w:szCs w:val="28"/>
                <w:vertAlign w:val="superscript"/>
                <w:lang w:eastAsia="ar-EG" w:bidi="ar-EG"/>
              </w:rPr>
              <w:footnoteReference w:id="86"/>
            </w:r>
            <w:r w:rsidRPr="00C23C31">
              <w:rPr>
                <w:rFonts w:ascii="Arabic Typesetting" w:eastAsia="Arabic Typesetting" w:hAnsi="Arabic Typesetting" w:cs="Arabic Typesetting"/>
                <w:color w:val="002060"/>
                <w:sz w:val="28"/>
                <w:szCs w:val="28"/>
                <w:rtl/>
                <w:lang w:eastAsia="ar-EG" w:bidi="ar-EG"/>
              </w:rPr>
              <w:t xml:space="preserve"> من الاستفسارات المُسجلة في نظام الويبو لتبليغ الاستفسارات (</w:t>
            </w:r>
            <w:r w:rsidRPr="00C23C31">
              <w:rPr>
                <w:rFonts w:ascii="Arabic Typesetting" w:eastAsia="Arabic Typesetting" w:hAnsi="Arabic Typesetting" w:cs="Arabic Typesetting"/>
                <w:color w:val="002060"/>
                <w:sz w:val="28"/>
                <w:szCs w:val="28"/>
                <w:lang w:eastAsia="ar-EG" w:bidi="ar-EG"/>
              </w:rPr>
              <w:t>WINS</w:t>
            </w:r>
            <w:r w:rsidRPr="00C23C31">
              <w:rPr>
                <w:rFonts w:ascii="Arabic Typesetting" w:eastAsia="Arabic Typesetting" w:hAnsi="Arabic Typesetting" w:cs="Arabic Typesetting"/>
                <w:color w:val="002060"/>
                <w:sz w:val="28"/>
                <w:szCs w:val="28"/>
                <w:rtl/>
                <w:lang w:eastAsia="ar-EG" w:bidi="ar-EG"/>
              </w:rPr>
              <w:t>) خلال خمسة أيام عمل</w:t>
            </w:r>
          </w:p>
          <w:p w14:paraId="61862DFA" w14:textId="77777777" w:rsidR="00BD3831" w:rsidRPr="00C23C31" w:rsidRDefault="00BD3831" w:rsidP="0031289D">
            <w:pPr>
              <w:bidi/>
              <w:spacing w:after="120" w:line="280" w:lineRule="exact"/>
              <w:rPr>
                <w:rFonts w:ascii="Arabic Typesetting" w:eastAsia="Arabic Typesetting" w:hAnsi="Arabic Typesetting" w:cs="Arabic Typesetting"/>
                <w:i/>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‏أساس المقارنة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Pr>
                <w:rFonts w:ascii="Arabic Typesetting" w:eastAsia="Arabic Typesetting" w:hAnsi="Arabic Typesetting" w:cs="Arabic Typesetting" w:hint="cs"/>
                <w:i/>
                <w:iCs/>
                <w:color w:val="000000"/>
                <w:sz w:val="28"/>
                <w:szCs w:val="28"/>
                <w:rtl/>
                <w:lang w:eastAsia="ar-EG" w:bidi="ar-EG"/>
              </w:rPr>
              <w:t>يُ</w:t>
            </w:r>
            <w:r w:rsidRPr="00C23C31">
              <w:rPr>
                <w:rFonts w:ascii="Arabic Typesetting" w:eastAsia="Arabic Typesetting" w:hAnsi="Arabic Typesetting" w:cs="Arabic Typesetting"/>
                <w:i/>
                <w:iCs/>
                <w:color w:val="000000"/>
                <w:sz w:val="28"/>
                <w:szCs w:val="28"/>
                <w:rtl/>
                <w:lang w:eastAsia="ar-EG" w:bidi="ar-EG"/>
              </w:rPr>
              <w:t>حدَّد في نهاية 2015</w:t>
            </w:r>
          </w:p>
        </w:tc>
        <w:tc>
          <w:tcPr>
            <w:tcW w:w="1001" w:type="pct"/>
            <w:shd w:val="clear" w:color="auto" w:fill="auto"/>
            <w:tcMar>
              <w:top w:w="110" w:type="dxa"/>
              <w:left w:w="58" w:type="dxa"/>
              <w:right w:w="58" w:type="dxa"/>
            </w:tcMar>
          </w:tcPr>
          <w:p w14:paraId="739EBD70" w14:textId="77777777" w:rsidR="00BD3831" w:rsidRDefault="00BD3831" w:rsidP="0031289D">
            <w:pPr>
              <w:bidi/>
              <w:spacing w:after="120" w:line="280" w:lineRule="exact"/>
              <w:rPr>
                <w:rFonts w:ascii="Arabic Typesetting" w:eastAsia="Arabic Typesetting" w:hAnsi="Arabic Typesetting" w:cs="Arabic Typesetting"/>
                <w:i/>
                <w:color w:val="002060"/>
                <w:sz w:val="28"/>
                <w:szCs w:val="28"/>
                <w:u w:val="single"/>
                <w:lang w:eastAsia="ar-EG" w:bidi="ar-EG"/>
              </w:rPr>
            </w:pPr>
            <w:r w:rsidRPr="00C23C3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95%</w:t>
            </w:r>
          </w:p>
          <w:p w14:paraId="2BD667ED"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sz w:val="28"/>
                <w:szCs w:val="28"/>
                <w:rtl/>
                <w:lang w:eastAsia="ar-EG" w:bidi="ar-EG"/>
              </w:rPr>
              <w:t>الهدف الأصلي:</w:t>
            </w:r>
            <w:r w:rsidRPr="00C23C31">
              <w:rPr>
                <w:rFonts w:ascii="Arabic Typesetting" w:eastAsia="Arabic Typesetting" w:hAnsi="Arabic Typesetting" w:cs="Arabic Typesetting"/>
                <w:sz w:val="28"/>
                <w:szCs w:val="28"/>
                <w:lang w:eastAsia="ar-EG" w:bidi="ar-EG"/>
              </w:rPr>
              <w:br/>
            </w:r>
            <w:r w:rsidRPr="00C23C3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90%</w:t>
            </w:r>
          </w:p>
        </w:tc>
        <w:tc>
          <w:tcPr>
            <w:tcW w:w="847" w:type="pct"/>
            <w:shd w:val="clear" w:color="auto" w:fill="FFFFFF"/>
            <w:tcMar>
              <w:top w:w="110" w:type="dxa"/>
              <w:left w:w="58" w:type="dxa"/>
              <w:right w:w="58" w:type="dxa"/>
            </w:tcMar>
          </w:tcPr>
          <w:p w14:paraId="5B5DBAD9" w14:textId="77777777" w:rsidR="00BD3831" w:rsidRPr="00C23C31"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لا تتوفر إحصاءات عن عام 2016 لأن أداة الاستفسار (</w:t>
            </w:r>
            <w:r w:rsidRPr="00C23C31">
              <w:rPr>
                <w:rFonts w:ascii="Arabic Typesetting" w:eastAsia="Arabic Typesetting" w:hAnsi="Arabic Typesetting" w:cs="Arabic Typesetting"/>
                <w:sz w:val="28"/>
                <w:szCs w:val="28"/>
                <w:lang w:eastAsia="ar-EG" w:bidi="ar-EG"/>
              </w:rPr>
              <w:t>WINS</w:t>
            </w:r>
            <w:r w:rsidRPr="00C23C31">
              <w:rPr>
                <w:rFonts w:ascii="Arabic Typesetting" w:eastAsia="Arabic Typesetting" w:hAnsi="Arabic Typesetting" w:cs="Arabic Typesetting"/>
                <w:sz w:val="28"/>
                <w:szCs w:val="28"/>
                <w:rtl/>
                <w:lang w:eastAsia="ar-EG" w:bidi="ar-EG"/>
              </w:rPr>
              <w:t xml:space="preserve">) أحيلت لشركة </w:t>
            </w:r>
            <w:r w:rsidRPr="00C23C31">
              <w:rPr>
                <w:rFonts w:ascii="Arabic Typesetting" w:eastAsia="Arabic Typesetting" w:hAnsi="Arabic Typesetting" w:cs="Arabic Typesetting"/>
                <w:sz w:val="28"/>
                <w:szCs w:val="28"/>
                <w:lang w:eastAsia="ar-EG" w:bidi="ar-EG"/>
              </w:rPr>
              <w:t>Outlook</w:t>
            </w:r>
            <w:r>
              <w:rPr>
                <w:rFonts w:ascii="Arabic Typesetting" w:eastAsia="Arabic Typesetting" w:hAnsi="Arabic Typesetting" w:cs="Arabic Typesetting"/>
                <w:sz w:val="28"/>
                <w:szCs w:val="28"/>
                <w:rtl/>
                <w:lang w:eastAsia="ar-EG" w:bidi="ar-EG"/>
              </w:rPr>
              <w:t xml:space="preserve"> لتحسين خدمة الزبائن</w:t>
            </w:r>
          </w:p>
        </w:tc>
        <w:tc>
          <w:tcPr>
            <w:tcW w:w="463" w:type="pct"/>
            <w:shd w:val="clear" w:color="auto" w:fill="auto"/>
            <w:tcMar>
              <w:top w:w="110" w:type="dxa"/>
              <w:left w:w="58" w:type="dxa"/>
              <w:right w:w="58" w:type="dxa"/>
            </w:tcMar>
          </w:tcPr>
          <w:p w14:paraId="35D6092C" w14:textId="77777777" w:rsidR="00BD3831" w:rsidRPr="00C23C31" w:rsidRDefault="00BD3831" w:rsidP="0031289D">
            <w:pPr>
              <w:keepNext/>
              <w:keepLines/>
              <w:bidi/>
              <w:spacing w:after="120" w:line="280" w:lineRule="exact"/>
              <w:jc w:val="center"/>
              <w:rPr>
                <w:rFonts w:ascii="Arabic Typesetting" w:eastAsia="Arabic Typesetting" w:hAnsi="Arabic Typesetting" w:cs="Arabic Typesetting"/>
                <w:b/>
                <w:color w:val="E36C0A"/>
                <w:sz w:val="28"/>
                <w:szCs w:val="28"/>
                <w:lang w:eastAsia="ar-EG" w:bidi="ar-EG"/>
              </w:rPr>
            </w:pPr>
            <w:r w:rsidRPr="00C23C31">
              <w:rPr>
                <w:rFonts w:ascii="Arabic Typesetting" w:eastAsia="Arabic Typesetting" w:hAnsi="Arabic Typesetting" w:cs="Arabic Typesetting"/>
                <w:b/>
                <w:bCs/>
                <w:color w:val="0070C0"/>
                <w:sz w:val="28"/>
                <w:szCs w:val="28"/>
                <w:rtl/>
                <w:lang w:eastAsia="ar-EG" w:bidi="ar-EG"/>
              </w:rPr>
              <w:t>غير متاح في 2016</w:t>
            </w:r>
          </w:p>
        </w:tc>
      </w:tr>
      <w:tr w:rsidR="00BD3831" w:rsidRPr="00C23C31" w14:paraId="70A1281E" w14:textId="77777777" w:rsidTr="00DF6715">
        <w:trPr>
          <w:cantSplit/>
          <w:trHeight w:val="576"/>
        </w:trPr>
        <w:tc>
          <w:tcPr>
            <w:tcW w:w="1058" w:type="pct"/>
            <w:shd w:val="clear" w:color="auto" w:fill="auto"/>
            <w:tcMar>
              <w:left w:w="58" w:type="dxa"/>
              <w:right w:w="58" w:type="dxa"/>
            </w:tcMar>
          </w:tcPr>
          <w:p w14:paraId="55C2C22B" w14:textId="1583FAD4" w:rsidR="00BD3831" w:rsidRPr="00C23C31" w:rsidRDefault="00574A27"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تغطية تأمينية مُثلى</w:t>
            </w:r>
          </w:p>
        </w:tc>
        <w:tc>
          <w:tcPr>
            <w:tcW w:w="1632" w:type="pct"/>
            <w:shd w:val="clear" w:color="auto" w:fill="auto"/>
            <w:tcMar>
              <w:left w:w="58" w:type="dxa"/>
              <w:right w:w="58" w:type="dxa"/>
            </w:tcMar>
          </w:tcPr>
          <w:p w14:paraId="2B9FC144"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معدل الحماية الجماعية بالتأمين الصحي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87.7%</w:t>
            </w:r>
          </w:p>
          <w:p w14:paraId="2AC618C8"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‏أساس المقارنة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‏تحدد في نهاية 2015</w:t>
            </w:r>
          </w:p>
        </w:tc>
        <w:tc>
          <w:tcPr>
            <w:tcW w:w="1001" w:type="pct"/>
            <w:shd w:val="clear" w:color="auto" w:fill="auto"/>
            <w:tcMar>
              <w:top w:w="110" w:type="dxa"/>
              <w:left w:w="58" w:type="dxa"/>
              <w:right w:w="58" w:type="dxa"/>
            </w:tcMar>
          </w:tcPr>
          <w:p w14:paraId="0CB18AA6"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الهدف المحدد</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الحفاظ على المستوى</w:t>
            </w:r>
          </w:p>
          <w:p w14:paraId="1220BB8E"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الهدف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يُحدَّد في نهاية 2015</w:t>
            </w:r>
          </w:p>
        </w:tc>
        <w:tc>
          <w:tcPr>
            <w:tcW w:w="847" w:type="pct"/>
            <w:shd w:val="clear" w:color="auto" w:fill="FFFFFF"/>
            <w:tcMar>
              <w:top w:w="110" w:type="dxa"/>
              <w:left w:w="58" w:type="dxa"/>
              <w:right w:w="58" w:type="dxa"/>
            </w:tcMar>
          </w:tcPr>
          <w:p w14:paraId="0CC7E160" w14:textId="77777777" w:rsidR="00BD3831" w:rsidRPr="00C23C31" w:rsidRDefault="00BD3831" w:rsidP="0031289D">
            <w:pPr>
              <w:keepNext/>
              <w:keepLines/>
              <w:bidi/>
              <w:spacing w:after="120" w:line="280" w:lineRule="exact"/>
              <w:rPr>
                <w:rFonts w:ascii="Arabic Typesetting" w:eastAsia="Arabic Typesetting" w:hAnsi="Arabic Typesetting" w:cs="Arabic Typesetting"/>
                <w:b/>
                <w:color w:val="E36C0A"/>
                <w:sz w:val="28"/>
                <w:szCs w:val="28"/>
                <w:lang w:eastAsia="ar-EG" w:bidi="ar-EG"/>
              </w:rPr>
            </w:pPr>
            <w:r>
              <w:rPr>
                <w:rFonts w:ascii="Arabic Typesetting" w:eastAsia="Arabic Typesetting" w:hAnsi="Arabic Typesetting" w:cs="Arabic Typesetting"/>
                <w:color w:val="000000"/>
                <w:sz w:val="28"/>
                <w:szCs w:val="28"/>
                <w:rtl/>
                <w:lang w:eastAsia="ar-EG" w:bidi="ar-EG"/>
              </w:rPr>
              <w:t>87.8%</w:t>
            </w:r>
          </w:p>
        </w:tc>
        <w:tc>
          <w:tcPr>
            <w:tcW w:w="463" w:type="pct"/>
            <w:shd w:val="clear" w:color="auto" w:fill="auto"/>
            <w:tcMar>
              <w:top w:w="110" w:type="dxa"/>
              <w:left w:w="58" w:type="dxa"/>
              <w:right w:w="58" w:type="dxa"/>
            </w:tcMar>
          </w:tcPr>
          <w:p w14:paraId="6B1DC87C" w14:textId="77777777" w:rsidR="00BD3831" w:rsidRPr="00C23C31" w:rsidRDefault="00BD3831" w:rsidP="0031289D">
            <w:pPr>
              <w:keepNext/>
              <w:keepLines/>
              <w:bidi/>
              <w:spacing w:after="120" w:line="280" w:lineRule="exact"/>
              <w:jc w:val="center"/>
              <w:rPr>
                <w:rFonts w:ascii="Arabic Typesetting" w:eastAsia="Arabic Typesetting" w:hAnsi="Arabic Typesetting" w:cs="Arabic Typesetting"/>
                <w:b/>
                <w:color w:val="E36C0A"/>
                <w:sz w:val="28"/>
                <w:szCs w:val="28"/>
                <w:lang w:eastAsia="ar-EG" w:bidi="ar-EG"/>
              </w:rPr>
            </w:pPr>
            <w:r w:rsidRPr="00C23C31">
              <w:rPr>
                <w:rFonts w:ascii="Arabic Typesetting" w:eastAsia="Arabic Typesetting" w:hAnsi="Arabic Typesetting" w:cs="Arabic Typesetting"/>
                <w:b/>
                <w:bCs/>
                <w:color w:val="00B050"/>
                <w:sz w:val="28"/>
                <w:szCs w:val="28"/>
                <w:rtl/>
                <w:lang w:eastAsia="ar-EG" w:bidi="ar-EG"/>
              </w:rPr>
              <w:t>ثابت</w:t>
            </w:r>
          </w:p>
        </w:tc>
      </w:tr>
      <w:tr w:rsidR="00BD3831" w:rsidRPr="00C23C31" w14:paraId="47D81EE7" w14:textId="77777777" w:rsidTr="00DF6715">
        <w:trPr>
          <w:cantSplit/>
          <w:trHeight w:val="567"/>
        </w:trPr>
        <w:tc>
          <w:tcPr>
            <w:tcW w:w="5000" w:type="pct"/>
            <w:gridSpan w:val="5"/>
            <w:shd w:val="clear" w:color="auto" w:fill="C6D9F1"/>
            <w:tcMar>
              <w:left w:w="58" w:type="dxa"/>
              <w:right w:w="58" w:type="dxa"/>
            </w:tcMar>
            <w:vAlign w:val="center"/>
          </w:tcPr>
          <w:p w14:paraId="718CF677" w14:textId="58004651" w:rsidR="00BD3831" w:rsidRPr="00C23C31"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‏النتيجة المرتقبة:</w:t>
            </w:r>
            <w:r w:rsidRPr="00C23C31">
              <w:rPr>
                <w:rFonts w:ascii="Arabic Typesetting" w:eastAsia="Arabic Typesetting" w:hAnsi="Arabic Typesetting" w:cs="Arabic Typesetting"/>
                <w:sz w:val="28"/>
                <w:szCs w:val="28"/>
                <w:lang w:eastAsia="ar-EG" w:bidi="ar-EG"/>
              </w:rPr>
              <w:tab/>
            </w:r>
            <w:r w:rsidRPr="00C23C31">
              <w:rPr>
                <w:rFonts w:ascii="Arabic Typesetting" w:eastAsia="Arabic Typesetting" w:hAnsi="Arabic Typesetting" w:cs="Arabic Typesetting"/>
                <w:color w:val="000000"/>
                <w:sz w:val="28"/>
                <w:szCs w:val="28"/>
                <w:rtl/>
                <w:lang w:eastAsia="ar-EG" w:bidi="ar-EG"/>
              </w:rPr>
              <w:t xml:space="preserve">ه2.9 </w:t>
            </w:r>
            <w:r w:rsidR="002920A9">
              <w:rPr>
                <w:rFonts w:ascii="Arabic Typesetting" w:eastAsia="Arabic Typesetting" w:hAnsi="Arabic Typesetting" w:cs="Arabic Typesetting"/>
                <w:color w:val="000000"/>
                <w:sz w:val="28"/>
                <w:szCs w:val="28"/>
                <w:rtl/>
                <w:lang w:eastAsia="ar-EG" w:bidi="ar-EG"/>
              </w:rPr>
              <w:t>أمانة نبيهة تعمل بسلاسة وموظفون يعملون تحت إدارة جيّدة وبمهارات مناسبة ويحققون النتائج بكفاءة</w:t>
            </w:r>
          </w:p>
        </w:tc>
      </w:tr>
      <w:tr w:rsidR="00BD3831" w:rsidRPr="00C23C31" w14:paraId="1295D6AC" w14:textId="77777777" w:rsidTr="00DF6715">
        <w:trPr>
          <w:cantSplit/>
          <w:trHeight w:val="288"/>
        </w:trPr>
        <w:tc>
          <w:tcPr>
            <w:tcW w:w="1058" w:type="pct"/>
            <w:shd w:val="clear" w:color="auto" w:fill="auto"/>
            <w:tcMar>
              <w:left w:w="58" w:type="dxa"/>
              <w:right w:w="58" w:type="dxa"/>
            </w:tcMar>
            <w:vAlign w:val="center"/>
          </w:tcPr>
          <w:p w14:paraId="49265E82" w14:textId="77777777" w:rsidR="00BD3831" w:rsidRPr="00C23C3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مؤشرات الأداء</w:t>
            </w:r>
          </w:p>
        </w:tc>
        <w:tc>
          <w:tcPr>
            <w:tcW w:w="1632" w:type="pct"/>
            <w:shd w:val="clear" w:color="auto" w:fill="auto"/>
            <w:tcMar>
              <w:left w:w="58" w:type="dxa"/>
              <w:right w:w="58" w:type="dxa"/>
            </w:tcMar>
            <w:vAlign w:val="center"/>
          </w:tcPr>
          <w:p w14:paraId="60046BDA" w14:textId="77777777" w:rsidR="00BD3831" w:rsidRPr="00C23C3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أسس المقارنة</w:t>
            </w:r>
          </w:p>
        </w:tc>
        <w:tc>
          <w:tcPr>
            <w:tcW w:w="1001" w:type="pct"/>
            <w:shd w:val="clear" w:color="auto" w:fill="auto"/>
            <w:tcMar>
              <w:top w:w="110" w:type="dxa"/>
              <w:left w:w="58" w:type="dxa"/>
              <w:right w:w="58" w:type="dxa"/>
            </w:tcMar>
            <w:vAlign w:val="center"/>
          </w:tcPr>
          <w:p w14:paraId="24AA871A" w14:textId="77777777" w:rsidR="00BD3831" w:rsidRPr="00C23C3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الأهداف</w:t>
            </w:r>
          </w:p>
        </w:tc>
        <w:tc>
          <w:tcPr>
            <w:tcW w:w="847" w:type="pct"/>
            <w:shd w:val="clear" w:color="auto" w:fill="FFFFFF"/>
            <w:tcMar>
              <w:top w:w="110" w:type="dxa"/>
              <w:left w:w="58" w:type="dxa"/>
              <w:right w:w="58" w:type="dxa"/>
            </w:tcMar>
            <w:vAlign w:val="center"/>
          </w:tcPr>
          <w:p w14:paraId="3D0DC26B" w14:textId="77777777" w:rsidR="00BD3831" w:rsidRPr="00C23C3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بيانات الأداء</w:t>
            </w:r>
          </w:p>
        </w:tc>
        <w:tc>
          <w:tcPr>
            <w:tcW w:w="463" w:type="pct"/>
            <w:shd w:val="clear" w:color="auto" w:fill="auto"/>
            <w:tcMar>
              <w:top w:w="110" w:type="dxa"/>
              <w:left w:w="58" w:type="dxa"/>
              <w:right w:w="58" w:type="dxa"/>
            </w:tcMar>
            <w:vAlign w:val="center"/>
          </w:tcPr>
          <w:p w14:paraId="53E851C5" w14:textId="77777777" w:rsidR="00BD3831" w:rsidRPr="00C23C31" w:rsidRDefault="00BD3831"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C23C31">
              <w:rPr>
                <w:rFonts w:ascii="Arabic Typesetting" w:eastAsia="Arabic Typesetting" w:hAnsi="Arabic Typesetting" w:cs="Arabic Typesetting"/>
                <w:b/>
                <w:bCs/>
                <w:sz w:val="28"/>
                <w:szCs w:val="28"/>
                <w:rtl/>
                <w:lang w:eastAsia="ar-EG" w:bidi="ar-EG"/>
              </w:rPr>
              <w:t>السير</w:t>
            </w:r>
          </w:p>
        </w:tc>
      </w:tr>
      <w:tr w:rsidR="00BD3831" w:rsidRPr="00C23C31" w14:paraId="34970C22" w14:textId="77777777" w:rsidTr="00DF6715">
        <w:trPr>
          <w:cantSplit/>
          <w:trHeight w:val="2856"/>
        </w:trPr>
        <w:tc>
          <w:tcPr>
            <w:tcW w:w="1058" w:type="pct"/>
            <w:shd w:val="clear" w:color="auto" w:fill="auto"/>
            <w:tcMar>
              <w:left w:w="58" w:type="dxa"/>
              <w:right w:w="58" w:type="dxa"/>
            </w:tcMar>
          </w:tcPr>
          <w:p w14:paraId="195951BD"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النسبة المئوية للنساء في</w:t>
            </w:r>
            <w:r>
              <w:rPr>
                <w:rFonts w:ascii="Arabic Typesetting" w:eastAsia="Arabic Typesetting" w:hAnsi="Arabic Typesetting" w:cs="Arabic Typesetting"/>
                <w:color w:val="000000"/>
                <w:sz w:val="28"/>
                <w:szCs w:val="28"/>
                <w:rtl/>
                <w:lang w:eastAsia="ar-EG" w:bidi="ar-EG"/>
              </w:rPr>
              <w:t xml:space="preserve"> المناصب من فئة الفنيين فما فوق</w:t>
            </w:r>
          </w:p>
        </w:tc>
        <w:tc>
          <w:tcPr>
            <w:tcW w:w="1632" w:type="pct"/>
            <w:shd w:val="clear" w:color="auto" w:fill="auto"/>
            <w:tcMar>
              <w:left w:w="58" w:type="dxa"/>
              <w:right w:w="58" w:type="dxa"/>
            </w:tcMar>
          </w:tcPr>
          <w:p w14:paraId="12A17D8E"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ف-4 – 46.1%</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ف-5 – 34.1%</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مد-1 – 26.5%</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مد-2 – 22.2%</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(بنهاية 2015)</w:t>
            </w:r>
          </w:p>
          <w:p w14:paraId="585A6569"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‏أساس المقارنة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ف-4 – 44.4%</w:t>
            </w:r>
            <w:r>
              <w:rPr>
                <w:rFonts w:ascii="Arabic Typesetting" w:eastAsia="Arabic Typesetting" w:hAnsi="Arabic Typesetting" w:cs="Arabic Typesetting"/>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ف-5 – 34.4%</w:t>
            </w:r>
            <w:r>
              <w:rPr>
                <w:rFonts w:ascii="Arabic Typesetting" w:eastAsia="Arabic Typesetting" w:hAnsi="Arabic Typesetting" w:cs="Arabic Typesetting"/>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 xml:space="preserve">مد-1 – 26.7% </w:t>
            </w:r>
            <w:r>
              <w:rPr>
                <w:rFonts w:ascii="Arabic Typesetting" w:eastAsia="Arabic Typesetting" w:hAnsi="Arabic Typesetting" w:cs="Arabic Typesetting"/>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 xml:space="preserve">مد-2 – 22.2% </w:t>
            </w:r>
            <w:r>
              <w:rPr>
                <w:rFonts w:ascii="Arabic Typesetting" w:eastAsia="Arabic Typesetting" w:hAnsi="Arabic Typesetting" w:cs="Arabic Typesetting"/>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(ديسمبر 2014)</w:t>
            </w:r>
          </w:p>
        </w:tc>
        <w:tc>
          <w:tcPr>
            <w:tcW w:w="1001" w:type="pct"/>
            <w:shd w:val="clear" w:color="auto" w:fill="auto"/>
            <w:tcMar>
              <w:top w:w="110" w:type="dxa"/>
              <w:left w:w="58" w:type="dxa"/>
              <w:right w:w="58" w:type="dxa"/>
            </w:tcMar>
          </w:tcPr>
          <w:p w14:paraId="1EF14929"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ف-</w:t>
            </w:r>
            <w:r>
              <w:rPr>
                <w:rFonts w:ascii="Arabic Typesetting" w:eastAsia="Arabic Typesetting" w:hAnsi="Arabic Typesetting" w:cs="Arabic Typesetting"/>
                <w:color w:val="002060"/>
                <w:sz w:val="28"/>
                <w:szCs w:val="28"/>
                <w:rtl/>
                <w:lang w:eastAsia="ar-EG" w:bidi="ar-EG"/>
              </w:rPr>
              <w:t>4 – 47%</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ف-</w:t>
            </w:r>
            <w:r>
              <w:rPr>
                <w:rFonts w:ascii="Arabic Typesetting" w:eastAsia="Arabic Typesetting" w:hAnsi="Arabic Typesetting" w:cs="Arabic Typesetting"/>
                <w:color w:val="002060"/>
                <w:sz w:val="28"/>
                <w:szCs w:val="28"/>
                <w:rtl/>
                <w:lang w:eastAsia="ar-EG" w:bidi="ar-EG"/>
              </w:rPr>
              <w:t>5 – 35%</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مد-</w:t>
            </w:r>
            <w:r>
              <w:rPr>
                <w:rFonts w:ascii="Arabic Typesetting" w:eastAsia="Arabic Typesetting" w:hAnsi="Arabic Typesetting" w:cs="Arabic Typesetting"/>
                <w:color w:val="002060"/>
                <w:sz w:val="28"/>
                <w:szCs w:val="28"/>
                <w:rtl/>
                <w:lang w:eastAsia="ar-EG" w:bidi="ar-EG"/>
              </w:rPr>
              <w:t>1 – 30%</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مد-</w:t>
            </w:r>
            <w:r>
              <w:rPr>
                <w:rFonts w:ascii="Arabic Typesetting" w:eastAsia="Arabic Typesetting" w:hAnsi="Arabic Typesetting" w:cs="Arabic Typesetting"/>
                <w:color w:val="002060"/>
                <w:sz w:val="28"/>
                <w:szCs w:val="28"/>
                <w:rtl/>
                <w:lang w:eastAsia="ar-EG" w:bidi="ar-EG"/>
              </w:rPr>
              <w:t>2 – 30%</w:t>
            </w:r>
          </w:p>
          <w:p w14:paraId="29905F78"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sz w:val="28"/>
                <w:szCs w:val="28"/>
                <w:rtl/>
                <w:lang w:eastAsia="ar-EG" w:bidi="ar-EG"/>
              </w:rPr>
              <w:t>الهدف الأصلي:</w:t>
            </w:r>
            <w:r w:rsidRPr="00C23C31">
              <w:rPr>
                <w:rFonts w:ascii="Arabic Typesetting" w:eastAsia="Arabic Typesetting" w:hAnsi="Arabic Typesetting" w:cs="Arabic Typesetting"/>
                <w:i/>
                <w:sz w:val="28"/>
                <w:szCs w:val="28"/>
                <w:lang w:eastAsia="ar-EG" w:bidi="ar-EG"/>
              </w:rPr>
              <w:br/>
            </w:r>
            <w:r w:rsidRPr="00C23C3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ف-</w:t>
            </w:r>
            <w:r>
              <w:rPr>
                <w:rFonts w:ascii="Arabic Typesetting" w:eastAsia="Arabic Typesetting" w:hAnsi="Arabic Typesetting" w:cs="Arabic Typesetting"/>
                <w:color w:val="000000"/>
                <w:sz w:val="28"/>
                <w:szCs w:val="28"/>
                <w:rtl/>
                <w:lang w:eastAsia="ar-EG" w:bidi="ar-EG"/>
              </w:rPr>
              <w:t>4 – 46%</w:t>
            </w:r>
            <w:r>
              <w:rPr>
                <w:rFonts w:ascii="Arabic Typesetting" w:eastAsia="Arabic Typesetting" w:hAnsi="Arabic Typesetting" w:cs="Arabic Typesetting"/>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ف-</w:t>
            </w:r>
            <w:r>
              <w:rPr>
                <w:rFonts w:ascii="Arabic Typesetting" w:eastAsia="Arabic Typesetting" w:hAnsi="Arabic Typesetting" w:cs="Arabic Typesetting"/>
                <w:color w:val="000000"/>
                <w:sz w:val="28"/>
                <w:szCs w:val="28"/>
                <w:rtl/>
                <w:lang w:eastAsia="ar-EG" w:bidi="ar-EG"/>
              </w:rPr>
              <w:t>5 – 35%</w:t>
            </w:r>
            <w:r>
              <w:rPr>
                <w:rFonts w:ascii="Arabic Typesetting" w:eastAsia="Arabic Typesetting" w:hAnsi="Arabic Typesetting" w:cs="Arabic Typesetting"/>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مد-</w:t>
            </w:r>
            <w:r>
              <w:rPr>
                <w:rFonts w:ascii="Arabic Typesetting" w:eastAsia="Arabic Typesetting" w:hAnsi="Arabic Typesetting" w:cs="Arabic Typesetting"/>
                <w:color w:val="000000"/>
                <w:sz w:val="28"/>
                <w:szCs w:val="28"/>
                <w:rtl/>
                <w:lang w:eastAsia="ar-EG" w:bidi="ar-EG"/>
              </w:rPr>
              <w:t>1 – 30%</w:t>
            </w:r>
            <w:r>
              <w:rPr>
                <w:rFonts w:ascii="Arabic Typesetting" w:eastAsia="Arabic Typesetting" w:hAnsi="Arabic Typesetting" w:cs="Arabic Typesetting"/>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مد-</w:t>
            </w:r>
            <w:r>
              <w:rPr>
                <w:rFonts w:ascii="Arabic Typesetting" w:eastAsia="Arabic Typesetting" w:hAnsi="Arabic Typesetting" w:cs="Arabic Typesetting"/>
                <w:color w:val="000000"/>
                <w:sz w:val="28"/>
                <w:szCs w:val="28"/>
                <w:rtl/>
                <w:lang w:eastAsia="ar-EG" w:bidi="ar-EG"/>
              </w:rPr>
              <w:t>2 – 30%</w:t>
            </w:r>
          </w:p>
        </w:tc>
        <w:tc>
          <w:tcPr>
            <w:tcW w:w="847" w:type="pct"/>
            <w:shd w:val="clear" w:color="auto" w:fill="FFFFFF"/>
            <w:tcMar>
              <w:top w:w="110" w:type="dxa"/>
              <w:left w:w="58" w:type="dxa"/>
              <w:right w:w="58" w:type="dxa"/>
            </w:tcMar>
          </w:tcPr>
          <w:p w14:paraId="22AB5391" w14:textId="77777777" w:rsidR="00BD3831" w:rsidRPr="00C23C31" w:rsidRDefault="00BD3831" w:rsidP="0031289D">
            <w:pPr>
              <w:bidi/>
              <w:spacing w:before="240"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sz w:val="28"/>
                <w:szCs w:val="28"/>
                <w:rtl/>
                <w:lang w:eastAsia="ar-EG" w:bidi="ar-EG"/>
              </w:rPr>
              <w:t>ف-</w:t>
            </w:r>
            <w:r>
              <w:rPr>
                <w:rFonts w:ascii="Arabic Typesetting" w:eastAsia="Arabic Typesetting" w:hAnsi="Arabic Typesetting" w:cs="Arabic Typesetting"/>
                <w:sz w:val="28"/>
                <w:szCs w:val="28"/>
                <w:rtl/>
                <w:lang w:eastAsia="ar-EG" w:bidi="ar-EG"/>
              </w:rPr>
              <w:t>4 – 45.6%</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 xml:space="preserve">ف-5 – 35.6% </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 xml:space="preserve">مد-1 – 30.0% </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مد-2 – 16.7%</w:t>
            </w:r>
          </w:p>
        </w:tc>
        <w:tc>
          <w:tcPr>
            <w:tcW w:w="463" w:type="pct"/>
            <w:shd w:val="clear" w:color="auto" w:fill="auto"/>
            <w:tcMar>
              <w:top w:w="110" w:type="dxa"/>
              <w:left w:w="58" w:type="dxa"/>
              <w:right w:w="58" w:type="dxa"/>
            </w:tcMar>
          </w:tcPr>
          <w:p w14:paraId="21B19468" w14:textId="77777777" w:rsidR="00BD3831" w:rsidRPr="00C23C31" w:rsidRDefault="00BD3831" w:rsidP="0031289D">
            <w:pPr>
              <w:keepNext/>
              <w:keepLines/>
              <w:bidi/>
              <w:spacing w:before="200" w:after="120" w:line="280" w:lineRule="exact"/>
              <w:jc w:val="center"/>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b/>
                <w:bCs/>
                <w:color w:val="FF0000"/>
                <w:sz w:val="28"/>
                <w:szCs w:val="28"/>
                <w:rtl/>
                <w:lang w:eastAsia="ar-EG" w:bidi="ar-EG"/>
              </w:rPr>
              <w:t>غير ثابت</w:t>
            </w:r>
            <w:r>
              <w:rPr>
                <w:rFonts w:ascii="Arabic Typesetting" w:eastAsia="Arabic Typesetting" w:hAnsi="Arabic Typesetting" w:cs="Arabic Typesetting"/>
                <w:b/>
                <w:bCs/>
                <w:color w:val="FF0000"/>
                <w:sz w:val="28"/>
                <w:szCs w:val="28"/>
                <w:rtl/>
                <w:lang w:eastAsia="ar-EG" w:bidi="ar-EG"/>
              </w:rPr>
              <w:br/>
            </w:r>
            <w:r w:rsidRPr="00C23C31">
              <w:rPr>
                <w:rFonts w:ascii="Arabic Typesetting" w:eastAsia="Arabic Typesetting" w:hAnsi="Arabic Typesetting" w:cs="Arabic Typesetting"/>
                <w:b/>
                <w:bCs/>
                <w:color w:val="00B050"/>
                <w:sz w:val="28"/>
                <w:szCs w:val="28"/>
                <w:rtl/>
                <w:lang w:eastAsia="ar-EG" w:bidi="ar-EG"/>
              </w:rPr>
              <w:t>ثابت</w:t>
            </w:r>
            <w:r>
              <w:rPr>
                <w:rFonts w:ascii="Arabic Typesetting" w:eastAsia="Arabic Typesetting" w:hAnsi="Arabic Typesetting" w:cs="Arabic Typesetting"/>
                <w:b/>
                <w:bCs/>
                <w:color w:val="00B050"/>
                <w:sz w:val="28"/>
                <w:szCs w:val="28"/>
                <w:rtl/>
                <w:lang w:eastAsia="ar-EG" w:bidi="ar-EG"/>
              </w:rPr>
              <w:br/>
            </w:r>
            <w:r w:rsidRPr="00C23C31">
              <w:rPr>
                <w:rFonts w:ascii="Arabic Typesetting" w:eastAsia="Arabic Typesetting" w:hAnsi="Arabic Typesetting" w:cs="Arabic Typesetting"/>
                <w:b/>
                <w:bCs/>
                <w:color w:val="00B050"/>
                <w:sz w:val="28"/>
                <w:szCs w:val="28"/>
                <w:rtl/>
                <w:lang w:eastAsia="ar-EG" w:bidi="ar-EG"/>
              </w:rPr>
              <w:t>ثابت</w:t>
            </w:r>
            <w:r>
              <w:rPr>
                <w:rFonts w:ascii="Arabic Typesetting" w:eastAsia="Arabic Typesetting" w:hAnsi="Arabic Typesetting" w:cs="Arabic Typesetting"/>
                <w:b/>
                <w:bCs/>
                <w:color w:val="00B050"/>
                <w:sz w:val="28"/>
                <w:szCs w:val="28"/>
                <w:rtl/>
                <w:lang w:eastAsia="ar-EG" w:bidi="ar-EG"/>
              </w:rPr>
              <w:br/>
            </w:r>
            <w:r w:rsidRPr="00C23C31">
              <w:rPr>
                <w:rFonts w:ascii="Arabic Typesetting" w:eastAsia="Arabic Typesetting" w:hAnsi="Arabic Typesetting" w:cs="Arabic Typesetting"/>
                <w:b/>
                <w:bCs/>
                <w:color w:val="FF0000"/>
                <w:sz w:val="28"/>
                <w:szCs w:val="28"/>
                <w:rtl/>
                <w:lang w:eastAsia="ar-EG" w:bidi="ar-EG"/>
              </w:rPr>
              <w:t>غير ثابت</w:t>
            </w:r>
          </w:p>
        </w:tc>
      </w:tr>
      <w:tr w:rsidR="00BD3831" w:rsidRPr="00C23C31" w14:paraId="2DF2CB46" w14:textId="77777777" w:rsidTr="00DF6715">
        <w:trPr>
          <w:cantSplit/>
          <w:trHeight w:val="576"/>
        </w:trPr>
        <w:tc>
          <w:tcPr>
            <w:tcW w:w="1058" w:type="pct"/>
            <w:shd w:val="clear" w:color="auto" w:fill="auto"/>
            <w:tcMar>
              <w:left w:w="58" w:type="dxa"/>
              <w:right w:w="58" w:type="dxa"/>
            </w:tcMar>
          </w:tcPr>
          <w:p w14:paraId="21B95097"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‏مهلة البدء في التعيينات</w:t>
            </w:r>
          </w:p>
        </w:tc>
        <w:tc>
          <w:tcPr>
            <w:tcW w:w="1632" w:type="pct"/>
            <w:shd w:val="clear" w:color="auto" w:fill="auto"/>
            <w:tcMar>
              <w:left w:w="58" w:type="dxa"/>
              <w:right w:w="58" w:type="dxa"/>
            </w:tcMar>
          </w:tcPr>
          <w:p w14:paraId="5D557B55" w14:textId="77777777" w:rsidR="00BD3831" w:rsidRPr="00C23C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المهلة المتوسط في الثنائية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C23C31">
              <w:rPr>
                <w:rFonts w:ascii="Arabic Typesetting" w:eastAsia="Arabic Typesetting" w:hAnsi="Arabic Typesetting" w:cs="Arabic Typesetting"/>
                <w:color w:val="002060"/>
                <w:sz w:val="28"/>
                <w:szCs w:val="28"/>
                <w:rtl/>
                <w:lang w:eastAsia="ar-EG" w:bidi="ar-EG"/>
              </w:rPr>
              <w:t>19.77</w:t>
            </w:r>
          </w:p>
          <w:p w14:paraId="33695AD9" w14:textId="77777777" w:rsidR="00BD3831" w:rsidRPr="00C23C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color w:val="002060"/>
                <w:sz w:val="28"/>
                <w:szCs w:val="28"/>
                <w:rtl/>
                <w:lang w:eastAsia="ar-EG" w:bidi="ar-EG"/>
              </w:rPr>
              <w:t>2014</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C23C31">
              <w:rPr>
                <w:rFonts w:ascii="Arabic Typesetting" w:eastAsia="Arabic Typesetting" w:hAnsi="Arabic Typesetting" w:cs="Arabic Typesetting"/>
                <w:color w:val="002060"/>
                <w:sz w:val="28"/>
                <w:szCs w:val="28"/>
                <w:rtl/>
                <w:lang w:eastAsia="ar-EG" w:bidi="ar-EG"/>
              </w:rPr>
              <w:t>17.28 أسبوعاً (بما يشمل 29 موظفا من الموظفين المؤقتين العاملين لفترة طويلة)</w:t>
            </w:r>
          </w:p>
          <w:p w14:paraId="6BCF110B"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color w:val="002060"/>
                <w:sz w:val="28"/>
                <w:szCs w:val="28"/>
                <w:rtl/>
                <w:lang w:eastAsia="ar-EG" w:bidi="ar-EG"/>
              </w:rPr>
              <w:t>2015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C23C31">
              <w:rPr>
                <w:rFonts w:ascii="Arabic Typesetting" w:eastAsia="Arabic Typesetting" w:hAnsi="Arabic Typesetting" w:cs="Arabic Typesetting"/>
                <w:color w:val="002060"/>
                <w:sz w:val="28"/>
                <w:szCs w:val="28"/>
                <w:rtl/>
                <w:lang w:eastAsia="ar-EG" w:bidi="ar-EG"/>
              </w:rPr>
              <w:t>26.32 أسبوعاً (لا موظفين مؤقتين عاملين لفترة طويلة في عام 2015)</w:t>
            </w:r>
          </w:p>
          <w:p w14:paraId="01CDC784"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‏أساس المقارنة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14.7 أسبوعاً (مع الموظفين المؤقتين العاملين لفترة طويلة)</w:t>
            </w:r>
            <w:r w:rsidRPr="00C23C31">
              <w:rPr>
                <w:rFonts w:ascii="Arabic Typesetting" w:eastAsia="Arabic Typesetting" w:hAnsi="Arabic Typesetting" w:cs="Arabic Typesetting"/>
                <w:color w:val="000000"/>
                <w:sz w:val="28"/>
                <w:szCs w:val="28"/>
                <w:lang w:eastAsia="ar-EG" w:bidi="ar-EG"/>
              </w:rPr>
              <w:br/>
            </w:r>
            <w:r w:rsidRPr="00C23C31">
              <w:rPr>
                <w:rFonts w:ascii="Arabic Typesetting" w:eastAsia="Arabic Typesetting" w:hAnsi="Arabic Typesetting" w:cs="Arabic Typesetting"/>
                <w:color w:val="000000"/>
                <w:sz w:val="28"/>
                <w:szCs w:val="28"/>
                <w:rtl/>
                <w:lang w:eastAsia="ar-EG" w:bidi="ar-EG"/>
              </w:rPr>
              <w:t>19.07 أسبوعاً (دون الموظفين المؤقتين العاملين لفترة طويلة)</w:t>
            </w:r>
          </w:p>
        </w:tc>
        <w:tc>
          <w:tcPr>
            <w:tcW w:w="1001" w:type="pct"/>
            <w:shd w:val="clear" w:color="auto" w:fill="auto"/>
            <w:tcMar>
              <w:top w:w="110" w:type="dxa"/>
              <w:left w:w="58" w:type="dxa"/>
              <w:right w:w="58" w:type="dxa"/>
            </w:tcMar>
          </w:tcPr>
          <w:p w14:paraId="4E6BB173"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19 أسبوعاً</w:t>
            </w:r>
          </w:p>
        </w:tc>
        <w:tc>
          <w:tcPr>
            <w:tcW w:w="847" w:type="pct"/>
            <w:shd w:val="clear" w:color="auto" w:fill="FFFFFF"/>
            <w:tcMar>
              <w:top w:w="110" w:type="dxa"/>
              <w:left w:w="58" w:type="dxa"/>
              <w:right w:w="58" w:type="dxa"/>
            </w:tcMar>
          </w:tcPr>
          <w:p w14:paraId="14835FD9"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18.81 أسبوعاً (15</w:t>
            </w:r>
            <w:r>
              <w:rPr>
                <w:rFonts w:ascii="Arabic Typesetting" w:eastAsia="Arabic Typesetting" w:hAnsi="Arabic Typesetting" w:cs="Arabic Typesetting" w:hint="cs"/>
                <w:color w:val="000000"/>
                <w:sz w:val="28"/>
                <w:szCs w:val="28"/>
                <w:rtl/>
                <w:lang w:eastAsia="ar-EG" w:bidi="ar-EG"/>
              </w:rPr>
              <w:t> </w:t>
            </w:r>
            <w:r w:rsidRPr="00C23C31">
              <w:rPr>
                <w:rFonts w:ascii="Arabic Typesetting" w:eastAsia="Arabic Typesetting" w:hAnsi="Arabic Typesetting" w:cs="Arabic Typesetting"/>
                <w:color w:val="000000"/>
                <w:sz w:val="28"/>
                <w:szCs w:val="28"/>
                <w:rtl/>
                <w:lang w:eastAsia="ar-EG" w:bidi="ar-EG"/>
              </w:rPr>
              <w:t>منافسة قيد الإنجاز منذ عام 2016 في 15</w:t>
            </w:r>
            <w:r>
              <w:rPr>
                <w:rFonts w:ascii="Arabic Typesetting" w:eastAsia="Arabic Typesetting" w:hAnsi="Arabic Typesetting" w:cs="Arabic Typesetting" w:hint="cs"/>
                <w:color w:val="000000"/>
                <w:sz w:val="28"/>
                <w:szCs w:val="28"/>
                <w:rtl/>
                <w:lang w:eastAsia="ar-EG" w:bidi="ar-EG"/>
              </w:rPr>
              <w:t> </w:t>
            </w:r>
            <w:r w:rsidRPr="00C23C31">
              <w:rPr>
                <w:rFonts w:ascii="Arabic Typesetting" w:eastAsia="Arabic Typesetting" w:hAnsi="Arabic Typesetting" w:cs="Arabic Typesetting"/>
                <w:color w:val="000000"/>
                <w:sz w:val="28"/>
                <w:szCs w:val="28"/>
                <w:rtl/>
                <w:lang w:eastAsia="ar-EG" w:bidi="ar-EG"/>
              </w:rPr>
              <w:t>مارس 2017)</w:t>
            </w:r>
          </w:p>
        </w:tc>
        <w:tc>
          <w:tcPr>
            <w:tcW w:w="463" w:type="pct"/>
            <w:shd w:val="clear" w:color="auto" w:fill="auto"/>
            <w:tcMar>
              <w:top w:w="110" w:type="dxa"/>
              <w:left w:w="58" w:type="dxa"/>
              <w:right w:w="58" w:type="dxa"/>
            </w:tcMar>
          </w:tcPr>
          <w:p w14:paraId="0F00D4DD" w14:textId="77777777" w:rsidR="00BD3831" w:rsidRPr="00C23C31" w:rsidRDefault="00BD3831"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C23C31">
              <w:rPr>
                <w:rFonts w:ascii="Arabic Typesetting" w:eastAsia="Arabic Typesetting" w:hAnsi="Arabic Typesetting" w:cs="Arabic Typesetting"/>
                <w:b/>
                <w:bCs/>
                <w:color w:val="00B050"/>
                <w:sz w:val="28"/>
                <w:szCs w:val="28"/>
                <w:rtl/>
                <w:lang w:eastAsia="ar-EG" w:bidi="ar-EG"/>
              </w:rPr>
              <w:t>ثابت</w:t>
            </w:r>
          </w:p>
        </w:tc>
      </w:tr>
      <w:tr w:rsidR="00BD3831" w:rsidRPr="00C23C31" w14:paraId="0037557D" w14:textId="77777777" w:rsidTr="00DF6715">
        <w:trPr>
          <w:cantSplit/>
          <w:trHeight w:val="576"/>
        </w:trPr>
        <w:tc>
          <w:tcPr>
            <w:tcW w:w="1058" w:type="pct"/>
            <w:shd w:val="clear" w:color="auto" w:fill="auto"/>
            <w:tcMar>
              <w:left w:w="58" w:type="dxa"/>
              <w:right w:w="58" w:type="dxa"/>
            </w:tcMar>
          </w:tcPr>
          <w:p w14:paraId="566CFD9E" w14:textId="77777777" w:rsidR="00BD3831" w:rsidRPr="00C23C31" w:rsidRDefault="00BD3831"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lastRenderedPageBreak/>
              <w:t>النسبة المئوية للموظفين الذين يقيم أداؤهم مقارنة بأهدافهم وكفاءاتهم الفردية</w:t>
            </w:r>
          </w:p>
        </w:tc>
        <w:tc>
          <w:tcPr>
            <w:tcW w:w="1632" w:type="pct"/>
            <w:shd w:val="clear" w:color="auto" w:fill="auto"/>
            <w:tcMar>
              <w:left w:w="58" w:type="dxa"/>
              <w:right w:w="58" w:type="dxa"/>
            </w:tcMar>
          </w:tcPr>
          <w:p w14:paraId="2E4A714A" w14:textId="77777777" w:rsidR="00BD3831" w:rsidRPr="00C23C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2014</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C23C31">
              <w:rPr>
                <w:rFonts w:ascii="Arabic Typesetting" w:eastAsia="Arabic Typesetting" w:hAnsi="Arabic Typesetting" w:cs="Arabic Typesetting"/>
                <w:color w:val="002060"/>
                <w:sz w:val="28"/>
                <w:szCs w:val="28"/>
                <w:rtl/>
                <w:lang w:eastAsia="ar-EG" w:bidi="ar-EG"/>
              </w:rPr>
              <w:t>93.1%</w:t>
            </w:r>
          </w:p>
          <w:p w14:paraId="78E8E405"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color w:val="002060"/>
                <w:sz w:val="28"/>
                <w:szCs w:val="28"/>
                <w:rtl/>
                <w:lang w:eastAsia="ar-EG" w:bidi="ar-EG"/>
              </w:rPr>
              <w:t>2015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C23C31">
              <w:rPr>
                <w:rFonts w:ascii="Arabic Typesetting" w:eastAsia="Arabic Typesetting" w:hAnsi="Arabic Typesetting" w:cs="Arabic Typesetting"/>
                <w:color w:val="002060"/>
                <w:sz w:val="28"/>
                <w:szCs w:val="28"/>
                <w:rtl/>
                <w:lang w:eastAsia="ar-EG" w:bidi="ar-EG"/>
              </w:rPr>
              <w:t>94.7%</w:t>
            </w:r>
            <w:r w:rsidRPr="00C23C31">
              <w:rPr>
                <w:rFonts w:ascii="Arabic Typesetting" w:eastAsia="Arabic Typesetting" w:hAnsi="Arabic Typesetting" w:cs="Arabic Typesetting"/>
                <w:color w:val="002060"/>
                <w:sz w:val="28"/>
                <w:szCs w:val="28"/>
                <w:vertAlign w:val="superscript"/>
                <w:lang w:eastAsia="ar-EG" w:bidi="ar-EG"/>
              </w:rPr>
              <w:footnoteReference w:id="87"/>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(في 30 أبريل من العام التالي)</w:t>
            </w:r>
          </w:p>
          <w:p w14:paraId="1980803E" w14:textId="77777777" w:rsidR="00BD3831" w:rsidRPr="00C23C31" w:rsidRDefault="00BD3831"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‏أساس المقارنة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82.9% (2014)</w:t>
            </w:r>
          </w:p>
        </w:tc>
        <w:tc>
          <w:tcPr>
            <w:tcW w:w="1001" w:type="pct"/>
            <w:shd w:val="clear" w:color="auto" w:fill="auto"/>
            <w:tcMar>
              <w:top w:w="110" w:type="dxa"/>
              <w:left w:w="58" w:type="dxa"/>
              <w:right w:w="58" w:type="dxa"/>
            </w:tcMar>
          </w:tcPr>
          <w:p w14:paraId="71C477B4" w14:textId="77777777" w:rsidR="00BD3831" w:rsidRDefault="00BD3831" w:rsidP="0031289D">
            <w:pPr>
              <w:keepLines/>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95%</w:t>
            </w:r>
          </w:p>
          <w:p w14:paraId="1931228A" w14:textId="77777777" w:rsidR="00BD3831" w:rsidRPr="00C23C31" w:rsidRDefault="00BD3831"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sz w:val="28"/>
                <w:szCs w:val="28"/>
                <w:rtl/>
                <w:lang w:eastAsia="ar-EG" w:bidi="ar-EG"/>
              </w:rPr>
              <w:t>الهدف الأصلي:</w:t>
            </w:r>
            <w:r w:rsidRPr="00C23C31">
              <w:rPr>
                <w:rFonts w:ascii="Arabic Typesetting" w:eastAsia="Arabic Typesetting" w:hAnsi="Arabic Typesetting" w:cs="Arabic Typesetting"/>
                <w:i/>
                <w:sz w:val="28"/>
                <w:szCs w:val="28"/>
                <w:lang w:eastAsia="ar-EG" w:bidi="ar-EG"/>
              </w:rPr>
              <w:br/>
            </w:r>
            <w:r w:rsidRPr="00C23C3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90%</w:t>
            </w:r>
          </w:p>
        </w:tc>
        <w:tc>
          <w:tcPr>
            <w:tcW w:w="847" w:type="pct"/>
            <w:shd w:val="clear" w:color="auto" w:fill="FFFFFF"/>
            <w:tcMar>
              <w:top w:w="110" w:type="dxa"/>
              <w:left w:w="58" w:type="dxa"/>
              <w:right w:w="58" w:type="dxa"/>
            </w:tcMar>
          </w:tcPr>
          <w:p w14:paraId="0D06BC36" w14:textId="77777777" w:rsidR="00BD3831" w:rsidRPr="00C23C31" w:rsidRDefault="00BD3831" w:rsidP="0031289D">
            <w:pPr>
              <w:keepLines/>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92.7</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Pr>
                <w:rFonts w:ascii="Arabic Typesetting" w:eastAsia="Arabic Typesetting" w:hAnsi="Arabic Typesetting" w:cs="Arabic Typesetting"/>
                <w:color w:val="000000"/>
                <w:sz w:val="28"/>
                <w:szCs w:val="28"/>
                <w:rtl/>
                <w:lang w:eastAsia="ar-EG" w:bidi="ar-EG"/>
              </w:rPr>
              <w:t>(في 30 أبريل من العام</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التالي)</w:t>
            </w:r>
          </w:p>
        </w:tc>
        <w:tc>
          <w:tcPr>
            <w:tcW w:w="463" w:type="pct"/>
            <w:shd w:val="clear" w:color="auto" w:fill="auto"/>
            <w:tcMar>
              <w:top w:w="110" w:type="dxa"/>
              <w:left w:w="58" w:type="dxa"/>
              <w:right w:w="58" w:type="dxa"/>
            </w:tcMar>
          </w:tcPr>
          <w:p w14:paraId="566F204F" w14:textId="77777777" w:rsidR="00BD3831" w:rsidRPr="00C23C31" w:rsidRDefault="00BD3831" w:rsidP="0031289D">
            <w:pPr>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C23C31">
              <w:rPr>
                <w:rFonts w:ascii="Arabic Typesetting" w:eastAsia="Arabic Typesetting" w:hAnsi="Arabic Typesetting" w:cs="Arabic Typesetting"/>
                <w:b/>
                <w:bCs/>
                <w:color w:val="00B050"/>
                <w:sz w:val="28"/>
                <w:szCs w:val="28"/>
                <w:rtl/>
                <w:lang w:eastAsia="ar-EG" w:bidi="ar-EG"/>
              </w:rPr>
              <w:t>ثابت</w:t>
            </w:r>
          </w:p>
        </w:tc>
      </w:tr>
      <w:tr w:rsidR="00BD3831" w:rsidRPr="00C23C31" w14:paraId="68B01BF3" w14:textId="77777777" w:rsidTr="00DF6715">
        <w:trPr>
          <w:cantSplit/>
          <w:trHeight w:val="576"/>
        </w:trPr>
        <w:tc>
          <w:tcPr>
            <w:tcW w:w="1058" w:type="pct"/>
            <w:shd w:val="clear" w:color="auto" w:fill="auto"/>
            <w:tcMar>
              <w:left w:w="58" w:type="dxa"/>
              <w:right w:w="58" w:type="dxa"/>
            </w:tcMar>
          </w:tcPr>
          <w:p w14:paraId="65D74744" w14:textId="77777777" w:rsidR="00BD3831" w:rsidRPr="00C23C31" w:rsidRDefault="00BD3831" w:rsidP="00F9431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عدد الأيام المستغرقة من أجل "1" إخطار الموظفين بالقرارات في التماسات إعادة النظر/التظلمات؛ "2"</w:t>
            </w:r>
            <w:r>
              <w:rPr>
                <w:rFonts w:ascii="Arabic Typesetting" w:eastAsia="Arabic Typesetting" w:hAnsi="Arabic Typesetting" w:cs="Arabic Typesetting" w:hint="cs"/>
                <w:color w:val="000000"/>
                <w:sz w:val="28"/>
                <w:szCs w:val="28"/>
                <w:rtl/>
                <w:lang w:eastAsia="ar-EG" w:bidi="ar-EG"/>
              </w:rPr>
              <w:t> </w:t>
            </w:r>
            <w:r w:rsidRPr="00C23C31">
              <w:rPr>
                <w:rFonts w:ascii="Arabic Typesetting" w:eastAsia="Arabic Typesetting" w:hAnsi="Arabic Typesetting" w:cs="Arabic Typesetting"/>
                <w:color w:val="000000"/>
                <w:sz w:val="28"/>
                <w:szCs w:val="28"/>
                <w:rtl/>
                <w:lang w:eastAsia="ar-EG" w:bidi="ar-EG"/>
              </w:rPr>
              <w:t>وإخطار</w:t>
            </w:r>
            <w:r>
              <w:rPr>
                <w:rFonts w:ascii="Arabic Typesetting" w:eastAsia="Arabic Typesetting" w:hAnsi="Arabic Typesetting" w:cs="Arabic Typesetting" w:hint="cs"/>
                <w:color w:val="000000"/>
                <w:sz w:val="28"/>
                <w:szCs w:val="28"/>
                <w:rtl/>
                <w:lang w:eastAsia="ar-EG" w:bidi="ar-EG"/>
              </w:rPr>
              <w:t> </w:t>
            </w:r>
            <w:r w:rsidRPr="00C23C31">
              <w:rPr>
                <w:rFonts w:ascii="Arabic Typesetting" w:eastAsia="Arabic Typesetting" w:hAnsi="Arabic Typesetting" w:cs="Arabic Typesetting"/>
                <w:color w:val="000000"/>
                <w:sz w:val="28"/>
                <w:szCs w:val="28"/>
                <w:rtl/>
                <w:lang w:eastAsia="ar-EG" w:bidi="ar-EG"/>
              </w:rPr>
              <w:t>الموظفين بالقرارات في حالات النقض/الحالات التأديبية؛ "3"</w:t>
            </w:r>
            <w:r>
              <w:rPr>
                <w:rFonts w:ascii="Arabic Typesetting" w:eastAsia="Arabic Typesetting" w:hAnsi="Arabic Typesetting" w:cs="Arabic Typesetting" w:hint="cs"/>
                <w:color w:val="000000"/>
                <w:sz w:val="28"/>
                <w:szCs w:val="28"/>
                <w:rtl/>
                <w:lang w:eastAsia="ar-EG" w:bidi="ar-EG"/>
              </w:rPr>
              <w:t> </w:t>
            </w:r>
            <w:r w:rsidRPr="00C23C31">
              <w:rPr>
                <w:rFonts w:ascii="Arabic Typesetting" w:eastAsia="Arabic Typesetting" w:hAnsi="Arabic Typesetting" w:cs="Arabic Typesetting"/>
                <w:color w:val="000000"/>
                <w:sz w:val="28"/>
                <w:szCs w:val="28"/>
                <w:rtl/>
                <w:lang w:eastAsia="ar-EG" w:bidi="ar-EG"/>
              </w:rPr>
              <w:t>والرد على التماسات المشورة</w:t>
            </w:r>
          </w:p>
        </w:tc>
        <w:tc>
          <w:tcPr>
            <w:tcW w:w="1632" w:type="pct"/>
            <w:shd w:val="clear" w:color="auto" w:fill="auto"/>
            <w:tcMar>
              <w:left w:w="58" w:type="dxa"/>
              <w:right w:w="58" w:type="dxa"/>
            </w:tcMar>
          </w:tcPr>
          <w:p w14:paraId="0ED5F804" w14:textId="77777777" w:rsidR="00BD3831" w:rsidRDefault="00BD3831" w:rsidP="00F9431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"1" 60 يوماً من تسلّم التماس إعادة النظر/الرد على التظلم</w:t>
            </w:r>
            <w:r>
              <w:rPr>
                <w:rFonts w:ascii="Arabic Typesetting" w:eastAsia="Arabic Typesetting" w:hAnsi="Arabic Typesetting" w:cs="Arabic Typesetting" w:hint="cs"/>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"2" و30 يوماً من تسلّم النقض؛ و35 يوماً م</w:t>
            </w:r>
            <w:r>
              <w:rPr>
                <w:rFonts w:ascii="Arabic Typesetting" w:eastAsia="Arabic Typesetting" w:hAnsi="Arabic Typesetting" w:cs="Arabic Typesetting"/>
                <w:color w:val="002060"/>
                <w:sz w:val="28"/>
                <w:szCs w:val="28"/>
                <w:rtl/>
                <w:lang w:eastAsia="ar-EG" w:bidi="ar-EG"/>
              </w:rPr>
              <w:t>ن تسلّم الرد على رسالة الاتهام؛</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"3" ويوم عمل واحد من تسلّم الالتماس</w:t>
            </w:r>
          </w:p>
          <w:p w14:paraId="41985A11" w14:textId="77777777" w:rsidR="00BD3831" w:rsidRPr="00C23C31" w:rsidRDefault="00BD3831" w:rsidP="00F9431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‏أساس المقارنة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غير متاح</w:t>
            </w:r>
          </w:p>
        </w:tc>
        <w:tc>
          <w:tcPr>
            <w:tcW w:w="1001" w:type="pct"/>
            <w:shd w:val="clear" w:color="auto" w:fill="auto"/>
            <w:tcMar>
              <w:top w:w="110" w:type="dxa"/>
              <w:left w:w="58" w:type="dxa"/>
              <w:right w:w="58" w:type="dxa"/>
            </w:tcMar>
          </w:tcPr>
          <w:p w14:paraId="0CC402E3" w14:textId="77777777" w:rsidR="00BD3831" w:rsidRDefault="00BD3831" w:rsidP="00F9431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‏"1" 60 يوماً من تسلّم التماس إعادة النظر/الرد على التظلم؛</w:t>
            </w:r>
            <w:r w:rsidRPr="00C23C31">
              <w:rPr>
                <w:rFonts w:ascii="Arabic Typesetting" w:eastAsia="Arabic Typesetting" w:hAnsi="Arabic Typesetting" w:cs="Arabic Typesetting"/>
                <w:color w:val="002060"/>
                <w:sz w:val="28"/>
                <w:szCs w:val="28"/>
                <w:lang w:eastAsia="ar-EG" w:bidi="ar-EG"/>
              </w:rPr>
              <w:br/>
            </w:r>
            <w:r w:rsidRPr="00C23C31">
              <w:rPr>
                <w:rFonts w:ascii="Arabic Typesetting" w:eastAsia="Arabic Typesetting" w:hAnsi="Arabic Typesetting" w:cs="Arabic Typesetting"/>
                <w:color w:val="002060"/>
                <w:sz w:val="28"/>
                <w:szCs w:val="28"/>
                <w:rtl/>
                <w:lang w:eastAsia="ar-EG" w:bidi="ar-EG"/>
              </w:rPr>
              <w:t>"2" و30 يوماً من تسلّ</w:t>
            </w:r>
            <w:r>
              <w:rPr>
                <w:rFonts w:ascii="Arabic Typesetting" w:eastAsia="Arabic Typesetting" w:hAnsi="Arabic Typesetting" w:cs="Arabic Typesetting"/>
                <w:color w:val="002060"/>
                <w:sz w:val="28"/>
                <w:szCs w:val="28"/>
                <w:rtl/>
                <w:lang w:eastAsia="ar-EG" w:bidi="ar-EG"/>
              </w:rPr>
              <w:t>م النقض/الرد على رسالة الاتهام؛</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"3" و5 أيام عمل من تسلّم الالتماس</w:t>
            </w:r>
          </w:p>
          <w:p w14:paraId="56AF8798" w14:textId="77777777" w:rsidR="00BD3831" w:rsidRPr="00C23C31" w:rsidRDefault="00BD3831" w:rsidP="00F9431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sz w:val="28"/>
                <w:szCs w:val="28"/>
                <w:rtl/>
                <w:lang w:eastAsia="ar-EG" w:bidi="ar-EG"/>
              </w:rPr>
              <w:t>الهدف الأصلي:</w:t>
            </w:r>
            <w:r w:rsidRPr="00C23C31">
              <w:rPr>
                <w:rFonts w:ascii="Arabic Typesetting" w:eastAsia="Arabic Typesetting" w:hAnsi="Arabic Typesetting" w:cs="Arabic Typesetting"/>
                <w:sz w:val="28"/>
                <w:szCs w:val="28"/>
                <w:lang w:eastAsia="ar-EG" w:bidi="ar-EG"/>
              </w:rPr>
              <w:br/>
            </w:r>
            <w:r w:rsidRPr="00C23C3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‏"1" 60 يوماً من تسلّم التماس إعادة النظر/الرد على التظلم؛</w:t>
            </w:r>
            <w:r w:rsidRPr="00C23C31">
              <w:rPr>
                <w:rFonts w:ascii="Arabic Typesetting" w:eastAsia="Arabic Typesetting" w:hAnsi="Arabic Typesetting" w:cs="Arabic Typesetting"/>
                <w:color w:val="000000"/>
                <w:sz w:val="28"/>
                <w:szCs w:val="28"/>
                <w:lang w:eastAsia="ar-EG" w:bidi="ar-EG"/>
              </w:rPr>
              <w:br/>
            </w:r>
            <w:r w:rsidRPr="00C23C31">
              <w:rPr>
                <w:rFonts w:ascii="Arabic Typesetting" w:eastAsia="Arabic Typesetting" w:hAnsi="Arabic Typesetting" w:cs="Arabic Typesetting"/>
                <w:color w:val="000000"/>
                <w:sz w:val="28"/>
                <w:szCs w:val="28"/>
                <w:rtl/>
                <w:lang w:eastAsia="ar-EG" w:bidi="ar-EG"/>
              </w:rPr>
              <w:t>"2" و30 يوماً من تسلّ</w:t>
            </w:r>
            <w:r>
              <w:rPr>
                <w:rFonts w:ascii="Arabic Typesetting" w:eastAsia="Arabic Typesetting" w:hAnsi="Arabic Typesetting" w:cs="Arabic Typesetting"/>
                <w:color w:val="000000"/>
                <w:sz w:val="28"/>
                <w:szCs w:val="28"/>
                <w:rtl/>
                <w:lang w:eastAsia="ar-EG" w:bidi="ar-EG"/>
              </w:rPr>
              <w:t>م النقض/الرد على رسالة الاتهام؛</w:t>
            </w:r>
            <w:r>
              <w:rPr>
                <w:rFonts w:ascii="Arabic Typesetting" w:eastAsia="Arabic Typesetting" w:hAnsi="Arabic Typesetting" w:cs="Arabic Typesetting"/>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"3" و10 أيام عمل من تسلّم الالتماس</w:t>
            </w:r>
          </w:p>
        </w:tc>
        <w:tc>
          <w:tcPr>
            <w:tcW w:w="847" w:type="pct"/>
            <w:shd w:val="clear" w:color="auto" w:fill="FFFFFF"/>
            <w:tcMar>
              <w:top w:w="110" w:type="dxa"/>
              <w:left w:w="58" w:type="dxa"/>
              <w:right w:w="58" w:type="dxa"/>
            </w:tcMar>
          </w:tcPr>
          <w:p w14:paraId="26F1B6D9" w14:textId="77777777" w:rsidR="00BD3831" w:rsidRPr="00C23C31" w:rsidRDefault="00BD3831" w:rsidP="00F9431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‏"1" 60 يوماً من تسلّم التم</w:t>
            </w:r>
            <w:r>
              <w:rPr>
                <w:rFonts w:ascii="Arabic Typesetting" w:eastAsia="Arabic Typesetting" w:hAnsi="Arabic Typesetting" w:cs="Arabic Typesetting"/>
                <w:color w:val="000000"/>
                <w:sz w:val="28"/>
                <w:szCs w:val="28"/>
                <w:rtl/>
                <w:lang w:eastAsia="ar-EG" w:bidi="ar-EG"/>
              </w:rPr>
              <w:t>اس إعادة النظر/الرد على التظلم؛</w:t>
            </w:r>
          </w:p>
          <w:p w14:paraId="22007A80" w14:textId="77777777" w:rsidR="00BD3831" w:rsidRPr="00C23C31" w:rsidRDefault="00BD3831" w:rsidP="00F9431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"2" و30 يوماً من تسلّ</w:t>
            </w:r>
            <w:r>
              <w:rPr>
                <w:rFonts w:ascii="Arabic Typesetting" w:eastAsia="Arabic Typesetting" w:hAnsi="Arabic Typesetting" w:cs="Arabic Typesetting"/>
                <w:color w:val="000000"/>
                <w:sz w:val="28"/>
                <w:szCs w:val="28"/>
                <w:rtl/>
                <w:lang w:eastAsia="ar-EG" w:bidi="ar-EG"/>
              </w:rPr>
              <w:t>م النقض/الرد على رسالة الاتهام؛</w:t>
            </w:r>
          </w:p>
          <w:p w14:paraId="076847E9" w14:textId="77777777" w:rsidR="00BD3831" w:rsidRPr="00C23C31" w:rsidRDefault="00BD3831" w:rsidP="00F9431D">
            <w:pPr>
              <w:bidi/>
              <w:spacing w:after="120" w:line="280" w:lineRule="exact"/>
              <w:rPr>
                <w:rFonts w:ascii="Arabic Typesetting" w:eastAsia="Arabic Typesetting" w:hAnsi="Arabic Typesetting" w:cs="Arabic Typesetting"/>
                <w:color w:val="000000"/>
                <w:sz w:val="28"/>
                <w:szCs w:val="28"/>
                <w:rtl/>
                <w:lang w:eastAsia="ar-EG" w:bidi="ar-EG"/>
              </w:rPr>
            </w:pPr>
            <w:r w:rsidRPr="00C23C31">
              <w:rPr>
                <w:rFonts w:ascii="Arabic Typesetting" w:eastAsia="Arabic Typesetting" w:hAnsi="Arabic Typesetting" w:cs="Arabic Typesetting"/>
                <w:color w:val="000000"/>
                <w:sz w:val="28"/>
                <w:szCs w:val="28"/>
                <w:rtl/>
                <w:lang w:eastAsia="ar-EG" w:bidi="ar-EG"/>
              </w:rPr>
              <w:t>"3" وقدِّم رد على 450 التماساً للمشورة ورد في عام 2016 في غضون يوم واحد في 89.3% من الحالات، وفي غضون يومين إلى 4 أيام في 9.3% من الحالات وفي غضون 5 أيام ع</w:t>
            </w:r>
            <w:r>
              <w:rPr>
                <w:rFonts w:ascii="Arabic Typesetting" w:eastAsia="Arabic Typesetting" w:hAnsi="Arabic Typesetting" w:cs="Arabic Typesetting"/>
                <w:color w:val="000000"/>
                <w:sz w:val="28"/>
                <w:szCs w:val="28"/>
                <w:rtl/>
                <w:lang w:eastAsia="ar-EG" w:bidi="ar-EG"/>
              </w:rPr>
              <w:t>مل أو أكثر في 1.3% من الحالات</w:t>
            </w:r>
            <w:r>
              <w:rPr>
                <w:rFonts w:ascii="Arabic Typesetting" w:eastAsia="Arabic Typesetting" w:hAnsi="Arabic Typesetting" w:cs="Arabic Typesetting"/>
                <w:color w:val="000000"/>
                <w:sz w:val="28"/>
                <w:szCs w:val="28"/>
                <w:lang w:eastAsia="ar-EG" w:bidi="ar-EG"/>
              </w:rPr>
              <w:t>.</w:t>
            </w:r>
          </w:p>
        </w:tc>
        <w:tc>
          <w:tcPr>
            <w:tcW w:w="463" w:type="pct"/>
            <w:shd w:val="clear" w:color="auto" w:fill="auto"/>
            <w:tcMar>
              <w:top w:w="110" w:type="dxa"/>
              <w:left w:w="58" w:type="dxa"/>
              <w:right w:w="58" w:type="dxa"/>
            </w:tcMar>
          </w:tcPr>
          <w:p w14:paraId="469B6D17" w14:textId="77777777" w:rsidR="00BD3831" w:rsidRDefault="00BD3831" w:rsidP="00F9431D">
            <w:pPr>
              <w:bidi/>
              <w:spacing w:after="720" w:line="280" w:lineRule="exact"/>
              <w:jc w:val="center"/>
              <w:rPr>
                <w:rFonts w:ascii="Arabic Typesetting" w:eastAsia="Arabic Typesetting" w:hAnsi="Arabic Typesetting" w:cs="Arabic Typesetting"/>
                <w:b/>
                <w:color w:val="00B050"/>
                <w:sz w:val="28"/>
                <w:szCs w:val="28"/>
                <w:lang w:eastAsia="ar-EG" w:bidi="ar-EG"/>
              </w:rPr>
            </w:pPr>
            <w:r w:rsidRPr="00C23C31">
              <w:rPr>
                <w:rFonts w:ascii="Arabic Typesetting" w:eastAsia="Arabic Typesetting" w:hAnsi="Arabic Typesetting" w:cs="Arabic Typesetting"/>
                <w:b/>
                <w:bCs/>
                <w:color w:val="00B050"/>
                <w:sz w:val="28"/>
                <w:szCs w:val="28"/>
                <w:rtl/>
                <w:lang w:eastAsia="ar-EG" w:bidi="ar-EG"/>
              </w:rPr>
              <w:t>ثابت</w:t>
            </w:r>
          </w:p>
          <w:p w14:paraId="53B4F514" w14:textId="77777777" w:rsidR="00BD3831" w:rsidRDefault="00BD3831" w:rsidP="00F9431D">
            <w:pPr>
              <w:bidi/>
              <w:spacing w:after="600" w:line="280" w:lineRule="exact"/>
              <w:jc w:val="center"/>
              <w:rPr>
                <w:rFonts w:ascii="Arabic Typesetting" w:eastAsia="Arabic Typesetting" w:hAnsi="Arabic Typesetting" w:cs="Arabic Typesetting"/>
                <w:b/>
                <w:color w:val="00B050"/>
                <w:sz w:val="28"/>
                <w:szCs w:val="28"/>
                <w:lang w:eastAsia="ar-EG" w:bidi="ar-EG"/>
              </w:rPr>
            </w:pPr>
            <w:r w:rsidRPr="00C23C31">
              <w:rPr>
                <w:rFonts w:ascii="Arabic Typesetting" w:eastAsia="Arabic Typesetting" w:hAnsi="Arabic Typesetting" w:cs="Arabic Typesetting"/>
                <w:b/>
                <w:bCs/>
                <w:color w:val="00B050"/>
                <w:sz w:val="28"/>
                <w:szCs w:val="28"/>
                <w:rtl/>
                <w:lang w:eastAsia="ar-EG" w:bidi="ar-EG"/>
              </w:rPr>
              <w:t>ثابت</w:t>
            </w:r>
          </w:p>
          <w:p w14:paraId="602AE56B" w14:textId="77777777" w:rsidR="00BD3831" w:rsidRPr="00C23C31" w:rsidRDefault="00BD3831" w:rsidP="00F9431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C23C31">
              <w:rPr>
                <w:rFonts w:ascii="Arabic Typesetting" w:eastAsia="Arabic Typesetting" w:hAnsi="Arabic Typesetting" w:cs="Arabic Typesetting"/>
                <w:b/>
                <w:bCs/>
                <w:color w:val="00B050"/>
                <w:sz w:val="28"/>
                <w:szCs w:val="28"/>
                <w:rtl/>
                <w:lang w:eastAsia="ar-EG" w:bidi="ar-EG"/>
              </w:rPr>
              <w:t>ثابت</w:t>
            </w:r>
          </w:p>
        </w:tc>
      </w:tr>
      <w:tr w:rsidR="00BD3831" w:rsidRPr="00C23C31" w14:paraId="558E409D" w14:textId="77777777" w:rsidTr="00DF6715">
        <w:trPr>
          <w:cantSplit/>
          <w:trHeight w:val="4467"/>
        </w:trPr>
        <w:tc>
          <w:tcPr>
            <w:tcW w:w="1058" w:type="pct"/>
            <w:shd w:val="clear" w:color="auto" w:fill="auto"/>
            <w:tcMar>
              <w:left w:w="58" w:type="dxa"/>
              <w:right w:w="58" w:type="dxa"/>
            </w:tcMar>
          </w:tcPr>
          <w:p w14:paraId="472D3090" w14:textId="6ACB0A64" w:rsidR="00BD3831" w:rsidRPr="00C23C31" w:rsidRDefault="00BD3831" w:rsidP="0049618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lastRenderedPageBreak/>
              <w:t>‏التنوع الجغرافي</w:t>
            </w:r>
            <w:r>
              <w:rPr>
                <w:rFonts w:ascii="Arabic Typesetting" w:eastAsia="Arabic Typesetting" w:hAnsi="Arabic Typesetting" w:cs="Arabic Typesetting"/>
                <w:color w:val="000000"/>
                <w:sz w:val="28"/>
                <w:szCs w:val="28"/>
                <w:rtl/>
                <w:lang w:eastAsia="ar-EG" w:bidi="ar-EG"/>
              </w:rPr>
              <w:t>:</w:t>
            </w:r>
            <w:r w:rsidR="0049618D">
              <w:rPr>
                <w:rFonts w:ascii="Arabic Typesetting" w:eastAsia="Arabic Typesetting" w:hAnsi="Arabic Typesetting" w:cs="Arabic Typesetting" w:hint="cs"/>
                <w:color w:val="000000"/>
                <w:sz w:val="28"/>
                <w:szCs w:val="28"/>
                <w:rtl/>
                <w:lang w:eastAsia="ar-EG" w:bidi="ar-EG"/>
              </w:rPr>
              <w:t xml:space="preserve"> </w:t>
            </w:r>
            <w:r w:rsidRPr="00C23C31">
              <w:rPr>
                <w:rFonts w:ascii="Arabic Typesetting" w:eastAsia="Arabic Typesetting" w:hAnsi="Arabic Typesetting" w:cs="Arabic Typesetting"/>
                <w:color w:val="000000"/>
                <w:sz w:val="28"/>
                <w:szCs w:val="28"/>
                <w:rtl/>
                <w:lang w:eastAsia="ar-EG" w:bidi="ar-EG"/>
              </w:rPr>
              <w:t>النسبة المئوية للموظفين</w:t>
            </w:r>
            <w:r w:rsidRPr="00C23C31">
              <w:rPr>
                <w:rFonts w:ascii="Arabic Typesetting" w:eastAsia="Arabic Typesetting" w:hAnsi="Arabic Typesetting" w:cs="Arabic Typesetting"/>
                <w:color w:val="000000"/>
                <w:sz w:val="28"/>
                <w:szCs w:val="28"/>
                <w:vertAlign w:val="superscript"/>
                <w:lang w:eastAsia="ar-EG" w:bidi="ar-EG"/>
              </w:rPr>
              <w:footnoteReference w:id="88"/>
            </w:r>
            <w:r w:rsidRPr="00C23C31">
              <w:rPr>
                <w:rFonts w:ascii="Arabic Typesetting" w:eastAsia="Arabic Typesetting" w:hAnsi="Arabic Typesetting" w:cs="Arabic Typesetting"/>
                <w:color w:val="000000"/>
                <w:sz w:val="28"/>
                <w:szCs w:val="28"/>
                <w:rtl/>
                <w:lang w:eastAsia="ar-EG" w:bidi="ar-EG"/>
              </w:rPr>
              <w:t xml:space="preserve"> </w:t>
            </w:r>
            <w:r w:rsidR="0049618D">
              <w:rPr>
                <w:rFonts w:ascii="Arabic Typesetting" w:eastAsia="Arabic Typesetting" w:hAnsi="Arabic Typesetting" w:cs="Arabic Typesetting" w:hint="cs"/>
                <w:color w:val="000000"/>
                <w:sz w:val="28"/>
                <w:szCs w:val="28"/>
                <w:rtl/>
                <w:lang w:eastAsia="ar-EG" w:bidi="ar-EG"/>
              </w:rPr>
              <w:t>في كل منطقة</w:t>
            </w:r>
          </w:p>
        </w:tc>
        <w:tc>
          <w:tcPr>
            <w:tcW w:w="1632" w:type="pct"/>
            <w:shd w:val="clear" w:color="auto" w:fill="auto"/>
            <w:tcMar>
              <w:left w:w="58" w:type="dxa"/>
              <w:right w:w="58" w:type="dxa"/>
            </w:tcMar>
          </w:tcPr>
          <w:p w14:paraId="2BACE4BF" w14:textId="25B38D5B" w:rsidR="00BD3831" w:rsidRDefault="00BD3831" w:rsidP="00D3741B">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‏أفريقيا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D3741B">
              <w:rPr>
                <w:rFonts w:ascii="Arabic Typesetting" w:eastAsia="Arabic Typesetting" w:hAnsi="Arabic Typesetting" w:cs="Arabic Typesetting" w:hint="cs"/>
                <w:color w:val="002060"/>
                <w:sz w:val="28"/>
                <w:szCs w:val="28"/>
                <w:rtl/>
                <w:lang w:eastAsia="ar-EG" w:bidi="ar-EG"/>
              </w:rPr>
              <w:t>10.7</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آسيا والمحيط الهادئ</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D3741B">
              <w:rPr>
                <w:rFonts w:ascii="Arabic Typesetting" w:eastAsia="Arabic Typesetting" w:hAnsi="Arabic Typesetting" w:cs="Arabic Typesetting" w:hint="cs"/>
                <w:color w:val="002060"/>
                <w:sz w:val="28"/>
                <w:szCs w:val="28"/>
                <w:rtl/>
                <w:lang w:eastAsia="ar-EG" w:bidi="ar-EG"/>
              </w:rPr>
              <w:t>14.3</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شرق ووسط أوروبا وآسيا الوسطى</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D3741B">
              <w:rPr>
                <w:rFonts w:ascii="Arabic Typesetting" w:eastAsia="Arabic Typesetting" w:hAnsi="Arabic Typesetting" w:cs="Arabic Typesetting" w:hint="cs"/>
                <w:color w:val="002060"/>
                <w:sz w:val="28"/>
                <w:szCs w:val="28"/>
                <w:rtl/>
                <w:lang w:eastAsia="ar-EG" w:bidi="ar-EG"/>
              </w:rPr>
              <w:t>6.9</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أمريكا اللاتينية والكاريبي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C23C31">
              <w:rPr>
                <w:rFonts w:ascii="Arabic Typesetting" w:eastAsia="Arabic Typesetting" w:hAnsi="Arabic Typesetting" w:cs="Arabic Typesetting"/>
                <w:color w:val="002060"/>
                <w:sz w:val="28"/>
                <w:szCs w:val="28"/>
                <w:rtl/>
                <w:lang w:eastAsia="ar-EG" w:bidi="ar-EG"/>
              </w:rPr>
              <w:t>8.</w:t>
            </w:r>
            <w:r w:rsidR="00D3741B">
              <w:rPr>
                <w:rFonts w:ascii="Arabic Typesetting" w:eastAsia="Arabic Typesetting" w:hAnsi="Arabic Typesetting" w:cs="Arabic Typesetting" w:hint="cs"/>
                <w:color w:val="002060"/>
                <w:sz w:val="28"/>
                <w:szCs w:val="28"/>
                <w:rtl/>
                <w:lang w:eastAsia="ar-EG" w:bidi="ar-EG"/>
              </w:rPr>
              <w:t>4</w:t>
            </w:r>
            <w:r w:rsidRPr="00C23C31">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الشرق الأوسط</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D3741B">
              <w:rPr>
                <w:rFonts w:ascii="Arabic Typesetting" w:eastAsia="Arabic Typesetting" w:hAnsi="Arabic Typesetting" w:cs="Arabic Typesetting" w:hint="cs"/>
                <w:color w:val="002060"/>
                <w:sz w:val="28"/>
                <w:szCs w:val="28"/>
                <w:rtl/>
                <w:lang w:eastAsia="ar-EG" w:bidi="ar-EG"/>
              </w:rPr>
              <w:t>1.1</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أمريكا الشمالية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C23C31">
              <w:rPr>
                <w:rFonts w:ascii="Arabic Typesetting" w:eastAsia="Arabic Typesetting" w:hAnsi="Arabic Typesetting" w:cs="Arabic Typesetting"/>
                <w:color w:val="002060"/>
                <w:sz w:val="28"/>
                <w:szCs w:val="28"/>
                <w:rtl/>
                <w:lang w:eastAsia="ar-EG" w:bidi="ar-EG"/>
              </w:rPr>
              <w:t>9.</w:t>
            </w:r>
            <w:r w:rsidR="00D3741B">
              <w:rPr>
                <w:rFonts w:ascii="Arabic Typesetting" w:eastAsia="Arabic Typesetting" w:hAnsi="Arabic Typesetting" w:cs="Arabic Typesetting" w:hint="cs"/>
                <w:color w:val="002060"/>
                <w:sz w:val="28"/>
                <w:szCs w:val="28"/>
                <w:rtl/>
                <w:lang w:eastAsia="ar-EG" w:bidi="ar-EG"/>
              </w:rPr>
              <w:t>0</w:t>
            </w:r>
            <w:r w:rsidRPr="00C23C31">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أوروبا الغربية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00D3741B">
              <w:rPr>
                <w:rFonts w:ascii="Arabic Typesetting" w:eastAsia="Arabic Typesetting" w:hAnsi="Arabic Typesetting" w:cs="Arabic Typesetting" w:hint="cs"/>
                <w:color w:val="002060"/>
                <w:sz w:val="28"/>
                <w:szCs w:val="28"/>
                <w:rtl/>
                <w:lang w:eastAsia="ar-EG" w:bidi="ar-EG"/>
              </w:rPr>
              <w:t>49.5</w:t>
            </w:r>
            <w:r w:rsidRPr="00C23C31">
              <w:rPr>
                <w:rFonts w:ascii="Arabic Typesetting" w:eastAsia="Arabic Typesetting" w:hAnsi="Arabic Typesetting" w:cs="Arabic Typesetting"/>
                <w:color w:val="002060"/>
                <w:sz w:val="28"/>
                <w:szCs w:val="28"/>
                <w:rtl/>
                <w:lang w:eastAsia="ar-EG" w:bidi="ar-EG"/>
              </w:rPr>
              <w:t>%</w:t>
            </w:r>
          </w:p>
          <w:p w14:paraId="22D04476"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sz w:val="28"/>
                <w:szCs w:val="28"/>
                <w:rtl/>
                <w:lang w:eastAsia="ar-EG" w:bidi="ar-EG"/>
              </w:rPr>
              <w:t>‏أساس المقارنة الأصلي</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برنامج وميزانية 2016/17</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أفريقيا – 10.8%</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آسيا والمحيط الهادئ - 13.5%</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أوروبا الشرقية والوسطى وآسيا الوسطى – 6.7%</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أمريكا اللاتينية والكاريبي – 8.2%</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الشرق الأوسط – 1.2%</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أمريكا الشمالية – 8.4%</w:t>
            </w:r>
            <w:r>
              <w:rPr>
                <w:rFonts w:ascii="Arabic Typesetting" w:eastAsia="Arabic Typesetting" w:hAnsi="Arabic Typesetting" w:cs="Arabic Typesetting"/>
                <w:sz w:val="28"/>
                <w:szCs w:val="28"/>
                <w:rtl/>
                <w:lang w:eastAsia="ar-EG" w:bidi="ar-EG"/>
              </w:rPr>
              <w:br/>
              <w:t>‏أوروبا الغربية –</w:t>
            </w:r>
            <w:r>
              <w:rPr>
                <w:rFonts w:ascii="Arabic Typesetting" w:eastAsia="Arabic Typesetting" w:hAnsi="Arabic Typesetting" w:cs="Arabic Typesetting" w:hint="cs"/>
                <w:sz w:val="28"/>
                <w:szCs w:val="28"/>
                <w:rtl/>
                <w:lang w:eastAsia="ar-EG" w:bidi="ar-EG"/>
              </w:rPr>
              <w:t xml:space="preserve"> 51.2%</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(ديسمبر 2014)</w:t>
            </w:r>
          </w:p>
        </w:tc>
        <w:tc>
          <w:tcPr>
            <w:tcW w:w="1001" w:type="pct"/>
            <w:shd w:val="clear" w:color="auto" w:fill="auto"/>
            <w:tcMar>
              <w:top w:w="110" w:type="dxa"/>
              <w:left w:w="58" w:type="dxa"/>
              <w:right w:w="58" w:type="dxa"/>
            </w:tcMar>
          </w:tcPr>
          <w:p w14:paraId="2ADF2AE0"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الاتفاق بين الدول الأعضاء على سياسة الويبو بشأن التوزيع الجغرافي</w:t>
            </w:r>
          </w:p>
          <w:p w14:paraId="4E7C9C34"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highlight w:val="yellow"/>
                <w:lang w:eastAsia="ar-EG" w:bidi="ar-EG"/>
              </w:rPr>
            </w:pPr>
            <w:r w:rsidRPr="00C23C31">
              <w:rPr>
                <w:rFonts w:ascii="Arabic Typesetting" w:eastAsia="Arabic Typesetting" w:hAnsi="Arabic Typesetting" w:cs="Arabic Typesetting"/>
                <w:i/>
                <w:iCs/>
                <w:color w:val="000000"/>
                <w:sz w:val="28"/>
                <w:szCs w:val="28"/>
                <w:rtl/>
                <w:lang w:eastAsia="ar-EG" w:bidi="ar-EG"/>
              </w:rPr>
              <w:t>الهدف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تستلزم سياسة الويبو للتوزيع الجغرافي أن تنظر فيها الدول الأعضاء</w:t>
            </w:r>
          </w:p>
        </w:tc>
        <w:tc>
          <w:tcPr>
            <w:tcW w:w="847" w:type="pct"/>
            <w:shd w:val="clear" w:color="auto" w:fill="FFFFFF"/>
            <w:tcMar>
              <w:top w:w="110" w:type="dxa"/>
              <w:left w:w="58" w:type="dxa"/>
              <w:right w:w="58" w:type="dxa"/>
            </w:tcMar>
          </w:tcPr>
          <w:p w14:paraId="1D816603" w14:textId="77777777" w:rsidR="00BD3831" w:rsidRPr="00C23C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‏أفريقيا</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C23C31">
              <w:rPr>
                <w:rFonts w:ascii="Arabic Typesetting" w:eastAsia="Arabic Typesetting" w:hAnsi="Arabic Typesetting" w:cs="Arabic Typesetting"/>
                <w:sz w:val="28"/>
                <w:szCs w:val="28"/>
                <w:rtl/>
                <w:lang w:eastAsia="ar-EG" w:bidi="ar-EG"/>
              </w:rPr>
              <w:t xml:space="preserve">11.3% </w:t>
            </w:r>
          </w:p>
          <w:p w14:paraId="083342E1" w14:textId="77777777" w:rsidR="00BD3831" w:rsidRPr="00C23C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آسيا والمحيط الهادئ</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Pr>
                <w:rFonts w:ascii="Arabic Typesetting" w:eastAsia="Arabic Typesetting" w:hAnsi="Arabic Typesetting" w:cs="Arabic Typesetting"/>
                <w:sz w:val="28"/>
                <w:szCs w:val="28"/>
                <w:rtl/>
                <w:lang w:eastAsia="ar-EG" w:bidi="ar-EG"/>
              </w:rPr>
              <w:t>17.3%</w:t>
            </w:r>
          </w:p>
          <w:p w14:paraId="319977A6" w14:textId="77777777" w:rsidR="00BD3831" w:rsidRPr="00C23C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شرق ووسط أوروبا وآسيا الوسطى</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Pr>
                <w:rFonts w:ascii="Arabic Typesetting" w:eastAsia="Arabic Typesetting" w:hAnsi="Arabic Typesetting" w:cs="Arabic Typesetting"/>
                <w:sz w:val="28"/>
                <w:szCs w:val="28"/>
                <w:rtl/>
                <w:lang w:eastAsia="ar-EG" w:bidi="ar-EG"/>
              </w:rPr>
              <w:t>7.8%</w:t>
            </w:r>
          </w:p>
          <w:p w14:paraId="678FE0D6" w14:textId="77777777" w:rsidR="00BD3831" w:rsidRPr="00C23C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أمريكا اللاتينية والكاريبي</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Pr>
                <w:rFonts w:ascii="Arabic Typesetting" w:eastAsia="Arabic Typesetting" w:hAnsi="Arabic Typesetting" w:cs="Arabic Typesetting"/>
                <w:sz w:val="28"/>
                <w:szCs w:val="28"/>
                <w:rtl/>
                <w:lang w:eastAsia="ar-EG" w:bidi="ar-EG"/>
              </w:rPr>
              <w:t>8.0%</w:t>
            </w:r>
          </w:p>
          <w:p w14:paraId="15B1612A" w14:textId="77777777" w:rsidR="00BD3831" w:rsidRPr="00C23C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الشرق الأوسط</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Pr>
                <w:rFonts w:ascii="Arabic Typesetting" w:eastAsia="Arabic Typesetting" w:hAnsi="Arabic Typesetting" w:cs="Arabic Typesetting"/>
                <w:sz w:val="28"/>
                <w:szCs w:val="28"/>
                <w:rtl/>
                <w:lang w:eastAsia="ar-EG" w:bidi="ar-EG"/>
              </w:rPr>
              <w:t>1.3%</w:t>
            </w:r>
          </w:p>
          <w:p w14:paraId="50E93F8E" w14:textId="77777777" w:rsidR="00BD3831" w:rsidRPr="00C23C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sz w:val="28"/>
                <w:szCs w:val="28"/>
                <w:rtl/>
                <w:lang w:eastAsia="ar-EG" w:bidi="ar-EG"/>
              </w:rPr>
              <w:t>أمريكا الشمالية</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Pr>
                <w:rFonts w:ascii="Arabic Typesetting" w:eastAsia="Arabic Typesetting" w:hAnsi="Arabic Typesetting" w:cs="Arabic Typesetting"/>
                <w:sz w:val="28"/>
                <w:szCs w:val="28"/>
                <w:rtl/>
                <w:lang w:eastAsia="ar-EG" w:bidi="ar-EG"/>
              </w:rPr>
              <w:t>8.4%</w:t>
            </w:r>
          </w:p>
          <w:p w14:paraId="1F380660" w14:textId="6302788E" w:rsidR="00BD3831" w:rsidRPr="00C23C31" w:rsidRDefault="00BD3831" w:rsidP="00823608">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sz w:val="28"/>
                <w:szCs w:val="28"/>
                <w:rtl/>
                <w:lang w:eastAsia="ar-EG" w:bidi="ar-EG"/>
              </w:rPr>
              <w:t>أوروبا الغربية</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C23C31">
              <w:rPr>
                <w:rFonts w:ascii="Arabic Typesetting" w:eastAsia="Arabic Typesetting" w:hAnsi="Arabic Typesetting" w:cs="Arabic Typesetting"/>
                <w:sz w:val="28"/>
                <w:szCs w:val="28"/>
                <w:rtl/>
                <w:lang w:eastAsia="ar-EG" w:bidi="ar-EG"/>
              </w:rPr>
              <w:t>45.</w:t>
            </w:r>
            <w:r w:rsidR="00823608">
              <w:rPr>
                <w:rFonts w:ascii="Arabic Typesetting" w:eastAsia="Arabic Typesetting" w:hAnsi="Arabic Typesetting" w:cs="Arabic Typesetting" w:hint="cs"/>
                <w:sz w:val="28"/>
                <w:szCs w:val="28"/>
                <w:rtl/>
                <w:lang w:eastAsia="ar-EG" w:bidi="ar-EG"/>
              </w:rPr>
              <w:t>8</w:t>
            </w:r>
            <w:r w:rsidRPr="00C23C31">
              <w:rPr>
                <w:rFonts w:ascii="Arabic Typesetting" w:eastAsia="Arabic Typesetting" w:hAnsi="Arabic Typesetting" w:cs="Arabic Typesetting"/>
                <w:sz w:val="28"/>
                <w:szCs w:val="28"/>
                <w:rtl/>
                <w:lang w:eastAsia="ar-EG" w:bidi="ar-EG"/>
              </w:rPr>
              <w:t>%</w:t>
            </w:r>
          </w:p>
        </w:tc>
        <w:tc>
          <w:tcPr>
            <w:tcW w:w="463" w:type="pct"/>
            <w:shd w:val="clear" w:color="auto" w:fill="auto"/>
            <w:tcMar>
              <w:top w:w="110" w:type="dxa"/>
              <w:left w:w="58" w:type="dxa"/>
              <w:right w:w="58" w:type="dxa"/>
            </w:tcMar>
          </w:tcPr>
          <w:p w14:paraId="435957E8" w14:textId="77777777" w:rsidR="00BD3831" w:rsidRPr="00C23C31" w:rsidRDefault="00BD3831" w:rsidP="0031289D">
            <w:pPr>
              <w:keepNext/>
              <w:keepLines/>
              <w:bidi/>
              <w:spacing w:after="120" w:line="280" w:lineRule="exact"/>
              <w:jc w:val="center"/>
              <w:rPr>
                <w:rFonts w:ascii="Arabic Typesetting" w:eastAsia="Arabic Typesetting" w:hAnsi="Arabic Typesetting" w:cs="Arabic Typesetting"/>
                <w:b/>
                <w:color w:val="808080"/>
                <w:sz w:val="28"/>
                <w:szCs w:val="28"/>
                <w:lang w:eastAsia="ar-EG" w:bidi="ar-EG"/>
              </w:rPr>
            </w:pPr>
            <w:r w:rsidRPr="00C23C31">
              <w:rPr>
                <w:rFonts w:ascii="Arabic Typesetting" w:eastAsia="Arabic Typesetting" w:hAnsi="Arabic Typesetting" w:cs="Arabic Typesetting"/>
                <w:b/>
                <w:bCs/>
                <w:color w:val="808080"/>
                <w:sz w:val="28"/>
                <w:szCs w:val="28"/>
                <w:rtl/>
                <w:lang w:eastAsia="ar-EG" w:bidi="ar-EG"/>
              </w:rPr>
              <w:t>‏غير قابل للقياس</w:t>
            </w:r>
          </w:p>
        </w:tc>
      </w:tr>
      <w:tr w:rsidR="00BD3831" w:rsidRPr="00C23C31" w14:paraId="6111ACA5" w14:textId="77777777" w:rsidTr="00DF6715">
        <w:trPr>
          <w:cantSplit/>
          <w:trHeight w:val="576"/>
        </w:trPr>
        <w:tc>
          <w:tcPr>
            <w:tcW w:w="1058" w:type="pct"/>
            <w:shd w:val="clear" w:color="auto" w:fill="auto"/>
            <w:tcMar>
              <w:left w:w="58" w:type="dxa"/>
              <w:right w:w="58" w:type="dxa"/>
            </w:tcMar>
          </w:tcPr>
          <w:p w14:paraId="4D519F00"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عدد الطلبات الواردة من الدول الأعضاء غير الممثلة كنسبة مئوية من مجموع الطلبات</w:t>
            </w:r>
          </w:p>
        </w:tc>
        <w:tc>
          <w:tcPr>
            <w:tcW w:w="1632" w:type="pct"/>
            <w:shd w:val="clear" w:color="auto" w:fill="auto"/>
            <w:tcMar>
              <w:left w:w="58" w:type="dxa"/>
              <w:right w:w="58" w:type="dxa"/>
            </w:tcMar>
          </w:tcPr>
          <w:p w14:paraId="4F4DA648"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7.1%</w:t>
            </w:r>
          </w:p>
          <w:p w14:paraId="70F0E57B"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‏أساس المقارنة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يُحدَّد في نهاية 2015</w:t>
            </w:r>
          </w:p>
        </w:tc>
        <w:tc>
          <w:tcPr>
            <w:tcW w:w="1001" w:type="pct"/>
            <w:shd w:val="clear" w:color="auto" w:fill="auto"/>
            <w:tcMar>
              <w:top w:w="110" w:type="dxa"/>
              <w:left w:w="58" w:type="dxa"/>
              <w:right w:w="58" w:type="dxa"/>
            </w:tcMar>
          </w:tcPr>
          <w:p w14:paraId="64A08AE7"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الهدف المحدد</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8%</w:t>
            </w:r>
          </w:p>
          <w:p w14:paraId="7DFDBD6B"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الهدف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يُحدَّد في نهاية 2015 (استناداً إلى نسبة الزيادة بين عامي 2014 و2015)</w:t>
            </w:r>
          </w:p>
        </w:tc>
        <w:tc>
          <w:tcPr>
            <w:tcW w:w="847" w:type="pct"/>
            <w:shd w:val="clear" w:color="auto" w:fill="FFFFFF"/>
            <w:tcMar>
              <w:top w:w="110" w:type="dxa"/>
              <w:left w:w="58" w:type="dxa"/>
              <w:right w:w="58" w:type="dxa"/>
            </w:tcMar>
          </w:tcPr>
          <w:p w14:paraId="0A58BB98" w14:textId="77777777" w:rsidR="00BD3831" w:rsidRPr="00C23C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7.9% (استناداً إلى مجموع الترشيحات إلى مناصب ال</w:t>
            </w:r>
            <w:r>
              <w:rPr>
                <w:rFonts w:ascii="Arabic Typesetting" w:eastAsia="Arabic Typesetting" w:hAnsi="Arabic Typesetting" w:cs="Arabic Typesetting"/>
                <w:color w:val="000000"/>
                <w:sz w:val="28"/>
                <w:szCs w:val="28"/>
                <w:rtl/>
                <w:lang w:eastAsia="ar-EG" w:bidi="ar-EG"/>
              </w:rPr>
              <w:t>فئة الفنية فما فوق في عام 2016)</w:t>
            </w:r>
          </w:p>
        </w:tc>
        <w:tc>
          <w:tcPr>
            <w:tcW w:w="463" w:type="pct"/>
            <w:shd w:val="clear" w:color="auto" w:fill="auto"/>
            <w:tcMar>
              <w:top w:w="110" w:type="dxa"/>
              <w:left w:w="58" w:type="dxa"/>
              <w:right w:w="58" w:type="dxa"/>
            </w:tcMar>
          </w:tcPr>
          <w:p w14:paraId="0921644E" w14:textId="77777777" w:rsidR="00BD3831" w:rsidRPr="00C23C31"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C23C31">
              <w:rPr>
                <w:rFonts w:ascii="Arabic Typesetting" w:eastAsia="Arabic Typesetting" w:hAnsi="Arabic Typesetting" w:cs="Arabic Typesetting"/>
                <w:b/>
                <w:bCs/>
                <w:color w:val="00B050"/>
                <w:sz w:val="28"/>
                <w:szCs w:val="28"/>
                <w:rtl/>
                <w:lang w:eastAsia="ar-EG" w:bidi="ar-EG"/>
              </w:rPr>
              <w:t>ثابت</w:t>
            </w:r>
          </w:p>
        </w:tc>
      </w:tr>
      <w:tr w:rsidR="00BD3831" w:rsidRPr="00C23C31" w14:paraId="56851E5C" w14:textId="77777777" w:rsidTr="00DF6715">
        <w:trPr>
          <w:cantSplit/>
          <w:trHeight w:val="576"/>
        </w:trPr>
        <w:tc>
          <w:tcPr>
            <w:tcW w:w="1058" w:type="pct"/>
            <w:shd w:val="clear" w:color="auto" w:fill="auto"/>
            <w:tcMar>
              <w:left w:w="58" w:type="dxa"/>
              <w:right w:w="58" w:type="dxa"/>
            </w:tcMar>
          </w:tcPr>
          <w:p w14:paraId="7E192B80" w14:textId="77777777" w:rsidR="00BD3831" w:rsidRPr="00C23C31"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lastRenderedPageBreak/>
              <w:t>تع</w:t>
            </w:r>
            <w:r>
              <w:rPr>
                <w:rFonts w:ascii="Arabic Typesetting" w:eastAsia="Arabic Typesetting" w:hAnsi="Arabic Typesetting" w:cs="Arabic Typesetting"/>
                <w:color w:val="000000"/>
                <w:sz w:val="28"/>
                <w:szCs w:val="28"/>
                <w:rtl/>
                <w:lang w:eastAsia="ar-EG" w:bidi="ar-EG"/>
              </w:rPr>
              <w:t>زيز نضج التخطيط للموارد البشرية</w:t>
            </w:r>
          </w:p>
        </w:tc>
        <w:tc>
          <w:tcPr>
            <w:tcW w:w="1632" w:type="pct"/>
            <w:shd w:val="clear" w:color="auto" w:fill="auto"/>
            <w:tcMar>
              <w:left w:w="58" w:type="dxa"/>
              <w:right w:w="58" w:type="dxa"/>
            </w:tcMar>
          </w:tcPr>
          <w:p w14:paraId="26A6CD7B" w14:textId="77777777" w:rsidR="00BD3831" w:rsidRPr="00942016" w:rsidRDefault="00BD3831" w:rsidP="0031289D">
            <w:pPr>
              <w:keepNext/>
              <w:bidi/>
              <w:spacing w:after="120" w:line="280" w:lineRule="exact"/>
              <w:rPr>
                <w:rFonts w:ascii="Arabic Typesetting" w:eastAsia="Arabic Typesetting" w:hAnsi="Arabic Typesetting" w:cs="Arabic Typesetting"/>
                <w:i/>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sidRPr="00C23C31">
              <w:rPr>
                <w:rFonts w:ascii="Arabic Typesetting" w:eastAsia="Arabic Typesetting" w:hAnsi="Arabic Typesetting" w:cs="Arabic Typesetting"/>
                <w:i/>
                <w:color w:val="002060"/>
                <w:sz w:val="28"/>
                <w:szCs w:val="28"/>
                <w:vertAlign w:val="superscript"/>
                <w:lang w:eastAsia="ar-EG" w:bidi="ar-EG"/>
              </w:rPr>
              <w:footnoteReference w:id="89"/>
            </w:r>
            <w:r>
              <w:rPr>
                <w:rFonts w:ascii="Arabic Typesetting" w:eastAsia="Arabic Typesetting" w:hAnsi="Arabic Typesetting" w:cs="Arabic Typesetting" w:hint="cs"/>
                <w:i/>
                <w:color w:val="002060"/>
                <w:sz w:val="28"/>
                <w:szCs w:val="28"/>
                <w:rtl/>
                <w:lang w:eastAsia="ar-EG" w:bidi="ar-EG"/>
              </w:rPr>
              <w:t xml:space="preserve"> </w:t>
            </w:r>
            <w:r w:rsidRPr="00C23C31">
              <w:rPr>
                <w:rFonts w:ascii="Arabic Typesetting" w:eastAsia="Arabic Typesetting" w:hAnsi="Arabic Typesetting" w:cs="Arabic Typesetting"/>
                <w:color w:val="002060"/>
                <w:sz w:val="28"/>
                <w:szCs w:val="28"/>
                <w:rtl/>
                <w:lang w:eastAsia="ar-EG" w:bidi="ar-EG"/>
              </w:rPr>
              <w:t>المرحلة</w:t>
            </w:r>
            <w:r>
              <w:rPr>
                <w:rFonts w:ascii="Arabic Typesetting" w:eastAsia="Arabic Typesetting" w:hAnsi="Arabic Typesetting" w:cs="Arabic Typesetting" w:hint="cs"/>
                <w:color w:val="002060"/>
                <w:sz w:val="28"/>
                <w:szCs w:val="28"/>
                <w:rtl/>
                <w:lang w:eastAsia="ar-EG" w:bidi="ar-EG"/>
              </w:rPr>
              <w:t> </w:t>
            </w:r>
            <w:r w:rsidRPr="00C23C31">
              <w:rPr>
                <w:rFonts w:ascii="Arabic Typesetting" w:eastAsia="Arabic Typesetting" w:hAnsi="Arabic Typesetting" w:cs="Arabic Typesetting"/>
                <w:color w:val="002060"/>
                <w:sz w:val="28"/>
                <w:szCs w:val="28"/>
                <w:rtl/>
                <w:lang w:eastAsia="ar-EG" w:bidi="ar-EG"/>
              </w:rPr>
              <w:t>2</w:t>
            </w:r>
          </w:p>
          <w:p w14:paraId="6825A473" w14:textId="77777777" w:rsidR="00BD3831" w:rsidRPr="00C23C31"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‏أساس المقارنة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يحدَّد لاحقا</w:t>
            </w:r>
          </w:p>
        </w:tc>
        <w:tc>
          <w:tcPr>
            <w:tcW w:w="1001" w:type="pct"/>
            <w:shd w:val="clear" w:color="auto" w:fill="auto"/>
            <w:tcMar>
              <w:top w:w="110" w:type="dxa"/>
              <w:left w:w="58" w:type="dxa"/>
              <w:right w:w="58" w:type="dxa"/>
            </w:tcMar>
          </w:tcPr>
          <w:p w14:paraId="0722B589" w14:textId="77777777" w:rsidR="00BD3831" w:rsidRDefault="00BD3831" w:rsidP="0031289D">
            <w:pPr>
              <w:keepNext/>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color w:val="002060"/>
                <w:sz w:val="28"/>
                <w:szCs w:val="28"/>
                <w:rtl/>
                <w:lang w:eastAsia="ar-EG" w:bidi="ar-EG"/>
              </w:rPr>
              <w:t>الهدف المحدد:</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المرحلة 3</w:t>
            </w:r>
          </w:p>
          <w:p w14:paraId="599AEF82" w14:textId="77777777" w:rsidR="00BD3831" w:rsidRPr="00C23C31" w:rsidRDefault="00BD3831" w:rsidP="0031289D">
            <w:pPr>
              <w:keepNext/>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sz w:val="28"/>
                <w:szCs w:val="28"/>
                <w:rtl/>
                <w:lang w:eastAsia="ar-EG" w:bidi="ar-EG"/>
              </w:rPr>
              <w:t>الهدف الأصلي:</w:t>
            </w:r>
            <w:r w:rsidRPr="00C23C31">
              <w:rPr>
                <w:rFonts w:ascii="Arabic Typesetting" w:eastAsia="Arabic Typesetting" w:hAnsi="Arabic Typesetting" w:cs="Arabic Typesetting"/>
                <w:sz w:val="28"/>
                <w:szCs w:val="28"/>
                <w:lang w:eastAsia="ar-EG" w:bidi="ar-EG"/>
              </w:rPr>
              <w:br/>
            </w:r>
            <w:r w:rsidRPr="00C23C3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يحدَّد لاحقاً</w:t>
            </w:r>
          </w:p>
        </w:tc>
        <w:tc>
          <w:tcPr>
            <w:tcW w:w="847" w:type="pct"/>
            <w:shd w:val="clear" w:color="auto" w:fill="FFFFFF"/>
            <w:tcMar>
              <w:top w:w="110" w:type="dxa"/>
              <w:left w:w="58" w:type="dxa"/>
              <w:right w:w="58" w:type="dxa"/>
            </w:tcMar>
          </w:tcPr>
          <w:p w14:paraId="27E3248C" w14:textId="77777777" w:rsidR="00BD3831" w:rsidRPr="00C23C3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سيجرى الاستقصاء في نهاية الثنائية</w:t>
            </w:r>
          </w:p>
        </w:tc>
        <w:tc>
          <w:tcPr>
            <w:tcW w:w="463" w:type="pct"/>
            <w:shd w:val="clear" w:color="auto" w:fill="auto"/>
            <w:tcMar>
              <w:top w:w="110" w:type="dxa"/>
              <w:left w:w="58" w:type="dxa"/>
              <w:right w:w="58" w:type="dxa"/>
            </w:tcMar>
          </w:tcPr>
          <w:p w14:paraId="4FFDCBED" w14:textId="77777777" w:rsidR="00BD3831" w:rsidRPr="00C23C31"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C23C31">
              <w:rPr>
                <w:rFonts w:ascii="Arabic Typesetting" w:eastAsia="Arabic Typesetting" w:hAnsi="Arabic Typesetting" w:cs="Arabic Typesetting"/>
                <w:b/>
                <w:bCs/>
                <w:color w:val="0070C0"/>
                <w:sz w:val="28"/>
                <w:szCs w:val="28"/>
                <w:rtl/>
                <w:lang w:eastAsia="ar-EG" w:bidi="ar-EG"/>
              </w:rPr>
              <w:t>غير متاح في 2016</w:t>
            </w:r>
          </w:p>
        </w:tc>
      </w:tr>
      <w:tr w:rsidR="00BD3831" w:rsidRPr="00C23C31" w14:paraId="42C772C6" w14:textId="77777777" w:rsidTr="00DF6715">
        <w:trPr>
          <w:cantSplit/>
          <w:trHeight w:val="576"/>
        </w:trPr>
        <w:tc>
          <w:tcPr>
            <w:tcW w:w="1058" w:type="pct"/>
            <w:shd w:val="clear" w:color="auto" w:fill="auto"/>
            <w:tcMar>
              <w:left w:w="58" w:type="dxa"/>
              <w:right w:w="58" w:type="dxa"/>
            </w:tcMar>
          </w:tcPr>
          <w:p w14:paraId="4BEA9267" w14:textId="77777777" w:rsidR="00BD3831" w:rsidRPr="00C23C3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النسبة المئوية لبرامج التدريب اللازمة من أجل "1" احتياجات التدريب الجماعية الهامة؛ "2" واحتياجات التدريب الفردية</w:t>
            </w:r>
          </w:p>
        </w:tc>
        <w:tc>
          <w:tcPr>
            <w:tcW w:w="1632" w:type="pct"/>
            <w:shd w:val="clear" w:color="auto" w:fill="auto"/>
            <w:tcMar>
              <w:left w:w="58" w:type="dxa"/>
              <w:right w:w="58" w:type="dxa"/>
            </w:tcMar>
          </w:tcPr>
          <w:p w14:paraId="00FF513D" w14:textId="77777777" w:rsidR="00BD3831" w:rsidRDefault="00BD3831" w:rsidP="0031289D">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"1" 2014/15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C23C31">
              <w:rPr>
                <w:rFonts w:ascii="Arabic Typesetting" w:eastAsia="Arabic Typesetting" w:hAnsi="Arabic Typesetting" w:cs="Arabic Typesetting"/>
                <w:color w:val="002060"/>
                <w:sz w:val="28"/>
                <w:szCs w:val="28"/>
                <w:rtl/>
                <w:lang w:eastAsia="ar-EG" w:bidi="ar-EG"/>
              </w:rPr>
              <w:t>81%</w:t>
            </w:r>
            <w:r>
              <w:rPr>
                <w:rFonts w:ascii="Arabic Typesetting" w:eastAsia="Arabic Typesetting" w:hAnsi="Arabic Typesetting" w:cs="Arabic Typesetting"/>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"2" 2015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C23C31">
              <w:rPr>
                <w:rFonts w:ascii="Arabic Typesetting" w:eastAsia="Arabic Typesetting" w:hAnsi="Arabic Typesetting" w:cs="Arabic Typesetting"/>
                <w:color w:val="002060"/>
                <w:sz w:val="28"/>
                <w:szCs w:val="28"/>
                <w:rtl/>
                <w:lang w:eastAsia="ar-EG" w:bidi="ar-EG"/>
              </w:rPr>
              <w:t>62%</w:t>
            </w:r>
          </w:p>
          <w:p w14:paraId="5DDC4024" w14:textId="77777777" w:rsidR="00BD3831" w:rsidRPr="00C23C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23C31">
              <w:rPr>
                <w:rFonts w:ascii="Arabic Typesetting" w:eastAsia="Arabic Typesetting" w:hAnsi="Arabic Typesetting" w:cs="Arabic Typesetting"/>
                <w:i/>
                <w:iCs/>
                <w:color w:val="000000"/>
                <w:sz w:val="28"/>
                <w:szCs w:val="28"/>
                <w:rtl/>
                <w:lang w:eastAsia="ar-EG" w:bidi="ar-EG"/>
              </w:rPr>
              <w:t>‏أساس المقارنة الأصلي:</w:t>
            </w:r>
            <w:r w:rsidRPr="00C23C31">
              <w:rPr>
                <w:rFonts w:ascii="Arabic Typesetting" w:eastAsia="Arabic Typesetting" w:hAnsi="Arabic Typesetting" w:cs="Arabic Typesetting"/>
                <w:i/>
                <w:color w:val="000000"/>
                <w:sz w:val="28"/>
                <w:szCs w:val="28"/>
                <w:lang w:eastAsia="ar-EG" w:bidi="ar-EG"/>
              </w:rPr>
              <w:br/>
            </w:r>
            <w:r w:rsidRPr="00C23C31">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C23C31">
              <w:rPr>
                <w:rFonts w:ascii="Arabic Typesetting" w:eastAsia="Arabic Typesetting" w:hAnsi="Arabic Typesetting" w:cs="Arabic Typesetting"/>
                <w:sz w:val="28"/>
                <w:szCs w:val="28"/>
                <w:rtl/>
                <w:lang w:eastAsia="ar-EG" w:bidi="ar-EG"/>
              </w:rPr>
              <w:t>"1" 81.04%</w:t>
            </w:r>
            <w:r>
              <w:rPr>
                <w:rFonts w:ascii="Arabic Typesetting" w:eastAsia="Arabic Typesetting" w:hAnsi="Arabic Typesetting" w:cs="Arabic Typesetting"/>
                <w:sz w:val="28"/>
                <w:szCs w:val="28"/>
                <w:rtl/>
                <w:lang w:eastAsia="ar-EG" w:bidi="ar-EG"/>
              </w:rPr>
              <w:br/>
            </w:r>
            <w:r w:rsidRPr="00C23C31">
              <w:rPr>
                <w:rFonts w:ascii="Arabic Typesetting" w:eastAsia="Arabic Typesetting" w:hAnsi="Arabic Typesetting" w:cs="Arabic Typesetting"/>
                <w:sz w:val="28"/>
                <w:szCs w:val="28"/>
                <w:rtl/>
                <w:lang w:eastAsia="ar-EG" w:bidi="ar-EG"/>
              </w:rPr>
              <w:t>"2" 60.94%</w:t>
            </w:r>
          </w:p>
        </w:tc>
        <w:tc>
          <w:tcPr>
            <w:tcW w:w="1001" w:type="pct"/>
            <w:shd w:val="clear" w:color="auto" w:fill="auto"/>
            <w:tcMar>
              <w:top w:w="110" w:type="dxa"/>
              <w:left w:w="58" w:type="dxa"/>
              <w:right w:w="58" w:type="dxa"/>
            </w:tcMar>
          </w:tcPr>
          <w:p w14:paraId="65957AA5" w14:textId="77777777" w:rsidR="00BD3831" w:rsidRPr="00C23C31" w:rsidRDefault="00BD3831" w:rsidP="0031289D">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C23C31">
              <w:rPr>
                <w:rFonts w:ascii="Arabic Typesetting" w:eastAsia="Arabic Typesetting" w:hAnsi="Arabic Typesetting" w:cs="Arabic Typesetting"/>
                <w:color w:val="002060"/>
                <w:sz w:val="28"/>
                <w:szCs w:val="28"/>
                <w:rtl/>
                <w:lang w:eastAsia="ar-EG" w:bidi="ar-EG"/>
              </w:rPr>
              <w:t>"1" 80% من احتياجات التدريب مستوفاة ببرنامج تدريب</w:t>
            </w:r>
          </w:p>
          <w:p w14:paraId="328F01E1" w14:textId="77777777" w:rsidR="00BD3831" w:rsidRDefault="00BD3831" w:rsidP="0031289D">
            <w:pPr>
              <w:keepNext/>
              <w:keepLines/>
              <w:bidi/>
              <w:spacing w:after="120" w:line="280" w:lineRule="exact"/>
              <w:rPr>
                <w:rFonts w:ascii="Arabic Typesetting" w:eastAsia="Arabic Typesetting" w:hAnsi="Arabic Typesetting" w:cs="Arabic Typesetting"/>
                <w:color w:val="002060"/>
                <w:sz w:val="28"/>
                <w:szCs w:val="28"/>
                <w:lang w:eastAsia="ar-EG" w:bidi="ar-EG"/>
              </w:rPr>
            </w:pPr>
            <w:r w:rsidRPr="00C23C31">
              <w:rPr>
                <w:rFonts w:ascii="Arabic Typesetting" w:eastAsia="Arabic Typesetting" w:hAnsi="Arabic Typesetting" w:cs="Arabic Typesetting"/>
                <w:color w:val="002060"/>
                <w:sz w:val="28"/>
                <w:szCs w:val="28"/>
                <w:rtl/>
                <w:lang w:eastAsia="ar-EG" w:bidi="ar-EG"/>
              </w:rPr>
              <w:t>"2" 65% من احتياجات التدريب الفردية مستوفاة</w:t>
            </w:r>
          </w:p>
          <w:p w14:paraId="3347EAD5" w14:textId="77777777" w:rsidR="00BD3831" w:rsidRPr="00C23C3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i/>
                <w:iCs/>
                <w:sz w:val="28"/>
                <w:szCs w:val="28"/>
                <w:rtl/>
                <w:lang w:eastAsia="ar-EG" w:bidi="ar-EG"/>
              </w:rPr>
              <w:t>الهدف الأصلي:</w:t>
            </w:r>
            <w:r w:rsidRPr="00C23C31">
              <w:rPr>
                <w:rFonts w:ascii="Arabic Typesetting" w:eastAsia="Arabic Typesetting" w:hAnsi="Arabic Typesetting" w:cs="Arabic Typesetting"/>
                <w:sz w:val="28"/>
                <w:szCs w:val="28"/>
                <w:lang w:eastAsia="ar-EG" w:bidi="ar-EG"/>
              </w:rPr>
              <w:br/>
            </w:r>
            <w:r w:rsidRPr="00C23C31">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C23C31">
              <w:rPr>
                <w:rFonts w:ascii="Arabic Typesetting" w:eastAsia="Arabic Typesetting" w:hAnsi="Arabic Typesetting" w:cs="Arabic Typesetting"/>
                <w:color w:val="000000"/>
                <w:sz w:val="28"/>
                <w:szCs w:val="28"/>
                <w:rtl/>
                <w:lang w:eastAsia="ar-EG" w:bidi="ar-EG"/>
              </w:rPr>
              <w:t>‏"1" 60% من احتياجات التدريب مستوفاة ببرنامج تدريب</w:t>
            </w:r>
            <w:r w:rsidRPr="00C23C31">
              <w:rPr>
                <w:rFonts w:ascii="Arabic Typesetting" w:eastAsia="Arabic Typesetting" w:hAnsi="Arabic Typesetting" w:cs="Arabic Typesetting"/>
                <w:color w:val="000000"/>
                <w:sz w:val="28"/>
                <w:szCs w:val="28"/>
                <w:lang w:eastAsia="ar-EG" w:bidi="ar-EG"/>
              </w:rPr>
              <w:br/>
            </w:r>
            <w:r w:rsidRPr="00C23C31">
              <w:rPr>
                <w:rFonts w:ascii="Arabic Typesetting" w:eastAsia="Arabic Typesetting" w:hAnsi="Arabic Typesetting" w:cs="Arabic Typesetting"/>
                <w:color w:val="000000"/>
                <w:sz w:val="28"/>
                <w:szCs w:val="28"/>
                <w:rtl/>
                <w:lang w:eastAsia="ar-EG" w:bidi="ar-EG"/>
              </w:rPr>
              <w:t>"2" 65% من احتياجات التدريب الفردية مستوفاة</w:t>
            </w:r>
          </w:p>
        </w:tc>
        <w:tc>
          <w:tcPr>
            <w:tcW w:w="847" w:type="pct"/>
            <w:shd w:val="clear" w:color="auto" w:fill="FFFFFF"/>
            <w:tcMar>
              <w:top w:w="110" w:type="dxa"/>
              <w:left w:w="58" w:type="dxa"/>
              <w:right w:w="58" w:type="dxa"/>
            </w:tcMar>
          </w:tcPr>
          <w:p w14:paraId="6908BBE7" w14:textId="77777777" w:rsidR="00BD383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"1" 40.4%</w:t>
            </w:r>
          </w:p>
          <w:p w14:paraId="0F1D748C" w14:textId="77777777" w:rsidR="00BD3831" w:rsidRPr="00C23C3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23C31">
              <w:rPr>
                <w:rFonts w:ascii="Arabic Typesetting" w:eastAsia="Arabic Typesetting" w:hAnsi="Arabic Typesetting" w:cs="Arabic Typesetting"/>
                <w:color w:val="000000"/>
                <w:sz w:val="28"/>
                <w:szCs w:val="28"/>
                <w:rtl/>
                <w:lang w:eastAsia="ar-EG" w:bidi="ar-EG"/>
              </w:rPr>
              <w:t xml:space="preserve">"2" 60.4% </w:t>
            </w:r>
          </w:p>
        </w:tc>
        <w:tc>
          <w:tcPr>
            <w:tcW w:w="463" w:type="pct"/>
            <w:shd w:val="clear" w:color="auto" w:fill="auto"/>
            <w:tcMar>
              <w:top w:w="110" w:type="dxa"/>
              <w:left w:w="58" w:type="dxa"/>
              <w:right w:w="58" w:type="dxa"/>
            </w:tcMar>
          </w:tcPr>
          <w:p w14:paraId="780CDA59" w14:textId="77777777" w:rsidR="00BD3831"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C23C31">
              <w:rPr>
                <w:rFonts w:ascii="Arabic Typesetting" w:eastAsia="Arabic Typesetting" w:hAnsi="Arabic Typesetting" w:cs="Arabic Typesetting"/>
                <w:b/>
                <w:bCs/>
                <w:color w:val="00B050"/>
                <w:sz w:val="28"/>
                <w:szCs w:val="28"/>
                <w:rtl/>
                <w:lang w:eastAsia="ar-EG" w:bidi="ar-EG"/>
              </w:rPr>
              <w:t>ثابت</w:t>
            </w:r>
          </w:p>
          <w:p w14:paraId="20219114" w14:textId="77777777" w:rsidR="00BD3831" w:rsidRPr="00C23C31"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C23C31">
              <w:rPr>
                <w:rFonts w:ascii="Arabic Typesetting" w:eastAsia="Arabic Typesetting" w:hAnsi="Arabic Typesetting" w:cs="Arabic Typesetting"/>
                <w:b/>
                <w:bCs/>
                <w:color w:val="00B050"/>
                <w:sz w:val="28"/>
                <w:szCs w:val="28"/>
                <w:rtl/>
                <w:lang w:eastAsia="ar-EG" w:bidi="ar-EG"/>
              </w:rPr>
              <w:t>ثابت</w:t>
            </w:r>
          </w:p>
        </w:tc>
      </w:tr>
    </w:tbl>
    <w:p w14:paraId="788AECD8" w14:textId="77777777" w:rsidR="00BD3831" w:rsidRDefault="00BD3831" w:rsidP="0031289D">
      <w:pPr>
        <w:bidi/>
      </w:pPr>
    </w:p>
    <w:tbl>
      <w:tblPr>
        <w:tblStyle w:val="TableGrid"/>
        <w:bidiVisual/>
        <w:tblW w:w="0" w:type="auto"/>
        <w:tblLook w:val="04A0" w:firstRow="1" w:lastRow="0" w:firstColumn="1" w:lastColumn="0" w:noHBand="0" w:noVBand="1"/>
      </w:tblPr>
      <w:tblGrid>
        <w:gridCol w:w="9571"/>
      </w:tblGrid>
      <w:tr w:rsidR="00BD3831" w14:paraId="7E301DE3" w14:textId="77777777" w:rsidTr="00DF6715">
        <w:tc>
          <w:tcPr>
            <w:tcW w:w="9571" w:type="dxa"/>
            <w:tcBorders>
              <w:top w:val="nil"/>
              <w:left w:val="nil"/>
              <w:bottom w:val="nil"/>
              <w:right w:val="nil"/>
            </w:tcBorders>
            <w:shd w:val="clear" w:color="auto" w:fill="C6D9F1"/>
            <w:vAlign w:val="center"/>
          </w:tcPr>
          <w:p w14:paraId="04AD0F49" w14:textId="77777777" w:rsidR="00BD3831" w:rsidRPr="00A2672B" w:rsidRDefault="00BD3831" w:rsidP="000B74B5">
            <w:pPr>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23</w:t>
            </w:r>
          </w:p>
        </w:tc>
      </w:tr>
    </w:tbl>
    <w:p w14:paraId="16F77A6A" w14:textId="77777777" w:rsidR="00BD3831" w:rsidRPr="00FE3908" w:rsidRDefault="00BD3831" w:rsidP="000B74B5">
      <w:pPr>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2F1FEC2E" w14:textId="77777777" w:rsidR="00BD3831" w:rsidRDefault="00BD3831" w:rsidP="000B74B5">
      <w:pPr>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D3831" w:rsidRPr="00211D55" w14:paraId="5A2FD5F4" w14:textId="77777777" w:rsidTr="00DF6715">
        <w:trPr>
          <w:trHeight w:val="825"/>
        </w:trPr>
        <w:tc>
          <w:tcPr>
            <w:tcW w:w="2753" w:type="pct"/>
            <w:gridSpan w:val="2"/>
            <w:shd w:val="clear" w:color="auto" w:fill="C6D9F1"/>
            <w:noWrap/>
            <w:tcMar>
              <w:top w:w="15" w:type="dxa"/>
              <w:left w:w="15" w:type="dxa"/>
              <w:bottom w:w="0" w:type="dxa"/>
              <w:right w:w="15" w:type="dxa"/>
            </w:tcMar>
            <w:vAlign w:val="center"/>
            <w:hideMark/>
          </w:tcPr>
          <w:p w14:paraId="76B478F9" w14:textId="77777777" w:rsidR="00BD3831" w:rsidRPr="00A2672B" w:rsidRDefault="00BD3831" w:rsidP="000B74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0491E79D" w14:textId="77777777" w:rsidR="00BD3831" w:rsidRPr="00A2672B" w:rsidRDefault="00BD3831" w:rsidP="000B74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6C6F2EF3" w14:textId="77777777" w:rsidR="00BD3831" w:rsidRPr="00A2672B" w:rsidRDefault="00BD3831" w:rsidP="000B74B5">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006913F9" w14:textId="77777777" w:rsidR="00BD3831" w:rsidRPr="00A2672B" w:rsidRDefault="00BD3831" w:rsidP="000B74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D3831" w:rsidRPr="00211D55" w14:paraId="48C9D563" w14:textId="77777777" w:rsidTr="00DF6715">
        <w:trPr>
          <w:trHeight w:val="55"/>
        </w:trPr>
        <w:tc>
          <w:tcPr>
            <w:tcW w:w="413" w:type="pct"/>
            <w:shd w:val="clear" w:color="auto" w:fill="auto"/>
            <w:noWrap/>
            <w:tcMar>
              <w:top w:w="15" w:type="dxa"/>
              <w:left w:w="15" w:type="dxa"/>
              <w:bottom w:w="0" w:type="dxa"/>
              <w:right w:w="15" w:type="dxa"/>
            </w:tcMar>
          </w:tcPr>
          <w:p w14:paraId="782FC8B5" w14:textId="77777777" w:rsidR="00BD3831" w:rsidRPr="00C23C31" w:rsidRDefault="00BD3831" w:rsidP="000B74B5">
            <w:pPr>
              <w:bidi/>
              <w:spacing w:before="120" w:after="120"/>
              <w:rPr>
                <w:rFonts w:ascii="Arabic Typesetting" w:hAnsi="Arabic Typesetting" w:cs="Arabic Typesetting"/>
                <w:sz w:val="28"/>
                <w:szCs w:val="28"/>
              </w:rPr>
            </w:pPr>
            <w:r w:rsidRPr="00C23C31">
              <w:rPr>
                <w:rFonts w:ascii="Arabic Typesetting" w:hAnsi="Arabic Typesetting" w:cs="Arabic Typesetting"/>
                <w:sz w:val="28"/>
                <w:szCs w:val="28"/>
                <w:rtl/>
              </w:rPr>
              <w:t>ه1.9</w:t>
            </w:r>
          </w:p>
        </w:tc>
        <w:tc>
          <w:tcPr>
            <w:tcW w:w="2340" w:type="pct"/>
            <w:shd w:val="clear" w:color="auto" w:fill="auto"/>
            <w:tcMar>
              <w:top w:w="15" w:type="dxa"/>
              <w:left w:w="15" w:type="dxa"/>
              <w:bottom w:w="0" w:type="dxa"/>
              <w:right w:w="15" w:type="dxa"/>
            </w:tcMar>
          </w:tcPr>
          <w:p w14:paraId="5C33B286" w14:textId="77777777" w:rsidR="00BD3831" w:rsidRPr="00C23C31" w:rsidRDefault="00BD3831" w:rsidP="000B74B5">
            <w:pPr>
              <w:bidi/>
              <w:spacing w:before="120" w:after="120"/>
              <w:rPr>
                <w:rFonts w:ascii="Arabic Typesetting" w:hAnsi="Arabic Typesetting" w:cs="Arabic Typesetting"/>
                <w:sz w:val="28"/>
                <w:szCs w:val="28"/>
              </w:rPr>
            </w:pPr>
            <w:r w:rsidRPr="00C23C31">
              <w:rPr>
                <w:rFonts w:ascii="Arabic Typesetting" w:hAnsi="Arabic Typesetting" w:cs="Arabic Typesetting"/>
                <w:sz w:val="28"/>
                <w:szCs w:val="28"/>
                <w:rtl/>
              </w:rPr>
              <w:t>خدمات دعم موجهة للزبون بفعالية وكفاءة وجودة لفائدة الزبائن الداخليين وأصحاب المصلحة الخارجيين</w:t>
            </w:r>
          </w:p>
        </w:tc>
        <w:tc>
          <w:tcPr>
            <w:tcW w:w="749" w:type="pct"/>
            <w:shd w:val="clear" w:color="auto" w:fill="auto"/>
            <w:tcMar>
              <w:top w:w="15" w:type="dxa"/>
              <w:left w:w="15" w:type="dxa"/>
              <w:bottom w:w="0" w:type="dxa"/>
              <w:right w:w="15" w:type="dxa"/>
            </w:tcMar>
            <w:vAlign w:val="center"/>
          </w:tcPr>
          <w:p w14:paraId="4654B8BD" w14:textId="77777777" w:rsidR="00BD3831" w:rsidRPr="00C23C31" w:rsidRDefault="00BD3831" w:rsidP="000B74B5">
            <w:pPr>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12</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096</w:t>
            </w:r>
          </w:p>
        </w:tc>
        <w:tc>
          <w:tcPr>
            <w:tcW w:w="749" w:type="pct"/>
            <w:shd w:val="clear" w:color="auto" w:fill="auto"/>
            <w:tcMar>
              <w:top w:w="15" w:type="dxa"/>
              <w:left w:w="15" w:type="dxa"/>
              <w:bottom w:w="0" w:type="dxa"/>
              <w:right w:w="15" w:type="dxa"/>
            </w:tcMar>
            <w:vAlign w:val="center"/>
          </w:tcPr>
          <w:p w14:paraId="3B400061" w14:textId="77777777" w:rsidR="00BD3831" w:rsidRPr="00C23C31" w:rsidRDefault="00BD3831" w:rsidP="000B74B5">
            <w:pPr>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12</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426</w:t>
            </w:r>
          </w:p>
        </w:tc>
        <w:tc>
          <w:tcPr>
            <w:tcW w:w="749" w:type="pct"/>
            <w:shd w:val="clear" w:color="auto" w:fill="auto"/>
            <w:noWrap/>
            <w:tcMar>
              <w:top w:w="15" w:type="dxa"/>
              <w:left w:w="15" w:type="dxa"/>
              <w:bottom w:w="0" w:type="dxa"/>
              <w:right w:w="15" w:type="dxa"/>
            </w:tcMar>
            <w:vAlign w:val="center"/>
          </w:tcPr>
          <w:p w14:paraId="215B5B49" w14:textId="77777777" w:rsidR="00BD3831" w:rsidRPr="00C23C31" w:rsidRDefault="00BD3831" w:rsidP="000B74B5">
            <w:pPr>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5</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802</w:t>
            </w:r>
          </w:p>
        </w:tc>
      </w:tr>
      <w:tr w:rsidR="00BD3831" w:rsidRPr="00211D55" w14:paraId="4815367A" w14:textId="77777777" w:rsidTr="00DF6715">
        <w:trPr>
          <w:trHeight w:val="55"/>
        </w:trPr>
        <w:tc>
          <w:tcPr>
            <w:tcW w:w="413" w:type="pct"/>
            <w:shd w:val="clear" w:color="auto" w:fill="auto"/>
            <w:noWrap/>
            <w:tcMar>
              <w:top w:w="15" w:type="dxa"/>
              <w:left w:w="15" w:type="dxa"/>
              <w:bottom w:w="0" w:type="dxa"/>
              <w:right w:w="15" w:type="dxa"/>
            </w:tcMar>
          </w:tcPr>
          <w:p w14:paraId="020C16F4" w14:textId="77777777" w:rsidR="00BD3831" w:rsidRPr="00C23C31" w:rsidRDefault="00BD3831" w:rsidP="000B74B5">
            <w:pPr>
              <w:bidi/>
              <w:spacing w:before="120" w:after="120"/>
              <w:rPr>
                <w:rFonts w:ascii="Arabic Typesetting" w:hAnsi="Arabic Typesetting" w:cs="Arabic Typesetting"/>
                <w:sz w:val="28"/>
                <w:szCs w:val="28"/>
              </w:rPr>
            </w:pPr>
            <w:r w:rsidRPr="00C23C31">
              <w:rPr>
                <w:rFonts w:ascii="Arabic Typesetting" w:hAnsi="Arabic Typesetting" w:cs="Arabic Typesetting"/>
                <w:sz w:val="28"/>
                <w:szCs w:val="28"/>
                <w:rtl/>
              </w:rPr>
              <w:t>ه2.9</w:t>
            </w:r>
          </w:p>
        </w:tc>
        <w:tc>
          <w:tcPr>
            <w:tcW w:w="2340" w:type="pct"/>
            <w:shd w:val="clear" w:color="auto" w:fill="auto"/>
            <w:tcMar>
              <w:top w:w="15" w:type="dxa"/>
              <w:left w:w="15" w:type="dxa"/>
              <w:bottom w:w="0" w:type="dxa"/>
              <w:right w:w="15" w:type="dxa"/>
            </w:tcMar>
          </w:tcPr>
          <w:p w14:paraId="24D935E8" w14:textId="30E28741" w:rsidR="00BD3831" w:rsidRPr="00C23C31" w:rsidRDefault="002920A9" w:rsidP="000B74B5">
            <w:pPr>
              <w:bidi/>
              <w:spacing w:before="120" w:after="120"/>
              <w:rPr>
                <w:rFonts w:ascii="Arabic Typesetting" w:hAnsi="Arabic Typesetting" w:cs="Arabic Typesetting"/>
                <w:sz w:val="28"/>
                <w:szCs w:val="28"/>
              </w:rPr>
            </w:pPr>
            <w:r>
              <w:rPr>
                <w:rFonts w:ascii="Arabic Typesetting" w:hAnsi="Arabic Typesetting" w:cs="Arabic Typesetting"/>
                <w:sz w:val="28"/>
                <w:szCs w:val="28"/>
                <w:rtl/>
              </w:rPr>
              <w:t>أمانة نبيهة تعمل بسلاسة وموظفون يعملون تحت إدارة جيّدة وبمهارات مناسبة ويحققون النتائج بكفاءة</w:t>
            </w:r>
          </w:p>
        </w:tc>
        <w:tc>
          <w:tcPr>
            <w:tcW w:w="749" w:type="pct"/>
            <w:shd w:val="clear" w:color="auto" w:fill="auto"/>
            <w:tcMar>
              <w:top w:w="15" w:type="dxa"/>
              <w:left w:w="15" w:type="dxa"/>
              <w:bottom w:w="0" w:type="dxa"/>
              <w:right w:w="15" w:type="dxa"/>
            </w:tcMar>
            <w:vAlign w:val="center"/>
          </w:tcPr>
          <w:p w14:paraId="3BF5BFA7" w14:textId="77777777" w:rsidR="00BD3831" w:rsidRPr="00C23C31" w:rsidRDefault="00BD3831" w:rsidP="000B74B5">
            <w:pPr>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12</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521</w:t>
            </w:r>
          </w:p>
        </w:tc>
        <w:tc>
          <w:tcPr>
            <w:tcW w:w="749" w:type="pct"/>
            <w:shd w:val="clear" w:color="auto" w:fill="auto"/>
            <w:tcMar>
              <w:top w:w="15" w:type="dxa"/>
              <w:left w:w="15" w:type="dxa"/>
              <w:bottom w:w="0" w:type="dxa"/>
              <w:right w:w="15" w:type="dxa"/>
            </w:tcMar>
            <w:vAlign w:val="center"/>
          </w:tcPr>
          <w:p w14:paraId="5DC64740" w14:textId="77777777" w:rsidR="00BD3831" w:rsidRPr="00C23C31" w:rsidRDefault="00BD3831" w:rsidP="000B74B5">
            <w:pPr>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13</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233</w:t>
            </w:r>
          </w:p>
        </w:tc>
        <w:tc>
          <w:tcPr>
            <w:tcW w:w="749" w:type="pct"/>
            <w:shd w:val="clear" w:color="auto" w:fill="auto"/>
            <w:noWrap/>
            <w:tcMar>
              <w:top w:w="15" w:type="dxa"/>
              <w:left w:w="15" w:type="dxa"/>
              <w:bottom w:w="0" w:type="dxa"/>
              <w:right w:w="15" w:type="dxa"/>
            </w:tcMar>
            <w:vAlign w:val="center"/>
          </w:tcPr>
          <w:p w14:paraId="1AA85D6F" w14:textId="77777777" w:rsidR="00BD3831" w:rsidRPr="00C23C31" w:rsidRDefault="00BD3831" w:rsidP="000B74B5">
            <w:pPr>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12</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070</w:t>
            </w:r>
          </w:p>
        </w:tc>
      </w:tr>
      <w:tr w:rsidR="00BD3831" w:rsidRPr="00211D55" w14:paraId="2C541B47" w14:textId="77777777" w:rsidTr="00DF6715">
        <w:trPr>
          <w:trHeight w:val="225"/>
        </w:trPr>
        <w:tc>
          <w:tcPr>
            <w:tcW w:w="413" w:type="pct"/>
            <w:shd w:val="clear" w:color="auto" w:fill="C6D9F1"/>
            <w:noWrap/>
            <w:tcMar>
              <w:top w:w="15" w:type="dxa"/>
              <w:left w:w="15" w:type="dxa"/>
              <w:bottom w:w="0" w:type="dxa"/>
              <w:right w:w="15" w:type="dxa"/>
            </w:tcMar>
            <w:vAlign w:val="bottom"/>
            <w:hideMark/>
          </w:tcPr>
          <w:p w14:paraId="70D7C746" w14:textId="77777777" w:rsidR="00BD3831" w:rsidRPr="00211D55" w:rsidRDefault="00BD3831" w:rsidP="000B74B5">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2104CA48" w14:textId="77777777" w:rsidR="00BD3831" w:rsidRPr="00D41845" w:rsidRDefault="00BD3831" w:rsidP="000B74B5">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4FD0FDC1" w14:textId="77777777" w:rsidR="00BD3831" w:rsidRPr="00280D1A" w:rsidRDefault="00BD3831" w:rsidP="000B74B5">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24 617</w:t>
            </w:r>
          </w:p>
        </w:tc>
        <w:tc>
          <w:tcPr>
            <w:tcW w:w="749" w:type="pct"/>
            <w:shd w:val="clear" w:color="auto" w:fill="C6D9F1"/>
            <w:noWrap/>
            <w:tcMar>
              <w:top w:w="15" w:type="dxa"/>
              <w:left w:w="15" w:type="dxa"/>
              <w:bottom w:w="0" w:type="dxa"/>
              <w:right w:w="15" w:type="dxa"/>
            </w:tcMar>
            <w:vAlign w:val="center"/>
          </w:tcPr>
          <w:p w14:paraId="1FA3A789" w14:textId="77777777" w:rsidR="00BD3831" w:rsidRPr="00280D1A" w:rsidRDefault="00BD3831" w:rsidP="000B74B5">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25 659</w:t>
            </w:r>
          </w:p>
        </w:tc>
        <w:tc>
          <w:tcPr>
            <w:tcW w:w="749" w:type="pct"/>
            <w:shd w:val="clear" w:color="auto" w:fill="C6D9F1"/>
            <w:noWrap/>
            <w:tcMar>
              <w:top w:w="15" w:type="dxa"/>
              <w:left w:w="15" w:type="dxa"/>
              <w:bottom w:w="0" w:type="dxa"/>
              <w:right w:w="15" w:type="dxa"/>
            </w:tcMar>
            <w:vAlign w:val="center"/>
          </w:tcPr>
          <w:p w14:paraId="645F051D" w14:textId="77777777" w:rsidR="00BD3831" w:rsidRPr="00280D1A" w:rsidRDefault="00BD3831" w:rsidP="000B74B5">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17 873</w:t>
            </w:r>
          </w:p>
        </w:tc>
      </w:tr>
      <w:tr w:rsidR="00BD3831" w:rsidRPr="00211D55" w14:paraId="78A7065E" w14:textId="77777777" w:rsidTr="00DF6715">
        <w:trPr>
          <w:trHeight w:val="225"/>
        </w:trPr>
        <w:tc>
          <w:tcPr>
            <w:tcW w:w="5000" w:type="pct"/>
            <w:gridSpan w:val="5"/>
            <w:shd w:val="clear" w:color="auto" w:fill="auto"/>
            <w:noWrap/>
            <w:tcMar>
              <w:top w:w="15" w:type="dxa"/>
              <w:left w:w="15" w:type="dxa"/>
              <w:bottom w:w="0" w:type="dxa"/>
              <w:right w:w="15" w:type="dxa"/>
            </w:tcMar>
            <w:vAlign w:val="bottom"/>
          </w:tcPr>
          <w:p w14:paraId="31A7424B" w14:textId="77777777" w:rsidR="00BD3831" w:rsidRPr="00A2672B" w:rsidRDefault="00BD3831" w:rsidP="000B74B5">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3AAC3D29" w14:textId="77777777" w:rsidR="00BD3831" w:rsidRPr="00252762" w:rsidRDefault="00BD3831" w:rsidP="000B74B5">
      <w:pPr>
        <w:keepNext/>
        <w:keepLines/>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14:paraId="7CB30EDB" w14:textId="77777777" w:rsidR="00BD3831" w:rsidRPr="00DF1D8A" w:rsidRDefault="00BD3831" w:rsidP="000B74B5">
      <w:pPr>
        <w:keepNext/>
        <w:keepLines/>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BD3831" w:rsidRPr="00211D55" w14:paraId="4FEB7544" w14:textId="77777777" w:rsidTr="00DF6715">
        <w:trPr>
          <w:trHeight w:val="645"/>
        </w:trPr>
        <w:tc>
          <w:tcPr>
            <w:tcW w:w="1118" w:type="pct"/>
            <w:shd w:val="clear" w:color="auto" w:fill="C6D9F1"/>
            <w:noWrap/>
            <w:vAlign w:val="center"/>
            <w:hideMark/>
          </w:tcPr>
          <w:p w14:paraId="7C4DD3E7" w14:textId="77777777" w:rsidR="00BD3831" w:rsidRPr="00211D55" w:rsidRDefault="00BD3831" w:rsidP="000B74B5">
            <w:pPr>
              <w:keepNext/>
              <w:keepLines/>
              <w:bidi/>
              <w:jc w:val="center"/>
              <w:rPr>
                <w:rFonts w:ascii="Arabic Typesetting" w:hAnsi="Arabic Typesetting" w:cs="Arabic Typesetting"/>
                <w:b/>
                <w:bCs/>
                <w:i/>
                <w:iCs/>
                <w:sz w:val="28"/>
                <w:szCs w:val="28"/>
              </w:rPr>
            </w:pPr>
          </w:p>
        </w:tc>
        <w:tc>
          <w:tcPr>
            <w:tcW w:w="971" w:type="pct"/>
            <w:shd w:val="clear" w:color="auto" w:fill="C6D9F1"/>
            <w:vAlign w:val="center"/>
            <w:hideMark/>
          </w:tcPr>
          <w:p w14:paraId="50C737EF" w14:textId="77777777" w:rsidR="00BD3831" w:rsidRPr="00211D55" w:rsidRDefault="00BD3831" w:rsidP="000B74B5">
            <w:pPr>
              <w:keepNext/>
              <w:keepLines/>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05B99EC6" w14:textId="77777777" w:rsidR="00BD3831" w:rsidRPr="00211D55" w:rsidRDefault="00BD3831" w:rsidP="000B74B5">
            <w:pPr>
              <w:keepNext/>
              <w:keepLines/>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3D0CC854" w14:textId="77777777" w:rsidR="00BD3831" w:rsidRPr="00211D55" w:rsidRDefault="00BD3831" w:rsidP="000B74B5">
            <w:pPr>
              <w:keepNext/>
              <w:keepLines/>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2E6E1369" w14:textId="77777777" w:rsidR="00BD3831" w:rsidRPr="00211D55" w:rsidRDefault="00BD3831" w:rsidP="000B74B5">
            <w:pPr>
              <w:keepNext/>
              <w:keepLines/>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D3831" w:rsidRPr="00211D55" w14:paraId="08F1ACF3" w14:textId="77777777" w:rsidTr="00DF6715">
        <w:trPr>
          <w:trHeight w:val="70"/>
        </w:trPr>
        <w:tc>
          <w:tcPr>
            <w:tcW w:w="1118" w:type="pct"/>
            <w:shd w:val="clear" w:color="auto" w:fill="auto"/>
            <w:noWrap/>
            <w:vAlign w:val="center"/>
            <w:hideMark/>
          </w:tcPr>
          <w:p w14:paraId="16FE8E8B" w14:textId="77777777" w:rsidR="00BD3831" w:rsidRPr="00211D55" w:rsidRDefault="00BD3831" w:rsidP="000B74B5">
            <w:pPr>
              <w:keepNext/>
              <w:keepLines/>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3EAF1FFF" w14:textId="77777777" w:rsidR="00BD3831" w:rsidRPr="00C23C31" w:rsidRDefault="00BD3831" w:rsidP="000B74B5">
            <w:pPr>
              <w:keepNext/>
              <w:keepLines/>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18</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 xml:space="preserve">835 </w:t>
            </w:r>
          </w:p>
        </w:tc>
        <w:tc>
          <w:tcPr>
            <w:tcW w:w="971" w:type="pct"/>
            <w:shd w:val="clear" w:color="auto" w:fill="auto"/>
            <w:vAlign w:val="center"/>
          </w:tcPr>
          <w:p w14:paraId="5F6B47A3" w14:textId="77777777" w:rsidR="00BD3831" w:rsidRPr="00C23C31" w:rsidRDefault="00BD3831" w:rsidP="000B74B5">
            <w:pPr>
              <w:keepNext/>
              <w:keepLines/>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18</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 xml:space="preserve">968 </w:t>
            </w:r>
          </w:p>
        </w:tc>
        <w:tc>
          <w:tcPr>
            <w:tcW w:w="970" w:type="pct"/>
            <w:shd w:val="clear" w:color="auto" w:fill="auto"/>
            <w:vAlign w:val="center"/>
          </w:tcPr>
          <w:p w14:paraId="31A8156D" w14:textId="77777777" w:rsidR="00BD3831" w:rsidRPr="00C23C31" w:rsidRDefault="00BD3831" w:rsidP="000B74B5">
            <w:pPr>
              <w:keepNext/>
              <w:keepLines/>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14</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 xml:space="preserve">901 </w:t>
            </w:r>
          </w:p>
        </w:tc>
        <w:tc>
          <w:tcPr>
            <w:tcW w:w="970" w:type="pct"/>
            <w:shd w:val="clear" w:color="auto" w:fill="auto"/>
            <w:vAlign w:val="center"/>
          </w:tcPr>
          <w:p w14:paraId="184ACEF1" w14:textId="77777777" w:rsidR="00BD3831" w:rsidRPr="00C23C31" w:rsidRDefault="00BD3831" w:rsidP="000B74B5">
            <w:pPr>
              <w:keepNext/>
              <w:keepLines/>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%79</w:t>
            </w:r>
          </w:p>
        </w:tc>
      </w:tr>
      <w:tr w:rsidR="00BD3831" w:rsidRPr="00211D55" w14:paraId="392C5422" w14:textId="77777777" w:rsidTr="00DF6715">
        <w:trPr>
          <w:trHeight w:val="70"/>
        </w:trPr>
        <w:tc>
          <w:tcPr>
            <w:tcW w:w="1118" w:type="pct"/>
            <w:shd w:val="clear" w:color="auto" w:fill="auto"/>
            <w:noWrap/>
            <w:vAlign w:val="center"/>
            <w:hideMark/>
          </w:tcPr>
          <w:p w14:paraId="3A849F00" w14:textId="77777777" w:rsidR="00BD3831" w:rsidRPr="00211D55" w:rsidRDefault="00BD3831" w:rsidP="000B74B5">
            <w:pPr>
              <w:keepNext/>
              <w:keepLines/>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0CD489BC" w14:textId="77777777" w:rsidR="00BD3831" w:rsidRPr="00C23C31" w:rsidRDefault="00BD3831" w:rsidP="000B74B5">
            <w:pPr>
              <w:keepNext/>
              <w:keepLines/>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5</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 xml:space="preserve">782 </w:t>
            </w:r>
          </w:p>
        </w:tc>
        <w:tc>
          <w:tcPr>
            <w:tcW w:w="971" w:type="pct"/>
            <w:shd w:val="clear" w:color="auto" w:fill="auto"/>
            <w:vAlign w:val="center"/>
          </w:tcPr>
          <w:p w14:paraId="50B4B6C1" w14:textId="77777777" w:rsidR="00BD3831" w:rsidRPr="00C23C31" w:rsidRDefault="00BD3831" w:rsidP="000B74B5">
            <w:pPr>
              <w:keepNext/>
              <w:keepLines/>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6</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 xml:space="preserve">691 </w:t>
            </w:r>
          </w:p>
        </w:tc>
        <w:tc>
          <w:tcPr>
            <w:tcW w:w="970" w:type="pct"/>
            <w:shd w:val="clear" w:color="auto" w:fill="auto"/>
            <w:vAlign w:val="center"/>
          </w:tcPr>
          <w:p w14:paraId="3FD3F290" w14:textId="77777777" w:rsidR="00BD3831" w:rsidRPr="00C23C31" w:rsidRDefault="00BD3831" w:rsidP="000B74B5">
            <w:pPr>
              <w:keepNext/>
              <w:keepLines/>
              <w:jc w:val="center"/>
              <w:rPr>
                <w:rFonts w:ascii="Arabic Typesetting" w:hAnsi="Arabic Typesetting" w:cs="Arabic Typesetting"/>
                <w:color w:val="000000"/>
                <w:sz w:val="28"/>
                <w:szCs w:val="28"/>
              </w:rPr>
            </w:pPr>
            <w:r w:rsidRPr="00C23C31">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C23C31">
              <w:rPr>
                <w:rFonts w:ascii="Arabic Typesetting" w:hAnsi="Arabic Typesetting" w:cs="Arabic Typesetting"/>
                <w:color w:val="000000"/>
                <w:sz w:val="28"/>
                <w:szCs w:val="28"/>
              </w:rPr>
              <w:t xml:space="preserve">972 </w:t>
            </w:r>
          </w:p>
        </w:tc>
        <w:tc>
          <w:tcPr>
            <w:tcW w:w="970" w:type="pct"/>
            <w:shd w:val="clear" w:color="auto" w:fill="auto"/>
            <w:vAlign w:val="center"/>
          </w:tcPr>
          <w:p w14:paraId="410D6018" w14:textId="77777777" w:rsidR="00BD3831" w:rsidRPr="00C23C31" w:rsidRDefault="00BD3831" w:rsidP="000B74B5">
            <w:pPr>
              <w:keepNext/>
              <w:keepLines/>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%44</w:t>
            </w:r>
          </w:p>
        </w:tc>
      </w:tr>
      <w:tr w:rsidR="00BD3831" w:rsidRPr="00211D55" w14:paraId="3BD2ABDC" w14:textId="77777777" w:rsidTr="00B21943">
        <w:trPr>
          <w:trHeight w:val="70"/>
        </w:trPr>
        <w:tc>
          <w:tcPr>
            <w:tcW w:w="1118" w:type="pct"/>
            <w:shd w:val="clear" w:color="auto" w:fill="C6D9F1"/>
            <w:noWrap/>
            <w:vAlign w:val="center"/>
            <w:hideMark/>
          </w:tcPr>
          <w:p w14:paraId="74A466E7" w14:textId="77777777" w:rsidR="00BD3831" w:rsidRPr="00211D55" w:rsidRDefault="00BD3831" w:rsidP="000B74B5">
            <w:pPr>
              <w:keepNext/>
              <w:keepLines/>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620CA1DA" w14:textId="77777777" w:rsidR="00BD3831" w:rsidRPr="00C23C31" w:rsidRDefault="00BD3831" w:rsidP="000B74B5">
            <w:pPr>
              <w:keepNext/>
              <w:keepLines/>
              <w:jc w:val="center"/>
              <w:rPr>
                <w:rFonts w:ascii="Arabic Typesetting" w:hAnsi="Arabic Typesetting" w:cs="Arabic Typesetting"/>
                <w:b/>
                <w:bCs/>
                <w:color w:val="000000"/>
                <w:sz w:val="28"/>
                <w:szCs w:val="28"/>
              </w:rPr>
            </w:pPr>
            <w:r w:rsidRPr="00C23C31">
              <w:rPr>
                <w:rFonts w:ascii="Arabic Typesetting" w:hAnsi="Arabic Typesetting" w:cs="Arabic Typesetting"/>
                <w:b/>
                <w:bCs/>
                <w:color w:val="000000"/>
                <w:sz w:val="28"/>
                <w:szCs w:val="28"/>
              </w:rPr>
              <w:t>24</w:t>
            </w:r>
            <w:r>
              <w:rPr>
                <w:rFonts w:ascii="Arabic Typesetting" w:hAnsi="Arabic Typesetting" w:cs="Arabic Typesetting"/>
                <w:b/>
                <w:bCs/>
                <w:color w:val="000000"/>
                <w:sz w:val="28"/>
                <w:szCs w:val="28"/>
              </w:rPr>
              <w:t> </w:t>
            </w:r>
            <w:r w:rsidRPr="00C23C31">
              <w:rPr>
                <w:rFonts w:ascii="Arabic Typesetting" w:hAnsi="Arabic Typesetting" w:cs="Arabic Typesetting"/>
                <w:b/>
                <w:bCs/>
                <w:color w:val="000000"/>
                <w:sz w:val="28"/>
                <w:szCs w:val="28"/>
              </w:rPr>
              <w:t xml:space="preserve">617 </w:t>
            </w:r>
          </w:p>
        </w:tc>
        <w:tc>
          <w:tcPr>
            <w:tcW w:w="971" w:type="pct"/>
            <w:shd w:val="clear" w:color="auto" w:fill="C6D9F1"/>
            <w:vAlign w:val="center"/>
          </w:tcPr>
          <w:p w14:paraId="19AA24CE" w14:textId="77777777" w:rsidR="00BD3831" w:rsidRPr="00C23C31" w:rsidRDefault="00BD3831" w:rsidP="000B74B5">
            <w:pPr>
              <w:keepNext/>
              <w:keepLines/>
              <w:jc w:val="center"/>
              <w:rPr>
                <w:rFonts w:ascii="Arabic Typesetting" w:hAnsi="Arabic Typesetting" w:cs="Arabic Typesetting"/>
                <w:b/>
                <w:bCs/>
                <w:color w:val="000000"/>
                <w:sz w:val="28"/>
                <w:szCs w:val="28"/>
              </w:rPr>
            </w:pPr>
            <w:r w:rsidRPr="00C23C31">
              <w:rPr>
                <w:rFonts w:ascii="Arabic Typesetting" w:hAnsi="Arabic Typesetting" w:cs="Arabic Typesetting"/>
                <w:b/>
                <w:bCs/>
                <w:color w:val="000000"/>
                <w:sz w:val="28"/>
                <w:szCs w:val="28"/>
              </w:rPr>
              <w:t>25</w:t>
            </w:r>
            <w:r>
              <w:rPr>
                <w:rFonts w:ascii="Arabic Typesetting" w:hAnsi="Arabic Typesetting" w:cs="Arabic Typesetting"/>
                <w:b/>
                <w:bCs/>
                <w:color w:val="000000"/>
                <w:sz w:val="28"/>
                <w:szCs w:val="28"/>
              </w:rPr>
              <w:t> </w:t>
            </w:r>
            <w:r w:rsidRPr="00C23C31">
              <w:rPr>
                <w:rFonts w:ascii="Arabic Typesetting" w:hAnsi="Arabic Typesetting" w:cs="Arabic Typesetting"/>
                <w:b/>
                <w:bCs/>
                <w:color w:val="000000"/>
                <w:sz w:val="28"/>
                <w:szCs w:val="28"/>
              </w:rPr>
              <w:t xml:space="preserve">659 </w:t>
            </w:r>
          </w:p>
        </w:tc>
        <w:tc>
          <w:tcPr>
            <w:tcW w:w="970" w:type="pct"/>
            <w:shd w:val="clear" w:color="auto" w:fill="C6D9F1"/>
            <w:vAlign w:val="center"/>
          </w:tcPr>
          <w:p w14:paraId="2F52A8EF" w14:textId="77777777" w:rsidR="00BD3831" w:rsidRPr="00C23C31" w:rsidRDefault="00BD3831" w:rsidP="000B74B5">
            <w:pPr>
              <w:keepNext/>
              <w:keepLines/>
              <w:jc w:val="center"/>
              <w:rPr>
                <w:rFonts w:ascii="Arabic Typesetting" w:hAnsi="Arabic Typesetting" w:cs="Arabic Typesetting"/>
                <w:b/>
                <w:bCs/>
                <w:color w:val="000000"/>
                <w:sz w:val="28"/>
                <w:szCs w:val="28"/>
              </w:rPr>
            </w:pPr>
            <w:r w:rsidRPr="00C23C31">
              <w:rPr>
                <w:rFonts w:ascii="Arabic Typesetting" w:hAnsi="Arabic Typesetting" w:cs="Arabic Typesetting"/>
                <w:b/>
                <w:bCs/>
                <w:color w:val="000000"/>
                <w:sz w:val="28"/>
                <w:szCs w:val="28"/>
              </w:rPr>
              <w:t>17</w:t>
            </w:r>
            <w:r>
              <w:rPr>
                <w:rFonts w:ascii="Arabic Typesetting" w:hAnsi="Arabic Typesetting" w:cs="Arabic Typesetting"/>
                <w:b/>
                <w:bCs/>
                <w:color w:val="000000"/>
                <w:sz w:val="28"/>
                <w:szCs w:val="28"/>
              </w:rPr>
              <w:t> </w:t>
            </w:r>
            <w:r w:rsidRPr="00C23C31">
              <w:rPr>
                <w:rFonts w:ascii="Arabic Typesetting" w:hAnsi="Arabic Typesetting" w:cs="Arabic Typesetting"/>
                <w:b/>
                <w:bCs/>
                <w:color w:val="000000"/>
                <w:sz w:val="28"/>
                <w:szCs w:val="28"/>
              </w:rPr>
              <w:t xml:space="preserve">873 </w:t>
            </w:r>
          </w:p>
        </w:tc>
        <w:tc>
          <w:tcPr>
            <w:tcW w:w="970" w:type="pct"/>
            <w:shd w:val="clear" w:color="auto" w:fill="C6D9F1"/>
            <w:vAlign w:val="center"/>
          </w:tcPr>
          <w:p w14:paraId="1127B836" w14:textId="77777777" w:rsidR="00BD3831" w:rsidRPr="00C23C31" w:rsidRDefault="00BD3831" w:rsidP="000B74B5">
            <w:pPr>
              <w:keepNext/>
              <w:keepLines/>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%70</w:t>
            </w:r>
          </w:p>
        </w:tc>
      </w:tr>
      <w:tr w:rsidR="00BD3831" w:rsidRPr="00211D55" w14:paraId="1F5DD2CB" w14:textId="77777777" w:rsidTr="00DF6715">
        <w:trPr>
          <w:trHeight w:val="540"/>
        </w:trPr>
        <w:tc>
          <w:tcPr>
            <w:tcW w:w="5000" w:type="pct"/>
            <w:gridSpan w:val="5"/>
            <w:shd w:val="clear" w:color="auto" w:fill="auto"/>
            <w:noWrap/>
            <w:vAlign w:val="center"/>
          </w:tcPr>
          <w:p w14:paraId="1C17F243" w14:textId="77777777" w:rsidR="00BD3831" w:rsidRDefault="00BD3831" w:rsidP="000B74B5">
            <w:pPr>
              <w:keepNext/>
              <w:keepLines/>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5DB5B7EC" w14:textId="77777777" w:rsidR="00BD3831" w:rsidRPr="00D41845" w:rsidRDefault="00BD3831" w:rsidP="000B74B5">
            <w:pPr>
              <w:keepNext/>
              <w:keepLines/>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6D6C8B76" w14:textId="77777777" w:rsidR="00BD3831" w:rsidRPr="00706F20" w:rsidRDefault="00BD3831"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782F2646" w14:textId="77777777" w:rsidR="00BD3831" w:rsidRPr="00C23C31" w:rsidRDefault="00BD3831" w:rsidP="00D94CDB">
      <w:pPr>
        <w:keepNext/>
        <w:numPr>
          <w:ilvl w:val="1"/>
          <w:numId w:val="91"/>
        </w:numPr>
        <w:bidi/>
        <w:spacing w:after="240" w:line="360" w:lineRule="exact"/>
        <w:ind w:left="0" w:hanging="1"/>
        <w:rPr>
          <w:rFonts w:ascii="Arabic Typesetting" w:hAnsi="Arabic Typesetting" w:cs="Arabic Typesetting"/>
          <w:sz w:val="34"/>
          <w:szCs w:val="34"/>
          <w:rtl/>
        </w:rPr>
      </w:pPr>
      <w:r w:rsidRPr="00C23C31">
        <w:rPr>
          <w:rFonts w:ascii="Arabic Typesetting" w:hAnsi="Arabic Typesetting" w:cs="Arabic Typesetting"/>
          <w:sz w:val="34"/>
          <w:szCs w:val="34"/>
          <w:rtl/>
        </w:rPr>
        <w:t>تُعزى الزيادة في موارد الموظفين مقارنة بالميزانية المعتمدة 2016/17 أساساً إلى تسوية وظيفة مستمرة وإعادة تصنيف منصب واحد</w:t>
      </w:r>
      <w:r w:rsidRPr="00C23C31">
        <w:rPr>
          <w:rFonts w:ascii="Arabic Typesetting" w:hAnsi="Arabic Typesetting" w:cs="Arabic Typesetting"/>
          <w:sz w:val="34"/>
          <w:szCs w:val="34"/>
        </w:rPr>
        <w:t>.</w:t>
      </w:r>
    </w:p>
    <w:p w14:paraId="43DC47BC" w14:textId="77777777" w:rsidR="00BD3831" w:rsidRDefault="00BD3831" w:rsidP="00D94CDB">
      <w:pPr>
        <w:keepNext/>
        <w:numPr>
          <w:ilvl w:val="1"/>
          <w:numId w:val="91"/>
        </w:numPr>
        <w:bidi/>
        <w:spacing w:after="240" w:line="360" w:lineRule="exact"/>
        <w:ind w:left="0" w:hanging="1"/>
        <w:rPr>
          <w:rFonts w:ascii="Arabic Typesetting" w:hAnsi="Arabic Typesetting" w:cs="Arabic Typesetting"/>
          <w:sz w:val="34"/>
          <w:szCs w:val="34"/>
        </w:rPr>
      </w:pPr>
      <w:r w:rsidRPr="00C23C31">
        <w:rPr>
          <w:rFonts w:ascii="Arabic Typesetting" w:hAnsi="Arabic Typesetting" w:cs="Arabic Typesetting"/>
          <w:sz w:val="34"/>
          <w:szCs w:val="34"/>
          <w:rtl/>
        </w:rPr>
        <w:t xml:space="preserve">وتُعزى الزيادة في </w:t>
      </w:r>
      <w:r>
        <w:rPr>
          <w:rFonts w:ascii="Arabic Typesetting" w:hAnsi="Arabic Typesetting" w:cs="Arabic Typesetting" w:hint="cs"/>
          <w:sz w:val="34"/>
          <w:szCs w:val="34"/>
          <w:rtl/>
        </w:rPr>
        <w:t>بند خلاف موارد</w:t>
      </w:r>
      <w:r w:rsidRPr="00C23C31">
        <w:rPr>
          <w:rFonts w:ascii="Arabic Typesetting" w:hAnsi="Arabic Typesetting" w:cs="Arabic Typesetting"/>
          <w:sz w:val="34"/>
          <w:szCs w:val="34"/>
          <w:rtl/>
        </w:rPr>
        <w:t xml:space="preserve"> الموظفين مقارنة بالميزانية المعتمدة</w:t>
      </w:r>
      <w:r>
        <w:rPr>
          <w:rFonts w:ascii="Arabic Typesetting" w:hAnsi="Arabic Typesetting" w:cs="Arabic Typesetting"/>
          <w:sz w:val="34"/>
          <w:szCs w:val="34"/>
          <w:rtl/>
        </w:rPr>
        <w:t xml:space="preserve"> 2016/17 أساساً إلى ضرورة تمويل</w:t>
      </w:r>
      <w:r w:rsidRPr="00C23C31">
        <w:rPr>
          <w:rFonts w:ascii="Arabic Typesetting" w:hAnsi="Arabic Typesetting" w:cs="Arabic Typesetting"/>
          <w:sz w:val="34"/>
          <w:szCs w:val="34"/>
          <w:rtl/>
        </w:rPr>
        <w:t xml:space="preserve"> "1"</w:t>
      </w:r>
      <w:r>
        <w:rPr>
          <w:rFonts w:ascii="Arabic Typesetting" w:hAnsi="Arabic Typesetting" w:cs="Arabic Typesetting" w:hint="cs"/>
          <w:sz w:val="34"/>
          <w:szCs w:val="34"/>
          <w:rtl/>
        </w:rPr>
        <w:t> </w:t>
      </w:r>
      <w:r w:rsidRPr="00C23C31">
        <w:rPr>
          <w:rFonts w:ascii="Arabic Typesetting" w:hAnsi="Arabic Typesetting" w:cs="Arabic Typesetting"/>
          <w:sz w:val="34"/>
          <w:szCs w:val="34"/>
          <w:rtl/>
        </w:rPr>
        <w:t>الدورة الثالثة والثمانين للجنة الخدمة المدنية الدولية؛ "2" وتنظيم حلقة عمل بشأن قضايا الجنسين لمندوبي الويبو وحدث جانبي وقت الغداء بشأن "النساء والملكية الفكرية" خلال الجمعيات؛ "3" وجمع البيانات في سياق تعميم المنظور الجنساني في الويبو؛ "4" وإجراء استقصاء عن إدارة الوقت؛ "5" ومجلس الويبو للطعون؛ "6" ومعالجة منح التعليم وتحصيل المستحقات الخاصة بأقساط التأمين الصحي بعد الخدمة وتطبيق مجموعة عناصر الأجر الجديدة للجنة الخدمة المدنية الدولية وتوفير خدمات طبية ميدانية؛ "7" وعمليات تقييم السلامة والصحة المهنيتين؛ "8" وزيادة تكاليف الأنشطة المشتركة مع</w:t>
      </w:r>
      <w:r>
        <w:rPr>
          <w:rFonts w:ascii="Arabic Typesetting" w:hAnsi="Arabic Typesetting" w:cs="Arabic Typesetting" w:hint="cs"/>
          <w:sz w:val="34"/>
          <w:szCs w:val="34"/>
          <w:rtl/>
        </w:rPr>
        <w:t> </w:t>
      </w:r>
      <w:r w:rsidRPr="00C23C31">
        <w:rPr>
          <w:rFonts w:ascii="Arabic Typesetting" w:hAnsi="Arabic Typesetting" w:cs="Arabic Typesetting"/>
          <w:sz w:val="34"/>
          <w:szCs w:val="34"/>
          <w:rtl/>
        </w:rPr>
        <w:t>الأمم المتحدة.</w:t>
      </w:r>
    </w:p>
    <w:p w14:paraId="74B8DE52" w14:textId="77777777" w:rsidR="00BD3831" w:rsidRPr="00706F20" w:rsidRDefault="00BD3831"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7335E69F" w14:textId="77777777" w:rsidR="00BD3831" w:rsidRPr="00C23C31" w:rsidRDefault="00BD3831" w:rsidP="00D94CDB">
      <w:pPr>
        <w:numPr>
          <w:ilvl w:val="1"/>
          <w:numId w:val="91"/>
        </w:numPr>
        <w:bidi/>
        <w:spacing w:after="240" w:line="360" w:lineRule="exact"/>
        <w:ind w:left="0" w:hanging="1"/>
        <w:rPr>
          <w:rFonts w:ascii="Arabic Typesetting" w:hAnsi="Arabic Typesetting" w:cs="Arabic Typesetting"/>
          <w:sz w:val="34"/>
          <w:szCs w:val="34"/>
          <w:rtl/>
        </w:rPr>
      </w:pPr>
      <w:r w:rsidRPr="00C23C31">
        <w:rPr>
          <w:rFonts w:ascii="Arabic Typesetting" w:hAnsi="Arabic Typesetting" w:cs="Arabic Typesetting"/>
          <w:sz w:val="34"/>
          <w:szCs w:val="34"/>
          <w:rtl/>
        </w:rPr>
        <w:t>بلغت نسبة استخدام ميزانية الموظفين 79 بالمئة وتشمل تخصيص اعتماد لتكاليف التقاضي قدره 6.2 مليون فرنك</w:t>
      </w:r>
      <w:r>
        <w:rPr>
          <w:rFonts w:ascii="Arabic Typesetting" w:hAnsi="Arabic Typesetting" w:cs="Arabic Typesetting" w:hint="cs"/>
          <w:sz w:val="34"/>
          <w:szCs w:val="34"/>
          <w:rtl/>
        </w:rPr>
        <w:t> </w:t>
      </w:r>
      <w:r w:rsidRPr="00C23C31">
        <w:rPr>
          <w:rFonts w:ascii="Arabic Typesetting" w:hAnsi="Arabic Typesetting" w:cs="Arabic Typesetting"/>
          <w:sz w:val="34"/>
          <w:szCs w:val="34"/>
          <w:rtl/>
        </w:rPr>
        <w:t>سويسري</w:t>
      </w:r>
      <w:r w:rsidRPr="00C23C31">
        <w:rPr>
          <w:rFonts w:ascii="Arabic Typesetting" w:hAnsi="Arabic Typesetting" w:cs="Arabic Typesetting"/>
          <w:sz w:val="34"/>
          <w:szCs w:val="34"/>
        </w:rPr>
        <w:t>.</w:t>
      </w:r>
    </w:p>
    <w:p w14:paraId="75DD6542" w14:textId="77777777" w:rsidR="00BD3831" w:rsidRDefault="00BD3831" w:rsidP="00D94CDB">
      <w:pPr>
        <w:numPr>
          <w:ilvl w:val="1"/>
          <w:numId w:val="91"/>
        </w:numPr>
        <w:bidi/>
        <w:spacing w:after="240" w:line="360" w:lineRule="exact"/>
        <w:ind w:left="0" w:hanging="1"/>
        <w:rPr>
          <w:rFonts w:ascii="Arabic Typesetting" w:hAnsi="Arabic Typesetting" w:cs="Arabic Typesetting"/>
          <w:sz w:val="34"/>
          <w:szCs w:val="34"/>
          <w:rtl/>
        </w:rPr>
      </w:pPr>
      <w:r w:rsidRPr="00C23C31">
        <w:rPr>
          <w:rFonts w:ascii="Arabic Typesetting" w:hAnsi="Arabic Typesetting" w:cs="Arabic Typesetting"/>
          <w:sz w:val="34"/>
          <w:szCs w:val="34"/>
          <w:rtl/>
        </w:rPr>
        <w:t>وكانت نسبة استخدام خلاف موارد الموظفين ضمن النطاق المتوقع المتراوح بين 40 و60 بالمئة للسنة الأولى من الثنائية.</w:t>
      </w:r>
    </w:p>
    <w:p w14:paraId="49828CC9" w14:textId="46E8B4F2" w:rsidR="00BD3831" w:rsidRDefault="00BD3831"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6493091C" w14:textId="77777777" w:rsidR="00BD3831" w:rsidRPr="00254297" w:rsidRDefault="00BD3831" w:rsidP="00DA7DF7">
      <w:pPr>
        <w:pStyle w:val="Heading3"/>
        <w:ind w:left="1984" w:hanging="1984"/>
        <w:rPr>
          <w:rtl/>
          <w:lang w:bidi="ar-EG"/>
        </w:rPr>
      </w:pPr>
      <w:bookmarkStart w:id="54" w:name="_Toc482782777"/>
      <w:r w:rsidRPr="00254297">
        <w:rPr>
          <w:rtl/>
        </w:rPr>
        <w:lastRenderedPageBreak/>
        <w:t>البرنامج</w:t>
      </w:r>
      <w:r>
        <w:rPr>
          <w:rFonts w:hint="cs"/>
          <w:rtl/>
        </w:rPr>
        <w:t xml:space="preserve"> 24</w:t>
      </w:r>
      <w:r w:rsidRPr="00254297">
        <w:rPr>
          <w:rFonts w:hint="cs"/>
          <w:rtl/>
        </w:rPr>
        <w:t>:</w:t>
      </w:r>
      <w:r w:rsidRPr="00254297">
        <w:tab/>
      </w:r>
      <w:r w:rsidRPr="006751AA">
        <w:rPr>
          <w:rtl/>
        </w:rPr>
        <w:t>خدمات الدعم العامة</w:t>
      </w:r>
      <w:bookmarkEnd w:id="54"/>
    </w:p>
    <w:p w14:paraId="77D15B20" w14:textId="77777777" w:rsidR="00BD3831" w:rsidRDefault="00BD3831"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6751AA">
        <w:rPr>
          <w:rFonts w:ascii="Arabic Typesetting" w:hAnsi="Arabic Typesetting" w:cs="Arabic Typesetting"/>
          <w:b/>
          <w:bCs/>
          <w:sz w:val="36"/>
          <w:szCs w:val="36"/>
          <w:rtl/>
          <w:lang w:val="fr-CH"/>
        </w:rPr>
        <w:t>السيد أمبي سوندارام</w:t>
      </w:r>
    </w:p>
    <w:p w14:paraId="35A1C04E" w14:textId="77777777" w:rsidR="00BD3831" w:rsidRDefault="00BD3831"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14643D41" wp14:editId="648E9A03">
            <wp:extent cx="3592185"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92185" cy="2160000"/>
                    </a:xfrm>
                    <a:prstGeom prst="rect">
                      <a:avLst/>
                    </a:prstGeom>
                    <a:noFill/>
                  </pic:spPr>
                </pic:pic>
              </a:graphicData>
            </a:graphic>
          </wp:inline>
        </w:drawing>
      </w:r>
    </w:p>
    <w:tbl>
      <w:tblPr>
        <w:bidiVisual/>
        <w:tblW w:w="5015" w:type="pct"/>
        <w:tblInd w:w="58" w:type="dxa"/>
        <w:tblLayout w:type="fixed"/>
        <w:tblCellMar>
          <w:left w:w="115" w:type="dxa"/>
          <w:right w:w="115" w:type="dxa"/>
        </w:tblCellMar>
        <w:tblLook w:val="0000" w:firstRow="0" w:lastRow="0" w:firstColumn="0" w:lastColumn="0" w:noHBand="0" w:noVBand="0"/>
      </w:tblPr>
      <w:tblGrid>
        <w:gridCol w:w="2046"/>
        <w:gridCol w:w="141"/>
        <w:gridCol w:w="2494"/>
        <w:gridCol w:w="1643"/>
        <w:gridCol w:w="623"/>
        <w:gridCol w:w="1548"/>
        <w:gridCol w:w="293"/>
        <w:gridCol w:w="711"/>
      </w:tblGrid>
      <w:tr w:rsidR="00BD3831" w:rsidRPr="006751AA" w14:paraId="5B4853E7" w14:textId="77777777" w:rsidTr="00DF6715">
        <w:trPr>
          <w:cantSplit/>
          <w:trHeight w:val="565"/>
        </w:trPr>
        <w:tc>
          <w:tcPr>
            <w:tcW w:w="5000" w:type="pct"/>
            <w:gridSpan w:val="8"/>
            <w:shd w:val="clear" w:color="auto" w:fill="C6D9F1"/>
            <w:tcMar>
              <w:left w:w="58" w:type="dxa"/>
              <w:right w:w="58" w:type="dxa"/>
            </w:tcMar>
            <w:vAlign w:val="center"/>
          </w:tcPr>
          <w:p w14:paraId="195B368C" w14:textId="77777777" w:rsidR="00BD3831" w:rsidRPr="006751AA"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‏النتيجة المرتقبة:</w:t>
            </w:r>
            <w:r w:rsidRPr="006751AA">
              <w:rPr>
                <w:rFonts w:ascii="Arabic Typesetting" w:eastAsia="Arabic Typesetting" w:hAnsi="Arabic Typesetting" w:cs="Arabic Typesetting"/>
                <w:sz w:val="28"/>
                <w:szCs w:val="28"/>
                <w:lang w:eastAsia="ar-EG" w:bidi="ar-EG"/>
              </w:rPr>
              <w:tab/>
            </w:r>
            <w:r w:rsidRPr="006751AA">
              <w:rPr>
                <w:rFonts w:ascii="Arabic Typesetting" w:eastAsia="Arabic Typesetting" w:hAnsi="Arabic Typesetting" w:cs="Arabic Typesetting"/>
                <w:color w:val="000000"/>
                <w:sz w:val="28"/>
                <w:szCs w:val="28"/>
                <w:rtl/>
                <w:lang w:eastAsia="ar-EG" w:bidi="ar-EG"/>
              </w:rPr>
              <w:t>ه5.8 تفاعل الويبو وتشاركها بفعالية مع مسارات ومفاوضات الأمم المتحدة وسائر المنظمات الحكومية الدولية</w:t>
            </w:r>
          </w:p>
        </w:tc>
      </w:tr>
      <w:tr w:rsidR="00BD3831" w:rsidRPr="006751AA" w14:paraId="2C1B29CE" w14:textId="77777777" w:rsidTr="00DF6715">
        <w:trPr>
          <w:cantSplit/>
        </w:trPr>
        <w:tc>
          <w:tcPr>
            <w:tcW w:w="1151" w:type="pct"/>
            <w:gridSpan w:val="2"/>
            <w:shd w:val="clear" w:color="auto" w:fill="auto"/>
            <w:tcMar>
              <w:left w:w="58" w:type="dxa"/>
              <w:right w:w="58" w:type="dxa"/>
            </w:tcMar>
            <w:vAlign w:val="center"/>
          </w:tcPr>
          <w:p w14:paraId="00C7A3DB" w14:textId="77777777" w:rsidR="00BD3831" w:rsidRPr="006751AA"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مؤشرات الأداء</w:t>
            </w:r>
          </w:p>
        </w:tc>
        <w:tc>
          <w:tcPr>
            <w:tcW w:w="1313" w:type="pct"/>
            <w:shd w:val="clear" w:color="auto" w:fill="auto"/>
            <w:tcMar>
              <w:left w:w="58" w:type="dxa"/>
              <w:right w:w="58" w:type="dxa"/>
            </w:tcMar>
            <w:vAlign w:val="center"/>
          </w:tcPr>
          <w:p w14:paraId="05E5C15C" w14:textId="77777777" w:rsidR="00BD3831" w:rsidRPr="006751AA"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أسس المقارنة</w:t>
            </w:r>
          </w:p>
        </w:tc>
        <w:tc>
          <w:tcPr>
            <w:tcW w:w="1193" w:type="pct"/>
            <w:gridSpan w:val="2"/>
            <w:shd w:val="clear" w:color="auto" w:fill="auto"/>
            <w:tcMar>
              <w:top w:w="110" w:type="dxa"/>
              <w:left w:w="58" w:type="dxa"/>
              <w:right w:w="58" w:type="dxa"/>
            </w:tcMar>
            <w:vAlign w:val="center"/>
          </w:tcPr>
          <w:p w14:paraId="5A378DC2" w14:textId="77777777" w:rsidR="00BD3831" w:rsidRPr="006751AA"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الأهداف</w:t>
            </w:r>
          </w:p>
        </w:tc>
        <w:tc>
          <w:tcPr>
            <w:tcW w:w="815" w:type="pct"/>
            <w:shd w:val="clear" w:color="auto" w:fill="FFFFFF"/>
            <w:tcMar>
              <w:top w:w="110" w:type="dxa"/>
              <w:left w:w="58" w:type="dxa"/>
              <w:right w:w="58" w:type="dxa"/>
            </w:tcMar>
            <w:vAlign w:val="center"/>
          </w:tcPr>
          <w:p w14:paraId="20463EAD" w14:textId="77777777" w:rsidR="00BD3831" w:rsidRPr="006751AA"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بيانات الأداء</w:t>
            </w:r>
          </w:p>
        </w:tc>
        <w:tc>
          <w:tcPr>
            <w:tcW w:w="529" w:type="pct"/>
            <w:gridSpan w:val="2"/>
            <w:shd w:val="clear" w:color="auto" w:fill="auto"/>
            <w:tcMar>
              <w:top w:w="110" w:type="dxa"/>
              <w:left w:w="58" w:type="dxa"/>
              <w:right w:w="58" w:type="dxa"/>
            </w:tcMar>
            <w:vAlign w:val="center"/>
          </w:tcPr>
          <w:p w14:paraId="41DF3C5A"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D3831" w:rsidRPr="006751AA" w14:paraId="525990DD" w14:textId="77777777" w:rsidTr="00DF6715">
        <w:trPr>
          <w:cantSplit/>
          <w:trHeight w:val="576"/>
        </w:trPr>
        <w:tc>
          <w:tcPr>
            <w:tcW w:w="1151" w:type="pct"/>
            <w:gridSpan w:val="2"/>
            <w:shd w:val="clear" w:color="auto" w:fill="auto"/>
            <w:tcMar>
              <w:left w:w="58" w:type="dxa"/>
              <w:right w:w="58" w:type="dxa"/>
            </w:tcMar>
          </w:tcPr>
          <w:p w14:paraId="291F86E6"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النسبة المئوية للسلع والخدمات المحلية المصدر مقارنة بالمبلغ الإجمالي المخصص لنشاط التنمية</w:t>
            </w:r>
          </w:p>
        </w:tc>
        <w:tc>
          <w:tcPr>
            <w:tcW w:w="1313" w:type="pct"/>
            <w:shd w:val="clear" w:color="auto" w:fill="auto"/>
            <w:tcMar>
              <w:left w:w="58" w:type="dxa"/>
              <w:right w:w="58" w:type="dxa"/>
            </w:tcMar>
          </w:tcPr>
          <w:p w14:paraId="3986EED6"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2015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6751AA">
              <w:rPr>
                <w:rFonts w:ascii="Arabic Typesetting" w:eastAsia="Arabic Typesetting" w:hAnsi="Arabic Typesetting" w:cs="Arabic Typesetting"/>
                <w:color w:val="002060"/>
                <w:sz w:val="28"/>
                <w:szCs w:val="28"/>
                <w:rtl/>
                <w:lang w:eastAsia="ar-EG" w:bidi="ar-EG"/>
              </w:rPr>
              <w:t>57%</w:t>
            </w:r>
          </w:p>
          <w:p w14:paraId="088553F3"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color w:val="000000"/>
                <w:sz w:val="28"/>
                <w:szCs w:val="28"/>
                <w:rtl/>
                <w:lang w:eastAsia="ar-EG" w:bidi="ar-EG"/>
              </w:rPr>
              <w:t>‏أساس المقارنة الأصلي:</w:t>
            </w:r>
            <w:r w:rsidRPr="006751AA">
              <w:rPr>
                <w:rFonts w:ascii="Arabic Typesetting" w:eastAsia="Arabic Typesetting" w:hAnsi="Arabic Typesetting" w:cs="Arabic Typesetting"/>
                <w:i/>
                <w:color w:val="000000"/>
                <w:sz w:val="28"/>
                <w:szCs w:val="28"/>
                <w:lang w:eastAsia="ar-EG" w:bidi="ar-EG"/>
              </w:rPr>
              <w:br/>
            </w:r>
            <w:r w:rsidRPr="006751AA">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45% </w:t>
            </w:r>
            <w:r w:rsidRPr="006751AA">
              <w:rPr>
                <w:rFonts w:ascii="Arabic Typesetting" w:eastAsia="Arabic Typesetting" w:hAnsi="Arabic Typesetting" w:cs="Arabic Typesetting"/>
                <w:color w:val="000000"/>
                <w:sz w:val="28"/>
                <w:szCs w:val="28"/>
                <w:rtl/>
                <w:lang w:eastAsia="ar-EG" w:bidi="ar-EG"/>
              </w:rPr>
              <w:t>(نهاية 2014)</w:t>
            </w:r>
          </w:p>
        </w:tc>
        <w:tc>
          <w:tcPr>
            <w:tcW w:w="1193" w:type="pct"/>
            <w:gridSpan w:val="2"/>
            <w:shd w:val="clear" w:color="auto" w:fill="auto"/>
            <w:tcMar>
              <w:top w:w="110" w:type="dxa"/>
              <w:left w:w="58" w:type="dxa"/>
              <w:right w:w="58" w:type="dxa"/>
            </w:tcMar>
          </w:tcPr>
          <w:p w14:paraId="7DF23A56"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50% على الأقل</w:t>
            </w:r>
          </w:p>
          <w:p w14:paraId="50B4E3C3"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sz w:val="28"/>
                <w:szCs w:val="28"/>
                <w:rtl/>
                <w:lang w:eastAsia="ar-EG" w:bidi="ar-EG"/>
              </w:rPr>
              <w:t>الهدف الأصلي:</w:t>
            </w:r>
            <w:r w:rsidRPr="006751AA">
              <w:rPr>
                <w:rFonts w:ascii="Arabic Typesetting" w:eastAsia="Arabic Typesetting" w:hAnsi="Arabic Typesetting" w:cs="Arabic Typesetting"/>
                <w:i/>
                <w:sz w:val="28"/>
                <w:szCs w:val="28"/>
                <w:lang w:eastAsia="ar-EG" w:bidi="ar-EG"/>
              </w:rPr>
              <w:br/>
            </w:r>
            <w:r w:rsidRPr="006751AA">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6751AA">
              <w:rPr>
                <w:rFonts w:ascii="Arabic Typesetting" w:eastAsia="Arabic Typesetting" w:hAnsi="Arabic Typesetting" w:cs="Arabic Typesetting"/>
                <w:color w:val="000000"/>
                <w:sz w:val="28"/>
                <w:szCs w:val="28"/>
                <w:rtl/>
                <w:lang w:eastAsia="ar-EG" w:bidi="ar-EG"/>
              </w:rPr>
              <w:t>تساوي نتيجة 2014 أو</w:t>
            </w:r>
            <w:r>
              <w:rPr>
                <w:rFonts w:ascii="Arabic Typesetting" w:eastAsia="Arabic Typesetting" w:hAnsi="Arabic Typesetting" w:cs="Arabic Typesetting" w:hint="cs"/>
                <w:color w:val="000000"/>
                <w:sz w:val="28"/>
                <w:szCs w:val="28"/>
                <w:rtl/>
                <w:lang w:eastAsia="ar-EG" w:bidi="ar-EG"/>
              </w:rPr>
              <w:t> </w:t>
            </w:r>
            <w:r w:rsidRPr="006751AA">
              <w:rPr>
                <w:rFonts w:ascii="Arabic Typesetting" w:eastAsia="Arabic Typesetting" w:hAnsi="Arabic Typesetting" w:cs="Arabic Typesetting"/>
                <w:color w:val="000000"/>
                <w:sz w:val="28"/>
                <w:szCs w:val="28"/>
                <w:rtl/>
                <w:lang w:eastAsia="ar-EG" w:bidi="ar-EG"/>
              </w:rPr>
              <w:t>تتجاوزها</w:t>
            </w:r>
          </w:p>
        </w:tc>
        <w:tc>
          <w:tcPr>
            <w:tcW w:w="815" w:type="pct"/>
            <w:shd w:val="clear" w:color="auto" w:fill="FFFFFF"/>
            <w:tcMar>
              <w:top w:w="110" w:type="dxa"/>
              <w:left w:w="58" w:type="dxa"/>
              <w:right w:w="58" w:type="dxa"/>
            </w:tcMar>
          </w:tcPr>
          <w:p w14:paraId="469286AF"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60.3%</w:t>
            </w:r>
          </w:p>
        </w:tc>
        <w:tc>
          <w:tcPr>
            <w:tcW w:w="529" w:type="pct"/>
            <w:gridSpan w:val="2"/>
            <w:shd w:val="clear" w:color="auto" w:fill="auto"/>
            <w:tcMar>
              <w:top w:w="110" w:type="dxa"/>
              <w:left w:w="58" w:type="dxa"/>
              <w:right w:w="58" w:type="dxa"/>
            </w:tcMar>
          </w:tcPr>
          <w:p w14:paraId="7E45AF0D"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tc>
      </w:tr>
      <w:tr w:rsidR="00BD3831" w:rsidRPr="006751AA" w14:paraId="0EFFF4C2" w14:textId="77777777" w:rsidTr="00DF6715">
        <w:trPr>
          <w:cantSplit/>
          <w:trHeight w:val="1517"/>
        </w:trPr>
        <w:tc>
          <w:tcPr>
            <w:tcW w:w="1151" w:type="pct"/>
            <w:gridSpan w:val="2"/>
            <w:shd w:val="clear" w:color="auto" w:fill="auto"/>
            <w:tcMar>
              <w:left w:w="58" w:type="dxa"/>
              <w:right w:w="58" w:type="dxa"/>
            </w:tcMar>
          </w:tcPr>
          <w:p w14:paraId="511753F6"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النسبة المئوية للنفقات الخاضعة لعمليات التحسين التي تجريها الأمم المتحدة (سواء العطاء المشترك أو</w:t>
            </w:r>
            <w:r>
              <w:rPr>
                <w:rFonts w:ascii="Arabic Typesetting" w:eastAsia="Arabic Typesetting" w:hAnsi="Arabic Typesetting" w:cs="Arabic Typesetting" w:hint="cs"/>
                <w:color w:val="000000"/>
                <w:sz w:val="28"/>
                <w:szCs w:val="28"/>
                <w:rtl/>
                <w:lang w:eastAsia="ar-EG" w:bidi="ar-EG"/>
              </w:rPr>
              <w:t> </w:t>
            </w:r>
            <w:r w:rsidRPr="006751AA">
              <w:rPr>
                <w:rFonts w:ascii="Arabic Typesetting" w:eastAsia="Arabic Typesetting" w:hAnsi="Arabic Typesetting" w:cs="Arabic Typesetting"/>
                <w:color w:val="000000"/>
                <w:sz w:val="28"/>
                <w:szCs w:val="28"/>
                <w:rtl/>
                <w:lang w:eastAsia="ar-EG" w:bidi="ar-EG"/>
              </w:rPr>
              <w:t>الاستحمال)</w:t>
            </w:r>
          </w:p>
        </w:tc>
        <w:tc>
          <w:tcPr>
            <w:tcW w:w="1313" w:type="pct"/>
            <w:shd w:val="clear" w:color="auto" w:fill="auto"/>
            <w:tcMar>
              <w:left w:w="58" w:type="dxa"/>
              <w:right w:w="58" w:type="dxa"/>
            </w:tcMar>
          </w:tcPr>
          <w:p w14:paraId="30B128BA" w14:textId="1FC61304" w:rsidR="00BD3831" w:rsidRDefault="00F9431D" w:rsidP="00F9431D">
            <w:pPr>
              <w:bidi/>
              <w:spacing w:after="120" w:line="280" w:lineRule="exact"/>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i/>
                <w:iCs/>
                <w:color w:val="002060"/>
                <w:sz w:val="28"/>
                <w:szCs w:val="28"/>
                <w:rtl/>
                <w:lang w:eastAsia="ar-EG" w:bidi="ar-EG"/>
              </w:rPr>
              <w:t>أساس المقارنة المحدَّث</w:t>
            </w:r>
            <w:r>
              <w:rPr>
                <w:rFonts w:ascii="Arabic Typesetting" w:eastAsia="Arabic Typesetting" w:hAnsi="Arabic Typesetting" w:cs="Arabic Typesetting" w:hint="cs"/>
                <w:i/>
                <w:iCs/>
                <w:color w:val="002060"/>
                <w:sz w:val="28"/>
                <w:szCs w:val="28"/>
                <w:rtl/>
                <w:lang w:eastAsia="ar-EG" w:bidi="ar-EG"/>
              </w:rPr>
              <w:t xml:space="preserve"> </w:t>
            </w:r>
            <w:r w:rsidR="00BD3831" w:rsidRPr="006751AA">
              <w:rPr>
                <w:rFonts w:ascii="Arabic Typesetting" w:eastAsia="Arabic Typesetting" w:hAnsi="Arabic Typesetting" w:cs="Arabic Typesetting"/>
                <w:i/>
                <w:iCs/>
                <w:color w:val="002060"/>
                <w:sz w:val="28"/>
                <w:szCs w:val="28"/>
                <w:rtl/>
                <w:lang w:eastAsia="ar-EG" w:bidi="ar-EG"/>
              </w:rPr>
              <w:t>في نهاية</w:t>
            </w:r>
            <w:r>
              <w:rPr>
                <w:rFonts w:ascii="Arabic Typesetting" w:eastAsia="Arabic Typesetting" w:hAnsi="Arabic Typesetting" w:cs="Arabic Typesetting" w:hint="cs"/>
                <w:i/>
                <w:iCs/>
                <w:color w:val="002060"/>
                <w:sz w:val="28"/>
                <w:szCs w:val="28"/>
                <w:rtl/>
                <w:lang w:eastAsia="ar-EG" w:bidi="ar-EG"/>
              </w:rPr>
              <w:t xml:space="preserve"> 2015:</w:t>
            </w:r>
            <w:r w:rsidR="00BD3831">
              <w:rPr>
                <w:rFonts w:ascii="Arabic Typesetting" w:eastAsia="Arabic Typesetting" w:hAnsi="Arabic Typesetting" w:cs="Arabic Typesetting"/>
                <w:i/>
                <w:iCs/>
                <w:color w:val="002060"/>
                <w:sz w:val="28"/>
                <w:szCs w:val="28"/>
                <w:rtl/>
                <w:lang w:eastAsia="ar-EG" w:bidi="ar-EG"/>
              </w:rPr>
              <w:br/>
            </w:r>
            <w:r w:rsidR="00BD3831" w:rsidRPr="006751AA">
              <w:rPr>
                <w:rFonts w:ascii="Arabic Typesetting" w:eastAsia="Arabic Typesetting" w:hAnsi="Arabic Typesetting" w:cs="Arabic Typesetting"/>
                <w:color w:val="002060"/>
                <w:sz w:val="28"/>
                <w:szCs w:val="28"/>
                <w:rtl/>
                <w:lang w:eastAsia="ar-EG" w:bidi="ar-EG"/>
              </w:rPr>
              <w:t>5.8%</w:t>
            </w:r>
          </w:p>
          <w:p w14:paraId="17742444"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color w:val="000000"/>
                <w:sz w:val="28"/>
                <w:szCs w:val="28"/>
                <w:rtl/>
                <w:lang w:eastAsia="ar-EG" w:bidi="ar-EG"/>
              </w:rPr>
              <w:t>‏أساس المقارنة الأصلي:</w:t>
            </w:r>
            <w:r w:rsidRPr="006751AA">
              <w:rPr>
                <w:rFonts w:ascii="Arabic Typesetting" w:eastAsia="Arabic Typesetting" w:hAnsi="Arabic Typesetting" w:cs="Arabic Typesetting"/>
                <w:i/>
                <w:color w:val="000000"/>
                <w:sz w:val="28"/>
                <w:szCs w:val="28"/>
                <w:lang w:eastAsia="ar-EG" w:bidi="ar-EG"/>
              </w:rPr>
              <w:br/>
            </w:r>
            <w:r w:rsidRPr="006751AA">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4.15% </w:t>
            </w:r>
            <w:r w:rsidRPr="006751AA">
              <w:rPr>
                <w:rFonts w:ascii="Arabic Typesetting" w:eastAsia="Arabic Typesetting" w:hAnsi="Arabic Typesetting" w:cs="Arabic Typesetting"/>
                <w:color w:val="000000"/>
                <w:sz w:val="28"/>
                <w:szCs w:val="28"/>
                <w:rtl/>
                <w:lang w:eastAsia="ar-EG" w:bidi="ar-EG"/>
              </w:rPr>
              <w:t>(نهاية 2014)</w:t>
            </w:r>
          </w:p>
        </w:tc>
        <w:tc>
          <w:tcPr>
            <w:tcW w:w="1193" w:type="pct"/>
            <w:gridSpan w:val="2"/>
            <w:shd w:val="clear" w:color="auto" w:fill="auto"/>
            <w:tcMar>
              <w:top w:w="110" w:type="dxa"/>
              <w:left w:w="58" w:type="dxa"/>
              <w:right w:w="58" w:type="dxa"/>
            </w:tcMar>
          </w:tcPr>
          <w:p w14:paraId="5D9FFD1F"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تساوي نتيجة 2015 أو تتجاوزها</w:t>
            </w:r>
          </w:p>
          <w:p w14:paraId="5DBE85D9"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sz w:val="28"/>
                <w:szCs w:val="28"/>
                <w:rtl/>
                <w:lang w:eastAsia="ar-EG" w:bidi="ar-EG"/>
              </w:rPr>
              <w:t>الهدف الأصلي:</w:t>
            </w:r>
            <w:r w:rsidRPr="006751AA">
              <w:rPr>
                <w:rFonts w:ascii="Arabic Typesetting" w:eastAsia="Arabic Typesetting" w:hAnsi="Arabic Typesetting" w:cs="Arabic Typesetting"/>
                <w:i/>
                <w:sz w:val="28"/>
                <w:szCs w:val="28"/>
                <w:lang w:eastAsia="ar-EG" w:bidi="ar-EG"/>
              </w:rPr>
              <w:br/>
            </w:r>
            <w:r w:rsidRPr="006751AA">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6751AA">
              <w:rPr>
                <w:rFonts w:ascii="Arabic Typesetting" w:eastAsia="Arabic Typesetting" w:hAnsi="Arabic Typesetting" w:cs="Arabic Typesetting"/>
                <w:color w:val="000000"/>
                <w:sz w:val="28"/>
                <w:szCs w:val="28"/>
                <w:rtl/>
                <w:lang w:eastAsia="ar-EG" w:bidi="ar-EG"/>
              </w:rPr>
              <w:t>تساوي نتيجة 2014 أو</w:t>
            </w:r>
            <w:r>
              <w:rPr>
                <w:rFonts w:ascii="Arabic Typesetting" w:eastAsia="Arabic Typesetting" w:hAnsi="Arabic Typesetting" w:cs="Arabic Typesetting" w:hint="cs"/>
                <w:color w:val="000000"/>
                <w:sz w:val="28"/>
                <w:szCs w:val="28"/>
                <w:rtl/>
                <w:lang w:eastAsia="ar-EG" w:bidi="ar-EG"/>
              </w:rPr>
              <w:t> </w:t>
            </w:r>
            <w:r w:rsidRPr="006751AA">
              <w:rPr>
                <w:rFonts w:ascii="Arabic Typesetting" w:eastAsia="Arabic Typesetting" w:hAnsi="Arabic Typesetting" w:cs="Arabic Typesetting"/>
                <w:color w:val="000000"/>
                <w:sz w:val="28"/>
                <w:szCs w:val="28"/>
                <w:rtl/>
                <w:lang w:eastAsia="ar-EG" w:bidi="ar-EG"/>
              </w:rPr>
              <w:t>تتجاوزها</w:t>
            </w:r>
          </w:p>
        </w:tc>
        <w:tc>
          <w:tcPr>
            <w:tcW w:w="815" w:type="pct"/>
            <w:shd w:val="clear" w:color="auto" w:fill="FFFFFF"/>
            <w:tcMar>
              <w:top w:w="110" w:type="dxa"/>
              <w:left w:w="58" w:type="dxa"/>
              <w:right w:w="58" w:type="dxa"/>
            </w:tcMar>
          </w:tcPr>
          <w:p w14:paraId="7121ABC6" w14:textId="77777777" w:rsidR="00BD3831" w:rsidRPr="006751AA"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6.7%</w:t>
            </w:r>
          </w:p>
        </w:tc>
        <w:tc>
          <w:tcPr>
            <w:tcW w:w="529" w:type="pct"/>
            <w:gridSpan w:val="2"/>
            <w:shd w:val="clear" w:color="auto" w:fill="auto"/>
            <w:tcMar>
              <w:top w:w="110" w:type="dxa"/>
              <w:left w:w="58" w:type="dxa"/>
              <w:right w:w="58" w:type="dxa"/>
            </w:tcMar>
          </w:tcPr>
          <w:p w14:paraId="33C7B1E2"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tc>
      </w:tr>
      <w:tr w:rsidR="00BD3831" w:rsidRPr="006751AA" w14:paraId="79E402B6" w14:textId="77777777" w:rsidTr="00DF6715">
        <w:trPr>
          <w:cantSplit/>
          <w:trHeight w:val="565"/>
        </w:trPr>
        <w:tc>
          <w:tcPr>
            <w:tcW w:w="5000" w:type="pct"/>
            <w:gridSpan w:val="8"/>
            <w:shd w:val="clear" w:color="auto" w:fill="C6D9F1"/>
            <w:tcMar>
              <w:left w:w="58" w:type="dxa"/>
              <w:right w:w="58" w:type="dxa"/>
            </w:tcMar>
            <w:vAlign w:val="center"/>
          </w:tcPr>
          <w:p w14:paraId="0C5D7F29" w14:textId="77777777" w:rsidR="00BD3831" w:rsidRPr="006751AA"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‏النتيجة المرتقبة:</w:t>
            </w:r>
            <w:r w:rsidRPr="006751AA">
              <w:rPr>
                <w:rFonts w:ascii="Arabic Typesetting" w:eastAsia="Arabic Typesetting" w:hAnsi="Arabic Typesetting" w:cs="Arabic Typesetting"/>
                <w:sz w:val="28"/>
                <w:szCs w:val="28"/>
                <w:lang w:eastAsia="ar-EG" w:bidi="ar-EG"/>
              </w:rPr>
              <w:tab/>
            </w:r>
            <w:r w:rsidRPr="006751AA">
              <w:rPr>
                <w:rFonts w:ascii="Arabic Typesetting" w:eastAsia="Arabic Typesetting" w:hAnsi="Arabic Typesetting" w:cs="Arabic Typesetting"/>
                <w:color w:val="000000"/>
                <w:sz w:val="28"/>
                <w:szCs w:val="28"/>
                <w:rtl/>
                <w:lang w:eastAsia="ar-EG" w:bidi="ar-EG"/>
              </w:rPr>
              <w:t xml:space="preserve">ه1.9 </w:t>
            </w:r>
            <w:r w:rsidRPr="00057901">
              <w:rPr>
                <w:rFonts w:ascii="Arabic Typesetting" w:eastAsia="Arabic Typesetting" w:hAnsi="Arabic Typesetting" w:cs="Arabic Typesetting"/>
                <w:color w:val="000000"/>
                <w:sz w:val="28"/>
                <w:szCs w:val="28"/>
                <w:rtl/>
                <w:lang w:eastAsia="ar-EG" w:bidi="ar-EG"/>
              </w:rPr>
              <w:t>خدمات دعم موجهة للزبون بفعالية وكفاءة وجودة لفائدة الزبائن الداخليين وأصحاب المصلحة الخارجيين</w:t>
            </w:r>
          </w:p>
        </w:tc>
      </w:tr>
      <w:tr w:rsidR="00BD3831" w:rsidRPr="006751AA" w14:paraId="162D2772" w14:textId="77777777" w:rsidTr="00DF6715">
        <w:trPr>
          <w:cantSplit/>
        </w:trPr>
        <w:tc>
          <w:tcPr>
            <w:tcW w:w="1151" w:type="pct"/>
            <w:gridSpan w:val="2"/>
            <w:shd w:val="clear" w:color="auto" w:fill="auto"/>
            <w:tcMar>
              <w:left w:w="58" w:type="dxa"/>
              <w:right w:w="58" w:type="dxa"/>
            </w:tcMar>
            <w:vAlign w:val="center"/>
          </w:tcPr>
          <w:p w14:paraId="3B48F083" w14:textId="77777777" w:rsidR="00BD3831" w:rsidRPr="006751AA"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مؤشرات الأداء</w:t>
            </w:r>
          </w:p>
        </w:tc>
        <w:tc>
          <w:tcPr>
            <w:tcW w:w="1313" w:type="pct"/>
            <w:shd w:val="clear" w:color="auto" w:fill="auto"/>
            <w:tcMar>
              <w:left w:w="58" w:type="dxa"/>
              <w:right w:w="58" w:type="dxa"/>
            </w:tcMar>
            <w:vAlign w:val="center"/>
          </w:tcPr>
          <w:p w14:paraId="783F96BF" w14:textId="77777777" w:rsidR="00BD3831" w:rsidRPr="006751AA"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أسس المقارنة</w:t>
            </w:r>
          </w:p>
        </w:tc>
        <w:tc>
          <w:tcPr>
            <w:tcW w:w="1193" w:type="pct"/>
            <w:gridSpan w:val="2"/>
            <w:shd w:val="clear" w:color="auto" w:fill="auto"/>
            <w:tcMar>
              <w:top w:w="110" w:type="dxa"/>
              <w:left w:w="58" w:type="dxa"/>
              <w:right w:w="58" w:type="dxa"/>
            </w:tcMar>
            <w:vAlign w:val="center"/>
          </w:tcPr>
          <w:p w14:paraId="3A871054" w14:textId="77777777" w:rsidR="00BD3831" w:rsidRPr="006751AA"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الأهداف</w:t>
            </w:r>
          </w:p>
        </w:tc>
        <w:tc>
          <w:tcPr>
            <w:tcW w:w="815" w:type="pct"/>
            <w:shd w:val="clear" w:color="auto" w:fill="FFFFFF"/>
            <w:tcMar>
              <w:top w:w="110" w:type="dxa"/>
              <w:left w:w="58" w:type="dxa"/>
              <w:right w:w="58" w:type="dxa"/>
            </w:tcMar>
            <w:vAlign w:val="center"/>
          </w:tcPr>
          <w:p w14:paraId="6A8A3291" w14:textId="77777777" w:rsidR="00BD3831" w:rsidRPr="006751AA"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بيانات الأداء</w:t>
            </w:r>
          </w:p>
        </w:tc>
        <w:tc>
          <w:tcPr>
            <w:tcW w:w="529" w:type="pct"/>
            <w:gridSpan w:val="2"/>
            <w:shd w:val="clear" w:color="auto" w:fill="auto"/>
            <w:tcMar>
              <w:top w:w="110" w:type="dxa"/>
              <w:left w:w="58" w:type="dxa"/>
              <w:right w:w="58" w:type="dxa"/>
            </w:tcMar>
            <w:vAlign w:val="center"/>
          </w:tcPr>
          <w:p w14:paraId="52C2CC87"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D3831" w:rsidRPr="006751AA" w14:paraId="4F03D1A2" w14:textId="77777777" w:rsidTr="00DF6715">
        <w:trPr>
          <w:cantSplit/>
          <w:trHeight w:val="576"/>
        </w:trPr>
        <w:tc>
          <w:tcPr>
            <w:tcW w:w="1151" w:type="pct"/>
            <w:gridSpan w:val="2"/>
            <w:shd w:val="clear" w:color="auto" w:fill="auto"/>
            <w:tcMar>
              <w:left w:w="58" w:type="dxa"/>
              <w:right w:w="58" w:type="dxa"/>
            </w:tcMar>
          </w:tcPr>
          <w:p w14:paraId="5D4EF011"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تحقيق وفورات في السلع والخدمات التي تشتريها الويبو (مستمدة من طلبات العطاءات أو</w:t>
            </w:r>
            <w:r>
              <w:rPr>
                <w:rFonts w:ascii="Arabic Typesetting" w:eastAsia="Arabic Typesetting" w:hAnsi="Arabic Typesetting" w:cs="Arabic Typesetting" w:hint="cs"/>
                <w:color w:val="000000"/>
                <w:sz w:val="28"/>
                <w:szCs w:val="28"/>
                <w:rtl/>
                <w:lang w:eastAsia="ar-EG" w:bidi="ar-EG"/>
              </w:rPr>
              <w:t> </w:t>
            </w:r>
            <w:r w:rsidRPr="006751AA">
              <w:rPr>
                <w:rFonts w:ascii="Arabic Typesetting" w:eastAsia="Arabic Typesetting" w:hAnsi="Arabic Typesetting" w:cs="Arabic Typesetting"/>
                <w:color w:val="000000"/>
                <w:sz w:val="28"/>
                <w:szCs w:val="28"/>
                <w:rtl/>
                <w:lang w:eastAsia="ar-EG" w:bidi="ar-EG"/>
              </w:rPr>
              <w:t>المفاوضات المباشرة)</w:t>
            </w:r>
          </w:p>
        </w:tc>
        <w:tc>
          <w:tcPr>
            <w:tcW w:w="1313" w:type="pct"/>
            <w:shd w:val="clear" w:color="auto" w:fill="auto"/>
            <w:tcMar>
              <w:left w:w="58" w:type="dxa"/>
              <w:right w:w="58" w:type="dxa"/>
            </w:tcMar>
          </w:tcPr>
          <w:p w14:paraId="385CAA19"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 xml:space="preserve">361 826 3 فرنكاً سويسرياً </w:t>
            </w:r>
          </w:p>
          <w:p w14:paraId="55F64677"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color w:val="000000"/>
                <w:sz w:val="28"/>
                <w:szCs w:val="28"/>
                <w:rtl/>
                <w:lang w:eastAsia="ar-EG" w:bidi="ar-EG"/>
              </w:rPr>
              <w:t>‏أساس المقارنة الأصلي:</w:t>
            </w:r>
            <w:r w:rsidRPr="006751AA">
              <w:rPr>
                <w:rFonts w:ascii="Arabic Typesetting" w:eastAsia="Arabic Typesetting" w:hAnsi="Arabic Typesetting" w:cs="Arabic Typesetting"/>
                <w:i/>
                <w:color w:val="000000"/>
                <w:sz w:val="28"/>
                <w:szCs w:val="28"/>
                <w:lang w:eastAsia="ar-EG" w:bidi="ar-EG"/>
              </w:rPr>
              <w:br/>
            </w:r>
            <w:r w:rsidRPr="006751AA">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6751AA">
              <w:rPr>
                <w:rFonts w:ascii="Arabic Typesetting" w:eastAsia="Arabic Typesetting" w:hAnsi="Arabic Typesetting" w:cs="Arabic Typesetting"/>
                <w:color w:val="000000"/>
                <w:sz w:val="28"/>
                <w:szCs w:val="28"/>
                <w:rtl/>
                <w:lang w:eastAsia="ar-EG" w:bidi="ar-EG"/>
              </w:rPr>
              <w:t>2.6 مليون فرنك (نهاية 2014)</w:t>
            </w:r>
          </w:p>
        </w:tc>
        <w:tc>
          <w:tcPr>
            <w:tcW w:w="1193" w:type="pct"/>
            <w:gridSpan w:val="2"/>
            <w:shd w:val="clear" w:color="auto" w:fill="auto"/>
            <w:tcMar>
              <w:top w:w="110" w:type="dxa"/>
              <w:left w:w="58" w:type="dxa"/>
              <w:right w:w="58" w:type="dxa"/>
            </w:tcMar>
          </w:tcPr>
          <w:p w14:paraId="63FA24B6" w14:textId="77777777" w:rsidR="00BD3831" w:rsidRPr="006751AA"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تساوي نتيجة 2014 أو</w:t>
            </w:r>
            <w:r>
              <w:rPr>
                <w:rFonts w:ascii="Arabic Typesetting" w:eastAsia="Arabic Typesetting" w:hAnsi="Arabic Typesetting" w:cs="Arabic Typesetting" w:hint="cs"/>
                <w:color w:val="000000"/>
                <w:sz w:val="28"/>
                <w:szCs w:val="28"/>
                <w:rtl/>
                <w:lang w:eastAsia="ar-EG" w:bidi="ar-EG"/>
              </w:rPr>
              <w:t> </w:t>
            </w:r>
            <w:r w:rsidRPr="006751AA">
              <w:rPr>
                <w:rFonts w:ascii="Arabic Typesetting" w:eastAsia="Arabic Typesetting" w:hAnsi="Arabic Typesetting" w:cs="Arabic Typesetting"/>
                <w:color w:val="000000"/>
                <w:sz w:val="28"/>
                <w:szCs w:val="28"/>
                <w:rtl/>
                <w:lang w:eastAsia="ar-EG" w:bidi="ar-EG"/>
              </w:rPr>
              <w:t>تتجاوزها</w:t>
            </w:r>
            <w:r w:rsidRPr="006751AA">
              <w:rPr>
                <w:rFonts w:ascii="Arabic Typesetting" w:eastAsia="Arabic Typesetting" w:hAnsi="Arabic Typesetting" w:cs="Arabic Typesetting"/>
                <w:color w:val="000000"/>
                <w:sz w:val="28"/>
                <w:szCs w:val="28"/>
                <w:vertAlign w:val="superscript"/>
                <w:lang w:eastAsia="ar-EG" w:bidi="ar-EG"/>
              </w:rPr>
              <w:footnoteReference w:id="90"/>
            </w:r>
          </w:p>
        </w:tc>
        <w:tc>
          <w:tcPr>
            <w:tcW w:w="815" w:type="pct"/>
            <w:shd w:val="clear" w:color="auto" w:fill="FFFFFF"/>
            <w:tcMar>
              <w:top w:w="110" w:type="dxa"/>
              <w:left w:w="58" w:type="dxa"/>
              <w:right w:w="58" w:type="dxa"/>
            </w:tcMar>
          </w:tcPr>
          <w:p w14:paraId="0E5F4006"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919 801 1 فرنكاً</w:t>
            </w:r>
            <w:r>
              <w:rPr>
                <w:rFonts w:ascii="Arabic Typesetting" w:eastAsia="Arabic Typesetting" w:hAnsi="Arabic Typesetting" w:cs="Arabic Typesetting" w:hint="cs"/>
                <w:color w:val="000000"/>
                <w:sz w:val="28"/>
                <w:szCs w:val="28"/>
                <w:rtl/>
                <w:lang w:eastAsia="ar-EG" w:bidi="ar-EG"/>
              </w:rPr>
              <w:t> </w:t>
            </w:r>
            <w:r w:rsidRPr="006751AA">
              <w:rPr>
                <w:rFonts w:ascii="Arabic Typesetting" w:eastAsia="Arabic Typesetting" w:hAnsi="Arabic Typesetting" w:cs="Arabic Typesetting"/>
                <w:color w:val="000000"/>
                <w:sz w:val="28"/>
                <w:szCs w:val="28"/>
                <w:rtl/>
                <w:lang w:eastAsia="ar-EG" w:bidi="ar-EG"/>
              </w:rPr>
              <w:t>سويسرياً</w:t>
            </w:r>
          </w:p>
        </w:tc>
        <w:tc>
          <w:tcPr>
            <w:tcW w:w="529" w:type="pct"/>
            <w:gridSpan w:val="2"/>
            <w:shd w:val="clear" w:color="auto" w:fill="auto"/>
            <w:tcMar>
              <w:top w:w="110" w:type="dxa"/>
              <w:left w:w="58" w:type="dxa"/>
              <w:right w:w="58" w:type="dxa"/>
            </w:tcMar>
          </w:tcPr>
          <w:p w14:paraId="7727DADA"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6751AA">
              <w:rPr>
                <w:rFonts w:ascii="Arabic Typesetting" w:eastAsia="Arabic Typesetting" w:hAnsi="Arabic Typesetting" w:cs="Arabic Typesetting"/>
                <w:b/>
                <w:bCs/>
                <w:color w:val="FF0000"/>
                <w:sz w:val="28"/>
                <w:szCs w:val="28"/>
                <w:rtl/>
                <w:lang w:eastAsia="ar-EG" w:bidi="ar-EG"/>
              </w:rPr>
              <w:t>غير ثابت</w:t>
            </w:r>
          </w:p>
        </w:tc>
      </w:tr>
      <w:tr w:rsidR="00BD3831" w:rsidRPr="006751AA" w14:paraId="7F2C2490" w14:textId="77777777" w:rsidTr="00DF6715">
        <w:trPr>
          <w:cantSplit/>
          <w:trHeight w:val="1416"/>
        </w:trPr>
        <w:tc>
          <w:tcPr>
            <w:tcW w:w="1151" w:type="pct"/>
            <w:gridSpan w:val="2"/>
            <w:shd w:val="clear" w:color="auto" w:fill="auto"/>
            <w:tcMar>
              <w:left w:w="58" w:type="dxa"/>
              <w:right w:w="58" w:type="dxa"/>
            </w:tcMar>
          </w:tcPr>
          <w:p w14:paraId="608E182E"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highlight w:val="yellow"/>
                <w:lang w:eastAsia="ar-EG" w:bidi="ar-EG"/>
              </w:rPr>
            </w:pPr>
            <w:r w:rsidRPr="006751AA">
              <w:rPr>
                <w:rFonts w:ascii="Arabic Typesetting" w:eastAsia="Arabic Typesetting" w:hAnsi="Arabic Typesetting" w:cs="Arabic Typesetting"/>
                <w:color w:val="000000"/>
                <w:sz w:val="28"/>
                <w:szCs w:val="28"/>
                <w:rtl/>
                <w:lang w:eastAsia="ar-EG" w:bidi="ar-EG"/>
              </w:rPr>
              <w:lastRenderedPageBreak/>
              <w:t>مدة معالجة الطلبات الإلكترونية</w:t>
            </w:r>
          </w:p>
        </w:tc>
        <w:tc>
          <w:tcPr>
            <w:tcW w:w="1313" w:type="pct"/>
            <w:shd w:val="clear" w:color="auto" w:fill="auto"/>
            <w:tcMar>
              <w:left w:w="58" w:type="dxa"/>
              <w:right w:w="58" w:type="dxa"/>
            </w:tcMar>
          </w:tcPr>
          <w:p w14:paraId="46427EDE"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الطلب الإلكتروني = أقل من ساعة</w:t>
            </w:r>
          </w:p>
          <w:p w14:paraId="0009E28B"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color w:val="000000"/>
                <w:sz w:val="28"/>
                <w:szCs w:val="28"/>
                <w:rtl/>
                <w:lang w:eastAsia="ar-EG" w:bidi="ar-EG"/>
              </w:rPr>
              <w:t>‏أساس المقارنة الأصلي:</w:t>
            </w:r>
            <w:r w:rsidRPr="006751AA">
              <w:rPr>
                <w:rFonts w:ascii="Arabic Typesetting" w:eastAsia="Arabic Typesetting" w:hAnsi="Arabic Typesetting" w:cs="Arabic Typesetting"/>
                <w:i/>
                <w:color w:val="000000"/>
                <w:sz w:val="28"/>
                <w:szCs w:val="28"/>
                <w:lang w:eastAsia="ar-EG" w:bidi="ar-EG"/>
              </w:rPr>
              <w:br/>
            </w:r>
            <w:r w:rsidRPr="006751AA">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6751AA">
              <w:rPr>
                <w:rFonts w:ascii="Arabic Typesetting" w:eastAsia="Arabic Typesetting" w:hAnsi="Arabic Typesetting" w:cs="Arabic Typesetting"/>
                <w:color w:val="000000"/>
                <w:sz w:val="28"/>
                <w:szCs w:val="28"/>
                <w:rtl/>
                <w:lang w:eastAsia="ar-EG" w:bidi="ar-EG"/>
              </w:rPr>
              <w:t>نصف يوم (2014)</w:t>
            </w:r>
          </w:p>
        </w:tc>
        <w:tc>
          <w:tcPr>
            <w:tcW w:w="1193" w:type="pct"/>
            <w:gridSpan w:val="2"/>
            <w:shd w:val="clear" w:color="auto" w:fill="auto"/>
            <w:tcMar>
              <w:top w:w="110" w:type="dxa"/>
              <w:left w:w="58" w:type="dxa"/>
              <w:right w:w="58" w:type="dxa"/>
            </w:tcMar>
          </w:tcPr>
          <w:p w14:paraId="1644A473"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أقل من نصف يوم</w:t>
            </w:r>
          </w:p>
        </w:tc>
        <w:tc>
          <w:tcPr>
            <w:tcW w:w="815" w:type="pct"/>
            <w:shd w:val="clear" w:color="auto" w:fill="FFFFFF"/>
            <w:tcMar>
              <w:top w:w="110" w:type="dxa"/>
              <w:left w:w="58" w:type="dxa"/>
              <w:right w:w="58" w:type="dxa"/>
            </w:tcMar>
          </w:tcPr>
          <w:p w14:paraId="62657ADC" w14:textId="77777777" w:rsidR="00BD3831" w:rsidRPr="006751AA"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أقل من نصف يوم</w:t>
            </w:r>
          </w:p>
        </w:tc>
        <w:tc>
          <w:tcPr>
            <w:tcW w:w="529" w:type="pct"/>
            <w:gridSpan w:val="2"/>
            <w:shd w:val="clear" w:color="auto" w:fill="auto"/>
            <w:tcMar>
              <w:top w:w="110" w:type="dxa"/>
              <w:left w:w="58" w:type="dxa"/>
              <w:right w:w="58" w:type="dxa"/>
            </w:tcMar>
          </w:tcPr>
          <w:p w14:paraId="6A27426C"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tc>
      </w:tr>
      <w:tr w:rsidR="00BD3831" w:rsidRPr="006751AA" w14:paraId="4AC47E7F" w14:textId="77777777" w:rsidTr="00DF6715">
        <w:trPr>
          <w:cantSplit/>
          <w:trHeight w:val="576"/>
        </w:trPr>
        <w:tc>
          <w:tcPr>
            <w:tcW w:w="1151" w:type="pct"/>
            <w:gridSpan w:val="2"/>
            <w:shd w:val="clear" w:color="auto" w:fill="auto"/>
            <w:tcMar>
              <w:left w:w="58" w:type="dxa"/>
              <w:right w:w="58" w:type="dxa"/>
            </w:tcMar>
          </w:tcPr>
          <w:p w14:paraId="5B83A7C4"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مدة معالجة تصريحات السفر الإلكترونية</w:t>
            </w:r>
          </w:p>
        </w:tc>
        <w:tc>
          <w:tcPr>
            <w:tcW w:w="1313" w:type="pct"/>
            <w:shd w:val="clear" w:color="auto" w:fill="auto"/>
            <w:tcMar>
              <w:left w:w="58" w:type="dxa"/>
              <w:right w:w="58" w:type="dxa"/>
            </w:tcMar>
          </w:tcPr>
          <w:p w14:paraId="64C7E2FE" w14:textId="77777777" w:rsidR="00BD3831" w:rsidRPr="006751AA"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تصريح السفر الإلكتروني = نصف يوم</w:t>
            </w:r>
          </w:p>
          <w:p w14:paraId="635C0D7A"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color w:val="000000"/>
                <w:sz w:val="28"/>
                <w:szCs w:val="28"/>
                <w:rtl/>
                <w:lang w:eastAsia="ar-EG" w:bidi="ar-EG"/>
              </w:rPr>
              <w:t>‏أساس المقارنة الأصلي:</w:t>
            </w:r>
            <w:r w:rsidRPr="006751AA">
              <w:rPr>
                <w:rFonts w:ascii="Arabic Typesetting" w:eastAsia="Arabic Typesetting" w:hAnsi="Arabic Typesetting" w:cs="Arabic Typesetting"/>
                <w:i/>
                <w:color w:val="000000"/>
                <w:sz w:val="28"/>
                <w:szCs w:val="28"/>
                <w:lang w:eastAsia="ar-EG" w:bidi="ar-EG"/>
              </w:rPr>
              <w:br/>
            </w:r>
            <w:r w:rsidRPr="006751AA">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6751AA">
              <w:rPr>
                <w:rFonts w:ascii="Arabic Typesetting" w:eastAsia="Arabic Typesetting" w:hAnsi="Arabic Typesetting" w:cs="Arabic Typesetting"/>
                <w:color w:val="000000"/>
                <w:sz w:val="28"/>
                <w:szCs w:val="28"/>
                <w:rtl/>
                <w:lang w:eastAsia="ar-EG" w:bidi="ar-EG"/>
              </w:rPr>
              <w:t>نصف يوم (2014)</w:t>
            </w:r>
          </w:p>
        </w:tc>
        <w:tc>
          <w:tcPr>
            <w:tcW w:w="1193" w:type="pct"/>
            <w:gridSpan w:val="2"/>
            <w:shd w:val="clear" w:color="auto" w:fill="auto"/>
            <w:tcMar>
              <w:top w:w="110" w:type="dxa"/>
              <w:left w:w="58" w:type="dxa"/>
              <w:right w:w="58" w:type="dxa"/>
            </w:tcMar>
          </w:tcPr>
          <w:p w14:paraId="5D7DEE0A"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أقل من نصف يوم</w:t>
            </w:r>
          </w:p>
        </w:tc>
        <w:tc>
          <w:tcPr>
            <w:tcW w:w="815" w:type="pct"/>
            <w:shd w:val="clear" w:color="auto" w:fill="FFFFFF"/>
            <w:tcMar>
              <w:top w:w="110" w:type="dxa"/>
              <w:left w:w="58" w:type="dxa"/>
              <w:right w:w="58" w:type="dxa"/>
            </w:tcMar>
          </w:tcPr>
          <w:p w14:paraId="4321E4FA" w14:textId="77777777" w:rsidR="00BD3831" w:rsidRPr="006751AA"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أقل من نصف يوم</w:t>
            </w:r>
          </w:p>
        </w:tc>
        <w:tc>
          <w:tcPr>
            <w:tcW w:w="529" w:type="pct"/>
            <w:gridSpan w:val="2"/>
            <w:shd w:val="clear" w:color="auto" w:fill="auto"/>
            <w:tcMar>
              <w:top w:w="110" w:type="dxa"/>
              <w:left w:w="58" w:type="dxa"/>
              <w:right w:w="58" w:type="dxa"/>
            </w:tcMar>
          </w:tcPr>
          <w:p w14:paraId="065A2184"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tc>
      </w:tr>
      <w:tr w:rsidR="00BD3831" w:rsidRPr="006751AA" w14:paraId="42BBB637" w14:textId="77777777" w:rsidTr="00DF6715">
        <w:trPr>
          <w:cantSplit/>
          <w:trHeight w:val="576"/>
        </w:trPr>
        <w:tc>
          <w:tcPr>
            <w:tcW w:w="1151" w:type="pct"/>
            <w:gridSpan w:val="2"/>
            <w:shd w:val="clear" w:color="auto" w:fill="auto"/>
            <w:tcMar>
              <w:left w:w="58" w:type="dxa"/>
              <w:right w:w="58" w:type="dxa"/>
            </w:tcMar>
          </w:tcPr>
          <w:p w14:paraId="6F35BB28"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مدة معالجة التأشيرات</w:t>
            </w:r>
          </w:p>
        </w:tc>
        <w:tc>
          <w:tcPr>
            <w:tcW w:w="1313" w:type="pct"/>
            <w:shd w:val="clear" w:color="auto" w:fill="auto"/>
            <w:tcMar>
              <w:left w:w="58" w:type="dxa"/>
              <w:right w:w="58" w:type="dxa"/>
            </w:tcMar>
          </w:tcPr>
          <w:p w14:paraId="7B59D262"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التأشيرات= أقل من يوم</w:t>
            </w:r>
          </w:p>
          <w:p w14:paraId="3FE8E653" w14:textId="77777777" w:rsidR="00BD3831" w:rsidRPr="006751AA" w:rsidRDefault="00BD3831"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6751AA">
              <w:rPr>
                <w:rFonts w:ascii="Arabic Typesetting" w:eastAsia="Arabic Typesetting" w:hAnsi="Arabic Typesetting" w:cs="Arabic Typesetting"/>
                <w:i/>
                <w:iCs/>
                <w:color w:val="000000"/>
                <w:sz w:val="28"/>
                <w:szCs w:val="28"/>
                <w:rtl/>
                <w:lang w:eastAsia="ar-EG" w:bidi="ar-EG"/>
              </w:rPr>
              <w:t>‏أساس المقارنة الأصلي:</w:t>
            </w:r>
            <w:r w:rsidRPr="006751AA">
              <w:rPr>
                <w:rFonts w:ascii="Arabic Typesetting" w:eastAsia="Arabic Typesetting" w:hAnsi="Arabic Typesetting" w:cs="Arabic Typesetting"/>
                <w:i/>
                <w:color w:val="000000"/>
                <w:sz w:val="28"/>
                <w:szCs w:val="28"/>
                <w:lang w:eastAsia="ar-EG" w:bidi="ar-EG"/>
              </w:rPr>
              <w:br/>
            </w:r>
            <w:r w:rsidRPr="006751AA">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6751AA">
              <w:rPr>
                <w:rFonts w:ascii="Arabic Typesetting" w:eastAsia="Arabic Typesetting" w:hAnsi="Arabic Typesetting" w:cs="Arabic Typesetting"/>
                <w:color w:val="000000"/>
                <w:sz w:val="28"/>
                <w:szCs w:val="28"/>
                <w:rtl/>
                <w:lang w:eastAsia="ar-EG" w:bidi="ar-EG"/>
              </w:rPr>
              <w:t>أقل من يوم (2014)</w:t>
            </w:r>
          </w:p>
        </w:tc>
        <w:tc>
          <w:tcPr>
            <w:tcW w:w="1193" w:type="pct"/>
            <w:gridSpan w:val="2"/>
            <w:shd w:val="clear" w:color="auto" w:fill="auto"/>
            <w:tcMar>
              <w:top w:w="110" w:type="dxa"/>
              <w:left w:w="58" w:type="dxa"/>
              <w:right w:w="58" w:type="dxa"/>
            </w:tcMar>
          </w:tcPr>
          <w:p w14:paraId="64D8C735"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أقل من يوم</w:t>
            </w:r>
          </w:p>
        </w:tc>
        <w:tc>
          <w:tcPr>
            <w:tcW w:w="815" w:type="pct"/>
            <w:shd w:val="clear" w:color="auto" w:fill="FFFFFF"/>
            <w:tcMar>
              <w:top w:w="110" w:type="dxa"/>
              <w:left w:w="58" w:type="dxa"/>
              <w:right w:w="58" w:type="dxa"/>
            </w:tcMar>
          </w:tcPr>
          <w:p w14:paraId="6B5F19E9" w14:textId="77777777" w:rsidR="00BD3831" w:rsidRPr="006751AA"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أقل من يوم</w:t>
            </w:r>
          </w:p>
        </w:tc>
        <w:tc>
          <w:tcPr>
            <w:tcW w:w="529" w:type="pct"/>
            <w:gridSpan w:val="2"/>
            <w:shd w:val="clear" w:color="auto" w:fill="auto"/>
            <w:tcMar>
              <w:top w:w="110" w:type="dxa"/>
              <w:left w:w="58" w:type="dxa"/>
              <w:right w:w="58" w:type="dxa"/>
            </w:tcMar>
          </w:tcPr>
          <w:p w14:paraId="3A7201CC"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tc>
      </w:tr>
      <w:tr w:rsidR="00BD3831" w:rsidRPr="006751AA" w14:paraId="5673C3CA" w14:textId="77777777" w:rsidTr="00DF6715">
        <w:trPr>
          <w:cantSplit/>
          <w:trHeight w:val="1157"/>
        </w:trPr>
        <w:tc>
          <w:tcPr>
            <w:tcW w:w="1151" w:type="pct"/>
            <w:gridSpan w:val="2"/>
            <w:shd w:val="clear" w:color="auto" w:fill="auto"/>
            <w:tcMar>
              <w:left w:w="58" w:type="dxa"/>
              <w:right w:w="58" w:type="dxa"/>
            </w:tcMar>
          </w:tcPr>
          <w:p w14:paraId="364A4448" w14:textId="74429873"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متوسط أسعار تذاكر شركة إدارة</w:t>
            </w:r>
            <w:r>
              <w:rPr>
                <w:rFonts w:ascii="Arabic Typesetting" w:eastAsia="Arabic Typesetting" w:hAnsi="Arabic Typesetting" w:cs="Arabic Typesetting" w:hint="cs"/>
                <w:color w:val="000000"/>
                <w:sz w:val="28"/>
                <w:szCs w:val="28"/>
                <w:rtl/>
                <w:lang w:eastAsia="ar-EG" w:bidi="ar-EG"/>
              </w:rPr>
              <w:t> </w:t>
            </w:r>
            <w:r w:rsidRPr="006751AA">
              <w:rPr>
                <w:rFonts w:ascii="Arabic Typesetting" w:eastAsia="Arabic Typesetting" w:hAnsi="Arabic Typesetting" w:cs="Arabic Typesetting"/>
                <w:color w:val="000000"/>
                <w:sz w:val="28"/>
                <w:szCs w:val="28"/>
                <w:rtl/>
                <w:lang w:eastAsia="ar-EG" w:bidi="ar-EG"/>
              </w:rPr>
              <w:t>الأسفار (</w:t>
            </w:r>
            <w:r w:rsidRPr="006751AA">
              <w:rPr>
                <w:rFonts w:ascii="Arabic Typesetting" w:eastAsia="Arabic Typesetting" w:hAnsi="Arabic Typesetting" w:cs="Arabic Typesetting"/>
                <w:color w:val="000000"/>
                <w:sz w:val="28"/>
                <w:szCs w:val="28"/>
                <w:lang w:eastAsia="ar-EG" w:bidi="ar-EG"/>
              </w:rPr>
              <w:t>TMC</w:t>
            </w:r>
            <w:r w:rsidRPr="006751AA">
              <w:rPr>
                <w:rFonts w:ascii="Arabic Typesetting" w:eastAsia="Arabic Typesetting" w:hAnsi="Arabic Typesetting" w:cs="Arabic Typesetting"/>
                <w:color w:val="000000"/>
                <w:sz w:val="28"/>
                <w:szCs w:val="28"/>
                <w:rtl/>
                <w:lang w:eastAsia="ar-EG" w:bidi="ar-EG"/>
              </w:rPr>
              <w:t>)</w:t>
            </w:r>
            <w:r w:rsidR="00D3741B">
              <w:rPr>
                <w:rStyle w:val="FootnoteReference"/>
                <w:rFonts w:eastAsia="Arabic Typesetting"/>
                <w:color w:val="000000"/>
                <w:rtl/>
                <w:lang w:eastAsia="ar-EG" w:bidi="ar-EG"/>
              </w:rPr>
              <w:footnoteReference w:id="91"/>
            </w:r>
          </w:p>
        </w:tc>
        <w:tc>
          <w:tcPr>
            <w:tcW w:w="1313" w:type="pct"/>
            <w:shd w:val="clear" w:color="auto" w:fill="auto"/>
            <w:tcMar>
              <w:left w:w="58" w:type="dxa"/>
              <w:right w:w="58" w:type="dxa"/>
            </w:tcMar>
          </w:tcPr>
          <w:p w14:paraId="5A2A5200"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color w:val="002060"/>
                <w:sz w:val="28"/>
                <w:szCs w:val="28"/>
                <w:rtl/>
                <w:lang w:eastAsia="ar-EG" w:bidi="ar-EG"/>
              </w:rPr>
              <w:t>606 1 فرنكات سويسرية</w:t>
            </w:r>
          </w:p>
          <w:p w14:paraId="2498ADA8" w14:textId="77777777" w:rsidR="00BD3831" w:rsidRPr="006751AA" w:rsidRDefault="00BD3831" w:rsidP="0031289D">
            <w:pPr>
              <w:bidi/>
              <w:spacing w:after="120" w:line="280" w:lineRule="exact"/>
              <w:rPr>
                <w:rFonts w:ascii="Arabic Typesetting" w:eastAsia="Arabic Typesetting" w:hAnsi="Arabic Typesetting" w:cs="Arabic Typesetting"/>
                <w:i/>
                <w:color w:val="000000"/>
                <w:sz w:val="28"/>
                <w:szCs w:val="28"/>
                <w:lang w:eastAsia="ar-EG" w:bidi="ar-EG"/>
              </w:rPr>
            </w:pPr>
            <w:r w:rsidRPr="006751AA">
              <w:rPr>
                <w:rFonts w:ascii="Arabic Typesetting" w:eastAsia="Arabic Typesetting" w:hAnsi="Arabic Typesetting" w:cs="Arabic Typesetting"/>
                <w:i/>
                <w:iCs/>
                <w:color w:val="000000"/>
                <w:sz w:val="28"/>
                <w:szCs w:val="28"/>
                <w:rtl/>
                <w:lang w:eastAsia="ar-EG" w:bidi="ar-EG"/>
              </w:rPr>
              <w:t>‏أساس المقارنة الأصلي:</w:t>
            </w:r>
            <w:r>
              <w:rPr>
                <w:rFonts w:ascii="Arabic Typesetting" w:eastAsia="Arabic Typesetting" w:hAnsi="Arabic Typesetting" w:cs="Arabic Typesetting"/>
                <w:i/>
                <w:iCs/>
                <w:color w:val="000000"/>
                <w:sz w:val="28"/>
                <w:szCs w:val="28"/>
                <w:rtl/>
                <w:lang w:eastAsia="ar-EG" w:bidi="ar-EG"/>
              </w:rPr>
              <w:br/>
            </w:r>
            <w:r w:rsidRPr="006751AA">
              <w:rPr>
                <w:rFonts w:ascii="Arabic Typesetting" w:eastAsia="Arabic Typesetting" w:hAnsi="Arabic Typesetting" w:cs="Arabic Typesetting"/>
                <w:i/>
                <w:iCs/>
                <w:color w:val="000000"/>
                <w:sz w:val="28"/>
                <w:szCs w:val="28"/>
                <w:rtl/>
                <w:lang w:eastAsia="ar-EG" w:bidi="ar-EG"/>
              </w:rPr>
              <w:t>برنامج وميزانية 2016/17:</w:t>
            </w:r>
            <w:r w:rsidRPr="006751AA">
              <w:rPr>
                <w:rFonts w:ascii="Arabic Typesetting" w:eastAsia="Arabic Typesetting" w:hAnsi="Arabic Typesetting" w:cs="Arabic Typesetting"/>
                <w:i/>
                <w:color w:val="000000"/>
                <w:sz w:val="28"/>
                <w:szCs w:val="28"/>
                <w:lang w:eastAsia="ar-EG" w:bidi="ar-EG"/>
              </w:rPr>
              <w:br/>
            </w:r>
            <w:r w:rsidRPr="006751AA">
              <w:rPr>
                <w:rFonts w:ascii="Arabic Typesetting" w:eastAsia="Arabic Typesetting" w:hAnsi="Arabic Typesetting" w:cs="Arabic Typesetting"/>
                <w:color w:val="000000"/>
                <w:sz w:val="28"/>
                <w:szCs w:val="28"/>
                <w:rtl/>
                <w:lang w:eastAsia="ar-EG" w:bidi="ar-EG"/>
              </w:rPr>
              <w:t>850 1 فرنكاً سويسرياً (ديسمبر</w:t>
            </w:r>
            <w:r>
              <w:rPr>
                <w:rFonts w:ascii="Arabic Typesetting" w:eastAsia="Arabic Typesetting" w:hAnsi="Arabic Typesetting" w:cs="Arabic Typesetting" w:hint="cs"/>
                <w:color w:val="000000"/>
                <w:sz w:val="28"/>
                <w:szCs w:val="28"/>
                <w:rtl/>
                <w:lang w:eastAsia="ar-EG" w:bidi="ar-EG"/>
              </w:rPr>
              <w:t> </w:t>
            </w:r>
            <w:r w:rsidRPr="006751AA">
              <w:rPr>
                <w:rFonts w:ascii="Arabic Typesetting" w:eastAsia="Arabic Typesetting" w:hAnsi="Arabic Typesetting" w:cs="Arabic Typesetting"/>
                <w:color w:val="000000"/>
                <w:sz w:val="28"/>
                <w:szCs w:val="28"/>
                <w:rtl/>
                <w:lang w:eastAsia="ar-EG" w:bidi="ar-EG"/>
              </w:rPr>
              <w:t>2014)</w:t>
            </w:r>
          </w:p>
        </w:tc>
        <w:tc>
          <w:tcPr>
            <w:tcW w:w="1193" w:type="pct"/>
            <w:gridSpan w:val="2"/>
            <w:shd w:val="clear" w:color="auto" w:fill="auto"/>
            <w:tcMar>
              <w:top w:w="110" w:type="dxa"/>
              <w:left w:w="58" w:type="dxa"/>
              <w:right w:w="58" w:type="dxa"/>
            </w:tcMar>
          </w:tcPr>
          <w:p w14:paraId="104ACFD7"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606 1 فرنكات سويسرية أو أقل</w:t>
            </w:r>
          </w:p>
          <w:p w14:paraId="21141B5D"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sz w:val="28"/>
                <w:szCs w:val="28"/>
                <w:rtl/>
                <w:lang w:eastAsia="ar-EG" w:bidi="ar-EG"/>
              </w:rPr>
              <w:t>الهدف الأصلي:</w:t>
            </w:r>
            <w:r w:rsidRPr="006751AA">
              <w:rPr>
                <w:rFonts w:ascii="Arabic Typesetting" w:eastAsia="Arabic Typesetting" w:hAnsi="Arabic Typesetting" w:cs="Arabic Typesetting"/>
                <w:i/>
                <w:sz w:val="28"/>
                <w:szCs w:val="28"/>
                <w:lang w:eastAsia="ar-EG" w:bidi="ar-EG"/>
              </w:rPr>
              <w:br/>
            </w:r>
            <w:r w:rsidRPr="006751AA">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6751AA">
              <w:rPr>
                <w:rFonts w:ascii="Arabic Typesetting" w:eastAsia="Arabic Typesetting" w:hAnsi="Arabic Typesetting" w:cs="Arabic Typesetting"/>
                <w:color w:val="000000"/>
                <w:sz w:val="28"/>
                <w:szCs w:val="28"/>
                <w:rtl/>
                <w:lang w:eastAsia="ar-EG" w:bidi="ar-EG"/>
              </w:rPr>
              <w:t>850 1 فرنكاً سويسرياً أو أقل</w:t>
            </w:r>
          </w:p>
        </w:tc>
        <w:tc>
          <w:tcPr>
            <w:tcW w:w="815" w:type="pct"/>
            <w:shd w:val="clear" w:color="auto" w:fill="FFFFFF"/>
            <w:tcMar>
              <w:top w:w="110" w:type="dxa"/>
              <w:left w:w="58" w:type="dxa"/>
              <w:right w:w="58" w:type="dxa"/>
            </w:tcMar>
          </w:tcPr>
          <w:p w14:paraId="1B6A715D" w14:textId="77777777" w:rsidR="00BD3831" w:rsidRPr="006751AA"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374 1 فرنكاً سويسرياً</w:t>
            </w:r>
          </w:p>
        </w:tc>
        <w:tc>
          <w:tcPr>
            <w:tcW w:w="529" w:type="pct"/>
            <w:gridSpan w:val="2"/>
            <w:shd w:val="clear" w:color="auto" w:fill="auto"/>
            <w:tcMar>
              <w:top w:w="110" w:type="dxa"/>
              <w:left w:w="58" w:type="dxa"/>
              <w:right w:w="58" w:type="dxa"/>
            </w:tcMar>
          </w:tcPr>
          <w:p w14:paraId="5D8BC790"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color w:val="00B05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tc>
      </w:tr>
      <w:tr w:rsidR="00BD3831" w:rsidRPr="006751AA" w14:paraId="0C21953F" w14:textId="77777777" w:rsidTr="00DF6715">
        <w:trPr>
          <w:cantSplit/>
          <w:trHeight w:val="1262"/>
        </w:trPr>
        <w:tc>
          <w:tcPr>
            <w:tcW w:w="1151" w:type="pct"/>
            <w:gridSpan w:val="2"/>
            <w:shd w:val="clear" w:color="auto" w:fill="auto"/>
            <w:tcMar>
              <w:left w:w="58" w:type="dxa"/>
              <w:right w:w="58" w:type="dxa"/>
            </w:tcMar>
          </w:tcPr>
          <w:p w14:paraId="322B0C7A"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المتوسط العالمي لأسعار التذاكر</w:t>
            </w:r>
          </w:p>
        </w:tc>
        <w:tc>
          <w:tcPr>
            <w:tcW w:w="1313" w:type="pct"/>
            <w:shd w:val="clear" w:color="auto" w:fill="auto"/>
            <w:tcMar>
              <w:left w:w="58" w:type="dxa"/>
              <w:right w:w="58" w:type="dxa"/>
            </w:tcMar>
          </w:tcPr>
          <w:p w14:paraId="388A73F8"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 xml:space="preserve">481 1 فرنكاً سويسرياً </w:t>
            </w:r>
          </w:p>
          <w:p w14:paraId="328FCE28" w14:textId="77777777" w:rsidR="00BD3831" w:rsidRPr="006751AA" w:rsidRDefault="00BD3831"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6751AA">
              <w:rPr>
                <w:rFonts w:ascii="Arabic Typesetting" w:eastAsia="Arabic Typesetting" w:hAnsi="Arabic Typesetting" w:cs="Arabic Typesetting"/>
                <w:i/>
                <w:iCs/>
                <w:color w:val="000000"/>
                <w:sz w:val="28"/>
                <w:szCs w:val="28"/>
                <w:rtl/>
                <w:lang w:eastAsia="ar-EG" w:bidi="ar-EG"/>
              </w:rPr>
              <w:t>‏أساس المقارنة الأصلي:</w:t>
            </w:r>
            <w:r w:rsidRPr="006751AA">
              <w:rPr>
                <w:rFonts w:ascii="Arabic Typesetting" w:eastAsia="Arabic Typesetting" w:hAnsi="Arabic Typesetting" w:cs="Arabic Typesetting"/>
                <w:i/>
                <w:color w:val="000000"/>
                <w:sz w:val="28"/>
                <w:szCs w:val="28"/>
                <w:lang w:eastAsia="ar-EG" w:bidi="ar-EG"/>
              </w:rPr>
              <w:br/>
            </w:r>
            <w:r w:rsidRPr="006751AA">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6751AA">
              <w:rPr>
                <w:rFonts w:ascii="Arabic Typesetting" w:eastAsia="Arabic Typesetting" w:hAnsi="Arabic Typesetting" w:cs="Arabic Typesetting"/>
                <w:color w:val="000000"/>
                <w:sz w:val="28"/>
                <w:szCs w:val="28"/>
                <w:rtl/>
                <w:lang w:eastAsia="ar-EG" w:bidi="ar-EG"/>
              </w:rPr>
              <w:t>600 1 فرنك سويسري (ديسمبر</w:t>
            </w:r>
            <w:r>
              <w:rPr>
                <w:rFonts w:ascii="Arabic Typesetting" w:eastAsia="Arabic Typesetting" w:hAnsi="Arabic Typesetting" w:cs="Arabic Typesetting" w:hint="cs"/>
                <w:color w:val="000000"/>
                <w:sz w:val="28"/>
                <w:szCs w:val="28"/>
                <w:rtl/>
                <w:lang w:eastAsia="ar-EG" w:bidi="ar-EG"/>
              </w:rPr>
              <w:t> </w:t>
            </w:r>
            <w:r w:rsidRPr="006751AA">
              <w:rPr>
                <w:rFonts w:ascii="Arabic Typesetting" w:eastAsia="Arabic Typesetting" w:hAnsi="Arabic Typesetting" w:cs="Arabic Typesetting"/>
                <w:color w:val="000000"/>
                <w:sz w:val="28"/>
                <w:szCs w:val="28"/>
                <w:rtl/>
                <w:lang w:eastAsia="ar-EG" w:bidi="ar-EG"/>
              </w:rPr>
              <w:t>2014)</w:t>
            </w:r>
          </w:p>
        </w:tc>
        <w:tc>
          <w:tcPr>
            <w:tcW w:w="1193" w:type="pct"/>
            <w:gridSpan w:val="2"/>
            <w:shd w:val="clear" w:color="auto" w:fill="auto"/>
            <w:tcMar>
              <w:top w:w="110" w:type="dxa"/>
              <w:left w:w="58" w:type="dxa"/>
              <w:right w:w="58" w:type="dxa"/>
            </w:tcMar>
          </w:tcPr>
          <w:p w14:paraId="51E49EEF"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481 1 فرنكاً سويسرياً أو أقل</w:t>
            </w:r>
          </w:p>
          <w:p w14:paraId="4AB21ED3"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sz w:val="28"/>
                <w:szCs w:val="28"/>
                <w:rtl/>
                <w:lang w:eastAsia="ar-EG" w:bidi="ar-EG"/>
              </w:rPr>
              <w:t>الهدف الأصلي:</w:t>
            </w:r>
            <w:r w:rsidRPr="006751AA">
              <w:rPr>
                <w:rFonts w:ascii="Arabic Typesetting" w:eastAsia="Arabic Typesetting" w:hAnsi="Arabic Typesetting" w:cs="Arabic Typesetting"/>
                <w:i/>
                <w:sz w:val="28"/>
                <w:szCs w:val="28"/>
                <w:lang w:eastAsia="ar-EG" w:bidi="ar-EG"/>
              </w:rPr>
              <w:br/>
            </w:r>
            <w:r w:rsidRPr="006751AA">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600 1 فرنك سويسري أو أقل</w:t>
            </w:r>
          </w:p>
        </w:tc>
        <w:tc>
          <w:tcPr>
            <w:tcW w:w="815" w:type="pct"/>
            <w:shd w:val="clear" w:color="auto" w:fill="FFFFFF"/>
            <w:tcMar>
              <w:top w:w="110" w:type="dxa"/>
              <w:left w:w="58" w:type="dxa"/>
              <w:right w:w="58" w:type="dxa"/>
            </w:tcMar>
          </w:tcPr>
          <w:p w14:paraId="2E5562FD" w14:textId="77777777" w:rsidR="00BD3831" w:rsidRPr="006751AA"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315 1 فرنكاً سويسرياً</w:t>
            </w:r>
          </w:p>
        </w:tc>
        <w:tc>
          <w:tcPr>
            <w:tcW w:w="529" w:type="pct"/>
            <w:gridSpan w:val="2"/>
            <w:shd w:val="clear" w:color="auto" w:fill="auto"/>
            <w:tcMar>
              <w:top w:w="110" w:type="dxa"/>
              <w:left w:w="58" w:type="dxa"/>
              <w:right w:w="58" w:type="dxa"/>
            </w:tcMar>
          </w:tcPr>
          <w:p w14:paraId="1CC351B0"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color w:val="00B05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tc>
      </w:tr>
      <w:tr w:rsidR="00BD3831" w:rsidRPr="006751AA" w14:paraId="67F70C17" w14:textId="77777777" w:rsidTr="00DF6715">
        <w:trPr>
          <w:cantSplit/>
          <w:trHeight w:val="576"/>
        </w:trPr>
        <w:tc>
          <w:tcPr>
            <w:tcW w:w="1151" w:type="pct"/>
            <w:gridSpan w:val="2"/>
            <w:shd w:val="clear" w:color="auto" w:fill="auto"/>
            <w:tcMar>
              <w:left w:w="58" w:type="dxa"/>
              <w:right w:w="58" w:type="dxa"/>
            </w:tcMar>
          </w:tcPr>
          <w:p w14:paraId="7F675039"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متوسط رسوم الخدمات</w:t>
            </w:r>
          </w:p>
        </w:tc>
        <w:tc>
          <w:tcPr>
            <w:tcW w:w="1313" w:type="pct"/>
            <w:shd w:val="clear" w:color="auto" w:fill="auto"/>
            <w:tcMar>
              <w:left w:w="58" w:type="dxa"/>
              <w:right w:w="58" w:type="dxa"/>
            </w:tcMar>
          </w:tcPr>
          <w:p w14:paraId="397D9FB5"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95 فرنك</w:t>
            </w:r>
            <w:r>
              <w:rPr>
                <w:rFonts w:ascii="Arabic Typesetting" w:eastAsia="Arabic Typesetting" w:hAnsi="Arabic Typesetting" w:cs="Arabic Typesetting" w:hint="cs"/>
                <w:color w:val="002060"/>
                <w:sz w:val="28"/>
                <w:szCs w:val="28"/>
                <w:rtl/>
                <w:lang w:eastAsia="ar-EG" w:bidi="ar-EG"/>
              </w:rPr>
              <w:t>اً</w:t>
            </w:r>
            <w:r w:rsidRPr="006751AA">
              <w:rPr>
                <w:rFonts w:ascii="Arabic Typesetting" w:eastAsia="Arabic Typesetting" w:hAnsi="Arabic Typesetting" w:cs="Arabic Typesetting"/>
                <w:color w:val="002060"/>
                <w:sz w:val="28"/>
                <w:szCs w:val="28"/>
                <w:rtl/>
                <w:lang w:eastAsia="ar-EG" w:bidi="ar-EG"/>
              </w:rPr>
              <w:t xml:space="preserve"> سويسري</w:t>
            </w:r>
            <w:r>
              <w:rPr>
                <w:rFonts w:ascii="Arabic Typesetting" w:eastAsia="Arabic Typesetting" w:hAnsi="Arabic Typesetting" w:cs="Arabic Typesetting" w:hint="cs"/>
                <w:color w:val="002060"/>
                <w:sz w:val="28"/>
                <w:szCs w:val="28"/>
                <w:rtl/>
                <w:lang w:eastAsia="ar-EG" w:bidi="ar-EG"/>
              </w:rPr>
              <w:t>اً</w:t>
            </w:r>
          </w:p>
          <w:p w14:paraId="2364A61E" w14:textId="11D83EF6" w:rsidR="00BD3831" w:rsidRPr="006751AA" w:rsidRDefault="00BD3831"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6751AA">
              <w:rPr>
                <w:rFonts w:ascii="Arabic Typesetting" w:eastAsia="Arabic Typesetting" w:hAnsi="Arabic Typesetting" w:cs="Arabic Typesetting"/>
                <w:i/>
                <w:iCs/>
                <w:color w:val="000000"/>
                <w:sz w:val="28"/>
                <w:szCs w:val="28"/>
                <w:rtl/>
                <w:lang w:eastAsia="ar-EG" w:bidi="ar-EG"/>
              </w:rPr>
              <w:t>‏أساس المقارنة الأصلي:</w:t>
            </w:r>
            <w:r w:rsidRPr="006751AA">
              <w:rPr>
                <w:rFonts w:ascii="Arabic Typesetting" w:eastAsia="Arabic Typesetting" w:hAnsi="Arabic Typesetting" w:cs="Arabic Typesetting"/>
                <w:i/>
                <w:color w:val="000000"/>
                <w:sz w:val="28"/>
                <w:szCs w:val="28"/>
                <w:lang w:eastAsia="ar-EG" w:bidi="ar-EG"/>
              </w:rPr>
              <w:br/>
            </w:r>
            <w:r w:rsidRPr="006751AA">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6751AA">
              <w:rPr>
                <w:rFonts w:ascii="Arabic Typesetting" w:eastAsia="Arabic Typesetting" w:hAnsi="Arabic Typesetting" w:cs="Arabic Typesetting"/>
                <w:color w:val="000000"/>
                <w:sz w:val="28"/>
                <w:szCs w:val="28"/>
                <w:rtl/>
                <w:lang w:eastAsia="ar-EG" w:bidi="ar-EG"/>
              </w:rPr>
              <w:t>118 فرنك</w:t>
            </w:r>
            <w:r w:rsidR="00D02C02">
              <w:rPr>
                <w:rFonts w:ascii="Arabic Typesetting" w:eastAsia="Arabic Typesetting" w:hAnsi="Arabic Typesetting" w:cs="Arabic Typesetting" w:hint="cs"/>
                <w:color w:val="000000"/>
                <w:sz w:val="28"/>
                <w:szCs w:val="28"/>
                <w:rtl/>
                <w:lang w:eastAsia="ar-EG" w:bidi="ar-EG"/>
              </w:rPr>
              <w:t>اً</w:t>
            </w:r>
            <w:r>
              <w:rPr>
                <w:rFonts w:ascii="Arabic Typesetting" w:eastAsia="Arabic Typesetting" w:hAnsi="Arabic Typesetting" w:cs="Arabic Typesetting" w:hint="cs"/>
                <w:color w:val="000000"/>
                <w:sz w:val="28"/>
                <w:szCs w:val="28"/>
                <w:rtl/>
                <w:lang w:eastAsia="ar-EG" w:bidi="ar-EG"/>
              </w:rPr>
              <w:t xml:space="preserve"> سويسرياً</w:t>
            </w:r>
            <w:r w:rsidRPr="006751AA">
              <w:rPr>
                <w:rFonts w:ascii="Arabic Typesetting" w:eastAsia="Arabic Typesetting" w:hAnsi="Arabic Typesetting" w:cs="Arabic Typesetting"/>
                <w:color w:val="000000"/>
                <w:sz w:val="28"/>
                <w:szCs w:val="28"/>
                <w:rtl/>
                <w:lang w:eastAsia="ar-EG" w:bidi="ar-EG"/>
              </w:rPr>
              <w:t xml:space="preserve"> (نهاية 2014)</w:t>
            </w:r>
          </w:p>
        </w:tc>
        <w:tc>
          <w:tcPr>
            <w:tcW w:w="1193" w:type="pct"/>
            <w:gridSpan w:val="2"/>
            <w:shd w:val="clear" w:color="auto" w:fill="auto"/>
            <w:tcMar>
              <w:top w:w="110" w:type="dxa"/>
              <w:left w:w="58" w:type="dxa"/>
              <w:right w:w="58" w:type="dxa"/>
            </w:tcMar>
          </w:tcPr>
          <w:p w14:paraId="67458BB0"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أكثر من 100 فرنك سويسري</w:t>
            </w:r>
          </w:p>
        </w:tc>
        <w:tc>
          <w:tcPr>
            <w:tcW w:w="815" w:type="pct"/>
            <w:shd w:val="clear" w:color="auto" w:fill="FFFFFF"/>
            <w:tcMar>
              <w:top w:w="110" w:type="dxa"/>
              <w:left w:w="58" w:type="dxa"/>
              <w:right w:w="58" w:type="dxa"/>
            </w:tcMar>
          </w:tcPr>
          <w:p w14:paraId="720CC104" w14:textId="77777777" w:rsidR="00BD3831" w:rsidRPr="006751AA"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92 فرنكاً سويسرياً</w:t>
            </w:r>
          </w:p>
        </w:tc>
        <w:tc>
          <w:tcPr>
            <w:tcW w:w="529" w:type="pct"/>
            <w:gridSpan w:val="2"/>
            <w:shd w:val="clear" w:color="auto" w:fill="auto"/>
            <w:tcMar>
              <w:top w:w="110" w:type="dxa"/>
              <w:left w:w="58" w:type="dxa"/>
              <w:right w:w="58" w:type="dxa"/>
            </w:tcMar>
          </w:tcPr>
          <w:p w14:paraId="6E55ADBD"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tc>
      </w:tr>
      <w:tr w:rsidR="00BD3831" w:rsidRPr="006751AA" w14:paraId="7A72E23E" w14:textId="77777777" w:rsidTr="00DF6715">
        <w:trPr>
          <w:cantSplit/>
          <w:trHeight w:val="1885"/>
        </w:trPr>
        <w:tc>
          <w:tcPr>
            <w:tcW w:w="1151" w:type="pct"/>
            <w:gridSpan w:val="2"/>
            <w:shd w:val="clear" w:color="auto" w:fill="auto"/>
            <w:tcMar>
              <w:left w:w="58" w:type="dxa"/>
              <w:right w:w="58" w:type="dxa"/>
            </w:tcMar>
          </w:tcPr>
          <w:p w14:paraId="0B97C5DF"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 xml:space="preserve">مباني الويبو </w:t>
            </w:r>
            <w:r>
              <w:rPr>
                <w:rFonts w:ascii="Arabic Typesetting" w:eastAsia="Arabic Typesetting" w:hAnsi="Arabic Typesetting" w:cs="Arabic Typesetting"/>
                <w:color w:val="000000"/>
                <w:sz w:val="28"/>
                <w:szCs w:val="28"/>
                <w:rtl/>
                <w:lang w:eastAsia="ar-EG" w:bidi="ar-EG"/>
              </w:rPr>
              <w:t>وتجهيزاتها لا تزال ملائمة للغرض</w:t>
            </w:r>
          </w:p>
        </w:tc>
        <w:tc>
          <w:tcPr>
            <w:tcW w:w="1313" w:type="pct"/>
            <w:shd w:val="clear" w:color="auto" w:fill="auto"/>
            <w:tcMar>
              <w:left w:w="58" w:type="dxa"/>
              <w:right w:w="58" w:type="dxa"/>
            </w:tcMar>
          </w:tcPr>
          <w:p w14:paraId="588EA49F" w14:textId="77777777" w:rsidR="00BD3831" w:rsidRPr="006751AA"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sz w:val="28"/>
                <w:szCs w:val="28"/>
                <w:rtl/>
                <w:lang w:eastAsia="ar-EG" w:bidi="ar-EG"/>
              </w:rPr>
              <w:t>الحد الأقصى لتعطُّل أحد التجهيزات التقنية (الكهرباء أو الماء أو التدفئة أو</w:t>
            </w:r>
            <w:r>
              <w:rPr>
                <w:rFonts w:ascii="Arabic Typesetting" w:eastAsia="Arabic Typesetting" w:hAnsi="Arabic Typesetting" w:cs="Arabic Typesetting" w:hint="cs"/>
                <w:sz w:val="28"/>
                <w:szCs w:val="28"/>
                <w:rtl/>
                <w:lang w:eastAsia="ar-EG" w:bidi="ar-EG"/>
              </w:rPr>
              <w:t> </w:t>
            </w:r>
            <w:r w:rsidRPr="006751AA">
              <w:rPr>
                <w:rFonts w:ascii="Arabic Typesetting" w:eastAsia="Arabic Typesetting" w:hAnsi="Arabic Typesetting" w:cs="Arabic Typesetting"/>
                <w:sz w:val="28"/>
                <w:szCs w:val="28"/>
                <w:rtl/>
                <w:lang w:eastAsia="ar-EG" w:bidi="ar-EG"/>
              </w:rPr>
              <w:t>التبريد أو التهوية) التي تؤثر في أنشطة الويبو الأساسية هو يوم عمل واحد في السنة.</w:t>
            </w:r>
          </w:p>
        </w:tc>
        <w:tc>
          <w:tcPr>
            <w:tcW w:w="1193" w:type="pct"/>
            <w:gridSpan w:val="2"/>
            <w:shd w:val="clear" w:color="auto" w:fill="auto"/>
            <w:tcMar>
              <w:top w:w="110" w:type="dxa"/>
              <w:left w:w="58" w:type="dxa"/>
              <w:right w:w="58" w:type="dxa"/>
            </w:tcMar>
          </w:tcPr>
          <w:p w14:paraId="734E52D5"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عدم زيادة الحد الأقصى لتعطُّل أحد التجهيزات التقنية (الكهرباء أو الماء أو التدفئة أو التبريد أو التهوية) التي تؤثر في أنشطة الويبو الأسا</w:t>
            </w:r>
            <w:r>
              <w:rPr>
                <w:rFonts w:ascii="Arabic Typesetting" w:eastAsia="Arabic Typesetting" w:hAnsi="Arabic Typesetting" w:cs="Arabic Typesetting"/>
                <w:color w:val="000000"/>
                <w:sz w:val="28"/>
                <w:szCs w:val="28"/>
                <w:rtl/>
                <w:lang w:eastAsia="ar-EG" w:bidi="ar-EG"/>
              </w:rPr>
              <w:t>سية على يوم عمل واحد في السنة.</w:t>
            </w:r>
          </w:p>
        </w:tc>
        <w:tc>
          <w:tcPr>
            <w:tcW w:w="815" w:type="pct"/>
            <w:shd w:val="clear" w:color="auto" w:fill="FFFFFF"/>
            <w:tcMar>
              <w:top w:w="110" w:type="dxa"/>
              <w:left w:w="58" w:type="dxa"/>
              <w:right w:w="58" w:type="dxa"/>
            </w:tcMar>
          </w:tcPr>
          <w:p w14:paraId="1ECCA4E0" w14:textId="77777777" w:rsidR="00BD3831" w:rsidRPr="006751AA"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sz w:val="28"/>
                <w:szCs w:val="28"/>
                <w:rtl/>
                <w:lang w:eastAsia="ar-EG" w:bidi="ar-EG"/>
              </w:rPr>
              <w:t>عدم تعطل أحد التجهيزات التقنية التي تؤثر في أنشطة الويبو الأساسية أي يوم عمل.</w:t>
            </w:r>
          </w:p>
        </w:tc>
        <w:tc>
          <w:tcPr>
            <w:tcW w:w="529" w:type="pct"/>
            <w:gridSpan w:val="2"/>
            <w:shd w:val="clear" w:color="auto" w:fill="auto"/>
            <w:tcMar>
              <w:top w:w="110" w:type="dxa"/>
              <w:left w:w="58" w:type="dxa"/>
              <w:right w:w="58" w:type="dxa"/>
            </w:tcMar>
          </w:tcPr>
          <w:p w14:paraId="2BDDE3A4"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tc>
      </w:tr>
      <w:tr w:rsidR="00BD3831" w:rsidRPr="006751AA" w14:paraId="79F99B51" w14:textId="77777777" w:rsidTr="00DF6715">
        <w:trPr>
          <w:cantSplit/>
          <w:trHeight w:val="301"/>
        </w:trPr>
        <w:tc>
          <w:tcPr>
            <w:tcW w:w="1151" w:type="pct"/>
            <w:gridSpan w:val="2"/>
            <w:shd w:val="clear" w:color="auto" w:fill="auto"/>
            <w:tcMar>
              <w:left w:w="58" w:type="dxa"/>
              <w:right w:w="58" w:type="dxa"/>
            </w:tcMar>
          </w:tcPr>
          <w:p w14:paraId="245E524C"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lastRenderedPageBreak/>
              <w:t>استخدام مباني الويبو وجميع أنواع الأماكن وشغلها على الوجه الأمثل</w:t>
            </w:r>
          </w:p>
        </w:tc>
        <w:tc>
          <w:tcPr>
            <w:tcW w:w="1313" w:type="pct"/>
            <w:shd w:val="clear" w:color="auto" w:fill="auto"/>
            <w:tcMar>
              <w:left w:w="58" w:type="dxa"/>
              <w:right w:w="58" w:type="dxa"/>
            </w:tcMar>
          </w:tcPr>
          <w:p w14:paraId="5187E521"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‏80 مكان عمل م</w:t>
            </w:r>
            <w:r>
              <w:rPr>
                <w:rFonts w:ascii="Arabic Typesetting" w:eastAsia="Arabic Typesetting" w:hAnsi="Arabic Typesetting" w:cs="Arabic Typesetting"/>
                <w:color w:val="000000"/>
                <w:sz w:val="28"/>
                <w:szCs w:val="28"/>
                <w:rtl/>
                <w:lang w:eastAsia="ar-EG" w:bidi="ar-EG"/>
              </w:rPr>
              <w:t>ستأجرا و5 مناطق خارجية للتخزين/</w:t>
            </w:r>
            <w:r w:rsidRPr="006751AA">
              <w:rPr>
                <w:rFonts w:ascii="Arabic Typesetting" w:eastAsia="Arabic Typesetting" w:hAnsi="Arabic Typesetting" w:cs="Arabic Typesetting"/>
                <w:color w:val="000000"/>
                <w:sz w:val="28"/>
                <w:szCs w:val="28"/>
                <w:rtl/>
                <w:lang w:eastAsia="ar-EG" w:bidi="ar-EG"/>
              </w:rPr>
              <w:t>حفظ الوثائق</w:t>
            </w:r>
          </w:p>
        </w:tc>
        <w:tc>
          <w:tcPr>
            <w:tcW w:w="1193" w:type="pct"/>
            <w:gridSpan w:val="2"/>
            <w:shd w:val="clear" w:color="auto" w:fill="auto"/>
            <w:tcMar>
              <w:top w:w="110" w:type="dxa"/>
              <w:left w:w="58" w:type="dxa"/>
              <w:right w:w="58" w:type="dxa"/>
            </w:tcMar>
          </w:tcPr>
          <w:p w14:paraId="656E13AE"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الحفاظ على 80 مكان عمل مستأج</w:t>
            </w:r>
            <w:r>
              <w:rPr>
                <w:rFonts w:ascii="Arabic Typesetting" w:eastAsia="Arabic Typesetting" w:hAnsi="Arabic Typesetting" w:cs="Arabic Typesetting"/>
                <w:color w:val="002060"/>
                <w:sz w:val="28"/>
                <w:szCs w:val="28"/>
                <w:rtl/>
                <w:lang w:eastAsia="ar-EG" w:bidi="ar-EG"/>
              </w:rPr>
              <w:t>ر، وتقليص مناطق خارجية للتخزين/</w:t>
            </w:r>
            <w:r w:rsidRPr="006751AA">
              <w:rPr>
                <w:rFonts w:ascii="Arabic Typesetting" w:eastAsia="Arabic Typesetting" w:hAnsi="Arabic Typesetting" w:cs="Arabic Typesetting"/>
                <w:color w:val="002060"/>
                <w:sz w:val="28"/>
                <w:szCs w:val="28"/>
                <w:rtl/>
                <w:lang w:eastAsia="ar-EG" w:bidi="ar-EG"/>
              </w:rPr>
              <w:t>حفظ الوثائق إلى 4 مناطق</w:t>
            </w:r>
          </w:p>
          <w:p w14:paraId="4AF5DB3E"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sz w:val="28"/>
                <w:szCs w:val="28"/>
                <w:rtl/>
                <w:lang w:eastAsia="ar-EG" w:bidi="ar-EG"/>
              </w:rPr>
              <w:t>الهدف الأصلي:</w:t>
            </w:r>
            <w:r w:rsidRPr="006751AA">
              <w:rPr>
                <w:rFonts w:ascii="Arabic Typesetting" w:eastAsia="Arabic Typesetting" w:hAnsi="Arabic Typesetting" w:cs="Arabic Typesetting"/>
                <w:i/>
                <w:sz w:val="28"/>
                <w:szCs w:val="28"/>
                <w:lang w:eastAsia="ar-EG" w:bidi="ar-EG"/>
              </w:rPr>
              <w:br/>
            </w:r>
            <w:r w:rsidRPr="006751AA">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6751AA">
              <w:rPr>
                <w:rFonts w:ascii="Arabic Typesetting" w:eastAsia="Arabic Typesetting" w:hAnsi="Arabic Typesetting" w:cs="Arabic Typesetting"/>
                <w:color w:val="000000"/>
                <w:sz w:val="28"/>
                <w:szCs w:val="28"/>
                <w:rtl/>
                <w:lang w:eastAsia="ar-EG" w:bidi="ar-EG"/>
              </w:rPr>
              <w:t>الحفاظ على 80 مكان عمل مستأجراً و5 مناطق خارجية للتخزين/ حفظ الوثائق</w:t>
            </w:r>
          </w:p>
        </w:tc>
        <w:tc>
          <w:tcPr>
            <w:tcW w:w="815" w:type="pct"/>
            <w:shd w:val="clear" w:color="auto" w:fill="FFFFFF"/>
            <w:tcMar>
              <w:top w:w="110" w:type="dxa"/>
              <w:left w:w="58" w:type="dxa"/>
              <w:right w:w="58" w:type="dxa"/>
            </w:tcMar>
          </w:tcPr>
          <w:p w14:paraId="54E8BBFA" w14:textId="77777777" w:rsidR="00BD3831" w:rsidRPr="006751AA"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sz w:val="28"/>
                <w:szCs w:val="28"/>
                <w:rtl/>
                <w:lang w:eastAsia="ar-EG" w:bidi="ar-EG"/>
              </w:rPr>
              <w:t>حوفظ على 80 مكان عمل مس</w:t>
            </w:r>
            <w:r>
              <w:rPr>
                <w:rFonts w:ascii="Arabic Typesetting" w:eastAsia="Arabic Typesetting" w:hAnsi="Arabic Typesetting" w:cs="Arabic Typesetting"/>
                <w:sz w:val="28"/>
                <w:szCs w:val="28"/>
                <w:rtl/>
                <w:lang w:eastAsia="ar-EG" w:bidi="ar-EG"/>
              </w:rPr>
              <w:t>تأجراً و4 مناطق خارجية للتخزين/</w:t>
            </w:r>
            <w:r w:rsidRPr="006751AA">
              <w:rPr>
                <w:rFonts w:ascii="Arabic Typesetting" w:eastAsia="Arabic Typesetting" w:hAnsi="Arabic Typesetting" w:cs="Arabic Typesetting"/>
                <w:sz w:val="28"/>
                <w:szCs w:val="28"/>
                <w:rtl/>
                <w:lang w:eastAsia="ar-EG" w:bidi="ar-EG"/>
              </w:rPr>
              <w:t>حفظ الوثائق (أي منطقة أقل عن نهاية عام 2015)</w:t>
            </w:r>
          </w:p>
        </w:tc>
        <w:tc>
          <w:tcPr>
            <w:tcW w:w="529" w:type="pct"/>
            <w:gridSpan w:val="2"/>
            <w:shd w:val="clear" w:color="auto" w:fill="auto"/>
            <w:tcMar>
              <w:top w:w="110" w:type="dxa"/>
              <w:left w:w="58" w:type="dxa"/>
              <w:right w:w="58" w:type="dxa"/>
            </w:tcMar>
          </w:tcPr>
          <w:p w14:paraId="7F805995"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tc>
      </w:tr>
      <w:tr w:rsidR="00BD3831" w:rsidRPr="006751AA" w14:paraId="45B76C3C" w14:textId="77777777" w:rsidTr="00DF6715">
        <w:trPr>
          <w:cantSplit/>
          <w:trHeight w:val="576"/>
        </w:trPr>
        <w:tc>
          <w:tcPr>
            <w:tcW w:w="1151" w:type="pct"/>
            <w:gridSpan w:val="2"/>
            <w:shd w:val="clear" w:color="auto" w:fill="auto"/>
            <w:tcMar>
              <w:left w:w="58" w:type="dxa"/>
              <w:right w:w="58" w:type="dxa"/>
            </w:tcMar>
          </w:tcPr>
          <w:p w14:paraId="77C86BBB"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النسبة المئوية للعناصر العالية القيمة (أي أعلى من 000 5 فرنك سويسري) الخاضعة للجرد</w:t>
            </w:r>
            <w:r w:rsidRPr="006751AA">
              <w:rPr>
                <w:rFonts w:ascii="Arabic Typesetting" w:eastAsia="Arabic Typesetting" w:hAnsi="Arabic Typesetting" w:cs="Arabic Typesetting"/>
                <w:color w:val="000000"/>
                <w:sz w:val="28"/>
                <w:szCs w:val="28"/>
                <w:vertAlign w:val="superscript"/>
                <w:lang w:eastAsia="ar-EG" w:bidi="ar-EG"/>
              </w:rPr>
              <w:footnoteReference w:id="92"/>
            </w:r>
          </w:p>
        </w:tc>
        <w:tc>
          <w:tcPr>
            <w:tcW w:w="1313" w:type="pct"/>
            <w:shd w:val="clear" w:color="auto" w:fill="auto"/>
            <w:tcMar>
              <w:left w:w="58" w:type="dxa"/>
              <w:right w:w="58" w:type="dxa"/>
            </w:tcMar>
          </w:tcPr>
          <w:p w14:paraId="5ED9E822" w14:textId="77777777" w:rsidR="00BD3831" w:rsidRPr="006751AA" w:rsidRDefault="00BD3831" w:rsidP="0031289D">
            <w:pPr>
              <w:bidi/>
              <w:spacing w:after="120" w:line="280" w:lineRule="exact"/>
              <w:rPr>
                <w:rFonts w:ascii="Arabic Typesetting" w:eastAsia="Arabic Typesetting" w:hAnsi="Arabic Typesetting" w:cs="Arabic Typesetting"/>
                <w:i/>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95%</w:t>
            </w:r>
          </w:p>
        </w:tc>
        <w:tc>
          <w:tcPr>
            <w:tcW w:w="1193" w:type="pct"/>
            <w:gridSpan w:val="2"/>
            <w:shd w:val="clear" w:color="auto" w:fill="auto"/>
            <w:tcMar>
              <w:top w:w="110" w:type="dxa"/>
              <w:left w:w="58" w:type="dxa"/>
              <w:right w:w="58" w:type="dxa"/>
            </w:tcMar>
          </w:tcPr>
          <w:p w14:paraId="68AB3C49"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الحفاظ على نسبة 95%</w:t>
            </w:r>
          </w:p>
        </w:tc>
        <w:tc>
          <w:tcPr>
            <w:tcW w:w="815" w:type="pct"/>
            <w:shd w:val="clear" w:color="auto" w:fill="FFFFFF"/>
            <w:tcMar>
              <w:top w:w="110" w:type="dxa"/>
              <w:left w:w="58" w:type="dxa"/>
              <w:right w:w="58" w:type="dxa"/>
            </w:tcMar>
          </w:tcPr>
          <w:p w14:paraId="0C34B7DB" w14:textId="77777777" w:rsidR="00BD3831" w:rsidRPr="006751AA"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6751AA">
              <w:rPr>
                <w:rFonts w:ascii="Arabic Typesetting" w:eastAsia="Arabic Typesetting" w:hAnsi="Arabic Typesetting" w:cs="Arabic Typesetting"/>
                <w:sz w:val="28"/>
                <w:szCs w:val="28"/>
                <w:rtl/>
                <w:lang w:eastAsia="ar-EG" w:bidi="ar-EG"/>
              </w:rPr>
              <w:t xml:space="preserve">جرد 95% </w:t>
            </w:r>
          </w:p>
        </w:tc>
        <w:tc>
          <w:tcPr>
            <w:tcW w:w="529" w:type="pct"/>
            <w:gridSpan w:val="2"/>
            <w:shd w:val="clear" w:color="auto" w:fill="auto"/>
            <w:tcMar>
              <w:top w:w="110" w:type="dxa"/>
              <w:left w:w="58" w:type="dxa"/>
              <w:right w:w="58" w:type="dxa"/>
            </w:tcMar>
          </w:tcPr>
          <w:p w14:paraId="5D7DFF49"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tc>
      </w:tr>
      <w:tr w:rsidR="00BD3831" w:rsidRPr="006751AA" w14:paraId="4CD78BAF" w14:textId="77777777" w:rsidTr="00DF6715">
        <w:trPr>
          <w:cantSplit/>
          <w:trHeight w:val="401"/>
        </w:trPr>
        <w:tc>
          <w:tcPr>
            <w:tcW w:w="1151" w:type="pct"/>
            <w:gridSpan w:val="2"/>
            <w:shd w:val="clear" w:color="auto" w:fill="auto"/>
            <w:tcMar>
              <w:left w:w="58" w:type="dxa"/>
              <w:right w:w="58" w:type="dxa"/>
            </w:tcMar>
          </w:tcPr>
          <w:p w14:paraId="28C01609"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النسبة المئوية للعناصر التي تتراوح قيمتها بين 000 1 و000 5 فرنك سويسري، والمصنفات الفنية والعناصر الجذّابة</w:t>
            </w:r>
          </w:p>
        </w:tc>
        <w:tc>
          <w:tcPr>
            <w:tcW w:w="1313" w:type="pct"/>
            <w:shd w:val="clear" w:color="auto" w:fill="auto"/>
            <w:tcMar>
              <w:left w:w="58" w:type="dxa"/>
              <w:right w:w="58" w:type="dxa"/>
            </w:tcMar>
          </w:tcPr>
          <w:p w14:paraId="6C1A21BF" w14:textId="77777777" w:rsidR="00BD3831" w:rsidRPr="006751AA" w:rsidRDefault="00BD3831" w:rsidP="0031289D">
            <w:pPr>
              <w:bidi/>
              <w:spacing w:after="120" w:line="280" w:lineRule="exact"/>
              <w:rPr>
                <w:rFonts w:ascii="Arabic Typesetting" w:eastAsia="Arabic Typesetting" w:hAnsi="Arabic Typesetting" w:cs="Arabic Typesetting"/>
                <w:i/>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غير متاح</w:t>
            </w:r>
          </w:p>
        </w:tc>
        <w:tc>
          <w:tcPr>
            <w:tcW w:w="1193" w:type="pct"/>
            <w:gridSpan w:val="2"/>
            <w:shd w:val="clear" w:color="auto" w:fill="auto"/>
            <w:tcMar>
              <w:top w:w="110" w:type="dxa"/>
              <w:left w:w="58" w:type="dxa"/>
              <w:right w:w="58" w:type="dxa"/>
            </w:tcMar>
          </w:tcPr>
          <w:p w14:paraId="418D8B5B" w14:textId="77777777" w:rsidR="00BD3831" w:rsidRPr="006751AA" w:rsidRDefault="00BD3831" w:rsidP="0031289D">
            <w:pPr>
              <w:bidi/>
              <w:spacing w:after="120" w:line="280" w:lineRule="exact"/>
              <w:ind w:firstLine="57"/>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90%</w:t>
            </w:r>
          </w:p>
        </w:tc>
        <w:tc>
          <w:tcPr>
            <w:tcW w:w="815" w:type="pct"/>
            <w:shd w:val="clear" w:color="auto" w:fill="FFFFFF"/>
            <w:tcMar>
              <w:top w:w="110" w:type="dxa"/>
              <w:left w:w="58" w:type="dxa"/>
              <w:right w:w="58" w:type="dxa"/>
            </w:tcMar>
          </w:tcPr>
          <w:p w14:paraId="6E27FC58" w14:textId="77777777" w:rsidR="00BD3831"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6751AA">
              <w:rPr>
                <w:rFonts w:ascii="Arabic Typesetting" w:eastAsia="Arabic Typesetting" w:hAnsi="Arabic Typesetting" w:cs="Arabic Typesetting"/>
                <w:sz w:val="28"/>
                <w:szCs w:val="28"/>
                <w:rtl/>
                <w:lang w:eastAsia="ar-EG" w:bidi="ar-EG"/>
              </w:rPr>
              <w:t>جرد 99% من المصنفات الفنية</w:t>
            </w:r>
            <w:r w:rsidRPr="006751AA">
              <w:rPr>
                <w:rFonts w:ascii="Arabic Typesetting" w:eastAsia="Arabic Typesetting" w:hAnsi="Arabic Typesetting" w:cs="Arabic Typesetting"/>
                <w:sz w:val="28"/>
                <w:szCs w:val="28"/>
                <w:vertAlign w:val="superscript"/>
                <w:lang w:eastAsia="ar-EG" w:bidi="ar-EG"/>
              </w:rPr>
              <w:footnoteReference w:id="93"/>
            </w:r>
          </w:p>
          <w:p w14:paraId="0F08B774" w14:textId="56FB177D" w:rsidR="00BD3831" w:rsidRPr="006751AA" w:rsidRDefault="00BD3831" w:rsidP="008E6403">
            <w:pPr>
              <w:keepNext/>
              <w:keepLines/>
              <w:bidi/>
              <w:spacing w:after="120" w:line="280" w:lineRule="exact"/>
              <w:rPr>
                <w:rFonts w:ascii="Arabic Typesetting" w:eastAsia="Arabic Typesetting" w:hAnsi="Arabic Typesetting" w:cs="Arabic Typesetting"/>
                <w:sz w:val="28"/>
                <w:szCs w:val="28"/>
                <w:lang w:eastAsia="ar-EG" w:bidi="ar-EG"/>
              </w:rPr>
            </w:pPr>
            <w:r w:rsidRPr="006751AA">
              <w:rPr>
                <w:rFonts w:ascii="Arabic Typesetting" w:eastAsia="Arabic Typesetting" w:hAnsi="Arabic Typesetting" w:cs="Arabic Typesetting"/>
                <w:sz w:val="28"/>
                <w:szCs w:val="28"/>
                <w:rtl/>
                <w:lang w:eastAsia="ar-EG" w:bidi="ar-EG"/>
              </w:rPr>
              <w:t>يُزمع جرد العناصر التي تتراوح قيمتها بين 000</w:t>
            </w:r>
            <w:r w:rsidR="008E6403">
              <w:rPr>
                <w:rFonts w:ascii="Arabic Typesetting" w:eastAsia="Arabic Typesetting" w:hAnsi="Arabic Typesetting" w:cs="Arabic Typesetting" w:hint="cs"/>
                <w:sz w:val="28"/>
                <w:szCs w:val="28"/>
                <w:rtl/>
                <w:lang w:eastAsia="ar-EG" w:bidi="ar-EG"/>
              </w:rPr>
              <w:t> 1</w:t>
            </w:r>
            <w:r w:rsidRPr="006751AA">
              <w:rPr>
                <w:rFonts w:ascii="Arabic Typesetting" w:eastAsia="Arabic Typesetting" w:hAnsi="Arabic Typesetting" w:cs="Arabic Typesetting"/>
                <w:sz w:val="28"/>
                <w:szCs w:val="28"/>
                <w:rtl/>
                <w:lang w:eastAsia="ar-EG" w:bidi="ar-EG"/>
              </w:rPr>
              <w:t xml:space="preserve"> و</w:t>
            </w:r>
            <w:r w:rsidR="008E6403">
              <w:rPr>
                <w:rFonts w:ascii="Arabic Typesetting" w:eastAsia="Arabic Typesetting" w:hAnsi="Arabic Typesetting" w:cs="Arabic Typesetting" w:hint="cs"/>
                <w:sz w:val="28"/>
                <w:szCs w:val="28"/>
                <w:rtl/>
                <w:lang w:eastAsia="ar-EG" w:bidi="ar-EG"/>
              </w:rPr>
              <w:t xml:space="preserve">000 5 </w:t>
            </w:r>
            <w:r w:rsidRPr="006751AA">
              <w:rPr>
                <w:rFonts w:ascii="Arabic Typesetting" w:eastAsia="Arabic Typesetting" w:hAnsi="Arabic Typesetting" w:cs="Arabic Typesetting"/>
                <w:sz w:val="28"/>
                <w:szCs w:val="28"/>
                <w:rtl/>
                <w:lang w:eastAsia="ar-EG" w:bidi="ar-EG"/>
              </w:rPr>
              <w:t>فرنك سويسري في عام</w:t>
            </w:r>
            <w:r>
              <w:rPr>
                <w:rFonts w:ascii="Arabic Typesetting" w:eastAsia="Arabic Typesetting" w:hAnsi="Arabic Typesetting" w:cs="Arabic Typesetting" w:hint="cs"/>
                <w:sz w:val="28"/>
                <w:szCs w:val="28"/>
                <w:rtl/>
                <w:lang w:eastAsia="ar-EG" w:bidi="ar-EG"/>
              </w:rPr>
              <w:t> </w:t>
            </w:r>
            <w:r w:rsidRPr="006751AA">
              <w:rPr>
                <w:rFonts w:ascii="Arabic Typesetting" w:eastAsia="Arabic Typesetting" w:hAnsi="Arabic Typesetting" w:cs="Arabic Typesetting"/>
                <w:sz w:val="28"/>
                <w:szCs w:val="28"/>
                <w:rtl/>
                <w:lang w:eastAsia="ar-EG" w:bidi="ar-EG"/>
              </w:rPr>
              <w:t>2017</w:t>
            </w:r>
            <w:r>
              <w:rPr>
                <w:rFonts w:ascii="Arabic Typesetting" w:eastAsia="Arabic Typesetting" w:hAnsi="Arabic Typesetting" w:cs="Arabic Typesetting" w:hint="cs"/>
                <w:sz w:val="28"/>
                <w:szCs w:val="28"/>
                <w:rtl/>
                <w:lang w:eastAsia="ar-EG" w:bidi="ar-EG"/>
              </w:rPr>
              <w:t xml:space="preserve"> </w:t>
            </w:r>
            <w:r w:rsidRPr="006751AA">
              <w:rPr>
                <w:rFonts w:ascii="Arabic Typesetting" w:eastAsia="Arabic Typesetting" w:hAnsi="Arabic Typesetting" w:cs="Arabic Typesetting"/>
                <w:sz w:val="28"/>
                <w:szCs w:val="28"/>
                <w:vertAlign w:val="superscript"/>
                <w:lang w:eastAsia="ar-EG" w:bidi="ar-EG"/>
              </w:rPr>
              <w:footnoteReference w:id="94"/>
            </w:r>
          </w:p>
        </w:tc>
        <w:tc>
          <w:tcPr>
            <w:tcW w:w="529" w:type="pct"/>
            <w:gridSpan w:val="2"/>
            <w:shd w:val="clear" w:color="auto" w:fill="auto"/>
            <w:tcMar>
              <w:top w:w="110" w:type="dxa"/>
              <w:left w:w="58" w:type="dxa"/>
              <w:right w:w="58" w:type="dxa"/>
            </w:tcMar>
          </w:tcPr>
          <w:p w14:paraId="5C729DCD" w14:textId="77777777" w:rsidR="00BD3831" w:rsidRDefault="00BD3831" w:rsidP="0031289D">
            <w:pPr>
              <w:keepNext/>
              <w:keepLines/>
              <w:bidi/>
              <w:spacing w:after="360" w:line="280" w:lineRule="exact"/>
              <w:jc w:val="center"/>
              <w:rPr>
                <w:rFonts w:ascii="Arabic Typesetting" w:eastAsia="Arabic Typesetting" w:hAnsi="Arabic Typesetting" w:cs="Arabic Typesetting"/>
                <w:b/>
                <w:color w:val="00B05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p w14:paraId="341CB84F"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b/>
                <w:color w:val="0070C0"/>
                <w:sz w:val="28"/>
                <w:szCs w:val="28"/>
                <w:lang w:eastAsia="ar-EG" w:bidi="ar-EG"/>
              </w:rPr>
            </w:pPr>
            <w:r w:rsidRPr="006751AA">
              <w:rPr>
                <w:rFonts w:ascii="Arabic Typesetting" w:eastAsia="Arabic Typesetting" w:hAnsi="Arabic Typesetting" w:cs="Arabic Typesetting"/>
                <w:b/>
                <w:bCs/>
                <w:color w:val="0070C0"/>
                <w:sz w:val="28"/>
                <w:szCs w:val="28"/>
                <w:rtl/>
                <w:lang w:eastAsia="ar-EG" w:bidi="ar-EG"/>
              </w:rPr>
              <w:t>غير متاح في</w:t>
            </w:r>
            <w:r>
              <w:rPr>
                <w:rFonts w:ascii="Arabic Typesetting" w:eastAsia="Arabic Typesetting" w:hAnsi="Arabic Typesetting" w:cs="Arabic Typesetting" w:hint="cs"/>
                <w:b/>
                <w:bCs/>
                <w:color w:val="0070C0"/>
                <w:sz w:val="28"/>
                <w:szCs w:val="28"/>
                <w:rtl/>
                <w:lang w:eastAsia="ar-EG" w:bidi="ar-EG"/>
              </w:rPr>
              <w:t> </w:t>
            </w:r>
            <w:r w:rsidRPr="006751AA">
              <w:rPr>
                <w:rFonts w:ascii="Arabic Typesetting" w:eastAsia="Arabic Typesetting" w:hAnsi="Arabic Typesetting" w:cs="Arabic Typesetting"/>
                <w:b/>
                <w:bCs/>
                <w:color w:val="0070C0"/>
                <w:sz w:val="28"/>
                <w:szCs w:val="28"/>
                <w:rtl/>
                <w:lang w:eastAsia="ar-EG" w:bidi="ar-EG"/>
              </w:rPr>
              <w:t>2016</w:t>
            </w:r>
          </w:p>
        </w:tc>
      </w:tr>
      <w:tr w:rsidR="00BD3831" w:rsidRPr="006751AA" w14:paraId="736002A1" w14:textId="77777777" w:rsidTr="00DF6715">
        <w:trPr>
          <w:cantSplit/>
          <w:trHeight w:val="565"/>
        </w:trPr>
        <w:tc>
          <w:tcPr>
            <w:tcW w:w="5000" w:type="pct"/>
            <w:gridSpan w:val="8"/>
            <w:shd w:val="clear" w:color="auto" w:fill="C6D9F1"/>
            <w:tcMar>
              <w:left w:w="58" w:type="dxa"/>
              <w:right w:w="58" w:type="dxa"/>
            </w:tcMar>
            <w:vAlign w:val="center"/>
          </w:tcPr>
          <w:p w14:paraId="0416A260" w14:textId="77777777" w:rsidR="00BD3831" w:rsidRPr="006751AA"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lastRenderedPageBreak/>
              <w:t>‏النتيجة المرتقبة:</w:t>
            </w:r>
            <w:r w:rsidRPr="006751AA">
              <w:rPr>
                <w:rFonts w:ascii="Arabic Typesetting" w:eastAsia="Arabic Typesetting" w:hAnsi="Arabic Typesetting" w:cs="Arabic Typesetting"/>
                <w:sz w:val="28"/>
                <w:szCs w:val="28"/>
                <w:lang w:eastAsia="ar-EG" w:bidi="ar-EG"/>
              </w:rPr>
              <w:tab/>
            </w:r>
            <w:r w:rsidRPr="006751AA">
              <w:rPr>
                <w:rFonts w:ascii="Arabic Typesetting" w:eastAsia="Arabic Typesetting" w:hAnsi="Arabic Typesetting" w:cs="Arabic Typesetting"/>
                <w:color w:val="000000"/>
                <w:sz w:val="28"/>
                <w:szCs w:val="28"/>
                <w:rtl/>
                <w:lang w:eastAsia="ar-EG" w:bidi="ar-EG"/>
              </w:rPr>
              <w:t>ه4.9 منظمة ذات مسؤولية بيئية واجتماعية تكفل السلامة والأمن للموظفين في الويبو والمندوبين والزائرين والممتلكات المادية والمعلومات</w:t>
            </w:r>
          </w:p>
        </w:tc>
      </w:tr>
      <w:tr w:rsidR="00BD3831" w:rsidRPr="006751AA" w14:paraId="33D2603F" w14:textId="77777777" w:rsidTr="00DF6715">
        <w:trPr>
          <w:cantSplit/>
        </w:trPr>
        <w:tc>
          <w:tcPr>
            <w:tcW w:w="1077" w:type="pct"/>
            <w:shd w:val="clear" w:color="auto" w:fill="auto"/>
            <w:tcMar>
              <w:left w:w="58" w:type="dxa"/>
              <w:right w:w="58" w:type="dxa"/>
            </w:tcMar>
            <w:vAlign w:val="center"/>
          </w:tcPr>
          <w:p w14:paraId="4551DED0" w14:textId="77777777" w:rsidR="00BD3831" w:rsidRPr="006751AA"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مؤشرات الأداء</w:t>
            </w:r>
          </w:p>
        </w:tc>
        <w:tc>
          <w:tcPr>
            <w:tcW w:w="1386" w:type="pct"/>
            <w:gridSpan w:val="2"/>
            <w:shd w:val="clear" w:color="auto" w:fill="auto"/>
            <w:tcMar>
              <w:left w:w="58" w:type="dxa"/>
              <w:right w:w="58" w:type="dxa"/>
            </w:tcMar>
            <w:vAlign w:val="center"/>
          </w:tcPr>
          <w:p w14:paraId="70DDA302" w14:textId="77777777" w:rsidR="00BD3831" w:rsidRPr="006751AA"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أسس المقارنة</w:t>
            </w:r>
          </w:p>
        </w:tc>
        <w:tc>
          <w:tcPr>
            <w:tcW w:w="865" w:type="pct"/>
            <w:shd w:val="clear" w:color="auto" w:fill="auto"/>
            <w:tcMar>
              <w:top w:w="110" w:type="dxa"/>
              <w:left w:w="58" w:type="dxa"/>
              <w:right w:w="58" w:type="dxa"/>
            </w:tcMar>
            <w:vAlign w:val="center"/>
          </w:tcPr>
          <w:p w14:paraId="01C36E94" w14:textId="77777777" w:rsidR="00BD3831" w:rsidRPr="006751AA"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الأهداف</w:t>
            </w:r>
          </w:p>
        </w:tc>
        <w:tc>
          <w:tcPr>
            <w:tcW w:w="1297" w:type="pct"/>
            <w:gridSpan w:val="3"/>
            <w:shd w:val="clear" w:color="auto" w:fill="FFFFFF"/>
            <w:tcMar>
              <w:top w:w="110" w:type="dxa"/>
              <w:left w:w="58" w:type="dxa"/>
              <w:right w:w="58" w:type="dxa"/>
            </w:tcMar>
            <w:vAlign w:val="center"/>
          </w:tcPr>
          <w:p w14:paraId="4175D824" w14:textId="77777777" w:rsidR="00BD3831" w:rsidRPr="006751AA"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6751AA">
              <w:rPr>
                <w:rFonts w:ascii="Arabic Typesetting" w:eastAsia="Arabic Typesetting" w:hAnsi="Arabic Typesetting" w:cs="Arabic Typesetting"/>
                <w:b/>
                <w:bCs/>
                <w:sz w:val="28"/>
                <w:szCs w:val="28"/>
                <w:rtl/>
                <w:lang w:eastAsia="ar-EG" w:bidi="ar-EG"/>
              </w:rPr>
              <w:t>بيانات الأداء</w:t>
            </w:r>
          </w:p>
        </w:tc>
        <w:tc>
          <w:tcPr>
            <w:tcW w:w="375" w:type="pct"/>
            <w:shd w:val="clear" w:color="auto" w:fill="auto"/>
            <w:tcMar>
              <w:top w:w="110" w:type="dxa"/>
              <w:left w:w="58" w:type="dxa"/>
              <w:right w:w="58" w:type="dxa"/>
            </w:tcMar>
            <w:vAlign w:val="center"/>
          </w:tcPr>
          <w:p w14:paraId="60F1B5A5"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Pr>
                <w:rFonts w:ascii="Arabic Typesetting" w:eastAsia="Arabic Typesetting" w:hAnsi="Arabic Typesetting" w:cs="Arabic Typesetting"/>
                <w:b/>
                <w:bCs/>
                <w:sz w:val="28"/>
                <w:szCs w:val="28"/>
                <w:rtl/>
                <w:lang w:eastAsia="ar-EG" w:bidi="ar-EG"/>
              </w:rPr>
              <w:t>السير</w:t>
            </w:r>
          </w:p>
        </w:tc>
      </w:tr>
      <w:tr w:rsidR="00BD3831" w:rsidRPr="006751AA" w14:paraId="649BA40D" w14:textId="77777777" w:rsidTr="00DF6715">
        <w:trPr>
          <w:cantSplit/>
          <w:trHeight w:val="340"/>
        </w:trPr>
        <w:tc>
          <w:tcPr>
            <w:tcW w:w="1077" w:type="pct"/>
            <w:shd w:val="clear" w:color="auto" w:fill="auto"/>
            <w:tcMar>
              <w:left w:w="58" w:type="dxa"/>
              <w:right w:w="58" w:type="dxa"/>
            </w:tcMar>
          </w:tcPr>
          <w:p w14:paraId="28C31A8B"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انخفاض تأثير أنشطة الويبو في</w:t>
            </w:r>
            <w:r>
              <w:rPr>
                <w:rFonts w:ascii="Arabic Typesetting" w:eastAsia="Arabic Typesetting" w:hAnsi="Arabic Typesetting" w:cs="Arabic Typesetting" w:hint="cs"/>
                <w:color w:val="000000"/>
                <w:sz w:val="28"/>
                <w:szCs w:val="28"/>
                <w:rtl/>
                <w:lang w:eastAsia="ar-EG" w:bidi="ar-EG"/>
              </w:rPr>
              <w:t> </w:t>
            </w:r>
            <w:r w:rsidRPr="006751AA">
              <w:rPr>
                <w:rFonts w:ascii="Arabic Typesetting" w:eastAsia="Arabic Typesetting" w:hAnsi="Arabic Typesetting" w:cs="Arabic Typesetting"/>
                <w:color w:val="000000"/>
                <w:sz w:val="28"/>
                <w:szCs w:val="28"/>
                <w:rtl/>
                <w:lang w:eastAsia="ar-EG" w:bidi="ar-EG"/>
              </w:rPr>
              <w:t>البيئة</w:t>
            </w:r>
          </w:p>
        </w:tc>
        <w:tc>
          <w:tcPr>
            <w:tcW w:w="1386" w:type="pct"/>
            <w:gridSpan w:val="2"/>
            <w:shd w:val="clear" w:color="auto" w:fill="auto"/>
            <w:tcMar>
              <w:left w:w="58" w:type="dxa"/>
              <w:right w:w="58" w:type="dxa"/>
            </w:tcMar>
          </w:tcPr>
          <w:p w14:paraId="5FDE0F2D" w14:textId="77777777" w:rsidR="00BD3831" w:rsidRPr="00874706"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انبعاثات الغازات الدفيئة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7730 طناً من ثاني أكسيد الكربون (احتساب 5.2 طن عن كل موظف) في</w:t>
            </w:r>
            <w:r>
              <w:rPr>
                <w:rFonts w:ascii="Arabic Typesetting" w:eastAsia="Arabic Typesetting" w:hAnsi="Arabic Typesetting" w:cs="Arabic Typesetting" w:hint="cs"/>
                <w:color w:val="002060"/>
                <w:sz w:val="28"/>
                <w:szCs w:val="28"/>
                <w:rtl/>
                <w:lang w:eastAsia="ar-EG" w:bidi="ar-EG"/>
              </w:rPr>
              <w:t> </w:t>
            </w:r>
            <w:r w:rsidRPr="006751AA">
              <w:rPr>
                <w:rFonts w:ascii="Arabic Typesetting" w:eastAsia="Arabic Typesetting" w:hAnsi="Arabic Typesetting" w:cs="Arabic Typesetting"/>
                <w:color w:val="002060"/>
                <w:sz w:val="28"/>
                <w:szCs w:val="28"/>
                <w:rtl/>
                <w:lang w:eastAsia="ar-EG" w:bidi="ar-EG"/>
              </w:rPr>
              <w:t>عام 2015</w:t>
            </w:r>
            <w:r>
              <w:rPr>
                <w:rFonts w:ascii="Arabic Typesetting" w:eastAsia="Arabic Typesetting" w:hAnsi="Arabic Typesetting" w:cs="Arabic Typesetting" w:hint="cs"/>
                <w:color w:val="002060"/>
                <w:sz w:val="28"/>
                <w:szCs w:val="28"/>
                <w:rtl/>
                <w:lang w:eastAsia="ar-EG" w:bidi="ar-EG"/>
              </w:rPr>
              <w:t xml:space="preserve"> </w:t>
            </w:r>
            <w:r w:rsidRPr="006751AA">
              <w:rPr>
                <w:rFonts w:ascii="Arabic Typesetting" w:eastAsia="Arabic Typesetting" w:hAnsi="Arabic Typesetting" w:cs="Arabic Typesetting"/>
                <w:color w:val="002060"/>
                <w:sz w:val="28"/>
                <w:szCs w:val="28"/>
                <w:vertAlign w:val="superscript"/>
                <w:lang w:eastAsia="ar-EG" w:bidi="ar-EG"/>
              </w:rPr>
              <w:footnoteReference w:id="95"/>
            </w:r>
          </w:p>
          <w:p w14:paraId="64F91287" w14:textId="2FF42DD9" w:rsidR="00BD3831" w:rsidRDefault="00BD3831" w:rsidP="00D02C02">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 xml:space="preserve">وفضلاً عن ذلك، قامت الويبو بتعويض 6248 طناً من ثاني أكسيد الكربون في عام 2015 عن طريق صكوك (خفض الانبعاثات المعتمد)، علماً بأن مزود الخدمات تولى تعويض انبعاثات الغاز الطبيعي وأن التعويض </w:t>
            </w:r>
            <w:r>
              <w:rPr>
                <w:rFonts w:ascii="Arabic Typesetting" w:eastAsia="Arabic Typesetting" w:hAnsi="Arabic Typesetting" w:cs="Arabic Typesetting"/>
                <w:color w:val="002060"/>
                <w:sz w:val="28"/>
                <w:szCs w:val="28"/>
                <w:rtl/>
                <w:lang w:eastAsia="ar-EG" w:bidi="ar-EG"/>
              </w:rPr>
              <w:t>في البرنامج شمل الأسفار أيضاً.</w:t>
            </w:r>
          </w:p>
          <w:p w14:paraId="4248B570" w14:textId="77777777" w:rsidR="00BD3831" w:rsidRPr="006751AA"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استهلاك الطاقة في عام 2015 لكل مباني المقر والمباني المؤجرة في جنيف (باستثناء مكاتب الويبو الخارجية)</w:t>
            </w:r>
          </w:p>
          <w:p w14:paraId="7A654ED8" w14:textId="77777777" w:rsidR="00BD3831" w:rsidRPr="006751AA" w:rsidRDefault="00BD3831" w:rsidP="0031289D">
            <w:pPr>
              <w:numPr>
                <w:ilvl w:val="0"/>
                <w:numId w:val="36"/>
              </w:numPr>
              <w:bidi/>
              <w:spacing w:after="120" w:line="280" w:lineRule="exact"/>
              <w:ind w:left="212" w:hanging="194"/>
              <w:contextualSpacing/>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الكهرباء (493 176 8 كيلو واط/ساعة)،</w:t>
            </w:r>
          </w:p>
          <w:p w14:paraId="1B8EA769" w14:textId="77777777" w:rsidR="00BD3831" w:rsidRPr="006751AA" w:rsidRDefault="00BD3831" w:rsidP="0031289D">
            <w:pPr>
              <w:numPr>
                <w:ilvl w:val="0"/>
                <w:numId w:val="36"/>
              </w:numPr>
              <w:bidi/>
              <w:spacing w:after="120" w:line="280" w:lineRule="exact"/>
              <w:ind w:left="212" w:hanging="194"/>
              <w:contextualSpacing/>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 xml:space="preserve">الماء (673 41 متراً مكعباً)، </w:t>
            </w:r>
          </w:p>
          <w:p w14:paraId="4AB93332" w14:textId="77777777" w:rsidR="00BD3831" w:rsidRPr="006751AA" w:rsidRDefault="00BD3831" w:rsidP="0031289D">
            <w:pPr>
              <w:numPr>
                <w:ilvl w:val="0"/>
                <w:numId w:val="36"/>
              </w:numPr>
              <w:bidi/>
              <w:spacing w:after="120" w:line="280" w:lineRule="exact"/>
              <w:ind w:left="212" w:hanging="194"/>
              <w:contextualSpacing/>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 xml:space="preserve">الغاز الطبيعي (417 201 7 كيلو واط/ساعة)، </w:t>
            </w:r>
          </w:p>
          <w:p w14:paraId="3DEDED04" w14:textId="77777777" w:rsidR="00BD3831" w:rsidRPr="006751AA" w:rsidRDefault="00BD3831" w:rsidP="0031289D">
            <w:pPr>
              <w:numPr>
                <w:ilvl w:val="0"/>
                <w:numId w:val="36"/>
              </w:numPr>
              <w:bidi/>
              <w:spacing w:after="120" w:line="280" w:lineRule="exact"/>
              <w:ind w:left="212" w:hanging="194"/>
              <w:contextualSpacing/>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زيت التدفئة (</w:t>
            </w:r>
            <w:r>
              <w:rPr>
                <w:rFonts w:ascii="Arabic Typesetting" w:eastAsia="Arabic Typesetting" w:hAnsi="Arabic Typesetting" w:cs="Arabic Typesetting"/>
                <w:color w:val="002060"/>
                <w:sz w:val="28"/>
                <w:szCs w:val="28"/>
                <w:rtl/>
                <w:lang w:eastAsia="ar-EG" w:bidi="ar-EG"/>
              </w:rPr>
              <w:t>5050 لتراً).</w:t>
            </w:r>
          </w:p>
          <w:p w14:paraId="6BAA82D9" w14:textId="77777777" w:rsidR="00BD3831" w:rsidRDefault="00BD3831" w:rsidP="0031289D">
            <w:pPr>
              <w:bidi/>
              <w:spacing w:after="120" w:line="280" w:lineRule="exact"/>
              <w:ind w:left="212" w:hanging="194"/>
              <w:contextualSpacing/>
              <w:rPr>
                <w:rFonts w:ascii="Arabic Typesetting" w:eastAsia="Arabic Typesetting" w:hAnsi="Arabic Typesetting" w:cs="Arabic Typesetting"/>
                <w:color w:val="002060"/>
                <w:sz w:val="28"/>
                <w:szCs w:val="28"/>
                <w:lang w:eastAsia="ar-EG" w:bidi="ar-EG"/>
              </w:rPr>
            </w:pPr>
            <w:r>
              <w:rPr>
                <w:rFonts w:ascii="Arabic Typesetting" w:eastAsia="Arabic Typesetting" w:hAnsi="Arabic Typesetting" w:cs="Arabic Typesetting"/>
                <w:color w:val="002060"/>
                <w:sz w:val="28"/>
                <w:szCs w:val="28"/>
                <w:rtl/>
                <w:lang w:eastAsia="ar-EG" w:bidi="ar-EG"/>
              </w:rPr>
              <w:tab/>
            </w:r>
            <w:r w:rsidRPr="006751AA">
              <w:rPr>
                <w:rFonts w:ascii="Arabic Typesetting" w:eastAsia="Arabic Typesetting" w:hAnsi="Arabic Typesetting" w:cs="Arabic Typesetting"/>
                <w:color w:val="002060"/>
                <w:sz w:val="28"/>
                <w:szCs w:val="28"/>
                <w:rtl/>
                <w:lang w:eastAsia="ar-EG" w:bidi="ar-EG"/>
              </w:rPr>
              <w:t>(مستخدَّم أساساً في المولدات)</w:t>
            </w:r>
          </w:p>
          <w:p w14:paraId="076ABB37"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color w:val="000000"/>
                <w:sz w:val="28"/>
                <w:szCs w:val="28"/>
                <w:rtl/>
                <w:lang w:eastAsia="ar-EG" w:bidi="ar-EG"/>
              </w:rPr>
              <w:t>‏أساس المقارنة الأصلي:</w:t>
            </w:r>
            <w:r w:rsidRPr="006751AA">
              <w:rPr>
                <w:rFonts w:ascii="Arabic Typesetting" w:eastAsia="Arabic Typesetting" w:hAnsi="Arabic Typesetting" w:cs="Arabic Typesetting"/>
                <w:i/>
                <w:color w:val="000000"/>
                <w:sz w:val="28"/>
                <w:szCs w:val="28"/>
                <w:lang w:eastAsia="ar-EG" w:bidi="ar-EG"/>
              </w:rPr>
              <w:br/>
            </w:r>
            <w:r w:rsidRPr="006751AA">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(أ) </w:t>
            </w:r>
            <w:r w:rsidRPr="006751AA">
              <w:rPr>
                <w:rFonts w:ascii="Arabic Typesetting" w:eastAsia="Arabic Typesetting" w:hAnsi="Arabic Typesetting" w:cs="Arabic Typesetting"/>
                <w:color w:val="000000"/>
                <w:sz w:val="28"/>
                <w:szCs w:val="28"/>
                <w:rtl/>
                <w:lang w:eastAsia="ar-EG" w:bidi="ar-EG"/>
              </w:rPr>
              <w:t>الالتزام بإطار الأمم المتحدة للحياد المناخي الذي أعلنه الأمين العام للأمم المتحدة في سبتمبر 2014</w:t>
            </w:r>
            <w:r w:rsidRPr="006751AA">
              <w:rPr>
                <w:rFonts w:ascii="Arabic Typesetting" w:eastAsia="Arabic Typesetting" w:hAnsi="Arabic Typesetting" w:cs="Arabic Typesetting"/>
                <w:color w:val="000000"/>
                <w:sz w:val="28"/>
                <w:szCs w:val="28"/>
                <w:lang w:eastAsia="ar-EG" w:bidi="ar-EG"/>
              </w:rPr>
              <w:br/>
            </w:r>
            <w:r>
              <w:rPr>
                <w:rFonts w:ascii="Arabic Typesetting" w:eastAsia="Arabic Typesetting" w:hAnsi="Arabic Typesetting" w:cs="Arabic Typesetting" w:hint="cs"/>
                <w:color w:val="000000"/>
                <w:sz w:val="28"/>
                <w:szCs w:val="28"/>
                <w:rtl/>
                <w:lang w:eastAsia="ar-EG" w:bidi="ar-EG"/>
              </w:rPr>
              <w:t xml:space="preserve">(ب) </w:t>
            </w:r>
            <w:r w:rsidRPr="006751AA">
              <w:rPr>
                <w:rFonts w:ascii="Arabic Typesetting" w:eastAsia="Arabic Typesetting" w:hAnsi="Arabic Typesetting" w:cs="Arabic Typesetting"/>
                <w:color w:val="000000"/>
                <w:sz w:val="28"/>
                <w:szCs w:val="28"/>
                <w:rtl/>
                <w:lang w:eastAsia="ar-EG" w:bidi="ar-EG"/>
              </w:rPr>
              <w:t>الالتزام بلوائح البلد المضيف واللوائح المحلية بشأن استهلاك الطاقة</w:t>
            </w:r>
            <w:r w:rsidRPr="006751AA">
              <w:rPr>
                <w:rFonts w:ascii="Arabic Typesetting" w:eastAsia="Arabic Typesetting" w:hAnsi="Arabic Typesetting" w:cs="Arabic Typesetting"/>
                <w:color w:val="000000"/>
                <w:sz w:val="28"/>
                <w:szCs w:val="28"/>
                <w:lang w:eastAsia="ar-EG" w:bidi="ar-EG"/>
              </w:rPr>
              <w:br/>
            </w:r>
            <w:r>
              <w:rPr>
                <w:rFonts w:ascii="Arabic Typesetting" w:eastAsia="Arabic Typesetting" w:hAnsi="Arabic Typesetting" w:cs="Arabic Typesetting" w:hint="cs"/>
                <w:color w:val="000000"/>
                <w:sz w:val="28"/>
                <w:szCs w:val="28"/>
                <w:rtl/>
                <w:lang w:eastAsia="ar-EG" w:bidi="ar-EG"/>
              </w:rPr>
              <w:t xml:space="preserve">(ج) </w:t>
            </w:r>
            <w:r w:rsidRPr="006751AA">
              <w:rPr>
                <w:rFonts w:ascii="Arabic Typesetting" w:eastAsia="Arabic Typesetting" w:hAnsi="Arabic Typesetting" w:cs="Arabic Typesetting"/>
                <w:color w:val="000000"/>
                <w:sz w:val="28"/>
                <w:szCs w:val="28"/>
                <w:rtl/>
                <w:lang w:eastAsia="ar-EG" w:bidi="ar-EG"/>
              </w:rPr>
              <w:t>مستويات استهلاك الطاقة في نهاية عام 2015</w:t>
            </w:r>
          </w:p>
        </w:tc>
        <w:tc>
          <w:tcPr>
            <w:tcW w:w="865" w:type="pct"/>
            <w:shd w:val="clear" w:color="auto" w:fill="auto"/>
            <w:tcMar>
              <w:top w:w="110" w:type="dxa"/>
              <w:left w:w="58" w:type="dxa"/>
              <w:right w:w="58" w:type="dxa"/>
            </w:tcMar>
          </w:tcPr>
          <w:p w14:paraId="249CF48A"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(أ) </w:t>
            </w:r>
            <w:r w:rsidRPr="006751AA">
              <w:rPr>
                <w:rFonts w:ascii="Arabic Typesetting" w:eastAsia="Arabic Typesetting" w:hAnsi="Arabic Typesetting" w:cs="Arabic Typesetting"/>
                <w:color w:val="000000"/>
                <w:sz w:val="28"/>
                <w:szCs w:val="28"/>
                <w:rtl/>
                <w:lang w:eastAsia="ar-EG" w:bidi="ar-EG"/>
              </w:rPr>
              <w:t>الحفاظ على انبعاثات الكربون والغازات الدفيئة عند مستوياتها في نهاية 2015</w:t>
            </w:r>
            <w:r>
              <w:rPr>
                <w:rFonts w:ascii="Arabic Typesetting" w:eastAsia="Arabic Typesetting" w:hAnsi="Arabic Typesetting" w:cs="Arabic Typesetting" w:hint="cs"/>
                <w:color w:val="000000"/>
                <w:sz w:val="28"/>
                <w:szCs w:val="28"/>
                <w:rtl/>
                <w:lang w:eastAsia="ar-EG" w:bidi="ar-EG"/>
              </w:rPr>
              <w:t xml:space="preserve"> </w:t>
            </w:r>
            <w:r w:rsidRPr="006751AA">
              <w:rPr>
                <w:rFonts w:ascii="Arabic Typesetting" w:eastAsia="Arabic Typesetting" w:hAnsi="Arabic Typesetting" w:cs="Arabic Typesetting"/>
                <w:color w:val="000000"/>
                <w:sz w:val="28"/>
                <w:szCs w:val="28"/>
                <w:vertAlign w:val="superscript"/>
                <w:lang w:eastAsia="ar-EG" w:bidi="ar-EG"/>
              </w:rPr>
              <w:footnoteReference w:id="96"/>
            </w:r>
          </w:p>
          <w:p w14:paraId="345E1784"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(ب) </w:t>
            </w:r>
            <w:r w:rsidRPr="006751AA">
              <w:rPr>
                <w:rFonts w:ascii="Arabic Typesetting" w:eastAsia="Arabic Typesetting" w:hAnsi="Arabic Typesetting" w:cs="Arabic Typesetting"/>
                <w:color w:val="000000"/>
                <w:sz w:val="28"/>
                <w:szCs w:val="28"/>
                <w:rtl/>
                <w:lang w:eastAsia="ar-EG" w:bidi="ar-EG"/>
              </w:rPr>
              <w:t>تنفيذ تدابير بحلول نهاية عام 2017 للحفاظ على استهلاك الطاقة عند مستوياته في نهاية 2015 وفي ظروف جوية مشابهة (بالنسبة للكهرباء والماء والغاز وزيت التدفئة)</w:t>
            </w:r>
          </w:p>
        </w:tc>
        <w:tc>
          <w:tcPr>
            <w:tcW w:w="1297" w:type="pct"/>
            <w:gridSpan w:val="3"/>
            <w:shd w:val="clear" w:color="auto" w:fill="FFFFFF"/>
            <w:tcMar>
              <w:top w:w="110" w:type="dxa"/>
              <w:left w:w="58" w:type="dxa"/>
              <w:right w:w="58" w:type="dxa"/>
            </w:tcMar>
          </w:tcPr>
          <w:p w14:paraId="18B90470" w14:textId="77777777" w:rsidR="00BD3831" w:rsidRPr="00874706"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6751AA">
              <w:rPr>
                <w:rFonts w:ascii="Arabic Typesetting" w:eastAsia="Arabic Typesetting" w:hAnsi="Arabic Typesetting" w:cs="Arabic Typesetting"/>
                <w:sz w:val="28"/>
                <w:szCs w:val="28"/>
                <w:rtl/>
                <w:lang w:eastAsia="ar-EG" w:bidi="ar-EG"/>
              </w:rPr>
              <w:t>يُتوقع أن تظل انبعاثات الكربون والغازات الدفيئة مشابهة لمستوياتها في عام 2015 استناداً إلى البيانات الأولية لعام 2016</w:t>
            </w:r>
            <w:r>
              <w:rPr>
                <w:rFonts w:ascii="Arabic Typesetting" w:eastAsia="Arabic Typesetting" w:hAnsi="Arabic Typesetting" w:cs="Arabic Typesetting" w:hint="cs"/>
                <w:sz w:val="28"/>
                <w:szCs w:val="28"/>
                <w:rtl/>
                <w:lang w:eastAsia="ar-EG" w:bidi="ar-EG"/>
              </w:rPr>
              <w:t xml:space="preserve"> </w:t>
            </w:r>
            <w:r w:rsidRPr="006751AA">
              <w:rPr>
                <w:rFonts w:ascii="Arabic Typesetting" w:eastAsia="Arabic Typesetting" w:hAnsi="Arabic Typesetting" w:cs="Arabic Typesetting"/>
                <w:sz w:val="28"/>
                <w:szCs w:val="28"/>
                <w:vertAlign w:val="superscript"/>
                <w:lang w:eastAsia="ar-EG" w:bidi="ar-EG"/>
              </w:rPr>
              <w:footnoteReference w:id="97"/>
            </w:r>
          </w:p>
          <w:p w14:paraId="0CEBFC3B" w14:textId="77777777" w:rsidR="00BD3831" w:rsidRDefault="00BD3831" w:rsidP="0031289D">
            <w:pPr>
              <w:bidi/>
              <w:spacing w:after="120" w:line="280" w:lineRule="exact"/>
              <w:ind w:right="-42"/>
              <w:rPr>
                <w:rFonts w:ascii="Arabic Typesetting" w:eastAsia="Arabic Typesetting" w:hAnsi="Arabic Typesetting" w:cs="Arabic Typesetting"/>
                <w:sz w:val="28"/>
                <w:szCs w:val="28"/>
                <w:lang w:eastAsia="ar-EG" w:bidi="ar-EG"/>
              </w:rPr>
            </w:pPr>
            <w:r w:rsidRPr="006751AA">
              <w:rPr>
                <w:rFonts w:ascii="Arabic Typesetting" w:eastAsia="Arabic Typesetting" w:hAnsi="Arabic Typesetting" w:cs="Arabic Typesetting"/>
                <w:sz w:val="28"/>
                <w:szCs w:val="28"/>
                <w:rtl/>
                <w:lang w:eastAsia="ar-EG" w:bidi="ar-EG"/>
              </w:rPr>
              <w:t>استهلاك الطاقة في عام 2016 لكل مباني المقر والمباني المؤجرة في جنيف (مقارنة بعام 2015):</w:t>
            </w:r>
          </w:p>
          <w:p w14:paraId="5438181B" w14:textId="77777777" w:rsidR="00BD3831" w:rsidRPr="006751AA" w:rsidRDefault="00BD3831" w:rsidP="0031289D">
            <w:pPr>
              <w:numPr>
                <w:ilvl w:val="0"/>
                <w:numId w:val="38"/>
              </w:numPr>
              <w:bidi/>
              <w:spacing w:after="120" w:line="280" w:lineRule="exact"/>
              <w:ind w:left="278" w:hanging="278"/>
              <w:contextualSpacing/>
              <w:rPr>
                <w:rFonts w:ascii="Arabic Typesetting" w:eastAsia="Arabic Typesetting" w:hAnsi="Arabic Typesetting" w:cs="Arabic Typesetting"/>
                <w:sz w:val="28"/>
                <w:szCs w:val="28"/>
                <w:lang w:eastAsia="ar-EG" w:bidi="ar-EG"/>
              </w:rPr>
            </w:pPr>
            <w:r w:rsidRPr="006751AA">
              <w:rPr>
                <w:rFonts w:ascii="Arabic Typesetting" w:eastAsia="Arabic Typesetting" w:hAnsi="Arabic Typesetting" w:cs="Arabic Typesetting"/>
                <w:sz w:val="28"/>
                <w:szCs w:val="28"/>
                <w:rtl/>
                <w:lang w:eastAsia="ar-EG" w:bidi="ar-EG"/>
              </w:rPr>
              <w:t>الكهرباء</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6751AA">
              <w:rPr>
                <w:rFonts w:ascii="Arabic Typesetting" w:eastAsia="Arabic Typesetting" w:hAnsi="Arabic Typesetting" w:cs="Arabic Typesetting"/>
                <w:sz w:val="28"/>
                <w:szCs w:val="28"/>
                <w:rtl/>
                <w:lang w:eastAsia="ar-EG" w:bidi="ar-EG"/>
              </w:rPr>
              <w:t>000 758 7 كيلو واط/الساعة (انخفاض بنسبة 5.1%) بسبب تركيب حساسات حركة ومصابيح إضاءة موفرة للطاقة؛</w:t>
            </w:r>
          </w:p>
          <w:p w14:paraId="0701B840" w14:textId="77777777" w:rsidR="00BD3831" w:rsidRPr="006751AA" w:rsidRDefault="00BD3831" w:rsidP="0031289D">
            <w:pPr>
              <w:numPr>
                <w:ilvl w:val="0"/>
                <w:numId w:val="38"/>
              </w:numPr>
              <w:bidi/>
              <w:spacing w:after="120" w:line="280" w:lineRule="exact"/>
              <w:contextualSpacing/>
              <w:rPr>
                <w:rFonts w:ascii="Arabic Typesetting" w:eastAsia="Arabic Typesetting" w:hAnsi="Arabic Typesetting" w:cs="Arabic Typesetting"/>
                <w:sz w:val="28"/>
                <w:szCs w:val="28"/>
                <w:lang w:eastAsia="ar-EG" w:bidi="ar-EG"/>
              </w:rPr>
            </w:pPr>
            <w:r w:rsidRPr="006751AA">
              <w:rPr>
                <w:rFonts w:ascii="Arabic Typesetting" w:eastAsia="Arabic Typesetting" w:hAnsi="Arabic Typesetting" w:cs="Arabic Typesetting"/>
                <w:sz w:val="28"/>
                <w:szCs w:val="28"/>
                <w:rtl/>
                <w:lang w:eastAsia="ar-EG" w:bidi="ar-EG"/>
              </w:rPr>
              <w:t>الماء</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6751AA">
              <w:rPr>
                <w:rFonts w:ascii="Arabic Typesetting" w:eastAsia="Arabic Typesetting" w:hAnsi="Arabic Typesetting" w:cs="Arabic Typesetting"/>
                <w:sz w:val="28"/>
                <w:szCs w:val="28"/>
                <w:rtl/>
                <w:lang w:eastAsia="ar-EG" w:bidi="ar-EG"/>
              </w:rPr>
              <w:t>654 40 متراً مكعباً (انخفاض بنسبة 2.4%) بسبب انخفاض في</w:t>
            </w:r>
            <w:r>
              <w:rPr>
                <w:rFonts w:ascii="Arabic Typesetting" w:eastAsia="Arabic Typesetting" w:hAnsi="Arabic Typesetting" w:cs="Arabic Typesetting" w:hint="cs"/>
                <w:sz w:val="28"/>
                <w:szCs w:val="28"/>
                <w:rtl/>
                <w:lang w:eastAsia="ar-EG" w:bidi="ar-EG"/>
              </w:rPr>
              <w:t> </w:t>
            </w:r>
            <w:r w:rsidRPr="006751AA">
              <w:rPr>
                <w:rFonts w:ascii="Arabic Typesetting" w:eastAsia="Arabic Typesetting" w:hAnsi="Arabic Typesetting" w:cs="Arabic Typesetting"/>
                <w:sz w:val="28"/>
                <w:szCs w:val="28"/>
                <w:rtl/>
                <w:lang w:eastAsia="ar-EG" w:bidi="ar-EG"/>
              </w:rPr>
              <w:t>الاستهلاك؛</w:t>
            </w:r>
          </w:p>
          <w:p w14:paraId="68062D10" w14:textId="77777777" w:rsidR="00BD3831" w:rsidRPr="006751AA" w:rsidRDefault="00BD3831" w:rsidP="0031289D">
            <w:pPr>
              <w:numPr>
                <w:ilvl w:val="0"/>
                <w:numId w:val="38"/>
              </w:numPr>
              <w:bidi/>
              <w:spacing w:after="120" w:line="280" w:lineRule="exact"/>
              <w:contextualSpacing/>
              <w:rPr>
                <w:rFonts w:ascii="Arabic Typesetting" w:eastAsia="Arabic Typesetting" w:hAnsi="Arabic Typesetting" w:cs="Arabic Typesetting"/>
                <w:sz w:val="28"/>
                <w:szCs w:val="28"/>
                <w:lang w:eastAsia="ar-EG" w:bidi="ar-EG"/>
              </w:rPr>
            </w:pPr>
            <w:r w:rsidRPr="006751AA">
              <w:rPr>
                <w:rFonts w:ascii="Arabic Typesetting" w:eastAsia="Arabic Typesetting" w:hAnsi="Arabic Typesetting" w:cs="Arabic Typesetting"/>
                <w:sz w:val="28"/>
                <w:szCs w:val="28"/>
                <w:rtl/>
                <w:lang w:eastAsia="ar-EG" w:bidi="ar-EG"/>
              </w:rPr>
              <w:t>الغاز الطبيعي</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6751AA">
              <w:rPr>
                <w:rFonts w:ascii="Arabic Typesetting" w:eastAsia="Arabic Typesetting" w:hAnsi="Arabic Typesetting" w:cs="Arabic Typesetting"/>
                <w:sz w:val="28"/>
                <w:szCs w:val="28"/>
                <w:rtl/>
                <w:lang w:eastAsia="ar-EG" w:bidi="ar-EG"/>
              </w:rPr>
              <w:t>012 550 7 كيلو واط/الساعة (زيادة بنسبة 4.8%) بسبب برودة شتاء عام 2016؛</w:t>
            </w:r>
          </w:p>
          <w:p w14:paraId="4FFBB965" w14:textId="77777777" w:rsidR="00BD3831" w:rsidRPr="006751AA" w:rsidRDefault="00BD3831" w:rsidP="0031289D">
            <w:pPr>
              <w:numPr>
                <w:ilvl w:val="0"/>
                <w:numId w:val="38"/>
              </w:numPr>
              <w:bidi/>
              <w:spacing w:after="120" w:line="280" w:lineRule="exact"/>
              <w:contextualSpacing/>
              <w:rPr>
                <w:rFonts w:ascii="Arabic Typesetting" w:eastAsia="Arabic Typesetting" w:hAnsi="Arabic Typesetting" w:cs="Arabic Typesetting"/>
                <w:sz w:val="28"/>
                <w:szCs w:val="28"/>
                <w:lang w:eastAsia="ar-EG" w:bidi="ar-EG"/>
              </w:rPr>
            </w:pPr>
            <w:r w:rsidRPr="006751AA">
              <w:rPr>
                <w:rFonts w:ascii="Arabic Typesetting" w:eastAsia="Arabic Typesetting" w:hAnsi="Arabic Typesetting" w:cs="Arabic Typesetting"/>
                <w:sz w:val="28"/>
                <w:szCs w:val="28"/>
                <w:rtl/>
                <w:lang w:eastAsia="ar-EG" w:bidi="ar-EG"/>
              </w:rPr>
              <w:t>زيت التدفئة</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6751AA">
              <w:rPr>
                <w:rFonts w:ascii="Arabic Typesetting" w:eastAsia="Arabic Typesetting" w:hAnsi="Arabic Typesetting" w:cs="Arabic Typesetting"/>
                <w:sz w:val="28"/>
                <w:szCs w:val="28"/>
                <w:rtl/>
                <w:lang w:eastAsia="ar-EG" w:bidi="ar-EG"/>
              </w:rPr>
              <w:t>(5500 لتر) (زيادة بنسبة 9%) بسبب قرار إجرا</w:t>
            </w:r>
            <w:r>
              <w:rPr>
                <w:rFonts w:ascii="Arabic Typesetting" w:eastAsia="Arabic Typesetting" w:hAnsi="Arabic Typesetting" w:cs="Arabic Typesetting" w:hint="cs"/>
                <w:sz w:val="28"/>
                <w:szCs w:val="28"/>
                <w:rtl/>
                <w:lang w:eastAsia="ar-EG" w:bidi="ar-EG"/>
              </w:rPr>
              <w:t>ء</w:t>
            </w:r>
            <w:r w:rsidRPr="006751AA">
              <w:rPr>
                <w:rFonts w:ascii="Arabic Typesetting" w:eastAsia="Arabic Typesetting" w:hAnsi="Arabic Typesetting" w:cs="Arabic Typesetting"/>
                <w:sz w:val="28"/>
                <w:szCs w:val="28"/>
                <w:rtl/>
                <w:lang w:eastAsia="ar-EG" w:bidi="ar-EG"/>
              </w:rPr>
              <w:t xml:space="preserve"> </w:t>
            </w:r>
            <w:r>
              <w:rPr>
                <w:rFonts w:ascii="Arabic Typesetting" w:eastAsia="Arabic Typesetting" w:hAnsi="Arabic Typesetting" w:cs="Arabic Typesetting"/>
                <w:sz w:val="28"/>
                <w:szCs w:val="28"/>
                <w:rtl/>
                <w:lang w:eastAsia="ar-EG" w:bidi="ar-EG"/>
              </w:rPr>
              <w:t>اختبارات دورية لمولدات الطوارئ.</w:t>
            </w:r>
          </w:p>
        </w:tc>
        <w:tc>
          <w:tcPr>
            <w:tcW w:w="375" w:type="pct"/>
            <w:shd w:val="clear" w:color="auto" w:fill="auto"/>
            <w:tcMar>
              <w:top w:w="110" w:type="dxa"/>
              <w:left w:w="58" w:type="dxa"/>
              <w:right w:w="58" w:type="dxa"/>
            </w:tcMar>
          </w:tcPr>
          <w:p w14:paraId="070437D4" w14:textId="77777777" w:rsidR="00BD3831" w:rsidRDefault="00BD3831" w:rsidP="0031289D">
            <w:pPr>
              <w:keepNext/>
              <w:keepLines/>
              <w:bidi/>
              <w:spacing w:after="1920" w:line="280" w:lineRule="exact"/>
              <w:jc w:val="center"/>
              <w:rPr>
                <w:rFonts w:ascii="Arabic Typesetting" w:eastAsia="Arabic Typesetting" w:hAnsi="Arabic Typesetting" w:cs="Arabic Typesetting"/>
                <w:b/>
                <w:color w:val="00B05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p w14:paraId="47DE7537" w14:textId="77777777" w:rsidR="00BD3831" w:rsidRDefault="00BD3831" w:rsidP="0031289D">
            <w:pPr>
              <w:keepNext/>
              <w:keepLines/>
              <w:bidi/>
              <w:spacing w:after="1080" w:line="280" w:lineRule="exact"/>
              <w:jc w:val="center"/>
              <w:rPr>
                <w:rFonts w:ascii="Arabic Typesetting" w:eastAsia="Arabic Typesetting" w:hAnsi="Arabic Typesetting" w:cs="Arabic Typesetting"/>
                <w:b/>
                <w:color w:val="00B05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p w14:paraId="3C439779" w14:textId="77777777" w:rsidR="00BD3831" w:rsidRDefault="00BD3831" w:rsidP="0031289D">
            <w:pPr>
              <w:keepNext/>
              <w:keepLines/>
              <w:bidi/>
              <w:spacing w:after="840" w:line="280" w:lineRule="exact"/>
              <w:jc w:val="center"/>
              <w:rPr>
                <w:rFonts w:ascii="Arabic Typesetting" w:eastAsia="Arabic Typesetting" w:hAnsi="Arabic Typesetting" w:cs="Arabic Typesetting"/>
                <w:b/>
                <w:color w:val="00B050"/>
                <w:sz w:val="28"/>
                <w:szCs w:val="28"/>
                <w:lang w:eastAsia="ar-EG" w:bidi="ar-EG"/>
              </w:rPr>
            </w:pPr>
            <w:r w:rsidRPr="006751AA">
              <w:rPr>
                <w:rFonts w:ascii="Arabic Typesetting" w:eastAsia="Arabic Typesetting" w:hAnsi="Arabic Typesetting" w:cs="Arabic Typesetting"/>
                <w:b/>
                <w:bCs/>
                <w:color w:val="00B050"/>
                <w:sz w:val="28"/>
                <w:szCs w:val="28"/>
                <w:rtl/>
                <w:lang w:eastAsia="ar-EG" w:bidi="ar-EG"/>
              </w:rPr>
              <w:t>ثابت</w:t>
            </w:r>
          </w:p>
          <w:p w14:paraId="0816C44B" w14:textId="77777777" w:rsidR="00BD3831" w:rsidRDefault="00BD3831" w:rsidP="0031289D">
            <w:pPr>
              <w:keepNext/>
              <w:keepLines/>
              <w:bidi/>
              <w:spacing w:after="840" w:line="280" w:lineRule="exact"/>
              <w:jc w:val="center"/>
              <w:rPr>
                <w:rFonts w:ascii="Arabic Typesetting" w:eastAsia="Arabic Typesetting" w:hAnsi="Arabic Typesetting" w:cs="Arabic Typesetting"/>
                <w:b/>
                <w:color w:val="FF0000"/>
                <w:sz w:val="28"/>
                <w:szCs w:val="28"/>
                <w:lang w:eastAsia="ar-EG" w:bidi="ar-EG"/>
              </w:rPr>
            </w:pPr>
            <w:r w:rsidRPr="006751AA">
              <w:rPr>
                <w:rFonts w:ascii="Arabic Typesetting" w:eastAsia="Arabic Typesetting" w:hAnsi="Arabic Typesetting" w:cs="Arabic Typesetting"/>
                <w:b/>
                <w:bCs/>
                <w:color w:val="FF0000"/>
                <w:sz w:val="28"/>
                <w:szCs w:val="28"/>
                <w:rtl/>
                <w:lang w:eastAsia="ar-EG" w:bidi="ar-EG"/>
              </w:rPr>
              <w:t>غير ثابت</w:t>
            </w:r>
          </w:p>
          <w:p w14:paraId="6C7521B9"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sidRPr="006751AA">
              <w:rPr>
                <w:rFonts w:ascii="Arabic Typesetting" w:eastAsia="Arabic Typesetting" w:hAnsi="Arabic Typesetting" w:cs="Arabic Typesetting"/>
                <w:b/>
                <w:bCs/>
                <w:color w:val="FF0000"/>
                <w:sz w:val="28"/>
                <w:szCs w:val="28"/>
                <w:rtl/>
                <w:lang w:eastAsia="ar-EG" w:bidi="ar-EG"/>
              </w:rPr>
              <w:t>غير ثابت</w:t>
            </w:r>
          </w:p>
        </w:tc>
      </w:tr>
      <w:tr w:rsidR="00BD3831" w:rsidRPr="006751AA" w14:paraId="74742EDB" w14:textId="77777777" w:rsidTr="00DF6715">
        <w:trPr>
          <w:cantSplit/>
          <w:trHeight w:val="576"/>
        </w:trPr>
        <w:tc>
          <w:tcPr>
            <w:tcW w:w="1077" w:type="pct"/>
            <w:shd w:val="clear" w:color="auto" w:fill="auto"/>
            <w:tcMar>
              <w:left w:w="58" w:type="dxa"/>
              <w:right w:w="58" w:type="dxa"/>
            </w:tcMar>
          </w:tcPr>
          <w:p w14:paraId="41F16BA7"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lastRenderedPageBreak/>
              <w:t>تحسين</w:t>
            </w:r>
            <w:r>
              <w:rPr>
                <w:rFonts w:ascii="Arabic Typesetting" w:eastAsia="Arabic Typesetting" w:hAnsi="Arabic Typesetting" w:cs="Arabic Typesetting"/>
                <w:color w:val="000000"/>
                <w:sz w:val="28"/>
                <w:szCs w:val="28"/>
                <w:rtl/>
                <w:lang w:eastAsia="ar-EG" w:bidi="ar-EG"/>
              </w:rPr>
              <w:t xml:space="preserve"> النفاذ المادي إلى مجمّع الويبو</w:t>
            </w:r>
          </w:p>
        </w:tc>
        <w:tc>
          <w:tcPr>
            <w:tcW w:w="1386" w:type="pct"/>
            <w:gridSpan w:val="2"/>
            <w:shd w:val="clear" w:color="auto" w:fill="auto"/>
            <w:tcMar>
              <w:left w:w="58" w:type="dxa"/>
              <w:right w:w="58" w:type="dxa"/>
            </w:tcMar>
          </w:tcPr>
          <w:p w14:paraId="65BBB2D8" w14:textId="77777777" w:rsidR="00BD3831" w:rsidRPr="006751AA" w:rsidRDefault="00BD3831" w:rsidP="0031289D">
            <w:pPr>
              <w:numPr>
                <w:ilvl w:val="0"/>
                <w:numId w:val="37"/>
              </w:numPr>
              <w:bidi/>
              <w:spacing w:after="120" w:line="280" w:lineRule="exact"/>
              <w:ind w:left="212" w:hanging="180"/>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تخفيض عدد أجهزة قراءة البطاقات</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أرباد بوكش (6)</w:t>
            </w:r>
          </w:p>
          <w:p w14:paraId="6CC8E5C1" w14:textId="77777777" w:rsidR="00BD3831" w:rsidRPr="006751AA" w:rsidRDefault="00BD3831" w:rsidP="0031289D">
            <w:pPr>
              <w:numPr>
                <w:ilvl w:val="0"/>
                <w:numId w:val="37"/>
              </w:numPr>
              <w:bidi/>
              <w:spacing w:after="120" w:line="280" w:lineRule="exact"/>
              <w:ind w:left="212" w:hanging="180"/>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بودنهاوزن الأول وبودنهاوزن الثاني (</w:t>
            </w:r>
            <w:r>
              <w:rPr>
                <w:rFonts w:ascii="Arabic Typesetting" w:eastAsia="Arabic Typesetting" w:hAnsi="Arabic Typesetting" w:cs="Arabic Typesetting"/>
                <w:color w:val="002060"/>
                <w:sz w:val="28"/>
                <w:szCs w:val="28"/>
                <w:rtl/>
                <w:lang w:eastAsia="ar-EG" w:bidi="ar-EG"/>
              </w:rPr>
              <w:t>4)</w:t>
            </w:r>
          </w:p>
          <w:p w14:paraId="7222FC6B" w14:textId="77777777" w:rsidR="00BD3831" w:rsidRPr="006751AA" w:rsidRDefault="00BD3831" w:rsidP="0031289D">
            <w:pPr>
              <w:numPr>
                <w:ilvl w:val="0"/>
                <w:numId w:val="37"/>
              </w:numPr>
              <w:bidi/>
              <w:spacing w:after="120" w:line="280" w:lineRule="exact"/>
              <w:ind w:left="212" w:hanging="180"/>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المبنى الجديد (</w:t>
            </w:r>
            <w:r>
              <w:rPr>
                <w:rFonts w:ascii="Arabic Typesetting" w:eastAsia="Arabic Typesetting" w:hAnsi="Arabic Typesetting" w:cs="Arabic Typesetting"/>
                <w:color w:val="002060"/>
                <w:sz w:val="28"/>
                <w:szCs w:val="28"/>
                <w:rtl/>
                <w:lang w:eastAsia="ar-EG" w:bidi="ar-EG"/>
              </w:rPr>
              <w:t>32)</w:t>
            </w:r>
          </w:p>
          <w:p w14:paraId="433A96DF" w14:textId="77777777" w:rsidR="00BD3831" w:rsidRPr="006751AA" w:rsidRDefault="00BD3831" w:rsidP="0031289D">
            <w:pPr>
              <w:numPr>
                <w:ilvl w:val="0"/>
                <w:numId w:val="37"/>
              </w:numPr>
              <w:bidi/>
              <w:spacing w:after="120" w:line="280" w:lineRule="exact"/>
              <w:ind w:left="212" w:hanging="180"/>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مبنى البراءات (</w:t>
            </w:r>
            <w:r>
              <w:rPr>
                <w:rFonts w:ascii="Arabic Typesetting" w:eastAsia="Arabic Typesetting" w:hAnsi="Arabic Typesetting" w:cs="Arabic Typesetting" w:hint="cs"/>
                <w:color w:val="002060"/>
                <w:sz w:val="28"/>
                <w:szCs w:val="28"/>
                <w:rtl/>
                <w:lang w:eastAsia="ar-EG" w:bidi="ar-EG"/>
              </w:rPr>
              <w:t>صفر</w:t>
            </w:r>
            <w:r>
              <w:rPr>
                <w:rFonts w:ascii="Arabic Typesetting" w:eastAsia="Arabic Typesetting" w:hAnsi="Arabic Typesetting" w:cs="Arabic Typesetting"/>
                <w:color w:val="002060"/>
                <w:sz w:val="28"/>
                <w:szCs w:val="28"/>
                <w:rtl/>
                <w:lang w:eastAsia="ar-EG" w:bidi="ar-EG"/>
              </w:rPr>
              <w:t>)</w:t>
            </w:r>
          </w:p>
          <w:p w14:paraId="39BAC88C" w14:textId="77777777" w:rsidR="00BD3831" w:rsidRDefault="00BD3831" w:rsidP="0031289D">
            <w:pPr>
              <w:numPr>
                <w:ilvl w:val="0"/>
                <w:numId w:val="37"/>
              </w:numPr>
              <w:bidi/>
              <w:spacing w:after="120" w:line="280" w:lineRule="exact"/>
              <w:ind w:left="212" w:hanging="180"/>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قاعة الويبو للمؤتمرات (</w:t>
            </w:r>
            <w:r>
              <w:rPr>
                <w:rFonts w:ascii="Arabic Typesetting" w:eastAsia="Arabic Typesetting" w:hAnsi="Arabic Typesetting" w:cs="Arabic Typesetting" w:hint="cs"/>
                <w:color w:val="002060"/>
                <w:sz w:val="28"/>
                <w:szCs w:val="28"/>
                <w:rtl/>
                <w:lang w:eastAsia="ar-EG" w:bidi="ar-EG"/>
              </w:rPr>
              <w:t>صفر</w:t>
            </w:r>
            <w:r w:rsidRPr="006751AA">
              <w:rPr>
                <w:rFonts w:ascii="Arabic Typesetting" w:eastAsia="Arabic Typesetting" w:hAnsi="Arabic Typesetting" w:cs="Arabic Typesetting"/>
                <w:color w:val="002060"/>
                <w:sz w:val="28"/>
                <w:szCs w:val="28"/>
                <w:rtl/>
                <w:lang w:eastAsia="ar-EG" w:bidi="ar-EG"/>
              </w:rPr>
              <w:t>)</w:t>
            </w:r>
          </w:p>
          <w:p w14:paraId="4DAC6D0A" w14:textId="77777777" w:rsidR="00BD3831" w:rsidRPr="006751AA" w:rsidRDefault="00BD3831" w:rsidP="0031289D">
            <w:pPr>
              <w:numPr>
                <w:ilvl w:val="0"/>
                <w:numId w:val="37"/>
              </w:numPr>
              <w:bidi/>
              <w:spacing w:after="120" w:line="280" w:lineRule="exact"/>
              <w:ind w:left="212" w:hanging="180"/>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عدد القضبان الوقائية المزمع تركيبها</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6751AA">
              <w:rPr>
                <w:rFonts w:ascii="Arabic Typesetting" w:eastAsia="Arabic Typesetting" w:hAnsi="Arabic Typesetting" w:cs="Arabic Typesetting"/>
                <w:color w:val="002060"/>
                <w:sz w:val="28"/>
                <w:szCs w:val="28"/>
                <w:rtl/>
                <w:lang w:eastAsia="ar-EG" w:bidi="ar-EG"/>
              </w:rPr>
              <w:t>أرباد بوكش (</w:t>
            </w:r>
            <w:r>
              <w:rPr>
                <w:rFonts w:ascii="Arabic Typesetting" w:eastAsia="Arabic Typesetting" w:hAnsi="Arabic Typesetting" w:cs="Arabic Typesetting"/>
                <w:color w:val="002060"/>
                <w:sz w:val="28"/>
                <w:szCs w:val="28"/>
                <w:rtl/>
                <w:lang w:eastAsia="ar-EG" w:bidi="ar-EG"/>
              </w:rPr>
              <w:t>4)</w:t>
            </w:r>
          </w:p>
          <w:p w14:paraId="6ADFEBBA" w14:textId="77777777" w:rsidR="00BD3831" w:rsidRPr="006751AA" w:rsidRDefault="00BD3831" w:rsidP="0031289D">
            <w:pPr>
              <w:numPr>
                <w:ilvl w:val="0"/>
                <w:numId w:val="37"/>
              </w:numPr>
              <w:bidi/>
              <w:spacing w:after="120" w:line="280" w:lineRule="exact"/>
              <w:ind w:left="212" w:hanging="180"/>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الممر من بودنهاوزن الأول إلى بودنهاوزن الثاني (</w:t>
            </w:r>
            <w:r>
              <w:rPr>
                <w:rFonts w:ascii="Arabic Typesetting" w:eastAsia="Arabic Typesetting" w:hAnsi="Arabic Typesetting" w:cs="Arabic Typesetting"/>
                <w:color w:val="002060"/>
                <w:sz w:val="28"/>
                <w:szCs w:val="28"/>
                <w:rtl/>
                <w:lang w:eastAsia="ar-EG" w:bidi="ar-EG"/>
              </w:rPr>
              <w:t>5)</w:t>
            </w:r>
          </w:p>
          <w:p w14:paraId="2B632945" w14:textId="77777777" w:rsidR="00BD3831" w:rsidRPr="006751AA" w:rsidRDefault="00BD3831" w:rsidP="0031289D">
            <w:pPr>
              <w:numPr>
                <w:ilvl w:val="0"/>
                <w:numId w:val="37"/>
              </w:numPr>
              <w:bidi/>
              <w:spacing w:after="120" w:line="280" w:lineRule="exact"/>
              <w:ind w:left="212" w:hanging="180"/>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المبنى الجديد (</w:t>
            </w:r>
            <w:r>
              <w:rPr>
                <w:rFonts w:ascii="Arabic Typesetting" w:eastAsia="Arabic Typesetting" w:hAnsi="Arabic Typesetting" w:cs="Arabic Typesetting"/>
                <w:color w:val="002060"/>
                <w:sz w:val="28"/>
                <w:szCs w:val="28"/>
                <w:rtl/>
                <w:lang w:eastAsia="ar-EG" w:bidi="ar-EG"/>
              </w:rPr>
              <w:t>4)</w:t>
            </w:r>
          </w:p>
          <w:p w14:paraId="163308B9" w14:textId="77777777" w:rsidR="00BD3831" w:rsidRPr="006751AA" w:rsidRDefault="00BD3831" w:rsidP="0031289D">
            <w:pPr>
              <w:numPr>
                <w:ilvl w:val="0"/>
                <w:numId w:val="37"/>
              </w:numPr>
              <w:bidi/>
              <w:spacing w:after="120" w:line="280" w:lineRule="exact"/>
              <w:ind w:left="212" w:hanging="180"/>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مبنى البراءات (</w:t>
            </w:r>
            <w:r>
              <w:rPr>
                <w:rFonts w:ascii="Arabic Typesetting" w:eastAsia="Arabic Typesetting" w:hAnsi="Arabic Typesetting" w:cs="Arabic Typesetting" w:hint="cs"/>
                <w:color w:val="002060"/>
                <w:sz w:val="28"/>
                <w:szCs w:val="28"/>
                <w:rtl/>
                <w:lang w:eastAsia="ar-EG" w:bidi="ar-EG"/>
              </w:rPr>
              <w:t>صفر</w:t>
            </w:r>
            <w:r>
              <w:rPr>
                <w:rFonts w:ascii="Arabic Typesetting" w:eastAsia="Arabic Typesetting" w:hAnsi="Arabic Typesetting" w:cs="Arabic Typesetting"/>
                <w:color w:val="002060"/>
                <w:sz w:val="28"/>
                <w:szCs w:val="28"/>
                <w:rtl/>
                <w:lang w:eastAsia="ar-EG" w:bidi="ar-EG"/>
              </w:rPr>
              <w:t>)</w:t>
            </w:r>
          </w:p>
          <w:p w14:paraId="3EE24DB7" w14:textId="77777777" w:rsidR="00BD3831" w:rsidRDefault="00BD3831" w:rsidP="0031289D">
            <w:pPr>
              <w:numPr>
                <w:ilvl w:val="0"/>
                <w:numId w:val="37"/>
              </w:numPr>
              <w:bidi/>
              <w:spacing w:after="120" w:line="280" w:lineRule="exact"/>
              <w:ind w:left="212" w:hanging="180"/>
              <w:rPr>
                <w:rFonts w:ascii="Arabic Typesetting" w:eastAsia="Arabic Typesetting" w:hAnsi="Arabic Typesetting" w:cs="Arabic Typesetting"/>
                <w:color w:val="002060"/>
                <w:sz w:val="28"/>
                <w:szCs w:val="28"/>
                <w:lang w:eastAsia="ar-EG" w:bidi="ar-EG"/>
              </w:rPr>
            </w:pPr>
            <w:r w:rsidRPr="006751AA">
              <w:rPr>
                <w:rFonts w:ascii="Arabic Typesetting" w:eastAsia="Arabic Typesetting" w:hAnsi="Arabic Typesetting" w:cs="Arabic Typesetting"/>
                <w:color w:val="002060"/>
                <w:sz w:val="28"/>
                <w:szCs w:val="28"/>
                <w:rtl/>
                <w:lang w:eastAsia="ar-EG" w:bidi="ar-EG"/>
              </w:rPr>
              <w:t>قاعة الويبو للمؤتمرات (</w:t>
            </w:r>
            <w:r>
              <w:rPr>
                <w:rFonts w:ascii="Arabic Typesetting" w:eastAsia="Arabic Typesetting" w:hAnsi="Arabic Typesetting" w:cs="Arabic Typesetting" w:hint="cs"/>
                <w:color w:val="002060"/>
                <w:sz w:val="28"/>
                <w:szCs w:val="28"/>
                <w:rtl/>
                <w:lang w:eastAsia="ar-EG" w:bidi="ar-EG"/>
              </w:rPr>
              <w:t>صفر</w:t>
            </w:r>
            <w:r>
              <w:rPr>
                <w:rFonts w:ascii="Arabic Typesetting" w:eastAsia="Arabic Typesetting" w:hAnsi="Arabic Typesetting" w:cs="Arabic Typesetting"/>
                <w:color w:val="002060"/>
                <w:sz w:val="28"/>
                <w:szCs w:val="28"/>
                <w:rtl/>
                <w:lang w:eastAsia="ar-EG" w:bidi="ar-EG"/>
              </w:rPr>
              <w:t>)</w:t>
            </w:r>
          </w:p>
          <w:p w14:paraId="0ACC3B47"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i/>
                <w:iCs/>
                <w:color w:val="000000"/>
                <w:sz w:val="28"/>
                <w:szCs w:val="28"/>
                <w:rtl/>
                <w:lang w:eastAsia="ar-EG" w:bidi="ar-EG"/>
              </w:rPr>
              <w:t>‏أساس المقارنة الأصلي:</w:t>
            </w:r>
            <w:r w:rsidRPr="006751AA">
              <w:rPr>
                <w:rFonts w:ascii="Arabic Typesetting" w:eastAsia="Arabic Typesetting" w:hAnsi="Arabic Typesetting" w:cs="Arabic Typesetting"/>
                <w:i/>
                <w:color w:val="000000"/>
                <w:sz w:val="28"/>
                <w:szCs w:val="28"/>
                <w:lang w:eastAsia="ar-EG" w:bidi="ar-EG"/>
              </w:rPr>
              <w:br/>
            </w:r>
            <w:r w:rsidRPr="006751AA">
              <w:rPr>
                <w:rFonts w:ascii="Arabic Typesetting" w:eastAsia="Arabic Typesetting" w:hAnsi="Arabic Typesetting" w:cs="Arabic Typesetting"/>
                <w:i/>
                <w:iCs/>
                <w:color w:val="000000"/>
                <w:sz w:val="28"/>
                <w:szCs w:val="28"/>
                <w:rtl/>
                <w:lang w:eastAsia="ar-EG" w:bidi="ar-EG"/>
              </w:rPr>
              <w:t>برنامج وميزانية 2016/17</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6751AA">
              <w:rPr>
                <w:rFonts w:ascii="Arabic Typesetting" w:eastAsia="Arabic Typesetting" w:hAnsi="Arabic Typesetting" w:cs="Arabic Typesetting"/>
                <w:color w:val="000000"/>
                <w:sz w:val="28"/>
                <w:szCs w:val="28"/>
                <w:rtl/>
                <w:lang w:eastAsia="ar-EG" w:bidi="ar-EG"/>
              </w:rPr>
              <w:t>التوصيات الواردة في فحص النفاذ المادي لسنة 2012</w:t>
            </w:r>
          </w:p>
        </w:tc>
        <w:tc>
          <w:tcPr>
            <w:tcW w:w="865" w:type="pct"/>
            <w:shd w:val="clear" w:color="auto" w:fill="auto"/>
            <w:tcMar>
              <w:top w:w="110" w:type="dxa"/>
              <w:left w:w="58" w:type="dxa"/>
              <w:right w:w="58" w:type="dxa"/>
            </w:tcMar>
          </w:tcPr>
          <w:p w14:paraId="580AC571" w14:textId="77777777" w:rsidR="00BD3831" w:rsidRPr="006751AA"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6751AA">
              <w:rPr>
                <w:rFonts w:ascii="Arabic Typesetting" w:eastAsia="Arabic Typesetting" w:hAnsi="Arabic Typesetting" w:cs="Arabic Typesetting"/>
                <w:color w:val="000000"/>
                <w:sz w:val="28"/>
                <w:szCs w:val="28"/>
                <w:rtl/>
                <w:lang w:eastAsia="ar-EG" w:bidi="ar-EG"/>
              </w:rPr>
              <w:t>تنفيذ التدابير التالية قبل حلول نهاية 2017</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"1" </w:t>
            </w:r>
            <w:r w:rsidRPr="006751AA">
              <w:rPr>
                <w:rFonts w:ascii="Arabic Typesetting" w:eastAsia="Arabic Typesetting" w:hAnsi="Arabic Typesetting" w:cs="Arabic Typesetting"/>
                <w:color w:val="000000"/>
                <w:sz w:val="28"/>
                <w:szCs w:val="28"/>
                <w:rtl/>
                <w:lang w:eastAsia="ar-EG" w:bidi="ar-EG"/>
              </w:rPr>
              <w:t>أجهزة قراءة بطاقات الدخول في المستوى المطلوب من أجل الأشخاص ذوي الإعاقة</w:t>
            </w:r>
            <w:r w:rsidRPr="006751AA">
              <w:rPr>
                <w:rFonts w:ascii="Arabic Typesetting" w:eastAsia="Arabic Typesetting" w:hAnsi="Arabic Typesetting" w:cs="Arabic Typesetting"/>
                <w:color w:val="000000"/>
                <w:sz w:val="28"/>
                <w:szCs w:val="28"/>
                <w:lang w:eastAsia="ar-EG" w:bidi="ar-EG"/>
              </w:rPr>
              <w:br/>
            </w:r>
            <w:r>
              <w:rPr>
                <w:rFonts w:ascii="Arabic Typesetting" w:eastAsia="Arabic Typesetting" w:hAnsi="Arabic Typesetting" w:cs="Arabic Typesetting" w:hint="cs"/>
                <w:color w:val="000000"/>
                <w:sz w:val="28"/>
                <w:szCs w:val="28"/>
                <w:rtl/>
                <w:lang w:eastAsia="ar-EG" w:bidi="ar-EG"/>
              </w:rPr>
              <w:t xml:space="preserve">"2" </w:t>
            </w:r>
            <w:r w:rsidRPr="006751AA">
              <w:rPr>
                <w:rFonts w:ascii="Arabic Typesetting" w:eastAsia="Arabic Typesetting" w:hAnsi="Arabic Typesetting" w:cs="Arabic Typesetting"/>
                <w:color w:val="000000"/>
                <w:sz w:val="28"/>
                <w:szCs w:val="28"/>
                <w:rtl/>
                <w:lang w:eastAsia="ar-EG" w:bidi="ar-EG"/>
              </w:rPr>
              <w:t>قضبان وقائية في الأماكن اللازمة</w:t>
            </w:r>
          </w:p>
        </w:tc>
        <w:tc>
          <w:tcPr>
            <w:tcW w:w="1297" w:type="pct"/>
            <w:gridSpan w:val="3"/>
            <w:shd w:val="clear" w:color="auto" w:fill="FFFFFF"/>
            <w:tcMar>
              <w:top w:w="110" w:type="dxa"/>
              <w:left w:w="58" w:type="dxa"/>
              <w:right w:w="58" w:type="dxa"/>
            </w:tcMar>
          </w:tcPr>
          <w:p w14:paraId="3045782A" w14:textId="77777777" w:rsidR="00BD3831" w:rsidRPr="006751AA" w:rsidRDefault="00BD3831" w:rsidP="0031289D">
            <w:pPr>
              <w:numPr>
                <w:ilvl w:val="0"/>
                <w:numId w:val="37"/>
              </w:numPr>
              <w:bidi/>
              <w:spacing w:after="120" w:line="280" w:lineRule="exact"/>
              <w:ind w:left="212" w:hanging="180"/>
              <w:rPr>
                <w:rFonts w:ascii="Arabic Typesetting" w:eastAsia="Arabic Typesetting" w:hAnsi="Arabic Typesetting" w:cs="Arabic Typesetting"/>
                <w:sz w:val="28"/>
                <w:szCs w:val="28"/>
                <w:lang w:eastAsia="ar-EG" w:bidi="ar-EG"/>
              </w:rPr>
            </w:pPr>
            <w:r w:rsidRPr="006751AA">
              <w:rPr>
                <w:rFonts w:ascii="Arabic Typesetting" w:eastAsia="Arabic Typesetting" w:hAnsi="Arabic Typesetting" w:cs="Arabic Typesetting"/>
                <w:sz w:val="28"/>
                <w:szCs w:val="28"/>
                <w:rtl/>
                <w:lang w:eastAsia="ar-EG" w:bidi="ar-EG"/>
              </w:rPr>
              <w:t>تخفيض عدد أجهزة قراءة البطاقات</w:t>
            </w:r>
            <w:r w:rsidRPr="00874706">
              <w:rPr>
                <w:rFonts w:ascii="Arabic Typesetting" w:eastAsia="Arabic Typesetting" w:hAnsi="Arabic Typesetting" w:cs="Arabic Typesetting"/>
                <w:sz w:val="28"/>
                <w:szCs w:val="28"/>
                <w:rtl/>
                <w:lang w:eastAsia="ar-EG" w:bidi="ar-EG"/>
              </w:rPr>
              <w:t>:</w:t>
            </w:r>
            <w:r w:rsidRPr="00874706">
              <w:rPr>
                <w:rFonts w:ascii="Arabic Typesetting" w:eastAsia="Arabic Typesetting" w:hAnsi="Arabic Typesetting" w:cs="Arabic Typesetting"/>
                <w:sz w:val="28"/>
                <w:szCs w:val="28"/>
                <w:rtl/>
                <w:lang w:eastAsia="ar-EG" w:bidi="ar-EG"/>
              </w:rPr>
              <w:br/>
            </w:r>
            <w:r w:rsidRPr="006751AA">
              <w:rPr>
                <w:rFonts w:ascii="Arabic Typesetting" w:eastAsia="Arabic Typesetting" w:hAnsi="Arabic Typesetting" w:cs="Arabic Typesetting"/>
                <w:sz w:val="28"/>
                <w:szCs w:val="28"/>
                <w:rtl/>
                <w:lang w:eastAsia="ar-EG" w:bidi="ar-EG"/>
              </w:rPr>
              <w:t>أربا</w:t>
            </w:r>
            <w:r w:rsidRPr="00874706">
              <w:rPr>
                <w:rFonts w:ascii="Arabic Typesetting" w:eastAsia="Arabic Typesetting" w:hAnsi="Arabic Typesetting" w:cs="Arabic Typesetting" w:hint="cs"/>
                <w:sz w:val="28"/>
                <w:szCs w:val="28"/>
                <w:rtl/>
                <w:lang w:eastAsia="ar-EG" w:bidi="ar-EG"/>
              </w:rPr>
              <w:t>د</w:t>
            </w:r>
            <w:r w:rsidRPr="006751AA">
              <w:rPr>
                <w:rFonts w:ascii="Arabic Typesetting" w:eastAsia="Arabic Typesetting" w:hAnsi="Arabic Typesetting" w:cs="Arabic Typesetting"/>
                <w:sz w:val="28"/>
                <w:szCs w:val="28"/>
                <w:rtl/>
                <w:lang w:eastAsia="ar-EG" w:bidi="ar-EG"/>
              </w:rPr>
              <w:t xml:space="preserve"> بوكش (</w:t>
            </w:r>
            <w:r w:rsidRPr="00874706">
              <w:rPr>
                <w:rFonts w:ascii="Arabic Typesetting" w:eastAsia="Arabic Typesetting" w:hAnsi="Arabic Typesetting" w:cs="Arabic Typesetting"/>
                <w:sz w:val="28"/>
                <w:szCs w:val="28"/>
                <w:rtl/>
                <w:lang w:eastAsia="ar-EG" w:bidi="ar-EG"/>
              </w:rPr>
              <w:t>2 من أصل 6)</w:t>
            </w:r>
            <w:r>
              <w:rPr>
                <w:rFonts w:ascii="Arabic Typesetting" w:eastAsia="Arabic Typesetting" w:hAnsi="Arabic Typesetting" w:cs="Arabic Typesetting"/>
                <w:sz w:val="28"/>
                <w:szCs w:val="28"/>
                <w:rtl/>
                <w:lang w:eastAsia="ar-EG" w:bidi="ar-EG"/>
              </w:rPr>
              <w:br/>
            </w:r>
            <w:r w:rsidRPr="006751AA">
              <w:rPr>
                <w:rFonts w:ascii="Arabic Typesetting" w:eastAsia="Arabic Typesetting" w:hAnsi="Arabic Typesetting" w:cs="Arabic Typesetting"/>
                <w:sz w:val="28"/>
                <w:szCs w:val="28"/>
                <w:rtl/>
                <w:lang w:eastAsia="ar-EG" w:bidi="ar-EG"/>
              </w:rPr>
              <w:t>بودنهاوزن الأول وبودنهاوزن الثاني (</w:t>
            </w:r>
            <w:r w:rsidRPr="00874706">
              <w:rPr>
                <w:rFonts w:ascii="Arabic Typesetting" w:eastAsia="Arabic Typesetting" w:hAnsi="Arabic Typesetting" w:cs="Arabic Typesetting"/>
                <w:sz w:val="28"/>
                <w:szCs w:val="28"/>
                <w:rtl/>
                <w:lang w:eastAsia="ar-EG" w:bidi="ar-EG"/>
              </w:rPr>
              <w:t>2 من أصل 4)</w:t>
            </w:r>
          </w:p>
          <w:p w14:paraId="741F9D40" w14:textId="77777777" w:rsidR="00BD3831" w:rsidRPr="006751AA" w:rsidRDefault="00BD3831" w:rsidP="0031289D">
            <w:pPr>
              <w:numPr>
                <w:ilvl w:val="0"/>
                <w:numId w:val="37"/>
              </w:numPr>
              <w:bidi/>
              <w:spacing w:after="120" w:line="280" w:lineRule="exact"/>
              <w:ind w:left="212" w:hanging="180"/>
              <w:rPr>
                <w:rFonts w:ascii="Arabic Typesetting" w:eastAsia="Arabic Typesetting" w:hAnsi="Arabic Typesetting" w:cs="Arabic Typesetting"/>
                <w:sz w:val="28"/>
                <w:szCs w:val="28"/>
                <w:lang w:eastAsia="ar-EG" w:bidi="ar-EG"/>
              </w:rPr>
            </w:pPr>
            <w:r w:rsidRPr="006751AA">
              <w:rPr>
                <w:rFonts w:ascii="Arabic Typesetting" w:eastAsia="Arabic Typesetting" w:hAnsi="Arabic Typesetting" w:cs="Arabic Typesetting"/>
                <w:sz w:val="28"/>
                <w:szCs w:val="28"/>
                <w:rtl/>
                <w:lang w:eastAsia="ar-EG" w:bidi="ar-EG"/>
              </w:rPr>
              <w:t>عدد الدرابزين المركَّبة</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Pr="006751AA">
              <w:rPr>
                <w:rFonts w:ascii="Arabic Typesetting" w:eastAsia="Arabic Typesetting" w:hAnsi="Arabic Typesetting" w:cs="Arabic Typesetting"/>
                <w:sz w:val="28"/>
                <w:szCs w:val="28"/>
                <w:rtl/>
                <w:lang w:eastAsia="ar-EG" w:bidi="ar-EG"/>
              </w:rPr>
              <w:t>الممر من بودنهاوزن الأول إلى بودنهاوزن الثاني (5 م</w:t>
            </w:r>
            <w:r>
              <w:rPr>
                <w:rFonts w:ascii="Arabic Typesetting" w:eastAsia="Arabic Typesetting" w:hAnsi="Arabic Typesetting" w:cs="Arabic Typesetting"/>
                <w:sz w:val="28"/>
                <w:szCs w:val="28"/>
                <w:rtl/>
                <w:lang w:eastAsia="ar-EG" w:bidi="ar-EG"/>
              </w:rPr>
              <w:t>ن أصل 5)</w:t>
            </w:r>
          </w:p>
        </w:tc>
        <w:tc>
          <w:tcPr>
            <w:tcW w:w="375" w:type="pct"/>
            <w:shd w:val="clear" w:color="auto" w:fill="auto"/>
            <w:tcMar>
              <w:top w:w="110" w:type="dxa"/>
              <w:left w:w="58" w:type="dxa"/>
              <w:right w:w="58" w:type="dxa"/>
            </w:tcMar>
          </w:tcPr>
          <w:p w14:paraId="7BE090B7" w14:textId="77777777" w:rsidR="00BD3831" w:rsidRDefault="00BD3831" w:rsidP="0031289D">
            <w:pPr>
              <w:keepNext/>
              <w:keepLines/>
              <w:bidi/>
              <w:spacing w:before="240" w:after="960" w:line="280" w:lineRule="exact"/>
              <w:jc w:val="center"/>
              <w:rPr>
                <w:rFonts w:ascii="Arabic Typesetting" w:eastAsia="Arabic Typesetting" w:hAnsi="Arabic Typesetting" w:cs="Arabic Typesetting"/>
                <w:b/>
                <w:color w:val="FF0000"/>
                <w:sz w:val="28"/>
                <w:szCs w:val="28"/>
                <w:lang w:eastAsia="ar-EG" w:bidi="ar-EG"/>
              </w:rPr>
            </w:pPr>
            <w:r w:rsidRPr="006751AA">
              <w:rPr>
                <w:rFonts w:ascii="Arabic Typesetting" w:eastAsia="Arabic Typesetting" w:hAnsi="Arabic Typesetting" w:cs="Arabic Typesetting"/>
                <w:b/>
                <w:bCs/>
                <w:color w:val="FF0000"/>
                <w:sz w:val="28"/>
                <w:szCs w:val="28"/>
                <w:rtl/>
                <w:lang w:eastAsia="ar-EG" w:bidi="ar-EG"/>
              </w:rPr>
              <w:t>غير ثابت</w:t>
            </w:r>
          </w:p>
          <w:p w14:paraId="711CAF0B" w14:textId="77777777" w:rsidR="00BD3831" w:rsidRPr="006751AA" w:rsidRDefault="00BD3831" w:rsidP="0031289D">
            <w:pPr>
              <w:keepNext/>
              <w:keepLines/>
              <w:bidi/>
              <w:spacing w:after="120" w:line="280" w:lineRule="exact"/>
              <w:jc w:val="center"/>
              <w:rPr>
                <w:rFonts w:ascii="Arabic Typesetting" w:eastAsia="Arabic Typesetting" w:hAnsi="Arabic Typesetting" w:cs="Arabic Typesetting"/>
                <w:b/>
                <w:color w:val="FF0000"/>
                <w:sz w:val="28"/>
                <w:szCs w:val="28"/>
                <w:lang w:eastAsia="ar-EG" w:bidi="ar-EG"/>
              </w:rPr>
            </w:pPr>
            <w:r w:rsidRPr="006751AA">
              <w:rPr>
                <w:rFonts w:ascii="Arabic Typesetting" w:eastAsia="Arabic Typesetting" w:hAnsi="Arabic Typesetting" w:cs="Arabic Typesetting"/>
                <w:b/>
                <w:bCs/>
                <w:color w:val="FF0000"/>
                <w:sz w:val="28"/>
                <w:szCs w:val="28"/>
                <w:rtl/>
                <w:lang w:eastAsia="ar-EG" w:bidi="ar-EG"/>
              </w:rPr>
              <w:t>غير ثابت</w:t>
            </w:r>
          </w:p>
        </w:tc>
      </w:tr>
    </w:tbl>
    <w:p w14:paraId="28367D1F" w14:textId="77777777" w:rsidR="00BD3831" w:rsidRDefault="00BD3831" w:rsidP="0031289D">
      <w:pPr>
        <w:bidi/>
      </w:pPr>
    </w:p>
    <w:tbl>
      <w:tblPr>
        <w:tblStyle w:val="TableGrid"/>
        <w:bidiVisual/>
        <w:tblW w:w="0" w:type="auto"/>
        <w:tblLook w:val="04A0" w:firstRow="1" w:lastRow="0" w:firstColumn="1" w:lastColumn="0" w:noHBand="0" w:noVBand="1"/>
      </w:tblPr>
      <w:tblGrid>
        <w:gridCol w:w="9571"/>
      </w:tblGrid>
      <w:tr w:rsidR="00BD3831" w14:paraId="19513F61" w14:textId="77777777" w:rsidTr="00DF6715">
        <w:tc>
          <w:tcPr>
            <w:tcW w:w="9571" w:type="dxa"/>
            <w:tcBorders>
              <w:top w:val="nil"/>
              <w:left w:val="nil"/>
              <w:bottom w:val="nil"/>
              <w:right w:val="nil"/>
            </w:tcBorders>
            <w:shd w:val="clear" w:color="auto" w:fill="C6D9F1"/>
            <w:vAlign w:val="center"/>
          </w:tcPr>
          <w:p w14:paraId="4D6AE7F3" w14:textId="77777777" w:rsidR="00BD3831" w:rsidRPr="00A2672B" w:rsidRDefault="00BD3831" w:rsidP="000B74B5">
            <w:pPr>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24</w:t>
            </w:r>
          </w:p>
        </w:tc>
      </w:tr>
    </w:tbl>
    <w:p w14:paraId="5CF92781" w14:textId="77777777" w:rsidR="00BD3831" w:rsidRPr="00FE3908" w:rsidRDefault="00BD3831" w:rsidP="000B74B5">
      <w:pPr>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5D6D73B3" w14:textId="77777777" w:rsidR="00BD3831" w:rsidRDefault="00BD3831" w:rsidP="000B74B5">
      <w:pPr>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D3831" w:rsidRPr="00211D55" w14:paraId="786CE154" w14:textId="77777777" w:rsidTr="00DF6715">
        <w:trPr>
          <w:trHeight w:val="825"/>
        </w:trPr>
        <w:tc>
          <w:tcPr>
            <w:tcW w:w="2753" w:type="pct"/>
            <w:gridSpan w:val="2"/>
            <w:shd w:val="clear" w:color="auto" w:fill="C6D9F1"/>
            <w:noWrap/>
            <w:tcMar>
              <w:top w:w="15" w:type="dxa"/>
              <w:left w:w="15" w:type="dxa"/>
              <w:bottom w:w="0" w:type="dxa"/>
              <w:right w:w="15" w:type="dxa"/>
            </w:tcMar>
            <w:vAlign w:val="center"/>
            <w:hideMark/>
          </w:tcPr>
          <w:p w14:paraId="4AFC9330" w14:textId="77777777" w:rsidR="00BD3831" w:rsidRPr="00A2672B" w:rsidRDefault="00BD3831" w:rsidP="000B74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56A76743" w14:textId="77777777" w:rsidR="00BD3831" w:rsidRPr="00A2672B" w:rsidRDefault="00BD3831" w:rsidP="000B74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6F315279" w14:textId="77777777" w:rsidR="00BD3831" w:rsidRPr="00A2672B" w:rsidRDefault="00BD3831" w:rsidP="000B74B5">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5235E3B1" w14:textId="77777777" w:rsidR="00BD3831" w:rsidRPr="00A2672B" w:rsidRDefault="00BD3831" w:rsidP="000B74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D3831" w:rsidRPr="00211D55" w14:paraId="433FEE73" w14:textId="77777777" w:rsidTr="00DF6715">
        <w:trPr>
          <w:trHeight w:val="55"/>
        </w:trPr>
        <w:tc>
          <w:tcPr>
            <w:tcW w:w="413" w:type="pct"/>
            <w:shd w:val="clear" w:color="auto" w:fill="auto"/>
            <w:noWrap/>
            <w:tcMar>
              <w:top w:w="15" w:type="dxa"/>
              <w:left w:w="15" w:type="dxa"/>
              <w:bottom w:w="0" w:type="dxa"/>
              <w:right w:w="15" w:type="dxa"/>
            </w:tcMar>
          </w:tcPr>
          <w:p w14:paraId="040D402A" w14:textId="77777777" w:rsidR="00BD3831" w:rsidRPr="006751AA" w:rsidRDefault="00BD3831" w:rsidP="000B74B5">
            <w:pPr>
              <w:bidi/>
              <w:spacing w:before="120" w:after="120"/>
              <w:rPr>
                <w:rFonts w:ascii="Arabic Typesetting" w:hAnsi="Arabic Typesetting" w:cs="Arabic Typesetting"/>
                <w:sz w:val="28"/>
                <w:szCs w:val="28"/>
              </w:rPr>
            </w:pPr>
            <w:r w:rsidRPr="006751AA">
              <w:rPr>
                <w:rFonts w:ascii="Arabic Typesetting" w:hAnsi="Arabic Typesetting" w:cs="Arabic Typesetting"/>
                <w:sz w:val="28"/>
                <w:szCs w:val="28"/>
                <w:rtl/>
              </w:rPr>
              <w:t>ه5.8</w:t>
            </w:r>
          </w:p>
        </w:tc>
        <w:tc>
          <w:tcPr>
            <w:tcW w:w="2340" w:type="pct"/>
            <w:shd w:val="clear" w:color="auto" w:fill="auto"/>
            <w:tcMar>
              <w:top w:w="15" w:type="dxa"/>
              <w:left w:w="15" w:type="dxa"/>
              <w:bottom w:w="0" w:type="dxa"/>
              <w:right w:w="15" w:type="dxa"/>
            </w:tcMar>
          </w:tcPr>
          <w:p w14:paraId="0B634D6C" w14:textId="77777777" w:rsidR="00BD3831" w:rsidRPr="006751AA" w:rsidRDefault="00BD3831" w:rsidP="000B74B5">
            <w:pPr>
              <w:bidi/>
              <w:spacing w:before="120" w:after="120"/>
              <w:rPr>
                <w:rFonts w:ascii="Arabic Typesetting" w:hAnsi="Arabic Typesetting" w:cs="Arabic Typesetting"/>
                <w:sz w:val="28"/>
                <w:szCs w:val="28"/>
              </w:rPr>
            </w:pPr>
            <w:r w:rsidRPr="006751AA">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shd w:val="clear" w:color="auto" w:fill="auto"/>
            <w:tcMar>
              <w:top w:w="15" w:type="dxa"/>
              <w:left w:w="15" w:type="dxa"/>
              <w:bottom w:w="0" w:type="dxa"/>
              <w:right w:w="15" w:type="dxa"/>
            </w:tcMar>
            <w:vAlign w:val="center"/>
          </w:tcPr>
          <w:p w14:paraId="7B9DEA9E" w14:textId="77777777" w:rsidR="00BD3831" w:rsidRPr="006751AA" w:rsidRDefault="00BD3831" w:rsidP="000B74B5">
            <w:pPr>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476</w:t>
            </w:r>
          </w:p>
        </w:tc>
        <w:tc>
          <w:tcPr>
            <w:tcW w:w="749" w:type="pct"/>
            <w:shd w:val="clear" w:color="auto" w:fill="auto"/>
            <w:tcMar>
              <w:top w:w="15" w:type="dxa"/>
              <w:left w:w="15" w:type="dxa"/>
              <w:bottom w:w="0" w:type="dxa"/>
              <w:right w:w="15" w:type="dxa"/>
            </w:tcMar>
            <w:vAlign w:val="center"/>
          </w:tcPr>
          <w:p w14:paraId="743EAD0D" w14:textId="77777777" w:rsidR="00BD3831" w:rsidRPr="006751AA" w:rsidRDefault="00BD3831" w:rsidP="000B74B5">
            <w:pPr>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559</w:t>
            </w:r>
          </w:p>
        </w:tc>
        <w:tc>
          <w:tcPr>
            <w:tcW w:w="749" w:type="pct"/>
            <w:shd w:val="clear" w:color="auto" w:fill="auto"/>
            <w:noWrap/>
            <w:tcMar>
              <w:top w:w="15" w:type="dxa"/>
              <w:left w:w="15" w:type="dxa"/>
              <w:bottom w:w="0" w:type="dxa"/>
              <w:right w:w="15" w:type="dxa"/>
            </w:tcMar>
            <w:vAlign w:val="center"/>
          </w:tcPr>
          <w:p w14:paraId="2381BD17" w14:textId="77777777" w:rsidR="00BD3831" w:rsidRPr="006751AA" w:rsidRDefault="00BD3831" w:rsidP="000B74B5">
            <w:pPr>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694</w:t>
            </w:r>
          </w:p>
        </w:tc>
      </w:tr>
      <w:tr w:rsidR="00BD3831" w:rsidRPr="00211D55" w14:paraId="2BB0D871" w14:textId="77777777" w:rsidTr="00DF6715">
        <w:trPr>
          <w:trHeight w:val="55"/>
        </w:trPr>
        <w:tc>
          <w:tcPr>
            <w:tcW w:w="413" w:type="pct"/>
            <w:shd w:val="clear" w:color="auto" w:fill="auto"/>
            <w:noWrap/>
            <w:tcMar>
              <w:top w:w="15" w:type="dxa"/>
              <w:left w:w="15" w:type="dxa"/>
              <w:bottom w:w="0" w:type="dxa"/>
              <w:right w:w="15" w:type="dxa"/>
            </w:tcMar>
          </w:tcPr>
          <w:p w14:paraId="06AB9C7B" w14:textId="77777777" w:rsidR="00BD3831" w:rsidRPr="006751AA" w:rsidRDefault="00BD3831" w:rsidP="000B74B5">
            <w:pPr>
              <w:bidi/>
              <w:spacing w:before="120" w:after="120"/>
              <w:rPr>
                <w:rFonts w:ascii="Arabic Typesetting" w:hAnsi="Arabic Typesetting" w:cs="Arabic Typesetting"/>
                <w:sz w:val="28"/>
                <w:szCs w:val="28"/>
              </w:rPr>
            </w:pPr>
            <w:r w:rsidRPr="006751AA">
              <w:rPr>
                <w:rFonts w:ascii="Arabic Typesetting" w:hAnsi="Arabic Typesetting" w:cs="Arabic Typesetting"/>
                <w:sz w:val="28"/>
                <w:szCs w:val="28"/>
                <w:rtl/>
              </w:rPr>
              <w:t>ه1.9</w:t>
            </w:r>
          </w:p>
        </w:tc>
        <w:tc>
          <w:tcPr>
            <w:tcW w:w="2340" w:type="pct"/>
            <w:shd w:val="clear" w:color="auto" w:fill="auto"/>
            <w:tcMar>
              <w:top w:w="15" w:type="dxa"/>
              <w:left w:w="15" w:type="dxa"/>
              <w:bottom w:w="0" w:type="dxa"/>
              <w:right w:w="15" w:type="dxa"/>
            </w:tcMar>
          </w:tcPr>
          <w:p w14:paraId="009EC0FA" w14:textId="77777777" w:rsidR="00BD3831" w:rsidRPr="006751AA" w:rsidRDefault="00BD3831" w:rsidP="000B74B5">
            <w:pPr>
              <w:bidi/>
              <w:spacing w:before="120" w:after="120"/>
              <w:rPr>
                <w:rFonts w:ascii="Arabic Typesetting" w:hAnsi="Arabic Typesetting" w:cs="Arabic Typesetting"/>
                <w:sz w:val="28"/>
                <w:szCs w:val="28"/>
              </w:rPr>
            </w:pPr>
            <w:r w:rsidRPr="006751AA">
              <w:rPr>
                <w:rFonts w:ascii="Arabic Typesetting" w:hAnsi="Arabic Typesetting" w:cs="Arabic Typesetting"/>
                <w:sz w:val="28"/>
                <w:szCs w:val="28"/>
                <w:rtl/>
              </w:rPr>
              <w:t>خدمات دعم موجهة للزبون بفعالية وكفاءة وجودة لفائدة الزبائن الداخليين وأصحاب المصلحة الخارجيين</w:t>
            </w:r>
          </w:p>
        </w:tc>
        <w:tc>
          <w:tcPr>
            <w:tcW w:w="749" w:type="pct"/>
            <w:shd w:val="clear" w:color="auto" w:fill="auto"/>
            <w:tcMar>
              <w:top w:w="15" w:type="dxa"/>
              <w:left w:w="15" w:type="dxa"/>
              <w:bottom w:w="0" w:type="dxa"/>
              <w:right w:w="15" w:type="dxa"/>
            </w:tcMar>
            <w:vAlign w:val="center"/>
          </w:tcPr>
          <w:p w14:paraId="655DE353" w14:textId="77777777" w:rsidR="00BD3831" w:rsidRPr="006751AA" w:rsidRDefault="00BD3831" w:rsidP="000B74B5">
            <w:pPr>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44</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433</w:t>
            </w:r>
          </w:p>
        </w:tc>
        <w:tc>
          <w:tcPr>
            <w:tcW w:w="749" w:type="pct"/>
            <w:shd w:val="clear" w:color="auto" w:fill="auto"/>
            <w:tcMar>
              <w:top w:w="15" w:type="dxa"/>
              <w:left w:w="15" w:type="dxa"/>
              <w:bottom w:w="0" w:type="dxa"/>
              <w:right w:w="15" w:type="dxa"/>
            </w:tcMar>
            <w:vAlign w:val="center"/>
          </w:tcPr>
          <w:p w14:paraId="5DE6E34F" w14:textId="77777777" w:rsidR="00BD3831" w:rsidRPr="006751AA" w:rsidRDefault="00BD3831" w:rsidP="000B74B5">
            <w:pPr>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49</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797</w:t>
            </w:r>
          </w:p>
        </w:tc>
        <w:tc>
          <w:tcPr>
            <w:tcW w:w="749" w:type="pct"/>
            <w:shd w:val="clear" w:color="auto" w:fill="auto"/>
            <w:noWrap/>
            <w:tcMar>
              <w:top w:w="15" w:type="dxa"/>
              <w:left w:w="15" w:type="dxa"/>
              <w:bottom w:w="0" w:type="dxa"/>
              <w:right w:w="15" w:type="dxa"/>
            </w:tcMar>
            <w:vAlign w:val="center"/>
          </w:tcPr>
          <w:p w14:paraId="7DAB322D" w14:textId="77777777" w:rsidR="00BD3831" w:rsidRPr="006751AA" w:rsidRDefault="00BD3831" w:rsidP="000B74B5">
            <w:pPr>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19</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354</w:t>
            </w:r>
          </w:p>
        </w:tc>
      </w:tr>
      <w:tr w:rsidR="00BD3831" w:rsidRPr="00211D55" w14:paraId="7BDFECE1" w14:textId="77777777" w:rsidTr="00DF6715">
        <w:trPr>
          <w:trHeight w:val="735"/>
        </w:trPr>
        <w:tc>
          <w:tcPr>
            <w:tcW w:w="413" w:type="pct"/>
            <w:shd w:val="clear" w:color="auto" w:fill="auto"/>
            <w:noWrap/>
            <w:tcMar>
              <w:top w:w="15" w:type="dxa"/>
              <w:left w:w="15" w:type="dxa"/>
              <w:bottom w:w="0" w:type="dxa"/>
              <w:right w:w="15" w:type="dxa"/>
            </w:tcMar>
          </w:tcPr>
          <w:p w14:paraId="3A6C36B3" w14:textId="77777777" w:rsidR="00BD3831" w:rsidRPr="006751AA" w:rsidRDefault="00BD3831" w:rsidP="000B74B5">
            <w:pPr>
              <w:bidi/>
              <w:spacing w:before="120" w:after="120"/>
              <w:rPr>
                <w:rFonts w:ascii="Arabic Typesetting" w:hAnsi="Arabic Typesetting" w:cs="Arabic Typesetting"/>
                <w:sz w:val="28"/>
                <w:szCs w:val="28"/>
              </w:rPr>
            </w:pPr>
            <w:r w:rsidRPr="006751AA">
              <w:rPr>
                <w:rFonts w:ascii="Arabic Typesetting" w:hAnsi="Arabic Typesetting" w:cs="Arabic Typesetting"/>
                <w:sz w:val="28"/>
                <w:szCs w:val="28"/>
                <w:rtl/>
              </w:rPr>
              <w:t>ه4.9</w:t>
            </w:r>
          </w:p>
        </w:tc>
        <w:tc>
          <w:tcPr>
            <w:tcW w:w="2340" w:type="pct"/>
            <w:shd w:val="clear" w:color="auto" w:fill="auto"/>
            <w:tcMar>
              <w:top w:w="15" w:type="dxa"/>
              <w:left w:w="15" w:type="dxa"/>
              <w:bottom w:w="0" w:type="dxa"/>
              <w:right w:w="15" w:type="dxa"/>
            </w:tcMar>
          </w:tcPr>
          <w:p w14:paraId="647B4E16" w14:textId="77777777" w:rsidR="00BD3831" w:rsidRPr="006751AA" w:rsidRDefault="00BD3831" w:rsidP="000B74B5">
            <w:pPr>
              <w:bidi/>
              <w:spacing w:before="120" w:after="120"/>
              <w:rPr>
                <w:rFonts w:ascii="Arabic Typesetting" w:hAnsi="Arabic Typesetting" w:cs="Arabic Typesetting"/>
                <w:sz w:val="28"/>
                <w:szCs w:val="28"/>
              </w:rPr>
            </w:pPr>
            <w:r w:rsidRPr="006751AA">
              <w:rPr>
                <w:rFonts w:ascii="Arabic Typesetting" w:hAnsi="Arabic Typesetting" w:cs="Arabic Typesetting"/>
                <w:sz w:val="28"/>
                <w:szCs w:val="28"/>
                <w:rtl/>
              </w:rPr>
              <w:t>منظمة ذات مسؤولية بيئية واجتماعية تكفل السلامة والأمن للموظفين في الويبو والمندوبين والزائرين والممتلكات المادية والمعلومات</w:t>
            </w:r>
          </w:p>
        </w:tc>
        <w:tc>
          <w:tcPr>
            <w:tcW w:w="749" w:type="pct"/>
            <w:shd w:val="clear" w:color="auto" w:fill="auto"/>
            <w:tcMar>
              <w:top w:w="15" w:type="dxa"/>
              <w:left w:w="15" w:type="dxa"/>
              <w:bottom w:w="0" w:type="dxa"/>
              <w:right w:w="15" w:type="dxa"/>
            </w:tcMar>
            <w:vAlign w:val="center"/>
          </w:tcPr>
          <w:p w14:paraId="696F92C2" w14:textId="77777777" w:rsidR="00BD3831" w:rsidRPr="006751AA" w:rsidRDefault="00BD3831" w:rsidP="000B74B5">
            <w:pPr>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308</w:t>
            </w:r>
          </w:p>
        </w:tc>
        <w:tc>
          <w:tcPr>
            <w:tcW w:w="749" w:type="pct"/>
            <w:shd w:val="clear" w:color="auto" w:fill="auto"/>
            <w:tcMar>
              <w:top w:w="15" w:type="dxa"/>
              <w:left w:w="15" w:type="dxa"/>
              <w:bottom w:w="0" w:type="dxa"/>
              <w:right w:w="15" w:type="dxa"/>
            </w:tcMar>
            <w:vAlign w:val="center"/>
          </w:tcPr>
          <w:p w14:paraId="785E0479" w14:textId="77777777" w:rsidR="00BD3831" w:rsidRPr="006751AA" w:rsidRDefault="00BD3831" w:rsidP="000B74B5">
            <w:pPr>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216</w:t>
            </w:r>
          </w:p>
        </w:tc>
        <w:tc>
          <w:tcPr>
            <w:tcW w:w="749" w:type="pct"/>
            <w:shd w:val="clear" w:color="auto" w:fill="auto"/>
            <w:noWrap/>
            <w:tcMar>
              <w:top w:w="15" w:type="dxa"/>
              <w:left w:w="15" w:type="dxa"/>
              <w:bottom w:w="0" w:type="dxa"/>
              <w:right w:w="15" w:type="dxa"/>
            </w:tcMar>
            <w:vAlign w:val="center"/>
          </w:tcPr>
          <w:p w14:paraId="49DE9AA8" w14:textId="77777777" w:rsidR="00BD3831" w:rsidRPr="006751AA" w:rsidRDefault="00BD3831" w:rsidP="000B74B5">
            <w:pPr>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537</w:t>
            </w:r>
          </w:p>
        </w:tc>
      </w:tr>
      <w:tr w:rsidR="00BD3831" w:rsidRPr="00211D55" w14:paraId="5F0C1C0C" w14:textId="77777777" w:rsidTr="00DF6715">
        <w:trPr>
          <w:trHeight w:val="225"/>
        </w:trPr>
        <w:tc>
          <w:tcPr>
            <w:tcW w:w="413" w:type="pct"/>
            <w:shd w:val="clear" w:color="auto" w:fill="C6D9F1"/>
            <w:noWrap/>
            <w:tcMar>
              <w:top w:w="15" w:type="dxa"/>
              <w:left w:w="15" w:type="dxa"/>
              <w:bottom w:w="0" w:type="dxa"/>
              <w:right w:w="15" w:type="dxa"/>
            </w:tcMar>
            <w:vAlign w:val="bottom"/>
            <w:hideMark/>
          </w:tcPr>
          <w:p w14:paraId="588F6960" w14:textId="77777777" w:rsidR="00BD3831" w:rsidRPr="00211D55" w:rsidRDefault="00BD3831" w:rsidP="000B74B5">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10CA689C" w14:textId="77777777" w:rsidR="00BD3831" w:rsidRPr="00D41845" w:rsidRDefault="00BD3831" w:rsidP="000B74B5">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401BEF41" w14:textId="77777777" w:rsidR="00BD3831" w:rsidRPr="00280D1A" w:rsidRDefault="00BD3831" w:rsidP="000B74B5">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47 216</w:t>
            </w:r>
          </w:p>
        </w:tc>
        <w:tc>
          <w:tcPr>
            <w:tcW w:w="749" w:type="pct"/>
            <w:shd w:val="clear" w:color="auto" w:fill="C6D9F1"/>
            <w:noWrap/>
            <w:tcMar>
              <w:top w:w="15" w:type="dxa"/>
              <w:left w:w="15" w:type="dxa"/>
              <w:bottom w:w="0" w:type="dxa"/>
              <w:right w:w="15" w:type="dxa"/>
            </w:tcMar>
            <w:vAlign w:val="center"/>
          </w:tcPr>
          <w:p w14:paraId="0AB66E81" w14:textId="77777777" w:rsidR="00BD3831" w:rsidRPr="00280D1A" w:rsidRDefault="00BD3831" w:rsidP="000B74B5">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52 572</w:t>
            </w:r>
          </w:p>
        </w:tc>
        <w:tc>
          <w:tcPr>
            <w:tcW w:w="749" w:type="pct"/>
            <w:shd w:val="clear" w:color="auto" w:fill="C6D9F1"/>
            <w:noWrap/>
            <w:tcMar>
              <w:top w:w="15" w:type="dxa"/>
              <w:left w:w="15" w:type="dxa"/>
              <w:bottom w:w="0" w:type="dxa"/>
              <w:right w:w="15" w:type="dxa"/>
            </w:tcMar>
            <w:vAlign w:val="center"/>
          </w:tcPr>
          <w:p w14:paraId="13B9EED5" w14:textId="77777777" w:rsidR="00BD3831" w:rsidRPr="00280D1A" w:rsidRDefault="00BD3831" w:rsidP="000B74B5">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20 584</w:t>
            </w:r>
          </w:p>
        </w:tc>
      </w:tr>
      <w:tr w:rsidR="00BD3831" w:rsidRPr="00211D55" w14:paraId="12835154" w14:textId="77777777" w:rsidTr="00DF6715">
        <w:trPr>
          <w:trHeight w:val="225"/>
        </w:trPr>
        <w:tc>
          <w:tcPr>
            <w:tcW w:w="5000" w:type="pct"/>
            <w:gridSpan w:val="5"/>
            <w:shd w:val="clear" w:color="auto" w:fill="auto"/>
            <w:noWrap/>
            <w:tcMar>
              <w:top w:w="15" w:type="dxa"/>
              <w:left w:w="15" w:type="dxa"/>
              <w:bottom w:w="0" w:type="dxa"/>
              <w:right w:w="15" w:type="dxa"/>
            </w:tcMar>
            <w:vAlign w:val="bottom"/>
          </w:tcPr>
          <w:p w14:paraId="6E9CDAD0" w14:textId="77777777" w:rsidR="00BD3831" w:rsidRPr="00A2672B" w:rsidRDefault="00BD3831" w:rsidP="000B74B5">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52D3CF6B" w14:textId="77777777" w:rsidR="00BD3831" w:rsidRPr="00252762" w:rsidRDefault="00BD3831" w:rsidP="000B74B5">
      <w:pPr>
        <w:keepNext/>
        <w:keepLines/>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14:paraId="22C915CA" w14:textId="77777777" w:rsidR="00BD3831" w:rsidRPr="00DF1D8A" w:rsidRDefault="00BD3831" w:rsidP="000B74B5">
      <w:pPr>
        <w:keepNext/>
        <w:keepLines/>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BD3831" w:rsidRPr="00211D55" w14:paraId="3DBCC72D" w14:textId="77777777" w:rsidTr="00DF6715">
        <w:trPr>
          <w:trHeight w:val="645"/>
        </w:trPr>
        <w:tc>
          <w:tcPr>
            <w:tcW w:w="1118" w:type="pct"/>
            <w:shd w:val="clear" w:color="auto" w:fill="C6D9F1"/>
            <w:noWrap/>
            <w:vAlign w:val="center"/>
            <w:hideMark/>
          </w:tcPr>
          <w:p w14:paraId="175598AA" w14:textId="77777777" w:rsidR="00BD3831" w:rsidRPr="00211D55" w:rsidRDefault="00BD3831" w:rsidP="000B74B5">
            <w:pPr>
              <w:keepNext/>
              <w:keepLines/>
              <w:bidi/>
              <w:jc w:val="center"/>
              <w:rPr>
                <w:rFonts w:ascii="Arabic Typesetting" w:hAnsi="Arabic Typesetting" w:cs="Arabic Typesetting"/>
                <w:b/>
                <w:bCs/>
                <w:i/>
                <w:iCs/>
                <w:sz w:val="28"/>
                <w:szCs w:val="28"/>
              </w:rPr>
            </w:pPr>
          </w:p>
        </w:tc>
        <w:tc>
          <w:tcPr>
            <w:tcW w:w="971" w:type="pct"/>
            <w:shd w:val="clear" w:color="auto" w:fill="C6D9F1"/>
            <w:vAlign w:val="center"/>
            <w:hideMark/>
          </w:tcPr>
          <w:p w14:paraId="49CE60AA" w14:textId="77777777" w:rsidR="00BD3831" w:rsidRPr="00211D55" w:rsidRDefault="00BD3831" w:rsidP="000B74B5">
            <w:pPr>
              <w:keepNext/>
              <w:keepLines/>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0D5F285C" w14:textId="77777777" w:rsidR="00BD3831" w:rsidRPr="00211D55" w:rsidRDefault="00BD3831" w:rsidP="000B74B5">
            <w:pPr>
              <w:keepNext/>
              <w:keepLines/>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169C19A8" w14:textId="77777777" w:rsidR="00BD3831" w:rsidRPr="00211D55" w:rsidRDefault="00BD3831" w:rsidP="000B74B5">
            <w:pPr>
              <w:keepNext/>
              <w:keepLines/>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7D90F966" w14:textId="77777777" w:rsidR="00BD3831" w:rsidRPr="00211D55" w:rsidRDefault="00BD3831" w:rsidP="000B74B5">
            <w:pPr>
              <w:keepNext/>
              <w:keepLines/>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D3831" w:rsidRPr="00211D55" w14:paraId="459314E2" w14:textId="77777777" w:rsidTr="00DF6715">
        <w:trPr>
          <w:trHeight w:val="70"/>
        </w:trPr>
        <w:tc>
          <w:tcPr>
            <w:tcW w:w="1118" w:type="pct"/>
            <w:shd w:val="clear" w:color="auto" w:fill="auto"/>
            <w:noWrap/>
            <w:vAlign w:val="center"/>
            <w:hideMark/>
          </w:tcPr>
          <w:p w14:paraId="0E31CC69" w14:textId="77777777" w:rsidR="00BD3831" w:rsidRPr="00211D55" w:rsidRDefault="00BD3831" w:rsidP="000B74B5">
            <w:pPr>
              <w:keepNext/>
              <w:keepLines/>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277BA16D" w14:textId="77777777" w:rsidR="00BD3831" w:rsidRPr="006751AA" w:rsidRDefault="00BD3831" w:rsidP="000B74B5">
            <w:pPr>
              <w:keepNext/>
              <w:keepLines/>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19</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 xml:space="preserve">287 </w:t>
            </w:r>
          </w:p>
        </w:tc>
        <w:tc>
          <w:tcPr>
            <w:tcW w:w="971" w:type="pct"/>
            <w:shd w:val="clear" w:color="auto" w:fill="auto"/>
            <w:vAlign w:val="center"/>
          </w:tcPr>
          <w:p w14:paraId="4CEC9ECD" w14:textId="77777777" w:rsidR="00BD3831" w:rsidRPr="006751AA" w:rsidRDefault="00BD3831" w:rsidP="000B74B5">
            <w:pPr>
              <w:keepNext/>
              <w:keepLines/>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17</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 xml:space="preserve">165 </w:t>
            </w:r>
          </w:p>
        </w:tc>
        <w:tc>
          <w:tcPr>
            <w:tcW w:w="970" w:type="pct"/>
            <w:shd w:val="clear" w:color="auto" w:fill="auto"/>
            <w:vAlign w:val="center"/>
          </w:tcPr>
          <w:p w14:paraId="2C94EDE6" w14:textId="77777777" w:rsidR="00BD3831" w:rsidRPr="006751AA" w:rsidRDefault="00BD3831" w:rsidP="000B74B5">
            <w:pPr>
              <w:keepNext/>
              <w:keepLines/>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8</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 xml:space="preserve">032 </w:t>
            </w:r>
          </w:p>
        </w:tc>
        <w:tc>
          <w:tcPr>
            <w:tcW w:w="970" w:type="pct"/>
            <w:shd w:val="clear" w:color="auto" w:fill="auto"/>
            <w:vAlign w:val="center"/>
          </w:tcPr>
          <w:p w14:paraId="687758B5" w14:textId="77777777" w:rsidR="00BD3831" w:rsidRPr="006751AA" w:rsidRDefault="00BD3831" w:rsidP="000B74B5">
            <w:pPr>
              <w:keepNext/>
              <w:keepLines/>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%47</w:t>
            </w:r>
          </w:p>
        </w:tc>
      </w:tr>
      <w:tr w:rsidR="00BD3831" w:rsidRPr="00211D55" w14:paraId="729DA8E9" w14:textId="77777777" w:rsidTr="00DF6715">
        <w:trPr>
          <w:trHeight w:val="70"/>
        </w:trPr>
        <w:tc>
          <w:tcPr>
            <w:tcW w:w="1118" w:type="pct"/>
            <w:shd w:val="clear" w:color="auto" w:fill="auto"/>
            <w:noWrap/>
            <w:vAlign w:val="center"/>
            <w:hideMark/>
          </w:tcPr>
          <w:p w14:paraId="369508FB" w14:textId="77777777" w:rsidR="00BD3831" w:rsidRPr="00211D55" w:rsidRDefault="00BD3831" w:rsidP="000B74B5">
            <w:pPr>
              <w:keepNext/>
              <w:keepLines/>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0E8647B9" w14:textId="77777777" w:rsidR="00BD3831" w:rsidRPr="006751AA" w:rsidRDefault="00BD3831" w:rsidP="000B74B5">
            <w:pPr>
              <w:keepNext/>
              <w:keepLines/>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27</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 xml:space="preserve">930 </w:t>
            </w:r>
          </w:p>
        </w:tc>
        <w:tc>
          <w:tcPr>
            <w:tcW w:w="971" w:type="pct"/>
            <w:shd w:val="clear" w:color="auto" w:fill="auto"/>
            <w:vAlign w:val="center"/>
          </w:tcPr>
          <w:p w14:paraId="507A4312" w14:textId="77777777" w:rsidR="00BD3831" w:rsidRPr="006751AA" w:rsidRDefault="00BD3831" w:rsidP="000B74B5">
            <w:pPr>
              <w:keepNext/>
              <w:keepLines/>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35</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 xml:space="preserve">408 </w:t>
            </w:r>
          </w:p>
        </w:tc>
        <w:tc>
          <w:tcPr>
            <w:tcW w:w="970" w:type="pct"/>
            <w:shd w:val="clear" w:color="auto" w:fill="auto"/>
            <w:vAlign w:val="center"/>
          </w:tcPr>
          <w:p w14:paraId="7D6BF296" w14:textId="77777777" w:rsidR="00BD3831" w:rsidRPr="006751AA" w:rsidRDefault="00BD3831" w:rsidP="000B74B5">
            <w:pPr>
              <w:keepNext/>
              <w:keepLines/>
              <w:jc w:val="center"/>
              <w:rPr>
                <w:rFonts w:ascii="Arabic Typesetting" w:hAnsi="Arabic Typesetting" w:cs="Arabic Typesetting"/>
                <w:color w:val="000000"/>
                <w:sz w:val="28"/>
                <w:szCs w:val="28"/>
              </w:rPr>
            </w:pPr>
            <w:r w:rsidRPr="006751AA">
              <w:rPr>
                <w:rFonts w:ascii="Arabic Typesetting" w:hAnsi="Arabic Typesetting" w:cs="Arabic Typesetting"/>
                <w:color w:val="000000"/>
                <w:sz w:val="28"/>
                <w:szCs w:val="28"/>
              </w:rPr>
              <w:t>12</w:t>
            </w:r>
            <w:r>
              <w:rPr>
                <w:rFonts w:ascii="Arabic Typesetting" w:hAnsi="Arabic Typesetting" w:cs="Arabic Typesetting"/>
                <w:color w:val="000000"/>
                <w:sz w:val="28"/>
                <w:szCs w:val="28"/>
              </w:rPr>
              <w:t> </w:t>
            </w:r>
            <w:r w:rsidRPr="006751AA">
              <w:rPr>
                <w:rFonts w:ascii="Arabic Typesetting" w:hAnsi="Arabic Typesetting" w:cs="Arabic Typesetting"/>
                <w:color w:val="000000"/>
                <w:sz w:val="28"/>
                <w:szCs w:val="28"/>
              </w:rPr>
              <w:t xml:space="preserve">552 </w:t>
            </w:r>
          </w:p>
        </w:tc>
        <w:tc>
          <w:tcPr>
            <w:tcW w:w="970" w:type="pct"/>
            <w:shd w:val="clear" w:color="auto" w:fill="auto"/>
            <w:vAlign w:val="center"/>
          </w:tcPr>
          <w:p w14:paraId="314657A8" w14:textId="77777777" w:rsidR="00BD3831" w:rsidRPr="006751AA" w:rsidRDefault="00BD3831" w:rsidP="000B74B5">
            <w:pPr>
              <w:keepNext/>
              <w:keepLines/>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%35</w:t>
            </w:r>
          </w:p>
        </w:tc>
      </w:tr>
      <w:tr w:rsidR="00BD3831" w:rsidRPr="00211D55" w14:paraId="6F36958A" w14:textId="77777777" w:rsidTr="008E6403">
        <w:trPr>
          <w:trHeight w:val="70"/>
        </w:trPr>
        <w:tc>
          <w:tcPr>
            <w:tcW w:w="1118" w:type="pct"/>
            <w:shd w:val="clear" w:color="auto" w:fill="C6D9F1"/>
            <w:noWrap/>
            <w:vAlign w:val="center"/>
            <w:hideMark/>
          </w:tcPr>
          <w:p w14:paraId="2565ED87" w14:textId="77777777" w:rsidR="00BD3831" w:rsidRPr="00211D55" w:rsidRDefault="00BD3831" w:rsidP="000B74B5">
            <w:pPr>
              <w:keepNext/>
              <w:keepLines/>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525629AF" w14:textId="77777777" w:rsidR="00BD3831" w:rsidRPr="006751AA" w:rsidRDefault="00BD3831" w:rsidP="000B74B5">
            <w:pPr>
              <w:keepNext/>
              <w:keepLines/>
              <w:jc w:val="center"/>
              <w:rPr>
                <w:rFonts w:ascii="Arabic Typesetting" w:hAnsi="Arabic Typesetting" w:cs="Arabic Typesetting"/>
                <w:b/>
                <w:bCs/>
                <w:color w:val="000000"/>
                <w:sz w:val="28"/>
                <w:szCs w:val="28"/>
              </w:rPr>
            </w:pPr>
            <w:r w:rsidRPr="006751AA">
              <w:rPr>
                <w:rFonts w:ascii="Arabic Typesetting" w:hAnsi="Arabic Typesetting" w:cs="Arabic Typesetting"/>
                <w:b/>
                <w:bCs/>
                <w:color w:val="000000"/>
                <w:sz w:val="28"/>
                <w:szCs w:val="28"/>
              </w:rPr>
              <w:t>47</w:t>
            </w:r>
            <w:r>
              <w:rPr>
                <w:rFonts w:ascii="Arabic Typesetting" w:hAnsi="Arabic Typesetting" w:cs="Arabic Typesetting"/>
                <w:b/>
                <w:bCs/>
                <w:color w:val="000000"/>
                <w:sz w:val="28"/>
                <w:szCs w:val="28"/>
              </w:rPr>
              <w:t> </w:t>
            </w:r>
            <w:r w:rsidRPr="006751AA">
              <w:rPr>
                <w:rFonts w:ascii="Arabic Typesetting" w:hAnsi="Arabic Typesetting" w:cs="Arabic Typesetting"/>
                <w:b/>
                <w:bCs/>
                <w:color w:val="000000"/>
                <w:sz w:val="28"/>
                <w:szCs w:val="28"/>
              </w:rPr>
              <w:t xml:space="preserve">216 </w:t>
            </w:r>
          </w:p>
        </w:tc>
        <w:tc>
          <w:tcPr>
            <w:tcW w:w="971" w:type="pct"/>
            <w:shd w:val="clear" w:color="auto" w:fill="C6D9F1"/>
            <w:vAlign w:val="center"/>
          </w:tcPr>
          <w:p w14:paraId="4E8A1004" w14:textId="77777777" w:rsidR="00BD3831" w:rsidRPr="006751AA" w:rsidRDefault="00BD3831" w:rsidP="000B74B5">
            <w:pPr>
              <w:keepNext/>
              <w:keepLines/>
              <w:jc w:val="center"/>
              <w:rPr>
                <w:rFonts w:ascii="Arabic Typesetting" w:hAnsi="Arabic Typesetting" w:cs="Arabic Typesetting"/>
                <w:b/>
                <w:bCs/>
                <w:color w:val="000000"/>
                <w:sz w:val="28"/>
                <w:szCs w:val="28"/>
              </w:rPr>
            </w:pPr>
            <w:r w:rsidRPr="006751AA">
              <w:rPr>
                <w:rFonts w:ascii="Arabic Typesetting" w:hAnsi="Arabic Typesetting" w:cs="Arabic Typesetting"/>
                <w:b/>
                <w:bCs/>
                <w:color w:val="000000"/>
                <w:sz w:val="28"/>
                <w:szCs w:val="28"/>
              </w:rPr>
              <w:t>52</w:t>
            </w:r>
            <w:r>
              <w:rPr>
                <w:rFonts w:ascii="Arabic Typesetting" w:hAnsi="Arabic Typesetting" w:cs="Arabic Typesetting"/>
                <w:b/>
                <w:bCs/>
                <w:color w:val="000000"/>
                <w:sz w:val="28"/>
                <w:szCs w:val="28"/>
              </w:rPr>
              <w:t> </w:t>
            </w:r>
            <w:r w:rsidRPr="006751AA">
              <w:rPr>
                <w:rFonts w:ascii="Arabic Typesetting" w:hAnsi="Arabic Typesetting" w:cs="Arabic Typesetting"/>
                <w:b/>
                <w:bCs/>
                <w:color w:val="000000"/>
                <w:sz w:val="28"/>
                <w:szCs w:val="28"/>
              </w:rPr>
              <w:t xml:space="preserve">572 </w:t>
            </w:r>
          </w:p>
        </w:tc>
        <w:tc>
          <w:tcPr>
            <w:tcW w:w="970" w:type="pct"/>
            <w:shd w:val="clear" w:color="auto" w:fill="C6D9F1"/>
            <w:vAlign w:val="center"/>
          </w:tcPr>
          <w:p w14:paraId="21954372" w14:textId="77777777" w:rsidR="00BD3831" w:rsidRPr="006751AA" w:rsidRDefault="00BD3831" w:rsidP="000B74B5">
            <w:pPr>
              <w:keepNext/>
              <w:keepLines/>
              <w:jc w:val="center"/>
              <w:rPr>
                <w:rFonts w:ascii="Arabic Typesetting" w:hAnsi="Arabic Typesetting" w:cs="Arabic Typesetting"/>
                <w:b/>
                <w:bCs/>
                <w:color w:val="000000"/>
                <w:sz w:val="28"/>
                <w:szCs w:val="28"/>
              </w:rPr>
            </w:pPr>
            <w:r w:rsidRPr="006751AA">
              <w:rPr>
                <w:rFonts w:ascii="Arabic Typesetting" w:hAnsi="Arabic Typesetting" w:cs="Arabic Typesetting"/>
                <w:b/>
                <w:bCs/>
                <w:color w:val="000000"/>
                <w:sz w:val="28"/>
                <w:szCs w:val="28"/>
              </w:rPr>
              <w:t>20</w:t>
            </w:r>
            <w:r>
              <w:rPr>
                <w:rFonts w:ascii="Arabic Typesetting" w:hAnsi="Arabic Typesetting" w:cs="Arabic Typesetting"/>
                <w:b/>
                <w:bCs/>
                <w:color w:val="000000"/>
                <w:sz w:val="28"/>
                <w:szCs w:val="28"/>
              </w:rPr>
              <w:t> </w:t>
            </w:r>
            <w:r w:rsidRPr="006751AA">
              <w:rPr>
                <w:rFonts w:ascii="Arabic Typesetting" w:hAnsi="Arabic Typesetting" w:cs="Arabic Typesetting"/>
                <w:b/>
                <w:bCs/>
                <w:color w:val="000000"/>
                <w:sz w:val="28"/>
                <w:szCs w:val="28"/>
              </w:rPr>
              <w:t xml:space="preserve">584 </w:t>
            </w:r>
          </w:p>
        </w:tc>
        <w:tc>
          <w:tcPr>
            <w:tcW w:w="970" w:type="pct"/>
            <w:shd w:val="clear" w:color="auto" w:fill="C6D9F1"/>
            <w:vAlign w:val="center"/>
          </w:tcPr>
          <w:p w14:paraId="764925A8" w14:textId="77777777" w:rsidR="00BD3831" w:rsidRPr="006751AA" w:rsidRDefault="00BD3831" w:rsidP="000B74B5">
            <w:pPr>
              <w:keepNext/>
              <w:keepLines/>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%39</w:t>
            </w:r>
          </w:p>
        </w:tc>
      </w:tr>
      <w:tr w:rsidR="00BD3831" w:rsidRPr="00211D55" w14:paraId="59062503" w14:textId="77777777" w:rsidTr="00DF6715">
        <w:trPr>
          <w:trHeight w:val="540"/>
        </w:trPr>
        <w:tc>
          <w:tcPr>
            <w:tcW w:w="5000" w:type="pct"/>
            <w:gridSpan w:val="5"/>
            <w:shd w:val="clear" w:color="auto" w:fill="auto"/>
            <w:noWrap/>
            <w:vAlign w:val="center"/>
          </w:tcPr>
          <w:p w14:paraId="1C13C48C" w14:textId="77777777" w:rsidR="00BD3831" w:rsidRDefault="00BD3831" w:rsidP="000B74B5">
            <w:pPr>
              <w:keepNext/>
              <w:keepLines/>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3D67FA9D" w14:textId="77777777" w:rsidR="00BD3831" w:rsidRPr="00D41845" w:rsidRDefault="00BD3831" w:rsidP="000B74B5">
            <w:pPr>
              <w:keepNext/>
              <w:keepLines/>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5BC6C4F9" w14:textId="77777777" w:rsidR="00BD3831" w:rsidRPr="00706F20" w:rsidRDefault="00BD3831"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737F58F9" w14:textId="77777777" w:rsidR="00BD3831" w:rsidRPr="006751AA" w:rsidRDefault="00BD3831" w:rsidP="00D94CDB">
      <w:pPr>
        <w:keepNext/>
        <w:numPr>
          <w:ilvl w:val="1"/>
          <w:numId w:val="92"/>
        </w:numPr>
        <w:bidi/>
        <w:spacing w:after="240" w:line="360" w:lineRule="exact"/>
        <w:ind w:left="0" w:firstLine="0"/>
        <w:rPr>
          <w:rFonts w:ascii="Arabic Typesetting" w:hAnsi="Arabic Typesetting" w:cs="Arabic Typesetting"/>
          <w:sz w:val="34"/>
          <w:szCs w:val="34"/>
          <w:rtl/>
        </w:rPr>
      </w:pPr>
      <w:r w:rsidRPr="006751AA">
        <w:rPr>
          <w:rFonts w:ascii="Arabic Typesetting" w:hAnsi="Arabic Typesetting" w:cs="Arabic Typesetting"/>
          <w:sz w:val="34"/>
          <w:szCs w:val="34"/>
          <w:rtl/>
        </w:rPr>
        <w:t>سجَّلت الميزانية بعد التحويلات زيادة صافية في خلاف</w:t>
      </w:r>
      <w:r>
        <w:rPr>
          <w:rFonts w:ascii="Arabic Typesetting" w:hAnsi="Arabic Typesetting" w:cs="Arabic Typesetting"/>
          <w:sz w:val="34"/>
          <w:szCs w:val="34"/>
          <w:rtl/>
        </w:rPr>
        <w:t xml:space="preserve"> موارد الموظفين تعزى أساساً إلى</w:t>
      </w:r>
      <w:r w:rsidRPr="006751AA">
        <w:rPr>
          <w:rFonts w:ascii="Arabic Typesetting" w:hAnsi="Arabic Typesetting" w:cs="Arabic Typesetting"/>
          <w:sz w:val="34"/>
          <w:szCs w:val="34"/>
          <w:rtl/>
        </w:rPr>
        <w:t xml:space="preserve"> "1" تخصيص موارد إضافية لتغطية الفائدة المقدَّمة عن سداد القرض الخاص بالمبنى الجديد؛ "2" وتحويل موارد من بند موارد الموظفين إلى خلاف موارد الموظفين لدعم عمليات الشراء الخاصة بتكنول</w:t>
      </w:r>
      <w:r>
        <w:rPr>
          <w:rFonts w:ascii="Arabic Typesetting" w:hAnsi="Arabic Typesetting" w:cs="Arabic Typesetting"/>
          <w:sz w:val="34"/>
          <w:szCs w:val="34"/>
          <w:rtl/>
        </w:rPr>
        <w:t>وجيا المعلومات وتحضير الجمعيات.</w:t>
      </w:r>
      <w:r w:rsidRPr="006751AA">
        <w:rPr>
          <w:rFonts w:ascii="Arabic Typesetting" w:hAnsi="Arabic Typesetting" w:cs="Arabic Typesetting"/>
          <w:sz w:val="34"/>
          <w:szCs w:val="34"/>
          <w:rtl/>
        </w:rPr>
        <w:t xml:space="preserve"> وقد انخفض</w:t>
      </w:r>
      <w:r>
        <w:rPr>
          <w:rFonts w:ascii="Arabic Typesetting" w:hAnsi="Arabic Typesetting" w:cs="Arabic Typesetting"/>
          <w:sz w:val="34"/>
          <w:szCs w:val="34"/>
          <w:rtl/>
        </w:rPr>
        <w:t>ت هذه الزيادة جزئياً بسبب تحويل</w:t>
      </w:r>
      <w:r w:rsidRPr="006751AA">
        <w:rPr>
          <w:rFonts w:ascii="Arabic Typesetting" w:hAnsi="Arabic Typesetting" w:cs="Arabic Typesetting"/>
          <w:sz w:val="34"/>
          <w:szCs w:val="34"/>
          <w:rtl/>
        </w:rPr>
        <w:t xml:space="preserve"> "1"</w:t>
      </w:r>
      <w:r>
        <w:rPr>
          <w:rFonts w:ascii="Arabic Typesetting" w:hAnsi="Arabic Typesetting" w:cs="Arabic Typesetting" w:hint="cs"/>
          <w:sz w:val="34"/>
          <w:szCs w:val="34"/>
          <w:rtl/>
        </w:rPr>
        <w:t> </w:t>
      </w:r>
      <w:r w:rsidRPr="006751AA">
        <w:rPr>
          <w:rFonts w:ascii="Arabic Typesetting" w:hAnsi="Arabic Typesetting" w:cs="Arabic Typesetting"/>
          <w:sz w:val="34"/>
          <w:szCs w:val="34"/>
          <w:rtl/>
        </w:rPr>
        <w:t>خدمات النقل والبريد الداخلي من البرنامج 24 إلى البرنامج 27 (خدمات المؤتمرات واللغات) في إطار النتيجة المرتقبة ه1.9</w:t>
      </w:r>
      <w:r>
        <w:rPr>
          <w:rFonts w:ascii="Arabic Typesetting" w:hAnsi="Arabic Typesetting" w:cs="Arabic Typesetting" w:hint="cs"/>
          <w:sz w:val="34"/>
          <w:szCs w:val="34"/>
          <w:rtl/>
        </w:rPr>
        <w:t> </w:t>
      </w:r>
      <w:r w:rsidRPr="006751AA">
        <w:rPr>
          <w:rFonts w:ascii="Arabic Typesetting" w:hAnsi="Arabic Typesetting" w:cs="Arabic Typesetting"/>
          <w:sz w:val="34"/>
          <w:szCs w:val="34"/>
          <w:rtl/>
        </w:rPr>
        <w:t>(خدمات دعم موجهة للزبون بفعالية وكفاءة وجودة) والنتيجة المرتقبة ه4.9 (منظمة ذات مسؤولية بيئية واجتماعية)؛ "2"</w:t>
      </w:r>
      <w:r>
        <w:rPr>
          <w:rFonts w:ascii="Arabic Typesetting" w:hAnsi="Arabic Typesetting" w:cs="Arabic Typesetting" w:hint="cs"/>
          <w:sz w:val="34"/>
          <w:szCs w:val="34"/>
          <w:rtl/>
        </w:rPr>
        <w:t> </w:t>
      </w:r>
      <w:r w:rsidRPr="006751AA">
        <w:rPr>
          <w:rFonts w:ascii="Arabic Typesetting" w:hAnsi="Arabic Typesetting" w:cs="Arabic Typesetting"/>
          <w:sz w:val="34"/>
          <w:szCs w:val="34"/>
          <w:rtl/>
        </w:rPr>
        <w:t xml:space="preserve">ونقص الإنفاق في عام 2016 على الصيانة والخدمات والترميمات في مرافق الويبو وتجهيزاتها في إطار النتيجة المرتقبة ه1.9 </w:t>
      </w:r>
      <w:r>
        <w:rPr>
          <w:rFonts w:ascii="Arabic Typesetting" w:hAnsi="Arabic Typesetting" w:cs="Arabic Typesetting" w:hint="cs"/>
          <w:sz w:val="34"/>
          <w:szCs w:val="34"/>
          <w:rtl/>
        </w:rPr>
        <w:t xml:space="preserve">الذي وزع على </w:t>
      </w:r>
      <w:r w:rsidRPr="006751AA">
        <w:rPr>
          <w:rFonts w:ascii="Arabic Typesetting" w:hAnsi="Arabic Typesetting" w:cs="Arabic Typesetting"/>
          <w:sz w:val="34"/>
          <w:szCs w:val="34"/>
          <w:rtl/>
        </w:rPr>
        <w:t>أولويات تنظيمية أخرى</w:t>
      </w:r>
      <w:r>
        <w:rPr>
          <w:rFonts w:ascii="Arabic Typesetting" w:hAnsi="Arabic Typesetting" w:cs="Arabic Typesetting" w:hint="cs"/>
          <w:sz w:val="34"/>
          <w:szCs w:val="34"/>
          <w:rtl/>
        </w:rPr>
        <w:t>.</w:t>
      </w:r>
    </w:p>
    <w:p w14:paraId="77854476" w14:textId="77777777" w:rsidR="00BD3831" w:rsidRDefault="00BD3831" w:rsidP="00D94CDB">
      <w:pPr>
        <w:numPr>
          <w:ilvl w:val="1"/>
          <w:numId w:val="92"/>
        </w:numPr>
        <w:bidi/>
        <w:spacing w:after="240" w:line="360" w:lineRule="exact"/>
        <w:ind w:left="0" w:hanging="1"/>
        <w:rPr>
          <w:rFonts w:ascii="Arabic Typesetting" w:hAnsi="Arabic Typesetting" w:cs="Arabic Typesetting"/>
          <w:sz w:val="34"/>
          <w:szCs w:val="34"/>
        </w:rPr>
      </w:pPr>
      <w:r w:rsidRPr="006751AA">
        <w:rPr>
          <w:rFonts w:ascii="Arabic Typesetting" w:hAnsi="Arabic Typesetting" w:cs="Arabic Typesetting"/>
          <w:sz w:val="34"/>
          <w:szCs w:val="34"/>
          <w:rtl/>
        </w:rPr>
        <w:t xml:space="preserve">ويعزى الانخفاض </w:t>
      </w:r>
      <w:r>
        <w:rPr>
          <w:rFonts w:ascii="Arabic Typesetting" w:hAnsi="Arabic Typesetting" w:cs="Arabic Typesetting" w:hint="cs"/>
          <w:sz w:val="34"/>
          <w:szCs w:val="34"/>
          <w:rtl/>
        </w:rPr>
        <w:t>الإجمالي</w:t>
      </w:r>
      <w:r w:rsidRPr="006751AA">
        <w:rPr>
          <w:rFonts w:ascii="Arabic Typesetting" w:hAnsi="Arabic Typesetting" w:cs="Arabic Typesetting"/>
          <w:sz w:val="34"/>
          <w:szCs w:val="34"/>
          <w:rtl/>
        </w:rPr>
        <w:t xml:space="preserve"> في موارد الموظفين مقارنة بالميزانية المعتمدة 2016/17 إلى النتيجة الصافية لإعادة تصنيف وظائف وإتمام تسويات الوظائف المستمرة فضلاً عن نقل خدمات النقل والبريد الداخلي إلى البرنامج 27 كما ذُكر آنفاً.</w:t>
      </w:r>
    </w:p>
    <w:p w14:paraId="4EA05462" w14:textId="77777777" w:rsidR="00BD3831" w:rsidRPr="00706F20" w:rsidRDefault="00BD3831"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77D214A1" w14:textId="77777777" w:rsidR="00BD3831" w:rsidRDefault="00BD3831" w:rsidP="00D94CDB">
      <w:pPr>
        <w:numPr>
          <w:ilvl w:val="1"/>
          <w:numId w:val="92"/>
        </w:numPr>
        <w:bidi/>
        <w:spacing w:after="240" w:line="360" w:lineRule="exact"/>
        <w:ind w:left="0" w:hanging="1"/>
        <w:rPr>
          <w:rFonts w:ascii="Arabic Typesetting" w:hAnsi="Arabic Typesetting" w:cs="Arabic Typesetting"/>
          <w:sz w:val="34"/>
          <w:szCs w:val="34"/>
        </w:rPr>
      </w:pPr>
      <w:r w:rsidRPr="006751AA">
        <w:rPr>
          <w:rFonts w:ascii="Arabic Typesetting" w:hAnsi="Arabic Typesetting" w:cs="Arabic Typesetting"/>
          <w:sz w:val="34"/>
          <w:szCs w:val="34"/>
          <w:rtl/>
        </w:rPr>
        <w:t>كانت نسبة استخدام الميزانية ضمن النطاق المتوقع المتراوح بين 40 و60 ب</w:t>
      </w:r>
      <w:r>
        <w:rPr>
          <w:rFonts w:ascii="Arabic Typesetting" w:hAnsi="Arabic Typesetting" w:cs="Arabic Typesetting"/>
          <w:sz w:val="34"/>
          <w:szCs w:val="34"/>
          <w:rtl/>
        </w:rPr>
        <w:t>المئة للسنة الأولى من الثنائية.</w:t>
      </w:r>
      <w:r>
        <w:rPr>
          <w:rFonts w:ascii="Arabic Typesetting" w:hAnsi="Arabic Typesetting" w:cs="Arabic Typesetting" w:hint="cs"/>
          <w:sz w:val="34"/>
          <w:szCs w:val="34"/>
          <w:rtl/>
        </w:rPr>
        <w:t xml:space="preserve"> و</w:t>
      </w:r>
      <w:r w:rsidRPr="006751AA">
        <w:rPr>
          <w:rFonts w:ascii="Arabic Typesetting" w:hAnsi="Arabic Typesetting" w:cs="Arabic Typesetting"/>
          <w:sz w:val="34"/>
          <w:szCs w:val="34"/>
          <w:rtl/>
        </w:rPr>
        <w:t>يُعزى النقص الطفيف في استخدام موارد الموظفين أساساً إلى الوظائف الشاغرة وملء الشواغر والموظفين العاملين بدوام جزئي.</w:t>
      </w:r>
    </w:p>
    <w:p w14:paraId="516E6D4E" w14:textId="405F2F17" w:rsidR="00BD3831" w:rsidRDefault="00BD3831"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0E37C378" w14:textId="77777777" w:rsidR="00BD3831" w:rsidRPr="00254297" w:rsidRDefault="00BD3831" w:rsidP="00DA7DF7">
      <w:pPr>
        <w:pStyle w:val="Heading3"/>
        <w:ind w:left="1984" w:hanging="1984"/>
      </w:pPr>
      <w:bookmarkStart w:id="55" w:name="_Toc482782778"/>
      <w:r w:rsidRPr="00254297">
        <w:rPr>
          <w:rtl/>
        </w:rPr>
        <w:lastRenderedPageBreak/>
        <w:t>البرنامج</w:t>
      </w:r>
      <w:r>
        <w:rPr>
          <w:rFonts w:hint="cs"/>
          <w:rtl/>
        </w:rPr>
        <w:t xml:space="preserve"> 25</w:t>
      </w:r>
      <w:r w:rsidRPr="00254297">
        <w:rPr>
          <w:rFonts w:hint="cs"/>
          <w:rtl/>
        </w:rPr>
        <w:t>:</w:t>
      </w:r>
      <w:r w:rsidRPr="00254297">
        <w:tab/>
      </w:r>
      <w:r w:rsidRPr="0073215E">
        <w:rPr>
          <w:rtl/>
        </w:rPr>
        <w:t>تكنولوجيا المعلومات والاتصالات</w:t>
      </w:r>
      <w:bookmarkEnd w:id="55"/>
    </w:p>
    <w:p w14:paraId="0C5293A3" w14:textId="77777777" w:rsidR="00BD3831" w:rsidRDefault="00BD3831"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73215E">
        <w:rPr>
          <w:rFonts w:ascii="Arabic Typesetting" w:hAnsi="Arabic Typesetting" w:cs="Arabic Typesetting"/>
          <w:b/>
          <w:bCs/>
          <w:sz w:val="36"/>
          <w:szCs w:val="36"/>
          <w:rtl/>
          <w:lang w:val="fr-CH"/>
        </w:rPr>
        <w:t>السيد أمبي سوندارام</w:t>
      </w:r>
    </w:p>
    <w:p w14:paraId="56F67ACD" w14:textId="77777777" w:rsidR="00BD3831" w:rsidRDefault="00BD3831"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256A16C0" wp14:editId="71F7998A">
            <wp:extent cx="3592185" cy="21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92185" cy="2160000"/>
                    </a:xfrm>
                    <a:prstGeom prst="rect">
                      <a:avLst/>
                    </a:prstGeom>
                    <a:noFill/>
                  </pic:spPr>
                </pic:pic>
              </a:graphicData>
            </a:graphic>
          </wp:inline>
        </w:drawing>
      </w:r>
    </w:p>
    <w:tbl>
      <w:tblPr>
        <w:bidiVisual/>
        <w:tblW w:w="5000" w:type="pct"/>
        <w:tblCellMar>
          <w:left w:w="115" w:type="dxa"/>
          <w:right w:w="115" w:type="dxa"/>
        </w:tblCellMar>
        <w:tblLook w:val="0000" w:firstRow="0" w:lastRow="0" w:firstColumn="0" w:lastColumn="0" w:noHBand="0" w:noVBand="0"/>
      </w:tblPr>
      <w:tblGrid>
        <w:gridCol w:w="1973"/>
        <w:gridCol w:w="2618"/>
        <w:gridCol w:w="1436"/>
        <w:gridCol w:w="2629"/>
        <w:gridCol w:w="815"/>
      </w:tblGrid>
      <w:tr w:rsidR="00BD3831" w:rsidRPr="0073215E" w14:paraId="3A529EA7" w14:textId="77777777" w:rsidTr="00DF6715">
        <w:trPr>
          <w:cantSplit/>
          <w:trHeight w:val="565"/>
        </w:trPr>
        <w:tc>
          <w:tcPr>
            <w:tcW w:w="5000" w:type="pct"/>
            <w:gridSpan w:val="5"/>
            <w:shd w:val="clear" w:color="auto" w:fill="C6D9F1"/>
            <w:tcMar>
              <w:left w:w="58" w:type="dxa"/>
              <w:right w:w="58" w:type="dxa"/>
            </w:tcMar>
            <w:vAlign w:val="center"/>
          </w:tcPr>
          <w:p w14:paraId="48D1F937" w14:textId="77777777" w:rsidR="00BD3831" w:rsidRPr="0073215E"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‏النتيجة المرتقبة:</w:t>
            </w:r>
            <w:r w:rsidRPr="0073215E">
              <w:rPr>
                <w:rFonts w:ascii="Arabic Typesetting" w:eastAsia="Arabic Typesetting" w:hAnsi="Arabic Typesetting" w:cs="Arabic Typesetting"/>
                <w:sz w:val="28"/>
                <w:szCs w:val="28"/>
                <w:lang w:eastAsia="ar-EG" w:bidi="ar-EG"/>
              </w:rPr>
              <w:tab/>
            </w:r>
            <w:r w:rsidRPr="0073215E">
              <w:rPr>
                <w:rFonts w:ascii="Arabic Typesetting" w:eastAsia="Arabic Typesetting" w:hAnsi="Arabic Typesetting" w:cs="Arabic Typesetting"/>
                <w:color w:val="000000"/>
                <w:sz w:val="28"/>
                <w:szCs w:val="28"/>
                <w:rtl/>
                <w:lang w:eastAsia="ar-EG" w:bidi="ar-EG"/>
              </w:rPr>
              <w:t xml:space="preserve">ه1.9 </w:t>
            </w:r>
            <w:r w:rsidRPr="005E0391">
              <w:rPr>
                <w:rFonts w:ascii="Arabic Typesetting" w:eastAsia="Arabic Typesetting" w:hAnsi="Arabic Typesetting" w:cs="Arabic Typesetting"/>
                <w:color w:val="000000"/>
                <w:sz w:val="28"/>
                <w:szCs w:val="28"/>
                <w:rtl/>
                <w:lang w:eastAsia="ar-EG" w:bidi="ar-EG"/>
              </w:rPr>
              <w:t>خدمات دعم موجهة للزبون بفعالية وكفاءة وجودة لفائدة الزبائن الداخليين وأصحاب المصلحة الخارجيين</w:t>
            </w:r>
          </w:p>
        </w:tc>
      </w:tr>
      <w:tr w:rsidR="00BD3831" w:rsidRPr="0073215E" w14:paraId="5EB4ED62" w14:textId="77777777" w:rsidTr="00DF6715">
        <w:trPr>
          <w:cantSplit/>
        </w:trPr>
        <w:tc>
          <w:tcPr>
            <w:tcW w:w="1042" w:type="pct"/>
            <w:shd w:val="clear" w:color="auto" w:fill="auto"/>
            <w:tcMar>
              <w:left w:w="58" w:type="dxa"/>
              <w:right w:w="58" w:type="dxa"/>
            </w:tcMar>
            <w:vAlign w:val="center"/>
          </w:tcPr>
          <w:p w14:paraId="0E9D472F" w14:textId="77777777" w:rsidR="00BD3831" w:rsidRPr="0073215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مؤشرات الأداء</w:t>
            </w:r>
          </w:p>
        </w:tc>
        <w:tc>
          <w:tcPr>
            <w:tcW w:w="1382" w:type="pct"/>
            <w:shd w:val="clear" w:color="auto" w:fill="auto"/>
            <w:tcMar>
              <w:left w:w="58" w:type="dxa"/>
              <w:right w:w="58" w:type="dxa"/>
            </w:tcMar>
            <w:vAlign w:val="center"/>
          </w:tcPr>
          <w:p w14:paraId="42C099BC" w14:textId="77777777" w:rsidR="00BD3831" w:rsidRPr="0073215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أسس المقارنة</w:t>
            </w:r>
          </w:p>
        </w:tc>
        <w:tc>
          <w:tcPr>
            <w:tcW w:w="758" w:type="pct"/>
            <w:shd w:val="clear" w:color="auto" w:fill="auto"/>
            <w:tcMar>
              <w:top w:w="110" w:type="dxa"/>
              <w:left w:w="58" w:type="dxa"/>
              <w:right w:w="58" w:type="dxa"/>
            </w:tcMar>
            <w:vAlign w:val="center"/>
          </w:tcPr>
          <w:p w14:paraId="71D69BF5" w14:textId="77777777" w:rsidR="00BD3831" w:rsidRPr="0073215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الأهداف</w:t>
            </w:r>
          </w:p>
        </w:tc>
        <w:tc>
          <w:tcPr>
            <w:tcW w:w="1388" w:type="pct"/>
            <w:shd w:val="clear" w:color="auto" w:fill="FFFFFF"/>
            <w:tcMar>
              <w:top w:w="110" w:type="dxa"/>
              <w:left w:w="58" w:type="dxa"/>
              <w:right w:w="58" w:type="dxa"/>
            </w:tcMar>
            <w:vAlign w:val="center"/>
          </w:tcPr>
          <w:p w14:paraId="5129FDF7" w14:textId="77777777" w:rsidR="00BD3831" w:rsidRPr="0073215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بيانات الأداء</w:t>
            </w:r>
          </w:p>
        </w:tc>
        <w:tc>
          <w:tcPr>
            <w:tcW w:w="430" w:type="pct"/>
            <w:shd w:val="clear" w:color="auto" w:fill="auto"/>
            <w:tcMar>
              <w:top w:w="110" w:type="dxa"/>
              <w:left w:w="58" w:type="dxa"/>
              <w:right w:w="58" w:type="dxa"/>
            </w:tcMar>
            <w:vAlign w:val="center"/>
          </w:tcPr>
          <w:p w14:paraId="5300BF3A" w14:textId="77777777" w:rsidR="00BD3831" w:rsidRPr="0073215E" w:rsidRDefault="00BD3831" w:rsidP="0031289D">
            <w:pPr>
              <w:bidi/>
              <w:spacing w:after="120" w:line="280" w:lineRule="exact"/>
              <w:jc w:val="center"/>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السير</w:t>
            </w:r>
          </w:p>
        </w:tc>
      </w:tr>
      <w:tr w:rsidR="00BD3831" w:rsidRPr="0073215E" w14:paraId="2C44DE0F" w14:textId="77777777" w:rsidTr="00DF6715">
        <w:trPr>
          <w:cantSplit/>
          <w:trHeight w:val="1533"/>
        </w:trPr>
        <w:tc>
          <w:tcPr>
            <w:tcW w:w="1042" w:type="pct"/>
            <w:shd w:val="clear" w:color="auto" w:fill="auto"/>
            <w:tcMar>
              <w:left w:w="58" w:type="dxa"/>
              <w:right w:w="58" w:type="dxa"/>
            </w:tcMar>
          </w:tcPr>
          <w:p w14:paraId="5E03B638"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استضافة منصّات تكنولوجيا المعلومات وإدارتها على نحو فعال من حيث التكلفة بما يتماشى مع متطلبات الأعمال</w:t>
            </w:r>
          </w:p>
        </w:tc>
        <w:tc>
          <w:tcPr>
            <w:tcW w:w="1382" w:type="pct"/>
            <w:shd w:val="clear" w:color="auto" w:fill="auto"/>
            <w:tcMar>
              <w:left w:w="58" w:type="dxa"/>
              <w:right w:w="58" w:type="dxa"/>
            </w:tcMar>
          </w:tcPr>
          <w:p w14:paraId="4F727894"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73215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color w:val="002060"/>
                <w:sz w:val="28"/>
                <w:szCs w:val="28"/>
                <w:rtl/>
                <w:lang w:eastAsia="ar-EG" w:bidi="ar-EG"/>
              </w:rPr>
              <w:t>26 اتفاق تقديم خدمات</w:t>
            </w:r>
          </w:p>
          <w:p w14:paraId="7588B7BB" w14:textId="77777777" w:rsidR="00BD3831" w:rsidRPr="0073215E" w:rsidRDefault="00BD3831" w:rsidP="0031289D">
            <w:pPr>
              <w:bidi/>
              <w:spacing w:after="120" w:line="280" w:lineRule="exact"/>
              <w:rPr>
                <w:rFonts w:ascii="Arabic Typesetting" w:eastAsia="Arabic Typesetting" w:hAnsi="Arabic Typesetting" w:cs="Arabic Typesetting"/>
                <w:i/>
                <w:sz w:val="28"/>
                <w:szCs w:val="28"/>
                <w:lang w:eastAsia="ar-EG" w:bidi="ar-EG"/>
              </w:rPr>
            </w:pPr>
            <w:r w:rsidRPr="0073215E">
              <w:rPr>
                <w:rFonts w:ascii="Arabic Typesetting" w:eastAsia="Arabic Typesetting" w:hAnsi="Arabic Typesetting" w:cs="Arabic Typesetting"/>
                <w:i/>
                <w:iCs/>
                <w:sz w:val="28"/>
                <w:szCs w:val="28"/>
                <w:rtl/>
                <w:lang w:eastAsia="ar-EG" w:bidi="ar-EG"/>
              </w:rPr>
              <w:t>‏أساس المقارنة الأصلي:</w:t>
            </w:r>
            <w:r w:rsidRPr="0073215E">
              <w:rPr>
                <w:rFonts w:ascii="Arabic Typesetting" w:eastAsia="Arabic Typesetting" w:hAnsi="Arabic Typesetting" w:cs="Arabic Typesetting"/>
                <w:i/>
                <w:sz w:val="28"/>
                <w:szCs w:val="28"/>
                <w:lang w:eastAsia="ar-EG" w:bidi="ar-EG"/>
              </w:rPr>
              <w:br/>
            </w:r>
            <w:r w:rsidRPr="0073215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73215E">
              <w:rPr>
                <w:rFonts w:ascii="Arabic Typesetting" w:eastAsia="Arabic Typesetting" w:hAnsi="Arabic Typesetting" w:cs="Arabic Typesetting"/>
                <w:color w:val="000000"/>
                <w:sz w:val="28"/>
                <w:szCs w:val="28"/>
                <w:rtl/>
                <w:lang w:eastAsia="ar-EG" w:bidi="ar-EG"/>
              </w:rPr>
              <w:t xml:space="preserve">غير متاح </w:t>
            </w:r>
          </w:p>
        </w:tc>
        <w:tc>
          <w:tcPr>
            <w:tcW w:w="758" w:type="pct"/>
            <w:shd w:val="clear" w:color="auto" w:fill="auto"/>
            <w:tcMar>
              <w:top w:w="110" w:type="dxa"/>
              <w:left w:w="58" w:type="dxa"/>
              <w:right w:w="58" w:type="dxa"/>
            </w:tcMar>
          </w:tcPr>
          <w:p w14:paraId="18FD6557"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استحداث اتفاقات جديدة لتقديم الخدمات والموافقة عليها مع زيادة مستهلكي خدمات منصة تكنولوجيا المعلومات والاتصالات إلى أكبر عدد</w:t>
            </w:r>
          </w:p>
        </w:tc>
        <w:tc>
          <w:tcPr>
            <w:tcW w:w="1388" w:type="pct"/>
            <w:shd w:val="clear" w:color="auto" w:fill="FFFFFF"/>
            <w:tcMar>
              <w:top w:w="110" w:type="dxa"/>
              <w:left w:w="58" w:type="dxa"/>
              <w:right w:w="58" w:type="dxa"/>
            </w:tcMar>
          </w:tcPr>
          <w:p w14:paraId="4C257D5E"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6 اتفاقات جديدة لتقديم خدمات (أمن</w:t>
            </w:r>
            <w:r>
              <w:rPr>
                <w:rFonts w:ascii="Arabic Typesetting" w:eastAsia="Arabic Typesetting" w:hAnsi="Arabic Typesetting" w:cs="Arabic Typesetting" w:hint="cs"/>
                <w:color w:val="000000"/>
                <w:sz w:val="28"/>
                <w:szCs w:val="28"/>
                <w:rtl/>
                <w:lang w:eastAsia="ar-EG" w:bidi="ar-EG"/>
              </w:rPr>
              <w:t> </w:t>
            </w:r>
            <w:r w:rsidRPr="0073215E">
              <w:rPr>
                <w:rFonts w:ascii="Arabic Typesetting" w:eastAsia="Arabic Typesetting" w:hAnsi="Arabic Typesetting" w:cs="Arabic Typesetting"/>
                <w:color w:val="000000"/>
                <w:sz w:val="28"/>
                <w:szCs w:val="28"/>
                <w:rtl/>
                <w:lang w:eastAsia="ar-EG" w:bidi="ar-EG"/>
              </w:rPr>
              <w:t>المعلومات ومنصة الويبو لخدمات النفاذ الرقمية (</w:t>
            </w:r>
            <w:r w:rsidRPr="0073215E">
              <w:rPr>
                <w:rFonts w:ascii="Arabic Typesetting" w:eastAsia="Arabic Typesetting" w:hAnsi="Arabic Typesetting" w:cs="Arabic Typesetting"/>
                <w:color w:val="000000"/>
                <w:sz w:val="28"/>
                <w:szCs w:val="28"/>
                <w:lang w:eastAsia="ar-EG" w:bidi="ar-EG"/>
              </w:rPr>
              <w:t>WIPO DAS</w:t>
            </w:r>
            <w:r w:rsidRPr="0073215E">
              <w:rPr>
                <w:rFonts w:ascii="Arabic Typesetting" w:eastAsia="Arabic Typesetting" w:hAnsi="Arabic Typesetting" w:cs="Arabic Typesetting"/>
                <w:color w:val="000000"/>
                <w:sz w:val="28"/>
                <w:szCs w:val="28"/>
                <w:rtl/>
                <w:lang w:eastAsia="ar-EG" w:bidi="ar-EG"/>
              </w:rPr>
              <w:t>) ونظام الويبو للنفاذ المركزي إلى نتائج البحث والفحص (</w:t>
            </w:r>
            <w:r w:rsidRPr="0073215E">
              <w:rPr>
                <w:rFonts w:ascii="Arabic Typesetting" w:eastAsia="Arabic Typesetting" w:hAnsi="Arabic Typesetting" w:cs="Arabic Typesetting"/>
                <w:color w:val="000000"/>
                <w:sz w:val="28"/>
                <w:szCs w:val="28"/>
                <w:lang w:eastAsia="ar-EG" w:bidi="ar-EG"/>
              </w:rPr>
              <w:t>WIPO CASE</w:t>
            </w:r>
            <w:r w:rsidRPr="0073215E">
              <w:rPr>
                <w:rFonts w:ascii="Arabic Typesetting" w:eastAsia="Arabic Typesetting" w:hAnsi="Arabic Typesetting" w:cs="Arabic Typesetting"/>
                <w:color w:val="000000"/>
                <w:sz w:val="28"/>
                <w:szCs w:val="28"/>
                <w:rtl/>
                <w:lang w:eastAsia="ar-EG" w:bidi="ar-EG"/>
              </w:rPr>
              <w:t>) ومرفق</w:t>
            </w:r>
            <w:r>
              <w:rPr>
                <w:rFonts w:ascii="Arabic Typesetting" w:eastAsia="Arabic Typesetting" w:hAnsi="Arabic Typesetting" w:cs="Arabic Typesetting" w:hint="cs"/>
                <w:color w:val="000000"/>
                <w:sz w:val="28"/>
                <w:szCs w:val="28"/>
                <w:rtl/>
                <w:lang w:eastAsia="ar-EG" w:bidi="ar-EG"/>
              </w:rPr>
              <w:t> </w:t>
            </w:r>
            <w:r w:rsidRPr="0073215E">
              <w:rPr>
                <w:rFonts w:ascii="Arabic Typesetting" w:eastAsia="Arabic Typesetting" w:hAnsi="Arabic Typesetting" w:cs="Arabic Typesetting"/>
                <w:color w:val="000000"/>
                <w:sz w:val="28"/>
                <w:szCs w:val="28"/>
                <w:lang w:eastAsia="ar-EG" w:bidi="ar-EG"/>
              </w:rPr>
              <w:t>WIPO WebMums</w:t>
            </w:r>
            <w:r w:rsidRPr="0073215E">
              <w:rPr>
                <w:rFonts w:ascii="Arabic Typesetting" w:eastAsia="Arabic Typesetting" w:hAnsi="Arabic Typesetting" w:cs="Arabic Typesetting"/>
                <w:color w:val="000000"/>
                <w:sz w:val="28"/>
                <w:szCs w:val="28"/>
                <w:rtl/>
                <w:lang w:eastAsia="ar-EG" w:bidi="ar-EG"/>
              </w:rPr>
              <w:t xml:space="preserve"> (أعضاء</w:t>
            </w:r>
            <w:r>
              <w:rPr>
                <w:rFonts w:ascii="Arabic Typesetting" w:eastAsia="Arabic Typesetting" w:hAnsi="Arabic Typesetting" w:cs="Arabic Typesetting" w:hint="cs"/>
                <w:color w:val="000000"/>
                <w:sz w:val="28"/>
                <w:szCs w:val="28"/>
                <w:rtl/>
                <w:lang w:eastAsia="ar-EG" w:bidi="ar-EG"/>
              </w:rPr>
              <w:t> </w:t>
            </w:r>
            <w:r w:rsidRPr="0073215E">
              <w:rPr>
                <w:rFonts w:ascii="Arabic Typesetting" w:eastAsia="Arabic Typesetting" w:hAnsi="Arabic Typesetting" w:cs="Arabic Typesetting"/>
                <w:color w:val="000000"/>
                <w:sz w:val="28"/>
                <w:szCs w:val="28"/>
                <w:rtl/>
                <w:lang w:eastAsia="ar-EG" w:bidi="ar-EG"/>
              </w:rPr>
              <w:t>اتحاد مدريد)، ومنصة رابط الويبو، وإدارة المحتوى المؤسسي) وقِّعت مع مركز الأمم المتحدة الدولي للحوسبة</w:t>
            </w:r>
          </w:p>
        </w:tc>
        <w:tc>
          <w:tcPr>
            <w:tcW w:w="430" w:type="pct"/>
            <w:shd w:val="clear" w:color="auto" w:fill="auto"/>
            <w:tcMar>
              <w:top w:w="110" w:type="dxa"/>
              <w:left w:w="58" w:type="dxa"/>
              <w:right w:w="58" w:type="dxa"/>
            </w:tcMar>
          </w:tcPr>
          <w:p w14:paraId="554752EB" w14:textId="77777777" w:rsidR="00BD3831" w:rsidRPr="0073215E" w:rsidRDefault="00BD3831"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73215E">
              <w:rPr>
                <w:rFonts w:ascii="Arabic Typesetting" w:eastAsia="Arabic Typesetting" w:hAnsi="Arabic Typesetting" w:cs="Arabic Typesetting"/>
                <w:b/>
                <w:bCs/>
                <w:color w:val="00B050"/>
                <w:sz w:val="28"/>
                <w:szCs w:val="28"/>
                <w:rtl/>
                <w:lang w:eastAsia="ar-EG" w:bidi="ar-EG"/>
              </w:rPr>
              <w:t>ثابت</w:t>
            </w:r>
          </w:p>
        </w:tc>
      </w:tr>
      <w:tr w:rsidR="00BD3831" w:rsidRPr="0073215E" w14:paraId="4EF78595" w14:textId="77777777" w:rsidTr="00DF6715">
        <w:trPr>
          <w:cantSplit/>
          <w:trHeight w:val="1195"/>
        </w:trPr>
        <w:tc>
          <w:tcPr>
            <w:tcW w:w="1042" w:type="pct"/>
            <w:shd w:val="clear" w:color="auto" w:fill="auto"/>
            <w:tcMar>
              <w:left w:w="58" w:type="dxa"/>
              <w:right w:w="58" w:type="dxa"/>
            </w:tcMar>
          </w:tcPr>
          <w:p w14:paraId="6907B35F"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p>
        </w:tc>
        <w:tc>
          <w:tcPr>
            <w:tcW w:w="1382" w:type="pct"/>
            <w:shd w:val="clear" w:color="auto" w:fill="auto"/>
            <w:tcMar>
              <w:left w:w="58" w:type="dxa"/>
              <w:right w:w="58" w:type="dxa"/>
            </w:tcMar>
          </w:tcPr>
          <w:p w14:paraId="6779401E" w14:textId="77777777" w:rsidR="00BD3831" w:rsidRPr="0073215E" w:rsidRDefault="00BD3831"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73215E">
              <w:rPr>
                <w:rFonts w:ascii="Arabic Typesetting" w:eastAsia="Arabic Typesetting" w:hAnsi="Arabic Typesetting" w:cs="Arabic Typesetting"/>
                <w:i/>
                <w:iCs/>
                <w:color w:val="002060"/>
                <w:sz w:val="28"/>
                <w:szCs w:val="28"/>
                <w:rtl/>
                <w:lang w:eastAsia="ar-EG" w:bidi="ar-EG"/>
              </w:rPr>
              <w:t>أساس المقارنة المُحدَّث في نهاية 2015:</w:t>
            </w:r>
            <w:r w:rsidRPr="0073215E">
              <w:rPr>
                <w:rFonts w:ascii="Arabic Typesetting" w:eastAsia="Arabic Typesetting" w:hAnsi="Arabic Typesetting" w:cs="Arabic Typesetting"/>
                <w:i/>
                <w:color w:val="002060"/>
                <w:sz w:val="28"/>
                <w:szCs w:val="28"/>
                <w:vertAlign w:val="superscript"/>
                <w:lang w:eastAsia="ar-EG" w:bidi="ar-EG"/>
              </w:rPr>
              <w:footnoteReference w:id="98"/>
            </w:r>
          </w:p>
          <w:p w14:paraId="319D9B5C" w14:textId="77777777" w:rsidR="00BD3831" w:rsidRPr="0073215E" w:rsidRDefault="00BD3831" w:rsidP="0031289D">
            <w:pPr>
              <w:numPr>
                <w:ilvl w:val="0"/>
                <w:numId w:val="40"/>
              </w:numPr>
              <w:bidi/>
              <w:spacing w:after="120" w:line="280" w:lineRule="exact"/>
              <w:ind w:left="121" w:hanging="121"/>
              <w:rPr>
                <w:rFonts w:ascii="Arabic Typesetting" w:eastAsia="Arabic Typesetting" w:hAnsi="Arabic Typesetting" w:cs="Arabic Typesetting"/>
                <w:color w:val="002060"/>
                <w:sz w:val="28"/>
                <w:szCs w:val="28"/>
                <w:lang w:eastAsia="ar-EG" w:bidi="ar-EG"/>
              </w:rPr>
            </w:pPr>
            <w:r w:rsidRPr="0073215E">
              <w:rPr>
                <w:rFonts w:ascii="Arabic Typesetting" w:eastAsia="Arabic Typesetting" w:hAnsi="Arabic Typesetting" w:cs="Arabic Typesetting"/>
                <w:color w:val="002060"/>
                <w:sz w:val="28"/>
                <w:szCs w:val="28"/>
                <w:rtl/>
                <w:lang w:eastAsia="ar-EG" w:bidi="ar-EG"/>
              </w:rPr>
              <w:t>التكلفة الشهرية المتوسطة للخادم الواحد</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Pr>
                <w:rFonts w:ascii="Arabic Typesetting" w:eastAsia="Arabic Typesetting" w:hAnsi="Arabic Typesetting" w:cs="Arabic Typesetting"/>
                <w:color w:val="002060"/>
                <w:sz w:val="28"/>
                <w:szCs w:val="28"/>
                <w:rtl/>
                <w:lang w:eastAsia="ar-EG" w:bidi="ar-EG"/>
              </w:rPr>
              <w:t>414 فرنكاً سويسرياً</w:t>
            </w:r>
          </w:p>
          <w:p w14:paraId="065DF7CF" w14:textId="77777777" w:rsidR="00BD3831" w:rsidRPr="0073215E" w:rsidRDefault="00BD3831" w:rsidP="0031289D">
            <w:pPr>
              <w:numPr>
                <w:ilvl w:val="0"/>
                <w:numId w:val="40"/>
              </w:numPr>
              <w:bidi/>
              <w:spacing w:after="120" w:line="280" w:lineRule="exact"/>
              <w:ind w:left="121" w:hanging="121"/>
              <w:rPr>
                <w:rFonts w:ascii="Arabic Typesetting" w:eastAsia="Arabic Typesetting" w:hAnsi="Arabic Typesetting" w:cs="Arabic Typesetting"/>
                <w:color w:val="002060"/>
                <w:sz w:val="28"/>
                <w:szCs w:val="28"/>
                <w:lang w:eastAsia="ar-EG" w:bidi="ar-EG"/>
              </w:rPr>
            </w:pPr>
            <w:r w:rsidRPr="0073215E">
              <w:rPr>
                <w:rFonts w:ascii="Arabic Typesetting" w:eastAsia="Arabic Typesetting" w:hAnsi="Arabic Typesetting" w:cs="Arabic Typesetting"/>
                <w:color w:val="002060"/>
                <w:sz w:val="28"/>
                <w:szCs w:val="28"/>
                <w:rtl/>
                <w:lang w:eastAsia="ar-EG" w:bidi="ar-EG"/>
              </w:rPr>
              <w:t>التكلفة الشهرية المتوسطة لكل تيرابايت تخزين</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sidRPr="0073215E">
              <w:rPr>
                <w:rFonts w:ascii="Arabic Typesetting" w:eastAsia="Arabic Typesetting" w:hAnsi="Arabic Typesetting" w:cs="Arabic Typesetting"/>
                <w:color w:val="002060"/>
                <w:sz w:val="28"/>
                <w:szCs w:val="28"/>
                <w:rtl/>
                <w:lang w:eastAsia="ar-EG" w:bidi="ar-EG"/>
              </w:rPr>
              <w:t>234 فرنكاً</w:t>
            </w:r>
            <w:r>
              <w:rPr>
                <w:rFonts w:ascii="Arabic Typesetting" w:eastAsia="Arabic Typesetting" w:hAnsi="Arabic Typesetting" w:cs="Arabic Typesetting" w:hint="cs"/>
                <w:color w:val="002060"/>
                <w:sz w:val="28"/>
                <w:szCs w:val="28"/>
                <w:rtl/>
                <w:lang w:eastAsia="ar-EG" w:bidi="ar-EG"/>
              </w:rPr>
              <w:t> </w:t>
            </w:r>
            <w:r w:rsidRPr="0073215E">
              <w:rPr>
                <w:rFonts w:ascii="Arabic Typesetting" w:eastAsia="Arabic Typesetting" w:hAnsi="Arabic Typesetting" w:cs="Arabic Typesetting"/>
                <w:color w:val="002060"/>
                <w:sz w:val="28"/>
                <w:szCs w:val="28"/>
                <w:rtl/>
                <w:lang w:eastAsia="ar-EG" w:bidi="ar-EG"/>
              </w:rPr>
              <w:t>سويسرياً</w:t>
            </w:r>
          </w:p>
          <w:p w14:paraId="5DF87C71" w14:textId="77777777" w:rsidR="00BD3831" w:rsidRDefault="00BD3831" w:rsidP="0031289D">
            <w:pPr>
              <w:numPr>
                <w:ilvl w:val="0"/>
                <w:numId w:val="40"/>
              </w:numPr>
              <w:bidi/>
              <w:spacing w:after="120" w:line="280" w:lineRule="exact"/>
              <w:ind w:left="121" w:hanging="121"/>
              <w:rPr>
                <w:rFonts w:ascii="Arabic Typesetting" w:eastAsia="Arabic Typesetting" w:hAnsi="Arabic Typesetting" w:cs="Arabic Typesetting"/>
                <w:color w:val="002060"/>
                <w:sz w:val="28"/>
                <w:szCs w:val="28"/>
                <w:lang w:eastAsia="ar-EG" w:bidi="ar-EG"/>
              </w:rPr>
            </w:pPr>
            <w:r w:rsidRPr="0073215E">
              <w:rPr>
                <w:rFonts w:ascii="Arabic Typesetting" w:eastAsia="Arabic Typesetting" w:hAnsi="Arabic Typesetting" w:cs="Arabic Typesetting"/>
                <w:color w:val="002060"/>
                <w:sz w:val="28"/>
                <w:szCs w:val="28"/>
                <w:rtl/>
                <w:lang w:eastAsia="ar-EG" w:bidi="ar-EG"/>
              </w:rPr>
              <w:t xml:space="preserve">التكلفة الشهرية المتوسطة لكل تيرابايت </w:t>
            </w:r>
            <w:r>
              <w:rPr>
                <w:rFonts w:ascii="Arabic Typesetting" w:eastAsia="Arabic Typesetting" w:hAnsi="Arabic Typesetting" w:cs="Arabic Typesetting"/>
                <w:color w:val="002060"/>
                <w:sz w:val="28"/>
                <w:szCs w:val="28"/>
                <w:rtl/>
                <w:lang w:eastAsia="ar-EG" w:bidi="ar-EG"/>
              </w:rPr>
              <w:t>حفظ احتياطي:</w:t>
            </w:r>
            <w:r>
              <w:rPr>
                <w:rFonts w:ascii="Arabic Typesetting" w:eastAsia="Arabic Typesetting" w:hAnsi="Arabic Typesetting" w:cs="Arabic Typesetting" w:hint="cs"/>
                <w:color w:val="002060"/>
                <w:sz w:val="28"/>
                <w:szCs w:val="28"/>
                <w:rtl/>
                <w:lang w:eastAsia="ar-EG" w:bidi="ar-EG"/>
              </w:rPr>
              <w:t xml:space="preserve"> </w:t>
            </w:r>
            <w:r w:rsidRPr="0073215E">
              <w:rPr>
                <w:rFonts w:ascii="Arabic Typesetting" w:eastAsia="Arabic Typesetting" w:hAnsi="Arabic Typesetting" w:cs="Arabic Typesetting"/>
                <w:color w:val="002060"/>
                <w:sz w:val="28"/>
                <w:szCs w:val="28"/>
                <w:rtl/>
                <w:lang w:eastAsia="ar-EG" w:bidi="ar-EG"/>
              </w:rPr>
              <w:t>252 فرنكاً سويسرياً</w:t>
            </w:r>
          </w:p>
          <w:p w14:paraId="20CAD664"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rtl/>
                <w:lang w:eastAsia="ar-EG" w:bidi="ar-EG"/>
              </w:rPr>
            </w:pPr>
            <w:r w:rsidRPr="0073215E">
              <w:rPr>
                <w:rFonts w:ascii="Arabic Typesetting" w:eastAsia="Arabic Typesetting" w:hAnsi="Arabic Typesetting" w:cs="Arabic Typesetting"/>
                <w:color w:val="002060"/>
                <w:sz w:val="28"/>
                <w:szCs w:val="28"/>
                <w:rtl/>
                <w:lang w:eastAsia="ar-EG" w:bidi="ar-EG"/>
              </w:rPr>
              <w:t>عدد أحداث الخدمة المتوسطة أو العالية التأثير</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73215E">
              <w:rPr>
                <w:rFonts w:ascii="Arabic Typesetting" w:eastAsia="Arabic Typesetting" w:hAnsi="Arabic Typesetting" w:cs="Arabic Typesetting"/>
                <w:color w:val="002060"/>
                <w:sz w:val="28"/>
                <w:szCs w:val="28"/>
                <w:rtl/>
                <w:lang w:eastAsia="ar-EG" w:bidi="ar-EG"/>
              </w:rPr>
              <w:t>1.75 في الشهر</w:t>
            </w:r>
          </w:p>
          <w:p w14:paraId="208F7DEA"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i/>
                <w:iCs/>
                <w:sz w:val="28"/>
                <w:szCs w:val="28"/>
                <w:rtl/>
                <w:lang w:eastAsia="ar-EG" w:bidi="ar-EG"/>
              </w:rPr>
              <w:t>‏أساس المقارنة الأصلي:</w:t>
            </w:r>
            <w:r w:rsidRPr="0073215E">
              <w:rPr>
                <w:rFonts w:ascii="Arabic Typesetting" w:eastAsia="Arabic Typesetting" w:hAnsi="Arabic Typesetting" w:cs="Arabic Typesetting"/>
                <w:i/>
                <w:sz w:val="28"/>
                <w:szCs w:val="28"/>
                <w:lang w:eastAsia="ar-EG" w:bidi="ar-EG"/>
              </w:rPr>
              <w:br/>
            </w:r>
            <w:r w:rsidRPr="0073215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73215E">
              <w:rPr>
                <w:rFonts w:ascii="Arabic Typesetting" w:eastAsia="Arabic Typesetting" w:hAnsi="Arabic Typesetting" w:cs="Arabic Typesetting"/>
                <w:color w:val="000000"/>
                <w:sz w:val="28"/>
                <w:szCs w:val="28"/>
                <w:rtl/>
                <w:lang w:eastAsia="ar-EG" w:bidi="ar-EG"/>
              </w:rPr>
              <w:t>تكلفة الوحدة لكل خادوم</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r>
            <w:r w:rsidRPr="0073215E">
              <w:rPr>
                <w:rFonts w:ascii="Arabic Typesetting" w:eastAsia="Arabic Typesetting" w:hAnsi="Arabic Typesetting" w:cs="Arabic Typesetting"/>
                <w:color w:val="000000"/>
                <w:sz w:val="28"/>
                <w:szCs w:val="28"/>
                <w:rtl/>
                <w:lang w:eastAsia="ar-EG" w:bidi="ar-EG"/>
              </w:rPr>
              <w:t xml:space="preserve">448 فرنكاً سويسرياً في الشهر؛ </w:t>
            </w:r>
          </w:p>
          <w:p w14:paraId="3BDE4DB4"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تكلفة الوحدة لكل تيرابايت تخزين</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color w:val="000000"/>
                <w:sz w:val="28"/>
                <w:szCs w:val="28"/>
                <w:rtl/>
                <w:lang w:eastAsia="ar-EG" w:bidi="ar-EG"/>
              </w:rPr>
              <w:br/>
              <w:t>299 فرنكاً سويسرياً في الشهر؛</w:t>
            </w:r>
          </w:p>
          <w:p w14:paraId="5A57C81B"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sz w:val="28"/>
                <w:szCs w:val="28"/>
                <w:rtl/>
                <w:lang w:eastAsia="ar-EG" w:bidi="ar-EG"/>
              </w:rPr>
              <w:t xml:space="preserve">تكلفة الوحدة لكل تيرابايت </w:t>
            </w:r>
            <w:r>
              <w:rPr>
                <w:rFonts w:ascii="Arabic Typesetting" w:eastAsia="Arabic Typesetting" w:hAnsi="Arabic Typesetting" w:cs="Arabic Typesetting"/>
                <w:sz w:val="28"/>
                <w:szCs w:val="28"/>
                <w:rtl/>
                <w:lang w:eastAsia="ar-EG" w:bidi="ar-EG"/>
              </w:rPr>
              <w:t>حفظ احتياطي:</w:t>
            </w:r>
            <w:r>
              <w:rPr>
                <w:rFonts w:ascii="Arabic Typesetting" w:eastAsia="Arabic Typesetting" w:hAnsi="Arabic Typesetting" w:cs="Arabic Typesetting" w:hint="cs"/>
                <w:sz w:val="28"/>
                <w:szCs w:val="28"/>
                <w:rtl/>
                <w:lang w:eastAsia="ar-EG" w:bidi="ar-EG"/>
              </w:rPr>
              <w:t xml:space="preserve"> </w:t>
            </w:r>
            <w:r w:rsidRPr="0073215E">
              <w:rPr>
                <w:rFonts w:ascii="Arabic Typesetting" w:eastAsia="Arabic Typesetting" w:hAnsi="Arabic Typesetting" w:cs="Arabic Typesetting"/>
                <w:color w:val="000000"/>
                <w:sz w:val="28"/>
                <w:szCs w:val="28"/>
                <w:rtl/>
                <w:lang w:eastAsia="ar-EG" w:bidi="ar-EG"/>
              </w:rPr>
              <w:t>370 فرنكاً س</w:t>
            </w:r>
            <w:r>
              <w:rPr>
                <w:rFonts w:ascii="Arabic Typesetting" w:eastAsia="Arabic Typesetting" w:hAnsi="Arabic Typesetting" w:cs="Arabic Typesetting"/>
                <w:color w:val="000000"/>
                <w:sz w:val="28"/>
                <w:szCs w:val="28"/>
                <w:rtl/>
                <w:lang w:eastAsia="ar-EG" w:bidi="ar-EG"/>
              </w:rPr>
              <w:t>ويسرياً في الشهر (نهاية 2014)؛</w:t>
            </w:r>
          </w:p>
          <w:p w14:paraId="74A4AC37"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عدد أحداث الخدمة المتوسطة أو العالية التأثير</w:t>
            </w:r>
            <w:r>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 xml:space="preserve"> </w:t>
            </w:r>
            <w:r w:rsidRPr="0073215E">
              <w:rPr>
                <w:rFonts w:ascii="Arabic Typesetting" w:eastAsia="Arabic Typesetting" w:hAnsi="Arabic Typesetting" w:cs="Arabic Typesetting"/>
                <w:color w:val="000000"/>
                <w:sz w:val="28"/>
                <w:szCs w:val="28"/>
                <w:rtl/>
                <w:lang w:eastAsia="ar-EG" w:bidi="ar-EG"/>
              </w:rPr>
              <w:t>1.75 في الشهر</w:t>
            </w:r>
          </w:p>
        </w:tc>
        <w:tc>
          <w:tcPr>
            <w:tcW w:w="758" w:type="pct"/>
            <w:shd w:val="clear" w:color="auto" w:fill="auto"/>
            <w:tcMar>
              <w:top w:w="110" w:type="dxa"/>
              <w:left w:w="58" w:type="dxa"/>
              <w:right w:w="58" w:type="dxa"/>
            </w:tcMar>
          </w:tcPr>
          <w:p w14:paraId="6C6FB636"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 xml:space="preserve">انخفاض تكلفة الوحدة بما لا يقل عن </w:t>
            </w:r>
            <w:r>
              <w:rPr>
                <w:rFonts w:ascii="Arabic Typesetting" w:eastAsia="Arabic Typesetting" w:hAnsi="Arabic Typesetting" w:cs="Arabic Typesetting"/>
                <w:color w:val="000000"/>
                <w:sz w:val="28"/>
                <w:szCs w:val="28"/>
                <w:rtl/>
                <w:lang w:eastAsia="ar-EG" w:bidi="ar-EG"/>
              </w:rPr>
              <w:t>5% في السنة؛</w:t>
            </w:r>
          </w:p>
          <w:p w14:paraId="14AE15C1"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عدم زيادة أحداث الخ</w:t>
            </w:r>
            <w:r>
              <w:rPr>
                <w:rFonts w:ascii="Arabic Typesetting" w:eastAsia="Arabic Typesetting" w:hAnsi="Arabic Typesetting" w:cs="Arabic Typesetting"/>
                <w:color w:val="000000"/>
                <w:sz w:val="28"/>
                <w:szCs w:val="28"/>
                <w:rtl/>
                <w:lang w:eastAsia="ar-EG" w:bidi="ar-EG"/>
              </w:rPr>
              <w:t>دمة المتوسطة أو</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العالية التأثير</w:t>
            </w:r>
          </w:p>
        </w:tc>
        <w:tc>
          <w:tcPr>
            <w:tcW w:w="1388" w:type="pct"/>
            <w:shd w:val="clear" w:color="auto" w:fill="FFFFFF"/>
            <w:tcMar>
              <w:top w:w="110" w:type="dxa"/>
              <w:left w:w="58" w:type="dxa"/>
              <w:right w:w="58" w:type="dxa"/>
            </w:tcMar>
          </w:tcPr>
          <w:p w14:paraId="75854262" w14:textId="31CD02AF" w:rsidR="00BD38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73215E">
              <w:rPr>
                <w:rFonts w:ascii="Arabic Typesetting" w:eastAsia="Arabic Typesetting" w:hAnsi="Arabic Typesetting" w:cs="Arabic Typesetting"/>
                <w:sz w:val="28"/>
                <w:szCs w:val="28"/>
                <w:rtl/>
                <w:lang w:eastAsia="ar-EG" w:bidi="ar-EG"/>
              </w:rPr>
              <w:t>التكلفة الشهرية المتوسطة للخادم الواحد</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rtl/>
                <w:lang w:eastAsia="ar-EG" w:bidi="ar-EG"/>
              </w:rPr>
              <w:br/>
            </w:r>
            <w:r w:rsidR="008E6403">
              <w:rPr>
                <w:rFonts w:ascii="Arabic Typesetting" w:eastAsia="Arabic Typesetting" w:hAnsi="Arabic Typesetting" w:cs="Arabic Typesetting"/>
                <w:sz w:val="28"/>
                <w:szCs w:val="28"/>
                <w:rtl/>
                <w:lang w:eastAsia="ar-EG" w:bidi="ar-EG"/>
              </w:rPr>
              <w:t>418 فرنكاً سويسرياً</w:t>
            </w:r>
          </w:p>
          <w:p w14:paraId="1450AF6D" w14:textId="77777777" w:rsidR="00BD38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73215E">
              <w:rPr>
                <w:rFonts w:ascii="Arabic Typesetting" w:eastAsia="Arabic Typesetting" w:hAnsi="Arabic Typesetting" w:cs="Arabic Typesetting"/>
                <w:sz w:val="28"/>
                <w:szCs w:val="28"/>
                <w:rtl/>
                <w:lang w:eastAsia="ar-EG" w:bidi="ar-EG"/>
              </w:rPr>
              <w:t>التكلفة الشهرية المتوسطة لكل تيرابايت تخزين</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 </w:t>
            </w:r>
            <w:r w:rsidRPr="0073215E">
              <w:rPr>
                <w:rFonts w:ascii="Arabic Typesetting" w:eastAsia="Arabic Typesetting" w:hAnsi="Arabic Typesetting" w:cs="Arabic Typesetting"/>
                <w:sz w:val="28"/>
                <w:szCs w:val="28"/>
                <w:rtl/>
                <w:lang w:eastAsia="ar-EG" w:bidi="ar-EG"/>
              </w:rPr>
              <w:t>233 فرنكاً سويسرياً</w:t>
            </w:r>
          </w:p>
          <w:p w14:paraId="7666ABF5" w14:textId="70DA2AC2" w:rsidR="00BD38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73215E">
              <w:rPr>
                <w:rFonts w:ascii="Arabic Typesetting" w:eastAsia="Arabic Typesetting" w:hAnsi="Arabic Typesetting" w:cs="Arabic Typesetting"/>
                <w:sz w:val="28"/>
                <w:szCs w:val="28"/>
                <w:rtl/>
                <w:lang w:eastAsia="ar-EG" w:bidi="ar-EG"/>
              </w:rPr>
              <w:t xml:space="preserve">التكلفة الشهرية المتوسطة لكل تيرابايت </w:t>
            </w:r>
            <w:r>
              <w:rPr>
                <w:rFonts w:ascii="Arabic Typesetting" w:eastAsia="Arabic Typesetting" w:hAnsi="Arabic Typesetting" w:cs="Arabic Typesetting"/>
                <w:sz w:val="28"/>
                <w:szCs w:val="28"/>
                <w:rtl/>
                <w:lang w:eastAsia="ar-EG" w:bidi="ar-EG"/>
              </w:rPr>
              <w:t>حفظ احتياطي:</w:t>
            </w:r>
            <w:r>
              <w:rPr>
                <w:rFonts w:ascii="Arabic Typesetting" w:eastAsia="Arabic Typesetting" w:hAnsi="Arabic Typesetting" w:cs="Arabic Typesetting" w:hint="cs"/>
                <w:sz w:val="28"/>
                <w:szCs w:val="28"/>
                <w:rtl/>
                <w:lang w:eastAsia="ar-EG" w:bidi="ar-EG"/>
              </w:rPr>
              <w:t xml:space="preserve"> </w:t>
            </w:r>
            <w:r w:rsidR="008E6403">
              <w:rPr>
                <w:rFonts w:ascii="Arabic Typesetting" w:eastAsia="Arabic Typesetting" w:hAnsi="Arabic Typesetting" w:cs="Arabic Typesetting"/>
                <w:sz w:val="28"/>
                <w:szCs w:val="28"/>
                <w:rtl/>
                <w:lang w:eastAsia="ar-EG" w:bidi="ar-EG"/>
              </w:rPr>
              <w:t>232 فرنكاً سويسرياً</w:t>
            </w:r>
          </w:p>
          <w:p w14:paraId="5BDFBB28" w14:textId="77777777" w:rsidR="00BD3831" w:rsidRPr="0073215E"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73215E">
              <w:rPr>
                <w:rFonts w:ascii="Arabic Typesetting" w:eastAsia="Arabic Typesetting" w:hAnsi="Arabic Typesetting" w:cs="Arabic Typesetting"/>
                <w:sz w:val="28"/>
                <w:szCs w:val="28"/>
                <w:rtl/>
                <w:lang w:eastAsia="ar-EG" w:bidi="ar-EG"/>
              </w:rPr>
              <w:t>1.17 حادث خدمة</w:t>
            </w:r>
            <w:r>
              <w:rPr>
                <w:rFonts w:ascii="Arabic Typesetting" w:eastAsia="Arabic Typesetting" w:hAnsi="Arabic Typesetting" w:cs="Arabic Typesetting"/>
                <w:sz w:val="28"/>
                <w:szCs w:val="28"/>
                <w:rtl/>
                <w:lang w:eastAsia="ar-EG" w:bidi="ar-EG"/>
              </w:rPr>
              <w:t xml:space="preserve"> متوسط أو عالي التأثير في الشهر</w:t>
            </w:r>
          </w:p>
        </w:tc>
        <w:tc>
          <w:tcPr>
            <w:tcW w:w="430" w:type="pct"/>
            <w:shd w:val="clear" w:color="auto" w:fill="auto"/>
            <w:tcMar>
              <w:top w:w="110" w:type="dxa"/>
              <w:left w:w="58" w:type="dxa"/>
              <w:right w:w="58" w:type="dxa"/>
            </w:tcMar>
          </w:tcPr>
          <w:p w14:paraId="311BCFC3" w14:textId="77777777" w:rsidR="00BD3831" w:rsidRDefault="00BD3831" w:rsidP="0031289D">
            <w:pPr>
              <w:bidi/>
              <w:spacing w:after="360" w:line="280" w:lineRule="exact"/>
              <w:jc w:val="center"/>
              <w:rPr>
                <w:rFonts w:ascii="Arabic Typesetting" w:eastAsia="Arabic Typesetting" w:hAnsi="Arabic Typesetting" w:cs="Arabic Typesetting"/>
                <w:b/>
                <w:bCs/>
                <w:color w:val="FF0000"/>
                <w:sz w:val="28"/>
                <w:szCs w:val="28"/>
                <w:rtl/>
                <w:lang w:eastAsia="ar-EG" w:bidi="ar-EG"/>
              </w:rPr>
            </w:pPr>
            <w:r w:rsidRPr="0073215E">
              <w:rPr>
                <w:rFonts w:ascii="Arabic Typesetting" w:eastAsia="Arabic Typesetting" w:hAnsi="Arabic Typesetting" w:cs="Arabic Typesetting"/>
                <w:b/>
                <w:bCs/>
                <w:color w:val="FF0000"/>
                <w:sz w:val="28"/>
                <w:szCs w:val="28"/>
                <w:rtl/>
                <w:lang w:eastAsia="ar-EG" w:bidi="ar-EG"/>
              </w:rPr>
              <w:t>غير ثابت</w:t>
            </w:r>
          </w:p>
          <w:p w14:paraId="12FE4AB4" w14:textId="77777777" w:rsidR="00BD3831" w:rsidRDefault="00BD3831" w:rsidP="0031289D">
            <w:pPr>
              <w:bidi/>
              <w:spacing w:after="360" w:line="280" w:lineRule="exact"/>
              <w:jc w:val="center"/>
              <w:rPr>
                <w:rFonts w:ascii="Arabic Typesetting" w:eastAsia="Arabic Typesetting" w:hAnsi="Arabic Typesetting" w:cs="Arabic Typesetting"/>
                <w:b/>
                <w:color w:val="FF0000"/>
                <w:sz w:val="28"/>
                <w:szCs w:val="28"/>
                <w:lang w:eastAsia="ar-EG" w:bidi="ar-EG"/>
              </w:rPr>
            </w:pPr>
            <w:r w:rsidRPr="0073215E">
              <w:rPr>
                <w:rFonts w:ascii="Arabic Typesetting" w:eastAsia="Arabic Typesetting" w:hAnsi="Arabic Typesetting" w:cs="Arabic Typesetting"/>
                <w:b/>
                <w:bCs/>
                <w:color w:val="FF0000"/>
                <w:sz w:val="28"/>
                <w:szCs w:val="28"/>
                <w:rtl/>
                <w:lang w:eastAsia="ar-EG" w:bidi="ar-EG"/>
              </w:rPr>
              <w:t>غير ثابت</w:t>
            </w:r>
          </w:p>
          <w:p w14:paraId="40848D38" w14:textId="77777777" w:rsidR="00BD3831" w:rsidRDefault="00BD3831" w:rsidP="0031289D">
            <w:pPr>
              <w:bidi/>
              <w:spacing w:after="480" w:line="280" w:lineRule="exact"/>
              <w:jc w:val="center"/>
              <w:rPr>
                <w:rFonts w:ascii="Arabic Typesetting" w:eastAsia="Arabic Typesetting" w:hAnsi="Arabic Typesetting" w:cs="Arabic Typesetting"/>
                <w:b/>
                <w:color w:val="00B050"/>
                <w:sz w:val="28"/>
                <w:szCs w:val="28"/>
                <w:lang w:eastAsia="ar-EG" w:bidi="ar-EG"/>
              </w:rPr>
            </w:pPr>
            <w:r>
              <w:rPr>
                <w:rFonts w:ascii="Arabic Typesetting" w:eastAsia="Arabic Typesetting" w:hAnsi="Arabic Typesetting" w:cs="Arabic Typesetting"/>
                <w:b/>
                <w:bCs/>
                <w:color w:val="00B050"/>
                <w:sz w:val="28"/>
                <w:szCs w:val="28"/>
                <w:rtl/>
                <w:lang w:eastAsia="ar-EG" w:bidi="ar-EG"/>
              </w:rPr>
              <w:t>ثابت</w:t>
            </w:r>
          </w:p>
          <w:p w14:paraId="382A6F2B" w14:textId="77777777" w:rsidR="00BD3831" w:rsidRPr="0073215E" w:rsidRDefault="00BD3831" w:rsidP="0031289D">
            <w:pPr>
              <w:bidi/>
              <w:spacing w:after="120" w:line="280" w:lineRule="exact"/>
              <w:jc w:val="center"/>
              <w:rPr>
                <w:rFonts w:ascii="Arabic Typesetting" w:eastAsia="Arabic Typesetting" w:hAnsi="Arabic Typesetting" w:cs="Arabic Typesetting"/>
                <w:sz w:val="28"/>
                <w:szCs w:val="28"/>
                <w:lang w:eastAsia="ar-EG" w:bidi="ar-EG"/>
              </w:rPr>
            </w:pPr>
            <w:r w:rsidRPr="0073215E">
              <w:rPr>
                <w:rFonts w:ascii="Arabic Typesetting" w:eastAsia="Arabic Typesetting" w:hAnsi="Arabic Typesetting" w:cs="Arabic Typesetting"/>
                <w:b/>
                <w:bCs/>
                <w:color w:val="00B050"/>
                <w:sz w:val="28"/>
                <w:szCs w:val="28"/>
                <w:rtl/>
                <w:lang w:eastAsia="ar-EG" w:bidi="ar-EG"/>
              </w:rPr>
              <w:t>ثابت</w:t>
            </w:r>
          </w:p>
        </w:tc>
      </w:tr>
      <w:tr w:rsidR="00BD3831" w:rsidRPr="0073215E" w14:paraId="06D2549E" w14:textId="77777777" w:rsidTr="00DF6715">
        <w:trPr>
          <w:cantSplit/>
          <w:trHeight w:val="2101"/>
        </w:trPr>
        <w:tc>
          <w:tcPr>
            <w:tcW w:w="1042" w:type="pct"/>
            <w:shd w:val="clear" w:color="auto" w:fill="auto"/>
            <w:tcMar>
              <w:left w:w="58" w:type="dxa"/>
              <w:right w:w="58" w:type="dxa"/>
            </w:tcMar>
          </w:tcPr>
          <w:p w14:paraId="08CC917B"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‏التزام أنشطة تطوير التطبيقات بمعايير الويبو الخاصة بالبيانات المرجعية والرئيسية</w:t>
            </w:r>
          </w:p>
        </w:tc>
        <w:tc>
          <w:tcPr>
            <w:tcW w:w="1382" w:type="pct"/>
            <w:shd w:val="clear" w:color="auto" w:fill="auto"/>
            <w:tcMar>
              <w:left w:w="58" w:type="dxa"/>
              <w:right w:w="58" w:type="dxa"/>
            </w:tcMar>
          </w:tcPr>
          <w:p w14:paraId="2AF5C1D3" w14:textId="77777777" w:rsidR="00BD3831" w:rsidRDefault="00BD3831" w:rsidP="0031289D">
            <w:pPr>
              <w:bidi/>
              <w:spacing w:after="120" w:line="280" w:lineRule="exact"/>
              <w:rPr>
                <w:rFonts w:ascii="Arabic Typesetting" w:eastAsia="Arabic Typesetting" w:hAnsi="Arabic Typesetting" w:cs="Arabic Typesetting"/>
                <w:i/>
                <w:color w:val="002060"/>
                <w:sz w:val="28"/>
                <w:szCs w:val="28"/>
                <w:lang w:eastAsia="ar-EG" w:bidi="ar-EG"/>
              </w:rPr>
            </w:pPr>
            <w:r w:rsidRPr="0073215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Pr>
                <w:rFonts w:ascii="Arabic Typesetting" w:eastAsia="Arabic Typesetting" w:hAnsi="Arabic Typesetting" w:cs="Arabic Typesetting"/>
                <w:color w:val="002060"/>
                <w:sz w:val="28"/>
                <w:szCs w:val="28"/>
                <w:rtl/>
                <w:lang w:eastAsia="ar-EG" w:bidi="ar-EG"/>
              </w:rPr>
              <w:t>غير متاح</w:t>
            </w:r>
          </w:p>
          <w:p w14:paraId="31198096"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i/>
                <w:iCs/>
                <w:sz w:val="28"/>
                <w:szCs w:val="28"/>
                <w:rtl/>
                <w:lang w:eastAsia="ar-EG" w:bidi="ar-EG"/>
              </w:rPr>
              <w:t>‏أساس المقارنة الأصلي:</w:t>
            </w:r>
            <w:r w:rsidRPr="0073215E">
              <w:rPr>
                <w:rFonts w:ascii="Arabic Typesetting" w:eastAsia="Arabic Typesetting" w:hAnsi="Arabic Typesetting" w:cs="Arabic Typesetting"/>
                <w:i/>
                <w:sz w:val="28"/>
                <w:szCs w:val="28"/>
                <w:lang w:eastAsia="ar-EG" w:bidi="ar-EG"/>
              </w:rPr>
              <w:br/>
            </w:r>
            <w:r w:rsidRPr="0073215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color w:val="000000"/>
                <w:sz w:val="28"/>
                <w:szCs w:val="28"/>
                <w:rtl/>
                <w:lang w:eastAsia="ar-EG" w:bidi="ar-EG"/>
              </w:rPr>
              <w:t>غير متاح</w:t>
            </w:r>
          </w:p>
        </w:tc>
        <w:tc>
          <w:tcPr>
            <w:tcW w:w="758" w:type="pct"/>
            <w:shd w:val="clear" w:color="auto" w:fill="auto"/>
            <w:tcMar>
              <w:top w:w="110" w:type="dxa"/>
              <w:left w:w="58" w:type="dxa"/>
              <w:right w:w="58" w:type="dxa"/>
            </w:tcMar>
          </w:tcPr>
          <w:p w14:paraId="3A66D887"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استخدام استراتيجية الويبو للبيانات المرجعية والرئيسية ومخزونها من قبل فريق تطوير تطبيقات واحد على الأقل</w:t>
            </w:r>
          </w:p>
        </w:tc>
        <w:tc>
          <w:tcPr>
            <w:tcW w:w="1388" w:type="pct"/>
            <w:shd w:val="clear" w:color="auto" w:fill="FFFFFF"/>
            <w:tcMar>
              <w:top w:w="110" w:type="dxa"/>
              <w:left w:w="58" w:type="dxa"/>
              <w:right w:w="58" w:type="dxa"/>
            </w:tcMar>
          </w:tcPr>
          <w:p w14:paraId="168D8B50" w14:textId="32F0F0E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كانت معايير الويبو للبيانات المرجعية والرئيسي</w:t>
            </w:r>
            <w:r>
              <w:rPr>
                <w:rFonts w:ascii="Arabic Typesetting" w:eastAsia="Arabic Typesetting" w:hAnsi="Arabic Typesetting" w:cs="Arabic Typesetting"/>
                <w:color w:val="000000"/>
                <w:sz w:val="28"/>
                <w:szCs w:val="28"/>
                <w:rtl/>
                <w:lang w:eastAsia="ar-EG" w:bidi="ar-EG"/>
              </w:rPr>
              <w:t>ة بما في ذلك مسارات الإدارة قيد</w:t>
            </w:r>
            <w:r>
              <w:rPr>
                <w:rFonts w:ascii="Arabic Typesetting" w:eastAsia="Arabic Typesetting" w:hAnsi="Arabic Typesetting" w:cs="Arabic Typesetting" w:hint="cs"/>
                <w:color w:val="000000"/>
                <w:sz w:val="28"/>
                <w:szCs w:val="28"/>
                <w:rtl/>
                <w:lang w:eastAsia="ar-EG" w:bidi="ar-EG"/>
              </w:rPr>
              <w:t> </w:t>
            </w:r>
            <w:r w:rsidRPr="0073215E">
              <w:rPr>
                <w:rFonts w:ascii="Arabic Typesetting" w:eastAsia="Arabic Typesetting" w:hAnsi="Arabic Typesetting" w:cs="Arabic Typesetting"/>
                <w:color w:val="000000"/>
                <w:sz w:val="28"/>
                <w:szCs w:val="28"/>
                <w:rtl/>
                <w:lang w:eastAsia="ar-EG" w:bidi="ar-EG"/>
              </w:rPr>
              <w:t>الاستحداث في نهاية 2016</w:t>
            </w:r>
            <w:r w:rsidR="00D02C02">
              <w:rPr>
                <w:rFonts w:ascii="Arabic Typesetting" w:eastAsia="Arabic Typesetting" w:hAnsi="Arabic Typesetting" w:cs="Arabic Typesetting" w:hint="cs"/>
                <w:color w:val="000000"/>
                <w:sz w:val="28"/>
                <w:szCs w:val="28"/>
                <w:rtl/>
                <w:lang w:eastAsia="ar-EG" w:bidi="ar-EG"/>
              </w:rPr>
              <w:t xml:space="preserve"> نتيجة لإعادة توجيه المباد</w:t>
            </w:r>
            <w:r w:rsidR="00D3741B">
              <w:rPr>
                <w:rFonts w:ascii="Arabic Typesetting" w:eastAsia="Arabic Typesetting" w:hAnsi="Arabic Typesetting" w:cs="Arabic Typesetting" w:hint="cs"/>
                <w:color w:val="000000"/>
                <w:sz w:val="28"/>
                <w:szCs w:val="28"/>
                <w:rtl/>
                <w:lang w:eastAsia="ar-EG" w:bidi="ar-EG"/>
              </w:rPr>
              <w:t>رة</w:t>
            </w:r>
            <w:r w:rsidRPr="0073215E">
              <w:rPr>
                <w:rFonts w:ascii="Arabic Typesetting" w:eastAsia="Arabic Typesetting" w:hAnsi="Arabic Typesetting" w:cs="Arabic Typesetting"/>
                <w:color w:val="000000"/>
                <w:sz w:val="28"/>
                <w:szCs w:val="28"/>
                <w:rtl/>
                <w:lang w:eastAsia="ar-EG" w:bidi="ar-EG"/>
              </w:rPr>
              <w:t>.</w:t>
            </w:r>
          </w:p>
        </w:tc>
        <w:tc>
          <w:tcPr>
            <w:tcW w:w="430" w:type="pct"/>
            <w:shd w:val="clear" w:color="auto" w:fill="auto"/>
            <w:tcMar>
              <w:top w:w="110" w:type="dxa"/>
              <w:left w:w="58" w:type="dxa"/>
              <w:right w:w="58" w:type="dxa"/>
            </w:tcMar>
          </w:tcPr>
          <w:p w14:paraId="4F262E7D" w14:textId="77777777" w:rsidR="00BD3831" w:rsidRPr="0073215E" w:rsidRDefault="00BD3831"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b/>
                <w:bCs/>
                <w:color w:val="FF0000"/>
                <w:sz w:val="28"/>
                <w:szCs w:val="28"/>
                <w:rtl/>
                <w:lang w:eastAsia="ar-EG" w:bidi="ar-EG"/>
              </w:rPr>
              <w:t>غير ثابت</w:t>
            </w:r>
          </w:p>
        </w:tc>
      </w:tr>
      <w:tr w:rsidR="00BD3831" w:rsidRPr="0073215E" w14:paraId="1D744822" w14:textId="77777777" w:rsidTr="00DF6715">
        <w:trPr>
          <w:cantSplit/>
          <w:trHeight w:val="795"/>
        </w:trPr>
        <w:tc>
          <w:tcPr>
            <w:tcW w:w="1042" w:type="pct"/>
            <w:shd w:val="clear" w:color="auto" w:fill="auto"/>
            <w:tcMar>
              <w:left w:w="58" w:type="dxa"/>
              <w:right w:w="58" w:type="dxa"/>
            </w:tcMar>
          </w:tcPr>
          <w:p w14:paraId="4E04F7C1"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النسبة المئوية للزبائن الراضين عن خدمات مكتب الخدمات</w:t>
            </w:r>
          </w:p>
        </w:tc>
        <w:tc>
          <w:tcPr>
            <w:tcW w:w="1382" w:type="pct"/>
            <w:shd w:val="clear" w:color="auto" w:fill="auto"/>
            <w:tcMar>
              <w:left w:w="58" w:type="dxa"/>
              <w:right w:w="58" w:type="dxa"/>
            </w:tcMar>
          </w:tcPr>
          <w:p w14:paraId="2FA19675" w14:textId="77777777" w:rsidR="00BD3831" w:rsidRPr="0073215E"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73215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73215E">
              <w:rPr>
                <w:rFonts w:ascii="Arabic Typesetting" w:eastAsia="Arabic Typesetting" w:hAnsi="Arabic Typesetting" w:cs="Arabic Typesetting"/>
                <w:color w:val="002060"/>
                <w:sz w:val="28"/>
                <w:szCs w:val="28"/>
                <w:rtl/>
                <w:lang w:eastAsia="ar-EG" w:bidi="ar-EG"/>
              </w:rPr>
              <w:t>97% راضون عن خدمات مكتب الخدمات</w:t>
            </w:r>
          </w:p>
          <w:p w14:paraId="6515DD32" w14:textId="77777777" w:rsidR="00BD3831" w:rsidRPr="0073215E" w:rsidRDefault="00BD3831" w:rsidP="0031289D">
            <w:pPr>
              <w:numPr>
                <w:ilvl w:val="0"/>
                <w:numId w:val="39"/>
              </w:numPr>
              <w:bidi/>
              <w:spacing w:after="120" w:line="280" w:lineRule="exact"/>
              <w:rPr>
                <w:rFonts w:ascii="Arabic Typesetting" w:eastAsia="Arabic Typesetting" w:hAnsi="Arabic Typesetting" w:cs="Arabic Typesetting"/>
                <w:i/>
                <w:color w:val="002060"/>
                <w:sz w:val="28"/>
                <w:szCs w:val="28"/>
                <w:lang w:eastAsia="ar-EG" w:bidi="ar-EG"/>
              </w:rPr>
            </w:pPr>
            <w:r w:rsidRPr="0073215E">
              <w:rPr>
                <w:rFonts w:ascii="Arabic Typesetting" w:eastAsia="Arabic Typesetting" w:hAnsi="Arabic Typesetting" w:cs="Arabic Typesetting"/>
                <w:color w:val="002060"/>
                <w:sz w:val="28"/>
                <w:szCs w:val="28"/>
                <w:rtl/>
                <w:lang w:eastAsia="ar-EG" w:bidi="ar-EG"/>
              </w:rPr>
              <w:t>64% راضون تماماً</w:t>
            </w:r>
            <w:r w:rsidRPr="0073215E">
              <w:rPr>
                <w:rFonts w:ascii="Arabic Typesetting" w:eastAsia="Arabic Typesetting" w:hAnsi="Arabic Typesetting" w:cs="Arabic Typesetting"/>
                <w:color w:val="002060"/>
                <w:sz w:val="28"/>
                <w:szCs w:val="28"/>
                <w:vertAlign w:val="superscript"/>
                <w:lang w:eastAsia="ar-EG" w:bidi="ar-EG"/>
              </w:rPr>
              <w:footnoteReference w:id="99"/>
            </w:r>
          </w:p>
          <w:p w14:paraId="12D3A713" w14:textId="77777777" w:rsidR="00BD3831" w:rsidRDefault="00BD3831" w:rsidP="0031289D">
            <w:pPr>
              <w:numPr>
                <w:ilvl w:val="0"/>
                <w:numId w:val="39"/>
              </w:numPr>
              <w:bidi/>
              <w:spacing w:after="120" w:line="280" w:lineRule="exact"/>
              <w:rPr>
                <w:rFonts w:ascii="Arabic Typesetting" w:eastAsia="Arabic Typesetting" w:hAnsi="Arabic Typesetting" w:cs="Arabic Typesetting"/>
                <w:i/>
                <w:color w:val="002060"/>
                <w:sz w:val="28"/>
                <w:szCs w:val="28"/>
                <w:lang w:eastAsia="ar-EG" w:bidi="ar-EG"/>
              </w:rPr>
            </w:pPr>
            <w:r w:rsidRPr="0073215E">
              <w:rPr>
                <w:rFonts w:ascii="Arabic Typesetting" w:eastAsia="Arabic Typesetting" w:hAnsi="Arabic Typesetting" w:cs="Arabic Typesetting"/>
                <w:color w:val="002060"/>
                <w:sz w:val="28"/>
                <w:szCs w:val="28"/>
                <w:rtl/>
                <w:lang w:eastAsia="ar-EG" w:bidi="ar-EG"/>
              </w:rPr>
              <w:t>33% راضون</w:t>
            </w:r>
          </w:p>
          <w:p w14:paraId="5CBD4A8F"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i/>
                <w:iCs/>
                <w:sz w:val="28"/>
                <w:szCs w:val="28"/>
                <w:rtl/>
                <w:lang w:eastAsia="ar-EG" w:bidi="ar-EG"/>
              </w:rPr>
              <w:t>‏أساس المقارنة الأصلي:</w:t>
            </w:r>
            <w:r w:rsidRPr="0073215E">
              <w:rPr>
                <w:rFonts w:ascii="Arabic Typesetting" w:eastAsia="Arabic Typesetting" w:hAnsi="Arabic Typesetting" w:cs="Arabic Typesetting"/>
                <w:i/>
                <w:sz w:val="28"/>
                <w:szCs w:val="28"/>
                <w:lang w:eastAsia="ar-EG" w:bidi="ar-EG"/>
              </w:rPr>
              <w:br/>
            </w:r>
            <w:r w:rsidRPr="0073215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73215E">
              <w:rPr>
                <w:rFonts w:ascii="Arabic Typesetting" w:eastAsia="Arabic Typesetting" w:hAnsi="Arabic Typesetting" w:cs="Arabic Typesetting"/>
                <w:color w:val="000000"/>
                <w:sz w:val="28"/>
                <w:szCs w:val="28"/>
                <w:rtl/>
                <w:lang w:eastAsia="ar-EG" w:bidi="ar-EG"/>
              </w:rPr>
              <w:t>‏97% راضون أو راضون جداً عن مكتب</w:t>
            </w:r>
            <w:r>
              <w:rPr>
                <w:rFonts w:ascii="Arabic Typesetting" w:eastAsia="Arabic Typesetting" w:hAnsi="Arabic Typesetting" w:cs="Arabic Typesetting" w:hint="cs"/>
                <w:color w:val="000000"/>
                <w:sz w:val="28"/>
                <w:szCs w:val="28"/>
                <w:rtl/>
                <w:lang w:eastAsia="ar-EG" w:bidi="ar-EG"/>
              </w:rPr>
              <w:t> </w:t>
            </w:r>
            <w:r w:rsidRPr="0073215E">
              <w:rPr>
                <w:rFonts w:ascii="Arabic Typesetting" w:eastAsia="Arabic Typesetting" w:hAnsi="Arabic Typesetting" w:cs="Arabic Typesetting"/>
                <w:color w:val="000000"/>
                <w:sz w:val="28"/>
                <w:szCs w:val="28"/>
                <w:rtl/>
                <w:lang w:eastAsia="ar-EG" w:bidi="ar-EG"/>
              </w:rPr>
              <w:t>الخدمات</w:t>
            </w:r>
          </w:p>
        </w:tc>
        <w:tc>
          <w:tcPr>
            <w:tcW w:w="758" w:type="pct"/>
            <w:shd w:val="clear" w:color="auto" w:fill="auto"/>
            <w:tcMar>
              <w:top w:w="110" w:type="dxa"/>
              <w:left w:w="58" w:type="dxa"/>
              <w:right w:w="58" w:type="dxa"/>
            </w:tcMar>
          </w:tcPr>
          <w:p w14:paraId="64E234CD"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الاحتفاظ بمستوى عال مماثل من رضا المستخدمين</w:t>
            </w:r>
          </w:p>
        </w:tc>
        <w:tc>
          <w:tcPr>
            <w:tcW w:w="1388" w:type="pct"/>
            <w:shd w:val="clear" w:color="auto" w:fill="FFFFFF"/>
            <w:tcMar>
              <w:top w:w="110" w:type="dxa"/>
              <w:left w:w="58" w:type="dxa"/>
              <w:right w:w="58" w:type="dxa"/>
            </w:tcMar>
          </w:tcPr>
          <w:p w14:paraId="5510890B" w14:textId="77777777" w:rsidR="00BD3831" w:rsidRPr="0073215E"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73215E">
              <w:rPr>
                <w:rFonts w:ascii="Arabic Typesetting" w:eastAsia="Arabic Typesetting" w:hAnsi="Arabic Typesetting" w:cs="Arabic Typesetting"/>
                <w:sz w:val="28"/>
                <w:szCs w:val="28"/>
                <w:rtl/>
                <w:lang w:eastAsia="ar-EG" w:bidi="ar-EG"/>
              </w:rPr>
              <w:t>97.4% راضون عن خدمات مكتب الخدمات</w:t>
            </w:r>
          </w:p>
          <w:p w14:paraId="76664C66" w14:textId="1839744B" w:rsidR="00BD3831" w:rsidRPr="0073215E" w:rsidRDefault="00BD3831" w:rsidP="00D3741B">
            <w:pPr>
              <w:numPr>
                <w:ilvl w:val="0"/>
                <w:numId w:val="39"/>
              </w:numPr>
              <w:bidi/>
              <w:spacing w:after="120" w:line="280" w:lineRule="exact"/>
              <w:rPr>
                <w:rFonts w:ascii="Arabic Typesetting" w:eastAsia="Arabic Typesetting" w:hAnsi="Arabic Typesetting" w:cs="Arabic Typesetting"/>
                <w:i/>
                <w:sz w:val="28"/>
                <w:szCs w:val="28"/>
                <w:lang w:eastAsia="ar-EG" w:bidi="ar-EG"/>
              </w:rPr>
            </w:pPr>
            <w:r w:rsidRPr="0073215E">
              <w:rPr>
                <w:rFonts w:ascii="Arabic Typesetting" w:eastAsia="Arabic Typesetting" w:hAnsi="Arabic Typesetting" w:cs="Arabic Typesetting"/>
                <w:sz w:val="28"/>
                <w:szCs w:val="28"/>
                <w:rtl/>
                <w:lang w:eastAsia="ar-EG" w:bidi="ar-EG"/>
              </w:rPr>
              <w:t>66.7% راضون تماماً</w:t>
            </w:r>
          </w:p>
          <w:p w14:paraId="4D8DEA5A" w14:textId="77777777" w:rsidR="00BD3831" w:rsidRPr="0073215E" w:rsidRDefault="00BD3831" w:rsidP="0031289D">
            <w:pPr>
              <w:numPr>
                <w:ilvl w:val="0"/>
                <w:numId w:val="39"/>
              </w:numPr>
              <w:bidi/>
              <w:spacing w:after="120" w:line="280" w:lineRule="exact"/>
              <w:rPr>
                <w:rFonts w:ascii="Arabic Typesetting" w:eastAsia="Arabic Typesetting" w:hAnsi="Arabic Typesetting" w:cs="Arabic Typesetting"/>
                <w:i/>
                <w:sz w:val="28"/>
                <w:szCs w:val="28"/>
                <w:lang w:eastAsia="ar-EG" w:bidi="ar-EG"/>
              </w:rPr>
            </w:pPr>
            <w:r w:rsidRPr="0073215E">
              <w:rPr>
                <w:rFonts w:ascii="Arabic Typesetting" w:eastAsia="Arabic Typesetting" w:hAnsi="Arabic Typesetting" w:cs="Arabic Typesetting"/>
                <w:sz w:val="28"/>
                <w:szCs w:val="28"/>
                <w:rtl/>
                <w:lang w:eastAsia="ar-EG" w:bidi="ar-EG"/>
              </w:rPr>
              <w:t>30.7% راضون</w:t>
            </w:r>
          </w:p>
        </w:tc>
        <w:tc>
          <w:tcPr>
            <w:tcW w:w="430" w:type="pct"/>
            <w:shd w:val="clear" w:color="auto" w:fill="auto"/>
            <w:tcMar>
              <w:top w:w="110" w:type="dxa"/>
              <w:left w:w="58" w:type="dxa"/>
              <w:right w:w="58" w:type="dxa"/>
            </w:tcMar>
          </w:tcPr>
          <w:p w14:paraId="58645DEE" w14:textId="77777777" w:rsidR="00BD3831" w:rsidRPr="0073215E" w:rsidRDefault="00BD3831"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b/>
                <w:bCs/>
                <w:color w:val="00B050"/>
                <w:sz w:val="28"/>
                <w:szCs w:val="28"/>
                <w:rtl/>
                <w:lang w:eastAsia="ar-EG" w:bidi="ar-EG"/>
              </w:rPr>
              <w:t>ثابت</w:t>
            </w:r>
          </w:p>
        </w:tc>
      </w:tr>
      <w:tr w:rsidR="00BD3831" w:rsidRPr="0073215E" w14:paraId="369818FF" w14:textId="77777777" w:rsidTr="00DF6715">
        <w:trPr>
          <w:cantSplit/>
          <w:trHeight w:val="1761"/>
        </w:trPr>
        <w:tc>
          <w:tcPr>
            <w:tcW w:w="1042" w:type="pct"/>
            <w:shd w:val="clear" w:color="auto" w:fill="auto"/>
            <w:tcMar>
              <w:left w:w="58" w:type="dxa"/>
              <w:right w:w="58" w:type="dxa"/>
            </w:tcMar>
          </w:tcPr>
          <w:p w14:paraId="10FFFD92"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lastRenderedPageBreak/>
              <w:t>إدارة مشاريع تكنولوجيا المعلومات والاتصالات في الويبو وفقاً لمبادئ الويبو التوجيهية الخاصة بإدارة المشاريع ومبادئ الويبو التوجيهية الخاصة بانتقال الخدمات</w:t>
            </w:r>
          </w:p>
        </w:tc>
        <w:tc>
          <w:tcPr>
            <w:tcW w:w="1382" w:type="pct"/>
            <w:shd w:val="clear" w:color="auto" w:fill="auto"/>
            <w:tcMar>
              <w:left w:w="58" w:type="dxa"/>
              <w:right w:w="58" w:type="dxa"/>
            </w:tcMar>
          </w:tcPr>
          <w:p w14:paraId="47AF8CE0"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73215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73215E">
              <w:rPr>
                <w:rFonts w:ascii="Arabic Typesetting" w:eastAsia="Arabic Typesetting" w:hAnsi="Arabic Typesetting" w:cs="Arabic Typesetting"/>
                <w:color w:val="002060"/>
                <w:sz w:val="28"/>
                <w:szCs w:val="28"/>
                <w:rtl/>
                <w:lang w:eastAsia="ar-EG" w:bidi="ar-EG"/>
              </w:rPr>
              <w:t>غير متاح (جديد)</w:t>
            </w:r>
            <w:r>
              <w:rPr>
                <w:rFonts w:ascii="Arabic Typesetting" w:eastAsia="Arabic Typesetting" w:hAnsi="Arabic Typesetting" w:cs="Arabic Typesetting"/>
                <w:color w:val="002060"/>
                <w:sz w:val="28"/>
                <w:szCs w:val="28"/>
                <w:rtl/>
                <w:lang w:eastAsia="ar-EG" w:bidi="ar-EG"/>
              </w:rPr>
              <w:br/>
            </w:r>
            <w:r w:rsidRPr="0073215E">
              <w:rPr>
                <w:rFonts w:ascii="Arabic Typesetting" w:eastAsia="Arabic Typesetting" w:hAnsi="Arabic Typesetting" w:cs="Arabic Typesetting"/>
                <w:color w:val="002060"/>
                <w:sz w:val="28"/>
                <w:szCs w:val="28"/>
                <w:rtl/>
                <w:lang w:eastAsia="ar-EG" w:bidi="ar-EG"/>
              </w:rPr>
              <w:t xml:space="preserve">تحديد مبادئ الويبو التوجيهية الخاصة بانتقال الخدمات </w:t>
            </w:r>
          </w:p>
          <w:p w14:paraId="34BC481D"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i/>
                <w:iCs/>
                <w:sz w:val="28"/>
                <w:szCs w:val="28"/>
                <w:rtl/>
                <w:lang w:eastAsia="ar-EG" w:bidi="ar-EG"/>
              </w:rPr>
              <w:t>‏أساس المقارنة الأصلي:</w:t>
            </w:r>
            <w:r w:rsidRPr="0073215E">
              <w:rPr>
                <w:rFonts w:ascii="Arabic Typesetting" w:eastAsia="Arabic Typesetting" w:hAnsi="Arabic Typesetting" w:cs="Arabic Typesetting"/>
                <w:i/>
                <w:sz w:val="28"/>
                <w:szCs w:val="28"/>
                <w:lang w:eastAsia="ar-EG" w:bidi="ar-EG"/>
              </w:rPr>
              <w:br/>
            </w:r>
            <w:r w:rsidRPr="0073215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73215E">
              <w:rPr>
                <w:rFonts w:ascii="Arabic Typesetting" w:eastAsia="Arabic Typesetting" w:hAnsi="Arabic Typesetting" w:cs="Arabic Typesetting"/>
                <w:color w:val="000000"/>
                <w:sz w:val="28"/>
                <w:szCs w:val="28"/>
                <w:rtl/>
                <w:lang w:eastAsia="ar-EG" w:bidi="ar-EG"/>
              </w:rPr>
              <w:t>غير متاح (جديد)</w:t>
            </w:r>
            <w:r>
              <w:rPr>
                <w:rFonts w:ascii="Arabic Typesetting" w:eastAsia="Arabic Typesetting" w:hAnsi="Arabic Typesetting" w:cs="Arabic Typesetting"/>
                <w:color w:val="000000"/>
                <w:sz w:val="28"/>
                <w:szCs w:val="28"/>
                <w:rtl/>
                <w:lang w:eastAsia="ar-EG" w:bidi="ar-EG"/>
              </w:rPr>
              <w:br/>
            </w:r>
            <w:r w:rsidRPr="0073215E">
              <w:rPr>
                <w:rFonts w:ascii="Arabic Typesetting" w:eastAsia="Arabic Typesetting" w:hAnsi="Arabic Typesetting" w:cs="Arabic Typesetting"/>
                <w:color w:val="000000"/>
                <w:sz w:val="28"/>
                <w:szCs w:val="28"/>
                <w:rtl/>
                <w:lang w:eastAsia="ar-EG" w:bidi="ar-EG"/>
              </w:rPr>
              <w:t>المبادئ التوج</w:t>
            </w:r>
            <w:r>
              <w:rPr>
                <w:rFonts w:ascii="Arabic Typesetting" w:eastAsia="Arabic Typesetting" w:hAnsi="Arabic Typesetting" w:cs="Arabic Typesetting"/>
                <w:color w:val="000000"/>
                <w:sz w:val="28"/>
                <w:szCs w:val="28"/>
                <w:rtl/>
                <w:lang w:eastAsia="ar-EG" w:bidi="ar-EG"/>
              </w:rPr>
              <w:t>يهية الخاصة بالانتقال غير</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محددة</w:t>
            </w:r>
          </w:p>
        </w:tc>
        <w:tc>
          <w:tcPr>
            <w:tcW w:w="758" w:type="pct"/>
            <w:shd w:val="clear" w:color="auto" w:fill="auto"/>
            <w:tcMar>
              <w:top w:w="110" w:type="dxa"/>
              <w:left w:w="58" w:type="dxa"/>
              <w:right w:w="58" w:type="dxa"/>
            </w:tcMar>
          </w:tcPr>
          <w:p w14:paraId="3627591A"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إدارة أكثر من 70% من المشاريع وفقاً لمبادئ الويبو التوجيهية الخاصة بإدارة المشاريع</w:t>
            </w:r>
          </w:p>
          <w:p w14:paraId="1E9208BF"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70% من</w:t>
            </w:r>
            <w:r w:rsidRPr="0073215E">
              <w:rPr>
                <w:rFonts w:ascii="Arabic Typesetting" w:eastAsia="Arabic Typesetting" w:hAnsi="Arabic Typesetting" w:cs="Arabic Typesetting"/>
                <w:color w:val="000000"/>
                <w:sz w:val="28"/>
                <w:szCs w:val="28"/>
                <w:rtl/>
                <w:lang w:eastAsia="ar-EG" w:bidi="ar-EG"/>
              </w:rPr>
              <w:t xml:space="preserve"> المشاريع الجديدة المُنفَّذة تمتثل لمبادئ الويبو التوجيهية الخاصة بانتقال الخدمات</w:t>
            </w:r>
          </w:p>
        </w:tc>
        <w:tc>
          <w:tcPr>
            <w:tcW w:w="1388" w:type="pct"/>
            <w:shd w:val="clear" w:color="auto" w:fill="FFFFFF"/>
            <w:tcMar>
              <w:top w:w="110" w:type="dxa"/>
              <w:left w:w="58" w:type="dxa"/>
              <w:right w:w="58" w:type="dxa"/>
            </w:tcMar>
          </w:tcPr>
          <w:p w14:paraId="63665A1B"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إدارة 100% من مشاريع إدارة تكنولوجيا المعلومات والاتصالات وفقاً لمبادئ الويبو التوجيهية الخاصة بإدارة المشاريع (3</w:t>
            </w:r>
            <w:r>
              <w:rPr>
                <w:rFonts w:ascii="Arabic Typesetting" w:eastAsia="Arabic Typesetting" w:hAnsi="Arabic Typesetting" w:cs="Arabic Typesetting" w:hint="cs"/>
                <w:color w:val="000000"/>
                <w:sz w:val="28"/>
                <w:szCs w:val="28"/>
                <w:rtl/>
                <w:lang w:eastAsia="ar-EG" w:bidi="ar-EG"/>
              </w:rPr>
              <w:t> </w:t>
            </w:r>
            <w:r w:rsidRPr="0073215E">
              <w:rPr>
                <w:rFonts w:ascii="Arabic Typesetting" w:eastAsia="Arabic Typesetting" w:hAnsi="Arabic Typesetting" w:cs="Arabic Typesetting"/>
                <w:color w:val="000000"/>
                <w:sz w:val="28"/>
                <w:szCs w:val="28"/>
                <w:rtl/>
                <w:lang w:eastAsia="ar-EG" w:bidi="ar-EG"/>
              </w:rPr>
              <w:t>من</w:t>
            </w:r>
            <w:r>
              <w:rPr>
                <w:rFonts w:ascii="Arabic Typesetting" w:eastAsia="Arabic Typesetting" w:hAnsi="Arabic Typesetting" w:cs="Arabic Typesetting" w:hint="cs"/>
                <w:color w:val="000000"/>
                <w:sz w:val="28"/>
                <w:szCs w:val="28"/>
                <w:rtl/>
                <w:lang w:eastAsia="ar-EG" w:bidi="ar-EG"/>
              </w:rPr>
              <w:t> </w:t>
            </w:r>
            <w:r w:rsidRPr="0073215E">
              <w:rPr>
                <w:rFonts w:ascii="Arabic Typesetting" w:eastAsia="Arabic Typesetting" w:hAnsi="Arabic Typesetting" w:cs="Arabic Typesetting"/>
                <w:color w:val="000000"/>
                <w:sz w:val="28"/>
                <w:szCs w:val="28"/>
                <w:rtl/>
                <w:lang w:eastAsia="ar-EG" w:bidi="ar-EG"/>
              </w:rPr>
              <w:t>3)</w:t>
            </w:r>
          </w:p>
          <w:p w14:paraId="689BAC07"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66% من مشاريع إدارة تكنولوجيا المعلومات والاتصالات المنفَّذة امتثلت لمبادئ الويبو التوجيهية الخاصة بانتقال الخدمات (2 من 3)</w:t>
            </w:r>
          </w:p>
        </w:tc>
        <w:tc>
          <w:tcPr>
            <w:tcW w:w="430" w:type="pct"/>
            <w:shd w:val="clear" w:color="auto" w:fill="auto"/>
            <w:tcMar>
              <w:top w:w="110" w:type="dxa"/>
              <w:left w:w="58" w:type="dxa"/>
              <w:right w:w="58" w:type="dxa"/>
            </w:tcMar>
          </w:tcPr>
          <w:p w14:paraId="372369CD" w14:textId="77777777" w:rsidR="00BD3831" w:rsidRDefault="00BD3831" w:rsidP="0031289D">
            <w:pPr>
              <w:bidi/>
              <w:spacing w:after="960" w:line="280" w:lineRule="exact"/>
              <w:jc w:val="center"/>
              <w:rPr>
                <w:rFonts w:ascii="Arabic Typesetting" w:eastAsia="Arabic Typesetting" w:hAnsi="Arabic Typesetting" w:cs="Arabic Typesetting"/>
                <w:b/>
                <w:color w:val="00B050"/>
                <w:sz w:val="28"/>
                <w:szCs w:val="28"/>
                <w:lang w:eastAsia="ar-EG" w:bidi="ar-EG"/>
              </w:rPr>
            </w:pPr>
            <w:r>
              <w:rPr>
                <w:rFonts w:ascii="Arabic Typesetting" w:eastAsia="Arabic Typesetting" w:hAnsi="Arabic Typesetting" w:cs="Arabic Typesetting"/>
                <w:b/>
                <w:bCs/>
                <w:color w:val="00B050"/>
                <w:sz w:val="28"/>
                <w:szCs w:val="28"/>
                <w:rtl/>
                <w:lang w:eastAsia="ar-EG" w:bidi="ar-EG"/>
              </w:rPr>
              <w:t>ثابت</w:t>
            </w:r>
          </w:p>
          <w:p w14:paraId="649EAE78" w14:textId="77777777" w:rsidR="00BD3831" w:rsidRPr="0073215E" w:rsidRDefault="00BD3831"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Pr>
                <w:rFonts w:ascii="Arabic Typesetting" w:eastAsia="Arabic Typesetting" w:hAnsi="Arabic Typesetting" w:cs="Arabic Typesetting"/>
                <w:b/>
                <w:bCs/>
                <w:color w:val="00B050"/>
                <w:sz w:val="28"/>
                <w:szCs w:val="28"/>
                <w:rtl/>
                <w:lang w:eastAsia="ar-EG" w:bidi="ar-EG"/>
              </w:rPr>
              <w:t>ثابت</w:t>
            </w:r>
          </w:p>
        </w:tc>
      </w:tr>
      <w:tr w:rsidR="00BD3831" w:rsidRPr="0073215E" w14:paraId="1E40583D" w14:textId="77777777" w:rsidTr="00DF6715">
        <w:trPr>
          <w:cantSplit/>
          <w:trHeight w:val="565"/>
        </w:trPr>
        <w:tc>
          <w:tcPr>
            <w:tcW w:w="5000" w:type="pct"/>
            <w:gridSpan w:val="5"/>
            <w:shd w:val="clear" w:color="auto" w:fill="C6D9F1"/>
            <w:tcMar>
              <w:left w:w="58" w:type="dxa"/>
              <w:right w:w="58" w:type="dxa"/>
            </w:tcMar>
            <w:vAlign w:val="center"/>
          </w:tcPr>
          <w:p w14:paraId="0403BB98" w14:textId="77777777" w:rsidR="00BD3831" w:rsidRPr="0073215E"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‏النتيجة المرتقبة:</w:t>
            </w:r>
            <w:r w:rsidRPr="0073215E">
              <w:rPr>
                <w:rFonts w:ascii="Arabic Typesetting" w:eastAsia="Arabic Typesetting" w:hAnsi="Arabic Typesetting" w:cs="Arabic Typesetting"/>
                <w:sz w:val="28"/>
                <w:szCs w:val="28"/>
                <w:lang w:eastAsia="ar-EG" w:bidi="ar-EG"/>
              </w:rPr>
              <w:tab/>
            </w:r>
            <w:r>
              <w:rPr>
                <w:rFonts w:ascii="Arabic Typesetting" w:eastAsia="Arabic Typesetting" w:hAnsi="Arabic Typesetting" w:cs="Arabic Typesetting"/>
                <w:b/>
                <w:bCs/>
                <w:sz w:val="28"/>
                <w:szCs w:val="28"/>
                <w:rtl/>
                <w:lang w:eastAsia="ar-EG" w:bidi="ar-EG"/>
              </w:rPr>
              <w:t>‏</w:t>
            </w:r>
            <w:r w:rsidRPr="0073215E">
              <w:rPr>
                <w:rFonts w:ascii="Arabic Typesetting" w:eastAsia="Arabic Typesetting" w:hAnsi="Arabic Typesetting" w:cs="Arabic Typesetting"/>
                <w:sz w:val="28"/>
                <w:szCs w:val="28"/>
                <w:rtl/>
                <w:lang w:eastAsia="ar-EG" w:bidi="ar-EG"/>
              </w:rPr>
              <w:t>ه4.9 منظمة ذات مسؤولية بيئية واجتماعية تكفل السلامة والأمن للموظفين في الويبو والمندوبين والزائرين والممتلكات المادية والمعلومات</w:t>
            </w:r>
          </w:p>
        </w:tc>
      </w:tr>
      <w:tr w:rsidR="00BD3831" w:rsidRPr="0073215E" w14:paraId="319516B7" w14:textId="77777777" w:rsidTr="00DF6715">
        <w:trPr>
          <w:cantSplit/>
        </w:trPr>
        <w:tc>
          <w:tcPr>
            <w:tcW w:w="1042" w:type="pct"/>
            <w:shd w:val="clear" w:color="auto" w:fill="auto"/>
            <w:tcMar>
              <w:left w:w="58" w:type="dxa"/>
              <w:right w:w="58" w:type="dxa"/>
            </w:tcMar>
            <w:vAlign w:val="center"/>
          </w:tcPr>
          <w:p w14:paraId="2585E179" w14:textId="77777777" w:rsidR="00BD3831" w:rsidRPr="0073215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مؤشرات الأداء</w:t>
            </w:r>
          </w:p>
        </w:tc>
        <w:tc>
          <w:tcPr>
            <w:tcW w:w="1382" w:type="pct"/>
            <w:shd w:val="clear" w:color="auto" w:fill="auto"/>
            <w:tcMar>
              <w:left w:w="58" w:type="dxa"/>
              <w:right w:w="58" w:type="dxa"/>
            </w:tcMar>
            <w:vAlign w:val="center"/>
          </w:tcPr>
          <w:p w14:paraId="1C27931C" w14:textId="77777777" w:rsidR="00BD3831" w:rsidRPr="0073215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أسس المقارنة</w:t>
            </w:r>
          </w:p>
        </w:tc>
        <w:tc>
          <w:tcPr>
            <w:tcW w:w="758" w:type="pct"/>
            <w:shd w:val="clear" w:color="auto" w:fill="auto"/>
            <w:tcMar>
              <w:top w:w="110" w:type="dxa"/>
              <w:left w:w="58" w:type="dxa"/>
              <w:right w:w="58" w:type="dxa"/>
            </w:tcMar>
            <w:vAlign w:val="center"/>
          </w:tcPr>
          <w:p w14:paraId="35435CD5" w14:textId="77777777" w:rsidR="00BD3831" w:rsidRPr="0073215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الأهداف</w:t>
            </w:r>
          </w:p>
        </w:tc>
        <w:tc>
          <w:tcPr>
            <w:tcW w:w="1388" w:type="pct"/>
            <w:shd w:val="clear" w:color="auto" w:fill="FFFFFF"/>
            <w:tcMar>
              <w:top w:w="110" w:type="dxa"/>
              <w:left w:w="58" w:type="dxa"/>
              <w:right w:w="58" w:type="dxa"/>
            </w:tcMar>
            <w:vAlign w:val="center"/>
          </w:tcPr>
          <w:p w14:paraId="744D320A" w14:textId="77777777" w:rsidR="00BD3831" w:rsidRPr="0073215E"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بيانات الأداء</w:t>
            </w:r>
          </w:p>
        </w:tc>
        <w:tc>
          <w:tcPr>
            <w:tcW w:w="430" w:type="pct"/>
            <w:shd w:val="clear" w:color="auto" w:fill="auto"/>
            <w:tcMar>
              <w:top w:w="110" w:type="dxa"/>
              <w:left w:w="58" w:type="dxa"/>
              <w:right w:w="58" w:type="dxa"/>
            </w:tcMar>
            <w:vAlign w:val="center"/>
          </w:tcPr>
          <w:p w14:paraId="5085A198" w14:textId="77777777" w:rsidR="00BD3831" w:rsidRPr="0073215E" w:rsidRDefault="00BD3831" w:rsidP="0031289D">
            <w:pPr>
              <w:bidi/>
              <w:spacing w:after="120" w:line="280" w:lineRule="exact"/>
              <w:jc w:val="center"/>
              <w:rPr>
                <w:rFonts w:ascii="Arabic Typesetting" w:eastAsia="Arabic Typesetting" w:hAnsi="Arabic Typesetting" w:cs="Arabic Typesetting"/>
                <w:b/>
                <w:bCs/>
                <w:sz w:val="28"/>
                <w:szCs w:val="28"/>
                <w:lang w:eastAsia="ar-EG" w:bidi="ar-EG"/>
              </w:rPr>
            </w:pPr>
            <w:r w:rsidRPr="0073215E">
              <w:rPr>
                <w:rFonts w:ascii="Arabic Typesetting" w:eastAsia="Arabic Typesetting" w:hAnsi="Arabic Typesetting" w:cs="Arabic Typesetting"/>
                <w:b/>
                <w:bCs/>
                <w:sz w:val="28"/>
                <w:szCs w:val="28"/>
                <w:rtl/>
                <w:lang w:eastAsia="ar-EG" w:bidi="ar-EG"/>
              </w:rPr>
              <w:t>السير</w:t>
            </w:r>
          </w:p>
        </w:tc>
      </w:tr>
      <w:tr w:rsidR="00BD3831" w:rsidRPr="0073215E" w14:paraId="6087A368" w14:textId="77777777" w:rsidTr="00DF6715">
        <w:trPr>
          <w:cantSplit/>
          <w:trHeight w:val="3675"/>
        </w:trPr>
        <w:tc>
          <w:tcPr>
            <w:tcW w:w="1042" w:type="pct"/>
            <w:shd w:val="clear" w:color="auto" w:fill="auto"/>
            <w:tcMar>
              <w:left w:w="58" w:type="dxa"/>
              <w:right w:w="58" w:type="dxa"/>
            </w:tcMar>
          </w:tcPr>
          <w:p w14:paraId="3F9543CC"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استمرارية خدمات تكنولوجيا المعلومات والاتصالات بالنسبة للأنظمة الجوهرية</w:t>
            </w:r>
          </w:p>
        </w:tc>
        <w:tc>
          <w:tcPr>
            <w:tcW w:w="1382" w:type="pct"/>
            <w:shd w:val="clear" w:color="auto" w:fill="auto"/>
            <w:tcMar>
              <w:left w:w="58" w:type="dxa"/>
              <w:right w:w="58" w:type="dxa"/>
            </w:tcMar>
          </w:tcPr>
          <w:p w14:paraId="5C56B05D"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73215E">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73215E">
              <w:rPr>
                <w:rFonts w:ascii="Arabic Typesetting" w:eastAsia="Arabic Typesetting" w:hAnsi="Arabic Typesetting" w:cs="Arabic Typesetting"/>
                <w:color w:val="002060"/>
                <w:sz w:val="28"/>
                <w:szCs w:val="28"/>
                <w:rtl/>
                <w:lang w:eastAsia="ar-EG" w:bidi="ar-EG"/>
              </w:rPr>
              <w:t xml:space="preserve">وسع نطاق البنية التحتية للخادوم والتخزين والنسخ الاحتياطي والشبكة لتشمل الخدمات المعلوماتية الأساسية. وأجري في 2014/15 تقييماً لاثنتي عشرة خدمة معلوماتية أساسية ونفذت تدابير ملائمة لضمان استمرارية الخدمات. </w:t>
            </w:r>
          </w:p>
          <w:p w14:paraId="04B8D607"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73215E">
              <w:rPr>
                <w:rFonts w:ascii="Arabic Typesetting" w:eastAsia="Arabic Typesetting" w:hAnsi="Arabic Typesetting" w:cs="Arabic Typesetting"/>
                <w:color w:val="002060"/>
                <w:sz w:val="28"/>
                <w:szCs w:val="28"/>
                <w:rtl/>
                <w:lang w:eastAsia="ar-EG" w:bidi="ar-EG"/>
              </w:rPr>
              <w:t>وأثبتت استمرارية الخدمات المعلوماتية في عام 2015 عن طريق اختبار التعافي من الكوارث الذي دام يوماً واحداً؛ واستكمل تمرين تعطل نظام معاهدة البراءات في غضون 30 دقيقة</w:t>
            </w:r>
          </w:p>
          <w:p w14:paraId="41F76FC8"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i/>
                <w:iCs/>
                <w:sz w:val="28"/>
                <w:szCs w:val="28"/>
                <w:rtl/>
                <w:lang w:eastAsia="ar-EG" w:bidi="ar-EG"/>
              </w:rPr>
              <w:t>‏أساس المقارنة الأصلي:</w:t>
            </w:r>
            <w:r w:rsidRPr="0073215E">
              <w:rPr>
                <w:rFonts w:ascii="Arabic Typesetting" w:eastAsia="Arabic Typesetting" w:hAnsi="Arabic Typesetting" w:cs="Arabic Typesetting"/>
                <w:i/>
                <w:sz w:val="28"/>
                <w:szCs w:val="28"/>
                <w:lang w:eastAsia="ar-EG" w:bidi="ar-EG"/>
              </w:rPr>
              <w:br/>
            </w:r>
            <w:r w:rsidRPr="0073215E">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73215E">
              <w:rPr>
                <w:rFonts w:ascii="Arabic Typesetting" w:eastAsia="Arabic Typesetting" w:hAnsi="Arabic Typesetting" w:cs="Arabic Typesetting"/>
                <w:color w:val="000000"/>
                <w:sz w:val="28"/>
                <w:szCs w:val="28"/>
                <w:rtl/>
                <w:lang w:eastAsia="ar-EG" w:bidi="ar-EG"/>
              </w:rPr>
              <w:t>يمكن استعادة الأنظمة الجوهرية في الوقت المناسب دون فقدان البيانات في حالة الأعطال الكبرى محلياً</w:t>
            </w:r>
          </w:p>
        </w:tc>
        <w:tc>
          <w:tcPr>
            <w:tcW w:w="758" w:type="pct"/>
            <w:shd w:val="clear" w:color="auto" w:fill="auto"/>
            <w:tcMar>
              <w:top w:w="110" w:type="dxa"/>
              <w:left w:w="58" w:type="dxa"/>
              <w:right w:w="58" w:type="dxa"/>
            </w:tcMar>
          </w:tcPr>
          <w:p w14:paraId="4C88300F"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color w:val="000000"/>
                <w:sz w:val="28"/>
                <w:szCs w:val="28"/>
                <w:rtl/>
                <w:lang w:eastAsia="ar-EG" w:bidi="ar-EG"/>
              </w:rPr>
              <w:t>إحراز تقدم في منصة لتكنولوجيا المعلومات والاتصالات لتمكين استمرار عمل الأنظمة الجوهرية في حال وقوع عطل كبير محلياً</w:t>
            </w:r>
          </w:p>
        </w:tc>
        <w:tc>
          <w:tcPr>
            <w:tcW w:w="1388" w:type="pct"/>
            <w:shd w:val="clear" w:color="auto" w:fill="FFFFFF"/>
            <w:tcMar>
              <w:top w:w="110" w:type="dxa"/>
              <w:left w:w="58" w:type="dxa"/>
              <w:right w:w="58" w:type="dxa"/>
            </w:tcMar>
          </w:tcPr>
          <w:p w14:paraId="1FA89893" w14:textId="77777777" w:rsidR="00BD38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73215E">
              <w:rPr>
                <w:rFonts w:ascii="Arabic Typesetting" w:eastAsia="Arabic Typesetting" w:hAnsi="Arabic Typesetting" w:cs="Arabic Typesetting"/>
                <w:sz w:val="28"/>
                <w:szCs w:val="28"/>
                <w:rtl/>
                <w:lang w:eastAsia="ar-EG" w:bidi="ar-EG"/>
              </w:rPr>
              <w:t xml:space="preserve">عززت خدمتان جوهريتان إضافيتان لتكنولوجيا المعلومات والاتصالات من أجل ضمان استمرارية الخدمات </w:t>
            </w:r>
          </w:p>
          <w:p w14:paraId="21F2132D" w14:textId="77777777" w:rsidR="00BD3831" w:rsidRPr="0073215E"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73215E">
              <w:rPr>
                <w:rFonts w:ascii="Arabic Typesetting" w:eastAsia="Arabic Typesetting" w:hAnsi="Arabic Typesetting" w:cs="Arabic Typesetting"/>
                <w:sz w:val="28"/>
                <w:szCs w:val="28"/>
                <w:rtl/>
                <w:lang w:eastAsia="ar-EG" w:bidi="ar-EG"/>
              </w:rPr>
              <w:t>وأثبتت استمرارية الخدمات المعلوماتية في عام 2016 عن طريق اختبار التعافي من الكوارث الذي دام يوماً واحداً</w:t>
            </w:r>
          </w:p>
        </w:tc>
        <w:tc>
          <w:tcPr>
            <w:tcW w:w="430" w:type="pct"/>
            <w:shd w:val="clear" w:color="auto" w:fill="auto"/>
            <w:tcMar>
              <w:top w:w="110" w:type="dxa"/>
              <w:left w:w="58" w:type="dxa"/>
              <w:right w:w="58" w:type="dxa"/>
            </w:tcMar>
          </w:tcPr>
          <w:p w14:paraId="5ED65BAB" w14:textId="77777777" w:rsidR="00BD3831" w:rsidRPr="0073215E" w:rsidRDefault="00BD3831"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Pr>
                <w:rFonts w:ascii="Arabic Typesetting" w:eastAsia="Arabic Typesetting" w:hAnsi="Arabic Typesetting" w:cs="Arabic Typesetting"/>
                <w:b/>
                <w:bCs/>
                <w:color w:val="00B050"/>
                <w:sz w:val="28"/>
                <w:szCs w:val="28"/>
                <w:rtl/>
                <w:lang w:eastAsia="ar-EG" w:bidi="ar-EG"/>
              </w:rPr>
              <w:t>ثابت</w:t>
            </w:r>
          </w:p>
        </w:tc>
      </w:tr>
    </w:tbl>
    <w:p w14:paraId="4E94C963" w14:textId="77777777" w:rsidR="00BD3831" w:rsidRDefault="00BD3831" w:rsidP="0031289D">
      <w:pPr>
        <w:bidi/>
      </w:pPr>
    </w:p>
    <w:tbl>
      <w:tblPr>
        <w:tblStyle w:val="TableGrid"/>
        <w:bidiVisual/>
        <w:tblW w:w="0" w:type="auto"/>
        <w:tblLook w:val="04A0" w:firstRow="1" w:lastRow="0" w:firstColumn="1" w:lastColumn="0" w:noHBand="0" w:noVBand="1"/>
      </w:tblPr>
      <w:tblGrid>
        <w:gridCol w:w="9571"/>
      </w:tblGrid>
      <w:tr w:rsidR="00BD3831" w14:paraId="12CFAFFC" w14:textId="77777777" w:rsidTr="00DF6715">
        <w:tc>
          <w:tcPr>
            <w:tcW w:w="9571" w:type="dxa"/>
            <w:tcBorders>
              <w:top w:val="nil"/>
              <w:left w:val="nil"/>
              <w:bottom w:val="nil"/>
              <w:right w:val="nil"/>
            </w:tcBorders>
            <w:shd w:val="clear" w:color="auto" w:fill="C6D9F1"/>
            <w:vAlign w:val="center"/>
          </w:tcPr>
          <w:p w14:paraId="3CFEB76D" w14:textId="77777777" w:rsidR="00BD3831" w:rsidRPr="00A2672B" w:rsidRDefault="00BD3831"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25</w:t>
            </w:r>
          </w:p>
        </w:tc>
      </w:tr>
    </w:tbl>
    <w:p w14:paraId="449F12CA" w14:textId="77777777" w:rsidR="00BD3831" w:rsidRPr="00FE3908" w:rsidRDefault="00BD3831"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25A0AAB9" w14:textId="77777777" w:rsidR="00BD3831" w:rsidRDefault="00BD3831"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D3831" w:rsidRPr="00211D55" w14:paraId="5519B4FA" w14:textId="77777777" w:rsidTr="00DF6715">
        <w:trPr>
          <w:trHeight w:val="825"/>
        </w:trPr>
        <w:tc>
          <w:tcPr>
            <w:tcW w:w="2753" w:type="pct"/>
            <w:gridSpan w:val="2"/>
            <w:shd w:val="clear" w:color="auto" w:fill="C6D9F1"/>
            <w:noWrap/>
            <w:tcMar>
              <w:top w:w="15" w:type="dxa"/>
              <w:left w:w="15" w:type="dxa"/>
              <w:bottom w:w="0" w:type="dxa"/>
              <w:right w:w="15" w:type="dxa"/>
            </w:tcMar>
            <w:vAlign w:val="center"/>
            <w:hideMark/>
          </w:tcPr>
          <w:p w14:paraId="1FC23ECB"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79EFC570"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7E7655C4" w14:textId="77777777" w:rsidR="00BD3831" w:rsidRPr="00A2672B" w:rsidRDefault="00BD3831"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1CC5389E"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D3831" w:rsidRPr="00211D55" w14:paraId="6DB50E16" w14:textId="77777777" w:rsidTr="00DF6715">
        <w:trPr>
          <w:trHeight w:val="55"/>
        </w:trPr>
        <w:tc>
          <w:tcPr>
            <w:tcW w:w="413" w:type="pct"/>
            <w:shd w:val="clear" w:color="auto" w:fill="auto"/>
            <w:noWrap/>
            <w:tcMar>
              <w:top w:w="15" w:type="dxa"/>
              <w:left w:w="15" w:type="dxa"/>
              <w:bottom w:w="0" w:type="dxa"/>
              <w:right w:w="15" w:type="dxa"/>
            </w:tcMar>
          </w:tcPr>
          <w:p w14:paraId="5640C1C5" w14:textId="77777777" w:rsidR="00BD3831" w:rsidRPr="0073215E" w:rsidRDefault="00BD3831" w:rsidP="0031289D">
            <w:pPr>
              <w:bidi/>
              <w:spacing w:before="120" w:after="120"/>
              <w:rPr>
                <w:rFonts w:ascii="Arabic Typesetting" w:hAnsi="Arabic Typesetting" w:cs="Arabic Typesetting"/>
                <w:sz w:val="28"/>
                <w:szCs w:val="28"/>
              </w:rPr>
            </w:pPr>
            <w:r w:rsidRPr="0073215E">
              <w:rPr>
                <w:rFonts w:ascii="Arabic Typesetting" w:hAnsi="Arabic Typesetting" w:cs="Arabic Typesetting"/>
                <w:sz w:val="28"/>
                <w:szCs w:val="28"/>
                <w:rtl/>
              </w:rPr>
              <w:t>ه1.9</w:t>
            </w:r>
          </w:p>
        </w:tc>
        <w:tc>
          <w:tcPr>
            <w:tcW w:w="2340" w:type="pct"/>
            <w:shd w:val="clear" w:color="auto" w:fill="auto"/>
            <w:tcMar>
              <w:top w:w="15" w:type="dxa"/>
              <w:left w:w="15" w:type="dxa"/>
              <w:bottom w:w="0" w:type="dxa"/>
              <w:right w:w="15" w:type="dxa"/>
            </w:tcMar>
          </w:tcPr>
          <w:p w14:paraId="0D569270" w14:textId="77777777" w:rsidR="00BD3831" w:rsidRPr="0073215E" w:rsidRDefault="00BD3831" w:rsidP="0031289D">
            <w:pPr>
              <w:bidi/>
              <w:spacing w:before="120" w:after="120"/>
              <w:rPr>
                <w:rFonts w:ascii="Arabic Typesetting" w:hAnsi="Arabic Typesetting" w:cs="Arabic Typesetting"/>
                <w:sz w:val="28"/>
                <w:szCs w:val="28"/>
              </w:rPr>
            </w:pPr>
            <w:r w:rsidRPr="0073215E">
              <w:rPr>
                <w:rFonts w:ascii="Arabic Typesetting" w:hAnsi="Arabic Typesetting" w:cs="Arabic Typesetting"/>
                <w:sz w:val="28"/>
                <w:szCs w:val="28"/>
                <w:rtl/>
              </w:rPr>
              <w:t>خدمات دعم موجهة للزبون بفعالية وكفاءة وجودة لفائدة الزبائن الداخليين وأصحاب المصلحة الخارجيين</w:t>
            </w:r>
          </w:p>
        </w:tc>
        <w:tc>
          <w:tcPr>
            <w:tcW w:w="749" w:type="pct"/>
            <w:shd w:val="clear" w:color="auto" w:fill="auto"/>
            <w:tcMar>
              <w:top w:w="15" w:type="dxa"/>
              <w:left w:w="15" w:type="dxa"/>
              <w:bottom w:w="0" w:type="dxa"/>
              <w:right w:w="15" w:type="dxa"/>
            </w:tcMar>
            <w:vAlign w:val="center"/>
          </w:tcPr>
          <w:p w14:paraId="4D3C8D6E"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51</w:t>
            </w:r>
            <w:r>
              <w:rPr>
                <w:rFonts w:ascii="Arabic Typesetting" w:hAnsi="Arabic Typesetting" w:cs="Arabic Typesetting"/>
                <w:color w:val="000000"/>
                <w:sz w:val="28"/>
                <w:szCs w:val="28"/>
              </w:rPr>
              <w:t> </w:t>
            </w:r>
            <w:r w:rsidRPr="0073215E">
              <w:rPr>
                <w:rFonts w:ascii="Arabic Typesetting" w:hAnsi="Arabic Typesetting" w:cs="Arabic Typesetting"/>
                <w:color w:val="000000"/>
                <w:sz w:val="28"/>
                <w:szCs w:val="28"/>
              </w:rPr>
              <w:t>480</w:t>
            </w:r>
          </w:p>
        </w:tc>
        <w:tc>
          <w:tcPr>
            <w:tcW w:w="749" w:type="pct"/>
            <w:shd w:val="clear" w:color="auto" w:fill="auto"/>
            <w:tcMar>
              <w:top w:w="15" w:type="dxa"/>
              <w:left w:w="15" w:type="dxa"/>
              <w:bottom w:w="0" w:type="dxa"/>
              <w:right w:w="15" w:type="dxa"/>
            </w:tcMar>
            <w:vAlign w:val="center"/>
          </w:tcPr>
          <w:p w14:paraId="270A9E63"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48</w:t>
            </w:r>
            <w:r>
              <w:rPr>
                <w:rFonts w:ascii="Arabic Typesetting" w:hAnsi="Arabic Typesetting" w:cs="Arabic Typesetting"/>
                <w:color w:val="000000"/>
                <w:sz w:val="28"/>
                <w:szCs w:val="28"/>
              </w:rPr>
              <w:t> </w:t>
            </w:r>
            <w:r w:rsidRPr="0073215E">
              <w:rPr>
                <w:rFonts w:ascii="Arabic Typesetting" w:hAnsi="Arabic Typesetting" w:cs="Arabic Typesetting"/>
                <w:color w:val="000000"/>
                <w:sz w:val="28"/>
                <w:szCs w:val="28"/>
              </w:rPr>
              <w:t>326</w:t>
            </w:r>
          </w:p>
        </w:tc>
        <w:tc>
          <w:tcPr>
            <w:tcW w:w="749" w:type="pct"/>
            <w:shd w:val="clear" w:color="auto" w:fill="auto"/>
            <w:noWrap/>
            <w:tcMar>
              <w:top w:w="15" w:type="dxa"/>
              <w:left w:w="15" w:type="dxa"/>
              <w:bottom w:w="0" w:type="dxa"/>
              <w:right w:w="15" w:type="dxa"/>
            </w:tcMar>
            <w:vAlign w:val="center"/>
          </w:tcPr>
          <w:p w14:paraId="5D6B053E"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21</w:t>
            </w:r>
            <w:r>
              <w:rPr>
                <w:rFonts w:ascii="Arabic Typesetting" w:hAnsi="Arabic Typesetting" w:cs="Arabic Typesetting"/>
                <w:color w:val="000000"/>
                <w:sz w:val="28"/>
                <w:szCs w:val="28"/>
              </w:rPr>
              <w:t> </w:t>
            </w:r>
            <w:r w:rsidRPr="0073215E">
              <w:rPr>
                <w:rFonts w:ascii="Arabic Typesetting" w:hAnsi="Arabic Typesetting" w:cs="Arabic Typesetting"/>
                <w:color w:val="000000"/>
                <w:sz w:val="28"/>
                <w:szCs w:val="28"/>
              </w:rPr>
              <w:t>629</w:t>
            </w:r>
          </w:p>
        </w:tc>
      </w:tr>
      <w:tr w:rsidR="00BD3831" w:rsidRPr="00211D55" w14:paraId="27EB414D" w14:textId="77777777" w:rsidTr="00DF6715">
        <w:trPr>
          <w:trHeight w:val="55"/>
        </w:trPr>
        <w:tc>
          <w:tcPr>
            <w:tcW w:w="413" w:type="pct"/>
            <w:shd w:val="clear" w:color="auto" w:fill="auto"/>
            <w:noWrap/>
            <w:tcMar>
              <w:top w:w="15" w:type="dxa"/>
              <w:left w:w="15" w:type="dxa"/>
              <w:bottom w:w="0" w:type="dxa"/>
              <w:right w:w="15" w:type="dxa"/>
            </w:tcMar>
          </w:tcPr>
          <w:p w14:paraId="55EA57C7" w14:textId="77777777" w:rsidR="00BD3831" w:rsidRPr="0073215E" w:rsidRDefault="00BD3831" w:rsidP="0031289D">
            <w:pPr>
              <w:bidi/>
              <w:spacing w:before="120" w:after="120"/>
              <w:rPr>
                <w:rFonts w:ascii="Arabic Typesetting" w:hAnsi="Arabic Typesetting" w:cs="Arabic Typesetting"/>
                <w:sz w:val="28"/>
                <w:szCs w:val="28"/>
              </w:rPr>
            </w:pPr>
            <w:r w:rsidRPr="0073215E">
              <w:rPr>
                <w:rFonts w:ascii="Arabic Typesetting" w:hAnsi="Arabic Typesetting" w:cs="Arabic Typesetting"/>
                <w:sz w:val="28"/>
                <w:szCs w:val="28"/>
                <w:rtl/>
              </w:rPr>
              <w:t>ه4.9</w:t>
            </w:r>
          </w:p>
        </w:tc>
        <w:tc>
          <w:tcPr>
            <w:tcW w:w="2340" w:type="pct"/>
            <w:shd w:val="clear" w:color="auto" w:fill="auto"/>
            <w:tcMar>
              <w:top w:w="15" w:type="dxa"/>
              <w:left w:w="15" w:type="dxa"/>
              <w:bottom w:w="0" w:type="dxa"/>
              <w:right w:w="15" w:type="dxa"/>
            </w:tcMar>
          </w:tcPr>
          <w:p w14:paraId="1A365BD1" w14:textId="77777777" w:rsidR="00BD3831" w:rsidRPr="0073215E" w:rsidRDefault="00BD3831" w:rsidP="0031289D">
            <w:pPr>
              <w:bidi/>
              <w:spacing w:before="120" w:after="120"/>
              <w:rPr>
                <w:rFonts w:ascii="Arabic Typesetting" w:hAnsi="Arabic Typesetting" w:cs="Arabic Typesetting"/>
                <w:sz w:val="28"/>
                <w:szCs w:val="28"/>
              </w:rPr>
            </w:pPr>
            <w:r w:rsidRPr="0073215E">
              <w:rPr>
                <w:rFonts w:ascii="Arabic Typesetting" w:hAnsi="Arabic Typesetting" w:cs="Arabic Typesetting"/>
                <w:sz w:val="28"/>
                <w:szCs w:val="28"/>
                <w:rtl/>
              </w:rPr>
              <w:t>منظمة ذات مسؤولية بيئية واجتماعية تكفل السلامة والأمن للموظفين في الويبو والمندوبين والزائرين والممتلكات المادية والمعلومات</w:t>
            </w:r>
          </w:p>
        </w:tc>
        <w:tc>
          <w:tcPr>
            <w:tcW w:w="749" w:type="pct"/>
            <w:shd w:val="clear" w:color="auto" w:fill="auto"/>
            <w:tcMar>
              <w:top w:w="15" w:type="dxa"/>
              <w:left w:w="15" w:type="dxa"/>
              <w:bottom w:w="0" w:type="dxa"/>
              <w:right w:w="15" w:type="dxa"/>
            </w:tcMar>
            <w:vAlign w:val="center"/>
          </w:tcPr>
          <w:p w14:paraId="326D1155"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552</w:t>
            </w:r>
          </w:p>
        </w:tc>
        <w:tc>
          <w:tcPr>
            <w:tcW w:w="749" w:type="pct"/>
            <w:shd w:val="clear" w:color="auto" w:fill="auto"/>
            <w:tcMar>
              <w:top w:w="15" w:type="dxa"/>
              <w:left w:w="15" w:type="dxa"/>
              <w:bottom w:w="0" w:type="dxa"/>
              <w:right w:w="15" w:type="dxa"/>
            </w:tcMar>
            <w:vAlign w:val="center"/>
          </w:tcPr>
          <w:p w14:paraId="1D3EAA65"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486</w:t>
            </w:r>
          </w:p>
        </w:tc>
        <w:tc>
          <w:tcPr>
            <w:tcW w:w="749" w:type="pct"/>
            <w:shd w:val="clear" w:color="auto" w:fill="auto"/>
            <w:noWrap/>
            <w:tcMar>
              <w:top w:w="15" w:type="dxa"/>
              <w:left w:w="15" w:type="dxa"/>
              <w:bottom w:w="0" w:type="dxa"/>
              <w:right w:w="15" w:type="dxa"/>
            </w:tcMar>
            <w:vAlign w:val="center"/>
          </w:tcPr>
          <w:p w14:paraId="081BA73B"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240</w:t>
            </w:r>
          </w:p>
        </w:tc>
      </w:tr>
      <w:tr w:rsidR="00BD3831" w:rsidRPr="00211D55" w14:paraId="6FF7B379" w14:textId="77777777" w:rsidTr="00DF6715">
        <w:trPr>
          <w:trHeight w:val="225"/>
        </w:trPr>
        <w:tc>
          <w:tcPr>
            <w:tcW w:w="413" w:type="pct"/>
            <w:shd w:val="clear" w:color="auto" w:fill="C6D9F1"/>
            <w:noWrap/>
            <w:tcMar>
              <w:top w:w="15" w:type="dxa"/>
              <w:left w:w="15" w:type="dxa"/>
              <w:bottom w:w="0" w:type="dxa"/>
              <w:right w:w="15" w:type="dxa"/>
            </w:tcMar>
            <w:vAlign w:val="bottom"/>
            <w:hideMark/>
          </w:tcPr>
          <w:p w14:paraId="0734E9AA" w14:textId="77777777" w:rsidR="00BD3831" w:rsidRPr="00211D55" w:rsidRDefault="00BD3831"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13F4C533" w14:textId="77777777" w:rsidR="00BD3831" w:rsidRPr="00D41845" w:rsidRDefault="00BD3831" w:rsidP="0031289D">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303DEFF9" w14:textId="77777777" w:rsidR="00BD3831" w:rsidRPr="0073215E" w:rsidRDefault="00BD3831" w:rsidP="0031289D">
            <w:pPr>
              <w:jc w:val="center"/>
              <w:rPr>
                <w:rFonts w:ascii="Arabic Typesetting" w:hAnsi="Arabic Typesetting" w:cs="Arabic Typesetting"/>
                <w:b/>
                <w:color w:val="000000"/>
                <w:sz w:val="28"/>
                <w:szCs w:val="28"/>
              </w:rPr>
            </w:pPr>
            <w:r w:rsidRPr="0073215E">
              <w:rPr>
                <w:rFonts w:ascii="Arabic Typesetting" w:hAnsi="Arabic Typesetting" w:cs="Arabic Typesetting"/>
                <w:b/>
                <w:color w:val="000000"/>
                <w:sz w:val="28"/>
                <w:szCs w:val="28"/>
              </w:rPr>
              <w:t>52</w:t>
            </w:r>
            <w:r>
              <w:rPr>
                <w:rFonts w:ascii="Arabic Typesetting" w:hAnsi="Arabic Typesetting" w:cs="Arabic Typesetting"/>
                <w:b/>
                <w:color w:val="000000"/>
                <w:sz w:val="28"/>
                <w:szCs w:val="28"/>
              </w:rPr>
              <w:t> </w:t>
            </w:r>
            <w:r w:rsidRPr="0073215E">
              <w:rPr>
                <w:rFonts w:ascii="Arabic Typesetting" w:hAnsi="Arabic Typesetting" w:cs="Arabic Typesetting"/>
                <w:b/>
                <w:color w:val="000000"/>
                <w:sz w:val="28"/>
                <w:szCs w:val="28"/>
              </w:rPr>
              <w:t>032</w:t>
            </w:r>
          </w:p>
        </w:tc>
        <w:tc>
          <w:tcPr>
            <w:tcW w:w="749" w:type="pct"/>
            <w:shd w:val="clear" w:color="auto" w:fill="C6D9F1"/>
            <w:noWrap/>
            <w:tcMar>
              <w:top w:w="15" w:type="dxa"/>
              <w:left w:w="15" w:type="dxa"/>
              <w:bottom w:w="0" w:type="dxa"/>
              <w:right w:w="15" w:type="dxa"/>
            </w:tcMar>
            <w:vAlign w:val="center"/>
          </w:tcPr>
          <w:p w14:paraId="532BF102" w14:textId="77777777" w:rsidR="00BD3831" w:rsidRPr="0073215E" w:rsidRDefault="00BD3831" w:rsidP="0031289D">
            <w:pPr>
              <w:jc w:val="center"/>
              <w:rPr>
                <w:rFonts w:ascii="Arabic Typesetting" w:hAnsi="Arabic Typesetting" w:cs="Arabic Typesetting"/>
                <w:b/>
                <w:color w:val="000000"/>
                <w:sz w:val="28"/>
                <w:szCs w:val="28"/>
              </w:rPr>
            </w:pPr>
            <w:r w:rsidRPr="0073215E">
              <w:rPr>
                <w:rFonts w:ascii="Arabic Typesetting" w:hAnsi="Arabic Typesetting" w:cs="Arabic Typesetting"/>
                <w:b/>
                <w:color w:val="000000"/>
                <w:sz w:val="28"/>
                <w:szCs w:val="28"/>
              </w:rPr>
              <w:t>48</w:t>
            </w:r>
            <w:r>
              <w:rPr>
                <w:rFonts w:ascii="Arabic Typesetting" w:hAnsi="Arabic Typesetting" w:cs="Arabic Typesetting"/>
                <w:b/>
                <w:color w:val="000000"/>
                <w:sz w:val="28"/>
                <w:szCs w:val="28"/>
              </w:rPr>
              <w:t> </w:t>
            </w:r>
            <w:r w:rsidRPr="0073215E">
              <w:rPr>
                <w:rFonts w:ascii="Arabic Typesetting" w:hAnsi="Arabic Typesetting" w:cs="Arabic Typesetting"/>
                <w:b/>
                <w:color w:val="000000"/>
                <w:sz w:val="28"/>
                <w:szCs w:val="28"/>
              </w:rPr>
              <w:t>812</w:t>
            </w:r>
          </w:p>
        </w:tc>
        <w:tc>
          <w:tcPr>
            <w:tcW w:w="749" w:type="pct"/>
            <w:shd w:val="clear" w:color="auto" w:fill="C6D9F1"/>
            <w:noWrap/>
            <w:tcMar>
              <w:top w:w="15" w:type="dxa"/>
              <w:left w:w="15" w:type="dxa"/>
              <w:bottom w:w="0" w:type="dxa"/>
              <w:right w:w="15" w:type="dxa"/>
            </w:tcMar>
            <w:vAlign w:val="center"/>
          </w:tcPr>
          <w:p w14:paraId="57C9B37D" w14:textId="77777777" w:rsidR="00BD3831" w:rsidRPr="0073215E" w:rsidRDefault="00BD3831" w:rsidP="0031289D">
            <w:pPr>
              <w:jc w:val="center"/>
              <w:rPr>
                <w:rFonts w:ascii="Arabic Typesetting" w:hAnsi="Arabic Typesetting" w:cs="Arabic Typesetting"/>
                <w:b/>
                <w:color w:val="000000"/>
                <w:sz w:val="28"/>
                <w:szCs w:val="28"/>
              </w:rPr>
            </w:pPr>
            <w:r w:rsidRPr="0073215E">
              <w:rPr>
                <w:rFonts w:ascii="Arabic Typesetting" w:hAnsi="Arabic Typesetting" w:cs="Arabic Typesetting"/>
                <w:b/>
                <w:color w:val="000000"/>
                <w:sz w:val="28"/>
                <w:szCs w:val="28"/>
              </w:rPr>
              <w:t>21</w:t>
            </w:r>
            <w:r>
              <w:rPr>
                <w:rFonts w:ascii="Arabic Typesetting" w:hAnsi="Arabic Typesetting" w:cs="Arabic Typesetting"/>
                <w:b/>
                <w:color w:val="000000"/>
                <w:sz w:val="28"/>
                <w:szCs w:val="28"/>
              </w:rPr>
              <w:t> </w:t>
            </w:r>
            <w:r w:rsidRPr="0073215E">
              <w:rPr>
                <w:rFonts w:ascii="Arabic Typesetting" w:hAnsi="Arabic Typesetting" w:cs="Arabic Typesetting"/>
                <w:b/>
                <w:color w:val="000000"/>
                <w:sz w:val="28"/>
                <w:szCs w:val="28"/>
              </w:rPr>
              <w:t>869</w:t>
            </w:r>
          </w:p>
        </w:tc>
      </w:tr>
      <w:tr w:rsidR="00BD3831" w:rsidRPr="00211D55" w14:paraId="6A9DB53A" w14:textId="77777777" w:rsidTr="00DF6715">
        <w:trPr>
          <w:trHeight w:val="225"/>
        </w:trPr>
        <w:tc>
          <w:tcPr>
            <w:tcW w:w="5000" w:type="pct"/>
            <w:gridSpan w:val="5"/>
            <w:shd w:val="clear" w:color="auto" w:fill="auto"/>
            <w:noWrap/>
            <w:tcMar>
              <w:top w:w="15" w:type="dxa"/>
              <w:left w:w="15" w:type="dxa"/>
              <w:bottom w:w="0" w:type="dxa"/>
              <w:right w:w="15" w:type="dxa"/>
            </w:tcMar>
            <w:vAlign w:val="bottom"/>
          </w:tcPr>
          <w:p w14:paraId="0CAD2CD6" w14:textId="77777777" w:rsidR="00BD3831" w:rsidRPr="00A2672B" w:rsidRDefault="00BD3831"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3F3E67B5" w14:textId="77777777" w:rsidR="00BD3831" w:rsidRPr="00252762" w:rsidRDefault="00BD3831"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581D6B56" w14:textId="77777777" w:rsidR="00BD3831" w:rsidRPr="00DF1D8A" w:rsidRDefault="00BD3831"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BD3831" w:rsidRPr="00211D55" w14:paraId="576FB17D" w14:textId="77777777" w:rsidTr="00DF6715">
        <w:trPr>
          <w:trHeight w:val="645"/>
        </w:trPr>
        <w:tc>
          <w:tcPr>
            <w:tcW w:w="1118" w:type="pct"/>
            <w:shd w:val="clear" w:color="auto" w:fill="C6D9F1"/>
            <w:noWrap/>
            <w:vAlign w:val="center"/>
            <w:hideMark/>
          </w:tcPr>
          <w:p w14:paraId="7BABA13F" w14:textId="77777777" w:rsidR="00BD3831" w:rsidRPr="00211D55" w:rsidRDefault="00BD3831"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0255FA62" w14:textId="77777777" w:rsidR="00BD3831" w:rsidRPr="00211D55" w:rsidRDefault="00BD3831"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377324E5" w14:textId="77777777" w:rsidR="00BD3831" w:rsidRPr="00211D55" w:rsidRDefault="00BD3831"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575B2DE0" w14:textId="77777777" w:rsidR="00BD3831" w:rsidRPr="00211D55" w:rsidRDefault="00BD3831"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5FFBBC32" w14:textId="77777777" w:rsidR="00BD3831" w:rsidRPr="00211D55" w:rsidRDefault="00BD3831"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D3831" w:rsidRPr="00211D55" w14:paraId="79634858" w14:textId="77777777" w:rsidTr="00DF6715">
        <w:trPr>
          <w:trHeight w:val="70"/>
        </w:trPr>
        <w:tc>
          <w:tcPr>
            <w:tcW w:w="1118" w:type="pct"/>
            <w:shd w:val="clear" w:color="auto" w:fill="auto"/>
            <w:noWrap/>
            <w:vAlign w:val="center"/>
            <w:hideMark/>
          </w:tcPr>
          <w:p w14:paraId="72F8F4C1" w14:textId="77777777" w:rsidR="00BD3831" w:rsidRPr="00211D55" w:rsidRDefault="00BD3831"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53D282FA"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14</w:t>
            </w:r>
            <w:r>
              <w:rPr>
                <w:rFonts w:ascii="Arabic Typesetting" w:hAnsi="Arabic Typesetting" w:cs="Arabic Typesetting"/>
                <w:color w:val="000000"/>
                <w:sz w:val="28"/>
                <w:szCs w:val="28"/>
              </w:rPr>
              <w:t> </w:t>
            </w:r>
            <w:r w:rsidRPr="0073215E">
              <w:rPr>
                <w:rFonts w:ascii="Arabic Typesetting" w:hAnsi="Arabic Typesetting" w:cs="Arabic Typesetting"/>
                <w:color w:val="000000"/>
                <w:sz w:val="28"/>
                <w:szCs w:val="28"/>
              </w:rPr>
              <w:t xml:space="preserve">178 </w:t>
            </w:r>
          </w:p>
        </w:tc>
        <w:tc>
          <w:tcPr>
            <w:tcW w:w="971" w:type="pct"/>
            <w:shd w:val="clear" w:color="auto" w:fill="auto"/>
            <w:vAlign w:val="center"/>
          </w:tcPr>
          <w:p w14:paraId="4DF79C31"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13</w:t>
            </w:r>
            <w:r>
              <w:rPr>
                <w:rFonts w:ascii="Arabic Typesetting" w:hAnsi="Arabic Typesetting" w:cs="Arabic Typesetting"/>
                <w:color w:val="000000"/>
                <w:sz w:val="28"/>
                <w:szCs w:val="28"/>
              </w:rPr>
              <w:t> </w:t>
            </w:r>
            <w:r w:rsidRPr="0073215E">
              <w:rPr>
                <w:rFonts w:ascii="Arabic Typesetting" w:hAnsi="Arabic Typesetting" w:cs="Arabic Typesetting"/>
                <w:color w:val="000000"/>
                <w:sz w:val="28"/>
                <w:szCs w:val="28"/>
              </w:rPr>
              <w:t xml:space="preserve">289 </w:t>
            </w:r>
          </w:p>
        </w:tc>
        <w:tc>
          <w:tcPr>
            <w:tcW w:w="970" w:type="pct"/>
            <w:shd w:val="clear" w:color="auto" w:fill="auto"/>
            <w:vAlign w:val="center"/>
          </w:tcPr>
          <w:p w14:paraId="2F2FE8CE"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6</w:t>
            </w:r>
            <w:r>
              <w:rPr>
                <w:rFonts w:ascii="Arabic Typesetting" w:hAnsi="Arabic Typesetting" w:cs="Arabic Typesetting"/>
                <w:color w:val="000000"/>
                <w:sz w:val="28"/>
                <w:szCs w:val="28"/>
              </w:rPr>
              <w:t> </w:t>
            </w:r>
            <w:r w:rsidRPr="0073215E">
              <w:rPr>
                <w:rFonts w:ascii="Arabic Typesetting" w:hAnsi="Arabic Typesetting" w:cs="Arabic Typesetting"/>
                <w:color w:val="000000"/>
                <w:sz w:val="28"/>
                <w:szCs w:val="28"/>
              </w:rPr>
              <w:t xml:space="preserve">503 </w:t>
            </w:r>
          </w:p>
        </w:tc>
        <w:tc>
          <w:tcPr>
            <w:tcW w:w="970" w:type="pct"/>
            <w:shd w:val="clear" w:color="auto" w:fill="auto"/>
            <w:vAlign w:val="center"/>
          </w:tcPr>
          <w:p w14:paraId="5C02FAFB" w14:textId="77777777" w:rsidR="00BD3831" w:rsidRPr="0073215E" w:rsidRDefault="00BD3831"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%49</w:t>
            </w:r>
          </w:p>
        </w:tc>
      </w:tr>
      <w:tr w:rsidR="00BD3831" w:rsidRPr="00211D55" w14:paraId="202A7004" w14:textId="77777777" w:rsidTr="00DF6715">
        <w:trPr>
          <w:trHeight w:val="70"/>
        </w:trPr>
        <w:tc>
          <w:tcPr>
            <w:tcW w:w="1118" w:type="pct"/>
            <w:shd w:val="clear" w:color="auto" w:fill="auto"/>
            <w:noWrap/>
            <w:vAlign w:val="center"/>
            <w:hideMark/>
          </w:tcPr>
          <w:p w14:paraId="70DB5E03" w14:textId="77777777" w:rsidR="00BD3831" w:rsidRPr="00211D55" w:rsidRDefault="00BD3831"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2AB297A5"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37</w:t>
            </w:r>
            <w:r>
              <w:rPr>
                <w:rFonts w:ascii="Arabic Typesetting" w:hAnsi="Arabic Typesetting" w:cs="Arabic Typesetting"/>
                <w:color w:val="000000"/>
                <w:sz w:val="28"/>
                <w:szCs w:val="28"/>
              </w:rPr>
              <w:t> </w:t>
            </w:r>
            <w:r w:rsidRPr="0073215E">
              <w:rPr>
                <w:rFonts w:ascii="Arabic Typesetting" w:hAnsi="Arabic Typesetting" w:cs="Arabic Typesetting"/>
                <w:color w:val="000000"/>
                <w:sz w:val="28"/>
                <w:szCs w:val="28"/>
              </w:rPr>
              <w:t xml:space="preserve">853 </w:t>
            </w:r>
          </w:p>
        </w:tc>
        <w:tc>
          <w:tcPr>
            <w:tcW w:w="971" w:type="pct"/>
            <w:shd w:val="clear" w:color="auto" w:fill="auto"/>
            <w:vAlign w:val="center"/>
          </w:tcPr>
          <w:p w14:paraId="207066D7"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35</w:t>
            </w:r>
            <w:r>
              <w:rPr>
                <w:rFonts w:ascii="Arabic Typesetting" w:hAnsi="Arabic Typesetting" w:cs="Arabic Typesetting"/>
                <w:color w:val="000000"/>
                <w:sz w:val="28"/>
                <w:szCs w:val="28"/>
              </w:rPr>
              <w:t> </w:t>
            </w:r>
            <w:r w:rsidRPr="0073215E">
              <w:rPr>
                <w:rFonts w:ascii="Arabic Typesetting" w:hAnsi="Arabic Typesetting" w:cs="Arabic Typesetting"/>
                <w:color w:val="000000"/>
                <w:sz w:val="28"/>
                <w:szCs w:val="28"/>
              </w:rPr>
              <w:t xml:space="preserve">523 </w:t>
            </w:r>
          </w:p>
        </w:tc>
        <w:tc>
          <w:tcPr>
            <w:tcW w:w="970" w:type="pct"/>
            <w:shd w:val="clear" w:color="auto" w:fill="auto"/>
            <w:vAlign w:val="center"/>
          </w:tcPr>
          <w:p w14:paraId="13260E0A" w14:textId="77777777" w:rsidR="00BD3831" w:rsidRPr="0073215E" w:rsidRDefault="00BD3831" w:rsidP="0031289D">
            <w:pPr>
              <w:jc w:val="center"/>
              <w:rPr>
                <w:rFonts w:ascii="Arabic Typesetting" w:hAnsi="Arabic Typesetting" w:cs="Arabic Typesetting"/>
                <w:color w:val="000000"/>
                <w:sz w:val="28"/>
                <w:szCs w:val="28"/>
              </w:rPr>
            </w:pPr>
            <w:r w:rsidRPr="0073215E">
              <w:rPr>
                <w:rFonts w:ascii="Arabic Typesetting" w:hAnsi="Arabic Typesetting" w:cs="Arabic Typesetting"/>
                <w:color w:val="000000"/>
                <w:sz w:val="28"/>
                <w:szCs w:val="28"/>
              </w:rPr>
              <w:t>15</w:t>
            </w:r>
            <w:r>
              <w:rPr>
                <w:rFonts w:ascii="Arabic Typesetting" w:hAnsi="Arabic Typesetting" w:cs="Arabic Typesetting"/>
                <w:color w:val="000000"/>
                <w:sz w:val="28"/>
                <w:szCs w:val="28"/>
              </w:rPr>
              <w:t> </w:t>
            </w:r>
            <w:r w:rsidRPr="0073215E">
              <w:rPr>
                <w:rFonts w:ascii="Arabic Typesetting" w:hAnsi="Arabic Typesetting" w:cs="Arabic Typesetting"/>
                <w:color w:val="000000"/>
                <w:sz w:val="28"/>
                <w:szCs w:val="28"/>
              </w:rPr>
              <w:t xml:space="preserve">366 </w:t>
            </w:r>
          </w:p>
        </w:tc>
        <w:tc>
          <w:tcPr>
            <w:tcW w:w="970" w:type="pct"/>
            <w:shd w:val="clear" w:color="auto" w:fill="auto"/>
            <w:vAlign w:val="center"/>
          </w:tcPr>
          <w:p w14:paraId="35F5577F" w14:textId="77777777" w:rsidR="00BD3831" w:rsidRPr="0073215E" w:rsidRDefault="00BD3831"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%43</w:t>
            </w:r>
          </w:p>
        </w:tc>
      </w:tr>
      <w:tr w:rsidR="00BD3831" w:rsidRPr="00211D55" w14:paraId="4E6081F0" w14:textId="77777777" w:rsidTr="008E6403">
        <w:trPr>
          <w:trHeight w:val="70"/>
        </w:trPr>
        <w:tc>
          <w:tcPr>
            <w:tcW w:w="1118" w:type="pct"/>
            <w:shd w:val="clear" w:color="auto" w:fill="C6D9F1"/>
            <w:noWrap/>
            <w:vAlign w:val="center"/>
            <w:hideMark/>
          </w:tcPr>
          <w:p w14:paraId="17180ADE" w14:textId="77777777" w:rsidR="00BD3831" w:rsidRPr="00211D55" w:rsidRDefault="00BD3831"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1065B015" w14:textId="77777777" w:rsidR="00BD3831" w:rsidRPr="0073215E" w:rsidRDefault="00BD3831" w:rsidP="0031289D">
            <w:pPr>
              <w:jc w:val="center"/>
              <w:rPr>
                <w:rFonts w:ascii="Arabic Typesetting" w:hAnsi="Arabic Typesetting" w:cs="Arabic Typesetting"/>
                <w:b/>
                <w:bCs/>
                <w:color w:val="000000"/>
                <w:sz w:val="28"/>
                <w:szCs w:val="28"/>
              </w:rPr>
            </w:pPr>
            <w:r w:rsidRPr="0073215E">
              <w:rPr>
                <w:rFonts w:ascii="Arabic Typesetting" w:hAnsi="Arabic Typesetting" w:cs="Arabic Typesetting"/>
                <w:b/>
                <w:bCs/>
                <w:color w:val="000000"/>
                <w:sz w:val="28"/>
                <w:szCs w:val="28"/>
              </w:rPr>
              <w:t>52</w:t>
            </w:r>
            <w:r>
              <w:rPr>
                <w:rFonts w:ascii="Arabic Typesetting" w:hAnsi="Arabic Typesetting" w:cs="Arabic Typesetting"/>
                <w:b/>
                <w:bCs/>
                <w:color w:val="000000"/>
                <w:sz w:val="28"/>
                <w:szCs w:val="28"/>
              </w:rPr>
              <w:t> </w:t>
            </w:r>
            <w:r w:rsidRPr="0073215E">
              <w:rPr>
                <w:rFonts w:ascii="Arabic Typesetting" w:hAnsi="Arabic Typesetting" w:cs="Arabic Typesetting"/>
                <w:b/>
                <w:bCs/>
                <w:color w:val="000000"/>
                <w:sz w:val="28"/>
                <w:szCs w:val="28"/>
              </w:rPr>
              <w:t xml:space="preserve">032 </w:t>
            </w:r>
          </w:p>
        </w:tc>
        <w:tc>
          <w:tcPr>
            <w:tcW w:w="971" w:type="pct"/>
            <w:shd w:val="clear" w:color="auto" w:fill="C6D9F1"/>
            <w:vAlign w:val="center"/>
          </w:tcPr>
          <w:p w14:paraId="2820C968" w14:textId="77777777" w:rsidR="00BD3831" w:rsidRPr="0073215E" w:rsidRDefault="00BD3831" w:rsidP="0031289D">
            <w:pPr>
              <w:jc w:val="center"/>
              <w:rPr>
                <w:rFonts w:ascii="Arabic Typesetting" w:hAnsi="Arabic Typesetting" w:cs="Arabic Typesetting"/>
                <w:b/>
                <w:bCs/>
                <w:color w:val="000000"/>
                <w:sz w:val="28"/>
                <w:szCs w:val="28"/>
              </w:rPr>
            </w:pPr>
            <w:r w:rsidRPr="0073215E">
              <w:rPr>
                <w:rFonts w:ascii="Arabic Typesetting" w:hAnsi="Arabic Typesetting" w:cs="Arabic Typesetting"/>
                <w:b/>
                <w:bCs/>
                <w:color w:val="000000"/>
                <w:sz w:val="28"/>
                <w:szCs w:val="28"/>
              </w:rPr>
              <w:t>48</w:t>
            </w:r>
            <w:r>
              <w:rPr>
                <w:rFonts w:ascii="Arabic Typesetting" w:hAnsi="Arabic Typesetting" w:cs="Arabic Typesetting"/>
                <w:b/>
                <w:bCs/>
                <w:color w:val="000000"/>
                <w:sz w:val="28"/>
                <w:szCs w:val="28"/>
              </w:rPr>
              <w:t> </w:t>
            </w:r>
            <w:r w:rsidRPr="0073215E">
              <w:rPr>
                <w:rFonts w:ascii="Arabic Typesetting" w:hAnsi="Arabic Typesetting" w:cs="Arabic Typesetting"/>
                <w:b/>
                <w:bCs/>
                <w:color w:val="000000"/>
                <w:sz w:val="28"/>
                <w:szCs w:val="28"/>
              </w:rPr>
              <w:t xml:space="preserve">812 </w:t>
            </w:r>
          </w:p>
        </w:tc>
        <w:tc>
          <w:tcPr>
            <w:tcW w:w="970" w:type="pct"/>
            <w:shd w:val="clear" w:color="auto" w:fill="C6D9F1"/>
            <w:vAlign w:val="center"/>
          </w:tcPr>
          <w:p w14:paraId="0CDB61F7" w14:textId="77777777" w:rsidR="00BD3831" w:rsidRPr="0073215E" w:rsidRDefault="00BD3831" w:rsidP="0031289D">
            <w:pPr>
              <w:jc w:val="center"/>
              <w:rPr>
                <w:rFonts w:ascii="Arabic Typesetting" w:hAnsi="Arabic Typesetting" w:cs="Arabic Typesetting"/>
                <w:b/>
                <w:bCs/>
                <w:color w:val="000000"/>
                <w:sz w:val="28"/>
                <w:szCs w:val="28"/>
              </w:rPr>
            </w:pPr>
            <w:r w:rsidRPr="0073215E">
              <w:rPr>
                <w:rFonts w:ascii="Arabic Typesetting" w:hAnsi="Arabic Typesetting" w:cs="Arabic Typesetting"/>
                <w:b/>
                <w:bCs/>
                <w:color w:val="000000"/>
                <w:sz w:val="28"/>
                <w:szCs w:val="28"/>
              </w:rPr>
              <w:t>21</w:t>
            </w:r>
            <w:r>
              <w:rPr>
                <w:rFonts w:ascii="Arabic Typesetting" w:hAnsi="Arabic Typesetting" w:cs="Arabic Typesetting"/>
                <w:b/>
                <w:bCs/>
                <w:color w:val="000000"/>
                <w:sz w:val="28"/>
                <w:szCs w:val="28"/>
              </w:rPr>
              <w:t> </w:t>
            </w:r>
            <w:r w:rsidRPr="0073215E">
              <w:rPr>
                <w:rFonts w:ascii="Arabic Typesetting" w:hAnsi="Arabic Typesetting" w:cs="Arabic Typesetting"/>
                <w:b/>
                <w:bCs/>
                <w:color w:val="000000"/>
                <w:sz w:val="28"/>
                <w:szCs w:val="28"/>
              </w:rPr>
              <w:t xml:space="preserve">869 </w:t>
            </w:r>
          </w:p>
        </w:tc>
        <w:tc>
          <w:tcPr>
            <w:tcW w:w="970" w:type="pct"/>
            <w:shd w:val="clear" w:color="auto" w:fill="C6D9F1"/>
            <w:vAlign w:val="center"/>
          </w:tcPr>
          <w:p w14:paraId="574A09A2" w14:textId="77777777" w:rsidR="00BD3831" w:rsidRPr="0073215E" w:rsidRDefault="00BD3831" w:rsidP="0031289D">
            <w:pPr>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%45</w:t>
            </w:r>
          </w:p>
        </w:tc>
      </w:tr>
      <w:tr w:rsidR="00BD3831" w:rsidRPr="00211D55" w14:paraId="25C69C81" w14:textId="77777777" w:rsidTr="00DF6715">
        <w:trPr>
          <w:trHeight w:val="540"/>
        </w:trPr>
        <w:tc>
          <w:tcPr>
            <w:tcW w:w="5000" w:type="pct"/>
            <w:gridSpan w:val="5"/>
            <w:shd w:val="clear" w:color="auto" w:fill="auto"/>
            <w:noWrap/>
            <w:vAlign w:val="center"/>
          </w:tcPr>
          <w:p w14:paraId="6765B837" w14:textId="77777777" w:rsidR="00BD3831" w:rsidRDefault="00BD3831"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445902A0" w14:textId="77777777" w:rsidR="00BD3831" w:rsidRPr="00D41845" w:rsidRDefault="00BD3831"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4F6EB550" w14:textId="77777777" w:rsidR="00BD3831" w:rsidRPr="00706F20" w:rsidRDefault="00BD3831"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652E9D98" w14:textId="77777777" w:rsidR="00BD3831" w:rsidRPr="0073215E" w:rsidRDefault="00BD3831" w:rsidP="00D94CDB">
      <w:pPr>
        <w:keepNext/>
        <w:numPr>
          <w:ilvl w:val="1"/>
          <w:numId w:val="93"/>
        </w:numPr>
        <w:bidi/>
        <w:spacing w:after="240" w:line="360" w:lineRule="exact"/>
        <w:ind w:left="0" w:firstLine="0"/>
        <w:rPr>
          <w:rFonts w:ascii="Arabic Typesetting" w:hAnsi="Arabic Typesetting" w:cs="Arabic Typesetting"/>
          <w:sz w:val="34"/>
          <w:szCs w:val="34"/>
          <w:rtl/>
        </w:rPr>
      </w:pPr>
      <w:r w:rsidRPr="0073215E">
        <w:rPr>
          <w:rFonts w:ascii="Arabic Typesetting" w:hAnsi="Arabic Typesetting" w:cs="Arabic Typesetting"/>
          <w:sz w:val="34"/>
          <w:szCs w:val="34"/>
          <w:rtl/>
        </w:rPr>
        <w:t>يُعزى الانخفاض الطفيف في موارد الموظفين مقارنة بالميزانية المعتمدة 2016/17 أساساً إلى "1" نقل منصب ووظيفة مؤقتة من البرنامج لدعم احتياجات العمل في الإدارة التنفيذية (البرنامج 21) والسلامة والأمن (البرنامج 28)؛ "2" وتحويل موارد إلى خلاف موارد الموظفين للتمكين من الاستعانة بخدمات ا</w:t>
      </w:r>
      <w:r>
        <w:rPr>
          <w:rFonts w:ascii="Arabic Typesetting" w:hAnsi="Arabic Typesetting" w:cs="Arabic Typesetting"/>
          <w:sz w:val="34"/>
          <w:szCs w:val="34"/>
          <w:rtl/>
        </w:rPr>
        <w:t xml:space="preserve">ستشارية لإدارة قاعدة البيانات. </w:t>
      </w:r>
      <w:r w:rsidRPr="0073215E">
        <w:rPr>
          <w:rFonts w:ascii="Arabic Typesetting" w:hAnsi="Arabic Typesetting" w:cs="Arabic Typesetting"/>
          <w:sz w:val="34"/>
          <w:szCs w:val="34"/>
          <w:rtl/>
        </w:rPr>
        <w:t>وعوِّض ذلك الانخفاض عن طريق إعادة تصنيف منصب واحد بال</w:t>
      </w:r>
      <w:r>
        <w:rPr>
          <w:rFonts w:ascii="Arabic Typesetting" w:hAnsi="Arabic Typesetting" w:cs="Arabic Typesetting" w:hint="cs"/>
          <w:sz w:val="34"/>
          <w:szCs w:val="34"/>
          <w:rtl/>
        </w:rPr>
        <w:t>ترقية</w:t>
      </w:r>
      <w:r w:rsidRPr="0073215E">
        <w:rPr>
          <w:rFonts w:ascii="Arabic Typesetting" w:hAnsi="Arabic Typesetting" w:cs="Arabic Typesetting"/>
          <w:sz w:val="34"/>
          <w:szCs w:val="34"/>
        </w:rPr>
        <w:t>.</w:t>
      </w:r>
    </w:p>
    <w:p w14:paraId="4860C0C3" w14:textId="77777777" w:rsidR="00BD3831" w:rsidRDefault="00BD3831" w:rsidP="00D94CDB">
      <w:pPr>
        <w:keepNext/>
        <w:numPr>
          <w:ilvl w:val="1"/>
          <w:numId w:val="93"/>
        </w:numPr>
        <w:bidi/>
        <w:spacing w:after="240" w:line="360" w:lineRule="exact"/>
        <w:ind w:left="0" w:firstLine="0"/>
        <w:rPr>
          <w:rFonts w:ascii="Arabic Typesetting" w:hAnsi="Arabic Typesetting" w:cs="Arabic Typesetting"/>
          <w:sz w:val="34"/>
          <w:szCs w:val="34"/>
        </w:rPr>
      </w:pPr>
      <w:r w:rsidRPr="0073215E">
        <w:rPr>
          <w:rFonts w:ascii="Arabic Typesetting" w:hAnsi="Arabic Typesetting" w:cs="Arabic Typesetting"/>
          <w:sz w:val="34"/>
          <w:szCs w:val="34"/>
          <w:rtl/>
        </w:rPr>
        <w:t>ويُعزى الانخفاض الإجمالي في خلاف موارد الموظفين مقارنة بالميزانية المعتمدة 2016/17 إلى النتيجة الص</w:t>
      </w:r>
      <w:r>
        <w:rPr>
          <w:rFonts w:ascii="Arabic Typesetting" w:hAnsi="Arabic Typesetting" w:cs="Arabic Typesetting"/>
          <w:sz w:val="34"/>
          <w:szCs w:val="34"/>
          <w:rtl/>
        </w:rPr>
        <w:t>افية لتخصيص موارد إضافية لتغطية</w:t>
      </w:r>
      <w:r w:rsidRPr="0073215E">
        <w:rPr>
          <w:rFonts w:ascii="Arabic Typesetting" w:hAnsi="Arabic Typesetting" w:cs="Arabic Typesetting"/>
          <w:sz w:val="34"/>
          <w:szCs w:val="34"/>
          <w:rtl/>
        </w:rPr>
        <w:t xml:space="preserve"> "1" شراء حواسيب محمولة إضافية ومعدات لدعم مبادرة استمرارية الأعمال؛ "2" والاستعانة بخدمات استشارية لإدارة قاعدة البيانات كما ذُكر آنفاً؛ وإعادة توزيع الرصيد غير المنفق في عام 2016 والخاص بالشعبة التقنية لتكنولوجيا المعلومات على أولويات تنظيمية أخرى في عام 2017 في إطار النتيجة المرتقبة ه1.9 (خدمات دعم موجهة للزبون بفعالية وكفاءة وجودة لفائدة الزبائن).</w:t>
      </w:r>
    </w:p>
    <w:p w14:paraId="42CFCBEF" w14:textId="77777777" w:rsidR="00BD3831" w:rsidRPr="00706F20" w:rsidRDefault="00BD3831"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38CF7A86" w14:textId="77777777" w:rsidR="00BD3831" w:rsidRDefault="00BD3831" w:rsidP="00D94CDB">
      <w:pPr>
        <w:numPr>
          <w:ilvl w:val="1"/>
          <w:numId w:val="93"/>
        </w:numPr>
        <w:bidi/>
        <w:spacing w:after="240" w:line="360" w:lineRule="exact"/>
        <w:ind w:left="0" w:hanging="1"/>
        <w:rPr>
          <w:rFonts w:ascii="Arabic Typesetting" w:hAnsi="Arabic Typesetting" w:cs="Arabic Typesetting"/>
          <w:sz w:val="34"/>
          <w:szCs w:val="34"/>
        </w:rPr>
      </w:pPr>
      <w:r w:rsidRPr="0073215E">
        <w:rPr>
          <w:rFonts w:ascii="Arabic Typesetting" w:hAnsi="Arabic Typesetting" w:cs="Arabic Typesetting"/>
          <w:sz w:val="34"/>
          <w:szCs w:val="34"/>
          <w:rtl/>
        </w:rPr>
        <w:t>كانت ن</w:t>
      </w:r>
      <w:r>
        <w:rPr>
          <w:rFonts w:ascii="Arabic Typesetting" w:hAnsi="Arabic Typesetting" w:cs="Arabic Typesetting"/>
          <w:sz w:val="34"/>
          <w:szCs w:val="34"/>
          <w:rtl/>
        </w:rPr>
        <w:t xml:space="preserve">سبة استخدام ميزانية خلاف </w:t>
      </w:r>
      <w:r>
        <w:rPr>
          <w:rFonts w:ascii="Arabic Typesetting" w:hAnsi="Arabic Typesetting" w:cs="Arabic Typesetting" w:hint="cs"/>
          <w:sz w:val="34"/>
          <w:szCs w:val="34"/>
          <w:rtl/>
        </w:rPr>
        <w:t>موارد الموظفين</w:t>
      </w:r>
      <w:r w:rsidRPr="0073215E">
        <w:rPr>
          <w:rFonts w:ascii="Arabic Typesetting" w:hAnsi="Arabic Typesetting" w:cs="Arabic Typesetting"/>
          <w:sz w:val="34"/>
          <w:szCs w:val="34"/>
          <w:rtl/>
        </w:rPr>
        <w:t xml:space="preserve"> أقل من المتوقع بسب</w:t>
      </w:r>
      <w:r>
        <w:rPr>
          <w:rFonts w:ascii="Arabic Typesetting" w:hAnsi="Arabic Typesetting" w:cs="Arabic Typesetting"/>
          <w:sz w:val="34"/>
          <w:szCs w:val="34"/>
          <w:rtl/>
        </w:rPr>
        <w:t xml:space="preserve">ب الإنفاق الأقل من المتوقع على </w:t>
      </w:r>
      <w:r w:rsidRPr="0073215E">
        <w:rPr>
          <w:rFonts w:ascii="Arabic Typesetting" w:hAnsi="Arabic Typesetting" w:cs="Arabic Typesetting"/>
          <w:sz w:val="34"/>
          <w:szCs w:val="34"/>
          <w:rtl/>
        </w:rPr>
        <w:t>"1" التكاليف المتعلقة بالمركز الدولي للحوسبة؛ "2" والتدريب؛ "3" وإدارة خدمات تكنولوجيا المعلومات والاتصالات والعلاقات مع الزبائن.</w:t>
      </w:r>
    </w:p>
    <w:p w14:paraId="0A9C3356" w14:textId="0C564A0E" w:rsidR="00BD3831" w:rsidRDefault="00BD3831"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3D7EC863" w14:textId="77777777" w:rsidR="00BD3831" w:rsidRPr="00254297" w:rsidRDefault="00BD3831" w:rsidP="00DA7DF7">
      <w:pPr>
        <w:pStyle w:val="Heading3"/>
        <w:ind w:left="1984" w:hanging="1984"/>
      </w:pPr>
      <w:bookmarkStart w:id="56" w:name="_Toc482782779"/>
      <w:r w:rsidRPr="00254297">
        <w:rPr>
          <w:rtl/>
        </w:rPr>
        <w:lastRenderedPageBreak/>
        <w:t>البرنامج</w:t>
      </w:r>
      <w:r>
        <w:rPr>
          <w:rFonts w:hint="cs"/>
          <w:rtl/>
        </w:rPr>
        <w:t xml:space="preserve"> 26</w:t>
      </w:r>
      <w:r w:rsidRPr="00254297">
        <w:rPr>
          <w:rFonts w:hint="cs"/>
          <w:rtl/>
        </w:rPr>
        <w:t>:</w:t>
      </w:r>
      <w:r w:rsidRPr="00254297">
        <w:tab/>
      </w:r>
      <w:r>
        <w:rPr>
          <w:rFonts w:hint="cs"/>
          <w:rtl/>
        </w:rPr>
        <w:t>الرقابة الداخلية</w:t>
      </w:r>
      <w:bookmarkEnd w:id="56"/>
    </w:p>
    <w:p w14:paraId="43DA5B2D" w14:textId="77777777" w:rsidR="00BD3831" w:rsidRDefault="00BD3831"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Pr>
          <w:rFonts w:ascii="Arabic Typesetting" w:hAnsi="Arabic Typesetting" w:cs="Arabic Typesetting" w:hint="cs"/>
          <w:b/>
          <w:bCs/>
          <w:sz w:val="36"/>
          <w:szCs w:val="36"/>
          <w:rtl/>
          <w:lang w:val="fr-CH"/>
        </w:rPr>
        <w:t>السيد راجيش سينغ</w:t>
      </w:r>
    </w:p>
    <w:p w14:paraId="2AE8A5B1" w14:textId="77777777" w:rsidR="00BD3831" w:rsidRDefault="00BD3831"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4C7AFD36" wp14:editId="2550CCD2">
            <wp:extent cx="3592185" cy="216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92185" cy="2160000"/>
                    </a:xfrm>
                    <a:prstGeom prst="rect">
                      <a:avLst/>
                    </a:prstGeom>
                    <a:noFill/>
                  </pic:spPr>
                </pic:pic>
              </a:graphicData>
            </a:graphic>
          </wp:inline>
        </w:drawing>
      </w:r>
    </w:p>
    <w:tbl>
      <w:tblPr>
        <w:bidiVisual/>
        <w:tblW w:w="4937" w:type="pct"/>
        <w:tblInd w:w="58" w:type="dxa"/>
        <w:tblLayout w:type="fixed"/>
        <w:tblCellMar>
          <w:left w:w="115" w:type="dxa"/>
          <w:right w:w="115" w:type="dxa"/>
        </w:tblCellMar>
        <w:tblLook w:val="0000" w:firstRow="0" w:lastRow="0" w:firstColumn="0" w:lastColumn="0" w:noHBand="0" w:noVBand="0"/>
      </w:tblPr>
      <w:tblGrid>
        <w:gridCol w:w="2043"/>
        <w:gridCol w:w="2615"/>
        <w:gridCol w:w="2022"/>
        <w:gridCol w:w="1870"/>
        <w:gridCol w:w="802"/>
      </w:tblGrid>
      <w:tr w:rsidR="00BD3831" w:rsidRPr="000319A2" w14:paraId="593DFBBF" w14:textId="77777777" w:rsidTr="00DF6715">
        <w:trPr>
          <w:trHeight w:val="565"/>
        </w:trPr>
        <w:tc>
          <w:tcPr>
            <w:tcW w:w="5000" w:type="pct"/>
            <w:gridSpan w:val="5"/>
            <w:shd w:val="clear" w:color="auto" w:fill="C6D9F1"/>
            <w:tcMar>
              <w:left w:w="58" w:type="dxa"/>
              <w:right w:w="58" w:type="dxa"/>
            </w:tcMar>
            <w:vAlign w:val="center"/>
          </w:tcPr>
          <w:p w14:paraId="3A2930B2" w14:textId="77777777" w:rsidR="00BD3831" w:rsidRPr="000319A2"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0319A2">
              <w:rPr>
                <w:rFonts w:ascii="Arabic Typesetting" w:eastAsia="Arabic Typesetting" w:hAnsi="Arabic Typesetting" w:cs="Arabic Typesetting"/>
                <w:b/>
                <w:bCs/>
                <w:sz w:val="28"/>
                <w:szCs w:val="28"/>
                <w:rtl/>
                <w:lang w:eastAsia="ar-EG" w:bidi="ar-EG"/>
              </w:rPr>
              <w:t>‏النتيجة المرتقبة:</w:t>
            </w:r>
            <w:r w:rsidRPr="000319A2">
              <w:rPr>
                <w:rFonts w:ascii="Arabic Typesetting" w:eastAsia="Arabic Typesetting" w:hAnsi="Arabic Typesetting" w:cs="Arabic Typesetting"/>
                <w:sz w:val="28"/>
                <w:szCs w:val="28"/>
                <w:lang w:eastAsia="ar-EG" w:bidi="ar-EG"/>
              </w:rPr>
              <w:tab/>
            </w:r>
            <w:r w:rsidRPr="000319A2">
              <w:rPr>
                <w:rFonts w:ascii="Arabic Typesetting" w:eastAsia="Arabic Typesetting" w:hAnsi="Arabic Typesetting" w:cs="Arabic Typesetting"/>
                <w:color w:val="000000"/>
                <w:sz w:val="28"/>
                <w:szCs w:val="28"/>
                <w:rtl/>
                <w:lang w:eastAsia="ar-EG" w:bidi="ar-EG"/>
              </w:rPr>
              <w:t>ه8.9 مستوى محسّن فيما يخص المساءلة، والتعلم المؤسسي، والقيمة مقابل المال، والريادة، والمراقبة الداخلية، والحوكمة المؤسسية من خلال الاستعانة برقابة فعالة ومستقلة</w:t>
            </w:r>
          </w:p>
        </w:tc>
      </w:tr>
      <w:tr w:rsidR="00BD3831" w:rsidRPr="000319A2" w14:paraId="3FDA75A8" w14:textId="77777777" w:rsidTr="00DF6715">
        <w:tc>
          <w:tcPr>
            <w:tcW w:w="1092" w:type="pct"/>
            <w:shd w:val="clear" w:color="auto" w:fill="auto"/>
            <w:tcMar>
              <w:left w:w="58" w:type="dxa"/>
              <w:right w:w="58" w:type="dxa"/>
            </w:tcMar>
            <w:vAlign w:val="center"/>
          </w:tcPr>
          <w:p w14:paraId="39EFBB7C" w14:textId="77777777" w:rsidR="00BD3831" w:rsidRPr="000319A2"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0319A2">
              <w:rPr>
                <w:rFonts w:ascii="Arabic Typesetting" w:eastAsia="Arabic Typesetting" w:hAnsi="Arabic Typesetting" w:cs="Arabic Typesetting"/>
                <w:b/>
                <w:bCs/>
                <w:sz w:val="28"/>
                <w:szCs w:val="28"/>
                <w:rtl/>
                <w:lang w:eastAsia="ar-EG" w:bidi="ar-EG"/>
              </w:rPr>
              <w:t>مؤشرات الأداء</w:t>
            </w:r>
          </w:p>
        </w:tc>
        <w:tc>
          <w:tcPr>
            <w:tcW w:w="1398" w:type="pct"/>
            <w:shd w:val="clear" w:color="auto" w:fill="auto"/>
            <w:tcMar>
              <w:left w:w="58" w:type="dxa"/>
              <w:right w:w="58" w:type="dxa"/>
            </w:tcMar>
            <w:vAlign w:val="center"/>
          </w:tcPr>
          <w:p w14:paraId="3CF84982" w14:textId="77777777" w:rsidR="00BD3831" w:rsidRPr="000319A2"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0319A2">
              <w:rPr>
                <w:rFonts w:ascii="Arabic Typesetting" w:eastAsia="Arabic Typesetting" w:hAnsi="Arabic Typesetting" w:cs="Arabic Typesetting"/>
                <w:b/>
                <w:bCs/>
                <w:sz w:val="28"/>
                <w:szCs w:val="28"/>
                <w:rtl/>
                <w:lang w:eastAsia="ar-EG" w:bidi="ar-EG"/>
              </w:rPr>
              <w:t>أسس المقارنة</w:t>
            </w:r>
          </w:p>
        </w:tc>
        <w:tc>
          <w:tcPr>
            <w:tcW w:w="1081" w:type="pct"/>
            <w:shd w:val="clear" w:color="auto" w:fill="auto"/>
            <w:tcMar>
              <w:top w:w="110" w:type="dxa"/>
              <w:left w:w="58" w:type="dxa"/>
              <w:right w:w="58" w:type="dxa"/>
            </w:tcMar>
            <w:vAlign w:val="center"/>
          </w:tcPr>
          <w:p w14:paraId="1C28C251" w14:textId="77777777" w:rsidR="00BD3831" w:rsidRPr="000319A2"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0319A2">
              <w:rPr>
                <w:rFonts w:ascii="Arabic Typesetting" w:eastAsia="Arabic Typesetting" w:hAnsi="Arabic Typesetting" w:cs="Arabic Typesetting"/>
                <w:b/>
                <w:bCs/>
                <w:sz w:val="28"/>
                <w:szCs w:val="28"/>
                <w:rtl/>
                <w:lang w:eastAsia="ar-EG" w:bidi="ar-EG"/>
              </w:rPr>
              <w:t>الأهداف</w:t>
            </w:r>
          </w:p>
        </w:tc>
        <w:tc>
          <w:tcPr>
            <w:tcW w:w="1000" w:type="pct"/>
            <w:shd w:val="clear" w:color="auto" w:fill="FFFFFF"/>
            <w:tcMar>
              <w:top w:w="110" w:type="dxa"/>
              <w:left w:w="58" w:type="dxa"/>
              <w:right w:w="58" w:type="dxa"/>
            </w:tcMar>
            <w:vAlign w:val="center"/>
          </w:tcPr>
          <w:p w14:paraId="62B358D8" w14:textId="77777777" w:rsidR="00BD3831" w:rsidRPr="000319A2"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0319A2">
              <w:rPr>
                <w:rFonts w:ascii="Arabic Typesetting" w:eastAsia="Arabic Typesetting" w:hAnsi="Arabic Typesetting" w:cs="Arabic Typesetting"/>
                <w:b/>
                <w:bCs/>
                <w:sz w:val="28"/>
                <w:szCs w:val="28"/>
                <w:rtl/>
                <w:lang w:eastAsia="ar-EG" w:bidi="ar-EG"/>
              </w:rPr>
              <w:t>بيانات الأداء</w:t>
            </w:r>
          </w:p>
        </w:tc>
        <w:tc>
          <w:tcPr>
            <w:tcW w:w="429" w:type="pct"/>
            <w:shd w:val="clear" w:color="auto" w:fill="auto"/>
            <w:tcMar>
              <w:top w:w="110" w:type="dxa"/>
              <w:left w:w="58" w:type="dxa"/>
              <w:right w:w="58" w:type="dxa"/>
            </w:tcMar>
            <w:vAlign w:val="center"/>
          </w:tcPr>
          <w:p w14:paraId="156431E2" w14:textId="77777777" w:rsidR="00BD3831" w:rsidRPr="000319A2" w:rsidRDefault="00BD3831" w:rsidP="0031289D">
            <w:pPr>
              <w:bidi/>
              <w:spacing w:after="120" w:line="280" w:lineRule="exact"/>
              <w:jc w:val="center"/>
              <w:rPr>
                <w:rFonts w:ascii="Arabic Typesetting" w:eastAsia="Arabic Typesetting" w:hAnsi="Arabic Typesetting" w:cs="Arabic Typesetting"/>
                <w:b/>
                <w:bCs/>
                <w:sz w:val="28"/>
                <w:szCs w:val="28"/>
                <w:lang w:eastAsia="ar-EG" w:bidi="ar-EG"/>
              </w:rPr>
            </w:pPr>
            <w:r w:rsidRPr="000319A2">
              <w:rPr>
                <w:rFonts w:ascii="Arabic Typesetting" w:eastAsia="Arabic Typesetting" w:hAnsi="Arabic Typesetting" w:cs="Arabic Typesetting"/>
                <w:b/>
                <w:bCs/>
                <w:sz w:val="28"/>
                <w:szCs w:val="28"/>
                <w:rtl/>
                <w:lang w:eastAsia="ar-EG" w:bidi="ar-EG"/>
              </w:rPr>
              <w:t>السير</w:t>
            </w:r>
          </w:p>
        </w:tc>
      </w:tr>
      <w:tr w:rsidR="00BD3831" w:rsidRPr="000319A2" w14:paraId="3EA6D034" w14:textId="77777777" w:rsidTr="00DF6715">
        <w:trPr>
          <w:trHeight w:val="903"/>
        </w:trPr>
        <w:tc>
          <w:tcPr>
            <w:tcW w:w="1092" w:type="pct"/>
            <w:shd w:val="clear" w:color="auto" w:fill="auto"/>
            <w:tcMar>
              <w:left w:w="58" w:type="dxa"/>
              <w:right w:w="58" w:type="dxa"/>
            </w:tcMar>
          </w:tcPr>
          <w:p w14:paraId="3AE07D9B"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الاستقلالية – عدم تدخل كبار أصحاب المصالح ومراعاتهم للاستقلالية</w:t>
            </w:r>
          </w:p>
        </w:tc>
        <w:tc>
          <w:tcPr>
            <w:tcW w:w="1398" w:type="pct"/>
            <w:shd w:val="clear" w:color="auto" w:fill="auto"/>
            <w:tcMar>
              <w:left w:w="58" w:type="dxa"/>
              <w:right w:w="58" w:type="dxa"/>
            </w:tcMar>
          </w:tcPr>
          <w:p w14:paraId="513F7967"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319A2">
              <w:rPr>
                <w:rFonts w:ascii="Arabic Typesetting" w:eastAsia="Arabic Typesetting" w:hAnsi="Arabic Typesetting" w:cs="Arabic Typesetting"/>
                <w:color w:val="002060"/>
                <w:sz w:val="28"/>
                <w:szCs w:val="28"/>
                <w:rtl/>
                <w:lang w:eastAsia="ar-EG" w:bidi="ar-EG"/>
              </w:rPr>
              <w:t xml:space="preserve">عدم التدخل في عمل شعبة الرقابة الداخلية، على النحو الوارد في التقريرين السنويين </w:t>
            </w:r>
            <w:r w:rsidRPr="000319A2">
              <w:rPr>
                <w:rFonts w:ascii="Arabic Typesetting" w:eastAsia="Arabic Typesetting" w:hAnsi="Arabic Typesetting" w:cs="Arabic Typesetting"/>
                <w:color w:val="002060"/>
                <w:sz w:val="28"/>
                <w:szCs w:val="28"/>
                <w:lang w:eastAsia="ar-EG" w:bidi="ar-EG"/>
              </w:rPr>
              <w:t>WO/PBC/22/4</w:t>
            </w:r>
            <w:r w:rsidRPr="000319A2">
              <w:rPr>
                <w:rFonts w:ascii="Arabic Typesetting" w:eastAsia="Arabic Typesetting" w:hAnsi="Arabic Typesetting" w:cs="Arabic Typesetting"/>
                <w:color w:val="002060"/>
                <w:sz w:val="28"/>
                <w:szCs w:val="28"/>
                <w:rtl/>
                <w:lang w:eastAsia="ar-EG" w:bidi="ar-EG"/>
              </w:rPr>
              <w:t xml:space="preserve"> و</w:t>
            </w:r>
            <w:r w:rsidRPr="000319A2">
              <w:rPr>
                <w:rFonts w:ascii="Arabic Typesetting" w:eastAsia="Arabic Typesetting" w:hAnsi="Arabic Typesetting" w:cs="Arabic Typesetting"/>
                <w:color w:val="002060"/>
                <w:sz w:val="28"/>
                <w:szCs w:val="28"/>
                <w:lang w:eastAsia="ar-EG" w:bidi="ar-EG"/>
              </w:rPr>
              <w:t>WO/PBC/24/6</w:t>
            </w:r>
          </w:p>
          <w:p w14:paraId="0B2132F2"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color w:val="002060"/>
                <w:sz w:val="28"/>
                <w:szCs w:val="28"/>
                <w:rtl/>
                <w:lang w:eastAsia="ar-EG" w:bidi="ar-EG"/>
              </w:rPr>
              <w:t>اجتمع مدير شعبة الرقابة الداخلية بانتظام مع المدير العام واللجنة الاستشارية المستقلة للرقابة فضلاً عن ممثلي الدول الأعضاء عند الاقتضاء</w:t>
            </w:r>
          </w:p>
          <w:p w14:paraId="13AC2F2E" w14:textId="77777777" w:rsidR="00BD38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0319A2">
              <w:rPr>
                <w:rFonts w:ascii="Arabic Typesetting" w:eastAsia="Arabic Typesetting" w:hAnsi="Arabic Typesetting" w:cs="Arabic Typesetting"/>
                <w:color w:val="002060"/>
                <w:sz w:val="28"/>
                <w:szCs w:val="28"/>
                <w:rtl/>
                <w:lang w:eastAsia="ar-EG" w:bidi="ar-EG"/>
              </w:rPr>
              <w:t xml:space="preserve">وأحيلت حالات عدم مراعاة الاستقلالية إلى اللجنة الاستشارية المستقلة للرقابة وفقاً للفقرة </w:t>
            </w:r>
            <w:r>
              <w:rPr>
                <w:rFonts w:ascii="Arabic Typesetting" w:eastAsia="Arabic Typesetting" w:hAnsi="Arabic Typesetting" w:cs="Arabic Typesetting"/>
                <w:color w:val="002060"/>
                <w:sz w:val="28"/>
                <w:szCs w:val="28"/>
                <w:rtl/>
                <w:lang w:eastAsia="ar-EG" w:bidi="ar-EG"/>
              </w:rPr>
              <w:t>18 من الميثاق</w:t>
            </w:r>
          </w:p>
          <w:p w14:paraId="4F9AB334"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i/>
                <w:iCs/>
                <w:sz w:val="28"/>
                <w:szCs w:val="28"/>
                <w:rtl/>
                <w:lang w:eastAsia="ar-EG" w:bidi="ar-EG"/>
              </w:rPr>
              <w:t>‏أساس المقارنة الأصلي:</w:t>
            </w:r>
            <w:r w:rsidRPr="000319A2">
              <w:rPr>
                <w:rFonts w:ascii="Arabic Typesetting" w:eastAsia="Arabic Typesetting" w:hAnsi="Arabic Typesetting" w:cs="Arabic Typesetting"/>
                <w:i/>
                <w:sz w:val="28"/>
                <w:szCs w:val="28"/>
                <w:lang w:eastAsia="ar-EG" w:bidi="ar-EG"/>
              </w:rPr>
              <w:br/>
            </w:r>
            <w:r w:rsidRPr="000319A2">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0319A2">
              <w:rPr>
                <w:rFonts w:ascii="Arabic Typesetting" w:eastAsia="Arabic Typesetting" w:hAnsi="Arabic Typesetting" w:cs="Arabic Typesetting"/>
                <w:color w:val="000000"/>
                <w:sz w:val="28"/>
                <w:szCs w:val="28"/>
                <w:rtl/>
                <w:lang w:eastAsia="ar-EG" w:bidi="ar-EG"/>
              </w:rPr>
              <w:t>عدم التدخل في عمل شعبة الرقابة الداخلية</w:t>
            </w:r>
          </w:p>
        </w:tc>
        <w:tc>
          <w:tcPr>
            <w:tcW w:w="1081" w:type="pct"/>
            <w:shd w:val="clear" w:color="auto" w:fill="auto"/>
            <w:tcMar>
              <w:top w:w="110" w:type="dxa"/>
              <w:left w:w="58" w:type="dxa"/>
              <w:right w:w="58" w:type="dxa"/>
            </w:tcMar>
          </w:tcPr>
          <w:p w14:paraId="7CD9B445"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عدم التدخل في عمل شعبة الرقابة الداخلية</w:t>
            </w:r>
          </w:p>
        </w:tc>
        <w:tc>
          <w:tcPr>
            <w:tcW w:w="1000" w:type="pct"/>
            <w:shd w:val="clear" w:color="auto" w:fill="FFFFFF"/>
            <w:tcMar>
              <w:top w:w="110" w:type="dxa"/>
              <w:left w:w="58" w:type="dxa"/>
              <w:right w:w="58" w:type="dxa"/>
            </w:tcMar>
          </w:tcPr>
          <w:p w14:paraId="46E5A7DD" w14:textId="77777777" w:rsidR="00BD38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0319A2">
              <w:rPr>
                <w:rFonts w:ascii="Arabic Typesetting" w:eastAsia="Arabic Typesetting" w:hAnsi="Arabic Typesetting" w:cs="Arabic Typesetting"/>
                <w:sz w:val="28"/>
                <w:szCs w:val="28"/>
                <w:rtl/>
                <w:lang w:eastAsia="ar-EG" w:bidi="ar-EG"/>
              </w:rPr>
              <w:t xml:space="preserve">عدم التدخل في عمل شعبة الرقابة الداخلية، على النحو الوارد في التقريرين السنويين </w:t>
            </w:r>
            <w:r w:rsidRPr="000319A2">
              <w:rPr>
                <w:rFonts w:ascii="Arabic Typesetting" w:eastAsia="Arabic Typesetting" w:hAnsi="Arabic Typesetting" w:cs="Arabic Typesetting"/>
                <w:sz w:val="28"/>
                <w:szCs w:val="28"/>
                <w:lang w:eastAsia="ar-EG" w:bidi="ar-EG"/>
              </w:rPr>
              <w:t>WO/PBC/24/6</w:t>
            </w:r>
            <w:r w:rsidRPr="000319A2">
              <w:rPr>
                <w:rFonts w:ascii="Arabic Typesetting" w:eastAsia="Arabic Typesetting" w:hAnsi="Arabic Typesetting" w:cs="Arabic Typesetting"/>
                <w:sz w:val="28"/>
                <w:szCs w:val="28"/>
                <w:rtl/>
                <w:lang w:eastAsia="ar-EG" w:bidi="ar-EG"/>
              </w:rPr>
              <w:t xml:space="preserve"> </w:t>
            </w:r>
            <w:r w:rsidRPr="000319A2">
              <w:rPr>
                <w:rFonts w:ascii="Arabic Typesetting" w:eastAsia="Arabic Typesetting" w:hAnsi="Arabic Typesetting" w:cs="Arabic Typesetting"/>
                <w:sz w:val="28"/>
                <w:szCs w:val="28"/>
                <w:vertAlign w:val="superscript"/>
                <w:lang w:eastAsia="ar-EG" w:bidi="ar-EG"/>
              </w:rPr>
              <w:footnoteReference w:id="100"/>
            </w:r>
            <w:r w:rsidRPr="000319A2">
              <w:rPr>
                <w:rFonts w:ascii="Arabic Typesetting" w:eastAsia="Arabic Typesetting" w:hAnsi="Arabic Typesetting" w:cs="Arabic Typesetting"/>
                <w:sz w:val="28"/>
                <w:szCs w:val="28"/>
                <w:rtl/>
                <w:lang w:eastAsia="ar-EG" w:bidi="ar-EG"/>
              </w:rPr>
              <w:t xml:space="preserve"> و</w:t>
            </w:r>
            <w:r w:rsidRPr="000319A2">
              <w:rPr>
                <w:rFonts w:ascii="Arabic Typesetting" w:eastAsia="Arabic Typesetting" w:hAnsi="Arabic Typesetting" w:cs="Arabic Typesetting"/>
                <w:sz w:val="28"/>
                <w:szCs w:val="28"/>
                <w:lang w:eastAsia="ar-EG" w:bidi="ar-EG"/>
              </w:rPr>
              <w:t>WO/PBC/25/5</w:t>
            </w:r>
            <w:r w:rsidRPr="000319A2">
              <w:rPr>
                <w:rFonts w:ascii="Arabic Typesetting" w:eastAsia="Arabic Typesetting" w:hAnsi="Arabic Typesetting" w:cs="Arabic Typesetting"/>
                <w:sz w:val="28"/>
                <w:szCs w:val="28"/>
                <w:rtl/>
                <w:lang w:eastAsia="ar-EG" w:bidi="ar-EG"/>
              </w:rPr>
              <w:t xml:space="preserve"> </w:t>
            </w:r>
            <w:r w:rsidRPr="000319A2">
              <w:rPr>
                <w:rFonts w:ascii="Arabic Typesetting" w:eastAsia="Arabic Typesetting" w:hAnsi="Arabic Typesetting" w:cs="Arabic Typesetting"/>
                <w:sz w:val="28"/>
                <w:szCs w:val="28"/>
                <w:vertAlign w:val="superscript"/>
                <w:lang w:eastAsia="ar-EG" w:bidi="ar-EG"/>
              </w:rPr>
              <w:footnoteReference w:id="101"/>
            </w:r>
          </w:p>
          <w:p w14:paraId="7365993B" w14:textId="77777777" w:rsidR="00BD38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0319A2">
              <w:rPr>
                <w:rFonts w:ascii="Arabic Typesetting" w:eastAsia="Arabic Typesetting" w:hAnsi="Arabic Typesetting" w:cs="Arabic Typesetting"/>
                <w:sz w:val="28"/>
                <w:szCs w:val="28"/>
                <w:rtl/>
                <w:lang w:eastAsia="ar-EG" w:bidi="ar-EG"/>
              </w:rPr>
              <w:t>اجتمع المدير المؤقت لشعبة الرقابة الداخلية بانتظام مع المدير العام واللجنة الاستشارية المستقلة للرقابة فضلاً عن ممثلي الدول الأعضاء عند الاقتضاء</w:t>
            </w:r>
          </w:p>
          <w:p w14:paraId="1BB4655F"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sz w:val="28"/>
                <w:szCs w:val="28"/>
                <w:rtl/>
                <w:lang w:eastAsia="ar-EG" w:bidi="ar-EG"/>
              </w:rPr>
              <w:t xml:space="preserve">وأحيلت حالات عدم مراعاة الاستقلالية إلى اللجنة الاستشارية المستقلة للرقابة وفقاً للفقرة </w:t>
            </w:r>
            <w:r>
              <w:rPr>
                <w:rFonts w:ascii="Arabic Typesetting" w:eastAsia="Arabic Typesetting" w:hAnsi="Arabic Typesetting" w:cs="Arabic Typesetting"/>
                <w:sz w:val="28"/>
                <w:szCs w:val="28"/>
                <w:rtl/>
                <w:lang w:eastAsia="ar-EG" w:bidi="ar-EG"/>
              </w:rPr>
              <w:t>18 من الميثاق</w:t>
            </w:r>
          </w:p>
        </w:tc>
        <w:tc>
          <w:tcPr>
            <w:tcW w:w="429" w:type="pct"/>
            <w:shd w:val="clear" w:color="auto" w:fill="auto"/>
            <w:tcMar>
              <w:top w:w="110" w:type="dxa"/>
              <w:left w:w="58" w:type="dxa"/>
              <w:right w:w="58" w:type="dxa"/>
            </w:tcMar>
          </w:tcPr>
          <w:p w14:paraId="72A1A794" w14:textId="77777777" w:rsidR="00BD3831" w:rsidRPr="000319A2" w:rsidRDefault="00BD3831"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b/>
                <w:bCs/>
                <w:color w:val="00B050"/>
                <w:sz w:val="28"/>
                <w:szCs w:val="28"/>
                <w:rtl/>
                <w:lang w:eastAsia="ar-EG" w:bidi="ar-EG"/>
              </w:rPr>
              <w:t>ثابت</w:t>
            </w:r>
          </w:p>
        </w:tc>
      </w:tr>
      <w:tr w:rsidR="00BD3831" w:rsidRPr="000319A2" w14:paraId="5693FA0E" w14:textId="77777777" w:rsidTr="00DF6715">
        <w:trPr>
          <w:trHeight w:val="1585"/>
        </w:trPr>
        <w:tc>
          <w:tcPr>
            <w:tcW w:w="1092" w:type="pct"/>
            <w:shd w:val="clear" w:color="auto" w:fill="auto"/>
            <w:tcMar>
              <w:left w:w="58" w:type="dxa"/>
              <w:right w:w="58" w:type="dxa"/>
            </w:tcMar>
          </w:tcPr>
          <w:p w14:paraId="208E230C"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الفعالية – النسبة المئوية للعمل الذي يغطي مجالات وجيهة عالية المخاطر بما يتماشى مع استراتيجية المنظمة</w:t>
            </w:r>
          </w:p>
        </w:tc>
        <w:tc>
          <w:tcPr>
            <w:tcW w:w="1398" w:type="pct"/>
            <w:shd w:val="clear" w:color="auto" w:fill="auto"/>
            <w:tcMar>
              <w:left w:w="58" w:type="dxa"/>
              <w:right w:w="58" w:type="dxa"/>
            </w:tcMar>
          </w:tcPr>
          <w:p w14:paraId="07E35A21"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319A2">
              <w:rPr>
                <w:rFonts w:ascii="Arabic Typesetting" w:eastAsia="Arabic Typesetting" w:hAnsi="Arabic Typesetting" w:cs="Arabic Typesetting"/>
                <w:color w:val="002060"/>
                <w:sz w:val="28"/>
                <w:szCs w:val="28"/>
                <w:rtl/>
                <w:lang w:eastAsia="ar-EG" w:bidi="ar-EG"/>
              </w:rPr>
              <w:t>جميع الأعمال (</w:t>
            </w:r>
            <w:r>
              <w:rPr>
                <w:rFonts w:ascii="Arabic Typesetting" w:eastAsia="Arabic Typesetting" w:hAnsi="Arabic Typesetting" w:cs="Arabic Typesetting" w:hint="cs"/>
                <w:color w:val="002060"/>
                <w:sz w:val="28"/>
                <w:szCs w:val="28"/>
                <w:rtl/>
                <w:lang w:eastAsia="ar-EG" w:bidi="ar-EG"/>
              </w:rPr>
              <w:t>%100</w:t>
            </w:r>
            <w:r w:rsidRPr="000319A2">
              <w:rPr>
                <w:rFonts w:ascii="Arabic Typesetting" w:eastAsia="Arabic Typesetting" w:hAnsi="Arabic Typesetting" w:cs="Arabic Typesetting"/>
                <w:color w:val="002060"/>
                <w:sz w:val="28"/>
                <w:szCs w:val="28"/>
                <w:rtl/>
                <w:lang w:eastAsia="ar-EG" w:bidi="ar-EG"/>
              </w:rPr>
              <w:t>) غطت مجا</w:t>
            </w:r>
            <w:r>
              <w:rPr>
                <w:rFonts w:ascii="Arabic Typesetting" w:eastAsia="Arabic Typesetting" w:hAnsi="Arabic Typesetting" w:cs="Arabic Typesetting"/>
                <w:color w:val="002060"/>
                <w:sz w:val="28"/>
                <w:szCs w:val="28"/>
                <w:rtl/>
                <w:lang w:eastAsia="ar-EG" w:bidi="ar-EG"/>
              </w:rPr>
              <w:t>لات عالية المخاطر/عالية الوجاهة</w:t>
            </w:r>
          </w:p>
          <w:p w14:paraId="38056481"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i/>
                <w:iCs/>
                <w:sz w:val="28"/>
                <w:szCs w:val="28"/>
                <w:rtl/>
                <w:lang w:eastAsia="ar-EG" w:bidi="ar-EG"/>
              </w:rPr>
              <w:t>‏أساس المقارنة الأصلي:</w:t>
            </w:r>
            <w:r w:rsidRPr="000319A2">
              <w:rPr>
                <w:rFonts w:ascii="Arabic Typesetting" w:eastAsia="Arabic Typesetting" w:hAnsi="Arabic Typesetting" w:cs="Arabic Typesetting"/>
                <w:i/>
                <w:sz w:val="28"/>
                <w:szCs w:val="28"/>
                <w:lang w:eastAsia="ar-EG" w:bidi="ar-EG"/>
              </w:rPr>
              <w:br/>
            </w:r>
            <w:r w:rsidRPr="000319A2">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100% </w:t>
            </w:r>
            <w:r w:rsidRPr="000319A2">
              <w:rPr>
                <w:rFonts w:ascii="Arabic Typesetting" w:eastAsia="Arabic Typesetting" w:hAnsi="Arabic Typesetting" w:cs="Arabic Typesetting"/>
                <w:color w:val="000000"/>
                <w:sz w:val="28"/>
                <w:szCs w:val="28"/>
                <w:rtl/>
                <w:lang w:eastAsia="ar-EG" w:bidi="ar-EG"/>
              </w:rPr>
              <w:t>من العمل في مجالات عالية المخاطر/عالية الوجاهة</w:t>
            </w:r>
          </w:p>
        </w:tc>
        <w:tc>
          <w:tcPr>
            <w:tcW w:w="1081" w:type="pct"/>
            <w:shd w:val="clear" w:color="auto" w:fill="auto"/>
            <w:tcMar>
              <w:top w:w="110" w:type="dxa"/>
              <w:left w:w="58" w:type="dxa"/>
              <w:right w:w="58" w:type="dxa"/>
            </w:tcMar>
          </w:tcPr>
          <w:p w14:paraId="41ED6B66"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100% من العمل في مجالات عالية المخاطر/عالية الوجاهة بما يتماشى مع الأهداف الاستراتيجية للويبو</w:t>
            </w:r>
          </w:p>
        </w:tc>
        <w:tc>
          <w:tcPr>
            <w:tcW w:w="1000" w:type="pct"/>
            <w:shd w:val="clear" w:color="auto" w:fill="FFFFFF"/>
            <w:tcMar>
              <w:top w:w="110" w:type="dxa"/>
              <w:left w:w="58" w:type="dxa"/>
              <w:right w:w="58" w:type="dxa"/>
            </w:tcMar>
          </w:tcPr>
          <w:p w14:paraId="4C3E0D48"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sz w:val="28"/>
                <w:szCs w:val="28"/>
                <w:rtl/>
                <w:lang w:eastAsia="ar-EG" w:bidi="ar-EG"/>
              </w:rPr>
              <w:t>جميع الأعمال (</w:t>
            </w:r>
            <w:r>
              <w:rPr>
                <w:rFonts w:ascii="Arabic Typesetting" w:eastAsia="Arabic Typesetting" w:hAnsi="Arabic Typesetting" w:cs="Arabic Typesetting" w:hint="cs"/>
                <w:sz w:val="28"/>
                <w:szCs w:val="28"/>
                <w:rtl/>
                <w:lang w:eastAsia="ar-EG" w:bidi="ar-EG"/>
              </w:rPr>
              <w:t>%100</w:t>
            </w:r>
            <w:r w:rsidRPr="000319A2">
              <w:rPr>
                <w:rFonts w:ascii="Arabic Typesetting" w:eastAsia="Arabic Typesetting" w:hAnsi="Arabic Typesetting" w:cs="Arabic Typesetting"/>
                <w:sz w:val="28"/>
                <w:szCs w:val="28"/>
                <w:rtl/>
                <w:lang w:eastAsia="ar-EG" w:bidi="ar-EG"/>
              </w:rPr>
              <w:t>) غطت مجالات عالية المخاطر/عالية الوجاهة</w:t>
            </w:r>
          </w:p>
        </w:tc>
        <w:tc>
          <w:tcPr>
            <w:tcW w:w="429" w:type="pct"/>
            <w:shd w:val="clear" w:color="auto" w:fill="auto"/>
            <w:tcMar>
              <w:top w:w="110" w:type="dxa"/>
              <w:left w:w="58" w:type="dxa"/>
              <w:right w:w="58" w:type="dxa"/>
            </w:tcMar>
          </w:tcPr>
          <w:p w14:paraId="03906C36" w14:textId="77777777" w:rsidR="00BD3831" w:rsidRPr="000319A2" w:rsidRDefault="00BD3831" w:rsidP="0031289D">
            <w:pPr>
              <w:bidi/>
              <w:spacing w:after="120" w:line="280" w:lineRule="exact"/>
              <w:jc w:val="center"/>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b/>
                <w:bCs/>
                <w:color w:val="00B050"/>
                <w:sz w:val="28"/>
                <w:szCs w:val="28"/>
                <w:rtl/>
                <w:lang w:eastAsia="ar-EG" w:bidi="ar-EG"/>
              </w:rPr>
              <w:t>ثابت</w:t>
            </w:r>
          </w:p>
        </w:tc>
      </w:tr>
      <w:tr w:rsidR="00BD3831" w:rsidRPr="000319A2" w14:paraId="45242E95" w14:textId="77777777" w:rsidTr="00DF6715">
        <w:trPr>
          <w:trHeight w:val="1213"/>
        </w:trPr>
        <w:tc>
          <w:tcPr>
            <w:tcW w:w="1092" w:type="pct"/>
            <w:shd w:val="clear" w:color="auto" w:fill="auto"/>
            <w:tcMar>
              <w:left w:w="58" w:type="dxa"/>
              <w:right w:w="58" w:type="dxa"/>
            </w:tcMar>
          </w:tcPr>
          <w:p w14:paraId="05ECCBE6"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lastRenderedPageBreak/>
              <w:t>الكفاءة – صدور تقارير شعبة الرقابة الداخلية في الوقت المناسب مع توصيات مُحدَّدة وقابلة للقياس ويمكن تحقيقها وعملية المنحى ومُحدَّد المدة</w:t>
            </w:r>
          </w:p>
        </w:tc>
        <w:tc>
          <w:tcPr>
            <w:tcW w:w="1398" w:type="pct"/>
            <w:shd w:val="clear" w:color="auto" w:fill="auto"/>
            <w:tcMar>
              <w:left w:w="58" w:type="dxa"/>
              <w:right w:w="58" w:type="dxa"/>
            </w:tcMar>
          </w:tcPr>
          <w:p w14:paraId="6856DDBD"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319A2">
              <w:rPr>
                <w:rFonts w:ascii="Arabic Typesetting" w:eastAsia="Arabic Typesetting" w:hAnsi="Arabic Typesetting" w:cs="Arabic Typesetting"/>
                <w:color w:val="002060"/>
                <w:sz w:val="28"/>
                <w:szCs w:val="28"/>
                <w:rtl/>
                <w:lang w:eastAsia="ar-EG" w:bidi="ar-EG"/>
              </w:rPr>
              <w:t>صدور 24% من تقارير ال</w:t>
            </w:r>
            <w:r>
              <w:rPr>
                <w:rFonts w:ascii="Arabic Typesetting" w:eastAsia="Arabic Typesetting" w:hAnsi="Arabic Typesetting" w:cs="Arabic Typesetting"/>
                <w:color w:val="002060"/>
                <w:sz w:val="28"/>
                <w:szCs w:val="28"/>
                <w:rtl/>
                <w:lang w:eastAsia="ar-EG" w:bidi="ar-EG"/>
              </w:rPr>
              <w:t>تدقيق والتقييم في أقل من 4 أشهر</w:t>
            </w:r>
          </w:p>
          <w:p w14:paraId="67859BC9"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color w:val="002060"/>
                <w:sz w:val="28"/>
                <w:szCs w:val="28"/>
                <w:rtl/>
                <w:lang w:eastAsia="ar-EG" w:bidi="ar-EG"/>
              </w:rPr>
              <w:t>صدور 58% من تقارير التحقيق بحلول الموعد النهائي المحدد في سياسة التحقيق</w:t>
            </w:r>
          </w:p>
          <w:p w14:paraId="0BB65F17"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color w:val="002060"/>
                <w:sz w:val="28"/>
                <w:szCs w:val="28"/>
                <w:rtl/>
                <w:lang w:eastAsia="ar-EG" w:bidi="ar-EG"/>
              </w:rPr>
              <w:t>88% من المديرين رأوا أن توصيات شعبة الرقابة الداخلية مُحدَّدة وقابلة للقياس ويمكن تحقيقها وعملية المنحى ومُحدَّد المدة</w:t>
            </w:r>
          </w:p>
          <w:p w14:paraId="6E6AAC80" w14:textId="77777777" w:rsidR="00BD3831" w:rsidRDefault="00BD3831" w:rsidP="0031289D">
            <w:pPr>
              <w:bidi/>
              <w:spacing w:after="120" w:line="280" w:lineRule="exact"/>
              <w:rPr>
                <w:rFonts w:ascii="Arabic Typesetting" w:eastAsia="Arabic Typesetting" w:hAnsi="Arabic Typesetting" w:cs="Arabic Typesetting"/>
                <w:i/>
                <w:iCs/>
                <w:sz w:val="28"/>
                <w:szCs w:val="28"/>
                <w:rtl/>
                <w:lang w:eastAsia="ar-EG" w:bidi="ar-EG"/>
              </w:rPr>
            </w:pPr>
            <w:r w:rsidRPr="000319A2">
              <w:rPr>
                <w:rFonts w:ascii="Arabic Typesetting" w:eastAsia="Arabic Typesetting" w:hAnsi="Arabic Typesetting" w:cs="Arabic Typesetting"/>
                <w:i/>
                <w:iCs/>
                <w:sz w:val="28"/>
                <w:szCs w:val="28"/>
                <w:rtl/>
                <w:lang w:eastAsia="ar-EG" w:bidi="ar-EG"/>
              </w:rPr>
              <w:t>‏أساس المقارنة الأصلي:</w:t>
            </w:r>
            <w:r w:rsidRPr="000319A2">
              <w:rPr>
                <w:rFonts w:ascii="Arabic Typesetting" w:eastAsia="Arabic Typesetting" w:hAnsi="Arabic Typesetting" w:cs="Arabic Typesetting"/>
                <w:i/>
                <w:sz w:val="28"/>
                <w:szCs w:val="28"/>
                <w:lang w:eastAsia="ar-EG" w:bidi="ar-EG"/>
              </w:rPr>
              <w:br/>
            </w:r>
            <w:r w:rsidRPr="000319A2">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p>
          <w:p w14:paraId="0D689EB8"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صدور 75% من تقارير التد</w:t>
            </w:r>
            <w:r>
              <w:rPr>
                <w:rFonts w:ascii="Arabic Typesetting" w:eastAsia="Arabic Typesetting" w:hAnsi="Arabic Typesetting" w:cs="Arabic Typesetting"/>
                <w:color w:val="000000"/>
                <w:sz w:val="28"/>
                <w:szCs w:val="28"/>
                <w:rtl/>
                <w:lang w:eastAsia="ar-EG" w:bidi="ar-EG"/>
              </w:rPr>
              <w:t>قيق والتقييم في أقل من 4 أشهر؛</w:t>
            </w:r>
          </w:p>
          <w:p w14:paraId="019DA1D5"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صدور كل تقارير أنشطة التحقي</w:t>
            </w:r>
            <w:r>
              <w:rPr>
                <w:rFonts w:ascii="Arabic Typesetting" w:eastAsia="Arabic Typesetting" w:hAnsi="Arabic Typesetting" w:cs="Arabic Typesetting"/>
                <w:color w:val="000000"/>
                <w:sz w:val="28"/>
                <w:szCs w:val="28"/>
                <w:rtl/>
                <w:lang w:eastAsia="ar-EG" w:bidi="ar-EG"/>
              </w:rPr>
              <w:t>ق وفقاً لسياسة التحقيق؛</w:t>
            </w:r>
          </w:p>
          <w:p w14:paraId="17562992"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75% من التوصيات مُحدَّدة وقابلة للقياس ويمكن تحقيقها وعملية المنحى ومُحدَّد المدة</w:t>
            </w:r>
          </w:p>
        </w:tc>
        <w:tc>
          <w:tcPr>
            <w:tcW w:w="1081" w:type="pct"/>
            <w:shd w:val="clear" w:color="auto" w:fill="auto"/>
            <w:tcMar>
              <w:top w:w="110" w:type="dxa"/>
              <w:left w:w="58" w:type="dxa"/>
              <w:right w:w="58" w:type="dxa"/>
            </w:tcMar>
          </w:tcPr>
          <w:p w14:paraId="5F857A90"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rtl/>
                <w:lang w:eastAsia="ar-EG" w:bidi="ar-EG"/>
              </w:rPr>
            </w:pPr>
            <w:r w:rsidRPr="000319A2">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319A2">
              <w:rPr>
                <w:rFonts w:ascii="Arabic Typesetting" w:eastAsia="Arabic Typesetting" w:hAnsi="Arabic Typesetting" w:cs="Arabic Typesetting"/>
                <w:color w:val="002060"/>
                <w:sz w:val="28"/>
                <w:szCs w:val="28"/>
                <w:rtl/>
                <w:lang w:eastAsia="ar-EG" w:bidi="ar-EG"/>
              </w:rPr>
              <w:t>صدور 85% من تقارير التدقيق والتقييم في أقل من 4 أشهر</w:t>
            </w:r>
          </w:p>
          <w:p w14:paraId="1EBBD851"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rtl/>
                <w:lang w:eastAsia="ar-EG" w:bidi="ar-EG"/>
              </w:rPr>
            </w:pPr>
            <w:r w:rsidRPr="000319A2">
              <w:rPr>
                <w:rFonts w:ascii="Arabic Typesetting" w:eastAsia="Arabic Typesetting" w:hAnsi="Arabic Typesetting" w:cs="Arabic Typesetting"/>
                <w:color w:val="002060"/>
                <w:sz w:val="28"/>
                <w:szCs w:val="28"/>
                <w:rtl/>
                <w:lang w:eastAsia="ar-EG" w:bidi="ar-EG"/>
              </w:rPr>
              <w:t>صدور كل تقارير التحقيق بحلول الموعد النهائي المحدد في سياسة التحقيق</w:t>
            </w:r>
          </w:p>
          <w:p w14:paraId="27667019"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color w:val="002060"/>
                <w:sz w:val="28"/>
                <w:szCs w:val="28"/>
                <w:rtl/>
                <w:lang w:eastAsia="ar-EG" w:bidi="ar-EG"/>
              </w:rPr>
              <w:t>100% من المديرين يرون أن توصيات شعبة الرقابة الداخلية مُحدَّدة وقابلة للقياس ويمكن تحقيقها وعملية المنحى ومُحدَّد</w:t>
            </w:r>
            <w:r>
              <w:rPr>
                <w:rFonts w:ascii="Arabic Typesetting" w:eastAsia="Arabic Typesetting" w:hAnsi="Arabic Typesetting" w:cs="Arabic Typesetting" w:hint="cs"/>
                <w:color w:val="002060"/>
                <w:sz w:val="28"/>
                <w:szCs w:val="28"/>
                <w:rtl/>
                <w:lang w:eastAsia="ar-EG" w:bidi="ar-EG"/>
              </w:rPr>
              <w:t> </w:t>
            </w:r>
            <w:r w:rsidRPr="000319A2">
              <w:rPr>
                <w:rFonts w:ascii="Arabic Typesetting" w:eastAsia="Arabic Typesetting" w:hAnsi="Arabic Typesetting" w:cs="Arabic Typesetting"/>
                <w:color w:val="002060"/>
                <w:sz w:val="28"/>
                <w:szCs w:val="28"/>
                <w:rtl/>
                <w:lang w:eastAsia="ar-EG" w:bidi="ar-EG"/>
              </w:rPr>
              <w:t>المدة</w:t>
            </w:r>
          </w:p>
          <w:p w14:paraId="1FE72C4D"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rtl/>
                <w:lang w:eastAsia="ar-EG" w:bidi="ar-EG"/>
              </w:rPr>
            </w:pPr>
            <w:r w:rsidRPr="000319A2">
              <w:rPr>
                <w:rFonts w:ascii="Arabic Typesetting" w:eastAsia="Arabic Typesetting" w:hAnsi="Arabic Typesetting" w:cs="Arabic Typesetting"/>
                <w:i/>
                <w:iCs/>
                <w:color w:val="000000"/>
                <w:sz w:val="28"/>
                <w:szCs w:val="28"/>
                <w:rtl/>
                <w:lang w:eastAsia="ar-EG" w:bidi="ar-EG"/>
              </w:rPr>
              <w:t>الهدف الأصلي</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0319A2">
              <w:rPr>
                <w:rFonts w:ascii="Arabic Typesetting" w:eastAsia="Arabic Typesetting" w:hAnsi="Arabic Typesetting" w:cs="Arabic Typesetting"/>
                <w:color w:val="000000"/>
                <w:sz w:val="28"/>
                <w:szCs w:val="28"/>
                <w:rtl/>
                <w:lang w:eastAsia="ar-EG" w:bidi="ar-EG"/>
              </w:rPr>
              <w:t>صدور 85% من تقارير التدقيق والتقييم في أقل من 4 أشهر</w:t>
            </w:r>
          </w:p>
          <w:p w14:paraId="029B48D0"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صدور كل تقارير التحقيق بحلول الموعد النهائي المحدد في سياسة التحقيق</w:t>
            </w:r>
          </w:p>
          <w:p w14:paraId="1A4507F1"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sz w:val="28"/>
                <w:szCs w:val="28"/>
                <w:rtl/>
                <w:lang w:eastAsia="ar-EG" w:bidi="ar-EG"/>
              </w:rPr>
              <w:t xml:space="preserve">100% من التوصيات مُحدَّدة وقابلة للقياس ويمكن تحقيقها وعملية المنحى ومُحدَّد المدة </w:t>
            </w:r>
          </w:p>
        </w:tc>
        <w:tc>
          <w:tcPr>
            <w:tcW w:w="1000" w:type="pct"/>
            <w:shd w:val="clear" w:color="auto" w:fill="FFFFFF"/>
            <w:tcMar>
              <w:top w:w="110" w:type="dxa"/>
              <w:left w:w="58" w:type="dxa"/>
              <w:right w:w="58" w:type="dxa"/>
            </w:tcMar>
          </w:tcPr>
          <w:p w14:paraId="654E5AC1" w14:textId="77777777" w:rsidR="00BD3831" w:rsidRDefault="00BD3831" w:rsidP="0031289D">
            <w:pPr>
              <w:bidi/>
              <w:spacing w:before="240" w:after="120" w:line="280" w:lineRule="exact"/>
              <w:rPr>
                <w:rFonts w:ascii="Arabic Typesetting" w:eastAsia="Arabic Typesetting" w:hAnsi="Arabic Typesetting" w:cs="Arabic Typesetting"/>
                <w:sz w:val="28"/>
                <w:szCs w:val="28"/>
                <w:lang w:eastAsia="ar-EG" w:bidi="ar-EG"/>
              </w:rPr>
            </w:pPr>
            <w:r w:rsidRPr="000319A2">
              <w:rPr>
                <w:rFonts w:ascii="Arabic Typesetting" w:eastAsia="Arabic Typesetting" w:hAnsi="Arabic Typesetting" w:cs="Arabic Typesetting"/>
                <w:sz w:val="28"/>
                <w:szCs w:val="28"/>
                <w:rtl/>
                <w:lang w:eastAsia="ar-EG" w:bidi="ar-EG"/>
              </w:rPr>
              <w:t>(أ) صدور 50% من تقارير التدقيق والتقييم في أقل من 4 أشهر</w:t>
            </w:r>
          </w:p>
          <w:p w14:paraId="09FC836C" w14:textId="77777777" w:rsidR="00BD3831"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0319A2">
              <w:rPr>
                <w:rFonts w:ascii="Arabic Typesetting" w:eastAsia="Arabic Typesetting" w:hAnsi="Arabic Typesetting" w:cs="Arabic Typesetting"/>
                <w:sz w:val="28"/>
                <w:szCs w:val="28"/>
                <w:rtl/>
                <w:lang w:eastAsia="ar-EG" w:bidi="ar-EG"/>
              </w:rPr>
              <w:t>(ب) صدور 53% من تقارير التحقيق بحلول الموعد النهائي المحدد في سياسة التحقيق</w:t>
            </w:r>
          </w:p>
          <w:p w14:paraId="374A6987"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 xml:space="preserve">ج) </w:t>
            </w:r>
            <w:r>
              <w:rPr>
                <w:rFonts w:ascii="Arabic Typesetting" w:eastAsia="Arabic Typesetting" w:hAnsi="Arabic Typesetting" w:cs="Arabic Typesetting"/>
                <w:sz w:val="28"/>
                <w:szCs w:val="28"/>
                <w:lang w:eastAsia="ar-EG" w:bidi="ar-EG"/>
              </w:rPr>
              <w:t>%81</w:t>
            </w:r>
            <w:r>
              <w:rPr>
                <w:rFonts w:ascii="Arabic Typesetting" w:eastAsia="Arabic Typesetting" w:hAnsi="Arabic Typesetting" w:cs="Arabic Typesetting" w:hint="cs"/>
                <w:sz w:val="28"/>
                <w:szCs w:val="28"/>
                <w:rtl/>
                <w:lang w:eastAsia="ar-EG" w:bidi="ar-EG"/>
              </w:rPr>
              <w:t xml:space="preserve"> </w:t>
            </w:r>
            <w:r w:rsidRPr="000319A2">
              <w:rPr>
                <w:rFonts w:ascii="Arabic Typesetting" w:eastAsia="Arabic Typesetting" w:hAnsi="Arabic Typesetting" w:cs="Arabic Typesetting"/>
                <w:sz w:val="28"/>
                <w:szCs w:val="28"/>
                <w:rtl/>
                <w:lang w:eastAsia="ar-EG" w:bidi="ar-EG"/>
              </w:rPr>
              <w:t>من المديرين رأوا أن توصيات شعبة الرقابة الداخلية مُحدَّدة وقابلة للقياس ويمكن تحقيقها وعملية المنحى ومُحدَّد المدة</w:t>
            </w:r>
          </w:p>
        </w:tc>
        <w:tc>
          <w:tcPr>
            <w:tcW w:w="429" w:type="pct"/>
            <w:shd w:val="clear" w:color="auto" w:fill="auto"/>
            <w:tcMar>
              <w:top w:w="110" w:type="dxa"/>
              <w:left w:w="58" w:type="dxa"/>
              <w:right w:w="58" w:type="dxa"/>
            </w:tcMar>
          </w:tcPr>
          <w:p w14:paraId="3CBF28B9" w14:textId="77777777" w:rsidR="00BD3831" w:rsidRDefault="00BD3831" w:rsidP="0031289D">
            <w:pPr>
              <w:bidi/>
              <w:spacing w:before="240" w:after="720" w:line="280" w:lineRule="exact"/>
              <w:jc w:val="center"/>
              <w:rPr>
                <w:rFonts w:ascii="Arabic Typesetting" w:eastAsia="Arabic Typesetting" w:hAnsi="Arabic Typesetting" w:cs="Arabic Typesetting"/>
                <w:b/>
                <w:bCs/>
                <w:color w:val="FF0000"/>
                <w:sz w:val="28"/>
                <w:szCs w:val="28"/>
                <w:lang w:eastAsia="ar-EG" w:bidi="ar-EG"/>
              </w:rPr>
            </w:pPr>
            <w:r w:rsidRPr="000319A2">
              <w:rPr>
                <w:rFonts w:ascii="Arabic Typesetting" w:eastAsia="Arabic Typesetting" w:hAnsi="Arabic Typesetting" w:cs="Arabic Typesetting"/>
                <w:b/>
                <w:bCs/>
                <w:color w:val="FF0000"/>
                <w:sz w:val="28"/>
                <w:szCs w:val="28"/>
                <w:rtl/>
                <w:lang w:eastAsia="ar-EG" w:bidi="ar-EG"/>
              </w:rPr>
              <w:t>غير ثابت</w:t>
            </w:r>
          </w:p>
          <w:p w14:paraId="0C8A2264" w14:textId="77777777" w:rsidR="00BD3831" w:rsidRDefault="00BD3831" w:rsidP="0031289D">
            <w:pPr>
              <w:bidi/>
              <w:spacing w:after="600" w:line="280" w:lineRule="exact"/>
              <w:jc w:val="center"/>
              <w:rPr>
                <w:rFonts w:ascii="Arabic Typesetting" w:eastAsia="Arabic Typesetting" w:hAnsi="Arabic Typesetting" w:cs="Arabic Typesetting"/>
                <w:b/>
                <w:bCs/>
                <w:color w:val="FF0000"/>
                <w:sz w:val="28"/>
                <w:szCs w:val="28"/>
                <w:lang w:eastAsia="ar-EG" w:bidi="ar-EG"/>
              </w:rPr>
            </w:pPr>
            <w:r w:rsidRPr="000319A2">
              <w:rPr>
                <w:rFonts w:ascii="Arabic Typesetting" w:eastAsia="Arabic Typesetting" w:hAnsi="Arabic Typesetting" w:cs="Arabic Typesetting"/>
                <w:b/>
                <w:bCs/>
                <w:color w:val="FF0000"/>
                <w:sz w:val="28"/>
                <w:szCs w:val="28"/>
                <w:rtl/>
                <w:lang w:eastAsia="ar-EG" w:bidi="ar-EG"/>
              </w:rPr>
              <w:t>غير ثابت</w:t>
            </w:r>
          </w:p>
          <w:p w14:paraId="2A56205C" w14:textId="77777777" w:rsidR="00BD3831" w:rsidRPr="000319A2" w:rsidRDefault="00BD3831" w:rsidP="0031289D">
            <w:pPr>
              <w:bidi/>
              <w:spacing w:after="120" w:line="280" w:lineRule="exact"/>
              <w:jc w:val="center"/>
              <w:rPr>
                <w:rFonts w:ascii="Arabic Typesetting" w:eastAsia="Arabic Typesetting" w:hAnsi="Arabic Typesetting" w:cs="Arabic Typesetting"/>
                <w:b/>
                <w:bCs/>
                <w:color w:val="00B050"/>
                <w:sz w:val="28"/>
                <w:szCs w:val="28"/>
                <w:lang w:eastAsia="ar-EG" w:bidi="ar-EG"/>
              </w:rPr>
            </w:pPr>
            <w:r w:rsidRPr="000319A2">
              <w:rPr>
                <w:rFonts w:ascii="Arabic Typesetting" w:eastAsia="Arabic Typesetting" w:hAnsi="Arabic Typesetting" w:cs="Arabic Typesetting"/>
                <w:b/>
                <w:bCs/>
                <w:color w:val="00B050"/>
                <w:sz w:val="28"/>
                <w:szCs w:val="28"/>
                <w:rtl/>
                <w:lang w:eastAsia="ar-EG" w:bidi="ar-EG"/>
              </w:rPr>
              <w:t>ثابت</w:t>
            </w:r>
          </w:p>
        </w:tc>
      </w:tr>
      <w:tr w:rsidR="00BD3831" w:rsidRPr="000319A2" w14:paraId="6C6D3509" w14:textId="77777777" w:rsidTr="00DF6715">
        <w:trPr>
          <w:trHeight w:val="1213"/>
        </w:trPr>
        <w:tc>
          <w:tcPr>
            <w:tcW w:w="1092" w:type="pct"/>
            <w:shd w:val="clear" w:color="auto" w:fill="auto"/>
            <w:tcMar>
              <w:left w:w="58" w:type="dxa"/>
              <w:right w:w="58" w:type="dxa"/>
            </w:tcMar>
          </w:tcPr>
          <w:p w14:paraId="181BD6B5"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الوجاهة والقيمة المضافة والإشراف ـ وفورات أو تحسينات فعلية في العمليات والأنظمة التجارية</w:t>
            </w:r>
          </w:p>
        </w:tc>
        <w:tc>
          <w:tcPr>
            <w:tcW w:w="1398" w:type="pct"/>
            <w:shd w:val="clear" w:color="auto" w:fill="auto"/>
            <w:tcMar>
              <w:left w:w="58" w:type="dxa"/>
              <w:right w:w="58" w:type="dxa"/>
            </w:tcMar>
          </w:tcPr>
          <w:p w14:paraId="7F08A9A7" w14:textId="77777777" w:rsidR="00BD3831" w:rsidRDefault="00BD3831" w:rsidP="0031289D">
            <w:pPr>
              <w:bidi/>
              <w:spacing w:after="36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319A2">
              <w:rPr>
                <w:rFonts w:ascii="Arabic Typesetting" w:eastAsia="Arabic Typesetting" w:hAnsi="Arabic Typesetting" w:cs="Arabic Typesetting"/>
                <w:color w:val="002060"/>
                <w:sz w:val="28"/>
                <w:szCs w:val="28"/>
                <w:rtl/>
                <w:lang w:eastAsia="ar-EG" w:bidi="ar-EG"/>
              </w:rPr>
              <w:t xml:space="preserve">69% من المديرين رأوا أن توصيات شعبة الرقابة الداخلية حققت مكاسب في الكفاءة </w:t>
            </w:r>
          </w:p>
          <w:p w14:paraId="0A616BF3" w14:textId="77777777" w:rsidR="00BD3831" w:rsidRDefault="00BD3831" w:rsidP="0031289D">
            <w:pPr>
              <w:bidi/>
              <w:spacing w:after="24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color w:val="002060"/>
                <w:sz w:val="28"/>
                <w:szCs w:val="28"/>
                <w:rtl/>
                <w:lang w:eastAsia="ar-EG" w:bidi="ar-EG"/>
              </w:rPr>
              <w:t>28% من الوفورات السنوية في التكاليف يمكن ربطه</w:t>
            </w:r>
            <w:r>
              <w:rPr>
                <w:rFonts w:ascii="Arabic Typesetting" w:eastAsia="Arabic Typesetting" w:hAnsi="Arabic Typesetting" w:cs="Arabic Typesetting"/>
                <w:color w:val="002060"/>
                <w:sz w:val="28"/>
                <w:szCs w:val="28"/>
                <w:rtl/>
                <w:lang w:eastAsia="ar-EG" w:bidi="ar-EG"/>
              </w:rPr>
              <w:t>ا بتوصيات شعبة الرقابة الداخلية</w:t>
            </w:r>
          </w:p>
          <w:p w14:paraId="5676FB8E"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i/>
                <w:iCs/>
                <w:sz w:val="28"/>
                <w:szCs w:val="28"/>
                <w:rtl/>
                <w:lang w:eastAsia="ar-EG" w:bidi="ar-EG"/>
              </w:rPr>
              <w:t>‏أساس المقارنة الأصلي:</w:t>
            </w:r>
            <w:r w:rsidRPr="000319A2">
              <w:rPr>
                <w:rFonts w:ascii="Arabic Typesetting" w:eastAsia="Arabic Typesetting" w:hAnsi="Arabic Typesetting" w:cs="Arabic Typesetting"/>
                <w:i/>
                <w:sz w:val="28"/>
                <w:szCs w:val="28"/>
                <w:lang w:eastAsia="ar-EG" w:bidi="ar-EG"/>
              </w:rPr>
              <w:br/>
            </w:r>
            <w:r w:rsidRPr="000319A2">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0319A2">
              <w:rPr>
                <w:rFonts w:ascii="Arabic Typesetting" w:eastAsia="Arabic Typesetting" w:hAnsi="Arabic Typesetting" w:cs="Arabic Typesetting"/>
                <w:color w:val="000000"/>
                <w:sz w:val="28"/>
                <w:szCs w:val="28"/>
                <w:rtl/>
                <w:lang w:eastAsia="ar-EG" w:bidi="ar-EG"/>
              </w:rPr>
              <w:t>غير متاح (يُحدَّد في نهاية 2015)</w:t>
            </w:r>
          </w:p>
        </w:tc>
        <w:tc>
          <w:tcPr>
            <w:tcW w:w="1081" w:type="pct"/>
            <w:shd w:val="clear" w:color="auto" w:fill="auto"/>
            <w:tcMar>
              <w:top w:w="110" w:type="dxa"/>
              <w:left w:w="58" w:type="dxa"/>
              <w:right w:w="58" w:type="dxa"/>
            </w:tcMar>
          </w:tcPr>
          <w:p w14:paraId="2D9D4BDB"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319A2">
              <w:rPr>
                <w:rFonts w:ascii="Arabic Typesetting" w:eastAsia="Arabic Typesetting" w:hAnsi="Arabic Typesetting" w:cs="Arabic Typesetting"/>
                <w:color w:val="002060"/>
                <w:sz w:val="28"/>
                <w:szCs w:val="28"/>
                <w:rtl/>
                <w:lang w:eastAsia="ar-EG" w:bidi="ar-EG"/>
              </w:rPr>
              <w:t>50% من المديرين يرون أن توصيات شعبة الرقابة الداخلية حققت مكاسب في الكفاءة</w:t>
            </w:r>
          </w:p>
          <w:p w14:paraId="0673DF2A"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color w:val="002060"/>
                <w:sz w:val="28"/>
                <w:szCs w:val="28"/>
                <w:rtl/>
                <w:lang w:eastAsia="ar-EG" w:bidi="ar-EG"/>
              </w:rPr>
              <w:t>50% من الوفورات السنوية في التكاليف يمكن ربطها بتوصيات شعبة الرقابة الداخلية</w:t>
            </w:r>
          </w:p>
          <w:p w14:paraId="2644F021"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i/>
                <w:iCs/>
                <w:color w:val="000000"/>
                <w:sz w:val="28"/>
                <w:szCs w:val="28"/>
                <w:rtl/>
                <w:lang w:eastAsia="ar-EG" w:bidi="ar-EG"/>
              </w:rPr>
              <w:t>الهدف الأصلي</w:t>
            </w:r>
            <w:r>
              <w:rPr>
                <w:rFonts w:ascii="Arabic Typesetting" w:eastAsia="Arabic Typesetting" w:hAnsi="Arabic Typesetting" w:cs="Arabic Typesetting"/>
                <w:i/>
                <w:iCs/>
                <w:color w:val="000000"/>
                <w:sz w:val="28"/>
                <w:szCs w:val="28"/>
                <w:rtl/>
                <w:lang w:eastAsia="ar-EG" w:bidi="ar-EG"/>
              </w:rPr>
              <w:t>:</w:t>
            </w:r>
            <w:r>
              <w:rPr>
                <w:rFonts w:ascii="Arabic Typesetting" w:eastAsia="Arabic Typesetting" w:hAnsi="Arabic Typesetting" w:cs="Arabic Typesetting"/>
                <w:i/>
                <w:iCs/>
                <w:color w:val="000000"/>
                <w:sz w:val="28"/>
                <w:szCs w:val="28"/>
                <w:rtl/>
                <w:lang w:eastAsia="ar-EG" w:bidi="ar-EG"/>
              </w:rPr>
              <w:br/>
            </w:r>
            <w:r w:rsidRPr="000319A2">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sz w:val="28"/>
                <w:szCs w:val="28"/>
                <w:rtl/>
                <w:lang w:eastAsia="ar-EG" w:bidi="ar-EG"/>
              </w:rPr>
              <w:t xml:space="preserve">50% </w:t>
            </w:r>
            <w:r w:rsidRPr="000319A2">
              <w:rPr>
                <w:rFonts w:ascii="Arabic Typesetting" w:eastAsia="Arabic Typesetting" w:hAnsi="Arabic Typesetting" w:cs="Arabic Typesetting"/>
                <w:sz w:val="28"/>
                <w:szCs w:val="28"/>
                <w:rtl/>
                <w:lang w:eastAsia="ar-EG" w:bidi="ar-EG"/>
              </w:rPr>
              <w:t>من التوصيات تؤدي إلى مكاسب في الكفاءة</w:t>
            </w:r>
          </w:p>
        </w:tc>
        <w:tc>
          <w:tcPr>
            <w:tcW w:w="1000" w:type="pct"/>
            <w:shd w:val="clear" w:color="auto" w:fill="FFFFFF"/>
            <w:tcMar>
              <w:top w:w="110" w:type="dxa"/>
              <w:left w:w="58" w:type="dxa"/>
              <w:right w:w="58" w:type="dxa"/>
            </w:tcMar>
          </w:tcPr>
          <w:p w14:paraId="3DBCD95C" w14:textId="77777777" w:rsidR="00BD3831" w:rsidRDefault="00BD3831" w:rsidP="0031289D">
            <w:pPr>
              <w:bidi/>
              <w:spacing w:before="240" w:after="120" w:line="280" w:lineRule="exact"/>
              <w:rPr>
                <w:rFonts w:ascii="Arabic Typesetting" w:eastAsia="Arabic Typesetting" w:hAnsi="Arabic Typesetting" w:cs="Arabic Typesetting"/>
                <w:sz w:val="28"/>
                <w:szCs w:val="28"/>
                <w:lang w:eastAsia="ar-EG" w:bidi="ar-EG"/>
              </w:rPr>
            </w:pPr>
            <w:r w:rsidRPr="000319A2">
              <w:rPr>
                <w:rFonts w:ascii="Arabic Typesetting" w:eastAsia="Arabic Typesetting" w:hAnsi="Arabic Typesetting" w:cs="Arabic Typesetting"/>
                <w:sz w:val="28"/>
                <w:szCs w:val="28"/>
                <w:rtl/>
                <w:lang w:eastAsia="ar-EG" w:bidi="ar-EG"/>
              </w:rPr>
              <w:t>71% من المديرين رأوا أن توصيات شعبة الرقابة الداخلية حققت مكاسب في</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الكفاءة</w:t>
            </w:r>
          </w:p>
          <w:p w14:paraId="10EB812E" w14:textId="77777777" w:rsidR="00BD3831" w:rsidRPr="000319A2"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0319A2">
              <w:rPr>
                <w:rFonts w:ascii="Arabic Typesetting" w:eastAsia="Arabic Typesetting" w:hAnsi="Arabic Typesetting" w:cs="Arabic Typesetting"/>
                <w:sz w:val="28"/>
                <w:szCs w:val="28"/>
                <w:rtl/>
                <w:lang w:eastAsia="ar-EG" w:bidi="ar-EG"/>
              </w:rPr>
              <w:t>30% من الوفورات السنوية في التكاليف يمكن ربطها بتوصيات شعبة الرقابة الداخلية</w:t>
            </w:r>
          </w:p>
        </w:tc>
        <w:tc>
          <w:tcPr>
            <w:tcW w:w="429" w:type="pct"/>
            <w:shd w:val="clear" w:color="auto" w:fill="auto"/>
            <w:tcMar>
              <w:top w:w="110" w:type="dxa"/>
              <w:left w:w="58" w:type="dxa"/>
              <w:right w:w="58" w:type="dxa"/>
            </w:tcMar>
          </w:tcPr>
          <w:p w14:paraId="35C7849F" w14:textId="77777777" w:rsidR="00BD3831" w:rsidRDefault="00BD3831" w:rsidP="0031289D">
            <w:pPr>
              <w:bidi/>
              <w:spacing w:before="240" w:after="960" w:line="280" w:lineRule="exact"/>
              <w:jc w:val="center"/>
              <w:rPr>
                <w:rFonts w:ascii="Arabic Typesetting" w:eastAsia="Arabic Typesetting" w:hAnsi="Arabic Typesetting" w:cs="Arabic Typesetting"/>
                <w:b/>
                <w:bCs/>
                <w:color w:val="00B050"/>
                <w:sz w:val="28"/>
                <w:szCs w:val="28"/>
                <w:lang w:eastAsia="ar-EG" w:bidi="ar-EG"/>
              </w:rPr>
            </w:pPr>
            <w:r w:rsidRPr="000319A2">
              <w:rPr>
                <w:rFonts w:ascii="Arabic Typesetting" w:eastAsia="Arabic Typesetting" w:hAnsi="Arabic Typesetting" w:cs="Arabic Typesetting"/>
                <w:b/>
                <w:bCs/>
                <w:color w:val="00B050"/>
                <w:sz w:val="28"/>
                <w:szCs w:val="28"/>
                <w:rtl/>
                <w:lang w:eastAsia="ar-EG" w:bidi="ar-EG"/>
              </w:rPr>
              <w:t>ثابت</w:t>
            </w:r>
          </w:p>
          <w:p w14:paraId="4237A978" w14:textId="77777777" w:rsidR="00BD3831" w:rsidRPr="000319A2" w:rsidRDefault="00BD3831" w:rsidP="0031289D">
            <w:pPr>
              <w:bidi/>
              <w:spacing w:after="120" w:line="280" w:lineRule="exact"/>
              <w:jc w:val="center"/>
              <w:rPr>
                <w:rFonts w:ascii="Arabic Typesetting" w:eastAsia="Arabic Typesetting" w:hAnsi="Arabic Typesetting" w:cs="Arabic Typesetting"/>
                <w:b/>
                <w:bCs/>
                <w:color w:val="FF0000"/>
                <w:sz w:val="28"/>
                <w:szCs w:val="28"/>
                <w:lang w:eastAsia="ar-EG" w:bidi="ar-EG"/>
              </w:rPr>
            </w:pPr>
            <w:r w:rsidRPr="000319A2">
              <w:rPr>
                <w:rFonts w:ascii="Arabic Typesetting" w:eastAsia="Arabic Typesetting" w:hAnsi="Arabic Typesetting" w:cs="Arabic Typesetting"/>
                <w:b/>
                <w:bCs/>
                <w:color w:val="FF0000"/>
                <w:sz w:val="28"/>
                <w:szCs w:val="28"/>
                <w:rtl/>
                <w:lang w:eastAsia="ar-EG" w:bidi="ar-EG"/>
              </w:rPr>
              <w:t>غير ثابت</w:t>
            </w:r>
          </w:p>
        </w:tc>
      </w:tr>
      <w:tr w:rsidR="00BD3831" w:rsidRPr="000319A2" w14:paraId="77884C80" w14:textId="77777777" w:rsidTr="00DF6715">
        <w:trPr>
          <w:trHeight w:val="1920"/>
        </w:trPr>
        <w:tc>
          <w:tcPr>
            <w:tcW w:w="1092" w:type="pct"/>
            <w:shd w:val="clear" w:color="auto" w:fill="auto"/>
            <w:tcMar>
              <w:left w:w="58" w:type="dxa"/>
              <w:right w:w="58" w:type="dxa"/>
            </w:tcMar>
          </w:tcPr>
          <w:p w14:paraId="34988F4F"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التعلم المؤسسي ـ تعلم الدروس والتوصيات من عمليات الرقابة</w:t>
            </w:r>
          </w:p>
        </w:tc>
        <w:tc>
          <w:tcPr>
            <w:tcW w:w="1398" w:type="pct"/>
            <w:shd w:val="clear" w:color="auto" w:fill="auto"/>
            <w:tcMar>
              <w:left w:w="58" w:type="dxa"/>
              <w:right w:w="58" w:type="dxa"/>
            </w:tcMar>
          </w:tcPr>
          <w:p w14:paraId="5BBE990C"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0319A2">
              <w:rPr>
                <w:rFonts w:ascii="Arabic Typesetting" w:eastAsia="Arabic Typesetting" w:hAnsi="Arabic Typesetting" w:cs="Arabic Typesetting"/>
                <w:color w:val="002060"/>
                <w:sz w:val="28"/>
                <w:szCs w:val="28"/>
                <w:rtl/>
                <w:lang w:eastAsia="ar-EG" w:bidi="ar-EG"/>
              </w:rPr>
              <w:t xml:space="preserve">قبول أكثر من 95% من التوصيات </w:t>
            </w:r>
          </w:p>
          <w:p w14:paraId="3A0248E9"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0319A2">
              <w:rPr>
                <w:rFonts w:ascii="Arabic Typesetting" w:eastAsia="Arabic Typesetting" w:hAnsi="Arabic Typesetting" w:cs="Arabic Typesetting"/>
                <w:color w:val="002060"/>
                <w:sz w:val="28"/>
                <w:szCs w:val="28"/>
                <w:rtl/>
                <w:lang w:eastAsia="ar-EG" w:bidi="ar-EG"/>
              </w:rPr>
              <w:t>وتنفيذ 40% من التوصيات في غضون سنتين</w:t>
            </w:r>
          </w:p>
          <w:p w14:paraId="04B3ED89"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i/>
                <w:iCs/>
                <w:sz w:val="28"/>
                <w:szCs w:val="28"/>
                <w:rtl/>
                <w:lang w:eastAsia="ar-EG" w:bidi="ar-EG"/>
              </w:rPr>
              <w:t>‏أساس المقارنة الأصلي:</w:t>
            </w:r>
            <w:r w:rsidRPr="000319A2">
              <w:rPr>
                <w:rFonts w:ascii="Arabic Typesetting" w:eastAsia="Arabic Typesetting" w:hAnsi="Arabic Typesetting" w:cs="Arabic Typesetting"/>
                <w:i/>
                <w:sz w:val="28"/>
                <w:szCs w:val="28"/>
                <w:lang w:eastAsia="ar-EG" w:bidi="ar-EG"/>
              </w:rPr>
              <w:br/>
            </w:r>
            <w:r w:rsidRPr="000319A2">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0319A2">
              <w:rPr>
                <w:rFonts w:ascii="Arabic Typesetting" w:eastAsia="Arabic Typesetting" w:hAnsi="Arabic Typesetting" w:cs="Arabic Typesetting"/>
                <w:color w:val="000000"/>
                <w:sz w:val="28"/>
                <w:szCs w:val="28"/>
                <w:rtl/>
                <w:lang w:eastAsia="ar-EG" w:bidi="ar-EG"/>
              </w:rPr>
              <w:t xml:space="preserve">‏قبول 90% من التوصيات وتنفيذ 90% من التوصيات في </w:t>
            </w:r>
            <w:r>
              <w:rPr>
                <w:rFonts w:ascii="Arabic Typesetting" w:eastAsia="Arabic Typesetting" w:hAnsi="Arabic Typesetting" w:cs="Arabic Typesetting" w:hint="cs"/>
                <w:color w:val="000000"/>
                <w:sz w:val="28"/>
                <w:szCs w:val="28"/>
                <w:rtl/>
                <w:lang w:eastAsia="ar-EG" w:bidi="ar-EG"/>
              </w:rPr>
              <w:t xml:space="preserve">غضون </w:t>
            </w:r>
            <w:r w:rsidRPr="000319A2">
              <w:rPr>
                <w:rFonts w:ascii="Arabic Typesetting" w:eastAsia="Arabic Typesetting" w:hAnsi="Arabic Typesetting" w:cs="Arabic Typesetting"/>
                <w:color w:val="000000"/>
                <w:sz w:val="28"/>
                <w:szCs w:val="28"/>
                <w:rtl/>
                <w:lang w:eastAsia="ar-EG" w:bidi="ar-EG"/>
              </w:rPr>
              <w:t>سنتين</w:t>
            </w:r>
          </w:p>
        </w:tc>
        <w:tc>
          <w:tcPr>
            <w:tcW w:w="1081" w:type="pct"/>
            <w:shd w:val="clear" w:color="auto" w:fill="auto"/>
            <w:tcMar>
              <w:top w:w="110" w:type="dxa"/>
              <w:left w:w="58" w:type="dxa"/>
              <w:right w:w="58" w:type="dxa"/>
            </w:tcMar>
          </w:tcPr>
          <w:p w14:paraId="05AC60E9" w14:textId="77777777" w:rsidR="00BD3831" w:rsidRDefault="00BD3831" w:rsidP="0031289D">
            <w:pPr>
              <w:bidi/>
              <w:spacing w:before="240"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‏قبول 90% من التوصيات</w:t>
            </w:r>
          </w:p>
          <w:p w14:paraId="410E90B4"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color w:val="000000"/>
                <w:sz w:val="28"/>
                <w:szCs w:val="28"/>
                <w:rtl/>
                <w:lang w:eastAsia="ar-EG" w:bidi="ar-EG"/>
              </w:rPr>
              <w:t>وتنفيذ 90% من التوصيات في غضون سنتين</w:t>
            </w:r>
          </w:p>
        </w:tc>
        <w:tc>
          <w:tcPr>
            <w:tcW w:w="1000" w:type="pct"/>
            <w:shd w:val="clear" w:color="auto" w:fill="FFFFFF"/>
            <w:tcMar>
              <w:top w:w="110" w:type="dxa"/>
              <w:left w:w="58" w:type="dxa"/>
              <w:right w:w="58" w:type="dxa"/>
            </w:tcMar>
          </w:tcPr>
          <w:p w14:paraId="66D21CDC" w14:textId="77777777" w:rsidR="00BD3831" w:rsidRDefault="00BD3831" w:rsidP="0031289D">
            <w:pPr>
              <w:bidi/>
              <w:spacing w:before="240" w:after="120" w:line="280" w:lineRule="exact"/>
              <w:rPr>
                <w:rFonts w:ascii="Arabic Typesetting" w:eastAsia="Arabic Typesetting" w:hAnsi="Arabic Typesetting" w:cs="Arabic Typesetting"/>
                <w:sz w:val="28"/>
                <w:szCs w:val="28"/>
                <w:lang w:eastAsia="ar-EG" w:bidi="ar-EG"/>
              </w:rPr>
            </w:pPr>
            <w:r w:rsidRPr="000319A2">
              <w:rPr>
                <w:rFonts w:ascii="Arabic Typesetting" w:eastAsia="Arabic Typesetting" w:hAnsi="Arabic Typesetting" w:cs="Arabic Typesetting"/>
                <w:sz w:val="28"/>
                <w:szCs w:val="28"/>
                <w:rtl/>
                <w:lang w:eastAsia="ar-EG" w:bidi="ar-EG"/>
              </w:rPr>
              <w:t xml:space="preserve">‏قبول 95% من التوصيات </w:t>
            </w:r>
          </w:p>
          <w:p w14:paraId="25AA0B1A" w14:textId="77777777" w:rsidR="00BD3831" w:rsidRPr="000319A2"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0319A2">
              <w:rPr>
                <w:rFonts w:ascii="Arabic Typesetting" w:eastAsia="Arabic Typesetting" w:hAnsi="Arabic Typesetting" w:cs="Arabic Typesetting"/>
                <w:sz w:val="28"/>
                <w:szCs w:val="28"/>
                <w:rtl/>
                <w:lang w:eastAsia="ar-EG" w:bidi="ar-EG"/>
              </w:rPr>
              <w:t>وتنفيذ 59% من التوصيات في غضون سنتين</w:t>
            </w:r>
          </w:p>
        </w:tc>
        <w:tc>
          <w:tcPr>
            <w:tcW w:w="429" w:type="pct"/>
            <w:shd w:val="clear" w:color="auto" w:fill="auto"/>
            <w:tcMar>
              <w:top w:w="110" w:type="dxa"/>
              <w:left w:w="58" w:type="dxa"/>
              <w:right w:w="58" w:type="dxa"/>
            </w:tcMar>
          </w:tcPr>
          <w:p w14:paraId="07789C7F" w14:textId="77777777" w:rsidR="00BD3831" w:rsidRDefault="00BD3831" w:rsidP="0031289D">
            <w:pPr>
              <w:bidi/>
              <w:spacing w:before="240" w:after="120" w:line="280" w:lineRule="exact"/>
              <w:jc w:val="center"/>
              <w:rPr>
                <w:rFonts w:ascii="Arabic Typesetting" w:eastAsia="Arabic Typesetting" w:hAnsi="Arabic Typesetting" w:cs="Arabic Typesetting"/>
                <w:b/>
                <w:bCs/>
                <w:color w:val="00B050"/>
                <w:sz w:val="28"/>
                <w:szCs w:val="28"/>
                <w:lang w:eastAsia="ar-EG" w:bidi="ar-EG"/>
              </w:rPr>
            </w:pPr>
            <w:r w:rsidRPr="000319A2">
              <w:rPr>
                <w:rFonts w:ascii="Arabic Typesetting" w:eastAsia="Arabic Typesetting" w:hAnsi="Arabic Typesetting" w:cs="Arabic Typesetting"/>
                <w:b/>
                <w:bCs/>
                <w:color w:val="00B050"/>
                <w:sz w:val="28"/>
                <w:szCs w:val="28"/>
                <w:rtl/>
                <w:lang w:eastAsia="ar-EG" w:bidi="ar-EG"/>
              </w:rPr>
              <w:t>ثابت</w:t>
            </w:r>
          </w:p>
          <w:p w14:paraId="39186285" w14:textId="77777777" w:rsidR="00BD3831" w:rsidRPr="000319A2" w:rsidRDefault="00BD3831" w:rsidP="0031289D">
            <w:pPr>
              <w:bidi/>
              <w:spacing w:before="120" w:after="120" w:line="280" w:lineRule="exact"/>
              <w:jc w:val="center"/>
              <w:rPr>
                <w:rFonts w:ascii="Arabic Typesetting" w:eastAsia="Arabic Typesetting" w:hAnsi="Arabic Typesetting" w:cs="Arabic Typesetting"/>
                <w:b/>
                <w:bCs/>
                <w:color w:val="00B050"/>
                <w:sz w:val="28"/>
                <w:szCs w:val="28"/>
                <w:lang w:eastAsia="ar-EG" w:bidi="ar-EG"/>
              </w:rPr>
            </w:pPr>
            <w:r w:rsidRPr="000319A2">
              <w:rPr>
                <w:rFonts w:ascii="Arabic Typesetting" w:eastAsia="Arabic Typesetting" w:hAnsi="Arabic Typesetting" w:cs="Arabic Typesetting"/>
                <w:b/>
                <w:bCs/>
                <w:color w:val="00B050"/>
                <w:sz w:val="28"/>
                <w:szCs w:val="28"/>
                <w:rtl/>
                <w:lang w:eastAsia="ar-EG" w:bidi="ar-EG"/>
              </w:rPr>
              <w:t>ثابت</w:t>
            </w:r>
          </w:p>
        </w:tc>
      </w:tr>
    </w:tbl>
    <w:p w14:paraId="42EBAF94" w14:textId="77777777" w:rsidR="00BD3831" w:rsidRDefault="00BD3831" w:rsidP="0031289D">
      <w:pPr>
        <w:bidi/>
      </w:pPr>
    </w:p>
    <w:tbl>
      <w:tblPr>
        <w:tblStyle w:val="TableGrid"/>
        <w:bidiVisual/>
        <w:tblW w:w="0" w:type="auto"/>
        <w:tblLook w:val="04A0" w:firstRow="1" w:lastRow="0" w:firstColumn="1" w:lastColumn="0" w:noHBand="0" w:noVBand="1"/>
      </w:tblPr>
      <w:tblGrid>
        <w:gridCol w:w="9571"/>
      </w:tblGrid>
      <w:tr w:rsidR="00BD3831" w14:paraId="465ABBA7" w14:textId="77777777" w:rsidTr="00DF6715">
        <w:tc>
          <w:tcPr>
            <w:tcW w:w="9571" w:type="dxa"/>
            <w:tcBorders>
              <w:top w:val="nil"/>
              <w:left w:val="nil"/>
              <w:bottom w:val="nil"/>
              <w:right w:val="nil"/>
            </w:tcBorders>
            <w:shd w:val="clear" w:color="auto" w:fill="C6D9F1"/>
            <w:vAlign w:val="center"/>
          </w:tcPr>
          <w:p w14:paraId="66BB9BF4" w14:textId="77777777" w:rsidR="00BD3831" w:rsidRPr="00A2672B" w:rsidRDefault="00BD3831"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26</w:t>
            </w:r>
          </w:p>
        </w:tc>
      </w:tr>
    </w:tbl>
    <w:p w14:paraId="21DDD19B" w14:textId="77777777" w:rsidR="00BD3831" w:rsidRPr="00FE3908" w:rsidRDefault="00BD3831"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55BEFC47" w14:textId="77777777" w:rsidR="00BD3831" w:rsidRDefault="00BD3831"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D3831" w:rsidRPr="00211D55" w14:paraId="0FE4F045" w14:textId="77777777" w:rsidTr="00DF6715">
        <w:trPr>
          <w:trHeight w:val="825"/>
        </w:trPr>
        <w:tc>
          <w:tcPr>
            <w:tcW w:w="2753" w:type="pct"/>
            <w:gridSpan w:val="2"/>
            <w:shd w:val="clear" w:color="auto" w:fill="C6D9F1"/>
            <w:noWrap/>
            <w:tcMar>
              <w:top w:w="15" w:type="dxa"/>
              <w:left w:w="15" w:type="dxa"/>
              <w:bottom w:w="0" w:type="dxa"/>
              <w:right w:w="15" w:type="dxa"/>
            </w:tcMar>
            <w:vAlign w:val="center"/>
            <w:hideMark/>
          </w:tcPr>
          <w:p w14:paraId="1AE108E3"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461E9ED1"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1FBF942A" w14:textId="77777777" w:rsidR="00BD3831" w:rsidRPr="00A2672B" w:rsidRDefault="00BD3831"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13A3D9BD"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D3831" w:rsidRPr="00211D55" w14:paraId="59D05E00" w14:textId="77777777" w:rsidTr="00DF6715">
        <w:trPr>
          <w:trHeight w:val="55"/>
        </w:trPr>
        <w:tc>
          <w:tcPr>
            <w:tcW w:w="413" w:type="pct"/>
            <w:shd w:val="clear" w:color="auto" w:fill="auto"/>
            <w:noWrap/>
            <w:tcMar>
              <w:top w:w="15" w:type="dxa"/>
              <w:left w:w="15" w:type="dxa"/>
              <w:bottom w:w="0" w:type="dxa"/>
              <w:right w:w="15" w:type="dxa"/>
            </w:tcMar>
          </w:tcPr>
          <w:p w14:paraId="5CE23AEA" w14:textId="77777777" w:rsidR="00BD3831" w:rsidRPr="000319A2" w:rsidRDefault="00BD3831" w:rsidP="0031289D">
            <w:pPr>
              <w:bidi/>
              <w:spacing w:before="120" w:after="120"/>
              <w:rPr>
                <w:rFonts w:ascii="Arabic Typesetting" w:hAnsi="Arabic Typesetting" w:cs="Arabic Typesetting"/>
                <w:sz w:val="28"/>
                <w:szCs w:val="28"/>
              </w:rPr>
            </w:pPr>
            <w:r w:rsidRPr="000319A2">
              <w:rPr>
                <w:rFonts w:ascii="Arabic Typesetting" w:hAnsi="Arabic Typesetting" w:cs="Arabic Typesetting"/>
                <w:sz w:val="28"/>
                <w:szCs w:val="28"/>
                <w:rtl/>
              </w:rPr>
              <w:t>ه8.9</w:t>
            </w:r>
          </w:p>
        </w:tc>
        <w:tc>
          <w:tcPr>
            <w:tcW w:w="2340" w:type="pct"/>
            <w:shd w:val="clear" w:color="auto" w:fill="auto"/>
            <w:tcMar>
              <w:top w:w="15" w:type="dxa"/>
              <w:left w:w="15" w:type="dxa"/>
              <w:bottom w:w="0" w:type="dxa"/>
              <w:right w:w="15" w:type="dxa"/>
            </w:tcMar>
          </w:tcPr>
          <w:p w14:paraId="6DFB1785" w14:textId="77777777" w:rsidR="00BD3831" w:rsidRPr="000319A2" w:rsidRDefault="00BD3831" w:rsidP="0031289D">
            <w:pPr>
              <w:bidi/>
              <w:spacing w:before="120" w:after="120"/>
              <w:rPr>
                <w:rFonts w:ascii="Arabic Typesetting" w:hAnsi="Arabic Typesetting" w:cs="Arabic Typesetting"/>
                <w:sz w:val="28"/>
                <w:szCs w:val="28"/>
              </w:rPr>
            </w:pPr>
            <w:r w:rsidRPr="000319A2">
              <w:rPr>
                <w:rFonts w:ascii="Arabic Typesetting" w:eastAsia="Arabic Typesetting" w:hAnsi="Arabic Typesetting" w:cs="Arabic Typesetting"/>
                <w:color w:val="000000"/>
                <w:sz w:val="28"/>
                <w:szCs w:val="28"/>
                <w:rtl/>
                <w:lang w:eastAsia="ar-EG" w:bidi="ar-EG"/>
              </w:rPr>
              <w:t>مستوى محسّن فيما يخص المساءلة، والتعلم المؤسسي، والقيمة مقابل المال، والريادة، والمراقبة الداخلية، والحوكمة المؤسسية من خلال الاستعانة برقابة فعالة ومستقلة</w:t>
            </w:r>
          </w:p>
        </w:tc>
        <w:tc>
          <w:tcPr>
            <w:tcW w:w="749" w:type="pct"/>
            <w:shd w:val="clear" w:color="auto" w:fill="auto"/>
            <w:tcMar>
              <w:top w:w="15" w:type="dxa"/>
              <w:left w:w="15" w:type="dxa"/>
              <w:bottom w:w="0" w:type="dxa"/>
              <w:right w:w="15" w:type="dxa"/>
            </w:tcMar>
            <w:vAlign w:val="center"/>
          </w:tcPr>
          <w:p w14:paraId="54C23477" w14:textId="77777777" w:rsidR="00BD3831" w:rsidRPr="000319A2" w:rsidRDefault="00BD3831" w:rsidP="0031289D">
            <w:pPr>
              <w:jc w:val="center"/>
              <w:rPr>
                <w:rFonts w:ascii="Arabic Typesetting" w:hAnsi="Arabic Typesetting" w:cs="Arabic Typesetting"/>
                <w:color w:val="000000"/>
                <w:sz w:val="28"/>
                <w:szCs w:val="28"/>
              </w:rPr>
            </w:pPr>
            <w:r w:rsidRPr="000319A2">
              <w:rPr>
                <w:rFonts w:ascii="Arabic Typesetting" w:hAnsi="Arabic Typesetting" w:cs="Arabic Typesetting"/>
                <w:color w:val="000000"/>
                <w:sz w:val="28"/>
                <w:szCs w:val="28"/>
              </w:rPr>
              <w:t>5</w:t>
            </w:r>
            <w:r>
              <w:rPr>
                <w:rFonts w:ascii="Arabic Typesetting" w:hAnsi="Arabic Typesetting" w:cs="Arabic Typesetting"/>
                <w:color w:val="000000"/>
                <w:sz w:val="28"/>
                <w:szCs w:val="28"/>
              </w:rPr>
              <w:t> </w:t>
            </w:r>
            <w:r w:rsidRPr="000319A2">
              <w:rPr>
                <w:rFonts w:ascii="Arabic Typesetting" w:hAnsi="Arabic Typesetting" w:cs="Arabic Typesetting"/>
                <w:color w:val="000000"/>
                <w:sz w:val="28"/>
                <w:szCs w:val="28"/>
              </w:rPr>
              <w:t>358</w:t>
            </w:r>
          </w:p>
        </w:tc>
        <w:tc>
          <w:tcPr>
            <w:tcW w:w="749" w:type="pct"/>
            <w:shd w:val="clear" w:color="auto" w:fill="auto"/>
            <w:tcMar>
              <w:top w:w="15" w:type="dxa"/>
              <w:left w:w="15" w:type="dxa"/>
              <w:bottom w:w="0" w:type="dxa"/>
              <w:right w:w="15" w:type="dxa"/>
            </w:tcMar>
            <w:vAlign w:val="center"/>
          </w:tcPr>
          <w:p w14:paraId="3963897B" w14:textId="77777777" w:rsidR="00BD3831" w:rsidRPr="000319A2" w:rsidRDefault="00BD3831" w:rsidP="0031289D">
            <w:pPr>
              <w:jc w:val="center"/>
              <w:rPr>
                <w:rFonts w:ascii="Arabic Typesetting" w:hAnsi="Arabic Typesetting" w:cs="Arabic Typesetting"/>
                <w:color w:val="000000"/>
                <w:sz w:val="28"/>
                <w:szCs w:val="28"/>
              </w:rPr>
            </w:pPr>
            <w:r w:rsidRPr="000319A2">
              <w:rPr>
                <w:rFonts w:ascii="Arabic Typesetting" w:hAnsi="Arabic Typesetting" w:cs="Arabic Typesetting"/>
                <w:color w:val="000000"/>
                <w:sz w:val="28"/>
                <w:szCs w:val="28"/>
              </w:rPr>
              <w:t>5</w:t>
            </w:r>
            <w:r>
              <w:rPr>
                <w:rFonts w:ascii="Arabic Typesetting" w:hAnsi="Arabic Typesetting" w:cs="Arabic Typesetting"/>
                <w:color w:val="000000"/>
                <w:sz w:val="28"/>
                <w:szCs w:val="28"/>
              </w:rPr>
              <w:t> </w:t>
            </w:r>
            <w:r w:rsidRPr="000319A2">
              <w:rPr>
                <w:rFonts w:ascii="Arabic Typesetting" w:hAnsi="Arabic Typesetting" w:cs="Arabic Typesetting"/>
                <w:color w:val="000000"/>
                <w:sz w:val="28"/>
                <w:szCs w:val="28"/>
              </w:rPr>
              <w:t>450</w:t>
            </w:r>
          </w:p>
        </w:tc>
        <w:tc>
          <w:tcPr>
            <w:tcW w:w="749" w:type="pct"/>
            <w:shd w:val="clear" w:color="auto" w:fill="auto"/>
            <w:noWrap/>
            <w:tcMar>
              <w:top w:w="15" w:type="dxa"/>
              <w:left w:w="15" w:type="dxa"/>
              <w:bottom w:w="0" w:type="dxa"/>
              <w:right w:w="15" w:type="dxa"/>
            </w:tcMar>
            <w:vAlign w:val="center"/>
          </w:tcPr>
          <w:p w14:paraId="3A9DFBC4" w14:textId="77777777" w:rsidR="00BD3831" w:rsidRPr="000319A2" w:rsidRDefault="00BD3831" w:rsidP="0031289D">
            <w:pPr>
              <w:jc w:val="center"/>
              <w:rPr>
                <w:rFonts w:ascii="Arabic Typesetting" w:hAnsi="Arabic Typesetting" w:cs="Arabic Typesetting"/>
                <w:color w:val="000000"/>
                <w:sz w:val="28"/>
                <w:szCs w:val="28"/>
              </w:rPr>
            </w:pPr>
            <w:r w:rsidRPr="000319A2">
              <w:rPr>
                <w:rFonts w:ascii="Arabic Typesetting" w:hAnsi="Arabic Typesetting" w:cs="Arabic Typesetting"/>
                <w:color w:val="000000"/>
                <w:sz w:val="28"/>
                <w:szCs w:val="28"/>
              </w:rPr>
              <w:t>2</w:t>
            </w:r>
            <w:r>
              <w:rPr>
                <w:rFonts w:ascii="Arabic Typesetting" w:hAnsi="Arabic Typesetting" w:cs="Arabic Typesetting"/>
                <w:color w:val="000000"/>
                <w:sz w:val="28"/>
                <w:szCs w:val="28"/>
              </w:rPr>
              <w:t> </w:t>
            </w:r>
            <w:r w:rsidRPr="000319A2">
              <w:rPr>
                <w:rFonts w:ascii="Arabic Typesetting" w:hAnsi="Arabic Typesetting" w:cs="Arabic Typesetting"/>
                <w:color w:val="000000"/>
                <w:sz w:val="28"/>
                <w:szCs w:val="28"/>
              </w:rPr>
              <w:t>049</w:t>
            </w:r>
          </w:p>
        </w:tc>
      </w:tr>
      <w:tr w:rsidR="00BD3831" w:rsidRPr="00211D55" w14:paraId="2A936C7F" w14:textId="77777777" w:rsidTr="00DF6715">
        <w:trPr>
          <w:trHeight w:val="225"/>
        </w:trPr>
        <w:tc>
          <w:tcPr>
            <w:tcW w:w="413" w:type="pct"/>
            <w:shd w:val="clear" w:color="auto" w:fill="C6D9F1"/>
            <w:noWrap/>
            <w:tcMar>
              <w:top w:w="15" w:type="dxa"/>
              <w:left w:w="15" w:type="dxa"/>
              <w:bottom w:w="0" w:type="dxa"/>
              <w:right w:w="15" w:type="dxa"/>
            </w:tcMar>
            <w:vAlign w:val="bottom"/>
            <w:hideMark/>
          </w:tcPr>
          <w:p w14:paraId="29B31100" w14:textId="77777777" w:rsidR="00BD3831" w:rsidRPr="00211D55" w:rsidRDefault="00BD3831"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559FEF29" w14:textId="77777777" w:rsidR="00BD3831" w:rsidRPr="00D41845" w:rsidRDefault="00BD3831" w:rsidP="0031289D">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73A6E0A4" w14:textId="77777777"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5 358</w:t>
            </w:r>
          </w:p>
        </w:tc>
        <w:tc>
          <w:tcPr>
            <w:tcW w:w="749" w:type="pct"/>
            <w:shd w:val="clear" w:color="auto" w:fill="C6D9F1"/>
            <w:noWrap/>
            <w:tcMar>
              <w:top w:w="15" w:type="dxa"/>
              <w:left w:w="15" w:type="dxa"/>
              <w:bottom w:w="0" w:type="dxa"/>
              <w:right w:w="15" w:type="dxa"/>
            </w:tcMar>
            <w:vAlign w:val="center"/>
          </w:tcPr>
          <w:p w14:paraId="6404F13B" w14:textId="77777777"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5 450</w:t>
            </w:r>
          </w:p>
        </w:tc>
        <w:tc>
          <w:tcPr>
            <w:tcW w:w="749" w:type="pct"/>
            <w:shd w:val="clear" w:color="auto" w:fill="C6D9F1"/>
            <w:noWrap/>
            <w:tcMar>
              <w:top w:w="15" w:type="dxa"/>
              <w:left w:w="15" w:type="dxa"/>
              <w:bottom w:w="0" w:type="dxa"/>
              <w:right w:w="15" w:type="dxa"/>
            </w:tcMar>
            <w:vAlign w:val="center"/>
          </w:tcPr>
          <w:p w14:paraId="2CA755CD" w14:textId="77777777"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2 049</w:t>
            </w:r>
          </w:p>
        </w:tc>
      </w:tr>
      <w:tr w:rsidR="00BD3831" w:rsidRPr="00211D55" w14:paraId="056482A4" w14:textId="77777777" w:rsidTr="00DF6715">
        <w:trPr>
          <w:trHeight w:val="225"/>
        </w:trPr>
        <w:tc>
          <w:tcPr>
            <w:tcW w:w="5000" w:type="pct"/>
            <w:gridSpan w:val="5"/>
            <w:shd w:val="clear" w:color="auto" w:fill="auto"/>
            <w:noWrap/>
            <w:tcMar>
              <w:top w:w="15" w:type="dxa"/>
              <w:left w:w="15" w:type="dxa"/>
              <w:bottom w:w="0" w:type="dxa"/>
              <w:right w:w="15" w:type="dxa"/>
            </w:tcMar>
            <w:vAlign w:val="bottom"/>
          </w:tcPr>
          <w:p w14:paraId="74B60180" w14:textId="77777777" w:rsidR="00BD3831" w:rsidRPr="00A2672B" w:rsidRDefault="00BD3831"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7BF479DB" w14:textId="77777777" w:rsidR="00BD3831" w:rsidRPr="00252762" w:rsidRDefault="00BD3831"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6CF3D42C" w14:textId="77777777" w:rsidR="00BD3831" w:rsidRPr="00DF1D8A" w:rsidRDefault="00BD3831"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9"/>
        <w:gridCol w:w="1859"/>
        <w:gridCol w:w="1859"/>
        <w:gridCol w:w="1857"/>
        <w:gridCol w:w="1857"/>
      </w:tblGrid>
      <w:tr w:rsidR="00BD3831" w:rsidRPr="00211D55" w14:paraId="2F5E9A1F" w14:textId="77777777" w:rsidTr="00DF6715">
        <w:trPr>
          <w:trHeight w:val="645"/>
        </w:trPr>
        <w:tc>
          <w:tcPr>
            <w:tcW w:w="1118" w:type="pct"/>
            <w:shd w:val="clear" w:color="auto" w:fill="C6D9F1"/>
            <w:noWrap/>
            <w:vAlign w:val="center"/>
            <w:hideMark/>
          </w:tcPr>
          <w:p w14:paraId="611F8183" w14:textId="77777777" w:rsidR="00BD3831" w:rsidRPr="00211D55" w:rsidRDefault="00BD3831"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10B85D3A" w14:textId="77777777" w:rsidR="00BD3831" w:rsidRPr="00211D55" w:rsidRDefault="00BD3831"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0BDD3D5C" w14:textId="77777777" w:rsidR="00BD3831" w:rsidRPr="00211D55" w:rsidRDefault="00BD3831"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4187AA3E" w14:textId="77777777" w:rsidR="00BD3831" w:rsidRPr="00211D55" w:rsidRDefault="00BD3831"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0C9AF2BB" w14:textId="77777777" w:rsidR="00BD3831" w:rsidRPr="00211D55" w:rsidRDefault="00BD3831"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D3831" w:rsidRPr="00211D55" w14:paraId="24563A59" w14:textId="77777777" w:rsidTr="00DF6715">
        <w:trPr>
          <w:trHeight w:val="70"/>
        </w:trPr>
        <w:tc>
          <w:tcPr>
            <w:tcW w:w="1118" w:type="pct"/>
            <w:shd w:val="clear" w:color="auto" w:fill="auto"/>
            <w:noWrap/>
            <w:vAlign w:val="center"/>
            <w:hideMark/>
          </w:tcPr>
          <w:p w14:paraId="5B4B54DA" w14:textId="77777777" w:rsidR="00BD3831" w:rsidRPr="00211D55" w:rsidRDefault="00BD3831"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740314DF" w14:textId="77777777" w:rsidR="00BD3831" w:rsidRPr="000319A2" w:rsidRDefault="00BD3831" w:rsidP="0031289D">
            <w:pPr>
              <w:jc w:val="center"/>
              <w:rPr>
                <w:rFonts w:ascii="Arabic Typesetting" w:hAnsi="Arabic Typesetting" w:cs="Arabic Typesetting"/>
                <w:color w:val="000000"/>
                <w:sz w:val="28"/>
                <w:szCs w:val="28"/>
              </w:rPr>
            </w:pPr>
            <w:r w:rsidRPr="000319A2">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0319A2">
              <w:rPr>
                <w:rFonts w:ascii="Arabic Typesetting" w:hAnsi="Arabic Typesetting" w:cs="Arabic Typesetting"/>
                <w:color w:val="000000"/>
                <w:sz w:val="28"/>
                <w:szCs w:val="28"/>
              </w:rPr>
              <w:t xml:space="preserve">658 </w:t>
            </w:r>
          </w:p>
        </w:tc>
        <w:tc>
          <w:tcPr>
            <w:tcW w:w="971" w:type="pct"/>
            <w:shd w:val="clear" w:color="auto" w:fill="auto"/>
            <w:vAlign w:val="center"/>
          </w:tcPr>
          <w:p w14:paraId="35449B82" w14:textId="77777777" w:rsidR="00BD3831" w:rsidRPr="000319A2" w:rsidRDefault="00BD3831" w:rsidP="0031289D">
            <w:pPr>
              <w:jc w:val="center"/>
              <w:rPr>
                <w:rFonts w:ascii="Arabic Typesetting" w:hAnsi="Arabic Typesetting" w:cs="Arabic Typesetting"/>
                <w:color w:val="000000"/>
                <w:sz w:val="28"/>
                <w:szCs w:val="28"/>
              </w:rPr>
            </w:pPr>
            <w:r w:rsidRPr="000319A2">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0319A2">
              <w:rPr>
                <w:rFonts w:ascii="Arabic Typesetting" w:hAnsi="Arabic Typesetting" w:cs="Arabic Typesetting"/>
                <w:color w:val="000000"/>
                <w:sz w:val="28"/>
                <w:szCs w:val="28"/>
              </w:rPr>
              <w:t xml:space="preserve">790 </w:t>
            </w:r>
          </w:p>
        </w:tc>
        <w:tc>
          <w:tcPr>
            <w:tcW w:w="970" w:type="pct"/>
            <w:shd w:val="clear" w:color="auto" w:fill="auto"/>
            <w:vAlign w:val="center"/>
          </w:tcPr>
          <w:p w14:paraId="240EA4AB" w14:textId="77777777" w:rsidR="00BD3831" w:rsidRPr="000319A2" w:rsidRDefault="00BD3831" w:rsidP="0031289D">
            <w:pPr>
              <w:jc w:val="center"/>
              <w:rPr>
                <w:rFonts w:ascii="Arabic Typesetting" w:hAnsi="Arabic Typesetting" w:cs="Arabic Typesetting"/>
                <w:color w:val="000000"/>
                <w:sz w:val="28"/>
                <w:szCs w:val="28"/>
              </w:rPr>
            </w:pPr>
            <w:r w:rsidRPr="000319A2">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0319A2">
              <w:rPr>
                <w:rFonts w:ascii="Arabic Typesetting" w:hAnsi="Arabic Typesetting" w:cs="Arabic Typesetting"/>
                <w:color w:val="000000"/>
                <w:sz w:val="28"/>
                <w:szCs w:val="28"/>
              </w:rPr>
              <w:t xml:space="preserve">847 </w:t>
            </w:r>
          </w:p>
        </w:tc>
        <w:tc>
          <w:tcPr>
            <w:tcW w:w="970" w:type="pct"/>
            <w:shd w:val="clear" w:color="auto" w:fill="auto"/>
            <w:vAlign w:val="center"/>
          </w:tcPr>
          <w:p w14:paraId="60CFF0D0" w14:textId="77777777" w:rsidR="00BD3831" w:rsidRPr="000319A2" w:rsidRDefault="00BD3831"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%39</w:t>
            </w:r>
          </w:p>
        </w:tc>
      </w:tr>
      <w:tr w:rsidR="00BD3831" w:rsidRPr="00211D55" w14:paraId="517E797F" w14:textId="77777777" w:rsidTr="00DF6715">
        <w:trPr>
          <w:trHeight w:val="70"/>
        </w:trPr>
        <w:tc>
          <w:tcPr>
            <w:tcW w:w="1118" w:type="pct"/>
            <w:shd w:val="clear" w:color="auto" w:fill="auto"/>
            <w:noWrap/>
            <w:vAlign w:val="center"/>
            <w:hideMark/>
          </w:tcPr>
          <w:p w14:paraId="1B09398F" w14:textId="77777777" w:rsidR="00BD3831" w:rsidRPr="00211D55" w:rsidRDefault="00BD3831"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4BF1D287" w14:textId="77777777" w:rsidR="00BD3831" w:rsidRPr="000319A2" w:rsidRDefault="00BD3831" w:rsidP="0031289D">
            <w:pPr>
              <w:jc w:val="center"/>
              <w:rPr>
                <w:rFonts w:ascii="Arabic Typesetting" w:hAnsi="Arabic Typesetting" w:cs="Arabic Typesetting"/>
                <w:color w:val="000000"/>
                <w:sz w:val="28"/>
                <w:szCs w:val="28"/>
              </w:rPr>
            </w:pPr>
            <w:r w:rsidRPr="000319A2">
              <w:rPr>
                <w:rFonts w:ascii="Arabic Typesetting" w:hAnsi="Arabic Typesetting" w:cs="Arabic Typesetting"/>
                <w:color w:val="000000"/>
                <w:sz w:val="28"/>
                <w:szCs w:val="28"/>
              </w:rPr>
              <w:t xml:space="preserve">700 </w:t>
            </w:r>
          </w:p>
        </w:tc>
        <w:tc>
          <w:tcPr>
            <w:tcW w:w="971" w:type="pct"/>
            <w:shd w:val="clear" w:color="auto" w:fill="auto"/>
            <w:vAlign w:val="center"/>
          </w:tcPr>
          <w:p w14:paraId="17266BFF" w14:textId="77777777" w:rsidR="00BD3831" w:rsidRPr="000319A2" w:rsidRDefault="00BD3831" w:rsidP="0031289D">
            <w:pPr>
              <w:jc w:val="center"/>
              <w:rPr>
                <w:rFonts w:ascii="Arabic Typesetting" w:hAnsi="Arabic Typesetting" w:cs="Arabic Typesetting"/>
                <w:color w:val="000000"/>
                <w:sz w:val="28"/>
                <w:szCs w:val="28"/>
              </w:rPr>
            </w:pPr>
            <w:r w:rsidRPr="000319A2">
              <w:rPr>
                <w:rFonts w:ascii="Arabic Typesetting" w:hAnsi="Arabic Typesetting" w:cs="Arabic Typesetting"/>
                <w:color w:val="000000"/>
                <w:sz w:val="28"/>
                <w:szCs w:val="28"/>
              </w:rPr>
              <w:t xml:space="preserve">659 </w:t>
            </w:r>
          </w:p>
        </w:tc>
        <w:tc>
          <w:tcPr>
            <w:tcW w:w="970" w:type="pct"/>
            <w:shd w:val="clear" w:color="auto" w:fill="auto"/>
            <w:vAlign w:val="center"/>
          </w:tcPr>
          <w:p w14:paraId="3809DF24" w14:textId="77777777" w:rsidR="00BD3831" w:rsidRPr="000319A2" w:rsidRDefault="00BD3831" w:rsidP="0031289D">
            <w:pPr>
              <w:jc w:val="center"/>
              <w:rPr>
                <w:rFonts w:ascii="Arabic Typesetting" w:hAnsi="Arabic Typesetting" w:cs="Arabic Typesetting"/>
                <w:color w:val="000000"/>
                <w:sz w:val="28"/>
                <w:szCs w:val="28"/>
              </w:rPr>
            </w:pPr>
            <w:r w:rsidRPr="000319A2">
              <w:rPr>
                <w:rFonts w:ascii="Arabic Typesetting" w:hAnsi="Arabic Typesetting" w:cs="Arabic Typesetting"/>
                <w:color w:val="000000"/>
                <w:sz w:val="28"/>
                <w:szCs w:val="28"/>
              </w:rPr>
              <w:t xml:space="preserve">202 </w:t>
            </w:r>
          </w:p>
        </w:tc>
        <w:tc>
          <w:tcPr>
            <w:tcW w:w="970" w:type="pct"/>
            <w:shd w:val="clear" w:color="auto" w:fill="auto"/>
            <w:vAlign w:val="center"/>
          </w:tcPr>
          <w:p w14:paraId="6DC2492F" w14:textId="77777777" w:rsidR="00BD3831" w:rsidRPr="000319A2" w:rsidRDefault="00BD3831"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%31</w:t>
            </w:r>
          </w:p>
        </w:tc>
      </w:tr>
      <w:tr w:rsidR="00BD3831" w:rsidRPr="00211D55" w14:paraId="25A6838A" w14:textId="77777777" w:rsidTr="008E6403">
        <w:trPr>
          <w:trHeight w:val="70"/>
        </w:trPr>
        <w:tc>
          <w:tcPr>
            <w:tcW w:w="1118" w:type="pct"/>
            <w:shd w:val="clear" w:color="auto" w:fill="C6D9F1"/>
            <w:noWrap/>
            <w:vAlign w:val="center"/>
            <w:hideMark/>
          </w:tcPr>
          <w:p w14:paraId="7C07ECDA" w14:textId="77777777" w:rsidR="00BD3831" w:rsidRPr="00211D55" w:rsidRDefault="00BD3831"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571660BA" w14:textId="77777777" w:rsidR="00BD3831" w:rsidRPr="000319A2" w:rsidRDefault="00BD3831" w:rsidP="0031289D">
            <w:pPr>
              <w:jc w:val="center"/>
              <w:rPr>
                <w:rFonts w:ascii="Arabic Typesetting" w:hAnsi="Arabic Typesetting" w:cs="Arabic Typesetting"/>
                <w:b/>
                <w:bCs/>
                <w:color w:val="000000"/>
                <w:sz w:val="28"/>
                <w:szCs w:val="28"/>
              </w:rPr>
            </w:pPr>
            <w:r w:rsidRPr="000319A2">
              <w:rPr>
                <w:rFonts w:ascii="Arabic Typesetting" w:hAnsi="Arabic Typesetting" w:cs="Arabic Typesetting"/>
                <w:b/>
                <w:bCs/>
                <w:color w:val="000000"/>
                <w:sz w:val="28"/>
                <w:szCs w:val="28"/>
              </w:rPr>
              <w:t>5</w:t>
            </w:r>
            <w:r>
              <w:rPr>
                <w:rFonts w:ascii="Arabic Typesetting" w:hAnsi="Arabic Typesetting" w:cs="Arabic Typesetting"/>
                <w:b/>
                <w:bCs/>
                <w:color w:val="000000"/>
                <w:sz w:val="28"/>
                <w:szCs w:val="28"/>
              </w:rPr>
              <w:t> </w:t>
            </w:r>
            <w:r w:rsidRPr="000319A2">
              <w:rPr>
                <w:rFonts w:ascii="Arabic Typesetting" w:hAnsi="Arabic Typesetting" w:cs="Arabic Typesetting"/>
                <w:b/>
                <w:bCs/>
                <w:color w:val="000000"/>
                <w:sz w:val="28"/>
                <w:szCs w:val="28"/>
              </w:rPr>
              <w:t xml:space="preserve">358 </w:t>
            </w:r>
          </w:p>
        </w:tc>
        <w:tc>
          <w:tcPr>
            <w:tcW w:w="971" w:type="pct"/>
            <w:shd w:val="clear" w:color="auto" w:fill="C6D9F1"/>
            <w:vAlign w:val="center"/>
          </w:tcPr>
          <w:p w14:paraId="1089B164" w14:textId="77777777" w:rsidR="00BD3831" w:rsidRPr="000319A2" w:rsidRDefault="00BD3831" w:rsidP="0031289D">
            <w:pPr>
              <w:jc w:val="center"/>
              <w:rPr>
                <w:rFonts w:ascii="Arabic Typesetting" w:hAnsi="Arabic Typesetting" w:cs="Arabic Typesetting"/>
                <w:b/>
                <w:bCs/>
                <w:color w:val="000000"/>
                <w:sz w:val="28"/>
                <w:szCs w:val="28"/>
              </w:rPr>
            </w:pPr>
            <w:r w:rsidRPr="000319A2">
              <w:rPr>
                <w:rFonts w:ascii="Arabic Typesetting" w:hAnsi="Arabic Typesetting" w:cs="Arabic Typesetting"/>
                <w:b/>
                <w:bCs/>
                <w:color w:val="000000"/>
                <w:sz w:val="28"/>
                <w:szCs w:val="28"/>
              </w:rPr>
              <w:t>5</w:t>
            </w:r>
            <w:r>
              <w:rPr>
                <w:rFonts w:ascii="Arabic Typesetting" w:hAnsi="Arabic Typesetting" w:cs="Arabic Typesetting"/>
                <w:b/>
                <w:bCs/>
                <w:color w:val="000000"/>
                <w:sz w:val="28"/>
                <w:szCs w:val="28"/>
              </w:rPr>
              <w:t> </w:t>
            </w:r>
            <w:r w:rsidRPr="000319A2">
              <w:rPr>
                <w:rFonts w:ascii="Arabic Typesetting" w:hAnsi="Arabic Typesetting" w:cs="Arabic Typesetting"/>
                <w:b/>
                <w:bCs/>
                <w:color w:val="000000"/>
                <w:sz w:val="28"/>
                <w:szCs w:val="28"/>
              </w:rPr>
              <w:t xml:space="preserve">450 </w:t>
            </w:r>
          </w:p>
        </w:tc>
        <w:tc>
          <w:tcPr>
            <w:tcW w:w="970" w:type="pct"/>
            <w:shd w:val="clear" w:color="auto" w:fill="C6D9F1"/>
            <w:vAlign w:val="center"/>
          </w:tcPr>
          <w:p w14:paraId="0D66F96F" w14:textId="77777777" w:rsidR="00BD3831" w:rsidRPr="000319A2" w:rsidRDefault="00BD3831" w:rsidP="0031289D">
            <w:pPr>
              <w:jc w:val="center"/>
              <w:rPr>
                <w:rFonts w:ascii="Arabic Typesetting" w:hAnsi="Arabic Typesetting" w:cs="Arabic Typesetting"/>
                <w:b/>
                <w:bCs/>
                <w:color w:val="000000"/>
                <w:sz w:val="28"/>
                <w:szCs w:val="28"/>
              </w:rPr>
            </w:pPr>
            <w:r w:rsidRPr="000319A2">
              <w:rPr>
                <w:rFonts w:ascii="Arabic Typesetting" w:hAnsi="Arabic Typesetting" w:cs="Arabic Typesetting"/>
                <w:b/>
                <w:bCs/>
                <w:color w:val="000000"/>
                <w:sz w:val="28"/>
                <w:szCs w:val="28"/>
              </w:rPr>
              <w:t>2</w:t>
            </w:r>
            <w:r>
              <w:rPr>
                <w:rFonts w:ascii="Arabic Typesetting" w:hAnsi="Arabic Typesetting" w:cs="Arabic Typesetting"/>
                <w:b/>
                <w:bCs/>
                <w:color w:val="000000"/>
                <w:sz w:val="28"/>
                <w:szCs w:val="28"/>
              </w:rPr>
              <w:t> </w:t>
            </w:r>
            <w:r w:rsidRPr="000319A2">
              <w:rPr>
                <w:rFonts w:ascii="Arabic Typesetting" w:hAnsi="Arabic Typesetting" w:cs="Arabic Typesetting"/>
                <w:b/>
                <w:bCs/>
                <w:color w:val="000000"/>
                <w:sz w:val="28"/>
                <w:szCs w:val="28"/>
              </w:rPr>
              <w:t xml:space="preserve">049 </w:t>
            </w:r>
          </w:p>
        </w:tc>
        <w:tc>
          <w:tcPr>
            <w:tcW w:w="970" w:type="pct"/>
            <w:shd w:val="clear" w:color="auto" w:fill="C6D9F1"/>
            <w:vAlign w:val="center"/>
          </w:tcPr>
          <w:p w14:paraId="427BE254" w14:textId="77777777" w:rsidR="00BD3831" w:rsidRPr="000319A2" w:rsidRDefault="00BD3831" w:rsidP="0031289D">
            <w:pPr>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%38</w:t>
            </w:r>
          </w:p>
        </w:tc>
      </w:tr>
      <w:tr w:rsidR="00BD3831" w:rsidRPr="00211D55" w14:paraId="4F6584ED" w14:textId="77777777" w:rsidTr="00DF6715">
        <w:trPr>
          <w:trHeight w:val="540"/>
        </w:trPr>
        <w:tc>
          <w:tcPr>
            <w:tcW w:w="5000" w:type="pct"/>
            <w:gridSpan w:val="5"/>
            <w:shd w:val="clear" w:color="auto" w:fill="auto"/>
            <w:noWrap/>
            <w:vAlign w:val="center"/>
          </w:tcPr>
          <w:p w14:paraId="00110281" w14:textId="77777777" w:rsidR="00BD3831" w:rsidRDefault="00BD3831"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2799B946" w14:textId="77777777" w:rsidR="00BD3831" w:rsidRPr="00D41845" w:rsidRDefault="00BD3831"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i/>
                <w:iCs/>
                <w:color w:val="000000"/>
                <w:sz w:val="28"/>
                <w:szCs w:val="28"/>
                <w:rtl/>
                <w:lang w:bidi="ar-EG"/>
              </w:rPr>
              <w:br/>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04A95F0E" w14:textId="77777777" w:rsidR="00BD3831" w:rsidRPr="00706F20" w:rsidRDefault="00BD3831"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70B03F3A" w14:textId="77777777" w:rsidR="00BD3831" w:rsidRPr="000319A2" w:rsidRDefault="00BD3831" w:rsidP="00D94CDB">
      <w:pPr>
        <w:numPr>
          <w:ilvl w:val="1"/>
          <w:numId w:val="94"/>
        </w:numPr>
        <w:bidi/>
        <w:spacing w:after="240" w:line="360" w:lineRule="exact"/>
        <w:ind w:left="0" w:hanging="1"/>
        <w:rPr>
          <w:rFonts w:ascii="Arabic Typesetting" w:hAnsi="Arabic Typesetting" w:cs="Arabic Typesetting"/>
          <w:sz w:val="34"/>
          <w:szCs w:val="34"/>
        </w:rPr>
      </w:pPr>
      <w:r w:rsidRPr="000319A2">
        <w:rPr>
          <w:rFonts w:ascii="Arabic Typesetting" w:hAnsi="Arabic Typesetting" w:cs="Arabic Typesetting"/>
          <w:sz w:val="34"/>
          <w:szCs w:val="34"/>
          <w:rtl/>
        </w:rPr>
        <w:t>تُعزى الزيادة الإجمالية في ميزانية 2016/17 بعد التحويلات مقارنة بالميزانية المعتمدة 2016/17 أساساً إلى زيادة موارد الموظفين المخصصة للبرنامج من أجل تغطية الحاجة إلى محقق قصير المدة لتحسين نوعية العمل الذي يجريه قسم التحقيق التابع لشعبة الرقابة الداخلية</w:t>
      </w:r>
      <w:r>
        <w:rPr>
          <w:rFonts w:ascii="Arabic Typesetting" w:hAnsi="Arabic Typesetting" w:cs="Arabic Typesetting"/>
          <w:sz w:val="34"/>
          <w:szCs w:val="34"/>
          <w:rtl/>
        </w:rPr>
        <w:t>، وتنفيذه في المواعيد المناسبة.</w:t>
      </w:r>
      <w:r w:rsidRPr="000319A2">
        <w:rPr>
          <w:rFonts w:ascii="Arabic Typesetting" w:hAnsi="Arabic Typesetting" w:cs="Arabic Typesetting"/>
          <w:sz w:val="34"/>
          <w:szCs w:val="34"/>
          <w:rtl/>
        </w:rPr>
        <w:t xml:space="preserve"> ويُعزى الانخفاض الطفيف في خلاف موارد الموظفين إلى تحويل موارد للمتدربين إلى إدارة الموارد البشرية (البرنامج 23) التي تتولى الإدارة المركزية للمتدربين.</w:t>
      </w:r>
    </w:p>
    <w:p w14:paraId="3476752E" w14:textId="77777777" w:rsidR="00BD3831" w:rsidRPr="00706F20" w:rsidRDefault="00BD3831"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3F7A28C6" w14:textId="77777777" w:rsidR="00BD3831" w:rsidRPr="000319A2" w:rsidRDefault="00BD3831" w:rsidP="00D94CDB">
      <w:pPr>
        <w:numPr>
          <w:ilvl w:val="1"/>
          <w:numId w:val="94"/>
        </w:numPr>
        <w:bidi/>
        <w:spacing w:after="240" w:line="360" w:lineRule="exact"/>
        <w:ind w:left="0" w:hanging="1"/>
        <w:rPr>
          <w:rFonts w:ascii="Arabic Typesetting" w:hAnsi="Arabic Typesetting" w:cs="Arabic Typesetting"/>
          <w:sz w:val="34"/>
          <w:szCs w:val="34"/>
        </w:rPr>
      </w:pPr>
      <w:r w:rsidRPr="000319A2">
        <w:rPr>
          <w:rFonts w:ascii="Arabic Typesetting" w:hAnsi="Arabic Typesetting" w:cs="Arabic Typesetting"/>
          <w:sz w:val="34"/>
          <w:szCs w:val="34"/>
          <w:rtl/>
        </w:rPr>
        <w:t>كانت نسبة استخدام ميزانية الموظفين أقل من المتوقع بسبب وظيفتين شاغرتين وعمل بعض الموظ</w:t>
      </w:r>
      <w:r>
        <w:rPr>
          <w:rFonts w:ascii="Arabic Typesetting" w:hAnsi="Arabic Typesetting" w:cs="Arabic Typesetting"/>
          <w:sz w:val="34"/>
          <w:szCs w:val="34"/>
          <w:rtl/>
        </w:rPr>
        <w:t>فين بدوام جزئي خلال معظم السنة.</w:t>
      </w:r>
      <w:r w:rsidRPr="000319A2">
        <w:rPr>
          <w:rFonts w:ascii="Arabic Typesetting" w:hAnsi="Arabic Typesetting" w:cs="Arabic Typesetting"/>
          <w:sz w:val="34"/>
          <w:szCs w:val="34"/>
          <w:rtl/>
        </w:rPr>
        <w:t xml:space="preserve"> وكانت نسبة إنفاق خلاف موارد الموظفين أقل من المتوقع فيما يخص أنشطة التدقيق والتقييم والتحقيق.</w:t>
      </w:r>
    </w:p>
    <w:p w14:paraId="6563A0D9" w14:textId="6D9AE2FB" w:rsidR="00BD3831" w:rsidRDefault="00BD3831"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1590AD1B" w14:textId="77777777" w:rsidR="00BD3831" w:rsidRPr="00834CB9" w:rsidRDefault="00BD3831" w:rsidP="00DA7DF7">
      <w:pPr>
        <w:pStyle w:val="Heading3"/>
        <w:ind w:left="1984" w:hanging="1984"/>
        <w:rPr>
          <w:lang w:val="en-US"/>
        </w:rPr>
      </w:pPr>
      <w:bookmarkStart w:id="57" w:name="_Toc482782780"/>
      <w:r w:rsidRPr="00254297">
        <w:rPr>
          <w:rtl/>
        </w:rPr>
        <w:lastRenderedPageBreak/>
        <w:t>البرنامج</w:t>
      </w:r>
      <w:r>
        <w:rPr>
          <w:rFonts w:hint="cs"/>
          <w:rtl/>
        </w:rPr>
        <w:t xml:space="preserve"> 27</w:t>
      </w:r>
      <w:r w:rsidRPr="00254297">
        <w:rPr>
          <w:rFonts w:hint="cs"/>
          <w:rtl/>
        </w:rPr>
        <w:t>:</w:t>
      </w:r>
      <w:r w:rsidRPr="00254297">
        <w:tab/>
      </w:r>
      <w:r w:rsidRPr="00834CB9">
        <w:rPr>
          <w:rtl/>
        </w:rPr>
        <w:t>خدمات المؤتمرات واللغات</w:t>
      </w:r>
      <w:bookmarkEnd w:id="57"/>
    </w:p>
    <w:p w14:paraId="6A4DA133" w14:textId="77777777" w:rsidR="00BD3831" w:rsidRDefault="00BD3831" w:rsidP="0031289D">
      <w:pPr>
        <w:keepNext/>
        <w:bidi/>
        <w:spacing w:after="240" w:line="340" w:lineRule="exact"/>
        <w:ind w:left="1984" w:hanging="1984"/>
        <w:rPr>
          <w:rFonts w:ascii="Arabic Typesetting" w:hAnsi="Arabic Typesetting" w:cs="Arabic Typesetting"/>
          <w:b/>
          <w:bCs/>
          <w:sz w:val="36"/>
          <w:szCs w:val="36"/>
          <w:rtl/>
          <w:lang w:val="fr-CH" w:bidi="ar-EG"/>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0B74B5">
        <w:rPr>
          <w:rFonts w:ascii="Arabic Typesetting" w:hAnsi="Arabic Typesetting" w:cs="Arabic Typesetting"/>
          <w:b/>
          <w:bCs/>
          <w:sz w:val="36"/>
          <w:szCs w:val="36"/>
        </w:rPr>
        <w:tab/>
      </w:r>
      <w:r w:rsidRPr="00834CB9">
        <w:rPr>
          <w:rFonts w:ascii="Arabic Typesetting" w:hAnsi="Arabic Typesetting" w:cs="Arabic Typesetting"/>
          <w:b/>
          <w:bCs/>
          <w:sz w:val="36"/>
          <w:szCs w:val="36"/>
          <w:rtl/>
          <w:lang w:val="fr-CH"/>
        </w:rPr>
        <w:t>السيد أمبي سوندارام</w:t>
      </w:r>
    </w:p>
    <w:p w14:paraId="3F2E0ACD" w14:textId="77777777" w:rsidR="00BD3831" w:rsidRDefault="00BD3831"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4F3E066E" wp14:editId="19898441">
            <wp:extent cx="3592185" cy="216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92185" cy="2160000"/>
                    </a:xfrm>
                    <a:prstGeom prst="rect">
                      <a:avLst/>
                    </a:prstGeom>
                    <a:noFill/>
                  </pic:spPr>
                </pic:pic>
              </a:graphicData>
            </a:graphic>
          </wp:inline>
        </w:drawing>
      </w:r>
    </w:p>
    <w:tbl>
      <w:tblPr>
        <w:bidiVisual/>
        <w:tblW w:w="4937" w:type="pct"/>
        <w:tblInd w:w="58" w:type="dxa"/>
        <w:tblLayout w:type="fixed"/>
        <w:tblCellMar>
          <w:left w:w="115" w:type="dxa"/>
          <w:right w:w="115" w:type="dxa"/>
        </w:tblCellMar>
        <w:tblLook w:val="0000" w:firstRow="0" w:lastRow="0" w:firstColumn="0" w:lastColumn="0" w:noHBand="0" w:noVBand="0"/>
      </w:tblPr>
      <w:tblGrid>
        <w:gridCol w:w="2001"/>
        <w:gridCol w:w="2538"/>
        <w:gridCol w:w="1560"/>
        <w:gridCol w:w="2293"/>
        <w:gridCol w:w="960"/>
      </w:tblGrid>
      <w:tr w:rsidR="00BD3831" w:rsidRPr="00834CB9" w14:paraId="014E8529" w14:textId="77777777" w:rsidTr="00DF6715">
        <w:trPr>
          <w:cantSplit/>
          <w:trHeight w:val="565"/>
        </w:trPr>
        <w:tc>
          <w:tcPr>
            <w:tcW w:w="5000" w:type="pct"/>
            <w:gridSpan w:val="5"/>
            <w:shd w:val="clear" w:color="auto" w:fill="C6D9F1"/>
            <w:tcMar>
              <w:left w:w="58" w:type="dxa"/>
              <w:right w:w="58" w:type="dxa"/>
            </w:tcMar>
            <w:vAlign w:val="center"/>
          </w:tcPr>
          <w:p w14:paraId="64613C2D" w14:textId="77777777" w:rsidR="00BD3831" w:rsidRPr="00834CB9"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834CB9">
              <w:rPr>
                <w:rFonts w:ascii="Arabic Typesetting" w:eastAsia="Arabic Typesetting" w:hAnsi="Arabic Typesetting" w:cs="Arabic Typesetting"/>
                <w:b/>
                <w:bCs/>
                <w:sz w:val="28"/>
                <w:szCs w:val="28"/>
                <w:rtl/>
                <w:lang w:eastAsia="ar-EG" w:bidi="ar-EG"/>
              </w:rPr>
              <w:t>‏النتيجة المرتقبة:</w:t>
            </w:r>
            <w:r w:rsidRPr="00834CB9">
              <w:rPr>
                <w:rFonts w:ascii="Arabic Typesetting" w:eastAsia="Arabic Typesetting" w:hAnsi="Arabic Typesetting" w:cs="Arabic Typesetting"/>
                <w:sz w:val="28"/>
                <w:szCs w:val="28"/>
                <w:lang w:eastAsia="ar-EG" w:bidi="ar-EG"/>
              </w:rPr>
              <w:tab/>
            </w:r>
            <w:r w:rsidRPr="00834CB9">
              <w:rPr>
                <w:rFonts w:ascii="Arabic Typesetting" w:eastAsia="Arabic Typesetting" w:hAnsi="Arabic Typesetting" w:cs="Arabic Typesetting"/>
                <w:color w:val="000000"/>
                <w:sz w:val="28"/>
                <w:szCs w:val="28"/>
                <w:rtl/>
                <w:lang w:eastAsia="ar-EG" w:bidi="ar-EG"/>
              </w:rPr>
              <w:t xml:space="preserve">ه1.9 </w:t>
            </w:r>
            <w:r w:rsidRPr="004D4907">
              <w:rPr>
                <w:rFonts w:ascii="Arabic Typesetting" w:eastAsia="Arabic Typesetting" w:hAnsi="Arabic Typesetting" w:cs="Arabic Typesetting"/>
                <w:color w:val="000000"/>
                <w:sz w:val="28"/>
                <w:szCs w:val="28"/>
                <w:rtl/>
                <w:lang w:eastAsia="ar-EG" w:bidi="ar-EG"/>
              </w:rPr>
              <w:t>خدمات دعم موجهة للزبون بفعالية وكفاءة وجودة لفائدة الزبائن الداخليين وأصحاب المصلحة الخارجيين</w:t>
            </w:r>
          </w:p>
        </w:tc>
      </w:tr>
      <w:tr w:rsidR="00BD3831" w:rsidRPr="00834CB9" w14:paraId="3D5E6DCF" w14:textId="77777777" w:rsidTr="00DF6715">
        <w:trPr>
          <w:cantSplit/>
        </w:trPr>
        <w:tc>
          <w:tcPr>
            <w:tcW w:w="1070" w:type="pct"/>
            <w:shd w:val="clear" w:color="auto" w:fill="auto"/>
            <w:tcMar>
              <w:left w:w="58" w:type="dxa"/>
              <w:right w:w="58" w:type="dxa"/>
            </w:tcMar>
            <w:vAlign w:val="center"/>
          </w:tcPr>
          <w:p w14:paraId="3C571E35" w14:textId="77777777" w:rsidR="00BD3831" w:rsidRPr="00834CB9"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834CB9">
              <w:rPr>
                <w:rFonts w:ascii="Arabic Typesetting" w:eastAsia="Arabic Typesetting" w:hAnsi="Arabic Typesetting" w:cs="Arabic Typesetting"/>
                <w:b/>
                <w:bCs/>
                <w:sz w:val="28"/>
                <w:szCs w:val="28"/>
                <w:rtl/>
                <w:lang w:eastAsia="ar-EG" w:bidi="ar-EG"/>
              </w:rPr>
              <w:t>مؤشرات الأداء</w:t>
            </w:r>
          </w:p>
        </w:tc>
        <w:tc>
          <w:tcPr>
            <w:tcW w:w="1357" w:type="pct"/>
            <w:shd w:val="clear" w:color="auto" w:fill="auto"/>
            <w:tcMar>
              <w:left w:w="58" w:type="dxa"/>
              <w:right w:w="58" w:type="dxa"/>
            </w:tcMar>
            <w:vAlign w:val="center"/>
          </w:tcPr>
          <w:p w14:paraId="752EA674" w14:textId="77777777" w:rsidR="00BD3831" w:rsidRPr="00834CB9"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834CB9">
              <w:rPr>
                <w:rFonts w:ascii="Arabic Typesetting" w:eastAsia="Arabic Typesetting" w:hAnsi="Arabic Typesetting" w:cs="Arabic Typesetting"/>
                <w:b/>
                <w:bCs/>
                <w:sz w:val="28"/>
                <w:szCs w:val="28"/>
                <w:rtl/>
                <w:lang w:eastAsia="ar-EG" w:bidi="ar-EG"/>
              </w:rPr>
              <w:t>أسس المقارنة</w:t>
            </w:r>
          </w:p>
        </w:tc>
        <w:tc>
          <w:tcPr>
            <w:tcW w:w="834" w:type="pct"/>
            <w:shd w:val="clear" w:color="auto" w:fill="auto"/>
            <w:tcMar>
              <w:top w:w="110" w:type="dxa"/>
              <w:left w:w="58" w:type="dxa"/>
              <w:right w:w="58" w:type="dxa"/>
            </w:tcMar>
            <w:vAlign w:val="center"/>
          </w:tcPr>
          <w:p w14:paraId="19B49539" w14:textId="77777777" w:rsidR="00BD3831" w:rsidRPr="00834CB9"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834CB9">
              <w:rPr>
                <w:rFonts w:ascii="Arabic Typesetting" w:eastAsia="Arabic Typesetting" w:hAnsi="Arabic Typesetting" w:cs="Arabic Typesetting"/>
                <w:b/>
                <w:bCs/>
                <w:sz w:val="28"/>
                <w:szCs w:val="28"/>
                <w:rtl/>
                <w:lang w:eastAsia="ar-EG" w:bidi="ar-EG"/>
              </w:rPr>
              <w:t>الأهداف</w:t>
            </w:r>
          </w:p>
        </w:tc>
        <w:tc>
          <w:tcPr>
            <w:tcW w:w="1226" w:type="pct"/>
            <w:shd w:val="clear" w:color="auto" w:fill="FFFFFF"/>
            <w:tcMar>
              <w:top w:w="110" w:type="dxa"/>
              <w:left w:w="58" w:type="dxa"/>
              <w:right w:w="58" w:type="dxa"/>
            </w:tcMar>
            <w:vAlign w:val="center"/>
          </w:tcPr>
          <w:p w14:paraId="3FCD6088" w14:textId="77777777" w:rsidR="00BD3831" w:rsidRPr="00834CB9"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834CB9">
              <w:rPr>
                <w:rFonts w:ascii="Arabic Typesetting" w:eastAsia="Arabic Typesetting" w:hAnsi="Arabic Typesetting" w:cs="Arabic Typesetting"/>
                <w:b/>
                <w:bCs/>
                <w:sz w:val="28"/>
                <w:szCs w:val="28"/>
                <w:rtl/>
                <w:lang w:eastAsia="ar-EG" w:bidi="ar-EG"/>
              </w:rPr>
              <w:t>بيانات الأداء</w:t>
            </w:r>
          </w:p>
        </w:tc>
        <w:tc>
          <w:tcPr>
            <w:tcW w:w="513" w:type="pct"/>
            <w:shd w:val="clear" w:color="auto" w:fill="auto"/>
            <w:tcMar>
              <w:top w:w="110" w:type="dxa"/>
              <w:left w:w="58" w:type="dxa"/>
              <w:right w:w="58" w:type="dxa"/>
            </w:tcMar>
            <w:vAlign w:val="center"/>
          </w:tcPr>
          <w:p w14:paraId="44FD1D6B" w14:textId="77777777" w:rsidR="00BD3831" w:rsidRPr="00834CB9" w:rsidRDefault="00BD3831" w:rsidP="0031289D">
            <w:pPr>
              <w:bidi/>
              <w:spacing w:after="120" w:line="280" w:lineRule="exact"/>
              <w:jc w:val="center"/>
              <w:rPr>
                <w:rFonts w:ascii="Arabic Typesetting" w:eastAsia="Arabic Typesetting" w:hAnsi="Arabic Typesetting" w:cs="Arabic Typesetting"/>
                <w:b/>
                <w:bCs/>
                <w:sz w:val="28"/>
                <w:szCs w:val="28"/>
                <w:lang w:eastAsia="ar-EG" w:bidi="ar-EG"/>
              </w:rPr>
            </w:pPr>
            <w:r w:rsidRPr="00834CB9">
              <w:rPr>
                <w:rFonts w:ascii="Arabic Typesetting" w:eastAsia="Arabic Typesetting" w:hAnsi="Arabic Typesetting" w:cs="Arabic Typesetting"/>
                <w:b/>
                <w:bCs/>
                <w:sz w:val="28"/>
                <w:szCs w:val="28"/>
                <w:rtl/>
                <w:lang w:eastAsia="ar-EG" w:bidi="ar-EG"/>
              </w:rPr>
              <w:t>السير</w:t>
            </w:r>
          </w:p>
        </w:tc>
      </w:tr>
      <w:tr w:rsidR="00BD3831" w:rsidRPr="00834CB9" w14:paraId="172A313A" w14:textId="77777777" w:rsidTr="00DF6715">
        <w:trPr>
          <w:cantSplit/>
          <w:trHeight w:val="750"/>
        </w:trPr>
        <w:tc>
          <w:tcPr>
            <w:tcW w:w="1070" w:type="pct"/>
            <w:shd w:val="clear" w:color="auto" w:fill="auto"/>
            <w:tcMar>
              <w:left w:w="58" w:type="dxa"/>
              <w:right w:w="58" w:type="dxa"/>
            </w:tcMar>
          </w:tcPr>
          <w:p w14:paraId="6AA7732A"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النسبة المئوية للمشاركين الداخليين والخارجيين الراضين عن خدمات المؤتمرات في الويبو</w:t>
            </w:r>
          </w:p>
        </w:tc>
        <w:tc>
          <w:tcPr>
            <w:tcW w:w="1357" w:type="pct"/>
            <w:shd w:val="clear" w:color="auto" w:fill="auto"/>
            <w:tcMar>
              <w:left w:w="58" w:type="dxa"/>
              <w:right w:w="58" w:type="dxa"/>
            </w:tcMar>
          </w:tcPr>
          <w:p w14:paraId="34FA11B6" w14:textId="77777777" w:rsidR="00BD3831" w:rsidRPr="00834CB9"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834CB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97% من المستخدمين في 2014/15 رأوا أن النوعية العامة لخدمات المؤتمرات في الويبو ممتازة أو جيدة</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- 2014</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 xml:space="preserve"> </w:t>
            </w:r>
            <w:r w:rsidRPr="00834CB9">
              <w:rPr>
                <w:rFonts w:ascii="Arabic Typesetting" w:eastAsia="Arabic Typesetting" w:hAnsi="Arabic Typesetting" w:cs="Arabic Typesetting"/>
                <w:color w:val="002060"/>
                <w:sz w:val="28"/>
                <w:szCs w:val="28"/>
                <w:rtl/>
                <w:lang w:eastAsia="ar-EG" w:bidi="ar-EG"/>
              </w:rPr>
              <w:t>ممتازة (</w:t>
            </w:r>
            <w:r>
              <w:rPr>
                <w:rFonts w:ascii="Arabic Typesetting" w:eastAsia="Arabic Typesetting" w:hAnsi="Arabic Typesetting" w:cs="Arabic Typesetting"/>
                <w:color w:val="002060"/>
                <w:sz w:val="28"/>
                <w:szCs w:val="28"/>
                <w:lang w:eastAsia="ar-EG" w:bidi="ar-EG"/>
              </w:rPr>
              <w:t>%48</w:t>
            </w:r>
            <w:r w:rsidRPr="00834CB9">
              <w:rPr>
                <w:rFonts w:ascii="Arabic Typesetting" w:eastAsia="Arabic Typesetting" w:hAnsi="Arabic Typesetting" w:cs="Arabic Typesetting"/>
                <w:color w:val="002060"/>
                <w:sz w:val="28"/>
                <w:szCs w:val="28"/>
                <w:rtl/>
                <w:lang w:eastAsia="ar-EG" w:bidi="ar-EG"/>
              </w:rPr>
              <w:t>) أو</w:t>
            </w:r>
            <w:r>
              <w:rPr>
                <w:rFonts w:ascii="Arabic Typesetting" w:eastAsia="Arabic Typesetting" w:hAnsi="Arabic Typesetting" w:cs="Arabic Typesetting" w:hint="cs"/>
                <w:color w:val="002060"/>
                <w:sz w:val="28"/>
                <w:szCs w:val="28"/>
                <w:rtl/>
                <w:lang w:eastAsia="ar-EG" w:bidi="ar-EG"/>
              </w:rPr>
              <w:t> </w:t>
            </w:r>
            <w:r>
              <w:rPr>
                <w:rFonts w:ascii="Arabic Typesetting" w:eastAsia="Arabic Typesetting" w:hAnsi="Arabic Typesetting" w:cs="Arabic Typesetting"/>
                <w:color w:val="002060"/>
                <w:sz w:val="28"/>
                <w:szCs w:val="28"/>
                <w:rtl/>
                <w:lang w:eastAsia="ar-EG" w:bidi="ar-EG"/>
              </w:rPr>
              <w:t>جيدة</w:t>
            </w:r>
            <w:r>
              <w:rPr>
                <w:rFonts w:ascii="Arabic Typesetting" w:eastAsia="Arabic Typesetting" w:hAnsi="Arabic Typesetting" w:cs="Arabic Typesetting" w:hint="cs"/>
                <w:color w:val="002060"/>
                <w:sz w:val="28"/>
                <w:szCs w:val="28"/>
                <w:rtl/>
                <w:lang w:eastAsia="ar-EG" w:bidi="ar-EG"/>
              </w:rPr>
              <w:t> </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%49</w:t>
            </w:r>
            <w:r>
              <w:rPr>
                <w:rFonts w:ascii="Arabic Typesetting" w:eastAsia="Arabic Typesetting" w:hAnsi="Arabic Typesetting" w:cs="Arabic Typesetting"/>
                <w:color w:val="002060"/>
                <w:sz w:val="28"/>
                <w:szCs w:val="28"/>
                <w:rtl/>
                <w:lang w:eastAsia="ar-EG" w:bidi="ar-EG"/>
              </w:rPr>
              <w:t>)</w:t>
            </w:r>
          </w:p>
          <w:p w14:paraId="78864BD4"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834CB9">
              <w:rPr>
                <w:rFonts w:ascii="Arabic Typesetting" w:eastAsia="Arabic Typesetting" w:hAnsi="Arabic Typesetting" w:cs="Arabic Typesetting"/>
                <w:color w:val="002060"/>
                <w:sz w:val="28"/>
                <w:szCs w:val="28"/>
                <w:rtl/>
                <w:lang w:eastAsia="ar-EG" w:bidi="ar-EG"/>
              </w:rPr>
              <w:t>- 2015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Pr>
                <w:rFonts w:ascii="Arabic Typesetting" w:eastAsia="Arabic Typesetting" w:hAnsi="Arabic Typesetting" w:cs="Arabic Typesetting"/>
                <w:color w:val="002060"/>
                <w:sz w:val="28"/>
                <w:szCs w:val="28"/>
                <w:rtl/>
                <w:lang w:eastAsia="ar-EG" w:bidi="ar-EG"/>
              </w:rPr>
              <w:t>ممتازة (</w:t>
            </w:r>
            <w:r>
              <w:rPr>
                <w:rFonts w:ascii="Arabic Typesetting" w:eastAsia="Arabic Typesetting" w:hAnsi="Arabic Typesetting" w:cs="Arabic Typesetting"/>
                <w:color w:val="002060"/>
                <w:sz w:val="28"/>
                <w:szCs w:val="28"/>
                <w:lang w:eastAsia="ar-EG" w:bidi="ar-EG"/>
              </w:rPr>
              <w:t>%60</w:t>
            </w:r>
            <w:r>
              <w:rPr>
                <w:rFonts w:ascii="Arabic Typesetting" w:eastAsia="Arabic Typesetting" w:hAnsi="Arabic Typesetting" w:cs="Arabic Typesetting"/>
                <w:color w:val="002060"/>
                <w:sz w:val="28"/>
                <w:szCs w:val="28"/>
                <w:rtl/>
                <w:lang w:eastAsia="ar-EG" w:bidi="ar-EG"/>
              </w:rPr>
              <w:t>) أو</w:t>
            </w:r>
            <w:r>
              <w:rPr>
                <w:rFonts w:ascii="Arabic Typesetting" w:eastAsia="Arabic Typesetting" w:hAnsi="Arabic Typesetting" w:cs="Arabic Typesetting" w:hint="cs"/>
                <w:color w:val="002060"/>
                <w:sz w:val="28"/>
                <w:szCs w:val="28"/>
                <w:rtl/>
                <w:lang w:eastAsia="ar-EG" w:bidi="ar-EG"/>
              </w:rPr>
              <w:t> </w:t>
            </w:r>
            <w:r>
              <w:rPr>
                <w:rFonts w:ascii="Arabic Typesetting" w:eastAsia="Arabic Typesetting" w:hAnsi="Arabic Typesetting" w:cs="Arabic Typesetting"/>
                <w:color w:val="002060"/>
                <w:sz w:val="28"/>
                <w:szCs w:val="28"/>
                <w:rtl/>
                <w:lang w:eastAsia="ar-EG" w:bidi="ar-EG"/>
              </w:rPr>
              <w:t>جيدة</w:t>
            </w:r>
            <w:r>
              <w:rPr>
                <w:rFonts w:ascii="Arabic Typesetting" w:eastAsia="Arabic Typesetting" w:hAnsi="Arabic Typesetting" w:cs="Arabic Typesetting" w:hint="cs"/>
                <w:color w:val="002060"/>
                <w:sz w:val="28"/>
                <w:szCs w:val="28"/>
                <w:rtl/>
                <w:lang w:eastAsia="ar-EG" w:bidi="ar-EG"/>
              </w:rPr>
              <w:t> </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lang w:eastAsia="ar-EG" w:bidi="ar-EG"/>
              </w:rPr>
              <w:t>%37</w:t>
            </w:r>
            <w:r>
              <w:rPr>
                <w:rFonts w:ascii="Arabic Typesetting" w:eastAsia="Arabic Typesetting" w:hAnsi="Arabic Typesetting" w:cs="Arabic Typesetting"/>
                <w:color w:val="002060"/>
                <w:sz w:val="28"/>
                <w:szCs w:val="28"/>
                <w:rtl/>
                <w:lang w:eastAsia="ar-EG" w:bidi="ar-EG"/>
              </w:rPr>
              <w:t>)</w:t>
            </w:r>
          </w:p>
          <w:p w14:paraId="5318069D"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i/>
                <w:iCs/>
                <w:sz w:val="28"/>
                <w:szCs w:val="28"/>
                <w:rtl/>
                <w:lang w:eastAsia="ar-EG" w:bidi="ar-EG"/>
              </w:rPr>
              <w:t>‏أساس المقارنة الأصلي:</w:t>
            </w:r>
            <w:r w:rsidRPr="00834CB9">
              <w:rPr>
                <w:rFonts w:ascii="Arabic Typesetting" w:eastAsia="Arabic Typesetting" w:hAnsi="Arabic Typesetting" w:cs="Arabic Typesetting"/>
                <w:i/>
                <w:sz w:val="28"/>
                <w:szCs w:val="28"/>
                <w:lang w:eastAsia="ar-EG" w:bidi="ar-EG"/>
              </w:rPr>
              <w:br/>
            </w:r>
            <w:r w:rsidRPr="00834CB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97% من</w:t>
            </w:r>
            <w:r w:rsidRPr="00834CB9">
              <w:rPr>
                <w:rFonts w:ascii="Arabic Typesetting" w:eastAsia="Arabic Typesetting" w:hAnsi="Arabic Typesetting" w:cs="Arabic Typesetting"/>
                <w:color w:val="000000"/>
                <w:sz w:val="28"/>
                <w:szCs w:val="28"/>
                <w:rtl/>
                <w:lang w:eastAsia="ar-EG" w:bidi="ar-EG"/>
              </w:rPr>
              <w:t xml:space="preserve"> المشاركين راضون عن الخدمات (نهاية عام 2014)</w:t>
            </w:r>
          </w:p>
        </w:tc>
        <w:tc>
          <w:tcPr>
            <w:tcW w:w="834" w:type="pct"/>
            <w:shd w:val="clear" w:color="auto" w:fill="auto"/>
            <w:tcMar>
              <w:top w:w="110" w:type="dxa"/>
              <w:left w:w="58" w:type="dxa"/>
              <w:right w:w="58" w:type="dxa"/>
            </w:tcMar>
          </w:tcPr>
          <w:p w14:paraId="5BC2A5F3"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834CB9">
              <w:rPr>
                <w:rFonts w:ascii="Arabic Typesetting" w:eastAsia="Arabic Typesetting" w:hAnsi="Arabic Typesetting" w:cs="Arabic Typesetting"/>
                <w:i/>
                <w:iCs/>
                <w:color w:val="002060"/>
                <w:sz w:val="28"/>
                <w:szCs w:val="28"/>
                <w:rtl/>
                <w:lang w:eastAsia="ar-EG" w:bidi="ar-EG"/>
              </w:rPr>
              <w:t>الهدف المحدَّث</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الحفاظ على النسبة المحققة في نهاية 2015</w:t>
            </w:r>
          </w:p>
          <w:p w14:paraId="55655137"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i/>
                <w:iCs/>
                <w:sz w:val="28"/>
                <w:szCs w:val="28"/>
                <w:rtl/>
                <w:lang w:eastAsia="ar-EG" w:bidi="ar-EG"/>
              </w:rPr>
              <w:t>الهدف الأصلي:</w:t>
            </w:r>
            <w:r w:rsidRPr="00834CB9">
              <w:rPr>
                <w:rFonts w:ascii="Arabic Typesetting" w:eastAsia="Arabic Typesetting" w:hAnsi="Arabic Typesetting" w:cs="Arabic Typesetting"/>
                <w:sz w:val="28"/>
                <w:szCs w:val="28"/>
                <w:lang w:eastAsia="ar-EG" w:bidi="ar-EG"/>
              </w:rPr>
              <w:br/>
            </w:r>
            <w:r w:rsidRPr="00834CB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834CB9">
              <w:rPr>
                <w:rFonts w:ascii="Arabic Typesetting" w:eastAsia="Arabic Typesetting" w:hAnsi="Arabic Typesetting" w:cs="Arabic Typesetting"/>
                <w:color w:val="000000"/>
                <w:sz w:val="28"/>
                <w:szCs w:val="28"/>
                <w:rtl/>
                <w:lang w:eastAsia="ar-EG" w:bidi="ar-EG"/>
              </w:rPr>
              <w:t>الحفاظ على النسبة المحققة في نهاية 2014</w:t>
            </w:r>
          </w:p>
        </w:tc>
        <w:tc>
          <w:tcPr>
            <w:tcW w:w="1226" w:type="pct"/>
            <w:shd w:val="clear" w:color="auto" w:fill="FFFFFF"/>
            <w:tcMar>
              <w:top w:w="110" w:type="dxa"/>
              <w:left w:w="58" w:type="dxa"/>
              <w:right w:w="58" w:type="dxa"/>
            </w:tcMar>
          </w:tcPr>
          <w:p w14:paraId="2AE98113" w14:textId="77777777" w:rsidR="00BD3831" w:rsidRPr="00834CB9"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834CB9">
              <w:rPr>
                <w:rFonts w:ascii="Arabic Typesetting" w:eastAsia="Arabic Typesetting" w:hAnsi="Arabic Typesetting" w:cs="Arabic Typesetting"/>
                <w:sz w:val="28"/>
                <w:szCs w:val="28"/>
                <w:rtl/>
                <w:lang w:eastAsia="ar-EG" w:bidi="ar-EG"/>
              </w:rPr>
              <w:t>96% من المستخدمين رأوا أن النوعية العامة لخدمات المؤتمرات في الويبو ممتازة (</w:t>
            </w:r>
            <w:r>
              <w:rPr>
                <w:rFonts w:ascii="Arabic Typesetting" w:eastAsia="Arabic Typesetting" w:hAnsi="Arabic Typesetting" w:cs="Arabic Typesetting"/>
                <w:sz w:val="28"/>
                <w:szCs w:val="28"/>
                <w:lang w:eastAsia="ar-EG" w:bidi="ar-EG"/>
              </w:rPr>
              <w:t>%56</w:t>
            </w:r>
            <w:r w:rsidRPr="00834CB9">
              <w:rPr>
                <w:rFonts w:ascii="Arabic Typesetting" w:eastAsia="Arabic Typesetting" w:hAnsi="Arabic Typesetting" w:cs="Arabic Typesetting"/>
                <w:sz w:val="28"/>
                <w:szCs w:val="28"/>
                <w:rtl/>
                <w:lang w:eastAsia="ar-EG" w:bidi="ar-EG"/>
              </w:rPr>
              <w:t>) أو</w:t>
            </w:r>
            <w:r>
              <w:rPr>
                <w:rFonts w:ascii="Arabic Typesetting" w:eastAsia="Arabic Typesetting" w:hAnsi="Arabic Typesetting" w:cs="Arabic Typesetting" w:hint="cs"/>
                <w:sz w:val="28"/>
                <w:szCs w:val="28"/>
                <w:rtl/>
                <w:lang w:eastAsia="ar-EG" w:bidi="ar-EG"/>
              </w:rPr>
              <w:t> </w:t>
            </w:r>
            <w:r w:rsidRPr="00834CB9">
              <w:rPr>
                <w:rFonts w:ascii="Arabic Typesetting" w:eastAsia="Arabic Typesetting" w:hAnsi="Arabic Typesetting" w:cs="Arabic Typesetting"/>
                <w:sz w:val="28"/>
                <w:szCs w:val="28"/>
                <w:rtl/>
                <w:lang w:eastAsia="ar-EG" w:bidi="ar-EG"/>
              </w:rPr>
              <w:t>جيدة</w:t>
            </w:r>
            <w:r>
              <w:rPr>
                <w:rFonts w:ascii="Arabic Typesetting" w:eastAsia="Arabic Typesetting" w:hAnsi="Arabic Typesetting" w:cs="Arabic Typesetting" w:hint="cs"/>
                <w:sz w:val="28"/>
                <w:szCs w:val="28"/>
                <w:rtl/>
                <w:lang w:eastAsia="ar-EG" w:bidi="ar-EG"/>
              </w:rPr>
              <w:t> </w:t>
            </w:r>
            <w:r w:rsidRPr="00834CB9">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sz w:val="28"/>
                <w:szCs w:val="28"/>
                <w:lang w:eastAsia="ar-EG" w:bidi="ar-EG"/>
              </w:rPr>
              <w:t>%40</w:t>
            </w:r>
            <w:r w:rsidRPr="00834CB9">
              <w:rPr>
                <w:rFonts w:ascii="Arabic Typesetting" w:eastAsia="Arabic Typesetting" w:hAnsi="Arabic Typesetting" w:cs="Arabic Typesetting"/>
                <w:sz w:val="28"/>
                <w:szCs w:val="28"/>
                <w:rtl/>
                <w:lang w:eastAsia="ar-EG" w:bidi="ar-EG"/>
              </w:rPr>
              <w:t>)</w:t>
            </w:r>
          </w:p>
        </w:tc>
        <w:tc>
          <w:tcPr>
            <w:tcW w:w="513" w:type="pct"/>
            <w:shd w:val="clear" w:color="auto" w:fill="auto"/>
            <w:tcMar>
              <w:top w:w="110" w:type="dxa"/>
              <w:left w:w="58" w:type="dxa"/>
              <w:right w:w="58" w:type="dxa"/>
            </w:tcMar>
          </w:tcPr>
          <w:p w14:paraId="5B09846D" w14:textId="77777777" w:rsidR="00BD3831" w:rsidRPr="00834CB9" w:rsidRDefault="00BD3831"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834CB9">
              <w:rPr>
                <w:rFonts w:ascii="Arabic Typesetting" w:eastAsia="Arabic Typesetting" w:hAnsi="Arabic Typesetting" w:cs="Arabic Typesetting"/>
                <w:b/>
                <w:bCs/>
                <w:color w:val="00B050"/>
                <w:sz w:val="28"/>
                <w:szCs w:val="28"/>
                <w:rtl/>
                <w:lang w:eastAsia="ar-EG" w:bidi="ar-EG"/>
              </w:rPr>
              <w:t>ثابت</w:t>
            </w:r>
          </w:p>
        </w:tc>
      </w:tr>
      <w:tr w:rsidR="00BD3831" w:rsidRPr="00834CB9" w14:paraId="76E23150" w14:textId="77777777" w:rsidTr="00DF6715">
        <w:trPr>
          <w:cantSplit/>
          <w:trHeight w:val="1195"/>
        </w:trPr>
        <w:tc>
          <w:tcPr>
            <w:tcW w:w="1070" w:type="pct"/>
            <w:shd w:val="clear" w:color="auto" w:fill="auto"/>
            <w:tcMar>
              <w:left w:w="58" w:type="dxa"/>
              <w:right w:w="58" w:type="dxa"/>
            </w:tcMar>
          </w:tcPr>
          <w:p w14:paraId="48AF3990"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lastRenderedPageBreak/>
              <w:t>تطبيق فعال لسياسة اللغات في</w:t>
            </w:r>
            <w:r>
              <w:rPr>
                <w:rFonts w:ascii="Arabic Typesetting" w:eastAsia="Arabic Typesetting" w:hAnsi="Arabic Typesetting" w:cs="Arabic Typesetting" w:hint="cs"/>
                <w:color w:val="000000"/>
                <w:sz w:val="28"/>
                <w:szCs w:val="28"/>
                <w:rtl/>
                <w:lang w:eastAsia="ar-EG" w:bidi="ar-EG"/>
              </w:rPr>
              <w:t> </w:t>
            </w:r>
            <w:r w:rsidRPr="00834CB9">
              <w:rPr>
                <w:rFonts w:ascii="Arabic Typesetting" w:eastAsia="Arabic Typesetting" w:hAnsi="Arabic Typesetting" w:cs="Arabic Typesetting"/>
                <w:color w:val="000000"/>
                <w:sz w:val="28"/>
                <w:szCs w:val="28"/>
                <w:rtl/>
                <w:lang w:eastAsia="ar-EG" w:bidi="ar-EG"/>
              </w:rPr>
              <w:t>الويبو</w:t>
            </w:r>
          </w:p>
        </w:tc>
        <w:tc>
          <w:tcPr>
            <w:tcW w:w="1357" w:type="pct"/>
            <w:shd w:val="clear" w:color="auto" w:fill="auto"/>
            <w:tcMar>
              <w:left w:w="58" w:type="dxa"/>
              <w:right w:w="58" w:type="dxa"/>
            </w:tcMar>
          </w:tcPr>
          <w:p w14:paraId="05402BB2" w14:textId="77777777" w:rsidR="00BD3831" w:rsidRPr="00834CB9" w:rsidRDefault="00BD3831" w:rsidP="0031289D">
            <w:pPr>
              <w:bidi/>
              <w:spacing w:line="280" w:lineRule="exact"/>
              <w:rPr>
                <w:rFonts w:ascii="Arabic Typesetting" w:eastAsia="Arabic Typesetting" w:hAnsi="Arabic Typesetting" w:cs="Arabic Typesetting"/>
                <w:color w:val="002060"/>
                <w:sz w:val="28"/>
                <w:szCs w:val="28"/>
                <w:lang w:eastAsia="ar-EG" w:bidi="ar-EG"/>
              </w:rPr>
            </w:pPr>
            <w:r w:rsidRPr="00834CB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إضافة إلى كل اللجان/الهيئات الرئيسية، وسِّعت تغطية اللغات الست في 2014</w:t>
            </w:r>
            <w:r>
              <w:rPr>
                <w:rFonts w:ascii="Arabic Typesetting" w:eastAsia="Arabic Typesetting" w:hAnsi="Arabic Typesetting" w:cs="Arabic Typesetting"/>
                <w:color w:val="002060"/>
                <w:sz w:val="28"/>
                <w:szCs w:val="28"/>
                <w:rtl/>
                <w:lang w:eastAsia="ar-EG" w:bidi="ar-EG"/>
              </w:rPr>
              <w:t>/15 لتشمل أربعة أفرقة عاملة</w:t>
            </w:r>
            <w:r>
              <w:rPr>
                <w:rFonts w:ascii="Arabic Typesetting" w:eastAsia="Arabic Typesetting" w:hAnsi="Arabic Typesetting" w:cs="Arabic Typesetting" w:hint="cs"/>
                <w:color w:val="002060"/>
                <w:sz w:val="28"/>
                <w:szCs w:val="28"/>
                <w:rtl/>
                <w:lang w:eastAsia="ar-EG" w:bidi="ar-EG"/>
              </w:rPr>
              <w:t>:</w:t>
            </w:r>
          </w:p>
          <w:p w14:paraId="09D9121A"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834CB9">
              <w:rPr>
                <w:rFonts w:ascii="Arabic Typesetting" w:eastAsia="Arabic Typesetting" w:hAnsi="Arabic Typesetting" w:cs="Arabic Typesetting"/>
                <w:color w:val="002060"/>
                <w:sz w:val="28"/>
                <w:szCs w:val="28"/>
                <w:rtl/>
                <w:lang w:eastAsia="ar-EG" w:bidi="ar-EG"/>
              </w:rPr>
              <w:t>"1" الفريق العامل التابع لمعاهدة التعاون بشأن البراءات؛</w:t>
            </w:r>
            <w:r>
              <w:rPr>
                <w:rFonts w:ascii="Arabic Typesetting" w:eastAsia="Arabic Typesetting" w:hAnsi="Arabic Typesetting" w:cs="Arabic Typesetting"/>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"2" والفريق العامل المعني بالتطوير القانوني لنظام لاهاي للت</w:t>
            </w:r>
            <w:r>
              <w:rPr>
                <w:rFonts w:ascii="Arabic Typesetting" w:eastAsia="Arabic Typesetting" w:hAnsi="Arabic Typesetting" w:cs="Arabic Typesetting"/>
                <w:color w:val="002060"/>
                <w:sz w:val="28"/>
                <w:szCs w:val="28"/>
                <w:rtl/>
                <w:lang w:eastAsia="ar-EG" w:bidi="ar-EG"/>
              </w:rPr>
              <w:t>سجيل الدولي للتصاميم الصناعية؛</w:t>
            </w:r>
            <w:r>
              <w:rPr>
                <w:rFonts w:ascii="Arabic Typesetting" w:eastAsia="Arabic Typesetting" w:hAnsi="Arabic Typesetting" w:cs="Arabic Typesetting"/>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"3" والفريق العامل المعني بالتطوير القانوني لنظام مدري</w:t>
            </w:r>
            <w:r>
              <w:rPr>
                <w:rFonts w:ascii="Arabic Typesetting" w:eastAsia="Arabic Typesetting" w:hAnsi="Arabic Typesetting" w:cs="Arabic Typesetting"/>
                <w:color w:val="002060"/>
                <w:sz w:val="28"/>
                <w:szCs w:val="28"/>
                <w:rtl/>
                <w:lang w:eastAsia="ar-EG" w:bidi="ar-EG"/>
              </w:rPr>
              <w:t>د بشأن التسجيل الدولي للعلامات؛</w:t>
            </w:r>
            <w:r>
              <w:rPr>
                <w:rFonts w:ascii="Arabic Typesetting" w:eastAsia="Arabic Typesetting" w:hAnsi="Arabic Typesetting" w:cs="Arabic Typesetting"/>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"4" والفريق العامل المعني بم</w:t>
            </w:r>
            <w:r>
              <w:rPr>
                <w:rFonts w:ascii="Arabic Typesetting" w:eastAsia="Arabic Typesetting" w:hAnsi="Arabic Typesetting" w:cs="Arabic Typesetting"/>
                <w:color w:val="002060"/>
                <w:sz w:val="28"/>
                <w:szCs w:val="28"/>
                <w:rtl/>
                <w:lang w:eastAsia="ar-EG" w:bidi="ar-EG"/>
              </w:rPr>
              <w:t>راجعة التصنيف الدولي للبراءات.</w:t>
            </w:r>
          </w:p>
          <w:p w14:paraId="67981907"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834CB9">
              <w:rPr>
                <w:rFonts w:ascii="Arabic Typesetting" w:eastAsia="Arabic Typesetting" w:hAnsi="Arabic Typesetting" w:cs="Arabic Typesetting"/>
                <w:color w:val="002060"/>
                <w:sz w:val="28"/>
                <w:szCs w:val="28"/>
                <w:rtl/>
                <w:lang w:eastAsia="ar-EG" w:bidi="ar-EG"/>
              </w:rPr>
              <w:t>وأبقي على نحو 87% من الوثائق المتسلمة للترجمة (489 3 وثيقة من أصل 030 4 وثيقة إج</w:t>
            </w:r>
            <w:r>
              <w:rPr>
                <w:rFonts w:ascii="Arabic Typesetting" w:eastAsia="Arabic Typesetting" w:hAnsi="Arabic Typesetting" w:cs="Arabic Typesetting"/>
                <w:color w:val="002060"/>
                <w:sz w:val="28"/>
                <w:szCs w:val="28"/>
                <w:rtl/>
                <w:lang w:eastAsia="ar-EG" w:bidi="ar-EG"/>
              </w:rPr>
              <w:t xml:space="preserve">مالا) بحجم أقلّ من 300 3 كلمة. </w:t>
            </w:r>
            <w:r w:rsidRPr="00834CB9">
              <w:rPr>
                <w:rFonts w:ascii="Arabic Typesetting" w:eastAsia="Arabic Typesetting" w:hAnsi="Arabic Typesetting" w:cs="Arabic Typesetting"/>
                <w:color w:val="002060"/>
                <w:sz w:val="28"/>
                <w:szCs w:val="28"/>
                <w:rtl/>
                <w:lang w:eastAsia="ar-EG" w:bidi="ar-EG"/>
              </w:rPr>
              <w:t>وكانت بقية الوثائق التي تجاوز حجمها ذلك الحد، أساسا، من المنشورات، والمحاضر الحرفية أو التقارير السنوية الأخرى، والوثائق المتضمنة مجموعة من الممارسات المتبعة في الدول الأعضاء، والوثائق المعدة استجابة لطلبات محددة من الدول الأعضاء، والتي</w:t>
            </w:r>
            <w:r>
              <w:rPr>
                <w:rFonts w:ascii="Arabic Typesetting" w:eastAsia="Arabic Typesetting" w:hAnsi="Arabic Typesetting" w:cs="Arabic Typesetting" w:hint="cs"/>
                <w:color w:val="002060"/>
                <w:sz w:val="28"/>
                <w:szCs w:val="28"/>
                <w:rtl/>
                <w:lang w:eastAsia="ar-EG" w:bidi="ar-EG"/>
              </w:rPr>
              <w:t> </w:t>
            </w:r>
            <w:r w:rsidRPr="00834CB9">
              <w:rPr>
                <w:rFonts w:ascii="Arabic Typesetting" w:eastAsia="Arabic Typesetting" w:hAnsi="Arabic Typesetting" w:cs="Arabic Typesetting"/>
                <w:color w:val="002060"/>
                <w:sz w:val="28"/>
                <w:szCs w:val="28"/>
                <w:rtl/>
                <w:lang w:eastAsia="ar-EG" w:bidi="ar-EG"/>
              </w:rPr>
              <w:t>لا تخضع لذلك التقيي</w:t>
            </w:r>
            <w:r>
              <w:rPr>
                <w:rFonts w:ascii="Arabic Typesetting" w:eastAsia="Arabic Typesetting" w:hAnsi="Arabic Typesetting" w:cs="Arabic Typesetting"/>
                <w:color w:val="002060"/>
                <w:sz w:val="28"/>
                <w:szCs w:val="28"/>
                <w:rtl/>
                <w:lang w:eastAsia="ar-EG" w:bidi="ar-EG"/>
              </w:rPr>
              <w:t>د الخاص بحجم</w:t>
            </w:r>
            <w:r>
              <w:rPr>
                <w:rFonts w:ascii="Arabic Typesetting" w:eastAsia="Arabic Typesetting" w:hAnsi="Arabic Typesetting" w:cs="Arabic Typesetting" w:hint="cs"/>
                <w:color w:val="002060"/>
                <w:sz w:val="28"/>
                <w:szCs w:val="28"/>
                <w:rtl/>
                <w:lang w:eastAsia="ar-EG" w:bidi="ar-EG"/>
              </w:rPr>
              <w:t> </w:t>
            </w:r>
            <w:r>
              <w:rPr>
                <w:rFonts w:ascii="Arabic Typesetting" w:eastAsia="Arabic Typesetting" w:hAnsi="Arabic Typesetting" w:cs="Arabic Typesetting"/>
                <w:color w:val="002060"/>
                <w:sz w:val="28"/>
                <w:szCs w:val="28"/>
                <w:rtl/>
                <w:lang w:eastAsia="ar-EG" w:bidi="ar-EG"/>
              </w:rPr>
              <w:t>الوثائق.</w:t>
            </w:r>
          </w:p>
          <w:p w14:paraId="51051A7A"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i/>
                <w:iCs/>
                <w:sz w:val="28"/>
                <w:szCs w:val="28"/>
                <w:rtl/>
                <w:lang w:eastAsia="ar-EG" w:bidi="ar-EG"/>
              </w:rPr>
              <w:t>‏أساس المقارنة الأصلي:</w:t>
            </w:r>
            <w:r w:rsidRPr="00834CB9">
              <w:rPr>
                <w:rFonts w:ascii="Arabic Typesetting" w:eastAsia="Arabic Typesetting" w:hAnsi="Arabic Typesetting" w:cs="Arabic Typesetting"/>
                <w:i/>
                <w:sz w:val="28"/>
                <w:szCs w:val="28"/>
                <w:lang w:eastAsia="ar-EG" w:bidi="ar-EG"/>
              </w:rPr>
              <w:br/>
            </w:r>
            <w:r w:rsidRPr="00834CB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834CB9">
              <w:rPr>
                <w:rFonts w:ascii="Arabic Typesetting" w:eastAsia="Arabic Typesetting" w:hAnsi="Arabic Typesetting" w:cs="Arabic Typesetting"/>
                <w:color w:val="000000"/>
                <w:sz w:val="28"/>
                <w:szCs w:val="28"/>
                <w:rtl/>
                <w:lang w:eastAsia="ar-EG" w:bidi="ar-EG"/>
              </w:rPr>
              <w:t>تمديد التغطية اللغوية لتشمل وثائق جميع اللجان والهيئات الرئيسية وبعض الأفرقة</w:t>
            </w:r>
            <w:r>
              <w:rPr>
                <w:rFonts w:ascii="Arabic Typesetting" w:eastAsia="Arabic Typesetting" w:hAnsi="Arabic Typesetting" w:cs="Arabic Typesetting" w:hint="cs"/>
                <w:color w:val="000000"/>
                <w:sz w:val="28"/>
                <w:szCs w:val="28"/>
                <w:rtl/>
                <w:lang w:eastAsia="ar-EG" w:bidi="ar-EG"/>
              </w:rPr>
              <w:t> </w:t>
            </w:r>
            <w:r w:rsidRPr="00834CB9">
              <w:rPr>
                <w:rFonts w:ascii="Arabic Typesetting" w:eastAsia="Arabic Typesetting" w:hAnsi="Arabic Typesetting" w:cs="Arabic Typesetting"/>
                <w:color w:val="000000"/>
                <w:sz w:val="28"/>
                <w:szCs w:val="28"/>
                <w:rtl/>
                <w:lang w:eastAsia="ar-EG" w:bidi="ar-EG"/>
              </w:rPr>
              <w:t>العاملة</w:t>
            </w:r>
          </w:p>
        </w:tc>
        <w:tc>
          <w:tcPr>
            <w:tcW w:w="834" w:type="pct"/>
            <w:shd w:val="clear" w:color="auto" w:fill="auto"/>
            <w:tcMar>
              <w:top w:w="110" w:type="dxa"/>
              <w:left w:w="58" w:type="dxa"/>
              <w:right w:w="58" w:type="dxa"/>
            </w:tcMar>
          </w:tcPr>
          <w:p w14:paraId="4BD59A9A"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تمديد التغطية اللغوية لتشمل وثائق جميع اللجان والهيئات الرئيسية والأفرقة العاملة</w:t>
            </w:r>
          </w:p>
          <w:p w14:paraId="5C98EF71"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إبقاء أحجامها في نطاق الحدود المنصوص عليها في سياسة اللغات</w:t>
            </w:r>
          </w:p>
        </w:tc>
        <w:tc>
          <w:tcPr>
            <w:tcW w:w="1226" w:type="pct"/>
            <w:shd w:val="clear" w:color="auto" w:fill="FFFFFF"/>
            <w:tcMar>
              <w:top w:w="110" w:type="dxa"/>
              <w:left w:w="58" w:type="dxa"/>
              <w:right w:w="58" w:type="dxa"/>
            </w:tcMar>
          </w:tcPr>
          <w:p w14:paraId="7226B8A9"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مددت التغطية اللغوية بست لغات ل</w:t>
            </w:r>
            <w:r>
              <w:rPr>
                <w:rFonts w:ascii="Arabic Typesetting" w:eastAsia="Arabic Typesetting" w:hAnsi="Arabic Typesetting" w:cs="Arabic Typesetting"/>
                <w:color w:val="000000"/>
                <w:sz w:val="28"/>
                <w:szCs w:val="28"/>
                <w:rtl/>
                <w:lang w:eastAsia="ar-EG" w:bidi="ar-EG"/>
              </w:rPr>
              <w:t xml:space="preserve">تشمل فريقين عاملين إضافيين هما </w:t>
            </w:r>
            <w:r w:rsidRPr="00834CB9">
              <w:rPr>
                <w:rFonts w:ascii="Arabic Typesetting" w:eastAsia="Arabic Typesetting" w:hAnsi="Arabic Typesetting" w:cs="Arabic Typesetting"/>
                <w:color w:val="000000"/>
                <w:sz w:val="28"/>
                <w:szCs w:val="28"/>
                <w:rtl/>
                <w:lang w:eastAsia="ar-EG" w:bidi="ar-EG"/>
              </w:rPr>
              <w:t>"1" الفريق العامل المعني بإعداد لائحة تنفيذية مشتركة لاتفاق لشبونة ووثيقة جنيف لاتفاق لشبونة؛ "2"</w:t>
            </w:r>
            <w:r>
              <w:rPr>
                <w:rFonts w:ascii="Arabic Typesetting" w:eastAsia="Arabic Typesetting" w:hAnsi="Arabic Typesetting" w:cs="Arabic Typesetting" w:hint="cs"/>
                <w:color w:val="000000"/>
                <w:sz w:val="28"/>
                <w:szCs w:val="28"/>
                <w:rtl/>
                <w:lang w:eastAsia="ar-EG" w:bidi="ar-EG"/>
              </w:rPr>
              <w:t> </w:t>
            </w:r>
            <w:r w:rsidRPr="00834CB9">
              <w:rPr>
                <w:rFonts w:ascii="Arabic Typesetting" w:eastAsia="Arabic Typesetting" w:hAnsi="Arabic Typesetting" w:cs="Arabic Typesetting"/>
                <w:color w:val="000000"/>
                <w:sz w:val="28"/>
                <w:szCs w:val="28"/>
                <w:rtl/>
                <w:lang w:eastAsia="ar-EG" w:bidi="ar-EG"/>
              </w:rPr>
              <w:t>والاتحاد الخاص للتصنيف الدولي للبراءات - لجنة الخبراء.</w:t>
            </w:r>
            <w:r>
              <w:rPr>
                <w:rFonts w:ascii="Arabic Typesetting" w:eastAsia="Arabic Typesetting" w:hAnsi="Arabic Typesetting" w:cs="Arabic Typesetting"/>
                <w:color w:val="000000"/>
                <w:sz w:val="28"/>
                <w:szCs w:val="28"/>
                <w:rtl/>
                <w:lang w:eastAsia="ar-EG" w:bidi="ar-EG"/>
              </w:rPr>
              <w:br/>
            </w:r>
            <w:r w:rsidRPr="00834CB9">
              <w:rPr>
                <w:rFonts w:ascii="Arabic Typesetting" w:eastAsia="Arabic Typesetting" w:hAnsi="Arabic Typesetting" w:cs="Arabic Typesetting"/>
                <w:sz w:val="28"/>
                <w:szCs w:val="28"/>
                <w:rtl/>
                <w:lang w:eastAsia="ar-EG" w:bidi="ar-EG"/>
              </w:rPr>
              <w:t>(التراكمي كل اللجان والهيئات الرئيسية و6 أفرقة عاملة)</w:t>
            </w:r>
          </w:p>
          <w:p w14:paraId="528719D7"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81% (542 من أصل 666) من وثائق الاجتماعات المتسلمة للترجمة أبقي دون حد الصفحات العشر العاد</w:t>
            </w:r>
            <w:r>
              <w:rPr>
                <w:rFonts w:ascii="Arabic Typesetting" w:eastAsia="Arabic Typesetting" w:hAnsi="Arabic Typesetting" w:cs="Arabic Typesetting"/>
                <w:color w:val="000000"/>
                <w:sz w:val="28"/>
                <w:szCs w:val="28"/>
                <w:rtl/>
                <w:lang w:eastAsia="ar-EG" w:bidi="ar-EG"/>
              </w:rPr>
              <w:t xml:space="preserve">ية للأمم المتحدة أي 3300 كلمة. </w:t>
            </w:r>
            <w:r w:rsidRPr="00834CB9">
              <w:rPr>
                <w:rFonts w:ascii="Arabic Typesetting" w:eastAsia="Arabic Typesetting" w:hAnsi="Arabic Typesetting" w:cs="Arabic Typesetting"/>
                <w:color w:val="000000"/>
                <w:sz w:val="28"/>
                <w:szCs w:val="28"/>
                <w:rtl/>
                <w:lang w:eastAsia="ar-EG" w:bidi="ar-EG"/>
              </w:rPr>
              <w:t>وإتاحة بقية الوثائق التي تجاوز حجمها ذلك الحد - وهي أساسا من المحاضر الحرفية أو التقارير السنوية الأخرى، واقتراحات الدول الأعضاء، والوثائق المعدة استجابة لطلبات محددة من الدول الأعضاء - باللغات الست بأكملها.</w:t>
            </w:r>
          </w:p>
        </w:tc>
        <w:tc>
          <w:tcPr>
            <w:tcW w:w="513" w:type="pct"/>
            <w:shd w:val="clear" w:color="auto" w:fill="auto"/>
            <w:tcMar>
              <w:top w:w="110" w:type="dxa"/>
              <w:left w:w="58" w:type="dxa"/>
              <w:right w:w="58" w:type="dxa"/>
            </w:tcMar>
          </w:tcPr>
          <w:p w14:paraId="23F71D0E" w14:textId="77777777" w:rsidR="00BD3831" w:rsidRDefault="00BD3831" w:rsidP="0031289D">
            <w:pPr>
              <w:bidi/>
              <w:spacing w:after="2400" w:line="280" w:lineRule="exact"/>
              <w:jc w:val="center"/>
              <w:rPr>
                <w:rFonts w:ascii="Arabic Typesetting" w:eastAsia="Arabic Typesetting" w:hAnsi="Arabic Typesetting" w:cs="Arabic Typesetting"/>
                <w:b/>
                <w:color w:val="00B050"/>
                <w:sz w:val="28"/>
                <w:szCs w:val="28"/>
                <w:lang w:eastAsia="ar-EG" w:bidi="ar-EG"/>
              </w:rPr>
            </w:pPr>
            <w:r w:rsidRPr="00834CB9">
              <w:rPr>
                <w:rFonts w:ascii="Arabic Typesetting" w:eastAsia="Arabic Typesetting" w:hAnsi="Arabic Typesetting" w:cs="Arabic Typesetting"/>
                <w:b/>
                <w:bCs/>
                <w:color w:val="00B050"/>
                <w:sz w:val="28"/>
                <w:szCs w:val="28"/>
                <w:rtl/>
                <w:lang w:eastAsia="ar-EG" w:bidi="ar-EG"/>
              </w:rPr>
              <w:t>ثابت</w:t>
            </w:r>
          </w:p>
          <w:p w14:paraId="5A2274A8" w14:textId="77777777" w:rsidR="00BD3831" w:rsidRPr="00834CB9" w:rsidRDefault="00BD3831"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834CB9">
              <w:rPr>
                <w:rFonts w:ascii="Arabic Typesetting" w:eastAsia="Arabic Typesetting" w:hAnsi="Arabic Typesetting" w:cs="Arabic Typesetting"/>
                <w:b/>
                <w:bCs/>
                <w:color w:val="00B050"/>
                <w:sz w:val="28"/>
                <w:szCs w:val="28"/>
                <w:rtl/>
                <w:lang w:eastAsia="ar-EG" w:bidi="ar-EG"/>
              </w:rPr>
              <w:t>ثابت</w:t>
            </w:r>
          </w:p>
        </w:tc>
      </w:tr>
      <w:tr w:rsidR="00BD3831" w:rsidRPr="00834CB9" w14:paraId="437C9A16" w14:textId="77777777" w:rsidTr="00DF6715">
        <w:trPr>
          <w:cantSplit/>
          <w:trHeight w:val="444"/>
        </w:trPr>
        <w:tc>
          <w:tcPr>
            <w:tcW w:w="1070" w:type="pct"/>
            <w:shd w:val="clear" w:color="auto" w:fill="auto"/>
            <w:tcMar>
              <w:left w:w="58" w:type="dxa"/>
              <w:right w:w="58" w:type="dxa"/>
            </w:tcMar>
          </w:tcPr>
          <w:p w14:paraId="5E8AB38F"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خفض تكاليف الطباعة (لكل</w:t>
            </w:r>
            <w:r>
              <w:rPr>
                <w:rFonts w:ascii="Arabic Typesetting" w:eastAsia="Arabic Typesetting" w:hAnsi="Arabic Typesetting" w:cs="Arabic Typesetting" w:hint="cs"/>
                <w:color w:val="000000"/>
                <w:sz w:val="28"/>
                <w:szCs w:val="28"/>
                <w:rtl/>
                <w:lang w:eastAsia="ar-EG" w:bidi="ar-EG"/>
              </w:rPr>
              <w:t> </w:t>
            </w:r>
            <w:r w:rsidRPr="00834CB9">
              <w:rPr>
                <w:rFonts w:ascii="Arabic Typesetting" w:eastAsia="Arabic Typesetting" w:hAnsi="Arabic Typesetting" w:cs="Arabic Typesetting"/>
                <w:color w:val="000000"/>
                <w:sz w:val="28"/>
                <w:szCs w:val="28"/>
                <w:rtl/>
                <w:lang w:eastAsia="ar-EG" w:bidi="ar-EG"/>
              </w:rPr>
              <w:t>صفحة)</w:t>
            </w:r>
          </w:p>
        </w:tc>
        <w:tc>
          <w:tcPr>
            <w:tcW w:w="1357" w:type="pct"/>
            <w:shd w:val="clear" w:color="auto" w:fill="auto"/>
            <w:tcMar>
              <w:left w:w="58" w:type="dxa"/>
              <w:right w:w="58" w:type="dxa"/>
            </w:tcMar>
          </w:tcPr>
          <w:p w14:paraId="0A176B90"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834CB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بلغ متوسط تكلفة الصفحة الواحدة 0.15 فرنك سويسري في عامي 2014</w:t>
            </w:r>
            <w:r>
              <w:rPr>
                <w:rFonts w:ascii="Arabic Typesetting" w:eastAsia="Arabic Typesetting" w:hAnsi="Arabic Typesetting" w:cs="Arabic Typesetting"/>
                <w:color w:val="002060"/>
                <w:sz w:val="28"/>
                <w:szCs w:val="28"/>
                <w:rtl/>
                <w:lang w:eastAsia="ar-EG" w:bidi="ar-EG"/>
              </w:rPr>
              <w:t xml:space="preserve"> و2015 كليهما (تخفيض بنسبة 25%)</w:t>
            </w:r>
          </w:p>
          <w:p w14:paraId="3F863B65"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i/>
                <w:iCs/>
                <w:sz w:val="28"/>
                <w:szCs w:val="28"/>
                <w:rtl/>
                <w:lang w:eastAsia="ar-EG" w:bidi="ar-EG"/>
              </w:rPr>
              <w:t>‏أساس المقارنة الأصلي:</w:t>
            </w:r>
            <w:r w:rsidRPr="00834CB9">
              <w:rPr>
                <w:rFonts w:ascii="Arabic Typesetting" w:eastAsia="Arabic Typesetting" w:hAnsi="Arabic Typesetting" w:cs="Arabic Typesetting"/>
                <w:i/>
                <w:sz w:val="28"/>
                <w:szCs w:val="28"/>
                <w:lang w:eastAsia="ar-EG" w:bidi="ar-EG"/>
              </w:rPr>
              <w:br/>
            </w:r>
            <w:r w:rsidRPr="00834CB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834CB9">
              <w:rPr>
                <w:rFonts w:ascii="Arabic Typesetting" w:eastAsia="Arabic Typesetting" w:hAnsi="Arabic Typesetting" w:cs="Arabic Typesetting"/>
                <w:color w:val="000000"/>
                <w:sz w:val="28"/>
                <w:szCs w:val="28"/>
                <w:rtl/>
                <w:lang w:eastAsia="ar-EG" w:bidi="ar-EG"/>
              </w:rPr>
              <w:t>0.14 فرنك سويسري للصفحة الواحدة</w:t>
            </w:r>
          </w:p>
        </w:tc>
        <w:tc>
          <w:tcPr>
            <w:tcW w:w="834" w:type="pct"/>
            <w:shd w:val="clear" w:color="auto" w:fill="auto"/>
            <w:tcMar>
              <w:top w:w="110" w:type="dxa"/>
              <w:left w:w="58" w:type="dxa"/>
              <w:right w:w="58" w:type="dxa"/>
            </w:tcMar>
          </w:tcPr>
          <w:p w14:paraId="1BA1617E"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الإبقاء على التكلفة المتوسطة البالغة 0.15 فرنك سويسري للصفحة الواحدة</w:t>
            </w:r>
          </w:p>
        </w:tc>
        <w:tc>
          <w:tcPr>
            <w:tcW w:w="1226" w:type="pct"/>
            <w:shd w:val="clear" w:color="auto" w:fill="FFFFFF"/>
            <w:tcMar>
              <w:top w:w="110" w:type="dxa"/>
              <w:left w:w="58" w:type="dxa"/>
              <w:right w:w="58" w:type="dxa"/>
            </w:tcMar>
          </w:tcPr>
          <w:p w14:paraId="1925E369"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التكلفة المتوسطة 0.161 فرنك سويسري للصفحة الواحدة</w:t>
            </w:r>
          </w:p>
        </w:tc>
        <w:tc>
          <w:tcPr>
            <w:tcW w:w="513" w:type="pct"/>
            <w:shd w:val="clear" w:color="auto" w:fill="auto"/>
            <w:tcMar>
              <w:top w:w="110" w:type="dxa"/>
              <w:left w:w="58" w:type="dxa"/>
              <w:right w:w="58" w:type="dxa"/>
            </w:tcMar>
          </w:tcPr>
          <w:p w14:paraId="5D91F54E" w14:textId="77777777" w:rsidR="00BD3831" w:rsidRPr="00834CB9" w:rsidRDefault="00BD3831" w:rsidP="0031289D">
            <w:pPr>
              <w:bidi/>
              <w:spacing w:after="120" w:line="280" w:lineRule="exact"/>
              <w:jc w:val="center"/>
              <w:rPr>
                <w:rFonts w:ascii="Arabic Typesetting" w:eastAsia="Arabic Typesetting" w:hAnsi="Arabic Typesetting" w:cs="Arabic Typesetting"/>
                <w:b/>
                <w:color w:val="000000"/>
                <w:sz w:val="28"/>
                <w:szCs w:val="28"/>
                <w:lang w:eastAsia="ar-EG" w:bidi="ar-EG"/>
              </w:rPr>
            </w:pPr>
            <w:r w:rsidRPr="00834CB9">
              <w:rPr>
                <w:rFonts w:ascii="Arabic Typesetting" w:eastAsia="Arabic Typesetting" w:hAnsi="Arabic Typesetting" w:cs="Arabic Typesetting"/>
                <w:b/>
                <w:bCs/>
                <w:color w:val="FF0000"/>
                <w:sz w:val="28"/>
                <w:szCs w:val="28"/>
                <w:rtl/>
                <w:lang w:eastAsia="ar-EG" w:bidi="ar-EG"/>
              </w:rPr>
              <w:t>غير ثابت</w:t>
            </w:r>
          </w:p>
        </w:tc>
      </w:tr>
      <w:tr w:rsidR="00BD3831" w:rsidRPr="00834CB9" w14:paraId="3AA7E57E" w14:textId="77777777" w:rsidTr="00DF6715">
        <w:trPr>
          <w:cantSplit/>
          <w:trHeight w:val="1213"/>
        </w:trPr>
        <w:tc>
          <w:tcPr>
            <w:tcW w:w="1070" w:type="pct"/>
            <w:shd w:val="clear" w:color="auto" w:fill="auto"/>
            <w:tcMar>
              <w:left w:w="58" w:type="dxa"/>
              <w:right w:w="58" w:type="dxa"/>
            </w:tcMar>
          </w:tcPr>
          <w:p w14:paraId="1E301549" w14:textId="2E272869" w:rsidR="00BD3831" w:rsidRPr="00834CB9" w:rsidRDefault="00BD3831" w:rsidP="000B74B5">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 xml:space="preserve">نشر وثائق اللجان والأفرقة العاملة في </w:t>
            </w:r>
            <w:r w:rsidR="0049618D">
              <w:rPr>
                <w:rFonts w:ascii="Arabic Typesetting" w:eastAsia="Arabic Typesetting" w:hAnsi="Arabic Typesetting" w:cs="Arabic Typesetting" w:hint="cs"/>
                <w:color w:val="000000"/>
                <w:sz w:val="28"/>
                <w:szCs w:val="28"/>
                <w:rtl/>
                <w:lang w:eastAsia="ar-EG" w:bidi="ar-EG"/>
              </w:rPr>
              <w:t>مواعيدها</w:t>
            </w:r>
          </w:p>
        </w:tc>
        <w:tc>
          <w:tcPr>
            <w:tcW w:w="1357" w:type="pct"/>
            <w:shd w:val="clear" w:color="auto" w:fill="auto"/>
            <w:tcMar>
              <w:left w:w="58" w:type="dxa"/>
              <w:right w:w="58" w:type="dxa"/>
            </w:tcMar>
          </w:tcPr>
          <w:p w14:paraId="35AD5C73" w14:textId="77777777" w:rsidR="00BD3831" w:rsidRPr="00834CB9" w:rsidRDefault="00BD3831" w:rsidP="000B74B5">
            <w:pPr>
              <w:bidi/>
              <w:spacing w:line="280" w:lineRule="exact"/>
              <w:rPr>
                <w:rFonts w:ascii="Arabic Typesetting" w:eastAsia="Arabic Typesetting" w:hAnsi="Arabic Typesetting" w:cs="Arabic Typesetting"/>
                <w:color w:val="002060"/>
                <w:sz w:val="28"/>
                <w:szCs w:val="28"/>
                <w:lang w:eastAsia="ar-EG" w:bidi="ar-EG"/>
              </w:rPr>
            </w:pPr>
            <w:r w:rsidRPr="00834CB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في الثنائية 2014/15، نُشر 52.6% من مجموع وثائق اللجان الرئيسية بجميع اللغات قبل تاريخ عقد الاجتماعات المعنية</w:t>
            </w:r>
            <w:r>
              <w:rPr>
                <w:rFonts w:ascii="Arabic Typesetting" w:eastAsia="Arabic Typesetting" w:hAnsi="Arabic Typesetting" w:cs="Arabic Typesetting" w:hint="cs"/>
                <w:color w:val="002060"/>
                <w:sz w:val="28"/>
                <w:szCs w:val="28"/>
                <w:rtl/>
                <w:lang w:eastAsia="ar-EG" w:bidi="ar-EG"/>
              </w:rPr>
              <w:t> </w:t>
            </w:r>
            <w:r w:rsidRPr="00834CB9">
              <w:rPr>
                <w:rFonts w:ascii="Arabic Typesetting" w:eastAsia="Arabic Typesetting" w:hAnsi="Arabic Typesetting" w:cs="Arabic Typesetting"/>
                <w:color w:val="002060"/>
                <w:sz w:val="28"/>
                <w:szCs w:val="28"/>
                <w:rtl/>
                <w:lang w:eastAsia="ar-EG" w:bidi="ar-EG"/>
              </w:rPr>
              <w:t>بشهرين</w:t>
            </w:r>
          </w:p>
          <w:p w14:paraId="302873DE" w14:textId="331FE8FC" w:rsidR="00BD3831" w:rsidRPr="000B74B5" w:rsidRDefault="00BD3831" w:rsidP="000B74B5">
            <w:pPr>
              <w:bidi/>
              <w:spacing w:after="120" w:line="280" w:lineRule="exact"/>
              <w:rPr>
                <w:rFonts w:ascii="Arabic Typesetting" w:eastAsia="Arabic Typesetting" w:hAnsi="Arabic Typesetting" w:cs="Arabic Typesetting"/>
                <w:color w:val="002060"/>
                <w:sz w:val="28"/>
                <w:szCs w:val="28"/>
                <w:lang w:eastAsia="ar-EG" w:bidi="ar-EG"/>
              </w:rPr>
            </w:pPr>
            <w:r w:rsidRPr="00834CB9">
              <w:rPr>
                <w:rFonts w:ascii="Arabic Typesetting" w:eastAsia="Arabic Typesetting" w:hAnsi="Arabic Typesetting" w:cs="Arabic Typesetting"/>
                <w:color w:val="002060"/>
                <w:sz w:val="28"/>
                <w:szCs w:val="28"/>
                <w:rtl/>
                <w:lang w:eastAsia="ar-EG" w:bidi="ar-EG"/>
              </w:rPr>
              <w:t>- 2014</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834CB9">
              <w:rPr>
                <w:rFonts w:ascii="Arabic Typesetting" w:eastAsia="Arabic Typesetting" w:hAnsi="Arabic Typesetting" w:cs="Arabic Typesetting"/>
                <w:color w:val="002060"/>
                <w:sz w:val="28"/>
                <w:szCs w:val="28"/>
                <w:rtl/>
                <w:lang w:eastAsia="ar-EG" w:bidi="ar-EG"/>
              </w:rPr>
              <w:t>41%</w:t>
            </w:r>
            <w:r>
              <w:rPr>
                <w:rFonts w:ascii="Arabic Typesetting" w:eastAsia="Arabic Typesetting" w:hAnsi="Arabic Typesetting" w:cs="Arabic Typesetting"/>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- 2015</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hint="cs"/>
                <w:color w:val="002060"/>
                <w:sz w:val="28"/>
                <w:szCs w:val="28"/>
                <w:rtl/>
                <w:lang w:eastAsia="ar-EG" w:bidi="ar-EG"/>
              </w:rPr>
              <w:t xml:space="preserve"> </w:t>
            </w:r>
            <w:r w:rsidRPr="00834CB9">
              <w:rPr>
                <w:rFonts w:ascii="Arabic Typesetting" w:eastAsia="Arabic Typesetting" w:hAnsi="Arabic Typesetting" w:cs="Arabic Typesetting"/>
                <w:color w:val="002060"/>
                <w:sz w:val="28"/>
                <w:szCs w:val="28"/>
                <w:rtl/>
                <w:lang w:eastAsia="ar-EG" w:bidi="ar-EG"/>
              </w:rPr>
              <w:t>69%</w:t>
            </w:r>
          </w:p>
        </w:tc>
        <w:tc>
          <w:tcPr>
            <w:tcW w:w="834" w:type="pct"/>
            <w:shd w:val="clear" w:color="auto" w:fill="auto"/>
            <w:tcMar>
              <w:top w:w="110" w:type="dxa"/>
              <w:left w:w="58" w:type="dxa"/>
              <w:right w:w="58" w:type="dxa"/>
            </w:tcMar>
          </w:tcPr>
          <w:p w14:paraId="1AF1DC0D" w14:textId="77777777" w:rsidR="00BD3831" w:rsidRPr="00834CB9" w:rsidRDefault="00BD3831" w:rsidP="000B74B5">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‏نشر 65% من الوثائق بجميع اللغات قبل تاريخ عقد الاجتماعات المعنية بشهرين</w:t>
            </w:r>
          </w:p>
        </w:tc>
        <w:tc>
          <w:tcPr>
            <w:tcW w:w="1226" w:type="pct"/>
            <w:shd w:val="clear" w:color="auto" w:fill="FFFFFF"/>
            <w:tcMar>
              <w:top w:w="110" w:type="dxa"/>
              <w:left w:w="58" w:type="dxa"/>
              <w:right w:w="58" w:type="dxa"/>
            </w:tcMar>
          </w:tcPr>
          <w:p w14:paraId="4B938E60" w14:textId="77777777" w:rsidR="00BD3831" w:rsidRPr="00834CB9" w:rsidRDefault="00BD3831" w:rsidP="000B74B5">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sz w:val="28"/>
                <w:szCs w:val="28"/>
                <w:rtl/>
                <w:lang w:eastAsia="ar-EG" w:bidi="ar-EG"/>
              </w:rPr>
              <w:t>نشر 51% من الوثائق منشورة بجميع اللغات قبل تاريخ عقد الاجتماعات المعنية بشهرين</w:t>
            </w:r>
          </w:p>
        </w:tc>
        <w:tc>
          <w:tcPr>
            <w:tcW w:w="513" w:type="pct"/>
            <w:shd w:val="clear" w:color="auto" w:fill="auto"/>
            <w:tcMar>
              <w:top w:w="110" w:type="dxa"/>
              <w:left w:w="58" w:type="dxa"/>
              <w:right w:w="58" w:type="dxa"/>
            </w:tcMar>
          </w:tcPr>
          <w:p w14:paraId="76C9E6CB" w14:textId="77777777" w:rsidR="00BD3831" w:rsidRPr="00834CB9" w:rsidRDefault="00BD3831" w:rsidP="000B74B5">
            <w:pPr>
              <w:bidi/>
              <w:spacing w:after="120" w:line="280" w:lineRule="exact"/>
              <w:jc w:val="center"/>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b/>
                <w:bCs/>
                <w:color w:val="FF0000"/>
                <w:sz w:val="28"/>
                <w:szCs w:val="28"/>
                <w:rtl/>
                <w:lang w:eastAsia="ar-EG" w:bidi="ar-EG"/>
              </w:rPr>
              <w:t>غير ثابت</w:t>
            </w:r>
          </w:p>
        </w:tc>
      </w:tr>
      <w:tr w:rsidR="000B74B5" w:rsidRPr="00834CB9" w14:paraId="0639AA8B" w14:textId="77777777" w:rsidTr="00DF6715">
        <w:trPr>
          <w:cantSplit/>
          <w:trHeight w:val="1213"/>
        </w:trPr>
        <w:tc>
          <w:tcPr>
            <w:tcW w:w="1070" w:type="pct"/>
            <w:shd w:val="clear" w:color="auto" w:fill="auto"/>
            <w:tcMar>
              <w:left w:w="58" w:type="dxa"/>
              <w:right w:w="58" w:type="dxa"/>
            </w:tcMar>
          </w:tcPr>
          <w:p w14:paraId="14049BE8" w14:textId="77777777" w:rsidR="000B74B5" w:rsidRPr="00834CB9" w:rsidRDefault="000B74B5" w:rsidP="000B74B5">
            <w:pPr>
              <w:bidi/>
              <w:spacing w:after="120" w:line="280" w:lineRule="exact"/>
              <w:rPr>
                <w:rFonts w:ascii="Arabic Typesetting" w:eastAsia="Arabic Typesetting" w:hAnsi="Arabic Typesetting" w:cs="Arabic Typesetting"/>
                <w:color w:val="000000"/>
                <w:sz w:val="28"/>
                <w:szCs w:val="28"/>
                <w:rtl/>
                <w:lang w:eastAsia="ar-EG" w:bidi="ar-EG"/>
              </w:rPr>
            </w:pPr>
          </w:p>
        </w:tc>
        <w:tc>
          <w:tcPr>
            <w:tcW w:w="1357" w:type="pct"/>
            <w:shd w:val="clear" w:color="auto" w:fill="auto"/>
            <w:tcMar>
              <w:left w:w="58" w:type="dxa"/>
              <w:right w:w="58" w:type="dxa"/>
            </w:tcMar>
          </w:tcPr>
          <w:p w14:paraId="0FDDE03C" w14:textId="7B0E8790" w:rsidR="000B74B5" w:rsidRPr="00834CB9" w:rsidRDefault="000B74B5" w:rsidP="000B74B5">
            <w:pPr>
              <w:bidi/>
              <w:spacing w:line="280" w:lineRule="exact"/>
              <w:rPr>
                <w:rFonts w:ascii="Arabic Typesetting" w:eastAsia="Arabic Typesetting" w:hAnsi="Arabic Typesetting" w:cs="Arabic Typesetting"/>
                <w:i/>
                <w:iCs/>
                <w:color w:val="002060"/>
                <w:sz w:val="28"/>
                <w:szCs w:val="28"/>
                <w:rtl/>
                <w:lang w:eastAsia="ar-EG" w:bidi="ar-EG"/>
              </w:rPr>
            </w:pPr>
            <w:r w:rsidRPr="00834CB9">
              <w:rPr>
                <w:rFonts w:ascii="Arabic Typesetting" w:eastAsia="Arabic Typesetting" w:hAnsi="Arabic Typesetting" w:cs="Arabic Typesetting"/>
                <w:i/>
                <w:iCs/>
                <w:sz w:val="28"/>
                <w:szCs w:val="28"/>
                <w:rtl/>
                <w:lang w:eastAsia="ar-EG" w:bidi="ar-EG"/>
              </w:rPr>
              <w:t>‏أساس المقارنة الأصلي:</w:t>
            </w:r>
            <w:r w:rsidRPr="00834CB9">
              <w:rPr>
                <w:rFonts w:ascii="Arabic Typesetting" w:eastAsia="Arabic Typesetting" w:hAnsi="Arabic Typesetting" w:cs="Arabic Typesetting"/>
                <w:i/>
                <w:sz w:val="28"/>
                <w:szCs w:val="28"/>
                <w:lang w:eastAsia="ar-EG" w:bidi="ar-EG"/>
              </w:rPr>
              <w:br/>
            </w:r>
            <w:r w:rsidRPr="00834CB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834CB9">
              <w:rPr>
                <w:rFonts w:ascii="Arabic Typesetting" w:eastAsia="Arabic Typesetting" w:hAnsi="Arabic Typesetting" w:cs="Arabic Typesetting"/>
                <w:color w:val="000000"/>
                <w:sz w:val="28"/>
                <w:szCs w:val="28"/>
                <w:rtl/>
                <w:lang w:eastAsia="ar-EG" w:bidi="ar-EG"/>
              </w:rPr>
              <w:t>‏نشر 21% من الوثائق بجميع اللغات قبل تاريخ عقد الاجتماعات المعنية بشهرين</w:t>
            </w:r>
          </w:p>
        </w:tc>
        <w:tc>
          <w:tcPr>
            <w:tcW w:w="834" w:type="pct"/>
            <w:shd w:val="clear" w:color="auto" w:fill="auto"/>
            <w:tcMar>
              <w:top w:w="110" w:type="dxa"/>
              <w:left w:w="58" w:type="dxa"/>
              <w:right w:w="58" w:type="dxa"/>
            </w:tcMar>
          </w:tcPr>
          <w:p w14:paraId="4DF0262D" w14:textId="77777777" w:rsidR="000B74B5" w:rsidRPr="00834CB9" w:rsidRDefault="000B74B5" w:rsidP="000B74B5">
            <w:pPr>
              <w:bidi/>
              <w:spacing w:after="120" w:line="280" w:lineRule="exact"/>
              <w:rPr>
                <w:rFonts w:ascii="Arabic Typesetting" w:eastAsia="Arabic Typesetting" w:hAnsi="Arabic Typesetting" w:cs="Arabic Typesetting"/>
                <w:color w:val="000000"/>
                <w:sz w:val="28"/>
                <w:szCs w:val="28"/>
                <w:rtl/>
                <w:lang w:eastAsia="ar-EG" w:bidi="ar-EG"/>
              </w:rPr>
            </w:pPr>
          </w:p>
        </w:tc>
        <w:tc>
          <w:tcPr>
            <w:tcW w:w="1226" w:type="pct"/>
            <w:shd w:val="clear" w:color="auto" w:fill="FFFFFF"/>
            <w:tcMar>
              <w:top w:w="110" w:type="dxa"/>
              <w:left w:w="58" w:type="dxa"/>
              <w:right w:w="58" w:type="dxa"/>
            </w:tcMar>
          </w:tcPr>
          <w:p w14:paraId="10F57806" w14:textId="77777777" w:rsidR="000B74B5" w:rsidRPr="00834CB9" w:rsidRDefault="000B74B5" w:rsidP="000B74B5">
            <w:pPr>
              <w:bidi/>
              <w:spacing w:after="120" w:line="280" w:lineRule="exact"/>
              <w:rPr>
                <w:rFonts w:ascii="Arabic Typesetting" w:eastAsia="Arabic Typesetting" w:hAnsi="Arabic Typesetting" w:cs="Arabic Typesetting"/>
                <w:sz w:val="28"/>
                <w:szCs w:val="28"/>
                <w:rtl/>
                <w:lang w:eastAsia="ar-EG" w:bidi="ar-EG"/>
              </w:rPr>
            </w:pPr>
          </w:p>
        </w:tc>
        <w:tc>
          <w:tcPr>
            <w:tcW w:w="513" w:type="pct"/>
            <w:shd w:val="clear" w:color="auto" w:fill="auto"/>
            <w:tcMar>
              <w:top w:w="110" w:type="dxa"/>
              <w:left w:w="58" w:type="dxa"/>
              <w:right w:w="58" w:type="dxa"/>
            </w:tcMar>
          </w:tcPr>
          <w:p w14:paraId="340A3255" w14:textId="77777777" w:rsidR="000B74B5" w:rsidRPr="00834CB9" w:rsidRDefault="000B74B5" w:rsidP="000B74B5">
            <w:pPr>
              <w:bidi/>
              <w:spacing w:after="120" w:line="280" w:lineRule="exact"/>
              <w:jc w:val="center"/>
              <w:rPr>
                <w:rFonts w:ascii="Arabic Typesetting" w:eastAsia="Arabic Typesetting" w:hAnsi="Arabic Typesetting" w:cs="Arabic Typesetting"/>
                <w:b/>
                <w:bCs/>
                <w:color w:val="FF0000"/>
                <w:sz w:val="28"/>
                <w:szCs w:val="28"/>
                <w:rtl/>
                <w:lang w:eastAsia="ar-EG" w:bidi="ar-EG"/>
              </w:rPr>
            </w:pPr>
          </w:p>
        </w:tc>
      </w:tr>
      <w:tr w:rsidR="00BD3831" w:rsidRPr="00834CB9" w14:paraId="2D1E39EB" w14:textId="77777777" w:rsidTr="00DF6715">
        <w:trPr>
          <w:cantSplit/>
          <w:trHeight w:val="462"/>
        </w:trPr>
        <w:tc>
          <w:tcPr>
            <w:tcW w:w="1070" w:type="pct"/>
            <w:shd w:val="clear" w:color="auto" w:fill="auto"/>
            <w:tcMar>
              <w:left w:w="58" w:type="dxa"/>
              <w:right w:w="58" w:type="dxa"/>
            </w:tcMar>
          </w:tcPr>
          <w:p w14:paraId="561BF467"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تكلفة الترجمة لكل كلمة</w:t>
            </w:r>
          </w:p>
        </w:tc>
        <w:tc>
          <w:tcPr>
            <w:tcW w:w="1357" w:type="pct"/>
            <w:shd w:val="clear" w:color="auto" w:fill="auto"/>
            <w:tcMar>
              <w:left w:w="58" w:type="dxa"/>
              <w:right w:w="58" w:type="dxa"/>
            </w:tcMar>
          </w:tcPr>
          <w:p w14:paraId="097C0743"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rtl/>
                <w:lang w:eastAsia="ar-EG" w:bidi="ar-EG"/>
              </w:rPr>
            </w:pPr>
            <w:r w:rsidRPr="00834CB9">
              <w:rPr>
                <w:rFonts w:ascii="Arabic Typesetting" w:eastAsia="Arabic Typesetting" w:hAnsi="Arabic Typesetting" w:cs="Arabic Typesetting"/>
                <w:i/>
                <w:iCs/>
                <w:color w:val="002060"/>
                <w:sz w:val="28"/>
                <w:szCs w:val="28"/>
                <w:rtl/>
                <w:lang w:eastAsia="ar-EG" w:bidi="ar-EG"/>
              </w:rPr>
              <w:t>أساس المقارنة المُحدَّث في نهاية 2015</w:t>
            </w:r>
            <w:r>
              <w:rPr>
                <w:rFonts w:ascii="Arabic Typesetting" w:eastAsia="Arabic Typesetting" w:hAnsi="Arabic Typesetting" w:cs="Arabic Typesetting"/>
                <w:i/>
                <w:iCs/>
                <w:color w:val="002060"/>
                <w:sz w:val="28"/>
                <w:szCs w:val="28"/>
                <w:rtl/>
                <w:lang w:eastAsia="ar-EG" w:bidi="ar-EG"/>
              </w:rPr>
              <w:t>:</w:t>
            </w:r>
            <w:r>
              <w:rPr>
                <w:rFonts w:ascii="Arabic Typesetting" w:eastAsia="Arabic Typesetting" w:hAnsi="Arabic Typesetting" w:cs="Arabic Typesetting"/>
                <w:i/>
                <w:iCs/>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كانت تكلفة الترجمة للكلمة الواحدة كما</w:t>
            </w:r>
            <w:r>
              <w:rPr>
                <w:rFonts w:ascii="Arabic Typesetting" w:eastAsia="Arabic Typesetting" w:hAnsi="Arabic Typesetting" w:cs="Arabic Typesetting" w:hint="cs"/>
                <w:color w:val="002060"/>
                <w:sz w:val="28"/>
                <w:szCs w:val="28"/>
                <w:rtl/>
                <w:lang w:eastAsia="ar-EG" w:bidi="ar-EG"/>
              </w:rPr>
              <w:t> </w:t>
            </w:r>
            <w:r w:rsidRPr="00834CB9">
              <w:rPr>
                <w:rFonts w:ascii="Arabic Typesetting" w:eastAsia="Arabic Typesetting" w:hAnsi="Arabic Typesetting" w:cs="Arabic Typesetting"/>
                <w:color w:val="002060"/>
                <w:sz w:val="28"/>
                <w:szCs w:val="28"/>
                <w:rtl/>
                <w:lang w:eastAsia="ar-EG" w:bidi="ar-EG"/>
              </w:rPr>
              <w:t>يلي</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- 0.59 فرنك سويسري في عام 2014 (انخفاض بنسبة 6.3% مقارنة بعام</w:t>
            </w:r>
            <w:r>
              <w:rPr>
                <w:rFonts w:ascii="Arabic Typesetting" w:eastAsia="Arabic Typesetting" w:hAnsi="Arabic Typesetting" w:cs="Arabic Typesetting" w:hint="cs"/>
                <w:color w:val="002060"/>
                <w:sz w:val="28"/>
                <w:szCs w:val="28"/>
                <w:rtl/>
                <w:lang w:eastAsia="ar-EG" w:bidi="ar-EG"/>
              </w:rPr>
              <w:t> </w:t>
            </w:r>
            <w:r w:rsidRPr="00834CB9">
              <w:rPr>
                <w:rFonts w:ascii="Arabic Typesetting" w:eastAsia="Arabic Typesetting" w:hAnsi="Arabic Typesetting" w:cs="Arabic Typesetting"/>
                <w:color w:val="002060"/>
                <w:sz w:val="28"/>
                <w:szCs w:val="28"/>
                <w:rtl/>
                <w:lang w:eastAsia="ar-EG" w:bidi="ar-EG"/>
              </w:rPr>
              <w:t>2013)</w:t>
            </w:r>
            <w:r>
              <w:rPr>
                <w:rFonts w:ascii="Arabic Typesetting" w:eastAsia="Arabic Typesetting" w:hAnsi="Arabic Typesetting" w:cs="Arabic Typesetting"/>
                <w:color w:val="002060"/>
                <w:sz w:val="28"/>
                <w:szCs w:val="28"/>
                <w:rtl/>
                <w:lang w:eastAsia="ar-EG" w:bidi="ar-EG"/>
              </w:rPr>
              <w:br/>
            </w:r>
            <w:r w:rsidRPr="00834CB9">
              <w:rPr>
                <w:rFonts w:ascii="Arabic Typesetting" w:eastAsia="Arabic Typesetting" w:hAnsi="Arabic Typesetting" w:cs="Arabic Typesetting"/>
                <w:color w:val="002060"/>
                <w:sz w:val="28"/>
                <w:szCs w:val="28"/>
                <w:rtl/>
                <w:lang w:eastAsia="ar-EG" w:bidi="ar-EG"/>
              </w:rPr>
              <w:t>- 0.57 فرنك سويسري في عام 2015 (انخفاض بنسبة 3.4% مقارنة بعام</w:t>
            </w:r>
            <w:r>
              <w:rPr>
                <w:rFonts w:ascii="Arabic Typesetting" w:eastAsia="Arabic Typesetting" w:hAnsi="Arabic Typesetting" w:cs="Arabic Typesetting" w:hint="cs"/>
                <w:color w:val="002060"/>
                <w:sz w:val="28"/>
                <w:szCs w:val="28"/>
                <w:rtl/>
                <w:lang w:eastAsia="ar-EG" w:bidi="ar-EG"/>
              </w:rPr>
              <w:t> </w:t>
            </w:r>
            <w:r w:rsidRPr="00834CB9">
              <w:rPr>
                <w:rFonts w:ascii="Arabic Typesetting" w:eastAsia="Arabic Typesetting" w:hAnsi="Arabic Typesetting" w:cs="Arabic Typesetting"/>
                <w:color w:val="002060"/>
                <w:sz w:val="28"/>
                <w:szCs w:val="28"/>
                <w:rtl/>
                <w:lang w:eastAsia="ar-EG" w:bidi="ar-EG"/>
              </w:rPr>
              <w:t>2014)</w:t>
            </w:r>
          </w:p>
          <w:p w14:paraId="762F41C5" w14:textId="77777777" w:rsidR="00BD383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834CB9">
              <w:rPr>
                <w:rFonts w:ascii="Arabic Typesetting" w:eastAsia="Arabic Typesetting" w:hAnsi="Arabic Typesetting" w:cs="Arabic Typesetting"/>
                <w:color w:val="002060"/>
                <w:sz w:val="28"/>
                <w:szCs w:val="28"/>
                <w:rtl/>
                <w:lang w:eastAsia="ar-EG" w:bidi="ar-EG"/>
              </w:rPr>
              <w:t>تُرجم ما مجموعه 15.03 مليون كلمة (537 45 صفحة بمعايير الأمم المتحدة) في عام 2014، و15.32 مليون كلمة (420 46 صفحة) في عام 2015.</w:t>
            </w:r>
          </w:p>
          <w:p w14:paraId="0DFB17C2"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i/>
                <w:iCs/>
                <w:sz w:val="28"/>
                <w:szCs w:val="28"/>
                <w:rtl/>
                <w:lang w:eastAsia="ar-EG" w:bidi="ar-EG"/>
              </w:rPr>
              <w:t>‏أساس المقارنة الأصلي:</w:t>
            </w:r>
            <w:r w:rsidRPr="00834CB9">
              <w:rPr>
                <w:rFonts w:ascii="Arabic Typesetting" w:eastAsia="Arabic Typesetting" w:hAnsi="Arabic Typesetting" w:cs="Arabic Typesetting"/>
                <w:i/>
                <w:sz w:val="28"/>
                <w:szCs w:val="28"/>
                <w:lang w:eastAsia="ar-EG" w:bidi="ar-EG"/>
              </w:rPr>
              <w:br/>
            </w:r>
            <w:r w:rsidRPr="00834CB9">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t>:</w:t>
            </w:r>
            <w:r>
              <w:rPr>
                <w:rFonts w:ascii="Arabic Typesetting" w:eastAsia="Arabic Typesetting" w:hAnsi="Arabic Typesetting" w:cs="Arabic Typesetting"/>
                <w:i/>
                <w:iCs/>
                <w:sz w:val="28"/>
                <w:szCs w:val="28"/>
                <w:rtl/>
                <w:lang w:eastAsia="ar-EG" w:bidi="ar-EG"/>
              </w:rPr>
              <w:br/>
            </w:r>
            <w:r w:rsidRPr="00834CB9">
              <w:rPr>
                <w:rFonts w:ascii="Arabic Typesetting" w:eastAsia="Arabic Typesetting" w:hAnsi="Arabic Typesetting" w:cs="Arabic Typesetting"/>
                <w:color w:val="000000"/>
                <w:sz w:val="28"/>
                <w:szCs w:val="28"/>
                <w:rtl/>
                <w:lang w:eastAsia="ar-EG" w:bidi="ar-EG"/>
              </w:rPr>
              <w:t>‏0.59 فرنك سويسري للكلمة الواحدة</w:t>
            </w:r>
          </w:p>
        </w:tc>
        <w:tc>
          <w:tcPr>
            <w:tcW w:w="834" w:type="pct"/>
            <w:shd w:val="clear" w:color="auto" w:fill="auto"/>
            <w:tcMar>
              <w:top w:w="110" w:type="dxa"/>
              <w:left w:w="58" w:type="dxa"/>
              <w:right w:w="58" w:type="dxa"/>
            </w:tcMar>
          </w:tcPr>
          <w:p w14:paraId="74CB243F"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الحفاظ على التكلفة</w:t>
            </w:r>
          </w:p>
        </w:tc>
        <w:tc>
          <w:tcPr>
            <w:tcW w:w="1226" w:type="pct"/>
            <w:shd w:val="clear" w:color="auto" w:fill="FFFFFF"/>
            <w:tcMar>
              <w:top w:w="110" w:type="dxa"/>
              <w:left w:w="58" w:type="dxa"/>
              <w:right w:w="58" w:type="dxa"/>
            </w:tcMar>
          </w:tcPr>
          <w:p w14:paraId="303A7CA0" w14:textId="77777777" w:rsidR="00BD3831" w:rsidRDefault="00BD3831" w:rsidP="0031289D">
            <w:pPr>
              <w:bidi/>
              <w:spacing w:after="180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 xml:space="preserve">خفِّضت تكلفة الترجمة للكلمة مرة أخرى إلى </w:t>
            </w:r>
            <w:r>
              <w:rPr>
                <w:rFonts w:ascii="Arabic Typesetting" w:eastAsia="Arabic Typesetting" w:hAnsi="Arabic Typesetting" w:cs="Arabic Typesetting"/>
                <w:color w:val="000000"/>
                <w:sz w:val="28"/>
                <w:szCs w:val="28"/>
                <w:rtl/>
                <w:lang w:eastAsia="ar-EG" w:bidi="ar-EG"/>
              </w:rPr>
              <w:t>0.55 فرنك سويسري</w:t>
            </w:r>
            <w:r>
              <w:rPr>
                <w:rFonts w:ascii="Arabic Typesetting" w:eastAsia="Arabic Typesetting" w:hAnsi="Arabic Typesetting" w:cs="Arabic Typesetting"/>
                <w:color w:val="000000"/>
                <w:sz w:val="28"/>
                <w:szCs w:val="28"/>
                <w:rtl/>
                <w:lang w:eastAsia="ar-EG" w:bidi="ar-EG"/>
              </w:rPr>
              <w:br/>
            </w:r>
            <w:r w:rsidRPr="00834CB9">
              <w:rPr>
                <w:rFonts w:ascii="Arabic Typesetting" w:eastAsia="Arabic Typesetting" w:hAnsi="Arabic Typesetting" w:cs="Arabic Typesetting"/>
                <w:color w:val="000000"/>
                <w:sz w:val="28"/>
                <w:szCs w:val="28"/>
                <w:rtl/>
                <w:lang w:eastAsia="ar-EG" w:bidi="ar-EG"/>
              </w:rPr>
              <w:t>(-3.5% مقارنة بعام 2015)</w:t>
            </w:r>
          </w:p>
          <w:p w14:paraId="4ECBC3CA" w14:textId="77777777" w:rsidR="00BD3831" w:rsidRPr="00834CB9"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834CB9">
              <w:rPr>
                <w:rFonts w:ascii="Arabic Typesetting" w:eastAsia="Arabic Typesetting" w:hAnsi="Arabic Typesetting" w:cs="Arabic Typesetting"/>
                <w:color w:val="000000"/>
                <w:sz w:val="28"/>
                <w:szCs w:val="28"/>
                <w:rtl/>
                <w:lang w:eastAsia="ar-EG" w:bidi="ar-EG"/>
              </w:rPr>
              <w:t>تُرجم ما مجموعه 15.69 مليون كلمة (554 47 صفحة عادية للأمم المتحدة) (+2.6% مقارنة بعام 2015)</w:t>
            </w:r>
          </w:p>
        </w:tc>
        <w:tc>
          <w:tcPr>
            <w:tcW w:w="513" w:type="pct"/>
            <w:shd w:val="clear" w:color="auto" w:fill="auto"/>
            <w:tcMar>
              <w:top w:w="110" w:type="dxa"/>
              <w:left w:w="58" w:type="dxa"/>
              <w:right w:w="58" w:type="dxa"/>
            </w:tcMar>
          </w:tcPr>
          <w:p w14:paraId="7A230907" w14:textId="77777777" w:rsidR="00BD3831" w:rsidRPr="00834CB9" w:rsidRDefault="00BD3831" w:rsidP="0031289D">
            <w:pPr>
              <w:bidi/>
              <w:spacing w:after="120" w:line="280" w:lineRule="exact"/>
              <w:jc w:val="center"/>
              <w:rPr>
                <w:rFonts w:ascii="Arabic Typesetting" w:eastAsia="Arabic Typesetting" w:hAnsi="Arabic Typesetting" w:cs="Arabic Typesetting"/>
                <w:b/>
                <w:color w:val="00B050"/>
                <w:sz w:val="28"/>
                <w:szCs w:val="28"/>
                <w:lang w:eastAsia="ar-EG" w:bidi="ar-EG"/>
              </w:rPr>
            </w:pPr>
            <w:r w:rsidRPr="00834CB9">
              <w:rPr>
                <w:rFonts w:ascii="Arabic Typesetting" w:eastAsia="Arabic Typesetting" w:hAnsi="Arabic Typesetting" w:cs="Arabic Typesetting"/>
                <w:b/>
                <w:bCs/>
                <w:color w:val="00B050"/>
                <w:sz w:val="28"/>
                <w:szCs w:val="28"/>
                <w:rtl/>
                <w:lang w:eastAsia="ar-EG" w:bidi="ar-EG"/>
              </w:rPr>
              <w:t>ثابت</w:t>
            </w:r>
          </w:p>
        </w:tc>
      </w:tr>
    </w:tbl>
    <w:p w14:paraId="7BA0C741" w14:textId="77777777" w:rsidR="00BD3831" w:rsidRDefault="00BD3831" w:rsidP="0031289D">
      <w:pPr>
        <w:bidi/>
      </w:pPr>
    </w:p>
    <w:tbl>
      <w:tblPr>
        <w:tblStyle w:val="TableGrid"/>
        <w:bidiVisual/>
        <w:tblW w:w="0" w:type="auto"/>
        <w:tblLook w:val="04A0" w:firstRow="1" w:lastRow="0" w:firstColumn="1" w:lastColumn="0" w:noHBand="0" w:noVBand="1"/>
      </w:tblPr>
      <w:tblGrid>
        <w:gridCol w:w="9571"/>
      </w:tblGrid>
      <w:tr w:rsidR="00BD3831" w14:paraId="1189D5BF" w14:textId="77777777" w:rsidTr="00DF6715">
        <w:tc>
          <w:tcPr>
            <w:tcW w:w="9571" w:type="dxa"/>
            <w:tcBorders>
              <w:top w:val="nil"/>
              <w:left w:val="nil"/>
              <w:bottom w:val="nil"/>
              <w:right w:val="nil"/>
            </w:tcBorders>
            <w:shd w:val="clear" w:color="auto" w:fill="C6D9F1"/>
            <w:vAlign w:val="center"/>
          </w:tcPr>
          <w:p w14:paraId="6209157A" w14:textId="77777777" w:rsidR="00BD3831" w:rsidRPr="00A2672B" w:rsidRDefault="00BD3831" w:rsidP="000B74B5">
            <w:pPr>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t>استخد</w:t>
            </w:r>
            <w:r w:rsidRPr="00A2672B">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27</w:t>
            </w:r>
          </w:p>
        </w:tc>
      </w:tr>
    </w:tbl>
    <w:p w14:paraId="6FD9AD7E" w14:textId="77777777" w:rsidR="00BD3831" w:rsidRPr="00FE3908" w:rsidRDefault="00BD3831" w:rsidP="000B74B5">
      <w:pPr>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0CE1A1F4" w14:textId="77777777" w:rsidR="00BD3831" w:rsidRDefault="00BD3831" w:rsidP="000B74B5">
      <w:pPr>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D3831" w:rsidRPr="00211D55" w14:paraId="30C73312" w14:textId="77777777" w:rsidTr="00DF6715">
        <w:trPr>
          <w:trHeight w:val="825"/>
        </w:trPr>
        <w:tc>
          <w:tcPr>
            <w:tcW w:w="2753" w:type="pct"/>
            <w:gridSpan w:val="2"/>
            <w:shd w:val="clear" w:color="auto" w:fill="C6D9F1"/>
            <w:noWrap/>
            <w:tcMar>
              <w:top w:w="15" w:type="dxa"/>
              <w:left w:w="15" w:type="dxa"/>
              <w:bottom w:w="0" w:type="dxa"/>
              <w:right w:w="15" w:type="dxa"/>
            </w:tcMar>
            <w:vAlign w:val="center"/>
            <w:hideMark/>
          </w:tcPr>
          <w:p w14:paraId="470EC5C3" w14:textId="77777777" w:rsidR="00BD3831" w:rsidRPr="00A2672B" w:rsidRDefault="00BD3831" w:rsidP="000B74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1CC5A58E" w14:textId="77777777" w:rsidR="00BD3831" w:rsidRPr="00A2672B" w:rsidRDefault="00BD3831" w:rsidP="000B74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656CF8A6" w14:textId="77777777" w:rsidR="00BD3831" w:rsidRPr="00A2672B" w:rsidRDefault="00BD3831" w:rsidP="000B74B5">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208BDDC3" w14:textId="77777777" w:rsidR="00BD3831" w:rsidRPr="00A2672B" w:rsidRDefault="00BD3831" w:rsidP="000B74B5">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D3831" w:rsidRPr="00211D55" w14:paraId="1D3F8886" w14:textId="77777777" w:rsidTr="00DF6715">
        <w:trPr>
          <w:trHeight w:val="55"/>
        </w:trPr>
        <w:tc>
          <w:tcPr>
            <w:tcW w:w="413" w:type="pct"/>
            <w:shd w:val="clear" w:color="auto" w:fill="auto"/>
            <w:noWrap/>
            <w:tcMar>
              <w:top w:w="15" w:type="dxa"/>
              <w:left w:w="15" w:type="dxa"/>
              <w:bottom w:w="0" w:type="dxa"/>
              <w:right w:w="15" w:type="dxa"/>
            </w:tcMar>
          </w:tcPr>
          <w:p w14:paraId="64FEF9FA" w14:textId="77777777" w:rsidR="00BD3831" w:rsidRPr="00834CB9" w:rsidRDefault="00BD3831" w:rsidP="000B74B5">
            <w:pPr>
              <w:bidi/>
              <w:spacing w:before="120" w:after="120"/>
              <w:rPr>
                <w:rFonts w:ascii="Arabic Typesetting" w:hAnsi="Arabic Typesetting" w:cs="Arabic Typesetting"/>
                <w:sz w:val="28"/>
                <w:szCs w:val="28"/>
              </w:rPr>
            </w:pPr>
            <w:r w:rsidRPr="00834CB9">
              <w:rPr>
                <w:rFonts w:ascii="Arabic Typesetting" w:hAnsi="Arabic Typesetting" w:cs="Arabic Typesetting"/>
                <w:sz w:val="28"/>
                <w:szCs w:val="28"/>
                <w:rtl/>
              </w:rPr>
              <w:t>ه1.9</w:t>
            </w:r>
          </w:p>
        </w:tc>
        <w:tc>
          <w:tcPr>
            <w:tcW w:w="2340" w:type="pct"/>
            <w:shd w:val="clear" w:color="auto" w:fill="auto"/>
            <w:tcMar>
              <w:top w:w="15" w:type="dxa"/>
              <w:left w:w="15" w:type="dxa"/>
              <w:bottom w:w="0" w:type="dxa"/>
              <w:right w:w="15" w:type="dxa"/>
            </w:tcMar>
          </w:tcPr>
          <w:p w14:paraId="24C8CDC1" w14:textId="77777777" w:rsidR="00BD3831" w:rsidRPr="00834CB9" w:rsidRDefault="00BD3831" w:rsidP="000B74B5">
            <w:pPr>
              <w:bidi/>
              <w:spacing w:before="120" w:after="120"/>
              <w:rPr>
                <w:rFonts w:ascii="Arabic Typesetting" w:hAnsi="Arabic Typesetting" w:cs="Arabic Typesetting"/>
                <w:sz w:val="28"/>
                <w:szCs w:val="28"/>
              </w:rPr>
            </w:pPr>
            <w:r w:rsidRPr="00834CB9">
              <w:rPr>
                <w:rFonts w:ascii="Arabic Typesetting" w:hAnsi="Arabic Typesetting" w:cs="Arabic Typesetting"/>
                <w:sz w:val="28"/>
                <w:szCs w:val="28"/>
                <w:rtl/>
              </w:rPr>
              <w:t>خدمات دعم موجهة للزبون بفعالية وكفاءة وجودة لفائدة الزبائن الداخليين وأصحاب المصلحة الخارجيين</w:t>
            </w:r>
          </w:p>
        </w:tc>
        <w:tc>
          <w:tcPr>
            <w:tcW w:w="749" w:type="pct"/>
            <w:shd w:val="clear" w:color="auto" w:fill="auto"/>
            <w:tcMar>
              <w:top w:w="15" w:type="dxa"/>
              <w:left w:w="15" w:type="dxa"/>
              <w:bottom w:w="0" w:type="dxa"/>
              <w:right w:w="15" w:type="dxa"/>
            </w:tcMar>
            <w:vAlign w:val="center"/>
          </w:tcPr>
          <w:p w14:paraId="468A2819" w14:textId="77777777" w:rsidR="00BD3831" w:rsidRPr="00834CB9" w:rsidRDefault="00BD3831" w:rsidP="000B74B5">
            <w:pPr>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38</w:t>
            </w:r>
            <w:r>
              <w:rPr>
                <w:rFonts w:ascii="Arabic Typesetting" w:hAnsi="Arabic Typesetting" w:cs="Arabic Typesetting"/>
                <w:color w:val="000000"/>
                <w:sz w:val="28"/>
                <w:szCs w:val="28"/>
              </w:rPr>
              <w:t> </w:t>
            </w:r>
            <w:r w:rsidRPr="00834CB9">
              <w:rPr>
                <w:rFonts w:ascii="Arabic Typesetting" w:hAnsi="Arabic Typesetting" w:cs="Arabic Typesetting"/>
                <w:color w:val="000000"/>
                <w:sz w:val="28"/>
                <w:szCs w:val="28"/>
              </w:rPr>
              <w:t>925</w:t>
            </w:r>
          </w:p>
        </w:tc>
        <w:tc>
          <w:tcPr>
            <w:tcW w:w="749" w:type="pct"/>
            <w:shd w:val="clear" w:color="auto" w:fill="auto"/>
            <w:tcMar>
              <w:top w:w="15" w:type="dxa"/>
              <w:left w:w="15" w:type="dxa"/>
              <w:bottom w:w="0" w:type="dxa"/>
              <w:right w:w="15" w:type="dxa"/>
            </w:tcMar>
            <w:vAlign w:val="center"/>
          </w:tcPr>
          <w:p w14:paraId="3D312FC2" w14:textId="77777777" w:rsidR="00BD3831" w:rsidRPr="00834CB9" w:rsidRDefault="00BD3831" w:rsidP="000B74B5">
            <w:pPr>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38</w:t>
            </w:r>
            <w:r>
              <w:rPr>
                <w:rFonts w:ascii="Arabic Typesetting" w:hAnsi="Arabic Typesetting" w:cs="Arabic Typesetting"/>
                <w:color w:val="000000"/>
                <w:sz w:val="28"/>
                <w:szCs w:val="28"/>
              </w:rPr>
              <w:t> </w:t>
            </w:r>
            <w:r w:rsidRPr="00834CB9">
              <w:rPr>
                <w:rFonts w:ascii="Arabic Typesetting" w:hAnsi="Arabic Typesetting" w:cs="Arabic Typesetting"/>
                <w:color w:val="000000"/>
                <w:sz w:val="28"/>
                <w:szCs w:val="28"/>
              </w:rPr>
              <w:t>622</w:t>
            </w:r>
          </w:p>
        </w:tc>
        <w:tc>
          <w:tcPr>
            <w:tcW w:w="749" w:type="pct"/>
            <w:shd w:val="clear" w:color="auto" w:fill="auto"/>
            <w:noWrap/>
            <w:tcMar>
              <w:top w:w="15" w:type="dxa"/>
              <w:left w:w="15" w:type="dxa"/>
              <w:bottom w:w="0" w:type="dxa"/>
              <w:right w:w="15" w:type="dxa"/>
            </w:tcMar>
            <w:vAlign w:val="center"/>
          </w:tcPr>
          <w:p w14:paraId="2301F5CD" w14:textId="77777777" w:rsidR="00BD3831" w:rsidRPr="00834CB9" w:rsidRDefault="00BD3831" w:rsidP="000B74B5">
            <w:pPr>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17</w:t>
            </w:r>
            <w:r>
              <w:rPr>
                <w:rFonts w:ascii="Arabic Typesetting" w:hAnsi="Arabic Typesetting" w:cs="Arabic Typesetting"/>
                <w:color w:val="000000"/>
                <w:sz w:val="28"/>
                <w:szCs w:val="28"/>
              </w:rPr>
              <w:t> </w:t>
            </w:r>
            <w:r w:rsidRPr="00834CB9">
              <w:rPr>
                <w:rFonts w:ascii="Arabic Typesetting" w:hAnsi="Arabic Typesetting" w:cs="Arabic Typesetting"/>
                <w:color w:val="000000"/>
                <w:sz w:val="28"/>
                <w:szCs w:val="28"/>
              </w:rPr>
              <w:t>609</w:t>
            </w:r>
          </w:p>
        </w:tc>
      </w:tr>
      <w:tr w:rsidR="00BD3831" w:rsidRPr="00211D55" w14:paraId="3B9D54F7" w14:textId="77777777" w:rsidTr="00DF6715">
        <w:trPr>
          <w:trHeight w:val="55"/>
        </w:trPr>
        <w:tc>
          <w:tcPr>
            <w:tcW w:w="413" w:type="pct"/>
            <w:shd w:val="clear" w:color="auto" w:fill="auto"/>
            <w:noWrap/>
            <w:tcMar>
              <w:top w:w="15" w:type="dxa"/>
              <w:left w:w="15" w:type="dxa"/>
              <w:bottom w:w="0" w:type="dxa"/>
              <w:right w:w="15" w:type="dxa"/>
            </w:tcMar>
          </w:tcPr>
          <w:p w14:paraId="2965485C" w14:textId="77777777" w:rsidR="00BD3831" w:rsidRPr="00834CB9" w:rsidRDefault="00BD3831" w:rsidP="000B74B5">
            <w:pPr>
              <w:bidi/>
              <w:spacing w:before="120" w:after="120"/>
              <w:rPr>
                <w:rFonts w:ascii="Arabic Typesetting" w:hAnsi="Arabic Typesetting" w:cs="Arabic Typesetting"/>
                <w:sz w:val="28"/>
                <w:szCs w:val="28"/>
              </w:rPr>
            </w:pPr>
            <w:r w:rsidRPr="00834CB9">
              <w:rPr>
                <w:rFonts w:ascii="Arabic Typesetting" w:hAnsi="Arabic Typesetting" w:cs="Arabic Typesetting"/>
                <w:sz w:val="28"/>
                <w:szCs w:val="28"/>
                <w:rtl/>
              </w:rPr>
              <w:t>ه4.9</w:t>
            </w:r>
          </w:p>
        </w:tc>
        <w:tc>
          <w:tcPr>
            <w:tcW w:w="2340" w:type="pct"/>
            <w:shd w:val="clear" w:color="auto" w:fill="auto"/>
            <w:tcMar>
              <w:top w:w="15" w:type="dxa"/>
              <w:left w:w="15" w:type="dxa"/>
              <w:bottom w:w="0" w:type="dxa"/>
              <w:right w:w="15" w:type="dxa"/>
            </w:tcMar>
          </w:tcPr>
          <w:p w14:paraId="2D95B66F" w14:textId="77777777" w:rsidR="00BD3831" w:rsidRPr="00834CB9" w:rsidRDefault="00BD3831" w:rsidP="000B74B5">
            <w:pPr>
              <w:bidi/>
              <w:spacing w:before="120" w:after="120"/>
              <w:rPr>
                <w:rFonts w:ascii="Arabic Typesetting" w:hAnsi="Arabic Typesetting" w:cs="Arabic Typesetting"/>
                <w:sz w:val="28"/>
                <w:szCs w:val="28"/>
              </w:rPr>
            </w:pPr>
            <w:r w:rsidRPr="00834CB9">
              <w:rPr>
                <w:rFonts w:ascii="Arabic Typesetting" w:hAnsi="Arabic Typesetting" w:cs="Arabic Typesetting"/>
                <w:sz w:val="28"/>
                <w:szCs w:val="28"/>
                <w:rtl/>
              </w:rPr>
              <w:t>منظمة ذات مسؤولية بيئية واجتماعية تكفل السلامة والأمن للموظفين في الويبو والمندوبين والزائرين والممتلكات المادية والمعلومات</w:t>
            </w:r>
          </w:p>
        </w:tc>
        <w:tc>
          <w:tcPr>
            <w:tcW w:w="749" w:type="pct"/>
            <w:shd w:val="clear" w:color="auto" w:fill="auto"/>
            <w:tcMar>
              <w:top w:w="15" w:type="dxa"/>
              <w:left w:w="15" w:type="dxa"/>
              <w:bottom w:w="0" w:type="dxa"/>
              <w:right w:w="15" w:type="dxa"/>
            </w:tcMar>
            <w:vAlign w:val="center"/>
          </w:tcPr>
          <w:p w14:paraId="63847EF6" w14:textId="77777777" w:rsidR="00BD3831" w:rsidRPr="00834CB9" w:rsidRDefault="00BD3831" w:rsidP="000B74B5">
            <w:pPr>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0</w:t>
            </w:r>
          </w:p>
        </w:tc>
        <w:tc>
          <w:tcPr>
            <w:tcW w:w="749" w:type="pct"/>
            <w:shd w:val="clear" w:color="auto" w:fill="auto"/>
            <w:tcMar>
              <w:top w:w="15" w:type="dxa"/>
              <w:left w:w="15" w:type="dxa"/>
              <w:bottom w:w="0" w:type="dxa"/>
              <w:right w:w="15" w:type="dxa"/>
            </w:tcMar>
            <w:vAlign w:val="center"/>
          </w:tcPr>
          <w:p w14:paraId="6D079DDF" w14:textId="77777777" w:rsidR="00BD3831" w:rsidRPr="00834CB9" w:rsidRDefault="00BD3831" w:rsidP="000B74B5">
            <w:pPr>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39</w:t>
            </w:r>
          </w:p>
        </w:tc>
        <w:tc>
          <w:tcPr>
            <w:tcW w:w="749" w:type="pct"/>
            <w:shd w:val="clear" w:color="auto" w:fill="auto"/>
            <w:noWrap/>
            <w:tcMar>
              <w:top w:w="15" w:type="dxa"/>
              <w:left w:w="15" w:type="dxa"/>
              <w:bottom w:w="0" w:type="dxa"/>
              <w:right w:w="15" w:type="dxa"/>
            </w:tcMar>
            <w:vAlign w:val="center"/>
          </w:tcPr>
          <w:p w14:paraId="5840738A" w14:textId="77777777" w:rsidR="00BD3831" w:rsidRPr="00834CB9" w:rsidRDefault="00BD3831" w:rsidP="000B74B5">
            <w:pPr>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0</w:t>
            </w:r>
          </w:p>
        </w:tc>
      </w:tr>
      <w:tr w:rsidR="00BD3831" w:rsidRPr="00211D55" w14:paraId="38331AEB" w14:textId="77777777" w:rsidTr="00DF6715">
        <w:trPr>
          <w:trHeight w:val="225"/>
        </w:trPr>
        <w:tc>
          <w:tcPr>
            <w:tcW w:w="413" w:type="pct"/>
            <w:shd w:val="clear" w:color="auto" w:fill="C6D9F1"/>
            <w:noWrap/>
            <w:tcMar>
              <w:top w:w="15" w:type="dxa"/>
              <w:left w:w="15" w:type="dxa"/>
              <w:bottom w:w="0" w:type="dxa"/>
              <w:right w:w="15" w:type="dxa"/>
            </w:tcMar>
            <w:vAlign w:val="bottom"/>
            <w:hideMark/>
          </w:tcPr>
          <w:p w14:paraId="1DD16DC9" w14:textId="77777777" w:rsidR="00BD3831" w:rsidRPr="00211D55" w:rsidRDefault="00BD3831" w:rsidP="000B74B5">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066D7AA2" w14:textId="77777777" w:rsidR="00BD3831" w:rsidRPr="00D41845" w:rsidRDefault="00BD3831" w:rsidP="000B74B5">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31065EB0" w14:textId="77777777" w:rsidR="00BD3831" w:rsidRPr="00280D1A" w:rsidRDefault="00BD3831" w:rsidP="000B74B5">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38 925</w:t>
            </w:r>
          </w:p>
        </w:tc>
        <w:tc>
          <w:tcPr>
            <w:tcW w:w="749" w:type="pct"/>
            <w:shd w:val="clear" w:color="auto" w:fill="C6D9F1"/>
            <w:noWrap/>
            <w:tcMar>
              <w:top w:w="15" w:type="dxa"/>
              <w:left w:w="15" w:type="dxa"/>
              <w:bottom w:w="0" w:type="dxa"/>
              <w:right w:w="15" w:type="dxa"/>
            </w:tcMar>
            <w:vAlign w:val="center"/>
          </w:tcPr>
          <w:p w14:paraId="5C6B4480" w14:textId="77777777" w:rsidR="00BD3831" w:rsidRPr="00280D1A" w:rsidRDefault="00BD3831" w:rsidP="000B74B5">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38 661</w:t>
            </w:r>
          </w:p>
        </w:tc>
        <w:tc>
          <w:tcPr>
            <w:tcW w:w="749" w:type="pct"/>
            <w:shd w:val="clear" w:color="auto" w:fill="C6D9F1"/>
            <w:noWrap/>
            <w:tcMar>
              <w:top w:w="15" w:type="dxa"/>
              <w:left w:w="15" w:type="dxa"/>
              <w:bottom w:w="0" w:type="dxa"/>
              <w:right w:w="15" w:type="dxa"/>
            </w:tcMar>
            <w:vAlign w:val="center"/>
          </w:tcPr>
          <w:p w14:paraId="1A2FD60B" w14:textId="77777777" w:rsidR="00BD3831" w:rsidRPr="00280D1A" w:rsidRDefault="00BD3831" w:rsidP="000B74B5">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17 609</w:t>
            </w:r>
          </w:p>
        </w:tc>
      </w:tr>
      <w:tr w:rsidR="00BD3831" w:rsidRPr="00211D55" w14:paraId="5F3456D9" w14:textId="77777777" w:rsidTr="00DF6715">
        <w:trPr>
          <w:trHeight w:val="225"/>
        </w:trPr>
        <w:tc>
          <w:tcPr>
            <w:tcW w:w="5000" w:type="pct"/>
            <w:gridSpan w:val="5"/>
            <w:shd w:val="clear" w:color="auto" w:fill="auto"/>
            <w:noWrap/>
            <w:tcMar>
              <w:top w:w="15" w:type="dxa"/>
              <w:left w:w="15" w:type="dxa"/>
              <w:bottom w:w="0" w:type="dxa"/>
              <w:right w:w="15" w:type="dxa"/>
            </w:tcMar>
            <w:vAlign w:val="bottom"/>
          </w:tcPr>
          <w:p w14:paraId="1B9C88AF" w14:textId="77777777" w:rsidR="00BD3831" w:rsidRPr="00A2672B" w:rsidRDefault="00BD3831" w:rsidP="000B74B5">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75F4A24A" w14:textId="77777777" w:rsidR="00BD3831" w:rsidRPr="00252762" w:rsidRDefault="00BD3831" w:rsidP="000B74B5">
      <w:pPr>
        <w:keepNext/>
        <w:keepLines/>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14:paraId="4502DA75" w14:textId="77777777" w:rsidR="00BD3831" w:rsidRPr="00DF1D8A" w:rsidRDefault="00BD3831" w:rsidP="000B74B5">
      <w:pPr>
        <w:keepNext/>
        <w:keepLines/>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BD3831" w:rsidRPr="00211D55" w14:paraId="2B5807A8" w14:textId="77777777" w:rsidTr="00DF6715">
        <w:trPr>
          <w:trHeight w:val="645"/>
        </w:trPr>
        <w:tc>
          <w:tcPr>
            <w:tcW w:w="1118" w:type="pct"/>
            <w:shd w:val="clear" w:color="auto" w:fill="C6D9F1"/>
            <w:noWrap/>
            <w:vAlign w:val="center"/>
            <w:hideMark/>
          </w:tcPr>
          <w:p w14:paraId="198391CC" w14:textId="77777777" w:rsidR="00BD3831" w:rsidRPr="00211D55" w:rsidRDefault="00BD3831" w:rsidP="000B74B5">
            <w:pPr>
              <w:keepNext/>
              <w:keepLines/>
              <w:bidi/>
              <w:jc w:val="center"/>
              <w:rPr>
                <w:rFonts w:ascii="Arabic Typesetting" w:hAnsi="Arabic Typesetting" w:cs="Arabic Typesetting"/>
                <w:b/>
                <w:bCs/>
                <w:i/>
                <w:iCs/>
                <w:sz w:val="28"/>
                <w:szCs w:val="28"/>
              </w:rPr>
            </w:pPr>
          </w:p>
        </w:tc>
        <w:tc>
          <w:tcPr>
            <w:tcW w:w="971" w:type="pct"/>
            <w:shd w:val="clear" w:color="auto" w:fill="C6D9F1"/>
            <w:vAlign w:val="center"/>
            <w:hideMark/>
          </w:tcPr>
          <w:p w14:paraId="677D0A09" w14:textId="77777777" w:rsidR="00BD3831" w:rsidRPr="00211D55" w:rsidRDefault="00BD3831" w:rsidP="000B74B5">
            <w:pPr>
              <w:keepNext/>
              <w:keepLines/>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42F6EDAF" w14:textId="77777777" w:rsidR="00BD3831" w:rsidRPr="00211D55" w:rsidRDefault="00BD3831" w:rsidP="000B74B5">
            <w:pPr>
              <w:keepNext/>
              <w:keepLines/>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16093A6D" w14:textId="77777777" w:rsidR="00BD3831" w:rsidRPr="00211D55" w:rsidRDefault="00BD3831" w:rsidP="000B74B5">
            <w:pPr>
              <w:keepNext/>
              <w:keepLines/>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7B1337FE" w14:textId="77777777" w:rsidR="00BD3831" w:rsidRPr="00211D55" w:rsidRDefault="00BD3831" w:rsidP="000B74B5">
            <w:pPr>
              <w:keepNext/>
              <w:keepLines/>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D3831" w:rsidRPr="00211D55" w14:paraId="209D5F6E" w14:textId="77777777" w:rsidTr="00DF6715">
        <w:trPr>
          <w:trHeight w:val="70"/>
        </w:trPr>
        <w:tc>
          <w:tcPr>
            <w:tcW w:w="1118" w:type="pct"/>
            <w:shd w:val="clear" w:color="auto" w:fill="auto"/>
            <w:noWrap/>
            <w:vAlign w:val="center"/>
            <w:hideMark/>
          </w:tcPr>
          <w:p w14:paraId="6B2A7F96" w14:textId="77777777" w:rsidR="00BD3831" w:rsidRPr="00211D55" w:rsidRDefault="00BD3831" w:rsidP="000B74B5">
            <w:pPr>
              <w:keepNext/>
              <w:keepLines/>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586D893D" w14:textId="77777777" w:rsidR="00BD3831" w:rsidRPr="00834CB9" w:rsidRDefault="00BD3831" w:rsidP="000B74B5">
            <w:pPr>
              <w:keepNext/>
              <w:keepLines/>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29</w:t>
            </w:r>
            <w:r>
              <w:rPr>
                <w:rFonts w:ascii="Arabic Typesetting" w:hAnsi="Arabic Typesetting" w:cs="Arabic Typesetting"/>
                <w:color w:val="000000"/>
                <w:sz w:val="28"/>
                <w:szCs w:val="28"/>
              </w:rPr>
              <w:t> </w:t>
            </w:r>
            <w:r w:rsidRPr="00834CB9">
              <w:rPr>
                <w:rFonts w:ascii="Arabic Typesetting" w:hAnsi="Arabic Typesetting" w:cs="Arabic Typesetting"/>
                <w:color w:val="000000"/>
                <w:sz w:val="28"/>
                <w:szCs w:val="28"/>
              </w:rPr>
              <w:t xml:space="preserve">571 </w:t>
            </w:r>
          </w:p>
        </w:tc>
        <w:tc>
          <w:tcPr>
            <w:tcW w:w="971" w:type="pct"/>
            <w:shd w:val="clear" w:color="auto" w:fill="auto"/>
            <w:vAlign w:val="center"/>
          </w:tcPr>
          <w:p w14:paraId="7D36CACA" w14:textId="77777777" w:rsidR="00BD3831" w:rsidRPr="00834CB9" w:rsidRDefault="00BD3831" w:rsidP="000B74B5">
            <w:pPr>
              <w:keepNext/>
              <w:keepLines/>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28</w:t>
            </w:r>
            <w:r>
              <w:rPr>
                <w:rFonts w:ascii="Arabic Typesetting" w:hAnsi="Arabic Typesetting" w:cs="Arabic Typesetting"/>
                <w:color w:val="000000"/>
                <w:sz w:val="28"/>
                <w:szCs w:val="28"/>
              </w:rPr>
              <w:t> </w:t>
            </w:r>
            <w:r w:rsidRPr="00834CB9">
              <w:rPr>
                <w:rFonts w:ascii="Arabic Typesetting" w:hAnsi="Arabic Typesetting" w:cs="Arabic Typesetting"/>
                <w:color w:val="000000"/>
                <w:sz w:val="28"/>
                <w:szCs w:val="28"/>
              </w:rPr>
              <w:t xml:space="preserve">834 </w:t>
            </w:r>
          </w:p>
        </w:tc>
        <w:tc>
          <w:tcPr>
            <w:tcW w:w="970" w:type="pct"/>
            <w:shd w:val="clear" w:color="auto" w:fill="auto"/>
            <w:vAlign w:val="center"/>
          </w:tcPr>
          <w:p w14:paraId="3A0E9B39" w14:textId="77777777" w:rsidR="00BD3831" w:rsidRPr="00834CB9" w:rsidRDefault="00BD3831" w:rsidP="000B74B5">
            <w:pPr>
              <w:keepNext/>
              <w:keepLines/>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13</w:t>
            </w:r>
            <w:r>
              <w:rPr>
                <w:rFonts w:ascii="Arabic Typesetting" w:hAnsi="Arabic Typesetting" w:cs="Arabic Typesetting"/>
                <w:color w:val="000000"/>
                <w:sz w:val="28"/>
                <w:szCs w:val="28"/>
              </w:rPr>
              <w:t> </w:t>
            </w:r>
            <w:r w:rsidRPr="00834CB9">
              <w:rPr>
                <w:rFonts w:ascii="Arabic Typesetting" w:hAnsi="Arabic Typesetting" w:cs="Arabic Typesetting"/>
                <w:color w:val="000000"/>
                <w:sz w:val="28"/>
                <w:szCs w:val="28"/>
              </w:rPr>
              <w:t xml:space="preserve">024 </w:t>
            </w:r>
          </w:p>
        </w:tc>
        <w:tc>
          <w:tcPr>
            <w:tcW w:w="970" w:type="pct"/>
            <w:shd w:val="clear" w:color="auto" w:fill="auto"/>
            <w:vAlign w:val="center"/>
          </w:tcPr>
          <w:p w14:paraId="5D65ACA7" w14:textId="77777777" w:rsidR="00BD3831" w:rsidRPr="00834CB9" w:rsidRDefault="00BD3831" w:rsidP="000B74B5">
            <w:pPr>
              <w:keepNext/>
              <w:keepLines/>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%45</w:t>
            </w:r>
          </w:p>
        </w:tc>
      </w:tr>
      <w:tr w:rsidR="00BD3831" w:rsidRPr="00211D55" w14:paraId="0C5460DC" w14:textId="77777777" w:rsidTr="00DF6715">
        <w:trPr>
          <w:trHeight w:val="70"/>
        </w:trPr>
        <w:tc>
          <w:tcPr>
            <w:tcW w:w="1118" w:type="pct"/>
            <w:shd w:val="clear" w:color="auto" w:fill="auto"/>
            <w:noWrap/>
            <w:vAlign w:val="center"/>
            <w:hideMark/>
          </w:tcPr>
          <w:p w14:paraId="5062D3DB" w14:textId="77777777" w:rsidR="00BD3831" w:rsidRPr="00211D55" w:rsidRDefault="00BD3831" w:rsidP="000B74B5">
            <w:pPr>
              <w:keepNext/>
              <w:keepLines/>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7A664AAD" w14:textId="77777777" w:rsidR="00BD3831" w:rsidRPr="00834CB9" w:rsidRDefault="00BD3831" w:rsidP="000B74B5">
            <w:pPr>
              <w:keepNext/>
              <w:keepLines/>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9</w:t>
            </w:r>
            <w:r>
              <w:rPr>
                <w:rFonts w:ascii="Arabic Typesetting" w:hAnsi="Arabic Typesetting" w:cs="Arabic Typesetting"/>
                <w:color w:val="000000"/>
                <w:sz w:val="28"/>
                <w:szCs w:val="28"/>
              </w:rPr>
              <w:t> </w:t>
            </w:r>
            <w:r w:rsidRPr="00834CB9">
              <w:rPr>
                <w:rFonts w:ascii="Arabic Typesetting" w:hAnsi="Arabic Typesetting" w:cs="Arabic Typesetting"/>
                <w:color w:val="000000"/>
                <w:sz w:val="28"/>
                <w:szCs w:val="28"/>
              </w:rPr>
              <w:t xml:space="preserve">354 </w:t>
            </w:r>
          </w:p>
        </w:tc>
        <w:tc>
          <w:tcPr>
            <w:tcW w:w="971" w:type="pct"/>
            <w:shd w:val="clear" w:color="auto" w:fill="auto"/>
            <w:vAlign w:val="center"/>
          </w:tcPr>
          <w:p w14:paraId="414BD20C" w14:textId="77777777" w:rsidR="00BD3831" w:rsidRPr="00834CB9" w:rsidRDefault="00BD3831" w:rsidP="000B74B5">
            <w:pPr>
              <w:keepNext/>
              <w:keepLines/>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9</w:t>
            </w:r>
            <w:r>
              <w:rPr>
                <w:rFonts w:ascii="Arabic Typesetting" w:hAnsi="Arabic Typesetting" w:cs="Arabic Typesetting"/>
                <w:color w:val="000000"/>
                <w:sz w:val="28"/>
                <w:szCs w:val="28"/>
              </w:rPr>
              <w:t> </w:t>
            </w:r>
            <w:r w:rsidRPr="00834CB9">
              <w:rPr>
                <w:rFonts w:ascii="Arabic Typesetting" w:hAnsi="Arabic Typesetting" w:cs="Arabic Typesetting"/>
                <w:color w:val="000000"/>
                <w:sz w:val="28"/>
                <w:szCs w:val="28"/>
              </w:rPr>
              <w:t xml:space="preserve">826 </w:t>
            </w:r>
          </w:p>
        </w:tc>
        <w:tc>
          <w:tcPr>
            <w:tcW w:w="970" w:type="pct"/>
            <w:shd w:val="clear" w:color="auto" w:fill="auto"/>
            <w:vAlign w:val="center"/>
          </w:tcPr>
          <w:p w14:paraId="14C5F24D" w14:textId="77777777" w:rsidR="00BD3831" w:rsidRPr="00834CB9" w:rsidRDefault="00BD3831" w:rsidP="000B74B5">
            <w:pPr>
              <w:keepNext/>
              <w:keepLines/>
              <w:jc w:val="center"/>
              <w:rPr>
                <w:rFonts w:ascii="Arabic Typesetting" w:hAnsi="Arabic Typesetting" w:cs="Arabic Typesetting"/>
                <w:color w:val="000000"/>
                <w:sz w:val="28"/>
                <w:szCs w:val="28"/>
              </w:rPr>
            </w:pPr>
            <w:r w:rsidRPr="00834CB9">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834CB9">
              <w:rPr>
                <w:rFonts w:ascii="Arabic Typesetting" w:hAnsi="Arabic Typesetting" w:cs="Arabic Typesetting"/>
                <w:color w:val="000000"/>
                <w:sz w:val="28"/>
                <w:szCs w:val="28"/>
              </w:rPr>
              <w:t xml:space="preserve">585 </w:t>
            </w:r>
          </w:p>
        </w:tc>
        <w:tc>
          <w:tcPr>
            <w:tcW w:w="970" w:type="pct"/>
            <w:shd w:val="clear" w:color="auto" w:fill="auto"/>
            <w:vAlign w:val="center"/>
          </w:tcPr>
          <w:p w14:paraId="08ED2295" w14:textId="77777777" w:rsidR="00BD3831" w:rsidRPr="00834CB9" w:rsidRDefault="00BD3831" w:rsidP="000B74B5">
            <w:pPr>
              <w:keepNext/>
              <w:keepLines/>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%47</w:t>
            </w:r>
          </w:p>
        </w:tc>
      </w:tr>
      <w:tr w:rsidR="00BD3831" w:rsidRPr="00211D55" w14:paraId="5A15FED6" w14:textId="77777777" w:rsidTr="008E6403">
        <w:trPr>
          <w:trHeight w:val="70"/>
        </w:trPr>
        <w:tc>
          <w:tcPr>
            <w:tcW w:w="1118" w:type="pct"/>
            <w:shd w:val="clear" w:color="auto" w:fill="C6D9F1"/>
            <w:noWrap/>
            <w:vAlign w:val="center"/>
            <w:hideMark/>
          </w:tcPr>
          <w:p w14:paraId="1C148A47" w14:textId="77777777" w:rsidR="00BD3831" w:rsidRPr="00211D55" w:rsidRDefault="00BD3831" w:rsidP="000B74B5">
            <w:pPr>
              <w:keepNext/>
              <w:keepLines/>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5B097BAA" w14:textId="77777777" w:rsidR="00BD3831" w:rsidRPr="00834CB9" w:rsidRDefault="00BD3831" w:rsidP="000B74B5">
            <w:pPr>
              <w:keepNext/>
              <w:keepLines/>
              <w:jc w:val="center"/>
              <w:rPr>
                <w:rFonts w:ascii="Arabic Typesetting" w:hAnsi="Arabic Typesetting" w:cs="Arabic Typesetting"/>
                <w:b/>
                <w:bCs/>
                <w:color w:val="000000"/>
                <w:sz w:val="28"/>
                <w:szCs w:val="28"/>
              </w:rPr>
            </w:pPr>
            <w:r w:rsidRPr="00834CB9">
              <w:rPr>
                <w:rFonts w:ascii="Arabic Typesetting" w:hAnsi="Arabic Typesetting" w:cs="Arabic Typesetting"/>
                <w:b/>
                <w:bCs/>
                <w:color w:val="000000"/>
                <w:sz w:val="28"/>
                <w:szCs w:val="28"/>
              </w:rPr>
              <w:t>38</w:t>
            </w:r>
            <w:r>
              <w:rPr>
                <w:rFonts w:ascii="Arabic Typesetting" w:hAnsi="Arabic Typesetting" w:cs="Arabic Typesetting"/>
                <w:b/>
                <w:bCs/>
                <w:color w:val="000000"/>
                <w:sz w:val="28"/>
                <w:szCs w:val="28"/>
              </w:rPr>
              <w:t> </w:t>
            </w:r>
            <w:r w:rsidRPr="00834CB9">
              <w:rPr>
                <w:rFonts w:ascii="Arabic Typesetting" w:hAnsi="Arabic Typesetting" w:cs="Arabic Typesetting"/>
                <w:b/>
                <w:bCs/>
                <w:color w:val="000000"/>
                <w:sz w:val="28"/>
                <w:szCs w:val="28"/>
              </w:rPr>
              <w:t xml:space="preserve">925 </w:t>
            </w:r>
          </w:p>
        </w:tc>
        <w:tc>
          <w:tcPr>
            <w:tcW w:w="971" w:type="pct"/>
            <w:shd w:val="clear" w:color="auto" w:fill="C6D9F1"/>
            <w:vAlign w:val="center"/>
          </w:tcPr>
          <w:p w14:paraId="15DA199A" w14:textId="77777777" w:rsidR="00BD3831" w:rsidRPr="00834CB9" w:rsidRDefault="00BD3831" w:rsidP="000B74B5">
            <w:pPr>
              <w:keepNext/>
              <w:keepLines/>
              <w:jc w:val="center"/>
              <w:rPr>
                <w:rFonts w:ascii="Arabic Typesetting" w:hAnsi="Arabic Typesetting" w:cs="Arabic Typesetting"/>
                <w:b/>
                <w:bCs/>
                <w:color w:val="000000"/>
                <w:sz w:val="28"/>
                <w:szCs w:val="28"/>
              </w:rPr>
            </w:pPr>
            <w:r w:rsidRPr="00834CB9">
              <w:rPr>
                <w:rFonts w:ascii="Arabic Typesetting" w:hAnsi="Arabic Typesetting" w:cs="Arabic Typesetting"/>
                <w:b/>
                <w:bCs/>
                <w:color w:val="000000"/>
                <w:sz w:val="28"/>
                <w:szCs w:val="28"/>
              </w:rPr>
              <w:t>38</w:t>
            </w:r>
            <w:r>
              <w:rPr>
                <w:rFonts w:ascii="Arabic Typesetting" w:hAnsi="Arabic Typesetting" w:cs="Arabic Typesetting"/>
                <w:b/>
                <w:bCs/>
                <w:color w:val="000000"/>
                <w:sz w:val="28"/>
                <w:szCs w:val="28"/>
              </w:rPr>
              <w:t> </w:t>
            </w:r>
            <w:r w:rsidRPr="00834CB9">
              <w:rPr>
                <w:rFonts w:ascii="Arabic Typesetting" w:hAnsi="Arabic Typesetting" w:cs="Arabic Typesetting"/>
                <w:b/>
                <w:bCs/>
                <w:color w:val="000000"/>
                <w:sz w:val="28"/>
                <w:szCs w:val="28"/>
              </w:rPr>
              <w:t xml:space="preserve">661 </w:t>
            </w:r>
          </w:p>
        </w:tc>
        <w:tc>
          <w:tcPr>
            <w:tcW w:w="970" w:type="pct"/>
            <w:shd w:val="clear" w:color="auto" w:fill="C6D9F1"/>
            <w:vAlign w:val="center"/>
          </w:tcPr>
          <w:p w14:paraId="6B14F18C" w14:textId="77777777" w:rsidR="00BD3831" w:rsidRPr="00834CB9" w:rsidRDefault="00BD3831" w:rsidP="000B74B5">
            <w:pPr>
              <w:keepNext/>
              <w:keepLines/>
              <w:jc w:val="center"/>
              <w:rPr>
                <w:rFonts w:ascii="Arabic Typesetting" w:hAnsi="Arabic Typesetting" w:cs="Arabic Typesetting"/>
                <w:b/>
                <w:bCs/>
                <w:color w:val="000000"/>
                <w:sz w:val="28"/>
                <w:szCs w:val="28"/>
              </w:rPr>
            </w:pPr>
            <w:r w:rsidRPr="00834CB9">
              <w:rPr>
                <w:rFonts w:ascii="Arabic Typesetting" w:hAnsi="Arabic Typesetting" w:cs="Arabic Typesetting"/>
                <w:b/>
                <w:bCs/>
                <w:color w:val="000000"/>
                <w:sz w:val="28"/>
                <w:szCs w:val="28"/>
              </w:rPr>
              <w:t>17</w:t>
            </w:r>
            <w:r>
              <w:rPr>
                <w:rFonts w:ascii="Arabic Typesetting" w:hAnsi="Arabic Typesetting" w:cs="Arabic Typesetting"/>
                <w:b/>
                <w:bCs/>
                <w:color w:val="000000"/>
                <w:sz w:val="28"/>
                <w:szCs w:val="28"/>
              </w:rPr>
              <w:t> </w:t>
            </w:r>
            <w:r w:rsidRPr="00834CB9">
              <w:rPr>
                <w:rFonts w:ascii="Arabic Typesetting" w:hAnsi="Arabic Typesetting" w:cs="Arabic Typesetting"/>
                <w:b/>
                <w:bCs/>
                <w:color w:val="000000"/>
                <w:sz w:val="28"/>
                <w:szCs w:val="28"/>
              </w:rPr>
              <w:t xml:space="preserve">609 </w:t>
            </w:r>
          </w:p>
        </w:tc>
        <w:tc>
          <w:tcPr>
            <w:tcW w:w="970" w:type="pct"/>
            <w:shd w:val="clear" w:color="auto" w:fill="C6D9F1"/>
            <w:vAlign w:val="center"/>
          </w:tcPr>
          <w:p w14:paraId="1D838870" w14:textId="77777777" w:rsidR="00BD3831" w:rsidRPr="00834CB9" w:rsidRDefault="00BD3831" w:rsidP="000B74B5">
            <w:pPr>
              <w:keepNext/>
              <w:keepLines/>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%46</w:t>
            </w:r>
          </w:p>
        </w:tc>
      </w:tr>
      <w:tr w:rsidR="00BD3831" w:rsidRPr="00211D55" w14:paraId="4F99089B" w14:textId="77777777" w:rsidTr="00DF6715">
        <w:trPr>
          <w:trHeight w:val="540"/>
        </w:trPr>
        <w:tc>
          <w:tcPr>
            <w:tcW w:w="5000" w:type="pct"/>
            <w:gridSpan w:val="5"/>
            <w:shd w:val="clear" w:color="auto" w:fill="auto"/>
            <w:noWrap/>
            <w:vAlign w:val="center"/>
          </w:tcPr>
          <w:p w14:paraId="18DE42E4" w14:textId="77777777" w:rsidR="00BD3831" w:rsidRDefault="00BD3831" w:rsidP="000B74B5">
            <w:pPr>
              <w:keepNext/>
              <w:keepLines/>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21B8F4EE" w14:textId="77777777" w:rsidR="00BD3831" w:rsidRPr="00D41845" w:rsidRDefault="00BD3831" w:rsidP="000B74B5">
            <w:pPr>
              <w:keepNext/>
              <w:keepLines/>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w:t>
            </w:r>
            <w:r>
              <w:rPr>
                <w:rFonts w:ascii="Arabic Typesetting" w:hAnsi="Arabic Typesetting" w:cs="Arabic Typesetting"/>
                <w:i/>
                <w:iCs/>
                <w:color w:val="000000"/>
                <w:sz w:val="28"/>
                <w:szCs w:val="28"/>
                <w:rtl/>
                <w:lang w:bidi="ar-EG"/>
              </w:rPr>
              <w:t>:</w:t>
            </w:r>
            <w:r>
              <w:rPr>
                <w:rFonts w:ascii="Arabic Typesetting" w:hAnsi="Arabic Typesetting" w:cs="Arabic Typesetting" w:hint="cs"/>
                <w:i/>
                <w:iCs/>
                <w:color w:val="000000"/>
                <w:sz w:val="28"/>
                <w:szCs w:val="28"/>
                <w:rtl/>
                <w:lang w:bidi="ar-EG"/>
              </w:rPr>
              <w:t xml:space="preserve"> </w:t>
            </w:r>
            <w:r w:rsidRPr="00D41845">
              <w:rPr>
                <w:rFonts w:ascii="Arabic Typesetting" w:hAnsi="Arabic Typesetting" w:cs="Arabic Typesetting"/>
                <w:i/>
                <w:iCs/>
                <w:color w:val="000000"/>
                <w:sz w:val="28"/>
                <w:szCs w:val="28"/>
                <w:rtl/>
                <w:lang w:bidi="ar-EG"/>
              </w:rPr>
              <w:t>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09556C17" w14:textId="77777777" w:rsidR="000B74B5" w:rsidRDefault="000B74B5" w:rsidP="000B74B5">
      <w:pPr>
        <w:bidi/>
        <w:spacing w:before="120" w:after="240" w:line="360" w:lineRule="exact"/>
        <w:rPr>
          <w:rFonts w:ascii="Arabic Typesetting" w:hAnsi="Arabic Typesetting" w:cs="Arabic Typesetting"/>
          <w:sz w:val="34"/>
          <w:szCs w:val="34"/>
          <w:lang w:bidi="ar-EG"/>
        </w:rPr>
      </w:pPr>
    </w:p>
    <w:p w14:paraId="3CEBFA5A" w14:textId="77777777" w:rsidR="00BD3831" w:rsidRPr="00706F20" w:rsidRDefault="00BD3831" w:rsidP="000B74B5">
      <w:pPr>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43F01295" w14:textId="77777777" w:rsidR="00BD3831" w:rsidRPr="00834CB9" w:rsidRDefault="00BD3831" w:rsidP="000B74B5">
      <w:pPr>
        <w:numPr>
          <w:ilvl w:val="1"/>
          <w:numId w:val="95"/>
        </w:numPr>
        <w:bidi/>
        <w:spacing w:after="240" w:line="360" w:lineRule="exact"/>
        <w:ind w:left="0" w:hanging="1"/>
        <w:rPr>
          <w:rFonts w:ascii="Arabic Typesetting" w:hAnsi="Arabic Typesetting" w:cs="Arabic Typesetting"/>
          <w:sz w:val="34"/>
          <w:szCs w:val="34"/>
          <w:rtl/>
        </w:rPr>
      </w:pPr>
      <w:r w:rsidRPr="00834CB9">
        <w:rPr>
          <w:rFonts w:ascii="Arabic Typesetting" w:hAnsi="Arabic Typesetting" w:cs="Arabic Typesetting"/>
          <w:sz w:val="34"/>
          <w:szCs w:val="34"/>
          <w:rtl/>
        </w:rPr>
        <w:t>تُعزى زيادة ميزانية 2016/17 بعد التحويلات (خلاف موارد الموظفين) أساساً إلى "1" تحويل خدمات النقل والبريد الداخلي إلى البرنامج (وكانت ميزانيتها محددة في خدمات الدعم العمة (البرنامج 24)) في إطار النتيجة المرتقبة ه1.9 (خدمات دعم موجهة للزبون بفعالية وكفاءة وجودة) والنتيجة المرتقبة ه4.9 (منظمة ذات مسؤولية بيئية واجتماعية)؛ "2" وإعادة توزيع موارد الموظفين على خلاف موارد الموظفين للاستعانة بموظفين مؤقتين في خدمات المؤتمرات والطباعة</w:t>
      </w:r>
      <w:r w:rsidRPr="00834CB9">
        <w:rPr>
          <w:rFonts w:ascii="Arabic Typesetting" w:hAnsi="Arabic Typesetting" w:cs="Arabic Typesetting"/>
          <w:sz w:val="34"/>
          <w:szCs w:val="34"/>
        </w:rPr>
        <w:t>.</w:t>
      </w:r>
    </w:p>
    <w:p w14:paraId="6C05A755" w14:textId="77777777" w:rsidR="00BD3831" w:rsidRDefault="00BD3831" w:rsidP="000B74B5">
      <w:pPr>
        <w:numPr>
          <w:ilvl w:val="1"/>
          <w:numId w:val="95"/>
        </w:numPr>
        <w:bidi/>
        <w:spacing w:after="240" w:line="360" w:lineRule="exact"/>
        <w:ind w:left="0" w:hanging="1"/>
        <w:rPr>
          <w:rFonts w:ascii="Arabic Typesetting" w:hAnsi="Arabic Typesetting" w:cs="Arabic Typesetting"/>
          <w:sz w:val="34"/>
          <w:szCs w:val="34"/>
        </w:rPr>
      </w:pPr>
      <w:r w:rsidRPr="00834CB9">
        <w:rPr>
          <w:rFonts w:ascii="Arabic Typesetting" w:hAnsi="Arabic Typesetting" w:cs="Arabic Typesetting"/>
          <w:sz w:val="34"/>
          <w:szCs w:val="34"/>
          <w:rtl/>
        </w:rPr>
        <w:t>ويُعزى الانخفاض الصافي في ميزانية 2016/17 بعد التحويلات (موارد الموظفين) إلى "1" إعادة تصنيف مناصب وتحويل خدمات النقل والبريد الداخلي؛ "2" وتحويل موارد من البرنامج لدعم احتياجات أخرى في قطاع التنظيم والإدارة (البرامج</w:t>
      </w:r>
      <w:r>
        <w:rPr>
          <w:rFonts w:ascii="Arabic Typesetting" w:hAnsi="Arabic Typesetting" w:cs="Arabic Typesetting" w:hint="cs"/>
          <w:sz w:val="34"/>
          <w:szCs w:val="34"/>
          <w:rtl/>
        </w:rPr>
        <w:t> </w:t>
      </w:r>
      <w:r w:rsidRPr="00834CB9">
        <w:rPr>
          <w:rFonts w:ascii="Arabic Typesetting" w:hAnsi="Arabic Typesetting" w:cs="Arabic Typesetting"/>
          <w:sz w:val="34"/>
          <w:szCs w:val="34"/>
          <w:rtl/>
        </w:rPr>
        <w:t>22</w:t>
      </w:r>
      <w:r>
        <w:rPr>
          <w:rFonts w:ascii="Arabic Typesetting" w:hAnsi="Arabic Typesetting" w:cs="Arabic Typesetting" w:hint="cs"/>
          <w:sz w:val="34"/>
          <w:szCs w:val="34"/>
          <w:rtl/>
        </w:rPr>
        <w:t> </w:t>
      </w:r>
      <w:r w:rsidRPr="00834CB9">
        <w:rPr>
          <w:rFonts w:ascii="Arabic Typesetting" w:hAnsi="Arabic Typesetting" w:cs="Arabic Typesetting"/>
          <w:sz w:val="34"/>
          <w:szCs w:val="34"/>
          <w:rtl/>
        </w:rPr>
        <w:t>و24</w:t>
      </w:r>
      <w:r>
        <w:rPr>
          <w:rFonts w:ascii="Arabic Typesetting" w:hAnsi="Arabic Typesetting" w:cs="Arabic Typesetting" w:hint="cs"/>
          <w:sz w:val="34"/>
          <w:szCs w:val="34"/>
          <w:rtl/>
        </w:rPr>
        <w:t> </w:t>
      </w:r>
      <w:r w:rsidRPr="00834CB9">
        <w:rPr>
          <w:rFonts w:ascii="Arabic Typesetting" w:hAnsi="Arabic Typesetting" w:cs="Arabic Typesetting"/>
          <w:sz w:val="34"/>
          <w:szCs w:val="34"/>
          <w:rtl/>
        </w:rPr>
        <w:t>و28).</w:t>
      </w:r>
    </w:p>
    <w:p w14:paraId="2FF1537A" w14:textId="77777777" w:rsidR="00BD3831" w:rsidRPr="00706F20" w:rsidRDefault="00BD3831" w:rsidP="000B74B5">
      <w:pPr>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581C42DD" w14:textId="77777777" w:rsidR="00BD3831" w:rsidRPr="00834CB9" w:rsidRDefault="00BD3831" w:rsidP="000B74B5">
      <w:pPr>
        <w:numPr>
          <w:ilvl w:val="1"/>
          <w:numId w:val="95"/>
        </w:numPr>
        <w:bidi/>
        <w:spacing w:after="240" w:line="360" w:lineRule="exact"/>
        <w:ind w:left="0" w:hanging="1"/>
        <w:rPr>
          <w:rFonts w:ascii="Arabic Typesetting" w:hAnsi="Arabic Typesetting" w:cs="Arabic Typesetting"/>
          <w:sz w:val="34"/>
          <w:szCs w:val="34"/>
        </w:rPr>
      </w:pPr>
      <w:r w:rsidRPr="00834CB9">
        <w:rPr>
          <w:rFonts w:ascii="Arabic Typesetting" w:hAnsi="Arabic Typesetting" w:cs="Arabic Typesetting"/>
          <w:sz w:val="34"/>
          <w:szCs w:val="34"/>
          <w:rtl/>
        </w:rPr>
        <w:t>كانت نسبة استخدام موارد الموظفين أقل من المتوقع ويعزى ذلك أساساً إلى الوظائف الشاغرة في شعبة اللغات و</w:t>
      </w:r>
      <w:r>
        <w:rPr>
          <w:rFonts w:ascii="Arabic Typesetting" w:hAnsi="Arabic Typesetting" w:cs="Arabic Typesetting"/>
          <w:sz w:val="34"/>
          <w:szCs w:val="34"/>
          <w:rtl/>
        </w:rPr>
        <w:t>شعبة المؤتمرات والخدمات العامة.</w:t>
      </w:r>
      <w:r w:rsidRPr="00834CB9">
        <w:rPr>
          <w:rFonts w:ascii="Arabic Typesetting" w:hAnsi="Arabic Typesetting" w:cs="Arabic Typesetting"/>
          <w:sz w:val="34"/>
          <w:szCs w:val="34"/>
          <w:rtl/>
        </w:rPr>
        <w:t xml:space="preserve"> ويُعزى النقص في استخدام خلاف موارد الموظفين أساساً إلى الإنفاق الأقل من المتوقع على الأنشطة المتعلقة بالترجمة وتكنولوجيا المعلومات وإدماج أدوات الترجمة بمساعدة الحاسوب.</w:t>
      </w:r>
    </w:p>
    <w:p w14:paraId="6A029E0F" w14:textId="4BA3605E" w:rsidR="00BD3831" w:rsidRDefault="00BD3831" w:rsidP="000B74B5">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16B45F39" w14:textId="77777777" w:rsidR="00BD3831" w:rsidRPr="003B3821" w:rsidRDefault="00BD3831" w:rsidP="00DA7DF7">
      <w:pPr>
        <w:pStyle w:val="Heading3"/>
        <w:ind w:left="1984" w:hanging="1984"/>
        <w:rPr>
          <w:lang w:val="en-US"/>
        </w:rPr>
      </w:pPr>
      <w:bookmarkStart w:id="58" w:name="_Toc482782781"/>
      <w:r w:rsidRPr="00254297">
        <w:rPr>
          <w:rtl/>
        </w:rPr>
        <w:lastRenderedPageBreak/>
        <w:t>البرنامج</w:t>
      </w:r>
      <w:r>
        <w:rPr>
          <w:rFonts w:hint="cs"/>
          <w:rtl/>
        </w:rPr>
        <w:t xml:space="preserve"> 28</w:t>
      </w:r>
      <w:r w:rsidRPr="00254297">
        <w:rPr>
          <w:rFonts w:hint="cs"/>
          <w:rtl/>
        </w:rPr>
        <w:t>:</w:t>
      </w:r>
      <w:r w:rsidRPr="00254297">
        <w:tab/>
      </w:r>
      <w:r w:rsidRPr="003B3821">
        <w:rPr>
          <w:rtl/>
        </w:rPr>
        <w:t>تأمين المعلومات والسلامة والأمن</w:t>
      </w:r>
      <w:bookmarkEnd w:id="58"/>
    </w:p>
    <w:p w14:paraId="20B5BDE3" w14:textId="77777777" w:rsidR="00BD3831" w:rsidRDefault="00BD3831" w:rsidP="0031289D">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3B3821">
        <w:rPr>
          <w:rFonts w:ascii="Arabic Typesetting" w:hAnsi="Arabic Typesetting" w:cs="Arabic Typesetting"/>
          <w:b/>
          <w:bCs/>
          <w:sz w:val="36"/>
          <w:szCs w:val="36"/>
          <w:rtl/>
          <w:lang w:val="fr-CH"/>
        </w:rPr>
        <w:t>السيد أمبي سوندارام</w:t>
      </w:r>
    </w:p>
    <w:p w14:paraId="77427F6F" w14:textId="77777777" w:rsidR="00BD3831" w:rsidRDefault="00BD3831" w:rsidP="0031289D">
      <w:pPr>
        <w:bidi/>
        <w:spacing w:after="120"/>
        <w:jc w:val="center"/>
        <w:rPr>
          <w:rFonts w:ascii="Arabic Typesetting" w:hAnsi="Arabic Typesetting" w:cs="Arabic Typesetting"/>
          <w:noProof/>
          <w:sz w:val="36"/>
          <w:szCs w:val="36"/>
        </w:rPr>
      </w:pPr>
      <w:r>
        <w:rPr>
          <w:rFonts w:ascii="Arabic Typesetting" w:hAnsi="Arabic Typesetting" w:cs="Arabic Typesetting"/>
          <w:noProof/>
          <w:sz w:val="36"/>
          <w:szCs w:val="36"/>
        </w:rPr>
        <w:drawing>
          <wp:inline distT="0" distB="0" distL="0" distR="0" wp14:anchorId="3D29782D" wp14:editId="7AF42BD6">
            <wp:extent cx="3592185" cy="21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92185" cy="2160000"/>
                    </a:xfrm>
                    <a:prstGeom prst="rect">
                      <a:avLst/>
                    </a:prstGeom>
                    <a:noFill/>
                  </pic:spPr>
                </pic:pic>
              </a:graphicData>
            </a:graphic>
          </wp:inline>
        </w:drawing>
      </w:r>
    </w:p>
    <w:tbl>
      <w:tblPr>
        <w:bidiVisual/>
        <w:tblW w:w="5000" w:type="pct"/>
        <w:tblCellMar>
          <w:left w:w="115" w:type="dxa"/>
          <w:right w:w="115" w:type="dxa"/>
        </w:tblCellMar>
        <w:tblLook w:val="0000" w:firstRow="0" w:lastRow="0" w:firstColumn="0" w:lastColumn="0" w:noHBand="0" w:noVBand="0"/>
      </w:tblPr>
      <w:tblGrid>
        <w:gridCol w:w="2036"/>
        <w:gridCol w:w="2610"/>
        <w:gridCol w:w="1370"/>
        <w:gridCol w:w="2510"/>
        <w:gridCol w:w="945"/>
      </w:tblGrid>
      <w:tr w:rsidR="00BD3831" w:rsidRPr="003B3821" w14:paraId="5545F0AC" w14:textId="77777777" w:rsidTr="00DF6715">
        <w:trPr>
          <w:cantSplit/>
          <w:trHeight w:val="565"/>
        </w:trPr>
        <w:tc>
          <w:tcPr>
            <w:tcW w:w="5000" w:type="pct"/>
            <w:gridSpan w:val="5"/>
            <w:shd w:val="clear" w:color="auto" w:fill="C6D9F1"/>
            <w:tcMar>
              <w:left w:w="58" w:type="dxa"/>
              <w:right w:w="58" w:type="dxa"/>
            </w:tcMar>
            <w:vAlign w:val="center"/>
          </w:tcPr>
          <w:p w14:paraId="4D1FBA96" w14:textId="77777777" w:rsidR="00BD3831" w:rsidRPr="003B3821"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t>‏النتيجة المرتقبة:</w:t>
            </w:r>
            <w:r w:rsidRPr="003B3821">
              <w:rPr>
                <w:rFonts w:ascii="Arabic Typesetting" w:eastAsia="Arabic Typesetting" w:hAnsi="Arabic Typesetting" w:cs="Arabic Typesetting"/>
                <w:sz w:val="28"/>
                <w:szCs w:val="28"/>
                <w:lang w:eastAsia="ar-EG" w:bidi="ar-EG"/>
              </w:rPr>
              <w:tab/>
            </w:r>
            <w:r w:rsidRPr="003B3821">
              <w:rPr>
                <w:rFonts w:ascii="Arabic Typesetting" w:eastAsia="Arabic Typesetting" w:hAnsi="Arabic Typesetting" w:cs="Arabic Typesetting"/>
                <w:color w:val="000000"/>
                <w:sz w:val="28"/>
                <w:szCs w:val="28"/>
                <w:rtl/>
                <w:lang w:eastAsia="ar-EG" w:bidi="ar-EG"/>
              </w:rPr>
              <w:t>ه1.9 خدمات دعم موجهة للزبون بفعالية وكفاءة وجودة لفائدة الزبائن الداخليين وأصحاب المصلحة الخارجيين</w:t>
            </w:r>
          </w:p>
        </w:tc>
      </w:tr>
      <w:tr w:rsidR="00BD3831" w:rsidRPr="003B3821" w14:paraId="0D707C11" w14:textId="77777777" w:rsidTr="00DF6715">
        <w:trPr>
          <w:cantSplit/>
        </w:trPr>
        <w:tc>
          <w:tcPr>
            <w:tcW w:w="1075" w:type="pct"/>
            <w:shd w:val="clear" w:color="auto" w:fill="auto"/>
            <w:tcMar>
              <w:left w:w="58" w:type="dxa"/>
              <w:right w:w="58" w:type="dxa"/>
            </w:tcMar>
            <w:vAlign w:val="center"/>
          </w:tcPr>
          <w:p w14:paraId="772ECAB3" w14:textId="77777777" w:rsidR="00BD3831" w:rsidRPr="003B382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t>مؤشرات الأداء</w:t>
            </w:r>
          </w:p>
        </w:tc>
        <w:tc>
          <w:tcPr>
            <w:tcW w:w="1378" w:type="pct"/>
            <w:shd w:val="clear" w:color="auto" w:fill="auto"/>
            <w:tcMar>
              <w:left w:w="58" w:type="dxa"/>
              <w:right w:w="58" w:type="dxa"/>
            </w:tcMar>
            <w:vAlign w:val="center"/>
          </w:tcPr>
          <w:p w14:paraId="59233B86" w14:textId="77777777" w:rsidR="00BD3831" w:rsidRPr="003B382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t>أسس المقارنة</w:t>
            </w:r>
          </w:p>
        </w:tc>
        <w:tc>
          <w:tcPr>
            <w:tcW w:w="723" w:type="pct"/>
            <w:shd w:val="clear" w:color="auto" w:fill="auto"/>
            <w:tcMar>
              <w:top w:w="110" w:type="dxa"/>
              <w:left w:w="58" w:type="dxa"/>
              <w:right w:w="58" w:type="dxa"/>
            </w:tcMar>
            <w:vAlign w:val="center"/>
          </w:tcPr>
          <w:p w14:paraId="37AF5F51" w14:textId="77777777" w:rsidR="00BD3831" w:rsidRPr="003B382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t>الأهداف</w:t>
            </w:r>
          </w:p>
        </w:tc>
        <w:tc>
          <w:tcPr>
            <w:tcW w:w="1325" w:type="pct"/>
            <w:shd w:val="clear" w:color="auto" w:fill="FFFFFF"/>
            <w:tcMar>
              <w:top w:w="110" w:type="dxa"/>
              <w:left w:w="58" w:type="dxa"/>
              <w:right w:w="58" w:type="dxa"/>
            </w:tcMar>
            <w:vAlign w:val="center"/>
          </w:tcPr>
          <w:p w14:paraId="5DE885E2" w14:textId="77777777" w:rsidR="00BD3831" w:rsidRPr="003B382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t>بيانات الأداء</w:t>
            </w:r>
          </w:p>
        </w:tc>
        <w:tc>
          <w:tcPr>
            <w:tcW w:w="499" w:type="pct"/>
            <w:shd w:val="clear" w:color="auto" w:fill="auto"/>
            <w:tcMar>
              <w:top w:w="110" w:type="dxa"/>
              <w:left w:w="58" w:type="dxa"/>
              <w:right w:w="58" w:type="dxa"/>
            </w:tcMar>
            <w:vAlign w:val="center"/>
          </w:tcPr>
          <w:p w14:paraId="3C6518AD"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t>السير</w:t>
            </w:r>
          </w:p>
        </w:tc>
      </w:tr>
      <w:tr w:rsidR="00BD3831" w:rsidRPr="003B3821" w14:paraId="20582208" w14:textId="77777777" w:rsidTr="00DF6715">
        <w:trPr>
          <w:cantSplit/>
          <w:trHeight w:val="432"/>
        </w:trPr>
        <w:tc>
          <w:tcPr>
            <w:tcW w:w="1075" w:type="pct"/>
            <w:shd w:val="clear" w:color="auto" w:fill="auto"/>
            <w:tcMar>
              <w:left w:w="58" w:type="dxa"/>
              <w:right w:w="58" w:type="dxa"/>
            </w:tcMar>
          </w:tcPr>
          <w:p w14:paraId="2F545C23"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‏إدارة تأمين المعلومات مُحدَّدة ومنفَّذة</w:t>
            </w:r>
          </w:p>
        </w:tc>
        <w:tc>
          <w:tcPr>
            <w:tcW w:w="1378" w:type="pct"/>
            <w:shd w:val="clear" w:color="auto" w:fill="auto"/>
            <w:tcMar>
              <w:left w:w="58" w:type="dxa"/>
              <w:right w:w="58" w:type="dxa"/>
            </w:tcMar>
          </w:tcPr>
          <w:p w14:paraId="525F7AE3"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إدارة محدودة لتأمين المعلومات قدرة محدودة لتنفيذ استراتيجية تأمين المعلومات</w:t>
            </w:r>
          </w:p>
        </w:tc>
        <w:tc>
          <w:tcPr>
            <w:tcW w:w="723" w:type="pct"/>
            <w:shd w:val="clear" w:color="auto" w:fill="auto"/>
            <w:tcMar>
              <w:top w:w="110" w:type="dxa"/>
              <w:left w:w="58" w:type="dxa"/>
              <w:right w:w="58" w:type="dxa"/>
            </w:tcMar>
          </w:tcPr>
          <w:p w14:paraId="33FA3DF1"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إصدار إطار متفق عليه بشأن إدارة تأمين المعلومات</w:t>
            </w:r>
          </w:p>
        </w:tc>
        <w:tc>
          <w:tcPr>
            <w:tcW w:w="1325" w:type="pct"/>
            <w:shd w:val="clear" w:color="auto" w:fill="FFFFFF"/>
            <w:tcMar>
              <w:top w:w="110" w:type="dxa"/>
              <w:left w:w="58" w:type="dxa"/>
              <w:right w:w="58" w:type="dxa"/>
            </w:tcMar>
          </w:tcPr>
          <w:p w14:paraId="22271A79"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التعميم الإداري (</w:t>
            </w:r>
            <w:r w:rsidRPr="003B3821">
              <w:rPr>
                <w:rFonts w:ascii="Arabic Typesetting" w:eastAsia="Arabic Typesetting" w:hAnsi="Arabic Typesetting" w:cs="Arabic Typesetting"/>
                <w:color w:val="000000"/>
                <w:sz w:val="28"/>
                <w:szCs w:val="28"/>
                <w:lang w:eastAsia="ar-EG" w:bidi="ar-EG"/>
              </w:rPr>
              <w:t>OI/04/2016</w:t>
            </w:r>
            <w:r w:rsidRPr="003B3821">
              <w:rPr>
                <w:rFonts w:ascii="Arabic Typesetting" w:eastAsia="Arabic Typesetting" w:hAnsi="Arabic Typesetting" w:cs="Arabic Typesetting"/>
                <w:color w:val="000000"/>
                <w:sz w:val="28"/>
                <w:szCs w:val="28"/>
                <w:rtl/>
                <w:lang w:eastAsia="ar-EG" w:bidi="ar-EG"/>
              </w:rPr>
              <w:t>) يبيِّن تفاصيل إطار إدارة تأمين المعلومات والسل</w:t>
            </w:r>
            <w:r>
              <w:rPr>
                <w:rFonts w:ascii="Arabic Typesetting" w:eastAsia="Arabic Typesetting" w:hAnsi="Arabic Typesetting" w:cs="Arabic Typesetting"/>
                <w:color w:val="000000"/>
                <w:sz w:val="28"/>
                <w:szCs w:val="28"/>
                <w:rtl/>
                <w:lang w:eastAsia="ar-EG" w:bidi="ar-EG"/>
              </w:rPr>
              <w:t>امة الجديد أُصدر في يناير 2016</w:t>
            </w:r>
            <w:r>
              <w:rPr>
                <w:rFonts w:ascii="Arabic Typesetting" w:eastAsia="Arabic Typesetting" w:hAnsi="Arabic Typesetting" w:cs="Arabic Typesetting" w:hint="cs"/>
                <w:color w:val="000000"/>
                <w:sz w:val="28"/>
                <w:szCs w:val="28"/>
                <w:rtl/>
                <w:lang w:eastAsia="ar-EG" w:bidi="ar-EG"/>
              </w:rPr>
              <w:t>. و</w:t>
            </w:r>
            <w:r w:rsidRPr="003B3821">
              <w:rPr>
                <w:rFonts w:ascii="Arabic Typesetting" w:eastAsia="Arabic Typesetting" w:hAnsi="Arabic Typesetting" w:cs="Arabic Typesetting"/>
                <w:color w:val="000000"/>
                <w:sz w:val="28"/>
                <w:szCs w:val="28"/>
                <w:rtl/>
                <w:lang w:eastAsia="ar-EG" w:bidi="ar-EG"/>
              </w:rPr>
              <w:t>خلال عام 2016، اجتمع المجلس المعني بإطار إدارة تأمين المعلومات والسلامة مرة واحدة، واجتمعت اللجنة التوجيهية المعنية بإطار إدارة تأمين المعلومات والسلامة ثلاث مرات واجتمعت جهات الاتصال المعنية بأمن الأعمال مرتين لمناقشة مختلف مشاريع إطار إدارة تأمين المعلومات والسلامة والموافقة عليها وتوجيهها.</w:t>
            </w:r>
          </w:p>
        </w:tc>
        <w:tc>
          <w:tcPr>
            <w:tcW w:w="499" w:type="pct"/>
            <w:shd w:val="clear" w:color="auto" w:fill="auto"/>
            <w:tcMar>
              <w:top w:w="110" w:type="dxa"/>
              <w:left w:w="58" w:type="dxa"/>
              <w:right w:w="58" w:type="dxa"/>
            </w:tcMar>
          </w:tcPr>
          <w:p w14:paraId="512F5837"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b/>
                <w:color w:val="000000"/>
                <w:sz w:val="28"/>
                <w:szCs w:val="28"/>
                <w:lang w:eastAsia="ar-EG" w:bidi="ar-EG"/>
              </w:rPr>
            </w:pPr>
            <w:r>
              <w:rPr>
                <w:rFonts w:ascii="Arabic Typesetting" w:eastAsia="Arabic Typesetting" w:hAnsi="Arabic Typesetting" w:cs="Arabic Typesetting"/>
                <w:b/>
                <w:bCs/>
                <w:color w:val="00B050"/>
                <w:sz w:val="28"/>
                <w:szCs w:val="28"/>
                <w:rtl/>
                <w:lang w:eastAsia="ar-EG" w:bidi="ar-EG"/>
              </w:rPr>
              <w:t>ثابت</w:t>
            </w:r>
          </w:p>
        </w:tc>
      </w:tr>
      <w:tr w:rsidR="00BD3831" w:rsidRPr="003B3821" w14:paraId="78EC6BF1" w14:textId="77777777" w:rsidTr="00DF6715">
        <w:trPr>
          <w:cantSplit/>
          <w:trHeight w:val="2011"/>
        </w:trPr>
        <w:tc>
          <w:tcPr>
            <w:tcW w:w="1075" w:type="pct"/>
            <w:shd w:val="clear" w:color="auto" w:fill="auto"/>
            <w:tcMar>
              <w:left w:w="58" w:type="dxa"/>
              <w:right w:w="58" w:type="dxa"/>
            </w:tcMar>
          </w:tcPr>
          <w:p w14:paraId="701E3D88"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عدد الموظفين الذين هم على علم بمسؤولياتهم فيما يخص أمن المعلومات وسياسات الأمن وأفضل الممارسات</w:t>
            </w:r>
          </w:p>
        </w:tc>
        <w:tc>
          <w:tcPr>
            <w:tcW w:w="1378" w:type="pct"/>
            <w:shd w:val="clear" w:color="auto" w:fill="auto"/>
            <w:tcMar>
              <w:left w:w="58" w:type="dxa"/>
              <w:right w:w="58" w:type="dxa"/>
            </w:tcMar>
          </w:tcPr>
          <w:p w14:paraId="532B8630" w14:textId="77777777" w:rsidR="00BD3831" w:rsidRPr="003B382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3B3821">
              <w:rPr>
                <w:rFonts w:ascii="Arabic Typesetting" w:eastAsia="Arabic Typesetting" w:hAnsi="Arabic Typesetting" w:cs="Arabic Typesetting"/>
                <w:i/>
                <w:iCs/>
                <w:color w:val="002060"/>
                <w:sz w:val="28"/>
                <w:szCs w:val="28"/>
                <w:rtl/>
                <w:lang w:eastAsia="ar-EG" w:bidi="ar-EG"/>
              </w:rPr>
              <w:t xml:space="preserve">أساس المقارنة المُحدَّث في نهاية </w:t>
            </w:r>
            <w:r>
              <w:rPr>
                <w:rFonts w:ascii="Arabic Typesetting" w:eastAsia="Arabic Typesetting" w:hAnsi="Arabic Typesetting" w:cs="Arabic Typesetting"/>
                <w:i/>
                <w:iCs/>
                <w:color w:val="002060"/>
                <w:sz w:val="28"/>
                <w:szCs w:val="28"/>
                <w:rtl/>
                <w:lang w:eastAsia="ar-EG" w:bidi="ar-EG"/>
              </w:rPr>
              <w:t>2015:</w:t>
            </w:r>
            <w:r>
              <w:rPr>
                <w:rFonts w:ascii="Arabic Typesetting" w:eastAsia="Arabic Typesetting" w:hAnsi="Arabic Typesetting" w:cs="Arabic Typesetting"/>
                <w:i/>
                <w:iCs/>
                <w:color w:val="002060"/>
                <w:sz w:val="28"/>
                <w:szCs w:val="28"/>
                <w:rtl/>
                <w:lang w:eastAsia="ar-EG" w:bidi="ar-EG"/>
              </w:rPr>
              <w:br/>
            </w:r>
            <w:r w:rsidRPr="003B3821">
              <w:rPr>
                <w:rFonts w:ascii="Arabic Typesetting" w:eastAsia="Arabic Typesetting" w:hAnsi="Arabic Typesetting" w:cs="Arabic Typesetting"/>
                <w:color w:val="002060"/>
                <w:sz w:val="28"/>
                <w:szCs w:val="28"/>
                <w:rtl/>
                <w:lang w:eastAsia="ar-EG" w:bidi="ar-EG"/>
              </w:rPr>
              <w:t>7% في 2015</w:t>
            </w:r>
            <w:r>
              <w:rPr>
                <w:rFonts w:ascii="Arabic Typesetting" w:eastAsia="Arabic Typesetting" w:hAnsi="Arabic Typesetting" w:cs="Arabic Typesetting"/>
                <w:color w:val="002060"/>
                <w:sz w:val="28"/>
                <w:szCs w:val="28"/>
                <w:rtl/>
                <w:lang w:eastAsia="ar-EG" w:bidi="ar-EG"/>
              </w:rPr>
              <w:br/>
              <w:t>17% في 2014</w:t>
            </w:r>
          </w:p>
          <w:p w14:paraId="47C7BBF9"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i/>
                <w:iCs/>
                <w:sz w:val="28"/>
                <w:szCs w:val="28"/>
                <w:rtl/>
                <w:lang w:eastAsia="ar-EG" w:bidi="ar-EG"/>
              </w:rPr>
              <w:t>‏أساس المقارنة الأصلي:</w:t>
            </w:r>
            <w:r w:rsidRPr="003B3821">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3B3821">
              <w:rPr>
                <w:rFonts w:ascii="Arabic Typesetting" w:eastAsia="Arabic Typesetting" w:hAnsi="Arabic Typesetting" w:cs="Arabic Typesetting"/>
                <w:color w:val="000000"/>
                <w:sz w:val="28"/>
                <w:szCs w:val="28"/>
                <w:rtl/>
                <w:lang w:eastAsia="ar-EG" w:bidi="ar-EG"/>
              </w:rPr>
              <w:t>12% من الموظفين وقعوا ضحية حملات الانتحال (متوسط مستند إلى حملتي محاكاة أجريتا في عام 2014 والنصف الأول من عام 2015)</w:t>
            </w:r>
          </w:p>
        </w:tc>
        <w:tc>
          <w:tcPr>
            <w:tcW w:w="723" w:type="pct"/>
            <w:shd w:val="clear" w:color="auto" w:fill="auto"/>
            <w:tcMar>
              <w:top w:w="110" w:type="dxa"/>
              <w:left w:w="58" w:type="dxa"/>
              <w:right w:w="58" w:type="dxa"/>
            </w:tcMar>
          </w:tcPr>
          <w:p w14:paraId="548325CF" w14:textId="5ED4ADF3" w:rsidR="00BD3831" w:rsidRPr="003B3821" w:rsidRDefault="00BD3831" w:rsidP="00D3741B">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 xml:space="preserve">أقل من 5% من الموظفين وقعوا ضحية حملات </w:t>
            </w:r>
            <w:r w:rsidR="00D3741B">
              <w:rPr>
                <w:rFonts w:ascii="Arabic Typesetting" w:eastAsia="Arabic Typesetting" w:hAnsi="Arabic Typesetting" w:cs="Arabic Typesetting" w:hint="cs"/>
                <w:color w:val="000000"/>
                <w:sz w:val="28"/>
                <w:szCs w:val="28"/>
                <w:rtl/>
                <w:lang w:eastAsia="ar-EG" w:bidi="ar-EG"/>
              </w:rPr>
              <w:t>التصيّد</w:t>
            </w:r>
          </w:p>
        </w:tc>
        <w:tc>
          <w:tcPr>
            <w:tcW w:w="1325" w:type="pct"/>
            <w:shd w:val="clear" w:color="auto" w:fill="FFFFFF"/>
            <w:tcMar>
              <w:top w:w="110" w:type="dxa"/>
              <w:left w:w="58" w:type="dxa"/>
              <w:right w:w="58" w:type="dxa"/>
            </w:tcMar>
          </w:tcPr>
          <w:p w14:paraId="464E54AF" w14:textId="6F0F87E4" w:rsidR="00BD3831" w:rsidRPr="003B3821" w:rsidRDefault="00BD3831" w:rsidP="00D3741B">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13% من الم</w:t>
            </w:r>
            <w:r>
              <w:rPr>
                <w:rFonts w:ascii="Arabic Typesetting" w:eastAsia="Arabic Typesetting" w:hAnsi="Arabic Typesetting" w:cs="Arabic Typesetting"/>
                <w:color w:val="000000"/>
                <w:sz w:val="28"/>
                <w:szCs w:val="28"/>
                <w:rtl/>
                <w:lang w:eastAsia="ar-EG" w:bidi="ar-EG"/>
              </w:rPr>
              <w:t xml:space="preserve">وظفين وقعوا ضحية حملات </w:t>
            </w:r>
            <w:r w:rsidR="00D3741B">
              <w:rPr>
                <w:rFonts w:ascii="Arabic Typesetting" w:eastAsia="Arabic Typesetting" w:hAnsi="Arabic Typesetting" w:cs="Arabic Typesetting" w:hint="cs"/>
                <w:color w:val="000000"/>
                <w:sz w:val="28"/>
                <w:szCs w:val="28"/>
                <w:rtl/>
                <w:lang w:eastAsia="ar-EG" w:bidi="ar-EG"/>
              </w:rPr>
              <w:t>التصيّد</w:t>
            </w:r>
            <w:r w:rsidR="00D3741B">
              <w:rPr>
                <w:rStyle w:val="FootnoteReference"/>
                <w:rFonts w:eastAsia="Arabic Typesetting"/>
                <w:color w:val="000000"/>
                <w:rtl/>
                <w:lang w:eastAsia="ar-EG" w:bidi="ar-EG"/>
              </w:rPr>
              <w:footnoteReference w:id="102"/>
            </w:r>
          </w:p>
        </w:tc>
        <w:tc>
          <w:tcPr>
            <w:tcW w:w="499" w:type="pct"/>
            <w:shd w:val="clear" w:color="auto" w:fill="auto"/>
            <w:tcMar>
              <w:top w:w="110" w:type="dxa"/>
              <w:left w:w="58" w:type="dxa"/>
              <w:right w:w="58" w:type="dxa"/>
            </w:tcMar>
          </w:tcPr>
          <w:p w14:paraId="46139949"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b/>
                <w:bCs/>
                <w:color w:val="FF0000"/>
                <w:sz w:val="28"/>
                <w:szCs w:val="28"/>
                <w:rtl/>
                <w:lang w:eastAsia="ar-EG" w:bidi="ar-EG"/>
              </w:rPr>
              <w:t>غير ثابت</w:t>
            </w:r>
          </w:p>
        </w:tc>
      </w:tr>
      <w:tr w:rsidR="00BD3831" w:rsidRPr="003B3821" w14:paraId="19ABD5E4" w14:textId="77777777" w:rsidTr="00DF6715">
        <w:trPr>
          <w:cantSplit/>
          <w:trHeight w:val="562"/>
        </w:trPr>
        <w:tc>
          <w:tcPr>
            <w:tcW w:w="5000" w:type="pct"/>
            <w:gridSpan w:val="5"/>
            <w:shd w:val="clear" w:color="auto" w:fill="C6D9F1"/>
            <w:tcMar>
              <w:left w:w="58" w:type="dxa"/>
              <w:right w:w="58" w:type="dxa"/>
            </w:tcMar>
            <w:vAlign w:val="center"/>
          </w:tcPr>
          <w:p w14:paraId="20F6085F" w14:textId="77777777" w:rsidR="00BD3831" w:rsidRPr="003B3821" w:rsidRDefault="00BD3831" w:rsidP="0031289D">
            <w:pPr>
              <w:keepNext/>
              <w:bidi/>
              <w:spacing w:before="120" w:after="120" w:line="280" w:lineRule="exact"/>
              <w:ind w:left="1167" w:hanging="1167"/>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lastRenderedPageBreak/>
              <w:t>‏النتيجة المرتقبة:</w:t>
            </w:r>
            <w:r w:rsidRPr="003B3821">
              <w:rPr>
                <w:rFonts w:ascii="Arabic Typesetting" w:eastAsia="Arabic Typesetting" w:hAnsi="Arabic Typesetting" w:cs="Arabic Typesetting"/>
                <w:sz w:val="28"/>
                <w:szCs w:val="28"/>
                <w:lang w:eastAsia="ar-EG" w:bidi="ar-EG"/>
              </w:rPr>
              <w:tab/>
            </w:r>
            <w:r w:rsidRPr="003B3821">
              <w:rPr>
                <w:rFonts w:ascii="Arabic Typesetting" w:eastAsia="Arabic Typesetting" w:hAnsi="Arabic Typesetting" w:cs="Arabic Typesetting"/>
                <w:sz w:val="28"/>
                <w:szCs w:val="28"/>
                <w:rtl/>
                <w:lang w:eastAsia="ar-EG" w:bidi="ar-EG"/>
              </w:rPr>
              <w:t>ه4.9 منظمة ذات مسؤولية بيئية واجتماعية تكفل السلامة والأمن للموظفين في الويبو والمندوبين والزائرين والممتلكات المادية والمعلومات</w:t>
            </w:r>
          </w:p>
        </w:tc>
      </w:tr>
      <w:tr w:rsidR="00BD3831" w:rsidRPr="003B3821" w14:paraId="2C90FBD5" w14:textId="77777777" w:rsidTr="00DF6715">
        <w:trPr>
          <w:cantSplit/>
        </w:trPr>
        <w:tc>
          <w:tcPr>
            <w:tcW w:w="1075" w:type="pct"/>
            <w:shd w:val="clear" w:color="auto" w:fill="auto"/>
            <w:tcMar>
              <w:left w:w="58" w:type="dxa"/>
              <w:right w:w="58" w:type="dxa"/>
            </w:tcMar>
            <w:vAlign w:val="center"/>
          </w:tcPr>
          <w:p w14:paraId="70395A33" w14:textId="77777777" w:rsidR="00BD3831" w:rsidRPr="003B3821"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t>مؤشرات الأداء</w:t>
            </w:r>
          </w:p>
        </w:tc>
        <w:tc>
          <w:tcPr>
            <w:tcW w:w="1378" w:type="pct"/>
            <w:shd w:val="clear" w:color="auto" w:fill="auto"/>
            <w:tcMar>
              <w:left w:w="58" w:type="dxa"/>
              <w:right w:w="58" w:type="dxa"/>
            </w:tcMar>
            <w:vAlign w:val="center"/>
          </w:tcPr>
          <w:p w14:paraId="63465694" w14:textId="77777777" w:rsidR="00BD3831" w:rsidRPr="003B382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t>أسس المقارنة</w:t>
            </w:r>
          </w:p>
        </w:tc>
        <w:tc>
          <w:tcPr>
            <w:tcW w:w="723" w:type="pct"/>
            <w:shd w:val="clear" w:color="auto" w:fill="auto"/>
            <w:tcMar>
              <w:top w:w="110" w:type="dxa"/>
              <w:left w:w="58" w:type="dxa"/>
              <w:right w:w="58" w:type="dxa"/>
            </w:tcMar>
            <w:vAlign w:val="center"/>
          </w:tcPr>
          <w:p w14:paraId="1C7455F1" w14:textId="77777777" w:rsidR="00BD3831" w:rsidRPr="003B382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t>الأهداف</w:t>
            </w:r>
          </w:p>
        </w:tc>
        <w:tc>
          <w:tcPr>
            <w:tcW w:w="1325" w:type="pct"/>
            <w:shd w:val="clear" w:color="auto" w:fill="FFFFFF"/>
            <w:tcMar>
              <w:top w:w="110" w:type="dxa"/>
              <w:left w:w="58" w:type="dxa"/>
              <w:right w:w="58" w:type="dxa"/>
            </w:tcMar>
            <w:vAlign w:val="center"/>
          </w:tcPr>
          <w:p w14:paraId="3611C0CA" w14:textId="77777777" w:rsidR="00BD3831" w:rsidRPr="003B3821"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t>بيانات الأداء</w:t>
            </w:r>
          </w:p>
        </w:tc>
        <w:tc>
          <w:tcPr>
            <w:tcW w:w="499" w:type="pct"/>
            <w:shd w:val="clear" w:color="auto" w:fill="auto"/>
            <w:tcMar>
              <w:top w:w="110" w:type="dxa"/>
              <w:left w:w="58" w:type="dxa"/>
              <w:right w:w="58" w:type="dxa"/>
            </w:tcMar>
            <w:vAlign w:val="center"/>
          </w:tcPr>
          <w:p w14:paraId="621DCEBC"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b/>
                <w:bCs/>
                <w:sz w:val="28"/>
                <w:szCs w:val="28"/>
                <w:lang w:eastAsia="ar-EG" w:bidi="ar-EG"/>
              </w:rPr>
            </w:pPr>
            <w:r w:rsidRPr="003B3821">
              <w:rPr>
                <w:rFonts w:ascii="Arabic Typesetting" w:eastAsia="Arabic Typesetting" w:hAnsi="Arabic Typesetting" w:cs="Arabic Typesetting"/>
                <w:b/>
                <w:bCs/>
                <w:sz w:val="28"/>
                <w:szCs w:val="28"/>
                <w:rtl/>
                <w:lang w:eastAsia="ar-EG" w:bidi="ar-EG"/>
              </w:rPr>
              <w:t>السير</w:t>
            </w:r>
          </w:p>
        </w:tc>
      </w:tr>
      <w:tr w:rsidR="00BD3831" w:rsidRPr="003B3821" w14:paraId="6A78D461" w14:textId="77777777" w:rsidTr="00DF6715">
        <w:trPr>
          <w:cantSplit/>
          <w:trHeight w:val="795"/>
        </w:trPr>
        <w:tc>
          <w:tcPr>
            <w:tcW w:w="1075" w:type="pct"/>
            <w:shd w:val="clear" w:color="auto" w:fill="auto"/>
            <w:tcMar>
              <w:left w:w="58" w:type="dxa"/>
              <w:right w:w="58" w:type="dxa"/>
            </w:tcMar>
          </w:tcPr>
          <w:p w14:paraId="5119E5AE"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النسبة المئوية لمخاطر المعلومات، بما في ذلك مخاطر الغير، التي تم الإبلاغ عنها وإدارتها بشكل مت</w:t>
            </w:r>
            <w:r>
              <w:rPr>
                <w:rFonts w:ascii="Arabic Typesetting" w:eastAsia="Arabic Typesetting" w:hAnsi="Arabic Typesetting" w:cs="Arabic Typesetting"/>
                <w:color w:val="000000"/>
                <w:sz w:val="28"/>
                <w:szCs w:val="28"/>
                <w:rtl/>
                <w:lang w:eastAsia="ar-EG" w:bidi="ar-EG"/>
              </w:rPr>
              <w:t>سق ضمن حدود تحمل الويبو للمخاطر</w:t>
            </w:r>
          </w:p>
        </w:tc>
        <w:tc>
          <w:tcPr>
            <w:tcW w:w="1378" w:type="pct"/>
            <w:shd w:val="clear" w:color="auto" w:fill="auto"/>
            <w:tcMar>
              <w:left w:w="58" w:type="dxa"/>
              <w:right w:w="58" w:type="dxa"/>
            </w:tcMar>
          </w:tcPr>
          <w:p w14:paraId="698D331A"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rtl/>
                <w:lang w:eastAsia="ar-EG" w:bidi="ar-EG"/>
              </w:rPr>
            </w:pPr>
            <w:r w:rsidRPr="003B3821">
              <w:rPr>
                <w:rFonts w:ascii="Arabic Typesetting" w:eastAsia="Arabic Typesetting" w:hAnsi="Arabic Typesetting" w:cs="Arabic Typesetting"/>
                <w:color w:val="000000"/>
                <w:sz w:val="28"/>
                <w:szCs w:val="28"/>
                <w:rtl/>
                <w:lang w:eastAsia="ar-EG" w:bidi="ar-EG"/>
              </w:rPr>
              <w:t>مخاطر المعل</w:t>
            </w:r>
            <w:r>
              <w:rPr>
                <w:rFonts w:ascii="Arabic Typesetting" w:eastAsia="Arabic Typesetting" w:hAnsi="Arabic Typesetting" w:cs="Arabic Typesetting"/>
                <w:color w:val="000000"/>
                <w:sz w:val="28"/>
                <w:szCs w:val="28"/>
                <w:rtl/>
                <w:lang w:eastAsia="ar-EG" w:bidi="ar-EG"/>
              </w:rPr>
              <w:t>ومات المبلغ عنها على أساس مخصص</w:t>
            </w:r>
          </w:p>
          <w:p w14:paraId="68EE660D"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مخاطر معلومات الغير التي لم تحدد ولم تُدر بشكل متسق</w:t>
            </w:r>
          </w:p>
        </w:tc>
        <w:tc>
          <w:tcPr>
            <w:tcW w:w="723" w:type="pct"/>
            <w:shd w:val="clear" w:color="auto" w:fill="auto"/>
            <w:tcMar>
              <w:top w:w="110" w:type="dxa"/>
              <w:left w:w="58" w:type="dxa"/>
              <w:right w:w="58" w:type="dxa"/>
            </w:tcMar>
          </w:tcPr>
          <w:p w14:paraId="1CCDF95C"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 xml:space="preserve">إبلاغ الهيئات الداخلية المعنية بإدارة تأمين المعلومات بشكل دوري عن مخاطر المعلومات المؤسسية </w:t>
            </w:r>
          </w:p>
          <w:p w14:paraId="24E402D5"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الإدارة الفعالة لمخاطر معلومات الغير (زيادة بأكثر من 10%)</w:t>
            </w:r>
          </w:p>
        </w:tc>
        <w:tc>
          <w:tcPr>
            <w:tcW w:w="1325" w:type="pct"/>
            <w:shd w:val="clear" w:color="auto" w:fill="FFFFFF"/>
            <w:tcMar>
              <w:top w:w="110" w:type="dxa"/>
              <w:left w:w="58" w:type="dxa"/>
              <w:right w:w="58" w:type="dxa"/>
            </w:tcMar>
          </w:tcPr>
          <w:p w14:paraId="5A4D78FF"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كل مخاطر المعلومات (</w:t>
            </w:r>
            <w:r>
              <w:rPr>
                <w:rFonts w:ascii="Arabic Typesetting" w:eastAsia="Arabic Typesetting" w:hAnsi="Arabic Typesetting" w:cs="Arabic Typesetting"/>
                <w:color w:val="000000"/>
                <w:sz w:val="28"/>
                <w:szCs w:val="28"/>
                <w:lang w:eastAsia="ar-EG" w:bidi="ar-EG"/>
              </w:rPr>
              <w:t>%100</w:t>
            </w:r>
            <w:r w:rsidRPr="003B3821">
              <w:rPr>
                <w:rFonts w:ascii="Arabic Typesetting" w:eastAsia="Arabic Typesetting" w:hAnsi="Arabic Typesetting" w:cs="Arabic Typesetting"/>
                <w:color w:val="000000"/>
                <w:sz w:val="28"/>
                <w:szCs w:val="28"/>
                <w:rtl/>
                <w:lang w:eastAsia="ar-EG" w:bidi="ar-EG"/>
              </w:rPr>
              <w:t>) بما في ذلك مخاطر معلومات الغير، أُبلغ عنها للجنة التوجيهية المعنية بإطار إدارة تأمين المعلومات والسلامة التي اجتمعت لمدة ثلاث سنوات في عام 2016</w:t>
            </w:r>
          </w:p>
          <w:p w14:paraId="6927C3BF"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خضع 3 مزودي خدمات خارجيين لتقييم بموجب متطلبات سياسة الأمن لدى مزود الخدمات في عام 2016؛ ولم تحدد مخاطر معلومات مرتفعة</w:t>
            </w:r>
          </w:p>
        </w:tc>
        <w:tc>
          <w:tcPr>
            <w:tcW w:w="499" w:type="pct"/>
            <w:shd w:val="clear" w:color="auto" w:fill="auto"/>
            <w:tcMar>
              <w:top w:w="110" w:type="dxa"/>
              <w:left w:w="58" w:type="dxa"/>
              <w:right w:w="58" w:type="dxa"/>
            </w:tcMar>
          </w:tcPr>
          <w:p w14:paraId="358D72EB" w14:textId="77777777" w:rsidR="00BD3831" w:rsidRDefault="00BD3831" w:rsidP="0031289D">
            <w:pPr>
              <w:keepNext/>
              <w:keepLines/>
              <w:bidi/>
              <w:spacing w:after="120" w:line="280" w:lineRule="exact"/>
              <w:jc w:val="center"/>
              <w:rPr>
                <w:rFonts w:ascii="Arabic Typesetting" w:eastAsia="Arabic Typesetting" w:hAnsi="Arabic Typesetting" w:cs="Arabic Typesetting"/>
                <w:b/>
                <w:bCs/>
                <w:color w:val="00B050"/>
                <w:sz w:val="28"/>
                <w:szCs w:val="28"/>
                <w:rtl/>
                <w:lang w:eastAsia="ar-EG" w:bidi="ar-EG"/>
              </w:rPr>
            </w:pPr>
            <w:r w:rsidRPr="003B3821">
              <w:rPr>
                <w:rFonts w:ascii="Arabic Typesetting" w:eastAsia="Arabic Typesetting" w:hAnsi="Arabic Typesetting" w:cs="Arabic Typesetting"/>
                <w:b/>
                <w:bCs/>
                <w:color w:val="00B050"/>
                <w:sz w:val="28"/>
                <w:szCs w:val="28"/>
                <w:rtl/>
                <w:lang w:eastAsia="ar-EG" w:bidi="ar-EG"/>
              </w:rPr>
              <w:t>ثابت</w:t>
            </w:r>
          </w:p>
          <w:p w14:paraId="0E7E76DE" w14:textId="77777777" w:rsidR="00BD3831"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rtl/>
                <w:lang w:eastAsia="ar-EG" w:bidi="ar-EG"/>
              </w:rPr>
            </w:pPr>
          </w:p>
          <w:p w14:paraId="24A2DFCB"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p>
          <w:p w14:paraId="17702A9E" w14:textId="77777777" w:rsidR="00BD3831" w:rsidRPr="003B3821" w:rsidRDefault="00BD3831" w:rsidP="0031289D">
            <w:pPr>
              <w:keepNext/>
              <w:keepLines/>
              <w:bidi/>
              <w:spacing w:line="280" w:lineRule="exact"/>
              <w:jc w:val="center"/>
              <w:rPr>
                <w:rFonts w:ascii="Arabic Typesetting" w:eastAsia="Arabic Typesetting" w:hAnsi="Arabic Typesetting" w:cs="Arabic Typesetting"/>
                <w:b/>
                <w:color w:val="00B050"/>
                <w:sz w:val="28"/>
                <w:szCs w:val="28"/>
                <w:lang w:eastAsia="ar-EG" w:bidi="ar-EG"/>
              </w:rPr>
            </w:pPr>
          </w:p>
          <w:p w14:paraId="451FA7E5"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3B3821">
              <w:rPr>
                <w:rFonts w:ascii="Arabic Typesetting" w:eastAsia="Arabic Typesetting" w:hAnsi="Arabic Typesetting" w:cs="Arabic Typesetting"/>
                <w:b/>
                <w:bCs/>
                <w:color w:val="00B050"/>
                <w:sz w:val="28"/>
                <w:szCs w:val="28"/>
                <w:rtl/>
                <w:lang w:eastAsia="ar-EG" w:bidi="ar-EG"/>
              </w:rPr>
              <w:t>ثابت</w:t>
            </w:r>
          </w:p>
        </w:tc>
      </w:tr>
      <w:tr w:rsidR="00BD3831" w:rsidRPr="003B3821" w14:paraId="415863ED" w14:textId="77777777" w:rsidTr="00DF6715">
        <w:trPr>
          <w:cantSplit/>
          <w:trHeight w:val="301"/>
        </w:trPr>
        <w:tc>
          <w:tcPr>
            <w:tcW w:w="1075" w:type="pct"/>
            <w:shd w:val="clear" w:color="auto" w:fill="auto"/>
            <w:tcMar>
              <w:left w:w="58" w:type="dxa"/>
              <w:right w:w="58" w:type="dxa"/>
            </w:tcMar>
          </w:tcPr>
          <w:p w14:paraId="3878856D"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تحديد ومعالجة الثغرات بشكل استباقي وفي الوقت المناسب ض</w:t>
            </w:r>
            <w:r>
              <w:rPr>
                <w:rFonts w:ascii="Arabic Typesetting" w:eastAsia="Arabic Typesetting" w:hAnsi="Arabic Typesetting" w:cs="Arabic Typesetting"/>
                <w:color w:val="000000"/>
                <w:sz w:val="28"/>
                <w:szCs w:val="28"/>
                <w:rtl/>
                <w:lang w:eastAsia="ar-EG" w:bidi="ar-EG"/>
              </w:rPr>
              <w:t>من مستويات الخدمة المتفق</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عليها</w:t>
            </w:r>
          </w:p>
        </w:tc>
        <w:tc>
          <w:tcPr>
            <w:tcW w:w="1378" w:type="pct"/>
            <w:shd w:val="clear" w:color="auto" w:fill="auto"/>
            <w:tcMar>
              <w:left w:w="58" w:type="dxa"/>
              <w:right w:w="58" w:type="dxa"/>
            </w:tcMar>
          </w:tcPr>
          <w:p w14:paraId="02A36791"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 xml:space="preserve">ثغرات محدودة </w:t>
            </w:r>
            <w:r>
              <w:rPr>
                <w:rFonts w:ascii="Arabic Typesetting" w:eastAsia="Arabic Typesetting" w:hAnsi="Arabic Typesetting" w:cs="Arabic Typesetting"/>
                <w:color w:val="000000"/>
                <w:sz w:val="28"/>
                <w:szCs w:val="28"/>
                <w:rtl/>
                <w:lang w:eastAsia="ar-EG" w:bidi="ar-EG"/>
              </w:rPr>
              <w:t>في أمن المعلومات محددة ومعالجة</w:t>
            </w:r>
          </w:p>
        </w:tc>
        <w:tc>
          <w:tcPr>
            <w:tcW w:w="723" w:type="pct"/>
            <w:shd w:val="clear" w:color="auto" w:fill="auto"/>
            <w:tcMar>
              <w:top w:w="110" w:type="dxa"/>
              <w:left w:w="58" w:type="dxa"/>
              <w:right w:w="58" w:type="dxa"/>
            </w:tcMar>
          </w:tcPr>
          <w:p w14:paraId="51C8C54B" w14:textId="77777777" w:rsidR="00BD3831" w:rsidRPr="003B382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ثغرات في أمن المعلومات محددة ومعالجة فيما يخص 90% من أصول المعلومات الحساسة</w:t>
            </w:r>
          </w:p>
        </w:tc>
        <w:tc>
          <w:tcPr>
            <w:tcW w:w="1325" w:type="pct"/>
            <w:shd w:val="clear" w:color="auto" w:fill="FFFFFF"/>
            <w:tcMar>
              <w:top w:w="110" w:type="dxa"/>
              <w:left w:w="58" w:type="dxa"/>
              <w:right w:w="58" w:type="dxa"/>
            </w:tcMar>
          </w:tcPr>
          <w:p w14:paraId="1E45C11E" w14:textId="77777777" w:rsidR="00BD3831" w:rsidRPr="003B382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في عام 2016، أجري اختبارا خرق خارجيان و3 اختب</w:t>
            </w:r>
            <w:r>
              <w:rPr>
                <w:rFonts w:ascii="Arabic Typesetting" w:eastAsia="Arabic Typesetting" w:hAnsi="Arabic Typesetting" w:cs="Arabic Typesetting"/>
                <w:color w:val="000000"/>
                <w:sz w:val="28"/>
                <w:szCs w:val="28"/>
                <w:rtl/>
                <w:lang w:eastAsia="ar-EG" w:bidi="ar-EG"/>
              </w:rPr>
              <w:t>ارات داخلية على مستوى المنظمة.</w:t>
            </w:r>
            <w:r>
              <w:rPr>
                <w:rFonts w:ascii="Arabic Typesetting" w:eastAsia="Arabic Typesetting" w:hAnsi="Arabic Typesetting" w:cs="Arabic Typesetting" w:hint="cs"/>
                <w:color w:val="000000"/>
                <w:sz w:val="28"/>
                <w:szCs w:val="28"/>
                <w:rtl/>
                <w:lang w:eastAsia="ar-EG" w:bidi="ar-EG"/>
              </w:rPr>
              <w:t xml:space="preserve"> و</w:t>
            </w:r>
            <w:r w:rsidRPr="003B3821">
              <w:rPr>
                <w:rFonts w:ascii="Arabic Typesetting" w:eastAsia="Arabic Typesetting" w:hAnsi="Arabic Typesetting" w:cs="Arabic Typesetting"/>
                <w:color w:val="000000"/>
                <w:sz w:val="28"/>
                <w:szCs w:val="28"/>
                <w:rtl/>
                <w:lang w:eastAsia="ar-EG" w:bidi="ar-EG"/>
              </w:rPr>
              <w:t>حددت الاختبا</w:t>
            </w:r>
            <w:r>
              <w:rPr>
                <w:rFonts w:ascii="Arabic Typesetting" w:eastAsia="Arabic Typesetting" w:hAnsi="Arabic Typesetting" w:cs="Arabic Typesetting"/>
                <w:color w:val="000000"/>
                <w:sz w:val="28"/>
                <w:szCs w:val="28"/>
                <w:rtl/>
                <w:lang w:eastAsia="ar-EG" w:bidi="ar-EG"/>
              </w:rPr>
              <w:t>رات الخارجية 5 ثغرات حرجة وعال</w:t>
            </w:r>
            <w:r>
              <w:rPr>
                <w:rFonts w:ascii="Arabic Typesetting" w:eastAsia="Arabic Typesetting" w:hAnsi="Arabic Typesetting" w:cs="Arabic Typesetting" w:hint="cs"/>
                <w:color w:val="000000"/>
                <w:sz w:val="28"/>
                <w:szCs w:val="28"/>
                <w:rtl/>
                <w:lang w:eastAsia="ar-EG" w:bidi="ar-EG"/>
              </w:rPr>
              <w:t>ية المخاطر</w:t>
            </w:r>
            <w:r w:rsidRPr="003B3821">
              <w:rPr>
                <w:rFonts w:ascii="Arabic Typesetting" w:eastAsia="Arabic Typesetting" w:hAnsi="Arabic Typesetting" w:cs="Arabic Typesetting"/>
                <w:color w:val="000000"/>
                <w:sz w:val="28"/>
                <w:szCs w:val="28"/>
                <w:rtl/>
                <w:lang w:eastAsia="ar-EG" w:bidi="ar-EG"/>
              </w:rPr>
              <w:t xml:space="preserve"> عولجت كلها (</w:t>
            </w:r>
            <w:r>
              <w:rPr>
                <w:rFonts w:ascii="Arabic Typesetting" w:eastAsia="Arabic Typesetting" w:hAnsi="Arabic Typesetting" w:cs="Arabic Typesetting" w:hint="cs"/>
                <w:color w:val="000000"/>
                <w:sz w:val="28"/>
                <w:szCs w:val="28"/>
                <w:rtl/>
                <w:lang w:eastAsia="ar-EG" w:bidi="ar-EG"/>
              </w:rPr>
              <w:t>%100</w:t>
            </w:r>
            <w:r w:rsidRPr="003B3821">
              <w:rPr>
                <w:rFonts w:ascii="Arabic Typesetting" w:eastAsia="Arabic Typesetting" w:hAnsi="Arabic Typesetting" w:cs="Arabic Typesetting"/>
                <w:color w:val="000000"/>
                <w:sz w:val="28"/>
                <w:szCs w:val="28"/>
                <w:rtl/>
                <w:lang w:eastAsia="ar-EG" w:bidi="ar-EG"/>
              </w:rPr>
              <w:t>)؛ وحددت الاختبارات الداخلية 14 ثغرة حرجة وعالية</w:t>
            </w:r>
            <w:r>
              <w:rPr>
                <w:rFonts w:ascii="Arabic Typesetting" w:eastAsia="Arabic Typesetting" w:hAnsi="Arabic Typesetting" w:cs="Arabic Typesetting" w:hint="cs"/>
                <w:color w:val="000000"/>
                <w:sz w:val="28"/>
                <w:szCs w:val="28"/>
                <w:rtl/>
                <w:lang w:eastAsia="ar-EG" w:bidi="ar-EG"/>
              </w:rPr>
              <w:t xml:space="preserve"> المخاطر</w:t>
            </w:r>
            <w:r w:rsidRPr="003B3821">
              <w:rPr>
                <w:rFonts w:ascii="Arabic Typesetting" w:eastAsia="Arabic Typesetting" w:hAnsi="Arabic Typesetting" w:cs="Arabic Typesetting"/>
                <w:color w:val="000000"/>
                <w:sz w:val="28"/>
                <w:szCs w:val="28"/>
                <w:rtl/>
                <w:lang w:eastAsia="ar-EG" w:bidi="ar-EG"/>
              </w:rPr>
              <w:t xml:space="preserve"> في الفصل الأول وعولج 97% منها بحلول نهاية عام 2016، و4</w:t>
            </w:r>
            <w:r>
              <w:rPr>
                <w:rFonts w:ascii="Arabic Typesetting" w:eastAsia="Arabic Typesetting" w:hAnsi="Arabic Typesetting" w:cs="Arabic Typesetting" w:hint="cs"/>
                <w:color w:val="000000"/>
                <w:sz w:val="28"/>
                <w:szCs w:val="28"/>
                <w:rtl/>
                <w:lang w:eastAsia="ar-EG" w:bidi="ar-EG"/>
              </w:rPr>
              <w:t> </w:t>
            </w:r>
            <w:r w:rsidRPr="003B3821">
              <w:rPr>
                <w:rFonts w:ascii="Arabic Typesetting" w:eastAsia="Arabic Typesetting" w:hAnsi="Arabic Typesetting" w:cs="Arabic Typesetting"/>
                <w:color w:val="000000"/>
                <w:sz w:val="28"/>
                <w:szCs w:val="28"/>
                <w:rtl/>
                <w:lang w:eastAsia="ar-EG" w:bidi="ar-EG"/>
              </w:rPr>
              <w:t xml:space="preserve">ثغرات حرجة وعالية </w:t>
            </w:r>
            <w:r>
              <w:rPr>
                <w:rFonts w:ascii="Arabic Typesetting" w:eastAsia="Arabic Typesetting" w:hAnsi="Arabic Typesetting" w:cs="Arabic Typesetting" w:hint="cs"/>
                <w:color w:val="000000"/>
                <w:sz w:val="28"/>
                <w:szCs w:val="28"/>
                <w:rtl/>
                <w:lang w:eastAsia="ar-EG" w:bidi="ar-EG"/>
              </w:rPr>
              <w:t xml:space="preserve">المخاطر </w:t>
            </w:r>
            <w:r w:rsidRPr="003B3821">
              <w:rPr>
                <w:rFonts w:ascii="Arabic Typesetting" w:eastAsia="Arabic Typesetting" w:hAnsi="Arabic Typesetting" w:cs="Arabic Typesetting"/>
                <w:color w:val="000000"/>
                <w:sz w:val="28"/>
                <w:szCs w:val="28"/>
                <w:rtl/>
                <w:lang w:eastAsia="ar-EG" w:bidi="ar-EG"/>
              </w:rPr>
              <w:t>في الفصل الرابع وعولج 50% منها وبات 50% قيد المعالجة بحلول نهاية عام</w:t>
            </w:r>
            <w:r>
              <w:rPr>
                <w:rFonts w:ascii="Arabic Typesetting" w:eastAsia="Arabic Typesetting" w:hAnsi="Arabic Typesetting" w:cs="Arabic Typesetting" w:hint="cs"/>
                <w:color w:val="000000"/>
                <w:sz w:val="28"/>
                <w:szCs w:val="28"/>
                <w:rtl/>
                <w:lang w:eastAsia="ar-EG" w:bidi="ar-EG"/>
              </w:rPr>
              <w:t> </w:t>
            </w:r>
            <w:r w:rsidRPr="003B3821">
              <w:rPr>
                <w:rFonts w:ascii="Arabic Typesetting" w:eastAsia="Arabic Typesetting" w:hAnsi="Arabic Typesetting" w:cs="Arabic Typesetting"/>
                <w:color w:val="000000"/>
                <w:sz w:val="28"/>
                <w:szCs w:val="28"/>
                <w:rtl/>
                <w:lang w:eastAsia="ar-EG" w:bidi="ar-EG"/>
              </w:rPr>
              <w:t>2016.</w:t>
            </w:r>
          </w:p>
        </w:tc>
        <w:tc>
          <w:tcPr>
            <w:tcW w:w="499" w:type="pct"/>
            <w:shd w:val="clear" w:color="auto" w:fill="auto"/>
            <w:tcMar>
              <w:top w:w="110" w:type="dxa"/>
              <w:left w:w="58" w:type="dxa"/>
              <w:right w:w="58" w:type="dxa"/>
            </w:tcMar>
          </w:tcPr>
          <w:p w14:paraId="750E5178"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b/>
                <w:bCs/>
                <w:color w:val="00B050"/>
                <w:sz w:val="28"/>
                <w:szCs w:val="28"/>
                <w:rtl/>
                <w:lang w:eastAsia="ar-EG" w:bidi="ar-EG"/>
              </w:rPr>
              <w:t>ثابت</w:t>
            </w:r>
            <w:r w:rsidRPr="003B3821">
              <w:rPr>
                <w:rFonts w:ascii="Arabic Typesetting" w:eastAsia="Arabic Typesetting" w:hAnsi="Arabic Typesetting" w:cs="Arabic Typesetting"/>
                <w:color w:val="000000"/>
                <w:sz w:val="28"/>
                <w:szCs w:val="28"/>
                <w:rtl/>
                <w:lang w:eastAsia="ar-EG" w:bidi="ar-EG"/>
              </w:rPr>
              <w:t xml:space="preserve"> </w:t>
            </w:r>
          </w:p>
        </w:tc>
      </w:tr>
      <w:tr w:rsidR="00BD3831" w:rsidRPr="003B3821" w14:paraId="04F81831" w14:textId="77777777" w:rsidTr="00DF6715">
        <w:trPr>
          <w:cantSplit/>
          <w:trHeight w:val="1213"/>
        </w:trPr>
        <w:tc>
          <w:tcPr>
            <w:tcW w:w="1075" w:type="pct"/>
            <w:shd w:val="clear" w:color="auto" w:fill="auto"/>
            <w:tcMar>
              <w:left w:w="58" w:type="dxa"/>
              <w:right w:w="58" w:type="dxa"/>
            </w:tcMar>
          </w:tcPr>
          <w:p w14:paraId="76FE5456"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زيادة الامتثال لسياسات ومعايير تأمين المعلومات</w:t>
            </w:r>
          </w:p>
        </w:tc>
        <w:tc>
          <w:tcPr>
            <w:tcW w:w="1378" w:type="pct"/>
            <w:shd w:val="clear" w:color="auto" w:fill="auto"/>
            <w:tcMar>
              <w:left w:w="58" w:type="dxa"/>
              <w:right w:w="58" w:type="dxa"/>
            </w:tcMar>
          </w:tcPr>
          <w:p w14:paraId="15F64DE6"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rtl/>
                <w:lang w:eastAsia="ar-EG" w:bidi="ar-EG"/>
              </w:rPr>
              <w:br/>
            </w:r>
            <w:r w:rsidRPr="003B3821">
              <w:rPr>
                <w:rFonts w:ascii="Arabic Typesetting" w:eastAsia="Arabic Typesetting" w:hAnsi="Arabic Typesetting" w:cs="Arabic Typesetting"/>
                <w:color w:val="002060"/>
                <w:sz w:val="28"/>
                <w:szCs w:val="28"/>
                <w:rtl/>
                <w:lang w:eastAsia="ar-EG" w:bidi="ar-EG"/>
              </w:rPr>
              <w:t xml:space="preserve">انتقل نظام البراءات إلى المعيار </w:t>
            </w:r>
            <w:r w:rsidRPr="003B3821">
              <w:rPr>
                <w:rFonts w:ascii="Arabic Typesetting" w:eastAsia="Arabic Typesetting" w:hAnsi="Arabic Typesetting" w:cs="Arabic Typesetting"/>
                <w:color w:val="002060"/>
                <w:sz w:val="28"/>
                <w:szCs w:val="28"/>
                <w:lang w:eastAsia="ar-EG" w:bidi="ar-EG"/>
              </w:rPr>
              <w:t>ISO 27001:2013</w:t>
            </w:r>
            <w:r>
              <w:rPr>
                <w:rFonts w:ascii="Arabic Typesetting" w:eastAsia="Arabic Typesetting" w:hAnsi="Arabic Typesetting" w:cs="Arabic Typesetting"/>
                <w:color w:val="002060"/>
                <w:sz w:val="28"/>
                <w:szCs w:val="28"/>
                <w:rtl/>
                <w:lang w:eastAsia="ar-EG" w:bidi="ar-EG"/>
              </w:rPr>
              <w:t>.</w:t>
            </w:r>
            <w:r>
              <w:rPr>
                <w:rFonts w:ascii="Arabic Typesetting" w:eastAsia="Arabic Typesetting" w:hAnsi="Arabic Typesetting" w:cs="Arabic Typesetting"/>
                <w:color w:val="002060"/>
                <w:sz w:val="28"/>
                <w:szCs w:val="28"/>
                <w:rtl/>
                <w:lang w:eastAsia="ar-EG" w:bidi="ar-EG"/>
              </w:rPr>
              <w:br/>
            </w:r>
            <w:r w:rsidRPr="003B3821">
              <w:rPr>
                <w:rFonts w:ascii="Arabic Typesetting" w:eastAsia="Arabic Typesetting" w:hAnsi="Arabic Typesetting" w:cs="Arabic Typesetting"/>
                <w:color w:val="002060"/>
                <w:sz w:val="28"/>
                <w:szCs w:val="28"/>
                <w:rtl/>
                <w:lang w:eastAsia="ar-EG" w:bidi="ar-EG"/>
              </w:rPr>
              <w:t>وجددت الشهادة في أكتوبر 2015 ووسع نطاقها لتشمل نظامي مدريد ولاهاي.</w:t>
            </w:r>
          </w:p>
          <w:p w14:paraId="25171E56"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i/>
                <w:iCs/>
                <w:sz w:val="28"/>
                <w:szCs w:val="28"/>
                <w:rtl/>
                <w:lang w:eastAsia="ar-EG" w:bidi="ar-EG"/>
              </w:rPr>
              <w:t>‏أساس المقارنة الأصلي:</w:t>
            </w:r>
            <w:r w:rsidRPr="003B3821">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3B3821">
              <w:rPr>
                <w:rFonts w:ascii="Arabic Typesetting" w:eastAsia="Arabic Typesetting" w:hAnsi="Arabic Typesetting" w:cs="Arabic Typesetting"/>
                <w:color w:val="000000"/>
                <w:sz w:val="28"/>
                <w:szCs w:val="28"/>
                <w:rtl/>
                <w:lang w:eastAsia="ar-EG" w:bidi="ar-EG"/>
              </w:rPr>
              <w:t xml:space="preserve">الامتثال والتصديق وفقا للمعايير </w:t>
            </w:r>
            <w:r w:rsidRPr="003B3821">
              <w:rPr>
                <w:rFonts w:ascii="Arabic Typesetting" w:eastAsia="Arabic Typesetting" w:hAnsi="Arabic Typesetting" w:cs="Arabic Typesetting"/>
                <w:color w:val="000000"/>
                <w:sz w:val="28"/>
                <w:szCs w:val="28"/>
                <w:lang w:eastAsia="ar-EG" w:bidi="ar-EG"/>
              </w:rPr>
              <w:t>ISO</w:t>
            </w:r>
            <w:r>
              <w:rPr>
                <w:rFonts w:ascii="Arabic Typesetting" w:eastAsia="Arabic Typesetting" w:hAnsi="Arabic Typesetting" w:cs="Arabic Typesetting"/>
                <w:color w:val="000000"/>
                <w:sz w:val="28"/>
                <w:szCs w:val="28"/>
                <w:lang w:eastAsia="ar-EG" w:bidi="ar-EG"/>
              </w:rPr>
              <w:t> </w:t>
            </w:r>
            <w:r w:rsidRPr="003B3821">
              <w:rPr>
                <w:rFonts w:ascii="Arabic Typesetting" w:eastAsia="Arabic Typesetting" w:hAnsi="Arabic Typesetting" w:cs="Arabic Typesetting"/>
                <w:color w:val="000000"/>
                <w:sz w:val="28"/>
                <w:szCs w:val="28"/>
                <w:lang w:eastAsia="ar-EG" w:bidi="ar-EG"/>
              </w:rPr>
              <w:t>27001</w:t>
            </w:r>
            <w:r w:rsidRPr="003B3821">
              <w:rPr>
                <w:rFonts w:ascii="Arabic Typesetting" w:eastAsia="Arabic Typesetting" w:hAnsi="Arabic Typesetting" w:cs="Arabic Typesetting"/>
                <w:color w:val="000000"/>
                <w:sz w:val="28"/>
                <w:szCs w:val="28"/>
                <w:rtl/>
                <w:lang w:eastAsia="ar-EG" w:bidi="ar-EG"/>
              </w:rPr>
              <w:t xml:space="preserve"> مقتصران على طلبات معاهدة التعاون بشأن البراءات</w:t>
            </w:r>
          </w:p>
        </w:tc>
        <w:tc>
          <w:tcPr>
            <w:tcW w:w="723" w:type="pct"/>
            <w:shd w:val="clear" w:color="auto" w:fill="auto"/>
            <w:tcMar>
              <w:top w:w="110" w:type="dxa"/>
              <w:left w:w="58" w:type="dxa"/>
              <w:right w:w="58" w:type="dxa"/>
            </w:tcMar>
          </w:tcPr>
          <w:p w14:paraId="02F3A269" w14:textId="75AE2352" w:rsidR="00BD3831" w:rsidRPr="003B3821" w:rsidRDefault="00BD3831" w:rsidP="00D02C02">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 xml:space="preserve">تمديد الامتثال والتصديق وفقا للمعايير </w:t>
            </w:r>
            <w:r w:rsidRPr="003B3821">
              <w:rPr>
                <w:rFonts w:ascii="Arabic Typesetting" w:eastAsia="Arabic Typesetting" w:hAnsi="Arabic Typesetting" w:cs="Arabic Typesetting"/>
                <w:color w:val="000000"/>
                <w:sz w:val="28"/>
                <w:szCs w:val="28"/>
                <w:lang w:eastAsia="ar-EG" w:bidi="ar-EG"/>
              </w:rPr>
              <w:t>ISO</w:t>
            </w:r>
            <w:r w:rsidR="008E6403">
              <w:rPr>
                <w:rFonts w:ascii="Arabic Typesetting" w:eastAsia="Arabic Typesetting" w:hAnsi="Arabic Typesetting" w:cs="Arabic Typesetting"/>
                <w:color w:val="000000"/>
                <w:sz w:val="28"/>
                <w:szCs w:val="28"/>
                <w:lang w:eastAsia="ar-EG" w:bidi="ar-EG"/>
              </w:rPr>
              <w:t> </w:t>
            </w:r>
            <w:r w:rsidRPr="003B3821">
              <w:rPr>
                <w:rFonts w:ascii="Arabic Typesetting" w:eastAsia="Arabic Typesetting" w:hAnsi="Arabic Typesetting" w:cs="Arabic Typesetting"/>
                <w:color w:val="000000"/>
                <w:sz w:val="28"/>
                <w:szCs w:val="28"/>
                <w:lang w:eastAsia="ar-EG" w:bidi="ar-EG"/>
              </w:rPr>
              <w:t>27001</w:t>
            </w:r>
            <w:r w:rsidRPr="003B3821">
              <w:rPr>
                <w:rFonts w:ascii="Arabic Typesetting" w:eastAsia="Arabic Typesetting" w:hAnsi="Arabic Typesetting" w:cs="Arabic Typesetting"/>
                <w:color w:val="000000"/>
                <w:sz w:val="28"/>
                <w:szCs w:val="28"/>
                <w:rtl/>
                <w:lang w:eastAsia="ar-EG" w:bidi="ar-EG"/>
              </w:rPr>
              <w:t xml:space="preserve"> </w:t>
            </w:r>
            <w:r w:rsidR="00D02C02">
              <w:rPr>
                <w:rFonts w:ascii="Arabic Typesetting" w:eastAsia="Arabic Typesetting" w:hAnsi="Arabic Typesetting" w:cs="Arabic Typesetting" w:hint="cs"/>
                <w:color w:val="000000"/>
                <w:sz w:val="28"/>
                <w:szCs w:val="28"/>
                <w:rtl/>
                <w:lang w:eastAsia="ar-EG" w:bidi="ar-EG"/>
              </w:rPr>
              <w:t>لتغطية</w:t>
            </w:r>
            <w:r w:rsidRPr="003B3821">
              <w:rPr>
                <w:rFonts w:ascii="Arabic Typesetting" w:eastAsia="Arabic Typesetting" w:hAnsi="Arabic Typesetting" w:cs="Arabic Typesetting"/>
                <w:color w:val="000000"/>
                <w:sz w:val="28"/>
                <w:szCs w:val="28"/>
                <w:rtl/>
                <w:lang w:eastAsia="ar-EG" w:bidi="ar-EG"/>
              </w:rPr>
              <w:t xml:space="preserve"> طلبات لاهاي ومدريد وتطبيقات الموارد البشرية</w:t>
            </w:r>
          </w:p>
        </w:tc>
        <w:tc>
          <w:tcPr>
            <w:tcW w:w="1325" w:type="pct"/>
            <w:shd w:val="clear" w:color="auto" w:fill="FFFFFF"/>
            <w:tcMar>
              <w:top w:w="110" w:type="dxa"/>
              <w:left w:w="58" w:type="dxa"/>
              <w:right w:w="58" w:type="dxa"/>
            </w:tcMar>
          </w:tcPr>
          <w:p w14:paraId="57AA4F77" w14:textId="77777777" w:rsidR="00BD3831" w:rsidRPr="003B382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 xml:space="preserve">حصلت أنظمة معاهدة البراءات ولاهاي ومدريد ومركز التحكيم والوساطة على شهادة </w:t>
            </w:r>
            <w:r w:rsidRPr="003B3821">
              <w:rPr>
                <w:rFonts w:ascii="Arabic Typesetting" w:eastAsia="Arabic Typesetting" w:hAnsi="Arabic Typesetting" w:cs="Arabic Typesetting"/>
                <w:color w:val="000000"/>
                <w:sz w:val="28"/>
                <w:szCs w:val="28"/>
                <w:lang w:eastAsia="ar-EG" w:bidi="ar-EG"/>
              </w:rPr>
              <w:t>ISO 27001</w:t>
            </w:r>
            <w:r w:rsidRPr="003B3821">
              <w:rPr>
                <w:rFonts w:ascii="Arabic Typesetting" w:eastAsia="Arabic Typesetting" w:hAnsi="Arabic Typesetting" w:cs="Arabic Typesetting"/>
                <w:color w:val="000000"/>
                <w:sz w:val="28"/>
                <w:szCs w:val="28"/>
                <w:rtl/>
                <w:lang w:eastAsia="ar-EG" w:bidi="ar-EG"/>
              </w:rPr>
              <w:t xml:space="preserve"> في عام </w:t>
            </w:r>
            <w:r>
              <w:rPr>
                <w:rFonts w:ascii="Arabic Typesetting" w:eastAsia="Arabic Typesetting" w:hAnsi="Arabic Typesetting" w:cs="Arabic Typesetting"/>
                <w:color w:val="000000"/>
                <w:sz w:val="28"/>
                <w:szCs w:val="28"/>
                <w:rtl/>
                <w:lang w:eastAsia="ar-EG" w:bidi="ar-EG"/>
              </w:rPr>
              <w:t>2016</w:t>
            </w:r>
          </w:p>
        </w:tc>
        <w:tc>
          <w:tcPr>
            <w:tcW w:w="499" w:type="pct"/>
            <w:shd w:val="clear" w:color="auto" w:fill="auto"/>
            <w:tcMar>
              <w:top w:w="110" w:type="dxa"/>
              <w:left w:w="58" w:type="dxa"/>
              <w:right w:w="58" w:type="dxa"/>
            </w:tcMar>
          </w:tcPr>
          <w:p w14:paraId="3BB76059"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b/>
                <w:color w:val="00B050"/>
                <w:sz w:val="28"/>
                <w:szCs w:val="28"/>
                <w:lang w:eastAsia="ar-EG" w:bidi="ar-EG"/>
              </w:rPr>
            </w:pPr>
            <w:r w:rsidRPr="003B3821">
              <w:rPr>
                <w:rFonts w:ascii="Arabic Typesetting" w:eastAsia="Arabic Typesetting" w:hAnsi="Arabic Typesetting" w:cs="Arabic Typesetting"/>
                <w:b/>
                <w:bCs/>
                <w:color w:val="00B050"/>
                <w:sz w:val="28"/>
                <w:szCs w:val="28"/>
                <w:rtl/>
                <w:lang w:eastAsia="ar-EG" w:bidi="ar-EG"/>
              </w:rPr>
              <w:t>ثابت</w:t>
            </w:r>
          </w:p>
        </w:tc>
      </w:tr>
      <w:tr w:rsidR="00BD3831" w:rsidRPr="003B3821" w14:paraId="1DB8B8B0" w14:textId="77777777" w:rsidTr="00DF6715">
        <w:trPr>
          <w:cantSplit/>
          <w:trHeight w:val="1092"/>
        </w:trPr>
        <w:tc>
          <w:tcPr>
            <w:tcW w:w="1075" w:type="pct"/>
            <w:shd w:val="clear" w:color="auto" w:fill="auto"/>
            <w:tcMar>
              <w:left w:w="58" w:type="dxa"/>
              <w:right w:w="58" w:type="dxa"/>
            </w:tcMar>
          </w:tcPr>
          <w:p w14:paraId="3CC4CBD2"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سياسة بشأن تصنيف المعلومات ومعالجتها تُعتمد على نطاق واسع لضمان سرية المعلومات</w:t>
            </w:r>
          </w:p>
        </w:tc>
        <w:tc>
          <w:tcPr>
            <w:tcW w:w="1378" w:type="pct"/>
            <w:shd w:val="clear" w:color="auto" w:fill="auto"/>
            <w:tcMar>
              <w:left w:w="58" w:type="dxa"/>
              <w:right w:w="58" w:type="dxa"/>
            </w:tcMar>
          </w:tcPr>
          <w:p w14:paraId="64CBFDB8"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اعتماد محدود للسياسة بشأن تصنيف المعلومات ومعالجتها</w:t>
            </w:r>
          </w:p>
        </w:tc>
        <w:tc>
          <w:tcPr>
            <w:tcW w:w="723" w:type="pct"/>
            <w:shd w:val="clear" w:color="auto" w:fill="auto"/>
            <w:tcMar>
              <w:top w:w="110" w:type="dxa"/>
              <w:left w:w="58" w:type="dxa"/>
              <w:right w:w="58" w:type="dxa"/>
            </w:tcMar>
          </w:tcPr>
          <w:p w14:paraId="00D17229" w14:textId="77777777" w:rsidR="00BD3831" w:rsidRPr="003B382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زيادة اعتماد سياسة بشأن تصنيف المعلومات ومعالجتها بنسبة 40%</w:t>
            </w:r>
          </w:p>
        </w:tc>
        <w:tc>
          <w:tcPr>
            <w:tcW w:w="1325" w:type="pct"/>
            <w:shd w:val="clear" w:color="auto" w:fill="FFFFFF"/>
            <w:tcMar>
              <w:top w:w="110" w:type="dxa"/>
              <w:left w:w="58" w:type="dxa"/>
              <w:right w:w="58" w:type="dxa"/>
            </w:tcMar>
          </w:tcPr>
          <w:p w14:paraId="7E153B19" w14:textId="77777777" w:rsidR="00BD3831" w:rsidRPr="003B382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في نهاية 2016، كان مشروع سياسة تصنيف المعلومات ومعالجتها قيد استعراض أصحاب المصلحة في مجال الأعمال</w:t>
            </w:r>
          </w:p>
        </w:tc>
        <w:tc>
          <w:tcPr>
            <w:tcW w:w="499" w:type="pct"/>
            <w:shd w:val="clear" w:color="auto" w:fill="auto"/>
            <w:tcMar>
              <w:top w:w="110" w:type="dxa"/>
              <w:left w:w="58" w:type="dxa"/>
              <w:right w:w="58" w:type="dxa"/>
            </w:tcMar>
          </w:tcPr>
          <w:p w14:paraId="0F8934BC"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b/>
                <w:bCs/>
                <w:color w:val="00B050"/>
                <w:sz w:val="28"/>
                <w:szCs w:val="28"/>
                <w:rtl/>
                <w:lang w:eastAsia="ar-EG" w:bidi="ar-EG"/>
              </w:rPr>
              <w:t>ثابت</w:t>
            </w:r>
          </w:p>
        </w:tc>
      </w:tr>
      <w:tr w:rsidR="00BD3831" w:rsidRPr="003B3821" w14:paraId="07D0CF99" w14:textId="77777777" w:rsidTr="00DF6715">
        <w:trPr>
          <w:cantSplit/>
          <w:trHeight w:val="2145"/>
        </w:trPr>
        <w:tc>
          <w:tcPr>
            <w:tcW w:w="1075" w:type="pct"/>
            <w:shd w:val="clear" w:color="auto" w:fill="auto"/>
            <w:tcMar>
              <w:left w:w="58" w:type="dxa"/>
              <w:right w:w="58" w:type="dxa"/>
            </w:tcMar>
          </w:tcPr>
          <w:p w14:paraId="5291E7BE"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lastRenderedPageBreak/>
              <w:t>الحد من ازدواجية القدرات التقنية الخاصة بأمن المعلومات عبر أنماط بنية أمن قابلة لإعادة الاستخدام</w:t>
            </w:r>
          </w:p>
        </w:tc>
        <w:tc>
          <w:tcPr>
            <w:tcW w:w="1378" w:type="pct"/>
            <w:shd w:val="clear" w:color="auto" w:fill="auto"/>
            <w:tcMar>
              <w:left w:w="58" w:type="dxa"/>
              <w:right w:w="58" w:type="dxa"/>
            </w:tcMar>
          </w:tcPr>
          <w:p w14:paraId="42743984"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الاستخدام المتباين والمحدود للقدرات الأمنية الذي يحد من القابلية لإعادة الاستخدام والمرونة</w:t>
            </w:r>
          </w:p>
        </w:tc>
        <w:tc>
          <w:tcPr>
            <w:tcW w:w="723" w:type="pct"/>
            <w:shd w:val="clear" w:color="auto" w:fill="auto"/>
            <w:tcMar>
              <w:top w:w="110" w:type="dxa"/>
              <w:left w:w="58" w:type="dxa"/>
              <w:right w:w="58" w:type="dxa"/>
            </w:tcMar>
          </w:tcPr>
          <w:p w14:paraId="7FCF6074" w14:textId="77777777" w:rsidR="00BD3831" w:rsidRPr="003B382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‏بنية أمنية مرجعية معتمدة لزيادة قابلية القدرات الأمنية لإعادة الاستخدام والرفع من مرونتها بنسبة 30%</w:t>
            </w:r>
          </w:p>
        </w:tc>
        <w:tc>
          <w:tcPr>
            <w:tcW w:w="1325" w:type="pct"/>
            <w:shd w:val="clear" w:color="auto" w:fill="FFFFFF"/>
            <w:tcMar>
              <w:top w:w="110" w:type="dxa"/>
              <w:left w:w="58" w:type="dxa"/>
              <w:right w:w="58" w:type="dxa"/>
            </w:tcMar>
          </w:tcPr>
          <w:p w14:paraId="51B44ABC" w14:textId="77777777" w:rsidR="00BD3831" w:rsidRPr="003B382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وُضعت بنية أمنية مرجعية لبنية المكاتب العالمية ونظام إدارة الهوية وال</w:t>
            </w:r>
            <w:r>
              <w:rPr>
                <w:rFonts w:ascii="Arabic Typesetting" w:eastAsia="Arabic Typesetting" w:hAnsi="Arabic Typesetting" w:cs="Arabic Typesetting"/>
                <w:color w:val="000000"/>
                <w:sz w:val="28"/>
                <w:szCs w:val="28"/>
                <w:rtl/>
                <w:lang w:eastAsia="ar-EG" w:bidi="ar-EG"/>
              </w:rPr>
              <w:t>نفاذ والتشفير للمكاتب الخارجية.</w:t>
            </w:r>
            <w:r w:rsidRPr="003B3821">
              <w:rPr>
                <w:rFonts w:ascii="Arabic Typesetting" w:eastAsia="Arabic Typesetting" w:hAnsi="Arabic Typesetting" w:cs="Arabic Typesetting"/>
                <w:color w:val="000000"/>
                <w:sz w:val="28"/>
                <w:szCs w:val="28"/>
                <w:rtl/>
                <w:lang w:eastAsia="ar-EG" w:bidi="ar-EG"/>
              </w:rPr>
              <w:t xml:space="preserve"> وتُستخدم البنى المرجعية لإرشاد تصميم الطلبات والأنظمة الجديدة.</w:t>
            </w:r>
          </w:p>
        </w:tc>
        <w:tc>
          <w:tcPr>
            <w:tcW w:w="499" w:type="pct"/>
            <w:shd w:val="clear" w:color="auto" w:fill="auto"/>
            <w:tcMar>
              <w:top w:w="110" w:type="dxa"/>
              <w:left w:w="58" w:type="dxa"/>
              <w:right w:w="58" w:type="dxa"/>
            </w:tcMar>
          </w:tcPr>
          <w:p w14:paraId="0CA3ED3C"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b/>
                <w:color w:val="4F81BD"/>
                <w:sz w:val="28"/>
                <w:szCs w:val="28"/>
                <w:lang w:eastAsia="ar-EG" w:bidi="ar-EG"/>
              </w:rPr>
            </w:pPr>
            <w:r w:rsidRPr="003B3821">
              <w:rPr>
                <w:rFonts w:ascii="Arabic Typesetting" w:eastAsia="Arabic Typesetting" w:hAnsi="Arabic Typesetting" w:cs="Arabic Typesetting"/>
                <w:b/>
                <w:bCs/>
                <w:color w:val="00B050"/>
                <w:sz w:val="28"/>
                <w:szCs w:val="28"/>
                <w:rtl/>
                <w:lang w:eastAsia="ar-EG" w:bidi="ar-EG"/>
              </w:rPr>
              <w:t>ثابت</w:t>
            </w:r>
          </w:p>
        </w:tc>
      </w:tr>
      <w:tr w:rsidR="00BD3831" w:rsidRPr="003B3821" w14:paraId="1A21A4E5" w14:textId="77777777" w:rsidTr="00DF6715">
        <w:trPr>
          <w:cantSplit/>
          <w:trHeight w:val="610"/>
        </w:trPr>
        <w:tc>
          <w:tcPr>
            <w:tcW w:w="1075" w:type="pct"/>
            <w:shd w:val="clear" w:color="auto" w:fill="auto"/>
            <w:tcMar>
              <w:left w:w="58" w:type="dxa"/>
              <w:right w:w="58" w:type="dxa"/>
            </w:tcMar>
          </w:tcPr>
          <w:p w14:paraId="70B8C7EB"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قدرة معزَّزة على الكشف عن تهديدات أمن المعلومات والاستجابة لها بسرعة أكبر بكثير بما يضمن حدا أدنى لتعطل الأعمال</w:t>
            </w:r>
          </w:p>
        </w:tc>
        <w:tc>
          <w:tcPr>
            <w:tcW w:w="1378" w:type="pct"/>
            <w:shd w:val="clear" w:color="auto" w:fill="auto"/>
            <w:tcMar>
              <w:left w:w="58" w:type="dxa"/>
              <w:right w:w="58" w:type="dxa"/>
            </w:tcMar>
          </w:tcPr>
          <w:p w14:paraId="7BDA6A12"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rtl/>
                <w:lang w:eastAsia="ar-EG" w:bidi="ar-EG"/>
              </w:rPr>
              <w:br/>
            </w:r>
            <w:r w:rsidRPr="003B3821">
              <w:rPr>
                <w:rFonts w:ascii="Arabic Typesetting" w:eastAsia="Arabic Typesetting" w:hAnsi="Arabic Typesetting" w:cs="Arabic Typesetting"/>
                <w:color w:val="002060"/>
                <w:sz w:val="28"/>
                <w:szCs w:val="28"/>
                <w:rtl/>
                <w:lang w:eastAsia="ar-EG" w:bidi="ar-EG"/>
              </w:rPr>
              <w:t>وُضع نظام لإدارة المعلومات والأحداث الأمنية لتوفير وسيلة لربط جميع الأحداث الأمنية من النظم الأخرى فإصدار إنذارات ومن ثم تحسين الرؤية وتسريع الاستجابة وزيادة تفاصيل عمليات الكشف</w:t>
            </w:r>
          </w:p>
          <w:p w14:paraId="05241D5E"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i/>
                <w:iCs/>
                <w:sz w:val="28"/>
                <w:szCs w:val="28"/>
                <w:rtl/>
                <w:lang w:eastAsia="ar-EG" w:bidi="ar-EG"/>
              </w:rPr>
              <w:t>‏أساس المقارنة الأصلي:</w:t>
            </w:r>
            <w:r w:rsidRPr="003B3821">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3B3821">
              <w:rPr>
                <w:rFonts w:ascii="Arabic Typesetting" w:eastAsia="Arabic Typesetting" w:hAnsi="Arabic Typesetting" w:cs="Arabic Typesetting"/>
                <w:color w:val="000000"/>
                <w:sz w:val="28"/>
                <w:szCs w:val="28"/>
                <w:rtl/>
                <w:lang w:eastAsia="ar-EG" w:bidi="ar-EG"/>
              </w:rPr>
              <w:t>‏وجود عمليات أمنية أساسية ومعلومات عن التهديد السيبرني وقدرات الاستجابة للحوادث</w:t>
            </w:r>
          </w:p>
        </w:tc>
        <w:tc>
          <w:tcPr>
            <w:tcW w:w="723" w:type="pct"/>
            <w:shd w:val="clear" w:color="auto" w:fill="auto"/>
            <w:tcMar>
              <w:top w:w="110" w:type="dxa"/>
              <w:left w:w="58" w:type="dxa"/>
              <w:right w:w="58" w:type="dxa"/>
            </w:tcMar>
          </w:tcPr>
          <w:p w14:paraId="5587571E"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إنشاء مركز لعمليات الأمن السيبرني (</w:t>
            </w:r>
            <w:r w:rsidRPr="003B3821">
              <w:rPr>
                <w:rFonts w:ascii="Arabic Typesetting" w:eastAsia="Arabic Typesetting" w:hAnsi="Arabic Typesetting" w:cs="Arabic Typesetting"/>
                <w:color w:val="000000"/>
                <w:sz w:val="28"/>
                <w:szCs w:val="28"/>
                <w:lang w:eastAsia="ar-EG" w:bidi="ar-EG"/>
              </w:rPr>
              <w:t>CSOC</w:t>
            </w:r>
            <w:r w:rsidRPr="003B3821">
              <w:rPr>
                <w:rFonts w:ascii="Arabic Typesetting" w:eastAsia="Arabic Typesetting" w:hAnsi="Arabic Typesetting" w:cs="Arabic Typesetting"/>
                <w:color w:val="000000"/>
                <w:sz w:val="28"/>
                <w:szCs w:val="28"/>
                <w:rtl/>
                <w:lang w:eastAsia="ar-EG" w:bidi="ar-EG"/>
              </w:rPr>
              <w:t>) يحسن القدرة على الكشف عن حوادث أمن المعلومات ورصدها والاستجابة لها بنسبة 30%</w:t>
            </w:r>
          </w:p>
        </w:tc>
        <w:tc>
          <w:tcPr>
            <w:tcW w:w="1325" w:type="pct"/>
            <w:shd w:val="clear" w:color="auto" w:fill="FFFFFF"/>
            <w:tcMar>
              <w:top w:w="110" w:type="dxa"/>
              <w:left w:w="58" w:type="dxa"/>
              <w:right w:w="58" w:type="dxa"/>
            </w:tcMar>
          </w:tcPr>
          <w:p w14:paraId="44260E0A" w14:textId="77777777" w:rsidR="00BD3831" w:rsidRPr="003B382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في عام 2016، قيِّمت القدرات الراهنة واستهل إعداد استراتيجية/خارطة طريق مركز عمليات الأمن السيبرني وإدارة الثغرات التي سترشد نموذج المركز المذ</w:t>
            </w:r>
            <w:r>
              <w:rPr>
                <w:rFonts w:ascii="Arabic Typesetting" w:eastAsia="Arabic Typesetting" w:hAnsi="Arabic Typesetting" w:cs="Arabic Typesetting"/>
                <w:color w:val="000000"/>
                <w:sz w:val="28"/>
                <w:szCs w:val="28"/>
                <w:rtl/>
                <w:lang w:eastAsia="ar-EG" w:bidi="ar-EG"/>
              </w:rPr>
              <w:t>كور المزمع إنشاؤه في عام 2017.</w:t>
            </w:r>
            <w:r>
              <w:rPr>
                <w:rFonts w:ascii="Arabic Typesetting" w:eastAsia="Arabic Typesetting" w:hAnsi="Arabic Typesetting" w:cs="Arabic Typesetting" w:hint="cs"/>
                <w:color w:val="000000"/>
                <w:sz w:val="28"/>
                <w:szCs w:val="28"/>
                <w:rtl/>
                <w:lang w:eastAsia="ar-EG" w:bidi="ar-EG"/>
              </w:rPr>
              <w:t xml:space="preserve"> </w:t>
            </w:r>
            <w:r w:rsidRPr="003B3821">
              <w:rPr>
                <w:rFonts w:ascii="Arabic Typesetting" w:eastAsia="Arabic Typesetting" w:hAnsi="Arabic Typesetting" w:cs="Arabic Typesetting"/>
                <w:color w:val="000000"/>
                <w:sz w:val="28"/>
                <w:szCs w:val="28"/>
                <w:rtl/>
                <w:lang w:eastAsia="ar-EG" w:bidi="ar-EG"/>
              </w:rPr>
              <w:t>وحتى تُنجز تلك العملية، عززت القدرة على رصد حوادث أمن المعلومات وتحليلها والاستجابة لها من خلال وضع ضوابط أمنية في نقاط النهاية على محطات العمل والخوادم.</w:t>
            </w:r>
          </w:p>
        </w:tc>
        <w:tc>
          <w:tcPr>
            <w:tcW w:w="499" w:type="pct"/>
            <w:shd w:val="clear" w:color="auto" w:fill="auto"/>
            <w:tcMar>
              <w:top w:w="110" w:type="dxa"/>
              <w:left w:w="58" w:type="dxa"/>
              <w:right w:w="58" w:type="dxa"/>
            </w:tcMar>
          </w:tcPr>
          <w:p w14:paraId="02F55DF1"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b/>
                <w:bCs/>
                <w:color w:val="00B050"/>
                <w:sz w:val="28"/>
                <w:szCs w:val="28"/>
                <w:rtl/>
                <w:lang w:eastAsia="ar-EG" w:bidi="ar-EG"/>
              </w:rPr>
              <w:t>ثابت</w:t>
            </w:r>
          </w:p>
        </w:tc>
      </w:tr>
      <w:tr w:rsidR="00BD3831" w:rsidRPr="003B3821" w14:paraId="563D271B" w14:textId="77777777" w:rsidTr="00DF6715">
        <w:trPr>
          <w:cantSplit/>
          <w:trHeight w:val="1213"/>
        </w:trPr>
        <w:tc>
          <w:tcPr>
            <w:tcW w:w="1075" w:type="pct"/>
            <w:shd w:val="clear" w:color="auto" w:fill="auto"/>
            <w:tcMar>
              <w:left w:w="58" w:type="dxa"/>
              <w:right w:w="58" w:type="dxa"/>
            </w:tcMar>
          </w:tcPr>
          <w:p w14:paraId="17BF9D78"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 xml:space="preserve">النسبة المئوية لموظفي الويبو والمندوبين والزوار الذين </w:t>
            </w:r>
            <w:r>
              <w:rPr>
                <w:rFonts w:ascii="Arabic Typesetting" w:eastAsia="Arabic Typesetting" w:hAnsi="Arabic Typesetting" w:cs="Arabic Typesetting"/>
                <w:color w:val="000000"/>
                <w:sz w:val="28"/>
                <w:szCs w:val="28"/>
                <w:rtl/>
                <w:lang w:eastAsia="ar-EG" w:bidi="ar-EG"/>
              </w:rPr>
              <w:t>يبلغون عن إصابات أو حوادث أثناء</w:t>
            </w:r>
            <w:r>
              <w:rPr>
                <w:rFonts w:ascii="Arabic Typesetting" w:eastAsia="Arabic Typesetting" w:hAnsi="Arabic Typesetting" w:cs="Arabic Typesetting" w:hint="cs"/>
                <w:color w:val="000000"/>
                <w:sz w:val="28"/>
                <w:szCs w:val="28"/>
                <w:rtl/>
                <w:lang w:eastAsia="ar-EG" w:bidi="ar-EG"/>
              </w:rPr>
              <w:t> </w:t>
            </w:r>
            <w:r w:rsidRPr="003B3821">
              <w:rPr>
                <w:rFonts w:ascii="Arabic Typesetting" w:eastAsia="Arabic Typesetting" w:hAnsi="Arabic Typesetting" w:cs="Arabic Typesetting"/>
                <w:color w:val="000000"/>
                <w:sz w:val="28"/>
                <w:szCs w:val="28"/>
                <w:rtl/>
                <w:lang w:eastAsia="ar-EG" w:bidi="ar-EG"/>
              </w:rPr>
              <w:t>العمل</w:t>
            </w:r>
          </w:p>
        </w:tc>
        <w:tc>
          <w:tcPr>
            <w:tcW w:w="1378" w:type="pct"/>
            <w:shd w:val="clear" w:color="auto" w:fill="auto"/>
            <w:tcMar>
              <w:left w:w="58" w:type="dxa"/>
              <w:right w:w="58" w:type="dxa"/>
            </w:tcMar>
          </w:tcPr>
          <w:p w14:paraId="2D08B885" w14:textId="77777777" w:rsidR="00BD3831" w:rsidRPr="003B382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3B3821">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rtl/>
                <w:lang w:eastAsia="ar-EG" w:bidi="ar-EG"/>
              </w:rPr>
              <w:br/>
            </w:r>
            <w:r w:rsidRPr="003B3821">
              <w:rPr>
                <w:rFonts w:ascii="Arabic Typesetting" w:eastAsia="Arabic Typesetting" w:hAnsi="Arabic Typesetting" w:cs="Arabic Typesetting"/>
                <w:color w:val="002060"/>
                <w:sz w:val="28"/>
                <w:szCs w:val="28"/>
                <w:rtl/>
                <w:lang w:eastAsia="ar-EG" w:bidi="ar-EG"/>
              </w:rPr>
              <w:t xml:space="preserve">بلغت النسبة المئوية الإجمالية للحوادث المرتبطة بالسلامة والمنطوية على إصابات </w:t>
            </w:r>
            <w:r>
              <w:rPr>
                <w:rFonts w:ascii="Arabic Typesetting" w:eastAsia="Arabic Typesetting" w:hAnsi="Arabic Typesetting" w:cs="Arabic Typesetting"/>
                <w:color w:val="002060"/>
                <w:sz w:val="28"/>
                <w:szCs w:val="28"/>
                <w:rtl/>
                <w:lang w:eastAsia="ar-EG" w:bidi="ar-EG"/>
              </w:rPr>
              <w:t>1.1% في 2014/15:</w:t>
            </w:r>
            <w:r>
              <w:rPr>
                <w:rFonts w:ascii="Arabic Typesetting" w:eastAsia="Arabic Typesetting" w:hAnsi="Arabic Typesetting" w:cs="Arabic Typesetting"/>
                <w:color w:val="002060"/>
                <w:sz w:val="28"/>
                <w:szCs w:val="28"/>
                <w:rtl/>
                <w:lang w:eastAsia="ar-EG" w:bidi="ar-EG"/>
              </w:rPr>
              <w:br/>
            </w:r>
            <w:r>
              <w:rPr>
                <w:rFonts w:ascii="Arabic Typesetting" w:eastAsia="Arabic Typesetting" w:hAnsi="Arabic Typesetting" w:cs="Arabic Typesetting" w:hint="cs"/>
                <w:color w:val="002060"/>
                <w:sz w:val="28"/>
                <w:szCs w:val="28"/>
                <w:rtl/>
                <w:lang w:eastAsia="ar-EG" w:bidi="ar-EG"/>
              </w:rPr>
              <w:t xml:space="preserve">- </w:t>
            </w:r>
            <w:r w:rsidRPr="003B3821">
              <w:rPr>
                <w:rFonts w:ascii="Arabic Typesetting" w:eastAsia="Arabic Typesetting" w:hAnsi="Arabic Typesetting" w:cs="Arabic Typesetting"/>
                <w:color w:val="002060"/>
                <w:sz w:val="28"/>
                <w:szCs w:val="28"/>
                <w:rtl/>
                <w:lang w:eastAsia="ar-EG" w:bidi="ar-EG"/>
              </w:rPr>
              <w:t>حادثان (</w:t>
            </w:r>
            <w:r>
              <w:rPr>
                <w:rFonts w:ascii="Arabic Typesetting" w:eastAsia="Arabic Typesetting" w:hAnsi="Arabic Typesetting" w:cs="Arabic Typesetting"/>
                <w:color w:val="002060"/>
                <w:sz w:val="28"/>
                <w:szCs w:val="28"/>
                <w:rtl/>
                <w:lang w:eastAsia="ar-EG" w:bidi="ar-EG"/>
              </w:rPr>
              <w:t>2014)</w:t>
            </w:r>
            <w:r>
              <w:rPr>
                <w:rFonts w:ascii="Arabic Typesetting" w:eastAsia="Arabic Typesetting" w:hAnsi="Arabic Typesetting" w:cs="Arabic Typesetting"/>
                <w:color w:val="002060"/>
                <w:sz w:val="28"/>
                <w:szCs w:val="28"/>
                <w:rtl/>
                <w:lang w:eastAsia="ar-EG" w:bidi="ar-EG"/>
              </w:rPr>
              <w:br/>
            </w:r>
            <w:r>
              <w:rPr>
                <w:rFonts w:ascii="Arabic Typesetting" w:eastAsia="Arabic Typesetting" w:hAnsi="Arabic Typesetting" w:cs="Arabic Typesetting" w:hint="cs"/>
                <w:color w:val="002060"/>
                <w:sz w:val="28"/>
                <w:szCs w:val="28"/>
                <w:rtl/>
                <w:lang w:eastAsia="ar-EG" w:bidi="ar-EG"/>
              </w:rPr>
              <w:t xml:space="preserve">- </w:t>
            </w:r>
            <w:r w:rsidRPr="003B3821">
              <w:rPr>
                <w:rFonts w:ascii="Arabic Typesetting" w:eastAsia="Arabic Typesetting" w:hAnsi="Arabic Typesetting" w:cs="Arabic Typesetting"/>
                <w:color w:val="002060"/>
                <w:sz w:val="28"/>
                <w:szCs w:val="28"/>
                <w:rtl/>
                <w:lang w:eastAsia="ar-EG" w:bidi="ar-EG"/>
              </w:rPr>
              <w:t>5 حوادث (2015)</w:t>
            </w:r>
          </w:p>
          <w:p w14:paraId="429B9B6F"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i/>
                <w:iCs/>
                <w:sz w:val="28"/>
                <w:szCs w:val="28"/>
                <w:rtl/>
                <w:lang w:eastAsia="ar-EG" w:bidi="ar-EG"/>
              </w:rPr>
              <w:t>‏أساس المقارنة الأصلي:</w:t>
            </w:r>
            <w:r w:rsidRPr="003B3821">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sidRPr="003B3821">
              <w:rPr>
                <w:rFonts w:ascii="Arabic Typesetting" w:eastAsia="Arabic Typesetting" w:hAnsi="Arabic Typesetting" w:cs="Arabic Typesetting"/>
                <w:color w:val="000000"/>
                <w:sz w:val="28"/>
                <w:szCs w:val="28"/>
                <w:rtl/>
                <w:lang w:eastAsia="ar-EG" w:bidi="ar-EG"/>
              </w:rPr>
              <w:t>بلاغات من 2% أو أقل من إجمالي أصحاب المصلحة/الزبائن بشأن إصابات أو</w:t>
            </w:r>
            <w:r>
              <w:rPr>
                <w:rFonts w:ascii="Arabic Typesetting" w:eastAsia="Arabic Typesetting" w:hAnsi="Arabic Typesetting" w:cs="Arabic Typesetting" w:hint="cs"/>
                <w:color w:val="000000"/>
                <w:sz w:val="28"/>
                <w:szCs w:val="28"/>
                <w:rtl/>
                <w:lang w:eastAsia="ar-EG" w:bidi="ar-EG"/>
              </w:rPr>
              <w:t> </w:t>
            </w:r>
            <w:r w:rsidRPr="003B3821">
              <w:rPr>
                <w:rFonts w:ascii="Arabic Typesetting" w:eastAsia="Arabic Typesetting" w:hAnsi="Arabic Typesetting" w:cs="Arabic Typesetting"/>
                <w:color w:val="000000"/>
                <w:sz w:val="28"/>
                <w:szCs w:val="28"/>
                <w:rtl/>
                <w:lang w:eastAsia="ar-EG" w:bidi="ar-EG"/>
              </w:rPr>
              <w:t>حوادث أثناء العمل</w:t>
            </w:r>
          </w:p>
        </w:tc>
        <w:tc>
          <w:tcPr>
            <w:tcW w:w="723" w:type="pct"/>
            <w:shd w:val="clear" w:color="auto" w:fill="auto"/>
            <w:tcMar>
              <w:top w:w="110" w:type="dxa"/>
              <w:left w:w="58" w:type="dxa"/>
              <w:right w:w="58" w:type="dxa"/>
            </w:tcMar>
          </w:tcPr>
          <w:p w14:paraId="66A6D859"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2% أو أقل</w:t>
            </w:r>
          </w:p>
        </w:tc>
        <w:tc>
          <w:tcPr>
            <w:tcW w:w="1325" w:type="pct"/>
            <w:shd w:val="clear" w:color="auto" w:fill="FFFFFF"/>
            <w:tcMar>
              <w:top w:w="110" w:type="dxa"/>
              <w:left w:w="58" w:type="dxa"/>
              <w:right w:w="58" w:type="dxa"/>
            </w:tcMar>
          </w:tcPr>
          <w:p w14:paraId="29C6C52C"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sz w:val="28"/>
                <w:szCs w:val="28"/>
                <w:rtl/>
                <w:lang w:eastAsia="ar-EG" w:bidi="ar-EG"/>
              </w:rPr>
              <w:t>ورد ما مجموعه 523 طلباً للمساعدة المرتبطة بالسلامة والأمن، منها 4</w:t>
            </w:r>
            <w:r>
              <w:rPr>
                <w:rFonts w:ascii="Arabic Typesetting" w:eastAsia="Arabic Typesetting" w:hAnsi="Arabic Typesetting" w:cs="Arabic Typesetting" w:hint="cs"/>
                <w:sz w:val="28"/>
                <w:szCs w:val="28"/>
                <w:rtl/>
                <w:lang w:eastAsia="ar-EG" w:bidi="ar-EG"/>
              </w:rPr>
              <w:t> </w:t>
            </w:r>
            <w:r w:rsidRPr="003B3821">
              <w:rPr>
                <w:rFonts w:ascii="Arabic Typesetting" w:eastAsia="Arabic Typesetting" w:hAnsi="Arabic Typesetting" w:cs="Arabic Typesetting"/>
                <w:sz w:val="28"/>
                <w:szCs w:val="28"/>
                <w:rtl/>
                <w:lang w:eastAsia="ar-EG" w:bidi="ar-EG"/>
              </w:rPr>
              <w:t>إصابات (</w:t>
            </w:r>
            <w:r>
              <w:rPr>
                <w:rFonts w:ascii="Arabic Typesetting" w:eastAsia="Arabic Typesetting" w:hAnsi="Arabic Typesetting" w:cs="Arabic Typesetting"/>
                <w:sz w:val="28"/>
                <w:szCs w:val="28"/>
                <w:lang w:eastAsia="ar-EG" w:bidi="ar-EG"/>
              </w:rPr>
              <w:t>%0.8</w:t>
            </w:r>
            <w:r w:rsidRPr="003B3821">
              <w:rPr>
                <w:rFonts w:ascii="Arabic Typesetting" w:eastAsia="Arabic Typesetting" w:hAnsi="Arabic Typesetting" w:cs="Arabic Typesetting"/>
                <w:sz w:val="28"/>
                <w:szCs w:val="28"/>
                <w:rtl/>
                <w:lang w:eastAsia="ar-EG" w:bidi="ar-EG"/>
              </w:rPr>
              <w:t>) و32 حادثاً طبياً</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w:t>
            </w:r>
            <w:r>
              <w:rPr>
                <w:rFonts w:ascii="Arabic Typesetting" w:eastAsia="Arabic Typesetting" w:hAnsi="Arabic Typesetting" w:cs="Arabic Typesetting" w:hint="cs"/>
                <w:sz w:val="28"/>
                <w:szCs w:val="28"/>
                <w:rtl/>
                <w:lang w:eastAsia="ar-EG" w:bidi="ar-EG"/>
              </w:rPr>
              <w:t>%6)</w:t>
            </w:r>
          </w:p>
        </w:tc>
        <w:tc>
          <w:tcPr>
            <w:tcW w:w="499" w:type="pct"/>
            <w:shd w:val="clear" w:color="auto" w:fill="auto"/>
            <w:tcMar>
              <w:top w:w="110" w:type="dxa"/>
              <w:left w:w="58" w:type="dxa"/>
              <w:right w:w="58" w:type="dxa"/>
            </w:tcMar>
          </w:tcPr>
          <w:p w14:paraId="4986DF9B"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b/>
                <w:bCs/>
                <w:color w:val="00B050"/>
                <w:sz w:val="28"/>
                <w:szCs w:val="28"/>
                <w:rtl/>
                <w:lang w:eastAsia="ar-EG" w:bidi="ar-EG"/>
              </w:rPr>
              <w:t>ثابت</w:t>
            </w:r>
          </w:p>
        </w:tc>
      </w:tr>
      <w:tr w:rsidR="00BD3831" w:rsidRPr="003B3821" w14:paraId="58A6DC64" w14:textId="77777777" w:rsidTr="00DF6715">
        <w:trPr>
          <w:cantSplit/>
          <w:trHeight w:val="1213"/>
        </w:trPr>
        <w:tc>
          <w:tcPr>
            <w:tcW w:w="1075" w:type="pct"/>
            <w:shd w:val="clear" w:color="auto" w:fill="auto"/>
            <w:tcMar>
              <w:left w:w="58" w:type="dxa"/>
              <w:right w:w="58" w:type="dxa"/>
            </w:tcMar>
          </w:tcPr>
          <w:p w14:paraId="031222EF"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النسبة المئوية للمؤتمرات والتظاهرات المدعومة بأمن داخل جنيف وخارجها</w:t>
            </w:r>
            <w:r w:rsidRPr="003B3821">
              <w:rPr>
                <w:rFonts w:ascii="Arabic Typesetting" w:eastAsia="Arabic Typesetting" w:hAnsi="Arabic Typesetting" w:cs="Arabic Typesetting"/>
                <w:color w:val="000000"/>
                <w:sz w:val="28"/>
                <w:szCs w:val="28"/>
                <w:vertAlign w:val="superscript"/>
                <w:lang w:eastAsia="ar-EG" w:bidi="ar-EG"/>
              </w:rPr>
              <w:footnoteReference w:id="103"/>
            </w:r>
          </w:p>
        </w:tc>
        <w:tc>
          <w:tcPr>
            <w:tcW w:w="1378" w:type="pct"/>
            <w:shd w:val="clear" w:color="auto" w:fill="auto"/>
            <w:tcMar>
              <w:left w:w="58" w:type="dxa"/>
              <w:right w:w="58" w:type="dxa"/>
            </w:tcMar>
          </w:tcPr>
          <w:p w14:paraId="69D2E26B" w14:textId="77777777" w:rsidR="00BD3831" w:rsidRPr="003B3821" w:rsidRDefault="00BD3831" w:rsidP="0031289D">
            <w:pPr>
              <w:bidi/>
              <w:spacing w:after="120" w:line="280" w:lineRule="exact"/>
              <w:rPr>
                <w:rFonts w:ascii="Arabic Typesetting" w:eastAsia="Arabic Typesetting" w:hAnsi="Arabic Typesetting" w:cs="Arabic Typesetting"/>
                <w:color w:val="002060"/>
                <w:sz w:val="28"/>
                <w:szCs w:val="28"/>
                <w:lang w:eastAsia="ar-EG" w:bidi="ar-EG"/>
              </w:rPr>
            </w:pPr>
            <w:r w:rsidRPr="003B3821">
              <w:rPr>
                <w:rFonts w:ascii="Arabic Typesetting" w:eastAsia="Arabic Typesetting" w:hAnsi="Arabic Typesetting" w:cs="Arabic Typesetting"/>
                <w:i/>
                <w:iCs/>
                <w:color w:val="002060"/>
                <w:sz w:val="28"/>
                <w:szCs w:val="28"/>
                <w:rtl/>
                <w:lang w:eastAsia="ar-EG" w:bidi="ar-EG"/>
              </w:rPr>
              <w:t>أساس الم</w:t>
            </w:r>
            <w:r>
              <w:rPr>
                <w:rFonts w:ascii="Arabic Typesetting" w:eastAsia="Arabic Typesetting" w:hAnsi="Arabic Typesetting" w:cs="Arabic Typesetting"/>
                <w:i/>
                <w:iCs/>
                <w:color w:val="002060"/>
                <w:sz w:val="28"/>
                <w:szCs w:val="28"/>
                <w:rtl/>
                <w:lang w:eastAsia="ar-EG" w:bidi="ar-EG"/>
              </w:rPr>
              <w:t>قارنة المُحدَّث في نهاية 2015:</w:t>
            </w:r>
            <w:r>
              <w:rPr>
                <w:rFonts w:ascii="Arabic Typesetting" w:eastAsia="Arabic Typesetting" w:hAnsi="Arabic Typesetting" w:cs="Arabic Typesetting"/>
                <w:i/>
                <w:iCs/>
                <w:color w:val="002060"/>
                <w:sz w:val="28"/>
                <w:szCs w:val="28"/>
                <w:rtl/>
                <w:lang w:eastAsia="ar-EG" w:bidi="ar-EG"/>
              </w:rPr>
              <w:br/>
            </w:r>
            <w:r w:rsidRPr="003B3821">
              <w:rPr>
                <w:rFonts w:ascii="Arabic Typesetting" w:eastAsia="Arabic Typesetting" w:hAnsi="Arabic Typesetting" w:cs="Arabic Typesetting"/>
                <w:color w:val="002060"/>
                <w:sz w:val="28"/>
                <w:szCs w:val="28"/>
                <w:rtl/>
                <w:lang w:eastAsia="ar-EG" w:bidi="ar-EG"/>
              </w:rPr>
              <w:t>90% أو أكثر</w:t>
            </w:r>
          </w:p>
          <w:p w14:paraId="5A451A88"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i/>
                <w:iCs/>
                <w:sz w:val="28"/>
                <w:szCs w:val="28"/>
                <w:rtl/>
                <w:lang w:eastAsia="ar-EG" w:bidi="ar-EG"/>
              </w:rPr>
              <w:t>‏أساس المقارنة الأصلي:</w:t>
            </w:r>
            <w:r w:rsidRPr="003B3821">
              <w:rPr>
                <w:rFonts w:ascii="Arabic Typesetting" w:eastAsia="Arabic Typesetting" w:hAnsi="Arabic Typesetting" w:cs="Arabic Typesetting"/>
                <w:i/>
                <w:sz w:val="28"/>
                <w:szCs w:val="28"/>
                <w:lang w:eastAsia="ar-EG" w:bidi="ar-EG"/>
              </w:rPr>
              <w:br/>
            </w:r>
            <w:r>
              <w:rPr>
                <w:rFonts w:ascii="Arabic Typesetting" w:eastAsia="Arabic Typesetting" w:hAnsi="Arabic Typesetting" w:cs="Arabic Typesetting"/>
                <w:i/>
                <w:iCs/>
                <w:sz w:val="28"/>
                <w:szCs w:val="28"/>
                <w:rtl/>
                <w:lang w:eastAsia="ar-EG" w:bidi="ar-EG"/>
              </w:rPr>
              <w:t>برنامج وميزانية 2016/17:</w:t>
            </w:r>
            <w:r>
              <w:rPr>
                <w:rFonts w:ascii="Arabic Typesetting" w:eastAsia="Arabic Typesetting" w:hAnsi="Arabic Typesetting" w:cs="Arabic Typesetting"/>
                <w:i/>
                <w:iCs/>
                <w:sz w:val="28"/>
                <w:szCs w:val="28"/>
                <w:rtl/>
                <w:lang w:eastAsia="ar-EG" w:bidi="ar-EG"/>
              </w:rPr>
              <w:br/>
            </w:r>
            <w:r>
              <w:rPr>
                <w:rFonts w:ascii="Arabic Typesetting" w:eastAsia="Arabic Typesetting" w:hAnsi="Arabic Typesetting" w:cs="Arabic Typesetting" w:hint="cs"/>
                <w:color w:val="000000"/>
                <w:sz w:val="28"/>
                <w:szCs w:val="28"/>
                <w:rtl/>
                <w:lang w:eastAsia="ar-EG" w:bidi="ar-EG"/>
              </w:rPr>
              <w:t xml:space="preserve">90% </w:t>
            </w:r>
            <w:r w:rsidRPr="003B3821">
              <w:rPr>
                <w:rFonts w:ascii="Arabic Typesetting" w:eastAsia="Arabic Typesetting" w:hAnsi="Arabic Typesetting" w:cs="Arabic Typesetting"/>
                <w:color w:val="000000"/>
                <w:sz w:val="28"/>
                <w:szCs w:val="28"/>
                <w:rtl/>
                <w:lang w:eastAsia="ar-EG" w:bidi="ar-EG"/>
              </w:rPr>
              <w:t>أو أكثر من مجموع أصحاب المصلحة/الزبائن تعالج طلباتهم في الوقت المناسب للحصول على مساعدة متعلقة بالسلامة والأمن في المؤتمرات أو التظاهرات التي تقام في جنيف أو خارجها</w:t>
            </w:r>
          </w:p>
        </w:tc>
        <w:tc>
          <w:tcPr>
            <w:tcW w:w="723" w:type="pct"/>
            <w:shd w:val="clear" w:color="auto" w:fill="auto"/>
            <w:tcMar>
              <w:top w:w="110" w:type="dxa"/>
              <w:left w:w="58" w:type="dxa"/>
              <w:right w:w="58" w:type="dxa"/>
            </w:tcMar>
          </w:tcPr>
          <w:p w14:paraId="2817C752" w14:textId="77777777" w:rsidR="00BD3831" w:rsidRPr="003B382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color w:val="000000"/>
                <w:sz w:val="28"/>
                <w:szCs w:val="28"/>
                <w:rtl/>
                <w:lang w:eastAsia="ar-EG" w:bidi="ar-EG"/>
              </w:rPr>
              <w:t>90% أو أكثر</w:t>
            </w:r>
          </w:p>
        </w:tc>
        <w:tc>
          <w:tcPr>
            <w:tcW w:w="1325" w:type="pct"/>
            <w:shd w:val="clear" w:color="auto" w:fill="FFFFFF"/>
            <w:tcMar>
              <w:top w:w="110" w:type="dxa"/>
              <w:left w:w="58" w:type="dxa"/>
              <w:right w:w="58" w:type="dxa"/>
            </w:tcMar>
          </w:tcPr>
          <w:p w14:paraId="33466E8E" w14:textId="77777777" w:rsidR="00BD3831" w:rsidRPr="003B3821"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sz w:val="28"/>
                <w:szCs w:val="28"/>
                <w:rtl/>
                <w:lang w:eastAsia="ar-EG" w:bidi="ar-EG"/>
              </w:rPr>
              <w:t>قدِّم الدعم لما مجموعه 115 اجتماعاً ومؤتمراً و97 تظاهرة أي 100% من الطلبات</w:t>
            </w:r>
          </w:p>
        </w:tc>
        <w:tc>
          <w:tcPr>
            <w:tcW w:w="499" w:type="pct"/>
            <w:shd w:val="clear" w:color="auto" w:fill="auto"/>
            <w:tcMar>
              <w:top w:w="110" w:type="dxa"/>
              <w:left w:w="58" w:type="dxa"/>
              <w:right w:w="58" w:type="dxa"/>
            </w:tcMar>
          </w:tcPr>
          <w:p w14:paraId="300C084A" w14:textId="77777777" w:rsidR="00BD3831" w:rsidRPr="003B3821" w:rsidRDefault="00BD3831" w:rsidP="0031289D">
            <w:pPr>
              <w:keepNext/>
              <w:keepLines/>
              <w:bidi/>
              <w:spacing w:after="120" w:line="280" w:lineRule="exact"/>
              <w:jc w:val="center"/>
              <w:rPr>
                <w:rFonts w:ascii="Arabic Typesetting" w:eastAsia="Arabic Typesetting" w:hAnsi="Arabic Typesetting" w:cs="Arabic Typesetting"/>
                <w:color w:val="000000"/>
                <w:sz w:val="28"/>
                <w:szCs w:val="28"/>
                <w:lang w:eastAsia="ar-EG" w:bidi="ar-EG"/>
              </w:rPr>
            </w:pPr>
            <w:r w:rsidRPr="003B3821">
              <w:rPr>
                <w:rFonts w:ascii="Arabic Typesetting" w:eastAsia="Arabic Typesetting" w:hAnsi="Arabic Typesetting" w:cs="Arabic Typesetting"/>
                <w:b/>
                <w:bCs/>
                <w:color w:val="00B050"/>
                <w:sz w:val="28"/>
                <w:szCs w:val="28"/>
                <w:rtl/>
                <w:lang w:eastAsia="ar-EG" w:bidi="ar-EG"/>
              </w:rPr>
              <w:t>ثابت</w:t>
            </w:r>
          </w:p>
        </w:tc>
      </w:tr>
    </w:tbl>
    <w:p w14:paraId="1461DC8B" w14:textId="77777777" w:rsidR="00BD3831" w:rsidRDefault="00BD3831" w:rsidP="0031289D">
      <w:pPr>
        <w:bidi/>
      </w:pPr>
    </w:p>
    <w:tbl>
      <w:tblPr>
        <w:tblStyle w:val="TableGrid"/>
        <w:bidiVisual/>
        <w:tblW w:w="0" w:type="auto"/>
        <w:tblLook w:val="04A0" w:firstRow="1" w:lastRow="0" w:firstColumn="1" w:lastColumn="0" w:noHBand="0" w:noVBand="1"/>
      </w:tblPr>
      <w:tblGrid>
        <w:gridCol w:w="9571"/>
      </w:tblGrid>
      <w:tr w:rsidR="00BD3831" w14:paraId="58D65926" w14:textId="77777777" w:rsidTr="00DF6715">
        <w:tc>
          <w:tcPr>
            <w:tcW w:w="9571" w:type="dxa"/>
            <w:tcBorders>
              <w:top w:val="nil"/>
              <w:left w:val="nil"/>
              <w:bottom w:val="nil"/>
              <w:right w:val="nil"/>
            </w:tcBorders>
            <w:shd w:val="clear" w:color="auto" w:fill="C6D9F1"/>
            <w:vAlign w:val="center"/>
          </w:tcPr>
          <w:p w14:paraId="09568FC6" w14:textId="77777777" w:rsidR="00BD3831" w:rsidRPr="00A2672B" w:rsidRDefault="00BD3831" w:rsidP="0031289D">
            <w:pPr>
              <w:keepNext/>
              <w:pageBreakBefore/>
              <w:bidi/>
              <w:spacing w:before="200" w:after="200" w:line="340" w:lineRule="exact"/>
              <w:jc w:val="center"/>
              <w:rPr>
                <w:rFonts w:ascii="Arabic Typesetting" w:hAnsi="Arabic Typesetting" w:cs="Arabic Typesetting"/>
                <w:b/>
                <w:bCs/>
                <w:sz w:val="34"/>
                <w:szCs w:val="34"/>
                <w:rtl/>
                <w:lang w:bidi="ar-EG"/>
              </w:rPr>
            </w:pPr>
            <w:r w:rsidRPr="00A2672B">
              <w:rPr>
                <w:rFonts w:ascii="Arabic Typesetting" w:hAnsi="Arabic Typesetting" w:cs="Arabic Typesetting" w:hint="cs"/>
                <w:b/>
                <w:bCs/>
                <w:sz w:val="34"/>
                <w:szCs w:val="34"/>
                <w:rtl/>
                <w:lang w:bidi="ar-EG"/>
              </w:rPr>
              <w:lastRenderedPageBreak/>
              <w:t>استخد</w:t>
            </w:r>
            <w:r>
              <w:rPr>
                <w:rFonts w:ascii="Arabic Typesetting" w:hAnsi="Arabic Typesetting" w:cs="Arabic Typesetting"/>
                <w:b/>
                <w:bCs/>
                <w:sz w:val="34"/>
                <w:szCs w:val="34"/>
                <w:rtl/>
                <w:lang w:bidi="ar-EG"/>
              </w:rPr>
              <w:t xml:space="preserve">ام موارد البرنامج </w:t>
            </w:r>
            <w:r>
              <w:rPr>
                <w:rFonts w:ascii="Arabic Typesetting" w:hAnsi="Arabic Typesetting" w:cs="Arabic Typesetting" w:hint="cs"/>
                <w:b/>
                <w:bCs/>
                <w:sz w:val="34"/>
                <w:szCs w:val="34"/>
                <w:rtl/>
                <w:lang w:bidi="ar-EG"/>
              </w:rPr>
              <w:t>28</w:t>
            </w:r>
          </w:p>
        </w:tc>
      </w:tr>
    </w:tbl>
    <w:p w14:paraId="3226E5D1" w14:textId="77777777" w:rsidR="00BD3831" w:rsidRPr="00FE3908" w:rsidRDefault="00BD3831"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14:paraId="194B42B1" w14:textId="77777777" w:rsidR="00BD3831" w:rsidRDefault="00BD3831" w:rsidP="0031289D">
      <w:pPr>
        <w:keepNext/>
        <w:bidi/>
        <w:spacing w:after="24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D3831" w:rsidRPr="00211D55" w14:paraId="74BF1CC6" w14:textId="77777777" w:rsidTr="00DF6715">
        <w:trPr>
          <w:trHeight w:val="825"/>
        </w:trPr>
        <w:tc>
          <w:tcPr>
            <w:tcW w:w="2753" w:type="pct"/>
            <w:gridSpan w:val="2"/>
            <w:shd w:val="clear" w:color="auto" w:fill="C6D9F1"/>
            <w:noWrap/>
            <w:tcMar>
              <w:top w:w="15" w:type="dxa"/>
              <w:left w:w="15" w:type="dxa"/>
              <w:bottom w:w="0" w:type="dxa"/>
              <w:right w:w="15" w:type="dxa"/>
            </w:tcMar>
            <w:vAlign w:val="center"/>
            <w:hideMark/>
          </w:tcPr>
          <w:p w14:paraId="774A49E1"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رقم النتيجة المرتقبة ووصفها</w:t>
            </w:r>
          </w:p>
        </w:tc>
        <w:tc>
          <w:tcPr>
            <w:tcW w:w="749" w:type="pct"/>
            <w:shd w:val="clear" w:color="auto" w:fill="C6D9F1"/>
            <w:tcMar>
              <w:top w:w="15" w:type="dxa"/>
              <w:left w:w="15" w:type="dxa"/>
              <w:bottom w:w="0" w:type="dxa"/>
              <w:right w:w="15" w:type="dxa"/>
            </w:tcMar>
            <w:vAlign w:val="center"/>
            <w:hideMark/>
          </w:tcPr>
          <w:p w14:paraId="780124D0"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الميزانية المعتمدة </w:t>
            </w:r>
            <w:r w:rsidRPr="00A2672B">
              <w:rPr>
                <w:rFonts w:ascii="Arabic Typesetting" w:hAnsi="Arabic Typesetting" w:cs="Arabic Typesetting" w:hint="cs"/>
                <w:b/>
                <w:bCs/>
                <w:i/>
                <w:iCs/>
                <w:sz w:val="28"/>
                <w:szCs w:val="28"/>
                <w:rtl/>
              </w:rPr>
              <w:t>2016/17</w:t>
            </w:r>
          </w:p>
        </w:tc>
        <w:tc>
          <w:tcPr>
            <w:tcW w:w="749" w:type="pct"/>
            <w:shd w:val="clear" w:color="auto" w:fill="C6D9F1"/>
            <w:tcMar>
              <w:top w:w="15" w:type="dxa"/>
              <w:left w:w="15" w:type="dxa"/>
              <w:bottom w:w="0" w:type="dxa"/>
              <w:right w:w="15" w:type="dxa"/>
            </w:tcMar>
            <w:vAlign w:val="center"/>
            <w:hideMark/>
          </w:tcPr>
          <w:p w14:paraId="5EEE24F0" w14:textId="77777777" w:rsidR="00BD3831" w:rsidRPr="00A2672B" w:rsidRDefault="00BD3831" w:rsidP="0031289D">
            <w:pPr>
              <w:bidi/>
              <w:jc w:val="center"/>
              <w:rPr>
                <w:rFonts w:ascii="Arabic Typesetting" w:hAnsi="Arabic Typesetting" w:cs="Arabic Typesetting"/>
                <w:b/>
                <w:bCs/>
                <w:i/>
                <w:iCs/>
                <w:sz w:val="28"/>
                <w:szCs w:val="28"/>
              </w:rPr>
            </w:pPr>
            <w:r w:rsidRPr="00427177">
              <w:rPr>
                <w:rFonts w:ascii="Arabic Typesetting" w:hAnsi="Arabic Typesetting" w:cs="Arabic Typesetting"/>
                <w:b/>
                <w:bCs/>
                <w:i/>
                <w:iCs/>
                <w:sz w:val="28"/>
                <w:szCs w:val="28"/>
                <w:rtl/>
              </w:rPr>
              <w:t>ميزانية 2016/17 بعد</w:t>
            </w:r>
            <w:r>
              <w:rPr>
                <w:rFonts w:ascii="Arabic Typesetting" w:hAnsi="Arabic Typesetting" w:cs="Arabic Typesetting" w:hint="cs"/>
                <w:b/>
                <w:bCs/>
                <w:i/>
                <w:iCs/>
                <w:sz w:val="28"/>
                <w:szCs w:val="28"/>
                <w:rtl/>
              </w:rPr>
              <w:t> </w:t>
            </w:r>
            <w:r w:rsidRPr="00427177">
              <w:rPr>
                <w:rFonts w:ascii="Arabic Typesetting" w:hAnsi="Arabic Typesetting" w:cs="Arabic Typesetting"/>
                <w:b/>
                <w:bCs/>
                <w:i/>
                <w:iCs/>
                <w:sz w:val="28"/>
                <w:szCs w:val="28"/>
                <w:rtl/>
              </w:rPr>
              <w:t>التحويلات</w:t>
            </w:r>
          </w:p>
        </w:tc>
        <w:tc>
          <w:tcPr>
            <w:tcW w:w="749" w:type="pct"/>
            <w:shd w:val="clear" w:color="auto" w:fill="C6D9F1"/>
            <w:tcMar>
              <w:top w:w="15" w:type="dxa"/>
              <w:left w:w="15" w:type="dxa"/>
              <w:bottom w:w="0" w:type="dxa"/>
              <w:right w:w="15" w:type="dxa"/>
            </w:tcMar>
            <w:vAlign w:val="center"/>
            <w:hideMark/>
          </w:tcPr>
          <w:p w14:paraId="710C023F" w14:textId="77777777" w:rsidR="00BD3831" w:rsidRPr="00A2672B" w:rsidRDefault="00BD3831" w:rsidP="0031289D">
            <w:pPr>
              <w:bidi/>
              <w:jc w:val="center"/>
              <w:rPr>
                <w:rFonts w:ascii="Arabic Typesetting" w:hAnsi="Arabic Typesetting" w:cs="Arabic Typesetting"/>
                <w:b/>
                <w:bCs/>
                <w:i/>
                <w:iCs/>
                <w:sz w:val="28"/>
                <w:szCs w:val="28"/>
              </w:rPr>
            </w:pPr>
            <w:r w:rsidRPr="00A2672B">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r>
      <w:tr w:rsidR="00BD3831" w:rsidRPr="00211D55" w14:paraId="2B263B4B" w14:textId="77777777" w:rsidTr="00DF6715">
        <w:trPr>
          <w:trHeight w:val="55"/>
        </w:trPr>
        <w:tc>
          <w:tcPr>
            <w:tcW w:w="413" w:type="pct"/>
            <w:shd w:val="clear" w:color="auto" w:fill="auto"/>
            <w:noWrap/>
            <w:tcMar>
              <w:top w:w="15" w:type="dxa"/>
              <w:left w:w="15" w:type="dxa"/>
              <w:bottom w:w="0" w:type="dxa"/>
              <w:right w:w="15" w:type="dxa"/>
            </w:tcMar>
          </w:tcPr>
          <w:p w14:paraId="62BFDBBA" w14:textId="77777777" w:rsidR="00BD3831" w:rsidRPr="003B3821" w:rsidRDefault="00BD3831" w:rsidP="0031289D">
            <w:pPr>
              <w:bidi/>
              <w:spacing w:before="120" w:after="120"/>
              <w:rPr>
                <w:rFonts w:ascii="Arabic Typesetting" w:hAnsi="Arabic Typesetting" w:cs="Arabic Typesetting"/>
                <w:sz w:val="28"/>
                <w:szCs w:val="28"/>
              </w:rPr>
            </w:pPr>
            <w:r w:rsidRPr="003B3821">
              <w:rPr>
                <w:rFonts w:ascii="Arabic Typesetting" w:hAnsi="Arabic Typesetting" w:cs="Arabic Typesetting"/>
                <w:sz w:val="28"/>
                <w:szCs w:val="28"/>
                <w:rtl/>
              </w:rPr>
              <w:t>ه1.9</w:t>
            </w:r>
          </w:p>
        </w:tc>
        <w:tc>
          <w:tcPr>
            <w:tcW w:w="2340" w:type="pct"/>
            <w:shd w:val="clear" w:color="auto" w:fill="auto"/>
            <w:tcMar>
              <w:top w:w="15" w:type="dxa"/>
              <w:left w:w="15" w:type="dxa"/>
              <w:bottom w:w="0" w:type="dxa"/>
              <w:right w:w="15" w:type="dxa"/>
            </w:tcMar>
          </w:tcPr>
          <w:p w14:paraId="755D5BE3" w14:textId="77777777" w:rsidR="00BD3831" w:rsidRPr="003B3821" w:rsidRDefault="00BD3831" w:rsidP="0031289D">
            <w:pPr>
              <w:bidi/>
              <w:spacing w:before="120" w:after="120"/>
              <w:rPr>
                <w:rFonts w:ascii="Arabic Typesetting" w:hAnsi="Arabic Typesetting" w:cs="Arabic Typesetting"/>
                <w:sz w:val="28"/>
                <w:szCs w:val="28"/>
              </w:rPr>
            </w:pPr>
            <w:r w:rsidRPr="003B3821">
              <w:rPr>
                <w:rFonts w:ascii="Arabic Typesetting" w:hAnsi="Arabic Typesetting" w:cs="Arabic Typesetting"/>
                <w:sz w:val="28"/>
                <w:szCs w:val="28"/>
                <w:rtl/>
              </w:rPr>
              <w:t>خدمات دعم موجهة للزبون بفعالية وكفاءة وجودة لفائدة الزبائن الداخليين وأصحاب المصلحة الخارجيين</w:t>
            </w:r>
          </w:p>
        </w:tc>
        <w:tc>
          <w:tcPr>
            <w:tcW w:w="749" w:type="pct"/>
            <w:shd w:val="clear" w:color="auto" w:fill="auto"/>
            <w:tcMar>
              <w:top w:w="15" w:type="dxa"/>
              <w:left w:w="15" w:type="dxa"/>
              <w:bottom w:w="0" w:type="dxa"/>
              <w:right w:w="15" w:type="dxa"/>
            </w:tcMar>
            <w:vAlign w:val="center"/>
          </w:tcPr>
          <w:p w14:paraId="199B1432" w14:textId="7BAADE4E"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1</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189</w:t>
            </w:r>
          </w:p>
        </w:tc>
        <w:tc>
          <w:tcPr>
            <w:tcW w:w="749" w:type="pct"/>
            <w:shd w:val="clear" w:color="auto" w:fill="auto"/>
            <w:tcMar>
              <w:top w:w="15" w:type="dxa"/>
              <w:left w:w="15" w:type="dxa"/>
              <w:bottom w:w="0" w:type="dxa"/>
              <w:right w:w="15" w:type="dxa"/>
            </w:tcMar>
            <w:vAlign w:val="center"/>
          </w:tcPr>
          <w:p w14:paraId="6D627809" w14:textId="1471169E"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2</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733</w:t>
            </w:r>
          </w:p>
        </w:tc>
        <w:tc>
          <w:tcPr>
            <w:tcW w:w="749" w:type="pct"/>
            <w:shd w:val="clear" w:color="auto" w:fill="auto"/>
            <w:noWrap/>
            <w:tcMar>
              <w:top w:w="15" w:type="dxa"/>
              <w:left w:w="15" w:type="dxa"/>
              <w:bottom w:w="0" w:type="dxa"/>
              <w:right w:w="15" w:type="dxa"/>
            </w:tcMar>
            <w:vAlign w:val="center"/>
          </w:tcPr>
          <w:p w14:paraId="75A3E21C" w14:textId="334BBD40"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1</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161</w:t>
            </w:r>
          </w:p>
        </w:tc>
      </w:tr>
      <w:tr w:rsidR="00BD3831" w:rsidRPr="00211D55" w14:paraId="5F023DB7" w14:textId="77777777" w:rsidTr="00DF6715">
        <w:trPr>
          <w:trHeight w:val="55"/>
        </w:trPr>
        <w:tc>
          <w:tcPr>
            <w:tcW w:w="413" w:type="pct"/>
            <w:shd w:val="clear" w:color="auto" w:fill="auto"/>
            <w:noWrap/>
            <w:tcMar>
              <w:top w:w="15" w:type="dxa"/>
              <w:left w:w="15" w:type="dxa"/>
              <w:bottom w:w="0" w:type="dxa"/>
              <w:right w:w="15" w:type="dxa"/>
            </w:tcMar>
          </w:tcPr>
          <w:p w14:paraId="74BD6E1B" w14:textId="77777777" w:rsidR="00BD3831" w:rsidRPr="003B3821" w:rsidRDefault="00BD3831" w:rsidP="0031289D">
            <w:pPr>
              <w:bidi/>
              <w:spacing w:before="120" w:after="120"/>
              <w:rPr>
                <w:rFonts w:ascii="Arabic Typesetting" w:hAnsi="Arabic Typesetting" w:cs="Arabic Typesetting"/>
                <w:sz w:val="28"/>
                <w:szCs w:val="28"/>
              </w:rPr>
            </w:pPr>
            <w:r w:rsidRPr="003B3821">
              <w:rPr>
                <w:rFonts w:ascii="Arabic Typesetting" w:hAnsi="Arabic Typesetting" w:cs="Arabic Typesetting"/>
                <w:sz w:val="28"/>
                <w:szCs w:val="28"/>
                <w:rtl/>
              </w:rPr>
              <w:t>ه4.9</w:t>
            </w:r>
          </w:p>
        </w:tc>
        <w:tc>
          <w:tcPr>
            <w:tcW w:w="2340" w:type="pct"/>
            <w:shd w:val="clear" w:color="auto" w:fill="auto"/>
            <w:tcMar>
              <w:top w:w="15" w:type="dxa"/>
              <w:left w:w="15" w:type="dxa"/>
              <w:bottom w:w="0" w:type="dxa"/>
              <w:right w:w="15" w:type="dxa"/>
            </w:tcMar>
          </w:tcPr>
          <w:p w14:paraId="2235F50D" w14:textId="77777777" w:rsidR="00BD3831" w:rsidRPr="003B3821" w:rsidRDefault="00BD3831" w:rsidP="0031289D">
            <w:pPr>
              <w:bidi/>
              <w:spacing w:before="120" w:after="120"/>
              <w:rPr>
                <w:rFonts w:ascii="Arabic Typesetting" w:hAnsi="Arabic Typesetting" w:cs="Arabic Typesetting"/>
                <w:sz w:val="28"/>
                <w:szCs w:val="28"/>
              </w:rPr>
            </w:pPr>
            <w:r w:rsidRPr="003B3821">
              <w:rPr>
                <w:rFonts w:ascii="Arabic Typesetting" w:hAnsi="Arabic Typesetting" w:cs="Arabic Typesetting"/>
                <w:sz w:val="28"/>
                <w:szCs w:val="28"/>
                <w:rtl/>
              </w:rPr>
              <w:t>منظمة ذات مسؤولية بيئية واجتماعية تكفل السلامة والأمن للموظفين في الويبو والمندوبين والزائرين والممتلكات المادية والمعلومات</w:t>
            </w:r>
          </w:p>
        </w:tc>
        <w:tc>
          <w:tcPr>
            <w:tcW w:w="749" w:type="pct"/>
            <w:shd w:val="clear" w:color="auto" w:fill="auto"/>
            <w:tcMar>
              <w:top w:w="15" w:type="dxa"/>
              <w:left w:w="15" w:type="dxa"/>
              <w:bottom w:w="0" w:type="dxa"/>
              <w:right w:w="15" w:type="dxa"/>
            </w:tcMar>
            <w:vAlign w:val="center"/>
          </w:tcPr>
          <w:p w14:paraId="0B06B54A" w14:textId="41615AB0"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16</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544</w:t>
            </w:r>
          </w:p>
        </w:tc>
        <w:tc>
          <w:tcPr>
            <w:tcW w:w="749" w:type="pct"/>
            <w:shd w:val="clear" w:color="auto" w:fill="auto"/>
            <w:tcMar>
              <w:top w:w="15" w:type="dxa"/>
              <w:left w:w="15" w:type="dxa"/>
              <w:bottom w:w="0" w:type="dxa"/>
              <w:right w:w="15" w:type="dxa"/>
            </w:tcMar>
            <w:vAlign w:val="center"/>
          </w:tcPr>
          <w:p w14:paraId="1B6588E3" w14:textId="63DDB7AD"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16</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644</w:t>
            </w:r>
          </w:p>
        </w:tc>
        <w:tc>
          <w:tcPr>
            <w:tcW w:w="749" w:type="pct"/>
            <w:shd w:val="clear" w:color="auto" w:fill="auto"/>
            <w:noWrap/>
            <w:tcMar>
              <w:top w:w="15" w:type="dxa"/>
              <w:left w:w="15" w:type="dxa"/>
              <w:bottom w:w="0" w:type="dxa"/>
              <w:right w:w="15" w:type="dxa"/>
            </w:tcMar>
            <w:vAlign w:val="center"/>
          </w:tcPr>
          <w:p w14:paraId="21413E5D" w14:textId="6E52798E"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6</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805</w:t>
            </w:r>
          </w:p>
        </w:tc>
      </w:tr>
      <w:tr w:rsidR="00BD3831" w:rsidRPr="00211D55" w14:paraId="50180A5C" w14:textId="77777777" w:rsidTr="00DF6715">
        <w:trPr>
          <w:trHeight w:val="225"/>
        </w:trPr>
        <w:tc>
          <w:tcPr>
            <w:tcW w:w="413" w:type="pct"/>
            <w:shd w:val="clear" w:color="auto" w:fill="C6D9F1"/>
            <w:noWrap/>
            <w:tcMar>
              <w:top w:w="15" w:type="dxa"/>
              <w:left w:w="15" w:type="dxa"/>
              <w:bottom w:w="0" w:type="dxa"/>
              <w:right w:w="15" w:type="dxa"/>
            </w:tcMar>
            <w:vAlign w:val="bottom"/>
            <w:hideMark/>
          </w:tcPr>
          <w:p w14:paraId="74067DB4" w14:textId="77777777" w:rsidR="00BD3831" w:rsidRPr="00211D55" w:rsidRDefault="00BD3831" w:rsidP="0031289D">
            <w:pPr>
              <w:bidi/>
              <w:rPr>
                <w:rFonts w:ascii="Arabic Typesetting" w:hAnsi="Arabic Typesetting" w:cs="Arabic Typesetting"/>
                <w:sz w:val="28"/>
                <w:szCs w:val="28"/>
              </w:rPr>
            </w:pPr>
          </w:p>
        </w:tc>
        <w:tc>
          <w:tcPr>
            <w:tcW w:w="2340" w:type="pct"/>
            <w:shd w:val="clear" w:color="auto" w:fill="C6D9F1"/>
            <w:noWrap/>
            <w:tcMar>
              <w:top w:w="15" w:type="dxa"/>
              <w:left w:w="15" w:type="dxa"/>
              <w:bottom w:w="0" w:type="dxa"/>
              <w:right w:w="15" w:type="dxa"/>
            </w:tcMar>
            <w:vAlign w:val="bottom"/>
            <w:hideMark/>
          </w:tcPr>
          <w:p w14:paraId="381155A2" w14:textId="77777777" w:rsidR="00BD3831" w:rsidRPr="00D41845" w:rsidRDefault="00BD3831" w:rsidP="0031289D">
            <w:pPr>
              <w:bidi/>
              <w:jc w:val="right"/>
              <w:rPr>
                <w:rFonts w:ascii="Arabic Typesetting" w:hAnsi="Arabic Typesetting" w:cs="Arabic Typesetting"/>
                <w:b/>
                <w:bCs/>
                <w:sz w:val="28"/>
                <w:szCs w:val="28"/>
              </w:rPr>
            </w:pPr>
            <w:r w:rsidRPr="00D41845">
              <w:rPr>
                <w:rFonts w:ascii="Arabic Typesetting" w:hAnsi="Arabic Typesetting" w:cs="Arabic Typesetting"/>
                <w:b/>
                <w:bCs/>
                <w:sz w:val="28"/>
                <w:szCs w:val="28"/>
                <w:rtl/>
              </w:rPr>
              <w:t>المجموع</w:t>
            </w:r>
          </w:p>
        </w:tc>
        <w:tc>
          <w:tcPr>
            <w:tcW w:w="749" w:type="pct"/>
            <w:shd w:val="clear" w:color="auto" w:fill="C6D9F1"/>
            <w:noWrap/>
            <w:tcMar>
              <w:top w:w="15" w:type="dxa"/>
              <w:left w:w="15" w:type="dxa"/>
              <w:bottom w:w="0" w:type="dxa"/>
              <w:right w:w="15" w:type="dxa"/>
            </w:tcMar>
            <w:vAlign w:val="center"/>
          </w:tcPr>
          <w:p w14:paraId="0C0EE96B" w14:textId="67038D14"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17</w:t>
            </w:r>
            <w:r w:rsidR="00B21943" w:rsidRPr="00280D1A">
              <w:rPr>
                <w:rFonts w:ascii="Arabic Typesetting" w:hAnsi="Arabic Typesetting" w:cs="Arabic Typesetting"/>
                <w:b/>
                <w:bCs/>
                <w:color w:val="000000"/>
                <w:sz w:val="28"/>
                <w:szCs w:val="28"/>
              </w:rPr>
              <w:t> </w:t>
            </w:r>
            <w:r w:rsidRPr="00280D1A">
              <w:rPr>
                <w:rFonts w:ascii="Arabic Typesetting" w:hAnsi="Arabic Typesetting" w:cs="Arabic Typesetting"/>
                <w:b/>
                <w:bCs/>
                <w:color w:val="000000"/>
                <w:sz w:val="28"/>
                <w:szCs w:val="28"/>
              </w:rPr>
              <w:t>733</w:t>
            </w:r>
          </w:p>
        </w:tc>
        <w:tc>
          <w:tcPr>
            <w:tcW w:w="749" w:type="pct"/>
            <w:shd w:val="clear" w:color="auto" w:fill="C6D9F1"/>
            <w:noWrap/>
            <w:tcMar>
              <w:top w:w="15" w:type="dxa"/>
              <w:left w:w="15" w:type="dxa"/>
              <w:bottom w:w="0" w:type="dxa"/>
              <w:right w:w="15" w:type="dxa"/>
            </w:tcMar>
            <w:vAlign w:val="center"/>
          </w:tcPr>
          <w:p w14:paraId="331D5EE0" w14:textId="2E5C8340"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19</w:t>
            </w:r>
            <w:r w:rsidR="00B21943" w:rsidRPr="00280D1A">
              <w:rPr>
                <w:rFonts w:ascii="Arabic Typesetting" w:hAnsi="Arabic Typesetting" w:cs="Arabic Typesetting"/>
                <w:b/>
                <w:bCs/>
                <w:color w:val="000000"/>
                <w:sz w:val="28"/>
                <w:szCs w:val="28"/>
              </w:rPr>
              <w:t> </w:t>
            </w:r>
            <w:r w:rsidRPr="00280D1A">
              <w:rPr>
                <w:rFonts w:ascii="Arabic Typesetting" w:hAnsi="Arabic Typesetting" w:cs="Arabic Typesetting"/>
                <w:b/>
                <w:bCs/>
                <w:color w:val="000000"/>
                <w:sz w:val="28"/>
                <w:szCs w:val="28"/>
              </w:rPr>
              <w:t>377</w:t>
            </w:r>
          </w:p>
        </w:tc>
        <w:tc>
          <w:tcPr>
            <w:tcW w:w="749" w:type="pct"/>
            <w:shd w:val="clear" w:color="auto" w:fill="C6D9F1"/>
            <w:noWrap/>
            <w:tcMar>
              <w:top w:w="15" w:type="dxa"/>
              <w:left w:w="15" w:type="dxa"/>
              <w:bottom w:w="0" w:type="dxa"/>
              <w:right w:w="15" w:type="dxa"/>
            </w:tcMar>
            <w:vAlign w:val="center"/>
          </w:tcPr>
          <w:p w14:paraId="08CD8946" w14:textId="6B94E422" w:rsidR="00BD3831" w:rsidRPr="00280D1A" w:rsidRDefault="00BD3831" w:rsidP="0031289D">
            <w:pPr>
              <w:jc w:val="center"/>
              <w:rPr>
                <w:rFonts w:ascii="Arabic Typesetting" w:hAnsi="Arabic Typesetting" w:cs="Arabic Typesetting"/>
                <w:b/>
                <w:bCs/>
                <w:color w:val="000000"/>
                <w:sz w:val="28"/>
                <w:szCs w:val="28"/>
              </w:rPr>
            </w:pPr>
            <w:r w:rsidRPr="00280D1A">
              <w:rPr>
                <w:rFonts w:ascii="Arabic Typesetting" w:hAnsi="Arabic Typesetting" w:cs="Arabic Typesetting"/>
                <w:b/>
                <w:bCs/>
                <w:color w:val="000000"/>
                <w:sz w:val="28"/>
                <w:szCs w:val="28"/>
              </w:rPr>
              <w:t>7</w:t>
            </w:r>
            <w:r w:rsidR="00B21943" w:rsidRPr="00280D1A">
              <w:rPr>
                <w:rFonts w:ascii="Arabic Typesetting" w:hAnsi="Arabic Typesetting" w:cs="Arabic Typesetting"/>
                <w:b/>
                <w:bCs/>
                <w:color w:val="000000"/>
                <w:sz w:val="28"/>
                <w:szCs w:val="28"/>
              </w:rPr>
              <w:t> </w:t>
            </w:r>
            <w:r w:rsidRPr="00280D1A">
              <w:rPr>
                <w:rFonts w:ascii="Arabic Typesetting" w:hAnsi="Arabic Typesetting" w:cs="Arabic Typesetting"/>
                <w:b/>
                <w:bCs/>
                <w:color w:val="000000"/>
                <w:sz w:val="28"/>
                <w:szCs w:val="28"/>
              </w:rPr>
              <w:t>967</w:t>
            </w:r>
          </w:p>
        </w:tc>
      </w:tr>
      <w:tr w:rsidR="00BD3831" w:rsidRPr="00211D55" w14:paraId="025FD42F" w14:textId="77777777" w:rsidTr="00DF6715">
        <w:trPr>
          <w:trHeight w:val="225"/>
        </w:trPr>
        <w:tc>
          <w:tcPr>
            <w:tcW w:w="5000" w:type="pct"/>
            <w:gridSpan w:val="5"/>
            <w:shd w:val="clear" w:color="auto" w:fill="auto"/>
            <w:noWrap/>
            <w:tcMar>
              <w:top w:w="15" w:type="dxa"/>
              <w:left w:w="15" w:type="dxa"/>
              <w:bottom w:w="0" w:type="dxa"/>
              <w:right w:w="15" w:type="dxa"/>
            </w:tcMar>
            <w:vAlign w:val="bottom"/>
          </w:tcPr>
          <w:p w14:paraId="455253A6" w14:textId="77777777" w:rsidR="00BD3831" w:rsidRPr="00A2672B" w:rsidRDefault="00BD3831" w:rsidP="0031289D">
            <w:pPr>
              <w:bidi/>
              <w:spacing w:before="60"/>
              <w:rPr>
                <w:rFonts w:ascii="Arabic Typesetting" w:hAnsi="Arabic Typesetting" w:cs="Arabic Typesetting"/>
                <w:i/>
                <w:iCs/>
                <w:color w:val="000000"/>
                <w:sz w:val="28"/>
                <w:szCs w:val="28"/>
                <w:rtl/>
                <w:lang w:bidi="ar-EG"/>
              </w:rPr>
            </w:pPr>
            <w:r w:rsidRPr="00A2672B">
              <w:rPr>
                <w:rFonts w:ascii="Arabic Typesetting" w:hAnsi="Arabic Typesetting" w:cs="Arabic Typesetting"/>
                <w:i/>
                <w:iCs/>
                <w:color w:val="000000"/>
                <w:sz w:val="28"/>
                <w:szCs w:val="28"/>
                <w:rtl/>
                <w:lang w:bidi="ar-EG"/>
              </w:rPr>
              <w:t>* نفقات 2016 نفقات أولية حتى</w:t>
            </w:r>
            <w:r>
              <w:rPr>
                <w:rFonts w:ascii="Arabic Typesetting" w:hAnsi="Arabic Typesetting" w:cs="Arabic Typesetting" w:hint="cs"/>
                <w:i/>
                <w:iCs/>
                <w:color w:val="000000"/>
                <w:sz w:val="28"/>
                <w:szCs w:val="28"/>
                <w:rtl/>
                <w:lang w:bidi="ar-EG"/>
              </w:rPr>
              <w:t xml:space="preserve"> تخضع</w:t>
            </w:r>
            <w:r w:rsidRPr="00A2672B">
              <w:rPr>
                <w:rFonts w:ascii="Arabic Typesetting" w:hAnsi="Arabic Typesetting" w:cs="Arabic Typesetting"/>
                <w:i/>
                <w:iCs/>
                <w:color w:val="000000"/>
                <w:sz w:val="28"/>
                <w:szCs w:val="28"/>
                <w:rtl/>
                <w:lang w:bidi="ar-EG"/>
              </w:rPr>
              <w:t xml:space="preserve"> </w:t>
            </w:r>
            <w:r>
              <w:rPr>
                <w:rFonts w:ascii="Arabic Typesetting" w:hAnsi="Arabic Typesetting" w:cs="Arabic Typesetting" w:hint="cs"/>
                <w:i/>
                <w:iCs/>
                <w:color w:val="000000"/>
                <w:sz w:val="28"/>
                <w:szCs w:val="28"/>
                <w:rtl/>
                <w:lang w:bidi="ar-EG"/>
              </w:rPr>
              <w:t>ل</w:t>
            </w:r>
            <w:r w:rsidRPr="00A2672B">
              <w:rPr>
                <w:rFonts w:ascii="Arabic Typesetting" w:hAnsi="Arabic Typesetting" w:cs="Arabic Typesetting"/>
                <w:i/>
                <w:iCs/>
                <w:color w:val="000000"/>
                <w:sz w:val="28"/>
                <w:szCs w:val="28"/>
                <w:rtl/>
                <w:lang w:bidi="ar-EG"/>
              </w:rPr>
              <w:t>تدقيق مراجعي الحسابات الخارجيين</w:t>
            </w:r>
          </w:p>
        </w:tc>
      </w:tr>
    </w:tbl>
    <w:p w14:paraId="315BD07D" w14:textId="77777777" w:rsidR="00BD3831" w:rsidRPr="00252762" w:rsidRDefault="00BD3831" w:rsidP="0031289D">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14:paraId="2A5A14D8" w14:textId="77777777" w:rsidR="00BD3831" w:rsidRPr="00DF1D8A" w:rsidRDefault="00BD3831" w:rsidP="0031289D">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38"/>
        <w:gridCol w:w="1860"/>
        <w:gridCol w:w="1859"/>
        <w:gridCol w:w="1857"/>
        <w:gridCol w:w="1857"/>
      </w:tblGrid>
      <w:tr w:rsidR="00BD3831" w:rsidRPr="00211D55" w14:paraId="6F0685F2" w14:textId="77777777" w:rsidTr="00DF6715">
        <w:trPr>
          <w:trHeight w:val="645"/>
        </w:trPr>
        <w:tc>
          <w:tcPr>
            <w:tcW w:w="1118" w:type="pct"/>
            <w:shd w:val="clear" w:color="auto" w:fill="C6D9F1"/>
            <w:noWrap/>
            <w:vAlign w:val="center"/>
            <w:hideMark/>
          </w:tcPr>
          <w:p w14:paraId="5CDE6D3F" w14:textId="77777777" w:rsidR="00BD3831" w:rsidRPr="00211D55" w:rsidRDefault="00BD3831" w:rsidP="0031289D">
            <w:pPr>
              <w:bidi/>
              <w:jc w:val="center"/>
              <w:rPr>
                <w:rFonts w:ascii="Arabic Typesetting" w:hAnsi="Arabic Typesetting" w:cs="Arabic Typesetting"/>
                <w:b/>
                <w:bCs/>
                <w:i/>
                <w:iCs/>
                <w:sz w:val="28"/>
                <w:szCs w:val="28"/>
              </w:rPr>
            </w:pPr>
          </w:p>
        </w:tc>
        <w:tc>
          <w:tcPr>
            <w:tcW w:w="971" w:type="pct"/>
            <w:shd w:val="clear" w:color="auto" w:fill="C6D9F1"/>
            <w:vAlign w:val="center"/>
            <w:hideMark/>
          </w:tcPr>
          <w:p w14:paraId="5C11EE5D" w14:textId="77777777" w:rsidR="00BD3831" w:rsidRPr="00211D55" w:rsidRDefault="00BD3831"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hint="cs"/>
                <w:b/>
                <w:bCs/>
                <w:i/>
                <w:iCs/>
                <w:sz w:val="28"/>
                <w:szCs w:val="28"/>
                <w:rtl/>
              </w:rPr>
              <w:t>2016/17</w:t>
            </w:r>
          </w:p>
        </w:tc>
        <w:tc>
          <w:tcPr>
            <w:tcW w:w="971" w:type="pct"/>
            <w:shd w:val="clear" w:color="auto" w:fill="C6D9F1"/>
            <w:vAlign w:val="center"/>
            <w:hideMark/>
          </w:tcPr>
          <w:p w14:paraId="36F255E1" w14:textId="77777777" w:rsidR="00BD3831" w:rsidRPr="00211D55" w:rsidRDefault="00BD3831" w:rsidP="0031289D">
            <w:pPr>
              <w:bidi/>
              <w:jc w:val="center"/>
              <w:rPr>
                <w:rFonts w:ascii="Arabic Typesetting" w:hAnsi="Arabic Typesetting" w:cs="Arabic Typesetting"/>
                <w:b/>
                <w:bCs/>
                <w:i/>
                <w:iCs/>
                <w:sz w:val="28"/>
                <w:szCs w:val="28"/>
              </w:rPr>
            </w:pPr>
            <w:r>
              <w:rPr>
                <w:rFonts w:ascii="Arabic Typesetting" w:hAnsi="Arabic Typesetting" w:cs="Arabic Typesetting" w:hint="cs"/>
                <w:b/>
                <w:bCs/>
                <w:i/>
                <w:iCs/>
                <w:sz w:val="28"/>
                <w:szCs w:val="28"/>
                <w:rtl/>
              </w:rPr>
              <w:t>ميزانية 2016/17 بعد التحويلات</w:t>
            </w:r>
          </w:p>
        </w:tc>
        <w:tc>
          <w:tcPr>
            <w:tcW w:w="970" w:type="pct"/>
            <w:shd w:val="clear" w:color="auto" w:fill="C6D9F1"/>
            <w:vAlign w:val="center"/>
            <w:hideMark/>
          </w:tcPr>
          <w:p w14:paraId="09D56864" w14:textId="77777777" w:rsidR="00BD3831" w:rsidRPr="00211D55" w:rsidRDefault="00BD3831" w:rsidP="0031289D">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Pr>
                <w:rFonts w:ascii="Arabic Typesetting" w:hAnsi="Arabic Typesetting" w:cs="Arabic Typesetting" w:hint="cs"/>
                <w:b/>
                <w:bCs/>
                <w:i/>
                <w:iCs/>
                <w:sz w:val="28"/>
                <w:szCs w:val="28"/>
                <w:rtl/>
              </w:rPr>
              <w:t>2016*</w:t>
            </w:r>
          </w:p>
        </w:tc>
        <w:tc>
          <w:tcPr>
            <w:tcW w:w="970" w:type="pct"/>
            <w:shd w:val="clear" w:color="auto" w:fill="C6D9F1"/>
            <w:vAlign w:val="center"/>
            <w:hideMark/>
          </w:tcPr>
          <w:p w14:paraId="5B127B06" w14:textId="77777777" w:rsidR="00BD3831" w:rsidRPr="00211D55" w:rsidRDefault="00BD3831" w:rsidP="0031289D">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211D55">
              <w:rPr>
                <w:rFonts w:ascii="Arabic Typesetting" w:hAnsi="Arabic Typesetting" w:cs="Arabic Typesetting"/>
                <w:b/>
                <w:bCs/>
                <w:i/>
                <w:iCs/>
                <w:sz w:val="28"/>
                <w:szCs w:val="28"/>
                <w:rtl/>
              </w:rPr>
              <w:t xml:space="preserve"> (%)</w:t>
            </w:r>
          </w:p>
        </w:tc>
      </w:tr>
      <w:tr w:rsidR="00BD3831" w:rsidRPr="00211D55" w14:paraId="629B72C7" w14:textId="77777777" w:rsidTr="00DF6715">
        <w:trPr>
          <w:trHeight w:val="70"/>
        </w:trPr>
        <w:tc>
          <w:tcPr>
            <w:tcW w:w="1118" w:type="pct"/>
            <w:shd w:val="clear" w:color="auto" w:fill="auto"/>
            <w:noWrap/>
            <w:vAlign w:val="center"/>
            <w:hideMark/>
          </w:tcPr>
          <w:p w14:paraId="684D7CEA" w14:textId="77777777" w:rsidR="00BD3831" w:rsidRPr="00211D55" w:rsidRDefault="00BD3831"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1" w:type="pct"/>
            <w:shd w:val="clear" w:color="auto" w:fill="auto"/>
            <w:vAlign w:val="center"/>
          </w:tcPr>
          <w:p w14:paraId="7FBDFB57" w14:textId="47FAFCB5"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4</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 xml:space="preserve">311 </w:t>
            </w:r>
          </w:p>
        </w:tc>
        <w:tc>
          <w:tcPr>
            <w:tcW w:w="971" w:type="pct"/>
            <w:shd w:val="clear" w:color="auto" w:fill="auto"/>
            <w:vAlign w:val="center"/>
          </w:tcPr>
          <w:p w14:paraId="36602CBF" w14:textId="11756E50"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4</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 xml:space="preserve">806 </w:t>
            </w:r>
          </w:p>
        </w:tc>
        <w:tc>
          <w:tcPr>
            <w:tcW w:w="970" w:type="pct"/>
            <w:shd w:val="clear" w:color="auto" w:fill="auto"/>
            <w:vAlign w:val="center"/>
          </w:tcPr>
          <w:p w14:paraId="22A163D8" w14:textId="1E454EA1"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2</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 xml:space="preserve">189 </w:t>
            </w:r>
          </w:p>
        </w:tc>
        <w:tc>
          <w:tcPr>
            <w:tcW w:w="970" w:type="pct"/>
            <w:shd w:val="clear" w:color="auto" w:fill="auto"/>
            <w:vAlign w:val="center"/>
          </w:tcPr>
          <w:p w14:paraId="248021BF" w14:textId="77777777" w:rsidR="00BD3831" w:rsidRPr="0012701D" w:rsidRDefault="00BD3831"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%46</w:t>
            </w:r>
          </w:p>
        </w:tc>
      </w:tr>
      <w:tr w:rsidR="00BD3831" w:rsidRPr="00211D55" w14:paraId="42B21AF5" w14:textId="77777777" w:rsidTr="00DF6715">
        <w:trPr>
          <w:trHeight w:val="70"/>
        </w:trPr>
        <w:tc>
          <w:tcPr>
            <w:tcW w:w="1118" w:type="pct"/>
            <w:shd w:val="clear" w:color="auto" w:fill="auto"/>
            <w:noWrap/>
            <w:vAlign w:val="center"/>
            <w:hideMark/>
          </w:tcPr>
          <w:p w14:paraId="008F26B2" w14:textId="77777777" w:rsidR="00BD3831" w:rsidRPr="00211D55" w:rsidRDefault="00BD3831" w:rsidP="0031289D">
            <w:pPr>
              <w:bidi/>
              <w:spacing w:before="120" w:after="120"/>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1" w:type="pct"/>
            <w:shd w:val="clear" w:color="auto" w:fill="auto"/>
            <w:vAlign w:val="center"/>
          </w:tcPr>
          <w:p w14:paraId="0ECC2B72" w14:textId="6178E549"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13</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 xml:space="preserve">422 </w:t>
            </w:r>
          </w:p>
        </w:tc>
        <w:tc>
          <w:tcPr>
            <w:tcW w:w="971" w:type="pct"/>
            <w:shd w:val="clear" w:color="auto" w:fill="auto"/>
            <w:vAlign w:val="center"/>
          </w:tcPr>
          <w:p w14:paraId="49AB7168" w14:textId="5A454DF6"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14</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 xml:space="preserve">571 </w:t>
            </w:r>
          </w:p>
        </w:tc>
        <w:tc>
          <w:tcPr>
            <w:tcW w:w="970" w:type="pct"/>
            <w:shd w:val="clear" w:color="auto" w:fill="auto"/>
            <w:vAlign w:val="center"/>
          </w:tcPr>
          <w:p w14:paraId="512A8294" w14:textId="20DA583F" w:rsidR="00BD3831" w:rsidRPr="0012701D" w:rsidRDefault="00BD3831" w:rsidP="0031289D">
            <w:pPr>
              <w:jc w:val="center"/>
              <w:rPr>
                <w:rFonts w:ascii="Arabic Typesetting" w:hAnsi="Arabic Typesetting" w:cs="Arabic Typesetting"/>
                <w:color w:val="000000"/>
                <w:sz w:val="28"/>
                <w:szCs w:val="28"/>
              </w:rPr>
            </w:pPr>
            <w:r w:rsidRPr="0012701D">
              <w:rPr>
                <w:rFonts w:ascii="Arabic Typesetting" w:hAnsi="Arabic Typesetting" w:cs="Arabic Typesetting"/>
                <w:color w:val="000000"/>
                <w:sz w:val="28"/>
                <w:szCs w:val="28"/>
              </w:rPr>
              <w:t>5</w:t>
            </w:r>
            <w:r w:rsidR="00B21943">
              <w:rPr>
                <w:rFonts w:ascii="Arabic Typesetting" w:hAnsi="Arabic Typesetting" w:cs="Arabic Typesetting"/>
                <w:color w:val="000000"/>
                <w:sz w:val="28"/>
                <w:szCs w:val="28"/>
              </w:rPr>
              <w:t> </w:t>
            </w:r>
            <w:r w:rsidRPr="0012701D">
              <w:rPr>
                <w:rFonts w:ascii="Arabic Typesetting" w:hAnsi="Arabic Typesetting" w:cs="Arabic Typesetting"/>
                <w:color w:val="000000"/>
                <w:sz w:val="28"/>
                <w:szCs w:val="28"/>
              </w:rPr>
              <w:t xml:space="preserve">778 </w:t>
            </w:r>
          </w:p>
        </w:tc>
        <w:tc>
          <w:tcPr>
            <w:tcW w:w="970" w:type="pct"/>
            <w:shd w:val="clear" w:color="auto" w:fill="auto"/>
            <w:vAlign w:val="center"/>
          </w:tcPr>
          <w:p w14:paraId="66E03730" w14:textId="77777777" w:rsidR="00BD3831" w:rsidRPr="0012701D" w:rsidRDefault="00BD3831" w:rsidP="0031289D">
            <w:pPr>
              <w:jc w:val="center"/>
              <w:rPr>
                <w:rFonts w:ascii="Arabic Typesetting" w:hAnsi="Arabic Typesetting" w:cs="Arabic Typesetting"/>
                <w:color w:val="000000"/>
                <w:sz w:val="28"/>
                <w:szCs w:val="28"/>
              </w:rPr>
            </w:pPr>
            <w:r>
              <w:rPr>
                <w:rFonts w:ascii="Arabic Typesetting" w:hAnsi="Arabic Typesetting" w:cs="Arabic Typesetting"/>
                <w:color w:val="000000"/>
                <w:sz w:val="28"/>
                <w:szCs w:val="28"/>
              </w:rPr>
              <w:t>%40</w:t>
            </w:r>
          </w:p>
        </w:tc>
      </w:tr>
      <w:tr w:rsidR="00BD3831" w:rsidRPr="00211D55" w14:paraId="5D917FF5" w14:textId="77777777" w:rsidTr="008E6403">
        <w:trPr>
          <w:trHeight w:val="70"/>
        </w:trPr>
        <w:tc>
          <w:tcPr>
            <w:tcW w:w="1118" w:type="pct"/>
            <w:shd w:val="clear" w:color="auto" w:fill="C6D9F1"/>
            <w:noWrap/>
            <w:vAlign w:val="center"/>
            <w:hideMark/>
          </w:tcPr>
          <w:p w14:paraId="45C0FFC5" w14:textId="77777777" w:rsidR="00BD3831" w:rsidRPr="00211D55" w:rsidRDefault="00BD3831" w:rsidP="0031289D">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1" w:type="pct"/>
            <w:shd w:val="clear" w:color="auto" w:fill="C6D9F1"/>
            <w:vAlign w:val="center"/>
          </w:tcPr>
          <w:p w14:paraId="18210F72" w14:textId="07418F3D" w:rsidR="00BD3831" w:rsidRPr="0012701D" w:rsidRDefault="00BD3831" w:rsidP="0031289D">
            <w:pPr>
              <w:jc w:val="center"/>
              <w:rPr>
                <w:rFonts w:ascii="Arabic Typesetting" w:hAnsi="Arabic Typesetting" w:cs="Arabic Typesetting"/>
                <w:b/>
                <w:bCs/>
                <w:color w:val="000000"/>
                <w:sz w:val="28"/>
                <w:szCs w:val="28"/>
              </w:rPr>
            </w:pPr>
            <w:r w:rsidRPr="0012701D">
              <w:rPr>
                <w:rFonts w:ascii="Arabic Typesetting" w:hAnsi="Arabic Typesetting" w:cs="Arabic Typesetting"/>
                <w:b/>
                <w:bCs/>
                <w:color w:val="000000"/>
                <w:sz w:val="28"/>
                <w:szCs w:val="28"/>
              </w:rPr>
              <w:t>17</w:t>
            </w:r>
            <w:r w:rsidR="00B21943">
              <w:rPr>
                <w:rFonts w:ascii="Arabic Typesetting" w:hAnsi="Arabic Typesetting" w:cs="Arabic Typesetting"/>
                <w:b/>
                <w:bCs/>
                <w:color w:val="000000"/>
                <w:sz w:val="28"/>
                <w:szCs w:val="28"/>
              </w:rPr>
              <w:t> </w:t>
            </w:r>
            <w:r w:rsidRPr="0012701D">
              <w:rPr>
                <w:rFonts w:ascii="Arabic Typesetting" w:hAnsi="Arabic Typesetting" w:cs="Arabic Typesetting"/>
                <w:b/>
                <w:bCs/>
                <w:color w:val="000000"/>
                <w:sz w:val="28"/>
                <w:szCs w:val="28"/>
              </w:rPr>
              <w:t xml:space="preserve">733 </w:t>
            </w:r>
          </w:p>
        </w:tc>
        <w:tc>
          <w:tcPr>
            <w:tcW w:w="971" w:type="pct"/>
            <w:shd w:val="clear" w:color="auto" w:fill="C6D9F1"/>
            <w:vAlign w:val="center"/>
          </w:tcPr>
          <w:p w14:paraId="475A4AF3" w14:textId="7B372867" w:rsidR="00BD3831" w:rsidRPr="0012701D" w:rsidRDefault="00BD3831" w:rsidP="0031289D">
            <w:pPr>
              <w:jc w:val="center"/>
              <w:rPr>
                <w:rFonts w:ascii="Arabic Typesetting" w:hAnsi="Arabic Typesetting" w:cs="Arabic Typesetting"/>
                <w:b/>
                <w:bCs/>
                <w:color w:val="000000"/>
                <w:sz w:val="28"/>
                <w:szCs w:val="28"/>
              </w:rPr>
            </w:pPr>
            <w:r w:rsidRPr="0012701D">
              <w:rPr>
                <w:rFonts w:ascii="Arabic Typesetting" w:hAnsi="Arabic Typesetting" w:cs="Arabic Typesetting"/>
                <w:b/>
                <w:bCs/>
                <w:color w:val="000000"/>
                <w:sz w:val="28"/>
                <w:szCs w:val="28"/>
              </w:rPr>
              <w:t>19</w:t>
            </w:r>
            <w:r w:rsidR="00B21943">
              <w:rPr>
                <w:rFonts w:ascii="Arabic Typesetting" w:hAnsi="Arabic Typesetting" w:cs="Arabic Typesetting"/>
                <w:b/>
                <w:bCs/>
                <w:color w:val="000000"/>
                <w:sz w:val="28"/>
                <w:szCs w:val="28"/>
              </w:rPr>
              <w:t> </w:t>
            </w:r>
            <w:r w:rsidRPr="0012701D">
              <w:rPr>
                <w:rFonts w:ascii="Arabic Typesetting" w:hAnsi="Arabic Typesetting" w:cs="Arabic Typesetting"/>
                <w:b/>
                <w:bCs/>
                <w:color w:val="000000"/>
                <w:sz w:val="28"/>
                <w:szCs w:val="28"/>
              </w:rPr>
              <w:t xml:space="preserve">377 </w:t>
            </w:r>
          </w:p>
        </w:tc>
        <w:tc>
          <w:tcPr>
            <w:tcW w:w="970" w:type="pct"/>
            <w:shd w:val="clear" w:color="auto" w:fill="C6D9F1"/>
            <w:vAlign w:val="center"/>
          </w:tcPr>
          <w:p w14:paraId="6DFA3181" w14:textId="50F38907" w:rsidR="00BD3831" w:rsidRPr="0012701D" w:rsidRDefault="00BD3831" w:rsidP="0031289D">
            <w:pPr>
              <w:jc w:val="center"/>
              <w:rPr>
                <w:rFonts w:ascii="Arabic Typesetting" w:hAnsi="Arabic Typesetting" w:cs="Arabic Typesetting"/>
                <w:b/>
                <w:bCs/>
                <w:color w:val="000000"/>
                <w:sz w:val="28"/>
                <w:szCs w:val="28"/>
              </w:rPr>
            </w:pPr>
            <w:r w:rsidRPr="0012701D">
              <w:rPr>
                <w:rFonts w:ascii="Arabic Typesetting" w:hAnsi="Arabic Typesetting" w:cs="Arabic Typesetting"/>
                <w:b/>
                <w:bCs/>
                <w:color w:val="000000"/>
                <w:sz w:val="28"/>
                <w:szCs w:val="28"/>
              </w:rPr>
              <w:t>7</w:t>
            </w:r>
            <w:r w:rsidR="00B21943">
              <w:rPr>
                <w:rFonts w:ascii="Arabic Typesetting" w:hAnsi="Arabic Typesetting" w:cs="Arabic Typesetting"/>
                <w:b/>
                <w:bCs/>
                <w:color w:val="000000"/>
                <w:sz w:val="28"/>
                <w:szCs w:val="28"/>
              </w:rPr>
              <w:t> </w:t>
            </w:r>
            <w:r w:rsidRPr="0012701D">
              <w:rPr>
                <w:rFonts w:ascii="Arabic Typesetting" w:hAnsi="Arabic Typesetting" w:cs="Arabic Typesetting"/>
                <w:b/>
                <w:bCs/>
                <w:color w:val="000000"/>
                <w:sz w:val="28"/>
                <w:szCs w:val="28"/>
              </w:rPr>
              <w:t xml:space="preserve">967 </w:t>
            </w:r>
          </w:p>
        </w:tc>
        <w:tc>
          <w:tcPr>
            <w:tcW w:w="970" w:type="pct"/>
            <w:shd w:val="clear" w:color="auto" w:fill="C6D9F1"/>
            <w:vAlign w:val="center"/>
          </w:tcPr>
          <w:p w14:paraId="324A0AEA" w14:textId="77777777" w:rsidR="00BD3831" w:rsidRPr="0012701D" w:rsidRDefault="00BD3831" w:rsidP="0031289D">
            <w:pPr>
              <w:jc w:val="center"/>
              <w:rPr>
                <w:rFonts w:ascii="Arabic Typesetting" w:hAnsi="Arabic Typesetting" w:cs="Arabic Typesetting"/>
                <w:b/>
                <w:bCs/>
                <w:color w:val="000000"/>
                <w:sz w:val="28"/>
                <w:szCs w:val="28"/>
              </w:rPr>
            </w:pPr>
            <w:r>
              <w:rPr>
                <w:rFonts w:ascii="Arabic Typesetting" w:hAnsi="Arabic Typesetting" w:cs="Arabic Typesetting"/>
                <w:b/>
                <w:bCs/>
                <w:color w:val="000000"/>
                <w:sz w:val="28"/>
                <w:szCs w:val="28"/>
              </w:rPr>
              <w:t>%41</w:t>
            </w:r>
          </w:p>
        </w:tc>
      </w:tr>
      <w:tr w:rsidR="00BD3831" w:rsidRPr="00211D55" w14:paraId="6BA3A0F6" w14:textId="77777777" w:rsidTr="00DF6715">
        <w:trPr>
          <w:trHeight w:val="540"/>
        </w:trPr>
        <w:tc>
          <w:tcPr>
            <w:tcW w:w="5000" w:type="pct"/>
            <w:gridSpan w:val="5"/>
            <w:shd w:val="clear" w:color="auto" w:fill="auto"/>
            <w:noWrap/>
            <w:vAlign w:val="center"/>
          </w:tcPr>
          <w:p w14:paraId="31E6C8C0" w14:textId="77777777" w:rsidR="00BD3831" w:rsidRDefault="00BD3831" w:rsidP="0031289D">
            <w:pPr>
              <w:bidi/>
              <w:spacing w:before="60"/>
              <w:rPr>
                <w:rFonts w:ascii="Arabic Typesetting" w:hAnsi="Arabic Typesetting" w:cs="Arabic Typesetting"/>
                <w:i/>
                <w:iCs/>
                <w:color w:val="000000"/>
                <w:sz w:val="28"/>
                <w:szCs w:val="28"/>
                <w:rtl/>
                <w:lang w:bidi="ar-EG"/>
              </w:rPr>
            </w:pPr>
            <w:r w:rsidRPr="00D41845">
              <w:rPr>
                <w:rFonts w:ascii="Arabic Typesetting" w:hAnsi="Arabic Typesetting" w:cs="Arabic Typesetting"/>
                <w:i/>
                <w:iCs/>
                <w:color w:val="000000"/>
                <w:sz w:val="28"/>
                <w:szCs w:val="28"/>
                <w:rtl/>
                <w:lang w:bidi="ar-EG"/>
              </w:rPr>
              <w:t>* نفقات 2016 نفقات أولية حتى تخضع لتدقيق مراجعي الحسابات الخارجيين</w:t>
            </w:r>
          </w:p>
          <w:p w14:paraId="7DB0330E" w14:textId="77777777" w:rsidR="00BD3831" w:rsidRPr="00D41845" w:rsidRDefault="00BD3831" w:rsidP="0031289D">
            <w:pPr>
              <w:bidi/>
              <w:spacing w:before="60"/>
              <w:rPr>
                <w:rFonts w:ascii="Arabic Typesetting" w:hAnsi="Arabic Typesetting" w:cs="Arabic Typesetting"/>
                <w:i/>
                <w:iCs/>
                <w:color w:val="000000"/>
                <w:sz w:val="28"/>
                <w:szCs w:val="28"/>
                <w:lang w:bidi="ar-EG"/>
              </w:rPr>
            </w:pPr>
            <w:r w:rsidRPr="00D41845">
              <w:rPr>
                <w:rFonts w:ascii="Arabic Typesetting" w:hAnsi="Arabic Typesetting" w:cs="Arabic Typesetting"/>
                <w:i/>
                <w:iCs/>
                <w:color w:val="000000"/>
                <w:sz w:val="28"/>
                <w:szCs w:val="28"/>
                <w:rtl/>
                <w:lang w:bidi="ar-EG"/>
              </w:rPr>
              <w:t>ملاحظة: تظهر الميزانية بعد التحويلات 2016/17</w:t>
            </w:r>
            <w:r>
              <w:rPr>
                <w:rFonts w:ascii="Arabic Typesetting" w:hAnsi="Arabic Typesetting" w:cs="Arabic Typesetting" w:hint="cs"/>
                <w:i/>
                <w:iCs/>
                <w:color w:val="000000"/>
                <w:sz w:val="28"/>
                <w:szCs w:val="28"/>
                <w:rtl/>
                <w:lang w:bidi="ar-EG"/>
              </w:rPr>
              <w:t xml:space="preserve"> التحويلات التي أجريت بناء على المادة 5.5 من النظام المالي حتى</w:t>
            </w:r>
            <w:r w:rsidRPr="00D41845">
              <w:rPr>
                <w:rFonts w:ascii="Arabic Typesetting" w:hAnsi="Arabic Typesetting" w:cs="Arabic Typesetting"/>
                <w:i/>
                <w:iCs/>
                <w:color w:val="000000"/>
                <w:sz w:val="28"/>
                <w:szCs w:val="28"/>
                <w:rtl/>
                <w:lang w:bidi="ar-EG"/>
              </w:rPr>
              <w:t xml:space="preserve"> 8 مارس 2017 </w:t>
            </w:r>
            <w:r>
              <w:rPr>
                <w:rFonts w:ascii="Arabic Typesetting" w:hAnsi="Arabic Typesetting" w:cs="Arabic Typesetting" w:hint="cs"/>
                <w:i/>
                <w:iCs/>
                <w:color w:val="000000"/>
                <w:sz w:val="28"/>
                <w:szCs w:val="28"/>
                <w:rtl/>
                <w:lang w:bidi="ar-EG"/>
              </w:rPr>
              <w:t>لتغطية</w:t>
            </w:r>
            <w:r w:rsidRPr="00D41845">
              <w:rPr>
                <w:rFonts w:ascii="Arabic Typesetting" w:hAnsi="Arabic Typesetting" w:cs="Arabic Typesetting"/>
                <w:i/>
                <w:iCs/>
                <w:color w:val="000000"/>
                <w:sz w:val="28"/>
                <w:szCs w:val="28"/>
                <w:rtl/>
                <w:lang w:bidi="ar-EG"/>
              </w:rPr>
              <w:t xml:space="preserve"> الاحتياجا</w:t>
            </w:r>
            <w:r>
              <w:rPr>
                <w:rFonts w:ascii="Arabic Typesetting" w:hAnsi="Arabic Typesetting" w:cs="Arabic Typesetting"/>
                <w:i/>
                <w:iCs/>
                <w:color w:val="000000"/>
                <w:sz w:val="28"/>
                <w:szCs w:val="28"/>
                <w:rtl/>
                <w:lang w:bidi="ar-EG"/>
              </w:rPr>
              <w:t>ت خلال الثنائية 2016/17</w:t>
            </w:r>
            <w:r>
              <w:rPr>
                <w:rFonts w:ascii="Arabic Typesetting" w:hAnsi="Arabic Typesetting" w:cs="Arabic Typesetting" w:hint="cs"/>
                <w:i/>
                <w:iCs/>
                <w:color w:val="000000"/>
                <w:sz w:val="28"/>
                <w:szCs w:val="28"/>
                <w:rtl/>
                <w:lang w:bidi="ar-EG"/>
              </w:rPr>
              <w:t>.</w:t>
            </w:r>
          </w:p>
        </w:tc>
      </w:tr>
    </w:tbl>
    <w:p w14:paraId="7F62E763" w14:textId="77777777" w:rsidR="00BD3831" w:rsidRPr="00706F20" w:rsidRDefault="00BD3831" w:rsidP="0031289D">
      <w:pPr>
        <w:keepNext/>
        <w:bidi/>
        <w:spacing w:before="120" w:after="240" w:line="36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ميزانية 2016/17 بعد التحويلات</w:t>
      </w:r>
    </w:p>
    <w:p w14:paraId="1053C212" w14:textId="77777777" w:rsidR="00BD3831" w:rsidRPr="003B3821" w:rsidRDefault="00BD3831" w:rsidP="00D94CDB">
      <w:pPr>
        <w:keepNext/>
        <w:numPr>
          <w:ilvl w:val="1"/>
          <w:numId w:val="96"/>
        </w:numPr>
        <w:bidi/>
        <w:spacing w:after="240" w:line="360" w:lineRule="exact"/>
        <w:ind w:left="0" w:hanging="1"/>
        <w:rPr>
          <w:rFonts w:ascii="Arabic Typesetting" w:hAnsi="Arabic Typesetting" w:cs="Arabic Typesetting"/>
          <w:sz w:val="34"/>
          <w:szCs w:val="34"/>
          <w:rtl/>
        </w:rPr>
      </w:pPr>
      <w:r w:rsidRPr="003B3821">
        <w:rPr>
          <w:rFonts w:ascii="Arabic Typesetting" w:hAnsi="Arabic Typesetting" w:cs="Arabic Typesetting"/>
          <w:sz w:val="34"/>
          <w:szCs w:val="34"/>
          <w:rtl/>
        </w:rPr>
        <w:t xml:space="preserve">تُعزى الزيادة الصافية في ميزانية 2016/17 بعد </w:t>
      </w:r>
      <w:r>
        <w:rPr>
          <w:rFonts w:ascii="Arabic Typesetting" w:hAnsi="Arabic Typesetting" w:cs="Arabic Typesetting"/>
          <w:sz w:val="34"/>
          <w:szCs w:val="34"/>
          <w:rtl/>
        </w:rPr>
        <w:t xml:space="preserve">التحويلات (موارد الموظفين) إلى </w:t>
      </w:r>
      <w:r w:rsidRPr="003B3821">
        <w:rPr>
          <w:rFonts w:ascii="Arabic Typesetting" w:hAnsi="Arabic Typesetting" w:cs="Arabic Typesetting"/>
          <w:sz w:val="34"/>
          <w:szCs w:val="34"/>
          <w:rtl/>
        </w:rPr>
        <w:t>"1" تعزيز البرنامج بمنصبين مؤقتين لدعم إدارة المخاطر وإدارة برنامج أمن المعلومات دعماً لتنفيذ استراتيجية تأمين المعلوم</w:t>
      </w:r>
      <w:r>
        <w:rPr>
          <w:rFonts w:ascii="Arabic Typesetting" w:hAnsi="Arabic Typesetting" w:cs="Arabic Typesetting"/>
          <w:sz w:val="34"/>
          <w:szCs w:val="34"/>
          <w:rtl/>
        </w:rPr>
        <w:t>ات؛ "2" وإعادة تصنيف منصب واحد.</w:t>
      </w:r>
      <w:r w:rsidRPr="003B3821">
        <w:rPr>
          <w:rFonts w:ascii="Arabic Typesetting" w:hAnsi="Arabic Typesetting" w:cs="Arabic Typesetting"/>
          <w:sz w:val="34"/>
          <w:szCs w:val="34"/>
          <w:rtl/>
        </w:rPr>
        <w:t xml:space="preserve"> وانخفضت تلك الزيادة انخفاضاً طفيفاً عقب تحويل موارد إلى بند خلاف موارد الموظفين لدعم وظيفة بنية أمن المعلومات ودعم تنفيذ مشروع إدارة المخاطر الأمنية والحد منها</w:t>
      </w:r>
      <w:r w:rsidRPr="003B3821">
        <w:rPr>
          <w:rFonts w:ascii="Arabic Typesetting" w:hAnsi="Arabic Typesetting" w:cs="Arabic Typesetting"/>
          <w:sz w:val="34"/>
          <w:szCs w:val="34"/>
        </w:rPr>
        <w:t>.</w:t>
      </w:r>
    </w:p>
    <w:p w14:paraId="7848DED0" w14:textId="77777777" w:rsidR="00BD3831" w:rsidRDefault="00BD3831" w:rsidP="00D94CDB">
      <w:pPr>
        <w:keepNext/>
        <w:numPr>
          <w:ilvl w:val="1"/>
          <w:numId w:val="96"/>
        </w:numPr>
        <w:bidi/>
        <w:spacing w:after="240" w:line="360" w:lineRule="exact"/>
        <w:ind w:left="0" w:hanging="1"/>
        <w:rPr>
          <w:rFonts w:ascii="Arabic Typesetting" w:hAnsi="Arabic Typesetting" w:cs="Arabic Typesetting"/>
          <w:sz w:val="34"/>
          <w:szCs w:val="34"/>
        </w:rPr>
      </w:pPr>
      <w:r w:rsidRPr="003B3821">
        <w:rPr>
          <w:rFonts w:ascii="Arabic Typesetting" w:hAnsi="Arabic Typesetting" w:cs="Arabic Typesetting"/>
          <w:sz w:val="34"/>
          <w:szCs w:val="34"/>
          <w:rtl/>
        </w:rPr>
        <w:t>وتُعزى الزيادة الصافية في ميزانية 2016/17 بعد التحويلات (خلاف موارد الموظفين) إلى تعز</w:t>
      </w:r>
      <w:r>
        <w:rPr>
          <w:rFonts w:ascii="Arabic Typesetting" w:hAnsi="Arabic Typesetting" w:cs="Arabic Typesetting"/>
          <w:sz w:val="34"/>
          <w:szCs w:val="34"/>
          <w:rtl/>
        </w:rPr>
        <w:t xml:space="preserve">يز البرنامج بموارد إضافية لدعم </w:t>
      </w:r>
      <w:r w:rsidRPr="003B3821">
        <w:rPr>
          <w:rFonts w:ascii="Arabic Typesetting" w:hAnsi="Arabic Typesetting" w:cs="Arabic Typesetting"/>
          <w:sz w:val="34"/>
          <w:szCs w:val="34"/>
          <w:rtl/>
        </w:rPr>
        <w:t>"1" تنفيذ مشروع إدارة المخاطر الأمنية والحد منها، بما في ذلك وجود حراس مسلحين؛ "2" وتركيب نظام مراقبة بالفيديو ونظام مراقبة لتعزيز مبنى الكام لأغراض استمرار الأعمال؛ "3" وزيادة الاحتياجات التشغيلية</w:t>
      </w:r>
      <w:r>
        <w:rPr>
          <w:rFonts w:ascii="Arabic Typesetting" w:hAnsi="Arabic Typesetting" w:cs="Arabic Typesetting"/>
          <w:sz w:val="34"/>
          <w:szCs w:val="34"/>
          <w:rtl/>
        </w:rPr>
        <w:t xml:space="preserve"> للحراس فيما يخص تنظيم الحوادث.</w:t>
      </w:r>
      <w:r w:rsidRPr="003B3821">
        <w:rPr>
          <w:rFonts w:ascii="Arabic Typesetting" w:hAnsi="Arabic Typesetting" w:cs="Arabic Typesetting"/>
          <w:sz w:val="34"/>
          <w:szCs w:val="34"/>
          <w:rtl/>
        </w:rPr>
        <w:t xml:space="preserve"> وانخفضت تلك الزيادة جزئياً بعد إعادة توزيع الرصيد غير المنفق لعام 2016 والخاصة بأمن المعلومات على أولويات تنظيمية أخرى في عام 2017.</w:t>
      </w:r>
    </w:p>
    <w:p w14:paraId="1E98CD32" w14:textId="77777777" w:rsidR="00BD3831" w:rsidRPr="00706F20" w:rsidRDefault="00BD3831" w:rsidP="0031289D">
      <w:pPr>
        <w:keepNext/>
        <w:bidi/>
        <w:spacing w:after="240" w:line="36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2016/17</w:t>
      </w:r>
    </w:p>
    <w:p w14:paraId="6704C5E9" w14:textId="77777777" w:rsidR="00BD3831" w:rsidRDefault="00BD3831" w:rsidP="00D94CDB">
      <w:pPr>
        <w:numPr>
          <w:ilvl w:val="1"/>
          <w:numId w:val="96"/>
        </w:numPr>
        <w:bidi/>
        <w:spacing w:after="240" w:line="360" w:lineRule="exact"/>
        <w:ind w:left="0" w:hanging="1"/>
        <w:rPr>
          <w:rFonts w:ascii="Arabic Typesetting" w:hAnsi="Arabic Typesetting" w:cs="Arabic Typesetting"/>
          <w:sz w:val="34"/>
          <w:szCs w:val="34"/>
        </w:rPr>
      </w:pPr>
      <w:r w:rsidRPr="003B3821">
        <w:rPr>
          <w:rFonts w:ascii="Arabic Typesetting" w:hAnsi="Arabic Typesetting" w:cs="Arabic Typesetting"/>
          <w:sz w:val="34"/>
          <w:szCs w:val="34"/>
          <w:rtl/>
        </w:rPr>
        <w:t>كانت نسبة استخدام الميزانية أقل من المتوقع ويُعزى ذلك أساساً إلى حالات تأخر في لتعيين ومن ثم في تنفيذ المشروع.</w:t>
      </w:r>
    </w:p>
    <w:p w14:paraId="3BF80BE1" w14:textId="35EC967F" w:rsidR="00F9431D" w:rsidRPr="003B3821" w:rsidRDefault="00F9431D" w:rsidP="00F9431D">
      <w:pPr>
        <w:pStyle w:val="EndofDocumentAR"/>
        <w:spacing w:before="600"/>
      </w:pPr>
      <w:r>
        <w:rPr>
          <w:rFonts w:hint="cs"/>
          <w:rtl/>
        </w:rPr>
        <w:t>[تلي ذلك الملحقات]</w:t>
      </w:r>
    </w:p>
    <w:p w14:paraId="55B4DD2D" w14:textId="0EFDD4E8" w:rsidR="00BD3831" w:rsidRDefault="00BD3831"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6689FF01" w14:textId="03FE5683" w:rsidR="00BB4B14" w:rsidRPr="0027026F" w:rsidRDefault="0027026F" w:rsidP="0027026F">
      <w:pPr>
        <w:pStyle w:val="Heading2"/>
        <w:rPr>
          <w:rtl/>
        </w:rPr>
      </w:pPr>
      <w:bookmarkStart w:id="59" w:name="_Toc482782782"/>
      <w:r w:rsidRPr="0027026F">
        <w:rPr>
          <w:rFonts w:hint="cs"/>
          <w:rtl/>
        </w:rPr>
        <w:lastRenderedPageBreak/>
        <w:t>خامساً</w:t>
      </w:r>
      <w:r w:rsidR="00BB4B14" w:rsidRPr="0027026F">
        <w:rPr>
          <w:rFonts w:hint="cs"/>
          <w:rtl/>
        </w:rPr>
        <w:t>.</w:t>
      </w:r>
      <w:r w:rsidR="00BB4B14" w:rsidRPr="0027026F">
        <w:rPr>
          <w:rtl/>
        </w:rPr>
        <w:tab/>
      </w:r>
      <w:r w:rsidR="00BB4B14" w:rsidRPr="0027026F">
        <w:rPr>
          <w:rFonts w:hint="cs"/>
          <w:rtl/>
        </w:rPr>
        <w:t>الملحقات</w:t>
      </w:r>
      <w:bookmarkEnd w:id="59"/>
    </w:p>
    <w:p w14:paraId="01B49034" w14:textId="7DAC5F10" w:rsidR="00BB4B14" w:rsidRPr="0027026F" w:rsidRDefault="00BB4B14" w:rsidP="0027026F">
      <w:pPr>
        <w:pStyle w:val="Heading3"/>
        <w:pageBreakBefore w:val="0"/>
        <w:ind w:left="0" w:firstLine="0"/>
        <w:rPr>
          <w:rtl/>
        </w:rPr>
      </w:pPr>
      <w:bookmarkStart w:id="60" w:name="_Toc482782783"/>
      <w:r w:rsidRPr="0027026F">
        <w:rPr>
          <w:rFonts w:hint="cs"/>
          <w:rtl/>
        </w:rPr>
        <w:t>الملحق الأول</w:t>
      </w:r>
      <w:r w:rsidR="0027026F">
        <w:rPr>
          <w:rtl/>
        </w:rPr>
        <w:tab/>
      </w:r>
      <w:r w:rsidRPr="0027026F">
        <w:rPr>
          <w:rtl/>
        </w:rPr>
        <w:t>توزيع لتقييمات الأداء لكل برنامج</w:t>
      </w:r>
      <w:bookmarkEnd w:id="60"/>
    </w:p>
    <w:p w14:paraId="070CD5DD" w14:textId="77777777" w:rsidR="00BB4B14" w:rsidRPr="00105D1E" w:rsidRDefault="00BB4B14" w:rsidP="00105D1E">
      <w:pPr>
        <w:bidi/>
        <w:spacing w:after="240" w:line="340" w:lineRule="exact"/>
        <w:jc w:val="both"/>
        <w:rPr>
          <w:rFonts w:ascii="Arabic Typesetting" w:hAnsi="Arabic Typesetting" w:cs="Arabic Typesetting"/>
          <w:sz w:val="34"/>
          <w:szCs w:val="34"/>
          <w:rtl/>
          <w:lang w:bidi="ar-EG"/>
        </w:rPr>
      </w:pPr>
      <w:r w:rsidRPr="00105D1E">
        <w:rPr>
          <w:rFonts w:ascii="Arabic Typesetting" w:hAnsi="Arabic Typesetting" w:cs="Arabic Typesetting" w:hint="cs"/>
          <w:sz w:val="34"/>
          <w:szCs w:val="34"/>
          <w:rtl/>
          <w:lang w:bidi="ar-EG"/>
        </w:rPr>
        <w:t xml:space="preserve">اعتُمد نسق جديد ومبسّط في تقييم الأداء لعام 2016 بغرض التمييز بمزيد من الدقة بين تقييمات الأداء لكل برنامج للسنة الأولى (تقديم التقارير عن التقدم) والسنة الثانية (تقديم التقارير عن الإنجازات) من الثنائية. </w:t>
      </w:r>
    </w:p>
    <w:p w14:paraId="127530E5" w14:textId="77777777" w:rsidR="00BB4B14" w:rsidRPr="00105D1E" w:rsidRDefault="00BB4B14" w:rsidP="00105D1E">
      <w:pPr>
        <w:bidi/>
        <w:spacing w:after="240" w:line="340" w:lineRule="exact"/>
        <w:jc w:val="both"/>
        <w:rPr>
          <w:rFonts w:ascii="Arabic Typesetting" w:hAnsi="Arabic Typesetting" w:cs="Arabic Typesetting"/>
          <w:sz w:val="34"/>
          <w:szCs w:val="34"/>
          <w:rtl/>
          <w:lang w:bidi="ar-EG"/>
        </w:rPr>
      </w:pPr>
      <w:r w:rsidRPr="00105D1E">
        <w:rPr>
          <w:rFonts w:ascii="Arabic Typesetting" w:hAnsi="Arabic Typesetting" w:cs="Arabic Typesetting" w:hint="cs"/>
          <w:sz w:val="34"/>
          <w:szCs w:val="34"/>
          <w:rtl/>
          <w:lang w:bidi="ar-EG"/>
        </w:rPr>
        <w:t xml:space="preserve">وتتضمن تقييمات الأداء لكل برنامج في تقرير أداء البرنامج للعام 2016 ما يلي: </w:t>
      </w:r>
    </w:p>
    <w:p w14:paraId="34E16EBD" w14:textId="77777777" w:rsidR="00BB4B14" w:rsidRPr="00105D1E" w:rsidRDefault="00BB4B14" w:rsidP="00105D1E">
      <w:pPr>
        <w:bidi/>
        <w:spacing w:after="240" w:line="340" w:lineRule="exact"/>
        <w:jc w:val="both"/>
        <w:rPr>
          <w:rFonts w:ascii="Arabic Typesetting" w:hAnsi="Arabic Typesetting" w:cs="Arabic Typesetting"/>
          <w:i/>
          <w:iCs/>
          <w:sz w:val="34"/>
          <w:szCs w:val="34"/>
          <w:rtl/>
          <w:lang w:bidi="ar-EG"/>
        </w:rPr>
      </w:pPr>
      <w:r w:rsidRPr="00105D1E">
        <w:rPr>
          <w:rFonts w:ascii="Arabic Typesetting" w:hAnsi="Arabic Typesetting" w:cs="Arabic Typesetting" w:hint="cs"/>
          <w:i/>
          <w:iCs/>
          <w:sz w:val="34"/>
          <w:szCs w:val="34"/>
          <w:rtl/>
          <w:lang w:bidi="ar-EG"/>
        </w:rPr>
        <w:t>الجزء الأول:</w:t>
      </w:r>
      <w:r w:rsidRPr="00105D1E">
        <w:rPr>
          <w:rFonts w:ascii="Arabic Typesetting" w:hAnsi="Arabic Typesetting" w:cs="Arabic Typesetting" w:hint="cs"/>
          <w:i/>
          <w:iCs/>
          <w:sz w:val="34"/>
          <w:szCs w:val="34"/>
          <w:rtl/>
          <w:lang w:bidi="ar-EG"/>
        </w:rPr>
        <w:tab/>
        <w:t xml:space="preserve">بيانات الأداء </w:t>
      </w:r>
    </w:p>
    <w:p w14:paraId="47622409" w14:textId="77777777" w:rsidR="00BB4B14" w:rsidRPr="00105D1E" w:rsidRDefault="00BB4B14" w:rsidP="00105D1E">
      <w:pPr>
        <w:bidi/>
        <w:spacing w:after="240" w:line="340" w:lineRule="exact"/>
        <w:rPr>
          <w:rFonts w:ascii="Arabic Typesetting" w:hAnsi="Arabic Typesetting" w:cs="Arabic Typesetting"/>
          <w:sz w:val="34"/>
          <w:szCs w:val="34"/>
          <w:rtl/>
          <w:lang w:bidi="ar-EG"/>
        </w:rPr>
      </w:pPr>
      <w:r w:rsidRPr="00105D1E">
        <w:rPr>
          <w:rFonts w:ascii="Arabic Typesetting" w:hAnsi="Arabic Typesetting" w:cs="Arabic Typesetting"/>
          <w:sz w:val="34"/>
          <w:szCs w:val="34"/>
          <w:rtl/>
          <w:lang w:bidi="ar-EG"/>
        </w:rPr>
        <w:t>يتضمن جدول هذا الجزء النتائج المرتقبة التي يُسهم فيها البرنامج ومؤشرات الأداء التي تقيس مساهمة البرنامج مقارنة بالنتائج التي اعتمدتها الدول الأعضاء في البرنامج والميزانية للثنائية 2016/17. وسعياً إلى تعزيز عملية تقديم التقارير في الثنائية 2016/17، أضيفت تحسينات على تمرين تحديث/تحديد أسس المقارنة والأهداف تسمح للبرامج بتحديث الأهداف حين يكون الهدف قد تحقق في آخر عام 2015.</w:t>
      </w:r>
      <w:r w:rsidRPr="00105D1E">
        <w:rPr>
          <w:rStyle w:val="FootnoteReference"/>
          <w:sz w:val="34"/>
          <w:szCs w:val="34"/>
          <w:rtl/>
          <w:lang w:bidi="ar-EG"/>
        </w:rPr>
        <w:footnoteReference w:id="104"/>
      </w:r>
    </w:p>
    <w:p w14:paraId="1B0D4786" w14:textId="77777777" w:rsidR="00BB4B14" w:rsidRPr="00105D1E" w:rsidRDefault="00BB4B14" w:rsidP="00105D1E">
      <w:pPr>
        <w:bidi/>
        <w:spacing w:after="240" w:line="340" w:lineRule="exact"/>
        <w:jc w:val="both"/>
        <w:rPr>
          <w:rFonts w:ascii="Arabic Typesetting" w:hAnsi="Arabic Typesetting" w:cs="Arabic Typesetting"/>
          <w:sz w:val="34"/>
          <w:szCs w:val="34"/>
          <w:rtl/>
          <w:lang w:bidi="ar-EG"/>
        </w:rPr>
      </w:pPr>
      <w:r w:rsidRPr="00105D1E">
        <w:rPr>
          <w:rFonts w:ascii="Arabic Typesetting" w:hAnsi="Arabic Typesetting" w:cs="Arabic Typesetting"/>
          <w:sz w:val="34"/>
          <w:szCs w:val="34"/>
          <w:rtl/>
          <w:lang w:bidi="ar-EG"/>
        </w:rPr>
        <w:t xml:space="preserve">إضافة إلى النتائج المرتقبة ومؤشرات الأداء، تعرض جداول بيانات الأداء ما يلي: </w:t>
      </w:r>
    </w:p>
    <w:p w14:paraId="677D9E2B" w14:textId="77777777" w:rsidR="00BB4B14" w:rsidRPr="00105D1E" w:rsidRDefault="00BB4B14" w:rsidP="00105D1E">
      <w:pPr>
        <w:pStyle w:val="ListParagraph"/>
        <w:numPr>
          <w:ilvl w:val="0"/>
          <w:numId w:val="62"/>
        </w:numPr>
        <w:bidi/>
        <w:spacing w:after="240" w:line="340" w:lineRule="exact"/>
        <w:ind w:left="567" w:hanging="567"/>
        <w:contextualSpacing w:val="0"/>
        <w:jc w:val="both"/>
        <w:rPr>
          <w:rFonts w:ascii="Arabic Typesetting" w:hAnsi="Arabic Typesetting" w:cs="Arabic Typesetting"/>
          <w:i/>
          <w:iCs/>
          <w:sz w:val="34"/>
          <w:szCs w:val="34"/>
          <w:lang w:bidi="ar-EG"/>
        </w:rPr>
      </w:pPr>
      <w:r w:rsidRPr="00105D1E">
        <w:rPr>
          <w:rFonts w:ascii="Arabic Typesetting" w:hAnsi="Arabic Typesetting" w:cs="Arabic Typesetting"/>
          <w:i/>
          <w:iCs/>
          <w:sz w:val="34"/>
          <w:szCs w:val="34"/>
          <w:rtl/>
          <w:lang w:bidi="ar-EG"/>
        </w:rPr>
        <w:t xml:space="preserve">أسس المقارنة الأصلية </w:t>
      </w:r>
      <w:r w:rsidRPr="00105D1E">
        <w:rPr>
          <w:rFonts w:ascii="Arabic Typesetting" w:hAnsi="Arabic Typesetting" w:cs="Arabic Typesetting" w:hint="cs"/>
          <w:i/>
          <w:iCs/>
          <w:sz w:val="34"/>
          <w:szCs w:val="34"/>
          <w:rtl/>
          <w:lang w:bidi="ar-EG"/>
        </w:rPr>
        <w:t>ل</w:t>
      </w:r>
      <w:r w:rsidRPr="00105D1E">
        <w:rPr>
          <w:rFonts w:ascii="Arabic Typesetting" w:hAnsi="Arabic Typesetting" w:cs="Arabic Typesetting"/>
          <w:i/>
          <w:iCs/>
          <w:sz w:val="34"/>
          <w:szCs w:val="34"/>
          <w:rtl/>
          <w:lang w:bidi="ar-EG"/>
        </w:rPr>
        <w:t>برنامج وميزانية 201</w:t>
      </w:r>
      <w:r w:rsidRPr="00105D1E">
        <w:rPr>
          <w:rFonts w:ascii="Arabic Typesetting" w:hAnsi="Arabic Typesetting" w:cs="Arabic Typesetting" w:hint="cs"/>
          <w:i/>
          <w:iCs/>
          <w:sz w:val="34"/>
          <w:szCs w:val="34"/>
          <w:rtl/>
          <w:lang w:bidi="ar-EG"/>
        </w:rPr>
        <w:t>6</w:t>
      </w:r>
      <w:r w:rsidRPr="00105D1E">
        <w:rPr>
          <w:rFonts w:ascii="Arabic Typesetting" w:hAnsi="Arabic Typesetting" w:cs="Arabic Typesetting"/>
          <w:i/>
          <w:iCs/>
          <w:sz w:val="34"/>
          <w:szCs w:val="34"/>
          <w:rtl/>
          <w:lang w:bidi="ar-EG"/>
        </w:rPr>
        <w:t>/1</w:t>
      </w:r>
      <w:r w:rsidRPr="00105D1E">
        <w:rPr>
          <w:rFonts w:ascii="Arabic Typesetting" w:hAnsi="Arabic Typesetting" w:cs="Arabic Typesetting" w:hint="cs"/>
          <w:i/>
          <w:iCs/>
          <w:sz w:val="34"/>
          <w:szCs w:val="34"/>
          <w:rtl/>
          <w:lang w:bidi="ar-EG"/>
        </w:rPr>
        <w:t xml:space="preserve">7: أسس المقارنة الأصلية كما اعتُمدت في برنامج وميزانية </w:t>
      </w:r>
      <w:r w:rsidRPr="00105D1E">
        <w:rPr>
          <w:rFonts w:ascii="Arabic Typesetting" w:hAnsi="Arabic Typesetting" w:cs="Arabic Typesetting"/>
          <w:i/>
          <w:iCs/>
          <w:sz w:val="34"/>
          <w:szCs w:val="34"/>
          <w:rtl/>
          <w:lang w:bidi="ar-EG"/>
        </w:rPr>
        <w:t>201</w:t>
      </w:r>
      <w:r w:rsidRPr="00105D1E">
        <w:rPr>
          <w:rFonts w:ascii="Arabic Typesetting" w:hAnsi="Arabic Typesetting" w:cs="Arabic Typesetting" w:hint="cs"/>
          <w:i/>
          <w:iCs/>
          <w:sz w:val="34"/>
          <w:szCs w:val="34"/>
          <w:rtl/>
          <w:lang w:bidi="ar-EG"/>
        </w:rPr>
        <w:t>6</w:t>
      </w:r>
      <w:r w:rsidRPr="00105D1E">
        <w:rPr>
          <w:rFonts w:ascii="Arabic Typesetting" w:hAnsi="Arabic Typesetting" w:cs="Arabic Typesetting"/>
          <w:i/>
          <w:iCs/>
          <w:sz w:val="34"/>
          <w:szCs w:val="34"/>
          <w:rtl/>
          <w:lang w:bidi="ar-EG"/>
        </w:rPr>
        <w:t>/1</w:t>
      </w:r>
      <w:r w:rsidRPr="00105D1E">
        <w:rPr>
          <w:rFonts w:ascii="Arabic Typesetting" w:hAnsi="Arabic Typesetting" w:cs="Arabic Typesetting" w:hint="cs"/>
          <w:i/>
          <w:iCs/>
          <w:sz w:val="34"/>
          <w:szCs w:val="34"/>
          <w:rtl/>
          <w:lang w:bidi="ar-EG"/>
        </w:rPr>
        <w:t xml:space="preserve">7؛ </w:t>
      </w:r>
    </w:p>
    <w:p w14:paraId="5929C431" w14:textId="77777777" w:rsidR="00BB4B14" w:rsidRPr="00105D1E" w:rsidRDefault="00BB4B14" w:rsidP="00105D1E">
      <w:pPr>
        <w:pStyle w:val="ListParagraph"/>
        <w:numPr>
          <w:ilvl w:val="0"/>
          <w:numId w:val="62"/>
        </w:numPr>
        <w:bidi/>
        <w:spacing w:after="240" w:line="340" w:lineRule="exact"/>
        <w:ind w:left="567" w:hanging="567"/>
        <w:contextualSpacing w:val="0"/>
        <w:jc w:val="both"/>
        <w:rPr>
          <w:rFonts w:ascii="Arabic Typesetting" w:hAnsi="Arabic Typesetting" w:cs="Arabic Typesetting"/>
          <w:i/>
          <w:iCs/>
          <w:sz w:val="34"/>
          <w:szCs w:val="34"/>
          <w:lang w:bidi="ar-EG"/>
        </w:rPr>
      </w:pPr>
      <w:r w:rsidRPr="00105D1E">
        <w:rPr>
          <w:rFonts w:ascii="Arabic Typesetting" w:hAnsi="Arabic Typesetting" w:cs="Arabic Typesetting" w:hint="cs"/>
          <w:i/>
          <w:iCs/>
          <w:sz w:val="34"/>
          <w:szCs w:val="34"/>
          <w:rtl/>
          <w:lang w:bidi="ar-EG"/>
        </w:rPr>
        <w:t>أسس المقارنة المحدثة</w:t>
      </w:r>
      <w:r w:rsidRPr="00105D1E">
        <w:rPr>
          <w:rStyle w:val="FootnoteReference"/>
          <w:i/>
          <w:iCs/>
          <w:sz w:val="34"/>
          <w:szCs w:val="34"/>
          <w:rtl/>
          <w:lang w:bidi="ar-EG"/>
        </w:rPr>
        <w:footnoteReference w:id="105"/>
      </w:r>
      <w:r w:rsidRPr="00105D1E">
        <w:rPr>
          <w:rFonts w:ascii="Arabic Typesetting" w:hAnsi="Arabic Typesetting" w:cs="Arabic Typesetting" w:hint="cs"/>
          <w:i/>
          <w:iCs/>
          <w:sz w:val="34"/>
          <w:szCs w:val="34"/>
          <w:rtl/>
          <w:lang w:bidi="ar-EG"/>
        </w:rPr>
        <w:t xml:space="preserve"> : أسس مقارنة محدثة حسب الاقتضاء تُبيّن الوضع في نهاية عام 2015؛ </w:t>
      </w:r>
    </w:p>
    <w:p w14:paraId="32586D35" w14:textId="77777777" w:rsidR="00BB4B14" w:rsidRPr="00105D1E" w:rsidRDefault="00BB4B14" w:rsidP="00105D1E">
      <w:pPr>
        <w:pStyle w:val="ListParagraph"/>
        <w:numPr>
          <w:ilvl w:val="0"/>
          <w:numId w:val="62"/>
        </w:numPr>
        <w:bidi/>
        <w:spacing w:after="240" w:line="340" w:lineRule="exact"/>
        <w:ind w:left="567" w:hanging="567"/>
        <w:contextualSpacing w:val="0"/>
        <w:jc w:val="both"/>
        <w:rPr>
          <w:rFonts w:ascii="Arabic Typesetting" w:hAnsi="Arabic Typesetting" w:cs="Arabic Typesetting"/>
          <w:i/>
          <w:iCs/>
          <w:sz w:val="34"/>
          <w:szCs w:val="34"/>
          <w:lang w:bidi="ar-EG"/>
        </w:rPr>
      </w:pPr>
      <w:r w:rsidRPr="00105D1E">
        <w:rPr>
          <w:rFonts w:ascii="Arabic Typesetting" w:hAnsi="Arabic Typesetting" w:cs="Arabic Typesetting" w:hint="cs"/>
          <w:i/>
          <w:iCs/>
          <w:sz w:val="34"/>
          <w:szCs w:val="34"/>
          <w:rtl/>
          <w:lang w:bidi="ar-EG"/>
        </w:rPr>
        <w:t>الأهداف الأصلية ل</w:t>
      </w:r>
      <w:r w:rsidRPr="00105D1E">
        <w:rPr>
          <w:rFonts w:ascii="Arabic Typesetting" w:hAnsi="Arabic Typesetting" w:cs="Arabic Typesetting"/>
          <w:i/>
          <w:iCs/>
          <w:sz w:val="34"/>
          <w:szCs w:val="34"/>
          <w:rtl/>
          <w:lang w:bidi="ar-EG"/>
        </w:rPr>
        <w:t>برنامج وميزانية 201</w:t>
      </w:r>
      <w:r w:rsidRPr="00105D1E">
        <w:rPr>
          <w:rFonts w:ascii="Arabic Typesetting" w:hAnsi="Arabic Typesetting" w:cs="Arabic Typesetting" w:hint="cs"/>
          <w:i/>
          <w:iCs/>
          <w:sz w:val="34"/>
          <w:szCs w:val="34"/>
          <w:rtl/>
          <w:lang w:bidi="ar-EG"/>
        </w:rPr>
        <w:t>6</w:t>
      </w:r>
      <w:r w:rsidRPr="00105D1E">
        <w:rPr>
          <w:rFonts w:ascii="Arabic Typesetting" w:hAnsi="Arabic Typesetting" w:cs="Arabic Typesetting"/>
          <w:i/>
          <w:iCs/>
          <w:sz w:val="34"/>
          <w:szCs w:val="34"/>
          <w:rtl/>
          <w:lang w:bidi="ar-EG"/>
        </w:rPr>
        <w:t>/1</w:t>
      </w:r>
      <w:r w:rsidRPr="00105D1E">
        <w:rPr>
          <w:rFonts w:ascii="Arabic Typesetting" w:hAnsi="Arabic Typesetting" w:cs="Arabic Typesetting" w:hint="cs"/>
          <w:i/>
          <w:iCs/>
          <w:sz w:val="34"/>
          <w:szCs w:val="34"/>
          <w:rtl/>
          <w:lang w:bidi="ar-EG"/>
        </w:rPr>
        <w:t xml:space="preserve">7: الأهداف الأصلية كما حّدّدت في برنامج وميزانية </w:t>
      </w:r>
      <w:r w:rsidRPr="00105D1E">
        <w:rPr>
          <w:rFonts w:ascii="Arabic Typesetting" w:hAnsi="Arabic Typesetting" w:cs="Arabic Typesetting"/>
          <w:i/>
          <w:iCs/>
          <w:sz w:val="34"/>
          <w:szCs w:val="34"/>
          <w:rtl/>
          <w:lang w:bidi="ar-EG"/>
        </w:rPr>
        <w:t>201</w:t>
      </w:r>
      <w:r w:rsidRPr="00105D1E">
        <w:rPr>
          <w:rFonts w:ascii="Arabic Typesetting" w:hAnsi="Arabic Typesetting" w:cs="Arabic Typesetting" w:hint="cs"/>
          <w:i/>
          <w:iCs/>
          <w:sz w:val="34"/>
          <w:szCs w:val="34"/>
          <w:rtl/>
          <w:lang w:bidi="ar-EG"/>
        </w:rPr>
        <w:t>6</w:t>
      </w:r>
      <w:r w:rsidRPr="00105D1E">
        <w:rPr>
          <w:rFonts w:ascii="Arabic Typesetting" w:hAnsi="Arabic Typesetting" w:cs="Arabic Typesetting"/>
          <w:i/>
          <w:iCs/>
          <w:sz w:val="34"/>
          <w:szCs w:val="34"/>
          <w:rtl/>
          <w:lang w:bidi="ar-EG"/>
        </w:rPr>
        <w:t>/1</w:t>
      </w:r>
      <w:r w:rsidRPr="00105D1E">
        <w:rPr>
          <w:rFonts w:ascii="Arabic Typesetting" w:hAnsi="Arabic Typesetting" w:cs="Arabic Typesetting" w:hint="cs"/>
          <w:i/>
          <w:iCs/>
          <w:sz w:val="34"/>
          <w:szCs w:val="34"/>
          <w:rtl/>
          <w:lang w:bidi="ar-EG"/>
        </w:rPr>
        <w:t>7؛</w:t>
      </w:r>
    </w:p>
    <w:p w14:paraId="05626931" w14:textId="77777777" w:rsidR="00BB4B14" w:rsidRPr="00105D1E" w:rsidRDefault="00BB4B14" w:rsidP="00105D1E">
      <w:pPr>
        <w:pStyle w:val="ListParagraph"/>
        <w:numPr>
          <w:ilvl w:val="0"/>
          <w:numId w:val="62"/>
        </w:numPr>
        <w:bidi/>
        <w:spacing w:after="240" w:line="340" w:lineRule="exact"/>
        <w:ind w:left="567" w:hanging="567"/>
        <w:contextualSpacing w:val="0"/>
        <w:jc w:val="both"/>
        <w:rPr>
          <w:rFonts w:ascii="Arabic Typesetting" w:hAnsi="Arabic Typesetting" w:cs="Arabic Typesetting"/>
          <w:i/>
          <w:iCs/>
          <w:sz w:val="34"/>
          <w:szCs w:val="34"/>
          <w:lang w:bidi="ar-EG"/>
        </w:rPr>
      </w:pPr>
      <w:r w:rsidRPr="00105D1E">
        <w:rPr>
          <w:rFonts w:ascii="Arabic Typesetting" w:hAnsi="Arabic Typesetting" w:cs="Arabic Typesetting" w:hint="cs"/>
          <w:i/>
          <w:iCs/>
          <w:sz w:val="34"/>
          <w:szCs w:val="34"/>
          <w:rtl/>
          <w:lang w:bidi="ar-EG"/>
        </w:rPr>
        <w:t>الأهداف المحددة/المحدثة</w:t>
      </w:r>
      <w:r w:rsidRPr="00105D1E">
        <w:rPr>
          <w:rStyle w:val="FootnoteReference"/>
          <w:i/>
          <w:iCs/>
          <w:sz w:val="34"/>
          <w:szCs w:val="34"/>
          <w:rtl/>
          <w:lang w:bidi="ar-EG"/>
        </w:rPr>
        <w:footnoteReference w:id="106"/>
      </w:r>
      <w:r w:rsidRPr="00105D1E">
        <w:rPr>
          <w:rFonts w:ascii="Arabic Typesetting" w:hAnsi="Arabic Typesetting" w:cs="Arabic Typesetting" w:hint="cs"/>
          <w:i/>
          <w:iCs/>
          <w:sz w:val="34"/>
          <w:szCs w:val="34"/>
          <w:rtl/>
          <w:lang w:bidi="ar-EG"/>
        </w:rPr>
        <w:t xml:space="preserve"> : "1" أهداف معتمدة في الأصل كأهداف "تُحدد لاحقاً" في برنامج وميزانية </w:t>
      </w:r>
      <w:r w:rsidRPr="00105D1E">
        <w:rPr>
          <w:rFonts w:ascii="Arabic Typesetting" w:hAnsi="Arabic Typesetting" w:cs="Arabic Typesetting"/>
          <w:i/>
          <w:iCs/>
          <w:sz w:val="34"/>
          <w:szCs w:val="34"/>
          <w:rtl/>
          <w:lang w:bidi="ar-EG"/>
        </w:rPr>
        <w:t>201</w:t>
      </w:r>
      <w:r w:rsidRPr="00105D1E">
        <w:rPr>
          <w:rFonts w:ascii="Arabic Typesetting" w:hAnsi="Arabic Typesetting" w:cs="Arabic Typesetting" w:hint="cs"/>
          <w:i/>
          <w:iCs/>
          <w:sz w:val="34"/>
          <w:szCs w:val="34"/>
          <w:rtl/>
          <w:lang w:bidi="ar-EG"/>
        </w:rPr>
        <w:t>6</w:t>
      </w:r>
      <w:r w:rsidRPr="00105D1E">
        <w:rPr>
          <w:rFonts w:ascii="Arabic Typesetting" w:hAnsi="Arabic Typesetting" w:cs="Arabic Typesetting"/>
          <w:i/>
          <w:iCs/>
          <w:sz w:val="34"/>
          <w:szCs w:val="34"/>
          <w:rtl/>
          <w:lang w:bidi="ar-EG"/>
        </w:rPr>
        <w:t>/1</w:t>
      </w:r>
      <w:r w:rsidRPr="00105D1E">
        <w:rPr>
          <w:rFonts w:ascii="Arabic Typesetting" w:hAnsi="Arabic Typesetting" w:cs="Arabic Typesetting" w:hint="cs"/>
          <w:i/>
          <w:iCs/>
          <w:sz w:val="34"/>
          <w:szCs w:val="34"/>
          <w:rtl/>
          <w:lang w:bidi="ar-EG"/>
        </w:rPr>
        <w:t>7، تُحدد باستخدام بيانات نهاية عام 2015 كأساس</w:t>
      </w:r>
      <w:r w:rsidRPr="00105D1E">
        <w:rPr>
          <w:rStyle w:val="FootnoteReference"/>
          <w:i/>
          <w:iCs/>
          <w:sz w:val="34"/>
          <w:szCs w:val="34"/>
          <w:rtl/>
          <w:lang w:bidi="ar-EG"/>
        </w:rPr>
        <w:footnoteReference w:id="107"/>
      </w:r>
      <w:r w:rsidRPr="00105D1E">
        <w:rPr>
          <w:rFonts w:ascii="Arabic Typesetting" w:hAnsi="Arabic Typesetting" w:cs="Arabic Typesetting" w:hint="cs"/>
          <w:i/>
          <w:iCs/>
          <w:sz w:val="34"/>
          <w:szCs w:val="34"/>
          <w:rtl/>
          <w:lang w:bidi="ar-EG"/>
        </w:rPr>
        <w:t xml:space="preserve">؛ أو "2" أهداف محدّثة حسب الاقتضاء حين يكون الهدف الأصلي قد تحقق في نهاية عام 2015؛ </w:t>
      </w:r>
    </w:p>
    <w:p w14:paraId="2B6A3599" w14:textId="77777777" w:rsidR="00BB4B14" w:rsidRPr="00105D1E" w:rsidRDefault="00BB4B14" w:rsidP="00105D1E">
      <w:pPr>
        <w:pStyle w:val="ListParagraph"/>
        <w:numPr>
          <w:ilvl w:val="0"/>
          <w:numId w:val="62"/>
        </w:numPr>
        <w:bidi/>
        <w:spacing w:after="240" w:line="340" w:lineRule="exact"/>
        <w:ind w:left="566" w:hanging="567"/>
        <w:contextualSpacing w:val="0"/>
        <w:jc w:val="both"/>
        <w:rPr>
          <w:rFonts w:ascii="Arabic Typesetting" w:hAnsi="Arabic Typesetting" w:cs="Arabic Typesetting"/>
          <w:i/>
          <w:iCs/>
          <w:sz w:val="34"/>
          <w:szCs w:val="34"/>
          <w:lang w:bidi="ar-EG"/>
        </w:rPr>
      </w:pPr>
      <w:r w:rsidRPr="00105D1E">
        <w:rPr>
          <w:rFonts w:ascii="Arabic Typesetting" w:hAnsi="Arabic Typesetting" w:cs="Arabic Typesetting" w:hint="cs"/>
          <w:i/>
          <w:iCs/>
          <w:sz w:val="34"/>
          <w:szCs w:val="34"/>
          <w:rtl/>
        </w:rPr>
        <w:t xml:space="preserve">بيانات الأداء: بيانات الأداء لعام 2016 بالنسبة لكل مؤشر. وكقاعدة عامة، </w:t>
      </w:r>
      <w:r w:rsidRPr="00105D1E">
        <w:rPr>
          <w:rFonts w:ascii="Arabic Typesetting" w:hAnsi="Arabic Typesetting" w:cs="Arabic Typesetting"/>
          <w:i/>
          <w:iCs/>
          <w:sz w:val="34"/>
          <w:szCs w:val="34"/>
          <w:rtl/>
        </w:rPr>
        <w:t>عندما تقاس بيانات الأداء بتغير في النسبة المئوية</w:t>
      </w:r>
      <w:r w:rsidRPr="00105D1E">
        <w:rPr>
          <w:rFonts w:ascii="Arabic Typesetting" w:hAnsi="Arabic Typesetting" w:cs="Arabic Typesetting" w:hint="cs"/>
          <w:i/>
          <w:iCs/>
          <w:sz w:val="34"/>
          <w:szCs w:val="34"/>
          <w:rtl/>
        </w:rPr>
        <w:t xml:space="preserve"> (ارتفاع أو انخفاض)</w:t>
      </w:r>
      <w:r w:rsidRPr="00105D1E">
        <w:rPr>
          <w:rFonts w:ascii="Arabic Typesetting" w:hAnsi="Arabic Typesetting" w:cs="Arabic Typesetting"/>
          <w:i/>
          <w:iCs/>
          <w:sz w:val="34"/>
          <w:szCs w:val="34"/>
          <w:rtl/>
        </w:rPr>
        <w:t>، فيُقصد بذلك المقارنة بالعام السابق، ما لم يُذكر خلاف ذل</w:t>
      </w:r>
      <w:r w:rsidRPr="00105D1E">
        <w:rPr>
          <w:rFonts w:ascii="Arabic Typesetting" w:hAnsi="Arabic Typesetting" w:cs="Arabic Typesetting" w:hint="cs"/>
          <w:i/>
          <w:iCs/>
          <w:sz w:val="34"/>
          <w:szCs w:val="34"/>
          <w:rtl/>
        </w:rPr>
        <w:t>لك،</w:t>
      </w:r>
      <w:r w:rsidRPr="00105D1E">
        <w:rPr>
          <w:rFonts w:ascii="Arabic Typesetting" w:hAnsi="Arabic Typesetting" w:cs="Arabic Typesetting"/>
          <w:i/>
          <w:iCs/>
          <w:sz w:val="34"/>
          <w:szCs w:val="34"/>
          <w:rtl/>
        </w:rPr>
        <w:t xml:space="preserve"> أي أن تغير النسبة المئوية في </w:t>
      </w:r>
      <w:r w:rsidRPr="00105D1E">
        <w:rPr>
          <w:rFonts w:ascii="Arabic Typesetting" w:hAnsi="Arabic Typesetting" w:cs="Arabic Typesetting" w:hint="cs"/>
          <w:i/>
          <w:iCs/>
          <w:sz w:val="34"/>
          <w:szCs w:val="34"/>
          <w:rtl/>
        </w:rPr>
        <w:t>عام</w:t>
      </w:r>
      <w:r w:rsidRPr="00105D1E">
        <w:rPr>
          <w:rFonts w:ascii="Arabic Typesetting" w:hAnsi="Arabic Typesetting" w:cs="Arabic Typesetting"/>
          <w:i/>
          <w:iCs/>
          <w:sz w:val="34"/>
          <w:szCs w:val="34"/>
          <w:rtl/>
        </w:rPr>
        <w:t xml:space="preserve"> </w:t>
      </w:r>
      <w:r w:rsidRPr="00105D1E">
        <w:rPr>
          <w:rFonts w:ascii="Arabic Typesetting" w:hAnsi="Arabic Typesetting" w:cs="Arabic Typesetting" w:hint="cs"/>
          <w:i/>
          <w:iCs/>
          <w:sz w:val="34"/>
          <w:szCs w:val="34"/>
          <w:rtl/>
        </w:rPr>
        <w:t>2016</w:t>
      </w:r>
      <w:r w:rsidRPr="00105D1E">
        <w:rPr>
          <w:rFonts w:ascii="Arabic Typesetting" w:hAnsi="Arabic Typesetting" w:cs="Arabic Typesetting"/>
          <w:i/>
          <w:iCs/>
          <w:sz w:val="34"/>
          <w:szCs w:val="34"/>
          <w:rtl/>
        </w:rPr>
        <w:t xml:space="preserve"> يقارن بسنة </w:t>
      </w:r>
      <w:r w:rsidRPr="00105D1E">
        <w:rPr>
          <w:rFonts w:ascii="Arabic Typesetting" w:hAnsi="Arabic Typesetting" w:cs="Arabic Typesetting" w:hint="cs"/>
          <w:i/>
          <w:iCs/>
          <w:sz w:val="34"/>
          <w:szCs w:val="34"/>
          <w:rtl/>
        </w:rPr>
        <w:t>عام 2015؛</w:t>
      </w:r>
      <w:r w:rsidRPr="00105D1E">
        <w:rPr>
          <w:rFonts w:ascii="Arabic Typesetting" w:hAnsi="Arabic Typesetting" w:cs="Arabic Typesetting"/>
          <w:i/>
          <w:iCs/>
          <w:sz w:val="34"/>
          <w:szCs w:val="34"/>
          <w:rtl/>
        </w:rPr>
        <w:t xml:space="preserve"> </w:t>
      </w:r>
    </w:p>
    <w:p w14:paraId="2496FC49" w14:textId="77777777" w:rsidR="00BB4B14" w:rsidRPr="00105D1E" w:rsidRDefault="00BB4B14" w:rsidP="00105D1E">
      <w:pPr>
        <w:pStyle w:val="ListParagraph"/>
        <w:numPr>
          <w:ilvl w:val="0"/>
          <w:numId w:val="62"/>
        </w:numPr>
        <w:bidi/>
        <w:spacing w:after="240" w:line="340" w:lineRule="exact"/>
        <w:ind w:left="567" w:hanging="567"/>
        <w:contextualSpacing w:val="0"/>
        <w:jc w:val="both"/>
        <w:rPr>
          <w:rFonts w:ascii="Arabic Typesetting" w:hAnsi="Arabic Typesetting" w:cs="Arabic Typesetting"/>
          <w:i/>
          <w:iCs/>
          <w:sz w:val="34"/>
          <w:szCs w:val="34"/>
          <w:lang w:bidi="ar-EG"/>
        </w:rPr>
      </w:pPr>
      <w:r w:rsidRPr="00105D1E">
        <w:rPr>
          <w:rFonts w:ascii="Arabic Typesetting" w:hAnsi="Arabic Typesetting" w:cs="Arabic Typesetting"/>
          <w:i/>
          <w:iCs/>
          <w:sz w:val="34"/>
          <w:szCs w:val="34"/>
          <w:rtl/>
        </w:rPr>
        <w:t xml:space="preserve">نظام إشارات </w:t>
      </w:r>
      <w:r w:rsidRPr="00105D1E">
        <w:rPr>
          <w:rFonts w:ascii="Arabic Typesetting" w:hAnsi="Arabic Typesetting" w:cs="Arabic Typesetting" w:hint="cs"/>
          <w:i/>
          <w:iCs/>
          <w:sz w:val="34"/>
          <w:szCs w:val="34"/>
          <w:rtl/>
        </w:rPr>
        <w:t xml:space="preserve">السير: تقييم للأداء باستخدام نظام إشارات السير. </w:t>
      </w:r>
    </w:p>
    <w:p w14:paraId="4F593DDB" w14:textId="77777777" w:rsidR="00BB4B14" w:rsidRPr="00105D1E" w:rsidRDefault="00BB4B14" w:rsidP="00105D1E">
      <w:pPr>
        <w:keepNext/>
        <w:bidi/>
        <w:spacing w:after="240" w:line="340" w:lineRule="exact"/>
        <w:jc w:val="both"/>
        <w:rPr>
          <w:rFonts w:ascii="Arabic Typesetting" w:hAnsi="Arabic Typesetting" w:cs="Arabic Typesetting"/>
          <w:i/>
          <w:iCs/>
          <w:sz w:val="34"/>
          <w:szCs w:val="34"/>
          <w:rtl/>
        </w:rPr>
      </w:pPr>
      <w:r w:rsidRPr="00105D1E">
        <w:rPr>
          <w:rFonts w:ascii="Arabic Typesetting" w:hAnsi="Arabic Typesetting" w:cs="Arabic Typesetting" w:hint="cs"/>
          <w:i/>
          <w:iCs/>
          <w:sz w:val="34"/>
          <w:szCs w:val="34"/>
          <w:rtl/>
        </w:rPr>
        <w:lastRenderedPageBreak/>
        <w:t xml:space="preserve">الجزء الرابع: استخدام الموارد لعام 2016 </w:t>
      </w:r>
    </w:p>
    <w:p w14:paraId="2DA6E362" w14:textId="77777777" w:rsidR="00BB4B14" w:rsidRPr="00105D1E" w:rsidRDefault="00BB4B14" w:rsidP="00105D1E">
      <w:pPr>
        <w:keepNext/>
        <w:bidi/>
        <w:spacing w:after="240" w:line="340" w:lineRule="exact"/>
        <w:jc w:val="both"/>
        <w:rPr>
          <w:rFonts w:ascii="Arabic Typesetting" w:hAnsi="Arabic Typesetting" w:cs="Arabic Typesetting"/>
          <w:sz w:val="34"/>
          <w:szCs w:val="34"/>
          <w:rtl/>
        </w:rPr>
      </w:pPr>
      <w:r w:rsidRPr="00105D1E">
        <w:rPr>
          <w:rFonts w:ascii="Arabic Typesetting" w:hAnsi="Arabic Typesetting" w:cs="Arabic Typesetting" w:hint="cs"/>
          <w:sz w:val="34"/>
          <w:szCs w:val="34"/>
          <w:rtl/>
        </w:rPr>
        <w:t xml:space="preserve">يقدم هذا الجزء معلومات عن </w:t>
      </w:r>
      <w:r w:rsidRPr="00105D1E">
        <w:rPr>
          <w:rFonts w:ascii="Arabic Typesetting" w:hAnsi="Arabic Typesetting" w:cs="Arabic Typesetting"/>
          <w:sz w:val="34"/>
          <w:szCs w:val="34"/>
          <w:rtl/>
        </w:rPr>
        <w:t>الميزانية المعتمدة</w:t>
      </w:r>
      <w:r w:rsidRPr="00105D1E">
        <w:rPr>
          <w:rFonts w:ascii="Arabic Typesetting" w:hAnsi="Arabic Typesetting" w:cs="Arabic Typesetting" w:hint="cs"/>
          <w:sz w:val="34"/>
          <w:szCs w:val="34"/>
          <w:rtl/>
        </w:rPr>
        <w:t xml:space="preserve"> للثنائية 2016/17، وميزانية 2016/17 بعد </w:t>
      </w:r>
      <w:r w:rsidRPr="00105D1E">
        <w:rPr>
          <w:rFonts w:ascii="Arabic Typesetting" w:hAnsi="Arabic Typesetting" w:cs="Arabic Typesetting"/>
          <w:sz w:val="34"/>
          <w:szCs w:val="34"/>
          <w:rtl/>
        </w:rPr>
        <w:t>التحويلات والنفقات الفعلية</w:t>
      </w:r>
      <w:r w:rsidRPr="00105D1E">
        <w:rPr>
          <w:rFonts w:ascii="Arabic Typesetting" w:hAnsi="Arabic Typesetting" w:cs="Arabic Typesetting" w:hint="cs"/>
          <w:sz w:val="34"/>
          <w:szCs w:val="34"/>
          <w:rtl/>
        </w:rPr>
        <w:t xml:space="preserve"> واستخدام الميزانية لعام 2016. ويشمل التقرير في هذا الجزء جدولان: </w:t>
      </w:r>
    </w:p>
    <w:p w14:paraId="766E04DC" w14:textId="77777777" w:rsidR="00BB4B14" w:rsidRPr="00105D1E" w:rsidRDefault="00BB4B14" w:rsidP="00105D1E">
      <w:pPr>
        <w:pStyle w:val="ListParagraph"/>
        <w:keepNext/>
        <w:numPr>
          <w:ilvl w:val="0"/>
          <w:numId w:val="63"/>
        </w:numPr>
        <w:bidi/>
        <w:spacing w:after="240" w:line="340" w:lineRule="exact"/>
        <w:ind w:left="566" w:hanging="567"/>
        <w:contextualSpacing w:val="0"/>
        <w:jc w:val="both"/>
        <w:rPr>
          <w:rFonts w:ascii="Arabic Typesetting" w:hAnsi="Arabic Typesetting" w:cs="Arabic Typesetting"/>
          <w:i/>
          <w:iCs/>
          <w:sz w:val="34"/>
          <w:szCs w:val="34"/>
          <w:lang w:bidi="ar-EG"/>
        </w:rPr>
      </w:pPr>
      <w:r w:rsidRPr="00105D1E">
        <w:rPr>
          <w:rFonts w:ascii="Arabic Typesetting" w:hAnsi="Arabic Typesetting" w:cs="Arabic Typesetting" w:hint="cs"/>
          <w:sz w:val="34"/>
          <w:szCs w:val="34"/>
          <w:rtl/>
          <w:lang w:bidi="ar-EG"/>
        </w:rPr>
        <w:t>يعرض</w:t>
      </w:r>
      <w:r w:rsidRPr="00105D1E">
        <w:rPr>
          <w:rFonts w:ascii="Arabic Typesetting" w:hAnsi="Arabic Typesetting" w:cs="Arabic Typesetting" w:hint="cs"/>
          <w:i/>
          <w:iCs/>
          <w:sz w:val="34"/>
          <w:szCs w:val="34"/>
          <w:rtl/>
          <w:lang w:bidi="ar-EG"/>
        </w:rPr>
        <w:t xml:space="preserve"> جدول الميزانية والنفقات الفعلية (حسب النتيجة) </w:t>
      </w:r>
      <w:r w:rsidRPr="00105D1E">
        <w:rPr>
          <w:rFonts w:ascii="Arabic Typesetting" w:hAnsi="Arabic Typesetting" w:cs="Arabic Typesetting" w:hint="cs"/>
          <w:sz w:val="34"/>
          <w:szCs w:val="34"/>
          <w:rtl/>
          <w:lang w:bidi="ar-EG"/>
        </w:rPr>
        <w:t>معلومات عن</w:t>
      </w:r>
      <w:r w:rsidRPr="00105D1E">
        <w:rPr>
          <w:rFonts w:ascii="Arabic Typesetting" w:hAnsi="Arabic Typesetting" w:cs="Arabic Typesetting"/>
          <w:sz w:val="34"/>
          <w:szCs w:val="34"/>
          <w:rtl/>
        </w:rPr>
        <w:t xml:space="preserve"> الميزانية المعتمدة</w:t>
      </w:r>
      <w:r w:rsidRPr="00105D1E">
        <w:rPr>
          <w:rFonts w:ascii="Arabic Typesetting" w:hAnsi="Arabic Typesetting" w:cs="Arabic Typesetting" w:hint="cs"/>
          <w:sz w:val="34"/>
          <w:szCs w:val="34"/>
          <w:rtl/>
        </w:rPr>
        <w:t xml:space="preserve"> للثنائية 2016/17، وميزانية 2016/17 بعد التحويلات، ونفقات عام 2016 حسب النتيجة؛</w:t>
      </w:r>
      <w:r w:rsidRPr="00105D1E">
        <w:rPr>
          <w:rFonts w:ascii="Arabic Typesetting" w:hAnsi="Arabic Typesetting" w:cs="Arabic Typesetting" w:hint="cs"/>
          <w:i/>
          <w:iCs/>
          <w:sz w:val="34"/>
          <w:szCs w:val="34"/>
          <w:rtl/>
        </w:rPr>
        <w:t xml:space="preserve"> </w:t>
      </w:r>
    </w:p>
    <w:p w14:paraId="75BD5917" w14:textId="6E0DF36B" w:rsidR="00BB4B14" w:rsidRPr="00105D1E" w:rsidRDefault="00BB4B14" w:rsidP="00897495">
      <w:pPr>
        <w:pStyle w:val="ListParagraph"/>
        <w:numPr>
          <w:ilvl w:val="0"/>
          <w:numId w:val="63"/>
        </w:numPr>
        <w:bidi/>
        <w:spacing w:after="240" w:line="340" w:lineRule="exact"/>
        <w:ind w:left="566" w:hanging="567"/>
        <w:contextualSpacing w:val="0"/>
        <w:jc w:val="both"/>
        <w:rPr>
          <w:rFonts w:ascii="Arabic Typesetting" w:hAnsi="Arabic Typesetting" w:cs="Arabic Typesetting"/>
          <w:i/>
          <w:iCs/>
          <w:sz w:val="34"/>
          <w:szCs w:val="34"/>
          <w:lang w:bidi="ar-EG"/>
        </w:rPr>
      </w:pPr>
      <w:r w:rsidRPr="00105D1E">
        <w:rPr>
          <w:rFonts w:ascii="Arabic Typesetting" w:hAnsi="Arabic Typesetting" w:cs="Arabic Typesetting" w:hint="cs"/>
          <w:sz w:val="34"/>
          <w:szCs w:val="34"/>
          <w:rtl/>
          <w:lang w:bidi="ar-EG"/>
        </w:rPr>
        <w:t>يعرض</w:t>
      </w:r>
      <w:r w:rsidRPr="00105D1E">
        <w:rPr>
          <w:rFonts w:ascii="Arabic Typesetting" w:hAnsi="Arabic Typesetting" w:cs="Arabic Typesetting" w:hint="cs"/>
          <w:i/>
          <w:iCs/>
          <w:sz w:val="34"/>
          <w:szCs w:val="34"/>
          <w:rtl/>
          <w:lang w:bidi="ar-EG"/>
        </w:rPr>
        <w:t xml:space="preserve"> جدول الميزانية والنفقات الفعلية (موارد الموظفين وخلاف الموظفين) </w:t>
      </w:r>
      <w:r w:rsidRPr="00105D1E">
        <w:rPr>
          <w:rFonts w:ascii="Arabic Typesetting" w:hAnsi="Arabic Typesetting" w:cs="Arabic Typesetting" w:hint="cs"/>
          <w:sz w:val="34"/>
          <w:szCs w:val="34"/>
          <w:rtl/>
          <w:lang w:bidi="ar-EG"/>
        </w:rPr>
        <w:t>معلومات عن</w:t>
      </w:r>
      <w:r w:rsidRPr="00105D1E">
        <w:rPr>
          <w:rFonts w:ascii="Arabic Typesetting" w:hAnsi="Arabic Typesetting" w:cs="Arabic Typesetting"/>
          <w:sz w:val="34"/>
          <w:szCs w:val="34"/>
          <w:rtl/>
        </w:rPr>
        <w:t xml:space="preserve"> الميزانية المعتمدة</w:t>
      </w:r>
      <w:r w:rsidRPr="00105D1E">
        <w:rPr>
          <w:rFonts w:ascii="Arabic Typesetting" w:hAnsi="Arabic Typesetting" w:cs="Arabic Typesetting" w:hint="cs"/>
          <w:sz w:val="34"/>
          <w:szCs w:val="34"/>
          <w:rtl/>
        </w:rPr>
        <w:t xml:space="preserve"> للثنائية 2016/17، وميزانية 2016/17 بعد التحويلات، ونفقات عام 2016 (الموظفون وخلاف الموظفين) </w:t>
      </w:r>
      <w:r w:rsidRPr="00105D1E">
        <w:rPr>
          <w:rFonts w:ascii="Arabic Typesetting" w:hAnsi="Arabic Typesetting" w:cs="Arabic Typesetting"/>
          <w:sz w:val="34"/>
          <w:szCs w:val="34"/>
          <w:rtl/>
        </w:rPr>
        <w:t>ونسبة</w:t>
      </w:r>
      <w:r w:rsidR="00897495">
        <w:rPr>
          <w:rFonts w:ascii="Arabic Typesetting" w:hAnsi="Arabic Typesetting" w:cs="Arabic Typesetting" w:hint="cs"/>
          <w:sz w:val="34"/>
          <w:szCs w:val="34"/>
          <w:rtl/>
        </w:rPr>
        <w:t> </w:t>
      </w:r>
      <w:r w:rsidRPr="00105D1E">
        <w:rPr>
          <w:rFonts w:ascii="Arabic Typesetting" w:hAnsi="Arabic Typesetting" w:cs="Arabic Typesetting" w:hint="cs"/>
          <w:sz w:val="34"/>
          <w:szCs w:val="34"/>
          <w:rtl/>
        </w:rPr>
        <w:t>ال</w:t>
      </w:r>
      <w:r w:rsidRPr="00105D1E">
        <w:rPr>
          <w:rFonts w:ascii="Arabic Typesetting" w:hAnsi="Arabic Typesetting" w:cs="Arabic Typesetting"/>
          <w:sz w:val="34"/>
          <w:szCs w:val="34"/>
          <w:rtl/>
        </w:rPr>
        <w:t>استخدام</w:t>
      </w:r>
      <w:r w:rsidRPr="00105D1E">
        <w:rPr>
          <w:rFonts w:ascii="Arabic Typesetting" w:hAnsi="Arabic Typesetting" w:cs="Arabic Typesetting" w:hint="cs"/>
          <w:sz w:val="34"/>
          <w:szCs w:val="34"/>
          <w:rtl/>
        </w:rPr>
        <w:t>.</w:t>
      </w:r>
    </w:p>
    <w:p w14:paraId="7C0FBA38" w14:textId="3E759B9D" w:rsidR="00BB4B14" w:rsidRPr="00105D1E" w:rsidRDefault="00BB4B14" w:rsidP="00105D1E">
      <w:pPr>
        <w:bidi/>
        <w:spacing w:after="240" w:line="340" w:lineRule="exact"/>
        <w:jc w:val="both"/>
        <w:rPr>
          <w:rFonts w:ascii="Arabic Typesetting" w:hAnsi="Arabic Typesetting" w:cs="Arabic Typesetting"/>
          <w:sz w:val="34"/>
          <w:szCs w:val="34"/>
          <w:rtl/>
          <w:lang w:bidi="ar-EG"/>
        </w:rPr>
      </w:pPr>
      <w:r w:rsidRPr="00105D1E">
        <w:rPr>
          <w:rFonts w:ascii="Arabic Typesetting" w:hAnsi="Arabic Typesetting" w:cs="Arabic Typesetting" w:hint="cs"/>
          <w:sz w:val="34"/>
          <w:szCs w:val="34"/>
          <w:rtl/>
          <w:lang w:bidi="ar-EG"/>
        </w:rPr>
        <w:t>وتُعرض شروح للاختلافات بين الميزانية المعتمدة والميزانية بعد التحويلات، كما لاستخدام الميزانية، مع أخذ البيانات بالاعتبا</w:t>
      </w:r>
      <w:r w:rsidRPr="00105D1E">
        <w:rPr>
          <w:rFonts w:ascii="Arabic Typesetting" w:hAnsi="Arabic Typesetting" w:cs="Arabic Typesetting" w:hint="eastAsia"/>
          <w:sz w:val="34"/>
          <w:szCs w:val="34"/>
          <w:rtl/>
          <w:lang w:bidi="ar-EG"/>
        </w:rPr>
        <w:t>ر</w:t>
      </w:r>
      <w:r w:rsidRPr="00105D1E">
        <w:rPr>
          <w:rFonts w:ascii="Arabic Typesetting" w:hAnsi="Arabic Typesetting" w:cs="Arabic Typesetting" w:hint="cs"/>
          <w:sz w:val="34"/>
          <w:szCs w:val="34"/>
          <w:rtl/>
          <w:lang w:bidi="ar-EG"/>
        </w:rPr>
        <w:t xml:space="preserve"> من منظور النتائج ومن منظور نوع الن</w:t>
      </w:r>
      <w:r w:rsidR="003C0533" w:rsidRPr="00105D1E">
        <w:rPr>
          <w:rFonts w:ascii="Arabic Typesetting" w:hAnsi="Arabic Typesetting" w:cs="Arabic Typesetting" w:hint="cs"/>
          <w:sz w:val="34"/>
          <w:szCs w:val="34"/>
          <w:rtl/>
          <w:lang w:bidi="ar-EG"/>
        </w:rPr>
        <w:t>فقات (الموظفون وخلاف الموظفين).</w:t>
      </w:r>
    </w:p>
    <w:p w14:paraId="513CC117" w14:textId="0222983E" w:rsidR="00BB4B14" w:rsidRPr="00105D1E" w:rsidRDefault="0005232E" w:rsidP="00105D1E">
      <w:pPr>
        <w:pStyle w:val="EndofDocumentAR"/>
        <w:spacing w:line="340" w:lineRule="exact"/>
        <w:rPr>
          <w:sz w:val="34"/>
          <w:szCs w:val="34"/>
          <w:rtl/>
          <w:lang w:bidi="ar-EG"/>
        </w:rPr>
      </w:pPr>
      <w:r w:rsidRPr="00105D1E">
        <w:rPr>
          <w:rFonts w:hint="cs"/>
          <w:sz w:val="34"/>
          <w:szCs w:val="34"/>
          <w:rtl/>
          <w:lang w:bidi="ar-EG"/>
        </w:rPr>
        <w:t>[يلي ذلك الملحق</w:t>
      </w:r>
      <w:r w:rsidR="00BB4B14" w:rsidRPr="00105D1E">
        <w:rPr>
          <w:rFonts w:hint="cs"/>
          <w:sz w:val="34"/>
          <w:szCs w:val="34"/>
          <w:rtl/>
          <w:lang w:bidi="ar-EG"/>
        </w:rPr>
        <w:t xml:space="preserve"> الثاني]</w:t>
      </w:r>
    </w:p>
    <w:p w14:paraId="05E876EA" w14:textId="4C628D75" w:rsidR="00BD3831" w:rsidRDefault="00BD3831" w:rsidP="0031289D">
      <w:pPr>
        <w:pStyle w:val="Heading3"/>
        <w:ind w:left="0" w:firstLine="0"/>
        <w:rPr>
          <w:noProof/>
        </w:rPr>
      </w:pPr>
      <w:bookmarkStart w:id="61" w:name="_Toc454544506"/>
      <w:bookmarkStart w:id="62" w:name="_Toc482782784"/>
      <w:r>
        <w:rPr>
          <w:rtl/>
        </w:rPr>
        <w:lastRenderedPageBreak/>
        <w:t>‏الملحق الثاني</w:t>
      </w:r>
      <w:bookmarkEnd w:id="61"/>
      <w:r>
        <w:tab/>
      </w:r>
      <w:r>
        <w:rPr>
          <w:rtl/>
        </w:rPr>
        <w:t>إنفاق الصناديق الاستئمانية 2016</w:t>
      </w:r>
      <w:bookmarkEnd w:id="62"/>
    </w:p>
    <w:p w14:paraId="4226AFF9" w14:textId="77777777" w:rsidR="00BD3831" w:rsidRDefault="00BD3831" w:rsidP="0031289D">
      <w:pPr>
        <w:bidi/>
        <w:spacing w:after="240" w:line="360" w:lineRule="exact"/>
        <w:rPr>
          <w:rFonts w:ascii="Arabic Typesetting" w:hAnsi="Arabic Typesetting" w:cs="Arabic Typesetting"/>
          <w:sz w:val="34"/>
          <w:szCs w:val="34"/>
          <w:rtl/>
        </w:rPr>
      </w:pPr>
      <w:r w:rsidRPr="00CE1677">
        <w:rPr>
          <w:rFonts w:ascii="Arabic Typesetting" w:hAnsi="Arabic Typesetting" w:cs="Arabic Typesetting"/>
          <w:sz w:val="34"/>
          <w:szCs w:val="34"/>
          <w:rtl/>
        </w:rPr>
        <w:t>سعياً إلى تعزيز التكامل بين كل أنشطة المنظمة في إطار الإدارة القائمة على النتائج وبغض النظر عن مصدر الصناديق، يعرض هذا الملحق لمحة عامة عن الأنشطة المنفَّذة عن طري</w:t>
      </w:r>
      <w:r>
        <w:rPr>
          <w:rFonts w:ascii="Arabic Typesetting" w:hAnsi="Arabic Typesetting" w:cs="Arabic Typesetting"/>
          <w:sz w:val="34"/>
          <w:szCs w:val="34"/>
          <w:rtl/>
        </w:rPr>
        <w:t xml:space="preserve">ق الصناديق الاستئمانية للويبو. </w:t>
      </w:r>
      <w:r w:rsidRPr="00CE1677">
        <w:rPr>
          <w:rFonts w:ascii="Arabic Typesetting" w:hAnsi="Arabic Typesetting" w:cs="Arabic Typesetting"/>
          <w:sz w:val="34"/>
          <w:szCs w:val="34"/>
          <w:rtl/>
        </w:rPr>
        <w:t>وفي الوقت نفسه، يعدُّ هذا التقرير استجابة لطلب بعض الجهات المانحة الحصول على تقرير أشمل عن الصناديق الاستئماني</w:t>
      </w:r>
      <w:r>
        <w:rPr>
          <w:rFonts w:ascii="Arabic Typesetting" w:hAnsi="Arabic Typesetting" w:cs="Arabic Typesetting"/>
          <w:sz w:val="34"/>
          <w:szCs w:val="34"/>
          <w:rtl/>
        </w:rPr>
        <w:t xml:space="preserve">ة يشمل معلومات برامجية ومالية. </w:t>
      </w:r>
      <w:r w:rsidRPr="00CE1677">
        <w:rPr>
          <w:rFonts w:ascii="Arabic Typesetting" w:hAnsi="Arabic Typesetting" w:cs="Arabic Typesetting"/>
          <w:sz w:val="34"/>
          <w:szCs w:val="34"/>
          <w:rtl/>
        </w:rPr>
        <w:t>وحرصاً على تبسيط عملية إعداد التقرير، أُدرج تقرير الصناديق الاستئمانية في إطار تقرير أداء البرنامج، ويقدم صورة سنوية للأنشطة</w:t>
      </w:r>
      <w:r>
        <w:rPr>
          <w:rFonts w:ascii="Arabic Typesetting" w:hAnsi="Arabic Typesetting" w:cs="Arabic Typesetting"/>
          <w:sz w:val="34"/>
          <w:szCs w:val="34"/>
          <w:rtl/>
        </w:rPr>
        <w:t xml:space="preserve"> المنفذة في عام 2016. </w:t>
      </w:r>
      <w:r w:rsidRPr="00CE1677">
        <w:rPr>
          <w:rFonts w:ascii="Arabic Typesetting" w:hAnsi="Arabic Typesetting" w:cs="Arabic Typesetting"/>
          <w:sz w:val="34"/>
          <w:szCs w:val="34"/>
          <w:rtl/>
        </w:rPr>
        <w:t>وسيُدرج التقرير السنوي القادم للصناديق الاستئمانية ف</w:t>
      </w:r>
      <w:r>
        <w:rPr>
          <w:rFonts w:ascii="Arabic Typesetting" w:hAnsi="Arabic Typesetting" w:cs="Arabic Typesetting"/>
          <w:sz w:val="34"/>
          <w:szCs w:val="34"/>
          <w:rtl/>
        </w:rPr>
        <w:t xml:space="preserve">ي تقرير أداء البرنامج 2016/17. </w:t>
      </w:r>
      <w:r w:rsidRPr="00CE1677">
        <w:rPr>
          <w:rFonts w:ascii="Arabic Typesetting" w:hAnsi="Arabic Typesetting" w:cs="Arabic Typesetting"/>
          <w:sz w:val="34"/>
          <w:szCs w:val="34"/>
          <w:rtl/>
        </w:rPr>
        <w:t>ويقدِّم هذا الملحق معلومات عن الصناديق الاستئمانية الواردة في الجدول التالي باستثناء الصناديق الاستئمانية المخصصة للموظفين المهنيين المبتدئين.</w:t>
      </w:r>
    </w:p>
    <w:tbl>
      <w:tblPr>
        <w:tblStyle w:val="TableGrid"/>
        <w:bidiVisual/>
        <w:tblW w:w="0" w:type="auto"/>
        <w:tblLook w:val="04A0" w:firstRow="1" w:lastRow="0" w:firstColumn="1" w:lastColumn="0" w:noHBand="0" w:noVBand="1"/>
      </w:tblPr>
      <w:tblGrid>
        <w:gridCol w:w="4785"/>
        <w:gridCol w:w="4786"/>
      </w:tblGrid>
      <w:tr w:rsidR="00BD3831" w:rsidRPr="00CE1677" w14:paraId="5DBBAC85" w14:textId="77777777" w:rsidTr="00DF6715">
        <w:tc>
          <w:tcPr>
            <w:tcW w:w="4785" w:type="dxa"/>
            <w:shd w:val="clear" w:color="auto" w:fill="C6D9F1" w:themeFill="text2" w:themeFillTint="33"/>
            <w:vAlign w:val="center"/>
          </w:tcPr>
          <w:p w14:paraId="6139A970" w14:textId="77777777" w:rsidR="00BD3831" w:rsidRPr="00CE1677" w:rsidRDefault="00BD3831" w:rsidP="0031289D">
            <w:pPr>
              <w:bidi/>
              <w:spacing w:after="120" w:line="280" w:lineRule="exact"/>
              <w:jc w:val="center"/>
              <w:rPr>
                <w:rFonts w:ascii="Arabic Typesetting" w:hAnsi="Arabic Typesetting" w:cs="Arabic Typesetting"/>
                <w:b/>
                <w:bCs/>
                <w:sz w:val="28"/>
                <w:szCs w:val="28"/>
              </w:rPr>
            </w:pPr>
            <w:r w:rsidRPr="00CE1677">
              <w:rPr>
                <w:rFonts w:ascii="Arabic Typesetting" w:hAnsi="Arabic Typesetting" w:cs="Arabic Typesetting"/>
                <w:b/>
                <w:bCs/>
                <w:sz w:val="28"/>
                <w:szCs w:val="28"/>
                <w:rtl/>
              </w:rPr>
              <w:t>‏الصندوق الاستئماني</w:t>
            </w:r>
          </w:p>
        </w:tc>
        <w:tc>
          <w:tcPr>
            <w:tcW w:w="4786" w:type="dxa"/>
            <w:shd w:val="clear" w:color="auto" w:fill="C6D9F1" w:themeFill="text2" w:themeFillTint="33"/>
            <w:vAlign w:val="center"/>
          </w:tcPr>
          <w:p w14:paraId="7C26208D" w14:textId="77777777" w:rsidR="00BD3831" w:rsidRPr="00CE1677" w:rsidRDefault="00BD3831" w:rsidP="0031289D">
            <w:pPr>
              <w:bidi/>
              <w:spacing w:after="120" w:line="280" w:lineRule="exact"/>
              <w:jc w:val="center"/>
              <w:rPr>
                <w:rFonts w:ascii="Arabic Typesetting" w:hAnsi="Arabic Typesetting" w:cs="Arabic Typesetting"/>
                <w:b/>
                <w:bCs/>
                <w:sz w:val="28"/>
                <w:szCs w:val="28"/>
              </w:rPr>
            </w:pPr>
            <w:r w:rsidRPr="00CE1677">
              <w:rPr>
                <w:rFonts w:ascii="Arabic Typesetting" w:hAnsi="Arabic Typesetting" w:cs="Arabic Typesetting"/>
                <w:b/>
                <w:bCs/>
                <w:sz w:val="28"/>
                <w:szCs w:val="28"/>
                <w:rtl/>
              </w:rPr>
              <w:t>جهة التنفيذ</w:t>
            </w:r>
          </w:p>
        </w:tc>
      </w:tr>
      <w:tr w:rsidR="00BD3831" w:rsidRPr="00CE1677" w14:paraId="4AA0C228" w14:textId="77777777" w:rsidTr="00DF6715">
        <w:tc>
          <w:tcPr>
            <w:tcW w:w="4785" w:type="dxa"/>
          </w:tcPr>
          <w:p w14:paraId="03D6485B"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أستراليا 1</w:t>
            </w:r>
          </w:p>
        </w:tc>
        <w:tc>
          <w:tcPr>
            <w:tcW w:w="4786" w:type="dxa"/>
          </w:tcPr>
          <w:p w14:paraId="4EA27CF6"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‏مكتب المدير العام</w:t>
            </w:r>
          </w:p>
        </w:tc>
      </w:tr>
      <w:tr w:rsidR="00BD3831" w:rsidRPr="00CE1677" w14:paraId="165510CD" w14:textId="77777777" w:rsidTr="00DF6715">
        <w:tc>
          <w:tcPr>
            <w:tcW w:w="4785" w:type="dxa"/>
          </w:tcPr>
          <w:p w14:paraId="14455BBD"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 xml:space="preserve">‏أستراليا </w:t>
            </w:r>
            <w:r w:rsidRPr="00CE1677">
              <w:rPr>
                <w:rFonts w:ascii="Arabic Typesetting" w:hAnsi="Arabic Typesetting" w:cs="Arabic Typesetting"/>
                <w:sz w:val="28"/>
                <w:szCs w:val="28"/>
                <w:cs/>
              </w:rPr>
              <w:t>‎</w:t>
            </w:r>
            <w:r w:rsidRPr="00CE1677">
              <w:rPr>
                <w:rFonts w:ascii="Arabic Typesetting" w:hAnsi="Arabic Typesetting" w:cs="Arabic Typesetting"/>
                <w:sz w:val="28"/>
                <w:szCs w:val="28"/>
                <w:rtl/>
                <w:cs/>
              </w:rPr>
              <w:t>2</w:t>
            </w:r>
          </w:p>
        </w:tc>
        <w:tc>
          <w:tcPr>
            <w:tcW w:w="4786" w:type="dxa"/>
          </w:tcPr>
          <w:p w14:paraId="43DD2805"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‏مكتب المدير العام</w:t>
            </w:r>
          </w:p>
        </w:tc>
      </w:tr>
      <w:tr w:rsidR="00BD3831" w:rsidRPr="00CE1677" w14:paraId="7F87A641" w14:textId="77777777" w:rsidTr="00DF6715">
        <w:tc>
          <w:tcPr>
            <w:tcW w:w="4785" w:type="dxa"/>
            <w:vAlign w:val="center"/>
          </w:tcPr>
          <w:p w14:paraId="587238CD"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البرازيل/الجنوب</w:t>
            </w:r>
          </w:p>
        </w:tc>
        <w:tc>
          <w:tcPr>
            <w:tcW w:w="4786" w:type="dxa"/>
            <w:vAlign w:val="center"/>
          </w:tcPr>
          <w:p w14:paraId="30F9F062"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‏مكتب المدير العام</w:t>
            </w:r>
          </w:p>
        </w:tc>
      </w:tr>
      <w:tr w:rsidR="00BD3831" w:rsidRPr="00CE1677" w14:paraId="348CAEA4" w14:textId="77777777" w:rsidTr="00DF6715">
        <w:tc>
          <w:tcPr>
            <w:tcW w:w="4785" w:type="dxa"/>
          </w:tcPr>
          <w:p w14:paraId="120216D5"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الصين/مكتب الدولة للملكية الفكرية</w:t>
            </w:r>
          </w:p>
        </w:tc>
        <w:tc>
          <w:tcPr>
            <w:tcW w:w="4786" w:type="dxa"/>
          </w:tcPr>
          <w:p w14:paraId="7532AFBC"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العلامات والتصاميم</w:t>
            </w:r>
          </w:p>
        </w:tc>
      </w:tr>
      <w:tr w:rsidR="00BD3831" w:rsidRPr="00CE1677" w14:paraId="1F834F43" w14:textId="77777777" w:rsidTr="00DF6715">
        <w:tc>
          <w:tcPr>
            <w:tcW w:w="4785" w:type="dxa"/>
          </w:tcPr>
          <w:p w14:paraId="1414A06C" w14:textId="77777777" w:rsidR="00BD3831" w:rsidRPr="00CE1677" w:rsidRDefault="00BD3831" w:rsidP="0031289D">
            <w:pPr>
              <w:bidi/>
              <w:spacing w:after="120" w:line="280" w:lineRule="exact"/>
              <w:rPr>
                <w:rFonts w:ascii="Arabic Typesetting" w:hAnsi="Arabic Typesetting" w:cs="Arabic Typesetting"/>
                <w:sz w:val="28"/>
                <w:szCs w:val="28"/>
              </w:rPr>
            </w:pPr>
            <w:r>
              <w:rPr>
                <w:rFonts w:ascii="Arabic Typesetting" w:hAnsi="Arabic Typesetting" w:cs="Arabic Typesetting"/>
                <w:sz w:val="28"/>
                <w:szCs w:val="28"/>
                <w:rtl/>
              </w:rPr>
              <w:t>فنلندا/حق المؤلف</w:t>
            </w:r>
          </w:p>
        </w:tc>
        <w:tc>
          <w:tcPr>
            <w:tcW w:w="4786" w:type="dxa"/>
          </w:tcPr>
          <w:p w14:paraId="765B16B7"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الثقافة والصناعات الإبداعية</w:t>
            </w:r>
          </w:p>
        </w:tc>
      </w:tr>
      <w:tr w:rsidR="00BD3831" w:rsidRPr="00CE1677" w14:paraId="787FC8B1" w14:textId="77777777" w:rsidTr="00DF6715">
        <w:tc>
          <w:tcPr>
            <w:tcW w:w="4785" w:type="dxa"/>
          </w:tcPr>
          <w:p w14:paraId="0B847CA8"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فرنسا/الملكية الصناعية</w:t>
            </w:r>
          </w:p>
        </w:tc>
        <w:tc>
          <w:tcPr>
            <w:tcW w:w="4786" w:type="dxa"/>
          </w:tcPr>
          <w:p w14:paraId="74AEFF29"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التنمية</w:t>
            </w:r>
          </w:p>
        </w:tc>
      </w:tr>
      <w:tr w:rsidR="00BD3831" w:rsidRPr="00CE1677" w14:paraId="26467779" w14:textId="77777777" w:rsidTr="00DF6715">
        <w:tc>
          <w:tcPr>
            <w:tcW w:w="4785" w:type="dxa"/>
          </w:tcPr>
          <w:p w14:paraId="594337CB"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البرنامج الأيبيري الأمريكي للملكية الصناعية</w:t>
            </w:r>
          </w:p>
        </w:tc>
        <w:tc>
          <w:tcPr>
            <w:tcW w:w="4786" w:type="dxa"/>
          </w:tcPr>
          <w:p w14:paraId="02C04C94"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التنمية</w:t>
            </w:r>
          </w:p>
        </w:tc>
      </w:tr>
      <w:tr w:rsidR="00BD3831" w:rsidRPr="00CE1677" w14:paraId="4EFE7692" w14:textId="77777777" w:rsidTr="00DF6715">
        <w:tc>
          <w:tcPr>
            <w:tcW w:w="4785" w:type="dxa"/>
          </w:tcPr>
          <w:p w14:paraId="78622F27"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إيطاليا</w:t>
            </w:r>
          </w:p>
        </w:tc>
        <w:tc>
          <w:tcPr>
            <w:tcW w:w="4786" w:type="dxa"/>
          </w:tcPr>
          <w:p w14:paraId="69B7E5F9"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التنمية</w:t>
            </w:r>
          </w:p>
        </w:tc>
      </w:tr>
      <w:tr w:rsidR="00BD3831" w:rsidRPr="00CE1677" w14:paraId="189E6DE5" w14:textId="77777777" w:rsidTr="00DF6715">
        <w:tc>
          <w:tcPr>
            <w:tcW w:w="4785" w:type="dxa"/>
          </w:tcPr>
          <w:p w14:paraId="13179536"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اليابان/حق المؤلف</w:t>
            </w:r>
          </w:p>
        </w:tc>
        <w:tc>
          <w:tcPr>
            <w:tcW w:w="4786" w:type="dxa"/>
          </w:tcPr>
          <w:p w14:paraId="0AC3E7C0"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الثقافة والصناعات الإبداعية</w:t>
            </w:r>
          </w:p>
        </w:tc>
      </w:tr>
      <w:tr w:rsidR="00BD3831" w:rsidRPr="00CE1677" w14:paraId="0CD4EAE5" w14:textId="77777777" w:rsidTr="00DF6715">
        <w:tc>
          <w:tcPr>
            <w:tcW w:w="4785" w:type="dxa"/>
          </w:tcPr>
          <w:p w14:paraId="10EAA610"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اليابان/الملكية الصناعية</w:t>
            </w:r>
          </w:p>
        </w:tc>
        <w:tc>
          <w:tcPr>
            <w:tcW w:w="4786" w:type="dxa"/>
          </w:tcPr>
          <w:p w14:paraId="14F16C50"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التنمية</w:t>
            </w:r>
          </w:p>
        </w:tc>
      </w:tr>
      <w:tr w:rsidR="00BD3831" w:rsidRPr="00CE1677" w14:paraId="1450C5D6" w14:textId="77777777" w:rsidTr="00DF6715">
        <w:tc>
          <w:tcPr>
            <w:tcW w:w="4785" w:type="dxa"/>
          </w:tcPr>
          <w:p w14:paraId="5F43FEA6"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اليابان/الملكية الصناعية/أفريقيا</w:t>
            </w:r>
          </w:p>
        </w:tc>
        <w:tc>
          <w:tcPr>
            <w:tcW w:w="4786" w:type="dxa"/>
          </w:tcPr>
          <w:p w14:paraId="4E8D0DA1"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التنمية</w:t>
            </w:r>
          </w:p>
        </w:tc>
      </w:tr>
      <w:tr w:rsidR="00BD3831" w:rsidRPr="00CE1677" w14:paraId="34B7BE53" w14:textId="77777777" w:rsidTr="00DF6715">
        <w:tc>
          <w:tcPr>
            <w:tcW w:w="4785" w:type="dxa"/>
          </w:tcPr>
          <w:p w14:paraId="79C26F3E"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جمهورية كوريا/إذكاء الاحترام للملكية الفكرية</w:t>
            </w:r>
          </w:p>
        </w:tc>
        <w:tc>
          <w:tcPr>
            <w:tcW w:w="4786" w:type="dxa"/>
          </w:tcPr>
          <w:p w14:paraId="333288D2"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القضايا العالمية</w:t>
            </w:r>
          </w:p>
        </w:tc>
      </w:tr>
      <w:tr w:rsidR="00BD3831" w:rsidRPr="00CE1677" w14:paraId="1512319A" w14:textId="77777777" w:rsidTr="00DF6715">
        <w:tc>
          <w:tcPr>
            <w:tcW w:w="4785" w:type="dxa"/>
          </w:tcPr>
          <w:p w14:paraId="080D4E6C"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جمهورية كوريا/حق المؤلف</w:t>
            </w:r>
          </w:p>
        </w:tc>
        <w:tc>
          <w:tcPr>
            <w:tcW w:w="4786" w:type="dxa"/>
          </w:tcPr>
          <w:p w14:paraId="018637AA"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الثقافة والصناعات الإبداعية</w:t>
            </w:r>
          </w:p>
        </w:tc>
      </w:tr>
      <w:tr w:rsidR="00BD3831" w:rsidRPr="00CE1677" w14:paraId="06674A4F" w14:textId="77777777" w:rsidTr="00DF6715">
        <w:tc>
          <w:tcPr>
            <w:tcW w:w="4785" w:type="dxa"/>
          </w:tcPr>
          <w:p w14:paraId="7605A74D"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جمهورية كوريا/التعليم</w:t>
            </w:r>
          </w:p>
        </w:tc>
        <w:tc>
          <w:tcPr>
            <w:tcW w:w="4786" w:type="dxa"/>
          </w:tcPr>
          <w:p w14:paraId="51F02FD1"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التنمية</w:t>
            </w:r>
          </w:p>
        </w:tc>
      </w:tr>
      <w:tr w:rsidR="00BD3831" w:rsidRPr="00CE1677" w14:paraId="06AED4A8" w14:textId="77777777" w:rsidTr="00DF6715">
        <w:tc>
          <w:tcPr>
            <w:tcW w:w="4785" w:type="dxa"/>
          </w:tcPr>
          <w:p w14:paraId="439A62F5"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جمهورية كوريا/الملكية الصناعية</w:t>
            </w:r>
          </w:p>
        </w:tc>
        <w:tc>
          <w:tcPr>
            <w:tcW w:w="4786" w:type="dxa"/>
          </w:tcPr>
          <w:p w14:paraId="14D33BEE"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التنمية</w:t>
            </w:r>
          </w:p>
        </w:tc>
      </w:tr>
      <w:tr w:rsidR="00BD3831" w:rsidRPr="00CE1677" w14:paraId="0537012D" w14:textId="77777777" w:rsidTr="00DF6715">
        <w:tc>
          <w:tcPr>
            <w:tcW w:w="4785" w:type="dxa"/>
          </w:tcPr>
          <w:p w14:paraId="7C20F789"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المكسيك</w:t>
            </w:r>
          </w:p>
        </w:tc>
        <w:tc>
          <w:tcPr>
            <w:tcW w:w="4786" w:type="dxa"/>
          </w:tcPr>
          <w:p w14:paraId="17C5400D"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التنمية</w:t>
            </w:r>
          </w:p>
        </w:tc>
      </w:tr>
      <w:tr w:rsidR="00BD3831" w:rsidRPr="00CE1677" w14:paraId="17715B98" w14:textId="77777777" w:rsidTr="00DF6715">
        <w:tc>
          <w:tcPr>
            <w:tcW w:w="4785" w:type="dxa"/>
          </w:tcPr>
          <w:p w14:paraId="2A34D5A5"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إسبانيا</w:t>
            </w:r>
          </w:p>
        </w:tc>
        <w:tc>
          <w:tcPr>
            <w:tcW w:w="4786" w:type="dxa"/>
          </w:tcPr>
          <w:p w14:paraId="47F4DA8E"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التنمية</w:t>
            </w:r>
          </w:p>
        </w:tc>
      </w:tr>
      <w:tr w:rsidR="00BD3831" w:rsidRPr="00CE1677" w14:paraId="1AE62AFC" w14:textId="77777777" w:rsidTr="00DF6715">
        <w:tc>
          <w:tcPr>
            <w:tcW w:w="4785" w:type="dxa"/>
          </w:tcPr>
          <w:p w14:paraId="72D3A02C" w14:textId="39A59646" w:rsidR="00BD3831" w:rsidRPr="00CE1677" w:rsidRDefault="00D3741B" w:rsidP="00D3741B">
            <w:pPr>
              <w:bidi/>
              <w:spacing w:after="120" w:line="280" w:lineRule="exact"/>
              <w:rPr>
                <w:rFonts w:ascii="Arabic Typesetting" w:hAnsi="Arabic Typesetting" w:cs="Arabic Typesetting"/>
                <w:sz w:val="28"/>
                <w:szCs w:val="28"/>
              </w:rPr>
            </w:pPr>
            <w:r>
              <w:rPr>
                <w:rFonts w:ascii="Arabic Typesetting" w:hAnsi="Arabic Typesetting" w:cs="Arabic Typesetting"/>
                <w:sz w:val="28"/>
                <w:szCs w:val="28"/>
                <w:rtl/>
              </w:rPr>
              <w:t>صندوق الأمم المتحدة للشراكات الدولية</w:t>
            </w:r>
            <w:r w:rsidR="00BD3831" w:rsidRPr="00CE1677">
              <w:rPr>
                <w:rFonts w:ascii="Arabic Typesetting" w:hAnsi="Arabic Typesetting" w:cs="Arabic Typesetting"/>
                <w:sz w:val="28"/>
                <w:szCs w:val="28"/>
                <w:rtl/>
              </w:rPr>
              <w:t xml:space="preserve">/القضاء على مجاعة الكتب لذوي </w:t>
            </w:r>
            <w:r w:rsidR="00BD3831">
              <w:rPr>
                <w:rFonts w:ascii="Arabic Typesetting" w:hAnsi="Arabic Typesetting" w:cs="Arabic Typesetting" w:hint="cs"/>
                <w:sz w:val="28"/>
                <w:szCs w:val="28"/>
                <w:rtl/>
                <w:lang w:bidi="ar-EG"/>
              </w:rPr>
              <w:t>الإعاقة</w:t>
            </w:r>
          </w:p>
        </w:tc>
        <w:tc>
          <w:tcPr>
            <w:tcW w:w="4786" w:type="dxa"/>
          </w:tcPr>
          <w:p w14:paraId="3BB49C8A"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الثقافة والصناعات الإبداعية</w:t>
            </w:r>
          </w:p>
        </w:tc>
      </w:tr>
      <w:tr w:rsidR="00BD3831" w:rsidRPr="00CE1677" w14:paraId="2BBC2F22" w14:textId="77777777" w:rsidTr="00DF6715">
        <w:tc>
          <w:tcPr>
            <w:tcW w:w="4785" w:type="dxa"/>
          </w:tcPr>
          <w:p w14:paraId="0B0BB8A7"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أوروغواي</w:t>
            </w:r>
          </w:p>
        </w:tc>
        <w:tc>
          <w:tcPr>
            <w:tcW w:w="4786" w:type="dxa"/>
          </w:tcPr>
          <w:p w14:paraId="5BB78D7F"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التنمية</w:t>
            </w:r>
          </w:p>
        </w:tc>
      </w:tr>
      <w:tr w:rsidR="00BD3831" w:rsidRPr="00CE1677" w14:paraId="112B592E" w14:textId="77777777" w:rsidTr="00DF6715">
        <w:tc>
          <w:tcPr>
            <w:tcW w:w="4785" w:type="dxa"/>
          </w:tcPr>
          <w:p w14:paraId="6D68F7B3"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الولايات المتحدة الأمريكية/الصناعات الإبداعية</w:t>
            </w:r>
          </w:p>
        </w:tc>
        <w:tc>
          <w:tcPr>
            <w:tcW w:w="4786" w:type="dxa"/>
          </w:tcPr>
          <w:p w14:paraId="6EF391C0" w14:textId="77777777" w:rsidR="00BD3831" w:rsidRPr="00CE1677" w:rsidRDefault="00BD3831" w:rsidP="0031289D">
            <w:pPr>
              <w:bidi/>
              <w:spacing w:after="120" w:line="280" w:lineRule="exact"/>
              <w:rPr>
                <w:rFonts w:ascii="Arabic Typesetting" w:hAnsi="Arabic Typesetting" w:cs="Arabic Typesetting"/>
                <w:sz w:val="28"/>
                <w:szCs w:val="28"/>
              </w:rPr>
            </w:pPr>
            <w:r w:rsidRPr="00CE1677">
              <w:rPr>
                <w:rFonts w:ascii="Arabic Typesetting" w:hAnsi="Arabic Typesetting" w:cs="Arabic Typesetting"/>
                <w:sz w:val="28"/>
                <w:szCs w:val="28"/>
                <w:rtl/>
              </w:rPr>
              <w:t>قطاع الثقافة والصناعات الإبداعية</w:t>
            </w:r>
          </w:p>
        </w:tc>
      </w:tr>
    </w:tbl>
    <w:p w14:paraId="4708F8E0" w14:textId="77777777" w:rsidR="00BD3831" w:rsidRDefault="00BD3831" w:rsidP="0031289D">
      <w:pPr>
        <w:bidi/>
        <w:spacing w:after="240" w:line="360" w:lineRule="exact"/>
        <w:rPr>
          <w:rFonts w:ascii="Arabic Typesetting" w:hAnsi="Arabic Typesetting" w:cs="Arabic Typesetting"/>
          <w:sz w:val="34"/>
          <w:szCs w:val="34"/>
          <w:rtl/>
        </w:rPr>
      </w:pPr>
    </w:p>
    <w:p w14:paraId="3E4087EF" w14:textId="77777777" w:rsidR="00BD3831" w:rsidRDefault="00BD3831" w:rsidP="0031289D">
      <w:pPr>
        <w:bidi/>
        <w:rPr>
          <w:rFonts w:ascii="Arabic Typesetting" w:hAnsi="Arabic Typesetting" w:cs="Arabic Typesetting"/>
          <w:sz w:val="34"/>
          <w:szCs w:val="34"/>
          <w:rtl/>
        </w:rPr>
      </w:pPr>
      <w:r>
        <w:rPr>
          <w:rFonts w:ascii="Arabic Typesetting" w:hAnsi="Arabic Typesetting" w:cs="Arabic Typesetting"/>
          <w:sz w:val="34"/>
          <w:szCs w:val="34"/>
          <w:rtl/>
        </w:rPr>
        <w:br w:type="page"/>
      </w:r>
    </w:p>
    <w:p w14:paraId="4CABBE81" w14:textId="77777777" w:rsidR="00BD3831" w:rsidRPr="001448DF" w:rsidRDefault="00BD3831" w:rsidP="0031289D">
      <w:pPr>
        <w:keepNext/>
        <w:bidi/>
        <w:spacing w:after="240" w:line="280" w:lineRule="exact"/>
        <w:rPr>
          <w:rFonts w:ascii="Arabic Typesetting" w:eastAsia="Arabic Typesetting" w:hAnsi="Arabic Typesetting" w:cs="Arabic Typesetting"/>
          <w:b/>
          <w:sz w:val="32"/>
          <w:szCs w:val="32"/>
          <w:lang w:eastAsia="ar-EG" w:bidi="ar-EG"/>
        </w:rPr>
      </w:pPr>
      <w:r w:rsidRPr="001448DF">
        <w:rPr>
          <w:rFonts w:ascii="Arabic Typesetting" w:eastAsia="Arabic Typesetting" w:hAnsi="Arabic Typesetting" w:cs="Arabic Typesetting"/>
          <w:b/>
          <w:bCs/>
          <w:sz w:val="32"/>
          <w:szCs w:val="32"/>
          <w:rtl/>
          <w:lang w:eastAsia="ar-EG" w:bidi="ar-EG"/>
        </w:rPr>
        <w:lastRenderedPageBreak/>
        <w:t>أستراليا 1</w:t>
      </w:r>
    </w:p>
    <w:tbl>
      <w:tblPr>
        <w:bidiVisual/>
        <w:tblW w:w="5000" w:type="pct"/>
        <w:tblLook w:val="0000" w:firstRow="0" w:lastRow="0" w:firstColumn="0" w:lastColumn="0" w:noHBand="0" w:noVBand="0"/>
      </w:tblPr>
      <w:tblGrid>
        <w:gridCol w:w="1915"/>
        <w:gridCol w:w="1179"/>
        <w:gridCol w:w="2115"/>
        <w:gridCol w:w="4362"/>
      </w:tblGrid>
      <w:tr w:rsidR="00BD3831" w:rsidRPr="00CE1677" w14:paraId="7E0F8072" w14:textId="77777777" w:rsidTr="00DF6715">
        <w:trPr>
          <w:cantSplit/>
          <w:trHeight w:val="315"/>
        </w:trPr>
        <w:tc>
          <w:tcPr>
            <w:tcW w:w="5000" w:type="pct"/>
            <w:gridSpan w:val="4"/>
            <w:shd w:val="clear" w:color="auto" w:fill="C6D9F1"/>
          </w:tcPr>
          <w:p w14:paraId="73B83D2B"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ه2.7 منصات وأدوات الملكية الفكرية مستخدمة في نقل المعارف وتطويع التكنولوجيا ونشرها من البلدان المتقدمة إلى البلدان النامية، ولا</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سيما البلدان الأقل نموا، لمواجهة التحديات العالمية</w:t>
            </w:r>
          </w:p>
        </w:tc>
      </w:tr>
      <w:tr w:rsidR="00BD3831" w:rsidRPr="00CE1677" w14:paraId="533C66D9" w14:textId="77777777" w:rsidTr="00DF6715">
        <w:trPr>
          <w:cantSplit/>
          <w:trHeight w:val="487"/>
        </w:trPr>
        <w:tc>
          <w:tcPr>
            <w:tcW w:w="1000" w:type="pct"/>
            <w:vAlign w:val="center"/>
          </w:tcPr>
          <w:p w14:paraId="33BF8FEC"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16" w:type="pct"/>
            <w:vAlign w:val="center"/>
          </w:tcPr>
          <w:p w14:paraId="570129F9"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05" w:type="pct"/>
            <w:vAlign w:val="center"/>
          </w:tcPr>
          <w:p w14:paraId="62B41C1B"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البلد المضيف/الجهات</w:t>
            </w:r>
            <w:r>
              <w:rPr>
                <w:rFonts w:ascii="Arabic Typesetting" w:eastAsia="Arabic Typesetting" w:hAnsi="Arabic Typesetting" w:cs="Arabic Typesetting" w:hint="cs"/>
                <w:b/>
                <w:bCs/>
                <w:sz w:val="28"/>
                <w:szCs w:val="28"/>
                <w:rtl/>
                <w:lang w:eastAsia="ar-EG" w:bidi="ar-EG"/>
              </w:rPr>
              <w:t> </w:t>
            </w:r>
            <w:r w:rsidRPr="00CE1677">
              <w:rPr>
                <w:rFonts w:ascii="Arabic Typesetting" w:eastAsia="Arabic Typesetting" w:hAnsi="Arabic Typesetting" w:cs="Arabic Typesetting"/>
                <w:b/>
                <w:bCs/>
                <w:sz w:val="28"/>
                <w:szCs w:val="28"/>
                <w:rtl/>
                <w:lang w:eastAsia="ar-EG" w:bidi="ar-EG"/>
              </w:rPr>
              <w:t>المستفيدة</w:t>
            </w:r>
          </w:p>
        </w:tc>
        <w:tc>
          <w:tcPr>
            <w:tcW w:w="2279" w:type="pct"/>
            <w:vAlign w:val="center"/>
          </w:tcPr>
          <w:p w14:paraId="32A7322B"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78E6647D" w14:textId="77777777" w:rsidTr="00DF6715">
        <w:trPr>
          <w:cantSplit/>
          <w:trHeight w:val="1362"/>
        </w:trPr>
        <w:tc>
          <w:tcPr>
            <w:tcW w:w="1000" w:type="pct"/>
          </w:tcPr>
          <w:p w14:paraId="4F427AC2"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الاستمرار في ترتيبات استضافة علماء أفارقة في مجال الطب الحيوي في منشئات بحثية خارج</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أفريقيا</w:t>
            </w:r>
          </w:p>
        </w:tc>
        <w:tc>
          <w:tcPr>
            <w:tcW w:w="616" w:type="pct"/>
          </w:tcPr>
          <w:p w14:paraId="446C3BD8"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يناير إلى مارس 2016</w:t>
            </w:r>
          </w:p>
        </w:tc>
        <w:tc>
          <w:tcPr>
            <w:tcW w:w="1105" w:type="pct"/>
          </w:tcPr>
          <w:p w14:paraId="07409F5F"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جامعة كاليفورنيا سان دييغو بالولايات المتحدة الأمريكية/الدكتور كري</w:t>
            </w:r>
            <w:r>
              <w:rPr>
                <w:rFonts w:ascii="Arabic Typesetting" w:eastAsia="Arabic Typesetting" w:hAnsi="Arabic Typesetting" w:cs="Arabic Typesetting"/>
                <w:sz w:val="28"/>
                <w:szCs w:val="28"/>
                <w:rtl/>
                <w:lang w:eastAsia="ar-EG" w:bidi="ar-EG"/>
              </w:rPr>
              <w:t>ستيان أغياري والسيدة كيري ديفيز</w:t>
            </w:r>
          </w:p>
        </w:tc>
        <w:tc>
          <w:tcPr>
            <w:tcW w:w="2279" w:type="pct"/>
          </w:tcPr>
          <w:p w14:paraId="552EA114"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تعزيز</w:t>
            </w:r>
            <w:r w:rsidRPr="00CE1677">
              <w:rPr>
                <w:rFonts w:ascii="Arabic Typesetting" w:eastAsia="Arabic Typesetting" w:hAnsi="Arabic Typesetting" w:cs="Arabic Typesetting"/>
                <w:color w:val="000000"/>
                <w:sz w:val="28"/>
                <w:szCs w:val="28"/>
                <w:rtl/>
                <w:lang w:eastAsia="ar-EG" w:bidi="ar-EG"/>
              </w:rPr>
              <w:t xml:space="preserve"> "1" الاستخدام الفعال للملكية الفكرية للتعامل مع التحديات الصحية العالمية (الأمراض المدارية المهملة) التي تؤثر في العديد من البلدان الأقل نمواً؛ "2" ونقل المعرفة للعلما</w:t>
            </w:r>
            <w:r>
              <w:rPr>
                <w:rFonts w:ascii="Arabic Typesetting" w:eastAsia="Arabic Typesetting" w:hAnsi="Arabic Typesetting" w:cs="Arabic Typesetting"/>
                <w:color w:val="000000"/>
                <w:sz w:val="28"/>
                <w:szCs w:val="28"/>
                <w:rtl/>
                <w:lang w:eastAsia="ar-EG" w:bidi="ar-EG"/>
              </w:rPr>
              <w:t>ء وخاصة من البلدان الأقل نمواً.</w:t>
            </w:r>
            <w:r w:rsidRPr="00CE1677">
              <w:rPr>
                <w:rFonts w:ascii="Arabic Typesetting" w:eastAsia="Arabic Typesetting" w:hAnsi="Arabic Typesetting" w:cs="Arabic Typesetting"/>
                <w:color w:val="000000"/>
                <w:sz w:val="28"/>
                <w:szCs w:val="28"/>
                <w:rtl/>
                <w:lang w:eastAsia="ar-EG" w:bidi="ar-EG"/>
              </w:rPr>
              <w:t xml:space="preserve"> وأُطلقت برامج بحث مخصصة لضمان تحسين المشاركين مهاراتهم البحثية وقدرتهم على المساهمة مساهمة كبيرة في الأمراض المدارية المه</w:t>
            </w:r>
            <w:r>
              <w:rPr>
                <w:rFonts w:ascii="Arabic Typesetting" w:eastAsia="Arabic Typesetting" w:hAnsi="Arabic Typesetting" w:cs="Arabic Typesetting"/>
                <w:color w:val="000000"/>
                <w:sz w:val="28"/>
                <w:szCs w:val="28"/>
                <w:rtl/>
                <w:lang w:eastAsia="ar-EG" w:bidi="ar-EG"/>
              </w:rPr>
              <w:t>ملة في بلادهم.</w:t>
            </w:r>
            <w:r w:rsidRPr="00CE1677">
              <w:rPr>
                <w:rFonts w:ascii="Arabic Typesetting" w:eastAsia="Arabic Typesetting" w:hAnsi="Arabic Typesetting" w:cs="Arabic Typesetting"/>
                <w:color w:val="000000"/>
                <w:sz w:val="28"/>
                <w:szCs w:val="28"/>
                <w:rtl/>
                <w:lang w:eastAsia="ar-EG" w:bidi="ar-EG"/>
              </w:rPr>
              <w:t xml:space="preserve"> </w:t>
            </w:r>
            <w:r w:rsidRPr="00CE1677">
              <w:rPr>
                <w:rFonts w:ascii="Arabic Typesetting" w:eastAsia="Arabic Typesetting" w:hAnsi="Arabic Typesetting" w:cs="Arabic Typesetting"/>
                <w:sz w:val="28"/>
                <w:szCs w:val="28"/>
                <w:rtl/>
                <w:lang w:eastAsia="ar-EG" w:bidi="ar-EG"/>
              </w:rPr>
              <w:t xml:space="preserve">وواصلت السيدة كيري ديفيز، أثناء إجازتها للتفرغ في جامعة كاليفورنيا سان دييغو، العمل الذي بدأه مشرفها الدكتور كريستيان أغياري عندما كان منتفعاً بزمالة برنامج </w:t>
            </w:r>
            <w:r w:rsidRPr="00CE1677">
              <w:rPr>
                <w:rFonts w:ascii="Arabic Typesetting" w:eastAsia="Arabic Typesetting" w:hAnsi="Arabic Typesetting" w:cs="Arabic Typesetting"/>
                <w:sz w:val="28"/>
                <w:szCs w:val="28"/>
                <w:lang w:eastAsia="ar-EG" w:bidi="ar-EG"/>
              </w:rPr>
              <w:t>WIPO Re:Search</w:t>
            </w:r>
            <w:r>
              <w:rPr>
                <w:rFonts w:ascii="Arabic Typesetting" w:eastAsia="Arabic Typesetting" w:hAnsi="Arabic Typesetting" w:cs="Arabic Typesetting"/>
                <w:sz w:val="28"/>
                <w:szCs w:val="28"/>
                <w:rtl/>
                <w:lang w:eastAsia="ar-EG" w:bidi="ar-EG"/>
              </w:rPr>
              <w:t xml:space="preserve"> لدى المختبر ذاته.</w:t>
            </w:r>
            <w:r w:rsidRPr="00CE1677">
              <w:rPr>
                <w:rFonts w:ascii="Arabic Typesetting" w:eastAsia="Arabic Typesetting" w:hAnsi="Arabic Typesetting" w:cs="Arabic Typesetting"/>
                <w:sz w:val="28"/>
                <w:szCs w:val="28"/>
                <w:rtl/>
                <w:lang w:eastAsia="ar-EG" w:bidi="ar-EG"/>
              </w:rPr>
              <w:t xml:space="preserve"> وأثبت ذلك استدامة أنشطة تكوين الكفاءات المنفَّذة عن طريق زمالات </w:t>
            </w:r>
            <w:r w:rsidRPr="00CE1677">
              <w:rPr>
                <w:rFonts w:ascii="Arabic Typesetting" w:eastAsia="Arabic Typesetting" w:hAnsi="Arabic Typesetting" w:cs="Arabic Typesetting"/>
                <w:sz w:val="28"/>
                <w:szCs w:val="28"/>
                <w:lang w:eastAsia="ar-EG" w:bidi="ar-EG"/>
              </w:rPr>
              <w:t>WIPO Re:Search</w:t>
            </w:r>
            <w:r w:rsidRPr="00CE1677">
              <w:rPr>
                <w:rFonts w:ascii="Arabic Typesetting" w:eastAsia="Arabic Typesetting" w:hAnsi="Arabic Typesetting" w:cs="Arabic Typesetting"/>
                <w:sz w:val="28"/>
                <w:szCs w:val="28"/>
                <w:rtl/>
                <w:lang w:eastAsia="ar-EG" w:bidi="ar-EG"/>
              </w:rPr>
              <w:t xml:space="preserve"> فضلاً عن مساهماتهم المباشرة في زيادة المعارف المؤسسية في المعهد الموفد للزميل.</w:t>
            </w:r>
          </w:p>
        </w:tc>
      </w:tr>
      <w:tr w:rsidR="00BD3831" w:rsidRPr="00CE1677" w14:paraId="267A4E72" w14:textId="77777777" w:rsidTr="00DF6715">
        <w:trPr>
          <w:cantSplit/>
          <w:trHeight w:val="1362"/>
        </w:trPr>
        <w:tc>
          <w:tcPr>
            <w:tcW w:w="1000" w:type="pct"/>
          </w:tcPr>
          <w:p w14:paraId="39AA02A7"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إعداد تقرير التحديات العالمية بشأن "تبادل الابتكار وتكوين الكفاءات لمكافحة الأمراض المدارية المهملة:</w:t>
            </w:r>
            <w:r w:rsidRPr="00CE1677">
              <w:rPr>
                <w:rFonts w:ascii="Arabic Typesetting" w:eastAsia="Arabic Typesetting" w:hAnsi="Arabic Typesetting" w:cs="Arabic Typesetting"/>
                <w:i/>
                <w:iCs/>
                <w:sz w:val="28"/>
                <w:szCs w:val="28"/>
                <w:rtl/>
                <w:lang w:eastAsia="ar-EG" w:bidi="ar-EG"/>
              </w:rPr>
              <w:t xml:space="preserve"> مجموعة من قصص زمالات برنامج </w:t>
            </w:r>
            <w:r w:rsidRPr="00CE1677">
              <w:rPr>
                <w:rFonts w:ascii="Arabic Typesetting" w:eastAsia="Arabic Typesetting" w:hAnsi="Arabic Typesetting" w:cs="Arabic Typesetting"/>
                <w:i/>
                <w:sz w:val="28"/>
                <w:szCs w:val="28"/>
                <w:lang w:eastAsia="ar-EG" w:bidi="ar-EG"/>
              </w:rPr>
              <w:t>WIPO Re:Search</w:t>
            </w:r>
            <w:r w:rsidRPr="00CE1677">
              <w:rPr>
                <w:rFonts w:ascii="Arabic Typesetting" w:eastAsia="Arabic Typesetting" w:hAnsi="Arabic Typesetting" w:cs="Arabic Typesetting"/>
                <w:i/>
                <w:iCs/>
                <w:sz w:val="28"/>
                <w:szCs w:val="28"/>
                <w:rtl/>
                <w:lang w:eastAsia="ar-EG" w:bidi="ar-EG"/>
              </w:rPr>
              <w:t>"</w:t>
            </w:r>
          </w:p>
        </w:tc>
        <w:tc>
          <w:tcPr>
            <w:tcW w:w="616" w:type="pct"/>
          </w:tcPr>
          <w:p w14:paraId="4A34823B"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يناير إلى يوليو 2016</w:t>
            </w:r>
          </w:p>
        </w:tc>
        <w:tc>
          <w:tcPr>
            <w:tcW w:w="1105" w:type="pct"/>
          </w:tcPr>
          <w:p w14:paraId="5B74E8CC"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جميع البلدان</w:t>
            </w:r>
          </w:p>
        </w:tc>
        <w:tc>
          <w:tcPr>
            <w:tcW w:w="2279" w:type="pct"/>
          </w:tcPr>
          <w:p w14:paraId="2F13D25F" w14:textId="23D1F464"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يسلط المنشور الضوء على قصص وتجارب العلماء الستة، الذين </w:t>
            </w:r>
            <w:r w:rsidR="00D02C02" w:rsidRPr="00CE1677">
              <w:rPr>
                <w:rFonts w:ascii="Arabic Typesetting" w:eastAsia="Arabic Typesetting" w:hAnsi="Arabic Typesetting" w:cs="Arabic Typesetting" w:hint="cs"/>
                <w:sz w:val="28"/>
                <w:szCs w:val="28"/>
                <w:rtl/>
                <w:lang w:eastAsia="ar-EG" w:bidi="ar-EG"/>
              </w:rPr>
              <w:t>شاركو</w:t>
            </w:r>
            <w:r w:rsidR="00D02C02" w:rsidRPr="00CE1677">
              <w:rPr>
                <w:rFonts w:ascii="Arabic Typesetting" w:eastAsia="Arabic Typesetting" w:hAnsi="Arabic Typesetting" w:cs="Arabic Typesetting" w:hint="eastAsia"/>
                <w:sz w:val="28"/>
                <w:szCs w:val="28"/>
                <w:rtl/>
                <w:lang w:eastAsia="ar-EG" w:bidi="ar-EG"/>
              </w:rPr>
              <w:t>ا</w:t>
            </w:r>
            <w:r w:rsidRPr="00CE1677">
              <w:rPr>
                <w:rFonts w:ascii="Arabic Typesetting" w:eastAsia="Arabic Typesetting" w:hAnsi="Arabic Typesetting" w:cs="Arabic Typesetting"/>
                <w:sz w:val="28"/>
                <w:szCs w:val="28"/>
                <w:rtl/>
                <w:lang w:eastAsia="ar-EG" w:bidi="ar-EG"/>
              </w:rPr>
              <w:t xml:space="preserve"> في برنامج الزمالة/إجازة التفرغ لبرنامج </w:t>
            </w:r>
            <w:r w:rsidRPr="00CE1677">
              <w:rPr>
                <w:rFonts w:ascii="Arabic Typesetting" w:eastAsia="Arabic Typesetting" w:hAnsi="Arabic Typesetting" w:cs="Arabic Typesetting"/>
                <w:sz w:val="28"/>
                <w:szCs w:val="28"/>
                <w:lang w:eastAsia="ar-EG" w:bidi="ar-EG"/>
              </w:rPr>
              <w:t>WIPO Re:Search</w:t>
            </w:r>
            <w:r w:rsidRPr="00CE1677">
              <w:rPr>
                <w:rFonts w:ascii="Arabic Typesetting" w:eastAsia="Arabic Typesetting" w:hAnsi="Arabic Typesetting" w:cs="Arabic Typesetting"/>
                <w:sz w:val="28"/>
                <w:szCs w:val="28"/>
                <w:rtl/>
                <w:lang w:eastAsia="ar-EG" w:bidi="ar-EG"/>
              </w:rPr>
              <w:t xml:space="preserve"> في إطار الصندوق الاستئماني الأسترالي</w:t>
            </w:r>
            <w:r>
              <w:rPr>
                <w:rFonts w:ascii="Arabic Typesetting" w:eastAsia="Arabic Typesetting" w:hAnsi="Arabic Typesetting" w:cs="Arabic Typesetting"/>
                <w:sz w:val="28"/>
                <w:szCs w:val="28"/>
                <w:rtl/>
                <w:lang w:eastAsia="ar-EG" w:bidi="ar-EG"/>
              </w:rPr>
              <w:t xml:space="preserve"> الأول، من أجل إثبات أهمية الش</w:t>
            </w:r>
            <w:r>
              <w:rPr>
                <w:rFonts w:ascii="Arabic Typesetting" w:eastAsia="Arabic Typesetting" w:hAnsi="Arabic Typesetting" w:cs="Arabic Typesetting" w:hint="cs"/>
                <w:sz w:val="28"/>
                <w:szCs w:val="28"/>
                <w:rtl/>
                <w:lang w:eastAsia="ar-EG" w:bidi="ar-EG"/>
              </w:rPr>
              <w:t>را</w:t>
            </w:r>
            <w:r w:rsidRPr="00CE1677">
              <w:rPr>
                <w:rFonts w:ascii="Arabic Typesetting" w:eastAsia="Arabic Typesetting" w:hAnsi="Arabic Typesetting" w:cs="Arabic Typesetting"/>
                <w:sz w:val="28"/>
                <w:szCs w:val="28"/>
                <w:rtl/>
                <w:lang w:eastAsia="ar-EG" w:bidi="ar-EG"/>
              </w:rPr>
              <w:t>كات كاستثمار في تكوين الكفاءات البشرية والمؤسسية وأداة استراتيجية لتحفيز البحث والتطوير المستدام في مجال الأمراض المدارية المهملة في المنا</w:t>
            </w:r>
            <w:r>
              <w:rPr>
                <w:rFonts w:ascii="Arabic Typesetting" w:eastAsia="Arabic Typesetting" w:hAnsi="Arabic Typesetting" w:cs="Arabic Typesetting"/>
                <w:sz w:val="28"/>
                <w:szCs w:val="28"/>
                <w:rtl/>
                <w:lang w:eastAsia="ar-EG" w:bidi="ar-EG"/>
              </w:rPr>
              <w:t>طق التي تنتشر فيها تلك الأمراض.</w:t>
            </w:r>
            <w:r w:rsidRPr="00CE1677">
              <w:rPr>
                <w:rFonts w:ascii="Arabic Typesetting" w:eastAsia="Arabic Typesetting" w:hAnsi="Arabic Typesetting" w:cs="Arabic Typesetting"/>
                <w:sz w:val="28"/>
                <w:szCs w:val="28"/>
                <w:rtl/>
                <w:lang w:eastAsia="ar-EG" w:bidi="ar-EG"/>
              </w:rPr>
              <w:t xml:space="preserve"> وشدد المنشور أيضاً على القيمة الكبيرة لالتزام الجهة المانحة (حكومة أستراليا) برعاية ومساندة البرامج القادرة على إحداث أثر أسي.</w:t>
            </w:r>
          </w:p>
        </w:tc>
      </w:tr>
    </w:tbl>
    <w:p w14:paraId="3D202D47" w14:textId="77777777" w:rsidR="00BD3831" w:rsidRPr="00C368FD"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C368FD">
        <w:rPr>
          <w:rFonts w:ascii="Arabic Typesetting" w:eastAsia="Arabic Typesetting" w:hAnsi="Arabic Typesetting" w:cs="Arabic Typesetting"/>
          <w:b/>
          <w:bCs/>
          <w:sz w:val="32"/>
          <w:szCs w:val="32"/>
          <w:rtl/>
          <w:lang w:eastAsia="ar-EG" w:bidi="ar-EG"/>
        </w:rPr>
        <w:t>أستراليا 1 -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49136A2B" w14:textId="77777777" w:rsidTr="00DF6715">
        <w:trPr>
          <w:trHeight w:val="544"/>
        </w:trPr>
        <w:tc>
          <w:tcPr>
            <w:tcW w:w="1000" w:type="pct"/>
            <w:tcBorders>
              <w:top w:val="nil"/>
              <w:left w:val="nil"/>
              <w:bottom w:val="nil"/>
              <w:right w:val="nil"/>
            </w:tcBorders>
            <w:shd w:val="clear" w:color="000000" w:fill="C5D9F1"/>
            <w:vAlign w:val="center"/>
            <w:hideMark/>
          </w:tcPr>
          <w:p w14:paraId="1675C9AC"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3FC68CE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3F181CFC"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1B1CC9B0"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3A722C1F"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26EF8AE1" w14:textId="77777777" w:rsidTr="00DF6715">
        <w:trPr>
          <w:trHeight w:val="356"/>
        </w:trPr>
        <w:tc>
          <w:tcPr>
            <w:tcW w:w="1000" w:type="pct"/>
            <w:tcBorders>
              <w:top w:val="nil"/>
              <w:left w:val="nil"/>
              <w:bottom w:val="nil"/>
              <w:right w:val="nil"/>
            </w:tcBorders>
            <w:shd w:val="clear" w:color="auto" w:fill="auto"/>
            <w:noWrap/>
            <w:vAlign w:val="bottom"/>
            <w:hideMark/>
          </w:tcPr>
          <w:p w14:paraId="08DCC359" w14:textId="77777777" w:rsidR="00BD3831" w:rsidRPr="00C368FD" w:rsidRDefault="00BD3831" w:rsidP="0031289D">
            <w:pPr>
              <w:jc w:val="center"/>
              <w:rPr>
                <w:rFonts w:ascii="Arabic Typesetting" w:hAnsi="Arabic Typesetting" w:cs="Arabic Typesetting"/>
                <w:color w:val="000000"/>
                <w:sz w:val="28"/>
                <w:szCs w:val="28"/>
              </w:rPr>
            </w:pPr>
            <w:r w:rsidRPr="00C368FD">
              <w:rPr>
                <w:rFonts w:ascii="Arabic Typesetting" w:hAnsi="Arabic Typesetting" w:cs="Arabic Typesetting"/>
                <w:color w:val="000000"/>
                <w:sz w:val="28"/>
                <w:szCs w:val="28"/>
              </w:rPr>
              <w:t>110</w:t>
            </w:r>
            <w:r>
              <w:rPr>
                <w:rFonts w:ascii="Arabic Typesetting" w:hAnsi="Arabic Typesetting" w:cs="Arabic Typesetting"/>
                <w:color w:val="000000"/>
                <w:sz w:val="28"/>
                <w:szCs w:val="28"/>
              </w:rPr>
              <w:t> </w:t>
            </w:r>
            <w:r w:rsidRPr="00C368FD">
              <w:rPr>
                <w:rFonts w:ascii="Arabic Typesetting" w:hAnsi="Arabic Typesetting" w:cs="Arabic Typesetting"/>
                <w:color w:val="000000"/>
                <w:sz w:val="28"/>
                <w:szCs w:val="28"/>
              </w:rPr>
              <w:t>219</w:t>
            </w:r>
          </w:p>
        </w:tc>
        <w:tc>
          <w:tcPr>
            <w:tcW w:w="1000" w:type="pct"/>
            <w:tcBorders>
              <w:top w:val="nil"/>
              <w:left w:val="nil"/>
              <w:bottom w:val="nil"/>
              <w:right w:val="nil"/>
            </w:tcBorders>
            <w:shd w:val="clear" w:color="auto" w:fill="auto"/>
            <w:noWrap/>
            <w:vAlign w:val="bottom"/>
            <w:hideMark/>
          </w:tcPr>
          <w:p w14:paraId="183EEB00" w14:textId="77777777" w:rsidR="00BD3831" w:rsidRPr="00C368FD" w:rsidRDefault="00BD3831" w:rsidP="0031289D">
            <w:pPr>
              <w:jc w:val="center"/>
              <w:rPr>
                <w:rFonts w:ascii="Arabic Typesetting" w:hAnsi="Arabic Typesetting" w:cs="Arabic Typesetting"/>
                <w:color w:val="000000"/>
                <w:sz w:val="28"/>
                <w:szCs w:val="28"/>
              </w:rPr>
            </w:pPr>
            <w:r w:rsidRPr="00C368FD">
              <w:rPr>
                <w:rFonts w:ascii="Arabic Typesetting" w:hAnsi="Arabic Typesetting" w:cs="Arabic Typesetting"/>
                <w:color w:val="000000"/>
                <w:sz w:val="28"/>
                <w:szCs w:val="28"/>
              </w:rPr>
              <w:t>40</w:t>
            </w:r>
          </w:p>
        </w:tc>
        <w:tc>
          <w:tcPr>
            <w:tcW w:w="1000" w:type="pct"/>
            <w:tcBorders>
              <w:top w:val="nil"/>
              <w:left w:val="nil"/>
              <w:bottom w:val="nil"/>
              <w:right w:val="nil"/>
            </w:tcBorders>
            <w:shd w:val="clear" w:color="auto" w:fill="auto"/>
            <w:noWrap/>
            <w:vAlign w:val="bottom"/>
            <w:hideMark/>
          </w:tcPr>
          <w:p w14:paraId="40CA2548" w14:textId="77777777" w:rsidR="00BD3831" w:rsidRPr="00C368FD" w:rsidRDefault="00BD3831" w:rsidP="0031289D">
            <w:pPr>
              <w:jc w:val="center"/>
              <w:rPr>
                <w:rFonts w:ascii="Arabic Typesetting" w:hAnsi="Arabic Typesetting" w:cs="Arabic Typesetting"/>
                <w:color w:val="000000"/>
                <w:sz w:val="28"/>
                <w:szCs w:val="28"/>
              </w:rPr>
            </w:pPr>
            <w:r w:rsidRPr="00C368FD">
              <w:rPr>
                <w:rFonts w:ascii="Arabic Typesetting" w:hAnsi="Arabic Typesetting" w:cs="Arabic Typesetting"/>
                <w:color w:val="000000"/>
                <w:sz w:val="28"/>
                <w:szCs w:val="28"/>
              </w:rPr>
              <w:t>10</w:t>
            </w:r>
            <w:r>
              <w:rPr>
                <w:rFonts w:ascii="Arabic Typesetting" w:hAnsi="Arabic Typesetting" w:cs="Arabic Typesetting"/>
                <w:color w:val="000000"/>
                <w:sz w:val="28"/>
                <w:szCs w:val="28"/>
              </w:rPr>
              <w:t> </w:t>
            </w:r>
            <w:r w:rsidRPr="00C368FD">
              <w:rPr>
                <w:rFonts w:ascii="Arabic Typesetting" w:hAnsi="Arabic Typesetting" w:cs="Arabic Typesetting"/>
                <w:color w:val="000000"/>
                <w:sz w:val="28"/>
                <w:szCs w:val="28"/>
              </w:rPr>
              <w:t>775</w:t>
            </w:r>
          </w:p>
        </w:tc>
        <w:tc>
          <w:tcPr>
            <w:tcW w:w="1000" w:type="pct"/>
            <w:tcBorders>
              <w:top w:val="nil"/>
              <w:left w:val="nil"/>
              <w:bottom w:val="nil"/>
              <w:right w:val="nil"/>
            </w:tcBorders>
            <w:shd w:val="clear" w:color="auto" w:fill="auto"/>
            <w:noWrap/>
            <w:vAlign w:val="bottom"/>
            <w:hideMark/>
          </w:tcPr>
          <w:p w14:paraId="26052389" w14:textId="77777777" w:rsidR="00BD3831" w:rsidRPr="00C368FD" w:rsidRDefault="00BD3831" w:rsidP="0031289D">
            <w:pPr>
              <w:jc w:val="center"/>
              <w:rPr>
                <w:rFonts w:ascii="Arabic Typesetting" w:hAnsi="Arabic Typesetting" w:cs="Arabic Typesetting"/>
                <w:color w:val="000000"/>
                <w:sz w:val="28"/>
                <w:szCs w:val="28"/>
              </w:rPr>
            </w:pPr>
            <w:r w:rsidRPr="00C368FD">
              <w:rPr>
                <w:rFonts w:ascii="Arabic Typesetting" w:hAnsi="Arabic Typesetting" w:cs="Arabic Typesetting"/>
                <w:color w:val="000000"/>
                <w:sz w:val="28"/>
                <w:szCs w:val="28"/>
              </w:rPr>
              <w:t>99</w:t>
            </w:r>
            <w:r>
              <w:rPr>
                <w:rFonts w:ascii="Arabic Typesetting" w:hAnsi="Arabic Typesetting" w:cs="Arabic Typesetting"/>
                <w:color w:val="000000"/>
                <w:sz w:val="28"/>
                <w:szCs w:val="28"/>
              </w:rPr>
              <w:t> </w:t>
            </w:r>
            <w:r w:rsidRPr="00C368FD">
              <w:rPr>
                <w:rFonts w:ascii="Arabic Typesetting" w:hAnsi="Arabic Typesetting" w:cs="Arabic Typesetting"/>
                <w:color w:val="000000"/>
                <w:sz w:val="28"/>
                <w:szCs w:val="28"/>
              </w:rPr>
              <w:t>484</w:t>
            </w:r>
          </w:p>
        </w:tc>
        <w:tc>
          <w:tcPr>
            <w:tcW w:w="1000" w:type="pct"/>
            <w:tcBorders>
              <w:top w:val="nil"/>
              <w:left w:val="nil"/>
              <w:bottom w:val="nil"/>
              <w:right w:val="nil"/>
            </w:tcBorders>
            <w:shd w:val="clear" w:color="auto" w:fill="auto"/>
            <w:noWrap/>
            <w:vAlign w:val="bottom"/>
            <w:hideMark/>
          </w:tcPr>
          <w:p w14:paraId="2E30F339" w14:textId="77777777" w:rsidR="00BD3831" w:rsidRPr="00C368FD" w:rsidRDefault="00BD3831" w:rsidP="0031289D">
            <w:pPr>
              <w:jc w:val="center"/>
              <w:rPr>
                <w:rFonts w:ascii="Arabic Typesetting" w:hAnsi="Arabic Typesetting" w:cs="Arabic Typesetting"/>
                <w:color w:val="000000"/>
                <w:sz w:val="28"/>
                <w:szCs w:val="28"/>
              </w:rPr>
            </w:pPr>
            <w:r w:rsidRPr="00C368FD">
              <w:rPr>
                <w:rFonts w:ascii="Arabic Typesetting" w:hAnsi="Arabic Typesetting" w:cs="Arabic Typesetting"/>
                <w:color w:val="000000"/>
                <w:sz w:val="28"/>
                <w:szCs w:val="28"/>
              </w:rPr>
              <w:t>-</w:t>
            </w:r>
          </w:p>
        </w:tc>
      </w:tr>
    </w:tbl>
    <w:p w14:paraId="4EAFA3EB" w14:textId="77777777" w:rsidR="00BD3831" w:rsidRPr="00C368FD"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C368FD">
        <w:rPr>
          <w:rFonts w:ascii="Arabic Typesetting" w:eastAsia="Arabic Typesetting" w:hAnsi="Arabic Typesetting" w:cs="Arabic Typesetting"/>
          <w:b/>
          <w:bCs/>
          <w:sz w:val="32"/>
          <w:szCs w:val="32"/>
          <w:rtl/>
          <w:lang w:eastAsia="ar-EG" w:bidi="ar-EG"/>
        </w:rPr>
        <w:t>أستراليا 2</w:t>
      </w:r>
    </w:p>
    <w:tbl>
      <w:tblPr>
        <w:bidiVisual/>
        <w:tblW w:w="5000" w:type="pct"/>
        <w:tblLook w:val="0000" w:firstRow="0" w:lastRow="0" w:firstColumn="0" w:lastColumn="0" w:noHBand="0" w:noVBand="0"/>
      </w:tblPr>
      <w:tblGrid>
        <w:gridCol w:w="1853"/>
        <w:gridCol w:w="1256"/>
        <w:gridCol w:w="2100"/>
        <w:gridCol w:w="4362"/>
      </w:tblGrid>
      <w:tr w:rsidR="00BD3831" w:rsidRPr="00CE1677" w14:paraId="2D4C5CEE" w14:textId="77777777" w:rsidTr="00DF6715">
        <w:trPr>
          <w:cantSplit/>
        </w:trPr>
        <w:tc>
          <w:tcPr>
            <w:tcW w:w="5000" w:type="pct"/>
            <w:gridSpan w:val="4"/>
            <w:shd w:val="clear" w:color="auto" w:fill="C6D9F1"/>
            <w:vAlign w:val="center"/>
          </w:tcPr>
          <w:p w14:paraId="43304177"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ه1.3 استراتيجيات وخطط وطنية في مجالي الابتكار والملكية الفكرية تتماشى مع الأهداف الإنمائية الوطنية</w:t>
            </w:r>
          </w:p>
        </w:tc>
      </w:tr>
      <w:tr w:rsidR="00BD3831" w:rsidRPr="00CE1677" w14:paraId="3CF8679E" w14:textId="77777777" w:rsidTr="00DF6715">
        <w:trPr>
          <w:cantSplit/>
        </w:trPr>
        <w:tc>
          <w:tcPr>
            <w:tcW w:w="968" w:type="pct"/>
            <w:vAlign w:val="center"/>
          </w:tcPr>
          <w:p w14:paraId="6595E31C"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56" w:type="pct"/>
            <w:shd w:val="clear" w:color="auto" w:fill="auto"/>
            <w:tcMar>
              <w:top w:w="110" w:type="dxa"/>
            </w:tcMar>
            <w:vAlign w:val="center"/>
          </w:tcPr>
          <w:p w14:paraId="4236A268"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097" w:type="pct"/>
            <w:shd w:val="clear" w:color="auto" w:fill="auto"/>
            <w:tcMar>
              <w:top w:w="110" w:type="dxa"/>
            </w:tcMar>
            <w:vAlign w:val="center"/>
          </w:tcPr>
          <w:p w14:paraId="45014593"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279" w:type="pct"/>
            <w:shd w:val="clear" w:color="auto" w:fill="FFFFFF"/>
            <w:tcMar>
              <w:top w:w="110" w:type="dxa"/>
            </w:tcMar>
            <w:vAlign w:val="center"/>
          </w:tcPr>
          <w:p w14:paraId="5CD6F16A"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215E8CA1" w14:textId="77777777" w:rsidTr="00DF6715">
        <w:trPr>
          <w:cantSplit/>
          <w:trHeight w:val="2318"/>
        </w:trPr>
        <w:tc>
          <w:tcPr>
            <w:tcW w:w="968" w:type="pct"/>
          </w:tcPr>
          <w:p w14:paraId="20ABF8C2"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المشاورات الوطنية النهائية مع أصحاب المصلحة لإتمام استراتيجية كيريباس للملكية</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الفكرية</w:t>
            </w:r>
          </w:p>
        </w:tc>
        <w:tc>
          <w:tcPr>
            <w:tcW w:w="656" w:type="pct"/>
          </w:tcPr>
          <w:p w14:paraId="0072F49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20 إلى 23 يونيو 2016</w:t>
            </w:r>
          </w:p>
        </w:tc>
        <w:tc>
          <w:tcPr>
            <w:tcW w:w="1097" w:type="pct"/>
          </w:tcPr>
          <w:p w14:paraId="551DC44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كيريباس</w:t>
            </w:r>
          </w:p>
        </w:tc>
        <w:tc>
          <w:tcPr>
            <w:tcW w:w="2279" w:type="pct"/>
          </w:tcPr>
          <w:p w14:paraId="71FEE06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التثبت من مشروع سياسة الملكية الفكرية المعروض على حكومة كيريباس كي تنظر فيه عن طريق مشاورات نهائية مع أصحاب المصلحة الوطنيين بغية إجراء أي تغييرات لازمة قبل تقديم الوثيقة ا</w:t>
            </w:r>
            <w:r>
              <w:rPr>
                <w:rFonts w:ascii="Arabic Typesetting" w:eastAsia="Arabic Typesetting" w:hAnsi="Arabic Typesetting" w:cs="Arabic Typesetting"/>
                <w:sz w:val="28"/>
                <w:szCs w:val="28"/>
                <w:rtl/>
                <w:lang w:eastAsia="ar-EG" w:bidi="ar-EG"/>
              </w:rPr>
              <w:t>لنهائية لسياسة الملكية الفكرية.</w:t>
            </w:r>
            <w:r w:rsidRPr="00CE1677">
              <w:rPr>
                <w:rFonts w:ascii="Arabic Typesetting" w:eastAsia="Arabic Typesetting" w:hAnsi="Arabic Typesetting" w:cs="Arabic Typesetting"/>
                <w:sz w:val="28"/>
                <w:szCs w:val="28"/>
                <w:rtl/>
                <w:lang w:eastAsia="ar-EG" w:bidi="ar-EG"/>
              </w:rPr>
              <w:t xml:space="preserve"> وفضلاً عن ذلك، استعرضت عدة شعب من شعب الويبو تلك </w:t>
            </w:r>
            <w:r>
              <w:rPr>
                <w:rFonts w:ascii="Arabic Typesetting" w:eastAsia="Arabic Typesetting" w:hAnsi="Arabic Typesetting" w:cs="Arabic Typesetting"/>
                <w:sz w:val="28"/>
                <w:szCs w:val="28"/>
                <w:rtl/>
                <w:lang w:eastAsia="ar-EG" w:bidi="ar-EG"/>
              </w:rPr>
              <w:t>التغييرات على المستوى الداخلي.</w:t>
            </w:r>
          </w:p>
          <w:p w14:paraId="59F4DA10" w14:textId="3F08424C" w:rsidR="00BD3831" w:rsidRPr="00CE1677" w:rsidRDefault="00BD3831" w:rsidP="00D02C02">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وبعد إتمام المشروع المنقح للاستراتيجية الوطنية للملكية الفكرية عقب مشاورات داخلية جديدة في الويبو، أرسل المدير العام للويبو ذلك المشروع إلى وزير التجارة والصناعة والتعاونيات في كيريباس كي ينظر فيه ويتخذ أنشطة المتابعة اللازمة على </w:t>
            </w:r>
            <w:r>
              <w:rPr>
                <w:rFonts w:ascii="Arabic Typesetting" w:eastAsia="Arabic Typesetting" w:hAnsi="Arabic Typesetting" w:cs="Arabic Typesetting"/>
                <w:sz w:val="28"/>
                <w:szCs w:val="28"/>
                <w:rtl/>
                <w:lang w:eastAsia="ar-EG" w:bidi="ar-EG"/>
              </w:rPr>
              <w:t>الصعيد الوطني في 9 سبتمبر 2016.</w:t>
            </w:r>
            <w:r w:rsidRPr="00CE1677">
              <w:rPr>
                <w:rFonts w:ascii="Arabic Typesetting" w:eastAsia="Arabic Typesetting" w:hAnsi="Arabic Typesetting" w:cs="Arabic Typesetting"/>
                <w:sz w:val="28"/>
                <w:szCs w:val="28"/>
                <w:rtl/>
                <w:lang w:eastAsia="ar-EG" w:bidi="ar-EG"/>
              </w:rPr>
              <w:t xml:space="preserve"> ووجهت كيريباس بعدئذ مذكرة إلى مجلس وزرائها كي ت</w:t>
            </w:r>
            <w:r>
              <w:rPr>
                <w:rFonts w:ascii="Arabic Typesetting" w:eastAsia="Arabic Typesetting" w:hAnsi="Arabic Typesetting" w:cs="Arabic Typesetting"/>
                <w:sz w:val="28"/>
                <w:szCs w:val="28"/>
                <w:rtl/>
                <w:lang w:eastAsia="ar-EG" w:bidi="ar-EG"/>
              </w:rPr>
              <w:t>نظ</w:t>
            </w:r>
            <w:r w:rsidR="00D02C02">
              <w:rPr>
                <w:rFonts w:ascii="Arabic Typesetting" w:eastAsia="Arabic Typesetting" w:hAnsi="Arabic Typesetting" w:cs="Arabic Typesetting" w:hint="cs"/>
                <w:sz w:val="28"/>
                <w:szCs w:val="28"/>
                <w:rtl/>
                <w:lang w:eastAsia="ar-EG" w:bidi="ar-EG"/>
              </w:rPr>
              <w:t>ر</w:t>
            </w:r>
            <w:r>
              <w:rPr>
                <w:rFonts w:ascii="Arabic Typesetting" w:eastAsia="Arabic Typesetting" w:hAnsi="Arabic Typesetting" w:cs="Arabic Typesetting"/>
                <w:sz w:val="28"/>
                <w:szCs w:val="28"/>
                <w:rtl/>
                <w:lang w:eastAsia="ar-EG" w:bidi="ar-EG"/>
              </w:rPr>
              <w:t xml:space="preserve"> فيها في أواخر نوفمبر 2016.</w:t>
            </w:r>
          </w:p>
        </w:tc>
      </w:tr>
      <w:tr w:rsidR="00BD3831" w:rsidRPr="00CE1677" w14:paraId="1391E6EF" w14:textId="77777777" w:rsidTr="00DF6715">
        <w:trPr>
          <w:cantSplit/>
          <w:trHeight w:val="1751"/>
        </w:trPr>
        <w:tc>
          <w:tcPr>
            <w:tcW w:w="968" w:type="pct"/>
          </w:tcPr>
          <w:p w14:paraId="4345B6C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lastRenderedPageBreak/>
              <w:t>أول بعثة تقييم لإعداد خطة وطنية للملكية الفكرية في جمهورية لاو الديمقراطية الشعبية</w:t>
            </w:r>
          </w:p>
        </w:tc>
        <w:tc>
          <w:tcPr>
            <w:tcW w:w="656" w:type="pct"/>
          </w:tcPr>
          <w:p w14:paraId="6481FCA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26 إلى 28 أبريل 2016</w:t>
            </w:r>
          </w:p>
        </w:tc>
        <w:tc>
          <w:tcPr>
            <w:tcW w:w="1097" w:type="pct"/>
          </w:tcPr>
          <w:p w14:paraId="69C5B4D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لاو الديمقراطية الشعبية</w:t>
            </w:r>
          </w:p>
        </w:tc>
        <w:tc>
          <w:tcPr>
            <w:tcW w:w="2279" w:type="pct"/>
          </w:tcPr>
          <w:p w14:paraId="60B825E0"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"1" إزكاء الوعي بدور استراتيجية وطنية للملكية الفكرية وارتباطها بسياسات عامة أخرى فضلاً عن التوعية بالمنهجية والأدوات المستخدمة في إعداد تلك الاستراتيجية؛ "2" وتوفير تدريب للخبراء الوطنيين على المنهجية واستخدام الأدوات؛ "3" وعقد اجتماعات تشاورية ومكالمات مع المدير العام لإدارة الملكية الفكرية ومع كبار المسؤولين في وزارة العلوم والتكنولوجيا والوزارات المعنية الأخرى لمناقشة الجداول الزمنية والخطوات التالية وضمان الالتزام السياسي بالمسار المقبل</w:t>
            </w:r>
          </w:p>
        </w:tc>
      </w:tr>
      <w:tr w:rsidR="00BD3831" w:rsidRPr="00CE1677" w14:paraId="2E9E978C" w14:textId="77777777" w:rsidTr="00DF6715">
        <w:trPr>
          <w:cantSplit/>
          <w:trHeight w:val="3159"/>
        </w:trPr>
        <w:tc>
          <w:tcPr>
            <w:tcW w:w="968" w:type="pct"/>
          </w:tcPr>
          <w:p w14:paraId="5F55092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إجراء فريق المشروع (المكون من استشاري دولي وخبيرين وطنيين وفريق مخصص من إدارة الملكية الفكرية بوزارة العلوم والتكنولوجيا) بحوثاً واستقصاءات مقارنة لإعداد استراتيجية وطنية للملكية الفكرية في جمهورية لاو الديمقراطية الشعبية</w:t>
            </w:r>
          </w:p>
        </w:tc>
        <w:tc>
          <w:tcPr>
            <w:tcW w:w="656" w:type="pct"/>
          </w:tcPr>
          <w:p w14:paraId="5C4D356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مايو إلى يوليو 2016</w:t>
            </w:r>
          </w:p>
        </w:tc>
        <w:tc>
          <w:tcPr>
            <w:tcW w:w="1097" w:type="pct"/>
          </w:tcPr>
          <w:p w14:paraId="19074DA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لاو الديمقراطية الشعبية</w:t>
            </w:r>
          </w:p>
        </w:tc>
        <w:tc>
          <w:tcPr>
            <w:tcW w:w="2279" w:type="pct"/>
          </w:tcPr>
          <w:p w14:paraId="483B865E" w14:textId="06039466"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"1" استعراض وثائق السياسة القائمة من أجل رصد الأهداف والاستراتيجيات والسياسات الإنمائية الوطنية وتحديد سبل مواءمة الاستراتيجية الوطنية للملكية الفكرية ودمجها مع أولويات التنمية الوطنية؛ "2" ورسم صورة واضحة لواقع الملكية الفكرية في البلد (عن</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 xml:space="preserve">طريق تدقيق في الملكية الفكرية أو استقصاء </w:t>
            </w:r>
            <w:r w:rsidR="00D02C02" w:rsidRPr="00CE1677">
              <w:rPr>
                <w:rFonts w:ascii="Arabic Typesetting" w:eastAsia="Arabic Typesetting" w:hAnsi="Arabic Typesetting" w:cs="Arabic Typesetting" w:hint="cs"/>
                <w:sz w:val="28"/>
                <w:szCs w:val="28"/>
                <w:rtl/>
                <w:lang w:eastAsia="ar-EG" w:bidi="ar-EG"/>
              </w:rPr>
              <w:t>للمقارن</w:t>
            </w:r>
            <w:r w:rsidR="00D02C02" w:rsidRPr="00CE1677">
              <w:rPr>
                <w:rFonts w:ascii="Arabic Typesetting" w:eastAsia="Arabic Typesetting" w:hAnsi="Arabic Typesetting" w:cs="Arabic Typesetting" w:hint="eastAsia"/>
                <w:sz w:val="28"/>
                <w:szCs w:val="28"/>
                <w:rtl/>
                <w:lang w:eastAsia="ar-EG" w:bidi="ar-EG"/>
              </w:rPr>
              <w:t>ة</w:t>
            </w:r>
            <w:r w:rsidRPr="00CE1677">
              <w:rPr>
                <w:rFonts w:ascii="Arabic Typesetting" w:eastAsia="Arabic Typesetting" w:hAnsi="Arabic Typesetting" w:cs="Arabic Typesetting"/>
                <w:sz w:val="28"/>
                <w:szCs w:val="28"/>
                <w:rtl/>
                <w:lang w:eastAsia="ar-EG" w:bidi="ar-EG"/>
              </w:rPr>
              <w:t>) ومواطن ضعفه وقوته وإمكاناته فضلاً عن تقييم الاحتياجات الواجب مراعاتها في وضع الاستراتيجية الوطنية للملكية الفكرية بناء على البيانات المجمعة</w:t>
            </w:r>
          </w:p>
        </w:tc>
      </w:tr>
      <w:tr w:rsidR="00BD3831" w:rsidRPr="00CE1677" w14:paraId="4ED58A46" w14:textId="77777777" w:rsidTr="00DF6715">
        <w:trPr>
          <w:cantSplit/>
          <w:trHeight w:val="473"/>
        </w:trPr>
        <w:tc>
          <w:tcPr>
            <w:tcW w:w="968" w:type="pct"/>
          </w:tcPr>
          <w:p w14:paraId="15288FB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مشاورات وطنية بشأن وضع ا</w:t>
            </w:r>
            <w:r>
              <w:rPr>
                <w:rFonts w:ascii="Arabic Typesetting" w:eastAsia="Arabic Typesetting" w:hAnsi="Arabic Typesetting" w:cs="Arabic Typesetting"/>
                <w:color w:val="000000"/>
                <w:sz w:val="28"/>
                <w:szCs w:val="28"/>
                <w:rtl/>
                <w:lang w:eastAsia="ar-EG" w:bidi="ar-EG"/>
              </w:rPr>
              <w:t>ستراتيجية وطنية للملكية الفكرية</w:t>
            </w:r>
          </w:p>
        </w:tc>
        <w:tc>
          <w:tcPr>
            <w:tcW w:w="656" w:type="pct"/>
          </w:tcPr>
          <w:p w14:paraId="501DCEE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 إلى 5 أغسطس 2016</w:t>
            </w:r>
          </w:p>
        </w:tc>
        <w:tc>
          <w:tcPr>
            <w:tcW w:w="1097" w:type="pct"/>
          </w:tcPr>
          <w:p w14:paraId="2298081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لاو الديمقراطية الشعبية</w:t>
            </w:r>
          </w:p>
        </w:tc>
        <w:tc>
          <w:tcPr>
            <w:tcW w:w="2279" w:type="pct"/>
          </w:tcPr>
          <w:p w14:paraId="3D7BBB8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نشر النتائج/الاستنتاجات الأولية لعملية جمع البيانات (البحوث</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والاستقصاءات) وإجراء مناقشات مع السلطات الوطنية المعنية وأصحاب المصلحة المعنيين لتثبيت نتائج/استنتاجات التدقيق الأولية وجمع معلومات وآراء وبيانات إضافية عند الاقتضاء</w:t>
            </w:r>
          </w:p>
        </w:tc>
      </w:tr>
      <w:tr w:rsidR="00BD3831" w:rsidRPr="00CE1677" w14:paraId="66310BCE" w14:textId="77777777" w:rsidTr="00DF6715">
        <w:trPr>
          <w:cantSplit/>
          <w:trHeight w:val="1564"/>
        </w:trPr>
        <w:tc>
          <w:tcPr>
            <w:tcW w:w="968" w:type="pct"/>
          </w:tcPr>
          <w:p w14:paraId="712678A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إعداد المشروع الأول للاست</w:t>
            </w:r>
            <w:r>
              <w:rPr>
                <w:rFonts w:ascii="Arabic Typesetting" w:eastAsia="Arabic Typesetting" w:hAnsi="Arabic Typesetting" w:cs="Arabic Typesetting"/>
                <w:color w:val="000000"/>
                <w:sz w:val="28"/>
                <w:szCs w:val="28"/>
                <w:rtl/>
                <w:lang w:eastAsia="ar-EG" w:bidi="ar-EG"/>
              </w:rPr>
              <w:t>راتيجية الوطنية للملكية الفكرية</w:t>
            </w:r>
          </w:p>
        </w:tc>
        <w:tc>
          <w:tcPr>
            <w:tcW w:w="656" w:type="pct"/>
          </w:tcPr>
          <w:p w14:paraId="6BF01EC5" w14:textId="6234B0B1"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من </w:t>
            </w:r>
            <w:r w:rsidR="00D02C02" w:rsidRPr="00CE1677">
              <w:rPr>
                <w:rFonts w:ascii="Arabic Typesetting" w:eastAsia="Arabic Typesetting" w:hAnsi="Arabic Typesetting" w:cs="Arabic Typesetting" w:hint="cs"/>
                <w:color w:val="000000"/>
                <w:sz w:val="28"/>
                <w:szCs w:val="28"/>
                <w:rtl/>
                <w:lang w:eastAsia="ar-EG" w:bidi="ar-EG"/>
              </w:rPr>
              <w:t>سبتمبر</w:t>
            </w:r>
            <w:r w:rsidRPr="00CE1677">
              <w:rPr>
                <w:rFonts w:ascii="Arabic Typesetting" w:eastAsia="Arabic Typesetting" w:hAnsi="Arabic Typesetting" w:cs="Arabic Typesetting"/>
                <w:color w:val="000000"/>
                <w:sz w:val="28"/>
                <w:szCs w:val="28"/>
                <w:rtl/>
                <w:lang w:eastAsia="ar-EG" w:bidi="ar-EG"/>
              </w:rPr>
              <w:t xml:space="preserve"> إلى ديسمبر 2016</w:t>
            </w:r>
          </w:p>
        </w:tc>
        <w:tc>
          <w:tcPr>
            <w:tcW w:w="1097" w:type="pct"/>
          </w:tcPr>
          <w:p w14:paraId="75D9661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لاو الديمقراطية الشعبية</w:t>
            </w:r>
          </w:p>
        </w:tc>
        <w:tc>
          <w:tcPr>
            <w:tcW w:w="2279" w:type="pct"/>
          </w:tcPr>
          <w:p w14:paraId="302DC02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إعداد المشروع الأول للاستراتيجية وخطة العمل الوطنية للملكية الفكرية مع مراعاة الاقتراحات والآراء والتوصيات المنبثقة من المشاورات الوطنية وتحديد الأهداف والأولويات الاستراتيجية الرئيسية للملكية الفكرية بح</w:t>
            </w:r>
            <w:r>
              <w:rPr>
                <w:rFonts w:ascii="Arabic Typesetting" w:eastAsia="Arabic Typesetting" w:hAnsi="Arabic Typesetting" w:cs="Arabic Typesetting"/>
                <w:color w:val="000000"/>
                <w:sz w:val="28"/>
                <w:szCs w:val="28"/>
                <w:rtl/>
                <w:lang w:eastAsia="ar-EG" w:bidi="ar-EG"/>
              </w:rPr>
              <w:t xml:space="preserve">سب القطاع وفيما يخص البلد ككل. </w:t>
            </w:r>
            <w:r w:rsidRPr="00CE1677">
              <w:rPr>
                <w:rFonts w:ascii="Arabic Typesetting" w:eastAsia="Arabic Typesetting" w:hAnsi="Arabic Typesetting" w:cs="Arabic Typesetting"/>
                <w:color w:val="000000"/>
                <w:sz w:val="28"/>
                <w:szCs w:val="28"/>
                <w:rtl/>
                <w:lang w:eastAsia="ar-EG" w:bidi="ar-EG"/>
              </w:rPr>
              <w:t>وشهدت عملية الصياغة تفاعلات كثيرة بين أعضاء فريق المشروع والويبو من أجل تنقيح مشروع الاستراتيجية وتحسينه فضلا</w:t>
            </w:r>
            <w:r>
              <w:rPr>
                <w:rFonts w:ascii="Arabic Typesetting" w:eastAsia="Arabic Typesetting" w:hAnsi="Arabic Typesetting" w:cs="Arabic Typesetting"/>
                <w:color w:val="000000"/>
                <w:sz w:val="28"/>
                <w:szCs w:val="28"/>
                <w:rtl/>
                <w:lang w:eastAsia="ar-EG" w:bidi="ar-EG"/>
              </w:rPr>
              <w:t>ً عن جمع وثائق ومعلومات إضافية.</w:t>
            </w:r>
          </w:p>
        </w:tc>
      </w:tr>
      <w:tr w:rsidR="00BD3831" w:rsidRPr="00CE1677" w14:paraId="0ACDF4EC" w14:textId="77777777" w:rsidTr="00DF6715">
        <w:trPr>
          <w:cantSplit/>
          <w:trHeight w:val="1129"/>
        </w:trPr>
        <w:tc>
          <w:tcPr>
            <w:tcW w:w="968" w:type="pct"/>
          </w:tcPr>
          <w:p w14:paraId="029EB8C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حلقة عمل وطنية بشأن حق المؤلف والحقوق المجاورة لأصحاب المصلحة، واجتماعات تشاورية</w:t>
            </w:r>
          </w:p>
        </w:tc>
        <w:tc>
          <w:tcPr>
            <w:tcW w:w="656" w:type="pct"/>
          </w:tcPr>
          <w:p w14:paraId="1E24579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من 24 إلى 26 أكتوبر 2016</w:t>
            </w:r>
          </w:p>
        </w:tc>
        <w:tc>
          <w:tcPr>
            <w:tcW w:w="1097" w:type="pct"/>
          </w:tcPr>
          <w:p w14:paraId="7340B11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تونغا</w:t>
            </w:r>
          </w:p>
        </w:tc>
        <w:tc>
          <w:tcPr>
            <w:tcW w:w="2279" w:type="pct"/>
          </w:tcPr>
          <w:p w14:paraId="13D5C40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تعزيز القدرات وإزكاء الوعي لدى المسؤولين الحكوميين وأصحاب المصلحة بشأن جدوى حق المؤلف وأهميته في تعزيز التنمية الثقافية والاقتصادية</w:t>
            </w:r>
          </w:p>
        </w:tc>
      </w:tr>
    </w:tbl>
    <w:p w14:paraId="1A39B3F0" w14:textId="77777777" w:rsidR="00BD3831" w:rsidRPr="004B764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B7640">
        <w:rPr>
          <w:rFonts w:ascii="Arabic Typesetting" w:eastAsia="Arabic Typesetting" w:hAnsi="Arabic Typesetting" w:cs="Arabic Typesetting"/>
          <w:b/>
          <w:bCs/>
          <w:sz w:val="32"/>
          <w:szCs w:val="32"/>
          <w:rtl/>
          <w:lang w:eastAsia="ar-EG" w:bidi="ar-EG"/>
        </w:rPr>
        <w:t>أستراليا 2 -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0DA541CA" w14:textId="77777777" w:rsidTr="00DF6715">
        <w:trPr>
          <w:trHeight w:val="544"/>
        </w:trPr>
        <w:tc>
          <w:tcPr>
            <w:tcW w:w="1000" w:type="pct"/>
            <w:tcBorders>
              <w:top w:val="nil"/>
              <w:left w:val="nil"/>
              <w:bottom w:val="nil"/>
              <w:right w:val="nil"/>
            </w:tcBorders>
            <w:shd w:val="clear" w:color="000000" w:fill="C5D9F1"/>
            <w:vAlign w:val="center"/>
            <w:hideMark/>
          </w:tcPr>
          <w:p w14:paraId="32B8CC7D"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7689AA21"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1A50A23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226BAC9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17C8CE7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38AB9C4D" w14:textId="77777777" w:rsidTr="00DF6715">
        <w:trPr>
          <w:trHeight w:val="356"/>
        </w:trPr>
        <w:tc>
          <w:tcPr>
            <w:tcW w:w="1000" w:type="pct"/>
            <w:tcBorders>
              <w:top w:val="nil"/>
              <w:left w:val="nil"/>
              <w:bottom w:val="nil"/>
              <w:right w:val="nil"/>
            </w:tcBorders>
            <w:shd w:val="clear" w:color="auto" w:fill="auto"/>
            <w:noWrap/>
            <w:vAlign w:val="bottom"/>
            <w:hideMark/>
          </w:tcPr>
          <w:p w14:paraId="17D98959"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0F76E032"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301</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725</w:t>
            </w:r>
          </w:p>
        </w:tc>
        <w:tc>
          <w:tcPr>
            <w:tcW w:w="1000" w:type="pct"/>
            <w:tcBorders>
              <w:top w:val="nil"/>
              <w:left w:val="nil"/>
              <w:bottom w:val="nil"/>
              <w:right w:val="nil"/>
            </w:tcBorders>
            <w:shd w:val="clear" w:color="auto" w:fill="auto"/>
            <w:noWrap/>
            <w:vAlign w:val="bottom"/>
            <w:hideMark/>
          </w:tcPr>
          <w:p w14:paraId="5E838EDE"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138</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023</w:t>
            </w:r>
          </w:p>
        </w:tc>
        <w:tc>
          <w:tcPr>
            <w:tcW w:w="1000" w:type="pct"/>
            <w:tcBorders>
              <w:top w:val="nil"/>
              <w:left w:val="nil"/>
              <w:bottom w:val="nil"/>
              <w:right w:val="nil"/>
            </w:tcBorders>
            <w:shd w:val="clear" w:color="auto" w:fill="auto"/>
            <w:noWrap/>
            <w:vAlign w:val="bottom"/>
            <w:hideMark/>
          </w:tcPr>
          <w:p w14:paraId="780CB708"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1AD6ACB0"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163</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701</w:t>
            </w:r>
          </w:p>
        </w:tc>
      </w:tr>
    </w:tbl>
    <w:p w14:paraId="2A9810F0" w14:textId="77777777" w:rsidR="00BD3831" w:rsidRPr="004B764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B7640">
        <w:rPr>
          <w:rFonts w:ascii="Arabic Typesetting" w:eastAsia="Arabic Typesetting" w:hAnsi="Arabic Typesetting" w:cs="Arabic Typesetting"/>
          <w:b/>
          <w:bCs/>
          <w:sz w:val="32"/>
          <w:szCs w:val="32"/>
          <w:rtl/>
          <w:lang w:eastAsia="ar-EG" w:bidi="ar-EG"/>
        </w:rPr>
        <w:lastRenderedPageBreak/>
        <w:t>البرازيل/الجنوب</w:t>
      </w:r>
    </w:p>
    <w:tbl>
      <w:tblPr>
        <w:bidiVisual/>
        <w:tblW w:w="5000" w:type="pct"/>
        <w:tblLook w:val="0000" w:firstRow="0" w:lastRow="0" w:firstColumn="0" w:lastColumn="0" w:noHBand="0" w:noVBand="0"/>
      </w:tblPr>
      <w:tblGrid>
        <w:gridCol w:w="1915"/>
        <w:gridCol w:w="1263"/>
        <w:gridCol w:w="2266"/>
        <w:gridCol w:w="4127"/>
      </w:tblGrid>
      <w:tr w:rsidR="00BD3831" w:rsidRPr="00CE1677" w14:paraId="5D35BB8B" w14:textId="77777777" w:rsidTr="00DF6715">
        <w:trPr>
          <w:cantSplit/>
          <w:trHeight w:val="315"/>
        </w:trPr>
        <w:tc>
          <w:tcPr>
            <w:tcW w:w="5000" w:type="pct"/>
            <w:gridSpan w:val="4"/>
            <w:shd w:val="clear" w:color="auto" w:fill="C6D9F1"/>
          </w:tcPr>
          <w:p w14:paraId="26CE8E4C"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ه2.3 كفاءات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‏معزَّزة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‏للموارد</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‏البشرية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‏القادرة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‏على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‏تلبية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‏تشكيلة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‏واسعة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‏من المتطلبات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‏لتسخير</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‏الملكية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‏الفكرية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‏بفعالية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‏لأغراض</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‏التنمية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‏في</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‏النامية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‏الأقل</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‏نموا</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‏المنتقلة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‏إلى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‏نظام الاقتصاد الحر</w:t>
            </w:r>
          </w:p>
        </w:tc>
      </w:tr>
      <w:tr w:rsidR="00BD3831" w:rsidRPr="00CE1677" w14:paraId="3FC29F19" w14:textId="77777777" w:rsidTr="00DF6715">
        <w:trPr>
          <w:cantSplit/>
          <w:trHeight w:val="402"/>
        </w:trPr>
        <w:tc>
          <w:tcPr>
            <w:tcW w:w="1000" w:type="pct"/>
            <w:vAlign w:val="center"/>
          </w:tcPr>
          <w:p w14:paraId="7168BDB4"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60" w:type="pct"/>
            <w:vAlign w:val="center"/>
          </w:tcPr>
          <w:p w14:paraId="5A42860B"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84" w:type="pct"/>
            <w:vAlign w:val="center"/>
          </w:tcPr>
          <w:p w14:paraId="451D4450"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155" w:type="pct"/>
            <w:vAlign w:val="center"/>
          </w:tcPr>
          <w:p w14:paraId="0ED2959F"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2DD89EE5" w14:textId="77777777" w:rsidTr="00DF6715">
        <w:trPr>
          <w:cantSplit/>
          <w:trHeight w:val="473"/>
        </w:trPr>
        <w:tc>
          <w:tcPr>
            <w:tcW w:w="1000" w:type="pct"/>
          </w:tcPr>
          <w:p w14:paraId="285E4D9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الندوة الإقليمية الخامسة عشرة بشأن الملكية الفكرية لفائدة القضاة والمدعين العامين في أمريكا اللاتينية</w:t>
            </w:r>
          </w:p>
        </w:tc>
        <w:tc>
          <w:tcPr>
            <w:tcW w:w="660" w:type="pct"/>
          </w:tcPr>
          <w:p w14:paraId="44D4371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23 إلى 25 مايو 2016</w:t>
            </w:r>
          </w:p>
        </w:tc>
        <w:tc>
          <w:tcPr>
            <w:tcW w:w="1184" w:type="pct"/>
          </w:tcPr>
          <w:p w14:paraId="1C52F40E" w14:textId="75E78E3A"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البرازيل/30 مشاركاً من شيلي وكولومبيا وكوستاريكا وكوبا والجمهورية الدومينيكية وإكوادور </w:t>
            </w:r>
            <w:r w:rsidR="00D02C02" w:rsidRPr="00CE1677">
              <w:rPr>
                <w:rFonts w:ascii="Arabic Typesetting" w:eastAsia="Arabic Typesetting" w:hAnsi="Arabic Typesetting" w:cs="Arabic Typesetting" w:hint="cs"/>
                <w:color w:val="000000"/>
                <w:sz w:val="28"/>
                <w:szCs w:val="28"/>
                <w:rtl/>
                <w:lang w:eastAsia="ar-EG" w:bidi="ar-EG"/>
              </w:rPr>
              <w:t>والسلفادو</w:t>
            </w:r>
            <w:r w:rsidR="00D02C02" w:rsidRPr="00CE1677">
              <w:rPr>
                <w:rFonts w:ascii="Arabic Typesetting" w:eastAsia="Arabic Typesetting" w:hAnsi="Arabic Typesetting" w:cs="Arabic Typesetting" w:hint="eastAsia"/>
                <w:color w:val="000000"/>
                <w:sz w:val="28"/>
                <w:szCs w:val="28"/>
                <w:rtl/>
                <w:lang w:eastAsia="ar-EG" w:bidi="ar-EG"/>
              </w:rPr>
              <w:t>ر</w:t>
            </w:r>
            <w:r w:rsidRPr="00CE1677">
              <w:rPr>
                <w:rFonts w:ascii="Arabic Typesetting" w:eastAsia="Arabic Typesetting" w:hAnsi="Arabic Typesetting" w:cs="Arabic Typesetting"/>
                <w:color w:val="000000"/>
                <w:sz w:val="28"/>
                <w:szCs w:val="28"/>
                <w:rtl/>
                <w:lang w:eastAsia="ar-EG" w:bidi="ar-EG"/>
              </w:rPr>
              <w:t xml:space="preserve"> وغواتيمالا وهندوراس والمكسيك ونيكاراغوا وبنما وباراغواي وبيرو</w:t>
            </w:r>
          </w:p>
        </w:tc>
        <w:tc>
          <w:tcPr>
            <w:tcW w:w="2155" w:type="pct"/>
          </w:tcPr>
          <w:p w14:paraId="3569907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تعزيز تبادل الخبرات بين ممثلي المؤسسات القضائية ومكاتب المدعين العامين في أمريكا اللاتينية؛ "2" وتيسير الاتفاقات لإنشاء شبكات قطاعية تضمن استمرار علاقات العمل بين المؤسسات في القطاع القضائي.</w:t>
            </w:r>
          </w:p>
        </w:tc>
      </w:tr>
      <w:tr w:rsidR="00BD3831" w:rsidRPr="00CE1677" w14:paraId="19EBC81C" w14:textId="77777777" w:rsidTr="00DF6715">
        <w:trPr>
          <w:cantSplit/>
          <w:trHeight w:val="473"/>
        </w:trPr>
        <w:tc>
          <w:tcPr>
            <w:tcW w:w="1000" w:type="pct"/>
          </w:tcPr>
          <w:p w14:paraId="6A54735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العمل الإقليمية الرابعة والثلاثون بشأن مكاتب الملكية الصناعية في أمريكا</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اللاتينية</w:t>
            </w:r>
          </w:p>
        </w:tc>
        <w:tc>
          <w:tcPr>
            <w:tcW w:w="660" w:type="pct"/>
          </w:tcPr>
          <w:p w14:paraId="44DA64C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4 إلى 8 يوليو 2016</w:t>
            </w:r>
          </w:p>
        </w:tc>
        <w:tc>
          <w:tcPr>
            <w:tcW w:w="1184" w:type="pct"/>
          </w:tcPr>
          <w:p w14:paraId="0959877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البرازيل/ 20 مشاركاً من الأرجنتين والبرازيل وشيلي وكوستاريكا وكوبا والجمهورية الدومينيكية وإكوادور والسلفادور وهندوراس والمكسيك ونيكاراغوا وبنما وباراغواي وبيرو وأوروغواي</w:t>
            </w:r>
          </w:p>
        </w:tc>
        <w:tc>
          <w:tcPr>
            <w:tcW w:w="2155" w:type="pct"/>
          </w:tcPr>
          <w:p w14:paraId="4AAE4076" w14:textId="77777777" w:rsidR="00BD3831" w:rsidRPr="00CE1677" w:rsidDel="00B80D1A"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النهوض بتبادل الخبرات فيما بين موظفي مكاتب الملكية الفكرية الوطنية حول </w:t>
            </w:r>
            <w:r>
              <w:rPr>
                <w:rFonts w:ascii="Arabic Typesetting" w:eastAsia="Arabic Typesetting" w:hAnsi="Arabic Typesetting" w:cs="Arabic Typesetting"/>
                <w:sz w:val="28"/>
                <w:szCs w:val="28"/>
                <w:rtl/>
                <w:lang w:eastAsia="ar-EG" w:bidi="ar-EG"/>
              </w:rPr>
              <w:t>موضوعات محددة، مع التركيز</w:t>
            </w:r>
            <w:r w:rsidRPr="00CE1677">
              <w:rPr>
                <w:rFonts w:ascii="Arabic Typesetting" w:eastAsia="Arabic Typesetting" w:hAnsi="Arabic Typesetting" w:cs="Arabic Typesetting"/>
                <w:sz w:val="28"/>
                <w:szCs w:val="28"/>
                <w:rtl/>
                <w:lang w:eastAsia="ar-EG" w:bidi="ar-EG"/>
              </w:rPr>
              <w:t xml:space="preserve"> على التعاون الدولي في </w:t>
            </w:r>
            <w:r>
              <w:rPr>
                <w:rFonts w:ascii="Arabic Typesetting" w:eastAsia="Arabic Typesetting" w:hAnsi="Arabic Typesetting" w:cs="Arabic Typesetting"/>
                <w:sz w:val="28"/>
                <w:szCs w:val="28"/>
                <w:rtl/>
                <w:lang w:eastAsia="ar-EG" w:bidi="ar-EG"/>
              </w:rPr>
              <w:t>مجال الملكية الفكرية.</w:t>
            </w:r>
            <w:r w:rsidRPr="00CE1677">
              <w:rPr>
                <w:rFonts w:ascii="Arabic Typesetting" w:eastAsia="Arabic Typesetting" w:hAnsi="Arabic Typesetting" w:cs="Arabic Typesetting"/>
                <w:sz w:val="28"/>
                <w:szCs w:val="28"/>
                <w:rtl/>
                <w:lang w:eastAsia="ar-EG" w:bidi="ar-EG"/>
              </w:rPr>
              <w:t xml:space="preserve"> </w:t>
            </w:r>
            <w:r w:rsidRPr="00CE1677">
              <w:rPr>
                <w:rFonts w:ascii="Arabic Typesetting" w:eastAsia="Arabic Typesetting" w:hAnsi="Arabic Typesetting" w:cs="Arabic Typesetting"/>
                <w:color w:val="000000"/>
                <w:sz w:val="28"/>
                <w:szCs w:val="28"/>
                <w:rtl/>
                <w:lang w:eastAsia="ar-EG" w:bidi="ar-EG"/>
              </w:rPr>
              <w:t>وركزت هذه النسخة على وضع آليات تعاون بين مكاتب الملكية الفكرية فيما يخص إدارة مسار فحص العلامات التجارية وتسميات المنشأ</w:t>
            </w:r>
            <w:r>
              <w:rPr>
                <w:rFonts w:ascii="Arabic Typesetting" w:eastAsia="Arabic Typesetting" w:hAnsi="Arabic Typesetting" w:cs="Arabic Typesetting" w:hint="cs"/>
                <w:color w:val="000000"/>
                <w:sz w:val="28"/>
                <w:szCs w:val="28"/>
                <w:rtl/>
                <w:lang w:eastAsia="ar-EG" w:bidi="ar-EG"/>
              </w:rPr>
              <w:t>.</w:t>
            </w:r>
          </w:p>
        </w:tc>
      </w:tr>
      <w:tr w:rsidR="00BD3831" w:rsidRPr="00CE1677" w14:paraId="20DD9952" w14:textId="77777777" w:rsidTr="00DF6715">
        <w:trPr>
          <w:cantSplit/>
          <w:trHeight w:val="473"/>
        </w:trPr>
        <w:tc>
          <w:tcPr>
            <w:tcW w:w="1000" w:type="pct"/>
          </w:tcPr>
          <w:p w14:paraId="05689A7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الندوة الدولية الثالثة بشأن المؤشرات الجغرا</w:t>
            </w:r>
            <w:r>
              <w:rPr>
                <w:rFonts w:ascii="Arabic Typesetting" w:eastAsia="Arabic Typesetting" w:hAnsi="Arabic Typesetting" w:cs="Arabic Typesetting"/>
                <w:color w:val="000000"/>
                <w:sz w:val="28"/>
                <w:szCs w:val="28"/>
                <w:rtl/>
                <w:lang w:eastAsia="ar-EG" w:bidi="ar-EG"/>
              </w:rPr>
              <w:t>فية والعلامات التجارية الجماعية</w:t>
            </w:r>
          </w:p>
        </w:tc>
        <w:tc>
          <w:tcPr>
            <w:tcW w:w="660" w:type="pct"/>
          </w:tcPr>
          <w:p w14:paraId="18FA74D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31 أغسطس إلى 2 سبتمبر 2016</w:t>
            </w:r>
          </w:p>
        </w:tc>
        <w:tc>
          <w:tcPr>
            <w:tcW w:w="1184" w:type="pct"/>
          </w:tcPr>
          <w:p w14:paraId="5B620D8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البرازيل/ 200 </w:t>
            </w:r>
            <w:r>
              <w:rPr>
                <w:rFonts w:ascii="Arabic Typesetting" w:eastAsia="Arabic Typesetting" w:hAnsi="Arabic Typesetting" w:cs="Arabic Typesetting"/>
                <w:color w:val="000000"/>
                <w:sz w:val="28"/>
                <w:szCs w:val="28"/>
                <w:rtl/>
                <w:lang w:eastAsia="ar-EG" w:bidi="ar-EG"/>
              </w:rPr>
              <w:t>مشارك من هندوراس والمكسيك وبيرو</w:t>
            </w:r>
          </w:p>
        </w:tc>
        <w:tc>
          <w:tcPr>
            <w:tcW w:w="2155" w:type="pct"/>
          </w:tcPr>
          <w:p w14:paraId="5BAD428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تعزيز الحوار بشأن المكاسب الاقتصادية والاجتماعية التي يمكن أن تقدمها المؤشرات الجغرافية والعلامات التجارية الجماعية إلى التنمية الوطنية ككل</w:t>
            </w:r>
          </w:p>
        </w:tc>
      </w:tr>
      <w:tr w:rsidR="00BD3831" w:rsidRPr="00CE1677" w14:paraId="22B9A407" w14:textId="77777777" w:rsidTr="00DF6715">
        <w:trPr>
          <w:cantSplit/>
          <w:trHeight w:val="473"/>
        </w:trPr>
        <w:tc>
          <w:tcPr>
            <w:tcW w:w="1000" w:type="pct"/>
          </w:tcPr>
          <w:p w14:paraId="704FB0A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العمل الإقليمية الرابعة بشأن ا</w:t>
            </w:r>
            <w:r>
              <w:rPr>
                <w:rFonts w:ascii="Arabic Typesetting" w:eastAsia="Arabic Typesetting" w:hAnsi="Arabic Typesetting" w:cs="Arabic Typesetting"/>
                <w:color w:val="000000"/>
                <w:sz w:val="28"/>
                <w:szCs w:val="28"/>
                <w:rtl/>
                <w:lang w:eastAsia="ar-EG" w:bidi="ar-EG"/>
              </w:rPr>
              <w:t>لملكية الفكرية ونقل التكنولوجيا</w:t>
            </w:r>
          </w:p>
        </w:tc>
        <w:tc>
          <w:tcPr>
            <w:tcW w:w="660" w:type="pct"/>
          </w:tcPr>
          <w:p w14:paraId="3C3A17D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7 إلى 9 سبتمبر 2016</w:t>
            </w:r>
          </w:p>
        </w:tc>
        <w:tc>
          <w:tcPr>
            <w:tcW w:w="1184" w:type="pct"/>
          </w:tcPr>
          <w:p w14:paraId="1BB287E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السلفادور/ 40 مشاركاً من كولومبيا وكوستاريكا وإكوادور وغواتيمالا والمكسيك</w:t>
            </w:r>
          </w:p>
        </w:tc>
        <w:tc>
          <w:tcPr>
            <w:tcW w:w="2155" w:type="pct"/>
          </w:tcPr>
          <w:p w14:paraId="2B13694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النهوض بوضع اتفاقات وشراكات لنقل التكنولوجيا بين المؤسسات الأكاديمية وقطاع الصناعة؛ "2" وعرض الجوانب والتجارب الملية المتعلقة بالتفاوض على اتفاقات التكنولوجيا</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ووضعها</w:t>
            </w:r>
          </w:p>
        </w:tc>
      </w:tr>
      <w:tr w:rsidR="00BD3831" w:rsidRPr="00CE1677" w14:paraId="425368E5" w14:textId="77777777" w:rsidTr="00DF6715">
        <w:trPr>
          <w:cantSplit/>
          <w:trHeight w:val="473"/>
        </w:trPr>
        <w:tc>
          <w:tcPr>
            <w:tcW w:w="1000" w:type="pct"/>
          </w:tcPr>
          <w:p w14:paraId="46D669F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اجتماع إنابيد ال</w:t>
            </w:r>
            <w:r>
              <w:rPr>
                <w:rFonts w:ascii="Arabic Typesetting" w:eastAsia="Arabic Typesetting" w:hAnsi="Arabic Typesetting" w:cs="Arabic Typesetting" w:hint="cs"/>
                <w:color w:val="000000"/>
                <w:sz w:val="28"/>
                <w:szCs w:val="28"/>
                <w:rtl/>
                <w:lang w:eastAsia="ar-EG" w:bidi="ar-EG"/>
              </w:rPr>
              <w:t>أ</w:t>
            </w:r>
            <w:r w:rsidRPr="00CE1677">
              <w:rPr>
                <w:rFonts w:ascii="Arabic Typesetting" w:eastAsia="Arabic Typesetting" w:hAnsi="Arabic Typesetting" w:cs="Arabic Typesetting"/>
                <w:color w:val="000000"/>
                <w:sz w:val="28"/>
                <w:szCs w:val="28"/>
                <w:rtl/>
                <w:lang w:eastAsia="ar-EG" w:bidi="ar-EG"/>
              </w:rPr>
              <w:t>كاديمي التاسع بشأن الملكية الفكرية والابتكار والتنمية والندوة الدولية لأكاديميات الملكية الفكرية في ب</w:t>
            </w:r>
            <w:r>
              <w:rPr>
                <w:rFonts w:ascii="Arabic Typesetting" w:eastAsia="Arabic Typesetting" w:hAnsi="Arabic Typesetting" w:cs="Arabic Typesetting"/>
                <w:color w:val="000000"/>
                <w:sz w:val="28"/>
                <w:szCs w:val="28"/>
                <w:rtl/>
                <w:lang w:eastAsia="ar-EG" w:bidi="ar-EG"/>
              </w:rPr>
              <w:t>لدان أمريكا اللاتينية والكاريبي</w:t>
            </w:r>
          </w:p>
        </w:tc>
        <w:tc>
          <w:tcPr>
            <w:tcW w:w="660" w:type="pct"/>
          </w:tcPr>
          <w:p w14:paraId="2AAC4F9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23 إلى 25 نوفمبر 2016</w:t>
            </w:r>
          </w:p>
        </w:tc>
        <w:tc>
          <w:tcPr>
            <w:tcW w:w="1184" w:type="pct"/>
          </w:tcPr>
          <w:p w14:paraId="2F7667C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البرازيل/ 250 مشاركاً من الأرجنتين وشيلي وكولومبيا وكوستاريكا وكوبا وإكوادور والجمهورية الدومينيكية والسلفادور وغواتيمالا والمكسيك ونيكاراغوا وباراغواي وبيرو وأوروغواي وفنزويلا</w:t>
            </w:r>
          </w:p>
        </w:tc>
        <w:tc>
          <w:tcPr>
            <w:tcW w:w="2155" w:type="pct"/>
          </w:tcPr>
          <w:p w14:paraId="6C77931B" w14:textId="77777777" w:rsidR="00BD3831" w:rsidRPr="00CE1677" w:rsidDel="00B80D1A"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توفير منتدى لمؤسسات البحث والصناعة والحكومة لتحليل الابتكار المفتوح بما في ذلك قضايا مثل البحث والتطوير وتقديم خدمات وترخيص حقوق الملكية الفكرية ونقل </w:t>
            </w:r>
            <w:r>
              <w:rPr>
                <w:rFonts w:ascii="Arabic Typesetting" w:eastAsia="Arabic Typesetting" w:hAnsi="Arabic Typesetting" w:cs="Arabic Typesetting"/>
                <w:color w:val="000000"/>
                <w:sz w:val="28"/>
                <w:szCs w:val="28"/>
                <w:rtl/>
                <w:lang w:eastAsia="ar-EG" w:bidi="ar-EG"/>
              </w:rPr>
              <w:t xml:space="preserve">التكنولوجيا. </w:t>
            </w:r>
            <w:r w:rsidRPr="00CE1677">
              <w:rPr>
                <w:rFonts w:ascii="Arabic Typesetting" w:eastAsia="Arabic Typesetting" w:hAnsi="Arabic Typesetting" w:cs="Arabic Typesetting"/>
                <w:color w:val="000000"/>
                <w:sz w:val="28"/>
                <w:szCs w:val="28"/>
                <w:rtl/>
                <w:lang w:eastAsia="ar-EG" w:bidi="ar-EG"/>
              </w:rPr>
              <w:t>وشمل اليوم الأخير مناقشة بين بلدان أمريكا اللاتينية بشأن التحديات والفرص التي تواجه أكاديميات الملكية الفكرية في</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المنطقة.</w:t>
            </w:r>
          </w:p>
        </w:tc>
      </w:tr>
    </w:tbl>
    <w:p w14:paraId="14EBFD39" w14:textId="77777777" w:rsidR="00BD3831" w:rsidRPr="004B764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B7640">
        <w:rPr>
          <w:rFonts w:ascii="Arabic Typesetting" w:eastAsia="Arabic Typesetting" w:hAnsi="Arabic Typesetting" w:cs="Arabic Typesetting"/>
          <w:b/>
          <w:bCs/>
          <w:sz w:val="32"/>
          <w:szCs w:val="32"/>
          <w:rtl/>
          <w:lang w:eastAsia="ar-EG" w:bidi="ar-EG"/>
        </w:rPr>
        <w:t>البرازيل/الجنوب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72825908" w14:textId="77777777" w:rsidTr="00DF6715">
        <w:trPr>
          <w:trHeight w:val="544"/>
        </w:trPr>
        <w:tc>
          <w:tcPr>
            <w:tcW w:w="1000" w:type="pct"/>
            <w:tcBorders>
              <w:top w:val="nil"/>
              <w:left w:val="nil"/>
              <w:bottom w:val="nil"/>
              <w:right w:val="nil"/>
            </w:tcBorders>
            <w:shd w:val="clear" w:color="000000" w:fill="C5D9F1"/>
            <w:vAlign w:val="center"/>
            <w:hideMark/>
          </w:tcPr>
          <w:p w14:paraId="3C5E39FE"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05E3874A"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04C9D65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4E305A69"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30095EB0"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597784C7" w14:textId="77777777" w:rsidTr="00DF6715">
        <w:trPr>
          <w:trHeight w:val="356"/>
        </w:trPr>
        <w:tc>
          <w:tcPr>
            <w:tcW w:w="1000" w:type="pct"/>
            <w:tcBorders>
              <w:top w:val="nil"/>
              <w:left w:val="nil"/>
              <w:bottom w:val="nil"/>
              <w:right w:val="nil"/>
            </w:tcBorders>
            <w:shd w:val="clear" w:color="auto" w:fill="auto"/>
            <w:noWrap/>
            <w:vAlign w:val="bottom"/>
            <w:hideMark/>
          </w:tcPr>
          <w:p w14:paraId="0D9E729C"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238</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315</w:t>
            </w:r>
          </w:p>
        </w:tc>
        <w:tc>
          <w:tcPr>
            <w:tcW w:w="1000" w:type="pct"/>
            <w:tcBorders>
              <w:top w:val="nil"/>
              <w:left w:val="nil"/>
              <w:bottom w:val="nil"/>
              <w:right w:val="nil"/>
            </w:tcBorders>
            <w:shd w:val="clear" w:color="auto" w:fill="auto"/>
            <w:noWrap/>
            <w:vAlign w:val="bottom"/>
            <w:hideMark/>
          </w:tcPr>
          <w:p w14:paraId="129F70F7"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09BD603E"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128</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072</w:t>
            </w:r>
          </w:p>
        </w:tc>
        <w:tc>
          <w:tcPr>
            <w:tcW w:w="1000" w:type="pct"/>
            <w:tcBorders>
              <w:top w:val="nil"/>
              <w:left w:val="nil"/>
              <w:bottom w:val="nil"/>
              <w:right w:val="nil"/>
            </w:tcBorders>
            <w:shd w:val="clear" w:color="auto" w:fill="auto"/>
            <w:noWrap/>
            <w:vAlign w:val="bottom"/>
            <w:hideMark/>
          </w:tcPr>
          <w:p w14:paraId="4121D9F4"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4AB33EA8"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110</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242</w:t>
            </w:r>
          </w:p>
        </w:tc>
      </w:tr>
    </w:tbl>
    <w:p w14:paraId="592DA6A6" w14:textId="77777777" w:rsidR="00BD3831" w:rsidRPr="004B764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B7640">
        <w:rPr>
          <w:rFonts w:ascii="Arabic Typesetting" w:eastAsia="Arabic Typesetting" w:hAnsi="Arabic Typesetting" w:cs="Arabic Typesetting"/>
          <w:b/>
          <w:bCs/>
          <w:sz w:val="32"/>
          <w:szCs w:val="32"/>
          <w:rtl/>
          <w:lang w:eastAsia="ar-EG" w:bidi="ar-EG"/>
        </w:rPr>
        <w:t>الصين/مكتب الدولة للملكية الفكرية</w:t>
      </w:r>
    </w:p>
    <w:tbl>
      <w:tblPr>
        <w:bidiVisual/>
        <w:tblW w:w="5000" w:type="pct"/>
        <w:tblLook w:val="04A0" w:firstRow="1" w:lastRow="0" w:firstColumn="1" w:lastColumn="0" w:noHBand="0" w:noVBand="1"/>
      </w:tblPr>
      <w:tblGrid>
        <w:gridCol w:w="2088"/>
        <w:gridCol w:w="1277"/>
        <w:gridCol w:w="2408"/>
        <w:gridCol w:w="3798"/>
      </w:tblGrid>
      <w:tr w:rsidR="00BD3831" w:rsidRPr="00CE1677" w14:paraId="272C5E0F" w14:textId="77777777" w:rsidTr="00DF6715">
        <w:trPr>
          <w:cantSplit/>
          <w:trHeight w:val="315"/>
        </w:trPr>
        <w:tc>
          <w:tcPr>
            <w:tcW w:w="5000" w:type="pct"/>
            <w:gridSpan w:val="4"/>
            <w:shd w:val="clear" w:color="auto" w:fill="C6D9F1"/>
            <w:hideMark/>
          </w:tcPr>
          <w:p w14:paraId="475F1EC6" w14:textId="4703963C"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Pr>
                <w:rFonts w:ascii="Arabic Typesetting" w:eastAsia="Arabic Typesetting" w:hAnsi="Arabic Typesetting" w:cs="Arabic Typesetting" w:hint="cs"/>
                <w:sz w:val="28"/>
                <w:szCs w:val="28"/>
                <w:rtl/>
                <w:lang w:eastAsia="ar-EG" w:bidi="ar-EG"/>
              </w:rPr>
              <w:t xml:space="preserve">ه1.1 </w:t>
            </w:r>
            <w:r w:rsidR="009834BA">
              <w:rPr>
                <w:rFonts w:ascii="Arabic Typesetting" w:eastAsia="Arabic Typesetting" w:hAnsi="Arabic Typesetting" w:cs="Arabic Typesetting"/>
                <w:sz w:val="28"/>
                <w:szCs w:val="28"/>
                <w:rtl/>
                <w:lang w:eastAsia="ar-EG" w:bidi="ar-EG"/>
              </w:rPr>
              <w:t>تعاون معزز بين الدول الأعضاء في وضع أطر تقنينية دولية متوازنة في مجال الملكية الفكرية</w:t>
            </w:r>
          </w:p>
        </w:tc>
      </w:tr>
      <w:tr w:rsidR="00BD3831" w:rsidRPr="00CE1677" w14:paraId="20F9664A" w14:textId="77777777" w:rsidTr="00DF6715">
        <w:trPr>
          <w:cantSplit/>
          <w:trHeight w:val="473"/>
        </w:trPr>
        <w:tc>
          <w:tcPr>
            <w:tcW w:w="1091" w:type="pct"/>
            <w:vAlign w:val="center"/>
            <w:hideMark/>
          </w:tcPr>
          <w:p w14:paraId="6C212DE7"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67" w:type="pct"/>
            <w:vAlign w:val="center"/>
            <w:hideMark/>
          </w:tcPr>
          <w:p w14:paraId="4FEAE98F"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258" w:type="pct"/>
            <w:vAlign w:val="center"/>
            <w:hideMark/>
          </w:tcPr>
          <w:p w14:paraId="020EE97F"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1984" w:type="pct"/>
            <w:vAlign w:val="center"/>
            <w:hideMark/>
          </w:tcPr>
          <w:p w14:paraId="112058C0"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6B6C7DA4" w14:textId="77777777" w:rsidTr="00DF6715">
        <w:trPr>
          <w:cantSplit/>
          <w:trHeight w:val="473"/>
        </w:trPr>
        <w:tc>
          <w:tcPr>
            <w:tcW w:w="1091" w:type="pct"/>
          </w:tcPr>
          <w:p w14:paraId="1AD5F9A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تنظيم المؤتمر الرفيع المستوى المعني بالملكية الفكرية للبلدان الواقعة في منطقة طريق الحرير والحزام الاقتصادي </w:t>
            </w:r>
          </w:p>
        </w:tc>
        <w:tc>
          <w:tcPr>
            <w:tcW w:w="667" w:type="pct"/>
          </w:tcPr>
          <w:p w14:paraId="1DD659A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21 إلى 22 يوليو 2016</w:t>
            </w:r>
          </w:p>
        </w:tc>
        <w:tc>
          <w:tcPr>
            <w:tcW w:w="1258" w:type="pct"/>
          </w:tcPr>
          <w:p w14:paraId="433B009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الصين/ (أكثر من 50 مشاركاً دولياً)</w:t>
            </w:r>
          </w:p>
        </w:tc>
        <w:tc>
          <w:tcPr>
            <w:tcW w:w="1984" w:type="pct"/>
          </w:tcPr>
          <w:p w14:paraId="49916F6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توفير منتدى رفيع المستوى للحوار بين واضعي السياسات وممثلي القطاع الخاص والأكاديميين للبحث عن فرص جديدة لتعزيز الابتكار والتنمية الاقتصادية والاجتماعية عن طريق التعاون الإقليمي في مجال الملكية الفكرية.</w:t>
            </w:r>
          </w:p>
        </w:tc>
      </w:tr>
    </w:tbl>
    <w:p w14:paraId="3C1CDCA3" w14:textId="77777777" w:rsidR="00BD3831" w:rsidRPr="004B7640" w:rsidRDefault="00BD3831" w:rsidP="0031289D">
      <w:pPr>
        <w:keepNext/>
        <w:bidi/>
        <w:spacing w:before="120" w:after="120" w:line="280" w:lineRule="exact"/>
        <w:rPr>
          <w:rFonts w:ascii="Arabic Typesetting" w:eastAsia="Arabic Typesetting" w:hAnsi="Arabic Typesetting" w:cs="Arabic Typesetting"/>
          <w:b/>
          <w:bCs/>
          <w:sz w:val="32"/>
          <w:szCs w:val="32"/>
          <w:lang w:eastAsia="ar-EG" w:bidi="ar-EG"/>
        </w:rPr>
      </w:pPr>
      <w:r w:rsidRPr="004B7640">
        <w:rPr>
          <w:rFonts w:ascii="Arabic Typesetting" w:eastAsia="Arabic Typesetting" w:hAnsi="Arabic Typesetting" w:cs="Arabic Typesetting"/>
          <w:b/>
          <w:bCs/>
          <w:sz w:val="32"/>
          <w:szCs w:val="32"/>
          <w:rtl/>
          <w:lang w:eastAsia="ar-EG" w:bidi="ar-EG"/>
        </w:rPr>
        <w:lastRenderedPageBreak/>
        <w:t>الصين/مكتب الدولة للملكية الفكرية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1AF8BB55" w14:textId="77777777" w:rsidTr="00DF6715">
        <w:trPr>
          <w:trHeight w:val="544"/>
        </w:trPr>
        <w:tc>
          <w:tcPr>
            <w:tcW w:w="1000" w:type="pct"/>
            <w:tcBorders>
              <w:top w:val="nil"/>
              <w:left w:val="nil"/>
              <w:bottom w:val="nil"/>
              <w:right w:val="nil"/>
            </w:tcBorders>
            <w:shd w:val="clear" w:color="000000" w:fill="C5D9F1"/>
            <w:vAlign w:val="center"/>
            <w:hideMark/>
          </w:tcPr>
          <w:p w14:paraId="3A492DF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2474FA8E"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36BCD84D"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05C2DD17"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1FA86A0A"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3089C4CD" w14:textId="77777777" w:rsidTr="00DF6715">
        <w:trPr>
          <w:trHeight w:val="356"/>
        </w:trPr>
        <w:tc>
          <w:tcPr>
            <w:tcW w:w="1000" w:type="pct"/>
            <w:tcBorders>
              <w:top w:val="nil"/>
              <w:left w:val="nil"/>
              <w:bottom w:val="nil"/>
              <w:right w:val="nil"/>
            </w:tcBorders>
            <w:shd w:val="clear" w:color="auto" w:fill="auto"/>
            <w:noWrap/>
            <w:vAlign w:val="bottom"/>
            <w:hideMark/>
          </w:tcPr>
          <w:p w14:paraId="53375A1C"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0D88C0C9"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327</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817</w:t>
            </w:r>
          </w:p>
        </w:tc>
        <w:tc>
          <w:tcPr>
            <w:tcW w:w="1000" w:type="pct"/>
            <w:tcBorders>
              <w:top w:val="nil"/>
              <w:left w:val="nil"/>
              <w:bottom w:val="nil"/>
              <w:right w:val="nil"/>
            </w:tcBorders>
            <w:shd w:val="clear" w:color="auto" w:fill="auto"/>
            <w:noWrap/>
            <w:vAlign w:val="bottom"/>
            <w:hideMark/>
          </w:tcPr>
          <w:p w14:paraId="5258A5FA"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226</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481</w:t>
            </w:r>
          </w:p>
        </w:tc>
        <w:tc>
          <w:tcPr>
            <w:tcW w:w="1000" w:type="pct"/>
            <w:tcBorders>
              <w:top w:val="nil"/>
              <w:left w:val="nil"/>
              <w:bottom w:val="nil"/>
              <w:right w:val="nil"/>
            </w:tcBorders>
            <w:shd w:val="clear" w:color="auto" w:fill="auto"/>
            <w:noWrap/>
            <w:vAlign w:val="bottom"/>
            <w:hideMark/>
          </w:tcPr>
          <w:p w14:paraId="2DE4422F"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28CBE12A"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101</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336</w:t>
            </w:r>
          </w:p>
        </w:tc>
      </w:tr>
    </w:tbl>
    <w:p w14:paraId="304FBD52" w14:textId="77777777" w:rsidR="00BD3831" w:rsidRPr="004B764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Pr>
          <w:rFonts w:ascii="Arabic Typesetting" w:eastAsia="Arabic Typesetting" w:hAnsi="Arabic Typesetting" w:cs="Arabic Typesetting"/>
          <w:b/>
          <w:bCs/>
          <w:sz w:val="32"/>
          <w:szCs w:val="32"/>
          <w:rtl/>
          <w:lang w:eastAsia="ar-EG" w:bidi="ar-EG"/>
        </w:rPr>
        <w:t>فنلندا /حقوق المؤلف</w:t>
      </w:r>
    </w:p>
    <w:tbl>
      <w:tblPr>
        <w:bidiVisual/>
        <w:tblW w:w="5000" w:type="pct"/>
        <w:tblLook w:val="0000" w:firstRow="0" w:lastRow="0" w:firstColumn="0" w:lastColumn="0" w:noHBand="0" w:noVBand="0"/>
      </w:tblPr>
      <w:tblGrid>
        <w:gridCol w:w="1971"/>
        <w:gridCol w:w="1248"/>
        <w:gridCol w:w="2129"/>
        <w:gridCol w:w="4223"/>
      </w:tblGrid>
      <w:tr w:rsidR="00BD3831" w:rsidRPr="00CE1677" w14:paraId="7E8EAECE" w14:textId="77777777" w:rsidTr="00DF6715">
        <w:tc>
          <w:tcPr>
            <w:tcW w:w="5000" w:type="pct"/>
            <w:gridSpan w:val="4"/>
            <w:shd w:val="clear" w:color="auto" w:fill="C6D9F1"/>
            <w:vAlign w:val="center"/>
          </w:tcPr>
          <w:p w14:paraId="7E1ECC40"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color w:val="000000"/>
                <w:sz w:val="28"/>
                <w:szCs w:val="28"/>
                <w:rtl/>
                <w:lang w:eastAsia="ar-EG" w:bidi="ar-EG"/>
              </w:rPr>
              <w:t>ه2.3 كفاءات</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‏معزَّزة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‏للموارد</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‏البشرية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‏القادرة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‏على</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‏تلبية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‏تشكيلة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‏واسعة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‏من المتطلبات</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‏لتسخير</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‏الملكية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‏الفكرية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‏بفعالية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‏لأغراض</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‏التنمية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‏في</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‏النامية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‏الأقل</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‏نموا</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‏المنتقلة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‏إلى</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‏نظام الاقتصاد الحر</w:t>
            </w:r>
          </w:p>
        </w:tc>
      </w:tr>
      <w:tr w:rsidR="00BD3831" w:rsidRPr="00CE1677" w14:paraId="4142463B" w14:textId="77777777" w:rsidTr="00DF6715">
        <w:tc>
          <w:tcPr>
            <w:tcW w:w="1030" w:type="pct"/>
            <w:vAlign w:val="center"/>
          </w:tcPr>
          <w:p w14:paraId="42D502E8"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52" w:type="pct"/>
            <w:shd w:val="clear" w:color="auto" w:fill="auto"/>
            <w:tcMar>
              <w:top w:w="110" w:type="dxa"/>
            </w:tcMar>
            <w:vAlign w:val="center"/>
          </w:tcPr>
          <w:p w14:paraId="00DD51AE"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12" w:type="pct"/>
            <w:shd w:val="clear" w:color="auto" w:fill="auto"/>
            <w:tcMar>
              <w:top w:w="110" w:type="dxa"/>
            </w:tcMar>
            <w:vAlign w:val="center"/>
          </w:tcPr>
          <w:p w14:paraId="45933A0E"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206" w:type="pct"/>
            <w:shd w:val="clear" w:color="auto" w:fill="FFFFFF"/>
            <w:tcMar>
              <w:top w:w="110" w:type="dxa"/>
            </w:tcMar>
            <w:vAlign w:val="center"/>
          </w:tcPr>
          <w:p w14:paraId="3C270D9E"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354921FE" w14:textId="77777777" w:rsidTr="00DF6715">
        <w:tblPrEx>
          <w:tblLook w:val="04A0" w:firstRow="1" w:lastRow="0" w:firstColumn="1" w:lastColumn="0" w:noHBand="0" w:noVBand="1"/>
        </w:tblPrEx>
        <w:trPr>
          <w:trHeight w:val="473"/>
        </w:trPr>
        <w:tc>
          <w:tcPr>
            <w:tcW w:w="1030" w:type="pct"/>
          </w:tcPr>
          <w:p w14:paraId="268D2B7D"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وضع مبادئ توجيهية لتقييم الأثر الاقتصادي والاجتماعي والثقافي لحق المؤلف في الصناعات الإبداعية</w:t>
            </w:r>
          </w:p>
        </w:tc>
        <w:tc>
          <w:tcPr>
            <w:tcW w:w="652" w:type="pct"/>
          </w:tcPr>
          <w:p w14:paraId="10CA1D06"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مارس 2016</w:t>
            </w:r>
          </w:p>
        </w:tc>
        <w:tc>
          <w:tcPr>
            <w:tcW w:w="1112" w:type="pct"/>
          </w:tcPr>
          <w:p w14:paraId="34C83504"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فنلندا</w:t>
            </w:r>
          </w:p>
        </w:tc>
        <w:tc>
          <w:tcPr>
            <w:tcW w:w="2206" w:type="pct"/>
          </w:tcPr>
          <w:p w14:paraId="7FA69904"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مساهمة الخبراء في المرحلة الرائدة من المشروع الخاص بتقييم الأثر الاقتصادي والاجتماعي والثقافي لحق المؤلف في الصناعات الإبداعية في فنلندا لاختبار تطبيق المبادئ التوجيهية في فنلندا</w:t>
            </w:r>
          </w:p>
        </w:tc>
      </w:tr>
    </w:tbl>
    <w:p w14:paraId="51A9EAB5" w14:textId="77777777" w:rsidR="00BD3831" w:rsidRPr="004B764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B7640">
        <w:rPr>
          <w:rFonts w:ascii="Arabic Typesetting" w:eastAsia="Arabic Typesetting" w:hAnsi="Arabic Typesetting" w:cs="Arabic Typesetting"/>
          <w:b/>
          <w:bCs/>
          <w:sz w:val="32"/>
          <w:szCs w:val="32"/>
          <w:rtl/>
          <w:lang w:eastAsia="ar-EG" w:bidi="ar-EG"/>
        </w:rPr>
        <w:t>مساهمات المانحين والنفقات في فنلندا /حقوق المؤلف في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767381B1" w14:textId="77777777" w:rsidTr="00DF6715">
        <w:trPr>
          <w:trHeight w:val="544"/>
        </w:trPr>
        <w:tc>
          <w:tcPr>
            <w:tcW w:w="1000" w:type="pct"/>
            <w:tcBorders>
              <w:top w:val="nil"/>
              <w:left w:val="nil"/>
              <w:bottom w:val="nil"/>
              <w:right w:val="nil"/>
            </w:tcBorders>
            <w:shd w:val="clear" w:color="000000" w:fill="C5D9F1"/>
            <w:vAlign w:val="center"/>
            <w:hideMark/>
          </w:tcPr>
          <w:p w14:paraId="7E9E0EFF"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10B2466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224370FA"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1051E9F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31892C41"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4499A156" w14:textId="77777777" w:rsidTr="00DF6715">
        <w:trPr>
          <w:trHeight w:val="356"/>
        </w:trPr>
        <w:tc>
          <w:tcPr>
            <w:tcW w:w="1000" w:type="pct"/>
            <w:tcBorders>
              <w:top w:val="nil"/>
              <w:left w:val="nil"/>
              <w:bottom w:val="nil"/>
              <w:right w:val="nil"/>
            </w:tcBorders>
            <w:shd w:val="clear" w:color="auto" w:fill="auto"/>
            <w:noWrap/>
            <w:vAlign w:val="bottom"/>
            <w:hideMark/>
          </w:tcPr>
          <w:p w14:paraId="48435976"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14</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360</w:t>
            </w:r>
          </w:p>
        </w:tc>
        <w:tc>
          <w:tcPr>
            <w:tcW w:w="1000" w:type="pct"/>
            <w:tcBorders>
              <w:top w:val="nil"/>
              <w:left w:val="nil"/>
              <w:bottom w:val="nil"/>
              <w:right w:val="nil"/>
            </w:tcBorders>
            <w:shd w:val="clear" w:color="auto" w:fill="auto"/>
            <w:noWrap/>
            <w:vAlign w:val="bottom"/>
            <w:hideMark/>
          </w:tcPr>
          <w:p w14:paraId="5ACBEEF0"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5C9A5CAE"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11</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345</w:t>
            </w:r>
          </w:p>
        </w:tc>
        <w:tc>
          <w:tcPr>
            <w:tcW w:w="1000" w:type="pct"/>
            <w:tcBorders>
              <w:top w:val="nil"/>
              <w:left w:val="nil"/>
              <w:bottom w:val="nil"/>
              <w:right w:val="nil"/>
            </w:tcBorders>
            <w:shd w:val="clear" w:color="auto" w:fill="auto"/>
            <w:noWrap/>
            <w:vAlign w:val="bottom"/>
            <w:hideMark/>
          </w:tcPr>
          <w:p w14:paraId="28E263D7"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101D06C6" w14:textId="77777777" w:rsidR="00BD3831" w:rsidRPr="004B7640" w:rsidRDefault="00BD3831" w:rsidP="0031289D">
            <w:pPr>
              <w:jc w:val="center"/>
              <w:rPr>
                <w:rFonts w:ascii="Arabic Typesetting" w:hAnsi="Arabic Typesetting" w:cs="Arabic Typesetting"/>
                <w:color w:val="000000"/>
                <w:sz w:val="28"/>
                <w:szCs w:val="28"/>
              </w:rPr>
            </w:pPr>
            <w:r w:rsidRPr="004B7640">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4B7640">
              <w:rPr>
                <w:rFonts w:ascii="Arabic Typesetting" w:hAnsi="Arabic Typesetting" w:cs="Arabic Typesetting"/>
                <w:color w:val="000000"/>
                <w:sz w:val="28"/>
                <w:szCs w:val="28"/>
              </w:rPr>
              <w:t>015</w:t>
            </w:r>
          </w:p>
        </w:tc>
      </w:tr>
    </w:tbl>
    <w:p w14:paraId="54CF3E0D" w14:textId="77777777" w:rsidR="00BD3831" w:rsidRPr="004B764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B7640">
        <w:rPr>
          <w:rFonts w:ascii="Arabic Typesetting" w:eastAsia="Arabic Typesetting" w:hAnsi="Arabic Typesetting" w:cs="Arabic Typesetting"/>
          <w:b/>
          <w:bCs/>
          <w:sz w:val="32"/>
          <w:szCs w:val="32"/>
          <w:rtl/>
          <w:lang w:eastAsia="ar-EG" w:bidi="ar-EG"/>
        </w:rPr>
        <w:t>فرنسا/الملكية الصناعية</w:t>
      </w:r>
    </w:p>
    <w:tbl>
      <w:tblPr>
        <w:bidiVisual/>
        <w:tblW w:w="5000" w:type="pct"/>
        <w:tblLook w:val="0000" w:firstRow="0" w:lastRow="0" w:firstColumn="0" w:lastColumn="0" w:noHBand="0" w:noVBand="0"/>
      </w:tblPr>
      <w:tblGrid>
        <w:gridCol w:w="1971"/>
        <w:gridCol w:w="1394"/>
        <w:gridCol w:w="2127"/>
        <w:gridCol w:w="4079"/>
      </w:tblGrid>
      <w:tr w:rsidR="00BD3831" w:rsidRPr="00CE1677" w14:paraId="7DA99490" w14:textId="77777777" w:rsidTr="00DF6715">
        <w:tc>
          <w:tcPr>
            <w:tcW w:w="5000" w:type="pct"/>
            <w:gridSpan w:val="4"/>
            <w:shd w:val="clear" w:color="auto" w:fill="C6D9F1"/>
            <w:vAlign w:val="center"/>
          </w:tcPr>
          <w:p w14:paraId="2D8C6273"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color w:val="000000"/>
                <w:sz w:val="28"/>
                <w:szCs w:val="28"/>
                <w:rtl/>
                <w:lang w:eastAsia="ar-EG" w:bidi="ar-EG"/>
              </w:rPr>
              <w:t>ه2.3 كفاءات</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‏معزَّزة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‏للموارد</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‏البشرية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‏القادرة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‏على</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‏تلبية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‏تشكيلة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‏واسعة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‏من المتطلبات</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‏لتسخير</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‏الملكية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‏الفكرية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‏بفعالية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‏لأغراض</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‏التنمية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‏في</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‏النامية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‏الأقل</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‏نموا</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‏المنتقلة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‏إلى</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‏نظام الاقتصاد الحر</w:t>
            </w:r>
          </w:p>
        </w:tc>
      </w:tr>
      <w:tr w:rsidR="00BD3831" w:rsidRPr="00CE1677" w14:paraId="252DF326" w14:textId="77777777" w:rsidTr="00DF6715">
        <w:tc>
          <w:tcPr>
            <w:tcW w:w="1030" w:type="pct"/>
            <w:vAlign w:val="center"/>
          </w:tcPr>
          <w:p w14:paraId="6DB560C1"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728" w:type="pct"/>
            <w:shd w:val="clear" w:color="auto" w:fill="auto"/>
            <w:tcMar>
              <w:top w:w="110" w:type="dxa"/>
            </w:tcMar>
            <w:vAlign w:val="center"/>
          </w:tcPr>
          <w:p w14:paraId="624DC379"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11" w:type="pct"/>
            <w:shd w:val="clear" w:color="auto" w:fill="auto"/>
            <w:tcMar>
              <w:top w:w="110" w:type="dxa"/>
            </w:tcMar>
            <w:vAlign w:val="center"/>
          </w:tcPr>
          <w:p w14:paraId="5C50E06E"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131" w:type="pct"/>
            <w:shd w:val="clear" w:color="auto" w:fill="FFFFFF"/>
            <w:tcMar>
              <w:top w:w="110" w:type="dxa"/>
            </w:tcMar>
            <w:vAlign w:val="center"/>
          </w:tcPr>
          <w:p w14:paraId="25BED63F"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3B09C609" w14:textId="77777777" w:rsidTr="00DF6715">
        <w:tblPrEx>
          <w:tblLook w:val="04A0" w:firstRow="1" w:lastRow="0" w:firstColumn="1" w:lastColumn="0" w:noHBand="0" w:noVBand="1"/>
        </w:tblPrEx>
        <w:trPr>
          <w:trHeight w:val="2218"/>
        </w:trPr>
        <w:tc>
          <w:tcPr>
            <w:tcW w:w="1030" w:type="pct"/>
          </w:tcPr>
          <w:p w14:paraId="6ED5BE7C" w14:textId="77777777" w:rsidR="00BD3831" w:rsidRPr="00CE1677"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برنامج تدريب </w:t>
            </w:r>
            <w:r w:rsidRPr="00CE1677">
              <w:rPr>
                <w:rFonts w:ascii="Arabic Typesetting" w:eastAsia="Arabic Typesetting" w:hAnsi="Arabic Typesetting" w:cs="Arabic Typesetting"/>
                <w:color w:val="000000"/>
                <w:sz w:val="28"/>
                <w:szCs w:val="28"/>
                <w:lang w:eastAsia="ar-EG" w:bidi="ar-EG"/>
              </w:rPr>
              <w:t>CAPI</w:t>
            </w:r>
            <w:r w:rsidRPr="00CE1677">
              <w:rPr>
                <w:rFonts w:ascii="Arabic Typesetting" w:eastAsia="Arabic Typesetting" w:hAnsi="Arabic Typesetting" w:cs="Arabic Typesetting"/>
                <w:color w:val="000000"/>
                <w:sz w:val="28"/>
                <w:szCs w:val="28"/>
                <w:rtl/>
                <w:lang w:eastAsia="ar-EG" w:bidi="ar-EG"/>
              </w:rPr>
              <w:t xml:space="preserve"> لدى المعهد الوطني للملكية الصناعية (</w:t>
            </w:r>
            <w:r w:rsidRPr="00CE1677">
              <w:rPr>
                <w:rFonts w:ascii="Arabic Typesetting" w:eastAsia="Arabic Typesetting" w:hAnsi="Arabic Typesetting" w:cs="Arabic Typesetting"/>
                <w:color w:val="000000"/>
                <w:sz w:val="28"/>
                <w:szCs w:val="28"/>
                <w:lang w:eastAsia="ar-EG" w:bidi="ar-EG"/>
              </w:rPr>
              <w:t>INPI</w:t>
            </w:r>
            <w:r w:rsidRPr="00CE1677">
              <w:rPr>
                <w:rFonts w:ascii="Arabic Typesetting" w:eastAsia="Arabic Typesetting" w:hAnsi="Arabic Typesetting" w:cs="Arabic Typesetting"/>
                <w:color w:val="000000"/>
                <w:sz w:val="28"/>
                <w:szCs w:val="28"/>
                <w:rtl/>
                <w:lang w:eastAsia="ar-EG" w:bidi="ar-EG"/>
              </w:rPr>
              <w:t>) بفرنسا والمكتب المغربي للملكية الصناعية والتجارية (</w:t>
            </w:r>
            <w:r w:rsidRPr="00CE1677">
              <w:rPr>
                <w:rFonts w:ascii="Arabic Typesetting" w:eastAsia="Arabic Typesetting" w:hAnsi="Arabic Typesetting" w:cs="Arabic Typesetting"/>
                <w:color w:val="000000"/>
                <w:sz w:val="28"/>
                <w:szCs w:val="28"/>
                <w:lang w:eastAsia="ar-EG" w:bidi="ar-EG"/>
              </w:rPr>
              <w:t>OMPIC</w:t>
            </w:r>
            <w:r w:rsidRPr="00CE1677">
              <w:rPr>
                <w:rFonts w:ascii="Arabic Typesetting" w:eastAsia="Arabic Typesetting" w:hAnsi="Arabic Typesetting" w:cs="Arabic Typesetting"/>
                <w:color w:val="000000"/>
                <w:sz w:val="28"/>
                <w:szCs w:val="28"/>
                <w:rtl/>
                <w:lang w:eastAsia="ar-EG" w:bidi="ar-EG"/>
              </w:rPr>
              <w:t>)</w:t>
            </w:r>
          </w:p>
        </w:tc>
        <w:tc>
          <w:tcPr>
            <w:tcW w:w="728" w:type="pct"/>
          </w:tcPr>
          <w:p w14:paraId="18F99868" w14:textId="77777777" w:rsidR="00BD3831" w:rsidRPr="00CE1677"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 يناير إلى 12 مايو 201</w:t>
            </w:r>
            <w:r>
              <w:rPr>
                <w:rFonts w:ascii="Arabic Typesetting" w:eastAsia="Arabic Typesetting" w:hAnsi="Arabic Typesetting" w:cs="Arabic Typesetting" w:hint="cs"/>
                <w:color w:val="000000"/>
                <w:sz w:val="28"/>
                <w:szCs w:val="28"/>
                <w:rtl/>
                <w:lang w:eastAsia="ar-EG" w:bidi="ar-EG"/>
              </w:rPr>
              <w:t xml:space="preserve">6 </w:t>
            </w:r>
            <w:r w:rsidRPr="00CE1677">
              <w:rPr>
                <w:rFonts w:ascii="Arabic Typesetting" w:eastAsia="Arabic Typesetting" w:hAnsi="Arabic Typesetting" w:cs="Arabic Typesetting"/>
                <w:color w:val="000000"/>
                <w:sz w:val="28"/>
                <w:szCs w:val="28"/>
                <w:vertAlign w:val="superscript"/>
                <w:lang w:eastAsia="ar-EG" w:bidi="ar-EG"/>
              </w:rPr>
              <w:footnoteReference w:id="108"/>
            </w:r>
          </w:p>
        </w:tc>
        <w:tc>
          <w:tcPr>
            <w:tcW w:w="1111" w:type="pct"/>
          </w:tcPr>
          <w:p w14:paraId="3A587CE9" w14:textId="77777777" w:rsidR="00BD3831" w:rsidRPr="000A7EF3"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المغرب/10 مشاركين من الجزائر والكام</w:t>
            </w:r>
            <w:r>
              <w:rPr>
                <w:rFonts w:ascii="Arabic Typesetting" w:eastAsia="Arabic Typesetting" w:hAnsi="Arabic Typesetting" w:cs="Arabic Typesetting"/>
                <w:color w:val="000000"/>
                <w:sz w:val="28"/>
                <w:szCs w:val="28"/>
                <w:rtl/>
                <w:lang w:eastAsia="ar-EG" w:bidi="ar-EG"/>
              </w:rPr>
              <w:t>يرون وكوت ديفوار والسنغال وتونس</w:t>
            </w:r>
          </w:p>
        </w:tc>
        <w:tc>
          <w:tcPr>
            <w:tcW w:w="2131" w:type="pct"/>
          </w:tcPr>
          <w:p w14:paraId="6FBCDA26" w14:textId="77777777" w:rsidR="00BD3831" w:rsidRPr="00CE1677"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برنامج تدريب معتمد يهدف إلى الاستجابة لاحتياجات قطاع الأ</w:t>
            </w:r>
            <w:r>
              <w:rPr>
                <w:rFonts w:ascii="Arabic Typesetting" w:eastAsia="Arabic Typesetting" w:hAnsi="Arabic Typesetting" w:cs="Arabic Typesetting"/>
                <w:color w:val="000000"/>
                <w:sz w:val="28"/>
                <w:szCs w:val="28"/>
                <w:rtl/>
                <w:lang w:eastAsia="ar-EG" w:bidi="ar-EG"/>
              </w:rPr>
              <w:t xml:space="preserve">عمال والمهنيين الذين يرغبون في </w:t>
            </w:r>
            <w:r w:rsidRPr="00CE1677">
              <w:rPr>
                <w:rFonts w:ascii="Arabic Typesetting" w:eastAsia="Arabic Typesetting" w:hAnsi="Arabic Typesetting" w:cs="Arabic Typesetting"/>
                <w:color w:val="000000"/>
                <w:sz w:val="28"/>
                <w:szCs w:val="28"/>
                <w:rtl/>
                <w:lang w:eastAsia="ar-EG" w:bidi="ar-EG"/>
              </w:rPr>
              <w:t xml:space="preserve">"1" صقل </w:t>
            </w:r>
            <w:r>
              <w:rPr>
                <w:rFonts w:ascii="Arabic Typesetting" w:eastAsia="Arabic Typesetting" w:hAnsi="Arabic Typesetting" w:cs="Arabic Typesetting" w:hint="cs"/>
                <w:color w:val="000000"/>
                <w:sz w:val="28"/>
                <w:szCs w:val="28"/>
                <w:rtl/>
                <w:lang w:eastAsia="ar-EG" w:bidi="ar-EG"/>
              </w:rPr>
              <w:t>خبراتهم</w:t>
            </w:r>
            <w:r w:rsidRPr="00CE1677">
              <w:rPr>
                <w:rFonts w:ascii="Arabic Typesetting" w:eastAsia="Arabic Typesetting" w:hAnsi="Arabic Typesetting" w:cs="Arabic Typesetting"/>
                <w:color w:val="000000"/>
                <w:sz w:val="28"/>
                <w:szCs w:val="28"/>
                <w:rtl/>
                <w:lang w:eastAsia="ar-EG" w:bidi="ar-EG"/>
              </w:rPr>
              <w:t xml:space="preserve"> في مجال إدارة حقوق الملكية الصناعية؛ "2" وفهم تحديات الملكية الصناعية؛ "3" وتحسين الكفاءة في إدارة الأصول غير الملموسة وتقييمها؛ "4" وإتقا</w:t>
            </w:r>
            <w:r>
              <w:rPr>
                <w:rFonts w:ascii="Arabic Typesetting" w:eastAsia="Arabic Typesetting" w:hAnsi="Arabic Typesetting" w:cs="Arabic Typesetting"/>
                <w:color w:val="000000"/>
                <w:sz w:val="28"/>
                <w:szCs w:val="28"/>
                <w:rtl/>
                <w:lang w:eastAsia="ar-EG" w:bidi="ar-EG"/>
              </w:rPr>
              <w:t>ن استخدام أدوات الحماية والبحث</w:t>
            </w:r>
            <w:r>
              <w:rPr>
                <w:rFonts w:ascii="Arabic Typesetting" w:eastAsia="Arabic Typesetting" w:hAnsi="Arabic Typesetting" w:cs="Arabic Typesetting" w:hint="cs"/>
                <w:color w:val="000000"/>
                <w:sz w:val="28"/>
                <w:szCs w:val="28"/>
                <w:rtl/>
                <w:lang w:eastAsia="ar-EG" w:bidi="ar-EG"/>
              </w:rPr>
              <w:t>.</w:t>
            </w:r>
          </w:p>
        </w:tc>
      </w:tr>
      <w:tr w:rsidR="00BD3831" w:rsidRPr="00CE1677" w14:paraId="2CE19BDD" w14:textId="77777777" w:rsidTr="00DF6715">
        <w:tblPrEx>
          <w:tblLook w:val="04A0" w:firstRow="1" w:lastRow="0" w:firstColumn="1" w:lastColumn="0" w:noHBand="0" w:noVBand="1"/>
        </w:tblPrEx>
        <w:trPr>
          <w:trHeight w:val="473"/>
        </w:trPr>
        <w:tc>
          <w:tcPr>
            <w:tcW w:w="1030" w:type="pct"/>
          </w:tcPr>
          <w:p w14:paraId="00FF2635" w14:textId="77777777" w:rsidR="00BD3831" w:rsidRPr="000A7EF3"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ندوة إقليمية بشأن الابت</w:t>
            </w:r>
            <w:r>
              <w:rPr>
                <w:rFonts w:ascii="Arabic Typesetting" w:eastAsia="Arabic Typesetting" w:hAnsi="Arabic Typesetting" w:cs="Arabic Typesetting"/>
                <w:color w:val="000000"/>
                <w:sz w:val="28"/>
                <w:szCs w:val="28"/>
                <w:rtl/>
                <w:lang w:eastAsia="ar-EG" w:bidi="ar-EG"/>
              </w:rPr>
              <w:t>كار التعاوني والملكية الفكرية:</w:t>
            </w:r>
            <w:r>
              <w:rPr>
                <w:rFonts w:ascii="Arabic Typesetting" w:eastAsia="Arabic Typesetting" w:hAnsi="Arabic Typesetting" w:cs="Arabic Typesetting" w:hint="cs"/>
                <w:color w:val="000000"/>
                <w:sz w:val="28"/>
                <w:szCs w:val="28"/>
                <w:rtl/>
                <w:lang w:eastAsia="ar-EG" w:bidi="ar-EG"/>
              </w:rPr>
              <w:t xml:space="preserve"> </w:t>
            </w:r>
            <w:r w:rsidRPr="00CE1677">
              <w:rPr>
                <w:rFonts w:ascii="Arabic Typesetting" w:eastAsia="Arabic Typesetting" w:hAnsi="Arabic Typesetting" w:cs="Arabic Typesetting"/>
                <w:color w:val="000000"/>
                <w:sz w:val="28"/>
                <w:szCs w:val="28"/>
                <w:rtl/>
                <w:lang w:eastAsia="ar-EG" w:bidi="ar-EG"/>
              </w:rPr>
              <w:t>"إقامة شراكات بين</w:t>
            </w:r>
            <w:r>
              <w:rPr>
                <w:rFonts w:ascii="Arabic Typesetting" w:eastAsia="Arabic Typesetting" w:hAnsi="Arabic Typesetting" w:cs="Arabic Typesetting"/>
                <w:color w:val="000000"/>
                <w:sz w:val="28"/>
                <w:szCs w:val="28"/>
                <w:rtl/>
                <w:lang w:eastAsia="ar-EG" w:bidi="ar-EG"/>
              </w:rPr>
              <w:t xml:space="preserve"> الجامعات والمؤسسات"</w:t>
            </w:r>
          </w:p>
        </w:tc>
        <w:tc>
          <w:tcPr>
            <w:tcW w:w="728" w:type="pct"/>
          </w:tcPr>
          <w:p w14:paraId="5769780C" w14:textId="77777777" w:rsidR="00BD3831" w:rsidRPr="00CE1677"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13 و</w:t>
            </w:r>
            <w:r w:rsidRPr="00CE1677">
              <w:rPr>
                <w:rFonts w:ascii="Arabic Typesetting" w:eastAsia="Arabic Typesetting" w:hAnsi="Arabic Typesetting" w:cs="Arabic Typesetting"/>
                <w:color w:val="000000"/>
                <w:sz w:val="28"/>
                <w:szCs w:val="28"/>
                <w:rtl/>
                <w:lang w:eastAsia="ar-EG" w:bidi="ar-EG"/>
              </w:rPr>
              <w:t>14 يناير 2016</w:t>
            </w:r>
          </w:p>
        </w:tc>
        <w:tc>
          <w:tcPr>
            <w:tcW w:w="1111" w:type="pct"/>
          </w:tcPr>
          <w:p w14:paraId="042F586E" w14:textId="77777777" w:rsidR="00BD3831" w:rsidRPr="00CE1677"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شيلي/ 100 مشارك وممثل وطني من ب</w:t>
            </w:r>
            <w:r>
              <w:rPr>
                <w:rFonts w:ascii="Arabic Typesetting" w:eastAsia="Arabic Typesetting" w:hAnsi="Arabic Typesetting" w:cs="Arabic Typesetting"/>
                <w:color w:val="000000"/>
                <w:sz w:val="28"/>
                <w:szCs w:val="28"/>
                <w:rtl/>
                <w:lang w:eastAsia="ar-EG" w:bidi="ar-EG"/>
              </w:rPr>
              <w:t>وليفيا وكولومبيا والمكسيك وبيرو</w:t>
            </w:r>
          </w:p>
        </w:tc>
        <w:tc>
          <w:tcPr>
            <w:tcW w:w="2131" w:type="pct"/>
          </w:tcPr>
          <w:p w14:paraId="27601A67" w14:textId="77777777" w:rsidR="00BD3831" w:rsidRPr="00CE1677"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تقديم النماذج المختلفة التي تساعد في تهيئة بيئة مؤاتية للابتكار وحماية حقوق الملكية الفكرية؛ "2" وتطوير قدرات الابتكار من خلال الاستخدام الفعال لنظام الملكية الفكرية؛ "3"</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ومعالجة مواضيع الابتكار التعاوني والابتكار المفتوح؛ "4"</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وتبادل الخبرات عن طريق إقامة تعاون وثيق بين الجامعات ومؤسسات البحث والتطوير والقطاع الخاص</w:t>
            </w:r>
          </w:p>
        </w:tc>
      </w:tr>
      <w:tr w:rsidR="00BD3831" w:rsidRPr="00CE1677" w14:paraId="3957474F" w14:textId="77777777" w:rsidTr="00DF6715">
        <w:tblPrEx>
          <w:tblLook w:val="04A0" w:firstRow="1" w:lastRow="0" w:firstColumn="1" w:lastColumn="0" w:noHBand="0" w:noVBand="1"/>
        </w:tblPrEx>
        <w:trPr>
          <w:trHeight w:val="473"/>
        </w:trPr>
        <w:tc>
          <w:tcPr>
            <w:tcW w:w="1030" w:type="pct"/>
          </w:tcPr>
          <w:p w14:paraId="66253AD5" w14:textId="77777777" w:rsidR="00BD3831" w:rsidRPr="00AB4415" w:rsidRDefault="00BD3831" w:rsidP="0031289D">
            <w:pPr>
              <w:bidi/>
              <w:spacing w:after="120" w:line="280" w:lineRule="exact"/>
              <w:rPr>
                <w:rFonts w:ascii="Arabic Typesetting" w:eastAsia="Arabic Typesetting" w:hAnsi="Arabic Typesetting" w:cs="Arabic Typesetting"/>
                <w:color w:val="000000"/>
                <w:spacing w:val="-1"/>
                <w:sz w:val="27"/>
                <w:szCs w:val="27"/>
                <w:lang w:eastAsia="ar-EG" w:bidi="ar-EG"/>
              </w:rPr>
            </w:pPr>
            <w:r w:rsidRPr="00AB4415">
              <w:rPr>
                <w:rFonts w:ascii="Arabic Typesetting" w:eastAsia="Arabic Typesetting" w:hAnsi="Arabic Typesetting" w:cs="Arabic Typesetting"/>
                <w:color w:val="000000"/>
                <w:spacing w:val="-1"/>
                <w:sz w:val="27"/>
                <w:szCs w:val="27"/>
                <w:rtl/>
                <w:lang w:eastAsia="ar-EG" w:bidi="ar-EG"/>
              </w:rPr>
              <w:t>الأحداث الجانبية في الدورة الثانية والعشرين لمؤتمر الأطراف في اتفاقية الأمم المتحدة الإطارية بشأن تغير المناخ</w:t>
            </w:r>
          </w:p>
        </w:tc>
        <w:tc>
          <w:tcPr>
            <w:tcW w:w="728" w:type="pct"/>
          </w:tcPr>
          <w:p w14:paraId="3D4EFD82" w14:textId="77777777" w:rsidR="00BD3831" w:rsidRPr="00CE1677" w:rsidRDefault="00BD3831" w:rsidP="0031289D">
            <w:pPr>
              <w:bidi/>
              <w:spacing w:after="120" w:line="280" w:lineRule="exact"/>
              <w:rPr>
                <w:rFonts w:ascii="Arabic Typesetting" w:eastAsia="MS Mincho"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10 إلى 12 نوفمبر 2016</w:t>
            </w:r>
          </w:p>
        </w:tc>
        <w:tc>
          <w:tcPr>
            <w:tcW w:w="1111" w:type="pct"/>
          </w:tcPr>
          <w:p w14:paraId="1A602EEF" w14:textId="77777777" w:rsidR="00BD3831" w:rsidRPr="00CE1677" w:rsidRDefault="00BD3831" w:rsidP="0031289D">
            <w:pPr>
              <w:bidi/>
              <w:spacing w:after="120" w:line="280" w:lineRule="exact"/>
              <w:rPr>
                <w:rFonts w:ascii="Arabic Typesetting" w:eastAsia="MS Mincho"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المغرب/ 12 شركة صغيرة ومتوسطة من أفريقيا والمنطقة العربية و10 شركات صغيرة ومتوسطة من فرنسا</w:t>
            </w:r>
          </w:p>
        </w:tc>
        <w:tc>
          <w:tcPr>
            <w:tcW w:w="2131" w:type="pct"/>
          </w:tcPr>
          <w:p w14:paraId="76F53DF8" w14:textId="77777777" w:rsidR="00BD3831" w:rsidRPr="00CE1677" w:rsidRDefault="00BD3831" w:rsidP="0031289D">
            <w:pPr>
              <w:bidi/>
              <w:spacing w:after="120" w:line="280" w:lineRule="exact"/>
              <w:rPr>
                <w:rFonts w:ascii="Arabic Typesetting" w:eastAsia="MS Mincho"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إتاحة الفرصة لعرض حلول ابتكارية لتغير المناخ للشركات الصغيرة والمتوسطة الفرنسية والدولية المهتمة بالسوق الأفريقية؛ "2" وإتاحة منتدى لمناقشة الابتكارات في مجال الطاقة المتجددة والقطاعات الموحدة للاقتصاد والزراعة والمياه ومبادرة ويبو غرين</w:t>
            </w:r>
          </w:p>
        </w:tc>
      </w:tr>
      <w:tr w:rsidR="00BD3831" w:rsidRPr="00CE1677" w14:paraId="44BEE8B4" w14:textId="77777777" w:rsidTr="00DF6715">
        <w:tblPrEx>
          <w:tblLook w:val="04A0" w:firstRow="1" w:lastRow="0" w:firstColumn="1" w:lastColumn="0" w:noHBand="0" w:noVBand="1"/>
        </w:tblPrEx>
        <w:trPr>
          <w:trHeight w:val="2335"/>
        </w:trPr>
        <w:tc>
          <w:tcPr>
            <w:tcW w:w="1030" w:type="pct"/>
          </w:tcPr>
          <w:p w14:paraId="6457710C"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lastRenderedPageBreak/>
              <w:t>حلقة عمل إقليمية بشأن حماية حق المؤلف وإنفاذه لفائدة</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القضاة</w:t>
            </w:r>
          </w:p>
        </w:tc>
        <w:tc>
          <w:tcPr>
            <w:tcW w:w="728" w:type="pct"/>
          </w:tcPr>
          <w:p w14:paraId="0998C0EA"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2 و3 مايو 2016</w:t>
            </w:r>
          </w:p>
        </w:tc>
        <w:tc>
          <w:tcPr>
            <w:tcW w:w="1111" w:type="pct"/>
          </w:tcPr>
          <w:p w14:paraId="442D8588" w14:textId="23F1557E" w:rsidR="00BD3831" w:rsidRPr="00CE1677" w:rsidRDefault="00BD3831" w:rsidP="00D3741B">
            <w:pPr>
              <w:bidi/>
              <w:spacing w:after="120" w:line="280" w:lineRule="exact"/>
              <w:rPr>
                <w:rFonts w:ascii="Arabic Typesetting" w:eastAsia="MS Mincho"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الإمارات العربية المتحدة/ 36 قاضياً من الجزائر والبحرين ومصر والأردن والكويت ولبنان والمغرب وقطر </w:t>
            </w:r>
            <w:r w:rsidR="00D3741B">
              <w:rPr>
                <w:rFonts w:ascii="Arabic Typesetting" w:eastAsia="Arabic Typesetting" w:hAnsi="Arabic Typesetting" w:cs="Arabic Typesetting" w:hint="cs"/>
                <w:color w:val="000000"/>
                <w:sz w:val="28"/>
                <w:szCs w:val="28"/>
                <w:rtl/>
                <w:lang w:eastAsia="ar-EG" w:bidi="ar-EG"/>
              </w:rPr>
              <w:t>و</w:t>
            </w:r>
            <w:r w:rsidRPr="00CE1677">
              <w:rPr>
                <w:rFonts w:ascii="Arabic Typesetting" w:eastAsia="Arabic Typesetting" w:hAnsi="Arabic Typesetting" w:cs="Arabic Typesetting"/>
                <w:color w:val="000000"/>
                <w:sz w:val="28"/>
                <w:szCs w:val="28"/>
                <w:rtl/>
                <w:lang w:eastAsia="ar-EG" w:bidi="ar-EG"/>
              </w:rPr>
              <w:t>فلسطين والمملكة العربية السعودية والإمارات العربية المتحدة</w:t>
            </w:r>
          </w:p>
        </w:tc>
        <w:tc>
          <w:tcPr>
            <w:tcW w:w="2131" w:type="pct"/>
          </w:tcPr>
          <w:p w14:paraId="216898E9" w14:textId="5E47210A" w:rsidR="00BD3831" w:rsidRPr="00CE1677" w:rsidRDefault="00BD3831" w:rsidP="00D02C02">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"1" فهم الأهمية الاقتصادية للملكية الفكرية والتأثير الاقتصادي والاجتماعي للقرصنة؛ "2" وإتقان القواعد والمفاهيم الوطنية والدولية لحماية حق المؤلف وإنفاذه في ظل اتفاق جوانب حقوق الملكية الفكرية المتصلة بالتجارة (اتفاق تريبس)؛ "3" والتمكن من تحديد المصنفات القابلة للحماية ومعايير أبوة المصنف؛ "4" وتحليل قضايا انتهاك حق المؤلف والعمل </w:t>
            </w:r>
            <w:r w:rsidR="00D02C02">
              <w:rPr>
                <w:rFonts w:ascii="Arabic Typesetting" w:eastAsia="Arabic Typesetting" w:hAnsi="Arabic Typesetting" w:cs="Arabic Typesetting" w:hint="cs"/>
                <w:color w:val="000000"/>
                <w:sz w:val="28"/>
                <w:szCs w:val="28"/>
                <w:rtl/>
                <w:lang w:eastAsia="ar-EG" w:bidi="ar-EG"/>
              </w:rPr>
              <w:t>على</w:t>
            </w:r>
            <w:r w:rsidRPr="00CE1677">
              <w:rPr>
                <w:rFonts w:ascii="Arabic Typesetting" w:eastAsia="Arabic Typesetting" w:hAnsi="Arabic Typesetting" w:cs="Arabic Typesetting"/>
                <w:color w:val="000000"/>
                <w:sz w:val="28"/>
                <w:szCs w:val="28"/>
                <w:rtl/>
                <w:lang w:eastAsia="ar-EG" w:bidi="ar-EG"/>
              </w:rPr>
              <w:t xml:space="preserve"> قضايا مدنية وجنائية فعلية؛ "5" وتحديد وتقييم وتعويض الخ</w:t>
            </w:r>
            <w:r w:rsidR="00D02C02">
              <w:rPr>
                <w:rFonts w:ascii="Arabic Typesetting" w:eastAsia="Arabic Typesetting" w:hAnsi="Arabic Typesetting" w:cs="Arabic Typesetting" w:hint="cs"/>
                <w:color w:val="000000"/>
                <w:sz w:val="28"/>
                <w:szCs w:val="28"/>
                <w:rtl/>
                <w:lang w:eastAsia="ar-EG" w:bidi="ar-EG"/>
              </w:rPr>
              <w:t>س</w:t>
            </w:r>
            <w:r w:rsidRPr="00CE1677">
              <w:rPr>
                <w:rFonts w:ascii="Arabic Typesetting" w:eastAsia="Arabic Typesetting" w:hAnsi="Arabic Typesetting" w:cs="Arabic Typesetting"/>
                <w:color w:val="000000"/>
                <w:sz w:val="28"/>
                <w:szCs w:val="28"/>
                <w:rtl/>
                <w:lang w:eastAsia="ar-EG" w:bidi="ar-EG"/>
              </w:rPr>
              <w:t>ارة الاقتصادية لأصحاب الحقوق في قضايا انتهاك حق المؤلف على الإنترنت؛ "6" ومعرفة قواعد حماية هيئات البث</w:t>
            </w:r>
          </w:p>
        </w:tc>
      </w:tr>
      <w:tr w:rsidR="00BD3831" w:rsidRPr="00CE1677" w14:paraId="20B02E65" w14:textId="77777777" w:rsidTr="00DF6715">
        <w:tblPrEx>
          <w:tblLook w:val="04A0" w:firstRow="1" w:lastRow="0" w:firstColumn="1" w:lastColumn="0" w:noHBand="0" w:noVBand="1"/>
        </w:tblPrEx>
        <w:trPr>
          <w:trHeight w:val="1426"/>
        </w:trPr>
        <w:tc>
          <w:tcPr>
            <w:tcW w:w="1030" w:type="pct"/>
          </w:tcPr>
          <w:p w14:paraId="6AF214DC"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إقليمية بشأن إذكاء الاحترام للملكية الفكرية من أجل تعزيز القدرة التنافسية للشركات والمؤسسات الصغيرة والمتوسطة وإيجاد وظائف فيها</w:t>
            </w:r>
          </w:p>
        </w:tc>
        <w:tc>
          <w:tcPr>
            <w:tcW w:w="728" w:type="pct"/>
          </w:tcPr>
          <w:p w14:paraId="64172319"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31 مايو إلى 2</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يونيو 2016</w:t>
            </w:r>
          </w:p>
        </w:tc>
        <w:tc>
          <w:tcPr>
            <w:tcW w:w="1111" w:type="pct"/>
          </w:tcPr>
          <w:p w14:paraId="66AA5491"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كوت ديفوار/ 39 شركة صغيرة ومتوسطة</w:t>
            </w:r>
          </w:p>
        </w:tc>
        <w:tc>
          <w:tcPr>
            <w:tcW w:w="2131" w:type="pct"/>
          </w:tcPr>
          <w:p w14:paraId="2F7B1A64"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توعية الشركات والمؤسسات الصغيرة والمتوسطة بأهمية حماية أصولها للملكية الفكرية وأهمية الدراية الاقتصادية كأداة استراتيجية لاتخاذ القرارات وتنمية تلك الكيانات؛ "2" وعرض منصة مراكز دعم التكنولوجيا والابتكار واستخدامها كأداة لدعم الابتكار</w:t>
            </w:r>
          </w:p>
        </w:tc>
      </w:tr>
      <w:tr w:rsidR="00BD3831" w:rsidRPr="00CE1677" w14:paraId="0A20C021" w14:textId="77777777" w:rsidTr="00DF6715">
        <w:tblPrEx>
          <w:tblLook w:val="04A0" w:firstRow="1" w:lastRow="0" w:firstColumn="1" w:lastColumn="0" w:noHBand="0" w:noVBand="1"/>
        </w:tblPrEx>
        <w:trPr>
          <w:trHeight w:val="473"/>
        </w:trPr>
        <w:tc>
          <w:tcPr>
            <w:tcW w:w="1030" w:type="pct"/>
          </w:tcPr>
          <w:p w14:paraId="21F097C8"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إقليمية بشأن إذكاء الاح</w:t>
            </w:r>
            <w:r>
              <w:rPr>
                <w:rFonts w:ascii="Arabic Typesetting" w:eastAsia="Arabic Typesetting" w:hAnsi="Arabic Typesetting" w:cs="Arabic Typesetting"/>
                <w:color w:val="000000"/>
                <w:sz w:val="28"/>
                <w:szCs w:val="28"/>
                <w:rtl/>
                <w:lang w:eastAsia="ar-EG" w:bidi="ar-EG"/>
              </w:rPr>
              <w:t>ترام للملكية الفكرية لدى القضاة</w:t>
            </w:r>
          </w:p>
          <w:p w14:paraId="25FBAB40" w14:textId="34779C0B" w:rsidR="00BD3831" w:rsidRPr="00CE1677" w:rsidRDefault="00BD3831" w:rsidP="0059581F">
            <w:pPr>
              <w:bidi/>
              <w:spacing w:after="120" w:line="280" w:lineRule="exact"/>
              <w:rPr>
                <w:rFonts w:ascii="Arabic Typesetting" w:eastAsia="MS Mincho"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إقليمية بشأن إذكاء الاحترام للملكية الفكرية لدى موظفي الجمارك وعناصر</w:t>
            </w:r>
            <w:r w:rsidR="0059581F">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الشرطة</w:t>
            </w:r>
          </w:p>
        </w:tc>
        <w:tc>
          <w:tcPr>
            <w:tcW w:w="728" w:type="pct"/>
          </w:tcPr>
          <w:p w14:paraId="42E576B0"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31 مايو إلى 2</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يونيو 2016</w:t>
            </w:r>
          </w:p>
        </w:tc>
        <w:tc>
          <w:tcPr>
            <w:tcW w:w="1111" w:type="pct"/>
          </w:tcPr>
          <w:p w14:paraId="78071FDE" w14:textId="77777777" w:rsidR="00BD3831" w:rsidRDefault="00BD3831" w:rsidP="0031289D">
            <w:pPr>
              <w:bidi/>
              <w:spacing w:after="720" w:line="280" w:lineRule="exact"/>
              <w:rPr>
                <w:rFonts w:ascii="Arabic Typesetting" w:eastAsia="Arabic Typesetting" w:hAnsi="Arabic Typesetting" w:cs="Arabic Typesetting"/>
                <w:color w:val="000000"/>
                <w:sz w:val="28"/>
                <w:szCs w:val="28"/>
                <w:rtl/>
                <w:lang w:eastAsia="ar-EG" w:bidi="ar-EG"/>
              </w:rPr>
            </w:pPr>
            <w:r w:rsidRPr="00CE1677">
              <w:rPr>
                <w:rFonts w:ascii="Arabic Typesetting" w:eastAsia="Arabic Typesetting" w:hAnsi="Arabic Typesetting" w:cs="Arabic Typesetting"/>
                <w:color w:val="000000"/>
                <w:sz w:val="28"/>
                <w:szCs w:val="28"/>
                <w:rtl/>
                <w:lang w:eastAsia="ar-EG" w:bidi="ar-EG"/>
              </w:rPr>
              <w:t>ك</w:t>
            </w:r>
            <w:r>
              <w:rPr>
                <w:rFonts w:ascii="Arabic Typesetting" w:eastAsia="Arabic Typesetting" w:hAnsi="Arabic Typesetting" w:cs="Arabic Typesetting"/>
                <w:color w:val="000000"/>
                <w:sz w:val="28"/>
                <w:szCs w:val="28"/>
                <w:rtl/>
                <w:lang w:eastAsia="ar-EG" w:bidi="ar-EG"/>
              </w:rPr>
              <w:t>وت ديفوار/ 65 قاضياً</w:t>
            </w:r>
          </w:p>
          <w:p w14:paraId="445E70FF" w14:textId="77777777" w:rsidR="00BD3831" w:rsidRPr="000A7EF3"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كوت ديفوار/ 38 موظف جمارك وشرطياً</w:t>
            </w:r>
          </w:p>
        </w:tc>
        <w:tc>
          <w:tcPr>
            <w:tcW w:w="2131" w:type="pct"/>
          </w:tcPr>
          <w:p w14:paraId="7621CF75"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"1" بناء وتعزيز قدرات القضا</w:t>
            </w:r>
            <w:r>
              <w:rPr>
                <w:rFonts w:ascii="Arabic Typesetting" w:eastAsia="Arabic Typesetting" w:hAnsi="Arabic Typesetting" w:cs="Arabic Typesetting" w:hint="cs"/>
                <w:sz w:val="28"/>
                <w:szCs w:val="28"/>
                <w:rtl/>
                <w:lang w:eastAsia="ar-EG" w:bidi="ar-EG"/>
              </w:rPr>
              <w:t>ة</w:t>
            </w:r>
            <w:r w:rsidRPr="00CE1677">
              <w:rPr>
                <w:rFonts w:ascii="Arabic Typesetting" w:eastAsia="Arabic Typesetting" w:hAnsi="Arabic Typesetting" w:cs="Arabic Typesetting"/>
                <w:sz w:val="28"/>
                <w:szCs w:val="28"/>
                <w:rtl/>
                <w:lang w:eastAsia="ar-EG" w:bidi="ar-EG"/>
              </w:rPr>
              <w:t xml:space="preserve"> وموظفي الجمارك للبلدان المدعوة في مجال إنفاذ حقوق الملكية الفكرية وإذكاء الاحترام للملكية الفكرية؛ "2" وتوطيد التعاون الوطني ودون الإقليمي بين الإدارات القضائية وإدارات الجمارك لتحسين مكافحة انتهاك حقوق الملكية الفكرية؛ "3" وإتاحة فرصة لكل مجموعة مشاركة لتبادل الخبرات ومناقشة التحديات في تنفيذ الأحكام القانونية والتنظيمية بشأن إنفاذ حقوق الملكية الفكرية؛ "4" وتشجيع إنشاء أو تعزيز لجان وطنية وإقليمية لمكافحة التقليد والقرصنة</w:t>
            </w:r>
          </w:p>
        </w:tc>
      </w:tr>
      <w:tr w:rsidR="00BD3831" w:rsidRPr="00CE1677" w14:paraId="0E5EA1BD" w14:textId="77777777" w:rsidTr="00DF6715">
        <w:tblPrEx>
          <w:tblLook w:val="04A0" w:firstRow="1" w:lastRow="0" w:firstColumn="1" w:lastColumn="0" w:noHBand="0" w:noVBand="1"/>
        </w:tblPrEx>
        <w:trPr>
          <w:trHeight w:val="473"/>
        </w:trPr>
        <w:tc>
          <w:tcPr>
            <w:tcW w:w="1030" w:type="pct"/>
          </w:tcPr>
          <w:p w14:paraId="257778F3"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ندوة بشأن المؤشرات الجغرافية</w:t>
            </w:r>
          </w:p>
        </w:tc>
        <w:tc>
          <w:tcPr>
            <w:tcW w:w="728" w:type="pct"/>
          </w:tcPr>
          <w:p w14:paraId="7367B646" w14:textId="77777777" w:rsidR="00BD3831" w:rsidRPr="00CE1677" w:rsidRDefault="00BD3831" w:rsidP="0031289D">
            <w:pPr>
              <w:bidi/>
              <w:spacing w:after="120" w:line="280" w:lineRule="exact"/>
              <w:rPr>
                <w:rFonts w:ascii="Arabic Typesetting" w:eastAsia="MS Mincho"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7 سبتمبر 2016</w:t>
            </w:r>
          </w:p>
        </w:tc>
        <w:tc>
          <w:tcPr>
            <w:tcW w:w="1111" w:type="pct"/>
          </w:tcPr>
          <w:p w14:paraId="6CC89DE1" w14:textId="77777777" w:rsidR="00BD3831" w:rsidRPr="00CE1677" w:rsidRDefault="00BD3831" w:rsidP="0031289D">
            <w:pPr>
              <w:bidi/>
              <w:spacing w:after="120" w:line="280" w:lineRule="exact"/>
              <w:rPr>
                <w:rFonts w:ascii="Arabic Typesetting" w:eastAsia="MS Mincho"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الكاميرون</w:t>
            </w:r>
          </w:p>
        </w:tc>
        <w:tc>
          <w:tcPr>
            <w:tcW w:w="2131" w:type="pct"/>
            <w:vMerge w:val="restart"/>
          </w:tcPr>
          <w:p w14:paraId="675DA3B7"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w:t>
            </w:r>
            <w:r>
              <w:rPr>
                <w:rFonts w:ascii="Arabic Typesetting" w:eastAsia="Arabic Typesetting" w:hAnsi="Arabic Typesetting" w:cs="Arabic Typesetting" w:hint="cs"/>
                <w:color w:val="000000"/>
                <w:sz w:val="28"/>
                <w:szCs w:val="28"/>
                <w:rtl/>
                <w:lang w:eastAsia="ar-EG" w:bidi="ar-EG"/>
              </w:rPr>
              <w:t>1</w:t>
            </w:r>
            <w:r w:rsidRPr="00CE1677">
              <w:rPr>
                <w:rFonts w:ascii="Arabic Typesetting" w:eastAsia="Arabic Typesetting" w:hAnsi="Arabic Typesetting" w:cs="Arabic Typesetting"/>
                <w:color w:val="000000"/>
                <w:sz w:val="28"/>
                <w:szCs w:val="28"/>
                <w:rtl/>
                <w:lang w:eastAsia="ar-EG" w:bidi="ar-EG"/>
              </w:rPr>
              <w:t>" بناء قدرات مكاتب الملكية الفكرية ومالكي حقوق الملكية الفكرية في مجال الاستخدام الاستراتيجي لأصول الملكية الفكرية من أجل تعزيز القدرة التنافسية وإيجاد وظائف؛ "2" والتوعية باللوائح التنظيمية الخاصة باستخدام شعار المؤشرات الجغرافية المحمية وقمع الغش</w:t>
            </w:r>
          </w:p>
        </w:tc>
      </w:tr>
      <w:tr w:rsidR="00BD3831" w:rsidRPr="00CE1677" w14:paraId="00BD3674" w14:textId="77777777" w:rsidTr="00DF6715">
        <w:tblPrEx>
          <w:tblLook w:val="04A0" w:firstRow="1" w:lastRow="0" w:firstColumn="1" w:lastColumn="0" w:noHBand="0" w:noVBand="1"/>
        </w:tblPrEx>
        <w:trPr>
          <w:trHeight w:val="473"/>
        </w:trPr>
        <w:tc>
          <w:tcPr>
            <w:tcW w:w="1030" w:type="pct"/>
          </w:tcPr>
          <w:p w14:paraId="5F6F859B"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معرض دولي للمنتجات المرتبطة نوعيتها بمنشئها الجغرافي</w:t>
            </w:r>
          </w:p>
        </w:tc>
        <w:tc>
          <w:tcPr>
            <w:tcW w:w="728" w:type="pct"/>
          </w:tcPr>
          <w:p w14:paraId="5465831E"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8 إلى 10 سبتمبر 2016</w:t>
            </w:r>
          </w:p>
        </w:tc>
        <w:tc>
          <w:tcPr>
            <w:tcW w:w="1111" w:type="pct"/>
          </w:tcPr>
          <w:p w14:paraId="556400BF" w14:textId="77777777" w:rsidR="00BD3831" w:rsidRPr="00CE1677" w:rsidRDefault="00BD3831" w:rsidP="0031289D">
            <w:pPr>
              <w:bidi/>
              <w:spacing w:after="120" w:line="280" w:lineRule="exact"/>
              <w:rPr>
                <w:rFonts w:ascii="Arabic Typesetting" w:eastAsia="MS Mincho" w:hAnsi="Arabic Typesetting" w:cs="Arabic Typesetting"/>
                <w:color w:val="000000"/>
                <w:sz w:val="28"/>
                <w:szCs w:val="28"/>
                <w:lang w:eastAsia="ar-EG" w:bidi="ar-EG"/>
              </w:rPr>
            </w:pPr>
          </w:p>
        </w:tc>
        <w:tc>
          <w:tcPr>
            <w:tcW w:w="2131" w:type="pct"/>
            <w:vMerge/>
          </w:tcPr>
          <w:p w14:paraId="787D79F9" w14:textId="77777777" w:rsidR="00BD3831" w:rsidRPr="00CE1677" w:rsidRDefault="00BD3831" w:rsidP="0031289D">
            <w:pPr>
              <w:bidi/>
              <w:spacing w:after="120" w:line="280" w:lineRule="exact"/>
              <w:rPr>
                <w:rFonts w:ascii="Arabic Typesetting" w:eastAsia="MS Mincho" w:hAnsi="Arabic Typesetting" w:cs="Arabic Typesetting"/>
                <w:color w:val="000000"/>
                <w:sz w:val="28"/>
                <w:szCs w:val="28"/>
                <w:lang w:eastAsia="ar-EG" w:bidi="ar-EG"/>
              </w:rPr>
            </w:pPr>
          </w:p>
        </w:tc>
      </w:tr>
      <w:tr w:rsidR="00BD3831" w:rsidRPr="00CE1677" w14:paraId="205C34CD" w14:textId="77777777" w:rsidTr="00DF6715">
        <w:tblPrEx>
          <w:tblLook w:val="04A0" w:firstRow="1" w:lastRow="0" w:firstColumn="1" w:lastColumn="0" w:noHBand="0" w:noVBand="1"/>
        </w:tblPrEx>
        <w:trPr>
          <w:trHeight w:val="473"/>
        </w:trPr>
        <w:tc>
          <w:tcPr>
            <w:tcW w:w="1030" w:type="pct"/>
          </w:tcPr>
          <w:p w14:paraId="75DEB051"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زيارة عمل إلى الدار البيضاء بالمغرب</w:t>
            </w:r>
          </w:p>
          <w:p w14:paraId="7B1F0BC2" w14:textId="77777777" w:rsidR="00BD3831" w:rsidRPr="000A7EF3"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جلسة عمل مع المكتب المغربي للملكية الصناعية والتجارية لمناقشة متابعة برنامج </w:t>
            </w:r>
            <w:r>
              <w:rPr>
                <w:rFonts w:ascii="Arabic Typesetting" w:eastAsia="Arabic Typesetting" w:hAnsi="Arabic Typesetting" w:cs="Arabic Typesetting"/>
                <w:color w:val="000000"/>
                <w:sz w:val="28"/>
                <w:szCs w:val="28"/>
                <w:lang w:eastAsia="ar-EG" w:bidi="ar-EG"/>
              </w:rPr>
              <w:t>CAPI</w:t>
            </w:r>
          </w:p>
        </w:tc>
        <w:tc>
          <w:tcPr>
            <w:tcW w:w="728" w:type="pct"/>
          </w:tcPr>
          <w:p w14:paraId="71131247" w14:textId="77777777" w:rsidR="00BD3831"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4 و5 مارس 2016</w:t>
            </w:r>
          </w:p>
          <w:p w14:paraId="03B110ED" w14:textId="77777777" w:rsidR="00BD3831" w:rsidRPr="000A7EF3"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7 و8 مارس 2016</w:t>
            </w:r>
          </w:p>
        </w:tc>
        <w:tc>
          <w:tcPr>
            <w:tcW w:w="1111" w:type="pct"/>
          </w:tcPr>
          <w:p w14:paraId="3AE31390" w14:textId="77777777" w:rsidR="00BD3831" w:rsidRPr="000A7EF3"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المغرب</w:t>
            </w:r>
          </w:p>
        </w:tc>
        <w:tc>
          <w:tcPr>
            <w:tcW w:w="2131" w:type="pct"/>
          </w:tcPr>
          <w:p w14:paraId="34724F62" w14:textId="77777777" w:rsidR="00BD3831" w:rsidRPr="00CE1677" w:rsidRDefault="00BD3831" w:rsidP="0031289D">
            <w:pPr>
              <w:bidi/>
              <w:spacing w:after="120" w:line="280" w:lineRule="exact"/>
              <w:rPr>
                <w:rFonts w:ascii="Arabic Typesetting" w:eastAsia="MS Mincho"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بحث</w:t>
            </w:r>
            <w:r>
              <w:rPr>
                <w:rFonts w:ascii="Arabic Typesetting" w:eastAsia="Arabic Typesetting" w:hAnsi="Arabic Typesetting" w:cs="Arabic Typesetting" w:hint="cs"/>
                <w:color w:val="000000"/>
                <w:sz w:val="28"/>
                <w:szCs w:val="28"/>
                <w:rtl/>
                <w:lang w:eastAsia="ar-EG" w:bidi="ar-EG"/>
              </w:rPr>
              <w:t xml:space="preserve"> </w:t>
            </w:r>
            <w:r w:rsidRPr="00CE1677">
              <w:rPr>
                <w:rFonts w:ascii="Arabic Typesetting" w:eastAsia="Arabic Typesetting" w:hAnsi="Arabic Typesetting" w:cs="Arabic Typesetting"/>
                <w:color w:val="000000"/>
                <w:sz w:val="28"/>
                <w:szCs w:val="28"/>
                <w:rtl/>
                <w:lang w:eastAsia="ar-EG" w:bidi="ar-EG"/>
              </w:rPr>
              <w:t xml:space="preserve">سبل ووسائل ضمان استدامة برنامج </w:t>
            </w:r>
            <w:r w:rsidRPr="00CE1677">
              <w:rPr>
                <w:rFonts w:ascii="Arabic Typesetting" w:eastAsia="Arabic Typesetting" w:hAnsi="Arabic Typesetting" w:cs="Arabic Typesetting"/>
                <w:color w:val="000000"/>
                <w:sz w:val="28"/>
                <w:szCs w:val="28"/>
                <w:lang w:eastAsia="ar-EG" w:bidi="ar-EG"/>
              </w:rPr>
              <w:t>CAPI</w:t>
            </w:r>
          </w:p>
        </w:tc>
      </w:tr>
      <w:tr w:rsidR="00BD3831" w:rsidRPr="00CE1677" w14:paraId="7C323D28" w14:textId="77777777" w:rsidTr="00DF6715">
        <w:tblPrEx>
          <w:tblLook w:val="04A0" w:firstRow="1" w:lastRow="0" w:firstColumn="1" w:lastColumn="0" w:noHBand="0" w:noVBand="1"/>
        </w:tblPrEx>
        <w:trPr>
          <w:trHeight w:val="1423"/>
        </w:trPr>
        <w:tc>
          <w:tcPr>
            <w:tcW w:w="1030" w:type="pct"/>
          </w:tcPr>
          <w:p w14:paraId="0C6259EB"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وضع سياسة للملكية الفكرية واستراتيجية للابتكار في الجامعات ومؤسسات البحث والتطوير العامة من أجل تيسير نقل التكنولوجيا إلى القطاع الصناعي لإقامة "حلقة</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فاضلة من الابتكار"</w:t>
            </w:r>
          </w:p>
        </w:tc>
        <w:tc>
          <w:tcPr>
            <w:tcW w:w="728" w:type="pct"/>
          </w:tcPr>
          <w:p w14:paraId="34203DC0"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 إلى 16 مايو 2016</w:t>
            </w:r>
          </w:p>
        </w:tc>
        <w:tc>
          <w:tcPr>
            <w:tcW w:w="1111" w:type="pct"/>
          </w:tcPr>
          <w:p w14:paraId="53EDBD20"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المغرب/ 46 مشاركاً من الجزائر وبنن وبوتسوانا والكاميرون والكونغو وكوت ديفوار وجمهورية الكونغو الديمقراطية ومصر وإثيوبيا وغابون وغانا وغينيا وكينيا ومالي وموريشيوس وموزامبيق والنيجر ونيجيريا ورواندا والسنغال وجنوب أفريقيا والسودان وتونس وأوغندا والمنظمة الأفريقية للملكية الفكرية والمنظمة الأفريقية الإقليمية للملكية الفكرية</w:t>
            </w:r>
          </w:p>
        </w:tc>
        <w:tc>
          <w:tcPr>
            <w:tcW w:w="2131" w:type="pct"/>
          </w:tcPr>
          <w:p w14:paraId="627D4E50"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"1" مناقشة دور الجامعات ومؤسسات البحث في اقتصاد يزداد اعتماده على المعرفة والابتكار؛ "2" وبحث سبل مساهمة السياسات والاستراتيجيات الخاصة بالملكية الفكرية في توليد المعرفة من أجل نقل التكنولوجيا إلى القطاع الصناعي؛ "3" وإقامة حلقة فاضلة من الابتكار تعزز البحث والحلول الابتكارية المعروضة للشركات والمؤسسات الصغيرة والمتوسطة من أجل تعزيز قدراتها التنافسية والنمو في البلدان الأفريقية المعنية؛ "4" وبحث سبل تيسير مشاركة البلدان الأفريقية في الاقتصاد العالمي الرقمي وال</w:t>
            </w:r>
            <w:r>
              <w:rPr>
                <w:rFonts w:ascii="Arabic Typesetting" w:eastAsia="Arabic Typesetting" w:hAnsi="Arabic Typesetting" w:cs="Arabic Typesetting"/>
                <w:sz w:val="28"/>
                <w:szCs w:val="28"/>
                <w:rtl/>
                <w:lang w:eastAsia="ar-EG" w:bidi="ar-EG"/>
              </w:rPr>
              <w:t>قائم على المعرفة</w:t>
            </w:r>
          </w:p>
        </w:tc>
      </w:tr>
      <w:tr w:rsidR="00BD3831" w:rsidRPr="00CE1677" w14:paraId="3EC631C3" w14:textId="77777777" w:rsidTr="00DF6715">
        <w:tblPrEx>
          <w:tblLook w:val="04A0" w:firstRow="1" w:lastRow="0" w:firstColumn="1" w:lastColumn="0" w:noHBand="0" w:noVBand="1"/>
        </w:tblPrEx>
        <w:trPr>
          <w:trHeight w:val="1256"/>
        </w:trPr>
        <w:tc>
          <w:tcPr>
            <w:tcW w:w="1030" w:type="pct"/>
          </w:tcPr>
          <w:p w14:paraId="2E612F87"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lastRenderedPageBreak/>
              <w:t>دورة تدريب في مجال العلامات التجارية</w:t>
            </w:r>
          </w:p>
        </w:tc>
        <w:tc>
          <w:tcPr>
            <w:tcW w:w="728" w:type="pct"/>
          </w:tcPr>
          <w:p w14:paraId="61691B98"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11 إلى 22 يوليو 2016</w:t>
            </w:r>
          </w:p>
        </w:tc>
        <w:tc>
          <w:tcPr>
            <w:tcW w:w="1111" w:type="pct"/>
          </w:tcPr>
          <w:p w14:paraId="18546FFC"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المغرب/ 20 مشاركاً</w:t>
            </w:r>
          </w:p>
        </w:tc>
        <w:tc>
          <w:tcPr>
            <w:tcW w:w="2131" w:type="pct"/>
          </w:tcPr>
          <w:p w14:paraId="7A58E13F"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تعزيز المهارات والمعارف لدى مسؤولي العلامات التجارية في مكاتب الملكية الفكرية والوزارات المعنية في البلدان النامية عن طريق مناقشة قضايا العلامات التجارية وإجراءاتها؛ "2" وتعريف مسؤولي العلامات التجارية المشاركين بالقضايا الحالية والمهمة في مجال العلامات التجارية والمجالات المتصلة به</w:t>
            </w:r>
          </w:p>
        </w:tc>
      </w:tr>
      <w:tr w:rsidR="00BD3831" w:rsidRPr="00CE1677" w14:paraId="0AE252B7" w14:textId="77777777" w:rsidTr="00DF6715">
        <w:tblPrEx>
          <w:tblLook w:val="04A0" w:firstRow="1" w:lastRow="0" w:firstColumn="1" w:lastColumn="0" w:noHBand="0" w:noVBand="1"/>
        </w:tblPrEx>
        <w:trPr>
          <w:trHeight w:val="473"/>
        </w:trPr>
        <w:tc>
          <w:tcPr>
            <w:tcW w:w="1030" w:type="pct"/>
          </w:tcPr>
          <w:p w14:paraId="546FD3B0"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إقليمية بشأن إذكاء الاحترام للملكية الفكرية لدى</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القضاة</w:t>
            </w:r>
          </w:p>
        </w:tc>
        <w:tc>
          <w:tcPr>
            <w:tcW w:w="728" w:type="pct"/>
          </w:tcPr>
          <w:p w14:paraId="6118FC93"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29 و30 نوفمبر 2016</w:t>
            </w:r>
          </w:p>
        </w:tc>
        <w:tc>
          <w:tcPr>
            <w:tcW w:w="1111" w:type="pct"/>
          </w:tcPr>
          <w:p w14:paraId="169E73FD" w14:textId="77777777" w:rsidR="00BD3831" w:rsidRPr="00CE1677" w:rsidRDefault="00BD3831" w:rsidP="0031289D">
            <w:pPr>
              <w:bidi/>
              <w:spacing w:after="120" w:line="280" w:lineRule="exact"/>
              <w:rPr>
                <w:rFonts w:ascii="Arabic Typesetting" w:eastAsia="MS Mincho"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مدغشقر/ 40 قاضياً من مدغشقر و9 قضاة من جزر القمر</w:t>
            </w:r>
          </w:p>
        </w:tc>
        <w:tc>
          <w:tcPr>
            <w:tcW w:w="2131" w:type="pct"/>
          </w:tcPr>
          <w:p w14:paraId="57D4698E" w14:textId="77777777" w:rsidR="00BD3831" w:rsidRPr="00CE1677" w:rsidRDefault="00BD3831" w:rsidP="0031289D">
            <w:pPr>
              <w:bidi/>
              <w:spacing w:after="120" w:line="280" w:lineRule="exact"/>
              <w:rPr>
                <w:rFonts w:ascii="Arabic Typesetting" w:eastAsia="MS Mincho"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تطوير وتعزيز قدرات القضاء وموظفي الجمارك في مدغشقر وجزر القمر في إنفاذ حقوق الملكية الفكرية وإذكاء الاحترام للملكية الفكرية</w:t>
            </w:r>
          </w:p>
        </w:tc>
      </w:tr>
      <w:tr w:rsidR="00BD3831" w:rsidRPr="00CE1677" w14:paraId="61109238" w14:textId="77777777" w:rsidTr="00DF6715">
        <w:tblPrEx>
          <w:tblLook w:val="04A0" w:firstRow="1" w:lastRow="0" w:firstColumn="1" w:lastColumn="0" w:noHBand="0" w:noVBand="1"/>
        </w:tblPrEx>
        <w:trPr>
          <w:trHeight w:val="473"/>
        </w:trPr>
        <w:tc>
          <w:tcPr>
            <w:tcW w:w="1030" w:type="pct"/>
          </w:tcPr>
          <w:p w14:paraId="278C0010"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دون إقليمية بشأن إذكاء الاحترام للملكية الفكرية لدى ضباط إنفاذ القانون (الشرطة والجمارك)</w:t>
            </w:r>
          </w:p>
        </w:tc>
        <w:tc>
          <w:tcPr>
            <w:tcW w:w="728" w:type="pct"/>
          </w:tcPr>
          <w:p w14:paraId="40EB2786"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ديسمبر 2016</w:t>
            </w:r>
          </w:p>
        </w:tc>
        <w:tc>
          <w:tcPr>
            <w:tcW w:w="1111" w:type="pct"/>
          </w:tcPr>
          <w:p w14:paraId="185824FC"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مدغشقر/ </w:t>
            </w:r>
            <w:r>
              <w:rPr>
                <w:rFonts w:ascii="Arabic Typesetting" w:eastAsia="Arabic Typesetting" w:hAnsi="Arabic Typesetting" w:cs="Arabic Typesetting"/>
                <w:color w:val="000000"/>
                <w:sz w:val="28"/>
                <w:szCs w:val="28"/>
                <w:rtl/>
                <w:lang w:eastAsia="ar-EG" w:bidi="ar-EG"/>
              </w:rPr>
              <w:t>38 موظف جمارك وشرطياً</w:t>
            </w:r>
          </w:p>
          <w:p w14:paraId="088FA135" w14:textId="77777777" w:rsidR="00BD3831" w:rsidRPr="00CE1677" w:rsidRDefault="00BD3831" w:rsidP="0031289D">
            <w:pPr>
              <w:bidi/>
              <w:spacing w:after="120" w:line="280" w:lineRule="exact"/>
              <w:rPr>
                <w:rFonts w:ascii="Arabic Typesetting" w:eastAsia="MS Mincho"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جزر القمر/ </w:t>
            </w:r>
            <w:r>
              <w:rPr>
                <w:rFonts w:ascii="Arabic Typesetting" w:eastAsia="Arabic Typesetting" w:hAnsi="Arabic Typesetting" w:cs="Arabic Typesetting"/>
                <w:color w:val="000000"/>
                <w:sz w:val="28"/>
                <w:szCs w:val="28"/>
                <w:rtl/>
                <w:lang w:eastAsia="ar-EG" w:bidi="ar-EG"/>
              </w:rPr>
              <w:t>18 شرطياً وموظف جمارك</w:t>
            </w:r>
          </w:p>
        </w:tc>
        <w:tc>
          <w:tcPr>
            <w:tcW w:w="2131" w:type="pct"/>
          </w:tcPr>
          <w:p w14:paraId="09281093"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تحسين المعارف والمهارات لدى المشاركين فيما يخص الإجراءات القانونية وإدارة التقاضي بشأن الملكية الفكرية وتطبيق إجراءات الجمارك لتعزيز استخدام الإجراءات طبقاً للجزء الثالث من اتفاق تريبس؛ "2" وتوفير فرص لكل مجموعة مشاركة لتبادل الخبرات ومناقشة التحديات في تنفيذ الأحكام القانونية والتنظيمية بشأن إنفاذ حقوق الملكية الفكرية؛ "3" وتعريف القضاة بالأدوات التشريعية التي وضعتها الويبو وال</w:t>
            </w:r>
            <w:r>
              <w:rPr>
                <w:rFonts w:ascii="Arabic Typesetting" w:eastAsia="Arabic Typesetting" w:hAnsi="Arabic Typesetting" w:cs="Arabic Typesetting"/>
                <w:color w:val="000000"/>
                <w:sz w:val="28"/>
                <w:szCs w:val="28"/>
                <w:rtl/>
                <w:lang w:eastAsia="ar-EG" w:bidi="ar-EG"/>
              </w:rPr>
              <w:t>منظمة الأفريقية للملكية الفكرية</w:t>
            </w:r>
          </w:p>
        </w:tc>
      </w:tr>
    </w:tbl>
    <w:p w14:paraId="53C65EBC" w14:textId="77777777" w:rsidR="00BD3831" w:rsidRPr="000A7EF3"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0A7EF3">
        <w:rPr>
          <w:rFonts w:ascii="Arabic Typesetting" w:eastAsia="Arabic Typesetting" w:hAnsi="Arabic Typesetting" w:cs="Arabic Typesetting"/>
          <w:b/>
          <w:bCs/>
          <w:sz w:val="32"/>
          <w:szCs w:val="32"/>
          <w:rtl/>
          <w:lang w:eastAsia="ar-EG" w:bidi="ar-EG"/>
        </w:rPr>
        <w:t>فرنسا/الملكية الصناعية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15891D7F" w14:textId="77777777" w:rsidTr="00DF6715">
        <w:trPr>
          <w:trHeight w:val="544"/>
        </w:trPr>
        <w:tc>
          <w:tcPr>
            <w:tcW w:w="1000" w:type="pct"/>
            <w:tcBorders>
              <w:top w:val="nil"/>
              <w:left w:val="nil"/>
              <w:bottom w:val="nil"/>
              <w:right w:val="nil"/>
            </w:tcBorders>
            <w:shd w:val="clear" w:color="000000" w:fill="C5D9F1"/>
            <w:vAlign w:val="center"/>
            <w:hideMark/>
          </w:tcPr>
          <w:p w14:paraId="7C2D3DD1"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6EA96DDD"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74E8A9B3"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1CC31FF5"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04ADAB1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518C09B8" w14:textId="77777777" w:rsidTr="00DF6715">
        <w:trPr>
          <w:trHeight w:val="356"/>
        </w:trPr>
        <w:tc>
          <w:tcPr>
            <w:tcW w:w="1000" w:type="pct"/>
            <w:tcBorders>
              <w:top w:val="nil"/>
              <w:left w:val="nil"/>
              <w:bottom w:val="nil"/>
              <w:right w:val="nil"/>
            </w:tcBorders>
            <w:shd w:val="clear" w:color="auto" w:fill="auto"/>
            <w:noWrap/>
            <w:vAlign w:val="bottom"/>
            <w:hideMark/>
          </w:tcPr>
          <w:p w14:paraId="483D54F2" w14:textId="77777777" w:rsidR="00BD3831" w:rsidRPr="004F2B70" w:rsidRDefault="00BD3831" w:rsidP="0031289D">
            <w:pPr>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960</w:t>
            </w:r>
            <w:r>
              <w:rPr>
                <w:rFonts w:ascii="Arabic Typesetting" w:hAnsi="Arabic Typesetting" w:cs="Arabic Typesetting"/>
                <w:color w:val="000000"/>
                <w:sz w:val="28"/>
                <w:szCs w:val="28"/>
              </w:rPr>
              <w:t> </w:t>
            </w:r>
            <w:r w:rsidRPr="004F2B70">
              <w:rPr>
                <w:rFonts w:ascii="Arabic Typesetting" w:hAnsi="Arabic Typesetting" w:cs="Arabic Typesetting"/>
                <w:color w:val="000000"/>
                <w:sz w:val="28"/>
                <w:szCs w:val="28"/>
              </w:rPr>
              <w:t>497</w:t>
            </w:r>
          </w:p>
        </w:tc>
        <w:tc>
          <w:tcPr>
            <w:tcW w:w="1000" w:type="pct"/>
            <w:tcBorders>
              <w:top w:val="nil"/>
              <w:left w:val="nil"/>
              <w:bottom w:val="nil"/>
              <w:right w:val="nil"/>
            </w:tcBorders>
            <w:shd w:val="clear" w:color="auto" w:fill="auto"/>
            <w:noWrap/>
            <w:vAlign w:val="bottom"/>
            <w:hideMark/>
          </w:tcPr>
          <w:p w14:paraId="73F0B083" w14:textId="77777777" w:rsidR="00BD3831" w:rsidRPr="004F2B70" w:rsidRDefault="00BD3831" w:rsidP="0031289D">
            <w:pPr>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289</w:t>
            </w:r>
            <w:r>
              <w:rPr>
                <w:rFonts w:ascii="Arabic Typesetting" w:hAnsi="Arabic Typesetting" w:cs="Arabic Typesetting"/>
                <w:color w:val="000000"/>
                <w:sz w:val="28"/>
                <w:szCs w:val="28"/>
              </w:rPr>
              <w:t> </w:t>
            </w:r>
            <w:r w:rsidRPr="004F2B70">
              <w:rPr>
                <w:rFonts w:ascii="Arabic Typesetting" w:hAnsi="Arabic Typesetting" w:cs="Arabic Typesetting"/>
                <w:color w:val="000000"/>
                <w:sz w:val="28"/>
                <w:szCs w:val="28"/>
              </w:rPr>
              <w:t>323</w:t>
            </w:r>
          </w:p>
        </w:tc>
        <w:tc>
          <w:tcPr>
            <w:tcW w:w="1000" w:type="pct"/>
            <w:tcBorders>
              <w:top w:val="nil"/>
              <w:left w:val="nil"/>
              <w:bottom w:val="nil"/>
              <w:right w:val="nil"/>
            </w:tcBorders>
            <w:shd w:val="clear" w:color="auto" w:fill="auto"/>
            <w:noWrap/>
            <w:vAlign w:val="bottom"/>
            <w:hideMark/>
          </w:tcPr>
          <w:p w14:paraId="73B0814E" w14:textId="77777777" w:rsidR="00BD3831" w:rsidRPr="004F2B70" w:rsidRDefault="00BD3831" w:rsidP="0031289D">
            <w:pPr>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545</w:t>
            </w:r>
            <w:r>
              <w:rPr>
                <w:rFonts w:ascii="Arabic Typesetting" w:hAnsi="Arabic Typesetting" w:cs="Arabic Typesetting"/>
                <w:color w:val="000000"/>
                <w:sz w:val="28"/>
                <w:szCs w:val="28"/>
              </w:rPr>
              <w:t> </w:t>
            </w:r>
            <w:r w:rsidRPr="004F2B70">
              <w:rPr>
                <w:rFonts w:ascii="Arabic Typesetting" w:hAnsi="Arabic Typesetting" w:cs="Arabic Typesetting"/>
                <w:color w:val="000000"/>
                <w:sz w:val="28"/>
                <w:szCs w:val="28"/>
              </w:rPr>
              <w:t>186</w:t>
            </w:r>
          </w:p>
        </w:tc>
        <w:tc>
          <w:tcPr>
            <w:tcW w:w="1000" w:type="pct"/>
            <w:tcBorders>
              <w:top w:val="nil"/>
              <w:left w:val="nil"/>
              <w:bottom w:val="nil"/>
              <w:right w:val="nil"/>
            </w:tcBorders>
            <w:shd w:val="clear" w:color="auto" w:fill="auto"/>
            <w:noWrap/>
            <w:vAlign w:val="bottom"/>
            <w:hideMark/>
          </w:tcPr>
          <w:p w14:paraId="555D86F2" w14:textId="77777777" w:rsidR="00BD3831" w:rsidRPr="004F2B70" w:rsidRDefault="00BD3831" w:rsidP="0031289D">
            <w:pPr>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000EC444" w14:textId="77777777" w:rsidR="00BD3831" w:rsidRPr="004F2B70" w:rsidRDefault="00BD3831" w:rsidP="0031289D">
            <w:pPr>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704</w:t>
            </w:r>
            <w:r>
              <w:rPr>
                <w:rFonts w:ascii="Arabic Typesetting" w:hAnsi="Arabic Typesetting" w:cs="Arabic Typesetting"/>
                <w:color w:val="000000"/>
                <w:sz w:val="28"/>
                <w:szCs w:val="28"/>
              </w:rPr>
              <w:t> </w:t>
            </w:r>
            <w:r w:rsidRPr="004F2B70">
              <w:rPr>
                <w:rFonts w:ascii="Arabic Typesetting" w:hAnsi="Arabic Typesetting" w:cs="Arabic Typesetting"/>
                <w:color w:val="000000"/>
                <w:sz w:val="28"/>
                <w:szCs w:val="28"/>
              </w:rPr>
              <w:t>634</w:t>
            </w:r>
          </w:p>
        </w:tc>
      </w:tr>
    </w:tbl>
    <w:p w14:paraId="045DA759" w14:textId="77777777" w:rsidR="00BD3831" w:rsidRPr="004F2B7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F2B70">
        <w:rPr>
          <w:rFonts w:ascii="Arabic Typesetting" w:eastAsia="Arabic Typesetting" w:hAnsi="Arabic Typesetting" w:cs="Arabic Typesetting"/>
          <w:b/>
          <w:bCs/>
          <w:sz w:val="32"/>
          <w:szCs w:val="32"/>
          <w:rtl/>
          <w:lang w:eastAsia="ar-EG" w:bidi="ar-EG"/>
        </w:rPr>
        <w:t>البرنامج الأيبيري الأمريكي للملكية الصناعية</w:t>
      </w:r>
    </w:p>
    <w:tbl>
      <w:tblPr>
        <w:bidiVisual/>
        <w:tblW w:w="5000" w:type="pct"/>
        <w:tblLook w:val="0000" w:firstRow="0" w:lastRow="0" w:firstColumn="0" w:lastColumn="0" w:noHBand="0" w:noVBand="0"/>
      </w:tblPr>
      <w:tblGrid>
        <w:gridCol w:w="2230"/>
        <w:gridCol w:w="1135"/>
        <w:gridCol w:w="2127"/>
        <w:gridCol w:w="4079"/>
      </w:tblGrid>
      <w:tr w:rsidR="00BD3831" w:rsidRPr="00CE1677" w14:paraId="7C3A55D3" w14:textId="77777777" w:rsidTr="00DF6715">
        <w:tc>
          <w:tcPr>
            <w:tcW w:w="5000" w:type="pct"/>
            <w:gridSpan w:val="4"/>
            <w:shd w:val="clear" w:color="auto" w:fill="C6D9F1"/>
            <w:vAlign w:val="center"/>
          </w:tcPr>
          <w:p w14:paraId="17E9B7BC"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color w:val="000000"/>
                <w:sz w:val="28"/>
                <w:szCs w:val="28"/>
                <w:rtl/>
                <w:lang w:eastAsia="ar-EG" w:bidi="ar-EG"/>
              </w:rPr>
              <w:t>ه2.3 كفاءات</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‏معزَّزة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‏للموارد</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‏البشرية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‏القادرة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‏على</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‏تلبية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‏تشكيلة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‏واسعة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‏من المتطلبات</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‏لتسخير</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‏الملكية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‏الفكرية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‏بفعالية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‏لأغراض</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‏التنمية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‏في</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‏النامية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w:t>
            </w:r>
            <w:r w:rsidRPr="00C368FD">
              <w:rPr>
                <w:rFonts w:ascii="Arabic Typesetting" w:eastAsia="Arabic Typesetting" w:hAnsi="Arabic Typesetting" w:cs="Arabic Typesetting"/>
                <w:sz w:val="28"/>
                <w:szCs w:val="28"/>
                <w:rtl/>
                <w:lang w:eastAsia="ar-EG" w:bidi="ar-EG"/>
              </w:rPr>
              <w:t>والبلدان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‏الأقل</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‏نموا</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‏المنتقلة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‏إلى</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‏نظام الاقتصاد الحر</w:t>
            </w:r>
          </w:p>
        </w:tc>
      </w:tr>
      <w:tr w:rsidR="00BD3831" w:rsidRPr="00CE1677" w14:paraId="0842267D" w14:textId="77777777" w:rsidTr="00DF6715">
        <w:tc>
          <w:tcPr>
            <w:tcW w:w="1165" w:type="pct"/>
            <w:vAlign w:val="center"/>
          </w:tcPr>
          <w:p w14:paraId="64FB7823"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593" w:type="pct"/>
            <w:shd w:val="clear" w:color="auto" w:fill="auto"/>
            <w:tcMar>
              <w:top w:w="110" w:type="dxa"/>
            </w:tcMar>
            <w:vAlign w:val="center"/>
          </w:tcPr>
          <w:p w14:paraId="1E3CB38E"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11" w:type="pct"/>
            <w:shd w:val="clear" w:color="auto" w:fill="auto"/>
            <w:tcMar>
              <w:top w:w="110" w:type="dxa"/>
            </w:tcMar>
            <w:vAlign w:val="center"/>
          </w:tcPr>
          <w:p w14:paraId="19C10416"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131" w:type="pct"/>
            <w:shd w:val="clear" w:color="auto" w:fill="FFFFFF"/>
            <w:tcMar>
              <w:top w:w="110" w:type="dxa"/>
            </w:tcMar>
            <w:vAlign w:val="center"/>
          </w:tcPr>
          <w:p w14:paraId="1CC68DFF"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659C596C" w14:textId="77777777" w:rsidTr="00DF6715">
        <w:tblPrEx>
          <w:tblLook w:val="04A0" w:firstRow="1" w:lastRow="0" w:firstColumn="1" w:lastColumn="0" w:noHBand="0" w:noVBand="1"/>
        </w:tblPrEx>
        <w:trPr>
          <w:trHeight w:val="1654"/>
        </w:trPr>
        <w:tc>
          <w:tcPr>
            <w:tcW w:w="1165" w:type="pct"/>
          </w:tcPr>
          <w:p w14:paraId="6CCB3B63" w14:textId="77777777" w:rsidR="00BD3831" w:rsidRPr="00CE1677" w:rsidDel="009E0498"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منصة خاصة بخدمات الملكية الفكرية ومحتوى قطاع المشروعات الأيبيرية الأمريكية مع التركيز بصفة خاصة على الشركات الصغيرة والمتوسطة (</w:t>
            </w:r>
            <w:r w:rsidRPr="00CE1677">
              <w:rPr>
                <w:rFonts w:ascii="Arabic Typesetting" w:eastAsia="Arabic Typesetting" w:hAnsi="Arabic Typesetting" w:cs="Arabic Typesetting"/>
                <w:color w:val="000000"/>
                <w:sz w:val="28"/>
                <w:szCs w:val="28"/>
                <w:lang w:eastAsia="ar-EG" w:bidi="ar-EG"/>
              </w:rPr>
              <w:t>CIBEPYME</w:t>
            </w:r>
            <w:r w:rsidRPr="00CE1677">
              <w:rPr>
                <w:rFonts w:ascii="Arabic Typesetting" w:eastAsia="Arabic Typesetting" w:hAnsi="Arabic Typesetting" w:cs="Arabic Typesetting"/>
                <w:color w:val="000000"/>
                <w:sz w:val="28"/>
                <w:szCs w:val="28"/>
                <w:rtl/>
                <w:lang w:eastAsia="ar-EG" w:bidi="ar-EG"/>
              </w:rPr>
              <w:t>)</w:t>
            </w:r>
          </w:p>
        </w:tc>
        <w:tc>
          <w:tcPr>
            <w:tcW w:w="593" w:type="pct"/>
          </w:tcPr>
          <w:p w14:paraId="4BB224B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يناير إلى ديسمبر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111" w:type="pct"/>
          </w:tcPr>
          <w:p w14:paraId="0C37AC7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كل البلدان الأيبيرية الأمريكية</w:t>
            </w:r>
          </w:p>
        </w:tc>
        <w:tc>
          <w:tcPr>
            <w:tcW w:w="2131" w:type="pct"/>
          </w:tcPr>
          <w:p w14:paraId="4EDF3FB8" w14:textId="77777777" w:rsidR="00BD3831" w:rsidRPr="00CE1677" w:rsidDel="00152E3E"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تعزيز توليد أصول الملكية الفكرية وإدارتها في قطاع الأعمال</w:t>
            </w:r>
            <w:r>
              <w:rPr>
                <w:rFonts w:ascii="Arabic Typesetting" w:eastAsia="Arabic Typesetting" w:hAnsi="Arabic Typesetting" w:cs="Arabic Typesetting"/>
                <w:color w:val="000000"/>
                <w:sz w:val="28"/>
                <w:szCs w:val="28"/>
                <w:rtl/>
                <w:lang w:eastAsia="ar-EG" w:bidi="ar-EG"/>
              </w:rPr>
              <w:t xml:space="preserve"> من البلدان الأيبيرية الأمريكية</w:t>
            </w:r>
          </w:p>
        </w:tc>
      </w:tr>
      <w:tr w:rsidR="00BD3831" w:rsidRPr="00CE1677" w14:paraId="62B61610" w14:textId="77777777" w:rsidTr="00DF6715">
        <w:tc>
          <w:tcPr>
            <w:tcW w:w="5000" w:type="pct"/>
            <w:gridSpan w:val="4"/>
            <w:shd w:val="clear" w:color="auto" w:fill="C6D9F1"/>
            <w:vAlign w:val="center"/>
          </w:tcPr>
          <w:p w14:paraId="3A1F6D6F" w14:textId="6FA561ED"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color w:val="000000"/>
                <w:sz w:val="28"/>
                <w:szCs w:val="28"/>
                <w:rtl/>
                <w:lang w:eastAsia="ar-EG" w:bidi="ar-EG"/>
              </w:rPr>
              <w:t>ه4.3 آليات وبرامج تعاونية معزّزة ومكيّفة حسب احتياجات البلدان النامية والبلدان الأقل نموا و</w:t>
            </w:r>
            <w:r w:rsidR="00AF6433">
              <w:rPr>
                <w:rFonts w:ascii="Arabic Typesetting" w:eastAsia="Arabic Typesetting" w:hAnsi="Arabic Typesetting" w:cs="Arabic Typesetting"/>
                <w:color w:val="000000"/>
                <w:sz w:val="28"/>
                <w:szCs w:val="28"/>
                <w:rtl/>
                <w:lang w:eastAsia="ar-EG" w:bidi="ar-EG"/>
              </w:rPr>
              <w:t>البلدان المتحولة</w:t>
            </w:r>
          </w:p>
        </w:tc>
      </w:tr>
      <w:tr w:rsidR="00BD3831" w:rsidRPr="00CE1677" w14:paraId="5715F1A8" w14:textId="77777777" w:rsidTr="00DF6715">
        <w:tc>
          <w:tcPr>
            <w:tcW w:w="1165" w:type="pct"/>
            <w:vAlign w:val="center"/>
          </w:tcPr>
          <w:p w14:paraId="7E793C60"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593" w:type="pct"/>
            <w:shd w:val="clear" w:color="auto" w:fill="auto"/>
            <w:tcMar>
              <w:top w:w="110" w:type="dxa"/>
            </w:tcMar>
            <w:vAlign w:val="center"/>
          </w:tcPr>
          <w:p w14:paraId="0C0E238B"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11" w:type="pct"/>
            <w:shd w:val="clear" w:color="auto" w:fill="auto"/>
            <w:tcMar>
              <w:top w:w="110" w:type="dxa"/>
            </w:tcMar>
            <w:vAlign w:val="center"/>
          </w:tcPr>
          <w:p w14:paraId="157637EE"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131" w:type="pct"/>
            <w:shd w:val="clear" w:color="auto" w:fill="FFFFFF"/>
            <w:tcMar>
              <w:top w:w="110" w:type="dxa"/>
            </w:tcMar>
            <w:vAlign w:val="center"/>
          </w:tcPr>
          <w:p w14:paraId="734C7448"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4B013B28" w14:textId="77777777" w:rsidTr="00DF6715">
        <w:tblPrEx>
          <w:tblLook w:val="04A0" w:firstRow="1" w:lastRow="0" w:firstColumn="1" w:lastColumn="0" w:noHBand="0" w:noVBand="1"/>
        </w:tblPrEx>
        <w:trPr>
          <w:trHeight w:val="473"/>
        </w:trPr>
        <w:tc>
          <w:tcPr>
            <w:tcW w:w="1165" w:type="pct"/>
          </w:tcPr>
          <w:p w14:paraId="7FE48B7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نظام التعاون الأيبيري الأمريكي لتوفير خدمات إعلامية وتكنولوجية (برنامج</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lang w:eastAsia="ar-EG" w:bidi="ar-EG"/>
              </w:rPr>
              <w:t>INFOTEC</w:t>
            </w:r>
            <w:r w:rsidRPr="00CE1677">
              <w:rPr>
                <w:rFonts w:ascii="Arabic Typesetting" w:eastAsia="Arabic Typesetting" w:hAnsi="Arabic Typesetting" w:cs="Arabic Typesetting"/>
                <w:color w:val="000000"/>
                <w:sz w:val="28"/>
                <w:szCs w:val="28"/>
                <w:rtl/>
                <w:lang w:eastAsia="ar-EG" w:bidi="ar-EG"/>
              </w:rPr>
              <w:t>)</w:t>
            </w:r>
          </w:p>
        </w:tc>
        <w:tc>
          <w:tcPr>
            <w:tcW w:w="593" w:type="pct"/>
          </w:tcPr>
          <w:p w14:paraId="7DC7B22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يناير إلى ديسمبر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111" w:type="pct"/>
          </w:tcPr>
          <w:p w14:paraId="710AF65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كل البلدان الأيبيرية الأمريكية</w:t>
            </w:r>
          </w:p>
        </w:tc>
        <w:tc>
          <w:tcPr>
            <w:tcW w:w="2131" w:type="pct"/>
          </w:tcPr>
          <w:p w14:paraId="4C9A001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highlight w:val="yellow"/>
                <w:lang w:eastAsia="ar-EG" w:bidi="ar-EG"/>
              </w:rPr>
            </w:pPr>
            <w:r w:rsidRPr="00CE1677">
              <w:rPr>
                <w:rFonts w:ascii="Arabic Typesetting" w:eastAsia="Arabic Typesetting" w:hAnsi="Arabic Typesetting" w:cs="Arabic Typesetting"/>
                <w:color w:val="000000"/>
                <w:sz w:val="28"/>
                <w:szCs w:val="28"/>
                <w:rtl/>
                <w:lang w:eastAsia="ar-EG" w:bidi="ar-EG"/>
              </w:rPr>
              <w:t xml:space="preserve">في عام 2016، قامت لجنة المعلومات التكنولوجية التابعة لبرنامج الملكية الفكرية الأيبيري الأمريكي المؤلفة من الأرجنتين والبرازيل وكولومبيا وكوستاريكا والجمهورية الدومينيكية وإكوادور والمكسيك وباراغواي وبيرو والبرتغال وإسبانيا وأوروغواي بإطلاق برنامج </w:t>
            </w:r>
            <w:r w:rsidRPr="00CE1677">
              <w:rPr>
                <w:rFonts w:ascii="Arabic Typesetting" w:eastAsia="Arabic Typesetting" w:hAnsi="Arabic Typesetting" w:cs="Arabic Typesetting"/>
                <w:color w:val="000000"/>
                <w:sz w:val="28"/>
                <w:szCs w:val="28"/>
                <w:lang w:eastAsia="ar-EG" w:bidi="ar-EG"/>
              </w:rPr>
              <w:t>INFOTEC</w:t>
            </w:r>
            <w:r>
              <w:rPr>
                <w:rFonts w:ascii="Arabic Typesetting" w:eastAsia="Arabic Typesetting" w:hAnsi="Arabic Typesetting" w:cs="Arabic Typesetting"/>
                <w:color w:val="000000"/>
                <w:sz w:val="28"/>
                <w:szCs w:val="28"/>
                <w:rtl/>
                <w:lang w:eastAsia="ar-EG" w:bidi="ar-EG"/>
              </w:rPr>
              <w:t xml:space="preserve"> من أجل</w:t>
            </w:r>
            <w:r>
              <w:rPr>
                <w:rFonts w:ascii="Arabic Typesetting" w:eastAsia="Arabic Typesetting" w:hAnsi="Arabic Typesetting" w:cs="Arabic Typesetting" w:hint="cs"/>
                <w:color w:val="000000"/>
                <w:sz w:val="28"/>
                <w:szCs w:val="28"/>
                <w:rtl/>
                <w:lang w:eastAsia="ar-EG" w:bidi="ar-EG"/>
              </w:rPr>
              <w:t xml:space="preserve"> </w:t>
            </w:r>
            <w:r w:rsidRPr="00CE1677">
              <w:rPr>
                <w:rFonts w:ascii="Arabic Typesetting" w:eastAsia="Arabic Typesetting" w:hAnsi="Arabic Typesetting" w:cs="Arabic Typesetting"/>
                <w:color w:val="000000"/>
                <w:sz w:val="28"/>
                <w:szCs w:val="28"/>
                <w:rtl/>
                <w:lang w:eastAsia="ar-EG" w:bidi="ar-EG"/>
              </w:rPr>
              <w:t xml:space="preserve">"1" توسيع قدرات البلدان الأيبيرية الأمريكية لإدارة المعلومات التكنولوجية واستخدامها؛ "2" وتعزيز التعاون </w:t>
            </w:r>
            <w:r>
              <w:rPr>
                <w:rFonts w:ascii="Arabic Typesetting" w:eastAsia="Arabic Typesetting" w:hAnsi="Arabic Typesetting" w:cs="Arabic Typesetting" w:hint="cs"/>
                <w:color w:val="000000"/>
                <w:sz w:val="28"/>
                <w:szCs w:val="28"/>
                <w:rtl/>
                <w:lang w:eastAsia="ar-EG" w:bidi="ar-EG"/>
              </w:rPr>
              <w:t>الأفقي</w:t>
            </w:r>
            <w:r w:rsidRPr="00CE1677">
              <w:rPr>
                <w:rFonts w:ascii="Arabic Typesetting" w:eastAsia="Arabic Typesetting" w:hAnsi="Arabic Typesetting" w:cs="Arabic Typesetting"/>
                <w:color w:val="000000"/>
                <w:sz w:val="28"/>
                <w:szCs w:val="28"/>
                <w:rtl/>
                <w:lang w:eastAsia="ar-EG" w:bidi="ar-EG"/>
              </w:rPr>
              <w:t xml:space="preserve"> بين مكاتب الملكية الفكرية للحد من الاختلافات بين المكاتب فيما يخص إدارة الجودة في مجال تكنولوجيا المعلومات وتصميم برامج التدريب</w:t>
            </w:r>
          </w:p>
        </w:tc>
      </w:tr>
      <w:tr w:rsidR="00BD3831" w:rsidRPr="00CE1677" w14:paraId="6ACCD839" w14:textId="77777777" w:rsidTr="00DF6715">
        <w:tblPrEx>
          <w:tblLook w:val="04A0" w:firstRow="1" w:lastRow="0" w:firstColumn="1" w:lastColumn="0" w:noHBand="0" w:noVBand="1"/>
        </w:tblPrEx>
        <w:trPr>
          <w:cantSplit/>
          <w:trHeight w:val="473"/>
        </w:trPr>
        <w:tc>
          <w:tcPr>
            <w:tcW w:w="1165" w:type="pct"/>
          </w:tcPr>
          <w:p w14:paraId="0947431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lastRenderedPageBreak/>
              <w:t>تشجيع التعاون عن طريق منصة لمكاتب الملكية الفكرية في أمريكا اللاتينية لتعزيز تبادل الخبرات والممارس</w:t>
            </w:r>
            <w:r>
              <w:rPr>
                <w:rFonts w:ascii="Arabic Typesetting" w:eastAsia="Arabic Typesetting" w:hAnsi="Arabic Typesetting" w:cs="Arabic Typesetting"/>
                <w:color w:val="000000"/>
                <w:sz w:val="28"/>
                <w:szCs w:val="28"/>
                <w:rtl/>
                <w:lang w:eastAsia="ar-EG" w:bidi="ar-EG"/>
              </w:rPr>
              <w:t>ات الجيدة بين المكاتب</w:t>
            </w:r>
          </w:p>
        </w:tc>
        <w:tc>
          <w:tcPr>
            <w:tcW w:w="593" w:type="pct"/>
          </w:tcPr>
          <w:p w14:paraId="0DE6008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يناير إلى ديسمبر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111" w:type="pct"/>
          </w:tcPr>
          <w:p w14:paraId="4BB025B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كل البلدان الأيبيرية الأمريكية</w:t>
            </w:r>
          </w:p>
        </w:tc>
        <w:tc>
          <w:tcPr>
            <w:tcW w:w="2131" w:type="pct"/>
          </w:tcPr>
          <w:p w14:paraId="3FA2FCE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تعزيز التبادل الافتراضي للممارسات الفضلى بين مكاتب الملكية الفكرية الأيبيرية</w:t>
            </w:r>
            <w:r>
              <w:rPr>
                <w:rFonts w:ascii="Arabic Typesetting" w:eastAsia="Arabic Typesetting" w:hAnsi="Arabic Typesetting" w:cs="Arabic Typesetting"/>
                <w:color w:val="000000"/>
                <w:sz w:val="28"/>
                <w:szCs w:val="28"/>
                <w:rtl/>
                <w:lang w:eastAsia="ar-EG" w:bidi="ar-EG"/>
              </w:rPr>
              <w:t xml:space="preserve"> الأمريكية في المجالات التالية:</w:t>
            </w:r>
            <w:r w:rsidRPr="00CE1677">
              <w:rPr>
                <w:rFonts w:ascii="Arabic Typesetting" w:eastAsia="Arabic Typesetting" w:hAnsi="Arabic Typesetting" w:cs="Arabic Typesetting"/>
                <w:color w:val="000000"/>
                <w:sz w:val="28"/>
                <w:szCs w:val="28"/>
                <w:rtl/>
                <w:lang w:eastAsia="ar-EG" w:bidi="ar-EG"/>
              </w:rPr>
              <w:t xml:space="preserve"> "1" إدارة الجودة؛ "2" وتنظيم خدمات التسجيل والمعلومات عبر الإنترنت؛ "3"</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وتوفير قواعد بيانات خاصة بالملكية الفكرية؛ "4"</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وفحص</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البراءات والتصاميم والعلامات التجارية؛ "5"</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وتوفير</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 xml:space="preserve">خدمات </w:t>
            </w:r>
            <w:r>
              <w:rPr>
                <w:rFonts w:ascii="Arabic Typesetting" w:eastAsia="Arabic Typesetting" w:hAnsi="Arabic Typesetting" w:cs="Arabic Typesetting" w:hint="cs"/>
                <w:color w:val="000000"/>
                <w:sz w:val="28"/>
                <w:szCs w:val="28"/>
                <w:rtl/>
                <w:lang w:eastAsia="ar-EG" w:bidi="ar-EG"/>
              </w:rPr>
              <w:t>قائمة على</w:t>
            </w:r>
            <w:r w:rsidRPr="00CE1677">
              <w:rPr>
                <w:rFonts w:ascii="Arabic Typesetting" w:eastAsia="Arabic Typesetting" w:hAnsi="Arabic Typesetting" w:cs="Arabic Typesetting"/>
                <w:color w:val="000000"/>
                <w:sz w:val="28"/>
                <w:szCs w:val="28"/>
                <w:rtl/>
                <w:lang w:eastAsia="ar-EG" w:bidi="ar-EG"/>
              </w:rPr>
              <w:t xml:space="preserve"> المعلومات التكنولوجية والتجارية؛ "6" وتنظيم برامج لتكوين الكفاءات؛ "7" وتوفير خدمات وساطة أو تحكيم</w:t>
            </w:r>
          </w:p>
        </w:tc>
      </w:tr>
      <w:tr w:rsidR="00BD3831" w:rsidRPr="00CE1677" w14:paraId="4EFD5F2B" w14:textId="77777777" w:rsidTr="00DF6715">
        <w:tblPrEx>
          <w:tblLook w:val="04A0" w:firstRow="1" w:lastRow="0" w:firstColumn="1" w:lastColumn="0" w:noHBand="0" w:noVBand="1"/>
        </w:tblPrEx>
        <w:trPr>
          <w:trHeight w:val="473"/>
        </w:trPr>
        <w:tc>
          <w:tcPr>
            <w:tcW w:w="1165" w:type="pct"/>
          </w:tcPr>
          <w:p w14:paraId="4F8FE64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الاجتماع السنوي للجنة الحكومية الدولية للبرنامج الأيبيري الأمريكي للملكية الفكرية وتعزيز التنمية</w:t>
            </w:r>
          </w:p>
        </w:tc>
        <w:tc>
          <w:tcPr>
            <w:tcW w:w="593" w:type="pct"/>
          </w:tcPr>
          <w:p w14:paraId="5E8267C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19 </w:t>
            </w:r>
            <w:r>
              <w:rPr>
                <w:rFonts w:ascii="Arabic Typesetting" w:eastAsia="Arabic Typesetting" w:hAnsi="Arabic Typesetting" w:cs="Arabic Typesetting" w:hint="cs"/>
                <w:color w:val="000000"/>
                <w:sz w:val="28"/>
                <w:szCs w:val="28"/>
                <w:rtl/>
                <w:lang w:eastAsia="ar-EG" w:bidi="ar-EG"/>
              </w:rPr>
              <w:t>و</w:t>
            </w:r>
            <w:r w:rsidRPr="00CE1677">
              <w:rPr>
                <w:rFonts w:ascii="Arabic Typesetting" w:eastAsia="Arabic Typesetting" w:hAnsi="Arabic Typesetting" w:cs="Arabic Typesetting"/>
                <w:color w:val="000000"/>
                <w:sz w:val="28"/>
                <w:szCs w:val="28"/>
                <w:rtl/>
                <w:lang w:eastAsia="ar-EG" w:bidi="ar-EG"/>
              </w:rPr>
              <w:t>20 مايو 2016</w:t>
            </w:r>
          </w:p>
        </w:tc>
        <w:tc>
          <w:tcPr>
            <w:tcW w:w="1111" w:type="pct"/>
          </w:tcPr>
          <w:p w14:paraId="4BD4B87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البرتغال/كل البلدان الأيبيرية الأمريكية</w:t>
            </w:r>
          </w:p>
        </w:tc>
        <w:tc>
          <w:tcPr>
            <w:tcW w:w="2131" w:type="pct"/>
          </w:tcPr>
          <w:p w14:paraId="3AB50E9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استعراض الأنشطة والمشاريع الجارية فضلاً عن تخطيط مبادرات جديدة في السنة التالية</w:t>
            </w:r>
          </w:p>
        </w:tc>
      </w:tr>
    </w:tbl>
    <w:p w14:paraId="6938C3D1" w14:textId="77777777" w:rsidR="00BD3831" w:rsidRPr="004F2B7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F2B70">
        <w:rPr>
          <w:rFonts w:ascii="Arabic Typesetting" w:eastAsia="Arabic Typesetting" w:hAnsi="Arabic Typesetting" w:cs="Arabic Typesetting"/>
          <w:b/>
          <w:bCs/>
          <w:sz w:val="32"/>
          <w:szCs w:val="32"/>
          <w:rtl/>
          <w:lang w:eastAsia="ar-EG" w:bidi="ar-EG"/>
        </w:rPr>
        <w:t>برنامج أمريكا اللاتينية للملكية الصناعية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1FEA7BD7" w14:textId="77777777" w:rsidTr="00DF6715">
        <w:trPr>
          <w:trHeight w:val="544"/>
        </w:trPr>
        <w:tc>
          <w:tcPr>
            <w:tcW w:w="1000" w:type="pct"/>
            <w:tcBorders>
              <w:top w:val="nil"/>
              <w:left w:val="nil"/>
              <w:bottom w:val="nil"/>
              <w:right w:val="nil"/>
            </w:tcBorders>
            <w:shd w:val="clear" w:color="000000" w:fill="C5D9F1"/>
            <w:vAlign w:val="center"/>
            <w:hideMark/>
          </w:tcPr>
          <w:p w14:paraId="41BD28E7"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10D7090D"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2482F71D"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4F4EE0A3"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200CA389"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7EE06251" w14:textId="77777777" w:rsidTr="00DF6715">
        <w:trPr>
          <w:trHeight w:val="356"/>
        </w:trPr>
        <w:tc>
          <w:tcPr>
            <w:tcW w:w="1000" w:type="pct"/>
            <w:tcBorders>
              <w:top w:val="nil"/>
              <w:left w:val="nil"/>
              <w:bottom w:val="nil"/>
              <w:right w:val="nil"/>
            </w:tcBorders>
            <w:shd w:val="clear" w:color="auto" w:fill="auto"/>
            <w:noWrap/>
            <w:vAlign w:val="bottom"/>
            <w:hideMark/>
          </w:tcPr>
          <w:p w14:paraId="019D9C02" w14:textId="77777777" w:rsidR="00BD3831" w:rsidRPr="004F2B70" w:rsidRDefault="00BD3831" w:rsidP="0031289D">
            <w:pPr>
              <w:keepNext/>
              <w:keepLines/>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239</w:t>
            </w:r>
            <w:r>
              <w:rPr>
                <w:rFonts w:ascii="Arabic Typesetting" w:hAnsi="Arabic Typesetting" w:cs="Arabic Typesetting"/>
                <w:color w:val="000000"/>
                <w:sz w:val="28"/>
                <w:szCs w:val="28"/>
              </w:rPr>
              <w:t> </w:t>
            </w:r>
            <w:r w:rsidRPr="004F2B70">
              <w:rPr>
                <w:rFonts w:ascii="Arabic Typesetting" w:hAnsi="Arabic Typesetting" w:cs="Arabic Typesetting"/>
                <w:color w:val="000000"/>
                <w:sz w:val="28"/>
                <w:szCs w:val="28"/>
              </w:rPr>
              <w:t>955</w:t>
            </w:r>
          </w:p>
        </w:tc>
        <w:tc>
          <w:tcPr>
            <w:tcW w:w="1000" w:type="pct"/>
            <w:tcBorders>
              <w:top w:val="nil"/>
              <w:left w:val="nil"/>
              <w:bottom w:val="nil"/>
              <w:right w:val="nil"/>
            </w:tcBorders>
            <w:shd w:val="clear" w:color="auto" w:fill="auto"/>
            <w:noWrap/>
            <w:vAlign w:val="bottom"/>
            <w:hideMark/>
          </w:tcPr>
          <w:p w14:paraId="1676B559" w14:textId="77777777" w:rsidR="00BD3831" w:rsidRPr="004F2B70" w:rsidRDefault="00BD3831" w:rsidP="0031289D">
            <w:pPr>
              <w:keepNext/>
              <w:keepLines/>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56</w:t>
            </w:r>
            <w:r>
              <w:rPr>
                <w:rFonts w:ascii="Arabic Typesetting" w:hAnsi="Arabic Typesetting" w:cs="Arabic Typesetting"/>
                <w:color w:val="000000"/>
                <w:sz w:val="28"/>
                <w:szCs w:val="28"/>
              </w:rPr>
              <w:t> </w:t>
            </w:r>
            <w:r w:rsidRPr="004F2B70">
              <w:rPr>
                <w:rFonts w:ascii="Arabic Typesetting" w:hAnsi="Arabic Typesetting" w:cs="Arabic Typesetting"/>
                <w:color w:val="000000"/>
                <w:sz w:val="28"/>
                <w:szCs w:val="28"/>
              </w:rPr>
              <w:t>510</w:t>
            </w:r>
          </w:p>
        </w:tc>
        <w:tc>
          <w:tcPr>
            <w:tcW w:w="1000" w:type="pct"/>
            <w:tcBorders>
              <w:top w:val="nil"/>
              <w:left w:val="nil"/>
              <w:bottom w:val="nil"/>
              <w:right w:val="nil"/>
            </w:tcBorders>
            <w:shd w:val="clear" w:color="auto" w:fill="auto"/>
            <w:noWrap/>
            <w:vAlign w:val="bottom"/>
            <w:hideMark/>
          </w:tcPr>
          <w:p w14:paraId="6317C8C9" w14:textId="77777777" w:rsidR="00BD3831" w:rsidRPr="004F2B70" w:rsidRDefault="00BD3831" w:rsidP="0031289D">
            <w:pPr>
              <w:keepNext/>
              <w:keepLines/>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59</w:t>
            </w:r>
            <w:r>
              <w:rPr>
                <w:rFonts w:ascii="Arabic Typesetting" w:hAnsi="Arabic Typesetting" w:cs="Arabic Typesetting"/>
                <w:color w:val="000000"/>
                <w:sz w:val="28"/>
                <w:szCs w:val="28"/>
              </w:rPr>
              <w:t> </w:t>
            </w:r>
            <w:r w:rsidRPr="004F2B70">
              <w:rPr>
                <w:rFonts w:ascii="Arabic Typesetting" w:hAnsi="Arabic Typesetting" w:cs="Arabic Typesetting"/>
                <w:color w:val="000000"/>
                <w:sz w:val="28"/>
                <w:szCs w:val="28"/>
              </w:rPr>
              <w:t>219</w:t>
            </w:r>
          </w:p>
        </w:tc>
        <w:tc>
          <w:tcPr>
            <w:tcW w:w="1000" w:type="pct"/>
            <w:tcBorders>
              <w:top w:val="nil"/>
              <w:left w:val="nil"/>
              <w:bottom w:val="nil"/>
              <w:right w:val="nil"/>
            </w:tcBorders>
            <w:shd w:val="clear" w:color="auto" w:fill="auto"/>
            <w:noWrap/>
            <w:vAlign w:val="bottom"/>
            <w:hideMark/>
          </w:tcPr>
          <w:p w14:paraId="227EA7DE" w14:textId="77777777" w:rsidR="00BD3831" w:rsidRPr="004F2B70" w:rsidRDefault="00BD3831" w:rsidP="0031289D">
            <w:pPr>
              <w:keepNext/>
              <w:keepLines/>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6FFAAD89" w14:textId="77777777" w:rsidR="00BD3831" w:rsidRPr="004F2B70" w:rsidRDefault="00BD3831" w:rsidP="0031289D">
            <w:pPr>
              <w:keepNext/>
              <w:keepLines/>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237</w:t>
            </w:r>
            <w:r>
              <w:rPr>
                <w:rFonts w:ascii="Arabic Typesetting" w:hAnsi="Arabic Typesetting" w:cs="Arabic Typesetting"/>
                <w:color w:val="000000"/>
                <w:sz w:val="28"/>
                <w:szCs w:val="28"/>
              </w:rPr>
              <w:t> </w:t>
            </w:r>
            <w:r w:rsidRPr="004F2B70">
              <w:rPr>
                <w:rFonts w:ascii="Arabic Typesetting" w:hAnsi="Arabic Typesetting" w:cs="Arabic Typesetting"/>
                <w:color w:val="000000"/>
                <w:sz w:val="28"/>
                <w:szCs w:val="28"/>
              </w:rPr>
              <w:t>245</w:t>
            </w:r>
          </w:p>
        </w:tc>
      </w:tr>
    </w:tbl>
    <w:p w14:paraId="0128BFE1" w14:textId="77777777" w:rsidR="00BD3831" w:rsidRPr="004F2B7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F2B70">
        <w:rPr>
          <w:rFonts w:ascii="Arabic Typesetting" w:eastAsia="Arabic Typesetting" w:hAnsi="Arabic Typesetting" w:cs="Arabic Typesetting"/>
          <w:b/>
          <w:bCs/>
          <w:sz w:val="32"/>
          <w:szCs w:val="32"/>
          <w:rtl/>
          <w:lang w:eastAsia="ar-EG" w:bidi="ar-EG"/>
        </w:rPr>
        <w:t>إيطاليا</w:t>
      </w:r>
    </w:p>
    <w:tbl>
      <w:tblPr>
        <w:bidiVisual/>
        <w:tblW w:w="5000" w:type="pct"/>
        <w:tblLook w:val="0000" w:firstRow="0" w:lastRow="0" w:firstColumn="0" w:lastColumn="0" w:noHBand="0" w:noVBand="0"/>
      </w:tblPr>
      <w:tblGrid>
        <w:gridCol w:w="1888"/>
        <w:gridCol w:w="1307"/>
        <w:gridCol w:w="2153"/>
        <w:gridCol w:w="4223"/>
      </w:tblGrid>
      <w:tr w:rsidR="00BD3831" w:rsidRPr="00CE1677" w14:paraId="5F3395E0" w14:textId="77777777" w:rsidTr="00DF6715">
        <w:trPr>
          <w:cantSplit/>
        </w:trPr>
        <w:tc>
          <w:tcPr>
            <w:tcW w:w="5000" w:type="pct"/>
            <w:gridSpan w:val="4"/>
            <w:shd w:val="clear" w:color="auto" w:fill="C6D9F1"/>
            <w:vAlign w:val="center"/>
          </w:tcPr>
          <w:p w14:paraId="1355D75C"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Pr>
                <w:rFonts w:ascii="Arabic Typesetting" w:eastAsia="Arabic Typesetting" w:hAnsi="Arabic Typesetting" w:cs="Arabic Typesetting" w:hint="cs"/>
                <w:sz w:val="28"/>
                <w:szCs w:val="28"/>
                <w:rtl/>
                <w:lang w:eastAsia="ar-EG" w:bidi="ar-EG"/>
              </w:rPr>
              <w:t xml:space="preserve">ه2.4 </w:t>
            </w:r>
            <w:r w:rsidRPr="00CE1677">
              <w:rPr>
                <w:rFonts w:ascii="Arabic Typesetting" w:eastAsia="Arabic Typesetting" w:hAnsi="Arabic Typesetting" w:cs="Arabic Typesetting"/>
                <w:sz w:val="28"/>
                <w:szCs w:val="28"/>
                <w:rtl/>
                <w:lang w:eastAsia="ar-EG" w:bidi="ar-EG"/>
              </w:rPr>
              <w:t>نفاذ محسّن إلى المعلومات المتعلقة بالملكية الفكرية واستخدامها من قبل مؤسسات الملكية الفكرية والجمهور لتشجيع الابتكار</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والإبداع</w:t>
            </w:r>
          </w:p>
        </w:tc>
      </w:tr>
      <w:tr w:rsidR="00BD3831" w:rsidRPr="00CE1677" w14:paraId="204EB9B4" w14:textId="77777777" w:rsidTr="00DF6715">
        <w:trPr>
          <w:cantSplit/>
        </w:trPr>
        <w:tc>
          <w:tcPr>
            <w:tcW w:w="986" w:type="pct"/>
            <w:vAlign w:val="center"/>
          </w:tcPr>
          <w:p w14:paraId="59099338"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83" w:type="pct"/>
            <w:tcMar>
              <w:top w:w="110" w:type="dxa"/>
            </w:tcMar>
            <w:vAlign w:val="center"/>
          </w:tcPr>
          <w:p w14:paraId="5F61AF99"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25" w:type="pct"/>
            <w:tcMar>
              <w:top w:w="110" w:type="dxa"/>
            </w:tcMar>
            <w:vAlign w:val="center"/>
          </w:tcPr>
          <w:p w14:paraId="419A5BC5"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206" w:type="pct"/>
            <w:shd w:val="clear" w:color="auto" w:fill="FFFFFF"/>
            <w:tcMar>
              <w:top w:w="110" w:type="dxa"/>
            </w:tcMar>
            <w:vAlign w:val="center"/>
          </w:tcPr>
          <w:p w14:paraId="59BF7094"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267FCA94" w14:textId="77777777" w:rsidTr="00DF6715">
        <w:tblPrEx>
          <w:tblLook w:val="04A0" w:firstRow="1" w:lastRow="0" w:firstColumn="1" w:lastColumn="0" w:noHBand="0" w:noVBand="1"/>
        </w:tblPrEx>
        <w:trPr>
          <w:cantSplit/>
          <w:trHeight w:val="473"/>
        </w:trPr>
        <w:tc>
          <w:tcPr>
            <w:tcW w:w="986" w:type="pct"/>
          </w:tcPr>
          <w:p w14:paraId="0737035D" w14:textId="77777777" w:rsidR="00BD3831" w:rsidRPr="004F2B70"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إنشاء قاعدة بيانات للبراءات الوطنية على الإنترنت في المكتب الإيطالي للبراءات والعلامات التجارية</w:t>
            </w:r>
          </w:p>
        </w:tc>
        <w:tc>
          <w:tcPr>
            <w:tcW w:w="683" w:type="pct"/>
          </w:tcPr>
          <w:p w14:paraId="6488B982"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يونيو 2013 إلى مايو 2016</w:t>
            </w:r>
          </w:p>
        </w:tc>
        <w:tc>
          <w:tcPr>
            <w:tcW w:w="1125" w:type="pct"/>
          </w:tcPr>
          <w:p w14:paraId="6C41AF4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إيطاليا</w:t>
            </w:r>
          </w:p>
        </w:tc>
        <w:tc>
          <w:tcPr>
            <w:tcW w:w="2206" w:type="pct"/>
          </w:tcPr>
          <w:p w14:paraId="2EEF1F9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تسهيل مشاركة إيطاليا في الترتيبات الحالية المتعددة الأطراف لتبادل معلومات ووثائق البراءات؛ "2" ووضع أسس مشاركة إيطاليا في ركن البراءات وفي قواعد بيانات البراءات</w:t>
            </w:r>
            <w:r>
              <w:rPr>
                <w:rFonts w:ascii="Arabic Typesetting" w:eastAsia="Arabic Typesetting" w:hAnsi="Arabic Typesetting" w:cs="Arabic Typesetting"/>
                <w:sz w:val="28"/>
                <w:szCs w:val="28"/>
                <w:rtl/>
                <w:lang w:eastAsia="ar-EG" w:bidi="ar-EG"/>
              </w:rPr>
              <w:t xml:space="preserve"> الدولية أو العالمية الأخرى (مث</w:t>
            </w:r>
            <w:r>
              <w:rPr>
                <w:rFonts w:ascii="Arabic Typesetting" w:eastAsia="Arabic Typesetting" w:hAnsi="Arabic Typesetting" w:cs="Arabic Typesetting" w:hint="cs"/>
                <w:sz w:val="28"/>
                <w:szCs w:val="28"/>
                <w:rtl/>
                <w:lang w:eastAsia="ar-EG" w:bidi="ar-EG"/>
              </w:rPr>
              <w:t xml:space="preserve">ل </w:t>
            </w:r>
            <w:r w:rsidRPr="00CE1677">
              <w:rPr>
                <w:rFonts w:ascii="Arabic Typesetting" w:eastAsia="Arabic Typesetting" w:hAnsi="Arabic Typesetting" w:cs="Arabic Typesetting"/>
                <w:sz w:val="28"/>
                <w:szCs w:val="28"/>
                <w:lang w:eastAsia="ar-EG" w:bidi="ar-EG"/>
              </w:rPr>
              <w:t>EspaceNet</w:t>
            </w:r>
            <w:r>
              <w:rPr>
                <w:rFonts w:ascii="Arabic Typesetting" w:eastAsia="Arabic Typesetting" w:hAnsi="Arabic Typesetting" w:cs="Arabic Typesetting" w:hint="cs"/>
                <w:sz w:val="28"/>
                <w:szCs w:val="28"/>
                <w:rtl/>
                <w:lang w:eastAsia="ar-EG" w:bidi="ar-EG"/>
              </w:rPr>
              <w:t>)</w:t>
            </w:r>
            <w:r w:rsidRPr="00CE1677">
              <w:rPr>
                <w:rFonts w:ascii="Arabic Typesetting" w:eastAsia="Arabic Typesetting" w:hAnsi="Arabic Typesetting" w:cs="Arabic Typesetting"/>
                <w:sz w:val="28"/>
                <w:szCs w:val="28"/>
                <w:rtl/>
                <w:lang w:eastAsia="ar-EG" w:bidi="ar-EG"/>
              </w:rPr>
              <w:t>؛ "3" والمساهمة في زيادة نشر مجموعات البراءات الرقمية لفائدة كل الدول الأعضاء في الويبو بما</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في</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ذلك البلدان النامية</w:t>
            </w:r>
          </w:p>
          <w:p w14:paraId="269B14F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بدأ المشروع في عام 2013 واختُتم بنجاح بنشر المجموعة الكاملة لإيداعات البراءات الو</w:t>
            </w:r>
            <w:r>
              <w:rPr>
                <w:rFonts w:ascii="Arabic Typesetting" w:eastAsia="Arabic Typesetting" w:hAnsi="Arabic Typesetting" w:cs="Arabic Typesetting"/>
                <w:sz w:val="28"/>
                <w:szCs w:val="28"/>
                <w:rtl/>
                <w:lang w:eastAsia="ar-EG" w:bidi="ar-EG"/>
              </w:rPr>
              <w:t>رقية منذ عام 2008 على الإنترنت.</w:t>
            </w:r>
            <w:r w:rsidRPr="00CE1677">
              <w:rPr>
                <w:rFonts w:ascii="Arabic Typesetting" w:eastAsia="Arabic Typesetting" w:hAnsi="Arabic Typesetting" w:cs="Arabic Typesetting"/>
                <w:sz w:val="28"/>
                <w:szCs w:val="28"/>
                <w:rtl/>
                <w:lang w:eastAsia="ar-EG" w:bidi="ar-EG"/>
              </w:rPr>
              <w:t xml:space="preserve"> وبدأ تشغيل قاعدة البيانات منذ شهر مايو 2016 وساهمت في زيادة نشر مجموعات البراءات المرقمنة لفائدة كل الدول الأعضاء في الويبو بما</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في ذلك البلدان النامية</w:t>
            </w:r>
          </w:p>
        </w:tc>
      </w:tr>
    </w:tbl>
    <w:p w14:paraId="0F8B65DD" w14:textId="77777777" w:rsidR="00BD3831" w:rsidRPr="004F2B7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F2B70">
        <w:rPr>
          <w:rFonts w:ascii="Arabic Typesetting" w:eastAsia="Arabic Typesetting" w:hAnsi="Arabic Typesetting" w:cs="Arabic Typesetting"/>
          <w:b/>
          <w:bCs/>
          <w:sz w:val="32"/>
          <w:szCs w:val="32"/>
          <w:rtl/>
          <w:lang w:eastAsia="ar-EG" w:bidi="ar-EG"/>
        </w:rPr>
        <w:t>إيطاليا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510410DD" w14:textId="77777777" w:rsidTr="00DF6715">
        <w:trPr>
          <w:trHeight w:val="544"/>
        </w:trPr>
        <w:tc>
          <w:tcPr>
            <w:tcW w:w="1000" w:type="pct"/>
            <w:tcBorders>
              <w:top w:val="nil"/>
              <w:left w:val="nil"/>
              <w:bottom w:val="nil"/>
              <w:right w:val="nil"/>
            </w:tcBorders>
            <w:shd w:val="clear" w:color="000000" w:fill="C5D9F1"/>
            <w:vAlign w:val="center"/>
            <w:hideMark/>
          </w:tcPr>
          <w:p w14:paraId="71CF7772"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3F26380A"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3840B991"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261BB2AA"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0FA1E613"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5BC2181A" w14:textId="77777777" w:rsidTr="00DF6715">
        <w:trPr>
          <w:trHeight w:val="356"/>
        </w:trPr>
        <w:tc>
          <w:tcPr>
            <w:tcW w:w="1000" w:type="pct"/>
            <w:tcBorders>
              <w:top w:val="nil"/>
              <w:left w:val="nil"/>
              <w:bottom w:val="nil"/>
              <w:right w:val="nil"/>
            </w:tcBorders>
            <w:shd w:val="clear" w:color="auto" w:fill="auto"/>
            <w:noWrap/>
            <w:vAlign w:val="bottom"/>
            <w:hideMark/>
          </w:tcPr>
          <w:p w14:paraId="2407BD56" w14:textId="77777777" w:rsidR="00BD3831" w:rsidRPr="004F2B70" w:rsidRDefault="00BD3831" w:rsidP="0031289D">
            <w:pPr>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796</w:t>
            </w:r>
            <w:r>
              <w:rPr>
                <w:rFonts w:ascii="Arabic Typesetting" w:hAnsi="Arabic Typesetting" w:cs="Arabic Typesetting"/>
                <w:color w:val="000000"/>
                <w:sz w:val="28"/>
                <w:szCs w:val="28"/>
              </w:rPr>
              <w:t> </w:t>
            </w:r>
            <w:r w:rsidRPr="004F2B70">
              <w:rPr>
                <w:rFonts w:ascii="Arabic Typesetting" w:hAnsi="Arabic Typesetting" w:cs="Arabic Typesetting"/>
                <w:color w:val="000000"/>
                <w:sz w:val="28"/>
                <w:szCs w:val="28"/>
              </w:rPr>
              <w:t>598</w:t>
            </w:r>
          </w:p>
        </w:tc>
        <w:tc>
          <w:tcPr>
            <w:tcW w:w="1000" w:type="pct"/>
            <w:tcBorders>
              <w:top w:val="nil"/>
              <w:left w:val="nil"/>
              <w:bottom w:val="nil"/>
              <w:right w:val="nil"/>
            </w:tcBorders>
            <w:shd w:val="clear" w:color="auto" w:fill="auto"/>
            <w:noWrap/>
            <w:vAlign w:val="bottom"/>
            <w:hideMark/>
          </w:tcPr>
          <w:p w14:paraId="57F757EB" w14:textId="77777777" w:rsidR="00BD3831" w:rsidRPr="004F2B70" w:rsidRDefault="00BD3831" w:rsidP="0031289D">
            <w:pPr>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46F4BDBE" w14:textId="77777777" w:rsidR="00BD3831" w:rsidRPr="004F2B70" w:rsidRDefault="00BD3831" w:rsidP="0031289D">
            <w:pPr>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81</w:t>
            </w:r>
            <w:r>
              <w:rPr>
                <w:rFonts w:ascii="Arabic Typesetting" w:hAnsi="Arabic Typesetting" w:cs="Arabic Typesetting"/>
                <w:color w:val="000000"/>
                <w:sz w:val="28"/>
                <w:szCs w:val="28"/>
              </w:rPr>
              <w:t> </w:t>
            </w:r>
            <w:r w:rsidRPr="004F2B70">
              <w:rPr>
                <w:rFonts w:ascii="Arabic Typesetting" w:hAnsi="Arabic Typesetting" w:cs="Arabic Typesetting"/>
                <w:color w:val="000000"/>
                <w:sz w:val="28"/>
                <w:szCs w:val="28"/>
              </w:rPr>
              <w:t>503</w:t>
            </w:r>
          </w:p>
        </w:tc>
        <w:tc>
          <w:tcPr>
            <w:tcW w:w="1000" w:type="pct"/>
            <w:tcBorders>
              <w:top w:val="nil"/>
              <w:left w:val="nil"/>
              <w:bottom w:val="nil"/>
              <w:right w:val="nil"/>
            </w:tcBorders>
            <w:shd w:val="clear" w:color="auto" w:fill="auto"/>
            <w:noWrap/>
            <w:vAlign w:val="bottom"/>
            <w:hideMark/>
          </w:tcPr>
          <w:p w14:paraId="36200707" w14:textId="77777777" w:rsidR="00BD3831" w:rsidRPr="004F2B70" w:rsidRDefault="00BD3831" w:rsidP="0031289D">
            <w:pPr>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05BA6BB1" w14:textId="77777777" w:rsidR="00BD3831" w:rsidRPr="004F2B70" w:rsidRDefault="00BD3831" w:rsidP="0031289D">
            <w:pPr>
              <w:jc w:val="center"/>
              <w:rPr>
                <w:rFonts w:ascii="Arabic Typesetting" w:hAnsi="Arabic Typesetting" w:cs="Arabic Typesetting"/>
                <w:color w:val="000000"/>
                <w:sz w:val="28"/>
                <w:szCs w:val="28"/>
              </w:rPr>
            </w:pPr>
            <w:r w:rsidRPr="004F2B70">
              <w:rPr>
                <w:rFonts w:ascii="Arabic Typesetting" w:hAnsi="Arabic Typesetting" w:cs="Arabic Typesetting"/>
                <w:color w:val="000000"/>
                <w:sz w:val="28"/>
                <w:szCs w:val="28"/>
              </w:rPr>
              <w:t>715</w:t>
            </w:r>
            <w:r>
              <w:rPr>
                <w:rFonts w:ascii="Arabic Typesetting" w:hAnsi="Arabic Typesetting" w:cs="Arabic Typesetting"/>
                <w:color w:val="000000"/>
                <w:sz w:val="28"/>
                <w:szCs w:val="28"/>
              </w:rPr>
              <w:t> </w:t>
            </w:r>
            <w:r w:rsidRPr="004F2B70">
              <w:rPr>
                <w:rFonts w:ascii="Arabic Typesetting" w:hAnsi="Arabic Typesetting" w:cs="Arabic Typesetting"/>
                <w:color w:val="000000"/>
                <w:sz w:val="28"/>
                <w:szCs w:val="28"/>
              </w:rPr>
              <w:t>095</w:t>
            </w:r>
          </w:p>
        </w:tc>
      </w:tr>
    </w:tbl>
    <w:p w14:paraId="40237D21" w14:textId="77777777" w:rsidR="00BD3831" w:rsidRPr="004F2B70"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F2B70">
        <w:rPr>
          <w:rFonts w:ascii="Arabic Typesetting" w:eastAsia="Arabic Typesetting" w:hAnsi="Arabic Typesetting" w:cs="Arabic Typesetting"/>
          <w:b/>
          <w:bCs/>
          <w:sz w:val="32"/>
          <w:szCs w:val="32"/>
          <w:rtl/>
          <w:lang w:eastAsia="ar-EG" w:bidi="ar-EG"/>
        </w:rPr>
        <w:lastRenderedPageBreak/>
        <w:t>اليابان/حق المؤلف</w:t>
      </w:r>
    </w:p>
    <w:tbl>
      <w:tblPr>
        <w:bidiVisual/>
        <w:tblW w:w="5000" w:type="pct"/>
        <w:tblLook w:val="0000" w:firstRow="0" w:lastRow="0" w:firstColumn="0" w:lastColumn="0" w:noHBand="0" w:noVBand="0"/>
      </w:tblPr>
      <w:tblGrid>
        <w:gridCol w:w="1861"/>
        <w:gridCol w:w="1149"/>
        <w:gridCol w:w="2222"/>
        <w:gridCol w:w="4339"/>
      </w:tblGrid>
      <w:tr w:rsidR="00BD3831" w:rsidRPr="00CE1677" w14:paraId="66A95DA9" w14:textId="77777777" w:rsidTr="00DF6715">
        <w:tc>
          <w:tcPr>
            <w:tcW w:w="5000" w:type="pct"/>
            <w:gridSpan w:val="4"/>
            <w:shd w:val="clear" w:color="auto" w:fill="C6D9F1"/>
            <w:vAlign w:val="center"/>
          </w:tcPr>
          <w:p w14:paraId="2C84331B"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shd w:val="clear" w:color="auto" w:fill="C6D9F1"/>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color w:val="000000"/>
                <w:sz w:val="28"/>
                <w:szCs w:val="28"/>
                <w:shd w:val="clear" w:color="auto" w:fill="C6D9F1"/>
                <w:rtl/>
                <w:lang w:eastAsia="ar-EG" w:bidi="ar-EG"/>
              </w:rPr>
              <w:t xml:space="preserve">ه2.3 </w:t>
            </w:r>
            <w:r w:rsidRPr="00CE1677">
              <w:rPr>
                <w:rFonts w:ascii="Arabic Typesetting" w:eastAsia="Arabic Typesetting" w:hAnsi="Arabic Typesetting" w:cs="Arabic Typesetting"/>
                <w:sz w:val="28"/>
                <w:szCs w:val="28"/>
                <w:rtl/>
                <w:lang w:eastAsia="ar-EG" w:bidi="ar-EG"/>
              </w:rPr>
              <w:t>كفاءات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‏معزَّزة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‏للموارد</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‏البشرية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‏القادرة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‏على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‏تلبية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‏تشكيلة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‏واسعة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‏من المتطلبات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‏لتسخير</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‏الملكية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‏الفكرية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‏بفعالية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‏لأغراض</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‏التنمية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‏في</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‏النامية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‏الأقل</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‏نموا</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‏المنتقلة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‏إلى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‏نظام الاقتصاد الحر</w:t>
            </w:r>
          </w:p>
        </w:tc>
      </w:tr>
      <w:tr w:rsidR="00BD3831" w:rsidRPr="00CE1677" w14:paraId="42EF2D79" w14:textId="77777777" w:rsidTr="00DF6715">
        <w:tc>
          <w:tcPr>
            <w:tcW w:w="972" w:type="pct"/>
            <w:vAlign w:val="center"/>
          </w:tcPr>
          <w:p w14:paraId="0A7B07D8"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00" w:type="pct"/>
            <w:shd w:val="clear" w:color="auto" w:fill="auto"/>
            <w:tcMar>
              <w:top w:w="110" w:type="dxa"/>
            </w:tcMar>
            <w:vAlign w:val="center"/>
          </w:tcPr>
          <w:p w14:paraId="2CE8AF14"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61" w:type="pct"/>
            <w:shd w:val="clear" w:color="auto" w:fill="auto"/>
            <w:tcMar>
              <w:top w:w="110" w:type="dxa"/>
            </w:tcMar>
            <w:vAlign w:val="center"/>
          </w:tcPr>
          <w:p w14:paraId="75916249"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267" w:type="pct"/>
            <w:shd w:val="clear" w:color="auto" w:fill="FFFFFF"/>
            <w:tcMar>
              <w:top w:w="110" w:type="dxa"/>
            </w:tcMar>
            <w:vAlign w:val="center"/>
          </w:tcPr>
          <w:p w14:paraId="65748A6C"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0D61907F" w14:textId="77777777" w:rsidTr="00DF6715">
        <w:trPr>
          <w:cantSplit/>
          <w:trHeight w:val="520"/>
        </w:trPr>
        <w:tc>
          <w:tcPr>
            <w:tcW w:w="972" w:type="pct"/>
          </w:tcPr>
          <w:p w14:paraId="6CB0456F" w14:textId="77777777" w:rsidR="00BD3831" w:rsidRPr="00CE1677" w:rsidDel="009E0498"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وطنية بشأن التوعية بحق المؤلف والحقوق المجاورة</w:t>
            </w:r>
          </w:p>
        </w:tc>
        <w:tc>
          <w:tcPr>
            <w:tcW w:w="600" w:type="pct"/>
          </w:tcPr>
          <w:p w14:paraId="4164A24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18 و19 يناير 2016</w:t>
            </w:r>
          </w:p>
        </w:tc>
        <w:tc>
          <w:tcPr>
            <w:tcW w:w="1161" w:type="pct"/>
          </w:tcPr>
          <w:p w14:paraId="4CB2F18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سري لانكا/ أكثر من 60 مشاركاً محلياً</w:t>
            </w:r>
          </w:p>
        </w:tc>
        <w:tc>
          <w:tcPr>
            <w:tcW w:w="2267" w:type="pct"/>
          </w:tcPr>
          <w:p w14:paraId="07E8E9E4" w14:textId="77777777" w:rsidR="00BD3831" w:rsidRPr="00CE1677" w:rsidDel="00152E3E"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تعزيز فهم أهمية نظام متوازن لحق المؤلف للتنمية الاقتصادية والثقافية في البلد؛ "2" ومناقشة أساليب ونهوج إزكاء الوعي لدى المسؤولين وأصحاب المصلحة الحكوميين</w:t>
            </w:r>
          </w:p>
        </w:tc>
      </w:tr>
      <w:tr w:rsidR="00BD3831" w:rsidRPr="00CE1677" w14:paraId="1EA835A4" w14:textId="77777777" w:rsidTr="00DF6715">
        <w:trPr>
          <w:trHeight w:val="520"/>
        </w:trPr>
        <w:tc>
          <w:tcPr>
            <w:tcW w:w="972" w:type="pct"/>
          </w:tcPr>
          <w:p w14:paraId="72F1023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دون إقليمية بشأن حق المؤلف والحقوق المجاورة لفائدة متخذي القرارات في جنوب المحيط الهادئ</w:t>
            </w:r>
          </w:p>
        </w:tc>
        <w:tc>
          <w:tcPr>
            <w:tcW w:w="600" w:type="pct"/>
          </w:tcPr>
          <w:p w14:paraId="22F007E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24 إلى 26 فبراير 2016</w:t>
            </w:r>
          </w:p>
        </w:tc>
        <w:tc>
          <w:tcPr>
            <w:tcW w:w="1161" w:type="pct"/>
          </w:tcPr>
          <w:p w14:paraId="6D6ADFE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أستراليا/ 15 مشاركاً من جزر كوك وفيجي وكيريباس وناورو ونيوي وبابوا غينيا الجديدة وجمهورية جزر مارشال وسام</w:t>
            </w:r>
            <w:r>
              <w:rPr>
                <w:rFonts w:ascii="Arabic Typesetting" w:eastAsia="Arabic Typesetting" w:hAnsi="Arabic Typesetting" w:cs="Arabic Typesetting"/>
                <w:color w:val="000000"/>
                <w:sz w:val="28"/>
                <w:szCs w:val="28"/>
                <w:rtl/>
                <w:lang w:eastAsia="ar-EG" w:bidi="ar-EG"/>
              </w:rPr>
              <w:t>وا وجزر سليمان وتونغا وفانواتو</w:t>
            </w:r>
          </w:p>
        </w:tc>
        <w:tc>
          <w:tcPr>
            <w:tcW w:w="2267" w:type="pct"/>
          </w:tcPr>
          <w:p w14:paraId="381BD43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تبادل المعلومات عن القضايا والتحديات والمستجدات المتعلقة بحق المؤلف والحقوق المجاورة؛ "2" وتبادل الآراء والخبرات في إنشاء نظم حق المؤلف وتعزيزها وتكوين الكفاءات في مجال صياغة السياسات بما في ذلك تلك المتعلقة بالتنمية الثقافية والاقتصادية؛ "3" وبحث مجالات التعاون الجديدة المحتملة في</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المنطقة</w:t>
            </w:r>
          </w:p>
        </w:tc>
      </w:tr>
      <w:tr w:rsidR="00BD3831" w:rsidRPr="00CE1677" w14:paraId="5FF20DD5" w14:textId="77777777" w:rsidTr="00DF6715">
        <w:trPr>
          <w:trHeight w:val="520"/>
        </w:trPr>
        <w:tc>
          <w:tcPr>
            <w:tcW w:w="972" w:type="pct"/>
          </w:tcPr>
          <w:p w14:paraId="361EA640" w14:textId="77777777" w:rsidR="00BD3831" w:rsidRPr="00CE1677" w:rsidDel="009E0498"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وطنية بشأن التوعية بحق المؤلف والحقوق المجاورة</w:t>
            </w:r>
          </w:p>
        </w:tc>
        <w:tc>
          <w:tcPr>
            <w:tcW w:w="600" w:type="pct"/>
          </w:tcPr>
          <w:p w14:paraId="50DCBEA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12 و13 مايو 2016</w:t>
            </w:r>
          </w:p>
        </w:tc>
        <w:tc>
          <w:tcPr>
            <w:tcW w:w="1161" w:type="pct"/>
          </w:tcPr>
          <w:p w14:paraId="3F8A67C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جمهورية لاو الديمقراطية الشعبية/ نحو 50 مشاركاً محلياً</w:t>
            </w:r>
          </w:p>
        </w:tc>
        <w:tc>
          <w:tcPr>
            <w:tcW w:w="2267" w:type="pct"/>
          </w:tcPr>
          <w:p w14:paraId="3BBD1597" w14:textId="77777777" w:rsidR="00BD3831" w:rsidRPr="00CE1677" w:rsidDel="00152E3E"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إزكاء الوعي بحق المؤلف والحقوق المجاورة؛ "2" </w:t>
            </w:r>
            <w:r>
              <w:rPr>
                <w:rFonts w:ascii="Arabic Typesetting" w:eastAsia="Arabic Typesetting" w:hAnsi="Arabic Typesetting" w:cs="Arabic Typesetting" w:hint="cs"/>
                <w:color w:val="000000"/>
                <w:sz w:val="28"/>
                <w:szCs w:val="28"/>
                <w:rtl/>
                <w:lang w:eastAsia="ar-EG" w:bidi="ar-EG"/>
              </w:rPr>
              <w:t>و</w:t>
            </w:r>
            <w:r w:rsidRPr="00CE1677">
              <w:rPr>
                <w:rFonts w:ascii="Arabic Typesetting" w:eastAsia="Arabic Typesetting" w:hAnsi="Arabic Typesetting" w:cs="Arabic Typesetting"/>
                <w:color w:val="000000"/>
                <w:sz w:val="28"/>
                <w:szCs w:val="28"/>
                <w:rtl/>
                <w:lang w:eastAsia="ar-EG" w:bidi="ar-EG"/>
              </w:rPr>
              <w:t>تعزيز فهم دور حق المؤلف في تعزيز التنمية الثقا</w:t>
            </w:r>
            <w:r>
              <w:rPr>
                <w:rFonts w:ascii="Arabic Typesetting" w:eastAsia="Arabic Typesetting" w:hAnsi="Arabic Typesetting" w:cs="Arabic Typesetting"/>
                <w:color w:val="000000"/>
                <w:sz w:val="28"/>
                <w:szCs w:val="28"/>
                <w:rtl/>
                <w:lang w:eastAsia="ar-EG" w:bidi="ar-EG"/>
              </w:rPr>
              <w:t>فية والاقتصادية وتشجيع</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الإبداع</w:t>
            </w:r>
          </w:p>
        </w:tc>
      </w:tr>
      <w:tr w:rsidR="00BD3831" w:rsidRPr="00CE1677" w14:paraId="2FEBF71A" w14:textId="77777777" w:rsidTr="00DF6715">
        <w:trPr>
          <w:cantSplit/>
          <w:trHeight w:val="520"/>
        </w:trPr>
        <w:tc>
          <w:tcPr>
            <w:tcW w:w="972" w:type="pct"/>
          </w:tcPr>
          <w:p w14:paraId="6409854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دون إقليمية بشأن التوعية بحق المؤلف وتكوين الكفاءات في بلدان الآسيان</w:t>
            </w:r>
          </w:p>
        </w:tc>
        <w:tc>
          <w:tcPr>
            <w:tcW w:w="600" w:type="pct"/>
          </w:tcPr>
          <w:p w14:paraId="5C4A2FD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6 إلى 8 سبتمبر 2016</w:t>
            </w:r>
          </w:p>
        </w:tc>
        <w:tc>
          <w:tcPr>
            <w:tcW w:w="1161" w:type="pct"/>
          </w:tcPr>
          <w:p w14:paraId="251AE09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ماليزيا/ 10 مشاركين من بروني دار السلام وكمبوديا وإندونيسيا وجمهورية لاو الدميقراطية الشعبية وميانمار والفلبين وسنغافورة وتايلند وفييت نام وعدة مشاركين محليين من البلد المضيف</w:t>
            </w:r>
          </w:p>
        </w:tc>
        <w:tc>
          <w:tcPr>
            <w:tcW w:w="2267" w:type="pct"/>
          </w:tcPr>
          <w:p w14:paraId="1325E5C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تبادل الآراء والمعلومات بشأن القضايا والتحديات المتعلقة بالتوعية وتكوين الكفاءات في مجال حق المؤلف والحقوق المجاورة؛ "2" وبحث مجالات التعاون الجديدة الممكنة بين مكاتب حق المؤلف للاستجابة لاحتياجات وصعوبات تكوين الكفاءات في</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المنطقة الفرعية</w:t>
            </w:r>
          </w:p>
        </w:tc>
      </w:tr>
      <w:tr w:rsidR="00BD3831" w:rsidRPr="00CE1677" w14:paraId="0C046A3D" w14:textId="77777777" w:rsidTr="00DF6715">
        <w:trPr>
          <w:trHeight w:val="520"/>
        </w:trPr>
        <w:tc>
          <w:tcPr>
            <w:tcW w:w="5000" w:type="pct"/>
            <w:gridSpan w:val="4"/>
            <w:shd w:val="clear" w:color="auto" w:fill="C6D9F1"/>
          </w:tcPr>
          <w:p w14:paraId="0A73800F" w14:textId="3F561B3C"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Cs/>
                <w:sz w:val="28"/>
                <w:szCs w:val="28"/>
                <w:shd w:val="clear" w:color="auto" w:fill="C6D9F1"/>
                <w:lang w:eastAsia="ar-EG" w:bidi="ar-EG"/>
              </w:rPr>
            </w:pPr>
            <w:r w:rsidRPr="00CE1677">
              <w:rPr>
                <w:rFonts w:ascii="Arabic Typesetting" w:eastAsia="Arabic Typesetting" w:hAnsi="Arabic Typesetting" w:cs="Arabic Typesetting"/>
                <w:b/>
                <w:bCs/>
                <w:sz w:val="28"/>
                <w:szCs w:val="28"/>
                <w:rtl/>
                <w:lang w:eastAsia="ar-EG" w:bidi="ar-EG"/>
              </w:rPr>
              <w:t>النتيجة:</w:t>
            </w:r>
            <w:r w:rsidRPr="00CE1677">
              <w:rPr>
                <w:rFonts w:ascii="Arabic Typesetting" w:eastAsia="Arabic Typesetting" w:hAnsi="Arabic Typesetting" w:cs="Arabic Typesetting"/>
                <w:sz w:val="28"/>
                <w:szCs w:val="28"/>
                <w:rtl/>
                <w:lang w:eastAsia="ar-EG" w:bidi="ar-EG"/>
              </w:rPr>
              <w:t xml:space="preserve"> </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 xml:space="preserve">ه4.4 </w:t>
            </w:r>
            <w:r w:rsidR="007B1E0A">
              <w:rPr>
                <w:rFonts w:ascii="Arabic Typesetting" w:eastAsia="Arabic Typesetting" w:hAnsi="Arabic Typesetting" w:cs="Arabic Typesetting"/>
                <w:sz w:val="28"/>
                <w:szCs w:val="28"/>
                <w:rtl/>
                <w:lang w:eastAsia="ar-EG" w:bidi="ar-EG"/>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r>
      <w:tr w:rsidR="00BD3831" w:rsidRPr="00CE1677" w14:paraId="3DA01545" w14:textId="77777777" w:rsidTr="00DF6715">
        <w:trPr>
          <w:trHeight w:val="520"/>
        </w:trPr>
        <w:tc>
          <w:tcPr>
            <w:tcW w:w="972" w:type="pct"/>
            <w:vAlign w:val="center"/>
          </w:tcPr>
          <w:p w14:paraId="206C4EC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00" w:type="pct"/>
            <w:vAlign w:val="center"/>
          </w:tcPr>
          <w:p w14:paraId="7616C6A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61" w:type="pct"/>
            <w:vAlign w:val="center"/>
          </w:tcPr>
          <w:p w14:paraId="62CF4AB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267" w:type="pct"/>
            <w:vAlign w:val="center"/>
          </w:tcPr>
          <w:p w14:paraId="4571E66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68011054" w14:textId="77777777" w:rsidTr="00DF6715">
        <w:trPr>
          <w:trHeight w:val="520"/>
        </w:trPr>
        <w:tc>
          <w:tcPr>
            <w:tcW w:w="972" w:type="pct"/>
          </w:tcPr>
          <w:p w14:paraId="415CBF7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حول حماية حق المؤلف والحقوق المجاورة</w:t>
            </w:r>
          </w:p>
        </w:tc>
        <w:tc>
          <w:tcPr>
            <w:tcW w:w="600" w:type="pct"/>
          </w:tcPr>
          <w:p w14:paraId="1E2A62C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17 إلى 28 أكتوبر 2016</w:t>
            </w:r>
          </w:p>
        </w:tc>
        <w:tc>
          <w:tcPr>
            <w:tcW w:w="1161" w:type="pct"/>
          </w:tcPr>
          <w:p w14:paraId="5B1BE2E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اليابان/ 8 مشاركين من الصين وباكستان والفلبين وفييت نام</w:t>
            </w:r>
          </w:p>
        </w:tc>
        <w:tc>
          <w:tcPr>
            <w:tcW w:w="2267" w:type="pct"/>
          </w:tcPr>
          <w:p w14:paraId="57DD834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توعية المسؤولين من مكاتب حق المؤلف وغيرها من المؤسسات المعنية في منطقة آسيا والمحيط الهادئ بأهمية حماية حق المؤلف والحقوق المجاورة؛ "2" وتبادل الخبرات مع الزملاء اليابا</w:t>
            </w:r>
            <w:r>
              <w:rPr>
                <w:rFonts w:ascii="Arabic Typesetting" w:eastAsia="Arabic Typesetting" w:hAnsi="Arabic Typesetting" w:cs="Arabic Typesetting"/>
                <w:color w:val="000000"/>
                <w:sz w:val="28"/>
                <w:szCs w:val="28"/>
                <w:rtl/>
                <w:lang w:eastAsia="ar-EG" w:bidi="ar-EG"/>
              </w:rPr>
              <w:t>نيين</w:t>
            </w:r>
          </w:p>
        </w:tc>
      </w:tr>
      <w:tr w:rsidR="00BD3831" w:rsidRPr="00CE1677" w14:paraId="5AD41601" w14:textId="77777777" w:rsidTr="00DF6715">
        <w:trPr>
          <w:trHeight w:val="520"/>
        </w:trPr>
        <w:tc>
          <w:tcPr>
            <w:tcW w:w="972" w:type="pct"/>
          </w:tcPr>
          <w:p w14:paraId="0BDC5DC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زيارة دراسية إلى منظمات إدارة حق المؤلف</w:t>
            </w:r>
          </w:p>
        </w:tc>
        <w:tc>
          <w:tcPr>
            <w:tcW w:w="600" w:type="pct"/>
          </w:tcPr>
          <w:p w14:paraId="200761E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24 إلى 28 أكتوبر 2016</w:t>
            </w:r>
          </w:p>
        </w:tc>
        <w:tc>
          <w:tcPr>
            <w:tcW w:w="1161" w:type="pct"/>
          </w:tcPr>
          <w:p w14:paraId="5643D25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اليابان/ 8 مشاركين من كمبوديا وجزر كوك وجمهورية لاو الديمقراطية الشعبية وملديف وميانمار</w:t>
            </w:r>
          </w:p>
        </w:tc>
        <w:tc>
          <w:tcPr>
            <w:tcW w:w="2267" w:type="pct"/>
          </w:tcPr>
          <w:p w14:paraId="02E9B51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تعميق المعرفة والفهم للمشاركين في مجال إدارة قضايا حق المؤلف؛ "2" وتيسير التنسيق والتعاون بين مكاتب حق المؤلف ومنظمات إدارة حق المؤلف؛ "3" والتعلّم من التجربة اليابانية في مجال حق المؤلف والحقوق المجاورة</w:t>
            </w:r>
          </w:p>
        </w:tc>
      </w:tr>
    </w:tbl>
    <w:p w14:paraId="155D137D" w14:textId="77777777" w:rsidR="00BD3831" w:rsidRPr="00015E32"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015E32">
        <w:rPr>
          <w:rFonts w:ascii="Arabic Typesetting" w:eastAsia="Arabic Typesetting" w:hAnsi="Arabic Typesetting" w:cs="Arabic Typesetting"/>
          <w:b/>
          <w:bCs/>
          <w:sz w:val="32"/>
          <w:szCs w:val="32"/>
          <w:rtl/>
          <w:lang w:eastAsia="ar-EG" w:bidi="ar-EG"/>
        </w:rPr>
        <w:t>اليابان/حق المؤلف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2F1D8378" w14:textId="77777777" w:rsidTr="00DF6715">
        <w:trPr>
          <w:trHeight w:val="544"/>
        </w:trPr>
        <w:tc>
          <w:tcPr>
            <w:tcW w:w="1000" w:type="pct"/>
            <w:tcBorders>
              <w:top w:val="nil"/>
              <w:left w:val="nil"/>
              <w:bottom w:val="nil"/>
              <w:right w:val="nil"/>
            </w:tcBorders>
            <w:shd w:val="clear" w:color="000000" w:fill="C5D9F1"/>
            <w:vAlign w:val="center"/>
            <w:hideMark/>
          </w:tcPr>
          <w:p w14:paraId="2EC154D7"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49E078F2"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438CC8A3"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0AF9DE33"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2ECDFADC"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1B25F3CC" w14:textId="77777777" w:rsidTr="00DF6715">
        <w:trPr>
          <w:trHeight w:val="356"/>
        </w:trPr>
        <w:tc>
          <w:tcPr>
            <w:tcW w:w="1000" w:type="pct"/>
            <w:tcBorders>
              <w:top w:val="nil"/>
              <w:left w:val="nil"/>
              <w:bottom w:val="nil"/>
              <w:right w:val="nil"/>
            </w:tcBorders>
            <w:shd w:val="clear" w:color="auto" w:fill="auto"/>
            <w:noWrap/>
            <w:vAlign w:val="bottom"/>
            <w:hideMark/>
          </w:tcPr>
          <w:p w14:paraId="1A495941" w14:textId="77777777" w:rsidR="00BD3831" w:rsidRPr="00E33957" w:rsidRDefault="00BD3831" w:rsidP="0031289D">
            <w:pPr>
              <w:jc w:val="center"/>
              <w:rPr>
                <w:rFonts w:ascii="Arabic Typesetting" w:hAnsi="Arabic Typesetting" w:cs="Arabic Typesetting"/>
                <w:color w:val="000000"/>
                <w:sz w:val="28"/>
                <w:szCs w:val="28"/>
              </w:rPr>
            </w:pPr>
            <w:r w:rsidRPr="00E33957">
              <w:rPr>
                <w:rFonts w:ascii="Arabic Typesetting" w:hAnsi="Arabic Typesetting" w:cs="Arabic Typesetting"/>
                <w:color w:val="000000"/>
                <w:sz w:val="28"/>
                <w:szCs w:val="28"/>
              </w:rPr>
              <w:t>344</w:t>
            </w:r>
            <w:r>
              <w:rPr>
                <w:rFonts w:ascii="Arabic Typesetting" w:hAnsi="Arabic Typesetting" w:cs="Arabic Typesetting"/>
                <w:color w:val="000000"/>
                <w:sz w:val="28"/>
                <w:szCs w:val="28"/>
              </w:rPr>
              <w:t> </w:t>
            </w:r>
            <w:r w:rsidRPr="00E33957">
              <w:rPr>
                <w:rFonts w:ascii="Arabic Typesetting" w:hAnsi="Arabic Typesetting" w:cs="Arabic Typesetting"/>
                <w:color w:val="000000"/>
                <w:sz w:val="28"/>
                <w:szCs w:val="28"/>
              </w:rPr>
              <w:t xml:space="preserve">935 </w:t>
            </w:r>
          </w:p>
        </w:tc>
        <w:tc>
          <w:tcPr>
            <w:tcW w:w="1000" w:type="pct"/>
            <w:tcBorders>
              <w:top w:val="nil"/>
              <w:left w:val="nil"/>
              <w:bottom w:val="nil"/>
              <w:right w:val="nil"/>
            </w:tcBorders>
            <w:shd w:val="clear" w:color="auto" w:fill="auto"/>
            <w:noWrap/>
            <w:vAlign w:val="bottom"/>
            <w:hideMark/>
          </w:tcPr>
          <w:p w14:paraId="0AF1D11B" w14:textId="77777777" w:rsidR="00BD3831" w:rsidRPr="00E33957" w:rsidRDefault="00BD3831" w:rsidP="0031289D">
            <w:pPr>
              <w:jc w:val="center"/>
              <w:rPr>
                <w:rFonts w:ascii="Arabic Typesetting" w:hAnsi="Arabic Typesetting" w:cs="Arabic Typesetting"/>
                <w:color w:val="000000"/>
                <w:sz w:val="28"/>
                <w:szCs w:val="28"/>
              </w:rPr>
            </w:pPr>
            <w:r w:rsidRPr="00E33957">
              <w:rPr>
                <w:rFonts w:ascii="Arabic Typesetting" w:hAnsi="Arabic Typesetting" w:cs="Arabic Typesetting"/>
                <w:color w:val="000000"/>
                <w:sz w:val="28"/>
                <w:szCs w:val="28"/>
              </w:rPr>
              <w:t>468</w:t>
            </w:r>
            <w:r>
              <w:rPr>
                <w:rFonts w:ascii="Arabic Typesetting" w:hAnsi="Arabic Typesetting" w:cs="Arabic Typesetting"/>
                <w:color w:val="000000"/>
                <w:sz w:val="28"/>
                <w:szCs w:val="28"/>
              </w:rPr>
              <w:t> </w:t>
            </w:r>
            <w:r w:rsidRPr="00E33957">
              <w:rPr>
                <w:rFonts w:ascii="Arabic Typesetting" w:hAnsi="Arabic Typesetting" w:cs="Arabic Typesetting"/>
                <w:color w:val="000000"/>
                <w:sz w:val="28"/>
                <w:szCs w:val="28"/>
              </w:rPr>
              <w:t xml:space="preserve">973 </w:t>
            </w:r>
          </w:p>
        </w:tc>
        <w:tc>
          <w:tcPr>
            <w:tcW w:w="1000" w:type="pct"/>
            <w:tcBorders>
              <w:top w:val="nil"/>
              <w:left w:val="nil"/>
              <w:bottom w:val="nil"/>
              <w:right w:val="nil"/>
            </w:tcBorders>
            <w:shd w:val="clear" w:color="auto" w:fill="auto"/>
            <w:noWrap/>
            <w:vAlign w:val="bottom"/>
            <w:hideMark/>
          </w:tcPr>
          <w:p w14:paraId="79EFBF03" w14:textId="77777777" w:rsidR="00BD3831" w:rsidRPr="00E33957" w:rsidRDefault="00BD3831" w:rsidP="0031289D">
            <w:pPr>
              <w:jc w:val="center"/>
              <w:rPr>
                <w:rFonts w:ascii="Arabic Typesetting" w:hAnsi="Arabic Typesetting" w:cs="Arabic Typesetting"/>
                <w:color w:val="000000"/>
                <w:sz w:val="28"/>
                <w:szCs w:val="28"/>
              </w:rPr>
            </w:pPr>
            <w:r w:rsidRPr="00E33957">
              <w:rPr>
                <w:rFonts w:ascii="Arabic Typesetting" w:hAnsi="Arabic Typesetting" w:cs="Arabic Typesetting"/>
                <w:color w:val="000000"/>
                <w:sz w:val="28"/>
                <w:szCs w:val="28"/>
              </w:rPr>
              <w:t>530</w:t>
            </w:r>
            <w:r>
              <w:rPr>
                <w:rFonts w:ascii="Arabic Typesetting" w:hAnsi="Arabic Typesetting" w:cs="Arabic Typesetting"/>
                <w:color w:val="000000"/>
                <w:sz w:val="28"/>
                <w:szCs w:val="28"/>
              </w:rPr>
              <w:t> </w:t>
            </w:r>
            <w:r w:rsidRPr="00E33957">
              <w:rPr>
                <w:rFonts w:ascii="Arabic Typesetting" w:hAnsi="Arabic Typesetting" w:cs="Arabic Typesetting"/>
                <w:color w:val="000000"/>
                <w:sz w:val="28"/>
                <w:szCs w:val="28"/>
              </w:rPr>
              <w:t xml:space="preserve">717 </w:t>
            </w:r>
          </w:p>
        </w:tc>
        <w:tc>
          <w:tcPr>
            <w:tcW w:w="1000" w:type="pct"/>
            <w:tcBorders>
              <w:top w:val="nil"/>
              <w:left w:val="nil"/>
              <w:bottom w:val="nil"/>
              <w:right w:val="nil"/>
            </w:tcBorders>
            <w:shd w:val="clear" w:color="auto" w:fill="auto"/>
            <w:noWrap/>
            <w:vAlign w:val="bottom"/>
            <w:hideMark/>
          </w:tcPr>
          <w:p w14:paraId="7D7FDDDB" w14:textId="77777777" w:rsidR="00BD3831" w:rsidRPr="00E33957" w:rsidRDefault="00BD3831" w:rsidP="0031289D">
            <w:pPr>
              <w:jc w:val="center"/>
              <w:rPr>
                <w:rFonts w:ascii="Arabic Typesetting" w:hAnsi="Arabic Typesetting" w:cs="Arabic Typesetting"/>
                <w:color w:val="000000"/>
                <w:sz w:val="28"/>
                <w:szCs w:val="28"/>
              </w:rPr>
            </w:pPr>
            <w:r w:rsidRPr="00E33957">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2D6F1FDC" w14:textId="77777777" w:rsidR="00BD3831" w:rsidRPr="00E33957" w:rsidRDefault="00BD3831" w:rsidP="0031289D">
            <w:pPr>
              <w:jc w:val="center"/>
              <w:rPr>
                <w:rFonts w:ascii="Arabic Typesetting" w:hAnsi="Arabic Typesetting" w:cs="Arabic Typesetting"/>
                <w:color w:val="000000"/>
                <w:sz w:val="28"/>
                <w:szCs w:val="28"/>
              </w:rPr>
            </w:pPr>
            <w:r w:rsidRPr="00E33957">
              <w:rPr>
                <w:rFonts w:ascii="Arabic Typesetting" w:hAnsi="Arabic Typesetting" w:cs="Arabic Typesetting"/>
                <w:color w:val="000000"/>
                <w:sz w:val="28"/>
                <w:szCs w:val="28"/>
              </w:rPr>
              <w:t>283</w:t>
            </w:r>
            <w:r>
              <w:rPr>
                <w:rFonts w:ascii="Arabic Typesetting" w:hAnsi="Arabic Typesetting" w:cs="Arabic Typesetting"/>
                <w:color w:val="000000"/>
                <w:sz w:val="28"/>
                <w:szCs w:val="28"/>
              </w:rPr>
              <w:t> </w:t>
            </w:r>
            <w:r w:rsidRPr="00E33957">
              <w:rPr>
                <w:rFonts w:ascii="Arabic Typesetting" w:hAnsi="Arabic Typesetting" w:cs="Arabic Typesetting"/>
                <w:color w:val="000000"/>
                <w:sz w:val="28"/>
                <w:szCs w:val="28"/>
              </w:rPr>
              <w:t>190</w:t>
            </w:r>
          </w:p>
        </w:tc>
      </w:tr>
    </w:tbl>
    <w:p w14:paraId="1A06876B" w14:textId="77777777" w:rsidR="00BD3831" w:rsidRPr="00E33957"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E33957">
        <w:rPr>
          <w:rFonts w:ascii="Arabic Typesetting" w:eastAsia="Arabic Typesetting" w:hAnsi="Arabic Typesetting" w:cs="Arabic Typesetting"/>
          <w:b/>
          <w:bCs/>
          <w:sz w:val="32"/>
          <w:szCs w:val="32"/>
          <w:rtl/>
          <w:lang w:eastAsia="ar-EG" w:bidi="ar-EG"/>
        </w:rPr>
        <w:lastRenderedPageBreak/>
        <w:t>اليابان/الملكية الصناعية</w:t>
      </w:r>
    </w:p>
    <w:tbl>
      <w:tblPr>
        <w:bidiVisual/>
        <w:tblW w:w="5000" w:type="pct"/>
        <w:tblLook w:val="0000" w:firstRow="0" w:lastRow="0" w:firstColumn="0" w:lastColumn="0" w:noHBand="0" w:noVBand="0"/>
      </w:tblPr>
      <w:tblGrid>
        <w:gridCol w:w="1885"/>
        <w:gridCol w:w="1164"/>
        <w:gridCol w:w="2481"/>
        <w:gridCol w:w="4041"/>
      </w:tblGrid>
      <w:tr w:rsidR="00BD3831" w:rsidRPr="00CE1677" w14:paraId="33B32231" w14:textId="77777777" w:rsidTr="00DF6715">
        <w:trPr>
          <w:cantSplit/>
          <w:trHeight w:val="315"/>
        </w:trPr>
        <w:tc>
          <w:tcPr>
            <w:tcW w:w="5000" w:type="pct"/>
            <w:gridSpan w:val="4"/>
            <w:shd w:val="clear" w:color="auto" w:fill="C6D9F1"/>
          </w:tcPr>
          <w:p w14:paraId="0785D117" w14:textId="77777777" w:rsidR="00BD3831" w:rsidRPr="00CE1677" w:rsidRDefault="00BD3831" w:rsidP="0031289D">
            <w:pPr>
              <w:keepNext/>
              <w:keepLines/>
              <w:bidi/>
              <w:spacing w:after="120" w:line="280" w:lineRule="exact"/>
              <w:ind w:left="851" w:hanging="851"/>
              <w:rPr>
                <w:rFonts w:ascii="Arabic Typesetting" w:hAnsi="Arabic Typesetting" w:cs="Arabic Typesetting"/>
                <w:color w:val="000000"/>
                <w:sz w:val="28"/>
                <w:szCs w:val="28"/>
                <w:lang w:eastAsia="ar-EG" w:bidi="ar-EG"/>
              </w:rPr>
            </w:pPr>
            <w:r w:rsidRPr="00CE1677">
              <w:rPr>
                <w:rFonts w:ascii="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Pr>
                <w:rFonts w:ascii="Arabic Typesetting" w:hAnsi="Arabic Typesetting" w:cs="Arabic Typesetting" w:hint="cs"/>
                <w:sz w:val="28"/>
                <w:szCs w:val="28"/>
                <w:rtl/>
                <w:lang w:eastAsia="ar-EG" w:bidi="ar-EG"/>
              </w:rPr>
              <w:t>ه1.2</w:t>
            </w:r>
            <w:r w:rsidRPr="00CE1677">
              <w:rPr>
                <w:rFonts w:ascii="Arabic Typesetting" w:hAnsi="Arabic Typesetting" w:cs="Arabic Typesetting"/>
                <w:sz w:val="28"/>
                <w:szCs w:val="28"/>
                <w:rtl/>
                <w:lang w:eastAsia="ar-EG" w:bidi="ar-EG"/>
              </w:rPr>
              <w:t xml:space="preserve"> </w:t>
            </w:r>
            <w:r w:rsidRPr="00C368FD">
              <w:rPr>
                <w:rFonts w:ascii="Arabic Typesetting" w:eastAsia="Arabic Typesetting" w:hAnsi="Arabic Typesetting" w:cs="Arabic Typesetting"/>
                <w:sz w:val="28"/>
                <w:szCs w:val="28"/>
                <w:rtl/>
                <w:lang w:eastAsia="ar-EG" w:bidi="ar-EG"/>
              </w:rPr>
              <w:t>استخدام</w:t>
            </w:r>
            <w:r w:rsidRPr="00CE1677">
              <w:rPr>
                <w:rFonts w:ascii="Arabic Typesetting" w:hAnsi="Arabic Typesetting" w:cs="Arabic Typesetting"/>
                <w:sz w:val="28"/>
                <w:szCs w:val="28"/>
                <w:rtl/>
                <w:lang w:eastAsia="ar-EG" w:bidi="ar-EG"/>
              </w:rPr>
              <w:t xml:space="preserve"> نظام معاهدة التعاون بشأن البراءات على نطاق أوسع وبفعالية أكبر لإيداع طلبات البراءات الدولية</w:t>
            </w:r>
          </w:p>
        </w:tc>
      </w:tr>
      <w:tr w:rsidR="00BD3831" w:rsidRPr="00CE1677" w14:paraId="742F37CB" w14:textId="77777777" w:rsidTr="00DF6715">
        <w:trPr>
          <w:cantSplit/>
          <w:trHeight w:val="402"/>
        </w:trPr>
        <w:tc>
          <w:tcPr>
            <w:tcW w:w="985" w:type="pct"/>
            <w:vAlign w:val="center"/>
          </w:tcPr>
          <w:p w14:paraId="7A338C89" w14:textId="77777777" w:rsidR="00BD3831" w:rsidRPr="00CE1677" w:rsidRDefault="00BD3831" w:rsidP="0031289D">
            <w:pPr>
              <w:keepNext/>
              <w:keepLines/>
              <w:bidi/>
              <w:spacing w:after="120" w:line="280" w:lineRule="exact"/>
              <w:rPr>
                <w:rFonts w:ascii="Arabic Typesetting" w:hAnsi="Arabic Typesetting" w:cs="Arabic Typesetting"/>
                <w:b/>
                <w:bCs/>
                <w:sz w:val="28"/>
                <w:szCs w:val="28"/>
                <w:lang w:eastAsia="ar-EG" w:bidi="ar-EG"/>
              </w:rPr>
            </w:pPr>
            <w:r w:rsidRPr="00CE1677">
              <w:rPr>
                <w:rFonts w:ascii="Arabic Typesetting" w:hAnsi="Arabic Typesetting" w:cs="Arabic Typesetting"/>
                <w:b/>
                <w:bCs/>
                <w:sz w:val="28"/>
                <w:szCs w:val="28"/>
                <w:rtl/>
                <w:lang w:eastAsia="ar-EG" w:bidi="ar-EG"/>
              </w:rPr>
              <w:t>النشاط</w:t>
            </w:r>
          </w:p>
        </w:tc>
        <w:tc>
          <w:tcPr>
            <w:tcW w:w="608" w:type="pct"/>
            <w:vAlign w:val="center"/>
          </w:tcPr>
          <w:p w14:paraId="26A362B3"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التاريخ</w:t>
            </w:r>
          </w:p>
        </w:tc>
        <w:tc>
          <w:tcPr>
            <w:tcW w:w="1296" w:type="pct"/>
            <w:vAlign w:val="center"/>
          </w:tcPr>
          <w:p w14:paraId="650E3B7A"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Pr>
                <w:rFonts w:ascii="Arabic Typesetting" w:hAnsi="Arabic Typesetting" w:cs="Arabic Typesetting"/>
                <w:b/>
                <w:bCs/>
                <w:sz w:val="28"/>
                <w:szCs w:val="28"/>
                <w:rtl/>
                <w:lang w:eastAsia="ar-EG" w:bidi="ar-EG"/>
              </w:rPr>
              <w:t>البلد المضيف/الجهات </w:t>
            </w:r>
            <w:r w:rsidRPr="00CE1677">
              <w:rPr>
                <w:rFonts w:ascii="Arabic Typesetting" w:hAnsi="Arabic Typesetting" w:cs="Arabic Typesetting"/>
                <w:b/>
                <w:bCs/>
                <w:sz w:val="28"/>
                <w:szCs w:val="28"/>
                <w:rtl/>
                <w:lang w:eastAsia="ar-EG" w:bidi="ar-EG"/>
              </w:rPr>
              <w:t>المستفيدة</w:t>
            </w:r>
          </w:p>
        </w:tc>
        <w:tc>
          <w:tcPr>
            <w:tcW w:w="2111" w:type="pct"/>
            <w:vAlign w:val="center"/>
          </w:tcPr>
          <w:p w14:paraId="6E0C97FA"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الغرض/الوصف</w:t>
            </w:r>
          </w:p>
        </w:tc>
      </w:tr>
      <w:tr w:rsidR="00BD3831" w:rsidRPr="00CE1677" w14:paraId="0198FAE2" w14:textId="77777777" w:rsidTr="00DF6715">
        <w:tblPrEx>
          <w:tblLook w:val="04A0" w:firstRow="1" w:lastRow="0" w:firstColumn="1" w:lastColumn="0" w:noHBand="0" w:noVBand="1"/>
        </w:tblPrEx>
        <w:trPr>
          <w:cantSplit/>
          <w:trHeight w:val="473"/>
        </w:trPr>
        <w:tc>
          <w:tcPr>
            <w:tcW w:w="985" w:type="pct"/>
          </w:tcPr>
          <w:p w14:paraId="527C6F31"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حلقة عمل وطنية بشأن نظام معاهدة البراءات</w:t>
            </w:r>
          </w:p>
        </w:tc>
        <w:tc>
          <w:tcPr>
            <w:tcW w:w="608" w:type="pct"/>
          </w:tcPr>
          <w:p w14:paraId="0AC27BCD"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28 و29 نوفمبر 2016</w:t>
            </w:r>
          </w:p>
        </w:tc>
        <w:tc>
          <w:tcPr>
            <w:tcW w:w="1296" w:type="pct"/>
          </w:tcPr>
          <w:p w14:paraId="62142882"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الهند/ 50 مشاركاً محلياً</w:t>
            </w:r>
          </w:p>
        </w:tc>
        <w:tc>
          <w:tcPr>
            <w:tcW w:w="2111" w:type="pct"/>
          </w:tcPr>
          <w:p w14:paraId="3A62F68B" w14:textId="77777777" w:rsidR="00BD3831" w:rsidRPr="00CE1677" w:rsidRDefault="00BD3831" w:rsidP="0031289D">
            <w:pPr>
              <w:bidi/>
              <w:spacing w:after="120" w:line="280" w:lineRule="exact"/>
              <w:rPr>
                <w:rFonts w:ascii="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تحسين معرفة القضايا المتعلقة بعمل إدارات البحث الدولي وإدارات الفحص التمهيدي الدولي (ومنها تقرير البحث الدولي/تقرير الفحص التمهيدي الدولي بشأن الأهلية للحماية ببراءة - الفصل الثاني)؛</w:t>
            </w:r>
            <w:r w:rsidRPr="00CE1677">
              <w:rPr>
                <w:rFonts w:ascii="Arabic Typesetting" w:hAnsi="Arabic Typesetting" w:cs="Arabic Typesetting"/>
                <w:sz w:val="28"/>
                <w:szCs w:val="28"/>
                <w:rtl/>
                <w:lang w:eastAsia="ar-EG" w:bidi="ar-EG"/>
              </w:rPr>
              <w:t xml:space="preserve"> "2" </w:t>
            </w:r>
            <w:r>
              <w:rPr>
                <w:rFonts w:ascii="Arabic Typesetting" w:hAnsi="Arabic Typesetting" w:cs="Arabic Typesetting" w:hint="cs"/>
                <w:sz w:val="28"/>
                <w:szCs w:val="28"/>
                <w:rtl/>
                <w:lang w:eastAsia="ar-EG" w:bidi="ar-EG"/>
              </w:rPr>
              <w:t>و</w:t>
            </w:r>
            <w:r w:rsidRPr="00CE1677">
              <w:rPr>
                <w:rFonts w:ascii="Arabic Typesetting" w:hAnsi="Arabic Typesetting" w:cs="Arabic Typesetting"/>
                <w:sz w:val="28"/>
                <w:szCs w:val="28"/>
                <w:rtl/>
                <w:lang w:eastAsia="ar-EG" w:bidi="ar-EG"/>
              </w:rPr>
              <w:t>تعزيز مهارات الفاحصين فيما يخص عمل إدارات البحث الدولي والفحص التمهيدي الدولي (ومنها تقرير البحث الدولي وتقرير الفحص التمهيدي الدولي - الفصل الثاني)؛ "3" وتطبيق</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المعارف و</w:t>
            </w:r>
            <w:r>
              <w:rPr>
                <w:rFonts w:ascii="Arabic Typesetting" w:hAnsi="Arabic Typesetting" w:cs="Arabic Typesetting"/>
                <w:sz w:val="28"/>
                <w:szCs w:val="28"/>
                <w:rtl/>
                <w:lang w:eastAsia="ar-EG" w:bidi="ar-EG"/>
              </w:rPr>
              <w:t>المهارات المكتسبة في مكان</w:t>
            </w:r>
            <w:r>
              <w:rPr>
                <w:rFonts w:ascii="Arabic Typesetting" w:hAnsi="Arabic Typesetting" w:cs="Arabic Typesetting" w:hint="cs"/>
                <w:sz w:val="28"/>
                <w:szCs w:val="28"/>
                <w:rtl/>
                <w:lang w:eastAsia="ar-EG" w:bidi="ar-EG"/>
              </w:rPr>
              <w:t> </w:t>
            </w:r>
            <w:r>
              <w:rPr>
                <w:rFonts w:ascii="Arabic Typesetting" w:hAnsi="Arabic Typesetting" w:cs="Arabic Typesetting"/>
                <w:sz w:val="28"/>
                <w:szCs w:val="28"/>
                <w:rtl/>
                <w:lang w:eastAsia="ar-EG" w:bidi="ar-EG"/>
              </w:rPr>
              <w:t>العمل</w:t>
            </w:r>
          </w:p>
        </w:tc>
      </w:tr>
      <w:tr w:rsidR="00BD3831" w:rsidRPr="00CE1677" w14:paraId="192E59E0" w14:textId="77777777" w:rsidTr="00DF6715">
        <w:trPr>
          <w:cantSplit/>
          <w:trHeight w:val="315"/>
        </w:trPr>
        <w:tc>
          <w:tcPr>
            <w:tcW w:w="5000" w:type="pct"/>
            <w:gridSpan w:val="4"/>
            <w:shd w:val="clear" w:color="auto" w:fill="C6D9F1"/>
          </w:tcPr>
          <w:p w14:paraId="64DD4F0C" w14:textId="77777777" w:rsidR="00BD3831" w:rsidRPr="00CE1677" w:rsidRDefault="00BD3831" w:rsidP="0031289D">
            <w:pPr>
              <w:keepNext/>
              <w:keepLines/>
              <w:bidi/>
              <w:spacing w:after="120" w:line="280" w:lineRule="exact"/>
              <w:ind w:left="851" w:hanging="851"/>
              <w:rPr>
                <w:rFonts w:ascii="Arabic Typesetting" w:hAnsi="Arabic Typesetting" w:cs="Arabic Typesetting"/>
                <w:color w:val="000000"/>
                <w:sz w:val="28"/>
                <w:szCs w:val="28"/>
                <w:lang w:eastAsia="ar-EG" w:bidi="ar-EG"/>
              </w:rPr>
            </w:pPr>
            <w:r w:rsidRPr="00CE1677">
              <w:rPr>
                <w:rFonts w:ascii="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Pr>
                <w:rFonts w:ascii="Arabic Typesetting" w:hAnsi="Arabic Typesetting" w:cs="Arabic Typesetting" w:hint="cs"/>
                <w:sz w:val="28"/>
                <w:szCs w:val="28"/>
                <w:rtl/>
                <w:lang w:eastAsia="ar-EG" w:bidi="ar-EG"/>
              </w:rPr>
              <w:t>ه4.2</w:t>
            </w:r>
            <w:r w:rsidRPr="00CE1677">
              <w:rPr>
                <w:rFonts w:ascii="Arabic Typesetting" w:hAnsi="Arabic Typesetting" w:cs="Arabic Typesetting"/>
                <w:sz w:val="28"/>
                <w:szCs w:val="28"/>
                <w:rtl/>
                <w:lang w:eastAsia="ar-EG" w:bidi="ar-EG"/>
              </w:rPr>
              <w:t xml:space="preserve"> استخدام نظام لاهاي على نطاق أوسع وبفعالية أكبر، بما في ذلك من قبل البلدان النامية والبلدان الأقل نموا</w:t>
            </w:r>
          </w:p>
        </w:tc>
      </w:tr>
      <w:tr w:rsidR="00BD3831" w:rsidRPr="00CE1677" w14:paraId="4C290EE9" w14:textId="77777777" w:rsidTr="00DF6715">
        <w:trPr>
          <w:cantSplit/>
          <w:trHeight w:val="402"/>
        </w:trPr>
        <w:tc>
          <w:tcPr>
            <w:tcW w:w="985" w:type="pct"/>
            <w:vAlign w:val="center"/>
          </w:tcPr>
          <w:p w14:paraId="223AB580" w14:textId="77777777" w:rsidR="00BD3831" w:rsidRPr="00CE1677" w:rsidRDefault="00BD3831" w:rsidP="0031289D">
            <w:pPr>
              <w:keepNext/>
              <w:keepLines/>
              <w:bidi/>
              <w:spacing w:after="120" w:line="280" w:lineRule="exact"/>
              <w:rPr>
                <w:rFonts w:ascii="Arabic Typesetting" w:hAnsi="Arabic Typesetting" w:cs="Arabic Typesetting"/>
                <w:b/>
                <w:bCs/>
                <w:sz w:val="28"/>
                <w:szCs w:val="28"/>
                <w:lang w:eastAsia="ar-EG" w:bidi="ar-EG"/>
              </w:rPr>
            </w:pPr>
            <w:r w:rsidRPr="00CE1677">
              <w:rPr>
                <w:rFonts w:ascii="Arabic Typesetting" w:hAnsi="Arabic Typesetting" w:cs="Arabic Typesetting"/>
                <w:b/>
                <w:bCs/>
                <w:sz w:val="28"/>
                <w:szCs w:val="28"/>
                <w:rtl/>
                <w:lang w:eastAsia="ar-EG" w:bidi="ar-EG"/>
              </w:rPr>
              <w:t>النشاط</w:t>
            </w:r>
          </w:p>
        </w:tc>
        <w:tc>
          <w:tcPr>
            <w:tcW w:w="608" w:type="pct"/>
            <w:vAlign w:val="center"/>
          </w:tcPr>
          <w:p w14:paraId="4151C225"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التاريخ</w:t>
            </w:r>
          </w:p>
        </w:tc>
        <w:tc>
          <w:tcPr>
            <w:tcW w:w="1296" w:type="pct"/>
            <w:vAlign w:val="center"/>
          </w:tcPr>
          <w:p w14:paraId="7891ECB1"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Pr>
                <w:rFonts w:ascii="Arabic Typesetting" w:hAnsi="Arabic Typesetting" w:cs="Arabic Typesetting"/>
                <w:b/>
                <w:bCs/>
                <w:sz w:val="28"/>
                <w:szCs w:val="28"/>
                <w:rtl/>
                <w:lang w:eastAsia="ar-EG" w:bidi="ar-EG"/>
              </w:rPr>
              <w:t>البلد المضيف/الجهات </w:t>
            </w:r>
            <w:r w:rsidRPr="00CE1677">
              <w:rPr>
                <w:rFonts w:ascii="Arabic Typesetting" w:hAnsi="Arabic Typesetting" w:cs="Arabic Typesetting"/>
                <w:b/>
                <w:bCs/>
                <w:sz w:val="28"/>
                <w:szCs w:val="28"/>
                <w:rtl/>
                <w:lang w:eastAsia="ar-EG" w:bidi="ar-EG"/>
              </w:rPr>
              <w:t>المستفيدة</w:t>
            </w:r>
          </w:p>
        </w:tc>
        <w:tc>
          <w:tcPr>
            <w:tcW w:w="2111" w:type="pct"/>
            <w:vAlign w:val="center"/>
          </w:tcPr>
          <w:p w14:paraId="113227AF"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الغرض/الوصف</w:t>
            </w:r>
          </w:p>
        </w:tc>
      </w:tr>
      <w:tr w:rsidR="00BD3831" w:rsidRPr="00CE1677" w14:paraId="322AE275" w14:textId="77777777" w:rsidTr="00DF6715">
        <w:tblPrEx>
          <w:tblLook w:val="04A0" w:firstRow="1" w:lastRow="0" w:firstColumn="1" w:lastColumn="0" w:noHBand="0" w:noVBand="1"/>
        </w:tblPrEx>
        <w:trPr>
          <w:cantSplit/>
          <w:trHeight w:val="473"/>
        </w:trPr>
        <w:tc>
          <w:tcPr>
            <w:tcW w:w="985" w:type="pct"/>
          </w:tcPr>
          <w:p w14:paraId="5E2DCC2C"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بعثة خبراء استشاريين</w:t>
            </w:r>
          </w:p>
        </w:tc>
        <w:tc>
          <w:tcPr>
            <w:tcW w:w="608" w:type="pct"/>
          </w:tcPr>
          <w:p w14:paraId="1DFE916C"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4 مارس 2016</w:t>
            </w:r>
          </w:p>
        </w:tc>
        <w:tc>
          <w:tcPr>
            <w:tcW w:w="1296" w:type="pct"/>
          </w:tcPr>
          <w:p w14:paraId="4A1DA31E"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فييت نام/ 30 مشاركاً محلياً</w:t>
            </w:r>
          </w:p>
        </w:tc>
        <w:tc>
          <w:tcPr>
            <w:tcW w:w="2111" w:type="pct"/>
          </w:tcPr>
          <w:p w14:paraId="6E07894B"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تعزيز القدرات في مجال الاتصالات المتعلقة بتكنولوجيا المعلومات في المكتب والمكتب الد</w:t>
            </w:r>
            <w:r>
              <w:rPr>
                <w:rFonts w:ascii="Arabic Typesetting" w:eastAsia="Arabic Typesetting" w:hAnsi="Arabic Typesetting" w:cs="Arabic Typesetting"/>
                <w:sz w:val="28"/>
                <w:szCs w:val="28"/>
                <w:rtl/>
                <w:lang w:eastAsia="ar-EG" w:bidi="ar-EG"/>
              </w:rPr>
              <w:t>ولي وأصحاب الحقوق في نظام لاهاي</w:t>
            </w:r>
          </w:p>
        </w:tc>
      </w:tr>
      <w:tr w:rsidR="00BD3831" w:rsidRPr="00CE1677" w14:paraId="7F92146A" w14:textId="77777777" w:rsidTr="00DF6715">
        <w:tblPrEx>
          <w:tblLook w:val="04A0" w:firstRow="1" w:lastRow="0" w:firstColumn="1" w:lastColumn="0" w:noHBand="0" w:noVBand="1"/>
        </w:tblPrEx>
        <w:trPr>
          <w:cantSplit/>
          <w:trHeight w:val="473"/>
        </w:trPr>
        <w:tc>
          <w:tcPr>
            <w:tcW w:w="985" w:type="pct"/>
          </w:tcPr>
          <w:p w14:paraId="323E5EAC"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زيارة دراسية قبل الانضمام إلى نظام لاهاي</w:t>
            </w:r>
          </w:p>
        </w:tc>
        <w:tc>
          <w:tcPr>
            <w:tcW w:w="608" w:type="pct"/>
          </w:tcPr>
          <w:p w14:paraId="1DC2C0DB"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29 و30 نوفمبر 2016</w:t>
            </w:r>
          </w:p>
        </w:tc>
        <w:tc>
          <w:tcPr>
            <w:tcW w:w="1296" w:type="pct"/>
          </w:tcPr>
          <w:p w14:paraId="536D5944"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اليابان/ 6 مشاركين من فييت</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نام</w:t>
            </w:r>
          </w:p>
        </w:tc>
        <w:tc>
          <w:tcPr>
            <w:tcW w:w="2111" w:type="pct"/>
          </w:tcPr>
          <w:p w14:paraId="25065906"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"1" تكوين الكفاءات في اللوائح التنفيذية لنظام لاهاي ومعالجة التسجيلات الدولية؛ "2" وتعريف المشاركين بالطلبات والاستمارات والوثائق المتعلقة بالطلبات الدولية؛ "3"</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وبدء</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 xml:space="preserve">العمل التحضيري لتسلّم </w:t>
            </w:r>
            <w:r>
              <w:rPr>
                <w:rFonts w:ascii="Arabic Typesetting" w:hAnsi="Arabic Typesetting" w:cs="Arabic Typesetting"/>
                <w:sz w:val="28"/>
                <w:szCs w:val="28"/>
                <w:rtl/>
                <w:lang w:eastAsia="ar-EG" w:bidi="ar-EG"/>
              </w:rPr>
              <w:t>الطلبات الدولية وإدارتها</w:t>
            </w:r>
            <w:r>
              <w:rPr>
                <w:rFonts w:ascii="Arabic Typesetting" w:hAnsi="Arabic Typesetting" w:cs="Arabic Typesetting" w:hint="cs"/>
                <w:sz w:val="28"/>
                <w:szCs w:val="28"/>
                <w:rtl/>
                <w:lang w:eastAsia="ar-EG" w:bidi="ar-EG"/>
              </w:rPr>
              <w:t> </w:t>
            </w:r>
            <w:r>
              <w:rPr>
                <w:rFonts w:ascii="Arabic Typesetting" w:hAnsi="Arabic Typesetting" w:cs="Arabic Typesetting"/>
                <w:sz w:val="28"/>
                <w:szCs w:val="28"/>
                <w:rtl/>
                <w:lang w:eastAsia="ar-EG" w:bidi="ar-EG"/>
              </w:rPr>
              <w:t>وفحصها</w:t>
            </w:r>
          </w:p>
        </w:tc>
      </w:tr>
      <w:tr w:rsidR="00BD3831" w:rsidRPr="00CE1677" w14:paraId="2E936FD3" w14:textId="77777777" w:rsidTr="00DF6715">
        <w:trPr>
          <w:cantSplit/>
          <w:trHeight w:val="315"/>
        </w:trPr>
        <w:tc>
          <w:tcPr>
            <w:tcW w:w="5000" w:type="pct"/>
            <w:gridSpan w:val="4"/>
            <w:shd w:val="clear" w:color="auto" w:fill="C6D9F1"/>
          </w:tcPr>
          <w:p w14:paraId="22263386" w14:textId="77777777" w:rsidR="00BD3831" w:rsidRPr="00CE1677" w:rsidRDefault="00BD3831" w:rsidP="0031289D">
            <w:pPr>
              <w:keepNext/>
              <w:keepLines/>
              <w:bidi/>
              <w:spacing w:after="120" w:line="280" w:lineRule="exact"/>
              <w:ind w:left="851" w:hanging="851"/>
              <w:rPr>
                <w:rFonts w:ascii="Arabic Typesetting" w:hAnsi="Arabic Typesetting" w:cs="Arabic Typesetting"/>
                <w:color w:val="000000"/>
                <w:sz w:val="28"/>
                <w:szCs w:val="28"/>
                <w:lang w:eastAsia="ar-EG" w:bidi="ar-EG"/>
              </w:rPr>
            </w:pPr>
            <w:r w:rsidRPr="00CE1677">
              <w:rPr>
                <w:rFonts w:ascii="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hAnsi="Arabic Typesetting" w:cs="Arabic Typesetting"/>
                <w:sz w:val="28"/>
                <w:szCs w:val="28"/>
                <w:rtl/>
                <w:lang w:eastAsia="ar-EG" w:bidi="ar-EG"/>
              </w:rPr>
              <w:t xml:space="preserve">ه6.2 </w:t>
            </w:r>
            <w:r w:rsidRPr="00C368FD">
              <w:rPr>
                <w:rFonts w:ascii="Arabic Typesetting" w:eastAsia="Arabic Typesetting" w:hAnsi="Arabic Typesetting" w:cs="Arabic Typesetting"/>
                <w:sz w:val="28"/>
                <w:szCs w:val="28"/>
                <w:rtl/>
                <w:lang w:eastAsia="ar-EG" w:bidi="ar-EG"/>
              </w:rPr>
              <w:t>استخدام</w:t>
            </w:r>
            <w:r w:rsidRPr="00CE1677">
              <w:rPr>
                <w:rFonts w:ascii="Arabic Typesetting" w:hAnsi="Arabic Typesetting" w:cs="Arabic Typesetting"/>
                <w:sz w:val="28"/>
                <w:szCs w:val="28"/>
                <w:rtl/>
                <w:lang w:eastAsia="ar-EG" w:bidi="ar-EG"/>
              </w:rPr>
              <w:t xml:space="preserve"> نظام مدريد على نطاق أوسع وبفعالية أكبر، بما في ذلك من قبل البلدان النامية والبلدان الأقل نموا</w:t>
            </w:r>
          </w:p>
        </w:tc>
      </w:tr>
      <w:tr w:rsidR="00BD3831" w:rsidRPr="00CE1677" w14:paraId="6D37903E" w14:textId="77777777" w:rsidTr="00DF6715">
        <w:trPr>
          <w:cantSplit/>
          <w:trHeight w:val="402"/>
        </w:trPr>
        <w:tc>
          <w:tcPr>
            <w:tcW w:w="985" w:type="pct"/>
            <w:vAlign w:val="center"/>
          </w:tcPr>
          <w:p w14:paraId="6935CAD1" w14:textId="77777777" w:rsidR="00BD3831" w:rsidRPr="00CE1677" w:rsidRDefault="00BD3831" w:rsidP="0031289D">
            <w:pPr>
              <w:keepNext/>
              <w:keepLines/>
              <w:bidi/>
              <w:spacing w:after="120" w:line="280" w:lineRule="exact"/>
              <w:rPr>
                <w:rFonts w:ascii="Arabic Typesetting" w:hAnsi="Arabic Typesetting" w:cs="Arabic Typesetting"/>
                <w:b/>
                <w:bCs/>
                <w:sz w:val="28"/>
                <w:szCs w:val="28"/>
                <w:lang w:eastAsia="ar-EG" w:bidi="ar-EG"/>
              </w:rPr>
            </w:pPr>
            <w:r w:rsidRPr="00CE1677">
              <w:rPr>
                <w:rFonts w:ascii="Arabic Typesetting" w:hAnsi="Arabic Typesetting" w:cs="Arabic Typesetting"/>
                <w:b/>
                <w:bCs/>
                <w:sz w:val="28"/>
                <w:szCs w:val="28"/>
                <w:rtl/>
                <w:lang w:eastAsia="ar-EG" w:bidi="ar-EG"/>
              </w:rPr>
              <w:t>النشاط</w:t>
            </w:r>
          </w:p>
        </w:tc>
        <w:tc>
          <w:tcPr>
            <w:tcW w:w="608" w:type="pct"/>
            <w:vAlign w:val="center"/>
          </w:tcPr>
          <w:p w14:paraId="4FB2939C"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التاريخ</w:t>
            </w:r>
          </w:p>
        </w:tc>
        <w:tc>
          <w:tcPr>
            <w:tcW w:w="1296" w:type="pct"/>
            <w:vAlign w:val="center"/>
          </w:tcPr>
          <w:p w14:paraId="10D59FCA"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Pr>
                <w:rFonts w:ascii="Arabic Typesetting" w:hAnsi="Arabic Typesetting" w:cs="Arabic Typesetting"/>
                <w:b/>
                <w:bCs/>
                <w:sz w:val="28"/>
                <w:szCs w:val="28"/>
                <w:rtl/>
                <w:lang w:eastAsia="ar-EG" w:bidi="ar-EG"/>
              </w:rPr>
              <w:t>البلد المضيف/الجهات </w:t>
            </w:r>
            <w:r w:rsidRPr="00CE1677">
              <w:rPr>
                <w:rFonts w:ascii="Arabic Typesetting" w:hAnsi="Arabic Typesetting" w:cs="Arabic Typesetting"/>
                <w:b/>
                <w:bCs/>
                <w:sz w:val="28"/>
                <w:szCs w:val="28"/>
                <w:rtl/>
                <w:lang w:eastAsia="ar-EG" w:bidi="ar-EG"/>
              </w:rPr>
              <w:t>المستفيدة</w:t>
            </w:r>
          </w:p>
        </w:tc>
        <w:tc>
          <w:tcPr>
            <w:tcW w:w="2111" w:type="pct"/>
            <w:vAlign w:val="center"/>
          </w:tcPr>
          <w:p w14:paraId="6E5FD33C"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الغرض/الوصف</w:t>
            </w:r>
          </w:p>
        </w:tc>
      </w:tr>
      <w:tr w:rsidR="00BD3831" w:rsidRPr="00CE1677" w14:paraId="36F90F9B" w14:textId="77777777" w:rsidTr="00DF6715">
        <w:tblPrEx>
          <w:tblLook w:val="04A0" w:firstRow="1" w:lastRow="0" w:firstColumn="1" w:lastColumn="0" w:noHBand="0" w:noVBand="1"/>
        </w:tblPrEx>
        <w:trPr>
          <w:cantSplit/>
          <w:trHeight w:val="473"/>
        </w:trPr>
        <w:tc>
          <w:tcPr>
            <w:tcW w:w="985" w:type="pct"/>
          </w:tcPr>
          <w:p w14:paraId="07A586A6"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اجتماع دون إقليمي لموظفي مكتب الملكية الفكرية القائمين على تشغيل نظام</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مدريد</w:t>
            </w:r>
          </w:p>
        </w:tc>
        <w:tc>
          <w:tcPr>
            <w:tcW w:w="608" w:type="pct"/>
          </w:tcPr>
          <w:p w14:paraId="742B45F9"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13 و14 ديسمبر 2016</w:t>
            </w:r>
          </w:p>
        </w:tc>
        <w:tc>
          <w:tcPr>
            <w:tcW w:w="1296" w:type="pct"/>
          </w:tcPr>
          <w:p w14:paraId="3B286016"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اليابان/ 17 مشاركاً من بوتان وكمبوديا والهند وإندونيسيا وجمهورية لاو الديمقراطية الشعبية وماليزيا وميانمار وباكستان والفلبين وسنغافورة وسري لانكا وتايلند وفييت نام</w:t>
            </w:r>
          </w:p>
        </w:tc>
        <w:tc>
          <w:tcPr>
            <w:tcW w:w="2111" w:type="pct"/>
          </w:tcPr>
          <w:p w14:paraId="16FB04EF" w14:textId="77777777" w:rsidR="00BD3831" w:rsidRPr="00CE1677" w:rsidRDefault="00BD3831" w:rsidP="0031289D">
            <w:pPr>
              <w:bidi/>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"1" تعزيز المعرفة بنظام مدريد؛ "2" وزيادة المهارات المتعلقة بالتنفيذ العملي لنظام مدريد؛ "3" وتبادل المعرفة والخبرات الخاصة بنظام مدريد بين الأطراف المتعاقدة وغير المتعاقدة؛ "4" وتطبيق المعارف والمهارات المكتسبة في مكان العمل؛ "5" وإتاحة الفرصة للمشاركين للنظر في التطورات التشغيلية المقبلة لنظام مدريد</w:t>
            </w:r>
          </w:p>
        </w:tc>
      </w:tr>
      <w:tr w:rsidR="00BD3831" w:rsidRPr="00CE1677" w14:paraId="089DFE55" w14:textId="77777777" w:rsidTr="00DF6715">
        <w:trPr>
          <w:cantSplit/>
          <w:trHeight w:val="315"/>
        </w:trPr>
        <w:tc>
          <w:tcPr>
            <w:tcW w:w="5000" w:type="pct"/>
            <w:gridSpan w:val="4"/>
            <w:shd w:val="clear" w:color="auto" w:fill="C6D9F1"/>
          </w:tcPr>
          <w:p w14:paraId="0BD86B6D" w14:textId="77777777" w:rsidR="00BD3831" w:rsidRPr="00CE1677" w:rsidRDefault="00BD3831" w:rsidP="0031289D">
            <w:pPr>
              <w:keepNext/>
              <w:keepLines/>
              <w:bidi/>
              <w:spacing w:after="120" w:line="280" w:lineRule="exact"/>
              <w:ind w:left="851" w:hanging="851"/>
              <w:rPr>
                <w:rFonts w:ascii="Arabic Typesetting" w:hAnsi="Arabic Typesetting" w:cs="Arabic Typesetting"/>
                <w:bCs/>
                <w:sz w:val="28"/>
                <w:szCs w:val="28"/>
                <w:lang w:eastAsia="ar-EG" w:bidi="ar-EG"/>
              </w:rPr>
            </w:pPr>
            <w:r w:rsidRPr="00CE1677">
              <w:rPr>
                <w:rFonts w:ascii="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hAnsi="Arabic Typesetting" w:cs="Arabic Typesetting"/>
                <w:sz w:val="28"/>
                <w:szCs w:val="28"/>
                <w:rtl/>
                <w:lang w:eastAsia="ar-EG" w:bidi="ar-EG"/>
              </w:rPr>
              <w:t>ه2.3 كفاءات</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‏معزَّزة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‏للموارد</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‏البشرية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‏القادرة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‏على</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‏تلبية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‏تشكيلة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‏واسعة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‏من المتطلبات</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‏لتسخير</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‏الملكية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‏الفكرية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‏بفعالية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‏لأغراض</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‏التنمية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‏في</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‏البلدان</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‏النامية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‏والبلدان</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‏الأقل</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‏نموا</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‏والبلدان</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‏المنتقلة</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‏إلى</w:t>
            </w:r>
            <w:r w:rsidRPr="00CE1677">
              <w:rPr>
                <w:rFonts w:ascii="Arabic Typesetting" w:hAnsi="Arabic Typesetting" w:cs="Arabic Typesetting"/>
                <w:sz w:val="28"/>
                <w:szCs w:val="28"/>
                <w:cs/>
                <w:lang w:eastAsia="ar-EG" w:bidi="ar-EG"/>
              </w:rPr>
              <w:t>‎</w:t>
            </w:r>
            <w:r w:rsidRPr="00CE1677">
              <w:rPr>
                <w:rFonts w:ascii="Arabic Typesetting" w:hAnsi="Arabic Typesetting" w:cs="Arabic Typesetting"/>
                <w:sz w:val="28"/>
                <w:szCs w:val="28"/>
                <w:rtl/>
                <w:lang w:eastAsia="ar-EG" w:bidi="ar-EG"/>
              </w:rPr>
              <w:t xml:space="preserve"> ‏نظام الاقتصاد الحر</w:t>
            </w:r>
          </w:p>
        </w:tc>
      </w:tr>
      <w:tr w:rsidR="00BD3831" w:rsidRPr="00CE1677" w14:paraId="5C8761CE" w14:textId="77777777" w:rsidTr="00DF6715">
        <w:trPr>
          <w:cantSplit/>
          <w:trHeight w:val="402"/>
        </w:trPr>
        <w:tc>
          <w:tcPr>
            <w:tcW w:w="985" w:type="pct"/>
            <w:vAlign w:val="center"/>
          </w:tcPr>
          <w:p w14:paraId="3032AC2A" w14:textId="77777777" w:rsidR="00BD3831" w:rsidRPr="00CE1677" w:rsidRDefault="00BD3831" w:rsidP="0031289D">
            <w:pPr>
              <w:keepNext/>
              <w:keepLines/>
              <w:bidi/>
              <w:spacing w:after="120" w:line="280" w:lineRule="exact"/>
              <w:rPr>
                <w:rFonts w:ascii="Arabic Typesetting" w:hAnsi="Arabic Typesetting" w:cs="Arabic Typesetting"/>
                <w:b/>
                <w:bCs/>
                <w:sz w:val="28"/>
                <w:szCs w:val="28"/>
                <w:lang w:eastAsia="ar-EG" w:bidi="ar-EG"/>
              </w:rPr>
            </w:pPr>
            <w:r w:rsidRPr="00CE1677">
              <w:rPr>
                <w:rFonts w:ascii="Arabic Typesetting" w:hAnsi="Arabic Typesetting" w:cs="Arabic Typesetting"/>
                <w:b/>
                <w:bCs/>
                <w:sz w:val="28"/>
                <w:szCs w:val="28"/>
                <w:rtl/>
                <w:lang w:eastAsia="ar-EG" w:bidi="ar-EG"/>
              </w:rPr>
              <w:t>النشاط</w:t>
            </w:r>
          </w:p>
        </w:tc>
        <w:tc>
          <w:tcPr>
            <w:tcW w:w="608" w:type="pct"/>
            <w:vAlign w:val="center"/>
          </w:tcPr>
          <w:p w14:paraId="2303A452"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التاريخ</w:t>
            </w:r>
          </w:p>
        </w:tc>
        <w:tc>
          <w:tcPr>
            <w:tcW w:w="1296" w:type="pct"/>
            <w:vAlign w:val="center"/>
          </w:tcPr>
          <w:p w14:paraId="5DC3A831"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Pr>
                <w:rFonts w:ascii="Arabic Typesetting" w:hAnsi="Arabic Typesetting" w:cs="Arabic Typesetting"/>
                <w:b/>
                <w:bCs/>
                <w:sz w:val="28"/>
                <w:szCs w:val="28"/>
                <w:rtl/>
                <w:lang w:eastAsia="ar-EG" w:bidi="ar-EG"/>
              </w:rPr>
              <w:t>البلد المضيف/الجهات </w:t>
            </w:r>
            <w:r w:rsidRPr="00CE1677">
              <w:rPr>
                <w:rFonts w:ascii="Arabic Typesetting" w:hAnsi="Arabic Typesetting" w:cs="Arabic Typesetting"/>
                <w:b/>
                <w:bCs/>
                <w:sz w:val="28"/>
                <w:szCs w:val="28"/>
                <w:rtl/>
                <w:lang w:eastAsia="ar-EG" w:bidi="ar-EG"/>
              </w:rPr>
              <w:t>المستفيدة</w:t>
            </w:r>
          </w:p>
        </w:tc>
        <w:tc>
          <w:tcPr>
            <w:tcW w:w="2111" w:type="pct"/>
            <w:vAlign w:val="center"/>
          </w:tcPr>
          <w:p w14:paraId="361847CD"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الغرض/الوصف</w:t>
            </w:r>
          </w:p>
        </w:tc>
      </w:tr>
      <w:tr w:rsidR="00BD3831" w:rsidRPr="00CE1677" w14:paraId="238BC675" w14:textId="77777777" w:rsidTr="00DF6715">
        <w:tblPrEx>
          <w:tblLook w:val="04A0" w:firstRow="1" w:lastRow="0" w:firstColumn="1" w:lastColumn="0" w:noHBand="0" w:noVBand="1"/>
        </w:tblPrEx>
        <w:trPr>
          <w:cantSplit/>
          <w:trHeight w:val="61"/>
        </w:trPr>
        <w:tc>
          <w:tcPr>
            <w:tcW w:w="985" w:type="pct"/>
          </w:tcPr>
          <w:p w14:paraId="50C00FF9"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ستة تد</w:t>
            </w:r>
            <w:r>
              <w:rPr>
                <w:rFonts w:ascii="Arabic Typesetting" w:hAnsi="Arabic Typesetting" w:cs="Arabic Typesetting"/>
                <w:color w:val="000000"/>
                <w:sz w:val="28"/>
                <w:szCs w:val="28"/>
                <w:rtl/>
                <w:lang w:eastAsia="ar-EG" w:bidi="ar-EG"/>
              </w:rPr>
              <w:t>ريبات/تدريبات عملية قصيرة المدى</w:t>
            </w:r>
          </w:p>
        </w:tc>
        <w:tc>
          <w:tcPr>
            <w:tcW w:w="608" w:type="pct"/>
          </w:tcPr>
          <w:p w14:paraId="7331B220"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من يناير إلى ديسمبر 2016</w:t>
            </w:r>
          </w:p>
        </w:tc>
        <w:tc>
          <w:tcPr>
            <w:tcW w:w="1296" w:type="pct"/>
          </w:tcPr>
          <w:p w14:paraId="548B5A54"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highlight w:val="yellow"/>
                <w:lang w:eastAsia="ar-EG" w:bidi="ar-EG"/>
              </w:rPr>
            </w:pPr>
            <w:r w:rsidRPr="00CE1677">
              <w:rPr>
                <w:rFonts w:ascii="Arabic Typesetting" w:eastAsia="Arabic Typesetting" w:hAnsi="Arabic Typesetting" w:cs="Arabic Typesetting"/>
                <w:sz w:val="28"/>
                <w:szCs w:val="28"/>
                <w:rtl/>
                <w:lang w:eastAsia="ar-EG" w:bidi="ar-EG"/>
              </w:rPr>
              <w:t>اليابان/ 6 مشاركين من الهند وماليزيا ومنغوليا وباكستان وسري لانكا وتايلند</w:t>
            </w:r>
          </w:p>
        </w:tc>
        <w:tc>
          <w:tcPr>
            <w:tcW w:w="2111" w:type="pct"/>
          </w:tcPr>
          <w:p w14:paraId="01152727"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تزويد خريجي الملكية الفكرية بالمعارف والمهارات والرؤى الواقعية حول الملكية الفكرية من خلال التعلم في نسق الفصول الدراسية، بجانب تجربة التدريب العملي والعمل</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الفعلي</w:t>
            </w:r>
          </w:p>
        </w:tc>
      </w:tr>
      <w:tr w:rsidR="00BD3831" w:rsidRPr="00CE1677" w14:paraId="18633F33" w14:textId="77777777" w:rsidTr="00DF6715">
        <w:tblPrEx>
          <w:tblLook w:val="04A0" w:firstRow="1" w:lastRow="0" w:firstColumn="1" w:lastColumn="0" w:noHBand="0" w:noVBand="1"/>
        </w:tblPrEx>
        <w:trPr>
          <w:cantSplit/>
          <w:trHeight w:val="61"/>
        </w:trPr>
        <w:tc>
          <w:tcPr>
            <w:tcW w:w="985" w:type="pct"/>
          </w:tcPr>
          <w:p w14:paraId="44492E54"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حلقة عمل وطنية بشأن الاستخدام الفعال لنظام مدريد لفائدة وكلاء وأخصائيي العلامات التجارية</w:t>
            </w:r>
          </w:p>
        </w:tc>
        <w:tc>
          <w:tcPr>
            <w:tcW w:w="608" w:type="pct"/>
          </w:tcPr>
          <w:p w14:paraId="468317DB"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20 و21 يناير 2016</w:t>
            </w:r>
          </w:p>
        </w:tc>
        <w:tc>
          <w:tcPr>
            <w:tcW w:w="1296" w:type="pct"/>
          </w:tcPr>
          <w:p w14:paraId="2E370BB8"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كمبوديا/ 60 مشاركاً محلياً</w:t>
            </w:r>
          </w:p>
        </w:tc>
        <w:tc>
          <w:tcPr>
            <w:tcW w:w="2111" w:type="pct"/>
          </w:tcPr>
          <w:p w14:paraId="10C95F8C" w14:textId="77777777" w:rsidR="00BD3831" w:rsidRPr="00CE1677" w:rsidRDefault="00BD3831" w:rsidP="0031289D">
            <w:pPr>
              <w:bidi/>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sz w:val="28"/>
                <w:szCs w:val="28"/>
                <w:rtl/>
                <w:lang w:eastAsia="ar-EG" w:bidi="ar-EG"/>
              </w:rPr>
              <w:t>"1" توسيع معرفة وكلاء وأخصائيي العلامات التجارية لنظام مدريد؛ "2" وتعزيز المهارات الخاصة بالاستخدام الفعلي لنظام مدريد؛ "3" ونشر فهم نظام مدريد وتجاربه في اليابان؛ "4" وتيسير تطبيق المشاركين للمعارف والمهارات المكتس</w:t>
            </w:r>
            <w:r>
              <w:rPr>
                <w:rFonts w:ascii="Arabic Typesetting" w:hAnsi="Arabic Typesetting" w:cs="Arabic Typesetting"/>
                <w:sz w:val="28"/>
                <w:szCs w:val="28"/>
                <w:rtl/>
                <w:lang w:eastAsia="ar-EG" w:bidi="ar-EG"/>
              </w:rPr>
              <w:t>بة في مكان العمل بعد حلقة العمل</w:t>
            </w:r>
          </w:p>
        </w:tc>
      </w:tr>
      <w:tr w:rsidR="00BD3831" w:rsidRPr="00CE1677" w14:paraId="79C6234F" w14:textId="77777777" w:rsidTr="00DF6715">
        <w:tblPrEx>
          <w:tblLook w:val="04A0" w:firstRow="1" w:lastRow="0" w:firstColumn="1" w:lastColumn="0" w:noHBand="0" w:noVBand="1"/>
        </w:tblPrEx>
        <w:trPr>
          <w:cantSplit/>
          <w:trHeight w:val="61"/>
        </w:trPr>
        <w:tc>
          <w:tcPr>
            <w:tcW w:w="985" w:type="pct"/>
          </w:tcPr>
          <w:p w14:paraId="327C49FD"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lastRenderedPageBreak/>
              <w:t>دورة تدريب بشأن فحص الملكية الصناعية - البرنامج الأساسي (البراءات والعلامات التجارية)</w:t>
            </w:r>
          </w:p>
        </w:tc>
        <w:tc>
          <w:tcPr>
            <w:tcW w:w="608" w:type="pct"/>
          </w:tcPr>
          <w:p w14:paraId="652F4D2B"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من 18 إلى 29 يناير 2016</w:t>
            </w:r>
          </w:p>
        </w:tc>
        <w:tc>
          <w:tcPr>
            <w:tcW w:w="1296" w:type="pct"/>
          </w:tcPr>
          <w:p w14:paraId="62B057CA" w14:textId="242E2183" w:rsidR="00BD3831" w:rsidRPr="00CE1677" w:rsidRDefault="00BD3831" w:rsidP="0059581F">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اليابان/ 20 مشاركاً من أفغانستان وكمبوديا وشيلي وإندونيسيا وكينيا وجمهورية لاو الديمقراطية الشعبية وماليزيا والمغرب وميانمار ونيجيريا وباكستان وسري لانكا وتركيا وفييت نام والمنظمة الأفريقية الإقليمية للملكية الفكرية ومجلس التعاون لدول الخليج العربية والمنظمة الأفريقية للملكية</w:t>
            </w:r>
            <w:r w:rsidR="0059581F">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الفكرية</w:t>
            </w:r>
          </w:p>
        </w:tc>
        <w:tc>
          <w:tcPr>
            <w:tcW w:w="2111" w:type="pct"/>
          </w:tcPr>
          <w:p w14:paraId="2224D32D"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"1" تعزيز الفهم الأساسي المهم للقوانين والإجراءات الموضوعية لفحص البراءات والعلامات التجارية؛ "2" وبناء</w:t>
            </w:r>
            <w:r>
              <w:rPr>
                <w:rFonts w:ascii="Arabic Typesetting" w:hAnsi="Arabic Typesetting" w:cs="Arabic Typesetting" w:hint="cs"/>
                <w:color w:val="000000"/>
                <w:sz w:val="28"/>
                <w:szCs w:val="28"/>
                <w:rtl/>
                <w:lang w:eastAsia="ar-EG" w:bidi="ar-EG"/>
              </w:rPr>
              <w:t> </w:t>
            </w:r>
            <w:r w:rsidRPr="00CE1677">
              <w:rPr>
                <w:rFonts w:ascii="Arabic Typesetting" w:hAnsi="Arabic Typesetting" w:cs="Arabic Typesetting"/>
                <w:color w:val="000000"/>
                <w:sz w:val="28"/>
                <w:szCs w:val="28"/>
                <w:rtl/>
                <w:lang w:eastAsia="ar-EG" w:bidi="ar-EG"/>
              </w:rPr>
              <w:t>القدرات لاستخدام أدوات البحث؛ "3" وتحسين</w:t>
            </w:r>
            <w:r>
              <w:rPr>
                <w:rFonts w:ascii="Arabic Typesetting" w:hAnsi="Arabic Typesetting" w:cs="Arabic Typesetting" w:hint="cs"/>
                <w:color w:val="000000"/>
                <w:sz w:val="28"/>
                <w:szCs w:val="28"/>
                <w:rtl/>
                <w:lang w:eastAsia="ar-EG" w:bidi="ar-EG"/>
              </w:rPr>
              <w:t> </w:t>
            </w:r>
            <w:r w:rsidRPr="00CE1677">
              <w:rPr>
                <w:rFonts w:ascii="Arabic Typesetting" w:hAnsi="Arabic Typesetting" w:cs="Arabic Typesetting"/>
                <w:color w:val="000000"/>
                <w:sz w:val="28"/>
                <w:szCs w:val="28"/>
                <w:rtl/>
                <w:lang w:eastAsia="ar-EG" w:bidi="ar-EG"/>
              </w:rPr>
              <w:t xml:space="preserve">فهم قضايا انتهاك البراءات والعلامات التجارية عن </w:t>
            </w:r>
            <w:r>
              <w:rPr>
                <w:rFonts w:ascii="Arabic Typesetting" w:hAnsi="Arabic Typesetting" w:cs="Arabic Typesetting"/>
                <w:color w:val="000000"/>
                <w:sz w:val="28"/>
                <w:szCs w:val="28"/>
                <w:rtl/>
                <w:lang w:eastAsia="ar-EG" w:bidi="ar-EG"/>
              </w:rPr>
              <w:t>طريق استخدام الدراسات الإفرادية</w:t>
            </w:r>
          </w:p>
        </w:tc>
      </w:tr>
      <w:tr w:rsidR="00BD3831" w:rsidRPr="00CE1677" w14:paraId="24EB1BA7" w14:textId="77777777" w:rsidTr="00DF6715">
        <w:tblPrEx>
          <w:tblLook w:val="04A0" w:firstRow="1" w:lastRow="0" w:firstColumn="1" w:lastColumn="0" w:noHBand="0" w:noVBand="1"/>
        </w:tblPrEx>
        <w:trPr>
          <w:cantSplit/>
          <w:trHeight w:val="61"/>
        </w:trPr>
        <w:tc>
          <w:tcPr>
            <w:tcW w:w="985" w:type="pct"/>
          </w:tcPr>
          <w:p w14:paraId="41459638"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دورة تدريبية عن إدارة الملكية الفكرية وصياغة وتنفيذ خطط مكاتب الملكية الفكرية التي تقوم على النتائج</w:t>
            </w:r>
          </w:p>
        </w:tc>
        <w:tc>
          <w:tcPr>
            <w:tcW w:w="608" w:type="pct"/>
          </w:tcPr>
          <w:p w14:paraId="25A0BA63"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من 16 إلى 23 فبراير 2016</w:t>
            </w:r>
          </w:p>
        </w:tc>
        <w:tc>
          <w:tcPr>
            <w:tcW w:w="1296" w:type="pct"/>
          </w:tcPr>
          <w:p w14:paraId="221B2BDA"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اليابان/ 20 مشاركاً من البرازيل وكمبوديا وشيلي والصين ومصر والهند وإندونيسيا وجمهورية لاو الديمقراطية الشعبية وماليزيا والمكسيك وميانمار ونيجيريا وبيرو والفلبين والسنغال وتايلند وأوغندا وفييت نام</w:t>
            </w:r>
          </w:p>
        </w:tc>
        <w:tc>
          <w:tcPr>
            <w:tcW w:w="2111" w:type="pct"/>
          </w:tcPr>
          <w:p w14:paraId="076E1367"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"1" زيادة معرفة المشاركين بالممارسات الحديثة لإدارة الملكية الفكرية بما في ذلك طريقة وضع السياسات والاستراتيجيات والخطط لتنمية الموارد البشرية وتكوين كفاءات الفاحصين والإدارة التشغيلية للمكتب ودعم الشركات الصغيرة والمتوسطة في مجال الملكية الفكرية وإدارة جودة الفحوص؛ "2" وتعزيز قدرة المشاركين على صياغة خطط مكاتب الملكية الفكرية وتنفيذها وتقييمها بحيث تكون محددة زمنياً وموجهة نحو النتائج ولها تأثير قابل للقياس</w:t>
            </w:r>
          </w:p>
        </w:tc>
      </w:tr>
      <w:tr w:rsidR="00BD3831" w:rsidRPr="00CE1677" w14:paraId="0B8A3AD7" w14:textId="77777777" w:rsidTr="00DF6715">
        <w:tblPrEx>
          <w:tblLook w:val="04A0" w:firstRow="1" w:lastRow="0" w:firstColumn="1" w:lastColumn="0" w:noHBand="0" w:noVBand="1"/>
        </w:tblPrEx>
        <w:trPr>
          <w:cantSplit/>
          <w:trHeight w:val="61"/>
        </w:trPr>
        <w:tc>
          <w:tcPr>
            <w:tcW w:w="985" w:type="pct"/>
          </w:tcPr>
          <w:p w14:paraId="6A90A936"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دورة تدريبية بشأن الدراسات الإفرادية الخاصة بفحص البراءات</w:t>
            </w:r>
          </w:p>
        </w:tc>
        <w:tc>
          <w:tcPr>
            <w:tcW w:w="608" w:type="pct"/>
          </w:tcPr>
          <w:p w14:paraId="4AB86AC3"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من 24 فبراير إلى 1 مارس 2016</w:t>
            </w:r>
          </w:p>
        </w:tc>
        <w:tc>
          <w:tcPr>
            <w:tcW w:w="1296" w:type="pct"/>
          </w:tcPr>
          <w:p w14:paraId="1FE49521"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اليابان/ 8 مشاركين من شيلي والصين وماليزيا والفلبين وتايلند وفييت نام</w:t>
            </w:r>
          </w:p>
        </w:tc>
        <w:tc>
          <w:tcPr>
            <w:tcW w:w="2111" w:type="pct"/>
          </w:tcPr>
          <w:p w14:paraId="1F39E81C"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توفير المزيد من التدريب للمشاركين الذين استكملوا البرنامج المتوسط/المتقدم عن طريق دراسات إفرادية بشأن فحص البراءات في مجال محدد</w:t>
            </w:r>
          </w:p>
        </w:tc>
      </w:tr>
      <w:tr w:rsidR="00BD3831" w:rsidRPr="00CE1677" w14:paraId="78F01F37" w14:textId="77777777" w:rsidTr="00DF6715">
        <w:tblPrEx>
          <w:tblLook w:val="04A0" w:firstRow="1" w:lastRow="0" w:firstColumn="1" w:lastColumn="0" w:noHBand="0" w:noVBand="1"/>
        </w:tblPrEx>
        <w:trPr>
          <w:cantSplit/>
          <w:trHeight w:val="473"/>
        </w:trPr>
        <w:tc>
          <w:tcPr>
            <w:tcW w:w="985" w:type="pct"/>
          </w:tcPr>
          <w:p w14:paraId="50FFF437"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sz w:val="28"/>
                <w:szCs w:val="28"/>
                <w:rtl/>
                <w:lang w:eastAsia="ar-EG" w:bidi="ar-EG"/>
              </w:rPr>
              <w:t>حلقة عمل وطنية بشأن فحص التصاميم ونظام لاهاي للتسجيل الدولي للتصاميم الصناعية</w:t>
            </w:r>
          </w:p>
        </w:tc>
        <w:tc>
          <w:tcPr>
            <w:tcW w:w="608" w:type="pct"/>
          </w:tcPr>
          <w:p w14:paraId="0648BEF8"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3 و4 مارس 2016</w:t>
            </w:r>
          </w:p>
        </w:tc>
        <w:tc>
          <w:tcPr>
            <w:tcW w:w="1296" w:type="pct"/>
          </w:tcPr>
          <w:p w14:paraId="2FD2F388"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فييت نام/ 30 مشاركاً محلياً</w:t>
            </w:r>
          </w:p>
        </w:tc>
        <w:tc>
          <w:tcPr>
            <w:tcW w:w="2111" w:type="pct"/>
          </w:tcPr>
          <w:p w14:paraId="4AD56E2A" w14:textId="77777777" w:rsidR="00BD3831" w:rsidRPr="00CE1677" w:rsidRDefault="00BD3831" w:rsidP="0031289D">
            <w:pPr>
              <w:bidi/>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sz w:val="28"/>
                <w:szCs w:val="28"/>
                <w:rtl/>
                <w:lang w:eastAsia="ar-EG" w:bidi="ar-EG"/>
              </w:rPr>
              <w:t>"1" توسيع المعرفة بنظام لاهاي؛ "2" وتعزيز المهارات الخاصة بالتنفيذ الفعلي لنظام لاهاي؛ "3" ونشر فهم نظام لاهاي وتجاربه في اليابان؛ "4" وتطبيق المعارف والمهارات المكتسبة في مكان العمل</w:t>
            </w:r>
          </w:p>
        </w:tc>
      </w:tr>
      <w:tr w:rsidR="00BD3831" w:rsidRPr="00CE1677" w14:paraId="7CCE1747" w14:textId="77777777" w:rsidTr="00DF6715">
        <w:tblPrEx>
          <w:tblLook w:val="04A0" w:firstRow="1" w:lastRow="0" w:firstColumn="1" w:lastColumn="0" w:noHBand="0" w:noVBand="1"/>
        </w:tblPrEx>
        <w:trPr>
          <w:cantSplit/>
          <w:trHeight w:val="1499"/>
        </w:trPr>
        <w:tc>
          <w:tcPr>
            <w:tcW w:w="985" w:type="pct"/>
          </w:tcPr>
          <w:p w14:paraId="2EEA78A4"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sz w:val="28"/>
                <w:szCs w:val="28"/>
                <w:rtl/>
                <w:lang w:eastAsia="ar-EG" w:bidi="ar-EG"/>
              </w:rPr>
              <w:t>حلقة عمل دون إقليمية بشأن نظام إدارة جودة فحص البراءات</w:t>
            </w:r>
          </w:p>
        </w:tc>
        <w:tc>
          <w:tcPr>
            <w:tcW w:w="608" w:type="pct"/>
          </w:tcPr>
          <w:p w14:paraId="74230890"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19 و20 أبريل 2016</w:t>
            </w:r>
          </w:p>
        </w:tc>
        <w:tc>
          <w:tcPr>
            <w:tcW w:w="1296" w:type="pct"/>
          </w:tcPr>
          <w:p w14:paraId="7F0C661C"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ماليزيا/ 20 مشاركاً من الهند وإندونيسيا وماليزيا والفلبين وسنغافورة وتايلند وفييت نام</w:t>
            </w:r>
          </w:p>
        </w:tc>
        <w:tc>
          <w:tcPr>
            <w:tcW w:w="2111" w:type="pct"/>
          </w:tcPr>
          <w:p w14:paraId="19B62C4C" w14:textId="77777777" w:rsidR="00BD3831" w:rsidRPr="00CE1677" w:rsidRDefault="00BD3831" w:rsidP="0031289D">
            <w:pPr>
              <w:bidi/>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"1" توسيع المعارف اللازمة لإدارة الجودة؛ "2" وتعزيز المهارات الخاصة بالإدارة الفعلية لجودة فحص البراءات؛ "3" ونشر فهم نظام إدارة الجودة في بلد كل مشارك وتجاربه مع إدارات البحث الدولي؛ "4" وتطبيق المعارف والمهارات المكتسبة في مكان العمل</w:t>
            </w:r>
          </w:p>
        </w:tc>
      </w:tr>
      <w:tr w:rsidR="00BD3831" w:rsidRPr="00CE1677" w14:paraId="2A130B8A" w14:textId="77777777" w:rsidTr="00DF6715">
        <w:tblPrEx>
          <w:tblLook w:val="04A0" w:firstRow="1" w:lastRow="0" w:firstColumn="1" w:lastColumn="0" w:noHBand="0" w:noVBand="1"/>
        </w:tblPrEx>
        <w:trPr>
          <w:cantSplit/>
          <w:trHeight w:val="61"/>
        </w:trPr>
        <w:tc>
          <w:tcPr>
            <w:tcW w:w="985" w:type="pct"/>
          </w:tcPr>
          <w:p w14:paraId="095FFD6D" w14:textId="7F1A6B3A" w:rsidR="00BD3831" w:rsidRPr="00CE1677" w:rsidRDefault="00D3741B" w:rsidP="00D3741B">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Pr>
                <w:rFonts w:ascii="Arabic Typesetting" w:eastAsia="Arabic Typesetting" w:hAnsi="Arabic Typesetting" w:cs="Arabic Typesetting"/>
                <w:sz w:val="28"/>
                <w:szCs w:val="28"/>
                <w:rtl/>
                <w:lang w:eastAsia="ar-EG" w:bidi="ar-EG"/>
              </w:rPr>
              <w:t>زمالة طويلة المدى</w:t>
            </w:r>
          </w:p>
        </w:tc>
        <w:tc>
          <w:tcPr>
            <w:tcW w:w="608" w:type="pct"/>
          </w:tcPr>
          <w:p w14:paraId="4289F12D"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من يوليو إلى سبتمبر 2016</w:t>
            </w:r>
          </w:p>
        </w:tc>
        <w:tc>
          <w:tcPr>
            <w:tcW w:w="1296" w:type="pct"/>
          </w:tcPr>
          <w:p w14:paraId="40F61620" w14:textId="218BEAE1" w:rsidR="00BD3831" w:rsidRPr="00CE1677" w:rsidRDefault="00D3741B" w:rsidP="0031289D">
            <w:pPr>
              <w:autoSpaceDE w:val="0"/>
              <w:autoSpaceDN w:val="0"/>
              <w:bidi/>
              <w:adjustRightInd w:val="0"/>
              <w:spacing w:after="120" w:line="280" w:lineRule="exact"/>
              <w:rPr>
                <w:rFonts w:ascii="Arabic Typesetting" w:hAnsi="Arabic Typesetting" w:cs="Arabic Typesetting"/>
                <w:color w:val="000000"/>
                <w:sz w:val="28"/>
                <w:szCs w:val="28"/>
                <w:highlight w:val="yellow"/>
                <w:lang w:eastAsia="ar-EG" w:bidi="ar-EG"/>
              </w:rPr>
            </w:pPr>
            <w:r>
              <w:rPr>
                <w:rFonts w:ascii="Arabic Typesetting" w:eastAsia="Arabic Typesetting" w:hAnsi="Arabic Typesetting" w:cs="Arabic Typesetting" w:hint="cs"/>
                <w:sz w:val="28"/>
                <w:szCs w:val="28"/>
                <w:rtl/>
                <w:lang w:eastAsia="ar-EG" w:bidi="ar-EG"/>
              </w:rPr>
              <w:t>معهد أوساكا للتكنولوجيا في أوساكا</w:t>
            </w:r>
            <w:r>
              <w:rPr>
                <w:rFonts w:ascii="Arabic Typesetting" w:eastAsia="Arabic Typesetting" w:hAnsi="Arabic Typesetting" w:cs="Arabic Typesetting" w:hint="cs"/>
                <w:sz w:val="28"/>
                <w:szCs w:val="28"/>
                <w:rtl/>
                <w:lang w:eastAsia="ar-EG" w:bidi="ar-EG"/>
              </w:rPr>
              <w:br/>
            </w:r>
            <w:r w:rsidR="00BD3831" w:rsidRPr="00CE1677">
              <w:rPr>
                <w:rFonts w:ascii="Arabic Typesetting" w:eastAsia="Arabic Typesetting" w:hAnsi="Arabic Typesetting" w:cs="Arabic Typesetting"/>
                <w:sz w:val="28"/>
                <w:szCs w:val="28"/>
                <w:rtl/>
                <w:lang w:eastAsia="ar-EG" w:bidi="ar-EG"/>
              </w:rPr>
              <w:t>اليابان/ مشارك واحد من الفلبين</w:t>
            </w:r>
          </w:p>
        </w:tc>
        <w:tc>
          <w:tcPr>
            <w:tcW w:w="2111" w:type="pct"/>
          </w:tcPr>
          <w:p w14:paraId="3BBBAE1B"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زيادة عدد خبراء الملكية الفكرية في المنطقة الذين يمكنهم القيام بمهام تدريس وبحث حول قضايا الملكية الفكرية</w:t>
            </w:r>
          </w:p>
        </w:tc>
      </w:tr>
      <w:tr w:rsidR="00BD3831" w:rsidRPr="00CE1677" w14:paraId="7C4C44CC" w14:textId="77777777" w:rsidTr="00DF6715">
        <w:tblPrEx>
          <w:tblLook w:val="04A0" w:firstRow="1" w:lastRow="0" w:firstColumn="1" w:lastColumn="0" w:noHBand="0" w:noVBand="1"/>
        </w:tblPrEx>
        <w:trPr>
          <w:cantSplit/>
          <w:trHeight w:val="61"/>
        </w:trPr>
        <w:tc>
          <w:tcPr>
            <w:tcW w:w="985" w:type="pct"/>
          </w:tcPr>
          <w:p w14:paraId="37AE7CC8"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حلقة عمل وطنية بشأن العلامات الثلاثية الأبعاد</w:t>
            </w:r>
          </w:p>
        </w:tc>
        <w:tc>
          <w:tcPr>
            <w:tcW w:w="608" w:type="pct"/>
          </w:tcPr>
          <w:p w14:paraId="3BF5E1B8"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2 أغسطس 2016</w:t>
            </w:r>
          </w:p>
        </w:tc>
        <w:tc>
          <w:tcPr>
            <w:tcW w:w="1296" w:type="pct"/>
          </w:tcPr>
          <w:p w14:paraId="62E11A3F"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إندونيسيا/ 50 مشاركاً محلياً</w:t>
            </w:r>
          </w:p>
        </w:tc>
        <w:tc>
          <w:tcPr>
            <w:tcW w:w="2111" w:type="pct"/>
          </w:tcPr>
          <w:p w14:paraId="70B8CAE2" w14:textId="77777777" w:rsidR="00BD3831" w:rsidRPr="00CE1677" w:rsidRDefault="00BD3831" w:rsidP="0031289D">
            <w:pPr>
              <w:bidi/>
              <w:spacing w:after="120" w:line="280" w:lineRule="exact"/>
              <w:rPr>
                <w:rFonts w:ascii="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زيادة الإلمام بالعلامات الثلاثية الأبعاد؛ "2" </w:t>
            </w:r>
            <w:r>
              <w:rPr>
                <w:rFonts w:ascii="Arabic Typesetting" w:eastAsia="Arabic Typesetting" w:hAnsi="Arabic Typesetting" w:cs="Arabic Typesetting" w:hint="cs"/>
                <w:sz w:val="28"/>
                <w:szCs w:val="28"/>
                <w:rtl/>
                <w:lang w:eastAsia="ar-EG" w:bidi="ar-EG"/>
              </w:rPr>
              <w:t>و</w:t>
            </w:r>
            <w:r w:rsidRPr="00CE1677">
              <w:rPr>
                <w:rFonts w:ascii="Arabic Typesetting" w:eastAsia="Arabic Typesetting" w:hAnsi="Arabic Typesetting" w:cs="Arabic Typesetting"/>
                <w:sz w:val="28"/>
                <w:szCs w:val="28"/>
                <w:rtl/>
                <w:lang w:eastAsia="ar-EG" w:bidi="ar-EG"/>
              </w:rPr>
              <w:t>تبادل</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الخبرات في اليابان؛ "3" وتطبيق المعارف والمهارات المكتسبة في مكان العمل</w:t>
            </w:r>
          </w:p>
        </w:tc>
      </w:tr>
      <w:tr w:rsidR="00BD3831" w:rsidRPr="00CE1677" w14:paraId="74159B2C" w14:textId="77777777" w:rsidTr="00DF6715">
        <w:tblPrEx>
          <w:tblLook w:val="04A0" w:firstRow="1" w:lastRow="0" w:firstColumn="1" w:lastColumn="0" w:noHBand="0" w:noVBand="1"/>
        </w:tblPrEx>
        <w:trPr>
          <w:cantSplit/>
          <w:trHeight w:val="61"/>
        </w:trPr>
        <w:tc>
          <w:tcPr>
            <w:tcW w:w="985" w:type="pct"/>
          </w:tcPr>
          <w:p w14:paraId="14F83A53"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توفير موارد مرجعية للملكية الفكرية لأغراض التدريب</w:t>
            </w:r>
          </w:p>
        </w:tc>
        <w:tc>
          <w:tcPr>
            <w:tcW w:w="608" w:type="pct"/>
          </w:tcPr>
          <w:p w14:paraId="11E25181"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‏29 أغسطس إلى 2 سبتمبر 2016</w:t>
            </w:r>
          </w:p>
        </w:tc>
        <w:tc>
          <w:tcPr>
            <w:tcW w:w="1296" w:type="pct"/>
          </w:tcPr>
          <w:p w14:paraId="325D830D"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اليابان</w:t>
            </w:r>
          </w:p>
        </w:tc>
        <w:tc>
          <w:tcPr>
            <w:tcW w:w="2111" w:type="pct"/>
          </w:tcPr>
          <w:p w14:paraId="4879649C" w14:textId="77777777" w:rsidR="00BD3831" w:rsidRPr="00CE1677" w:rsidRDefault="00BD3831" w:rsidP="0031289D">
            <w:pPr>
              <w:bidi/>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"1" تعزيز فهم الإطار الدولي للملكية الفكرية لدى المشاركين في ندوة الجمعية اليابانية للجامعات بشأن التعليم والبحث في مجال الملكية الفكرية؛ "2" وفهم الإطار الدولي للملكية الفكرية لدى المشاركين في دورة الصيف التحفيزية لعام 2016 بشأن الملكية الفكرية في معهد أوساكا للتكنولوجيا</w:t>
            </w:r>
          </w:p>
        </w:tc>
      </w:tr>
      <w:tr w:rsidR="00BD3831" w:rsidRPr="00CE1677" w14:paraId="3E6764B7" w14:textId="77777777" w:rsidTr="00DF6715">
        <w:tblPrEx>
          <w:tblLook w:val="04A0" w:firstRow="1" w:lastRow="0" w:firstColumn="1" w:lastColumn="0" w:noHBand="0" w:noVBand="1"/>
        </w:tblPrEx>
        <w:trPr>
          <w:cantSplit/>
          <w:trHeight w:val="61"/>
        </w:trPr>
        <w:tc>
          <w:tcPr>
            <w:tcW w:w="985" w:type="pct"/>
          </w:tcPr>
          <w:p w14:paraId="7BEED367"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lastRenderedPageBreak/>
              <w:t>حلقة عمل إقليمية بشأن استخدام منتجات معاهدة البراءات</w:t>
            </w:r>
          </w:p>
        </w:tc>
        <w:tc>
          <w:tcPr>
            <w:tcW w:w="608" w:type="pct"/>
          </w:tcPr>
          <w:p w14:paraId="14311054"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13 و14 سبتمبر 2016</w:t>
            </w:r>
          </w:p>
        </w:tc>
        <w:tc>
          <w:tcPr>
            <w:tcW w:w="1296" w:type="pct"/>
          </w:tcPr>
          <w:p w14:paraId="394C2E5F"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highlight w:val="yellow"/>
                <w:lang w:eastAsia="ar-EG" w:bidi="ar-EG"/>
              </w:rPr>
            </w:pPr>
            <w:r w:rsidRPr="00CE1677">
              <w:rPr>
                <w:rFonts w:ascii="Arabic Typesetting" w:eastAsia="Arabic Typesetting" w:hAnsi="Arabic Typesetting" w:cs="Arabic Typesetting"/>
                <w:sz w:val="28"/>
                <w:szCs w:val="28"/>
                <w:rtl/>
                <w:lang w:eastAsia="ar-EG" w:bidi="ar-EG"/>
              </w:rPr>
              <w:t>اليابان/ 19 مشاركاً من كوستاريكا وإندونيسيا وجمهورية لاو الديمقراطية الشعبية وماليزيا والمكسيك والفلبين وبيرو وتايلند وفييت نام</w:t>
            </w:r>
          </w:p>
        </w:tc>
        <w:tc>
          <w:tcPr>
            <w:tcW w:w="2111" w:type="pct"/>
          </w:tcPr>
          <w:p w14:paraId="3A9BD3C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hAnsi="Arabic Typesetting" w:cs="Arabic Typesetting"/>
                <w:sz w:val="28"/>
                <w:szCs w:val="28"/>
                <w:rtl/>
                <w:lang w:eastAsia="ar-EG" w:bidi="ar-EG"/>
              </w:rPr>
              <w:t>تعزيز وتحسين قدرات فحص البراءات في مكاتب الملكية الفكرية في البلدان النامية والناشئة التي لم تعيَّن كإدارات للبحث الدولي في إطار معاهدة البراءات</w:t>
            </w:r>
          </w:p>
          <w:p w14:paraId="0717FD9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تعزيز المعارف اللازمة لإجراء فحص البراءات في الوقت المناسب وبفعالية باستخدام منتجات معاهدة البراءات؛ "2"</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واستخدام التدريب التقني العملي لتعزيز المهارات الخاصة بالنفاذ بفعالية إلى قواعد البيانات لاستخراج منتجات معاهدة البراءات مثل تقارير البحث الدولي وتقارير الفحص التمهيدي الدولي؛ "3" ونشر المعرفة المكتسبة في مكتب الملكية الفكرية لكل مشارك</w:t>
            </w:r>
          </w:p>
        </w:tc>
      </w:tr>
      <w:tr w:rsidR="00BD3831" w:rsidRPr="00CE1677" w14:paraId="6131A3B4" w14:textId="77777777" w:rsidTr="00DF6715">
        <w:trPr>
          <w:cantSplit/>
          <w:trHeight w:val="315"/>
        </w:trPr>
        <w:tc>
          <w:tcPr>
            <w:tcW w:w="5000" w:type="pct"/>
            <w:gridSpan w:val="4"/>
            <w:shd w:val="clear" w:color="auto" w:fill="C6D9F1"/>
          </w:tcPr>
          <w:p w14:paraId="1F8F8D6F" w14:textId="77777777" w:rsidR="00BD3831" w:rsidRPr="00CE1677" w:rsidRDefault="00BD3831" w:rsidP="0031289D">
            <w:pPr>
              <w:keepNext/>
              <w:keepLines/>
              <w:bidi/>
              <w:spacing w:after="120" w:line="280" w:lineRule="exact"/>
              <w:ind w:left="851" w:hanging="851"/>
              <w:rPr>
                <w:rFonts w:ascii="Arabic Typesetting" w:hAnsi="Arabic Typesetting" w:cs="Arabic Typesetting"/>
                <w:color w:val="000000"/>
                <w:sz w:val="28"/>
                <w:szCs w:val="28"/>
                <w:lang w:eastAsia="ar-EG" w:bidi="ar-EG"/>
              </w:rPr>
            </w:pPr>
            <w:r w:rsidRPr="00CE1677">
              <w:rPr>
                <w:rFonts w:ascii="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Pr>
                <w:rFonts w:ascii="Arabic Typesetting" w:hAnsi="Arabic Typesetting" w:cs="Arabic Typesetting" w:hint="cs"/>
                <w:sz w:val="28"/>
                <w:szCs w:val="28"/>
                <w:rtl/>
                <w:lang w:eastAsia="ar-EG" w:bidi="ar-EG"/>
              </w:rPr>
              <w:t>ه6.3</w:t>
            </w:r>
            <w:r w:rsidRPr="00CE1677">
              <w:rPr>
                <w:rFonts w:ascii="Arabic Typesetting" w:hAnsi="Arabic Typesetting" w:cs="Arabic Typesetting"/>
                <w:sz w:val="28"/>
                <w:szCs w:val="28"/>
                <w:rtl/>
                <w:lang w:eastAsia="ar-EG" w:bidi="ar-EG"/>
              </w:rPr>
              <w:t xml:space="preserve"> </w:t>
            </w:r>
            <w:r w:rsidRPr="00C368FD">
              <w:rPr>
                <w:rFonts w:ascii="Arabic Typesetting" w:eastAsia="Arabic Typesetting" w:hAnsi="Arabic Typesetting" w:cs="Arabic Typesetting"/>
                <w:sz w:val="28"/>
                <w:szCs w:val="28"/>
                <w:rtl/>
                <w:lang w:eastAsia="ar-EG" w:bidi="ar-EG"/>
              </w:rPr>
              <w:t>قدرات</w:t>
            </w:r>
            <w:r w:rsidRPr="00CE1677">
              <w:rPr>
                <w:rFonts w:ascii="Arabic Typesetting" w:hAnsi="Arabic Typesetting" w:cs="Arabic Typesetting"/>
                <w:sz w:val="28"/>
                <w:szCs w:val="28"/>
                <w:rtl/>
                <w:lang w:eastAsia="ar-EG" w:bidi="ar-EG"/>
              </w:rPr>
              <w:t xml:space="preserve"> معزّزة للشركات الصغيرة والمتوسطة من أجل النجاح في تسخير الملكية الفكرية لأغراض دعم الابتكار</w:t>
            </w:r>
          </w:p>
        </w:tc>
      </w:tr>
      <w:tr w:rsidR="00BD3831" w:rsidRPr="00CE1677" w14:paraId="40E77F8F" w14:textId="77777777" w:rsidTr="00DF6715">
        <w:trPr>
          <w:cantSplit/>
          <w:trHeight w:val="402"/>
        </w:trPr>
        <w:tc>
          <w:tcPr>
            <w:tcW w:w="985" w:type="pct"/>
            <w:vAlign w:val="center"/>
          </w:tcPr>
          <w:p w14:paraId="48621C10" w14:textId="77777777" w:rsidR="00BD3831" w:rsidRPr="00CE1677" w:rsidRDefault="00BD3831" w:rsidP="0031289D">
            <w:pPr>
              <w:keepNext/>
              <w:keepLines/>
              <w:bidi/>
              <w:spacing w:after="120" w:line="280" w:lineRule="exact"/>
              <w:rPr>
                <w:rFonts w:ascii="Arabic Typesetting" w:hAnsi="Arabic Typesetting" w:cs="Arabic Typesetting"/>
                <w:b/>
                <w:bCs/>
                <w:sz w:val="28"/>
                <w:szCs w:val="28"/>
                <w:lang w:eastAsia="ar-EG" w:bidi="ar-EG"/>
              </w:rPr>
            </w:pPr>
            <w:r w:rsidRPr="00CE1677">
              <w:rPr>
                <w:rFonts w:ascii="Arabic Typesetting" w:hAnsi="Arabic Typesetting" w:cs="Arabic Typesetting"/>
                <w:b/>
                <w:bCs/>
                <w:sz w:val="28"/>
                <w:szCs w:val="28"/>
                <w:rtl/>
                <w:lang w:eastAsia="ar-EG" w:bidi="ar-EG"/>
              </w:rPr>
              <w:t>النشاط</w:t>
            </w:r>
          </w:p>
        </w:tc>
        <w:tc>
          <w:tcPr>
            <w:tcW w:w="608" w:type="pct"/>
            <w:vAlign w:val="center"/>
          </w:tcPr>
          <w:p w14:paraId="76DB6C53"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التاريخ</w:t>
            </w:r>
          </w:p>
        </w:tc>
        <w:tc>
          <w:tcPr>
            <w:tcW w:w="1296" w:type="pct"/>
            <w:vAlign w:val="center"/>
          </w:tcPr>
          <w:p w14:paraId="5AD7962D"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Pr>
                <w:rFonts w:ascii="Arabic Typesetting" w:hAnsi="Arabic Typesetting" w:cs="Arabic Typesetting"/>
                <w:b/>
                <w:bCs/>
                <w:sz w:val="28"/>
                <w:szCs w:val="28"/>
                <w:rtl/>
                <w:lang w:eastAsia="ar-EG" w:bidi="ar-EG"/>
              </w:rPr>
              <w:t>البلد المضيف/الجهات </w:t>
            </w:r>
            <w:r w:rsidRPr="00CE1677">
              <w:rPr>
                <w:rFonts w:ascii="Arabic Typesetting" w:hAnsi="Arabic Typesetting" w:cs="Arabic Typesetting"/>
                <w:b/>
                <w:bCs/>
                <w:sz w:val="28"/>
                <w:szCs w:val="28"/>
                <w:rtl/>
                <w:lang w:eastAsia="ar-EG" w:bidi="ar-EG"/>
              </w:rPr>
              <w:t>المستفيدة</w:t>
            </w:r>
          </w:p>
        </w:tc>
        <w:tc>
          <w:tcPr>
            <w:tcW w:w="2111" w:type="pct"/>
            <w:vAlign w:val="center"/>
          </w:tcPr>
          <w:p w14:paraId="1BA91717"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الغرض/الوصف</w:t>
            </w:r>
          </w:p>
        </w:tc>
      </w:tr>
      <w:tr w:rsidR="00BD3831" w:rsidRPr="00CE1677" w14:paraId="4D4634F0" w14:textId="77777777" w:rsidTr="00DF6715">
        <w:tblPrEx>
          <w:tblLook w:val="04A0" w:firstRow="1" w:lastRow="0" w:firstColumn="1" w:lastColumn="0" w:noHBand="0" w:noVBand="1"/>
        </w:tblPrEx>
        <w:trPr>
          <w:cantSplit/>
          <w:trHeight w:val="473"/>
        </w:trPr>
        <w:tc>
          <w:tcPr>
            <w:tcW w:w="985" w:type="pct"/>
          </w:tcPr>
          <w:p w14:paraId="0C155F41"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 xml:space="preserve">مبادرات </w:t>
            </w:r>
            <w:r>
              <w:rPr>
                <w:rFonts w:ascii="Arabic Typesetting" w:hAnsi="Arabic Typesetting" w:cs="Arabic Typesetting" w:hint="cs"/>
                <w:color w:val="000000"/>
                <w:sz w:val="28"/>
                <w:szCs w:val="28"/>
                <w:rtl/>
                <w:lang w:eastAsia="ar-EG" w:bidi="ar-EG"/>
              </w:rPr>
              <w:t>قاعدة بيانات مزايا الملكية الفكرية</w:t>
            </w:r>
          </w:p>
        </w:tc>
        <w:tc>
          <w:tcPr>
            <w:tcW w:w="608" w:type="pct"/>
          </w:tcPr>
          <w:p w14:paraId="2AF3ECF9"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من يناير إلى ديسمبر 2016</w:t>
            </w:r>
          </w:p>
        </w:tc>
        <w:tc>
          <w:tcPr>
            <w:tcW w:w="1296" w:type="pct"/>
          </w:tcPr>
          <w:p w14:paraId="6AD6D450" w14:textId="7AE865FE" w:rsidR="00BD3831" w:rsidRPr="00CE1677" w:rsidRDefault="00A017F6"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Pr>
                <w:rFonts w:ascii="Arabic Typesetting" w:hAnsi="Arabic Typesetting" w:cs="Arabic Typesetting" w:hint="cs"/>
                <w:color w:val="000000"/>
                <w:sz w:val="28"/>
                <w:szCs w:val="28"/>
                <w:rtl/>
                <w:lang w:eastAsia="ar-EG" w:bidi="ar-EG"/>
              </w:rPr>
              <w:t xml:space="preserve">مكتب الويبو في اليابان ومقر الويبو/ </w:t>
            </w:r>
            <w:r w:rsidR="00BD3831" w:rsidRPr="00CE1677">
              <w:rPr>
                <w:rFonts w:ascii="Arabic Typesetting" w:hAnsi="Arabic Typesetting" w:cs="Arabic Typesetting"/>
                <w:color w:val="000000"/>
                <w:sz w:val="28"/>
                <w:szCs w:val="28"/>
                <w:rtl/>
                <w:lang w:eastAsia="ar-EG" w:bidi="ar-EG"/>
              </w:rPr>
              <w:t>جميع البلدان</w:t>
            </w:r>
          </w:p>
        </w:tc>
        <w:tc>
          <w:tcPr>
            <w:tcW w:w="2111" w:type="pct"/>
          </w:tcPr>
          <w:p w14:paraId="4E9BE252" w14:textId="53963B94" w:rsidR="00BD3831" w:rsidRPr="00CE1677" w:rsidRDefault="00A017F6" w:rsidP="00A017F6">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Pr>
                <w:rFonts w:ascii="Arabic Typesetting" w:eastAsia="Arabic Typesetting" w:hAnsi="Arabic Typesetting" w:cs="Arabic Typesetting" w:hint="cs"/>
                <w:sz w:val="28"/>
                <w:szCs w:val="28"/>
                <w:rtl/>
                <w:lang w:eastAsia="ar-EG" w:bidi="ar-EG"/>
              </w:rPr>
              <w:t>أضاف مكتب الويبو في اليابان</w:t>
            </w:r>
            <w:r w:rsidR="00BD3831" w:rsidRPr="00CE1677">
              <w:rPr>
                <w:rFonts w:ascii="Arabic Typesetting" w:eastAsia="Arabic Typesetting" w:hAnsi="Arabic Typesetting" w:cs="Arabic Typesetting"/>
                <w:sz w:val="28"/>
                <w:szCs w:val="28"/>
                <w:rtl/>
                <w:lang w:eastAsia="ar-EG" w:bidi="ar-EG"/>
              </w:rPr>
              <w:t xml:space="preserve"> أربع دراسات إفرادية إلى قاعدة بيانات مزايا الملكية الفكرية، وأُعد</w:t>
            </w:r>
            <w:r>
              <w:rPr>
                <w:rFonts w:ascii="Arabic Typesetting" w:eastAsia="Arabic Typesetting" w:hAnsi="Arabic Typesetting" w:cs="Arabic Typesetting" w:hint="cs"/>
                <w:sz w:val="28"/>
                <w:szCs w:val="28"/>
                <w:rtl/>
                <w:lang w:eastAsia="ar-EG" w:bidi="ar-EG"/>
              </w:rPr>
              <w:t>ت شعبة التواصل ومكتب الويبو في اليابان</w:t>
            </w:r>
            <w:r w:rsidR="00BD3831" w:rsidRPr="00CE1677">
              <w:rPr>
                <w:rFonts w:ascii="Arabic Typesetting" w:eastAsia="Arabic Typesetting" w:hAnsi="Arabic Typesetting" w:cs="Arabic Typesetting"/>
                <w:sz w:val="28"/>
                <w:szCs w:val="28"/>
                <w:rtl/>
                <w:lang w:eastAsia="ar-EG" w:bidi="ar-EG"/>
              </w:rPr>
              <w:t xml:space="preserve"> أربعة مقاطع فيديو لتحسين فهم استخدام نظام الملكية الفكرية لأغراض الابتكار</w:t>
            </w:r>
          </w:p>
        </w:tc>
      </w:tr>
      <w:tr w:rsidR="00BD3831" w:rsidRPr="00CE1677" w14:paraId="05B1D1F9" w14:textId="77777777" w:rsidTr="00DF6715">
        <w:trPr>
          <w:cantSplit/>
          <w:trHeight w:val="315"/>
        </w:trPr>
        <w:tc>
          <w:tcPr>
            <w:tcW w:w="5000" w:type="pct"/>
            <w:gridSpan w:val="4"/>
            <w:shd w:val="clear" w:color="auto" w:fill="C6D9F1"/>
          </w:tcPr>
          <w:p w14:paraId="1969AA2A" w14:textId="77777777" w:rsidR="00BD3831" w:rsidRPr="00CE1677" w:rsidRDefault="00BD3831" w:rsidP="0031289D">
            <w:pPr>
              <w:keepNext/>
              <w:keepLines/>
              <w:bidi/>
              <w:spacing w:after="120" w:line="280" w:lineRule="exact"/>
              <w:ind w:left="851" w:hanging="851"/>
              <w:rPr>
                <w:rFonts w:ascii="Arabic Typesetting" w:hAnsi="Arabic Typesetting" w:cs="Arabic Typesetting"/>
                <w:color w:val="000000"/>
                <w:sz w:val="28"/>
                <w:szCs w:val="28"/>
                <w:lang w:eastAsia="ar-EG" w:bidi="ar-EG"/>
              </w:rPr>
            </w:pPr>
            <w:r w:rsidRPr="00CE1677">
              <w:rPr>
                <w:rFonts w:ascii="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Pr>
                <w:rFonts w:ascii="Arabic Typesetting" w:hAnsi="Arabic Typesetting" w:cs="Arabic Typesetting" w:hint="cs"/>
                <w:sz w:val="28"/>
                <w:szCs w:val="28"/>
                <w:rtl/>
                <w:lang w:eastAsia="ar-EG" w:bidi="ar-EG"/>
              </w:rPr>
              <w:t xml:space="preserve">ه2.4 </w:t>
            </w:r>
            <w:r w:rsidRPr="00CE1677">
              <w:rPr>
                <w:rFonts w:ascii="Arabic Typesetting" w:hAnsi="Arabic Typesetting" w:cs="Arabic Typesetting"/>
                <w:sz w:val="28"/>
                <w:szCs w:val="28"/>
                <w:rtl/>
                <w:lang w:eastAsia="ar-EG" w:bidi="ar-EG"/>
              </w:rPr>
              <w:t xml:space="preserve">نفاذ محسّن إلى المعلومات المتعلقة بالملكية الفكرية واستخدامها من قبل مؤسسات الملكية الفكرية والجمهور لتشجيع </w:t>
            </w:r>
            <w:r w:rsidRPr="00C368FD">
              <w:rPr>
                <w:rFonts w:ascii="Arabic Typesetting" w:eastAsia="Arabic Typesetting" w:hAnsi="Arabic Typesetting" w:cs="Arabic Typesetting"/>
                <w:sz w:val="28"/>
                <w:szCs w:val="28"/>
                <w:rtl/>
                <w:lang w:eastAsia="ar-EG" w:bidi="ar-EG"/>
              </w:rPr>
              <w:t>الابتكار</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والإبداع</w:t>
            </w:r>
          </w:p>
        </w:tc>
      </w:tr>
      <w:tr w:rsidR="00BD3831" w:rsidRPr="00CE1677" w14:paraId="741D8F9B" w14:textId="77777777" w:rsidTr="00DF6715">
        <w:trPr>
          <w:cantSplit/>
          <w:trHeight w:val="402"/>
        </w:trPr>
        <w:tc>
          <w:tcPr>
            <w:tcW w:w="985" w:type="pct"/>
            <w:vAlign w:val="center"/>
          </w:tcPr>
          <w:p w14:paraId="11D0E03A" w14:textId="77777777" w:rsidR="00BD3831" w:rsidRPr="00CE1677" w:rsidRDefault="00BD3831" w:rsidP="0031289D">
            <w:pPr>
              <w:keepNext/>
              <w:keepLines/>
              <w:bidi/>
              <w:spacing w:after="120" w:line="280" w:lineRule="exact"/>
              <w:rPr>
                <w:rFonts w:ascii="Arabic Typesetting" w:hAnsi="Arabic Typesetting" w:cs="Arabic Typesetting"/>
                <w:b/>
                <w:bCs/>
                <w:sz w:val="28"/>
                <w:szCs w:val="28"/>
                <w:lang w:eastAsia="ar-EG" w:bidi="ar-EG"/>
              </w:rPr>
            </w:pPr>
            <w:r w:rsidRPr="00CE1677">
              <w:rPr>
                <w:rFonts w:ascii="Arabic Typesetting" w:hAnsi="Arabic Typesetting" w:cs="Arabic Typesetting"/>
                <w:b/>
                <w:bCs/>
                <w:sz w:val="28"/>
                <w:szCs w:val="28"/>
                <w:rtl/>
                <w:lang w:eastAsia="ar-EG" w:bidi="ar-EG"/>
              </w:rPr>
              <w:t>النشاط</w:t>
            </w:r>
          </w:p>
        </w:tc>
        <w:tc>
          <w:tcPr>
            <w:tcW w:w="608" w:type="pct"/>
            <w:vAlign w:val="center"/>
          </w:tcPr>
          <w:p w14:paraId="1536CF57"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التاريخ</w:t>
            </w:r>
          </w:p>
        </w:tc>
        <w:tc>
          <w:tcPr>
            <w:tcW w:w="1296" w:type="pct"/>
            <w:vAlign w:val="center"/>
          </w:tcPr>
          <w:p w14:paraId="72BCEDE8"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Pr>
                <w:rFonts w:ascii="Arabic Typesetting" w:hAnsi="Arabic Typesetting" w:cs="Arabic Typesetting"/>
                <w:b/>
                <w:bCs/>
                <w:sz w:val="28"/>
                <w:szCs w:val="28"/>
                <w:rtl/>
                <w:lang w:eastAsia="ar-EG" w:bidi="ar-EG"/>
              </w:rPr>
              <w:t>البلد المضيف/الجهات </w:t>
            </w:r>
            <w:r w:rsidRPr="00CE1677">
              <w:rPr>
                <w:rFonts w:ascii="Arabic Typesetting" w:hAnsi="Arabic Typesetting" w:cs="Arabic Typesetting"/>
                <w:b/>
                <w:bCs/>
                <w:sz w:val="28"/>
                <w:szCs w:val="28"/>
                <w:rtl/>
                <w:lang w:eastAsia="ar-EG" w:bidi="ar-EG"/>
              </w:rPr>
              <w:t>المستفيدة</w:t>
            </w:r>
          </w:p>
        </w:tc>
        <w:tc>
          <w:tcPr>
            <w:tcW w:w="2111" w:type="pct"/>
            <w:vAlign w:val="center"/>
          </w:tcPr>
          <w:p w14:paraId="54FFCB0D"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الغرض/الوصف</w:t>
            </w:r>
          </w:p>
        </w:tc>
      </w:tr>
      <w:tr w:rsidR="00BD3831" w:rsidRPr="00CE1677" w14:paraId="40A60644" w14:textId="77777777" w:rsidTr="00DF6715">
        <w:tblPrEx>
          <w:tblLook w:val="04A0" w:firstRow="1" w:lastRow="0" w:firstColumn="1" w:lastColumn="0" w:noHBand="0" w:noVBand="1"/>
        </w:tblPrEx>
        <w:trPr>
          <w:cantSplit/>
          <w:trHeight w:val="473"/>
        </w:trPr>
        <w:tc>
          <w:tcPr>
            <w:tcW w:w="985" w:type="pct"/>
          </w:tcPr>
          <w:p w14:paraId="2D1B1E01"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تهيئة بيئة محفزة للملكية الفكرية لزيادة القدرة على الابتكار والإبداع</w:t>
            </w:r>
          </w:p>
        </w:tc>
        <w:tc>
          <w:tcPr>
            <w:tcW w:w="608" w:type="pct"/>
          </w:tcPr>
          <w:p w14:paraId="045AC709"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من فبراير إلى</w:t>
            </w:r>
            <w:r>
              <w:rPr>
                <w:rFonts w:ascii="Arabic Typesetting" w:hAnsi="Arabic Typesetting" w:cs="Arabic Typesetting" w:hint="cs"/>
                <w:color w:val="000000"/>
                <w:sz w:val="28"/>
                <w:szCs w:val="28"/>
                <w:rtl/>
                <w:lang w:eastAsia="ar-EG" w:bidi="ar-EG"/>
              </w:rPr>
              <w:t> </w:t>
            </w:r>
            <w:r w:rsidRPr="00CE1677">
              <w:rPr>
                <w:rFonts w:ascii="Arabic Typesetting" w:hAnsi="Arabic Typesetting" w:cs="Arabic Typesetting"/>
                <w:color w:val="000000"/>
                <w:sz w:val="28"/>
                <w:szCs w:val="28"/>
                <w:rtl/>
                <w:lang w:eastAsia="ar-EG" w:bidi="ar-EG"/>
              </w:rPr>
              <w:t>ديسمبر 2016</w:t>
            </w:r>
          </w:p>
        </w:tc>
        <w:tc>
          <w:tcPr>
            <w:tcW w:w="1296" w:type="pct"/>
          </w:tcPr>
          <w:p w14:paraId="2992605D"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ماليزيا والفلبين وتايلند وسري لانكا</w:t>
            </w:r>
          </w:p>
        </w:tc>
        <w:tc>
          <w:tcPr>
            <w:tcW w:w="2111" w:type="pct"/>
          </w:tcPr>
          <w:p w14:paraId="6F879D2F" w14:textId="77777777" w:rsidR="00BD3831" w:rsidRPr="00CE1677" w:rsidRDefault="00BD3831" w:rsidP="0031289D">
            <w:pPr>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"1" زيادة فهم القدرات والإمكانات القائمة للمؤسسات في الفلبين وتايلند للشروع في كشف التكنولوجيات واستيعابها وتكييفها وابتكارها وتسويقها؛ "2" وتحديد المؤسسات في البلدان المستفيدة التي تعد جزءاً من البيئة المحفزة للملكية الفكرية لأغراض تطوير التكنولوجيا وغيرها من المساعي؛ "3"</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وزيادة الاهتمام بين المشاركين لتشكيل مجتمعات شبكية لتطوير التكنولوجيا وغيرها من المساعي؛ "4"</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ومناقشة</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استراتيجية مناسبة وإمكانية المضي قدماً مع أصحاب المصلحة داخل البلد بتهيئة بيئة محفزة للملكية الفكرية في الهياكل والأنظمة والبيئة العامة للبلد</w:t>
            </w:r>
          </w:p>
        </w:tc>
      </w:tr>
      <w:tr w:rsidR="00BD3831" w:rsidRPr="00CE1677" w14:paraId="1A8FFF3C" w14:textId="77777777" w:rsidTr="00DF6715">
        <w:tblPrEx>
          <w:tblLook w:val="04A0" w:firstRow="1" w:lastRow="0" w:firstColumn="1" w:lastColumn="0" w:noHBand="0" w:noVBand="1"/>
        </w:tblPrEx>
        <w:trPr>
          <w:cantSplit/>
          <w:trHeight w:val="473"/>
        </w:trPr>
        <w:tc>
          <w:tcPr>
            <w:tcW w:w="985" w:type="pct"/>
          </w:tcPr>
          <w:p w14:paraId="3C4B31A6"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توفير مراجع الملكية الفكرية</w:t>
            </w:r>
          </w:p>
        </w:tc>
        <w:tc>
          <w:tcPr>
            <w:tcW w:w="608" w:type="pct"/>
          </w:tcPr>
          <w:p w14:paraId="2BBC8A11"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3 و4 مارس 2016</w:t>
            </w:r>
          </w:p>
        </w:tc>
        <w:tc>
          <w:tcPr>
            <w:tcW w:w="1296" w:type="pct"/>
          </w:tcPr>
          <w:p w14:paraId="7B098311"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الفلبين/ الفلبين وفييت نام وتايلند</w:t>
            </w:r>
          </w:p>
        </w:tc>
        <w:tc>
          <w:tcPr>
            <w:tcW w:w="2111" w:type="pct"/>
          </w:tcPr>
          <w:p w14:paraId="36F61BA9"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sz w:val="28"/>
                <w:szCs w:val="28"/>
                <w:rtl/>
                <w:lang w:eastAsia="ar-EG" w:bidi="ar-EG"/>
              </w:rPr>
              <w:t xml:space="preserve">قدِّم 25 دليلاً للملكية الفكرية إلى المشاركين في حلقة العمل الإقليمية بشأن إدارة الملكية الفكرية فيما يخص </w:t>
            </w:r>
            <w:r w:rsidRPr="00CE1677">
              <w:rPr>
                <w:rFonts w:ascii="Arabic Typesetting" w:hAnsi="Arabic Typesetting" w:cs="Arabic Typesetting"/>
                <w:sz w:val="28"/>
                <w:szCs w:val="28"/>
                <w:lang w:eastAsia="ar-EG" w:bidi="ar-EG"/>
              </w:rPr>
              <w:t>WIPO Re:Search</w:t>
            </w:r>
            <w:r w:rsidRPr="00CE1677">
              <w:rPr>
                <w:rFonts w:ascii="Arabic Typesetting" w:hAnsi="Arabic Typesetting" w:cs="Arabic Typesetting"/>
                <w:sz w:val="28"/>
                <w:szCs w:val="28"/>
                <w:rtl/>
                <w:lang w:eastAsia="ar-EG" w:bidi="ar-EG"/>
              </w:rPr>
              <w:t xml:space="preserve"> و</w:t>
            </w:r>
            <w:r>
              <w:rPr>
                <w:rFonts w:ascii="Arabic Typesetting" w:hAnsi="Arabic Typesetting" w:cs="Arabic Typesetting" w:hint="cs"/>
                <w:sz w:val="28"/>
                <w:szCs w:val="28"/>
                <w:rtl/>
                <w:lang w:eastAsia="ar-EG" w:bidi="ar-EG"/>
              </w:rPr>
              <w:t>ويبو غرين</w:t>
            </w:r>
            <w:r w:rsidRPr="00CE1677">
              <w:rPr>
                <w:rFonts w:ascii="Arabic Typesetting" w:hAnsi="Arabic Typesetting" w:cs="Arabic Typesetting"/>
                <w:sz w:val="28"/>
                <w:szCs w:val="28"/>
                <w:rtl/>
                <w:lang w:eastAsia="ar-EG" w:bidi="ar-EG"/>
              </w:rPr>
              <w:t xml:space="preserve"> لتعزيز تعلّم إدارة الملكية الفكرية وتزويد المشاركين بمراجع ملائمة عن الملكية الفكرية يمكن استخدامها بعد التدريب.</w:t>
            </w:r>
          </w:p>
        </w:tc>
      </w:tr>
      <w:tr w:rsidR="00BD3831" w:rsidRPr="00CE1677" w14:paraId="2EA6FCCF" w14:textId="77777777" w:rsidTr="00DF6715">
        <w:tblPrEx>
          <w:tblLook w:val="04A0" w:firstRow="1" w:lastRow="0" w:firstColumn="1" w:lastColumn="0" w:noHBand="0" w:noVBand="1"/>
        </w:tblPrEx>
        <w:trPr>
          <w:cantSplit/>
          <w:trHeight w:val="473"/>
        </w:trPr>
        <w:tc>
          <w:tcPr>
            <w:tcW w:w="985" w:type="pct"/>
          </w:tcPr>
          <w:p w14:paraId="213F564C"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زيارة دراسية إلى مكتب الفلبين للملكية الفكرية وبعض مكاتب دعم التكنولوجيا والابتكار في</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مانيلا</w:t>
            </w:r>
          </w:p>
        </w:tc>
        <w:tc>
          <w:tcPr>
            <w:tcW w:w="608" w:type="pct"/>
          </w:tcPr>
          <w:p w14:paraId="15DE6F9D"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من 25 إلى 29 يوليو 2016</w:t>
            </w:r>
          </w:p>
        </w:tc>
        <w:tc>
          <w:tcPr>
            <w:tcW w:w="1296" w:type="pct"/>
          </w:tcPr>
          <w:p w14:paraId="116C90E3"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الفلبين/ بنغلاديش وبوتان والهند ونيبال ومنغوليا وباكستان وسري</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لانكا</w:t>
            </w:r>
          </w:p>
        </w:tc>
        <w:tc>
          <w:tcPr>
            <w:tcW w:w="2111" w:type="pct"/>
          </w:tcPr>
          <w:p w14:paraId="0CFF0672"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المساهمة في خدمات فعالة لدعم الابتكار ولا سيما استخدام قواعد البيانات التكنولوجية واستغلالها بفعالية عن طريق تحسين خبرة الموظفين في النهوض بمراكز دعم التكنولوجيا والابتكار وتشغيلها</w:t>
            </w:r>
          </w:p>
        </w:tc>
      </w:tr>
      <w:tr w:rsidR="00BD3831" w:rsidRPr="00CE1677" w14:paraId="56F5773C" w14:textId="77777777" w:rsidTr="00DF6715">
        <w:tblPrEx>
          <w:tblLook w:val="04A0" w:firstRow="1" w:lastRow="0" w:firstColumn="1" w:lastColumn="0" w:noHBand="0" w:noVBand="1"/>
        </w:tblPrEx>
        <w:trPr>
          <w:cantSplit/>
          <w:trHeight w:val="473"/>
        </w:trPr>
        <w:tc>
          <w:tcPr>
            <w:tcW w:w="985" w:type="pct"/>
          </w:tcPr>
          <w:p w14:paraId="573D7048"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بناء القدرات في مهارات صياغة البراءات لدعم الابتكار بفعالية</w:t>
            </w:r>
          </w:p>
        </w:tc>
        <w:tc>
          <w:tcPr>
            <w:tcW w:w="608" w:type="pct"/>
          </w:tcPr>
          <w:p w14:paraId="6B096740"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من 22 إلى 26 أغسطس 2016</w:t>
            </w:r>
          </w:p>
          <w:p w14:paraId="62CAEE12"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من 21 إلى 25 نوفمبر 2016</w:t>
            </w:r>
          </w:p>
        </w:tc>
        <w:tc>
          <w:tcPr>
            <w:tcW w:w="1296" w:type="pct"/>
          </w:tcPr>
          <w:p w14:paraId="1E1C1111" w14:textId="77777777" w:rsidR="00BD3831" w:rsidRDefault="00BD3831" w:rsidP="0031289D">
            <w:pPr>
              <w:autoSpaceDE w:val="0"/>
              <w:autoSpaceDN w:val="0"/>
              <w:bidi/>
              <w:adjustRightInd w:val="0"/>
              <w:spacing w:after="660" w:line="280" w:lineRule="exact"/>
              <w:rPr>
                <w:rFonts w:ascii="Arabic Typesetting" w:hAnsi="Arabic Typesetting" w:cs="Arabic Typesetting"/>
                <w:color w:val="000000"/>
                <w:sz w:val="28"/>
                <w:szCs w:val="28"/>
                <w:lang w:eastAsia="ar-EG" w:bidi="ar-EG"/>
              </w:rPr>
            </w:pPr>
            <w:r>
              <w:rPr>
                <w:rFonts w:ascii="Arabic Typesetting" w:hAnsi="Arabic Typesetting" w:cs="Arabic Typesetting"/>
                <w:color w:val="000000"/>
                <w:sz w:val="28"/>
                <w:szCs w:val="28"/>
                <w:rtl/>
                <w:lang w:eastAsia="ar-EG" w:bidi="ar-EG"/>
              </w:rPr>
              <w:t>تايلند</w:t>
            </w:r>
          </w:p>
          <w:p w14:paraId="35C77B90"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Pr>
                <w:rFonts w:ascii="Arabic Typesetting" w:hAnsi="Arabic Typesetting" w:cs="Arabic Typesetting"/>
                <w:color w:val="000000"/>
                <w:sz w:val="28"/>
                <w:szCs w:val="28"/>
                <w:rtl/>
                <w:lang w:eastAsia="ar-EG" w:bidi="ar-EG"/>
              </w:rPr>
              <w:t>الفلبين</w:t>
            </w:r>
          </w:p>
        </w:tc>
        <w:tc>
          <w:tcPr>
            <w:tcW w:w="2111" w:type="pct"/>
          </w:tcPr>
          <w:p w14:paraId="40DC1A9B"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تعزيز مهارات صياغة البراءات لدى الموظفين في م</w:t>
            </w:r>
            <w:r>
              <w:rPr>
                <w:rFonts w:ascii="Arabic Typesetting" w:eastAsia="Arabic Typesetting" w:hAnsi="Arabic Typesetting" w:cs="Arabic Typesetting"/>
                <w:sz w:val="28"/>
                <w:szCs w:val="28"/>
                <w:rtl/>
                <w:lang w:eastAsia="ar-EG" w:bidi="ar-EG"/>
              </w:rPr>
              <w:t>ؤسسات مختارة في تايلند والفلبين</w:t>
            </w:r>
          </w:p>
        </w:tc>
      </w:tr>
      <w:tr w:rsidR="00BD3831" w:rsidRPr="00CE1677" w14:paraId="3985EBAD" w14:textId="77777777" w:rsidTr="00DF6715">
        <w:tblPrEx>
          <w:tblLook w:val="04A0" w:firstRow="1" w:lastRow="0" w:firstColumn="1" w:lastColumn="0" w:noHBand="0" w:noVBand="1"/>
        </w:tblPrEx>
        <w:trPr>
          <w:cantSplit/>
          <w:trHeight w:val="473"/>
        </w:trPr>
        <w:tc>
          <w:tcPr>
            <w:tcW w:w="985" w:type="pct"/>
          </w:tcPr>
          <w:p w14:paraId="21EC2B37"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lastRenderedPageBreak/>
              <w:t>حلقة عمل إقليمية بشأن أدوات تحليل البراءات</w:t>
            </w:r>
          </w:p>
        </w:tc>
        <w:tc>
          <w:tcPr>
            <w:tcW w:w="608" w:type="pct"/>
          </w:tcPr>
          <w:p w14:paraId="7C429E77"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من 27 إلى 29 سبتمبر 2016</w:t>
            </w:r>
          </w:p>
        </w:tc>
        <w:tc>
          <w:tcPr>
            <w:tcW w:w="1296" w:type="pct"/>
          </w:tcPr>
          <w:p w14:paraId="22C631FE"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ماليزيا/ 11 مشاركاً من إندونيسيا وماليزيا والفلبين وسنغافورة وتايلند وفييت نام</w:t>
            </w:r>
          </w:p>
        </w:tc>
        <w:tc>
          <w:tcPr>
            <w:tcW w:w="2111" w:type="pct"/>
          </w:tcPr>
          <w:p w14:paraId="2878B35E" w14:textId="77777777" w:rsidR="00BD3831" w:rsidRPr="001D3FF2" w:rsidRDefault="00BD3831" w:rsidP="0031289D">
            <w:pPr>
              <w:bidi/>
              <w:spacing w:after="120" w:line="280" w:lineRule="exact"/>
              <w:rPr>
                <w:rFonts w:ascii="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التمكن من استخدام مبادئ الويبو التوجيهية لصياغة تقارير واقع البراءات ودليل الويبو بشأن استخدام الأدوات المفتوحة المصدر والمجاني</w:t>
            </w:r>
            <w:r>
              <w:rPr>
                <w:rFonts w:ascii="Arabic Typesetting" w:eastAsia="Arabic Typesetting" w:hAnsi="Arabic Typesetting" w:cs="Arabic Typesetting"/>
                <w:sz w:val="28"/>
                <w:szCs w:val="28"/>
                <w:rtl/>
                <w:lang w:eastAsia="ar-EG" w:bidi="ar-EG"/>
              </w:rPr>
              <w:t>ة في صياغة تقارير واقع البراءات</w:t>
            </w:r>
          </w:p>
        </w:tc>
      </w:tr>
      <w:tr w:rsidR="00BD3831" w:rsidRPr="00CE1677" w14:paraId="6867F25A" w14:textId="77777777" w:rsidTr="00DF6715">
        <w:tblPrEx>
          <w:tblLook w:val="04A0" w:firstRow="1" w:lastRow="0" w:firstColumn="1" w:lastColumn="0" w:noHBand="0" w:noVBand="1"/>
        </w:tblPrEx>
        <w:trPr>
          <w:cantSplit/>
          <w:trHeight w:val="473"/>
        </w:trPr>
        <w:tc>
          <w:tcPr>
            <w:tcW w:w="985" w:type="pct"/>
          </w:tcPr>
          <w:p w14:paraId="61AF0D1C"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حلقة عمل إقليمية بشأن نشر معلومات ا</w:t>
            </w:r>
            <w:r>
              <w:rPr>
                <w:rFonts w:ascii="Arabic Typesetting" w:hAnsi="Arabic Typesetting" w:cs="Arabic Typesetting"/>
                <w:color w:val="000000"/>
                <w:sz w:val="28"/>
                <w:szCs w:val="28"/>
                <w:rtl/>
                <w:lang w:eastAsia="ar-EG" w:bidi="ar-EG"/>
              </w:rPr>
              <w:t xml:space="preserve">لبراءات واستخدامها </w:t>
            </w:r>
            <w:r>
              <w:rPr>
                <w:rFonts w:ascii="Arabic Typesetting" w:hAnsi="Arabic Typesetting" w:cs="Arabic Typesetting" w:hint="cs"/>
                <w:color w:val="000000"/>
                <w:sz w:val="28"/>
                <w:szCs w:val="28"/>
                <w:rtl/>
                <w:lang w:eastAsia="ar-EG" w:bidi="ar-EG"/>
              </w:rPr>
              <w:t>بفعالية</w:t>
            </w:r>
          </w:p>
        </w:tc>
        <w:tc>
          <w:tcPr>
            <w:tcW w:w="608" w:type="pct"/>
          </w:tcPr>
          <w:p w14:paraId="1396CD08"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6 و7 ديسمبر 2016</w:t>
            </w:r>
          </w:p>
        </w:tc>
        <w:tc>
          <w:tcPr>
            <w:tcW w:w="1296" w:type="pct"/>
          </w:tcPr>
          <w:p w14:paraId="1B4467ED"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اليابان/ 14 مشاركاً من البرازيل والهند وإندونيسيا والفلبين وماليزيا وتايلند وفييت نام</w:t>
            </w:r>
          </w:p>
        </w:tc>
        <w:tc>
          <w:tcPr>
            <w:tcW w:w="2111" w:type="pct"/>
          </w:tcPr>
          <w:p w14:paraId="2A53B588"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"1" زيادة معلومات/بيانات البراءات التي تنشرها مكاتب الملكية الفكرية في الداخل والخارج؛ "2" وزيادة عدد مكاتب الملكية الفكرية التي تت</w:t>
            </w:r>
            <w:r>
              <w:rPr>
                <w:rFonts w:ascii="Arabic Typesetting" w:hAnsi="Arabic Typesetting" w:cs="Arabic Typesetting"/>
                <w:color w:val="000000"/>
                <w:sz w:val="28"/>
                <w:szCs w:val="28"/>
                <w:rtl/>
                <w:lang w:eastAsia="ar-EG" w:bidi="ar-EG"/>
              </w:rPr>
              <w:t>بادل معلومات مرقمنة عن البراءات</w:t>
            </w:r>
          </w:p>
        </w:tc>
      </w:tr>
      <w:tr w:rsidR="00BD3831" w:rsidRPr="00CE1677" w14:paraId="266683C6" w14:textId="77777777" w:rsidTr="00DF6715">
        <w:trPr>
          <w:cantSplit/>
          <w:trHeight w:val="315"/>
        </w:trPr>
        <w:tc>
          <w:tcPr>
            <w:tcW w:w="5000" w:type="pct"/>
            <w:gridSpan w:val="4"/>
            <w:shd w:val="clear" w:color="auto" w:fill="C6D9F1"/>
          </w:tcPr>
          <w:p w14:paraId="76C95FA0" w14:textId="23997518" w:rsidR="00BD3831" w:rsidRPr="00CE1677" w:rsidRDefault="00BD3831" w:rsidP="0031289D">
            <w:pPr>
              <w:keepNext/>
              <w:keepLines/>
              <w:bidi/>
              <w:spacing w:after="120" w:line="280" w:lineRule="exact"/>
              <w:ind w:left="851" w:hanging="851"/>
              <w:rPr>
                <w:rFonts w:ascii="Arabic Typesetting" w:hAnsi="Arabic Typesetting" w:cs="Arabic Typesetting"/>
                <w:color w:val="000000"/>
                <w:sz w:val="28"/>
                <w:szCs w:val="28"/>
                <w:lang w:eastAsia="ar-EG" w:bidi="ar-EG"/>
              </w:rPr>
            </w:pPr>
            <w:r w:rsidRPr="00CE1677">
              <w:rPr>
                <w:rFonts w:ascii="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hAnsi="Arabic Typesetting" w:cs="Arabic Typesetting"/>
                <w:sz w:val="28"/>
                <w:szCs w:val="28"/>
                <w:rtl/>
                <w:lang w:eastAsia="ar-EG" w:bidi="ar-EG"/>
              </w:rPr>
              <w:t xml:space="preserve">ه4.4 </w:t>
            </w:r>
            <w:r w:rsidR="007B1E0A">
              <w:rPr>
                <w:rFonts w:ascii="Arabic Typesetting" w:hAnsi="Arabic Typesetting" w:cs="Arabic Typesetting"/>
                <w:sz w:val="28"/>
                <w:szCs w:val="28"/>
                <w:rtl/>
                <w:lang w:eastAsia="ar-EG" w:bidi="ar-EG"/>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r>
      <w:tr w:rsidR="00BD3831" w:rsidRPr="00CE1677" w14:paraId="0A5AFD3F" w14:textId="77777777" w:rsidTr="00DF6715">
        <w:trPr>
          <w:cantSplit/>
          <w:trHeight w:val="402"/>
        </w:trPr>
        <w:tc>
          <w:tcPr>
            <w:tcW w:w="985" w:type="pct"/>
            <w:vAlign w:val="center"/>
          </w:tcPr>
          <w:p w14:paraId="45DA0624" w14:textId="77777777" w:rsidR="00BD3831" w:rsidRPr="00CE1677" w:rsidRDefault="00BD3831" w:rsidP="0031289D">
            <w:pPr>
              <w:keepNext/>
              <w:keepLines/>
              <w:bidi/>
              <w:spacing w:after="120" w:line="280" w:lineRule="exact"/>
              <w:rPr>
                <w:rFonts w:ascii="Arabic Typesetting" w:hAnsi="Arabic Typesetting" w:cs="Arabic Typesetting"/>
                <w:b/>
                <w:bCs/>
                <w:sz w:val="28"/>
                <w:szCs w:val="28"/>
                <w:lang w:eastAsia="ar-EG" w:bidi="ar-EG"/>
              </w:rPr>
            </w:pPr>
            <w:r w:rsidRPr="00CE1677">
              <w:rPr>
                <w:rFonts w:ascii="Arabic Typesetting" w:hAnsi="Arabic Typesetting" w:cs="Arabic Typesetting"/>
                <w:b/>
                <w:bCs/>
                <w:sz w:val="28"/>
                <w:szCs w:val="28"/>
                <w:rtl/>
                <w:lang w:eastAsia="ar-EG" w:bidi="ar-EG"/>
              </w:rPr>
              <w:t>النشاط</w:t>
            </w:r>
          </w:p>
        </w:tc>
        <w:tc>
          <w:tcPr>
            <w:tcW w:w="608" w:type="pct"/>
            <w:vAlign w:val="center"/>
          </w:tcPr>
          <w:p w14:paraId="582A6A4B"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التاريخ</w:t>
            </w:r>
          </w:p>
        </w:tc>
        <w:tc>
          <w:tcPr>
            <w:tcW w:w="1296" w:type="pct"/>
            <w:vAlign w:val="center"/>
          </w:tcPr>
          <w:p w14:paraId="6E3CA991"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Pr>
                <w:rFonts w:ascii="Arabic Typesetting" w:hAnsi="Arabic Typesetting" w:cs="Arabic Typesetting"/>
                <w:b/>
                <w:bCs/>
                <w:sz w:val="28"/>
                <w:szCs w:val="28"/>
                <w:rtl/>
                <w:lang w:eastAsia="ar-EG" w:bidi="ar-EG"/>
              </w:rPr>
              <w:t>البلد المضيف/الجهات </w:t>
            </w:r>
            <w:r w:rsidRPr="00CE1677">
              <w:rPr>
                <w:rFonts w:ascii="Arabic Typesetting" w:hAnsi="Arabic Typesetting" w:cs="Arabic Typesetting"/>
                <w:b/>
                <w:bCs/>
                <w:sz w:val="28"/>
                <w:szCs w:val="28"/>
                <w:rtl/>
                <w:lang w:eastAsia="ar-EG" w:bidi="ar-EG"/>
              </w:rPr>
              <w:t>المستفيدة</w:t>
            </w:r>
          </w:p>
        </w:tc>
        <w:tc>
          <w:tcPr>
            <w:tcW w:w="2111" w:type="pct"/>
            <w:vAlign w:val="center"/>
          </w:tcPr>
          <w:p w14:paraId="28421637"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الغرض/الوصف</w:t>
            </w:r>
          </w:p>
        </w:tc>
      </w:tr>
      <w:tr w:rsidR="00BD3831" w:rsidRPr="00CE1677" w14:paraId="3B6BA71B" w14:textId="77777777" w:rsidTr="00DF6715">
        <w:tblPrEx>
          <w:tblLook w:val="04A0" w:firstRow="1" w:lastRow="0" w:firstColumn="1" w:lastColumn="0" w:noHBand="0" w:noVBand="1"/>
        </w:tblPrEx>
        <w:trPr>
          <w:cantSplit/>
          <w:trHeight w:val="1570"/>
        </w:trPr>
        <w:tc>
          <w:tcPr>
            <w:tcW w:w="985" w:type="pct"/>
          </w:tcPr>
          <w:p w14:paraId="5FB21561"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تشخيص مكاتب الملكية</w:t>
            </w:r>
            <w:r>
              <w:rPr>
                <w:rFonts w:ascii="Arabic Typesetting" w:hAnsi="Arabic Typesetting" w:cs="Arabic Typesetting" w:hint="cs"/>
                <w:color w:val="000000"/>
                <w:sz w:val="28"/>
                <w:szCs w:val="28"/>
                <w:rtl/>
                <w:lang w:eastAsia="ar-EG" w:bidi="ar-EG"/>
              </w:rPr>
              <w:t> </w:t>
            </w:r>
            <w:r w:rsidRPr="00CE1677">
              <w:rPr>
                <w:rFonts w:ascii="Arabic Typesetting" w:hAnsi="Arabic Typesetting" w:cs="Arabic Typesetting"/>
                <w:color w:val="000000"/>
                <w:sz w:val="28"/>
                <w:szCs w:val="28"/>
                <w:rtl/>
                <w:lang w:eastAsia="ar-EG" w:bidi="ar-EG"/>
              </w:rPr>
              <w:t>الفكرية</w:t>
            </w:r>
          </w:p>
        </w:tc>
        <w:tc>
          <w:tcPr>
            <w:tcW w:w="608" w:type="pct"/>
          </w:tcPr>
          <w:p w14:paraId="4DEB0C9E"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من مايو إلى ديسمبر 2016</w:t>
            </w:r>
          </w:p>
        </w:tc>
        <w:tc>
          <w:tcPr>
            <w:tcW w:w="1296" w:type="pct"/>
          </w:tcPr>
          <w:p w14:paraId="4D4FF632"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تايلند</w:t>
            </w:r>
          </w:p>
        </w:tc>
        <w:tc>
          <w:tcPr>
            <w:tcW w:w="2111" w:type="pct"/>
          </w:tcPr>
          <w:p w14:paraId="0FA4AC1E" w14:textId="77777777" w:rsidR="00BD3831" w:rsidRPr="00CE1677" w:rsidRDefault="00BD3831" w:rsidP="0031289D">
            <w:pPr>
              <w:bidi/>
              <w:spacing w:after="120" w:line="280" w:lineRule="exact"/>
              <w:rPr>
                <w:rFonts w:ascii="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إجراء تقييم شامل للبيئة القانونية والموارد ومسارات الأعمال والكفاءات التنظيمية وفعالية العمل فيما يخص أنظمة تسجيل البراءات والع</w:t>
            </w:r>
            <w:r>
              <w:rPr>
                <w:rFonts w:ascii="Arabic Typesetting" w:eastAsia="Arabic Typesetting" w:hAnsi="Arabic Typesetting" w:cs="Arabic Typesetting" w:hint="cs"/>
                <w:sz w:val="28"/>
                <w:szCs w:val="28"/>
                <w:rtl/>
                <w:lang w:eastAsia="ar-EG" w:bidi="ar-EG"/>
              </w:rPr>
              <w:t>ل</w:t>
            </w:r>
            <w:r w:rsidRPr="00CE1677">
              <w:rPr>
                <w:rFonts w:ascii="Arabic Typesetting" w:eastAsia="Arabic Typesetting" w:hAnsi="Arabic Typesetting" w:cs="Arabic Typesetting"/>
                <w:sz w:val="28"/>
                <w:szCs w:val="28"/>
                <w:rtl/>
                <w:lang w:eastAsia="ar-EG" w:bidi="ar-EG"/>
              </w:rPr>
              <w:t>امات التجارية والتصاميم التي يديرها مكتب الملكية الفكرية من أجل تحديد الثغرات ومجالات التحسين تحقيقاً لفعالية وكفاءة عالمي</w:t>
            </w:r>
            <w:r>
              <w:rPr>
                <w:rFonts w:ascii="Arabic Typesetting" w:eastAsia="Arabic Typesetting" w:hAnsi="Arabic Typesetting" w:cs="Arabic Typesetting" w:hint="cs"/>
                <w:sz w:val="28"/>
                <w:szCs w:val="28"/>
                <w:rtl/>
                <w:lang w:eastAsia="ar-EG" w:bidi="ar-EG"/>
              </w:rPr>
              <w:t>تين</w:t>
            </w:r>
            <w:r w:rsidRPr="00CE1677">
              <w:rPr>
                <w:rFonts w:ascii="Arabic Typesetting" w:eastAsia="Arabic Typesetting" w:hAnsi="Arabic Typesetting" w:cs="Arabic Typesetting"/>
                <w:sz w:val="28"/>
                <w:szCs w:val="28"/>
                <w:rtl/>
                <w:lang w:eastAsia="ar-EG" w:bidi="ar-EG"/>
              </w:rPr>
              <w:t xml:space="preserve"> في تقديم خدمات تسجيل الملكية الفكرية للمستخدمين المحليين والعالميين</w:t>
            </w:r>
          </w:p>
        </w:tc>
      </w:tr>
      <w:tr w:rsidR="00BD3831" w:rsidRPr="00CE1677" w14:paraId="6C0840B6" w14:textId="77777777" w:rsidTr="00DF6715">
        <w:tblPrEx>
          <w:tblLook w:val="04A0" w:firstRow="1" w:lastRow="0" w:firstColumn="1" w:lastColumn="0" w:noHBand="0" w:noVBand="1"/>
        </w:tblPrEx>
        <w:trPr>
          <w:cantSplit/>
          <w:trHeight w:val="1805"/>
        </w:trPr>
        <w:tc>
          <w:tcPr>
            <w:tcW w:w="985" w:type="pct"/>
          </w:tcPr>
          <w:p w14:paraId="2BF6971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FF0000"/>
                <w:sz w:val="28"/>
                <w:szCs w:val="28"/>
                <w:lang w:eastAsia="ar-EG" w:bidi="ar-EG"/>
              </w:rPr>
            </w:pPr>
            <w:r w:rsidRPr="004B6590">
              <w:rPr>
                <w:rFonts w:ascii="Arabic Typesetting" w:eastAsia="Arabic Typesetting" w:hAnsi="Arabic Typesetting" w:cs="Arabic Typesetting"/>
                <w:color w:val="000000"/>
                <w:sz w:val="28"/>
                <w:szCs w:val="28"/>
                <w:rtl/>
                <w:lang w:eastAsia="ar-EG" w:bidi="ar-EG"/>
              </w:rPr>
              <w:t>مشروع عن تعزيز البنية الأساسية لمكاتب الملكية الفكرية في دول رابطة جنوب شرق آسيا لدعم التعاون الإقليمي في مجال تبادل العمل المتعلق</w:t>
            </w:r>
            <w:r w:rsidRPr="004B6590">
              <w:rPr>
                <w:rFonts w:ascii="Arabic Typesetting" w:eastAsia="Arabic Typesetting" w:hAnsi="Arabic Typesetting" w:cs="Arabic Typesetting" w:hint="cs"/>
                <w:color w:val="000000"/>
                <w:sz w:val="28"/>
                <w:szCs w:val="28"/>
                <w:rtl/>
                <w:lang w:eastAsia="ar-EG" w:bidi="ar-EG"/>
              </w:rPr>
              <w:t> </w:t>
            </w:r>
            <w:r w:rsidRPr="004B6590">
              <w:rPr>
                <w:rFonts w:ascii="Arabic Typesetting" w:eastAsia="Arabic Typesetting" w:hAnsi="Arabic Typesetting" w:cs="Arabic Typesetting"/>
                <w:color w:val="000000"/>
                <w:sz w:val="28"/>
                <w:szCs w:val="28"/>
                <w:rtl/>
                <w:lang w:eastAsia="ar-EG" w:bidi="ar-EG"/>
              </w:rPr>
              <w:t>بالبراءات</w:t>
            </w:r>
          </w:p>
        </w:tc>
        <w:tc>
          <w:tcPr>
            <w:tcW w:w="608" w:type="pct"/>
          </w:tcPr>
          <w:p w14:paraId="2E0F36DB" w14:textId="77777777" w:rsidR="00BD3831"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 xml:space="preserve">من يناير إلى ديسمبر 2016 </w:t>
            </w:r>
            <w:r w:rsidRPr="00CE1677">
              <w:rPr>
                <w:rFonts w:ascii="Arabic Typesetting" w:hAnsi="Arabic Typesetting" w:cs="Arabic Typesetting"/>
                <w:sz w:val="28"/>
                <w:szCs w:val="28"/>
                <w:vertAlign w:val="superscript"/>
                <w:lang w:eastAsia="ar-EG" w:bidi="ar-EG"/>
              </w:rPr>
              <w:footnoteReference w:id="109"/>
            </w:r>
          </w:p>
          <w:p w14:paraId="18B83FCF"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FF0000"/>
                <w:sz w:val="28"/>
                <w:szCs w:val="28"/>
                <w:lang w:eastAsia="ar-EG" w:bidi="ar-EG"/>
              </w:rPr>
            </w:pPr>
            <w:r w:rsidRPr="00CE1677">
              <w:rPr>
                <w:rFonts w:ascii="Arabic Typesetting" w:hAnsi="Arabic Typesetting" w:cs="Arabic Typesetting"/>
                <w:sz w:val="28"/>
                <w:szCs w:val="28"/>
                <w:rtl/>
                <w:lang w:eastAsia="ar-EG" w:bidi="ar-EG"/>
              </w:rPr>
              <w:t>(جارٍ)</w:t>
            </w:r>
          </w:p>
        </w:tc>
        <w:tc>
          <w:tcPr>
            <w:tcW w:w="1296" w:type="pct"/>
          </w:tcPr>
          <w:p w14:paraId="6F74B047" w14:textId="51E5C43D" w:rsidR="00BD3831" w:rsidRPr="00CE1677" w:rsidRDefault="00A017F6" w:rsidP="00A017F6">
            <w:pPr>
              <w:autoSpaceDE w:val="0"/>
              <w:autoSpaceDN w:val="0"/>
              <w:bidi/>
              <w:adjustRightInd w:val="0"/>
              <w:spacing w:after="120" w:line="280" w:lineRule="exact"/>
              <w:rPr>
                <w:rFonts w:ascii="Arabic Typesetting" w:hAnsi="Arabic Typesetting" w:cs="Arabic Typesetting"/>
                <w:color w:val="FF0000"/>
                <w:sz w:val="28"/>
                <w:szCs w:val="28"/>
                <w:lang w:eastAsia="ar-EG" w:bidi="ar-EG"/>
              </w:rPr>
            </w:pPr>
            <w:r>
              <w:rPr>
                <w:rFonts w:ascii="Arabic Typesetting" w:eastAsia="Arabic Typesetting" w:hAnsi="Arabic Typesetting" w:cs="Arabic Typesetting" w:hint="cs"/>
                <w:color w:val="000000"/>
                <w:sz w:val="28"/>
                <w:szCs w:val="28"/>
                <w:rtl/>
                <w:lang w:eastAsia="ar-EG" w:bidi="ar-EG"/>
              </w:rPr>
              <w:t>مقر الويبو ومكتب الويبو في سنغافورة/</w:t>
            </w:r>
            <w:r w:rsidR="00BD3831" w:rsidRPr="00CE1677">
              <w:rPr>
                <w:rFonts w:ascii="Arabic Typesetting" w:eastAsia="Arabic Typesetting" w:hAnsi="Arabic Typesetting" w:cs="Arabic Typesetting"/>
                <w:color w:val="000000"/>
                <w:sz w:val="28"/>
                <w:szCs w:val="28"/>
                <w:rtl/>
                <w:lang w:eastAsia="ar-EG" w:bidi="ar-EG"/>
              </w:rPr>
              <w:t>الدول الأعضاء في رابطة أمم جنوب شرق آسيا</w:t>
            </w:r>
          </w:p>
        </w:tc>
        <w:tc>
          <w:tcPr>
            <w:tcW w:w="2111" w:type="pct"/>
          </w:tcPr>
          <w:p w14:paraId="6A9B89F4" w14:textId="77777777" w:rsidR="00BD3831" w:rsidRPr="00CE1677" w:rsidRDefault="00BD3831" w:rsidP="0031289D">
            <w:pPr>
              <w:bidi/>
              <w:spacing w:after="120" w:line="280" w:lineRule="exact"/>
              <w:rPr>
                <w:rFonts w:ascii="Arabic Typesetting" w:hAnsi="Arabic Typesetting" w:cs="Arabic Typesetting"/>
                <w:color w:val="FF0000"/>
                <w:sz w:val="28"/>
                <w:szCs w:val="28"/>
                <w:lang w:eastAsia="ar-EG" w:bidi="ar-EG"/>
              </w:rPr>
            </w:pPr>
            <w:r w:rsidRPr="00CE1677">
              <w:rPr>
                <w:rFonts w:ascii="Arabic Typesetting" w:hAnsi="Arabic Typesetting" w:cs="Arabic Typesetting"/>
                <w:sz w:val="28"/>
                <w:szCs w:val="28"/>
                <w:rtl/>
                <w:lang w:eastAsia="ar-EG" w:bidi="ar-EG"/>
              </w:rPr>
              <w:t>"1" توسيع وتحسين تقاسم مكاتب الملكية الفكرية في دول الرابطة لمعلومات الملف، بما في ذلك نتائج البحث عن البراءات وفحصها، مع مكاتب المل</w:t>
            </w:r>
            <w:r>
              <w:rPr>
                <w:rFonts w:ascii="Arabic Typesetting" w:hAnsi="Arabic Typesetting" w:cs="Arabic Typesetting"/>
                <w:sz w:val="28"/>
                <w:szCs w:val="28"/>
                <w:rtl/>
                <w:lang w:eastAsia="ar-EG" w:bidi="ar-EG"/>
              </w:rPr>
              <w:t>كية الفكرية الأخرى من خلال شبكة</w:t>
            </w:r>
            <w:r>
              <w:rPr>
                <w:rFonts w:ascii="Arabic Typesetting" w:hAnsi="Arabic Typesetting" w:cs="Arabic Typesetting" w:hint="cs"/>
                <w:sz w:val="28"/>
                <w:szCs w:val="28"/>
                <w:rtl/>
                <w:lang w:eastAsia="ar-EG" w:bidi="ar-EG"/>
              </w:rPr>
              <w:t xml:space="preserve"> ويبو كيس</w:t>
            </w:r>
            <w:r w:rsidRPr="00CE1677">
              <w:rPr>
                <w:rFonts w:ascii="Arabic Typesetting" w:hAnsi="Arabic Typesetting" w:cs="Arabic Typesetting"/>
                <w:sz w:val="28"/>
                <w:szCs w:val="28"/>
                <w:rtl/>
                <w:lang w:eastAsia="ar-EG" w:bidi="ar-EG"/>
              </w:rPr>
              <w:t>؛ "2" وتطوير نظم معلومات على المستوى الإقليمي تستفيد بشكل فعال من منصة برمجيات؛ "3" وتقديم المساعدة التقنية اللازمة لمكاتب الملكية الفكرية في دول الآسيان لدعم تبادل معلومات الملف ومعلومات الملكية الفكرية الأخرى من خلال تحديث أنظمة إدارة الملكية</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الفكرية.</w:t>
            </w:r>
          </w:p>
        </w:tc>
      </w:tr>
      <w:tr w:rsidR="00BD3831" w:rsidRPr="00CE1677" w14:paraId="70485A5B" w14:textId="77777777" w:rsidTr="00DF6715">
        <w:tblPrEx>
          <w:tblLook w:val="04A0" w:firstRow="1" w:lastRow="0" w:firstColumn="1" w:lastColumn="0" w:noHBand="0" w:noVBand="1"/>
        </w:tblPrEx>
        <w:trPr>
          <w:cantSplit/>
          <w:trHeight w:val="1013"/>
        </w:trPr>
        <w:tc>
          <w:tcPr>
            <w:tcW w:w="985" w:type="pct"/>
          </w:tcPr>
          <w:p w14:paraId="13A7759D" w14:textId="77777777" w:rsidR="00BD3831" w:rsidRPr="00CE1677" w:rsidRDefault="00BD3831" w:rsidP="0031289D">
            <w:pPr>
              <w:bidi/>
              <w:spacing w:after="120" w:line="280" w:lineRule="exact"/>
              <w:rPr>
                <w:rFonts w:ascii="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الرقمنة وإدارة البيانات وتحسين تدفق العمل</w:t>
            </w:r>
          </w:p>
        </w:tc>
        <w:tc>
          <w:tcPr>
            <w:tcW w:w="608" w:type="pct"/>
          </w:tcPr>
          <w:p w14:paraId="1A57C64E"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من يناير إلى ديسمبر 2016</w:t>
            </w:r>
          </w:p>
        </w:tc>
        <w:tc>
          <w:tcPr>
            <w:tcW w:w="1296" w:type="pct"/>
          </w:tcPr>
          <w:p w14:paraId="345F4FA4"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بروني دار السلام وإندونيسيا وجمهورية لاو الديمقراطية ال</w:t>
            </w:r>
            <w:r>
              <w:rPr>
                <w:rFonts w:ascii="Arabic Typesetting" w:hAnsi="Arabic Typesetting" w:cs="Arabic Typesetting"/>
                <w:sz w:val="28"/>
                <w:szCs w:val="28"/>
                <w:rtl/>
                <w:lang w:eastAsia="ar-EG" w:bidi="ar-EG"/>
              </w:rPr>
              <w:t>شعبية ومنغوليا والفلبين وتايلند</w:t>
            </w:r>
          </w:p>
        </w:tc>
        <w:tc>
          <w:tcPr>
            <w:tcW w:w="2111" w:type="pct"/>
          </w:tcPr>
          <w:p w14:paraId="477F0DFC" w14:textId="77777777" w:rsidR="00BD3831" w:rsidRPr="00CE1677" w:rsidRDefault="00BD3831" w:rsidP="0031289D">
            <w:pPr>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مشاريع الرقمنة وتنقيح البيانات وتحسين تدفق العمل في بلدان الآسيان من أجل تعظيم النفاذ إلى بيانات الملكية الفكرية لدى المكاتب واستخدامها.</w:t>
            </w:r>
          </w:p>
        </w:tc>
      </w:tr>
      <w:tr w:rsidR="00BD3831" w:rsidRPr="00CE1677" w14:paraId="4A86CCE7" w14:textId="77777777" w:rsidTr="00DF6715">
        <w:trPr>
          <w:cantSplit/>
          <w:trHeight w:val="2696"/>
        </w:trPr>
        <w:tc>
          <w:tcPr>
            <w:tcW w:w="985" w:type="pct"/>
          </w:tcPr>
          <w:p w14:paraId="22BF3EC9" w14:textId="77777777" w:rsidR="00BD3831" w:rsidRPr="00CE1677" w:rsidRDefault="00BD3831" w:rsidP="0031289D">
            <w:pPr>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ندوة وحلقة عمل الويبو بشأن تحسين ممارسات فحص البراءات ومنحها عن طريق استخدام قاعدة بيانات ويبو كيس واجتماع فريق العمل المعني ببرنامج التعاون على فحص البراءات التابع لرابطة الآسيان واجتماع فاحصي البراءات الممارسين</w:t>
            </w:r>
          </w:p>
        </w:tc>
        <w:tc>
          <w:tcPr>
            <w:tcW w:w="608" w:type="pct"/>
          </w:tcPr>
          <w:p w14:paraId="1DD863E3"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من 29 فبراير إلى 4 مارس 2016</w:t>
            </w:r>
          </w:p>
        </w:tc>
        <w:tc>
          <w:tcPr>
            <w:tcW w:w="1296" w:type="pct"/>
          </w:tcPr>
          <w:p w14:paraId="117CBE27"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سنغافورة/ الدول الأعضاء في رابطة أمم جنوب شرق آسيا</w:t>
            </w:r>
          </w:p>
        </w:tc>
        <w:tc>
          <w:tcPr>
            <w:tcW w:w="2111" w:type="pct"/>
            <w:shd w:val="clear" w:color="auto" w:fill="auto"/>
          </w:tcPr>
          <w:p w14:paraId="7997AAF7"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"1" تيسير المبادرات الإقليمية لتقاسم العمل في الآسيان عن طريق استخدام قاعدة بيانات ويبو كيس لتيسير النفاذ إلى نواتج الفحص الأجنبية؛ "2" واستعراض ممارسات الفحص والمنح الراهنة في الآسيان لتحسين جودة أنظمة البراءات؛ "3" وتعزيز استخدام قاعدة بيانات ويبو كيس وتحديث البنية التقنية لزيادة عدد المكاتب المشاركة من الآسيان؛ "4"</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وتبادل معلومات عن جودة البراءات وممارسات فحص البراءات بين مختلف مكاتب الملكية الفكرية من أجل تحديد سبل تحسين مكاتب الملكية الفكرية لممارسات منح البراءات؛ "4" وتوفير توصيات بما في ذلك عناصر عمل محددة لتحسين وتعزيز فعالية ممارسات منح البراءات في الآسيان</w:t>
            </w:r>
          </w:p>
        </w:tc>
      </w:tr>
      <w:tr w:rsidR="00BD3831" w:rsidRPr="00CE1677" w14:paraId="5A150590" w14:textId="77777777" w:rsidTr="00DF6715">
        <w:trPr>
          <w:cantSplit/>
          <w:trHeight w:val="905"/>
        </w:trPr>
        <w:tc>
          <w:tcPr>
            <w:tcW w:w="985" w:type="pct"/>
            <w:shd w:val="clear" w:color="auto" w:fill="auto"/>
          </w:tcPr>
          <w:p w14:paraId="306F8778"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تدريب مكثَّف على إدارة حلول الويبو للأعمال ودعمها</w:t>
            </w:r>
          </w:p>
        </w:tc>
        <w:tc>
          <w:tcPr>
            <w:tcW w:w="608" w:type="pct"/>
          </w:tcPr>
          <w:p w14:paraId="41ACE05C"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من 4 إلى 8 أبريل 2016</w:t>
            </w:r>
          </w:p>
        </w:tc>
        <w:tc>
          <w:tcPr>
            <w:tcW w:w="1296" w:type="pct"/>
          </w:tcPr>
          <w:p w14:paraId="2027F421" w14:textId="7E71257C" w:rsidR="00BD3831" w:rsidRPr="00CE1677" w:rsidRDefault="00A017F6" w:rsidP="0031289D">
            <w:pPr>
              <w:autoSpaceDE w:val="0"/>
              <w:autoSpaceDN w:val="0"/>
              <w:bidi/>
              <w:adjustRightInd w:val="0"/>
              <w:spacing w:after="120" w:line="280" w:lineRule="exact"/>
              <w:rPr>
                <w:rFonts w:ascii="Arabic Typesetting" w:eastAsia="Arabic Typesetting" w:hAnsi="Arabic Typesetting" w:cs="Arabic Typesetting"/>
                <w:snapToGrid w:val="0"/>
                <w:sz w:val="28"/>
                <w:szCs w:val="28"/>
                <w:lang w:eastAsia="ar-EG" w:bidi="ar-EG"/>
              </w:rPr>
            </w:pPr>
            <w:r>
              <w:rPr>
                <w:rFonts w:ascii="Arabic Typesetting" w:eastAsia="Arabic Typesetting" w:hAnsi="Arabic Typesetting" w:cs="Arabic Typesetting" w:hint="cs"/>
                <w:snapToGrid w:val="0"/>
                <w:sz w:val="28"/>
                <w:szCs w:val="28"/>
                <w:rtl/>
                <w:lang w:eastAsia="ar-EG" w:bidi="ar-EG"/>
              </w:rPr>
              <w:t>مقر الويبو</w:t>
            </w:r>
            <w:r w:rsidR="00BD3831" w:rsidRPr="00CE1677">
              <w:rPr>
                <w:rFonts w:ascii="Arabic Typesetting" w:eastAsia="Arabic Typesetting" w:hAnsi="Arabic Typesetting" w:cs="Arabic Typesetting"/>
                <w:snapToGrid w:val="0"/>
                <w:sz w:val="28"/>
                <w:szCs w:val="28"/>
                <w:rtl/>
                <w:lang w:eastAsia="ar-EG" w:bidi="ar-EG"/>
              </w:rPr>
              <w:t>/الفلبين</w:t>
            </w:r>
          </w:p>
        </w:tc>
        <w:tc>
          <w:tcPr>
            <w:tcW w:w="2111" w:type="pct"/>
          </w:tcPr>
          <w:p w14:paraId="37CD4D23"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 xml:space="preserve">تدريب مكثَّف على إدارة حلول الويبو للأعمال ودعمها لمسؤولَين اثنين </w:t>
            </w:r>
            <w:r>
              <w:rPr>
                <w:rFonts w:ascii="Arabic Typesetting" w:hAnsi="Arabic Typesetting" w:cs="Arabic Typesetting"/>
                <w:sz w:val="28"/>
                <w:szCs w:val="28"/>
                <w:rtl/>
                <w:lang w:eastAsia="ar-EG" w:bidi="ar-EG"/>
              </w:rPr>
              <w:t>من مكتب الفلبين للملكية الفكرية</w:t>
            </w:r>
          </w:p>
        </w:tc>
      </w:tr>
      <w:tr w:rsidR="00BD3831" w:rsidRPr="00CE1677" w14:paraId="66A21653" w14:textId="77777777" w:rsidTr="00DF6715">
        <w:trPr>
          <w:cantSplit/>
          <w:trHeight w:val="473"/>
        </w:trPr>
        <w:tc>
          <w:tcPr>
            <w:tcW w:w="985" w:type="pct"/>
          </w:tcPr>
          <w:p w14:paraId="73835AF2"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lastRenderedPageBreak/>
              <w:t xml:space="preserve">حلقة عمل وطنية بشأن </w:t>
            </w:r>
            <w:r w:rsidRPr="00CE1677">
              <w:rPr>
                <w:rFonts w:ascii="Arabic Typesetting" w:hAnsi="Arabic Typesetting" w:cs="Arabic Typesetting"/>
                <w:sz w:val="28"/>
                <w:szCs w:val="28"/>
                <w:lang w:eastAsia="ar-EG" w:bidi="ar-EG"/>
              </w:rPr>
              <w:t>WIPO CASE</w:t>
            </w:r>
          </w:p>
        </w:tc>
        <w:tc>
          <w:tcPr>
            <w:tcW w:w="608" w:type="pct"/>
          </w:tcPr>
          <w:p w14:paraId="1144FCDD"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18 و19 أبريل 2016</w:t>
            </w:r>
          </w:p>
        </w:tc>
        <w:tc>
          <w:tcPr>
            <w:tcW w:w="1296" w:type="pct"/>
          </w:tcPr>
          <w:p w14:paraId="1EA5630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napToGrid w:val="0"/>
                <w:sz w:val="28"/>
                <w:szCs w:val="28"/>
                <w:lang w:eastAsia="ar-EG" w:bidi="ar-EG"/>
              </w:rPr>
            </w:pPr>
            <w:r w:rsidRPr="00CE1677">
              <w:rPr>
                <w:rFonts w:ascii="Arabic Typesetting" w:eastAsia="Arabic Typesetting" w:hAnsi="Arabic Typesetting" w:cs="Arabic Typesetting"/>
                <w:snapToGrid w:val="0"/>
                <w:sz w:val="28"/>
                <w:szCs w:val="28"/>
                <w:rtl/>
                <w:lang w:eastAsia="ar-EG" w:bidi="ar-EG"/>
              </w:rPr>
              <w:t>الفلبين/ 100 مسؤول من مكتب الفلبين للملكية الفكرية هم أساساً من فاحصي البراءات وفاحصي الإجراءات الشكلية</w:t>
            </w:r>
          </w:p>
        </w:tc>
        <w:tc>
          <w:tcPr>
            <w:tcW w:w="2111" w:type="pct"/>
            <w:shd w:val="clear" w:color="auto" w:fill="auto"/>
          </w:tcPr>
          <w:p w14:paraId="49D40A75"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 xml:space="preserve">"1" تكوين الكفاءات والمهارات التقنية لدى فاحصي البراءات والموظفين الإداريين في مكتب الفلبين فيما يخص استخدام نظام ويبو كيس؛ "2" ونشر تجربة فاحصي البراءات </w:t>
            </w:r>
            <w:r>
              <w:rPr>
                <w:rFonts w:ascii="Arabic Typesetting" w:hAnsi="Arabic Typesetting" w:cs="Arabic Typesetting" w:hint="cs"/>
                <w:sz w:val="28"/>
                <w:szCs w:val="28"/>
                <w:rtl/>
                <w:lang w:eastAsia="ar-EG" w:bidi="ar-EG"/>
              </w:rPr>
              <w:t>لدى</w:t>
            </w:r>
            <w:r w:rsidRPr="00CE1677">
              <w:rPr>
                <w:rFonts w:ascii="Arabic Typesetting" w:hAnsi="Arabic Typesetting" w:cs="Arabic Typesetting"/>
                <w:sz w:val="28"/>
                <w:szCs w:val="28"/>
                <w:rtl/>
                <w:lang w:eastAsia="ar-EG" w:bidi="ar-EG"/>
              </w:rPr>
              <w:t xml:space="preserve"> مستخدمي نظام ويبو كيس من حيث تيسير تقاسم العمل؛ "3" وتوفير تدريب عملي على نظام ويبو كيس ونقل المعارف اللازمة؛ "4" وإدخال وحدات جديدة في نظام ويبو كيس وإعداد خطط التطوير مع التماس المشورة من مكتب الفلبين في الأولويات المقبلة</w:t>
            </w:r>
          </w:p>
        </w:tc>
      </w:tr>
      <w:tr w:rsidR="00BD3831" w:rsidRPr="00CE1677" w14:paraId="767FBDE8" w14:textId="77777777" w:rsidTr="00DF6715">
        <w:trPr>
          <w:cantSplit/>
          <w:trHeight w:val="1427"/>
        </w:trPr>
        <w:tc>
          <w:tcPr>
            <w:tcW w:w="985" w:type="pct"/>
          </w:tcPr>
          <w:p w14:paraId="733F5699"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 xml:space="preserve">حلقة عمل وطنية بشأن </w:t>
            </w:r>
            <w:r w:rsidRPr="00CE1677">
              <w:rPr>
                <w:rFonts w:ascii="Arabic Typesetting" w:hAnsi="Arabic Typesetting" w:cs="Arabic Typesetting"/>
                <w:sz w:val="28"/>
                <w:szCs w:val="28"/>
                <w:lang w:eastAsia="ar-EG" w:bidi="ar-EG"/>
              </w:rPr>
              <w:t>WIPO CASE</w:t>
            </w:r>
          </w:p>
        </w:tc>
        <w:tc>
          <w:tcPr>
            <w:tcW w:w="608" w:type="pct"/>
          </w:tcPr>
          <w:p w14:paraId="5FEA33BA"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21 و22 أبريل 2016</w:t>
            </w:r>
          </w:p>
        </w:tc>
        <w:tc>
          <w:tcPr>
            <w:tcW w:w="1296" w:type="pct"/>
          </w:tcPr>
          <w:p w14:paraId="36CF420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napToGrid w:val="0"/>
                <w:sz w:val="28"/>
                <w:szCs w:val="28"/>
                <w:lang w:eastAsia="ar-EG" w:bidi="ar-EG"/>
              </w:rPr>
            </w:pPr>
            <w:r w:rsidRPr="00CE1677">
              <w:rPr>
                <w:rFonts w:ascii="Arabic Typesetting" w:eastAsia="Arabic Typesetting" w:hAnsi="Arabic Typesetting" w:cs="Arabic Typesetting"/>
                <w:snapToGrid w:val="0"/>
                <w:sz w:val="28"/>
                <w:szCs w:val="28"/>
                <w:rtl/>
                <w:lang w:eastAsia="ar-EG" w:bidi="ar-EG"/>
              </w:rPr>
              <w:t>تايلند/ 150 مسؤولاً من إدارة تايلند للملكية الفكرية هم أساساً من فاحصي البراءات وفاحصي الإجراءات الشكلية</w:t>
            </w:r>
          </w:p>
        </w:tc>
        <w:tc>
          <w:tcPr>
            <w:tcW w:w="2111" w:type="pct"/>
            <w:shd w:val="clear" w:color="auto" w:fill="auto"/>
          </w:tcPr>
          <w:p w14:paraId="48260AF9"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"1" تكوين الكفاءات والمهارات التقنية لدى فاحصي البراءات والموظفين الإداريين في إدارة تايلند فيما يخص استخدام نظام ويبو كيس؛ "2" ونشر تجربة فاحصي البراءات مع مستخدمي نظام ويبو كيس من حيث تيسير تقاسم العمل؛ "3" وتوفير تدريب عملي على نظام ويبو كيس ونقل المعارف اللازمة؛ "4" وإدخال وحدات جديدة في نظام ويبو كيس وإعداد خطط التطوير مع التماس المشورة من إدارة تايلند في الأولويات المقبلة</w:t>
            </w:r>
          </w:p>
        </w:tc>
      </w:tr>
      <w:tr w:rsidR="00BD3831" w:rsidRPr="00CE1677" w14:paraId="4D48198C" w14:textId="77777777" w:rsidTr="00DF6715">
        <w:trPr>
          <w:cantSplit/>
          <w:trHeight w:val="473"/>
        </w:trPr>
        <w:tc>
          <w:tcPr>
            <w:tcW w:w="985" w:type="pct"/>
          </w:tcPr>
          <w:p w14:paraId="1DA56A1D"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حلقة تدريبية دون إقليمية بشأن خدمات الأعمال القائمة على تكنولوجيا المعلومات</w:t>
            </w:r>
          </w:p>
        </w:tc>
        <w:tc>
          <w:tcPr>
            <w:tcW w:w="608" w:type="pct"/>
          </w:tcPr>
          <w:p w14:paraId="6DE4A5B0"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من 14 إلى 18 نوفمبر 2016</w:t>
            </w:r>
          </w:p>
        </w:tc>
        <w:tc>
          <w:tcPr>
            <w:tcW w:w="1296" w:type="pct"/>
          </w:tcPr>
          <w:p w14:paraId="77B531E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napToGrid w:val="0"/>
                <w:sz w:val="28"/>
                <w:szCs w:val="28"/>
                <w:lang w:eastAsia="ar-EG" w:bidi="ar-EG"/>
              </w:rPr>
            </w:pPr>
            <w:r w:rsidRPr="00CE1677">
              <w:rPr>
                <w:rFonts w:ascii="Arabic Typesetting" w:eastAsia="Arabic Typesetting" w:hAnsi="Arabic Typesetting" w:cs="Arabic Typesetting"/>
                <w:snapToGrid w:val="0"/>
                <w:sz w:val="28"/>
                <w:szCs w:val="28"/>
                <w:rtl/>
                <w:lang w:eastAsia="ar-EG" w:bidi="ar-EG"/>
              </w:rPr>
              <w:t>الفلبين/ بروني دار السلام وكمبوديا وإندونيسيا وجمهورية لاو الدميقراطية الشعبية وماليزيا ومنغوليا وميانمار وبابوا غينيا الجديدة والفلبين وسري لانكا وسنغافورة وتايلند وفييت نام</w:t>
            </w:r>
          </w:p>
        </w:tc>
        <w:tc>
          <w:tcPr>
            <w:tcW w:w="2111" w:type="pct"/>
            <w:shd w:val="clear" w:color="auto" w:fill="auto"/>
          </w:tcPr>
          <w:p w14:paraId="7D47F9D3"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تزويد بلدان الآسيان وبعض البلدان المختارة في منطقة آسيا والمحيط الهادئ بتدريب عملي ونقل مستفيض للمعارف من فريق الويبو للتنمية بشأن استخدام نظام إدارة الملكية الصناعية ومنتجاته، ولا سيما من أجل "1" عرض أحدث المستجدات التقنية في منتجات الويبو وخدماتها؛ "2"</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وتكوين الكفاءات والمهارات التقنية لحلول الويبو للأعمال ومنتجاتها في مجال الملكية الفكرية؛ "3" وتحسين فهم قدرات الويبو من أجل تقديم ودعم العمليات وتحسين الخدمات؛ "4"</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وتبادل المعرفة بشأن منتجات الويبو الجديدة لدعم الخدمات الشبكية وبخاصة ناشر الويبو و</w:t>
            </w:r>
            <w:r w:rsidRPr="00CE1677">
              <w:rPr>
                <w:rFonts w:ascii="Arabic Typesetting" w:hAnsi="Arabic Typesetting" w:cs="Arabic Typesetting"/>
                <w:sz w:val="28"/>
                <w:szCs w:val="28"/>
                <w:lang w:eastAsia="ar-EG" w:bidi="ar-EG"/>
              </w:rPr>
              <w:t>WIPO File</w:t>
            </w:r>
          </w:p>
        </w:tc>
      </w:tr>
      <w:tr w:rsidR="00BD3831" w:rsidRPr="00CE1677" w14:paraId="7681DF02" w14:textId="77777777" w:rsidTr="00DF6715">
        <w:trPr>
          <w:cantSplit/>
          <w:trHeight w:val="1990"/>
        </w:trPr>
        <w:tc>
          <w:tcPr>
            <w:tcW w:w="985" w:type="pct"/>
          </w:tcPr>
          <w:p w14:paraId="6209007A"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تدريب وطني على ويبو كيس لفاحصي البراءات الجدد بشأن الفحص والبحث العالميين للبراءات</w:t>
            </w:r>
          </w:p>
        </w:tc>
        <w:tc>
          <w:tcPr>
            <w:tcW w:w="608" w:type="pct"/>
          </w:tcPr>
          <w:p w14:paraId="0E642263"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من 21 إلى 25 نوفمبر 2016</w:t>
            </w:r>
          </w:p>
        </w:tc>
        <w:tc>
          <w:tcPr>
            <w:tcW w:w="1296" w:type="pct"/>
          </w:tcPr>
          <w:p w14:paraId="3287F02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napToGrid w:val="0"/>
                <w:sz w:val="28"/>
                <w:szCs w:val="28"/>
                <w:lang w:eastAsia="ar-EG" w:bidi="ar-EG"/>
              </w:rPr>
            </w:pPr>
            <w:r w:rsidRPr="00CE1677">
              <w:rPr>
                <w:rFonts w:ascii="Arabic Typesetting" w:eastAsia="Arabic Typesetting" w:hAnsi="Arabic Typesetting" w:cs="Arabic Typesetting"/>
                <w:snapToGrid w:val="0"/>
                <w:sz w:val="28"/>
                <w:szCs w:val="28"/>
                <w:rtl/>
                <w:lang w:eastAsia="ar-EG" w:bidi="ar-EG"/>
              </w:rPr>
              <w:t>تايلند/ 34 فاحص براءات جديداً في إدارة تايلند</w:t>
            </w:r>
          </w:p>
        </w:tc>
        <w:tc>
          <w:tcPr>
            <w:tcW w:w="2111" w:type="pct"/>
            <w:shd w:val="clear" w:color="auto" w:fill="auto"/>
          </w:tcPr>
          <w:p w14:paraId="2415E1BD"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"1" تكوين الكفاءات والمهارات التقنية لدى فاحصي البراءات الجدد في إدارة تايلند بشأن استخدام المنصة التقنية وبخاصة نظام ويبو كيس؛ ونشر تجربة فاحصي البراءات في المكاتب المستخدمة لنظام ويبو كيس بشأن النفاذ إلى معلومات الملفات الأجنبية واستخدام نواتج عمل فحص البراءات؛ "3"</w:t>
            </w:r>
            <w:r>
              <w:rPr>
                <w:rFonts w:ascii="Arabic Typesetting" w:hAnsi="Arabic Typesetting" w:cs="Arabic Typesetting" w:hint="cs"/>
                <w:sz w:val="28"/>
                <w:szCs w:val="28"/>
                <w:rtl/>
                <w:lang w:eastAsia="ar-EG" w:bidi="ar-EG"/>
              </w:rPr>
              <w:t> </w:t>
            </w:r>
            <w:r w:rsidRPr="00CE1677">
              <w:rPr>
                <w:rFonts w:ascii="Arabic Typesetting" w:hAnsi="Arabic Typesetting" w:cs="Arabic Typesetting"/>
                <w:sz w:val="28"/>
                <w:szCs w:val="28"/>
                <w:rtl/>
                <w:lang w:eastAsia="ar-EG" w:bidi="ar-EG"/>
              </w:rPr>
              <w:t>وتوفير تدريب عملي على نظام ويبو كيس ونقل المعارف اللازمة؛ "4" وتعزيز فهم وثائق البراءات ومعلومات البراءات فضلاً عن تقنيات البحث</w:t>
            </w:r>
          </w:p>
        </w:tc>
      </w:tr>
      <w:tr w:rsidR="00BD3831" w:rsidRPr="00CE1677" w14:paraId="333679D5" w14:textId="77777777" w:rsidTr="00DF6715">
        <w:trPr>
          <w:cantSplit/>
          <w:trHeight w:val="315"/>
        </w:trPr>
        <w:tc>
          <w:tcPr>
            <w:tcW w:w="5000" w:type="pct"/>
            <w:gridSpan w:val="4"/>
            <w:shd w:val="clear" w:color="auto" w:fill="C6D9F1"/>
          </w:tcPr>
          <w:p w14:paraId="6F553746" w14:textId="77777777" w:rsidR="00BD3831" w:rsidRPr="00CE1677" w:rsidRDefault="00BD3831" w:rsidP="0031289D">
            <w:pPr>
              <w:keepNext/>
              <w:keepLines/>
              <w:bidi/>
              <w:spacing w:after="120" w:line="280" w:lineRule="exact"/>
              <w:ind w:left="851" w:hanging="851"/>
              <w:rPr>
                <w:rFonts w:ascii="Arabic Typesetting" w:hAnsi="Arabic Typesetting" w:cs="Arabic Typesetting"/>
                <w:color w:val="000000"/>
                <w:sz w:val="28"/>
                <w:szCs w:val="28"/>
                <w:lang w:eastAsia="ar-EG" w:bidi="ar-EG"/>
              </w:rPr>
            </w:pPr>
            <w:r w:rsidRPr="00CE1677">
              <w:rPr>
                <w:rFonts w:ascii="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Pr>
                <w:rFonts w:ascii="Arabic Typesetting" w:hAnsi="Arabic Typesetting" w:cs="Arabic Typesetting" w:hint="cs"/>
                <w:sz w:val="28"/>
                <w:szCs w:val="28"/>
                <w:rtl/>
                <w:lang w:eastAsia="ar-EG" w:bidi="ar-EG"/>
              </w:rPr>
              <w:t>ه1.8</w:t>
            </w:r>
            <w:r w:rsidRPr="00CE1677">
              <w:rPr>
                <w:rFonts w:ascii="Arabic Typesetting" w:hAnsi="Arabic Typesetting" w:cs="Arabic Typesetting"/>
                <w:sz w:val="28"/>
                <w:szCs w:val="28"/>
                <w:rtl/>
                <w:lang w:eastAsia="ar-EG" w:bidi="ar-EG"/>
              </w:rPr>
              <w:t xml:space="preserve"> </w:t>
            </w:r>
            <w:r w:rsidRPr="00C368FD">
              <w:rPr>
                <w:rFonts w:ascii="Arabic Typesetting" w:eastAsia="Arabic Typesetting" w:hAnsi="Arabic Typesetting" w:cs="Arabic Typesetting"/>
                <w:sz w:val="28"/>
                <w:szCs w:val="28"/>
                <w:rtl/>
                <w:lang w:eastAsia="ar-EG" w:bidi="ar-EG"/>
              </w:rPr>
              <w:t>التواصل</w:t>
            </w:r>
            <w:r w:rsidRPr="00CE1677">
              <w:rPr>
                <w:rFonts w:ascii="Arabic Typesetting" w:hAnsi="Arabic Typesetting" w:cs="Arabic Typesetting"/>
                <w:sz w:val="28"/>
                <w:szCs w:val="28"/>
                <w:rtl/>
                <w:lang w:eastAsia="ar-EG" w:bidi="ar-EG"/>
              </w:rPr>
              <w:t xml:space="preserve"> بفعالية أكبر مع جمهور أوسع بشأن الملكية الفكرية ودور الويبو</w:t>
            </w:r>
          </w:p>
        </w:tc>
      </w:tr>
      <w:tr w:rsidR="00BD3831" w:rsidRPr="00CE1677" w14:paraId="7481A0DA" w14:textId="77777777" w:rsidTr="00DF6715">
        <w:trPr>
          <w:cantSplit/>
          <w:trHeight w:val="402"/>
        </w:trPr>
        <w:tc>
          <w:tcPr>
            <w:tcW w:w="985" w:type="pct"/>
            <w:vAlign w:val="center"/>
          </w:tcPr>
          <w:p w14:paraId="4BECAE87" w14:textId="77777777" w:rsidR="00BD3831" w:rsidRPr="00CE1677" w:rsidRDefault="00BD3831" w:rsidP="0031289D">
            <w:pPr>
              <w:keepNext/>
              <w:keepLines/>
              <w:bidi/>
              <w:spacing w:after="120" w:line="280" w:lineRule="exact"/>
              <w:rPr>
                <w:rFonts w:ascii="Arabic Typesetting" w:hAnsi="Arabic Typesetting" w:cs="Arabic Typesetting"/>
                <w:b/>
                <w:bCs/>
                <w:sz w:val="28"/>
                <w:szCs w:val="28"/>
                <w:lang w:eastAsia="ar-EG" w:bidi="ar-EG"/>
              </w:rPr>
            </w:pPr>
            <w:r w:rsidRPr="00CE1677">
              <w:rPr>
                <w:rFonts w:ascii="Arabic Typesetting" w:hAnsi="Arabic Typesetting" w:cs="Arabic Typesetting"/>
                <w:b/>
                <w:bCs/>
                <w:sz w:val="28"/>
                <w:szCs w:val="28"/>
                <w:rtl/>
                <w:lang w:eastAsia="ar-EG" w:bidi="ar-EG"/>
              </w:rPr>
              <w:t>النشاط</w:t>
            </w:r>
          </w:p>
        </w:tc>
        <w:tc>
          <w:tcPr>
            <w:tcW w:w="608" w:type="pct"/>
            <w:vAlign w:val="center"/>
          </w:tcPr>
          <w:p w14:paraId="51F05C31"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التاريخ</w:t>
            </w:r>
          </w:p>
        </w:tc>
        <w:tc>
          <w:tcPr>
            <w:tcW w:w="1296" w:type="pct"/>
            <w:vAlign w:val="center"/>
          </w:tcPr>
          <w:p w14:paraId="0D0D93E7"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Pr>
                <w:rFonts w:ascii="Arabic Typesetting" w:hAnsi="Arabic Typesetting" w:cs="Arabic Typesetting"/>
                <w:b/>
                <w:bCs/>
                <w:sz w:val="28"/>
                <w:szCs w:val="28"/>
                <w:rtl/>
                <w:lang w:eastAsia="ar-EG" w:bidi="ar-EG"/>
              </w:rPr>
              <w:t>البلد المضيف/الجهات </w:t>
            </w:r>
            <w:r w:rsidRPr="00CE1677">
              <w:rPr>
                <w:rFonts w:ascii="Arabic Typesetting" w:hAnsi="Arabic Typesetting" w:cs="Arabic Typesetting"/>
                <w:b/>
                <w:bCs/>
                <w:sz w:val="28"/>
                <w:szCs w:val="28"/>
                <w:rtl/>
                <w:lang w:eastAsia="ar-EG" w:bidi="ar-EG"/>
              </w:rPr>
              <w:t>المستفيدة</w:t>
            </w:r>
          </w:p>
        </w:tc>
        <w:tc>
          <w:tcPr>
            <w:tcW w:w="2111" w:type="pct"/>
            <w:vAlign w:val="center"/>
          </w:tcPr>
          <w:p w14:paraId="5CEFBF10" w14:textId="77777777" w:rsidR="00BD3831" w:rsidRPr="00CE1677" w:rsidRDefault="00BD3831" w:rsidP="0031289D">
            <w:pPr>
              <w:keepNext/>
              <w:keepLines/>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b/>
                <w:bCs/>
                <w:sz w:val="28"/>
                <w:szCs w:val="28"/>
                <w:rtl/>
                <w:lang w:eastAsia="ar-EG" w:bidi="ar-EG"/>
              </w:rPr>
              <w:t>الغرض/الوصف</w:t>
            </w:r>
          </w:p>
        </w:tc>
      </w:tr>
      <w:tr w:rsidR="00BD3831" w:rsidRPr="00CE1677" w14:paraId="78B92587" w14:textId="77777777" w:rsidTr="00DF6715">
        <w:tblPrEx>
          <w:tblLook w:val="04A0" w:firstRow="1" w:lastRow="0" w:firstColumn="1" w:lastColumn="0" w:noHBand="0" w:noVBand="1"/>
        </w:tblPrEx>
        <w:trPr>
          <w:cantSplit/>
          <w:trHeight w:val="473"/>
        </w:trPr>
        <w:tc>
          <w:tcPr>
            <w:tcW w:w="985" w:type="pct"/>
          </w:tcPr>
          <w:p w14:paraId="2C04B572"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ترجمة ونشر مصنفات الويبو ومراجعها</w:t>
            </w:r>
          </w:p>
        </w:tc>
        <w:tc>
          <w:tcPr>
            <w:tcW w:w="608" w:type="pct"/>
          </w:tcPr>
          <w:p w14:paraId="4BB19FC5" w14:textId="77777777" w:rsidR="00BD3831" w:rsidRPr="00CE1677" w:rsidRDefault="00BD3831"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sidRPr="00CE1677">
              <w:rPr>
                <w:rFonts w:ascii="Arabic Typesetting" w:hAnsi="Arabic Typesetting" w:cs="Arabic Typesetting"/>
                <w:color w:val="000000"/>
                <w:sz w:val="28"/>
                <w:szCs w:val="28"/>
                <w:rtl/>
                <w:lang w:eastAsia="ar-EG" w:bidi="ar-EG"/>
              </w:rPr>
              <w:t>2016</w:t>
            </w:r>
          </w:p>
        </w:tc>
        <w:tc>
          <w:tcPr>
            <w:tcW w:w="1296" w:type="pct"/>
          </w:tcPr>
          <w:p w14:paraId="784B1BBC" w14:textId="1050315D" w:rsidR="00BD3831" w:rsidRPr="00CE1677" w:rsidRDefault="00A017F6" w:rsidP="0031289D">
            <w:pPr>
              <w:autoSpaceDE w:val="0"/>
              <w:autoSpaceDN w:val="0"/>
              <w:bidi/>
              <w:adjustRightInd w:val="0"/>
              <w:spacing w:after="120" w:line="280" w:lineRule="exact"/>
              <w:rPr>
                <w:rFonts w:ascii="Arabic Typesetting" w:hAnsi="Arabic Typesetting" w:cs="Arabic Typesetting"/>
                <w:color w:val="000000"/>
                <w:sz w:val="28"/>
                <w:szCs w:val="28"/>
                <w:lang w:eastAsia="ar-EG" w:bidi="ar-EG"/>
              </w:rPr>
            </w:pPr>
            <w:r>
              <w:rPr>
                <w:rFonts w:ascii="Arabic Typesetting" w:hAnsi="Arabic Typesetting" w:cs="Arabic Typesetting" w:hint="cs"/>
                <w:color w:val="000000"/>
                <w:sz w:val="28"/>
                <w:szCs w:val="28"/>
                <w:rtl/>
                <w:lang w:eastAsia="ar-EG" w:bidi="ar-EG"/>
              </w:rPr>
              <w:t>مكتب الويبو في اليابان ومقر الويبو/</w:t>
            </w:r>
            <w:r w:rsidR="00BD3831" w:rsidRPr="00CE1677">
              <w:rPr>
                <w:rFonts w:ascii="Arabic Typesetting" w:hAnsi="Arabic Typesetting" w:cs="Arabic Typesetting"/>
                <w:color w:val="000000"/>
                <w:sz w:val="28"/>
                <w:szCs w:val="28"/>
                <w:rtl/>
                <w:lang w:eastAsia="ar-EG" w:bidi="ar-EG"/>
              </w:rPr>
              <w:t>بلدان الآسيان وكمبوديا</w:t>
            </w:r>
          </w:p>
        </w:tc>
        <w:tc>
          <w:tcPr>
            <w:tcW w:w="2111" w:type="pct"/>
          </w:tcPr>
          <w:p w14:paraId="7473ECF6" w14:textId="77777777" w:rsidR="00BD3831" w:rsidRPr="00CE1677" w:rsidRDefault="00BD3831" w:rsidP="0031289D">
            <w:pPr>
              <w:bidi/>
              <w:spacing w:after="120" w:line="280" w:lineRule="exact"/>
              <w:rPr>
                <w:rFonts w:ascii="Arabic Typesetting" w:hAnsi="Arabic Typesetting" w:cs="Arabic Typesetting"/>
                <w:sz w:val="28"/>
                <w:szCs w:val="28"/>
                <w:lang w:eastAsia="ar-EG" w:bidi="ar-EG"/>
              </w:rPr>
            </w:pPr>
            <w:r w:rsidRPr="00CE1677">
              <w:rPr>
                <w:rFonts w:ascii="Arabic Typesetting" w:hAnsi="Arabic Typesetting" w:cs="Arabic Typesetting"/>
                <w:sz w:val="28"/>
                <w:szCs w:val="28"/>
                <w:rtl/>
                <w:lang w:eastAsia="ar-EG" w:bidi="ar-EG"/>
              </w:rPr>
              <w:t>إتمام ترجمة قصة "هونمونو" إلى لغات الآسيان ونشرها.</w:t>
            </w:r>
          </w:p>
          <w:p w14:paraId="1E568857"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ترجمة ونشر مصنفات الويبو التالية إلى اللغة الخميرية: "1"</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 xml:space="preserve">دليل التسجيل الدولي للعلامات بناء على اتفاق مدريد وبروتوكوله (منشور الويبو رقم 455)؛ "2" واتفاق مدريد بشأن التسجيل الدولي للعلامات (منشور الويبو رقم 2014) </w:t>
            </w:r>
          </w:p>
        </w:tc>
      </w:tr>
    </w:tbl>
    <w:p w14:paraId="71E1A786" w14:textId="77777777" w:rsidR="00BD3831" w:rsidRPr="005E0763"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5E0763">
        <w:rPr>
          <w:rFonts w:ascii="Arabic Typesetting" w:eastAsia="Arabic Typesetting" w:hAnsi="Arabic Typesetting" w:cs="Arabic Typesetting"/>
          <w:b/>
          <w:bCs/>
          <w:sz w:val="32"/>
          <w:szCs w:val="32"/>
          <w:rtl/>
          <w:lang w:eastAsia="ar-EG" w:bidi="ar-EG"/>
        </w:rPr>
        <w:t>اليابان/الملكية الصناعية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05A63201" w14:textId="77777777" w:rsidTr="00DF6715">
        <w:trPr>
          <w:trHeight w:val="544"/>
        </w:trPr>
        <w:tc>
          <w:tcPr>
            <w:tcW w:w="1000" w:type="pct"/>
            <w:tcBorders>
              <w:top w:val="nil"/>
              <w:left w:val="nil"/>
              <w:bottom w:val="nil"/>
              <w:right w:val="nil"/>
            </w:tcBorders>
            <w:shd w:val="clear" w:color="000000" w:fill="C5D9F1"/>
            <w:vAlign w:val="center"/>
            <w:hideMark/>
          </w:tcPr>
          <w:p w14:paraId="78E4A6B4"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76DC3E4C"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7A4EF400"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41F390B9"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3803D243"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699B329D" w14:textId="77777777" w:rsidTr="00DF6715">
        <w:trPr>
          <w:trHeight w:val="356"/>
        </w:trPr>
        <w:tc>
          <w:tcPr>
            <w:tcW w:w="1000" w:type="pct"/>
            <w:tcBorders>
              <w:top w:val="nil"/>
              <w:left w:val="nil"/>
              <w:bottom w:val="nil"/>
              <w:right w:val="nil"/>
            </w:tcBorders>
            <w:shd w:val="clear" w:color="auto" w:fill="auto"/>
            <w:noWrap/>
            <w:vAlign w:val="bottom"/>
            <w:hideMark/>
          </w:tcPr>
          <w:p w14:paraId="53D905C9" w14:textId="77777777" w:rsidR="00BD3831" w:rsidRPr="005E0763" w:rsidRDefault="00BD3831" w:rsidP="0031289D">
            <w:pPr>
              <w:jc w:val="center"/>
              <w:rPr>
                <w:rFonts w:ascii="Arabic Typesetting" w:hAnsi="Arabic Typesetting" w:cs="Arabic Typesetting"/>
                <w:color w:val="000000"/>
                <w:sz w:val="28"/>
                <w:szCs w:val="28"/>
              </w:rPr>
            </w:pPr>
            <w:r w:rsidRPr="005E0763">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5E0763">
              <w:rPr>
                <w:rFonts w:ascii="Arabic Typesetting" w:hAnsi="Arabic Typesetting" w:cs="Arabic Typesetting"/>
                <w:color w:val="000000"/>
                <w:sz w:val="28"/>
                <w:szCs w:val="28"/>
              </w:rPr>
              <w:t>969</w:t>
            </w:r>
            <w:r>
              <w:rPr>
                <w:rFonts w:ascii="Arabic Typesetting" w:hAnsi="Arabic Typesetting" w:cs="Arabic Typesetting"/>
                <w:color w:val="000000"/>
                <w:sz w:val="28"/>
                <w:szCs w:val="28"/>
              </w:rPr>
              <w:t> </w:t>
            </w:r>
            <w:r w:rsidRPr="005E0763">
              <w:rPr>
                <w:rFonts w:ascii="Arabic Typesetting" w:hAnsi="Arabic Typesetting" w:cs="Arabic Typesetting"/>
                <w:color w:val="000000"/>
                <w:sz w:val="28"/>
                <w:szCs w:val="28"/>
              </w:rPr>
              <w:t>999</w:t>
            </w:r>
          </w:p>
        </w:tc>
        <w:tc>
          <w:tcPr>
            <w:tcW w:w="1000" w:type="pct"/>
            <w:tcBorders>
              <w:top w:val="nil"/>
              <w:left w:val="nil"/>
              <w:bottom w:val="nil"/>
              <w:right w:val="nil"/>
            </w:tcBorders>
            <w:shd w:val="clear" w:color="auto" w:fill="auto"/>
            <w:noWrap/>
            <w:vAlign w:val="bottom"/>
            <w:hideMark/>
          </w:tcPr>
          <w:p w14:paraId="47BFDD6A" w14:textId="77777777" w:rsidR="00BD3831" w:rsidRPr="005E0763" w:rsidRDefault="00BD3831" w:rsidP="0031289D">
            <w:pPr>
              <w:jc w:val="center"/>
              <w:rPr>
                <w:rFonts w:ascii="Arabic Typesetting" w:hAnsi="Arabic Typesetting" w:cs="Arabic Typesetting"/>
                <w:color w:val="000000"/>
                <w:sz w:val="28"/>
                <w:szCs w:val="28"/>
              </w:rPr>
            </w:pPr>
            <w:r w:rsidRPr="005E0763">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5E0763">
              <w:rPr>
                <w:rFonts w:ascii="Arabic Typesetting" w:hAnsi="Arabic Typesetting" w:cs="Arabic Typesetting"/>
                <w:color w:val="000000"/>
                <w:sz w:val="28"/>
                <w:szCs w:val="28"/>
              </w:rPr>
              <w:t>830</w:t>
            </w:r>
            <w:r>
              <w:rPr>
                <w:rFonts w:ascii="Arabic Typesetting" w:hAnsi="Arabic Typesetting" w:cs="Arabic Typesetting"/>
                <w:color w:val="000000"/>
                <w:sz w:val="28"/>
                <w:szCs w:val="28"/>
              </w:rPr>
              <w:t> </w:t>
            </w:r>
            <w:r w:rsidRPr="005E0763">
              <w:rPr>
                <w:rFonts w:ascii="Arabic Typesetting" w:hAnsi="Arabic Typesetting" w:cs="Arabic Typesetting"/>
                <w:color w:val="000000"/>
                <w:sz w:val="28"/>
                <w:szCs w:val="28"/>
              </w:rPr>
              <w:t>310</w:t>
            </w:r>
          </w:p>
        </w:tc>
        <w:tc>
          <w:tcPr>
            <w:tcW w:w="1000" w:type="pct"/>
            <w:tcBorders>
              <w:top w:val="nil"/>
              <w:left w:val="nil"/>
              <w:bottom w:val="nil"/>
              <w:right w:val="nil"/>
            </w:tcBorders>
            <w:shd w:val="clear" w:color="auto" w:fill="auto"/>
            <w:noWrap/>
            <w:vAlign w:val="bottom"/>
            <w:hideMark/>
          </w:tcPr>
          <w:p w14:paraId="269E0CD7" w14:textId="77777777" w:rsidR="00BD3831" w:rsidRPr="005E0763" w:rsidRDefault="00BD3831" w:rsidP="0031289D">
            <w:pPr>
              <w:jc w:val="center"/>
              <w:rPr>
                <w:rFonts w:ascii="Arabic Typesetting" w:hAnsi="Arabic Typesetting" w:cs="Arabic Typesetting"/>
                <w:color w:val="000000"/>
                <w:sz w:val="28"/>
                <w:szCs w:val="28"/>
              </w:rPr>
            </w:pPr>
            <w:r w:rsidRPr="005E0763">
              <w:rPr>
                <w:rFonts w:ascii="Arabic Typesetting" w:hAnsi="Arabic Typesetting" w:cs="Arabic Typesetting"/>
                <w:color w:val="000000"/>
                <w:sz w:val="28"/>
                <w:szCs w:val="28"/>
              </w:rPr>
              <w:t>3</w:t>
            </w:r>
            <w:r>
              <w:rPr>
                <w:rFonts w:ascii="Arabic Typesetting" w:hAnsi="Arabic Typesetting" w:cs="Arabic Typesetting"/>
                <w:color w:val="000000"/>
                <w:sz w:val="28"/>
                <w:szCs w:val="28"/>
              </w:rPr>
              <w:t> </w:t>
            </w:r>
            <w:r w:rsidRPr="005E0763">
              <w:rPr>
                <w:rFonts w:ascii="Arabic Typesetting" w:hAnsi="Arabic Typesetting" w:cs="Arabic Typesetting"/>
                <w:color w:val="000000"/>
                <w:sz w:val="28"/>
                <w:szCs w:val="28"/>
              </w:rPr>
              <w:t>920</w:t>
            </w:r>
            <w:r>
              <w:rPr>
                <w:rFonts w:ascii="Arabic Typesetting" w:hAnsi="Arabic Typesetting" w:cs="Arabic Typesetting"/>
                <w:color w:val="000000"/>
                <w:sz w:val="28"/>
                <w:szCs w:val="28"/>
              </w:rPr>
              <w:t> </w:t>
            </w:r>
            <w:r w:rsidRPr="005E0763">
              <w:rPr>
                <w:rFonts w:ascii="Arabic Typesetting" w:hAnsi="Arabic Typesetting" w:cs="Arabic Typesetting"/>
                <w:color w:val="000000"/>
                <w:sz w:val="28"/>
                <w:szCs w:val="28"/>
              </w:rPr>
              <w:t>117</w:t>
            </w:r>
          </w:p>
        </w:tc>
        <w:tc>
          <w:tcPr>
            <w:tcW w:w="1000" w:type="pct"/>
            <w:tcBorders>
              <w:top w:val="nil"/>
              <w:left w:val="nil"/>
              <w:bottom w:val="nil"/>
              <w:right w:val="nil"/>
            </w:tcBorders>
            <w:shd w:val="clear" w:color="auto" w:fill="auto"/>
            <w:noWrap/>
            <w:vAlign w:val="bottom"/>
            <w:hideMark/>
          </w:tcPr>
          <w:p w14:paraId="185F6C13" w14:textId="77777777" w:rsidR="00BD3831" w:rsidRPr="005E0763" w:rsidRDefault="00BD3831" w:rsidP="0031289D">
            <w:pPr>
              <w:jc w:val="center"/>
              <w:rPr>
                <w:rFonts w:ascii="Arabic Typesetting" w:hAnsi="Arabic Typesetting" w:cs="Arabic Typesetting"/>
                <w:color w:val="000000"/>
                <w:sz w:val="28"/>
                <w:szCs w:val="28"/>
              </w:rPr>
            </w:pPr>
            <w:r w:rsidRPr="005E0763">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1FC1D1D2" w14:textId="77777777" w:rsidR="00BD3831" w:rsidRPr="005E0763" w:rsidRDefault="00BD3831" w:rsidP="0031289D">
            <w:pPr>
              <w:jc w:val="center"/>
              <w:rPr>
                <w:rFonts w:ascii="Arabic Typesetting" w:hAnsi="Arabic Typesetting" w:cs="Arabic Typesetting"/>
                <w:color w:val="000000"/>
                <w:sz w:val="28"/>
                <w:szCs w:val="28"/>
              </w:rPr>
            </w:pPr>
            <w:r w:rsidRPr="005E0763">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5E0763">
              <w:rPr>
                <w:rFonts w:ascii="Arabic Typesetting" w:hAnsi="Arabic Typesetting" w:cs="Arabic Typesetting"/>
                <w:color w:val="000000"/>
                <w:sz w:val="28"/>
                <w:szCs w:val="28"/>
              </w:rPr>
              <w:t>880</w:t>
            </w:r>
            <w:r>
              <w:rPr>
                <w:rFonts w:ascii="Arabic Typesetting" w:hAnsi="Arabic Typesetting" w:cs="Arabic Typesetting"/>
                <w:color w:val="000000"/>
                <w:sz w:val="28"/>
                <w:szCs w:val="28"/>
              </w:rPr>
              <w:t> </w:t>
            </w:r>
            <w:r w:rsidRPr="005E0763">
              <w:rPr>
                <w:rFonts w:ascii="Arabic Typesetting" w:hAnsi="Arabic Typesetting" w:cs="Arabic Typesetting"/>
                <w:color w:val="000000"/>
                <w:sz w:val="28"/>
                <w:szCs w:val="28"/>
              </w:rPr>
              <w:t>193</w:t>
            </w:r>
          </w:p>
        </w:tc>
      </w:tr>
    </w:tbl>
    <w:p w14:paraId="01F19C43" w14:textId="77777777" w:rsidR="00BD3831" w:rsidRPr="005E0763"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5E0763">
        <w:rPr>
          <w:rFonts w:ascii="Arabic Typesetting" w:eastAsia="Arabic Typesetting" w:hAnsi="Arabic Typesetting" w:cs="Arabic Typesetting"/>
          <w:b/>
          <w:bCs/>
          <w:sz w:val="32"/>
          <w:szCs w:val="32"/>
          <w:rtl/>
          <w:lang w:eastAsia="ar-EG" w:bidi="ar-EG"/>
        </w:rPr>
        <w:lastRenderedPageBreak/>
        <w:t>اليابان/الملكية الفكرية/أفريقيا - البلدان الأقل نمواً</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6"/>
        <w:gridCol w:w="1252"/>
        <w:gridCol w:w="2691"/>
        <w:gridCol w:w="3742"/>
      </w:tblGrid>
      <w:tr w:rsidR="00BD3831" w:rsidRPr="00CE1677" w14:paraId="1CF1ED63" w14:textId="77777777" w:rsidTr="00DF6715">
        <w:trPr>
          <w:cantSplit/>
          <w:trHeight w:val="315"/>
        </w:trPr>
        <w:tc>
          <w:tcPr>
            <w:tcW w:w="5000" w:type="pct"/>
            <w:gridSpan w:val="4"/>
            <w:tcBorders>
              <w:top w:val="nil"/>
              <w:left w:val="nil"/>
              <w:bottom w:val="nil"/>
              <w:right w:val="nil"/>
            </w:tcBorders>
            <w:shd w:val="clear" w:color="auto" w:fill="C6D9F1"/>
          </w:tcPr>
          <w:p w14:paraId="2D04670B"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ه1.3 استراتيجيات وخطط وطنية في مجالي الابتكار والملكية الفكرية تتماشى مع الأهداف الإنمائية الوطنية</w:t>
            </w:r>
          </w:p>
        </w:tc>
      </w:tr>
      <w:tr w:rsidR="00BD3831" w:rsidRPr="00CE1677" w14:paraId="55B2AE39" w14:textId="77777777" w:rsidTr="00DF6715">
        <w:trPr>
          <w:cantSplit/>
          <w:trHeight w:val="485"/>
        </w:trPr>
        <w:tc>
          <w:tcPr>
            <w:tcW w:w="985" w:type="pct"/>
            <w:tcBorders>
              <w:top w:val="nil"/>
              <w:left w:val="nil"/>
              <w:bottom w:val="nil"/>
              <w:right w:val="nil"/>
            </w:tcBorders>
            <w:vAlign w:val="center"/>
          </w:tcPr>
          <w:p w14:paraId="082CB806" w14:textId="77777777" w:rsidR="00BD3831" w:rsidRPr="00CE1677"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54" w:type="pct"/>
            <w:tcBorders>
              <w:top w:val="nil"/>
              <w:left w:val="nil"/>
              <w:bottom w:val="nil"/>
              <w:right w:val="nil"/>
            </w:tcBorders>
            <w:vAlign w:val="center"/>
          </w:tcPr>
          <w:p w14:paraId="369C757A"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406" w:type="pct"/>
            <w:tcBorders>
              <w:top w:val="nil"/>
              <w:left w:val="nil"/>
              <w:bottom w:val="nil"/>
              <w:right w:val="nil"/>
            </w:tcBorders>
            <w:vAlign w:val="center"/>
          </w:tcPr>
          <w:p w14:paraId="2B53A51C"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1955" w:type="pct"/>
            <w:tcBorders>
              <w:top w:val="nil"/>
              <w:left w:val="nil"/>
              <w:bottom w:val="nil"/>
              <w:right w:val="nil"/>
            </w:tcBorders>
            <w:vAlign w:val="center"/>
          </w:tcPr>
          <w:p w14:paraId="42F1EA34"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A017F6" w:rsidRPr="00CE1677" w14:paraId="0227916A" w14:textId="77777777" w:rsidTr="00DF6715">
        <w:trPr>
          <w:cantSplit/>
          <w:trHeight w:val="315"/>
        </w:trPr>
        <w:tc>
          <w:tcPr>
            <w:tcW w:w="985" w:type="pct"/>
            <w:tcBorders>
              <w:top w:val="nil"/>
              <w:left w:val="nil"/>
              <w:bottom w:val="nil"/>
              <w:right w:val="nil"/>
            </w:tcBorders>
          </w:tcPr>
          <w:p w14:paraId="69E534E5" w14:textId="4AD03833" w:rsidR="00A017F6" w:rsidRPr="00CE1677" w:rsidRDefault="00A017F6"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برنامج دراسي عن الابتكار ونقل التكنولوجيا</w:t>
            </w:r>
          </w:p>
        </w:tc>
        <w:tc>
          <w:tcPr>
            <w:tcW w:w="654" w:type="pct"/>
            <w:tcBorders>
              <w:top w:val="nil"/>
              <w:left w:val="nil"/>
              <w:bottom w:val="nil"/>
              <w:right w:val="nil"/>
            </w:tcBorders>
          </w:tcPr>
          <w:p w14:paraId="192B3672" w14:textId="3DC3A6E9" w:rsidR="00A017F6" w:rsidRPr="00CE1677" w:rsidRDefault="00A017F6"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من 8 إلى 10 مارس 2016</w:t>
            </w:r>
          </w:p>
        </w:tc>
        <w:tc>
          <w:tcPr>
            <w:tcW w:w="1406" w:type="pct"/>
            <w:tcBorders>
              <w:top w:val="nil"/>
              <w:left w:val="nil"/>
              <w:bottom w:val="nil"/>
              <w:right w:val="nil"/>
            </w:tcBorders>
          </w:tcPr>
          <w:p w14:paraId="29D4738E" w14:textId="5E8BBBE5" w:rsidR="00A017F6" w:rsidRPr="00CE1677" w:rsidRDefault="00A017F6"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اليابان/6 مشاركين من مصر وكينيا وغانا ونيجيريا والمغرب وجنوب أفريقيا</w:t>
            </w:r>
          </w:p>
        </w:tc>
        <w:tc>
          <w:tcPr>
            <w:tcW w:w="1955" w:type="pct"/>
            <w:tcBorders>
              <w:top w:val="nil"/>
              <w:left w:val="nil"/>
              <w:bottom w:val="nil"/>
              <w:right w:val="nil"/>
            </w:tcBorders>
          </w:tcPr>
          <w:p w14:paraId="5661D4A5" w14:textId="5311BC57" w:rsidR="00A017F6" w:rsidRPr="00CE1677" w:rsidRDefault="00A017F6"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rtl/>
                <w:lang w:eastAsia="ar-EG" w:bidi="ar-EG"/>
              </w:rPr>
            </w:pPr>
            <w:r>
              <w:rPr>
                <w:rFonts w:ascii="Arabic Typesetting" w:eastAsia="Arabic Typesetting" w:hAnsi="Arabic Typesetting" w:cs="Arabic Typesetting" w:hint="cs"/>
                <w:color w:val="000000"/>
                <w:sz w:val="28"/>
                <w:szCs w:val="28"/>
                <w:rtl/>
                <w:lang w:eastAsia="ar-EG" w:bidi="ar-EG"/>
              </w:rPr>
              <w:t>زيادة فهم تجربة المؤسسات اليابانية في إدارة الملكية الفكرية والحالات الناجحة لتعزيز نقل التكنولوجيا وتسويقها</w:t>
            </w:r>
          </w:p>
        </w:tc>
      </w:tr>
      <w:tr w:rsidR="00BD3831" w:rsidRPr="00CE1677" w14:paraId="7C3DC6C4" w14:textId="77777777" w:rsidTr="00DF6715">
        <w:trPr>
          <w:cantSplit/>
          <w:trHeight w:val="315"/>
        </w:trPr>
        <w:tc>
          <w:tcPr>
            <w:tcW w:w="985" w:type="pct"/>
            <w:tcBorders>
              <w:top w:val="nil"/>
              <w:left w:val="nil"/>
              <w:bottom w:val="nil"/>
              <w:right w:val="nil"/>
            </w:tcBorders>
          </w:tcPr>
          <w:p w14:paraId="42D298A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زيارة دراسية: جهات تنسيق معنية بالملكية الفكرية للجماعات الاقتصادية الإقليمية الأفريقية والهيئات التنفيذية للاتحاد الأفريقي</w:t>
            </w:r>
          </w:p>
        </w:tc>
        <w:tc>
          <w:tcPr>
            <w:tcW w:w="654" w:type="pct"/>
            <w:tcBorders>
              <w:top w:val="nil"/>
              <w:left w:val="nil"/>
              <w:bottom w:val="nil"/>
              <w:right w:val="nil"/>
            </w:tcBorders>
          </w:tcPr>
          <w:p w14:paraId="2437E1C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17 إلى 19 مايو 2016</w:t>
            </w:r>
          </w:p>
        </w:tc>
        <w:tc>
          <w:tcPr>
            <w:tcW w:w="1406" w:type="pct"/>
            <w:tcBorders>
              <w:top w:val="nil"/>
              <w:left w:val="nil"/>
              <w:bottom w:val="nil"/>
              <w:right w:val="nil"/>
            </w:tcBorders>
          </w:tcPr>
          <w:p w14:paraId="0EDCE98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جنيف/ السوق المشتركة لشرق أفريقيا والجنوب الأفريقي، والجماعة الاقتصادية لدول وسط أفريقيا، والجماعة الاقتصادية لدول غرب أفريقيا، والجماعة الإنمائية للجنوب الأفريقي، والاتحاد الاقتصادي والنقدي لغرب أفريقيا</w:t>
            </w:r>
          </w:p>
        </w:tc>
        <w:tc>
          <w:tcPr>
            <w:tcW w:w="1955" w:type="pct"/>
            <w:tcBorders>
              <w:top w:val="nil"/>
              <w:left w:val="nil"/>
              <w:bottom w:val="nil"/>
              <w:right w:val="nil"/>
            </w:tcBorders>
          </w:tcPr>
          <w:p w14:paraId="4BF7CB4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توطيد التعاون بين الويبو الاتحاد الأفريقي والجماعات الاقتصادية الإقليمية؛ "2" وإقامة اتصال مع جهات التنسيق الرسمية المعيَّنة للملكية الفكرية؛ "3"</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وإبراز صورة الويبو ونشاطها في المنطقة الأفريقية</w:t>
            </w:r>
          </w:p>
        </w:tc>
      </w:tr>
      <w:tr w:rsidR="00BD3831" w:rsidRPr="00CE1677" w14:paraId="25AB1C22" w14:textId="77777777" w:rsidTr="00DF6715">
        <w:trPr>
          <w:cantSplit/>
          <w:trHeight w:val="315"/>
        </w:trPr>
        <w:tc>
          <w:tcPr>
            <w:tcW w:w="5000" w:type="pct"/>
            <w:gridSpan w:val="4"/>
            <w:tcBorders>
              <w:top w:val="nil"/>
              <w:left w:val="nil"/>
              <w:bottom w:val="nil"/>
              <w:right w:val="nil"/>
            </w:tcBorders>
            <w:shd w:val="clear" w:color="auto" w:fill="C6D9F1"/>
          </w:tcPr>
          <w:p w14:paraId="68FF4FF3"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ه2.3 كفاءات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‏معزَّزة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‏للموارد</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‏البشرية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‏القادرة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‏على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‏تلبية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‏تشكيلة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‏واسعة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‏من المتطلبات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‏لتسخير</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‏الملكية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‏الفكرية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‏بفعالية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‏لأغراض</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‏التنمية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‏في</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‏النامية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‏الأقل</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‏نموا</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‏المنتقلة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‏إلى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‏نظام الاقتصاد الحر</w:t>
            </w:r>
          </w:p>
        </w:tc>
      </w:tr>
      <w:tr w:rsidR="00BD3831" w:rsidRPr="00CE1677" w14:paraId="13D5DF90" w14:textId="77777777" w:rsidTr="00DF6715">
        <w:trPr>
          <w:cantSplit/>
          <w:trHeight w:val="429"/>
        </w:trPr>
        <w:tc>
          <w:tcPr>
            <w:tcW w:w="985" w:type="pct"/>
            <w:tcBorders>
              <w:top w:val="nil"/>
              <w:left w:val="nil"/>
              <w:bottom w:val="nil"/>
              <w:right w:val="nil"/>
            </w:tcBorders>
            <w:vAlign w:val="center"/>
          </w:tcPr>
          <w:p w14:paraId="30630BAF"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54" w:type="pct"/>
            <w:tcBorders>
              <w:top w:val="nil"/>
              <w:left w:val="nil"/>
              <w:bottom w:val="nil"/>
              <w:right w:val="nil"/>
            </w:tcBorders>
            <w:vAlign w:val="center"/>
          </w:tcPr>
          <w:p w14:paraId="62C40F6A"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406" w:type="pct"/>
            <w:tcBorders>
              <w:top w:val="nil"/>
              <w:left w:val="nil"/>
              <w:bottom w:val="nil"/>
              <w:right w:val="nil"/>
            </w:tcBorders>
            <w:vAlign w:val="center"/>
          </w:tcPr>
          <w:p w14:paraId="1690435B"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1955" w:type="pct"/>
            <w:tcBorders>
              <w:top w:val="nil"/>
              <w:left w:val="nil"/>
              <w:bottom w:val="nil"/>
              <w:right w:val="nil"/>
            </w:tcBorders>
            <w:vAlign w:val="center"/>
          </w:tcPr>
          <w:p w14:paraId="3774B87A"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6939E12C" w14:textId="77777777" w:rsidTr="00DF6715">
        <w:trPr>
          <w:cantSplit/>
          <w:trHeight w:val="315"/>
        </w:trPr>
        <w:tc>
          <w:tcPr>
            <w:tcW w:w="985" w:type="pct"/>
            <w:tcBorders>
              <w:top w:val="nil"/>
              <w:left w:val="nil"/>
              <w:bottom w:val="nil"/>
              <w:right w:val="nil"/>
            </w:tcBorders>
          </w:tcPr>
          <w:p w14:paraId="0EEE567B"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اجتماع التخطيط وأول دورة تدريب لمشروع توسيم باستخدام الملكية الفكرية لفائدة "سلة تايتا"</w:t>
            </w:r>
          </w:p>
        </w:tc>
        <w:tc>
          <w:tcPr>
            <w:tcW w:w="654" w:type="pct"/>
            <w:tcBorders>
              <w:top w:val="nil"/>
              <w:left w:val="nil"/>
              <w:bottom w:val="nil"/>
              <w:right w:val="nil"/>
            </w:tcBorders>
          </w:tcPr>
          <w:p w14:paraId="687864E1"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15 إلى 19 فبراير 2016</w:t>
            </w:r>
          </w:p>
        </w:tc>
        <w:tc>
          <w:tcPr>
            <w:tcW w:w="1406" w:type="pct"/>
            <w:tcBorders>
              <w:top w:val="nil"/>
              <w:left w:val="nil"/>
              <w:bottom w:val="nil"/>
              <w:right w:val="nil"/>
            </w:tcBorders>
          </w:tcPr>
          <w:p w14:paraId="6DC2EE6B"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كينيا/ 30 مشاركاً محلياً</w:t>
            </w:r>
          </w:p>
        </w:tc>
        <w:tc>
          <w:tcPr>
            <w:tcW w:w="1955" w:type="pct"/>
            <w:tcBorders>
              <w:top w:val="nil"/>
              <w:left w:val="nil"/>
              <w:bottom w:val="nil"/>
              <w:right w:val="nil"/>
            </w:tcBorders>
          </w:tcPr>
          <w:p w14:paraId="6A41612D"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مناقشة استراتيجية تنفيذ مشروع التوسيم والاتفاق عليها؛ "2" وتعريف صانعات السلات على الملكية الفكرية؛ "3" وتوعية صانعي الس</w:t>
            </w:r>
            <w:r>
              <w:rPr>
                <w:rFonts w:ascii="Arabic Typesetting" w:eastAsia="Arabic Typesetting" w:hAnsi="Arabic Typesetting" w:cs="Arabic Typesetting"/>
                <w:color w:val="000000"/>
                <w:sz w:val="28"/>
                <w:szCs w:val="28"/>
                <w:rtl/>
                <w:lang w:eastAsia="ar-EG" w:bidi="ar-EG"/>
              </w:rPr>
              <w:t>لات بأهمية المعايير وضبط الجودة</w:t>
            </w:r>
          </w:p>
        </w:tc>
      </w:tr>
      <w:tr w:rsidR="00BD3831" w:rsidRPr="00CE1677" w14:paraId="0545CD5E" w14:textId="77777777" w:rsidTr="00DF6715">
        <w:trPr>
          <w:cantSplit/>
          <w:trHeight w:val="315"/>
        </w:trPr>
        <w:tc>
          <w:tcPr>
            <w:tcW w:w="985" w:type="pct"/>
            <w:tcBorders>
              <w:top w:val="nil"/>
              <w:left w:val="nil"/>
              <w:bottom w:val="nil"/>
              <w:right w:val="nil"/>
            </w:tcBorders>
          </w:tcPr>
          <w:p w14:paraId="6C804F6A" w14:textId="4374B633" w:rsidR="00BD3831" w:rsidRPr="00CE1677" w:rsidRDefault="00A017F6"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دورة تدريبية لفاحصي البراءات بشأن معلومات البراءات ومنهجيات البحث عن الحالة التقنية الصناعية السابقة واستخدام نواتج عمليات الفحص الخارجية</w:t>
            </w:r>
          </w:p>
        </w:tc>
        <w:tc>
          <w:tcPr>
            <w:tcW w:w="654" w:type="pct"/>
            <w:tcBorders>
              <w:top w:val="nil"/>
              <w:left w:val="nil"/>
              <w:bottom w:val="nil"/>
              <w:right w:val="nil"/>
            </w:tcBorders>
          </w:tcPr>
          <w:p w14:paraId="11738E12" w14:textId="647B93C3" w:rsidR="00BD3831" w:rsidRPr="00CE1677" w:rsidRDefault="00A017F6"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14 إلى 18 مارس 2016</w:t>
            </w:r>
          </w:p>
        </w:tc>
        <w:tc>
          <w:tcPr>
            <w:tcW w:w="1406" w:type="pct"/>
            <w:tcBorders>
              <w:top w:val="nil"/>
              <w:left w:val="nil"/>
              <w:bottom w:val="nil"/>
              <w:right w:val="nil"/>
            </w:tcBorders>
          </w:tcPr>
          <w:p w14:paraId="191E060F" w14:textId="6EE624B1" w:rsidR="00BD3831" w:rsidRPr="00CE1677" w:rsidRDefault="00A017F6" w:rsidP="00A017F6">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جنوب أفريقيا/17 مشاركاً من لجنة الشركات والملكية الفكرية</w:t>
            </w:r>
          </w:p>
        </w:tc>
        <w:tc>
          <w:tcPr>
            <w:tcW w:w="1955" w:type="pct"/>
            <w:tcBorders>
              <w:top w:val="nil"/>
              <w:left w:val="nil"/>
              <w:bottom w:val="nil"/>
              <w:right w:val="nil"/>
            </w:tcBorders>
          </w:tcPr>
          <w:p w14:paraId="2FDB25CC" w14:textId="29A9A673" w:rsidR="00BD3831" w:rsidRPr="00CE1677" w:rsidRDefault="00A017F6" w:rsidP="00A017F6">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تقديم حلقة عمل تمهيدية مدتها خمسة أيام بشأن معلومات البراءات واستخدام نواتج عمليات فحص البراءات الخارجية للموظفين السبع عشر الجدد في اللجنة</w:t>
            </w:r>
          </w:p>
        </w:tc>
      </w:tr>
      <w:tr w:rsidR="00BD3831" w:rsidRPr="00CE1677" w14:paraId="1A5F996F" w14:textId="77777777" w:rsidTr="00DF6715">
        <w:trPr>
          <w:cantSplit/>
          <w:trHeight w:val="315"/>
        </w:trPr>
        <w:tc>
          <w:tcPr>
            <w:tcW w:w="985" w:type="pct"/>
            <w:tcBorders>
              <w:top w:val="nil"/>
              <w:left w:val="nil"/>
              <w:bottom w:val="nil"/>
              <w:right w:val="nil"/>
            </w:tcBorders>
          </w:tcPr>
          <w:p w14:paraId="61E442D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مؤتمر دون إقليمي بشأن سياسات الملكية الفكرية في الجامعات ومؤسسات</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البحث</w:t>
            </w:r>
          </w:p>
        </w:tc>
        <w:tc>
          <w:tcPr>
            <w:tcW w:w="654" w:type="pct"/>
            <w:tcBorders>
              <w:top w:val="nil"/>
              <w:left w:val="nil"/>
              <w:bottom w:val="nil"/>
              <w:right w:val="nil"/>
            </w:tcBorders>
          </w:tcPr>
          <w:p w14:paraId="0CE5656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11 و</w:t>
            </w:r>
            <w:r w:rsidRPr="00CE1677">
              <w:rPr>
                <w:rFonts w:ascii="Arabic Typesetting" w:eastAsia="Arabic Typesetting" w:hAnsi="Arabic Typesetting" w:cs="Arabic Typesetting"/>
                <w:color w:val="000000"/>
                <w:sz w:val="28"/>
                <w:szCs w:val="28"/>
                <w:rtl/>
                <w:lang w:eastAsia="ar-EG" w:bidi="ar-EG"/>
              </w:rPr>
              <w:t>12 مايو 2016</w:t>
            </w:r>
          </w:p>
        </w:tc>
        <w:tc>
          <w:tcPr>
            <w:tcW w:w="1406" w:type="pct"/>
            <w:tcBorders>
              <w:top w:val="nil"/>
              <w:left w:val="nil"/>
              <w:bottom w:val="nil"/>
              <w:right w:val="nil"/>
            </w:tcBorders>
          </w:tcPr>
          <w:p w14:paraId="57703A2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المغرب/ 50 مشاركاً من الجزائر وبنن وبوتسوانا وبوركينا فاصو والكاميرون والكونغو ومصر وإثيوبيا وغابون وغانا وغينيا وكينيا ومالي وموزامبيق والنيجر ونيجيريا والسنغال وأوغندا والمنظمة الأفريقية الإقليمية للملكية الفكرية والمنظمة الأفريقية للملكية الفكرية</w:t>
            </w:r>
          </w:p>
        </w:tc>
        <w:tc>
          <w:tcPr>
            <w:tcW w:w="1955" w:type="pct"/>
            <w:tcBorders>
              <w:top w:val="nil"/>
              <w:left w:val="nil"/>
              <w:bottom w:val="nil"/>
              <w:right w:val="nil"/>
            </w:tcBorders>
          </w:tcPr>
          <w:p w14:paraId="0774795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عرض نموذج سياسة الملكية الفكرية الذي أعدته الويبو لفائدة المؤسسات الأكاديمية على مجموعة مختارة من الجامعات ومؤسسات البحث والوزارات المعنية بالعلوم والتعليم العالي في البلدان الأفريقية؛ "2" وبلورة النموذج بفضل التجارب الوطنية؛ "3" واختيار جامعات ومؤسسات بحث لتطبيق سياسة الملكية الفكرية في إطار مشروع رائد؛ "4" والشروع في تنفيذ المشروع</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الرائد.</w:t>
            </w:r>
          </w:p>
        </w:tc>
      </w:tr>
      <w:tr w:rsidR="00BD3831" w:rsidRPr="00CE1677" w14:paraId="6295423A" w14:textId="77777777" w:rsidTr="00DF6715">
        <w:trPr>
          <w:cantSplit/>
          <w:trHeight w:val="315"/>
        </w:trPr>
        <w:tc>
          <w:tcPr>
            <w:tcW w:w="985" w:type="pct"/>
            <w:tcBorders>
              <w:top w:val="nil"/>
              <w:left w:val="nil"/>
              <w:bottom w:val="nil"/>
              <w:right w:val="nil"/>
            </w:tcBorders>
          </w:tcPr>
          <w:p w14:paraId="608DEBD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دون إقليمية بشأن الملكية الفكرية لفائدة المبتكرين الشباب: من</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الفكر إلى السوق</w:t>
            </w:r>
          </w:p>
        </w:tc>
        <w:tc>
          <w:tcPr>
            <w:tcW w:w="654" w:type="pct"/>
            <w:tcBorders>
              <w:top w:val="nil"/>
              <w:left w:val="nil"/>
              <w:bottom w:val="nil"/>
              <w:right w:val="nil"/>
            </w:tcBorders>
          </w:tcPr>
          <w:p w14:paraId="3F9DCA5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22 </w:t>
            </w:r>
            <w:r>
              <w:rPr>
                <w:rFonts w:ascii="Arabic Typesetting" w:eastAsia="Arabic Typesetting" w:hAnsi="Arabic Typesetting" w:cs="Arabic Typesetting" w:hint="cs"/>
                <w:color w:val="000000"/>
                <w:sz w:val="28"/>
                <w:szCs w:val="28"/>
                <w:rtl/>
                <w:lang w:eastAsia="ar-EG" w:bidi="ar-EG"/>
              </w:rPr>
              <w:t>و</w:t>
            </w:r>
            <w:r w:rsidRPr="00CE1677">
              <w:rPr>
                <w:rFonts w:ascii="Arabic Typesetting" w:eastAsia="Arabic Typesetting" w:hAnsi="Arabic Typesetting" w:cs="Arabic Typesetting"/>
                <w:color w:val="000000"/>
                <w:sz w:val="28"/>
                <w:szCs w:val="28"/>
                <w:rtl/>
                <w:lang w:eastAsia="ar-EG" w:bidi="ar-EG"/>
              </w:rPr>
              <w:t>23 يونيو 2016</w:t>
            </w:r>
          </w:p>
        </w:tc>
        <w:tc>
          <w:tcPr>
            <w:tcW w:w="1406" w:type="pct"/>
            <w:tcBorders>
              <w:top w:val="nil"/>
              <w:left w:val="nil"/>
              <w:bottom w:val="nil"/>
              <w:right w:val="nil"/>
            </w:tcBorders>
          </w:tcPr>
          <w:p w14:paraId="23680B4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بوتسوانا/ 50 مشاركاً من الجزائر وبوتسوانا وإثيوبيا وغانا وكينيا والمغرب والنيجر ونيجيريا ورواندا وت</w:t>
            </w:r>
            <w:r>
              <w:rPr>
                <w:rFonts w:ascii="Arabic Typesetting" w:eastAsia="Arabic Typesetting" w:hAnsi="Arabic Typesetting" w:cs="Arabic Typesetting" w:hint="cs"/>
                <w:color w:val="000000"/>
                <w:sz w:val="28"/>
                <w:szCs w:val="28"/>
                <w:rtl/>
                <w:lang w:eastAsia="ar-EG" w:bidi="ar-EG"/>
              </w:rPr>
              <w:t>و</w:t>
            </w:r>
            <w:r w:rsidRPr="00CE1677">
              <w:rPr>
                <w:rFonts w:ascii="Arabic Typesetting" w:eastAsia="Arabic Typesetting" w:hAnsi="Arabic Typesetting" w:cs="Arabic Typesetting"/>
                <w:color w:val="000000"/>
                <w:sz w:val="28"/>
                <w:szCs w:val="28"/>
                <w:rtl/>
                <w:lang w:eastAsia="ar-EG" w:bidi="ar-EG"/>
              </w:rPr>
              <w:t>غو وأوغندا وزامبيا وزمبابوي</w:t>
            </w:r>
          </w:p>
        </w:tc>
        <w:tc>
          <w:tcPr>
            <w:tcW w:w="1955" w:type="pct"/>
            <w:tcBorders>
              <w:top w:val="nil"/>
              <w:left w:val="nil"/>
              <w:bottom w:val="nil"/>
              <w:right w:val="nil"/>
            </w:tcBorders>
          </w:tcPr>
          <w:p w14:paraId="69865C71" w14:textId="6EA6B676" w:rsidR="00BD3831" w:rsidRPr="00CE1677" w:rsidRDefault="00BD3831" w:rsidP="00D02C02">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"1" إتاحة منبر للمبتكرين/المخترعين الشباب </w:t>
            </w:r>
            <w:r w:rsidR="00D02C02">
              <w:rPr>
                <w:rFonts w:ascii="Arabic Typesetting" w:eastAsia="Arabic Typesetting" w:hAnsi="Arabic Typesetting" w:cs="Arabic Typesetting" w:hint="cs"/>
                <w:color w:val="000000"/>
                <w:sz w:val="28"/>
                <w:szCs w:val="28"/>
                <w:rtl/>
                <w:lang w:eastAsia="ar-EG" w:bidi="ar-EG"/>
              </w:rPr>
              <w:t>الأفريقيين</w:t>
            </w:r>
            <w:r w:rsidRPr="00CE1677">
              <w:rPr>
                <w:rFonts w:ascii="Arabic Typesetting" w:eastAsia="Arabic Typesetting" w:hAnsi="Arabic Typesetting" w:cs="Arabic Typesetting"/>
                <w:color w:val="000000"/>
                <w:sz w:val="28"/>
                <w:szCs w:val="28"/>
                <w:rtl/>
                <w:lang w:eastAsia="ar-EG" w:bidi="ar-EG"/>
              </w:rPr>
              <w:t xml:space="preserve"> لتبادل الآراء والتجارب؛ "2" وتعريف المشاركين بنظام الملكية الفكرية واستخدام الملكية الفكرية لحماية الابتكارات وتطويرها وتسويقها؛ "3" وزيادة الإلمام بفوائد استخدام نظام الملكية الفكرية وتكاليفه من المنظور الوطني والإقليمي والدولي؛ "4" وإتاحة منتدى لتبادل المعرفة عن طريق جلسة تفاعلية مع محفزي الابتكار في منظومة الابتكار</w:t>
            </w:r>
          </w:p>
        </w:tc>
      </w:tr>
      <w:tr w:rsidR="00BD3831" w:rsidRPr="00CE1677" w14:paraId="626DA12B" w14:textId="77777777" w:rsidTr="00DF6715">
        <w:trPr>
          <w:cantSplit/>
          <w:trHeight w:val="315"/>
        </w:trPr>
        <w:tc>
          <w:tcPr>
            <w:tcW w:w="985" w:type="pct"/>
            <w:tcBorders>
              <w:top w:val="nil"/>
              <w:left w:val="nil"/>
              <w:bottom w:val="nil"/>
              <w:right w:val="nil"/>
            </w:tcBorders>
          </w:tcPr>
          <w:p w14:paraId="131A897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حلقة العمل الأقاليمية المشتركة بين الويبو </w:t>
            </w:r>
            <w:r>
              <w:rPr>
                <w:rFonts w:ascii="Arabic Typesetting" w:eastAsia="Arabic Typesetting" w:hAnsi="Arabic Typesetting" w:cs="Arabic Typesetting" w:hint="cs"/>
                <w:color w:val="000000"/>
                <w:sz w:val="28"/>
                <w:szCs w:val="28"/>
                <w:rtl/>
                <w:lang w:eastAsia="ar-EG" w:bidi="ar-EG"/>
              </w:rPr>
              <w:t>و</w:t>
            </w:r>
            <w:r w:rsidRPr="00CE1677">
              <w:rPr>
                <w:rFonts w:ascii="Arabic Typesetting" w:eastAsia="Arabic Typesetting" w:hAnsi="Arabic Typesetting" w:cs="Arabic Typesetting"/>
                <w:color w:val="000000"/>
                <w:sz w:val="28"/>
                <w:szCs w:val="28"/>
                <w:rtl/>
                <w:lang w:eastAsia="ar-EG" w:bidi="ar-EG"/>
              </w:rPr>
              <w:t>مكتب اليابان للبراءات والمكتب المغربي للملكية الصناعية والتجارية بشان إنفاذ الملكي</w:t>
            </w:r>
            <w:r>
              <w:rPr>
                <w:rFonts w:ascii="Arabic Typesetting" w:eastAsia="Arabic Typesetting" w:hAnsi="Arabic Typesetting" w:cs="Arabic Typesetting"/>
                <w:color w:val="000000"/>
                <w:sz w:val="28"/>
                <w:szCs w:val="28"/>
                <w:rtl/>
                <w:lang w:eastAsia="ar-EG" w:bidi="ar-EG"/>
              </w:rPr>
              <w:t>ة الفكرية لفائدة موظفي الجمارك</w:t>
            </w:r>
          </w:p>
        </w:tc>
        <w:tc>
          <w:tcPr>
            <w:tcW w:w="654" w:type="pct"/>
            <w:tcBorders>
              <w:top w:val="nil"/>
              <w:left w:val="nil"/>
              <w:bottom w:val="nil"/>
              <w:right w:val="nil"/>
            </w:tcBorders>
          </w:tcPr>
          <w:p w14:paraId="7C19086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17 إلى 19 مايو 2016</w:t>
            </w:r>
          </w:p>
        </w:tc>
        <w:tc>
          <w:tcPr>
            <w:tcW w:w="1406" w:type="pct"/>
            <w:tcBorders>
              <w:top w:val="nil"/>
              <w:left w:val="nil"/>
              <w:bottom w:val="nil"/>
              <w:right w:val="nil"/>
            </w:tcBorders>
          </w:tcPr>
          <w:p w14:paraId="6765282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المغرب/ 21 مشاركاً من مصر وغابون وغانا وغينيا وكينيا وموريتانيا ونيجيريا والسنغال وجنوب أفريقيا وتونس</w:t>
            </w:r>
          </w:p>
        </w:tc>
        <w:tc>
          <w:tcPr>
            <w:tcW w:w="1955" w:type="pct"/>
            <w:tcBorders>
              <w:top w:val="nil"/>
              <w:left w:val="nil"/>
              <w:bottom w:val="nil"/>
              <w:right w:val="nil"/>
            </w:tcBorders>
          </w:tcPr>
          <w:p w14:paraId="2EC1F8A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توسيع الإلمام بإنفاذ الملكية الفكرية على الحدود وصعوباته؛ "2" وزيادة فعالية التدابير المنفذة على الحدود بما يتماشى مع الجزء الثالث من اتفاق تريبس لفائدة التنمية وحماية المستهلكين؛ "3" وتبادل الخبرات والمعلومات بما في ذلك آراء اليابان</w:t>
            </w:r>
          </w:p>
        </w:tc>
      </w:tr>
      <w:tr w:rsidR="00BD3831" w:rsidRPr="00CE1677" w14:paraId="0847CBC2" w14:textId="77777777" w:rsidTr="00DF6715">
        <w:trPr>
          <w:cantSplit/>
          <w:trHeight w:val="315"/>
        </w:trPr>
        <w:tc>
          <w:tcPr>
            <w:tcW w:w="985" w:type="pct"/>
            <w:tcBorders>
              <w:top w:val="nil"/>
              <w:left w:val="nil"/>
              <w:bottom w:val="nil"/>
              <w:right w:val="nil"/>
            </w:tcBorders>
          </w:tcPr>
          <w:p w14:paraId="22CCE1C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lastRenderedPageBreak/>
              <w:t>شهادة ماجستير في الملكية الفكرية مقدَّمة بالاشتراك بين الويبو والمنظمة الأفريقية للملكية الفكرية وجامعة ياوندي 2</w:t>
            </w:r>
          </w:p>
        </w:tc>
        <w:tc>
          <w:tcPr>
            <w:tcW w:w="654" w:type="pct"/>
            <w:tcBorders>
              <w:top w:val="nil"/>
              <w:left w:val="nil"/>
              <w:bottom w:val="nil"/>
              <w:right w:val="nil"/>
            </w:tcBorders>
          </w:tcPr>
          <w:p w14:paraId="28FEBCD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يناير إلى يونيو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406" w:type="pct"/>
            <w:tcBorders>
              <w:top w:val="nil"/>
              <w:left w:val="nil"/>
              <w:bottom w:val="nil"/>
              <w:right w:val="nil"/>
            </w:tcBorders>
          </w:tcPr>
          <w:p w14:paraId="4F9EDE9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الكاميرون/ 10 منح دراسية لمتدربين مختارين من بنن وبوركينا فاصو والكاميرون وجزر القمر وغابون وغينيا والنيجر والسنغال وتوغو ورواندا</w:t>
            </w:r>
          </w:p>
        </w:tc>
        <w:tc>
          <w:tcPr>
            <w:tcW w:w="1955" w:type="pct"/>
            <w:tcBorders>
              <w:top w:val="nil"/>
              <w:left w:val="nil"/>
              <w:bottom w:val="nil"/>
              <w:right w:val="nil"/>
            </w:tcBorders>
          </w:tcPr>
          <w:p w14:paraId="1CCD3A71" w14:textId="71A5911F"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"1" تقديم تدريب عام ومتخصص حول الملكية الفكرية للمسؤولين الحكوميين والمتخصصين في مجال الملكية الفكرية؛ "2" وتوفير فرص لتنمية الموارد البشرية وبناء القدرات من خلال التدريب والتدريس في مجال الملكية الفكرية لأشخاص يعملون في مجال البحث والتدريس في موضوع الملكية الفكرية في جامعات ومؤسسات </w:t>
            </w:r>
            <w:r w:rsidR="00D02C02">
              <w:rPr>
                <w:rFonts w:ascii="Arabic Typesetting" w:eastAsia="Arabic Typesetting" w:hAnsi="Arabic Typesetting" w:cs="Arabic Typesetting" w:hint="cs"/>
                <w:color w:val="000000"/>
                <w:sz w:val="28"/>
                <w:szCs w:val="28"/>
                <w:rtl/>
                <w:lang w:eastAsia="ar-EG" w:bidi="ar-EG"/>
              </w:rPr>
              <w:t>أخرى</w:t>
            </w:r>
          </w:p>
        </w:tc>
      </w:tr>
      <w:tr w:rsidR="00BD3831" w:rsidRPr="00CE1677" w14:paraId="56E83EFB" w14:textId="77777777" w:rsidTr="00DF6715">
        <w:trPr>
          <w:cantSplit/>
          <w:trHeight w:val="315"/>
        </w:trPr>
        <w:tc>
          <w:tcPr>
            <w:tcW w:w="985" w:type="pct"/>
            <w:tcBorders>
              <w:top w:val="nil"/>
              <w:left w:val="nil"/>
              <w:bottom w:val="nil"/>
              <w:right w:val="nil"/>
            </w:tcBorders>
          </w:tcPr>
          <w:p w14:paraId="456088A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شهادة ماجستير في الملكية الفكرية مقدَّمة بالاشتراك بين الويبو والمنظمة الأفريقية الإقليمية للملكية الفكرية وجامعة أفريقيا</w:t>
            </w:r>
          </w:p>
        </w:tc>
        <w:tc>
          <w:tcPr>
            <w:tcW w:w="654" w:type="pct"/>
            <w:tcBorders>
              <w:top w:val="nil"/>
              <w:left w:val="nil"/>
              <w:bottom w:val="nil"/>
              <w:right w:val="nil"/>
            </w:tcBorders>
          </w:tcPr>
          <w:p w14:paraId="23662FF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مايو إلى ديسمبر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406" w:type="pct"/>
            <w:tcBorders>
              <w:top w:val="nil"/>
              <w:left w:val="nil"/>
              <w:bottom w:val="nil"/>
              <w:right w:val="nil"/>
            </w:tcBorders>
          </w:tcPr>
          <w:p w14:paraId="224B591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زمبابوي/ 10 منح دراسية لمجموعة مختارة من المتدربين من بوتسوانا وبوروندي وغانا وكينيا وليبيريا وملاوي وموزامبيق ونيجيريا وأوغندا وزمبابوي</w:t>
            </w:r>
          </w:p>
        </w:tc>
        <w:tc>
          <w:tcPr>
            <w:tcW w:w="1955" w:type="pct"/>
            <w:tcBorders>
              <w:top w:val="nil"/>
              <w:left w:val="nil"/>
              <w:bottom w:val="nil"/>
              <w:right w:val="nil"/>
            </w:tcBorders>
          </w:tcPr>
          <w:p w14:paraId="3FA5CE4D" w14:textId="1A33ED03"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"1" تقديم تدريب عام ومتخصص حول الملكية الفكرية للمسؤولين الحكوميين والمتخصصين في مجال الملكية الفكرية؛ "2" وتوفير فرص لتنمية الموارد البشرية وبناء القدرات من خلال التدريب والتدريس في مجال الملكية الفكرية لأشخاص يعملون في مجال البحث والتدريس في موضوع الملكية الفكرية في جامعات ومؤسسات </w:t>
            </w:r>
            <w:r w:rsidR="00D02C02">
              <w:rPr>
                <w:rFonts w:ascii="Arabic Typesetting" w:eastAsia="Arabic Typesetting" w:hAnsi="Arabic Typesetting" w:cs="Arabic Typesetting" w:hint="cs"/>
                <w:color w:val="000000"/>
                <w:sz w:val="28"/>
                <w:szCs w:val="28"/>
                <w:rtl/>
                <w:lang w:eastAsia="ar-EG" w:bidi="ar-EG"/>
              </w:rPr>
              <w:t>أخرى</w:t>
            </w:r>
          </w:p>
        </w:tc>
      </w:tr>
      <w:tr w:rsidR="00BD3831" w:rsidRPr="00CE1677" w14:paraId="7BC122FB" w14:textId="77777777" w:rsidTr="00DF6715">
        <w:trPr>
          <w:cantSplit/>
          <w:trHeight w:val="315"/>
        </w:trPr>
        <w:tc>
          <w:tcPr>
            <w:tcW w:w="985" w:type="pct"/>
            <w:tcBorders>
              <w:top w:val="nil"/>
              <w:left w:val="nil"/>
              <w:bottom w:val="nil"/>
              <w:right w:val="nil"/>
            </w:tcBorders>
          </w:tcPr>
          <w:p w14:paraId="26C5095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 xml:space="preserve">مدرسة الويبو-جنوب أفريقيا </w:t>
            </w:r>
            <w:r w:rsidRPr="00CE1677">
              <w:rPr>
                <w:rFonts w:ascii="Arabic Typesetting" w:eastAsia="Arabic Typesetting" w:hAnsi="Arabic Typesetting" w:cs="Arabic Typesetting"/>
                <w:color w:val="000000"/>
                <w:sz w:val="28"/>
                <w:szCs w:val="28"/>
                <w:rtl/>
                <w:lang w:eastAsia="ar-EG" w:bidi="ar-EG"/>
              </w:rPr>
              <w:t>الصيفية المتقدمة</w:t>
            </w:r>
            <w:r>
              <w:rPr>
                <w:rFonts w:ascii="Arabic Typesetting" w:eastAsia="Arabic Typesetting" w:hAnsi="Arabic Typesetting" w:cs="Arabic Typesetting" w:hint="cs"/>
                <w:color w:val="000000"/>
                <w:sz w:val="28"/>
                <w:szCs w:val="28"/>
                <w:rtl/>
                <w:lang w:eastAsia="ar-EG" w:bidi="ar-EG"/>
              </w:rPr>
              <w:t xml:space="preserve"> بشأن</w:t>
            </w:r>
            <w:r w:rsidRPr="00CE1677">
              <w:rPr>
                <w:rFonts w:ascii="Arabic Typesetting" w:eastAsia="Arabic Typesetting" w:hAnsi="Arabic Typesetting" w:cs="Arabic Typesetting"/>
                <w:color w:val="000000"/>
                <w:sz w:val="28"/>
                <w:szCs w:val="28"/>
                <w:rtl/>
                <w:lang w:eastAsia="ar-EG" w:bidi="ar-EG"/>
              </w:rPr>
              <w:t xml:space="preserve"> الملكية الفكرية ونقل</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التكنولوجيا</w:t>
            </w:r>
          </w:p>
        </w:tc>
        <w:tc>
          <w:tcPr>
            <w:tcW w:w="654" w:type="pct"/>
            <w:tcBorders>
              <w:top w:val="nil"/>
              <w:left w:val="nil"/>
              <w:bottom w:val="nil"/>
              <w:right w:val="nil"/>
            </w:tcBorders>
          </w:tcPr>
          <w:p w14:paraId="70030BA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5 إلى 15 ديسمبر 2016</w:t>
            </w:r>
          </w:p>
        </w:tc>
        <w:tc>
          <w:tcPr>
            <w:tcW w:w="1406" w:type="pct"/>
            <w:tcBorders>
              <w:top w:val="nil"/>
              <w:left w:val="nil"/>
              <w:bottom w:val="nil"/>
              <w:right w:val="nil"/>
            </w:tcBorders>
          </w:tcPr>
          <w:p w14:paraId="3FE27AA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جنوب أفريقيا/ 10 منح دراسية لمتدربين مختارين من بوتسوانا والكاميرون وغانا وكينيا وملاوي وناميبيا ونيجيريا وسوازيلند وأوغندا وزمبابوي</w:t>
            </w:r>
          </w:p>
        </w:tc>
        <w:tc>
          <w:tcPr>
            <w:tcW w:w="1955" w:type="pct"/>
            <w:tcBorders>
              <w:top w:val="nil"/>
              <w:left w:val="nil"/>
              <w:bottom w:val="nil"/>
              <w:right w:val="nil"/>
            </w:tcBorders>
          </w:tcPr>
          <w:p w14:paraId="6E883E0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إتاحة فرصة لكبار الطلاب (المتخرجون والملتحقون بالتعليم العالي) و</w:t>
            </w:r>
            <w:r>
              <w:rPr>
                <w:rFonts w:ascii="Arabic Typesetting" w:eastAsia="Arabic Typesetting" w:hAnsi="Arabic Typesetting" w:cs="Arabic Typesetting"/>
                <w:color w:val="000000"/>
                <w:sz w:val="28"/>
                <w:szCs w:val="28"/>
                <w:rtl/>
                <w:lang w:eastAsia="ar-EG" w:bidi="ar-EG"/>
              </w:rPr>
              <w:t>المهنيين الشباب للقيام بما يلي:</w:t>
            </w:r>
            <w:r w:rsidRPr="00CE1677">
              <w:rPr>
                <w:rFonts w:ascii="Arabic Typesetting" w:eastAsia="Arabic Typesetting" w:hAnsi="Arabic Typesetting" w:cs="Arabic Typesetting"/>
                <w:color w:val="000000"/>
                <w:sz w:val="28"/>
                <w:szCs w:val="28"/>
                <w:rtl/>
                <w:lang w:eastAsia="ar-EG" w:bidi="ar-EG"/>
              </w:rPr>
              <w:t xml:space="preserve"> "1"</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 xml:space="preserve">اكتساب معرفة أعمق </w:t>
            </w:r>
            <w:r>
              <w:rPr>
                <w:rFonts w:ascii="Arabic Typesetting" w:eastAsia="Arabic Typesetting" w:hAnsi="Arabic Typesetting" w:cs="Arabic Typesetting" w:hint="cs"/>
                <w:color w:val="000000"/>
                <w:sz w:val="28"/>
                <w:szCs w:val="28"/>
                <w:rtl/>
                <w:lang w:eastAsia="ar-EG" w:bidi="ar-EG"/>
              </w:rPr>
              <w:t>ل</w:t>
            </w:r>
            <w:r w:rsidRPr="00CE1677">
              <w:rPr>
                <w:rFonts w:ascii="Arabic Typesetting" w:eastAsia="Arabic Typesetting" w:hAnsi="Arabic Typesetting" w:cs="Arabic Typesetting"/>
                <w:color w:val="000000"/>
                <w:sz w:val="28"/>
                <w:szCs w:val="28"/>
                <w:rtl/>
                <w:lang w:eastAsia="ar-EG" w:bidi="ar-EG"/>
              </w:rPr>
              <w:t>لعلاقة بين الملكية الفكرية ونقل التكنولوجيا؛ "2" ومناقشة أمور الملكية الفكرية المتعلقة بمفاوضات الترخيص من خلال الدراسات الإفرادية وأنشطة المحاكاة</w:t>
            </w:r>
          </w:p>
        </w:tc>
      </w:tr>
      <w:tr w:rsidR="00BD3831" w:rsidRPr="00CE1677" w14:paraId="1B5A0771" w14:textId="77777777" w:rsidTr="00DF6715">
        <w:trPr>
          <w:cantSplit/>
          <w:trHeight w:val="315"/>
        </w:trPr>
        <w:tc>
          <w:tcPr>
            <w:tcW w:w="5000" w:type="pct"/>
            <w:gridSpan w:val="4"/>
            <w:tcBorders>
              <w:top w:val="nil"/>
              <w:left w:val="nil"/>
              <w:bottom w:val="nil"/>
              <w:right w:val="nil"/>
            </w:tcBorders>
            <w:shd w:val="clear" w:color="auto" w:fill="C6D9F1"/>
          </w:tcPr>
          <w:p w14:paraId="3B67E21B"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Pr>
                <w:rFonts w:ascii="Arabic Typesetting" w:eastAsia="Arabic Typesetting" w:hAnsi="Arabic Typesetting" w:cs="Arabic Typesetting" w:hint="cs"/>
                <w:color w:val="000000"/>
                <w:sz w:val="28"/>
                <w:szCs w:val="28"/>
                <w:rtl/>
                <w:lang w:eastAsia="ar-EG" w:bidi="ar-EG"/>
              </w:rPr>
              <w:t>ه2.4</w:t>
            </w:r>
            <w:r w:rsidRPr="00CE1677">
              <w:rPr>
                <w:rFonts w:ascii="Arabic Typesetting" w:eastAsia="Arabic Typesetting" w:hAnsi="Arabic Typesetting" w:cs="Arabic Typesetting"/>
                <w:color w:val="000000"/>
                <w:sz w:val="28"/>
                <w:szCs w:val="28"/>
                <w:rtl/>
                <w:lang w:eastAsia="ar-EG" w:bidi="ar-EG"/>
              </w:rPr>
              <w:t xml:space="preserve"> نفاذ محسّن إلى المعلومات المتعلقة بالملكية الفكرية واستخدامها من قبل مؤسسات الملكية الفكرية والجمهور لتشجيع الابتكار</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والإبداع</w:t>
            </w:r>
          </w:p>
        </w:tc>
      </w:tr>
      <w:tr w:rsidR="00BD3831" w:rsidRPr="00CE1677" w14:paraId="19CAB7F5" w14:textId="77777777" w:rsidTr="00DF6715">
        <w:trPr>
          <w:cantSplit/>
          <w:trHeight w:val="315"/>
        </w:trPr>
        <w:tc>
          <w:tcPr>
            <w:tcW w:w="985" w:type="pct"/>
            <w:tcBorders>
              <w:top w:val="nil"/>
              <w:left w:val="nil"/>
              <w:bottom w:val="nil"/>
              <w:right w:val="nil"/>
            </w:tcBorders>
            <w:vAlign w:val="center"/>
          </w:tcPr>
          <w:p w14:paraId="67DC4786"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54" w:type="pct"/>
            <w:tcBorders>
              <w:top w:val="nil"/>
              <w:left w:val="nil"/>
              <w:bottom w:val="nil"/>
              <w:right w:val="nil"/>
            </w:tcBorders>
            <w:vAlign w:val="center"/>
          </w:tcPr>
          <w:p w14:paraId="08B0D8D8"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406" w:type="pct"/>
            <w:tcBorders>
              <w:top w:val="nil"/>
              <w:left w:val="nil"/>
              <w:bottom w:val="nil"/>
              <w:right w:val="nil"/>
            </w:tcBorders>
            <w:vAlign w:val="center"/>
          </w:tcPr>
          <w:p w14:paraId="037B7EEF"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1955" w:type="pct"/>
            <w:tcBorders>
              <w:top w:val="nil"/>
              <w:left w:val="nil"/>
              <w:bottom w:val="nil"/>
              <w:right w:val="nil"/>
            </w:tcBorders>
            <w:vAlign w:val="center"/>
          </w:tcPr>
          <w:p w14:paraId="33C14D99"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63A3E0B6" w14:textId="77777777" w:rsidTr="00DF6715">
        <w:trPr>
          <w:cantSplit/>
          <w:trHeight w:val="432"/>
        </w:trPr>
        <w:tc>
          <w:tcPr>
            <w:tcW w:w="985" w:type="pct"/>
            <w:tcBorders>
              <w:top w:val="nil"/>
              <w:left w:val="nil"/>
              <w:bottom w:val="nil"/>
              <w:right w:val="nil"/>
            </w:tcBorders>
          </w:tcPr>
          <w:p w14:paraId="10FFEF86" w14:textId="77777777" w:rsidR="00BD3831" w:rsidRPr="00CE1677"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لتدريب المدربين على الاستخدام الفعال للمعلومات التقنية والعليمة وتقييم المشروع الوطني لمراكز دعم التكنولوجيا والابتكار</w:t>
            </w:r>
          </w:p>
        </w:tc>
        <w:tc>
          <w:tcPr>
            <w:tcW w:w="654" w:type="pct"/>
            <w:tcBorders>
              <w:top w:val="nil"/>
              <w:left w:val="nil"/>
              <w:bottom w:val="nil"/>
              <w:right w:val="nil"/>
            </w:tcBorders>
          </w:tcPr>
          <w:p w14:paraId="4594A007" w14:textId="77777777" w:rsidR="00BD3831" w:rsidRPr="00CE1677"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5 إلى 7 أبريل 2016</w:t>
            </w:r>
          </w:p>
        </w:tc>
        <w:tc>
          <w:tcPr>
            <w:tcW w:w="1406" w:type="pct"/>
            <w:tcBorders>
              <w:top w:val="nil"/>
              <w:left w:val="nil"/>
              <w:bottom w:val="nil"/>
              <w:right w:val="nil"/>
            </w:tcBorders>
          </w:tcPr>
          <w:p w14:paraId="71CBF6C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نيجيريا/ نحو 50 مشاركاً محلياً</w:t>
            </w:r>
          </w:p>
        </w:tc>
        <w:tc>
          <w:tcPr>
            <w:tcW w:w="1955" w:type="pct"/>
            <w:tcBorders>
              <w:top w:val="nil"/>
              <w:left w:val="nil"/>
              <w:bottom w:val="nil"/>
              <w:right w:val="nil"/>
            </w:tcBorders>
          </w:tcPr>
          <w:p w14:paraId="38C7CA2D" w14:textId="77777777" w:rsidR="00BD3831" w:rsidRPr="00CE1677" w:rsidRDefault="00BD3831" w:rsidP="0031289D">
            <w:pPr>
              <w:keepNext/>
              <w:keepLines/>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تعزيز الشبكة المحلية لمراكز دع</w:t>
            </w:r>
            <w:r>
              <w:rPr>
                <w:rFonts w:ascii="Arabic Typesetting" w:eastAsia="Arabic Typesetting" w:hAnsi="Arabic Typesetting" w:cs="Arabic Typesetting"/>
                <w:color w:val="000000"/>
                <w:sz w:val="28"/>
                <w:szCs w:val="28"/>
                <w:rtl/>
                <w:lang w:eastAsia="ar-EG" w:bidi="ar-EG"/>
              </w:rPr>
              <w:t>م التكنولوجيا والابتكار عن طريق</w:t>
            </w:r>
            <w:r w:rsidRPr="00CE1677">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ت</w:t>
            </w:r>
            <w:r w:rsidRPr="00CE1677">
              <w:rPr>
                <w:rFonts w:ascii="Arabic Typesetting" w:eastAsia="Arabic Typesetting" w:hAnsi="Arabic Typesetting" w:cs="Arabic Typesetting"/>
                <w:color w:val="000000"/>
                <w:sz w:val="28"/>
                <w:szCs w:val="28"/>
                <w:rtl/>
                <w:lang w:eastAsia="ar-EG" w:bidi="ar-EG"/>
              </w:rPr>
              <w:t>وفير تدريب على الاستخدام الفعال لمعلومات البراءات والمنشورات العلمية</w:t>
            </w:r>
          </w:p>
        </w:tc>
      </w:tr>
      <w:tr w:rsidR="00BD3831" w:rsidRPr="00CE1677" w14:paraId="1CB4F754" w14:textId="77777777" w:rsidTr="00DF6715">
        <w:trPr>
          <w:cantSplit/>
          <w:trHeight w:val="315"/>
        </w:trPr>
        <w:tc>
          <w:tcPr>
            <w:tcW w:w="985" w:type="pct"/>
            <w:tcBorders>
              <w:top w:val="nil"/>
              <w:left w:val="nil"/>
              <w:bottom w:val="nil"/>
              <w:right w:val="nil"/>
            </w:tcBorders>
          </w:tcPr>
          <w:p w14:paraId="20F0811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حلقات عمل لمر</w:t>
            </w:r>
            <w:r>
              <w:rPr>
                <w:rFonts w:ascii="Arabic Typesetting" w:eastAsia="Arabic Typesetting" w:hAnsi="Arabic Typesetting" w:cs="Arabic Typesetting" w:hint="cs"/>
                <w:color w:val="000000"/>
                <w:sz w:val="28"/>
                <w:szCs w:val="28"/>
                <w:rtl/>
                <w:lang w:eastAsia="ar-EG" w:bidi="ar-EG"/>
              </w:rPr>
              <w:t>ا</w:t>
            </w:r>
            <w:r w:rsidRPr="00CE1677">
              <w:rPr>
                <w:rFonts w:ascii="Arabic Typesetting" w:eastAsia="Arabic Typesetting" w:hAnsi="Arabic Typesetting" w:cs="Arabic Typesetting"/>
                <w:color w:val="000000"/>
                <w:sz w:val="28"/>
                <w:szCs w:val="28"/>
                <w:rtl/>
                <w:lang w:eastAsia="ar-EG" w:bidi="ar-EG"/>
              </w:rPr>
              <w:t>كز دعم التكنولوجيا والابتكار بشأن الاستخدام الفعال للمعلومات التقنية والعلمية للمشروع الوطني لمر</w:t>
            </w:r>
            <w:r>
              <w:rPr>
                <w:rFonts w:ascii="Arabic Typesetting" w:eastAsia="Arabic Typesetting" w:hAnsi="Arabic Typesetting" w:cs="Arabic Typesetting" w:hint="cs"/>
                <w:color w:val="000000"/>
                <w:sz w:val="28"/>
                <w:szCs w:val="28"/>
                <w:rtl/>
                <w:lang w:eastAsia="ar-EG" w:bidi="ar-EG"/>
              </w:rPr>
              <w:t>ا</w:t>
            </w:r>
            <w:r w:rsidRPr="00CE1677">
              <w:rPr>
                <w:rFonts w:ascii="Arabic Typesetting" w:eastAsia="Arabic Typesetting" w:hAnsi="Arabic Typesetting" w:cs="Arabic Typesetting"/>
                <w:color w:val="000000"/>
                <w:sz w:val="28"/>
                <w:szCs w:val="28"/>
                <w:rtl/>
                <w:lang w:eastAsia="ar-EG" w:bidi="ar-EG"/>
              </w:rPr>
              <w:t>كز دعم التكنولوجيا والابتكار</w:t>
            </w:r>
          </w:p>
        </w:tc>
        <w:tc>
          <w:tcPr>
            <w:tcW w:w="654" w:type="pct"/>
            <w:tcBorders>
              <w:top w:val="nil"/>
              <w:left w:val="nil"/>
              <w:bottom w:val="nil"/>
              <w:right w:val="nil"/>
            </w:tcBorders>
          </w:tcPr>
          <w:p w14:paraId="4594C9BC"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 إلى 6 مايو 2016</w:t>
            </w:r>
          </w:p>
        </w:tc>
        <w:tc>
          <w:tcPr>
            <w:tcW w:w="1406" w:type="pct"/>
            <w:tcBorders>
              <w:top w:val="nil"/>
              <w:left w:val="nil"/>
              <w:bottom w:val="nil"/>
              <w:right w:val="nil"/>
            </w:tcBorders>
          </w:tcPr>
          <w:p w14:paraId="780C199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تنزانيا المتحدة/ نحو</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80</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مشاركاً</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محلياً</w:t>
            </w:r>
          </w:p>
        </w:tc>
        <w:tc>
          <w:tcPr>
            <w:tcW w:w="1955" w:type="pct"/>
            <w:tcBorders>
              <w:top w:val="nil"/>
              <w:left w:val="nil"/>
              <w:bottom w:val="nil"/>
              <w:right w:val="nil"/>
            </w:tcBorders>
          </w:tcPr>
          <w:p w14:paraId="033ED66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تعزيز الشبكة المحلية لمراكز دعم التكنو</w:t>
            </w:r>
            <w:r>
              <w:rPr>
                <w:rFonts w:ascii="Arabic Typesetting" w:eastAsia="Arabic Typesetting" w:hAnsi="Arabic Typesetting" w:cs="Arabic Typesetting"/>
                <w:color w:val="000000"/>
                <w:sz w:val="28"/>
                <w:szCs w:val="28"/>
                <w:rtl/>
                <w:lang w:eastAsia="ar-EG" w:bidi="ar-EG"/>
              </w:rPr>
              <w:t>لوجيا والابتكار عن طريق</w:t>
            </w:r>
            <w:r w:rsidRPr="00CE1677">
              <w:rPr>
                <w:rFonts w:ascii="Arabic Typesetting" w:eastAsia="Arabic Typesetting" w:hAnsi="Arabic Typesetting" w:cs="Arabic Typesetting"/>
                <w:color w:val="000000"/>
                <w:sz w:val="28"/>
                <w:szCs w:val="28"/>
                <w:rtl/>
                <w:lang w:eastAsia="ar-EG" w:bidi="ar-EG"/>
              </w:rPr>
              <w:t xml:space="preserve"> </w:t>
            </w:r>
            <w:r>
              <w:rPr>
                <w:rFonts w:ascii="Arabic Typesetting" w:eastAsia="Arabic Typesetting" w:hAnsi="Arabic Typesetting" w:cs="Arabic Typesetting" w:hint="cs"/>
                <w:color w:val="000000"/>
                <w:sz w:val="28"/>
                <w:szCs w:val="28"/>
                <w:rtl/>
                <w:lang w:eastAsia="ar-EG" w:bidi="ar-EG"/>
              </w:rPr>
              <w:t>ت</w:t>
            </w:r>
            <w:r w:rsidRPr="00CE1677">
              <w:rPr>
                <w:rFonts w:ascii="Arabic Typesetting" w:eastAsia="Arabic Typesetting" w:hAnsi="Arabic Typesetting" w:cs="Arabic Typesetting"/>
                <w:color w:val="000000"/>
                <w:sz w:val="28"/>
                <w:szCs w:val="28"/>
                <w:rtl/>
                <w:lang w:eastAsia="ar-EG" w:bidi="ar-EG"/>
              </w:rPr>
              <w:t>وفير تدريب على الاستخدام الفعال لمعلومات البراءات والمنشورات العلمية</w:t>
            </w:r>
          </w:p>
        </w:tc>
      </w:tr>
      <w:tr w:rsidR="00BD3831" w:rsidRPr="00CE1677" w14:paraId="6A98B397" w14:textId="77777777" w:rsidTr="00DF6715">
        <w:trPr>
          <w:cantSplit/>
          <w:trHeight w:val="315"/>
        </w:trPr>
        <w:tc>
          <w:tcPr>
            <w:tcW w:w="985" w:type="pct"/>
            <w:tcBorders>
              <w:top w:val="nil"/>
              <w:left w:val="nil"/>
              <w:bottom w:val="nil"/>
              <w:right w:val="nil"/>
            </w:tcBorders>
          </w:tcPr>
          <w:p w14:paraId="6581224A" w14:textId="0DDC2D7E" w:rsidR="00BD3831" w:rsidRPr="00CE1677" w:rsidRDefault="00A017F6"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حلقة عمل بشأن استراتيجيات وتقنيات البحث عن البراءات وإنشاء مراكز دعم التكنولوجيا والابتكار</w:t>
            </w:r>
          </w:p>
        </w:tc>
        <w:tc>
          <w:tcPr>
            <w:tcW w:w="654" w:type="pct"/>
            <w:tcBorders>
              <w:top w:val="nil"/>
              <w:left w:val="nil"/>
              <w:bottom w:val="nil"/>
              <w:right w:val="nil"/>
            </w:tcBorders>
          </w:tcPr>
          <w:p w14:paraId="260D5A62" w14:textId="7357D9C7" w:rsidR="00BD3831" w:rsidRPr="00A017F6" w:rsidRDefault="00A017F6" w:rsidP="0031289D">
            <w:pPr>
              <w:bidi/>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10 و11 مارس 2016</w:t>
            </w:r>
          </w:p>
        </w:tc>
        <w:tc>
          <w:tcPr>
            <w:tcW w:w="1406" w:type="pct"/>
            <w:tcBorders>
              <w:top w:val="nil"/>
              <w:left w:val="nil"/>
              <w:bottom w:val="nil"/>
              <w:right w:val="nil"/>
            </w:tcBorders>
          </w:tcPr>
          <w:p w14:paraId="695131D9" w14:textId="2384CD4A" w:rsidR="00BD3831" w:rsidRPr="00CE1677" w:rsidRDefault="00A017F6"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بوتسوانا/ نحو 50 مشاركاً محلياً</w:t>
            </w:r>
          </w:p>
        </w:tc>
        <w:tc>
          <w:tcPr>
            <w:tcW w:w="1955" w:type="pct"/>
            <w:tcBorders>
              <w:top w:val="nil"/>
              <w:left w:val="nil"/>
              <w:bottom w:val="nil"/>
              <w:right w:val="nil"/>
            </w:tcBorders>
          </w:tcPr>
          <w:p w14:paraId="6AF24046" w14:textId="2F63D3E3" w:rsidR="00BD3831" w:rsidRPr="00CE1677" w:rsidRDefault="00A017F6"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"1" تدريب موظفي مراكز دعم التكنولوجيا والابتكار وغيرهم من أصحاب المصلحة على قواعد البيانات الخاصة بمنشورات البراءات والمنشورات العلمية؛ "2" وتقييم استيفاء مركز دعم التكنولوجيا والابتكار لشروط المستوى الأول من الاستدامة</w:t>
            </w:r>
          </w:p>
        </w:tc>
      </w:tr>
      <w:tr w:rsidR="00BD3831" w:rsidRPr="00CE1677" w14:paraId="2EDCF628" w14:textId="77777777" w:rsidTr="00DF6715">
        <w:trPr>
          <w:cantSplit/>
          <w:trHeight w:val="315"/>
        </w:trPr>
        <w:tc>
          <w:tcPr>
            <w:tcW w:w="5000" w:type="pct"/>
            <w:gridSpan w:val="4"/>
            <w:tcBorders>
              <w:top w:val="nil"/>
              <w:left w:val="nil"/>
              <w:bottom w:val="nil"/>
              <w:right w:val="nil"/>
            </w:tcBorders>
            <w:shd w:val="clear" w:color="auto" w:fill="C6D9F1"/>
          </w:tcPr>
          <w:p w14:paraId="2784DB47"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Pr>
                <w:rFonts w:ascii="Arabic Typesetting" w:eastAsia="Arabic Typesetting" w:hAnsi="Arabic Typesetting" w:cs="Arabic Typesetting" w:hint="cs"/>
                <w:color w:val="000000"/>
                <w:sz w:val="28"/>
                <w:szCs w:val="28"/>
                <w:rtl/>
                <w:lang w:eastAsia="ar-EG" w:bidi="ar-EG"/>
              </w:rPr>
              <w:t xml:space="preserve">ه4.4 </w:t>
            </w:r>
            <w:r w:rsidRPr="00CE1677">
              <w:rPr>
                <w:rFonts w:ascii="Arabic Typesetting" w:eastAsia="Arabic Typesetting" w:hAnsi="Arabic Typesetting" w:cs="Arabic Typesetting"/>
                <w:color w:val="000000"/>
                <w:sz w:val="28"/>
                <w:szCs w:val="28"/>
                <w:rtl/>
                <w:lang w:eastAsia="ar-EG" w:bidi="ar-EG"/>
              </w:rPr>
              <w:t>‏بنية تحتية تقنية ومعرفية معزّزة لمكاتب الملكية الفكرية وسائر مؤسسات الملكية الفكرية بما يؤدي إلى خدمات أفضل (بتكلفة أقل وسرعة أعلى وجودة أحسن) لأص</w:t>
            </w:r>
            <w:r>
              <w:rPr>
                <w:rFonts w:ascii="Arabic Typesetting" w:eastAsia="Arabic Typesetting" w:hAnsi="Arabic Typesetting" w:cs="Arabic Typesetting"/>
                <w:color w:val="000000"/>
                <w:sz w:val="28"/>
                <w:szCs w:val="28"/>
                <w:rtl/>
                <w:lang w:eastAsia="ar-EG" w:bidi="ar-EG"/>
              </w:rPr>
              <w:t>حاب المصلحة الذين يتعاملون معها</w:t>
            </w:r>
          </w:p>
        </w:tc>
      </w:tr>
      <w:tr w:rsidR="00BD3831" w:rsidRPr="00CE1677" w14:paraId="63D3A0F0" w14:textId="77777777" w:rsidTr="00DF6715">
        <w:trPr>
          <w:cantSplit/>
          <w:trHeight w:val="315"/>
        </w:trPr>
        <w:tc>
          <w:tcPr>
            <w:tcW w:w="985" w:type="pct"/>
            <w:tcBorders>
              <w:top w:val="nil"/>
              <w:left w:val="nil"/>
              <w:bottom w:val="nil"/>
              <w:right w:val="nil"/>
            </w:tcBorders>
            <w:vAlign w:val="center"/>
          </w:tcPr>
          <w:p w14:paraId="6DDC1B52"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54" w:type="pct"/>
            <w:tcBorders>
              <w:top w:val="nil"/>
              <w:left w:val="nil"/>
              <w:bottom w:val="nil"/>
              <w:right w:val="nil"/>
            </w:tcBorders>
            <w:vAlign w:val="center"/>
          </w:tcPr>
          <w:p w14:paraId="3010FADF"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406" w:type="pct"/>
            <w:tcBorders>
              <w:top w:val="nil"/>
              <w:left w:val="nil"/>
              <w:bottom w:val="nil"/>
              <w:right w:val="nil"/>
            </w:tcBorders>
            <w:vAlign w:val="center"/>
          </w:tcPr>
          <w:p w14:paraId="16750E03"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1955" w:type="pct"/>
            <w:tcBorders>
              <w:top w:val="nil"/>
              <w:left w:val="nil"/>
              <w:bottom w:val="nil"/>
              <w:right w:val="nil"/>
            </w:tcBorders>
            <w:vAlign w:val="center"/>
          </w:tcPr>
          <w:p w14:paraId="23A74A21"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115E9E5E" w14:textId="77777777" w:rsidTr="00DF6715">
        <w:trPr>
          <w:cantSplit/>
          <w:trHeight w:val="315"/>
        </w:trPr>
        <w:tc>
          <w:tcPr>
            <w:tcW w:w="985" w:type="pct"/>
            <w:tcBorders>
              <w:top w:val="nil"/>
              <w:left w:val="nil"/>
              <w:bottom w:val="nil"/>
              <w:right w:val="nil"/>
            </w:tcBorders>
          </w:tcPr>
          <w:p w14:paraId="48D205E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مشروع تحويل البيانات في السجل النيجيري للعلامات التجارية والبراءات والتص</w:t>
            </w:r>
            <w:r>
              <w:rPr>
                <w:rFonts w:ascii="Arabic Typesetting" w:eastAsia="Arabic Typesetting" w:hAnsi="Arabic Typesetting" w:cs="Arabic Typesetting" w:hint="cs"/>
                <w:sz w:val="28"/>
                <w:szCs w:val="28"/>
                <w:rtl/>
                <w:lang w:eastAsia="ar-EG" w:bidi="ar-EG"/>
              </w:rPr>
              <w:t>اميم</w:t>
            </w:r>
          </w:p>
        </w:tc>
        <w:tc>
          <w:tcPr>
            <w:tcW w:w="654" w:type="pct"/>
            <w:tcBorders>
              <w:top w:val="nil"/>
              <w:left w:val="nil"/>
              <w:bottom w:val="nil"/>
              <w:right w:val="nil"/>
            </w:tcBorders>
          </w:tcPr>
          <w:p w14:paraId="3C3A6722"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من يناير إلى ديسمبر 2016</w:t>
            </w:r>
            <w:r>
              <w:rPr>
                <w:rFonts w:ascii="Arabic Typesetting" w:eastAsia="Arabic Typesetting" w:hAnsi="Arabic Typesetting" w:cs="Arabic Typesetting"/>
                <w:sz w:val="28"/>
                <w:szCs w:val="28"/>
                <w:rtl/>
                <w:lang w:eastAsia="ar-EG" w:bidi="ar-EG"/>
              </w:rPr>
              <w:br/>
            </w:r>
            <w:r w:rsidRPr="00CE1677">
              <w:rPr>
                <w:rFonts w:ascii="Arabic Typesetting" w:eastAsia="Arabic Typesetting" w:hAnsi="Arabic Typesetting" w:cs="Arabic Typesetting"/>
                <w:sz w:val="28"/>
                <w:szCs w:val="28"/>
                <w:rtl/>
                <w:lang w:eastAsia="ar-EG" w:bidi="ar-EG"/>
              </w:rPr>
              <w:t>(جارٍ)</w:t>
            </w:r>
          </w:p>
        </w:tc>
        <w:tc>
          <w:tcPr>
            <w:tcW w:w="1406" w:type="pct"/>
            <w:tcBorders>
              <w:top w:val="nil"/>
              <w:left w:val="nil"/>
              <w:bottom w:val="nil"/>
              <w:right w:val="nil"/>
            </w:tcBorders>
          </w:tcPr>
          <w:p w14:paraId="27935DD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نيجيريا</w:t>
            </w:r>
          </w:p>
        </w:tc>
        <w:tc>
          <w:tcPr>
            <w:tcW w:w="1955" w:type="pct"/>
            <w:tcBorders>
              <w:top w:val="nil"/>
              <w:left w:val="nil"/>
              <w:bottom w:val="nil"/>
              <w:right w:val="nil"/>
            </w:tcBorders>
          </w:tcPr>
          <w:p w14:paraId="5B84D14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مساع</w:t>
            </w:r>
            <w:r>
              <w:rPr>
                <w:rFonts w:ascii="Arabic Typesetting" w:eastAsia="Arabic Typesetting" w:hAnsi="Arabic Typesetting" w:cs="Arabic Typesetting"/>
                <w:sz w:val="28"/>
                <w:szCs w:val="28"/>
                <w:rtl/>
                <w:lang w:eastAsia="ar-EG" w:bidi="ar-EG"/>
              </w:rPr>
              <w:t>دة المكتب على تحويل بياناته الب</w:t>
            </w:r>
            <w:r w:rsidRPr="00CE1677">
              <w:rPr>
                <w:rFonts w:ascii="Arabic Typesetting" w:eastAsia="Arabic Typesetting" w:hAnsi="Arabic Typesetting" w:cs="Arabic Typesetting"/>
                <w:sz w:val="28"/>
                <w:szCs w:val="28"/>
                <w:rtl/>
                <w:lang w:eastAsia="ar-EG" w:bidi="ar-EG"/>
              </w:rPr>
              <w:t xml:space="preserve">بليوغرافية المتعلقة بالعلامات التجارية المسجلة/النشطة، وملفات البراءات والتصاميم من الصيغة الورقية إلى </w:t>
            </w:r>
            <w:r>
              <w:rPr>
                <w:rFonts w:ascii="Arabic Typesetting" w:eastAsia="Arabic Typesetting" w:hAnsi="Arabic Typesetting" w:cs="Arabic Typesetting"/>
                <w:sz w:val="28"/>
                <w:szCs w:val="28"/>
                <w:rtl/>
                <w:lang w:eastAsia="ar-EG" w:bidi="ar-EG"/>
              </w:rPr>
              <w:t>الصيغة الرقمية بمساعدة مقدم خدم</w:t>
            </w:r>
            <w:r>
              <w:rPr>
                <w:rFonts w:ascii="Arabic Typesetting" w:eastAsia="Arabic Typesetting" w:hAnsi="Arabic Typesetting" w:cs="Arabic Typesetting" w:hint="cs"/>
                <w:sz w:val="28"/>
                <w:szCs w:val="28"/>
                <w:rtl/>
                <w:lang w:eastAsia="ar-EG" w:bidi="ar-EG"/>
              </w:rPr>
              <w:t>ات</w:t>
            </w:r>
            <w:r w:rsidRPr="00CE1677">
              <w:rPr>
                <w:rFonts w:ascii="Arabic Typesetting" w:eastAsia="Arabic Typesetting" w:hAnsi="Arabic Typesetting" w:cs="Arabic Typesetting"/>
                <w:sz w:val="28"/>
                <w:szCs w:val="28"/>
                <w:rtl/>
                <w:lang w:eastAsia="ar-EG" w:bidi="ar-EG"/>
              </w:rPr>
              <w:t xml:space="preserve"> محلي متخصص</w:t>
            </w:r>
          </w:p>
        </w:tc>
      </w:tr>
      <w:tr w:rsidR="00BD3831" w:rsidRPr="00CE1677" w14:paraId="27D605BC" w14:textId="77777777" w:rsidTr="00DF6715">
        <w:trPr>
          <w:cantSplit/>
          <w:trHeight w:val="315"/>
        </w:trPr>
        <w:tc>
          <w:tcPr>
            <w:tcW w:w="985" w:type="pct"/>
            <w:tcBorders>
              <w:top w:val="nil"/>
              <w:left w:val="nil"/>
              <w:bottom w:val="nil"/>
              <w:right w:val="nil"/>
            </w:tcBorders>
          </w:tcPr>
          <w:p w14:paraId="75EE276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lastRenderedPageBreak/>
              <w:t>‏رقمنة ملفات الملكية الفكرية في المنظمة الأفريقية للملكية الفكرية</w:t>
            </w:r>
          </w:p>
        </w:tc>
        <w:tc>
          <w:tcPr>
            <w:tcW w:w="654" w:type="pct"/>
            <w:tcBorders>
              <w:top w:val="nil"/>
              <w:left w:val="nil"/>
              <w:bottom w:val="nil"/>
              <w:right w:val="nil"/>
            </w:tcBorders>
          </w:tcPr>
          <w:p w14:paraId="4C69AD06" w14:textId="78E34C92" w:rsidR="00A017F6" w:rsidRPr="00CE1677" w:rsidRDefault="00BD3831" w:rsidP="00A017F6">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من يناير إلى ديسمبر 2016</w:t>
            </w:r>
            <w:r w:rsidR="00A017F6">
              <w:rPr>
                <w:rFonts w:ascii="Arabic Typesetting" w:eastAsia="Arabic Typesetting" w:hAnsi="Arabic Typesetting" w:cs="Arabic Typesetting" w:hint="cs"/>
                <w:sz w:val="28"/>
                <w:szCs w:val="28"/>
                <w:rtl/>
                <w:lang w:eastAsia="ar-EG" w:bidi="ar-EG"/>
              </w:rPr>
              <w:br/>
              <w:t>(جارٍ)</w:t>
            </w:r>
          </w:p>
        </w:tc>
        <w:tc>
          <w:tcPr>
            <w:tcW w:w="1406" w:type="pct"/>
            <w:tcBorders>
              <w:top w:val="nil"/>
              <w:left w:val="nil"/>
              <w:bottom w:val="nil"/>
              <w:right w:val="nil"/>
            </w:tcBorders>
          </w:tcPr>
          <w:p w14:paraId="0D1F918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المنظمة الأفريقية للملكية الفكرية</w:t>
            </w:r>
          </w:p>
        </w:tc>
        <w:tc>
          <w:tcPr>
            <w:tcW w:w="1955" w:type="pct"/>
            <w:tcBorders>
              <w:top w:val="nil"/>
              <w:left w:val="nil"/>
              <w:bottom w:val="nil"/>
              <w:right w:val="nil"/>
            </w:tcBorders>
          </w:tcPr>
          <w:p w14:paraId="0F1EB36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الحد من عبء إجراءات إدخال بيانات الوثائق المتعلقة بالملكية الفكرية، ولا سيما استمارات الطلب والأوصاف والوثائق المذكورة، وتحسين أداء تلك الإجراءات؛ "2" ومعالجة تراكم العمل الواجب رقمنته</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بفعالية وكفاءة</w:t>
            </w:r>
          </w:p>
        </w:tc>
      </w:tr>
      <w:tr w:rsidR="00BD3831" w:rsidRPr="00CE1677" w14:paraId="2B20B982" w14:textId="77777777" w:rsidTr="00DF6715">
        <w:trPr>
          <w:cantSplit/>
          <w:trHeight w:val="315"/>
        </w:trPr>
        <w:tc>
          <w:tcPr>
            <w:tcW w:w="985" w:type="pct"/>
            <w:tcBorders>
              <w:top w:val="nil"/>
              <w:left w:val="nil"/>
              <w:bottom w:val="nil"/>
              <w:right w:val="nil"/>
            </w:tcBorders>
          </w:tcPr>
          <w:p w14:paraId="58A6CC6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رقمنة وثائق الملكية الفكرية للأريبو</w:t>
            </w:r>
          </w:p>
        </w:tc>
        <w:tc>
          <w:tcPr>
            <w:tcW w:w="654" w:type="pct"/>
            <w:tcBorders>
              <w:top w:val="nil"/>
              <w:left w:val="nil"/>
              <w:bottom w:val="nil"/>
              <w:right w:val="nil"/>
            </w:tcBorders>
          </w:tcPr>
          <w:p w14:paraId="11FD1DE2"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من يناير إلى ديسمبر 2016</w:t>
            </w:r>
            <w:r>
              <w:rPr>
                <w:rFonts w:ascii="Arabic Typesetting" w:eastAsia="Arabic Typesetting" w:hAnsi="Arabic Typesetting" w:cs="Arabic Typesetting"/>
                <w:sz w:val="28"/>
                <w:szCs w:val="28"/>
                <w:rtl/>
                <w:lang w:eastAsia="ar-EG" w:bidi="ar-EG"/>
              </w:rPr>
              <w:br/>
            </w:r>
            <w:r w:rsidRPr="00CE1677">
              <w:rPr>
                <w:rFonts w:ascii="Arabic Typesetting" w:eastAsia="Arabic Typesetting" w:hAnsi="Arabic Typesetting" w:cs="Arabic Typesetting"/>
                <w:sz w:val="28"/>
                <w:szCs w:val="28"/>
                <w:rtl/>
                <w:lang w:eastAsia="ar-EG" w:bidi="ar-EG"/>
              </w:rPr>
              <w:t>(جارٍ)</w:t>
            </w:r>
          </w:p>
        </w:tc>
        <w:tc>
          <w:tcPr>
            <w:tcW w:w="1406" w:type="pct"/>
            <w:tcBorders>
              <w:top w:val="nil"/>
              <w:left w:val="nil"/>
              <w:bottom w:val="nil"/>
              <w:right w:val="nil"/>
            </w:tcBorders>
          </w:tcPr>
          <w:p w14:paraId="367027FE" w14:textId="77777777" w:rsidR="00BD3831" w:rsidRPr="005B56BB"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المنظمة الأفر</w:t>
            </w:r>
            <w:r>
              <w:rPr>
                <w:rFonts w:ascii="Arabic Typesetting" w:eastAsia="Arabic Typesetting" w:hAnsi="Arabic Typesetting" w:cs="Arabic Typesetting"/>
                <w:color w:val="000000"/>
                <w:sz w:val="28"/>
                <w:szCs w:val="28"/>
                <w:rtl/>
                <w:lang w:eastAsia="ar-EG" w:bidi="ar-EG"/>
              </w:rPr>
              <w:t>يقية الإقليمية للملكية الفكرية</w:t>
            </w:r>
          </w:p>
        </w:tc>
        <w:tc>
          <w:tcPr>
            <w:tcW w:w="1955" w:type="pct"/>
            <w:tcBorders>
              <w:top w:val="nil"/>
              <w:left w:val="nil"/>
              <w:bottom w:val="nil"/>
              <w:right w:val="nil"/>
            </w:tcBorders>
          </w:tcPr>
          <w:p w14:paraId="07BAFA4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تسهيل إجراءات الفحص ومعالجة الطلبات/التسجيلات؛ "2" وتأمين ملفات الملكية الفكرية والحفاظ عليها من خلال توفيرها بالأنساق المادية والرقمية؛ "3" وتسهيل تبادل بيانات الملكية الفكرية على الصعيدين الوطني والدولي؛ "4" وتحسين حوكمة عملية الملكية الفكرية والشفافية والمساءلة</w:t>
            </w:r>
          </w:p>
        </w:tc>
      </w:tr>
      <w:tr w:rsidR="00BD3831" w:rsidRPr="00CE1677" w14:paraId="634BF0C8" w14:textId="77777777" w:rsidTr="00DF6715">
        <w:trPr>
          <w:cantSplit/>
          <w:trHeight w:val="315"/>
        </w:trPr>
        <w:tc>
          <w:tcPr>
            <w:tcW w:w="985" w:type="pct"/>
            <w:tcBorders>
              <w:top w:val="nil"/>
              <w:left w:val="nil"/>
              <w:bottom w:val="nil"/>
              <w:right w:val="nil"/>
            </w:tcBorders>
          </w:tcPr>
          <w:p w14:paraId="217974C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رقمنة وثائق الملكية الفكرية لمعهد كينيا للملكية الصناعية (</w:t>
            </w:r>
            <w:r w:rsidRPr="00CE1677">
              <w:rPr>
                <w:rFonts w:ascii="Arabic Typesetting" w:eastAsia="Arabic Typesetting" w:hAnsi="Arabic Typesetting" w:cs="Arabic Typesetting"/>
                <w:sz w:val="28"/>
                <w:szCs w:val="28"/>
                <w:lang w:eastAsia="ar-EG" w:bidi="ar-EG"/>
              </w:rPr>
              <w:t>KIPI</w:t>
            </w:r>
            <w:r w:rsidRPr="00CE1677">
              <w:rPr>
                <w:rFonts w:ascii="Arabic Typesetting" w:eastAsia="Arabic Typesetting" w:hAnsi="Arabic Typesetting" w:cs="Arabic Typesetting"/>
                <w:sz w:val="28"/>
                <w:szCs w:val="28"/>
                <w:rtl/>
                <w:lang w:eastAsia="ar-EG" w:bidi="ar-EG"/>
              </w:rPr>
              <w:t>)</w:t>
            </w:r>
          </w:p>
        </w:tc>
        <w:tc>
          <w:tcPr>
            <w:tcW w:w="654" w:type="pct"/>
            <w:tcBorders>
              <w:top w:val="nil"/>
              <w:left w:val="nil"/>
              <w:bottom w:val="nil"/>
              <w:right w:val="nil"/>
            </w:tcBorders>
          </w:tcPr>
          <w:p w14:paraId="4B822493"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من يناير إلى ديسمبر 2016</w:t>
            </w:r>
            <w:r>
              <w:rPr>
                <w:rFonts w:ascii="Arabic Typesetting" w:eastAsia="Arabic Typesetting" w:hAnsi="Arabic Typesetting" w:cs="Arabic Typesetting"/>
                <w:sz w:val="28"/>
                <w:szCs w:val="28"/>
                <w:rtl/>
                <w:lang w:eastAsia="ar-EG" w:bidi="ar-EG"/>
              </w:rPr>
              <w:br/>
            </w:r>
            <w:r w:rsidRPr="00CE1677">
              <w:rPr>
                <w:rFonts w:ascii="Arabic Typesetting" w:eastAsia="Arabic Typesetting" w:hAnsi="Arabic Typesetting" w:cs="Arabic Typesetting"/>
                <w:sz w:val="28"/>
                <w:szCs w:val="28"/>
                <w:rtl/>
                <w:lang w:eastAsia="ar-EG" w:bidi="ar-EG"/>
              </w:rPr>
              <w:t>(جارٍ)</w:t>
            </w:r>
          </w:p>
        </w:tc>
        <w:tc>
          <w:tcPr>
            <w:tcW w:w="1406" w:type="pct"/>
            <w:tcBorders>
              <w:top w:val="nil"/>
              <w:left w:val="nil"/>
              <w:bottom w:val="nil"/>
              <w:right w:val="nil"/>
            </w:tcBorders>
          </w:tcPr>
          <w:p w14:paraId="5AC2084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كينيا</w:t>
            </w:r>
          </w:p>
        </w:tc>
        <w:tc>
          <w:tcPr>
            <w:tcW w:w="1955" w:type="pct"/>
            <w:tcBorders>
              <w:top w:val="nil"/>
              <w:left w:val="nil"/>
              <w:bottom w:val="nil"/>
              <w:right w:val="nil"/>
            </w:tcBorders>
          </w:tcPr>
          <w:p w14:paraId="60C43C5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تسهيل إجراءات الفحص ومعالجة الطلبات/التسجيلات؛ "2" وتأمين ملفات الملكية الفكرية والحفاظ عليها من خلال توفيرها بالأنساق المادية والرقمية؛ "3" وتسهيل تبادل بيانات الملكية الفكرية على الصعيدين الوطني والدولي؛ "4" وتحسين حوكمة عملية الملكية الفكرية والشفافية والمساءلة</w:t>
            </w:r>
          </w:p>
        </w:tc>
      </w:tr>
      <w:tr w:rsidR="00BD3831" w:rsidRPr="00CE1677" w14:paraId="1B5E49B9" w14:textId="77777777" w:rsidTr="00DF6715">
        <w:trPr>
          <w:cantSplit/>
          <w:trHeight w:val="315"/>
        </w:trPr>
        <w:tc>
          <w:tcPr>
            <w:tcW w:w="985" w:type="pct"/>
            <w:tcBorders>
              <w:top w:val="nil"/>
              <w:left w:val="nil"/>
              <w:bottom w:val="nil"/>
              <w:right w:val="nil"/>
            </w:tcBorders>
          </w:tcPr>
          <w:p w14:paraId="7361095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رقمنة براءات الاختراع والعلامات التجارية لمكتب زمبابوي للملكية الفكرية (</w:t>
            </w:r>
            <w:r w:rsidRPr="00CE1677">
              <w:rPr>
                <w:rFonts w:ascii="Arabic Typesetting" w:eastAsia="Arabic Typesetting" w:hAnsi="Arabic Typesetting" w:cs="Arabic Typesetting"/>
                <w:sz w:val="28"/>
                <w:szCs w:val="28"/>
                <w:lang w:eastAsia="ar-EG" w:bidi="ar-EG"/>
              </w:rPr>
              <w:t>ZIPO</w:t>
            </w:r>
            <w:r w:rsidRPr="00CE1677">
              <w:rPr>
                <w:rFonts w:ascii="Arabic Typesetting" w:eastAsia="Arabic Typesetting" w:hAnsi="Arabic Typesetting" w:cs="Arabic Typesetting"/>
                <w:sz w:val="28"/>
                <w:szCs w:val="28"/>
                <w:rtl/>
                <w:lang w:eastAsia="ar-EG" w:bidi="ar-EG"/>
              </w:rPr>
              <w:t>)</w:t>
            </w:r>
          </w:p>
        </w:tc>
        <w:tc>
          <w:tcPr>
            <w:tcW w:w="654" w:type="pct"/>
            <w:tcBorders>
              <w:top w:val="nil"/>
              <w:left w:val="nil"/>
              <w:bottom w:val="nil"/>
              <w:right w:val="nil"/>
            </w:tcBorders>
          </w:tcPr>
          <w:p w14:paraId="6CAF280A"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من يناير إلى يونيو 2016</w:t>
            </w:r>
          </w:p>
        </w:tc>
        <w:tc>
          <w:tcPr>
            <w:tcW w:w="1406" w:type="pct"/>
            <w:tcBorders>
              <w:top w:val="nil"/>
              <w:left w:val="nil"/>
              <w:bottom w:val="nil"/>
              <w:right w:val="nil"/>
            </w:tcBorders>
          </w:tcPr>
          <w:p w14:paraId="169FE9B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زمبابوي</w:t>
            </w:r>
          </w:p>
        </w:tc>
        <w:tc>
          <w:tcPr>
            <w:tcW w:w="1955" w:type="pct"/>
            <w:tcBorders>
              <w:top w:val="nil"/>
              <w:left w:val="nil"/>
              <w:bottom w:val="nil"/>
              <w:right w:val="nil"/>
            </w:tcBorders>
          </w:tcPr>
          <w:p w14:paraId="0FD5E27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إنشاء ملفات إلكترونية لجميع ملفات البراءات والعلامات التجارية؛ "2" وتسريع عمليات الإدارة/الفحص في مكتب الملكية الفكرية؛ "3" وتحسين إمكانية الوصول إلى المعلومات؛ "4" </w:t>
            </w:r>
            <w:r>
              <w:rPr>
                <w:rFonts w:ascii="Arabic Typesetting" w:eastAsia="Arabic Typesetting" w:hAnsi="Arabic Typesetting" w:cs="Arabic Typesetting" w:hint="cs"/>
                <w:sz w:val="28"/>
                <w:szCs w:val="28"/>
                <w:rtl/>
                <w:lang w:eastAsia="ar-EG" w:bidi="ar-EG"/>
              </w:rPr>
              <w:t>و</w:t>
            </w:r>
            <w:r w:rsidRPr="00CE1677">
              <w:rPr>
                <w:rFonts w:ascii="Arabic Typesetting" w:eastAsia="Arabic Typesetting" w:hAnsi="Arabic Typesetting" w:cs="Arabic Typesetting"/>
                <w:sz w:val="28"/>
                <w:szCs w:val="28"/>
                <w:rtl/>
                <w:lang w:eastAsia="ar-EG" w:bidi="ar-EG"/>
              </w:rPr>
              <w:t>تحسين حوكمة عملية الملكية الفكرية والشفافية والمساءلة عن طريق تسهيل الوصول إلى جميع معلوم</w:t>
            </w:r>
            <w:r>
              <w:rPr>
                <w:rFonts w:ascii="Arabic Typesetting" w:eastAsia="Arabic Typesetting" w:hAnsi="Arabic Typesetting" w:cs="Arabic Typesetting"/>
                <w:sz w:val="28"/>
                <w:szCs w:val="28"/>
                <w:rtl/>
                <w:lang w:eastAsia="ar-EG" w:bidi="ar-EG"/>
              </w:rPr>
              <w:t>ات الملفات وإتاحتها في شكل رقمي</w:t>
            </w:r>
          </w:p>
        </w:tc>
      </w:tr>
      <w:tr w:rsidR="00BD3831" w:rsidRPr="00CE1677" w14:paraId="64F31107" w14:textId="77777777" w:rsidTr="00DF6715">
        <w:trPr>
          <w:cantSplit/>
          <w:trHeight w:val="315"/>
        </w:trPr>
        <w:tc>
          <w:tcPr>
            <w:tcW w:w="985" w:type="pct"/>
            <w:tcBorders>
              <w:top w:val="nil"/>
              <w:left w:val="nil"/>
              <w:bottom w:val="nil"/>
              <w:right w:val="nil"/>
            </w:tcBorders>
          </w:tcPr>
          <w:p w14:paraId="0B3F0B2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إطلاق نظام إدارة </w:t>
            </w:r>
            <w:r>
              <w:rPr>
                <w:rFonts w:ascii="Arabic Typesetting" w:eastAsia="Arabic Typesetting" w:hAnsi="Arabic Typesetting" w:cs="Arabic Typesetting" w:hint="cs"/>
                <w:sz w:val="28"/>
                <w:szCs w:val="28"/>
                <w:rtl/>
                <w:lang w:eastAsia="ar-EG" w:bidi="ar-EG"/>
              </w:rPr>
              <w:t>وثائق</w:t>
            </w:r>
            <w:r w:rsidRPr="00CE1677">
              <w:rPr>
                <w:rFonts w:ascii="Arabic Typesetting" w:eastAsia="Arabic Typesetting" w:hAnsi="Arabic Typesetting" w:cs="Arabic Typesetting"/>
                <w:sz w:val="28"/>
                <w:szCs w:val="28"/>
                <w:rtl/>
                <w:lang w:eastAsia="ar-EG" w:bidi="ar-EG"/>
              </w:rPr>
              <w:t xml:space="preserve"> نظام أتمتة الملكية الصناعية الإلكترونية في أوغندا</w:t>
            </w:r>
          </w:p>
        </w:tc>
        <w:tc>
          <w:tcPr>
            <w:tcW w:w="654" w:type="pct"/>
            <w:tcBorders>
              <w:top w:val="nil"/>
              <w:left w:val="nil"/>
              <w:bottom w:val="nil"/>
              <w:right w:val="nil"/>
            </w:tcBorders>
          </w:tcPr>
          <w:p w14:paraId="0C9BEC47"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من 24 أكتوبر إلى 4 نوفمبر 2016</w:t>
            </w:r>
          </w:p>
        </w:tc>
        <w:tc>
          <w:tcPr>
            <w:tcW w:w="1406" w:type="pct"/>
            <w:tcBorders>
              <w:top w:val="nil"/>
              <w:left w:val="nil"/>
              <w:bottom w:val="nil"/>
              <w:right w:val="nil"/>
            </w:tcBorders>
          </w:tcPr>
          <w:p w14:paraId="54C4251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أوغندا</w:t>
            </w:r>
          </w:p>
        </w:tc>
        <w:tc>
          <w:tcPr>
            <w:tcW w:w="1955" w:type="pct"/>
            <w:tcBorders>
              <w:top w:val="nil"/>
              <w:left w:val="nil"/>
              <w:bottom w:val="nil"/>
              <w:right w:val="nil"/>
            </w:tcBorders>
          </w:tcPr>
          <w:p w14:paraId="03D030F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"1" وضع بنية </w:t>
            </w:r>
            <w:r>
              <w:rPr>
                <w:rFonts w:ascii="Arabic Typesetting" w:eastAsia="Arabic Typesetting" w:hAnsi="Arabic Typesetting" w:cs="Arabic Typesetting" w:hint="cs"/>
                <w:sz w:val="28"/>
                <w:szCs w:val="28"/>
                <w:rtl/>
                <w:lang w:eastAsia="ar-EG" w:bidi="ar-EG"/>
              </w:rPr>
              <w:t>أ</w:t>
            </w:r>
            <w:r w:rsidRPr="00CE1677">
              <w:rPr>
                <w:rFonts w:ascii="Arabic Typesetting" w:eastAsia="Arabic Typesetting" w:hAnsi="Arabic Typesetting" w:cs="Arabic Typesetting"/>
                <w:sz w:val="28"/>
                <w:szCs w:val="28"/>
                <w:rtl/>
                <w:lang w:eastAsia="ar-EG" w:bidi="ar-EG"/>
              </w:rPr>
              <w:t>ساسية منطقية لتخزين وإدارة الصور المرقمنة (الملفات الإلكترونية)؛ "2" ونقل المهارات وبناء القدرات المتعلقة بتصوير ورقمنة الملفات الأمامية؛ "3"</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وفتح الباب للخدمات المقدمة على الإنترنت لمكتب الملكية الفكرية في أوغندا</w:t>
            </w:r>
          </w:p>
        </w:tc>
      </w:tr>
      <w:tr w:rsidR="00BD3831" w:rsidRPr="00CE1677" w14:paraId="480AD0C4" w14:textId="77777777" w:rsidTr="00DF6715">
        <w:trPr>
          <w:cantSplit/>
          <w:trHeight w:val="315"/>
        </w:trPr>
        <w:tc>
          <w:tcPr>
            <w:tcW w:w="985" w:type="pct"/>
            <w:tcBorders>
              <w:top w:val="nil"/>
              <w:left w:val="nil"/>
              <w:bottom w:val="nil"/>
              <w:right w:val="nil"/>
            </w:tcBorders>
          </w:tcPr>
          <w:p w14:paraId="5BE1143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دورة الويبو التدريبية الإقليمية بشأن نظام إدارة الملكية الصناعية – إدارة جودة البيانات وتبادلها والخدمات الشبكية</w:t>
            </w:r>
          </w:p>
        </w:tc>
        <w:tc>
          <w:tcPr>
            <w:tcW w:w="654" w:type="pct"/>
            <w:tcBorders>
              <w:top w:val="nil"/>
              <w:left w:val="nil"/>
              <w:bottom w:val="nil"/>
              <w:right w:val="nil"/>
            </w:tcBorders>
          </w:tcPr>
          <w:p w14:paraId="64D106D9"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من 11 إلى 15 يوليو 2016</w:t>
            </w:r>
          </w:p>
        </w:tc>
        <w:tc>
          <w:tcPr>
            <w:tcW w:w="1406" w:type="pct"/>
            <w:tcBorders>
              <w:top w:val="nil"/>
              <w:left w:val="nil"/>
              <w:bottom w:val="nil"/>
              <w:right w:val="nil"/>
            </w:tcBorders>
          </w:tcPr>
          <w:p w14:paraId="4200AB9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موزامبيق/ 33 مشاركاً من ب</w:t>
            </w:r>
            <w:r>
              <w:rPr>
                <w:rFonts w:ascii="Arabic Typesetting" w:eastAsia="Arabic Typesetting" w:hAnsi="Arabic Typesetting" w:cs="Arabic Typesetting" w:hint="cs"/>
                <w:color w:val="000000"/>
                <w:sz w:val="28"/>
                <w:szCs w:val="28"/>
                <w:rtl/>
                <w:lang w:eastAsia="ar-EG" w:bidi="ar-EG"/>
              </w:rPr>
              <w:t>و</w:t>
            </w:r>
            <w:r w:rsidRPr="00CE1677">
              <w:rPr>
                <w:rFonts w:ascii="Arabic Typesetting" w:eastAsia="Arabic Typesetting" w:hAnsi="Arabic Typesetting" w:cs="Arabic Typesetting"/>
                <w:color w:val="000000"/>
                <w:sz w:val="28"/>
                <w:szCs w:val="28"/>
                <w:rtl/>
                <w:lang w:eastAsia="ar-EG" w:bidi="ar-EG"/>
              </w:rPr>
              <w:t>تسوانا وإثيوبيا وغامبيا وغانا وكينيا وليسوتو ومدغشقر وملاوي وموريشيوس وموزامبيق وناميبيا وسيشيل وسوازيلند وجمهورية تنزانيا المتحدة وأوغندا وزامبيا وزمبابوي والمنظمة الأفريقية الإقليمية للملكية الفكرية والمنظمة الأفريقية للملكية الفكرية</w:t>
            </w:r>
          </w:p>
        </w:tc>
        <w:tc>
          <w:tcPr>
            <w:tcW w:w="1955" w:type="pct"/>
            <w:tcBorders>
              <w:top w:val="nil"/>
              <w:left w:val="nil"/>
              <w:bottom w:val="nil"/>
              <w:right w:val="nil"/>
            </w:tcBorders>
          </w:tcPr>
          <w:p w14:paraId="2EC49EBF" w14:textId="76896EA4" w:rsidR="00BD3831" w:rsidRPr="00CE1677" w:rsidRDefault="00BD3831" w:rsidP="0059581F">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"1" تعريف المشاركين بمعايير الويبو </w:t>
            </w:r>
            <w:r>
              <w:rPr>
                <w:rFonts w:ascii="Arabic Typesetting" w:eastAsia="Arabic Typesetting" w:hAnsi="Arabic Typesetting" w:cs="Arabic Typesetting" w:hint="cs"/>
                <w:sz w:val="28"/>
                <w:szCs w:val="28"/>
                <w:rtl/>
                <w:lang w:eastAsia="ar-EG" w:bidi="ar-EG"/>
              </w:rPr>
              <w:t>و</w:t>
            </w:r>
            <w:r w:rsidRPr="00CE1677">
              <w:rPr>
                <w:rFonts w:ascii="Arabic Typesetting" w:eastAsia="Arabic Typesetting" w:hAnsi="Arabic Typesetting" w:cs="Arabic Typesetting"/>
                <w:sz w:val="28"/>
                <w:szCs w:val="28"/>
                <w:rtl/>
                <w:lang w:eastAsia="ar-EG" w:bidi="ar-EG"/>
              </w:rPr>
              <w:t>أفضل الممارسات في مجال الإدارة الجيدة لبيانات الملكية الفكرية؛ "2"</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 xml:space="preserve">ونقل المعرفة بشأن أدوات الأتمتة التي تتيحها الويبو لتثبيت البيانات والتحقق منها؛ "3" وتكوين الكفاءات </w:t>
            </w:r>
            <w:r>
              <w:rPr>
                <w:rFonts w:ascii="Arabic Typesetting" w:eastAsia="Arabic Typesetting" w:hAnsi="Arabic Typesetting" w:cs="Arabic Typesetting" w:hint="cs"/>
                <w:sz w:val="28"/>
                <w:szCs w:val="28"/>
                <w:rtl/>
                <w:lang w:eastAsia="ar-EG" w:bidi="ar-EG"/>
              </w:rPr>
              <w:t>المتعلقة</w:t>
            </w:r>
            <w:r w:rsidRPr="00CE1677">
              <w:rPr>
                <w:rFonts w:ascii="Arabic Typesetting" w:eastAsia="Arabic Typesetting" w:hAnsi="Arabic Typesetting" w:cs="Arabic Typesetting"/>
                <w:sz w:val="28"/>
                <w:szCs w:val="28"/>
                <w:rtl/>
                <w:lang w:eastAsia="ar-EG" w:bidi="ar-EG"/>
              </w:rPr>
              <w:t xml:space="preserve"> بالوظائف والأدوات الخاصة بالإشراف على جودة بيانات الملكية الفكرية ووحدات جديدة للخدمات الشبكية وتبادل</w:t>
            </w:r>
            <w:r w:rsidR="0059581F">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البيانات</w:t>
            </w:r>
          </w:p>
        </w:tc>
      </w:tr>
      <w:tr w:rsidR="00BD3831" w:rsidRPr="00CE1677" w14:paraId="785BCE83" w14:textId="77777777" w:rsidTr="00DF6715">
        <w:trPr>
          <w:cantSplit/>
          <w:trHeight w:val="315"/>
        </w:trPr>
        <w:tc>
          <w:tcPr>
            <w:tcW w:w="5000" w:type="pct"/>
            <w:gridSpan w:val="4"/>
            <w:tcBorders>
              <w:top w:val="nil"/>
              <w:left w:val="nil"/>
              <w:bottom w:val="nil"/>
              <w:right w:val="nil"/>
            </w:tcBorders>
            <w:shd w:val="clear" w:color="auto" w:fill="C6D9F1"/>
          </w:tcPr>
          <w:p w14:paraId="61F7BEB3"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ه1.5 استخدام معلومات الويبو الإحصائية بشأن الملكية الفكرية على نطاق أوسع ونحو أفضل</w:t>
            </w:r>
          </w:p>
        </w:tc>
      </w:tr>
      <w:tr w:rsidR="00BD3831" w:rsidRPr="00CE1677" w14:paraId="5F78BF19" w14:textId="77777777" w:rsidTr="00DF6715">
        <w:trPr>
          <w:cantSplit/>
          <w:trHeight w:val="315"/>
        </w:trPr>
        <w:tc>
          <w:tcPr>
            <w:tcW w:w="985" w:type="pct"/>
            <w:tcBorders>
              <w:top w:val="nil"/>
              <w:left w:val="nil"/>
              <w:bottom w:val="nil"/>
              <w:right w:val="nil"/>
            </w:tcBorders>
            <w:vAlign w:val="center"/>
          </w:tcPr>
          <w:p w14:paraId="750E7099"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54" w:type="pct"/>
            <w:tcBorders>
              <w:top w:val="nil"/>
              <w:left w:val="nil"/>
              <w:bottom w:val="nil"/>
              <w:right w:val="nil"/>
            </w:tcBorders>
            <w:vAlign w:val="center"/>
          </w:tcPr>
          <w:p w14:paraId="460284E8"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406" w:type="pct"/>
            <w:tcBorders>
              <w:top w:val="nil"/>
              <w:left w:val="nil"/>
              <w:bottom w:val="nil"/>
              <w:right w:val="nil"/>
            </w:tcBorders>
            <w:vAlign w:val="center"/>
          </w:tcPr>
          <w:p w14:paraId="69B1A4B3"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1955" w:type="pct"/>
            <w:tcBorders>
              <w:top w:val="nil"/>
              <w:left w:val="nil"/>
              <w:bottom w:val="nil"/>
              <w:right w:val="nil"/>
            </w:tcBorders>
            <w:vAlign w:val="center"/>
          </w:tcPr>
          <w:p w14:paraId="5F0860DC"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0F4856E2" w14:textId="77777777" w:rsidTr="00DF6715">
        <w:trPr>
          <w:cantSplit/>
          <w:trHeight w:val="315"/>
        </w:trPr>
        <w:tc>
          <w:tcPr>
            <w:tcW w:w="985" w:type="pct"/>
            <w:tcBorders>
              <w:top w:val="nil"/>
              <w:left w:val="nil"/>
              <w:bottom w:val="nil"/>
              <w:right w:val="nil"/>
            </w:tcBorders>
          </w:tcPr>
          <w:p w14:paraId="3648007E" w14:textId="5934BA02" w:rsidR="00BD3831" w:rsidRPr="00CE1677" w:rsidRDefault="00BD3831" w:rsidP="0059581F">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الويبو دون الإقليمية بشأن إعداد إحصاءات الملكية الفكرية واستخدامها بفعالية لفائدة الدول الأعضاء في المنظمة الأفريقية الإقليمية للملكية</w:t>
            </w:r>
            <w:r w:rsidR="0059581F">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الفكرية</w:t>
            </w:r>
          </w:p>
        </w:tc>
        <w:tc>
          <w:tcPr>
            <w:tcW w:w="654" w:type="pct"/>
            <w:tcBorders>
              <w:top w:val="nil"/>
              <w:left w:val="nil"/>
              <w:bottom w:val="nil"/>
              <w:right w:val="nil"/>
            </w:tcBorders>
          </w:tcPr>
          <w:p w14:paraId="0347B68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14 إلى 16 سبتمبر 2016</w:t>
            </w:r>
          </w:p>
        </w:tc>
        <w:tc>
          <w:tcPr>
            <w:tcW w:w="1406" w:type="pct"/>
            <w:tcBorders>
              <w:top w:val="nil"/>
              <w:left w:val="nil"/>
              <w:bottom w:val="nil"/>
              <w:right w:val="nil"/>
            </w:tcBorders>
          </w:tcPr>
          <w:p w14:paraId="7131D08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زمبابوي/ 25 مشاركاً من بوتسوانا وغامبيا وغانا وكينيا وملاوي وموزامبيق وناميبيا ورواندا وجمهورية تنزانيا المتحدة وأوغندا وزامبيا وزمبابوي</w:t>
            </w:r>
          </w:p>
        </w:tc>
        <w:tc>
          <w:tcPr>
            <w:tcW w:w="1955" w:type="pct"/>
            <w:tcBorders>
              <w:top w:val="nil"/>
              <w:left w:val="nil"/>
              <w:bottom w:val="nil"/>
              <w:right w:val="nil"/>
            </w:tcBorders>
          </w:tcPr>
          <w:p w14:paraId="1F18A39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التوعية بأهمية إحصاءات الملكية الفكرية؛ "2"</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وتبادل بيانات منها أفضل الممارسات وتحديد المشكلات والحلو</w:t>
            </w:r>
            <w:r>
              <w:rPr>
                <w:rFonts w:ascii="Arabic Typesetting" w:eastAsia="Arabic Typesetting" w:hAnsi="Arabic Typesetting" w:cs="Arabic Typesetting" w:hint="cs"/>
                <w:color w:val="000000"/>
                <w:sz w:val="28"/>
                <w:szCs w:val="28"/>
                <w:rtl/>
                <w:lang w:eastAsia="ar-EG" w:bidi="ar-EG"/>
              </w:rPr>
              <w:t>ل</w:t>
            </w:r>
            <w:r w:rsidRPr="00CE1677">
              <w:rPr>
                <w:rFonts w:ascii="Arabic Typesetting" w:eastAsia="Arabic Typesetting" w:hAnsi="Arabic Typesetting" w:cs="Arabic Typesetting"/>
                <w:color w:val="000000"/>
                <w:sz w:val="28"/>
                <w:szCs w:val="28"/>
                <w:rtl/>
                <w:lang w:eastAsia="ar-EG" w:bidi="ar-EG"/>
              </w:rPr>
              <w:t xml:space="preserve"> المشتركة بين مكاتب الملكية الفكرية في أفريقيا؛ "3" ومساعدة مكاتب الملكية الفكرية على إقامة بنيتها الإحصائية أو تطويرها (بناء القدرات)؛ "4"</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والتوعية بفائدة استخدام مو</w:t>
            </w:r>
            <w:r>
              <w:rPr>
                <w:rFonts w:ascii="Arabic Typesetting" w:eastAsia="Arabic Typesetting" w:hAnsi="Arabic Typesetting" w:cs="Arabic Typesetting" w:hint="cs"/>
                <w:color w:val="000000"/>
                <w:sz w:val="28"/>
                <w:szCs w:val="28"/>
                <w:rtl/>
                <w:lang w:eastAsia="ar-EG" w:bidi="ar-EG"/>
              </w:rPr>
              <w:t>ا</w:t>
            </w:r>
            <w:r w:rsidRPr="00CE1677">
              <w:rPr>
                <w:rFonts w:ascii="Arabic Typesetting" w:eastAsia="Arabic Typesetting" w:hAnsi="Arabic Typesetting" w:cs="Arabic Typesetting"/>
                <w:color w:val="000000"/>
                <w:sz w:val="28"/>
                <w:szCs w:val="28"/>
                <w:rtl/>
                <w:lang w:eastAsia="ar-EG" w:bidi="ar-EG"/>
              </w:rPr>
              <w:t xml:space="preserve">قع إلكترونية </w:t>
            </w:r>
            <w:r>
              <w:rPr>
                <w:rFonts w:ascii="Arabic Typesetting" w:eastAsia="Arabic Typesetting" w:hAnsi="Arabic Typesetting" w:cs="Arabic Typesetting" w:hint="cs"/>
                <w:color w:val="000000"/>
                <w:sz w:val="28"/>
                <w:szCs w:val="28"/>
                <w:rtl/>
                <w:lang w:eastAsia="ar-EG" w:bidi="ar-EG"/>
              </w:rPr>
              <w:t>ك</w:t>
            </w:r>
            <w:r>
              <w:rPr>
                <w:rFonts w:ascii="Arabic Typesetting" w:eastAsia="Arabic Typesetting" w:hAnsi="Arabic Typesetting" w:cs="Arabic Typesetting"/>
                <w:color w:val="000000"/>
                <w:sz w:val="28"/>
                <w:szCs w:val="28"/>
                <w:rtl/>
                <w:lang w:eastAsia="ar-EG" w:bidi="ar-EG"/>
              </w:rPr>
              <w:t>منصة</w:t>
            </w:r>
            <w:r w:rsidRPr="00CE1677">
              <w:rPr>
                <w:rFonts w:ascii="Arabic Typesetting" w:eastAsia="Arabic Typesetting" w:hAnsi="Arabic Typesetting" w:cs="Arabic Typesetting"/>
                <w:color w:val="000000"/>
                <w:sz w:val="28"/>
                <w:szCs w:val="28"/>
                <w:rtl/>
                <w:lang w:eastAsia="ar-EG" w:bidi="ar-EG"/>
              </w:rPr>
              <w:t xml:space="preserve"> لتوفير المعلومات ومنها الإحصاءات لمستخدمي نظام الملكية الفكرية</w:t>
            </w:r>
          </w:p>
        </w:tc>
      </w:tr>
      <w:tr w:rsidR="00BD3831" w:rsidRPr="00CE1677" w14:paraId="79892825" w14:textId="77777777" w:rsidTr="00DF6715">
        <w:trPr>
          <w:cantSplit/>
          <w:trHeight w:val="315"/>
        </w:trPr>
        <w:tc>
          <w:tcPr>
            <w:tcW w:w="5000" w:type="pct"/>
            <w:gridSpan w:val="4"/>
            <w:tcBorders>
              <w:top w:val="nil"/>
              <w:left w:val="nil"/>
              <w:bottom w:val="nil"/>
              <w:right w:val="nil"/>
            </w:tcBorders>
            <w:shd w:val="clear" w:color="auto" w:fill="C6D9F1"/>
          </w:tcPr>
          <w:p w14:paraId="6539E814"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lastRenderedPageBreak/>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ه2.7 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r>
      <w:tr w:rsidR="00BD3831" w:rsidRPr="00CE1677" w14:paraId="06860036" w14:textId="77777777" w:rsidTr="00DF6715">
        <w:trPr>
          <w:cantSplit/>
          <w:trHeight w:val="315"/>
        </w:trPr>
        <w:tc>
          <w:tcPr>
            <w:tcW w:w="985" w:type="pct"/>
            <w:tcBorders>
              <w:top w:val="nil"/>
              <w:left w:val="nil"/>
              <w:bottom w:val="nil"/>
              <w:right w:val="nil"/>
            </w:tcBorders>
            <w:vAlign w:val="center"/>
          </w:tcPr>
          <w:p w14:paraId="1DD60E54"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54" w:type="pct"/>
            <w:tcBorders>
              <w:top w:val="nil"/>
              <w:left w:val="nil"/>
              <w:bottom w:val="nil"/>
              <w:right w:val="nil"/>
            </w:tcBorders>
            <w:vAlign w:val="center"/>
          </w:tcPr>
          <w:p w14:paraId="37F05BCC"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406" w:type="pct"/>
            <w:tcBorders>
              <w:top w:val="nil"/>
              <w:left w:val="nil"/>
              <w:bottom w:val="nil"/>
              <w:right w:val="nil"/>
            </w:tcBorders>
            <w:vAlign w:val="center"/>
          </w:tcPr>
          <w:p w14:paraId="1AFE6C31"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1955" w:type="pct"/>
            <w:tcBorders>
              <w:top w:val="nil"/>
              <w:left w:val="nil"/>
              <w:bottom w:val="nil"/>
              <w:right w:val="nil"/>
            </w:tcBorders>
            <w:vAlign w:val="center"/>
          </w:tcPr>
          <w:p w14:paraId="2D89476E"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3A312E7D" w14:textId="77777777" w:rsidTr="00DF6715">
        <w:trPr>
          <w:cantSplit/>
          <w:trHeight w:val="315"/>
        </w:trPr>
        <w:tc>
          <w:tcPr>
            <w:tcW w:w="985" w:type="pct"/>
            <w:tcBorders>
              <w:top w:val="nil"/>
              <w:left w:val="nil"/>
              <w:bottom w:val="nil"/>
              <w:right w:val="nil"/>
            </w:tcBorders>
          </w:tcPr>
          <w:p w14:paraId="5DC2C26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دراسة إفرادية بشأن الاحتياجات للتكنولوجيا المائية والزراعية والفرص المتاحة لإثبات المفهوم في إطار مبادرة ويبو غرين</w:t>
            </w:r>
          </w:p>
        </w:tc>
        <w:tc>
          <w:tcPr>
            <w:tcW w:w="654" w:type="pct"/>
            <w:tcBorders>
              <w:top w:val="nil"/>
              <w:left w:val="nil"/>
              <w:bottom w:val="nil"/>
              <w:right w:val="nil"/>
            </w:tcBorders>
          </w:tcPr>
          <w:p w14:paraId="13A8B86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5 إلى 8 أبريل 2016</w:t>
            </w:r>
          </w:p>
        </w:tc>
        <w:tc>
          <w:tcPr>
            <w:tcW w:w="1406" w:type="pct"/>
            <w:tcBorders>
              <w:top w:val="nil"/>
              <w:left w:val="nil"/>
              <w:bottom w:val="nil"/>
              <w:right w:val="nil"/>
            </w:tcBorders>
          </w:tcPr>
          <w:p w14:paraId="4AB6BF6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كينيا/ نحو 250 مشاركاً محلياً</w:t>
            </w:r>
          </w:p>
        </w:tc>
        <w:tc>
          <w:tcPr>
            <w:tcW w:w="1955" w:type="pct"/>
            <w:tcBorders>
              <w:top w:val="nil"/>
              <w:left w:val="nil"/>
              <w:bottom w:val="nil"/>
              <w:right w:val="nil"/>
            </w:tcBorders>
          </w:tcPr>
          <w:p w14:paraId="5FD99B8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تحديد الاحتياجات المحددة للبلدان المختارة من حيث التكنولوجيات المائية والزراعية؛ "2" ووصف وتحديد الاحتياجات من أجل رفعها على منصة ويبو غرين؛ "3" وتحديد فرص التعاون على الاحتياجات المحددة مع التشديد بخاصة على قدرة الاستيعاب الوطنية</w:t>
            </w:r>
          </w:p>
        </w:tc>
      </w:tr>
      <w:tr w:rsidR="00BD3831" w:rsidRPr="00CE1677" w14:paraId="4341183F" w14:textId="77777777" w:rsidTr="00DF6715">
        <w:trPr>
          <w:cantSplit/>
          <w:trHeight w:val="545"/>
        </w:trPr>
        <w:tc>
          <w:tcPr>
            <w:tcW w:w="985" w:type="pct"/>
            <w:tcBorders>
              <w:top w:val="nil"/>
              <w:left w:val="nil"/>
              <w:bottom w:val="nil"/>
              <w:right w:val="nil"/>
            </w:tcBorders>
          </w:tcPr>
          <w:p w14:paraId="0BD1491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إنتاج فيلم عن قصة نجاح – </w:t>
            </w:r>
            <w:r w:rsidRPr="00CE1677">
              <w:rPr>
                <w:rFonts w:ascii="Arabic Typesetting" w:eastAsia="Arabic Typesetting" w:hAnsi="Arabic Typesetting" w:cs="Arabic Typesetting"/>
                <w:color w:val="000000"/>
                <w:sz w:val="28"/>
                <w:szCs w:val="28"/>
                <w:lang w:eastAsia="ar-EG" w:bidi="ar-EG"/>
              </w:rPr>
              <w:t>WIPO Re:Search</w:t>
            </w:r>
          </w:p>
        </w:tc>
        <w:tc>
          <w:tcPr>
            <w:tcW w:w="654" w:type="pct"/>
            <w:tcBorders>
              <w:top w:val="nil"/>
              <w:left w:val="nil"/>
              <w:bottom w:val="nil"/>
              <w:right w:val="nil"/>
            </w:tcBorders>
          </w:tcPr>
          <w:p w14:paraId="76ED4BAB"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من أغسطس إلى ديسمبر 2016</w:t>
            </w:r>
            <w:r>
              <w:rPr>
                <w:rFonts w:ascii="Arabic Typesetting" w:eastAsia="Arabic Typesetting" w:hAnsi="Arabic Typesetting" w:cs="Arabic Typesetting"/>
                <w:sz w:val="28"/>
                <w:szCs w:val="28"/>
                <w:rtl/>
                <w:lang w:eastAsia="ar-EG" w:bidi="ar-EG"/>
              </w:rPr>
              <w:br/>
            </w:r>
            <w:r w:rsidRPr="00CE1677">
              <w:rPr>
                <w:rFonts w:ascii="Arabic Typesetting" w:eastAsia="Arabic Typesetting" w:hAnsi="Arabic Typesetting" w:cs="Arabic Typesetting"/>
                <w:sz w:val="28"/>
                <w:szCs w:val="28"/>
                <w:rtl/>
                <w:lang w:eastAsia="ar-EG" w:bidi="ar-EG"/>
              </w:rPr>
              <w:t>(جارٍ)</w:t>
            </w:r>
          </w:p>
        </w:tc>
        <w:tc>
          <w:tcPr>
            <w:tcW w:w="1406" w:type="pct"/>
            <w:tcBorders>
              <w:top w:val="nil"/>
              <w:left w:val="nil"/>
              <w:bottom w:val="nil"/>
              <w:right w:val="nil"/>
            </w:tcBorders>
          </w:tcPr>
          <w:p w14:paraId="087CE34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غانا</w:t>
            </w:r>
          </w:p>
        </w:tc>
        <w:tc>
          <w:tcPr>
            <w:tcW w:w="1955" w:type="pct"/>
            <w:tcBorders>
              <w:top w:val="nil"/>
              <w:left w:val="nil"/>
              <w:bottom w:val="nil"/>
              <w:right w:val="nil"/>
            </w:tcBorders>
          </w:tcPr>
          <w:p w14:paraId="3A289DF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تسليط الضوء على عناصر من برنامج </w:t>
            </w:r>
            <w:r>
              <w:rPr>
                <w:rFonts w:ascii="Arabic Typesetting" w:eastAsia="Arabic Typesetting" w:hAnsi="Arabic Typesetting" w:cs="Arabic Typesetting"/>
                <w:color w:val="000000"/>
                <w:sz w:val="28"/>
                <w:szCs w:val="28"/>
                <w:lang w:eastAsia="ar-EG" w:bidi="ar-EG"/>
              </w:rPr>
              <w:t>WIPO Re:Search</w:t>
            </w:r>
            <w:r w:rsidRPr="00CE1677">
              <w:rPr>
                <w:rFonts w:ascii="Arabic Typesetting" w:eastAsia="Arabic Typesetting" w:hAnsi="Arabic Typesetting" w:cs="Arabic Typesetting"/>
                <w:color w:val="000000"/>
                <w:sz w:val="28"/>
                <w:szCs w:val="28"/>
                <w:rtl/>
                <w:lang w:eastAsia="ar-EG" w:bidi="ar-EG"/>
              </w:rPr>
              <w:t xml:space="preserve"> والأشخاص المشاركين في</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المشروع</w:t>
            </w:r>
          </w:p>
        </w:tc>
      </w:tr>
    </w:tbl>
    <w:p w14:paraId="334C0AF8" w14:textId="77777777" w:rsidR="00BD3831" w:rsidRPr="005B56BB"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5B56BB">
        <w:rPr>
          <w:rFonts w:ascii="Arabic Typesetting" w:eastAsia="Arabic Typesetting" w:hAnsi="Arabic Typesetting" w:cs="Arabic Typesetting"/>
          <w:b/>
          <w:bCs/>
          <w:sz w:val="32"/>
          <w:szCs w:val="32"/>
          <w:rtl/>
          <w:lang w:eastAsia="ar-EG" w:bidi="ar-EG"/>
        </w:rPr>
        <w:t xml:space="preserve">اليابان/الملكية الفكرية/أفريقيا </w:t>
      </w:r>
      <w:r>
        <w:rPr>
          <w:rFonts w:ascii="Arabic Typesetting" w:eastAsia="Arabic Typesetting" w:hAnsi="Arabic Typesetting" w:cs="Arabic Typesetting"/>
          <w:b/>
          <w:bCs/>
          <w:sz w:val="32"/>
          <w:szCs w:val="32"/>
          <w:rtl/>
          <w:lang w:eastAsia="ar-EG" w:bidi="ar-EG"/>
        </w:rPr>
        <w:t>–</w:t>
      </w:r>
      <w:r w:rsidRPr="005B56BB">
        <w:rPr>
          <w:rFonts w:ascii="Arabic Typesetting" w:eastAsia="Arabic Typesetting" w:hAnsi="Arabic Typesetting" w:cs="Arabic Typesetting"/>
          <w:b/>
          <w:bCs/>
          <w:sz w:val="32"/>
          <w:szCs w:val="32"/>
          <w:rtl/>
          <w:lang w:eastAsia="ar-EG" w:bidi="ar-EG"/>
        </w:rPr>
        <w:t xml:space="preserve"> </w:t>
      </w:r>
      <w:r>
        <w:rPr>
          <w:rFonts w:ascii="Arabic Typesetting" w:eastAsia="Arabic Typesetting" w:hAnsi="Arabic Typesetting" w:cs="Arabic Typesetting" w:hint="cs"/>
          <w:b/>
          <w:bCs/>
          <w:sz w:val="32"/>
          <w:szCs w:val="32"/>
          <w:rtl/>
          <w:lang w:eastAsia="ar-EG" w:bidi="ar-EG"/>
        </w:rPr>
        <w:t>البلدان الأقل نموا</w:t>
      </w:r>
      <w:r w:rsidRPr="005B56BB">
        <w:rPr>
          <w:rFonts w:ascii="Arabic Typesetting" w:eastAsia="Arabic Typesetting" w:hAnsi="Arabic Typesetting" w:cs="Arabic Typesetting"/>
          <w:b/>
          <w:bCs/>
          <w:sz w:val="32"/>
          <w:szCs w:val="32"/>
          <w:rtl/>
          <w:lang w:eastAsia="ar-EG" w:bidi="ar-EG"/>
        </w:rPr>
        <w:t xml:space="preserve">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7602FD66" w14:textId="77777777" w:rsidTr="00DF6715">
        <w:trPr>
          <w:trHeight w:val="544"/>
        </w:trPr>
        <w:tc>
          <w:tcPr>
            <w:tcW w:w="1000" w:type="pct"/>
            <w:tcBorders>
              <w:top w:val="nil"/>
              <w:left w:val="nil"/>
              <w:bottom w:val="nil"/>
              <w:right w:val="nil"/>
            </w:tcBorders>
            <w:shd w:val="clear" w:color="000000" w:fill="C5D9F1"/>
            <w:vAlign w:val="center"/>
            <w:hideMark/>
          </w:tcPr>
          <w:p w14:paraId="074D9D05"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478D82E3"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1AE30F8A"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13D7E924"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5D17D2E8"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76630E14" w14:textId="77777777" w:rsidTr="00DF6715">
        <w:trPr>
          <w:trHeight w:val="356"/>
        </w:trPr>
        <w:tc>
          <w:tcPr>
            <w:tcW w:w="1000" w:type="pct"/>
            <w:tcBorders>
              <w:top w:val="nil"/>
              <w:left w:val="nil"/>
              <w:bottom w:val="nil"/>
              <w:right w:val="nil"/>
            </w:tcBorders>
            <w:shd w:val="clear" w:color="auto" w:fill="auto"/>
            <w:noWrap/>
            <w:vAlign w:val="bottom"/>
            <w:hideMark/>
          </w:tcPr>
          <w:p w14:paraId="6BC01A34" w14:textId="77777777" w:rsidR="00BD3831" w:rsidRPr="005B56BB" w:rsidRDefault="00BD3831" w:rsidP="0031289D">
            <w:pPr>
              <w:keepNext/>
              <w:keepLines/>
              <w:jc w:val="center"/>
              <w:rPr>
                <w:rFonts w:ascii="Arabic Typesetting" w:hAnsi="Arabic Typesetting" w:cs="Arabic Typesetting"/>
                <w:color w:val="000000"/>
                <w:sz w:val="28"/>
                <w:szCs w:val="28"/>
              </w:rPr>
            </w:pPr>
            <w:r w:rsidRPr="005B56BB">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5B56BB">
              <w:rPr>
                <w:rFonts w:ascii="Arabic Typesetting" w:hAnsi="Arabic Typesetting" w:cs="Arabic Typesetting"/>
                <w:color w:val="000000"/>
                <w:sz w:val="28"/>
                <w:szCs w:val="28"/>
              </w:rPr>
              <w:t>651</w:t>
            </w:r>
            <w:r>
              <w:rPr>
                <w:rFonts w:ascii="Arabic Typesetting" w:hAnsi="Arabic Typesetting" w:cs="Arabic Typesetting"/>
                <w:color w:val="000000"/>
                <w:sz w:val="28"/>
                <w:szCs w:val="28"/>
              </w:rPr>
              <w:t> </w:t>
            </w:r>
            <w:r w:rsidRPr="005B56BB">
              <w:rPr>
                <w:rFonts w:ascii="Arabic Typesetting" w:hAnsi="Arabic Typesetting" w:cs="Arabic Typesetting"/>
                <w:color w:val="000000"/>
                <w:sz w:val="28"/>
                <w:szCs w:val="28"/>
              </w:rPr>
              <w:t>640</w:t>
            </w:r>
          </w:p>
        </w:tc>
        <w:tc>
          <w:tcPr>
            <w:tcW w:w="1000" w:type="pct"/>
            <w:tcBorders>
              <w:top w:val="nil"/>
              <w:left w:val="nil"/>
              <w:bottom w:val="nil"/>
              <w:right w:val="nil"/>
            </w:tcBorders>
            <w:shd w:val="clear" w:color="auto" w:fill="auto"/>
            <w:noWrap/>
            <w:vAlign w:val="bottom"/>
            <w:hideMark/>
          </w:tcPr>
          <w:p w14:paraId="43BA2950" w14:textId="77777777" w:rsidR="00BD3831" w:rsidRPr="005B56BB" w:rsidRDefault="00BD3831" w:rsidP="0031289D">
            <w:pPr>
              <w:keepNext/>
              <w:keepLines/>
              <w:jc w:val="center"/>
              <w:rPr>
                <w:rFonts w:ascii="Arabic Typesetting" w:hAnsi="Arabic Typesetting" w:cs="Arabic Typesetting"/>
                <w:color w:val="000000"/>
                <w:sz w:val="28"/>
                <w:szCs w:val="28"/>
              </w:rPr>
            </w:pPr>
            <w:r w:rsidRPr="005B56BB">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5B56BB">
              <w:rPr>
                <w:rFonts w:ascii="Arabic Typesetting" w:hAnsi="Arabic Typesetting" w:cs="Arabic Typesetting"/>
                <w:color w:val="000000"/>
                <w:sz w:val="28"/>
                <w:szCs w:val="28"/>
              </w:rPr>
              <w:t>599</w:t>
            </w:r>
            <w:r>
              <w:rPr>
                <w:rFonts w:ascii="Arabic Typesetting" w:hAnsi="Arabic Typesetting" w:cs="Arabic Typesetting"/>
                <w:color w:val="000000"/>
                <w:sz w:val="28"/>
                <w:szCs w:val="28"/>
              </w:rPr>
              <w:t> </w:t>
            </w:r>
            <w:r w:rsidRPr="005B56BB">
              <w:rPr>
                <w:rFonts w:ascii="Arabic Typesetting" w:hAnsi="Arabic Typesetting" w:cs="Arabic Typesetting"/>
                <w:color w:val="000000"/>
                <w:sz w:val="28"/>
                <w:szCs w:val="28"/>
              </w:rPr>
              <w:t>634</w:t>
            </w:r>
          </w:p>
        </w:tc>
        <w:tc>
          <w:tcPr>
            <w:tcW w:w="1000" w:type="pct"/>
            <w:tcBorders>
              <w:top w:val="nil"/>
              <w:left w:val="nil"/>
              <w:bottom w:val="nil"/>
              <w:right w:val="nil"/>
            </w:tcBorders>
            <w:shd w:val="clear" w:color="auto" w:fill="auto"/>
            <w:noWrap/>
            <w:vAlign w:val="bottom"/>
            <w:hideMark/>
          </w:tcPr>
          <w:p w14:paraId="57CFB59B" w14:textId="77777777" w:rsidR="00BD3831" w:rsidRPr="005B56BB" w:rsidRDefault="00BD3831" w:rsidP="0031289D">
            <w:pPr>
              <w:keepNext/>
              <w:keepLines/>
              <w:jc w:val="center"/>
              <w:rPr>
                <w:rFonts w:ascii="Arabic Typesetting" w:hAnsi="Arabic Typesetting" w:cs="Arabic Typesetting"/>
                <w:color w:val="000000"/>
                <w:sz w:val="28"/>
                <w:szCs w:val="28"/>
              </w:rPr>
            </w:pPr>
            <w:r w:rsidRPr="005B56BB">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5B56BB">
              <w:rPr>
                <w:rFonts w:ascii="Arabic Typesetting" w:hAnsi="Arabic Typesetting" w:cs="Arabic Typesetting"/>
                <w:color w:val="000000"/>
                <w:sz w:val="28"/>
                <w:szCs w:val="28"/>
              </w:rPr>
              <w:t>688</w:t>
            </w:r>
            <w:r>
              <w:rPr>
                <w:rFonts w:ascii="Arabic Typesetting" w:hAnsi="Arabic Typesetting" w:cs="Arabic Typesetting"/>
                <w:color w:val="000000"/>
                <w:sz w:val="28"/>
                <w:szCs w:val="28"/>
              </w:rPr>
              <w:t> </w:t>
            </w:r>
            <w:r w:rsidRPr="005B56BB">
              <w:rPr>
                <w:rFonts w:ascii="Arabic Typesetting" w:hAnsi="Arabic Typesetting" w:cs="Arabic Typesetting"/>
                <w:color w:val="000000"/>
                <w:sz w:val="28"/>
                <w:szCs w:val="28"/>
              </w:rPr>
              <w:t>605</w:t>
            </w:r>
          </w:p>
        </w:tc>
        <w:tc>
          <w:tcPr>
            <w:tcW w:w="1000" w:type="pct"/>
            <w:tcBorders>
              <w:top w:val="nil"/>
              <w:left w:val="nil"/>
              <w:bottom w:val="nil"/>
              <w:right w:val="nil"/>
            </w:tcBorders>
            <w:shd w:val="clear" w:color="auto" w:fill="auto"/>
            <w:noWrap/>
            <w:vAlign w:val="bottom"/>
            <w:hideMark/>
          </w:tcPr>
          <w:p w14:paraId="5676E974" w14:textId="77777777" w:rsidR="00BD3831" w:rsidRPr="005B56BB" w:rsidRDefault="00BD3831" w:rsidP="0031289D">
            <w:pPr>
              <w:keepNext/>
              <w:keepLines/>
              <w:jc w:val="center"/>
              <w:rPr>
                <w:rFonts w:ascii="Arabic Typesetting" w:hAnsi="Arabic Typesetting" w:cs="Arabic Typesetting"/>
                <w:color w:val="000000"/>
                <w:sz w:val="28"/>
                <w:szCs w:val="28"/>
              </w:rPr>
            </w:pPr>
            <w:r w:rsidRPr="005B56BB">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2AE6E16E" w14:textId="77777777" w:rsidR="00BD3831" w:rsidRPr="005B56BB" w:rsidRDefault="00BD3831" w:rsidP="0031289D">
            <w:pPr>
              <w:keepNext/>
              <w:keepLines/>
              <w:jc w:val="center"/>
              <w:rPr>
                <w:rFonts w:ascii="Arabic Typesetting" w:hAnsi="Arabic Typesetting" w:cs="Arabic Typesetting"/>
                <w:color w:val="000000"/>
                <w:sz w:val="28"/>
                <w:szCs w:val="28"/>
              </w:rPr>
            </w:pPr>
            <w:r w:rsidRPr="005B56BB">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5B56BB">
              <w:rPr>
                <w:rFonts w:ascii="Arabic Typesetting" w:hAnsi="Arabic Typesetting" w:cs="Arabic Typesetting"/>
                <w:color w:val="000000"/>
                <w:sz w:val="28"/>
                <w:szCs w:val="28"/>
              </w:rPr>
              <w:t>562</w:t>
            </w:r>
            <w:r>
              <w:rPr>
                <w:rFonts w:ascii="Arabic Typesetting" w:hAnsi="Arabic Typesetting" w:cs="Arabic Typesetting"/>
                <w:color w:val="000000"/>
                <w:sz w:val="28"/>
                <w:szCs w:val="28"/>
              </w:rPr>
              <w:t> </w:t>
            </w:r>
            <w:r w:rsidRPr="005B56BB">
              <w:rPr>
                <w:rFonts w:ascii="Arabic Typesetting" w:hAnsi="Arabic Typesetting" w:cs="Arabic Typesetting"/>
                <w:color w:val="000000"/>
                <w:sz w:val="28"/>
                <w:szCs w:val="28"/>
              </w:rPr>
              <w:t>669</w:t>
            </w:r>
          </w:p>
        </w:tc>
      </w:tr>
    </w:tbl>
    <w:p w14:paraId="511FFC4B" w14:textId="77777777" w:rsidR="00BD3831" w:rsidRPr="005B56BB"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5B56BB">
        <w:rPr>
          <w:rFonts w:ascii="Arabic Typesetting" w:eastAsia="Arabic Typesetting" w:hAnsi="Arabic Typesetting" w:cs="Arabic Typesetting"/>
          <w:b/>
          <w:bCs/>
          <w:sz w:val="32"/>
          <w:szCs w:val="32"/>
          <w:rtl/>
          <w:lang w:eastAsia="ar-EG" w:bidi="ar-EG"/>
        </w:rPr>
        <w:t>المكسيك</w:t>
      </w:r>
    </w:p>
    <w:tbl>
      <w:tblPr>
        <w:bidiVisual/>
        <w:tblW w:w="5000" w:type="pct"/>
        <w:tblLook w:val="0000" w:firstRow="0" w:lastRow="0" w:firstColumn="0" w:lastColumn="0" w:noHBand="0" w:noVBand="0"/>
      </w:tblPr>
      <w:tblGrid>
        <w:gridCol w:w="2390"/>
        <w:gridCol w:w="1196"/>
        <w:gridCol w:w="2243"/>
        <w:gridCol w:w="3742"/>
      </w:tblGrid>
      <w:tr w:rsidR="00BD3831" w:rsidRPr="00CE1677" w14:paraId="57FEE4B3" w14:textId="77777777" w:rsidTr="00DF6715">
        <w:trPr>
          <w:cantSplit/>
        </w:trPr>
        <w:tc>
          <w:tcPr>
            <w:tcW w:w="5000" w:type="pct"/>
            <w:gridSpan w:val="4"/>
            <w:shd w:val="clear" w:color="auto" w:fill="C6D9F1"/>
            <w:vAlign w:val="center"/>
          </w:tcPr>
          <w:p w14:paraId="531E99CB"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ه1.3 استراتيجيات وخطط وطنية في مجالي الابتكار والملكية الفكرية تتماشى مع الأهداف الإنمائية الوطنية</w:t>
            </w:r>
          </w:p>
        </w:tc>
      </w:tr>
      <w:tr w:rsidR="00BD3831" w:rsidRPr="00CE1677" w14:paraId="52B3C23E" w14:textId="77777777" w:rsidTr="00DF6715">
        <w:trPr>
          <w:cantSplit/>
        </w:trPr>
        <w:tc>
          <w:tcPr>
            <w:tcW w:w="1248" w:type="pct"/>
            <w:vAlign w:val="center"/>
          </w:tcPr>
          <w:p w14:paraId="68988CB4"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25" w:type="pct"/>
            <w:tcMar>
              <w:top w:w="110" w:type="dxa"/>
            </w:tcMar>
            <w:vAlign w:val="center"/>
          </w:tcPr>
          <w:p w14:paraId="3F5AC1E3"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72" w:type="pct"/>
            <w:tcMar>
              <w:top w:w="110" w:type="dxa"/>
            </w:tcMar>
            <w:vAlign w:val="center"/>
          </w:tcPr>
          <w:p w14:paraId="17CCFBE8"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1955" w:type="pct"/>
            <w:shd w:val="clear" w:color="auto" w:fill="FFFFFF"/>
            <w:tcMar>
              <w:top w:w="110" w:type="dxa"/>
            </w:tcMar>
            <w:vAlign w:val="center"/>
          </w:tcPr>
          <w:p w14:paraId="2DE8AFF9"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0CCB4431" w14:textId="77777777" w:rsidTr="00DF6715">
        <w:tblPrEx>
          <w:tblLook w:val="04A0" w:firstRow="1" w:lastRow="0" w:firstColumn="1" w:lastColumn="0" w:noHBand="0" w:noVBand="1"/>
        </w:tblPrEx>
        <w:trPr>
          <w:cantSplit/>
          <w:trHeight w:val="473"/>
        </w:trPr>
        <w:tc>
          <w:tcPr>
            <w:tcW w:w="1248" w:type="pct"/>
          </w:tcPr>
          <w:p w14:paraId="552F95B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تمويل م</w:t>
            </w:r>
            <w:r>
              <w:rPr>
                <w:rFonts w:ascii="Arabic Typesetting" w:eastAsia="Arabic Typesetting" w:hAnsi="Arabic Typesetting" w:cs="Arabic Typesetting" w:hint="cs"/>
                <w:color w:val="000000"/>
                <w:sz w:val="28"/>
                <w:szCs w:val="28"/>
                <w:rtl/>
                <w:lang w:eastAsia="ar-EG" w:bidi="ar-EG"/>
              </w:rPr>
              <w:t>ُ</w:t>
            </w:r>
            <w:r w:rsidRPr="00CE1677">
              <w:rPr>
                <w:rFonts w:ascii="Arabic Typesetting" w:eastAsia="Arabic Typesetting" w:hAnsi="Arabic Typesetting" w:cs="Arabic Typesetting"/>
                <w:color w:val="000000"/>
                <w:sz w:val="28"/>
                <w:szCs w:val="28"/>
                <w:rtl/>
                <w:lang w:eastAsia="ar-EG" w:bidi="ar-EG"/>
              </w:rPr>
              <w:t>حاضِر لمدرسة الويبو الصيفية الخاصة بالملكية الفكرية التي تنظمها أكاديمية الويبو بالتعاون مع المعهد المكسيكي للملكية الصناعية ومعهد التكنولوجيا المستقلة في المكسيك (</w:t>
            </w:r>
            <w:r w:rsidRPr="00CE1677">
              <w:rPr>
                <w:rFonts w:ascii="Arabic Typesetting" w:eastAsia="Arabic Typesetting" w:hAnsi="Arabic Typesetting" w:cs="Arabic Typesetting"/>
                <w:color w:val="000000"/>
                <w:sz w:val="28"/>
                <w:szCs w:val="28"/>
                <w:lang w:eastAsia="ar-EG" w:bidi="ar-EG"/>
              </w:rPr>
              <w:t>ITAM</w:t>
            </w:r>
            <w:r w:rsidRPr="00CE1677">
              <w:rPr>
                <w:rFonts w:ascii="Arabic Typesetting" w:eastAsia="Arabic Typesetting" w:hAnsi="Arabic Typesetting" w:cs="Arabic Typesetting"/>
                <w:color w:val="000000"/>
                <w:sz w:val="28"/>
                <w:szCs w:val="28"/>
                <w:rtl/>
                <w:lang w:eastAsia="ar-EG" w:bidi="ar-EG"/>
              </w:rPr>
              <w:t>)</w:t>
            </w:r>
          </w:p>
        </w:tc>
        <w:tc>
          <w:tcPr>
            <w:tcW w:w="625" w:type="pct"/>
          </w:tcPr>
          <w:p w14:paraId="1D90965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30 مايو إلى 10 يونيو 2016</w:t>
            </w:r>
          </w:p>
        </w:tc>
        <w:tc>
          <w:tcPr>
            <w:tcW w:w="1172" w:type="pct"/>
          </w:tcPr>
          <w:p w14:paraId="4EE3FB7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المكسيك</w:t>
            </w:r>
          </w:p>
        </w:tc>
        <w:tc>
          <w:tcPr>
            <w:tcW w:w="1955" w:type="pct"/>
          </w:tcPr>
          <w:p w14:paraId="1B32F41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تمويل مشاركة متحدث (رئيس وحدة جرائم الملكية الفكرية في شرطة مدريد الوطنية بإسبانيا) لإلقاء محاضرة في مدرسة الويبو الصيفية</w:t>
            </w:r>
          </w:p>
        </w:tc>
      </w:tr>
      <w:tr w:rsidR="00BD3831" w:rsidRPr="00CE1677" w14:paraId="15F4D933" w14:textId="77777777" w:rsidTr="00DF6715">
        <w:tblPrEx>
          <w:tblLook w:val="04A0" w:firstRow="1" w:lastRow="0" w:firstColumn="1" w:lastColumn="0" w:noHBand="0" w:noVBand="1"/>
        </w:tblPrEx>
        <w:trPr>
          <w:cantSplit/>
          <w:trHeight w:val="473"/>
        </w:trPr>
        <w:tc>
          <w:tcPr>
            <w:tcW w:w="1248" w:type="pct"/>
          </w:tcPr>
          <w:p w14:paraId="6D03CED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ندوة إقليمية للنهوض باستخدام الملكية الصناعي</w:t>
            </w:r>
            <w:r>
              <w:rPr>
                <w:rFonts w:ascii="Arabic Typesetting" w:eastAsia="Arabic Typesetting" w:hAnsi="Arabic Typesetting" w:cs="Arabic Typesetting"/>
                <w:color w:val="000000"/>
                <w:sz w:val="28"/>
                <w:szCs w:val="28"/>
                <w:rtl/>
                <w:lang w:eastAsia="ar-EG" w:bidi="ar-EG"/>
              </w:rPr>
              <w:t>ة في الشركات الصغيرة والمتوسطة:</w:t>
            </w:r>
            <w:r w:rsidRPr="00CE1677">
              <w:rPr>
                <w:rFonts w:ascii="Arabic Typesetting" w:eastAsia="Arabic Typesetting" w:hAnsi="Arabic Typesetting" w:cs="Arabic Typesetting"/>
                <w:color w:val="000000"/>
                <w:sz w:val="28"/>
                <w:szCs w:val="28"/>
                <w:rtl/>
                <w:lang w:eastAsia="ar-EG" w:bidi="ar-EG"/>
              </w:rPr>
              <w:t xml:space="preserve"> تدريب أصحاب الأعمال المقبلين/المحتملين، ينظمها المكتب الإسباني للبراءات والعلامات التجارية والمعهد المكسيكي للم</w:t>
            </w:r>
            <w:r>
              <w:rPr>
                <w:rFonts w:ascii="Arabic Typesetting" w:eastAsia="Arabic Typesetting" w:hAnsi="Arabic Typesetting" w:cs="Arabic Typesetting"/>
                <w:color w:val="000000"/>
                <w:sz w:val="28"/>
                <w:szCs w:val="28"/>
                <w:rtl/>
                <w:lang w:eastAsia="ar-EG" w:bidi="ar-EG"/>
              </w:rPr>
              <w:t>لكية الصناعية بدعم من الويبو</w:t>
            </w:r>
          </w:p>
        </w:tc>
        <w:tc>
          <w:tcPr>
            <w:tcW w:w="625" w:type="pct"/>
          </w:tcPr>
          <w:p w14:paraId="4623BD9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19 و20 أكتوبر 2016</w:t>
            </w:r>
          </w:p>
        </w:tc>
        <w:tc>
          <w:tcPr>
            <w:tcW w:w="1172" w:type="pct"/>
          </w:tcPr>
          <w:p w14:paraId="642C300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المكسيك/</w:t>
            </w:r>
            <w:r>
              <w:rPr>
                <w:rFonts w:ascii="Arabic Typesetting" w:eastAsia="Arabic Typesetting" w:hAnsi="Arabic Typesetting" w:cs="Arabic Typesetting"/>
                <w:color w:val="000000"/>
                <w:sz w:val="28"/>
                <w:szCs w:val="28"/>
                <w:rtl/>
                <w:lang w:eastAsia="ar-EG" w:bidi="ar-EG"/>
              </w:rPr>
              <w:t>جميع بلدان</w:t>
            </w:r>
            <w:r w:rsidRPr="00CE1677">
              <w:rPr>
                <w:rFonts w:ascii="Arabic Typesetting" w:eastAsia="Arabic Typesetting" w:hAnsi="Arabic Typesetting" w:cs="Arabic Typesetting"/>
                <w:color w:val="000000"/>
                <w:sz w:val="28"/>
                <w:szCs w:val="28"/>
                <w:rtl/>
                <w:lang w:eastAsia="ar-EG" w:bidi="ar-EG"/>
              </w:rPr>
              <w:t xml:space="preserve"> أمريكا اللاتينية</w:t>
            </w:r>
          </w:p>
        </w:tc>
        <w:tc>
          <w:tcPr>
            <w:tcW w:w="1955" w:type="pct"/>
          </w:tcPr>
          <w:p w14:paraId="0E3B59E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دعم مكاتب الملكية الفكرية في سعيها إلى استحداث خدمات وبرامج لمس</w:t>
            </w:r>
            <w:r>
              <w:rPr>
                <w:rFonts w:ascii="Arabic Typesetting" w:eastAsia="Arabic Typesetting" w:hAnsi="Arabic Typesetting" w:cs="Arabic Typesetting"/>
                <w:color w:val="000000"/>
                <w:sz w:val="28"/>
                <w:szCs w:val="28"/>
                <w:rtl/>
                <w:lang w:eastAsia="ar-EG" w:bidi="ar-EG"/>
              </w:rPr>
              <w:t>اعدة الشركات الصغيرة والمتوسطة</w:t>
            </w:r>
          </w:p>
        </w:tc>
      </w:tr>
      <w:tr w:rsidR="00BD3831" w:rsidRPr="00CE1677" w14:paraId="45CDC8F8" w14:textId="77777777" w:rsidTr="00DF6715">
        <w:tblPrEx>
          <w:tblLook w:val="04A0" w:firstRow="1" w:lastRow="0" w:firstColumn="1" w:lastColumn="0" w:noHBand="0" w:noVBand="1"/>
        </w:tblPrEx>
        <w:trPr>
          <w:cantSplit/>
          <w:trHeight w:val="473"/>
        </w:trPr>
        <w:tc>
          <w:tcPr>
            <w:tcW w:w="1248" w:type="pct"/>
          </w:tcPr>
          <w:p w14:paraId="6D3D2AAE" w14:textId="54BF6E92" w:rsidR="00BD3831" w:rsidRPr="00CE1677" w:rsidRDefault="00BD3831" w:rsidP="0059581F">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يوم التوعية المفتوح لدى غرفة التجارة الإسبانية في المكسيك المنظم بالتعاون بين المكتب الإسباني للبراءات والعلامات التجارية والمعهد المكسيكي للملكية الصناعية بدعم من</w:t>
            </w:r>
            <w:r w:rsidR="0059581F">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الويبو</w:t>
            </w:r>
          </w:p>
        </w:tc>
        <w:tc>
          <w:tcPr>
            <w:tcW w:w="625" w:type="pct"/>
          </w:tcPr>
          <w:p w14:paraId="5E9B350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21 أكتوبر 2016</w:t>
            </w:r>
          </w:p>
        </w:tc>
        <w:tc>
          <w:tcPr>
            <w:tcW w:w="1172" w:type="pct"/>
          </w:tcPr>
          <w:p w14:paraId="034ECD2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المكسيك/</w:t>
            </w:r>
            <w:r>
              <w:rPr>
                <w:rFonts w:ascii="Arabic Typesetting" w:eastAsia="Arabic Typesetting" w:hAnsi="Arabic Typesetting" w:cs="Arabic Typesetting"/>
                <w:color w:val="000000"/>
                <w:sz w:val="28"/>
                <w:szCs w:val="28"/>
                <w:rtl/>
                <w:lang w:eastAsia="ar-EG" w:bidi="ar-EG"/>
              </w:rPr>
              <w:t>جميع بلدان</w:t>
            </w:r>
            <w:r w:rsidRPr="00CE1677">
              <w:rPr>
                <w:rFonts w:ascii="Arabic Typesetting" w:eastAsia="Arabic Typesetting" w:hAnsi="Arabic Typesetting" w:cs="Arabic Typesetting"/>
                <w:color w:val="000000"/>
                <w:sz w:val="28"/>
                <w:szCs w:val="28"/>
                <w:rtl/>
                <w:lang w:eastAsia="ar-EG" w:bidi="ar-EG"/>
              </w:rPr>
              <w:t xml:space="preserve"> أمريكا اللاتينية</w:t>
            </w:r>
          </w:p>
        </w:tc>
        <w:tc>
          <w:tcPr>
            <w:tcW w:w="1955" w:type="pct"/>
          </w:tcPr>
          <w:p w14:paraId="01200E3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معالجة وجاهة حماية الملكية الفكرية وإدارة الملكية الفكرية من أجل تعزيز القدرة التنافسية الصناعية في القطاع</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الخاص</w:t>
            </w:r>
          </w:p>
        </w:tc>
      </w:tr>
      <w:tr w:rsidR="00BD3831" w:rsidRPr="00CE1677" w14:paraId="48A34368" w14:textId="77777777" w:rsidTr="00DF6715">
        <w:tblPrEx>
          <w:tblLook w:val="04A0" w:firstRow="1" w:lastRow="0" w:firstColumn="1" w:lastColumn="0" w:noHBand="0" w:noVBand="1"/>
        </w:tblPrEx>
        <w:trPr>
          <w:cantSplit/>
          <w:trHeight w:val="650"/>
        </w:trPr>
        <w:tc>
          <w:tcPr>
            <w:tcW w:w="1248" w:type="pct"/>
          </w:tcPr>
          <w:p w14:paraId="02A3A80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الحدث الجانبي للمعهد المكسيكي للملكية الصناعية في إطار الجمعيات العامة </w:t>
            </w:r>
            <w:r>
              <w:rPr>
                <w:rFonts w:ascii="Arabic Typesetting" w:eastAsia="Arabic Typesetting" w:hAnsi="Arabic Typesetting" w:cs="Arabic Typesetting"/>
                <w:color w:val="000000"/>
                <w:sz w:val="28"/>
                <w:szCs w:val="28"/>
                <w:rtl/>
                <w:lang w:eastAsia="ar-EG" w:bidi="ar-EG"/>
              </w:rPr>
              <w:t>للويبو</w:t>
            </w:r>
          </w:p>
        </w:tc>
        <w:tc>
          <w:tcPr>
            <w:tcW w:w="625" w:type="pct"/>
          </w:tcPr>
          <w:p w14:paraId="5B720EC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7 أكتوبر 2016</w:t>
            </w:r>
          </w:p>
        </w:tc>
        <w:tc>
          <w:tcPr>
            <w:tcW w:w="1172" w:type="pct"/>
          </w:tcPr>
          <w:p w14:paraId="41ACBF6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جنيف/</w:t>
            </w:r>
            <w:r>
              <w:rPr>
                <w:rFonts w:ascii="Arabic Typesetting" w:eastAsia="Arabic Typesetting" w:hAnsi="Arabic Typesetting" w:cs="Arabic Typesetting"/>
                <w:color w:val="000000"/>
                <w:sz w:val="28"/>
                <w:szCs w:val="28"/>
                <w:rtl/>
                <w:lang w:eastAsia="ar-EG" w:bidi="ar-EG"/>
              </w:rPr>
              <w:t>جميع بلدان</w:t>
            </w:r>
            <w:r w:rsidRPr="00CE1677">
              <w:rPr>
                <w:rFonts w:ascii="Arabic Typesetting" w:eastAsia="Arabic Typesetting" w:hAnsi="Arabic Typesetting" w:cs="Arabic Typesetting"/>
                <w:color w:val="000000"/>
                <w:sz w:val="28"/>
                <w:szCs w:val="28"/>
                <w:rtl/>
                <w:lang w:eastAsia="ar-EG" w:bidi="ar-EG"/>
              </w:rPr>
              <w:t xml:space="preserve"> أمريكا اللاتينية</w:t>
            </w:r>
          </w:p>
        </w:tc>
        <w:tc>
          <w:tcPr>
            <w:tcW w:w="1955" w:type="pct"/>
          </w:tcPr>
          <w:p w14:paraId="1B37D99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تقديم مبادرة المكسيك لدعم إدارة طلبات البراءات لبلدان أمريكا الوسطى والجمهورية الدومنيكية</w:t>
            </w:r>
            <w:r>
              <w:rPr>
                <w:rFonts w:ascii="Arabic Typesetting" w:eastAsia="Arabic Typesetting" w:hAnsi="Arabic Typesetting" w:cs="Arabic Typesetting" w:hint="cs"/>
                <w:color w:val="000000"/>
                <w:sz w:val="28"/>
                <w:szCs w:val="28"/>
                <w:rtl/>
                <w:lang w:eastAsia="ar-EG" w:bidi="ar-EG"/>
              </w:rPr>
              <w:t xml:space="preserve"> (</w:t>
            </w:r>
            <w:r w:rsidRPr="00CE1677">
              <w:rPr>
                <w:rFonts w:ascii="Arabic Typesetting" w:eastAsia="Arabic Typesetting" w:hAnsi="Arabic Typesetting" w:cs="Arabic Typesetting"/>
                <w:color w:val="000000"/>
                <w:sz w:val="28"/>
                <w:szCs w:val="28"/>
                <w:lang w:eastAsia="ar-EG" w:bidi="ar-EG"/>
              </w:rPr>
              <w:t>CADOPAT</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vertAlign w:val="superscript"/>
                <w:lang w:eastAsia="ar-EG" w:bidi="ar-EG"/>
              </w:rPr>
              <w:footnoteReference w:id="110"/>
            </w:r>
            <w:r w:rsidRPr="00CE1677">
              <w:rPr>
                <w:rFonts w:ascii="Arabic Typesetting" w:eastAsia="Arabic Typesetting" w:hAnsi="Arabic Typesetting" w:cs="Arabic Typesetting"/>
                <w:color w:val="000000"/>
                <w:sz w:val="28"/>
                <w:szCs w:val="28"/>
                <w:rtl/>
                <w:lang w:eastAsia="ar-EG" w:bidi="ar-EG"/>
              </w:rPr>
              <w:t xml:space="preserve"> للتعاون الأفقي في فحص البراءات</w:t>
            </w:r>
          </w:p>
        </w:tc>
      </w:tr>
    </w:tbl>
    <w:p w14:paraId="3A5DC68C" w14:textId="77777777" w:rsidR="00BD3831" w:rsidRPr="005B56BB"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5B56BB">
        <w:rPr>
          <w:rFonts w:ascii="Arabic Typesetting" w:eastAsia="Arabic Typesetting" w:hAnsi="Arabic Typesetting" w:cs="Arabic Typesetting"/>
          <w:b/>
          <w:bCs/>
          <w:sz w:val="32"/>
          <w:szCs w:val="32"/>
          <w:rtl/>
          <w:lang w:eastAsia="ar-EG" w:bidi="ar-EG"/>
        </w:rPr>
        <w:lastRenderedPageBreak/>
        <w:t>المكسيك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79E2DD9E" w14:textId="77777777" w:rsidTr="00DF6715">
        <w:trPr>
          <w:trHeight w:val="544"/>
        </w:trPr>
        <w:tc>
          <w:tcPr>
            <w:tcW w:w="1000" w:type="pct"/>
            <w:tcBorders>
              <w:top w:val="nil"/>
              <w:left w:val="nil"/>
              <w:bottom w:val="nil"/>
              <w:right w:val="nil"/>
            </w:tcBorders>
            <w:shd w:val="clear" w:color="000000" w:fill="C5D9F1"/>
            <w:vAlign w:val="center"/>
            <w:hideMark/>
          </w:tcPr>
          <w:p w14:paraId="3A96B390"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427378D3"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62EF0480"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068C9824"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5AB5574C"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0A5C114A" w14:textId="77777777" w:rsidTr="00DF6715">
        <w:trPr>
          <w:trHeight w:val="356"/>
        </w:trPr>
        <w:tc>
          <w:tcPr>
            <w:tcW w:w="1000" w:type="pct"/>
            <w:tcBorders>
              <w:top w:val="nil"/>
              <w:left w:val="nil"/>
              <w:bottom w:val="nil"/>
              <w:right w:val="nil"/>
            </w:tcBorders>
            <w:shd w:val="clear" w:color="auto" w:fill="auto"/>
            <w:noWrap/>
            <w:vAlign w:val="bottom"/>
            <w:hideMark/>
          </w:tcPr>
          <w:p w14:paraId="0F5CDC87" w14:textId="77777777" w:rsidR="00BD3831" w:rsidRPr="0072772C" w:rsidRDefault="00BD3831" w:rsidP="0031289D">
            <w:pPr>
              <w:jc w:val="center"/>
              <w:rPr>
                <w:rFonts w:ascii="Arabic Typesetting" w:hAnsi="Arabic Typesetting" w:cs="Arabic Typesetting"/>
                <w:color w:val="000000"/>
                <w:sz w:val="28"/>
                <w:szCs w:val="28"/>
              </w:rPr>
            </w:pPr>
            <w:r w:rsidRPr="0072772C">
              <w:rPr>
                <w:rFonts w:ascii="Arabic Typesetting" w:hAnsi="Arabic Typesetting" w:cs="Arabic Typesetting"/>
                <w:color w:val="000000"/>
                <w:sz w:val="28"/>
                <w:szCs w:val="28"/>
              </w:rPr>
              <w:t>144</w:t>
            </w:r>
            <w:r>
              <w:rPr>
                <w:rFonts w:ascii="Arabic Typesetting" w:hAnsi="Arabic Typesetting" w:cs="Arabic Typesetting"/>
                <w:color w:val="000000"/>
                <w:sz w:val="28"/>
                <w:szCs w:val="28"/>
              </w:rPr>
              <w:t> </w:t>
            </w:r>
            <w:r w:rsidRPr="0072772C">
              <w:rPr>
                <w:rFonts w:ascii="Arabic Typesetting" w:hAnsi="Arabic Typesetting" w:cs="Arabic Typesetting"/>
                <w:color w:val="000000"/>
                <w:sz w:val="28"/>
                <w:szCs w:val="28"/>
              </w:rPr>
              <w:t>426</w:t>
            </w:r>
          </w:p>
        </w:tc>
        <w:tc>
          <w:tcPr>
            <w:tcW w:w="1000" w:type="pct"/>
            <w:tcBorders>
              <w:top w:val="nil"/>
              <w:left w:val="nil"/>
              <w:bottom w:val="nil"/>
              <w:right w:val="nil"/>
            </w:tcBorders>
            <w:shd w:val="clear" w:color="auto" w:fill="auto"/>
            <w:noWrap/>
            <w:vAlign w:val="bottom"/>
            <w:hideMark/>
          </w:tcPr>
          <w:p w14:paraId="7884F0B2" w14:textId="77777777" w:rsidR="00BD3831" w:rsidRPr="0072772C" w:rsidRDefault="00BD3831" w:rsidP="0031289D">
            <w:pPr>
              <w:jc w:val="center"/>
              <w:rPr>
                <w:rFonts w:ascii="Arabic Typesetting" w:hAnsi="Arabic Typesetting" w:cs="Arabic Typesetting"/>
                <w:color w:val="000000"/>
                <w:sz w:val="28"/>
                <w:szCs w:val="28"/>
              </w:rPr>
            </w:pPr>
            <w:r w:rsidRPr="0072772C">
              <w:rPr>
                <w:rFonts w:ascii="Arabic Typesetting" w:hAnsi="Arabic Typesetting" w:cs="Arabic Typesetting"/>
                <w:color w:val="000000"/>
                <w:sz w:val="28"/>
                <w:szCs w:val="28"/>
              </w:rPr>
              <w:t>98</w:t>
            </w:r>
            <w:r>
              <w:rPr>
                <w:rFonts w:ascii="Arabic Typesetting" w:hAnsi="Arabic Typesetting" w:cs="Arabic Typesetting"/>
                <w:color w:val="000000"/>
                <w:sz w:val="28"/>
                <w:szCs w:val="28"/>
              </w:rPr>
              <w:t> </w:t>
            </w:r>
            <w:r w:rsidRPr="0072772C">
              <w:rPr>
                <w:rFonts w:ascii="Arabic Typesetting" w:hAnsi="Arabic Typesetting" w:cs="Arabic Typesetting"/>
                <w:color w:val="000000"/>
                <w:sz w:val="28"/>
                <w:szCs w:val="28"/>
              </w:rPr>
              <w:t>765</w:t>
            </w:r>
          </w:p>
        </w:tc>
        <w:tc>
          <w:tcPr>
            <w:tcW w:w="1000" w:type="pct"/>
            <w:tcBorders>
              <w:top w:val="nil"/>
              <w:left w:val="nil"/>
              <w:bottom w:val="nil"/>
              <w:right w:val="nil"/>
            </w:tcBorders>
            <w:shd w:val="clear" w:color="auto" w:fill="auto"/>
            <w:noWrap/>
            <w:vAlign w:val="bottom"/>
            <w:hideMark/>
          </w:tcPr>
          <w:p w14:paraId="1F12CBB6" w14:textId="77777777" w:rsidR="00BD3831" w:rsidRPr="0072772C" w:rsidRDefault="00BD3831" w:rsidP="0031289D">
            <w:pPr>
              <w:jc w:val="center"/>
              <w:rPr>
                <w:rFonts w:ascii="Arabic Typesetting" w:hAnsi="Arabic Typesetting" w:cs="Arabic Typesetting"/>
                <w:color w:val="000000"/>
                <w:sz w:val="28"/>
                <w:szCs w:val="28"/>
              </w:rPr>
            </w:pPr>
            <w:r w:rsidRPr="0072772C">
              <w:rPr>
                <w:rFonts w:ascii="Arabic Typesetting" w:hAnsi="Arabic Typesetting" w:cs="Arabic Typesetting"/>
                <w:color w:val="000000"/>
                <w:sz w:val="28"/>
                <w:szCs w:val="28"/>
              </w:rPr>
              <w:t>27</w:t>
            </w:r>
            <w:r>
              <w:rPr>
                <w:rFonts w:ascii="Arabic Typesetting" w:hAnsi="Arabic Typesetting" w:cs="Arabic Typesetting"/>
                <w:color w:val="000000"/>
                <w:sz w:val="28"/>
                <w:szCs w:val="28"/>
              </w:rPr>
              <w:t> </w:t>
            </w:r>
            <w:r w:rsidRPr="0072772C">
              <w:rPr>
                <w:rFonts w:ascii="Arabic Typesetting" w:hAnsi="Arabic Typesetting" w:cs="Arabic Typesetting"/>
                <w:color w:val="000000"/>
                <w:sz w:val="28"/>
                <w:szCs w:val="28"/>
              </w:rPr>
              <w:t>752</w:t>
            </w:r>
          </w:p>
        </w:tc>
        <w:tc>
          <w:tcPr>
            <w:tcW w:w="1000" w:type="pct"/>
            <w:tcBorders>
              <w:top w:val="nil"/>
              <w:left w:val="nil"/>
              <w:bottom w:val="nil"/>
              <w:right w:val="nil"/>
            </w:tcBorders>
            <w:shd w:val="clear" w:color="auto" w:fill="auto"/>
            <w:noWrap/>
            <w:vAlign w:val="bottom"/>
            <w:hideMark/>
          </w:tcPr>
          <w:p w14:paraId="2F1DC016" w14:textId="77777777" w:rsidR="00BD3831" w:rsidRPr="0072772C" w:rsidRDefault="00BD3831" w:rsidP="0031289D">
            <w:pPr>
              <w:jc w:val="center"/>
              <w:rPr>
                <w:rFonts w:ascii="Arabic Typesetting" w:hAnsi="Arabic Typesetting" w:cs="Arabic Typesetting"/>
                <w:color w:val="000000"/>
                <w:sz w:val="28"/>
                <w:szCs w:val="28"/>
              </w:rPr>
            </w:pPr>
            <w:r w:rsidRPr="0072772C">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235EE3F6" w14:textId="77777777" w:rsidR="00BD3831" w:rsidRPr="0072772C" w:rsidRDefault="00BD3831" w:rsidP="0031289D">
            <w:pPr>
              <w:jc w:val="center"/>
              <w:rPr>
                <w:rFonts w:ascii="Arabic Typesetting" w:hAnsi="Arabic Typesetting" w:cs="Arabic Typesetting"/>
                <w:color w:val="000000"/>
                <w:sz w:val="28"/>
                <w:szCs w:val="28"/>
              </w:rPr>
            </w:pPr>
            <w:r w:rsidRPr="0072772C">
              <w:rPr>
                <w:rFonts w:ascii="Arabic Typesetting" w:hAnsi="Arabic Typesetting" w:cs="Arabic Typesetting"/>
                <w:color w:val="000000"/>
                <w:sz w:val="28"/>
                <w:szCs w:val="28"/>
              </w:rPr>
              <w:t>215</w:t>
            </w:r>
            <w:r>
              <w:rPr>
                <w:rFonts w:ascii="Arabic Typesetting" w:hAnsi="Arabic Typesetting" w:cs="Arabic Typesetting"/>
                <w:color w:val="000000"/>
                <w:sz w:val="28"/>
                <w:szCs w:val="28"/>
              </w:rPr>
              <w:t> </w:t>
            </w:r>
            <w:r w:rsidRPr="0072772C">
              <w:rPr>
                <w:rFonts w:ascii="Arabic Typesetting" w:hAnsi="Arabic Typesetting" w:cs="Arabic Typesetting"/>
                <w:color w:val="000000"/>
                <w:sz w:val="28"/>
                <w:szCs w:val="28"/>
              </w:rPr>
              <w:t>439</w:t>
            </w:r>
          </w:p>
        </w:tc>
      </w:tr>
    </w:tbl>
    <w:p w14:paraId="090FEAD9" w14:textId="77777777" w:rsidR="00BD3831" w:rsidRPr="0072772C"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72772C">
        <w:rPr>
          <w:rFonts w:ascii="Arabic Typesetting" w:eastAsia="Arabic Typesetting" w:hAnsi="Arabic Typesetting" w:cs="Arabic Typesetting"/>
          <w:b/>
          <w:bCs/>
          <w:sz w:val="32"/>
          <w:szCs w:val="32"/>
          <w:rtl/>
          <w:lang w:eastAsia="ar-EG" w:bidi="ar-EG"/>
        </w:rPr>
        <w:t>جمهورية كوريا/إذكاء الاحترام للملكية الفكرية</w:t>
      </w:r>
    </w:p>
    <w:tbl>
      <w:tblPr>
        <w:bidiVisual/>
        <w:tblW w:w="5000" w:type="pct"/>
        <w:tblLook w:val="0000" w:firstRow="0" w:lastRow="0" w:firstColumn="0" w:lastColumn="0" w:noHBand="0" w:noVBand="0"/>
      </w:tblPr>
      <w:tblGrid>
        <w:gridCol w:w="1886"/>
        <w:gridCol w:w="1252"/>
        <w:gridCol w:w="2243"/>
        <w:gridCol w:w="4190"/>
      </w:tblGrid>
      <w:tr w:rsidR="00BD3831" w:rsidRPr="00CE1677" w14:paraId="26B19C5F" w14:textId="77777777" w:rsidTr="00DF6715">
        <w:tc>
          <w:tcPr>
            <w:tcW w:w="5000" w:type="pct"/>
            <w:gridSpan w:val="4"/>
            <w:shd w:val="clear" w:color="auto" w:fill="C6D9F1"/>
            <w:vAlign w:val="center"/>
          </w:tcPr>
          <w:p w14:paraId="42B14BB1"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ه2.3 كفاءات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‏معزَّزة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‏للموارد</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‏البشرية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‏القادرة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‏على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‏تلبية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‏تشكيلة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‏واسعة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‏من المتطلبات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‏لتسخير</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‏الملكية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‏الفكرية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‏بفعالية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‏لأغراض</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‏التنمية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‏في</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‏النامية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‏الأقل</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‏نموا</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‏المنتقلة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‏إلى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‏نظام الاقتصاد الحر</w:t>
            </w:r>
          </w:p>
        </w:tc>
      </w:tr>
      <w:tr w:rsidR="00BD3831" w:rsidRPr="00CE1677" w14:paraId="785B0DCB" w14:textId="77777777" w:rsidTr="00DF6715">
        <w:trPr>
          <w:trHeight w:val="438"/>
        </w:trPr>
        <w:tc>
          <w:tcPr>
            <w:tcW w:w="985" w:type="pct"/>
            <w:vAlign w:val="center"/>
          </w:tcPr>
          <w:p w14:paraId="06C89E8A"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54" w:type="pct"/>
            <w:shd w:val="clear" w:color="auto" w:fill="auto"/>
            <w:tcMar>
              <w:top w:w="110" w:type="dxa"/>
            </w:tcMar>
            <w:vAlign w:val="center"/>
          </w:tcPr>
          <w:p w14:paraId="5976C62F"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72" w:type="pct"/>
            <w:shd w:val="clear" w:color="auto" w:fill="auto"/>
            <w:tcMar>
              <w:top w:w="110" w:type="dxa"/>
            </w:tcMar>
            <w:vAlign w:val="center"/>
          </w:tcPr>
          <w:p w14:paraId="3C9DDFCD"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189" w:type="pct"/>
            <w:shd w:val="clear" w:color="auto" w:fill="FFFFFF"/>
            <w:tcMar>
              <w:top w:w="110" w:type="dxa"/>
            </w:tcMar>
            <w:vAlign w:val="center"/>
          </w:tcPr>
          <w:p w14:paraId="0F9F9670"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6480DF5F" w14:textId="77777777" w:rsidTr="00DF6715">
        <w:tblPrEx>
          <w:tblLook w:val="04A0" w:firstRow="1" w:lastRow="0" w:firstColumn="1" w:lastColumn="0" w:noHBand="0" w:noVBand="1"/>
        </w:tblPrEx>
        <w:trPr>
          <w:trHeight w:val="473"/>
        </w:trPr>
        <w:tc>
          <w:tcPr>
            <w:tcW w:w="985" w:type="pct"/>
          </w:tcPr>
          <w:p w14:paraId="582D0D0C" w14:textId="77777777" w:rsidR="00BD3831" w:rsidRPr="0017164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hint="cs"/>
                <w:sz w:val="28"/>
                <w:szCs w:val="28"/>
                <w:rtl/>
                <w:lang w:eastAsia="ar-EG" w:bidi="ar-EG"/>
              </w:rPr>
              <w:t>حلقة العمل الأقاليمية المشتركة بين الويبو ووزارة الثقافة والرياضة والسياحة في جمهورية كوريا ولجنة كوريا لحق المؤلف بشأن إنفاذ حق المؤلف</w:t>
            </w:r>
          </w:p>
        </w:tc>
        <w:tc>
          <w:tcPr>
            <w:tcW w:w="654" w:type="pct"/>
          </w:tcPr>
          <w:p w14:paraId="535A593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5 إلى 9 ديسمبر 2016</w:t>
            </w:r>
          </w:p>
        </w:tc>
        <w:tc>
          <w:tcPr>
            <w:tcW w:w="1172" w:type="pct"/>
          </w:tcPr>
          <w:p w14:paraId="4C1D038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Cs/>
                <w:kern w:val="36"/>
                <w:sz w:val="28"/>
                <w:szCs w:val="28"/>
                <w:lang w:eastAsia="ar-EG" w:bidi="ar-EG"/>
              </w:rPr>
            </w:pPr>
            <w:r w:rsidRPr="00CE1677">
              <w:rPr>
                <w:rFonts w:ascii="Arabic Typesetting" w:eastAsia="Arabic Typesetting" w:hAnsi="Arabic Typesetting" w:cs="Arabic Typesetting"/>
                <w:sz w:val="28"/>
                <w:szCs w:val="28"/>
                <w:rtl/>
                <w:lang w:eastAsia="ar-EG" w:bidi="ar-EG"/>
              </w:rPr>
              <w:t>جمهورية كوريا/20 مشاركاً أجنبياً من 10 بلدان</w:t>
            </w:r>
          </w:p>
        </w:tc>
        <w:tc>
          <w:tcPr>
            <w:tcW w:w="2189" w:type="pct"/>
          </w:tcPr>
          <w:p w14:paraId="101DDBAB"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"1" دراسة قيمة حماية حق المؤلف والحقوق المجاورة وتطبيقها على التنمية الاجتماعية والاقتصادية والثقافية في الدول المشاركة؛ "2" وتقديم تدريب </w:t>
            </w:r>
            <w:r>
              <w:rPr>
                <w:rFonts w:ascii="Arabic Typesetting" w:eastAsia="Arabic Typesetting" w:hAnsi="Arabic Typesetting" w:cs="Arabic Typesetting" w:hint="cs"/>
                <w:sz w:val="28"/>
                <w:szCs w:val="28"/>
                <w:rtl/>
                <w:lang w:eastAsia="ar-EG" w:bidi="ar-EG"/>
              </w:rPr>
              <w:t>أ</w:t>
            </w:r>
            <w:r w:rsidRPr="00CE1677">
              <w:rPr>
                <w:rFonts w:ascii="Arabic Typesetting" w:eastAsia="Arabic Typesetting" w:hAnsi="Arabic Typesetting" w:cs="Arabic Typesetting"/>
                <w:sz w:val="28"/>
                <w:szCs w:val="28"/>
                <w:rtl/>
                <w:lang w:eastAsia="ar-EG" w:bidi="ar-EG"/>
              </w:rPr>
              <w:t>ساسي حول أوجه العلاج وإجراءات ت</w:t>
            </w:r>
            <w:r>
              <w:rPr>
                <w:rFonts w:ascii="Arabic Typesetting" w:eastAsia="Arabic Typesetting" w:hAnsi="Arabic Typesetting" w:cs="Arabic Typesetting"/>
                <w:sz w:val="28"/>
                <w:szCs w:val="28"/>
                <w:rtl/>
                <w:lang w:eastAsia="ar-EG" w:bidi="ar-EG"/>
              </w:rPr>
              <w:t>طبيق حق المؤلف، مع التركيز ب</w:t>
            </w:r>
            <w:r w:rsidRPr="00CE1677">
              <w:rPr>
                <w:rFonts w:ascii="Arabic Typesetting" w:eastAsia="Arabic Typesetting" w:hAnsi="Arabic Typesetting" w:cs="Arabic Typesetting"/>
                <w:sz w:val="28"/>
                <w:szCs w:val="28"/>
                <w:rtl/>
                <w:lang w:eastAsia="ar-EG" w:bidi="ar-EG"/>
              </w:rPr>
              <w:t>خاصة على البيئة الرقمية؛ "3" ومناقشة قضايا موضوعية في مجال إذكاء الاحترام لحق المؤلف؛ "4" ووضع تصور للاستراتيجيات الوطنية وعبر</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الوطنية للتعاون الفعال في</w:t>
            </w:r>
            <w:r>
              <w:rPr>
                <w:rFonts w:ascii="Arabic Typesetting" w:eastAsia="Arabic Typesetting" w:hAnsi="Arabic Typesetting" w:cs="Arabic Typesetting"/>
                <w:sz w:val="28"/>
                <w:szCs w:val="28"/>
                <w:rtl/>
                <w:lang w:eastAsia="ar-EG" w:bidi="ar-EG"/>
              </w:rPr>
              <w:t xml:space="preserve"> مجال إذكاء الاحترام لحق المؤلف</w:t>
            </w:r>
          </w:p>
        </w:tc>
      </w:tr>
      <w:tr w:rsidR="00BD3831" w:rsidRPr="00CE1677" w14:paraId="42E9BB8B" w14:textId="77777777" w:rsidTr="00DF6715">
        <w:tblPrEx>
          <w:tblLook w:val="04A0" w:firstRow="1" w:lastRow="0" w:firstColumn="1" w:lastColumn="0" w:noHBand="0" w:noVBand="1"/>
        </w:tblPrEx>
        <w:trPr>
          <w:trHeight w:val="473"/>
        </w:trPr>
        <w:tc>
          <w:tcPr>
            <w:tcW w:w="985" w:type="pct"/>
          </w:tcPr>
          <w:p w14:paraId="3F063ED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sz w:val="28"/>
                <w:szCs w:val="28"/>
                <w:rtl/>
                <w:lang w:eastAsia="ar-EG" w:bidi="ar-EG"/>
              </w:rPr>
              <w:t>توطين وترجمة المواد التدريسية للويبو - وزارة الثقافة والرياضة والسياحة بشأن احترام حق المؤلف</w:t>
            </w:r>
          </w:p>
        </w:tc>
        <w:tc>
          <w:tcPr>
            <w:tcW w:w="654" w:type="pct"/>
          </w:tcPr>
          <w:p w14:paraId="6DA4A2B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من 23 يونيو إلى 31 ديسمبر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172" w:type="pct"/>
          </w:tcPr>
          <w:p w14:paraId="6002B7D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kern w:val="36"/>
                <w:sz w:val="28"/>
                <w:szCs w:val="28"/>
                <w:rtl/>
                <w:lang w:eastAsia="ar-EG" w:bidi="ar-EG"/>
              </w:rPr>
              <w:t>كل الدول الأعضاء في الويبو</w:t>
            </w:r>
          </w:p>
        </w:tc>
        <w:tc>
          <w:tcPr>
            <w:tcW w:w="2189" w:type="pct"/>
          </w:tcPr>
          <w:p w14:paraId="6354AFD0" w14:textId="77777777" w:rsidR="00BD3831" w:rsidRPr="00CE1677" w:rsidDel="003610BF" w:rsidRDefault="00BD3831" w:rsidP="0031289D">
            <w:pPr>
              <w:bidi/>
              <w:spacing w:after="120" w:line="280" w:lineRule="exact"/>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تكييف المواد التعليمية القائمة بالإنكليزية بشأن حق المؤلف إلى الفرنسية والإسبانية العربية من أجل تعزيز احترام حق المؤلف في البلدان الناطقة باللغة الفرنسية والإسبانية والعربية عن طريق زيادة تقدير الجمهور العام، وبخاصة في صفوف الشباب، لنظام</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حق المؤلف وإنفاذه</w:t>
            </w:r>
          </w:p>
        </w:tc>
      </w:tr>
      <w:tr w:rsidR="00BD3831" w:rsidRPr="00CE1677" w14:paraId="3BE4437B" w14:textId="77777777" w:rsidTr="00DF6715">
        <w:tblPrEx>
          <w:tblLook w:val="04A0" w:firstRow="1" w:lastRow="0" w:firstColumn="1" w:lastColumn="0" w:noHBand="0" w:noVBand="1"/>
        </w:tblPrEx>
        <w:trPr>
          <w:trHeight w:val="473"/>
        </w:trPr>
        <w:tc>
          <w:tcPr>
            <w:tcW w:w="985" w:type="pct"/>
          </w:tcPr>
          <w:p w14:paraId="1BCC9C7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استحداث مجموعة من أدوات الاستقصاء لتقييم سلوكيات المستهلكين</w:t>
            </w:r>
          </w:p>
        </w:tc>
        <w:tc>
          <w:tcPr>
            <w:tcW w:w="654" w:type="pct"/>
          </w:tcPr>
          <w:p w14:paraId="139A3F7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7 سبتمبر إلى 22 ديسمبر 2016</w:t>
            </w:r>
          </w:p>
        </w:tc>
        <w:tc>
          <w:tcPr>
            <w:tcW w:w="1172" w:type="pct"/>
            <w:shd w:val="clear" w:color="auto" w:fill="auto"/>
          </w:tcPr>
          <w:p w14:paraId="1F819CB6"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كل الدول الأعضاء في الويبو</w:t>
            </w:r>
          </w:p>
        </w:tc>
        <w:tc>
          <w:tcPr>
            <w:tcW w:w="2189" w:type="pct"/>
          </w:tcPr>
          <w:p w14:paraId="4A65BBD9"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مساعدة مكاتب الملكية الفكرية وغيرها من الجهات المضطلعة بأنشطة لإذكاء الاحترام للملكية الفكرية بغية وضع معايير موضوعية بشأن تخطيط وتقييم استراتيجيات التواصل الخاصة بتعزيز الاحترام</w:t>
            </w:r>
          </w:p>
        </w:tc>
      </w:tr>
    </w:tbl>
    <w:p w14:paraId="3EFDA2BF" w14:textId="77777777" w:rsidR="00BD3831" w:rsidRPr="00171647"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171647">
        <w:rPr>
          <w:rFonts w:ascii="Arabic Typesetting" w:eastAsia="Arabic Typesetting" w:hAnsi="Arabic Typesetting" w:cs="Arabic Typesetting"/>
          <w:b/>
          <w:bCs/>
          <w:sz w:val="32"/>
          <w:szCs w:val="32"/>
          <w:rtl/>
          <w:lang w:eastAsia="ar-EG" w:bidi="ar-EG"/>
        </w:rPr>
        <w:t>جمهورية كوريا/إذكاء الاحترام للملكية الفكرية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394EC30C" w14:textId="77777777" w:rsidTr="00DF6715">
        <w:trPr>
          <w:trHeight w:val="544"/>
        </w:trPr>
        <w:tc>
          <w:tcPr>
            <w:tcW w:w="1000" w:type="pct"/>
            <w:tcBorders>
              <w:top w:val="nil"/>
              <w:left w:val="nil"/>
              <w:bottom w:val="nil"/>
              <w:right w:val="nil"/>
            </w:tcBorders>
            <w:shd w:val="clear" w:color="000000" w:fill="C5D9F1"/>
            <w:vAlign w:val="center"/>
            <w:hideMark/>
          </w:tcPr>
          <w:p w14:paraId="235943CB"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328A8462"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070581F1"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7956A1F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0B90490A"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627B5987" w14:textId="77777777" w:rsidTr="00DF6715">
        <w:trPr>
          <w:trHeight w:val="356"/>
        </w:trPr>
        <w:tc>
          <w:tcPr>
            <w:tcW w:w="1000" w:type="pct"/>
            <w:tcBorders>
              <w:top w:val="nil"/>
              <w:left w:val="nil"/>
              <w:bottom w:val="nil"/>
              <w:right w:val="nil"/>
            </w:tcBorders>
            <w:shd w:val="clear" w:color="auto" w:fill="auto"/>
            <w:noWrap/>
            <w:vAlign w:val="bottom"/>
            <w:hideMark/>
          </w:tcPr>
          <w:p w14:paraId="1D9D88F7" w14:textId="77777777" w:rsidR="00BD3831" w:rsidRPr="00171647" w:rsidRDefault="00BD3831" w:rsidP="0031289D">
            <w:pPr>
              <w:jc w:val="center"/>
              <w:rPr>
                <w:rFonts w:ascii="Arabic Typesetting" w:hAnsi="Arabic Typesetting" w:cs="Arabic Typesetting"/>
                <w:color w:val="000000"/>
                <w:sz w:val="28"/>
                <w:szCs w:val="28"/>
              </w:rPr>
            </w:pPr>
            <w:r w:rsidRPr="00171647">
              <w:rPr>
                <w:rFonts w:ascii="Arabic Typesetting" w:hAnsi="Arabic Typesetting" w:cs="Arabic Typesetting"/>
                <w:color w:val="000000"/>
                <w:sz w:val="28"/>
                <w:szCs w:val="28"/>
              </w:rPr>
              <w:t>50</w:t>
            </w:r>
            <w:r>
              <w:rPr>
                <w:rFonts w:ascii="Arabic Typesetting" w:hAnsi="Arabic Typesetting" w:cs="Arabic Typesetting"/>
                <w:color w:val="000000"/>
                <w:sz w:val="28"/>
                <w:szCs w:val="28"/>
              </w:rPr>
              <w:t> </w:t>
            </w:r>
            <w:r w:rsidRPr="00171647">
              <w:rPr>
                <w:rFonts w:ascii="Arabic Typesetting" w:hAnsi="Arabic Typesetting" w:cs="Arabic Typesetting"/>
                <w:color w:val="000000"/>
                <w:sz w:val="28"/>
                <w:szCs w:val="28"/>
              </w:rPr>
              <w:t>475</w:t>
            </w:r>
          </w:p>
        </w:tc>
        <w:tc>
          <w:tcPr>
            <w:tcW w:w="1000" w:type="pct"/>
            <w:tcBorders>
              <w:top w:val="nil"/>
              <w:left w:val="nil"/>
              <w:bottom w:val="nil"/>
              <w:right w:val="nil"/>
            </w:tcBorders>
            <w:shd w:val="clear" w:color="auto" w:fill="auto"/>
            <w:noWrap/>
            <w:vAlign w:val="bottom"/>
            <w:hideMark/>
          </w:tcPr>
          <w:p w14:paraId="3F9C2AE5" w14:textId="77777777" w:rsidR="00BD3831" w:rsidRPr="00171647" w:rsidRDefault="00BD3831" w:rsidP="0031289D">
            <w:pPr>
              <w:jc w:val="center"/>
              <w:rPr>
                <w:rFonts w:ascii="Arabic Typesetting" w:hAnsi="Arabic Typesetting" w:cs="Arabic Typesetting"/>
                <w:color w:val="000000"/>
                <w:sz w:val="28"/>
                <w:szCs w:val="28"/>
              </w:rPr>
            </w:pPr>
            <w:r w:rsidRPr="00171647">
              <w:rPr>
                <w:rFonts w:ascii="Arabic Typesetting" w:hAnsi="Arabic Typesetting" w:cs="Arabic Typesetting"/>
                <w:color w:val="000000"/>
                <w:sz w:val="28"/>
                <w:szCs w:val="28"/>
              </w:rPr>
              <w:t>126</w:t>
            </w:r>
            <w:r>
              <w:rPr>
                <w:rFonts w:ascii="Arabic Typesetting" w:hAnsi="Arabic Typesetting" w:cs="Arabic Typesetting"/>
                <w:color w:val="000000"/>
                <w:sz w:val="28"/>
                <w:szCs w:val="28"/>
              </w:rPr>
              <w:t> </w:t>
            </w:r>
            <w:r w:rsidRPr="00171647">
              <w:rPr>
                <w:rFonts w:ascii="Arabic Typesetting" w:hAnsi="Arabic Typesetting" w:cs="Arabic Typesetting"/>
                <w:color w:val="000000"/>
                <w:sz w:val="28"/>
                <w:szCs w:val="28"/>
              </w:rPr>
              <w:t>336</w:t>
            </w:r>
          </w:p>
        </w:tc>
        <w:tc>
          <w:tcPr>
            <w:tcW w:w="1000" w:type="pct"/>
            <w:tcBorders>
              <w:top w:val="nil"/>
              <w:left w:val="nil"/>
              <w:bottom w:val="nil"/>
              <w:right w:val="nil"/>
            </w:tcBorders>
            <w:shd w:val="clear" w:color="auto" w:fill="auto"/>
            <w:noWrap/>
            <w:vAlign w:val="bottom"/>
            <w:hideMark/>
          </w:tcPr>
          <w:p w14:paraId="652671C0" w14:textId="77777777" w:rsidR="00BD3831" w:rsidRPr="00171647" w:rsidRDefault="00BD3831" w:rsidP="0031289D">
            <w:pPr>
              <w:jc w:val="center"/>
              <w:rPr>
                <w:rFonts w:ascii="Arabic Typesetting" w:hAnsi="Arabic Typesetting" w:cs="Arabic Typesetting"/>
                <w:color w:val="000000"/>
                <w:sz w:val="28"/>
                <w:szCs w:val="28"/>
              </w:rPr>
            </w:pPr>
            <w:r w:rsidRPr="00171647">
              <w:rPr>
                <w:rFonts w:ascii="Arabic Typesetting" w:hAnsi="Arabic Typesetting" w:cs="Arabic Typesetting"/>
                <w:color w:val="000000"/>
                <w:sz w:val="28"/>
                <w:szCs w:val="28"/>
              </w:rPr>
              <w:t>118</w:t>
            </w:r>
            <w:r>
              <w:rPr>
                <w:rFonts w:ascii="Arabic Typesetting" w:hAnsi="Arabic Typesetting" w:cs="Arabic Typesetting"/>
                <w:color w:val="000000"/>
                <w:sz w:val="28"/>
                <w:szCs w:val="28"/>
              </w:rPr>
              <w:t> </w:t>
            </w:r>
            <w:r w:rsidRPr="00171647">
              <w:rPr>
                <w:rFonts w:ascii="Arabic Typesetting" w:hAnsi="Arabic Typesetting" w:cs="Arabic Typesetting"/>
                <w:color w:val="000000"/>
                <w:sz w:val="28"/>
                <w:szCs w:val="28"/>
              </w:rPr>
              <w:t>462</w:t>
            </w:r>
          </w:p>
        </w:tc>
        <w:tc>
          <w:tcPr>
            <w:tcW w:w="1000" w:type="pct"/>
            <w:tcBorders>
              <w:top w:val="nil"/>
              <w:left w:val="nil"/>
              <w:bottom w:val="nil"/>
              <w:right w:val="nil"/>
            </w:tcBorders>
            <w:shd w:val="clear" w:color="auto" w:fill="auto"/>
            <w:noWrap/>
            <w:vAlign w:val="bottom"/>
            <w:hideMark/>
          </w:tcPr>
          <w:p w14:paraId="0EE6B56F" w14:textId="77777777" w:rsidR="00BD3831" w:rsidRPr="00171647" w:rsidRDefault="00BD3831" w:rsidP="0031289D">
            <w:pPr>
              <w:jc w:val="center"/>
              <w:rPr>
                <w:rFonts w:ascii="Arabic Typesetting" w:hAnsi="Arabic Typesetting" w:cs="Arabic Typesetting"/>
                <w:color w:val="000000"/>
                <w:sz w:val="28"/>
                <w:szCs w:val="28"/>
              </w:rPr>
            </w:pPr>
            <w:r w:rsidRPr="00171647">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43CB1F44" w14:textId="77777777" w:rsidR="00BD3831" w:rsidRPr="00171647" w:rsidRDefault="00BD3831" w:rsidP="0031289D">
            <w:pPr>
              <w:jc w:val="center"/>
              <w:rPr>
                <w:rFonts w:ascii="Arabic Typesetting" w:hAnsi="Arabic Typesetting" w:cs="Arabic Typesetting"/>
                <w:color w:val="000000"/>
                <w:sz w:val="28"/>
                <w:szCs w:val="28"/>
              </w:rPr>
            </w:pPr>
            <w:r w:rsidRPr="00171647">
              <w:rPr>
                <w:rFonts w:ascii="Arabic Typesetting" w:hAnsi="Arabic Typesetting" w:cs="Arabic Typesetting"/>
                <w:color w:val="000000"/>
                <w:sz w:val="28"/>
                <w:szCs w:val="28"/>
              </w:rPr>
              <w:t>58</w:t>
            </w:r>
            <w:r>
              <w:rPr>
                <w:rFonts w:ascii="Arabic Typesetting" w:hAnsi="Arabic Typesetting" w:cs="Arabic Typesetting"/>
                <w:color w:val="000000"/>
                <w:sz w:val="28"/>
                <w:szCs w:val="28"/>
              </w:rPr>
              <w:t> </w:t>
            </w:r>
            <w:r w:rsidRPr="00171647">
              <w:rPr>
                <w:rFonts w:ascii="Arabic Typesetting" w:hAnsi="Arabic Typesetting" w:cs="Arabic Typesetting"/>
                <w:color w:val="000000"/>
                <w:sz w:val="28"/>
                <w:szCs w:val="28"/>
              </w:rPr>
              <w:t>349</w:t>
            </w:r>
          </w:p>
        </w:tc>
      </w:tr>
    </w:tbl>
    <w:p w14:paraId="31268A7A" w14:textId="77777777" w:rsidR="00BD3831" w:rsidRPr="00171647"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171647">
        <w:rPr>
          <w:rFonts w:ascii="Arabic Typesetting" w:eastAsia="Arabic Typesetting" w:hAnsi="Arabic Typesetting" w:cs="Arabic Typesetting"/>
          <w:b/>
          <w:bCs/>
          <w:sz w:val="32"/>
          <w:szCs w:val="32"/>
          <w:rtl/>
          <w:lang w:eastAsia="ar-EG" w:bidi="ar-EG"/>
        </w:rPr>
        <w:t>جمهورية كوريا/حق المؤلف</w:t>
      </w:r>
    </w:p>
    <w:tbl>
      <w:tblPr>
        <w:bidiVisual/>
        <w:tblW w:w="5000" w:type="pct"/>
        <w:tblLook w:val="0000" w:firstRow="0" w:lastRow="0" w:firstColumn="0" w:lastColumn="0" w:noHBand="0" w:noVBand="0"/>
      </w:tblPr>
      <w:tblGrid>
        <w:gridCol w:w="1979"/>
        <w:gridCol w:w="1346"/>
        <w:gridCol w:w="2243"/>
        <w:gridCol w:w="4003"/>
      </w:tblGrid>
      <w:tr w:rsidR="00BD3831" w:rsidRPr="00CE1677" w14:paraId="146D77C3" w14:textId="77777777" w:rsidTr="00DF6715">
        <w:trPr>
          <w:trHeight w:val="755"/>
        </w:trPr>
        <w:tc>
          <w:tcPr>
            <w:tcW w:w="5000" w:type="pct"/>
            <w:gridSpan w:val="4"/>
            <w:shd w:val="clear" w:color="auto" w:fill="C6D9F1"/>
            <w:vAlign w:val="center"/>
          </w:tcPr>
          <w:p w14:paraId="2E9B3C85"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ه2.3 كفاءات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‏معزَّزة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‏للموارد</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‏البشرية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‏القادرة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‏على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‏تلبية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‏تشكيلة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‏واسعة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‏من المتطلبات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‏لتسخير</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‏الملكية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‏الفكرية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‏بفعالية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‏لأغراض</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‏التنمية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‏في</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‏النامية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‏الأقل</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‏نموا</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‏المنتقلة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‏إلى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‏نظام الاقتصاد الحر</w:t>
            </w:r>
          </w:p>
        </w:tc>
      </w:tr>
      <w:tr w:rsidR="00BD3831" w:rsidRPr="00CE1677" w14:paraId="6B66707E" w14:textId="77777777" w:rsidTr="00DF6715">
        <w:trPr>
          <w:trHeight w:val="457"/>
        </w:trPr>
        <w:tc>
          <w:tcPr>
            <w:tcW w:w="1034" w:type="pct"/>
            <w:vAlign w:val="center"/>
          </w:tcPr>
          <w:p w14:paraId="46982538"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703" w:type="pct"/>
            <w:shd w:val="clear" w:color="auto" w:fill="auto"/>
            <w:tcMar>
              <w:top w:w="110" w:type="dxa"/>
            </w:tcMar>
            <w:vAlign w:val="center"/>
          </w:tcPr>
          <w:p w14:paraId="55D8A3B8"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72" w:type="pct"/>
            <w:shd w:val="clear" w:color="auto" w:fill="auto"/>
            <w:tcMar>
              <w:top w:w="110" w:type="dxa"/>
            </w:tcMar>
            <w:vAlign w:val="center"/>
          </w:tcPr>
          <w:p w14:paraId="730DA388"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091" w:type="pct"/>
            <w:shd w:val="clear" w:color="auto" w:fill="FFFFFF"/>
            <w:tcMar>
              <w:top w:w="110" w:type="dxa"/>
            </w:tcMar>
            <w:vAlign w:val="center"/>
          </w:tcPr>
          <w:p w14:paraId="6D478281"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51DF6990" w14:textId="77777777" w:rsidTr="00DF6715">
        <w:trPr>
          <w:trHeight w:val="547"/>
        </w:trPr>
        <w:tc>
          <w:tcPr>
            <w:tcW w:w="1034" w:type="pct"/>
          </w:tcPr>
          <w:p w14:paraId="53F685B0" w14:textId="77777777" w:rsidR="00BD3831" w:rsidRPr="00CE1677" w:rsidDel="009E0498"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وطنية بشأن حق المؤلف والحقوق المجاورة</w:t>
            </w:r>
          </w:p>
        </w:tc>
        <w:tc>
          <w:tcPr>
            <w:tcW w:w="703" w:type="pct"/>
            <w:shd w:val="clear" w:color="auto" w:fill="auto"/>
            <w:tcMar>
              <w:top w:w="110" w:type="dxa"/>
            </w:tcMar>
          </w:tcPr>
          <w:p w14:paraId="33738AC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13 إلى 15 ديسمبر 2016</w:t>
            </w:r>
          </w:p>
        </w:tc>
        <w:tc>
          <w:tcPr>
            <w:tcW w:w="1172" w:type="pct"/>
            <w:shd w:val="clear" w:color="auto" w:fill="auto"/>
            <w:tcMar>
              <w:top w:w="110" w:type="dxa"/>
            </w:tcMar>
          </w:tcPr>
          <w:p w14:paraId="729FC5F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فييت نام/ 200 (نحو</w:t>
            </w:r>
            <w:r>
              <w:rPr>
                <w:rFonts w:ascii="Arabic Typesetting" w:eastAsia="Arabic Typesetting" w:hAnsi="Arabic Typesetting" w:cs="Arabic Typesetting"/>
                <w:color w:val="000000"/>
                <w:sz w:val="28"/>
                <w:szCs w:val="28"/>
                <w:rtl/>
                <w:lang w:eastAsia="ar-EG" w:bidi="ar-EG"/>
              </w:rPr>
              <w:t xml:space="preserve"> 100 مشارك محلي في كل حلقة عمل)</w:t>
            </w:r>
          </w:p>
        </w:tc>
        <w:tc>
          <w:tcPr>
            <w:tcW w:w="2091" w:type="pct"/>
            <w:shd w:val="clear" w:color="auto" w:fill="FFFFFF"/>
            <w:tcMar>
              <w:top w:w="110" w:type="dxa"/>
            </w:tcMar>
          </w:tcPr>
          <w:p w14:paraId="767A6E1E" w14:textId="77777777" w:rsidR="00BD3831" w:rsidRPr="00CE1677" w:rsidDel="00152E3E"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kern w:val="2"/>
                <w:sz w:val="28"/>
                <w:szCs w:val="28"/>
                <w:rtl/>
                <w:lang w:eastAsia="ar-EG" w:bidi="ar-EG"/>
              </w:rPr>
              <w:t>إزكاء الوعي لدى واضعي السياسات وأصحاب المصلحة الرئيسيين بشأن أهمية حق المؤلف والحقوق المجاورة</w:t>
            </w:r>
          </w:p>
        </w:tc>
      </w:tr>
      <w:tr w:rsidR="00BD3831" w:rsidRPr="00CE1677" w14:paraId="71758625" w14:textId="77777777" w:rsidTr="00DF6715">
        <w:trPr>
          <w:trHeight w:val="820"/>
        </w:trPr>
        <w:tc>
          <w:tcPr>
            <w:tcW w:w="1034" w:type="pct"/>
          </w:tcPr>
          <w:p w14:paraId="02E18C1D" w14:textId="77777777" w:rsidR="00BD3831" w:rsidRPr="00CE1677"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مشروع قطري لتعزيز الوعي بشأن حق المؤلف والحقوق</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المجاورة</w:t>
            </w:r>
          </w:p>
        </w:tc>
        <w:tc>
          <w:tcPr>
            <w:tcW w:w="703" w:type="pct"/>
            <w:shd w:val="clear" w:color="auto" w:fill="auto"/>
            <w:tcMar>
              <w:top w:w="110" w:type="dxa"/>
            </w:tcMar>
          </w:tcPr>
          <w:p w14:paraId="21C8DD00"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من مايو إلى ديسمبر 2016</w:t>
            </w:r>
            <w:r>
              <w:rPr>
                <w:rFonts w:ascii="Arabic Typesetting" w:eastAsia="Arabic Typesetting" w:hAnsi="Arabic Typesetting" w:cs="Arabic Typesetting"/>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172" w:type="pct"/>
            <w:shd w:val="clear" w:color="auto" w:fill="auto"/>
            <w:tcMar>
              <w:top w:w="110" w:type="dxa"/>
            </w:tcMar>
          </w:tcPr>
          <w:p w14:paraId="31D2FFC7"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ملاوي</w:t>
            </w:r>
          </w:p>
        </w:tc>
        <w:tc>
          <w:tcPr>
            <w:tcW w:w="2091" w:type="pct"/>
            <w:shd w:val="clear" w:color="auto" w:fill="FFFFFF"/>
            <w:tcMar>
              <w:top w:w="110" w:type="dxa"/>
            </w:tcMar>
          </w:tcPr>
          <w:p w14:paraId="06AB374F"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مساعدة ملاوي في مساعيها لإنشاء بنية تحتية صالحة لحق المؤلف وتعزيز القدرات الوطنية لتنفيذ برامج إذكاء الوعي العام بشأن حق المؤلف والحقوق المجاورة</w:t>
            </w:r>
          </w:p>
        </w:tc>
      </w:tr>
      <w:tr w:rsidR="00BD3831" w:rsidRPr="00CE1677" w14:paraId="570901A6" w14:textId="77777777" w:rsidTr="00DF6715">
        <w:trPr>
          <w:trHeight w:val="820"/>
        </w:trPr>
        <w:tc>
          <w:tcPr>
            <w:tcW w:w="1034" w:type="pct"/>
          </w:tcPr>
          <w:p w14:paraId="44A83F57"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lastRenderedPageBreak/>
              <w:t>مشروع قطري لتعزيز الوعي بشأن حق المؤلف والحقوق</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المجاورة</w:t>
            </w:r>
          </w:p>
        </w:tc>
        <w:tc>
          <w:tcPr>
            <w:tcW w:w="703" w:type="pct"/>
            <w:shd w:val="clear" w:color="auto" w:fill="auto"/>
            <w:tcMar>
              <w:top w:w="110" w:type="dxa"/>
            </w:tcMar>
          </w:tcPr>
          <w:p w14:paraId="0592B6DD" w14:textId="77777777" w:rsidR="00BD3831" w:rsidRPr="00CE1677" w:rsidRDefault="00BD3831" w:rsidP="0031289D">
            <w:pPr>
              <w:bidi/>
              <w:spacing w:after="120" w:line="280" w:lineRule="exact"/>
              <w:rPr>
                <w:rFonts w:ascii="Arabic Typesetting" w:eastAsia="Arabic Typesetting" w:hAnsi="Arabic Typesetting" w:cs="Arabic Typesetting"/>
                <w:b/>
                <w:sz w:val="28"/>
                <w:szCs w:val="28"/>
                <w:lang w:eastAsia="ar-EG" w:bidi="ar-EG"/>
              </w:rPr>
            </w:pPr>
            <w:r w:rsidRPr="00CE1677">
              <w:rPr>
                <w:rFonts w:ascii="Arabic Typesetting" w:eastAsia="Arabic Typesetting" w:hAnsi="Arabic Typesetting" w:cs="Arabic Typesetting"/>
                <w:sz w:val="28"/>
                <w:szCs w:val="28"/>
                <w:rtl/>
                <w:lang w:eastAsia="ar-EG" w:bidi="ar-EG"/>
              </w:rPr>
              <w:t>من مارس إلى ديسمبر 2016</w:t>
            </w:r>
            <w:r>
              <w:rPr>
                <w:rFonts w:ascii="Arabic Typesetting" w:eastAsia="Arabic Typesetting" w:hAnsi="Arabic Typesetting" w:cs="Arabic Typesetting"/>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172" w:type="pct"/>
            <w:shd w:val="clear" w:color="auto" w:fill="auto"/>
            <w:tcMar>
              <w:top w:w="110" w:type="dxa"/>
            </w:tcMar>
          </w:tcPr>
          <w:p w14:paraId="687DEFFC"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بوتسوانا/ 5 مؤسسات تعليمية (4 </w:t>
            </w:r>
            <w:r>
              <w:rPr>
                <w:rFonts w:ascii="Arabic Typesetting" w:eastAsia="Arabic Typesetting" w:hAnsi="Arabic Typesetting" w:cs="Arabic Typesetting"/>
                <w:sz w:val="28"/>
                <w:szCs w:val="28"/>
                <w:rtl/>
                <w:lang w:eastAsia="ar-EG" w:bidi="ar-EG"/>
              </w:rPr>
              <w:t>مدارس ثانوية ومؤسسة شباب واحدة)</w:t>
            </w:r>
          </w:p>
        </w:tc>
        <w:tc>
          <w:tcPr>
            <w:tcW w:w="2091" w:type="pct"/>
            <w:shd w:val="clear" w:color="auto" w:fill="FFFFFF"/>
            <w:tcMar>
              <w:top w:w="110" w:type="dxa"/>
            </w:tcMar>
          </w:tcPr>
          <w:p w14:paraId="426C7D20"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دعم بوتسوانا في تنفيذ مشروع تعليمي في مجال حق المؤلف يكون موجهاً إلى الشباب للتوعية بحق المؤلف وتهيئة بيئة مؤاتية للاستخدام والحماية الفعالي</w:t>
            </w:r>
            <w:r>
              <w:rPr>
                <w:rFonts w:ascii="Arabic Typesetting" w:eastAsia="Arabic Typesetting" w:hAnsi="Arabic Typesetting" w:cs="Arabic Typesetting"/>
                <w:sz w:val="28"/>
                <w:szCs w:val="28"/>
                <w:rtl/>
                <w:lang w:eastAsia="ar-EG" w:bidi="ar-EG"/>
              </w:rPr>
              <w:t>ين لحق المؤلف والحقوق</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المجاورة</w:t>
            </w:r>
          </w:p>
        </w:tc>
      </w:tr>
      <w:tr w:rsidR="00BD3831" w:rsidRPr="00CE1677" w14:paraId="46F10C2C" w14:textId="77777777" w:rsidTr="00DF6715">
        <w:trPr>
          <w:trHeight w:val="604"/>
        </w:trPr>
        <w:tc>
          <w:tcPr>
            <w:tcW w:w="1034" w:type="pct"/>
          </w:tcPr>
          <w:p w14:paraId="0F913305"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مشروع قطري لتعزيز الوعي بشأن حق المؤلف والحقوق</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المجاورة</w:t>
            </w:r>
          </w:p>
        </w:tc>
        <w:tc>
          <w:tcPr>
            <w:tcW w:w="703" w:type="pct"/>
            <w:shd w:val="clear" w:color="auto" w:fill="auto"/>
            <w:tcMar>
              <w:top w:w="110" w:type="dxa"/>
            </w:tcMar>
          </w:tcPr>
          <w:p w14:paraId="505F0801"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‏ديسمبر 2016</w:t>
            </w:r>
            <w:r>
              <w:rPr>
                <w:rFonts w:ascii="Arabic Typesetting" w:eastAsia="Arabic Typesetting" w:hAnsi="Arabic Typesetting" w:cs="Arabic Typesetting"/>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172" w:type="pct"/>
            <w:shd w:val="clear" w:color="auto" w:fill="auto"/>
            <w:tcMar>
              <w:top w:w="110" w:type="dxa"/>
            </w:tcMar>
          </w:tcPr>
          <w:p w14:paraId="68C2E940"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كينيا/ 77 مشاركاً في تدريب في مومباسا؛ و92 مشاركاً في تدريب في بوميت</w:t>
            </w:r>
          </w:p>
        </w:tc>
        <w:tc>
          <w:tcPr>
            <w:tcW w:w="2091" w:type="pct"/>
            <w:shd w:val="clear" w:color="auto" w:fill="FFFFFF"/>
            <w:tcMar>
              <w:top w:w="110" w:type="dxa"/>
            </w:tcMar>
          </w:tcPr>
          <w:p w14:paraId="187B22C1"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تعزيز قدرات كينيا</w:t>
            </w:r>
            <w:r>
              <w:rPr>
                <w:rFonts w:ascii="Arabic Typesetting" w:eastAsia="Arabic Typesetting" w:hAnsi="Arabic Typesetting" w:cs="Arabic Typesetting"/>
                <w:sz w:val="28"/>
                <w:szCs w:val="28"/>
                <w:rtl/>
                <w:lang w:eastAsia="ar-EG" w:bidi="ar-EG"/>
              </w:rPr>
              <w:t xml:space="preserve"> لتنفيذ برامج توعية عامة منتظمة</w:t>
            </w:r>
            <w:r w:rsidRPr="00CE1677">
              <w:rPr>
                <w:rFonts w:ascii="Arabic Typesetting" w:eastAsia="Arabic Typesetting" w:hAnsi="Arabic Typesetting" w:cs="Arabic Typesetting"/>
                <w:sz w:val="28"/>
                <w:szCs w:val="28"/>
                <w:rtl/>
                <w:lang w:eastAsia="ar-EG" w:bidi="ar-EG"/>
              </w:rPr>
              <w:t xml:space="preserve"> بغية إيجاد بيئة مؤاتية </w:t>
            </w:r>
            <w:r>
              <w:rPr>
                <w:rFonts w:ascii="Arabic Typesetting" w:eastAsia="Arabic Typesetting" w:hAnsi="Arabic Typesetting" w:cs="Arabic Typesetting" w:hint="cs"/>
                <w:sz w:val="28"/>
                <w:szCs w:val="28"/>
                <w:rtl/>
                <w:lang w:eastAsia="ar-EG" w:bidi="ar-EG"/>
              </w:rPr>
              <w:t>ل</w:t>
            </w:r>
            <w:r w:rsidRPr="00CE1677">
              <w:rPr>
                <w:rFonts w:ascii="Arabic Typesetting" w:eastAsia="Arabic Typesetting" w:hAnsi="Arabic Typesetting" w:cs="Arabic Typesetting"/>
                <w:sz w:val="28"/>
                <w:szCs w:val="28"/>
                <w:rtl/>
                <w:lang w:eastAsia="ar-EG" w:bidi="ar-EG"/>
              </w:rPr>
              <w:t>لاستخدام الفعال لحق المؤلف والحقوق المجاورة وحمايتها</w:t>
            </w:r>
          </w:p>
        </w:tc>
      </w:tr>
      <w:tr w:rsidR="00BD3831" w:rsidRPr="00CE1677" w14:paraId="2070BAAC" w14:textId="77777777" w:rsidTr="00DF6715">
        <w:trPr>
          <w:trHeight w:val="842"/>
        </w:trPr>
        <w:tc>
          <w:tcPr>
            <w:tcW w:w="1034" w:type="pct"/>
          </w:tcPr>
          <w:p w14:paraId="286CC77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مشروع اتحاد الكتب المي</w:t>
            </w:r>
            <w:r>
              <w:rPr>
                <w:rFonts w:ascii="Arabic Typesetting" w:eastAsia="Arabic Typesetting" w:hAnsi="Arabic Typesetting" w:cs="Arabic Typesetting" w:hint="cs"/>
                <w:color w:val="000000"/>
                <w:sz w:val="28"/>
                <w:szCs w:val="28"/>
                <w:rtl/>
                <w:lang w:eastAsia="ar-EG" w:bidi="ar-EG"/>
              </w:rPr>
              <w:t>سَّرة</w:t>
            </w:r>
          </w:p>
        </w:tc>
        <w:tc>
          <w:tcPr>
            <w:tcW w:w="703" w:type="pct"/>
            <w:shd w:val="clear" w:color="auto" w:fill="auto"/>
            <w:tcMar>
              <w:top w:w="110" w:type="dxa"/>
            </w:tcMar>
          </w:tcPr>
          <w:p w14:paraId="702C945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‏من يونيو إلى ديسمبر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172" w:type="pct"/>
            <w:shd w:val="clear" w:color="auto" w:fill="auto"/>
            <w:tcMar>
              <w:top w:w="110" w:type="dxa"/>
            </w:tcMar>
          </w:tcPr>
          <w:p w14:paraId="7942C5D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w:t>
            </w:r>
            <w:r>
              <w:rPr>
                <w:rFonts w:ascii="Arabic Typesetting" w:eastAsia="Arabic Typesetting" w:hAnsi="Arabic Typesetting" w:cs="Arabic Typesetting"/>
                <w:color w:val="000000"/>
                <w:sz w:val="28"/>
                <w:szCs w:val="28"/>
                <w:rtl/>
                <w:lang w:eastAsia="ar-EG" w:bidi="ar-EG"/>
              </w:rPr>
              <w:t>لهند</w:t>
            </w:r>
          </w:p>
        </w:tc>
        <w:tc>
          <w:tcPr>
            <w:tcW w:w="2091" w:type="pct"/>
            <w:shd w:val="clear" w:color="auto" w:fill="FFFFFF"/>
            <w:tcMar>
              <w:top w:w="110" w:type="dxa"/>
            </w:tcMar>
          </w:tcPr>
          <w:p w14:paraId="11AC777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القضاء على مجاعة الكتب في صفوف تلاميذ الثانوية من ذوي الإعاقة في قراءة المطبوعات في أوتار براديش وبونجاب وراجستان بالهند عن طريق المساعدة في إنتاج كتب ميسَّرة النسق؛ "2" ودعم نفاذ التلاميذ إلى كتب رقمية ميسَّرة عن طريق توفير أجهزة قراءة وتدريب التلاميذ على استخدامها؛ "3" وتكوين كفاءات الناشرين الحكوميين للكتب الدراسية لتُنتج الكتب المقبلة بنسق ميسَّر</w:t>
            </w:r>
          </w:p>
        </w:tc>
      </w:tr>
      <w:tr w:rsidR="00BD3831" w:rsidRPr="00CE1677" w14:paraId="28B02E9D" w14:textId="77777777" w:rsidTr="00DF6715">
        <w:tc>
          <w:tcPr>
            <w:tcW w:w="5000" w:type="pct"/>
            <w:gridSpan w:val="4"/>
            <w:shd w:val="clear" w:color="auto" w:fill="C6D9F1"/>
            <w:vAlign w:val="center"/>
          </w:tcPr>
          <w:p w14:paraId="1FB61E2C" w14:textId="666D7A1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b/>
                <w:bCs/>
                <w:sz w:val="28"/>
                <w:szCs w:val="28"/>
                <w:rtl/>
                <w:lang w:eastAsia="ar-EG" w:bidi="ar-EG"/>
              </w:rPr>
              <w:t xml:space="preserve"> </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color w:val="000000"/>
                <w:sz w:val="28"/>
                <w:szCs w:val="28"/>
                <w:rtl/>
                <w:lang w:eastAsia="ar-EG" w:bidi="ar-EG"/>
              </w:rPr>
              <w:t xml:space="preserve">ه4.4 </w:t>
            </w:r>
            <w:r w:rsidR="007B1E0A">
              <w:rPr>
                <w:rFonts w:ascii="Arabic Typesetting" w:eastAsia="Arabic Typesetting" w:hAnsi="Arabic Typesetting" w:cs="Arabic Typesetting"/>
                <w:color w:val="000000"/>
                <w:sz w:val="28"/>
                <w:szCs w:val="28"/>
                <w:rtl/>
                <w:lang w:eastAsia="ar-EG" w:bidi="ar-EG"/>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r w:rsidRPr="00CE1677">
              <w:rPr>
                <w:rFonts w:ascii="Arabic Typesetting" w:eastAsia="Arabic Typesetting" w:hAnsi="Arabic Typesetting" w:cs="Arabic Typesetting"/>
                <w:color w:val="000000"/>
                <w:sz w:val="28"/>
                <w:szCs w:val="28"/>
                <w:rtl/>
                <w:lang w:eastAsia="ar-EG" w:bidi="ar-EG"/>
              </w:rPr>
              <w:t xml:space="preserve"> </w:t>
            </w:r>
          </w:p>
        </w:tc>
      </w:tr>
      <w:tr w:rsidR="00BD3831" w:rsidRPr="00CE1677" w14:paraId="41D278CD" w14:textId="77777777" w:rsidTr="00DF6715">
        <w:tc>
          <w:tcPr>
            <w:tcW w:w="1034" w:type="pct"/>
            <w:vAlign w:val="center"/>
          </w:tcPr>
          <w:p w14:paraId="09F91275"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703" w:type="pct"/>
            <w:shd w:val="clear" w:color="auto" w:fill="auto"/>
            <w:tcMar>
              <w:top w:w="110" w:type="dxa"/>
            </w:tcMar>
            <w:vAlign w:val="center"/>
          </w:tcPr>
          <w:p w14:paraId="3345C8AE"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72" w:type="pct"/>
            <w:shd w:val="clear" w:color="auto" w:fill="auto"/>
            <w:tcMar>
              <w:top w:w="110" w:type="dxa"/>
            </w:tcMar>
            <w:vAlign w:val="center"/>
          </w:tcPr>
          <w:p w14:paraId="17307B34"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091" w:type="pct"/>
            <w:shd w:val="clear" w:color="auto" w:fill="FFFFFF"/>
            <w:tcMar>
              <w:top w:w="110" w:type="dxa"/>
            </w:tcMar>
            <w:vAlign w:val="center"/>
          </w:tcPr>
          <w:p w14:paraId="39F33203"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324B6001" w14:textId="77777777" w:rsidTr="00DF6715">
        <w:trPr>
          <w:trHeight w:val="1549"/>
        </w:trPr>
        <w:tc>
          <w:tcPr>
            <w:tcW w:w="1034" w:type="pct"/>
          </w:tcPr>
          <w:p w14:paraId="427136E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أقاليمية بشأن تكوين الكفاءات في مجال حق المؤلف</w:t>
            </w:r>
          </w:p>
        </w:tc>
        <w:tc>
          <w:tcPr>
            <w:tcW w:w="703" w:type="pct"/>
            <w:shd w:val="clear" w:color="auto" w:fill="auto"/>
            <w:tcMar>
              <w:top w:w="110" w:type="dxa"/>
            </w:tcMar>
          </w:tcPr>
          <w:p w14:paraId="0C53FB0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21 إلى 24 مارس 2016</w:t>
            </w:r>
          </w:p>
        </w:tc>
        <w:tc>
          <w:tcPr>
            <w:tcW w:w="1172" w:type="pct"/>
            <w:shd w:val="clear" w:color="auto" w:fill="auto"/>
            <w:tcMar>
              <w:top w:w="28" w:type="dxa"/>
            </w:tcMar>
          </w:tcPr>
          <w:p w14:paraId="0CD1535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كوريا/ 15 مشاركاً من أنغولا والأرجنتين والصين ودومينيكا وإكوادور ومصر وغواتيمالا وإندونيسيا والهند وميانمار ونيبال ونيجيريا والاتحاد الروسي وسري لانكا وأوغندا</w:t>
            </w:r>
          </w:p>
        </w:tc>
        <w:tc>
          <w:tcPr>
            <w:tcW w:w="2091" w:type="pct"/>
            <w:shd w:val="clear" w:color="auto" w:fill="FFFFFF"/>
            <w:tcMar>
              <w:top w:w="110" w:type="dxa"/>
            </w:tcMar>
          </w:tcPr>
          <w:p w14:paraId="5576313A" w14:textId="77777777" w:rsidR="00BD3831" w:rsidRPr="00CE1677" w:rsidRDefault="00BD3831" w:rsidP="0031289D">
            <w:pPr>
              <w:bidi/>
              <w:spacing w:after="120" w:line="280" w:lineRule="exact"/>
              <w:rPr>
                <w:rFonts w:ascii="Arabic Typesetting" w:hAnsi="Arabic Typesetting" w:cs="Arabic Typesetting"/>
                <w:kern w:val="2"/>
                <w:sz w:val="28"/>
                <w:szCs w:val="28"/>
                <w:lang w:eastAsia="ar-EG" w:bidi="ar-EG"/>
              </w:rPr>
            </w:pPr>
            <w:r w:rsidRPr="00CE1677">
              <w:rPr>
                <w:rFonts w:ascii="Arabic Typesetting" w:hAnsi="Arabic Typesetting" w:cs="Arabic Typesetting"/>
                <w:sz w:val="28"/>
                <w:szCs w:val="28"/>
                <w:rtl/>
                <w:lang w:eastAsia="ar-EG" w:bidi="ar-EG"/>
              </w:rPr>
              <w:t>تحديث المعرفة، وتبادل الخبرات في مجال بناء قدرات حق المؤلف، وتبادل الآراء والمنهجيات حول مختلف برامج بناء قدرات حق المؤلف، ومناقشة كيفية تعزيز تلك البرامج على المستوي</w:t>
            </w:r>
            <w:r>
              <w:rPr>
                <w:rFonts w:ascii="Arabic Typesetting" w:hAnsi="Arabic Typesetting" w:cs="Arabic Typesetting"/>
                <w:sz w:val="28"/>
                <w:szCs w:val="28"/>
                <w:rtl/>
                <w:lang w:eastAsia="ar-EG" w:bidi="ar-EG"/>
              </w:rPr>
              <w:t>ات الوطنية والإقليمية والدولية</w:t>
            </w:r>
          </w:p>
        </w:tc>
      </w:tr>
      <w:tr w:rsidR="00BD3831" w:rsidRPr="00CE1677" w14:paraId="362DADAF" w14:textId="77777777" w:rsidTr="00DF6715">
        <w:trPr>
          <w:cantSplit/>
          <w:trHeight w:val="32"/>
        </w:trPr>
        <w:tc>
          <w:tcPr>
            <w:tcW w:w="1034" w:type="pct"/>
          </w:tcPr>
          <w:p w14:paraId="10AEC95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إقليمية عن القضايا الناشئة في مجال حق المؤلف والحقوق</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المجاورة</w:t>
            </w:r>
          </w:p>
        </w:tc>
        <w:tc>
          <w:tcPr>
            <w:tcW w:w="703" w:type="pct"/>
            <w:shd w:val="clear" w:color="auto" w:fill="auto"/>
            <w:tcMar>
              <w:top w:w="110" w:type="dxa"/>
            </w:tcMar>
          </w:tcPr>
          <w:p w14:paraId="1C6F440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23 إلى 25 مايو 2016</w:t>
            </w:r>
          </w:p>
        </w:tc>
        <w:tc>
          <w:tcPr>
            <w:tcW w:w="1172" w:type="pct"/>
            <w:shd w:val="clear" w:color="auto" w:fill="auto"/>
            <w:tcMar>
              <w:top w:w="57" w:type="dxa"/>
            </w:tcMar>
          </w:tcPr>
          <w:p w14:paraId="7390D10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الصين/ 14 مشاركاً من بنغلاديش وبوتان وكمبوديا والصين وإندونيسيا وماليزيا ومنغوليا ونيبال وباكستان والفلبين وسري لانكا وفييت نام و70 مشاركاً محلياً</w:t>
            </w:r>
          </w:p>
        </w:tc>
        <w:tc>
          <w:tcPr>
            <w:tcW w:w="2091" w:type="pct"/>
            <w:shd w:val="clear" w:color="auto" w:fill="FFFFFF"/>
            <w:tcMar>
              <w:top w:w="110" w:type="dxa"/>
            </w:tcMar>
          </w:tcPr>
          <w:p w14:paraId="15B0AEC6"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إتاحة فرصة لمسؤولي حق المؤلف في آسيا والمحيط الهادئ من أجل تبادل المعلومات عن القضايا والتحديات والمستجدات في مجال حق المؤلف والحقوق المجاورة على الصعيدين الوطني والدولي وتحديث معارفهم؛ "2"</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وتبادل</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الآراء بشأن القضايا والتحديات؛ "3"</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ومناقشة</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 xml:space="preserve">سبل مواصلة تعزيز نظام </w:t>
            </w:r>
            <w:r>
              <w:rPr>
                <w:rFonts w:ascii="Arabic Typesetting" w:eastAsia="Arabic Typesetting" w:hAnsi="Arabic Typesetting" w:cs="Arabic Typesetting"/>
                <w:sz w:val="28"/>
                <w:szCs w:val="28"/>
                <w:rtl/>
                <w:lang w:eastAsia="ar-EG" w:bidi="ar-EG"/>
              </w:rPr>
              <w:t>حق المؤلف على</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المستويات الوطنية</w:t>
            </w:r>
          </w:p>
        </w:tc>
      </w:tr>
      <w:tr w:rsidR="00BD3831" w:rsidRPr="00CE1677" w14:paraId="156453FA" w14:textId="77777777" w:rsidTr="00DF6715">
        <w:trPr>
          <w:trHeight w:val="32"/>
        </w:trPr>
        <w:tc>
          <w:tcPr>
            <w:tcW w:w="1034" w:type="pct"/>
          </w:tcPr>
          <w:p w14:paraId="116CDE8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دون إقليمية عن التعاون في مجال حق المؤلف والحقوق المجاورة</w:t>
            </w:r>
          </w:p>
        </w:tc>
        <w:tc>
          <w:tcPr>
            <w:tcW w:w="703" w:type="pct"/>
            <w:shd w:val="clear" w:color="auto" w:fill="auto"/>
            <w:tcMar>
              <w:top w:w="110" w:type="dxa"/>
            </w:tcMar>
          </w:tcPr>
          <w:p w14:paraId="18A2A81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28 إلى 30 يونيو 2016</w:t>
            </w:r>
          </w:p>
        </w:tc>
        <w:tc>
          <w:tcPr>
            <w:tcW w:w="1172" w:type="pct"/>
            <w:shd w:val="clear" w:color="auto" w:fill="auto"/>
            <w:tcMar>
              <w:top w:w="110" w:type="dxa"/>
            </w:tcMar>
          </w:tcPr>
          <w:p w14:paraId="3317E85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الاتحاد الروسي/ 11 مشاركاً من الصين ومنغوليا وجم</w:t>
            </w:r>
            <w:r>
              <w:rPr>
                <w:rFonts w:ascii="Arabic Typesetting" w:eastAsia="Arabic Typesetting" w:hAnsi="Arabic Typesetting" w:cs="Arabic Typesetting"/>
                <w:color w:val="000000"/>
                <w:sz w:val="28"/>
                <w:szCs w:val="28"/>
                <w:rtl/>
                <w:lang w:eastAsia="ar-EG" w:bidi="ar-EG"/>
              </w:rPr>
              <w:t>هورية كوريا وعدة مشاركين محليين</w:t>
            </w:r>
          </w:p>
        </w:tc>
        <w:tc>
          <w:tcPr>
            <w:tcW w:w="2091" w:type="pct"/>
            <w:shd w:val="clear" w:color="auto" w:fill="FFFFFF"/>
            <w:tcMar>
              <w:top w:w="110" w:type="dxa"/>
            </w:tcMar>
          </w:tcPr>
          <w:p w14:paraId="3738B429"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تبادل المعلومات والخبرات بين البلدان المشاركة بشأن تطوير نظام حق المؤلف؛ "2" والبحث عن فرص جديدة لتعزيز التعاون بين البلدان في مجال حق المؤلف والحقوق</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المجاورة</w:t>
            </w:r>
          </w:p>
        </w:tc>
      </w:tr>
      <w:tr w:rsidR="00BD3831" w:rsidRPr="00CE1677" w14:paraId="04E3F07D" w14:textId="77777777" w:rsidTr="00DF6715">
        <w:trPr>
          <w:trHeight w:val="1330"/>
        </w:trPr>
        <w:tc>
          <w:tcPr>
            <w:tcW w:w="1034" w:type="pct"/>
          </w:tcPr>
          <w:p w14:paraId="44F6517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زيارة دراسية للمفوضية الكورية لحق المؤلف</w:t>
            </w:r>
          </w:p>
        </w:tc>
        <w:tc>
          <w:tcPr>
            <w:tcW w:w="703" w:type="pct"/>
            <w:shd w:val="clear" w:color="auto" w:fill="auto"/>
            <w:tcMar>
              <w:top w:w="110" w:type="dxa"/>
            </w:tcMar>
          </w:tcPr>
          <w:p w14:paraId="389F620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17 إلى 20 أكتوبر 2016</w:t>
            </w:r>
          </w:p>
        </w:tc>
        <w:tc>
          <w:tcPr>
            <w:tcW w:w="1172" w:type="pct"/>
            <w:shd w:val="clear" w:color="auto" w:fill="auto"/>
            <w:tcMar>
              <w:top w:w="110" w:type="dxa"/>
            </w:tcMar>
          </w:tcPr>
          <w:p w14:paraId="55805153" w14:textId="783775F5" w:rsidR="00BD3831" w:rsidRPr="00CE1677" w:rsidRDefault="00BD3831" w:rsidP="00A017F6">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جمهورية كوريا/ 10 مشاركين من بوتان وكولومبيا وإندونيسيا وجمهورية إيران الإسلامية وملديف ونيكاراغوا </w:t>
            </w:r>
            <w:r w:rsidR="00A017F6">
              <w:rPr>
                <w:rFonts w:ascii="Arabic Typesetting" w:eastAsia="Arabic Typesetting" w:hAnsi="Arabic Typesetting" w:cs="Arabic Typesetting" w:hint="cs"/>
                <w:color w:val="000000"/>
                <w:sz w:val="28"/>
                <w:szCs w:val="28"/>
                <w:rtl/>
                <w:lang w:eastAsia="ar-EG" w:bidi="ar-EG"/>
              </w:rPr>
              <w:t>وفلسطين</w:t>
            </w:r>
            <w:r w:rsidR="00A017F6" w:rsidRPr="00CE1677">
              <w:rPr>
                <w:rFonts w:ascii="Arabic Typesetting" w:eastAsia="Arabic Typesetting" w:hAnsi="Arabic Typesetting" w:cs="Arabic Typesetting"/>
                <w:color w:val="000000"/>
                <w:sz w:val="28"/>
                <w:szCs w:val="28"/>
                <w:rtl/>
                <w:lang w:eastAsia="ar-EG" w:bidi="ar-EG"/>
              </w:rPr>
              <w:t xml:space="preserve"> </w:t>
            </w:r>
            <w:r w:rsidRPr="00CE1677">
              <w:rPr>
                <w:rFonts w:ascii="Arabic Typesetting" w:eastAsia="Arabic Typesetting" w:hAnsi="Arabic Typesetting" w:cs="Arabic Typesetting"/>
                <w:color w:val="000000"/>
                <w:sz w:val="28"/>
                <w:szCs w:val="28"/>
                <w:rtl/>
                <w:lang w:eastAsia="ar-EG" w:bidi="ar-EG"/>
              </w:rPr>
              <w:t>وسانت لوسيا وتايلند وجمهورية تنزانيا الاتحادية</w:t>
            </w:r>
          </w:p>
        </w:tc>
        <w:tc>
          <w:tcPr>
            <w:tcW w:w="2091" w:type="pct"/>
            <w:shd w:val="clear" w:color="auto" w:fill="FFFFFF"/>
            <w:tcMar>
              <w:top w:w="110" w:type="dxa"/>
            </w:tcMar>
          </w:tcPr>
          <w:p w14:paraId="36BCD27E"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"1" نشر الممارسات والتجارب الكورية في إدارة حق المؤلف والحقوق المجاورة؛ "2" وتعزيز </w:t>
            </w:r>
            <w:r>
              <w:rPr>
                <w:rFonts w:ascii="Arabic Typesetting" w:eastAsia="Arabic Typesetting" w:hAnsi="Arabic Typesetting" w:cs="Arabic Typesetting" w:hint="cs"/>
                <w:sz w:val="28"/>
                <w:szCs w:val="28"/>
                <w:rtl/>
                <w:lang w:eastAsia="ar-EG" w:bidi="ar-EG"/>
              </w:rPr>
              <w:t>ال</w:t>
            </w:r>
            <w:r>
              <w:rPr>
                <w:rFonts w:ascii="Arabic Typesetting" w:eastAsia="Arabic Typesetting" w:hAnsi="Arabic Typesetting" w:cs="Arabic Typesetting"/>
                <w:sz w:val="28"/>
                <w:szCs w:val="28"/>
                <w:rtl/>
                <w:lang w:eastAsia="ar-EG" w:bidi="ar-EG"/>
              </w:rPr>
              <w:t>قدرات</w:t>
            </w:r>
            <w:r w:rsidRPr="00CE1677">
              <w:rPr>
                <w:rFonts w:ascii="Arabic Typesetting" w:eastAsia="Arabic Typesetting" w:hAnsi="Arabic Typesetting" w:cs="Arabic Typesetting"/>
                <w:sz w:val="28"/>
                <w:szCs w:val="28"/>
                <w:rtl/>
                <w:lang w:eastAsia="ar-EG" w:bidi="ar-EG"/>
              </w:rPr>
              <w:t xml:space="preserve"> </w:t>
            </w:r>
            <w:r>
              <w:rPr>
                <w:rFonts w:ascii="Arabic Typesetting" w:eastAsia="Arabic Typesetting" w:hAnsi="Arabic Typesetting" w:cs="Arabic Typesetting" w:hint="cs"/>
                <w:sz w:val="28"/>
                <w:szCs w:val="28"/>
                <w:rtl/>
                <w:lang w:eastAsia="ar-EG" w:bidi="ar-EG"/>
              </w:rPr>
              <w:t>ل</w:t>
            </w:r>
            <w:r w:rsidRPr="00CE1677">
              <w:rPr>
                <w:rFonts w:ascii="Arabic Typesetting" w:eastAsia="Arabic Typesetting" w:hAnsi="Arabic Typesetting" w:cs="Arabic Typesetting"/>
                <w:sz w:val="28"/>
                <w:szCs w:val="28"/>
                <w:rtl/>
                <w:lang w:eastAsia="ar-EG" w:bidi="ar-EG"/>
              </w:rPr>
              <w:t>وضع سياسات حق</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المؤلف؛ "3" وتحديث الأطر التشريعية والإدارية؛ "4" وتحسين وظا</w:t>
            </w:r>
            <w:r>
              <w:rPr>
                <w:rFonts w:ascii="Arabic Typesetting" w:eastAsia="Arabic Typesetting" w:hAnsi="Arabic Typesetting" w:cs="Arabic Typesetting"/>
                <w:sz w:val="28"/>
                <w:szCs w:val="28"/>
                <w:rtl/>
                <w:lang w:eastAsia="ar-EG" w:bidi="ar-EG"/>
              </w:rPr>
              <w:t xml:space="preserve">ئف منظمات حق المؤلف في </w:t>
            </w:r>
            <w:r>
              <w:rPr>
                <w:rFonts w:ascii="Arabic Typesetting" w:eastAsia="Arabic Typesetting" w:hAnsi="Arabic Typesetting" w:cs="Arabic Typesetting" w:hint="cs"/>
                <w:sz w:val="28"/>
                <w:szCs w:val="28"/>
                <w:rtl/>
                <w:lang w:eastAsia="ar-EG" w:bidi="ar-EG"/>
              </w:rPr>
              <w:t>البلدان</w:t>
            </w:r>
          </w:p>
        </w:tc>
      </w:tr>
    </w:tbl>
    <w:p w14:paraId="378D8E2D" w14:textId="77777777" w:rsidR="00BD3831" w:rsidRPr="00171647"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171647">
        <w:rPr>
          <w:rFonts w:ascii="Arabic Typesetting" w:eastAsia="Arabic Typesetting" w:hAnsi="Arabic Typesetting" w:cs="Arabic Typesetting"/>
          <w:b/>
          <w:bCs/>
          <w:sz w:val="32"/>
          <w:szCs w:val="32"/>
          <w:rtl/>
          <w:lang w:eastAsia="ar-EG" w:bidi="ar-EG"/>
        </w:rPr>
        <w:t>جمهورية كوريا/حق المؤلف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50E203DC" w14:textId="77777777" w:rsidTr="00DF6715">
        <w:trPr>
          <w:trHeight w:val="544"/>
        </w:trPr>
        <w:tc>
          <w:tcPr>
            <w:tcW w:w="1000" w:type="pct"/>
            <w:tcBorders>
              <w:top w:val="nil"/>
              <w:left w:val="nil"/>
              <w:bottom w:val="nil"/>
              <w:right w:val="nil"/>
            </w:tcBorders>
            <w:shd w:val="clear" w:color="000000" w:fill="C5D9F1"/>
            <w:vAlign w:val="center"/>
            <w:hideMark/>
          </w:tcPr>
          <w:p w14:paraId="4C9438FA"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6D5AA67C"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49B1D0D1"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45A4BFD0"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5C5F58E4"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5FD193A4" w14:textId="77777777" w:rsidTr="00DF6715">
        <w:trPr>
          <w:trHeight w:val="356"/>
        </w:trPr>
        <w:tc>
          <w:tcPr>
            <w:tcW w:w="1000" w:type="pct"/>
            <w:tcBorders>
              <w:top w:val="nil"/>
              <w:left w:val="nil"/>
              <w:bottom w:val="nil"/>
              <w:right w:val="nil"/>
            </w:tcBorders>
            <w:shd w:val="clear" w:color="auto" w:fill="auto"/>
            <w:noWrap/>
            <w:vAlign w:val="bottom"/>
            <w:hideMark/>
          </w:tcPr>
          <w:p w14:paraId="09BAF162" w14:textId="77777777" w:rsidR="00BD3831" w:rsidRPr="00171647" w:rsidRDefault="00BD3831" w:rsidP="0031289D">
            <w:pPr>
              <w:jc w:val="center"/>
              <w:rPr>
                <w:rFonts w:ascii="Arabic Typesetting" w:hAnsi="Arabic Typesetting" w:cs="Arabic Typesetting"/>
                <w:color w:val="000000"/>
                <w:sz w:val="28"/>
                <w:szCs w:val="28"/>
              </w:rPr>
            </w:pPr>
            <w:r w:rsidRPr="00171647">
              <w:rPr>
                <w:rFonts w:ascii="Arabic Typesetting" w:hAnsi="Arabic Typesetting" w:cs="Arabic Typesetting"/>
                <w:color w:val="000000"/>
                <w:sz w:val="28"/>
                <w:szCs w:val="28"/>
              </w:rPr>
              <w:t>529</w:t>
            </w:r>
            <w:r>
              <w:rPr>
                <w:rFonts w:ascii="Arabic Typesetting" w:hAnsi="Arabic Typesetting" w:cs="Arabic Typesetting"/>
                <w:color w:val="000000"/>
                <w:sz w:val="28"/>
                <w:szCs w:val="28"/>
              </w:rPr>
              <w:t> </w:t>
            </w:r>
            <w:r w:rsidRPr="00171647">
              <w:rPr>
                <w:rFonts w:ascii="Arabic Typesetting" w:hAnsi="Arabic Typesetting" w:cs="Arabic Typesetting"/>
                <w:color w:val="000000"/>
                <w:sz w:val="28"/>
                <w:szCs w:val="28"/>
              </w:rPr>
              <w:t xml:space="preserve">652 </w:t>
            </w:r>
          </w:p>
        </w:tc>
        <w:tc>
          <w:tcPr>
            <w:tcW w:w="1000" w:type="pct"/>
            <w:tcBorders>
              <w:top w:val="nil"/>
              <w:left w:val="nil"/>
              <w:bottom w:val="nil"/>
              <w:right w:val="nil"/>
            </w:tcBorders>
            <w:shd w:val="clear" w:color="auto" w:fill="auto"/>
            <w:noWrap/>
            <w:vAlign w:val="bottom"/>
            <w:hideMark/>
          </w:tcPr>
          <w:p w14:paraId="63CAE3A3" w14:textId="77777777" w:rsidR="00BD3831" w:rsidRPr="00171647" w:rsidRDefault="00BD3831" w:rsidP="0031289D">
            <w:pPr>
              <w:jc w:val="center"/>
              <w:rPr>
                <w:rFonts w:ascii="Arabic Typesetting" w:hAnsi="Arabic Typesetting" w:cs="Arabic Typesetting"/>
                <w:color w:val="000000"/>
                <w:sz w:val="28"/>
                <w:szCs w:val="28"/>
              </w:rPr>
            </w:pPr>
            <w:r w:rsidRPr="00171647">
              <w:rPr>
                <w:rFonts w:ascii="Arabic Typesetting" w:hAnsi="Arabic Typesetting" w:cs="Arabic Typesetting"/>
                <w:color w:val="000000"/>
                <w:sz w:val="28"/>
                <w:szCs w:val="28"/>
              </w:rPr>
              <w:t>336</w:t>
            </w:r>
            <w:r>
              <w:rPr>
                <w:rFonts w:ascii="Arabic Typesetting" w:hAnsi="Arabic Typesetting" w:cs="Arabic Typesetting"/>
                <w:color w:val="000000"/>
                <w:sz w:val="28"/>
                <w:szCs w:val="28"/>
              </w:rPr>
              <w:t> </w:t>
            </w:r>
            <w:r w:rsidRPr="00171647">
              <w:rPr>
                <w:rFonts w:ascii="Arabic Typesetting" w:hAnsi="Arabic Typesetting" w:cs="Arabic Typesetting"/>
                <w:color w:val="000000"/>
                <w:sz w:val="28"/>
                <w:szCs w:val="28"/>
              </w:rPr>
              <w:t xml:space="preserve">852 </w:t>
            </w:r>
          </w:p>
        </w:tc>
        <w:tc>
          <w:tcPr>
            <w:tcW w:w="1000" w:type="pct"/>
            <w:tcBorders>
              <w:top w:val="nil"/>
              <w:left w:val="nil"/>
              <w:bottom w:val="nil"/>
              <w:right w:val="nil"/>
            </w:tcBorders>
            <w:shd w:val="clear" w:color="auto" w:fill="auto"/>
            <w:noWrap/>
            <w:vAlign w:val="bottom"/>
            <w:hideMark/>
          </w:tcPr>
          <w:p w14:paraId="798BD667" w14:textId="77777777" w:rsidR="00BD3831" w:rsidRPr="00171647" w:rsidRDefault="00BD3831" w:rsidP="0031289D">
            <w:pPr>
              <w:jc w:val="center"/>
              <w:rPr>
                <w:rFonts w:ascii="Arabic Typesetting" w:hAnsi="Arabic Typesetting" w:cs="Arabic Typesetting"/>
                <w:color w:val="000000"/>
                <w:sz w:val="28"/>
                <w:szCs w:val="28"/>
              </w:rPr>
            </w:pPr>
            <w:r w:rsidRPr="00171647">
              <w:rPr>
                <w:rFonts w:ascii="Arabic Typesetting" w:hAnsi="Arabic Typesetting" w:cs="Arabic Typesetting"/>
                <w:color w:val="000000"/>
                <w:sz w:val="28"/>
                <w:szCs w:val="28"/>
              </w:rPr>
              <w:t>362</w:t>
            </w:r>
            <w:r>
              <w:rPr>
                <w:rFonts w:ascii="Arabic Typesetting" w:hAnsi="Arabic Typesetting" w:cs="Arabic Typesetting"/>
                <w:color w:val="000000"/>
                <w:sz w:val="28"/>
                <w:szCs w:val="28"/>
              </w:rPr>
              <w:t> </w:t>
            </w:r>
            <w:r w:rsidRPr="00171647">
              <w:rPr>
                <w:rFonts w:ascii="Arabic Typesetting" w:hAnsi="Arabic Typesetting" w:cs="Arabic Typesetting"/>
                <w:color w:val="000000"/>
                <w:sz w:val="28"/>
                <w:szCs w:val="28"/>
              </w:rPr>
              <w:t xml:space="preserve">837 </w:t>
            </w:r>
          </w:p>
        </w:tc>
        <w:tc>
          <w:tcPr>
            <w:tcW w:w="1000" w:type="pct"/>
            <w:tcBorders>
              <w:top w:val="nil"/>
              <w:left w:val="nil"/>
              <w:bottom w:val="nil"/>
              <w:right w:val="nil"/>
            </w:tcBorders>
            <w:shd w:val="clear" w:color="auto" w:fill="auto"/>
            <w:noWrap/>
            <w:vAlign w:val="bottom"/>
            <w:hideMark/>
          </w:tcPr>
          <w:p w14:paraId="04AD26BB" w14:textId="77777777" w:rsidR="00BD3831" w:rsidRPr="00171647" w:rsidRDefault="00BD3831" w:rsidP="0031289D">
            <w:pPr>
              <w:jc w:val="center"/>
              <w:rPr>
                <w:rFonts w:ascii="Arabic Typesetting" w:hAnsi="Arabic Typesetting" w:cs="Arabic Typesetting"/>
                <w:color w:val="000000"/>
                <w:sz w:val="28"/>
                <w:szCs w:val="28"/>
              </w:rPr>
            </w:pPr>
            <w:r w:rsidRPr="00171647">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01B38A69" w14:textId="77777777" w:rsidR="00BD3831" w:rsidRPr="00171647" w:rsidRDefault="00BD3831" w:rsidP="0031289D">
            <w:pPr>
              <w:jc w:val="center"/>
              <w:rPr>
                <w:rFonts w:ascii="Arabic Typesetting" w:hAnsi="Arabic Typesetting" w:cs="Arabic Typesetting"/>
                <w:color w:val="000000"/>
                <w:sz w:val="28"/>
                <w:szCs w:val="28"/>
              </w:rPr>
            </w:pPr>
            <w:r w:rsidRPr="00171647">
              <w:rPr>
                <w:rFonts w:ascii="Arabic Typesetting" w:hAnsi="Arabic Typesetting" w:cs="Arabic Typesetting"/>
                <w:color w:val="000000"/>
                <w:sz w:val="28"/>
                <w:szCs w:val="28"/>
              </w:rPr>
              <w:t>503</w:t>
            </w:r>
            <w:r>
              <w:rPr>
                <w:rFonts w:ascii="Arabic Typesetting" w:hAnsi="Arabic Typesetting" w:cs="Arabic Typesetting"/>
                <w:color w:val="000000"/>
                <w:sz w:val="28"/>
                <w:szCs w:val="28"/>
              </w:rPr>
              <w:t> </w:t>
            </w:r>
            <w:r w:rsidRPr="00171647">
              <w:rPr>
                <w:rFonts w:ascii="Arabic Typesetting" w:hAnsi="Arabic Typesetting" w:cs="Arabic Typesetting"/>
                <w:color w:val="000000"/>
                <w:sz w:val="28"/>
                <w:szCs w:val="28"/>
              </w:rPr>
              <w:t xml:space="preserve">667 </w:t>
            </w:r>
          </w:p>
        </w:tc>
      </w:tr>
    </w:tbl>
    <w:p w14:paraId="0619EEF3" w14:textId="77777777" w:rsidR="00BD3831" w:rsidRPr="00171647"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171647">
        <w:rPr>
          <w:rFonts w:ascii="Arabic Typesetting" w:eastAsia="Arabic Typesetting" w:hAnsi="Arabic Typesetting" w:cs="Arabic Typesetting"/>
          <w:b/>
          <w:bCs/>
          <w:sz w:val="32"/>
          <w:szCs w:val="32"/>
          <w:rtl/>
          <w:lang w:eastAsia="ar-EG" w:bidi="ar-EG"/>
        </w:rPr>
        <w:lastRenderedPageBreak/>
        <w:t>جمهورية كوريا/التعليم – منح دراسية في مجال الملكية الفكرية (أكاديمية)</w:t>
      </w:r>
    </w:p>
    <w:tbl>
      <w:tblPr>
        <w:bidiVisual/>
        <w:tblW w:w="5000" w:type="pct"/>
        <w:tblLook w:val="0000" w:firstRow="0" w:lastRow="0" w:firstColumn="0" w:lastColumn="0" w:noHBand="0" w:noVBand="0"/>
      </w:tblPr>
      <w:tblGrid>
        <w:gridCol w:w="2242"/>
        <w:gridCol w:w="1346"/>
        <w:gridCol w:w="2243"/>
        <w:gridCol w:w="3740"/>
      </w:tblGrid>
      <w:tr w:rsidR="00BD3831" w:rsidRPr="00CE1677" w14:paraId="4595397A" w14:textId="77777777" w:rsidTr="00DF6715">
        <w:tc>
          <w:tcPr>
            <w:tcW w:w="5000" w:type="pct"/>
            <w:gridSpan w:val="4"/>
            <w:shd w:val="clear" w:color="auto" w:fill="C6D9F1"/>
          </w:tcPr>
          <w:p w14:paraId="2BF087C4" w14:textId="77777777" w:rsidR="00BD3831" w:rsidRPr="00CE1677" w:rsidRDefault="00BD3831" w:rsidP="0031289D">
            <w:pPr>
              <w:keepNext/>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ه2.3 كفاءات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‏معزَّزة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‏للموارد</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‏البشرية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‏القادرة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‏على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‏تلبية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‏تشكيلة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‏واسعة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‏من المتطلبات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‏لتسخير</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‏الملكية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‏الفكرية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‏بفعالية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‏لأغراض</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‏التنمية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‏في</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‏النامية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‏الأقل</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‏نموا</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‏المنتقلة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‏إلى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‏نظام الاقتصاد الحر</w:t>
            </w:r>
          </w:p>
        </w:tc>
      </w:tr>
      <w:tr w:rsidR="00BD3831" w:rsidRPr="00CE1677" w14:paraId="10AB2D62" w14:textId="77777777" w:rsidTr="00DF6715">
        <w:trPr>
          <w:trHeight w:val="120"/>
        </w:trPr>
        <w:tc>
          <w:tcPr>
            <w:tcW w:w="1171" w:type="pct"/>
          </w:tcPr>
          <w:p w14:paraId="08CADDE8" w14:textId="77777777" w:rsidR="00BD3831" w:rsidRPr="00CE1677" w:rsidRDefault="00BD3831" w:rsidP="0031289D">
            <w:pPr>
              <w:keepNext/>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703" w:type="pct"/>
            <w:shd w:val="clear" w:color="auto" w:fill="auto"/>
            <w:tcMar>
              <w:top w:w="110" w:type="dxa"/>
            </w:tcMar>
          </w:tcPr>
          <w:p w14:paraId="69AFC5ED" w14:textId="77777777" w:rsidR="00BD3831" w:rsidRPr="00CE1677" w:rsidRDefault="00BD3831" w:rsidP="0031289D">
            <w:pPr>
              <w:keepNext/>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72" w:type="pct"/>
            <w:shd w:val="clear" w:color="auto" w:fill="auto"/>
            <w:tcMar>
              <w:top w:w="110" w:type="dxa"/>
            </w:tcMar>
          </w:tcPr>
          <w:p w14:paraId="1748FB3A" w14:textId="77777777" w:rsidR="00BD3831" w:rsidRPr="00CE1677" w:rsidRDefault="00BD3831" w:rsidP="0031289D">
            <w:pPr>
              <w:keepNext/>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1954" w:type="pct"/>
            <w:shd w:val="clear" w:color="auto" w:fill="FFFFFF"/>
            <w:tcMar>
              <w:top w:w="110" w:type="dxa"/>
            </w:tcMar>
          </w:tcPr>
          <w:p w14:paraId="65DAA9A6" w14:textId="77777777" w:rsidR="00BD3831" w:rsidRPr="00CE1677" w:rsidRDefault="00BD3831" w:rsidP="0031289D">
            <w:pPr>
              <w:keepNext/>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42B29E7C" w14:textId="77777777" w:rsidTr="00DF6715">
        <w:tc>
          <w:tcPr>
            <w:tcW w:w="1171" w:type="pct"/>
          </w:tcPr>
          <w:p w14:paraId="11F8C78B" w14:textId="77777777" w:rsidR="00BD3831" w:rsidRPr="00CE1677" w:rsidRDefault="00BD3831" w:rsidP="0031289D">
            <w:pPr>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المشاركة في برنامج الماجستير في قانون الملكية الفكرية</w:t>
            </w:r>
            <w:r>
              <w:rPr>
                <w:rFonts w:ascii="Arabic Typesetting" w:eastAsia="Arabic Typesetting" w:hAnsi="Arabic Typesetting" w:cs="Arabic Typesetting"/>
                <w:color w:val="000000"/>
                <w:sz w:val="28"/>
                <w:szCs w:val="28"/>
                <w:rtl/>
                <w:lang w:eastAsia="ar-EG" w:bidi="ar-EG"/>
              </w:rPr>
              <w:t xml:space="preserve"> المشترك بين الويبو وجامعة كوين</w:t>
            </w:r>
            <w:r>
              <w:rPr>
                <w:rFonts w:ascii="Arabic Typesetting" w:eastAsia="Arabic Typesetting" w:hAnsi="Arabic Typesetting" w:cs="Arabic Typesetting" w:hint="cs"/>
                <w:color w:val="000000"/>
                <w:sz w:val="28"/>
                <w:szCs w:val="28"/>
                <w:rtl/>
                <w:lang w:eastAsia="ar-EG" w:bidi="ar-EG"/>
              </w:rPr>
              <w:t>س</w:t>
            </w:r>
            <w:r w:rsidRPr="00CE1677">
              <w:rPr>
                <w:rFonts w:ascii="Arabic Typesetting" w:eastAsia="Arabic Typesetting" w:hAnsi="Arabic Typesetting" w:cs="Arabic Typesetting"/>
                <w:color w:val="000000"/>
                <w:sz w:val="28"/>
                <w:szCs w:val="28"/>
                <w:rtl/>
                <w:lang w:eastAsia="ar-EG" w:bidi="ar-EG"/>
              </w:rPr>
              <w:t>لند للتكنولوجيا</w:t>
            </w:r>
          </w:p>
        </w:tc>
        <w:tc>
          <w:tcPr>
            <w:tcW w:w="703" w:type="pct"/>
            <w:shd w:val="clear" w:color="auto" w:fill="auto"/>
            <w:tcMar>
              <w:top w:w="110" w:type="dxa"/>
            </w:tcMar>
          </w:tcPr>
          <w:p w14:paraId="100BE927" w14:textId="77777777" w:rsidR="00BD3831" w:rsidRPr="00CE1677" w:rsidRDefault="00BD3831" w:rsidP="0031289D">
            <w:pPr>
              <w:keepNext/>
              <w:keepLines/>
              <w:bidi/>
              <w:spacing w:after="120" w:line="280" w:lineRule="exact"/>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sz w:val="28"/>
                <w:szCs w:val="28"/>
                <w:rtl/>
                <w:lang w:eastAsia="ar-EG" w:bidi="ar-EG"/>
              </w:rPr>
              <w:t>من 29 فبراير إلى 28 أكتوبر 2016</w:t>
            </w:r>
          </w:p>
        </w:tc>
        <w:tc>
          <w:tcPr>
            <w:tcW w:w="1172" w:type="pct"/>
            <w:shd w:val="clear" w:color="auto" w:fill="auto"/>
            <w:tcMar>
              <w:top w:w="110" w:type="dxa"/>
            </w:tcMar>
          </w:tcPr>
          <w:p w14:paraId="33FC45D9" w14:textId="77777777" w:rsidR="00BD3831" w:rsidRPr="00CE1677" w:rsidRDefault="00BD3831" w:rsidP="0031289D">
            <w:pPr>
              <w:keepNext/>
              <w:keepLines/>
              <w:bidi/>
              <w:spacing w:after="120" w:line="280" w:lineRule="exact"/>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sz w:val="28"/>
                <w:szCs w:val="28"/>
                <w:rtl/>
                <w:lang w:eastAsia="ar-EG" w:bidi="ar-EG"/>
              </w:rPr>
              <w:t>أستراليا/ بوتان وكمبوديا وفيجي وجمهورية كوريا</w:t>
            </w:r>
          </w:p>
        </w:tc>
        <w:tc>
          <w:tcPr>
            <w:tcW w:w="1954" w:type="pct"/>
            <w:shd w:val="clear" w:color="auto" w:fill="FFFFFF"/>
            <w:tcMar>
              <w:top w:w="110" w:type="dxa"/>
            </w:tcMar>
          </w:tcPr>
          <w:p w14:paraId="70107703"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sz w:val="28"/>
                <w:szCs w:val="28"/>
                <w:rtl/>
                <w:lang w:eastAsia="ar-EG" w:bidi="ar-EG"/>
              </w:rPr>
              <w:t>توفير تعليم عالٍ لخبراء الملكية الفكرية، بما في ذلك المسؤولون الحكوميون، من أجل تعزيز قدرتهم على إدارة حقوق الملكية الفكرية وزيادة استخدامهم للملكية الفكرية في النهوض بالابتكار عن طريق ماجستير الويبو – جامعة كوينسلند للتكن</w:t>
            </w:r>
            <w:r>
              <w:rPr>
                <w:rFonts w:ascii="Arabic Typesetting" w:eastAsia="Arabic Typesetting" w:hAnsi="Arabic Typesetting" w:cs="Arabic Typesetting"/>
                <w:sz w:val="28"/>
                <w:szCs w:val="28"/>
                <w:rtl/>
                <w:lang w:eastAsia="ar-EG" w:bidi="ar-EG"/>
              </w:rPr>
              <w:t>ولوجيا في قانون الملكية الفكرية</w:t>
            </w:r>
          </w:p>
        </w:tc>
      </w:tr>
      <w:tr w:rsidR="00BD3831" w:rsidRPr="00CE1677" w14:paraId="2A773F2E" w14:textId="77777777" w:rsidTr="00DF6715">
        <w:tc>
          <w:tcPr>
            <w:tcW w:w="1171" w:type="pct"/>
          </w:tcPr>
          <w:p w14:paraId="5976C034" w14:textId="77777777" w:rsidR="00BD3831" w:rsidRPr="00CE1677" w:rsidRDefault="00BD3831" w:rsidP="0031289D">
            <w:pPr>
              <w:bidi/>
              <w:spacing w:after="120" w:line="280" w:lineRule="exact"/>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sz w:val="28"/>
                <w:szCs w:val="28"/>
                <w:rtl/>
                <w:lang w:eastAsia="ar-EG" w:bidi="ar-EG"/>
              </w:rPr>
              <w:t>المشاركة في برنامج الماجستير في قانون الملكية الفكرية المشترك بين الويبو وجامعة سيول</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الوطنية</w:t>
            </w:r>
          </w:p>
        </w:tc>
        <w:tc>
          <w:tcPr>
            <w:tcW w:w="703" w:type="pct"/>
            <w:shd w:val="clear" w:color="auto" w:fill="auto"/>
            <w:tcMar>
              <w:top w:w="110" w:type="dxa"/>
            </w:tcMar>
          </w:tcPr>
          <w:p w14:paraId="3BB87DD5" w14:textId="77777777" w:rsidR="00BD3831" w:rsidRPr="00CE1677" w:rsidRDefault="00BD3831" w:rsidP="0031289D">
            <w:pPr>
              <w:keepNext/>
              <w:keepLines/>
              <w:bidi/>
              <w:spacing w:after="120" w:line="280" w:lineRule="exact"/>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sz w:val="28"/>
                <w:szCs w:val="28"/>
                <w:rtl/>
                <w:lang w:eastAsia="ar-EG" w:bidi="ar-EG"/>
              </w:rPr>
              <w:t>من 2 مارس إلى 16 ديسمبر 2016</w:t>
            </w:r>
          </w:p>
        </w:tc>
        <w:tc>
          <w:tcPr>
            <w:tcW w:w="1172" w:type="pct"/>
            <w:shd w:val="clear" w:color="auto" w:fill="auto"/>
            <w:tcMar>
              <w:top w:w="110" w:type="dxa"/>
            </w:tcMar>
          </w:tcPr>
          <w:p w14:paraId="2FC02048" w14:textId="77777777" w:rsidR="00BD3831" w:rsidRPr="00CE1677" w:rsidRDefault="00BD3831" w:rsidP="0031289D">
            <w:pPr>
              <w:keepNext/>
              <w:keepLines/>
              <w:bidi/>
              <w:spacing w:after="120" w:line="280" w:lineRule="exact"/>
              <w:rPr>
                <w:rFonts w:ascii="Arabic Typesetting" w:eastAsia="Arabic Typesetting" w:hAnsi="Arabic Typesetting" w:cs="Arabic Typesetting"/>
                <w:bCs/>
                <w:sz w:val="28"/>
                <w:szCs w:val="28"/>
                <w:lang w:eastAsia="ar-EG" w:bidi="ar-EG"/>
              </w:rPr>
            </w:pPr>
            <w:r>
              <w:rPr>
                <w:rFonts w:ascii="Arabic Typesetting" w:eastAsia="Arabic Typesetting" w:hAnsi="Arabic Typesetting" w:cs="Arabic Typesetting"/>
                <w:sz w:val="28"/>
                <w:szCs w:val="28"/>
                <w:rtl/>
                <w:lang w:eastAsia="ar-EG" w:bidi="ar-EG"/>
              </w:rPr>
              <w:t>جمهورية كوريا/</w:t>
            </w:r>
            <w:r>
              <w:rPr>
                <w:rFonts w:ascii="Arabic Typesetting" w:eastAsia="Arabic Typesetting" w:hAnsi="Arabic Typesetting" w:cs="Arabic Typesetting" w:hint="cs"/>
                <w:sz w:val="28"/>
                <w:szCs w:val="28"/>
                <w:rtl/>
                <w:lang w:eastAsia="ar-EG" w:bidi="ar-EG"/>
              </w:rPr>
              <w:t xml:space="preserve"> </w:t>
            </w:r>
            <w:r w:rsidRPr="00CE1677">
              <w:rPr>
                <w:rFonts w:ascii="Arabic Typesetting" w:eastAsia="Arabic Typesetting" w:hAnsi="Arabic Typesetting" w:cs="Arabic Typesetting"/>
                <w:sz w:val="28"/>
                <w:szCs w:val="28"/>
                <w:rtl/>
                <w:lang w:eastAsia="ar-EG" w:bidi="ar-EG"/>
              </w:rPr>
              <w:t>الهند وباكستان</w:t>
            </w:r>
          </w:p>
        </w:tc>
        <w:tc>
          <w:tcPr>
            <w:tcW w:w="1954" w:type="pct"/>
            <w:shd w:val="clear" w:color="auto" w:fill="FFFFFF"/>
            <w:tcMar>
              <w:top w:w="110" w:type="dxa"/>
            </w:tcMar>
          </w:tcPr>
          <w:p w14:paraId="78A34411" w14:textId="77777777" w:rsidR="00BD3831" w:rsidRPr="00CE1677" w:rsidRDefault="00BD3831" w:rsidP="0031289D">
            <w:pPr>
              <w:keepNext/>
              <w:keepLines/>
              <w:bidi/>
              <w:spacing w:after="120" w:line="280" w:lineRule="exact"/>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sz w:val="28"/>
                <w:szCs w:val="28"/>
                <w:rtl/>
                <w:lang w:eastAsia="ar-EG" w:bidi="ar-EG"/>
              </w:rPr>
              <w:t>توفير تعليم عالٍ لخبراء الملكية الفكرية، بما في ذلك المسؤولون الحكوميون، من أجل تعزيز قدرتهم على إدارة حقوق الملكية الفكرية وزيادة استخدامهم للملكية الفكرية في النهوض بالابتكار عن طريق ماجستير الويبو- جام</w:t>
            </w:r>
            <w:r>
              <w:rPr>
                <w:rFonts w:ascii="Arabic Typesetting" w:eastAsia="Arabic Typesetting" w:hAnsi="Arabic Typesetting" w:cs="Arabic Typesetting"/>
                <w:sz w:val="28"/>
                <w:szCs w:val="28"/>
                <w:rtl/>
                <w:lang w:eastAsia="ar-EG" w:bidi="ar-EG"/>
              </w:rPr>
              <w:t>عة سيول الوطنية للملكية الفكرية</w:t>
            </w:r>
          </w:p>
        </w:tc>
      </w:tr>
      <w:tr w:rsidR="00BD3831" w:rsidRPr="00CE1677" w14:paraId="243473AC" w14:textId="77777777" w:rsidTr="00DF6715">
        <w:tc>
          <w:tcPr>
            <w:tcW w:w="1171" w:type="pct"/>
          </w:tcPr>
          <w:p w14:paraId="3BBF9D0E" w14:textId="77777777" w:rsidR="00BD3831" w:rsidRPr="00CE1677" w:rsidRDefault="00BD3831" w:rsidP="0031289D">
            <w:pPr>
              <w:bidi/>
              <w:spacing w:after="120" w:line="280" w:lineRule="exact"/>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sz w:val="28"/>
                <w:szCs w:val="28"/>
                <w:rtl/>
                <w:lang w:eastAsia="ar-EG" w:bidi="ar-EG"/>
              </w:rPr>
              <w:t>المشاركة في برنامج المدرسة الصيفية المشترك بين الويبو</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وكوريا</w:t>
            </w:r>
          </w:p>
        </w:tc>
        <w:tc>
          <w:tcPr>
            <w:tcW w:w="703" w:type="pct"/>
            <w:shd w:val="clear" w:color="auto" w:fill="auto"/>
            <w:tcMar>
              <w:top w:w="110" w:type="dxa"/>
            </w:tcMar>
          </w:tcPr>
          <w:p w14:paraId="40F8F7A8" w14:textId="77777777" w:rsidR="00BD3831" w:rsidRPr="00CE1677" w:rsidRDefault="00BD3831" w:rsidP="0031289D">
            <w:pPr>
              <w:keepNext/>
              <w:keepLines/>
              <w:bidi/>
              <w:spacing w:after="120" w:line="280" w:lineRule="exact"/>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sz w:val="28"/>
                <w:szCs w:val="28"/>
                <w:rtl/>
                <w:lang w:eastAsia="ar-EG" w:bidi="ar-EG"/>
              </w:rPr>
              <w:t>من 11 إلى 22 يوليو 2016</w:t>
            </w:r>
          </w:p>
        </w:tc>
        <w:tc>
          <w:tcPr>
            <w:tcW w:w="1172" w:type="pct"/>
            <w:shd w:val="clear" w:color="auto" w:fill="auto"/>
            <w:tcMar>
              <w:top w:w="110" w:type="dxa"/>
            </w:tcMar>
          </w:tcPr>
          <w:p w14:paraId="2A41AC25" w14:textId="77777777" w:rsidR="00BD3831" w:rsidRPr="00CE1677" w:rsidRDefault="00BD3831" w:rsidP="0031289D">
            <w:pPr>
              <w:keepNext/>
              <w:keepLines/>
              <w:bidi/>
              <w:spacing w:after="120" w:line="280" w:lineRule="exact"/>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sz w:val="28"/>
                <w:szCs w:val="28"/>
                <w:rtl/>
                <w:lang w:eastAsia="ar-EG" w:bidi="ar-EG"/>
              </w:rPr>
              <w:t>جمهورية كوريا/ البرازيل والكاميرون والهند وإندونيسيا وليسوتو وملاوي وبولندا</w:t>
            </w:r>
          </w:p>
        </w:tc>
        <w:tc>
          <w:tcPr>
            <w:tcW w:w="1954" w:type="pct"/>
            <w:shd w:val="clear" w:color="auto" w:fill="FFFFFF"/>
            <w:tcMar>
              <w:top w:w="110" w:type="dxa"/>
            </w:tcMar>
          </w:tcPr>
          <w:p w14:paraId="3475BF30" w14:textId="77777777" w:rsidR="00BD3831" w:rsidRPr="00CE1677" w:rsidRDefault="00BD3831" w:rsidP="0031289D">
            <w:pPr>
              <w:bidi/>
              <w:spacing w:after="120" w:line="280" w:lineRule="exact"/>
              <w:rPr>
                <w:rFonts w:ascii="Arabic Typesetting" w:hAnsi="Arabic Typesetting" w:cs="Arabic Typesetting"/>
                <w:bCs/>
                <w:sz w:val="28"/>
                <w:szCs w:val="28"/>
                <w:lang w:eastAsia="ar-EG" w:bidi="ar-EG"/>
              </w:rPr>
            </w:pPr>
            <w:r w:rsidRPr="00CE1677">
              <w:rPr>
                <w:rFonts w:ascii="Arabic Typesetting" w:hAnsi="Arabic Typesetting" w:cs="Arabic Typesetting"/>
                <w:sz w:val="28"/>
                <w:szCs w:val="28"/>
                <w:rtl/>
                <w:lang w:eastAsia="ar-EG" w:bidi="ar-EG"/>
              </w:rPr>
              <w:t>تزويد كبار الطلاب والمهنيين الشبا</w:t>
            </w:r>
            <w:r>
              <w:rPr>
                <w:rFonts w:ascii="Arabic Typesetting" w:hAnsi="Arabic Typesetting" w:cs="Arabic Typesetting"/>
                <w:sz w:val="28"/>
                <w:szCs w:val="28"/>
                <w:rtl/>
                <w:lang w:eastAsia="ar-EG" w:bidi="ar-EG"/>
              </w:rPr>
              <w:t>ب بمزيد من المعرفة في كل</w:t>
            </w:r>
            <w:r w:rsidRPr="00CE1677">
              <w:rPr>
                <w:rFonts w:ascii="Arabic Typesetting" w:hAnsi="Arabic Typesetting" w:cs="Arabic Typesetting"/>
                <w:sz w:val="28"/>
                <w:szCs w:val="28"/>
                <w:rtl/>
                <w:lang w:eastAsia="ar-EG" w:bidi="ar-EG"/>
              </w:rPr>
              <w:t xml:space="preserve"> مجالات الملكية الفكرية ودور ووظائف نظام الملكية الفكرية عن طريق محاضرات ودراسات </w:t>
            </w:r>
            <w:r>
              <w:rPr>
                <w:rFonts w:ascii="Arabic Typesetting" w:hAnsi="Arabic Typesetting" w:cs="Arabic Typesetting"/>
                <w:sz w:val="28"/>
                <w:szCs w:val="28"/>
                <w:rtl/>
                <w:lang w:eastAsia="ar-EG" w:bidi="ar-EG"/>
              </w:rPr>
              <w:t>إفرادية وتمارين ومناقشات جماعية</w:t>
            </w:r>
          </w:p>
        </w:tc>
      </w:tr>
    </w:tbl>
    <w:p w14:paraId="0B466228" w14:textId="77777777" w:rsidR="00BD3831" w:rsidRPr="00415599"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15599">
        <w:rPr>
          <w:rFonts w:ascii="Arabic Typesetting" w:eastAsia="Arabic Typesetting" w:hAnsi="Arabic Typesetting" w:cs="Arabic Typesetting"/>
          <w:b/>
          <w:bCs/>
          <w:sz w:val="32"/>
          <w:szCs w:val="32"/>
          <w:rtl/>
          <w:lang w:eastAsia="ar-EG" w:bidi="ar-EG"/>
        </w:rPr>
        <w:t>جمهورية كوريا/التعليم – منح دراسية في مجال الملكية الفكرية (أكاديمية)</w:t>
      </w:r>
      <w:r>
        <w:rPr>
          <w:rFonts w:ascii="Arabic Typesetting" w:eastAsia="Arabic Typesetting" w:hAnsi="Arabic Typesetting" w:cs="Arabic Typesetting" w:hint="cs"/>
          <w:b/>
          <w:bCs/>
          <w:sz w:val="32"/>
          <w:szCs w:val="32"/>
          <w:rtl/>
          <w:lang w:eastAsia="ar-EG" w:bidi="ar-EG"/>
        </w:rPr>
        <w:t xml:space="preserve"> </w:t>
      </w:r>
      <w:r>
        <w:rPr>
          <w:rFonts w:ascii="Arabic Typesetting" w:eastAsia="Arabic Typesetting" w:hAnsi="Arabic Typesetting" w:cs="Arabic Typesetting"/>
          <w:b/>
          <w:bCs/>
          <w:sz w:val="32"/>
          <w:szCs w:val="32"/>
          <w:rtl/>
          <w:lang w:eastAsia="ar-EG" w:bidi="ar-EG"/>
        </w:rPr>
        <w:t>–</w:t>
      </w:r>
      <w:r>
        <w:rPr>
          <w:rFonts w:ascii="Arabic Typesetting" w:eastAsia="Arabic Typesetting" w:hAnsi="Arabic Typesetting" w:cs="Arabic Typesetting" w:hint="cs"/>
          <w:b/>
          <w:bCs/>
          <w:sz w:val="32"/>
          <w:szCs w:val="32"/>
          <w:rtl/>
          <w:lang w:eastAsia="ar-EG" w:bidi="ar-EG"/>
        </w:rPr>
        <w:t xml:space="preserve">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1F2DC4B2" w14:textId="77777777" w:rsidTr="00DF6715">
        <w:trPr>
          <w:trHeight w:val="544"/>
        </w:trPr>
        <w:tc>
          <w:tcPr>
            <w:tcW w:w="1000" w:type="pct"/>
            <w:tcBorders>
              <w:top w:val="nil"/>
              <w:left w:val="nil"/>
              <w:bottom w:val="nil"/>
              <w:right w:val="nil"/>
            </w:tcBorders>
            <w:shd w:val="clear" w:color="000000" w:fill="C5D9F1"/>
            <w:vAlign w:val="center"/>
            <w:hideMark/>
          </w:tcPr>
          <w:p w14:paraId="263055C0"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2756699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391D7A3B"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3AE70200"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4B44884D"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6341A0F5" w14:textId="77777777" w:rsidTr="00DF6715">
        <w:trPr>
          <w:trHeight w:val="356"/>
        </w:trPr>
        <w:tc>
          <w:tcPr>
            <w:tcW w:w="1000" w:type="pct"/>
            <w:tcBorders>
              <w:top w:val="nil"/>
              <w:left w:val="nil"/>
              <w:bottom w:val="nil"/>
              <w:right w:val="nil"/>
            </w:tcBorders>
            <w:shd w:val="clear" w:color="auto" w:fill="auto"/>
            <w:noWrap/>
            <w:vAlign w:val="bottom"/>
            <w:hideMark/>
          </w:tcPr>
          <w:p w14:paraId="39DFA885" w14:textId="77777777" w:rsidR="00BD3831" w:rsidRPr="00415599" w:rsidRDefault="00BD3831" w:rsidP="0031289D">
            <w:pPr>
              <w:jc w:val="center"/>
              <w:rPr>
                <w:rFonts w:ascii="Arabic Typesetting" w:hAnsi="Arabic Typesetting" w:cs="Arabic Typesetting"/>
                <w:color w:val="000000"/>
                <w:sz w:val="28"/>
                <w:szCs w:val="28"/>
              </w:rPr>
            </w:pPr>
            <w:r w:rsidRPr="00415599">
              <w:rPr>
                <w:rFonts w:ascii="Arabic Typesetting" w:hAnsi="Arabic Typesetting" w:cs="Arabic Typesetting"/>
                <w:color w:val="000000"/>
                <w:sz w:val="28"/>
                <w:szCs w:val="28"/>
              </w:rPr>
              <w:t>317</w:t>
            </w:r>
            <w:r>
              <w:rPr>
                <w:rFonts w:ascii="Arabic Typesetting" w:hAnsi="Arabic Typesetting" w:cs="Arabic Typesetting"/>
                <w:color w:val="000000"/>
                <w:sz w:val="28"/>
                <w:szCs w:val="28"/>
              </w:rPr>
              <w:t> </w:t>
            </w:r>
            <w:r w:rsidRPr="00415599">
              <w:rPr>
                <w:rFonts w:ascii="Arabic Typesetting" w:hAnsi="Arabic Typesetting" w:cs="Arabic Typesetting"/>
                <w:color w:val="000000"/>
                <w:sz w:val="28"/>
                <w:szCs w:val="28"/>
              </w:rPr>
              <w:t>318</w:t>
            </w:r>
          </w:p>
        </w:tc>
        <w:tc>
          <w:tcPr>
            <w:tcW w:w="1000" w:type="pct"/>
            <w:tcBorders>
              <w:top w:val="nil"/>
              <w:left w:val="nil"/>
              <w:bottom w:val="nil"/>
              <w:right w:val="nil"/>
            </w:tcBorders>
            <w:shd w:val="clear" w:color="auto" w:fill="auto"/>
            <w:noWrap/>
            <w:vAlign w:val="bottom"/>
            <w:hideMark/>
          </w:tcPr>
          <w:p w14:paraId="5450D793" w14:textId="77777777" w:rsidR="00BD3831" w:rsidRPr="00415599" w:rsidRDefault="00BD3831" w:rsidP="0031289D">
            <w:pPr>
              <w:jc w:val="center"/>
              <w:rPr>
                <w:rFonts w:ascii="Arabic Typesetting" w:hAnsi="Arabic Typesetting" w:cs="Arabic Typesetting"/>
                <w:color w:val="000000"/>
                <w:sz w:val="28"/>
                <w:szCs w:val="28"/>
              </w:rPr>
            </w:pPr>
            <w:r w:rsidRPr="00415599">
              <w:rPr>
                <w:rFonts w:ascii="Arabic Typesetting" w:hAnsi="Arabic Typesetting" w:cs="Arabic Typesetting"/>
                <w:color w:val="000000"/>
                <w:sz w:val="28"/>
                <w:szCs w:val="28"/>
              </w:rPr>
              <w:t>334</w:t>
            </w:r>
            <w:r>
              <w:rPr>
                <w:rFonts w:ascii="Arabic Typesetting" w:hAnsi="Arabic Typesetting" w:cs="Arabic Typesetting"/>
                <w:color w:val="000000"/>
                <w:sz w:val="28"/>
                <w:szCs w:val="28"/>
              </w:rPr>
              <w:t> </w:t>
            </w:r>
            <w:r w:rsidRPr="00415599">
              <w:rPr>
                <w:rFonts w:ascii="Arabic Typesetting" w:hAnsi="Arabic Typesetting" w:cs="Arabic Typesetting"/>
                <w:color w:val="000000"/>
                <w:sz w:val="28"/>
                <w:szCs w:val="28"/>
              </w:rPr>
              <w:t>567</w:t>
            </w:r>
          </w:p>
        </w:tc>
        <w:tc>
          <w:tcPr>
            <w:tcW w:w="1000" w:type="pct"/>
            <w:tcBorders>
              <w:top w:val="nil"/>
              <w:left w:val="nil"/>
              <w:bottom w:val="nil"/>
              <w:right w:val="nil"/>
            </w:tcBorders>
            <w:shd w:val="clear" w:color="auto" w:fill="auto"/>
            <w:noWrap/>
            <w:vAlign w:val="bottom"/>
            <w:hideMark/>
          </w:tcPr>
          <w:p w14:paraId="3C6AF366" w14:textId="77777777" w:rsidR="00BD3831" w:rsidRPr="00415599" w:rsidRDefault="00BD3831" w:rsidP="0031289D">
            <w:pPr>
              <w:jc w:val="center"/>
              <w:rPr>
                <w:rFonts w:ascii="Arabic Typesetting" w:hAnsi="Arabic Typesetting" w:cs="Arabic Typesetting"/>
                <w:color w:val="000000"/>
                <w:sz w:val="28"/>
                <w:szCs w:val="28"/>
              </w:rPr>
            </w:pPr>
            <w:r w:rsidRPr="00415599">
              <w:rPr>
                <w:rFonts w:ascii="Arabic Typesetting" w:hAnsi="Arabic Typesetting" w:cs="Arabic Typesetting"/>
                <w:color w:val="000000"/>
                <w:sz w:val="28"/>
                <w:szCs w:val="28"/>
              </w:rPr>
              <w:t>148</w:t>
            </w:r>
            <w:r>
              <w:rPr>
                <w:rFonts w:ascii="Arabic Typesetting" w:hAnsi="Arabic Typesetting" w:cs="Arabic Typesetting"/>
                <w:color w:val="000000"/>
                <w:sz w:val="28"/>
                <w:szCs w:val="28"/>
              </w:rPr>
              <w:t> </w:t>
            </w:r>
            <w:r w:rsidRPr="00415599">
              <w:rPr>
                <w:rFonts w:ascii="Arabic Typesetting" w:hAnsi="Arabic Typesetting" w:cs="Arabic Typesetting"/>
                <w:color w:val="000000"/>
                <w:sz w:val="28"/>
                <w:szCs w:val="28"/>
              </w:rPr>
              <w:t>105</w:t>
            </w:r>
          </w:p>
        </w:tc>
        <w:tc>
          <w:tcPr>
            <w:tcW w:w="1000" w:type="pct"/>
            <w:tcBorders>
              <w:top w:val="nil"/>
              <w:left w:val="nil"/>
              <w:bottom w:val="nil"/>
              <w:right w:val="nil"/>
            </w:tcBorders>
            <w:shd w:val="clear" w:color="auto" w:fill="auto"/>
            <w:noWrap/>
            <w:vAlign w:val="bottom"/>
            <w:hideMark/>
          </w:tcPr>
          <w:p w14:paraId="6E087774" w14:textId="77777777" w:rsidR="00BD3831" w:rsidRPr="00415599" w:rsidRDefault="00BD3831" w:rsidP="0031289D">
            <w:pPr>
              <w:jc w:val="center"/>
              <w:rPr>
                <w:rFonts w:ascii="Arabic Typesetting" w:hAnsi="Arabic Typesetting" w:cs="Arabic Typesetting"/>
                <w:color w:val="000000"/>
                <w:sz w:val="28"/>
                <w:szCs w:val="28"/>
              </w:rPr>
            </w:pPr>
            <w:r w:rsidRPr="00415599">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55DB9074" w14:textId="77777777" w:rsidR="00BD3831" w:rsidRPr="00415599" w:rsidRDefault="00BD3831" w:rsidP="0031289D">
            <w:pPr>
              <w:jc w:val="center"/>
              <w:rPr>
                <w:rFonts w:ascii="Arabic Typesetting" w:hAnsi="Arabic Typesetting" w:cs="Arabic Typesetting"/>
                <w:color w:val="000000"/>
                <w:sz w:val="28"/>
                <w:szCs w:val="28"/>
              </w:rPr>
            </w:pPr>
            <w:r w:rsidRPr="00415599">
              <w:rPr>
                <w:rFonts w:ascii="Arabic Typesetting" w:hAnsi="Arabic Typesetting" w:cs="Arabic Typesetting"/>
                <w:color w:val="000000"/>
                <w:sz w:val="28"/>
                <w:szCs w:val="28"/>
              </w:rPr>
              <w:t>503</w:t>
            </w:r>
            <w:r>
              <w:rPr>
                <w:rFonts w:ascii="Arabic Typesetting" w:hAnsi="Arabic Typesetting" w:cs="Arabic Typesetting"/>
                <w:color w:val="000000"/>
                <w:sz w:val="28"/>
                <w:szCs w:val="28"/>
              </w:rPr>
              <w:t> </w:t>
            </w:r>
            <w:r w:rsidRPr="00415599">
              <w:rPr>
                <w:rFonts w:ascii="Arabic Typesetting" w:hAnsi="Arabic Typesetting" w:cs="Arabic Typesetting"/>
                <w:color w:val="000000"/>
                <w:sz w:val="28"/>
                <w:szCs w:val="28"/>
              </w:rPr>
              <w:t>781</w:t>
            </w:r>
          </w:p>
        </w:tc>
      </w:tr>
    </w:tbl>
    <w:p w14:paraId="67C8C9A4" w14:textId="77777777" w:rsidR="00BD3831" w:rsidRPr="00415599"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415599">
        <w:rPr>
          <w:rFonts w:ascii="Arabic Typesetting" w:eastAsia="Arabic Typesetting" w:hAnsi="Arabic Typesetting" w:cs="Arabic Typesetting"/>
          <w:b/>
          <w:bCs/>
          <w:sz w:val="32"/>
          <w:szCs w:val="32"/>
          <w:rtl/>
          <w:lang w:eastAsia="ar-EG" w:bidi="ar-EG"/>
        </w:rPr>
        <w:lastRenderedPageBreak/>
        <w:t>جمهورية كوريا/الملكية الصناعية</w:t>
      </w:r>
    </w:p>
    <w:tbl>
      <w:tblPr>
        <w:bidiVisual/>
        <w:tblW w:w="5000" w:type="pct"/>
        <w:tblLook w:val="04A0" w:firstRow="1" w:lastRow="0" w:firstColumn="1" w:lastColumn="0" w:noHBand="0" w:noVBand="1"/>
      </w:tblPr>
      <w:tblGrid>
        <w:gridCol w:w="2242"/>
        <w:gridCol w:w="1196"/>
        <w:gridCol w:w="2243"/>
        <w:gridCol w:w="3890"/>
      </w:tblGrid>
      <w:tr w:rsidR="00BD3831" w:rsidRPr="00CE1677" w14:paraId="3B29C847" w14:textId="77777777" w:rsidTr="00DF6715">
        <w:trPr>
          <w:trHeight w:val="527"/>
        </w:trPr>
        <w:tc>
          <w:tcPr>
            <w:tcW w:w="5000" w:type="pct"/>
            <w:gridSpan w:val="4"/>
            <w:shd w:val="clear" w:color="auto" w:fill="C6D9F1"/>
            <w:vAlign w:val="center"/>
            <w:hideMark/>
          </w:tcPr>
          <w:p w14:paraId="1CEC9556"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ه1.3 استراتيجيات وخطط وطنية في مجالي الابتكار والملكية الفكرية تتماشى مع الأهداف الإنمائية الوطنية</w:t>
            </w:r>
          </w:p>
        </w:tc>
      </w:tr>
      <w:tr w:rsidR="00BD3831" w:rsidRPr="00CE1677" w14:paraId="5D40CC9E" w14:textId="77777777" w:rsidTr="00DF6715">
        <w:trPr>
          <w:trHeight w:val="438"/>
        </w:trPr>
        <w:tc>
          <w:tcPr>
            <w:tcW w:w="1171" w:type="pct"/>
            <w:vAlign w:val="center"/>
            <w:hideMark/>
          </w:tcPr>
          <w:p w14:paraId="4CF522EF"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25" w:type="pct"/>
            <w:tcMar>
              <w:top w:w="110" w:type="dxa"/>
              <w:left w:w="108" w:type="dxa"/>
              <w:bottom w:w="0" w:type="dxa"/>
              <w:right w:w="108" w:type="dxa"/>
            </w:tcMar>
            <w:vAlign w:val="center"/>
            <w:hideMark/>
          </w:tcPr>
          <w:p w14:paraId="734A0E2D"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72" w:type="pct"/>
            <w:tcMar>
              <w:top w:w="110" w:type="dxa"/>
              <w:left w:w="108" w:type="dxa"/>
              <w:bottom w:w="0" w:type="dxa"/>
              <w:right w:w="108" w:type="dxa"/>
            </w:tcMar>
            <w:vAlign w:val="center"/>
            <w:hideMark/>
          </w:tcPr>
          <w:p w14:paraId="7B0ECF01"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032" w:type="pct"/>
            <w:shd w:val="clear" w:color="auto" w:fill="FFFFFF"/>
            <w:tcMar>
              <w:top w:w="110" w:type="dxa"/>
              <w:left w:w="108" w:type="dxa"/>
              <w:bottom w:w="0" w:type="dxa"/>
              <w:right w:w="108" w:type="dxa"/>
            </w:tcMar>
            <w:vAlign w:val="center"/>
            <w:hideMark/>
          </w:tcPr>
          <w:p w14:paraId="0228408B"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66B654F9" w14:textId="77777777" w:rsidTr="00DF6715">
        <w:trPr>
          <w:trHeight w:val="473"/>
        </w:trPr>
        <w:tc>
          <w:tcPr>
            <w:tcW w:w="1171" w:type="pct"/>
          </w:tcPr>
          <w:p w14:paraId="19F6A51E"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زيارة دراسية لوفد من الجمهورية الدومينيكية إلى سيول ودايجون (جمهورية كوريا)</w:t>
            </w:r>
          </w:p>
        </w:tc>
        <w:tc>
          <w:tcPr>
            <w:tcW w:w="625" w:type="pct"/>
          </w:tcPr>
          <w:p w14:paraId="2629209B"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 إلى 4 نوفمبر 2016</w:t>
            </w:r>
          </w:p>
        </w:tc>
        <w:tc>
          <w:tcPr>
            <w:tcW w:w="1172" w:type="pct"/>
          </w:tcPr>
          <w:p w14:paraId="12D49056"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كوريا/ 8 مشاركين من الجمهورية الدومينيكية</w:t>
            </w:r>
          </w:p>
        </w:tc>
        <w:tc>
          <w:tcPr>
            <w:tcW w:w="2032" w:type="pct"/>
          </w:tcPr>
          <w:p w14:paraId="7FB1E54A"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زيادة فهم صانعي السياسات من القطاعين العام والخاص العاملين على إعداد استراتيجية وطنية للملكية الفكرية من أجل تعزيز الفعالية في تخطيط استراتيجية الملكية الفكرية وتنفيذها؛ "2" وتعزيز معرفتهم لترويج الابتكار الداخلي عن طريق تحسين النفاذ إلى أدبيات البراءات؛ "3" وتوفير معارف من المصدر وملاحظة كيف أصبح اقتصاد كوريا اقتصاداً قائماً على الملكية الفكرية عن طريق قطاعاتها الصناعية الرئيسية</w:t>
            </w:r>
          </w:p>
        </w:tc>
      </w:tr>
      <w:tr w:rsidR="00BD3831" w:rsidRPr="00CE1677" w14:paraId="5BE76936" w14:textId="77777777" w:rsidTr="00DF6715">
        <w:tc>
          <w:tcPr>
            <w:tcW w:w="5000" w:type="pct"/>
            <w:gridSpan w:val="4"/>
            <w:shd w:val="clear" w:color="auto" w:fill="C6D9F1"/>
            <w:vAlign w:val="center"/>
            <w:hideMark/>
          </w:tcPr>
          <w:p w14:paraId="7BE6AF7E"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ه2.3 كفاءات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‏معزَّزة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‏للموارد</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‏البشرية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‏القادرة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‏على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‏تلبية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‏تشكيلة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‏واسعة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‏من المتطلبات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‏لتسخير</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‏الملكية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‏الفكرية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‏بفعالية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‏لأغراض</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‏التنمية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‏في</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‏النامية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‏الأقل</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‏نموا</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‏المنتقلة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‏إلى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‏نظام الاقتصاد الحر</w:t>
            </w:r>
          </w:p>
        </w:tc>
      </w:tr>
      <w:tr w:rsidR="00BD3831" w:rsidRPr="00CE1677" w14:paraId="0F017EE1" w14:textId="77777777" w:rsidTr="00DF6715">
        <w:trPr>
          <w:trHeight w:val="438"/>
        </w:trPr>
        <w:tc>
          <w:tcPr>
            <w:tcW w:w="1171" w:type="pct"/>
            <w:vAlign w:val="center"/>
            <w:hideMark/>
          </w:tcPr>
          <w:p w14:paraId="57BC20F2"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25" w:type="pct"/>
            <w:tcMar>
              <w:top w:w="110" w:type="dxa"/>
              <w:left w:w="108" w:type="dxa"/>
              <w:bottom w:w="0" w:type="dxa"/>
              <w:right w:w="108" w:type="dxa"/>
            </w:tcMar>
            <w:vAlign w:val="center"/>
            <w:hideMark/>
          </w:tcPr>
          <w:p w14:paraId="6748C611"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72" w:type="pct"/>
            <w:tcMar>
              <w:top w:w="110" w:type="dxa"/>
              <w:left w:w="108" w:type="dxa"/>
              <w:bottom w:w="0" w:type="dxa"/>
              <w:right w:w="108" w:type="dxa"/>
            </w:tcMar>
            <w:vAlign w:val="center"/>
            <w:hideMark/>
          </w:tcPr>
          <w:p w14:paraId="6DE3786D"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032" w:type="pct"/>
            <w:shd w:val="clear" w:color="auto" w:fill="FFFFFF"/>
            <w:tcMar>
              <w:top w:w="110" w:type="dxa"/>
              <w:left w:w="108" w:type="dxa"/>
              <w:bottom w:w="0" w:type="dxa"/>
              <w:right w:w="108" w:type="dxa"/>
            </w:tcMar>
            <w:vAlign w:val="center"/>
            <w:hideMark/>
          </w:tcPr>
          <w:p w14:paraId="4A8FF046"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4AA63CAF" w14:textId="77777777" w:rsidTr="00DF6715">
        <w:trPr>
          <w:cantSplit/>
          <w:trHeight w:val="473"/>
        </w:trPr>
        <w:tc>
          <w:tcPr>
            <w:tcW w:w="1171" w:type="pct"/>
          </w:tcPr>
          <w:p w14:paraId="476D423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حلقات عمل بشأن البرنامج الرائد الخاص بقانون البراءات وفحص البراءات والتدريب أثناء</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العمل</w:t>
            </w:r>
          </w:p>
        </w:tc>
        <w:tc>
          <w:tcPr>
            <w:tcW w:w="625" w:type="pct"/>
          </w:tcPr>
          <w:p w14:paraId="45925F4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23 مارس إلى 1 أبريل 2016</w:t>
            </w:r>
          </w:p>
          <w:p w14:paraId="1B5EB13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4 إلى 8 أبريل 2016</w:t>
            </w:r>
          </w:p>
        </w:tc>
        <w:tc>
          <w:tcPr>
            <w:tcW w:w="1172" w:type="pct"/>
          </w:tcPr>
          <w:p w14:paraId="1AC247B4" w14:textId="231CA3A1" w:rsidR="00BD3831" w:rsidRPr="00CE1677" w:rsidRDefault="00BD3831" w:rsidP="0059581F">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كوريا/ 19 مشاركاً من بنغلاديش وكولومبيا ومصر وكازاخستان وكينيا ومنغوليا (البرنامجان) وميانمار وباكستان وبيرو وأوزبكستان وفييت نام والمنظمة الأفريقية الإقليمية للملكية</w:t>
            </w:r>
            <w:r w:rsidR="0059581F">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الفكرية</w:t>
            </w:r>
          </w:p>
        </w:tc>
        <w:tc>
          <w:tcPr>
            <w:tcW w:w="2032" w:type="pct"/>
          </w:tcPr>
          <w:p w14:paraId="2A45965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ركزت حلقة العمل على "1" تعزيز معارف فاحصي البراءات ومهاراتهم فيما يخص إجراءات الفحص؛ "2"</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ودورات عملية بشأن النفاذ إلى نتائج الفحوص الخارجية واستخدامها وفهم الإخطارات الواردة؛ "3"</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ودورة</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خاصة للمشاركين لتبادل الآراء وبحث الاختلافات والقواسم المشتركة في الفحص الموضوعي للبراءات بين المكاتب الوطنية للبراءات؛ "4" وجلسات عن ضبط جودة البراءات لتعزيز مصداقية فحص البراءات</w:t>
            </w:r>
          </w:p>
        </w:tc>
      </w:tr>
      <w:tr w:rsidR="00BD3831" w:rsidRPr="00CE1677" w14:paraId="148C7053" w14:textId="77777777" w:rsidTr="00DF6715">
        <w:trPr>
          <w:trHeight w:val="473"/>
        </w:trPr>
        <w:tc>
          <w:tcPr>
            <w:tcW w:w="1171" w:type="pct"/>
          </w:tcPr>
          <w:p w14:paraId="6672E9A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حلقات عمل بشأن البرنامج الرائد الخاص بقانون العلامات التجارية وفحص العلامات التجارية والتدريب أثناء العمل</w:t>
            </w:r>
          </w:p>
        </w:tc>
        <w:tc>
          <w:tcPr>
            <w:tcW w:w="625" w:type="pct"/>
          </w:tcPr>
          <w:p w14:paraId="617B857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10 إلى 17 مايو 2016</w:t>
            </w:r>
          </w:p>
          <w:p w14:paraId="5ABBE41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18 إلى 20 مايو 2016</w:t>
            </w:r>
          </w:p>
        </w:tc>
        <w:tc>
          <w:tcPr>
            <w:tcW w:w="1172" w:type="pct"/>
          </w:tcPr>
          <w:p w14:paraId="752B547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كوريا/ 20 مشاركاً من كازاخستان وقيرغيزستان وموزامبيق وبابوا غينيا الجديدة وباراغواي وسري لانكا وتايلند وأوزبكستان (البرنامجان) وفييت نام</w:t>
            </w:r>
          </w:p>
        </w:tc>
        <w:tc>
          <w:tcPr>
            <w:tcW w:w="2032" w:type="pct"/>
          </w:tcPr>
          <w:p w14:paraId="1A539BC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تعزيز معرفة فاحصي العلامات التجارية بمبادئ قانون العلامات التجارية وإجراءات فحص العلامات التجارية؛ "2" وزيادة مهاراتهم في الفحص الفعلي لطلبات العلامات التجارية؛ "3" وتوفير فرصة لتبادل الآراء بشأن الأنظمة الوطنية للعلامات التجارية والصعوبات في فحص العلامات التجارية؛ "4" وزيادة فهم نظام مدريد واستخدامه</w:t>
            </w:r>
          </w:p>
        </w:tc>
      </w:tr>
      <w:tr w:rsidR="00BD3831" w:rsidRPr="00CE1677" w14:paraId="533D2D27" w14:textId="77777777" w:rsidTr="00DF6715">
        <w:trPr>
          <w:trHeight w:val="473"/>
        </w:trPr>
        <w:tc>
          <w:tcPr>
            <w:tcW w:w="1171" w:type="pct"/>
          </w:tcPr>
          <w:p w14:paraId="6ABDCEC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ندوة عن الإجراءات البديلة لتسوية منازعات الملكية الفكرية والتكنولوجيا</w:t>
            </w:r>
          </w:p>
        </w:tc>
        <w:tc>
          <w:tcPr>
            <w:tcW w:w="625" w:type="pct"/>
          </w:tcPr>
          <w:p w14:paraId="0EB1C19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11 مارس 2016</w:t>
            </w:r>
          </w:p>
        </w:tc>
        <w:tc>
          <w:tcPr>
            <w:tcW w:w="1172" w:type="pct"/>
          </w:tcPr>
          <w:p w14:paraId="545BB06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كوريا/ نحو 170 مشاركاً من جمهورية كوريا</w:t>
            </w:r>
          </w:p>
        </w:tc>
        <w:tc>
          <w:tcPr>
            <w:tcW w:w="2032" w:type="pct"/>
          </w:tcPr>
          <w:p w14:paraId="5C8AC89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توفير فهم أفضل للإجراءات البديلة لتسوية منازعات الملكية الفكرية؛ "2" ومشاركة خبرات مركز الويبو في مجال الإجراءات البديلة لتسوية المنازعات مع الهيئات الوطنية المعنية بتلك الإجراءات؛ "3" وتشجيع البلدان النامية على وضع وتنفيذ إجراءات بديلة ملائمة لتسوية المنازعات</w:t>
            </w:r>
          </w:p>
        </w:tc>
      </w:tr>
      <w:tr w:rsidR="00BD3831" w:rsidRPr="00CE1677" w14:paraId="11525764" w14:textId="77777777" w:rsidTr="00DF6715">
        <w:trPr>
          <w:trHeight w:val="473"/>
        </w:trPr>
        <w:tc>
          <w:tcPr>
            <w:tcW w:w="1171" w:type="pct"/>
          </w:tcPr>
          <w:p w14:paraId="6CFA202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ندوة عن الملكية الصناعية والوساطة والتحكيم في مجال الملكية الفكرية</w:t>
            </w:r>
          </w:p>
        </w:tc>
        <w:tc>
          <w:tcPr>
            <w:tcW w:w="625" w:type="pct"/>
          </w:tcPr>
          <w:p w14:paraId="52AFB8E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من 17 إلى </w:t>
            </w:r>
            <w:r>
              <w:rPr>
                <w:rFonts w:ascii="Arabic Typesetting" w:eastAsia="Arabic Typesetting" w:hAnsi="Arabic Typesetting" w:cs="Arabic Typesetting" w:hint="cs"/>
                <w:sz w:val="28"/>
                <w:szCs w:val="28"/>
                <w:rtl/>
                <w:lang w:eastAsia="ar-EG" w:bidi="ar-EG"/>
              </w:rPr>
              <w:t xml:space="preserve">22 </w:t>
            </w:r>
            <w:r w:rsidRPr="00CE1677">
              <w:rPr>
                <w:rFonts w:ascii="Arabic Typesetting" w:eastAsia="Arabic Typesetting" w:hAnsi="Arabic Typesetting" w:cs="Arabic Typesetting"/>
                <w:sz w:val="28"/>
                <w:szCs w:val="28"/>
                <w:rtl/>
                <w:lang w:eastAsia="ar-EG" w:bidi="ar-EG"/>
              </w:rPr>
              <w:t>نوفمبر 2016</w:t>
            </w:r>
          </w:p>
        </w:tc>
        <w:tc>
          <w:tcPr>
            <w:tcW w:w="1172" w:type="pct"/>
          </w:tcPr>
          <w:p w14:paraId="3A56509D" w14:textId="469250D4"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كوبا والسلفادور والمكسيك/ نحو 50 مشاركاً من كوبا و136 مشاركاً من السلفادور و100 مشارك من المكسيك</w:t>
            </w:r>
          </w:p>
        </w:tc>
        <w:tc>
          <w:tcPr>
            <w:tcW w:w="2032" w:type="pct"/>
          </w:tcPr>
          <w:p w14:paraId="1C5F5BD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توفير فهم أفضل للإجراءات البديلة لتسوية منازعات الملكية الفكرية؛ "2" ومشاركة خبرات مركز الويبو في مجال الإجراءات البديلة لتسوية المنازعات مع الهيئات الوطنية المعنية بتلك الإجراءات؛ "3" وتشجيع البلدان النامية على وضع وتنفيذ إجراءات بديلة ملائمة لتسوية المنازعات</w:t>
            </w:r>
          </w:p>
        </w:tc>
      </w:tr>
      <w:tr w:rsidR="00BD3831" w:rsidRPr="00CE1677" w14:paraId="077422CC" w14:textId="77777777" w:rsidTr="00DF6715">
        <w:trPr>
          <w:cantSplit/>
          <w:trHeight w:val="473"/>
        </w:trPr>
        <w:tc>
          <w:tcPr>
            <w:tcW w:w="1171" w:type="pct"/>
          </w:tcPr>
          <w:p w14:paraId="1EEF517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المش</w:t>
            </w:r>
            <w:r>
              <w:rPr>
                <w:rFonts w:ascii="Arabic Typesetting" w:eastAsia="Arabic Typesetting" w:hAnsi="Arabic Typesetting" w:cs="Arabic Typesetting"/>
                <w:color w:val="000000"/>
                <w:sz w:val="28"/>
                <w:szCs w:val="28"/>
                <w:rtl/>
                <w:lang w:eastAsia="ar-EG" w:bidi="ar-EG"/>
              </w:rPr>
              <w:t>روع الأولي:</w:t>
            </w:r>
            <w:r w:rsidRPr="00CE1677">
              <w:rPr>
                <w:rFonts w:ascii="Arabic Typesetting" w:eastAsia="Arabic Typesetting" w:hAnsi="Arabic Typesetting" w:cs="Arabic Typesetting"/>
                <w:color w:val="000000"/>
                <w:sz w:val="28"/>
                <w:szCs w:val="28"/>
                <w:rtl/>
                <w:lang w:eastAsia="ar-EG" w:bidi="ar-EG"/>
              </w:rPr>
              <w:t xml:space="preserve"> برنامج التعليم الدولي الخاص بالأفكار والاختراع والابتكار والملكية</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الفكرية</w:t>
            </w:r>
          </w:p>
        </w:tc>
        <w:tc>
          <w:tcPr>
            <w:tcW w:w="625" w:type="pct"/>
          </w:tcPr>
          <w:p w14:paraId="5E1566F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16 إلى 20 مايو 2016</w:t>
            </w:r>
          </w:p>
        </w:tc>
        <w:tc>
          <w:tcPr>
            <w:tcW w:w="1172" w:type="pct"/>
          </w:tcPr>
          <w:p w14:paraId="761D2EE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كوريا/ 15 مشاركاً من ماليزيا ومنغوليا والفلبين وتركيا وفييت نام</w:t>
            </w:r>
          </w:p>
        </w:tc>
        <w:tc>
          <w:tcPr>
            <w:tcW w:w="2032" w:type="pct"/>
          </w:tcPr>
          <w:p w14:paraId="589C83A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يرمي الم</w:t>
            </w:r>
            <w:r>
              <w:rPr>
                <w:rFonts w:ascii="Arabic Typesetting" w:eastAsia="Arabic Typesetting" w:hAnsi="Arabic Typesetting" w:cs="Arabic Typesetting"/>
                <w:color w:val="000000"/>
                <w:sz w:val="28"/>
                <w:szCs w:val="28"/>
                <w:rtl/>
                <w:lang w:eastAsia="ar-EG" w:bidi="ar-EG"/>
              </w:rPr>
              <w:t xml:space="preserve">شروع إلى </w:t>
            </w:r>
            <w:r w:rsidRPr="00CE1677">
              <w:rPr>
                <w:rFonts w:ascii="Arabic Typesetting" w:eastAsia="Arabic Typesetting" w:hAnsi="Arabic Typesetting" w:cs="Arabic Typesetting"/>
                <w:color w:val="000000"/>
                <w:sz w:val="28"/>
                <w:szCs w:val="28"/>
                <w:rtl/>
                <w:lang w:eastAsia="ar-EG" w:bidi="ar-EG"/>
              </w:rPr>
              <w:t xml:space="preserve">"1" زيادة إلمام المشاركين بمسار الاختراع وحماية الاختراعات وإدارة حقوق الملكية الفكرية؛ "2" </w:t>
            </w:r>
            <w:r>
              <w:rPr>
                <w:rFonts w:ascii="Arabic Typesetting" w:eastAsia="Arabic Typesetting" w:hAnsi="Arabic Typesetting" w:cs="Arabic Typesetting" w:hint="cs"/>
                <w:color w:val="000000"/>
                <w:sz w:val="28"/>
                <w:szCs w:val="28"/>
                <w:rtl/>
                <w:lang w:eastAsia="ar-EG" w:bidi="ar-EG"/>
              </w:rPr>
              <w:t>و</w:t>
            </w:r>
            <w:r w:rsidRPr="00CE1677">
              <w:rPr>
                <w:rFonts w:ascii="Arabic Typesetting" w:eastAsia="Arabic Typesetting" w:hAnsi="Arabic Typesetting" w:cs="Arabic Typesetting"/>
                <w:color w:val="000000"/>
                <w:sz w:val="28"/>
                <w:szCs w:val="28"/>
                <w:rtl/>
                <w:lang w:eastAsia="ar-EG" w:bidi="ar-EG"/>
              </w:rPr>
              <w:t>نقل الدراية العملية للأسلوب التعليمي الذي اكتسبته جمهورية كوريا عن طريق مختلف مشاريعها وبرامجها التعليمية من أجل تمكين المشاركين من مواصلة نشر المعارف والمهارات على الصعيد</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الوطني</w:t>
            </w:r>
          </w:p>
        </w:tc>
      </w:tr>
      <w:tr w:rsidR="00BD3831" w:rsidRPr="00CE1677" w14:paraId="4C8A847B" w14:textId="77777777" w:rsidTr="00DF6715">
        <w:trPr>
          <w:trHeight w:val="473"/>
        </w:trPr>
        <w:tc>
          <w:tcPr>
            <w:tcW w:w="1171" w:type="pct"/>
          </w:tcPr>
          <w:p w14:paraId="0D67A04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lastRenderedPageBreak/>
              <w:t>إنتاج قرص الفيد</w:t>
            </w:r>
            <w:r>
              <w:rPr>
                <w:rFonts w:ascii="Arabic Typesetting" w:eastAsia="Arabic Typesetting" w:hAnsi="Arabic Typesetting" w:cs="Arabic Typesetting"/>
                <w:color w:val="000000"/>
                <w:sz w:val="28"/>
                <w:szCs w:val="28"/>
                <w:rtl/>
                <w:lang w:eastAsia="ar-EG" w:bidi="ar-EG"/>
              </w:rPr>
              <w:t>يو الرقمي ودليل "بورورو"</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(بالإنكليزية والفرنسية والإسبانية)</w:t>
            </w:r>
          </w:p>
        </w:tc>
        <w:tc>
          <w:tcPr>
            <w:tcW w:w="625" w:type="pct"/>
          </w:tcPr>
          <w:p w14:paraId="5B7BEE0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يناير إلى ديسمبر 2016</w:t>
            </w:r>
          </w:p>
        </w:tc>
        <w:tc>
          <w:tcPr>
            <w:tcW w:w="1172" w:type="pct"/>
          </w:tcPr>
          <w:p w14:paraId="3C6650A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كوريا</w:t>
            </w:r>
          </w:p>
        </w:tc>
        <w:tc>
          <w:tcPr>
            <w:tcW w:w="2032" w:type="pct"/>
          </w:tcPr>
          <w:p w14:paraId="3C315B5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"1" توفير مواد </w:t>
            </w:r>
            <w:r>
              <w:rPr>
                <w:rFonts w:ascii="Arabic Typesetting" w:eastAsia="Arabic Typesetting" w:hAnsi="Arabic Typesetting" w:cs="Arabic Typesetting" w:hint="cs"/>
                <w:sz w:val="28"/>
                <w:szCs w:val="28"/>
                <w:rtl/>
                <w:lang w:eastAsia="ar-EG" w:bidi="ar-EG"/>
              </w:rPr>
              <w:t>سهلة الاستخدام</w:t>
            </w:r>
            <w:r w:rsidRPr="00CE1677">
              <w:rPr>
                <w:rFonts w:ascii="Arabic Typesetting" w:eastAsia="Arabic Typesetting" w:hAnsi="Arabic Typesetting" w:cs="Arabic Typesetting"/>
                <w:sz w:val="28"/>
                <w:szCs w:val="28"/>
                <w:rtl/>
                <w:lang w:eastAsia="ar-EG" w:bidi="ar-EG"/>
              </w:rPr>
              <w:t xml:space="preserve"> بشأن الملكية الفكرية لغير الخبراء في الملكية الفكرية؛ "2" ودعم المصلحة العامة في قضايا الملكية الفكرية؛ "3" ومساعدة المدارس والمؤسسات التعليمية الأخرى في الوصول إلى المناهج الدراسية التي تدعم الإبداع؛ "4" وإمداد مستخدمي الملكية الفكرية بإمكانية الوصول إلى مواد الملكية الفكرية باللغات</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المحلية</w:t>
            </w:r>
          </w:p>
        </w:tc>
      </w:tr>
      <w:tr w:rsidR="00BD3831" w:rsidRPr="00CE1677" w14:paraId="51B434D9" w14:textId="77777777" w:rsidTr="00DF6715">
        <w:trPr>
          <w:trHeight w:val="473"/>
        </w:trPr>
        <w:tc>
          <w:tcPr>
            <w:tcW w:w="1171" w:type="pct"/>
          </w:tcPr>
          <w:p w14:paraId="7909350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إنتاج نسخة مدبلجة من قرص الفيديو الرقمي (القرص المدمج) ودليل (كتاب التمارين) "بورورو" باللغة العربية</w:t>
            </w:r>
          </w:p>
        </w:tc>
        <w:tc>
          <w:tcPr>
            <w:tcW w:w="625" w:type="pct"/>
          </w:tcPr>
          <w:p w14:paraId="71443F4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يناير إلى ديسمبر 2016</w:t>
            </w:r>
          </w:p>
        </w:tc>
        <w:tc>
          <w:tcPr>
            <w:tcW w:w="1172" w:type="pct"/>
          </w:tcPr>
          <w:p w14:paraId="623CA32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كوريا</w:t>
            </w:r>
          </w:p>
        </w:tc>
        <w:tc>
          <w:tcPr>
            <w:tcW w:w="2032" w:type="pct"/>
          </w:tcPr>
          <w:p w14:paraId="4B4C85C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"1" توفير مواد </w:t>
            </w:r>
            <w:r>
              <w:rPr>
                <w:rFonts w:ascii="Arabic Typesetting" w:eastAsia="Arabic Typesetting" w:hAnsi="Arabic Typesetting" w:cs="Arabic Typesetting" w:hint="cs"/>
                <w:sz w:val="28"/>
                <w:szCs w:val="28"/>
                <w:rtl/>
                <w:lang w:eastAsia="ar-EG" w:bidi="ar-EG"/>
              </w:rPr>
              <w:t>سهلة الاستخدام</w:t>
            </w:r>
            <w:r w:rsidRPr="00CE1677">
              <w:rPr>
                <w:rFonts w:ascii="Arabic Typesetting" w:eastAsia="Arabic Typesetting" w:hAnsi="Arabic Typesetting" w:cs="Arabic Typesetting"/>
                <w:sz w:val="28"/>
                <w:szCs w:val="28"/>
                <w:rtl/>
                <w:lang w:eastAsia="ar-EG" w:bidi="ar-EG"/>
              </w:rPr>
              <w:t xml:space="preserve"> بشأن الملكية الفكرية لغير الخبراء في الملكية الفكرية؛ "2" ودعم المصلحة العامة في قضايا الملكية الفكرية؛ "3" ومساعدة المدارس والمؤسسات التعليمية الأخرى في الوصول إلى المناهج الدراسية التي تدعم الإبداع؛ "4" وإمداد مستخدمي الملكية الفكرية بإمكانية الوصول إلى مواد الملكية الفكرية باللغات</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المحلية</w:t>
            </w:r>
          </w:p>
        </w:tc>
      </w:tr>
      <w:tr w:rsidR="00BD3831" w:rsidRPr="00CE1677" w14:paraId="272AAC91" w14:textId="77777777" w:rsidTr="00DF6715">
        <w:trPr>
          <w:trHeight w:val="473"/>
        </w:trPr>
        <w:tc>
          <w:tcPr>
            <w:tcW w:w="1171" w:type="pct"/>
          </w:tcPr>
          <w:p w14:paraId="095C4CB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إنتاج موضوع جديد ("التصاميم</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الصناعية") لمواد</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"بورورو" المتحركة</w:t>
            </w:r>
          </w:p>
        </w:tc>
        <w:tc>
          <w:tcPr>
            <w:tcW w:w="625" w:type="pct"/>
          </w:tcPr>
          <w:p w14:paraId="34F7C0D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ديسمبر 2016 تقريباً</w:t>
            </w:r>
          </w:p>
        </w:tc>
        <w:tc>
          <w:tcPr>
            <w:tcW w:w="1172" w:type="pct"/>
          </w:tcPr>
          <w:p w14:paraId="1FAD4F4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كوريا</w:t>
            </w:r>
          </w:p>
        </w:tc>
        <w:tc>
          <w:tcPr>
            <w:tcW w:w="2032" w:type="pct"/>
          </w:tcPr>
          <w:p w14:paraId="56C6E42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sz w:val="28"/>
                <w:szCs w:val="28"/>
                <w:rtl/>
                <w:lang w:eastAsia="ar-EG" w:bidi="ar-EG"/>
              </w:rPr>
              <w:t xml:space="preserve">"1" توفير مواد </w:t>
            </w:r>
            <w:r>
              <w:rPr>
                <w:rFonts w:ascii="Arabic Typesetting" w:eastAsia="Arabic Typesetting" w:hAnsi="Arabic Typesetting" w:cs="Arabic Typesetting" w:hint="cs"/>
                <w:sz w:val="28"/>
                <w:szCs w:val="28"/>
                <w:rtl/>
                <w:lang w:eastAsia="ar-EG" w:bidi="ar-EG"/>
              </w:rPr>
              <w:t>سهلة الاستخدام</w:t>
            </w:r>
            <w:r w:rsidRPr="00CE1677">
              <w:rPr>
                <w:rFonts w:ascii="Arabic Typesetting" w:eastAsia="Arabic Typesetting" w:hAnsi="Arabic Typesetting" w:cs="Arabic Typesetting"/>
                <w:sz w:val="28"/>
                <w:szCs w:val="28"/>
                <w:rtl/>
                <w:lang w:eastAsia="ar-EG" w:bidi="ar-EG"/>
              </w:rPr>
              <w:t xml:space="preserve"> بشأن الملكية الفكرية لغير الخبراء في الملكية الفكرية؛ "2" ودعم المصلحة العامة في قضايا الملكية الفكرية؛ "3" ومساعدة المدارس والمؤسسات التعليمية الأخرى في الوصول إلى المناهج الدراسية التي تدعم الإبداع؛ "4" وإمداد مستخدمي الملكية الفكرية بإمكانية الوصول إلى مواد الملكية الفكرية باللغات</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المحلية</w:t>
            </w:r>
          </w:p>
        </w:tc>
      </w:tr>
      <w:tr w:rsidR="00BD3831" w:rsidRPr="00CE1677" w14:paraId="77320A5D" w14:textId="77777777" w:rsidTr="00DF6715">
        <w:trPr>
          <w:trHeight w:val="473"/>
        </w:trPr>
        <w:tc>
          <w:tcPr>
            <w:tcW w:w="1171" w:type="pct"/>
          </w:tcPr>
          <w:p w14:paraId="2B2B03B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إنتاج مجموعة أدوات حاسوبية للتعلم </w:t>
            </w:r>
            <w:r>
              <w:rPr>
                <w:rFonts w:ascii="Arabic Typesetting" w:eastAsia="Arabic Typesetting" w:hAnsi="Arabic Typesetting" w:cs="Arabic Typesetting" w:hint="cs"/>
                <w:color w:val="000000"/>
                <w:sz w:val="28"/>
                <w:szCs w:val="28"/>
                <w:rtl/>
                <w:lang w:eastAsia="ar-EG" w:bidi="ar-EG"/>
              </w:rPr>
              <w:t>عن طريق اللعب</w:t>
            </w:r>
            <w:r w:rsidRPr="00CE1677">
              <w:rPr>
                <w:rFonts w:ascii="Arabic Typesetting" w:eastAsia="Arabic Typesetting" w:hAnsi="Arabic Typesetting" w:cs="Arabic Typesetting"/>
                <w:color w:val="000000"/>
                <w:sz w:val="28"/>
                <w:szCs w:val="28"/>
                <w:rtl/>
                <w:lang w:eastAsia="ar-EG" w:bidi="ar-EG"/>
              </w:rPr>
              <w:t xml:space="preserve"> (القرص</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المدمج وكتاب التمارين)</w:t>
            </w:r>
          </w:p>
        </w:tc>
        <w:tc>
          <w:tcPr>
            <w:tcW w:w="625" w:type="pct"/>
          </w:tcPr>
          <w:p w14:paraId="2C39DFB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يوليو 2016</w:t>
            </w:r>
          </w:p>
        </w:tc>
        <w:tc>
          <w:tcPr>
            <w:tcW w:w="1172" w:type="pct"/>
          </w:tcPr>
          <w:p w14:paraId="43493D3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كوريا</w:t>
            </w:r>
          </w:p>
        </w:tc>
        <w:tc>
          <w:tcPr>
            <w:tcW w:w="2032" w:type="pct"/>
          </w:tcPr>
          <w:p w14:paraId="6BBE1B81"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جذب اهتمام الجمهور ولا سيما الشباب بالقضايا المتعلقة بالملكية الفكرية بطريقة أيسر وأكثر تسلية؛ "2"</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والتعزيز الفعال للتوعية الطويلة الأجل بالملكية الفكرية لدى الدول الأعضاء في الويبو؛ "3" وتوفير أسلوب ملائم لتعلم الملكية الفكرية لذوي الدراية بالأجهزة الرقمية (المواطنون الرقميون)</w:t>
            </w:r>
          </w:p>
        </w:tc>
      </w:tr>
      <w:tr w:rsidR="00BD3831" w:rsidRPr="00CE1677" w14:paraId="6E2A8ACC" w14:textId="77777777" w:rsidTr="00DF6715">
        <w:tc>
          <w:tcPr>
            <w:tcW w:w="5000" w:type="pct"/>
            <w:gridSpan w:val="4"/>
            <w:shd w:val="clear" w:color="auto" w:fill="C6D9F1"/>
            <w:vAlign w:val="center"/>
            <w:hideMark/>
          </w:tcPr>
          <w:p w14:paraId="55C47E35"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Pr>
                <w:rFonts w:ascii="Arabic Typesetting" w:eastAsia="Arabic Typesetting" w:hAnsi="Arabic Typesetting" w:cs="Arabic Typesetting" w:hint="cs"/>
                <w:sz w:val="28"/>
                <w:szCs w:val="28"/>
                <w:rtl/>
                <w:lang w:eastAsia="ar-EG" w:bidi="ar-EG"/>
              </w:rPr>
              <w:t xml:space="preserve">ه2.4 </w:t>
            </w:r>
            <w:r w:rsidRPr="00CE1677">
              <w:rPr>
                <w:rFonts w:ascii="Arabic Typesetting" w:eastAsia="Arabic Typesetting" w:hAnsi="Arabic Typesetting" w:cs="Arabic Typesetting"/>
                <w:sz w:val="28"/>
                <w:szCs w:val="28"/>
                <w:rtl/>
                <w:lang w:eastAsia="ar-EG" w:bidi="ar-EG"/>
              </w:rPr>
              <w:t>نفاذ محسّن إلى المعلومات المتعلقة بالملكية الفكرية واستخدامها من قبل مؤسسات الملكية الفكرية والجمهور لتشجيع الابتكار</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والإبداع</w:t>
            </w:r>
          </w:p>
        </w:tc>
      </w:tr>
      <w:tr w:rsidR="00BD3831" w:rsidRPr="00CE1677" w14:paraId="06F2FE62" w14:textId="77777777" w:rsidTr="00DF6715">
        <w:trPr>
          <w:trHeight w:val="438"/>
        </w:trPr>
        <w:tc>
          <w:tcPr>
            <w:tcW w:w="1171" w:type="pct"/>
            <w:vAlign w:val="center"/>
            <w:hideMark/>
          </w:tcPr>
          <w:p w14:paraId="711BA240"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25" w:type="pct"/>
            <w:tcMar>
              <w:top w:w="110" w:type="dxa"/>
              <w:left w:w="108" w:type="dxa"/>
              <w:bottom w:w="0" w:type="dxa"/>
              <w:right w:w="108" w:type="dxa"/>
            </w:tcMar>
            <w:vAlign w:val="center"/>
            <w:hideMark/>
          </w:tcPr>
          <w:p w14:paraId="4C2C720D"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172" w:type="pct"/>
            <w:tcMar>
              <w:top w:w="110" w:type="dxa"/>
              <w:left w:w="108" w:type="dxa"/>
              <w:bottom w:w="0" w:type="dxa"/>
              <w:right w:w="108" w:type="dxa"/>
            </w:tcMar>
            <w:vAlign w:val="center"/>
            <w:hideMark/>
          </w:tcPr>
          <w:p w14:paraId="60203FDA"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032" w:type="pct"/>
            <w:shd w:val="clear" w:color="auto" w:fill="FFFFFF"/>
            <w:tcMar>
              <w:top w:w="110" w:type="dxa"/>
              <w:left w:w="108" w:type="dxa"/>
              <w:bottom w:w="0" w:type="dxa"/>
              <w:right w:w="108" w:type="dxa"/>
            </w:tcMar>
            <w:vAlign w:val="center"/>
            <w:hideMark/>
          </w:tcPr>
          <w:p w14:paraId="503E73F3"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6102D9AE" w14:textId="77777777" w:rsidTr="00DF6715">
        <w:trPr>
          <w:trHeight w:val="473"/>
        </w:trPr>
        <w:tc>
          <w:tcPr>
            <w:tcW w:w="1171" w:type="pct"/>
          </w:tcPr>
          <w:p w14:paraId="3315A58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مشروع بشأن تسخير الملكية الفكرية لأغراض التنمية </w:t>
            </w:r>
            <w:r>
              <w:rPr>
                <w:rFonts w:ascii="Arabic Typesetting" w:eastAsia="Arabic Typesetting" w:hAnsi="Arabic Typesetting" w:cs="Arabic Typesetting"/>
                <w:color w:val="000000"/>
                <w:sz w:val="28"/>
                <w:szCs w:val="28"/>
                <w:rtl/>
                <w:lang w:eastAsia="ar-EG" w:bidi="ar-EG"/>
              </w:rPr>
              <w:t>واستخدام التكنولوجيات الملائمة:</w:t>
            </w:r>
            <w:r w:rsidRPr="00CE1677">
              <w:rPr>
                <w:rFonts w:ascii="Arabic Typesetting" w:eastAsia="Arabic Typesetting" w:hAnsi="Arabic Typesetting" w:cs="Arabic Typesetting"/>
                <w:color w:val="000000"/>
                <w:sz w:val="28"/>
                <w:szCs w:val="28"/>
                <w:rtl/>
                <w:lang w:eastAsia="ar-EG" w:bidi="ar-EG"/>
              </w:rPr>
              <w:t xml:space="preserve"> المسابقة النهائية وحفل تسليم الجوائز وحلقة العمل النهائية</w:t>
            </w:r>
          </w:p>
        </w:tc>
        <w:tc>
          <w:tcPr>
            <w:tcW w:w="625" w:type="pct"/>
          </w:tcPr>
          <w:p w14:paraId="607D1C0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20 إلى 22 أبريل 2016</w:t>
            </w:r>
          </w:p>
        </w:tc>
        <w:tc>
          <w:tcPr>
            <w:tcW w:w="1172" w:type="pct"/>
          </w:tcPr>
          <w:p w14:paraId="3AA8A0B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الجمهورية الدومينيكية/ نحو 200 مشارك من الجمهورية الدومينيكية</w:t>
            </w:r>
          </w:p>
        </w:tc>
        <w:tc>
          <w:tcPr>
            <w:tcW w:w="2032" w:type="pct"/>
          </w:tcPr>
          <w:p w14:paraId="722A6F7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كانت أهداف المنافسة تشجيع ومكافأة التميز في اختراع منتجات التكنولوجيا الملائمة في المجال الزراعي التي تتميز بسهولة الاستخدام والمجدية اقتصاديا لفائدة المجتمعات المحلية لتلبية احتياجاتها والمساهمة في تحقيق التنمية </w:t>
            </w:r>
            <w:r>
              <w:rPr>
                <w:rFonts w:ascii="Arabic Typesetting" w:eastAsia="Arabic Typesetting" w:hAnsi="Arabic Typesetting" w:cs="Arabic Typesetting"/>
                <w:sz w:val="28"/>
                <w:szCs w:val="28"/>
                <w:rtl/>
                <w:lang w:eastAsia="ar-EG" w:bidi="ar-EG"/>
              </w:rPr>
              <w:t xml:space="preserve">المستدامة للمجتمعات المحلية. </w:t>
            </w:r>
            <w:r w:rsidRPr="00CE1677">
              <w:rPr>
                <w:rFonts w:ascii="Arabic Typesetting" w:eastAsia="Arabic Typesetting" w:hAnsi="Arabic Typesetting" w:cs="Arabic Typesetting"/>
                <w:sz w:val="28"/>
                <w:szCs w:val="28"/>
                <w:rtl/>
                <w:lang w:eastAsia="ar-EG" w:bidi="ar-EG"/>
              </w:rPr>
              <w:t>وكان الاستخدام الفعال لمعلومات البراءات لابتكار حلول عنصرا</w:t>
            </w:r>
            <w:r>
              <w:rPr>
                <w:rFonts w:ascii="Arabic Typesetting" w:eastAsia="Arabic Typesetting" w:hAnsi="Arabic Typesetting" w:cs="Arabic Typesetting" w:hint="cs"/>
                <w:sz w:val="28"/>
                <w:szCs w:val="28"/>
                <w:rtl/>
                <w:lang w:eastAsia="ar-EG" w:bidi="ar-EG"/>
              </w:rPr>
              <w:t>ً</w:t>
            </w:r>
            <w:r w:rsidRPr="00CE1677">
              <w:rPr>
                <w:rFonts w:ascii="Arabic Typesetting" w:eastAsia="Arabic Typesetting" w:hAnsi="Arabic Typesetting" w:cs="Arabic Typesetting"/>
                <w:sz w:val="28"/>
                <w:szCs w:val="28"/>
                <w:rtl/>
                <w:lang w:eastAsia="ar-EG" w:bidi="ar-EG"/>
              </w:rPr>
              <w:t xml:space="preserve"> أساسيا</w:t>
            </w:r>
            <w:r>
              <w:rPr>
                <w:rFonts w:ascii="Arabic Typesetting" w:eastAsia="Arabic Typesetting" w:hAnsi="Arabic Typesetting" w:cs="Arabic Typesetting" w:hint="cs"/>
                <w:sz w:val="28"/>
                <w:szCs w:val="28"/>
                <w:rtl/>
                <w:lang w:eastAsia="ar-EG" w:bidi="ar-EG"/>
              </w:rPr>
              <w:t>ً</w:t>
            </w:r>
            <w:r w:rsidRPr="00CE1677">
              <w:rPr>
                <w:rFonts w:ascii="Arabic Typesetting" w:eastAsia="Arabic Typesetting" w:hAnsi="Arabic Typesetting" w:cs="Arabic Typesetting"/>
                <w:sz w:val="28"/>
                <w:szCs w:val="28"/>
                <w:rtl/>
                <w:lang w:eastAsia="ar-EG" w:bidi="ar-EG"/>
              </w:rPr>
              <w:t xml:space="preserve"> في المسابقة.</w:t>
            </w:r>
          </w:p>
        </w:tc>
      </w:tr>
      <w:tr w:rsidR="00BD3831" w:rsidRPr="00CE1677" w14:paraId="2B77C257" w14:textId="77777777" w:rsidTr="00DF6715">
        <w:trPr>
          <w:trHeight w:val="2875"/>
        </w:trPr>
        <w:tc>
          <w:tcPr>
            <w:tcW w:w="1171" w:type="pct"/>
          </w:tcPr>
          <w:p w14:paraId="4565E3EB" w14:textId="77777777" w:rsidR="00BD3831" w:rsidRPr="00CE1677" w:rsidRDefault="00BD3831" w:rsidP="0031289D">
            <w:pPr>
              <w:autoSpaceDE w:val="0"/>
              <w:autoSpaceDN w:val="0"/>
              <w:bidi/>
              <w:adjustRightInd w:val="0"/>
              <w:spacing w:after="6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مشروع بشأن تسخير الملكية الفكرية لأغراض التنمية واستخدام التكنولوجيات الملائمة:</w:t>
            </w:r>
          </w:p>
          <w:p w14:paraId="70E583F0" w14:textId="77777777" w:rsidR="00BD3831" w:rsidRPr="00CE1677" w:rsidRDefault="00BD3831" w:rsidP="0031289D">
            <w:pPr>
              <w:autoSpaceDE w:val="0"/>
              <w:autoSpaceDN w:val="0"/>
              <w:bidi/>
              <w:adjustRightInd w:val="0"/>
              <w:spacing w:after="6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المشاورات الإقليمية</w:t>
            </w:r>
          </w:p>
          <w:p w14:paraId="300378A9" w14:textId="77777777" w:rsidR="00BD3831" w:rsidRPr="00CE1677" w:rsidRDefault="00BD3831" w:rsidP="0031289D">
            <w:pPr>
              <w:autoSpaceDE w:val="0"/>
              <w:autoSpaceDN w:val="0"/>
              <w:bidi/>
              <w:adjustRightInd w:val="0"/>
              <w:spacing w:after="6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(2) حلقة العمل التوجيهية – حلقة عمل متقدمة لبحث البراءات</w:t>
            </w:r>
          </w:p>
          <w:p w14:paraId="1038C99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(3) المسابقة النهائية وحفل تسليم الجوائز وحلقة العمل النهائية</w:t>
            </w:r>
          </w:p>
        </w:tc>
        <w:tc>
          <w:tcPr>
            <w:tcW w:w="625" w:type="pct"/>
          </w:tcPr>
          <w:p w14:paraId="6D9A18F7" w14:textId="77777777" w:rsidR="00BD3831"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من 8 إلى 10 فبراير 2016</w:t>
            </w:r>
          </w:p>
          <w:p w14:paraId="4BBCB2A4" w14:textId="77777777" w:rsidR="00BD3831" w:rsidRDefault="00BD3831" w:rsidP="0031289D">
            <w:pPr>
              <w:autoSpaceDE w:val="0"/>
              <w:autoSpaceDN w:val="0"/>
              <w:bidi/>
              <w:adjustRightInd w:val="0"/>
              <w:spacing w:after="120" w:line="280" w:lineRule="exact"/>
              <w:ind w:right="-108"/>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(2) 7 و8 سبتمبر 2016</w:t>
            </w:r>
          </w:p>
          <w:p w14:paraId="211E219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(3) 9 و10 نوفمبر 2016</w:t>
            </w:r>
          </w:p>
        </w:tc>
        <w:tc>
          <w:tcPr>
            <w:tcW w:w="1172" w:type="pct"/>
          </w:tcPr>
          <w:p w14:paraId="1BFC23F5" w14:textId="77777777" w:rsidR="00BD3831" w:rsidRDefault="00BD3831" w:rsidP="0031289D">
            <w:pPr>
              <w:autoSpaceDE w:val="0"/>
              <w:autoSpaceDN w:val="0"/>
              <w:bidi/>
              <w:adjustRightInd w:val="0"/>
              <w:spacing w:after="66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تايلند</w:t>
            </w:r>
          </w:p>
          <w:p w14:paraId="32FC300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تايلند/ نحو 80 مشاركاً من تايلند</w:t>
            </w:r>
          </w:p>
          <w:p w14:paraId="0FCAE44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تايلند/ نحو 250 مشاركاً من تايلند</w:t>
            </w:r>
          </w:p>
        </w:tc>
        <w:tc>
          <w:tcPr>
            <w:tcW w:w="2032" w:type="pct"/>
          </w:tcPr>
          <w:p w14:paraId="75A3E43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كانت أهداف المنافسة تشجيع ومكافأة التميز في اختراع منتجات التكنولوجيا الملائمة في المجال الزراعي التي تتميز بسهولة الاستخدام والمجدية اقتصاديا لفائدة المجتمعات المحلية لتلبية احتياجاتها والمساهمة في تحقيق التنمية المستدامة للمجتمعات المحلية. وكان الاستخدام الفعال لمعلومات البراءات لابتكار حلول عنصرا</w:t>
            </w:r>
            <w:r>
              <w:rPr>
                <w:rFonts w:ascii="Arabic Typesetting" w:eastAsia="Arabic Typesetting" w:hAnsi="Arabic Typesetting" w:cs="Arabic Typesetting" w:hint="cs"/>
                <w:sz w:val="28"/>
                <w:szCs w:val="28"/>
                <w:rtl/>
                <w:lang w:eastAsia="ar-EG" w:bidi="ar-EG"/>
              </w:rPr>
              <w:t>ً</w:t>
            </w:r>
            <w:r w:rsidRPr="00CE1677">
              <w:rPr>
                <w:rFonts w:ascii="Arabic Typesetting" w:eastAsia="Arabic Typesetting" w:hAnsi="Arabic Typesetting" w:cs="Arabic Typesetting"/>
                <w:sz w:val="28"/>
                <w:szCs w:val="28"/>
                <w:rtl/>
                <w:lang w:eastAsia="ar-EG" w:bidi="ar-EG"/>
              </w:rPr>
              <w:t xml:space="preserve"> أساسيا</w:t>
            </w:r>
            <w:r>
              <w:rPr>
                <w:rFonts w:ascii="Arabic Typesetting" w:eastAsia="Arabic Typesetting" w:hAnsi="Arabic Typesetting" w:cs="Arabic Typesetting" w:hint="cs"/>
                <w:sz w:val="28"/>
                <w:szCs w:val="28"/>
                <w:rtl/>
                <w:lang w:eastAsia="ar-EG" w:bidi="ar-EG"/>
              </w:rPr>
              <w:t>ً</w:t>
            </w:r>
            <w:r w:rsidRPr="00CE1677">
              <w:rPr>
                <w:rFonts w:ascii="Arabic Typesetting" w:eastAsia="Arabic Typesetting" w:hAnsi="Arabic Typesetting" w:cs="Arabic Typesetting"/>
                <w:sz w:val="28"/>
                <w:szCs w:val="28"/>
                <w:rtl/>
                <w:lang w:eastAsia="ar-EG" w:bidi="ar-EG"/>
              </w:rPr>
              <w:t xml:space="preserve"> في المسابقة.</w:t>
            </w:r>
          </w:p>
        </w:tc>
      </w:tr>
      <w:tr w:rsidR="00BD3831" w:rsidRPr="00CE1677" w14:paraId="7C9A9AC7" w14:textId="77777777" w:rsidTr="00DF6715">
        <w:trPr>
          <w:trHeight w:val="1951"/>
        </w:trPr>
        <w:tc>
          <w:tcPr>
            <w:tcW w:w="1171" w:type="pct"/>
          </w:tcPr>
          <w:p w14:paraId="2C6756D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lastRenderedPageBreak/>
              <w:t>مشروع بشأن تسخير الملكية الفكرية لأغراض التنمية واستخدام التكنولوجيات الملائمة:</w:t>
            </w:r>
          </w:p>
          <w:p w14:paraId="137BBB7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المشاورات الإقليمية</w:t>
            </w:r>
          </w:p>
          <w:p w14:paraId="0CD3AF0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color w:val="000000"/>
                <w:sz w:val="28"/>
                <w:szCs w:val="28"/>
                <w:rtl/>
                <w:lang w:eastAsia="ar-EG" w:bidi="ar-EG"/>
              </w:rPr>
              <w:t>(2) حلقة العمل التوجيهية</w:t>
            </w:r>
          </w:p>
        </w:tc>
        <w:tc>
          <w:tcPr>
            <w:tcW w:w="625" w:type="pct"/>
          </w:tcPr>
          <w:p w14:paraId="2FED8CFC" w14:textId="77777777" w:rsidR="00BD3831"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30 و31 مارس 2016</w:t>
            </w:r>
          </w:p>
          <w:p w14:paraId="47466E4C"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(2) 29 و30 نوفمبر 2016</w:t>
            </w:r>
          </w:p>
        </w:tc>
        <w:tc>
          <w:tcPr>
            <w:tcW w:w="1172" w:type="pct"/>
          </w:tcPr>
          <w:p w14:paraId="74022FC6" w14:textId="77777777" w:rsidR="00BD3831"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منغوليا</w:t>
            </w:r>
          </w:p>
          <w:p w14:paraId="12EFBAC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منغوليا/ نحو 75 مشاركاً من</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منغوليا</w:t>
            </w:r>
          </w:p>
        </w:tc>
        <w:tc>
          <w:tcPr>
            <w:tcW w:w="2032" w:type="pct"/>
          </w:tcPr>
          <w:p w14:paraId="11DD949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كانت أهداف المنافسة تشجيع ومكافأة التميز في اختراع منتجات التكنولوجيا الملائمة في المجال الزراعي التي تتميز بسهولة الاستخدام والمجدية اقتصاديا لفائدة المجتمعات المحلية لتلبية احتياجاتها والمساهمة في تحقيق التنمية المستدامة للمجتمعات المحلية. وكان الاستخدام الفعال لمعلومات البراءات لابتكار حلول عنصرا</w:t>
            </w:r>
            <w:r>
              <w:rPr>
                <w:rFonts w:ascii="Arabic Typesetting" w:eastAsia="Arabic Typesetting" w:hAnsi="Arabic Typesetting" w:cs="Arabic Typesetting" w:hint="cs"/>
                <w:sz w:val="28"/>
                <w:szCs w:val="28"/>
                <w:rtl/>
                <w:lang w:eastAsia="ar-EG" w:bidi="ar-EG"/>
              </w:rPr>
              <w:t>ً</w:t>
            </w:r>
            <w:r w:rsidRPr="00CE1677">
              <w:rPr>
                <w:rFonts w:ascii="Arabic Typesetting" w:eastAsia="Arabic Typesetting" w:hAnsi="Arabic Typesetting" w:cs="Arabic Typesetting"/>
                <w:sz w:val="28"/>
                <w:szCs w:val="28"/>
                <w:rtl/>
                <w:lang w:eastAsia="ar-EG" w:bidi="ar-EG"/>
              </w:rPr>
              <w:t xml:space="preserve"> أساسيا</w:t>
            </w:r>
            <w:r>
              <w:rPr>
                <w:rFonts w:ascii="Arabic Typesetting" w:eastAsia="Arabic Typesetting" w:hAnsi="Arabic Typesetting" w:cs="Arabic Typesetting" w:hint="cs"/>
                <w:sz w:val="28"/>
                <w:szCs w:val="28"/>
                <w:rtl/>
                <w:lang w:eastAsia="ar-EG" w:bidi="ar-EG"/>
              </w:rPr>
              <w:t>ً</w:t>
            </w:r>
            <w:r w:rsidRPr="00CE1677">
              <w:rPr>
                <w:rFonts w:ascii="Arabic Typesetting" w:eastAsia="Arabic Typesetting" w:hAnsi="Arabic Typesetting" w:cs="Arabic Typesetting"/>
                <w:sz w:val="28"/>
                <w:szCs w:val="28"/>
                <w:rtl/>
                <w:lang w:eastAsia="ar-EG" w:bidi="ar-EG"/>
              </w:rPr>
              <w:t xml:space="preserve"> في المسابقة.</w:t>
            </w:r>
          </w:p>
        </w:tc>
      </w:tr>
      <w:tr w:rsidR="00BD3831" w:rsidRPr="00CE1677" w14:paraId="636A3C03" w14:textId="77777777" w:rsidTr="00DF6715">
        <w:trPr>
          <w:trHeight w:val="473"/>
        </w:trPr>
        <w:tc>
          <w:tcPr>
            <w:tcW w:w="1171" w:type="pct"/>
          </w:tcPr>
          <w:p w14:paraId="5230C56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دراسة وتقييم المسابقات الخاصة بالتكنولوجيات الملائمة</w:t>
            </w:r>
          </w:p>
        </w:tc>
        <w:tc>
          <w:tcPr>
            <w:tcW w:w="625" w:type="pct"/>
          </w:tcPr>
          <w:p w14:paraId="34118C55"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مارس إلى ديسمبر 2016</w:t>
            </w:r>
          </w:p>
        </w:tc>
        <w:tc>
          <w:tcPr>
            <w:tcW w:w="1172" w:type="pct"/>
          </w:tcPr>
          <w:p w14:paraId="20416E2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جمهورية كوريا</w:t>
            </w:r>
          </w:p>
        </w:tc>
        <w:tc>
          <w:tcPr>
            <w:tcW w:w="2032" w:type="pct"/>
          </w:tcPr>
          <w:p w14:paraId="092B766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إنشاء هياكل وآلي</w:t>
            </w:r>
            <w:r>
              <w:rPr>
                <w:rFonts w:ascii="Arabic Typesetting" w:eastAsia="Arabic Typesetting" w:hAnsi="Arabic Typesetting" w:cs="Arabic Typesetting"/>
                <w:color w:val="000000"/>
                <w:sz w:val="28"/>
                <w:szCs w:val="28"/>
                <w:rtl/>
                <w:lang w:eastAsia="ar-EG" w:bidi="ar-EG"/>
              </w:rPr>
              <w:t>ات تمكينية لمسابقات التكنولوجيا</w:t>
            </w:r>
            <w:r w:rsidRPr="00CE1677">
              <w:rPr>
                <w:rFonts w:ascii="Arabic Typesetting" w:eastAsia="Arabic Typesetting" w:hAnsi="Arabic Typesetting" w:cs="Arabic Typesetting"/>
                <w:color w:val="000000"/>
                <w:sz w:val="28"/>
                <w:szCs w:val="28"/>
                <w:rtl/>
                <w:lang w:eastAsia="ar-EG" w:bidi="ar-EG"/>
              </w:rPr>
              <w:t xml:space="preserve"> الملائمة؛ "2" وتحويل منافسة التكنولوجيا الملائمة إلى مبادرة مستدامة وطويلة الأجل؛ "3" وبحث منهجيات جديدة من أجل تعظيم الفوائد والحد من خطر عدم تحقيق الهدف</w:t>
            </w:r>
            <w:r>
              <w:rPr>
                <w:rFonts w:ascii="Arabic Typesetting" w:eastAsia="Arabic Typesetting" w:hAnsi="Arabic Typesetting" w:cs="Arabic Typesetting" w:hint="cs"/>
                <w:color w:val="000000"/>
                <w:sz w:val="28"/>
                <w:szCs w:val="28"/>
                <w:rtl/>
                <w:lang w:eastAsia="ar-EG" w:bidi="ar-EG"/>
              </w:rPr>
              <w:t> </w:t>
            </w:r>
            <w:r>
              <w:rPr>
                <w:rFonts w:ascii="Arabic Typesetting" w:eastAsia="Arabic Typesetting" w:hAnsi="Arabic Typesetting" w:cs="Arabic Typesetting"/>
                <w:color w:val="000000"/>
                <w:sz w:val="28"/>
                <w:szCs w:val="28"/>
                <w:rtl/>
                <w:lang w:eastAsia="ar-EG" w:bidi="ar-EG"/>
              </w:rPr>
              <w:t>المنشود</w:t>
            </w:r>
          </w:p>
        </w:tc>
      </w:tr>
    </w:tbl>
    <w:p w14:paraId="7D8D1CD2" w14:textId="77777777" w:rsidR="00BD3831" w:rsidRPr="003616B1"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3616B1">
        <w:rPr>
          <w:rFonts w:ascii="Arabic Typesetting" w:eastAsia="Arabic Typesetting" w:hAnsi="Arabic Typesetting" w:cs="Arabic Typesetting"/>
          <w:b/>
          <w:bCs/>
          <w:sz w:val="32"/>
          <w:szCs w:val="32"/>
          <w:rtl/>
          <w:lang w:eastAsia="ar-EG" w:bidi="ar-EG"/>
        </w:rPr>
        <w:t>جمهورية كوريا/الملكية الصناعية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3BFA8E42" w14:textId="77777777" w:rsidTr="00DF6715">
        <w:trPr>
          <w:trHeight w:val="544"/>
        </w:trPr>
        <w:tc>
          <w:tcPr>
            <w:tcW w:w="1000" w:type="pct"/>
            <w:tcBorders>
              <w:top w:val="nil"/>
              <w:left w:val="nil"/>
              <w:bottom w:val="nil"/>
              <w:right w:val="nil"/>
            </w:tcBorders>
            <w:shd w:val="clear" w:color="000000" w:fill="C5D9F1"/>
            <w:vAlign w:val="center"/>
            <w:hideMark/>
          </w:tcPr>
          <w:p w14:paraId="2997AD69"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3AE45835"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6518B288"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7F85FDF8"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526D08E1"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56545254" w14:textId="77777777" w:rsidTr="00DF6715">
        <w:trPr>
          <w:trHeight w:val="356"/>
        </w:trPr>
        <w:tc>
          <w:tcPr>
            <w:tcW w:w="1000" w:type="pct"/>
            <w:tcBorders>
              <w:top w:val="nil"/>
              <w:left w:val="nil"/>
              <w:bottom w:val="nil"/>
              <w:right w:val="nil"/>
            </w:tcBorders>
            <w:shd w:val="clear" w:color="auto" w:fill="auto"/>
            <w:noWrap/>
            <w:vAlign w:val="bottom"/>
            <w:hideMark/>
          </w:tcPr>
          <w:p w14:paraId="163050BF" w14:textId="77777777" w:rsidR="00BD3831" w:rsidRPr="003616B1" w:rsidRDefault="00BD3831" w:rsidP="0031289D">
            <w:pPr>
              <w:jc w:val="center"/>
              <w:rPr>
                <w:rFonts w:ascii="Arabic Typesetting" w:hAnsi="Arabic Typesetting" w:cs="Arabic Typesetting"/>
                <w:color w:val="000000"/>
                <w:sz w:val="28"/>
                <w:szCs w:val="28"/>
              </w:rPr>
            </w:pPr>
            <w:r w:rsidRPr="003616B1">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3616B1">
              <w:rPr>
                <w:rFonts w:ascii="Arabic Typesetting" w:hAnsi="Arabic Typesetting" w:cs="Arabic Typesetting"/>
                <w:color w:val="000000"/>
                <w:sz w:val="28"/>
                <w:szCs w:val="28"/>
              </w:rPr>
              <w:t>053</w:t>
            </w:r>
            <w:r>
              <w:rPr>
                <w:rFonts w:ascii="Arabic Typesetting" w:hAnsi="Arabic Typesetting" w:cs="Arabic Typesetting"/>
                <w:color w:val="000000"/>
                <w:sz w:val="28"/>
                <w:szCs w:val="28"/>
              </w:rPr>
              <w:t> </w:t>
            </w:r>
            <w:r w:rsidRPr="003616B1">
              <w:rPr>
                <w:rFonts w:ascii="Arabic Typesetting" w:hAnsi="Arabic Typesetting" w:cs="Arabic Typesetting"/>
                <w:color w:val="000000"/>
                <w:sz w:val="28"/>
                <w:szCs w:val="28"/>
              </w:rPr>
              <w:t>391</w:t>
            </w:r>
          </w:p>
        </w:tc>
        <w:tc>
          <w:tcPr>
            <w:tcW w:w="1000" w:type="pct"/>
            <w:tcBorders>
              <w:top w:val="nil"/>
              <w:left w:val="nil"/>
              <w:bottom w:val="nil"/>
              <w:right w:val="nil"/>
            </w:tcBorders>
            <w:shd w:val="clear" w:color="auto" w:fill="auto"/>
            <w:noWrap/>
            <w:vAlign w:val="bottom"/>
            <w:hideMark/>
          </w:tcPr>
          <w:p w14:paraId="56966FE6" w14:textId="77777777" w:rsidR="00BD3831" w:rsidRPr="003616B1" w:rsidRDefault="00BD3831" w:rsidP="0031289D">
            <w:pPr>
              <w:jc w:val="center"/>
              <w:rPr>
                <w:rFonts w:ascii="Arabic Typesetting" w:hAnsi="Arabic Typesetting" w:cs="Arabic Typesetting"/>
                <w:color w:val="000000"/>
                <w:sz w:val="28"/>
                <w:szCs w:val="28"/>
              </w:rPr>
            </w:pPr>
            <w:r w:rsidRPr="003616B1">
              <w:rPr>
                <w:rFonts w:ascii="Arabic Typesetting" w:hAnsi="Arabic Typesetting" w:cs="Arabic Typesetting"/>
                <w:color w:val="000000"/>
                <w:sz w:val="28"/>
                <w:szCs w:val="28"/>
              </w:rPr>
              <w:t>710</w:t>
            </w:r>
            <w:r>
              <w:rPr>
                <w:rFonts w:ascii="Arabic Typesetting" w:hAnsi="Arabic Typesetting" w:cs="Arabic Typesetting"/>
                <w:color w:val="000000"/>
                <w:sz w:val="28"/>
                <w:szCs w:val="28"/>
              </w:rPr>
              <w:t> </w:t>
            </w:r>
            <w:r w:rsidRPr="003616B1">
              <w:rPr>
                <w:rFonts w:ascii="Arabic Typesetting" w:hAnsi="Arabic Typesetting" w:cs="Arabic Typesetting"/>
                <w:color w:val="000000"/>
                <w:sz w:val="28"/>
                <w:szCs w:val="28"/>
              </w:rPr>
              <w:t>526</w:t>
            </w:r>
          </w:p>
        </w:tc>
        <w:tc>
          <w:tcPr>
            <w:tcW w:w="1000" w:type="pct"/>
            <w:tcBorders>
              <w:top w:val="nil"/>
              <w:left w:val="nil"/>
              <w:bottom w:val="nil"/>
              <w:right w:val="nil"/>
            </w:tcBorders>
            <w:shd w:val="clear" w:color="auto" w:fill="auto"/>
            <w:noWrap/>
            <w:vAlign w:val="bottom"/>
            <w:hideMark/>
          </w:tcPr>
          <w:p w14:paraId="644FB374" w14:textId="77777777" w:rsidR="00BD3831" w:rsidRPr="003616B1" w:rsidRDefault="00BD3831" w:rsidP="0031289D">
            <w:pPr>
              <w:jc w:val="center"/>
              <w:rPr>
                <w:rFonts w:ascii="Arabic Typesetting" w:hAnsi="Arabic Typesetting" w:cs="Arabic Typesetting"/>
                <w:color w:val="000000"/>
                <w:sz w:val="28"/>
                <w:szCs w:val="28"/>
              </w:rPr>
            </w:pPr>
            <w:r w:rsidRPr="003616B1">
              <w:rPr>
                <w:rFonts w:ascii="Arabic Typesetting" w:hAnsi="Arabic Typesetting" w:cs="Arabic Typesetting"/>
                <w:color w:val="000000"/>
                <w:sz w:val="28"/>
                <w:szCs w:val="28"/>
              </w:rPr>
              <w:t>563</w:t>
            </w:r>
            <w:r>
              <w:rPr>
                <w:rFonts w:ascii="Arabic Typesetting" w:hAnsi="Arabic Typesetting" w:cs="Arabic Typesetting"/>
                <w:color w:val="000000"/>
                <w:sz w:val="28"/>
                <w:szCs w:val="28"/>
              </w:rPr>
              <w:t> </w:t>
            </w:r>
            <w:r w:rsidRPr="003616B1">
              <w:rPr>
                <w:rFonts w:ascii="Arabic Typesetting" w:hAnsi="Arabic Typesetting" w:cs="Arabic Typesetting"/>
                <w:color w:val="000000"/>
                <w:sz w:val="28"/>
                <w:szCs w:val="28"/>
              </w:rPr>
              <w:t>464</w:t>
            </w:r>
          </w:p>
        </w:tc>
        <w:tc>
          <w:tcPr>
            <w:tcW w:w="1000" w:type="pct"/>
            <w:tcBorders>
              <w:top w:val="nil"/>
              <w:left w:val="nil"/>
              <w:bottom w:val="nil"/>
              <w:right w:val="nil"/>
            </w:tcBorders>
            <w:shd w:val="clear" w:color="auto" w:fill="auto"/>
            <w:noWrap/>
            <w:vAlign w:val="bottom"/>
            <w:hideMark/>
          </w:tcPr>
          <w:p w14:paraId="60A44E5E" w14:textId="77777777" w:rsidR="00BD3831" w:rsidRPr="003616B1" w:rsidRDefault="00BD3831" w:rsidP="0031289D">
            <w:pPr>
              <w:jc w:val="center"/>
              <w:rPr>
                <w:rFonts w:ascii="Arabic Typesetting" w:hAnsi="Arabic Typesetting" w:cs="Arabic Typesetting"/>
                <w:color w:val="000000"/>
                <w:sz w:val="28"/>
                <w:szCs w:val="28"/>
              </w:rPr>
            </w:pPr>
            <w:r w:rsidRPr="003616B1">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1A5F5533" w14:textId="77777777" w:rsidR="00BD3831" w:rsidRPr="003616B1" w:rsidRDefault="00BD3831" w:rsidP="0031289D">
            <w:pPr>
              <w:jc w:val="center"/>
              <w:rPr>
                <w:rFonts w:ascii="Arabic Typesetting" w:hAnsi="Arabic Typesetting" w:cs="Arabic Typesetting"/>
                <w:color w:val="000000"/>
                <w:sz w:val="28"/>
                <w:szCs w:val="28"/>
              </w:rPr>
            </w:pPr>
            <w:r w:rsidRPr="003616B1">
              <w:rPr>
                <w:rFonts w:ascii="Arabic Typesetting" w:hAnsi="Arabic Typesetting" w:cs="Arabic Typesetting"/>
                <w:color w:val="000000"/>
                <w:sz w:val="28"/>
                <w:szCs w:val="28"/>
              </w:rPr>
              <w:t>1</w:t>
            </w:r>
            <w:r>
              <w:rPr>
                <w:rFonts w:ascii="Arabic Typesetting" w:hAnsi="Arabic Typesetting" w:cs="Arabic Typesetting"/>
                <w:color w:val="000000"/>
                <w:sz w:val="28"/>
                <w:szCs w:val="28"/>
              </w:rPr>
              <w:t> </w:t>
            </w:r>
            <w:r w:rsidRPr="003616B1">
              <w:rPr>
                <w:rFonts w:ascii="Arabic Typesetting" w:hAnsi="Arabic Typesetting" w:cs="Arabic Typesetting"/>
                <w:color w:val="000000"/>
                <w:sz w:val="28"/>
                <w:szCs w:val="28"/>
              </w:rPr>
              <w:t>200</w:t>
            </w:r>
            <w:r>
              <w:rPr>
                <w:rFonts w:ascii="Arabic Typesetting" w:hAnsi="Arabic Typesetting" w:cs="Arabic Typesetting"/>
                <w:color w:val="000000"/>
                <w:sz w:val="28"/>
                <w:szCs w:val="28"/>
              </w:rPr>
              <w:t> </w:t>
            </w:r>
            <w:r w:rsidRPr="003616B1">
              <w:rPr>
                <w:rFonts w:ascii="Arabic Typesetting" w:hAnsi="Arabic Typesetting" w:cs="Arabic Typesetting"/>
                <w:color w:val="000000"/>
                <w:sz w:val="28"/>
                <w:szCs w:val="28"/>
              </w:rPr>
              <w:t>454</w:t>
            </w:r>
          </w:p>
        </w:tc>
      </w:tr>
    </w:tbl>
    <w:p w14:paraId="7BE74152" w14:textId="77777777" w:rsidR="00BD3831" w:rsidRPr="003616B1"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3616B1">
        <w:rPr>
          <w:rFonts w:ascii="Arabic Typesetting" w:eastAsia="Arabic Typesetting" w:hAnsi="Arabic Typesetting" w:cs="Arabic Typesetting"/>
          <w:b/>
          <w:bCs/>
          <w:sz w:val="32"/>
          <w:szCs w:val="32"/>
          <w:rtl/>
          <w:lang w:eastAsia="ar-EG" w:bidi="ar-EG"/>
        </w:rPr>
        <w:t>إسبانيا</w:t>
      </w:r>
    </w:p>
    <w:tbl>
      <w:tblPr>
        <w:bidiVisual/>
        <w:tblW w:w="5000" w:type="pct"/>
        <w:tblLook w:val="0000" w:firstRow="0" w:lastRow="0" w:firstColumn="0" w:lastColumn="0" w:noHBand="0" w:noVBand="0"/>
      </w:tblPr>
      <w:tblGrid>
        <w:gridCol w:w="2025"/>
        <w:gridCol w:w="1292"/>
        <w:gridCol w:w="19"/>
        <w:gridCol w:w="2194"/>
        <w:gridCol w:w="4041"/>
      </w:tblGrid>
      <w:tr w:rsidR="00BD3831" w:rsidRPr="00CE1677" w14:paraId="34F0053B" w14:textId="77777777" w:rsidTr="00DF6715">
        <w:trPr>
          <w:cantSplit/>
        </w:trPr>
        <w:tc>
          <w:tcPr>
            <w:tcW w:w="5000" w:type="pct"/>
            <w:gridSpan w:val="5"/>
            <w:shd w:val="clear" w:color="auto" w:fill="C6D9F1"/>
            <w:vAlign w:val="center"/>
          </w:tcPr>
          <w:p w14:paraId="71C1DAB3"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color w:val="000000"/>
                <w:sz w:val="28"/>
                <w:szCs w:val="28"/>
                <w:rtl/>
                <w:lang w:eastAsia="ar-EG" w:bidi="ar-EG"/>
              </w:rPr>
              <w:t>ه2.3 كفاءات</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‏معزَّزة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‏للموارد</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‏البشرية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‏القادرة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‏على</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‏تلبية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‏تشكيلة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‏واسعة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‏من المتطلبات</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‏لتسخير</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‏الملكية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‏الفكرية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‏بفعالية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‏لأغراض</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w:t>
            </w:r>
            <w:r w:rsidRPr="00C368FD">
              <w:rPr>
                <w:rFonts w:ascii="Arabic Typesetting" w:eastAsia="Arabic Typesetting" w:hAnsi="Arabic Typesetting" w:cs="Arabic Typesetting"/>
                <w:sz w:val="28"/>
                <w:szCs w:val="28"/>
                <w:rtl/>
                <w:lang w:eastAsia="ar-EG" w:bidi="ar-EG"/>
              </w:rPr>
              <w:t>التنمية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‏في</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‏النامية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‏الأقل</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‏نموا</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‏المنتقلة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‏إلى</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‏نظام الاقتصاد الحر</w:t>
            </w:r>
          </w:p>
        </w:tc>
      </w:tr>
      <w:tr w:rsidR="00BD3831" w:rsidRPr="00CE1677" w14:paraId="0FAFCBC8" w14:textId="77777777" w:rsidTr="00DF6715">
        <w:trPr>
          <w:cantSplit/>
          <w:trHeight w:val="292"/>
        </w:trPr>
        <w:tc>
          <w:tcPr>
            <w:tcW w:w="1058" w:type="pct"/>
            <w:shd w:val="clear" w:color="auto" w:fill="auto"/>
          </w:tcPr>
          <w:p w14:paraId="77057A2D"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النشاط</w:t>
            </w:r>
          </w:p>
        </w:tc>
        <w:tc>
          <w:tcPr>
            <w:tcW w:w="685" w:type="pct"/>
            <w:gridSpan w:val="2"/>
            <w:shd w:val="clear" w:color="auto" w:fill="auto"/>
            <w:tcMar>
              <w:top w:w="110" w:type="dxa"/>
            </w:tcMar>
          </w:tcPr>
          <w:p w14:paraId="282D1712"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التاريخ</w:t>
            </w:r>
          </w:p>
        </w:tc>
        <w:tc>
          <w:tcPr>
            <w:tcW w:w="1146" w:type="pct"/>
            <w:shd w:val="clear" w:color="auto" w:fill="auto"/>
            <w:tcMar>
              <w:top w:w="110" w:type="dxa"/>
            </w:tcMar>
          </w:tcPr>
          <w:p w14:paraId="64DAD7CB"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111" w:type="pct"/>
            <w:shd w:val="clear" w:color="auto" w:fill="auto"/>
            <w:tcMar>
              <w:top w:w="110" w:type="dxa"/>
            </w:tcMar>
          </w:tcPr>
          <w:p w14:paraId="3A9560D0"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الغرض/الوصف</w:t>
            </w:r>
          </w:p>
        </w:tc>
      </w:tr>
      <w:tr w:rsidR="00BD3831" w:rsidRPr="00CE1677" w14:paraId="6A0F975B" w14:textId="77777777" w:rsidTr="00DF6715">
        <w:trPr>
          <w:cantSplit/>
        </w:trPr>
        <w:tc>
          <w:tcPr>
            <w:tcW w:w="1058" w:type="pct"/>
            <w:shd w:val="clear" w:color="auto" w:fill="auto"/>
          </w:tcPr>
          <w:p w14:paraId="66295E51"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مشاركة مدير المكتب الإسباني للبراءات والعلامات التجارية في دورات العمل التاسعة عشرة والمجلس الإداري لجمعية الأمريكتين للملكية الصناعية (</w:t>
            </w:r>
            <w:r w:rsidRPr="00CE1677">
              <w:rPr>
                <w:rFonts w:ascii="Arabic Typesetting" w:eastAsia="Arabic Typesetting" w:hAnsi="Arabic Typesetting" w:cs="Arabic Typesetting"/>
                <w:color w:val="000000"/>
                <w:sz w:val="28"/>
                <w:szCs w:val="28"/>
                <w:lang w:eastAsia="ar-EG" w:bidi="ar-EG"/>
              </w:rPr>
              <w:t>ASIPI</w:t>
            </w:r>
            <w:r>
              <w:rPr>
                <w:rFonts w:ascii="Arabic Typesetting" w:eastAsia="Arabic Typesetting" w:hAnsi="Arabic Typesetting" w:cs="Arabic Typesetting"/>
                <w:color w:val="000000"/>
                <w:sz w:val="28"/>
                <w:szCs w:val="28"/>
                <w:rtl/>
                <w:lang w:eastAsia="ar-EG" w:bidi="ar-EG"/>
              </w:rPr>
              <w:t>)</w:t>
            </w:r>
          </w:p>
        </w:tc>
        <w:tc>
          <w:tcPr>
            <w:tcW w:w="675" w:type="pct"/>
            <w:shd w:val="clear" w:color="auto" w:fill="auto"/>
            <w:tcMar>
              <w:top w:w="110" w:type="dxa"/>
            </w:tcMar>
          </w:tcPr>
          <w:p w14:paraId="5C143F23"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4 إلى 7 ديسمبر 2016</w:t>
            </w:r>
          </w:p>
        </w:tc>
        <w:tc>
          <w:tcPr>
            <w:tcW w:w="1156" w:type="pct"/>
            <w:gridSpan w:val="2"/>
            <w:shd w:val="clear" w:color="auto" w:fill="auto"/>
            <w:tcMar>
              <w:top w:w="110" w:type="dxa"/>
            </w:tcMar>
          </w:tcPr>
          <w:p w14:paraId="0FC70945"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الأر</w:t>
            </w:r>
            <w:r>
              <w:rPr>
                <w:rFonts w:ascii="Arabic Typesetting" w:eastAsia="Arabic Typesetting" w:hAnsi="Arabic Typesetting" w:cs="Arabic Typesetting"/>
                <w:color w:val="000000"/>
                <w:sz w:val="28"/>
                <w:szCs w:val="28"/>
                <w:rtl/>
                <w:lang w:eastAsia="ar-EG" w:bidi="ar-EG"/>
              </w:rPr>
              <w:t>جنتين/جميع بلدان أمريكا اللاتينية</w:t>
            </w:r>
          </w:p>
        </w:tc>
        <w:tc>
          <w:tcPr>
            <w:tcW w:w="2111" w:type="pct"/>
            <w:shd w:val="clear" w:color="auto" w:fill="auto"/>
            <w:tcMar>
              <w:top w:w="110" w:type="dxa"/>
            </w:tcMar>
          </w:tcPr>
          <w:p w14:paraId="61BB5097"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تقديم معاهدة البراءات وأحدث مستجداتها بما في ذلك مائدة مستديرة بشأن استخدام معاهدة البراءات ومشروع </w:t>
            </w:r>
            <w:r>
              <w:rPr>
                <w:rFonts w:ascii="Arabic Typesetting" w:eastAsia="Arabic Typesetting" w:hAnsi="Arabic Typesetting" w:cs="Arabic Typesetting"/>
                <w:color w:val="000000"/>
                <w:sz w:val="28"/>
                <w:szCs w:val="28"/>
                <w:rtl/>
                <w:lang w:eastAsia="ar-EG" w:bidi="ar-EG"/>
              </w:rPr>
              <w:t>المسار السريع لمعالجة البراءات.</w:t>
            </w:r>
            <w:r>
              <w:rPr>
                <w:rFonts w:ascii="Arabic Typesetting" w:eastAsia="Arabic Typesetting" w:hAnsi="Arabic Typesetting" w:cs="Arabic Typesetting" w:hint="cs"/>
                <w:color w:val="000000"/>
                <w:sz w:val="28"/>
                <w:szCs w:val="28"/>
                <w:rtl/>
                <w:lang w:eastAsia="ar-EG" w:bidi="ar-EG"/>
              </w:rPr>
              <w:t xml:space="preserve"> و</w:t>
            </w:r>
            <w:r w:rsidRPr="00CE1677">
              <w:rPr>
                <w:rFonts w:ascii="Arabic Typesetting" w:eastAsia="Arabic Typesetting" w:hAnsi="Arabic Typesetting" w:cs="Arabic Typesetting"/>
                <w:color w:val="000000"/>
                <w:sz w:val="28"/>
                <w:szCs w:val="28"/>
                <w:rtl/>
                <w:lang w:eastAsia="ar-EG" w:bidi="ar-EG"/>
              </w:rPr>
              <w:t>شارك المكتب الإسباني للبراءات والعلامات التجارية في المائدة المستديرة من أجل تبادل الخبرات وإثراء المناقشات التقنية</w:t>
            </w:r>
            <w:r>
              <w:rPr>
                <w:rFonts w:ascii="Arabic Typesetting" w:eastAsia="Arabic Typesetting" w:hAnsi="Arabic Typesetting" w:cs="Arabic Typesetting" w:hint="cs"/>
                <w:color w:val="000000"/>
                <w:sz w:val="28"/>
                <w:szCs w:val="28"/>
                <w:rtl/>
                <w:lang w:eastAsia="ar-EG" w:bidi="ar-EG"/>
              </w:rPr>
              <w:t>.</w:t>
            </w:r>
          </w:p>
        </w:tc>
      </w:tr>
      <w:tr w:rsidR="00BD3831" w:rsidRPr="00CE1677" w14:paraId="16A512C4" w14:textId="77777777" w:rsidTr="00DF6715">
        <w:trPr>
          <w:cantSplit/>
        </w:trPr>
        <w:tc>
          <w:tcPr>
            <w:tcW w:w="1058" w:type="pct"/>
          </w:tcPr>
          <w:p w14:paraId="732E6A7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الويبو/المكتب الإسباني للبراءات والعلامات التجارية/الوكالة الإسبانية للتعاون الإنمائي الدولي. </w:t>
            </w:r>
            <w:r w:rsidRPr="00CE1677">
              <w:rPr>
                <w:rFonts w:ascii="Arabic Typesetting" w:eastAsia="Arabic Typesetting" w:hAnsi="Arabic Typesetting" w:cs="Arabic Typesetting"/>
                <w:color w:val="000000"/>
                <w:sz w:val="28"/>
                <w:szCs w:val="28"/>
                <w:lang w:eastAsia="ar-EG" w:bidi="ar-EG"/>
              </w:rPr>
              <w:br/>
            </w:r>
            <w:r w:rsidRPr="00CE1677">
              <w:rPr>
                <w:rFonts w:ascii="Arabic Typesetting" w:eastAsia="Arabic Typesetting" w:hAnsi="Arabic Typesetting" w:cs="Arabic Typesetting"/>
                <w:color w:val="000000"/>
                <w:sz w:val="28"/>
                <w:szCs w:val="28"/>
                <w:rtl/>
                <w:lang w:eastAsia="ar-EG" w:bidi="ar-EG"/>
              </w:rPr>
              <w:t>الندوة الإقليمية الرابعة بشأن العلامات التجارية والتصاميم الصناعية بوصفها عو</w:t>
            </w:r>
            <w:r>
              <w:rPr>
                <w:rFonts w:ascii="Arabic Typesetting" w:eastAsia="Arabic Typesetting" w:hAnsi="Arabic Typesetting" w:cs="Arabic Typesetting"/>
                <w:color w:val="000000"/>
                <w:sz w:val="28"/>
                <w:szCs w:val="28"/>
                <w:rtl/>
                <w:lang w:eastAsia="ar-EG" w:bidi="ar-EG"/>
              </w:rPr>
              <w:t>امل ابتكار وأصول المؤسسات:</w:t>
            </w:r>
            <w:r>
              <w:rPr>
                <w:rFonts w:ascii="Arabic Typesetting" w:eastAsia="Arabic Typesetting" w:hAnsi="Arabic Typesetting" w:cs="Arabic Typesetting" w:hint="cs"/>
                <w:color w:val="000000"/>
                <w:sz w:val="28"/>
                <w:szCs w:val="28"/>
                <w:rtl/>
                <w:lang w:eastAsia="ar-EG" w:bidi="ar-EG"/>
              </w:rPr>
              <w:t xml:space="preserve"> </w:t>
            </w:r>
            <w:r w:rsidRPr="00CE1677">
              <w:rPr>
                <w:rFonts w:ascii="Arabic Typesetting" w:eastAsia="Arabic Typesetting" w:hAnsi="Arabic Typesetting" w:cs="Arabic Typesetting"/>
                <w:color w:val="000000"/>
                <w:sz w:val="28"/>
                <w:szCs w:val="28"/>
                <w:rtl/>
                <w:lang w:eastAsia="ar-EG" w:bidi="ar-EG"/>
              </w:rPr>
              <w:t xml:space="preserve">التصميم بوصفه أداة </w:t>
            </w:r>
            <w:r>
              <w:rPr>
                <w:rFonts w:ascii="Arabic Typesetting" w:eastAsia="Arabic Typesetting" w:hAnsi="Arabic Typesetting" w:cs="Arabic Typesetting"/>
                <w:color w:val="000000"/>
                <w:sz w:val="28"/>
                <w:szCs w:val="28"/>
                <w:rtl/>
                <w:lang w:eastAsia="ar-EG" w:bidi="ar-EG"/>
              </w:rPr>
              <w:t>تجارية استراتيجية وعامل</w:t>
            </w:r>
            <w:r>
              <w:rPr>
                <w:rFonts w:ascii="Arabic Typesetting" w:eastAsia="Arabic Typesetting" w:hAnsi="Arabic Typesetting" w:cs="Arabic Typesetting" w:hint="cs"/>
                <w:color w:val="000000"/>
                <w:sz w:val="28"/>
                <w:szCs w:val="28"/>
                <w:rtl/>
                <w:lang w:eastAsia="ar-EG" w:bidi="ar-EG"/>
              </w:rPr>
              <w:t>اً فارقاً</w:t>
            </w:r>
          </w:p>
        </w:tc>
        <w:tc>
          <w:tcPr>
            <w:tcW w:w="675" w:type="pct"/>
            <w:shd w:val="clear" w:color="auto" w:fill="auto"/>
            <w:tcMar>
              <w:top w:w="110" w:type="dxa"/>
            </w:tcMar>
          </w:tcPr>
          <w:p w14:paraId="56B7C42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7 إلى 10 مارس 2016</w:t>
            </w:r>
          </w:p>
        </w:tc>
        <w:tc>
          <w:tcPr>
            <w:tcW w:w="1156" w:type="pct"/>
            <w:gridSpan w:val="2"/>
            <w:shd w:val="clear" w:color="auto" w:fill="auto"/>
            <w:tcMar>
              <w:top w:w="110" w:type="dxa"/>
            </w:tcMar>
          </w:tcPr>
          <w:p w14:paraId="62ECF37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كولومبيا/جميع بلدان أمريكا اللاتينية</w:t>
            </w:r>
          </w:p>
        </w:tc>
        <w:tc>
          <w:tcPr>
            <w:tcW w:w="2111" w:type="pct"/>
            <w:shd w:val="clear" w:color="auto" w:fill="FFFFFF"/>
            <w:tcMar>
              <w:top w:w="110" w:type="dxa"/>
            </w:tcMar>
          </w:tcPr>
          <w:p w14:paraId="3746151F" w14:textId="77777777" w:rsidR="00BD3831" w:rsidRPr="00CE1677" w:rsidRDefault="00BD3831" w:rsidP="0031289D">
            <w:p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تشجيع الاستخدام الاستراتيجي للتصاميم الصناعية بوصفها دافعاً للتنمية الاقتصادية؛ "2" وتوفير منتدى لتبادل الأفكار بشأن حماية التصاميم والممارسات والتوجهات على الصعيدين الوطني والدولي</w:t>
            </w:r>
          </w:p>
        </w:tc>
      </w:tr>
      <w:tr w:rsidR="00BD3831" w:rsidRPr="00CE1677" w14:paraId="2C5F3FBB" w14:textId="77777777" w:rsidTr="00DF6715">
        <w:trPr>
          <w:cantSplit/>
        </w:trPr>
        <w:tc>
          <w:tcPr>
            <w:tcW w:w="1058" w:type="pct"/>
          </w:tcPr>
          <w:p w14:paraId="55CDAE2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 xml:space="preserve">ندوة إقليمية بشأن </w:t>
            </w:r>
            <w:r>
              <w:rPr>
                <w:rFonts w:ascii="Arabic Typesetting" w:eastAsia="Arabic Typesetting" w:hAnsi="Arabic Typesetting" w:cs="Arabic Typesetting"/>
                <w:color w:val="000000"/>
                <w:sz w:val="28"/>
                <w:szCs w:val="28"/>
                <w:rtl/>
                <w:lang w:eastAsia="ar-EG" w:bidi="ar-EG"/>
              </w:rPr>
              <w:t>معاهدة البراءات ومعاهدة بودابست</w:t>
            </w:r>
          </w:p>
        </w:tc>
        <w:tc>
          <w:tcPr>
            <w:tcW w:w="675" w:type="pct"/>
            <w:shd w:val="clear" w:color="auto" w:fill="auto"/>
            <w:tcMar>
              <w:top w:w="110" w:type="dxa"/>
            </w:tcMar>
          </w:tcPr>
          <w:p w14:paraId="4E9E52C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5 إلى 7 سبتمبر 2016</w:t>
            </w:r>
          </w:p>
        </w:tc>
        <w:tc>
          <w:tcPr>
            <w:tcW w:w="1156" w:type="pct"/>
            <w:gridSpan w:val="2"/>
            <w:shd w:val="clear" w:color="auto" w:fill="auto"/>
            <w:tcMar>
              <w:top w:w="110" w:type="dxa"/>
            </w:tcMar>
          </w:tcPr>
          <w:p w14:paraId="2AD9680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كوبا/جميع بلدان أمريكا اللاتينية</w:t>
            </w:r>
          </w:p>
        </w:tc>
        <w:tc>
          <w:tcPr>
            <w:tcW w:w="2111" w:type="pct"/>
            <w:shd w:val="clear" w:color="auto" w:fill="FFFFFF"/>
            <w:tcMar>
              <w:top w:w="110" w:type="dxa"/>
            </w:tcMar>
          </w:tcPr>
          <w:p w14:paraId="71783A3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تيسير تبادل الأفكار والممارسات الفضلى الخاصة باستخدام النظام الدولي للملكية الفكرية لفائدة المودعين والمكاتب</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الوطنية</w:t>
            </w:r>
          </w:p>
        </w:tc>
      </w:tr>
      <w:tr w:rsidR="00BD3831" w:rsidRPr="00CE1677" w14:paraId="47924068" w14:textId="77777777" w:rsidTr="00DF6715">
        <w:trPr>
          <w:cantSplit/>
        </w:trPr>
        <w:tc>
          <w:tcPr>
            <w:tcW w:w="1058" w:type="pct"/>
          </w:tcPr>
          <w:p w14:paraId="5D1CAF4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ندوة إقليمية للنهوض باستخدام الملكية الصناعي</w:t>
            </w:r>
            <w:r>
              <w:rPr>
                <w:rFonts w:ascii="Arabic Typesetting" w:eastAsia="Arabic Typesetting" w:hAnsi="Arabic Typesetting" w:cs="Arabic Typesetting"/>
                <w:color w:val="000000"/>
                <w:sz w:val="28"/>
                <w:szCs w:val="28"/>
                <w:rtl/>
                <w:lang w:eastAsia="ar-EG" w:bidi="ar-EG"/>
              </w:rPr>
              <w:t>ة في الشركات الصغيرة والمتوسطة:</w:t>
            </w:r>
            <w:r w:rsidRPr="00CE1677">
              <w:rPr>
                <w:rFonts w:ascii="Arabic Typesetting" w:eastAsia="Arabic Typesetting" w:hAnsi="Arabic Typesetting" w:cs="Arabic Typesetting"/>
                <w:color w:val="000000"/>
                <w:sz w:val="28"/>
                <w:szCs w:val="28"/>
                <w:rtl/>
                <w:lang w:eastAsia="ar-EG" w:bidi="ar-EG"/>
              </w:rPr>
              <w:t xml:space="preserve"> (تدريب</w:t>
            </w:r>
            <w:r>
              <w:rPr>
                <w:rFonts w:ascii="Arabic Typesetting" w:eastAsia="Arabic Typesetting" w:hAnsi="Arabic Typesetting" w:cs="Arabic Typesetting"/>
                <w:color w:val="000000"/>
                <w:sz w:val="28"/>
                <w:szCs w:val="28"/>
                <w:rtl/>
                <w:lang w:eastAsia="ar-EG" w:bidi="ar-EG"/>
              </w:rPr>
              <w:t xml:space="preserve"> المقاولين المقبلين والمحتملين)</w:t>
            </w:r>
          </w:p>
        </w:tc>
        <w:tc>
          <w:tcPr>
            <w:tcW w:w="675" w:type="pct"/>
            <w:shd w:val="clear" w:color="auto" w:fill="auto"/>
            <w:tcMar>
              <w:top w:w="110" w:type="dxa"/>
            </w:tcMar>
          </w:tcPr>
          <w:p w14:paraId="307D993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19 و20 أكتوبر 2016</w:t>
            </w:r>
          </w:p>
        </w:tc>
        <w:tc>
          <w:tcPr>
            <w:tcW w:w="1156" w:type="pct"/>
            <w:gridSpan w:val="2"/>
            <w:shd w:val="clear" w:color="auto" w:fill="auto"/>
            <w:tcMar>
              <w:top w:w="110" w:type="dxa"/>
            </w:tcMar>
          </w:tcPr>
          <w:p w14:paraId="5D6C1CC3" w14:textId="36522A0B" w:rsidR="00BD3831" w:rsidRPr="00CE1677" w:rsidRDefault="00B66F63"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المكسيك</w:t>
            </w:r>
            <w:r w:rsidR="00BD3831" w:rsidRPr="00CE1677">
              <w:rPr>
                <w:rFonts w:ascii="Arabic Typesetting" w:eastAsia="Arabic Typesetting" w:hAnsi="Arabic Typesetting" w:cs="Arabic Typesetting"/>
                <w:color w:val="000000"/>
                <w:sz w:val="28"/>
                <w:szCs w:val="28"/>
                <w:rtl/>
                <w:lang w:eastAsia="ar-EG" w:bidi="ar-EG"/>
              </w:rPr>
              <w:t>/جميع بلدان أمريكا اللاتينية</w:t>
            </w:r>
          </w:p>
        </w:tc>
        <w:tc>
          <w:tcPr>
            <w:tcW w:w="2111" w:type="pct"/>
            <w:shd w:val="clear" w:color="auto" w:fill="FFFFFF"/>
            <w:tcMar>
              <w:top w:w="110" w:type="dxa"/>
            </w:tcMar>
          </w:tcPr>
          <w:p w14:paraId="179844C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دعم مكاتب الملكية الفكرية في سعيها إلى استحداث خدمات وبرامج لم</w:t>
            </w:r>
            <w:r>
              <w:rPr>
                <w:rFonts w:ascii="Arabic Typesetting" w:eastAsia="Arabic Typesetting" w:hAnsi="Arabic Typesetting" w:cs="Arabic Typesetting"/>
                <w:color w:val="000000"/>
                <w:sz w:val="28"/>
                <w:szCs w:val="28"/>
                <w:rtl/>
                <w:lang w:eastAsia="ar-EG" w:bidi="ar-EG"/>
              </w:rPr>
              <w:t>ساعدة الشركات الصغيرة والمتوسطة</w:t>
            </w:r>
          </w:p>
        </w:tc>
      </w:tr>
      <w:tr w:rsidR="00BD3831" w:rsidRPr="00CE1677" w14:paraId="569553BF" w14:textId="77777777" w:rsidTr="00DF6715">
        <w:trPr>
          <w:cantSplit/>
        </w:trPr>
        <w:tc>
          <w:tcPr>
            <w:tcW w:w="1058" w:type="pct"/>
          </w:tcPr>
          <w:p w14:paraId="50BDBAA2" w14:textId="466061BB" w:rsidR="00BD3831" w:rsidRPr="00CE1677" w:rsidRDefault="00BD3831" w:rsidP="0059581F">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lastRenderedPageBreak/>
              <w:t>يوم التوعية المفتوح لدى غرفة التجارة الإسبانية في المكسيك المنظم بالتعاون بين المكتب الإسباني للبراءات والعلامات التجارية والمعهد المكسيكي للملكية الصناعية بدعم من</w:t>
            </w:r>
            <w:r w:rsidR="0059581F">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الويبو</w:t>
            </w:r>
          </w:p>
        </w:tc>
        <w:tc>
          <w:tcPr>
            <w:tcW w:w="675" w:type="pct"/>
            <w:shd w:val="clear" w:color="auto" w:fill="auto"/>
            <w:tcMar>
              <w:top w:w="110" w:type="dxa"/>
            </w:tcMar>
          </w:tcPr>
          <w:p w14:paraId="19ADC56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21 أكتوبر 2016</w:t>
            </w:r>
          </w:p>
        </w:tc>
        <w:tc>
          <w:tcPr>
            <w:tcW w:w="1156" w:type="pct"/>
            <w:gridSpan w:val="2"/>
            <w:shd w:val="clear" w:color="auto" w:fill="auto"/>
            <w:tcMar>
              <w:top w:w="110" w:type="dxa"/>
            </w:tcMar>
          </w:tcPr>
          <w:p w14:paraId="3A7BA1A4" w14:textId="3B8B0385" w:rsidR="00BD3831" w:rsidRPr="00CE1677" w:rsidRDefault="00B66F63"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المكسيك</w:t>
            </w:r>
            <w:r w:rsidR="00BD3831" w:rsidRPr="00CE1677">
              <w:rPr>
                <w:rFonts w:ascii="Arabic Typesetting" w:eastAsia="Arabic Typesetting" w:hAnsi="Arabic Typesetting" w:cs="Arabic Typesetting"/>
                <w:color w:val="000000"/>
                <w:sz w:val="28"/>
                <w:szCs w:val="28"/>
                <w:rtl/>
                <w:lang w:eastAsia="ar-EG" w:bidi="ar-EG"/>
              </w:rPr>
              <w:t>/جميع بلدان أمريكا اللاتينية</w:t>
            </w:r>
          </w:p>
        </w:tc>
        <w:tc>
          <w:tcPr>
            <w:tcW w:w="2111" w:type="pct"/>
            <w:shd w:val="clear" w:color="auto" w:fill="FFFFFF"/>
            <w:tcMar>
              <w:top w:w="110" w:type="dxa"/>
            </w:tcMar>
          </w:tcPr>
          <w:p w14:paraId="33F4EF8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معالجة وجاهة حماية الملكية الفكرية وإدارة الملكية الفكرية من أجل تعزيز القدرة التنافسية الصناعية في القطاع الخاص</w:t>
            </w:r>
          </w:p>
        </w:tc>
      </w:tr>
      <w:tr w:rsidR="00BD3831" w:rsidRPr="00CE1677" w14:paraId="7C4EE732" w14:textId="77777777" w:rsidTr="00DF6715">
        <w:trPr>
          <w:cantSplit/>
          <w:trHeight w:val="1337"/>
        </w:trPr>
        <w:tc>
          <w:tcPr>
            <w:tcW w:w="1058" w:type="pct"/>
          </w:tcPr>
          <w:p w14:paraId="39BABA7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الندوة الإقليمية المشتركة الخامسة عشرة بين الويبو والوكالة الإسبانية للتعاون الإنمائي الدولي ومكتب إسبانيا للبراءات والعلامات التجارية بشأن الملكية الفكرية للقضاة والمدعين العامين من بلدان أمريكا اللاتينية</w:t>
            </w:r>
          </w:p>
        </w:tc>
        <w:tc>
          <w:tcPr>
            <w:tcW w:w="675" w:type="pct"/>
            <w:shd w:val="clear" w:color="auto" w:fill="auto"/>
            <w:tcMar>
              <w:top w:w="110" w:type="dxa"/>
            </w:tcMar>
          </w:tcPr>
          <w:p w14:paraId="4B8FB57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16 إلى 20 مايو 2016</w:t>
            </w:r>
          </w:p>
        </w:tc>
        <w:tc>
          <w:tcPr>
            <w:tcW w:w="1156" w:type="pct"/>
            <w:gridSpan w:val="2"/>
            <w:shd w:val="clear" w:color="auto" w:fill="auto"/>
            <w:tcMar>
              <w:top w:w="110" w:type="dxa"/>
            </w:tcMar>
          </w:tcPr>
          <w:p w14:paraId="6331F225"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البرازيل/ محكمة العدل لمجتمعات الأ</w:t>
            </w:r>
            <w:r>
              <w:rPr>
                <w:rFonts w:ascii="Arabic Typesetting" w:eastAsia="Arabic Typesetting" w:hAnsi="Arabic Typesetting" w:cs="Arabic Typesetting"/>
                <w:color w:val="000000"/>
                <w:sz w:val="28"/>
                <w:szCs w:val="28"/>
                <w:rtl/>
                <w:lang w:eastAsia="ar-EG" w:bidi="ar-EG"/>
              </w:rPr>
              <w:t>نديز/ جميع بلدان أمريكا اللاتينية</w:t>
            </w:r>
          </w:p>
        </w:tc>
        <w:tc>
          <w:tcPr>
            <w:tcW w:w="2111" w:type="pct"/>
            <w:shd w:val="clear" w:color="auto" w:fill="FFFFFF"/>
            <w:tcMar>
              <w:top w:w="110" w:type="dxa"/>
            </w:tcMar>
          </w:tcPr>
          <w:p w14:paraId="0E2353B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 توسيع معارف القضاة والمدعين في أمريكا اللاتينية بنظام الملكية الفكرية؛ "2" وتيسير تحديد الاهتمامات المشتركة بغية عرض الأفكار والاقتراحات؛ "3" وتحسين جودة القرارات القضائية والتفسيرات القانونية</w:t>
            </w:r>
          </w:p>
        </w:tc>
      </w:tr>
      <w:tr w:rsidR="00BD3831" w:rsidRPr="00CE1677" w14:paraId="1A26F948" w14:textId="77777777" w:rsidTr="00DF6715">
        <w:trPr>
          <w:cantSplit/>
          <w:trHeight w:val="1337"/>
        </w:trPr>
        <w:tc>
          <w:tcPr>
            <w:tcW w:w="1058" w:type="pct"/>
          </w:tcPr>
          <w:p w14:paraId="7A085BF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مشاركة خبير إسباني في الندوة الإقليمية الخاصة بمعاهدة سنغافو</w:t>
            </w:r>
            <w:r>
              <w:rPr>
                <w:rFonts w:ascii="Arabic Typesetting" w:eastAsia="Arabic Typesetting" w:hAnsi="Arabic Typesetting" w:cs="Arabic Typesetting"/>
                <w:color w:val="000000"/>
                <w:sz w:val="28"/>
                <w:szCs w:val="28"/>
                <w:rtl/>
                <w:lang w:eastAsia="ar-EG" w:bidi="ar-EG"/>
              </w:rPr>
              <w:t>رة بشأن قانون العلامات التجارية</w:t>
            </w:r>
          </w:p>
        </w:tc>
        <w:tc>
          <w:tcPr>
            <w:tcW w:w="675" w:type="pct"/>
            <w:shd w:val="clear" w:color="auto" w:fill="auto"/>
            <w:tcMar>
              <w:top w:w="110" w:type="dxa"/>
            </w:tcMar>
          </w:tcPr>
          <w:p w14:paraId="2DBC83F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6 و7 سبتمبر 2016</w:t>
            </w:r>
          </w:p>
        </w:tc>
        <w:tc>
          <w:tcPr>
            <w:tcW w:w="1156" w:type="pct"/>
            <w:gridSpan w:val="2"/>
            <w:shd w:val="clear" w:color="auto" w:fill="auto"/>
            <w:tcMar>
              <w:top w:w="110" w:type="dxa"/>
            </w:tcMar>
          </w:tcPr>
          <w:p w14:paraId="341FA353" w14:textId="77777777" w:rsidR="00BD3831" w:rsidRPr="00CE1677" w:rsidDel="000303CA"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شيلي/ جميع بلدان أمريكا اللاتينية</w:t>
            </w:r>
          </w:p>
        </w:tc>
        <w:tc>
          <w:tcPr>
            <w:tcW w:w="2111" w:type="pct"/>
            <w:shd w:val="clear" w:color="auto" w:fill="FFFFFF"/>
            <w:tcMar>
              <w:top w:w="110" w:type="dxa"/>
            </w:tcMar>
          </w:tcPr>
          <w:p w14:paraId="3CC98603" w14:textId="77777777" w:rsidR="00BD3831" w:rsidRPr="00CE1677" w:rsidDel="000303CA"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تبادل الخبرات والأفكار بشأن استخدام وتنفيذ معاهدة سنغافورة بشأن قان</w:t>
            </w:r>
            <w:r>
              <w:rPr>
                <w:rFonts w:ascii="Arabic Typesetting" w:eastAsia="Arabic Typesetting" w:hAnsi="Arabic Typesetting" w:cs="Arabic Typesetting"/>
                <w:color w:val="000000"/>
                <w:sz w:val="28"/>
                <w:szCs w:val="28"/>
                <w:rtl/>
                <w:lang w:eastAsia="ar-EG" w:bidi="ar-EG"/>
              </w:rPr>
              <w:t>ون العلامات التجارية في إسبانيا</w:t>
            </w:r>
          </w:p>
        </w:tc>
      </w:tr>
      <w:tr w:rsidR="00BD3831" w:rsidRPr="00CE1677" w14:paraId="76B34B79" w14:textId="77777777" w:rsidTr="00DF6715">
        <w:trPr>
          <w:cantSplit/>
          <w:trHeight w:val="1337"/>
        </w:trPr>
        <w:tc>
          <w:tcPr>
            <w:tcW w:w="1058" w:type="pct"/>
          </w:tcPr>
          <w:p w14:paraId="643610F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مشروع التوعية</w:t>
            </w:r>
          </w:p>
        </w:tc>
        <w:tc>
          <w:tcPr>
            <w:tcW w:w="675" w:type="pct"/>
            <w:shd w:val="clear" w:color="auto" w:fill="auto"/>
            <w:tcMar>
              <w:top w:w="110" w:type="dxa"/>
            </w:tcMar>
          </w:tcPr>
          <w:p w14:paraId="09362E26"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مارس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156" w:type="pct"/>
            <w:gridSpan w:val="2"/>
            <w:shd w:val="clear" w:color="auto" w:fill="auto"/>
            <w:tcMar>
              <w:top w:w="110" w:type="dxa"/>
            </w:tcMar>
          </w:tcPr>
          <w:p w14:paraId="7E952DC9" w14:textId="77777777" w:rsidR="00BD3831" w:rsidRPr="00CE1677" w:rsidDel="000303CA"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كل البلدان الأيبيرية الأمريكية</w:t>
            </w:r>
          </w:p>
        </w:tc>
        <w:tc>
          <w:tcPr>
            <w:tcW w:w="2111" w:type="pct"/>
            <w:shd w:val="clear" w:color="auto" w:fill="FFFFFF"/>
            <w:tcMar>
              <w:top w:w="110" w:type="dxa"/>
            </w:tcMar>
          </w:tcPr>
          <w:p w14:paraId="3C0A6AE3" w14:textId="77777777" w:rsidR="00BD3831" w:rsidRPr="00CE1677" w:rsidDel="000303CA"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إنتاج لعبة فيديو تعليمية لإزكاء الوعي بالملكية الفكرية في صفوف الم</w:t>
            </w:r>
            <w:r>
              <w:rPr>
                <w:rFonts w:ascii="Arabic Typesetting" w:eastAsia="Arabic Typesetting" w:hAnsi="Arabic Typesetting" w:cs="Arabic Typesetting"/>
                <w:color w:val="000000"/>
                <w:sz w:val="28"/>
                <w:szCs w:val="28"/>
                <w:rtl/>
                <w:lang w:eastAsia="ar-EG" w:bidi="ar-EG"/>
              </w:rPr>
              <w:t>راهقين</w:t>
            </w:r>
          </w:p>
        </w:tc>
      </w:tr>
      <w:tr w:rsidR="00BD3831" w:rsidRPr="00CE1677" w14:paraId="201CBD3A" w14:textId="77777777" w:rsidTr="00DF6715">
        <w:trPr>
          <w:cantSplit/>
          <w:trHeight w:val="1337"/>
        </w:trPr>
        <w:tc>
          <w:tcPr>
            <w:tcW w:w="1058" w:type="pct"/>
          </w:tcPr>
          <w:p w14:paraId="576345F6"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العمل الإقليمية المشتركة بين الويبو والمكتب الإسباني للبراءات والعلامات التجارية والوكالة الإسبانية للتعاون الإنمائي الدولي بشأن تد</w:t>
            </w:r>
            <w:r>
              <w:rPr>
                <w:rFonts w:ascii="Arabic Typesetting" w:eastAsia="Arabic Typesetting" w:hAnsi="Arabic Typesetting" w:cs="Arabic Typesetting"/>
                <w:color w:val="000000"/>
                <w:sz w:val="28"/>
                <w:szCs w:val="28"/>
                <w:rtl/>
                <w:lang w:eastAsia="ar-EG" w:bidi="ar-EG"/>
              </w:rPr>
              <w:t>ريب المدربين على صياغة البراءات</w:t>
            </w:r>
          </w:p>
        </w:tc>
        <w:tc>
          <w:tcPr>
            <w:tcW w:w="675" w:type="pct"/>
            <w:shd w:val="clear" w:color="auto" w:fill="auto"/>
            <w:tcMar>
              <w:top w:w="110" w:type="dxa"/>
            </w:tcMar>
          </w:tcPr>
          <w:p w14:paraId="167FC28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11 إلى 15 أبريل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156" w:type="pct"/>
            <w:gridSpan w:val="2"/>
            <w:shd w:val="clear" w:color="auto" w:fill="auto"/>
            <w:tcMar>
              <w:top w:w="110" w:type="dxa"/>
            </w:tcMar>
          </w:tcPr>
          <w:p w14:paraId="3E55F4C1" w14:textId="77777777" w:rsidR="00BD3831" w:rsidRPr="00CE1677" w:rsidDel="000303CA"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كولومبيا/ جميع بلدان أمريكا اللاتينية</w:t>
            </w:r>
          </w:p>
        </w:tc>
        <w:tc>
          <w:tcPr>
            <w:tcW w:w="2111" w:type="pct"/>
            <w:shd w:val="clear" w:color="auto" w:fill="FFFFFF"/>
            <w:tcMar>
              <w:top w:w="110" w:type="dxa"/>
            </w:tcMar>
          </w:tcPr>
          <w:p w14:paraId="029B6FCD" w14:textId="77777777" w:rsidR="00BD3831" w:rsidRPr="00CE1677" w:rsidDel="000303CA"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تحديد الكفاءات لتنظيم برامج بناء القدرات المستقبلية على الصعيد الوطني في شتى أنحاء المنطقة</w:t>
            </w:r>
          </w:p>
        </w:tc>
      </w:tr>
      <w:tr w:rsidR="00BD3831" w:rsidRPr="00CE1677" w14:paraId="13597430" w14:textId="77777777" w:rsidTr="00DF6715">
        <w:trPr>
          <w:cantSplit/>
        </w:trPr>
        <w:tc>
          <w:tcPr>
            <w:tcW w:w="5000" w:type="pct"/>
            <w:gridSpan w:val="5"/>
            <w:shd w:val="clear" w:color="auto" w:fill="C6D9F1"/>
            <w:vAlign w:val="center"/>
          </w:tcPr>
          <w:p w14:paraId="099424EE" w14:textId="50507283"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color w:val="000000"/>
                <w:sz w:val="28"/>
                <w:szCs w:val="28"/>
                <w:rtl/>
                <w:lang w:eastAsia="ar-EG" w:bidi="ar-EG"/>
              </w:rPr>
              <w:t>ه4.3 آليات وبرامج تعاونية معزّزة ومكيّفة حسب احتياجات البلدان النامية والبلدان الأقل نموا و</w:t>
            </w:r>
            <w:r w:rsidR="00AF6433">
              <w:rPr>
                <w:rFonts w:ascii="Arabic Typesetting" w:eastAsia="Arabic Typesetting" w:hAnsi="Arabic Typesetting" w:cs="Arabic Typesetting"/>
                <w:color w:val="000000"/>
                <w:sz w:val="28"/>
                <w:szCs w:val="28"/>
                <w:rtl/>
                <w:lang w:eastAsia="ar-EG" w:bidi="ar-EG"/>
              </w:rPr>
              <w:t>البلدان المتحولة</w:t>
            </w:r>
          </w:p>
        </w:tc>
      </w:tr>
      <w:tr w:rsidR="00BD3831" w:rsidRPr="00CE1677" w14:paraId="53F28762" w14:textId="77777777" w:rsidTr="00DF6715">
        <w:trPr>
          <w:cantSplit/>
        </w:trPr>
        <w:tc>
          <w:tcPr>
            <w:tcW w:w="1058" w:type="pct"/>
            <w:shd w:val="clear" w:color="auto" w:fill="auto"/>
          </w:tcPr>
          <w:p w14:paraId="69CB11FA" w14:textId="77777777" w:rsidR="00BD3831" w:rsidRPr="00CE1677" w:rsidRDefault="00BD3831" w:rsidP="0031289D">
            <w:pPr>
              <w:keepNext/>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النشاط</w:t>
            </w:r>
          </w:p>
        </w:tc>
        <w:tc>
          <w:tcPr>
            <w:tcW w:w="685" w:type="pct"/>
            <w:gridSpan w:val="2"/>
            <w:shd w:val="clear" w:color="auto" w:fill="auto"/>
            <w:tcMar>
              <w:top w:w="110" w:type="dxa"/>
            </w:tcMar>
          </w:tcPr>
          <w:p w14:paraId="2E7D9B08" w14:textId="77777777" w:rsidR="00BD3831" w:rsidRPr="00CE1677" w:rsidRDefault="00BD3831" w:rsidP="0031289D">
            <w:pPr>
              <w:keepNext/>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التاريخ</w:t>
            </w:r>
          </w:p>
        </w:tc>
        <w:tc>
          <w:tcPr>
            <w:tcW w:w="1146" w:type="pct"/>
            <w:shd w:val="clear" w:color="auto" w:fill="auto"/>
            <w:tcMar>
              <w:top w:w="110" w:type="dxa"/>
            </w:tcMar>
          </w:tcPr>
          <w:p w14:paraId="23B15B5F" w14:textId="77777777" w:rsidR="00BD3831" w:rsidRPr="00CE1677" w:rsidRDefault="00BD3831" w:rsidP="0031289D">
            <w:pPr>
              <w:keepNext/>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111" w:type="pct"/>
            <w:shd w:val="clear" w:color="auto" w:fill="auto"/>
            <w:tcMar>
              <w:top w:w="110" w:type="dxa"/>
            </w:tcMar>
          </w:tcPr>
          <w:p w14:paraId="660B20B4" w14:textId="77777777" w:rsidR="00BD3831" w:rsidRPr="00CE1677" w:rsidRDefault="00BD3831" w:rsidP="0031289D">
            <w:pPr>
              <w:keepNext/>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الغرض/الوصف</w:t>
            </w:r>
          </w:p>
        </w:tc>
      </w:tr>
      <w:tr w:rsidR="00BD3831" w:rsidRPr="00CE1677" w14:paraId="01FE4476" w14:textId="77777777" w:rsidTr="00DF6715">
        <w:trPr>
          <w:cantSplit/>
        </w:trPr>
        <w:tc>
          <w:tcPr>
            <w:tcW w:w="1058" w:type="pct"/>
          </w:tcPr>
          <w:p w14:paraId="1A40AD52" w14:textId="77777777" w:rsidR="00BD3831" w:rsidRPr="00CE1677" w:rsidRDefault="00BD3831" w:rsidP="0031289D">
            <w:pPr>
              <w:keepNext/>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مشاركة مدير المكتب الإسباني للبراءات والعلامات التجارية في اجتماع الويبو الإقليمي لمديري مكاتب الملكية الصناعية في بلدان أمريكا</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اللاتينية</w:t>
            </w:r>
          </w:p>
        </w:tc>
        <w:tc>
          <w:tcPr>
            <w:tcW w:w="685" w:type="pct"/>
            <w:gridSpan w:val="2"/>
            <w:shd w:val="clear" w:color="auto" w:fill="auto"/>
            <w:tcMar>
              <w:top w:w="110" w:type="dxa"/>
            </w:tcMar>
          </w:tcPr>
          <w:p w14:paraId="3E45D9C9" w14:textId="77777777" w:rsidR="00BD3831" w:rsidRPr="00CE1677" w:rsidRDefault="00BD3831" w:rsidP="0031289D">
            <w:pPr>
              <w:keepNext/>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15 و16 سبتمبر 2016</w:t>
            </w:r>
          </w:p>
        </w:tc>
        <w:tc>
          <w:tcPr>
            <w:tcW w:w="1146" w:type="pct"/>
            <w:shd w:val="clear" w:color="auto" w:fill="auto"/>
            <w:tcMar>
              <w:top w:w="110" w:type="dxa"/>
            </w:tcMar>
          </w:tcPr>
          <w:p w14:paraId="18C0DA4D" w14:textId="77777777" w:rsidR="00BD3831" w:rsidRPr="00CE1677" w:rsidRDefault="00BD3831" w:rsidP="0031289D">
            <w:pPr>
              <w:keepNext/>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كولومبيا/ جميع بلدان أمريكا</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اللاتينية</w:t>
            </w:r>
          </w:p>
        </w:tc>
        <w:tc>
          <w:tcPr>
            <w:tcW w:w="2111" w:type="pct"/>
            <w:shd w:val="clear" w:color="auto" w:fill="FFFFFF"/>
            <w:tcMar>
              <w:top w:w="110" w:type="dxa"/>
            </w:tcMar>
          </w:tcPr>
          <w:p w14:paraId="39836D20" w14:textId="77777777" w:rsidR="00BD3831" w:rsidRPr="00CE1677" w:rsidRDefault="00BD3831" w:rsidP="0031289D">
            <w:pPr>
              <w:keepNext/>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إتاحة تبادل الأفكار والممارسات الفضلى مع بلدان أمريكا</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اللاتينية</w:t>
            </w:r>
          </w:p>
        </w:tc>
      </w:tr>
      <w:tr w:rsidR="00BD3831" w:rsidRPr="00CE1677" w14:paraId="75E5F1FD" w14:textId="77777777" w:rsidTr="00DF6715">
        <w:trPr>
          <w:cantSplit/>
        </w:trPr>
        <w:tc>
          <w:tcPr>
            <w:tcW w:w="1058" w:type="pct"/>
          </w:tcPr>
          <w:p w14:paraId="1295228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مشاركة مدير المكتب الإسباني للبراءات والعلامات التجارية في اجتماع الويبو الإقليمي لمديري مكاتب الملكية الصناعية و</w:t>
            </w:r>
            <w:r>
              <w:rPr>
                <w:rFonts w:ascii="Arabic Typesetting" w:eastAsia="Arabic Typesetting" w:hAnsi="Arabic Typesetting" w:cs="Arabic Typesetting" w:hint="cs"/>
                <w:color w:val="000000"/>
                <w:sz w:val="28"/>
                <w:szCs w:val="28"/>
                <w:rtl/>
                <w:lang w:eastAsia="ar-EG" w:bidi="ar-EG"/>
              </w:rPr>
              <w:t>ال</w:t>
            </w:r>
            <w:r w:rsidRPr="00CE1677">
              <w:rPr>
                <w:rFonts w:ascii="Arabic Typesetting" w:eastAsia="Arabic Typesetting" w:hAnsi="Arabic Typesetting" w:cs="Arabic Typesetting"/>
                <w:color w:val="000000"/>
                <w:sz w:val="28"/>
                <w:szCs w:val="28"/>
                <w:rtl/>
                <w:lang w:eastAsia="ar-EG" w:bidi="ar-EG"/>
              </w:rPr>
              <w:t>مكاتب المصدرة في أمريكا</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اللاتينية</w:t>
            </w:r>
          </w:p>
        </w:tc>
        <w:tc>
          <w:tcPr>
            <w:tcW w:w="685" w:type="pct"/>
            <w:gridSpan w:val="2"/>
            <w:shd w:val="clear" w:color="auto" w:fill="auto"/>
            <w:tcMar>
              <w:top w:w="110" w:type="dxa"/>
            </w:tcMar>
          </w:tcPr>
          <w:p w14:paraId="7E5B8A8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14 و15 سبتمبر 2016</w:t>
            </w:r>
          </w:p>
        </w:tc>
        <w:tc>
          <w:tcPr>
            <w:tcW w:w="1146" w:type="pct"/>
            <w:shd w:val="clear" w:color="auto" w:fill="auto"/>
            <w:tcMar>
              <w:top w:w="110" w:type="dxa"/>
            </w:tcMar>
          </w:tcPr>
          <w:p w14:paraId="18DF932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كولومبيا/ جميع بلدان أمريكا اللاتينية</w:t>
            </w:r>
          </w:p>
        </w:tc>
        <w:tc>
          <w:tcPr>
            <w:tcW w:w="2111" w:type="pct"/>
            <w:shd w:val="clear" w:color="auto" w:fill="FFFFFF"/>
            <w:tcMar>
              <w:top w:w="110" w:type="dxa"/>
            </w:tcMar>
          </w:tcPr>
          <w:p w14:paraId="541CF4B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تيسير تبادل المعلومات بشأن الاستراتيجيات لدعم استخدام نظام الملكية الفكرية لدى المصدرين</w:t>
            </w:r>
          </w:p>
        </w:tc>
      </w:tr>
      <w:tr w:rsidR="00BD3831" w:rsidRPr="00CE1677" w14:paraId="2EA6A694" w14:textId="77777777" w:rsidTr="00DF6715">
        <w:trPr>
          <w:cantSplit/>
        </w:trPr>
        <w:tc>
          <w:tcPr>
            <w:tcW w:w="5000" w:type="pct"/>
            <w:gridSpan w:val="5"/>
            <w:shd w:val="clear" w:color="auto" w:fill="C6D9F1"/>
            <w:vAlign w:val="center"/>
          </w:tcPr>
          <w:p w14:paraId="1181765E" w14:textId="249304B2"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lastRenderedPageBreak/>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color w:val="000000"/>
                <w:sz w:val="28"/>
                <w:szCs w:val="28"/>
                <w:rtl/>
                <w:lang w:eastAsia="ar-EG" w:bidi="ar-EG"/>
              </w:rPr>
              <w:t xml:space="preserve">ه4.4 </w:t>
            </w:r>
            <w:r w:rsidR="007B1E0A">
              <w:rPr>
                <w:rFonts w:ascii="Arabic Typesetting" w:eastAsia="Arabic Typesetting" w:hAnsi="Arabic Typesetting" w:cs="Arabic Typesetting"/>
                <w:color w:val="000000"/>
                <w:sz w:val="28"/>
                <w:szCs w:val="28"/>
                <w:rtl/>
                <w:lang w:eastAsia="ar-EG" w:bidi="ar-EG"/>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r>
      <w:tr w:rsidR="00BD3831" w:rsidRPr="00CE1677" w14:paraId="09E6FB85" w14:textId="77777777" w:rsidTr="00DF6715">
        <w:trPr>
          <w:cantSplit/>
          <w:trHeight w:val="17"/>
        </w:trPr>
        <w:tc>
          <w:tcPr>
            <w:tcW w:w="1058" w:type="pct"/>
            <w:shd w:val="clear" w:color="auto" w:fill="auto"/>
          </w:tcPr>
          <w:p w14:paraId="4A51389B"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النشاط</w:t>
            </w:r>
          </w:p>
        </w:tc>
        <w:tc>
          <w:tcPr>
            <w:tcW w:w="685" w:type="pct"/>
            <w:gridSpan w:val="2"/>
            <w:shd w:val="clear" w:color="auto" w:fill="auto"/>
            <w:tcMar>
              <w:top w:w="110" w:type="dxa"/>
            </w:tcMar>
          </w:tcPr>
          <w:p w14:paraId="28F57F08"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التاريخ</w:t>
            </w:r>
          </w:p>
        </w:tc>
        <w:tc>
          <w:tcPr>
            <w:tcW w:w="1146" w:type="pct"/>
            <w:shd w:val="clear" w:color="auto" w:fill="auto"/>
            <w:tcMar>
              <w:top w:w="110" w:type="dxa"/>
            </w:tcMar>
          </w:tcPr>
          <w:p w14:paraId="6D171EE2"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111" w:type="pct"/>
            <w:shd w:val="clear" w:color="auto" w:fill="auto"/>
            <w:tcMar>
              <w:top w:w="110" w:type="dxa"/>
            </w:tcMar>
          </w:tcPr>
          <w:p w14:paraId="2B08C129"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الغرض/الوصف</w:t>
            </w:r>
          </w:p>
        </w:tc>
      </w:tr>
      <w:tr w:rsidR="00BD3831" w:rsidRPr="00CE1677" w14:paraId="690B0B64" w14:textId="77777777" w:rsidTr="00DF6715">
        <w:trPr>
          <w:cantSplit/>
        </w:trPr>
        <w:tc>
          <w:tcPr>
            <w:tcW w:w="1058" w:type="pct"/>
            <w:shd w:val="clear" w:color="auto" w:fill="auto"/>
          </w:tcPr>
          <w:p w14:paraId="7D4BC493"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الاجتماع الإقليمي الثاني عشر لمشروع البراءات اللاتينية للمنظمة العالمية للملكية الفكرية/المكتب الإسباني للبراءات والعلامات التجارية/المكتب الأوروبي للبراءات لأخصائي تكنولوجيا المعلومات وإدارة معلومات البراءات في مكاتب الملكية الصناعية في أمريكا اللاتينية</w:t>
            </w:r>
          </w:p>
        </w:tc>
        <w:tc>
          <w:tcPr>
            <w:tcW w:w="685" w:type="pct"/>
            <w:gridSpan w:val="2"/>
            <w:shd w:val="clear" w:color="auto" w:fill="auto"/>
            <w:tcMar>
              <w:top w:w="110" w:type="dxa"/>
            </w:tcMar>
          </w:tcPr>
          <w:p w14:paraId="5EC1427F" w14:textId="77777777" w:rsidR="00BD3831" w:rsidRPr="00C07879"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29 نوفمبر إلى 2 ديسمبر 2016</w:t>
            </w:r>
          </w:p>
        </w:tc>
        <w:tc>
          <w:tcPr>
            <w:tcW w:w="1146" w:type="pct"/>
            <w:shd w:val="clear" w:color="auto" w:fill="auto"/>
            <w:tcMar>
              <w:top w:w="110" w:type="dxa"/>
            </w:tcMar>
          </w:tcPr>
          <w:p w14:paraId="3720EF29"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كوبا/جميع بلدان أمريكا اللاتينية</w:t>
            </w:r>
          </w:p>
        </w:tc>
        <w:tc>
          <w:tcPr>
            <w:tcW w:w="2111" w:type="pct"/>
            <w:shd w:val="clear" w:color="auto" w:fill="auto"/>
            <w:tcMar>
              <w:top w:w="110" w:type="dxa"/>
            </w:tcMar>
          </w:tcPr>
          <w:p w14:paraId="0583B663"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أنشيء مشروع البراءات اللاتينية (لاتيبات) لتطوير قاعدة بيانات وتزويدها بالمعلومات اللازمة حول البراءات</w:t>
            </w:r>
            <w:r>
              <w:rPr>
                <w:rFonts w:ascii="Arabic Typesetting" w:eastAsia="Arabic Typesetting" w:hAnsi="Arabic Typesetting" w:cs="Arabic Typesetting"/>
                <w:color w:val="000000"/>
                <w:sz w:val="28"/>
                <w:szCs w:val="28"/>
                <w:rtl/>
                <w:lang w:eastAsia="ar-EG" w:bidi="ar-EG"/>
              </w:rPr>
              <w:t xml:space="preserve"> من جميع بلدان أمريكا اللاتينية. ويُع</w:t>
            </w:r>
            <w:r>
              <w:rPr>
                <w:rFonts w:ascii="Arabic Typesetting" w:eastAsia="Arabic Typesetting" w:hAnsi="Arabic Typesetting" w:cs="Arabic Typesetting" w:hint="cs"/>
                <w:color w:val="000000"/>
                <w:sz w:val="28"/>
                <w:szCs w:val="28"/>
                <w:rtl/>
                <w:lang w:eastAsia="ar-EG" w:bidi="ar-EG"/>
              </w:rPr>
              <w:t>دّ</w:t>
            </w:r>
            <w:r w:rsidRPr="00CE1677">
              <w:rPr>
                <w:rFonts w:ascii="Arabic Typesetting" w:eastAsia="Arabic Typesetting" w:hAnsi="Arabic Typesetting" w:cs="Arabic Typesetting"/>
                <w:color w:val="000000"/>
                <w:sz w:val="28"/>
                <w:szCs w:val="28"/>
                <w:rtl/>
                <w:lang w:eastAsia="ar-EG" w:bidi="ar-EG"/>
              </w:rPr>
              <w:t xml:space="preserve"> مشروع البراءات اللاتينية حالياً نموذجاً لبلدان أمريكا اللاتينية فضلاً عن مختلف المحافل الدولية المتعلقة بمعلومات البراءات والال</w:t>
            </w:r>
            <w:r>
              <w:rPr>
                <w:rFonts w:ascii="Arabic Typesetting" w:eastAsia="Arabic Typesetting" w:hAnsi="Arabic Typesetting" w:cs="Arabic Typesetting"/>
                <w:color w:val="000000"/>
                <w:sz w:val="28"/>
                <w:szCs w:val="28"/>
                <w:rtl/>
                <w:lang w:eastAsia="ar-EG" w:bidi="ar-EG"/>
              </w:rPr>
              <w:t xml:space="preserve">تزام والمثابرة والعمل الجماعي. </w:t>
            </w:r>
            <w:r w:rsidRPr="00CE1677">
              <w:rPr>
                <w:rFonts w:ascii="Arabic Typesetting" w:eastAsia="Arabic Typesetting" w:hAnsi="Arabic Typesetting" w:cs="Arabic Typesetting"/>
                <w:color w:val="000000"/>
                <w:sz w:val="28"/>
                <w:szCs w:val="28"/>
                <w:rtl/>
                <w:lang w:eastAsia="ar-EG" w:bidi="ar-EG"/>
              </w:rPr>
              <w:t>وعلى مدى أكثر من 15 عاماً، استطاعت قاعدة البيانات تجميع أكثر من مليونَي وثيقة ويقوم بالاطلاع عليها ما متوسطه 14 ألف شخص شهرياً.</w:t>
            </w:r>
          </w:p>
          <w:p w14:paraId="28F8BA2D" w14:textId="77777777" w:rsidR="00BD3831" w:rsidRPr="00CE1677" w:rsidRDefault="00BD3831" w:rsidP="0031289D">
            <w:pPr>
              <w:keepNext/>
              <w:keepLines/>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Pr>
                <w:rFonts w:ascii="Arabic Typesetting" w:eastAsia="Arabic Typesetting" w:hAnsi="Arabic Typesetting" w:cs="Arabic Typesetting" w:hint="cs"/>
                <w:color w:val="000000"/>
                <w:sz w:val="28"/>
                <w:szCs w:val="28"/>
                <w:rtl/>
                <w:lang w:eastAsia="ar-EG" w:bidi="ar-EG"/>
              </w:rPr>
              <w:t>و</w:t>
            </w:r>
            <w:r w:rsidRPr="00CE1677">
              <w:rPr>
                <w:rFonts w:ascii="Arabic Typesetting" w:eastAsia="Arabic Typesetting" w:hAnsi="Arabic Typesetting" w:cs="Arabic Typesetting"/>
                <w:color w:val="000000"/>
                <w:sz w:val="28"/>
                <w:szCs w:val="28"/>
                <w:rtl/>
                <w:lang w:eastAsia="ar-EG" w:bidi="ar-EG"/>
              </w:rPr>
              <w:t>تجتمع الدول الأعضاء في أمريكا اللاتينية وإسبانيا سنوياً لمناقشة إدارة المشروع واعتماد خصائص جديدة.</w:t>
            </w:r>
          </w:p>
        </w:tc>
      </w:tr>
    </w:tbl>
    <w:p w14:paraId="67C0DA43" w14:textId="77777777" w:rsidR="00BD3831" w:rsidRPr="00C07879"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C07879">
        <w:rPr>
          <w:rFonts w:ascii="Arabic Typesetting" w:eastAsia="Arabic Typesetting" w:hAnsi="Arabic Typesetting" w:cs="Arabic Typesetting"/>
          <w:b/>
          <w:bCs/>
          <w:sz w:val="32"/>
          <w:szCs w:val="32"/>
          <w:rtl/>
          <w:lang w:eastAsia="ar-EG" w:bidi="ar-EG"/>
        </w:rPr>
        <w:t>إسبانيا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3301243A" w14:textId="77777777" w:rsidTr="00DF6715">
        <w:trPr>
          <w:trHeight w:val="544"/>
        </w:trPr>
        <w:tc>
          <w:tcPr>
            <w:tcW w:w="1000" w:type="pct"/>
            <w:tcBorders>
              <w:top w:val="nil"/>
              <w:left w:val="nil"/>
              <w:bottom w:val="nil"/>
              <w:right w:val="nil"/>
            </w:tcBorders>
            <w:shd w:val="clear" w:color="000000" w:fill="C5D9F1"/>
            <w:vAlign w:val="center"/>
            <w:hideMark/>
          </w:tcPr>
          <w:p w14:paraId="6C821B7F"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5665CB33"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1A314B4E"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7022B8C3"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7F171157"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1D50AF11" w14:textId="77777777" w:rsidTr="00DF6715">
        <w:trPr>
          <w:trHeight w:val="356"/>
        </w:trPr>
        <w:tc>
          <w:tcPr>
            <w:tcW w:w="1000" w:type="pct"/>
            <w:tcBorders>
              <w:top w:val="nil"/>
              <w:left w:val="nil"/>
              <w:bottom w:val="nil"/>
              <w:right w:val="nil"/>
            </w:tcBorders>
            <w:shd w:val="clear" w:color="auto" w:fill="auto"/>
            <w:noWrap/>
            <w:vAlign w:val="bottom"/>
            <w:hideMark/>
          </w:tcPr>
          <w:p w14:paraId="4DD79505" w14:textId="77777777" w:rsidR="00BD3831" w:rsidRPr="00C07879" w:rsidRDefault="00BD3831" w:rsidP="0031289D">
            <w:pPr>
              <w:jc w:val="center"/>
              <w:rPr>
                <w:rFonts w:ascii="Arabic Typesetting" w:hAnsi="Arabic Typesetting" w:cs="Arabic Typesetting"/>
                <w:color w:val="000000"/>
                <w:sz w:val="28"/>
                <w:szCs w:val="28"/>
              </w:rPr>
            </w:pPr>
            <w:r w:rsidRPr="00C07879">
              <w:rPr>
                <w:rFonts w:ascii="Arabic Typesetting" w:hAnsi="Arabic Typesetting" w:cs="Arabic Typesetting"/>
                <w:color w:val="000000"/>
                <w:sz w:val="28"/>
                <w:szCs w:val="28"/>
              </w:rPr>
              <w:t>107</w:t>
            </w:r>
            <w:r>
              <w:rPr>
                <w:rFonts w:ascii="Arabic Typesetting" w:hAnsi="Arabic Typesetting" w:cs="Arabic Typesetting"/>
                <w:color w:val="000000"/>
                <w:sz w:val="28"/>
                <w:szCs w:val="28"/>
              </w:rPr>
              <w:t> </w:t>
            </w:r>
            <w:r w:rsidRPr="00C07879">
              <w:rPr>
                <w:rFonts w:ascii="Arabic Typesetting" w:hAnsi="Arabic Typesetting" w:cs="Arabic Typesetting"/>
                <w:color w:val="000000"/>
                <w:sz w:val="28"/>
                <w:szCs w:val="28"/>
              </w:rPr>
              <w:t>221</w:t>
            </w:r>
          </w:p>
        </w:tc>
        <w:tc>
          <w:tcPr>
            <w:tcW w:w="1000" w:type="pct"/>
            <w:tcBorders>
              <w:top w:val="nil"/>
              <w:left w:val="nil"/>
              <w:bottom w:val="nil"/>
              <w:right w:val="nil"/>
            </w:tcBorders>
            <w:shd w:val="clear" w:color="auto" w:fill="auto"/>
            <w:noWrap/>
            <w:vAlign w:val="bottom"/>
            <w:hideMark/>
          </w:tcPr>
          <w:p w14:paraId="627CB363" w14:textId="77777777" w:rsidR="00BD3831" w:rsidRPr="00C07879" w:rsidRDefault="00BD3831" w:rsidP="0031289D">
            <w:pPr>
              <w:keepNext/>
              <w:jc w:val="center"/>
              <w:rPr>
                <w:rFonts w:ascii="Arabic Typesetting" w:hAnsi="Arabic Typesetting" w:cs="Arabic Typesetting"/>
                <w:color w:val="000000"/>
                <w:sz w:val="28"/>
                <w:szCs w:val="28"/>
              </w:rPr>
            </w:pPr>
            <w:r w:rsidRPr="00C07879">
              <w:rPr>
                <w:rFonts w:ascii="Arabic Typesetting" w:hAnsi="Arabic Typesetting" w:cs="Arabic Typesetting"/>
                <w:color w:val="000000"/>
                <w:sz w:val="28"/>
                <w:szCs w:val="28"/>
              </w:rPr>
              <w:t>165</w:t>
            </w:r>
            <w:r>
              <w:rPr>
                <w:rFonts w:ascii="Arabic Typesetting" w:hAnsi="Arabic Typesetting" w:cs="Arabic Typesetting"/>
                <w:color w:val="000000"/>
                <w:sz w:val="28"/>
                <w:szCs w:val="28"/>
              </w:rPr>
              <w:t> </w:t>
            </w:r>
            <w:r w:rsidRPr="00C07879">
              <w:rPr>
                <w:rFonts w:ascii="Arabic Typesetting" w:hAnsi="Arabic Typesetting" w:cs="Arabic Typesetting"/>
                <w:color w:val="000000"/>
                <w:sz w:val="28"/>
                <w:szCs w:val="28"/>
              </w:rPr>
              <w:t>276</w:t>
            </w:r>
          </w:p>
        </w:tc>
        <w:tc>
          <w:tcPr>
            <w:tcW w:w="1000" w:type="pct"/>
            <w:tcBorders>
              <w:top w:val="nil"/>
              <w:left w:val="nil"/>
              <w:bottom w:val="nil"/>
              <w:right w:val="nil"/>
            </w:tcBorders>
            <w:shd w:val="clear" w:color="auto" w:fill="auto"/>
            <w:noWrap/>
            <w:vAlign w:val="bottom"/>
            <w:hideMark/>
          </w:tcPr>
          <w:p w14:paraId="64FABD3F" w14:textId="77777777" w:rsidR="00BD3831" w:rsidRPr="00C07879" w:rsidRDefault="00BD3831" w:rsidP="0031289D">
            <w:pPr>
              <w:keepNext/>
              <w:jc w:val="center"/>
              <w:rPr>
                <w:rFonts w:ascii="Arabic Typesetting" w:hAnsi="Arabic Typesetting" w:cs="Arabic Typesetting"/>
                <w:color w:val="000000"/>
                <w:sz w:val="28"/>
                <w:szCs w:val="28"/>
              </w:rPr>
            </w:pPr>
            <w:r w:rsidRPr="00C07879">
              <w:rPr>
                <w:rFonts w:ascii="Arabic Typesetting" w:hAnsi="Arabic Typesetting" w:cs="Arabic Typesetting"/>
                <w:color w:val="000000"/>
                <w:sz w:val="28"/>
                <w:szCs w:val="28"/>
              </w:rPr>
              <w:t>180</w:t>
            </w:r>
            <w:r>
              <w:rPr>
                <w:rFonts w:ascii="Arabic Typesetting" w:hAnsi="Arabic Typesetting" w:cs="Arabic Typesetting"/>
                <w:color w:val="000000"/>
                <w:sz w:val="28"/>
                <w:szCs w:val="28"/>
              </w:rPr>
              <w:t> </w:t>
            </w:r>
            <w:r w:rsidRPr="00C07879">
              <w:rPr>
                <w:rFonts w:ascii="Arabic Typesetting" w:hAnsi="Arabic Typesetting" w:cs="Arabic Typesetting"/>
                <w:color w:val="000000"/>
                <w:sz w:val="28"/>
                <w:szCs w:val="28"/>
              </w:rPr>
              <w:t>441</w:t>
            </w:r>
          </w:p>
        </w:tc>
        <w:tc>
          <w:tcPr>
            <w:tcW w:w="1000" w:type="pct"/>
            <w:tcBorders>
              <w:top w:val="nil"/>
              <w:left w:val="nil"/>
              <w:bottom w:val="nil"/>
              <w:right w:val="nil"/>
            </w:tcBorders>
            <w:shd w:val="clear" w:color="auto" w:fill="auto"/>
            <w:noWrap/>
            <w:vAlign w:val="bottom"/>
            <w:hideMark/>
          </w:tcPr>
          <w:p w14:paraId="023B0364" w14:textId="77777777" w:rsidR="00BD3831" w:rsidRPr="00C07879" w:rsidRDefault="00BD3831" w:rsidP="0031289D">
            <w:pPr>
              <w:keepNext/>
              <w:jc w:val="center"/>
              <w:rPr>
                <w:rFonts w:ascii="Arabic Typesetting" w:hAnsi="Arabic Typesetting" w:cs="Arabic Typesetting"/>
                <w:color w:val="000000"/>
                <w:sz w:val="28"/>
                <w:szCs w:val="28"/>
              </w:rPr>
            </w:pPr>
            <w:r w:rsidRPr="00C07879">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2CFDBD37" w14:textId="77777777" w:rsidR="00BD3831" w:rsidRPr="00C07879" w:rsidRDefault="00BD3831" w:rsidP="0031289D">
            <w:pPr>
              <w:keepNext/>
              <w:jc w:val="center"/>
              <w:rPr>
                <w:rFonts w:ascii="Arabic Typesetting" w:hAnsi="Arabic Typesetting" w:cs="Arabic Typesetting"/>
                <w:color w:val="000000"/>
                <w:sz w:val="28"/>
                <w:szCs w:val="28"/>
              </w:rPr>
            </w:pPr>
            <w:r w:rsidRPr="00C07879">
              <w:rPr>
                <w:rFonts w:ascii="Arabic Typesetting" w:hAnsi="Arabic Typesetting" w:cs="Arabic Typesetting"/>
                <w:color w:val="000000"/>
                <w:sz w:val="28"/>
                <w:szCs w:val="28"/>
              </w:rPr>
              <w:t>92</w:t>
            </w:r>
            <w:r>
              <w:rPr>
                <w:rFonts w:ascii="Arabic Typesetting" w:hAnsi="Arabic Typesetting" w:cs="Arabic Typesetting"/>
                <w:color w:val="000000"/>
                <w:sz w:val="28"/>
                <w:szCs w:val="28"/>
              </w:rPr>
              <w:t> </w:t>
            </w:r>
            <w:r w:rsidRPr="00C07879">
              <w:rPr>
                <w:rFonts w:ascii="Arabic Typesetting" w:hAnsi="Arabic Typesetting" w:cs="Arabic Typesetting"/>
                <w:color w:val="000000"/>
                <w:sz w:val="28"/>
                <w:szCs w:val="28"/>
              </w:rPr>
              <w:t>056</w:t>
            </w:r>
          </w:p>
        </w:tc>
      </w:tr>
    </w:tbl>
    <w:p w14:paraId="3B58DF9D" w14:textId="53488BC0" w:rsidR="00BD3831" w:rsidRPr="00C07879" w:rsidRDefault="00BD3831" w:rsidP="00D3741B">
      <w:pPr>
        <w:keepNext/>
        <w:bidi/>
        <w:spacing w:before="240" w:after="240" w:line="280" w:lineRule="exact"/>
        <w:rPr>
          <w:rFonts w:ascii="Arabic Typesetting" w:eastAsia="Arabic Typesetting" w:hAnsi="Arabic Typesetting" w:cs="Arabic Typesetting"/>
          <w:b/>
          <w:bCs/>
          <w:sz w:val="32"/>
          <w:szCs w:val="32"/>
          <w:lang w:eastAsia="ar-EG" w:bidi="ar-EG"/>
        </w:rPr>
      </w:pPr>
      <w:r w:rsidRPr="00C07879">
        <w:rPr>
          <w:rFonts w:ascii="Arabic Typesetting" w:eastAsia="Arabic Typesetting" w:hAnsi="Arabic Typesetting" w:cs="Arabic Typesetting"/>
          <w:b/>
          <w:bCs/>
          <w:sz w:val="32"/>
          <w:szCs w:val="32"/>
          <w:rtl/>
          <w:lang w:eastAsia="ar-EG" w:bidi="ar-EG"/>
        </w:rPr>
        <w:t xml:space="preserve">صندوق الأمم المتحدة للشراكات الدولية – القضاء على مجاعة الكتب لذوي </w:t>
      </w:r>
      <w:r>
        <w:rPr>
          <w:rFonts w:ascii="Arabic Typesetting" w:eastAsia="Arabic Typesetting" w:hAnsi="Arabic Typesetting" w:cs="Arabic Typesetting" w:hint="cs"/>
          <w:b/>
          <w:bCs/>
          <w:sz w:val="32"/>
          <w:szCs w:val="32"/>
          <w:rtl/>
          <w:lang w:eastAsia="ar-EG" w:bidi="ar-EG"/>
        </w:rPr>
        <w:t>الإعاقة</w:t>
      </w:r>
    </w:p>
    <w:tbl>
      <w:tblPr>
        <w:bidiVisual/>
        <w:tblW w:w="5000" w:type="pct"/>
        <w:tblLook w:val="04A0" w:firstRow="1" w:lastRow="0" w:firstColumn="1" w:lastColumn="0" w:noHBand="0" w:noVBand="1"/>
      </w:tblPr>
      <w:tblGrid>
        <w:gridCol w:w="1886"/>
        <w:gridCol w:w="1309"/>
        <w:gridCol w:w="2335"/>
        <w:gridCol w:w="4041"/>
      </w:tblGrid>
      <w:tr w:rsidR="00BD3831" w:rsidRPr="00CE1677" w14:paraId="7545CC14" w14:textId="77777777" w:rsidTr="00DF6715">
        <w:trPr>
          <w:cantSplit/>
          <w:trHeight w:val="315"/>
        </w:trPr>
        <w:tc>
          <w:tcPr>
            <w:tcW w:w="5000" w:type="pct"/>
            <w:gridSpan w:val="4"/>
            <w:shd w:val="clear" w:color="auto" w:fill="C6D9F1"/>
            <w:hideMark/>
          </w:tcPr>
          <w:p w14:paraId="5B876BF7"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sz w:val="28"/>
                <w:szCs w:val="28"/>
                <w:rtl/>
                <w:lang w:eastAsia="ar-EG" w:bidi="ar-EG"/>
              </w:rPr>
              <w:t>ه2.3 كفاءات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‏معزَّزة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‏للموارد</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‏البشرية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‏القادرة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‏على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‏تلبية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‏تشكيلة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‏واسعة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‏من المتطلبات</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‏لتسخير</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‏الملكية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‏الفكرية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‏بفعالية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‏لأغراض</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‏التنمية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‏في</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‏النامية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‏الأقل</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‏نموا</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‏والبلدان</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‏المنتقلة</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‏إلى</w:t>
            </w:r>
            <w:r w:rsidRPr="00CE1677">
              <w:rPr>
                <w:rFonts w:ascii="Arabic Typesetting" w:eastAsia="Arabic Typesetting" w:hAnsi="Arabic Typesetting" w:cs="Arabic Typesetting"/>
                <w:sz w:val="28"/>
                <w:szCs w:val="28"/>
                <w:cs/>
                <w:lang w:eastAsia="ar-EG" w:bidi="ar-EG"/>
              </w:rPr>
              <w:t>‎</w:t>
            </w:r>
            <w:r w:rsidRPr="00CE1677">
              <w:rPr>
                <w:rFonts w:ascii="Arabic Typesetting" w:eastAsia="Arabic Typesetting" w:hAnsi="Arabic Typesetting" w:cs="Arabic Typesetting"/>
                <w:sz w:val="28"/>
                <w:szCs w:val="28"/>
                <w:rtl/>
                <w:lang w:eastAsia="ar-EG" w:bidi="ar-EG"/>
              </w:rPr>
              <w:t xml:space="preserve"> ‏نظام الاقتصاد الحر</w:t>
            </w:r>
          </w:p>
        </w:tc>
      </w:tr>
      <w:tr w:rsidR="00BD3831" w:rsidRPr="00CE1677" w14:paraId="709F2A01" w14:textId="77777777" w:rsidTr="00DF6715">
        <w:trPr>
          <w:cantSplit/>
          <w:trHeight w:val="473"/>
        </w:trPr>
        <w:tc>
          <w:tcPr>
            <w:tcW w:w="985" w:type="pct"/>
            <w:vAlign w:val="center"/>
            <w:hideMark/>
          </w:tcPr>
          <w:p w14:paraId="11B303F2" w14:textId="77777777" w:rsidR="00BD3831" w:rsidRPr="00CE1677" w:rsidRDefault="00BD3831" w:rsidP="0031289D">
            <w:pPr>
              <w:keepNext/>
              <w:keepLines/>
              <w:bidi/>
              <w:spacing w:after="120" w:line="280" w:lineRule="exact"/>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sz w:val="28"/>
                <w:szCs w:val="28"/>
                <w:rtl/>
                <w:lang w:eastAsia="ar-EG" w:bidi="ar-EG"/>
              </w:rPr>
              <w:t>النشاط</w:t>
            </w:r>
          </w:p>
        </w:tc>
        <w:tc>
          <w:tcPr>
            <w:tcW w:w="684" w:type="pct"/>
            <w:vAlign w:val="center"/>
            <w:hideMark/>
          </w:tcPr>
          <w:p w14:paraId="1BAB04F4"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التاريخ</w:t>
            </w:r>
          </w:p>
        </w:tc>
        <w:tc>
          <w:tcPr>
            <w:tcW w:w="1220" w:type="pct"/>
            <w:vAlign w:val="center"/>
            <w:hideMark/>
          </w:tcPr>
          <w:p w14:paraId="0AE9B44C"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111" w:type="pct"/>
            <w:vAlign w:val="center"/>
            <w:hideMark/>
          </w:tcPr>
          <w:p w14:paraId="42B68F2B" w14:textId="77777777" w:rsidR="00BD3831" w:rsidRPr="00CE1677" w:rsidRDefault="00BD3831" w:rsidP="0031289D">
            <w:pPr>
              <w:keepNext/>
              <w:keepLines/>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b/>
                <w:bCs/>
                <w:sz w:val="28"/>
                <w:szCs w:val="28"/>
                <w:rtl/>
                <w:lang w:eastAsia="ar-EG" w:bidi="ar-EG"/>
              </w:rPr>
              <w:t>الغرض/الوصف</w:t>
            </w:r>
          </w:p>
        </w:tc>
      </w:tr>
      <w:tr w:rsidR="00BD3831" w:rsidRPr="00CE1677" w14:paraId="394F2943" w14:textId="77777777" w:rsidTr="00DF6715">
        <w:trPr>
          <w:cantSplit/>
          <w:trHeight w:val="473"/>
        </w:trPr>
        <w:tc>
          <w:tcPr>
            <w:tcW w:w="985" w:type="pct"/>
          </w:tcPr>
          <w:p w14:paraId="251B49D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تدريب ومساعدة تقنية عن طريق مذكرة تفاهم مع اتحاد ديزي وهو أحد الشركاء ال</w:t>
            </w:r>
            <w:r>
              <w:rPr>
                <w:rFonts w:ascii="Arabic Typesetting" w:eastAsia="Arabic Typesetting" w:hAnsi="Arabic Typesetting" w:cs="Arabic Typesetting"/>
                <w:sz w:val="28"/>
                <w:szCs w:val="28"/>
                <w:rtl/>
                <w:lang w:eastAsia="ar-EG" w:bidi="ar-EG"/>
              </w:rPr>
              <w:t>تنفيذيين لاتحاد الكتب</w:t>
            </w:r>
            <w:r>
              <w:rPr>
                <w:rFonts w:ascii="Arabic Typesetting" w:eastAsia="Arabic Typesetting" w:hAnsi="Arabic Typesetting" w:cs="Arabic Typesetting" w:hint="cs"/>
                <w:sz w:val="28"/>
                <w:szCs w:val="28"/>
                <w:rtl/>
                <w:lang w:eastAsia="ar-EG" w:bidi="ar-EG"/>
              </w:rPr>
              <w:t> </w:t>
            </w:r>
            <w:r>
              <w:rPr>
                <w:rFonts w:ascii="Arabic Typesetting" w:eastAsia="Arabic Typesetting" w:hAnsi="Arabic Typesetting" w:cs="Arabic Typesetting"/>
                <w:sz w:val="28"/>
                <w:szCs w:val="28"/>
                <w:rtl/>
                <w:lang w:eastAsia="ar-EG" w:bidi="ar-EG"/>
              </w:rPr>
              <w:t>الميسَّرة</w:t>
            </w:r>
          </w:p>
        </w:tc>
        <w:tc>
          <w:tcPr>
            <w:tcW w:w="684" w:type="pct"/>
          </w:tcPr>
          <w:p w14:paraId="22ECC97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 يوليو 2016 إلى 31 ديسمبر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220" w:type="pct"/>
          </w:tcPr>
          <w:p w14:paraId="70F8FC6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الهند</w:t>
            </w:r>
          </w:p>
        </w:tc>
        <w:tc>
          <w:tcPr>
            <w:tcW w:w="2111" w:type="pct"/>
          </w:tcPr>
          <w:p w14:paraId="1AF88531"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"1" إزكاء وعي أصحاب المصلحة الرئيسيين بقضايا النف</w:t>
            </w:r>
            <w:r>
              <w:rPr>
                <w:rFonts w:ascii="Arabic Typesetting" w:eastAsia="Arabic Typesetting" w:hAnsi="Arabic Typesetting" w:cs="Arabic Typesetting"/>
                <w:sz w:val="28"/>
                <w:szCs w:val="28"/>
                <w:rtl/>
                <w:lang w:eastAsia="ar-EG" w:bidi="ar-EG"/>
              </w:rPr>
              <w:t>اذ الميسَّر للأشخاص ذوي الإعاق</w:t>
            </w:r>
            <w:r>
              <w:rPr>
                <w:rFonts w:ascii="Arabic Typesetting" w:eastAsia="Arabic Typesetting" w:hAnsi="Arabic Typesetting" w:cs="Arabic Typesetting" w:hint="cs"/>
                <w:sz w:val="28"/>
                <w:szCs w:val="28"/>
                <w:rtl/>
                <w:lang w:eastAsia="ar-EG" w:bidi="ar-EG"/>
              </w:rPr>
              <w:t>ات</w:t>
            </w:r>
            <w:r w:rsidRPr="00CE1677">
              <w:rPr>
                <w:rFonts w:ascii="Arabic Typesetting" w:eastAsia="Arabic Typesetting" w:hAnsi="Arabic Typesetting" w:cs="Arabic Typesetting"/>
                <w:sz w:val="28"/>
                <w:szCs w:val="28"/>
                <w:rtl/>
                <w:lang w:eastAsia="ar-EG" w:bidi="ar-EG"/>
              </w:rPr>
              <w:t xml:space="preserve"> في قراءة المطبوعات؛ "2"</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وتوفير تدريب على إنتاج كتب إلكترونية رقمية وميس</w:t>
            </w:r>
            <w:r>
              <w:rPr>
                <w:rFonts w:ascii="Arabic Typesetting" w:eastAsia="Arabic Typesetting" w:hAnsi="Arabic Typesetting" w:cs="Arabic Typesetting"/>
                <w:sz w:val="28"/>
                <w:szCs w:val="28"/>
                <w:rtl/>
                <w:lang w:eastAsia="ar-EG" w:bidi="ar-EG"/>
              </w:rPr>
              <w:t>َّرة النسق في الولايات الهندية</w:t>
            </w:r>
            <w:r>
              <w:rPr>
                <w:rFonts w:ascii="Arabic Typesetting" w:eastAsia="Arabic Typesetting" w:hAnsi="Arabic Typesetting" w:cs="Arabic Typesetting" w:hint="cs"/>
                <w:sz w:val="28"/>
                <w:szCs w:val="28"/>
                <w:rtl/>
                <w:lang w:eastAsia="ar-EG" w:bidi="ar-EG"/>
              </w:rPr>
              <w:t xml:space="preserve"> </w:t>
            </w:r>
            <w:r w:rsidRPr="00CE1677">
              <w:rPr>
                <w:rFonts w:ascii="Arabic Typesetting" w:eastAsia="Arabic Typesetting" w:hAnsi="Arabic Typesetting" w:cs="Arabic Typesetting"/>
                <w:sz w:val="28"/>
                <w:szCs w:val="28"/>
                <w:rtl/>
                <w:lang w:eastAsia="ar-EG" w:bidi="ar-EG"/>
              </w:rPr>
              <w:t>لهاريانا وتشاتيسجاره ومهاراشترا وكارناتاكا وتاميل نادو وأندرا براديش وغوجارات كي تتمكن من القيام بما</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 xml:space="preserve">يلي: </w:t>
            </w:r>
          </w:p>
          <w:p w14:paraId="4B1A6711" w14:textId="77777777" w:rsidR="00BD3831" w:rsidRPr="00CE1677" w:rsidRDefault="00BD3831" w:rsidP="0031289D">
            <w:pPr>
              <w:numPr>
                <w:ilvl w:val="0"/>
                <w:numId w:val="47"/>
              </w:num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تحويل الكتب الدراسية القائمة إلى نسق </w:t>
            </w:r>
            <w:r w:rsidRPr="00CE1677">
              <w:rPr>
                <w:rFonts w:ascii="Arabic Typesetting" w:eastAsia="Arabic Typesetting" w:hAnsi="Arabic Typesetting" w:cs="Arabic Typesetting"/>
                <w:sz w:val="28"/>
                <w:szCs w:val="28"/>
                <w:lang w:eastAsia="ar-EG" w:bidi="ar-EG"/>
              </w:rPr>
              <w:t>EPUB</w:t>
            </w:r>
            <w:r w:rsidRPr="00CE1677">
              <w:rPr>
                <w:rFonts w:ascii="Arabic Typesetting" w:eastAsia="Arabic Typesetting" w:hAnsi="Arabic Typesetting" w:cs="Arabic Typesetting"/>
                <w:sz w:val="28"/>
                <w:szCs w:val="28"/>
                <w:rtl/>
                <w:lang w:eastAsia="ar-EG" w:bidi="ar-EG"/>
              </w:rPr>
              <w:t xml:space="preserve"> الميسَّر باستخدام خط من خطوط يونيكود </w:t>
            </w:r>
            <w:r>
              <w:rPr>
                <w:rFonts w:ascii="Arabic Typesetting" w:eastAsia="Arabic Typesetting" w:hAnsi="Arabic Typesetting" w:cs="Arabic Typesetting" w:hint="cs"/>
                <w:sz w:val="28"/>
                <w:szCs w:val="28"/>
                <w:rtl/>
                <w:lang w:eastAsia="ar-EG" w:bidi="ar-EG"/>
              </w:rPr>
              <w:t>لصفوف</w:t>
            </w:r>
            <w:r w:rsidRPr="00CE1677">
              <w:rPr>
                <w:rFonts w:ascii="Arabic Typesetting" w:eastAsia="Arabic Typesetting" w:hAnsi="Arabic Typesetting" w:cs="Arabic Typesetting"/>
                <w:sz w:val="28"/>
                <w:szCs w:val="28"/>
                <w:rtl/>
                <w:lang w:eastAsia="ar-EG" w:bidi="ar-EG"/>
              </w:rPr>
              <w:t xml:space="preserve"> التعليم</w:t>
            </w:r>
            <w:r>
              <w:rPr>
                <w:rFonts w:ascii="Arabic Typesetting" w:eastAsia="Arabic Typesetting" w:hAnsi="Arabic Typesetting" w:cs="Arabic Typesetting" w:hint="cs"/>
                <w:sz w:val="28"/>
                <w:szCs w:val="28"/>
                <w:rtl/>
                <w:lang w:eastAsia="ar-EG" w:bidi="ar-EG"/>
              </w:rPr>
              <w:t> </w:t>
            </w:r>
            <w:r w:rsidRPr="00CE1677">
              <w:rPr>
                <w:rFonts w:ascii="Arabic Typesetting" w:eastAsia="Arabic Typesetting" w:hAnsi="Arabic Typesetting" w:cs="Arabic Typesetting"/>
                <w:sz w:val="28"/>
                <w:szCs w:val="28"/>
                <w:rtl/>
                <w:lang w:eastAsia="ar-EG" w:bidi="ar-EG"/>
              </w:rPr>
              <w:t>الثانوي؛</w:t>
            </w:r>
          </w:p>
          <w:p w14:paraId="4EF0CED7" w14:textId="77777777" w:rsidR="00BD3831" w:rsidRPr="00CE1677" w:rsidRDefault="00BD3831" w:rsidP="0031289D">
            <w:pPr>
              <w:numPr>
                <w:ilvl w:val="0"/>
                <w:numId w:val="47"/>
              </w:num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وضمان إعداد الكتب المقبلة باستخدام خط من خطوط يونيكود وإتاحة نسخ تلك الكتب بنسق </w:t>
            </w:r>
            <w:r w:rsidRPr="00CE1677">
              <w:rPr>
                <w:rFonts w:ascii="Arabic Typesetting" w:eastAsia="Arabic Typesetting" w:hAnsi="Arabic Typesetting" w:cs="Arabic Typesetting"/>
                <w:sz w:val="28"/>
                <w:szCs w:val="28"/>
                <w:lang w:eastAsia="ar-EG" w:bidi="ar-EG"/>
              </w:rPr>
              <w:t>EPUB</w:t>
            </w:r>
            <w:r w:rsidRPr="00CE1677">
              <w:rPr>
                <w:rFonts w:ascii="Arabic Typesetting" w:eastAsia="Arabic Typesetting" w:hAnsi="Arabic Typesetting" w:cs="Arabic Typesetting"/>
                <w:sz w:val="28"/>
                <w:szCs w:val="28"/>
                <w:rtl/>
                <w:lang w:eastAsia="ar-EG" w:bidi="ar-EG"/>
              </w:rPr>
              <w:t xml:space="preserve"> </w:t>
            </w:r>
            <w:r>
              <w:rPr>
                <w:rFonts w:ascii="Arabic Typesetting" w:eastAsia="Arabic Typesetting" w:hAnsi="Arabic Typesetting" w:cs="Arabic Typesetting" w:hint="cs"/>
                <w:sz w:val="28"/>
                <w:szCs w:val="28"/>
                <w:rtl/>
                <w:lang w:eastAsia="ar-EG" w:bidi="ar-EG"/>
              </w:rPr>
              <w:t>ل</w:t>
            </w:r>
            <w:r>
              <w:rPr>
                <w:rFonts w:ascii="Arabic Typesetting" w:eastAsia="Arabic Typesetting" w:hAnsi="Arabic Typesetting" w:cs="Arabic Typesetting"/>
                <w:sz w:val="28"/>
                <w:szCs w:val="28"/>
                <w:rtl/>
                <w:lang w:eastAsia="ar-EG" w:bidi="ar-EG"/>
              </w:rPr>
              <w:t>ذوي الإعاق</w:t>
            </w:r>
            <w:r>
              <w:rPr>
                <w:rFonts w:ascii="Arabic Typesetting" w:eastAsia="Arabic Typesetting" w:hAnsi="Arabic Typesetting" w:cs="Arabic Typesetting" w:hint="cs"/>
                <w:sz w:val="28"/>
                <w:szCs w:val="28"/>
                <w:rtl/>
                <w:lang w:eastAsia="ar-EG" w:bidi="ar-EG"/>
              </w:rPr>
              <w:t>ة</w:t>
            </w:r>
            <w:r w:rsidRPr="00CE1677">
              <w:rPr>
                <w:rFonts w:ascii="Arabic Typesetting" w:eastAsia="Arabic Typesetting" w:hAnsi="Arabic Typesetting" w:cs="Arabic Typesetting"/>
                <w:sz w:val="28"/>
                <w:szCs w:val="28"/>
                <w:rtl/>
                <w:lang w:eastAsia="ar-EG" w:bidi="ar-EG"/>
              </w:rPr>
              <w:t xml:space="preserve"> في قراءة المطبوعات أو </w:t>
            </w:r>
            <w:r>
              <w:rPr>
                <w:rFonts w:ascii="Arabic Typesetting" w:eastAsia="Arabic Typesetting" w:hAnsi="Arabic Typesetting" w:cs="Arabic Typesetting"/>
                <w:sz w:val="28"/>
                <w:szCs w:val="28"/>
                <w:rtl/>
                <w:lang w:eastAsia="ar-EG" w:bidi="ar-EG"/>
              </w:rPr>
              <w:t>للمنظمات التي تقدم خدمات إليهم</w:t>
            </w:r>
            <w:r>
              <w:rPr>
                <w:rFonts w:ascii="Arabic Typesetting" w:eastAsia="Arabic Typesetting" w:hAnsi="Arabic Typesetting" w:cs="Arabic Typesetting" w:hint="cs"/>
                <w:sz w:val="28"/>
                <w:szCs w:val="28"/>
                <w:rtl/>
                <w:lang w:eastAsia="ar-EG" w:bidi="ar-EG"/>
              </w:rPr>
              <w:t>.</w:t>
            </w:r>
          </w:p>
          <w:p w14:paraId="073BFBE1" w14:textId="77777777" w:rsidR="00BD3831" w:rsidRPr="00CE1677" w:rsidRDefault="00BD3831" w:rsidP="0031289D">
            <w:p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 xml:space="preserve">وفضلاً عن ذلك، يسعى المشروع إلى زيادة توفر الكتب الصادرة بطريقة بريل عن طريق ما يلي: </w:t>
            </w:r>
          </w:p>
          <w:p w14:paraId="233A9E30" w14:textId="77777777" w:rsidR="00BD3831" w:rsidRPr="00CE1677" w:rsidRDefault="00BD3831" w:rsidP="0031289D">
            <w:pPr>
              <w:numPr>
                <w:ilvl w:val="0"/>
                <w:numId w:val="47"/>
              </w:numPr>
              <w:bidi/>
              <w:spacing w:after="120" w:line="280" w:lineRule="exact"/>
              <w:rPr>
                <w:rFonts w:ascii="Arabic Typesetting" w:eastAsia="Arabic Typesetting" w:hAnsi="Arabic Typesetting" w:cs="Arabic Typesetting"/>
                <w:sz w:val="28"/>
                <w:szCs w:val="28"/>
                <w:lang w:eastAsia="ar-EG" w:bidi="ar-EG"/>
              </w:rPr>
            </w:pPr>
            <w:r w:rsidRPr="00CE1677">
              <w:rPr>
                <w:rFonts w:ascii="Arabic Typesetting" w:eastAsia="Arabic Typesetting" w:hAnsi="Arabic Typesetting" w:cs="Arabic Typesetting"/>
                <w:sz w:val="28"/>
                <w:szCs w:val="28"/>
                <w:rtl/>
                <w:lang w:eastAsia="ar-EG" w:bidi="ar-EG"/>
              </w:rPr>
              <w:t>توفير تدريب لدور الطباعة بطريقة بريل على إنتاج نسخ ورقية بطريقة بريل من ا</w:t>
            </w:r>
            <w:r>
              <w:rPr>
                <w:rFonts w:ascii="Arabic Typesetting" w:eastAsia="Arabic Typesetting" w:hAnsi="Arabic Typesetting" w:cs="Arabic Typesetting"/>
                <w:sz w:val="28"/>
                <w:szCs w:val="28"/>
                <w:rtl/>
                <w:lang w:eastAsia="ar-EG" w:bidi="ar-EG"/>
              </w:rPr>
              <w:t>لملفات الرقمية الشبكية القائمة؛</w:t>
            </w:r>
          </w:p>
          <w:p w14:paraId="1AD35ACD" w14:textId="77777777" w:rsidR="00BD3831" w:rsidRPr="00CE1677" w:rsidRDefault="00BD3831" w:rsidP="0031289D">
            <w:pPr>
              <w:numPr>
                <w:ilvl w:val="0"/>
                <w:numId w:val="47"/>
              </w:numPr>
              <w:bidi/>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sz w:val="28"/>
                <w:szCs w:val="28"/>
                <w:rtl/>
                <w:lang w:eastAsia="ar-EG" w:bidi="ar-EG"/>
              </w:rPr>
              <w:t>وإعداد دليل تدريب يصف تدفق العمل الخاص بإنتاج نسخة ورقية بطريقة بريل من الموارد الإلكترونية الشبكية القائمة.</w:t>
            </w:r>
          </w:p>
        </w:tc>
      </w:tr>
    </w:tbl>
    <w:p w14:paraId="2CEED16C" w14:textId="212627CF" w:rsidR="00BD3831" w:rsidRPr="001844D3" w:rsidRDefault="00BD3831" w:rsidP="00D3741B">
      <w:pPr>
        <w:keepNext/>
        <w:bidi/>
        <w:spacing w:before="240" w:after="240" w:line="280" w:lineRule="exact"/>
        <w:rPr>
          <w:rFonts w:ascii="Arabic Typesetting" w:eastAsia="Arabic Typesetting" w:hAnsi="Arabic Typesetting" w:cs="Arabic Typesetting"/>
          <w:b/>
          <w:bCs/>
          <w:sz w:val="32"/>
          <w:szCs w:val="32"/>
          <w:lang w:eastAsia="ar-EG" w:bidi="ar-EG"/>
        </w:rPr>
      </w:pPr>
      <w:r w:rsidRPr="001844D3">
        <w:rPr>
          <w:rFonts w:ascii="Arabic Typesetting" w:eastAsia="Arabic Typesetting" w:hAnsi="Arabic Typesetting" w:cs="Arabic Typesetting"/>
          <w:b/>
          <w:bCs/>
          <w:sz w:val="32"/>
          <w:szCs w:val="32"/>
          <w:rtl/>
          <w:lang w:eastAsia="ar-EG" w:bidi="ar-EG"/>
        </w:rPr>
        <w:lastRenderedPageBreak/>
        <w:t>صندوق الأمم المتحدة للشراكات الدولية – القض</w:t>
      </w:r>
      <w:r>
        <w:rPr>
          <w:rFonts w:ascii="Arabic Typesetting" w:eastAsia="Arabic Typesetting" w:hAnsi="Arabic Typesetting" w:cs="Arabic Typesetting"/>
          <w:b/>
          <w:bCs/>
          <w:sz w:val="32"/>
          <w:szCs w:val="32"/>
          <w:rtl/>
          <w:lang w:eastAsia="ar-EG" w:bidi="ar-EG"/>
        </w:rPr>
        <w:t>اء على مجاعة الكتب لذوي الإعاق</w:t>
      </w:r>
      <w:r>
        <w:rPr>
          <w:rFonts w:ascii="Arabic Typesetting" w:eastAsia="Arabic Typesetting" w:hAnsi="Arabic Typesetting" w:cs="Arabic Typesetting" w:hint="cs"/>
          <w:b/>
          <w:bCs/>
          <w:sz w:val="32"/>
          <w:szCs w:val="32"/>
          <w:rtl/>
          <w:lang w:eastAsia="ar-EG" w:bidi="ar-EG"/>
        </w:rPr>
        <w:t>ة</w:t>
      </w:r>
      <w:r w:rsidRPr="001844D3">
        <w:rPr>
          <w:rFonts w:ascii="Arabic Typesetting" w:eastAsia="Arabic Typesetting" w:hAnsi="Arabic Typesetting" w:cs="Arabic Typesetting"/>
          <w:b/>
          <w:bCs/>
          <w:sz w:val="32"/>
          <w:szCs w:val="32"/>
          <w:rtl/>
          <w:lang w:eastAsia="ar-EG" w:bidi="ar-EG"/>
        </w:rPr>
        <w:t xml:space="preserve"> - </w:t>
      </w:r>
      <w:r>
        <w:rPr>
          <w:rFonts w:ascii="Arabic Typesetting" w:eastAsia="Arabic Typesetting" w:hAnsi="Arabic Typesetting" w:cs="Arabic Typesetting"/>
          <w:b/>
          <w:bCs/>
          <w:sz w:val="32"/>
          <w:szCs w:val="32"/>
          <w:rtl/>
          <w:lang w:eastAsia="ar-EG" w:bidi="ar-EG"/>
        </w:rPr>
        <w:br/>
      </w:r>
      <w:r w:rsidRPr="001844D3">
        <w:rPr>
          <w:rFonts w:ascii="Arabic Typesetting" w:eastAsia="Arabic Typesetting" w:hAnsi="Arabic Typesetting" w:cs="Arabic Typesetting"/>
          <w:b/>
          <w:bCs/>
          <w:sz w:val="32"/>
          <w:szCs w:val="32"/>
          <w:rtl/>
          <w:lang w:eastAsia="ar-EG" w:bidi="ar-EG"/>
        </w:rPr>
        <w:t>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226A9EBB" w14:textId="77777777" w:rsidTr="00DF6715">
        <w:trPr>
          <w:trHeight w:val="544"/>
        </w:trPr>
        <w:tc>
          <w:tcPr>
            <w:tcW w:w="1000" w:type="pct"/>
            <w:tcBorders>
              <w:top w:val="nil"/>
              <w:left w:val="nil"/>
              <w:bottom w:val="nil"/>
              <w:right w:val="nil"/>
            </w:tcBorders>
            <w:shd w:val="clear" w:color="000000" w:fill="C5D9F1"/>
            <w:vAlign w:val="center"/>
            <w:hideMark/>
          </w:tcPr>
          <w:p w14:paraId="60E4ED28"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496AF7F7"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27B78FCE"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481499D8"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595EBC4C"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32F8608C" w14:textId="77777777" w:rsidTr="00DF6715">
        <w:trPr>
          <w:trHeight w:val="356"/>
        </w:trPr>
        <w:tc>
          <w:tcPr>
            <w:tcW w:w="1000" w:type="pct"/>
            <w:tcBorders>
              <w:top w:val="nil"/>
              <w:left w:val="nil"/>
              <w:bottom w:val="nil"/>
              <w:right w:val="nil"/>
            </w:tcBorders>
            <w:shd w:val="clear" w:color="auto" w:fill="auto"/>
            <w:noWrap/>
            <w:vAlign w:val="bottom"/>
            <w:hideMark/>
          </w:tcPr>
          <w:p w14:paraId="6F582DB8"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24DED81E"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49</w:t>
            </w:r>
            <w:r>
              <w:rPr>
                <w:rFonts w:ascii="Arabic Typesetting" w:hAnsi="Arabic Typesetting" w:cs="Arabic Typesetting"/>
                <w:color w:val="000000"/>
                <w:sz w:val="28"/>
                <w:szCs w:val="28"/>
              </w:rPr>
              <w:t> </w:t>
            </w:r>
            <w:r w:rsidRPr="00EE50A1">
              <w:rPr>
                <w:rFonts w:ascii="Arabic Typesetting" w:hAnsi="Arabic Typesetting" w:cs="Arabic Typesetting"/>
                <w:color w:val="000000"/>
                <w:sz w:val="28"/>
                <w:szCs w:val="28"/>
              </w:rPr>
              <w:t>200</w:t>
            </w:r>
          </w:p>
        </w:tc>
        <w:tc>
          <w:tcPr>
            <w:tcW w:w="1000" w:type="pct"/>
            <w:tcBorders>
              <w:top w:val="nil"/>
              <w:left w:val="nil"/>
              <w:bottom w:val="nil"/>
              <w:right w:val="nil"/>
            </w:tcBorders>
            <w:shd w:val="clear" w:color="auto" w:fill="auto"/>
            <w:noWrap/>
            <w:vAlign w:val="bottom"/>
            <w:hideMark/>
          </w:tcPr>
          <w:p w14:paraId="1415BC83"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4</w:t>
            </w:r>
            <w:r>
              <w:rPr>
                <w:rFonts w:ascii="Arabic Typesetting" w:hAnsi="Arabic Typesetting" w:cs="Arabic Typesetting"/>
                <w:color w:val="000000"/>
                <w:sz w:val="28"/>
                <w:szCs w:val="28"/>
              </w:rPr>
              <w:t> </w:t>
            </w:r>
            <w:r w:rsidRPr="00EE50A1">
              <w:rPr>
                <w:rFonts w:ascii="Arabic Typesetting" w:hAnsi="Arabic Typesetting" w:cs="Arabic Typesetting"/>
                <w:color w:val="000000"/>
                <w:sz w:val="28"/>
                <w:szCs w:val="28"/>
              </w:rPr>
              <w:t>016</w:t>
            </w:r>
          </w:p>
        </w:tc>
        <w:tc>
          <w:tcPr>
            <w:tcW w:w="1000" w:type="pct"/>
            <w:tcBorders>
              <w:top w:val="nil"/>
              <w:left w:val="nil"/>
              <w:bottom w:val="nil"/>
              <w:right w:val="nil"/>
            </w:tcBorders>
            <w:shd w:val="clear" w:color="auto" w:fill="auto"/>
            <w:noWrap/>
            <w:vAlign w:val="bottom"/>
            <w:hideMark/>
          </w:tcPr>
          <w:p w14:paraId="20ED9741"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55D04BCA"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45</w:t>
            </w:r>
            <w:r>
              <w:rPr>
                <w:rFonts w:ascii="Arabic Typesetting" w:hAnsi="Arabic Typesetting" w:cs="Arabic Typesetting"/>
                <w:color w:val="000000"/>
                <w:sz w:val="28"/>
                <w:szCs w:val="28"/>
              </w:rPr>
              <w:t> </w:t>
            </w:r>
            <w:r w:rsidRPr="00EE50A1">
              <w:rPr>
                <w:rFonts w:ascii="Arabic Typesetting" w:hAnsi="Arabic Typesetting" w:cs="Arabic Typesetting"/>
                <w:color w:val="000000"/>
                <w:sz w:val="28"/>
                <w:szCs w:val="28"/>
              </w:rPr>
              <w:t>184</w:t>
            </w:r>
          </w:p>
        </w:tc>
      </w:tr>
    </w:tbl>
    <w:p w14:paraId="7D9C9E5E" w14:textId="77777777" w:rsidR="00BD3831" w:rsidRPr="00EE50A1"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EE50A1">
        <w:rPr>
          <w:rFonts w:ascii="Arabic Typesetting" w:eastAsia="Arabic Typesetting" w:hAnsi="Arabic Typesetting" w:cs="Arabic Typesetting" w:hint="cs"/>
          <w:b/>
          <w:bCs/>
          <w:sz w:val="32"/>
          <w:szCs w:val="32"/>
          <w:rtl/>
          <w:lang w:eastAsia="ar-EG" w:bidi="ar-EG"/>
        </w:rPr>
        <w:t>أوروغواي</w:t>
      </w:r>
    </w:p>
    <w:tbl>
      <w:tblPr>
        <w:bidiVisual/>
        <w:tblW w:w="5000" w:type="pct"/>
        <w:tblLook w:val="0000" w:firstRow="0" w:lastRow="0" w:firstColumn="0" w:lastColumn="0" w:noHBand="0" w:noVBand="0"/>
      </w:tblPr>
      <w:tblGrid>
        <w:gridCol w:w="2029"/>
        <w:gridCol w:w="1311"/>
        <w:gridCol w:w="2339"/>
        <w:gridCol w:w="3892"/>
      </w:tblGrid>
      <w:tr w:rsidR="00BD3831" w:rsidRPr="00CE1677" w14:paraId="19DC5100" w14:textId="77777777" w:rsidTr="00DF6715">
        <w:trPr>
          <w:cantSplit/>
        </w:trPr>
        <w:tc>
          <w:tcPr>
            <w:tcW w:w="5000" w:type="pct"/>
            <w:gridSpan w:val="4"/>
            <w:shd w:val="clear" w:color="auto" w:fill="C6D9F1"/>
            <w:vAlign w:val="center"/>
          </w:tcPr>
          <w:p w14:paraId="7C746F3C" w14:textId="0EF96FA2"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color w:val="000000"/>
                <w:sz w:val="28"/>
                <w:szCs w:val="28"/>
                <w:rtl/>
                <w:lang w:eastAsia="ar-EG" w:bidi="ar-EG"/>
              </w:rPr>
              <w:t xml:space="preserve">ه4.4 </w:t>
            </w:r>
            <w:r w:rsidR="007B1E0A">
              <w:rPr>
                <w:rFonts w:ascii="Arabic Typesetting" w:eastAsia="Arabic Typesetting" w:hAnsi="Arabic Typesetting" w:cs="Arabic Typesetting"/>
                <w:color w:val="000000"/>
                <w:sz w:val="28"/>
                <w:szCs w:val="28"/>
                <w:rtl/>
                <w:lang w:eastAsia="ar-EG" w:bidi="ar-EG"/>
              </w:rPr>
              <w:t>بنية تحتية تقنية ومعرفية معزّزة لمكاتب الملكية الفكرية وسائر مؤسسات الملكية الفكرية بما يؤدي إلى خدمات أفضل (بتكلفة أقل وسرعة أعلى وجودة أحسن) لأصحاب المصلحة الذين يتعاملون معها ونتائج أحسن لإدارة الملكية الفكرية</w:t>
            </w:r>
          </w:p>
        </w:tc>
      </w:tr>
      <w:tr w:rsidR="00BD3831" w:rsidRPr="00CE1677" w14:paraId="2E6FC960" w14:textId="77777777" w:rsidTr="00DF6715">
        <w:trPr>
          <w:cantSplit/>
        </w:trPr>
        <w:tc>
          <w:tcPr>
            <w:tcW w:w="1060" w:type="pct"/>
          </w:tcPr>
          <w:p w14:paraId="341C3EB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النشاط</w:t>
            </w:r>
          </w:p>
        </w:tc>
        <w:tc>
          <w:tcPr>
            <w:tcW w:w="685" w:type="pct"/>
            <w:shd w:val="clear" w:color="auto" w:fill="auto"/>
            <w:tcMar>
              <w:top w:w="110" w:type="dxa"/>
            </w:tcMar>
          </w:tcPr>
          <w:p w14:paraId="3AA005B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التاريخ</w:t>
            </w:r>
          </w:p>
        </w:tc>
        <w:tc>
          <w:tcPr>
            <w:tcW w:w="1222" w:type="pct"/>
            <w:shd w:val="clear" w:color="auto" w:fill="auto"/>
            <w:tcMar>
              <w:top w:w="110" w:type="dxa"/>
            </w:tcMar>
          </w:tcPr>
          <w:p w14:paraId="28093A7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2033" w:type="pct"/>
            <w:shd w:val="clear" w:color="auto" w:fill="FFFFFF"/>
            <w:tcMar>
              <w:top w:w="110" w:type="dxa"/>
            </w:tcMar>
          </w:tcPr>
          <w:p w14:paraId="0515BFE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الغرض/الوصف</w:t>
            </w:r>
          </w:p>
        </w:tc>
      </w:tr>
      <w:tr w:rsidR="00BD3831" w:rsidRPr="00CE1677" w14:paraId="54BF5050" w14:textId="77777777" w:rsidTr="00DF6715">
        <w:tblPrEx>
          <w:tblLook w:val="04A0" w:firstRow="1" w:lastRow="0" w:firstColumn="1" w:lastColumn="0" w:noHBand="0" w:noVBand="1"/>
        </w:tblPrEx>
        <w:trPr>
          <w:cantSplit/>
          <w:trHeight w:val="473"/>
        </w:trPr>
        <w:tc>
          <w:tcPr>
            <w:tcW w:w="1060" w:type="pct"/>
          </w:tcPr>
          <w:p w14:paraId="118D3428"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تجديد قاعدة بيانا</w:t>
            </w:r>
            <w:r>
              <w:rPr>
                <w:rFonts w:ascii="Arabic Typesetting" w:eastAsia="Arabic Typesetting" w:hAnsi="Arabic Typesetting" w:cs="Arabic Typesetting"/>
                <w:color w:val="000000"/>
                <w:sz w:val="28"/>
                <w:szCs w:val="28"/>
                <w:rtl/>
                <w:lang w:eastAsia="ar-EG" w:bidi="ar-EG"/>
              </w:rPr>
              <w:t>ت تومسون-رويترز للملكية الفكرية</w:t>
            </w:r>
          </w:p>
        </w:tc>
        <w:tc>
          <w:tcPr>
            <w:tcW w:w="685" w:type="pct"/>
          </w:tcPr>
          <w:p w14:paraId="7116928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يناير إلى ديسمبر 2016 (جارٍ منذ 2013)</w:t>
            </w:r>
          </w:p>
        </w:tc>
        <w:tc>
          <w:tcPr>
            <w:tcW w:w="1222" w:type="pct"/>
          </w:tcPr>
          <w:p w14:paraId="0A01625A" w14:textId="77777777" w:rsidR="00BD3831" w:rsidRPr="00CE1677" w:rsidDel="00E54910"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جميع بلدان أمريكا اللاتينية</w:t>
            </w:r>
          </w:p>
        </w:tc>
        <w:tc>
          <w:tcPr>
            <w:tcW w:w="2033" w:type="pct"/>
          </w:tcPr>
          <w:p w14:paraId="7226C77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زيادة نطاق التغطية ونوعية المعلومات الواردة في قواعد بيانات المديرية الوطنية للملكية الصناعية لزيادة دعم مسارات فحص</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البراءات</w:t>
            </w:r>
          </w:p>
        </w:tc>
      </w:tr>
      <w:tr w:rsidR="00BD3831" w:rsidRPr="00CE1677" w14:paraId="2D132FB9" w14:textId="77777777" w:rsidTr="00DF6715">
        <w:tblPrEx>
          <w:tblLook w:val="04A0" w:firstRow="1" w:lastRow="0" w:firstColumn="1" w:lastColumn="0" w:noHBand="0" w:noVBand="1"/>
        </w:tblPrEx>
        <w:trPr>
          <w:cantSplit/>
          <w:trHeight w:val="473"/>
        </w:trPr>
        <w:tc>
          <w:tcPr>
            <w:tcW w:w="1060" w:type="pct"/>
          </w:tcPr>
          <w:p w14:paraId="4A78E18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تعيين متعاقد فردي (استشاري) للمساعدة في تحديث أنظمة تكنولوجيا المعلومات في مكتب الملكية</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الفكرية</w:t>
            </w:r>
          </w:p>
        </w:tc>
        <w:tc>
          <w:tcPr>
            <w:tcW w:w="685" w:type="pct"/>
          </w:tcPr>
          <w:p w14:paraId="1A7006E7"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مايو 2016 إلى 31 ديسمبر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222" w:type="pct"/>
          </w:tcPr>
          <w:p w14:paraId="56C59B1E"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مسؤول المديرية الوطنية للملكية الفكرية</w:t>
            </w:r>
          </w:p>
        </w:tc>
        <w:tc>
          <w:tcPr>
            <w:tcW w:w="2033" w:type="pct"/>
          </w:tcPr>
          <w:p w14:paraId="75DCA782"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تعزيز الأنظمة المعلوماتية للمديرية الوطنية للملكية الصناعية (</w:t>
            </w:r>
            <w:r w:rsidRPr="00CE1677">
              <w:rPr>
                <w:rFonts w:ascii="Arabic Typesetting" w:eastAsia="Arabic Typesetting" w:hAnsi="Arabic Typesetting" w:cs="Arabic Typesetting"/>
                <w:color w:val="000000"/>
                <w:sz w:val="28"/>
                <w:szCs w:val="28"/>
                <w:lang w:eastAsia="ar-EG" w:bidi="ar-EG"/>
              </w:rPr>
              <w:t>DNPI</w:t>
            </w:r>
            <w:r>
              <w:rPr>
                <w:rFonts w:ascii="Arabic Typesetting" w:eastAsia="Arabic Typesetting" w:hAnsi="Arabic Typesetting" w:cs="Arabic Typesetting"/>
                <w:color w:val="000000"/>
                <w:sz w:val="28"/>
                <w:szCs w:val="28"/>
                <w:rtl/>
                <w:lang w:eastAsia="ar-EG" w:bidi="ar-EG"/>
              </w:rPr>
              <w:t>) بما في ذلك</w:t>
            </w:r>
            <w:r w:rsidRPr="00CE1677">
              <w:rPr>
                <w:rFonts w:ascii="Arabic Typesetting" w:eastAsia="Arabic Typesetting" w:hAnsi="Arabic Typesetting" w:cs="Arabic Typesetting"/>
                <w:color w:val="000000"/>
                <w:sz w:val="28"/>
                <w:szCs w:val="28"/>
                <w:rtl/>
                <w:lang w:eastAsia="ar-EG" w:bidi="ar-EG"/>
              </w:rPr>
              <w:t xml:space="preserve"> "1" موقع متاح للجمهور يؤدي إلى قواعد بيانات البراءات والعلامات التجارية؛ "2" وتصميم وتركيب أنظمة تكنولوجيا المعلومات؛ "3" وتطوير واجهات لنشر المعلومات؛ "4" وتطوير وإطلاق منصات شبكية لإيداع البراءات والعلامات التجارية</w:t>
            </w:r>
          </w:p>
        </w:tc>
      </w:tr>
    </w:tbl>
    <w:p w14:paraId="541A8BAC" w14:textId="77777777" w:rsidR="00BD3831" w:rsidRPr="00EE50A1"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EE50A1">
        <w:rPr>
          <w:rFonts w:ascii="Arabic Typesetting" w:eastAsia="Arabic Typesetting" w:hAnsi="Arabic Typesetting" w:cs="Arabic Typesetting"/>
          <w:b/>
          <w:bCs/>
          <w:sz w:val="32"/>
          <w:szCs w:val="32"/>
          <w:rtl/>
          <w:lang w:eastAsia="ar-EG" w:bidi="ar-EG"/>
        </w:rPr>
        <w:t>أوروغواي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210AC90D" w14:textId="77777777" w:rsidTr="00DF6715">
        <w:trPr>
          <w:trHeight w:val="544"/>
        </w:trPr>
        <w:tc>
          <w:tcPr>
            <w:tcW w:w="1000" w:type="pct"/>
            <w:tcBorders>
              <w:top w:val="nil"/>
              <w:left w:val="nil"/>
              <w:bottom w:val="nil"/>
              <w:right w:val="nil"/>
            </w:tcBorders>
            <w:shd w:val="clear" w:color="000000" w:fill="C5D9F1"/>
            <w:vAlign w:val="center"/>
            <w:hideMark/>
          </w:tcPr>
          <w:p w14:paraId="196D198E"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097A2EC9"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2F619276"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4D3C909C"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27847F0C" w14:textId="77777777" w:rsidR="00BD3831" w:rsidRPr="00CE1677" w:rsidRDefault="00BD3831" w:rsidP="0031289D">
            <w:pPr>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3B3C71D9" w14:textId="77777777" w:rsidTr="00DF6715">
        <w:trPr>
          <w:trHeight w:val="356"/>
        </w:trPr>
        <w:tc>
          <w:tcPr>
            <w:tcW w:w="1000" w:type="pct"/>
            <w:tcBorders>
              <w:top w:val="nil"/>
              <w:left w:val="nil"/>
              <w:bottom w:val="nil"/>
              <w:right w:val="nil"/>
            </w:tcBorders>
            <w:shd w:val="clear" w:color="auto" w:fill="auto"/>
            <w:noWrap/>
            <w:vAlign w:val="bottom"/>
            <w:hideMark/>
          </w:tcPr>
          <w:p w14:paraId="35CFBB75"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148</w:t>
            </w:r>
            <w:r>
              <w:rPr>
                <w:rFonts w:ascii="Arabic Typesetting" w:hAnsi="Arabic Typesetting" w:cs="Arabic Typesetting"/>
                <w:color w:val="000000"/>
                <w:sz w:val="28"/>
                <w:szCs w:val="28"/>
              </w:rPr>
              <w:t> </w:t>
            </w:r>
            <w:r w:rsidRPr="00EE50A1">
              <w:rPr>
                <w:rFonts w:ascii="Arabic Typesetting" w:hAnsi="Arabic Typesetting" w:cs="Arabic Typesetting"/>
                <w:color w:val="000000"/>
                <w:sz w:val="28"/>
                <w:szCs w:val="28"/>
              </w:rPr>
              <w:t>624</w:t>
            </w:r>
          </w:p>
        </w:tc>
        <w:tc>
          <w:tcPr>
            <w:tcW w:w="1000" w:type="pct"/>
            <w:tcBorders>
              <w:top w:val="nil"/>
              <w:left w:val="nil"/>
              <w:bottom w:val="nil"/>
              <w:right w:val="nil"/>
            </w:tcBorders>
            <w:shd w:val="clear" w:color="auto" w:fill="auto"/>
            <w:noWrap/>
            <w:vAlign w:val="bottom"/>
            <w:hideMark/>
          </w:tcPr>
          <w:p w14:paraId="7D575922"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(119)</w:t>
            </w:r>
          </w:p>
        </w:tc>
        <w:tc>
          <w:tcPr>
            <w:tcW w:w="1000" w:type="pct"/>
            <w:tcBorders>
              <w:top w:val="nil"/>
              <w:left w:val="nil"/>
              <w:bottom w:val="nil"/>
              <w:right w:val="nil"/>
            </w:tcBorders>
            <w:shd w:val="clear" w:color="auto" w:fill="auto"/>
            <w:noWrap/>
            <w:vAlign w:val="bottom"/>
            <w:hideMark/>
          </w:tcPr>
          <w:p w14:paraId="1B036131"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20</w:t>
            </w:r>
            <w:r>
              <w:rPr>
                <w:rFonts w:ascii="Arabic Typesetting" w:hAnsi="Arabic Typesetting" w:cs="Arabic Typesetting"/>
                <w:color w:val="000000"/>
                <w:sz w:val="28"/>
                <w:szCs w:val="28"/>
              </w:rPr>
              <w:t> </w:t>
            </w:r>
            <w:r w:rsidRPr="00EE50A1">
              <w:rPr>
                <w:rFonts w:ascii="Arabic Typesetting" w:hAnsi="Arabic Typesetting" w:cs="Arabic Typesetting"/>
                <w:color w:val="000000"/>
                <w:sz w:val="28"/>
                <w:szCs w:val="28"/>
              </w:rPr>
              <w:t>555</w:t>
            </w:r>
          </w:p>
        </w:tc>
        <w:tc>
          <w:tcPr>
            <w:tcW w:w="1000" w:type="pct"/>
            <w:tcBorders>
              <w:top w:val="nil"/>
              <w:left w:val="nil"/>
              <w:bottom w:val="nil"/>
              <w:right w:val="nil"/>
            </w:tcBorders>
            <w:shd w:val="clear" w:color="auto" w:fill="auto"/>
            <w:noWrap/>
            <w:vAlign w:val="bottom"/>
            <w:hideMark/>
          </w:tcPr>
          <w:p w14:paraId="6BB467BE"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02FCE727"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127</w:t>
            </w:r>
            <w:r>
              <w:rPr>
                <w:rFonts w:ascii="Arabic Typesetting" w:hAnsi="Arabic Typesetting" w:cs="Arabic Typesetting"/>
                <w:color w:val="000000"/>
                <w:sz w:val="28"/>
                <w:szCs w:val="28"/>
              </w:rPr>
              <w:t> </w:t>
            </w:r>
            <w:r w:rsidRPr="00EE50A1">
              <w:rPr>
                <w:rFonts w:ascii="Arabic Typesetting" w:hAnsi="Arabic Typesetting" w:cs="Arabic Typesetting"/>
                <w:color w:val="000000"/>
                <w:sz w:val="28"/>
                <w:szCs w:val="28"/>
              </w:rPr>
              <w:t>950</w:t>
            </w:r>
          </w:p>
        </w:tc>
      </w:tr>
    </w:tbl>
    <w:p w14:paraId="18E871E5" w14:textId="77777777" w:rsidR="00BD3831" w:rsidRPr="00EE50A1"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EE50A1">
        <w:rPr>
          <w:rFonts w:ascii="Arabic Typesetting" w:eastAsia="Arabic Typesetting" w:hAnsi="Arabic Typesetting" w:cs="Arabic Typesetting"/>
          <w:b/>
          <w:bCs/>
          <w:sz w:val="32"/>
          <w:szCs w:val="32"/>
          <w:rtl/>
          <w:lang w:eastAsia="ar-EG" w:bidi="ar-EG"/>
        </w:rPr>
        <w:t>الولايات المتحدة الأمريكية/الصناعات الإبداعية</w:t>
      </w:r>
    </w:p>
    <w:tbl>
      <w:tblPr>
        <w:bidiVisual/>
        <w:tblW w:w="5000" w:type="pct"/>
        <w:tblLook w:val="0000" w:firstRow="0" w:lastRow="0" w:firstColumn="0" w:lastColumn="0" w:noHBand="0" w:noVBand="0"/>
      </w:tblPr>
      <w:tblGrid>
        <w:gridCol w:w="2240"/>
        <w:gridCol w:w="1346"/>
        <w:gridCol w:w="2243"/>
        <w:gridCol w:w="3742"/>
      </w:tblGrid>
      <w:tr w:rsidR="00BD3831" w:rsidRPr="00CE1677" w14:paraId="7169E024" w14:textId="77777777" w:rsidTr="00DF6715">
        <w:trPr>
          <w:cantSplit/>
        </w:trPr>
        <w:tc>
          <w:tcPr>
            <w:tcW w:w="5000" w:type="pct"/>
            <w:gridSpan w:val="4"/>
            <w:shd w:val="clear" w:color="auto" w:fill="C6D9F1"/>
            <w:vAlign w:val="center"/>
          </w:tcPr>
          <w:p w14:paraId="2866236D" w14:textId="77777777" w:rsidR="00BD3831" w:rsidRPr="00CE1677" w:rsidRDefault="00BD3831" w:rsidP="0031289D">
            <w:pPr>
              <w:keepNext/>
              <w:keepLines/>
              <w:bidi/>
              <w:spacing w:after="120" w:line="280" w:lineRule="exact"/>
              <w:ind w:left="851" w:hanging="851"/>
              <w:rPr>
                <w:rFonts w:ascii="Arabic Typesetting" w:eastAsia="Arabic Typesetting" w:hAnsi="Arabic Typesetting" w:cs="Arabic Typesetting"/>
                <w:b/>
                <w:bCs/>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النتيجة:</w:t>
            </w:r>
            <w:r w:rsidRPr="00CE1677">
              <w:rPr>
                <w:rFonts w:ascii="Arabic Typesetting" w:eastAsia="Arabic Typesetting" w:hAnsi="Arabic Typesetting" w:cs="Arabic Typesetting"/>
                <w:sz w:val="28"/>
                <w:szCs w:val="28"/>
                <w:lang w:eastAsia="ar-EG" w:bidi="ar-EG"/>
              </w:rPr>
              <w:tab/>
            </w:r>
            <w:r w:rsidRPr="00CE1677">
              <w:rPr>
                <w:rFonts w:ascii="Arabic Typesetting" w:eastAsia="Arabic Typesetting" w:hAnsi="Arabic Typesetting" w:cs="Arabic Typesetting"/>
                <w:color w:val="000000"/>
                <w:sz w:val="28"/>
                <w:szCs w:val="28"/>
                <w:rtl/>
                <w:lang w:eastAsia="ar-EG" w:bidi="ar-EG"/>
              </w:rPr>
              <w:t>ه2.3 كفاءات</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‏معزَّزة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‏للموارد</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‏البشرية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‏القادرة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‏على</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‏تلبية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‏تشكيلة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‏واسعة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‏من المتطلبات</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‏لتسخير</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‏الملكية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‏الفكرية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‏بفعالية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‏لأغراض</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‏التنمية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‏في</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w:t>
            </w:r>
            <w:r w:rsidRPr="00C368FD">
              <w:rPr>
                <w:rFonts w:ascii="Arabic Typesetting" w:eastAsia="Arabic Typesetting" w:hAnsi="Arabic Typesetting" w:cs="Arabic Typesetting"/>
                <w:sz w:val="28"/>
                <w:szCs w:val="28"/>
                <w:rtl/>
                <w:lang w:eastAsia="ar-EG" w:bidi="ar-EG"/>
              </w:rPr>
              <w:t>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‏النامية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‏الأقل</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‏نموا</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‏والبلدان</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‏المنتقلة</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‏إلى</w:t>
            </w:r>
            <w:r w:rsidRPr="00CE1677">
              <w:rPr>
                <w:rFonts w:ascii="Arabic Typesetting" w:eastAsia="Arabic Typesetting" w:hAnsi="Arabic Typesetting" w:cs="Arabic Typesetting"/>
                <w:color w:val="000000"/>
                <w:sz w:val="28"/>
                <w:szCs w:val="28"/>
                <w:cs/>
                <w:lang w:eastAsia="ar-EG" w:bidi="ar-EG"/>
              </w:rPr>
              <w:t>‎</w:t>
            </w:r>
            <w:r w:rsidRPr="00CE1677">
              <w:rPr>
                <w:rFonts w:ascii="Arabic Typesetting" w:eastAsia="Arabic Typesetting" w:hAnsi="Arabic Typesetting" w:cs="Arabic Typesetting"/>
                <w:color w:val="000000"/>
                <w:sz w:val="28"/>
                <w:szCs w:val="28"/>
                <w:rtl/>
                <w:lang w:eastAsia="ar-EG" w:bidi="ar-EG"/>
              </w:rPr>
              <w:t xml:space="preserve"> ‏نظام الاقتصاد الحر</w:t>
            </w:r>
          </w:p>
        </w:tc>
      </w:tr>
      <w:tr w:rsidR="00BD3831" w:rsidRPr="00CE1677" w14:paraId="76D0F6B2" w14:textId="77777777" w:rsidTr="00DF6715">
        <w:trPr>
          <w:cantSplit/>
        </w:trPr>
        <w:tc>
          <w:tcPr>
            <w:tcW w:w="1170" w:type="pct"/>
          </w:tcPr>
          <w:p w14:paraId="05C8B33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النشاط</w:t>
            </w:r>
          </w:p>
        </w:tc>
        <w:tc>
          <w:tcPr>
            <w:tcW w:w="703" w:type="pct"/>
            <w:shd w:val="clear" w:color="auto" w:fill="auto"/>
            <w:tcMar>
              <w:top w:w="110" w:type="dxa"/>
            </w:tcMar>
          </w:tcPr>
          <w:p w14:paraId="7F906C2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التاريخ</w:t>
            </w:r>
          </w:p>
        </w:tc>
        <w:tc>
          <w:tcPr>
            <w:tcW w:w="1172" w:type="pct"/>
            <w:shd w:val="clear" w:color="auto" w:fill="auto"/>
            <w:tcMar>
              <w:top w:w="110" w:type="dxa"/>
            </w:tcMar>
          </w:tcPr>
          <w:p w14:paraId="6291AA7F"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Pr>
                <w:rFonts w:ascii="Arabic Typesetting" w:eastAsia="Arabic Typesetting" w:hAnsi="Arabic Typesetting" w:cs="Arabic Typesetting"/>
                <w:b/>
                <w:bCs/>
                <w:sz w:val="28"/>
                <w:szCs w:val="28"/>
                <w:rtl/>
                <w:lang w:eastAsia="ar-EG" w:bidi="ar-EG"/>
              </w:rPr>
              <w:t>البلد المضيف/الجهات </w:t>
            </w:r>
            <w:r w:rsidRPr="00CE1677">
              <w:rPr>
                <w:rFonts w:ascii="Arabic Typesetting" w:eastAsia="Arabic Typesetting" w:hAnsi="Arabic Typesetting" w:cs="Arabic Typesetting"/>
                <w:b/>
                <w:bCs/>
                <w:sz w:val="28"/>
                <w:szCs w:val="28"/>
                <w:rtl/>
                <w:lang w:eastAsia="ar-EG" w:bidi="ar-EG"/>
              </w:rPr>
              <w:t>المستفيدة</w:t>
            </w:r>
          </w:p>
        </w:tc>
        <w:tc>
          <w:tcPr>
            <w:tcW w:w="1955" w:type="pct"/>
            <w:shd w:val="clear" w:color="auto" w:fill="FFFFFF"/>
            <w:tcMar>
              <w:top w:w="110" w:type="dxa"/>
            </w:tcMar>
          </w:tcPr>
          <w:p w14:paraId="0946A91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b/>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الغرض/الوصف</w:t>
            </w:r>
          </w:p>
        </w:tc>
      </w:tr>
      <w:tr w:rsidR="00BD3831" w:rsidRPr="00CE1677" w14:paraId="16A5865E" w14:textId="77777777" w:rsidTr="00DF6715">
        <w:tblPrEx>
          <w:tblLook w:val="04A0" w:firstRow="1" w:lastRow="0" w:firstColumn="1" w:lastColumn="0" w:noHBand="0" w:noVBand="1"/>
        </w:tblPrEx>
        <w:trPr>
          <w:cantSplit/>
          <w:trHeight w:val="473"/>
        </w:trPr>
        <w:tc>
          <w:tcPr>
            <w:tcW w:w="1170" w:type="pct"/>
          </w:tcPr>
          <w:p w14:paraId="4994FEB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حلقة عمل وطنية عن العيش من الموسيقى</w:t>
            </w:r>
          </w:p>
        </w:tc>
        <w:tc>
          <w:tcPr>
            <w:tcW w:w="703" w:type="pct"/>
          </w:tcPr>
          <w:p w14:paraId="73FD0D58" w14:textId="77777777" w:rsidR="00BD3831" w:rsidRPr="00CE1677" w:rsidRDefault="00BD3831" w:rsidP="0031289D">
            <w:pPr>
              <w:autoSpaceDE w:val="0"/>
              <w:autoSpaceDN w:val="0"/>
              <w:bidi/>
              <w:adjustRightInd w:val="0"/>
              <w:spacing w:after="120" w:line="280" w:lineRule="exact"/>
              <w:jc w:val="center"/>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21 إلى 22 نوفمبر 2016</w:t>
            </w:r>
          </w:p>
        </w:tc>
        <w:tc>
          <w:tcPr>
            <w:tcW w:w="1172" w:type="pct"/>
          </w:tcPr>
          <w:p w14:paraId="4DF5D8C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الأرجنتين</w:t>
            </w:r>
          </w:p>
        </w:tc>
        <w:tc>
          <w:tcPr>
            <w:tcW w:w="1955" w:type="pct"/>
          </w:tcPr>
          <w:p w14:paraId="6B898AF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توفير آراء عملية عن إيرادات حق المؤلف للمؤلفين وفناني الأداء مع التركيز على البيئ</w:t>
            </w:r>
            <w:r>
              <w:rPr>
                <w:rFonts w:ascii="Arabic Typesetting" w:eastAsia="Arabic Typesetting" w:hAnsi="Arabic Typesetting" w:cs="Arabic Typesetting"/>
                <w:color w:val="000000"/>
                <w:sz w:val="28"/>
                <w:szCs w:val="28"/>
                <w:rtl/>
                <w:lang w:eastAsia="ar-EG" w:bidi="ar-EG"/>
              </w:rPr>
              <w:t>ة الرقمية وإدارة الحقوق الفردية</w:t>
            </w:r>
          </w:p>
        </w:tc>
      </w:tr>
      <w:tr w:rsidR="00BD3831" w:rsidRPr="00CE1677" w14:paraId="1AE9A299" w14:textId="77777777" w:rsidTr="00DF6715">
        <w:tblPrEx>
          <w:tblLook w:val="04A0" w:firstRow="1" w:lastRow="0" w:firstColumn="1" w:lastColumn="0" w:noHBand="0" w:noVBand="1"/>
        </w:tblPrEx>
        <w:trPr>
          <w:cantSplit/>
          <w:trHeight w:val="473"/>
        </w:trPr>
        <w:tc>
          <w:tcPr>
            <w:tcW w:w="1170" w:type="pct"/>
          </w:tcPr>
          <w:p w14:paraId="67208D3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w:t>
            </w:r>
            <w:r>
              <w:rPr>
                <w:rFonts w:ascii="Arabic Typesetting" w:eastAsia="Arabic Typesetting" w:hAnsi="Arabic Typesetting" w:cs="Arabic Typesetting"/>
                <w:color w:val="000000"/>
                <w:sz w:val="28"/>
                <w:szCs w:val="28"/>
                <w:rtl/>
                <w:lang w:eastAsia="ar-EG" w:bidi="ar-EG"/>
              </w:rPr>
              <w:t>شاورات على إدارة الحقوق الفردية</w:t>
            </w:r>
          </w:p>
        </w:tc>
        <w:tc>
          <w:tcPr>
            <w:tcW w:w="703" w:type="pct"/>
          </w:tcPr>
          <w:p w14:paraId="66D5E18D"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11 نوفمبر 2016</w:t>
            </w:r>
          </w:p>
        </w:tc>
        <w:tc>
          <w:tcPr>
            <w:tcW w:w="1172" w:type="pct"/>
          </w:tcPr>
          <w:p w14:paraId="363ABA0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جميع البلدان</w:t>
            </w:r>
          </w:p>
        </w:tc>
        <w:tc>
          <w:tcPr>
            <w:tcW w:w="1955" w:type="pct"/>
          </w:tcPr>
          <w:p w14:paraId="05FECC2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استعراض الخيارات لأنشطة الويبو الخاصة بإدارة الحقوق الفردية</w:t>
            </w:r>
          </w:p>
        </w:tc>
      </w:tr>
      <w:tr w:rsidR="00BD3831" w:rsidRPr="00CE1677" w14:paraId="2325C6B9" w14:textId="77777777" w:rsidTr="00DF6715">
        <w:tblPrEx>
          <w:tblLook w:val="04A0" w:firstRow="1" w:lastRow="0" w:firstColumn="1" w:lastColumn="0" w:noHBand="0" w:noVBand="1"/>
        </w:tblPrEx>
        <w:trPr>
          <w:cantSplit/>
          <w:trHeight w:val="473"/>
        </w:trPr>
        <w:tc>
          <w:tcPr>
            <w:tcW w:w="1170" w:type="pct"/>
          </w:tcPr>
          <w:p w14:paraId="100F793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دراسة استقصائية دولية بشأن القانون وممارسة الضرائب على النسخ لأغراض شخصية</w:t>
            </w:r>
          </w:p>
        </w:tc>
        <w:tc>
          <w:tcPr>
            <w:tcW w:w="703" w:type="pct"/>
          </w:tcPr>
          <w:p w14:paraId="3CA8E35B"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 سبتمبر إلى 31 ديسمبر 2016</w:t>
            </w:r>
          </w:p>
        </w:tc>
        <w:tc>
          <w:tcPr>
            <w:tcW w:w="1172" w:type="pct"/>
          </w:tcPr>
          <w:p w14:paraId="3626E763"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جميع البلدان</w:t>
            </w:r>
          </w:p>
        </w:tc>
        <w:tc>
          <w:tcPr>
            <w:tcW w:w="1955" w:type="pct"/>
          </w:tcPr>
          <w:p w14:paraId="0D8785D4"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توفير معلومات عن التطورات القانونية والمجموعات وتوزيع المكافآت المنبثقة عن الضرائب على النسخ لأغراض شخصية</w:t>
            </w:r>
          </w:p>
        </w:tc>
      </w:tr>
      <w:tr w:rsidR="00BD3831" w:rsidRPr="00CE1677" w14:paraId="222C5B1E" w14:textId="77777777" w:rsidTr="00DF6715">
        <w:tblPrEx>
          <w:tblLook w:val="04A0" w:firstRow="1" w:lastRow="0" w:firstColumn="1" w:lastColumn="0" w:noHBand="0" w:noVBand="1"/>
        </w:tblPrEx>
        <w:trPr>
          <w:cantSplit/>
          <w:trHeight w:val="473"/>
        </w:trPr>
        <w:tc>
          <w:tcPr>
            <w:tcW w:w="1170" w:type="pct"/>
          </w:tcPr>
          <w:p w14:paraId="7B455D3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دراسة استقصائية دولية بشأن القانون وممارسة الضرائب على النصوص والصور</w:t>
            </w:r>
          </w:p>
        </w:tc>
        <w:tc>
          <w:tcPr>
            <w:tcW w:w="703" w:type="pct"/>
          </w:tcPr>
          <w:p w14:paraId="2F1678DA"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من 1 سبتمبر إلى 31 ديسمبر 2016</w:t>
            </w:r>
            <w:r>
              <w:rPr>
                <w:rFonts w:ascii="Arabic Typesetting" w:eastAsia="Arabic Typesetting" w:hAnsi="Arabic Typesetting" w:cs="Arabic Typesetting"/>
                <w:color w:val="000000"/>
                <w:sz w:val="28"/>
                <w:szCs w:val="28"/>
                <w:rtl/>
                <w:lang w:eastAsia="ar-EG" w:bidi="ar-EG"/>
              </w:rPr>
              <w:br/>
            </w:r>
            <w:r w:rsidRPr="00CE1677">
              <w:rPr>
                <w:rFonts w:ascii="Arabic Typesetting" w:eastAsia="Arabic Typesetting" w:hAnsi="Arabic Typesetting" w:cs="Arabic Typesetting"/>
                <w:color w:val="000000"/>
                <w:sz w:val="28"/>
                <w:szCs w:val="28"/>
                <w:rtl/>
                <w:lang w:eastAsia="ar-EG" w:bidi="ar-EG"/>
              </w:rPr>
              <w:t>(جارٍ)</w:t>
            </w:r>
          </w:p>
        </w:tc>
        <w:tc>
          <w:tcPr>
            <w:tcW w:w="1172" w:type="pct"/>
          </w:tcPr>
          <w:p w14:paraId="0C270390"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جميع البلدان</w:t>
            </w:r>
          </w:p>
        </w:tc>
        <w:tc>
          <w:tcPr>
            <w:tcW w:w="1955" w:type="pct"/>
          </w:tcPr>
          <w:p w14:paraId="4FC05FE9" w14:textId="77777777" w:rsidR="00BD3831" w:rsidRPr="00CE1677" w:rsidRDefault="00BD3831" w:rsidP="0031289D">
            <w:pPr>
              <w:autoSpaceDE w:val="0"/>
              <w:autoSpaceDN w:val="0"/>
              <w:bidi/>
              <w:adjustRightInd w:val="0"/>
              <w:spacing w:after="120" w:line="280" w:lineRule="exact"/>
              <w:rPr>
                <w:rFonts w:ascii="Arabic Typesetting" w:eastAsia="Arabic Typesetting" w:hAnsi="Arabic Typesetting" w:cs="Arabic Typesetting"/>
                <w:color w:val="000000"/>
                <w:sz w:val="28"/>
                <w:szCs w:val="28"/>
                <w:lang w:eastAsia="ar-EG" w:bidi="ar-EG"/>
              </w:rPr>
            </w:pPr>
            <w:r w:rsidRPr="00CE1677">
              <w:rPr>
                <w:rFonts w:ascii="Arabic Typesetting" w:eastAsia="Arabic Typesetting" w:hAnsi="Arabic Typesetting" w:cs="Arabic Typesetting"/>
                <w:color w:val="000000"/>
                <w:sz w:val="28"/>
                <w:szCs w:val="28"/>
                <w:rtl/>
                <w:lang w:eastAsia="ar-EG" w:bidi="ar-EG"/>
              </w:rPr>
              <w:t>توفير معلومات عن التطورات القانونية والمجموعات وتوزيع المكافآت المنبثقة عن الضرائب على النصوص</w:t>
            </w:r>
            <w:r>
              <w:rPr>
                <w:rFonts w:ascii="Arabic Typesetting" w:eastAsia="Arabic Typesetting" w:hAnsi="Arabic Typesetting" w:cs="Arabic Typesetting" w:hint="cs"/>
                <w:color w:val="000000"/>
                <w:sz w:val="28"/>
                <w:szCs w:val="28"/>
                <w:rtl/>
                <w:lang w:eastAsia="ar-EG" w:bidi="ar-EG"/>
              </w:rPr>
              <w:t> </w:t>
            </w:r>
            <w:r w:rsidRPr="00CE1677">
              <w:rPr>
                <w:rFonts w:ascii="Arabic Typesetting" w:eastAsia="Arabic Typesetting" w:hAnsi="Arabic Typesetting" w:cs="Arabic Typesetting"/>
                <w:color w:val="000000"/>
                <w:sz w:val="28"/>
                <w:szCs w:val="28"/>
                <w:rtl/>
                <w:lang w:eastAsia="ar-EG" w:bidi="ar-EG"/>
              </w:rPr>
              <w:t>والصور</w:t>
            </w:r>
          </w:p>
        </w:tc>
      </w:tr>
    </w:tbl>
    <w:p w14:paraId="1AB04FD7" w14:textId="77777777" w:rsidR="00BD3831" w:rsidRPr="00EE50A1" w:rsidRDefault="00BD3831" w:rsidP="0031289D">
      <w:pPr>
        <w:keepNext/>
        <w:bidi/>
        <w:spacing w:before="240" w:after="240" w:line="280" w:lineRule="exact"/>
        <w:rPr>
          <w:rFonts w:ascii="Arabic Typesetting" w:eastAsia="Arabic Typesetting" w:hAnsi="Arabic Typesetting" w:cs="Arabic Typesetting"/>
          <w:b/>
          <w:bCs/>
          <w:sz w:val="32"/>
          <w:szCs w:val="32"/>
          <w:lang w:eastAsia="ar-EG" w:bidi="ar-EG"/>
        </w:rPr>
      </w:pPr>
      <w:r w:rsidRPr="00EE50A1">
        <w:rPr>
          <w:rFonts w:ascii="Arabic Typesetting" w:eastAsia="Arabic Typesetting" w:hAnsi="Arabic Typesetting" w:cs="Arabic Typesetting"/>
          <w:b/>
          <w:bCs/>
          <w:sz w:val="32"/>
          <w:szCs w:val="32"/>
          <w:rtl/>
          <w:lang w:eastAsia="ar-EG" w:bidi="ar-EG"/>
        </w:rPr>
        <w:lastRenderedPageBreak/>
        <w:t>الولايات المتحدة الأمريكية/الصناعات الإبداعية - مساهمات الجهات المانحة والنفقات في عام 2016</w:t>
      </w:r>
    </w:p>
    <w:tbl>
      <w:tblPr>
        <w:bidiVisual/>
        <w:tblW w:w="5000" w:type="pct"/>
        <w:tblCellMar>
          <w:left w:w="0" w:type="dxa"/>
          <w:right w:w="0" w:type="dxa"/>
        </w:tblCellMar>
        <w:tblLook w:val="04A0" w:firstRow="1" w:lastRow="0" w:firstColumn="1" w:lastColumn="0" w:noHBand="0" w:noVBand="1"/>
      </w:tblPr>
      <w:tblGrid>
        <w:gridCol w:w="1871"/>
        <w:gridCol w:w="1871"/>
        <w:gridCol w:w="1871"/>
        <w:gridCol w:w="1871"/>
        <w:gridCol w:w="1871"/>
      </w:tblGrid>
      <w:tr w:rsidR="00BD3831" w:rsidRPr="00CE1677" w14:paraId="444AA894" w14:textId="77777777" w:rsidTr="00DF6715">
        <w:trPr>
          <w:trHeight w:val="544"/>
        </w:trPr>
        <w:tc>
          <w:tcPr>
            <w:tcW w:w="1000" w:type="pct"/>
            <w:tcBorders>
              <w:top w:val="nil"/>
              <w:left w:val="nil"/>
              <w:bottom w:val="nil"/>
              <w:right w:val="nil"/>
            </w:tcBorders>
            <w:shd w:val="clear" w:color="000000" w:fill="C5D9F1"/>
            <w:vAlign w:val="center"/>
            <w:hideMark/>
          </w:tcPr>
          <w:p w14:paraId="78F39895" w14:textId="77777777" w:rsidR="00BD3831" w:rsidRPr="00CE1677" w:rsidRDefault="00BD3831" w:rsidP="0031289D">
            <w:pPr>
              <w:keepNext/>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2015</w:t>
            </w:r>
          </w:p>
        </w:tc>
        <w:tc>
          <w:tcPr>
            <w:tcW w:w="1000" w:type="pct"/>
            <w:tcBorders>
              <w:top w:val="nil"/>
              <w:left w:val="nil"/>
              <w:bottom w:val="nil"/>
              <w:right w:val="nil"/>
            </w:tcBorders>
            <w:shd w:val="clear" w:color="000000" w:fill="C5D9F1"/>
            <w:noWrap/>
            <w:vAlign w:val="center"/>
            <w:hideMark/>
          </w:tcPr>
          <w:p w14:paraId="34319626" w14:textId="77777777" w:rsidR="00BD3831" w:rsidRPr="00CE1677" w:rsidRDefault="00BD3831" w:rsidP="0031289D">
            <w:pPr>
              <w:keepNext/>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إيرادات 2016</w:t>
            </w:r>
          </w:p>
        </w:tc>
        <w:tc>
          <w:tcPr>
            <w:tcW w:w="1000" w:type="pct"/>
            <w:tcBorders>
              <w:top w:val="nil"/>
              <w:left w:val="nil"/>
              <w:bottom w:val="nil"/>
              <w:right w:val="nil"/>
            </w:tcBorders>
            <w:shd w:val="clear" w:color="000000" w:fill="C5D9F1"/>
            <w:noWrap/>
            <w:vAlign w:val="center"/>
            <w:hideMark/>
          </w:tcPr>
          <w:p w14:paraId="6D59F9C2" w14:textId="77777777" w:rsidR="00BD3831" w:rsidRPr="00CE1677" w:rsidRDefault="00BD3831" w:rsidP="0031289D">
            <w:pPr>
              <w:keepNext/>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نفقات 2016</w:t>
            </w:r>
          </w:p>
        </w:tc>
        <w:tc>
          <w:tcPr>
            <w:tcW w:w="1000" w:type="pct"/>
            <w:tcBorders>
              <w:top w:val="nil"/>
              <w:left w:val="nil"/>
              <w:bottom w:val="nil"/>
              <w:right w:val="nil"/>
            </w:tcBorders>
            <w:shd w:val="clear" w:color="000000" w:fill="C5D9F1"/>
            <w:noWrap/>
            <w:vAlign w:val="center"/>
            <w:hideMark/>
          </w:tcPr>
          <w:p w14:paraId="2FCF6C08" w14:textId="77777777" w:rsidR="00BD3831" w:rsidRPr="00CE1677" w:rsidRDefault="00BD3831" w:rsidP="0031289D">
            <w:pPr>
              <w:keepNext/>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المبالغ المسددة</w:t>
            </w:r>
          </w:p>
        </w:tc>
        <w:tc>
          <w:tcPr>
            <w:tcW w:w="1000" w:type="pct"/>
            <w:tcBorders>
              <w:top w:val="nil"/>
              <w:left w:val="nil"/>
              <w:bottom w:val="nil"/>
              <w:right w:val="nil"/>
            </w:tcBorders>
            <w:shd w:val="clear" w:color="000000" w:fill="C5D9F1"/>
            <w:vAlign w:val="center"/>
            <w:hideMark/>
          </w:tcPr>
          <w:p w14:paraId="43703FC1" w14:textId="77777777" w:rsidR="00BD3831" w:rsidRPr="00CE1677" w:rsidRDefault="00BD3831" w:rsidP="0031289D">
            <w:pPr>
              <w:keepNext/>
              <w:bidi/>
              <w:spacing w:after="120" w:line="280" w:lineRule="exact"/>
              <w:jc w:val="center"/>
              <w:rPr>
                <w:rFonts w:ascii="Arabic Typesetting" w:eastAsia="Arabic Typesetting" w:hAnsi="Arabic Typesetting" w:cs="Arabic Typesetting"/>
                <w:b/>
                <w:bCs/>
                <w:color w:val="000000"/>
                <w:sz w:val="28"/>
                <w:szCs w:val="28"/>
                <w:lang w:eastAsia="ar-EG" w:bidi="ar-EG"/>
              </w:rPr>
            </w:pPr>
            <w:r w:rsidRPr="00CE1677">
              <w:rPr>
                <w:rFonts w:ascii="Arabic Typesetting" w:eastAsia="Arabic Typesetting" w:hAnsi="Arabic Typesetting" w:cs="Arabic Typesetting"/>
                <w:b/>
                <w:bCs/>
                <w:color w:val="000000"/>
                <w:sz w:val="28"/>
                <w:szCs w:val="28"/>
                <w:rtl/>
                <w:lang w:eastAsia="ar-EG" w:bidi="ar-EG"/>
              </w:rPr>
              <w:t>الرصيد في 31 ديسمبر 2016</w:t>
            </w:r>
          </w:p>
        </w:tc>
      </w:tr>
      <w:tr w:rsidR="00BD3831" w:rsidRPr="00CE1677" w14:paraId="4FC0074D" w14:textId="77777777" w:rsidTr="00DF6715">
        <w:trPr>
          <w:trHeight w:val="356"/>
        </w:trPr>
        <w:tc>
          <w:tcPr>
            <w:tcW w:w="1000" w:type="pct"/>
            <w:tcBorders>
              <w:top w:val="nil"/>
              <w:left w:val="nil"/>
              <w:bottom w:val="nil"/>
              <w:right w:val="nil"/>
            </w:tcBorders>
            <w:shd w:val="clear" w:color="auto" w:fill="auto"/>
            <w:noWrap/>
            <w:vAlign w:val="bottom"/>
            <w:hideMark/>
          </w:tcPr>
          <w:p w14:paraId="7F320AF5"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3DDB4700"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98</w:t>
            </w:r>
            <w:r>
              <w:rPr>
                <w:rFonts w:ascii="Arabic Typesetting" w:hAnsi="Arabic Typesetting" w:cs="Arabic Typesetting"/>
                <w:color w:val="000000"/>
                <w:sz w:val="28"/>
                <w:szCs w:val="28"/>
              </w:rPr>
              <w:t> </w:t>
            </w:r>
            <w:r w:rsidRPr="00EE50A1">
              <w:rPr>
                <w:rFonts w:ascii="Arabic Typesetting" w:hAnsi="Arabic Typesetting" w:cs="Arabic Typesetting"/>
                <w:color w:val="000000"/>
                <w:sz w:val="28"/>
                <w:szCs w:val="28"/>
              </w:rPr>
              <w:t>314</w:t>
            </w:r>
          </w:p>
        </w:tc>
        <w:tc>
          <w:tcPr>
            <w:tcW w:w="1000" w:type="pct"/>
            <w:tcBorders>
              <w:top w:val="nil"/>
              <w:left w:val="nil"/>
              <w:bottom w:val="nil"/>
              <w:right w:val="nil"/>
            </w:tcBorders>
            <w:shd w:val="clear" w:color="auto" w:fill="auto"/>
            <w:noWrap/>
            <w:vAlign w:val="bottom"/>
            <w:hideMark/>
          </w:tcPr>
          <w:p w14:paraId="203F975B"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35</w:t>
            </w:r>
            <w:r>
              <w:rPr>
                <w:rFonts w:ascii="Arabic Typesetting" w:hAnsi="Arabic Typesetting" w:cs="Arabic Typesetting"/>
                <w:color w:val="000000"/>
                <w:sz w:val="28"/>
                <w:szCs w:val="28"/>
              </w:rPr>
              <w:t> </w:t>
            </w:r>
            <w:r w:rsidRPr="00EE50A1">
              <w:rPr>
                <w:rFonts w:ascii="Arabic Typesetting" w:hAnsi="Arabic Typesetting" w:cs="Arabic Typesetting"/>
                <w:color w:val="000000"/>
                <w:sz w:val="28"/>
                <w:szCs w:val="28"/>
              </w:rPr>
              <w:t>518</w:t>
            </w:r>
          </w:p>
        </w:tc>
        <w:tc>
          <w:tcPr>
            <w:tcW w:w="1000" w:type="pct"/>
            <w:tcBorders>
              <w:top w:val="nil"/>
              <w:left w:val="nil"/>
              <w:bottom w:val="nil"/>
              <w:right w:val="nil"/>
            </w:tcBorders>
            <w:shd w:val="clear" w:color="auto" w:fill="auto"/>
            <w:noWrap/>
            <w:vAlign w:val="bottom"/>
            <w:hideMark/>
          </w:tcPr>
          <w:p w14:paraId="429E350E"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w:t>
            </w:r>
          </w:p>
        </w:tc>
        <w:tc>
          <w:tcPr>
            <w:tcW w:w="1000" w:type="pct"/>
            <w:tcBorders>
              <w:top w:val="nil"/>
              <w:left w:val="nil"/>
              <w:bottom w:val="nil"/>
              <w:right w:val="nil"/>
            </w:tcBorders>
            <w:shd w:val="clear" w:color="auto" w:fill="auto"/>
            <w:noWrap/>
            <w:vAlign w:val="bottom"/>
            <w:hideMark/>
          </w:tcPr>
          <w:p w14:paraId="4A66405D" w14:textId="77777777" w:rsidR="00BD3831" w:rsidRPr="00EE50A1" w:rsidRDefault="00BD3831" w:rsidP="0031289D">
            <w:pPr>
              <w:jc w:val="center"/>
              <w:rPr>
                <w:rFonts w:ascii="Arabic Typesetting" w:hAnsi="Arabic Typesetting" w:cs="Arabic Typesetting"/>
                <w:color w:val="000000"/>
                <w:sz w:val="28"/>
                <w:szCs w:val="28"/>
              </w:rPr>
            </w:pPr>
            <w:r w:rsidRPr="00EE50A1">
              <w:rPr>
                <w:rFonts w:ascii="Arabic Typesetting" w:hAnsi="Arabic Typesetting" w:cs="Arabic Typesetting"/>
                <w:color w:val="000000"/>
                <w:sz w:val="28"/>
                <w:szCs w:val="28"/>
              </w:rPr>
              <w:t>62</w:t>
            </w:r>
            <w:r>
              <w:rPr>
                <w:rFonts w:ascii="Arabic Typesetting" w:hAnsi="Arabic Typesetting" w:cs="Arabic Typesetting"/>
                <w:color w:val="000000"/>
                <w:sz w:val="28"/>
                <w:szCs w:val="28"/>
              </w:rPr>
              <w:t> </w:t>
            </w:r>
            <w:r w:rsidRPr="00EE50A1">
              <w:rPr>
                <w:rFonts w:ascii="Arabic Typesetting" w:hAnsi="Arabic Typesetting" w:cs="Arabic Typesetting"/>
                <w:color w:val="000000"/>
                <w:sz w:val="28"/>
                <w:szCs w:val="28"/>
              </w:rPr>
              <w:t>796</w:t>
            </w:r>
          </w:p>
        </w:tc>
      </w:tr>
    </w:tbl>
    <w:p w14:paraId="14E4F4CF" w14:textId="77777777" w:rsidR="00BD3831" w:rsidRDefault="00BD3831" w:rsidP="0031289D">
      <w:pPr>
        <w:bidi/>
        <w:spacing w:after="120" w:line="280" w:lineRule="exact"/>
        <w:rPr>
          <w:rFonts w:ascii="Arabic Typesetting" w:eastAsia="Arabic Typesetting" w:hAnsi="Arabic Typesetting" w:cs="Arabic Typesetting"/>
          <w:sz w:val="28"/>
          <w:szCs w:val="28"/>
          <w:rtl/>
          <w:lang w:eastAsia="ar-EG" w:bidi="ar-EG"/>
        </w:rPr>
      </w:pPr>
    </w:p>
    <w:p w14:paraId="50566538" w14:textId="1D760271" w:rsidR="00F9431D" w:rsidRPr="00F9431D" w:rsidRDefault="00F9431D" w:rsidP="00F9431D">
      <w:pPr>
        <w:pStyle w:val="EndofDocumentAR"/>
        <w:rPr>
          <w:rFonts w:eastAsia="Arabic Typesetting"/>
          <w:sz w:val="34"/>
          <w:szCs w:val="34"/>
          <w:lang w:eastAsia="ar-EG" w:bidi="ar-EG"/>
        </w:rPr>
      </w:pPr>
      <w:r w:rsidRPr="00F9431D">
        <w:rPr>
          <w:rFonts w:eastAsia="Arabic Typesetting" w:hint="cs"/>
          <w:sz w:val="34"/>
          <w:szCs w:val="34"/>
          <w:rtl/>
          <w:lang w:eastAsia="ar-EG" w:bidi="ar-EG"/>
        </w:rPr>
        <w:t>[يلي ذلك الملحق الثالث]</w:t>
      </w:r>
    </w:p>
    <w:p w14:paraId="4C42A941" w14:textId="1F944408" w:rsidR="00BD3831" w:rsidRDefault="00BD3831" w:rsidP="0031289D">
      <w:pPr>
        <w:rPr>
          <w:rFonts w:ascii="Arabic Typesetting" w:hAnsi="Arabic Typesetting" w:cs="Arabic Typesetting"/>
          <w:sz w:val="34"/>
          <w:szCs w:val="34"/>
          <w:rtl/>
        </w:rPr>
      </w:pPr>
      <w:r>
        <w:rPr>
          <w:rFonts w:ascii="Arabic Typesetting" w:hAnsi="Arabic Typesetting" w:cs="Arabic Typesetting"/>
          <w:sz w:val="34"/>
          <w:szCs w:val="34"/>
          <w:rtl/>
        </w:rPr>
        <w:br w:type="page"/>
      </w:r>
    </w:p>
    <w:p w14:paraId="12AD0940" w14:textId="77777777" w:rsidR="00BD3831" w:rsidRPr="007F2682" w:rsidRDefault="00BD3831" w:rsidP="0027026F">
      <w:pPr>
        <w:pStyle w:val="Heading3"/>
        <w:ind w:left="1417" w:hanging="1417"/>
        <w:rPr>
          <w:rtl/>
        </w:rPr>
      </w:pPr>
      <w:bookmarkStart w:id="63" w:name="_Toc422829674"/>
      <w:bookmarkStart w:id="64" w:name="_Toc455393409"/>
      <w:bookmarkStart w:id="65" w:name="_Toc482782785"/>
      <w:r w:rsidRPr="007F2682">
        <w:rPr>
          <w:rFonts w:hint="cs"/>
          <w:rtl/>
        </w:rPr>
        <w:lastRenderedPageBreak/>
        <w:t>الملحق الثالث</w:t>
      </w:r>
      <w:bookmarkEnd w:id="63"/>
      <w:r w:rsidRPr="007F2682">
        <w:rPr>
          <w:rtl/>
        </w:rPr>
        <w:tab/>
        <w:t xml:space="preserve">التقرير المرحلي </w:t>
      </w:r>
      <w:r w:rsidRPr="007F2682">
        <w:rPr>
          <w:rFonts w:hint="cs"/>
          <w:rtl/>
        </w:rPr>
        <w:t>لسنة 2016</w:t>
      </w:r>
      <w:r w:rsidRPr="007F2682">
        <w:rPr>
          <w:rtl/>
        </w:rPr>
        <w:t xml:space="preserve"> بشأن الخطة الرأسمالية الرئيسية</w:t>
      </w:r>
      <w:bookmarkEnd w:id="64"/>
      <w:bookmarkEnd w:id="65"/>
    </w:p>
    <w:p w14:paraId="13488D08" w14:textId="77777777" w:rsidR="00BD3831" w:rsidRPr="00E551B2" w:rsidRDefault="00BD3831" w:rsidP="0031289D">
      <w:pPr>
        <w:keepNext/>
        <w:bidi/>
        <w:spacing w:after="240" w:line="340" w:lineRule="exact"/>
        <w:rPr>
          <w:rFonts w:ascii="Arabic Typesetting" w:hAnsi="Arabic Typesetting" w:cs="Arabic Typesetting"/>
          <w:bCs/>
          <w:sz w:val="34"/>
          <w:szCs w:val="34"/>
          <w:rtl/>
        </w:rPr>
      </w:pPr>
      <w:r w:rsidRPr="00E551B2">
        <w:rPr>
          <w:rFonts w:ascii="Arabic Typesetting" w:hAnsi="Arabic Typesetting" w:cs="Arabic Typesetting"/>
          <w:bCs/>
          <w:sz w:val="34"/>
          <w:szCs w:val="34"/>
          <w:rtl/>
        </w:rPr>
        <w:t>أولا</w:t>
      </w:r>
      <w:r w:rsidRPr="00E551B2">
        <w:rPr>
          <w:rFonts w:ascii="Arabic Typesetting" w:hAnsi="Arabic Typesetting" w:cs="Arabic Typesetting" w:hint="cs"/>
          <w:bCs/>
          <w:sz w:val="34"/>
          <w:szCs w:val="34"/>
          <w:rtl/>
        </w:rPr>
        <w:t>.</w:t>
      </w:r>
      <w:r w:rsidRPr="00E551B2">
        <w:rPr>
          <w:rFonts w:ascii="Arabic Typesetting" w:hAnsi="Arabic Typesetting" w:cs="Arabic Typesetting"/>
          <w:bCs/>
          <w:sz w:val="34"/>
          <w:szCs w:val="34"/>
          <w:rtl/>
        </w:rPr>
        <w:tab/>
        <w:t>مقدمة</w:t>
      </w:r>
    </w:p>
    <w:p w14:paraId="615728E5" w14:textId="77777777" w:rsidR="00BD3831" w:rsidRPr="00E551B2" w:rsidRDefault="00BD3831" w:rsidP="0059581F">
      <w:pPr>
        <w:bidi/>
        <w:spacing w:after="240" w:line="340" w:lineRule="exact"/>
        <w:rPr>
          <w:rFonts w:ascii="Arabic Typesetting" w:hAnsi="Arabic Typesetting" w:cs="Arabic Typesetting"/>
          <w:sz w:val="34"/>
          <w:szCs w:val="34"/>
          <w:lang w:bidi="ar-EG"/>
        </w:rPr>
      </w:pPr>
      <w:r w:rsidRPr="00E551B2">
        <w:rPr>
          <w:rFonts w:ascii="Arabic Typesetting" w:hAnsi="Arabic Typesetting" w:cs="Arabic Typesetting"/>
          <w:sz w:val="34"/>
          <w:szCs w:val="34"/>
          <w:rtl/>
          <w:lang w:bidi="ar-EG"/>
        </w:rPr>
        <w:t xml:space="preserve">صدقت جمعيات الدول الأعضاء في الويبو </w:t>
      </w:r>
      <w:r w:rsidRPr="00E551B2">
        <w:rPr>
          <w:rFonts w:ascii="Arabic Typesetting" w:hAnsi="Arabic Typesetting" w:cs="Arabic Typesetting" w:hint="cs"/>
          <w:sz w:val="34"/>
          <w:szCs w:val="34"/>
          <w:rtl/>
          <w:lang w:bidi="ar-EG"/>
        </w:rPr>
        <w:t>في دورتها</w:t>
      </w:r>
      <w:r w:rsidRPr="00E551B2">
        <w:rPr>
          <w:rFonts w:ascii="Arabic Typesetting" w:hAnsi="Arabic Typesetting" w:cs="Arabic Typesetting"/>
          <w:sz w:val="34"/>
          <w:szCs w:val="34"/>
          <w:rtl/>
          <w:lang w:bidi="ar-EG"/>
        </w:rPr>
        <w:t xml:space="preserve"> الحادية والخمسين </w:t>
      </w:r>
      <w:r w:rsidRPr="00E551B2">
        <w:rPr>
          <w:rFonts w:ascii="Arabic Typesetting" w:hAnsi="Arabic Typesetting" w:cs="Arabic Typesetting" w:hint="cs"/>
          <w:sz w:val="34"/>
          <w:szCs w:val="34"/>
          <w:rtl/>
          <w:lang w:bidi="ar-EG"/>
        </w:rPr>
        <w:t xml:space="preserve">المعقودة </w:t>
      </w:r>
      <w:r w:rsidRPr="00E551B2">
        <w:rPr>
          <w:rFonts w:ascii="Arabic Typesetting" w:hAnsi="Arabic Typesetting" w:cs="Arabic Typesetting"/>
          <w:sz w:val="34"/>
          <w:szCs w:val="34"/>
          <w:rtl/>
          <w:lang w:bidi="ar-EG"/>
        </w:rPr>
        <w:t>في سبتمبر 2013 على المبادئ التي تدرَج وفقاً لها المشروعات في الخطة الرأسمالية الرئيسية للمنظمة، ووافقت على تمويل سبعة مشروعات بمبلغ قدره 11.2 مليون فرنك سويسري من الأموال الاحتياطية المتاحة (الوثيقة</w:t>
      </w:r>
      <w:r w:rsidRPr="00E551B2">
        <w:rPr>
          <w:rFonts w:ascii="Arabic Typesetting" w:hAnsi="Arabic Typesetting" w:cs="Arabic Typesetting" w:hint="cs"/>
          <w:sz w:val="34"/>
          <w:szCs w:val="34"/>
          <w:rtl/>
          <w:lang w:bidi="ar-EG"/>
        </w:rPr>
        <w:t xml:space="preserve"> </w:t>
      </w:r>
      <w:r w:rsidRPr="00E551B2">
        <w:rPr>
          <w:rFonts w:ascii="Arabic Typesetting" w:hAnsi="Arabic Typesetting" w:cs="Arabic Typesetting"/>
          <w:sz w:val="34"/>
          <w:szCs w:val="34"/>
          <w:lang w:bidi="ar-EG"/>
        </w:rPr>
        <w:t>A/51/16</w:t>
      </w:r>
      <w:r w:rsidRPr="00E551B2">
        <w:rPr>
          <w:rFonts w:ascii="Arabic Typesetting" w:hAnsi="Arabic Typesetting" w:cs="Arabic Typesetting"/>
          <w:sz w:val="28"/>
          <w:szCs w:val="28"/>
          <w:vertAlign w:val="superscript"/>
          <w:rtl/>
          <w:lang w:bidi="ar-EG"/>
        </w:rPr>
        <w:footnoteReference w:id="111"/>
      </w:r>
      <w:r w:rsidRPr="00E551B2">
        <w:rPr>
          <w:rFonts w:ascii="Arabic Typesetting" w:hAnsi="Arabic Typesetting" w:cs="Arabic Typesetting"/>
          <w:sz w:val="34"/>
          <w:szCs w:val="34"/>
          <w:rtl/>
          <w:lang w:bidi="ar-EG"/>
        </w:rPr>
        <w:t>)</w:t>
      </w:r>
      <w:r w:rsidRPr="00E551B2">
        <w:rPr>
          <w:rFonts w:ascii="Arabic Typesetting" w:hAnsi="Arabic Typesetting" w:cs="Arabic Typesetting" w:hint="cs"/>
          <w:sz w:val="34"/>
          <w:szCs w:val="34"/>
          <w:rtl/>
          <w:lang w:bidi="ar-EG"/>
        </w:rPr>
        <w:t>.</w:t>
      </w:r>
    </w:p>
    <w:p w14:paraId="67C8D3D9" w14:textId="77777777" w:rsidR="00BD3831" w:rsidRPr="00E551B2" w:rsidRDefault="00BD3831" w:rsidP="0059581F">
      <w:pPr>
        <w:bidi/>
        <w:spacing w:after="240" w:line="340" w:lineRule="exact"/>
        <w:rPr>
          <w:rFonts w:ascii="Arabic Typesetting" w:hAnsi="Arabic Typesetting" w:cs="Arabic Typesetting"/>
          <w:sz w:val="34"/>
          <w:szCs w:val="34"/>
          <w:lang w:bidi="ar-EG"/>
        </w:rPr>
      </w:pPr>
      <w:r w:rsidRPr="00E551B2">
        <w:rPr>
          <w:rFonts w:ascii="Arabic Typesetting" w:hAnsi="Arabic Typesetting" w:cs="Arabic Typesetting" w:hint="cs"/>
          <w:sz w:val="34"/>
          <w:szCs w:val="34"/>
          <w:rtl/>
          <w:lang w:bidi="ar-EG"/>
        </w:rPr>
        <w:t>وسعياً</w:t>
      </w:r>
      <w:r w:rsidRPr="00E551B2">
        <w:rPr>
          <w:rFonts w:ascii="Arabic Typesetting" w:hAnsi="Arabic Typesetting" w:cs="Arabic Typesetting"/>
          <w:sz w:val="34"/>
          <w:szCs w:val="34"/>
          <w:rtl/>
          <w:lang w:bidi="ar-EG"/>
        </w:rPr>
        <w:t xml:space="preserve"> إلى تبسيط عملية تقديم التقارير في المنظمة برمتها</w:t>
      </w:r>
      <w:r w:rsidRPr="00E551B2">
        <w:rPr>
          <w:rFonts w:ascii="Arabic Typesetting" w:hAnsi="Arabic Typesetting" w:cs="Arabic Typesetting" w:hint="cs"/>
          <w:sz w:val="34"/>
          <w:szCs w:val="34"/>
          <w:rtl/>
          <w:lang w:bidi="ar-EG"/>
        </w:rPr>
        <w:t>،</w:t>
      </w:r>
      <w:r w:rsidRPr="00E551B2">
        <w:rPr>
          <w:rFonts w:ascii="Arabic Typesetting" w:hAnsi="Arabic Typesetting" w:cs="Arabic Typesetting"/>
          <w:sz w:val="34"/>
          <w:szCs w:val="34"/>
          <w:rtl/>
          <w:lang w:bidi="ar-EG"/>
        </w:rPr>
        <w:t xml:space="preserve"> يرد التقرير المرحلي لسنة</w:t>
      </w:r>
      <w:r w:rsidRPr="00E551B2">
        <w:rPr>
          <w:rFonts w:ascii="Arabic Typesetting" w:hAnsi="Arabic Typesetting" w:cs="Arabic Typesetting" w:hint="cs"/>
          <w:sz w:val="34"/>
          <w:szCs w:val="34"/>
          <w:rtl/>
          <w:lang w:bidi="ar-EG"/>
        </w:rPr>
        <w:t> </w:t>
      </w:r>
      <w:r>
        <w:rPr>
          <w:rFonts w:ascii="Arabic Typesetting" w:hAnsi="Arabic Typesetting" w:cs="Arabic Typesetting" w:hint="cs"/>
          <w:sz w:val="34"/>
          <w:szCs w:val="34"/>
          <w:rtl/>
          <w:lang w:bidi="ar-EG"/>
        </w:rPr>
        <w:t>2016</w:t>
      </w:r>
      <w:r w:rsidRPr="00E551B2">
        <w:rPr>
          <w:rFonts w:ascii="Arabic Typesetting" w:hAnsi="Arabic Typesetting" w:cs="Arabic Typesetting"/>
          <w:sz w:val="34"/>
          <w:szCs w:val="34"/>
          <w:rtl/>
          <w:lang w:bidi="ar-EG"/>
        </w:rPr>
        <w:t xml:space="preserve"> بشأن الخطة الرأسمالية الرئيسية </w:t>
      </w:r>
      <w:r w:rsidRPr="00E551B2">
        <w:rPr>
          <w:rFonts w:ascii="Arabic Typesetting" w:hAnsi="Arabic Typesetting" w:cs="Arabic Typesetting" w:hint="cs"/>
          <w:sz w:val="34"/>
          <w:szCs w:val="34"/>
          <w:rtl/>
          <w:lang w:bidi="ar-EG"/>
        </w:rPr>
        <w:t>كملحق</w:t>
      </w:r>
      <w:r w:rsidRPr="00E551B2">
        <w:rPr>
          <w:rFonts w:ascii="Arabic Typesetting" w:hAnsi="Arabic Typesetting" w:cs="Arabic Typesetting"/>
          <w:sz w:val="34"/>
          <w:szCs w:val="34"/>
          <w:rtl/>
          <w:lang w:bidi="ar-EG"/>
        </w:rPr>
        <w:t xml:space="preserve"> لتقرير أداء البرنامج </w:t>
      </w:r>
      <w:r>
        <w:rPr>
          <w:rFonts w:ascii="Arabic Typesetting" w:hAnsi="Arabic Typesetting" w:cs="Arabic Typesetting" w:hint="cs"/>
          <w:sz w:val="34"/>
          <w:szCs w:val="34"/>
          <w:rtl/>
          <w:lang w:bidi="ar-EG"/>
        </w:rPr>
        <w:t>2016</w:t>
      </w:r>
      <w:r w:rsidRPr="00E551B2">
        <w:rPr>
          <w:rFonts w:ascii="Arabic Typesetting" w:hAnsi="Arabic Typesetting" w:cs="Arabic Typesetting"/>
          <w:sz w:val="34"/>
          <w:szCs w:val="34"/>
          <w:rtl/>
          <w:lang w:bidi="ar-EG"/>
        </w:rPr>
        <w:t>.</w:t>
      </w:r>
      <w:r w:rsidRPr="00E551B2">
        <w:rPr>
          <w:rFonts w:ascii="Arabic Typesetting" w:hAnsi="Arabic Typesetting" w:cs="Arabic Typesetting" w:hint="cs"/>
          <w:sz w:val="34"/>
          <w:szCs w:val="34"/>
          <w:rtl/>
          <w:lang w:bidi="ar-EG"/>
        </w:rPr>
        <w:t xml:space="preserve"> </w:t>
      </w:r>
      <w:r w:rsidRPr="00E551B2">
        <w:rPr>
          <w:rFonts w:ascii="Arabic Typesetting" w:hAnsi="Arabic Typesetting" w:cs="Arabic Typesetting"/>
          <w:sz w:val="34"/>
          <w:szCs w:val="34"/>
          <w:rtl/>
          <w:lang w:bidi="ar-EG"/>
        </w:rPr>
        <w:t>وهذا التقرير</w:t>
      </w:r>
      <w:r w:rsidRPr="00E551B2">
        <w:rPr>
          <w:rFonts w:ascii="Arabic Typesetting" w:hAnsi="Arabic Typesetting" w:cs="Arabic Typesetting" w:hint="cs"/>
          <w:sz w:val="34"/>
          <w:szCs w:val="34"/>
          <w:rtl/>
          <w:lang w:bidi="ar-EG"/>
        </w:rPr>
        <w:t xml:space="preserve"> هو</w:t>
      </w:r>
      <w:r w:rsidRPr="00E551B2">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رابع</w:t>
      </w:r>
      <w:r w:rsidRPr="00E551B2">
        <w:rPr>
          <w:rFonts w:ascii="Arabic Typesetting" w:hAnsi="Arabic Typesetting" w:cs="Arabic Typesetting"/>
          <w:sz w:val="34"/>
          <w:szCs w:val="34"/>
          <w:rtl/>
          <w:lang w:bidi="ar-EG"/>
        </w:rPr>
        <w:t xml:space="preserve"> تقرير مرحلي يُقدم إلى لجنة البرنامج والميزانية، </w:t>
      </w:r>
      <w:r w:rsidRPr="00E551B2">
        <w:rPr>
          <w:rFonts w:ascii="Arabic Typesetting" w:hAnsi="Arabic Typesetting" w:cs="Arabic Typesetting" w:hint="cs"/>
          <w:sz w:val="34"/>
          <w:szCs w:val="34"/>
          <w:rtl/>
          <w:lang w:bidi="ar-EG"/>
        </w:rPr>
        <w:t xml:space="preserve">مما </w:t>
      </w:r>
      <w:r w:rsidRPr="00E551B2">
        <w:rPr>
          <w:rFonts w:ascii="Arabic Typesetting" w:hAnsi="Arabic Typesetting" w:cs="Arabic Typesetting"/>
          <w:sz w:val="34"/>
          <w:szCs w:val="34"/>
          <w:rtl/>
          <w:lang w:bidi="ar-EG"/>
        </w:rPr>
        <w:t>يوفر للدول الأعضاء استعراضا للتقدم المحرز والمعالم المحققة واستخدام الموارد خلال الفترة من يناير إلى ديسمبر</w:t>
      </w:r>
      <w:r w:rsidRPr="00E551B2">
        <w:rPr>
          <w:rFonts w:ascii="Arabic Typesetting" w:hAnsi="Arabic Typesetting" w:cs="Arabic Typesetting" w:hint="cs"/>
          <w:sz w:val="34"/>
          <w:szCs w:val="34"/>
          <w:rtl/>
          <w:lang w:bidi="ar-EG"/>
        </w:rPr>
        <w:t> </w:t>
      </w:r>
      <w:r>
        <w:rPr>
          <w:rFonts w:ascii="Arabic Typesetting" w:hAnsi="Arabic Typesetting" w:cs="Arabic Typesetting" w:hint="cs"/>
          <w:sz w:val="34"/>
          <w:szCs w:val="34"/>
          <w:rtl/>
          <w:lang w:bidi="ar-EG"/>
        </w:rPr>
        <w:t>2016</w:t>
      </w:r>
      <w:r w:rsidRPr="00E551B2">
        <w:rPr>
          <w:rFonts w:ascii="Arabic Typesetting" w:hAnsi="Arabic Typesetting" w:cs="Arabic Typesetting"/>
          <w:sz w:val="34"/>
          <w:szCs w:val="34"/>
          <w:rtl/>
          <w:lang w:bidi="ar-EG"/>
        </w:rPr>
        <w:t xml:space="preserve"> في إطار المشروعات</w:t>
      </w:r>
      <w:r w:rsidRPr="00E551B2">
        <w:rPr>
          <w:rFonts w:ascii="Arabic Typesetting" w:hAnsi="Arabic Typesetting" w:cs="Arabic Typesetting" w:hint="cs"/>
          <w:sz w:val="34"/>
          <w:szCs w:val="34"/>
          <w:rtl/>
          <w:lang w:bidi="ar-EG"/>
        </w:rPr>
        <w:t> </w:t>
      </w:r>
      <w:r w:rsidRPr="00E551B2">
        <w:rPr>
          <w:rFonts w:ascii="Arabic Typesetting" w:hAnsi="Arabic Typesetting" w:cs="Arabic Typesetting"/>
          <w:sz w:val="34"/>
          <w:szCs w:val="34"/>
          <w:rtl/>
          <w:lang w:bidi="ar-EG"/>
        </w:rPr>
        <w:t>التالية:</w:t>
      </w:r>
    </w:p>
    <w:p w14:paraId="1E7412F0" w14:textId="77777777" w:rsidR="00BD3831" w:rsidRPr="00E551B2" w:rsidRDefault="00BD3831" w:rsidP="0059581F">
      <w:pPr>
        <w:keepNext/>
        <w:bidi/>
        <w:spacing w:after="240" w:line="340" w:lineRule="exact"/>
        <w:ind w:firstLine="284"/>
        <w:rPr>
          <w:rFonts w:ascii="Arabic Typesetting" w:hAnsi="Arabic Typesetting" w:cs="Arabic Typesetting"/>
          <w:sz w:val="34"/>
          <w:szCs w:val="34"/>
          <w:u w:val="single"/>
          <w:rtl/>
        </w:rPr>
      </w:pPr>
      <w:r w:rsidRPr="00E551B2">
        <w:rPr>
          <w:rFonts w:ascii="Arabic Typesetting" w:hAnsi="Arabic Typesetting" w:cs="Arabic Typesetting"/>
          <w:sz w:val="34"/>
          <w:szCs w:val="34"/>
          <w:rtl/>
        </w:rPr>
        <w:t>ألف</w:t>
      </w:r>
      <w:r w:rsidRPr="00E551B2">
        <w:rPr>
          <w:rFonts w:ascii="Arabic Typesetting" w:hAnsi="Arabic Typesetting" w:cs="Arabic Typesetting"/>
          <w:sz w:val="34"/>
          <w:szCs w:val="34"/>
        </w:rPr>
        <w:t>.</w:t>
      </w:r>
      <w:r w:rsidRPr="00E551B2">
        <w:rPr>
          <w:rFonts w:ascii="Arabic Typesetting" w:hAnsi="Arabic Typesetting" w:cs="Arabic Typesetting"/>
          <w:sz w:val="34"/>
          <w:szCs w:val="34"/>
          <w:rtl/>
        </w:rPr>
        <w:tab/>
      </w:r>
      <w:r w:rsidRPr="00E551B2">
        <w:rPr>
          <w:rFonts w:ascii="Arabic Typesetting" w:hAnsi="Arabic Typesetting" w:cs="Arabic Typesetting"/>
          <w:sz w:val="34"/>
          <w:szCs w:val="34"/>
          <w:u w:val="single"/>
          <w:rtl/>
          <w:lang w:bidi="ar-EG"/>
        </w:rPr>
        <w:t>المشروعات المتصلة بتكنولوجيا المعلومات والاتصالات</w:t>
      </w:r>
    </w:p>
    <w:p w14:paraId="66073243" w14:textId="77777777" w:rsidR="00BD3831" w:rsidRPr="00E551B2" w:rsidRDefault="00BD3831" w:rsidP="0059581F">
      <w:pPr>
        <w:bidi/>
        <w:spacing w:after="240" w:line="340" w:lineRule="exact"/>
        <w:ind w:left="1133"/>
        <w:rPr>
          <w:rFonts w:ascii="Arabic Typesetting" w:hAnsi="Arabic Typesetting" w:cs="Arabic Typesetting"/>
          <w:sz w:val="34"/>
          <w:szCs w:val="34"/>
          <w:rtl/>
        </w:rPr>
      </w:pPr>
      <w:r w:rsidRPr="00E551B2">
        <w:rPr>
          <w:rFonts w:ascii="Arabic Typesetting" w:hAnsi="Arabic Typesetting" w:cs="Arabic Typesetting" w:hint="cs"/>
          <w:sz w:val="34"/>
          <w:szCs w:val="34"/>
          <w:rtl/>
        </w:rPr>
        <w:t>"1"</w:t>
      </w:r>
      <w:r w:rsidRPr="00E551B2">
        <w:rPr>
          <w:rFonts w:ascii="Arabic Typesetting" w:hAnsi="Arabic Typesetting" w:cs="Arabic Typesetting" w:hint="cs"/>
          <w:sz w:val="34"/>
          <w:szCs w:val="34"/>
          <w:rtl/>
        </w:rPr>
        <w:tab/>
      </w:r>
      <w:r w:rsidRPr="00E551B2">
        <w:rPr>
          <w:rFonts w:ascii="Arabic Typesetting" w:hAnsi="Arabic Typesetting" w:cs="Arabic Typesetting"/>
          <w:sz w:val="34"/>
          <w:szCs w:val="34"/>
          <w:rtl/>
        </w:rPr>
        <w:t>تعزيز الأمن: تشفير البيانات وإدارة المستخدمين (</w:t>
      </w:r>
      <w:r w:rsidRPr="00E551B2">
        <w:rPr>
          <w:rFonts w:ascii="Arabic Typesetting" w:hAnsi="Arabic Typesetting" w:cs="Arabic Typesetting"/>
          <w:sz w:val="34"/>
          <w:szCs w:val="34"/>
        </w:rPr>
        <w:t>CMP 1</w:t>
      </w:r>
      <w:r w:rsidRPr="00E551B2">
        <w:rPr>
          <w:rFonts w:ascii="Arabic Typesetting" w:hAnsi="Arabic Typesetting" w:cs="Arabic Typesetting"/>
          <w:sz w:val="34"/>
          <w:szCs w:val="34"/>
          <w:rtl/>
        </w:rPr>
        <w:t>)</w:t>
      </w:r>
    </w:p>
    <w:p w14:paraId="3D203392" w14:textId="77777777" w:rsidR="00BD3831" w:rsidRPr="00E551B2" w:rsidRDefault="00BD3831" w:rsidP="0059581F">
      <w:pPr>
        <w:bidi/>
        <w:spacing w:after="240" w:line="340" w:lineRule="exact"/>
        <w:ind w:left="1133"/>
        <w:rPr>
          <w:rFonts w:ascii="Arabic Typesetting" w:hAnsi="Arabic Typesetting" w:cs="Arabic Typesetting"/>
          <w:sz w:val="34"/>
          <w:szCs w:val="34"/>
          <w:rtl/>
        </w:rPr>
      </w:pPr>
      <w:r w:rsidRPr="00E551B2">
        <w:rPr>
          <w:rFonts w:ascii="Arabic Typesetting" w:hAnsi="Arabic Typesetting" w:cs="Arabic Typesetting" w:hint="cs"/>
          <w:sz w:val="34"/>
          <w:szCs w:val="34"/>
          <w:rtl/>
        </w:rPr>
        <w:t>"2"</w:t>
      </w:r>
      <w:r w:rsidRPr="00E551B2">
        <w:rPr>
          <w:rFonts w:ascii="Arabic Typesetting" w:hAnsi="Arabic Typesetting" w:cs="Arabic Typesetting" w:hint="cs"/>
          <w:sz w:val="34"/>
          <w:szCs w:val="34"/>
          <w:rtl/>
        </w:rPr>
        <w:tab/>
      </w:r>
      <w:r w:rsidRPr="00E551B2">
        <w:rPr>
          <w:rFonts w:ascii="Arabic Typesetting" w:hAnsi="Arabic Typesetting" w:cs="Arabic Typesetting"/>
          <w:sz w:val="34"/>
          <w:szCs w:val="34"/>
          <w:rtl/>
        </w:rPr>
        <w:t>تنفيذ إدارة المعلومات المؤسسية (</w:t>
      </w:r>
      <w:r w:rsidRPr="00E551B2">
        <w:rPr>
          <w:rFonts w:ascii="Arabic Typesetting" w:hAnsi="Arabic Typesetting" w:cs="Arabic Typesetting"/>
          <w:sz w:val="34"/>
          <w:szCs w:val="34"/>
        </w:rPr>
        <w:t>CMP 2</w:t>
      </w:r>
      <w:r w:rsidRPr="00E551B2">
        <w:rPr>
          <w:rFonts w:ascii="Arabic Typesetting" w:hAnsi="Arabic Typesetting" w:cs="Arabic Typesetting"/>
          <w:sz w:val="34"/>
          <w:szCs w:val="34"/>
          <w:rtl/>
        </w:rPr>
        <w:t>)</w:t>
      </w:r>
    </w:p>
    <w:p w14:paraId="17672BDA" w14:textId="77777777" w:rsidR="00BD3831" w:rsidRPr="00E551B2" w:rsidRDefault="00BD3831" w:rsidP="0059581F">
      <w:pPr>
        <w:keepNext/>
        <w:bidi/>
        <w:spacing w:after="240" w:line="340" w:lineRule="exact"/>
        <w:ind w:left="1133" w:hanging="849"/>
        <w:rPr>
          <w:rFonts w:ascii="Arabic Typesetting" w:hAnsi="Arabic Typesetting" w:cs="Arabic Typesetting"/>
          <w:sz w:val="34"/>
          <w:szCs w:val="34"/>
          <w:u w:val="single"/>
          <w:rtl/>
          <w:lang w:bidi="ar-EG"/>
        </w:rPr>
      </w:pPr>
      <w:r w:rsidRPr="00E551B2">
        <w:rPr>
          <w:rFonts w:ascii="Arabic Typesetting" w:hAnsi="Arabic Typesetting" w:cs="Arabic Typesetting"/>
          <w:sz w:val="34"/>
          <w:szCs w:val="34"/>
          <w:rtl/>
          <w:lang w:bidi="ar-EG"/>
        </w:rPr>
        <w:t>باء</w:t>
      </w:r>
      <w:r w:rsidRPr="00E551B2">
        <w:rPr>
          <w:rFonts w:ascii="Arabic Typesetting" w:hAnsi="Arabic Typesetting" w:cs="Arabic Typesetting"/>
          <w:sz w:val="34"/>
          <w:szCs w:val="34"/>
          <w:lang w:bidi="ar-EG"/>
        </w:rPr>
        <w:t>.</w:t>
      </w:r>
      <w:r w:rsidRPr="00E551B2">
        <w:rPr>
          <w:rFonts w:ascii="Arabic Typesetting" w:hAnsi="Arabic Typesetting" w:cs="Arabic Typesetting"/>
          <w:sz w:val="34"/>
          <w:szCs w:val="34"/>
          <w:rtl/>
          <w:lang w:bidi="ar-EG"/>
        </w:rPr>
        <w:tab/>
      </w:r>
      <w:r w:rsidRPr="00E551B2">
        <w:rPr>
          <w:rFonts w:ascii="Arabic Typesetting" w:hAnsi="Arabic Typesetting" w:cs="Arabic Typesetting"/>
          <w:sz w:val="34"/>
          <w:szCs w:val="34"/>
          <w:u w:val="single"/>
          <w:rtl/>
          <w:lang w:bidi="ar-EG"/>
        </w:rPr>
        <w:t>المشروعات المتصلة بالمباني</w:t>
      </w:r>
    </w:p>
    <w:p w14:paraId="6C0A0C6E" w14:textId="77777777" w:rsidR="00BD3831" w:rsidRPr="00E551B2" w:rsidRDefault="00BD3831" w:rsidP="0059581F">
      <w:pPr>
        <w:bidi/>
        <w:spacing w:after="240" w:line="340" w:lineRule="exact"/>
        <w:ind w:left="1133"/>
        <w:rPr>
          <w:rFonts w:ascii="Arabic Typesetting" w:hAnsi="Arabic Typesetting" w:cs="Arabic Typesetting"/>
          <w:sz w:val="34"/>
          <w:szCs w:val="34"/>
          <w:rtl/>
        </w:rPr>
      </w:pPr>
      <w:r w:rsidRPr="00E551B2">
        <w:rPr>
          <w:rFonts w:ascii="Arabic Typesetting" w:hAnsi="Arabic Typesetting" w:cs="Arabic Typesetting" w:hint="cs"/>
          <w:sz w:val="34"/>
          <w:szCs w:val="34"/>
          <w:rtl/>
        </w:rPr>
        <w:t>"3"</w:t>
      </w:r>
      <w:r w:rsidRPr="00E551B2">
        <w:rPr>
          <w:rFonts w:ascii="Arabic Typesetting" w:hAnsi="Arabic Typesetting" w:cs="Arabic Typesetting" w:hint="cs"/>
          <w:sz w:val="34"/>
          <w:szCs w:val="34"/>
          <w:rtl/>
        </w:rPr>
        <w:tab/>
      </w:r>
      <w:r w:rsidRPr="00E551B2">
        <w:rPr>
          <w:rFonts w:ascii="Arabic Typesetting" w:hAnsi="Arabic Typesetting" w:cs="Arabic Typesetting"/>
          <w:sz w:val="34"/>
          <w:szCs w:val="34"/>
          <w:rtl/>
        </w:rPr>
        <w:t>تجديد الواجهات وتجهيزات التبريد/التدفئة في مبنى البراءات (</w:t>
      </w:r>
      <w:r w:rsidRPr="00E551B2">
        <w:rPr>
          <w:rFonts w:ascii="Arabic Typesetting" w:hAnsi="Arabic Typesetting" w:cs="Arabic Typesetting"/>
          <w:sz w:val="34"/>
          <w:szCs w:val="34"/>
        </w:rPr>
        <w:t>CMP 3</w:t>
      </w:r>
      <w:r w:rsidRPr="00E551B2">
        <w:rPr>
          <w:rFonts w:ascii="Arabic Typesetting" w:hAnsi="Arabic Typesetting" w:cs="Arabic Typesetting"/>
          <w:sz w:val="34"/>
          <w:szCs w:val="34"/>
          <w:rtl/>
        </w:rPr>
        <w:t>)</w:t>
      </w:r>
    </w:p>
    <w:p w14:paraId="588BC7AE" w14:textId="77777777" w:rsidR="00BD3831" w:rsidRPr="00E551B2" w:rsidRDefault="00BD3831" w:rsidP="0059581F">
      <w:pPr>
        <w:bidi/>
        <w:spacing w:after="240" w:line="340" w:lineRule="exact"/>
        <w:ind w:left="1133"/>
        <w:rPr>
          <w:rFonts w:ascii="Arabic Typesetting" w:hAnsi="Arabic Typesetting" w:cs="Arabic Typesetting"/>
          <w:sz w:val="34"/>
          <w:szCs w:val="34"/>
          <w:rtl/>
        </w:rPr>
      </w:pPr>
      <w:r w:rsidRPr="00E551B2">
        <w:rPr>
          <w:rFonts w:ascii="Arabic Typesetting" w:hAnsi="Arabic Typesetting" w:cs="Arabic Typesetting" w:hint="cs"/>
          <w:sz w:val="34"/>
          <w:szCs w:val="34"/>
          <w:rtl/>
        </w:rPr>
        <w:t>"4"</w:t>
      </w:r>
      <w:r w:rsidRPr="00E551B2">
        <w:rPr>
          <w:rFonts w:ascii="Arabic Typesetting" w:hAnsi="Arabic Typesetting" w:cs="Arabic Typesetting" w:hint="cs"/>
          <w:sz w:val="34"/>
          <w:szCs w:val="34"/>
          <w:rtl/>
        </w:rPr>
        <w:tab/>
      </w:r>
      <w:r w:rsidRPr="00E551B2">
        <w:rPr>
          <w:rFonts w:ascii="Arabic Typesetting" w:hAnsi="Arabic Typesetting" w:cs="Arabic Typesetting"/>
          <w:sz w:val="34"/>
          <w:szCs w:val="34"/>
          <w:rtl/>
        </w:rPr>
        <w:t>تطبيق نظام التبريد بمياه بحيرة جنيف في مبنى أرباد بوكش ومبنى البراءات (</w:t>
      </w:r>
      <w:r w:rsidRPr="00E551B2">
        <w:rPr>
          <w:rFonts w:ascii="Arabic Typesetting" w:hAnsi="Arabic Typesetting" w:cs="Arabic Typesetting"/>
          <w:sz w:val="34"/>
          <w:szCs w:val="34"/>
        </w:rPr>
        <w:t>CMP 4</w:t>
      </w:r>
      <w:r w:rsidRPr="00E551B2">
        <w:rPr>
          <w:rFonts w:ascii="Arabic Typesetting" w:hAnsi="Arabic Typesetting" w:cs="Arabic Typesetting"/>
          <w:sz w:val="34"/>
          <w:szCs w:val="34"/>
          <w:rtl/>
        </w:rPr>
        <w:t>)</w:t>
      </w:r>
    </w:p>
    <w:p w14:paraId="05783176" w14:textId="77777777" w:rsidR="00BD3831" w:rsidRPr="00E551B2" w:rsidRDefault="00BD3831" w:rsidP="0059581F">
      <w:pPr>
        <w:bidi/>
        <w:spacing w:after="240" w:line="340" w:lineRule="exact"/>
        <w:ind w:left="1133"/>
        <w:rPr>
          <w:rFonts w:ascii="Arabic Typesetting" w:hAnsi="Arabic Typesetting" w:cs="Arabic Typesetting"/>
          <w:sz w:val="34"/>
          <w:szCs w:val="34"/>
          <w:rtl/>
        </w:rPr>
      </w:pPr>
      <w:r w:rsidRPr="00E551B2">
        <w:rPr>
          <w:rFonts w:ascii="Arabic Typesetting" w:hAnsi="Arabic Typesetting" w:cs="Arabic Typesetting" w:hint="cs"/>
          <w:sz w:val="34"/>
          <w:szCs w:val="34"/>
          <w:rtl/>
        </w:rPr>
        <w:t>"5"</w:t>
      </w:r>
      <w:r w:rsidRPr="00E551B2">
        <w:rPr>
          <w:rFonts w:ascii="Arabic Typesetting" w:hAnsi="Arabic Typesetting" w:cs="Arabic Typesetting" w:hint="cs"/>
          <w:sz w:val="34"/>
          <w:szCs w:val="34"/>
          <w:rtl/>
        </w:rPr>
        <w:tab/>
      </w:r>
      <w:r w:rsidRPr="00E551B2">
        <w:rPr>
          <w:rFonts w:ascii="Arabic Typesetting" w:hAnsi="Arabic Typesetting" w:cs="Arabic Typesetting"/>
          <w:sz w:val="34"/>
          <w:szCs w:val="34"/>
          <w:rtl/>
        </w:rPr>
        <w:t>مبنى أرباد بوكش – المرحلة الأولى من تجديد القبو (تغيير حجم مركز البيانات وتجديد المطبعة) (</w:t>
      </w:r>
      <w:r w:rsidRPr="00E551B2">
        <w:rPr>
          <w:rFonts w:ascii="Arabic Typesetting" w:hAnsi="Arabic Typesetting" w:cs="Arabic Typesetting"/>
          <w:sz w:val="34"/>
          <w:szCs w:val="34"/>
        </w:rPr>
        <w:t>CMP 5</w:t>
      </w:r>
      <w:r w:rsidRPr="00E551B2">
        <w:rPr>
          <w:rFonts w:ascii="Arabic Typesetting" w:hAnsi="Arabic Typesetting" w:cs="Arabic Typesetting"/>
          <w:sz w:val="34"/>
          <w:szCs w:val="34"/>
          <w:rtl/>
        </w:rPr>
        <w:t>)</w:t>
      </w:r>
    </w:p>
    <w:p w14:paraId="6F0E27C6" w14:textId="77777777" w:rsidR="00BD3831" w:rsidRPr="00E551B2" w:rsidRDefault="00BD3831" w:rsidP="0059581F">
      <w:pPr>
        <w:bidi/>
        <w:spacing w:after="240" w:line="340" w:lineRule="exact"/>
        <w:ind w:left="1133"/>
        <w:rPr>
          <w:rFonts w:ascii="Arabic Typesetting" w:hAnsi="Arabic Typesetting" w:cs="Arabic Typesetting"/>
          <w:sz w:val="34"/>
          <w:szCs w:val="34"/>
          <w:rtl/>
        </w:rPr>
      </w:pPr>
      <w:r w:rsidRPr="00E551B2">
        <w:rPr>
          <w:rFonts w:ascii="Arabic Typesetting" w:hAnsi="Arabic Typesetting" w:cs="Arabic Typesetting" w:hint="cs"/>
          <w:sz w:val="34"/>
          <w:szCs w:val="34"/>
          <w:rtl/>
        </w:rPr>
        <w:t>"6"</w:t>
      </w:r>
      <w:r w:rsidRPr="00E551B2">
        <w:rPr>
          <w:rFonts w:ascii="Arabic Typesetting" w:hAnsi="Arabic Typesetting" w:cs="Arabic Typesetting" w:hint="cs"/>
          <w:sz w:val="34"/>
          <w:szCs w:val="34"/>
          <w:rtl/>
        </w:rPr>
        <w:tab/>
      </w:r>
      <w:r w:rsidRPr="00E551B2">
        <w:rPr>
          <w:rFonts w:ascii="Arabic Typesetting" w:hAnsi="Arabic Typesetting" w:cs="Arabic Typesetting"/>
          <w:sz w:val="34"/>
          <w:szCs w:val="34"/>
          <w:rtl/>
        </w:rPr>
        <w:t>مبنى أرباد بوكش – استبدال بعض النوافذ (</w:t>
      </w:r>
      <w:r w:rsidRPr="00E551B2">
        <w:rPr>
          <w:rFonts w:ascii="Arabic Typesetting" w:hAnsi="Arabic Typesetting" w:cs="Arabic Typesetting"/>
          <w:sz w:val="34"/>
          <w:szCs w:val="34"/>
        </w:rPr>
        <w:t>CMP 6</w:t>
      </w:r>
      <w:r w:rsidRPr="00E551B2">
        <w:rPr>
          <w:rFonts w:ascii="Arabic Typesetting" w:hAnsi="Arabic Typesetting" w:cs="Arabic Typesetting"/>
          <w:sz w:val="34"/>
          <w:szCs w:val="34"/>
          <w:rtl/>
        </w:rPr>
        <w:t>)</w:t>
      </w:r>
    </w:p>
    <w:p w14:paraId="0D18C1B5" w14:textId="77777777" w:rsidR="00BD3831" w:rsidRPr="00E551B2" w:rsidRDefault="00BD3831" w:rsidP="0059581F">
      <w:pPr>
        <w:keepNext/>
        <w:bidi/>
        <w:spacing w:after="240" w:line="340" w:lineRule="exact"/>
        <w:ind w:left="1133" w:hanging="849"/>
        <w:rPr>
          <w:rFonts w:ascii="Arabic Typesetting" w:hAnsi="Arabic Typesetting" w:cs="Arabic Typesetting"/>
          <w:sz w:val="34"/>
          <w:szCs w:val="34"/>
          <w:u w:val="single"/>
          <w:rtl/>
          <w:lang w:bidi="ar-EG"/>
        </w:rPr>
      </w:pPr>
      <w:r w:rsidRPr="00E551B2">
        <w:rPr>
          <w:rFonts w:ascii="Arabic Typesetting" w:hAnsi="Arabic Typesetting" w:cs="Arabic Typesetting"/>
          <w:sz w:val="34"/>
          <w:szCs w:val="34"/>
          <w:rtl/>
          <w:lang w:bidi="ar-EG"/>
        </w:rPr>
        <w:t>جيم</w:t>
      </w:r>
      <w:r w:rsidRPr="00E551B2">
        <w:rPr>
          <w:rFonts w:ascii="Arabic Typesetting" w:hAnsi="Arabic Typesetting" w:cs="Arabic Typesetting"/>
          <w:sz w:val="34"/>
          <w:szCs w:val="34"/>
          <w:lang w:bidi="ar-EG"/>
        </w:rPr>
        <w:t>.</w:t>
      </w:r>
      <w:r w:rsidRPr="00E551B2">
        <w:rPr>
          <w:rFonts w:ascii="Arabic Typesetting" w:hAnsi="Arabic Typesetting" w:cs="Arabic Typesetting"/>
          <w:sz w:val="34"/>
          <w:szCs w:val="34"/>
          <w:rtl/>
          <w:lang w:bidi="ar-EG"/>
        </w:rPr>
        <w:tab/>
      </w:r>
      <w:r w:rsidRPr="00E551B2">
        <w:rPr>
          <w:rFonts w:ascii="Arabic Typesetting" w:hAnsi="Arabic Typesetting" w:cs="Arabic Typesetting"/>
          <w:sz w:val="34"/>
          <w:szCs w:val="34"/>
          <w:u w:val="single"/>
          <w:rtl/>
          <w:lang w:bidi="ar-EG"/>
        </w:rPr>
        <w:t>المشروعات المتصلة بالسلامة/الأمن</w:t>
      </w:r>
    </w:p>
    <w:p w14:paraId="09CBEA17" w14:textId="77777777" w:rsidR="00BD3831" w:rsidRPr="00E551B2" w:rsidRDefault="00BD3831" w:rsidP="0059581F">
      <w:pPr>
        <w:bidi/>
        <w:spacing w:after="240" w:line="340" w:lineRule="exact"/>
        <w:ind w:left="1133"/>
        <w:rPr>
          <w:rFonts w:ascii="Arabic Typesetting" w:hAnsi="Arabic Typesetting" w:cs="Arabic Typesetting"/>
          <w:sz w:val="34"/>
          <w:szCs w:val="34"/>
        </w:rPr>
      </w:pPr>
      <w:r w:rsidRPr="00E551B2">
        <w:rPr>
          <w:rFonts w:ascii="Arabic Typesetting" w:hAnsi="Arabic Typesetting" w:cs="Arabic Typesetting" w:hint="cs"/>
          <w:sz w:val="34"/>
          <w:szCs w:val="34"/>
          <w:rtl/>
        </w:rPr>
        <w:t>"7"</w:t>
      </w:r>
      <w:r w:rsidRPr="00E551B2">
        <w:rPr>
          <w:rFonts w:ascii="Arabic Typesetting" w:hAnsi="Arabic Typesetting" w:cs="Arabic Typesetting" w:hint="cs"/>
          <w:sz w:val="34"/>
          <w:szCs w:val="34"/>
          <w:rtl/>
        </w:rPr>
        <w:tab/>
      </w:r>
      <w:r w:rsidRPr="00E551B2">
        <w:rPr>
          <w:rFonts w:ascii="Arabic Typesetting" w:hAnsi="Arabic Typesetting" w:cs="Arabic Typesetting"/>
          <w:sz w:val="34"/>
          <w:szCs w:val="34"/>
          <w:rtl/>
        </w:rPr>
        <w:t>تدابير السلامة والحماية من الحريق (</w:t>
      </w:r>
      <w:r w:rsidRPr="00E551B2">
        <w:rPr>
          <w:rFonts w:ascii="Arabic Typesetting" w:hAnsi="Arabic Typesetting" w:cs="Arabic Typesetting"/>
          <w:sz w:val="34"/>
          <w:szCs w:val="34"/>
        </w:rPr>
        <w:t>CMP 7</w:t>
      </w:r>
      <w:r w:rsidRPr="00E551B2">
        <w:rPr>
          <w:rFonts w:ascii="Arabic Typesetting" w:hAnsi="Arabic Typesetting" w:cs="Arabic Typesetting"/>
          <w:sz w:val="34"/>
          <w:szCs w:val="34"/>
          <w:rtl/>
        </w:rPr>
        <w:t>)</w:t>
      </w:r>
    </w:p>
    <w:p w14:paraId="6EE023B5" w14:textId="77777777" w:rsidR="00BD3831" w:rsidRPr="00E551B2" w:rsidRDefault="00BD3831" w:rsidP="0059581F">
      <w:pPr>
        <w:keepNext/>
        <w:bidi/>
        <w:spacing w:after="240" w:line="340" w:lineRule="exact"/>
        <w:rPr>
          <w:rFonts w:ascii="Arabic Typesetting" w:hAnsi="Arabic Typesetting" w:cs="Arabic Typesetting"/>
          <w:bCs/>
          <w:sz w:val="34"/>
          <w:szCs w:val="34"/>
          <w:rtl/>
        </w:rPr>
      </w:pPr>
      <w:r w:rsidRPr="00E551B2">
        <w:rPr>
          <w:rFonts w:ascii="Arabic Typesetting" w:hAnsi="Arabic Typesetting" w:cs="Arabic Typesetting"/>
          <w:bCs/>
          <w:sz w:val="34"/>
          <w:szCs w:val="34"/>
          <w:rtl/>
        </w:rPr>
        <w:t>ثانيا</w:t>
      </w:r>
      <w:r w:rsidRPr="00E551B2">
        <w:rPr>
          <w:rFonts w:ascii="Arabic Typesetting" w:hAnsi="Arabic Typesetting" w:cs="Arabic Typesetting" w:hint="cs"/>
          <w:bCs/>
          <w:sz w:val="34"/>
          <w:szCs w:val="34"/>
          <w:rtl/>
        </w:rPr>
        <w:t>.</w:t>
      </w:r>
      <w:r w:rsidRPr="00E551B2">
        <w:rPr>
          <w:rFonts w:ascii="Arabic Typesetting" w:hAnsi="Arabic Typesetting" w:cs="Arabic Typesetting"/>
          <w:bCs/>
          <w:sz w:val="34"/>
          <w:szCs w:val="34"/>
          <w:rtl/>
        </w:rPr>
        <w:tab/>
        <w:t>هيكل الإدارة المعتمد</w:t>
      </w:r>
    </w:p>
    <w:p w14:paraId="27C6CF2A" w14:textId="77777777" w:rsidR="00BD3831" w:rsidRPr="000B74B5" w:rsidRDefault="00BD3831" w:rsidP="0059581F">
      <w:pPr>
        <w:bidi/>
        <w:spacing w:after="240" w:line="340" w:lineRule="exact"/>
        <w:rPr>
          <w:rFonts w:ascii="Arabic Typesetting" w:hAnsi="Arabic Typesetting" w:cs="Arabic Typesetting"/>
          <w:sz w:val="34"/>
          <w:szCs w:val="34"/>
          <w:lang w:bidi="ar-EG"/>
        </w:rPr>
      </w:pPr>
      <w:r w:rsidRPr="00E551B2">
        <w:rPr>
          <w:rFonts w:ascii="Arabic Typesetting" w:hAnsi="Arabic Typesetting" w:cs="Arabic Typesetting"/>
          <w:sz w:val="34"/>
          <w:szCs w:val="34"/>
          <w:rtl/>
          <w:lang w:bidi="ar-EG"/>
        </w:rPr>
        <w:t>تم</w:t>
      </w:r>
      <w:r w:rsidRPr="00E551B2">
        <w:rPr>
          <w:rFonts w:ascii="Arabic Typesetting" w:hAnsi="Arabic Typesetting" w:cs="Arabic Typesetting" w:hint="cs"/>
          <w:sz w:val="34"/>
          <w:szCs w:val="34"/>
          <w:rtl/>
          <w:lang w:bidi="ar-EG"/>
        </w:rPr>
        <w:t>ا</w:t>
      </w:r>
      <w:r w:rsidRPr="00E551B2">
        <w:rPr>
          <w:rFonts w:ascii="Arabic Typesetting" w:hAnsi="Arabic Typesetting" w:cs="Arabic Typesetting"/>
          <w:sz w:val="34"/>
          <w:szCs w:val="34"/>
          <w:rtl/>
          <w:lang w:bidi="ar-EG"/>
        </w:rPr>
        <w:t>شيا مع أفضل الممارسات المتبعة في مجال إدارة المشروعات، طُبق إطار إدارة بشأن الخطة الرأسمالية الرئيسية في</w:t>
      </w:r>
      <w:r w:rsidRPr="00E551B2">
        <w:rPr>
          <w:rFonts w:ascii="Arabic Typesetting" w:hAnsi="Arabic Typesetting" w:cs="Arabic Typesetting" w:hint="cs"/>
          <w:sz w:val="34"/>
          <w:szCs w:val="34"/>
          <w:rtl/>
          <w:lang w:bidi="ar-EG"/>
        </w:rPr>
        <w:t> </w:t>
      </w:r>
      <w:r w:rsidRPr="00E551B2">
        <w:rPr>
          <w:rFonts w:ascii="Arabic Typesetting" w:hAnsi="Arabic Typesetting" w:cs="Arabic Typesetting"/>
          <w:sz w:val="34"/>
          <w:szCs w:val="34"/>
          <w:rtl/>
          <w:lang w:bidi="ar-EG"/>
        </w:rPr>
        <w:t>2014 من أجل ما يلي: "1" تحديد الهياكل والمسارات من أجل إدارة أنشطة المشروعات ورصدها بغية تحقيق أهدافها،</w:t>
      </w:r>
      <w:r w:rsidRPr="00E551B2">
        <w:rPr>
          <w:rFonts w:ascii="Arabic Typesetting" w:hAnsi="Arabic Typesetting" w:cs="Arabic Typesetting" w:hint="cs"/>
          <w:sz w:val="34"/>
          <w:szCs w:val="34"/>
          <w:rtl/>
          <w:lang w:bidi="ar-EG"/>
        </w:rPr>
        <w:t xml:space="preserve"> </w:t>
      </w:r>
      <w:r w:rsidRPr="00E551B2">
        <w:rPr>
          <w:rFonts w:ascii="Arabic Typesetting" w:hAnsi="Arabic Typesetting" w:cs="Arabic Typesetting"/>
          <w:sz w:val="34"/>
          <w:szCs w:val="34"/>
          <w:rtl/>
          <w:lang w:bidi="ar-EG"/>
        </w:rPr>
        <w:t xml:space="preserve">"2" </w:t>
      </w:r>
      <w:r w:rsidRPr="00E551B2">
        <w:rPr>
          <w:rFonts w:ascii="Arabic Typesetting" w:hAnsi="Arabic Typesetting" w:cs="Arabic Typesetting" w:hint="cs"/>
          <w:sz w:val="34"/>
          <w:szCs w:val="34"/>
          <w:rtl/>
          <w:lang w:bidi="ar-EG"/>
        </w:rPr>
        <w:t>و</w:t>
      </w:r>
      <w:r w:rsidRPr="00E551B2">
        <w:rPr>
          <w:rFonts w:ascii="Arabic Typesetting" w:hAnsi="Arabic Typesetting" w:cs="Arabic Typesetting"/>
          <w:sz w:val="34"/>
          <w:szCs w:val="34"/>
          <w:rtl/>
          <w:lang w:bidi="ar-EG"/>
        </w:rPr>
        <w:t>ضمان التحديد الواضح للمسؤوليات وأوجه المساءلة وإبلاغها.</w:t>
      </w:r>
    </w:p>
    <w:p w14:paraId="11065434" w14:textId="77777777" w:rsidR="00BD3831" w:rsidRPr="00932C82" w:rsidRDefault="00BD3831" w:rsidP="0059581F">
      <w:pPr>
        <w:bidi/>
        <w:spacing w:after="240" w:line="340" w:lineRule="exact"/>
        <w:rPr>
          <w:rFonts w:ascii="Arabic Typesetting" w:hAnsi="Arabic Typesetting" w:cs="Arabic Typesetting"/>
          <w:sz w:val="34"/>
          <w:szCs w:val="34"/>
          <w:lang w:bidi="ar-EG"/>
        </w:rPr>
      </w:pPr>
      <w:r w:rsidRPr="00E551B2">
        <w:rPr>
          <w:rFonts w:ascii="Arabic Typesetting" w:hAnsi="Arabic Typesetting" w:cs="Arabic Typesetting"/>
          <w:sz w:val="34"/>
          <w:szCs w:val="34"/>
          <w:rtl/>
          <w:lang w:val="fr-CH" w:bidi="ar-EG"/>
        </w:rPr>
        <w:t xml:space="preserve">وقد أحاطت لجنة البرنامج والميزانية علما في دورتها الثانية والعشرين </w:t>
      </w:r>
      <w:r w:rsidRPr="00E551B2">
        <w:rPr>
          <w:rFonts w:ascii="Arabic Typesetting" w:hAnsi="Arabic Typesetting" w:cs="Arabic Typesetting" w:hint="cs"/>
          <w:sz w:val="34"/>
          <w:szCs w:val="34"/>
          <w:rtl/>
          <w:lang w:val="fr-CH" w:bidi="ar-EG"/>
        </w:rPr>
        <w:t>المعقودة</w:t>
      </w:r>
      <w:r w:rsidRPr="00E551B2">
        <w:rPr>
          <w:rFonts w:ascii="Arabic Typesetting" w:hAnsi="Arabic Typesetting" w:cs="Arabic Typesetting"/>
          <w:sz w:val="34"/>
          <w:szCs w:val="34"/>
          <w:rtl/>
          <w:lang w:val="fr-CH" w:bidi="ar-EG"/>
        </w:rPr>
        <w:t xml:space="preserve"> في سبتمبر</w:t>
      </w:r>
      <w:r w:rsidRPr="00E551B2">
        <w:rPr>
          <w:rFonts w:ascii="Arabic Typesetting" w:hAnsi="Arabic Typesetting" w:cs="Arabic Typesetting" w:hint="cs"/>
          <w:sz w:val="34"/>
          <w:szCs w:val="34"/>
          <w:rtl/>
          <w:lang w:val="fr-CH" w:bidi="ar-EG"/>
        </w:rPr>
        <w:t> </w:t>
      </w:r>
      <w:r w:rsidRPr="00E551B2">
        <w:rPr>
          <w:rFonts w:ascii="Arabic Typesetting" w:hAnsi="Arabic Typesetting" w:cs="Arabic Typesetting"/>
          <w:sz w:val="34"/>
          <w:szCs w:val="34"/>
          <w:rtl/>
          <w:lang w:val="fr-CH" w:bidi="ar-EG"/>
        </w:rPr>
        <w:t>2014 بهيكل الإدارة الذي وُضع لإدارة تنفيذ حافظة مشروعات الخطة الرأسمالية الرئيسية والإشراف عليها وإعداد تقارير بشأنها</w:t>
      </w:r>
      <w:r w:rsidRPr="00E551B2">
        <w:rPr>
          <w:rFonts w:ascii="Arabic Typesetting" w:hAnsi="Arabic Typesetting" w:cs="Arabic Typesetting" w:hint="cs"/>
          <w:sz w:val="34"/>
          <w:szCs w:val="34"/>
          <w:rtl/>
          <w:lang w:val="fr-CH" w:bidi="ar-EG"/>
        </w:rPr>
        <w:t xml:space="preserve">، كما هو وارد في </w:t>
      </w:r>
      <w:r w:rsidRPr="00E551B2">
        <w:rPr>
          <w:rFonts w:ascii="Arabic Typesetting" w:hAnsi="Arabic Typesetting" w:cs="Arabic Typesetting"/>
          <w:sz w:val="34"/>
          <w:szCs w:val="34"/>
          <w:rtl/>
          <w:lang w:val="fr-CH" w:bidi="ar-EG"/>
        </w:rPr>
        <w:t>الوثيقة</w:t>
      </w:r>
      <w:r w:rsidRPr="00E551B2">
        <w:rPr>
          <w:rFonts w:ascii="Arabic Typesetting" w:hAnsi="Arabic Typesetting" w:cs="Arabic Typesetting" w:hint="eastAsia"/>
          <w:sz w:val="34"/>
          <w:szCs w:val="34"/>
          <w:rtl/>
          <w:lang w:val="fr-CH" w:bidi="ar-EG"/>
        </w:rPr>
        <w:t> </w:t>
      </w:r>
      <w:r w:rsidRPr="000B74B5">
        <w:rPr>
          <w:rFonts w:ascii="Arabic Typesetting" w:hAnsi="Arabic Typesetting" w:cs="Arabic Typesetting"/>
          <w:sz w:val="34"/>
          <w:szCs w:val="34"/>
          <w:lang w:bidi="ar-EG"/>
        </w:rPr>
        <w:t>WO/PBC/22/21</w:t>
      </w:r>
      <w:r w:rsidRPr="00E551B2">
        <w:rPr>
          <w:rFonts w:ascii="Arabic Typesetting" w:hAnsi="Arabic Typesetting" w:cs="Arabic Typesetting"/>
          <w:sz w:val="34"/>
          <w:szCs w:val="34"/>
          <w:rtl/>
          <w:lang w:val="fr-CH" w:bidi="ar-EG"/>
        </w:rPr>
        <w:t>)</w:t>
      </w:r>
      <w:r w:rsidRPr="00E551B2">
        <w:rPr>
          <w:rFonts w:ascii="Arabic Typesetting" w:hAnsi="Arabic Typesetting" w:cs="Arabic Typesetting"/>
          <w:sz w:val="28"/>
          <w:szCs w:val="28"/>
          <w:vertAlign w:val="superscript"/>
          <w:lang w:val="fr-CH" w:bidi="ar-EG"/>
        </w:rPr>
        <w:footnoteReference w:id="112"/>
      </w:r>
      <w:r w:rsidRPr="00E551B2">
        <w:rPr>
          <w:rFonts w:ascii="Arabic Typesetting" w:hAnsi="Arabic Typesetting" w:cs="Arabic Typesetting"/>
          <w:sz w:val="34"/>
          <w:szCs w:val="34"/>
          <w:rtl/>
          <w:lang w:val="fr-CH" w:bidi="ar-EG"/>
        </w:rPr>
        <w:t>.</w:t>
      </w:r>
    </w:p>
    <w:p w14:paraId="3AD90F7B" w14:textId="77777777" w:rsidR="00BD3831" w:rsidRPr="00E551B2" w:rsidRDefault="00BD3831" w:rsidP="0059581F">
      <w:pPr>
        <w:keepNext/>
        <w:pageBreakBefore/>
        <w:bidi/>
        <w:spacing w:after="240" w:line="340" w:lineRule="exact"/>
        <w:rPr>
          <w:rFonts w:ascii="Arabic Typesetting" w:hAnsi="Arabic Typesetting" w:cs="Arabic Typesetting"/>
          <w:bCs/>
          <w:sz w:val="34"/>
          <w:szCs w:val="36"/>
          <w:rtl/>
          <w:lang w:val="fr-CH"/>
        </w:rPr>
      </w:pPr>
      <w:r w:rsidRPr="00E551B2">
        <w:rPr>
          <w:rFonts w:ascii="Arabic Typesetting" w:hAnsi="Arabic Typesetting" w:cs="Arabic Typesetting"/>
          <w:bCs/>
          <w:sz w:val="34"/>
          <w:szCs w:val="36"/>
          <w:rtl/>
          <w:lang w:val="fr-CH"/>
        </w:rPr>
        <w:lastRenderedPageBreak/>
        <w:t>المشروعات المتصلة بتكنولوجيا المعلومات والاتصالات</w:t>
      </w:r>
    </w:p>
    <w:p w14:paraId="3433AB30" w14:textId="77777777" w:rsidR="00BD3831" w:rsidRPr="00D417A4" w:rsidRDefault="00BD3831" w:rsidP="0059581F">
      <w:pPr>
        <w:pStyle w:val="Heading4"/>
        <w:rPr>
          <w:rtl/>
        </w:rPr>
      </w:pPr>
      <w:bookmarkStart w:id="66" w:name="_Toc422829675"/>
      <w:bookmarkStart w:id="67" w:name="_Toc455393410"/>
      <w:bookmarkStart w:id="68" w:name="_Toc482782786"/>
      <w:r w:rsidRPr="00D417A4">
        <w:rPr>
          <w:rtl/>
        </w:rPr>
        <w:t>المشروع</w:t>
      </w:r>
      <w:r w:rsidRPr="00D417A4">
        <w:rPr>
          <w:rFonts w:hint="cs"/>
          <w:rtl/>
        </w:rPr>
        <w:t xml:space="preserve"> 1</w:t>
      </w:r>
      <w:r w:rsidRPr="00D417A4">
        <w:rPr>
          <w:rtl/>
        </w:rPr>
        <w:t>: تعزيز الأمن: تشفير البيانات وإدارة المستخدمين</w:t>
      </w:r>
      <w:bookmarkEnd w:id="66"/>
      <w:r w:rsidRPr="00D417A4">
        <w:rPr>
          <w:rFonts w:hint="cs"/>
          <w:rtl/>
        </w:rPr>
        <w:t xml:space="preserve"> (</w:t>
      </w:r>
      <w:r w:rsidRPr="00D417A4">
        <w:t>CMP 1</w:t>
      </w:r>
      <w:r w:rsidRPr="00D417A4">
        <w:rPr>
          <w:rFonts w:hint="cs"/>
          <w:rtl/>
        </w:rPr>
        <w:t>)</w:t>
      </w:r>
      <w:bookmarkEnd w:id="67"/>
      <w:bookmarkEnd w:id="68"/>
    </w:p>
    <w:p w14:paraId="3D3B318C" w14:textId="77777777" w:rsidR="00BD3831" w:rsidRPr="00016BCA" w:rsidRDefault="00BD3831" w:rsidP="0059581F">
      <w:pPr>
        <w:keepNext/>
        <w:bidi/>
        <w:spacing w:after="240" w:line="340" w:lineRule="exact"/>
        <w:ind w:left="1417" w:hanging="1417"/>
        <w:rPr>
          <w:rFonts w:ascii="Arabic Typesetting" w:hAnsi="Arabic Typesetting" w:cs="Arabic Typesetting"/>
          <w:bCs/>
          <w:sz w:val="34"/>
          <w:szCs w:val="34"/>
          <w:rtl/>
          <w:lang w:val="fr-CH"/>
        </w:rPr>
      </w:pPr>
      <w:r w:rsidRPr="00016BCA">
        <w:rPr>
          <w:rFonts w:ascii="Arabic Typesetting" w:hAnsi="Arabic Typesetting" w:cs="Arabic Typesetting"/>
          <w:bCs/>
          <w:sz w:val="34"/>
          <w:szCs w:val="34"/>
          <w:rtl/>
          <w:lang w:val="fr-CH"/>
        </w:rPr>
        <w:t>مدير المشروع</w:t>
      </w:r>
      <w:r w:rsidRPr="00016BCA">
        <w:rPr>
          <w:rFonts w:ascii="Arabic Typesetting" w:hAnsi="Arabic Typesetting" w:cs="Arabic Typesetting" w:hint="cs"/>
          <w:bCs/>
          <w:sz w:val="34"/>
          <w:szCs w:val="34"/>
          <w:rtl/>
          <w:lang w:val="fr-CH"/>
        </w:rPr>
        <w:t>:</w:t>
      </w:r>
      <w:r w:rsidRPr="00016BCA">
        <w:rPr>
          <w:rFonts w:ascii="Arabic Typesetting" w:hAnsi="Arabic Typesetting" w:cs="Arabic Typesetting"/>
          <w:bCs/>
          <w:sz w:val="34"/>
          <w:szCs w:val="34"/>
          <w:lang w:val="fr-CH"/>
        </w:rPr>
        <w:tab/>
      </w:r>
      <w:r w:rsidRPr="00016BCA">
        <w:rPr>
          <w:rFonts w:ascii="Arabic Typesetting" w:hAnsi="Arabic Typesetting" w:cs="Arabic Typesetting"/>
          <w:bCs/>
          <w:sz w:val="34"/>
          <w:szCs w:val="34"/>
          <w:rtl/>
          <w:lang w:val="fr-CH"/>
        </w:rPr>
        <w:t>السيد ر</w:t>
      </w:r>
      <w:r w:rsidRPr="00016BCA">
        <w:rPr>
          <w:rFonts w:ascii="Arabic Typesetting" w:hAnsi="Arabic Typesetting" w:cs="Arabic Typesetting" w:hint="cs"/>
          <w:bCs/>
          <w:sz w:val="34"/>
          <w:szCs w:val="34"/>
          <w:rtl/>
          <w:lang w:val="fr-CH"/>
        </w:rPr>
        <w:t>يتشارد</w:t>
      </w:r>
      <w:r w:rsidRPr="00016BCA">
        <w:rPr>
          <w:rFonts w:ascii="Arabic Typesetting" w:hAnsi="Arabic Typesetting" w:cs="Arabic Typesetting"/>
          <w:bCs/>
          <w:sz w:val="34"/>
          <w:szCs w:val="34"/>
          <w:rtl/>
          <w:lang w:val="fr-CH"/>
        </w:rPr>
        <w:t xml:space="preserve"> لين</w:t>
      </w:r>
    </w:p>
    <w:p w14:paraId="22E88AEC" w14:textId="77777777" w:rsidR="00BD3831" w:rsidRPr="00E551B2" w:rsidRDefault="00BD3831" w:rsidP="0059581F">
      <w:pPr>
        <w:keepNext/>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النتيجة المرتقبة</w:t>
      </w:r>
    </w:p>
    <w:p w14:paraId="4E264904" w14:textId="77777777" w:rsidR="00BD3831" w:rsidRPr="00E551B2" w:rsidRDefault="00BD3831" w:rsidP="0059581F">
      <w:pPr>
        <w:bidi/>
        <w:spacing w:after="240" w:line="340" w:lineRule="exact"/>
        <w:rPr>
          <w:rFonts w:ascii="Arabic Typesetting" w:hAnsi="Arabic Typesetting" w:cs="Arabic Typesetting"/>
          <w:iCs/>
          <w:sz w:val="34"/>
          <w:szCs w:val="34"/>
          <w:rtl/>
          <w:lang w:bidi="ar-EG"/>
        </w:rPr>
      </w:pPr>
      <w:r w:rsidRPr="00E551B2">
        <w:rPr>
          <w:rFonts w:ascii="Arabic Typesetting" w:hAnsi="Arabic Typesetting" w:cs="Arabic Typesetting"/>
          <w:iCs/>
          <w:sz w:val="34"/>
          <w:szCs w:val="34"/>
          <w:rtl/>
          <w:lang w:bidi="ar-EG"/>
        </w:rPr>
        <w:t>ه1.9</w:t>
      </w:r>
      <w:r w:rsidRPr="00E551B2">
        <w:rPr>
          <w:rFonts w:ascii="Arabic Typesetting" w:hAnsi="Arabic Typesetting" w:cs="Arabic Typesetting"/>
          <w:iCs/>
          <w:sz w:val="34"/>
          <w:szCs w:val="34"/>
          <w:rtl/>
          <w:lang w:bidi="ar-EG"/>
        </w:rPr>
        <w:tab/>
      </w:r>
      <w:r>
        <w:rPr>
          <w:rFonts w:ascii="Arabic Typesetting" w:hAnsi="Arabic Typesetting" w:cs="Arabic Typesetting"/>
          <w:iCs/>
          <w:sz w:val="34"/>
          <w:szCs w:val="34"/>
          <w:rtl/>
          <w:lang w:bidi="ar-EG"/>
        </w:rPr>
        <w:t>خدمات دعم موجهة للزبون بفعالية وكفاءة وجودة لفائدة الزبائن الداخليين وأصحاب المصلحة الخارجيين</w:t>
      </w:r>
    </w:p>
    <w:p w14:paraId="2DCBEAA8" w14:textId="77777777" w:rsidR="00BD3831" w:rsidRPr="00E551B2" w:rsidRDefault="00BD3831" w:rsidP="0059581F">
      <w:pPr>
        <w:keepNext/>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الأهداف والنطاق والنهج – معلومات أساسية</w:t>
      </w:r>
    </w:p>
    <w:p w14:paraId="02F5FE76" w14:textId="77777777" w:rsidR="00BD3831" w:rsidRPr="00E551B2" w:rsidRDefault="00BD3831" w:rsidP="0059581F">
      <w:pPr>
        <w:numPr>
          <w:ilvl w:val="0"/>
          <w:numId w:val="58"/>
        </w:numPr>
        <w:tabs>
          <w:tab w:val="clear" w:pos="567"/>
        </w:tabs>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hint="cs"/>
          <w:sz w:val="34"/>
          <w:szCs w:val="34"/>
          <w:rtl/>
          <w:lang w:val="fr-CH"/>
        </w:rPr>
        <w:t>يرمي</w:t>
      </w:r>
      <w:r w:rsidRPr="00E551B2">
        <w:rPr>
          <w:rFonts w:ascii="Arabic Typesetting" w:hAnsi="Arabic Typesetting" w:cs="Arabic Typesetting"/>
          <w:sz w:val="34"/>
          <w:szCs w:val="34"/>
          <w:rtl/>
          <w:lang w:val="fr-CH"/>
        </w:rPr>
        <w:t xml:space="preserve"> هذا المشروع </w:t>
      </w:r>
      <w:r w:rsidRPr="00E551B2">
        <w:rPr>
          <w:rFonts w:ascii="Arabic Typesetting" w:hAnsi="Arabic Typesetting" w:cs="Arabic Typesetting" w:hint="cs"/>
          <w:sz w:val="34"/>
          <w:szCs w:val="34"/>
          <w:rtl/>
          <w:lang w:val="fr-CH"/>
        </w:rPr>
        <w:t xml:space="preserve">إلى تحقيق </w:t>
      </w:r>
      <w:r w:rsidRPr="00E551B2">
        <w:rPr>
          <w:rFonts w:ascii="Arabic Typesetting" w:hAnsi="Arabic Typesetting" w:cs="Arabic Typesetting"/>
          <w:sz w:val="34"/>
          <w:szCs w:val="34"/>
          <w:rtl/>
          <w:lang w:val="fr-CH"/>
        </w:rPr>
        <w:t xml:space="preserve">ثلاثة أهداف أولية </w:t>
      </w:r>
      <w:r w:rsidRPr="00E551B2">
        <w:rPr>
          <w:rFonts w:ascii="Arabic Typesetting" w:hAnsi="Arabic Typesetting" w:cs="Arabic Typesetting" w:hint="cs"/>
          <w:sz w:val="34"/>
          <w:szCs w:val="34"/>
          <w:rtl/>
          <w:lang w:val="fr-CH"/>
        </w:rPr>
        <w:t>هي</w:t>
      </w:r>
      <w:r w:rsidRPr="00E551B2">
        <w:rPr>
          <w:rFonts w:ascii="Arabic Typesetting" w:hAnsi="Arabic Typesetting" w:cs="Arabic Typesetting"/>
          <w:sz w:val="34"/>
          <w:szCs w:val="34"/>
          <w:rtl/>
          <w:lang w:val="fr-CH"/>
        </w:rPr>
        <w:t xml:space="preserve"> حماية البيانات الأساسية، وإتاحة خيارات للاستعانة بمصادر مختلفة تتسم التكاليف فيها بقدر أكبر من الفعالية، وإدارة حقوق نفاذ المستخدمين إدارة كلية</w:t>
      </w:r>
      <w:r w:rsidRPr="00E551B2">
        <w:rPr>
          <w:rFonts w:ascii="Arabic Typesetting" w:hAnsi="Arabic Typesetting" w:cs="Arabic Typesetting"/>
          <w:sz w:val="34"/>
          <w:szCs w:val="34"/>
          <w:lang w:val="fr-CH"/>
        </w:rPr>
        <w:t>.</w:t>
      </w:r>
    </w:p>
    <w:p w14:paraId="322F96A9" w14:textId="77777777" w:rsidR="00BD3831" w:rsidRPr="00E551B2" w:rsidRDefault="00BD3831" w:rsidP="0059581F">
      <w:pPr>
        <w:numPr>
          <w:ilvl w:val="0"/>
          <w:numId w:val="58"/>
        </w:numPr>
        <w:tabs>
          <w:tab w:val="clear" w:pos="567"/>
        </w:tabs>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وقد اتبعت الويبو نه</w:t>
      </w:r>
      <w:r w:rsidRPr="00E551B2">
        <w:rPr>
          <w:rFonts w:ascii="Arabic Typesetting" w:hAnsi="Arabic Typesetting" w:cs="Arabic Typesetting" w:hint="cs"/>
          <w:sz w:val="34"/>
          <w:szCs w:val="34"/>
          <w:rtl/>
          <w:lang w:val="fr-CH"/>
        </w:rPr>
        <w:t>و</w:t>
      </w:r>
      <w:r w:rsidRPr="00E551B2">
        <w:rPr>
          <w:rFonts w:ascii="Arabic Typesetting" w:hAnsi="Arabic Typesetting" w:cs="Arabic Typesetting"/>
          <w:sz w:val="34"/>
          <w:szCs w:val="34"/>
          <w:rtl/>
          <w:lang w:val="fr-CH"/>
        </w:rPr>
        <w:t>جا متعددة الأوجه في حماية المعلومات السرية. وتشمل هذه النه</w:t>
      </w:r>
      <w:r w:rsidRPr="00E551B2">
        <w:rPr>
          <w:rFonts w:ascii="Arabic Typesetting" w:hAnsi="Arabic Typesetting" w:cs="Arabic Typesetting" w:hint="cs"/>
          <w:sz w:val="34"/>
          <w:szCs w:val="34"/>
          <w:rtl/>
          <w:lang w:val="fr-CH"/>
        </w:rPr>
        <w:t>و</w:t>
      </w:r>
      <w:r w:rsidRPr="00E551B2">
        <w:rPr>
          <w:rFonts w:ascii="Arabic Typesetting" w:hAnsi="Arabic Typesetting" w:cs="Arabic Typesetting"/>
          <w:sz w:val="34"/>
          <w:szCs w:val="34"/>
          <w:rtl/>
          <w:lang w:val="fr-CH"/>
        </w:rPr>
        <w:t xml:space="preserve">ج </w:t>
      </w:r>
      <w:r w:rsidRPr="00E551B2">
        <w:rPr>
          <w:rFonts w:ascii="Arabic Typesetting" w:hAnsi="Arabic Typesetting" w:cs="Arabic Typesetting" w:hint="cs"/>
          <w:sz w:val="34"/>
          <w:szCs w:val="34"/>
          <w:rtl/>
          <w:lang w:val="fr-CH"/>
        </w:rPr>
        <w:t xml:space="preserve">جملة أمور منها </w:t>
      </w:r>
      <w:r w:rsidRPr="00E551B2">
        <w:rPr>
          <w:rFonts w:ascii="Arabic Typesetting" w:hAnsi="Arabic Typesetting" w:cs="Arabic Typesetting"/>
          <w:sz w:val="34"/>
          <w:szCs w:val="34"/>
          <w:rtl/>
          <w:lang w:val="fr-CH"/>
        </w:rPr>
        <w:t>الآليات التقليدية للدفاع عن الحدود الخارجية، و</w:t>
      </w:r>
      <w:r w:rsidRPr="00E551B2">
        <w:rPr>
          <w:rFonts w:ascii="Arabic Typesetting" w:hAnsi="Arabic Typesetting" w:cs="Arabic Typesetting" w:hint="cs"/>
          <w:sz w:val="34"/>
          <w:szCs w:val="34"/>
          <w:rtl/>
          <w:lang w:val="fr-CH"/>
        </w:rPr>
        <w:t>الأنظمة</w:t>
      </w:r>
      <w:r w:rsidRPr="00E551B2">
        <w:rPr>
          <w:rFonts w:ascii="Arabic Typesetting" w:hAnsi="Arabic Typesetting" w:cs="Arabic Typesetting"/>
          <w:sz w:val="34"/>
          <w:szCs w:val="34"/>
          <w:rtl/>
          <w:lang w:val="fr-CH"/>
        </w:rPr>
        <w:t xml:space="preserve"> الأمن</w:t>
      </w:r>
      <w:r w:rsidRPr="00E551B2">
        <w:rPr>
          <w:rFonts w:ascii="Arabic Typesetting" w:hAnsi="Arabic Typesetting" w:cs="Arabic Typesetting" w:hint="cs"/>
          <w:sz w:val="34"/>
          <w:szCs w:val="34"/>
          <w:rtl/>
          <w:lang w:val="fr-CH"/>
        </w:rPr>
        <w:t>ية</w:t>
      </w:r>
      <w:r w:rsidRPr="00E551B2">
        <w:rPr>
          <w:rFonts w:ascii="Arabic Typesetting" w:hAnsi="Arabic Typesetting" w:cs="Arabic Typesetting"/>
          <w:sz w:val="34"/>
          <w:szCs w:val="34"/>
          <w:rtl/>
          <w:lang w:val="fr-CH"/>
        </w:rPr>
        <w:t xml:space="preserve"> لإدارة المعلومات والأحداث، واكتشاف حالات الاختراق ومنعها. </w:t>
      </w:r>
      <w:r w:rsidRPr="00E551B2">
        <w:rPr>
          <w:rFonts w:ascii="Arabic Typesetting" w:hAnsi="Arabic Typesetting" w:cs="Arabic Typesetting" w:hint="cs"/>
          <w:sz w:val="34"/>
          <w:szCs w:val="34"/>
          <w:rtl/>
          <w:lang w:val="fr-CH"/>
        </w:rPr>
        <w:t>ومواجهةً ل</w:t>
      </w:r>
      <w:r w:rsidRPr="00E551B2">
        <w:rPr>
          <w:rFonts w:ascii="Arabic Typesetting" w:hAnsi="Arabic Typesetting" w:cs="Arabic Typesetting"/>
          <w:sz w:val="34"/>
          <w:szCs w:val="34"/>
          <w:rtl/>
          <w:lang w:val="fr-CH"/>
        </w:rPr>
        <w:t>لتهديدات الأمنية التي لا تفتأ تزداد تعقيدا، أصبحت أفضل ممارسات أمن المعلومات</w:t>
      </w:r>
      <w:r w:rsidRPr="00E551B2">
        <w:rPr>
          <w:rFonts w:ascii="Arabic Typesetting" w:hAnsi="Arabic Typesetting" w:cs="Arabic Typesetting" w:hint="cs"/>
          <w:sz w:val="34"/>
          <w:szCs w:val="34"/>
          <w:rtl/>
          <w:lang w:val="fr-CH"/>
        </w:rPr>
        <w:t xml:space="preserve"> تشدد</w:t>
      </w:r>
      <w:r w:rsidRPr="00E551B2">
        <w:rPr>
          <w:rFonts w:ascii="Arabic Typesetting" w:hAnsi="Arabic Typesetting" w:cs="Arabic Typesetting"/>
          <w:sz w:val="34"/>
          <w:szCs w:val="34"/>
          <w:rtl/>
          <w:lang w:val="fr-CH"/>
        </w:rPr>
        <w:t xml:space="preserve"> أيضا على حماية المصدر مباشرةً</w:t>
      </w:r>
      <w:r w:rsidRPr="00E551B2">
        <w:rPr>
          <w:rFonts w:ascii="Arabic Typesetting" w:hAnsi="Arabic Typesetting" w:cs="Arabic Typesetting"/>
          <w:sz w:val="34"/>
          <w:szCs w:val="34"/>
          <w:lang w:val="fr-CH"/>
        </w:rPr>
        <w:t>.</w:t>
      </w:r>
    </w:p>
    <w:p w14:paraId="66B3A829" w14:textId="77777777" w:rsidR="00BD3831" w:rsidRPr="00E551B2" w:rsidRDefault="00BD3831" w:rsidP="0059581F">
      <w:pPr>
        <w:numPr>
          <w:ilvl w:val="0"/>
          <w:numId w:val="58"/>
        </w:numPr>
        <w:tabs>
          <w:tab w:val="clear" w:pos="567"/>
        </w:tabs>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hint="cs"/>
          <w:sz w:val="34"/>
          <w:szCs w:val="34"/>
          <w:rtl/>
          <w:lang w:val="fr-CH"/>
        </w:rPr>
        <w:t>ولا شك في أ</w:t>
      </w:r>
      <w:r w:rsidRPr="00E551B2">
        <w:rPr>
          <w:rFonts w:ascii="Arabic Typesetting" w:hAnsi="Arabic Typesetting" w:cs="Arabic Typesetting"/>
          <w:sz w:val="34"/>
          <w:szCs w:val="34"/>
          <w:rtl/>
          <w:lang w:val="fr-CH"/>
        </w:rPr>
        <w:t xml:space="preserve">ن توفر خيارات للاستعانة بالمصادر المختلفة التي تتسم التكاليف فيها بالفعالية </w:t>
      </w:r>
      <w:r w:rsidRPr="00E551B2">
        <w:rPr>
          <w:rFonts w:ascii="Arabic Typesetting" w:hAnsi="Arabic Typesetting" w:cs="Arabic Typesetting" w:hint="cs"/>
          <w:sz w:val="34"/>
          <w:szCs w:val="34"/>
          <w:rtl/>
          <w:lang w:val="fr-CH"/>
        </w:rPr>
        <w:t xml:space="preserve">بات </w:t>
      </w:r>
      <w:r w:rsidRPr="00E551B2">
        <w:rPr>
          <w:rFonts w:ascii="Arabic Typesetting" w:hAnsi="Arabic Typesetting" w:cs="Arabic Typesetting"/>
          <w:sz w:val="34"/>
          <w:szCs w:val="34"/>
          <w:rtl/>
          <w:lang w:val="fr-CH"/>
        </w:rPr>
        <w:t>ضرور</w:t>
      </w:r>
      <w:r w:rsidRPr="00E551B2">
        <w:rPr>
          <w:rFonts w:ascii="Arabic Typesetting" w:hAnsi="Arabic Typesetting" w:cs="Arabic Typesetting" w:hint="cs"/>
          <w:sz w:val="34"/>
          <w:szCs w:val="34"/>
          <w:rtl/>
          <w:lang w:val="fr-CH"/>
        </w:rPr>
        <w:t>ة</w:t>
      </w:r>
      <w:r w:rsidRPr="00E551B2">
        <w:rPr>
          <w:rFonts w:ascii="Arabic Typesetting" w:hAnsi="Arabic Typesetting" w:cs="Arabic Typesetting"/>
          <w:sz w:val="34"/>
          <w:szCs w:val="34"/>
          <w:rtl/>
          <w:lang w:val="fr-CH"/>
        </w:rPr>
        <w:t xml:space="preserve"> في عالم إدارة تكنولوجيا المعلومات الذي يتطلب </w:t>
      </w:r>
      <w:r w:rsidRPr="00E551B2">
        <w:rPr>
          <w:rFonts w:ascii="Arabic Typesetting" w:hAnsi="Arabic Typesetting" w:cs="Arabic Typesetting" w:hint="cs"/>
          <w:sz w:val="34"/>
          <w:szCs w:val="34"/>
          <w:rtl/>
          <w:lang w:val="fr-CH"/>
        </w:rPr>
        <w:t>وجود</w:t>
      </w:r>
      <w:r w:rsidRPr="00E551B2">
        <w:rPr>
          <w:rFonts w:ascii="Arabic Typesetting" w:hAnsi="Arabic Typesetting" w:cs="Arabic Typesetting"/>
          <w:sz w:val="34"/>
          <w:szCs w:val="34"/>
          <w:rtl/>
          <w:lang w:val="fr-CH"/>
        </w:rPr>
        <w:t xml:space="preserve"> كفاءات متنوعة وسريعة التغير من ناحية والتمتع بالقدرة على حشد قوة </w:t>
      </w:r>
      <w:r w:rsidRPr="00E551B2">
        <w:rPr>
          <w:rFonts w:ascii="Arabic Typesetting" w:hAnsi="Arabic Typesetting" w:cs="Arabic Typesetting" w:hint="cs"/>
          <w:sz w:val="34"/>
          <w:szCs w:val="34"/>
          <w:rtl/>
          <w:lang w:val="fr-CH"/>
        </w:rPr>
        <w:t>عاملة</w:t>
      </w:r>
      <w:r w:rsidRPr="00E551B2">
        <w:rPr>
          <w:rFonts w:ascii="Arabic Typesetting" w:hAnsi="Arabic Typesetting" w:cs="Arabic Typesetting"/>
          <w:sz w:val="34"/>
          <w:szCs w:val="34"/>
          <w:rtl/>
          <w:lang w:val="fr-CH"/>
        </w:rPr>
        <w:t xml:space="preserve"> بسرعة لتلبية أولويات العمل المتغيرة من ناحية أخرى. و</w:t>
      </w:r>
      <w:r w:rsidRPr="00E551B2">
        <w:rPr>
          <w:rFonts w:ascii="Arabic Typesetting" w:hAnsi="Arabic Typesetting" w:cs="Arabic Typesetting" w:hint="cs"/>
          <w:sz w:val="34"/>
          <w:szCs w:val="34"/>
          <w:rtl/>
          <w:lang w:val="fr-CH"/>
        </w:rPr>
        <w:t>لكن</w:t>
      </w:r>
      <w:r w:rsidRPr="00E551B2">
        <w:rPr>
          <w:rFonts w:ascii="Arabic Typesetting" w:hAnsi="Arabic Typesetting" w:cs="Arabic Typesetting"/>
          <w:sz w:val="34"/>
          <w:szCs w:val="34"/>
          <w:rtl/>
          <w:lang w:val="fr-CH"/>
        </w:rPr>
        <w:t xml:space="preserve"> زيادة خيارات الاستعانة بالمصادر المختلفة </w:t>
      </w:r>
      <w:r w:rsidRPr="00E551B2">
        <w:rPr>
          <w:rFonts w:ascii="Arabic Typesetting" w:hAnsi="Arabic Typesetting" w:cs="Arabic Typesetting" w:hint="cs"/>
          <w:sz w:val="34"/>
          <w:szCs w:val="34"/>
          <w:rtl/>
          <w:lang w:val="fr-CH"/>
        </w:rPr>
        <w:t>تنطوي على</w:t>
      </w:r>
      <w:r w:rsidRPr="00E551B2">
        <w:rPr>
          <w:rFonts w:ascii="Arabic Typesetting" w:hAnsi="Arabic Typesetting" w:cs="Arabic Typesetting"/>
          <w:sz w:val="34"/>
          <w:szCs w:val="34"/>
          <w:rtl/>
          <w:lang w:val="fr-CH"/>
        </w:rPr>
        <w:t xml:space="preserve"> زيادة </w:t>
      </w:r>
      <w:r w:rsidRPr="00E551B2">
        <w:rPr>
          <w:rFonts w:ascii="Arabic Typesetting" w:hAnsi="Arabic Typesetting" w:cs="Arabic Typesetting" w:hint="cs"/>
          <w:sz w:val="34"/>
          <w:szCs w:val="34"/>
          <w:rtl/>
          <w:lang w:val="fr-CH"/>
        </w:rPr>
        <w:t>المخاطر</w:t>
      </w:r>
      <w:r w:rsidRPr="00E551B2">
        <w:rPr>
          <w:rFonts w:ascii="Arabic Typesetting" w:hAnsi="Arabic Typesetting" w:cs="Arabic Typesetting"/>
          <w:sz w:val="34"/>
          <w:szCs w:val="34"/>
          <w:rtl/>
          <w:lang w:val="fr-CH"/>
        </w:rPr>
        <w:t xml:space="preserve"> التي يتعرض لها أمن المعلومات</w:t>
      </w:r>
      <w:r w:rsidRPr="00E551B2">
        <w:rPr>
          <w:rFonts w:ascii="Arabic Typesetting" w:hAnsi="Arabic Typesetting" w:cs="Arabic Typesetting"/>
          <w:sz w:val="34"/>
          <w:szCs w:val="34"/>
          <w:lang w:val="fr-CH"/>
        </w:rPr>
        <w:t>.</w:t>
      </w:r>
    </w:p>
    <w:p w14:paraId="15472AC7" w14:textId="77777777" w:rsidR="00BD3831" w:rsidRPr="00E551B2" w:rsidRDefault="00BD3831" w:rsidP="0059581F">
      <w:pPr>
        <w:numPr>
          <w:ilvl w:val="0"/>
          <w:numId w:val="58"/>
        </w:numPr>
        <w:tabs>
          <w:tab w:val="clear" w:pos="567"/>
        </w:tabs>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ويمكن لتكنولوجيا تشفير بيانات المؤسسة أن تقدم حلولا فعالة لمواجهة هذين التحديين. وتكم</w:t>
      </w:r>
      <w:r w:rsidRPr="00E551B2">
        <w:rPr>
          <w:rFonts w:ascii="Arabic Typesetting" w:hAnsi="Arabic Typesetting" w:cs="Arabic Typesetting" w:hint="cs"/>
          <w:sz w:val="34"/>
          <w:szCs w:val="34"/>
          <w:rtl/>
          <w:lang w:val="fr-CH"/>
        </w:rPr>
        <w:t>ّ</w:t>
      </w:r>
      <w:r w:rsidRPr="00E551B2">
        <w:rPr>
          <w:rFonts w:ascii="Arabic Typesetting" w:hAnsi="Arabic Typesetting" w:cs="Arabic Typesetting"/>
          <w:sz w:val="34"/>
          <w:szCs w:val="34"/>
          <w:rtl/>
          <w:lang w:val="fr-CH"/>
        </w:rPr>
        <w:t xml:space="preserve">ل هذه الحلول غيرها من تدابير أمن المعلومات عن طريق تشفير مصدر البيانات. </w:t>
      </w:r>
      <w:r w:rsidRPr="00E551B2">
        <w:rPr>
          <w:rFonts w:ascii="Arabic Typesetting" w:hAnsi="Arabic Typesetting" w:cs="Arabic Typesetting" w:hint="cs"/>
          <w:sz w:val="34"/>
          <w:szCs w:val="34"/>
          <w:rtl/>
          <w:lang w:val="fr-CH"/>
        </w:rPr>
        <w:t>وتتيح أيضاً الم</w:t>
      </w:r>
      <w:r w:rsidRPr="00E551B2">
        <w:rPr>
          <w:rFonts w:ascii="Arabic Typesetting" w:hAnsi="Arabic Typesetting" w:cs="Arabic Typesetting"/>
          <w:sz w:val="34"/>
          <w:szCs w:val="34"/>
          <w:rtl/>
          <w:lang w:val="fr-CH"/>
        </w:rPr>
        <w:t xml:space="preserve">زيد من المرونة في اختيار مقدمي خدمات </w:t>
      </w:r>
      <w:r w:rsidRPr="00E551B2">
        <w:rPr>
          <w:rFonts w:ascii="Arabic Typesetting" w:hAnsi="Arabic Typesetting" w:cs="Arabic Typesetting" w:hint="cs"/>
          <w:sz w:val="34"/>
          <w:szCs w:val="34"/>
          <w:rtl/>
          <w:lang w:val="fr-CH"/>
        </w:rPr>
        <w:t>يتسمون بالفعالية من حيث التكلفة</w:t>
      </w:r>
      <w:r w:rsidRPr="00E551B2">
        <w:rPr>
          <w:rFonts w:ascii="Arabic Typesetting" w:hAnsi="Arabic Typesetting" w:cs="Arabic Typesetting"/>
          <w:sz w:val="34"/>
          <w:szCs w:val="34"/>
          <w:rtl/>
          <w:lang w:val="fr-CH"/>
        </w:rPr>
        <w:t xml:space="preserve"> </w:t>
      </w:r>
      <w:r w:rsidRPr="00E551B2">
        <w:rPr>
          <w:rFonts w:ascii="Arabic Typesetting" w:hAnsi="Arabic Typesetting" w:cs="Arabic Typesetting" w:hint="cs"/>
          <w:sz w:val="34"/>
          <w:szCs w:val="34"/>
          <w:rtl/>
          <w:lang w:val="fr-CH"/>
        </w:rPr>
        <w:t xml:space="preserve">عن طريق </w:t>
      </w:r>
      <w:r w:rsidRPr="00E551B2">
        <w:rPr>
          <w:rFonts w:ascii="Arabic Typesetting" w:hAnsi="Arabic Typesetting" w:cs="Arabic Typesetting"/>
          <w:sz w:val="34"/>
          <w:szCs w:val="34"/>
          <w:rtl/>
          <w:lang w:val="fr-CH"/>
        </w:rPr>
        <w:t xml:space="preserve">إبقاء التشفير تحت رقابة صارمة مع تمكين مقدمي الخدمات من أداء مهمات </w:t>
      </w:r>
      <w:r w:rsidRPr="00E551B2">
        <w:rPr>
          <w:rFonts w:ascii="Arabic Typesetting" w:hAnsi="Arabic Typesetting" w:cs="Arabic Typesetting" w:hint="cs"/>
          <w:sz w:val="34"/>
          <w:szCs w:val="34"/>
          <w:rtl/>
          <w:lang w:val="fr-CH"/>
        </w:rPr>
        <w:t>الدعم</w:t>
      </w:r>
      <w:r w:rsidRPr="00E551B2">
        <w:rPr>
          <w:rFonts w:ascii="Arabic Typesetting" w:hAnsi="Arabic Typesetting" w:cs="Arabic Typesetting"/>
          <w:sz w:val="34"/>
          <w:szCs w:val="34"/>
          <w:lang w:val="fr-CH"/>
        </w:rPr>
        <w:t>.</w:t>
      </w:r>
    </w:p>
    <w:p w14:paraId="6640CDC3" w14:textId="77777777" w:rsidR="00BD3831" w:rsidRPr="00E551B2" w:rsidRDefault="00BD3831" w:rsidP="0059581F">
      <w:pPr>
        <w:numPr>
          <w:ilvl w:val="0"/>
          <w:numId w:val="58"/>
        </w:numPr>
        <w:tabs>
          <w:tab w:val="clear" w:pos="567"/>
        </w:tabs>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وتكم</w:t>
      </w:r>
      <w:r w:rsidRPr="00E551B2">
        <w:rPr>
          <w:rFonts w:ascii="Arabic Typesetting" w:hAnsi="Arabic Typesetting" w:cs="Arabic Typesetting" w:hint="cs"/>
          <w:sz w:val="34"/>
          <w:szCs w:val="34"/>
          <w:rtl/>
          <w:lang w:val="fr-CH"/>
        </w:rPr>
        <w:t>ّ</w:t>
      </w:r>
      <w:r w:rsidRPr="00E551B2">
        <w:rPr>
          <w:rFonts w:ascii="Arabic Typesetting" w:hAnsi="Arabic Typesetting" w:cs="Arabic Typesetting"/>
          <w:sz w:val="34"/>
          <w:szCs w:val="34"/>
          <w:rtl/>
          <w:lang w:val="fr-CH"/>
        </w:rPr>
        <w:t>ل الإدارة الفعالة لحقوق النفاذ أيضا الاستثمار في حلول تشفير بيانات المؤسسة. وتركز إدارة حقوق النفاذ تقليديا على الأنظمة</w:t>
      </w:r>
      <w:r w:rsidRPr="00E551B2">
        <w:rPr>
          <w:rFonts w:ascii="Arabic Typesetting" w:hAnsi="Arabic Typesetting" w:cs="Arabic Typesetting" w:hint="cs"/>
          <w:sz w:val="34"/>
          <w:szCs w:val="34"/>
          <w:rtl/>
          <w:lang w:val="fr-CH"/>
        </w:rPr>
        <w:t>. فهي تحدد أصحاب</w:t>
      </w:r>
      <w:r w:rsidRPr="00E551B2">
        <w:rPr>
          <w:rFonts w:ascii="Arabic Typesetting" w:hAnsi="Arabic Typesetting" w:cs="Arabic Typesetting"/>
          <w:sz w:val="34"/>
          <w:szCs w:val="34"/>
          <w:rtl/>
          <w:lang w:val="fr-CH"/>
        </w:rPr>
        <w:t xml:space="preserve"> الحق</w:t>
      </w:r>
      <w:r w:rsidRPr="00E551B2">
        <w:rPr>
          <w:rFonts w:ascii="Arabic Typesetting" w:hAnsi="Arabic Typesetting" w:cs="Arabic Typesetting" w:hint="cs"/>
          <w:sz w:val="34"/>
          <w:szCs w:val="34"/>
          <w:rtl/>
          <w:lang w:val="fr-CH"/>
        </w:rPr>
        <w:t>وق</w:t>
      </w:r>
      <w:r w:rsidRPr="00E551B2">
        <w:rPr>
          <w:rFonts w:ascii="Arabic Typesetting" w:hAnsi="Arabic Typesetting" w:cs="Arabic Typesetting"/>
          <w:sz w:val="34"/>
          <w:szCs w:val="34"/>
          <w:rtl/>
          <w:lang w:val="fr-CH"/>
        </w:rPr>
        <w:t xml:space="preserve"> في النفاذ </w:t>
      </w:r>
      <w:r w:rsidRPr="00E551B2">
        <w:rPr>
          <w:rFonts w:ascii="Arabic Typesetting" w:hAnsi="Arabic Typesetting" w:cs="Arabic Typesetting" w:hint="cs"/>
          <w:sz w:val="34"/>
          <w:szCs w:val="34"/>
          <w:rtl/>
          <w:lang w:val="fr-CH"/>
        </w:rPr>
        <w:t>وتفاصيل تلك الحقوق</w:t>
      </w:r>
      <w:r w:rsidRPr="00E551B2">
        <w:rPr>
          <w:rFonts w:ascii="Arabic Typesetting" w:hAnsi="Arabic Typesetting" w:cs="Arabic Typesetting"/>
          <w:sz w:val="34"/>
          <w:szCs w:val="34"/>
          <w:rtl/>
          <w:lang w:val="fr-CH"/>
        </w:rPr>
        <w:t xml:space="preserve"> في</w:t>
      </w:r>
      <w:r w:rsidRPr="00E551B2">
        <w:rPr>
          <w:rFonts w:ascii="Arabic Typesetting" w:hAnsi="Arabic Typesetting" w:cs="Arabic Typesetting" w:hint="cs"/>
          <w:sz w:val="34"/>
          <w:szCs w:val="34"/>
          <w:rtl/>
          <w:lang w:val="fr-CH"/>
        </w:rPr>
        <w:t xml:space="preserve"> أي</w:t>
      </w:r>
      <w:r w:rsidRPr="00E551B2">
        <w:rPr>
          <w:rFonts w:ascii="Arabic Typesetting" w:hAnsi="Arabic Typesetting" w:cs="Arabic Typesetting"/>
          <w:sz w:val="34"/>
          <w:szCs w:val="34"/>
          <w:rtl/>
          <w:lang w:val="fr-CH"/>
        </w:rPr>
        <w:t xml:space="preserve"> نظام. ويمكن لهذه الآلية أن تكون فعالة عندما يكون عدد المستخدمين وتطبيقات البرمجيات صغيرا نسبيا</w:t>
      </w:r>
      <w:r w:rsidRPr="00E551B2">
        <w:rPr>
          <w:rFonts w:ascii="Arabic Typesetting" w:hAnsi="Arabic Typesetting" w:cs="Arabic Typesetting" w:hint="cs"/>
          <w:sz w:val="34"/>
          <w:szCs w:val="34"/>
          <w:rtl/>
          <w:lang w:val="fr-CH"/>
        </w:rPr>
        <w:t>.</w:t>
      </w:r>
    </w:p>
    <w:p w14:paraId="5F2297E4" w14:textId="77777777" w:rsidR="00BD3831" w:rsidRPr="00E551B2" w:rsidRDefault="00BD3831" w:rsidP="0059581F">
      <w:pPr>
        <w:numPr>
          <w:ilvl w:val="0"/>
          <w:numId w:val="58"/>
        </w:numPr>
        <w:tabs>
          <w:tab w:val="clear" w:pos="567"/>
        </w:tabs>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 xml:space="preserve">ومع ذلك، </w:t>
      </w:r>
      <w:r w:rsidRPr="00E551B2">
        <w:rPr>
          <w:rFonts w:ascii="Arabic Typesetting" w:hAnsi="Arabic Typesetting" w:cs="Arabic Typesetting" w:hint="cs"/>
          <w:sz w:val="34"/>
          <w:szCs w:val="34"/>
          <w:rtl/>
          <w:lang w:val="fr-CH"/>
        </w:rPr>
        <w:t>يُتوقع</w:t>
      </w:r>
      <w:r w:rsidRPr="00E551B2">
        <w:rPr>
          <w:rFonts w:ascii="Arabic Typesetting" w:hAnsi="Arabic Typesetting" w:cs="Arabic Typesetting"/>
          <w:sz w:val="34"/>
          <w:szCs w:val="34"/>
          <w:rtl/>
          <w:lang w:val="fr-CH"/>
        </w:rPr>
        <w:t xml:space="preserve"> أن يزداد عدد المستخدمين </w:t>
      </w:r>
      <w:r w:rsidRPr="00E551B2">
        <w:rPr>
          <w:rFonts w:ascii="Arabic Typesetting" w:hAnsi="Arabic Typesetting" w:cs="Arabic Typesetting" w:hint="cs"/>
          <w:sz w:val="34"/>
          <w:szCs w:val="34"/>
          <w:rtl/>
          <w:lang w:val="fr-CH"/>
        </w:rPr>
        <w:t>على مدار</w:t>
      </w:r>
      <w:r w:rsidRPr="00E551B2">
        <w:rPr>
          <w:rFonts w:ascii="Arabic Typesetting" w:hAnsi="Arabic Typesetting" w:cs="Arabic Typesetting"/>
          <w:sz w:val="34"/>
          <w:szCs w:val="34"/>
          <w:rtl/>
          <w:lang w:val="fr-CH"/>
        </w:rPr>
        <w:t xml:space="preserve"> الأعوام </w:t>
      </w:r>
      <w:r w:rsidRPr="00E551B2">
        <w:rPr>
          <w:rFonts w:ascii="Arabic Typesetting" w:hAnsi="Arabic Typesetting" w:cs="Arabic Typesetting" w:hint="cs"/>
          <w:sz w:val="34"/>
          <w:szCs w:val="34"/>
          <w:rtl/>
          <w:lang w:val="fr-CH"/>
        </w:rPr>
        <w:t xml:space="preserve">المقبلة </w:t>
      </w:r>
      <w:r w:rsidRPr="00E551B2">
        <w:rPr>
          <w:rFonts w:ascii="Arabic Typesetting" w:hAnsi="Arabic Typesetting" w:cs="Arabic Typesetting"/>
          <w:sz w:val="34"/>
          <w:szCs w:val="34"/>
          <w:rtl/>
          <w:lang w:val="fr-CH"/>
        </w:rPr>
        <w:t xml:space="preserve">مع استمرار الويبو في تحسين خدماتها المقدمة عبر شبكة الإنترنت. </w:t>
      </w:r>
      <w:r w:rsidRPr="00E551B2">
        <w:rPr>
          <w:rFonts w:ascii="Arabic Typesetting" w:hAnsi="Arabic Typesetting" w:cs="Arabic Typesetting" w:hint="cs"/>
          <w:sz w:val="34"/>
          <w:szCs w:val="34"/>
          <w:rtl/>
          <w:lang w:val="fr-CH"/>
        </w:rPr>
        <w:t>ومن ثم، ينبغي</w:t>
      </w:r>
      <w:r w:rsidRPr="00E551B2">
        <w:rPr>
          <w:rFonts w:ascii="Arabic Typesetting" w:hAnsi="Arabic Typesetting" w:cs="Arabic Typesetting"/>
          <w:sz w:val="34"/>
          <w:szCs w:val="34"/>
          <w:rtl/>
          <w:lang w:val="fr-CH"/>
        </w:rPr>
        <w:t xml:space="preserve"> الاستثمار في الحلول التي توجه تركيز إدارة حقوق النفاذ نحو المستخدمين. </w:t>
      </w:r>
      <w:r w:rsidRPr="00E551B2">
        <w:rPr>
          <w:rFonts w:ascii="Arabic Typesetting" w:hAnsi="Arabic Typesetting" w:cs="Arabic Typesetting" w:hint="cs"/>
          <w:sz w:val="34"/>
          <w:szCs w:val="34"/>
          <w:rtl/>
          <w:lang w:val="fr-CH"/>
        </w:rPr>
        <w:t xml:space="preserve">بمعنى آخر، ينبغي توضيح </w:t>
      </w:r>
      <w:r w:rsidRPr="00E551B2">
        <w:rPr>
          <w:rFonts w:ascii="Arabic Typesetting" w:hAnsi="Arabic Typesetting" w:cs="Arabic Typesetting"/>
          <w:sz w:val="34"/>
          <w:szCs w:val="34"/>
          <w:rtl/>
          <w:lang w:val="fr-CH"/>
        </w:rPr>
        <w:t xml:space="preserve">حقوق النفاذ التي يتمتع بها </w:t>
      </w:r>
      <w:r w:rsidRPr="00E551B2">
        <w:rPr>
          <w:rFonts w:ascii="Arabic Typesetting" w:hAnsi="Arabic Typesetting" w:cs="Arabic Typesetting" w:hint="cs"/>
          <w:sz w:val="34"/>
          <w:szCs w:val="34"/>
          <w:rtl/>
          <w:lang w:val="fr-CH"/>
        </w:rPr>
        <w:t xml:space="preserve">كل </w:t>
      </w:r>
      <w:r w:rsidRPr="00E551B2">
        <w:rPr>
          <w:rFonts w:ascii="Arabic Typesetting" w:hAnsi="Arabic Typesetting" w:cs="Arabic Typesetting"/>
          <w:sz w:val="34"/>
          <w:szCs w:val="34"/>
          <w:rtl/>
          <w:lang w:val="fr-CH"/>
        </w:rPr>
        <w:t xml:space="preserve">مستخدم على مستوى </w:t>
      </w:r>
      <w:r w:rsidRPr="00E551B2">
        <w:rPr>
          <w:rFonts w:ascii="Arabic Typesetting" w:hAnsi="Arabic Typesetting" w:cs="Arabic Typesetting" w:hint="cs"/>
          <w:sz w:val="34"/>
          <w:szCs w:val="34"/>
          <w:rtl/>
          <w:lang w:val="fr-CH"/>
        </w:rPr>
        <w:t>الأنظمة</w:t>
      </w:r>
      <w:r w:rsidRPr="00E551B2">
        <w:rPr>
          <w:rFonts w:ascii="Arabic Typesetting" w:hAnsi="Arabic Typesetting" w:cs="Arabic Typesetting"/>
          <w:sz w:val="34"/>
          <w:szCs w:val="34"/>
          <w:rtl/>
          <w:lang w:val="fr-CH"/>
        </w:rPr>
        <w:t xml:space="preserve"> المختلفة</w:t>
      </w:r>
      <w:r w:rsidRPr="00E551B2">
        <w:rPr>
          <w:rFonts w:ascii="Arabic Typesetting" w:hAnsi="Arabic Typesetting" w:cs="Arabic Typesetting"/>
          <w:sz w:val="34"/>
          <w:szCs w:val="34"/>
          <w:lang w:val="fr-CH"/>
        </w:rPr>
        <w:t>.</w:t>
      </w:r>
    </w:p>
    <w:p w14:paraId="4D29EECD" w14:textId="77777777" w:rsidR="00BD3831" w:rsidRPr="00E551B2" w:rsidRDefault="00BD3831" w:rsidP="0059581F">
      <w:pPr>
        <w:numPr>
          <w:ilvl w:val="0"/>
          <w:numId w:val="58"/>
        </w:numPr>
        <w:tabs>
          <w:tab w:val="clear" w:pos="567"/>
        </w:tabs>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 xml:space="preserve">وقد تصبح التكنولوجيا أكثر </w:t>
      </w:r>
      <w:r>
        <w:rPr>
          <w:rFonts w:ascii="Arabic Typesetting" w:hAnsi="Arabic Typesetting" w:cs="Arabic Typesetting" w:hint="cs"/>
          <w:sz w:val="34"/>
          <w:szCs w:val="34"/>
          <w:rtl/>
          <w:lang w:val="fr-CH"/>
        </w:rPr>
        <w:t>تقدماً</w:t>
      </w:r>
      <w:r w:rsidRPr="00E551B2">
        <w:rPr>
          <w:rFonts w:ascii="Arabic Typesetting" w:hAnsi="Arabic Typesetting" w:cs="Arabic Typesetting"/>
          <w:sz w:val="34"/>
          <w:szCs w:val="34"/>
          <w:rtl/>
          <w:lang w:val="fr-CH"/>
        </w:rPr>
        <w:t xml:space="preserve"> </w:t>
      </w:r>
      <w:r w:rsidRPr="00E551B2">
        <w:rPr>
          <w:rFonts w:ascii="Arabic Typesetting" w:hAnsi="Arabic Typesetting" w:cs="Arabic Typesetting" w:hint="cs"/>
          <w:sz w:val="34"/>
          <w:szCs w:val="34"/>
          <w:rtl/>
          <w:lang w:val="fr-CH"/>
        </w:rPr>
        <w:t xml:space="preserve">في المستقبل </w:t>
      </w:r>
      <w:r w:rsidRPr="00E551B2">
        <w:rPr>
          <w:rFonts w:ascii="Arabic Typesetting" w:hAnsi="Arabic Typesetting" w:cs="Arabic Typesetting"/>
          <w:sz w:val="34"/>
          <w:szCs w:val="34"/>
          <w:rtl/>
          <w:lang w:val="fr-CH"/>
        </w:rPr>
        <w:t xml:space="preserve">بحيث يمكن إدارة حقوق النفاذ بناء على أدوار المستخدمين داخل أنظمة معقدة، مثل التخطيط للموارد المؤسسية، وفيما بين هذه الأنظمة. ولكن </w:t>
      </w:r>
      <w:r w:rsidRPr="00E551B2">
        <w:rPr>
          <w:rFonts w:ascii="Arabic Typesetting" w:hAnsi="Arabic Typesetting" w:cs="Arabic Typesetting" w:hint="cs"/>
          <w:sz w:val="34"/>
          <w:szCs w:val="34"/>
          <w:rtl/>
          <w:lang w:val="fr-CH"/>
        </w:rPr>
        <w:t>يصعب</w:t>
      </w:r>
      <w:r w:rsidRPr="00E551B2">
        <w:rPr>
          <w:rFonts w:ascii="Arabic Typesetting" w:hAnsi="Arabic Typesetting" w:cs="Arabic Typesetting"/>
          <w:sz w:val="34"/>
          <w:szCs w:val="34"/>
          <w:rtl/>
          <w:lang w:val="fr-CH"/>
        </w:rPr>
        <w:t xml:space="preserve"> </w:t>
      </w:r>
      <w:r w:rsidRPr="00E551B2">
        <w:rPr>
          <w:rFonts w:ascii="Arabic Typesetting" w:hAnsi="Arabic Typesetting" w:cs="Arabic Typesetting" w:hint="cs"/>
          <w:sz w:val="34"/>
          <w:szCs w:val="34"/>
          <w:rtl/>
          <w:lang w:val="fr-CH"/>
        </w:rPr>
        <w:t>التنبؤ في الوقت الحاضر</w:t>
      </w:r>
      <w:r w:rsidRPr="00E551B2">
        <w:rPr>
          <w:rFonts w:ascii="Arabic Typesetting" w:hAnsi="Arabic Typesetting" w:cs="Arabic Typesetting"/>
          <w:sz w:val="34"/>
          <w:szCs w:val="34"/>
          <w:rtl/>
          <w:lang w:val="fr-CH"/>
        </w:rPr>
        <w:t xml:space="preserve"> </w:t>
      </w:r>
      <w:r w:rsidRPr="00E551B2">
        <w:rPr>
          <w:rFonts w:ascii="Arabic Typesetting" w:hAnsi="Arabic Typesetting" w:cs="Arabic Typesetting" w:hint="cs"/>
          <w:sz w:val="34"/>
          <w:szCs w:val="34"/>
          <w:rtl/>
          <w:lang w:val="fr-CH"/>
        </w:rPr>
        <w:t>بمكان أو طريقة</w:t>
      </w:r>
      <w:r w:rsidRPr="00E551B2">
        <w:rPr>
          <w:rFonts w:ascii="Arabic Typesetting" w:hAnsi="Arabic Typesetting" w:cs="Arabic Typesetting"/>
          <w:sz w:val="34"/>
          <w:szCs w:val="34"/>
          <w:rtl/>
          <w:lang w:val="fr-CH"/>
        </w:rPr>
        <w:t xml:space="preserve"> </w:t>
      </w:r>
      <w:r w:rsidRPr="00E551B2">
        <w:rPr>
          <w:rFonts w:ascii="Arabic Typesetting" w:hAnsi="Arabic Typesetting" w:cs="Arabic Typesetting" w:hint="cs"/>
          <w:sz w:val="34"/>
          <w:szCs w:val="34"/>
          <w:rtl/>
          <w:lang w:val="fr-CH"/>
        </w:rPr>
        <w:t>تطور تلك</w:t>
      </w:r>
      <w:r w:rsidRPr="00E551B2">
        <w:rPr>
          <w:rFonts w:ascii="Arabic Typesetting" w:hAnsi="Arabic Typesetting" w:cs="Arabic Typesetting" w:hint="eastAsia"/>
          <w:sz w:val="34"/>
          <w:szCs w:val="34"/>
          <w:rtl/>
          <w:lang w:val="fr-CH"/>
        </w:rPr>
        <w:t> </w:t>
      </w:r>
      <w:r w:rsidRPr="00E551B2">
        <w:rPr>
          <w:rFonts w:ascii="Arabic Typesetting" w:hAnsi="Arabic Typesetting" w:cs="Arabic Typesetting"/>
          <w:sz w:val="34"/>
          <w:szCs w:val="34"/>
          <w:rtl/>
          <w:lang w:val="fr-CH"/>
        </w:rPr>
        <w:t xml:space="preserve">التكنولوجيا. ولذلك لم </w:t>
      </w:r>
      <w:r w:rsidRPr="00E551B2">
        <w:rPr>
          <w:rFonts w:ascii="Arabic Typesetting" w:hAnsi="Arabic Typesetting" w:cs="Arabic Typesetting" w:hint="cs"/>
          <w:sz w:val="34"/>
          <w:szCs w:val="34"/>
          <w:rtl/>
          <w:lang w:val="fr-CH"/>
        </w:rPr>
        <w:t>يُدرج</w:t>
      </w:r>
      <w:r w:rsidRPr="00E551B2">
        <w:rPr>
          <w:rFonts w:ascii="Arabic Typesetting" w:hAnsi="Arabic Typesetting" w:cs="Arabic Typesetting"/>
          <w:sz w:val="34"/>
          <w:szCs w:val="34"/>
          <w:rtl/>
          <w:lang w:val="fr-CH"/>
        </w:rPr>
        <w:t xml:space="preserve"> هذا </w:t>
      </w:r>
      <w:r w:rsidRPr="00E551B2">
        <w:rPr>
          <w:rFonts w:ascii="Arabic Typesetting" w:hAnsi="Arabic Typesetting" w:cs="Arabic Typesetting" w:hint="cs"/>
          <w:sz w:val="34"/>
          <w:szCs w:val="34"/>
          <w:rtl/>
          <w:lang w:val="fr-CH"/>
        </w:rPr>
        <w:t>العامل</w:t>
      </w:r>
      <w:r w:rsidRPr="00E551B2">
        <w:rPr>
          <w:rFonts w:ascii="Arabic Typesetting" w:hAnsi="Arabic Typesetting" w:cs="Arabic Typesetting"/>
          <w:sz w:val="34"/>
          <w:szCs w:val="34"/>
          <w:rtl/>
          <w:lang w:val="fr-CH"/>
        </w:rPr>
        <w:t xml:space="preserve"> </w:t>
      </w:r>
      <w:r w:rsidRPr="00E551B2">
        <w:rPr>
          <w:rFonts w:ascii="Arabic Typesetting" w:hAnsi="Arabic Typesetting" w:cs="Arabic Typesetting" w:hint="cs"/>
          <w:sz w:val="34"/>
          <w:szCs w:val="34"/>
          <w:rtl/>
          <w:lang w:val="fr-CH"/>
        </w:rPr>
        <w:t>في</w:t>
      </w:r>
      <w:r w:rsidRPr="00E551B2">
        <w:rPr>
          <w:rFonts w:ascii="Arabic Typesetting" w:hAnsi="Arabic Typesetting" w:cs="Arabic Typesetting"/>
          <w:sz w:val="34"/>
          <w:szCs w:val="34"/>
          <w:rtl/>
          <w:lang w:val="fr-CH"/>
        </w:rPr>
        <w:t xml:space="preserve"> نطاق المشرو</w:t>
      </w:r>
      <w:r w:rsidRPr="00E551B2">
        <w:rPr>
          <w:rFonts w:ascii="Arabic Typesetting" w:hAnsi="Arabic Typesetting" w:cs="Arabic Typesetting" w:hint="cs"/>
          <w:sz w:val="34"/>
          <w:szCs w:val="34"/>
          <w:rtl/>
          <w:lang w:val="fr-CH"/>
        </w:rPr>
        <w:t>ع.</w:t>
      </w:r>
    </w:p>
    <w:p w14:paraId="5CBB1AAB" w14:textId="77777777" w:rsidR="00BD3831" w:rsidRPr="00016BCA" w:rsidRDefault="00BD3831" w:rsidP="0059581F">
      <w:pPr>
        <w:keepNext/>
        <w:bidi/>
        <w:spacing w:after="240" w:line="340" w:lineRule="exact"/>
        <w:rPr>
          <w:rFonts w:ascii="Arabic Typesetting" w:hAnsi="Arabic Typesetting" w:cs="Arabic Typesetting"/>
          <w:sz w:val="34"/>
          <w:szCs w:val="34"/>
          <w:rtl/>
          <w:lang w:val="fr-CH"/>
        </w:rPr>
      </w:pPr>
      <w:r w:rsidRPr="00016BCA">
        <w:rPr>
          <w:rFonts w:ascii="Arabic Typesetting" w:hAnsi="Arabic Typesetting" w:cs="Arabic Typesetting"/>
          <w:sz w:val="34"/>
          <w:szCs w:val="34"/>
          <w:rtl/>
          <w:lang w:val="fr-CH"/>
        </w:rPr>
        <w:lastRenderedPageBreak/>
        <w:t xml:space="preserve">استعراض التقدم المحرز في </w:t>
      </w:r>
      <w:r w:rsidRPr="00016BCA">
        <w:rPr>
          <w:rFonts w:ascii="Arabic Typesetting" w:hAnsi="Arabic Typesetting" w:cs="Arabic Typesetting" w:hint="cs"/>
          <w:sz w:val="34"/>
          <w:szCs w:val="34"/>
          <w:rtl/>
          <w:lang w:val="fr-CH"/>
        </w:rPr>
        <w:t>2016</w:t>
      </w:r>
      <w:r w:rsidRPr="00016BCA">
        <w:rPr>
          <w:rFonts w:ascii="Arabic Typesetting" w:hAnsi="Arabic Typesetting" w:cs="Arabic Typesetting"/>
          <w:sz w:val="34"/>
          <w:szCs w:val="34"/>
          <w:rtl/>
          <w:lang w:val="fr-CH"/>
        </w:rPr>
        <w:t xml:space="preserve"> (المعالم الرئيسية</w:t>
      </w:r>
      <w:r w:rsidRPr="00016BCA">
        <w:rPr>
          <w:rFonts w:ascii="Arabic Typesetting" w:hAnsi="Arabic Typesetting" w:cs="Arabic Typesetting" w:hint="cs"/>
          <w:sz w:val="34"/>
          <w:szCs w:val="34"/>
          <w:rtl/>
          <w:lang w:val="fr-CH"/>
        </w:rPr>
        <w:t>)</w:t>
      </w:r>
    </w:p>
    <w:p w14:paraId="10FAF70D" w14:textId="77777777" w:rsidR="00BD3831" w:rsidRPr="00016BCA" w:rsidRDefault="00BD3831" w:rsidP="0059581F">
      <w:pPr>
        <w:keepNext/>
        <w:numPr>
          <w:ilvl w:val="0"/>
          <w:numId w:val="58"/>
        </w:numPr>
        <w:tabs>
          <w:tab w:val="clear" w:pos="567"/>
        </w:tabs>
        <w:bidi/>
        <w:spacing w:after="240" w:line="340" w:lineRule="exact"/>
        <w:rPr>
          <w:rFonts w:ascii="Arabic Typesetting" w:eastAsia="SimSun" w:hAnsi="Arabic Typesetting" w:cs="Arabic Typesetting"/>
          <w:sz w:val="34"/>
          <w:szCs w:val="34"/>
          <w:lang w:eastAsia="zh-CN"/>
        </w:rPr>
      </w:pPr>
      <w:r w:rsidRPr="00016BCA">
        <w:rPr>
          <w:rFonts w:ascii="Arabic Typesetting" w:eastAsia="SimSun" w:hAnsi="Arabic Typesetting" w:cs="Arabic Typesetting"/>
          <w:sz w:val="34"/>
          <w:szCs w:val="34"/>
          <w:rtl/>
          <w:lang w:eastAsia="zh-CN"/>
        </w:rPr>
        <w:t>أُحرز التقدم التالي في 2016:</w:t>
      </w:r>
    </w:p>
    <w:p w14:paraId="06E47AE7" w14:textId="77777777" w:rsidR="00BD3831" w:rsidRPr="00016BCA" w:rsidRDefault="00BD3831" w:rsidP="0059581F">
      <w:pPr>
        <w:keepNext/>
        <w:keepLines/>
        <w:bidi/>
        <w:spacing w:after="240" w:line="360" w:lineRule="exact"/>
        <w:ind w:left="1134" w:hanging="567"/>
        <w:rPr>
          <w:rFonts w:ascii="Arabic Typesetting" w:eastAsia="SimSun" w:hAnsi="Arabic Typesetting" w:cs="Arabic Typesetting"/>
          <w:sz w:val="34"/>
          <w:szCs w:val="34"/>
          <w:rtl/>
          <w:lang w:eastAsia="zh-CN"/>
        </w:rPr>
      </w:pPr>
      <w:r w:rsidRPr="00016BCA">
        <w:rPr>
          <w:rFonts w:ascii="Arabic Typesetting" w:eastAsia="SimSun" w:hAnsi="Arabic Typesetting" w:cs="Arabic Typesetting"/>
          <w:sz w:val="34"/>
          <w:szCs w:val="34"/>
          <w:rtl/>
          <w:lang w:eastAsia="zh-CN"/>
        </w:rPr>
        <w:t>-</w:t>
      </w:r>
      <w:r w:rsidRPr="00016BCA">
        <w:rPr>
          <w:rFonts w:ascii="Arabic Typesetting" w:eastAsia="SimSun" w:hAnsi="Arabic Typesetting" w:cs="Arabic Typesetting"/>
          <w:sz w:val="34"/>
          <w:szCs w:val="34"/>
          <w:rtl/>
          <w:lang w:eastAsia="zh-CN"/>
        </w:rPr>
        <w:tab/>
        <w:t>بناء على عملية طلب المعلومات، استعين بشركة مستقلة في الفصل الرابع من عام 2015 لتقييم الوضع القائم في نظام الويبو لإدارة الهوية والنفاذ وتشفير البيانات ووضع "1" الهيكل المرجعي/المخططات المرجعية لنظام إدارة الهوية والنفاذ وتشفير البيانات؛ "2" واستراتيجية نظام إدارة الهوية والنفاذ وتشفير البيانات؛ "3" وخطة تنفيذية وتدريجية مفصَّلة. وقدِّمت التقارير في عام 2016، ووافقت عليها اللجنة التوجيهية المعنية بأمن وسلامة المعلومات في يوليو 2016.</w:t>
      </w:r>
    </w:p>
    <w:p w14:paraId="064BA6D8" w14:textId="77777777" w:rsidR="00BD3831" w:rsidRPr="00016BCA" w:rsidRDefault="00BD3831" w:rsidP="0059581F">
      <w:pPr>
        <w:bidi/>
        <w:spacing w:after="240" w:line="360" w:lineRule="exact"/>
        <w:ind w:left="1134" w:hanging="567"/>
        <w:rPr>
          <w:rFonts w:ascii="Arabic Typesetting" w:hAnsi="Arabic Typesetting" w:cs="Arabic Typesetting"/>
          <w:sz w:val="34"/>
          <w:szCs w:val="34"/>
          <w:lang w:val="fr-CH"/>
        </w:rPr>
      </w:pPr>
      <w:r w:rsidRPr="00016BCA">
        <w:rPr>
          <w:rFonts w:ascii="Arabic Typesetting" w:eastAsia="SimSun" w:hAnsi="Arabic Typesetting" w:cs="Arabic Typesetting"/>
          <w:sz w:val="34"/>
          <w:szCs w:val="34"/>
          <w:rtl/>
          <w:lang w:eastAsia="zh-CN"/>
        </w:rPr>
        <w:t>-</w:t>
      </w:r>
      <w:r w:rsidRPr="00016BCA">
        <w:rPr>
          <w:rFonts w:ascii="Arabic Typesetting" w:eastAsia="SimSun" w:hAnsi="Arabic Typesetting" w:cs="Arabic Typesetting"/>
          <w:sz w:val="34"/>
          <w:szCs w:val="34"/>
          <w:rtl/>
          <w:lang w:eastAsia="zh-CN"/>
        </w:rPr>
        <w:tab/>
        <w:t>وتماشياً مع الخطة التنفيذية، نفِّذ عدد من مشاريع المكاسب المبكرة بما في ذلك تقييم مستقل لمنصة إدارة الهوية والنفاذ وتشفير البيانات (</w:t>
      </w:r>
      <w:r w:rsidRPr="00016BCA">
        <w:rPr>
          <w:rFonts w:ascii="Arabic Typesetting" w:eastAsia="SimSun" w:hAnsi="Arabic Typesetting" w:cs="Arabic Typesetting"/>
          <w:sz w:val="34"/>
          <w:szCs w:val="34"/>
          <w:lang w:eastAsia="zh-CN"/>
        </w:rPr>
        <w:t>OpenAM</w:t>
      </w:r>
      <w:r w:rsidRPr="00016BCA">
        <w:rPr>
          <w:rFonts w:ascii="Arabic Typesetting" w:eastAsia="SimSun" w:hAnsi="Arabic Typesetting" w:cs="Arabic Typesetting"/>
          <w:sz w:val="34"/>
          <w:szCs w:val="34"/>
          <w:rtl/>
          <w:lang w:eastAsia="zh-CN" w:bidi="ar-EG"/>
        </w:rPr>
        <w:t>) وإنفاذ سياسة وضع كلمات مرور محكمة لحسابات البرد الإلكترونية في الويبو. وفضلاً عن ذلك، بدأ العمل في أواخر عام 2016 على وضع نماذج حقوق النفاذ لتطبيقين رئيسيين تماشياً مع الهيكل المرجعي لإدارة الهوية والنفاذ وتشفير البيانات. وستُستخدم تلك النماذج أساساً في مجالات عمل أخرى فضلاً عن إتاحة اعتماد نهج "تدريب المدربين" بغية تكوين الكفاءات الداخلية.</w:t>
      </w:r>
    </w:p>
    <w:p w14:paraId="1F4C656B" w14:textId="77777777" w:rsidR="00BD3831" w:rsidRPr="00016BCA" w:rsidRDefault="00BD3831" w:rsidP="0031289D">
      <w:pPr>
        <w:keepNext/>
        <w:bidi/>
        <w:spacing w:after="240" w:line="340" w:lineRule="exact"/>
        <w:rPr>
          <w:rFonts w:ascii="Arabic Typesetting" w:hAnsi="Arabic Typesetting" w:cs="Arabic Typesetting"/>
          <w:sz w:val="34"/>
          <w:szCs w:val="34"/>
          <w:rtl/>
          <w:lang w:val="fr-CH"/>
        </w:rPr>
      </w:pPr>
      <w:r w:rsidRPr="00016BCA">
        <w:rPr>
          <w:rFonts w:ascii="Arabic Typesetting" w:hAnsi="Arabic Typesetting" w:cs="Arabic Typesetting"/>
          <w:sz w:val="34"/>
          <w:szCs w:val="34"/>
          <w:rtl/>
          <w:lang w:val="fr-CH"/>
        </w:rPr>
        <w:t>تحقيق المنافع</w:t>
      </w:r>
    </w:p>
    <w:tbl>
      <w:tblPr>
        <w:bidiVisual/>
        <w:tblW w:w="3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BD3831" w:rsidRPr="00E551B2" w14:paraId="0D43BDE7" w14:textId="77777777" w:rsidTr="00DF6715">
        <w:trPr>
          <w:trHeight w:val="535"/>
          <w:tblHeader/>
          <w:jc w:val="center"/>
        </w:trPr>
        <w:tc>
          <w:tcPr>
            <w:tcW w:w="5000" w:type="pct"/>
            <w:shd w:val="clear" w:color="auto" w:fill="C6D9F1" w:themeFill="text2" w:themeFillTint="33"/>
            <w:vAlign w:val="center"/>
          </w:tcPr>
          <w:p w14:paraId="50DB6F25" w14:textId="77777777" w:rsidR="00BD3831" w:rsidRPr="00E551B2" w:rsidRDefault="00BD3831" w:rsidP="0031289D">
            <w:pPr>
              <w:bidi/>
              <w:jc w:val="center"/>
              <w:rPr>
                <w:rFonts w:ascii="Arabic Typesetting" w:hAnsi="Arabic Typesetting" w:cs="Arabic Typesetting"/>
                <w:bCs/>
                <w:sz w:val="28"/>
                <w:szCs w:val="28"/>
              </w:rPr>
            </w:pPr>
            <w:r w:rsidRPr="00E551B2">
              <w:rPr>
                <w:rFonts w:ascii="Arabic Typesetting" w:hAnsi="Arabic Typesetting" w:cs="Arabic Typesetting" w:hint="cs"/>
                <w:bCs/>
                <w:sz w:val="28"/>
                <w:szCs w:val="28"/>
                <w:rtl/>
              </w:rPr>
              <w:t>المنافع المتوقعة 2017</w:t>
            </w:r>
          </w:p>
        </w:tc>
      </w:tr>
      <w:tr w:rsidR="00BD3831" w:rsidRPr="00E551B2" w14:paraId="11E1D23B" w14:textId="77777777" w:rsidTr="00DF6715">
        <w:trPr>
          <w:trHeight w:val="564"/>
          <w:jc w:val="center"/>
        </w:trPr>
        <w:tc>
          <w:tcPr>
            <w:tcW w:w="5000" w:type="pct"/>
            <w:shd w:val="clear" w:color="auto" w:fill="auto"/>
          </w:tcPr>
          <w:p w14:paraId="7AD90A20" w14:textId="77777777" w:rsidR="00BD3831" w:rsidRPr="00E551B2" w:rsidRDefault="00BD3831" w:rsidP="0031289D">
            <w:pPr>
              <w:bidi/>
              <w:spacing w:before="120" w:after="120"/>
              <w:rPr>
                <w:rFonts w:ascii="Arabic Typesetting" w:hAnsi="Arabic Typesetting" w:cs="Arabic Typesetting"/>
                <w:sz w:val="28"/>
                <w:szCs w:val="28"/>
              </w:rPr>
            </w:pPr>
            <w:r w:rsidRPr="00E551B2">
              <w:rPr>
                <w:rFonts w:ascii="Arabic Typesetting" w:hAnsi="Arabic Typesetting" w:cs="Arabic Typesetting" w:hint="cs"/>
                <w:sz w:val="28"/>
                <w:szCs w:val="28"/>
                <w:rtl/>
              </w:rPr>
              <w:t>سيسفر تنفيذ الحلول الهيكلية والعملية والتقنية الرامية إلى تعزيز إدارة ا</w:t>
            </w:r>
            <w:r>
              <w:rPr>
                <w:rFonts w:ascii="Arabic Typesetting" w:hAnsi="Arabic Typesetting" w:cs="Arabic Typesetting" w:hint="cs"/>
                <w:sz w:val="28"/>
                <w:szCs w:val="28"/>
                <w:rtl/>
              </w:rPr>
              <w:t>لهوية والنفاذ وتشفير البيانات ع</w:t>
            </w:r>
            <w:r w:rsidRPr="00E551B2">
              <w:rPr>
                <w:rFonts w:ascii="Arabic Typesetting" w:hAnsi="Arabic Typesetting" w:cs="Arabic Typesetting" w:hint="cs"/>
                <w:sz w:val="28"/>
                <w:szCs w:val="28"/>
                <w:rtl/>
              </w:rPr>
              <w:t>ما يلي:</w:t>
            </w:r>
          </w:p>
          <w:p w14:paraId="73666B34" w14:textId="77777777" w:rsidR="00BD3831" w:rsidRPr="00E551B2" w:rsidRDefault="00BD3831" w:rsidP="0031289D">
            <w:pPr>
              <w:bidi/>
              <w:ind w:left="567" w:hanging="567"/>
              <w:rPr>
                <w:rFonts w:ascii="Arabic Typesetting" w:hAnsi="Arabic Typesetting" w:cs="Arabic Typesetting"/>
                <w:sz w:val="28"/>
                <w:szCs w:val="28"/>
                <w:rtl/>
              </w:rPr>
            </w:pPr>
            <w:r w:rsidRPr="00E551B2">
              <w:rPr>
                <w:rFonts w:ascii="Arabic Typesetting" w:hAnsi="Arabic Typesetting" w:cs="Arabic Typesetting" w:hint="cs"/>
                <w:sz w:val="28"/>
                <w:szCs w:val="28"/>
                <w:rtl/>
              </w:rPr>
              <w:t>"1"</w:t>
            </w:r>
            <w:r w:rsidRPr="00E551B2">
              <w:rPr>
                <w:rFonts w:ascii="Arabic Typesetting" w:hAnsi="Arabic Typesetting" w:cs="Arabic Typesetting"/>
                <w:sz w:val="28"/>
                <w:szCs w:val="28"/>
                <w:rtl/>
              </w:rPr>
              <w:tab/>
            </w:r>
            <w:r w:rsidRPr="00E551B2">
              <w:rPr>
                <w:rFonts w:ascii="Arabic Typesetting" w:hAnsi="Arabic Typesetting" w:cs="Arabic Typesetting" w:hint="cs"/>
                <w:sz w:val="28"/>
                <w:szCs w:val="28"/>
                <w:rtl/>
              </w:rPr>
              <w:t xml:space="preserve">توحيد الهيكل الأمني المرجعي الخاص بتشفير البيانات وإدارة الهوية والنفاذ </w:t>
            </w:r>
            <w:r>
              <w:rPr>
                <w:rFonts w:ascii="Arabic Typesetting" w:hAnsi="Arabic Typesetting" w:cs="Arabic Typesetting" w:hint="cs"/>
                <w:sz w:val="28"/>
                <w:szCs w:val="28"/>
                <w:rtl/>
                <w:lang w:bidi="ar-EG"/>
              </w:rPr>
              <w:t xml:space="preserve">واستخدامه </w:t>
            </w:r>
            <w:r w:rsidRPr="00E551B2">
              <w:rPr>
                <w:rFonts w:ascii="Arabic Typesetting" w:hAnsi="Arabic Typesetting" w:cs="Arabic Typesetting" w:hint="cs"/>
                <w:sz w:val="28"/>
                <w:szCs w:val="28"/>
                <w:rtl/>
              </w:rPr>
              <w:t>على مستوى كل أنظمة الويبو وتطبيقاتها الحرجة؛</w:t>
            </w:r>
          </w:p>
          <w:p w14:paraId="3B2B9437" w14:textId="77777777" w:rsidR="00BD3831" w:rsidRPr="00E551B2" w:rsidRDefault="00BD3831" w:rsidP="0031289D">
            <w:pPr>
              <w:bidi/>
              <w:spacing w:after="120"/>
              <w:ind w:left="567" w:hanging="567"/>
              <w:rPr>
                <w:rFonts w:ascii="Arabic Typesetting" w:hAnsi="Arabic Typesetting" w:cs="Arabic Typesetting"/>
                <w:sz w:val="28"/>
                <w:szCs w:val="28"/>
              </w:rPr>
            </w:pPr>
            <w:r w:rsidRPr="00E551B2">
              <w:rPr>
                <w:rFonts w:ascii="Arabic Typesetting" w:hAnsi="Arabic Typesetting" w:cs="Arabic Typesetting" w:hint="cs"/>
                <w:sz w:val="28"/>
                <w:szCs w:val="28"/>
                <w:rtl/>
              </w:rPr>
              <w:t>"2"</w:t>
            </w:r>
            <w:r w:rsidRPr="00E551B2">
              <w:rPr>
                <w:rFonts w:ascii="Arabic Typesetting" w:hAnsi="Arabic Typesetting" w:cs="Arabic Typesetting"/>
                <w:sz w:val="28"/>
                <w:szCs w:val="28"/>
                <w:rtl/>
              </w:rPr>
              <w:tab/>
            </w:r>
            <w:r w:rsidRPr="00E551B2">
              <w:rPr>
                <w:rFonts w:ascii="Arabic Typesetting" w:hAnsi="Arabic Typesetting" w:cs="Arabic Typesetting" w:hint="cs"/>
                <w:sz w:val="28"/>
                <w:szCs w:val="28"/>
                <w:rtl/>
              </w:rPr>
              <w:t>وتعزيز حماية أصول المعلومات الحساسة من النفاذ إليها و/أو الكشف عنها دون تصريح.</w:t>
            </w:r>
          </w:p>
        </w:tc>
      </w:tr>
    </w:tbl>
    <w:p w14:paraId="1F4AE984" w14:textId="5F12CE85" w:rsidR="00BD3831" w:rsidRPr="00E551B2" w:rsidRDefault="00BD3831" w:rsidP="0031289D">
      <w:pPr>
        <w:keepNext/>
        <w:bidi/>
        <w:spacing w:before="120" w:after="12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استخدام الموارد</w:t>
      </w:r>
      <w:r w:rsidR="00B66F63">
        <w:rPr>
          <w:rStyle w:val="FootnoteReference"/>
          <w:rtl/>
          <w:lang w:val="fr-CH"/>
        </w:rPr>
        <w:footnoteReference w:id="113"/>
      </w:r>
    </w:p>
    <w:p w14:paraId="17ED3CC1" w14:textId="77777777" w:rsidR="00BD3831" w:rsidRPr="00E551B2" w:rsidRDefault="00BD3831" w:rsidP="0031289D">
      <w:pPr>
        <w:keepNext/>
        <w:bidi/>
        <w:spacing w:line="340" w:lineRule="exact"/>
        <w:jc w:val="center"/>
        <w:rPr>
          <w:rFonts w:ascii="Arabic Typesetting" w:hAnsi="Arabic Typesetting" w:cs="Arabic Typesetting"/>
          <w:bCs/>
          <w:sz w:val="34"/>
          <w:szCs w:val="34"/>
          <w:rtl/>
          <w:lang w:val="fr-CH"/>
        </w:rPr>
      </w:pPr>
      <w:r w:rsidRPr="00E551B2">
        <w:rPr>
          <w:rFonts w:ascii="Arabic Typesetting" w:hAnsi="Arabic Typesetting" w:cs="Arabic Typesetting"/>
          <w:bCs/>
          <w:sz w:val="34"/>
          <w:szCs w:val="34"/>
          <w:rtl/>
          <w:lang w:val="fr-CH"/>
        </w:rPr>
        <w:t>استخدام ميزانية المشروع</w:t>
      </w:r>
    </w:p>
    <w:p w14:paraId="03407CC0" w14:textId="77777777" w:rsidR="00BD3831" w:rsidRPr="00E551B2" w:rsidRDefault="00BD3831" w:rsidP="0031289D">
      <w:pPr>
        <w:bidi/>
        <w:spacing w:after="120" w:line="340" w:lineRule="exact"/>
        <w:jc w:val="center"/>
        <w:rPr>
          <w:rFonts w:ascii="Arabic Typesetting" w:hAnsi="Arabic Typesetting" w:cs="Arabic Typesetting"/>
          <w:sz w:val="36"/>
          <w:szCs w:val="36"/>
          <w:rtl/>
          <w:lang w:val="fr-CH"/>
        </w:rPr>
      </w:pPr>
      <w:r w:rsidRPr="00E551B2">
        <w:rPr>
          <w:rFonts w:ascii="Arabic Typesetting" w:hAnsi="Arabic Typesetting" w:cs="Arabic Typesetting"/>
          <w:i/>
          <w:iCs/>
          <w:sz w:val="34"/>
          <w:szCs w:val="34"/>
          <w:rtl/>
          <w:lang w:val="fr-CH"/>
        </w:rPr>
        <w:t>(</w:t>
      </w:r>
      <w:r>
        <w:rPr>
          <w:rFonts w:ascii="Arabic Typesetting" w:hAnsi="Arabic Typesetting" w:cs="Arabic Typesetting"/>
          <w:i/>
          <w:iCs/>
          <w:sz w:val="34"/>
          <w:szCs w:val="34"/>
          <w:rtl/>
          <w:lang w:val="fr-CH"/>
        </w:rPr>
        <w:t>بالفرنك السويسري، في 31 ديسمبر 2016</w:t>
      </w:r>
      <w:r w:rsidRPr="00E551B2">
        <w:rPr>
          <w:rFonts w:ascii="Arabic Typesetting" w:hAnsi="Arabic Typesetting" w:cs="Arabic Typesetting"/>
          <w:i/>
          <w:iCs/>
          <w:sz w:val="34"/>
          <w:szCs w:val="34"/>
          <w:rtl/>
          <w:lang w:val="fr-CH"/>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BD3831" w:rsidRPr="00E551B2" w14:paraId="1C122B7C" w14:textId="77777777" w:rsidTr="00DF6715">
        <w:trPr>
          <w:trHeight w:val="410"/>
        </w:trPr>
        <w:tc>
          <w:tcPr>
            <w:tcW w:w="1598" w:type="pct"/>
            <w:shd w:val="clear" w:color="auto" w:fill="C6D9F1"/>
            <w:vAlign w:val="center"/>
          </w:tcPr>
          <w:p w14:paraId="5BFE93E9" w14:textId="77777777" w:rsidR="00BD3831" w:rsidRPr="00E551B2" w:rsidRDefault="00BD3831" w:rsidP="0031289D">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اسم المشروع</w:t>
            </w:r>
          </w:p>
        </w:tc>
        <w:tc>
          <w:tcPr>
            <w:tcW w:w="850" w:type="pct"/>
            <w:shd w:val="clear" w:color="auto" w:fill="C6D9F1"/>
            <w:vAlign w:val="center"/>
          </w:tcPr>
          <w:p w14:paraId="507D3A65" w14:textId="77777777" w:rsidR="00BD3831" w:rsidRPr="00E551B2" w:rsidRDefault="00BD3831" w:rsidP="0031289D">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14:paraId="6F3622FC" w14:textId="77777777" w:rsidR="00BD3831" w:rsidRPr="00E551B2"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14:paraId="0AE905C7" w14:textId="77777777" w:rsidR="00BD3831" w:rsidRPr="00E551B2" w:rsidRDefault="00BD3831" w:rsidP="0031289D">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14:paraId="288F49E2" w14:textId="77777777" w:rsidR="00BD3831" w:rsidRPr="00E551B2" w:rsidRDefault="00BD3831" w:rsidP="0031289D">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معدل التقدم المحرز في تنفيذ المشروع</w:t>
            </w:r>
          </w:p>
        </w:tc>
      </w:tr>
      <w:tr w:rsidR="00BD3831" w:rsidRPr="00E551B2" w14:paraId="1F4052CD" w14:textId="77777777" w:rsidTr="00DF6715">
        <w:trPr>
          <w:trHeight w:val="389"/>
        </w:trPr>
        <w:tc>
          <w:tcPr>
            <w:tcW w:w="1598" w:type="pct"/>
            <w:vAlign w:val="center"/>
          </w:tcPr>
          <w:p w14:paraId="001AF95C" w14:textId="77777777" w:rsidR="00BD3831" w:rsidRPr="00E551B2"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E551B2">
              <w:rPr>
                <w:rFonts w:ascii="Arabic Typesetting" w:hAnsi="Arabic Typesetting" w:cs="Arabic Typesetting"/>
                <w:sz w:val="28"/>
                <w:szCs w:val="28"/>
                <w:rtl/>
                <w:lang w:bidi="ar-EG"/>
              </w:rPr>
              <w:t>تعزيز الأمن:</w:t>
            </w:r>
            <w:r w:rsidRPr="00E551B2">
              <w:rPr>
                <w:rFonts w:ascii="Arabic Typesetting" w:hAnsi="Arabic Typesetting" w:cs="Arabic Typesetting"/>
                <w:sz w:val="28"/>
                <w:szCs w:val="28"/>
              </w:rPr>
              <w:t xml:space="preserve"> </w:t>
            </w:r>
            <w:r w:rsidRPr="00E551B2">
              <w:rPr>
                <w:rFonts w:ascii="Arabic Typesetting" w:hAnsi="Arabic Typesetting" w:cs="Arabic Typesetting"/>
                <w:sz w:val="28"/>
                <w:szCs w:val="28"/>
                <w:rtl/>
                <w:lang w:bidi="ar-EG"/>
              </w:rPr>
              <w:t>تشفير البيانات وإدارة المستخدمين</w:t>
            </w:r>
          </w:p>
        </w:tc>
        <w:tc>
          <w:tcPr>
            <w:tcW w:w="850" w:type="pct"/>
            <w:vAlign w:val="center"/>
          </w:tcPr>
          <w:p w14:paraId="25DCF293" w14:textId="77777777" w:rsidR="00BD3831" w:rsidRPr="00FA719C" w:rsidRDefault="00BD3831" w:rsidP="0031289D">
            <w:pPr>
              <w:autoSpaceDE w:val="0"/>
              <w:autoSpaceDN w:val="0"/>
              <w:bidi/>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700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1" w:type="pct"/>
            <w:vAlign w:val="center"/>
          </w:tcPr>
          <w:p w14:paraId="2852B511" w14:textId="77777777" w:rsidR="00BD3831" w:rsidRPr="00FA719C" w:rsidRDefault="00BD3831" w:rsidP="0031289D">
            <w:pPr>
              <w:autoSpaceDE w:val="0"/>
              <w:autoSpaceDN w:val="0"/>
              <w:bidi/>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129</w:t>
            </w:r>
            <w:r>
              <w:rPr>
                <w:rFonts w:ascii="Arabic Typesetting" w:hAnsi="Arabic Typesetting" w:cs="Arabic Typesetting"/>
                <w:sz w:val="28"/>
                <w:szCs w:val="28"/>
              </w:rPr>
              <w:t> </w:t>
            </w:r>
            <w:r w:rsidRPr="00FA719C">
              <w:rPr>
                <w:rFonts w:ascii="Arabic Typesetting" w:hAnsi="Arabic Typesetting" w:cs="Arabic Typesetting"/>
                <w:sz w:val="28"/>
                <w:szCs w:val="28"/>
              </w:rPr>
              <w:t>400</w:t>
            </w:r>
          </w:p>
        </w:tc>
        <w:tc>
          <w:tcPr>
            <w:tcW w:w="851" w:type="pct"/>
            <w:vAlign w:val="center"/>
          </w:tcPr>
          <w:p w14:paraId="07F90FDE" w14:textId="77777777" w:rsidR="00BD3831" w:rsidRPr="00FA719C" w:rsidRDefault="00BD3831" w:rsidP="0031289D">
            <w:pPr>
              <w:autoSpaceDE w:val="0"/>
              <w:autoSpaceDN w:val="0"/>
              <w:bidi/>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%18.5</w:t>
            </w:r>
          </w:p>
        </w:tc>
        <w:tc>
          <w:tcPr>
            <w:tcW w:w="850" w:type="pct"/>
            <w:vAlign w:val="center"/>
          </w:tcPr>
          <w:p w14:paraId="78E25E15" w14:textId="77777777" w:rsidR="00BD3831" w:rsidRPr="00FA719C" w:rsidRDefault="00BD3831" w:rsidP="0031289D">
            <w:pPr>
              <w:autoSpaceDE w:val="0"/>
              <w:autoSpaceDN w:val="0"/>
              <w:bidi/>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%20</w:t>
            </w:r>
          </w:p>
        </w:tc>
      </w:tr>
    </w:tbl>
    <w:p w14:paraId="01B55007" w14:textId="77777777" w:rsidR="00BD3831" w:rsidRPr="00E551B2" w:rsidRDefault="00BD3831" w:rsidP="0031289D">
      <w:pPr>
        <w:keepNext/>
        <w:pageBreakBefore/>
        <w:bidi/>
        <w:spacing w:before="120" w:line="340" w:lineRule="exact"/>
        <w:jc w:val="center"/>
        <w:rPr>
          <w:rFonts w:ascii="Arabic Typesetting" w:hAnsi="Arabic Typesetting" w:cs="Arabic Typesetting"/>
          <w:bCs/>
          <w:sz w:val="34"/>
          <w:szCs w:val="34"/>
          <w:rtl/>
          <w:lang w:val="fr-CH"/>
        </w:rPr>
      </w:pPr>
      <w:r w:rsidRPr="00E551B2">
        <w:rPr>
          <w:rFonts w:ascii="Arabic Typesetting" w:hAnsi="Arabic Typesetting" w:cs="Arabic Typesetting"/>
          <w:bCs/>
          <w:sz w:val="34"/>
          <w:szCs w:val="34"/>
          <w:rtl/>
          <w:lang w:val="fr-CH"/>
        </w:rPr>
        <w:lastRenderedPageBreak/>
        <w:t>استخدام ميزانية المشروع (حسب المعالم)</w:t>
      </w:r>
    </w:p>
    <w:p w14:paraId="23CBCFF2" w14:textId="77777777" w:rsidR="00BD3831" w:rsidRPr="00E551B2" w:rsidRDefault="00BD3831" w:rsidP="0031289D">
      <w:pPr>
        <w:keepNext/>
        <w:bidi/>
        <w:spacing w:after="120" w:line="340" w:lineRule="exact"/>
        <w:jc w:val="center"/>
        <w:rPr>
          <w:rFonts w:ascii="Arabic Typesetting" w:hAnsi="Arabic Typesetting" w:cs="Arabic Typesetting"/>
          <w:i/>
          <w:iCs/>
          <w:sz w:val="34"/>
          <w:szCs w:val="34"/>
          <w:lang w:val="fr-CH"/>
        </w:rPr>
      </w:pPr>
      <w:r w:rsidRPr="00E551B2">
        <w:rPr>
          <w:rFonts w:ascii="Arabic Typesetting" w:hAnsi="Arabic Typesetting" w:cs="Arabic Typesetting"/>
          <w:i/>
          <w:iCs/>
          <w:sz w:val="34"/>
          <w:szCs w:val="34"/>
          <w:rtl/>
          <w:lang w:val="fr-CH"/>
        </w:rPr>
        <w:t>(</w:t>
      </w:r>
      <w:r>
        <w:rPr>
          <w:rFonts w:ascii="Arabic Typesetting" w:hAnsi="Arabic Typesetting" w:cs="Arabic Typesetting"/>
          <w:i/>
          <w:iCs/>
          <w:sz w:val="34"/>
          <w:szCs w:val="34"/>
          <w:rtl/>
          <w:lang w:val="fr-CH"/>
        </w:rPr>
        <w:t>بالفرنك السويسري، في 31 ديسمبر 2016</w:t>
      </w:r>
      <w:r w:rsidRPr="00E551B2">
        <w:rPr>
          <w:rFonts w:ascii="Arabic Typesetting" w:hAnsi="Arabic Typesetting" w:cs="Arabic Typesetting"/>
          <w:i/>
          <w:iCs/>
          <w:sz w:val="34"/>
          <w:szCs w:val="34"/>
          <w:rtl/>
          <w:lang w:val="fr-CH"/>
        </w:rPr>
        <w:t>)</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1639"/>
        <w:gridCol w:w="1639"/>
        <w:gridCol w:w="1639"/>
        <w:gridCol w:w="1639"/>
      </w:tblGrid>
      <w:tr w:rsidR="00BD3831" w:rsidRPr="00E551B2" w14:paraId="4A27CEBB" w14:textId="77777777" w:rsidTr="00897495">
        <w:trPr>
          <w:cantSplit/>
          <w:trHeight w:val="410"/>
        </w:trPr>
        <w:tc>
          <w:tcPr>
            <w:tcW w:w="1575" w:type="pct"/>
            <w:shd w:val="clear" w:color="auto" w:fill="C6D9F1"/>
            <w:vAlign w:val="center"/>
          </w:tcPr>
          <w:p w14:paraId="5CF5419E" w14:textId="77777777" w:rsidR="00BD3831" w:rsidRPr="00E551B2" w:rsidRDefault="00BD3831" w:rsidP="0031289D">
            <w:pPr>
              <w:keepNext/>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14:paraId="47E33EE9" w14:textId="77777777" w:rsidR="00BD3831" w:rsidRPr="00E551B2" w:rsidRDefault="00BD3831" w:rsidP="0031289D">
            <w:pPr>
              <w:keepNext/>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14:paraId="73F15BCA" w14:textId="77777777" w:rsidR="00BD3831" w:rsidRPr="00E551B2" w:rsidRDefault="00BD3831" w:rsidP="0031289D">
            <w:pPr>
              <w:keepNext/>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النفقات الفعلية حتى تاريخ</w:t>
            </w:r>
            <w:r w:rsidRPr="00E551B2">
              <w:rPr>
                <w:rFonts w:ascii="Arabic Typesetting" w:hAnsi="Arabic Typesetting" w:cs="Arabic Typesetting" w:hint="cs"/>
                <w:bCs/>
                <w:sz w:val="28"/>
                <w:szCs w:val="28"/>
                <w:rtl/>
                <w:lang w:bidi="ar-EG"/>
              </w:rPr>
              <w:t>ه</w:t>
            </w:r>
          </w:p>
        </w:tc>
        <w:tc>
          <w:tcPr>
            <w:tcW w:w="856" w:type="pct"/>
            <w:shd w:val="clear" w:color="auto" w:fill="C6D9F1"/>
            <w:vAlign w:val="center"/>
          </w:tcPr>
          <w:p w14:paraId="0D5B4AD9" w14:textId="77777777" w:rsidR="00BD3831" w:rsidRPr="00E551B2" w:rsidRDefault="00BD3831" w:rsidP="0031289D">
            <w:pPr>
              <w:keepNext/>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14:paraId="0253210E" w14:textId="77777777" w:rsidR="00BD3831" w:rsidRPr="00E551B2" w:rsidRDefault="00BD3831" w:rsidP="0031289D">
            <w:pPr>
              <w:keepNext/>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معدل التقدم المحرز في تنفيذ المشروع حسب المعالم</w:t>
            </w:r>
          </w:p>
        </w:tc>
      </w:tr>
      <w:tr w:rsidR="00BD3831" w:rsidRPr="00E551B2" w14:paraId="58111873" w14:textId="77777777" w:rsidTr="00897495">
        <w:trPr>
          <w:cantSplit/>
          <w:trHeight w:val="389"/>
        </w:trPr>
        <w:tc>
          <w:tcPr>
            <w:tcW w:w="1575" w:type="pct"/>
            <w:vAlign w:val="center"/>
          </w:tcPr>
          <w:p w14:paraId="7432C20F" w14:textId="77777777" w:rsidR="00BD3831" w:rsidRPr="00950697" w:rsidRDefault="00BD3831" w:rsidP="0031289D">
            <w:pPr>
              <w:keepNext/>
              <w:autoSpaceDE w:val="0"/>
              <w:autoSpaceDN w:val="0"/>
              <w:bidi/>
              <w:adjustRightInd w:val="0"/>
              <w:spacing w:before="40" w:after="40"/>
              <w:rPr>
                <w:rFonts w:ascii="Arabic Typesetting" w:hAnsi="Arabic Typesetting" w:cs="Arabic Typesetting"/>
                <w:sz w:val="28"/>
                <w:szCs w:val="28"/>
              </w:rPr>
            </w:pPr>
            <w:r w:rsidRPr="00950697">
              <w:rPr>
                <w:rFonts w:ascii="Arabic Typesetting" w:hAnsi="Arabic Typesetting" w:cs="Arabic Typesetting"/>
                <w:sz w:val="28"/>
                <w:szCs w:val="28"/>
                <w:rtl/>
              </w:rPr>
              <w:t>تقييم الوضع القائم لنظام إدارة الهوية والنفاذ وتشفير البيانات وهياكله المرجعية واستراتيجيته وخطة تنفيذه</w:t>
            </w:r>
          </w:p>
        </w:tc>
        <w:tc>
          <w:tcPr>
            <w:tcW w:w="856" w:type="pct"/>
            <w:vAlign w:val="center"/>
          </w:tcPr>
          <w:p w14:paraId="5A4BC065" w14:textId="77777777" w:rsidR="00BD3831" w:rsidRPr="00950697" w:rsidRDefault="00BD3831" w:rsidP="0031289D">
            <w:pPr>
              <w:keepNext/>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130</w:t>
            </w:r>
            <w:r>
              <w:rPr>
                <w:rFonts w:ascii="Arabic Typesetting" w:hAnsi="Arabic Typesetting" w:cs="Arabic Typesetting"/>
                <w:sz w:val="28"/>
                <w:szCs w:val="28"/>
              </w:rPr>
              <w:t> </w:t>
            </w:r>
            <w:r w:rsidRPr="00950697">
              <w:rPr>
                <w:rFonts w:ascii="Arabic Typesetting" w:hAnsi="Arabic Typesetting" w:cs="Arabic Typesetting"/>
                <w:sz w:val="28"/>
                <w:szCs w:val="28"/>
              </w:rPr>
              <w:t>000</w:t>
            </w:r>
          </w:p>
        </w:tc>
        <w:tc>
          <w:tcPr>
            <w:tcW w:w="856" w:type="pct"/>
            <w:vAlign w:val="center"/>
          </w:tcPr>
          <w:p w14:paraId="2720C1C7" w14:textId="77777777" w:rsidR="00BD3831" w:rsidRPr="00950697" w:rsidRDefault="00BD3831" w:rsidP="0031289D">
            <w:pPr>
              <w:keepNext/>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129</w:t>
            </w:r>
            <w:r>
              <w:rPr>
                <w:rFonts w:ascii="Arabic Typesetting" w:hAnsi="Arabic Typesetting" w:cs="Arabic Typesetting"/>
                <w:sz w:val="28"/>
                <w:szCs w:val="28"/>
              </w:rPr>
              <w:t> </w:t>
            </w:r>
            <w:r w:rsidRPr="00950697">
              <w:rPr>
                <w:rFonts w:ascii="Arabic Typesetting" w:hAnsi="Arabic Typesetting" w:cs="Arabic Typesetting"/>
                <w:sz w:val="28"/>
                <w:szCs w:val="28"/>
              </w:rPr>
              <w:t>400</w:t>
            </w:r>
          </w:p>
        </w:tc>
        <w:tc>
          <w:tcPr>
            <w:tcW w:w="856" w:type="pct"/>
            <w:vAlign w:val="center"/>
          </w:tcPr>
          <w:p w14:paraId="2EB6B607" w14:textId="77777777" w:rsidR="00BD3831" w:rsidRPr="00950697" w:rsidRDefault="00BD3831" w:rsidP="0031289D">
            <w:pPr>
              <w:keepNext/>
              <w:autoSpaceDE w:val="0"/>
              <w:autoSpaceDN w:val="0"/>
              <w:adjustRightInd w:val="0"/>
              <w:spacing w:before="40" w:after="40"/>
              <w:jc w:val="center"/>
              <w:rPr>
                <w:rFonts w:ascii="Arabic Typesetting" w:hAnsi="Arabic Typesetting" w:cs="Arabic Typesetting"/>
                <w:sz w:val="28"/>
                <w:szCs w:val="28"/>
              </w:rPr>
            </w:pPr>
            <w:r>
              <w:rPr>
                <w:rFonts w:ascii="Arabic Typesetting" w:hAnsi="Arabic Typesetting" w:cs="Arabic Typesetting"/>
                <w:sz w:val="28"/>
                <w:szCs w:val="28"/>
              </w:rPr>
              <w:t>%99.5</w:t>
            </w:r>
          </w:p>
        </w:tc>
        <w:tc>
          <w:tcPr>
            <w:tcW w:w="856" w:type="pct"/>
            <w:vAlign w:val="center"/>
          </w:tcPr>
          <w:p w14:paraId="3271F001" w14:textId="77777777" w:rsidR="00BD3831" w:rsidRPr="00950697" w:rsidRDefault="00BD3831" w:rsidP="0031289D">
            <w:pPr>
              <w:keepNext/>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100%</w:t>
            </w:r>
          </w:p>
        </w:tc>
      </w:tr>
      <w:tr w:rsidR="00BD3831" w:rsidRPr="00E551B2" w14:paraId="4EFD0C5C" w14:textId="77777777" w:rsidTr="00897495">
        <w:trPr>
          <w:cantSplit/>
          <w:trHeight w:val="389"/>
        </w:trPr>
        <w:tc>
          <w:tcPr>
            <w:tcW w:w="1575" w:type="pct"/>
            <w:vAlign w:val="center"/>
          </w:tcPr>
          <w:p w14:paraId="22E3D590" w14:textId="77777777" w:rsidR="00BD3831" w:rsidRPr="00950697" w:rsidRDefault="00BD3831" w:rsidP="0031289D">
            <w:pPr>
              <w:keepNext/>
              <w:autoSpaceDE w:val="0"/>
              <w:autoSpaceDN w:val="0"/>
              <w:bidi/>
              <w:adjustRightInd w:val="0"/>
              <w:spacing w:before="40" w:after="40"/>
              <w:rPr>
                <w:rFonts w:ascii="Arabic Typesetting" w:hAnsi="Arabic Typesetting" w:cs="Arabic Typesetting"/>
                <w:sz w:val="28"/>
                <w:szCs w:val="28"/>
              </w:rPr>
            </w:pPr>
            <w:r w:rsidRPr="00950697">
              <w:rPr>
                <w:rFonts w:ascii="Arabic Typesetting" w:hAnsi="Arabic Typesetting" w:cs="Arabic Typesetting"/>
                <w:sz w:val="28"/>
                <w:szCs w:val="28"/>
                <w:rtl/>
              </w:rPr>
              <w:t>وضع خريطة لنماذج حقوق النفاذ في تطبيقين أساسيين تماشياً مع الهياكل المرجعية للنظام</w:t>
            </w:r>
          </w:p>
        </w:tc>
        <w:tc>
          <w:tcPr>
            <w:tcW w:w="856" w:type="pct"/>
            <w:vAlign w:val="center"/>
          </w:tcPr>
          <w:p w14:paraId="1984AA5D" w14:textId="77777777" w:rsidR="00BD3831" w:rsidRPr="00950697" w:rsidRDefault="00BD3831" w:rsidP="0031289D">
            <w:pPr>
              <w:keepNext/>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95</w:t>
            </w:r>
            <w:r>
              <w:rPr>
                <w:rFonts w:ascii="Arabic Typesetting" w:hAnsi="Arabic Typesetting" w:cs="Arabic Typesetting"/>
                <w:sz w:val="28"/>
                <w:szCs w:val="28"/>
              </w:rPr>
              <w:t> </w:t>
            </w:r>
            <w:r w:rsidRPr="00950697">
              <w:rPr>
                <w:rFonts w:ascii="Arabic Typesetting" w:hAnsi="Arabic Typesetting" w:cs="Arabic Typesetting"/>
                <w:sz w:val="28"/>
                <w:szCs w:val="28"/>
              </w:rPr>
              <w:t>000</w:t>
            </w:r>
          </w:p>
        </w:tc>
        <w:tc>
          <w:tcPr>
            <w:tcW w:w="856" w:type="pct"/>
            <w:vAlign w:val="center"/>
          </w:tcPr>
          <w:p w14:paraId="11887C58" w14:textId="77777777" w:rsidR="00BD3831" w:rsidRPr="00950697" w:rsidRDefault="00BD3831" w:rsidP="0031289D">
            <w:pPr>
              <w:keepNext/>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c>
          <w:tcPr>
            <w:tcW w:w="856" w:type="pct"/>
            <w:vAlign w:val="center"/>
          </w:tcPr>
          <w:p w14:paraId="3C16E52E" w14:textId="77777777" w:rsidR="00BD3831" w:rsidRPr="00950697" w:rsidRDefault="00BD3831" w:rsidP="0031289D">
            <w:pPr>
              <w:keepNext/>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c>
          <w:tcPr>
            <w:tcW w:w="856" w:type="pct"/>
            <w:vAlign w:val="center"/>
          </w:tcPr>
          <w:p w14:paraId="5562EBCD" w14:textId="77777777" w:rsidR="00BD3831" w:rsidRPr="00950697" w:rsidRDefault="00BD3831" w:rsidP="0031289D">
            <w:pPr>
              <w:keepNext/>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r>
      <w:tr w:rsidR="00BD3831" w:rsidRPr="00E551B2" w14:paraId="156A90D2" w14:textId="77777777" w:rsidTr="00897495">
        <w:trPr>
          <w:cantSplit/>
          <w:trHeight w:val="389"/>
        </w:trPr>
        <w:tc>
          <w:tcPr>
            <w:tcW w:w="1575" w:type="pct"/>
            <w:vAlign w:val="center"/>
          </w:tcPr>
          <w:p w14:paraId="5CD00D0C" w14:textId="77777777" w:rsidR="00BD3831" w:rsidRPr="00950697" w:rsidRDefault="00BD3831" w:rsidP="0031289D">
            <w:pPr>
              <w:autoSpaceDE w:val="0"/>
              <w:autoSpaceDN w:val="0"/>
              <w:bidi/>
              <w:adjustRightInd w:val="0"/>
              <w:spacing w:before="40" w:after="40"/>
              <w:rPr>
                <w:rFonts w:ascii="Arabic Typesetting" w:hAnsi="Arabic Typesetting" w:cs="Arabic Typesetting"/>
                <w:sz w:val="28"/>
                <w:szCs w:val="28"/>
              </w:rPr>
            </w:pPr>
            <w:r w:rsidRPr="00950697">
              <w:rPr>
                <w:rFonts w:ascii="Arabic Typesetting" w:hAnsi="Arabic Typesetting" w:cs="Arabic Typesetting"/>
                <w:sz w:val="28"/>
                <w:szCs w:val="28"/>
                <w:rtl/>
              </w:rPr>
              <w:t>شراء حل لإدارة النفاذ وإدماجه</w:t>
            </w:r>
          </w:p>
        </w:tc>
        <w:tc>
          <w:tcPr>
            <w:tcW w:w="856" w:type="pct"/>
            <w:vAlign w:val="center"/>
          </w:tcPr>
          <w:p w14:paraId="34916737"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375</w:t>
            </w:r>
            <w:r>
              <w:rPr>
                <w:rFonts w:ascii="Arabic Typesetting" w:hAnsi="Arabic Typesetting" w:cs="Arabic Typesetting"/>
                <w:sz w:val="28"/>
                <w:szCs w:val="28"/>
              </w:rPr>
              <w:t> </w:t>
            </w:r>
            <w:r w:rsidRPr="00950697">
              <w:rPr>
                <w:rFonts w:ascii="Arabic Typesetting" w:hAnsi="Arabic Typesetting" w:cs="Arabic Typesetting"/>
                <w:sz w:val="28"/>
                <w:szCs w:val="28"/>
              </w:rPr>
              <w:t>000</w:t>
            </w:r>
          </w:p>
        </w:tc>
        <w:tc>
          <w:tcPr>
            <w:tcW w:w="856" w:type="pct"/>
            <w:vAlign w:val="center"/>
          </w:tcPr>
          <w:p w14:paraId="49318B5C"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c>
          <w:tcPr>
            <w:tcW w:w="856" w:type="pct"/>
            <w:vAlign w:val="center"/>
          </w:tcPr>
          <w:p w14:paraId="0CBC3539"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c>
          <w:tcPr>
            <w:tcW w:w="856" w:type="pct"/>
            <w:vAlign w:val="center"/>
          </w:tcPr>
          <w:p w14:paraId="2B52754B"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r>
      <w:tr w:rsidR="00BD3831" w:rsidRPr="00E551B2" w14:paraId="35A55D4E" w14:textId="77777777" w:rsidTr="00897495">
        <w:trPr>
          <w:cantSplit/>
          <w:trHeight w:val="389"/>
        </w:trPr>
        <w:tc>
          <w:tcPr>
            <w:tcW w:w="1575" w:type="pct"/>
            <w:vAlign w:val="center"/>
          </w:tcPr>
          <w:p w14:paraId="34428236" w14:textId="77777777" w:rsidR="00BD3831" w:rsidRPr="00950697"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rPr>
              <w:t>نظام داخلي للتشفير بمفتاح عمومي (</w:t>
            </w:r>
            <w:r>
              <w:rPr>
                <w:rFonts w:ascii="Arabic Typesetting" w:hAnsi="Arabic Typesetting" w:cs="Arabic Typesetting"/>
                <w:sz w:val="28"/>
                <w:szCs w:val="28"/>
              </w:rPr>
              <w:t>PKI</w:t>
            </w:r>
            <w:r>
              <w:rPr>
                <w:rFonts w:ascii="Arabic Typesetting" w:hAnsi="Arabic Typesetting" w:cs="Arabic Typesetting" w:hint="cs"/>
                <w:sz w:val="28"/>
                <w:szCs w:val="28"/>
                <w:rtl/>
                <w:lang w:bidi="ar-EG"/>
              </w:rPr>
              <w:t>)</w:t>
            </w:r>
          </w:p>
        </w:tc>
        <w:tc>
          <w:tcPr>
            <w:tcW w:w="856" w:type="pct"/>
            <w:vAlign w:val="center"/>
          </w:tcPr>
          <w:p w14:paraId="768A14C0"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100</w:t>
            </w:r>
            <w:r>
              <w:rPr>
                <w:rFonts w:ascii="Arabic Typesetting" w:hAnsi="Arabic Typesetting" w:cs="Arabic Typesetting"/>
                <w:sz w:val="28"/>
                <w:szCs w:val="28"/>
              </w:rPr>
              <w:t> </w:t>
            </w:r>
            <w:r w:rsidRPr="00950697">
              <w:rPr>
                <w:rFonts w:ascii="Arabic Typesetting" w:hAnsi="Arabic Typesetting" w:cs="Arabic Typesetting"/>
                <w:sz w:val="28"/>
                <w:szCs w:val="28"/>
              </w:rPr>
              <w:t>000</w:t>
            </w:r>
          </w:p>
        </w:tc>
        <w:tc>
          <w:tcPr>
            <w:tcW w:w="856" w:type="pct"/>
            <w:vAlign w:val="center"/>
          </w:tcPr>
          <w:p w14:paraId="2A4B005D"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c>
          <w:tcPr>
            <w:tcW w:w="856" w:type="pct"/>
            <w:vAlign w:val="center"/>
          </w:tcPr>
          <w:p w14:paraId="1A59B7F2"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c>
          <w:tcPr>
            <w:tcW w:w="856" w:type="pct"/>
            <w:vAlign w:val="center"/>
          </w:tcPr>
          <w:p w14:paraId="7EF26F50"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r>
      <w:tr w:rsidR="00BD3831" w:rsidRPr="00E551B2" w14:paraId="0E03FCBF" w14:textId="77777777" w:rsidTr="00897495">
        <w:trPr>
          <w:cantSplit/>
          <w:trHeight w:val="389"/>
        </w:trPr>
        <w:tc>
          <w:tcPr>
            <w:tcW w:w="1575" w:type="pct"/>
            <w:shd w:val="clear" w:color="auto" w:fill="C6D9F1"/>
            <w:vAlign w:val="center"/>
          </w:tcPr>
          <w:p w14:paraId="23F93BF3" w14:textId="77777777" w:rsidR="00BD3831" w:rsidRPr="00E551B2" w:rsidRDefault="00BD3831" w:rsidP="0031289D">
            <w:pPr>
              <w:keepLines/>
              <w:autoSpaceDE w:val="0"/>
              <w:autoSpaceDN w:val="0"/>
              <w:bidi/>
              <w:adjustRightInd w:val="0"/>
              <w:spacing w:before="40" w:after="40" w:line="260" w:lineRule="exact"/>
              <w:rPr>
                <w:rFonts w:ascii="Arabic Typesetting" w:hAnsi="Arabic Typesetting" w:cs="Arabic Typesetting"/>
                <w:b/>
                <w:bCs/>
                <w:sz w:val="28"/>
                <w:szCs w:val="28"/>
                <w:rtl/>
                <w:lang w:bidi="ar-EG"/>
              </w:rPr>
            </w:pPr>
            <w:r w:rsidRPr="00E551B2">
              <w:rPr>
                <w:rFonts w:ascii="Arabic Typesetting" w:hAnsi="Arabic Typesetting" w:cs="Arabic Typesetting"/>
                <w:b/>
                <w:bCs/>
                <w:sz w:val="28"/>
                <w:szCs w:val="28"/>
                <w:rtl/>
                <w:lang w:bidi="ar-EG"/>
              </w:rPr>
              <w:t>المجموع</w:t>
            </w:r>
          </w:p>
        </w:tc>
        <w:tc>
          <w:tcPr>
            <w:tcW w:w="856" w:type="pct"/>
            <w:shd w:val="clear" w:color="auto" w:fill="C6D9F1"/>
            <w:vAlign w:val="center"/>
          </w:tcPr>
          <w:p w14:paraId="2B7D9F1D"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950697">
              <w:rPr>
                <w:rFonts w:ascii="Arabic Typesetting" w:hAnsi="Arabic Typesetting" w:cs="Arabic Typesetting"/>
                <w:b/>
                <w:sz w:val="28"/>
                <w:szCs w:val="28"/>
              </w:rPr>
              <w:t>700</w:t>
            </w:r>
            <w:r>
              <w:rPr>
                <w:rFonts w:ascii="Arabic Typesetting" w:hAnsi="Arabic Typesetting" w:cs="Arabic Typesetting"/>
                <w:b/>
                <w:sz w:val="28"/>
                <w:szCs w:val="28"/>
              </w:rPr>
              <w:t> </w:t>
            </w:r>
            <w:r w:rsidRPr="00950697">
              <w:rPr>
                <w:rFonts w:ascii="Arabic Typesetting" w:hAnsi="Arabic Typesetting" w:cs="Arabic Typesetting"/>
                <w:b/>
                <w:sz w:val="28"/>
                <w:szCs w:val="28"/>
              </w:rPr>
              <w:t>000</w:t>
            </w:r>
          </w:p>
        </w:tc>
        <w:tc>
          <w:tcPr>
            <w:tcW w:w="856" w:type="pct"/>
            <w:shd w:val="clear" w:color="auto" w:fill="C6D9F1"/>
          </w:tcPr>
          <w:p w14:paraId="0D4DDA1B"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950697">
              <w:rPr>
                <w:rFonts w:ascii="Arabic Typesetting" w:hAnsi="Arabic Typesetting" w:cs="Arabic Typesetting"/>
                <w:b/>
                <w:sz w:val="28"/>
                <w:szCs w:val="28"/>
              </w:rPr>
              <w:t>129</w:t>
            </w:r>
            <w:r>
              <w:rPr>
                <w:rFonts w:ascii="Arabic Typesetting" w:hAnsi="Arabic Typesetting" w:cs="Arabic Typesetting"/>
                <w:b/>
                <w:sz w:val="28"/>
                <w:szCs w:val="28"/>
              </w:rPr>
              <w:t> </w:t>
            </w:r>
            <w:r w:rsidRPr="00950697">
              <w:rPr>
                <w:rFonts w:ascii="Arabic Typesetting" w:hAnsi="Arabic Typesetting" w:cs="Arabic Typesetting"/>
                <w:b/>
                <w:sz w:val="28"/>
                <w:szCs w:val="28"/>
              </w:rPr>
              <w:t>400</w:t>
            </w:r>
          </w:p>
        </w:tc>
        <w:tc>
          <w:tcPr>
            <w:tcW w:w="856" w:type="pct"/>
            <w:shd w:val="clear" w:color="auto" w:fill="C6D9F1"/>
          </w:tcPr>
          <w:p w14:paraId="7EB4E49E"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b/>
                <w:sz w:val="28"/>
                <w:szCs w:val="28"/>
              </w:rPr>
            </w:pPr>
            <w:r>
              <w:rPr>
                <w:rFonts w:ascii="Arabic Typesetting" w:hAnsi="Arabic Typesetting" w:cs="Arabic Typesetting"/>
                <w:b/>
                <w:sz w:val="28"/>
                <w:szCs w:val="28"/>
              </w:rPr>
              <w:t>%18.5</w:t>
            </w:r>
          </w:p>
        </w:tc>
        <w:tc>
          <w:tcPr>
            <w:tcW w:w="856" w:type="pct"/>
            <w:shd w:val="clear" w:color="auto" w:fill="C6D9F1"/>
          </w:tcPr>
          <w:p w14:paraId="7CB3850B" w14:textId="77777777" w:rsidR="00BD3831" w:rsidRPr="00950697" w:rsidRDefault="00BD3831" w:rsidP="0031289D">
            <w:pPr>
              <w:autoSpaceDE w:val="0"/>
              <w:autoSpaceDN w:val="0"/>
              <w:adjustRightInd w:val="0"/>
              <w:spacing w:before="40" w:after="40"/>
              <w:jc w:val="center"/>
              <w:rPr>
                <w:rFonts w:ascii="Arabic Typesetting" w:hAnsi="Arabic Typesetting" w:cs="Arabic Typesetting"/>
                <w:b/>
                <w:sz w:val="28"/>
                <w:szCs w:val="28"/>
              </w:rPr>
            </w:pPr>
          </w:p>
        </w:tc>
      </w:tr>
    </w:tbl>
    <w:p w14:paraId="4A03E7B4" w14:textId="77777777" w:rsidR="00BD3831" w:rsidRPr="00E551B2" w:rsidRDefault="00BD3831" w:rsidP="0031289D">
      <w:pPr>
        <w:keepNext/>
        <w:bidi/>
        <w:spacing w:before="120" w:line="340" w:lineRule="exact"/>
        <w:jc w:val="center"/>
        <w:rPr>
          <w:rFonts w:ascii="Arabic Typesetting" w:hAnsi="Arabic Typesetting" w:cs="Arabic Typesetting"/>
          <w:bCs/>
          <w:sz w:val="34"/>
          <w:szCs w:val="34"/>
          <w:rtl/>
          <w:lang w:val="fr-CH"/>
        </w:rPr>
      </w:pPr>
      <w:r w:rsidRPr="00E551B2">
        <w:rPr>
          <w:rFonts w:ascii="Arabic Typesetting" w:hAnsi="Arabic Typesetting" w:cs="Arabic Typesetting"/>
          <w:bCs/>
          <w:sz w:val="34"/>
          <w:szCs w:val="34"/>
          <w:rtl/>
          <w:lang w:val="fr-CH"/>
        </w:rPr>
        <w:t>استخدام ميزانية المشروع (حسب فئة التكلفة)</w:t>
      </w:r>
    </w:p>
    <w:p w14:paraId="12DCC6B3" w14:textId="77777777" w:rsidR="00BD3831" w:rsidRPr="00E551B2" w:rsidRDefault="00BD3831" w:rsidP="0031289D">
      <w:pPr>
        <w:keepNext/>
        <w:bidi/>
        <w:spacing w:after="120" w:line="340" w:lineRule="exact"/>
        <w:jc w:val="center"/>
        <w:rPr>
          <w:rFonts w:ascii="Arabic Typesetting" w:hAnsi="Arabic Typesetting" w:cs="Arabic Typesetting"/>
          <w:i/>
          <w:iCs/>
          <w:sz w:val="34"/>
          <w:szCs w:val="34"/>
          <w:lang w:val="fr-CH"/>
        </w:rPr>
      </w:pPr>
      <w:r w:rsidRPr="00E551B2">
        <w:rPr>
          <w:rFonts w:ascii="Arabic Typesetting" w:hAnsi="Arabic Typesetting" w:cs="Arabic Typesetting"/>
          <w:i/>
          <w:iCs/>
          <w:sz w:val="34"/>
          <w:szCs w:val="34"/>
          <w:rtl/>
          <w:lang w:val="fr-CH"/>
        </w:rPr>
        <w:t>(</w:t>
      </w:r>
      <w:r>
        <w:rPr>
          <w:rFonts w:ascii="Arabic Typesetting" w:hAnsi="Arabic Typesetting" w:cs="Arabic Typesetting"/>
          <w:i/>
          <w:iCs/>
          <w:sz w:val="34"/>
          <w:szCs w:val="34"/>
          <w:rtl/>
          <w:lang w:val="fr-CH"/>
        </w:rPr>
        <w:t>بالفرنك السويسري، في 31 ديسمبر 2016</w:t>
      </w:r>
      <w:r w:rsidRPr="00E551B2">
        <w:rPr>
          <w:rFonts w:ascii="Arabic Typesetting" w:hAnsi="Arabic Typesetting" w:cs="Arabic Typesetting"/>
          <w:i/>
          <w:iCs/>
          <w:sz w:val="34"/>
          <w:szCs w:val="34"/>
          <w:rtl/>
          <w:lang w:val="fr-CH"/>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1884"/>
        <w:gridCol w:w="1882"/>
        <w:gridCol w:w="2188"/>
      </w:tblGrid>
      <w:tr w:rsidR="00BD3831" w:rsidRPr="00E551B2" w14:paraId="2BA8EE0E" w14:textId="77777777" w:rsidTr="00DF6715">
        <w:trPr>
          <w:trHeight w:val="569"/>
          <w:jc w:val="center"/>
        </w:trPr>
        <w:tc>
          <w:tcPr>
            <w:tcW w:w="1890" w:type="pct"/>
            <w:shd w:val="clear" w:color="auto" w:fill="C6D9F1"/>
            <w:vAlign w:val="center"/>
          </w:tcPr>
          <w:p w14:paraId="3ABF807E" w14:textId="77777777" w:rsidR="00BD3831" w:rsidRPr="00E551B2" w:rsidRDefault="00BD3831" w:rsidP="0031289D">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فئة التكلفة</w:t>
            </w:r>
          </w:p>
        </w:tc>
        <w:tc>
          <w:tcPr>
            <w:tcW w:w="984" w:type="pct"/>
            <w:shd w:val="clear" w:color="auto" w:fill="C6D9F1"/>
            <w:vAlign w:val="center"/>
          </w:tcPr>
          <w:p w14:paraId="5FB135D7" w14:textId="77777777" w:rsidR="00BD3831" w:rsidRPr="00E551B2" w:rsidRDefault="00BD3831" w:rsidP="0031289D">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ميزانية المشروع</w:t>
            </w:r>
          </w:p>
        </w:tc>
        <w:tc>
          <w:tcPr>
            <w:tcW w:w="983" w:type="pct"/>
            <w:shd w:val="clear" w:color="auto" w:fill="C6D9F1"/>
            <w:vAlign w:val="center"/>
          </w:tcPr>
          <w:p w14:paraId="2C6B71AB" w14:textId="77777777" w:rsidR="00BD3831" w:rsidRPr="00E551B2" w:rsidRDefault="00BD3831" w:rsidP="0031289D">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النفقات الفعلية حتى تاريخه</w:t>
            </w:r>
          </w:p>
        </w:tc>
        <w:tc>
          <w:tcPr>
            <w:tcW w:w="1143" w:type="pct"/>
            <w:shd w:val="clear" w:color="auto" w:fill="C6D9F1"/>
            <w:vAlign w:val="center"/>
          </w:tcPr>
          <w:p w14:paraId="30F46A90" w14:textId="77777777" w:rsidR="00BD3831" w:rsidRPr="00E551B2" w:rsidRDefault="00BD3831" w:rsidP="0031289D">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الاستخدام الفعلي للميزانية</w:t>
            </w:r>
          </w:p>
        </w:tc>
      </w:tr>
      <w:tr w:rsidR="00BD3831" w:rsidRPr="00E551B2" w14:paraId="0F719BBC" w14:textId="77777777" w:rsidTr="00DF6715">
        <w:trPr>
          <w:jc w:val="center"/>
        </w:trPr>
        <w:tc>
          <w:tcPr>
            <w:tcW w:w="1890" w:type="pct"/>
            <w:vAlign w:val="center"/>
          </w:tcPr>
          <w:p w14:paraId="0AC15D77" w14:textId="77777777" w:rsidR="00BD3831" w:rsidRPr="00950697"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Pr>
            </w:pPr>
            <w:r w:rsidRPr="00950697">
              <w:rPr>
                <w:rFonts w:ascii="Arabic Typesetting" w:hAnsi="Arabic Typesetting" w:cs="Arabic Typesetting"/>
                <w:sz w:val="28"/>
                <w:szCs w:val="28"/>
                <w:rtl/>
              </w:rPr>
              <w:t>الخدمات التعاقدية الفردية</w:t>
            </w:r>
          </w:p>
        </w:tc>
        <w:tc>
          <w:tcPr>
            <w:tcW w:w="984" w:type="pct"/>
            <w:vAlign w:val="center"/>
          </w:tcPr>
          <w:p w14:paraId="372B518F" w14:textId="77777777" w:rsidR="00BD3831" w:rsidRPr="00950697"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950697">
              <w:rPr>
                <w:rFonts w:ascii="Arabic Typesetting" w:hAnsi="Arabic Typesetting" w:cs="Arabic Typesetting"/>
                <w:sz w:val="28"/>
                <w:szCs w:val="28"/>
              </w:rPr>
              <w:t>225</w:t>
            </w:r>
            <w:r>
              <w:rPr>
                <w:rFonts w:ascii="Arabic Typesetting" w:hAnsi="Arabic Typesetting" w:cs="Arabic Typesetting"/>
                <w:sz w:val="28"/>
                <w:szCs w:val="28"/>
              </w:rPr>
              <w:t> </w:t>
            </w:r>
            <w:r w:rsidRPr="00950697">
              <w:rPr>
                <w:rFonts w:ascii="Arabic Typesetting" w:hAnsi="Arabic Typesetting" w:cs="Arabic Typesetting"/>
                <w:sz w:val="28"/>
                <w:szCs w:val="28"/>
              </w:rPr>
              <w:t>000</w:t>
            </w:r>
          </w:p>
        </w:tc>
        <w:tc>
          <w:tcPr>
            <w:tcW w:w="983" w:type="pct"/>
            <w:vAlign w:val="center"/>
          </w:tcPr>
          <w:p w14:paraId="13E49EB0" w14:textId="77777777" w:rsidR="00BD3831" w:rsidRPr="00950697"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950697">
              <w:rPr>
                <w:rFonts w:ascii="Arabic Typesetting" w:hAnsi="Arabic Typesetting" w:cs="Arabic Typesetting"/>
                <w:sz w:val="28"/>
                <w:szCs w:val="28"/>
              </w:rPr>
              <w:t>129</w:t>
            </w:r>
            <w:r>
              <w:rPr>
                <w:rFonts w:ascii="Arabic Typesetting" w:hAnsi="Arabic Typesetting" w:cs="Arabic Typesetting"/>
                <w:sz w:val="28"/>
                <w:szCs w:val="28"/>
              </w:rPr>
              <w:t> </w:t>
            </w:r>
            <w:r w:rsidRPr="00950697">
              <w:rPr>
                <w:rFonts w:ascii="Arabic Typesetting" w:hAnsi="Arabic Typesetting" w:cs="Arabic Typesetting"/>
                <w:sz w:val="28"/>
                <w:szCs w:val="28"/>
              </w:rPr>
              <w:t>400</w:t>
            </w:r>
          </w:p>
        </w:tc>
        <w:tc>
          <w:tcPr>
            <w:tcW w:w="1143" w:type="pct"/>
            <w:vAlign w:val="center"/>
          </w:tcPr>
          <w:p w14:paraId="44A88135" w14:textId="77777777" w:rsidR="00BD3831" w:rsidRPr="00950697"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950697">
              <w:rPr>
                <w:rFonts w:ascii="Arabic Typesetting" w:hAnsi="Arabic Typesetting" w:cs="Arabic Typesetting"/>
                <w:sz w:val="28"/>
                <w:szCs w:val="28"/>
              </w:rPr>
              <w:t>%57.51</w:t>
            </w:r>
          </w:p>
        </w:tc>
      </w:tr>
      <w:tr w:rsidR="00BD3831" w:rsidRPr="00E551B2" w14:paraId="4F6D13CF" w14:textId="77777777" w:rsidTr="00DF6715">
        <w:trPr>
          <w:jc w:val="center"/>
        </w:trPr>
        <w:tc>
          <w:tcPr>
            <w:tcW w:w="1890" w:type="pct"/>
            <w:vAlign w:val="center"/>
          </w:tcPr>
          <w:p w14:paraId="147027BB" w14:textId="77777777" w:rsidR="00BD3831" w:rsidRPr="00950697"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lang w:bidi="ar-EG"/>
              </w:rPr>
            </w:pPr>
            <w:r w:rsidRPr="00950697">
              <w:rPr>
                <w:rFonts w:ascii="Arabic Typesetting" w:hAnsi="Arabic Typesetting" w:cs="Arabic Typesetting"/>
                <w:sz w:val="28"/>
                <w:szCs w:val="28"/>
                <w:rtl/>
                <w:lang w:bidi="ar-EG"/>
              </w:rPr>
              <w:t>حل وعتاد ودعم إدارة النفاذ وتشفير البيانات</w:t>
            </w:r>
          </w:p>
        </w:tc>
        <w:tc>
          <w:tcPr>
            <w:tcW w:w="984" w:type="pct"/>
            <w:vAlign w:val="center"/>
          </w:tcPr>
          <w:p w14:paraId="2DB0FFC2" w14:textId="77777777" w:rsidR="00BD3831" w:rsidRPr="00950697"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950697">
              <w:rPr>
                <w:rFonts w:ascii="Arabic Typesetting" w:hAnsi="Arabic Typesetting" w:cs="Arabic Typesetting"/>
                <w:sz w:val="28"/>
                <w:szCs w:val="28"/>
              </w:rPr>
              <w:t>325</w:t>
            </w:r>
            <w:r>
              <w:rPr>
                <w:rFonts w:ascii="Arabic Typesetting" w:hAnsi="Arabic Typesetting" w:cs="Arabic Typesetting"/>
                <w:sz w:val="28"/>
                <w:szCs w:val="28"/>
              </w:rPr>
              <w:t> </w:t>
            </w:r>
            <w:r w:rsidRPr="00950697">
              <w:rPr>
                <w:rFonts w:ascii="Arabic Typesetting" w:hAnsi="Arabic Typesetting" w:cs="Arabic Typesetting"/>
                <w:sz w:val="28"/>
                <w:szCs w:val="28"/>
              </w:rPr>
              <w:t>000</w:t>
            </w:r>
          </w:p>
        </w:tc>
        <w:tc>
          <w:tcPr>
            <w:tcW w:w="983" w:type="pct"/>
            <w:vAlign w:val="center"/>
          </w:tcPr>
          <w:p w14:paraId="7A50929C" w14:textId="77777777" w:rsidR="00BD3831" w:rsidRPr="00950697"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c>
          <w:tcPr>
            <w:tcW w:w="1143" w:type="pct"/>
            <w:vAlign w:val="center"/>
          </w:tcPr>
          <w:p w14:paraId="00156269" w14:textId="77777777" w:rsidR="00BD3831" w:rsidRPr="00950697"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r>
      <w:tr w:rsidR="00BD3831" w:rsidRPr="00E551B2" w14:paraId="30053162" w14:textId="77777777" w:rsidTr="00DF6715">
        <w:trPr>
          <w:jc w:val="center"/>
        </w:trPr>
        <w:tc>
          <w:tcPr>
            <w:tcW w:w="1890" w:type="pct"/>
            <w:vAlign w:val="center"/>
          </w:tcPr>
          <w:p w14:paraId="269DD8D9" w14:textId="77777777" w:rsidR="00BD3831" w:rsidRPr="00950697"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Pr>
            </w:pPr>
            <w:r w:rsidRPr="00950697">
              <w:rPr>
                <w:rFonts w:ascii="Arabic Typesetting" w:hAnsi="Arabic Typesetting" w:cs="Arabic Typesetting"/>
                <w:sz w:val="28"/>
                <w:szCs w:val="28"/>
                <w:rtl/>
              </w:rPr>
              <w:t>الخدمات التعاقدية</w:t>
            </w:r>
          </w:p>
        </w:tc>
        <w:tc>
          <w:tcPr>
            <w:tcW w:w="984" w:type="pct"/>
            <w:vAlign w:val="center"/>
          </w:tcPr>
          <w:p w14:paraId="1094CC7C" w14:textId="77777777" w:rsidR="00BD3831" w:rsidRPr="00950697"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950697">
              <w:rPr>
                <w:rFonts w:ascii="Arabic Typesetting" w:hAnsi="Arabic Typesetting" w:cs="Arabic Typesetting"/>
                <w:sz w:val="28"/>
                <w:szCs w:val="28"/>
              </w:rPr>
              <w:t xml:space="preserve"> 150</w:t>
            </w:r>
            <w:r>
              <w:rPr>
                <w:rFonts w:ascii="Arabic Typesetting" w:hAnsi="Arabic Typesetting" w:cs="Arabic Typesetting"/>
                <w:sz w:val="28"/>
                <w:szCs w:val="28"/>
              </w:rPr>
              <w:t> </w:t>
            </w:r>
            <w:r w:rsidRPr="00950697">
              <w:rPr>
                <w:rFonts w:ascii="Arabic Typesetting" w:hAnsi="Arabic Typesetting" w:cs="Arabic Typesetting"/>
                <w:sz w:val="28"/>
                <w:szCs w:val="28"/>
              </w:rPr>
              <w:t>000</w:t>
            </w:r>
          </w:p>
        </w:tc>
        <w:tc>
          <w:tcPr>
            <w:tcW w:w="983" w:type="pct"/>
            <w:vAlign w:val="center"/>
          </w:tcPr>
          <w:p w14:paraId="377567BF" w14:textId="77777777" w:rsidR="00BD3831" w:rsidRPr="00950697"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c>
          <w:tcPr>
            <w:tcW w:w="1143" w:type="pct"/>
            <w:vAlign w:val="center"/>
          </w:tcPr>
          <w:p w14:paraId="2E19D4CB" w14:textId="77777777" w:rsidR="00BD3831" w:rsidRPr="00950697"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950697">
              <w:rPr>
                <w:rFonts w:ascii="Arabic Typesetting" w:hAnsi="Arabic Typesetting" w:cs="Arabic Typesetting"/>
                <w:sz w:val="28"/>
                <w:szCs w:val="28"/>
              </w:rPr>
              <w:t>-</w:t>
            </w:r>
          </w:p>
        </w:tc>
      </w:tr>
      <w:tr w:rsidR="00BD3831" w:rsidRPr="00E551B2" w14:paraId="7538D217" w14:textId="77777777" w:rsidTr="00DF6715">
        <w:trPr>
          <w:jc w:val="center"/>
        </w:trPr>
        <w:tc>
          <w:tcPr>
            <w:tcW w:w="1890" w:type="pct"/>
            <w:shd w:val="clear" w:color="auto" w:fill="C6D9F1"/>
            <w:vAlign w:val="center"/>
          </w:tcPr>
          <w:p w14:paraId="52445AEF" w14:textId="77777777" w:rsidR="00BD3831" w:rsidRPr="00E551B2" w:rsidRDefault="00BD3831" w:rsidP="0031289D">
            <w:pPr>
              <w:autoSpaceDE w:val="0"/>
              <w:autoSpaceDN w:val="0"/>
              <w:bidi/>
              <w:adjustRightInd w:val="0"/>
              <w:spacing w:before="40" w:after="40" w:line="260" w:lineRule="exact"/>
              <w:rPr>
                <w:rFonts w:ascii="Arabic Typesetting" w:hAnsi="Arabic Typesetting" w:cs="Arabic Typesetting"/>
                <w:bCs/>
                <w:sz w:val="28"/>
                <w:szCs w:val="28"/>
                <w:rtl/>
                <w:lang w:bidi="ar-EG"/>
              </w:rPr>
            </w:pPr>
            <w:r w:rsidRPr="00E551B2">
              <w:rPr>
                <w:rFonts w:ascii="Arabic Typesetting" w:hAnsi="Arabic Typesetting" w:cs="Arabic Typesetting"/>
                <w:bCs/>
                <w:sz w:val="28"/>
                <w:szCs w:val="28"/>
                <w:rtl/>
                <w:lang w:bidi="ar-EG"/>
              </w:rPr>
              <w:t>المجموع</w:t>
            </w:r>
          </w:p>
        </w:tc>
        <w:tc>
          <w:tcPr>
            <w:tcW w:w="984" w:type="pct"/>
            <w:shd w:val="clear" w:color="auto" w:fill="C6D9F1"/>
            <w:vAlign w:val="center"/>
          </w:tcPr>
          <w:p w14:paraId="236176F7" w14:textId="77777777" w:rsidR="00BD3831" w:rsidRPr="00950697"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950697">
              <w:rPr>
                <w:rFonts w:ascii="Arabic Typesetting" w:hAnsi="Arabic Typesetting" w:cs="Arabic Typesetting"/>
                <w:b/>
                <w:sz w:val="28"/>
                <w:szCs w:val="28"/>
              </w:rPr>
              <w:t>700</w:t>
            </w:r>
            <w:r>
              <w:rPr>
                <w:rFonts w:ascii="Arabic Typesetting" w:hAnsi="Arabic Typesetting" w:cs="Arabic Typesetting"/>
                <w:b/>
                <w:sz w:val="28"/>
                <w:szCs w:val="28"/>
              </w:rPr>
              <w:t> </w:t>
            </w:r>
            <w:r w:rsidRPr="00950697">
              <w:rPr>
                <w:rFonts w:ascii="Arabic Typesetting" w:hAnsi="Arabic Typesetting" w:cs="Arabic Typesetting"/>
                <w:b/>
                <w:sz w:val="28"/>
                <w:szCs w:val="28"/>
              </w:rPr>
              <w:t>000</w:t>
            </w:r>
          </w:p>
        </w:tc>
        <w:tc>
          <w:tcPr>
            <w:tcW w:w="983" w:type="pct"/>
            <w:shd w:val="clear" w:color="auto" w:fill="C6D9F1"/>
          </w:tcPr>
          <w:p w14:paraId="6D1DAA09" w14:textId="77777777" w:rsidR="00BD3831" w:rsidRPr="00950697"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950697">
              <w:rPr>
                <w:rFonts w:ascii="Arabic Typesetting" w:hAnsi="Arabic Typesetting" w:cs="Arabic Typesetting"/>
                <w:b/>
                <w:sz w:val="28"/>
                <w:szCs w:val="28"/>
              </w:rPr>
              <w:t>129</w:t>
            </w:r>
            <w:r>
              <w:rPr>
                <w:rFonts w:ascii="Arabic Typesetting" w:hAnsi="Arabic Typesetting" w:cs="Arabic Typesetting"/>
                <w:b/>
                <w:sz w:val="28"/>
                <w:szCs w:val="28"/>
              </w:rPr>
              <w:t> </w:t>
            </w:r>
            <w:r w:rsidRPr="00950697">
              <w:rPr>
                <w:rFonts w:ascii="Arabic Typesetting" w:hAnsi="Arabic Typesetting" w:cs="Arabic Typesetting"/>
                <w:b/>
                <w:sz w:val="28"/>
                <w:szCs w:val="28"/>
              </w:rPr>
              <w:t>400</w:t>
            </w:r>
          </w:p>
        </w:tc>
        <w:tc>
          <w:tcPr>
            <w:tcW w:w="1143" w:type="pct"/>
            <w:shd w:val="clear" w:color="auto" w:fill="C6D9F1"/>
          </w:tcPr>
          <w:p w14:paraId="2610FFFA" w14:textId="77777777" w:rsidR="00BD3831" w:rsidRPr="00950697"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950697">
              <w:rPr>
                <w:rFonts w:ascii="Arabic Typesetting" w:hAnsi="Arabic Typesetting" w:cs="Arabic Typesetting"/>
                <w:b/>
                <w:sz w:val="28"/>
                <w:szCs w:val="28"/>
              </w:rPr>
              <w:t>%18.5</w:t>
            </w:r>
          </w:p>
        </w:tc>
      </w:tr>
    </w:tbl>
    <w:p w14:paraId="1FE0A602" w14:textId="77777777" w:rsidR="00BD3831" w:rsidRPr="00E551B2" w:rsidRDefault="00BD3831" w:rsidP="0031289D">
      <w:pPr>
        <w:keepNext/>
        <w:bidi/>
        <w:spacing w:before="120" w:after="120" w:line="340" w:lineRule="exact"/>
        <w:rPr>
          <w:rFonts w:ascii="Arabic Typesetting" w:hAnsi="Arabic Typesetting" w:cs="Arabic Typesetting"/>
          <w:sz w:val="34"/>
          <w:szCs w:val="34"/>
          <w:lang w:val="fr-CH"/>
        </w:rPr>
      </w:pPr>
      <w:r w:rsidRPr="00E551B2">
        <w:rPr>
          <w:rFonts w:ascii="Arabic Typesetting" w:hAnsi="Arabic Typesetting" w:cs="Arabic Typesetting"/>
          <w:sz w:val="34"/>
          <w:szCs w:val="34"/>
          <w:rtl/>
          <w:lang w:val="fr-CH"/>
        </w:rPr>
        <w:t>المخاطر واستراتيجيات التخفيف من آثارها</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BD3831" w:rsidRPr="00E551B2" w14:paraId="0F872EC9" w14:textId="77777777" w:rsidTr="00DF6715">
        <w:trPr>
          <w:trHeight w:val="308"/>
          <w:tblHeader/>
        </w:trPr>
        <w:tc>
          <w:tcPr>
            <w:tcW w:w="1667" w:type="pct"/>
            <w:shd w:val="clear" w:color="auto" w:fill="C6D9F1"/>
            <w:vAlign w:val="center"/>
          </w:tcPr>
          <w:p w14:paraId="084D52B4" w14:textId="77777777" w:rsidR="00BD3831" w:rsidRPr="00E551B2" w:rsidRDefault="00BD3831" w:rsidP="0031289D">
            <w:pPr>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المخاطر</w:t>
            </w:r>
            <w:r w:rsidRPr="00E551B2">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14:paraId="196A6ACE" w14:textId="77777777" w:rsidR="00BD3831" w:rsidRPr="00E551B2" w:rsidRDefault="00BD3831" w:rsidP="0031289D">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14:paraId="22902925" w14:textId="77777777" w:rsidR="00BD3831" w:rsidRPr="00E551B2" w:rsidRDefault="00BD3831" w:rsidP="0031289D">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التعليقات</w:t>
            </w:r>
          </w:p>
        </w:tc>
      </w:tr>
      <w:tr w:rsidR="00BD3831" w:rsidRPr="00E551B2" w14:paraId="69162B0E" w14:textId="77777777" w:rsidTr="00DF6715">
        <w:trPr>
          <w:trHeight w:val="776"/>
        </w:trPr>
        <w:tc>
          <w:tcPr>
            <w:tcW w:w="1667" w:type="pct"/>
          </w:tcPr>
          <w:p w14:paraId="501A8D4A"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sidRPr="00E551B2">
              <w:rPr>
                <w:rFonts w:ascii="Arabic Typesetting" w:hAnsi="Arabic Typesetting" w:cs="Arabic Typesetting" w:hint="cs"/>
                <w:color w:val="000000"/>
                <w:sz w:val="28"/>
                <w:szCs w:val="28"/>
                <w:rtl/>
                <w:lang w:bidi="ar-EG"/>
              </w:rPr>
              <w:t>عدم توفر الميزانية الكافية لتنفيذ خارطة الطريق الخاصة بتنفيذ إدارة الهوية والنفاذ وتشفير البيانات.</w:t>
            </w:r>
          </w:p>
        </w:tc>
        <w:tc>
          <w:tcPr>
            <w:tcW w:w="1667" w:type="pct"/>
          </w:tcPr>
          <w:p w14:paraId="25AB3989"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sidRPr="00E551B2">
              <w:rPr>
                <w:rFonts w:ascii="Arabic Typesetting" w:hAnsi="Arabic Typesetting" w:cs="Arabic Typesetting" w:hint="cs"/>
                <w:color w:val="000000"/>
                <w:sz w:val="28"/>
                <w:szCs w:val="28"/>
                <w:rtl/>
                <w:lang w:bidi="ar-EG"/>
              </w:rPr>
              <w:t>منح الأولوية لخارطة الطريق، مع التركيز على إصلاح المجالات العالية المخاطر أولا.</w:t>
            </w:r>
          </w:p>
        </w:tc>
        <w:tc>
          <w:tcPr>
            <w:tcW w:w="1666" w:type="pct"/>
          </w:tcPr>
          <w:p w14:paraId="34CAF498"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sidRPr="00EF7981">
              <w:rPr>
                <w:rFonts w:cs="Arabic Typesetting" w:hint="cs"/>
                <w:sz w:val="28"/>
                <w:szCs w:val="28"/>
                <w:rtl/>
              </w:rPr>
              <w:t xml:space="preserve">تمخضت استراتيجية نظام إدارة الهوية والنفاذ عن خطة تنفيذ تدريجية لها </w:t>
            </w:r>
            <w:r>
              <w:rPr>
                <w:rFonts w:cs="Arabic Typesetting" w:hint="cs"/>
                <w:sz w:val="28"/>
                <w:szCs w:val="28"/>
                <w:rtl/>
              </w:rPr>
              <w:t>3</w:t>
            </w:r>
            <w:r w:rsidRPr="00EF7981">
              <w:rPr>
                <w:rFonts w:cs="Arabic Typesetting" w:hint="cs"/>
                <w:sz w:val="28"/>
                <w:szCs w:val="28"/>
                <w:rtl/>
              </w:rPr>
              <w:t xml:space="preserve"> مراحل على 3 سنوات (2017 </w:t>
            </w:r>
            <w:r w:rsidRPr="00EF7981">
              <w:rPr>
                <w:rFonts w:cs="Arabic Typesetting"/>
                <w:sz w:val="28"/>
                <w:szCs w:val="28"/>
                <w:rtl/>
              </w:rPr>
              <w:t>–</w:t>
            </w:r>
            <w:r w:rsidRPr="00EF7981">
              <w:rPr>
                <w:rFonts w:cs="Arabic Typesetting" w:hint="cs"/>
                <w:sz w:val="28"/>
                <w:szCs w:val="28"/>
                <w:rtl/>
              </w:rPr>
              <w:t xml:space="preserve"> 2020) بغية ضمان تغطية العناصر الرئيسية من نطاق المشروع.</w:t>
            </w:r>
          </w:p>
        </w:tc>
      </w:tr>
    </w:tbl>
    <w:p w14:paraId="127EAF00" w14:textId="77777777" w:rsidR="00BD3831" w:rsidRPr="00E551B2" w:rsidRDefault="00BD3831" w:rsidP="0031289D">
      <w:pPr>
        <w:keepNext/>
        <w:pageBreakBefore/>
        <w:bidi/>
        <w:spacing w:before="120" w:after="12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lastRenderedPageBreak/>
        <w:t>الجدول الزمني للمشروع حسب المعالم</w:t>
      </w:r>
    </w:p>
    <w:tbl>
      <w:tblPr>
        <w:bidiVisual/>
        <w:tblW w:w="5000" w:type="pct"/>
        <w:jc w:val="center"/>
        <w:tblLook w:val="00A0" w:firstRow="1" w:lastRow="0" w:firstColumn="1" w:lastColumn="0" w:noHBand="0" w:noVBand="0"/>
      </w:tblPr>
      <w:tblGrid>
        <w:gridCol w:w="3701"/>
        <w:gridCol w:w="366"/>
        <w:gridCol w:w="366"/>
        <w:gridCol w:w="367"/>
        <w:gridCol w:w="367"/>
        <w:gridCol w:w="367"/>
        <w:gridCol w:w="367"/>
        <w:gridCol w:w="367"/>
        <w:gridCol w:w="367"/>
        <w:gridCol w:w="367"/>
        <w:gridCol w:w="367"/>
        <w:gridCol w:w="367"/>
        <w:gridCol w:w="367"/>
        <w:gridCol w:w="367"/>
        <w:gridCol w:w="367"/>
        <w:gridCol w:w="367"/>
        <w:gridCol w:w="367"/>
      </w:tblGrid>
      <w:tr w:rsidR="00BD3831" w:rsidRPr="00E551B2" w14:paraId="0856F432" w14:textId="77777777" w:rsidTr="00DF6715">
        <w:trPr>
          <w:trHeight w:val="270"/>
          <w:jc w:val="center"/>
        </w:trPr>
        <w:tc>
          <w:tcPr>
            <w:tcW w:w="1890" w:type="pct"/>
            <w:tcBorders>
              <w:top w:val="nil"/>
              <w:left w:val="nil"/>
              <w:bottom w:val="nil"/>
              <w:right w:val="single" w:sz="4" w:space="0" w:color="auto"/>
            </w:tcBorders>
            <w:noWrap/>
            <w:vAlign w:val="bottom"/>
          </w:tcPr>
          <w:p w14:paraId="210C5098" w14:textId="77777777" w:rsidR="00BD3831" w:rsidRPr="00E551B2" w:rsidRDefault="00BD3831" w:rsidP="0031289D">
            <w:pPr>
              <w:bidi/>
              <w:rPr>
                <w:rFonts w:ascii="Arabic Typesetting" w:hAnsi="Arabic Typesetting" w:cs="Arabic Typesetting"/>
                <w:noProof/>
                <w:color w:val="000000"/>
                <w:sz w:val="28"/>
                <w:szCs w:val="28"/>
              </w:rPr>
            </w:pPr>
          </w:p>
        </w:tc>
        <w:tc>
          <w:tcPr>
            <w:tcW w:w="778" w:type="pct"/>
            <w:gridSpan w:val="4"/>
            <w:tcBorders>
              <w:top w:val="single" w:sz="8" w:space="0" w:color="auto"/>
              <w:left w:val="single" w:sz="4" w:space="0" w:color="auto"/>
              <w:bottom w:val="single" w:sz="4" w:space="0" w:color="auto"/>
              <w:right w:val="single" w:sz="8" w:space="0" w:color="000000"/>
            </w:tcBorders>
            <w:shd w:val="clear" w:color="auto" w:fill="C6D9F1"/>
            <w:noWrap/>
            <w:vAlign w:val="bottom"/>
          </w:tcPr>
          <w:p w14:paraId="707C9688" w14:textId="77777777" w:rsidR="00BD3831" w:rsidRPr="00E551B2" w:rsidRDefault="00BD3831" w:rsidP="0031289D">
            <w:pPr>
              <w:bidi/>
              <w:jc w:val="center"/>
              <w:rPr>
                <w:rFonts w:ascii="Arabic Typesetting" w:hAnsi="Arabic Typesetting" w:cs="Arabic Typesetting"/>
                <w:b/>
                <w:noProof/>
                <w:color w:val="000000"/>
                <w:sz w:val="28"/>
                <w:szCs w:val="28"/>
              </w:rPr>
            </w:pPr>
            <w:r w:rsidRPr="00E551B2">
              <w:rPr>
                <w:rFonts w:ascii="Arabic Typesetting" w:hAnsi="Arabic Typesetting" w:cs="Arabic Typesetting"/>
                <w:b/>
                <w:noProof/>
                <w:color w:val="000000"/>
                <w:sz w:val="28"/>
                <w:szCs w:val="28"/>
              </w:rPr>
              <w:t>2015</w:t>
            </w:r>
          </w:p>
        </w:tc>
        <w:tc>
          <w:tcPr>
            <w:tcW w:w="777" w:type="pct"/>
            <w:gridSpan w:val="4"/>
            <w:tcBorders>
              <w:top w:val="single" w:sz="8" w:space="0" w:color="auto"/>
              <w:left w:val="nil"/>
              <w:bottom w:val="single" w:sz="4" w:space="0" w:color="auto"/>
              <w:right w:val="single" w:sz="8" w:space="0" w:color="000000"/>
            </w:tcBorders>
            <w:shd w:val="clear" w:color="auto" w:fill="C6D9F1"/>
            <w:noWrap/>
            <w:vAlign w:val="bottom"/>
          </w:tcPr>
          <w:p w14:paraId="76A7CBE6" w14:textId="77777777" w:rsidR="00BD3831" w:rsidRPr="00E551B2" w:rsidRDefault="00BD3831" w:rsidP="0031289D">
            <w:pPr>
              <w:bidi/>
              <w:jc w:val="center"/>
              <w:rPr>
                <w:rFonts w:ascii="Arabic Typesetting" w:hAnsi="Arabic Typesetting" w:cs="Arabic Typesetting"/>
                <w:b/>
                <w:noProof/>
                <w:color w:val="000000"/>
                <w:sz w:val="28"/>
                <w:szCs w:val="28"/>
              </w:rPr>
            </w:pPr>
            <w:r w:rsidRPr="00E551B2">
              <w:rPr>
                <w:rFonts w:ascii="Arabic Typesetting" w:hAnsi="Arabic Typesetting" w:cs="Arabic Typesetting"/>
                <w:b/>
                <w:noProof/>
                <w:color w:val="000000"/>
                <w:sz w:val="28"/>
                <w:szCs w:val="28"/>
              </w:rPr>
              <w:t>2016</w:t>
            </w:r>
          </w:p>
        </w:tc>
        <w:tc>
          <w:tcPr>
            <w:tcW w:w="777" w:type="pct"/>
            <w:gridSpan w:val="4"/>
            <w:tcBorders>
              <w:top w:val="single" w:sz="8" w:space="0" w:color="auto"/>
              <w:left w:val="nil"/>
              <w:bottom w:val="single" w:sz="4" w:space="0" w:color="auto"/>
              <w:right w:val="single" w:sz="8" w:space="0" w:color="000000"/>
            </w:tcBorders>
            <w:shd w:val="clear" w:color="auto" w:fill="C6D9F1"/>
            <w:noWrap/>
            <w:vAlign w:val="bottom"/>
          </w:tcPr>
          <w:p w14:paraId="1E46375C" w14:textId="77777777" w:rsidR="00BD3831" w:rsidRPr="00E551B2" w:rsidRDefault="00BD3831" w:rsidP="0031289D">
            <w:pPr>
              <w:bidi/>
              <w:jc w:val="center"/>
              <w:rPr>
                <w:rFonts w:ascii="Arabic Typesetting" w:hAnsi="Arabic Typesetting" w:cs="Arabic Typesetting"/>
                <w:b/>
                <w:noProof/>
                <w:color w:val="000000"/>
                <w:sz w:val="28"/>
                <w:szCs w:val="28"/>
              </w:rPr>
            </w:pPr>
            <w:r w:rsidRPr="00E551B2">
              <w:rPr>
                <w:rFonts w:ascii="Arabic Typesetting" w:hAnsi="Arabic Typesetting" w:cs="Arabic Typesetting"/>
                <w:b/>
                <w:noProof/>
                <w:color w:val="000000"/>
                <w:sz w:val="28"/>
                <w:szCs w:val="28"/>
              </w:rPr>
              <w:t>2017</w:t>
            </w:r>
          </w:p>
        </w:tc>
        <w:tc>
          <w:tcPr>
            <w:tcW w:w="777" w:type="pct"/>
            <w:gridSpan w:val="4"/>
            <w:tcBorders>
              <w:top w:val="single" w:sz="8" w:space="0" w:color="auto"/>
              <w:left w:val="nil"/>
              <w:bottom w:val="single" w:sz="4" w:space="0" w:color="auto"/>
              <w:right w:val="single" w:sz="8" w:space="0" w:color="000000"/>
            </w:tcBorders>
            <w:shd w:val="clear" w:color="auto" w:fill="C6D9F1"/>
          </w:tcPr>
          <w:p w14:paraId="06C68131" w14:textId="77777777" w:rsidR="00BD3831" w:rsidRPr="00E551B2" w:rsidRDefault="00BD3831" w:rsidP="0031289D">
            <w:pPr>
              <w:bidi/>
              <w:jc w:val="center"/>
              <w:rPr>
                <w:rFonts w:ascii="Arabic Typesetting" w:hAnsi="Arabic Typesetting" w:cs="Arabic Typesetting"/>
                <w:b/>
                <w:noProof/>
                <w:color w:val="000000"/>
                <w:sz w:val="28"/>
                <w:szCs w:val="28"/>
                <w:rtl/>
                <w:lang w:bidi="ar-EG"/>
              </w:rPr>
            </w:pPr>
            <w:r>
              <w:rPr>
                <w:rFonts w:ascii="Arabic Typesetting" w:hAnsi="Arabic Typesetting" w:cs="Arabic Typesetting"/>
                <w:b/>
                <w:noProof/>
                <w:color w:val="000000"/>
                <w:sz w:val="28"/>
                <w:szCs w:val="28"/>
              </w:rPr>
              <w:t>2018</w:t>
            </w:r>
          </w:p>
        </w:tc>
      </w:tr>
      <w:tr w:rsidR="00BD3831" w:rsidRPr="00E551B2" w14:paraId="43F7D0C4" w14:textId="77777777" w:rsidTr="00DF6715">
        <w:trPr>
          <w:trHeight w:val="375"/>
          <w:jc w:val="center"/>
        </w:trPr>
        <w:tc>
          <w:tcPr>
            <w:tcW w:w="1890" w:type="pct"/>
            <w:tcBorders>
              <w:top w:val="single" w:sz="8" w:space="0" w:color="auto"/>
              <w:left w:val="single" w:sz="8" w:space="0" w:color="auto"/>
              <w:bottom w:val="single" w:sz="4" w:space="0" w:color="auto"/>
              <w:right w:val="single" w:sz="8" w:space="0" w:color="auto"/>
            </w:tcBorders>
            <w:shd w:val="clear" w:color="auto" w:fill="C6D9F1"/>
            <w:noWrap/>
            <w:vAlign w:val="bottom"/>
          </w:tcPr>
          <w:p w14:paraId="0AE2C8E8" w14:textId="77777777" w:rsidR="00BD3831" w:rsidRPr="00E551B2" w:rsidRDefault="00BD3831" w:rsidP="0031289D">
            <w:pPr>
              <w:bidi/>
              <w:rPr>
                <w:rFonts w:ascii="Arabic Typesetting" w:hAnsi="Arabic Typesetting" w:cs="Arabic Typesetting"/>
                <w:sz w:val="28"/>
                <w:szCs w:val="28"/>
                <w:rtl/>
                <w:lang w:bidi="ar-EG"/>
              </w:rPr>
            </w:pPr>
            <w:r w:rsidRPr="00E551B2">
              <w:rPr>
                <w:rFonts w:ascii="Arabic Typesetting" w:hAnsi="Arabic Typesetting" w:cs="Arabic Typesetting"/>
                <w:bCs/>
                <w:color w:val="000000"/>
                <w:sz w:val="28"/>
                <w:szCs w:val="28"/>
                <w:rtl/>
                <w:lang w:bidi="ar-EG"/>
              </w:rPr>
              <w:t>المعالم الرئيسية</w:t>
            </w:r>
          </w:p>
        </w:tc>
        <w:tc>
          <w:tcPr>
            <w:tcW w:w="195" w:type="pct"/>
            <w:tcBorders>
              <w:top w:val="nil"/>
              <w:left w:val="nil"/>
              <w:bottom w:val="single" w:sz="4" w:space="0" w:color="auto"/>
              <w:right w:val="single" w:sz="4" w:space="0" w:color="auto"/>
            </w:tcBorders>
            <w:shd w:val="clear" w:color="auto" w:fill="C6D9F1"/>
            <w:noWrap/>
            <w:vAlign w:val="bottom"/>
          </w:tcPr>
          <w:p w14:paraId="39421C3C"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ف1</w:t>
            </w:r>
          </w:p>
        </w:tc>
        <w:tc>
          <w:tcPr>
            <w:tcW w:w="194" w:type="pct"/>
            <w:tcBorders>
              <w:top w:val="nil"/>
              <w:left w:val="nil"/>
              <w:bottom w:val="single" w:sz="4" w:space="0" w:color="auto"/>
              <w:right w:val="single" w:sz="4" w:space="0" w:color="auto"/>
            </w:tcBorders>
            <w:shd w:val="clear" w:color="auto" w:fill="C6D9F1"/>
            <w:noWrap/>
            <w:vAlign w:val="bottom"/>
          </w:tcPr>
          <w:p w14:paraId="38420D3A"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ف2</w:t>
            </w:r>
          </w:p>
        </w:tc>
        <w:tc>
          <w:tcPr>
            <w:tcW w:w="194" w:type="pct"/>
            <w:tcBorders>
              <w:top w:val="nil"/>
              <w:left w:val="nil"/>
              <w:bottom w:val="single" w:sz="4" w:space="0" w:color="auto"/>
              <w:right w:val="single" w:sz="4" w:space="0" w:color="auto"/>
            </w:tcBorders>
            <w:shd w:val="clear" w:color="auto" w:fill="C6D9F1"/>
            <w:noWrap/>
            <w:vAlign w:val="bottom"/>
          </w:tcPr>
          <w:p w14:paraId="59024555"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ف3</w:t>
            </w:r>
          </w:p>
        </w:tc>
        <w:tc>
          <w:tcPr>
            <w:tcW w:w="194" w:type="pct"/>
            <w:tcBorders>
              <w:top w:val="nil"/>
              <w:left w:val="nil"/>
              <w:bottom w:val="single" w:sz="4" w:space="0" w:color="auto"/>
              <w:right w:val="single" w:sz="8" w:space="0" w:color="auto"/>
            </w:tcBorders>
            <w:shd w:val="clear" w:color="auto" w:fill="C6D9F1"/>
            <w:noWrap/>
            <w:vAlign w:val="bottom"/>
          </w:tcPr>
          <w:p w14:paraId="472AB0DC"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ف4</w:t>
            </w:r>
          </w:p>
        </w:tc>
        <w:tc>
          <w:tcPr>
            <w:tcW w:w="194" w:type="pct"/>
            <w:tcBorders>
              <w:top w:val="nil"/>
              <w:left w:val="nil"/>
              <w:bottom w:val="single" w:sz="4" w:space="0" w:color="auto"/>
              <w:right w:val="single" w:sz="4" w:space="0" w:color="auto"/>
            </w:tcBorders>
            <w:shd w:val="clear" w:color="auto" w:fill="C6D9F1"/>
            <w:noWrap/>
            <w:vAlign w:val="bottom"/>
          </w:tcPr>
          <w:p w14:paraId="4BCFBFBD"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ف1</w:t>
            </w:r>
          </w:p>
        </w:tc>
        <w:tc>
          <w:tcPr>
            <w:tcW w:w="194" w:type="pct"/>
            <w:tcBorders>
              <w:top w:val="nil"/>
              <w:left w:val="nil"/>
              <w:bottom w:val="single" w:sz="4" w:space="0" w:color="auto"/>
              <w:right w:val="single" w:sz="4" w:space="0" w:color="auto"/>
            </w:tcBorders>
            <w:shd w:val="clear" w:color="auto" w:fill="C6D9F1"/>
            <w:noWrap/>
            <w:vAlign w:val="bottom"/>
          </w:tcPr>
          <w:p w14:paraId="7BFB8B00"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ف2</w:t>
            </w:r>
          </w:p>
        </w:tc>
        <w:tc>
          <w:tcPr>
            <w:tcW w:w="194" w:type="pct"/>
            <w:tcBorders>
              <w:top w:val="nil"/>
              <w:left w:val="nil"/>
              <w:bottom w:val="single" w:sz="4" w:space="0" w:color="auto"/>
              <w:right w:val="single" w:sz="4" w:space="0" w:color="auto"/>
            </w:tcBorders>
            <w:shd w:val="clear" w:color="auto" w:fill="C6D9F1"/>
            <w:noWrap/>
            <w:vAlign w:val="bottom"/>
          </w:tcPr>
          <w:p w14:paraId="7C107AEE"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ف3</w:t>
            </w:r>
          </w:p>
        </w:tc>
        <w:tc>
          <w:tcPr>
            <w:tcW w:w="194" w:type="pct"/>
            <w:tcBorders>
              <w:top w:val="nil"/>
              <w:left w:val="nil"/>
              <w:bottom w:val="single" w:sz="4" w:space="0" w:color="auto"/>
              <w:right w:val="single" w:sz="8" w:space="0" w:color="auto"/>
            </w:tcBorders>
            <w:shd w:val="clear" w:color="auto" w:fill="C6D9F1"/>
            <w:noWrap/>
            <w:vAlign w:val="bottom"/>
          </w:tcPr>
          <w:p w14:paraId="1F48E716"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ف4</w:t>
            </w:r>
          </w:p>
        </w:tc>
        <w:tc>
          <w:tcPr>
            <w:tcW w:w="194" w:type="pct"/>
            <w:tcBorders>
              <w:top w:val="nil"/>
              <w:left w:val="nil"/>
              <w:bottom w:val="single" w:sz="4" w:space="0" w:color="auto"/>
              <w:right w:val="single" w:sz="4" w:space="0" w:color="auto"/>
            </w:tcBorders>
            <w:shd w:val="clear" w:color="auto" w:fill="C6D9F1"/>
            <w:noWrap/>
            <w:vAlign w:val="bottom"/>
          </w:tcPr>
          <w:p w14:paraId="4AD5FCC0"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ف1</w:t>
            </w:r>
          </w:p>
        </w:tc>
        <w:tc>
          <w:tcPr>
            <w:tcW w:w="194" w:type="pct"/>
            <w:tcBorders>
              <w:top w:val="nil"/>
              <w:left w:val="nil"/>
              <w:bottom w:val="single" w:sz="4" w:space="0" w:color="auto"/>
              <w:right w:val="single" w:sz="4" w:space="0" w:color="auto"/>
            </w:tcBorders>
            <w:shd w:val="clear" w:color="auto" w:fill="C6D9F1"/>
            <w:noWrap/>
            <w:vAlign w:val="bottom"/>
          </w:tcPr>
          <w:p w14:paraId="0E4E2FB7"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ف2</w:t>
            </w:r>
          </w:p>
        </w:tc>
        <w:tc>
          <w:tcPr>
            <w:tcW w:w="194" w:type="pct"/>
            <w:tcBorders>
              <w:top w:val="nil"/>
              <w:left w:val="nil"/>
              <w:bottom w:val="single" w:sz="4" w:space="0" w:color="auto"/>
              <w:right w:val="single" w:sz="4" w:space="0" w:color="auto"/>
            </w:tcBorders>
            <w:shd w:val="clear" w:color="auto" w:fill="C6D9F1"/>
            <w:noWrap/>
            <w:vAlign w:val="bottom"/>
          </w:tcPr>
          <w:p w14:paraId="68892A6A"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ف3</w:t>
            </w:r>
          </w:p>
        </w:tc>
        <w:tc>
          <w:tcPr>
            <w:tcW w:w="194" w:type="pct"/>
            <w:tcBorders>
              <w:top w:val="nil"/>
              <w:left w:val="nil"/>
              <w:bottom w:val="single" w:sz="4" w:space="0" w:color="auto"/>
              <w:right w:val="single" w:sz="8" w:space="0" w:color="auto"/>
            </w:tcBorders>
            <w:shd w:val="clear" w:color="auto" w:fill="C6D9F1"/>
            <w:noWrap/>
            <w:vAlign w:val="bottom"/>
          </w:tcPr>
          <w:p w14:paraId="712D016B"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ف4</w:t>
            </w:r>
          </w:p>
        </w:tc>
        <w:tc>
          <w:tcPr>
            <w:tcW w:w="194" w:type="pct"/>
            <w:tcBorders>
              <w:top w:val="nil"/>
              <w:left w:val="nil"/>
              <w:bottom w:val="single" w:sz="4" w:space="0" w:color="auto"/>
              <w:right w:val="single" w:sz="8" w:space="0" w:color="auto"/>
            </w:tcBorders>
            <w:shd w:val="clear" w:color="auto" w:fill="C6D9F1"/>
            <w:vAlign w:val="bottom"/>
          </w:tcPr>
          <w:p w14:paraId="669C48B3"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ف1</w:t>
            </w:r>
          </w:p>
        </w:tc>
        <w:tc>
          <w:tcPr>
            <w:tcW w:w="194" w:type="pct"/>
            <w:tcBorders>
              <w:top w:val="nil"/>
              <w:left w:val="nil"/>
              <w:bottom w:val="single" w:sz="4" w:space="0" w:color="auto"/>
              <w:right w:val="single" w:sz="8" w:space="0" w:color="auto"/>
            </w:tcBorders>
            <w:shd w:val="clear" w:color="auto" w:fill="C6D9F1"/>
            <w:vAlign w:val="bottom"/>
          </w:tcPr>
          <w:p w14:paraId="149DEB59"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ف2</w:t>
            </w:r>
          </w:p>
        </w:tc>
        <w:tc>
          <w:tcPr>
            <w:tcW w:w="194" w:type="pct"/>
            <w:tcBorders>
              <w:top w:val="nil"/>
              <w:left w:val="nil"/>
              <w:bottom w:val="single" w:sz="4" w:space="0" w:color="auto"/>
              <w:right w:val="single" w:sz="8" w:space="0" w:color="auto"/>
            </w:tcBorders>
            <w:shd w:val="clear" w:color="auto" w:fill="C6D9F1"/>
            <w:vAlign w:val="bottom"/>
          </w:tcPr>
          <w:p w14:paraId="095A7387"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ف3</w:t>
            </w:r>
          </w:p>
        </w:tc>
        <w:tc>
          <w:tcPr>
            <w:tcW w:w="194" w:type="pct"/>
            <w:tcBorders>
              <w:top w:val="nil"/>
              <w:left w:val="nil"/>
              <w:bottom w:val="single" w:sz="4" w:space="0" w:color="auto"/>
              <w:right w:val="single" w:sz="8" w:space="0" w:color="auto"/>
            </w:tcBorders>
            <w:shd w:val="clear" w:color="auto" w:fill="C6D9F1"/>
            <w:vAlign w:val="bottom"/>
          </w:tcPr>
          <w:p w14:paraId="6E0EAC60" w14:textId="77777777" w:rsidR="00BD3831" w:rsidRPr="00E551B2" w:rsidRDefault="00BD3831" w:rsidP="0031289D">
            <w:pPr>
              <w:bidi/>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ف4</w:t>
            </w:r>
          </w:p>
        </w:tc>
      </w:tr>
      <w:tr w:rsidR="00BD3831" w:rsidRPr="00E551B2" w14:paraId="2F01CAA6" w14:textId="77777777" w:rsidTr="00DF6715">
        <w:trPr>
          <w:trHeight w:val="615"/>
          <w:jc w:val="center"/>
        </w:trPr>
        <w:tc>
          <w:tcPr>
            <w:tcW w:w="1890" w:type="pct"/>
            <w:tcBorders>
              <w:top w:val="nil"/>
              <w:left w:val="single" w:sz="8" w:space="0" w:color="auto"/>
              <w:bottom w:val="single" w:sz="4" w:space="0" w:color="auto"/>
              <w:right w:val="single" w:sz="8" w:space="0" w:color="auto"/>
            </w:tcBorders>
            <w:noWrap/>
            <w:vAlign w:val="center"/>
          </w:tcPr>
          <w:p w14:paraId="1510CCA4" w14:textId="77777777" w:rsidR="00BD3831" w:rsidRPr="00950697" w:rsidRDefault="00BD3831" w:rsidP="0031289D">
            <w:pPr>
              <w:autoSpaceDE w:val="0"/>
              <w:autoSpaceDN w:val="0"/>
              <w:bidi/>
              <w:adjustRightInd w:val="0"/>
              <w:spacing w:before="40" w:after="40"/>
              <w:rPr>
                <w:rFonts w:ascii="Arabic Typesetting" w:hAnsi="Arabic Typesetting" w:cs="Arabic Typesetting"/>
                <w:sz w:val="28"/>
                <w:szCs w:val="28"/>
              </w:rPr>
            </w:pPr>
            <w:r w:rsidRPr="00950697">
              <w:rPr>
                <w:rFonts w:ascii="Arabic Typesetting" w:hAnsi="Arabic Typesetting" w:cs="Arabic Typesetting"/>
                <w:sz w:val="28"/>
                <w:szCs w:val="28"/>
                <w:rtl/>
              </w:rPr>
              <w:t>تقييم الوضع القائم لنظام إدارة الهوية والنفاذ وتشفير البيانات وهياكله المرجعية واستراتيجيته وخطة تنفيذه</w:t>
            </w:r>
          </w:p>
        </w:tc>
        <w:tc>
          <w:tcPr>
            <w:tcW w:w="195" w:type="pct"/>
            <w:tcBorders>
              <w:top w:val="nil"/>
              <w:left w:val="nil"/>
              <w:bottom w:val="single" w:sz="4" w:space="0" w:color="auto"/>
              <w:right w:val="single" w:sz="4" w:space="0" w:color="auto"/>
            </w:tcBorders>
            <w:noWrap/>
            <w:vAlign w:val="bottom"/>
          </w:tcPr>
          <w:p w14:paraId="40877676"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nil"/>
              <w:left w:val="nil"/>
              <w:bottom w:val="single" w:sz="4" w:space="0" w:color="auto"/>
              <w:right w:val="single" w:sz="4" w:space="0" w:color="auto"/>
            </w:tcBorders>
            <w:noWrap/>
            <w:vAlign w:val="bottom"/>
          </w:tcPr>
          <w:p w14:paraId="27D86044"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nil"/>
              <w:left w:val="nil"/>
              <w:bottom w:val="single" w:sz="4" w:space="0" w:color="auto"/>
              <w:right w:val="single" w:sz="4" w:space="0" w:color="auto"/>
            </w:tcBorders>
            <w:noWrap/>
            <w:vAlign w:val="bottom"/>
          </w:tcPr>
          <w:p w14:paraId="32F1CA8D"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nil"/>
              <w:left w:val="nil"/>
              <w:bottom w:val="single" w:sz="4" w:space="0" w:color="auto"/>
              <w:right w:val="single" w:sz="8" w:space="0" w:color="auto"/>
            </w:tcBorders>
            <w:noWrap/>
            <w:vAlign w:val="center"/>
          </w:tcPr>
          <w:p w14:paraId="00F43F65" w14:textId="77777777" w:rsidR="00BD3831" w:rsidRPr="00D53D30" w:rsidRDefault="00BD3831" w:rsidP="0031289D">
            <w:pPr>
              <w:spacing w:before="40" w:after="40"/>
              <w:jc w:val="center"/>
              <w:rPr>
                <w:rFonts w:ascii="Arabic Typesetting" w:hAnsi="Arabic Typesetting" w:cs="Arabic Typesetting"/>
                <w:color w:val="000000"/>
                <w:sz w:val="28"/>
                <w:szCs w:val="28"/>
              </w:rPr>
            </w:pPr>
            <w:r w:rsidRPr="00D53D30">
              <w:rPr>
                <w:rFonts w:ascii="Arabic Typesetting" w:hAnsi="Arabic Typesetting" w:cs="Arabic Typesetting"/>
                <w:color w:val="000000"/>
                <w:sz w:val="28"/>
                <w:szCs w:val="28"/>
              </w:rPr>
              <w:t>X</w:t>
            </w:r>
          </w:p>
        </w:tc>
        <w:tc>
          <w:tcPr>
            <w:tcW w:w="194" w:type="pct"/>
            <w:tcBorders>
              <w:top w:val="nil"/>
              <w:left w:val="nil"/>
              <w:bottom w:val="single" w:sz="4" w:space="0" w:color="auto"/>
              <w:right w:val="single" w:sz="4" w:space="0" w:color="auto"/>
            </w:tcBorders>
            <w:noWrap/>
            <w:vAlign w:val="center"/>
          </w:tcPr>
          <w:p w14:paraId="3530B3B3" w14:textId="77777777" w:rsidR="00BD3831" w:rsidRPr="00D53D30" w:rsidRDefault="00BD3831" w:rsidP="0031289D">
            <w:pPr>
              <w:spacing w:before="40" w:after="40"/>
              <w:jc w:val="center"/>
              <w:rPr>
                <w:rFonts w:ascii="Arabic Typesetting" w:hAnsi="Arabic Typesetting" w:cs="Arabic Typesetting"/>
                <w:color w:val="000000"/>
                <w:sz w:val="28"/>
                <w:szCs w:val="28"/>
              </w:rPr>
            </w:pPr>
            <w:r w:rsidRPr="00D53D30">
              <w:rPr>
                <w:rFonts w:ascii="Arabic Typesetting" w:hAnsi="Arabic Typesetting" w:cs="Arabic Typesetting"/>
                <w:color w:val="000000"/>
                <w:sz w:val="28"/>
                <w:szCs w:val="28"/>
              </w:rPr>
              <w:t>X</w:t>
            </w:r>
          </w:p>
        </w:tc>
        <w:tc>
          <w:tcPr>
            <w:tcW w:w="194" w:type="pct"/>
            <w:tcBorders>
              <w:top w:val="nil"/>
              <w:left w:val="nil"/>
              <w:bottom w:val="single" w:sz="4" w:space="0" w:color="auto"/>
              <w:right w:val="single" w:sz="4" w:space="0" w:color="auto"/>
            </w:tcBorders>
            <w:noWrap/>
            <w:vAlign w:val="center"/>
          </w:tcPr>
          <w:p w14:paraId="286AA1BD" w14:textId="77777777" w:rsidR="00BD3831" w:rsidRPr="00D53D30" w:rsidRDefault="00BD3831" w:rsidP="0031289D">
            <w:pPr>
              <w:spacing w:before="40" w:after="40"/>
              <w:jc w:val="center"/>
              <w:rPr>
                <w:rFonts w:ascii="Arabic Typesetting" w:hAnsi="Arabic Typesetting" w:cs="Arabic Typesetting"/>
                <w:color w:val="000000"/>
                <w:sz w:val="28"/>
                <w:szCs w:val="28"/>
              </w:rPr>
            </w:pPr>
            <w:r w:rsidRPr="00D53D30">
              <w:rPr>
                <w:rFonts w:ascii="Arabic Typesetting" w:hAnsi="Arabic Typesetting" w:cs="Arabic Typesetting"/>
                <w:color w:val="000000"/>
                <w:sz w:val="28"/>
                <w:szCs w:val="28"/>
              </w:rPr>
              <w:t>X</w:t>
            </w:r>
          </w:p>
        </w:tc>
        <w:tc>
          <w:tcPr>
            <w:tcW w:w="194" w:type="pct"/>
            <w:tcBorders>
              <w:top w:val="nil"/>
              <w:left w:val="nil"/>
              <w:bottom w:val="single" w:sz="4" w:space="0" w:color="auto"/>
              <w:right w:val="single" w:sz="4" w:space="0" w:color="auto"/>
            </w:tcBorders>
            <w:noWrap/>
            <w:vAlign w:val="center"/>
          </w:tcPr>
          <w:p w14:paraId="1DCB881F" w14:textId="77777777" w:rsidR="00BD3831" w:rsidRPr="00D53D30" w:rsidRDefault="00BD3831" w:rsidP="0031289D">
            <w:pPr>
              <w:spacing w:before="40" w:after="40"/>
              <w:jc w:val="center"/>
              <w:rPr>
                <w:rFonts w:ascii="Arabic Typesetting" w:hAnsi="Arabic Typesetting" w:cs="Arabic Typesetting"/>
                <w:color w:val="000000"/>
                <w:sz w:val="28"/>
                <w:szCs w:val="28"/>
              </w:rPr>
            </w:pPr>
            <w:r w:rsidRPr="00D53D30">
              <w:rPr>
                <w:rFonts w:ascii="Arabic Typesetting" w:hAnsi="Arabic Typesetting" w:cs="Arabic Typesetting"/>
                <w:color w:val="000000"/>
                <w:sz w:val="28"/>
                <w:szCs w:val="28"/>
              </w:rPr>
              <w:t>X</w:t>
            </w:r>
          </w:p>
        </w:tc>
        <w:tc>
          <w:tcPr>
            <w:tcW w:w="194" w:type="pct"/>
            <w:tcBorders>
              <w:top w:val="nil"/>
              <w:left w:val="nil"/>
              <w:bottom w:val="single" w:sz="4" w:space="0" w:color="auto"/>
              <w:right w:val="single" w:sz="8" w:space="0" w:color="auto"/>
            </w:tcBorders>
            <w:noWrap/>
            <w:vAlign w:val="center"/>
          </w:tcPr>
          <w:p w14:paraId="2431CECA"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nil"/>
              <w:left w:val="nil"/>
              <w:bottom w:val="single" w:sz="4" w:space="0" w:color="auto"/>
              <w:right w:val="single" w:sz="4" w:space="0" w:color="auto"/>
            </w:tcBorders>
            <w:noWrap/>
            <w:vAlign w:val="center"/>
          </w:tcPr>
          <w:p w14:paraId="25D6DC16"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nil"/>
              <w:left w:val="nil"/>
              <w:bottom w:val="single" w:sz="4" w:space="0" w:color="auto"/>
              <w:right w:val="single" w:sz="4" w:space="0" w:color="auto"/>
            </w:tcBorders>
            <w:noWrap/>
            <w:vAlign w:val="center"/>
          </w:tcPr>
          <w:p w14:paraId="3EC5F8C5"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nil"/>
              <w:left w:val="nil"/>
              <w:bottom w:val="single" w:sz="4" w:space="0" w:color="auto"/>
              <w:right w:val="single" w:sz="4" w:space="0" w:color="auto"/>
            </w:tcBorders>
            <w:noWrap/>
            <w:vAlign w:val="center"/>
          </w:tcPr>
          <w:p w14:paraId="4BE5654F"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nil"/>
              <w:left w:val="nil"/>
              <w:bottom w:val="single" w:sz="4" w:space="0" w:color="auto"/>
              <w:right w:val="single" w:sz="8" w:space="0" w:color="auto"/>
            </w:tcBorders>
            <w:noWrap/>
            <w:vAlign w:val="center"/>
          </w:tcPr>
          <w:p w14:paraId="3A6C71A6"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nil"/>
              <w:left w:val="nil"/>
              <w:bottom w:val="single" w:sz="4" w:space="0" w:color="auto"/>
              <w:right w:val="single" w:sz="8" w:space="0" w:color="auto"/>
            </w:tcBorders>
          </w:tcPr>
          <w:p w14:paraId="6D50C0FF"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nil"/>
              <w:left w:val="nil"/>
              <w:bottom w:val="single" w:sz="4" w:space="0" w:color="auto"/>
              <w:right w:val="single" w:sz="8" w:space="0" w:color="auto"/>
            </w:tcBorders>
          </w:tcPr>
          <w:p w14:paraId="4E08F2B8"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nil"/>
              <w:left w:val="nil"/>
              <w:bottom w:val="single" w:sz="4" w:space="0" w:color="auto"/>
              <w:right w:val="single" w:sz="8" w:space="0" w:color="auto"/>
            </w:tcBorders>
          </w:tcPr>
          <w:p w14:paraId="48544EE4"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nil"/>
              <w:left w:val="nil"/>
              <w:bottom w:val="single" w:sz="4" w:space="0" w:color="auto"/>
              <w:right w:val="single" w:sz="8" w:space="0" w:color="auto"/>
            </w:tcBorders>
          </w:tcPr>
          <w:p w14:paraId="656356B2"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r>
      <w:tr w:rsidR="00BD3831" w:rsidRPr="00E551B2" w14:paraId="4F2D1664" w14:textId="77777777" w:rsidTr="00DF6715">
        <w:trPr>
          <w:trHeight w:val="615"/>
          <w:jc w:val="center"/>
        </w:trPr>
        <w:tc>
          <w:tcPr>
            <w:tcW w:w="1890" w:type="pct"/>
            <w:tcBorders>
              <w:top w:val="single" w:sz="4" w:space="0" w:color="auto"/>
              <w:left w:val="single" w:sz="8" w:space="0" w:color="auto"/>
              <w:bottom w:val="single" w:sz="4" w:space="0" w:color="auto"/>
              <w:right w:val="single" w:sz="8" w:space="0" w:color="auto"/>
            </w:tcBorders>
            <w:noWrap/>
            <w:vAlign w:val="center"/>
          </w:tcPr>
          <w:p w14:paraId="72C80FED" w14:textId="77777777" w:rsidR="00BD3831" w:rsidRPr="00950697" w:rsidRDefault="00BD3831" w:rsidP="0031289D">
            <w:pPr>
              <w:autoSpaceDE w:val="0"/>
              <w:autoSpaceDN w:val="0"/>
              <w:bidi/>
              <w:adjustRightInd w:val="0"/>
              <w:spacing w:before="40" w:after="40"/>
              <w:rPr>
                <w:rFonts w:ascii="Arabic Typesetting" w:hAnsi="Arabic Typesetting" w:cs="Arabic Typesetting"/>
                <w:sz w:val="28"/>
                <w:szCs w:val="28"/>
              </w:rPr>
            </w:pPr>
            <w:r w:rsidRPr="00950697">
              <w:rPr>
                <w:rFonts w:ascii="Arabic Typesetting" w:hAnsi="Arabic Typesetting" w:cs="Arabic Typesetting"/>
                <w:sz w:val="28"/>
                <w:szCs w:val="28"/>
                <w:rtl/>
              </w:rPr>
              <w:t>وضع خريطة لنماذج حقوق النفاذ في تطبيقين أساسيين تماشياً مع الهياكل المرجعية للنظام</w:t>
            </w:r>
          </w:p>
        </w:tc>
        <w:tc>
          <w:tcPr>
            <w:tcW w:w="195" w:type="pct"/>
            <w:tcBorders>
              <w:top w:val="single" w:sz="4" w:space="0" w:color="auto"/>
              <w:left w:val="nil"/>
              <w:bottom w:val="single" w:sz="4" w:space="0" w:color="auto"/>
              <w:right w:val="single" w:sz="4" w:space="0" w:color="auto"/>
            </w:tcBorders>
            <w:noWrap/>
            <w:vAlign w:val="bottom"/>
          </w:tcPr>
          <w:p w14:paraId="0017FE33"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bottom"/>
          </w:tcPr>
          <w:p w14:paraId="337F8AD3"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bottom"/>
          </w:tcPr>
          <w:p w14:paraId="3EFD7F25"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noWrap/>
            <w:vAlign w:val="center"/>
          </w:tcPr>
          <w:p w14:paraId="1E03824A"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07AA0E2E"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21EE9E27"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5A3614C9"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noWrap/>
            <w:vAlign w:val="center"/>
          </w:tcPr>
          <w:p w14:paraId="67C83BF5" w14:textId="77777777" w:rsidR="00BD3831" w:rsidRPr="00D53D30" w:rsidRDefault="00BD3831" w:rsidP="0031289D">
            <w:pPr>
              <w:spacing w:before="40" w:after="40"/>
              <w:jc w:val="center"/>
              <w:rPr>
                <w:rFonts w:ascii="Arabic Typesetting" w:hAnsi="Arabic Typesetting" w:cs="Arabic Typesetting"/>
                <w:color w:val="000000"/>
                <w:sz w:val="28"/>
                <w:szCs w:val="28"/>
              </w:rPr>
            </w:pPr>
            <w:r w:rsidRPr="00D53D30">
              <w:rPr>
                <w:rFonts w:ascii="Arabic Typesetting" w:hAnsi="Arabic Typesetting" w:cs="Arabic Typesetting"/>
                <w:color w:val="000000"/>
                <w:sz w:val="28"/>
                <w:szCs w:val="28"/>
              </w:rPr>
              <w:t>X</w:t>
            </w:r>
          </w:p>
        </w:tc>
        <w:tc>
          <w:tcPr>
            <w:tcW w:w="194" w:type="pct"/>
            <w:tcBorders>
              <w:top w:val="single" w:sz="4" w:space="0" w:color="auto"/>
              <w:left w:val="nil"/>
              <w:bottom w:val="single" w:sz="4" w:space="0" w:color="auto"/>
              <w:right w:val="single" w:sz="4" w:space="0" w:color="auto"/>
            </w:tcBorders>
            <w:noWrap/>
            <w:vAlign w:val="center"/>
          </w:tcPr>
          <w:p w14:paraId="07B11726" w14:textId="77777777" w:rsidR="00BD3831" w:rsidRPr="00D53D30" w:rsidRDefault="00BD3831" w:rsidP="0031289D">
            <w:pPr>
              <w:spacing w:before="40" w:after="40"/>
              <w:jc w:val="center"/>
              <w:rPr>
                <w:rFonts w:ascii="Arabic Typesetting" w:hAnsi="Arabic Typesetting" w:cs="Arabic Typesetting"/>
                <w:color w:val="000000"/>
                <w:sz w:val="28"/>
                <w:szCs w:val="28"/>
              </w:rPr>
            </w:pPr>
            <w:r w:rsidRPr="00D53D30">
              <w:rPr>
                <w:rFonts w:ascii="Arabic Typesetting" w:hAnsi="Arabic Typesetting" w:cs="Arabic Typesetting"/>
                <w:color w:val="000000"/>
                <w:sz w:val="28"/>
                <w:szCs w:val="28"/>
              </w:rPr>
              <w:t>X</w:t>
            </w:r>
          </w:p>
        </w:tc>
        <w:tc>
          <w:tcPr>
            <w:tcW w:w="194" w:type="pct"/>
            <w:tcBorders>
              <w:top w:val="single" w:sz="4" w:space="0" w:color="auto"/>
              <w:left w:val="nil"/>
              <w:bottom w:val="single" w:sz="4" w:space="0" w:color="auto"/>
              <w:right w:val="single" w:sz="4" w:space="0" w:color="auto"/>
            </w:tcBorders>
            <w:noWrap/>
            <w:vAlign w:val="center"/>
          </w:tcPr>
          <w:p w14:paraId="2FD1CAEC"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1E628977"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noWrap/>
            <w:vAlign w:val="center"/>
          </w:tcPr>
          <w:p w14:paraId="454069E1"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vAlign w:val="center"/>
          </w:tcPr>
          <w:p w14:paraId="532AB9CC"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vAlign w:val="center"/>
          </w:tcPr>
          <w:p w14:paraId="2926B7E1"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tcPr>
          <w:p w14:paraId="4D68F460"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tcPr>
          <w:p w14:paraId="4E73E536"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r>
      <w:tr w:rsidR="00BD3831" w:rsidRPr="00E551B2" w14:paraId="2ACB4E77" w14:textId="77777777" w:rsidTr="00DF6715">
        <w:trPr>
          <w:trHeight w:val="615"/>
          <w:jc w:val="center"/>
        </w:trPr>
        <w:tc>
          <w:tcPr>
            <w:tcW w:w="1890" w:type="pct"/>
            <w:tcBorders>
              <w:top w:val="single" w:sz="4" w:space="0" w:color="auto"/>
              <w:left w:val="single" w:sz="8" w:space="0" w:color="auto"/>
              <w:bottom w:val="single" w:sz="4" w:space="0" w:color="auto"/>
              <w:right w:val="single" w:sz="8" w:space="0" w:color="auto"/>
            </w:tcBorders>
            <w:noWrap/>
            <w:vAlign w:val="center"/>
          </w:tcPr>
          <w:p w14:paraId="0FC0E900" w14:textId="77777777" w:rsidR="00BD3831" w:rsidRPr="00950697" w:rsidRDefault="00BD3831" w:rsidP="0031289D">
            <w:pPr>
              <w:autoSpaceDE w:val="0"/>
              <w:autoSpaceDN w:val="0"/>
              <w:bidi/>
              <w:adjustRightInd w:val="0"/>
              <w:spacing w:before="40" w:after="40"/>
              <w:rPr>
                <w:rFonts w:ascii="Arabic Typesetting" w:hAnsi="Arabic Typesetting" w:cs="Arabic Typesetting"/>
                <w:sz w:val="28"/>
                <w:szCs w:val="28"/>
              </w:rPr>
            </w:pPr>
            <w:r w:rsidRPr="00950697">
              <w:rPr>
                <w:rFonts w:ascii="Arabic Typesetting" w:hAnsi="Arabic Typesetting" w:cs="Arabic Typesetting"/>
                <w:sz w:val="28"/>
                <w:szCs w:val="28"/>
                <w:rtl/>
              </w:rPr>
              <w:t>شراء حل لإدارة النفاذ وإدماجه</w:t>
            </w:r>
          </w:p>
        </w:tc>
        <w:tc>
          <w:tcPr>
            <w:tcW w:w="195" w:type="pct"/>
            <w:tcBorders>
              <w:top w:val="single" w:sz="4" w:space="0" w:color="auto"/>
              <w:left w:val="nil"/>
              <w:bottom w:val="single" w:sz="4" w:space="0" w:color="auto"/>
              <w:right w:val="single" w:sz="4" w:space="0" w:color="auto"/>
            </w:tcBorders>
            <w:noWrap/>
            <w:vAlign w:val="bottom"/>
          </w:tcPr>
          <w:p w14:paraId="76B76356"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bottom"/>
          </w:tcPr>
          <w:p w14:paraId="746ADF3D"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bottom"/>
          </w:tcPr>
          <w:p w14:paraId="430310E2"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noWrap/>
            <w:vAlign w:val="center"/>
          </w:tcPr>
          <w:p w14:paraId="67AB9354"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3C3FE691"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7A7D1579"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2BADCA21"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noWrap/>
            <w:vAlign w:val="center"/>
          </w:tcPr>
          <w:p w14:paraId="4530218A"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628384E5"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6A8E3642" w14:textId="77777777" w:rsidR="00BD3831" w:rsidRPr="00D53D30" w:rsidRDefault="00BD3831" w:rsidP="0031289D">
            <w:pPr>
              <w:spacing w:before="40" w:after="40"/>
              <w:jc w:val="center"/>
              <w:rPr>
                <w:rFonts w:ascii="Arabic Typesetting" w:hAnsi="Arabic Typesetting" w:cs="Arabic Typesetting"/>
                <w:color w:val="000000"/>
                <w:sz w:val="28"/>
                <w:szCs w:val="28"/>
              </w:rPr>
            </w:pPr>
            <w:r w:rsidRPr="00D53D30">
              <w:rPr>
                <w:rFonts w:ascii="Arabic Typesetting" w:hAnsi="Arabic Typesetting" w:cs="Arabic Typesetting"/>
                <w:color w:val="000000"/>
                <w:sz w:val="28"/>
                <w:szCs w:val="28"/>
              </w:rPr>
              <w:t>X</w:t>
            </w:r>
          </w:p>
        </w:tc>
        <w:tc>
          <w:tcPr>
            <w:tcW w:w="194" w:type="pct"/>
            <w:tcBorders>
              <w:top w:val="single" w:sz="4" w:space="0" w:color="auto"/>
              <w:left w:val="nil"/>
              <w:bottom w:val="single" w:sz="4" w:space="0" w:color="auto"/>
              <w:right w:val="single" w:sz="4" w:space="0" w:color="auto"/>
            </w:tcBorders>
            <w:noWrap/>
            <w:vAlign w:val="center"/>
          </w:tcPr>
          <w:p w14:paraId="6CC45F7C" w14:textId="77777777" w:rsidR="00BD3831" w:rsidRPr="00D53D30" w:rsidRDefault="00BD3831" w:rsidP="0031289D">
            <w:pPr>
              <w:spacing w:before="40" w:after="40"/>
              <w:jc w:val="center"/>
              <w:rPr>
                <w:rFonts w:ascii="Arabic Typesetting" w:hAnsi="Arabic Typesetting" w:cs="Arabic Typesetting"/>
                <w:color w:val="000000"/>
                <w:sz w:val="28"/>
                <w:szCs w:val="28"/>
              </w:rPr>
            </w:pPr>
            <w:r w:rsidRPr="00D53D30">
              <w:rPr>
                <w:rFonts w:ascii="Arabic Typesetting" w:hAnsi="Arabic Typesetting" w:cs="Arabic Typesetting"/>
                <w:color w:val="000000"/>
                <w:sz w:val="28"/>
                <w:szCs w:val="28"/>
              </w:rPr>
              <w:t>X</w:t>
            </w:r>
          </w:p>
        </w:tc>
        <w:tc>
          <w:tcPr>
            <w:tcW w:w="194" w:type="pct"/>
            <w:tcBorders>
              <w:top w:val="single" w:sz="4" w:space="0" w:color="auto"/>
              <w:left w:val="nil"/>
              <w:bottom w:val="single" w:sz="4" w:space="0" w:color="auto"/>
              <w:right w:val="single" w:sz="8" w:space="0" w:color="auto"/>
            </w:tcBorders>
            <w:noWrap/>
            <w:vAlign w:val="center"/>
          </w:tcPr>
          <w:p w14:paraId="44900C43" w14:textId="77777777" w:rsidR="00BD3831" w:rsidRPr="00D53D30" w:rsidRDefault="00BD3831" w:rsidP="0031289D">
            <w:pPr>
              <w:spacing w:before="40" w:after="40"/>
              <w:jc w:val="center"/>
              <w:rPr>
                <w:rFonts w:ascii="Arabic Typesetting" w:hAnsi="Arabic Typesetting" w:cs="Arabic Typesetting"/>
                <w:color w:val="000000"/>
                <w:sz w:val="28"/>
                <w:szCs w:val="28"/>
              </w:rPr>
            </w:pPr>
            <w:r w:rsidRPr="00D53D30">
              <w:rPr>
                <w:rFonts w:ascii="Arabic Typesetting" w:hAnsi="Arabic Typesetting" w:cs="Arabic Typesetting"/>
                <w:color w:val="000000"/>
                <w:sz w:val="28"/>
                <w:szCs w:val="28"/>
              </w:rPr>
              <w:t>X</w:t>
            </w:r>
          </w:p>
        </w:tc>
        <w:tc>
          <w:tcPr>
            <w:tcW w:w="194" w:type="pct"/>
            <w:tcBorders>
              <w:top w:val="single" w:sz="4" w:space="0" w:color="auto"/>
              <w:left w:val="nil"/>
              <w:bottom w:val="single" w:sz="4" w:space="0" w:color="auto"/>
              <w:right w:val="single" w:sz="8" w:space="0" w:color="auto"/>
            </w:tcBorders>
            <w:vAlign w:val="center"/>
          </w:tcPr>
          <w:p w14:paraId="653335B0" w14:textId="77777777" w:rsidR="00BD3831" w:rsidRPr="000354AE" w:rsidRDefault="00BD3831" w:rsidP="0031289D">
            <w:pPr>
              <w:spacing w:before="40" w:after="40"/>
              <w:jc w:val="center"/>
              <w:rPr>
                <w:rFonts w:ascii="Arabic Typesetting" w:hAnsi="Arabic Typesetting" w:cs="Arabic Typesetting"/>
                <w:color w:val="000000"/>
                <w:sz w:val="28"/>
                <w:szCs w:val="28"/>
              </w:rPr>
            </w:pPr>
            <w:r w:rsidRPr="000354AE">
              <w:rPr>
                <w:rFonts w:ascii="Arabic Typesetting" w:hAnsi="Arabic Typesetting" w:cs="Arabic Typesetting"/>
                <w:color w:val="000000"/>
                <w:sz w:val="28"/>
                <w:szCs w:val="28"/>
              </w:rPr>
              <w:t>X</w:t>
            </w:r>
          </w:p>
        </w:tc>
        <w:tc>
          <w:tcPr>
            <w:tcW w:w="194" w:type="pct"/>
            <w:tcBorders>
              <w:top w:val="single" w:sz="4" w:space="0" w:color="auto"/>
              <w:left w:val="nil"/>
              <w:bottom w:val="single" w:sz="4" w:space="0" w:color="auto"/>
              <w:right w:val="single" w:sz="8" w:space="0" w:color="auto"/>
            </w:tcBorders>
            <w:vAlign w:val="center"/>
          </w:tcPr>
          <w:p w14:paraId="789F887C"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tcPr>
          <w:p w14:paraId="1B43FE4D"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tcPr>
          <w:p w14:paraId="1A7F9030"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r>
      <w:tr w:rsidR="00BD3831" w:rsidRPr="00E551B2" w14:paraId="58CE7A36" w14:textId="77777777" w:rsidTr="00DF6715">
        <w:trPr>
          <w:trHeight w:val="615"/>
          <w:jc w:val="center"/>
        </w:trPr>
        <w:tc>
          <w:tcPr>
            <w:tcW w:w="1890" w:type="pct"/>
            <w:tcBorders>
              <w:top w:val="single" w:sz="4" w:space="0" w:color="auto"/>
              <w:left w:val="single" w:sz="8" w:space="0" w:color="auto"/>
              <w:bottom w:val="single" w:sz="4" w:space="0" w:color="auto"/>
              <w:right w:val="single" w:sz="8" w:space="0" w:color="auto"/>
            </w:tcBorders>
            <w:noWrap/>
            <w:vAlign w:val="center"/>
          </w:tcPr>
          <w:p w14:paraId="548DFA94" w14:textId="77777777" w:rsidR="00BD3831" w:rsidRPr="00950697" w:rsidRDefault="00BD3831" w:rsidP="0031289D">
            <w:pPr>
              <w:autoSpaceDE w:val="0"/>
              <w:autoSpaceDN w:val="0"/>
              <w:bidi/>
              <w:adjustRightInd w:val="0"/>
              <w:spacing w:before="40" w:after="40"/>
              <w:rPr>
                <w:rFonts w:ascii="Arabic Typesetting" w:hAnsi="Arabic Typesetting" w:cs="Arabic Typesetting"/>
                <w:sz w:val="28"/>
                <w:szCs w:val="28"/>
              </w:rPr>
            </w:pPr>
            <w:r>
              <w:rPr>
                <w:rFonts w:ascii="Arabic Typesetting" w:hAnsi="Arabic Typesetting" w:cs="Arabic Typesetting" w:hint="cs"/>
                <w:sz w:val="28"/>
                <w:szCs w:val="28"/>
                <w:rtl/>
              </w:rPr>
              <w:t>نظام داخلي للتشفير بمفتاح عمومي (</w:t>
            </w:r>
            <w:r>
              <w:rPr>
                <w:rFonts w:ascii="Arabic Typesetting" w:hAnsi="Arabic Typesetting" w:cs="Arabic Typesetting"/>
                <w:sz w:val="28"/>
                <w:szCs w:val="28"/>
              </w:rPr>
              <w:t>PKI</w:t>
            </w:r>
            <w:r>
              <w:rPr>
                <w:rFonts w:ascii="Arabic Typesetting" w:hAnsi="Arabic Typesetting" w:cs="Arabic Typesetting" w:hint="cs"/>
                <w:sz w:val="28"/>
                <w:szCs w:val="28"/>
                <w:rtl/>
                <w:lang w:bidi="ar-EG"/>
              </w:rPr>
              <w:t>)</w:t>
            </w:r>
          </w:p>
        </w:tc>
        <w:tc>
          <w:tcPr>
            <w:tcW w:w="195" w:type="pct"/>
            <w:tcBorders>
              <w:top w:val="single" w:sz="4" w:space="0" w:color="auto"/>
              <w:left w:val="nil"/>
              <w:bottom w:val="single" w:sz="4" w:space="0" w:color="auto"/>
              <w:right w:val="single" w:sz="4" w:space="0" w:color="auto"/>
            </w:tcBorders>
            <w:noWrap/>
            <w:vAlign w:val="bottom"/>
          </w:tcPr>
          <w:p w14:paraId="65D2E751"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bottom"/>
          </w:tcPr>
          <w:p w14:paraId="6700E950"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bottom"/>
          </w:tcPr>
          <w:p w14:paraId="29038891"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noWrap/>
            <w:vAlign w:val="center"/>
          </w:tcPr>
          <w:p w14:paraId="079AE8BD"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5CDF47C4"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7CD11160"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7B9494A5"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8" w:space="0" w:color="auto"/>
            </w:tcBorders>
            <w:noWrap/>
            <w:vAlign w:val="center"/>
          </w:tcPr>
          <w:p w14:paraId="0E17790D"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358BABFC"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4A51A83B" w14:textId="77777777" w:rsidR="00BD3831" w:rsidRPr="00D53D30" w:rsidRDefault="00BD3831" w:rsidP="0031289D">
            <w:pPr>
              <w:spacing w:before="40" w:after="40"/>
              <w:jc w:val="center"/>
              <w:rPr>
                <w:rFonts w:ascii="Arabic Typesetting" w:hAnsi="Arabic Typesetting" w:cs="Arabic Typesetting"/>
                <w:color w:val="000000"/>
                <w:sz w:val="28"/>
                <w:szCs w:val="28"/>
              </w:rPr>
            </w:pPr>
          </w:p>
        </w:tc>
        <w:tc>
          <w:tcPr>
            <w:tcW w:w="194" w:type="pct"/>
            <w:tcBorders>
              <w:top w:val="single" w:sz="4" w:space="0" w:color="auto"/>
              <w:left w:val="nil"/>
              <w:bottom w:val="single" w:sz="4" w:space="0" w:color="auto"/>
              <w:right w:val="single" w:sz="4" w:space="0" w:color="auto"/>
            </w:tcBorders>
            <w:noWrap/>
            <w:vAlign w:val="center"/>
          </w:tcPr>
          <w:p w14:paraId="39AFB66D" w14:textId="77777777" w:rsidR="00BD3831" w:rsidRPr="00D53D30" w:rsidRDefault="00BD3831" w:rsidP="0031289D">
            <w:pPr>
              <w:spacing w:before="40" w:after="40"/>
              <w:jc w:val="center"/>
              <w:rPr>
                <w:rFonts w:ascii="Arabic Typesetting" w:hAnsi="Arabic Typesetting" w:cs="Arabic Typesetting"/>
                <w:color w:val="000000"/>
                <w:sz w:val="28"/>
                <w:szCs w:val="28"/>
              </w:rPr>
            </w:pPr>
            <w:r w:rsidRPr="00D53D30">
              <w:rPr>
                <w:rFonts w:ascii="Arabic Typesetting" w:hAnsi="Arabic Typesetting" w:cs="Arabic Typesetting"/>
                <w:color w:val="000000"/>
                <w:sz w:val="28"/>
                <w:szCs w:val="28"/>
              </w:rPr>
              <w:t>X</w:t>
            </w:r>
          </w:p>
        </w:tc>
        <w:tc>
          <w:tcPr>
            <w:tcW w:w="194" w:type="pct"/>
            <w:tcBorders>
              <w:top w:val="single" w:sz="4" w:space="0" w:color="auto"/>
              <w:left w:val="nil"/>
              <w:bottom w:val="single" w:sz="4" w:space="0" w:color="auto"/>
              <w:right w:val="single" w:sz="8" w:space="0" w:color="auto"/>
            </w:tcBorders>
            <w:noWrap/>
            <w:vAlign w:val="center"/>
          </w:tcPr>
          <w:p w14:paraId="24F64905" w14:textId="77777777" w:rsidR="00BD3831" w:rsidRPr="00D53D30" w:rsidRDefault="00BD3831" w:rsidP="0031289D">
            <w:pPr>
              <w:spacing w:before="40" w:after="40"/>
              <w:jc w:val="center"/>
              <w:rPr>
                <w:rFonts w:ascii="Arabic Typesetting" w:hAnsi="Arabic Typesetting" w:cs="Arabic Typesetting"/>
                <w:color w:val="000000"/>
                <w:sz w:val="28"/>
                <w:szCs w:val="28"/>
              </w:rPr>
            </w:pPr>
            <w:r w:rsidRPr="00D53D30">
              <w:rPr>
                <w:rFonts w:ascii="Arabic Typesetting" w:hAnsi="Arabic Typesetting" w:cs="Arabic Typesetting"/>
                <w:color w:val="000000"/>
                <w:sz w:val="28"/>
                <w:szCs w:val="28"/>
              </w:rPr>
              <w:t>X</w:t>
            </w:r>
          </w:p>
        </w:tc>
        <w:tc>
          <w:tcPr>
            <w:tcW w:w="194" w:type="pct"/>
            <w:tcBorders>
              <w:top w:val="single" w:sz="4" w:space="0" w:color="auto"/>
              <w:left w:val="nil"/>
              <w:bottom w:val="single" w:sz="4" w:space="0" w:color="auto"/>
              <w:right w:val="single" w:sz="8" w:space="0" w:color="auto"/>
            </w:tcBorders>
            <w:vAlign w:val="center"/>
          </w:tcPr>
          <w:p w14:paraId="175BFAFE" w14:textId="77777777" w:rsidR="00BD3831" w:rsidRPr="000354AE" w:rsidRDefault="00BD3831" w:rsidP="0031289D">
            <w:pPr>
              <w:spacing w:before="40" w:after="40"/>
              <w:jc w:val="center"/>
              <w:rPr>
                <w:rFonts w:ascii="Arabic Typesetting" w:hAnsi="Arabic Typesetting" w:cs="Arabic Typesetting"/>
                <w:color w:val="000000"/>
                <w:sz w:val="28"/>
                <w:szCs w:val="28"/>
              </w:rPr>
            </w:pPr>
            <w:r w:rsidRPr="000354AE">
              <w:rPr>
                <w:rFonts w:ascii="Arabic Typesetting" w:hAnsi="Arabic Typesetting" w:cs="Arabic Typesetting"/>
                <w:color w:val="000000"/>
                <w:sz w:val="28"/>
                <w:szCs w:val="28"/>
              </w:rPr>
              <w:t>X</w:t>
            </w:r>
          </w:p>
        </w:tc>
        <w:tc>
          <w:tcPr>
            <w:tcW w:w="194" w:type="pct"/>
            <w:tcBorders>
              <w:top w:val="single" w:sz="4" w:space="0" w:color="auto"/>
              <w:left w:val="nil"/>
              <w:bottom w:val="single" w:sz="4" w:space="0" w:color="auto"/>
              <w:right w:val="single" w:sz="8" w:space="0" w:color="auto"/>
            </w:tcBorders>
            <w:vAlign w:val="center"/>
          </w:tcPr>
          <w:p w14:paraId="3EB8A243" w14:textId="77777777" w:rsidR="00BD3831" w:rsidRPr="000354AE" w:rsidRDefault="00BD3831" w:rsidP="0031289D">
            <w:pPr>
              <w:spacing w:before="40" w:after="40"/>
              <w:jc w:val="center"/>
              <w:rPr>
                <w:rFonts w:ascii="Arabic Typesetting" w:hAnsi="Arabic Typesetting" w:cs="Arabic Typesetting"/>
                <w:color w:val="000000"/>
                <w:sz w:val="28"/>
                <w:szCs w:val="28"/>
              </w:rPr>
            </w:pPr>
            <w:r w:rsidRPr="000354AE">
              <w:rPr>
                <w:rFonts w:ascii="Arabic Typesetting" w:hAnsi="Arabic Typesetting" w:cs="Arabic Typesetting"/>
                <w:color w:val="000000"/>
                <w:sz w:val="28"/>
                <w:szCs w:val="28"/>
              </w:rPr>
              <w:t>X</w:t>
            </w:r>
          </w:p>
        </w:tc>
        <w:tc>
          <w:tcPr>
            <w:tcW w:w="194" w:type="pct"/>
            <w:tcBorders>
              <w:top w:val="single" w:sz="4" w:space="0" w:color="auto"/>
              <w:left w:val="nil"/>
              <w:bottom w:val="single" w:sz="4" w:space="0" w:color="auto"/>
              <w:right w:val="single" w:sz="8" w:space="0" w:color="auto"/>
            </w:tcBorders>
            <w:vAlign w:val="center"/>
          </w:tcPr>
          <w:p w14:paraId="4C35C2D3" w14:textId="77777777" w:rsidR="00BD3831" w:rsidRPr="000354AE" w:rsidRDefault="00BD3831" w:rsidP="0031289D">
            <w:pPr>
              <w:spacing w:before="40" w:after="40"/>
              <w:jc w:val="center"/>
              <w:rPr>
                <w:rFonts w:ascii="Arabic Typesetting" w:hAnsi="Arabic Typesetting" w:cs="Arabic Typesetting"/>
                <w:color w:val="000000"/>
                <w:sz w:val="28"/>
                <w:szCs w:val="28"/>
              </w:rPr>
            </w:pPr>
            <w:r w:rsidRPr="000354AE">
              <w:rPr>
                <w:rFonts w:ascii="Arabic Typesetting" w:hAnsi="Arabic Typesetting" w:cs="Arabic Typesetting"/>
                <w:color w:val="000000"/>
                <w:sz w:val="28"/>
                <w:szCs w:val="28"/>
              </w:rPr>
              <w:t>X</w:t>
            </w:r>
          </w:p>
        </w:tc>
        <w:tc>
          <w:tcPr>
            <w:tcW w:w="194" w:type="pct"/>
            <w:tcBorders>
              <w:top w:val="single" w:sz="4" w:space="0" w:color="auto"/>
              <w:left w:val="nil"/>
              <w:bottom w:val="single" w:sz="4" w:space="0" w:color="auto"/>
              <w:right w:val="single" w:sz="8" w:space="0" w:color="auto"/>
            </w:tcBorders>
            <w:vAlign w:val="center"/>
          </w:tcPr>
          <w:p w14:paraId="457FF45D" w14:textId="77777777" w:rsidR="00BD3831" w:rsidRPr="000354AE" w:rsidRDefault="00BD3831" w:rsidP="0031289D">
            <w:pPr>
              <w:spacing w:before="40" w:after="40"/>
              <w:jc w:val="center"/>
              <w:rPr>
                <w:rFonts w:ascii="Arabic Typesetting" w:hAnsi="Arabic Typesetting" w:cs="Arabic Typesetting"/>
                <w:color w:val="000000"/>
                <w:sz w:val="28"/>
                <w:szCs w:val="28"/>
              </w:rPr>
            </w:pPr>
          </w:p>
        </w:tc>
      </w:tr>
    </w:tbl>
    <w:p w14:paraId="04334F13" w14:textId="77777777" w:rsidR="00BD3831" w:rsidRPr="00E551B2" w:rsidRDefault="00BD3831" w:rsidP="0031289D">
      <w:pPr>
        <w:keepNext/>
        <w:pageBreakBefore/>
        <w:bidi/>
        <w:spacing w:after="240" w:line="340" w:lineRule="exact"/>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lastRenderedPageBreak/>
        <w:t>المشروعات المتصلة بتكنولوجيا المعلومات والاتصالات</w:t>
      </w:r>
    </w:p>
    <w:p w14:paraId="3F6D3D21" w14:textId="77777777" w:rsidR="00BD3831" w:rsidRPr="00E551B2" w:rsidRDefault="00BD3831" w:rsidP="0031289D">
      <w:pPr>
        <w:pStyle w:val="Heading4"/>
        <w:rPr>
          <w:rtl/>
        </w:rPr>
      </w:pPr>
      <w:bookmarkStart w:id="69" w:name="_Toc422829676"/>
      <w:bookmarkStart w:id="70" w:name="_Toc455393411"/>
      <w:bookmarkStart w:id="71" w:name="_Toc482782787"/>
      <w:r w:rsidRPr="00E551B2">
        <w:rPr>
          <w:rtl/>
        </w:rPr>
        <w:t>المشروع</w:t>
      </w:r>
      <w:r w:rsidRPr="00E551B2">
        <w:rPr>
          <w:rFonts w:hint="cs"/>
          <w:rtl/>
        </w:rPr>
        <w:t xml:space="preserve"> 2</w:t>
      </w:r>
      <w:r w:rsidRPr="00E551B2">
        <w:rPr>
          <w:rtl/>
        </w:rPr>
        <w:t>: تنفيذ إدارة المعلومات المؤسسية (</w:t>
      </w:r>
      <w:r w:rsidRPr="00E551B2">
        <w:t>CMP 2</w:t>
      </w:r>
      <w:r w:rsidRPr="00E551B2">
        <w:rPr>
          <w:rtl/>
        </w:rPr>
        <w:t>)</w:t>
      </w:r>
      <w:bookmarkEnd w:id="69"/>
      <w:bookmarkEnd w:id="70"/>
      <w:bookmarkEnd w:id="71"/>
    </w:p>
    <w:p w14:paraId="5CCF01CA" w14:textId="77777777" w:rsidR="00BD3831" w:rsidRPr="00E551B2" w:rsidRDefault="00BD3831" w:rsidP="0031289D">
      <w:pPr>
        <w:keepNext/>
        <w:bidi/>
        <w:spacing w:after="240" w:line="340" w:lineRule="exact"/>
        <w:ind w:left="1417" w:hanging="1417"/>
        <w:rPr>
          <w:rFonts w:ascii="Arabic Typesetting" w:hAnsi="Arabic Typesetting" w:cs="Arabic Typesetting"/>
          <w:bCs/>
          <w:sz w:val="34"/>
          <w:szCs w:val="36"/>
          <w:rtl/>
          <w:lang w:val="fr-CH"/>
        </w:rPr>
      </w:pPr>
      <w:r w:rsidRPr="00E551B2">
        <w:rPr>
          <w:rFonts w:ascii="Arabic Typesetting" w:hAnsi="Arabic Typesetting" w:cs="Arabic Typesetting"/>
          <w:bCs/>
          <w:sz w:val="34"/>
          <w:szCs w:val="36"/>
          <w:rtl/>
          <w:lang w:val="fr-CH"/>
        </w:rPr>
        <w:t>مدير المشروع</w:t>
      </w:r>
      <w:r w:rsidRPr="00E551B2">
        <w:rPr>
          <w:rFonts w:ascii="Arabic Typesetting" w:hAnsi="Arabic Typesetting" w:cs="Arabic Typesetting" w:hint="cs"/>
          <w:bCs/>
          <w:sz w:val="34"/>
          <w:szCs w:val="36"/>
          <w:rtl/>
          <w:lang w:val="fr-CH"/>
        </w:rPr>
        <w:t>:</w:t>
      </w:r>
      <w:r w:rsidRPr="00E551B2">
        <w:rPr>
          <w:rFonts w:ascii="Arabic Typesetting" w:hAnsi="Arabic Typesetting" w:cs="Arabic Typesetting" w:hint="cs"/>
          <w:bCs/>
          <w:sz w:val="34"/>
          <w:szCs w:val="36"/>
          <w:rtl/>
          <w:lang w:val="fr-CH"/>
        </w:rPr>
        <w:tab/>
        <w:t>السيد غراهام بيفر</w:t>
      </w:r>
    </w:p>
    <w:p w14:paraId="0C848451" w14:textId="77777777" w:rsidR="00BD3831" w:rsidRPr="00E551B2" w:rsidRDefault="00BD3831" w:rsidP="0031289D">
      <w:pPr>
        <w:keepNext/>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النتيجة المرتقبة</w:t>
      </w:r>
    </w:p>
    <w:p w14:paraId="52D4DA69" w14:textId="212DBCE4" w:rsidR="00BD3831" w:rsidRPr="00E551B2" w:rsidRDefault="00BD3831" w:rsidP="0031289D">
      <w:pPr>
        <w:bidi/>
        <w:spacing w:after="240" w:line="340" w:lineRule="exact"/>
        <w:rPr>
          <w:rFonts w:ascii="Arabic Typesetting" w:hAnsi="Arabic Typesetting" w:cs="Arabic Typesetting"/>
          <w:iCs/>
          <w:sz w:val="34"/>
          <w:szCs w:val="34"/>
          <w:rtl/>
          <w:lang w:bidi="ar-EG"/>
        </w:rPr>
      </w:pPr>
      <w:r w:rsidRPr="00E551B2">
        <w:rPr>
          <w:rFonts w:ascii="Arabic Typesetting" w:hAnsi="Arabic Typesetting" w:cs="Arabic Typesetting" w:hint="cs"/>
          <w:iCs/>
          <w:sz w:val="34"/>
          <w:szCs w:val="34"/>
          <w:rtl/>
          <w:lang w:bidi="ar-EG"/>
        </w:rPr>
        <w:t>ه2.9</w:t>
      </w:r>
      <w:r w:rsidRPr="00E551B2">
        <w:rPr>
          <w:rFonts w:ascii="Arabic Typesetting" w:hAnsi="Arabic Typesetting" w:cs="Arabic Typesetting" w:hint="cs"/>
          <w:iCs/>
          <w:sz w:val="34"/>
          <w:szCs w:val="34"/>
          <w:rtl/>
          <w:lang w:bidi="ar-EG"/>
        </w:rPr>
        <w:tab/>
      </w:r>
      <w:r w:rsidR="002920A9">
        <w:rPr>
          <w:rFonts w:ascii="Arabic Typesetting" w:hAnsi="Arabic Typesetting" w:cs="Arabic Typesetting"/>
          <w:iCs/>
          <w:sz w:val="34"/>
          <w:szCs w:val="34"/>
          <w:rtl/>
          <w:lang w:bidi="ar-EG"/>
        </w:rPr>
        <w:t>أمانة نبيهة تعمل بسلاسة وموظفون يعملون تحت إدارة جيّدة وبمهارات مناسبة ويحققون النتائج بكفاءة</w:t>
      </w:r>
    </w:p>
    <w:p w14:paraId="4ACBD6D2" w14:textId="77777777" w:rsidR="00BD3831" w:rsidRPr="00E551B2" w:rsidRDefault="00BD3831" w:rsidP="0031289D">
      <w:pPr>
        <w:keepNext/>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الأهداف والنطاق والنهج – معلومات أساسية</w:t>
      </w:r>
    </w:p>
    <w:p w14:paraId="08FD069E" w14:textId="77777777" w:rsidR="00BD3831" w:rsidRPr="00E551B2" w:rsidRDefault="00BD3831" w:rsidP="0031289D">
      <w:pPr>
        <w:numPr>
          <w:ilvl w:val="0"/>
          <w:numId w:val="48"/>
        </w:numPr>
        <w:tabs>
          <w:tab w:val="clear" w:pos="567"/>
        </w:tabs>
        <w:bidi/>
        <w:spacing w:after="240" w:line="340" w:lineRule="exact"/>
        <w:rPr>
          <w:rFonts w:ascii="Arabic Typesetting" w:hAnsi="Arabic Typesetting" w:cs="Arabic Typesetting"/>
          <w:sz w:val="34"/>
          <w:szCs w:val="34"/>
          <w:rtl/>
        </w:rPr>
      </w:pPr>
      <w:r w:rsidRPr="00E551B2">
        <w:rPr>
          <w:rFonts w:ascii="Arabic Typesetting" w:hAnsi="Arabic Typesetting" w:cs="Arabic Typesetting"/>
          <w:sz w:val="34"/>
          <w:szCs w:val="34"/>
          <w:rtl/>
        </w:rPr>
        <w:t xml:space="preserve">يتضمن المشروع استحداث مستودع مؤسسي مركزي لتخزين الوثائق. وسوف يمكِّن </w:t>
      </w:r>
      <w:r w:rsidRPr="00E551B2">
        <w:rPr>
          <w:rFonts w:ascii="Arabic Typesetting" w:hAnsi="Arabic Typesetting" w:cs="Arabic Typesetting" w:hint="cs"/>
          <w:sz w:val="34"/>
          <w:szCs w:val="34"/>
          <w:rtl/>
        </w:rPr>
        <w:t>ذلك</w:t>
      </w:r>
      <w:r w:rsidRPr="00E551B2">
        <w:rPr>
          <w:rFonts w:ascii="Arabic Typesetting" w:hAnsi="Arabic Typesetting" w:cs="Arabic Typesetting"/>
          <w:sz w:val="34"/>
          <w:szCs w:val="34"/>
          <w:rtl/>
        </w:rPr>
        <w:t xml:space="preserve"> المستخدمين من العمل معا (التعاون) </w:t>
      </w:r>
      <w:r w:rsidRPr="00E551B2">
        <w:rPr>
          <w:rFonts w:ascii="Arabic Typesetting" w:hAnsi="Arabic Typesetting" w:cs="Arabic Typesetting" w:hint="cs"/>
          <w:sz w:val="34"/>
          <w:szCs w:val="34"/>
          <w:rtl/>
        </w:rPr>
        <w:t>على</w:t>
      </w:r>
      <w:r w:rsidRPr="00E551B2">
        <w:rPr>
          <w:rFonts w:ascii="Arabic Typesetting" w:hAnsi="Arabic Typesetting" w:cs="Arabic Typesetting"/>
          <w:sz w:val="34"/>
          <w:szCs w:val="34"/>
          <w:rtl/>
        </w:rPr>
        <w:t xml:space="preserve"> إنشاء الوثائق، والبحث عن المعلومات والنفاذ إليها بسهولة أكبر، وسيسمح بربط الوثائق بالعمليات التي تجري في نظام التخطيط </w:t>
      </w:r>
      <w:r w:rsidRPr="00E551B2">
        <w:rPr>
          <w:rFonts w:ascii="Arabic Typesetting" w:hAnsi="Arabic Typesetting" w:cs="Arabic Typesetting"/>
          <w:sz w:val="34"/>
          <w:szCs w:val="34"/>
          <w:rtl/>
          <w:lang w:val="fr-CH"/>
        </w:rPr>
        <w:t>للموارد</w:t>
      </w:r>
      <w:r w:rsidRPr="00E551B2">
        <w:rPr>
          <w:rFonts w:ascii="Arabic Typesetting" w:hAnsi="Arabic Typesetting" w:cs="Arabic Typesetting"/>
          <w:sz w:val="34"/>
          <w:szCs w:val="34"/>
          <w:rtl/>
        </w:rPr>
        <w:t xml:space="preserve"> المؤسسية</w:t>
      </w:r>
      <w:r>
        <w:rPr>
          <w:rFonts w:ascii="Arabic Typesetting" w:hAnsi="Arabic Typesetting" w:cs="Arabic Typesetting" w:hint="cs"/>
          <w:sz w:val="34"/>
          <w:szCs w:val="34"/>
          <w:rtl/>
        </w:rPr>
        <w:t xml:space="preserve"> عند الاقتضاء</w:t>
      </w:r>
      <w:r w:rsidRPr="00E551B2">
        <w:rPr>
          <w:rFonts w:ascii="Arabic Typesetting" w:hAnsi="Arabic Typesetting" w:cs="Arabic Typesetting"/>
          <w:sz w:val="34"/>
          <w:szCs w:val="34"/>
          <w:rtl/>
        </w:rPr>
        <w:t>.</w:t>
      </w:r>
    </w:p>
    <w:p w14:paraId="6DF38415" w14:textId="77777777" w:rsidR="00BD3831" w:rsidRPr="00E551B2" w:rsidRDefault="00BD3831" w:rsidP="0031289D">
      <w:pPr>
        <w:numPr>
          <w:ilvl w:val="0"/>
          <w:numId w:val="48"/>
        </w:numPr>
        <w:tabs>
          <w:tab w:val="clear" w:pos="567"/>
        </w:tabs>
        <w:bidi/>
        <w:spacing w:after="240" w:line="340" w:lineRule="exact"/>
        <w:rPr>
          <w:rFonts w:ascii="Arabic Typesetting" w:hAnsi="Arabic Typesetting" w:cs="Arabic Typesetting"/>
          <w:sz w:val="34"/>
          <w:szCs w:val="34"/>
          <w:rtl/>
        </w:rPr>
      </w:pPr>
      <w:r w:rsidRPr="00E551B2">
        <w:rPr>
          <w:rFonts w:ascii="Arabic Typesetting" w:hAnsi="Arabic Typesetting" w:cs="Arabic Typesetting"/>
          <w:sz w:val="34"/>
          <w:szCs w:val="34"/>
          <w:rtl/>
        </w:rPr>
        <w:t xml:space="preserve">وقد اقتُرح إجراء تغييرات </w:t>
      </w:r>
      <w:r w:rsidRPr="00E551B2">
        <w:rPr>
          <w:rFonts w:ascii="Arabic Typesetting" w:hAnsi="Arabic Typesetting" w:cs="Arabic Typesetting" w:hint="cs"/>
          <w:sz w:val="34"/>
          <w:szCs w:val="34"/>
          <w:rtl/>
        </w:rPr>
        <w:t>في</w:t>
      </w:r>
      <w:r w:rsidRPr="00E551B2">
        <w:rPr>
          <w:rFonts w:ascii="Arabic Typesetting" w:hAnsi="Arabic Typesetting" w:cs="Arabic Typesetting"/>
          <w:sz w:val="34"/>
          <w:szCs w:val="34"/>
          <w:rtl/>
        </w:rPr>
        <w:t xml:space="preserve"> النهج والنطاق خلال مرحلة التخطيط لتنفيذ مشروع إدارة المعلومات المؤسسية دون المساس بالأهداف الأصلية. وترمي هذه التغييرات إلى زيادة احتمال التنفيذ الناجح للتغييرات التنظيمية وعناصر التنفيذ التقني لإدارة المعلومات المؤسسية. ويستند </w:t>
      </w:r>
      <w:r w:rsidRPr="00E551B2">
        <w:rPr>
          <w:rFonts w:ascii="Arabic Typesetting" w:hAnsi="Arabic Typesetting" w:cs="Arabic Typesetting"/>
          <w:sz w:val="34"/>
          <w:szCs w:val="34"/>
          <w:rtl/>
          <w:lang w:val="fr-CH"/>
        </w:rPr>
        <w:t>النهج</w:t>
      </w:r>
      <w:r w:rsidRPr="00E551B2">
        <w:rPr>
          <w:rFonts w:ascii="Arabic Typesetting" w:hAnsi="Arabic Typesetting" w:cs="Arabic Typesetting"/>
          <w:sz w:val="34"/>
          <w:szCs w:val="34"/>
          <w:rtl/>
        </w:rPr>
        <w:t xml:space="preserve"> المعدل إلى تحقيق عدد من "المكاسب المبكرة" على مراحل (مفصلة </w:t>
      </w:r>
      <w:r w:rsidRPr="00E551B2">
        <w:rPr>
          <w:rFonts w:ascii="Arabic Typesetting" w:hAnsi="Arabic Typesetting" w:cs="Arabic Typesetting" w:hint="cs"/>
          <w:sz w:val="34"/>
          <w:szCs w:val="34"/>
          <w:rtl/>
        </w:rPr>
        <w:t>فيما يلي</w:t>
      </w:r>
      <w:r w:rsidRPr="00E551B2">
        <w:rPr>
          <w:rFonts w:ascii="Arabic Typesetting" w:hAnsi="Arabic Typesetting" w:cs="Arabic Typesetting"/>
          <w:sz w:val="34"/>
          <w:szCs w:val="34"/>
          <w:rtl/>
        </w:rPr>
        <w:t>)، بحيث تحقق قطاعات تجارية محددة منافع تجارية من خلال أتمتة عدد من عملياتها المرتكزة على الوثائق، وذلك قبل نشر المشروع على صعيد المؤسسة.</w:t>
      </w:r>
    </w:p>
    <w:p w14:paraId="321F0BAC" w14:textId="77777777" w:rsidR="00BD3831" w:rsidRPr="00E551B2" w:rsidRDefault="00BD3831" w:rsidP="0031289D">
      <w:pPr>
        <w:numPr>
          <w:ilvl w:val="0"/>
          <w:numId w:val="48"/>
        </w:numPr>
        <w:tabs>
          <w:tab w:val="clear" w:pos="567"/>
        </w:tabs>
        <w:bidi/>
        <w:spacing w:after="240" w:line="340" w:lineRule="exact"/>
        <w:rPr>
          <w:rFonts w:ascii="Arabic Typesetting" w:hAnsi="Arabic Typesetting" w:cs="Arabic Typesetting"/>
          <w:sz w:val="34"/>
          <w:szCs w:val="34"/>
          <w:rtl/>
        </w:rPr>
      </w:pPr>
      <w:r w:rsidRPr="00E551B2">
        <w:rPr>
          <w:rFonts w:ascii="Arabic Typesetting" w:hAnsi="Arabic Typesetting" w:cs="Arabic Typesetting"/>
          <w:sz w:val="34"/>
          <w:szCs w:val="34"/>
          <w:rtl/>
        </w:rPr>
        <w:t xml:space="preserve">وأهداف إدارة </w:t>
      </w:r>
      <w:r w:rsidRPr="00E551B2">
        <w:rPr>
          <w:rFonts w:ascii="Arabic Typesetting" w:hAnsi="Arabic Typesetting" w:cs="Arabic Typesetting"/>
          <w:sz w:val="34"/>
          <w:szCs w:val="34"/>
          <w:rtl/>
          <w:lang w:val="fr-CH"/>
        </w:rPr>
        <w:t>المعلومات</w:t>
      </w:r>
      <w:r w:rsidRPr="00E551B2">
        <w:rPr>
          <w:rFonts w:ascii="Arabic Typesetting" w:hAnsi="Arabic Typesetting" w:cs="Arabic Typesetting"/>
          <w:sz w:val="34"/>
          <w:szCs w:val="34"/>
          <w:rtl/>
        </w:rPr>
        <w:t xml:space="preserve"> المؤسسية هي:</w:t>
      </w:r>
    </w:p>
    <w:p w14:paraId="6C0F8AA4"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sz w:val="34"/>
          <w:szCs w:val="34"/>
          <w:rtl/>
        </w:rPr>
        <w:t>تنفيذ نظام على مستوى المنظمة لتخزين وثائق الويبو وسجلاتها ومحفوظاتها واسترجاع هذه الوثائق والسجلات والمحفوظات وإدارتها (تطبيق إدارة المعلومات المؤسسية)؛</w:t>
      </w:r>
    </w:p>
    <w:p w14:paraId="2B46A885"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تنفيذ تكوينات مخصصة حسب العمليات فيما يتعلق بعمليات إدارة المعلومات المؤسسية داخل تطبيق إدارة المعلومات المؤسسية لدعم العمليات التجارية الغنية بالمحتوى. وقد تكون هذه العمليات خاصة بقطاعات محددة أو</w:t>
      </w:r>
      <w:r w:rsidRPr="00E551B2">
        <w:rPr>
          <w:rFonts w:ascii="Arabic Typesetting" w:hAnsi="Arabic Typesetting" w:cs="Arabic Typesetting" w:hint="cs"/>
          <w:sz w:val="34"/>
          <w:szCs w:val="34"/>
          <w:rtl/>
        </w:rPr>
        <w:t> </w:t>
      </w:r>
      <w:r w:rsidRPr="00E551B2">
        <w:rPr>
          <w:rFonts w:ascii="Arabic Typesetting" w:hAnsi="Arabic Typesetting" w:cs="Arabic Typesetting"/>
          <w:sz w:val="34"/>
          <w:szCs w:val="34"/>
          <w:rtl/>
        </w:rPr>
        <w:t>على مستوى المنظمة؛</w:t>
      </w:r>
    </w:p>
    <w:p w14:paraId="50BBC25E"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 xml:space="preserve">وتحقيق </w:t>
      </w:r>
      <w:r w:rsidRPr="00E551B2">
        <w:rPr>
          <w:rFonts w:ascii="Arabic Typesetting" w:hAnsi="Arabic Typesetting" w:cs="Arabic Typesetting"/>
          <w:sz w:val="34"/>
          <w:szCs w:val="34"/>
          <w:rtl/>
        </w:rPr>
        <w:t>التكامل عند الحاجة مع المكونات الفرعية لنظام التخطيط للموارد المؤسسية للسماح بربط المحتوى الداعم (المحفوظ في تطبيق إدارة المعلومات المؤسسية) بسجلات المعاملات (المحفوظة في نظام التخطيط للموارد المؤسسية) حسبما تتطلب العمليات التجارية المنفذة في نظام التخطيط للموارد المؤسسية؛</w:t>
      </w:r>
    </w:p>
    <w:p w14:paraId="4E1C7800"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واستضافة</w:t>
      </w:r>
      <w:r w:rsidRPr="00E551B2">
        <w:rPr>
          <w:rFonts w:ascii="Arabic Typesetting" w:hAnsi="Arabic Typesetting" w:cs="Arabic Typesetting"/>
          <w:sz w:val="34"/>
          <w:szCs w:val="34"/>
          <w:rtl/>
        </w:rPr>
        <w:t xml:space="preserve"> </w:t>
      </w:r>
      <w:r w:rsidRPr="00E551B2">
        <w:rPr>
          <w:rFonts w:ascii="Arabic Typesetting" w:hAnsi="Arabic Typesetting" w:cs="Arabic Typesetting" w:hint="cs"/>
          <w:sz w:val="34"/>
          <w:szCs w:val="34"/>
          <w:rtl/>
        </w:rPr>
        <w:t xml:space="preserve">كل </w:t>
      </w:r>
      <w:r w:rsidRPr="00E551B2">
        <w:rPr>
          <w:rFonts w:ascii="Arabic Typesetting" w:hAnsi="Arabic Typesetting" w:cs="Arabic Typesetting"/>
          <w:sz w:val="34"/>
          <w:szCs w:val="34"/>
          <w:rtl/>
        </w:rPr>
        <w:t xml:space="preserve">من تطبيق إدارة المعلومات المؤسسية والبنية التحتية الداعمة </w:t>
      </w:r>
      <w:r w:rsidRPr="00E551B2">
        <w:rPr>
          <w:rFonts w:ascii="Arabic Typesetting" w:hAnsi="Arabic Typesetting" w:cs="Arabic Typesetting" w:hint="cs"/>
          <w:sz w:val="34"/>
          <w:szCs w:val="34"/>
          <w:rtl/>
        </w:rPr>
        <w:t>وإدارتهما</w:t>
      </w:r>
      <w:r w:rsidRPr="00E551B2">
        <w:rPr>
          <w:rFonts w:ascii="Arabic Typesetting" w:hAnsi="Arabic Typesetting" w:cs="Arabic Typesetting"/>
          <w:sz w:val="34"/>
          <w:szCs w:val="34"/>
          <w:rtl/>
        </w:rPr>
        <w:t xml:space="preserve"> بطريقة تسمح بت</w:t>
      </w:r>
      <w:r w:rsidRPr="00E551B2">
        <w:rPr>
          <w:rFonts w:ascii="Arabic Typesetting" w:hAnsi="Arabic Typesetting" w:cs="Arabic Typesetting" w:hint="cs"/>
          <w:sz w:val="34"/>
          <w:szCs w:val="34"/>
          <w:rtl/>
        </w:rPr>
        <w:t>حقيق</w:t>
      </w:r>
      <w:r w:rsidRPr="00E551B2">
        <w:rPr>
          <w:rFonts w:ascii="Arabic Typesetting" w:hAnsi="Arabic Typesetting" w:cs="Arabic Typesetting"/>
          <w:sz w:val="34"/>
          <w:szCs w:val="34"/>
          <w:rtl/>
        </w:rPr>
        <w:t xml:space="preserve"> أهداف هذا النظام من ناحية توفير الخدمة وتحقيق الأمن استنادا</w:t>
      </w:r>
      <w:r w:rsidRPr="00E551B2">
        <w:rPr>
          <w:rFonts w:ascii="Arabic Typesetting" w:hAnsi="Arabic Typesetting" w:cs="Arabic Typesetting" w:hint="cs"/>
          <w:sz w:val="34"/>
          <w:szCs w:val="34"/>
          <w:rtl/>
        </w:rPr>
        <w:t>ً</w:t>
      </w:r>
      <w:r w:rsidRPr="00E551B2">
        <w:rPr>
          <w:rFonts w:ascii="Arabic Typesetting" w:hAnsi="Arabic Typesetting" w:cs="Arabic Typesetting"/>
          <w:sz w:val="34"/>
          <w:szCs w:val="34"/>
          <w:rtl/>
        </w:rPr>
        <w:t xml:space="preserve"> إلى </w:t>
      </w:r>
      <w:r w:rsidRPr="00E551B2">
        <w:rPr>
          <w:rFonts w:ascii="Arabic Typesetting" w:hAnsi="Arabic Typesetting" w:cs="Arabic Typesetting" w:hint="cs"/>
          <w:sz w:val="34"/>
          <w:szCs w:val="34"/>
          <w:rtl/>
        </w:rPr>
        <w:t xml:space="preserve">أهمية </w:t>
      </w:r>
      <w:r w:rsidRPr="00E551B2">
        <w:rPr>
          <w:rFonts w:ascii="Arabic Typesetting" w:hAnsi="Arabic Typesetting" w:cs="Arabic Typesetting"/>
          <w:sz w:val="34"/>
          <w:szCs w:val="34"/>
          <w:rtl/>
        </w:rPr>
        <w:t>ضرورته التجارية؛</w:t>
      </w:r>
    </w:p>
    <w:p w14:paraId="35346866"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وامتثال</w:t>
      </w:r>
      <w:r w:rsidRPr="00E551B2">
        <w:rPr>
          <w:rFonts w:ascii="Arabic Typesetting" w:hAnsi="Arabic Typesetting" w:cs="Arabic Typesetting"/>
          <w:sz w:val="34"/>
          <w:szCs w:val="34"/>
          <w:rtl/>
        </w:rPr>
        <w:t xml:space="preserve"> تنفيذ مكونات تطبيق إدارة المعلومات المؤسسية والعمليات الداعمة ف</w:t>
      </w:r>
      <w:r>
        <w:rPr>
          <w:rFonts w:ascii="Arabic Typesetting" w:hAnsi="Arabic Typesetting" w:cs="Arabic Typesetting" w:hint="cs"/>
          <w:sz w:val="34"/>
          <w:szCs w:val="34"/>
          <w:rtl/>
        </w:rPr>
        <w:t>ي</w:t>
      </w:r>
      <w:r w:rsidRPr="00E551B2">
        <w:rPr>
          <w:rFonts w:ascii="Arabic Typesetting" w:hAnsi="Arabic Typesetting" w:cs="Arabic Typesetting"/>
          <w:sz w:val="34"/>
          <w:szCs w:val="34"/>
          <w:rtl/>
        </w:rPr>
        <w:t>ما يتعلق بالسجلات والمحفوظات مع سياسة الويبو بشأن إدارة السجلات والمحفوظات (</w:t>
      </w:r>
      <w:r w:rsidRPr="00E551B2">
        <w:rPr>
          <w:rFonts w:ascii="Arabic Typesetting" w:hAnsi="Arabic Typesetting" w:cs="Arabic Typesetting" w:hint="cs"/>
          <w:sz w:val="34"/>
          <w:szCs w:val="34"/>
          <w:rtl/>
        </w:rPr>
        <w:t>التعميم الإداري</w:t>
      </w:r>
      <w:r w:rsidRPr="00E551B2">
        <w:rPr>
          <w:rFonts w:ascii="Arabic Typesetting" w:hAnsi="Arabic Typesetting" w:cs="Arabic Typesetting" w:hint="eastAsia"/>
          <w:sz w:val="34"/>
          <w:szCs w:val="34"/>
          <w:rtl/>
        </w:rPr>
        <w:t> </w:t>
      </w:r>
      <w:r w:rsidRPr="00E551B2">
        <w:rPr>
          <w:rFonts w:ascii="Arabic Typesetting" w:hAnsi="Arabic Typesetting" w:cs="Arabic Typesetting"/>
          <w:sz w:val="34"/>
          <w:szCs w:val="34"/>
        </w:rPr>
        <w:t>15/2013</w:t>
      </w:r>
      <w:r w:rsidRPr="00E551B2">
        <w:rPr>
          <w:rFonts w:ascii="Arabic Typesetting" w:hAnsi="Arabic Typesetting" w:cs="Arabic Typesetting"/>
          <w:sz w:val="34"/>
          <w:szCs w:val="34"/>
          <w:rtl/>
        </w:rPr>
        <w:t>)؛</w:t>
      </w:r>
    </w:p>
    <w:p w14:paraId="3695E713"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وتدريب</w:t>
      </w:r>
      <w:r w:rsidRPr="00E551B2">
        <w:rPr>
          <w:rFonts w:ascii="Arabic Typesetting" w:hAnsi="Arabic Typesetting" w:cs="Arabic Typesetting"/>
          <w:sz w:val="34"/>
          <w:szCs w:val="34"/>
          <w:rtl/>
        </w:rPr>
        <w:t xml:space="preserve"> المستخدم</w:t>
      </w:r>
      <w:r w:rsidRPr="00E551B2">
        <w:rPr>
          <w:rFonts w:ascii="Arabic Typesetting" w:hAnsi="Arabic Typesetting" w:cs="Arabic Typesetting" w:hint="cs"/>
          <w:sz w:val="34"/>
          <w:szCs w:val="34"/>
          <w:rtl/>
        </w:rPr>
        <w:t>ي</w:t>
      </w:r>
      <w:r w:rsidRPr="00E551B2">
        <w:rPr>
          <w:rFonts w:ascii="Arabic Typesetting" w:hAnsi="Arabic Typesetting" w:cs="Arabic Typesetting"/>
          <w:sz w:val="34"/>
          <w:szCs w:val="34"/>
          <w:rtl/>
        </w:rPr>
        <w:t>ن النهائي</w:t>
      </w:r>
      <w:r w:rsidRPr="00E551B2">
        <w:rPr>
          <w:rFonts w:ascii="Arabic Typesetting" w:hAnsi="Arabic Typesetting" w:cs="Arabic Typesetting" w:hint="cs"/>
          <w:sz w:val="34"/>
          <w:szCs w:val="34"/>
          <w:rtl/>
        </w:rPr>
        <w:t>ي</w:t>
      </w:r>
      <w:r w:rsidRPr="00E551B2">
        <w:rPr>
          <w:rFonts w:ascii="Arabic Typesetting" w:hAnsi="Arabic Typesetting" w:cs="Arabic Typesetting"/>
          <w:sz w:val="34"/>
          <w:szCs w:val="34"/>
          <w:rtl/>
        </w:rPr>
        <w:t xml:space="preserve">ن على استخدام النظام فضلاً عن العمليات والإجراءات لضمان الامتثال التشغيلي المستمر مع سياسة الويبو </w:t>
      </w:r>
      <w:r w:rsidRPr="00E551B2">
        <w:rPr>
          <w:rFonts w:ascii="Arabic Typesetting" w:hAnsi="Arabic Typesetting" w:cs="Arabic Typesetting" w:hint="cs"/>
          <w:sz w:val="34"/>
          <w:szCs w:val="34"/>
          <w:rtl/>
        </w:rPr>
        <w:t>الواردة في التعميم الإداري</w:t>
      </w:r>
      <w:r w:rsidRPr="00E551B2">
        <w:rPr>
          <w:rFonts w:ascii="Arabic Typesetting" w:hAnsi="Arabic Typesetting" w:cs="Arabic Typesetting" w:hint="eastAsia"/>
          <w:sz w:val="34"/>
          <w:szCs w:val="34"/>
          <w:rtl/>
        </w:rPr>
        <w:t> </w:t>
      </w:r>
      <w:r w:rsidRPr="00E551B2">
        <w:rPr>
          <w:rFonts w:ascii="Arabic Typesetting" w:hAnsi="Arabic Typesetting" w:cs="Arabic Typesetting"/>
          <w:sz w:val="34"/>
          <w:szCs w:val="34"/>
        </w:rPr>
        <w:t>15/2013</w:t>
      </w:r>
      <w:r w:rsidRPr="00E551B2">
        <w:rPr>
          <w:rFonts w:ascii="Arabic Typesetting" w:hAnsi="Arabic Typesetting" w:cs="Arabic Typesetting"/>
          <w:sz w:val="34"/>
          <w:szCs w:val="34"/>
          <w:rtl/>
        </w:rPr>
        <w:t xml:space="preserve"> (عمليات إدارة المعلومات المؤسسية)؛</w:t>
      </w:r>
    </w:p>
    <w:p w14:paraId="2FCE8B76"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ووضع</w:t>
      </w:r>
      <w:r w:rsidRPr="00E551B2">
        <w:rPr>
          <w:rFonts w:ascii="Arabic Typesetting" w:hAnsi="Arabic Typesetting" w:cs="Arabic Typesetting"/>
          <w:sz w:val="34"/>
          <w:szCs w:val="34"/>
          <w:rtl/>
        </w:rPr>
        <w:t xml:space="preserve"> ضوابط أمنية كافية</w:t>
      </w:r>
      <w:r w:rsidRPr="00E551B2">
        <w:rPr>
          <w:rFonts w:ascii="Arabic Typesetting" w:hAnsi="Arabic Typesetting" w:cs="Arabic Typesetting" w:hint="cs"/>
          <w:sz w:val="34"/>
          <w:szCs w:val="34"/>
          <w:rtl/>
        </w:rPr>
        <w:t xml:space="preserve"> في النظام</w:t>
      </w:r>
      <w:r w:rsidRPr="00E551B2">
        <w:rPr>
          <w:rFonts w:ascii="Arabic Typesetting" w:hAnsi="Arabic Typesetting" w:cs="Arabic Typesetting"/>
          <w:sz w:val="34"/>
          <w:szCs w:val="34"/>
          <w:rtl/>
        </w:rPr>
        <w:t xml:space="preserve"> للحفاظ على الامتثال </w:t>
      </w:r>
      <w:r>
        <w:rPr>
          <w:rFonts w:ascii="Arabic Typesetting" w:hAnsi="Arabic Typesetting" w:cs="Arabic Typesetting" w:hint="cs"/>
          <w:sz w:val="34"/>
          <w:szCs w:val="34"/>
          <w:rtl/>
        </w:rPr>
        <w:t>ل</w:t>
      </w:r>
      <w:r w:rsidRPr="00E551B2">
        <w:rPr>
          <w:rFonts w:ascii="Arabic Typesetting" w:hAnsi="Arabic Typesetting" w:cs="Arabic Typesetting"/>
          <w:sz w:val="34"/>
          <w:szCs w:val="34"/>
          <w:rtl/>
        </w:rPr>
        <w:t>سياسات الويبو الأمنية؛</w:t>
      </w:r>
    </w:p>
    <w:p w14:paraId="21C8F341"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lastRenderedPageBreak/>
        <w:t>و</w:t>
      </w:r>
      <w:r w:rsidRPr="00E551B2">
        <w:rPr>
          <w:rFonts w:ascii="Arabic Typesetting" w:hAnsi="Arabic Typesetting" w:cs="Arabic Typesetting"/>
          <w:sz w:val="34"/>
          <w:szCs w:val="34"/>
          <w:rtl/>
        </w:rPr>
        <w:t>إنجاز كل من تصميم تطبيق إدارة المعلومات المؤسسية، وشراء الترخيص، و</w:t>
      </w:r>
      <w:r w:rsidRPr="00E551B2">
        <w:rPr>
          <w:rFonts w:ascii="Arabic Typesetting" w:hAnsi="Arabic Typesetting" w:cs="Arabic Typesetting" w:hint="cs"/>
          <w:sz w:val="34"/>
          <w:szCs w:val="34"/>
          <w:rtl/>
        </w:rPr>
        <w:t>ال</w:t>
      </w:r>
      <w:r w:rsidRPr="00E551B2">
        <w:rPr>
          <w:rFonts w:ascii="Arabic Typesetting" w:hAnsi="Arabic Typesetting" w:cs="Arabic Typesetting"/>
          <w:sz w:val="34"/>
          <w:szCs w:val="34"/>
          <w:rtl/>
        </w:rPr>
        <w:t xml:space="preserve">تكوين </w:t>
      </w:r>
      <w:r w:rsidRPr="00E551B2">
        <w:rPr>
          <w:rFonts w:ascii="Arabic Typesetting" w:hAnsi="Arabic Typesetting" w:cs="Arabic Typesetting" w:hint="cs"/>
          <w:sz w:val="34"/>
          <w:szCs w:val="34"/>
          <w:rtl/>
        </w:rPr>
        <w:t>الأساسي</w:t>
      </w:r>
      <w:r w:rsidRPr="00E551B2">
        <w:rPr>
          <w:rFonts w:ascii="Arabic Typesetting" w:hAnsi="Arabic Typesetting" w:cs="Arabic Typesetting"/>
          <w:sz w:val="34"/>
          <w:szCs w:val="34"/>
          <w:rtl/>
        </w:rPr>
        <w:t>، والتكوينات الفردية الخاصة بمشروع "المكاسب المبكرة"، وفعالية</w:t>
      </w:r>
      <w:r w:rsidRPr="00E551B2">
        <w:rPr>
          <w:rFonts w:ascii="Arabic Typesetting" w:hAnsi="Arabic Typesetting" w:cs="Arabic Typesetting" w:hint="cs"/>
          <w:sz w:val="34"/>
          <w:szCs w:val="34"/>
          <w:rtl/>
        </w:rPr>
        <w:t xml:space="preserve"> النظام الأساسي</w:t>
      </w:r>
      <w:r w:rsidRPr="00E551B2">
        <w:rPr>
          <w:rFonts w:ascii="Arabic Typesetting" w:hAnsi="Arabic Typesetting" w:cs="Arabic Typesetting"/>
          <w:sz w:val="34"/>
          <w:szCs w:val="34"/>
          <w:rtl/>
        </w:rPr>
        <w:t xml:space="preserve"> لإدارة المعلومات المؤسسية التامة على مستوى المنظمة، وتدريب المستخدمين، وتحويل التشغيل المباشر الرفيع المستوى ضمن الميزانية المخصصة للمشروع في إطار الخطة الرأسمالية الرئيسية (انظر</w:t>
      </w:r>
      <w:r w:rsidRPr="00E551B2">
        <w:rPr>
          <w:rFonts w:ascii="Arabic Typesetting" w:hAnsi="Arabic Typesetting" w:cs="Arabic Typesetting" w:hint="cs"/>
          <w:sz w:val="34"/>
          <w:szCs w:val="34"/>
          <w:rtl/>
        </w:rPr>
        <w:t xml:space="preserve"> الوثيقة</w:t>
      </w:r>
      <w:r w:rsidRPr="00E551B2">
        <w:rPr>
          <w:rFonts w:ascii="Arabic Typesetting" w:hAnsi="Arabic Typesetting" w:cs="Arabic Typesetting"/>
          <w:sz w:val="34"/>
          <w:szCs w:val="34"/>
          <w:rtl/>
        </w:rPr>
        <w:t xml:space="preserve"> </w:t>
      </w:r>
      <w:r w:rsidRPr="00E551B2">
        <w:rPr>
          <w:rFonts w:ascii="Arabic Typesetting" w:hAnsi="Arabic Typesetting" w:cs="Arabic Typesetting"/>
          <w:sz w:val="34"/>
          <w:szCs w:val="34"/>
        </w:rPr>
        <w:t>WO/PBC/21/18</w:t>
      </w:r>
      <w:r w:rsidRPr="00E551B2">
        <w:rPr>
          <w:rFonts w:ascii="Arabic Typesetting" w:hAnsi="Arabic Typesetting" w:cs="Arabic Typesetting" w:hint="cs"/>
          <w:sz w:val="34"/>
          <w:szCs w:val="34"/>
          <w:rtl/>
        </w:rPr>
        <w:t xml:space="preserve"> الصادرة</w:t>
      </w:r>
      <w:r w:rsidRPr="00E551B2">
        <w:rPr>
          <w:rFonts w:ascii="Arabic Typesetting" w:hAnsi="Arabic Typesetting" w:cs="Arabic Typesetting"/>
          <w:sz w:val="34"/>
          <w:szCs w:val="34"/>
          <w:rtl/>
        </w:rPr>
        <w:t xml:space="preserve"> </w:t>
      </w:r>
      <w:r w:rsidRPr="00E551B2">
        <w:rPr>
          <w:rFonts w:ascii="Arabic Typesetting" w:hAnsi="Arabic Typesetting" w:cs="Arabic Typesetting" w:hint="cs"/>
          <w:sz w:val="34"/>
          <w:szCs w:val="34"/>
          <w:rtl/>
        </w:rPr>
        <w:t>في 31</w:t>
      </w:r>
      <w:r w:rsidRPr="00E551B2">
        <w:rPr>
          <w:rFonts w:ascii="Arabic Typesetting" w:hAnsi="Arabic Typesetting" w:cs="Arabic Typesetting"/>
          <w:sz w:val="34"/>
          <w:szCs w:val="34"/>
          <w:rtl/>
        </w:rPr>
        <w:t xml:space="preserve"> يوليو 2013).</w:t>
      </w:r>
    </w:p>
    <w:p w14:paraId="3528BFBC" w14:textId="77777777" w:rsidR="00BD3831" w:rsidRPr="00E551B2" w:rsidRDefault="00BD3831" w:rsidP="0031289D">
      <w:pPr>
        <w:numPr>
          <w:ilvl w:val="0"/>
          <w:numId w:val="48"/>
        </w:numPr>
        <w:tabs>
          <w:tab w:val="clear" w:pos="567"/>
        </w:tabs>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hint="cs"/>
          <w:sz w:val="34"/>
          <w:szCs w:val="34"/>
          <w:rtl/>
          <w:lang w:val="fr-CH"/>
        </w:rPr>
        <w:t>و</w:t>
      </w:r>
      <w:r w:rsidRPr="00E551B2">
        <w:rPr>
          <w:rFonts w:ascii="Arabic Typesetting" w:hAnsi="Arabic Typesetting" w:cs="Arabic Typesetting"/>
          <w:sz w:val="34"/>
          <w:szCs w:val="34"/>
          <w:rtl/>
          <w:lang w:val="fr-CH"/>
        </w:rPr>
        <w:t>سيُقسم المشروع إلى عدد من المراحل/المشروعات الفرعية، بحيث يحقق كل منها مجموعة من الفوائد التجارية لصالح مجال تجاري أو أكثر. وسيتضمن كل مشروع فرعي:</w:t>
      </w:r>
    </w:p>
    <w:p w14:paraId="77504ED5"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إجراء ال</w:t>
      </w:r>
      <w:r w:rsidRPr="00E551B2">
        <w:rPr>
          <w:rFonts w:ascii="Arabic Typesetting" w:hAnsi="Arabic Typesetting" w:cs="Arabic Typesetting"/>
          <w:sz w:val="34"/>
          <w:szCs w:val="34"/>
          <w:rtl/>
        </w:rPr>
        <w:t>تحليل المطلوب لتحديد العملية</w:t>
      </w:r>
      <w:r w:rsidRPr="00E551B2">
        <w:rPr>
          <w:rFonts w:ascii="Arabic Typesetting" w:hAnsi="Arabic Typesetting" w:cs="Arabic Typesetting" w:hint="cs"/>
          <w:sz w:val="34"/>
          <w:szCs w:val="34"/>
          <w:rtl/>
        </w:rPr>
        <w:t xml:space="preserve"> الإجرائية</w:t>
      </w:r>
      <w:r w:rsidRPr="00E551B2">
        <w:rPr>
          <w:rFonts w:ascii="Arabic Typesetting" w:hAnsi="Arabic Typesetting" w:cs="Arabic Typesetting"/>
          <w:sz w:val="34"/>
          <w:szCs w:val="34"/>
          <w:rtl/>
        </w:rPr>
        <w:t xml:space="preserve"> التي سيدعمها حل إدارة المعلومات المؤسسية؛</w:t>
      </w:r>
    </w:p>
    <w:p w14:paraId="5EED42C7"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تحديد أوجه التداخل مع الأنظمة القائمة وتوثيقها بما في ذلك نظام التخطيط للموارد المؤسسية حسب الحاجة؛</w:t>
      </w:r>
    </w:p>
    <w:p w14:paraId="4F27C0CE"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تصميم تكوين النظام استنادا</w:t>
      </w:r>
      <w:r w:rsidRPr="00E551B2">
        <w:rPr>
          <w:rFonts w:ascii="Arabic Typesetting" w:hAnsi="Arabic Typesetting" w:cs="Arabic Typesetting" w:hint="cs"/>
          <w:sz w:val="34"/>
          <w:szCs w:val="34"/>
          <w:rtl/>
        </w:rPr>
        <w:t>ً</w:t>
      </w:r>
      <w:r w:rsidRPr="00E551B2">
        <w:rPr>
          <w:rFonts w:ascii="Arabic Typesetting" w:hAnsi="Arabic Typesetting" w:cs="Arabic Typesetting"/>
          <w:sz w:val="34"/>
          <w:szCs w:val="34"/>
          <w:rtl/>
        </w:rPr>
        <w:t xml:space="preserve"> إلى العملية </w:t>
      </w:r>
      <w:r w:rsidRPr="00E551B2">
        <w:rPr>
          <w:rFonts w:ascii="Arabic Typesetting" w:hAnsi="Arabic Typesetting" w:cs="Arabic Typesetting" w:hint="cs"/>
          <w:sz w:val="34"/>
          <w:szCs w:val="34"/>
          <w:rtl/>
        </w:rPr>
        <w:t>الإجرائية</w:t>
      </w:r>
      <w:r w:rsidRPr="00E551B2">
        <w:rPr>
          <w:rFonts w:ascii="Arabic Typesetting" w:hAnsi="Arabic Typesetting" w:cs="Arabic Typesetting"/>
          <w:sz w:val="34"/>
          <w:szCs w:val="34"/>
          <w:rtl/>
        </w:rPr>
        <w:t>؛</w:t>
      </w:r>
    </w:p>
    <w:p w14:paraId="431C89FC"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 xml:space="preserve">تنفيذ نظام إدارة المعلومات المؤسسية لدعم العملية </w:t>
      </w:r>
      <w:r w:rsidRPr="00E551B2">
        <w:rPr>
          <w:rFonts w:ascii="Arabic Typesetting" w:hAnsi="Arabic Typesetting" w:cs="Arabic Typesetting" w:hint="cs"/>
          <w:sz w:val="34"/>
          <w:szCs w:val="34"/>
          <w:rtl/>
        </w:rPr>
        <w:t>الإجرائية</w:t>
      </w:r>
      <w:r w:rsidRPr="00E551B2">
        <w:rPr>
          <w:rFonts w:ascii="Arabic Typesetting" w:hAnsi="Arabic Typesetting" w:cs="Arabic Typesetting"/>
          <w:sz w:val="34"/>
          <w:szCs w:val="34"/>
          <w:rtl/>
        </w:rPr>
        <w:t>؛</w:t>
      </w:r>
    </w:p>
    <w:p w14:paraId="38E658A5"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 xml:space="preserve">إخضاع تكوين نظام إدارة المعلومات المؤسسية لاختبار النظام واختبار قبول المستخدمين لدعم العملية </w:t>
      </w:r>
      <w:r w:rsidRPr="00E551B2">
        <w:rPr>
          <w:rFonts w:ascii="Arabic Typesetting" w:hAnsi="Arabic Typesetting" w:cs="Arabic Typesetting" w:hint="cs"/>
          <w:sz w:val="34"/>
          <w:szCs w:val="34"/>
          <w:rtl/>
        </w:rPr>
        <w:t>الإجرائية</w:t>
      </w:r>
      <w:r w:rsidRPr="00E551B2">
        <w:rPr>
          <w:rFonts w:ascii="Arabic Typesetting" w:hAnsi="Arabic Typesetting" w:cs="Arabic Typesetting"/>
          <w:sz w:val="34"/>
          <w:szCs w:val="34"/>
          <w:rtl/>
        </w:rPr>
        <w:t>؛</w:t>
      </w:r>
    </w:p>
    <w:p w14:paraId="77E39272" w14:textId="77777777" w:rsidR="00BD3831" w:rsidRPr="00E551B2" w:rsidRDefault="00BD3831" w:rsidP="0031289D">
      <w:pPr>
        <w:numPr>
          <w:ilvl w:val="0"/>
          <w:numId w:val="55"/>
        </w:numPr>
        <w:bidi/>
        <w:spacing w:after="240" w:line="340" w:lineRule="exact"/>
        <w:ind w:left="1134" w:hanging="567"/>
        <w:rPr>
          <w:rFonts w:ascii="Arabic Typesetting" w:hAnsi="Arabic Typesetting" w:cs="Arabic Typesetting"/>
          <w:sz w:val="34"/>
          <w:szCs w:val="34"/>
          <w:rtl/>
        </w:rPr>
      </w:pP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تدريب المستخدمين النهائيين بشأن تكوين نظام</w:t>
      </w:r>
      <w:r>
        <w:rPr>
          <w:rFonts w:ascii="Arabic Typesetting" w:hAnsi="Arabic Typesetting" w:cs="Arabic Typesetting"/>
          <w:sz w:val="34"/>
          <w:szCs w:val="34"/>
          <w:rtl/>
        </w:rPr>
        <w:t xml:space="preserve"> إدارة المعلومات المؤسسية تكوين</w:t>
      </w:r>
      <w:r w:rsidRPr="00E551B2">
        <w:rPr>
          <w:rFonts w:ascii="Arabic Typesetting" w:hAnsi="Arabic Typesetting" w:cs="Arabic Typesetting"/>
          <w:sz w:val="34"/>
          <w:szCs w:val="34"/>
          <w:rtl/>
        </w:rPr>
        <w:t>ا</w:t>
      </w:r>
      <w:r>
        <w:rPr>
          <w:rFonts w:ascii="Arabic Typesetting" w:hAnsi="Arabic Typesetting" w:cs="Arabic Typesetting" w:hint="cs"/>
          <w:sz w:val="34"/>
          <w:szCs w:val="34"/>
          <w:rtl/>
        </w:rPr>
        <w:t>ً</w:t>
      </w:r>
      <w:r w:rsidRPr="00E551B2">
        <w:rPr>
          <w:rFonts w:ascii="Arabic Typesetting" w:hAnsi="Arabic Typesetting" w:cs="Arabic Typesetting"/>
          <w:sz w:val="34"/>
          <w:szCs w:val="34"/>
          <w:rtl/>
        </w:rPr>
        <w:t xml:space="preserve"> يلائم العملية </w:t>
      </w:r>
      <w:r w:rsidRPr="00E551B2">
        <w:rPr>
          <w:rFonts w:ascii="Arabic Typesetting" w:hAnsi="Arabic Typesetting" w:cs="Arabic Typesetting" w:hint="cs"/>
          <w:sz w:val="34"/>
          <w:szCs w:val="34"/>
          <w:rtl/>
        </w:rPr>
        <w:t>الإجرائية</w:t>
      </w:r>
      <w:r w:rsidRPr="00E551B2">
        <w:rPr>
          <w:rFonts w:ascii="Arabic Typesetting" w:hAnsi="Arabic Typesetting" w:cs="Arabic Typesetting"/>
          <w:sz w:val="34"/>
          <w:szCs w:val="34"/>
          <w:rtl/>
        </w:rPr>
        <w:t>.</w:t>
      </w:r>
    </w:p>
    <w:p w14:paraId="70761DD1" w14:textId="77777777" w:rsidR="00BD3831" w:rsidRPr="00E551B2" w:rsidRDefault="00BD3831" w:rsidP="0031289D">
      <w:pPr>
        <w:numPr>
          <w:ilvl w:val="0"/>
          <w:numId w:val="48"/>
        </w:numPr>
        <w:tabs>
          <w:tab w:val="clear" w:pos="567"/>
        </w:tabs>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و</w:t>
      </w:r>
      <w:r>
        <w:rPr>
          <w:rFonts w:ascii="Arabic Typesetting" w:hAnsi="Arabic Typesetting" w:cs="Arabic Typesetting" w:hint="cs"/>
          <w:sz w:val="34"/>
          <w:szCs w:val="34"/>
          <w:rtl/>
          <w:lang w:val="fr-CH"/>
        </w:rPr>
        <w:t xml:space="preserve">فيما يلي </w:t>
      </w:r>
      <w:r w:rsidRPr="00E551B2">
        <w:rPr>
          <w:rFonts w:ascii="Arabic Typesetting" w:hAnsi="Arabic Typesetting" w:cs="Arabic Typesetting"/>
          <w:sz w:val="34"/>
          <w:szCs w:val="34"/>
          <w:rtl/>
          <w:lang w:val="fr-CH"/>
        </w:rPr>
        <w:t xml:space="preserve">المشروعات الفرعية المحددة حاليا </w:t>
      </w:r>
      <w:r>
        <w:rPr>
          <w:rFonts w:ascii="Arabic Typesetting" w:hAnsi="Arabic Typesetting" w:cs="Arabic Typesetting" w:hint="cs"/>
          <w:sz w:val="34"/>
          <w:szCs w:val="34"/>
          <w:rtl/>
          <w:lang w:val="fr-CH"/>
        </w:rPr>
        <w:t>بحسب ترتيب التنفيذ</w:t>
      </w:r>
      <w:r w:rsidRPr="00E551B2">
        <w:rPr>
          <w:rFonts w:ascii="Arabic Typesetting" w:hAnsi="Arabic Typesetting" w:cs="Arabic Typesetting"/>
          <w:sz w:val="34"/>
          <w:szCs w:val="34"/>
          <w:rtl/>
          <w:lang w:val="fr-CH"/>
        </w:rPr>
        <w:t>:</w:t>
      </w:r>
      <w:r w:rsidRPr="00D417A4">
        <w:rPr>
          <w:rFonts w:ascii="Arabic Typesetting" w:hAnsi="Arabic Typesetting" w:cs="Arabic Typesetting"/>
          <w:sz w:val="28"/>
          <w:szCs w:val="28"/>
          <w:vertAlign w:val="superscript"/>
          <w:rtl/>
          <w:lang w:val="fr-CH" w:bidi="ar-EG"/>
        </w:rPr>
        <w:footnoteReference w:id="114"/>
      </w:r>
    </w:p>
    <w:p w14:paraId="7E62C53F" w14:textId="77777777" w:rsidR="00BD3831" w:rsidRPr="00E551B2" w:rsidRDefault="00BD3831" w:rsidP="0031289D">
      <w:pPr>
        <w:bidi/>
        <w:spacing w:after="240" w:line="340" w:lineRule="exact"/>
        <w:ind w:left="566"/>
        <w:rPr>
          <w:rFonts w:ascii="Arabic Typesetting" w:hAnsi="Arabic Typesetting" w:cs="Arabic Typesetting"/>
          <w:sz w:val="34"/>
          <w:szCs w:val="34"/>
          <w:rtl/>
          <w:lang w:val="fr-CH"/>
        </w:rPr>
      </w:pPr>
      <w:r w:rsidRPr="00E551B2">
        <w:rPr>
          <w:rFonts w:ascii="Arabic Typesetting" w:hAnsi="Arabic Typesetting" w:cs="Arabic Typesetting"/>
          <w:b/>
          <w:bCs/>
          <w:sz w:val="34"/>
          <w:szCs w:val="34"/>
          <w:rtl/>
          <w:lang w:val="fr-CH"/>
        </w:rPr>
        <w:t>سجلات المؤسسة ومحفوظاتها</w:t>
      </w:r>
      <w:r w:rsidRPr="00E551B2">
        <w:rPr>
          <w:rFonts w:ascii="Arabic Typesetting" w:hAnsi="Arabic Typesetting" w:cs="Arabic Typesetting"/>
          <w:sz w:val="34"/>
          <w:szCs w:val="34"/>
          <w:rtl/>
          <w:lang w:val="fr-CH"/>
        </w:rPr>
        <w:t xml:space="preserve"> - مشروع فرعي لرفع أداء خدمة السجلات والمحفوظات، ويشمل تعزيز/استبدال عمليات </w:t>
      </w:r>
      <w:r w:rsidRPr="00E551B2">
        <w:rPr>
          <w:rFonts w:ascii="Arabic Typesetting" w:hAnsi="Arabic Typesetting" w:cs="Arabic Typesetting" w:hint="cs"/>
          <w:sz w:val="34"/>
          <w:szCs w:val="34"/>
          <w:rtl/>
          <w:lang w:val="fr-CH"/>
        </w:rPr>
        <w:t>رقمنة</w:t>
      </w:r>
      <w:r w:rsidRPr="00E551B2">
        <w:rPr>
          <w:rFonts w:ascii="Arabic Typesetting" w:hAnsi="Arabic Typesetting" w:cs="Arabic Typesetting"/>
          <w:sz w:val="34"/>
          <w:szCs w:val="34"/>
          <w:rtl/>
          <w:lang w:val="fr-CH"/>
        </w:rPr>
        <w:t xml:space="preserve"> الوثائق، فضلاً عن تنفيذ عملية ل</w:t>
      </w:r>
      <w:r w:rsidRPr="00E551B2">
        <w:rPr>
          <w:rFonts w:ascii="Arabic Typesetting" w:hAnsi="Arabic Typesetting" w:cs="Arabic Typesetting" w:hint="cs"/>
          <w:sz w:val="34"/>
          <w:szCs w:val="34"/>
          <w:rtl/>
          <w:lang w:val="fr-CH"/>
        </w:rPr>
        <w:t>رقمنة</w:t>
      </w:r>
      <w:r w:rsidRPr="00E551B2">
        <w:rPr>
          <w:rFonts w:ascii="Arabic Typesetting" w:hAnsi="Arabic Typesetting" w:cs="Arabic Typesetting"/>
          <w:sz w:val="34"/>
          <w:szCs w:val="34"/>
          <w:rtl/>
          <w:lang w:val="fr-CH"/>
        </w:rPr>
        <w:t xml:space="preserve"> البريد الوارد </w:t>
      </w:r>
      <w:r w:rsidRPr="00E551B2">
        <w:rPr>
          <w:rFonts w:ascii="Arabic Typesetting" w:hAnsi="Arabic Typesetting" w:cs="Arabic Typesetting" w:hint="cs"/>
          <w:sz w:val="34"/>
          <w:szCs w:val="34"/>
          <w:rtl/>
          <w:lang w:val="fr-CH"/>
        </w:rPr>
        <w:t xml:space="preserve">والصادر </w:t>
      </w:r>
      <w:r w:rsidRPr="00E551B2">
        <w:rPr>
          <w:rFonts w:ascii="Arabic Typesetting" w:hAnsi="Arabic Typesetting" w:cs="Arabic Typesetting"/>
          <w:sz w:val="34"/>
          <w:szCs w:val="34"/>
          <w:rtl/>
          <w:lang w:val="fr-CH"/>
        </w:rPr>
        <w:t>وتعقبه (</w:t>
      </w:r>
      <w:r w:rsidRPr="00E551B2">
        <w:rPr>
          <w:rFonts w:ascii="Arabic Typesetting" w:hAnsi="Arabic Typesetting" w:cs="Arabic Typesetting" w:hint="cs"/>
          <w:sz w:val="34"/>
          <w:szCs w:val="34"/>
          <w:rtl/>
          <w:lang w:val="fr-CH"/>
        </w:rPr>
        <w:t>الرقمنة</w:t>
      </w:r>
      <w:r w:rsidRPr="00E551B2">
        <w:rPr>
          <w:rFonts w:ascii="Arabic Typesetting" w:hAnsi="Arabic Typesetting" w:cs="Arabic Typesetting"/>
          <w:sz w:val="34"/>
          <w:szCs w:val="34"/>
          <w:rtl/>
          <w:lang w:val="fr-CH"/>
        </w:rPr>
        <w:t xml:space="preserve"> وتدفق العمل)، وتنفيذ الأرشفة على مستوى القسم استنادا إلى سياسة الويبو بشأن إدارة السجلات (إدارة السجلات والمحفوظات).</w:t>
      </w:r>
    </w:p>
    <w:p w14:paraId="2E35F880" w14:textId="77777777" w:rsidR="00BD3831" w:rsidRDefault="00BD3831" w:rsidP="0031289D">
      <w:pPr>
        <w:bidi/>
        <w:spacing w:after="240" w:line="340" w:lineRule="exact"/>
        <w:ind w:left="566"/>
        <w:rPr>
          <w:rFonts w:ascii="Arabic Typesetting" w:hAnsi="Arabic Typesetting" w:cs="Arabic Typesetting"/>
          <w:sz w:val="34"/>
          <w:szCs w:val="34"/>
          <w:rtl/>
          <w:lang w:val="fr-CH"/>
        </w:rPr>
      </w:pPr>
      <w:r w:rsidRPr="00E551B2">
        <w:rPr>
          <w:rFonts w:ascii="Arabic Typesetting" w:hAnsi="Arabic Typesetting" w:cs="Arabic Typesetting"/>
          <w:b/>
          <w:bCs/>
          <w:sz w:val="34"/>
          <w:szCs w:val="34"/>
          <w:rtl/>
          <w:lang w:val="fr-CH"/>
        </w:rPr>
        <w:t>طلب الترجمة</w:t>
      </w:r>
      <w:r w:rsidRPr="00E551B2">
        <w:rPr>
          <w:rFonts w:ascii="Arabic Typesetting" w:hAnsi="Arabic Typesetting" w:cs="Arabic Typesetting"/>
          <w:sz w:val="34"/>
          <w:szCs w:val="34"/>
          <w:rtl/>
          <w:lang w:val="fr-CH"/>
        </w:rPr>
        <w:t xml:space="preserve"> - أتمتة نظام تدفق العمل القائم على الوثائق مع التعقب والإبلاغ، وذلك لتخصيص الوثائق التي يتعين على شعبة اللغات ترجمتها.</w:t>
      </w:r>
    </w:p>
    <w:p w14:paraId="678B0EA7" w14:textId="77777777" w:rsidR="00BD3831" w:rsidRPr="00E551B2" w:rsidRDefault="00BD3831" w:rsidP="0031289D">
      <w:pPr>
        <w:bidi/>
        <w:spacing w:after="240" w:line="340" w:lineRule="exact"/>
        <w:ind w:left="566"/>
        <w:rPr>
          <w:rFonts w:ascii="Arabic Typesetting" w:hAnsi="Arabic Typesetting" w:cs="Arabic Typesetting"/>
          <w:sz w:val="34"/>
          <w:szCs w:val="34"/>
          <w:rtl/>
          <w:lang w:val="fr-CH"/>
        </w:rPr>
      </w:pPr>
      <w:r w:rsidRPr="00E551B2">
        <w:rPr>
          <w:rFonts w:ascii="Arabic Typesetting" w:hAnsi="Arabic Typesetting" w:cs="Arabic Typesetting"/>
          <w:b/>
          <w:bCs/>
          <w:sz w:val="34"/>
          <w:szCs w:val="34"/>
          <w:rtl/>
          <w:lang w:val="fr-CH"/>
        </w:rPr>
        <w:t>تقارير البعثات</w:t>
      </w:r>
      <w:r w:rsidRPr="00E551B2">
        <w:rPr>
          <w:rFonts w:ascii="Arabic Typesetting" w:hAnsi="Arabic Typesetting" w:cs="Arabic Typesetting"/>
          <w:sz w:val="34"/>
          <w:szCs w:val="34"/>
          <w:rtl/>
          <w:lang w:val="fr-CH"/>
        </w:rPr>
        <w:t xml:space="preserve"> - إدارة إنشاء تقارير البعثات (إدارة الوثائق)، وعمليات المراجعة ونشر تقرير البعثة (تدفق العمل) والبحث في تقارير البعثات السابقة (البحث) استنادا إلى التصنيف (المواقع وال</w:t>
      </w:r>
      <w:r w:rsidRPr="00E551B2">
        <w:rPr>
          <w:rFonts w:ascii="Arabic Typesetting" w:hAnsi="Arabic Typesetting" w:cs="Arabic Typesetting" w:hint="cs"/>
          <w:sz w:val="34"/>
          <w:szCs w:val="34"/>
          <w:rtl/>
          <w:lang w:val="fr-CH"/>
        </w:rPr>
        <w:t xml:space="preserve">موظفون </w:t>
      </w:r>
      <w:r w:rsidRPr="00E551B2">
        <w:rPr>
          <w:rFonts w:ascii="Arabic Typesetting" w:hAnsi="Arabic Typesetting" w:cs="Arabic Typesetting"/>
          <w:sz w:val="34"/>
          <w:szCs w:val="34"/>
          <w:rtl/>
          <w:lang w:val="fr-CH"/>
        </w:rPr>
        <w:t>والموضوع والمنظمات التي شملتها الزيارات).</w:t>
      </w:r>
    </w:p>
    <w:p w14:paraId="5CBE19CC" w14:textId="77777777" w:rsidR="00BD3831" w:rsidRDefault="00BD3831" w:rsidP="0031289D">
      <w:pPr>
        <w:bidi/>
        <w:spacing w:after="240" w:line="340" w:lineRule="exact"/>
        <w:ind w:left="566"/>
        <w:rPr>
          <w:rFonts w:ascii="Arabic Typesetting" w:hAnsi="Arabic Typesetting" w:cs="Arabic Typesetting"/>
          <w:sz w:val="34"/>
          <w:szCs w:val="34"/>
          <w:rtl/>
          <w:lang w:val="fr-CH"/>
        </w:rPr>
      </w:pPr>
      <w:r w:rsidRPr="00E551B2">
        <w:rPr>
          <w:rFonts w:ascii="Arabic Typesetting" w:hAnsi="Arabic Typesetting" w:cs="Arabic Typesetting"/>
          <w:b/>
          <w:bCs/>
          <w:sz w:val="34"/>
          <w:szCs w:val="34"/>
          <w:rtl/>
          <w:lang w:val="fr-CH"/>
        </w:rPr>
        <w:t>نظام إدارة البائعين والعقود</w:t>
      </w:r>
      <w:r w:rsidRPr="00E551B2">
        <w:rPr>
          <w:rFonts w:ascii="Arabic Typesetting" w:hAnsi="Arabic Typesetting" w:cs="Arabic Typesetting"/>
          <w:sz w:val="34"/>
          <w:szCs w:val="34"/>
          <w:rtl/>
          <w:lang w:val="fr-CH"/>
        </w:rPr>
        <w:t xml:space="preserve"> - مشروع فرعي يحقق "مكسبا مبكرا" ويتضمن تنفيذ حل/عمليات لإدارة معلومات العقود، بما</w:t>
      </w:r>
      <w:r w:rsidRPr="00E551B2">
        <w:rPr>
          <w:rFonts w:ascii="Arabic Typesetting" w:hAnsi="Arabic Typesetting" w:cs="Arabic Typesetting" w:hint="cs"/>
          <w:sz w:val="34"/>
          <w:szCs w:val="34"/>
          <w:rtl/>
          <w:lang w:val="fr-CH"/>
        </w:rPr>
        <w:t> </w:t>
      </w:r>
      <w:r w:rsidRPr="00E551B2">
        <w:rPr>
          <w:rFonts w:ascii="Arabic Typesetting" w:hAnsi="Arabic Typesetting" w:cs="Arabic Typesetting"/>
          <w:sz w:val="34"/>
          <w:szCs w:val="34"/>
          <w:rtl/>
          <w:lang w:val="fr-CH"/>
        </w:rPr>
        <w:t>يسمح بإنشاء وثائق العقود (إدارة الوثائق)، وتخزين الوثائق المتعلقة بالعقود (إدارة القضايا) وإرسال التقارير والتنبيهات بشأن الأحداث خلال فترة سريان العقد (تدفق العمل وإدارة القضايا)، والبحث في العقود (البحث).</w:t>
      </w:r>
    </w:p>
    <w:p w14:paraId="03F08DFD" w14:textId="77777777" w:rsidR="00BD3831" w:rsidRPr="00E551B2" w:rsidRDefault="00BD3831" w:rsidP="0031289D">
      <w:pPr>
        <w:bidi/>
        <w:spacing w:after="240" w:line="340" w:lineRule="exact"/>
        <w:ind w:left="566"/>
        <w:rPr>
          <w:rFonts w:ascii="Arabic Typesetting" w:hAnsi="Arabic Typesetting" w:cs="Arabic Typesetting"/>
          <w:sz w:val="34"/>
          <w:szCs w:val="34"/>
          <w:rtl/>
          <w:lang w:val="fr-CH"/>
        </w:rPr>
      </w:pPr>
      <w:r w:rsidRPr="00E551B2">
        <w:rPr>
          <w:rFonts w:ascii="Arabic Typesetting" w:hAnsi="Arabic Typesetting" w:cs="Arabic Typesetting"/>
          <w:b/>
          <w:bCs/>
          <w:sz w:val="34"/>
          <w:szCs w:val="34"/>
          <w:rtl/>
          <w:lang w:val="fr-CH"/>
        </w:rPr>
        <w:t>البريد الوارد إلى مكتب المدير العام</w:t>
      </w:r>
      <w:r w:rsidRPr="00E551B2">
        <w:rPr>
          <w:rFonts w:ascii="Arabic Typesetting" w:hAnsi="Arabic Typesetting" w:cs="Arabic Typesetting"/>
          <w:sz w:val="34"/>
          <w:szCs w:val="34"/>
          <w:rtl/>
          <w:lang w:val="fr-CH"/>
        </w:rPr>
        <w:t xml:space="preserve"> - </w:t>
      </w:r>
      <w:r w:rsidRPr="00E551B2">
        <w:rPr>
          <w:rFonts w:ascii="Arabic Typesetting" w:hAnsi="Arabic Typesetting" w:cs="Arabic Typesetting" w:hint="cs"/>
          <w:sz w:val="34"/>
          <w:szCs w:val="34"/>
          <w:rtl/>
          <w:lang w:val="fr-CH"/>
        </w:rPr>
        <w:t>رقمنة</w:t>
      </w:r>
      <w:r w:rsidRPr="00E551B2">
        <w:rPr>
          <w:rFonts w:ascii="Arabic Typesetting" w:hAnsi="Arabic Typesetting" w:cs="Arabic Typesetting"/>
          <w:sz w:val="34"/>
          <w:szCs w:val="34"/>
          <w:rtl/>
          <w:lang w:val="fr-CH"/>
        </w:rPr>
        <w:t xml:space="preserve"> البريد الوارد و</w:t>
      </w:r>
      <w:r w:rsidRPr="00E551B2">
        <w:rPr>
          <w:rFonts w:ascii="Arabic Typesetting" w:hAnsi="Arabic Typesetting" w:cs="Arabic Typesetting" w:hint="cs"/>
          <w:sz w:val="34"/>
          <w:szCs w:val="34"/>
          <w:rtl/>
          <w:lang w:val="fr-CH"/>
        </w:rPr>
        <w:t xml:space="preserve">متابعة </w:t>
      </w:r>
      <w:r w:rsidRPr="00E551B2">
        <w:rPr>
          <w:rFonts w:ascii="Arabic Typesetting" w:hAnsi="Arabic Typesetting" w:cs="Arabic Typesetting"/>
          <w:sz w:val="34"/>
          <w:szCs w:val="34"/>
          <w:rtl/>
          <w:lang w:val="fr-CH"/>
        </w:rPr>
        <w:t>تدفق وثائق</w:t>
      </w:r>
      <w:r w:rsidRPr="00E551B2">
        <w:rPr>
          <w:rFonts w:ascii="Arabic Typesetting" w:hAnsi="Arabic Typesetting" w:cs="Arabic Typesetting" w:hint="cs"/>
          <w:sz w:val="34"/>
          <w:szCs w:val="34"/>
          <w:rtl/>
          <w:lang w:val="fr-CH"/>
        </w:rPr>
        <w:t xml:space="preserve">ه </w:t>
      </w:r>
      <w:r w:rsidRPr="00E551B2">
        <w:rPr>
          <w:rFonts w:ascii="Arabic Typesetting" w:hAnsi="Arabic Typesetting" w:cs="Arabic Typesetting"/>
          <w:sz w:val="34"/>
          <w:szCs w:val="34"/>
          <w:rtl/>
          <w:lang w:val="fr-CH"/>
        </w:rPr>
        <w:t xml:space="preserve">لفائدة مكتب المدير العام، مع توفير روابط للاطلاع على الردود الناتجة ورصد التقدم المحرز لضمان اكتمال الرد وإرساله </w:t>
      </w:r>
      <w:r w:rsidRPr="00E551B2">
        <w:rPr>
          <w:rFonts w:ascii="Arabic Typesetting" w:hAnsi="Arabic Typesetting" w:cs="Arabic Typesetting" w:hint="cs"/>
          <w:sz w:val="34"/>
          <w:szCs w:val="34"/>
          <w:rtl/>
          <w:lang w:val="fr-CH"/>
        </w:rPr>
        <w:t>ضمن</w:t>
      </w:r>
      <w:r w:rsidRPr="00E551B2">
        <w:rPr>
          <w:rFonts w:ascii="Arabic Typesetting" w:hAnsi="Arabic Typesetting" w:cs="Arabic Typesetting"/>
          <w:sz w:val="34"/>
          <w:szCs w:val="34"/>
          <w:rtl/>
          <w:lang w:val="fr-CH"/>
        </w:rPr>
        <w:t xml:space="preserve"> الأطر الزمنية المناسبة.</w:t>
      </w:r>
    </w:p>
    <w:p w14:paraId="3E83E572" w14:textId="77777777" w:rsidR="00BD3831" w:rsidRPr="00E551B2" w:rsidRDefault="00BD3831" w:rsidP="0031289D">
      <w:pPr>
        <w:bidi/>
        <w:spacing w:after="240" w:line="340" w:lineRule="exact"/>
        <w:ind w:left="566"/>
        <w:rPr>
          <w:rFonts w:ascii="Arabic Typesetting" w:hAnsi="Arabic Typesetting" w:cs="Arabic Typesetting"/>
          <w:sz w:val="34"/>
          <w:szCs w:val="34"/>
          <w:rtl/>
          <w:lang w:val="fr-CH"/>
        </w:rPr>
      </w:pPr>
      <w:r w:rsidRPr="00E551B2">
        <w:rPr>
          <w:rFonts w:ascii="Arabic Typesetting" w:hAnsi="Arabic Typesetting" w:cs="Arabic Typesetting"/>
          <w:b/>
          <w:bCs/>
          <w:sz w:val="34"/>
          <w:szCs w:val="34"/>
          <w:rtl/>
          <w:lang w:val="fr-CH"/>
        </w:rPr>
        <w:t>الموارد البشرية (ملفات الموظفين الإلكترونية)</w:t>
      </w:r>
      <w:r w:rsidRPr="00E551B2">
        <w:rPr>
          <w:rFonts w:ascii="Arabic Typesetting" w:hAnsi="Arabic Typesetting" w:cs="Arabic Typesetting"/>
          <w:sz w:val="34"/>
          <w:szCs w:val="34"/>
          <w:rtl/>
          <w:lang w:val="fr-CH"/>
        </w:rPr>
        <w:t xml:space="preserve"> - إنشاء مجلدات موارد بشرية آمنة (قضايا) لكل موظف، بحيث تحتوي على وثائق وسجلات إلكترونية للموظف، مع إدراج نسخ إلكترونية </w:t>
      </w:r>
      <w:r w:rsidRPr="00E551B2">
        <w:rPr>
          <w:rFonts w:ascii="Arabic Typesetting" w:hAnsi="Arabic Typesetting" w:cs="Arabic Typesetting" w:hint="cs"/>
          <w:sz w:val="34"/>
          <w:szCs w:val="34"/>
          <w:rtl/>
          <w:lang w:val="fr-CH"/>
        </w:rPr>
        <w:t>مُعدة مُرقمنة</w:t>
      </w:r>
      <w:r w:rsidRPr="00E551B2">
        <w:rPr>
          <w:rFonts w:ascii="Arabic Typesetting" w:hAnsi="Arabic Typesetting" w:cs="Arabic Typesetting"/>
          <w:sz w:val="34"/>
          <w:szCs w:val="34"/>
          <w:rtl/>
          <w:lang w:val="fr-CH"/>
        </w:rPr>
        <w:t xml:space="preserve"> من السجلات الورقية </w:t>
      </w:r>
      <w:r w:rsidRPr="00E551B2">
        <w:rPr>
          <w:rFonts w:ascii="Arabic Typesetting" w:hAnsi="Arabic Typesetting" w:cs="Arabic Typesetting" w:hint="cs"/>
          <w:sz w:val="34"/>
          <w:szCs w:val="34"/>
          <w:rtl/>
          <w:lang w:val="fr-CH"/>
        </w:rPr>
        <w:t>الموجودة</w:t>
      </w:r>
      <w:r w:rsidRPr="00E551B2">
        <w:rPr>
          <w:rFonts w:ascii="Arabic Typesetting" w:hAnsi="Arabic Typesetting" w:cs="Arabic Typesetting"/>
          <w:sz w:val="34"/>
          <w:szCs w:val="34"/>
          <w:rtl/>
          <w:lang w:val="fr-CH"/>
        </w:rPr>
        <w:t xml:space="preserve"> (التصوير</w:t>
      </w:r>
      <w:r>
        <w:rPr>
          <w:rFonts w:ascii="Arabic Typesetting" w:hAnsi="Arabic Typesetting" w:cs="Arabic Typesetting"/>
          <w:sz w:val="34"/>
          <w:szCs w:val="34"/>
          <w:lang w:val="fr-CH"/>
        </w:rPr>
        <w:t> </w:t>
      </w:r>
      <w:r w:rsidRPr="00E551B2">
        <w:rPr>
          <w:rFonts w:ascii="Arabic Typesetting" w:hAnsi="Arabic Typesetting" w:cs="Arabic Typesetting"/>
          <w:sz w:val="34"/>
          <w:szCs w:val="34"/>
          <w:rtl/>
          <w:lang w:val="fr-CH"/>
        </w:rPr>
        <w:t>وال</w:t>
      </w:r>
      <w:r w:rsidRPr="00E551B2">
        <w:rPr>
          <w:rFonts w:ascii="Arabic Typesetting" w:hAnsi="Arabic Typesetting" w:cs="Arabic Typesetting" w:hint="cs"/>
          <w:sz w:val="34"/>
          <w:szCs w:val="34"/>
          <w:rtl/>
          <w:lang w:val="fr-CH"/>
        </w:rPr>
        <w:t>رقمنة</w:t>
      </w:r>
      <w:r w:rsidRPr="00E551B2">
        <w:rPr>
          <w:rFonts w:ascii="Arabic Typesetting" w:hAnsi="Arabic Typesetting" w:cs="Arabic Typesetting"/>
          <w:sz w:val="34"/>
          <w:szCs w:val="34"/>
          <w:rtl/>
          <w:lang w:val="fr-CH"/>
        </w:rPr>
        <w:t>). و</w:t>
      </w:r>
      <w:r w:rsidRPr="00E551B2">
        <w:rPr>
          <w:rFonts w:ascii="Arabic Typesetting" w:hAnsi="Arabic Typesetting" w:cs="Arabic Typesetting" w:hint="cs"/>
          <w:sz w:val="34"/>
          <w:szCs w:val="34"/>
          <w:rtl/>
          <w:lang w:val="fr-CH"/>
        </w:rPr>
        <w:t>سيتمكّن م</w:t>
      </w:r>
      <w:r w:rsidRPr="00E551B2">
        <w:rPr>
          <w:rFonts w:ascii="Arabic Typesetting" w:hAnsi="Arabic Typesetting" w:cs="Arabic Typesetting"/>
          <w:sz w:val="34"/>
          <w:szCs w:val="34"/>
          <w:rtl/>
          <w:lang w:val="fr-CH"/>
        </w:rPr>
        <w:t xml:space="preserve">وظفو إدارة الموارد البشرية </w:t>
      </w:r>
      <w:r w:rsidRPr="00E551B2">
        <w:rPr>
          <w:rFonts w:ascii="Arabic Typesetting" w:hAnsi="Arabic Typesetting" w:cs="Arabic Typesetting" w:hint="cs"/>
          <w:sz w:val="34"/>
          <w:szCs w:val="34"/>
          <w:rtl/>
          <w:lang w:val="fr-CH"/>
        </w:rPr>
        <w:t>من</w:t>
      </w:r>
      <w:r w:rsidRPr="00E551B2">
        <w:rPr>
          <w:rFonts w:ascii="Arabic Typesetting" w:hAnsi="Arabic Typesetting" w:cs="Arabic Typesetting"/>
          <w:sz w:val="34"/>
          <w:szCs w:val="34"/>
          <w:rtl/>
          <w:lang w:val="fr-CH"/>
        </w:rPr>
        <w:t xml:space="preserve"> البحث في الملفات الإلكترونية لتحديد الملفات المطلوبة واسترجاعها (البحث).</w:t>
      </w:r>
    </w:p>
    <w:p w14:paraId="65062BA4" w14:textId="77777777" w:rsidR="00BD3831" w:rsidRPr="00E551B2" w:rsidRDefault="00BD3831" w:rsidP="0031289D">
      <w:pPr>
        <w:bidi/>
        <w:spacing w:after="240" w:line="340" w:lineRule="exact"/>
        <w:ind w:left="566"/>
        <w:rPr>
          <w:rFonts w:ascii="Arabic Typesetting" w:hAnsi="Arabic Typesetting" w:cs="Arabic Typesetting"/>
          <w:sz w:val="34"/>
          <w:szCs w:val="34"/>
          <w:rtl/>
          <w:lang w:val="fr-CH"/>
        </w:rPr>
      </w:pPr>
      <w:r w:rsidRPr="00E551B2">
        <w:rPr>
          <w:rFonts w:ascii="Arabic Typesetting" w:hAnsi="Arabic Typesetting" w:cs="Arabic Typesetting"/>
          <w:b/>
          <w:bCs/>
          <w:sz w:val="34"/>
          <w:szCs w:val="34"/>
          <w:rtl/>
          <w:lang w:val="fr-CH"/>
        </w:rPr>
        <w:lastRenderedPageBreak/>
        <w:t>فعالية نظام إدارة المعلومات المؤسسية على مستوى المنظمة</w:t>
      </w:r>
      <w:r w:rsidRPr="00E551B2">
        <w:rPr>
          <w:rFonts w:ascii="Arabic Typesetting" w:hAnsi="Arabic Typesetting" w:cs="Arabic Typesetting"/>
          <w:sz w:val="34"/>
          <w:szCs w:val="34"/>
          <w:rtl/>
          <w:lang w:val="fr-CH"/>
        </w:rPr>
        <w:t xml:space="preserve"> - إدماج نظام إدارة المعلومات المؤسسية في الحواسيب المكتبية القياسية الخاصة بالويبو للسماح لجميع </w:t>
      </w:r>
      <w:r w:rsidRPr="00E551B2">
        <w:rPr>
          <w:rFonts w:ascii="Arabic Typesetting" w:hAnsi="Arabic Typesetting" w:cs="Arabic Typesetting" w:hint="cs"/>
          <w:sz w:val="34"/>
          <w:szCs w:val="34"/>
          <w:rtl/>
          <w:lang w:val="fr-CH"/>
        </w:rPr>
        <w:t>ال</w:t>
      </w:r>
      <w:r w:rsidRPr="00E551B2">
        <w:rPr>
          <w:rFonts w:ascii="Arabic Typesetting" w:hAnsi="Arabic Typesetting" w:cs="Arabic Typesetting"/>
          <w:sz w:val="34"/>
          <w:szCs w:val="34"/>
          <w:rtl/>
          <w:lang w:val="fr-CH"/>
        </w:rPr>
        <w:t>مستخدم</w:t>
      </w:r>
      <w:r w:rsidRPr="00E551B2">
        <w:rPr>
          <w:rFonts w:ascii="Arabic Typesetting" w:hAnsi="Arabic Typesetting" w:cs="Arabic Typesetting" w:hint="cs"/>
          <w:sz w:val="34"/>
          <w:szCs w:val="34"/>
          <w:rtl/>
          <w:lang w:val="fr-CH"/>
        </w:rPr>
        <w:t>ين في</w:t>
      </w:r>
      <w:r w:rsidRPr="00E551B2">
        <w:rPr>
          <w:rFonts w:ascii="Arabic Typesetting" w:hAnsi="Arabic Typesetting" w:cs="Arabic Typesetting"/>
          <w:sz w:val="34"/>
          <w:szCs w:val="34"/>
          <w:rtl/>
          <w:lang w:val="fr-CH"/>
        </w:rPr>
        <w:t xml:space="preserve"> الويبو بإجراء مهام إدارة الوثائق (التخزين والتصنيف والبحث والاسترجاع ومراقبة الإصدارات) </w:t>
      </w:r>
      <w:r w:rsidRPr="00E551B2">
        <w:rPr>
          <w:rFonts w:ascii="Arabic Typesetting" w:hAnsi="Arabic Typesetting" w:cs="Arabic Typesetting" w:hint="cs"/>
          <w:sz w:val="34"/>
          <w:szCs w:val="34"/>
          <w:rtl/>
          <w:lang w:val="fr-CH"/>
        </w:rPr>
        <w:t>فيما يخص</w:t>
      </w:r>
      <w:r w:rsidRPr="00E551B2">
        <w:rPr>
          <w:rFonts w:ascii="Arabic Typesetting" w:hAnsi="Arabic Typesetting" w:cs="Arabic Typesetting"/>
          <w:sz w:val="34"/>
          <w:szCs w:val="34"/>
          <w:rtl/>
          <w:lang w:val="fr-CH"/>
        </w:rPr>
        <w:t xml:space="preserve"> </w:t>
      </w:r>
      <w:r w:rsidRPr="00E551B2">
        <w:rPr>
          <w:rFonts w:ascii="Arabic Typesetting" w:hAnsi="Arabic Typesetting" w:cs="Arabic Typesetting" w:hint="cs"/>
          <w:sz w:val="34"/>
          <w:szCs w:val="34"/>
          <w:rtl/>
          <w:lang w:val="fr-CH"/>
        </w:rPr>
        <w:t>المحتويات التي ينشئها</w:t>
      </w:r>
      <w:r w:rsidRPr="00E551B2">
        <w:rPr>
          <w:rFonts w:ascii="Arabic Typesetting" w:hAnsi="Arabic Typesetting" w:cs="Arabic Typesetting"/>
          <w:sz w:val="34"/>
          <w:szCs w:val="34"/>
          <w:rtl/>
          <w:lang w:val="fr-CH"/>
        </w:rPr>
        <w:t xml:space="preserve"> المستخدم والوحدة والمنظمة. </w:t>
      </w:r>
      <w:r w:rsidRPr="00E551B2">
        <w:rPr>
          <w:rFonts w:ascii="Arabic Typesetting" w:hAnsi="Arabic Typesetting" w:cs="Arabic Typesetting" w:hint="cs"/>
          <w:sz w:val="34"/>
          <w:szCs w:val="34"/>
          <w:rtl/>
          <w:lang w:val="fr-CH"/>
        </w:rPr>
        <w:t>و</w:t>
      </w:r>
      <w:r w:rsidRPr="00E551B2">
        <w:rPr>
          <w:rFonts w:ascii="Arabic Typesetting" w:hAnsi="Arabic Typesetting" w:cs="Arabic Typesetting"/>
          <w:sz w:val="34"/>
          <w:szCs w:val="34"/>
          <w:rtl/>
          <w:lang w:val="fr-CH"/>
        </w:rPr>
        <w:t xml:space="preserve">سيشمل </w:t>
      </w:r>
      <w:r w:rsidRPr="00E551B2">
        <w:rPr>
          <w:rFonts w:ascii="Arabic Typesetting" w:hAnsi="Arabic Typesetting" w:cs="Arabic Typesetting" w:hint="cs"/>
          <w:sz w:val="34"/>
          <w:szCs w:val="34"/>
          <w:rtl/>
          <w:lang w:val="fr-CH"/>
        </w:rPr>
        <w:t xml:space="preserve">ذلك </w:t>
      </w:r>
      <w:r w:rsidRPr="00E551B2">
        <w:rPr>
          <w:rFonts w:ascii="Arabic Typesetting" w:hAnsi="Arabic Typesetting" w:cs="Arabic Typesetting"/>
          <w:sz w:val="34"/>
          <w:szCs w:val="34"/>
          <w:rtl/>
          <w:lang w:val="fr-CH"/>
        </w:rPr>
        <w:t xml:space="preserve">المحتوى </w:t>
      </w:r>
      <w:r w:rsidRPr="00E551B2">
        <w:rPr>
          <w:rFonts w:ascii="Arabic Typesetting" w:hAnsi="Arabic Typesetting" w:cs="Arabic Typesetting" w:hint="cs"/>
          <w:sz w:val="34"/>
          <w:szCs w:val="34"/>
          <w:rtl/>
          <w:lang w:val="fr-CH"/>
        </w:rPr>
        <w:t>ما</w:t>
      </w:r>
      <w:r w:rsidRPr="00E551B2">
        <w:rPr>
          <w:rFonts w:ascii="Arabic Typesetting" w:hAnsi="Arabic Typesetting" w:cs="Arabic Typesetting"/>
          <w:sz w:val="34"/>
          <w:szCs w:val="34"/>
          <w:rtl/>
          <w:lang w:val="fr-CH"/>
        </w:rPr>
        <w:t xml:space="preserve"> </w:t>
      </w:r>
      <w:r w:rsidRPr="00E551B2">
        <w:rPr>
          <w:rFonts w:ascii="Arabic Typesetting" w:hAnsi="Arabic Typesetting" w:cs="Arabic Typesetting" w:hint="cs"/>
          <w:sz w:val="34"/>
          <w:szCs w:val="34"/>
          <w:rtl/>
          <w:lang w:val="fr-CH"/>
        </w:rPr>
        <w:t>يُنشأ</w:t>
      </w:r>
      <w:r w:rsidRPr="00E551B2">
        <w:rPr>
          <w:rFonts w:ascii="Arabic Typesetting" w:hAnsi="Arabic Typesetting" w:cs="Arabic Typesetting"/>
          <w:sz w:val="34"/>
          <w:szCs w:val="34"/>
          <w:rtl/>
          <w:lang w:val="fr-CH"/>
        </w:rPr>
        <w:t xml:space="preserve"> من خلال الحواسيب المكتبية للمستخدمين مثل ملفات معالجة النصوص (ميكروسوفت وورد ووثائق</w:t>
      </w:r>
      <w:r w:rsidRPr="00E551B2">
        <w:rPr>
          <w:rFonts w:ascii="Arabic Typesetting" w:hAnsi="Arabic Typesetting" w:cs="Arabic Typesetting" w:hint="cs"/>
          <w:sz w:val="34"/>
          <w:szCs w:val="34"/>
          <w:rtl/>
          <w:lang w:val="fr-CH"/>
        </w:rPr>
        <w:t> </w:t>
      </w:r>
      <w:r w:rsidRPr="00E551B2">
        <w:rPr>
          <w:rFonts w:ascii="Arabic Typesetting" w:hAnsi="Arabic Typesetting" w:cs="Arabic Typesetting"/>
          <w:sz w:val="34"/>
          <w:szCs w:val="34"/>
          <w:lang w:val="fr-CH"/>
        </w:rPr>
        <w:t>PDF</w:t>
      </w:r>
      <w:r w:rsidRPr="00E551B2">
        <w:rPr>
          <w:rFonts w:ascii="Arabic Typesetting" w:hAnsi="Arabic Typesetting" w:cs="Arabic Typesetting"/>
          <w:sz w:val="34"/>
          <w:szCs w:val="34"/>
          <w:rtl/>
          <w:lang w:val="fr-CH"/>
        </w:rPr>
        <w:t>) وجداول البيانات (مثل مايكروسوفت إكسل) والعروض التقديمية (مثل مايكروسوفت باور بوينت) والرسوم البيانية (مثل</w:t>
      </w:r>
      <w:r w:rsidRPr="00E551B2">
        <w:rPr>
          <w:rFonts w:ascii="Arabic Typesetting" w:hAnsi="Arabic Typesetting" w:cs="Arabic Typesetting" w:hint="cs"/>
          <w:sz w:val="34"/>
          <w:szCs w:val="34"/>
          <w:rtl/>
          <w:lang w:val="fr-CH"/>
        </w:rPr>
        <w:t> </w:t>
      </w:r>
      <w:r w:rsidRPr="00E551B2">
        <w:rPr>
          <w:rFonts w:ascii="Arabic Typesetting" w:hAnsi="Arabic Typesetting" w:cs="Arabic Typesetting"/>
          <w:sz w:val="34"/>
          <w:szCs w:val="34"/>
          <w:rtl/>
          <w:lang w:val="fr-CH"/>
        </w:rPr>
        <w:t>مايكروسوفت فيزيو) وخطط المشروعات (مثل مايكروسوفت بروجكت) المرسلة عبر البريد الإلكتروني.</w:t>
      </w:r>
    </w:p>
    <w:p w14:paraId="38C51BA1" w14:textId="77777777" w:rsidR="00BD3831" w:rsidRPr="00E551B2" w:rsidRDefault="00BD3831" w:rsidP="0031289D">
      <w:pPr>
        <w:keepNext/>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 xml:space="preserve">استعراض التقدم المحرز في </w:t>
      </w:r>
      <w:r>
        <w:rPr>
          <w:rFonts w:ascii="Arabic Typesetting" w:hAnsi="Arabic Typesetting" w:cs="Arabic Typesetting" w:hint="cs"/>
          <w:sz w:val="34"/>
          <w:szCs w:val="34"/>
          <w:rtl/>
          <w:lang w:val="fr-CH"/>
        </w:rPr>
        <w:t>2016</w:t>
      </w:r>
      <w:r w:rsidRPr="00E551B2">
        <w:rPr>
          <w:rFonts w:ascii="Arabic Typesetting" w:hAnsi="Arabic Typesetting" w:cs="Arabic Typesetting"/>
          <w:sz w:val="34"/>
          <w:szCs w:val="34"/>
          <w:rtl/>
          <w:lang w:val="fr-CH"/>
        </w:rPr>
        <w:t xml:space="preserve"> (المعالم الرئيسية)</w:t>
      </w:r>
    </w:p>
    <w:p w14:paraId="7CC1BC49" w14:textId="77777777" w:rsidR="00BD3831" w:rsidRPr="00E551B2" w:rsidRDefault="00BD3831" w:rsidP="0031289D">
      <w:pPr>
        <w:keepNext/>
        <w:numPr>
          <w:ilvl w:val="0"/>
          <w:numId w:val="48"/>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hint="cs"/>
          <w:sz w:val="34"/>
          <w:szCs w:val="34"/>
          <w:rtl/>
        </w:rPr>
        <w:t xml:space="preserve">في عام </w:t>
      </w:r>
      <w:r>
        <w:rPr>
          <w:rFonts w:ascii="Arabic Typesetting" w:hAnsi="Arabic Typesetting" w:cs="Arabic Typesetting" w:hint="cs"/>
          <w:sz w:val="34"/>
          <w:szCs w:val="34"/>
          <w:rtl/>
        </w:rPr>
        <w:t>2016</w:t>
      </w:r>
      <w:r w:rsidRPr="00E551B2">
        <w:rPr>
          <w:rFonts w:ascii="Arabic Typesetting" w:hAnsi="Arabic Typesetting" w:cs="Arabic Typesetting" w:hint="cs"/>
          <w:sz w:val="34"/>
          <w:szCs w:val="34"/>
          <w:rtl/>
        </w:rPr>
        <w:t>، أحرز التقدم التالي:</w:t>
      </w:r>
    </w:p>
    <w:p w14:paraId="2F6143B1" w14:textId="77777777" w:rsidR="00BD3831" w:rsidRPr="000354AE" w:rsidRDefault="00BD3831" w:rsidP="0031289D">
      <w:pPr>
        <w:numPr>
          <w:ilvl w:val="0"/>
          <w:numId w:val="55"/>
        </w:numPr>
        <w:bidi/>
        <w:spacing w:after="240" w:line="340" w:lineRule="exact"/>
        <w:ind w:left="1134" w:hanging="567"/>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استكمال المشتريات</w:t>
      </w:r>
      <w:r w:rsidRPr="000354AE">
        <w:rPr>
          <w:rFonts w:ascii="Arabic Typesetting" w:hAnsi="Arabic Typesetting" w:cs="Arabic Typesetting" w:hint="cs"/>
          <w:sz w:val="34"/>
          <w:szCs w:val="34"/>
          <w:rtl/>
          <w:lang w:val="fr-CH"/>
        </w:rPr>
        <w:t xml:space="preserve"> المتعلقة </w:t>
      </w:r>
      <w:r>
        <w:rPr>
          <w:rFonts w:ascii="Arabic Typesetting" w:hAnsi="Arabic Typesetting" w:cs="Arabic Typesetting" w:hint="cs"/>
          <w:sz w:val="34"/>
          <w:szCs w:val="34"/>
          <w:rtl/>
          <w:lang w:val="fr-CH"/>
        </w:rPr>
        <w:t xml:space="preserve">بطلب الحصول على </w:t>
      </w:r>
      <w:r>
        <w:rPr>
          <w:rFonts w:ascii="Arabic Typesetting" w:hAnsi="Arabic Typesetting" w:cs="Arabic Typesetting" w:hint="cs"/>
          <w:sz w:val="34"/>
          <w:szCs w:val="34"/>
          <w:rtl/>
          <w:lang w:val="fr-CH" w:bidi="ar-EG"/>
        </w:rPr>
        <w:t>ال</w:t>
      </w:r>
      <w:r>
        <w:rPr>
          <w:rFonts w:ascii="Arabic Typesetting" w:hAnsi="Arabic Typesetting" w:cs="Arabic Typesetting" w:hint="cs"/>
          <w:sz w:val="34"/>
          <w:szCs w:val="34"/>
          <w:rtl/>
          <w:lang w:val="fr-CH"/>
        </w:rPr>
        <w:t>معلومات</w:t>
      </w:r>
      <w:r w:rsidRPr="000354AE">
        <w:rPr>
          <w:rFonts w:ascii="Arabic Typesetting" w:hAnsi="Arabic Typesetting" w:cs="Arabic Typesetting" w:hint="cs"/>
          <w:sz w:val="34"/>
          <w:szCs w:val="34"/>
          <w:rtl/>
          <w:lang w:val="fr-CH"/>
        </w:rPr>
        <w:t xml:space="preserve"> للاستعانة </w:t>
      </w:r>
      <w:r>
        <w:rPr>
          <w:rFonts w:ascii="Arabic Typesetting" w:hAnsi="Arabic Typesetting" w:cs="Arabic Typesetting" w:hint="cs"/>
          <w:sz w:val="34"/>
          <w:szCs w:val="34"/>
          <w:rtl/>
          <w:lang w:val="fr-CH"/>
        </w:rPr>
        <w:t>ببائع لتوفير</w:t>
      </w:r>
      <w:r w:rsidRPr="000354AE">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 xml:space="preserve">خدمات </w:t>
      </w:r>
      <w:r w:rsidRPr="000354AE">
        <w:rPr>
          <w:rFonts w:ascii="Arabic Typesetting" w:hAnsi="Arabic Typesetting" w:cs="Arabic Typesetting" w:hint="cs"/>
          <w:sz w:val="34"/>
          <w:szCs w:val="34"/>
          <w:rtl/>
          <w:lang w:val="fr-CH"/>
        </w:rPr>
        <w:t xml:space="preserve">تصميم </w:t>
      </w:r>
      <w:r>
        <w:rPr>
          <w:rFonts w:ascii="Arabic Typesetting" w:hAnsi="Arabic Typesetting" w:cs="Arabic Typesetting" w:hint="cs"/>
          <w:sz w:val="34"/>
          <w:szCs w:val="34"/>
          <w:rtl/>
          <w:lang w:val="fr-CH"/>
        </w:rPr>
        <w:t>وتكوين</w:t>
      </w:r>
      <w:r w:rsidRPr="000354AE">
        <w:rPr>
          <w:rFonts w:ascii="Arabic Typesetting" w:hAnsi="Arabic Typesetting" w:cs="Arabic Typesetting" w:hint="cs"/>
          <w:sz w:val="34"/>
          <w:szCs w:val="34"/>
          <w:rtl/>
          <w:lang w:val="fr-CH"/>
        </w:rPr>
        <w:t xml:space="preserve"> وتنفيذ</w:t>
      </w:r>
      <w:r>
        <w:rPr>
          <w:rFonts w:ascii="Arabic Typesetting" w:hAnsi="Arabic Typesetting" w:cs="Arabic Typesetting" w:hint="eastAsia"/>
          <w:sz w:val="34"/>
          <w:szCs w:val="34"/>
          <w:rtl/>
          <w:lang w:val="fr-CH"/>
        </w:rPr>
        <w:t> </w:t>
      </w:r>
      <w:r w:rsidRPr="000354AE">
        <w:rPr>
          <w:rFonts w:ascii="Arabic Typesetting" w:hAnsi="Arabic Typesetting" w:cs="Arabic Typesetting" w:hint="cs"/>
          <w:sz w:val="34"/>
          <w:szCs w:val="34"/>
          <w:rtl/>
          <w:lang w:val="fr-CH"/>
        </w:rPr>
        <w:t xml:space="preserve">ودعم. </w:t>
      </w:r>
      <w:r>
        <w:rPr>
          <w:rFonts w:ascii="Arabic Typesetting" w:hAnsi="Arabic Typesetting" w:cs="Arabic Typesetting" w:hint="cs"/>
          <w:sz w:val="34"/>
          <w:szCs w:val="34"/>
          <w:rtl/>
          <w:lang w:val="fr-CH"/>
        </w:rPr>
        <w:t xml:space="preserve">ووُجِّه طلب الحصول على المعلومات </w:t>
      </w:r>
      <w:r w:rsidRPr="000354AE">
        <w:rPr>
          <w:rFonts w:ascii="Arabic Typesetting" w:hAnsi="Arabic Typesetting" w:cs="Arabic Typesetting" w:hint="cs"/>
          <w:sz w:val="34"/>
          <w:szCs w:val="34"/>
          <w:rtl/>
          <w:lang w:val="fr-CH"/>
        </w:rPr>
        <w:t xml:space="preserve">في الفصل الأول من عام 2016 وأُبرم العقد مع </w:t>
      </w:r>
      <w:r>
        <w:rPr>
          <w:rFonts w:ascii="Arabic Typesetting" w:hAnsi="Arabic Typesetting" w:cs="Arabic Typesetting" w:hint="cs"/>
          <w:sz w:val="34"/>
          <w:szCs w:val="34"/>
          <w:rtl/>
          <w:lang w:val="fr-CH"/>
        </w:rPr>
        <w:t>البائع</w:t>
      </w:r>
      <w:r w:rsidRPr="000354AE">
        <w:rPr>
          <w:rFonts w:ascii="Arabic Typesetting" w:hAnsi="Arabic Typesetting" w:cs="Arabic Typesetting" w:hint="cs"/>
          <w:sz w:val="34"/>
          <w:szCs w:val="34"/>
          <w:rtl/>
          <w:lang w:val="fr-CH"/>
        </w:rPr>
        <w:t xml:space="preserve"> الناجح في</w:t>
      </w:r>
      <w:r>
        <w:rPr>
          <w:rFonts w:ascii="Arabic Typesetting" w:hAnsi="Arabic Typesetting" w:cs="Arabic Typesetting" w:hint="eastAsia"/>
          <w:sz w:val="34"/>
          <w:szCs w:val="34"/>
          <w:rtl/>
          <w:lang w:val="fr-CH"/>
        </w:rPr>
        <w:t> </w:t>
      </w:r>
      <w:r w:rsidRPr="000354AE">
        <w:rPr>
          <w:rFonts w:ascii="Arabic Typesetting" w:hAnsi="Arabic Typesetting" w:cs="Arabic Typesetting" w:hint="cs"/>
          <w:sz w:val="34"/>
          <w:szCs w:val="34"/>
          <w:rtl/>
          <w:lang w:val="fr-CH"/>
        </w:rPr>
        <w:t>يوليو</w:t>
      </w:r>
      <w:r>
        <w:rPr>
          <w:rFonts w:ascii="Arabic Typesetting" w:hAnsi="Arabic Typesetting" w:cs="Arabic Typesetting" w:hint="eastAsia"/>
          <w:sz w:val="34"/>
          <w:szCs w:val="34"/>
          <w:rtl/>
          <w:lang w:val="fr-CH"/>
        </w:rPr>
        <w:t> </w:t>
      </w:r>
      <w:r w:rsidRPr="000354AE">
        <w:rPr>
          <w:rFonts w:ascii="Arabic Typesetting" w:hAnsi="Arabic Typesetting" w:cs="Arabic Typesetting" w:hint="cs"/>
          <w:sz w:val="34"/>
          <w:szCs w:val="34"/>
          <w:rtl/>
          <w:lang w:val="fr-CH"/>
        </w:rPr>
        <w:t>2016؛</w:t>
      </w:r>
    </w:p>
    <w:p w14:paraId="416EAADA" w14:textId="77777777" w:rsidR="00BD3831" w:rsidRPr="000354AE" w:rsidRDefault="00BD3831" w:rsidP="0031289D">
      <w:pPr>
        <w:numPr>
          <w:ilvl w:val="0"/>
          <w:numId w:val="55"/>
        </w:numPr>
        <w:bidi/>
        <w:spacing w:after="240" w:line="340" w:lineRule="exact"/>
        <w:ind w:left="1134" w:hanging="567"/>
        <w:rPr>
          <w:rFonts w:ascii="Arabic Typesetting" w:hAnsi="Arabic Typesetting" w:cs="Arabic Typesetting"/>
          <w:sz w:val="34"/>
          <w:szCs w:val="34"/>
          <w:rtl/>
          <w:lang w:val="fr-CH"/>
        </w:rPr>
      </w:pPr>
      <w:r w:rsidRPr="000354AE">
        <w:rPr>
          <w:rFonts w:ascii="Arabic Typesetting" w:hAnsi="Arabic Typesetting" w:cs="Arabic Typesetting" w:hint="cs"/>
          <w:sz w:val="34"/>
          <w:szCs w:val="34"/>
          <w:rtl/>
          <w:lang w:val="fr-CH"/>
        </w:rPr>
        <w:t xml:space="preserve">اختيار وتعيين مدير مشروع إدارة </w:t>
      </w:r>
      <w:r>
        <w:rPr>
          <w:rFonts w:ascii="Arabic Typesetting" w:hAnsi="Arabic Typesetting" w:cs="Arabic Typesetting" w:hint="cs"/>
          <w:sz w:val="34"/>
          <w:szCs w:val="34"/>
          <w:rtl/>
          <w:lang w:val="fr-CH"/>
        </w:rPr>
        <w:t>المعلومات</w:t>
      </w:r>
      <w:r w:rsidRPr="000354AE">
        <w:rPr>
          <w:rFonts w:ascii="Arabic Typesetting" w:hAnsi="Arabic Typesetting" w:cs="Arabic Typesetting" w:hint="cs"/>
          <w:sz w:val="34"/>
          <w:szCs w:val="34"/>
          <w:rtl/>
          <w:lang w:val="fr-CH"/>
        </w:rPr>
        <w:t xml:space="preserve"> المؤسسية في مارس 2016؛</w:t>
      </w:r>
    </w:p>
    <w:p w14:paraId="4D9D46F5" w14:textId="77777777" w:rsidR="00BD3831" w:rsidRPr="000354AE" w:rsidRDefault="00BD3831" w:rsidP="0031289D">
      <w:pPr>
        <w:numPr>
          <w:ilvl w:val="0"/>
          <w:numId w:val="55"/>
        </w:numPr>
        <w:bidi/>
        <w:spacing w:after="240" w:line="340" w:lineRule="exact"/>
        <w:ind w:left="1134" w:hanging="567"/>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استكمال</w:t>
      </w:r>
      <w:r w:rsidRPr="000354AE">
        <w:rPr>
          <w:rFonts w:ascii="Arabic Typesetting" w:hAnsi="Arabic Typesetting" w:cs="Arabic Typesetting" w:hint="cs"/>
          <w:sz w:val="34"/>
          <w:szCs w:val="34"/>
          <w:rtl/>
          <w:lang w:val="fr-CH"/>
        </w:rPr>
        <w:t xml:space="preserve"> التخطيط المفصَّل لتحديد نظام إدارة </w:t>
      </w:r>
      <w:r>
        <w:rPr>
          <w:rFonts w:ascii="Arabic Typesetting" w:hAnsi="Arabic Typesetting" w:cs="Arabic Typesetting" w:hint="cs"/>
          <w:sz w:val="34"/>
          <w:szCs w:val="34"/>
          <w:rtl/>
          <w:lang w:val="fr-CH"/>
        </w:rPr>
        <w:t>المعلومات المؤسسية</w:t>
      </w:r>
      <w:r w:rsidRPr="000354AE">
        <w:rPr>
          <w:rFonts w:ascii="Arabic Typesetting" w:hAnsi="Arabic Typesetting" w:cs="Arabic Typesetting" w:hint="cs"/>
          <w:sz w:val="34"/>
          <w:szCs w:val="34"/>
          <w:rtl/>
          <w:lang w:val="fr-CH"/>
        </w:rPr>
        <w:t xml:space="preserve"> وتصميمه وتنفيذه مع </w:t>
      </w:r>
      <w:r>
        <w:rPr>
          <w:rFonts w:ascii="Arabic Typesetting" w:hAnsi="Arabic Typesetting" w:cs="Arabic Typesetting" w:hint="cs"/>
          <w:sz w:val="34"/>
          <w:szCs w:val="34"/>
          <w:rtl/>
          <w:lang w:val="fr-CH"/>
        </w:rPr>
        <w:t>البائع</w:t>
      </w:r>
      <w:r w:rsidRPr="000354AE">
        <w:rPr>
          <w:rFonts w:ascii="Arabic Typesetting" w:hAnsi="Arabic Typesetting" w:cs="Arabic Typesetting" w:hint="cs"/>
          <w:sz w:val="34"/>
          <w:szCs w:val="34"/>
          <w:rtl/>
          <w:lang w:val="fr-CH"/>
        </w:rPr>
        <w:t xml:space="preserve"> المعيَّن، مما أدى إلى إعادة ترتيب طفيف في أولويات "مشاريع </w:t>
      </w:r>
      <w:r>
        <w:rPr>
          <w:rFonts w:ascii="Arabic Typesetting" w:hAnsi="Arabic Typesetting" w:cs="Arabic Typesetting" w:hint="cs"/>
          <w:sz w:val="34"/>
          <w:szCs w:val="34"/>
          <w:rtl/>
          <w:lang w:val="fr-CH"/>
        </w:rPr>
        <w:t>المكاسب</w:t>
      </w:r>
      <w:r w:rsidRPr="000354AE">
        <w:rPr>
          <w:rFonts w:ascii="Arabic Typesetting" w:hAnsi="Arabic Typesetting" w:cs="Arabic Typesetting" w:hint="cs"/>
          <w:sz w:val="34"/>
          <w:szCs w:val="34"/>
          <w:rtl/>
          <w:lang w:val="fr-CH"/>
        </w:rPr>
        <w:t xml:space="preserve"> المبكر</w:t>
      </w:r>
      <w:r>
        <w:rPr>
          <w:rFonts w:ascii="Arabic Typesetting" w:hAnsi="Arabic Typesetting" w:cs="Arabic Typesetting" w:hint="cs"/>
          <w:sz w:val="34"/>
          <w:szCs w:val="34"/>
          <w:rtl/>
          <w:lang w:val="fr-CH"/>
        </w:rPr>
        <w:t>ة</w:t>
      </w:r>
      <w:r w:rsidRPr="000354AE">
        <w:rPr>
          <w:rFonts w:ascii="Arabic Typesetting" w:hAnsi="Arabic Typesetting" w:cs="Arabic Typesetting" w:hint="cs"/>
          <w:sz w:val="34"/>
          <w:szCs w:val="34"/>
          <w:rtl/>
          <w:lang w:val="fr-CH"/>
        </w:rPr>
        <w:t>"؛</w:t>
      </w:r>
    </w:p>
    <w:p w14:paraId="25B81613" w14:textId="77777777" w:rsidR="00BD3831" w:rsidRPr="000354AE" w:rsidRDefault="00BD3831" w:rsidP="0031289D">
      <w:pPr>
        <w:numPr>
          <w:ilvl w:val="0"/>
          <w:numId w:val="55"/>
        </w:numPr>
        <w:bidi/>
        <w:spacing w:after="240" w:line="340" w:lineRule="exact"/>
        <w:ind w:left="1134" w:hanging="567"/>
        <w:rPr>
          <w:rFonts w:ascii="Arabic Typesetting" w:hAnsi="Arabic Typesetting" w:cs="Arabic Typesetting"/>
          <w:sz w:val="34"/>
          <w:szCs w:val="34"/>
          <w:rtl/>
          <w:lang w:val="fr-CH"/>
        </w:rPr>
      </w:pPr>
      <w:r w:rsidRPr="000354AE">
        <w:rPr>
          <w:rFonts w:ascii="Arabic Typesetting" w:hAnsi="Arabic Typesetting" w:cs="Arabic Typesetting" w:hint="cs"/>
          <w:sz w:val="34"/>
          <w:szCs w:val="34"/>
          <w:rtl/>
          <w:lang w:val="fr-CH"/>
        </w:rPr>
        <w:t xml:space="preserve">تقديم المواصفات والتصميم الخاصين ببيئات القبول والإنتاج في أكتوبر 2016 واستهل بناء هيكل إدارة </w:t>
      </w:r>
      <w:r>
        <w:rPr>
          <w:rFonts w:ascii="Arabic Typesetting" w:hAnsi="Arabic Typesetting" w:cs="Arabic Typesetting" w:hint="cs"/>
          <w:sz w:val="34"/>
          <w:szCs w:val="34"/>
          <w:rtl/>
          <w:lang w:val="fr-CH"/>
        </w:rPr>
        <w:t>المعلومات المؤسسية القائم على</w:t>
      </w:r>
      <w:r w:rsidRPr="000354AE">
        <w:rPr>
          <w:rFonts w:ascii="Arabic Typesetting" w:hAnsi="Arabic Typesetting" w:cs="Arabic Typesetting" w:hint="cs"/>
          <w:sz w:val="34"/>
          <w:szCs w:val="34"/>
          <w:rtl/>
          <w:lang w:val="fr-CH"/>
        </w:rPr>
        <w:t xml:space="preserve"> تكنولوجيا المعلومات والاتصالات في نوفمبر 2016.</w:t>
      </w:r>
    </w:p>
    <w:p w14:paraId="22338E0D" w14:textId="77777777" w:rsidR="00BD3831" w:rsidRDefault="00BD3831" w:rsidP="0031289D">
      <w:pPr>
        <w:bidi/>
        <w:spacing w:after="240" w:line="340" w:lineRule="exact"/>
        <w:ind w:left="566"/>
        <w:rPr>
          <w:rFonts w:cs="Arabic Typesetting"/>
          <w:b/>
          <w:sz w:val="20"/>
          <w:szCs w:val="36"/>
          <w:rtl/>
          <w:lang w:bidi="ar-EG"/>
        </w:rPr>
      </w:pPr>
      <w:r w:rsidRPr="000354AE">
        <w:rPr>
          <w:rFonts w:cs="Arabic Typesetting" w:hint="cs"/>
          <w:b/>
          <w:sz w:val="20"/>
          <w:szCs w:val="36"/>
          <w:rtl/>
          <w:lang w:bidi="ar-EG"/>
        </w:rPr>
        <w:t>واستغرق</w:t>
      </w:r>
      <w:r>
        <w:rPr>
          <w:rFonts w:cs="Arabic Typesetting" w:hint="cs"/>
          <w:b/>
          <w:sz w:val="20"/>
          <w:szCs w:val="36"/>
          <w:rtl/>
          <w:lang w:bidi="ar-EG"/>
        </w:rPr>
        <w:t>ت عملية</w:t>
      </w:r>
      <w:r w:rsidRPr="000354AE">
        <w:rPr>
          <w:rFonts w:cs="Arabic Typesetting" w:hint="cs"/>
          <w:b/>
          <w:sz w:val="20"/>
          <w:szCs w:val="36"/>
          <w:rtl/>
          <w:lang w:bidi="ar-EG"/>
        </w:rPr>
        <w:t xml:space="preserve"> اختيار وتعيين </w:t>
      </w:r>
      <w:r>
        <w:rPr>
          <w:rFonts w:cs="Arabic Typesetting" w:hint="cs"/>
          <w:b/>
          <w:sz w:val="20"/>
          <w:szCs w:val="36"/>
          <w:rtl/>
          <w:lang w:bidi="ar-EG"/>
        </w:rPr>
        <w:t>البائع</w:t>
      </w:r>
      <w:r w:rsidRPr="000354AE">
        <w:rPr>
          <w:rFonts w:cs="Arabic Typesetting" w:hint="cs"/>
          <w:b/>
          <w:sz w:val="20"/>
          <w:szCs w:val="36"/>
          <w:rtl/>
          <w:lang w:bidi="ar-EG"/>
        </w:rPr>
        <w:t xml:space="preserve"> </w:t>
      </w:r>
      <w:r w:rsidRPr="00492E91">
        <w:rPr>
          <w:rFonts w:cs="Arabic Typesetting"/>
          <w:b/>
          <w:sz w:val="20"/>
          <w:szCs w:val="36"/>
          <w:rtl/>
          <w:lang w:bidi="ar-EG"/>
        </w:rPr>
        <w:t>فترة أطول من المتوقّع مما أسفر عن تأخير في الجدول الزمني للمشروع. ومن</w:t>
      </w:r>
      <w:r>
        <w:rPr>
          <w:rFonts w:cs="Arabic Typesetting" w:hint="cs"/>
          <w:b/>
          <w:sz w:val="20"/>
          <w:szCs w:val="36"/>
          <w:rtl/>
          <w:lang w:bidi="ar-EG"/>
        </w:rPr>
        <w:t> </w:t>
      </w:r>
      <w:r w:rsidRPr="00492E91">
        <w:rPr>
          <w:rFonts w:cs="Arabic Typesetting"/>
          <w:b/>
          <w:sz w:val="20"/>
          <w:szCs w:val="36"/>
          <w:rtl/>
          <w:lang w:bidi="ar-EG"/>
        </w:rPr>
        <w:t xml:space="preserve">ثم، عدِّل </w:t>
      </w:r>
      <w:r>
        <w:rPr>
          <w:rFonts w:cs="Arabic Typesetting" w:hint="cs"/>
          <w:b/>
          <w:sz w:val="20"/>
          <w:szCs w:val="36"/>
          <w:rtl/>
          <w:lang w:bidi="ar-EG"/>
        </w:rPr>
        <w:t>جدول تحقيق المنافع و</w:t>
      </w:r>
      <w:r w:rsidRPr="00492E91">
        <w:rPr>
          <w:rFonts w:cs="Arabic Typesetting"/>
          <w:b/>
          <w:sz w:val="20"/>
          <w:szCs w:val="36"/>
          <w:rtl/>
          <w:lang w:bidi="ar-EG"/>
        </w:rPr>
        <w:t>الجدول الزمني.</w:t>
      </w:r>
    </w:p>
    <w:p w14:paraId="2EDD5693" w14:textId="77777777" w:rsidR="00BD3831" w:rsidRPr="00E551B2" w:rsidRDefault="00BD3831" w:rsidP="0031289D">
      <w:pPr>
        <w:keepNext/>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تحقيق المنافع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9"/>
        <w:gridCol w:w="4942"/>
      </w:tblGrid>
      <w:tr w:rsidR="00BD3831" w:rsidRPr="00E551B2" w14:paraId="227E880C" w14:textId="77777777" w:rsidTr="00DF6715">
        <w:trPr>
          <w:cantSplit/>
          <w:trHeight w:val="314"/>
          <w:tblHeader/>
          <w:jc w:val="center"/>
        </w:trPr>
        <w:tc>
          <w:tcPr>
            <w:tcW w:w="2418" w:type="pct"/>
            <w:shd w:val="clear" w:color="auto" w:fill="C6D9F1"/>
            <w:vAlign w:val="center"/>
          </w:tcPr>
          <w:p w14:paraId="7C4F14AC" w14:textId="77777777" w:rsidR="00BD3831" w:rsidRPr="00E551B2" w:rsidRDefault="00BD3831" w:rsidP="0031289D">
            <w:pPr>
              <w:bidi/>
              <w:spacing w:line="28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المنافع المتوقعة 2017</w:t>
            </w:r>
          </w:p>
        </w:tc>
        <w:tc>
          <w:tcPr>
            <w:tcW w:w="2582" w:type="pct"/>
            <w:shd w:val="clear" w:color="auto" w:fill="C6D9F1"/>
            <w:vAlign w:val="center"/>
          </w:tcPr>
          <w:p w14:paraId="00D9116F" w14:textId="77777777" w:rsidR="00BD3831" w:rsidRPr="00E551B2" w:rsidRDefault="00BD3831" w:rsidP="0031289D">
            <w:pPr>
              <w:bidi/>
              <w:spacing w:line="28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 xml:space="preserve">المنافع المتوقعة </w:t>
            </w:r>
            <w:r w:rsidRPr="00E551B2">
              <w:rPr>
                <w:rFonts w:ascii="Arabic Typesetting" w:hAnsi="Arabic Typesetting" w:cs="Arabic Typesetting" w:hint="cs"/>
                <w:bCs/>
                <w:sz w:val="28"/>
                <w:szCs w:val="28"/>
                <w:rtl/>
                <w:lang w:bidi="ar-EG"/>
              </w:rPr>
              <w:t>2018</w:t>
            </w:r>
          </w:p>
        </w:tc>
      </w:tr>
      <w:tr w:rsidR="00BD3831" w:rsidRPr="00E551B2" w14:paraId="0D2E7145" w14:textId="77777777" w:rsidTr="00DF6715">
        <w:trPr>
          <w:cantSplit/>
          <w:trHeight w:val="564"/>
          <w:jc w:val="center"/>
        </w:trPr>
        <w:tc>
          <w:tcPr>
            <w:tcW w:w="2418" w:type="pct"/>
          </w:tcPr>
          <w:p w14:paraId="6B35FB17" w14:textId="77777777" w:rsidR="00BD3831" w:rsidRPr="00FE1DBC" w:rsidRDefault="00BD3831" w:rsidP="0031289D">
            <w:pPr>
              <w:bidi/>
              <w:rPr>
                <w:rFonts w:ascii="Arabic Typesetting" w:hAnsi="Arabic Typesetting" w:cs="Arabic Typesetting"/>
                <w:b/>
                <w:bCs/>
                <w:i/>
                <w:iCs/>
                <w:sz w:val="28"/>
                <w:szCs w:val="28"/>
              </w:rPr>
            </w:pPr>
            <w:r w:rsidRPr="00FE1DBC">
              <w:rPr>
                <w:rFonts w:ascii="Arabic Typesetting" w:hAnsi="Arabic Typesetting" w:cs="Arabic Typesetting"/>
                <w:b/>
                <w:bCs/>
                <w:i/>
                <w:iCs/>
                <w:sz w:val="28"/>
                <w:szCs w:val="28"/>
                <w:rtl/>
              </w:rPr>
              <w:t>بعد تحسين نظام السجلات والمحفوظات:</w:t>
            </w:r>
          </w:p>
          <w:p w14:paraId="10EE98AF" w14:textId="77777777" w:rsidR="00BD3831" w:rsidRPr="00FE1DBC" w:rsidRDefault="00BD3831" w:rsidP="0031289D">
            <w:pPr>
              <w:bidi/>
              <w:spacing w:after="120"/>
              <w:rPr>
                <w:rFonts w:ascii="Arabic Typesetting" w:hAnsi="Arabic Typesetting" w:cs="Arabic Typesetting"/>
                <w:sz w:val="28"/>
                <w:szCs w:val="28"/>
              </w:rPr>
            </w:pPr>
            <w:r w:rsidRPr="00FE1DBC">
              <w:rPr>
                <w:rFonts w:ascii="Arabic Typesetting" w:hAnsi="Arabic Typesetting" w:cs="Arabic Typesetting"/>
                <w:sz w:val="28"/>
                <w:szCs w:val="28"/>
                <w:rtl/>
              </w:rPr>
              <w:t>سيكون "المكسب المبكر" زيادة كفاءة الإجراءات الخاصة برقمنة الوثائق، بما في ذلك تلك الخاصة برقمنة البريد الوارد، مما يؤدي إلى تخفيض وقت العمل المطلوب من الموظفين.</w:t>
            </w:r>
          </w:p>
          <w:p w14:paraId="2C641C0F" w14:textId="77777777" w:rsidR="00BD3831" w:rsidRPr="00FE1DBC" w:rsidRDefault="00BD3831" w:rsidP="0031289D">
            <w:pPr>
              <w:bidi/>
              <w:rPr>
                <w:rFonts w:ascii="Arabic Typesetting" w:hAnsi="Arabic Typesetting" w:cs="Arabic Typesetting"/>
                <w:sz w:val="28"/>
                <w:szCs w:val="28"/>
              </w:rPr>
            </w:pPr>
            <w:r w:rsidRPr="00FE1DBC">
              <w:rPr>
                <w:rFonts w:ascii="Arabic Typesetting" w:hAnsi="Arabic Typesetting" w:cs="Arabic Typesetting"/>
                <w:sz w:val="28"/>
                <w:szCs w:val="28"/>
                <w:rtl/>
              </w:rPr>
              <w:t>وستتحقق المنافع الطويلة الأجل بعد نشر وتشغيل تكوين نظام إدارة المعلومات المؤسسية على صعيد المنظمة برمتها في عام 2018.</w:t>
            </w:r>
          </w:p>
        </w:tc>
        <w:tc>
          <w:tcPr>
            <w:tcW w:w="2582" w:type="pct"/>
          </w:tcPr>
          <w:p w14:paraId="179544EB" w14:textId="77777777" w:rsidR="00BD3831" w:rsidRPr="00FE1DBC" w:rsidRDefault="00BD3831" w:rsidP="0031289D">
            <w:pPr>
              <w:bidi/>
              <w:rPr>
                <w:rFonts w:ascii="Arabic Typesetting" w:hAnsi="Arabic Typesetting" w:cs="Arabic Typesetting"/>
                <w:b/>
                <w:bCs/>
                <w:i/>
                <w:iCs/>
                <w:sz w:val="28"/>
                <w:szCs w:val="28"/>
              </w:rPr>
            </w:pPr>
            <w:r w:rsidRPr="00FE1DBC">
              <w:rPr>
                <w:rFonts w:ascii="Arabic Typesetting" w:hAnsi="Arabic Typesetting" w:cs="Arabic Typesetting"/>
                <w:b/>
                <w:bCs/>
                <w:i/>
                <w:iCs/>
                <w:sz w:val="28"/>
                <w:szCs w:val="28"/>
                <w:rtl/>
              </w:rPr>
              <w:t>بعد نشر وتشغيل تكوين نظام إدارة المعلومات المؤسسية الخاص بسجل الموارد البشرية الإلكتروني:</w:t>
            </w:r>
          </w:p>
          <w:p w14:paraId="54819A33" w14:textId="77777777" w:rsidR="00BD3831" w:rsidRPr="00FE1DBC" w:rsidRDefault="00BD3831" w:rsidP="0031289D">
            <w:pPr>
              <w:bidi/>
              <w:ind w:left="35"/>
              <w:contextualSpacing/>
              <w:rPr>
                <w:rFonts w:ascii="Arabic Typesetting" w:hAnsi="Arabic Typesetting" w:cs="Arabic Typesetting"/>
                <w:sz w:val="28"/>
                <w:szCs w:val="28"/>
              </w:rPr>
            </w:pPr>
            <w:r w:rsidRPr="00FE1DBC">
              <w:rPr>
                <w:rFonts w:ascii="Arabic Typesetting" w:hAnsi="Arabic Typesetting" w:cs="Arabic Typesetting"/>
                <w:sz w:val="28"/>
                <w:szCs w:val="28"/>
                <w:rtl/>
              </w:rPr>
              <w:t>سيتاح لإدارة الموارد البشرية مستودع واحد لتخزين الوثائق المتعلقة بالموظفين، بحيث يشمل كل من الوثائق القديمة، التي ستُر</w:t>
            </w:r>
            <w:r>
              <w:rPr>
                <w:rFonts w:ascii="Arabic Typesetting" w:hAnsi="Arabic Typesetting" w:cs="Arabic Typesetting"/>
                <w:sz w:val="28"/>
                <w:szCs w:val="28"/>
                <w:rtl/>
              </w:rPr>
              <w:t>قمن، والوثائق المنشأة حديثاً.</w:t>
            </w:r>
            <w:r>
              <w:rPr>
                <w:rFonts w:ascii="Arabic Typesetting" w:hAnsi="Arabic Typesetting" w:cs="Arabic Typesetting" w:hint="cs"/>
                <w:sz w:val="28"/>
                <w:szCs w:val="28"/>
                <w:rtl/>
              </w:rPr>
              <w:t xml:space="preserve"> </w:t>
            </w:r>
            <w:r w:rsidRPr="00FE1DBC">
              <w:rPr>
                <w:rFonts w:ascii="Arabic Typesetting" w:hAnsi="Arabic Typesetting" w:cs="Arabic Typesetting"/>
                <w:sz w:val="28"/>
                <w:szCs w:val="28"/>
                <w:rtl/>
              </w:rPr>
              <w:t>وسينتج عن ذلك ما يلي:</w:t>
            </w:r>
          </w:p>
          <w:p w14:paraId="0B058487" w14:textId="77777777" w:rsidR="00BD3831" w:rsidRPr="00FE1DBC" w:rsidRDefault="00BD3831" w:rsidP="0031289D">
            <w:pPr>
              <w:numPr>
                <w:ilvl w:val="0"/>
                <w:numId w:val="56"/>
              </w:numPr>
              <w:bidi/>
              <w:ind w:left="318" w:hanging="283"/>
              <w:contextualSpacing/>
              <w:rPr>
                <w:rFonts w:ascii="Arabic Typesetting" w:hAnsi="Arabic Typesetting" w:cs="Arabic Typesetting"/>
                <w:sz w:val="28"/>
                <w:szCs w:val="28"/>
              </w:rPr>
            </w:pPr>
            <w:r w:rsidRPr="00FE1DBC">
              <w:rPr>
                <w:rFonts w:ascii="Arabic Typesetting" w:hAnsi="Arabic Typesetting" w:cs="Arabic Typesetting"/>
                <w:sz w:val="28"/>
                <w:szCs w:val="28"/>
                <w:rtl/>
              </w:rPr>
              <w:t xml:space="preserve">استمرار تسجيل ملفات الموارد البشرية المهمة والوثائق </w:t>
            </w:r>
            <w:r>
              <w:rPr>
                <w:rFonts w:ascii="Arabic Typesetting" w:hAnsi="Arabic Typesetting" w:cs="Arabic Typesetting"/>
                <w:sz w:val="28"/>
                <w:szCs w:val="28"/>
                <w:rtl/>
              </w:rPr>
              <w:t xml:space="preserve">المتعلقة بها وإدارتها وصونها. </w:t>
            </w:r>
            <w:r w:rsidRPr="00FE1DBC">
              <w:rPr>
                <w:rFonts w:ascii="Arabic Typesetting" w:hAnsi="Arabic Typesetting" w:cs="Arabic Typesetting"/>
                <w:sz w:val="28"/>
                <w:szCs w:val="28"/>
                <w:rtl/>
              </w:rPr>
              <w:t>وسيمكّن وجود مستودع واحد للمعلومات من تقليل ما يبذله موظفو الموارد البشرية من وقت وجهد في تحديد الوثائق المعنية واستخراجها لدعم العمليات التنظيمية الرئيسية؛</w:t>
            </w:r>
          </w:p>
          <w:p w14:paraId="6DB9D507" w14:textId="77777777" w:rsidR="00BD3831" w:rsidRPr="00FE1DBC" w:rsidRDefault="00BD3831" w:rsidP="0031289D">
            <w:pPr>
              <w:numPr>
                <w:ilvl w:val="0"/>
                <w:numId w:val="56"/>
              </w:numPr>
              <w:bidi/>
              <w:ind w:left="335" w:hanging="283"/>
              <w:contextualSpacing/>
              <w:rPr>
                <w:rFonts w:ascii="Arabic Typesetting" w:hAnsi="Arabic Typesetting" w:cs="Arabic Typesetting"/>
                <w:i/>
                <w:iCs/>
                <w:sz w:val="28"/>
                <w:szCs w:val="28"/>
              </w:rPr>
            </w:pPr>
            <w:r w:rsidRPr="00FE1DBC">
              <w:rPr>
                <w:rFonts w:ascii="Arabic Typesetting" w:hAnsi="Arabic Typesetting" w:cs="Arabic Typesetting"/>
                <w:i/>
                <w:iCs/>
                <w:sz w:val="28"/>
                <w:szCs w:val="28"/>
                <w:rtl/>
              </w:rPr>
              <w:t>سيتسنى، بشكل واضح، تحديد الإصدار الأخير من كل وثيقة موارد بشرية تخص موظفي الويبو من أجل تقليل الوقت والجهد المطلوبين لتحديد الإصدارات الأخيرة للوثائق، وتقليل معدل إعادة العمل.</w:t>
            </w:r>
          </w:p>
        </w:tc>
      </w:tr>
      <w:tr w:rsidR="00BD3831" w:rsidRPr="00E551B2" w14:paraId="365C4CE2" w14:textId="77777777" w:rsidTr="00DF6715">
        <w:trPr>
          <w:cantSplit/>
          <w:trHeight w:val="564"/>
          <w:jc w:val="center"/>
        </w:trPr>
        <w:tc>
          <w:tcPr>
            <w:tcW w:w="2418" w:type="pct"/>
          </w:tcPr>
          <w:p w14:paraId="49BC2421" w14:textId="77777777" w:rsidR="00BD3831" w:rsidRPr="00FE1DBC" w:rsidRDefault="00BD3831" w:rsidP="0031289D">
            <w:pPr>
              <w:bidi/>
              <w:rPr>
                <w:rFonts w:ascii="Arabic Typesetting" w:hAnsi="Arabic Typesetting" w:cs="Arabic Typesetting"/>
                <w:b/>
                <w:bCs/>
                <w:i/>
                <w:iCs/>
                <w:sz w:val="28"/>
                <w:szCs w:val="28"/>
              </w:rPr>
            </w:pPr>
            <w:r w:rsidRPr="00FE1DBC">
              <w:rPr>
                <w:rFonts w:ascii="Arabic Typesetting" w:hAnsi="Arabic Typesetting" w:cs="Arabic Typesetting"/>
                <w:b/>
                <w:bCs/>
                <w:i/>
                <w:iCs/>
                <w:sz w:val="28"/>
                <w:szCs w:val="28"/>
                <w:rtl/>
              </w:rPr>
              <w:lastRenderedPageBreak/>
              <w:t>بعد نشر وتشغيل تكوين نظام إدارة المعلومات المؤسسية الخاص بتدفق أعمال الترجمة:</w:t>
            </w:r>
          </w:p>
          <w:p w14:paraId="51C2EB71" w14:textId="77777777" w:rsidR="00BD3831" w:rsidRPr="00FE1DBC" w:rsidRDefault="00BD3831" w:rsidP="0031289D">
            <w:pPr>
              <w:bidi/>
              <w:rPr>
                <w:rFonts w:ascii="Arabic Typesetting" w:hAnsi="Arabic Typesetting" w:cs="Arabic Typesetting"/>
                <w:sz w:val="28"/>
                <w:szCs w:val="28"/>
              </w:rPr>
            </w:pPr>
            <w:r w:rsidRPr="00FE1DBC">
              <w:rPr>
                <w:rFonts w:ascii="Arabic Typesetting" w:hAnsi="Arabic Typesetting" w:cs="Arabic Typesetting"/>
                <w:sz w:val="28"/>
                <w:szCs w:val="28"/>
                <w:rtl/>
              </w:rPr>
              <w:t>سينتج عن إنشاء نظام تدفق أعمال ترجمة الوثائق وتعقب حالتها لفائدة شعبة اللغات ما يلي:</w:t>
            </w:r>
          </w:p>
          <w:p w14:paraId="3DCF25A4" w14:textId="77777777" w:rsidR="00BD3831" w:rsidRPr="00FE1DBC" w:rsidRDefault="00BD3831" w:rsidP="0031289D">
            <w:pPr>
              <w:numPr>
                <w:ilvl w:val="0"/>
                <w:numId w:val="56"/>
              </w:numPr>
              <w:bidi/>
              <w:ind w:left="306" w:hanging="283"/>
              <w:contextualSpacing/>
              <w:rPr>
                <w:rFonts w:ascii="Arabic Typesetting" w:hAnsi="Arabic Typesetting" w:cs="Arabic Typesetting"/>
                <w:sz w:val="28"/>
                <w:szCs w:val="28"/>
              </w:rPr>
            </w:pPr>
            <w:r w:rsidRPr="00FE1DBC">
              <w:rPr>
                <w:rFonts w:ascii="Arabic Typesetting" w:hAnsi="Arabic Typesetting" w:cs="Arabic Typesetting"/>
                <w:sz w:val="28"/>
                <w:szCs w:val="28"/>
                <w:rtl/>
              </w:rPr>
              <w:t>تقليل مجهود الموظفين المطلوب لرفع التقارير بشأن حالة طلبات الترجمة، لأن النظام سيرسل التقا</w:t>
            </w:r>
            <w:r>
              <w:rPr>
                <w:rFonts w:ascii="Arabic Typesetting" w:hAnsi="Arabic Typesetting" w:cs="Arabic Typesetting"/>
                <w:sz w:val="28"/>
                <w:szCs w:val="28"/>
                <w:rtl/>
              </w:rPr>
              <w:t>رير تلقائي</w:t>
            </w:r>
            <w:r w:rsidRPr="00FE1DBC">
              <w:rPr>
                <w:rFonts w:ascii="Arabic Typesetting" w:hAnsi="Arabic Typesetting" w:cs="Arabic Typesetting"/>
                <w:sz w:val="28"/>
                <w:szCs w:val="28"/>
                <w:rtl/>
              </w:rPr>
              <w:t>ا</w:t>
            </w:r>
            <w:r>
              <w:rPr>
                <w:rFonts w:ascii="Arabic Typesetting" w:hAnsi="Arabic Typesetting" w:cs="Arabic Typesetting" w:hint="cs"/>
                <w:sz w:val="28"/>
                <w:szCs w:val="28"/>
                <w:rtl/>
              </w:rPr>
              <w:t>ً</w:t>
            </w:r>
            <w:r w:rsidRPr="00FE1DBC">
              <w:rPr>
                <w:rFonts w:ascii="Arabic Typesetting" w:hAnsi="Arabic Typesetting" w:cs="Arabic Typesetting"/>
                <w:sz w:val="28"/>
                <w:szCs w:val="28"/>
                <w:rtl/>
              </w:rPr>
              <w:t>؛</w:t>
            </w:r>
          </w:p>
          <w:p w14:paraId="4EE3EB61" w14:textId="77777777" w:rsidR="00BD3831" w:rsidRPr="00FE1DBC" w:rsidRDefault="00BD3831" w:rsidP="0031289D">
            <w:pPr>
              <w:numPr>
                <w:ilvl w:val="0"/>
                <w:numId w:val="56"/>
              </w:numPr>
              <w:bidi/>
              <w:ind w:left="306" w:hanging="306"/>
              <w:rPr>
                <w:rFonts w:ascii="Arabic Typesetting" w:hAnsi="Arabic Typesetting" w:cs="Arabic Typesetting"/>
                <w:i/>
                <w:iCs/>
                <w:sz w:val="28"/>
                <w:szCs w:val="28"/>
              </w:rPr>
            </w:pPr>
            <w:r w:rsidRPr="00FE1DBC">
              <w:rPr>
                <w:rFonts w:ascii="Arabic Typesetting" w:hAnsi="Arabic Typesetting" w:cs="Arabic Typesetting"/>
                <w:i/>
                <w:iCs/>
                <w:sz w:val="28"/>
                <w:szCs w:val="28"/>
                <w:rtl/>
              </w:rPr>
              <w:t>القدرة على ضمان تحقيق مستويات خدمة الترجمة من خلال الرصد والإبلاغ النشطين بشأن حالة كل طلب ترجمة.</w:t>
            </w:r>
          </w:p>
        </w:tc>
        <w:tc>
          <w:tcPr>
            <w:tcW w:w="2582" w:type="pct"/>
          </w:tcPr>
          <w:p w14:paraId="18C9CA2C" w14:textId="77777777" w:rsidR="00BD3831" w:rsidRPr="00FE1DBC" w:rsidRDefault="00BD3831" w:rsidP="0031289D">
            <w:pPr>
              <w:bidi/>
              <w:rPr>
                <w:rFonts w:ascii="Arabic Typesetting" w:hAnsi="Arabic Typesetting" w:cs="Arabic Typesetting"/>
                <w:b/>
                <w:bCs/>
                <w:i/>
                <w:iCs/>
                <w:sz w:val="28"/>
                <w:szCs w:val="28"/>
              </w:rPr>
            </w:pPr>
            <w:r w:rsidRPr="00FE1DBC">
              <w:rPr>
                <w:rFonts w:ascii="Arabic Typesetting" w:hAnsi="Arabic Typesetting" w:cs="Arabic Typesetting"/>
                <w:b/>
                <w:bCs/>
                <w:i/>
                <w:iCs/>
                <w:sz w:val="28"/>
                <w:szCs w:val="28"/>
                <w:rtl/>
              </w:rPr>
              <w:t>بعد نشر وتشغيل تكوين نظام إدارة المعلومات المؤسسية على مستوى المنظمة:</w:t>
            </w:r>
          </w:p>
          <w:p w14:paraId="105DBCF9" w14:textId="77777777" w:rsidR="00BD3831" w:rsidRPr="00FE1DBC" w:rsidRDefault="00BD3831" w:rsidP="0031289D">
            <w:pPr>
              <w:bidi/>
              <w:rPr>
                <w:rFonts w:ascii="Arabic Typesetting" w:hAnsi="Arabic Typesetting" w:cs="Arabic Typesetting"/>
                <w:sz w:val="28"/>
                <w:szCs w:val="28"/>
              </w:rPr>
            </w:pPr>
            <w:r w:rsidRPr="00FE1DBC">
              <w:rPr>
                <w:rFonts w:ascii="Arabic Typesetting" w:hAnsi="Arabic Typesetting" w:cs="Arabic Typesetting"/>
                <w:sz w:val="28"/>
                <w:szCs w:val="28"/>
                <w:rtl/>
              </w:rPr>
              <w:t>سينتج عن تنفيذ نظام إدارة المعلومات المؤسسية على مستوى منظمة الويبو برمتها على نحو يدعم تقاسم المعلومات وتغير ثقافة إدارة المعلومات في الويبو، وتنفيذ مشروع "المكاسب المبكرة" الفرعي ما يلي:</w:t>
            </w:r>
          </w:p>
          <w:p w14:paraId="77275EC4" w14:textId="77777777" w:rsidR="00BD3831" w:rsidRPr="00FE1DBC" w:rsidRDefault="00BD3831" w:rsidP="0031289D">
            <w:pPr>
              <w:numPr>
                <w:ilvl w:val="0"/>
                <w:numId w:val="56"/>
              </w:numPr>
              <w:bidi/>
              <w:ind w:left="335" w:hanging="283"/>
              <w:contextualSpacing/>
              <w:rPr>
                <w:rFonts w:ascii="Arabic Typesetting" w:hAnsi="Arabic Typesetting" w:cs="Arabic Typesetting"/>
                <w:sz w:val="28"/>
                <w:szCs w:val="28"/>
              </w:rPr>
            </w:pPr>
            <w:r w:rsidRPr="00FE1DBC">
              <w:rPr>
                <w:rFonts w:ascii="Arabic Typesetting" w:hAnsi="Arabic Typesetting" w:cs="Arabic Typesetting"/>
                <w:sz w:val="28"/>
                <w:szCs w:val="28"/>
                <w:rtl/>
              </w:rPr>
              <w:t>القدرة على البحث في قاعدة معارف الويبو بأكملها، بما يقلل من تكرار مهام إنشاء المعارف وتسجيلها من خلال تقاسم المعلومات؛</w:t>
            </w:r>
          </w:p>
          <w:p w14:paraId="3C6B7BE4" w14:textId="77777777" w:rsidR="00BD3831" w:rsidRPr="00FE1DBC" w:rsidRDefault="00BD3831" w:rsidP="0031289D">
            <w:pPr>
              <w:numPr>
                <w:ilvl w:val="0"/>
                <w:numId w:val="56"/>
              </w:numPr>
              <w:bidi/>
              <w:ind w:left="335" w:hanging="283"/>
              <w:contextualSpacing/>
              <w:rPr>
                <w:rFonts w:ascii="Arabic Typesetting" w:hAnsi="Arabic Typesetting" w:cs="Arabic Typesetting"/>
                <w:sz w:val="28"/>
                <w:szCs w:val="28"/>
              </w:rPr>
            </w:pPr>
            <w:r w:rsidRPr="00FE1DBC">
              <w:rPr>
                <w:rFonts w:ascii="Arabic Typesetting" w:hAnsi="Arabic Typesetting" w:cs="Arabic Typesetting"/>
                <w:sz w:val="28"/>
                <w:szCs w:val="28"/>
                <w:rtl/>
              </w:rPr>
              <w:t>القدرة على توسيع نطاق الامتثال لسياسة السجلات والمحفوظات (التعميم الإداري 15/2013) ليشمل عدداً أكبر من الوحدات التجارية؛</w:t>
            </w:r>
          </w:p>
          <w:p w14:paraId="027CA8E2" w14:textId="77777777" w:rsidR="00BD3831" w:rsidRPr="00FE1DBC" w:rsidRDefault="00BD3831" w:rsidP="0031289D">
            <w:pPr>
              <w:numPr>
                <w:ilvl w:val="0"/>
                <w:numId w:val="56"/>
              </w:numPr>
              <w:bidi/>
              <w:ind w:left="335" w:hanging="283"/>
              <w:contextualSpacing/>
              <w:rPr>
                <w:rFonts w:ascii="Arabic Typesetting" w:hAnsi="Arabic Typesetting" w:cs="Arabic Typesetting"/>
                <w:sz w:val="28"/>
                <w:szCs w:val="28"/>
              </w:rPr>
            </w:pPr>
            <w:r w:rsidRPr="00FE1DBC">
              <w:rPr>
                <w:rFonts w:ascii="Arabic Typesetting" w:hAnsi="Arabic Typesetting" w:cs="Arabic Typesetting"/>
                <w:sz w:val="28"/>
                <w:szCs w:val="28"/>
                <w:rtl/>
              </w:rPr>
              <w:t>القدرة على تقليل التكاليف الجارية المتعلقة بالأرشفة المادية للوثائق لأن هذه الوثائق ستصير إلكترونية؛</w:t>
            </w:r>
          </w:p>
          <w:p w14:paraId="03678B6B" w14:textId="77777777" w:rsidR="00BD3831" w:rsidRPr="00FE1DBC" w:rsidRDefault="00BD3831" w:rsidP="0031289D">
            <w:pPr>
              <w:numPr>
                <w:ilvl w:val="0"/>
                <w:numId w:val="56"/>
              </w:numPr>
              <w:bidi/>
              <w:ind w:left="329" w:hanging="284"/>
              <w:rPr>
                <w:rFonts w:ascii="Arabic Typesetting" w:hAnsi="Arabic Typesetting" w:cs="Arabic Typesetting"/>
                <w:b/>
                <w:bCs/>
                <w:i/>
                <w:iCs/>
                <w:sz w:val="28"/>
                <w:szCs w:val="28"/>
              </w:rPr>
            </w:pPr>
            <w:r w:rsidRPr="00FE1DBC">
              <w:rPr>
                <w:rFonts w:ascii="Arabic Typesetting" w:hAnsi="Arabic Typesetting" w:cs="Arabic Typesetting"/>
                <w:i/>
                <w:iCs/>
                <w:sz w:val="28"/>
                <w:szCs w:val="28"/>
                <w:rtl/>
              </w:rPr>
              <w:t>القدرة على تقليل تكاليف التخزين الإلكتروني للوثائق، لأن القدرة على البحث في قاعدة معارف المنظمة الكاملة من شأنها أن تقلل من معدل إعادة العمل وتكرار مهام تسجيل المعارف.</w:t>
            </w:r>
          </w:p>
        </w:tc>
      </w:tr>
      <w:tr w:rsidR="00BD3831" w:rsidRPr="00E551B2" w14:paraId="40DDB52D" w14:textId="77777777" w:rsidTr="00DF6715">
        <w:trPr>
          <w:cantSplit/>
          <w:trHeight w:val="564"/>
          <w:jc w:val="center"/>
        </w:trPr>
        <w:tc>
          <w:tcPr>
            <w:tcW w:w="2418" w:type="pct"/>
          </w:tcPr>
          <w:p w14:paraId="0DFE4FBD" w14:textId="77777777" w:rsidR="00BD3831" w:rsidRPr="00FE1DBC" w:rsidRDefault="00BD3831" w:rsidP="0031289D">
            <w:pPr>
              <w:bidi/>
              <w:rPr>
                <w:rFonts w:ascii="Arabic Typesetting" w:hAnsi="Arabic Typesetting" w:cs="Arabic Typesetting"/>
                <w:b/>
                <w:bCs/>
                <w:i/>
                <w:iCs/>
                <w:sz w:val="28"/>
                <w:szCs w:val="28"/>
              </w:rPr>
            </w:pPr>
            <w:r w:rsidRPr="00FE1DBC">
              <w:rPr>
                <w:rFonts w:ascii="Arabic Typesetting" w:hAnsi="Arabic Typesetting" w:cs="Arabic Typesetting"/>
                <w:b/>
                <w:bCs/>
                <w:i/>
                <w:iCs/>
                <w:sz w:val="28"/>
                <w:szCs w:val="28"/>
                <w:rtl/>
              </w:rPr>
              <w:t>بعد نشر وتشغيل تكوين نظام إدارة المعلومات المؤسسية الخاص بإدارة العقود والبائعين:</w:t>
            </w:r>
          </w:p>
          <w:p w14:paraId="7045C173" w14:textId="77777777" w:rsidR="00BD3831" w:rsidRPr="00FE1DBC" w:rsidRDefault="00BD3831" w:rsidP="0031289D">
            <w:pPr>
              <w:bidi/>
              <w:rPr>
                <w:rFonts w:ascii="Arabic Typesetting" w:hAnsi="Arabic Typesetting" w:cs="Arabic Typesetting"/>
                <w:sz w:val="28"/>
                <w:szCs w:val="28"/>
              </w:rPr>
            </w:pPr>
            <w:r w:rsidRPr="00FE1DBC">
              <w:rPr>
                <w:rFonts w:ascii="Arabic Typesetting" w:hAnsi="Arabic Typesetting" w:cs="Arabic Typesetting"/>
                <w:sz w:val="28"/>
                <w:szCs w:val="28"/>
                <w:rtl/>
              </w:rPr>
              <w:t>سيتمتع قسم المشتريات بمصدر واحد للمعلومات لكي يبحث فيه عما يتعلق بمناقصات المشتريات الجارية والمنتهية، وسينتج عن ذلك:</w:t>
            </w:r>
          </w:p>
          <w:p w14:paraId="3F1B5708" w14:textId="77777777" w:rsidR="00BD3831" w:rsidRPr="00FE1DBC" w:rsidRDefault="00BD3831" w:rsidP="0031289D">
            <w:pPr>
              <w:numPr>
                <w:ilvl w:val="0"/>
                <w:numId w:val="56"/>
              </w:numPr>
              <w:bidi/>
              <w:ind w:left="306" w:hanging="283"/>
              <w:contextualSpacing/>
              <w:rPr>
                <w:rFonts w:ascii="Arabic Typesetting" w:hAnsi="Arabic Typesetting" w:cs="Arabic Typesetting"/>
                <w:sz w:val="28"/>
                <w:szCs w:val="28"/>
              </w:rPr>
            </w:pPr>
            <w:r w:rsidRPr="00FE1DBC">
              <w:rPr>
                <w:rFonts w:ascii="Arabic Typesetting" w:hAnsi="Arabic Typesetting" w:cs="Arabic Typesetting"/>
                <w:sz w:val="28"/>
                <w:szCs w:val="28"/>
                <w:rtl/>
              </w:rPr>
              <w:t>تخفيض الوقت المستغرق في تحديد المعلومات الحالية واسترجاعها؛</w:t>
            </w:r>
          </w:p>
          <w:p w14:paraId="16E6AA4C" w14:textId="77777777" w:rsidR="00BD3831" w:rsidRPr="00FE1DBC" w:rsidRDefault="00BD3831" w:rsidP="0031289D">
            <w:pPr>
              <w:numPr>
                <w:ilvl w:val="0"/>
                <w:numId w:val="56"/>
              </w:numPr>
              <w:bidi/>
              <w:ind w:left="306" w:hanging="283"/>
              <w:contextualSpacing/>
              <w:rPr>
                <w:rFonts w:ascii="Arabic Typesetting" w:hAnsi="Arabic Typesetting" w:cs="Arabic Typesetting"/>
                <w:sz w:val="28"/>
                <w:szCs w:val="28"/>
              </w:rPr>
            </w:pPr>
            <w:r>
              <w:rPr>
                <w:rFonts w:ascii="Arabic Typesetting" w:hAnsi="Arabic Typesetting" w:cs="Arabic Typesetting" w:hint="cs"/>
                <w:sz w:val="28"/>
                <w:szCs w:val="28"/>
                <w:rtl/>
              </w:rPr>
              <w:t>و</w:t>
            </w:r>
            <w:r w:rsidRPr="00FE1DBC">
              <w:rPr>
                <w:rFonts w:ascii="Arabic Typesetting" w:hAnsi="Arabic Typesetting" w:cs="Arabic Typesetting"/>
                <w:sz w:val="28"/>
                <w:szCs w:val="28"/>
                <w:rtl/>
              </w:rPr>
              <w:t>الحد من الخطأ وإعادة العمل بضمان التعرف عل</w:t>
            </w:r>
            <w:r>
              <w:rPr>
                <w:rFonts w:ascii="Arabic Typesetting" w:hAnsi="Arabic Typesetting" w:cs="Arabic Typesetting"/>
                <w:sz w:val="28"/>
                <w:szCs w:val="28"/>
                <w:rtl/>
              </w:rPr>
              <w:t>ى الإصدار الأخير لكل وثيقة بوضو</w:t>
            </w:r>
            <w:r>
              <w:rPr>
                <w:rFonts w:ascii="Arabic Typesetting" w:hAnsi="Arabic Typesetting" w:cs="Arabic Typesetting" w:hint="cs"/>
                <w:sz w:val="28"/>
                <w:szCs w:val="28"/>
                <w:rtl/>
              </w:rPr>
              <w:t>ح.</w:t>
            </w:r>
          </w:p>
          <w:p w14:paraId="2A1FD7AA" w14:textId="77777777" w:rsidR="00BD3831" w:rsidRPr="00FE1DBC" w:rsidRDefault="00BD3831" w:rsidP="0031289D">
            <w:pPr>
              <w:bidi/>
              <w:rPr>
                <w:rFonts w:ascii="Arabic Typesetting" w:hAnsi="Arabic Typesetting" w:cs="Arabic Typesetting"/>
                <w:sz w:val="28"/>
                <w:szCs w:val="28"/>
              </w:rPr>
            </w:pPr>
            <w:r w:rsidRPr="00FE1DBC">
              <w:rPr>
                <w:rFonts w:ascii="Arabic Typesetting" w:hAnsi="Arabic Typesetting" w:cs="Arabic Typesetting"/>
                <w:sz w:val="28"/>
                <w:szCs w:val="28"/>
                <w:rtl/>
              </w:rPr>
              <w:t>وسيكون لدى قسم المشتريات لوحة بيانات واحدة تعرض التقدم المحرز في المناقصات المفتوحة فضلاً عن المعلومات المتعلقة بمواعيد إعادة طرح المناقصات بش</w:t>
            </w:r>
            <w:r>
              <w:rPr>
                <w:rFonts w:ascii="Arabic Typesetting" w:hAnsi="Arabic Typesetting" w:cs="Arabic Typesetting"/>
                <w:sz w:val="28"/>
                <w:szCs w:val="28"/>
                <w:rtl/>
              </w:rPr>
              <w:t>أن العقود الحالية، وسينتج عن ذل</w:t>
            </w:r>
            <w:r>
              <w:rPr>
                <w:rFonts w:ascii="Arabic Typesetting" w:hAnsi="Arabic Typesetting" w:cs="Arabic Typesetting" w:hint="cs"/>
                <w:sz w:val="28"/>
                <w:szCs w:val="28"/>
                <w:rtl/>
              </w:rPr>
              <w:t>ك:</w:t>
            </w:r>
          </w:p>
          <w:p w14:paraId="22A15520" w14:textId="77777777" w:rsidR="00BD3831" w:rsidRPr="00FE1DBC" w:rsidRDefault="00BD3831" w:rsidP="0031289D">
            <w:pPr>
              <w:numPr>
                <w:ilvl w:val="0"/>
                <w:numId w:val="56"/>
              </w:numPr>
              <w:bidi/>
              <w:ind w:left="306" w:hanging="283"/>
              <w:rPr>
                <w:rFonts w:ascii="Arabic Typesetting" w:hAnsi="Arabic Typesetting" w:cs="Arabic Typesetting"/>
                <w:b/>
                <w:bCs/>
                <w:i/>
                <w:iCs/>
                <w:sz w:val="28"/>
                <w:szCs w:val="28"/>
              </w:rPr>
            </w:pPr>
            <w:r w:rsidRPr="00FE1DBC">
              <w:rPr>
                <w:rFonts w:ascii="Arabic Typesetting" w:hAnsi="Arabic Typesetting" w:cs="Arabic Typesetting"/>
                <w:i/>
                <w:iCs/>
                <w:sz w:val="28"/>
                <w:szCs w:val="28"/>
                <w:rtl/>
              </w:rPr>
              <w:t>زيادة استفادة الموظفين من المهام المثمرة من خلال تحسين التخطيط مسبق</w:t>
            </w:r>
            <w:r>
              <w:rPr>
                <w:rFonts w:ascii="Arabic Typesetting" w:hAnsi="Arabic Typesetting" w:cs="Arabic Typesetting"/>
                <w:i/>
                <w:iCs/>
                <w:sz w:val="28"/>
                <w:szCs w:val="28"/>
                <w:rtl/>
              </w:rPr>
              <w:t>اً</w:t>
            </w:r>
            <w:r w:rsidRPr="00FE1DBC">
              <w:rPr>
                <w:rFonts w:ascii="Arabic Typesetting" w:hAnsi="Arabic Typesetting" w:cs="Arabic Typesetting"/>
                <w:i/>
                <w:iCs/>
                <w:sz w:val="28"/>
                <w:szCs w:val="28"/>
                <w:rtl/>
              </w:rPr>
              <w:t xml:space="preserve"> لأنشطة المشتريات.</w:t>
            </w:r>
          </w:p>
        </w:tc>
        <w:tc>
          <w:tcPr>
            <w:tcW w:w="2582" w:type="pct"/>
          </w:tcPr>
          <w:p w14:paraId="224B613A" w14:textId="77777777" w:rsidR="00BD3831" w:rsidRPr="00FE1DBC" w:rsidRDefault="00BD3831" w:rsidP="0031289D">
            <w:pPr>
              <w:rPr>
                <w:rFonts w:ascii="Arabic Typesetting" w:hAnsi="Arabic Typesetting" w:cs="Arabic Typesetting"/>
                <w:b/>
                <w:bCs/>
                <w:i/>
                <w:iCs/>
                <w:sz w:val="28"/>
                <w:szCs w:val="28"/>
              </w:rPr>
            </w:pPr>
          </w:p>
        </w:tc>
      </w:tr>
      <w:tr w:rsidR="00BD3831" w:rsidRPr="00E551B2" w14:paraId="09B23764" w14:textId="77777777" w:rsidTr="00DF6715">
        <w:trPr>
          <w:cantSplit/>
          <w:trHeight w:val="564"/>
          <w:jc w:val="center"/>
        </w:trPr>
        <w:tc>
          <w:tcPr>
            <w:tcW w:w="2418" w:type="pct"/>
          </w:tcPr>
          <w:p w14:paraId="147C67A7" w14:textId="77777777" w:rsidR="00BD3831" w:rsidRPr="00FE1DBC" w:rsidRDefault="00BD3831" w:rsidP="0031289D">
            <w:pPr>
              <w:bidi/>
              <w:rPr>
                <w:rFonts w:ascii="Arabic Typesetting" w:hAnsi="Arabic Typesetting" w:cs="Arabic Typesetting"/>
                <w:b/>
                <w:bCs/>
                <w:i/>
                <w:iCs/>
                <w:sz w:val="28"/>
                <w:szCs w:val="28"/>
              </w:rPr>
            </w:pPr>
            <w:r w:rsidRPr="00FE1DBC">
              <w:rPr>
                <w:rFonts w:ascii="Arabic Typesetting" w:hAnsi="Arabic Typesetting" w:cs="Arabic Typesetting"/>
                <w:b/>
                <w:bCs/>
                <w:i/>
                <w:iCs/>
                <w:sz w:val="28"/>
                <w:szCs w:val="28"/>
                <w:rtl/>
              </w:rPr>
              <w:t>بعد نشر وتشغيل تكوين نظام إدارة المعلومات المؤسسية الخاص بتقارير البعثات:</w:t>
            </w:r>
          </w:p>
          <w:p w14:paraId="03A11F27" w14:textId="77777777" w:rsidR="00BD3831" w:rsidRPr="00FE1DBC" w:rsidRDefault="00BD3831" w:rsidP="0031289D">
            <w:pPr>
              <w:bidi/>
              <w:rPr>
                <w:rFonts w:ascii="Arabic Typesetting" w:hAnsi="Arabic Typesetting" w:cs="Arabic Typesetting"/>
                <w:sz w:val="28"/>
                <w:szCs w:val="28"/>
              </w:rPr>
            </w:pPr>
            <w:r w:rsidRPr="00FE1DBC">
              <w:rPr>
                <w:rFonts w:ascii="Arabic Typesetting" w:hAnsi="Arabic Typesetting" w:cs="Arabic Typesetting"/>
                <w:sz w:val="28"/>
                <w:szCs w:val="28"/>
                <w:rtl/>
              </w:rPr>
              <w:t>سيتاح البحث في محتويات تقارير البعثات والمعلومات المتعلق بالبعثات المخ</w:t>
            </w:r>
            <w:r>
              <w:rPr>
                <w:rFonts w:ascii="Arabic Typesetting" w:hAnsi="Arabic Typesetting" w:cs="Arabic Typesetting"/>
                <w:sz w:val="28"/>
                <w:szCs w:val="28"/>
                <w:rtl/>
              </w:rPr>
              <w:t>طط لها في جميع قطاعات المنظمة.</w:t>
            </w:r>
            <w:r w:rsidRPr="00FE1DBC">
              <w:rPr>
                <w:rFonts w:ascii="Arabic Typesetting" w:hAnsi="Arabic Typesetting" w:cs="Arabic Typesetting"/>
                <w:sz w:val="28"/>
                <w:szCs w:val="28"/>
                <w:rtl/>
              </w:rPr>
              <w:t xml:space="preserve"> وسينتج عن ذلك ما يلي:</w:t>
            </w:r>
          </w:p>
          <w:p w14:paraId="5734D875" w14:textId="77777777" w:rsidR="00BD3831" w:rsidRPr="00FE1DBC" w:rsidRDefault="00BD3831" w:rsidP="0031289D">
            <w:pPr>
              <w:numPr>
                <w:ilvl w:val="0"/>
                <w:numId w:val="56"/>
              </w:numPr>
              <w:bidi/>
              <w:ind w:left="318" w:hanging="318"/>
              <w:contextualSpacing/>
              <w:rPr>
                <w:rFonts w:ascii="Arabic Typesetting" w:hAnsi="Arabic Typesetting" w:cs="Arabic Typesetting"/>
                <w:sz w:val="28"/>
                <w:szCs w:val="28"/>
              </w:rPr>
            </w:pPr>
            <w:r w:rsidRPr="00FE1DBC">
              <w:rPr>
                <w:rFonts w:ascii="Arabic Typesetting" w:hAnsi="Arabic Typesetting" w:cs="Arabic Typesetting"/>
                <w:sz w:val="28"/>
                <w:szCs w:val="28"/>
                <w:rtl/>
              </w:rPr>
              <w:t>احتمال تخفيض عدد البعثات عند تحديد الرحلات وبنود جداول الأعمال المتداخلة، ومن ثم تنخفض التكاليف؛</w:t>
            </w:r>
          </w:p>
          <w:p w14:paraId="2160F0AC" w14:textId="77777777" w:rsidR="00BD3831" w:rsidRPr="00FE1DBC" w:rsidRDefault="00BD3831" w:rsidP="0031289D">
            <w:pPr>
              <w:numPr>
                <w:ilvl w:val="0"/>
                <w:numId w:val="56"/>
              </w:numPr>
              <w:bidi/>
              <w:ind w:left="318" w:hanging="318"/>
              <w:contextualSpacing/>
              <w:rPr>
                <w:rFonts w:ascii="Arabic Typesetting" w:hAnsi="Arabic Typesetting" w:cs="Arabic Typesetting"/>
                <w:b/>
                <w:bCs/>
                <w:i/>
                <w:iCs/>
                <w:sz w:val="28"/>
                <w:szCs w:val="28"/>
              </w:rPr>
            </w:pPr>
            <w:r w:rsidRPr="00FE1DBC">
              <w:rPr>
                <w:rFonts w:ascii="Arabic Typesetting" w:hAnsi="Arabic Typesetting" w:cs="Arabic Typesetting"/>
                <w:i/>
                <w:iCs/>
                <w:sz w:val="28"/>
                <w:szCs w:val="28"/>
                <w:rtl/>
              </w:rPr>
              <w:t>ستصير البعثات أكثر إنتاجية لأنه سيتاح لموظفي الويبو النفاذ إلى قدر أكبر من المعلومات المتعلقة بالبعثات السابقة إلى بلدان أو منظمات معيّنة، مما يمكّنهم من الرد، أثناء بعثات المتابعة، على الأسئلة العالقة التي أثيرت في بعثات سابقة</w:t>
            </w:r>
            <w:r>
              <w:rPr>
                <w:rFonts w:ascii="Arabic Typesetting" w:hAnsi="Arabic Typesetting" w:cs="Arabic Typesetting" w:hint="cs"/>
                <w:i/>
                <w:iCs/>
                <w:sz w:val="28"/>
                <w:szCs w:val="28"/>
                <w:rtl/>
                <w:lang w:bidi="ar-EG"/>
              </w:rPr>
              <w:t>.</w:t>
            </w:r>
          </w:p>
        </w:tc>
        <w:tc>
          <w:tcPr>
            <w:tcW w:w="2582" w:type="pct"/>
          </w:tcPr>
          <w:p w14:paraId="1EFDCD1B" w14:textId="77777777" w:rsidR="00BD3831" w:rsidRPr="00FE1DBC" w:rsidRDefault="00BD3831" w:rsidP="0031289D">
            <w:pPr>
              <w:rPr>
                <w:rFonts w:ascii="Arabic Typesetting" w:hAnsi="Arabic Typesetting" w:cs="Arabic Typesetting"/>
                <w:b/>
                <w:bCs/>
                <w:i/>
                <w:iCs/>
                <w:sz w:val="28"/>
                <w:szCs w:val="28"/>
              </w:rPr>
            </w:pPr>
          </w:p>
        </w:tc>
      </w:tr>
      <w:tr w:rsidR="00BD3831" w:rsidRPr="00E551B2" w14:paraId="10ECB578" w14:textId="77777777" w:rsidTr="00DF6715">
        <w:trPr>
          <w:cantSplit/>
          <w:trHeight w:val="564"/>
          <w:jc w:val="center"/>
        </w:trPr>
        <w:tc>
          <w:tcPr>
            <w:tcW w:w="2418" w:type="pct"/>
          </w:tcPr>
          <w:p w14:paraId="15039BBF" w14:textId="77777777" w:rsidR="00BD3831" w:rsidRPr="00FE1DBC" w:rsidRDefault="00BD3831" w:rsidP="0031289D">
            <w:pPr>
              <w:bidi/>
              <w:rPr>
                <w:rFonts w:ascii="Arabic Typesetting" w:hAnsi="Arabic Typesetting" w:cs="Arabic Typesetting"/>
                <w:b/>
                <w:bCs/>
                <w:i/>
                <w:iCs/>
                <w:sz w:val="28"/>
                <w:szCs w:val="28"/>
              </w:rPr>
            </w:pPr>
            <w:r w:rsidRPr="00FE1DBC">
              <w:rPr>
                <w:rFonts w:ascii="Arabic Typesetting" w:hAnsi="Arabic Typesetting" w:cs="Arabic Typesetting"/>
                <w:b/>
                <w:bCs/>
                <w:i/>
                <w:iCs/>
                <w:sz w:val="28"/>
                <w:szCs w:val="28"/>
                <w:rtl/>
              </w:rPr>
              <w:lastRenderedPageBreak/>
              <w:t>بعد نشر وتشغيل تكوين نظام إدارة المعلومات المؤسسية الخاص بنظام الساعي الإلكتروني:</w:t>
            </w:r>
          </w:p>
          <w:p w14:paraId="467AAC81" w14:textId="77777777" w:rsidR="00BD3831" w:rsidRPr="00FE1DBC" w:rsidRDefault="00BD3831" w:rsidP="0031289D">
            <w:pPr>
              <w:bidi/>
              <w:rPr>
                <w:rFonts w:ascii="Arabic Typesetting" w:hAnsi="Arabic Typesetting" w:cs="Arabic Typesetting"/>
                <w:sz w:val="28"/>
                <w:szCs w:val="28"/>
              </w:rPr>
            </w:pPr>
            <w:r w:rsidRPr="00FE1DBC">
              <w:rPr>
                <w:rFonts w:ascii="Arabic Typesetting" w:hAnsi="Arabic Typesetting" w:cs="Arabic Typesetting"/>
                <w:sz w:val="28"/>
                <w:szCs w:val="28"/>
                <w:rtl/>
              </w:rPr>
              <w:t>سيتاح لمكتب المدير العام وفريق الإدارة العليا نظام موحد لتوزيع مهام إنشاء الردود على المراسلات الخارجية وتعقبها، وسينتج عن ذلك:</w:t>
            </w:r>
          </w:p>
          <w:p w14:paraId="6B389A97" w14:textId="77777777" w:rsidR="00BD3831" w:rsidRPr="00FE1DBC" w:rsidRDefault="00BD3831" w:rsidP="0031289D">
            <w:pPr>
              <w:numPr>
                <w:ilvl w:val="0"/>
                <w:numId w:val="56"/>
              </w:numPr>
              <w:bidi/>
              <w:ind w:left="318" w:hanging="318"/>
              <w:contextualSpacing/>
              <w:rPr>
                <w:rFonts w:ascii="Arabic Typesetting" w:hAnsi="Arabic Typesetting" w:cs="Arabic Typesetting"/>
                <w:sz w:val="28"/>
                <w:szCs w:val="28"/>
              </w:rPr>
            </w:pPr>
            <w:r w:rsidRPr="00FE1DBC">
              <w:rPr>
                <w:rFonts w:ascii="Arabic Typesetting" w:hAnsi="Arabic Typesetting" w:cs="Arabic Typesetting"/>
                <w:sz w:val="28"/>
                <w:szCs w:val="28"/>
                <w:rtl/>
              </w:rPr>
              <w:t>تقليل الوقت المستغرق في إكمال الرد على المراسلات الخارجية ولن يتعين توزيع الردود ماديا في مجمع الويبو، ومن ثم الإسهام في تحقيق أهداف وقت الرد؛</w:t>
            </w:r>
          </w:p>
          <w:p w14:paraId="758F88DD" w14:textId="77777777" w:rsidR="00BD3831" w:rsidRPr="00FE1DBC" w:rsidRDefault="00BD3831" w:rsidP="0031289D">
            <w:pPr>
              <w:bidi/>
              <w:rPr>
                <w:rFonts w:ascii="Arabic Typesetting" w:hAnsi="Arabic Typesetting" w:cs="Arabic Typesetting"/>
                <w:b/>
                <w:bCs/>
                <w:i/>
                <w:iCs/>
                <w:sz w:val="28"/>
                <w:szCs w:val="28"/>
              </w:rPr>
            </w:pPr>
            <w:r w:rsidRPr="00FE1DBC">
              <w:rPr>
                <w:rFonts w:ascii="Arabic Typesetting" w:hAnsi="Arabic Typesetting" w:cs="Arabic Typesetting"/>
                <w:i/>
                <w:iCs/>
                <w:sz w:val="28"/>
                <w:szCs w:val="28"/>
                <w:rtl/>
              </w:rPr>
              <w:t>ستكون حالة كل رد على مراسلة خارجية والتقدم المحرز بشأنه معلومين من خلال لوحة بيانات إدارية، ومن ثم سيقل مجهود الموظفين المطلوب لتعقب حالة الردود لضمان امتثالها للأهداف، وبذلك يكون الموظفون الإداريو</w:t>
            </w:r>
            <w:r>
              <w:rPr>
                <w:rFonts w:ascii="Arabic Typesetting" w:hAnsi="Arabic Typesetting" w:cs="Arabic Typesetting"/>
                <w:i/>
                <w:iCs/>
                <w:sz w:val="28"/>
                <w:szCs w:val="28"/>
                <w:rtl/>
              </w:rPr>
              <w:t>ن أحرار</w:t>
            </w:r>
            <w:r w:rsidRPr="00FE1DBC">
              <w:rPr>
                <w:rFonts w:ascii="Arabic Typesetting" w:hAnsi="Arabic Typesetting" w:cs="Arabic Typesetting"/>
                <w:i/>
                <w:iCs/>
                <w:sz w:val="28"/>
                <w:szCs w:val="28"/>
                <w:rtl/>
              </w:rPr>
              <w:t>ا</w:t>
            </w:r>
            <w:r>
              <w:rPr>
                <w:rFonts w:ascii="Arabic Typesetting" w:hAnsi="Arabic Typesetting" w:cs="Arabic Typesetting" w:hint="cs"/>
                <w:i/>
                <w:iCs/>
                <w:sz w:val="28"/>
                <w:szCs w:val="28"/>
                <w:rtl/>
              </w:rPr>
              <w:t>ً</w:t>
            </w:r>
            <w:r w:rsidRPr="00FE1DBC">
              <w:rPr>
                <w:rFonts w:ascii="Arabic Typesetting" w:hAnsi="Arabic Typesetting" w:cs="Arabic Typesetting"/>
                <w:i/>
                <w:iCs/>
                <w:sz w:val="28"/>
                <w:szCs w:val="28"/>
                <w:rtl/>
              </w:rPr>
              <w:t xml:space="preserve"> للتركيز على أنشطة أخرى.</w:t>
            </w:r>
          </w:p>
        </w:tc>
        <w:tc>
          <w:tcPr>
            <w:tcW w:w="2582" w:type="pct"/>
          </w:tcPr>
          <w:p w14:paraId="1E8289C9" w14:textId="77777777" w:rsidR="00BD3831" w:rsidRPr="00FE1DBC" w:rsidRDefault="00BD3831" w:rsidP="0031289D">
            <w:pPr>
              <w:rPr>
                <w:rFonts w:ascii="Arabic Typesetting" w:hAnsi="Arabic Typesetting" w:cs="Arabic Typesetting"/>
                <w:b/>
                <w:bCs/>
                <w:i/>
                <w:iCs/>
                <w:sz w:val="28"/>
                <w:szCs w:val="28"/>
              </w:rPr>
            </w:pPr>
          </w:p>
        </w:tc>
      </w:tr>
    </w:tbl>
    <w:p w14:paraId="63FA8114" w14:textId="77777777" w:rsidR="00BD3831" w:rsidRPr="00E551B2" w:rsidRDefault="00BD3831" w:rsidP="0031289D">
      <w:pPr>
        <w:keepNext/>
        <w:bidi/>
        <w:spacing w:before="120" w:after="12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t>استخدام الموارد</w:t>
      </w:r>
      <w:r w:rsidRPr="00E551B2">
        <w:rPr>
          <w:rFonts w:ascii="Arabic Typesetting" w:hAnsi="Arabic Typesetting" w:cs="Arabic Typesetting"/>
          <w:sz w:val="28"/>
          <w:szCs w:val="28"/>
          <w:vertAlign w:val="superscript"/>
          <w:rtl/>
          <w:lang w:val="fr-CH" w:bidi="ar-EG"/>
        </w:rPr>
        <w:footnoteReference w:id="115"/>
      </w:r>
    </w:p>
    <w:p w14:paraId="1C36B6DB" w14:textId="77777777" w:rsidR="00BD3831" w:rsidRPr="00E551B2" w:rsidRDefault="00BD3831" w:rsidP="0031289D">
      <w:pPr>
        <w:keepNext/>
        <w:keepLines/>
        <w:autoSpaceDE w:val="0"/>
        <w:autoSpaceDN w:val="0"/>
        <w:bidi/>
        <w:adjustRightInd w:val="0"/>
        <w:jc w:val="center"/>
        <w:rPr>
          <w:rFonts w:ascii="Arabic Typesetting" w:hAnsi="Arabic Typesetting" w:cs="Arabic Typesetting"/>
          <w:sz w:val="34"/>
          <w:szCs w:val="34"/>
          <w:rtl/>
          <w:lang w:bidi="ar-EG"/>
        </w:rPr>
      </w:pPr>
      <w:r w:rsidRPr="00E551B2">
        <w:rPr>
          <w:rFonts w:ascii="Arabic Typesetting" w:hAnsi="Arabic Typesetting" w:cs="Arabic Typesetting"/>
          <w:bCs/>
          <w:sz w:val="34"/>
          <w:szCs w:val="34"/>
          <w:rtl/>
          <w:lang w:bidi="ar-EG"/>
        </w:rPr>
        <w:t>استخدام ميزانية المشروع</w:t>
      </w:r>
    </w:p>
    <w:p w14:paraId="7A11BA2F" w14:textId="77777777" w:rsidR="00BD3831" w:rsidRPr="00E551B2" w:rsidRDefault="00BD3831" w:rsidP="0031289D">
      <w:pPr>
        <w:keepNext/>
        <w:keepLines/>
        <w:autoSpaceDE w:val="0"/>
        <w:autoSpaceDN w:val="0"/>
        <w:bidi/>
        <w:adjustRightInd w:val="0"/>
        <w:spacing w:after="120"/>
        <w:jc w:val="center"/>
        <w:rPr>
          <w:rFonts w:ascii="Arabic Typesetting" w:hAnsi="Arabic Typesetting" w:cs="Arabic Typesetting"/>
          <w:color w:val="000000"/>
          <w:sz w:val="36"/>
          <w:szCs w:val="36"/>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 xml:space="preserve">بالفرنك </w:t>
      </w:r>
      <w:r w:rsidRPr="00F90607">
        <w:rPr>
          <w:rFonts w:ascii="Arabic Typesetting" w:hAnsi="Arabic Typesetting" w:cs="Arabic Typesetting"/>
          <w:i/>
          <w:iCs/>
          <w:sz w:val="34"/>
          <w:szCs w:val="34"/>
          <w:rtl/>
          <w:lang w:val="fr-CH"/>
        </w:rPr>
        <w:t>السويسري</w:t>
      </w:r>
      <w:r>
        <w:rPr>
          <w:rFonts w:ascii="Arabic Typesetting" w:hAnsi="Arabic Typesetting" w:cs="Arabic Typesetting"/>
          <w:iCs/>
          <w:sz w:val="34"/>
          <w:szCs w:val="34"/>
          <w:rtl/>
          <w:lang w:bidi="ar-EG"/>
        </w:rPr>
        <w:t>، في 31 ديسمبر 2016</w:t>
      </w:r>
      <w:r w:rsidRPr="00E551B2">
        <w:rPr>
          <w:rFonts w:ascii="Arabic Typesetting" w:hAnsi="Arabic Typesetting" w:cs="Arabic Typesetting"/>
          <w:iCs/>
          <w:sz w:val="34"/>
          <w:szCs w:val="34"/>
          <w:rtl/>
          <w:lang w:bidi="ar-EG"/>
        </w:rPr>
        <w:t>)</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627"/>
        <w:gridCol w:w="1629"/>
        <w:gridCol w:w="1629"/>
        <w:gridCol w:w="1627"/>
      </w:tblGrid>
      <w:tr w:rsidR="00BD3831" w:rsidRPr="00E551B2" w14:paraId="625D0B38" w14:textId="77777777" w:rsidTr="00DF6715">
        <w:trPr>
          <w:trHeight w:val="410"/>
        </w:trPr>
        <w:tc>
          <w:tcPr>
            <w:tcW w:w="1598" w:type="pct"/>
            <w:shd w:val="clear" w:color="auto" w:fill="C6D9F1"/>
            <w:vAlign w:val="center"/>
          </w:tcPr>
          <w:p w14:paraId="152099FC" w14:textId="77777777" w:rsidR="00BD3831" w:rsidRPr="00E551B2" w:rsidRDefault="00BD3831" w:rsidP="0031289D">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اسم المشروع</w:t>
            </w:r>
          </w:p>
        </w:tc>
        <w:tc>
          <w:tcPr>
            <w:tcW w:w="850" w:type="pct"/>
            <w:shd w:val="clear" w:color="auto" w:fill="C6D9F1"/>
            <w:vAlign w:val="center"/>
          </w:tcPr>
          <w:p w14:paraId="1EC0043C" w14:textId="77777777" w:rsidR="00BD3831" w:rsidRPr="00E551B2" w:rsidRDefault="00BD3831" w:rsidP="0031289D">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14:paraId="476F214D" w14:textId="77777777" w:rsidR="00BD3831" w:rsidRPr="00E551B2"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14:paraId="0D5D66F6" w14:textId="77777777" w:rsidR="00BD3831" w:rsidRPr="00E551B2" w:rsidRDefault="00BD3831" w:rsidP="0031289D">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14:paraId="534392A1" w14:textId="77777777" w:rsidR="00BD3831" w:rsidRPr="00E551B2" w:rsidRDefault="00BD3831" w:rsidP="0031289D">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معدل التقدم المحرز في تنفيذ المشروع</w:t>
            </w:r>
          </w:p>
        </w:tc>
      </w:tr>
      <w:tr w:rsidR="00BD3831" w:rsidRPr="00E551B2" w14:paraId="4585C2A9" w14:textId="77777777" w:rsidTr="00DF6715">
        <w:trPr>
          <w:trHeight w:val="389"/>
        </w:trPr>
        <w:tc>
          <w:tcPr>
            <w:tcW w:w="1598" w:type="pct"/>
            <w:vAlign w:val="center"/>
          </w:tcPr>
          <w:p w14:paraId="2684504B"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E551B2">
              <w:rPr>
                <w:rFonts w:ascii="Arabic Typesetting" w:hAnsi="Arabic Typesetting" w:cs="Arabic Typesetting"/>
                <w:sz w:val="28"/>
                <w:szCs w:val="28"/>
                <w:rtl/>
                <w:lang w:bidi="ar-EG"/>
              </w:rPr>
              <w:t>مشروع تنفيذ نظام إدارة المعلومات المؤسسية</w:t>
            </w:r>
          </w:p>
        </w:tc>
        <w:tc>
          <w:tcPr>
            <w:tcW w:w="850" w:type="pct"/>
            <w:vAlign w:val="center"/>
          </w:tcPr>
          <w:p w14:paraId="3D0904C5" w14:textId="77777777" w:rsidR="00BD3831" w:rsidRPr="00FA719C" w:rsidRDefault="00BD3831" w:rsidP="0031289D">
            <w:pPr>
              <w:autoSpaceDE w:val="0"/>
              <w:autoSpaceDN w:val="0"/>
              <w:bidi/>
              <w:adjustRightInd w:val="0"/>
              <w:jc w:val="center"/>
              <w:rPr>
                <w:rFonts w:ascii="Arabic Typesetting" w:hAnsi="Arabic Typesetting" w:cs="Arabic Typesetting"/>
                <w:sz w:val="28"/>
                <w:szCs w:val="28"/>
              </w:rPr>
            </w:pPr>
            <w:r w:rsidRPr="00FA719C">
              <w:rPr>
                <w:rFonts w:ascii="Arabic Typesetting" w:hAnsi="Arabic Typesetting" w:cs="Arabic Typesetting"/>
                <w:sz w:val="28"/>
                <w:szCs w:val="28"/>
              </w:rPr>
              <w:t>2</w:t>
            </w:r>
            <w:r>
              <w:rPr>
                <w:rFonts w:ascii="Arabic Typesetting" w:hAnsi="Arabic Typesetting" w:cs="Arabic Typesetting"/>
                <w:sz w:val="28"/>
                <w:szCs w:val="28"/>
              </w:rPr>
              <w:t> </w:t>
            </w:r>
            <w:r w:rsidRPr="00FA719C">
              <w:rPr>
                <w:rFonts w:ascii="Arabic Typesetting" w:hAnsi="Arabic Typesetting" w:cs="Arabic Typesetting"/>
                <w:sz w:val="28"/>
                <w:szCs w:val="28"/>
              </w:rPr>
              <w:t>068</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1" w:type="pct"/>
            <w:vAlign w:val="center"/>
          </w:tcPr>
          <w:p w14:paraId="1E08C3E6" w14:textId="77777777" w:rsidR="00BD3831" w:rsidRPr="00FA719C" w:rsidRDefault="00BD3831" w:rsidP="0031289D">
            <w:pPr>
              <w:autoSpaceDE w:val="0"/>
              <w:autoSpaceDN w:val="0"/>
              <w:bidi/>
              <w:adjustRightInd w:val="0"/>
              <w:jc w:val="center"/>
              <w:rPr>
                <w:rFonts w:ascii="Arabic Typesetting" w:hAnsi="Arabic Typesetting" w:cs="Arabic Typesetting"/>
                <w:sz w:val="28"/>
                <w:szCs w:val="28"/>
              </w:rPr>
            </w:pPr>
            <w:r w:rsidRPr="00FA719C">
              <w:rPr>
                <w:rFonts w:ascii="Arabic Typesetting" w:hAnsi="Arabic Typesetting" w:cs="Arabic Typesetting"/>
                <w:sz w:val="28"/>
                <w:szCs w:val="28"/>
              </w:rPr>
              <w:t>524</w:t>
            </w:r>
            <w:r>
              <w:rPr>
                <w:rFonts w:ascii="Arabic Typesetting" w:hAnsi="Arabic Typesetting" w:cs="Arabic Typesetting"/>
                <w:sz w:val="28"/>
                <w:szCs w:val="28"/>
              </w:rPr>
              <w:t> </w:t>
            </w:r>
            <w:r w:rsidRPr="00FA719C">
              <w:rPr>
                <w:rFonts w:ascii="Arabic Typesetting" w:hAnsi="Arabic Typesetting" w:cs="Arabic Typesetting"/>
                <w:sz w:val="28"/>
                <w:szCs w:val="28"/>
              </w:rPr>
              <w:t>491</w:t>
            </w:r>
          </w:p>
        </w:tc>
        <w:tc>
          <w:tcPr>
            <w:tcW w:w="851" w:type="pct"/>
            <w:vAlign w:val="center"/>
          </w:tcPr>
          <w:p w14:paraId="51500939" w14:textId="77777777" w:rsidR="00BD3831" w:rsidRPr="00FA719C" w:rsidRDefault="00BD3831" w:rsidP="0031289D">
            <w:pPr>
              <w:autoSpaceDE w:val="0"/>
              <w:autoSpaceDN w:val="0"/>
              <w:bidi/>
              <w:adjustRightInd w:val="0"/>
              <w:jc w:val="center"/>
              <w:rPr>
                <w:rFonts w:ascii="Arabic Typesetting" w:hAnsi="Arabic Typesetting" w:cs="Arabic Typesetting"/>
                <w:sz w:val="28"/>
                <w:szCs w:val="28"/>
              </w:rPr>
            </w:pPr>
            <w:r w:rsidRPr="00FA719C">
              <w:rPr>
                <w:rFonts w:ascii="Arabic Typesetting" w:hAnsi="Arabic Typesetting" w:cs="Arabic Typesetting"/>
                <w:sz w:val="28"/>
                <w:szCs w:val="28"/>
              </w:rPr>
              <w:t>%25.4</w:t>
            </w:r>
          </w:p>
        </w:tc>
        <w:tc>
          <w:tcPr>
            <w:tcW w:w="850" w:type="pct"/>
            <w:vAlign w:val="center"/>
          </w:tcPr>
          <w:p w14:paraId="067EB22B" w14:textId="77777777" w:rsidR="00BD3831" w:rsidRPr="00FA719C" w:rsidRDefault="00BD3831" w:rsidP="0031289D">
            <w:pPr>
              <w:autoSpaceDE w:val="0"/>
              <w:autoSpaceDN w:val="0"/>
              <w:bidi/>
              <w:adjustRightInd w:val="0"/>
              <w:jc w:val="center"/>
              <w:rPr>
                <w:rFonts w:ascii="Arabic Typesetting" w:hAnsi="Arabic Typesetting" w:cs="Arabic Typesetting"/>
                <w:sz w:val="28"/>
                <w:szCs w:val="28"/>
              </w:rPr>
            </w:pPr>
            <w:r w:rsidRPr="00FA719C">
              <w:rPr>
                <w:rFonts w:ascii="Arabic Typesetting" w:hAnsi="Arabic Typesetting" w:cs="Arabic Typesetting"/>
                <w:sz w:val="28"/>
                <w:szCs w:val="28"/>
              </w:rPr>
              <w:t>%25</w:t>
            </w:r>
          </w:p>
        </w:tc>
      </w:tr>
    </w:tbl>
    <w:p w14:paraId="37899939" w14:textId="77777777" w:rsidR="00BD3831" w:rsidRPr="00E551B2" w:rsidRDefault="00BD3831" w:rsidP="0031289D">
      <w:pPr>
        <w:keepNext/>
        <w:pageBreakBefore/>
        <w:bidi/>
        <w:spacing w:before="120" w:line="340" w:lineRule="exact"/>
        <w:jc w:val="center"/>
        <w:rPr>
          <w:rFonts w:ascii="Arabic Typesetting" w:hAnsi="Arabic Typesetting" w:cs="Arabic Typesetting"/>
          <w:bCs/>
          <w:sz w:val="34"/>
          <w:szCs w:val="34"/>
          <w:rtl/>
          <w:lang w:val="fr-CH"/>
        </w:rPr>
      </w:pPr>
      <w:r w:rsidRPr="00E551B2">
        <w:rPr>
          <w:rFonts w:ascii="Arabic Typesetting" w:hAnsi="Arabic Typesetting" w:cs="Arabic Typesetting"/>
          <w:bCs/>
          <w:sz w:val="34"/>
          <w:szCs w:val="34"/>
          <w:rtl/>
          <w:lang w:val="fr-CH"/>
        </w:rPr>
        <w:lastRenderedPageBreak/>
        <w:t>استخدام ميزانية المشروع (حسب المعالم)</w:t>
      </w:r>
    </w:p>
    <w:p w14:paraId="34C7F2A7" w14:textId="77777777" w:rsidR="00BD3831" w:rsidRPr="00E551B2" w:rsidRDefault="00BD3831" w:rsidP="0031289D">
      <w:pPr>
        <w:keepNext/>
        <w:keepLines/>
        <w:autoSpaceDE w:val="0"/>
        <w:autoSpaceDN w:val="0"/>
        <w:bidi/>
        <w:adjustRightInd w:val="0"/>
        <w:spacing w:after="120"/>
        <w:jc w:val="center"/>
        <w:rPr>
          <w:rFonts w:ascii="Arabic Typesetting" w:hAnsi="Arabic Typesetting" w:cs="Arabic Typesetting"/>
          <w:i/>
          <w:iCs/>
          <w:sz w:val="34"/>
          <w:szCs w:val="34"/>
          <w:lang w:val="fr-CH"/>
        </w:rPr>
      </w:pPr>
      <w:r w:rsidRPr="00E551B2">
        <w:rPr>
          <w:rFonts w:ascii="Arabic Typesetting" w:hAnsi="Arabic Typesetting" w:cs="Arabic Typesetting"/>
          <w:i/>
          <w:iCs/>
          <w:sz w:val="34"/>
          <w:szCs w:val="34"/>
          <w:rtl/>
          <w:lang w:val="fr-CH"/>
        </w:rPr>
        <w:t>(</w:t>
      </w:r>
      <w:r>
        <w:rPr>
          <w:rFonts w:ascii="Arabic Typesetting" w:hAnsi="Arabic Typesetting" w:cs="Arabic Typesetting"/>
          <w:i/>
          <w:iCs/>
          <w:sz w:val="34"/>
          <w:szCs w:val="34"/>
          <w:rtl/>
          <w:lang w:val="fr-CH"/>
        </w:rPr>
        <w:t>بالفرنك السويسري، في 31 ديسمبر 2016</w:t>
      </w:r>
      <w:r w:rsidRPr="00E551B2">
        <w:rPr>
          <w:rFonts w:ascii="Arabic Typesetting" w:hAnsi="Arabic Typesetting" w:cs="Arabic Typesetting"/>
          <w:i/>
          <w:iCs/>
          <w:sz w:val="34"/>
          <w:szCs w:val="34"/>
          <w:rtl/>
          <w:lang w:val="fr-CH"/>
        </w:rPr>
        <w:t>)</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1639"/>
        <w:gridCol w:w="1639"/>
        <w:gridCol w:w="1639"/>
        <w:gridCol w:w="1639"/>
      </w:tblGrid>
      <w:tr w:rsidR="00BD3831" w:rsidRPr="00E551B2" w14:paraId="4BAF68E9" w14:textId="77777777" w:rsidTr="00DF6715">
        <w:trPr>
          <w:trHeight w:val="410"/>
        </w:trPr>
        <w:tc>
          <w:tcPr>
            <w:tcW w:w="1575" w:type="pct"/>
            <w:shd w:val="clear" w:color="auto" w:fill="C6D9F1"/>
            <w:vAlign w:val="center"/>
          </w:tcPr>
          <w:p w14:paraId="75B4CD6D" w14:textId="77777777" w:rsidR="00BD3831" w:rsidRPr="00E551B2" w:rsidRDefault="00BD3831" w:rsidP="0031289D">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14:paraId="3439C9DB" w14:textId="77777777" w:rsidR="00BD3831" w:rsidRPr="00E551B2" w:rsidRDefault="00BD3831" w:rsidP="0031289D">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14:paraId="2801A8C2" w14:textId="77777777" w:rsidR="00BD3831" w:rsidRPr="00E551B2"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14:paraId="62B3D7EA" w14:textId="77777777" w:rsidR="00BD3831" w:rsidRPr="00E551B2" w:rsidRDefault="00BD3831" w:rsidP="0031289D">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14:paraId="286F2A1D" w14:textId="77777777" w:rsidR="00BD3831" w:rsidRPr="00E551B2" w:rsidRDefault="00BD3831" w:rsidP="0031289D">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معدل التقدم المحرز في تنفيذ المشروع حسب المعالم</w:t>
            </w:r>
          </w:p>
        </w:tc>
      </w:tr>
      <w:tr w:rsidR="00BD3831" w:rsidRPr="00E551B2" w14:paraId="04FC8DFE" w14:textId="77777777" w:rsidTr="00DF6715">
        <w:trPr>
          <w:trHeight w:val="389"/>
        </w:trPr>
        <w:tc>
          <w:tcPr>
            <w:tcW w:w="1575" w:type="pct"/>
            <w:vAlign w:val="center"/>
          </w:tcPr>
          <w:p w14:paraId="23588C56"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E551B2">
              <w:rPr>
                <w:rFonts w:ascii="Arabic Typesetting" w:hAnsi="Arabic Typesetting" w:cs="Arabic Typesetting" w:hint="cs"/>
                <w:sz w:val="28"/>
                <w:szCs w:val="28"/>
                <w:rtl/>
                <w:lang w:bidi="ar-EG"/>
              </w:rPr>
              <w:t>دراسة النهج وتطويره، بما في ذلك اختيار تكنولوجيا إدارة المعلومات المؤسسية</w:t>
            </w:r>
          </w:p>
        </w:tc>
        <w:tc>
          <w:tcPr>
            <w:tcW w:w="856" w:type="pct"/>
            <w:vAlign w:val="center"/>
          </w:tcPr>
          <w:p w14:paraId="170C82FB"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36</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56099273"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36</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4844399E"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p>
        </w:tc>
        <w:tc>
          <w:tcPr>
            <w:tcW w:w="856" w:type="pct"/>
            <w:vAlign w:val="center"/>
          </w:tcPr>
          <w:p w14:paraId="7C633531"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p>
        </w:tc>
      </w:tr>
      <w:tr w:rsidR="00BD3831" w:rsidRPr="00E551B2" w14:paraId="016972A4" w14:textId="77777777" w:rsidTr="00DF6715">
        <w:trPr>
          <w:trHeight w:val="389"/>
        </w:trPr>
        <w:tc>
          <w:tcPr>
            <w:tcW w:w="1575" w:type="pct"/>
            <w:vAlign w:val="center"/>
          </w:tcPr>
          <w:p w14:paraId="67E0000B"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E551B2">
              <w:rPr>
                <w:rFonts w:ascii="Arabic Typesetting" w:hAnsi="Arabic Typesetting" w:cs="Arabic Typesetting" w:hint="cs"/>
                <w:sz w:val="28"/>
                <w:szCs w:val="28"/>
                <w:rtl/>
                <w:lang w:bidi="ar-EG"/>
              </w:rPr>
              <w:t>إعادة تصميم منصة نظام السجلات والمحفوظات المؤسسية القائم وتحديث إصداره</w:t>
            </w:r>
          </w:p>
        </w:tc>
        <w:tc>
          <w:tcPr>
            <w:tcW w:w="856" w:type="pct"/>
            <w:vAlign w:val="center"/>
          </w:tcPr>
          <w:p w14:paraId="176E9DBC"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42</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09A5F2D1"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42</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3E60F446"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p>
        </w:tc>
        <w:tc>
          <w:tcPr>
            <w:tcW w:w="856" w:type="pct"/>
            <w:vAlign w:val="center"/>
          </w:tcPr>
          <w:p w14:paraId="2887EBAF"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p>
        </w:tc>
      </w:tr>
      <w:tr w:rsidR="00BD3831" w:rsidRPr="00E551B2" w14:paraId="4F018415" w14:textId="77777777" w:rsidTr="00DF6715">
        <w:trPr>
          <w:trHeight w:val="389"/>
        </w:trPr>
        <w:tc>
          <w:tcPr>
            <w:tcW w:w="1575" w:type="pct"/>
            <w:vAlign w:val="center"/>
          </w:tcPr>
          <w:p w14:paraId="455FBDCB"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منح العقد لمدير المشروع وأخصائي إدارة المعلومات المؤسسية من جهة العميل</w:t>
            </w:r>
          </w:p>
        </w:tc>
        <w:tc>
          <w:tcPr>
            <w:tcW w:w="856" w:type="pct"/>
            <w:vAlign w:val="center"/>
          </w:tcPr>
          <w:p w14:paraId="0500E1C7"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400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0DE243BF"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r>
              <w:rPr>
                <w:rFonts w:ascii="Arabic Typesetting" w:hAnsi="Arabic Typesetting" w:cs="Arabic Typesetting"/>
                <w:sz w:val="28"/>
                <w:szCs w:val="28"/>
              </w:rPr>
              <w:t> </w:t>
            </w:r>
            <w:r w:rsidRPr="00FA719C">
              <w:rPr>
                <w:rFonts w:ascii="Arabic Typesetting" w:hAnsi="Arabic Typesetting" w:cs="Arabic Typesetting"/>
                <w:sz w:val="28"/>
                <w:szCs w:val="28"/>
              </w:rPr>
              <w:t>336</w:t>
            </w:r>
          </w:p>
        </w:tc>
        <w:tc>
          <w:tcPr>
            <w:tcW w:w="856" w:type="pct"/>
            <w:vAlign w:val="center"/>
          </w:tcPr>
          <w:p w14:paraId="3C4DAF8F"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%25.1</w:t>
            </w:r>
          </w:p>
        </w:tc>
        <w:tc>
          <w:tcPr>
            <w:tcW w:w="856" w:type="pct"/>
            <w:vAlign w:val="center"/>
          </w:tcPr>
          <w:p w14:paraId="0B54CB22"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%25</w:t>
            </w:r>
          </w:p>
        </w:tc>
      </w:tr>
      <w:tr w:rsidR="00BD3831" w:rsidRPr="00E551B2" w14:paraId="4B2B1CD4" w14:textId="77777777" w:rsidTr="00DF6715">
        <w:trPr>
          <w:trHeight w:val="389"/>
        </w:trPr>
        <w:tc>
          <w:tcPr>
            <w:tcW w:w="1575" w:type="pct"/>
            <w:vAlign w:val="center"/>
          </w:tcPr>
          <w:p w14:paraId="08350455"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رسوم استضافة وصيانة إدارة المعلومات المؤسسية</w:t>
            </w:r>
          </w:p>
        </w:tc>
        <w:tc>
          <w:tcPr>
            <w:tcW w:w="856" w:type="pct"/>
            <w:vAlign w:val="center"/>
          </w:tcPr>
          <w:p w14:paraId="74F3D72A"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978</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49925F7E"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294</w:t>
            </w:r>
            <w:r>
              <w:rPr>
                <w:rFonts w:ascii="Arabic Typesetting" w:hAnsi="Arabic Typesetting" w:cs="Arabic Typesetting"/>
                <w:sz w:val="28"/>
                <w:szCs w:val="28"/>
              </w:rPr>
              <w:t> </w:t>
            </w:r>
            <w:r w:rsidRPr="00FA719C">
              <w:rPr>
                <w:rFonts w:ascii="Arabic Typesetting" w:hAnsi="Arabic Typesetting" w:cs="Arabic Typesetting"/>
                <w:sz w:val="28"/>
                <w:szCs w:val="28"/>
              </w:rPr>
              <w:t>766</w:t>
            </w:r>
          </w:p>
        </w:tc>
        <w:tc>
          <w:tcPr>
            <w:tcW w:w="856" w:type="pct"/>
            <w:vAlign w:val="center"/>
          </w:tcPr>
          <w:p w14:paraId="0F663AB8"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%30.1</w:t>
            </w:r>
          </w:p>
        </w:tc>
        <w:tc>
          <w:tcPr>
            <w:tcW w:w="856" w:type="pct"/>
            <w:vAlign w:val="center"/>
          </w:tcPr>
          <w:p w14:paraId="5FE7656E"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%30</w:t>
            </w:r>
          </w:p>
        </w:tc>
      </w:tr>
      <w:tr w:rsidR="00BD3831" w:rsidRPr="00E551B2" w14:paraId="36E5CF8C" w14:textId="77777777" w:rsidTr="00DF6715">
        <w:trPr>
          <w:trHeight w:val="389"/>
        </w:trPr>
        <w:tc>
          <w:tcPr>
            <w:tcW w:w="1575" w:type="pct"/>
            <w:vAlign w:val="center"/>
          </w:tcPr>
          <w:p w14:paraId="4FFDD21F"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color w:val="000000"/>
                <w:sz w:val="28"/>
                <w:szCs w:val="28"/>
                <w:rtl/>
              </w:rPr>
            </w:pPr>
            <w:r w:rsidRPr="00E551B2">
              <w:rPr>
                <w:rFonts w:ascii="Arabic Typesetting" w:hAnsi="Arabic Typesetting" w:cs="Arabic Typesetting" w:hint="cs"/>
                <w:color w:val="000000"/>
                <w:sz w:val="28"/>
                <w:szCs w:val="28"/>
                <w:rtl/>
                <w:lang w:bidi="ar-EG"/>
              </w:rPr>
              <w:t>التركيب</w:t>
            </w:r>
            <w:r w:rsidRPr="00E551B2">
              <w:rPr>
                <w:rFonts w:ascii="Arabic Typesetting" w:hAnsi="Arabic Typesetting" w:cs="Arabic Typesetting" w:hint="cs"/>
                <w:color w:val="000000"/>
                <w:sz w:val="28"/>
                <w:szCs w:val="28"/>
                <w:rtl/>
              </w:rPr>
              <w:t xml:space="preserve"> والتكوين الأساسي</w:t>
            </w:r>
          </w:p>
        </w:tc>
        <w:tc>
          <w:tcPr>
            <w:tcW w:w="856" w:type="pct"/>
            <w:vAlign w:val="center"/>
          </w:tcPr>
          <w:p w14:paraId="5772D8AF"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205</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6BEFA137"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51</w:t>
            </w:r>
            <w:r>
              <w:rPr>
                <w:rFonts w:ascii="Arabic Typesetting" w:hAnsi="Arabic Typesetting" w:cs="Arabic Typesetting"/>
                <w:sz w:val="28"/>
                <w:szCs w:val="28"/>
              </w:rPr>
              <w:t> </w:t>
            </w:r>
            <w:r w:rsidRPr="00FA719C">
              <w:rPr>
                <w:rFonts w:ascii="Arabic Typesetting" w:hAnsi="Arabic Typesetting" w:cs="Arabic Typesetting"/>
                <w:sz w:val="28"/>
                <w:szCs w:val="28"/>
              </w:rPr>
              <w:t>388</w:t>
            </w:r>
          </w:p>
        </w:tc>
        <w:tc>
          <w:tcPr>
            <w:tcW w:w="856" w:type="pct"/>
            <w:vAlign w:val="center"/>
          </w:tcPr>
          <w:p w14:paraId="6308AD8B"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%25.1</w:t>
            </w:r>
          </w:p>
        </w:tc>
        <w:tc>
          <w:tcPr>
            <w:tcW w:w="856" w:type="pct"/>
            <w:vAlign w:val="center"/>
          </w:tcPr>
          <w:p w14:paraId="5EF6A35B"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%25</w:t>
            </w:r>
          </w:p>
        </w:tc>
      </w:tr>
      <w:tr w:rsidR="00BD3831" w:rsidRPr="00E551B2" w14:paraId="51D372C6" w14:textId="77777777" w:rsidTr="00DF6715">
        <w:trPr>
          <w:trHeight w:val="389"/>
        </w:trPr>
        <w:tc>
          <w:tcPr>
            <w:tcW w:w="1575" w:type="pct"/>
            <w:vAlign w:val="center"/>
          </w:tcPr>
          <w:p w14:paraId="29580082"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المشروع 1: إدارة طلبات الترجمة</w:t>
            </w:r>
          </w:p>
        </w:tc>
        <w:tc>
          <w:tcPr>
            <w:tcW w:w="856" w:type="pct"/>
            <w:vAlign w:val="center"/>
          </w:tcPr>
          <w:p w14:paraId="30183C1E"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58</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2CC709EA"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6AD426A1"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67DAD969"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r>
      <w:tr w:rsidR="00BD3831" w:rsidRPr="00E551B2" w14:paraId="55C22ACA" w14:textId="77777777" w:rsidTr="00DF6715">
        <w:trPr>
          <w:trHeight w:val="389"/>
        </w:trPr>
        <w:tc>
          <w:tcPr>
            <w:tcW w:w="1575" w:type="pct"/>
            <w:vAlign w:val="center"/>
          </w:tcPr>
          <w:p w14:paraId="37E709C5"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المشروع 2: البريد الوارد إلى مكتب المدير</w:t>
            </w:r>
            <w:r>
              <w:rPr>
                <w:rFonts w:ascii="Arabic Typesetting" w:hAnsi="Arabic Typesetting" w:cs="Arabic Typesetting" w:hint="eastAsia"/>
                <w:color w:val="000000"/>
                <w:sz w:val="28"/>
                <w:szCs w:val="28"/>
                <w:rtl/>
                <w:lang w:bidi="ar-EG"/>
              </w:rPr>
              <w:t> </w:t>
            </w:r>
            <w:r w:rsidRPr="00E551B2">
              <w:rPr>
                <w:rFonts w:ascii="Arabic Typesetting" w:hAnsi="Arabic Typesetting" w:cs="Arabic Typesetting" w:hint="cs"/>
                <w:color w:val="000000"/>
                <w:sz w:val="28"/>
                <w:szCs w:val="28"/>
                <w:rtl/>
                <w:lang w:bidi="ar-EG"/>
              </w:rPr>
              <w:t>العام</w:t>
            </w:r>
          </w:p>
        </w:tc>
        <w:tc>
          <w:tcPr>
            <w:tcW w:w="856" w:type="pct"/>
            <w:vAlign w:val="center"/>
          </w:tcPr>
          <w:p w14:paraId="356E9D5D"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80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6F97C79B"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2CD188CF"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7D7A3EA5"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r>
      <w:tr w:rsidR="00BD3831" w:rsidRPr="00E551B2" w14:paraId="39D4F5A7" w14:textId="77777777" w:rsidTr="00DF6715">
        <w:trPr>
          <w:trHeight w:val="389"/>
        </w:trPr>
        <w:tc>
          <w:tcPr>
            <w:tcW w:w="1575" w:type="pct"/>
            <w:vAlign w:val="center"/>
          </w:tcPr>
          <w:p w14:paraId="14F06220"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المشروع 3: إدارة البائعين والعقود</w:t>
            </w:r>
          </w:p>
        </w:tc>
        <w:tc>
          <w:tcPr>
            <w:tcW w:w="856" w:type="pct"/>
            <w:vAlign w:val="center"/>
          </w:tcPr>
          <w:p w14:paraId="64F117D3"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46</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102BEE52"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00626C27"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5ADBB5A9"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r>
      <w:tr w:rsidR="00BD3831" w:rsidRPr="00E551B2" w14:paraId="4E19492C" w14:textId="77777777" w:rsidTr="00DF6715">
        <w:trPr>
          <w:trHeight w:val="389"/>
        </w:trPr>
        <w:tc>
          <w:tcPr>
            <w:tcW w:w="1575" w:type="pct"/>
            <w:vAlign w:val="center"/>
          </w:tcPr>
          <w:p w14:paraId="39E0E70D"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المشروع 4: تقارير البعثات</w:t>
            </w:r>
          </w:p>
        </w:tc>
        <w:tc>
          <w:tcPr>
            <w:tcW w:w="856" w:type="pct"/>
            <w:vAlign w:val="center"/>
          </w:tcPr>
          <w:p w14:paraId="040CC055"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37</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783B31DA"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11F46226"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6765F949"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r>
      <w:tr w:rsidR="00BD3831" w:rsidRPr="00E551B2" w14:paraId="062F4C78" w14:textId="77777777" w:rsidTr="00DF6715">
        <w:trPr>
          <w:trHeight w:val="389"/>
        </w:trPr>
        <w:tc>
          <w:tcPr>
            <w:tcW w:w="1575" w:type="pct"/>
            <w:vAlign w:val="center"/>
          </w:tcPr>
          <w:p w14:paraId="3B190D27"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المشروع 5: ملفات الموظفين</w:t>
            </w:r>
          </w:p>
        </w:tc>
        <w:tc>
          <w:tcPr>
            <w:tcW w:w="856" w:type="pct"/>
            <w:vAlign w:val="center"/>
          </w:tcPr>
          <w:p w14:paraId="4B1A67C9"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140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4F0C62F5"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293D4226"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2E1F69EC"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r>
      <w:tr w:rsidR="00BD3831" w:rsidRPr="00E551B2" w14:paraId="0DE28B49" w14:textId="77777777" w:rsidTr="00DF6715">
        <w:trPr>
          <w:trHeight w:val="389"/>
        </w:trPr>
        <w:tc>
          <w:tcPr>
            <w:tcW w:w="1575" w:type="pct"/>
            <w:vAlign w:val="center"/>
          </w:tcPr>
          <w:p w14:paraId="5F9540E1"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المشروع 6: قدرات</w:t>
            </w:r>
            <w:r w:rsidRPr="00E551B2">
              <w:rPr>
                <w:rFonts w:ascii="Arabic Typesetting" w:hAnsi="Arabic Typesetting" w:cs="Arabic Typesetting"/>
                <w:color w:val="000000"/>
                <w:sz w:val="28"/>
                <w:szCs w:val="28"/>
                <w:rtl/>
                <w:lang w:bidi="ar-EG"/>
              </w:rPr>
              <w:t xml:space="preserve"> نظام إدارة المعلومات المؤسسية على مستوى </w:t>
            </w:r>
            <w:r w:rsidRPr="00E551B2">
              <w:rPr>
                <w:rFonts w:ascii="Arabic Typesetting" w:hAnsi="Arabic Typesetting" w:cs="Arabic Typesetting" w:hint="cs"/>
                <w:color w:val="000000"/>
                <w:sz w:val="28"/>
                <w:szCs w:val="28"/>
                <w:rtl/>
                <w:lang w:bidi="ar-EG"/>
              </w:rPr>
              <w:t>ال</w:t>
            </w:r>
            <w:r w:rsidRPr="00E551B2">
              <w:rPr>
                <w:rFonts w:ascii="Arabic Typesetting" w:hAnsi="Arabic Typesetting" w:cs="Arabic Typesetting"/>
                <w:color w:val="000000"/>
                <w:sz w:val="28"/>
                <w:szCs w:val="28"/>
                <w:rtl/>
                <w:lang w:bidi="ar-EG"/>
              </w:rPr>
              <w:t>منظمة</w:t>
            </w:r>
            <w:r w:rsidRPr="00E551B2">
              <w:rPr>
                <w:rFonts w:ascii="Arabic Typesetting" w:hAnsi="Arabic Typesetting" w:cs="Arabic Typesetting" w:hint="cs"/>
                <w:color w:val="000000"/>
                <w:sz w:val="28"/>
                <w:szCs w:val="28"/>
                <w:rtl/>
                <w:lang w:bidi="ar-EG"/>
              </w:rPr>
              <w:t xml:space="preserve"> برمتها</w:t>
            </w:r>
          </w:p>
        </w:tc>
        <w:tc>
          <w:tcPr>
            <w:tcW w:w="856" w:type="pct"/>
            <w:vAlign w:val="center"/>
          </w:tcPr>
          <w:p w14:paraId="7BE6D4CC"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46</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617E86E0"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4E092773"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856" w:type="pct"/>
            <w:vAlign w:val="center"/>
          </w:tcPr>
          <w:p w14:paraId="503B4C14"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r>
      <w:tr w:rsidR="00BD3831" w:rsidRPr="00E551B2" w14:paraId="311B95C1" w14:textId="77777777" w:rsidTr="00DF6715">
        <w:trPr>
          <w:trHeight w:val="389"/>
        </w:trPr>
        <w:tc>
          <w:tcPr>
            <w:tcW w:w="1575" w:type="pct"/>
            <w:shd w:val="clear" w:color="auto" w:fill="C6D9F1"/>
            <w:vAlign w:val="center"/>
          </w:tcPr>
          <w:p w14:paraId="47063833" w14:textId="77777777" w:rsidR="00BD3831" w:rsidRPr="00E551B2" w:rsidRDefault="00BD3831" w:rsidP="0031289D">
            <w:pPr>
              <w:keepNext/>
              <w:keepLines/>
              <w:autoSpaceDE w:val="0"/>
              <w:autoSpaceDN w:val="0"/>
              <w:bidi/>
              <w:adjustRightInd w:val="0"/>
              <w:spacing w:before="40" w:after="40" w:line="260" w:lineRule="exact"/>
              <w:rPr>
                <w:rFonts w:ascii="Arabic Typesetting" w:hAnsi="Arabic Typesetting" w:cs="Arabic Typesetting"/>
                <w:b/>
                <w:bCs/>
                <w:sz w:val="28"/>
                <w:szCs w:val="28"/>
                <w:rtl/>
                <w:lang w:bidi="ar-EG"/>
              </w:rPr>
            </w:pPr>
            <w:r w:rsidRPr="00E551B2">
              <w:rPr>
                <w:rFonts w:ascii="Arabic Typesetting" w:hAnsi="Arabic Typesetting" w:cs="Arabic Typesetting"/>
                <w:b/>
                <w:bCs/>
                <w:sz w:val="28"/>
                <w:szCs w:val="28"/>
                <w:rtl/>
                <w:lang w:bidi="ar-EG"/>
              </w:rPr>
              <w:t>المجموع</w:t>
            </w:r>
          </w:p>
        </w:tc>
        <w:tc>
          <w:tcPr>
            <w:tcW w:w="856" w:type="pct"/>
            <w:shd w:val="clear" w:color="auto" w:fill="C6D9F1"/>
            <w:vAlign w:val="center"/>
          </w:tcPr>
          <w:p w14:paraId="54A6DDB5"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b/>
                <w:sz w:val="28"/>
                <w:szCs w:val="28"/>
              </w:rPr>
            </w:pPr>
            <w:r w:rsidRPr="00FA719C">
              <w:rPr>
                <w:rFonts w:ascii="Arabic Typesetting" w:hAnsi="Arabic Typesetting" w:cs="Arabic Typesetting"/>
                <w:b/>
                <w:sz w:val="28"/>
                <w:szCs w:val="28"/>
              </w:rPr>
              <w:t>2</w:t>
            </w:r>
            <w:r>
              <w:rPr>
                <w:rFonts w:ascii="Arabic Typesetting" w:hAnsi="Arabic Typesetting" w:cs="Arabic Typesetting"/>
                <w:b/>
                <w:sz w:val="28"/>
                <w:szCs w:val="28"/>
              </w:rPr>
              <w:t> </w:t>
            </w:r>
            <w:r w:rsidRPr="00FA719C">
              <w:rPr>
                <w:rFonts w:ascii="Arabic Typesetting" w:hAnsi="Arabic Typesetting" w:cs="Arabic Typesetting"/>
                <w:b/>
                <w:sz w:val="28"/>
                <w:szCs w:val="28"/>
              </w:rPr>
              <w:t>068</w:t>
            </w:r>
            <w:r>
              <w:rPr>
                <w:rFonts w:ascii="Arabic Typesetting" w:hAnsi="Arabic Typesetting" w:cs="Arabic Typesetting"/>
                <w:b/>
                <w:sz w:val="28"/>
                <w:szCs w:val="28"/>
              </w:rPr>
              <w:t> </w:t>
            </w:r>
            <w:r w:rsidRPr="00FA719C">
              <w:rPr>
                <w:rFonts w:ascii="Arabic Typesetting" w:hAnsi="Arabic Typesetting" w:cs="Arabic Typesetting"/>
                <w:b/>
                <w:sz w:val="28"/>
                <w:szCs w:val="28"/>
              </w:rPr>
              <w:t>000</w:t>
            </w:r>
          </w:p>
        </w:tc>
        <w:tc>
          <w:tcPr>
            <w:tcW w:w="856" w:type="pct"/>
            <w:shd w:val="clear" w:color="auto" w:fill="C6D9F1"/>
            <w:vAlign w:val="center"/>
          </w:tcPr>
          <w:p w14:paraId="20945926"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b/>
                <w:sz w:val="28"/>
                <w:szCs w:val="28"/>
              </w:rPr>
            </w:pPr>
            <w:r w:rsidRPr="00FA719C">
              <w:rPr>
                <w:rFonts w:ascii="Arabic Typesetting" w:hAnsi="Arabic Typesetting" w:cs="Arabic Typesetting"/>
                <w:b/>
                <w:sz w:val="28"/>
                <w:szCs w:val="28"/>
              </w:rPr>
              <w:t>524</w:t>
            </w:r>
            <w:r>
              <w:rPr>
                <w:rFonts w:ascii="Arabic Typesetting" w:hAnsi="Arabic Typesetting" w:cs="Arabic Typesetting"/>
                <w:b/>
                <w:sz w:val="28"/>
                <w:szCs w:val="28"/>
              </w:rPr>
              <w:t> </w:t>
            </w:r>
            <w:r w:rsidRPr="00FA719C">
              <w:rPr>
                <w:rFonts w:ascii="Arabic Typesetting" w:hAnsi="Arabic Typesetting" w:cs="Arabic Typesetting"/>
                <w:b/>
                <w:sz w:val="28"/>
                <w:szCs w:val="28"/>
              </w:rPr>
              <w:t>491</w:t>
            </w:r>
          </w:p>
        </w:tc>
        <w:tc>
          <w:tcPr>
            <w:tcW w:w="856" w:type="pct"/>
            <w:shd w:val="clear" w:color="auto" w:fill="C6D9F1"/>
            <w:vAlign w:val="center"/>
          </w:tcPr>
          <w:p w14:paraId="762CCBF6"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b/>
                <w:sz w:val="28"/>
                <w:szCs w:val="28"/>
              </w:rPr>
            </w:pPr>
            <w:r w:rsidRPr="00FA719C">
              <w:rPr>
                <w:rFonts w:ascii="Arabic Typesetting" w:hAnsi="Arabic Typesetting" w:cs="Arabic Typesetting"/>
                <w:b/>
                <w:sz w:val="28"/>
                <w:szCs w:val="28"/>
              </w:rPr>
              <w:t>%25.4</w:t>
            </w:r>
          </w:p>
        </w:tc>
        <w:tc>
          <w:tcPr>
            <w:tcW w:w="856" w:type="pct"/>
            <w:shd w:val="clear" w:color="auto" w:fill="C6D9F1"/>
            <w:vAlign w:val="center"/>
          </w:tcPr>
          <w:p w14:paraId="2F998F4F" w14:textId="77777777" w:rsidR="00BD3831" w:rsidRPr="00FA719C" w:rsidRDefault="00BD3831" w:rsidP="0031289D">
            <w:pPr>
              <w:keepNext/>
              <w:keepLines/>
              <w:autoSpaceDE w:val="0"/>
              <w:autoSpaceDN w:val="0"/>
              <w:adjustRightInd w:val="0"/>
              <w:spacing w:after="40"/>
              <w:jc w:val="center"/>
              <w:rPr>
                <w:rFonts w:ascii="Arabic Typesetting" w:hAnsi="Arabic Typesetting" w:cs="Arabic Typesetting"/>
                <w:b/>
                <w:sz w:val="28"/>
                <w:szCs w:val="28"/>
              </w:rPr>
            </w:pPr>
          </w:p>
        </w:tc>
      </w:tr>
    </w:tbl>
    <w:p w14:paraId="0A4CCE9B" w14:textId="77777777" w:rsidR="00BD3831" w:rsidRPr="00E551B2" w:rsidRDefault="00BD3831" w:rsidP="0031289D">
      <w:pPr>
        <w:keepNext/>
        <w:bidi/>
        <w:spacing w:before="120" w:line="340" w:lineRule="exact"/>
        <w:jc w:val="center"/>
        <w:rPr>
          <w:rFonts w:ascii="Arabic Typesetting" w:hAnsi="Arabic Typesetting" w:cs="Arabic Typesetting"/>
          <w:bCs/>
          <w:sz w:val="34"/>
          <w:szCs w:val="34"/>
          <w:rtl/>
          <w:lang w:val="fr-CH"/>
        </w:rPr>
      </w:pPr>
      <w:r w:rsidRPr="00E551B2">
        <w:rPr>
          <w:rFonts w:ascii="Arabic Typesetting" w:hAnsi="Arabic Typesetting" w:cs="Arabic Typesetting"/>
          <w:bCs/>
          <w:sz w:val="34"/>
          <w:szCs w:val="34"/>
          <w:rtl/>
          <w:lang w:val="fr-CH"/>
        </w:rPr>
        <w:t>استخدام ميزانية المشروع (حسب فئة التكلفة)</w:t>
      </w:r>
    </w:p>
    <w:p w14:paraId="3F9EBA58" w14:textId="77777777" w:rsidR="00BD3831" w:rsidRPr="00E551B2" w:rsidRDefault="00BD3831" w:rsidP="0031289D">
      <w:pPr>
        <w:keepNext/>
        <w:keepLines/>
        <w:autoSpaceDE w:val="0"/>
        <w:autoSpaceDN w:val="0"/>
        <w:bidi/>
        <w:adjustRightInd w:val="0"/>
        <w:spacing w:after="120"/>
        <w:jc w:val="center"/>
        <w:rPr>
          <w:rFonts w:ascii="Arabic Typesetting" w:hAnsi="Arabic Typesetting" w:cs="Arabic Typesetting"/>
          <w:i/>
          <w:iCs/>
          <w:sz w:val="34"/>
          <w:szCs w:val="34"/>
          <w:lang w:val="fr-CH"/>
        </w:rPr>
      </w:pPr>
      <w:r w:rsidRPr="00E551B2">
        <w:rPr>
          <w:rFonts w:ascii="Arabic Typesetting" w:hAnsi="Arabic Typesetting" w:cs="Arabic Typesetting"/>
          <w:i/>
          <w:iCs/>
          <w:sz w:val="34"/>
          <w:szCs w:val="34"/>
          <w:rtl/>
          <w:lang w:val="fr-CH"/>
        </w:rPr>
        <w:t>(</w:t>
      </w:r>
      <w:r>
        <w:rPr>
          <w:rFonts w:ascii="Arabic Typesetting" w:hAnsi="Arabic Typesetting" w:cs="Arabic Typesetting"/>
          <w:i/>
          <w:iCs/>
          <w:sz w:val="34"/>
          <w:szCs w:val="34"/>
          <w:rtl/>
          <w:lang w:val="fr-CH"/>
        </w:rPr>
        <w:t>بالفرنك السويسري، في 31 ديسمبر 2016</w:t>
      </w:r>
      <w:r w:rsidRPr="00E551B2">
        <w:rPr>
          <w:rFonts w:ascii="Arabic Typesetting" w:hAnsi="Arabic Typesetting" w:cs="Arabic Typesetting"/>
          <w:i/>
          <w:iCs/>
          <w:sz w:val="34"/>
          <w:szCs w:val="34"/>
          <w:rtl/>
          <w:lang w:val="fr-CH"/>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1884"/>
        <w:gridCol w:w="1882"/>
        <w:gridCol w:w="2188"/>
      </w:tblGrid>
      <w:tr w:rsidR="00BD3831" w:rsidRPr="00FA719C" w14:paraId="5467E3E0" w14:textId="77777777" w:rsidTr="00F9431D">
        <w:trPr>
          <w:trHeight w:val="569"/>
          <w:jc w:val="center"/>
        </w:trPr>
        <w:tc>
          <w:tcPr>
            <w:tcW w:w="1890" w:type="pct"/>
            <w:shd w:val="clear" w:color="auto" w:fill="C6D9F1"/>
            <w:vAlign w:val="center"/>
          </w:tcPr>
          <w:p w14:paraId="475F97FC" w14:textId="77777777" w:rsidR="00BD3831" w:rsidRPr="00FA719C" w:rsidRDefault="00BD3831" w:rsidP="0031289D">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فئة التكلفة</w:t>
            </w:r>
          </w:p>
        </w:tc>
        <w:tc>
          <w:tcPr>
            <w:tcW w:w="984" w:type="pct"/>
            <w:shd w:val="clear" w:color="auto" w:fill="C6D9F1"/>
            <w:vAlign w:val="center"/>
          </w:tcPr>
          <w:p w14:paraId="39568C78" w14:textId="77777777" w:rsidR="00BD3831" w:rsidRPr="00FA719C" w:rsidRDefault="00BD3831" w:rsidP="0031289D">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ميزانية المشروع</w:t>
            </w:r>
          </w:p>
        </w:tc>
        <w:tc>
          <w:tcPr>
            <w:tcW w:w="983" w:type="pct"/>
            <w:shd w:val="clear" w:color="auto" w:fill="C6D9F1"/>
            <w:vAlign w:val="center"/>
          </w:tcPr>
          <w:p w14:paraId="48579CFA" w14:textId="77777777" w:rsidR="00BD3831" w:rsidRPr="00FA719C" w:rsidRDefault="00BD3831" w:rsidP="0031289D">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النفقات الفعلية حتى تاريخه</w:t>
            </w:r>
            <w:r w:rsidRPr="00FA719C">
              <w:rPr>
                <w:rFonts w:ascii="Arabic Typesetting" w:hAnsi="Arabic Typesetting" w:cs="Arabic Typesetting"/>
                <w:b/>
                <w:sz w:val="28"/>
                <w:szCs w:val="28"/>
              </w:rPr>
              <w:t xml:space="preserve"> </w:t>
            </w:r>
          </w:p>
        </w:tc>
        <w:tc>
          <w:tcPr>
            <w:tcW w:w="1143" w:type="pct"/>
            <w:shd w:val="clear" w:color="auto" w:fill="C6D9F1"/>
            <w:vAlign w:val="center"/>
          </w:tcPr>
          <w:p w14:paraId="642E044D" w14:textId="77777777" w:rsidR="00BD3831" w:rsidRPr="00FA719C" w:rsidRDefault="00BD3831" w:rsidP="0031289D">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الاستخدام الفعلي للميزانية</w:t>
            </w:r>
          </w:p>
        </w:tc>
      </w:tr>
      <w:tr w:rsidR="00BD3831" w:rsidRPr="00FA719C" w14:paraId="4BAB9481" w14:textId="77777777" w:rsidTr="00F9431D">
        <w:trPr>
          <w:jc w:val="center"/>
        </w:trPr>
        <w:tc>
          <w:tcPr>
            <w:tcW w:w="1890" w:type="pct"/>
            <w:vAlign w:val="center"/>
          </w:tcPr>
          <w:p w14:paraId="309DE36A" w14:textId="059E520C"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الخدمات التعاقدية الفردية</w:t>
            </w:r>
          </w:p>
        </w:tc>
        <w:tc>
          <w:tcPr>
            <w:tcW w:w="984" w:type="pct"/>
            <w:vAlign w:val="center"/>
          </w:tcPr>
          <w:p w14:paraId="342A2796"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400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983" w:type="pct"/>
            <w:vAlign w:val="center"/>
          </w:tcPr>
          <w:p w14:paraId="503D634F"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r>
              <w:rPr>
                <w:rFonts w:ascii="Arabic Typesetting" w:hAnsi="Arabic Typesetting" w:cs="Arabic Typesetting"/>
                <w:sz w:val="28"/>
                <w:szCs w:val="28"/>
              </w:rPr>
              <w:t> </w:t>
            </w:r>
            <w:r w:rsidRPr="00FA719C">
              <w:rPr>
                <w:rFonts w:ascii="Arabic Typesetting" w:hAnsi="Arabic Typesetting" w:cs="Arabic Typesetting"/>
                <w:sz w:val="28"/>
                <w:szCs w:val="28"/>
              </w:rPr>
              <w:t>336</w:t>
            </w:r>
          </w:p>
        </w:tc>
        <w:tc>
          <w:tcPr>
            <w:tcW w:w="1143" w:type="pct"/>
            <w:vAlign w:val="center"/>
          </w:tcPr>
          <w:p w14:paraId="5E17A1EB"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%25.1</w:t>
            </w:r>
          </w:p>
        </w:tc>
      </w:tr>
      <w:tr w:rsidR="00BD3831" w:rsidRPr="00FA719C" w14:paraId="07E03924" w14:textId="77777777" w:rsidTr="00F9431D">
        <w:trPr>
          <w:jc w:val="center"/>
        </w:trPr>
        <w:tc>
          <w:tcPr>
            <w:tcW w:w="1890" w:type="pct"/>
            <w:vAlign w:val="center"/>
          </w:tcPr>
          <w:p w14:paraId="106CF46E"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الخدمات التعاقدية</w:t>
            </w:r>
          </w:p>
        </w:tc>
        <w:tc>
          <w:tcPr>
            <w:tcW w:w="984" w:type="pct"/>
            <w:vAlign w:val="center"/>
          </w:tcPr>
          <w:p w14:paraId="3EE9D217"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690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983" w:type="pct"/>
            <w:vAlign w:val="center"/>
          </w:tcPr>
          <w:p w14:paraId="2B2D83B0"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123</w:t>
            </w:r>
            <w:r>
              <w:rPr>
                <w:rFonts w:ascii="Arabic Typesetting" w:hAnsi="Arabic Typesetting" w:cs="Arabic Typesetting"/>
                <w:sz w:val="28"/>
                <w:szCs w:val="28"/>
              </w:rPr>
              <w:t> </w:t>
            </w:r>
            <w:r w:rsidRPr="00FA719C">
              <w:rPr>
                <w:rFonts w:ascii="Arabic Typesetting" w:hAnsi="Arabic Typesetting" w:cs="Arabic Typesetting"/>
                <w:sz w:val="28"/>
                <w:szCs w:val="28"/>
              </w:rPr>
              <w:t>649</w:t>
            </w:r>
          </w:p>
        </w:tc>
        <w:tc>
          <w:tcPr>
            <w:tcW w:w="1143" w:type="pct"/>
            <w:vAlign w:val="center"/>
          </w:tcPr>
          <w:p w14:paraId="0C21CDC8"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%17.9</w:t>
            </w:r>
          </w:p>
        </w:tc>
      </w:tr>
      <w:tr w:rsidR="00BD3831" w:rsidRPr="00FA719C" w14:paraId="24E71581" w14:textId="77777777" w:rsidTr="00F9431D">
        <w:trPr>
          <w:jc w:val="center"/>
        </w:trPr>
        <w:tc>
          <w:tcPr>
            <w:tcW w:w="1890" w:type="pct"/>
            <w:vAlign w:val="center"/>
          </w:tcPr>
          <w:p w14:paraId="3FFCD87E"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color w:val="000000"/>
                <w:sz w:val="28"/>
                <w:szCs w:val="28"/>
                <w:rtl/>
              </w:rPr>
            </w:pPr>
            <w:r w:rsidRPr="00FA719C">
              <w:rPr>
                <w:rFonts w:ascii="Arabic Typesetting" w:hAnsi="Arabic Typesetting" w:cs="Arabic Typesetting"/>
                <w:color w:val="000000"/>
                <w:sz w:val="28"/>
                <w:szCs w:val="28"/>
                <w:rtl/>
                <w:lang w:bidi="ar-EG"/>
              </w:rPr>
              <w:t xml:space="preserve">دعم برمجية </w:t>
            </w:r>
            <w:r w:rsidRPr="00FA719C">
              <w:rPr>
                <w:rFonts w:ascii="Arabic Typesetting" w:hAnsi="Arabic Typesetting" w:cs="Arabic Typesetting"/>
                <w:color w:val="000000"/>
                <w:sz w:val="28"/>
                <w:szCs w:val="28"/>
                <w:lang w:bidi="ar-EG"/>
              </w:rPr>
              <w:t>OpenText</w:t>
            </w:r>
            <w:r w:rsidRPr="00FA719C">
              <w:rPr>
                <w:rFonts w:ascii="Arabic Typesetting" w:hAnsi="Arabic Typesetting" w:cs="Arabic Typesetting"/>
                <w:color w:val="000000"/>
                <w:sz w:val="28"/>
                <w:szCs w:val="28"/>
                <w:rtl/>
              </w:rPr>
              <w:t xml:space="preserve"> (رسوم الصيانة)</w:t>
            </w:r>
          </w:p>
        </w:tc>
        <w:tc>
          <w:tcPr>
            <w:tcW w:w="984" w:type="pct"/>
            <w:vAlign w:val="center"/>
          </w:tcPr>
          <w:p w14:paraId="620A3F60"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514</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983" w:type="pct"/>
            <w:vAlign w:val="center"/>
          </w:tcPr>
          <w:p w14:paraId="3E2E2B67"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280</w:t>
            </w:r>
            <w:r>
              <w:rPr>
                <w:rFonts w:ascii="Arabic Typesetting" w:hAnsi="Arabic Typesetting" w:cs="Arabic Typesetting"/>
                <w:sz w:val="28"/>
                <w:szCs w:val="28"/>
              </w:rPr>
              <w:t> </w:t>
            </w:r>
            <w:r w:rsidRPr="00FA719C">
              <w:rPr>
                <w:rFonts w:ascii="Arabic Typesetting" w:hAnsi="Arabic Typesetting" w:cs="Arabic Typesetting"/>
                <w:sz w:val="28"/>
                <w:szCs w:val="28"/>
              </w:rPr>
              <w:t>077</w:t>
            </w:r>
          </w:p>
        </w:tc>
        <w:tc>
          <w:tcPr>
            <w:tcW w:w="1143" w:type="pct"/>
            <w:vAlign w:val="center"/>
          </w:tcPr>
          <w:p w14:paraId="0C43ECFB"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%54.5</w:t>
            </w:r>
          </w:p>
        </w:tc>
      </w:tr>
      <w:tr w:rsidR="00BD3831" w:rsidRPr="00FA719C" w14:paraId="1795603E" w14:textId="77777777" w:rsidTr="00F9431D">
        <w:trPr>
          <w:jc w:val="center"/>
        </w:trPr>
        <w:tc>
          <w:tcPr>
            <w:tcW w:w="1890" w:type="pct"/>
            <w:vAlign w:val="center"/>
          </w:tcPr>
          <w:p w14:paraId="5030B1CE"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FA719C">
              <w:rPr>
                <w:rFonts w:ascii="Arabic Typesetting" w:hAnsi="Arabic Typesetting" w:cs="Arabic Typesetting"/>
                <w:color w:val="000000"/>
                <w:sz w:val="28"/>
                <w:szCs w:val="28"/>
                <w:rtl/>
                <w:lang w:bidi="ar-EG"/>
              </w:rPr>
              <w:t>الاستضافة (مركز الأمم المتحدة للحساب الإلكتروني)</w:t>
            </w:r>
          </w:p>
        </w:tc>
        <w:tc>
          <w:tcPr>
            <w:tcW w:w="984" w:type="pct"/>
            <w:vAlign w:val="center"/>
          </w:tcPr>
          <w:p w14:paraId="772211A9"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144</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983" w:type="pct"/>
            <w:vAlign w:val="center"/>
          </w:tcPr>
          <w:p w14:paraId="710C7AD3"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14</w:t>
            </w:r>
            <w:r>
              <w:rPr>
                <w:rFonts w:ascii="Arabic Typesetting" w:hAnsi="Arabic Typesetting" w:cs="Arabic Typesetting"/>
                <w:sz w:val="28"/>
                <w:szCs w:val="28"/>
              </w:rPr>
              <w:t> </w:t>
            </w:r>
            <w:r w:rsidRPr="00FA719C">
              <w:rPr>
                <w:rFonts w:ascii="Arabic Typesetting" w:hAnsi="Arabic Typesetting" w:cs="Arabic Typesetting"/>
                <w:sz w:val="28"/>
                <w:szCs w:val="28"/>
              </w:rPr>
              <w:t>689</w:t>
            </w:r>
          </w:p>
        </w:tc>
        <w:tc>
          <w:tcPr>
            <w:tcW w:w="1143" w:type="pct"/>
            <w:vAlign w:val="center"/>
          </w:tcPr>
          <w:p w14:paraId="06D0E95E"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%10.2</w:t>
            </w:r>
          </w:p>
        </w:tc>
      </w:tr>
      <w:tr w:rsidR="00BD3831" w:rsidRPr="00FA719C" w14:paraId="73FEB117" w14:textId="77777777" w:rsidTr="00F9431D">
        <w:trPr>
          <w:jc w:val="center"/>
        </w:trPr>
        <w:tc>
          <w:tcPr>
            <w:tcW w:w="1890" w:type="pct"/>
            <w:vAlign w:val="center"/>
          </w:tcPr>
          <w:p w14:paraId="5899DAA0"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FA719C">
              <w:rPr>
                <w:rFonts w:ascii="Arabic Typesetting" w:hAnsi="Arabic Typesetting" w:cs="Arabic Typesetting"/>
                <w:color w:val="000000"/>
                <w:sz w:val="28"/>
                <w:szCs w:val="28"/>
                <w:rtl/>
                <w:lang w:bidi="ar-EG"/>
              </w:rPr>
              <w:t>الأمور النثرية وغير المتوقعة</w:t>
            </w:r>
          </w:p>
        </w:tc>
        <w:tc>
          <w:tcPr>
            <w:tcW w:w="984" w:type="pct"/>
            <w:vAlign w:val="center"/>
          </w:tcPr>
          <w:p w14:paraId="21651D7E"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320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983" w:type="pct"/>
            <w:vAlign w:val="center"/>
          </w:tcPr>
          <w:p w14:paraId="3F293DCB"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5</w:t>
            </w:r>
            <w:r>
              <w:rPr>
                <w:rFonts w:ascii="Arabic Typesetting" w:hAnsi="Arabic Typesetting" w:cs="Arabic Typesetting"/>
                <w:sz w:val="28"/>
                <w:szCs w:val="28"/>
              </w:rPr>
              <w:t> </w:t>
            </w:r>
            <w:r w:rsidRPr="00FA719C">
              <w:rPr>
                <w:rFonts w:ascii="Arabic Typesetting" w:hAnsi="Arabic Typesetting" w:cs="Arabic Typesetting"/>
                <w:sz w:val="28"/>
                <w:szCs w:val="28"/>
              </w:rPr>
              <w:t>739</w:t>
            </w:r>
          </w:p>
        </w:tc>
        <w:tc>
          <w:tcPr>
            <w:tcW w:w="1143" w:type="pct"/>
            <w:vAlign w:val="center"/>
          </w:tcPr>
          <w:p w14:paraId="2C34787A"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%1.8</w:t>
            </w:r>
          </w:p>
        </w:tc>
      </w:tr>
      <w:tr w:rsidR="00BD3831" w:rsidRPr="00FA719C" w14:paraId="0CB9197D" w14:textId="77777777" w:rsidTr="00F9431D">
        <w:trPr>
          <w:jc w:val="center"/>
        </w:trPr>
        <w:tc>
          <w:tcPr>
            <w:tcW w:w="1890" w:type="pct"/>
            <w:shd w:val="clear" w:color="auto" w:fill="C6D9F1"/>
            <w:vAlign w:val="center"/>
          </w:tcPr>
          <w:p w14:paraId="0CDCB838"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bCs/>
                <w:sz w:val="28"/>
                <w:szCs w:val="28"/>
                <w:rtl/>
                <w:lang w:bidi="ar-EG"/>
              </w:rPr>
            </w:pPr>
            <w:r w:rsidRPr="00FA719C">
              <w:rPr>
                <w:rFonts w:ascii="Arabic Typesetting" w:hAnsi="Arabic Typesetting" w:cs="Arabic Typesetting"/>
                <w:bCs/>
                <w:sz w:val="28"/>
                <w:szCs w:val="28"/>
                <w:rtl/>
                <w:lang w:bidi="ar-EG"/>
              </w:rPr>
              <w:t>المجموع</w:t>
            </w:r>
          </w:p>
        </w:tc>
        <w:tc>
          <w:tcPr>
            <w:tcW w:w="984" w:type="pct"/>
            <w:shd w:val="clear" w:color="auto" w:fill="C6D9F1"/>
            <w:vAlign w:val="center"/>
          </w:tcPr>
          <w:p w14:paraId="0A93EF60"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FA719C">
              <w:rPr>
                <w:rFonts w:ascii="Arabic Typesetting" w:hAnsi="Arabic Typesetting" w:cs="Arabic Typesetting"/>
                <w:b/>
                <w:sz w:val="28"/>
                <w:szCs w:val="28"/>
              </w:rPr>
              <w:t>2</w:t>
            </w:r>
            <w:r>
              <w:rPr>
                <w:rFonts w:ascii="Arabic Typesetting" w:hAnsi="Arabic Typesetting" w:cs="Arabic Typesetting"/>
                <w:b/>
                <w:sz w:val="28"/>
                <w:szCs w:val="28"/>
              </w:rPr>
              <w:t> </w:t>
            </w:r>
            <w:r w:rsidRPr="00FA719C">
              <w:rPr>
                <w:rFonts w:ascii="Arabic Typesetting" w:hAnsi="Arabic Typesetting" w:cs="Arabic Typesetting"/>
                <w:b/>
                <w:sz w:val="28"/>
                <w:szCs w:val="28"/>
              </w:rPr>
              <w:t>068</w:t>
            </w:r>
            <w:r>
              <w:rPr>
                <w:rFonts w:ascii="Arabic Typesetting" w:hAnsi="Arabic Typesetting" w:cs="Arabic Typesetting"/>
                <w:b/>
                <w:sz w:val="28"/>
                <w:szCs w:val="28"/>
              </w:rPr>
              <w:t> </w:t>
            </w:r>
            <w:r w:rsidRPr="00FA719C">
              <w:rPr>
                <w:rFonts w:ascii="Arabic Typesetting" w:hAnsi="Arabic Typesetting" w:cs="Arabic Typesetting"/>
                <w:b/>
                <w:sz w:val="28"/>
                <w:szCs w:val="28"/>
              </w:rPr>
              <w:t>000</w:t>
            </w:r>
          </w:p>
        </w:tc>
        <w:tc>
          <w:tcPr>
            <w:tcW w:w="983" w:type="pct"/>
            <w:shd w:val="clear" w:color="auto" w:fill="C6D9F1"/>
            <w:vAlign w:val="center"/>
          </w:tcPr>
          <w:p w14:paraId="6852DDBC"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FA719C">
              <w:rPr>
                <w:rFonts w:ascii="Arabic Typesetting" w:hAnsi="Arabic Typesetting" w:cs="Arabic Typesetting"/>
                <w:b/>
                <w:sz w:val="28"/>
                <w:szCs w:val="28"/>
              </w:rPr>
              <w:t>524</w:t>
            </w:r>
            <w:r>
              <w:rPr>
                <w:rFonts w:ascii="Arabic Typesetting" w:hAnsi="Arabic Typesetting" w:cs="Arabic Typesetting"/>
                <w:b/>
                <w:sz w:val="28"/>
                <w:szCs w:val="28"/>
              </w:rPr>
              <w:t> </w:t>
            </w:r>
            <w:r w:rsidRPr="00FA719C">
              <w:rPr>
                <w:rFonts w:ascii="Arabic Typesetting" w:hAnsi="Arabic Typesetting" w:cs="Arabic Typesetting"/>
                <w:b/>
                <w:sz w:val="28"/>
                <w:szCs w:val="28"/>
              </w:rPr>
              <w:t>491</w:t>
            </w:r>
          </w:p>
        </w:tc>
        <w:tc>
          <w:tcPr>
            <w:tcW w:w="1143" w:type="pct"/>
            <w:shd w:val="clear" w:color="auto" w:fill="C6D9F1"/>
          </w:tcPr>
          <w:p w14:paraId="4E11676A"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FA719C">
              <w:rPr>
                <w:rFonts w:ascii="Arabic Typesetting" w:hAnsi="Arabic Typesetting" w:cs="Arabic Typesetting"/>
                <w:b/>
                <w:sz w:val="28"/>
                <w:szCs w:val="28"/>
              </w:rPr>
              <w:t>%25.4</w:t>
            </w:r>
          </w:p>
        </w:tc>
      </w:tr>
    </w:tbl>
    <w:p w14:paraId="34138AEE" w14:textId="537A80A4" w:rsidR="00BD3831" w:rsidRDefault="00BD3831" w:rsidP="0031289D">
      <w:pPr>
        <w:keepNext/>
        <w:bidi/>
        <w:spacing w:before="120" w:after="120" w:line="340" w:lineRule="exact"/>
        <w:rPr>
          <w:rFonts w:ascii="Arabic Typesetting" w:hAnsi="Arabic Typesetting" w:cs="Arabic Typesetting"/>
          <w:sz w:val="34"/>
          <w:szCs w:val="34"/>
          <w:rtl/>
          <w:lang w:val="fr-CH"/>
        </w:rPr>
      </w:pPr>
      <w:r w:rsidRPr="00E41D72">
        <w:rPr>
          <w:rFonts w:ascii="Arabic Typesetting" w:hAnsi="Arabic Typesetting" w:cs="Arabic Typesetting"/>
          <w:sz w:val="34"/>
          <w:szCs w:val="34"/>
          <w:rtl/>
          <w:lang w:val="fr-CH"/>
        </w:rPr>
        <w:lastRenderedPageBreak/>
        <w:t>المخاطر واستراتيجيات التخفيف من آثارها</w:t>
      </w:r>
    </w:p>
    <w:tbl>
      <w:tblPr>
        <w:bidiVisual/>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1E0" w:firstRow="1" w:lastRow="1" w:firstColumn="1" w:lastColumn="1" w:noHBand="0" w:noVBand="0"/>
      </w:tblPr>
      <w:tblGrid>
        <w:gridCol w:w="3407"/>
        <w:gridCol w:w="3164"/>
        <w:gridCol w:w="3000"/>
      </w:tblGrid>
      <w:tr w:rsidR="00BD3831" w:rsidRPr="003B29DB" w14:paraId="234544A8" w14:textId="77777777" w:rsidTr="00DF6715">
        <w:trPr>
          <w:trHeight w:val="507"/>
          <w:tblHeader/>
          <w:jc w:val="center"/>
        </w:trPr>
        <w:tc>
          <w:tcPr>
            <w:tcW w:w="1780" w:type="pct"/>
            <w:shd w:val="clear" w:color="auto" w:fill="C6D9F1" w:themeFill="text2" w:themeFillTint="33"/>
            <w:vAlign w:val="center"/>
          </w:tcPr>
          <w:p w14:paraId="6CC5A0FA" w14:textId="25BE457E" w:rsidR="00BD3831" w:rsidRPr="003B29DB" w:rsidRDefault="00F9431D" w:rsidP="00F9431D">
            <w:pPr>
              <w:keepNext/>
              <w:autoSpaceDE w:val="0"/>
              <w:autoSpaceDN w:val="0"/>
              <w:bidi/>
              <w:adjustRightInd w:val="0"/>
              <w:spacing w:before="40" w:after="40" w:line="260" w:lineRule="exact"/>
              <w:ind w:left="-74" w:right="-60"/>
              <w:jc w:val="center"/>
              <w:rPr>
                <w:rFonts w:cs="Arabic Typesetting"/>
                <w:b/>
                <w:bCs/>
                <w:sz w:val="28"/>
                <w:szCs w:val="28"/>
              </w:rPr>
            </w:pPr>
            <w:r w:rsidRPr="00EC2D4F">
              <w:rPr>
                <w:rFonts w:cs="Arabic Typesetting"/>
                <w:b/>
                <w:noProof/>
                <w:sz w:val="20"/>
                <w:szCs w:val="36"/>
              </w:rPr>
              <w:drawing>
                <wp:anchor distT="0" distB="0" distL="114300" distR="114300" simplePos="0" relativeHeight="251659264" behindDoc="0" locked="0" layoutInCell="1" allowOverlap="1" wp14:anchorId="443A3C76" wp14:editId="67338B40">
                  <wp:simplePos x="0" y="0"/>
                  <wp:positionH relativeFrom="margin">
                    <wp:posOffset>2116455</wp:posOffset>
                  </wp:positionH>
                  <wp:positionV relativeFrom="margin">
                    <wp:posOffset>304800</wp:posOffset>
                  </wp:positionV>
                  <wp:extent cx="218440" cy="2184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831" w:rsidRPr="003B29DB">
              <w:rPr>
                <w:rFonts w:cs="Arabic Typesetting"/>
                <w:b/>
                <w:bCs/>
                <w:sz w:val="28"/>
                <w:szCs w:val="28"/>
                <w:rtl/>
              </w:rPr>
              <w:t>المخاطر/وصف المخاطر</w:t>
            </w:r>
          </w:p>
        </w:tc>
        <w:tc>
          <w:tcPr>
            <w:tcW w:w="1653" w:type="pct"/>
            <w:shd w:val="clear" w:color="auto" w:fill="C6D9F1" w:themeFill="text2" w:themeFillTint="33"/>
            <w:vAlign w:val="center"/>
          </w:tcPr>
          <w:p w14:paraId="74BD92D3" w14:textId="77777777" w:rsidR="00BD3831" w:rsidRPr="003B29DB" w:rsidRDefault="00BD3831" w:rsidP="00F9431D">
            <w:pPr>
              <w:keepNext/>
              <w:autoSpaceDE w:val="0"/>
              <w:autoSpaceDN w:val="0"/>
              <w:bidi/>
              <w:adjustRightInd w:val="0"/>
              <w:spacing w:before="40" w:after="40" w:line="260" w:lineRule="exact"/>
              <w:ind w:left="-107" w:right="-108"/>
              <w:jc w:val="center"/>
              <w:rPr>
                <w:rFonts w:cs="Arabic Typesetting"/>
                <w:b/>
                <w:bCs/>
                <w:sz w:val="28"/>
                <w:szCs w:val="28"/>
              </w:rPr>
            </w:pPr>
            <w:r w:rsidRPr="003B29DB">
              <w:rPr>
                <w:rFonts w:cs="Arabic Typesetting"/>
                <w:b/>
                <w:bCs/>
                <w:sz w:val="28"/>
                <w:szCs w:val="28"/>
                <w:rtl/>
              </w:rPr>
              <w:t>التخفيف من حدة المخاطر</w:t>
            </w:r>
          </w:p>
        </w:tc>
        <w:tc>
          <w:tcPr>
            <w:tcW w:w="1567" w:type="pct"/>
            <w:shd w:val="clear" w:color="auto" w:fill="C6D9F1" w:themeFill="text2" w:themeFillTint="33"/>
          </w:tcPr>
          <w:p w14:paraId="27B69A2C" w14:textId="77777777" w:rsidR="00BD3831" w:rsidRPr="003B29DB" w:rsidRDefault="00BD3831" w:rsidP="00F9431D">
            <w:pPr>
              <w:keepNext/>
              <w:autoSpaceDE w:val="0"/>
              <w:autoSpaceDN w:val="0"/>
              <w:bidi/>
              <w:adjustRightInd w:val="0"/>
              <w:spacing w:before="40" w:after="40" w:line="260" w:lineRule="exact"/>
              <w:ind w:left="-107" w:right="-108"/>
              <w:jc w:val="center"/>
              <w:rPr>
                <w:rFonts w:cs="Arabic Typesetting"/>
                <w:b/>
                <w:bCs/>
                <w:sz w:val="28"/>
                <w:szCs w:val="28"/>
                <w:rtl/>
                <w:lang w:bidi="ar-EG"/>
              </w:rPr>
            </w:pPr>
            <w:r>
              <w:rPr>
                <w:rFonts w:cs="Arabic Typesetting" w:hint="cs"/>
                <w:b/>
                <w:bCs/>
                <w:sz w:val="28"/>
                <w:szCs w:val="28"/>
                <w:rtl/>
                <w:lang w:bidi="ar-EG"/>
              </w:rPr>
              <w:t>التعليقات</w:t>
            </w:r>
          </w:p>
        </w:tc>
      </w:tr>
      <w:tr w:rsidR="00BD3831" w:rsidRPr="003B29DB" w14:paraId="3DA6B975" w14:textId="77777777" w:rsidTr="00DF6715">
        <w:trPr>
          <w:trHeight w:val="1571"/>
          <w:jc w:val="center"/>
        </w:trPr>
        <w:tc>
          <w:tcPr>
            <w:tcW w:w="1780" w:type="pct"/>
            <w:shd w:val="clear" w:color="auto" w:fill="auto"/>
          </w:tcPr>
          <w:p w14:paraId="33679D20" w14:textId="77777777" w:rsidR="00BD3831" w:rsidRPr="003B29DB" w:rsidRDefault="00BD3831" w:rsidP="00F9431D">
            <w:pPr>
              <w:keepNext/>
              <w:autoSpaceDE w:val="0"/>
              <w:autoSpaceDN w:val="0"/>
              <w:bidi/>
              <w:adjustRightInd w:val="0"/>
              <w:spacing w:before="40" w:after="40"/>
              <w:rPr>
                <w:rFonts w:cs="Arabic Typesetting"/>
                <w:sz w:val="28"/>
                <w:szCs w:val="28"/>
              </w:rPr>
            </w:pPr>
            <w:r w:rsidRPr="003B29DB">
              <w:rPr>
                <w:rFonts w:cs="Arabic Typesetting" w:hint="cs"/>
                <w:noProof/>
                <w:sz w:val="28"/>
                <w:szCs w:val="28"/>
                <w:rtl/>
                <w:lang w:bidi="ar-EG"/>
              </w:rPr>
              <w:t xml:space="preserve">تنفيذ المشروعات الفرعية الفردية في إطار إدارة </w:t>
            </w:r>
            <w:r>
              <w:rPr>
                <w:rFonts w:cs="Arabic Typesetting" w:hint="cs"/>
                <w:noProof/>
                <w:sz w:val="28"/>
                <w:szCs w:val="28"/>
                <w:rtl/>
                <w:lang w:bidi="ar-EG"/>
              </w:rPr>
              <w:t>المعلومات</w:t>
            </w:r>
            <w:r w:rsidRPr="003B29DB">
              <w:rPr>
                <w:rFonts w:cs="Arabic Typesetting" w:hint="cs"/>
                <w:noProof/>
                <w:sz w:val="28"/>
                <w:szCs w:val="28"/>
                <w:rtl/>
                <w:lang w:bidi="ar-EG"/>
              </w:rPr>
              <w:t xml:space="preserve"> المؤسسية قد لا يراعي الاحتياجات على مستوى المنظمة بالقدر الكافي، فيؤدي ذلك إلى ازدواجية في الاستراتيجيات وعدم </w:t>
            </w:r>
            <w:r>
              <w:rPr>
                <w:rFonts w:cs="Arabic Typesetting" w:hint="cs"/>
                <w:noProof/>
                <w:sz w:val="28"/>
                <w:szCs w:val="28"/>
                <w:rtl/>
                <w:lang w:bidi="ar-EG"/>
              </w:rPr>
              <w:t>الفعالية</w:t>
            </w:r>
            <w:r w:rsidRPr="003B29DB">
              <w:rPr>
                <w:rFonts w:cs="Arabic Typesetting" w:hint="cs"/>
                <w:noProof/>
                <w:sz w:val="28"/>
                <w:szCs w:val="28"/>
                <w:rtl/>
                <w:lang w:bidi="ar-EG"/>
              </w:rPr>
              <w:t xml:space="preserve"> من حيث</w:t>
            </w:r>
            <w:r>
              <w:rPr>
                <w:rFonts w:cs="Arabic Typesetting" w:hint="eastAsia"/>
                <w:noProof/>
                <w:sz w:val="28"/>
                <w:szCs w:val="28"/>
                <w:rtl/>
                <w:lang w:bidi="ar-EG"/>
              </w:rPr>
              <w:t> </w:t>
            </w:r>
            <w:r w:rsidRPr="003B29DB">
              <w:rPr>
                <w:rFonts w:cs="Arabic Typesetting" w:hint="cs"/>
                <w:noProof/>
                <w:sz w:val="28"/>
                <w:szCs w:val="28"/>
                <w:rtl/>
                <w:lang w:bidi="ar-EG"/>
              </w:rPr>
              <w:t>التكلفة.</w:t>
            </w:r>
          </w:p>
        </w:tc>
        <w:tc>
          <w:tcPr>
            <w:tcW w:w="1653" w:type="pct"/>
            <w:shd w:val="clear" w:color="auto" w:fill="auto"/>
          </w:tcPr>
          <w:p w14:paraId="2903A207" w14:textId="77777777" w:rsidR="00BD3831" w:rsidRPr="003B29DB" w:rsidRDefault="00BD3831" w:rsidP="00F9431D">
            <w:pPr>
              <w:keepNext/>
              <w:autoSpaceDE w:val="0"/>
              <w:autoSpaceDN w:val="0"/>
              <w:bidi/>
              <w:adjustRightInd w:val="0"/>
              <w:spacing w:before="40" w:after="40"/>
              <w:rPr>
                <w:rFonts w:cs="Arabic Typesetting"/>
                <w:sz w:val="28"/>
                <w:szCs w:val="28"/>
              </w:rPr>
            </w:pPr>
            <w:r w:rsidRPr="003B29DB">
              <w:rPr>
                <w:rFonts w:cs="Arabic Typesetting" w:hint="cs"/>
                <w:sz w:val="28"/>
                <w:szCs w:val="28"/>
                <w:rtl/>
              </w:rPr>
              <w:t xml:space="preserve">ضمان أن الاستراتيجيات المتعلقة بإدارة </w:t>
            </w:r>
            <w:r>
              <w:rPr>
                <w:rFonts w:cs="Arabic Typesetting" w:hint="cs"/>
                <w:sz w:val="28"/>
                <w:szCs w:val="28"/>
                <w:rtl/>
              </w:rPr>
              <w:t>المعلومات</w:t>
            </w:r>
            <w:r w:rsidRPr="003B29DB">
              <w:rPr>
                <w:rFonts w:cs="Arabic Typesetting" w:hint="cs"/>
                <w:sz w:val="28"/>
                <w:szCs w:val="28"/>
                <w:rtl/>
              </w:rPr>
              <w:t xml:space="preserve"> المؤسسية على مستوى المنظمة </w:t>
            </w:r>
            <w:r>
              <w:rPr>
                <w:rFonts w:cs="Arabic Typesetting" w:hint="cs"/>
                <w:sz w:val="28"/>
                <w:szCs w:val="28"/>
                <w:rtl/>
              </w:rPr>
              <w:t>مندرجة</w:t>
            </w:r>
            <w:r w:rsidRPr="003B29DB">
              <w:rPr>
                <w:rFonts w:cs="Arabic Typesetting" w:hint="cs"/>
                <w:sz w:val="28"/>
                <w:szCs w:val="28"/>
                <w:rtl/>
              </w:rPr>
              <w:t xml:space="preserve"> في إطار المشروع وتوجه تنفيذ كل المشاريع الفرعية.</w:t>
            </w:r>
          </w:p>
        </w:tc>
        <w:tc>
          <w:tcPr>
            <w:tcW w:w="1567" w:type="pct"/>
          </w:tcPr>
          <w:p w14:paraId="0B6BB260" w14:textId="77777777" w:rsidR="00BD3831" w:rsidRPr="003B29DB" w:rsidRDefault="00BD3831" w:rsidP="00F9431D">
            <w:pPr>
              <w:keepNext/>
              <w:autoSpaceDE w:val="0"/>
              <w:autoSpaceDN w:val="0"/>
              <w:adjustRightInd w:val="0"/>
              <w:spacing w:before="40" w:after="40"/>
              <w:rPr>
                <w:rFonts w:cs="Arabic Typesetting"/>
                <w:sz w:val="28"/>
                <w:szCs w:val="28"/>
              </w:rPr>
            </w:pPr>
          </w:p>
        </w:tc>
      </w:tr>
    </w:tbl>
    <w:p w14:paraId="40259A44" w14:textId="77777777" w:rsidR="00BD3831" w:rsidRPr="00E551B2" w:rsidRDefault="00BD3831" w:rsidP="0031289D">
      <w:pPr>
        <w:keepNext/>
        <w:bidi/>
        <w:spacing w:before="120" w:after="120" w:line="340" w:lineRule="exact"/>
        <w:rPr>
          <w:rFonts w:ascii="Arabic Typesetting" w:hAnsi="Arabic Typesetting" w:cs="Arabic Typesetting"/>
          <w:sz w:val="34"/>
          <w:szCs w:val="34"/>
          <w:lang w:val="fr-CH"/>
        </w:rPr>
      </w:pPr>
      <w:r w:rsidRPr="00E551B2">
        <w:rPr>
          <w:rFonts w:ascii="Arabic Typesetting" w:hAnsi="Arabic Typesetting" w:cs="Arabic Typesetting"/>
          <w:sz w:val="34"/>
          <w:szCs w:val="34"/>
          <w:rtl/>
          <w:lang w:val="fr-CH"/>
        </w:rPr>
        <w:t>الجدول الزمني للمشروع حسب المعالم</w:t>
      </w:r>
    </w:p>
    <w:tbl>
      <w:tblPr>
        <w:bidiVisual/>
        <w:tblW w:w="5000" w:type="pct"/>
        <w:jc w:val="center"/>
        <w:tblLook w:val="00A0" w:firstRow="1" w:lastRow="0" w:firstColumn="1" w:lastColumn="0" w:noHBand="0" w:noVBand="0"/>
      </w:tblPr>
      <w:tblGrid>
        <w:gridCol w:w="3097"/>
        <w:gridCol w:w="359"/>
        <w:gridCol w:w="359"/>
        <w:gridCol w:w="359"/>
        <w:gridCol w:w="359"/>
        <w:gridCol w:w="359"/>
        <w:gridCol w:w="359"/>
        <w:gridCol w:w="360"/>
        <w:gridCol w:w="360"/>
        <w:gridCol w:w="360"/>
        <w:gridCol w:w="360"/>
        <w:gridCol w:w="360"/>
        <w:gridCol w:w="360"/>
        <w:gridCol w:w="360"/>
        <w:gridCol w:w="360"/>
        <w:gridCol w:w="360"/>
        <w:gridCol w:w="360"/>
        <w:gridCol w:w="360"/>
        <w:gridCol w:w="360"/>
      </w:tblGrid>
      <w:tr w:rsidR="00BD3831" w:rsidRPr="00FA719C" w14:paraId="6A1FF77E" w14:textId="77777777" w:rsidTr="00DF6715">
        <w:trPr>
          <w:trHeight w:val="270"/>
          <w:jc w:val="center"/>
        </w:trPr>
        <w:tc>
          <w:tcPr>
            <w:tcW w:w="1811" w:type="pct"/>
            <w:tcBorders>
              <w:top w:val="nil"/>
              <w:left w:val="nil"/>
              <w:bottom w:val="nil"/>
              <w:right w:val="nil"/>
            </w:tcBorders>
            <w:noWrap/>
            <w:vAlign w:val="bottom"/>
          </w:tcPr>
          <w:p w14:paraId="7D9BF798" w14:textId="77777777" w:rsidR="00BD3831" w:rsidRPr="00FA719C" w:rsidRDefault="00BD3831" w:rsidP="0031289D">
            <w:pPr>
              <w:keepNext/>
              <w:bidi/>
              <w:spacing w:line="300" w:lineRule="exact"/>
              <w:rPr>
                <w:rFonts w:ascii="Arabic Typesetting" w:hAnsi="Arabic Typesetting" w:cs="Arabic Typesetting"/>
                <w:color w:val="000000"/>
                <w:sz w:val="28"/>
                <w:szCs w:val="28"/>
              </w:rPr>
            </w:pPr>
          </w:p>
        </w:tc>
        <w:tc>
          <w:tcPr>
            <w:tcW w:w="709" w:type="pct"/>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14:paraId="63767AB4" w14:textId="77777777" w:rsidR="00BD3831" w:rsidRPr="00FA719C" w:rsidRDefault="00BD3831" w:rsidP="0031289D">
            <w:pPr>
              <w:keepNext/>
              <w:bidi/>
              <w:spacing w:line="300" w:lineRule="exact"/>
              <w:jc w:val="center"/>
              <w:rPr>
                <w:rFonts w:ascii="Arabic Typesetting" w:hAnsi="Arabic Typesetting" w:cs="Arabic Typesetting"/>
                <w:b/>
                <w:color w:val="000000"/>
                <w:sz w:val="28"/>
                <w:szCs w:val="28"/>
              </w:rPr>
            </w:pPr>
            <w:r w:rsidRPr="00FA719C">
              <w:rPr>
                <w:rFonts w:ascii="Arabic Typesetting" w:hAnsi="Arabic Typesetting" w:cs="Arabic Typesetting"/>
                <w:b/>
                <w:color w:val="000000"/>
                <w:sz w:val="28"/>
                <w:szCs w:val="28"/>
              </w:rPr>
              <w:t>2014</w:t>
            </w:r>
          </w:p>
        </w:tc>
        <w:tc>
          <w:tcPr>
            <w:tcW w:w="708" w:type="pct"/>
            <w:gridSpan w:val="4"/>
            <w:tcBorders>
              <w:top w:val="single" w:sz="8" w:space="0" w:color="auto"/>
              <w:left w:val="nil"/>
              <w:bottom w:val="single" w:sz="4" w:space="0" w:color="auto"/>
              <w:right w:val="single" w:sz="8" w:space="0" w:color="000000"/>
            </w:tcBorders>
            <w:shd w:val="clear" w:color="auto" w:fill="C6D9F1"/>
            <w:noWrap/>
            <w:vAlign w:val="bottom"/>
          </w:tcPr>
          <w:p w14:paraId="534E283A" w14:textId="77777777" w:rsidR="00BD3831" w:rsidRPr="00FA719C" w:rsidRDefault="00BD3831" w:rsidP="0031289D">
            <w:pPr>
              <w:keepNext/>
              <w:bidi/>
              <w:spacing w:line="300" w:lineRule="exact"/>
              <w:jc w:val="center"/>
              <w:rPr>
                <w:rFonts w:ascii="Arabic Typesetting" w:hAnsi="Arabic Typesetting" w:cs="Arabic Typesetting"/>
                <w:b/>
                <w:color w:val="000000"/>
                <w:sz w:val="28"/>
                <w:szCs w:val="28"/>
              </w:rPr>
            </w:pPr>
            <w:r w:rsidRPr="00FA719C">
              <w:rPr>
                <w:rFonts w:ascii="Arabic Typesetting" w:hAnsi="Arabic Typesetting" w:cs="Arabic Typesetting"/>
                <w:b/>
                <w:color w:val="000000"/>
                <w:sz w:val="28"/>
                <w:szCs w:val="28"/>
              </w:rPr>
              <w:t>2015</w:t>
            </w:r>
          </w:p>
        </w:tc>
        <w:tc>
          <w:tcPr>
            <w:tcW w:w="708" w:type="pct"/>
            <w:gridSpan w:val="4"/>
            <w:tcBorders>
              <w:top w:val="single" w:sz="8" w:space="0" w:color="auto"/>
              <w:left w:val="nil"/>
              <w:bottom w:val="single" w:sz="4" w:space="0" w:color="auto"/>
              <w:right w:val="single" w:sz="8" w:space="0" w:color="000000"/>
            </w:tcBorders>
            <w:shd w:val="clear" w:color="auto" w:fill="C6D9F1"/>
            <w:noWrap/>
            <w:vAlign w:val="bottom"/>
          </w:tcPr>
          <w:p w14:paraId="786A14EE" w14:textId="77777777" w:rsidR="00BD3831" w:rsidRPr="00FA719C" w:rsidRDefault="00BD3831" w:rsidP="0031289D">
            <w:pPr>
              <w:keepNext/>
              <w:bidi/>
              <w:spacing w:line="300" w:lineRule="exact"/>
              <w:jc w:val="center"/>
              <w:rPr>
                <w:rFonts w:ascii="Arabic Typesetting" w:hAnsi="Arabic Typesetting" w:cs="Arabic Typesetting"/>
                <w:b/>
                <w:color w:val="000000"/>
                <w:sz w:val="28"/>
                <w:szCs w:val="28"/>
              </w:rPr>
            </w:pPr>
            <w:r w:rsidRPr="00FA719C">
              <w:rPr>
                <w:rFonts w:ascii="Arabic Typesetting" w:hAnsi="Arabic Typesetting" w:cs="Arabic Typesetting"/>
                <w:b/>
                <w:color w:val="000000"/>
                <w:sz w:val="28"/>
                <w:szCs w:val="28"/>
              </w:rPr>
              <w:t>2016</w:t>
            </w:r>
          </w:p>
        </w:tc>
        <w:tc>
          <w:tcPr>
            <w:tcW w:w="708" w:type="pct"/>
            <w:gridSpan w:val="4"/>
            <w:tcBorders>
              <w:top w:val="single" w:sz="8" w:space="0" w:color="auto"/>
              <w:left w:val="nil"/>
              <w:bottom w:val="single" w:sz="4" w:space="0" w:color="auto"/>
              <w:right w:val="single" w:sz="8" w:space="0" w:color="000000"/>
            </w:tcBorders>
            <w:shd w:val="clear" w:color="auto" w:fill="C6D9F1"/>
            <w:noWrap/>
            <w:vAlign w:val="bottom"/>
          </w:tcPr>
          <w:p w14:paraId="18B1E2D4" w14:textId="77777777" w:rsidR="00BD3831" w:rsidRPr="00FA719C" w:rsidRDefault="00BD3831" w:rsidP="0031289D">
            <w:pPr>
              <w:keepNext/>
              <w:bidi/>
              <w:spacing w:line="300" w:lineRule="exact"/>
              <w:jc w:val="center"/>
              <w:rPr>
                <w:rFonts w:ascii="Arabic Typesetting" w:hAnsi="Arabic Typesetting" w:cs="Arabic Typesetting"/>
                <w:b/>
                <w:color w:val="000000"/>
                <w:sz w:val="28"/>
                <w:szCs w:val="28"/>
              </w:rPr>
            </w:pPr>
            <w:r w:rsidRPr="00FA719C">
              <w:rPr>
                <w:rFonts w:ascii="Arabic Typesetting" w:hAnsi="Arabic Typesetting" w:cs="Arabic Typesetting"/>
                <w:b/>
                <w:color w:val="000000"/>
                <w:sz w:val="28"/>
                <w:szCs w:val="28"/>
              </w:rPr>
              <w:t>2017</w:t>
            </w:r>
          </w:p>
        </w:tc>
        <w:tc>
          <w:tcPr>
            <w:tcW w:w="354" w:type="pct"/>
            <w:gridSpan w:val="2"/>
            <w:tcBorders>
              <w:top w:val="single" w:sz="8" w:space="0" w:color="auto"/>
              <w:left w:val="nil"/>
              <w:bottom w:val="single" w:sz="4" w:space="0" w:color="auto"/>
              <w:right w:val="single" w:sz="8" w:space="0" w:color="000000"/>
            </w:tcBorders>
            <w:shd w:val="clear" w:color="auto" w:fill="C6D9F1"/>
          </w:tcPr>
          <w:p w14:paraId="7B5795EF" w14:textId="77777777" w:rsidR="00BD3831" w:rsidRPr="00FA719C" w:rsidRDefault="00BD3831" w:rsidP="0031289D">
            <w:pPr>
              <w:keepNext/>
              <w:bidi/>
              <w:spacing w:line="300" w:lineRule="exact"/>
              <w:jc w:val="center"/>
              <w:rPr>
                <w:rFonts w:ascii="Arabic Typesetting" w:hAnsi="Arabic Typesetting" w:cs="Arabic Typesetting"/>
                <w:b/>
                <w:color w:val="000000"/>
                <w:sz w:val="28"/>
                <w:szCs w:val="28"/>
              </w:rPr>
            </w:pPr>
            <w:r w:rsidRPr="00FA719C">
              <w:rPr>
                <w:rFonts w:ascii="Arabic Typesetting" w:hAnsi="Arabic Typesetting" w:cs="Arabic Typesetting"/>
                <w:b/>
                <w:color w:val="000000"/>
                <w:sz w:val="28"/>
                <w:szCs w:val="28"/>
              </w:rPr>
              <w:t>2018</w:t>
            </w:r>
          </w:p>
        </w:tc>
      </w:tr>
      <w:tr w:rsidR="00BD3831" w:rsidRPr="00FA719C" w14:paraId="41794AC6" w14:textId="77777777" w:rsidTr="00DF6715">
        <w:trPr>
          <w:trHeight w:val="375"/>
          <w:jc w:val="center"/>
        </w:trPr>
        <w:tc>
          <w:tcPr>
            <w:tcW w:w="1811" w:type="pct"/>
            <w:tcBorders>
              <w:top w:val="single" w:sz="8" w:space="0" w:color="auto"/>
              <w:left w:val="single" w:sz="8" w:space="0" w:color="auto"/>
              <w:bottom w:val="single" w:sz="4" w:space="0" w:color="auto"/>
              <w:right w:val="single" w:sz="8" w:space="0" w:color="auto"/>
            </w:tcBorders>
            <w:shd w:val="clear" w:color="auto" w:fill="C6D9F1"/>
            <w:noWrap/>
            <w:vAlign w:val="center"/>
          </w:tcPr>
          <w:p w14:paraId="67669EC6" w14:textId="77777777" w:rsidR="00BD3831" w:rsidRPr="00FA719C" w:rsidRDefault="00BD3831" w:rsidP="0031289D">
            <w:pPr>
              <w:keepNext/>
              <w:bidi/>
              <w:spacing w:after="120" w:line="300" w:lineRule="exact"/>
              <w:rPr>
                <w:rFonts w:ascii="Arabic Typesetting" w:hAnsi="Arabic Typesetting" w:cs="Arabic Typesetting"/>
                <w:sz w:val="28"/>
                <w:szCs w:val="28"/>
                <w:rtl/>
              </w:rPr>
            </w:pPr>
            <w:r w:rsidRPr="00FA719C">
              <w:rPr>
                <w:rFonts w:ascii="Arabic Typesetting" w:hAnsi="Arabic Typesetting" w:cs="Arabic Typesetting"/>
                <w:bCs/>
                <w:color w:val="000000"/>
                <w:sz w:val="28"/>
                <w:szCs w:val="28"/>
                <w:rtl/>
                <w:lang w:bidi="ar-EG"/>
              </w:rPr>
              <w:t>المعالم الرئيسية</w:t>
            </w:r>
          </w:p>
        </w:tc>
        <w:tc>
          <w:tcPr>
            <w:tcW w:w="178" w:type="pct"/>
            <w:tcBorders>
              <w:top w:val="nil"/>
              <w:left w:val="nil"/>
              <w:bottom w:val="single" w:sz="4" w:space="0" w:color="auto"/>
              <w:right w:val="single" w:sz="4" w:space="0" w:color="auto"/>
            </w:tcBorders>
            <w:shd w:val="clear" w:color="auto" w:fill="C6D9F1"/>
            <w:noWrap/>
            <w:vAlign w:val="bottom"/>
          </w:tcPr>
          <w:p w14:paraId="66E5F163"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ف1</w:t>
            </w:r>
          </w:p>
        </w:tc>
        <w:tc>
          <w:tcPr>
            <w:tcW w:w="178" w:type="pct"/>
            <w:tcBorders>
              <w:top w:val="nil"/>
              <w:left w:val="nil"/>
              <w:bottom w:val="single" w:sz="4" w:space="0" w:color="auto"/>
              <w:right w:val="single" w:sz="4" w:space="0" w:color="auto"/>
            </w:tcBorders>
            <w:shd w:val="clear" w:color="auto" w:fill="C6D9F1"/>
            <w:noWrap/>
            <w:vAlign w:val="bottom"/>
          </w:tcPr>
          <w:p w14:paraId="1E6A4C8B"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ف2</w:t>
            </w:r>
          </w:p>
        </w:tc>
        <w:tc>
          <w:tcPr>
            <w:tcW w:w="177" w:type="pct"/>
            <w:tcBorders>
              <w:top w:val="nil"/>
              <w:left w:val="nil"/>
              <w:bottom w:val="single" w:sz="4" w:space="0" w:color="auto"/>
              <w:right w:val="single" w:sz="4" w:space="0" w:color="auto"/>
            </w:tcBorders>
            <w:shd w:val="clear" w:color="auto" w:fill="C6D9F1"/>
            <w:noWrap/>
            <w:vAlign w:val="bottom"/>
          </w:tcPr>
          <w:p w14:paraId="6F072159"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ف3</w:t>
            </w:r>
          </w:p>
        </w:tc>
        <w:tc>
          <w:tcPr>
            <w:tcW w:w="177" w:type="pct"/>
            <w:tcBorders>
              <w:top w:val="nil"/>
              <w:left w:val="nil"/>
              <w:bottom w:val="single" w:sz="4" w:space="0" w:color="auto"/>
              <w:right w:val="single" w:sz="8" w:space="0" w:color="auto"/>
            </w:tcBorders>
            <w:shd w:val="clear" w:color="auto" w:fill="C6D9F1"/>
            <w:noWrap/>
            <w:vAlign w:val="bottom"/>
          </w:tcPr>
          <w:p w14:paraId="7F973DA7"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ف4</w:t>
            </w:r>
          </w:p>
        </w:tc>
        <w:tc>
          <w:tcPr>
            <w:tcW w:w="177" w:type="pct"/>
            <w:tcBorders>
              <w:top w:val="nil"/>
              <w:left w:val="nil"/>
              <w:bottom w:val="single" w:sz="4" w:space="0" w:color="auto"/>
              <w:right w:val="single" w:sz="4" w:space="0" w:color="auto"/>
            </w:tcBorders>
            <w:shd w:val="clear" w:color="auto" w:fill="C6D9F1"/>
            <w:noWrap/>
            <w:vAlign w:val="bottom"/>
          </w:tcPr>
          <w:p w14:paraId="68252647"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ف1</w:t>
            </w:r>
          </w:p>
        </w:tc>
        <w:tc>
          <w:tcPr>
            <w:tcW w:w="177" w:type="pct"/>
            <w:tcBorders>
              <w:top w:val="nil"/>
              <w:left w:val="nil"/>
              <w:bottom w:val="single" w:sz="4" w:space="0" w:color="auto"/>
              <w:right w:val="single" w:sz="4" w:space="0" w:color="auto"/>
            </w:tcBorders>
            <w:shd w:val="clear" w:color="auto" w:fill="C6D9F1"/>
            <w:noWrap/>
            <w:vAlign w:val="bottom"/>
          </w:tcPr>
          <w:p w14:paraId="743A604F"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ف2</w:t>
            </w:r>
          </w:p>
        </w:tc>
        <w:tc>
          <w:tcPr>
            <w:tcW w:w="177" w:type="pct"/>
            <w:tcBorders>
              <w:top w:val="nil"/>
              <w:left w:val="nil"/>
              <w:bottom w:val="single" w:sz="4" w:space="0" w:color="auto"/>
              <w:right w:val="single" w:sz="4" w:space="0" w:color="auto"/>
            </w:tcBorders>
            <w:shd w:val="clear" w:color="auto" w:fill="C6D9F1"/>
            <w:noWrap/>
            <w:vAlign w:val="bottom"/>
          </w:tcPr>
          <w:p w14:paraId="7E8DB3D3"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ف3</w:t>
            </w:r>
          </w:p>
        </w:tc>
        <w:tc>
          <w:tcPr>
            <w:tcW w:w="177" w:type="pct"/>
            <w:tcBorders>
              <w:top w:val="nil"/>
              <w:left w:val="nil"/>
              <w:bottom w:val="single" w:sz="4" w:space="0" w:color="auto"/>
              <w:right w:val="single" w:sz="8" w:space="0" w:color="auto"/>
            </w:tcBorders>
            <w:shd w:val="clear" w:color="auto" w:fill="C6D9F1"/>
            <w:noWrap/>
            <w:vAlign w:val="bottom"/>
          </w:tcPr>
          <w:p w14:paraId="1D38B30B"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ف4</w:t>
            </w:r>
          </w:p>
        </w:tc>
        <w:tc>
          <w:tcPr>
            <w:tcW w:w="177" w:type="pct"/>
            <w:tcBorders>
              <w:top w:val="nil"/>
              <w:left w:val="nil"/>
              <w:bottom w:val="single" w:sz="4" w:space="0" w:color="auto"/>
              <w:right w:val="single" w:sz="4" w:space="0" w:color="auto"/>
            </w:tcBorders>
            <w:shd w:val="clear" w:color="auto" w:fill="C6D9F1"/>
            <w:noWrap/>
            <w:vAlign w:val="bottom"/>
          </w:tcPr>
          <w:p w14:paraId="23397D8C"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ف1</w:t>
            </w:r>
          </w:p>
        </w:tc>
        <w:tc>
          <w:tcPr>
            <w:tcW w:w="177" w:type="pct"/>
            <w:tcBorders>
              <w:top w:val="nil"/>
              <w:left w:val="nil"/>
              <w:bottom w:val="single" w:sz="4" w:space="0" w:color="auto"/>
              <w:right w:val="single" w:sz="4" w:space="0" w:color="auto"/>
            </w:tcBorders>
            <w:shd w:val="clear" w:color="auto" w:fill="C6D9F1"/>
            <w:noWrap/>
            <w:vAlign w:val="bottom"/>
          </w:tcPr>
          <w:p w14:paraId="6F922173"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ف2</w:t>
            </w:r>
          </w:p>
        </w:tc>
        <w:tc>
          <w:tcPr>
            <w:tcW w:w="177" w:type="pct"/>
            <w:tcBorders>
              <w:top w:val="nil"/>
              <w:left w:val="nil"/>
              <w:bottom w:val="single" w:sz="4" w:space="0" w:color="auto"/>
              <w:right w:val="single" w:sz="4" w:space="0" w:color="auto"/>
            </w:tcBorders>
            <w:shd w:val="clear" w:color="auto" w:fill="C6D9F1"/>
            <w:noWrap/>
            <w:vAlign w:val="bottom"/>
          </w:tcPr>
          <w:p w14:paraId="541A1E74"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ف3</w:t>
            </w:r>
          </w:p>
        </w:tc>
        <w:tc>
          <w:tcPr>
            <w:tcW w:w="177" w:type="pct"/>
            <w:tcBorders>
              <w:top w:val="nil"/>
              <w:left w:val="nil"/>
              <w:bottom w:val="single" w:sz="4" w:space="0" w:color="auto"/>
              <w:right w:val="single" w:sz="8" w:space="0" w:color="auto"/>
            </w:tcBorders>
            <w:shd w:val="clear" w:color="auto" w:fill="C6D9F1"/>
            <w:noWrap/>
            <w:vAlign w:val="bottom"/>
          </w:tcPr>
          <w:p w14:paraId="090F34B7"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ف4</w:t>
            </w:r>
          </w:p>
        </w:tc>
        <w:tc>
          <w:tcPr>
            <w:tcW w:w="177" w:type="pct"/>
            <w:tcBorders>
              <w:top w:val="nil"/>
              <w:left w:val="nil"/>
              <w:bottom w:val="single" w:sz="4" w:space="0" w:color="auto"/>
              <w:right w:val="single" w:sz="4" w:space="0" w:color="auto"/>
            </w:tcBorders>
            <w:shd w:val="clear" w:color="auto" w:fill="C6D9F1"/>
            <w:noWrap/>
            <w:vAlign w:val="bottom"/>
          </w:tcPr>
          <w:p w14:paraId="27660B87"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ف1</w:t>
            </w:r>
          </w:p>
        </w:tc>
        <w:tc>
          <w:tcPr>
            <w:tcW w:w="177" w:type="pct"/>
            <w:tcBorders>
              <w:top w:val="nil"/>
              <w:left w:val="nil"/>
              <w:bottom w:val="single" w:sz="4" w:space="0" w:color="auto"/>
              <w:right w:val="single" w:sz="4" w:space="0" w:color="auto"/>
            </w:tcBorders>
            <w:shd w:val="clear" w:color="auto" w:fill="C6D9F1"/>
            <w:noWrap/>
            <w:vAlign w:val="bottom"/>
          </w:tcPr>
          <w:p w14:paraId="10D4F29E"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ف2</w:t>
            </w:r>
          </w:p>
        </w:tc>
        <w:tc>
          <w:tcPr>
            <w:tcW w:w="177" w:type="pct"/>
            <w:tcBorders>
              <w:top w:val="nil"/>
              <w:left w:val="nil"/>
              <w:bottom w:val="single" w:sz="4" w:space="0" w:color="auto"/>
              <w:right w:val="single" w:sz="4" w:space="0" w:color="auto"/>
            </w:tcBorders>
            <w:shd w:val="clear" w:color="auto" w:fill="C6D9F1"/>
            <w:noWrap/>
            <w:vAlign w:val="bottom"/>
          </w:tcPr>
          <w:p w14:paraId="546C5031"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ف3</w:t>
            </w:r>
          </w:p>
        </w:tc>
        <w:tc>
          <w:tcPr>
            <w:tcW w:w="177" w:type="pct"/>
            <w:tcBorders>
              <w:top w:val="nil"/>
              <w:left w:val="nil"/>
              <w:bottom w:val="single" w:sz="4" w:space="0" w:color="auto"/>
              <w:right w:val="single" w:sz="8" w:space="0" w:color="auto"/>
            </w:tcBorders>
            <w:shd w:val="clear" w:color="auto" w:fill="C6D9F1"/>
            <w:noWrap/>
            <w:vAlign w:val="bottom"/>
          </w:tcPr>
          <w:p w14:paraId="5A4D5BDD"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ف4</w:t>
            </w:r>
          </w:p>
        </w:tc>
        <w:tc>
          <w:tcPr>
            <w:tcW w:w="177" w:type="pct"/>
            <w:tcBorders>
              <w:top w:val="nil"/>
              <w:left w:val="nil"/>
              <w:bottom w:val="single" w:sz="4" w:space="0" w:color="auto"/>
              <w:right w:val="single" w:sz="8" w:space="0" w:color="auto"/>
            </w:tcBorders>
            <w:shd w:val="clear" w:color="auto" w:fill="C6D9F1"/>
            <w:vAlign w:val="bottom"/>
          </w:tcPr>
          <w:p w14:paraId="64CA14FC"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ف1</w:t>
            </w:r>
          </w:p>
        </w:tc>
        <w:tc>
          <w:tcPr>
            <w:tcW w:w="177" w:type="pct"/>
            <w:tcBorders>
              <w:top w:val="nil"/>
              <w:left w:val="nil"/>
              <w:bottom w:val="single" w:sz="4" w:space="0" w:color="auto"/>
              <w:right w:val="single" w:sz="8" w:space="0" w:color="auto"/>
            </w:tcBorders>
            <w:shd w:val="clear" w:color="auto" w:fill="C6D9F1"/>
            <w:vAlign w:val="bottom"/>
          </w:tcPr>
          <w:p w14:paraId="3793F05F" w14:textId="77777777" w:rsidR="00BD3831" w:rsidRPr="00FA719C" w:rsidRDefault="00BD3831" w:rsidP="0031289D">
            <w:pPr>
              <w:keepNext/>
              <w:bidi/>
              <w:spacing w:line="300" w:lineRule="exact"/>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ف2</w:t>
            </w:r>
          </w:p>
        </w:tc>
      </w:tr>
      <w:tr w:rsidR="00BD3831" w:rsidRPr="00FA719C" w14:paraId="2BC6C9ED" w14:textId="77777777" w:rsidTr="00DF6715">
        <w:trPr>
          <w:trHeight w:val="323"/>
          <w:jc w:val="center"/>
        </w:trPr>
        <w:tc>
          <w:tcPr>
            <w:tcW w:w="1811" w:type="pct"/>
            <w:tcBorders>
              <w:top w:val="nil"/>
              <w:left w:val="single" w:sz="8" w:space="0" w:color="auto"/>
              <w:bottom w:val="single" w:sz="4" w:space="0" w:color="auto"/>
              <w:right w:val="single" w:sz="8" w:space="0" w:color="auto"/>
            </w:tcBorders>
            <w:noWrap/>
            <w:vAlign w:val="center"/>
          </w:tcPr>
          <w:p w14:paraId="653654BC" w14:textId="77777777" w:rsidR="00BD3831" w:rsidRPr="00FA719C" w:rsidRDefault="00BD3831" w:rsidP="0031289D">
            <w:pPr>
              <w:keepNext/>
              <w:bidi/>
              <w:spacing w:after="120" w:line="30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دراسة النهج وتطويره</w:t>
            </w:r>
          </w:p>
        </w:tc>
        <w:tc>
          <w:tcPr>
            <w:tcW w:w="178" w:type="pct"/>
            <w:tcBorders>
              <w:top w:val="nil"/>
              <w:left w:val="nil"/>
              <w:bottom w:val="single" w:sz="4" w:space="0" w:color="auto"/>
              <w:right w:val="single" w:sz="4" w:space="0" w:color="auto"/>
            </w:tcBorders>
            <w:noWrap/>
            <w:vAlign w:val="center"/>
          </w:tcPr>
          <w:p w14:paraId="705DA316" w14:textId="77777777" w:rsidR="00BD3831" w:rsidRPr="00FA719C" w:rsidRDefault="00BD3831" w:rsidP="0031289D">
            <w:pPr>
              <w:jc w:val="center"/>
              <w:rPr>
                <w:rFonts w:ascii="Arabic Typesetting" w:hAnsi="Arabic Typesetting" w:cs="Arabic Typesetting"/>
                <w:color w:val="000000"/>
                <w:sz w:val="28"/>
                <w:szCs w:val="28"/>
              </w:rPr>
            </w:pPr>
          </w:p>
        </w:tc>
        <w:tc>
          <w:tcPr>
            <w:tcW w:w="178" w:type="pct"/>
            <w:tcBorders>
              <w:top w:val="nil"/>
              <w:left w:val="nil"/>
              <w:bottom w:val="single" w:sz="4" w:space="0" w:color="auto"/>
              <w:right w:val="single" w:sz="4" w:space="0" w:color="auto"/>
            </w:tcBorders>
            <w:noWrap/>
            <w:vAlign w:val="center"/>
          </w:tcPr>
          <w:p w14:paraId="53466752"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4EF69705"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650C79AC"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177" w:type="pct"/>
            <w:tcBorders>
              <w:top w:val="nil"/>
              <w:left w:val="nil"/>
              <w:bottom w:val="single" w:sz="4" w:space="0" w:color="auto"/>
              <w:right w:val="single" w:sz="4" w:space="0" w:color="auto"/>
            </w:tcBorders>
            <w:noWrap/>
            <w:vAlign w:val="center"/>
          </w:tcPr>
          <w:p w14:paraId="2AA4BA0A"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0C81E375"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6DFFC077"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07878195"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7482D76A"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5A8EF6BE"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399CACF8"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4AA466AE"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20041115"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57100D5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1DDDDEF0"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63BE6677"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1A6DD5CC"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02AFC28A" w14:textId="77777777" w:rsidR="00BD3831" w:rsidRPr="00FA719C" w:rsidRDefault="00BD3831" w:rsidP="0031289D">
            <w:pPr>
              <w:jc w:val="center"/>
              <w:rPr>
                <w:rFonts w:ascii="Arabic Typesetting" w:hAnsi="Arabic Typesetting" w:cs="Arabic Typesetting"/>
                <w:color w:val="000000"/>
                <w:sz w:val="28"/>
                <w:szCs w:val="28"/>
              </w:rPr>
            </w:pPr>
          </w:p>
        </w:tc>
      </w:tr>
      <w:tr w:rsidR="00BD3831" w:rsidRPr="00FA719C" w14:paraId="49BD680F" w14:textId="77777777" w:rsidTr="00DF6715">
        <w:trPr>
          <w:trHeight w:val="686"/>
          <w:jc w:val="center"/>
        </w:trPr>
        <w:tc>
          <w:tcPr>
            <w:tcW w:w="1811" w:type="pct"/>
            <w:tcBorders>
              <w:top w:val="nil"/>
              <w:left w:val="single" w:sz="8" w:space="0" w:color="auto"/>
              <w:bottom w:val="single" w:sz="4" w:space="0" w:color="auto"/>
              <w:right w:val="single" w:sz="8" w:space="0" w:color="auto"/>
            </w:tcBorders>
            <w:noWrap/>
            <w:vAlign w:val="center"/>
          </w:tcPr>
          <w:p w14:paraId="043D5FDF" w14:textId="77777777" w:rsidR="00BD3831" w:rsidRPr="00FA719C" w:rsidRDefault="00BD3831" w:rsidP="0031289D">
            <w:pPr>
              <w:bidi/>
              <w:spacing w:after="120" w:line="30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اختيار تكنولوجيا إدارة المعلومات المؤسسية</w:t>
            </w:r>
          </w:p>
        </w:tc>
        <w:tc>
          <w:tcPr>
            <w:tcW w:w="178" w:type="pct"/>
            <w:tcBorders>
              <w:top w:val="nil"/>
              <w:left w:val="nil"/>
              <w:bottom w:val="single" w:sz="4" w:space="0" w:color="auto"/>
              <w:right w:val="single" w:sz="4" w:space="0" w:color="auto"/>
            </w:tcBorders>
            <w:noWrap/>
            <w:vAlign w:val="center"/>
          </w:tcPr>
          <w:p w14:paraId="41939F2A" w14:textId="77777777" w:rsidR="00BD3831" w:rsidRPr="00FA719C" w:rsidRDefault="00BD3831" w:rsidP="0031289D">
            <w:pPr>
              <w:rPr>
                <w:rFonts w:ascii="Arabic Typesetting" w:hAnsi="Arabic Typesetting" w:cs="Arabic Typesetting"/>
                <w:sz w:val="28"/>
                <w:szCs w:val="28"/>
              </w:rPr>
            </w:pPr>
          </w:p>
        </w:tc>
        <w:tc>
          <w:tcPr>
            <w:tcW w:w="178" w:type="pct"/>
            <w:tcBorders>
              <w:top w:val="nil"/>
              <w:left w:val="nil"/>
              <w:bottom w:val="single" w:sz="4" w:space="0" w:color="auto"/>
              <w:right w:val="single" w:sz="4" w:space="0" w:color="auto"/>
            </w:tcBorders>
            <w:noWrap/>
            <w:vAlign w:val="center"/>
          </w:tcPr>
          <w:p w14:paraId="574DEE17"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63B3CE68"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8" w:space="0" w:color="auto"/>
            </w:tcBorders>
            <w:noWrap/>
            <w:vAlign w:val="center"/>
          </w:tcPr>
          <w:p w14:paraId="040254C3"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687A5C4F"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393427A1"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20E118AB"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177" w:type="pct"/>
            <w:tcBorders>
              <w:top w:val="nil"/>
              <w:left w:val="nil"/>
              <w:bottom w:val="single" w:sz="4" w:space="0" w:color="auto"/>
              <w:right w:val="single" w:sz="8" w:space="0" w:color="auto"/>
            </w:tcBorders>
            <w:noWrap/>
            <w:vAlign w:val="center"/>
          </w:tcPr>
          <w:p w14:paraId="767C0F0A"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1059F84F"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6697A3F9"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627A66EA"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8" w:space="0" w:color="auto"/>
            </w:tcBorders>
            <w:noWrap/>
            <w:vAlign w:val="center"/>
          </w:tcPr>
          <w:p w14:paraId="0CCB0896"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64151358"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1794014B"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24026A6C"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0BB9725A" w14:textId="77777777" w:rsidR="00BD3831" w:rsidRPr="00FA719C" w:rsidRDefault="00BD3831" w:rsidP="0031289D">
            <w:pPr>
              <w:rPr>
                <w:rFonts w:ascii="Arabic Typesetting" w:hAnsi="Arabic Typesetting" w:cs="Arabic Typesetting"/>
                <w:sz w:val="28"/>
                <w:szCs w:val="28"/>
              </w:rPr>
            </w:pPr>
          </w:p>
        </w:tc>
        <w:tc>
          <w:tcPr>
            <w:tcW w:w="177" w:type="pct"/>
            <w:tcBorders>
              <w:top w:val="single" w:sz="4" w:space="0" w:color="auto"/>
              <w:left w:val="single" w:sz="4" w:space="0" w:color="auto"/>
              <w:bottom w:val="single" w:sz="4" w:space="0" w:color="auto"/>
              <w:right w:val="single" w:sz="4" w:space="0" w:color="auto"/>
            </w:tcBorders>
          </w:tcPr>
          <w:p w14:paraId="64649440"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019845E1" w14:textId="77777777" w:rsidR="00BD3831" w:rsidRPr="00FA719C" w:rsidRDefault="00BD3831" w:rsidP="0031289D">
            <w:pPr>
              <w:jc w:val="center"/>
              <w:rPr>
                <w:rFonts w:ascii="Arabic Typesetting" w:hAnsi="Arabic Typesetting" w:cs="Arabic Typesetting"/>
                <w:color w:val="000000"/>
                <w:sz w:val="28"/>
                <w:szCs w:val="28"/>
              </w:rPr>
            </w:pPr>
          </w:p>
        </w:tc>
      </w:tr>
      <w:tr w:rsidR="00BD3831" w:rsidRPr="00FA719C" w14:paraId="63454B12" w14:textId="77777777" w:rsidTr="00DF6715">
        <w:trPr>
          <w:trHeight w:val="615"/>
          <w:jc w:val="center"/>
        </w:trPr>
        <w:tc>
          <w:tcPr>
            <w:tcW w:w="1811" w:type="pct"/>
            <w:tcBorders>
              <w:top w:val="nil"/>
              <w:left w:val="single" w:sz="8" w:space="0" w:color="auto"/>
              <w:bottom w:val="single" w:sz="4" w:space="0" w:color="auto"/>
              <w:right w:val="single" w:sz="8" w:space="0" w:color="auto"/>
            </w:tcBorders>
            <w:noWrap/>
            <w:vAlign w:val="center"/>
          </w:tcPr>
          <w:p w14:paraId="024DDE72" w14:textId="77777777" w:rsidR="00BD3831" w:rsidRPr="00FA719C" w:rsidRDefault="00BD3831" w:rsidP="0031289D">
            <w:pPr>
              <w:bidi/>
              <w:spacing w:after="120" w:line="30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إعادة تصميم منصة نظام السجلات والمحفوظات المؤسسية القائم وتحديث إصداره</w:t>
            </w:r>
          </w:p>
        </w:tc>
        <w:tc>
          <w:tcPr>
            <w:tcW w:w="178" w:type="pct"/>
            <w:tcBorders>
              <w:top w:val="nil"/>
              <w:left w:val="nil"/>
              <w:bottom w:val="single" w:sz="4" w:space="0" w:color="auto"/>
              <w:right w:val="single" w:sz="4" w:space="0" w:color="auto"/>
            </w:tcBorders>
            <w:noWrap/>
            <w:vAlign w:val="center"/>
          </w:tcPr>
          <w:p w14:paraId="005B75F0" w14:textId="77777777" w:rsidR="00BD3831" w:rsidRPr="00FA719C" w:rsidRDefault="00BD3831" w:rsidP="0031289D">
            <w:pPr>
              <w:jc w:val="center"/>
              <w:rPr>
                <w:rFonts w:ascii="Arabic Typesetting" w:hAnsi="Arabic Typesetting" w:cs="Arabic Typesetting"/>
                <w:color w:val="000000"/>
                <w:sz w:val="28"/>
                <w:szCs w:val="28"/>
              </w:rPr>
            </w:pPr>
          </w:p>
        </w:tc>
        <w:tc>
          <w:tcPr>
            <w:tcW w:w="178" w:type="pct"/>
            <w:tcBorders>
              <w:top w:val="nil"/>
              <w:left w:val="nil"/>
              <w:bottom w:val="single" w:sz="4" w:space="0" w:color="auto"/>
              <w:right w:val="single" w:sz="4" w:space="0" w:color="auto"/>
            </w:tcBorders>
            <w:noWrap/>
            <w:vAlign w:val="center"/>
          </w:tcPr>
          <w:p w14:paraId="4FC82658"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4C73EA9C"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15FC3ACA"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0868223D"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1DF6433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0B7E8D80"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1107112A"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177" w:type="pct"/>
            <w:tcBorders>
              <w:top w:val="nil"/>
              <w:left w:val="nil"/>
              <w:bottom w:val="single" w:sz="4" w:space="0" w:color="auto"/>
              <w:right w:val="single" w:sz="4" w:space="0" w:color="auto"/>
            </w:tcBorders>
            <w:noWrap/>
            <w:vAlign w:val="center"/>
          </w:tcPr>
          <w:p w14:paraId="572A2B6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07D11D7D"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7C6507EB"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4AEDB576"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1C5749B5"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5BB3766D"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0ED30CFE"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51A61422"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6B5F4E77"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42521D92" w14:textId="77777777" w:rsidR="00BD3831" w:rsidRPr="00FA719C" w:rsidRDefault="00BD3831" w:rsidP="0031289D">
            <w:pPr>
              <w:jc w:val="center"/>
              <w:rPr>
                <w:rFonts w:ascii="Arabic Typesetting" w:hAnsi="Arabic Typesetting" w:cs="Arabic Typesetting"/>
                <w:color w:val="000000"/>
                <w:sz w:val="28"/>
                <w:szCs w:val="28"/>
              </w:rPr>
            </w:pPr>
          </w:p>
        </w:tc>
      </w:tr>
      <w:tr w:rsidR="00BD3831" w:rsidRPr="00FA719C" w14:paraId="7E467FB9" w14:textId="77777777" w:rsidTr="00DF6715">
        <w:trPr>
          <w:trHeight w:val="341"/>
          <w:jc w:val="center"/>
        </w:trPr>
        <w:tc>
          <w:tcPr>
            <w:tcW w:w="1811" w:type="pct"/>
            <w:tcBorders>
              <w:top w:val="nil"/>
              <w:left w:val="single" w:sz="8" w:space="0" w:color="auto"/>
              <w:bottom w:val="single" w:sz="4" w:space="0" w:color="auto"/>
              <w:right w:val="single" w:sz="8" w:space="0" w:color="auto"/>
            </w:tcBorders>
            <w:noWrap/>
            <w:vAlign w:val="center"/>
          </w:tcPr>
          <w:p w14:paraId="745DD3FE" w14:textId="77777777" w:rsidR="00BD3831" w:rsidRPr="00FA719C" w:rsidRDefault="00BD3831" w:rsidP="0031289D">
            <w:pPr>
              <w:bidi/>
              <w:spacing w:after="120" w:line="300" w:lineRule="exact"/>
              <w:rPr>
                <w:rFonts w:ascii="Arabic Typesetting" w:hAnsi="Arabic Typesetting" w:cs="Arabic Typesetting"/>
                <w:color w:val="000000"/>
                <w:sz w:val="28"/>
                <w:szCs w:val="28"/>
                <w:rtl/>
                <w:lang w:bidi="ar-EG"/>
              </w:rPr>
            </w:pPr>
            <w:r w:rsidRPr="00FA719C">
              <w:rPr>
                <w:rFonts w:ascii="Arabic Typesetting" w:hAnsi="Arabic Typesetting" w:cs="Arabic Typesetting"/>
                <w:color w:val="000000"/>
                <w:sz w:val="28"/>
                <w:szCs w:val="28"/>
                <w:rtl/>
                <w:lang w:bidi="ar-EG"/>
              </w:rPr>
              <w:t>إكمال مناقصة شريك التنفيذ</w:t>
            </w:r>
          </w:p>
        </w:tc>
        <w:tc>
          <w:tcPr>
            <w:tcW w:w="178" w:type="pct"/>
            <w:tcBorders>
              <w:top w:val="nil"/>
              <w:left w:val="nil"/>
              <w:bottom w:val="single" w:sz="4" w:space="0" w:color="auto"/>
              <w:right w:val="single" w:sz="4" w:space="0" w:color="auto"/>
            </w:tcBorders>
            <w:noWrap/>
            <w:vAlign w:val="center"/>
          </w:tcPr>
          <w:p w14:paraId="4E9AAB09" w14:textId="77777777" w:rsidR="00BD3831" w:rsidRPr="00FA719C" w:rsidRDefault="00BD3831" w:rsidP="0031289D">
            <w:pPr>
              <w:rPr>
                <w:rFonts w:ascii="Arabic Typesetting" w:hAnsi="Arabic Typesetting" w:cs="Arabic Typesetting"/>
                <w:sz w:val="28"/>
                <w:szCs w:val="28"/>
              </w:rPr>
            </w:pPr>
          </w:p>
        </w:tc>
        <w:tc>
          <w:tcPr>
            <w:tcW w:w="178" w:type="pct"/>
            <w:tcBorders>
              <w:top w:val="nil"/>
              <w:left w:val="nil"/>
              <w:bottom w:val="single" w:sz="4" w:space="0" w:color="auto"/>
              <w:right w:val="single" w:sz="4" w:space="0" w:color="auto"/>
            </w:tcBorders>
            <w:noWrap/>
            <w:vAlign w:val="center"/>
          </w:tcPr>
          <w:p w14:paraId="1EA06A8A"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0B23E3B0"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8" w:space="0" w:color="auto"/>
            </w:tcBorders>
            <w:noWrap/>
            <w:vAlign w:val="center"/>
          </w:tcPr>
          <w:p w14:paraId="7AE28936"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5FB6D83F"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0492DE01"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115B7C2C"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8" w:space="0" w:color="auto"/>
            </w:tcBorders>
            <w:noWrap/>
            <w:vAlign w:val="center"/>
          </w:tcPr>
          <w:p w14:paraId="7DB7531C"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7CFC6309"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797058DC"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660DF538"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177" w:type="pct"/>
            <w:tcBorders>
              <w:top w:val="nil"/>
              <w:left w:val="nil"/>
              <w:bottom w:val="single" w:sz="4" w:space="0" w:color="auto"/>
              <w:right w:val="single" w:sz="8" w:space="0" w:color="auto"/>
            </w:tcBorders>
            <w:noWrap/>
            <w:vAlign w:val="center"/>
          </w:tcPr>
          <w:p w14:paraId="40854494"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53A4B66F"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70F7A3E7"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6757BE1D"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2C255FA3" w14:textId="77777777" w:rsidR="00BD3831" w:rsidRPr="00FA719C" w:rsidRDefault="00BD3831" w:rsidP="0031289D">
            <w:pPr>
              <w:rPr>
                <w:rFonts w:ascii="Arabic Typesetting" w:hAnsi="Arabic Typesetting" w:cs="Arabic Typesetting"/>
                <w:sz w:val="28"/>
                <w:szCs w:val="28"/>
              </w:rPr>
            </w:pPr>
          </w:p>
        </w:tc>
        <w:tc>
          <w:tcPr>
            <w:tcW w:w="177" w:type="pct"/>
            <w:tcBorders>
              <w:top w:val="single" w:sz="4" w:space="0" w:color="auto"/>
              <w:left w:val="single" w:sz="4" w:space="0" w:color="auto"/>
              <w:bottom w:val="single" w:sz="4" w:space="0" w:color="auto"/>
              <w:right w:val="single" w:sz="4" w:space="0" w:color="auto"/>
            </w:tcBorders>
          </w:tcPr>
          <w:p w14:paraId="30D2C8C8"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216D6EF5" w14:textId="77777777" w:rsidR="00BD3831" w:rsidRPr="00FA719C" w:rsidRDefault="00BD3831" w:rsidP="0031289D">
            <w:pPr>
              <w:jc w:val="center"/>
              <w:rPr>
                <w:rFonts w:ascii="Arabic Typesetting" w:hAnsi="Arabic Typesetting" w:cs="Arabic Typesetting"/>
                <w:color w:val="000000"/>
                <w:sz w:val="28"/>
                <w:szCs w:val="28"/>
              </w:rPr>
            </w:pPr>
          </w:p>
        </w:tc>
      </w:tr>
      <w:tr w:rsidR="00BD3831" w:rsidRPr="00FA719C" w14:paraId="16A8D5E6" w14:textId="77777777" w:rsidTr="00DF6715">
        <w:trPr>
          <w:trHeight w:val="615"/>
          <w:jc w:val="center"/>
        </w:trPr>
        <w:tc>
          <w:tcPr>
            <w:tcW w:w="1811" w:type="pct"/>
            <w:tcBorders>
              <w:top w:val="nil"/>
              <w:left w:val="single" w:sz="8" w:space="0" w:color="auto"/>
              <w:bottom w:val="single" w:sz="4" w:space="0" w:color="auto"/>
              <w:right w:val="single" w:sz="8" w:space="0" w:color="auto"/>
            </w:tcBorders>
            <w:noWrap/>
            <w:vAlign w:val="center"/>
          </w:tcPr>
          <w:p w14:paraId="719ECA6D" w14:textId="77777777" w:rsidR="00BD3831" w:rsidRPr="00FA719C" w:rsidRDefault="00BD3831" w:rsidP="0031289D">
            <w:pPr>
              <w:bidi/>
              <w:spacing w:after="120" w:line="300" w:lineRule="exact"/>
              <w:rPr>
                <w:rFonts w:ascii="Arabic Typesetting" w:hAnsi="Arabic Typesetting" w:cs="Arabic Typesetting"/>
                <w:sz w:val="28"/>
                <w:szCs w:val="28"/>
                <w:rtl/>
              </w:rPr>
            </w:pPr>
            <w:r w:rsidRPr="00FA719C">
              <w:rPr>
                <w:rFonts w:ascii="Arabic Typesetting" w:hAnsi="Arabic Typesetting" w:cs="Arabic Typesetting"/>
                <w:color w:val="000000"/>
                <w:sz w:val="28"/>
                <w:szCs w:val="28"/>
                <w:rtl/>
                <w:lang w:bidi="ar-EG"/>
              </w:rPr>
              <w:t>قبول تكوين نظام القاعدة لإدارة المعلومات المؤسسية</w:t>
            </w:r>
          </w:p>
        </w:tc>
        <w:tc>
          <w:tcPr>
            <w:tcW w:w="178" w:type="pct"/>
            <w:tcBorders>
              <w:top w:val="nil"/>
              <w:left w:val="nil"/>
              <w:bottom w:val="single" w:sz="4" w:space="0" w:color="auto"/>
              <w:right w:val="single" w:sz="4" w:space="0" w:color="auto"/>
            </w:tcBorders>
            <w:noWrap/>
            <w:vAlign w:val="center"/>
          </w:tcPr>
          <w:p w14:paraId="73C898ED" w14:textId="77777777" w:rsidR="00BD3831" w:rsidRPr="00FA719C" w:rsidRDefault="00BD3831" w:rsidP="0031289D">
            <w:pPr>
              <w:rPr>
                <w:rFonts w:ascii="Arabic Typesetting" w:hAnsi="Arabic Typesetting" w:cs="Arabic Typesetting"/>
                <w:sz w:val="28"/>
                <w:szCs w:val="28"/>
              </w:rPr>
            </w:pPr>
          </w:p>
        </w:tc>
        <w:tc>
          <w:tcPr>
            <w:tcW w:w="178" w:type="pct"/>
            <w:tcBorders>
              <w:top w:val="nil"/>
              <w:left w:val="nil"/>
              <w:bottom w:val="single" w:sz="4" w:space="0" w:color="auto"/>
              <w:right w:val="single" w:sz="4" w:space="0" w:color="auto"/>
            </w:tcBorders>
            <w:noWrap/>
            <w:vAlign w:val="center"/>
          </w:tcPr>
          <w:p w14:paraId="719FBA80"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17C2AAD3"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8" w:space="0" w:color="auto"/>
            </w:tcBorders>
            <w:noWrap/>
            <w:vAlign w:val="center"/>
          </w:tcPr>
          <w:p w14:paraId="222030E7"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4800D600"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631E8DCC"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2632B61C"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8" w:space="0" w:color="auto"/>
            </w:tcBorders>
            <w:noWrap/>
            <w:vAlign w:val="center"/>
          </w:tcPr>
          <w:p w14:paraId="02811256"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2CA92FA1"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71950AC8"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7DCB7C96"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8" w:space="0" w:color="auto"/>
            </w:tcBorders>
            <w:noWrap/>
            <w:vAlign w:val="center"/>
          </w:tcPr>
          <w:p w14:paraId="02776FEC"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3B0D53BA"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177" w:type="pct"/>
            <w:tcBorders>
              <w:top w:val="nil"/>
              <w:left w:val="nil"/>
              <w:bottom w:val="single" w:sz="4" w:space="0" w:color="auto"/>
              <w:right w:val="single" w:sz="4" w:space="0" w:color="auto"/>
            </w:tcBorders>
            <w:noWrap/>
            <w:vAlign w:val="center"/>
          </w:tcPr>
          <w:p w14:paraId="0951D9BF"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241B3055"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4219EC58" w14:textId="77777777" w:rsidR="00BD3831" w:rsidRPr="00FA719C" w:rsidRDefault="00BD3831" w:rsidP="0031289D">
            <w:pPr>
              <w:rPr>
                <w:rFonts w:ascii="Arabic Typesetting" w:hAnsi="Arabic Typesetting" w:cs="Arabic Typesetting"/>
                <w:sz w:val="28"/>
                <w:szCs w:val="28"/>
              </w:rPr>
            </w:pPr>
          </w:p>
        </w:tc>
        <w:tc>
          <w:tcPr>
            <w:tcW w:w="177" w:type="pct"/>
            <w:tcBorders>
              <w:top w:val="single" w:sz="4" w:space="0" w:color="auto"/>
              <w:left w:val="single" w:sz="4" w:space="0" w:color="auto"/>
              <w:bottom w:val="single" w:sz="4" w:space="0" w:color="auto"/>
              <w:right w:val="single" w:sz="4" w:space="0" w:color="auto"/>
            </w:tcBorders>
          </w:tcPr>
          <w:p w14:paraId="778CC009"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6DB011D4" w14:textId="77777777" w:rsidR="00BD3831" w:rsidRPr="00FA719C" w:rsidRDefault="00BD3831" w:rsidP="0031289D">
            <w:pPr>
              <w:jc w:val="center"/>
              <w:rPr>
                <w:rFonts w:ascii="Arabic Typesetting" w:hAnsi="Arabic Typesetting" w:cs="Arabic Typesetting"/>
                <w:color w:val="000000"/>
                <w:sz w:val="28"/>
                <w:szCs w:val="28"/>
              </w:rPr>
            </w:pPr>
          </w:p>
        </w:tc>
      </w:tr>
      <w:tr w:rsidR="00BD3831" w:rsidRPr="00FA719C" w14:paraId="5153A520" w14:textId="77777777" w:rsidTr="00DF6715">
        <w:trPr>
          <w:trHeight w:val="615"/>
          <w:jc w:val="center"/>
        </w:trPr>
        <w:tc>
          <w:tcPr>
            <w:tcW w:w="1811" w:type="pct"/>
            <w:tcBorders>
              <w:top w:val="nil"/>
              <w:left w:val="single" w:sz="8" w:space="0" w:color="auto"/>
              <w:bottom w:val="single" w:sz="4" w:space="0" w:color="auto"/>
              <w:right w:val="single" w:sz="8" w:space="0" w:color="auto"/>
            </w:tcBorders>
            <w:noWrap/>
            <w:vAlign w:val="center"/>
          </w:tcPr>
          <w:p w14:paraId="662290F9" w14:textId="77777777" w:rsidR="00BD3831" w:rsidRPr="00FA719C" w:rsidRDefault="00BD3831" w:rsidP="0031289D">
            <w:pPr>
              <w:bidi/>
              <w:spacing w:after="120" w:line="30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قبول التكوين المحسّن لنظام السجلات والمحفوظات</w:t>
            </w:r>
          </w:p>
        </w:tc>
        <w:tc>
          <w:tcPr>
            <w:tcW w:w="178" w:type="pct"/>
            <w:tcBorders>
              <w:top w:val="nil"/>
              <w:left w:val="nil"/>
              <w:bottom w:val="single" w:sz="4" w:space="0" w:color="auto"/>
              <w:right w:val="single" w:sz="4" w:space="0" w:color="auto"/>
            </w:tcBorders>
            <w:noWrap/>
            <w:vAlign w:val="center"/>
          </w:tcPr>
          <w:p w14:paraId="5720980B" w14:textId="77777777" w:rsidR="00BD3831" w:rsidRPr="00FA719C" w:rsidRDefault="00BD3831" w:rsidP="0031289D">
            <w:pPr>
              <w:rPr>
                <w:rFonts w:ascii="Arabic Typesetting" w:hAnsi="Arabic Typesetting" w:cs="Arabic Typesetting"/>
                <w:sz w:val="28"/>
                <w:szCs w:val="28"/>
              </w:rPr>
            </w:pPr>
          </w:p>
        </w:tc>
        <w:tc>
          <w:tcPr>
            <w:tcW w:w="178" w:type="pct"/>
            <w:tcBorders>
              <w:top w:val="nil"/>
              <w:left w:val="nil"/>
              <w:bottom w:val="single" w:sz="4" w:space="0" w:color="auto"/>
              <w:right w:val="single" w:sz="4" w:space="0" w:color="auto"/>
            </w:tcBorders>
            <w:noWrap/>
            <w:vAlign w:val="center"/>
          </w:tcPr>
          <w:p w14:paraId="1875B3F1"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7684E523"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8" w:space="0" w:color="auto"/>
            </w:tcBorders>
            <w:noWrap/>
            <w:vAlign w:val="center"/>
          </w:tcPr>
          <w:p w14:paraId="63575F95"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29FAB850"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127D9F18"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784D20E0"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8" w:space="0" w:color="auto"/>
            </w:tcBorders>
            <w:noWrap/>
            <w:vAlign w:val="center"/>
          </w:tcPr>
          <w:p w14:paraId="41F32451"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27C5037B"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4C23472C"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006E3363"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8" w:space="0" w:color="auto"/>
            </w:tcBorders>
            <w:noWrap/>
            <w:vAlign w:val="center"/>
          </w:tcPr>
          <w:p w14:paraId="1EB60C9F"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490EF752"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177" w:type="pct"/>
            <w:tcBorders>
              <w:top w:val="nil"/>
              <w:left w:val="nil"/>
              <w:bottom w:val="single" w:sz="4" w:space="0" w:color="auto"/>
              <w:right w:val="single" w:sz="4" w:space="0" w:color="auto"/>
            </w:tcBorders>
            <w:noWrap/>
            <w:vAlign w:val="center"/>
          </w:tcPr>
          <w:p w14:paraId="5E32D5AC"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5F3C1793" w14:textId="77777777" w:rsidR="00BD3831" w:rsidRPr="00FA719C" w:rsidRDefault="00BD3831" w:rsidP="0031289D">
            <w:pPr>
              <w:rPr>
                <w:rFonts w:ascii="Arabic Typesetting" w:hAnsi="Arabic Typesetting" w:cs="Arabic Typesetting"/>
                <w:sz w:val="28"/>
                <w:szCs w:val="28"/>
              </w:rPr>
            </w:pPr>
          </w:p>
        </w:tc>
        <w:tc>
          <w:tcPr>
            <w:tcW w:w="177" w:type="pct"/>
            <w:tcBorders>
              <w:top w:val="nil"/>
              <w:left w:val="nil"/>
              <w:bottom w:val="single" w:sz="4" w:space="0" w:color="auto"/>
              <w:right w:val="single" w:sz="4" w:space="0" w:color="auto"/>
            </w:tcBorders>
            <w:noWrap/>
            <w:vAlign w:val="center"/>
          </w:tcPr>
          <w:p w14:paraId="1F61586B" w14:textId="77777777" w:rsidR="00BD3831" w:rsidRPr="00FA719C" w:rsidRDefault="00BD3831" w:rsidP="0031289D">
            <w:pPr>
              <w:rPr>
                <w:rFonts w:ascii="Arabic Typesetting" w:hAnsi="Arabic Typesetting" w:cs="Arabic Typesetting"/>
                <w:sz w:val="28"/>
                <w:szCs w:val="28"/>
              </w:rPr>
            </w:pPr>
          </w:p>
        </w:tc>
        <w:tc>
          <w:tcPr>
            <w:tcW w:w="177" w:type="pct"/>
            <w:tcBorders>
              <w:top w:val="single" w:sz="4" w:space="0" w:color="auto"/>
              <w:left w:val="single" w:sz="4" w:space="0" w:color="auto"/>
              <w:bottom w:val="single" w:sz="4" w:space="0" w:color="auto"/>
              <w:right w:val="single" w:sz="4" w:space="0" w:color="auto"/>
            </w:tcBorders>
          </w:tcPr>
          <w:p w14:paraId="7489B791"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62542671" w14:textId="77777777" w:rsidR="00BD3831" w:rsidRPr="00FA719C" w:rsidRDefault="00BD3831" w:rsidP="0031289D">
            <w:pPr>
              <w:jc w:val="center"/>
              <w:rPr>
                <w:rFonts w:ascii="Arabic Typesetting" w:hAnsi="Arabic Typesetting" w:cs="Arabic Typesetting"/>
                <w:color w:val="000000"/>
                <w:sz w:val="28"/>
                <w:szCs w:val="28"/>
              </w:rPr>
            </w:pPr>
          </w:p>
        </w:tc>
      </w:tr>
      <w:tr w:rsidR="00BD3831" w:rsidRPr="00FA719C" w14:paraId="49756B0D" w14:textId="77777777" w:rsidTr="00DF6715">
        <w:trPr>
          <w:trHeight w:val="615"/>
          <w:jc w:val="center"/>
        </w:trPr>
        <w:tc>
          <w:tcPr>
            <w:tcW w:w="1811" w:type="pct"/>
            <w:tcBorders>
              <w:top w:val="nil"/>
              <w:left w:val="single" w:sz="8" w:space="0" w:color="auto"/>
              <w:bottom w:val="single" w:sz="4" w:space="0" w:color="auto"/>
              <w:right w:val="single" w:sz="8" w:space="0" w:color="auto"/>
            </w:tcBorders>
            <w:noWrap/>
            <w:vAlign w:val="center"/>
          </w:tcPr>
          <w:p w14:paraId="10F2A1EE" w14:textId="77777777" w:rsidR="00BD3831" w:rsidRPr="00FA719C" w:rsidRDefault="00BD3831" w:rsidP="0031289D">
            <w:pPr>
              <w:bidi/>
              <w:spacing w:after="120" w:line="300" w:lineRule="exact"/>
              <w:rPr>
                <w:rFonts w:ascii="Arabic Typesetting" w:hAnsi="Arabic Typesetting" w:cs="Arabic Typesetting"/>
                <w:color w:val="000000"/>
                <w:sz w:val="28"/>
                <w:szCs w:val="28"/>
                <w:rtl/>
                <w:lang w:bidi="ar-EG"/>
              </w:rPr>
            </w:pPr>
            <w:r w:rsidRPr="00FA719C">
              <w:rPr>
                <w:rFonts w:ascii="Arabic Typesetting" w:hAnsi="Arabic Typesetting" w:cs="Arabic Typesetting"/>
                <w:color w:val="000000"/>
                <w:sz w:val="28"/>
                <w:szCs w:val="28"/>
                <w:rtl/>
                <w:lang w:bidi="ar-EG"/>
              </w:rPr>
              <w:t>تشغيل تكوين نظام إدارة المعلومات المؤسسية الخاص بتدفق أعمال الترجمة وتعقب حالتها</w:t>
            </w:r>
          </w:p>
        </w:tc>
        <w:tc>
          <w:tcPr>
            <w:tcW w:w="178" w:type="pct"/>
            <w:tcBorders>
              <w:top w:val="nil"/>
              <w:left w:val="nil"/>
              <w:bottom w:val="single" w:sz="4" w:space="0" w:color="auto"/>
              <w:right w:val="single" w:sz="4" w:space="0" w:color="auto"/>
            </w:tcBorders>
            <w:noWrap/>
            <w:vAlign w:val="center"/>
          </w:tcPr>
          <w:p w14:paraId="473AF11E" w14:textId="77777777" w:rsidR="00BD3831" w:rsidRPr="00FA719C" w:rsidRDefault="00BD3831" w:rsidP="0031289D">
            <w:pPr>
              <w:jc w:val="center"/>
              <w:rPr>
                <w:rFonts w:ascii="Arabic Typesetting" w:hAnsi="Arabic Typesetting" w:cs="Arabic Typesetting"/>
                <w:color w:val="000000"/>
                <w:sz w:val="28"/>
                <w:szCs w:val="28"/>
              </w:rPr>
            </w:pPr>
          </w:p>
        </w:tc>
        <w:tc>
          <w:tcPr>
            <w:tcW w:w="178" w:type="pct"/>
            <w:tcBorders>
              <w:top w:val="nil"/>
              <w:left w:val="nil"/>
              <w:bottom w:val="single" w:sz="4" w:space="0" w:color="auto"/>
              <w:right w:val="single" w:sz="4" w:space="0" w:color="auto"/>
            </w:tcBorders>
            <w:noWrap/>
            <w:vAlign w:val="center"/>
          </w:tcPr>
          <w:p w14:paraId="3B40D494"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412812F3"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396BBE4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7570A1DB"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7CFE417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4123978D"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0D79E427"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18325D2D"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5F2D32E1"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6405D008"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4E0AAB22"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0A54043B"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54330CD8"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177" w:type="pct"/>
            <w:tcBorders>
              <w:top w:val="nil"/>
              <w:left w:val="nil"/>
              <w:bottom w:val="single" w:sz="4" w:space="0" w:color="auto"/>
              <w:right w:val="single" w:sz="4" w:space="0" w:color="auto"/>
            </w:tcBorders>
            <w:noWrap/>
            <w:vAlign w:val="center"/>
          </w:tcPr>
          <w:p w14:paraId="4580AA43"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7410A67A"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3DCF83DE"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5D02A4B4" w14:textId="77777777" w:rsidR="00BD3831" w:rsidRPr="00FA719C" w:rsidRDefault="00BD3831" w:rsidP="0031289D">
            <w:pPr>
              <w:jc w:val="center"/>
              <w:rPr>
                <w:rFonts w:ascii="Arabic Typesetting" w:hAnsi="Arabic Typesetting" w:cs="Arabic Typesetting"/>
                <w:color w:val="000000"/>
                <w:sz w:val="28"/>
                <w:szCs w:val="28"/>
              </w:rPr>
            </w:pPr>
          </w:p>
        </w:tc>
      </w:tr>
      <w:tr w:rsidR="00BD3831" w:rsidRPr="00FA719C" w14:paraId="519AC4F7" w14:textId="77777777" w:rsidTr="00DF6715">
        <w:trPr>
          <w:trHeight w:val="615"/>
          <w:jc w:val="center"/>
        </w:trPr>
        <w:tc>
          <w:tcPr>
            <w:tcW w:w="1811" w:type="pct"/>
            <w:tcBorders>
              <w:top w:val="nil"/>
              <w:left w:val="single" w:sz="8" w:space="0" w:color="auto"/>
              <w:bottom w:val="single" w:sz="4" w:space="0" w:color="auto"/>
              <w:right w:val="single" w:sz="8" w:space="0" w:color="auto"/>
            </w:tcBorders>
            <w:noWrap/>
            <w:vAlign w:val="center"/>
          </w:tcPr>
          <w:p w14:paraId="3898AD83" w14:textId="77777777" w:rsidR="00BD3831" w:rsidRPr="00FA719C" w:rsidRDefault="00BD3831" w:rsidP="0031289D">
            <w:pPr>
              <w:bidi/>
              <w:spacing w:after="120" w:line="300" w:lineRule="exact"/>
              <w:rPr>
                <w:rFonts w:ascii="Arabic Typesetting" w:hAnsi="Arabic Typesetting" w:cs="Arabic Typesetting"/>
                <w:color w:val="000000"/>
                <w:sz w:val="28"/>
                <w:szCs w:val="28"/>
                <w:rtl/>
                <w:lang w:bidi="ar-EG"/>
              </w:rPr>
            </w:pPr>
            <w:r w:rsidRPr="00FA719C">
              <w:rPr>
                <w:rFonts w:ascii="Arabic Typesetting" w:hAnsi="Arabic Typesetting" w:cs="Arabic Typesetting"/>
                <w:color w:val="000000"/>
                <w:sz w:val="28"/>
                <w:szCs w:val="28"/>
                <w:rtl/>
                <w:lang w:bidi="ar-EG"/>
              </w:rPr>
              <w:t>تشغيل تكوين نظام إدارة المعلومات المؤسسية الخاص بإدارة البائعين والعقود</w:t>
            </w:r>
          </w:p>
        </w:tc>
        <w:tc>
          <w:tcPr>
            <w:tcW w:w="178" w:type="pct"/>
            <w:tcBorders>
              <w:top w:val="nil"/>
              <w:left w:val="nil"/>
              <w:bottom w:val="single" w:sz="4" w:space="0" w:color="auto"/>
              <w:right w:val="single" w:sz="4" w:space="0" w:color="auto"/>
            </w:tcBorders>
            <w:noWrap/>
            <w:vAlign w:val="center"/>
          </w:tcPr>
          <w:p w14:paraId="5445419F" w14:textId="77777777" w:rsidR="00BD3831" w:rsidRPr="00FA719C" w:rsidRDefault="00BD3831" w:rsidP="0031289D">
            <w:pPr>
              <w:jc w:val="center"/>
              <w:rPr>
                <w:rFonts w:ascii="Arabic Typesetting" w:hAnsi="Arabic Typesetting" w:cs="Arabic Typesetting"/>
                <w:color w:val="000000"/>
                <w:sz w:val="28"/>
                <w:szCs w:val="28"/>
              </w:rPr>
            </w:pPr>
          </w:p>
        </w:tc>
        <w:tc>
          <w:tcPr>
            <w:tcW w:w="178" w:type="pct"/>
            <w:tcBorders>
              <w:top w:val="nil"/>
              <w:left w:val="nil"/>
              <w:bottom w:val="single" w:sz="4" w:space="0" w:color="auto"/>
              <w:right w:val="single" w:sz="4" w:space="0" w:color="auto"/>
            </w:tcBorders>
            <w:noWrap/>
            <w:vAlign w:val="center"/>
          </w:tcPr>
          <w:p w14:paraId="7FF35217"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34A13AB0"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28552F01"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66F914A0"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7C99211A"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1997E0A1"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72912F77"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46D6E429"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3CFBE385"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26542B00"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060275F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277566B2"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5DF170D6"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177" w:type="pct"/>
            <w:tcBorders>
              <w:top w:val="nil"/>
              <w:left w:val="nil"/>
              <w:bottom w:val="single" w:sz="4" w:space="0" w:color="auto"/>
              <w:right w:val="single" w:sz="4" w:space="0" w:color="auto"/>
            </w:tcBorders>
            <w:noWrap/>
            <w:vAlign w:val="center"/>
          </w:tcPr>
          <w:p w14:paraId="1282A819"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39777F34"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3857C99B"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1ADDFF60" w14:textId="77777777" w:rsidR="00BD3831" w:rsidRPr="00FA719C" w:rsidRDefault="00BD3831" w:rsidP="0031289D">
            <w:pPr>
              <w:jc w:val="center"/>
              <w:rPr>
                <w:rFonts w:ascii="Arabic Typesetting" w:hAnsi="Arabic Typesetting" w:cs="Arabic Typesetting"/>
                <w:color w:val="000000"/>
                <w:sz w:val="28"/>
                <w:szCs w:val="28"/>
              </w:rPr>
            </w:pPr>
          </w:p>
        </w:tc>
      </w:tr>
      <w:tr w:rsidR="00BD3831" w:rsidRPr="00FA719C" w14:paraId="53A9D359" w14:textId="77777777" w:rsidTr="00DF6715">
        <w:trPr>
          <w:trHeight w:val="615"/>
          <w:jc w:val="center"/>
        </w:trPr>
        <w:tc>
          <w:tcPr>
            <w:tcW w:w="1811" w:type="pct"/>
            <w:tcBorders>
              <w:top w:val="nil"/>
              <w:left w:val="single" w:sz="8" w:space="0" w:color="auto"/>
              <w:bottom w:val="single" w:sz="4" w:space="0" w:color="auto"/>
              <w:right w:val="single" w:sz="8" w:space="0" w:color="auto"/>
            </w:tcBorders>
            <w:noWrap/>
            <w:vAlign w:val="center"/>
          </w:tcPr>
          <w:p w14:paraId="39830F53" w14:textId="77777777" w:rsidR="00BD3831" w:rsidRPr="00FA719C" w:rsidRDefault="00BD3831" w:rsidP="0031289D">
            <w:pPr>
              <w:bidi/>
              <w:spacing w:after="120" w:line="300" w:lineRule="exact"/>
              <w:rPr>
                <w:rFonts w:ascii="Arabic Typesetting" w:hAnsi="Arabic Typesetting" w:cs="Arabic Typesetting"/>
                <w:color w:val="000000"/>
                <w:sz w:val="28"/>
                <w:szCs w:val="28"/>
                <w:rtl/>
                <w:lang w:bidi="ar-EG"/>
              </w:rPr>
            </w:pPr>
            <w:r w:rsidRPr="00FA719C">
              <w:rPr>
                <w:rFonts w:ascii="Arabic Typesetting" w:hAnsi="Arabic Typesetting" w:cs="Arabic Typesetting"/>
                <w:color w:val="000000"/>
                <w:sz w:val="28"/>
                <w:szCs w:val="28"/>
                <w:rtl/>
                <w:lang w:bidi="ar-EG"/>
              </w:rPr>
              <w:t>تشغيل تكوين نظام إدارة المعلومات المؤسسية الخاص بتقارير البعثات</w:t>
            </w:r>
          </w:p>
        </w:tc>
        <w:tc>
          <w:tcPr>
            <w:tcW w:w="178" w:type="pct"/>
            <w:tcBorders>
              <w:top w:val="nil"/>
              <w:left w:val="nil"/>
              <w:bottom w:val="single" w:sz="4" w:space="0" w:color="auto"/>
              <w:right w:val="single" w:sz="4" w:space="0" w:color="auto"/>
            </w:tcBorders>
            <w:noWrap/>
            <w:vAlign w:val="center"/>
          </w:tcPr>
          <w:p w14:paraId="73EFA396" w14:textId="77777777" w:rsidR="00BD3831" w:rsidRPr="00FA719C" w:rsidRDefault="00BD3831" w:rsidP="0031289D">
            <w:pPr>
              <w:jc w:val="center"/>
              <w:rPr>
                <w:rFonts w:ascii="Arabic Typesetting" w:hAnsi="Arabic Typesetting" w:cs="Arabic Typesetting"/>
                <w:color w:val="000000"/>
                <w:sz w:val="28"/>
                <w:szCs w:val="28"/>
              </w:rPr>
            </w:pPr>
          </w:p>
        </w:tc>
        <w:tc>
          <w:tcPr>
            <w:tcW w:w="178" w:type="pct"/>
            <w:tcBorders>
              <w:top w:val="nil"/>
              <w:left w:val="nil"/>
              <w:bottom w:val="single" w:sz="4" w:space="0" w:color="auto"/>
              <w:right w:val="single" w:sz="4" w:space="0" w:color="auto"/>
            </w:tcBorders>
            <w:noWrap/>
            <w:vAlign w:val="center"/>
          </w:tcPr>
          <w:p w14:paraId="4B63B9C9"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4BDB3D71"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34D107B2"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522103DE"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579E2B12"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69E7400E"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67915637"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4DA562DB"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5CCE5475"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728AF1BB"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8" w:space="0" w:color="auto"/>
            </w:tcBorders>
            <w:noWrap/>
            <w:vAlign w:val="center"/>
          </w:tcPr>
          <w:p w14:paraId="57687BFB"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5E693F7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06B5D9E2"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nil"/>
              <w:left w:val="nil"/>
              <w:bottom w:val="single" w:sz="4" w:space="0" w:color="auto"/>
              <w:right w:val="single" w:sz="4" w:space="0" w:color="auto"/>
            </w:tcBorders>
            <w:noWrap/>
            <w:vAlign w:val="center"/>
          </w:tcPr>
          <w:p w14:paraId="0974786A"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177" w:type="pct"/>
            <w:tcBorders>
              <w:top w:val="nil"/>
              <w:left w:val="nil"/>
              <w:bottom w:val="single" w:sz="4" w:space="0" w:color="auto"/>
              <w:right w:val="single" w:sz="4" w:space="0" w:color="auto"/>
            </w:tcBorders>
            <w:noWrap/>
            <w:vAlign w:val="center"/>
          </w:tcPr>
          <w:p w14:paraId="543C2EA8"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23D6CD0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02856CC1" w14:textId="77777777" w:rsidR="00BD3831" w:rsidRPr="00FA719C" w:rsidRDefault="00BD3831" w:rsidP="0031289D">
            <w:pPr>
              <w:jc w:val="center"/>
              <w:rPr>
                <w:rFonts w:ascii="Arabic Typesetting" w:hAnsi="Arabic Typesetting" w:cs="Arabic Typesetting"/>
                <w:color w:val="000000"/>
                <w:sz w:val="28"/>
                <w:szCs w:val="28"/>
              </w:rPr>
            </w:pPr>
          </w:p>
        </w:tc>
      </w:tr>
      <w:tr w:rsidR="00BD3831" w:rsidRPr="00FA719C" w14:paraId="7AEA3393" w14:textId="77777777" w:rsidTr="00DF6715">
        <w:trPr>
          <w:trHeight w:val="615"/>
          <w:jc w:val="center"/>
        </w:trPr>
        <w:tc>
          <w:tcPr>
            <w:tcW w:w="1811" w:type="pct"/>
            <w:tcBorders>
              <w:top w:val="single" w:sz="4" w:space="0" w:color="auto"/>
              <w:left w:val="single" w:sz="8" w:space="0" w:color="auto"/>
              <w:bottom w:val="single" w:sz="4" w:space="0" w:color="auto"/>
              <w:right w:val="single" w:sz="8" w:space="0" w:color="auto"/>
            </w:tcBorders>
            <w:noWrap/>
            <w:vAlign w:val="center"/>
          </w:tcPr>
          <w:p w14:paraId="351DCFC2" w14:textId="77777777" w:rsidR="00BD3831" w:rsidRPr="00FA719C" w:rsidRDefault="00BD3831" w:rsidP="0031289D">
            <w:pPr>
              <w:bidi/>
              <w:spacing w:after="120" w:line="30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تشغيل تكوين نظام إدارة المعلومات المؤسسية الخاص بالبريد الوارد إلى مكتب المدير العام</w:t>
            </w:r>
          </w:p>
        </w:tc>
        <w:tc>
          <w:tcPr>
            <w:tcW w:w="178" w:type="pct"/>
            <w:tcBorders>
              <w:top w:val="single" w:sz="4" w:space="0" w:color="auto"/>
              <w:left w:val="nil"/>
              <w:bottom w:val="single" w:sz="4" w:space="0" w:color="auto"/>
              <w:right w:val="single" w:sz="4" w:space="0" w:color="auto"/>
            </w:tcBorders>
            <w:noWrap/>
            <w:vAlign w:val="center"/>
          </w:tcPr>
          <w:p w14:paraId="53B80876" w14:textId="77777777" w:rsidR="00BD3831" w:rsidRPr="00FA719C" w:rsidRDefault="00BD3831" w:rsidP="0031289D">
            <w:pPr>
              <w:jc w:val="center"/>
              <w:rPr>
                <w:rFonts w:ascii="Arabic Typesetting" w:hAnsi="Arabic Typesetting" w:cs="Arabic Typesetting"/>
                <w:color w:val="000000"/>
                <w:sz w:val="28"/>
                <w:szCs w:val="28"/>
              </w:rPr>
            </w:pPr>
          </w:p>
        </w:tc>
        <w:tc>
          <w:tcPr>
            <w:tcW w:w="178" w:type="pct"/>
            <w:tcBorders>
              <w:top w:val="single" w:sz="4" w:space="0" w:color="auto"/>
              <w:left w:val="nil"/>
              <w:bottom w:val="single" w:sz="4" w:space="0" w:color="auto"/>
              <w:right w:val="single" w:sz="4" w:space="0" w:color="auto"/>
            </w:tcBorders>
            <w:noWrap/>
            <w:vAlign w:val="center"/>
          </w:tcPr>
          <w:p w14:paraId="56297F8A"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110EC7D3"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8" w:space="0" w:color="auto"/>
            </w:tcBorders>
            <w:noWrap/>
            <w:vAlign w:val="center"/>
          </w:tcPr>
          <w:p w14:paraId="7F149256"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533EDF48"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2E08B8AE"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1FA1B7CA"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8" w:space="0" w:color="auto"/>
            </w:tcBorders>
            <w:noWrap/>
            <w:vAlign w:val="center"/>
          </w:tcPr>
          <w:p w14:paraId="1A148C4A"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2156A670"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143BC8F8"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549980F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8" w:space="0" w:color="auto"/>
            </w:tcBorders>
            <w:noWrap/>
            <w:vAlign w:val="center"/>
          </w:tcPr>
          <w:p w14:paraId="1FF6AB9A"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5521FB2D"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13ADCB16"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0D54C763"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0871E3E1"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177" w:type="pct"/>
            <w:tcBorders>
              <w:top w:val="single" w:sz="4" w:space="0" w:color="auto"/>
              <w:left w:val="single" w:sz="4" w:space="0" w:color="auto"/>
              <w:bottom w:val="single" w:sz="4" w:space="0" w:color="auto"/>
              <w:right w:val="single" w:sz="4" w:space="0" w:color="auto"/>
            </w:tcBorders>
          </w:tcPr>
          <w:p w14:paraId="143FEA16"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7303FC12" w14:textId="77777777" w:rsidR="00BD3831" w:rsidRPr="00FA719C" w:rsidRDefault="00BD3831" w:rsidP="0031289D">
            <w:pPr>
              <w:jc w:val="center"/>
              <w:rPr>
                <w:rFonts w:ascii="Arabic Typesetting" w:hAnsi="Arabic Typesetting" w:cs="Arabic Typesetting"/>
                <w:color w:val="000000"/>
                <w:sz w:val="28"/>
                <w:szCs w:val="28"/>
              </w:rPr>
            </w:pPr>
          </w:p>
        </w:tc>
      </w:tr>
      <w:tr w:rsidR="00BD3831" w:rsidRPr="00FA719C" w14:paraId="33327B39" w14:textId="77777777" w:rsidTr="00DF6715">
        <w:trPr>
          <w:trHeight w:val="615"/>
          <w:jc w:val="center"/>
        </w:trPr>
        <w:tc>
          <w:tcPr>
            <w:tcW w:w="1811" w:type="pct"/>
            <w:tcBorders>
              <w:top w:val="single" w:sz="4" w:space="0" w:color="auto"/>
              <w:left w:val="single" w:sz="8" w:space="0" w:color="auto"/>
              <w:bottom w:val="single" w:sz="4" w:space="0" w:color="auto"/>
              <w:right w:val="single" w:sz="8" w:space="0" w:color="auto"/>
            </w:tcBorders>
            <w:noWrap/>
            <w:vAlign w:val="center"/>
          </w:tcPr>
          <w:p w14:paraId="05C9841E" w14:textId="77777777" w:rsidR="00BD3831" w:rsidRPr="00FA719C" w:rsidRDefault="00BD3831" w:rsidP="0031289D">
            <w:pPr>
              <w:bidi/>
              <w:spacing w:after="120" w:line="30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تشغيل تكوين نظام إدارة المعلومات المؤسسية الخاص بملفات الموظفين الإلكترونية</w:t>
            </w:r>
          </w:p>
        </w:tc>
        <w:tc>
          <w:tcPr>
            <w:tcW w:w="178" w:type="pct"/>
            <w:tcBorders>
              <w:top w:val="single" w:sz="4" w:space="0" w:color="auto"/>
              <w:left w:val="nil"/>
              <w:bottom w:val="single" w:sz="4" w:space="0" w:color="auto"/>
              <w:right w:val="single" w:sz="4" w:space="0" w:color="auto"/>
            </w:tcBorders>
            <w:noWrap/>
            <w:vAlign w:val="center"/>
          </w:tcPr>
          <w:p w14:paraId="1EDE342A" w14:textId="77777777" w:rsidR="00BD3831" w:rsidRPr="00FA719C" w:rsidRDefault="00BD3831" w:rsidP="0031289D">
            <w:pPr>
              <w:jc w:val="center"/>
              <w:rPr>
                <w:rFonts w:ascii="Arabic Typesetting" w:hAnsi="Arabic Typesetting" w:cs="Arabic Typesetting"/>
                <w:color w:val="000000"/>
                <w:sz w:val="28"/>
                <w:szCs w:val="28"/>
              </w:rPr>
            </w:pPr>
          </w:p>
        </w:tc>
        <w:tc>
          <w:tcPr>
            <w:tcW w:w="178" w:type="pct"/>
            <w:tcBorders>
              <w:top w:val="single" w:sz="4" w:space="0" w:color="auto"/>
              <w:left w:val="nil"/>
              <w:bottom w:val="single" w:sz="4" w:space="0" w:color="auto"/>
              <w:right w:val="single" w:sz="4" w:space="0" w:color="auto"/>
            </w:tcBorders>
            <w:noWrap/>
            <w:vAlign w:val="center"/>
          </w:tcPr>
          <w:p w14:paraId="4D83EAC0"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58D1AA21"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8" w:space="0" w:color="auto"/>
            </w:tcBorders>
            <w:noWrap/>
            <w:vAlign w:val="center"/>
          </w:tcPr>
          <w:p w14:paraId="7E78A0C8"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74BD0EF7"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13F412BE"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157FC3FD"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8" w:space="0" w:color="auto"/>
            </w:tcBorders>
            <w:noWrap/>
            <w:vAlign w:val="center"/>
          </w:tcPr>
          <w:p w14:paraId="618E86E4"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33D9CBB2"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45683099"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491D3B9E"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8" w:space="0" w:color="auto"/>
            </w:tcBorders>
            <w:noWrap/>
            <w:vAlign w:val="center"/>
          </w:tcPr>
          <w:p w14:paraId="0184F4AB"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64AAF68C"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0DC13C12"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492A29F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4" w:space="0" w:color="auto"/>
              <w:right w:val="single" w:sz="4" w:space="0" w:color="auto"/>
            </w:tcBorders>
            <w:noWrap/>
            <w:vAlign w:val="center"/>
          </w:tcPr>
          <w:p w14:paraId="719A02F6"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vAlign w:val="center"/>
          </w:tcPr>
          <w:p w14:paraId="3C7083B7"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177" w:type="pct"/>
            <w:tcBorders>
              <w:top w:val="single" w:sz="4" w:space="0" w:color="auto"/>
              <w:left w:val="single" w:sz="4" w:space="0" w:color="auto"/>
              <w:bottom w:val="single" w:sz="4" w:space="0" w:color="auto"/>
              <w:right w:val="single" w:sz="4" w:space="0" w:color="auto"/>
            </w:tcBorders>
          </w:tcPr>
          <w:p w14:paraId="4379D022" w14:textId="77777777" w:rsidR="00BD3831" w:rsidRPr="00FA719C" w:rsidRDefault="00BD3831" w:rsidP="0031289D">
            <w:pPr>
              <w:jc w:val="center"/>
              <w:rPr>
                <w:rFonts w:ascii="Arabic Typesetting" w:hAnsi="Arabic Typesetting" w:cs="Arabic Typesetting"/>
                <w:color w:val="000000"/>
                <w:sz w:val="28"/>
                <w:szCs w:val="28"/>
              </w:rPr>
            </w:pPr>
          </w:p>
        </w:tc>
      </w:tr>
      <w:tr w:rsidR="00BD3831" w:rsidRPr="00FA719C" w14:paraId="43ED14B0" w14:textId="77777777" w:rsidTr="00DF6715">
        <w:trPr>
          <w:trHeight w:val="615"/>
          <w:jc w:val="center"/>
        </w:trPr>
        <w:tc>
          <w:tcPr>
            <w:tcW w:w="1811" w:type="pct"/>
            <w:tcBorders>
              <w:top w:val="single" w:sz="4" w:space="0" w:color="auto"/>
              <w:left w:val="single" w:sz="8" w:space="0" w:color="auto"/>
              <w:bottom w:val="single" w:sz="8" w:space="0" w:color="auto"/>
              <w:right w:val="single" w:sz="8" w:space="0" w:color="auto"/>
            </w:tcBorders>
            <w:noWrap/>
            <w:vAlign w:val="center"/>
          </w:tcPr>
          <w:p w14:paraId="32AE0F80" w14:textId="77777777" w:rsidR="00BD3831" w:rsidRPr="00FA719C" w:rsidRDefault="00BD3831" w:rsidP="0031289D">
            <w:pPr>
              <w:bidi/>
              <w:spacing w:after="120" w:line="30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تشغيل تكوين نظام إدارة المعلومات المؤسسية على مستوى المنظمة برمتها</w:t>
            </w:r>
          </w:p>
        </w:tc>
        <w:tc>
          <w:tcPr>
            <w:tcW w:w="178" w:type="pct"/>
            <w:tcBorders>
              <w:top w:val="single" w:sz="4" w:space="0" w:color="auto"/>
              <w:left w:val="nil"/>
              <w:bottom w:val="single" w:sz="8" w:space="0" w:color="auto"/>
              <w:right w:val="single" w:sz="4" w:space="0" w:color="auto"/>
            </w:tcBorders>
            <w:noWrap/>
            <w:vAlign w:val="center"/>
          </w:tcPr>
          <w:p w14:paraId="5A957A83" w14:textId="77777777" w:rsidR="00BD3831" w:rsidRPr="00FA719C" w:rsidRDefault="00BD3831" w:rsidP="0031289D">
            <w:pPr>
              <w:jc w:val="center"/>
              <w:rPr>
                <w:rFonts w:ascii="Arabic Typesetting" w:hAnsi="Arabic Typesetting" w:cs="Arabic Typesetting"/>
                <w:color w:val="000000"/>
                <w:sz w:val="28"/>
                <w:szCs w:val="28"/>
              </w:rPr>
            </w:pPr>
          </w:p>
        </w:tc>
        <w:tc>
          <w:tcPr>
            <w:tcW w:w="178" w:type="pct"/>
            <w:tcBorders>
              <w:top w:val="single" w:sz="4" w:space="0" w:color="auto"/>
              <w:left w:val="nil"/>
              <w:bottom w:val="single" w:sz="8" w:space="0" w:color="auto"/>
              <w:right w:val="single" w:sz="4" w:space="0" w:color="auto"/>
            </w:tcBorders>
            <w:noWrap/>
            <w:vAlign w:val="center"/>
          </w:tcPr>
          <w:p w14:paraId="3389EBB3"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4" w:space="0" w:color="auto"/>
            </w:tcBorders>
            <w:noWrap/>
            <w:vAlign w:val="center"/>
          </w:tcPr>
          <w:p w14:paraId="4D241262"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8" w:space="0" w:color="auto"/>
            </w:tcBorders>
            <w:noWrap/>
            <w:vAlign w:val="center"/>
          </w:tcPr>
          <w:p w14:paraId="7BE22A11"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4" w:space="0" w:color="auto"/>
            </w:tcBorders>
            <w:noWrap/>
            <w:vAlign w:val="center"/>
          </w:tcPr>
          <w:p w14:paraId="2E74C0AB"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4" w:space="0" w:color="auto"/>
            </w:tcBorders>
            <w:noWrap/>
            <w:vAlign w:val="center"/>
          </w:tcPr>
          <w:p w14:paraId="50102893"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4" w:space="0" w:color="auto"/>
            </w:tcBorders>
            <w:noWrap/>
            <w:vAlign w:val="center"/>
          </w:tcPr>
          <w:p w14:paraId="16F1820C"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8" w:space="0" w:color="auto"/>
            </w:tcBorders>
            <w:noWrap/>
            <w:vAlign w:val="center"/>
          </w:tcPr>
          <w:p w14:paraId="4A16B663"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4" w:space="0" w:color="auto"/>
            </w:tcBorders>
            <w:noWrap/>
            <w:vAlign w:val="center"/>
          </w:tcPr>
          <w:p w14:paraId="645FDE5C"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4" w:space="0" w:color="auto"/>
            </w:tcBorders>
            <w:noWrap/>
            <w:vAlign w:val="center"/>
          </w:tcPr>
          <w:p w14:paraId="4CE26CED"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4" w:space="0" w:color="auto"/>
            </w:tcBorders>
            <w:noWrap/>
            <w:vAlign w:val="center"/>
          </w:tcPr>
          <w:p w14:paraId="2579A374"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8" w:space="0" w:color="auto"/>
            </w:tcBorders>
            <w:noWrap/>
            <w:vAlign w:val="center"/>
          </w:tcPr>
          <w:p w14:paraId="46806D6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4" w:space="0" w:color="auto"/>
            </w:tcBorders>
            <w:noWrap/>
            <w:vAlign w:val="center"/>
          </w:tcPr>
          <w:p w14:paraId="47F3226D"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4" w:space="0" w:color="auto"/>
            </w:tcBorders>
            <w:noWrap/>
            <w:vAlign w:val="center"/>
          </w:tcPr>
          <w:p w14:paraId="557C870A"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4" w:space="0" w:color="auto"/>
            </w:tcBorders>
            <w:noWrap/>
            <w:vAlign w:val="center"/>
          </w:tcPr>
          <w:p w14:paraId="25556380"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nil"/>
              <w:bottom w:val="single" w:sz="8" w:space="0" w:color="auto"/>
              <w:right w:val="single" w:sz="4" w:space="0" w:color="auto"/>
            </w:tcBorders>
            <w:noWrap/>
            <w:vAlign w:val="center"/>
          </w:tcPr>
          <w:p w14:paraId="57D6E94F"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tcPr>
          <w:p w14:paraId="6AC1644C" w14:textId="77777777" w:rsidR="00BD3831" w:rsidRPr="00FA719C" w:rsidRDefault="00BD3831" w:rsidP="0031289D">
            <w:pPr>
              <w:jc w:val="center"/>
              <w:rPr>
                <w:rFonts w:ascii="Arabic Typesetting" w:hAnsi="Arabic Typesetting" w:cs="Arabic Typesetting"/>
                <w:color w:val="000000"/>
                <w:sz w:val="28"/>
                <w:szCs w:val="28"/>
              </w:rPr>
            </w:pPr>
          </w:p>
        </w:tc>
        <w:tc>
          <w:tcPr>
            <w:tcW w:w="177" w:type="pct"/>
            <w:tcBorders>
              <w:top w:val="single" w:sz="4" w:space="0" w:color="auto"/>
              <w:left w:val="single" w:sz="4" w:space="0" w:color="auto"/>
              <w:bottom w:val="single" w:sz="4" w:space="0" w:color="auto"/>
              <w:right w:val="single" w:sz="4" w:space="0" w:color="auto"/>
            </w:tcBorders>
            <w:vAlign w:val="center"/>
          </w:tcPr>
          <w:p w14:paraId="1831A755" w14:textId="77777777" w:rsidR="00BD3831" w:rsidRPr="00FA719C" w:rsidRDefault="00BD3831" w:rsidP="0031289D">
            <w:pPr>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r>
    </w:tbl>
    <w:p w14:paraId="793F6F3D" w14:textId="77777777" w:rsidR="00BD3831" w:rsidRPr="00E551B2" w:rsidRDefault="00BD3831" w:rsidP="0031289D">
      <w:pPr>
        <w:keepNext/>
        <w:pageBreakBefore/>
        <w:bidi/>
        <w:spacing w:after="240" w:line="340" w:lineRule="exact"/>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lastRenderedPageBreak/>
        <w:t>المشروعات المتصلة بالمباني</w:t>
      </w:r>
    </w:p>
    <w:p w14:paraId="119B660F" w14:textId="77777777" w:rsidR="00BD3831" w:rsidRPr="00E551B2" w:rsidRDefault="00BD3831" w:rsidP="0031289D">
      <w:pPr>
        <w:pStyle w:val="Heading4"/>
      </w:pPr>
      <w:bookmarkStart w:id="72" w:name="_Toc422829677"/>
      <w:bookmarkStart w:id="73" w:name="_Toc455393412"/>
      <w:bookmarkStart w:id="74" w:name="_Toc482782788"/>
      <w:r w:rsidRPr="00E551B2">
        <w:rPr>
          <w:rFonts w:hint="cs"/>
          <w:rtl/>
        </w:rPr>
        <w:t>ال</w:t>
      </w:r>
      <w:r w:rsidRPr="00E551B2">
        <w:rPr>
          <w:rtl/>
        </w:rPr>
        <w:t>مشروع</w:t>
      </w:r>
      <w:r w:rsidRPr="00E551B2">
        <w:rPr>
          <w:rFonts w:hint="cs"/>
          <w:rtl/>
        </w:rPr>
        <w:t xml:space="preserve"> 3</w:t>
      </w:r>
      <w:r w:rsidRPr="00E551B2">
        <w:rPr>
          <w:rtl/>
        </w:rPr>
        <w:t>: تجديد الواجهات وتجهيزات التبريد/التدفئة في مبنى البراءات (</w:t>
      </w:r>
      <w:r w:rsidRPr="00E551B2">
        <w:t>CMP 3</w:t>
      </w:r>
      <w:r w:rsidRPr="00E551B2">
        <w:rPr>
          <w:rtl/>
        </w:rPr>
        <w:t>)</w:t>
      </w:r>
      <w:bookmarkEnd w:id="72"/>
      <w:bookmarkEnd w:id="73"/>
      <w:bookmarkEnd w:id="74"/>
    </w:p>
    <w:p w14:paraId="11A6FA56" w14:textId="77777777" w:rsidR="00BD3831" w:rsidRPr="000B74B5" w:rsidRDefault="00BD3831" w:rsidP="0031289D">
      <w:pPr>
        <w:keepNext/>
        <w:bidi/>
        <w:spacing w:after="240" w:line="340" w:lineRule="exact"/>
        <w:ind w:left="1417" w:hanging="1417"/>
        <w:rPr>
          <w:rFonts w:ascii="Arabic Typesetting" w:hAnsi="Arabic Typesetting" w:cs="Arabic Typesetting"/>
          <w:bCs/>
          <w:sz w:val="34"/>
          <w:szCs w:val="36"/>
        </w:rPr>
      </w:pPr>
      <w:r w:rsidRPr="00E551B2">
        <w:rPr>
          <w:rFonts w:ascii="Arabic Typesetting" w:hAnsi="Arabic Typesetting" w:cs="Arabic Typesetting"/>
          <w:bCs/>
          <w:sz w:val="34"/>
          <w:szCs w:val="36"/>
          <w:rtl/>
          <w:lang w:val="fr-CH"/>
        </w:rPr>
        <w:t>مدير المشروع</w:t>
      </w:r>
      <w:r w:rsidRPr="000B74B5">
        <w:rPr>
          <w:rFonts w:ascii="Arabic Typesetting" w:hAnsi="Arabic Typesetting" w:cs="Arabic Typesetting"/>
          <w:bCs/>
          <w:sz w:val="34"/>
          <w:szCs w:val="36"/>
        </w:rPr>
        <w:t xml:space="preserve"> </w:t>
      </w:r>
      <w:r w:rsidRPr="000B74B5">
        <w:rPr>
          <w:rFonts w:ascii="Arabic Typesetting" w:hAnsi="Arabic Typesetting" w:cs="Arabic Typesetting"/>
          <w:bCs/>
          <w:sz w:val="34"/>
          <w:szCs w:val="36"/>
        </w:rPr>
        <w:tab/>
      </w:r>
      <w:r w:rsidRPr="00E551B2">
        <w:rPr>
          <w:rFonts w:ascii="Arabic Typesetting" w:hAnsi="Arabic Typesetting" w:cs="Arabic Typesetting"/>
          <w:bCs/>
          <w:sz w:val="34"/>
          <w:szCs w:val="36"/>
          <w:rtl/>
          <w:lang w:val="fr-CH"/>
        </w:rPr>
        <w:t>السيد أ</w:t>
      </w:r>
      <w:r w:rsidRPr="00E551B2">
        <w:rPr>
          <w:rFonts w:ascii="Arabic Typesetting" w:hAnsi="Arabic Typesetting" w:cs="Arabic Typesetting" w:hint="cs"/>
          <w:bCs/>
          <w:sz w:val="34"/>
          <w:szCs w:val="36"/>
          <w:rtl/>
          <w:lang w:val="fr-CH"/>
        </w:rPr>
        <w:t>لفيو</w:t>
      </w:r>
      <w:r w:rsidRPr="00E551B2">
        <w:rPr>
          <w:rFonts w:ascii="Arabic Typesetting" w:hAnsi="Arabic Typesetting" w:cs="Arabic Typesetting"/>
          <w:bCs/>
          <w:sz w:val="34"/>
          <w:szCs w:val="36"/>
          <w:rtl/>
          <w:lang w:val="fr-CH"/>
        </w:rPr>
        <w:t xml:space="preserve"> فافيرو</w:t>
      </w:r>
    </w:p>
    <w:p w14:paraId="4DDE6126" w14:textId="77777777" w:rsidR="00BD3831" w:rsidRPr="000B74B5" w:rsidRDefault="00BD3831" w:rsidP="0031289D">
      <w:pPr>
        <w:keepNext/>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lang w:val="fr-CH"/>
        </w:rPr>
        <w:t>النتيجة المرتقبة</w:t>
      </w:r>
    </w:p>
    <w:p w14:paraId="6741D993" w14:textId="77777777" w:rsidR="00BD3831" w:rsidRPr="00E551B2" w:rsidRDefault="00BD3831" w:rsidP="0031289D">
      <w:pPr>
        <w:bidi/>
        <w:spacing w:after="240" w:line="340" w:lineRule="exact"/>
        <w:rPr>
          <w:rFonts w:ascii="Arabic Typesetting" w:hAnsi="Arabic Typesetting" w:cs="Arabic Typesetting"/>
          <w:iCs/>
          <w:sz w:val="34"/>
          <w:szCs w:val="34"/>
          <w:rtl/>
          <w:lang w:bidi="ar-EG"/>
        </w:rPr>
      </w:pPr>
      <w:r w:rsidRPr="00E551B2">
        <w:rPr>
          <w:rFonts w:ascii="Arabic Typesetting" w:hAnsi="Arabic Typesetting" w:cs="Arabic Typesetting"/>
          <w:iCs/>
          <w:sz w:val="34"/>
          <w:szCs w:val="34"/>
          <w:rtl/>
          <w:lang w:bidi="ar-EG"/>
        </w:rPr>
        <w:t>ه1.9</w:t>
      </w:r>
      <w:r w:rsidRPr="00E551B2">
        <w:rPr>
          <w:rFonts w:ascii="Arabic Typesetting" w:hAnsi="Arabic Typesetting" w:cs="Arabic Typesetting"/>
          <w:iCs/>
          <w:sz w:val="34"/>
          <w:szCs w:val="34"/>
          <w:rtl/>
          <w:lang w:bidi="ar-EG"/>
        </w:rPr>
        <w:tab/>
      </w:r>
      <w:r>
        <w:rPr>
          <w:rFonts w:ascii="Arabic Typesetting" w:hAnsi="Arabic Typesetting" w:cs="Arabic Typesetting"/>
          <w:iCs/>
          <w:sz w:val="34"/>
          <w:szCs w:val="34"/>
          <w:rtl/>
          <w:lang w:bidi="ar-EG"/>
        </w:rPr>
        <w:t>خدمات دعم موجهة للزبون بفعالية وكفاءة وجودة لفائدة الزبائن الداخليين وأصحاب المصلحة الخارجيين</w:t>
      </w:r>
    </w:p>
    <w:p w14:paraId="6444D662" w14:textId="77777777" w:rsidR="00BD3831" w:rsidRPr="00E551B2" w:rsidRDefault="00BD3831" w:rsidP="0031289D">
      <w:pPr>
        <w:keepNext/>
        <w:bidi/>
        <w:spacing w:after="240" w:line="340" w:lineRule="exact"/>
        <w:rPr>
          <w:rFonts w:ascii="Arabic Typesetting" w:hAnsi="Arabic Typesetting" w:cs="Arabic Typesetting"/>
          <w:sz w:val="34"/>
          <w:szCs w:val="34"/>
          <w:lang w:bidi="ar-EG"/>
        </w:rPr>
      </w:pPr>
      <w:r w:rsidRPr="00E551B2">
        <w:rPr>
          <w:rFonts w:ascii="Arabic Typesetting" w:hAnsi="Arabic Typesetting" w:cs="Arabic Typesetting"/>
          <w:sz w:val="34"/>
          <w:szCs w:val="34"/>
          <w:rtl/>
          <w:lang w:bidi="ar-EG"/>
        </w:rPr>
        <w:t>الأهداف والنطاق والنهج - معلومات أساسية</w:t>
      </w:r>
    </w:p>
    <w:p w14:paraId="3FE162B7" w14:textId="77777777" w:rsidR="00BD3831" w:rsidRPr="00E551B2" w:rsidRDefault="00BD3831" w:rsidP="0031289D">
      <w:pPr>
        <w:numPr>
          <w:ilvl w:val="0"/>
          <w:numId w:val="59"/>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تنقسم أهداف المشروع إلى قسمين: "1" استبدال تركيبات السقف المعلق الخاص بنظام التبريد والتدفئة استبدالاً كاملاً في الطوابق العلوية من مبنى البراءات</w:t>
      </w:r>
      <w:r>
        <w:rPr>
          <w:rFonts w:ascii="Arabic Typesetting" w:hAnsi="Arabic Typesetting" w:cs="Arabic Typesetting" w:hint="cs"/>
          <w:sz w:val="34"/>
          <w:szCs w:val="34"/>
          <w:rtl/>
        </w:rPr>
        <w:t>؛</w:t>
      </w:r>
      <w:r w:rsidRPr="00E551B2">
        <w:rPr>
          <w:rFonts w:ascii="Arabic Typesetting" w:hAnsi="Arabic Typesetting" w:cs="Arabic Typesetting"/>
          <w:sz w:val="34"/>
          <w:szCs w:val="34"/>
          <w:rtl/>
        </w:rPr>
        <w:t xml:space="preserve"> "2" </w:t>
      </w: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 xml:space="preserve">إجراء عملية تجديد كبرى للعناصر الهيكلية لجميع واجهات </w:t>
      </w:r>
      <w:r w:rsidRPr="00E551B2">
        <w:rPr>
          <w:rFonts w:ascii="Arabic Typesetting" w:hAnsi="Arabic Typesetting" w:cs="Arabic Typesetting" w:hint="cs"/>
          <w:sz w:val="34"/>
          <w:szCs w:val="34"/>
          <w:rtl/>
        </w:rPr>
        <w:t>ذلك</w:t>
      </w:r>
      <w:r w:rsidRPr="00E551B2">
        <w:rPr>
          <w:rFonts w:ascii="Arabic Typesetting" w:hAnsi="Arabic Typesetting" w:cs="Arabic Typesetting"/>
          <w:sz w:val="34"/>
          <w:szCs w:val="34"/>
          <w:rtl/>
        </w:rPr>
        <w:t xml:space="preserve"> المبنى (بعبارة أخرى، النوافذ في حد ذاتها ليست معنية عموما). فقد تبين في السنوات الأخيرة أن الإصلاحات الطفيفة والمحدودة النطاق التي تُجرى بعد وقوع المشكلة - كما في حالة الأعطال وارتفاع درجة الحرارة أو انخفاضها بشكل مفرط وعلى نحو خارج عن السيطرة - والتي نفذت على مدار 10</w:t>
      </w:r>
      <w:r w:rsidRPr="00E551B2">
        <w:rPr>
          <w:rFonts w:ascii="Arabic Typesetting" w:hAnsi="Arabic Typesetting" w:cs="Arabic Typesetting" w:hint="cs"/>
          <w:sz w:val="34"/>
          <w:szCs w:val="34"/>
          <w:rtl/>
        </w:rPr>
        <w:t> </w:t>
      </w:r>
      <w:r>
        <w:rPr>
          <w:rFonts w:ascii="Arabic Typesetting" w:hAnsi="Arabic Typesetting" w:cs="Arabic Typesetting"/>
          <w:sz w:val="34"/>
          <w:szCs w:val="34"/>
          <w:rtl/>
        </w:rPr>
        <w:t>سنوات تقريب</w:t>
      </w:r>
      <w:r w:rsidRPr="00E551B2">
        <w:rPr>
          <w:rFonts w:ascii="Arabic Typesetting" w:hAnsi="Arabic Typesetting" w:cs="Arabic Typesetting"/>
          <w:sz w:val="34"/>
          <w:szCs w:val="34"/>
          <w:rtl/>
        </w:rPr>
        <w:t>ا</w:t>
      </w:r>
      <w:r>
        <w:rPr>
          <w:rFonts w:ascii="Arabic Typesetting" w:hAnsi="Arabic Typesetting" w:cs="Arabic Typesetting" w:hint="cs"/>
          <w:sz w:val="34"/>
          <w:szCs w:val="34"/>
          <w:rtl/>
        </w:rPr>
        <w:t>ً</w:t>
      </w:r>
      <w:r w:rsidRPr="00E551B2">
        <w:rPr>
          <w:rFonts w:ascii="Arabic Typesetting" w:hAnsi="Arabic Typesetting" w:cs="Arabic Typesetting"/>
          <w:sz w:val="34"/>
          <w:szCs w:val="34"/>
          <w:rtl/>
        </w:rPr>
        <w:t xml:space="preserve"> لم تعد مستدامة. </w:t>
      </w:r>
      <w:r w:rsidRPr="00E551B2">
        <w:rPr>
          <w:rFonts w:ascii="Arabic Typesetting" w:hAnsi="Arabic Typesetting" w:cs="Arabic Typesetting" w:hint="cs"/>
          <w:sz w:val="34"/>
          <w:szCs w:val="34"/>
          <w:rtl/>
        </w:rPr>
        <w:t>وفضلاً عن ذلك، فإن</w:t>
      </w:r>
      <w:r w:rsidRPr="00E551B2">
        <w:rPr>
          <w:rFonts w:ascii="Arabic Typesetting" w:hAnsi="Arabic Typesetting" w:cs="Arabic Typesetting"/>
          <w:sz w:val="34"/>
          <w:szCs w:val="34"/>
          <w:rtl/>
        </w:rPr>
        <w:t xml:space="preserve"> عدد</w:t>
      </w:r>
      <w:r w:rsidRPr="00E551B2">
        <w:rPr>
          <w:rFonts w:ascii="Arabic Typesetting" w:hAnsi="Arabic Typesetting" w:cs="Arabic Typesetting" w:hint="cs"/>
          <w:sz w:val="34"/>
          <w:szCs w:val="34"/>
          <w:rtl/>
        </w:rPr>
        <w:t>ا</w:t>
      </w:r>
      <w:r w:rsidRPr="00E551B2">
        <w:rPr>
          <w:rFonts w:ascii="Arabic Typesetting" w:hAnsi="Arabic Typesetting" w:cs="Arabic Typesetting"/>
          <w:sz w:val="34"/>
          <w:szCs w:val="34"/>
          <w:rtl/>
        </w:rPr>
        <w:t xml:space="preserve"> من عناصر تركيبات التبريد/التدفئة الحالية لم يعد متوفرا في السوق ولم يعد بالإمكان شراء قطع غيار، وهو ما يهدد بانعدام جدوى تركيبات التبريد والتدفئة برمتها في المبنى على الأجل القريب. وقد بلغ إهدار الطاقة المستهلكة بسبب الأنظمة والتركيبات المعيبة وكذلك بسبب عيوب العناصر الهيكلية للواجهات مبلغ</w:t>
      </w:r>
      <w:r>
        <w:rPr>
          <w:rFonts w:ascii="Arabic Typesetting" w:hAnsi="Arabic Typesetting" w:cs="Arabic Typesetting"/>
          <w:sz w:val="34"/>
          <w:szCs w:val="34"/>
          <w:rtl/>
        </w:rPr>
        <w:t>اً</w:t>
      </w:r>
      <w:r w:rsidRPr="00E551B2">
        <w:rPr>
          <w:rFonts w:ascii="Arabic Typesetting" w:hAnsi="Arabic Typesetting" w:cs="Arabic Typesetting"/>
          <w:sz w:val="34"/>
          <w:szCs w:val="34"/>
          <w:rtl/>
        </w:rPr>
        <w:t xml:space="preserve"> عظيم</w:t>
      </w:r>
      <w:r>
        <w:rPr>
          <w:rFonts w:ascii="Arabic Typesetting" w:hAnsi="Arabic Typesetting" w:cs="Arabic Typesetting"/>
          <w:sz w:val="34"/>
          <w:szCs w:val="34"/>
          <w:rtl/>
        </w:rPr>
        <w:t>اً</w:t>
      </w:r>
      <w:r w:rsidRPr="00E551B2">
        <w:rPr>
          <w:rFonts w:ascii="Arabic Typesetting" w:hAnsi="Arabic Typesetting" w:cs="Arabic Typesetting"/>
          <w:sz w:val="34"/>
          <w:szCs w:val="34"/>
          <w:rtl/>
        </w:rPr>
        <w:t xml:space="preserve"> وسيزداد سنة بعد سنة. وقد أجري تدقيق تقني لتركيبات التبريد والتدفئة في 2011 وأجري تدقيق تقني للواجهات خلال النصف الأول من سنة</w:t>
      </w:r>
      <w:r w:rsidRPr="00E551B2">
        <w:rPr>
          <w:rFonts w:ascii="Arabic Typesetting" w:hAnsi="Arabic Typesetting" w:cs="Arabic Typesetting" w:hint="cs"/>
          <w:sz w:val="34"/>
          <w:szCs w:val="34"/>
          <w:rtl/>
        </w:rPr>
        <w:t> </w:t>
      </w:r>
      <w:r w:rsidRPr="00E551B2">
        <w:rPr>
          <w:rFonts w:ascii="Arabic Typesetting" w:hAnsi="Arabic Typesetting" w:cs="Arabic Typesetting"/>
          <w:sz w:val="34"/>
          <w:szCs w:val="34"/>
          <w:rtl/>
        </w:rPr>
        <w:t>2013.</w:t>
      </w:r>
    </w:p>
    <w:p w14:paraId="4494DCA6" w14:textId="77777777" w:rsidR="00BD3831" w:rsidRPr="00E551B2" w:rsidRDefault="00BD3831" w:rsidP="0031289D">
      <w:pPr>
        <w:numPr>
          <w:ilvl w:val="0"/>
          <w:numId w:val="60"/>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 xml:space="preserve">والنتائج المرتقبة للتجديد هي تركيبات تبريد وتدفئة وواجهات تؤدي دورها بكفاءة تامة </w:t>
      </w: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على نحو يعتمد عليه، وتقليل</w:t>
      </w:r>
      <w:r>
        <w:rPr>
          <w:rFonts w:ascii="Arabic Typesetting" w:hAnsi="Arabic Typesetting" w:cs="Arabic Typesetting" w:hint="cs"/>
          <w:sz w:val="34"/>
          <w:szCs w:val="34"/>
          <w:rtl/>
        </w:rPr>
        <w:t> </w:t>
      </w:r>
      <w:r w:rsidRPr="00E551B2">
        <w:rPr>
          <w:rFonts w:ascii="Arabic Typesetting" w:hAnsi="Arabic Typesetting" w:cs="Arabic Typesetting"/>
          <w:sz w:val="34"/>
          <w:szCs w:val="34"/>
          <w:rtl/>
        </w:rPr>
        <w:t>استهلاك الطاقة بشكل كبير عن طريق القضاء على الإهدار الحالي.</w:t>
      </w:r>
    </w:p>
    <w:p w14:paraId="1DE1A1CD" w14:textId="77777777" w:rsidR="00BD3831" w:rsidRPr="00E551B2" w:rsidRDefault="00BD3831" w:rsidP="0031289D">
      <w:pPr>
        <w:numPr>
          <w:ilvl w:val="0"/>
          <w:numId w:val="60"/>
        </w:numPr>
        <w:tabs>
          <w:tab w:val="clear" w:pos="567"/>
        </w:tabs>
        <w:bidi/>
        <w:spacing w:after="240" w:line="340" w:lineRule="exact"/>
        <w:rPr>
          <w:rFonts w:ascii="Arabic Typesetting" w:hAnsi="Arabic Typesetting" w:cs="Arabic Typesetting"/>
          <w:sz w:val="34"/>
          <w:szCs w:val="34"/>
        </w:rPr>
      </w:pPr>
      <w:r>
        <w:rPr>
          <w:rFonts w:ascii="Arabic Typesetting" w:hAnsi="Arabic Typesetting" w:cs="Arabic Typesetting"/>
          <w:sz w:val="34"/>
          <w:szCs w:val="34"/>
          <w:rtl/>
        </w:rPr>
        <w:t>وأهداف المشروع هي</w:t>
      </w:r>
      <w:r w:rsidRPr="00E551B2">
        <w:rPr>
          <w:rFonts w:ascii="Arabic Typesetting" w:hAnsi="Arabic Typesetting" w:cs="Arabic Typesetting"/>
          <w:sz w:val="34"/>
          <w:szCs w:val="34"/>
          <w:rtl/>
        </w:rPr>
        <w:t xml:space="preserve"> "1" تقليل الطاقة المهدرة (الواجهات)؛ "2" </w:t>
      </w: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 xml:space="preserve">تقليل استهلاك الطاقة (أسقف معلقة وواجهات حرارية)؛ "3" </w:t>
      </w: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 xml:space="preserve">تحسين المرافق التقنية لتقليل الحاجة إلى الصيانة (أسقف معلقة وواجهات حرارية)؛ "4" </w:t>
      </w: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 xml:space="preserve">زيادة راحة العاملين؛ "5" </w:t>
      </w: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 xml:space="preserve">استخدام تكنولوجيا جديدة أكثر محافظة على البيئة ؛ "6" </w:t>
      </w: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التحديث من أجل إطالة دورات الحياة (أسقف</w:t>
      </w:r>
      <w:r w:rsidRPr="00E551B2">
        <w:rPr>
          <w:rFonts w:ascii="Arabic Typesetting" w:hAnsi="Arabic Typesetting" w:cs="Arabic Typesetting" w:hint="cs"/>
          <w:sz w:val="34"/>
          <w:szCs w:val="34"/>
          <w:rtl/>
        </w:rPr>
        <w:t> </w:t>
      </w:r>
      <w:r w:rsidRPr="00E551B2">
        <w:rPr>
          <w:rFonts w:ascii="Arabic Typesetting" w:hAnsi="Arabic Typesetting" w:cs="Arabic Typesetting"/>
          <w:sz w:val="34"/>
          <w:szCs w:val="34"/>
          <w:rtl/>
        </w:rPr>
        <w:t>حرارية معلقة).</w:t>
      </w:r>
    </w:p>
    <w:p w14:paraId="7408F29C" w14:textId="77777777" w:rsidR="00BD3831" w:rsidRPr="000B74B5" w:rsidRDefault="00BD3831" w:rsidP="0031289D">
      <w:pPr>
        <w:keepNext/>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lang w:val="fr-CH"/>
        </w:rPr>
        <w:t xml:space="preserve">استعراض التقدم المحرز في </w:t>
      </w:r>
      <w:r>
        <w:rPr>
          <w:rFonts w:ascii="Arabic Typesetting" w:hAnsi="Arabic Typesetting" w:cs="Arabic Typesetting" w:hint="cs"/>
          <w:sz w:val="34"/>
          <w:szCs w:val="34"/>
          <w:rtl/>
          <w:lang w:val="fr-CH"/>
        </w:rPr>
        <w:t>2016</w:t>
      </w:r>
      <w:r w:rsidRPr="00E551B2">
        <w:rPr>
          <w:rFonts w:ascii="Arabic Typesetting" w:hAnsi="Arabic Typesetting" w:cs="Arabic Typesetting"/>
          <w:sz w:val="34"/>
          <w:szCs w:val="34"/>
          <w:rtl/>
          <w:lang w:val="fr-CH"/>
        </w:rPr>
        <w:t xml:space="preserve"> (المعالم الرئيسية)</w:t>
      </w:r>
    </w:p>
    <w:p w14:paraId="16505345" w14:textId="77777777" w:rsidR="00BD3831" w:rsidRPr="00E551B2" w:rsidRDefault="00BD3831" w:rsidP="0031289D">
      <w:pPr>
        <w:numPr>
          <w:ilvl w:val="0"/>
          <w:numId w:val="60"/>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 xml:space="preserve">أُحرز التقدم التالي في </w:t>
      </w:r>
      <w:r>
        <w:rPr>
          <w:rFonts w:ascii="Arabic Typesetting" w:hAnsi="Arabic Typesetting" w:cs="Arabic Typesetting" w:hint="cs"/>
          <w:sz w:val="34"/>
          <w:szCs w:val="34"/>
          <w:rtl/>
        </w:rPr>
        <w:t>2016</w:t>
      </w:r>
      <w:r w:rsidRPr="00E551B2">
        <w:rPr>
          <w:rFonts w:ascii="Arabic Typesetting" w:hAnsi="Arabic Typesetting" w:cs="Arabic Typesetting"/>
          <w:sz w:val="34"/>
          <w:szCs w:val="34"/>
          <w:rtl/>
        </w:rPr>
        <w:t>:</w:t>
      </w:r>
    </w:p>
    <w:p w14:paraId="229736A4" w14:textId="0F89313E" w:rsidR="00BD3831" w:rsidRDefault="00BD3831" w:rsidP="00D02C02">
      <w:pPr>
        <w:numPr>
          <w:ilvl w:val="0"/>
          <w:numId w:val="57"/>
        </w:numPr>
        <w:bidi/>
        <w:spacing w:after="240" w:line="340" w:lineRule="exact"/>
        <w:ind w:left="1134" w:hanging="567"/>
        <w:rPr>
          <w:rFonts w:ascii="Arabic Typesetting" w:hAnsi="Arabic Typesetting" w:cs="Arabic Typesetting"/>
          <w:sz w:val="34"/>
          <w:szCs w:val="34"/>
          <w:lang w:bidi="ar-EG"/>
        </w:rPr>
      </w:pPr>
      <w:r>
        <w:rPr>
          <w:rFonts w:ascii="Arabic Typesetting" w:hAnsi="Arabic Typesetting" w:cs="Arabic Typesetting"/>
          <w:sz w:val="34"/>
          <w:szCs w:val="34"/>
          <w:rtl/>
          <w:lang w:bidi="ar-EG"/>
        </w:rPr>
        <w:t>استكم</w:t>
      </w:r>
      <w:r w:rsidRPr="00200914">
        <w:rPr>
          <w:rFonts w:ascii="Arabic Typesetting" w:hAnsi="Arabic Typesetting" w:cs="Arabic Typesetting"/>
          <w:sz w:val="34"/>
          <w:szCs w:val="34"/>
          <w:rtl/>
          <w:lang w:bidi="ar-EG"/>
        </w:rPr>
        <w:t>ل</w:t>
      </w:r>
      <w:r>
        <w:rPr>
          <w:rFonts w:ascii="Arabic Typesetting" w:hAnsi="Arabic Typesetting" w:cs="Arabic Typesetting" w:hint="cs"/>
          <w:sz w:val="34"/>
          <w:szCs w:val="34"/>
          <w:rtl/>
          <w:lang w:bidi="ar-EG"/>
        </w:rPr>
        <w:t>ت</w:t>
      </w:r>
      <w:r w:rsidRPr="00200914">
        <w:rPr>
          <w:rFonts w:ascii="Arabic Typesetting" w:hAnsi="Arabic Typesetting" w:cs="Arabic Typesetting"/>
          <w:sz w:val="34"/>
          <w:szCs w:val="34"/>
          <w:rtl/>
          <w:lang w:bidi="ar-EG"/>
        </w:rPr>
        <w:t xml:space="preserve"> الشروط التقنية و</w:t>
      </w:r>
      <w:r>
        <w:rPr>
          <w:rFonts w:ascii="Arabic Typesetting" w:hAnsi="Arabic Typesetting" w:cs="Arabic Typesetting" w:hint="cs"/>
          <w:sz w:val="34"/>
          <w:szCs w:val="34"/>
          <w:rtl/>
          <w:lang w:bidi="ar-EG"/>
        </w:rPr>
        <w:t>أصدرت مناقصات</w:t>
      </w:r>
      <w:r w:rsidRPr="00200914">
        <w:rPr>
          <w:rFonts w:ascii="Arabic Typesetting" w:hAnsi="Arabic Typesetting" w:cs="Arabic Typesetting" w:hint="cs"/>
          <w:sz w:val="34"/>
          <w:szCs w:val="34"/>
          <w:rtl/>
          <w:lang w:bidi="ar-EG"/>
        </w:rPr>
        <w:t xml:space="preserve"> لمهند</w:t>
      </w:r>
      <w:r>
        <w:rPr>
          <w:rFonts w:ascii="Arabic Typesetting" w:hAnsi="Arabic Typesetting" w:cs="Arabic Typesetting" w:hint="cs"/>
          <w:sz w:val="34"/>
          <w:szCs w:val="34"/>
          <w:rtl/>
          <w:lang w:bidi="ar-EG"/>
        </w:rPr>
        <w:t>س</w:t>
      </w:r>
      <w:r w:rsidRPr="00200914">
        <w:rPr>
          <w:rFonts w:ascii="Arabic Typesetting" w:hAnsi="Arabic Typesetting" w:cs="Arabic Typesetting" w:hint="cs"/>
          <w:sz w:val="34"/>
          <w:szCs w:val="34"/>
          <w:rtl/>
          <w:lang w:bidi="ar-EG"/>
        </w:rPr>
        <w:t xml:space="preserve">ي </w:t>
      </w:r>
      <w:r w:rsidRPr="00200914">
        <w:rPr>
          <w:rFonts w:ascii="Arabic Typesetting" w:hAnsi="Arabic Typesetting" w:cs="Arabic Typesetting"/>
          <w:sz w:val="34"/>
          <w:szCs w:val="34"/>
          <w:rtl/>
          <w:lang w:bidi="ar-EG"/>
        </w:rPr>
        <w:t>التدفئة والتهوية وتكييف الهواء ومهندس</w:t>
      </w:r>
      <w:r w:rsidRPr="00200914">
        <w:rPr>
          <w:rFonts w:ascii="Arabic Typesetting" w:hAnsi="Arabic Typesetting" w:cs="Arabic Typesetting" w:hint="cs"/>
          <w:sz w:val="34"/>
          <w:szCs w:val="34"/>
          <w:rtl/>
          <w:lang w:bidi="ar-EG"/>
        </w:rPr>
        <w:t>ي</w:t>
      </w:r>
      <w:r w:rsidRPr="00200914">
        <w:rPr>
          <w:rFonts w:ascii="Arabic Typesetting" w:hAnsi="Arabic Typesetting" w:cs="Arabic Typesetting"/>
          <w:sz w:val="34"/>
          <w:szCs w:val="34"/>
          <w:rtl/>
          <w:lang w:bidi="ar-EG"/>
        </w:rPr>
        <w:t xml:space="preserve"> الواجهة</w:t>
      </w:r>
      <w:r w:rsidRPr="00200914">
        <w:rPr>
          <w:rFonts w:ascii="Arabic Typesetting" w:hAnsi="Arabic Typesetting" w:cs="Arabic Typesetting" w:hint="cs"/>
          <w:sz w:val="34"/>
          <w:szCs w:val="34"/>
          <w:rtl/>
          <w:lang w:bidi="ar-EG"/>
        </w:rPr>
        <w:t xml:space="preserve"> ومهندسي الكهرباء والسلامة من الحرائق تحت إشراف القيادة/المهندس المعماري. وكان</w:t>
      </w:r>
      <w:r>
        <w:rPr>
          <w:rFonts w:ascii="Arabic Typesetting" w:hAnsi="Arabic Typesetting" w:cs="Arabic Typesetting" w:hint="cs"/>
          <w:sz w:val="34"/>
          <w:szCs w:val="34"/>
          <w:rtl/>
          <w:lang w:bidi="ar-EG"/>
        </w:rPr>
        <w:t xml:space="preserve"> من المزمع إصدار واستكمال مناقصتين</w:t>
      </w:r>
      <w:r w:rsidRPr="00200914">
        <w:rPr>
          <w:rFonts w:ascii="Arabic Typesetting" w:hAnsi="Arabic Typesetting" w:cs="Arabic Typesetting" w:hint="cs"/>
          <w:sz w:val="34"/>
          <w:szCs w:val="34"/>
          <w:rtl/>
          <w:lang w:bidi="ar-EG"/>
        </w:rPr>
        <w:t xml:space="preserve"> منفصل</w:t>
      </w:r>
      <w:r>
        <w:rPr>
          <w:rFonts w:ascii="Arabic Typesetting" w:hAnsi="Arabic Typesetting" w:cs="Arabic Typesetting" w:hint="cs"/>
          <w:sz w:val="34"/>
          <w:szCs w:val="34"/>
          <w:rtl/>
          <w:lang w:bidi="ar-EG"/>
        </w:rPr>
        <w:t>ت</w:t>
      </w:r>
      <w:r w:rsidRPr="00200914">
        <w:rPr>
          <w:rFonts w:ascii="Arabic Typesetting" w:hAnsi="Arabic Typesetting" w:cs="Arabic Typesetting" w:hint="cs"/>
          <w:sz w:val="34"/>
          <w:szCs w:val="34"/>
          <w:rtl/>
          <w:lang w:bidi="ar-EG"/>
        </w:rPr>
        <w:t xml:space="preserve">ين للقيادة والمهندس المعماري، ثم </w:t>
      </w:r>
      <w:r>
        <w:rPr>
          <w:rFonts w:ascii="Arabic Typesetting" w:hAnsi="Arabic Typesetting" w:cs="Arabic Typesetting" w:hint="cs"/>
          <w:sz w:val="34"/>
          <w:szCs w:val="34"/>
          <w:rtl/>
          <w:lang w:bidi="ar-EG"/>
        </w:rPr>
        <w:t xml:space="preserve">روجع ذلك </w:t>
      </w:r>
      <w:r w:rsidRPr="00200914">
        <w:rPr>
          <w:rFonts w:ascii="Arabic Typesetting" w:hAnsi="Arabic Typesetting" w:cs="Arabic Typesetting"/>
          <w:sz w:val="34"/>
          <w:szCs w:val="34"/>
          <w:rtl/>
          <w:lang w:bidi="ar-EG"/>
        </w:rPr>
        <w:t xml:space="preserve">النهج لتوضيح الأدوار والمسؤوليات الخاصة بولاية </w:t>
      </w:r>
      <w:r>
        <w:rPr>
          <w:rFonts w:ascii="Arabic Typesetting" w:hAnsi="Arabic Typesetting" w:cs="Arabic Typesetting" w:hint="cs"/>
          <w:sz w:val="34"/>
          <w:szCs w:val="34"/>
          <w:rtl/>
          <w:lang w:bidi="ar-EG"/>
        </w:rPr>
        <w:t>القيادة والمهندس المعماري</w:t>
      </w:r>
      <w:r>
        <w:rPr>
          <w:rFonts w:ascii="Arabic Typesetting" w:hAnsi="Arabic Typesetting" w:cs="Arabic Typesetting"/>
          <w:sz w:val="34"/>
          <w:szCs w:val="34"/>
          <w:rtl/>
          <w:lang w:bidi="ar-EG"/>
        </w:rPr>
        <w:t>. و</w:t>
      </w:r>
      <w:r>
        <w:rPr>
          <w:rFonts w:ascii="Arabic Typesetting" w:hAnsi="Arabic Typesetting" w:cs="Arabic Typesetting" w:hint="cs"/>
          <w:sz w:val="34"/>
          <w:szCs w:val="34"/>
          <w:rtl/>
          <w:lang w:bidi="ar-EG"/>
        </w:rPr>
        <w:t>من ثم،</w:t>
      </w:r>
      <w:r w:rsidRPr="00200914">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 xml:space="preserve">عدِّل </w:t>
      </w:r>
      <w:r>
        <w:rPr>
          <w:rFonts w:ascii="Arabic Typesetting" w:hAnsi="Arabic Typesetting" w:cs="Arabic Typesetting"/>
          <w:sz w:val="34"/>
          <w:szCs w:val="34"/>
          <w:rtl/>
          <w:lang w:bidi="ar-EG"/>
        </w:rPr>
        <w:t>الجدول الزمني للمشروع</w:t>
      </w:r>
      <w:r w:rsidRPr="00200914">
        <w:rPr>
          <w:rFonts w:ascii="Arabic Typesetting" w:hAnsi="Arabic Typesetting" w:cs="Arabic Typesetting"/>
          <w:sz w:val="34"/>
          <w:szCs w:val="34"/>
          <w:rtl/>
          <w:lang w:bidi="ar-EG"/>
        </w:rPr>
        <w:t>؛</w:t>
      </w:r>
    </w:p>
    <w:p w14:paraId="1E17EA60" w14:textId="77777777" w:rsidR="00BD3831" w:rsidRDefault="00BD3831" w:rsidP="0031289D">
      <w:pPr>
        <w:numPr>
          <w:ilvl w:val="0"/>
          <w:numId w:val="57"/>
        </w:numPr>
        <w:bidi/>
        <w:spacing w:after="240" w:line="340" w:lineRule="exact"/>
        <w:ind w:left="1134" w:hanging="567"/>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ومنحت العقود </w:t>
      </w:r>
      <w:r w:rsidRPr="00200914">
        <w:rPr>
          <w:rFonts w:ascii="Arabic Typesetting" w:hAnsi="Arabic Typesetting" w:cs="Arabic Typesetting" w:hint="cs"/>
          <w:sz w:val="34"/>
          <w:szCs w:val="34"/>
          <w:rtl/>
          <w:lang w:bidi="ar-EG"/>
        </w:rPr>
        <w:t>لمهند</w:t>
      </w:r>
      <w:r>
        <w:rPr>
          <w:rFonts w:ascii="Arabic Typesetting" w:hAnsi="Arabic Typesetting" w:cs="Arabic Typesetting" w:hint="cs"/>
          <w:sz w:val="34"/>
          <w:szCs w:val="34"/>
          <w:rtl/>
          <w:lang w:bidi="ar-EG"/>
        </w:rPr>
        <w:t>س</w:t>
      </w:r>
      <w:r w:rsidRPr="00200914">
        <w:rPr>
          <w:rFonts w:ascii="Arabic Typesetting" w:hAnsi="Arabic Typesetting" w:cs="Arabic Typesetting" w:hint="cs"/>
          <w:sz w:val="34"/>
          <w:szCs w:val="34"/>
          <w:rtl/>
          <w:lang w:bidi="ar-EG"/>
        </w:rPr>
        <w:t xml:space="preserve">ي </w:t>
      </w:r>
      <w:r w:rsidRPr="00200914">
        <w:rPr>
          <w:rFonts w:ascii="Arabic Typesetting" w:hAnsi="Arabic Typesetting" w:cs="Arabic Typesetting"/>
          <w:sz w:val="34"/>
          <w:szCs w:val="34"/>
          <w:rtl/>
          <w:lang w:bidi="ar-EG"/>
        </w:rPr>
        <w:t>التدفئة والتهوية وتكييف الهواء ومهندس</w:t>
      </w:r>
      <w:r w:rsidRPr="00200914">
        <w:rPr>
          <w:rFonts w:ascii="Arabic Typesetting" w:hAnsi="Arabic Typesetting" w:cs="Arabic Typesetting" w:hint="cs"/>
          <w:sz w:val="34"/>
          <w:szCs w:val="34"/>
          <w:rtl/>
          <w:lang w:bidi="ar-EG"/>
        </w:rPr>
        <w:t>ي</w:t>
      </w:r>
      <w:r w:rsidRPr="00200914">
        <w:rPr>
          <w:rFonts w:ascii="Arabic Typesetting" w:hAnsi="Arabic Typesetting" w:cs="Arabic Typesetting"/>
          <w:sz w:val="34"/>
          <w:szCs w:val="34"/>
          <w:rtl/>
          <w:lang w:bidi="ar-EG"/>
        </w:rPr>
        <w:t xml:space="preserve"> الواجهة</w:t>
      </w:r>
      <w:r w:rsidRPr="00200914">
        <w:rPr>
          <w:rFonts w:ascii="Arabic Typesetting" w:hAnsi="Arabic Typesetting" w:cs="Arabic Typesetting" w:hint="cs"/>
          <w:sz w:val="34"/>
          <w:szCs w:val="34"/>
          <w:rtl/>
          <w:lang w:bidi="ar-EG"/>
        </w:rPr>
        <w:t xml:space="preserve"> ومهندسي الكهرباء والسلامة من الحرائق</w:t>
      </w:r>
      <w:r>
        <w:rPr>
          <w:rFonts w:ascii="Arabic Typesetting" w:hAnsi="Arabic Typesetting" w:cs="Arabic Typesetting" w:hint="cs"/>
          <w:sz w:val="34"/>
          <w:szCs w:val="34"/>
          <w:rtl/>
          <w:lang w:bidi="ar-EG"/>
        </w:rPr>
        <w:t>؛</w:t>
      </w:r>
    </w:p>
    <w:p w14:paraId="16873294" w14:textId="77777777" w:rsidR="00BD3831" w:rsidRDefault="00BD3831" w:rsidP="0031289D">
      <w:pPr>
        <w:numPr>
          <w:ilvl w:val="0"/>
          <w:numId w:val="57"/>
        </w:numPr>
        <w:bidi/>
        <w:spacing w:after="240" w:line="340" w:lineRule="exact"/>
        <w:ind w:left="1134" w:hanging="567"/>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وأُعدت </w:t>
      </w:r>
      <w:r w:rsidRPr="00200914">
        <w:rPr>
          <w:rFonts w:ascii="Arabic Typesetting" w:hAnsi="Arabic Typesetting" w:cs="Arabic Typesetting"/>
          <w:sz w:val="34"/>
          <w:szCs w:val="34"/>
          <w:rtl/>
          <w:lang w:bidi="ar-EG"/>
        </w:rPr>
        <w:t xml:space="preserve">دراسة شاملة عن الخيارات التقنية المختلفة بالاشتراك بين كل المهندسين (مع مراعاة التزاماتهم الخاصة السابقة) تحت </w:t>
      </w:r>
      <w:r>
        <w:rPr>
          <w:rFonts w:ascii="Arabic Typesetting" w:hAnsi="Arabic Typesetting" w:cs="Arabic Typesetting" w:hint="cs"/>
          <w:sz w:val="34"/>
          <w:szCs w:val="34"/>
          <w:rtl/>
          <w:lang w:bidi="ar-EG"/>
        </w:rPr>
        <w:t>إشراف</w:t>
      </w:r>
      <w:r w:rsidRPr="00200914">
        <w:rPr>
          <w:rFonts w:ascii="Arabic Typesetting" w:hAnsi="Arabic Typesetting" w:cs="Arabic Typesetting"/>
          <w:sz w:val="34"/>
          <w:szCs w:val="34"/>
          <w:rtl/>
          <w:lang w:bidi="ar-EG"/>
        </w:rPr>
        <w:t xml:space="preserve"> شركة </w:t>
      </w:r>
      <w:r>
        <w:rPr>
          <w:rFonts w:ascii="Arabic Typesetting" w:hAnsi="Arabic Typesetting" w:cs="Arabic Typesetting" w:hint="cs"/>
          <w:sz w:val="34"/>
          <w:szCs w:val="34"/>
          <w:rtl/>
          <w:lang w:bidi="ar-EG"/>
        </w:rPr>
        <w:t>القيادة والمهندس المعماري</w:t>
      </w:r>
      <w:r w:rsidRPr="00200914">
        <w:rPr>
          <w:rFonts w:ascii="Arabic Typesetting" w:hAnsi="Arabic Typesetting" w:cs="Arabic Typesetting"/>
          <w:sz w:val="34"/>
          <w:szCs w:val="34"/>
          <w:rtl/>
          <w:lang w:bidi="ar-EG"/>
        </w:rPr>
        <w:t xml:space="preserve"> وموظفي الويبو الداخليين</w:t>
      </w:r>
      <w:r>
        <w:rPr>
          <w:rFonts w:ascii="Arabic Typesetting" w:hAnsi="Arabic Typesetting" w:cs="Arabic Typesetting" w:hint="cs"/>
          <w:sz w:val="34"/>
          <w:szCs w:val="34"/>
          <w:rtl/>
          <w:lang w:bidi="ar-EG"/>
        </w:rPr>
        <w:t xml:space="preserve"> القائمين على شؤون المباني والسلامة والأمن؛</w:t>
      </w:r>
    </w:p>
    <w:p w14:paraId="5BAC191A" w14:textId="77777777" w:rsidR="00BD3831" w:rsidRPr="00347746" w:rsidRDefault="00BD3831" w:rsidP="0031289D">
      <w:pPr>
        <w:numPr>
          <w:ilvl w:val="0"/>
          <w:numId w:val="57"/>
        </w:numPr>
        <w:bidi/>
        <w:spacing w:after="240" w:line="340" w:lineRule="exact"/>
        <w:ind w:left="1134" w:hanging="567"/>
        <w:rPr>
          <w:rFonts w:ascii="Arabic Typesetting" w:hAnsi="Arabic Typesetting" w:cs="Arabic Typesetting"/>
          <w:sz w:val="34"/>
          <w:szCs w:val="34"/>
          <w:lang w:bidi="ar-EG"/>
        </w:rPr>
      </w:pPr>
      <w:r w:rsidRPr="00347746">
        <w:rPr>
          <w:rFonts w:ascii="Arabic Typesetting" w:hAnsi="Arabic Typesetting" w:cs="Arabic Typesetting" w:hint="cs"/>
          <w:sz w:val="34"/>
          <w:szCs w:val="34"/>
          <w:rtl/>
          <w:lang w:bidi="ar-EG"/>
        </w:rPr>
        <w:t>واختارت ا</w:t>
      </w:r>
      <w:r w:rsidRPr="00347746">
        <w:rPr>
          <w:rFonts w:ascii="Arabic Typesetting" w:hAnsi="Arabic Typesetting" w:cs="Arabic Typesetting"/>
          <w:sz w:val="34"/>
          <w:szCs w:val="34"/>
          <w:rtl/>
          <w:lang w:bidi="ar-EG"/>
        </w:rPr>
        <w:t xml:space="preserve">لأمانة الخيارات التقنية المفضلة </w:t>
      </w:r>
      <w:r w:rsidRPr="00347746">
        <w:rPr>
          <w:rFonts w:ascii="Arabic Typesetting" w:hAnsi="Arabic Typesetting" w:cs="Arabic Typesetting" w:hint="cs"/>
          <w:sz w:val="34"/>
          <w:szCs w:val="34"/>
          <w:rtl/>
          <w:lang w:bidi="ar-EG"/>
        </w:rPr>
        <w:t>ل</w:t>
      </w:r>
      <w:r w:rsidRPr="00347746">
        <w:rPr>
          <w:rFonts w:ascii="Arabic Typesetting" w:hAnsi="Arabic Typesetting" w:cs="Arabic Typesetting"/>
          <w:sz w:val="34"/>
          <w:szCs w:val="34"/>
          <w:rtl/>
          <w:lang w:bidi="ar-EG"/>
        </w:rPr>
        <w:t>لتدفئة والتهوية وتكييف الهواء والواجهة</w:t>
      </w:r>
      <w:r>
        <w:rPr>
          <w:rFonts w:ascii="Arabic Typesetting" w:hAnsi="Arabic Typesetting" w:cs="Arabic Typesetting" w:hint="cs"/>
          <w:sz w:val="34"/>
          <w:szCs w:val="34"/>
          <w:rtl/>
          <w:lang w:bidi="ar-EG"/>
        </w:rPr>
        <w:t xml:space="preserve"> </w:t>
      </w:r>
      <w:r w:rsidRPr="00347746">
        <w:rPr>
          <w:rFonts w:ascii="Arabic Typesetting" w:hAnsi="Arabic Typesetting" w:cs="Arabic Typesetting"/>
          <w:sz w:val="34"/>
          <w:szCs w:val="34"/>
          <w:rtl/>
          <w:lang w:bidi="ar-EG"/>
        </w:rPr>
        <w:t>قبل نهاية عام 2016.</w:t>
      </w:r>
    </w:p>
    <w:p w14:paraId="744BE344" w14:textId="77777777" w:rsidR="00BD3831" w:rsidRPr="00E551B2" w:rsidRDefault="00BD3831" w:rsidP="0031289D">
      <w:pPr>
        <w:keepNext/>
        <w:bidi/>
        <w:spacing w:after="240" w:line="340" w:lineRule="exact"/>
        <w:rPr>
          <w:rFonts w:ascii="Arabic Typesetting" w:hAnsi="Arabic Typesetting" w:cs="Arabic Typesetting"/>
          <w:sz w:val="34"/>
          <w:szCs w:val="34"/>
          <w:rtl/>
          <w:lang w:val="fr-CH"/>
        </w:rPr>
      </w:pPr>
      <w:r w:rsidRPr="00E551B2">
        <w:rPr>
          <w:rFonts w:ascii="Arabic Typesetting" w:hAnsi="Arabic Typesetting" w:cs="Arabic Typesetting"/>
          <w:sz w:val="34"/>
          <w:szCs w:val="34"/>
          <w:rtl/>
          <w:lang w:val="fr-CH"/>
        </w:rPr>
        <w:lastRenderedPageBreak/>
        <w:t>تحقيق المنافع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9"/>
        <w:gridCol w:w="3671"/>
        <w:gridCol w:w="3671"/>
      </w:tblGrid>
      <w:tr w:rsidR="00BD3831" w:rsidRPr="00E551B2" w14:paraId="247B12E1" w14:textId="77777777" w:rsidTr="00DF6715">
        <w:trPr>
          <w:trHeight w:val="314"/>
          <w:tblHeader/>
          <w:jc w:val="center"/>
        </w:trPr>
        <w:tc>
          <w:tcPr>
            <w:tcW w:w="1164" w:type="pct"/>
            <w:shd w:val="clear" w:color="auto" w:fill="C6D9F1"/>
            <w:vAlign w:val="center"/>
          </w:tcPr>
          <w:p w14:paraId="1E5AAC54" w14:textId="77777777" w:rsidR="00BD3831" w:rsidRPr="00E551B2" w:rsidRDefault="00BD3831" w:rsidP="0031289D">
            <w:pPr>
              <w:keepNext/>
              <w:keepLines/>
              <w:bidi/>
              <w:spacing w:before="60" w:after="60" w:line="28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color w:val="000000"/>
                <w:sz w:val="28"/>
                <w:szCs w:val="28"/>
                <w:rtl/>
                <w:lang w:bidi="ar-EG"/>
              </w:rPr>
              <w:t>المنافع المتوقعة 2017</w:t>
            </w:r>
          </w:p>
        </w:tc>
        <w:tc>
          <w:tcPr>
            <w:tcW w:w="1918" w:type="pct"/>
            <w:shd w:val="clear" w:color="auto" w:fill="C6D9F1"/>
            <w:vAlign w:val="center"/>
          </w:tcPr>
          <w:p w14:paraId="1791D97A" w14:textId="77777777" w:rsidR="00BD3831" w:rsidRPr="00E551B2" w:rsidRDefault="00BD3831" w:rsidP="0031289D">
            <w:pPr>
              <w:keepNext/>
              <w:keepLines/>
              <w:bidi/>
              <w:spacing w:before="60" w:after="60" w:line="28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color w:val="000000"/>
                <w:sz w:val="28"/>
                <w:szCs w:val="28"/>
                <w:rtl/>
                <w:lang w:bidi="ar-EG"/>
              </w:rPr>
              <w:t>المنافع المتوقعة 2018</w:t>
            </w:r>
          </w:p>
        </w:tc>
        <w:tc>
          <w:tcPr>
            <w:tcW w:w="1918" w:type="pct"/>
            <w:shd w:val="clear" w:color="auto" w:fill="C6D9F1"/>
            <w:vAlign w:val="center"/>
          </w:tcPr>
          <w:p w14:paraId="5150D152" w14:textId="77777777" w:rsidR="00BD3831" w:rsidRPr="00E551B2" w:rsidRDefault="00BD3831" w:rsidP="0031289D">
            <w:pPr>
              <w:keepNext/>
              <w:keepLines/>
              <w:bidi/>
              <w:spacing w:before="60" w:after="60" w:line="280" w:lineRule="exact"/>
              <w:jc w:val="center"/>
              <w:rPr>
                <w:rFonts w:ascii="Arabic Typesetting" w:hAnsi="Arabic Typesetting" w:cs="Arabic Typesetting"/>
                <w:bCs/>
                <w:color w:val="000000"/>
                <w:sz w:val="28"/>
                <w:szCs w:val="28"/>
                <w:rtl/>
                <w:lang w:bidi="ar-EG"/>
              </w:rPr>
            </w:pPr>
            <w:r w:rsidRPr="00E551B2">
              <w:rPr>
                <w:rFonts w:ascii="Arabic Typesetting" w:hAnsi="Arabic Typesetting" w:cs="Arabic Typesetting"/>
                <w:bCs/>
                <w:color w:val="000000"/>
                <w:sz w:val="28"/>
                <w:szCs w:val="28"/>
                <w:rtl/>
                <w:lang w:bidi="ar-EG"/>
              </w:rPr>
              <w:t xml:space="preserve">المنافع المتوقعة </w:t>
            </w:r>
            <w:r>
              <w:rPr>
                <w:rFonts w:ascii="Arabic Typesetting" w:hAnsi="Arabic Typesetting" w:cs="Arabic Typesetting" w:hint="cs"/>
                <w:bCs/>
                <w:color w:val="000000"/>
                <w:sz w:val="28"/>
                <w:szCs w:val="28"/>
                <w:rtl/>
                <w:lang w:bidi="ar-EG"/>
              </w:rPr>
              <w:t>2019</w:t>
            </w:r>
          </w:p>
        </w:tc>
      </w:tr>
      <w:tr w:rsidR="00BD3831" w:rsidRPr="00E551B2" w14:paraId="2FF6E636" w14:textId="77777777" w:rsidTr="00DF6715">
        <w:trPr>
          <w:trHeight w:val="564"/>
          <w:jc w:val="center"/>
        </w:trPr>
        <w:tc>
          <w:tcPr>
            <w:tcW w:w="1164" w:type="pct"/>
            <w:vAlign w:val="center"/>
          </w:tcPr>
          <w:p w14:paraId="208FFE48" w14:textId="77777777" w:rsidR="00BD3831" w:rsidRPr="00E551B2" w:rsidRDefault="00BD3831" w:rsidP="0031289D">
            <w:pPr>
              <w:keepNext/>
              <w:keepLines/>
              <w:bidi/>
              <w:spacing w:before="60" w:after="60" w:line="280" w:lineRule="exact"/>
              <w:rPr>
                <w:rFonts w:ascii="Arabic Typesetting" w:hAnsi="Arabic Typesetting" w:cs="Arabic Typesetting"/>
                <w:b/>
                <w:i/>
                <w:sz w:val="28"/>
                <w:szCs w:val="28"/>
                <w:rtl/>
                <w:lang w:bidi="ar-EG"/>
              </w:rPr>
            </w:pPr>
            <w:r>
              <w:rPr>
                <w:rFonts w:ascii="Arabic Typesetting" w:hAnsi="Arabic Typesetting" w:cs="Arabic Typesetting"/>
                <w:b/>
                <w:i/>
                <w:color w:val="000000"/>
                <w:sz w:val="28"/>
                <w:szCs w:val="28"/>
                <w:rtl/>
                <w:lang w:bidi="ar-EG"/>
              </w:rPr>
              <w:t xml:space="preserve">تحسينات جزئية في </w:t>
            </w:r>
            <w:r w:rsidRPr="00E551B2">
              <w:rPr>
                <w:rFonts w:ascii="Arabic Typesetting" w:hAnsi="Arabic Typesetting" w:cs="Arabic Typesetting"/>
                <w:b/>
                <w:i/>
                <w:color w:val="000000"/>
                <w:sz w:val="28"/>
                <w:szCs w:val="28"/>
                <w:rtl/>
                <w:lang w:bidi="ar-EG"/>
              </w:rPr>
              <w:t xml:space="preserve">مرافق </w:t>
            </w:r>
            <w:r w:rsidRPr="00347746">
              <w:rPr>
                <w:rFonts w:ascii="Arabic Typesetting" w:hAnsi="Arabic Typesetting" w:cs="Arabic Typesetting"/>
                <w:b/>
                <w:i/>
                <w:color w:val="000000"/>
                <w:sz w:val="28"/>
                <w:szCs w:val="28"/>
                <w:rtl/>
                <w:lang w:bidi="ar-EG"/>
              </w:rPr>
              <w:t>التدفئة والتهوية وتكييف الهواء</w:t>
            </w:r>
          </w:p>
        </w:tc>
        <w:tc>
          <w:tcPr>
            <w:tcW w:w="1918" w:type="pct"/>
            <w:vAlign w:val="center"/>
          </w:tcPr>
          <w:p w14:paraId="4F1AE101" w14:textId="77777777" w:rsidR="00BD3831" w:rsidRPr="00E551B2" w:rsidRDefault="00BD3831" w:rsidP="0031289D">
            <w:pPr>
              <w:keepNext/>
              <w:keepLines/>
              <w:bidi/>
              <w:spacing w:before="60" w:after="60" w:line="280" w:lineRule="exact"/>
              <w:rPr>
                <w:rFonts w:ascii="Arabic Typesetting" w:hAnsi="Arabic Typesetting" w:cs="Arabic Typesetting"/>
                <w:b/>
                <w:i/>
                <w:sz w:val="28"/>
                <w:szCs w:val="28"/>
                <w:rtl/>
                <w:lang w:bidi="ar-EG"/>
              </w:rPr>
            </w:pPr>
            <w:r>
              <w:rPr>
                <w:rFonts w:ascii="Arabic Typesetting" w:hAnsi="Arabic Typesetting" w:cs="Arabic Typesetting" w:hint="cs"/>
                <w:b/>
                <w:i/>
                <w:color w:val="000000"/>
                <w:sz w:val="28"/>
                <w:szCs w:val="28"/>
                <w:rtl/>
                <w:lang w:bidi="ar-EG"/>
              </w:rPr>
              <w:t>استمرار ال</w:t>
            </w:r>
            <w:r w:rsidRPr="00E551B2">
              <w:rPr>
                <w:rFonts w:ascii="Arabic Typesetting" w:hAnsi="Arabic Typesetting" w:cs="Arabic Typesetting"/>
                <w:b/>
                <w:i/>
                <w:color w:val="000000"/>
                <w:sz w:val="28"/>
                <w:szCs w:val="28"/>
                <w:rtl/>
                <w:lang w:bidi="ar-EG"/>
              </w:rPr>
              <w:t xml:space="preserve">تحسينات في </w:t>
            </w:r>
            <w:r>
              <w:rPr>
                <w:rFonts w:ascii="Arabic Typesetting" w:hAnsi="Arabic Typesetting" w:cs="Arabic Typesetting" w:hint="cs"/>
                <w:b/>
                <w:i/>
                <w:color w:val="000000"/>
                <w:sz w:val="28"/>
                <w:szCs w:val="28"/>
                <w:rtl/>
                <w:lang w:bidi="ar-EG"/>
              </w:rPr>
              <w:t xml:space="preserve">مرافق </w:t>
            </w:r>
            <w:r w:rsidRPr="00347746">
              <w:rPr>
                <w:rFonts w:ascii="Arabic Typesetting" w:hAnsi="Arabic Typesetting" w:cs="Arabic Typesetting"/>
                <w:b/>
                <w:i/>
                <w:color w:val="000000"/>
                <w:sz w:val="28"/>
                <w:szCs w:val="28"/>
                <w:rtl/>
                <w:lang w:bidi="ar-EG"/>
              </w:rPr>
              <w:t xml:space="preserve">التدفئة والتهوية وتكييف الهواء </w:t>
            </w:r>
            <w:r>
              <w:rPr>
                <w:rFonts w:ascii="Arabic Typesetting" w:hAnsi="Arabic Typesetting" w:cs="Arabic Typesetting" w:hint="cs"/>
                <w:b/>
                <w:i/>
                <w:color w:val="000000"/>
                <w:sz w:val="28"/>
                <w:szCs w:val="28"/>
                <w:rtl/>
                <w:lang w:bidi="ar-EG"/>
              </w:rPr>
              <w:t>و</w:t>
            </w:r>
            <w:r w:rsidRPr="00E551B2">
              <w:rPr>
                <w:rFonts w:ascii="Arabic Typesetting" w:hAnsi="Arabic Typesetting" w:cs="Arabic Typesetting"/>
                <w:b/>
                <w:i/>
                <w:color w:val="000000"/>
                <w:sz w:val="28"/>
                <w:szCs w:val="28"/>
                <w:rtl/>
                <w:lang w:bidi="ar-EG"/>
              </w:rPr>
              <w:t>المرافق التقنية</w:t>
            </w:r>
          </w:p>
        </w:tc>
        <w:tc>
          <w:tcPr>
            <w:tcW w:w="1918" w:type="pct"/>
            <w:vAlign w:val="center"/>
          </w:tcPr>
          <w:p w14:paraId="5536BCD4" w14:textId="77777777" w:rsidR="00BD3831" w:rsidRPr="00CE5EE9" w:rsidRDefault="00BD3831" w:rsidP="0031289D">
            <w:pPr>
              <w:keepNext/>
              <w:keepLines/>
              <w:bidi/>
              <w:spacing w:before="60" w:after="60"/>
              <w:rPr>
                <w:rFonts w:cs="Arabic Typesetting"/>
                <w:sz w:val="28"/>
                <w:szCs w:val="28"/>
              </w:rPr>
            </w:pPr>
            <w:r w:rsidRPr="00CE5EE9">
              <w:rPr>
                <w:rFonts w:cs="Arabic Typesetting"/>
                <w:sz w:val="28"/>
                <w:szCs w:val="28"/>
                <w:rtl/>
              </w:rPr>
              <w:t>تحسينات كاملة في المرافق التقنية</w:t>
            </w:r>
          </w:p>
        </w:tc>
      </w:tr>
      <w:tr w:rsidR="00BD3831" w:rsidRPr="00E551B2" w14:paraId="5753FF9D" w14:textId="77777777" w:rsidTr="00DF6715">
        <w:trPr>
          <w:trHeight w:val="53"/>
          <w:jc w:val="center"/>
        </w:trPr>
        <w:tc>
          <w:tcPr>
            <w:tcW w:w="1164" w:type="pct"/>
            <w:vAlign w:val="center"/>
          </w:tcPr>
          <w:p w14:paraId="2DEA6D40" w14:textId="77777777" w:rsidR="00BD3831" w:rsidRPr="00E551B2" w:rsidRDefault="00BD3831" w:rsidP="0031289D">
            <w:pPr>
              <w:keepNext/>
              <w:keepLines/>
              <w:bidi/>
              <w:spacing w:before="60" w:after="60" w:line="280" w:lineRule="exact"/>
              <w:rPr>
                <w:rFonts w:ascii="Arabic Typesetting" w:hAnsi="Arabic Typesetting" w:cs="Arabic Typesetting"/>
                <w:b/>
                <w:i/>
                <w:sz w:val="28"/>
                <w:szCs w:val="28"/>
                <w:rtl/>
                <w:lang w:bidi="ar-EG"/>
              </w:rPr>
            </w:pPr>
          </w:p>
        </w:tc>
        <w:tc>
          <w:tcPr>
            <w:tcW w:w="1918" w:type="pct"/>
            <w:vAlign w:val="center"/>
          </w:tcPr>
          <w:p w14:paraId="156DFC9B" w14:textId="77777777" w:rsidR="00BD3831" w:rsidRPr="00E551B2" w:rsidRDefault="00BD3831" w:rsidP="0031289D">
            <w:pPr>
              <w:keepNext/>
              <w:keepLines/>
              <w:bidi/>
              <w:spacing w:before="60" w:after="60" w:line="280" w:lineRule="exact"/>
              <w:rPr>
                <w:rFonts w:ascii="Arabic Typesetting" w:hAnsi="Arabic Typesetting" w:cs="Arabic Typesetting"/>
                <w:b/>
                <w:i/>
                <w:sz w:val="28"/>
                <w:szCs w:val="28"/>
                <w:rtl/>
                <w:lang w:bidi="ar-EG"/>
              </w:rPr>
            </w:pPr>
            <w:r w:rsidRPr="00E551B2">
              <w:rPr>
                <w:rFonts w:ascii="Arabic Typesetting" w:hAnsi="Arabic Typesetting" w:cs="Arabic Typesetting"/>
                <w:b/>
                <w:i/>
                <w:sz w:val="28"/>
                <w:szCs w:val="28"/>
                <w:rtl/>
                <w:lang w:bidi="ar-EG"/>
              </w:rPr>
              <w:t xml:space="preserve">تحسين </w:t>
            </w:r>
            <w:r>
              <w:rPr>
                <w:rFonts w:ascii="Arabic Typesetting" w:hAnsi="Arabic Typesetting" w:cs="Arabic Typesetting" w:hint="cs"/>
                <w:b/>
                <w:i/>
                <w:sz w:val="28"/>
                <w:szCs w:val="28"/>
                <w:rtl/>
                <w:lang w:bidi="ar-EG"/>
              </w:rPr>
              <w:t>جزئي</w:t>
            </w:r>
            <w:r w:rsidRPr="00E551B2">
              <w:rPr>
                <w:rFonts w:ascii="Arabic Typesetting" w:hAnsi="Arabic Typesetting" w:cs="Arabic Typesetting"/>
                <w:b/>
                <w:i/>
                <w:sz w:val="28"/>
                <w:szCs w:val="28"/>
                <w:rtl/>
                <w:lang w:bidi="ar-EG"/>
              </w:rPr>
              <w:t xml:space="preserve"> في راحة العاملين</w:t>
            </w:r>
          </w:p>
        </w:tc>
        <w:tc>
          <w:tcPr>
            <w:tcW w:w="1918" w:type="pct"/>
            <w:vAlign w:val="center"/>
          </w:tcPr>
          <w:p w14:paraId="37807D4F" w14:textId="77777777" w:rsidR="00BD3831" w:rsidRPr="00CE5EE9" w:rsidRDefault="00BD3831" w:rsidP="0031289D">
            <w:pPr>
              <w:keepNext/>
              <w:keepLines/>
              <w:bidi/>
              <w:spacing w:before="60" w:after="60"/>
              <w:rPr>
                <w:rFonts w:cs="Arabic Typesetting"/>
                <w:sz w:val="28"/>
                <w:szCs w:val="28"/>
              </w:rPr>
            </w:pPr>
            <w:r w:rsidRPr="00CE5EE9">
              <w:rPr>
                <w:rFonts w:cs="Arabic Typesetting"/>
                <w:sz w:val="28"/>
                <w:szCs w:val="28"/>
                <w:rtl/>
              </w:rPr>
              <w:t>تحسين كامل في راحة العاملين</w:t>
            </w:r>
          </w:p>
        </w:tc>
      </w:tr>
      <w:tr w:rsidR="00BD3831" w:rsidRPr="00E551B2" w14:paraId="332098B1" w14:textId="77777777" w:rsidTr="00DF6715">
        <w:trPr>
          <w:trHeight w:val="53"/>
          <w:jc w:val="center"/>
        </w:trPr>
        <w:tc>
          <w:tcPr>
            <w:tcW w:w="1164" w:type="pct"/>
            <w:vAlign w:val="center"/>
          </w:tcPr>
          <w:p w14:paraId="4C82018D" w14:textId="77777777" w:rsidR="00BD3831" w:rsidRPr="00E551B2" w:rsidRDefault="00BD3831" w:rsidP="0031289D">
            <w:pPr>
              <w:bidi/>
              <w:spacing w:before="60" w:after="60" w:line="280" w:lineRule="exact"/>
              <w:rPr>
                <w:rFonts w:ascii="Arabic Typesetting" w:hAnsi="Arabic Typesetting" w:cs="Arabic Typesetting"/>
                <w:b/>
                <w:i/>
                <w:sz w:val="28"/>
                <w:szCs w:val="28"/>
              </w:rPr>
            </w:pPr>
          </w:p>
        </w:tc>
        <w:tc>
          <w:tcPr>
            <w:tcW w:w="1918" w:type="pct"/>
            <w:vAlign w:val="center"/>
          </w:tcPr>
          <w:p w14:paraId="32825E0F" w14:textId="77777777" w:rsidR="00BD3831" w:rsidRPr="00E551B2" w:rsidRDefault="00BD3831" w:rsidP="0031289D">
            <w:pPr>
              <w:bidi/>
              <w:spacing w:before="60" w:after="60" w:line="280" w:lineRule="exact"/>
              <w:rPr>
                <w:rFonts w:ascii="Arabic Typesetting" w:hAnsi="Arabic Typesetting" w:cs="Arabic Typesetting"/>
                <w:b/>
                <w:i/>
                <w:sz w:val="28"/>
                <w:szCs w:val="28"/>
                <w:rtl/>
                <w:lang w:bidi="ar-EG"/>
              </w:rPr>
            </w:pPr>
          </w:p>
        </w:tc>
        <w:tc>
          <w:tcPr>
            <w:tcW w:w="1918" w:type="pct"/>
            <w:vAlign w:val="center"/>
          </w:tcPr>
          <w:p w14:paraId="4E5F2523" w14:textId="77777777" w:rsidR="00BD3831" w:rsidRPr="00E551B2" w:rsidRDefault="00BD3831" w:rsidP="0031289D">
            <w:pPr>
              <w:bidi/>
              <w:spacing w:before="60" w:after="60" w:line="280" w:lineRule="exact"/>
              <w:rPr>
                <w:rFonts w:ascii="Arabic Typesetting" w:hAnsi="Arabic Typesetting" w:cs="Arabic Typesetting"/>
                <w:b/>
                <w:i/>
                <w:sz w:val="28"/>
                <w:szCs w:val="28"/>
                <w:rtl/>
                <w:lang w:bidi="ar-EG"/>
              </w:rPr>
            </w:pPr>
            <w:r w:rsidRPr="00E551B2">
              <w:rPr>
                <w:rFonts w:ascii="Arabic Typesetting" w:hAnsi="Arabic Typesetting" w:cs="Arabic Typesetting"/>
                <w:b/>
                <w:i/>
                <w:color w:val="000000"/>
                <w:sz w:val="28"/>
                <w:szCs w:val="28"/>
                <w:rtl/>
                <w:lang w:bidi="ar-EG"/>
              </w:rPr>
              <w:t>تقليل جزئي للطاقة المهدرة بفضل الواجهات المحسنة</w:t>
            </w:r>
          </w:p>
        </w:tc>
      </w:tr>
      <w:tr w:rsidR="00BD3831" w:rsidRPr="00E551B2" w14:paraId="78E6AE29" w14:textId="77777777" w:rsidTr="00DF6715">
        <w:trPr>
          <w:trHeight w:val="53"/>
          <w:jc w:val="center"/>
        </w:trPr>
        <w:tc>
          <w:tcPr>
            <w:tcW w:w="1164" w:type="pct"/>
            <w:vAlign w:val="center"/>
          </w:tcPr>
          <w:p w14:paraId="048E8423" w14:textId="77777777" w:rsidR="00BD3831" w:rsidRPr="00E551B2" w:rsidRDefault="00BD3831" w:rsidP="0031289D">
            <w:pPr>
              <w:bidi/>
              <w:spacing w:before="60" w:after="60" w:line="280" w:lineRule="exact"/>
              <w:rPr>
                <w:rFonts w:ascii="Arabic Typesetting" w:hAnsi="Arabic Typesetting" w:cs="Arabic Typesetting"/>
                <w:b/>
                <w:i/>
                <w:sz w:val="28"/>
                <w:szCs w:val="28"/>
              </w:rPr>
            </w:pPr>
          </w:p>
        </w:tc>
        <w:tc>
          <w:tcPr>
            <w:tcW w:w="1918" w:type="pct"/>
            <w:vAlign w:val="center"/>
          </w:tcPr>
          <w:p w14:paraId="6A6FF147" w14:textId="77777777" w:rsidR="00BD3831" w:rsidRPr="00E551B2" w:rsidRDefault="00BD3831" w:rsidP="0031289D">
            <w:pPr>
              <w:bidi/>
              <w:spacing w:before="60" w:after="60" w:line="280" w:lineRule="exact"/>
              <w:rPr>
                <w:rFonts w:ascii="Arabic Typesetting" w:hAnsi="Arabic Typesetting" w:cs="Arabic Typesetting"/>
                <w:b/>
                <w:i/>
                <w:sz w:val="28"/>
                <w:szCs w:val="28"/>
                <w:rtl/>
                <w:lang w:bidi="ar-EG"/>
              </w:rPr>
            </w:pPr>
          </w:p>
        </w:tc>
        <w:tc>
          <w:tcPr>
            <w:tcW w:w="1918" w:type="pct"/>
            <w:vAlign w:val="center"/>
          </w:tcPr>
          <w:p w14:paraId="63882455" w14:textId="77777777" w:rsidR="00BD3831" w:rsidRPr="00CE5EE9" w:rsidRDefault="00BD3831" w:rsidP="0031289D">
            <w:pPr>
              <w:bidi/>
              <w:spacing w:before="60" w:after="60"/>
              <w:rPr>
                <w:rFonts w:cs="Arabic Typesetting"/>
                <w:sz w:val="28"/>
                <w:szCs w:val="28"/>
              </w:rPr>
            </w:pPr>
            <w:r w:rsidRPr="00E551B2">
              <w:rPr>
                <w:rFonts w:ascii="Arabic Typesetting" w:hAnsi="Arabic Typesetting" w:cs="Arabic Typesetting"/>
                <w:b/>
                <w:i/>
                <w:color w:val="000000"/>
                <w:sz w:val="28"/>
                <w:szCs w:val="28"/>
                <w:rtl/>
                <w:lang w:bidi="ar-EG"/>
              </w:rPr>
              <w:t>تقليل جزئي في استهلاك الطاقة بفضل الأسقف المعلقة الحرارية الجديدة</w:t>
            </w:r>
          </w:p>
        </w:tc>
      </w:tr>
      <w:tr w:rsidR="00BD3831" w:rsidRPr="00E551B2" w14:paraId="473C69E4" w14:textId="77777777" w:rsidTr="00DF6715">
        <w:trPr>
          <w:trHeight w:val="53"/>
          <w:jc w:val="center"/>
        </w:trPr>
        <w:tc>
          <w:tcPr>
            <w:tcW w:w="1164" w:type="pct"/>
            <w:vAlign w:val="center"/>
          </w:tcPr>
          <w:p w14:paraId="44B46091" w14:textId="77777777" w:rsidR="00BD3831" w:rsidRPr="00E551B2" w:rsidRDefault="00BD3831" w:rsidP="0031289D">
            <w:pPr>
              <w:bidi/>
              <w:spacing w:before="60" w:after="60" w:line="280" w:lineRule="exact"/>
              <w:rPr>
                <w:rFonts w:ascii="Arabic Typesetting" w:hAnsi="Arabic Typesetting" w:cs="Arabic Typesetting"/>
                <w:b/>
                <w:i/>
                <w:sz w:val="28"/>
                <w:szCs w:val="28"/>
              </w:rPr>
            </w:pPr>
          </w:p>
        </w:tc>
        <w:tc>
          <w:tcPr>
            <w:tcW w:w="1918" w:type="pct"/>
            <w:vAlign w:val="center"/>
          </w:tcPr>
          <w:p w14:paraId="56E97650" w14:textId="77777777" w:rsidR="00BD3831" w:rsidRPr="00E551B2" w:rsidRDefault="00BD3831" w:rsidP="0031289D">
            <w:pPr>
              <w:bidi/>
              <w:spacing w:before="60" w:after="60" w:line="280" w:lineRule="exact"/>
              <w:rPr>
                <w:rFonts w:ascii="Arabic Typesetting" w:hAnsi="Arabic Typesetting" w:cs="Arabic Typesetting"/>
                <w:b/>
                <w:i/>
                <w:sz w:val="28"/>
                <w:szCs w:val="28"/>
                <w:rtl/>
                <w:lang w:bidi="ar-EG"/>
              </w:rPr>
            </w:pPr>
          </w:p>
        </w:tc>
        <w:tc>
          <w:tcPr>
            <w:tcW w:w="1918" w:type="pct"/>
            <w:vAlign w:val="center"/>
          </w:tcPr>
          <w:p w14:paraId="556CBA85" w14:textId="77777777" w:rsidR="00BD3831" w:rsidRPr="00CE5EE9" w:rsidRDefault="00BD3831" w:rsidP="0031289D">
            <w:pPr>
              <w:bidi/>
              <w:spacing w:before="60" w:after="60"/>
              <w:rPr>
                <w:rFonts w:cs="Arabic Typesetting"/>
                <w:sz w:val="28"/>
                <w:szCs w:val="28"/>
              </w:rPr>
            </w:pPr>
            <w:r w:rsidRPr="00E551B2">
              <w:rPr>
                <w:rFonts w:ascii="Arabic Typesetting" w:hAnsi="Arabic Typesetting" w:cs="Arabic Typesetting"/>
                <w:b/>
                <w:i/>
                <w:color w:val="000000"/>
                <w:sz w:val="28"/>
                <w:szCs w:val="28"/>
                <w:rtl/>
                <w:lang w:bidi="ar-EG"/>
              </w:rPr>
              <w:t>زيادة دورة حياة الأسقف المعلقة الحرارية الجديدة</w:t>
            </w:r>
          </w:p>
        </w:tc>
      </w:tr>
      <w:tr w:rsidR="00BD3831" w:rsidRPr="00E551B2" w14:paraId="19D38CB7" w14:textId="77777777" w:rsidTr="00DF6715">
        <w:trPr>
          <w:trHeight w:val="53"/>
          <w:jc w:val="center"/>
        </w:trPr>
        <w:tc>
          <w:tcPr>
            <w:tcW w:w="1164" w:type="pct"/>
            <w:vAlign w:val="center"/>
          </w:tcPr>
          <w:p w14:paraId="73B7270B" w14:textId="77777777" w:rsidR="00BD3831" w:rsidRPr="00E551B2" w:rsidRDefault="00BD3831" w:rsidP="0031289D">
            <w:pPr>
              <w:bidi/>
              <w:spacing w:before="60" w:after="60" w:line="280" w:lineRule="exact"/>
              <w:rPr>
                <w:rFonts w:ascii="Arabic Typesetting" w:hAnsi="Arabic Typesetting" w:cs="Arabic Typesetting"/>
                <w:b/>
                <w:i/>
                <w:sz w:val="28"/>
                <w:szCs w:val="28"/>
              </w:rPr>
            </w:pPr>
          </w:p>
        </w:tc>
        <w:tc>
          <w:tcPr>
            <w:tcW w:w="1918" w:type="pct"/>
            <w:vAlign w:val="center"/>
          </w:tcPr>
          <w:p w14:paraId="5461BB52" w14:textId="77777777" w:rsidR="00BD3831" w:rsidRPr="00E551B2" w:rsidRDefault="00BD3831" w:rsidP="0031289D">
            <w:pPr>
              <w:bidi/>
              <w:spacing w:before="60" w:after="60" w:line="280" w:lineRule="exact"/>
              <w:rPr>
                <w:rFonts w:ascii="Arabic Typesetting" w:hAnsi="Arabic Typesetting" w:cs="Arabic Typesetting"/>
                <w:b/>
                <w:i/>
                <w:sz w:val="28"/>
                <w:szCs w:val="28"/>
                <w:rtl/>
                <w:lang w:bidi="ar-EG"/>
              </w:rPr>
            </w:pPr>
          </w:p>
        </w:tc>
        <w:tc>
          <w:tcPr>
            <w:tcW w:w="1918" w:type="pct"/>
            <w:vAlign w:val="center"/>
          </w:tcPr>
          <w:p w14:paraId="445C090A" w14:textId="77777777" w:rsidR="00BD3831" w:rsidRPr="00CE5EE9" w:rsidRDefault="00BD3831" w:rsidP="0031289D">
            <w:pPr>
              <w:bidi/>
              <w:spacing w:before="60" w:after="60"/>
              <w:rPr>
                <w:rFonts w:cs="Arabic Typesetting"/>
                <w:sz w:val="28"/>
                <w:szCs w:val="28"/>
              </w:rPr>
            </w:pPr>
            <w:r w:rsidRPr="00E551B2">
              <w:rPr>
                <w:rFonts w:ascii="Arabic Typesetting" w:hAnsi="Arabic Typesetting" w:cs="Arabic Typesetting"/>
                <w:b/>
                <w:i/>
                <w:color w:val="000000"/>
                <w:sz w:val="28"/>
                <w:szCs w:val="28"/>
                <w:rtl/>
                <w:lang w:bidi="ar-EG"/>
              </w:rPr>
              <w:t>تقليل تكلفة الصيانة التصحيحية بفضل الأسقف المعلقة الحرارية الجديدة</w:t>
            </w:r>
          </w:p>
        </w:tc>
      </w:tr>
    </w:tbl>
    <w:p w14:paraId="63CA1847" w14:textId="6462B620" w:rsidR="00BD3831" w:rsidRPr="000B74B5" w:rsidRDefault="00BD3831" w:rsidP="0031289D">
      <w:pPr>
        <w:keepNext/>
        <w:bidi/>
        <w:spacing w:before="120" w:after="12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lang w:val="fr-CH"/>
        </w:rPr>
        <w:t>استخدام الموارد</w:t>
      </w:r>
      <w:r w:rsidR="00B66F63">
        <w:rPr>
          <w:rStyle w:val="FootnoteReference"/>
          <w:rtl/>
          <w:lang w:val="fr-CH"/>
        </w:rPr>
        <w:footnoteReference w:id="116"/>
      </w:r>
    </w:p>
    <w:p w14:paraId="5B1246CA" w14:textId="77777777" w:rsidR="00BD3831" w:rsidRPr="00456F66" w:rsidRDefault="00BD3831" w:rsidP="0031289D">
      <w:pPr>
        <w:keepNext/>
        <w:keepLines/>
        <w:autoSpaceDE w:val="0"/>
        <w:autoSpaceDN w:val="0"/>
        <w:bidi/>
        <w:adjustRightInd w:val="0"/>
        <w:jc w:val="center"/>
        <w:rPr>
          <w:rFonts w:ascii="Arabic Typesetting" w:hAnsi="Arabic Typesetting" w:cs="Arabic Typesetting"/>
          <w:sz w:val="34"/>
          <w:szCs w:val="34"/>
          <w:rtl/>
          <w:lang w:bidi="ar-EG"/>
        </w:rPr>
      </w:pPr>
      <w:r w:rsidRPr="00456F66">
        <w:rPr>
          <w:rFonts w:ascii="Arabic Typesetting" w:hAnsi="Arabic Typesetting" w:cs="Arabic Typesetting"/>
          <w:bCs/>
          <w:color w:val="000000"/>
          <w:sz w:val="34"/>
          <w:szCs w:val="34"/>
          <w:rtl/>
          <w:lang w:bidi="ar-EG"/>
        </w:rPr>
        <w:t>استخدام ميزانية المشروع</w:t>
      </w:r>
    </w:p>
    <w:p w14:paraId="67329BE8" w14:textId="77777777" w:rsidR="00BD3831" w:rsidRPr="00456F66" w:rsidRDefault="00BD3831" w:rsidP="0031289D">
      <w:pPr>
        <w:keepNext/>
        <w:keepLines/>
        <w:autoSpaceDE w:val="0"/>
        <w:autoSpaceDN w:val="0"/>
        <w:bidi/>
        <w:adjustRightInd w:val="0"/>
        <w:spacing w:after="120"/>
        <w:jc w:val="center"/>
        <w:rPr>
          <w:rFonts w:ascii="Arabic Typesetting" w:hAnsi="Arabic Typesetting" w:cs="Arabic Typesetting"/>
          <w:iCs/>
          <w:sz w:val="34"/>
          <w:szCs w:val="34"/>
          <w:lang w:bidi="ar-EG"/>
        </w:rPr>
      </w:pPr>
      <w:r w:rsidRPr="00456F66">
        <w:rPr>
          <w:rFonts w:ascii="Arabic Typesetting" w:hAnsi="Arabic Typesetting" w:cs="Arabic Typesetting"/>
          <w:iCs/>
          <w:color w:val="000000"/>
          <w:sz w:val="34"/>
          <w:szCs w:val="34"/>
          <w:rtl/>
          <w:lang w:bidi="ar-EG"/>
        </w:rPr>
        <w:t>(بالفرنك السويسري، في 31 ديسمبر 2016)</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627"/>
        <w:gridCol w:w="1629"/>
        <w:gridCol w:w="1629"/>
        <w:gridCol w:w="1627"/>
      </w:tblGrid>
      <w:tr w:rsidR="00BD3831" w:rsidRPr="00FA719C" w14:paraId="590420F4" w14:textId="77777777" w:rsidTr="00DF6715">
        <w:trPr>
          <w:trHeight w:val="410"/>
        </w:trPr>
        <w:tc>
          <w:tcPr>
            <w:tcW w:w="1598" w:type="pct"/>
            <w:shd w:val="clear" w:color="auto" w:fill="C6D9F1"/>
            <w:vAlign w:val="center"/>
          </w:tcPr>
          <w:p w14:paraId="1B93FC09" w14:textId="77777777" w:rsidR="00BD3831" w:rsidRPr="00FA719C" w:rsidRDefault="00BD3831" w:rsidP="0031289D">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اسم المشروع</w:t>
            </w:r>
          </w:p>
        </w:tc>
        <w:tc>
          <w:tcPr>
            <w:tcW w:w="850" w:type="pct"/>
            <w:shd w:val="clear" w:color="auto" w:fill="C6D9F1"/>
            <w:vAlign w:val="center"/>
          </w:tcPr>
          <w:p w14:paraId="17389633" w14:textId="77777777" w:rsidR="00BD3831" w:rsidRPr="00FA719C" w:rsidRDefault="00BD3831" w:rsidP="0031289D">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ميزانية المشروع</w:t>
            </w:r>
          </w:p>
        </w:tc>
        <w:tc>
          <w:tcPr>
            <w:tcW w:w="851" w:type="pct"/>
            <w:shd w:val="clear" w:color="auto" w:fill="C6D9F1"/>
            <w:vAlign w:val="center"/>
          </w:tcPr>
          <w:p w14:paraId="70E6ED74" w14:textId="77777777" w:rsidR="00BD3831" w:rsidRPr="00FA719C"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النفقات الفعلية حتى تاريخه</w:t>
            </w:r>
          </w:p>
        </w:tc>
        <w:tc>
          <w:tcPr>
            <w:tcW w:w="851" w:type="pct"/>
            <w:shd w:val="clear" w:color="auto" w:fill="C6D9F1"/>
            <w:vAlign w:val="center"/>
          </w:tcPr>
          <w:p w14:paraId="66306D8E" w14:textId="77777777" w:rsidR="00BD3831" w:rsidRPr="00FA719C" w:rsidRDefault="00BD3831" w:rsidP="0031289D">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14:paraId="6AE7C882" w14:textId="77777777" w:rsidR="00BD3831" w:rsidRPr="00FA719C" w:rsidRDefault="00BD3831" w:rsidP="0031289D">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معدل التقدم المحرز في تنفيذ المشروع</w:t>
            </w:r>
          </w:p>
        </w:tc>
      </w:tr>
      <w:tr w:rsidR="00BD3831" w:rsidRPr="00FA719C" w14:paraId="7D499EB3" w14:textId="77777777" w:rsidTr="00DF6715">
        <w:trPr>
          <w:trHeight w:val="389"/>
        </w:trPr>
        <w:tc>
          <w:tcPr>
            <w:tcW w:w="1598" w:type="pct"/>
            <w:vAlign w:val="center"/>
          </w:tcPr>
          <w:p w14:paraId="0E71290E" w14:textId="77777777" w:rsidR="00BD3831" w:rsidRPr="00FA719C" w:rsidRDefault="00BD3831" w:rsidP="0031289D">
            <w:pPr>
              <w:keepNext/>
              <w:keepLines/>
              <w:autoSpaceDE w:val="0"/>
              <w:autoSpaceDN w:val="0"/>
              <w:bidi/>
              <w:adjustRightInd w:val="0"/>
              <w:spacing w:before="40" w:after="40"/>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تجديد الواجهات وتجهيزات التبريد/التدفئة في مبنى البراءات (</w:t>
            </w:r>
            <w:r w:rsidRPr="00FA719C">
              <w:rPr>
                <w:rFonts w:ascii="Arabic Typesetting" w:hAnsi="Arabic Typesetting" w:cs="Arabic Typesetting"/>
                <w:sz w:val="28"/>
                <w:szCs w:val="28"/>
                <w:lang w:bidi="ar-EG"/>
              </w:rPr>
              <w:t>CMP 3</w:t>
            </w:r>
            <w:r w:rsidRPr="00FA719C">
              <w:rPr>
                <w:rFonts w:ascii="Arabic Typesetting" w:hAnsi="Arabic Typesetting" w:cs="Arabic Typesetting"/>
                <w:sz w:val="28"/>
                <w:szCs w:val="28"/>
                <w:rtl/>
                <w:lang w:bidi="ar-EG"/>
              </w:rPr>
              <w:t>)</w:t>
            </w:r>
          </w:p>
        </w:tc>
        <w:tc>
          <w:tcPr>
            <w:tcW w:w="850" w:type="pct"/>
            <w:vAlign w:val="center"/>
          </w:tcPr>
          <w:p w14:paraId="2640AD98"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6</w:t>
            </w:r>
            <w:r>
              <w:rPr>
                <w:rFonts w:ascii="Arabic Typesetting" w:hAnsi="Arabic Typesetting" w:cs="Arabic Typesetting"/>
                <w:sz w:val="28"/>
                <w:szCs w:val="28"/>
              </w:rPr>
              <w:t> </w:t>
            </w:r>
            <w:r w:rsidRPr="00FA719C">
              <w:rPr>
                <w:rFonts w:ascii="Arabic Typesetting" w:hAnsi="Arabic Typesetting" w:cs="Arabic Typesetting"/>
                <w:sz w:val="28"/>
                <w:szCs w:val="28"/>
              </w:rPr>
              <w:t>000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1" w:type="pct"/>
            <w:vAlign w:val="center"/>
          </w:tcPr>
          <w:p w14:paraId="1A5059D7"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436</w:t>
            </w:r>
            <w:r>
              <w:rPr>
                <w:rFonts w:ascii="Arabic Typesetting" w:hAnsi="Arabic Typesetting" w:cs="Arabic Typesetting"/>
                <w:sz w:val="28"/>
                <w:szCs w:val="28"/>
              </w:rPr>
              <w:t> </w:t>
            </w:r>
            <w:r w:rsidRPr="00FA719C">
              <w:rPr>
                <w:rFonts w:ascii="Arabic Typesetting" w:hAnsi="Arabic Typesetting" w:cs="Arabic Typesetting"/>
                <w:sz w:val="28"/>
                <w:szCs w:val="28"/>
              </w:rPr>
              <w:t>922</w:t>
            </w:r>
          </w:p>
        </w:tc>
        <w:tc>
          <w:tcPr>
            <w:tcW w:w="851" w:type="pct"/>
            <w:vAlign w:val="center"/>
          </w:tcPr>
          <w:p w14:paraId="17935ABC"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%7.3</w:t>
            </w:r>
          </w:p>
        </w:tc>
        <w:tc>
          <w:tcPr>
            <w:tcW w:w="850" w:type="pct"/>
            <w:vAlign w:val="center"/>
          </w:tcPr>
          <w:p w14:paraId="0B0C98AB"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%20</w:t>
            </w:r>
          </w:p>
        </w:tc>
      </w:tr>
    </w:tbl>
    <w:p w14:paraId="0C5A3D47" w14:textId="77777777" w:rsidR="00BD3831" w:rsidRPr="00456F66" w:rsidRDefault="00BD3831" w:rsidP="0031289D">
      <w:pPr>
        <w:keepNext/>
        <w:keepLines/>
        <w:autoSpaceDE w:val="0"/>
        <w:autoSpaceDN w:val="0"/>
        <w:bidi/>
        <w:adjustRightInd w:val="0"/>
        <w:spacing w:before="120"/>
        <w:jc w:val="center"/>
        <w:rPr>
          <w:rFonts w:ascii="Arabic Typesetting" w:hAnsi="Arabic Typesetting" w:cs="Arabic Typesetting"/>
          <w:bCs/>
          <w:sz w:val="34"/>
          <w:szCs w:val="34"/>
          <w:rtl/>
          <w:lang w:bidi="ar-EG"/>
        </w:rPr>
      </w:pPr>
      <w:r w:rsidRPr="00456F66">
        <w:rPr>
          <w:rFonts w:ascii="Arabic Typesetting" w:hAnsi="Arabic Typesetting" w:cs="Arabic Typesetting"/>
          <w:bCs/>
          <w:color w:val="000000"/>
          <w:sz w:val="34"/>
          <w:szCs w:val="34"/>
          <w:rtl/>
          <w:lang w:bidi="ar-EG"/>
        </w:rPr>
        <w:t>استخدام ميزانية المشروع (حسب المعالم)</w:t>
      </w:r>
    </w:p>
    <w:p w14:paraId="7CED9732" w14:textId="77777777" w:rsidR="00BD3831" w:rsidRPr="00456F66" w:rsidRDefault="00BD3831" w:rsidP="0031289D">
      <w:pPr>
        <w:keepNext/>
        <w:keepLines/>
        <w:autoSpaceDE w:val="0"/>
        <w:autoSpaceDN w:val="0"/>
        <w:bidi/>
        <w:adjustRightInd w:val="0"/>
        <w:spacing w:after="120"/>
        <w:jc w:val="center"/>
        <w:rPr>
          <w:rFonts w:ascii="Arabic Typesetting" w:hAnsi="Arabic Typesetting" w:cs="Arabic Typesetting"/>
          <w:iCs/>
          <w:sz w:val="34"/>
          <w:szCs w:val="34"/>
          <w:lang w:bidi="ar-EG"/>
        </w:rPr>
      </w:pPr>
      <w:r w:rsidRPr="00456F66">
        <w:rPr>
          <w:rFonts w:ascii="Arabic Typesetting" w:hAnsi="Arabic Typesetting" w:cs="Arabic Typesetting"/>
          <w:iCs/>
          <w:sz w:val="34"/>
          <w:szCs w:val="34"/>
          <w:rtl/>
          <w:lang w:bidi="ar-EG"/>
        </w:rPr>
        <w:t>(بالفرنك السويسري، في 31 ديسمبر 2016)</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1639"/>
        <w:gridCol w:w="1639"/>
        <w:gridCol w:w="1639"/>
        <w:gridCol w:w="1639"/>
      </w:tblGrid>
      <w:tr w:rsidR="00BD3831" w:rsidRPr="00FA719C" w14:paraId="15E34E40" w14:textId="77777777" w:rsidTr="00DF6715">
        <w:trPr>
          <w:trHeight w:val="410"/>
        </w:trPr>
        <w:tc>
          <w:tcPr>
            <w:tcW w:w="1575" w:type="pct"/>
            <w:shd w:val="clear" w:color="auto" w:fill="C6D9F1"/>
            <w:vAlign w:val="center"/>
          </w:tcPr>
          <w:p w14:paraId="41CE412A" w14:textId="77777777" w:rsidR="00BD3831" w:rsidRPr="00FA719C" w:rsidRDefault="00BD3831" w:rsidP="0031289D">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14:paraId="20A6C698" w14:textId="77777777" w:rsidR="00BD3831" w:rsidRPr="00FA719C" w:rsidRDefault="00BD3831" w:rsidP="0031289D">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14:paraId="391D82FF" w14:textId="77777777" w:rsidR="00BD3831" w:rsidRPr="00FA719C"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14:paraId="3C3738F1" w14:textId="77777777" w:rsidR="00BD3831" w:rsidRPr="00FA719C" w:rsidRDefault="00BD3831" w:rsidP="0031289D">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14:paraId="2D905A41" w14:textId="77777777" w:rsidR="00BD3831" w:rsidRPr="00FA719C" w:rsidRDefault="00BD3831" w:rsidP="0031289D">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معدل التقدم المحرز في تنفيذ المشروع حسب المعالم</w:t>
            </w:r>
          </w:p>
        </w:tc>
      </w:tr>
      <w:tr w:rsidR="00BD3831" w:rsidRPr="00FA719C" w14:paraId="59277E75" w14:textId="77777777" w:rsidTr="00DF6715">
        <w:trPr>
          <w:trHeight w:val="389"/>
        </w:trPr>
        <w:tc>
          <w:tcPr>
            <w:tcW w:w="1575" w:type="pct"/>
            <w:vAlign w:val="center"/>
          </w:tcPr>
          <w:p w14:paraId="4C3DB089"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منح العقد للقيادة/المهندس المعماري</w:t>
            </w:r>
          </w:p>
        </w:tc>
        <w:tc>
          <w:tcPr>
            <w:tcW w:w="856" w:type="pct"/>
            <w:vAlign w:val="center"/>
          </w:tcPr>
          <w:p w14:paraId="75AA55F4"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124</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22B057D8"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124</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6226CA04"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p>
        </w:tc>
        <w:tc>
          <w:tcPr>
            <w:tcW w:w="856" w:type="pct"/>
            <w:vAlign w:val="center"/>
          </w:tcPr>
          <w:p w14:paraId="0520DF69"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p>
        </w:tc>
      </w:tr>
      <w:tr w:rsidR="00BD3831" w:rsidRPr="00FA719C" w14:paraId="2538022E" w14:textId="77777777" w:rsidTr="00DF6715">
        <w:trPr>
          <w:trHeight w:val="389"/>
        </w:trPr>
        <w:tc>
          <w:tcPr>
            <w:tcW w:w="1575" w:type="pct"/>
            <w:vAlign w:val="center"/>
          </w:tcPr>
          <w:p w14:paraId="5B2B3B00"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منح العقود للوكلاء</w:t>
            </w:r>
          </w:p>
        </w:tc>
        <w:tc>
          <w:tcPr>
            <w:tcW w:w="856" w:type="pct"/>
            <w:vAlign w:val="center"/>
          </w:tcPr>
          <w:p w14:paraId="24834971"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900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5BA530BE"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97</w:t>
            </w:r>
            <w:r>
              <w:rPr>
                <w:rFonts w:ascii="Arabic Typesetting" w:hAnsi="Arabic Typesetting" w:cs="Arabic Typesetting"/>
                <w:sz w:val="28"/>
                <w:szCs w:val="28"/>
              </w:rPr>
              <w:t> </w:t>
            </w:r>
            <w:r w:rsidRPr="00FA719C">
              <w:rPr>
                <w:rFonts w:ascii="Arabic Typesetting" w:hAnsi="Arabic Typesetting" w:cs="Arabic Typesetting"/>
                <w:sz w:val="28"/>
                <w:szCs w:val="28"/>
              </w:rPr>
              <w:t>490</w:t>
            </w:r>
          </w:p>
        </w:tc>
        <w:tc>
          <w:tcPr>
            <w:tcW w:w="856" w:type="pct"/>
            <w:vAlign w:val="center"/>
          </w:tcPr>
          <w:p w14:paraId="6B4BC7CE"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%10.8</w:t>
            </w:r>
          </w:p>
        </w:tc>
        <w:tc>
          <w:tcPr>
            <w:tcW w:w="856" w:type="pct"/>
            <w:vAlign w:val="center"/>
          </w:tcPr>
          <w:p w14:paraId="553D216C"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p>
        </w:tc>
      </w:tr>
      <w:tr w:rsidR="00BD3831" w:rsidRPr="00FA719C" w14:paraId="1075C22A" w14:textId="77777777" w:rsidTr="00DF6715">
        <w:trPr>
          <w:trHeight w:val="389"/>
        </w:trPr>
        <w:tc>
          <w:tcPr>
            <w:tcW w:w="1575" w:type="pct"/>
            <w:vAlign w:val="center"/>
          </w:tcPr>
          <w:p w14:paraId="70B85F4C"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التزام الموارد الداخلية والخارجية</w:t>
            </w:r>
          </w:p>
        </w:tc>
        <w:tc>
          <w:tcPr>
            <w:tcW w:w="856" w:type="pct"/>
            <w:vAlign w:val="center"/>
          </w:tcPr>
          <w:p w14:paraId="6C2CD67A"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867</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0F2CE781"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211</w:t>
            </w:r>
            <w:r>
              <w:rPr>
                <w:rFonts w:ascii="Arabic Typesetting" w:hAnsi="Arabic Typesetting" w:cs="Arabic Typesetting"/>
                <w:sz w:val="28"/>
                <w:szCs w:val="28"/>
              </w:rPr>
              <w:t> </w:t>
            </w:r>
            <w:r w:rsidRPr="00FA719C">
              <w:rPr>
                <w:rFonts w:ascii="Arabic Typesetting" w:hAnsi="Arabic Typesetting" w:cs="Arabic Typesetting"/>
                <w:sz w:val="28"/>
                <w:szCs w:val="28"/>
              </w:rPr>
              <w:t>634</w:t>
            </w:r>
          </w:p>
        </w:tc>
        <w:tc>
          <w:tcPr>
            <w:tcW w:w="856" w:type="pct"/>
            <w:vAlign w:val="center"/>
          </w:tcPr>
          <w:p w14:paraId="48BA09F8"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%24.4</w:t>
            </w:r>
          </w:p>
        </w:tc>
        <w:tc>
          <w:tcPr>
            <w:tcW w:w="856" w:type="pct"/>
            <w:vAlign w:val="center"/>
          </w:tcPr>
          <w:p w14:paraId="241D3B39"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%40</w:t>
            </w:r>
          </w:p>
        </w:tc>
      </w:tr>
      <w:tr w:rsidR="00BD3831" w:rsidRPr="00FA719C" w14:paraId="70244D15" w14:textId="77777777" w:rsidTr="00DF6715">
        <w:trPr>
          <w:trHeight w:val="389"/>
        </w:trPr>
        <w:tc>
          <w:tcPr>
            <w:tcW w:w="1575" w:type="pct"/>
            <w:vAlign w:val="center"/>
          </w:tcPr>
          <w:p w14:paraId="10A6918A"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العمل والتكليف</w:t>
            </w:r>
          </w:p>
        </w:tc>
        <w:tc>
          <w:tcPr>
            <w:tcW w:w="856" w:type="pct"/>
            <w:vAlign w:val="center"/>
          </w:tcPr>
          <w:p w14:paraId="612A0B29"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4</w:t>
            </w:r>
            <w:r>
              <w:rPr>
                <w:rFonts w:ascii="Arabic Typesetting" w:hAnsi="Arabic Typesetting" w:cs="Arabic Typesetting"/>
                <w:sz w:val="28"/>
                <w:szCs w:val="28"/>
              </w:rPr>
              <w:t> </w:t>
            </w:r>
            <w:r w:rsidRPr="00FA719C">
              <w:rPr>
                <w:rFonts w:ascii="Arabic Typesetting" w:hAnsi="Arabic Typesetting" w:cs="Arabic Typesetting"/>
                <w:sz w:val="28"/>
                <w:szCs w:val="28"/>
              </w:rPr>
              <w:t>109</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24FB0E4B"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3</w:t>
            </w:r>
            <w:r>
              <w:rPr>
                <w:rFonts w:ascii="Arabic Typesetting" w:hAnsi="Arabic Typesetting" w:cs="Arabic Typesetting"/>
                <w:sz w:val="28"/>
                <w:szCs w:val="28"/>
              </w:rPr>
              <w:t> </w:t>
            </w:r>
            <w:r w:rsidRPr="00FA719C">
              <w:rPr>
                <w:rFonts w:ascii="Arabic Typesetting" w:hAnsi="Arabic Typesetting" w:cs="Arabic Typesetting"/>
                <w:sz w:val="28"/>
                <w:szCs w:val="28"/>
              </w:rPr>
              <w:t>798</w:t>
            </w:r>
          </w:p>
        </w:tc>
        <w:tc>
          <w:tcPr>
            <w:tcW w:w="856" w:type="pct"/>
            <w:vAlign w:val="center"/>
          </w:tcPr>
          <w:p w14:paraId="4E602A63"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%0.1</w:t>
            </w:r>
          </w:p>
        </w:tc>
        <w:tc>
          <w:tcPr>
            <w:tcW w:w="856" w:type="pct"/>
            <w:vAlign w:val="center"/>
          </w:tcPr>
          <w:p w14:paraId="5A46FB52"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w:t>
            </w:r>
          </w:p>
        </w:tc>
      </w:tr>
      <w:tr w:rsidR="00BD3831" w:rsidRPr="00FA719C" w14:paraId="48275E8A" w14:textId="77777777" w:rsidTr="00DF6715">
        <w:trPr>
          <w:trHeight w:val="389"/>
        </w:trPr>
        <w:tc>
          <w:tcPr>
            <w:tcW w:w="1575" w:type="pct"/>
            <w:shd w:val="clear" w:color="auto" w:fill="C6D9F1"/>
            <w:vAlign w:val="center"/>
          </w:tcPr>
          <w:p w14:paraId="3BAE05BB"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b/>
                <w:bCs/>
                <w:sz w:val="28"/>
                <w:szCs w:val="28"/>
                <w:rtl/>
                <w:lang w:bidi="ar-EG"/>
              </w:rPr>
            </w:pPr>
            <w:r w:rsidRPr="00FA719C">
              <w:rPr>
                <w:rFonts w:ascii="Arabic Typesetting" w:hAnsi="Arabic Typesetting" w:cs="Arabic Typesetting"/>
                <w:b/>
                <w:bCs/>
                <w:sz w:val="28"/>
                <w:szCs w:val="28"/>
                <w:rtl/>
                <w:lang w:bidi="ar-EG"/>
              </w:rPr>
              <w:t>المجموع</w:t>
            </w:r>
          </w:p>
        </w:tc>
        <w:tc>
          <w:tcPr>
            <w:tcW w:w="856" w:type="pct"/>
            <w:shd w:val="clear" w:color="auto" w:fill="C6D9F1"/>
            <w:vAlign w:val="center"/>
          </w:tcPr>
          <w:p w14:paraId="1E1EAE61"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b/>
                <w:sz w:val="28"/>
                <w:szCs w:val="28"/>
              </w:rPr>
            </w:pPr>
            <w:r w:rsidRPr="00FA719C">
              <w:rPr>
                <w:rFonts w:ascii="Arabic Typesetting" w:hAnsi="Arabic Typesetting" w:cs="Arabic Typesetting"/>
                <w:b/>
                <w:sz w:val="28"/>
                <w:szCs w:val="28"/>
              </w:rPr>
              <w:t>6</w:t>
            </w:r>
            <w:r>
              <w:rPr>
                <w:rFonts w:ascii="Arabic Typesetting" w:hAnsi="Arabic Typesetting" w:cs="Arabic Typesetting"/>
                <w:b/>
                <w:sz w:val="28"/>
                <w:szCs w:val="28"/>
              </w:rPr>
              <w:t> </w:t>
            </w:r>
            <w:r w:rsidRPr="00FA719C">
              <w:rPr>
                <w:rFonts w:ascii="Arabic Typesetting" w:hAnsi="Arabic Typesetting" w:cs="Arabic Typesetting"/>
                <w:b/>
                <w:sz w:val="28"/>
                <w:szCs w:val="28"/>
              </w:rPr>
              <w:t>000</w:t>
            </w:r>
            <w:r>
              <w:rPr>
                <w:rFonts w:ascii="Arabic Typesetting" w:hAnsi="Arabic Typesetting" w:cs="Arabic Typesetting"/>
                <w:b/>
                <w:sz w:val="28"/>
                <w:szCs w:val="28"/>
              </w:rPr>
              <w:t> </w:t>
            </w:r>
            <w:r w:rsidRPr="00FA719C">
              <w:rPr>
                <w:rFonts w:ascii="Arabic Typesetting" w:hAnsi="Arabic Typesetting" w:cs="Arabic Typesetting"/>
                <w:b/>
                <w:sz w:val="28"/>
                <w:szCs w:val="28"/>
              </w:rPr>
              <w:t>000</w:t>
            </w:r>
          </w:p>
        </w:tc>
        <w:tc>
          <w:tcPr>
            <w:tcW w:w="856" w:type="pct"/>
            <w:shd w:val="clear" w:color="auto" w:fill="C6D9F1"/>
            <w:vAlign w:val="center"/>
          </w:tcPr>
          <w:p w14:paraId="1A1471BE" w14:textId="77777777" w:rsidR="00BD3831" w:rsidRPr="00FA719C" w:rsidRDefault="00BD3831" w:rsidP="0031289D">
            <w:pPr>
              <w:keepNext/>
              <w:keepLines/>
              <w:autoSpaceDE w:val="0"/>
              <w:autoSpaceDN w:val="0"/>
              <w:adjustRightInd w:val="0"/>
              <w:jc w:val="center"/>
              <w:rPr>
                <w:rFonts w:ascii="Arabic Typesetting" w:hAnsi="Arabic Typesetting" w:cs="Arabic Typesetting"/>
                <w:b/>
                <w:sz w:val="28"/>
                <w:szCs w:val="28"/>
              </w:rPr>
            </w:pPr>
            <w:r w:rsidRPr="00FA719C">
              <w:rPr>
                <w:rFonts w:ascii="Arabic Typesetting" w:hAnsi="Arabic Typesetting" w:cs="Arabic Typesetting"/>
                <w:b/>
                <w:sz w:val="28"/>
                <w:szCs w:val="28"/>
              </w:rPr>
              <w:t>436</w:t>
            </w:r>
            <w:r>
              <w:rPr>
                <w:rFonts w:ascii="Arabic Typesetting" w:hAnsi="Arabic Typesetting" w:cs="Arabic Typesetting"/>
                <w:b/>
                <w:sz w:val="28"/>
                <w:szCs w:val="28"/>
              </w:rPr>
              <w:t> </w:t>
            </w:r>
            <w:r w:rsidRPr="00FA719C">
              <w:rPr>
                <w:rFonts w:ascii="Arabic Typesetting" w:hAnsi="Arabic Typesetting" w:cs="Arabic Typesetting"/>
                <w:b/>
                <w:sz w:val="28"/>
                <w:szCs w:val="28"/>
              </w:rPr>
              <w:t>922</w:t>
            </w:r>
          </w:p>
        </w:tc>
        <w:tc>
          <w:tcPr>
            <w:tcW w:w="856" w:type="pct"/>
            <w:shd w:val="clear" w:color="auto" w:fill="C6D9F1"/>
            <w:vAlign w:val="center"/>
          </w:tcPr>
          <w:p w14:paraId="1D5C49D6" w14:textId="77777777" w:rsidR="00BD3831" w:rsidRPr="00FA719C" w:rsidRDefault="00BD3831" w:rsidP="0031289D">
            <w:pPr>
              <w:keepNext/>
              <w:keepLines/>
              <w:autoSpaceDE w:val="0"/>
              <w:autoSpaceDN w:val="0"/>
              <w:adjustRightInd w:val="0"/>
              <w:jc w:val="center"/>
              <w:rPr>
                <w:rFonts w:ascii="Arabic Typesetting" w:hAnsi="Arabic Typesetting" w:cs="Arabic Typesetting"/>
                <w:b/>
                <w:sz w:val="28"/>
                <w:szCs w:val="28"/>
              </w:rPr>
            </w:pPr>
            <w:r w:rsidRPr="00FA719C">
              <w:rPr>
                <w:rFonts w:ascii="Arabic Typesetting" w:hAnsi="Arabic Typesetting" w:cs="Arabic Typesetting"/>
                <w:b/>
                <w:sz w:val="28"/>
                <w:szCs w:val="28"/>
              </w:rPr>
              <w:t>%7.3</w:t>
            </w:r>
          </w:p>
        </w:tc>
        <w:tc>
          <w:tcPr>
            <w:tcW w:w="856" w:type="pct"/>
            <w:shd w:val="clear" w:color="auto" w:fill="C6D9F1"/>
            <w:vAlign w:val="center"/>
          </w:tcPr>
          <w:p w14:paraId="788958FA" w14:textId="77777777" w:rsidR="00BD3831" w:rsidRPr="00FA719C" w:rsidRDefault="00BD3831" w:rsidP="0031289D">
            <w:pPr>
              <w:keepNext/>
              <w:keepLines/>
              <w:autoSpaceDE w:val="0"/>
              <w:autoSpaceDN w:val="0"/>
              <w:adjustRightInd w:val="0"/>
              <w:jc w:val="center"/>
              <w:rPr>
                <w:rFonts w:ascii="Arabic Typesetting" w:hAnsi="Arabic Typesetting" w:cs="Arabic Typesetting"/>
                <w:b/>
                <w:sz w:val="28"/>
                <w:szCs w:val="28"/>
              </w:rPr>
            </w:pPr>
          </w:p>
        </w:tc>
      </w:tr>
    </w:tbl>
    <w:p w14:paraId="2962A761" w14:textId="77777777" w:rsidR="00BD3831" w:rsidRPr="00E551B2" w:rsidRDefault="00BD3831" w:rsidP="0031289D">
      <w:pPr>
        <w:keepNext/>
        <w:keepLines/>
        <w:pageBreakBefore/>
        <w:autoSpaceDE w:val="0"/>
        <w:autoSpaceDN w:val="0"/>
        <w:bidi/>
        <w:adjustRightInd w:val="0"/>
        <w:spacing w:before="120"/>
        <w:jc w:val="center"/>
        <w:rPr>
          <w:rFonts w:ascii="Arabic Typesetting" w:hAnsi="Arabic Typesetting" w:cs="Arabic Typesetting"/>
          <w:bCs/>
          <w:sz w:val="36"/>
          <w:szCs w:val="36"/>
          <w:rtl/>
          <w:lang w:bidi="ar-EG"/>
        </w:rPr>
      </w:pPr>
      <w:r w:rsidRPr="00E551B2">
        <w:rPr>
          <w:rFonts w:ascii="Arabic Typesetting" w:hAnsi="Arabic Typesetting" w:cs="Arabic Typesetting"/>
          <w:bCs/>
          <w:color w:val="000000"/>
          <w:sz w:val="36"/>
          <w:szCs w:val="36"/>
          <w:rtl/>
          <w:lang w:bidi="ar-EG"/>
        </w:rPr>
        <w:lastRenderedPageBreak/>
        <w:t>استخدام ميزانية المشروع (حسب فئة التكلفة)</w:t>
      </w:r>
    </w:p>
    <w:p w14:paraId="48BC0682" w14:textId="77777777" w:rsidR="00BD3831" w:rsidRPr="00E551B2" w:rsidRDefault="00BD3831" w:rsidP="0031289D">
      <w:pPr>
        <w:keepNext/>
        <w:keepLines/>
        <w:autoSpaceDE w:val="0"/>
        <w:autoSpaceDN w:val="0"/>
        <w:bidi/>
        <w:adjustRightInd w:val="0"/>
        <w:spacing w:after="120"/>
        <w:jc w:val="center"/>
        <w:rPr>
          <w:rFonts w:ascii="Arabic Typesetting" w:hAnsi="Arabic Typesetting" w:cs="Arabic Typesetting"/>
          <w:iCs/>
          <w:sz w:val="36"/>
          <w:szCs w:val="36"/>
          <w:lang w:bidi="ar-EG"/>
        </w:rPr>
      </w:pPr>
      <w:r w:rsidRPr="00E551B2">
        <w:rPr>
          <w:rFonts w:ascii="Arabic Typesetting" w:hAnsi="Arabic Typesetting" w:cs="Arabic Typesetting"/>
          <w:iCs/>
          <w:sz w:val="36"/>
          <w:szCs w:val="36"/>
          <w:rtl/>
          <w:lang w:bidi="ar-EG"/>
        </w:rPr>
        <w:t>(</w:t>
      </w:r>
      <w:r>
        <w:rPr>
          <w:rFonts w:ascii="Arabic Typesetting" w:hAnsi="Arabic Typesetting" w:cs="Arabic Typesetting"/>
          <w:iCs/>
          <w:sz w:val="36"/>
          <w:szCs w:val="36"/>
          <w:rtl/>
          <w:lang w:bidi="ar-EG"/>
        </w:rPr>
        <w:t>بالفرنك السويسري، في 31 ديسمبر 2016</w:t>
      </w:r>
      <w:r w:rsidRPr="00E551B2">
        <w:rPr>
          <w:rFonts w:ascii="Arabic Typesetting" w:hAnsi="Arabic Typesetting" w:cs="Arabic Typesetting"/>
          <w:iCs/>
          <w:sz w:val="36"/>
          <w:szCs w:val="36"/>
          <w:rtl/>
          <w:lang w:bidi="ar-EG"/>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2008"/>
        <w:gridCol w:w="2008"/>
        <w:gridCol w:w="2006"/>
      </w:tblGrid>
      <w:tr w:rsidR="00BD3831" w:rsidRPr="00FA719C" w14:paraId="630B47F8" w14:textId="77777777" w:rsidTr="00DF6715">
        <w:trPr>
          <w:trHeight w:val="569"/>
        </w:trPr>
        <w:tc>
          <w:tcPr>
            <w:tcW w:w="1854" w:type="pct"/>
            <w:shd w:val="clear" w:color="auto" w:fill="C6D9F1"/>
            <w:vAlign w:val="center"/>
          </w:tcPr>
          <w:p w14:paraId="705293FF" w14:textId="77777777" w:rsidR="00BD3831" w:rsidRPr="00FA719C" w:rsidRDefault="00BD3831" w:rsidP="0031289D">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rPr>
            </w:pPr>
            <w:r w:rsidRPr="00FA719C">
              <w:rPr>
                <w:rFonts w:ascii="Arabic Typesetting" w:hAnsi="Arabic Typesetting" w:cs="Arabic Typesetting"/>
                <w:bCs/>
                <w:sz w:val="28"/>
                <w:szCs w:val="28"/>
                <w:rtl/>
                <w:lang w:bidi="ar-EG"/>
              </w:rPr>
              <w:t>فئة التكلفة</w:t>
            </w:r>
          </w:p>
        </w:tc>
        <w:tc>
          <w:tcPr>
            <w:tcW w:w="1049" w:type="pct"/>
            <w:shd w:val="clear" w:color="auto" w:fill="C6D9F1"/>
            <w:vAlign w:val="center"/>
          </w:tcPr>
          <w:p w14:paraId="2B04979F" w14:textId="77777777" w:rsidR="00BD3831" w:rsidRPr="00FA719C" w:rsidRDefault="00BD3831" w:rsidP="0031289D">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14:paraId="6A397D82" w14:textId="77777777" w:rsidR="00BD3831" w:rsidRPr="00FA719C" w:rsidRDefault="00BD3831" w:rsidP="0031289D">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النفقات الفعلية حتى تاريخه</w:t>
            </w:r>
            <w:r w:rsidRPr="00FA719C">
              <w:rPr>
                <w:rFonts w:ascii="Arabic Typesetting" w:hAnsi="Arabic Typesetting" w:cs="Arabic Typesetting"/>
                <w:b/>
                <w:sz w:val="28"/>
                <w:szCs w:val="28"/>
              </w:rPr>
              <w:t xml:space="preserve"> </w:t>
            </w:r>
          </w:p>
        </w:tc>
        <w:tc>
          <w:tcPr>
            <w:tcW w:w="1048" w:type="pct"/>
            <w:shd w:val="clear" w:color="auto" w:fill="C6D9F1"/>
            <w:vAlign w:val="center"/>
          </w:tcPr>
          <w:p w14:paraId="3A90E0C2" w14:textId="77777777" w:rsidR="00BD3831" w:rsidRPr="00FA719C" w:rsidRDefault="00BD3831" w:rsidP="0031289D">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الاستخدام الفعلي للميزانية</w:t>
            </w:r>
          </w:p>
        </w:tc>
      </w:tr>
      <w:tr w:rsidR="00BD3831" w:rsidRPr="00FA719C" w14:paraId="63C5AF29" w14:textId="77777777" w:rsidTr="00DF6715">
        <w:tc>
          <w:tcPr>
            <w:tcW w:w="1854" w:type="pct"/>
            <w:vAlign w:val="center"/>
          </w:tcPr>
          <w:p w14:paraId="42D4D899"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التكاليف المتعلقة بالبناء</w:t>
            </w:r>
          </w:p>
        </w:tc>
        <w:tc>
          <w:tcPr>
            <w:tcW w:w="1049" w:type="pct"/>
            <w:vAlign w:val="center"/>
          </w:tcPr>
          <w:p w14:paraId="7A8647CF"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3</w:t>
            </w:r>
            <w:r>
              <w:rPr>
                <w:rFonts w:ascii="Arabic Typesetting" w:hAnsi="Arabic Typesetting" w:cs="Arabic Typesetting"/>
                <w:sz w:val="28"/>
                <w:szCs w:val="28"/>
              </w:rPr>
              <w:t> </w:t>
            </w:r>
            <w:r w:rsidRPr="00FA719C">
              <w:rPr>
                <w:rFonts w:ascii="Arabic Typesetting" w:hAnsi="Arabic Typesetting" w:cs="Arabic Typesetting"/>
                <w:sz w:val="28"/>
                <w:szCs w:val="28"/>
              </w:rPr>
              <w:t>569</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1049" w:type="pct"/>
            <w:vAlign w:val="center"/>
          </w:tcPr>
          <w:p w14:paraId="0C7DD56D"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1048" w:type="pct"/>
            <w:vAlign w:val="center"/>
          </w:tcPr>
          <w:p w14:paraId="52716893"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r>
      <w:tr w:rsidR="00BD3831" w:rsidRPr="00FA719C" w14:paraId="0155D104" w14:textId="77777777" w:rsidTr="00DF6715">
        <w:tc>
          <w:tcPr>
            <w:tcW w:w="1854" w:type="pct"/>
            <w:vAlign w:val="center"/>
          </w:tcPr>
          <w:p w14:paraId="31DD96FB"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الأتعاب</w:t>
            </w:r>
          </w:p>
        </w:tc>
        <w:tc>
          <w:tcPr>
            <w:tcW w:w="1049" w:type="pct"/>
            <w:vAlign w:val="center"/>
          </w:tcPr>
          <w:p w14:paraId="1CF5E1EB"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1</w:t>
            </w:r>
            <w:r>
              <w:rPr>
                <w:rFonts w:ascii="Arabic Typesetting" w:hAnsi="Arabic Typesetting" w:cs="Arabic Typesetting"/>
                <w:sz w:val="28"/>
                <w:szCs w:val="28"/>
              </w:rPr>
              <w:t> </w:t>
            </w:r>
            <w:r w:rsidRPr="00FA719C">
              <w:rPr>
                <w:rFonts w:ascii="Arabic Typesetting" w:hAnsi="Arabic Typesetting" w:cs="Arabic Typesetting"/>
                <w:sz w:val="28"/>
                <w:szCs w:val="28"/>
              </w:rPr>
              <w:t>024</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1049" w:type="pct"/>
            <w:vAlign w:val="center"/>
          </w:tcPr>
          <w:p w14:paraId="1FE8B9D5"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221</w:t>
            </w:r>
            <w:r>
              <w:rPr>
                <w:rFonts w:ascii="Arabic Typesetting" w:hAnsi="Arabic Typesetting" w:cs="Arabic Typesetting"/>
                <w:sz w:val="28"/>
                <w:szCs w:val="28"/>
              </w:rPr>
              <w:t> </w:t>
            </w:r>
            <w:r w:rsidRPr="00FA719C">
              <w:rPr>
                <w:rFonts w:ascii="Arabic Typesetting" w:hAnsi="Arabic Typesetting" w:cs="Arabic Typesetting"/>
                <w:sz w:val="28"/>
                <w:szCs w:val="28"/>
              </w:rPr>
              <w:t>490</w:t>
            </w:r>
          </w:p>
        </w:tc>
        <w:tc>
          <w:tcPr>
            <w:tcW w:w="1048" w:type="pct"/>
            <w:vAlign w:val="center"/>
          </w:tcPr>
          <w:p w14:paraId="3E2DE277"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%21.6</w:t>
            </w:r>
          </w:p>
        </w:tc>
      </w:tr>
      <w:tr w:rsidR="00BD3831" w:rsidRPr="00FA719C" w14:paraId="38195006" w14:textId="77777777" w:rsidTr="00DF6715">
        <w:tc>
          <w:tcPr>
            <w:tcW w:w="1854" w:type="pct"/>
            <w:vAlign w:val="center"/>
          </w:tcPr>
          <w:p w14:paraId="54403B80"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الموارد الداخلية/الخارجية</w:t>
            </w:r>
          </w:p>
        </w:tc>
        <w:tc>
          <w:tcPr>
            <w:tcW w:w="1049" w:type="pct"/>
            <w:vAlign w:val="center"/>
          </w:tcPr>
          <w:p w14:paraId="3F378E6B"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867</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1049" w:type="pct"/>
            <w:vAlign w:val="center"/>
          </w:tcPr>
          <w:p w14:paraId="515F79E9"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211</w:t>
            </w:r>
            <w:r>
              <w:rPr>
                <w:rFonts w:ascii="Arabic Typesetting" w:hAnsi="Arabic Typesetting" w:cs="Arabic Typesetting"/>
                <w:sz w:val="28"/>
                <w:szCs w:val="28"/>
              </w:rPr>
              <w:t> </w:t>
            </w:r>
            <w:r w:rsidRPr="00FA719C">
              <w:rPr>
                <w:rFonts w:ascii="Arabic Typesetting" w:hAnsi="Arabic Typesetting" w:cs="Arabic Typesetting"/>
                <w:sz w:val="28"/>
                <w:szCs w:val="28"/>
              </w:rPr>
              <w:t>634</w:t>
            </w:r>
          </w:p>
        </w:tc>
        <w:tc>
          <w:tcPr>
            <w:tcW w:w="1048" w:type="pct"/>
            <w:vAlign w:val="center"/>
          </w:tcPr>
          <w:p w14:paraId="56D4ADB8"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%24.4</w:t>
            </w:r>
          </w:p>
        </w:tc>
      </w:tr>
      <w:tr w:rsidR="00BD3831" w:rsidRPr="00FA719C" w14:paraId="2F000D1B" w14:textId="77777777" w:rsidTr="00DF6715">
        <w:tc>
          <w:tcPr>
            <w:tcW w:w="1854" w:type="pct"/>
            <w:vAlign w:val="center"/>
          </w:tcPr>
          <w:p w14:paraId="3E1FCA66"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الرسوم</w:t>
            </w:r>
          </w:p>
        </w:tc>
        <w:tc>
          <w:tcPr>
            <w:tcW w:w="1049" w:type="pct"/>
            <w:vAlign w:val="center"/>
          </w:tcPr>
          <w:p w14:paraId="64A48B30"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120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1049" w:type="pct"/>
            <w:vAlign w:val="center"/>
          </w:tcPr>
          <w:p w14:paraId="177C8C01"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3</w:t>
            </w:r>
            <w:r>
              <w:rPr>
                <w:rFonts w:ascii="Arabic Typesetting" w:hAnsi="Arabic Typesetting" w:cs="Arabic Typesetting"/>
                <w:sz w:val="28"/>
                <w:szCs w:val="28"/>
              </w:rPr>
              <w:t> </w:t>
            </w:r>
            <w:r w:rsidRPr="00FA719C">
              <w:rPr>
                <w:rFonts w:ascii="Arabic Typesetting" w:hAnsi="Arabic Typesetting" w:cs="Arabic Typesetting"/>
                <w:sz w:val="28"/>
                <w:szCs w:val="28"/>
              </w:rPr>
              <w:t>798</w:t>
            </w:r>
          </w:p>
        </w:tc>
        <w:tc>
          <w:tcPr>
            <w:tcW w:w="1048" w:type="pct"/>
            <w:vAlign w:val="center"/>
          </w:tcPr>
          <w:p w14:paraId="2013B47E"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%3.2</w:t>
            </w:r>
          </w:p>
        </w:tc>
      </w:tr>
      <w:tr w:rsidR="00BD3831" w:rsidRPr="00FA719C" w14:paraId="76BBF775" w14:textId="77777777" w:rsidTr="00DF6715">
        <w:tc>
          <w:tcPr>
            <w:tcW w:w="1854" w:type="pct"/>
            <w:vAlign w:val="center"/>
          </w:tcPr>
          <w:p w14:paraId="30039BA7"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الأمور النثرية وغير المتوقعة</w:t>
            </w:r>
          </w:p>
        </w:tc>
        <w:tc>
          <w:tcPr>
            <w:tcW w:w="1049" w:type="pct"/>
            <w:vAlign w:val="center"/>
          </w:tcPr>
          <w:p w14:paraId="15771D27"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420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1049" w:type="pct"/>
            <w:vAlign w:val="center"/>
          </w:tcPr>
          <w:p w14:paraId="15A61F96"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1048" w:type="pct"/>
            <w:vAlign w:val="center"/>
          </w:tcPr>
          <w:p w14:paraId="21167CBC" w14:textId="77777777" w:rsidR="00BD3831" w:rsidRPr="00FA719C" w:rsidRDefault="00BD3831" w:rsidP="0031289D">
            <w:pPr>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r>
      <w:tr w:rsidR="00BD3831" w:rsidRPr="00FA719C" w14:paraId="75F8091E" w14:textId="77777777" w:rsidTr="00DF6715">
        <w:tc>
          <w:tcPr>
            <w:tcW w:w="1854" w:type="pct"/>
            <w:shd w:val="clear" w:color="auto" w:fill="C6D9F1"/>
            <w:vAlign w:val="center"/>
          </w:tcPr>
          <w:p w14:paraId="2411486E"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المجموع</w:t>
            </w:r>
          </w:p>
        </w:tc>
        <w:tc>
          <w:tcPr>
            <w:tcW w:w="1049" w:type="pct"/>
            <w:shd w:val="clear" w:color="auto" w:fill="C6D9F1"/>
            <w:vAlign w:val="center"/>
          </w:tcPr>
          <w:p w14:paraId="4614606E"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FA719C">
              <w:rPr>
                <w:rFonts w:ascii="Arabic Typesetting" w:hAnsi="Arabic Typesetting" w:cs="Arabic Typesetting"/>
                <w:b/>
                <w:sz w:val="28"/>
                <w:szCs w:val="28"/>
              </w:rPr>
              <w:t>6</w:t>
            </w:r>
            <w:r>
              <w:rPr>
                <w:rFonts w:ascii="Arabic Typesetting" w:hAnsi="Arabic Typesetting" w:cs="Arabic Typesetting"/>
                <w:b/>
                <w:sz w:val="28"/>
                <w:szCs w:val="28"/>
              </w:rPr>
              <w:t> </w:t>
            </w:r>
            <w:r w:rsidRPr="00FA719C">
              <w:rPr>
                <w:rFonts w:ascii="Arabic Typesetting" w:hAnsi="Arabic Typesetting" w:cs="Arabic Typesetting"/>
                <w:b/>
                <w:sz w:val="28"/>
                <w:szCs w:val="28"/>
              </w:rPr>
              <w:t>000</w:t>
            </w:r>
            <w:r>
              <w:rPr>
                <w:rFonts w:ascii="Arabic Typesetting" w:hAnsi="Arabic Typesetting" w:cs="Arabic Typesetting"/>
                <w:b/>
                <w:sz w:val="28"/>
                <w:szCs w:val="28"/>
              </w:rPr>
              <w:t> </w:t>
            </w:r>
            <w:r w:rsidRPr="00FA719C">
              <w:rPr>
                <w:rFonts w:ascii="Arabic Typesetting" w:hAnsi="Arabic Typesetting" w:cs="Arabic Typesetting"/>
                <w:b/>
                <w:sz w:val="28"/>
                <w:szCs w:val="28"/>
              </w:rPr>
              <w:t>000</w:t>
            </w:r>
          </w:p>
        </w:tc>
        <w:tc>
          <w:tcPr>
            <w:tcW w:w="1049" w:type="pct"/>
            <w:shd w:val="clear" w:color="auto" w:fill="C6D9F1"/>
            <w:vAlign w:val="center"/>
          </w:tcPr>
          <w:p w14:paraId="16C425D8"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FA719C">
              <w:rPr>
                <w:rFonts w:ascii="Arabic Typesetting" w:hAnsi="Arabic Typesetting" w:cs="Arabic Typesetting"/>
                <w:b/>
                <w:sz w:val="28"/>
                <w:szCs w:val="28"/>
              </w:rPr>
              <w:t>436</w:t>
            </w:r>
            <w:r>
              <w:rPr>
                <w:rFonts w:ascii="Arabic Typesetting" w:hAnsi="Arabic Typesetting" w:cs="Arabic Typesetting"/>
                <w:b/>
                <w:sz w:val="28"/>
                <w:szCs w:val="28"/>
              </w:rPr>
              <w:t> </w:t>
            </w:r>
            <w:r w:rsidRPr="00FA719C">
              <w:rPr>
                <w:rFonts w:ascii="Arabic Typesetting" w:hAnsi="Arabic Typesetting" w:cs="Arabic Typesetting"/>
                <w:b/>
                <w:sz w:val="28"/>
                <w:szCs w:val="28"/>
              </w:rPr>
              <w:t>922</w:t>
            </w:r>
          </w:p>
        </w:tc>
        <w:tc>
          <w:tcPr>
            <w:tcW w:w="1048" w:type="pct"/>
            <w:shd w:val="clear" w:color="auto" w:fill="C6D9F1"/>
          </w:tcPr>
          <w:p w14:paraId="7DEC86B0"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FA719C">
              <w:rPr>
                <w:rFonts w:ascii="Arabic Typesetting" w:hAnsi="Arabic Typesetting" w:cs="Arabic Typesetting"/>
                <w:b/>
                <w:sz w:val="28"/>
                <w:szCs w:val="28"/>
              </w:rPr>
              <w:t>%7.3</w:t>
            </w:r>
          </w:p>
        </w:tc>
      </w:tr>
    </w:tbl>
    <w:p w14:paraId="4782B56A" w14:textId="77777777" w:rsidR="00BD3831" w:rsidRPr="00E551B2" w:rsidRDefault="00BD3831" w:rsidP="0031289D">
      <w:pPr>
        <w:keepNext/>
        <w:bidi/>
        <w:spacing w:before="120" w:after="120" w:line="340" w:lineRule="exact"/>
        <w:rPr>
          <w:rFonts w:ascii="Arabic Typesetting" w:hAnsi="Arabic Typesetting" w:cs="Arabic Typesetting"/>
          <w:sz w:val="34"/>
          <w:szCs w:val="34"/>
          <w:lang w:val="fr-CH"/>
        </w:rPr>
      </w:pPr>
      <w:r w:rsidRPr="00E551B2">
        <w:rPr>
          <w:rFonts w:ascii="Arabic Typesetting" w:hAnsi="Arabic Typesetting" w:cs="Arabic Typesetting"/>
          <w:sz w:val="34"/>
          <w:szCs w:val="34"/>
          <w:rtl/>
          <w:lang w:val="fr-CH"/>
        </w:rPr>
        <w:t>المخاطر واستراتيجيات التخفيف من آثارها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BD3831" w:rsidRPr="00E551B2" w14:paraId="0F6A098C" w14:textId="77777777" w:rsidTr="00DF6715">
        <w:trPr>
          <w:cantSplit/>
          <w:trHeight w:val="308"/>
          <w:tblHeader/>
          <w:jc w:val="center"/>
        </w:trPr>
        <w:tc>
          <w:tcPr>
            <w:tcW w:w="1667" w:type="pct"/>
            <w:shd w:val="clear" w:color="auto" w:fill="C6D9F1"/>
            <w:vAlign w:val="center"/>
          </w:tcPr>
          <w:p w14:paraId="7C768489" w14:textId="77777777" w:rsidR="00BD3831" w:rsidRPr="00E551B2" w:rsidRDefault="00BD3831" w:rsidP="0031289D">
            <w:pPr>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المخاطر</w:t>
            </w:r>
            <w:r w:rsidRPr="00E551B2">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14:paraId="69C78496" w14:textId="77777777" w:rsidR="00BD3831" w:rsidRPr="00E551B2" w:rsidRDefault="00BD3831" w:rsidP="0031289D">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14:paraId="26366268" w14:textId="77777777" w:rsidR="00BD3831" w:rsidRPr="00E551B2" w:rsidRDefault="00BD3831" w:rsidP="0031289D">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التعليقات</w:t>
            </w:r>
          </w:p>
        </w:tc>
      </w:tr>
      <w:tr w:rsidR="00BD3831" w:rsidRPr="00E551B2" w14:paraId="0D85689F" w14:textId="77777777" w:rsidTr="00DF6715">
        <w:trPr>
          <w:cantSplit/>
          <w:trHeight w:val="776"/>
          <w:jc w:val="center"/>
        </w:trPr>
        <w:tc>
          <w:tcPr>
            <w:tcW w:w="1667" w:type="pct"/>
          </w:tcPr>
          <w:p w14:paraId="71FD0A8F"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rPr>
            </w:pPr>
            <w:r w:rsidRPr="00E551B2">
              <w:rPr>
                <w:rFonts w:ascii="Arabic Typesetting" w:hAnsi="Arabic Typesetting" w:cs="Arabic Typesetting"/>
                <w:color w:val="000000"/>
                <w:sz w:val="28"/>
                <w:szCs w:val="28"/>
                <w:rtl/>
                <w:lang w:bidi="ar-EG"/>
              </w:rPr>
              <w:t>التأخر في بدء الأعمال</w:t>
            </w:r>
            <w:r w:rsidRPr="00E551B2">
              <w:rPr>
                <w:rFonts w:ascii="Arabic Typesetting" w:hAnsi="Arabic Typesetting" w:cs="Arabic Typesetting" w:hint="cs"/>
                <w:color w:val="000000"/>
                <w:sz w:val="28"/>
                <w:szCs w:val="28"/>
                <w:rtl/>
                <w:lang w:bidi="ar-EG"/>
              </w:rPr>
              <w:t xml:space="preserve"> بسبب اعتماد ذلك</w:t>
            </w:r>
            <w:r w:rsidRPr="00E551B2">
              <w:rPr>
                <w:rFonts w:ascii="Arabic Typesetting" w:hAnsi="Arabic Typesetting" w:cs="Arabic Typesetting"/>
                <w:color w:val="000000"/>
                <w:sz w:val="28"/>
                <w:szCs w:val="28"/>
                <w:rtl/>
                <w:lang w:bidi="ar-EG"/>
              </w:rPr>
              <w:t xml:space="preserve"> على الوقت المطلوب لاختيار الحل التقني</w:t>
            </w:r>
          </w:p>
        </w:tc>
        <w:tc>
          <w:tcPr>
            <w:tcW w:w="1667" w:type="pct"/>
          </w:tcPr>
          <w:p w14:paraId="138B13D3"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rPr>
            </w:pPr>
            <w:r w:rsidRPr="00E551B2">
              <w:rPr>
                <w:rFonts w:ascii="Arabic Typesetting" w:hAnsi="Arabic Typesetting" w:cs="Arabic Typesetting" w:hint="cs"/>
                <w:sz w:val="28"/>
                <w:szCs w:val="28"/>
                <w:rtl/>
              </w:rPr>
              <w:t>تعديل الجدول الزمني للأعمال</w:t>
            </w:r>
          </w:p>
        </w:tc>
        <w:tc>
          <w:tcPr>
            <w:tcW w:w="1666" w:type="pct"/>
          </w:tcPr>
          <w:p w14:paraId="59845380" w14:textId="77777777" w:rsidR="00BD3831" w:rsidRDefault="00BD3831" w:rsidP="0031289D">
            <w:pPr>
              <w:autoSpaceDE w:val="0"/>
              <w:autoSpaceDN w:val="0"/>
              <w:bidi/>
              <w:adjustRightInd w:val="0"/>
              <w:spacing w:before="40" w:after="40"/>
              <w:rPr>
                <w:rFonts w:ascii="Arabic Typesetting" w:hAnsi="Arabic Typesetting" w:cs="Arabic Typesetting"/>
                <w:sz w:val="28"/>
                <w:szCs w:val="28"/>
                <w:rtl/>
              </w:rPr>
            </w:pPr>
            <w:r w:rsidRPr="00E551B2">
              <w:rPr>
                <w:rFonts w:ascii="Arabic Typesetting" w:hAnsi="Arabic Typesetting" w:cs="Arabic Typesetting" w:hint="cs"/>
                <w:sz w:val="28"/>
                <w:szCs w:val="28"/>
                <w:rtl/>
              </w:rPr>
              <w:t>بسبب الإقفال النهائي لمشروع قاعة المؤتمرات الجديدة، الذي استغرق مدة أطول من المدة المتوقعة، أرجئ الجدول الزمني للمشروع مرّة أخرى، مع توقّع بدء الأعمال في الفصل الثالث من 2017 مقابل الفصل الأول من 2017 كما حُدّد سابقا. ولم تُسجّل أية أثار مادية على نتائج المشروع الممكن تحقيقها.</w:t>
            </w:r>
          </w:p>
          <w:p w14:paraId="44844B23" w14:textId="77777777" w:rsidR="00BD3831" w:rsidRDefault="00BD3831" w:rsidP="0031289D">
            <w:pPr>
              <w:autoSpaceDE w:val="0"/>
              <w:autoSpaceDN w:val="0"/>
              <w:bidi/>
              <w:adjustRightInd w:val="0"/>
              <w:spacing w:before="40" w:after="40"/>
              <w:rPr>
                <w:rFonts w:ascii="Arabic Typesetting" w:hAnsi="Arabic Typesetting" w:cs="Arabic Typesetting"/>
                <w:iCs/>
                <w:sz w:val="28"/>
                <w:szCs w:val="28"/>
                <w:rtl/>
              </w:rPr>
            </w:pPr>
          </w:p>
          <w:p w14:paraId="22435E4D"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rPr>
            </w:pPr>
            <w:r>
              <w:rPr>
                <w:rFonts w:ascii="Arabic Typesetting" w:hAnsi="Arabic Typesetting" w:cs="Arabic Typesetting" w:hint="cs"/>
                <w:iCs/>
                <w:sz w:val="28"/>
                <w:szCs w:val="28"/>
                <w:rtl/>
              </w:rPr>
              <w:t>أُغلق ذلك الخطر.</w:t>
            </w:r>
          </w:p>
        </w:tc>
      </w:tr>
      <w:tr w:rsidR="00BD3831" w:rsidRPr="00E551B2" w14:paraId="59FDF922" w14:textId="77777777" w:rsidTr="00DF6715">
        <w:trPr>
          <w:cantSplit/>
          <w:trHeight w:val="776"/>
          <w:jc w:val="center"/>
        </w:trPr>
        <w:tc>
          <w:tcPr>
            <w:tcW w:w="1667" w:type="pct"/>
          </w:tcPr>
          <w:p w14:paraId="520B5B86" w14:textId="749B7CAB" w:rsidR="00BD3831" w:rsidRPr="00E551B2" w:rsidRDefault="00BD3831" w:rsidP="00D02C02">
            <w:pPr>
              <w:autoSpaceDE w:val="0"/>
              <w:autoSpaceDN w:val="0"/>
              <w:bidi/>
              <w:adjustRightInd w:val="0"/>
              <w:spacing w:before="40" w:after="40"/>
              <w:rPr>
                <w:rFonts w:ascii="Arabic Typesetting" w:hAnsi="Arabic Typesetting" w:cs="Arabic Typesetting"/>
                <w:sz w:val="28"/>
                <w:szCs w:val="28"/>
                <w:rtl/>
                <w:lang w:bidi="ar-EG"/>
              </w:rPr>
            </w:pPr>
            <w:r w:rsidRPr="00E551B2">
              <w:rPr>
                <w:rFonts w:ascii="Arabic Typesetting" w:hAnsi="Arabic Typesetting" w:cs="Arabic Typesetting"/>
                <w:color w:val="000000"/>
                <w:sz w:val="28"/>
                <w:szCs w:val="28"/>
                <w:rtl/>
                <w:lang w:bidi="ar-EG"/>
              </w:rPr>
              <w:t>التأخر في التكليف بأعمال التجديد</w:t>
            </w:r>
            <w:r w:rsidRPr="00E551B2">
              <w:rPr>
                <w:rFonts w:ascii="Arabic Typesetting" w:hAnsi="Arabic Typesetting" w:cs="Arabic Typesetting" w:hint="cs"/>
                <w:color w:val="000000"/>
                <w:sz w:val="28"/>
                <w:szCs w:val="28"/>
                <w:rtl/>
                <w:lang w:bidi="ar-EG"/>
              </w:rPr>
              <w:t xml:space="preserve"> </w:t>
            </w:r>
            <w:r w:rsidRPr="00E551B2">
              <w:rPr>
                <w:rFonts w:ascii="Arabic Typesetting" w:hAnsi="Arabic Typesetting" w:cs="Arabic Typesetting"/>
                <w:color w:val="000000"/>
                <w:sz w:val="28"/>
                <w:szCs w:val="28"/>
                <w:rtl/>
                <w:lang w:bidi="ar-EG"/>
              </w:rPr>
              <w:t>بسبب الحل التقني المختار</w:t>
            </w:r>
            <w:r w:rsidRPr="00E551B2">
              <w:rPr>
                <w:rFonts w:ascii="Arabic Typesetting" w:hAnsi="Arabic Typesetting" w:cs="Arabic Typesetting" w:hint="cs"/>
                <w:color w:val="000000"/>
                <w:sz w:val="28"/>
                <w:szCs w:val="28"/>
                <w:rtl/>
                <w:lang w:bidi="ar-EG"/>
              </w:rPr>
              <w:t xml:space="preserve"> و/أو </w:t>
            </w:r>
            <w:r w:rsidR="00D02C02">
              <w:rPr>
                <w:rFonts w:ascii="Arabic Typesetting" w:hAnsi="Arabic Typesetting" w:cs="Arabic Typesetting" w:hint="cs"/>
                <w:color w:val="000000"/>
                <w:sz w:val="28"/>
                <w:szCs w:val="28"/>
                <w:rtl/>
                <w:lang w:bidi="ar-EG"/>
              </w:rPr>
              <w:t>الترتيبات اللوجستية</w:t>
            </w:r>
            <w:r w:rsidRPr="00E551B2">
              <w:rPr>
                <w:rFonts w:ascii="Arabic Typesetting" w:hAnsi="Arabic Typesetting" w:cs="Arabic Typesetting"/>
                <w:color w:val="000000"/>
                <w:sz w:val="28"/>
                <w:szCs w:val="28"/>
                <w:rtl/>
                <w:lang w:bidi="ar-EG"/>
              </w:rPr>
              <w:t xml:space="preserve"> الداخلية المتعلقة بنقل مقرات المكاتب</w:t>
            </w:r>
          </w:p>
        </w:tc>
        <w:tc>
          <w:tcPr>
            <w:tcW w:w="1667" w:type="pct"/>
          </w:tcPr>
          <w:p w14:paraId="18C313A0" w14:textId="77777777" w:rsidR="00BD3831" w:rsidRPr="00E551B2" w:rsidRDefault="00BD3831" w:rsidP="0031289D">
            <w:pPr>
              <w:autoSpaceDE w:val="0"/>
              <w:autoSpaceDN w:val="0"/>
              <w:bidi/>
              <w:adjustRightInd w:val="0"/>
              <w:spacing w:before="40" w:after="40"/>
              <w:ind w:left="284" w:hanging="284"/>
              <w:rPr>
                <w:rFonts w:ascii="Arabic Typesetting" w:hAnsi="Arabic Typesetting" w:cs="Arabic Typesetting"/>
                <w:sz w:val="28"/>
                <w:szCs w:val="28"/>
                <w:rtl/>
                <w:lang w:bidi="ar-EG"/>
              </w:rPr>
            </w:pPr>
            <w:r w:rsidRPr="00E551B2">
              <w:rPr>
                <w:rFonts w:ascii="Arabic Typesetting" w:hAnsi="Arabic Typesetting" w:cs="Arabic Typesetting" w:hint="cs"/>
                <w:color w:val="000000"/>
                <w:sz w:val="28"/>
                <w:szCs w:val="28"/>
                <w:rtl/>
                <w:lang w:bidi="ar-EG"/>
              </w:rPr>
              <w:t>-</w:t>
            </w:r>
            <w:r w:rsidRPr="00E551B2">
              <w:rPr>
                <w:rFonts w:ascii="Arabic Typesetting" w:hAnsi="Arabic Typesetting" w:cs="Arabic Typesetting"/>
                <w:color w:val="000000"/>
                <w:sz w:val="28"/>
                <w:szCs w:val="28"/>
                <w:rtl/>
                <w:lang w:bidi="ar-EG"/>
              </w:rPr>
              <w:tab/>
              <w:t>تقييم اختيار الحل التقني</w:t>
            </w:r>
          </w:p>
          <w:p w14:paraId="0ED4A2D7" w14:textId="77777777" w:rsidR="00BD3831" w:rsidRPr="00E551B2" w:rsidRDefault="00BD3831" w:rsidP="0031289D">
            <w:pPr>
              <w:autoSpaceDE w:val="0"/>
              <w:autoSpaceDN w:val="0"/>
              <w:bidi/>
              <w:adjustRightInd w:val="0"/>
              <w:spacing w:before="40" w:after="40"/>
              <w:ind w:left="284" w:hanging="284"/>
              <w:rPr>
                <w:rFonts w:ascii="Arabic Typesetting" w:hAnsi="Arabic Typesetting" w:cs="Arabic Typesetting"/>
                <w:sz w:val="28"/>
                <w:szCs w:val="28"/>
              </w:rPr>
            </w:pPr>
            <w:r w:rsidRPr="00E551B2">
              <w:rPr>
                <w:rFonts w:ascii="Arabic Typesetting" w:hAnsi="Arabic Typesetting" w:cs="Arabic Typesetting" w:hint="cs"/>
                <w:sz w:val="28"/>
                <w:szCs w:val="28"/>
                <w:rtl/>
              </w:rPr>
              <w:t>-</w:t>
            </w:r>
            <w:r w:rsidRPr="00E551B2">
              <w:rPr>
                <w:rFonts w:ascii="Arabic Typesetting" w:hAnsi="Arabic Typesetting" w:cs="Arabic Typesetting"/>
                <w:sz w:val="28"/>
                <w:szCs w:val="28"/>
                <w:rtl/>
              </w:rPr>
              <w:tab/>
            </w:r>
            <w:r w:rsidRPr="00E551B2">
              <w:rPr>
                <w:rFonts w:ascii="Arabic Typesetting" w:hAnsi="Arabic Typesetting" w:cs="Arabic Typesetting"/>
                <w:sz w:val="28"/>
                <w:szCs w:val="28"/>
                <w:rtl/>
                <w:lang w:bidi="ar-EG"/>
              </w:rPr>
              <w:t xml:space="preserve">التقييم </w:t>
            </w:r>
            <w:r w:rsidRPr="00E551B2">
              <w:rPr>
                <w:rFonts w:ascii="Arabic Typesetting" w:hAnsi="Arabic Typesetting" w:cs="Arabic Typesetting"/>
                <w:color w:val="000000"/>
                <w:sz w:val="28"/>
                <w:szCs w:val="28"/>
                <w:rtl/>
                <w:lang w:bidi="ar-EG"/>
              </w:rPr>
              <w:t>بغرض</w:t>
            </w:r>
            <w:r w:rsidRPr="00E551B2">
              <w:rPr>
                <w:rFonts w:ascii="Arabic Typesetting" w:hAnsi="Arabic Typesetting" w:cs="Arabic Typesetting"/>
                <w:sz w:val="28"/>
                <w:szCs w:val="28"/>
                <w:rtl/>
                <w:lang w:bidi="ar-EG"/>
              </w:rPr>
              <w:t xml:space="preserve"> تقصير الجدول الزمني</w:t>
            </w:r>
          </w:p>
          <w:p w14:paraId="0E77D10C" w14:textId="77777777" w:rsidR="00BD3831" w:rsidRPr="00E551B2" w:rsidRDefault="00BD3831" w:rsidP="0031289D">
            <w:pPr>
              <w:autoSpaceDE w:val="0"/>
              <w:autoSpaceDN w:val="0"/>
              <w:bidi/>
              <w:adjustRightInd w:val="0"/>
              <w:spacing w:before="40" w:after="40"/>
              <w:ind w:left="284" w:hanging="284"/>
              <w:rPr>
                <w:rFonts w:ascii="Arabic Typesetting" w:hAnsi="Arabic Typesetting" w:cs="Arabic Typesetting"/>
                <w:color w:val="000000"/>
                <w:sz w:val="28"/>
                <w:szCs w:val="28"/>
                <w:rtl/>
              </w:rPr>
            </w:pPr>
            <w:r w:rsidRPr="00E551B2">
              <w:rPr>
                <w:rFonts w:ascii="Arabic Typesetting" w:hAnsi="Arabic Typesetting" w:cs="Arabic Typesetting" w:hint="cs"/>
                <w:color w:val="000000"/>
                <w:sz w:val="28"/>
                <w:szCs w:val="28"/>
                <w:rtl/>
              </w:rPr>
              <w:t>-</w:t>
            </w:r>
            <w:r w:rsidRPr="00E551B2">
              <w:rPr>
                <w:rFonts w:ascii="Arabic Typesetting" w:hAnsi="Arabic Typesetting" w:cs="Arabic Typesetting"/>
                <w:color w:val="000000"/>
                <w:sz w:val="28"/>
                <w:szCs w:val="28"/>
                <w:rtl/>
              </w:rPr>
              <w:tab/>
            </w:r>
            <w:r w:rsidRPr="00E551B2">
              <w:rPr>
                <w:rFonts w:ascii="Arabic Typesetting" w:hAnsi="Arabic Typesetting" w:cs="Arabic Typesetting"/>
                <w:color w:val="000000"/>
                <w:sz w:val="28"/>
                <w:szCs w:val="28"/>
                <w:rtl/>
                <w:lang w:bidi="ar-EG"/>
              </w:rPr>
              <w:t>التخطيط جنب</w:t>
            </w:r>
            <w:r>
              <w:rPr>
                <w:rFonts w:ascii="Arabic Typesetting" w:hAnsi="Arabic Typesetting" w:cs="Arabic Typesetting"/>
                <w:color w:val="000000"/>
                <w:sz w:val="28"/>
                <w:szCs w:val="28"/>
                <w:rtl/>
                <w:lang w:bidi="ar-EG"/>
              </w:rPr>
              <w:t>اً</w:t>
            </w:r>
            <w:r w:rsidRPr="00E551B2">
              <w:rPr>
                <w:rFonts w:ascii="Arabic Typesetting" w:hAnsi="Arabic Typesetting" w:cs="Arabic Typesetting"/>
                <w:color w:val="000000"/>
                <w:sz w:val="28"/>
                <w:szCs w:val="28"/>
                <w:rtl/>
                <w:lang w:bidi="ar-EG"/>
              </w:rPr>
              <w:t xml:space="preserve"> إلى جنب مع أقسام معاهدة التعاون بشأن البراءات وتكنولوجيا المعلومات والاتصالات وتنسيق شؤون السلامة والأمن</w:t>
            </w:r>
          </w:p>
        </w:tc>
        <w:tc>
          <w:tcPr>
            <w:tcW w:w="1666" w:type="pct"/>
          </w:tcPr>
          <w:p w14:paraId="259B8304"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يشمل الجدول الزمني الحالي للتنفيذ نحو 15 مجموعة متكررة مما يلي: "1" نقل الموظفين من أماكنهم إلى مكان مؤقت مجهز خصيصاً لهم؛ "2" وإنجاز أعمال استبدال الأسقف المعلقة؛ "3" وإعادة نقل الموظفين إلى الأماكن المجددة. وكان ذلك نتيجة فحص معمق ودقيق للتوازن اللازم بين أفضل طريقة لإجراء الأعمال تماشياً مع الحلول التقنية المختارة وأولويات وحدات الأعمال الواقعة في المبنى. وستُجرى أعمال الواجهة من دون التأثير في العاملين في المبنى وإن تتطلب ذلك أحياناً تغيير طريقة المرور حول المبنى أو</w:t>
            </w:r>
            <w:r>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الحد منه.</w:t>
            </w:r>
          </w:p>
        </w:tc>
      </w:tr>
      <w:tr w:rsidR="00BD3831" w:rsidRPr="00E551B2" w14:paraId="57DE3B6D" w14:textId="77777777" w:rsidTr="00DF6715">
        <w:trPr>
          <w:cantSplit/>
          <w:trHeight w:val="776"/>
          <w:jc w:val="center"/>
        </w:trPr>
        <w:tc>
          <w:tcPr>
            <w:tcW w:w="1667" w:type="pct"/>
          </w:tcPr>
          <w:p w14:paraId="7F4B6E88" w14:textId="77777777" w:rsidR="00BD3831" w:rsidRPr="00E551B2" w:rsidRDefault="00BD3831" w:rsidP="0031289D">
            <w:pPr>
              <w:autoSpaceDE w:val="0"/>
              <w:autoSpaceDN w:val="0"/>
              <w:bidi/>
              <w:adjustRightInd w:val="0"/>
              <w:spacing w:before="40" w:after="40"/>
              <w:rPr>
                <w:rFonts w:ascii="Arabic Typesetting" w:hAnsi="Arabic Typesetting" w:cs="Arabic Typesetting"/>
                <w:color w:val="000000"/>
                <w:sz w:val="28"/>
                <w:szCs w:val="28"/>
                <w:rtl/>
                <w:lang w:bidi="ar-EG"/>
              </w:rPr>
            </w:pPr>
            <w:r w:rsidRPr="00E551B2">
              <w:rPr>
                <w:rFonts w:ascii="Arabic Typesetting" w:hAnsi="Arabic Typesetting" w:cs="Arabic Typesetting"/>
                <w:color w:val="000000"/>
                <w:sz w:val="28"/>
                <w:szCs w:val="28"/>
                <w:rtl/>
                <w:lang w:bidi="ar-EG"/>
              </w:rPr>
              <w:t>المخاطر المالية</w:t>
            </w:r>
            <w:r w:rsidRPr="00E551B2">
              <w:rPr>
                <w:rFonts w:ascii="Arabic Typesetting" w:hAnsi="Arabic Typesetting" w:cs="Arabic Typesetting" w:hint="cs"/>
                <w:color w:val="000000"/>
                <w:sz w:val="28"/>
                <w:szCs w:val="28"/>
                <w:rtl/>
                <w:lang w:bidi="ar-EG"/>
              </w:rPr>
              <w:t xml:space="preserve"> الناجمة عن </w:t>
            </w:r>
            <w:r w:rsidRPr="00E551B2">
              <w:rPr>
                <w:rFonts w:ascii="Arabic Typesetting" w:hAnsi="Arabic Typesetting" w:cs="Arabic Typesetting"/>
                <w:color w:val="000000"/>
                <w:sz w:val="28"/>
                <w:szCs w:val="28"/>
                <w:rtl/>
                <w:lang w:bidi="ar-EG"/>
              </w:rPr>
              <w:t>عدم كفاية الميزانية لتنفيذ الحل التقني المختار</w:t>
            </w:r>
            <w:r w:rsidRPr="00E551B2">
              <w:rPr>
                <w:rFonts w:ascii="Arabic Typesetting" w:hAnsi="Arabic Typesetting" w:cs="Arabic Typesetting" w:hint="cs"/>
                <w:color w:val="000000"/>
                <w:sz w:val="28"/>
                <w:szCs w:val="28"/>
                <w:rtl/>
                <w:lang w:bidi="ar-EG"/>
              </w:rPr>
              <w:t xml:space="preserve">. وقد </w:t>
            </w:r>
            <w:r w:rsidRPr="00E551B2">
              <w:rPr>
                <w:rFonts w:ascii="Arabic Typesetting" w:hAnsi="Arabic Typesetting" w:cs="Arabic Typesetting"/>
                <w:color w:val="000000"/>
                <w:sz w:val="28"/>
                <w:szCs w:val="28"/>
                <w:rtl/>
                <w:lang w:bidi="ar-EG"/>
              </w:rPr>
              <w:t xml:space="preserve">تكون تكاليف </w:t>
            </w:r>
            <w:r w:rsidRPr="00E551B2">
              <w:rPr>
                <w:rFonts w:ascii="Arabic Typesetting" w:hAnsi="Arabic Typesetting" w:cs="Arabic Typesetting" w:hint="cs"/>
                <w:color w:val="000000"/>
                <w:sz w:val="28"/>
                <w:szCs w:val="28"/>
                <w:rtl/>
                <w:lang w:bidi="ar-EG"/>
              </w:rPr>
              <w:t>المشروع أيضا</w:t>
            </w:r>
            <w:r w:rsidRPr="00E551B2">
              <w:rPr>
                <w:rFonts w:ascii="Arabic Typesetting" w:hAnsi="Arabic Typesetting" w:cs="Arabic Typesetting"/>
                <w:color w:val="000000"/>
                <w:sz w:val="28"/>
                <w:szCs w:val="28"/>
                <w:rtl/>
                <w:lang w:bidi="ar-EG"/>
              </w:rPr>
              <w:t xml:space="preserve"> أعلى من الميزانية المعتمدة نتيجة لحالة سوق البناء خلال طرح المناقصة على الشركات في 2016</w:t>
            </w:r>
            <w:r w:rsidRPr="00E551B2">
              <w:rPr>
                <w:rFonts w:ascii="Arabic Typesetting" w:hAnsi="Arabic Typesetting" w:cs="Arabic Typesetting" w:hint="cs"/>
                <w:color w:val="000000"/>
                <w:sz w:val="28"/>
                <w:szCs w:val="28"/>
                <w:rtl/>
                <w:lang w:bidi="ar-EG"/>
              </w:rPr>
              <w:t>.</w:t>
            </w:r>
          </w:p>
        </w:tc>
        <w:tc>
          <w:tcPr>
            <w:tcW w:w="1667" w:type="pct"/>
          </w:tcPr>
          <w:p w14:paraId="0BDC47CD"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Pr>
            </w:pPr>
            <w:r w:rsidRPr="00E551B2">
              <w:rPr>
                <w:rFonts w:ascii="Arabic Typesetting" w:hAnsi="Arabic Typesetting" w:cs="Arabic Typesetting"/>
                <w:sz w:val="28"/>
                <w:szCs w:val="28"/>
                <w:rtl/>
                <w:lang w:bidi="ar-EG"/>
              </w:rPr>
              <w:t>مراجعة اختيار الحل التقني</w:t>
            </w:r>
            <w:r w:rsidRPr="00E551B2">
              <w:rPr>
                <w:rFonts w:ascii="Arabic Typesetting" w:hAnsi="Arabic Typesetting" w:cs="Arabic Typesetting" w:hint="cs"/>
                <w:sz w:val="28"/>
                <w:szCs w:val="28"/>
                <w:rtl/>
                <w:lang w:bidi="ar-EG"/>
              </w:rPr>
              <w:t xml:space="preserve">، ورصد حالة سوق البناء </w:t>
            </w:r>
            <w:r w:rsidRPr="00E551B2">
              <w:rPr>
                <w:rFonts w:ascii="Arabic Typesetting" w:hAnsi="Arabic Typesetting" w:cs="Arabic Typesetting"/>
                <w:sz w:val="28"/>
                <w:szCs w:val="28"/>
                <w:rtl/>
                <w:lang w:bidi="ar-EG"/>
              </w:rPr>
              <w:t>–</w:t>
            </w:r>
            <w:r w:rsidRPr="00E551B2">
              <w:rPr>
                <w:rFonts w:ascii="Arabic Typesetting" w:hAnsi="Arabic Typesetting" w:cs="Arabic Typesetting" w:hint="cs"/>
                <w:sz w:val="28"/>
                <w:szCs w:val="28"/>
                <w:rtl/>
                <w:lang w:bidi="ar-EG"/>
              </w:rPr>
              <w:t xml:space="preserve"> إدراج بنود التخفيف من آثار المخاطر عند اللزوم.</w:t>
            </w:r>
          </w:p>
        </w:tc>
        <w:tc>
          <w:tcPr>
            <w:tcW w:w="1666" w:type="pct"/>
          </w:tcPr>
          <w:p w14:paraId="1CBB48A2"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لم يصدر طلب المعلومات بعد. ولا تزال المخاطر</w:t>
            </w:r>
            <w:r>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قائمة.</w:t>
            </w:r>
          </w:p>
        </w:tc>
      </w:tr>
      <w:tr w:rsidR="00BD3831" w:rsidRPr="00E551B2" w14:paraId="3E20FA6E" w14:textId="77777777" w:rsidTr="00DF6715">
        <w:trPr>
          <w:cantSplit/>
          <w:trHeight w:val="776"/>
          <w:jc w:val="center"/>
        </w:trPr>
        <w:tc>
          <w:tcPr>
            <w:tcW w:w="1667" w:type="pct"/>
          </w:tcPr>
          <w:p w14:paraId="039AB6DE" w14:textId="77777777" w:rsidR="00BD3831" w:rsidRPr="00FB2EA9" w:rsidRDefault="00BD3831" w:rsidP="0031289D">
            <w:pPr>
              <w:autoSpaceDE w:val="0"/>
              <w:autoSpaceDN w:val="0"/>
              <w:bidi/>
              <w:adjustRightInd w:val="0"/>
              <w:spacing w:before="40" w:after="40"/>
              <w:rPr>
                <w:rFonts w:ascii="Arabic Typesetting" w:hAnsi="Arabic Typesetting" w:cs="Arabic Typesetting"/>
                <w:color w:val="000000"/>
                <w:sz w:val="28"/>
                <w:szCs w:val="28"/>
                <w:rtl/>
                <w:lang w:bidi="ar-EG"/>
              </w:rPr>
            </w:pPr>
            <w:r>
              <w:rPr>
                <w:rFonts w:ascii="Arabic Typesetting" w:hAnsi="Arabic Typesetting" w:cs="Arabic Typesetting" w:hint="cs"/>
                <w:color w:val="000000"/>
                <w:sz w:val="28"/>
                <w:szCs w:val="28"/>
                <w:rtl/>
                <w:lang w:bidi="ar-EG"/>
              </w:rPr>
              <w:lastRenderedPageBreak/>
              <w:t>عدم القدرة على بدء الأعمال قبل نهاية 2017 بسبب عدم توفر الشركات للبدء وفقاً للجدول الزمني للمشروع.</w:t>
            </w:r>
          </w:p>
        </w:tc>
        <w:tc>
          <w:tcPr>
            <w:tcW w:w="1667" w:type="pct"/>
          </w:tcPr>
          <w:p w14:paraId="61661633" w14:textId="77777777" w:rsidR="00BD3831" w:rsidRDefault="00BD3831" w:rsidP="0031289D">
            <w:pPr>
              <w:autoSpaceDE w:val="0"/>
              <w:autoSpaceDN w:val="0"/>
              <w:bidi/>
              <w:adjustRightInd w:val="0"/>
              <w:spacing w:before="40" w:after="40"/>
              <w:ind w:left="284" w:hanging="284"/>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w:t>
            </w:r>
            <w:r>
              <w:rPr>
                <w:rFonts w:ascii="Arabic Typesetting" w:hAnsi="Arabic Typesetting" w:cs="Arabic Typesetting"/>
                <w:color w:val="000000"/>
                <w:sz w:val="28"/>
                <w:szCs w:val="28"/>
                <w:rtl/>
                <w:lang w:bidi="ar-EG"/>
              </w:rPr>
              <w:tab/>
            </w:r>
            <w:r>
              <w:rPr>
                <w:rFonts w:ascii="Arabic Typesetting" w:hAnsi="Arabic Typesetting" w:cs="Arabic Typesetting" w:hint="cs"/>
                <w:color w:val="000000"/>
                <w:sz w:val="28"/>
                <w:szCs w:val="28"/>
                <w:rtl/>
                <w:lang w:bidi="ar-EG"/>
              </w:rPr>
              <w:t>استعراض الجدول الزمني والأحكام التعاقدية؛</w:t>
            </w:r>
          </w:p>
          <w:p w14:paraId="246E7B2B" w14:textId="77777777" w:rsidR="00BD3831" w:rsidRPr="00FB2EA9" w:rsidRDefault="00BD3831" w:rsidP="0031289D">
            <w:pPr>
              <w:autoSpaceDE w:val="0"/>
              <w:autoSpaceDN w:val="0"/>
              <w:bidi/>
              <w:adjustRightInd w:val="0"/>
              <w:spacing w:before="40" w:after="40"/>
              <w:ind w:left="284" w:hanging="284"/>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w:t>
            </w:r>
            <w:r>
              <w:rPr>
                <w:rFonts w:ascii="Arabic Typesetting" w:hAnsi="Arabic Typesetting" w:cs="Arabic Typesetting"/>
                <w:color w:val="000000"/>
                <w:sz w:val="28"/>
                <w:szCs w:val="28"/>
                <w:rtl/>
                <w:lang w:bidi="ar-EG"/>
              </w:rPr>
              <w:tab/>
              <w:t xml:space="preserve">تقييم </w:t>
            </w:r>
            <w:r>
              <w:rPr>
                <w:rFonts w:ascii="Arabic Typesetting" w:hAnsi="Arabic Typesetting" w:cs="Arabic Typesetting" w:hint="cs"/>
                <w:color w:val="000000"/>
                <w:sz w:val="28"/>
                <w:szCs w:val="28"/>
                <w:rtl/>
                <w:lang w:bidi="ar-EG"/>
              </w:rPr>
              <w:t>مدى التأخر في تحقيق المعالم ولتكاليف الإضافية المحتملة.</w:t>
            </w:r>
          </w:p>
        </w:tc>
        <w:tc>
          <w:tcPr>
            <w:tcW w:w="1666" w:type="pct"/>
          </w:tcPr>
          <w:p w14:paraId="3D77F5E4" w14:textId="48DDA3D9" w:rsidR="00BD3831"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 xml:space="preserve">سوق البناء الحالي في </w:t>
            </w:r>
            <w:r w:rsidR="00D02C02">
              <w:rPr>
                <w:rFonts w:ascii="Arabic Typesetting" w:hAnsi="Arabic Typesetting" w:cs="Arabic Typesetting" w:hint="cs"/>
                <w:sz w:val="28"/>
                <w:szCs w:val="28"/>
                <w:rtl/>
                <w:lang w:bidi="ar-EG"/>
              </w:rPr>
              <w:t>كانتو</w:t>
            </w:r>
            <w:r w:rsidR="00D02C02">
              <w:rPr>
                <w:rFonts w:ascii="Arabic Typesetting" w:hAnsi="Arabic Typesetting" w:cs="Arabic Typesetting" w:hint="eastAsia"/>
                <w:sz w:val="28"/>
                <w:szCs w:val="28"/>
                <w:rtl/>
                <w:lang w:bidi="ar-EG"/>
              </w:rPr>
              <w:t>ن</w:t>
            </w:r>
            <w:r>
              <w:rPr>
                <w:rFonts w:ascii="Arabic Typesetting" w:hAnsi="Arabic Typesetting" w:cs="Arabic Typesetting" w:hint="cs"/>
                <w:sz w:val="28"/>
                <w:szCs w:val="28"/>
                <w:rtl/>
                <w:lang w:bidi="ar-EG"/>
              </w:rPr>
              <w:t xml:space="preserve"> جنيف مشبَّع بسبب مواقع البناء الكبيرة التي بدأتها وكالات الأمم المتحدة الأخرى ومنظمات حكومية دولية والقطاعين العام والخاص وقطاع الإسكان.</w:t>
            </w:r>
          </w:p>
        </w:tc>
      </w:tr>
      <w:tr w:rsidR="00BD3831" w:rsidRPr="00E551B2" w14:paraId="674EB772" w14:textId="77777777" w:rsidTr="00DF6715">
        <w:trPr>
          <w:cantSplit/>
          <w:trHeight w:val="776"/>
          <w:jc w:val="center"/>
        </w:trPr>
        <w:tc>
          <w:tcPr>
            <w:tcW w:w="1667" w:type="pct"/>
          </w:tcPr>
          <w:p w14:paraId="12341632" w14:textId="77777777" w:rsidR="00BD3831" w:rsidRPr="004D2BE6" w:rsidRDefault="00BD3831" w:rsidP="0031289D">
            <w:pPr>
              <w:autoSpaceDE w:val="0"/>
              <w:autoSpaceDN w:val="0"/>
              <w:bidi/>
              <w:adjustRightInd w:val="0"/>
              <w:spacing w:before="40" w:after="40"/>
              <w:rPr>
                <w:rFonts w:ascii="Arabic Typesetting" w:hAnsi="Arabic Typesetting" w:cs="Arabic Typesetting"/>
                <w:color w:val="000000"/>
                <w:sz w:val="28"/>
                <w:szCs w:val="28"/>
                <w:lang w:bidi="ar-EG"/>
              </w:rPr>
            </w:pPr>
            <w:r>
              <w:rPr>
                <w:rFonts w:ascii="Arabic Typesetting" w:hAnsi="Arabic Typesetting" w:cs="Arabic Typesetting" w:hint="cs"/>
                <w:color w:val="000000"/>
                <w:sz w:val="28"/>
                <w:szCs w:val="28"/>
                <w:rtl/>
                <w:lang w:bidi="ar-EG"/>
              </w:rPr>
              <w:t>كشف صعوبات غير متوقعة عند بدء موقع البناء أو عند تفكيك المعدات أو التجهيزات أو الأنابيب القائمة.</w:t>
            </w:r>
          </w:p>
        </w:tc>
        <w:tc>
          <w:tcPr>
            <w:tcW w:w="1667" w:type="pct"/>
          </w:tcPr>
          <w:p w14:paraId="73443389" w14:textId="77777777" w:rsidR="00BD3831" w:rsidRDefault="00BD3831" w:rsidP="0031289D">
            <w:pPr>
              <w:autoSpaceDE w:val="0"/>
              <w:autoSpaceDN w:val="0"/>
              <w:bidi/>
              <w:adjustRightInd w:val="0"/>
              <w:spacing w:before="40" w:after="40"/>
              <w:ind w:left="284" w:hanging="284"/>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w:t>
            </w:r>
            <w:r>
              <w:rPr>
                <w:rFonts w:ascii="Arabic Typesetting" w:hAnsi="Arabic Typesetting" w:cs="Arabic Typesetting"/>
                <w:color w:val="000000"/>
                <w:sz w:val="28"/>
                <w:szCs w:val="28"/>
                <w:rtl/>
                <w:lang w:bidi="ar-EG"/>
              </w:rPr>
              <w:tab/>
              <w:t xml:space="preserve">تقييم </w:t>
            </w:r>
            <w:r>
              <w:rPr>
                <w:rFonts w:ascii="Arabic Typesetting" w:hAnsi="Arabic Typesetting" w:cs="Arabic Typesetting" w:hint="cs"/>
                <w:color w:val="000000"/>
                <w:sz w:val="28"/>
                <w:szCs w:val="28"/>
                <w:rtl/>
                <w:lang w:bidi="ar-EG"/>
              </w:rPr>
              <w:t>احتياجات توقف الأعمال ومدته؛</w:t>
            </w:r>
          </w:p>
          <w:p w14:paraId="1A79F187" w14:textId="77777777" w:rsidR="00BD3831" w:rsidRDefault="00BD3831" w:rsidP="0031289D">
            <w:pPr>
              <w:autoSpaceDE w:val="0"/>
              <w:autoSpaceDN w:val="0"/>
              <w:bidi/>
              <w:adjustRightInd w:val="0"/>
              <w:spacing w:before="40" w:after="40"/>
              <w:ind w:left="284" w:hanging="284"/>
              <w:rPr>
                <w:rFonts w:ascii="Arabic Typesetting" w:hAnsi="Arabic Typesetting" w:cs="Arabic Typesetting"/>
                <w:color w:val="000000"/>
                <w:sz w:val="28"/>
                <w:szCs w:val="28"/>
                <w:rtl/>
                <w:lang w:bidi="ar-EG"/>
              </w:rPr>
            </w:pPr>
            <w:r>
              <w:rPr>
                <w:rFonts w:ascii="Arabic Typesetting" w:hAnsi="Arabic Typesetting" w:cs="Arabic Typesetting" w:hint="cs"/>
                <w:color w:val="000000"/>
                <w:sz w:val="28"/>
                <w:szCs w:val="28"/>
                <w:rtl/>
                <w:lang w:bidi="ar-EG"/>
              </w:rPr>
              <w:t>-</w:t>
            </w:r>
            <w:r>
              <w:rPr>
                <w:rFonts w:ascii="Arabic Typesetting" w:hAnsi="Arabic Typesetting" w:cs="Arabic Typesetting"/>
                <w:color w:val="000000"/>
                <w:sz w:val="28"/>
                <w:szCs w:val="28"/>
                <w:rtl/>
                <w:lang w:bidi="ar-EG"/>
              </w:rPr>
              <w:tab/>
            </w:r>
            <w:r>
              <w:rPr>
                <w:rFonts w:ascii="Arabic Typesetting" w:hAnsi="Arabic Typesetting" w:cs="Arabic Typesetting" w:hint="cs"/>
                <w:color w:val="000000"/>
                <w:sz w:val="28"/>
                <w:szCs w:val="28"/>
                <w:rtl/>
                <w:lang w:bidi="ar-EG"/>
              </w:rPr>
              <w:t>تقييم الإصلاحات وأعمال الاستبدال المحتملة اللازمة؛</w:t>
            </w:r>
          </w:p>
          <w:p w14:paraId="53338B1A" w14:textId="77777777" w:rsidR="00BD3831" w:rsidRDefault="00BD3831" w:rsidP="0031289D">
            <w:pPr>
              <w:autoSpaceDE w:val="0"/>
              <w:autoSpaceDN w:val="0"/>
              <w:bidi/>
              <w:adjustRightInd w:val="0"/>
              <w:spacing w:before="40" w:after="40"/>
              <w:ind w:left="284" w:hanging="284"/>
              <w:rPr>
                <w:rFonts w:ascii="Arabic Typesetting" w:hAnsi="Arabic Typesetting" w:cs="Arabic Typesetting"/>
                <w:color w:val="000000"/>
                <w:sz w:val="28"/>
                <w:szCs w:val="28"/>
                <w:rtl/>
                <w:lang w:bidi="ar-EG"/>
              </w:rPr>
            </w:pPr>
            <w:r>
              <w:rPr>
                <w:rFonts w:ascii="Arabic Typesetting" w:hAnsi="Arabic Typesetting" w:cs="Arabic Typesetting" w:hint="cs"/>
                <w:color w:val="000000"/>
                <w:sz w:val="28"/>
                <w:szCs w:val="28"/>
                <w:rtl/>
                <w:lang w:bidi="ar-EG"/>
              </w:rPr>
              <w:t>-</w:t>
            </w:r>
            <w:r>
              <w:rPr>
                <w:rFonts w:ascii="Arabic Typesetting" w:hAnsi="Arabic Typesetting" w:cs="Arabic Typesetting"/>
                <w:color w:val="000000"/>
                <w:sz w:val="28"/>
                <w:szCs w:val="28"/>
                <w:rtl/>
                <w:lang w:bidi="ar-EG"/>
              </w:rPr>
              <w:tab/>
            </w:r>
            <w:r>
              <w:rPr>
                <w:rFonts w:ascii="Arabic Typesetting" w:hAnsi="Arabic Typesetting" w:cs="Arabic Typesetting" w:hint="cs"/>
                <w:color w:val="000000"/>
                <w:sz w:val="28"/>
                <w:szCs w:val="28"/>
                <w:rtl/>
                <w:lang w:bidi="ar-EG"/>
              </w:rPr>
              <w:t>إجراء أي إصلاحات أو استبدالات لازمة؛</w:t>
            </w:r>
          </w:p>
          <w:p w14:paraId="7B6C5416" w14:textId="77777777" w:rsidR="00BD3831" w:rsidRPr="00E551B2" w:rsidRDefault="00BD3831" w:rsidP="0031289D">
            <w:pPr>
              <w:autoSpaceDE w:val="0"/>
              <w:autoSpaceDN w:val="0"/>
              <w:bidi/>
              <w:adjustRightInd w:val="0"/>
              <w:spacing w:before="40" w:after="40"/>
              <w:ind w:left="284" w:hanging="284"/>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w:t>
            </w:r>
            <w:r>
              <w:rPr>
                <w:rFonts w:ascii="Arabic Typesetting" w:hAnsi="Arabic Typesetting" w:cs="Arabic Typesetting"/>
                <w:color w:val="000000"/>
                <w:sz w:val="28"/>
                <w:szCs w:val="28"/>
                <w:rtl/>
                <w:lang w:bidi="ar-EG"/>
              </w:rPr>
              <w:tab/>
              <w:t>ت</w:t>
            </w:r>
            <w:r>
              <w:rPr>
                <w:rFonts w:ascii="Arabic Typesetting" w:hAnsi="Arabic Typesetting" w:cs="Arabic Typesetting" w:hint="cs"/>
                <w:color w:val="000000"/>
                <w:sz w:val="28"/>
                <w:szCs w:val="28"/>
                <w:rtl/>
                <w:lang w:bidi="ar-EG"/>
              </w:rPr>
              <w:t>حديث الجدول الزمني عند اللزوم.</w:t>
            </w:r>
          </w:p>
        </w:tc>
        <w:tc>
          <w:tcPr>
            <w:tcW w:w="1666" w:type="pct"/>
          </w:tcPr>
          <w:p w14:paraId="05E2C290" w14:textId="77777777" w:rsidR="00BD3831" w:rsidRDefault="00BD3831" w:rsidP="0031289D">
            <w:pPr>
              <w:autoSpaceDE w:val="0"/>
              <w:autoSpaceDN w:val="0"/>
              <w:bidi/>
              <w:adjustRightInd w:val="0"/>
              <w:spacing w:before="40" w:after="40"/>
              <w:rPr>
                <w:rFonts w:ascii="Arabic Typesetting" w:hAnsi="Arabic Typesetting" w:cs="Arabic Typesetting"/>
                <w:sz w:val="28"/>
                <w:szCs w:val="28"/>
                <w:rtl/>
                <w:lang w:bidi="ar-EG"/>
              </w:rPr>
            </w:pPr>
          </w:p>
        </w:tc>
      </w:tr>
    </w:tbl>
    <w:p w14:paraId="51E085E7" w14:textId="77777777" w:rsidR="00BD3831" w:rsidRPr="00E551B2" w:rsidRDefault="00BD3831" w:rsidP="0031289D">
      <w:pPr>
        <w:keepNext/>
        <w:bidi/>
        <w:spacing w:before="120" w:after="120" w:line="340" w:lineRule="exact"/>
        <w:rPr>
          <w:rFonts w:ascii="Arabic Typesetting" w:hAnsi="Arabic Typesetting" w:cs="Arabic Typesetting"/>
          <w:sz w:val="34"/>
          <w:szCs w:val="34"/>
          <w:rtl/>
          <w:lang w:val="fr-CH"/>
        </w:rPr>
      </w:pPr>
      <w:r w:rsidRPr="00EC2D4F">
        <w:rPr>
          <w:rFonts w:cs="Arabic Typesetting"/>
          <w:b/>
          <w:noProof/>
          <w:sz w:val="20"/>
          <w:szCs w:val="36"/>
        </w:rPr>
        <w:drawing>
          <wp:anchor distT="0" distB="0" distL="114300" distR="114300" simplePos="0" relativeHeight="251660288" behindDoc="0" locked="0" layoutInCell="1" allowOverlap="1" wp14:anchorId="5057E23A" wp14:editId="568EBCCF">
            <wp:simplePos x="0" y="0"/>
            <wp:positionH relativeFrom="margin">
              <wp:posOffset>6045835</wp:posOffset>
            </wp:positionH>
            <wp:positionV relativeFrom="margin">
              <wp:posOffset>230402</wp:posOffset>
            </wp:positionV>
            <wp:extent cx="218440" cy="2184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EC2D4F">
        <w:rPr>
          <w:rFonts w:cs="Arabic Typesetting"/>
          <w:b/>
          <w:noProof/>
          <w:sz w:val="20"/>
          <w:szCs w:val="36"/>
        </w:rPr>
        <w:drawing>
          <wp:anchor distT="0" distB="0" distL="114300" distR="114300" simplePos="0" relativeHeight="251661312" behindDoc="0" locked="0" layoutInCell="1" allowOverlap="1" wp14:anchorId="3CEE4710" wp14:editId="1C28FFF0">
            <wp:simplePos x="0" y="0"/>
            <wp:positionH relativeFrom="margin">
              <wp:posOffset>6045835</wp:posOffset>
            </wp:positionH>
            <wp:positionV relativeFrom="margin">
              <wp:posOffset>1132634</wp:posOffset>
            </wp:positionV>
            <wp:extent cx="218440" cy="2184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E551B2">
        <w:rPr>
          <w:rFonts w:ascii="Arabic Typesetting" w:hAnsi="Arabic Typesetting" w:cs="Arabic Typesetting"/>
          <w:sz w:val="34"/>
          <w:szCs w:val="34"/>
          <w:rtl/>
          <w:lang w:val="fr-CH"/>
        </w:rPr>
        <w:t>الجدول الزمني للمشروع حسب المعالم</w:t>
      </w:r>
    </w:p>
    <w:tbl>
      <w:tblPr>
        <w:bidiVisual/>
        <w:tblW w:w="5000" w:type="pct"/>
        <w:jc w:val="center"/>
        <w:tblLayout w:type="fixed"/>
        <w:tblLook w:val="00A0" w:firstRow="1" w:lastRow="0" w:firstColumn="1" w:lastColumn="0" w:noHBand="0" w:noVBand="0"/>
      </w:tblPr>
      <w:tblGrid>
        <w:gridCol w:w="3330"/>
        <w:gridCol w:w="242"/>
        <w:gridCol w:w="236"/>
        <w:gridCol w:w="236"/>
        <w:gridCol w:w="244"/>
        <w:gridCol w:w="278"/>
        <w:gridCol w:w="235"/>
        <w:gridCol w:w="237"/>
        <w:gridCol w:w="283"/>
        <w:gridCol w:w="239"/>
        <w:gridCol w:w="237"/>
        <w:gridCol w:w="237"/>
        <w:gridCol w:w="287"/>
        <w:gridCol w:w="239"/>
        <w:gridCol w:w="237"/>
        <w:gridCol w:w="237"/>
        <w:gridCol w:w="241"/>
        <w:gridCol w:w="283"/>
        <w:gridCol w:w="247"/>
        <w:gridCol w:w="442"/>
        <w:gridCol w:w="444"/>
        <w:gridCol w:w="442"/>
        <w:gridCol w:w="438"/>
      </w:tblGrid>
      <w:tr w:rsidR="00BD3831" w:rsidRPr="00FA719C" w14:paraId="3354AAB4" w14:textId="77777777" w:rsidTr="00DF6715">
        <w:trPr>
          <w:trHeight w:val="270"/>
          <w:jc w:val="center"/>
        </w:trPr>
        <w:tc>
          <w:tcPr>
            <w:tcW w:w="1739" w:type="pct"/>
            <w:tcBorders>
              <w:top w:val="nil"/>
              <w:left w:val="nil"/>
              <w:bottom w:val="nil"/>
              <w:right w:val="nil"/>
            </w:tcBorders>
            <w:noWrap/>
            <w:vAlign w:val="center"/>
          </w:tcPr>
          <w:p w14:paraId="2D7DC191" w14:textId="77777777" w:rsidR="00BD3831" w:rsidRPr="00FA719C" w:rsidRDefault="00BD3831" w:rsidP="0031289D">
            <w:pPr>
              <w:keepNext/>
              <w:bidi/>
              <w:rPr>
                <w:rFonts w:ascii="Arabic Typesetting" w:hAnsi="Arabic Typesetting" w:cs="Arabic Typesetting"/>
                <w:color w:val="000000"/>
                <w:sz w:val="28"/>
                <w:szCs w:val="28"/>
              </w:rPr>
            </w:pPr>
          </w:p>
        </w:tc>
        <w:tc>
          <w:tcPr>
            <w:tcW w:w="499" w:type="pct"/>
            <w:gridSpan w:val="4"/>
            <w:tcBorders>
              <w:top w:val="single" w:sz="8" w:space="0" w:color="auto"/>
              <w:left w:val="single" w:sz="8" w:space="0" w:color="auto"/>
              <w:bottom w:val="single" w:sz="4" w:space="0" w:color="auto"/>
              <w:right w:val="single" w:sz="4" w:space="0" w:color="auto"/>
            </w:tcBorders>
            <w:shd w:val="clear" w:color="auto" w:fill="C6D9F1"/>
            <w:noWrap/>
            <w:tcMar>
              <w:left w:w="0" w:type="dxa"/>
              <w:right w:w="0" w:type="dxa"/>
            </w:tcMar>
            <w:vAlign w:val="center"/>
          </w:tcPr>
          <w:p w14:paraId="4C779890" w14:textId="77777777" w:rsidR="00BD3831" w:rsidRPr="00FA719C" w:rsidRDefault="00BD3831" w:rsidP="0031289D">
            <w:pPr>
              <w:keepNext/>
              <w:bidi/>
              <w:jc w:val="center"/>
              <w:rPr>
                <w:rFonts w:ascii="Arabic Typesetting" w:hAnsi="Arabic Typesetting" w:cs="Arabic Typesetting"/>
                <w:b/>
                <w:color w:val="000000"/>
                <w:sz w:val="28"/>
                <w:szCs w:val="28"/>
              </w:rPr>
            </w:pPr>
            <w:r w:rsidRPr="00FA719C">
              <w:rPr>
                <w:rFonts w:ascii="Arabic Typesetting" w:hAnsi="Arabic Typesetting" w:cs="Arabic Typesetting"/>
                <w:b/>
                <w:color w:val="000000"/>
                <w:sz w:val="28"/>
                <w:szCs w:val="28"/>
              </w:rPr>
              <w:t>2014</w:t>
            </w:r>
          </w:p>
        </w:tc>
        <w:tc>
          <w:tcPr>
            <w:tcW w:w="540" w:type="pct"/>
            <w:gridSpan w:val="4"/>
            <w:tcBorders>
              <w:top w:val="single" w:sz="8" w:space="0" w:color="auto"/>
              <w:left w:val="single" w:sz="8" w:space="0" w:color="auto"/>
              <w:bottom w:val="single" w:sz="4" w:space="0" w:color="auto"/>
              <w:right w:val="single" w:sz="4" w:space="0" w:color="auto"/>
            </w:tcBorders>
            <w:shd w:val="clear" w:color="auto" w:fill="C6D9F1"/>
            <w:vAlign w:val="center"/>
          </w:tcPr>
          <w:p w14:paraId="2324B1B1" w14:textId="77777777" w:rsidR="00BD3831" w:rsidRPr="00FA719C" w:rsidRDefault="00BD3831" w:rsidP="0031289D">
            <w:pPr>
              <w:keepNext/>
              <w:bidi/>
              <w:jc w:val="center"/>
              <w:rPr>
                <w:rFonts w:ascii="Arabic Typesetting" w:hAnsi="Arabic Typesetting" w:cs="Arabic Typesetting"/>
                <w:b/>
                <w:color w:val="000000"/>
                <w:sz w:val="28"/>
                <w:szCs w:val="28"/>
              </w:rPr>
            </w:pPr>
            <w:r w:rsidRPr="00FA719C">
              <w:rPr>
                <w:rFonts w:ascii="Arabic Typesetting" w:hAnsi="Arabic Typesetting" w:cs="Arabic Typesetting"/>
                <w:b/>
                <w:color w:val="000000"/>
                <w:sz w:val="28"/>
                <w:szCs w:val="28"/>
              </w:rPr>
              <w:t>2015</w:t>
            </w:r>
          </w:p>
        </w:tc>
        <w:tc>
          <w:tcPr>
            <w:tcW w:w="522" w:type="pct"/>
            <w:gridSpan w:val="4"/>
            <w:tcBorders>
              <w:top w:val="single" w:sz="8" w:space="0" w:color="auto"/>
              <w:left w:val="single" w:sz="8" w:space="0" w:color="auto"/>
              <w:bottom w:val="single" w:sz="4" w:space="0" w:color="auto"/>
              <w:right w:val="single" w:sz="4" w:space="0" w:color="auto"/>
            </w:tcBorders>
            <w:shd w:val="clear" w:color="auto" w:fill="C6D9F1"/>
            <w:vAlign w:val="center"/>
          </w:tcPr>
          <w:p w14:paraId="51C1A3EC" w14:textId="77777777" w:rsidR="00BD3831" w:rsidRPr="00FA719C" w:rsidRDefault="00BD3831" w:rsidP="0031289D">
            <w:pPr>
              <w:keepNext/>
              <w:bidi/>
              <w:jc w:val="center"/>
              <w:rPr>
                <w:rFonts w:ascii="Arabic Typesetting" w:hAnsi="Arabic Typesetting" w:cs="Arabic Typesetting"/>
                <w:b/>
                <w:color w:val="000000"/>
                <w:sz w:val="28"/>
                <w:szCs w:val="28"/>
              </w:rPr>
            </w:pPr>
            <w:r w:rsidRPr="00FA719C">
              <w:rPr>
                <w:rFonts w:ascii="Arabic Typesetting" w:hAnsi="Arabic Typesetting" w:cs="Arabic Typesetting"/>
                <w:b/>
                <w:color w:val="000000"/>
                <w:sz w:val="28"/>
                <w:szCs w:val="28"/>
              </w:rPr>
              <w:t>2016</w:t>
            </w:r>
          </w:p>
        </w:tc>
        <w:tc>
          <w:tcPr>
            <w:tcW w:w="498" w:type="pct"/>
            <w:gridSpan w:val="4"/>
            <w:tcBorders>
              <w:top w:val="single" w:sz="8" w:space="0" w:color="auto"/>
              <w:left w:val="single" w:sz="8" w:space="0" w:color="auto"/>
              <w:bottom w:val="single" w:sz="4" w:space="0" w:color="auto"/>
              <w:right w:val="single" w:sz="4" w:space="0" w:color="auto"/>
            </w:tcBorders>
            <w:shd w:val="clear" w:color="auto" w:fill="C6D9F1"/>
            <w:vAlign w:val="center"/>
          </w:tcPr>
          <w:p w14:paraId="0CBA7FA9" w14:textId="77777777" w:rsidR="00BD3831" w:rsidRPr="00FA719C" w:rsidRDefault="00BD3831" w:rsidP="0031289D">
            <w:pPr>
              <w:keepNext/>
              <w:bidi/>
              <w:jc w:val="center"/>
              <w:rPr>
                <w:rFonts w:ascii="Arabic Typesetting" w:hAnsi="Arabic Typesetting" w:cs="Arabic Typesetting"/>
                <w:b/>
                <w:color w:val="000000"/>
                <w:sz w:val="28"/>
                <w:szCs w:val="28"/>
              </w:rPr>
            </w:pPr>
            <w:r w:rsidRPr="00FA719C">
              <w:rPr>
                <w:rFonts w:ascii="Arabic Typesetting" w:hAnsi="Arabic Typesetting" w:cs="Arabic Typesetting"/>
                <w:b/>
                <w:color w:val="000000"/>
                <w:sz w:val="28"/>
                <w:szCs w:val="28"/>
              </w:rPr>
              <w:t>2017</w:t>
            </w:r>
          </w:p>
        </w:tc>
        <w:tc>
          <w:tcPr>
            <w:tcW w:w="740" w:type="pct"/>
            <w:gridSpan w:val="4"/>
            <w:tcBorders>
              <w:top w:val="single" w:sz="8" w:space="0" w:color="auto"/>
              <w:left w:val="single" w:sz="8" w:space="0" w:color="auto"/>
              <w:bottom w:val="single" w:sz="4" w:space="0" w:color="auto"/>
              <w:right w:val="single" w:sz="4" w:space="0" w:color="auto"/>
            </w:tcBorders>
            <w:shd w:val="clear" w:color="auto" w:fill="C6D9F1"/>
            <w:vAlign w:val="center"/>
          </w:tcPr>
          <w:p w14:paraId="69C03196" w14:textId="77777777" w:rsidR="00BD3831" w:rsidRPr="00FA719C" w:rsidRDefault="00BD3831" w:rsidP="0031289D">
            <w:pPr>
              <w:keepNext/>
              <w:bidi/>
              <w:jc w:val="center"/>
              <w:rPr>
                <w:rFonts w:ascii="Arabic Typesetting" w:hAnsi="Arabic Typesetting" w:cs="Arabic Typesetting"/>
                <w:b/>
                <w:color w:val="000000"/>
                <w:sz w:val="28"/>
                <w:szCs w:val="28"/>
              </w:rPr>
            </w:pPr>
            <w:r w:rsidRPr="00FA719C">
              <w:rPr>
                <w:rFonts w:ascii="Arabic Typesetting" w:hAnsi="Arabic Typesetting" w:cs="Arabic Typesetting"/>
                <w:b/>
                <w:color w:val="000000"/>
                <w:sz w:val="28"/>
                <w:szCs w:val="28"/>
              </w:rPr>
              <w:t>2018</w:t>
            </w:r>
          </w:p>
        </w:tc>
        <w:tc>
          <w:tcPr>
            <w:tcW w:w="462" w:type="pct"/>
            <w:gridSpan w:val="2"/>
            <w:tcBorders>
              <w:top w:val="single" w:sz="8" w:space="0" w:color="auto"/>
              <w:left w:val="single" w:sz="8" w:space="0" w:color="auto"/>
              <w:bottom w:val="single" w:sz="4" w:space="0" w:color="auto"/>
              <w:right w:val="single" w:sz="4" w:space="0" w:color="auto"/>
            </w:tcBorders>
            <w:shd w:val="clear" w:color="auto" w:fill="C6D9F1"/>
            <w:vAlign w:val="center"/>
          </w:tcPr>
          <w:p w14:paraId="0D3B345E" w14:textId="77777777" w:rsidR="00BD3831" w:rsidRPr="00FA719C" w:rsidRDefault="00BD3831" w:rsidP="0031289D">
            <w:pPr>
              <w:keepNext/>
              <w:bidi/>
              <w:jc w:val="center"/>
              <w:rPr>
                <w:rFonts w:ascii="Arabic Typesetting" w:hAnsi="Arabic Typesetting" w:cs="Arabic Typesetting"/>
                <w:b/>
                <w:color w:val="000000"/>
                <w:sz w:val="28"/>
                <w:szCs w:val="28"/>
                <w:rtl/>
                <w:lang w:bidi="ar-EG"/>
              </w:rPr>
            </w:pPr>
            <w:r w:rsidRPr="00FA719C">
              <w:rPr>
                <w:rFonts w:ascii="Arabic Typesetting" w:hAnsi="Arabic Typesetting" w:cs="Arabic Typesetting"/>
                <w:b/>
                <w:color w:val="000000"/>
                <w:sz w:val="28"/>
                <w:szCs w:val="28"/>
              </w:rPr>
              <w:t>2019</w:t>
            </w:r>
          </w:p>
        </w:tc>
      </w:tr>
      <w:tr w:rsidR="00BD3831" w:rsidRPr="00FA719C" w14:paraId="367836A1" w14:textId="77777777" w:rsidTr="00DF6715">
        <w:trPr>
          <w:trHeight w:val="375"/>
          <w:jc w:val="center"/>
        </w:trPr>
        <w:tc>
          <w:tcPr>
            <w:tcW w:w="1739" w:type="pct"/>
            <w:tcBorders>
              <w:top w:val="single" w:sz="8" w:space="0" w:color="auto"/>
              <w:left w:val="single" w:sz="4" w:space="0" w:color="auto"/>
              <w:bottom w:val="single" w:sz="4" w:space="0" w:color="auto"/>
              <w:right w:val="single" w:sz="8" w:space="0" w:color="auto"/>
            </w:tcBorders>
            <w:shd w:val="clear" w:color="auto" w:fill="C6D9F1"/>
            <w:noWrap/>
            <w:vAlign w:val="center"/>
          </w:tcPr>
          <w:p w14:paraId="522589D7"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المعالم الرئيسية</w:t>
            </w:r>
          </w:p>
        </w:tc>
        <w:tc>
          <w:tcPr>
            <w:tcW w:w="126"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0525DDC4"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ف1</w:t>
            </w:r>
          </w:p>
        </w:tc>
        <w:tc>
          <w:tcPr>
            <w:tcW w:w="123"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18B967D2"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ف2</w:t>
            </w:r>
          </w:p>
        </w:tc>
        <w:tc>
          <w:tcPr>
            <w:tcW w:w="123"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1BD09EEF"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ف3</w:t>
            </w:r>
          </w:p>
        </w:tc>
        <w:tc>
          <w:tcPr>
            <w:tcW w:w="126" w:type="pct"/>
            <w:tcBorders>
              <w:top w:val="nil"/>
              <w:left w:val="nil"/>
              <w:bottom w:val="single" w:sz="4" w:space="0" w:color="auto"/>
              <w:right w:val="single" w:sz="8" w:space="0" w:color="auto"/>
            </w:tcBorders>
            <w:shd w:val="clear" w:color="auto" w:fill="C6D9F1"/>
            <w:noWrap/>
            <w:tcMar>
              <w:left w:w="0" w:type="dxa"/>
              <w:right w:w="0" w:type="dxa"/>
            </w:tcMar>
            <w:vAlign w:val="center"/>
          </w:tcPr>
          <w:p w14:paraId="2D6E00C8"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ف4</w:t>
            </w:r>
          </w:p>
        </w:tc>
        <w:tc>
          <w:tcPr>
            <w:tcW w:w="145"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7020B6D8"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ف1</w:t>
            </w:r>
          </w:p>
        </w:tc>
        <w:tc>
          <w:tcPr>
            <w:tcW w:w="123"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32137388"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ف2</w:t>
            </w:r>
          </w:p>
        </w:tc>
        <w:tc>
          <w:tcPr>
            <w:tcW w:w="124"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2F43F403"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ف3</w:t>
            </w:r>
          </w:p>
        </w:tc>
        <w:tc>
          <w:tcPr>
            <w:tcW w:w="148" w:type="pct"/>
            <w:tcBorders>
              <w:top w:val="nil"/>
              <w:left w:val="nil"/>
              <w:bottom w:val="single" w:sz="4" w:space="0" w:color="auto"/>
              <w:right w:val="single" w:sz="8" w:space="0" w:color="auto"/>
            </w:tcBorders>
            <w:shd w:val="clear" w:color="auto" w:fill="C6D9F1"/>
            <w:noWrap/>
            <w:tcMar>
              <w:left w:w="0" w:type="dxa"/>
              <w:right w:w="0" w:type="dxa"/>
            </w:tcMar>
            <w:vAlign w:val="center"/>
          </w:tcPr>
          <w:p w14:paraId="5CF4D521"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ف4</w:t>
            </w:r>
          </w:p>
        </w:tc>
        <w:tc>
          <w:tcPr>
            <w:tcW w:w="125"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37A13C1D"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ف1</w:t>
            </w:r>
          </w:p>
        </w:tc>
        <w:tc>
          <w:tcPr>
            <w:tcW w:w="124"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3F8BF84E"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ف2</w:t>
            </w:r>
          </w:p>
        </w:tc>
        <w:tc>
          <w:tcPr>
            <w:tcW w:w="124"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77C1A505"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ف3</w:t>
            </w:r>
          </w:p>
        </w:tc>
        <w:tc>
          <w:tcPr>
            <w:tcW w:w="150" w:type="pct"/>
            <w:tcBorders>
              <w:top w:val="nil"/>
              <w:left w:val="nil"/>
              <w:bottom w:val="single" w:sz="4" w:space="0" w:color="auto"/>
              <w:right w:val="single" w:sz="8" w:space="0" w:color="auto"/>
            </w:tcBorders>
            <w:shd w:val="clear" w:color="auto" w:fill="C6D9F1"/>
            <w:noWrap/>
            <w:tcMar>
              <w:left w:w="0" w:type="dxa"/>
              <w:right w:w="0" w:type="dxa"/>
            </w:tcMar>
            <w:vAlign w:val="center"/>
          </w:tcPr>
          <w:p w14:paraId="5AE4A51B"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ف4</w:t>
            </w:r>
          </w:p>
        </w:tc>
        <w:tc>
          <w:tcPr>
            <w:tcW w:w="125"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109ED30E"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ف1</w:t>
            </w:r>
          </w:p>
        </w:tc>
        <w:tc>
          <w:tcPr>
            <w:tcW w:w="124"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3813762F"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ف2</w:t>
            </w:r>
          </w:p>
        </w:tc>
        <w:tc>
          <w:tcPr>
            <w:tcW w:w="124" w:type="pct"/>
            <w:tcBorders>
              <w:top w:val="nil"/>
              <w:left w:val="nil"/>
              <w:bottom w:val="single" w:sz="4" w:space="0" w:color="auto"/>
              <w:right w:val="single" w:sz="4" w:space="0" w:color="auto"/>
            </w:tcBorders>
            <w:shd w:val="clear" w:color="auto" w:fill="C6D9F1"/>
            <w:noWrap/>
            <w:tcMar>
              <w:left w:w="0" w:type="dxa"/>
              <w:right w:w="0" w:type="dxa"/>
            </w:tcMar>
            <w:vAlign w:val="center"/>
          </w:tcPr>
          <w:p w14:paraId="5DA9C875"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ف3</w:t>
            </w:r>
          </w:p>
        </w:tc>
        <w:tc>
          <w:tcPr>
            <w:tcW w:w="126" w:type="pct"/>
            <w:tcBorders>
              <w:top w:val="nil"/>
              <w:left w:val="nil"/>
              <w:bottom w:val="single" w:sz="4" w:space="0" w:color="auto"/>
              <w:right w:val="single" w:sz="8" w:space="0" w:color="auto"/>
            </w:tcBorders>
            <w:shd w:val="clear" w:color="auto" w:fill="C6D9F1"/>
            <w:noWrap/>
            <w:tcMar>
              <w:left w:w="0" w:type="dxa"/>
              <w:right w:w="0" w:type="dxa"/>
            </w:tcMar>
            <w:vAlign w:val="center"/>
          </w:tcPr>
          <w:p w14:paraId="557C131C"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ف4</w:t>
            </w:r>
          </w:p>
        </w:tc>
        <w:tc>
          <w:tcPr>
            <w:tcW w:w="148" w:type="pct"/>
            <w:tcBorders>
              <w:top w:val="nil"/>
              <w:left w:val="nil"/>
              <w:bottom w:val="single" w:sz="4" w:space="0" w:color="auto"/>
              <w:right w:val="single" w:sz="8" w:space="0" w:color="auto"/>
            </w:tcBorders>
            <w:shd w:val="clear" w:color="auto" w:fill="C6D9F1"/>
            <w:tcMar>
              <w:left w:w="0" w:type="dxa"/>
              <w:right w:w="0" w:type="dxa"/>
            </w:tcMar>
            <w:vAlign w:val="center"/>
          </w:tcPr>
          <w:p w14:paraId="13F5F483"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ف1</w:t>
            </w:r>
          </w:p>
        </w:tc>
        <w:tc>
          <w:tcPr>
            <w:tcW w:w="129" w:type="pct"/>
            <w:tcBorders>
              <w:top w:val="nil"/>
              <w:left w:val="nil"/>
              <w:bottom w:val="single" w:sz="4" w:space="0" w:color="auto"/>
              <w:right w:val="single" w:sz="8" w:space="0" w:color="auto"/>
            </w:tcBorders>
            <w:shd w:val="clear" w:color="auto" w:fill="C6D9F1"/>
            <w:tcMar>
              <w:left w:w="0" w:type="dxa"/>
              <w:right w:w="0" w:type="dxa"/>
            </w:tcMar>
            <w:vAlign w:val="center"/>
          </w:tcPr>
          <w:p w14:paraId="5DB2092C"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ف2</w:t>
            </w:r>
          </w:p>
        </w:tc>
        <w:tc>
          <w:tcPr>
            <w:tcW w:w="231" w:type="pct"/>
            <w:tcBorders>
              <w:top w:val="nil"/>
              <w:left w:val="nil"/>
              <w:bottom w:val="single" w:sz="4" w:space="0" w:color="auto"/>
              <w:right w:val="single" w:sz="8" w:space="0" w:color="auto"/>
            </w:tcBorders>
            <w:shd w:val="clear" w:color="auto" w:fill="C6D9F1"/>
            <w:vAlign w:val="center"/>
          </w:tcPr>
          <w:p w14:paraId="1216D70C"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ف3</w:t>
            </w:r>
          </w:p>
        </w:tc>
        <w:tc>
          <w:tcPr>
            <w:tcW w:w="232" w:type="pct"/>
            <w:tcBorders>
              <w:top w:val="nil"/>
              <w:left w:val="nil"/>
              <w:bottom w:val="single" w:sz="4" w:space="0" w:color="auto"/>
              <w:right w:val="single" w:sz="4" w:space="0" w:color="auto"/>
            </w:tcBorders>
            <w:shd w:val="clear" w:color="auto" w:fill="C6D9F1"/>
            <w:vAlign w:val="center"/>
          </w:tcPr>
          <w:p w14:paraId="114496B8"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ف4</w:t>
            </w:r>
          </w:p>
        </w:tc>
        <w:tc>
          <w:tcPr>
            <w:tcW w:w="231" w:type="pct"/>
            <w:tcBorders>
              <w:top w:val="nil"/>
              <w:left w:val="nil"/>
              <w:bottom w:val="single" w:sz="4" w:space="0" w:color="auto"/>
              <w:right w:val="single" w:sz="4" w:space="0" w:color="auto"/>
            </w:tcBorders>
            <w:shd w:val="clear" w:color="auto" w:fill="C6D9F1"/>
            <w:vAlign w:val="center"/>
          </w:tcPr>
          <w:p w14:paraId="0F56BC88"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ف1</w:t>
            </w:r>
          </w:p>
        </w:tc>
        <w:tc>
          <w:tcPr>
            <w:tcW w:w="231" w:type="pct"/>
            <w:tcBorders>
              <w:top w:val="nil"/>
              <w:left w:val="nil"/>
              <w:bottom w:val="single" w:sz="4" w:space="0" w:color="auto"/>
              <w:right w:val="single" w:sz="4" w:space="0" w:color="auto"/>
            </w:tcBorders>
            <w:shd w:val="clear" w:color="auto" w:fill="C6D9F1"/>
            <w:vAlign w:val="center"/>
          </w:tcPr>
          <w:p w14:paraId="0D8B5CEA" w14:textId="77777777" w:rsidR="00BD3831" w:rsidRPr="00FA719C" w:rsidRDefault="00BD3831" w:rsidP="0031289D">
            <w:pPr>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ف2</w:t>
            </w:r>
          </w:p>
        </w:tc>
      </w:tr>
      <w:tr w:rsidR="00BD3831" w:rsidRPr="00FA719C" w14:paraId="2D9C00A8" w14:textId="77777777" w:rsidTr="00DF6715">
        <w:trPr>
          <w:trHeight w:val="313"/>
          <w:jc w:val="center"/>
        </w:trPr>
        <w:tc>
          <w:tcPr>
            <w:tcW w:w="1739" w:type="pct"/>
            <w:tcBorders>
              <w:top w:val="nil"/>
              <w:left w:val="single" w:sz="4" w:space="0" w:color="auto"/>
              <w:bottom w:val="single" w:sz="4" w:space="0" w:color="auto"/>
              <w:right w:val="single" w:sz="8" w:space="0" w:color="auto"/>
            </w:tcBorders>
            <w:noWrap/>
            <w:vAlign w:val="center"/>
          </w:tcPr>
          <w:p w14:paraId="3CD48C1D" w14:textId="77777777" w:rsidR="00BD3831" w:rsidRPr="00FA719C" w:rsidRDefault="00BD3831" w:rsidP="0031289D">
            <w:pPr>
              <w:bidi/>
              <w:rPr>
                <w:rFonts w:ascii="Arabic Typesetting" w:hAnsi="Arabic Typesetting" w:cs="Arabic Typesetting"/>
                <w:sz w:val="28"/>
                <w:szCs w:val="28"/>
                <w:rtl/>
              </w:rPr>
            </w:pPr>
            <w:r w:rsidRPr="00FA719C">
              <w:rPr>
                <w:rFonts w:ascii="Arabic Typesetting" w:hAnsi="Arabic Typesetting" w:cs="Arabic Typesetting"/>
                <w:color w:val="000000"/>
                <w:sz w:val="28"/>
                <w:szCs w:val="28"/>
                <w:rtl/>
                <w:lang w:bidi="ar-EG"/>
              </w:rPr>
              <w:t>دعوة للتعبير عن الاهتمام لاختيار القيادة/المهندس المعماري</w:t>
            </w:r>
          </w:p>
        </w:tc>
        <w:tc>
          <w:tcPr>
            <w:tcW w:w="126" w:type="pct"/>
            <w:tcBorders>
              <w:top w:val="nil"/>
              <w:left w:val="nil"/>
              <w:bottom w:val="single" w:sz="4" w:space="0" w:color="auto"/>
              <w:right w:val="single" w:sz="4" w:space="0" w:color="auto"/>
            </w:tcBorders>
            <w:noWrap/>
            <w:tcMar>
              <w:left w:w="0" w:type="dxa"/>
              <w:right w:w="0" w:type="dxa"/>
            </w:tcMar>
            <w:vAlign w:val="center"/>
          </w:tcPr>
          <w:p w14:paraId="41101545"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210CBEA7"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00FAC432" w14:textId="77777777" w:rsidR="00BD3831" w:rsidRPr="00FA719C" w:rsidRDefault="00BD3831" w:rsidP="0031289D">
            <w:pPr>
              <w:rPr>
                <w:rFonts w:ascii="Arabic Typesetting" w:hAnsi="Arabic Typesetting" w:cs="Arabic Typesetting"/>
                <w:sz w:val="28"/>
                <w:szCs w:val="28"/>
              </w:rPr>
            </w:pPr>
          </w:p>
        </w:tc>
        <w:tc>
          <w:tcPr>
            <w:tcW w:w="126" w:type="pct"/>
            <w:tcBorders>
              <w:top w:val="nil"/>
              <w:left w:val="nil"/>
              <w:bottom w:val="single" w:sz="4" w:space="0" w:color="auto"/>
              <w:right w:val="single" w:sz="8" w:space="0" w:color="auto"/>
            </w:tcBorders>
            <w:noWrap/>
            <w:tcMar>
              <w:left w:w="0" w:type="dxa"/>
              <w:right w:w="0" w:type="dxa"/>
            </w:tcMar>
            <w:vAlign w:val="center"/>
          </w:tcPr>
          <w:p w14:paraId="2F455622"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45" w:type="pct"/>
            <w:tcBorders>
              <w:top w:val="nil"/>
              <w:left w:val="nil"/>
              <w:bottom w:val="single" w:sz="4" w:space="0" w:color="auto"/>
              <w:right w:val="single" w:sz="4" w:space="0" w:color="auto"/>
            </w:tcBorders>
            <w:noWrap/>
            <w:tcMar>
              <w:left w:w="0" w:type="dxa"/>
              <w:right w:w="0" w:type="dxa"/>
            </w:tcMar>
            <w:vAlign w:val="center"/>
          </w:tcPr>
          <w:p w14:paraId="12061106"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0DC7DAC7"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4720B9FB" w14:textId="77777777" w:rsidR="00BD3831" w:rsidRPr="00FA719C" w:rsidRDefault="00BD3831" w:rsidP="0031289D">
            <w:pPr>
              <w:rPr>
                <w:rFonts w:ascii="Arabic Typesetting" w:hAnsi="Arabic Typesetting" w:cs="Arabic Typesetting"/>
                <w:sz w:val="28"/>
                <w:szCs w:val="28"/>
              </w:rPr>
            </w:pPr>
          </w:p>
        </w:tc>
        <w:tc>
          <w:tcPr>
            <w:tcW w:w="148" w:type="pct"/>
            <w:tcBorders>
              <w:top w:val="nil"/>
              <w:left w:val="nil"/>
              <w:bottom w:val="single" w:sz="4" w:space="0" w:color="auto"/>
              <w:right w:val="single" w:sz="8" w:space="0" w:color="auto"/>
            </w:tcBorders>
            <w:noWrap/>
            <w:tcMar>
              <w:left w:w="0" w:type="dxa"/>
              <w:right w:w="0" w:type="dxa"/>
            </w:tcMar>
            <w:vAlign w:val="center"/>
          </w:tcPr>
          <w:p w14:paraId="4D8B9E6C" w14:textId="77777777" w:rsidR="00BD3831" w:rsidRPr="00FA719C" w:rsidRDefault="00BD3831" w:rsidP="0031289D">
            <w:pPr>
              <w:rPr>
                <w:rFonts w:ascii="Arabic Typesetting" w:hAnsi="Arabic Typesetting" w:cs="Arabic Typesetting"/>
                <w:sz w:val="28"/>
                <w:szCs w:val="28"/>
              </w:rPr>
            </w:pPr>
          </w:p>
        </w:tc>
        <w:tc>
          <w:tcPr>
            <w:tcW w:w="125" w:type="pct"/>
            <w:tcBorders>
              <w:top w:val="nil"/>
              <w:left w:val="nil"/>
              <w:bottom w:val="single" w:sz="4" w:space="0" w:color="auto"/>
              <w:right w:val="single" w:sz="4" w:space="0" w:color="auto"/>
            </w:tcBorders>
            <w:noWrap/>
            <w:tcMar>
              <w:left w:w="0" w:type="dxa"/>
              <w:right w:w="0" w:type="dxa"/>
            </w:tcMar>
            <w:vAlign w:val="center"/>
          </w:tcPr>
          <w:p w14:paraId="00497B4A"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1E0B887F"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3B8035F9" w14:textId="77777777" w:rsidR="00BD3831" w:rsidRPr="00FA719C" w:rsidRDefault="00BD3831" w:rsidP="0031289D">
            <w:pPr>
              <w:rPr>
                <w:rFonts w:ascii="Arabic Typesetting" w:hAnsi="Arabic Typesetting" w:cs="Arabic Typesetting"/>
                <w:sz w:val="28"/>
                <w:szCs w:val="28"/>
              </w:rPr>
            </w:pPr>
          </w:p>
        </w:tc>
        <w:tc>
          <w:tcPr>
            <w:tcW w:w="150" w:type="pct"/>
            <w:tcBorders>
              <w:top w:val="nil"/>
              <w:left w:val="nil"/>
              <w:bottom w:val="single" w:sz="4" w:space="0" w:color="auto"/>
              <w:right w:val="single" w:sz="8" w:space="0" w:color="auto"/>
            </w:tcBorders>
            <w:noWrap/>
            <w:tcMar>
              <w:left w:w="0" w:type="dxa"/>
              <w:right w:w="0" w:type="dxa"/>
            </w:tcMar>
            <w:vAlign w:val="center"/>
          </w:tcPr>
          <w:p w14:paraId="40A35E69" w14:textId="77777777" w:rsidR="00BD3831" w:rsidRPr="00FA719C" w:rsidRDefault="00BD3831" w:rsidP="0031289D">
            <w:pPr>
              <w:rPr>
                <w:rFonts w:ascii="Arabic Typesetting" w:hAnsi="Arabic Typesetting" w:cs="Arabic Typesetting"/>
                <w:sz w:val="28"/>
                <w:szCs w:val="28"/>
              </w:rPr>
            </w:pPr>
          </w:p>
        </w:tc>
        <w:tc>
          <w:tcPr>
            <w:tcW w:w="125" w:type="pct"/>
            <w:tcBorders>
              <w:top w:val="nil"/>
              <w:left w:val="nil"/>
              <w:bottom w:val="single" w:sz="4" w:space="0" w:color="auto"/>
              <w:right w:val="single" w:sz="4" w:space="0" w:color="auto"/>
            </w:tcBorders>
            <w:noWrap/>
            <w:tcMar>
              <w:left w:w="0" w:type="dxa"/>
              <w:right w:w="0" w:type="dxa"/>
            </w:tcMar>
            <w:vAlign w:val="center"/>
          </w:tcPr>
          <w:p w14:paraId="5669AA86"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2EBFC25A"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0D8FD136" w14:textId="77777777" w:rsidR="00BD3831" w:rsidRPr="00FA719C" w:rsidRDefault="00BD3831" w:rsidP="0031289D">
            <w:pPr>
              <w:rPr>
                <w:rFonts w:ascii="Arabic Typesetting" w:hAnsi="Arabic Typesetting" w:cs="Arabic Typesetting"/>
                <w:sz w:val="28"/>
                <w:szCs w:val="28"/>
              </w:rPr>
            </w:pPr>
          </w:p>
        </w:tc>
        <w:tc>
          <w:tcPr>
            <w:tcW w:w="126" w:type="pct"/>
            <w:tcBorders>
              <w:top w:val="nil"/>
              <w:left w:val="nil"/>
              <w:bottom w:val="single" w:sz="4" w:space="0" w:color="auto"/>
              <w:right w:val="single" w:sz="8" w:space="0" w:color="auto"/>
            </w:tcBorders>
            <w:noWrap/>
            <w:tcMar>
              <w:left w:w="0" w:type="dxa"/>
              <w:right w:w="0" w:type="dxa"/>
            </w:tcMar>
            <w:vAlign w:val="center"/>
          </w:tcPr>
          <w:p w14:paraId="6159C847" w14:textId="77777777" w:rsidR="00BD3831" w:rsidRPr="00FA719C" w:rsidRDefault="00BD3831" w:rsidP="0031289D">
            <w:pPr>
              <w:rPr>
                <w:rFonts w:ascii="Arabic Typesetting" w:hAnsi="Arabic Typesetting" w:cs="Arabic Typesetting"/>
                <w:sz w:val="28"/>
                <w:szCs w:val="28"/>
              </w:rPr>
            </w:pPr>
          </w:p>
        </w:tc>
        <w:tc>
          <w:tcPr>
            <w:tcW w:w="148" w:type="pct"/>
            <w:tcBorders>
              <w:top w:val="nil"/>
              <w:left w:val="nil"/>
              <w:bottom w:val="single" w:sz="4" w:space="0" w:color="auto"/>
              <w:right w:val="single" w:sz="8" w:space="0" w:color="auto"/>
            </w:tcBorders>
            <w:tcMar>
              <w:left w:w="0" w:type="dxa"/>
              <w:right w:w="0" w:type="dxa"/>
            </w:tcMar>
            <w:vAlign w:val="center"/>
          </w:tcPr>
          <w:p w14:paraId="4C652675" w14:textId="77777777" w:rsidR="00BD3831" w:rsidRPr="00FA719C" w:rsidRDefault="00BD3831" w:rsidP="0031289D">
            <w:pPr>
              <w:rPr>
                <w:rFonts w:ascii="Arabic Typesetting" w:hAnsi="Arabic Typesetting" w:cs="Arabic Typesetting"/>
                <w:sz w:val="28"/>
                <w:szCs w:val="28"/>
              </w:rPr>
            </w:pPr>
          </w:p>
        </w:tc>
        <w:tc>
          <w:tcPr>
            <w:tcW w:w="129" w:type="pct"/>
            <w:tcBorders>
              <w:top w:val="nil"/>
              <w:left w:val="nil"/>
              <w:bottom w:val="single" w:sz="4" w:space="0" w:color="auto"/>
              <w:right w:val="single" w:sz="8" w:space="0" w:color="auto"/>
            </w:tcBorders>
            <w:tcMar>
              <w:left w:w="0" w:type="dxa"/>
              <w:right w:w="0" w:type="dxa"/>
            </w:tcMar>
            <w:vAlign w:val="center"/>
          </w:tcPr>
          <w:p w14:paraId="5F812819" w14:textId="77777777" w:rsidR="00BD3831" w:rsidRPr="00FA719C" w:rsidRDefault="00BD3831" w:rsidP="0031289D">
            <w:pPr>
              <w:rPr>
                <w:rFonts w:ascii="Arabic Typesetting" w:hAnsi="Arabic Typesetting" w:cs="Arabic Typesetting"/>
                <w:sz w:val="28"/>
                <w:szCs w:val="28"/>
              </w:rPr>
            </w:pPr>
          </w:p>
        </w:tc>
        <w:tc>
          <w:tcPr>
            <w:tcW w:w="231" w:type="pct"/>
            <w:tcBorders>
              <w:top w:val="nil"/>
              <w:left w:val="nil"/>
              <w:bottom w:val="single" w:sz="4" w:space="0" w:color="auto"/>
              <w:right w:val="single" w:sz="8" w:space="0" w:color="auto"/>
            </w:tcBorders>
            <w:vAlign w:val="center"/>
          </w:tcPr>
          <w:p w14:paraId="78EC3FDD" w14:textId="77777777" w:rsidR="00BD3831" w:rsidRPr="00FA719C" w:rsidRDefault="00BD3831" w:rsidP="0031289D">
            <w:pPr>
              <w:rPr>
                <w:rFonts w:ascii="Arabic Typesetting" w:hAnsi="Arabic Typesetting" w:cs="Arabic Typesetting"/>
                <w:sz w:val="28"/>
                <w:szCs w:val="28"/>
              </w:rPr>
            </w:pPr>
          </w:p>
        </w:tc>
        <w:tc>
          <w:tcPr>
            <w:tcW w:w="232" w:type="pct"/>
            <w:tcBorders>
              <w:top w:val="nil"/>
              <w:left w:val="nil"/>
              <w:bottom w:val="single" w:sz="4" w:space="0" w:color="auto"/>
              <w:right w:val="single" w:sz="4" w:space="0" w:color="auto"/>
            </w:tcBorders>
            <w:vAlign w:val="center"/>
          </w:tcPr>
          <w:p w14:paraId="1A5AF9FF"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2F357717"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312683D3" w14:textId="77777777" w:rsidR="00BD3831" w:rsidRPr="00FA719C" w:rsidRDefault="00BD3831" w:rsidP="0031289D">
            <w:pPr>
              <w:rPr>
                <w:rFonts w:ascii="Arabic Typesetting" w:hAnsi="Arabic Typesetting" w:cs="Arabic Typesetting"/>
                <w:sz w:val="28"/>
                <w:szCs w:val="28"/>
              </w:rPr>
            </w:pPr>
          </w:p>
        </w:tc>
      </w:tr>
      <w:tr w:rsidR="00BD3831" w:rsidRPr="00FA719C" w14:paraId="5FFF2F68" w14:textId="77777777" w:rsidTr="00DF6715">
        <w:trPr>
          <w:trHeight w:val="413"/>
          <w:jc w:val="center"/>
        </w:trPr>
        <w:tc>
          <w:tcPr>
            <w:tcW w:w="1739" w:type="pct"/>
            <w:tcBorders>
              <w:top w:val="nil"/>
              <w:left w:val="single" w:sz="4" w:space="0" w:color="auto"/>
              <w:bottom w:val="single" w:sz="4" w:space="0" w:color="auto"/>
              <w:right w:val="single" w:sz="8" w:space="0" w:color="auto"/>
            </w:tcBorders>
            <w:noWrap/>
            <w:vAlign w:val="center"/>
          </w:tcPr>
          <w:p w14:paraId="54D2000D"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طرح مناقصة واختيار القيادة/المهندس المعماري والمهندسين الفنيين</w:t>
            </w:r>
          </w:p>
        </w:tc>
        <w:tc>
          <w:tcPr>
            <w:tcW w:w="126" w:type="pct"/>
            <w:tcBorders>
              <w:top w:val="nil"/>
              <w:left w:val="nil"/>
              <w:bottom w:val="single" w:sz="4" w:space="0" w:color="auto"/>
              <w:right w:val="single" w:sz="4" w:space="0" w:color="auto"/>
            </w:tcBorders>
            <w:noWrap/>
            <w:tcMar>
              <w:left w:w="0" w:type="dxa"/>
              <w:right w:w="0" w:type="dxa"/>
            </w:tcMar>
            <w:vAlign w:val="center"/>
          </w:tcPr>
          <w:p w14:paraId="1758D674"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4627F0EA"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05521382" w14:textId="77777777" w:rsidR="00BD3831" w:rsidRPr="00FA719C" w:rsidRDefault="00BD3831" w:rsidP="0031289D">
            <w:pPr>
              <w:rPr>
                <w:rFonts w:ascii="Arabic Typesetting" w:hAnsi="Arabic Typesetting" w:cs="Arabic Typesetting"/>
                <w:sz w:val="28"/>
                <w:szCs w:val="28"/>
              </w:rPr>
            </w:pPr>
          </w:p>
        </w:tc>
        <w:tc>
          <w:tcPr>
            <w:tcW w:w="126" w:type="pct"/>
            <w:tcBorders>
              <w:top w:val="nil"/>
              <w:left w:val="nil"/>
              <w:bottom w:val="single" w:sz="4" w:space="0" w:color="auto"/>
              <w:right w:val="single" w:sz="8" w:space="0" w:color="auto"/>
            </w:tcBorders>
            <w:noWrap/>
            <w:tcMar>
              <w:left w:w="0" w:type="dxa"/>
              <w:right w:w="0" w:type="dxa"/>
            </w:tcMar>
            <w:vAlign w:val="center"/>
          </w:tcPr>
          <w:p w14:paraId="38C3152E" w14:textId="77777777" w:rsidR="00BD3831" w:rsidRPr="00FA719C" w:rsidRDefault="00BD3831" w:rsidP="0031289D">
            <w:pPr>
              <w:rPr>
                <w:rFonts w:ascii="Arabic Typesetting" w:hAnsi="Arabic Typesetting" w:cs="Arabic Typesetting"/>
                <w:sz w:val="28"/>
                <w:szCs w:val="28"/>
              </w:rPr>
            </w:pPr>
          </w:p>
        </w:tc>
        <w:tc>
          <w:tcPr>
            <w:tcW w:w="145" w:type="pct"/>
            <w:tcBorders>
              <w:top w:val="nil"/>
              <w:left w:val="nil"/>
              <w:bottom w:val="single" w:sz="4" w:space="0" w:color="auto"/>
              <w:right w:val="single" w:sz="4" w:space="0" w:color="auto"/>
            </w:tcBorders>
            <w:noWrap/>
            <w:tcMar>
              <w:left w:w="0" w:type="dxa"/>
              <w:right w:w="0" w:type="dxa"/>
            </w:tcMar>
            <w:vAlign w:val="center"/>
          </w:tcPr>
          <w:p w14:paraId="2F104CF8"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1F6595F8"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173716B3"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r w:rsidRPr="00FA719C">
              <w:rPr>
                <w:rFonts w:ascii="Arabic Typesetting" w:hAnsi="Arabic Typesetting" w:cs="Arabic Typesetting"/>
                <w:sz w:val="28"/>
                <w:szCs w:val="28"/>
                <w:vertAlign w:val="superscript"/>
              </w:rPr>
              <w:footnoteReference w:id="117"/>
            </w:r>
          </w:p>
        </w:tc>
        <w:tc>
          <w:tcPr>
            <w:tcW w:w="148" w:type="pct"/>
            <w:tcBorders>
              <w:top w:val="nil"/>
              <w:left w:val="nil"/>
              <w:bottom w:val="single" w:sz="4" w:space="0" w:color="auto"/>
              <w:right w:val="single" w:sz="8" w:space="0" w:color="auto"/>
            </w:tcBorders>
            <w:noWrap/>
            <w:tcMar>
              <w:left w:w="0" w:type="dxa"/>
              <w:right w:w="0" w:type="dxa"/>
            </w:tcMar>
            <w:vAlign w:val="center"/>
          </w:tcPr>
          <w:p w14:paraId="376E8F12" w14:textId="185A9A63"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25" w:type="pct"/>
            <w:tcBorders>
              <w:top w:val="nil"/>
              <w:left w:val="nil"/>
              <w:bottom w:val="single" w:sz="4" w:space="0" w:color="auto"/>
              <w:right w:val="single" w:sz="4" w:space="0" w:color="auto"/>
            </w:tcBorders>
            <w:noWrap/>
            <w:tcMar>
              <w:left w:w="0" w:type="dxa"/>
              <w:right w:w="0" w:type="dxa"/>
            </w:tcMar>
            <w:vAlign w:val="center"/>
          </w:tcPr>
          <w:p w14:paraId="2773684D"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r w:rsidRPr="00FA719C">
              <w:rPr>
                <w:rFonts w:ascii="Arabic Typesetting" w:hAnsi="Arabic Typesetting" w:cs="Arabic Typesetting"/>
                <w:sz w:val="28"/>
                <w:szCs w:val="28"/>
                <w:vertAlign w:val="superscript"/>
              </w:rPr>
              <w:footnoteReference w:id="118"/>
            </w:r>
          </w:p>
        </w:tc>
        <w:tc>
          <w:tcPr>
            <w:tcW w:w="124" w:type="pct"/>
            <w:tcBorders>
              <w:top w:val="nil"/>
              <w:left w:val="nil"/>
              <w:bottom w:val="single" w:sz="4" w:space="0" w:color="auto"/>
              <w:right w:val="single" w:sz="4" w:space="0" w:color="auto"/>
            </w:tcBorders>
            <w:noWrap/>
            <w:tcMar>
              <w:left w:w="0" w:type="dxa"/>
              <w:right w:w="0" w:type="dxa"/>
            </w:tcMar>
            <w:vAlign w:val="center"/>
          </w:tcPr>
          <w:p w14:paraId="117525BF" w14:textId="66E179F1"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24" w:type="pct"/>
            <w:tcBorders>
              <w:top w:val="nil"/>
              <w:left w:val="nil"/>
              <w:bottom w:val="single" w:sz="4" w:space="0" w:color="auto"/>
              <w:right w:val="single" w:sz="4" w:space="0" w:color="auto"/>
            </w:tcBorders>
            <w:noWrap/>
            <w:tcMar>
              <w:left w:w="0" w:type="dxa"/>
              <w:right w:w="0" w:type="dxa"/>
            </w:tcMar>
            <w:vAlign w:val="center"/>
          </w:tcPr>
          <w:p w14:paraId="5635C6B5" w14:textId="730FF24E"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50" w:type="pct"/>
            <w:tcBorders>
              <w:top w:val="nil"/>
              <w:left w:val="nil"/>
              <w:bottom w:val="single" w:sz="4" w:space="0" w:color="auto"/>
              <w:right w:val="single" w:sz="8" w:space="0" w:color="auto"/>
            </w:tcBorders>
            <w:noWrap/>
            <w:tcMar>
              <w:left w:w="0" w:type="dxa"/>
              <w:right w:w="0" w:type="dxa"/>
            </w:tcMar>
            <w:vAlign w:val="center"/>
          </w:tcPr>
          <w:p w14:paraId="6815020A" w14:textId="77777777" w:rsidR="00BD3831" w:rsidRPr="00FA719C" w:rsidRDefault="00BD3831" w:rsidP="0031289D">
            <w:pPr>
              <w:rPr>
                <w:rFonts w:ascii="Arabic Typesetting" w:hAnsi="Arabic Typesetting" w:cs="Arabic Typesetting"/>
                <w:sz w:val="28"/>
                <w:szCs w:val="28"/>
              </w:rPr>
            </w:pPr>
          </w:p>
        </w:tc>
        <w:tc>
          <w:tcPr>
            <w:tcW w:w="125" w:type="pct"/>
            <w:tcBorders>
              <w:top w:val="nil"/>
              <w:left w:val="nil"/>
              <w:bottom w:val="single" w:sz="4" w:space="0" w:color="auto"/>
              <w:right w:val="single" w:sz="4" w:space="0" w:color="auto"/>
            </w:tcBorders>
            <w:noWrap/>
            <w:tcMar>
              <w:left w:w="0" w:type="dxa"/>
              <w:right w:w="0" w:type="dxa"/>
            </w:tcMar>
            <w:vAlign w:val="center"/>
          </w:tcPr>
          <w:p w14:paraId="08FC363E"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4EB99E9F"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42071925" w14:textId="77777777" w:rsidR="00BD3831" w:rsidRPr="00FA719C" w:rsidRDefault="00BD3831" w:rsidP="0031289D">
            <w:pPr>
              <w:rPr>
                <w:rFonts w:ascii="Arabic Typesetting" w:hAnsi="Arabic Typesetting" w:cs="Arabic Typesetting"/>
                <w:sz w:val="28"/>
                <w:szCs w:val="28"/>
              </w:rPr>
            </w:pPr>
          </w:p>
        </w:tc>
        <w:tc>
          <w:tcPr>
            <w:tcW w:w="126" w:type="pct"/>
            <w:tcBorders>
              <w:top w:val="nil"/>
              <w:left w:val="nil"/>
              <w:bottom w:val="single" w:sz="4" w:space="0" w:color="auto"/>
              <w:right w:val="single" w:sz="8" w:space="0" w:color="auto"/>
            </w:tcBorders>
            <w:noWrap/>
            <w:tcMar>
              <w:left w:w="0" w:type="dxa"/>
              <w:right w:w="0" w:type="dxa"/>
            </w:tcMar>
            <w:vAlign w:val="center"/>
          </w:tcPr>
          <w:p w14:paraId="255C830D" w14:textId="77777777" w:rsidR="00BD3831" w:rsidRPr="00FA719C" w:rsidRDefault="00BD3831" w:rsidP="0031289D">
            <w:pPr>
              <w:rPr>
                <w:rFonts w:ascii="Arabic Typesetting" w:hAnsi="Arabic Typesetting" w:cs="Arabic Typesetting"/>
                <w:sz w:val="28"/>
                <w:szCs w:val="28"/>
              </w:rPr>
            </w:pPr>
          </w:p>
        </w:tc>
        <w:tc>
          <w:tcPr>
            <w:tcW w:w="148" w:type="pct"/>
            <w:tcBorders>
              <w:top w:val="nil"/>
              <w:left w:val="nil"/>
              <w:bottom w:val="single" w:sz="4" w:space="0" w:color="auto"/>
              <w:right w:val="single" w:sz="8" w:space="0" w:color="auto"/>
            </w:tcBorders>
            <w:tcMar>
              <w:left w:w="0" w:type="dxa"/>
              <w:right w:w="0" w:type="dxa"/>
            </w:tcMar>
            <w:vAlign w:val="center"/>
          </w:tcPr>
          <w:p w14:paraId="691C3EB2" w14:textId="77777777" w:rsidR="00BD3831" w:rsidRPr="00FA719C" w:rsidRDefault="00BD3831" w:rsidP="0031289D">
            <w:pPr>
              <w:rPr>
                <w:rFonts w:ascii="Arabic Typesetting" w:hAnsi="Arabic Typesetting" w:cs="Arabic Typesetting"/>
                <w:sz w:val="28"/>
                <w:szCs w:val="28"/>
              </w:rPr>
            </w:pPr>
          </w:p>
        </w:tc>
        <w:tc>
          <w:tcPr>
            <w:tcW w:w="129" w:type="pct"/>
            <w:tcBorders>
              <w:top w:val="nil"/>
              <w:left w:val="nil"/>
              <w:bottom w:val="single" w:sz="4" w:space="0" w:color="auto"/>
              <w:right w:val="single" w:sz="8" w:space="0" w:color="auto"/>
            </w:tcBorders>
            <w:tcMar>
              <w:left w:w="0" w:type="dxa"/>
              <w:right w:w="0" w:type="dxa"/>
            </w:tcMar>
            <w:vAlign w:val="center"/>
          </w:tcPr>
          <w:p w14:paraId="7B9E1C9C" w14:textId="77777777" w:rsidR="00BD3831" w:rsidRPr="00FA719C" w:rsidRDefault="00BD3831" w:rsidP="0031289D">
            <w:pPr>
              <w:rPr>
                <w:rFonts w:ascii="Arabic Typesetting" w:hAnsi="Arabic Typesetting" w:cs="Arabic Typesetting"/>
                <w:sz w:val="28"/>
                <w:szCs w:val="28"/>
              </w:rPr>
            </w:pPr>
          </w:p>
        </w:tc>
        <w:tc>
          <w:tcPr>
            <w:tcW w:w="231" w:type="pct"/>
            <w:tcBorders>
              <w:top w:val="nil"/>
              <w:left w:val="nil"/>
              <w:bottom w:val="single" w:sz="4" w:space="0" w:color="auto"/>
              <w:right w:val="single" w:sz="8" w:space="0" w:color="auto"/>
            </w:tcBorders>
            <w:vAlign w:val="center"/>
          </w:tcPr>
          <w:p w14:paraId="7BBC86BA" w14:textId="77777777" w:rsidR="00BD3831" w:rsidRPr="00FA719C" w:rsidRDefault="00BD3831" w:rsidP="0031289D">
            <w:pPr>
              <w:rPr>
                <w:rFonts w:ascii="Arabic Typesetting" w:hAnsi="Arabic Typesetting" w:cs="Arabic Typesetting"/>
                <w:sz w:val="28"/>
                <w:szCs w:val="28"/>
              </w:rPr>
            </w:pPr>
          </w:p>
        </w:tc>
        <w:tc>
          <w:tcPr>
            <w:tcW w:w="232" w:type="pct"/>
            <w:tcBorders>
              <w:top w:val="nil"/>
              <w:left w:val="nil"/>
              <w:bottom w:val="single" w:sz="4" w:space="0" w:color="auto"/>
              <w:right w:val="single" w:sz="4" w:space="0" w:color="auto"/>
            </w:tcBorders>
            <w:vAlign w:val="center"/>
          </w:tcPr>
          <w:p w14:paraId="0A8989BB"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59757DA9"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0B62951D" w14:textId="77777777" w:rsidR="00BD3831" w:rsidRPr="00FA719C" w:rsidRDefault="00BD3831" w:rsidP="0031289D">
            <w:pPr>
              <w:rPr>
                <w:rFonts w:ascii="Arabic Typesetting" w:hAnsi="Arabic Typesetting" w:cs="Arabic Typesetting"/>
                <w:sz w:val="28"/>
                <w:szCs w:val="28"/>
              </w:rPr>
            </w:pPr>
          </w:p>
        </w:tc>
      </w:tr>
      <w:tr w:rsidR="00BD3831" w:rsidRPr="00FA719C" w14:paraId="4D2AE844" w14:textId="77777777" w:rsidTr="00DF6715">
        <w:trPr>
          <w:trHeight w:val="507"/>
          <w:jc w:val="center"/>
        </w:trPr>
        <w:tc>
          <w:tcPr>
            <w:tcW w:w="1739" w:type="pct"/>
            <w:tcBorders>
              <w:top w:val="nil"/>
              <w:left w:val="single" w:sz="4" w:space="0" w:color="auto"/>
              <w:bottom w:val="single" w:sz="4" w:space="0" w:color="auto"/>
              <w:right w:val="single" w:sz="8" w:space="0" w:color="auto"/>
            </w:tcBorders>
            <w:noWrap/>
            <w:vAlign w:val="center"/>
          </w:tcPr>
          <w:p w14:paraId="5BCA999F"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دراسة شاملة عن التنفيذ</w:t>
            </w:r>
          </w:p>
        </w:tc>
        <w:tc>
          <w:tcPr>
            <w:tcW w:w="126" w:type="pct"/>
            <w:tcBorders>
              <w:top w:val="nil"/>
              <w:left w:val="nil"/>
              <w:bottom w:val="single" w:sz="4" w:space="0" w:color="auto"/>
              <w:right w:val="single" w:sz="4" w:space="0" w:color="auto"/>
            </w:tcBorders>
            <w:noWrap/>
            <w:tcMar>
              <w:left w:w="0" w:type="dxa"/>
              <w:right w:w="0" w:type="dxa"/>
            </w:tcMar>
            <w:vAlign w:val="center"/>
          </w:tcPr>
          <w:p w14:paraId="067457BC"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38567B26"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68BF2EF4" w14:textId="77777777" w:rsidR="00BD3831" w:rsidRPr="00FA719C" w:rsidRDefault="00BD3831" w:rsidP="0031289D">
            <w:pPr>
              <w:rPr>
                <w:rFonts w:ascii="Arabic Typesetting" w:hAnsi="Arabic Typesetting" w:cs="Arabic Typesetting"/>
                <w:sz w:val="28"/>
                <w:szCs w:val="28"/>
              </w:rPr>
            </w:pPr>
          </w:p>
        </w:tc>
        <w:tc>
          <w:tcPr>
            <w:tcW w:w="126" w:type="pct"/>
            <w:tcBorders>
              <w:top w:val="nil"/>
              <w:left w:val="nil"/>
              <w:bottom w:val="single" w:sz="4" w:space="0" w:color="auto"/>
              <w:right w:val="single" w:sz="8" w:space="0" w:color="auto"/>
            </w:tcBorders>
            <w:noWrap/>
            <w:tcMar>
              <w:left w:w="0" w:type="dxa"/>
              <w:right w:w="0" w:type="dxa"/>
            </w:tcMar>
            <w:vAlign w:val="center"/>
          </w:tcPr>
          <w:p w14:paraId="097931CB" w14:textId="77777777" w:rsidR="00BD3831" w:rsidRPr="00FA719C" w:rsidRDefault="00BD3831" w:rsidP="0031289D">
            <w:pPr>
              <w:rPr>
                <w:rFonts w:ascii="Arabic Typesetting" w:hAnsi="Arabic Typesetting" w:cs="Arabic Typesetting"/>
                <w:sz w:val="28"/>
                <w:szCs w:val="28"/>
              </w:rPr>
            </w:pPr>
          </w:p>
        </w:tc>
        <w:tc>
          <w:tcPr>
            <w:tcW w:w="145" w:type="pct"/>
            <w:tcBorders>
              <w:top w:val="nil"/>
              <w:left w:val="nil"/>
              <w:bottom w:val="single" w:sz="4" w:space="0" w:color="auto"/>
              <w:right w:val="single" w:sz="4" w:space="0" w:color="auto"/>
            </w:tcBorders>
            <w:noWrap/>
            <w:tcMar>
              <w:left w:w="0" w:type="dxa"/>
              <w:right w:w="0" w:type="dxa"/>
            </w:tcMar>
            <w:vAlign w:val="center"/>
          </w:tcPr>
          <w:p w14:paraId="0977E27C"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57386931"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2A2854D8" w14:textId="77777777" w:rsidR="00BD3831" w:rsidRPr="00FA719C" w:rsidRDefault="00BD3831" w:rsidP="0031289D">
            <w:pPr>
              <w:rPr>
                <w:rFonts w:ascii="Arabic Typesetting" w:hAnsi="Arabic Typesetting" w:cs="Arabic Typesetting"/>
                <w:sz w:val="28"/>
                <w:szCs w:val="28"/>
              </w:rPr>
            </w:pPr>
          </w:p>
        </w:tc>
        <w:tc>
          <w:tcPr>
            <w:tcW w:w="148" w:type="pct"/>
            <w:tcBorders>
              <w:top w:val="nil"/>
              <w:left w:val="nil"/>
              <w:bottom w:val="single" w:sz="4" w:space="0" w:color="auto"/>
              <w:right w:val="single" w:sz="8" w:space="0" w:color="auto"/>
            </w:tcBorders>
            <w:noWrap/>
            <w:tcMar>
              <w:left w:w="0" w:type="dxa"/>
              <w:right w:w="0" w:type="dxa"/>
            </w:tcMar>
            <w:vAlign w:val="center"/>
          </w:tcPr>
          <w:p w14:paraId="684BA65A" w14:textId="77777777" w:rsidR="00BD3831" w:rsidRPr="00FA719C" w:rsidRDefault="00BD3831" w:rsidP="0031289D">
            <w:pPr>
              <w:rPr>
                <w:rFonts w:ascii="Arabic Typesetting" w:hAnsi="Arabic Typesetting" w:cs="Arabic Typesetting"/>
                <w:sz w:val="28"/>
                <w:szCs w:val="28"/>
              </w:rPr>
            </w:pPr>
          </w:p>
        </w:tc>
        <w:tc>
          <w:tcPr>
            <w:tcW w:w="125" w:type="pct"/>
            <w:tcBorders>
              <w:top w:val="nil"/>
              <w:left w:val="nil"/>
              <w:bottom w:val="single" w:sz="4" w:space="0" w:color="auto"/>
              <w:right w:val="single" w:sz="4" w:space="0" w:color="auto"/>
            </w:tcBorders>
            <w:noWrap/>
            <w:tcMar>
              <w:left w:w="0" w:type="dxa"/>
              <w:right w:w="0" w:type="dxa"/>
            </w:tcMar>
            <w:vAlign w:val="center"/>
          </w:tcPr>
          <w:p w14:paraId="3939BA44"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76AB87EF"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24" w:type="pct"/>
            <w:tcBorders>
              <w:top w:val="nil"/>
              <w:left w:val="nil"/>
              <w:bottom w:val="single" w:sz="4" w:space="0" w:color="auto"/>
              <w:right w:val="single" w:sz="4" w:space="0" w:color="auto"/>
            </w:tcBorders>
            <w:noWrap/>
            <w:tcMar>
              <w:left w:w="0" w:type="dxa"/>
              <w:right w:w="0" w:type="dxa"/>
            </w:tcMar>
            <w:vAlign w:val="center"/>
          </w:tcPr>
          <w:p w14:paraId="2D8AD5BC"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50" w:type="pct"/>
            <w:tcBorders>
              <w:top w:val="nil"/>
              <w:left w:val="nil"/>
              <w:bottom w:val="single" w:sz="4" w:space="0" w:color="auto"/>
              <w:right w:val="single" w:sz="8" w:space="0" w:color="auto"/>
            </w:tcBorders>
            <w:noWrap/>
            <w:tcMar>
              <w:left w:w="0" w:type="dxa"/>
              <w:right w:w="0" w:type="dxa"/>
            </w:tcMar>
            <w:vAlign w:val="center"/>
          </w:tcPr>
          <w:p w14:paraId="42365527"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25" w:type="pct"/>
            <w:tcBorders>
              <w:top w:val="nil"/>
              <w:left w:val="nil"/>
              <w:bottom w:val="single" w:sz="4" w:space="0" w:color="auto"/>
              <w:right w:val="single" w:sz="4" w:space="0" w:color="auto"/>
            </w:tcBorders>
            <w:noWrap/>
            <w:tcMar>
              <w:left w:w="0" w:type="dxa"/>
              <w:right w:w="0" w:type="dxa"/>
            </w:tcMar>
            <w:vAlign w:val="center"/>
          </w:tcPr>
          <w:p w14:paraId="396D9A6D"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3CCA1898"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301E669F" w14:textId="77777777" w:rsidR="00BD3831" w:rsidRPr="00FA719C" w:rsidRDefault="00BD3831" w:rsidP="0031289D">
            <w:pPr>
              <w:rPr>
                <w:rFonts w:ascii="Arabic Typesetting" w:hAnsi="Arabic Typesetting" w:cs="Arabic Typesetting"/>
                <w:sz w:val="28"/>
                <w:szCs w:val="28"/>
              </w:rPr>
            </w:pPr>
          </w:p>
        </w:tc>
        <w:tc>
          <w:tcPr>
            <w:tcW w:w="126" w:type="pct"/>
            <w:tcBorders>
              <w:top w:val="nil"/>
              <w:left w:val="nil"/>
              <w:bottom w:val="single" w:sz="4" w:space="0" w:color="auto"/>
              <w:right w:val="single" w:sz="8" w:space="0" w:color="auto"/>
            </w:tcBorders>
            <w:noWrap/>
            <w:tcMar>
              <w:left w:w="0" w:type="dxa"/>
              <w:right w:w="0" w:type="dxa"/>
            </w:tcMar>
            <w:vAlign w:val="center"/>
          </w:tcPr>
          <w:p w14:paraId="1953AEB7" w14:textId="77777777" w:rsidR="00BD3831" w:rsidRPr="00FA719C" w:rsidRDefault="00BD3831" w:rsidP="0031289D">
            <w:pPr>
              <w:rPr>
                <w:rFonts w:ascii="Arabic Typesetting" w:hAnsi="Arabic Typesetting" w:cs="Arabic Typesetting"/>
                <w:sz w:val="28"/>
                <w:szCs w:val="28"/>
              </w:rPr>
            </w:pPr>
          </w:p>
        </w:tc>
        <w:tc>
          <w:tcPr>
            <w:tcW w:w="148" w:type="pct"/>
            <w:tcBorders>
              <w:top w:val="nil"/>
              <w:left w:val="nil"/>
              <w:bottom w:val="single" w:sz="4" w:space="0" w:color="auto"/>
              <w:right w:val="single" w:sz="8" w:space="0" w:color="auto"/>
            </w:tcBorders>
            <w:tcMar>
              <w:left w:w="0" w:type="dxa"/>
              <w:right w:w="0" w:type="dxa"/>
            </w:tcMar>
            <w:vAlign w:val="center"/>
          </w:tcPr>
          <w:p w14:paraId="3A626ADD" w14:textId="77777777" w:rsidR="00BD3831" w:rsidRPr="00FA719C" w:rsidRDefault="00BD3831" w:rsidP="0031289D">
            <w:pPr>
              <w:rPr>
                <w:rFonts w:ascii="Arabic Typesetting" w:hAnsi="Arabic Typesetting" w:cs="Arabic Typesetting"/>
                <w:sz w:val="28"/>
                <w:szCs w:val="28"/>
              </w:rPr>
            </w:pPr>
          </w:p>
        </w:tc>
        <w:tc>
          <w:tcPr>
            <w:tcW w:w="129" w:type="pct"/>
            <w:tcBorders>
              <w:top w:val="nil"/>
              <w:left w:val="nil"/>
              <w:bottom w:val="single" w:sz="4" w:space="0" w:color="auto"/>
              <w:right w:val="single" w:sz="8" w:space="0" w:color="auto"/>
            </w:tcBorders>
            <w:tcMar>
              <w:left w:w="0" w:type="dxa"/>
              <w:right w:w="0" w:type="dxa"/>
            </w:tcMar>
            <w:vAlign w:val="center"/>
          </w:tcPr>
          <w:p w14:paraId="6CAA6597" w14:textId="77777777" w:rsidR="00BD3831" w:rsidRPr="00FA719C" w:rsidRDefault="00BD3831" w:rsidP="0031289D">
            <w:pPr>
              <w:rPr>
                <w:rFonts w:ascii="Arabic Typesetting" w:hAnsi="Arabic Typesetting" w:cs="Arabic Typesetting"/>
                <w:sz w:val="28"/>
                <w:szCs w:val="28"/>
              </w:rPr>
            </w:pPr>
          </w:p>
        </w:tc>
        <w:tc>
          <w:tcPr>
            <w:tcW w:w="231" w:type="pct"/>
            <w:tcBorders>
              <w:top w:val="nil"/>
              <w:left w:val="nil"/>
              <w:bottom w:val="single" w:sz="4" w:space="0" w:color="auto"/>
              <w:right w:val="single" w:sz="8" w:space="0" w:color="auto"/>
            </w:tcBorders>
            <w:vAlign w:val="center"/>
          </w:tcPr>
          <w:p w14:paraId="600852BB" w14:textId="77777777" w:rsidR="00BD3831" w:rsidRPr="00FA719C" w:rsidRDefault="00BD3831" w:rsidP="0031289D">
            <w:pPr>
              <w:rPr>
                <w:rFonts w:ascii="Arabic Typesetting" w:hAnsi="Arabic Typesetting" w:cs="Arabic Typesetting"/>
                <w:sz w:val="28"/>
                <w:szCs w:val="28"/>
              </w:rPr>
            </w:pPr>
          </w:p>
        </w:tc>
        <w:tc>
          <w:tcPr>
            <w:tcW w:w="232" w:type="pct"/>
            <w:tcBorders>
              <w:top w:val="nil"/>
              <w:left w:val="nil"/>
              <w:bottom w:val="single" w:sz="4" w:space="0" w:color="auto"/>
              <w:right w:val="single" w:sz="4" w:space="0" w:color="auto"/>
            </w:tcBorders>
            <w:vAlign w:val="center"/>
          </w:tcPr>
          <w:p w14:paraId="3A5AB9F5"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459CC6AB"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2A7E5FB8" w14:textId="77777777" w:rsidR="00BD3831" w:rsidRPr="00FA719C" w:rsidRDefault="00BD3831" w:rsidP="0031289D">
            <w:pPr>
              <w:rPr>
                <w:rFonts w:ascii="Arabic Typesetting" w:hAnsi="Arabic Typesetting" w:cs="Arabic Typesetting"/>
                <w:sz w:val="28"/>
                <w:szCs w:val="28"/>
              </w:rPr>
            </w:pPr>
          </w:p>
        </w:tc>
      </w:tr>
      <w:tr w:rsidR="00BD3831" w:rsidRPr="00FA719C" w14:paraId="0FBC22BA" w14:textId="77777777" w:rsidTr="00DF6715">
        <w:trPr>
          <w:trHeight w:val="615"/>
          <w:jc w:val="center"/>
        </w:trPr>
        <w:tc>
          <w:tcPr>
            <w:tcW w:w="1739" w:type="pct"/>
            <w:tcBorders>
              <w:top w:val="nil"/>
              <w:left w:val="single" w:sz="4" w:space="0" w:color="auto"/>
              <w:bottom w:val="single" w:sz="4" w:space="0" w:color="auto"/>
              <w:right w:val="single" w:sz="8" w:space="0" w:color="auto"/>
            </w:tcBorders>
            <w:noWrap/>
            <w:vAlign w:val="center"/>
          </w:tcPr>
          <w:p w14:paraId="021D4B0E"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اختيار الحل التقني</w:t>
            </w:r>
          </w:p>
        </w:tc>
        <w:tc>
          <w:tcPr>
            <w:tcW w:w="126" w:type="pct"/>
            <w:tcBorders>
              <w:top w:val="nil"/>
              <w:left w:val="nil"/>
              <w:bottom w:val="single" w:sz="4" w:space="0" w:color="auto"/>
              <w:right w:val="single" w:sz="4" w:space="0" w:color="auto"/>
            </w:tcBorders>
            <w:noWrap/>
            <w:tcMar>
              <w:left w:w="0" w:type="dxa"/>
              <w:right w:w="0" w:type="dxa"/>
            </w:tcMar>
            <w:vAlign w:val="center"/>
          </w:tcPr>
          <w:p w14:paraId="38D4FD1A"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5DFE9DF2"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0BFE330B" w14:textId="77777777" w:rsidR="00BD3831" w:rsidRPr="00FA719C" w:rsidRDefault="00BD3831" w:rsidP="0031289D">
            <w:pPr>
              <w:rPr>
                <w:rFonts w:ascii="Arabic Typesetting" w:hAnsi="Arabic Typesetting" w:cs="Arabic Typesetting"/>
                <w:sz w:val="28"/>
                <w:szCs w:val="28"/>
              </w:rPr>
            </w:pPr>
          </w:p>
        </w:tc>
        <w:tc>
          <w:tcPr>
            <w:tcW w:w="126" w:type="pct"/>
            <w:tcBorders>
              <w:top w:val="nil"/>
              <w:left w:val="nil"/>
              <w:bottom w:val="single" w:sz="4" w:space="0" w:color="auto"/>
              <w:right w:val="single" w:sz="8" w:space="0" w:color="auto"/>
            </w:tcBorders>
            <w:noWrap/>
            <w:tcMar>
              <w:left w:w="0" w:type="dxa"/>
              <w:right w:w="0" w:type="dxa"/>
            </w:tcMar>
            <w:vAlign w:val="center"/>
          </w:tcPr>
          <w:p w14:paraId="31F8F694" w14:textId="77777777" w:rsidR="00BD3831" w:rsidRPr="00FA719C" w:rsidRDefault="00BD3831" w:rsidP="0031289D">
            <w:pPr>
              <w:rPr>
                <w:rFonts w:ascii="Arabic Typesetting" w:hAnsi="Arabic Typesetting" w:cs="Arabic Typesetting"/>
                <w:sz w:val="28"/>
                <w:szCs w:val="28"/>
              </w:rPr>
            </w:pPr>
          </w:p>
        </w:tc>
        <w:tc>
          <w:tcPr>
            <w:tcW w:w="145" w:type="pct"/>
            <w:tcBorders>
              <w:top w:val="nil"/>
              <w:left w:val="nil"/>
              <w:bottom w:val="single" w:sz="4" w:space="0" w:color="auto"/>
              <w:right w:val="single" w:sz="4" w:space="0" w:color="auto"/>
            </w:tcBorders>
            <w:noWrap/>
            <w:tcMar>
              <w:left w:w="0" w:type="dxa"/>
              <w:right w:w="0" w:type="dxa"/>
            </w:tcMar>
            <w:vAlign w:val="center"/>
          </w:tcPr>
          <w:p w14:paraId="37184D7B"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3A6126A0"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3C1391C8" w14:textId="77777777" w:rsidR="00BD3831" w:rsidRPr="00FA719C" w:rsidRDefault="00BD3831" w:rsidP="0031289D">
            <w:pPr>
              <w:rPr>
                <w:rFonts w:ascii="Arabic Typesetting" w:hAnsi="Arabic Typesetting" w:cs="Arabic Typesetting"/>
                <w:sz w:val="28"/>
                <w:szCs w:val="28"/>
              </w:rPr>
            </w:pPr>
          </w:p>
        </w:tc>
        <w:tc>
          <w:tcPr>
            <w:tcW w:w="148" w:type="pct"/>
            <w:tcBorders>
              <w:top w:val="nil"/>
              <w:left w:val="nil"/>
              <w:bottom w:val="single" w:sz="4" w:space="0" w:color="auto"/>
              <w:right w:val="single" w:sz="8" w:space="0" w:color="auto"/>
            </w:tcBorders>
            <w:noWrap/>
            <w:tcMar>
              <w:left w:w="0" w:type="dxa"/>
              <w:right w:w="0" w:type="dxa"/>
            </w:tcMar>
            <w:vAlign w:val="center"/>
          </w:tcPr>
          <w:p w14:paraId="55CC6E56" w14:textId="77777777" w:rsidR="00BD3831" w:rsidRPr="00FA719C" w:rsidRDefault="00BD3831" w:rsidP="0031289D">
            <w:pPr>
              <w:rPr>
                <w:rFonts w:ascii="Arabic Typesetting" w:hAnsi="Arabic Typesetting" w:cs="Arabic Typesetting"/>
                <w:sz w:val="28"/>
                <w:szCs w:val="28"/>
              </w:rPr>
            </w:pPr>
          </w:p>
        </w:tc>
        <w:tc>
          <w:tcPr>
            <w:tcW w:w="125" w:type="pct"/>
            <w:tcBorders>
              <w:top w:val="nil"/>
              <w:left w:val="nil"/>
              <w:bottom w:val="single" w:sz="4" w:space="0" w:color="auto"/>
              <w:right w:val="single" w:sz="4" w:space="0" w:color="auto"/>
            </w:tcBorders>
            <w:noWrap/>
            <w:tcMar>
              <w:left w:w="0" w:type="dxa"/>
              <w:right w:w="0" w:type="dxa"/>
            </w:tcMar>
            <w:vAlign w:val="center"/>
          </w:tcPr>
          <w:p w14:paraId="1EB1BA6D"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2349B1A1"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5D3032A5" w14:textId="77777777" w:rsidR="00BD3831" w:rsidRPr="00FA719C" w:rsidRDefault="00BD3831" w:rsidP="0031289D">
            <w:pPr>
              <w:rPr>
                <w:rFonts w:ascii="Arabic Typesetting" w:hAnsi="Arabic Typesetting" w:cs="Arabic Typesetting"/>
                <w:sz w:val="28"/>
                <w:szCs w:val="28"/>
              </w:rPr>
            </w:pPr>
          </w:p>
        </w:tc>
        <w:tc>
          <w:tcPr>
            <w:tcW w:w="150" w:type="pct"/>
            <w:tcBorders>
              <w:top w:val="nil"/>
              <w:left w:val="nil"/>
              <w:bottom w:val="single" w:sz="4" w:space="0" w:color="auto"/>
              <w:right w:val="single" w:sz="8" w:space="0" w:color="auto"/>
            </w:tcBorders>
            <w:noWrap/>
            <w:tcMar>
              <w:left w:w="0" w:type="dxa"/>
              <w:right w:w="0" w:type="dxa"/>
            </w:tcMar>
            <w:vAlign w:val="center"/>
          </w:tcPr>
          <w:p w14:paraId="1D13D6E2"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25" w:type="pct"/>
            <w:tcBorders>
              <w:top w:val="nil"/>
              <w:left w:val="nil"/>
              <w:bottom w:val="single" w:sz="4" w:space="0" w:color="auto"/>
              <w:right w:val="single" w:sz="4" w:space="0" w:color="auto"/>
            </w:tcBorders>
            <w:noWrap/>
            <w:tcMar>
              <w:left w:w="0" w:type="dxa"/>
              <w:right w:w="0" w:type="dxa"/>
            </w:tcMar>
            <w:vAlign w:val="center"/>
          </w:tcPr>
          <w:p w14:paraId="1D276802"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0BCDC848"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7089246E" w14:textId="77777777" w:rsidR="00BD3831" w:rsidRPr="00FA719C" w:rsidRDefault="00BD3831" w:rsidP="0031289D">
            <w:pPr>
              <w:rPr>
                <w:rFonts w:ascii="Arabic Typesetting" w:hAnsi="Arabic Typesetting" w:cs="Arabic Typesetting"/>
                <w:sz w:val="28"/>
                <w:szCs w:val="28"/>
              </w:rPr>
            </w:pPr>
          </w:p>
        </w:tc>
        <w:tc>
          <w:tcPr>
            <w:tcW w:w="126" w:type="pct"/>
            <w:tcBorders>
              <w:top w:val="nil"/>
              <w:left w:val="nil"/>
              <w:bottom w:val="single" w:sz="4" w:space="0" w:color="auto"/>
              <w:right w:val="single" w:sz="8" w:space="0" w:color="auto"/>
            </w:tcBorders>
            <w:noWrap/>
            <w:tcMar>
              <w:left w:w="0" w:type="dxa"/>
              <w:right w:w="0" w:type="dxa"/>
            </w:tcMar>
            <w:vAlign w:val="center"/>
          </w:tcPr>
          <w:p w14:paraId="58478B97" w14:textId="77777777" w:rsidR="00BD3831" w:rsidRPr="00FA719C" w:rsidRDefault="00BD3831" w:rsidP="0031289D">
            <w:pPr>
              <w:rPr>
                <w:rFonts w:ascii="Arabic Typesetting" w:hAnsi="Arabic Typesetting" w:cs="Arabic Typesetting"/>
                <w:sz w:val="28"/>
                <w:szCs w:val="28"/>
              </w:rPr>
            </w:pPr>
          </w:p>
        </w:tc>
        <w:tc>
          <w:tcPr>
            <w:tcW w:w="148" w:type="pct"/>
            <w:tcBorders>
              <w:top w:val="nil"/>
              <w:left w:val="nil"/>
              <w:bottom w:val="single" w:sz="4" w:space="0" w:color="auto"/>
              <w:right w:val="single" w:sz="8" w:space="0" w:color="auto"/>
            </w:tcBorders>
            <w:tcMar>
              <w:left w:w="0" w:type="dxa"/>
              <w:right w:w="0" w:type="dxa"/>
            </w:tcMar>
            <w:vAlign w:val="center"/>
          </w:tcPr>
          <w:p w14:paraId="4BC314F8" w14:textId="77777777" w:rsidR="00BD3831" w:rsidRPr="00FA719C" w:rsidRDefault="00BD3831" w:rsidP="0031289D">
            <w:pPr>
              <w:rPr>
                <w:rFonts w:ascii="Arabic Typesetting" w:hAnsi="Arabic Typesetting" w:cs="Arabic Typesetting"/>
                <w:sz w:val="28"/>
                <w:szCs w:val="28"/>
              </w:rPr>
            </w:pPr>
          </w:p>
        </w:tc>
        <w:tc>
          <w:tcPr>
            <w:tcW w:w="129" w:type="pct"/>
            <w:tcBorders>
              <w:top w:val="nil"/>
              <w:left w:val="nil"/>
              <w:bottom w:val="single" w:sz="4" w:space="0" w:color="auto"/>
              <w:right w:val="single" w:sz="8" w:space="0" w:color="auto"/>
            </w:tcBorders>
            <w:tcMar>
              <w:left w:w="0" w:type="dxa"/>
              <w:right w:w="0" w:type="dxa"/>
            </w:tcMar>
            <w:vAlign w:val="center"/>
          </w:tcPr>
          <w:p w14:paraId="16084444" w14:textId="77777777" w:rsidR="00BD3831" w:rsidRPr="00FA719C" w:rsidRDefault="00BD3831" w:rsidP="0031289D">
            <w:pPr>
              <w:rPr>
                <w:rFonts w:ascii="Arabic Typesetting" w:hAnsi="Arabic Typesetting" w:cs="Arabic Typesetting"/>
                <w:sz w:val="28"/>
                <w:szCs w:val="28"/>
              </w:rPr>
            </w:pPr>
          </w:p>
        </w:tc>
        <w:tc>
          <w:tcPr>
            <w:tcW w:w="231" w:type="pct"/>
            <w:tcBorders>
              <w:top w:val="nil"/>
              <w:left w:val="nil"/>
              <w:bottom w:val="single" w:sz="4" w:space="0" w:color="auto"/>
              <w:right w:val="single" w:sz="8" w:space="0" w:color="auto"/>
            </w:tcBorders>
            <w:vAlign w:val="center"/>
          </w:tcPr>
          <w:p w14:paraId="562F93D5" w14:textId="77777777" w:rsidR="00BD3831" w:rsidRPr="00FA719C" w:rsidRDefault="00BD3831" w:rsidP="0031289D">
            <w:pPr>
              <w:rPr>
                <w:rFonts w:ascii="Arabic Typesetting" w:hAnsi="Arabic Typesetting" w:cs="Arabic Typesetting"/>
                <w:sz w:val="28"/>
                <w:szCs w:val="28"/>
              </w:rPr>
            </w:pPr>
          </w:p>
        </w:tc>
        <w:tc>
          <w:tcPr>
            <w:tcW w:w="232" w:type="pct"/>
            <w:tcBorders>
              <w:top w:val="nil"/>
              <w:left w:val="nil"/>
              <w:bottom w:val="single" w:sz="4" w:space="0" w:color="auto"/>
              <w:right w:val="single" w:sz="4" w:space="0" w:color="auto"/>
            </w:tcBorders>
            <w:vAlign w:val="center"/>
          </w:tcPr>
          <w:p w14:paraId="7A4735E1"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18EB0156"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0A9EF8D1" w14:textId="77777777" w:rsidR="00BD3831" w:rsidRPr="00FA719C" w:rsidRDefault="00BD3831" w:rsidP="0031289D">
            <w:pPr>
              <w:rPr>
                <w:rFonts w:ascii="Arabic Typesetting" w:hAnsi="Arabic Typesetting" w:cs="Arabic Typesetting"/>
                <w:sz w:val="28"/>
                <w:szCs w:val="28"/>
              </w:rPr>
            </w:pPr>
          </w:p>
        </w:tc>
      </w:tr>
      <w:tr w:rsidR="00BD3831" w:rsidRPr="00FA719C" w14:paraId="494C1257" w14:textId="77777777" w:rsidTr="00DF6715">
        <w:trPr>
          <w:trHeight w:val="563"/>
          <w:jc w:val="center"/>
        </w:trPr>
        <w:tc>
          <w:tcPr>
            <w:tcW w:w="1739" w:type="pct"/>
            <w:tcBorders>
              <w:top w:val="nil"/>
              <w:left w:val="single" w:sz="4" w:space="0" w:color="auto"/>
              <w:bottom w:val="single" w:sz="4" w:space="0" w:color="auto"/>
              <w:right w:val="single" w:sz="8" w:space="0" w:color="auto"/>
            </w:tcBorders>
            <w:noWrap/>
            <w:vAlign w:val="center"/>
          </w:tcPr>
          <w:p w14:paraId="3F8CE0E8"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طرح مناقصة على الشركات</w:t>
            </w:r>
          </w:p>
        </w:tc>
        <w:tc>
          <w:tcPr>
            <w:tcW w:w="126" w:type="pct"/>
            <w:tcBorders>
              <w:top w:val="nil"/>
              <w:left w:val="nil"/>
              <w:bottom w:val="single" w:sz="4" w:space="0" w:color="auto"/>
              <w:right w:val="single" w:sz="4" w:space="0" w:color="auto"/>
            </w:tcBorders>
            <w:noWrap/>
            <w:tcMar>
              <w:left w:w="0" w:type="dxa"/>
              <w:right w:w="0" w:type="dxa"/>
            </w:tcMar>
            <w:vAlign w:val="center"/>
          </w:tcPr>
          <w:p w14:paraId="1A9D0BFC"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15E18503"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07B87BFD" w14:textId="77777777" w:rsidR="00BD3831" w:rsidRPr="00FA719C" w:rsidRDefault="00BD3831" w:rsidP="0031289D">
            <w:pPr>
              <w:rPr>
                <w:rFonts w:ascii="Arabic Typesetting" w:hAnsi="Arabic Typesetting" w:cs="Arabic Typesetting"/>
                <w:sz w:val="28"/>
                <w:szCs w:val="28"/>
              </w:rPr>
            </w:pPr>
          </w:p>
        </w:tc>
        <w:tc>
          <w:tcPr>
            <w:tcW w:w="126" w:type="pct"/>
            <w:tcBorders>
              <w:top w:val="nil"/>
              <w:left w:val="nil"/>
              <w:bottom w:val="single" w:sz="4" w:space="0" w:color="auto"/>
              <w:right w:val="single" w:sz="8" w:space="0" w:color="auto"/>
            </w:tcBorders>
            <w:noWrap/>
            <w:tcMar>
              <w:left w:w="0" w:type="dxa"/>
              <w:right w:w="0" w:type="dxa"/>
            </w:tcMar>
            <w:vAlign w:val="center"/>
          </w:tcPr>
          <w:p w14:paraId="4B795FB8" w14:textId="77777777" w:rsidR="00BD3831" w:rsidRPr="00FA719C" w:rsidRDefault="00BD3831" w:rsidP="0031289D">
            <w:pPr>
              <w:rPr>
                <w:rFonts w:ascii="Arabic Typesetting" w:hAnsi="Arabic Typesetting" w:cs="Arabic Typesetting"/>
                <w:sz w:val="28"/>
                <w:szCs w:val="28"/>
              </w:rPr>
            </w:pPr>
          </w:p>
        </w:tc>
        <w:tc>
          <w:tcPr>
            <w:tcW w:w="145" w:type="pct"/>
            <w:tcBorders>
              <w:top w:val="nil"/>
              <w:left w:val="nil"/>
              <w:bottom w:val="single" w:sz="4" w:space="0" w:color="auto"/>
              <w:right w:val="single" w:sz="4" w:space="0" w:color="auto"/>
            </w:tcBorders>
            <w:noWrap/>
            <w:tcMar>
              <w:left w:w="0" w:type="dxa"/>
              <w:right w:w="0" w:type="dxa"/>
            </w:tcMar>
            <w:vAlign w:val="center"/>
          </w:tcPr>
          <w:p w14:paraId="0A59E246" w14:textId="77777777" w:rsidR="00BD3831" w:rsidRPr="00FA719C" w:rsidRDefault="00BD3831" w:rsidP="0031289D">
            <w:pPr>
              <w:rPr>
                <w:rFonts w:ascii="Arabic Typesetting" w:hAnsi="Arabic Typesetting" w:cs="Arabic Typesetting"/>
                <w:sz w:val="28"/>
                <w:szCs w:val="28"/>
              </w:rPr>
            </w:pPr>
          </w:p>
        </w:tc>
        <w:tc>
          <w:tcPr>
            <w:tcW w:w="123" w:type="pct"/>
            <w:tcBorders>
              <w:top w:val="nil"/>
              <w:left w:val="nil"/>
              <w:bottom w:val="single" w:sz="4" w:space="0" w:color="auto"/>
              <w:right w:val="single" w:sz="4" w:space="0" w:color="auto"/>
            </w:tcBorders>
            <w:noWrap/>
            <w:tcMar>
              <w:left w:w="0" w:type="dxa"/>
              <w:right w:w="0" w:type="dxa"/>
            </w:tcMar>
            <w:vAlign w:val="center"/>
          </w:tcPr>
          <w:p w14:paraId="354A5565"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7FBAE5D8" w14:textId="77777777" w:rsidR="00BD3831" w:rsidRPr="00FA719C" w:rsidRDefault="00BD3831" w:rsidP="0031289D">
            <w:pPr>
              <w:rPr>
                <w:rFonts w:ascii="Arabic Typesetting" w:hAnsi="Arabic Typesetting" w:cs="Arabic Typesetting"/>
                <w:sz w:val="28"/>
                <w:szCs w:val="28"/>
              </w:rPr>
            </w:pPr>
          </w:p>
        </w:tc>
        <w:tc>
          <w:tcPr>
            <w:tcW w:w="148" w:type="pct"/>
            <w:tcBorders>
              <w:top w:val="nil"/>
              <w:left w:val="nil"/>
              <w:bottom w:val="single" w:sz="4" w:space="0" w:color="auto"/>
              <w:right w:val="single" w:sz="8" w:space="0" w:color="auto"/>
            </w:tcBorders>
            <w:noWrap/>
            <w:tcMar>
              <w:left w:w="0" w:type="dxa"/>
              <w:right w:w="0" w:type="dxa"/>
            </w:tcMar>
            <w:vAlign w:val="center"/>
          </w:tcPr>
          <w:p w14:paraId="40108DB9" w14:textId="77777777" w:rsidR="00BD3831" w:rsidRPr="00FA719C" w:rsidRDefault="00BD3831" w:rsidP="0031289D">
            <w:pPr>
              <w:rPr>
                <w:rFonts w:ascii="Arabic Typesetting" w:hAnsi="Arabic Typesetting" w:cs="Arabic Typesetting"/>
                <w:sz w:val="28"/>
                <w:szCs w:val="28"/>
              </w:rPr>
            </w:pPr>
          </w:p>
        </w:tc>
        <w:tc>
          <w:tcPr>
            <w:tcW w:w="125" w:type="pct"/>
            <w:tcBorders>
              <w:top w:val="nil"/>
              <w:left w:val="nil"/>
              <w:bottom w:val="single" w:sz="4" w:space="0" w:color="auto"/>
              <w:right w:val="single" w:sz="4" w:space="0" w:color="auto"/>
            </w:tcBorders>
            <w:noWrap/>
            <w:tcMar>
              <w:left w:w="0" w:type="dxa"/>
              <w:right w:w="0" w:type="dxa"/>
            </w:tcMar>
            <w:vAlign w:val="center"/>
          </w:tcPr>
          <w:p w14:paraId="5619CE98"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371775A3" w14:textId="77777777" w:rsidR="00BD3831" w:rsidRPr="00FA719C" w:rsidRDefault="00BD3831" w:rsidP="0031289D">
            <w:pPr>
              <w:rPr>
                <w:rFonts w:ascii="Arabic Typesetting" w:hAnsi="Arabic Typesetting" w:cs="Arabic Typesetting"/>
                <w:sz w:val="28"/>
                <w:szCs w:val="28"/>
              </w:rPr>
            </w:pPr>
          </w:p>
        </w:tc>
        <w:tc>
          <w:tcPr>
            <w:tcW w:w="124" w:type="pct"/>
            <w:tcBorders>
              <w:top w:val="nil"/>
              <w:left w:val="nil"/>
              <w:bottom w:val="single" w:sz="4" w:space="0" w:color="auto"/>
              <w:right w:val="single" w:sz="4" w:space="0" w:color="auto"/>
            </w:tcBorders>
            <w:noWrap/>
            <w:tcMar>
              <w:left w:w="0" w:type="dxa"/>
              <w:right w:w="0" w:type="dxa"/>
            </w:tcMar>
            <w:vAlign w:val="center"/>
          </w:tcPr>
          <w:p w14:paraId="1A08AE95" w14:textId="77777777" w:rsidR="00BD3831" w:rsidRPr="00FA719C" w:rsidRDefault="00BD3831" w:rsidP="0031289D">
            <w:pPr>
              <w:rPr>
                <w:rFonts w:ascii="Arabic Typesetting" w:hAnsi="Arabic Typesetting" w:cs="Arabic Typesetting"/>
                <w:sz w:val="28"/>
                <w:szCs w:val="28"/>
              </w:rPr>
            </w:pPr>
          </w:p>
        </w:tc>
        <w:tc>
          <w:tcPr>
            <w:tcW w:w="150" w:type="pct"/>
            <w:tcBorders>
              <w:top w:val="nil"/>
              <w:left w:val="nil"/>
              <w:bottom w:val="single" w:sz="4" w:space="0" w:color="auto"/>
              <w:right w:val="single" w:sz="8" w:space="0" w:color="auto"/>
            </w:tcBorders>
            <w:noWrap/>
            <w:tcMar>
              <w:left w:w="0" w:type="dxa"/>
              <w:right w:w="0" w:type="dxa"/>
            </w:tcMar>
            <w:vAlign w:val="center"/>
          </w:tcPr>
          <w:p w14:paraId="5A1E3EBA" w14:textId="77777777" w:rsidR="00BD3831" w:rsidRPr="00FA719C" w:rsidRDefault="00BD3831" w:rsidP="0031289D">
            <w:pPr>
              <w:rPr>
                <w:rFonts w:ascii="Arabic Typesetting" w:hAnsi="Arabic Typesetting" w:cs="Arabic Typesetting"/>
                <w:sz w:val="28"/>
                <w:szCs w:val="28"/>
              </w:rPr>
            </w:pPr>
          </w:p>
        </w:tc>
        <w:tc>
          <w:tcPr>
            <w:tcW w:w="125" w:type="pct"/>
            <w:tcBorders>
              <w:top w:val="nil"/>
              <w:left w:val="nil"/>
              <w:bottom w:val="single" w:sz="4" w:space="0" w:color="auto"/>
              <w:right w:val="single" w:sz="4" w:space="0" w:color="auto"/>
            </w:tcBorders>
            <w:noWrap/>
            <w:tcMar>
              <w:left w:w="0" w:type="dxa"/>
              <w:right w:w="0" w:type="dxa"/>
            </w:tcMar>
            <w:vAlign w:val="center"/>
          </w:tcPr>
          <w:p w14:paraId="5559530A"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24" w:type="pct"/>
            <w:tcBorders>
              <w:top w:val="nil"/>
              <w:left w:val="nil"/>
              <w:bottom w:val="single" w:sz="4" w:space="0" w:color="auto"/>
              <w:right w:val="single" w:sz="4" w:space="0" w:color="auto"/>
            </w:tcBorders>
            <w:noWrap/>
            <w:tcMar>
              <w:left w:w="0" w:type="dxa"/>
              <w:right w:w="0" w:type="dxa"/>
            </w:tcMar>
            <w:vAlign w:val="center"/>
          </w:tcPr>
          <w:p w14:paraId="5ED38EEE"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24" w:type="pct"/>
            <w:tcBorders>
              <w:top w:val="nil"/>
              <w:left w:val="nil"/>
              <w:bottom w:val="single" w:sz="4" w:space="0" w:color="auto"/>
              <w:right w:val="single" w:sz="4" w:space="0" w:color="auto"/>
            </w:tcBorders>
            <w:noWrap/>
            <w:tcMar>
              <w:left w:w="0" w:type="dxa"/>
              <w:right w:w="0" w:type="dxa"/>
            </w:tcMar>
            <w:vAlign w:val="center"/>
          </w:tcPr>
          <w:p w14:paraId="751F3AAB"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26" w:type="pct"/>
            <w:tcBorders>
              <w:top w:val="nil"/>
              <w:left w:val="nil"/>
              <w:bottom w:val="single" w:sz="4" w:space="0" w:color="auto"/>
              <w:right w:val="single" w:sz="8" w:space="0" w:color="auto"/>
            </w:tcBorders>
            <w:noWrap/>
            <w:tcMar>
              <w:left w:w="0" w:type="dxa"/>
              <w:right w:w="0" w:type="dxa"/>
            </w:tcMar>
            <w:vAlign w:val="center"/>
          </w:tcPr>
          <w:p w14:paraId="4A1A95C7" w14:textId="77777777" w:rsidR="00BD3831" w:rsidRPr="00FA719C" w:rsidRDefault="00BD3831" w:rsidP="0031289D">
            <w:pPr>
              <w:rPr>
                <w:rFonts w:ascii="Arabic Typesetting" w:hAnsi="Arabic Typesetting" w:cs="Arabic Typesetting"/>
                <w:sz w:val="28"/>
                <w:szCs w:val="28"/>
              </w:rPr>
            </w:pPr>
          </w:p>
        </w:tc>
        <w:tc>
          <w:tcPr>
            <w:tcW w:w="148" w:type="pct"/>
            <w:tcBorders>
              <w:top w:val="nil"/>
              <w:left w:val="nil"/>
              <w:bottom w:val="single" w:sz="4" w:space="0" w:color="auto"/>
              <w:right w:val="single" w:sz="8" w:space="0" w:color="auto"/>
            </w:tcBorders>
            <w:tcMar>
              <w:left w:w="0" w:type="dxa"/>
              <w:right w:w="0" w:type="dxa"/>
            </w:tcMar>
            <w:vAlign w:val="center"/>
          </w:tcPr>
          <w:p w14:paraId="78F0BD3E" w14:textId="77777777" w:rsidR="00BD3831" w:rsidRPr="00FA719C" w:rsidRDefault="00BD3831" w:rsidP="0031289D">
            <w:pPr>
              <w:rPr>
                <w:rFonts w:ascii="Arabic Typesetting" w:hAnsi="Arabic Typesetting" w:cs="Arabic Typesetting"/>
                <w:sz w:val="28"/>
                <w:szCs w:val="28"/>
              </w:rPr>
            </w:pPr>
          </w:p>
        </w:tc>
        <w:tc>
          <w:tcPr>
            <w:tcW w:w="129" w:type="pct"/>
            <w:tcBorders>
              <w:top w:val="nil"/>
              <w:left w:val="nil"/>
              <w:bottom w:val="single" w:sz="4" w:space="0" w:color="auto"/>
              <w:right w:val="single" w:sz="8" w:space="0" w:color="auto"/>
            </w:tcBorders>
            <w:tcMar>
              <w:left w:w="0" w:type="dxa"/>
              <w:right w:w="0" w:type="dxa"/>
            </w:tcMar>
            <w:vAlign w:val="center"/>
          </w:tcPr>
          <w:p w14:paraId="4698FE71" w14:textId="77777777" w:rsidR="00BD3831" w:rsidRPr="00FA719C" w:rsidRDefault="00BD3831" w:rsidP="0031289D">
            <w:pPr>
              <w:rPr>
                <w:rFonts w:ascii="Arabic Typesetting" w:hAnsi="Arabic Typesetting" w:cs="Arabic Typesetting"/>
                <w:sz w:val="28"/>
                <w:szCs w:val="28"/>
              </w:rPr>
            </w:pPr>
          </w:p>
        </w:tc>
        <w:tc>
          <w:tcPr>
            <w:tcW w:w="231" w:type="pct"/>
            <w:tcBorders>
              <w:top w:val="nil"/>
              <w:left w:val="nil"/>
              <w:bottom w:val="single" w:sz="4" w:space="0" w:color="auto"/>
              <w:right w:val="single" w:sz="8" w:space="0" w:color="auto"/>
            </w:tcBorders>
            <w:vAlign w:val="center"/>
          </w:tcPr>
          <w:p w14:paraId="766605E5" w14:textId="77777777" w:rsidR="00BD3831" w:rsidRPr="00FA719C" w:rsidRDefault="00BD3831" w:rsidP="0031289D">
            <w:pPr>
              <w:rPr>
                <w:rFonts w:ascii="Arabic Typesetting" w:hAnsi="Arabic Typesetting" w:cs="Arabic Typesetting"/>
                <w:sz w:val="28"/>
                <w:szCs w:val="28"/>
              </w:rPr>
            </w:pPr>
          </w:p>
        </w:tc>
        <w:tc>
          <w:tcPr>
            <w:tcW w:w="232" w:type="pct"/>
            <w:tcBorders>
              <w:top w:val="nil"/>
              <w:left w:val="nil"/>
              <w:bottom w:val="single" w:sz="4" w:space="0" w:color="auto"/>
              <w:right w:val="single" w:sz="4" w:space="0" w:color="auto"/>
            </w:tcBorders>
            <w:vAlign w:val="center"/>
          </w:tcPr>
          <w:p w14:paraId="42FD2205"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040EEF2A"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4BF9CD76" w14:textId="77777777" w:rsidR="00BD3831" w:rsidRPr="00FA719C" w:rsidRDefault="00BD3831" w:rsidP="0031289D">
            <w:pPr>
              <w:rPr>
                <w:rFonts w:ascii="Arabic Typesetting" w:hAnsi="Arabic Typesetting" w:cs="Arabic Typesetting"/>
                <w:sz w:val="28"/>
                <w:szCs w:val="28"/>
              </w:rPr>
            </w:pPr>
          </w:p>
        </w:tc>
      </w:tr>
      <w:tr w:rsidR="00BD3831" w:rsidRPr="00FA719C" w14:paraId="0AF6DBA9" w14:textId="77777777" w:rsidTr="00DF6715">
        <w:trPr>
          <w:trHeight w:val="50"/>
          <w:jc w:val="center"/>
        </w:trPr>
        <w:tc>
          <w:tcPr>
            <w:tcW w:w="1739" w:type="pct"/>
            <w:tcBorders>
              <w:top w:val="single" w:sz="4" w:space="0" w:color="auto"/>
              <w:left w:val="single" w:sz="4" w:space="0" w:color="auto"/>
              <w:bottom w:val="single" w:sz="4" w:space="0" w:color="auto"/>
              <w:right w:val="single" w:sz="8" w:space="0" w:color="auto"/>
            </w:tcBorders>
            <w:noWrap/>
            <w:vAlign w:val="center"/>
          </w:tcPr>
          <w:p w14:paraId="066871B8"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الأعمال</w:t>
            </w:r>
          </w:p>
        </w:tc>
        <w:tc>
          <w:tcPr>
            <w:tcW w:w="126" w:type="pct"/>
            <w:tcBorders>
              <w:top w:val="single" w:sz="4" w:space="0" w:color="auto"/>
              <w:left w:val="nil"/>
              <w:bottom w:val="single" w:sz="4" w:space="0" w:color="auto"/>
              <w:right w:val="single" w:sz="4" w:space="0" w:color="auto"/>
            </w:tcBorders>
            <w:noWrap/>
            <w:tcMar>
              <w:left w:w="0" w:type="dxa"/>
              <w:right w:w="0" w:type="dxa"/>
            </w:tcMar>
            <w:vAlign w:val="center"/>
          </w:tcPr>
          <w:p w14:paraId="6FDF58B6" w14:textId="77777777" w:rsidR="00BD3831" w:rsidRPr="00FA719C" w:rsidRDefault="00BD3831" w:rsidP="0031289D">
            <w:pPr>
              <w:rPr>
                <w:rFonts w:ascii="Arabic Typesetting" w:hAnsi="Arabic Typesetting" w:cs="Arabic Typesetting"/>
                <w:sz w:val="28"/>
                <w:szCs w:val="28"/>
              </w:rPr>
            </w:pPr>
          </w:p>
        </w:tc>
        <w:tc>
          <w:tcPr>
            <w:tcW w:w="123" w:type="pct"/>
            <w:tcBorders>
              <w:top w:val="single" w:sz="4" w:space="0" w:color="auto"/>
              <w:left w:val="nil"/>
              <w:bottom w:val="single" w:sz="4" w:space="0" w:color="auto"/>
              <w:right w:val="single" w:sz="4" w:space="0" w:color="auto"/>
            </w:tcBorders>
            <w:noWrap/>
            <w:tcMar>
              <w:left w:w="0" w:type="dxa"/>
              <w:right w:w="0" w:type="dxa"/>
            </w:tcMar>
            <w:vAlign w:val="center"/>
          </w:tcPr>
          <w:p w14:paraId="665B3926" w14:textId="77777777" w:rsidR="00BD3831" w:rsidRPr="00FA719C" w:rsidRDefault="00BD3831" w:rsidP="0031289D">
            <w:pPr>
              <w:rPr>
                <w:rFonts w:ascii="Arabic Typesetting" w:hAnsi="Arabic Typesetting" w:cs="Arabic Typesetting"/>
                <w:sz w:val="28"/>
                <w:szCs w:val="28"/>
              </w:rPr>
            </w:pPr>
          </w:p>
        </w:tc>
        <w:tc>
          <w:tcPr>
            <w:tcW w:w="123" w:type="pct"/>
            <w:tcBorders>
              <w:top w:val="single" w:sz="4" w:space="0" w:color="auto"/>
              <w:left w:val="nil"/>
              <w:bottom w:val="single" w:sz="4" w:space="0" w:color="auto"/>
              <w:right w:val="single" w:sz="4" w:space="0" w:color="auto"/>
            </w:tcBorders>
            <w:noWrap/>
            <w:tcMar>
              <w:left w:w="0" w:type="dxa"/>
              <w:right w:w="0" w:type="dxa"/>
            </w:tcMar>
            <w:vAlign w:val="center"/>
          </w:tcPr>
          <w:p w14:paraId="54AC4A89" w14:textId="77777777" w:rsidR="00BD3831" w:rsidRPr="00FA719C" w:rsidRDefault="00BD3831" w:rsidP="0031289D">
            <w:pPr>
              <w:rPr>
                <w:rFonts w:ascii="Arabic Typesetting" w:hAnsi="Arabic Typesetting" w:cs="Arabic Typesetting"/>
                <w:sz w:val="28"/>
                <w:szCs w:val="28"/>
              </w:rPr>
            </w:pPr>
          </w:p>
        </w:tc>
        <w:tc>
          <w:tcPr>
            <w:tcW w:w="126" w:type="pct"/>
            <w:tcBorders>
              <w:top w:val="single" w:sz="4" w:space="0" w:color="auto"/>
              <w:left w:val="nil"/>
              <w:bottom w:val="single" w:sz="4" w:space="0" w:color="auto"/>
              <w:right w:val="single" w:sz="8" w:space="0" w:color="auto"/>
            </w:tcBorders>
            <w:noWrap/>
            <w:tcMar>
              <w:left w:w="0" w:type="dxa"/>
              <w:right w:w="0" w:type="dxa"/>
            </w:tcMar>
            <w:vAlign w:val="center"/>
          </w:tcPr>
          <w:p w14:paraId="70B43A8A" w14:textId="77777777" w:rsidR="00BD3831" w:rsidRPr="00FA719C" w:rsidRDefault="00BD3831" w:rsidP="0031289D">
            <w:pPr>
              <w:rPr>
                <w:rFonts w:ascii="Arabic Typesetting" w:hAnsi="Arabic Typesetting" w:cs="Arabic Typesetting"/>
                <w:sz w:val="28"/>
                <w:szCs w:val="28"/>
              </w:rPr>
            </w:pPr>
          </w:p>
        </w:tc>
        <w:tc>
          <w:tcPr>
            <w:tcW w:w="145" w:type="pct"/>
            <w:tcBorders>
              <w:top w:val="single" w:sz="4" w:space="0" w:color="auto"/>
              <w:left w:val="nil"/>
              <w:bottom w:val="single" w:sz="4" w:space="0" w:color="auto"/>
              <w:right w:val="single" w:sz="4" w:space="0" w:color="auto"/>
            </w:tcBorders>
            <w:noWrap/>
            <w:tcMar>
              <w:left w:w="0" w:type="dxa"/>
              <w:right w:w="0" w:type="dxa"/>
            </w:tcMar>
            <w:vAlign w:val="center"/>
          </w:tcPr>
          <w:p w14:paraId="4D36B8FE" w14:textId="77777777" w:rsidR="00BD3831" w:rsidRPr="00FA719C" w:rsidRDefault="00BD3831" w:rsidP="0031289D">
            <w:pPr>
              <w:rPr>
                <w:rFonts w:ascii="Arabic Typesetting" w:hAnsi="Arabic Typesetting" w:cs="Arabic Typesetting"/>
                <w:sz w:val="28"/>
                <w:szCs w:val="28"/>
              </w:rPr>
            </w:pPr>
          </w:p>
        </w:tc>
        <w:tc>
          <w:tcPr>
            <w:tcW w:w="123" w:type="pct"/>
            <w:tcBorders>
              <w:top w:val="single" w:sz="4" w:space="0" w:color="auto"/>
              <w:left w:val="nil"/>
              <w:bottom w:val="single" w:sz="4" w:space="0" w:color="auto"/>
              <w:right w:val="single" w:sz="4" w:space="0" w:color="auto"/>
            </w:tcBorders>
            <w:noWrap/>
            <w:tcMar>
              <w:left w:w="0" w:type="dxa"/>
              <w:right w:w="0" w:type="dxa"/>
            </w:tcMar>
            <w:vAlign w:val="center"/>
          </w:tcPr>
          <w:p w14:paraId="4763C1AA" w14:textId="77777777" w:rsidR="00BD3831" w:rsidRPr="00FA719C" w:rsidRDefault="00BD3831" w:rsidP="0031289D">
            <w:pPr>
              <w:rPr>
                <w:rFonts w:ascii="Arabic Typesetting" w:hAnsi="Arabic Typesetting" w:cs="Arabic Typesetting"/>
                <w:sz w:val="28"/>
                <w:szCs w:val="28"/>
              </w:rPr>
            </w:pPr>
          </w:p>
        </w:tc>
        <w:tc>
          <w:tcPr>
            <w:tcW w:w="124" w:type="pct"/>
            <w:tcBorders>
              <w:top w:val="single" w:sz="4" w:space="0" w:color="auto"/>
              <w:left w:val="nil"/>
              <w:bottom w:val="single" w:sz="4" w:space="0" w:color="auto"/>
              <w:right w:val="single" w:sz="4" w:space="0" w:color="auto"/>
            </w:tcBorders>
            <w:noWrap/>
            <w:tcMar>
              <w:left w:w="0" w:type="dxa"/>
              <w:right w:w="0" w:type="dxa"/>
            </w:tcMar>
            <w:vAlign w:val="center"/>
          </w:tcPr>
          <w:p w14:paraId="590964FB" w14:textId="77777777" w:rsidR="00BD3831" w:rsidRPr="00FA719C" w:rsidRDefault="00BD3831" w:rsidP="0031289D">
            <w:pPr>
              <w:rPr>
                <w:rFonts w:ascii="Arabic Typesetting" w:hAnsi="Arabic Typesetting" w:cs="Arabic Typesetting"/>
                <w:sz w:val="28"/>
                <w:szCs w:val="28"/>
              </w:rPr>
            </w:pPr>
          </w:p>
        </w:tc>
        <w:tc>
          <w:tcPr>
            <w:tcW w:w="148" w:type="pct"/>
            <w:tcBorders>
              <w:top w:val="single" w:sz="4" w:space="0" w:color="auto"/>
              <w:left w:val="nil"/>
              <w:bottom w:val="single" w:sz="4" w:space="0" w:color="auto"/>
              <w:right w:val="single" w:sz="8" w:space="0" w:color="auto"/>
            </w:tcBorders>
            <w:noWrap/>
            <w:tcMar>
              <w:left w:w="0" w:type="dxa"/>
              <w:right w:w="0" w:type="dxa"/>
            </w:tcMar>
            <w:vAlign w:val="center"/>
          </w:tcPr>
          <w:p w14:paraId="5873E34C" w14:textId="77777777" w:rsidR="00BD3831" w:rsidRPr="00FA719C" w:rsidRDefault="00BD3831" w:rsidP="0031289D">
            <w:pPr>
              <w:rPr>
                <w:rFonts w:ascii="Arabic Typesetting" w:hAnsi="Arabic Typesetting" w:cs="Arabic Typesetting"/>
                <w:sz w:val="28"/>
                <w:szCs w:val="28"/>
              </w:rPr>
            </w:pPr>
          </w:p>
        </w:tc>
        <w:tc>
          <w:tcPr>
            <w:tcW w:w="125" w:type="pct"/>
            <w:tcBorders>
              <w:top w:val="single" w:sz="4" w:space="0" w:color="auto"/>
              <w:left w:val="nil"/>
              <w:bottom w:val="single" w:sz="4" w:space="0" w:color="auto"/>
              <w:right w:val="single" w:sz="4" w:space="0" w:color="auto"/>
            </w:tcBorders>
            <w:noWrap/>
            <w:tcMar>
              <w:left w:w="0" w:type="dxa"/>
              <w:right w:w="0" w:type="dxa"/>
            </w:tcMar>
            <w:vAlign w:val="center"/>
          </w:tcPr>
          <w:p w14:paraId="70E3CCF3" w14:textId="77777777" w:rsidR="00BD3831" w:rsidRPr="00FA719C" w:rsidRDefault="00BD3831" w:rsidP="0031289D">
            <w:pPr>
              <w:rPr>
                <w:rFonts w:ascii="Arabic Typesetting" w:hAnsi="Arabic Typesetting" w:cs="Arabic Typesetting"/>
                <w:sz w:val="28"/>
                <w:szCs w:val="28"/>
              </w:rPr>
            </w:pPr>
          </w:p>
        </w:tc>
        <w:tc>
          <w:tcPr>
            <w:tcW w:w="124" w:type="pct"/>
            <w:tcBorders>
              <w:top w:val="single" w:sz="4" w:space="0" w:color="auto"/>
              <w:left w:val="nil"/>
              <w:bottom w:val="single" w:sz="4" w:space="0" w:color="auto"/>
              <w:right w:val="single" w:sz="4" w:space="0" w:color="auto"/>
            </w:tcBorders>
            <w:noWrap/>
            <w:tcMar>
              <w:left w:w="0" w:type="dxa"/>
              <w:right w:w="0" w:type="dxa"/>
            </w:tcMar>
            <w:vAlign w:val="center"/>
          </w:tcPr>
          <w:p w14:paraId="6E3A6728" w14:textId="77777777" w:rsidR="00BD3831" w:rsidRPr="00FA719C" w:rsidRDefault="00BD3831" w:rsidP="0031289D">
            <w:pPr>
              <w:rPr>
                <w:rFonts w:ascii="Arabic Typesetting" w:hAnsi="Arabic Typesetting" w:cs="Arabic Typesetting"/>
                <w:sz w:val="28"/>
                <w:szCs w:val="28"/>
              </w:rPr>
            </w:pPr>
          </w:p>
        </w:tc>
        <w:tc>
          <w:tcPr>
            <w:tcW w:w="124" w:type="pct"/>
            <w:tcBorders>
              <w:top w:val="single" w:sz="4" w:space="0" w:color="auto"/>
              <w:left w:val="nil"/>
              <w:bottom w:val="single" w:sz="4" w:space="0" w:color="auto"/>
              <w:right w:val="single" w:sz="4" w:space="0" w:color="auto"/>
            </w:tcBorders>
            <w:noWrap/>
            <w:tcMar>
              <w:left w:w="0" w:type="dxa"/>
              <w:right w:w="0" w:type="dxa"/>
            </w:tcMar>
            <w:vAlign w:val="center"/>
          </w:tcPr>
          <w:p w14:paraId="5194647D" w14:textId="77777777" w:rsidR="00BD3831" w:rsidRPr="00FA719C" w:rsidRDefault="00BD3831" w:rsidP="0031289D">
            <w:pPr>
              <w:rPr>
                <w:rFonts w:ascii="Arabic Typesetting" w:hAnsi="Arabic Typesetting" w:cs="Arabic Typesetting"/>
                <w:sz w:val="28"/>
                <w:szCs w:val="28"/>
              </w:rPr>
            </w:pPr>
          </w:p>
        </w:tc>
        <w:tc>
          <w:tcPr>
            <w:tcW w:w="150" w:type="pct"/>
            <w:tcBorders>
              <w:top w:val="single" w:sz="4" w:space="0" w:color="auto"/>
              <w:left w:val="nil"/>
              <w:bottom w:val="single" w:sz="4" w:space="0" w:color="auto"/>
              <w:right w:val="single" w:sz="8" w:space="0" w:color="auto"/>
            </w:tcBorders>
            <w:noWrap/>
            <w:tcMar>
              <w:left w:w="0" w:type="dxa"/>
              <w:right w:w="0" w:type="dxa"/>
            </w:tcMar>
            <w:vAlign w:val="center"/>
          </w:tcPr>
          <w:p w14:paraId="44DFEC19" w14:textId="77777777" w:rsidR="00BD3831" w:rsidRPr="00FA719C" w:rsidRDefault="00BD3831" w:rsidP="0031289D">
            <w:pPr>
              <w:rPr>
                <w:rFonts w:ascii="Arabic Typesetting" w:hAnsi="Arabic Typesetting" w:cs="Arabic Typesetting"/>
                <w:sz w:val="28"/>
                <w:szCs w:val="28"/>
              </w:rPr>
            </w:pPr>
          </w:p>
        </w:tc>
        <w:tc>
          <w:tcPr>
            <w:tcW w:w="125" w:type="pct"/>
            <w:tcBorders>
              <w:top w:val="single" w:sz="4" w:space="0" w:color="auto"/>
              <w:left w:val="nil"/>
              <w:bottom w:val="single" w:sz="4" w:space="0" w:color="auto"/>
              <w:right w:val="single" w:sz="4" w:space="0" w:color="auto"/>
            </w:tcBorders>
            <w:noWrap/>
            <w:tcMar>
              <w:left w:w="0" w:type="dxa"/>
              <w:right w:w="0" w:type="dxa"/>
            </w:tcMar>
            <w:vAlign w:val="center"/>
          </w:tcPr>
          <w:p w14:paraId="5D714902" w14:textId="77777777" w:rsidR="00BD3831" w:rsidRPr="00FA719C" w:rsidRDefault="00BD3831" w:rsidP="0031289D">
            <w:pPr>
              <w:rPr>
                <w:rFonts w:ascii="Arabic Typesetting" w:hAnsi="Arabic Typesetting" w:cs="Arabic Typesetting"/>
                <w:sz w:val="28"/>
                <w:szCs w:val="28"/>
              </w:rPr>
            </w:pPr>
          </w:p>
        </w:tc>
        <w:tc>
          <w:tcPr>
            <w:tcW w:w="124" w:type="pct"/>
            <w:tcBorders>
              <w:top w:val="single" w:sz="4" w:space="0" w:color="auto"/>
              <w:left w:val="nil"/>
              <w:bottom w:val="single" w:sz="4" w:space="0" w:color="auto"/>
              <w:right w:val="single" w:sz="4" w:space="0" w:color="auto"/>
            </w:tcBorders>
            <w:noWrap/>
            <w:tcMar>
              <w:left w:w="0" w:type="dxa"/>
              <w:right w:w="0" w:type="dxa"/>
            </w:tcMar>
            <w:vAlign w:val="center"/>
          </w:tcPr>
          <w:p w14:paraId="5E0AA7F8" w14:textId="77777777" w:rsidR="00BD3831" w:rsidRPr="00FA719C" w:rsidRDefault="00BD3831" w:rsidP="0031289D">
            <w:pPr>
              <w:rPr>
                <w:rFonts w:ascii="Arabic Typesetting" w:hAnsi="Arabic Typesetting" w:cs="Arabic Typesetting"/>
                <w:sz w:val="28"/>
                <w:szCs w:val="28"/>
              </w:rPr>
            </w:pPr>
          </w:p>
        </w:tc>
        <w:tc>
          <w:tcPr>
            <w:tcW w:w="124" w:type="pct"/>
            <w:tcBorders>
              <w:top w:val="single" w:sz="4" w:space="0" w:color="auto"/>
              <w:left w:val="nil"/>
              <w:bottom w:val="single" w:sz="4" w:space="0" w:color="auto"/>
              <w:right w:val="single" w:sz="4" w:space="0" w:color="auto"/>
            </w:tcBorders>
            <w:noWrap/>
            <w:tcMar>
              <w:left w:w="0" w:type="dxa"/>
              <w:right w:w="0" w:type="dxa"/>
            </w:tcMar>
            <w:vAlign w:val="center"/>
          </w:tcPr>
          <w:p w14:paraId="59DAB18E" w14:textId="77777777" w:rsidR="00BD3831" w:rsidRPr="00FA719C" w:rsidRDefault="00BD3831" w:rsidP="0031289D">
            <w:pPr>
              <w:rPr>
                <w:rFonts w:ascii="Arabic Typesetting" w:hAnsi="Arabic Typesetting" w:cs="Arabic Typesetting"/>
                <w:sz w:val="28"/>
                <w:szCs w:val="28"/>
              </w:rPr>
            </w:pPr>
          </w:p>
        </w:tc>
        <w:tc>
          <w:tcPr>
            <w:tcW w:w="126" w:type="pct"/>
            <w:tcBorders>
              <w:top w:val="single" w:sz="4" w:space="0" w:color="auto"/>
              <w:left w:val="nil"/>
              <w:bottom w:val="single" w:sz="4" w:space="0" w:color="auto"/>
              <w:right w:val="single" w:sz="8" w:space="0" w:color="auto"/>
            </w:tcBorders>
            <w:noWrap/>
            <w:tcMar>
              <w:left w:w="0" w:type="dxa"/>
              <w:right w:w="0" w:type="dxa"/>
            </w:tcMar>
            <w:vAlign w:val="center"/>
          </w:tcPr>
          <w:p w14:paraId="35DA73F8"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48" w:type="pct"/>
            <w:tcBorders>
              <w:top w:val="single" w:sz="4" w:space="0" w:color="auto"/>
              <w:left w:val="nil"/>
              <w:bottom w:val="single" w:sz="4" w:space="0" w:color="auto"/>
              <w:right w:val="single" w:sz="8" w:space="0" w:color="auto"/>
            </w:tcBorders>
            <w:tcMar>
              <w:left w:w="0" w:type="dxa"/>
              <w:right w:w="0" w:type="dxa"/>
            </w:tcMar>
            <w:vAlign w:val="center"/>
          </w:tcPr>
          <w:p w14:paraId="189FD3B4"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129" w:type="pct"/>
            <w:tcBorders>
              <w:top w:val="single" w:sz="4" w:space="0" w:color="auto"/>
              <w:left w:val="nil"/>
              <w:bottom w:val="single" w:sz="4" w:space="0" w:color="auto"/>
              <w:right w:val="single" w:sz="8" w:space="0" w:color="auto"/>
            </w:tcBorders>
            <w:tcMar>
              <w:left w:w="0" w:type="dxa"/>
              <w:right w:w="0" w:type="dxa"/>
            </w:tcMar>
            <w:vAlign w:val="center"/>
          </w:tcPr>
          <w:p w14:paraId="4689555D"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31" w:type="pct"/>
            <w:tcBorders>
              <w:top w:val="single" w:sz="4" w:space="0" w:color="auto"/>
              <w:left w:val="nil"/>
              <w:bottom w:val="single" w:sz="4" w:space="0" w:color="auto"/>
              <w:right w:val="single" w:sz="8" w:space="0" w:color="auto"/>
            </w:tcBorders>
            <w:vAlign w:val="center"/>
          </w:tcPr>
          <w:p w14:paraId="1D9CBABC"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32" w:type="pct"/>
            <w:tcBorders>
              <w:top w:val="single" w:sz="4" w:space="0" w:color="auto"/>
              <w:left w:val="nil"/>
              <w:bottom w:val="single" w:sz="4" w:space="0" w:color="auto"/>
              <w:right w:val="single" w:sz="4" w:space="0" w:color="auto"/>
            </w:tcBorders>
            <w:vAlign w:val="center"/>
          </w:tcPr>
          <w:p w14:paraId="20B491FE"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31" w:type="pct"/>
            <w:tcBorders>
              <w:top w:val="single" w:sz="4" w:space="0" w:color="auto"/>
              <w:left w:val="nil"/>
              <w:bottom w:val="single" w:sz="4" w:space="0" w:color="auto"/>
              <w:right w:val="single" w:sz="4" w:space="0" w:color="auto"/>
            </w:tcBorders>
            <w:vAlign w:val="center"/>
          </w:tcPr>
          <w:p w14:paraId="4A5192FE"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31" w:type="pct"/>
            <w:tcBorders>
              <w:top w:val="single" w:sz="4" w:space="0" w:color="auto"/>
              <w:left w:val="nil"/>
              <w:bottom w:val="single" w:sz="4" w:space="0" w:color="auto"/>
              <w:right w:val="single" w:sz="4" w:space="0" w:color="auto"/>
            </w:tcBorders>
            <w:vAlign w:val="center"/>
          </w:tcPr>
          <w:p w14:paraId="3680EC52"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r>
      <w:tr w:rsidR="00BD3831" w:rsidRPr="00FA719C" w14:paraId="7E257D45" w14:textId="77777777" w:rsidTr="00DF6715">
        <w:trPr>
          <w:trHeight w:val="415"/>
          <w:jc w:val="center"/>
        </w:trPr>
        <w:tc>
          <w:tcPr>
            <w:tcW w:w="1739" w:type="pct"/>
            <w:tcBorders>
              <w:top w:val="single" w:sz="4" w:space="0" w:color="auto"/>
              <w:left w:val="single" w:sz="4" w:space="0" w:color="auto"/>
              <w:bottom w:val="single" w:sz="4" w:space="0" w:color="auto"/>
              <w:right w:val="single" w:sz="8" w:space="0" w:color="auto"/>
            </w:tcBorders>
            <w:noWrap/>
            <w:vAlign w:val="center"/>
          </w:tcPr>
          <w:p w14:paraId="3B559C04"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التكليف</w:t>
            </w:r>
          </w:p>
        </w:tc>
        <w:tc>
          <w:tcPr>
            <w:tcW w:w="126" w:type="pct"/>
            <w:tcBorders>
              <w:top w:val="single" w:sz="4" w:space="0" w:color="auto"/>
              <w:left w:val="nil"/>
              <w:bottom w:val="single" w:sz="4" w:space="0" w:color="auto"/>
              <w:right w:val="single" w:sz="4" w:space="0" w:color="auto"/>
            </w:tcBorders>
            <w:noWrap/>
            <w:tcMar>
              <w:left w:w="0" w:type="dxa"/>
              <w:right w:w="0" w:type="dxa"/>
            </w:tcMar>
            <w:vAlign w:val="center"/>
          </w:tcPr>
          <w:p w14:paraId="5E4F1314" w14:textId="77777777" w:rsidR="00BD3831" w:rsidRPr="00FA719C" w:rsidRDefault="00BD3831" w:rsidP="0031289D">
            <w:pPr>
              <w:rPr>
                <w:rFonts w:ascii="Arabic Typesetting" w:hAnsi="Arabic Typesetting" w:cs="Arabic Typesetting"/>
                <w:sz w:val="28"/>
                <w:szCs w:val="28"/>
              </w:rPr>
            </w:pPr>
          </w:p>
        </w:tc>
        <w:tc>
          <w:tcPr>
            <w:tcW w:w="123" w:type="pct"/>
            <w:tcBorders>
              <w:top w:val="single" w:sz="4" w:space="0" w:color="auto"/>
              <w:left w:val="nil"/>
              <w:bottom w:val="single" w:sz="4" w:space="0" w:color="auto"/>
              <w:right w:val="single" w:sz="4" w:space="0" w:color="auto"/>
            </w:tcBorders>
            <w:noWrap/>
            <w:tcMar>
              <w:left w:w="0" w:type="dxa"/>
              <w:right w:w="0" w:type="dxa"/>
            </w:tcMar>
            <w:vAlign w:val="center"/>
          </w:tcPr>
          <w:p w14:paraId="1A9BC700" w14:textId="77777777" w:rsidR="00BD3831" w:rsidRPr="00FA719C" w:rsidRDefault="00BD3831" w:rsidP="0031289D">
            <w:pPr>
              <w:rPr>
                <w:rFonts w:ascii="Arabic Typesetting" w:hAnsi="Arabic Typesetting" w:cs="Arabic Typesetting"/>
                <w:sz w:val="28"/>
                <w:szCs w:val="28"/>
              </w:rPr>
            </w:pPr>
          </w:p>
        </w:tc>
        <w:tc>
          <w:tcPr>
            <w:tcW w:w="123" w:type="pct"/>
            <w:tcBorders>
              <w:top w:val="single" w:sz="4" w:space="0" w:color="auto"/>
              <w:left w:val="nil"/>
              <w:bottom w:val="single" w:sz="4" w:space="0" w:color="auto"/>
              <w:right w:val="single" w:sz="4" w:space="0" w:color="auto"/>
            </w:tcBorders>
            <w:noWrap/>
            <w:tcMar>
              <w:left w:w="0" w:type="dxa"/>
              <w:right w:w="0" w:type="dxa"/>
            </w:tcMar>
            <w:vAlign w:val="center"/>
          </w:tcPr>
          <w:p w14:paraId="652E1195" w14:textId="77777777" w:rsidR="00BD3831" w:rsidRPr="00FA719C" w:rsidRDefault="00BD3831" w:rsidP="0031289D">
            <w:pPr>
              <w:rPr>
                <w:rFonts w:ascii="Arabic Typesetting" w:hAnsi="Arabic Typesetting" w:cs="Arabic Typesetting"/>
                <w:sz w:val="28"/>
                <w:szCs w:val="28"/>
              </w:rPr>
            </w:pPr>
          </w:p>
        </w:tc>
        <w:tc>
          <w:tcPr>
            <w:tcW w:w="126" w:type="pct"/>
            <w:tcBorders>
              <w:top w:val="single" w:sz="4" w:space="0" w:color="auto"/>
              <w:left w:val="nil"/>
              <w:bottom w:val="single" w:sz="4" w:space="0" w:color="auto"/>
              <w:right w:val="single" w:sz="8" w:space="0" w:color="auto"/>
            </w:tcBorders>
            <w:noWrap/>
            <w:tcMar>
              <w:left w:w="0" w:type="dxa"/>
              <w:right w:w="0" w:type="dxa"/>
            </w:tcMar>
            <w:vAlign w:val="center"/>
          </w:tcPr>
          <w:p w14:paraId="33655F04" w14:textId="77777777" w:rsidR="00BD3831" w:rsidRPr="00FA719C" w:rsidRDefault="00BD3831" w:rsidP="0031289D">
            <w:pPr>
              <w:rPr>
                <w:rFonts w:ascii="Arabic Typesetting" w:hAnsi="Arabic Typesetting" w:cs="Arabic Typesetting"/>
                <w:sz w:val="28"/>
                <w:szCs w:val="28"/>
              </w:rPr>
            </w:pPr>
          </w:p>
        </w:tc>
        <w:tc>
          <w:tcPr>
            <w:tcW w:w="145" w:type="pct"/>
            <w:tcBorders>
              <w:top w:val="single" w:sz="4" w:space="0" w:color="auto"/>
              <w:left w:val="nil"/>
              <w:bottom w:val="single" w:sz="4" w:space="0" w:color="auto"/>
              <w:right w:val="single" w:sz="4" w:space="0" w:color="auto"/>
            </w:tcBorders>
            <w:noWrap/>
            <w:tcMar>
              <w:left w:w="0" w:type="dxa"/>
              <w:right w:w="0" w:type="dxa"/>
            </w:tcMar>
            <w:vAlign w:val="center"/>
          </w:tcPr>
          <w:p w14:paraId="52FAE6C8" w14:textId="77777777" w:rsidR="00BD3831" w:rsidRPr="00FA719C" w:rsidRDefault="00BD3831" w:rsidP="0031289D">
            <w:pPr>
              <w:rPr>
                <w:rFonts w:ascii="Arabic Typesetting" w:hAnsi="Arabic Typesetting" w:cs="Arabic Typesetting"/>
                <w:sz w:val="28"/>
                <w:szCs w:val="28"/>
              </w:rPr>
            </w:pPr>
          </w:p>
        </w:tc>
        <w:tc>
          <w:tcPr>
            <w:tcW w:w="123" w:type="pct"/>
            <w:tcBorders>
              <w:top w:val="single" w:sz="4" w:space="0" w:color="auto"/>
              <w:left w:val="nil"/>
              <w:bottom w:val="single" w:sz="4" w:space="0" w:color="auto"/>
              <w:right w:val="single" w:sz="4" w:space="0" w:color="auto"/>
            </w:tcBorders>
            <w:noWrap/>
            <w:tcMar>
              <w:left w:w="0" w:type="dxa"/>
              <w:right w:w="0" w:type="dxa"/>
            </w:tcMar>
            <w:vAlign w:val="center"/>
          </w:tcPr>
          <w:p w14:paraId="7E7467AF" w14:textId="77777777" w:rsidR="00BD3831" w:rsidRPr="00FA719C" w:rsidRDefault="00BD3831" w:rsidP="0031289D">
            <w:pPr>
              <w:rPr>
                <w:rFonts w:ascii="Arabic Typesetting" w:hAnsi="Arabic Typesetting" w:cs="Arabic Typesetting"/>
                <w:sz w:val="28"/>
                <w:szCs w:val="28"/>
              </w:rPr>
            </w:pPr>
          </w:p>
        </w:tc>
        <w:tc>
          <w:tcPr>
            <w:tcW w:w="124" w:type="pct"/>
            <w:tcBorders>
              <w:top w:val="single" w:sz="4" w:space="0" w:color="auto"/>
              <w:left w:val="nil"/>
              <w:bottom w:val="single" w:sz="4" w:space="0" w:color="auto"/>
              <w:right w:val="single" w:sz="4" w:space="0" w:color="auto"/>
            </w:tcBorders>
            <w:noWrap/>
            <w:tcMar>
              <w:left w:w="0" w:type="dxa"/>
              <w:right w:w="0" w:type="dxa"/>
            </w:tcMar>
            <w:vAlign w:val="center"/>
          </w:tcPr>
          <w:p w14:paraId="52BAAD64" w14:textId="77777777" w:rsidR="00BD3831" w:rsidRPr="00FA719C" w:rsidRDefault="00BD3831" w:rsidP="0031289D">
            <w:pPr>
              <w:rPr>
                <w:rFonts w:ascii="Arabic Typesetting" w:hAnsi="Arabic Typesetting" w:cs="Arabic Typesetting"/>
                <w:sz w:val="28"/>
                <w:szCs w:val="28"/>
              </w:rPr>
            </w:pPr>
          </w:p>
        </w:tc>
        <w:tc>
          <w:tcPr>
            <w:tcW w:w="148" w:type="pct"/>
            <w:tcBorders>
              <w:top w:val="single" w:sz="4" w:space="0" w:color="auto"/>
              <w:left w:val="nil"/>
              <w:bottom w:val="single" w:sz="4" w:space="0" w:color="auto"/>
              <w:right w:val="single" w:sz="8" w:space="0" w:color="auto"/>
            </w:tcBorders>
            <w:noWrap/>
            <w:tcMar>
              <w:left w:w="0" w:type="dxa"/>
              <w:right w:w="0" w:type="dxa"/>
            </w:tcMar>
            <w:vAlign w:val="center"/>
          </w:tcPr>
          <w:p w14:paraId="5E9AC93E" w14:textId="77777777" w:rsidR="00BD3831" w:rsidRPr="00FA719C" w:rsidRDefault="00BD3831" w:rsidP="0031289D">
            <w:pPr>
              <w:rPr>
                <w:rFonts w:ascii="Arabic Typesetting" w:hAnsi="Arabic Typesetting" w:cs="Arabic Typesetting"/>
                <w:sz w:val="28"/>
                <w:szCs w:val="28"/>
              </w:rPr>
            </w:pPr>
          </w:p>
        </w:tc>
        <w:tc>
          <w:tcPr>
            <w:tcW w:w="125" w:type="pct"/>
            <w:tcBorders>
              <w:top w:val="single" w:sz="4" w:space="0" w:color="auto"/>
              <w:left w:val="nil"/>
              <w:bottom w:val="single" w:sz="4" w:space="0" w:color="auto"/>
              <w:right w:val="single" w:sz="4" w:space="0" w:color="auto"/>
            </w:tcBorders>
            <w:noWrap/>
            <w:tcMar>
              <w:left w:w="0" w:type="dxa"/>
              <w:right w:w="0" w:type="dxa"/>
            </w:tcMar>
            <w:vAlign w:val="center"/>
          </w:tcPr>
          <w:p w14:paraId="73272949" w14:textId="77777777" w:rsidR="00BD3831" w:rsidRPr="00FA719C" w:rsidRDefault="00BD3831" w:rsidP="0031289D">
            <w:pPr>
              <w:rPr>
                <w:rFonts w:ascii="Arabic Typesetting" w:hAnsi="Arabic Typesetting" w:cs="Arabic Typesetting"/>
                <w:sz w:val="28"/>
                <w:szCs w:val="28"/>
              </w:rPr>
            </w:pPr>
          </w:p>
        </w:tc>
        <w:tc>
          <w:tcPr>
            <w:tcW w:w="124" w:type="pct"/>
            <w:tcBorders>
              <w:top w:val="single" w:sz="4" w:space="0" w:color="auto"/>
              <w:left w:val="nil"/>
              <w:bottom w:val="single" w:sz="4" w:space="0" w:color="auto"/>
              <w:right w:val="single" w:sz="4" w:space="0" w:color="auto"/>
            </w:tcBorders>
            <w:noWrap/>
            <w:tcMar>
              <w:left w:w="0" w:type="dxa"/>
              <w:right w:w="0" w:type="dxa"/>
            </w:tcMar>
            <w:vAlign w:val="center"/>
          </w:tcPr>
          <w:p w14:paraId="4067C696" w14:textId="77777777" w:rsidR="00BD3831" w:rsidRPr="00FA719C" w:rsidRDefault="00BD3831" w:rsidP="0031289D">
            <w:pPr>
              <w:rPr>
                <w:rFonts w:ascii="Arabic Typesetting" w:hAnsi="Arabic Typesetting" w:cs="Arabic Typesetting"/>
                <w:sz w:val="28"/>
                <w:szCs w:val="28"/>
              </w:rPr>
            </w:pPr>
          </w:p>
        </w:tc>
        <w:tc>
          <w:tcPr>
            <w:tcW w:w="124" w:type="pct"/>
            <w:tcBorders>
              <w:top w:val="single" w:sz="4" w:space="0" w:color="auto"/>
              <w:left w:val="nil"/>
              <w:bottom w:val="single" w:sz="4" w:space="0" w:color="auto"/>
              <w:right w:val="single" w:sz="4" w:space="0" w:color="auto"/>
            </w:tcBorders>
            <w:noWrap/>
            <w:tcMar>
              <w:left w:w="0" w:type="dxa"/>
              <w:right w:w="0" w:type="dxa"/>
            </w:tcMar>
            <w:vAlign w:val="center"/>
          </w:tcPr>
          <w:p w14:paraId="683A4613" w14:textId="77777777" w:rsidR="00BD3831" w:rsidRPr="00FA719C" w:rsidRDefault="00BD3831" w:rsidP="0031289D">
            <w:pPr>
              <w:rPr>
                <w:rFonts w:ascii="Arabic Typesetting" w:hAnsi="Arabic Typesetting" w:cs="Arabic Typesetting"/>
                <w:sz w:val="28"/>
                <w:szCs w:val="28"/>
              </w:rPr>
            </w:pPr>
          </w:p>
        </w:tc>
        <w:tc>
          <w:tcPr>
            <w:tcW w:w="150" w:type="pct"/>
            <w:tcBorders>
              <w:top w:val="single" w:sz="4" w:space="0" w:color="auto"/>
              <w:left w:val="nil"/>
              <w:bottom w:val="single" w:sz="4" w:space="0" w:color="auto"/>
              <w:right w:val="single" w:sz="8" w:space="0" w:color="auto"/>
            </w:tcBorders>
            <w:noWrap/>
            <w:tcMar>
              <w:left w:w="0" w:type="dxa"/>
              <w:right w:w="0" w:type="dxa"/>
            </w:tcMar>
            <w:vAlign w:val="center"/>
          </w:tcPr>
          <w:p w14:paraId="1E9F4216" w14:textId="77777777" w:rsidR="00BD3831" w:rsidRPr="00FA719C" w:rsidRDefault="00BD3831" w:rsidP="0031289D">
            <w:pPr>
              <w:rPr>
                <w:rFonts w:ascii="Arabic Typesetting" w:hAnsi="Arabic Typesetting" w:cs="Arabic Typesetting"/>
                <w:sz w:val="28"/>
                <w:szCs w:val="28"/>
              </w:rPr>
            </w:pPr>
          </w:p>
        </w:tc>
        <w:tc>
          <w:tcPr>
            <w:tcW w:w="125" w:type="pct"/>
            <w:tcBorders>
              <w:top w:val="single" w:sz="4" w:space="0" w:color="auto"/>
              <w:left w:val="nil"/>
              <w:bottom w:val="single" w:sz="4" w:space="0" w:color="auto"/>
              <w:right w:val="single" w:sz="4" w:space="0" w:color="auto"/>
            </w:tcBorders>
            <w:noWrap/>
            <w:tcMar>
              <w:left w:w="0" w:type="dxa"/>
              <w:right w:w="0" w:type="dxa"/>
            </w:tcMar>
            <w:vAlign w:val="center"/>
          </w:tcPr>
          <w:p w14:paraId="5EB71125" w14:textId="77777777" w:rsidR="00BD3831" w:rsidRPr="00FA719C" w:rsidRDefault="00BD3831" w:rsidP="0031289D">
            <w:pPr>
              <w:rPr>
                <w:rFonts w:ascii="Arabic Typesetting" w:hAnsi="Arabic Typesetting" w:cs="Arabic Typesetting"/>
                <w:sz w:val="28"/>
                <w:szCs w:val="28"/>
              </w:rPr>
            </w:pPr>
          </w:p>
        </w:tc>
        <w:tc>
          <w:tcPr>
            <w:tcW w:w="124" w:type="pct"/>
            <w:tcBorders>
              <w:top w:val="single" w:sz="4" w:space="0" w:color="auto"/>
              <w:left w:val="nil"/>
              <w:bottom w:val="single" w:sz="4" w:space="0" w:color="auto"/>
              <w:right w:val="single" w:sz="4" w:space="0" w:color="auto"/>
            </w:tcBorders>
            <w:noWrap/>
            <w:tcMar>
              <w:left w:w="0" w:type="dxa"/>
              <w:right w:w="0" w:type="dxa"/>
            </w:tcMar>
            <w:vAlign w:val="center"/>
          </w:tcPr>
          <w:p w14:paraId="30199966" w14:textId="77777777" w:rsidR="00BD3831" w:rsidRPr="00FA719C" w:rsidRDefault="00BD3831" w:rsidP="0031289D">
            <w:pPr>
              <w:rPr>
                <w:rFonts w:ascii="Arabic Typesetting" w:hAnsi="Arabic Typesetting" w:cs="Arabic Typesetting"/>
                <w:sz w:val="28"/>
                <w:szCs w:val="28"/>
              </w:rPr>
            </w:pPr>
          </w:p>
        </w:tc>
        <w:tc>
          <w:tcPr>
            <w:tcW w:w="124" w:type="pct"/>
            <w:tcBorders>
              <w:top w:val="single" w:sz="4" w:space="0" w:color="auto"/>
              <w:left w:val="nil"/>
              <w:bottom w:val="single" w:sz="4" w:space="0" w:color="auto"/>
              <w:right w:val="single" w:sz="4" w:space="0" w:color="auto"/>
            </w:tcBorders>
            <w:noWrap/>
            <w:tcMar>
              <w:left w:w="0" w:type="dxa"/>
              <w:right w:w="0" w:type="dxa"/>
            </w:tcMar>
            <w:vAlign w:val="center"/>
          </w:tcPr>
          <w:p w14:paraId="611EB98A" w14:textId="77777777" w:rsidR="00BD3831" w:rsidRPr="00FA719C" w:rsidRDefault="00BD3831" w:rsidP="0031289D">
            <w:pPr>
              <w:rPr>
                <w:rFonts w:ascii="Arabic Typesetting" w:hAnsi="Arabic Typesetting" w:cs="Arabic Typesetting"/>
                <w:sz w:val="28"/>
                <w:szCs w:val="28"/>
              </w:rPr>
            </w:pPr>
          </w:p>
        </w:tc>
        <w:tc>
          <w:tcPr>
            <w:tcW w:w="126" w:type="pct"/>
            <w:tcBorders>
              <w:top w:val="single" w:sz="4" w:space="0" w:color="auto"/>
              <w:left w:val="nil"/>
              <w:bottom w:val="single" w:sz="4" w:space="0" w:color="auto"/>
              <w:right w:val="single" w:sz="8" w:space="0" w:color="auto"/>
            </w:tcBorders>
            <w:noWrap/>
            <w:tcMar>
              <w:left w:w="0" w:type="dxa"/>
              <w:right w:w="0" w:type="dxa"/>
            </w:tcMar>
            <w:vAlign w:val="center"/>
          </w:tcPr>
          <w:p w14:paraId="72C0DB04" w14:textId="77777777" w:rsidR="00BD3831" w:rsidRPr="00FA719C" w:rsidRDefault="00BD3831" w:rsidP="0031289D">
            <w:pPr>
              <w:rPr>
                <w:rFonts w:ascii="Arabic Typesetting" w:hAnsi="Arabic Typesetting" w:cs="Arabic Typesetting"/>
                <w:sz w:val="28"/>
                <w:szCs w:val="28"/>
              </w:rPr>
            </w:pPr>
          </w:p>
        </w:tc>
        <w:tc>
          <w:tcPr>
            <w:tcW w:w="148" w:type="pct"/>
            <w:tcBorders>
              <w:top w:val="single" w:sz="4" w:space="0" w:color="auto"/>
              <w:left w:val="nil"/>
              <w:bottom w:val="single" w:sz="4" w:space="0" w:color="auto"/>
              <w:right w:val="single" w:sz="8" w:space="0" w:color="auto"/>
            </w:tcBorders>
            <w:tcMar>
              <w:left w:w="0" w:type="dxa"/>
              <w:right w:w="0" w:type="dxa"/>
            </w:tcMar>
            <w:vAlign w:val="center"/>
          </w:tcPr>
          <w:p w14:paraId="6B9F1A44" w14:textId="77777777" w:rsidR="00BD3831" w:rsidRPr="00FA719C" w:rsidRDefault="00BD3831" w:rsidP="0031289D">
            <w:pPr>
              <w:rPr>
                <w:rFonts w:ascii="Arabic Typesetting" w:hAnsi="Arabic Typesetting" w:cs="Arabic Typesetting"/>
                <w:sz w:val="28"/>
                <w:szCs w:val="28"/>
              </w:rPr>
            </w:pPr>
          </w:p>
        </w:tc>
        <w:tc>
          <w:tcPr>
            <w:tcW w:w="129" w:type="pct"/>
            <w:tcBorders>
              <w:top w:val="single" w:sz="4" w:space="0" w:color="auto"/>
              <w:left w:val="nil"/>
              <w:bottom w:val="single" w:sz="4" w:space="0" w:color="auto"/>
              <w:right w:val="single" w:sz="8" w:space="0" w:color="auto"/>
            </w:tcBorders>
            <w:tcMar>
              <w:left w:w="0" w:type="dxa"/>
              <w:right w:w="0" w:type="dxa"/>
            </w:tcMar>
            <w:vAlign w:val="center"/>
          </w:tcPr>
          <w:p w14:paraId="51BF9F9C"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8" w:space="0" w:color="auto"/>
            </w:tcBorders>
            <w:vAlign w:val="center"/>
          </w:tcPr>
          <w:p w14:paraId="3F5AF5B8" w14:textId="77777777" w:rsidR="00BD3831" w:rsidRPr="00FA719C" w:rsidRDefault="00BD3831" w:rsidP="0031289D">
            <w:pPr>
              <w:rPr>
                <w:rFonts w:ascii="Arabic Typesetting" w:hAnsi="Arabic Typesetting" w:cs="Arabic Typesetting"/>
                <w:sz w:val="28"/>
                <w:szCs w:val="28"/>
              </w:rPr>
            </w:pPr>
          </w:p>
        </w:tc>
        <w:tc>
          <w:tcPr>
            <w:tcW w:w="232" w:type="pct"/>
            <w:tcBorders>
              <w:top w:val="single" w:sz="4" w:space="0" w:color="auto"/>
              <w:left w:val="nil"/>
              <w:bottom w:val="single" w:sz="4" w:space="0" w:color="auto"/>
              <w:right w:val="single" w:sz="4" w:space="0" w:color="auto"/>
            </w:tcBorders>
            <w:vAlign w:val="center"/>
          </w:tcPr>
          <w:p w14:paraId="1F9169B7"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28914B1A" w14:textId="77777777" w:rsidR="00BD3831" w:rsidRPr="00FA719C" w:rsidRDefault="00BD3831" w:rsidP="0031289D">
            <w:pPr>
              <w:rPr>
                <w:rFonts w:ascii="Arabic Typesetting" w:hAnsi="Arabic Typesetting" w:cs="Arabic Typesetting"/>
                <w:sz w:val="28"/>
                <w:szCs w:val="28"/>
              </w:rPr>
            </w:pPr>
          </w:p>
        </w:tc>
        <w:tc>
          <w:tcPr>
            <w:tcW w:w="231" w:type="pct"/>
            <w:tcBorders>
              <w:top w:val="single" w:sz="4" w:space="0" w:color="auto"/>
              <w:left w:val="nil"/>
              <w:bottom w:val="single" w:sz="4" w:space="0" w:color="auto"/>
              <w:right w:val="single" w:sz="4" w:space="0" w:color="auto"/>
            </w:tcBorders>
            <w:vAlign w:val="center"/>
          </w:tcPr>
          <w:p w14:paraId="68FAF212" w14:textId="77777777" w:rsidR="00BD3831" w:rsidRPr="00FA719C" w:rsidRDefault="00BD3831" w:rsidP="0031289D">
            <w:pPr>
              <w:rPr>
                <w:rFonts w:ascii="Arabic Typesetting" w:hAnsi="Arabic Typesetting" w:cs="Arabic Typesetting"/>
                <w:sz w:val="28"/>
                <w:szCs w:val="28"/>
              </w:rPr>
            </w:pPr>
            <w:r w:rsidRPr="00FA719C">
              <w:rPr>
                <w:rFonts w:ascii="Arabic Typesetting" w:hAnsi="Arabic Typesetting" w:cs="Arabic Typesetting"/>
                <w:sz w:val="28"/>
                <w:szCs w:val="28"/>
              </w:rPr>
              <w:t>X</w:t>
            </w:r>
          </w:p>
        </w:tc>
      </w:tr>
    </w:tbl>
    <w:p w14:paraId="7F43AD02" w14:textId="77777777" w:rsidR="00BD3831" w:rsidRPr="00E551B2" w:rsidRDefault="00BD3831" w:rsidP="0031289D">
      <w:pPr>
        <w:keepNext/>
        <w:pageBreakBefore/>
        <w:bidi/>
        <w:spacing w:after="240" w:line="340" w:lineRule="exact"/>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lastRenderedPageBreak/>
        <w:t>المشروعات المتصلة بالمباني</w:t>
      </w:r>
    </w:p>
    <w:p w14:paraId="62512A20" w14:textId="77777777" w:rsidR="00BD3831" w:rsidRPr="00E551B2" w:rsidRDefault="00BD3831" w:rsidP="0031289D">
      <w:pPr>
        <w:pStyle w:val="Heading4"/>
      </w:pPr>
      <w:bookmarkStart w:id="75" w:name="_Toc450635444"/>
      <w:bookmarkStart w:id="76" w:name="_Toc455393413"/>
      <w:bookmarkStart w:id="77" w:name="_Toc482782789"/>
      <w:r w:rsidRPr="00E551B2">
        <w:rPr>
          <w:rtl/>
        </w:rPr>
        <w:t>المشروع 4: تطبيق نظام التبريد بمياه بحيرة جنيف في مبنى أرباد بوكش ومبنى البراءات (</w:t>
      </w:r>
      <w:r w:rsidRPr="00E551B2">
        <w:t>CMP 4</w:t>
      </w:r>
      <w:r w:rsidRPr="00E551B2">
        <w:rPr>
          <w:rtl/>
        </w:rPr>
        <w:t>)</w:t>
      </w:r>
      <w:bookmarkEnd w:id="75"/>
      <w:bookmarkEnd w:id="76"/>
      <w:bookmarkEnd w:id="77"/>
    </w:p>
    <w:p w14:paraId="5EC9E5F7" w14:textId="77777777" w:rsidR="00BD3831" w:rsidRPr="00E551B2" w:rsidRDefault="00BD3831" w:rsidP="0031289D">
      <w:pPr>
        <w:keepNext/>
        <w:bidi/>
        <w:spacing w:after="240" w:line="340" w:lineRule="exact"/>
        <w:ind w:left="1417" w:hanging="1417"/>
        <w:rPr>
          <w:rFonts w:ascii="Arabic Typesetting" w:hAnsi="Arabic Typesetting" w:cs="Arabic Typesetting"/>
          <w:bCs/>
          <w:sz w:val="34"/>
          <w:szCs w:val="36"/>
          <w:rtl/>
          <w:lang w:val="fr-CH"/>
        </w:rPr>
      </w:pPr>
      <w:r w:rsidRPr="00E551B2">
        <w:rPr>
          <w:rFonts w:ascii="Arabic Typesetting" w:hAnsi="Arabic Typesetting" w:cs="Arabic Typesetting"/>
          <w:bCs/>
          <w:sz w:val="34"/>
          <w:szCs w:val="36"/>
          <w:rtl/>
          <w:lang w:val="fr-CH"/>
        </w:rPr>
        <w:t>مدير المشروع:</w:t>
      </w:r>
      <w:r w:rsidRPr="00E551B2">
        <w:rPr>
          <w:rFonts w:ascii="Arabic Typesetting" w:hAnsi="Arabic Typesetting" w:cs="Arabic Typesetting"/>
          <w:bCs/>
          <w:sz w:val="34"/>
          <w:szCs w:val="36"/>
          <w:rtl/>
          <w:lang w:val="fr-CH"/>
        </w:rPr>
        <w:tab/>
        <w:t>السيد ألفيو فافيرو</w:t>
      </w:r>
    </w:p>
    <w:p w14:paraId="0288147E" w14:textId="77777777" w:rsidR="00BD3831" w:rsidRPr="00E551B2" w:rsidRDefault="00BD3831" w:rsidP="0031289D">
      <w:pPr>
        <w:keepNext/>
        <w:bidi/>
        <w:spacing w:after="240" w:line="340" w:lineRule="exact"/>
        <w:rPr>
          <w:rFonts w:ascii="Arabic Typesetting" w:hAnsi="Arabic Typesetting" w:cs="Arabic Typesetting"/>
          <w:sz w:val="34"/>
          <w:szCs w:val="34"/>
          <w:lang w:bidi="ar-EG"/>
        </w:rPr>
      </w:pPr>
      <w:r w:rsidRPr="00E551B2">
        <w:rPr>
          <w:rFonts w:ascii="Arabic Typesetting" w:hAnsi="Arabic Typesetting" w:cs="Arabic Typesetting"/>
          <w:sz w:val="34"/>
          <w:szCs w:val="34"/>
          <w:rtl/>
          <w:lang w:bidi="ar-EG"/>
        </w:rPr>
        <w:t>النتيجة المرتقبة</w:t>
      </w:r>
    </w:p>
    <w:p w14:paraId="3986DE7F" w14:textId="77777777" w:rsidR="00BD3831" w:rsidRPr="00E551B2" w:rsidRDefault="00BD3831" w:rsidP="0031289D">
      <w:pPr>
        <w:bidi/>
        <w:spacing w:after="240" w:line="340" w:lineRule="exact"/>
        <w:rPr>
          <w:rFonts w:ascii="Arabic Typesetting" w:hAnsi="Arabic Typesetting" w:cs="Arabic Typesetting"/>
          <w:iCs/>
          <w:sz w:val="34"/>
          <w:szCs w:val="34"/>
          <w:rtl/>
          <w:lang w:bidi="ar-EG"/>
        </w:rPr>
      </w:pPr>
      <w:r w:rsidRPr="00E551B2">
        <w:rPr>
          <w:rFonts w:ascii="Arabic Typesetting" w:hAnsi="Arabic Typesetting" w:cs="Arabic Typesetting"/>
          <w:iCs/>
          <w:sz w:val="34"/>
          <w:szCs w:val="34"/>
          <w:rtl/>
          <w:lang w:bidi="ar-EG"/>
        </w:rPr>
        <w:t>ه1.9</w:t>
      </w:r>
      <w:r w:rsidRPr="00E551B2">
        <w:rPr>
          <w:rFonts w:ascii="Arabic Typesetting" w:hAnsi="Arabic Typesetting" w:cs="Arabic Typesetting"/>
          <w:iCs/>
          <w:sz w:val="34"/>
          <w:szCs w:val="34"/>
          <w:rtl/>
          <w:lang w:bidi="ar-EG"/>
        </w:rPr>
        <w:tab/>
      </w:r>
      <w:r>
        <w:rPr>
          <w:rFonts w:ascii="Arabic Typesetting" w:hAnsi="Arabic Typesetting" w:cs="Arabic Typesetting"/>
          <w:iCs/>
          <w:sz w:val="34"/>
          <w:szCs w:val="34"/>
          <w:rtl/>
          <w:lang w:bidi="ar-EG"/>
        </w:rPr>
        <w:t>خدمات دعم موجهة للزبون بفعالية وكفاءة وجودة لفائدة الزبائن الداخليين وأصحاب المصلحة الخارجيين</w:t>
      </w:r>
    </w:p>
    <w:p w14:paraId="061274E0" w14:textId="77777777" w:rsidR="00BD3831" w:rsidRPr="00E551B2" w:rsidRDefault="00BD3831" w:rsidP="0031289D">
      <w:pPr>
        <w:keepNext/>
        <w:bidi/>
        <w:spacing w:after="240" w:line="340" w:lineRule="exact"/>
        <w:rPr>
          <w:rFonts w:ascii="Arabic Typesetting" w:hAnsi="Arabic Typesetting" w:cs="Arabic Typesetting"/>
          <w:sz w:val="34"/>
          <w:szCs w:val="34"/>
          <w:lang w:bidi="ar-EG"/>
        </w:rPr>
      </w:pPr>
      <w:r w:rsidRPr="00E551B2">
        <w:rPr>
          <w:rFonts w:ascii="Arabic Typesetting" w:hAnsi="Arabic Typesetting" w:cs="Arabic Typesetting"/>
          <w:color w:val="000000"/>
          <w:sz w:val="34"/>
          <w:szCs w:val="34"/>
          <w:rtl/>
          <w:lang w:bidi="ar-EG"/>
        </w:rPr>
        <w:t>الأهداف والنطاق والنهج - معلومات أساسية</w:t>
      </w:r>
    </w:p>
    <w:p w14:paraId="0D1A6B7A" w14:textId="77777777" w:rsidR="00BD3831" w:rsidRPr="00E551B2" w:rsidRDefault="00BD3831" w:rsidP="0031289D">
      <w:pPr>
        <w:numPr>
          <w:ilvl w:val="0"/>
          <w:numId w:val="61"/>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أنشئ نظام التبريد بمياه بحيرة جنيف (</w:t>
      </w:r>
      <w:r w:rsidRPr="00E551B2">
        <w:rPr>
          <w:rFonts w:ascii="Arabic Typesetting" w:hAnsi="Arabic Typesetting" w:cs="Arabic Typesetting"/>
          <w:sz w:val="34"/>
          <w:szCs w:val="34"/>
        </w:rPr>
        <w:t>GLN</w:t>
      </w:r>
      <w:r w:rsidRPr="00E551B2">
        <w:rPr>
          <w:rFonts w:ascii="Arabic Typesetting" w:hAnsi="Arabic Typesetting" w:cs="Arabic Typesetting"/>
          <w:sz w:val="34"/>
          <w:szCs w:val="34"/>
          <w:rtl/>
        </w:rPr>
        <w:t xml:space="preserve">) منذ بضع سنوات، وتتولى إدارته وتشغيله شركة الطاقة المحلية (الخدمات الصناعية لجنيف </w:t>
      </w:r>
      <w:r w:rsidRPr="00E551B2">
        <w:rPr>
          <w:rFonts w:ascii="Arabic Typesetting" w:hAnsi="Arabic Typesetting" w:cs="Arabic Typesetting"/>
          <w:sz w:val="34"/>
          <w:szCs w:val="34"/>
        </w:rPr>
        <w:t>SIG</w:t>
      </w:r>
      <w:r w:rsidRPr="00E551B2">
        <w:rPr>
          <w:rFonts w:ascii="Arabic Typesetting" w:hAnsi="Arabic Typesetting" w:cs="Arabic Typesetting"/>
          <w:sz w:val="34"/>
          <w:szCs w:val="34"/>
          <w:rtl/>
        </w:rPr>
        <w:t xml:space="preserve">)، ويتم فيه سحب الماء البارد من أعماق بحيرة جنيف ونقله إلى الضفة الشمالية لمدينة جنيف لكي يستخدم في توليد طاقة التبريد لمجموعة من المباني الإدارية في محيط ساحة الأمم. وقد أصبحت الويبو، منذ بضع سنوات، إحدى وكالات الأمم المتحدة الأولى التي أبرمت اتفاقاً مع شركة </w:t>
      </w:r>
      <w:r w:rsidRPr="00E551B2">
        <w:rPr>
          <w:rFonts w:ascii="Arabic Typesetting" w:hAnsi="Arabic Typesetting" w:cs="Arabic Typesetting"/>
          <w:sz w:val="34"/>
          <w:szCs w:val="34"/>
        </w:rPr>
        <w:t>SIG</w:t>
      </w:r>
      <w:r w:rsidRPr="00E551B2">
        <w:rPr>
          <w:rFonts w:ascii="Arabic Typesetting" w:hAnsi="Arabic Typesetting" w:cs="Arabic Typesetting"/>
          <w:sz w:val="34"/>
          <w:szCs w:val="34"/>
          <w:rtl/>
        </w:rPr>
        <w:t xml:space="preserve"> </w:t>
      </w:r>
      <w:r w:rsidRPr="00E551B2">
        <w:rPr>
          <w:rFonts w:ascii="Arabic Typesetting" w:hAnsi="Arabic Typesetting" w:cs="Arabic Typesetting" w:hint="cs"/>
          <w:sz w:val="34"/>
          <w:szCs w:val="34"/>
          <w:rtl/>
        </w:rPr>
        <w:t>لحجز</w:t>
      </w:r>
      <w:r w:rsidRPr="00E551B2">
        <w:rPr>
          <w:rFonts w:ascii="Arabic Typesetting" w:hAnsi="Arabic Typesetting" w:cs="Arabic Typesetting"/>
          <w:sz w:val="34"/>
          <w:szCs w:val="34"/>
          <w:rtl/>
        </w:rPr>
        <w:t xml:space="preserve"> الطاقة اللازمة لكل مبانيها (بما فيها المباني التي كانت قيد الإنشاء آنذاك). واعتبارا من نهاية 2013، أصبحت المباني التالية الواقعة في مجمع الويبو متصلة اتصالا تاما بنظام التبريد بمياه بحيرة جنيف: المبنى الجديد (يستخدم فيه النظام منذ 2011)، ومبنى بودنهاوزن الأول ومبنى بودنهاوزن الثاني (يستخدم النظام فيهما منذ منتصف 2013)، وقاعة مؤتمرات الويبو الجديدة (دخلها النظام أثناء مرحلة بنائها وبدأ استخدامه في نهاية 2013). ولم يتبق سوى مبنيين اثنين لم يُربطا حتى الآن بنظام التبريد بمياه بحيرة جنيف، هما مبنى أرباد بوكش ومبنى البراءات، وهما موضوع هذا القسم من مشروع الخطة الرأسمالية الرئيسية. وفي هذا الصدد، تجدر الإشارة إلى أن الزمن المنقضي من عمر آلات توليد طاقة التبريد القائمة في مبنى أرباد بوكش ومبنى البراءات يتراوح بين عشرة أعوام و33 عاما تقريباً، في حين يبلغ عمرها الافتراضي 30 عاما.</w:t>
      </w:r>
    </w:p>
    <w:p w14:paraId="4999E057" w14:textId="77777777" w:rsidR="00BD3831" w:rsidRPr="00E551B2" w:rsidRDefault="00BD3831" w:rsidP="0031289D">
      <w:pPr>
        <w:numPr>
          <w:ilvl w:val="0"/>
          <w:numId w:val="61"/>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وأهداف المشروع هي "1" استكمال نشر نظام تكنولوجي معزَّز في صيانة المباني فيما يتعلق بتجهيزات التبريد المستعملة بالفعل في أكثر من نصف الحجم الكلي للمباني المعنية في مجمع الويبو؛ "2" واستباق الحاجة إلى استبدال آلات التبريد التقليدية في المبنيين المتبقيين بالمبادرة إلى استبدالها قبل أن تتعطل التجهيزات (وهو ما حدث في تجهيزات مبنى بودنهاوزن الثاني في عام 2011)؛ "3" وخفض تكلفة صيانة التجهيزات مقارنة بتكلفة صيانة تجهيزات التبريد التقليدية؛ "4" وتطوير هذا النوع من المعدات والتجهيزات التقنية بأنظمة أكثر محافظة على البيئة.</w:t>
      </w:r>
    </w:p>
    <w:p w14:paraId="2F404C36" w14:textId="77777777" w:rsidR="00BD3831" w:rsidRPr="00E551B2" w:rsidRDefault="00BD3831" w:rsidP="0031289D">
      <w:pPr>
        <w:keepNext/>
        <w:bidi/>
        <w:spacing w:after="240" w:line="340" w:lineRule="exact"/>
        <w:rPr>
          <w:rFonts w:ascii="Arabic Typesetting" w:hAnsi="Arabic Typesetting" w:cs="Arabic Typesetting"/>
          <w:color w:val="000000"/>
          <w:sz w:val="34"/>
          <w:szCs w:val="34"/>
          <w:lang w:bidi="ar-EG"/>
        </w:rPr>
      </w:pPr>
      <w:r w:rsidRPr="00E551B2">
        <w:rPr>
          <w:rFonts w:ascii="Arabic Typesetting" w:hAnsi="Arabic Typesetting" w:cs="Arabic Typesetting"/>
          <w:color w:val="000000"/>
          <w:sz w:val="34"/>
          <w:szCs w:val="34"/>
          <w:rtl/>
          <w:lang w:bidi="ar-EG"/>
        </w:rPr>
        <w:t xml:space="preserve">استعراض التقدم المحرز في </w:t>
      </w:r>
      <w:r>
        <w:rPr>
          <w:rFonts w:ascii="Arabic Typesetting" w:hAnsi="Arabic Typesetting" w:cs="Arabic Typesetting" w:hint="cs"/>
          <w:color w:val="000000"/>
          <w:sz w:val="34"/>
          <w:szCs w:val="34"/>
          <w:rtl/>
          <w:lang w:bidi="ar-EG"/>
        </w:rPr>
        <w:t>2016</w:t>
      </w:r>
      <w:r w:rsidRPr="00E551B2">
        <w:rPr>
          <w:rFonts w:ascii="Arabic Typesetting" w:hAnsi="Arabic Typesetting" w:cs="Arabic Typesetting"/>
          <w:color w:val="000000"/>
          <w:sz w:val="34"/>
          <w:szCs w:val="34"/>
          <w:rtl/>
          <w:lang w:bidi="ar-EG"/>
        </w:rPr>
        <w:t xml:space="preserve"> (المعالم الرئيسية)</w:t>
      </w:r>
    </w:p>
    <w:p w14:paraId="50B88EF4" w14:textId="77777777" w:rsidR="00BD3831" w:rsidRPr="00E551B2" w:rsidRDefault="00BD3831" w:rsidP="0031289D">
      <w:pPr>
        <w:numPr>
          <w:ilvl w:val="0"/>
          <w:numId w:val="61"/>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 xml:space="preserve">في عام </w:t>
      </w:r>
      <w:r>
        <w:rPr>
          <w:rFonts w:ascii="Arabic Typesetting" w:hAnsi="Arabic Typesetting" w:cs="Arabic Typesetting" w:hint="cs"/>
          <w:sz w:val="34"/>
          <w:szCs w:val="34"/>
          <w:rtl/>
        </w:rPr>
        <w:t>2016</w:t>
      </w:r>
      <w:r w:rsidRPr="00E551B2">
        <w:rPr>
          <w:rFonts w:ascii="Arabic Typesetting" w:hAnsi="Arabic Typesetting" w:cs="Arabic Typesetting"/>
          <w:sz w:val="34"/>
          <w:szCs w:val="34"/>
          <w:rtl/>
        </w:rPr>
        <w:t>، أحرز التقدم التالي:</w:t>
      </w:r>
    </w:p>
    <w:p w14:paraId="53511097" w14:textId="77777777" w:rsidR="00BD3831" w:rsidRDefault="00BD3831" w:rsidP="0031289D">
      <w:pPr>
        <w:numPr>
          <w:ilvl w:val="0"/>
          <w:numId w:val="49"/>
        </w:numPr>
        <w:bidi/>
        <w:spacing w:after="240" w:line="340" w:lineRule="exact"/>
        <w:ind w:left="1134" w:hanging="567"/>
        <w:rPr>
          <w:rFonts w:ascii="Arabic Typesetting" w:hAnsi="Arabic Typesetting" w:cs="Arabic Typesetting"/>
          <w:sz w:val="34"/>
          <w:szCs w:val="34"/>
        </w:rPr>
      </w:pPr>
      <w:r w:rsidRPr="004D2BE6">
        <w:rPr>
          <w:rFonts w:ascii="Arabic Typesetting" w:hAnsi="Arabic Typesetting" w:cs="Arabic Typesetting"/>
          <w:sz w:val="34"/>
          <w:szCs w:val="34"/>
          <w:rtl/>
        </w:rPr>
        <w:t>مبنى أرباد بوكش</w:t>
      </w:r>
      <w:r w:rsidRPr="004D2BE6">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انقضت فترة ضمان البناء في أكتوبر 2016 ولم تُكتشف أي عيوب في التجهيزات أو المعدات ومن ثم لم تُجرَ أي أعمال تصحيحية في عام 2016؛ والتجهيزات تعمل بطريقة مرضية للغاية.</w:t>
      </w:r>
    </w:p>
    <w:p w14:paraId="67F6448C" w14:textId="77777777" w:rsidR="00BD3831" w:rsidRDefault="00BD3831" w:rsidP="0031289D">
      <w:pPr>
        <w:numPr>
          <w:ilvl w:val="0"/>
          <w:numId w:val="49"/>
        </w:numPr>
        <w:bidi/>
        <w:spacing w:after="240" w:line="340" w:lineRule="exact"/>
        <w:ind w:left="1134" w:hanging="567"/>
        <w:rPr>
          <w:rFonts w:ascii="Arabic Typesetting" w:hAnsi="Arabic Typesetting" w:cs="Arabic Typesetting"/>
          <w:sz w:val="34"/>
          <w:szCs w:val="34"/>
        </w:rPr>
      </w:pPr>
      <w:r>
        <w:rPr>
          <w:rFonts w:ascii="Arabic Typesetting" w:hAnsi="Arabic Typesetting" w:cs="Arabic Typesetting" w:hint="cs"/>
          <w:sz w:val="34"/>
          <w:szCs w:val="34"/>
          <w:rtl/>
        </w:rPr>
        <w:t>مبنى معاهدة البراءات: ستنقضي فترة ضمان البناء في ديسمبر 2017</w:t>
      </w:r>
      <w:r w:rsidRPr="004D2BE6">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ولم تُكتشف أي عيوب في التجهيزات أو</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المعدات ومن ثم لم تُجرَ أي أعمال تصحيحية في عام 2016؛</w:t>
      </w:r>
      <w:r>
        <w:rPr>
          <w:rFonts w:ascii="Arabic Typesetting" w:hAnsi="Arabic Typesetting" w:cs="Arabic Typesetting" w:hint="cs"/>
          <w:sz w:val="34"/>
          <w:szCs w:val="34"/>
          <w:rtl/>
          <w:lang w:bidi="ar-EG"/>
        </w:rPr>
        <w:t xml:space="preserve"> وستستمر المتابعة حتى انقضاء فترة ضمان البناء أي</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حتى نهاية ديسمبر 2017.</w:t>
      </w:r>
    </w:p>
    <w:p w14:paraId="6DB0AAF0" w14:textId="77777777" w:rsidR="00BD3831" w:rsidRPr="004D2BE6" w:rsidRDefault="00BD3831" w:rsidP="0031289D">
      <w:pPr>
        <w:numPr>
          <w:ilvl w:val="0"/>
          <w:numId w:val="49"/>
        </w:numPr>
        <w:bidi/>
        <w:spacing w:after="240" w:line="340" w:lineRule="exact"/>
        <w:ind w:left="1134" w:hanging="567"/>
        <w:rPr>
          <w:rFonts w:ascii="Arabic Typesetting" w:hAnsi="Arabic Typesetting" w:cs="Arabic Typesetting"/>
          <w:sz w:val="34"/>
          <w:szCs w:val="34"/>
        </w:rPr>
      </w:pPr>
      <w:r>
        <w:rPr>
          <w:rFonts w:ascii="Arabic Typesetting" w:hAnsi="Arabic Typesetting" w:cs="Arabic Typesetting" w:hint="cs"/>
          <w:sz w:val="34"/>
          <w:szCs w:val="34"/>
          <w:rtl/>
          <w:lang w:bidi="ar-EG"/>
        </w:rPr>
        <w:t>استُكمل المشروع ويُزمع إغلاقه رسمياً خلال عام 2017. وسيُعاد الرصيد المتبقي البالغ تقديره 487 273 فرنكاً</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سويسرياً</w:t>
      </w:r>
      <w:r w:rsidRPr="00456F66">
        <w:rPr>
          <w:rFonts w:ascii="Arabic Typesetting" w:hAnsi="Arabic Typesetting" w:cs="Arabic Typesetting"/>
          <w:sz w:val="28"/>
          <w:szCs w:val="28"/>
          <w:vertAlign w:val="superscript"/>
          <w:rtl/>
          <w:lang w:bidi="ar-EG"/>
        </w:rPr>
        <w:footnoteReference w:id="119"/>
      </w:r>
      <w:r>
        <w:rPr>
          <w:rFonts w:ascii="Arabic Typesetting" w:hAnsi="Arabic Typesetting" w:cs="Arabic Typesetting" w:hint="cs"/>
          <w:sz w:val="34"/>
          <w:szCs w:val="34"/>
          <w:rtl/>
          <w:lang w:bidi="ar-EG"/>
        </w:rPr>
        <w:t xml:space="preserve"> إلى الأموال الاحتياطية بحلول نهاية عام 2017.</w:t>
      </w:r>
    </w:p>
    <w:p w14:paraId="2D9AB199" w14:textId="77777777" w:rsidR="00BD3831" w:rsidRPr="00E551B2" w:rsidRDefault="00BD3831" w:rsidP="0031289D">
      <w:pPr>
        <w:keepNext/>
        <w:bidi/>
        <w:spacing w:after="240" w:line="340" w:lineRule="exact"/>
        <w:rPr>
          <w:rFonts w:ascii="Arabic Typesetting" w:hAnsi="Arabic Typesetting" w:cs="Arabic Typesetting"/>
          <w:b/>
          <w:color w:val="000000"/>
          <w:sz w:val="34"/>
          <w:szCs w:val="34"/>
          <w:lang w:bidi="ar-EG"/>
        </w:rPr>
      </w:pPr>
      <w:r w:rsidRPr="00E551B2">
        <w:rPr>
          <w:rFonts w:ascii="Arabic Typesetting" w:hAnsi="Arabic Typesetting" w:cs="Arabic Typesetting"/>
          <w:b/>
          <w:color w:val="000000"/>
          <w:sz w:val="34"/>
          <w:szCs w:val="34"/>
          <w:rtl/>
          <w:lang w:bidi="ar-EG"/>
        </w:rPr>
        <w:lastRenderedPageBreak/>
        <w:t>تحقيق المنافع</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BD3831" w:rsidRPr="00E551B2" w14:paraId="2CB1B72B" w14:textId="77777777" w:rsidTr="00DF6715">
        <w:trPr>
          <w:trHeight w:val="314"/>
          <w:tblHeader/>
        </w:trPr>
        <w:tc>
          <w:tcPr>
            <w:tcW w:w="1667" w:type="pct"/>
            <w:shd w:val="clear" w:color="auto" w:fill="C6D9F1"/>
            <w:tcMar>
              <w:top w:w="113" w:type="dxa"/>
              <w:bottom w:w="113" w:type="dxa"/>
            </w:tcMar>
            <w:vAlign w:val="center"/>
          </w:tcPr>
          <w:p w14:paraId="229C1087" w14:textId="77777777" w:rsidR="00BD3831" w:rsidRPr="00E551B2" w:rsidRDefault="00BD3831" w:rsidP="0031289D">
            <w:pPr>
              <w:keepNext/>
              <w:bidi/>
              <w:spacing w:line="30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المنافع المحققة 2014</w:t>
            </w:r>
          </w:p>
        </w:tc>
        <w:tc>
          <w:tcPr>
            <w:tcW w:w="1667" w:type="pct"/>
            <w:shd w:val="clear" w:color="auto" w:fill="C6D9F1"/>
            <w:vAlign w:val="center"/>
          </w:tcPr>
          <w:p w14:paraId="5832CBA1" w14:textId="77777777" w:rsidR="00BD3831" w:rsidRPr="00E551B2" w:rsidRDefault="00BD3831" w:rsidP="0031289D">
            <w:pPr>
              <w:keepNext/>
              <w:bidi/>
              <w:spacing w:line="30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color w:val="000000"/>
                <w:sz w:val="28"/>
                <w:szCs w:val="28"/>
                <w:rtl/>
                <w:lang w:bidi="ar-EG"/>
              </w:rPr>
              <w:t>المنافع المحققة 2015</w:t>
            </w:r>
          </w:p>
        </w:tc>
        <w:tc>
          <w:tcPr>
            <w:tcW w:w="1666" w:type="pct"/>
            <w:shd w:val="clear" w:color="auto" w:fill="C6D9F1"/>
            <w:vAlign w:val="center"/>
          </w:tcPr>
          <w:p w14:paraId="2FBACF5C" w14:textId="77777777" w:rsidR="00BD3831" w:rsidRPr="00E551B2" w:rsidRDefault="00BD3831" w:rsidP="0031289D">
            <w:pPr>
              <w:keepNext/>
              <w:bidi/>
              <w:spacing w:line="30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color w:val="000000"/>
                <w:sz w:val="28"/>
                <w:szCs w:val="28"/>
                <w:rtl/>
                <w:lang w:bidi="ar-EG"/>
              </w:rPr>
              <w:t xml:space="preserve">المنافع </w:t>
            </w:r>
            <w:r>
              <w:rPr>
                <w:rFonts w:ascii="Arabic Typesetting" w:hAnsi="Arabic Typesetting" w:cs="Arabic Typesetting" w:hint="cs"/>
                <w:bCs/>
                <w:color w:val="000000"/>
                <w:sz w:val="28"/>
                <w:szCs w:val="28"/>
                <w:rtl/>
                <w:lang w:bidi="ar-EG"/>
              </w:rPr>
              <w:t>المحققة</w:t>
            </w:r>
            <w:r w:rsidRPr="00E551B2">
              <w:rPr>
                <w:rFonts w:ascii="Arabic Typesetting" w:hAnsi="Arabic Typesetting" w:cs="Arabic Typesetting"/>
                <w:bCs/>
                <w:color w:val="000000"/>
                <w:sz w:val="28"/>
                <w:szCs w:val="28"/>
                <w:rtl/>
                <w:lang w:bidi="ar-EG"/>
              </w:rPr>
              <w:t xml:space="preserve"> في 2016</w:t>
            </w:r>
          </w:p>
        </w:tc>
      </w:tr>
      <w:tr w:rsidR="00BD3831" w:rsidRPr="00E551B2" w14:paraId="1DDC0E44" w14:textId="77777777" w:rsidTr="00DF6715">
        <w:trPr>
          <w:trHeight w:val="564"/>
        </w:trPr>
        <w:tc>
          <w:tcPr>
            <w:tcW w:w="1667" w:type="pct"/>
            <w:tcMar>
              <w:top w:w="113" w:type="dxa"/>
              <w:bottom w:w="113" w:type="dxa"/>
            </w:tcMar>
          </w:tcPr>
          <w:p w14:paraId="38CCAFAF" w14:textId="77777777" w:rsidR="00BD3831" w:rsidRPr="00E551B2" w:rsidRDefault="00BD3831" w:rsidP="0031289D">
            <w:pPr>
              <w:bidi/>
              <w:spacing w:line="300" w:lineRule="exact"/>
              <w:rPr>
                <w:rFonts w:ascii="Arabic Typesetting" w:hAnsi="Arabic Typesetting" w:cs="Arabic Typesetting"/>
                <w:b/>
                <w:sz w:val="28"/>
                <w:szCs w:val="28"/>
                <w:rtl/>
                <w:lang w:bidi="ar-EG"/>
              </w:rPr>
            </w:pPr>
            <w:r w:rsidRPr="00E551B2">
              <w:rPr>
                <w:rFonts w:ascii="Arabic Typesetting" w:hAnsi="Arabic Typesetting" w:cs="Arabic Typesetting"/>
                <w:b/>
                <w:color w:val="000000"/>
                <w:sz w:val="28"/>
                <w:szCs w:val="28"/>
                <w:rtl/>
                <w:lang w:bidi="ar-EG"/>
              </w:rPr>
              <w:t>تكليف أعمال نظام التبريد بمبنى أرباد بوكش في 13 أغسطس 2014 وتقليل جزئي في استهلاك الطاقة الكهربائية</w:t>
            </w:r>
          </w:p>
        </w:tc>
        <w:tc>
          <w:tcPr>
            <w:tcW w:w="1667" w:type="pct"/>
          </w:tcPr>
          <w:p w14:paraId="1F7C95DB" w14:textId="77777777" w:rsidR="00BD3831" w:rsidRPr="00E551B2" w:rsidRDefault="00BD3831" w:rsidP="0031289D">
            <w:pPr>
              <w:bidi/>
              <w:spacing w:line="300" w:lineRule="exact"/>
              <w:rPr>
                <w:rFonts w:ascii="Arabic Typesetting" w:hAnsi="Arabic Typesetting" w:cs="Arabic Typesetting"/>
                <w:b/>
                <w:sz w:val="28"/>
                <w:szCs w:val="28"/>
                <w:rtl/>
                <w:lang w:bidi="ar-EG"/>
              </w:rPr>
            </w:pPr>
            <w:r w:rsidRPr="00E551B2">
              <w:rPr>
                <w:rFonts w:ascii="Arabic Typesetting" w:hAnsi="Arabic Typesetting" w:cs="Arabic Typesetting"/>
                <w:b/>
                <w:color w:val="000000"/>
                <w:sz w:val="28"/>
                <w:szCs w:val="28"/>
                <w:rtl/>
                <w:lang w:bidi="ar-EG"/>
              </w:rPr>
              <w:t>تقليل استخدام الطاقة الكهربائية والتأثير البيئي لاستهلاك الكهرباء في تبريد مبنى أرباد بوكش</w:t>
            </w:r>
          </w:p>
        </w:tc>
        <w:tc>
          <w:tcPr>
            <w:tcW w:w="1666" w:type="pct"/>
          </w:tcPr>
          <w:p w14:paraId="098DBEC4" w14:textId="77777777" w:rsidR="00BD3831" w:rsidRPr="00E551B2" w:rsidRDefault="00BD3831" w:rsidP="0031289D">
            <w:pPr>
              <w:bidi/>
              <w:spacing w:line="300" w:lineRule="exact"/>
              <w:rPr>
                <w:rFonts w:ascii="Arabic Typesetting" w:hAnsi="Arabic Typesetting" w:cs="Arabic Typesetting"/>
                <w:b/>
                <w:sz w:val="28"/>
                <w:szCs w:val="28"/>
              </w:rPr>
            </w:pPr>
            <w:r w:rsidRPr="00E551B2">
              <w:rPr>
                <w:rFonts w:ascii="Arabic Typesetting" w:hAnsi="Arabic Typesetting" w:cs="Arabic Typesetting"/>
                <w:b/>
                <w:color w:val="000000"/>
                <w:sz w:val="28"/>
                <w:szCs w:val="28"/>
                <w:rtl/>
                <w:lang w:bidi="ar-EG"/>
              </w:rPr>
              <w:t>تقليل استهلاك الكهرباء والتأثير البيئي لاستخدام الكهرباء في تبريد مبنى البراءات</w:t>
            </w:r>
          </w:p>
        </w:tc>
      </w:tr>
      <w:tr w:rsidR="00BD3831" w:rsidRPr="00E551B2" w14:paraId="325D8677" w14:textId="77777777" w:rsidTr="00DF6715">
        <w:trPr>
          <w:trHeight w:val="516"/>
        </w:trPr>
        <w:tc>
          <w:tcPr>
            <w:tcW w:w="1667" w:type="pct"/>
            <w:tcMar>
              <w:top w:w="113" w:type="dxa"/>
              <w:bottom w:w="113" w:type="dxa"/>
            </w:tcMar>
          </w:tcPr>
          <w:p w14:paraId="1E1C0EDD" w14:textId="77777777" w:rsidR="00BD3831" w:rsidRPr="00E551B2" w:rsidRDefault="00BD3831" w:rsidP="0031289D">
            <w:pPr>
              <w:bidi/>
              <w:spacing w:line="300" w:lineRule="exact"/>
              <w:rPr>
                <w:rFonts w:ascii="Arabic Typesetting" w:hAnsi="Arabic Typesetting" w:cs="Arabic Typesetting"/>
                <w:b/>
                <w:sz w:val="28"/>
                <w:szCs w:val="28"/>
              </w:rPr>
            </w:pPr>
          </w:p>
        </w:tc>
        <w:tc>
          <w:tcPr>
            <w:tcW w:w="1667" w:type="pct"/>
          </w:tcPr>
          <w:p w14:paraId="3572E4B1" w14:textId="77777777" w:rsidR="00BD3831" w:rsidRPr="00E551B2" w:rsidRDefault="00BD3831" w:rsidP="0031289D">
            <w:pPr>
              <w:bidi/>
              <w:spacing w:line="300" w:lineRule="exact"/>
              <w:rPr>
                <w:rFonts w:ascii="Arabic Typesetting" w:hAnsi="Arabic Typesetting" w:cs="Arabic Typesetting"/>
                <w:b/>
                <w:sz w:val="28"/>
                <w:szCs w:val="28"/>
                <w:rtl/>
                <w:lang w:bidi="ar-EG"/>
              </w:rPr>
            </w:pPr>
            <w:r w:rsidRPr="00E551B2">
              <w:rPr>
                <w:rFonts w:ascii="Arabic Typesetting" w:hAnsi="Arabic Typesetting" w:cs="Arabic Typesetting"/>
                <w:b/>
                <w:color w:val="000000"/>
                <w:sz w:val="28"/>
                <w:szCs w:val="28"/>
                <w:rtl/>
                <w:lang w:bidi="ar-EG"/>
              </w:rPr>
              <w:t>تقليل تكلفة الصيانة التصحيحية لنظام التبريد في مبنى أرباد بوكش</w:t>
            </w:r>
          </w:p>
        </w:tc>
        <w:tc>
          <w:tcPr>
            <w:tcW w:w="1666" w:type="pct"/>
          </w:tcPr>
          <w:p w14:paraId="13BC1AD1" w14:textId="77777777" w:rsidR="00BD3831" w:rsidRPr="00E551B2" w:rsidRDefault="00BD3831" w:rsidP="0031289D">
            <w:pPr>
              <w:bidi/>
              <w:spacing w:line="300" w:lineRule="exact"/>
              <w:rPr>
                <w:rFonts w:ascii="Arabic Typesetting" w:hAnsi="Arabic Typesetting" w:cs="Arabic Typesetting"/>
                <w:b/>
                <w:sz w:val="28"/>
                <w:szCs w:val="28"/>
                <w:rtl/>
                <w:lang w:bidi="ar-EG"/>
              </w:rPr>
            </w:pPr>
            <w:r w:rsidRPr="00E551B2">
              <w:rPr>
                <w:rFonts w:ascii="Arabic Typesetting" w:hAnsi="Arabic Typesetting" w:cs="Arabic Typesetting"/>
                <w:b/>
                <w:color w:val="000000"/>
                <w:sz w:val="28"/>
                <w:szCs w:val="28"/>
                <w:rtl/>
                <w:lang w:bidi="ar-EG"/>
              </w:rPr>
              <w:t>تقليل تكلفة الصيانة التصحيحية لنظام التبريد في مبنى البراءات</w:t>
            </w:r>
          </w:p>
        </w:tc>
      </w:tr>
      <w:tr w:rsidR="00BD3831" w:rsidRPr="00E551B2" w14:paraId="565653F4" w14:textId="77777777" w:rsidTr="00DF6715">
        <w:trPr>
          <w:trHeight w:val="414"/>
        </w:trPr>
        <w:tc>
          <w:tcPr>
            <w:tcW w:w="1667" w:type="pct"/>
            <w:tcMar>
              <w:top w:w="113" w:type="dxa"/>
              <w:bottom w:w="113" w:type="dxa"/>
            </w:tcMar>
          </w:tcPr>
          <w:p w14:paraId="48FC4218" w14:textId="77777777" w:rsidR="00BD3831" w:rsidRPr="00E551B2" w:rsidRDefault="00BD3831" w:rsidP="0031289D">
            <w:pPr>
              <w:bidi/>
              <w:spacing w:line="300" w:lineRule="exact"/>
              <w:rPr>
                <w:rFonts w:ascii="Arabic Typesetting" w:hAnsi="Arabic Typesetting" w:cs="Arabic Typesetting"/>
                <w:b/>
                <w:sz w:val="28"/>
                <w:szCs w:val="28"/>
                <w:u w:val="single"/>
              </w:rPr>
            </w:pPr>
          </w:p>
        </w:tc>
        <w:tc>
          <w:tcPr>
            <w:tcW w:w="1667" w:type="pct"/>
          </w:tcPr>
          <w:p w14:paraId="10807BC5" w14:textId="77777777" w:rsidR="00BD3831" w:rsidRPr="00E551B2" w:rsidRDefault="00BD3831" w:rsidP="0031289D">
            <w:pPr>
              <w:bidi/>
              <w:spacing w:line="300" w:lineRule="exact"/>
              <w:rPr>
                <w:rFonts w:ascii="Arabic Typesetting" w:hAnsi="Arabic Typesetting" w:cs="Arabic Typesetting"/>
                <w:b/>
                <w:sz w:val="28"/>
                <w:szCs w:val="28"/>
                <w:rtl/>
                <w:lang w:bidi="ar-EG"/>
              </w:rPr>
            </w:pPr>
            <w:r w:rsidRPr="00E551B2">
              <w:rPr>
                <w:rFonts w:ascii="Arabic Typesetting" w:hAnsi="Arabic Typesetting" w:cs="Arabic Typesetting"/>
                <w:b/>
                <w:color w:val="000000"/>
                <w:sz w:val="28"/>
                <w:szCs w:val="28"/>
                <w:rtl/>
                <w:lang w:bidi="ar-EG"/>
              </w:rPr>
              <w:t>زيادة دورة حياة نظام التبريد في مبنى أرباد بوكش</w:t>
            </w:r>
          </w:p>
        </w:tc>
        <w:tc>
          <w:tcPr>
            <w:tcW w:w="1666" w:type="pct"/>
          </w:tcPr>
          <w:p w14:paraId="2C19015F" w14:textId="77777777" w:rsidR="00BD3831" w:rsidRPr="00E551B2" w:rsidRDefault="00BD3831" w:rsidP="0031289D">
            <w:pPr>
              <w:bidi/>
              <w:spacing w:line="300" w:lineRule="exact"/>
              <w:rPr>
                <w:rFonts w:ascii="Arabic Typesetting" w:hAnsi="Arabic Typesetting" w:cs="Arabic Typesetting"/>
                <w:b/>
                <w:sz w:val="28"/>
                <w:szCs w:val="28"/>
                <w:rtl/>
                <w:lang w:bidi="ar-EG"/>
              </w:rPr>
            </w:pPr>
            <w:r w:rsidRPr="00E551B2">
              <w:rPr>
                <w:rFonts w:ascii="Arabic Typesetting" w:hAnsi="Arabic Typesetting" w:cs="Arabic Typesetting"/>
                <w:b/>
                <w:color w:val="000000"/>
                <w:sz w:val="28"/>
                <w:szCs w:val="28"/>
                <w:rtl/>
                <w:lang w:bidi="ar-EG"/>
              </w:rPr>
              <w:t>زيادة دورة حياة نظام التبريد في مبنى البراءات</w:t>
            </w:r>
          </w:p>
        </w:tc>
      </w:tr>
      <w:tr w:rsidR="00BD3831" w:rsidRPr="00E551B2" w14:paraId="14513191" w14:textId="77777777" w:rsidTr="00DF6715">
        <w:trPr>
          <w:trHeight w:val="564"/>
        </w:trPr>
        <w:tc>
          <w:tcPr>
            <w:tcW w:w="1667" w:type="pct"/>
            <w:tcMar>
              <w:top w:w="113" w:type="dxa"/>
              <w:bottom w:w="113" w:type="dxa"/>
            </w:tcMar>
          </w:tcPr>
          <w:p w14:paraId="48DFAB8E" w14:textId="77777777" w:rsidR="00BD3831" w:rsidRPr="00E551B2" w:rsidRDefault="00BD3831" w:rsidP="0031289D">
            <w:pPr>
              <w:bidi/>
              <w:spacing w:line="300" w:lineRule="exact"/>
              <w:rPr>
                <w:rFonts w:ascii="Arabic Typesetting" w:hAnsi="Arabic Typesetting" w:cs="Arabic Typesetting"/>
                <w:b/>
                <w:sz w:val="28"/>
                <w:szCs w:val="28"/>
                <w:u w:val="single"/>
              </w:rPr>
            </w:pPr>
          </w:p>
        </w:tc>
        <w:tc>
          <w:tcPr>
            <w:tcW w:w="1667" w:type="pct"/>
          </w:tcPr>
          <w:p w14:paraId="47C5405A" w14:textId="77777777" w:rsidR="00BD3831" w:rsidRPr="00E551B2" w:rsidRDefault="00BD3831" w:rsidP="0031289D">
            <w:pPr>
              <w:bidi/>
              <w:spacing w:line="300" w:lineRule="exact"/>
              <w:rPr>
                <w:rFonts w:ascii="Arabic Typesetting" w:hAnsi="Arabic Typesetting" w:cs="Arabic Typesetting"/>
                <w:b/>
                <w:sz w:val="28"/>
                <w:szCs w:val="28"/>
                <w:rtl/>
                <w:lang w:bidi="ar-EG"/>
              </w:rPr>
            </w:pPr>
            <w:r w:rsidRPr="00E551B2">
              <w:rPr>
                <w:rFonts w:ascii="Arabic Typesetting" w:hAnsi="Arabic Typesetting" w:cs="Arabic Typesetting"/>
                <w:b/>
                <w:color w:val="000000"/>
                <w:sz w:val="28"/>
                <w:szCs w:val="28"/>
                <w:rtl/>
                <w:lang w:bidi="ar-EG"/>
              </w:rPr>
              <w:t>تركيب نظام تبريد أكثر محافظة على البيئة وصيانته في مبنى أرباد بوكش</w:t>
            </w:r>
          </w:p>
        </w:tc>
        <w:tc>
          <w:tcPr>
            <w:tcW w:w="1666" w:type="pct"/>
          </w:tcPr>
          <w:p w14:paraId="75428765" w14:textId="77777777" w:rsidR="00BD3831" w:rsidRPr="00E551B2" w:rsidRDefault="00BD3831" w:rsidP="0031289D">
            <w:pPr>
              <w:bidi/>
              <w:spacing w:line="300" w:lineRule="exact"/>
              <w:rPr>
                <w:rFonts w:ascii="Arabic Typesetting" w:hAnsi="Arabic Typesetting" w:cs="Arabic Typesetting"/>
                <w:b/>
                <w:sz w:val="28"/>
                <w:szCs w:val="28"/>
                <w:rtl/>
                <w:lang w:bidi="ar-EG"/>
              </w:rPr>
            </w:pPr>
            <w:r w:rsidRPr="00E551B2">
              <w:rPr>
                <w:rFonts w:ascii="Arabic Typesetting" w:hAnsi="Arabic Typesetting" w:cs="Arabic Typesetting"/>
                <w:b/>
                <w:color w:val="000000"/>
                <w:sz w:val="28"/>
                <w:szCs w:val="28"/>
                <w:rtl/>
                <w:lang w:bidi="ar-EG"/>
              </w:rPr>
              <w:t>تركيب نظام تبريد أكثر محافظة على البيئة وصيانته في مبنى البراءات</w:t>
            </w:r>
          </w:p>
        </w:tc>
      </w:tr>
      <w:tr w:rsidR="00BD3831" w:rsidRPr="00E551B2" w14:paraId="4BFB22BC" w14:textId="77777777" w:rsidTr="00DF6715">
        <w:trPr>
          <w:trHeight w:val="564"/>
        </w:trPr>
        <w:tc>
          <w:tcPr>
            <w:tcW w:w="1667" w:type="pct"/>
            <w:tcMar>
              <w:top w:w="113" w:type="dxa"/>
              <w:bottom w:w="113" w:type="dxa"/>
            </w:tcMar>
          </w:tcPr>
          <w:p w14:paraId="09E75588" w14:textId="77777777" w:rsidR="00BD3831" w:rsidRPr="00E551B2" w:rsidRDefault="00BD3831" w:rsidP="0031289D">
            <w:pPr>
              <w:bidi/>
              <w:spacing w:line="300" w:lineRule="exact"/>
              <w:rPr>
                <w:rFonts w:ascii="Arabic Typesetting" w:hAnsi="Arabic Typesetting" w:cs="Arabic Typesetting"/>
                <w:b/>
                <w:sz w:val="28"/>
                <w:szCs w:val="28"/>
                <w:u w:val="single"/>
              </w:rPr>
            </w:pPr>
          </w:p>
        </w:tc>
        <w:tc>
          <w:tcPr>
            <w:tcW w:w="1667" w:type="pct"/>
          </w:tcPr>
          <w:p w14:paraId="0AC8EB52" w14:textId="77777777" w:rsidR="00BD3831" w:rsidRPr="00E551B2" w:rsidRDefault="00BD3831" w:rsidP="0031289D">
            <w:pPr>
              <w:bidi/>
              <w:spacing w:line="300" w:lineRule="exact"/>
              <w:rPr>
                <w:rFonts w:ascii="Arabic Typesetting" w:hAnsi="Arabic Typesetting" w:cs="Arabic Typesetting"/>
                <w:b/>
                <w:sz w:val="28"/>
                <w:szCs w:val="28"/>
                <w:rtl/>
                <w:lang w:bidi="ar-EG"/>
              </w:rPr>
            </w:pPr>
            <w:r w:rsidRPr="00E551B2">
              <w:rPr>
                <w:rFonts w:ascii="Arabic Typesetting" w:hAnsi="Arabic Typesetting" w:cs="Arabic Typesetting"/>
                <w:b/>
                <w:color w:val="000000"/>
                <w:sz w:val="28"/>
                <w:szCs w:val="28"/>
                <w:rtl/>
                <w:lang w:bidi="ar-EG"/>
              </w:rPr>
              <w:t>تكليف أعمال نظام التبريد بمبنى البراءات في أكتوبر 2015 وتقليل جزئي في استهلاك الطاقة الكهربائية</w:t>
            </w:r>
          </w:p>
        </w:tc>
        <w:tc>
          <w:tcPr>
            <w:tcW w:w="1666" w:type="pct"/>
          </w:tcPr>
          <w:p w14:paraId="58F86302" w14:textId="77777777" w:rsidR="00BD3831" w:rsidRPr="00E551B2" w:rsidRDefault="00BD3831" w:rsidP="0031289D">
            <w:pPr>
              <w:bidi/>
              <w:spacing w:line="300" w:lineRule="exact"/>
              <w:rPr>
                <w:rFonts w:ascii="Arabic Typesetting" w:hAnsi="Arabic Typesetting" w:cs="Arabic Typesetting"/>
                <w:b/>
                <w:sz w:val="28"/>
                <w:szCs w:val="28"/>
                <w:rtl/>
                <w:lang w:bidi="ar-EG"/>
              </w:rPr>
            </w:pPr>
          </w:p>
        </w:tc>
      </w:tr>
    </w:tbl>
    <w:p w14:paraId="7C706C6C" w14:textId="45CF9FC8" w:rsidR="00BD3831" w:rsidRPr="00E551B2" w:rsidRDefault="00BD3831" w:rsidP="0031289D">
      <w:pPr>
        <w:bidi/>
        <w:spacing w:before="120" w:after="120"/>
        <w:rPr>
          <w:rFonts w:ascii="Arabic Typesetting" w:hAnsi="Arabic Typesetting" w:cs="Arabic Typesetting"/>
          <w:sz w:val="34"/>
          <w:szCs w:val="34"/>
          <w:lang w:bidi="ar-EG"/>
        </w:rPr>
      </w:pPr>
      <w:r w:rsidRPr="00E551B2">
        <w:rPr>
          <w:rFonts w:ascii="Arabic Typesetting" w:hAnsi="Arabic Typesetting" w:cs="Arabic Typesetting"/>
          <w:color w:val="000000"/>
          <w:sz w:val="34"/>
          <w:szCs w:val="34"/>
          <w:rtl/>
          <w:lang w:bidi="ar-EG"/>
        </w:rPr>
        <w:t>استخدام الموارد</w:t>
      </w:r>
      <w:r w:rsidR="00B66F63">
        <w:rPr>
          <w:rStyle w:val="FootnoteReference"/>
          <w:color w:val="000000"/>
          <w:rtl/>
          <w:lang w:bidi="ar-EG"/>
        </w:rPr>
        <w:footnoteReference w:id="120"/>
      </w:r>
    </w:p>
    <w:p w14:paraId="7FFC5B2C" w14:textId="77777777" w:rsidR="00BD3831" w:rsidRPr="00E551B2" w:rsidRDefault="00BD3831" w:rsidP="0031289D">
      <w:pPr>
        <w:keepNext/>
        <w:keepLines/>
        <w:autoSpaceDE w:val="0"/>
        <w:autoSpaceDN w:val="0"/>
        <w:bidi/>
        <w:adjustRightInd w:val="0"/>
        <w:jc w:val="center"/>
        <w:rPr>
          <w:rFonts w:ascii="Arabic Typesetting" w:hAnsi="Arabic Typesetting" w:cs="Arabic Typesetting"/>
          <w:bCs/>
          <w:sz w:val="34"/>
          <w:szCs w:val="34"/>
          <w:rtl/>
          <w:lang w:bidi="ar-EG"/>
        </w:rPr>
      </w:pPr>
      <w:r w:rsidRPr="00E551B2">
        <w:rPr>
          <w:rFonts w:ascii="Arabic Typesetting" w:hAnsi="Arabic Typesetting" w:cs="Arabic Typesetting"/>
          <w:bCs/>
          <w:color w:val="000000"/>
          <w:sz w:val="34"/>
          <w:szCs w:val="34"/>
          <w:rtl/>
          <w:lang w:bidi="ar-EG"/>
        </w:rPr>
        <w:t>استخدام ميزانية المشروع</w:t>
      </w:r>
    </w:p>
    <w:p w14:paraId="0F42B594" w14:textId="77777777" w:rsidR="00BD3831" w:rsidRPr="00E551B2" w:rsidRDefault="00BD3831" w:rsidP="0031289D">
      <w:pPr>
        <w:keepNext/>
        <w:keepLines/>
        <w:autoSpaceDE w:val="0"/>
        <w:autoSpaceDN w:val="0"/>
        <w:bidi/>
        <w:adjustRightInd w:val="0"/>
        <w:spacing w:after="120"/>
        <w:jc w:val="center"/>
        <w:rPr>
          <w:rFonts w:ascii="Arabic Typesetting" w:hAnsi="Arabic Typesetting" w:cs="Arabic Typesetting"/>
          <w:iCs/>
          <w:sz w:val="34"/>
          <w:szCs w:val="34"/>
          <w:lang w:bidi="ar-EG"/>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بالفرنك السويسري، في 31 ديسمبر 2016</w:t>
      </w:r>
      <w:r w:rsidRPr="00E551B2">
        <w:rPr>
          <w:rFonts w:ascii="Arabic Typesetting" w:hAnsi="Arabic Typesetting" w:cs="Arabic Typesetting"/>
          <w:iCs/>
          <w:sz w:val="34"/>
          <w:szCs w:val="34"/>
          <w:rtl/>
          <w:lang w:bidi="ar-EG"/>
        </w:rPr>
        <w:t>)</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627"/>
        <w:gridCol w:w="1629"/>
        <w:gridCol w:w="1629"/>
        <w:gridCol w:w="1627"/>
      </w:tblGrid>
      <w:tr w:rsidR="00BD3831" w:rsidRPr="00FA719C" w14:paraId="0512BC80" w14:textId="77777777" w:rsidTr="00DF6715">
        <w:trPr>
          <w:trHeight w:val="410"/>
        </w:trPr>
        <w:tc>
          <w:tcPr>
            <w:tcW w:w="1598" w:type="pct"/>
            <w:shd w:val="clear" w:color="auto" w:fill="C6D9F1"/>
            <w:vAlign w:val="center"/>
          </w:tcPr>
          <w:p w14:paraId="0D3C955B" w14:textId="77777777" w:rsidR="00BD3831" w:rsidRPr="00FA719C" w:rsidRDefault="00BD3831" w:rsidP="0031289D">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اسم المشروع</w:t>
            </w:r>
          </w:p>
        </w:tc>
        <w:tc>
          <w:tcPr>
            <w:tcW w:w="850" w:type="pct"/>
            <w:shd w:val="clear" w:color="auto" w:fill="C6D9F1"/>
            <w:vAlign w:val="center"/>
          </w:tcPr>
          <w:p w14:paraId="683A8C70" w14:textId="77777777" w:rsidR="00BD3831" w:rsidRPr="00FA719C" w:rsidRDefault="00BD3831" w:rsidP="0031289D">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14:paraId="292A905C" w14:textId="77777777" w:rsidR="00BD3831" w:rsidRPr="00FA719C"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14:paraId="60F0F3EF" w14:textId="77777777" w:rsidR="00BD3831" w:rsidRPr="00FA719C" w:rsidRDefault="00BD3831" w:rsidP="0031289D">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14:paraId="16CB01DA" w14:textId="77777777" w:rsidR="00BD3831" w:rsidRPr="00FA719C" w:rsidRDefault="00BD3831" w:rsidP="0031289D">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معدل التقدم المحرز في تنفيذ المشروع</w:t>
            </w:r>
          </w:p>
        </w:tc>
      </w:tr>
      <w:tr w:rsidR="00BD3831" w:rsidRPr="00FA719C" w14:paraId="049CFF75" w14:textId="77777777" w:rsidTr="00DF6715">
        <w:trPr>
          <w:trHeight w:val="389"/>
        </w:trPr>
        <w:tc>
          <w:tcPr>
            <w:tcW w:w="1598" w:type="pct"/>
            <w:vAlign w:val="center"/>
          </w:tcPr>
          <w:p w14:paraId="3AD625BC"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تطبيق نظام التبريد بمياه بحيرة جنيف في مبنى أرباد بوكش ومبنى البراءات</w:t>
            </w:r>
          </w:p>
        </w:tc>
        <w:tc>
          <w:tcPr>
            <w:tcW w:w="850" w:type="pct"/>
            <w:vAlign w:val="center"/>
          </w:tcPr>
          <w:p w14:paraId="44726FB8"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highlight w:val="yellow"/>
              </w:rPr>
            </w:pPr>
            <w:r w:rsidRPr="00FA719C">
              <w:rPr>
                <w:rFonts w:ascii="Arabic Typesetting" w:hAnsi="Arabic Typesetting" w:cs="Arabic Typesetting"/>
                <w:sz w:val="28"/>
                <w:szCs w:val="28"/>
              </w:rPr>
              <w:t>750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1" w:type="pct"/>
            <w:vAlign w:val="center"/>
          </w:tcPr>
          <w:p w14:paraId="7534B830"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highlight w:val="yellow"/>
              </w:rPr>
            </w:pPr>
            <w:r w:rsidRPr="00FA719C">
              <w:rPr>
                <w:rFonts w:ascii="Arabic Typesetting" w:hAnsi="Arabic Typesetting" w:cs="Arabic Typesetting"/>
                <w:sz w:val="28"/>
                <w:szCs w:val="28"/>
              </w:rPr>
              <w:t>262</w:t>
            </w:r>
            <w:r>
              <w:rPr>
                <w:rFonts w:ascii="Arabic Typesetting" w:hAnsi="Arabic Typesetting" w:cs="Arabic Typesetting"/>
                <w:sz w:val="28"/>
                <w:szCs w:val="28"/>
              </w:rPr>
              <w:t> </w:t>
            </w:r>
            <w:r w:rsidRPr="00FA719C">
              <w:rPr>
                <w:rFonts w:ascii="Arabic Typesetting" w:hAnsi="Arabic Typesetting" w:cs="Arabic Typesetting"/>
                <w:sz w:val="28"/>
                <w:szCs w:val="28"/>
              </w:rPr>
              <w:t>727</w:t>
            </w:r>
          </w:p>
        </w:tc>
        <w:tc>
          <w:tcPr>
            <w:tcW w:w="851" w:type="pct"/>
            <w:vAlign w:val="center"/>
          </w:tcPr>
          <w:p w14:paraId="028AFB2F"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%35</w:t>
            </w:r>
          </w:p>
        </w:tc>
        <w:tc>
          <w:tcPr>
            <w:tcW w:w="850" w:type="pct"/>
            <w:vAlign w:val="center"/>
          </w:tcPr>
          <w:p w14:paraId="28D2E35D" w14:textId="77777777" w:rsidR="00BD3831" w:rsidRPr="00FA719C" w:rsidRDefault="00BD3831" w:rsidP="0031289D">
            <w:pPr>
              <w:keepNext/>
              <w:keepLines/>
              <w:autoSpaceDE w:val="0"/>
              <w:autoSpaceDN w:val="0"/>
              <w:bidi/>
              <w:adjustRightInd w:val="0"/>
              <w:spacing w:before="40" w:after="40" w:line="260" w:lineRule="exact"/>
              <w:jc w:val="center"/>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أرباد بوكش 100%</w:t>
            </w:r>
          </w:p>
          <w:p w14:paraId="3D691D7C" w14:textId="77777777" w:rsidR="00BD3831" w:rsidRPr="00FA719C" w:rsidRDefault="00BD3831" w:rsidP="0031289D">
            <w:pPr>
              <w:keepNext/>
              <w:keepLines/>
              <w:autoSpaceDE w:val="0"/>
              <w:autoSpaceDN w:val="0"/>
              <w:bidi/>
              <w:adjustRightInd w:val="0"/>
              <w:spacing w:before="40" w:after="40" w:line="260" w:lineRule="exact"/>
              <w:jc w:val="center"/>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البراءات 95%</w:t>
            </w:r>
          </w:p>
        </w:tc>
      </w:tr>
    </w:tbl>
    <w:p w14:paraId="1600E414" w14:textId="77777777" w:rsidR="00BD3831" w:rsidRPr="00E551B2" w:rsidRDefault="00BD3831" w:rsidP="0031289D">
      <w:pPr>
        <w:keepNext/>
        <w:keepLines/>
        <w:pageBreakBefore/>
        <w:autoSpaceDE w:val="0"/>
        <w:autoSpaceDN w:val="0"/>
        <w:bidi/>
        <w:adjustRightInd w:val="0"/>
        <w:spacing w:before="240"/>
        <w:jc w:val="center"/>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lastRenderedPageBreak/>
        <w:t>استخدام ميزانية المشروع (حسب المعالم)</w:t>
      </w:r>
    </w:p>
    <w:p w14:paraId="3B3A8C10" w14:textId="77777777" w:rsidR="00BD3831" w:rsidRPr="00E551B2" w:rsidRDefault="00BD3831" w:rsidP="0031289D">
      <w:pPr>
        <w:keepNext/>
        <w:keepLines/>
        <w:autoSpaceDE w:val="0"/>
        <w:autoSpaceDN w:val="0"/>
        <w:bidi/>
        <w:adjustRightInd w:val="0"/>
        <w:spacing w:after="120"/>
        <w:jc w:val="center"/>
        <w:rPr>
          <w:rFonts w:ascii="Arabic Typesetting" w:hAnsi="Arabic Typesetting" w:cs="Arabic Typesetting"/>
          <w:iCs/>
          <w:sz w:val="34"/>
          <w:szCs w:val="34"/>
          <w:lang w:bidi="ar-EG"/>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بالفرنك السويسري، في 31 ديسمبر 2016</w:t>
      </w:r>
      <w:r w:rsidRPr="00E551B2">
        <w:rPr>
          <w:rFonts w:ascii="Arabic Typesetting" w:hAnsi="Arabic Typesetting" w:cs="Arabic Typesetting"/>
          <w:iCs/>
          <w:sz w:val="34"/>
          <w:szCs w:val="34"/>
          <w:rtl/>
          <w:lang w:bidi="ar-EG"/>
        </w:rPr>
        <w:t>)</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1639"/>
        <w:gridCol w:w="1639"/>
        <w:gridCol w:w="1639"/>
        <w:gridCol w:w="1639"/>
      </w:tblGrid>
      <w:tr w:rsidR="00BD3831" w:rsidRPr="00FA719C" w14:paraId="0D7BDBC5" w14:textId="77777777" w:rsidTr="00F9431D">
        <w:trPr>
          <w:trHeight w:val="389"/>
        </w:trPr>
        <w:tc>
          <w:tcPr>
            <w:tcW w:w="1575" w:type="pct"/>
            <w:shd w:val="clear" w:color="auto" w:fill="C6D9F1"/>
            <w:vAlign w:val="center"/>
          </w:tcPr>
          <w:p w14:paraId="501C0F83" w14:textId="77777777" w:rsidR="00BD3831" w:rsidRPr="00FA719C" w:rsidRDefault="00BD3831" w:rsidP="0031289D">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14:paraId="5F8BFC4A" w14:textId="77777777" w:rsidR="00BD3831" w:rsidRPr="00FA719C" w:rsidRDefault="00BD3831" w:rsidP="0031289D">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14:paraId="185A8BB6" w14:textId="77777777" w:rsidR="00BD3831" w:rsidRPr="00FA719C"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14:paraId="64AE7D03" w14:textId="77777777" w:rsidR="00BD3831" w:rsidRPr="00FA719C" w:rsidRDefault="00BD3831" w:rsidP="0031289D">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14:paraId="14FEC943" w14:textId="77777777" w:rsidR="00BD3831" w:rsidRPr="00FA719C" w:rsidRDefault="00BD3831" w:rsidP="0031289D">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معدل التقدم المحرز في تنفيذ المشروع حسب المعالم</w:t>
            </w:r>
          </w:p>
        </w:tc>
      </w:tr>
      <w:tr w:rsidR="00BD3831" w:rsidRPr="00FA719C" w14:paraId="67C5D216" w14:textId="77777777" w:rsidTr="00F9431D">
        <w:trPr>
          <w:trHeight w:val="369"/>
        </w:trPr>
        <w:tc>
          <w:tcPr>
            <w:tcW w:w="1575" w:type="pct"/>
            <w:vAlign w:val="center"/>
          </w:tcPr>
          <w:p w14:paraId="63AAD288"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منح العقد لمهندس التدفئة والتهوية وتكييف الهواء بشأن مبنى أرباد بوكش</w:t>
            </w:r>
          </w:p>
        </w:tc>
        <w:tc>
          <w:tcPr>
            <w:tcW w:w="856" w:type="pct"/>
            <w:vAlign w:val="center"/>
          </w:tcPr>
          <w:p w14:paraId="2B5B8D90"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30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7252A533"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16</w:t>
            </w:r>
            <w:r>
              <w:rPr>
                <w:rFonts w:ascii="Arabic Typesetting" w:hAnsi="Arabic Typesetting" w:cs="Arabic Typesetting"/>
                <w:sz w:val="28"/>
                <w:szCs w:val="28"/>
              </w:rPr>
              <w:t> </w:t>
            </w:r>
            <w:r w:rsidRPr="00FA719C">
              <w:rPr>
                <w:rFonts w:ascii="Arabic Typesetting" w:hAnsi="Arabic Typesetting" w:cs="Arabic Typesetting"/>
                <w:sz w:val="28"/>
                <w:szCs w:val="28"/>
              </w:rPr>
              <w:t>200</w:t>
            </w:r>
          </w:p>
        </w:tc>
        <w:tc>
          <w:tcPr>
            <w:tcW w:w="856" w:type="pct"/>
            <w:vAlign w:val="center"/>
          </w:tcPr>
          <w:p w14:paraId="67989833"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%54</w:t>
            </w:r>
          </w:p>
        </w:tc>
        <w:tc>
          <w:tcPr>
            <w:tcW w:w="856" w:type="pct"/>
            <w:vAlign w:val="center"/>
          </w:tcPr>
          <w:p w14:paraId="6413D456"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p>
        </w:tc>
      </w:tr>
      <w:tr w:rsidR="00BD3831" w:rsidRPr="00FA719C" w14:paraId="2A53566F" w14:textId="77777777" w:rsidTr="00F9431D">
        <w:trPr>
          <w:trHeight w:val="369"/>
        </w:trPr>
        <w:tc>
          <w:tcPr>
            <w:tcW w:w="1575" w:type="pct"/>
            <w:vAlign w:val="center"/>
          </w:tcPr>
          <w:p w14:paraId="2B1996F2"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منح العقد للمهندس بشأن مبنى البراءات</w:t>
            </w:r>
          </w:p>
        </w:tc>
        <w:tc>
          <w:tcPr>
            <w:tcW w:w="856" w:type="pct"/>
            <w:vAlign w:val="center"/>
          </w:tcPr>
          <w:p w14:paraId="0FC08C8C"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83</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68DC8709"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43</w:t>
            </w:r>
            <w:r>
              <w:rPr>
                <w:rFonts w:ascii="Arabic Typesetting" w:hAnsi="Arabic Typesetting" w:cs="Arabic Typesetting"/>
                <w:sz w:val="28"/>
                <w:szCs w:val="28"/>
              </w:rPr>
              <w:t> </w:t>
            </w:r>
            <w:r w:rsidRPr="00FA719C">
              <w:rPr>
                <w:rFonts w:ascii="Arabic Typesetting" w:hAnsi="Arabic Typesetting" w:cs="Arabic Typesetting"/>
                <w:sz w:val="28"/>
                <w:szCs w:val="28"/>
              </w:rPr>
              <w:t>440</w:t>
            </w:r>
          </w:p>
        </w:tc>
        <w:tc>
          <w:tcPr>
            <w:tcW w:w="856" w:type="pct"/>
            <w:vAlign w:val="center"/>
          </w:tcPr>
          <w:p w14:paraId="6F355C9A"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%52.3</w:t>
            </w:r>
          </w:p>
        </w:tc>
        <w:tc>
          <w:tcPr>
            <w:tcW w:w="856" w:type="pct"/>
            <w:vAlign w:val="center"/>
          </w:tcPr>
          <w:p w14:paraId="6D2E7535"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p>
        </w:tc>
      </w:tr>
      <w:tr w:rsidR="00BD3831" w:rsidRPr="00FA719C" w14:paraId="45D6CED0" w14:textId="77777777" w:rsidTr="00F9431D">
        <w:trPr>
          <w:trHeight w:val="369"/>
        </w:trPr>
        <w:tc>
          <w:tcPr>
            <w:tcW w:w="1575" w:type="pct"/>
            <w:vAlign w:val="center"/>
          </w:tcPr>
          <w:p w14:paraId="5A27B49E"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تكليف أعمال مرافق نظام التبريد بمياه بحيرة جنيف في مبنى أرباد بوكش</w:t>
            </w:r>
          </w:p>
        </w:tc>
        <w:tc>
          <w:tcPr>
            <w:tcW w:w="856" w:type="pct"/>
            <w:vAlign w:val="center"/>
          </w:tcPr>
          <w:p w14:paraId="4048F880"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170</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4A721DF1"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61</w:t>
            </w:r>
            <w:r>
              <w:rPr>
                <w:rFonts w:ascii="Arabic Typesetting" w:hAnsi="Arabic Typesetting" w:cs="Arabic Typesetting"/>
                <w:sz w:val="28"/>
                <w:szCs w:val="28"/>
              </w:rPr>
              <w:t> </w:t>
            </w:r>
            <w:r w:rsidRPr="00FA719C">
              <w:rPr>
                <w:rFonts w:ascii="Arabic Typesetting" w:hAnsi="Arabic Typesetting" w:cs="Arabic Typesetting"/>
                <w:sz w:val="28"/>
                <w:szCs w:val="28"/>
              </w:rPr>
              <w:t>791</w:t>
            </w:r>
          </w:p>
        </w:tc>
        <w:tc>
          <w:tcPr>
            <w:tcW w:w="856" w:type="pct"/>
            <w:vAlign w:val="center"/>
          </w:tcPr>
          <w:p w14:paraId="16F37F6B"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%36.3</w:t>
            </w:r>
          </w:p>
        </w:tc>
        <w:tc>
          <w:tcPr>
            <w:tcW w:w="856" w:type="pct"/>
            <w:vAlign w:val="center"/>
          </w:tcPr>
          <w:p w14:paraId="166BEFAF"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%100</w:t>
            </w:r>
          </w:p>
        </w:tc>
      </w:tr>
      <w:tr w:rsidR="00BD3831" w:rsidRPr="00FA719C" w14:paraId="538F37F1" w14:textId="77777777" w:rsidTr="00F9431D">
        <w:trPr>
          <w:trHeight w:val="369"/>
        </w:trPr>
        <w:tc>
          <w:tcPr>
            <w:tcW w:w="1575" w:type="pct"/>
            <w:vAlign w:val="center"/>
          </w:tcPr>
          <w:p w14:paraId="5CC8CAEA"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تكليف أعمال مرافق نظام التبريد بمياه بحيرة جنيف في مبنى البراءات</w:t>
            </w:r>
          </w:p>
        </w:tc>
        <w:tc>
          <w:tcPr>
            <w:tcW w:w="856" w:type="pct"/>
            <w:vAlign w:val="center"/>
          </w:tcPr>
          <w:p w14:paraId="1E1D6C8B"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467</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856" w:type="pct"/>
            <w:vAlign w:val="center"/>
          </w:tcPr>
          <w:p w14:paraId="69D9DBCC"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141</w:t>
            </w:r>
            <w:r>
              <w:rPr>
                <w:rFonts w:ascii="Arabic Typesetting" w:hAnsi="Arabic Typesetting" w:cs="Arabic Typesetting"/>
                <w:sz w:val="28"/>
                <w:szCs w:val="28"/>
              </w:rPr>
              <w:t> </w:t>
            </w:r>
            <w:r w:rsidRPr="00FA719C">
              <w:rPr>
                <w:rFonts w:ascii="Arabic Typesetting" w:hAnsi="Arabic Typesetting" w:cs="Arabic Typesetting"/>
                <w:sz w:val="28"/>
                <w:szCs w:val="28"/>
              </w:rPr>
              <w:t>296</w:t>
            </w:r>
          </w:p>
        </w:tc>
        <w:tc>
          <w:tcPr>
            <w:tcW w:w="856" w:type="pct"/>
            <w:vAlign w:val="center"/>
          </w:tcPr>
          <w:p w14:paraId="65D21000"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%30.3</w:t>
            </w:r>
          </w:p>
        </w:tc>
        <w:tc>
          <w:tcPr>
            <w:tcW w:w="856" w:type="pct"/>
            <w:vAlign w:val="center"/>
          </w:tcPr>
          <w:p w14:paraId="46BCC99C"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%95</w:t>
            </w:r>
          </w:p>
        </w:tc>
      </w:tr>
      <w:tr w:rsidR="00BD3831" w:rsidRPr="00FA719C" w14:paraId="0C49DC71" w14:textId="77777777" w:rsidTr="00F9431D">
        <w:trPr>
          <w:trHeight w:val="369"/>
        </w:trPr>
        <w:tc>
          <w:tcPr>
            <w:tcW w:w="1575" w:type="pct"/>
            <w:shd w:val="clear" w:color="auto" w:fill="C6D9F1"/>
            <w:vAlign w:val="center"/>
          </w:tcPr>
          <w:p w14:paraId="38620353"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المجموع</w:t>
            </w:r>
          </w:p>
        </w:tc>
        <w:tc>
          <w:tcPr>
            <w:tcW w:w="856" w:type="pct"/>
            <w:shd w:val="clear" w:color="auto" w:fill="C6D9F1"/>
            <w:vAlign w:val="center"/>
          </w:tcPr>
          <w:p w14:paraId="23265AC6"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FA719C">
              <w:rPr>
                <w:rFonts w:ascii="Arabic Typesetting" w:hAnsi="Arabic Typesetting" w:cs="Arabic Typesetting"/>
                <w:b/>
                <w:sz w:val="28"/>
                <w:szCs w:val="28"/>
              </w:rPr>
              <w:t>750</w:t>
            </w:r>
            <w:r>
              <w:rPr>
                <w:rFonts w:ascii="Arabic Typesetting" w:hAnsi="Arabic Typesetting" w:cs="Arabic Typesetting"/>
                <w:b/>
                <w:sz w:val="28"/>
                <w:szCs w:val="28"/>
              </w:rPr>
              <w:t> </w:t>
            </w:r>
            <w:r w:rsidRPr="00FA719C">
              <w:rPr>
                <w:rFonts w:ascii="Arabic Typesetting" w:hAnsi="Arabic Typesetting" w:cs="Arabic Typesetting"/>
                <w:b/>
                <w:sz w:val="28"/>
                <w:szCs w:val="28"/>
              </w:rPr>
              <w:t>000</w:t>
            </w:r>
          </w:p>
        </w:tc>
        <w:tc>
          <w:tcPr>
            <w:tcW w:w="856" w:type="pct"/>
            <w:shd w:val="clear" w:color="auto" w:fill="C6D9F1"/>
            <w:vAlign w:val="center"/>
          </w:tcPr>
          <w:p w14:paraId="11752CAF"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FA719C">
              <w:rPr>
                <w:rFonts w:ascii="Arabic Typesetting" w:hAnsi="Arabic Typesetting" w:cs="Arabic Typesetting"/>
                <w:b/>
                <w:sz w:val="28"/>
                <w:szCs w:val="28"/>
              </w:rPr>
              <w:t>262</w:t>
            </w:r>
            <w:r>
              <w:rPr>
                <w:rFonts w:ascii="Arabic Typesetting" w:hAnsi="Arabic Typesetting" w:cs="Arabic Typesetting"/>
                <w:b/>
                <w:sz w:val="28"/>
                <w:szCs w:val="28"/>
              </w:rPr>
              <w:t> </w:t>
            </w:r>
            <w:r w:rsidRPr="00FA719C">
              <w:rPr>
                <w:rFonts w:ascii="Arabic Typesetting" w:hAnsi="Arabic Typesetting" w:cs="Arabic Typesetting"/>
                <w:b/>
                <w:sz w:val="28"/>
                <w:szCs w:val="28"/>
              </w:rPr>
              <w:t>727</w:t>
            </w:r>
          </w:p>
        </w:tc>
        <w:tc>
          <w:tcPr>
            <w:tcW w:w="856" w:type="pct"/>
            <w:shd w:val="clear" w:color="auto" w:fill="C6D9F1"/>
          </w:tcPr>
          <w:p w14:paraId="573FE561"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FA719C">
              <w:rPr>
                <w:rFonts w:ascii="Arabic Typesetting" w:hAnsi="Arabic Typesetting" w:cs="Arabic Typesetting"/>
                <w:b/>
                <w:sz w:val="28"/>
                <w:szCs w:val="28"/>
              </w:rPr>
              <w:t>%35</w:t>
            </w:r>
          </w:p>
        </w:tc>
        <w:tc>
          <w:tcPr>
            <w:tcW w:w="856" w:type="pct"/>
            <w:shd w:val="clear" w:color="auto" w:fill="C6D9F1"/>
          </w:tcPr>
          <w:p w14:paraId="494F8FBB"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b/>
                <w:sz w:val="28"/>
                <w:szCs w:val="28"/>
              </w:rPr>
            </w:pPr>
          </w:p>
        </w:tc>
      </w:tr>
    </w:tbl>
    <w:p w14:paraId="089A96EC" w14:textId="77777777" w:rsidR="00BD3831" w:rsidRPr="00456F66" w:rsidRDefault="00BD3831" w:rsidP="0031289D">
      <w:pPr>
        <w:autoSpaceDE w:val="0"/>
        <w:autoSpaceDN w:val="0"/>
        <w:bidi/>
        <w:adjustRightInd w:val="0"/>
        <w:spacing w:before="120"/>
        <w:jc w:val="center"/>
        <w:rPr>
          <w:rFonts w:ascii="Arabic Typesetting" w:hAnsi="Arabic Typesetting" w:cs="Arabic Typesetting"/>
          <w:bCs/>
          <w:sz w:val="34"/>
          <w:szCs w:val="34"/>
          <w:rtl/>
          <w:lang w:bidi="ar-EG"/>
        </w:rPr>
      </w:pPr>
      <w:r w:rsidRPr="00456F66">
        <w:rPr>
          <w:rFonts w:ascii="Arabic Typesetting" w:hAnsi="Arabic Typesetting" w:cs="Arabic Typesetting"/>
          <w:bCs/>
          <w:sz w:val="34"/>
          <w:szCs w:val="34"/>
          <w:rtl/>
          <w:lang w:bidi="ar-EG"/>
        </w:rPr>
        <w:t>استخدام ميزانية المشروع (حسب فئة التكلفة)</w:t>
      </w:r>
    </w:p>
    <w:p w14:paraId="2D9C943B" w14:textId="77777777" w:rsidR="00BD3831" w:rsidRPr="00456F66" w:rsidRDefault="00BD3831" w:rsidP="0031289D">
      <w:pPr>
        <w:autoSpaceDE w:val="0"/>
        <w:autoSpaceDN w:val="0"/>
        <w:bidi/>
        <w:adjustRightInd w:val="0"/>
        <w:spacing w:after="120"/>
        <w:jc w:val="center"/>
        <w:rPr>
          <w:rFonts w:ascii="Arabic Typesetting" w:hAnsi="Arabic Typesetting" w:cs="Arabic Typesetting"/>
          <w:iCs/>
          <w:sz w:val="34"/>
          <w:szCs w:val="34"/>
          <w:lang w:bidi="ar-EG"/>
        </w:rPr>
      </w:pPr>
      <w:r w:rsidRPr="00456F66">
        <w:rPr>
          <w:rFonts w:ascii="Arabic Typesetting" w:hAnsi="Arabic Typesetting" w:cs="Arabic Typesetting"/>
          <w:iCs/>
          <w:sz w:val="34"/>
          <w:szCs w:val="34"/>
          <w:rtl/>
          <w:lang w:bidi="ar-EG"/>
        </w:rPr>
        <w:t>(بالفرنك السويسري، في 31 ديسمبر 2016)</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2008"/>
        <w:gridCol w:w="2008"/>
        <w:gridCol w:w="2006"/>
      </w:tblGrid>
      <w:tr w:rsidR="00BD3831" w:rsidRPr="00FA719C" w14:paraId="0FF294AD" w14:textId="77777777" w:rsidTr="00F9431D">
        <w:trPr>
          <w:trHeight w:val="569"/>
          <w:jc w:val="center"/>
        </w:trPr>
        <w:tc>
          <w:tcPr>
            <w:tcW w:w="1854" w:type="pct"/>
            <w:shd w:val="clear" w:color="auto" w:fill="C6D9F1"/>
            <w:vAlign w:val="center"/>
          </w:tcPr>
          <w:p w14:paraId="6AEF739F" w14:textId="77777777" w:rsidR="00BD3831" w:rsidRPr="00FA719C" w:rsidRDefault="00BD3831" w:rsidP="0031289D">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فئة التكلفة</w:t>
            </w:r>
          </w:p>
        </w:tc>
        <w:tc>
          <w:tcPr>
            <w:tcW w:w="1049" w:type="pct"/>
            <w:shd w:val="clear" w:color="auto" w:fill="C6D9F1"/>
            <w:vAlign w:val="center"/>
          </w:tcPr>
          <w:p w14:paraId="7F3392F1" w14:textId="77777777" w:rsidR="00BD3831" w:rsidRPr="00FA719C" w:rsidRDefault="00BD3831" w:rsidP="0031289D">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14:paraId="7899353D" w14:textId="77777777" w:rsidR="00BD3831" w:rsidRPr="00FA719C" w:rsidRDefault="00BD3831" w:rsidP="0031289D">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النفقات الفعلية حتى تاريخه</w:t>
            </w:r>
            <w:r w:rsidRPr="00FA719C">
              <w:rPr>
                <w:rFonts w:ascii="Arabic Typesetting" w:hAnsi="Arabic Typesetting" w:cs="Arabic Typesetting"/>
                <w:b/>
                <w:sz w:val="28"/>
                <w:szCs w:val="28"/>
              </w:rPr>
              <w:t xml:space="preserve"> </w:t>
            </w:r>
          </w:p>
        </w:tc>
        <w:tc>
          <w:tcPr>
            <w:tcW w:w="1048" w:type="pct"/>
            <w:shd w:val="clear" w:color="auto" w:fill="C6D9F1"/>
            <w:vAlign w:val="center"/>
          </w:tcPr>
          <w:p w14:paraId="289C5195" w14:textId="77777777" w:rsidR="00BD3831" w:rsidRPr="00FA719C" w:rsidRDefault="00BD3831" w:rsidP="0031289D">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الاستخدام الفعلي للميزانية</w:t>
            </w:r>
          </w:p>
        </w:tc>
      </w:tr>
      <w:tr w:rsidR="00BD3831" w:rsidRPr="00FA719C" w14:paraId="55C59888" w14:textId="77777777" w:rsidTr="00F9431D">
        <w:trPr>
          <w:jc w:val="center"/>
        </w:trPr>
        <w:tc>
          <w:tcPr>
            <w:tcW w:w="1854" w:type="pct"/>
            <w:vAlign w:val="center"/>
          </w:tcPr>
          <w:p w14:paraId="683E78A0"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التكاليف المتعلقة بالبناء</w:t>
            </w:r>
          </w:p>
        </w:tc>
        <w:tc>
          <w:tcPr>
            <w:tcW w:w="1049" w:type="pct"/>
            <w:vAlign w:val="center"/>
          </w:tcPr>
          <w:p w14:paraId="3FA692C7"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585</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1049" w:type="pct"/>
            <w:vAlign w:val="center"/>
          </w:tcPr>
          <w:p w14:paraId="7459B169"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203</w:t>
            </w:r>
            <w:r>
              <w:rPr>
                <w:rFonts w:ascii="Arabic Typesetting" w:hAnsi="Arabic Typesetting" w:cs="Arabic Typesetting"/>
                <w:sz w:val="28"/>
                <w:szCs w:val="28"/>
              </w:rPr>
              <w:t> </w:t>
            </w:r>
            <w:r w:rsidRPr="00FA719C">
              <w:rPr>
                <w:rFonts w:ascii="Arabic Typesetting" w:hAnsi="Arabic Typesetting" w:cs="Arabic Typesetting"/>
                <w:sz w:val="28"/>
                <w:szCs w:val="28"/>
              </w:rPr>
              <w:t>087</w:t>
            </w:r>
          </w:p>
        </w:tc>
        <w:tc>
          <w:tcPr>
            <w:tcW w:w="1048" w:type="pct"/>
            <w:vAlign w:val="center"/>
          </w:tcPr>
          <w:p w14:paraId="2FF7F02C"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%34.7</w:t>
            </w:r>
          </w:p>
        </w:tc>
      </w:tr>
      <w:tr w:rsidR="00BD3831" w:rsidRPr="00FA719C" w14:paraId="670B50F2" w14:textId="77777777" w:rsidTr="00F9431D">
        <w:trPr>
          <w:jc w:val="center"/>
        </w:trPr>
        <w:tc>
          <w:tcPr>
            <w:tcW w:w="1854" w:type="pct"/>
            <w:vAlign w:val="center"/>
          </w:tcPr>
          <w:p w14:paraId="18797D5D"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الأتعاب</w:t>
            </w:r>
          </w:p>
        </w:tc>
        <w:tc>
          <w:tcPr>
            <w:tcW w:w="1049" w:type="pct"/>
            <w:vAlign w:val="center"/>
          </w:tcPr>
          <w:p w14:paraId="07CB181A"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113</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1049" w:type="pct"/>
          </w:tcPr>
          <w:p w14:paraId="15686395"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59</w:t>
            </w:r>
            <w:r>
              <w:rPr>
                <w:rFonts w:ascii="Arabic Typesetting" w:hAnsi="Arabic Typesetting" w:cs="Arabic Typesetting"/>
                <w:sz w:val="28"/>
                <w:szCs w:val="28"/>
              </w:rPr>
              <w:t> </w:t>
            </w:r>
            <w:r w:rsidRPr="00FA719C">
              <w:rPr>
                <w:rFonts w:ascii="Arabic Typesetting" w:hAnsi="Arabic Typesetting" w:cs="Arabic Typesetting"/>
                <w:sz w:val="28"/>
                <w:szCs w:val="28"/>
              </w:rPr>
              <w:t>640</w:t>
            </w:r>
          </w:p>
        </w:tc>
        <w:tc>
          <w:tcPr>
            <w:tcW w:w="1048" w:type="pct"/>
          </w:tcPr>
          <w:p w14:paraId="60C0FF34"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%52.8</w:t>
            </w:r>
          </w:p>
        </w:tc>
      </w:tr>
      <w:tr w:rsidR="00BD3831" w:rsidRPr="00FA719C" w14:paraId="10B6D69F" w14:textId="77777777" w:rsidTr="00F9431D">
        <w:trPr>
          <w:jc w:val="center"/>
        </w:trPr>
        <w:tc>
          <w:tcPr>
            <w:tcW w:w="1854" w:type="pct"/>
            <w:vAlign w:val="center"/>
          </w:tcPr>
          <w:p w14:paraId="382D32B3"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الأمور النثرية وغير المتوقعة</w:t>
            </w:r>
          </w:p>
        </w:tc>
        <w:tc>
          <w:tcPr>
            <w:tcW w:w="1049" w:type="pct"/>
            <w:vAlign w:val="center"/>
          </w:tcPr>
          <w:p w14:paraId="38FECE40"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52</w:t>
            </w:r>
            <w:r>
              <w:rPr>
                <w:rFonts w:ascii="Arabic Typesetting" w:hAnsi="Arabic Typesetting" w:cs="Arabic Typesetting"/>
                <w:sz w:val="28"/>
                <w:szCs w:val="28"/>
              </w:rPr>
              <w:t> </w:t>
            </w:r>
            <w:r w:rsidRPr="00FA719C">
              <w:rPr>
                <w:rFonts w:ascii="Arabic Typesetting" w:hAnsi="Arabic Typesetting" w:cs="Arabic Typesetting"/>
                <w:sz w:val="28"/>
                <w:szCs w:val="28"/>
              </w:rPr>
              <w:t>000</w:t>
            </w:r>
          </w:p>
        </w:tc>
        <w:tc>
          <w:tcPr>
            <w:tcW w:w="1049" w:type="pct"/>
            <w:vAlign w:val="center"/>
          </w:tcPr>
          <w:p w14:paraId="223B4332"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c>
          <w:tcPr>
            <w:tcW w:w="1048" w:type="pct"/>
            <w:vAlign w:val="center"/>
          </w:tcPr>
          <w:p w14:paraId="568D95C0"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sz w:val="28"/>
                <w:szCs w:val="28"/>
              </w:rPr>
            </w:pPr>
            <w:r w:rsidRPr="00FA719C">
              <w:rPr>
                <w:rFonts w:ascii="Arabic Typesetting" w:hAnsi="Arabic Typesetting" w:cs="Arabic Typesetting"/>
                <w:sz w:val="28"/>
                <w:szCs w:val="28"/>
              </w:rPr>
              <w:t>-</w:t>
            </w:r>
          </w:p>
        </w:tc>
      </w:tr>
      <w:tr w:rsidR="00BD3831" w:rsidRPr="00FA719C" w14:paraId="6F0DFB4A" w14:textId="77777777" w:rsidTr="00F9431D">
        <w:trPr>
          <w:jc w:val="center"/>
        </w:trPr>
        <w:tc>
          <w:tcPr>
            <w:tcW w:w="1854" w:type="pct"/>
            <w:shd w:val="clear" w:color="auto" w:fill="C6D9F1"/>
            <w:vAlign w:val="center"/>
          </w:tcPr>
          <w:p w14:paraId="51544C81"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المجموع</w:t>
            </w:r>
          </w:p>
        </w:tc>
        <w:tc>
          <w:tcPr>
            <w:tcW w:w="1049" w:type="pct"/>
            <w:shd w:val="clear" w:color="auto" w:fill="C6D9F1"/>
            <w:vAlign w:val="center"/>
          </w:tcPr>
          <w:p w14:paraId="2A07DA4A"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FA719C">
              <w:rPr>
                <w:rFonts w:ascii="Arabic Typesetting" w:hAnsi="Arabic Typesetting" w:cs="Arabic Typesetting"/>
                <w:b/>
                <w:sz w:val="28"/>
                <w:szCs w:val="28"/>
              </w:rPr>
              <w:t>750</w:t>
            </w:r>
            <w:r>
              <w:rPr>
                <w:rFonts w:ascii="Arabic Typesetting" w:hAnsi="Arabic Typesetting" w:cs="Arabic Typesetting"/>
                <w:b/>
                <w:sz w:val="28"/>
                <w:szCs w:val="28"/>
              </w:rPr>
              <w:t> </w:t>
            </w:r>
            <w:r w:rsidRPr="00FA719C">
              <w:rPr>
                <w:rFonts w:ascii="Arabic Typesetting" w:hAnsi="Arabic Typesetting" w:cs="Arabic Typesetting"/>
                <w:b/>
                <w:sz w:val="28"/>
                <w:szCs w:val="28"/>
              </w:rPr>
              <w:t>000</w:t>
            </w:r>
          </w:p>
        </w:tc>
        <w:tc>
          <w:tcPr>
            <w:tcW w:w="1049" w:type="pct"/>
            <w:shd w:val="clear" w:color="auto" w:fill="C6D9F1"/>
          </w:tcPr>
          <w:p w14:paraId="0A4E122B"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FA719C">
              <w:rPr>
                <w:rFonts w:ascii="Arabic Typesetting" w:hAnsi="Arabic Typesetting" w:cs="Arabic Typesetting"/>
                <w:b/>
                <w:sz w:val="28"/>
                <w:szCs w:val="28"/>
              </w:rPr>
              <w:t>262</w:t>
            </w:r>
            <w:r>
              <w:rPr>
                <w:rFonts w:ascii="Arabic Typesetting" w:hAnsi="Arabic Typesetting" w:cs="Arabic Typesetting"/>
                <w:b/>
                <w:sz w:val="28"/>
                <w:szCs w:val="28"/>
              </w:rPr>
              <w:t> </w:t>
            </w:r>
            <w:r w:rsidRPr="00FA719C">
              <w:rPr>
                <w:rFonts w:ascii="Arabic Typesetting" w:hAnsi="Arabic Typesetting" w:cs="Arabic Typesetting"/>
                <w:b/>
                <w:sz w:val="28"/>
                <w:szCs w:val="28"/>
              </w:rPr>
              <w:t>727</w:t>
            </w:r>
          </w:p>
        </w:tc>
        <w:tc>
          <w:tcPr>
            <w:tcW w:w="1048" w:type="pct"/>
            <w:shd w:val="clear" w:color="auto" w:fill="C6D9F1"/>
          </w:tcPr>
          <w:p w14:paraId="701BA175" w14:textId="77777777" w:rsidR="00BD3831" w:rsidRPr="00FA719C" w:rsidRDefault="00BD3831" w:rsidP="0031289D">
            <w:pPr>
              <w:autoSpaceDE w:val="0"/>
              <w:autoSpaceDN w:val="0"/>
              <w:adjustRightInd w:val="0"/>
              <w:spacing w:before="40" w:after="40" w:line="260" w:lineRule="exact"/>
              <w:jc w:val="center"/>
              <w:rPr>
                <w:rFonts w:ascii="Arabic Typesetting" w:hAnsi="Arabic Typesetting" w:cs="Arabic Typesetting"/>
                <w:b/>
                <w:sz w:val="28"/>
                <w:szCs w:val="28"/>
              </w:rPr>
            </w:pPr>
            <w:r w:rsidRPr="00FA719C">
              <w:rPr>
                <w:rFonts w:ascii="Arabic Typesetting" w:hAnsi="Arabic Typesetting" w:cs="Arabic Typesetting"/>
                <w:b/>
                <w:sz w:val="28"/>
                <w:szCs w:val="28"/>
              </w:rPr>
              <w:t>%35</w:t>
            </w:r>
          </w:p>
        </w:tc>
      </w:tr>
    </w:tbl>
    <w:p w14:paraId="066E3468" w14:textId="77777777" w:rsidR="00BD3831" w:rsidRPr="00E551B2" w:rsidRDefault="00BD3831" w:rsidP="0031289D">
      <w:pPr>
        <w:keepNext/>
        <w:bidi/>
        <w:spacing w:before="120" w:after="120"/>
        <w:rPr>
          <w:rFonts w:ascii="Arabic Typesetting" w:hAnsi="Arabic Typesetting" w:cs="Arabic Typesetting"/>
          <w:color w:val="000000"/>
          <w:sz w:val="34"/>
          <w:szCs w:val="34"/>
          <w:lang w:bidi="ar-EG"/>
        </w:rPr>
      </w:pPr>
      <w:r w:rsidRPr="00E551B2">
        <w:rPr>
          <w:rFonts w:ascii="Arabic Typesetting" w:hAnsi="Arabic Typesetting" w:cs="Arabic Typesetting"/>
          <w:color w:val="000000"/>
          <w:sz w:val="34"/>
          <w:szCs w:val="34"/>
          <w:rtl/>
          <w:lang w:bidi="ar-EG"/>
        </w:rPr>
        <w:t>المخاطر واستراتيجيات التخفيف من آثارها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BD3831" w:rsidRPr="00E551B2" w14:paraId="035425C8" w14:textId="77777777" w:rsidTr="00F9431D">
        <w:trPr>
          <w:trHeight w:val="308"/>
          <w:tblHeader/>
          <w:jc w:val="center"/>
        </w:trPr>
        <w:tc>
          <w:tcPr>
            <w:tcW w:w="1667" w:type="pct"/>
            <w:shd w:val="clear" w:color="auto" w:fill="C6D9F1"/>
            <w:vAlign w:val="center"/>
          </w:tcPr>
          <w:p w14:paraId="4CDD2A42" w14:textId="77777777" w:rsidR="00BD3831" w:rsidRPr="00E551B2" w:rsidRDefault="00BD3831" w:rsidP="0031289D">
            <w:pPr>
              <w:autoSpaceDE w:val="0"/>
              <w:autoSpaceDN w:val="0"/>
              <w:bidi/>
              <w:adjustRightInd w:val="0"/>
              <w:spacing w:before="40" w:after="40" w:line="260" w:lineRule="exact"/>
              <w:ind w:left="-74" w:right="-60"/>
              <w:jc w:val="center"/>
              <w:rPr>
                <w:rFonts w:ascii="Arabic Typesetting" w:hAnsi="Arabic Typesetting" w:cs="Arabic Typesetting"/>
                <w:bCs/>
                <w:sz w:val="28"/>
                <w:szCs w:val="28"/>
                <w:rtl/>
                <w:lang w:bidi="ar-EG"/>
              </w:rPr>
            </w:pPr>
            <w:r w:rsidRPr="00E551B2">
              <w:rPr>
                <w:rFonts w:ascii="Arabic Typesetting" w:hAnsi="Arabic Typesetting" w:cs="Arabic Typesetting"/>
                <w:bCs/>
                <w:sz w:val="28"/>
                <w:szCs w:val="28"/>
                <w:rtl/>
                <w:lang w:bidi="ar-EG"/>
              </w:rPr>
              <w:t>المخاطر</w:t>
            </w:r>
            <w:r w:rsidRPr="00E551B2">
              <w:rPr>
                <w:rFonts w:ascii="Arabic Typesetting" w:hAnsi="Arabic Typesetting" w:cs="Arabic Typesetting" w:hint="cs"/>
                <w:bCs/>
                <w:sz w:val="28"/>
                <w:szCs w:val="28"/>
                <w:rtl/>
              </w:rPr>
              <w:t>/الوصف</w:t>
            </w:r>
          </w:p>
        </w:tc>
        <w:tc>
          <w:tcPr>
            <w:tcW w:w="1667" w:type="pct"/>
            <w:shd w:val="clear" w:color="auto" w:fill="C6D9F1"/>
            <w:vAlign w:val="center"/>
          </w:tcPr>
          <w:p w14:paraId="5BAB13D2" w14:textId="77777777" w:rsidR="00BD3831" w:rsidRPr="00E551B2" w:rsidRDefault="00BD3831" w:rsidP="0031289D">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استراتيجية التخفيف من آثار المخاطر</w:t>
            </w:r>
          </w:p>
        </w:tc>
        <w:tc>
          <w:tcPr>
            <w:tcW w:w="1666" w:type="pct"/>
            <w:shd w:val="clear" w:color="auto" w:fill="C6D9F1"/>
            <w:vAlign w:val="center"/>
          </w:tcPr>
          <w:p w14:paraId="4D244411" w14:textId="77777777" w:rsidR="00BD3831" w:rsidRPr="00E551B2" w:rsidRDefault="00BD3831" w:rsidP="0031289D">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التعليقات</w:t>
            </w:r>
          </w:p>
        </w:tc>
      </w:tr>
      <w:tr w:rsidR="00BD3831" w:rsidRPr="00E551B2" w14:paraId="650BB531" w14:textId="77777777" w:rsidTr="00F9431D">
        <w:trPr>
          <w:trHeight w:val="776"/>
          <w:jc w:val="center"/>
        </w:trPr>
        <w:tc>
          <w:tcPr>
            <w:tcW w:w="1667" w:type="pct"/>
          </w:tcPr>
          <w:p w14:paraId="4E3A28D2"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sidRPr="00E551B2">
              <w:rPr>
                <w:rFonts w:ascii="Arabic Typesetting" w:hAnsi="Arabic Typesetting" w:cs="Arabic Typesetting"/>
                <w:color w:val="000000"/>
                <w:sz w:val="28"/>
                <w:szCs w:val="28"/>
                <w:rtl/>
                <w:lang w:bidi="ar-EG"/>
              </w:rPr>
              <w:t>ظروف غير متوقعة في موقع البناء الخاص بمبنى البراءات</w:t>
            </w:r>
            <w:r w:rsidRPr="00E551B2">
              <w:rPr>
                <w:rFonts w:ascii="Arabic Typesetting" w:hAnsi="Arabic Typesetting" w:cs="Arabic Typesetting" w:hint="cs"/>
                <w:color w:val="000000"/>
                <w:sz w:val="28"/>
                <w:szCs w:val="28"/>
                <w:rtl/>
                <w:lang w:bidi="ar-EG"/>
              </w:rPr>
              <w:t xml:space="preserve"> مثل </w:t>
            </w:r>
            <w:r w:rsidRPr="00E551B2">
              <w:rPr>
                <w:rFonts w:ascii="Arabic Typesetting" w:hAnsi="Arabic Typesetting" w:cs="Arabic Typesetting"/>
                <w:color w:val="000000"/>
                <w:sz w:val="28"/>
                <w:szCs w:val="28"/>
                <w:rtl/>
                <w:lang w:bidi="ar-EG"/>
              </w:rPr>
              <w:t xml:space="preserve">تأخر شركة </w:t>
            </w:r>
            <w:r w:rsidRPr="00E551B2">
              <w:rPr>
                <w:rFonts w:ascii="Arabic Typesetting" w:hAnsi="Arabic Typesetting" w:cs="Arabic Typesetting"/>
                <w:color w:val="000000"/>
                <w:sz w:val="28"/>
                <w:szCs w:val="28"/>
                <w:lang w:bidi="ar-EG"/>
              </w:rPr>
              <w:t>SIG</w:t>
            </w:r>
            <w:r w:rsidRPr="00E551B2">
              <w:rPr>
                <w:rFonts w:ascii="Arabic Typesetting" w:hAnsi="Arabic Typesetting" w:cs="Arabic Typesetting"/>
                <w:color w:val="000000"/>
                <w:sz w:val="28"/>
                <w:szCs w:val="28"/>
                <w:rtl/>
                <w:lang w:bidi="ar-EG"/>
              </w:rPr>
              <w:t xml:space="preserve"> </w:t>
            </w:r>
            <w:r w:rsidRPr="00E551B2">
              <w:rPr>
                <w:rFonts w:ascii="Arabic Typesetting" w:hAnsi="Arabic Typesetting" w:cs="Arabic Typesetting" w:hint="cs"/>
                <w:color w:val="000000"/>
                <w:sz w:val="28"/>
                <w:szCs w:val="28"/>
                <w:rtl/>
                <w:lang w:bidi="ar-EG"/>
              </w:rPr>
              <w:t xml:space="preserve">في </w:t>
            </w:r>
            <w:r w:rsidRPr="00E551B2">
              <w:rPr>
                <w:rFonts w:ascii="Arabic Typesetting" w:hAnsi="Arabic Typesetting" w:cs="Arabic Typesetting"/>
                <w:color w:val="000000"/>
                <w:sz w:val="28"/>
                <w:szCs w:val="28"/>
                <w:rtl/>
                <w:lang w:bidi="ar-EG"/>
              </w:rPr>
              <w:t>أعمال تجهيزات المعدات الداخلية بمبنى البراءات و/أو</w:t>
            </w:r>
            <w:r>
              <w:rPr>
                <w:rFonts w:ascii="Arabic Typesetting" w:hAnsi="Arabic Typesetting" w:cs="Arabic Typesetting" w:hint="cs"/>
                <w:color w:val="000000"/>
                <w:sz w:val="28"/>
                <w:szCs w:val="28"/>
                <w:rtl/>
                <w:lang w:bidi="ar-EG"/>
              </w:rPr>
              <w:t> </w:t>
            </w:r>
            <w:r w:rsidRPr="00E551B2">
              <w:rPr>
                <w:rFonts w:ascii="Arabic Typesetting" w:hAnsi="Arabic Typesetting" w:cs="Arabic Typesetting"/>
                <w:color w:val="000000"/>
                <w:sz w:val="28"/>
                <w:szCs w:val="28"/>
                <w:rtl/>
                <w:lang w:bidi="ar-EG"/>
              </w:rPr>
              <w:t xml:space="preserve">نشوء </w:t>
            </w:r>
            <w:r w:rsidRPr="00E551B2">
              <w:rPr>
                <w:rFonts w:ascii="Arabic Typesetting" w:hAnsi="Arabic Typesetting" w:cs="Arabic Typesetting" w:hint="cs"/>
                <w:color w:val="000000"/>
                <w:sz w:val="28"/>
                <w:szCs w:val="28"/>
                <w:rtl/>
                <w:lang w:bidi="ar-EG"/>
              </w:rPr>
              <w:t>مشكلات</w:t>
            </w:r>
            <w:r w:rsidRPr="00E551B2">
              <w:rPr>
                <w:rFonts w:ascii="Arabic Typesetting" w:hAnsi="Arabic Typesetting" w:cs="Arabic Typesetting"/>
                <w:color w:val="000000"/>
                <w:sz w:val="28"/>
                <w:szCs w:val="28"/>
                <w:rtl/>
                <w:lang w:bidi="ar-EG"/>
              </w:rPr>
              <w:t xml:space="preserve"> تقنية أثناء تفكيك الأنابيب الحالية أو بسبب التفكيك</w:t>
            </w:r>
          </w:p>
        </w:tc>
        <w:tc>
          <w:tcPr>
            <w:tcW w:w="1667" w:type="pct"/>
          </w:tcPr>
          <w:p w14:paraId="283CDEDA"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sidRPr="00E551B2">
              <w:rPr>
                <w:rFonts w:ascii="Arabic Typesetting" w:hAnsi="Arabic Typesetting" w:cs="Arabic Typesetting"/>
                <w:color w:val="000000"/>
                <w:sz w:val="28"/>
                <w:szCs w:val="28"/>
                <w:rtl/>
                <w:lang w:bidi="ar-EG"/>
              </w:rPr>
              <w:t>إجراء أية إصلاحات وتحديث الجدول الزمني للأعمال حسب الحاجة بما في ذلك حتى 2016</w:t>
            </w:r>
          </w:p>
        </w:tc>
        <w:tc>
          <w:tcPr>
            <w:tcW w:w="1666" w:type="pct"/>
          </w:tcPr>
          <w:p w14:paraId="423E2484" w14:textId="77777777" w:rsidR="00BD3831" w:rsidRPr="008D3FFF" w:rsidRDefault="00BD3831" w:rsidP="0031289D">
            <w:pPr>
              <w:autoSpaceDE w:val="0"/>
              <w:autoSpaceDN w:val="0"/>
              <w:bidi/>
              <w:adjustRightInd w:val="0"/>
              <w:spacing w:before="40" w:after="40"/>
              <w:rPr>
                <w:rFonts w:ascii="Arabic Typesetting" w:hAnsi="Arabic Typesetting" w:cs="Arabic Typesetting"/>
                <w:i/>
                <w:iCs/>
                <w:sz w:val="28"/>
                <w:szCs w:val="28"/>
                <w:rtl/>
                <w:lang w:bidi="ar-EG"/>
              </w:rPr>
            </w:pPr>
            <w:r>
              <w:rPr>
                <w:rFonts w:ascii="Arabic Typesetting" w:hAnsi="Arabic Typesetting" w:cs="Arabic Typesetting" w:hint="cs"/>
                <w:i/>
                <w:iCs/>
                <w:sz w:val="28"/>
                <w:szCs w:val="28"/>
                <w:rtl/>
                <w:lang w:bidi="ar-EG"/>
              </w:rPr>
              <w:t>أُغلق هذا الخطر.</w:t>
            </w:r>
          </w:p>
        </w:tc>
      </w:tr>
      <w:tr w:rsidR="00BD3831" w:rsidRPr="00E551B2" w14:paraId="46E1AB7A" w14:textId="77777777" w:rsidTr="00F9431D">
        <w:trPr>
          <w:trHeight w:val="776"/>
          <w:jc w:val="center"/>
        </w:trPr>
        <w:tc>
          <w:tcPr>
            <w:tcW w:w="1667" w:type="pct"/>
          </w:tcPr>
          <w:p w14:paraId="0D32FF75" w14:textId="77777777" w:rsidR="00BD3831" w:rsidRPr="00E551B2" w:rsidRDefault="00BD3831" w:rsidP="0031289D">
            <w:pPr>
              <w:autoSpaceDE w:val="0"/>
              <w:autoSpaceDN w:val="0"/>
              <w:bidi/>
              <w:adjustRightInd w:val="0"/>
              <w:spacing w:before="40" w:after="40"/>
              <w:rPr>
                <w:rFonts w:ascii="Arabic Typesetting" w:hAnsi="Arabic Typesetting" w:cs="Arabic Typesetting"/>
                <w:color w:val="000000"/>
                <w:sz w:val="28"/>
                <w:szCs w:val="28"/>
                <w:rtl/>
                <w:lang w:bidi="ar-EG"/>
              </w:rPr>
            </w:pPr>
            <w:r w:rsidRPr="00E551B2">
              <w:rPr>
                <w:rFonts w:ascii="Arabic Typesetting" w:hAnsi="Arabic Typesetting" w:cs="Arabic Typesetting" w:hint="cs"/>
                <w:color w:val="000000"/>
                <w:sz w:val="28"/>
                <w:szCs w:val="28"/>
                <w:rtl/>
                <w:lang w:bidi="ar-EG"/>
              </w:rPr>
              <w:t>ظروف غير متوقعة أثناء فترة ضمان التجهيزات مثل تعطل المعدات بسبب عيب فيها أو خطأ في التركيب</w:t>
            </w:r>
          </w:p>
        </w:tc>
        <w:tc>
          <w:tcPr>
            <w:tcW w:w="1667" w:type="pct"/>
          </w:tcPr>
          <w:p w14:paraId="787ED922" w14:textId="77777777" w:rsidR="00BD3831" w:rsidRPr="00E551B2" w:rsidRDefault="00BD3831" w:rsidP="0031289D">
            <w:pPr>
              <w:autoSpaceDE w:val="0"/>
              <w:autoSpaceDN w:val="0"/>
              <w:bidi/>
              <w:adjustRightInd w:val="0"/>
              <w:spacing w:before="40" w:after="40"/>
              <w:rPr>
                <w:rFonts w:ascii="Arabic Typesetting" w:hAnsi="Arabic Typesetting" w:cs="Arabic Typesetting"/>
                <w:color w:val="000000"/>
                <w:sz w:val="28"/>
                <w:szCs w:val="28"/>
                <w:rtl/>
                <w:lang w:bidi="ar-EG"/>
              </w:rPr>
            </w:pPr>
            <w:r w:rsidRPr="00E551B2">
              <w:rPr>
                <w:rFonts w:ascii="Arabic Typesetting" w:hAnsi="Arabic Typesetting" w:cs="Arabic Typesetting"/>
                <w:color w:val="000000"/>
                <w:sz w:val="28"/>
                <w:szCs w:val="28"/>
                <w:rtl/>
                <w:lang w:bidi="ar-EG"/>
              </w:rPr>
              <w:t xml:space="preserve">إجراء </w:t>
            </w:r>
            <w:r w:rsidRPr="00E551B2">
              <w:rPr>
                <w:rFonts w:ascii="Arabic Typesetting" w:hAnsi="Arabic Typesetting" w:cs="Arabic Typesetting" w:hint="cs"/>
                <w:color w:val="000000"/>
                <w:sz w:val="28"/>
                <w:szCs w:val="28"/>
                <w:rtl/>
                <w:lang w:bidi="ar-EG"/>
              </w:rPr>
              <w:t>الإصلاحات المحتملة خلال فترة الضمان</w:t>
            </w:r>
          </w:p>
        </w:tc>
        <w:tc>
          <w:tcPr>
            <w:tcW w:w="1666" w:type="pct"/>
          </w:tcPr>
          <w:p w14:paraId="355CDEF2"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لا يزال هذا الخطر قائماً على مبنى البراءات حتى ديسمبر 2017 فسيستمر رصده.</w:t>
            </w:r>
          </w:p>
        </w:tc>
      </w:tr>
    </w:tbl>
    <w:p w14:paraId="5A7C3EAF" w14:textId="77777777" w:rsidR="00BD3831" w:rsidRPr="00E551B2" w:rsidRDefault="00BD3831" w:rsidP="0031289D">
      <w:pPr>
        <w:keepNext/>
        <w:bidi/>
        <w:spacing w:before="120" w:after="100" w:afterAutospacing="1"/>
        <w:rPr>
          <w:rFonts w:ascii="Arabic Typesetting" w:hAnsi="Arabic Typesetting" w:cs="Arabic Typesetting"/>
          <w:color w:val="000000"/>
          <w:sz w:val="34"/>
          <w:szCs w:val="34"/>
          <w:rtl/>
          <w:lang w:bidi="ar-EG"/>
        </w:rPr>
      </w:pPr>
      <w:r w:rsidRPr="00E551B2">
        <w:rPr>
          <w:rFonts w:ascii="Arabic Typesetting" w:hAnsi="Arabic Typesetting" w:cs="Arabic Typesetting"/>
          <w:color w:val="000000"/>
          <w:sz w:val="34"/>
          <w:szCs w:val="34"/>
          <w:rtl/>
          <w:lang w:bidi="ar-EG"/>
        </w:rPr>
        <w:lastRenderedPageBreak/>
        <w:t>الجدول الزمني للمشروع حسب المعالم</w:t>
      </w:r>
    </w:p>
    <w:tbl>
      <w:tblPr>
        <w:bidiVisual/>
        <w:tblW w:w="5000" w:type="pct"/>
        <w:jc w:val="center"/>
        <w:tblLook w:val="04A0" w:firstRow="1" w:lastRow="0" w:firstColumn="1" w:lastColumn="0" w:noHBand="0" w:noVBand="1"/>
      </w:tblPr>
      <w:tblGrid>
        <w:gridCol w:w="3223"/>
        <w:gridCol w:w="396"/>
        <w:gridCol w:w="396"/>
        <w:gridCol w:w="396"/>
        <w:gridCol w:w="396"/>
        <w:gridCol w:w="397"/>
        <w:gridCol w:w="397"/>
        <w:gridCol w:w="397"/>
        <w:gridCol w:w="397"/>
        <w:gridCol w:w="397"/>
        <w:gridCol w:w="397"/>
        <w:gridCol w:w="397"/>
        <w:gridCol w:w="397"/>
        <w:gridCol w:w="397"/>
        <w:gridCol w:w="397"/>
        <w:gridCol w:w="397"/>
        <w:gridCol w:w="397"/>
      </w:tblGrid>
      <w:tr w:rsidR="00BD3831" w:rsidRPr="00FA719C" w14:paraId="1F86F028" w14:textId="77777777" w:rsidTr="00F9431D">
        <w:trPr>
          <w:cantSplit/>
          <w:trHeight w:val="299"/>
          <w:jc w:val="center"/>
        </w:trPr>
        <w:tc>
          <w:tcPr>
            <w:tcW w:w="1038" w:type="pct"/>
            <w:tcBorders>
              <w:top w:val="nil"/>
              <w:left w:val="nil"/>
              <w:bottom w:val="single" w:sz="4" w:space="0" w:color="auto"/>
              <w:right w:val="single" w:sz="4" w:space="0" w:color="auto"/>
            </w:tcBorders>
            <w:shd w:val="clear" w:color="auto" w:fill="auto"/>
            <w:noWrap/>
            <w:vAlign w:val="center"/>
            <w:hideMark/>
          </w:tcPr>
          <w:p w14:paraId="6B7DB7D5" w14:textId="77777777" w:rsidR="00BD3831" w:rsidRPr="00FA719C" w:rsidRDefault="00BD3831" w:rsidP="0031289D">
            <w:pPr>
              <w:keepNext/>
              <w:jc w:val="center"/>
              <w:rPr>
                <w:rFonts w:ascii="Arabic Typesetting" w:hAnsi="Arabic Typesetting" w:cs="Arabic Typesetting"/>
                <w:b/>
                <w:bCs/>
                <w:color w:val="000000"/>
                <w:sz w:val="28"/>
                <w:szCs w:val="28"/>
              </w:rPr>
            </w:pPr>
          </w:p>
        </w:tc>
        <w:tc>
          <w:tcPr>
            <w:tcW w:w="990"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10254AC" w14:textId="77777777" w:rsidR="00BD3831" w:rsidRPr="00FA719C" w:rsidRDefault="00BD3831" w:rsidP="0031289D">
            <w:pPr>
              <w:keepNext/>
              <w:jc w:val="center"/>
              <w:rPr>
                <w:rFonts w:ascii="Arabic Typesetting" w:hAnsi="Arabic Typesetting" w:cs="Arabic Typesetting"/>
                <w:b/>
                <w:bCs/>
                <w:color w:val="000000"/>
                <w:sz w:val="28"/>
                <w:szCs w:val="28"/>
              </w:rPr>
            </w:pPr>
            <w:r w:rsidRPr="00FA719C">
              <w:rPr>
                <w:rFonts w:ascii="Arabic Typesetting" w:hAnsi="Arabic Typesetting" w:cs="Arabic Typesetting"/>
                <w:b/>
                <w:bCs/>
                <w:color w:val="000000"/>
                <w:sz w:val="28"/>
                <w:szCs w:val="28"/>
              </w:rPr>
              <w:t>2014</w:t>
            </w:r>
          </w:p>
        </w:tc>
        <w:tc>
          <w:tcPr>
            <w:tcW w:w="990"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17732B5" w14:textId="77777777" w:rsidR="00BD3831" w:rsidRPr="00FA719C" w:rsidRDefault="00BD3831" w:rsidP="0031289D">
            <w:pPr>
              <w:keepNext/>
              <w:jc w:val="center"/>
              <w:rPr>
                <w:rFonts w:ascii="Arabic Typesetting" w:hAnsi="Arabic Typesetting" w:cs="Arabic Typesetting"/>
                <w:b/>
                <w:bCs/>
                <w:color w:val="000000"/>
                <w:sz w:val="28"/>
                <w:szCs w:val="28"/>
              </w:rPr>
            </w:pPr>
            <w:r w:rsidRPr="00FA719C">
              <w:rPr>
                <w:rFonts w:ascii="Arabic Typesetting" w:hAnsi="Arabic Typesetting" w:cs="Arabic Typesetting"/>
                <w:b/>
                <w:bCs/>
                <w:color w:val="000000"/>
                <w:sz w:val="28"/>
                <w:szCs w:val="28"/>
              </w:rPr>
              <w:t>2015</w:t>
            </w:r>
          </w:p>
        </w:tc>
        <w:tc>
          <w:tcPr>
            <w:tcW w:w="990"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4E13CFF" w14:textId="77777777" w:rsidR="00BD3831" w:rsidRPr="00FA719C" w:rsidRDefault="00BD3831" w:rsidP="0031289D">
            <w:pPr>
              <w:keepNext/>
              <w:jc w:val="center"/>
              <w:rPr>
                <w:rFonts w:ascii="Arabic Typesetting" w:hAnsi="Arabic Typesetting" w:cs="Arabic Typesetting"/>
                <w:b/>
                <w:sz w:val="28"/>
                <w:szCs w:val="28"/>
              </w:rPr>
            </w:pPr>
            <w:r w:rsidRPr="00FA719C">
              <w:rPr>
                <w:rFonts w:ascii="Arabic Typesetting" w:hAnsi="Arabic Typesetting" w:cs="Arabic Typesetting"/>
                <w:b/>
                <w:sz w:val="28"/>
                <w:szCs w:val="28"/>
              </w:rPr>
              <w:t>2016</w:t>
            </w:r>
          </w:p>
        </w:tc>
        <w:tc>
          <w:tcPr>
            <w:tcW w:w="990"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EDC40D" w14:textId="77777777" w:rsidR="00BD3831" w:rsidRPr="00FA719C" w:rsidRDefault="00BD3831" w:rsidP="0031289D">
            <w:pPr>
              <w:keepNext/>
              <w:jc w:val="center"/>
              <w:rPr>
                <w:rFonts w:ascii="Arabic Typesetting" w:hAnsi="Arabic Typesetting" w:cs="Arabic Typesetting"/>
                <w:b/>
                <w:sz w:val="28"/>
                <w:szCs w:val="28"/>
              </w:rPr>
            </w:pPr>
            <w:r w:rsidRPr="00FA719C">
              <w:rPr>
                <w:rFonts w:ascii="Arabic Typesetting" w:hAnsi="Arabic Typesetting" w:cs="Arabic Typesetting"/>
                <w:b/>
                <w:sz w:val="28"/>
                <w:szCs w:val="28"/>
              </w:rPr>
              <w:t>2017</w:t>
            </w:r>
          </w:p>
        </w:tc>
      </w:tr>
      <w:tr w:rsidR="00BD3831" w:rsidRPr="00FA719C" w14:paraId="6C0E9CF8" w14:textId="77777777" w:rsidTr="00F9431D">
        <w:trPr>
          <w:cantSplit/>
          <w:trHeight w:val="337"/>
          <w:jc w:val="center"/>
        </w:trPr>
        <w:tc>
          <w:tcPr>
            <w:tcW w:w="1038"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Mar>
              <w:top w:w="0" w:type="dxa"/>
            </w:tcMar>
            <w:vAlign w:val="bottom"/>
            <w:hideMark/>
          </w:tcPr>
          <w:p w14:paraId="16B7E24F" w14:textId="77777777" w:rsidR="00BD3831" w:rsidRPr="00FA719C" w:rsidRDefault="00BD3831" w:rsidP="0031289D">
            <w:pPr>
              <w:keepNext/>
              <w:bidi/>
              <w:rPr>
                <w:rFonts w:ascii="Arabic Typesetting" w:hAnsi="Arabic Typesetting" w:cs="Arabic Typesetting"/>
                <w:sz w:val="28"/>
                <w:szCs w:val="28"/>
                <w:rtl/>
                <w:lang w:bidi="ar-EG"/>
              </w:rPr>
            </w:pPr>
            <w:r w:rsidRPr="00FA719C">
              <w:rPr>
                <w:rFonts w:ascii="Arabic Typesetting" w:hAnsi="Arabic Typesetting" w:cs="Arabic Typesetting"/>
                <w:bCs/>
                <w:color w:val="000000"/>
                <w:sz w:val="28"/>
                <w:szCs w:val="28"/>
                <w:rtl/>
                <w:lang w:bidi="ar-EG"/>
              </w:rPr>
              <w:t>المعالم الرئيسية</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Mar>
              <w:top w:w="0" w:type="dxa"/>
            </w:tcMar>
            <w:vAlign w:val="center"/>
            <w:hideMark/>
          </w:tcPr>
          <w:p w14:paraId="2771B7E2"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ف1</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Mar>
              <w:top w:w="0" w:type="dxa"/>
            </w:tcMar>
            <w:vAlign w:val="center"/>
            <w:hideMark/>
          </w:tcPr>
          <w:p w14:paraId="50A82202"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ف2</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Mar>
              <w:top w:w="0" w:type="dxa"/>
            </w:tcMar>
            <w:vAlign w:val="center"/>
            <w:hideMark/>
          </w:tcPr>
          <w:p w14:paraId="5D2D7673"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ف3</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Mar>
              <w:top w:w="0" w:type="dxa"/>
            </w:tcMar>
            <w:vAlign w:val="center"/>
            <w:hideMark/>
          </w:tcPr>
          <w:p w14:paraId="3425FDCF"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ف4</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Mar>
              <w:top w:w="0" w:type="dxa"/>
            </w:tcMar>
            <w:vAlign w:val="center"/>
            <w:hideMark/>
          </w:tcPr>
          <w:p w14:paraId="3086B47C"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ف1</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Mar>
              <w:top w:w="0" w:type="dxa"/>
            </w:tcMar>
            <w:vAlign w:val="center"/>
            <w:hideMark/>
          </w:tcPr>
          <w:p w14:paraId="3AC6BB0F"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ف2</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Mar>
              <w:top w:w="0" w:type="dxa"/>
            </w:tcMar>
            <w:vAlign w:val="center"/>
            <w:hideMark/>
          </w:tcPr>
          <w:p w14:paraId="75030942"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ف3</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Mar>
              <w:top w:w="0" w:type="dxa"/>
            </w:tcMar>
            <w:vAlign w:val="center"/>
            <w:hideMark/>
          </w:tcPr>
          <w:p w14:paraId="10872EE0"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ف4</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tcMar>
            <w:vAlign w:val="center"/>
          </w:tcPr>
          <w:p w14:paraId="2D1E11A1"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ف1</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tcMar>
            <w:vAlign w:val="center"/>
          </w:tcPr>
          <w:p w14:paraId="7597278D"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ف2</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D532CD" w14:textId="77777777" w:rsidR="00BD3831" w:rsidRPr="00FA719C" w:rsidRDefault="00BD3831" w:rsidP="0031289D">
            <w:pPr>
              <w:keepNext/>
              <w:bidi/>
              <w:jc w:val="center"/>
              <w:rPr>
                <w:rFonts w:ascii="Arabic Typesetting" w:hAnsi="Arabic Typesetting" w:cs="Arabic Typesetting"/>
                <w:bCs/>
                <w:sz w:val="28"/>
                <w:szCs w:val="28"/>
                <w:rtl/>
                <w:lang w:bidi="ar-EG"/>
              </w:rPr>
            </w:pPr>
            <w:r w:rsidRPr="00FA719C">
              <w:rPr>
                <w:rFonts w:ascii="Arabic Typesetting" w:hAnsi="Arabic Typesetting" w:cs="Arabic Typesetting"/>
                <w:bCs/>
                <w:sz w:val="28"/>
                <w:szCs w:val="28"/>
                <w:rtl/>
                <w:lang w:bidi="ar-EG"/>
              </w:rPr>
              <w:t>ف3</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0AAF94" w14:textId="77777777" w:rsidR="00BD3831" w:rsidRPr="00FA719C" w:rsidRDefault="00BD3831" w:rsidP="0031289D">
            <w:pPr>
              <w:keepNext/>
              <w:bidi/>
              <w:jc w:val="center"/>
              <w:rPr>
                <w:rFonts w:ascii="Arabic Typesetting" w:hAnsi="Arabic Typesetting" w:cs="Arabic Typesetting"/>
                <w:bCs/>
                <w:sz w:val="28"/>
                <w:szCs w:val="28"/>
                <w:rtl/>
                <w:lang w:bidi="ar-EG"/>
              </w:rPr>
            </w:pPr>
            <w:r w:rsidRPr="00FA719C">
              <w:rPr>
                <w:rFonts w:ascii="Arabic Typesetting" w:hAnsi="Arabic Typesetting" w:cs="Arabic Typesetting"/>
                <w:bCs/>
                <w:sz w:val="28"/>
                <w:szCs w:val="28"/>
                <w:rtl/>
                <w:lang w:bidi="ar-EG"/>
              </w:rPr>
              <w:t>ف4</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E70B9"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ف1</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8372645" w14:textId="77777777" w:rsidR="00BD3831" w:rsidRPr="00FA719C" w:rsidRDefault="00BD3831" w:rsidP="0031289D">
            <w:pPr>
              <w:keepNext/>
              <w:bidi/>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ف2</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C426B2" w14:textId="77777777" w:rsidR="00BD3831" w:rsidRPr="00FA719C" w:rsidRDefault="00BD3831" w:rsidP="0031289D">
            <w:pPr>
              <w:keepNext/>
              <w:bidi/>
              <w:jc w:val="center"/>
              <w:rPr>
                <w:rFonts w:ascii="Arabic Typesetting" w:hAnsi="Arabic Typesetting" w:cs="Arabic Typesetting"/>
                <w:bCs/>
                <w:sz w:val="28"/>
                <w:szCs w:val="28"/>
                <w:rtl/>
                <w:lang w:bidi="ar-EG"/>
              </w:rPr>
            </w:pPr>
            <w:r w:rsidRPr="00FA719C">
              <w:rPr>
                <w:rFonts w:ascii="Arabic Typesetting" w:hAnsi="Arabic Typesetting" w:cs="Arabic Typesetting"/>
                <w:bCs/>
                <w:sz w:val="28"/>
                <w:szCs w:val="28"/>
                <w:rtl/>
                <w:lang w:bidi="ar-EG"/>
              </w:rPr>
              <w:t>ف3</w:t>
            </w:r>
          </w:p>
        </w:tc>
        <w:tc>
          <w:tcPr>
            <w:tcW w:w="2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0D3748" w14:textId="77777777" w:rsidR="00BD3831" w:rsidRPr="00FA719C" w:rsidRDefault="00BD3831" w:rsidP="0031289D">
            <w:pPr>
              <w:keepNext/>
              <w:bidi/>
              <w:jc w:val="center"/>
              <w:rPr>
                <w:rFonts w:ascii="Arabic Typesetting" w:hAnsi="Arabic Typesetting" w:cs="Arabic Typesetting"/>
                <w:bCs/>
                <w:sz w:val="28"/>
                <w:szCs w:val="28"/>
                <w:rtl/>
                <w:lang w:bidi="ar-EG"/>
              </w:rPr>
            </w:pPr>
            <w:r w:rsidRPr="00FA719C">
              <w:rPr>
                <w:rFonts w:ascii="Arabic Typesetting" w:hAnsi="Arabic Typesetting" w:cs="Arabic Typesetting"/>
                <w:bCs/>
                <w:sz w:val="28"/>
                <w:szCs w:val="28"/>
                <w:rtl/>
                <w:lang w:bidi="ar-EG"/>
              </w:rPr>
              <w:t>ف4</w:t>
            </w:r>
          </w:p>
        </w:tc>
      </w:tr>
      <w:tr w:rsidR="00BD3831" w:rsidRPr="00FA719C" w14:paraId="4B3B0B2F" w14:textId="77777777" w:rsidTr="00F9431D">
        <w:trPr>
          <w:cantSplit/>
          <w:trHeight w:val="425"/>
          <w:jc w:val="center"/>
        </w:trPr>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8D1CE" w14:textId="77777777" w:rsidR="00BD3831" w:rsidRPr="00FA719C" w:rsidRDefault="00BD3831" w:rsidP="0031289D">
            <w:pPr>
              <w:keepNext/>
              <w:bidi/>
              <w:rPr>
                <w:rFonts w:ascii="Arabic Typesetting" w:hAnsi="Arabic Typesetting" w:cs="Arabic Typesetting"/>
                <w:sz w:val="28"/>
                <w:szCs w:val="28"/>
                <w:rtl/>
              </w:rPr>
            </w:pPr>
            <w:r w:rsidRPr="00FA719C">
              <w:rPr>
                <w:rFonts w:ascii="Arabic Typesetting" w:hAnsi="Arabic Typesetting" w:cs="Arabic Typesetting"/>
                <w:color w:val="000000"/>
                <w:sz w:val="28"/>
                <w:szCs w:val="28"/>
                <w:rtl/>
                <w:lang w:bidi="ar-EG"/>
              </w:rPr>
              <w:t>منح العقد لمهندس التدفئة والتهوية وتكييف الهواء (أرباد بوكش والبراءات)</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57B1D" w14:textId="77777777" w:rsidR="00BD3831" w:rsidRPr="00FA719C" w:rsidRDefault="00BD3831" w:rsidP="0031289D">
            <w:pPr>
              <w:keepNext/>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0F8FB" w14:textId="77777777" w:rsidR="00BD3831" w:rsidRPr="00FA719C" w:rsidRDefault="00BD3831" w:rsidP="0031289D">
            <w:pPr>
              <w:keepNext/>
              <w:spacing w:before="40" w:after="40"/>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C68F6" w14:textId="77777777" w:rsidR="00BD3831" w:rsidRPr="00FA719C" w:rsidRDefault="00BD3831" w:rsidP="0031289D">
            <w:pPr>
              <w:keepNext/>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hideMark/>
          </w:tcPr>
          <w:p w14:paraId="54836C8C" w14:textId="77777777" w:rsidR="00BD3831" w:rsidRPr="00FA719C" w:rsidRDefault="00BD3831" w:rsidP="0031289D">
            <w:pPr>
              <w:keepNext/>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82621" w14:textId="77777777" w:rsidR="00BD3831" w:rsidRPr="00FA719C" w:rsidRDefault="00BD3831" w:rsidP="0031289D">
            <w:pPr>
              <w:keepNext/>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8FB6" w14:textId="77777777" w:rsidR="00BD3831" w:rsidRPr="00FA719C" w:rsidRDefault="00BD3831" w:rsidP="0031289D">
            <w:pPr>
              <w:keepNext/>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51D25" w14:textId="77777777" w:rsidR="00BD3831" w:rsidRPr="00FA719C" w:rsidRDefault="00BD3831" w:rsidP="0031289D">
            <w:pPr>
              <w:keepNext/>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hideMark/>
          </w:tcPr>
          <w:p w14:paraId="0E8C012A" w14:textId="77777777" w:rsidR="00BD3831" w:rsidRPr="00FA719C" w:rsidRDefault="00BD3831" w:rsidP="0031289D">
            <w:pPr>
              <w:keepNext/>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C15713D" w14:textId="77777777" w:rsidR="00BD3831" w:rsidRPr="00FA719C" w:rsidRDefault="00BD3831" w:rsidP="0031289D">
            <w:pPr>
              <w:keepNext/>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4DA607DA" w14:textId="77777777" w:rsidR="00BD3831" w:rsidRPr="00FA719C" w:rsidRDefault="00BD3831" w:rsidP="0031289D">
            <w:pPr>
              <w:keepNext/>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vAlign w:val="center"/>
          </w:tcPr>
          <w:p w14:paraId="7588161A" w14:textId="77777777" w:rsidR="00BD3831" w:rsidRPr="00FA719C" w:rsidRDefault="00BD3831" w:rsidP="0031289D">
            <w:pPr>
              <w:keepNext/>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00C4D078" w14:textId="77777777" w:rsidR="00BD3831" w:rsidRPr="00FA719C" w:rsidRDefault="00BD3831" w:rsidP="0031289D">
            <w:pPr>
              <w:keepNext/>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197E4A29" w14:textId="77777777" w:rsidR="00BD3831" w:rsidRPr="00FA719C" w:rsidRDefault="00BD3831" w:rsidP="0031289D">
            <w:pPr>
              <w:keepNext/>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1CEFD413" w14:textId="77777777" w:rsidR="00BD3831" w:rsidRPr="00FA719C" w:rsidRDefault="00BD3831" w:rsidP="0031289D">
            <w:pPr>
              <w:keepNext/>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37A79F54" w14:textId="77777777" w:rsidR="00BD3831" w:rsidRPr="00FA719C" w:rsidRDefault="00BD3831" w:rsidP="0031289D">
            <w:pPr>
              <w:keepNext/>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3498211C" w14:textId="77777777" w:rsidR="00BD3831" w:rsidRPr="00FA719C" w:rsidRDefault="00BD3831" w:rsidP="0031289D">
            <w:pPr>
              <w:keepNext/>
              <w:spacing w:before="40" w:after="40"/>
              <w:jc w:val="center"/>
              <w:rPr>
                <w:rFonts w:ascii="Arabic Typesetting" w:hAnsi="Arabic Typesetting" w:cs="Arabic Typesetting"/>
                <w:sz w:val="28"/>
                <w:szCs w:val="28"/>
              </w:rPr>
            </w:pPr>
          </w:p>
        </w:tc>
      </w:tr>
      <w:tr w:rsidR="00BD3831" w:rsidRPr="00FA719C" w14:paraId="6BDA72E0" w14:textId="77777777" w:rsidTr="00F9431D">
        <w:trPr>
          <w:cantSplit/>
          <w:trHeight w:val="377"/>
          <w:jc w:val="center"/>
        </w:trPr>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8E603"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طلب عروض من الشركات (أرباد بوكش)</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CD60F"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CD68A" w14:textId="77777777" w:rsidR="00BD3831" w:rsidRPr="00FA719C" w:rsidRDefault="00BD3831" w:rsidP="0031289D">
            <w:pPr>
              <w:spacing w:before="40" w:after="40"/>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F44D8"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hideMark/>
          </w:tcPr>
          <w:p w14:paraId="74411511"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21E17"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94E5E"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04949"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hideMark/>
          </w:tcPr>
          <w:p w14:paraId="492846E4"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9347CB6"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5DA10A76"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vAlign w:val="center"/>
          </w:tcPr>
          <w:p w14:paraId="061B417D"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5EAC0C1C"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095974C1"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47E0B6C7"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12D0BFA5"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6D54DE20" w14:textId="77777777" w:rsidR="00BD3831" w:rsidRPr="00FA719C" w:rsidRDefault="00BD3831" w:rsidP="0031289D">
            <w:pPr>
              <w:spacing w:before="40" w:after="40"/>
              <w:jc w:val="center"/>
              <w:rPr>
                <w:rFonts w:ascii="Arabic Typesetting" w:hAnsi="Arabic Typesetting" w:cs="Arabic Typesetting"/>
                <w:sz w:val="28"/>
                <w:szCs w:val="28"/>
              </w:rPr>
            </w:pPr>
          </w:p>
        </w:tc>
      </w:tr>
      <w:tr w:rsidR="00BD3831" w:rsidRPr="00FA719C" w14:paraId="6B40CDC5" w14:textId="77777777" w:rsidTr="00F9431D">
        <w:trPr>
          <w:cantSplit/>
          <w:trHeight w:val="412"/>
          <w:jc w:val="center"/>
        </w:trPr>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5E1F4"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تنفيذ الأعمال وتكليفها (أرباد بوكش)</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A1ABD"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0C156"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60A09" w14:textId="77777777" w:rsidR="00BD3831" w:rsidRPr="00FA719C" w:rsidRDefault="00BD3831" w:rsidP="0031289D">
            <w:pPr>
              <w:spacing w:before="40" w:after="40"/>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hideMark/>
          </w:tcPr>
          <w:p w14:paraId="53CBD69B"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4E242"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8D1AC"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08933"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hideMark/>
          </w:tcPr>
          <w:p w14:paraId="628C61EF"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3E960A21"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D0F7AF1"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vAlign w:val="center"/>
          </w:tcPr>
          <w:p w14:paraId="75EC390D"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0255AF32"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2C2ED43A"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1B907E5B"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114C25E7"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3156D547" w14:textId="77777777" w:rsidR="00BD3831" w:rsidRPr="00FA719C" w:rsidRDefault="00BD3831" w:rsidP="0031289D">
            <w:pPr>
              <w:spacing w:before="40" w:after="40"/>
              <w:jc w:val="center"/>
              <w:rPr>
                <w:rFonts w:ascii="Arabic Typesetting" w:hAnsi="Arabic Typesetting" w:cs="Arabic Typesetting"/>
                <w:sz w:val="28"/>
                <w:szCs w:val="28"/>
              </w:rPr>
            </w:pPr>
          </w:p>
        </w:tc>
      </w:tr>
      <w:tr w:rsidR="00BD3831" w:rsidRPr="00FA719C" w14:paraId="61AC9D49" w14:textId="77777777" w:rsidTr="00F9431D">
        <w:trPr>
          <w:cantSplit/>
          <w:trHeight w:val="417"/>
          <w:jc w:val="center"/>
        </w:trPr>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2FB9F"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تثبيت المشروع مع مهندس التدفئة والتهوية وتكييف الهواء (مبنى البراءات)</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BE2BF"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68703"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65ED3"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08B3D" w14:textId="77777777" w:rsidR="00BD3831" w:rsidRPr="00FA719C" w:rsidRDefault="00BD3831" w:rsidP="0031289D">
            <w:pPr>
              <w:spacing w:before="40" w:after="40"/>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A5AAE" w14:textId="77777777" w:rsidR="00BD3831" w:rsidRPr="00FA719C" w:rsidRDefault="00BD3831" w:rsidP="0031289D">
            <w:pPr>
              <w:spacing w:before="40" w:after="40"/>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5B5E7"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03FF4"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hideMark/>
          </w:tcPr>
          <w:p w14:paraId="74522FBB"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FFE0CB3"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039FAEF"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vAlign w:val="center"/>
          </w:tcPr>
          <w:p w14:paraId="6B5C565F"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506A7984"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1FC4924C"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532D432D"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0A76FFD3"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1240F967" w14:textId="77777777" w:rsidR="00BD3831" w:rsidRPr="00FA719C" w:rsidRDefault="00BD3831" w:rsidP="0031289D">
            <w:pPr>
              <w:spacing w:before="40" w:after="40"/>
              <w:jc w:val="center"/>
              <w:rPr>
                <w:rFonts w:ascii="Arabic Typesetting" w:hAnsi="Arabic Typesetting" w:cs="Arabic Typesetting"/>
                <w:sz w:val="28"/>
                <w:szCs w:val="28"/>
              </w:rPr>
            </w:pPr>
          </w:p>
        </w:tc>
      </w:tr>
      <w:tr w:rsidR="00BD3831" w:rsidRPr="00FA719C" w14:paraId="468017D1" w14:textId="77777777" w:rsidTr="00F9431D">
        <w:trPr>
          <w:cantSplit/>
          <w:trHeight w:val="410"/>
          <w:jc w:val="center"/>
        </w:trPr>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1AF48D"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طرح مناقصة على الشركات (مبنى البراءات)</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4A8CD"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CA9AB"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6063A"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tcPr>
          <w:p w14:paraId="49199159"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9D899" w14:textId="77777777" w:rsidR="00BD3831" w:rsidRPr="00FA719C" w:rsidRDefault="00BD3831" w:rsidP="0031289D">
            <w:pPr>
              <w:spacing w:before="40" w:after="40"/>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75A8B" w14:textId="77777777" w:rsidR="00BD3831" w:rsidRPr="00FA719C" w:rsidRDefault="00BD3831" w:rsidP="0031289D">
            <w:pPr>
              <w:spacing w:before="40" w:after="40"/>
              <w:jc w:val="center"/>
              <w:rPr>
                <w:rFonts w:ascii="Arabic Typesetting" w:hAnsi="Arabic Typesetting" w:cs="Arabic Typesetting"/>
                <w:color w:val="000000"/>
                <w:sz w:val="28"/>
                <w:szCs w:val="28"/>
              </w:rPr>
            </w:pPr>
            <w:r w:rsidRPr="00FA719C">
              <w:rPr>
                <w:rFonts w:ascii="Arabic Typesetting" w:hAnsi="Arabic Typesetting" w:cs="Arabic Typesetting"/>
                <w:color w:val="000000"/>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C9752A"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tcPr>
          <w:p w14:paraId="65A0B0F6"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60B1AC00"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B2065A7" w14:textId="77777777" w:rsidR="00BD3831" w:rsidRPr="00FA719C" w:rsidRDefault="00BD3831" w:rsidP="0031289D">
            <w:pPr>
              <w:spacing w:before="40" w:after="40"/>
              <w:jc w:val="center"/>
              <w:rPr>
                <w:rFonts w:ascii="Arabic Typesetting" w:hAnsi="Arabic Typesetting" w:cs="Arabic Typesetting"/>
                <w:color w:val="000000"/>
                <w:sz w:val="28"/>
                <w:szCs w:val="28"/>
              </w:rPr>
            </w:pPr>
          </w:p>
        </w:tc>
        <w:tc>
          <w:tcPr>
            <w:tcW w:w="248" w:type="pct"/>
            <w:tcBorders>
              <w:top w:val="single" w:sz="4" w:space="0" w:color="auto"/>
              <w:left w:val="single" w:sz="4" w:space="0" w:color="auto"/>
              <w:bottom w:val="single" w:sz="4" w:space="0" w:color="auto"/>
              <w:right w:val="single" w:sz="4" w:space="0" w:color="auto"/>
            </w:tcBorders>
            <w:vAlign w:val="center"/>
          </w:tcPr>
          <w:p w14:paraId="44E86F7D"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2409F49D"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2CF9FB96"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0D356716"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54C0764E"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76877AD4" w14:textId="77777777" w:rsidR="00BD3831" w:rsidRPr="00FA719C" w:rsidRDefault="00BD3831" w:rsidP="0031289D">
            <w:pPr>
              <w:spacing w:before="40" w:after="40"/>
              <w:jc w:val="center"/>
              <w:rPr>
                <w:rFonts w:ascii="Arabic Typesetting" w:hAnsi="Arabic Typesetting" w:cs="Arabic Typesetting"/>
                <w:sz w:val="28"/>
                <w:szCs w:val="28"/>
              </w:rPr>
            </w:pPr>
          </w:p>
        </w:tc>
      </w:tr>
      <w:tr w:rsidR="00BD3831" w:rsidRPr="00FA719C" w14:paraId="4D7AFE04" w14:textId="77777777" w:rsidTr="00F9431D">
        <w:trPr>
          <w:cantSplit/>
          <w:trHeight w:val="413"/>
          <w:jc w:val="center"/>
        </w:trPr>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E900E" w14:textId="77777777" w:rsidR="00BD3831" w:rsidRPr="00FA719C" w:rsidRDefault="00BD3831" w:rsidP="0031289D">
            <w:pPr>
              <w:bidi/>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تنفيذ الأعمال وتكليفها (مبنى البراءات)</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94ED7"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A25B36"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1D693"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tcPr>
          <w:p w14:paraId="7CE18277"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5710DB"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E84B1"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539C4"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5E846"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0CC97A1"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43E1B8EE"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vAlign w:val="center"/>
          </w:tcPr>
          <w:p w14:paraId="45805A34"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681156BA"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7C39159A"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34FEB4B3"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2A670554"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4D443A3C" w14:textId="77777777" w:rsidR="00BD3831" w:rsidRPr="00FA719C" w:rsidRDefault="00BD3831" w:rsidP="0031289D">
            <w:pPr>
              <w:spacing w:before="40" w:after="40"/>
              <w:jc w:val="center"/>
              <w:rPr>
                <w:rFonts w:ascii="Arabic Typesetting" w:hAnsi="Arabic Typesetting" w:cs="Arabic Typesetting"/>
                <w:sz w:val="28"/>
                <w:szCs w:val="28"/>
              </w:rPr>
            </w:pPr>
          </w:p>
        </w:tc>
      </w:tr>
      <w:tr w:rsidR="00BD3831" w:rsidRPr="00FA719C" w14:paraId="42F368F1" w14:textId="77777777" w:rsidTr="00F9431D">
        <w:trPr>
          <w:cantSplit/>
          <w:trHeight w:val="413"/>
          <w:jc w:val="center"/>
        </w:trPr>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FC0B7" w14:textId="77777777" w:rsidR="00BD3831" w:rsidRPr="00FA719C" w:rsidRDefault="00BD3831" w:rsidP="0031289D">
            <w:pPr>
              <w:bidi/>
              <w:rPr>
                <w:rFonts w:ascii="Arabic Typesetting" w:hAnsi="Arabic Typesetting" w:cs="Arabic Typesetting"/>
                <w:color w:val="000000"/>
                <w:sz w:val="28"/>
                <w:szCs w:val="28"/>
                <w:rtl/>
                <w:lang w:bidi="ar-EG"/>
              </w:rPr>
            </w:pPr>
            <w:r w:rsidRPr="00FA719C">
              <w:rPr>
                <w:rFonts w:ascii="Arabic Typesetting" w:hAnsi="Arabic Typesetting" w:cs="Arabic Typesetting"/>
                <w:color w:val="000000"/>
                <w:sz w:val="28"/>
                <w:szCs w:val="28"/>
                <w:rtl/>
                <w:lang w:bidi="ar-EG"/>
              </w:rPr>
              <w:t>فترة ضمان البناء (سنتان) لمبنى أرباد بوكش</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0D71E"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895AF1"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28D25"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D83C1"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46F9C"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A8E1C"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AAB3B"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7AEDA"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4E0BD8C8"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3788469A"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vAlign w:val="center"/>
          </w:tcPr>
          <w:p w14:paraId="0209428A"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vAlign w:val="center"/>
          </w:tcPr>
          <w:p w14:paraId="384A4B46"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vAlign w:val="center"/>
          </w:tcPr>
          <w:p w14:paraId="15369D8B"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vAlign w:val="center"/>
          </w:tcPr>
          <w:p w14:paraId="6B469132"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0D3D11BF"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tcPr>
          <w:p w14:paraId="7ADE731F" w14:textId="77777777" w:rsidR="00BD3831" w:rsidRPr="00FA719C" w:rsidRDefault="00BD3831" w:rsidP="0031289D">
            <w:pPr>
              <w:spacing w:before="40" w:after="40"/>
              <w:jc w:val="center"/>
              <w:rPr>
                <w:rFonts w:ascii="Arabic Typesetting" w:hAnsi="Arabic Typesetting" w:cs="Arabic Typesetting"/>
                <w:sz w:val="28"/>
                <w:szCs w:val="28"/>
              </w:rPr>
            </w:pPr>
          </w:p>
        </w:tc>
      </w:tr>
      <w:tr w:rsidR="00BD3831" w:rsidRPr="00FA719C" w14:paraId="0AB1D1A0" w14:textId="77777777" w:rsidTr="00F9431D">
        <w:trPr>
          <w:cantSplit/>
          <w:trHeight w:val="413"/>
          <w:jc w:val="center"/>
        </w:trPr>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DC8FC" w14:textId="77777777" w:rsidR="00BD3831" w:rsidRPr="00FA719C" w:rsidRDefault="00BD3831" w:rsidP="0031289D">
            <w:pPr>
              <w:bidi/>
              <w:rPr>
                <w:rFonts w:ascii="Arabic Typesetting" w:hAnsi="Arabic Typesetting" w:cs="Arabic Typesetting"/>
                <w:color w:val="000000"/>
                <w:sz w:val="28"/>
                <w:szCs w:val="28"/>
                <w:rtl/>
                <w:lang w:bidi="ar-EG"/>
              </w:rPr>
            </w:pPr>
            <w:r w:rsidRPr="00FA719C">
              <w:rPr>
                <w:rFonts w:ascii="Arabic Typesetting" w:hAnsi="Arabic Typesetting" w:cs="Arabic Typesetting"/>
                <w:color w:val="000000"/>
                <w:sz w:val="28"/>
                <w:szCs w:val="28"/>
                <w:rtl/>
                <w:lang w:bidi="ar-EG"/>
              </w:rPr>
              <w:t>فترة ضمان البناء (سنتان) لمبنى البراءات</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42073"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D9865"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C3281"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tcPr>
          <w:p w14:paraId="417A7A92"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D08AF"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02ECA6"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3D9CA9" w14:textId="77777777" w:rsidR="00BD3831" w:rsidRPr="00FA719C" w:rsidRDefault="00BD3831" w:rsidP="0031289D">
            <w:pPr>
              <w:spacing w:before="40" w:after="40"/>
              <w:jc w:val="center"/>
              <w:rPr>
                <w:rFonts w:ascii="Arabic Typesetting" w:hAnsi="Arabic Typesetting" w:cs="Arabic Typesetting"/>
                <w:sz w:val="28"/>
                <w:szCs w:val="28"/>
              </w:rPr>
            </w:pP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AFB8B7"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E4E1C99"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5ABF2D3"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vAlign w:val="center"/>
          </w:tcPr>
          <w:p w14:paraId="308F48F1"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vAlign w:val="center"/>
          </w:tcPr>
          <w:p w14:paraId="03EE198D"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vAlign w:val="center"/>
          </w:tcPr>
          <w:p w14:paraId="6056DB16"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vAlign w:val="center"/>
          </w:tcPr>
          <w:p w14:paraId="7F1FC2EA"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vAlign w:val="center"/>
          </w:tcPr>
          <w:p w14:paraId="008588BE"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c>
          <w:tcPr>
            <w:tcW w:w="248" w:type="pct"/>
            <w:tcBorders>
              <w:top w:val="single" w:sz="4" w:space="0" w:color="auto"/>
              <w:left w:val="single" w:sz="4" w:space="0" w:color="auto"/>
              <w:bottom w:val="single" w:sz="4" w:space="0" w:color="auto"/>
              <w:right w:val="single" w:sz="4" w:space="0" w:color="auto"/>
            </w:tcBorders>
            <w:vAlign w:val="center"/>
          </w:tcPr>
          <w:p w14:paraId="1DDB8CB6" w14:textId="77777777" w:rsidR="00BD3831" w:rsidRPr="00FA719C" w:rsidRDefault="00BD3831" w:rsidP="0031289D">
            <w:pPr>
              <w:spacing w:before="40" w:after="40"/>
              <w:jc w:val="center"/>
              <w:rPr>
                <w:rFonts w:ascii="Arabic Typesetting" w:hAnsi="Arabic Typesetting" w:cs="Arabic Typesetting"/>
                <w:sz w:val="28"/>
                <w:szCs w:val="28"/>
              </w:rPr>
            </w:pPr>
            <w:r w:rsidRPr="00FA719C">
              <w:rPr>
                <w:rFonts w:ascii="Arabic Typesetting" w:hAnsi="Arabic Typesetting" w:cs="Arabic Typesetting"/>
                <w:sz w:val="28"/>
                <w:szCs w:val="28"/>
              </w:rPr>
              <w:t>X</w:t>
            </w:r>
          </w:p>
        </w:tc>
      </w:tr>
    </w:tbl>
    <w:p w14:paraId="62C3AC3F" w14:textId="77777777" w:rsidR="00BD3831" w:rsidRPr="00E551B2" w:rsidRDefault="00BD3831" w:rsidP="0031289D">
      <w:pPr>
        <w:keepNext/>
        <w:pageBreakBefore/>
        <w:bidi/>
        <w:spacing w:after="240" w:line="340" w:lineRule="exact"/>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lastRenderedPageBreak/>
        <w:t>المشروعات المتصلة بالمباني</w:t>
      </w:r>
    </w:p>
    <w:p w14:paraId="07B3C92A" w14:textId="77777777" w:rsidR="00BD3831" w:rsidRPr="00E551B2" w:rsidRDefault="00BD3831" w:rsidP="0031289D">
      <w:pPr>
        <w:pStyle w:val="Heading4"/>
      </w:pPr>
      <w:bookmarkStart w:id="78" w:name="_Toc450635445"/>
      <w:bookmarkStart w:id="79" w:name="_Toc455393414"/>
      <w:bookmarkStart w:id="80" w:name="_Toc482782790"/>
      <w:r w:rsidRPr="00E551B2">
        <w:rPr>
          <w:rtl/>
        </w:rPr>
        <w:t>المشروع 5: مبنى أرباد بوكش</w:t>
      </w:r>
      <w:r>
        <w:rPr>
          <w:rFonts w:hint="cs"/>
          <w:rtl/>
        </w:rPr>
        <w:t xml:space="preserve"> -</w:t>
      </w:r>
      <w:r w:rsidRPr="00E551B2">
        <w:rPr>
          <w:rtl/>
        </w:rPr>
        <w:t xml:space="preserve"> المرحلة الأولى من تجديد القبو (تغيير حجم مركز البيانات وتجديد المطبعة) (</w:t>
      </w:r>
      <w:r w:rsidRPr="00E551B2">
        <w:t>CMP 5</w:t>
      </w:r>
      <w:r w:rsidRPr="00E551B2">
        <w:rPr>
          <w:rtl/>
        </w:rPr>
        <w:t>)</w:t>
      </w:r>
      <w:bookmarkEnd w:id="78"/>
      <w:bookmarkEnd w:id="79"/>
      <w:bookmarkEnd w:id="80"/>
    </w:p>
    <w:p w14:paraId="17390B01" w14:textId="77777777" w:rsidR="00BD3831" w:rsidRPr="00E551B2" w:rsidRDefault="00BD3831" w:rsidP="0031289D">
      <w:pPr>
        <w:keepNext/>
        <w:bidi/>
        <w:spacing w:after="240" w:line="340" w:lineRule="exact"/>
        <w:ind w:left="1417" w:hanging="1417"/>
        <w:rPr>
          <w:rFonts w:ascii="Arabic Typesetting" w:hAnsi="Arabic Typesetting" w:cs="Arabic Typesetting"/>
          <w:bCs/>
          <w:sz w:val="34"/>
          <w:szCs w:val="36"/>
          <w:rtl/>
          <w:lang w:val="fr-CH"/>
        </w:rPr>
      </w:pPr>
      <w:r w:rsidRPr="00E551B2">
        <w:rPr>
          <w:rFonts w:ascii="Arabic Typesetting" w:hAnsi="Arabic Typesetting" w:cs="Arabic Typesetting"/>
          <w:bCs/>
          <w:sz w:val="34"/>
          <w:szCs w:val="36"/>
          <w:rtl/>
          <w:lang w:val="fr-CH"/>
        </w:rPr>
        <w:t>مدير المشروع</w:t>
      </w:r>
      <w:r w:rsidRPr="00E551B2">
        <w:rPr>
          <w:rFonts w:ascii="Arabic Typesetting" w:hAnsi="Arabic Typesetting" w:cs="Arabic Typesetting" w:hint="cs"/>
          <w:bCs/>
          <w:sz w:val="34"/>
          <w:szCs w:val="36"/>
          <w:rtl/>
          <w:lang w:val="fr-CH"/>
        </w:rPr>
        <w:t>:</w:t>
      </w:r>
      <w:r w:rsidRPr="00E551B2">
        <w:rPr>
          <w:rFonts w:ascii="Arabic Typesetting" w:hAnsi="Arabic Typesetting" w:cs="Arabic Typesetting"/>
          <w:bCs/>
          <w:sz w:val="34"/>
          <w:szCs w:val="36"/>
          <w:rtl/>
          <w:lang w:val="fr-CH"/>
        </w:rPr>
        <w:tab/>
        <w:t>السيد ألفيو فافيرو</w:t>
      </w:r>
    </w:p>
    <w:p w14:paraId="0267E86E" w14:textId="77777777" w:rsidR="00BD3831" w:rsidRPr="00E551B2" w:rsidRDefault="00BD3831" w:rsidP="0031289D">
      <w:pPr>
        <w:keepNext/>
        <w:bidi/>
        <w:spacing w:after="240" w:line="340" w:lineRule="exact"/>
        <w:rPr>
          <w:rFonts w:ascii="Arabic Typesetting" w:hAnsi="Arabic Typesetting" w:cs="Arabic Typesetting"/>
          <w:sz w:val="34"/>
          <w:szCs w:val="34"/>
          <w:lang w:bidi="ar-EG"/>
        </w:rPr>
      </w:pPr>
      <w:r w:rsidRPr="00E551B2">
        <w:rPr>
          <w:rFonts w:ascii="Arabic Typesetting" w:hAnsi="Arabic Typesetting" w:cs="Arabic Typesetting"/>
          <w:sz w:val="34"/>
          <w:szCs w:val="34"/>
          <w:rtl/>
          <w:lang w:bidi="ar-EG"/>
        </w:rPr>
        <w:t>النتيجة المرتقبة</w:t>
      </w:r>
    </w:p>
    <w:p w14:paraId="674C66E0" w14:textId="77777777" w:rsidR="00BD3831" w:rsidRPr="00E551B2" w:rsidRDefault="00BD3831" w:rsidP="0031289D">
      <w:pPr>
        <w:bidi/>
        <w:spacing w:after="240" w:line="340" w:lineRule="exact"/>
        <w:rPr>
          <w:rFonts w:ascii="Arabic Typesetting" w:hAnsi="Arabic Typesetting" w:cs="Arabic Typesetting"/>
          <w:iCs/>
          <w:sz w:val="34"/>
          <w:szCs w:val="34"/>
          <w:lang w:bidi="ar-EG"/>
        </w:rPr>
      </w:pPr>
      <w:r w:rsidRPr="00E551B2">
        <w:rPr>
          <w:rFonts w:ascii="Arabic Typesetting" w:hAnsi="Arabic Typesetting" w:cs="Arabic Typesetting"/>
          <w:i/>
          <w:iCs/>
          <w:sz w:val="34"/>
          <w:szCs w:val="34"/>
          <w:rtl/>
          <w:lang w:bidi="ar-EG"/>
        </w:rPr>
        <w:t>ه1.9</w:t>
      </w:r>
      <w:r w:rsidRPr="00E551B2">
        <w:rPr>
          <w:rFonts w:ascii="Arabic Typesetting" w:hAnsi="Arabic Typesetting" w:cs="Arabic Typesetting"/>
          <w:i/>
          <w:iCs/>
          <w:sz w:val="34"/>
          <w:szCs w:val="34"/>
          <w:rtl/>
          <w:lang w:bidi="ar-EG"/>
        </w:rPr>
        <w:tab/>
      </w:r>
      <w:r>
        <w:rPr>
          <w:rFonts w:ascii="Arabic Typesetting" w:hAnsi="Arabic Typesetting" w:cs="Arabic Typesetting"/>
          <w:i/>
          <w:iCs/>
          <w:sz w:val="34"/>
          <w:szCs w:val="34"/>
          <w:rtl/>
          <w:lang w:bidi="ar-EG"/>
        </w:rPr>
        <w:t>خدمات دعم موجهة للزبون بفعالية وكفاءة وجودة لفائدة الزبائن الداخليين وأصحاب المصلحة الخارجيين</w:t>
      </w:r>
    </w:p>
    <w:p w14:paraId="791391F1" w14:textId="77777777" w:rsidR="00BD3831" w:rsidRPr="00E551B2" w:rsidRDefault="00BD3831" w:rsidP="0031289D">
      <w:pPr>
        <w:bidi/>
        <w:spacing w:after="240" w:line="340" w:lineRule="exact"/>
        <w:rPr>
          <w:rFonts w:ascii="Arabic Typesetting" w:hAnsi="Arabic Typesetting" w:cs="Arabic Typesetting"/>
          <w:bCs/>
          <w:sz w:val="34"/>
          <w:szCs w:val="34"/>
          <w:lang w:bidi="ar-EG"/>
        </w:rPr>
      </w:pPr>
      <w:r w:rsidRPr="00E551B2">
        <w:rPr>
          <w:rFonts w:ascii="Arabic Typesetting" w:hAnsi="Arabic Typesetting" w:cs="Arabic Typesetting"/>
          <w:sz w:val="34"/>
          <w:szCs w:val="34"/>
          <w:rtl/>
          <w:lang w:bidi="ar-EG"/>
        </w:rPr>
        <w:t>الأهداف والنطاق والنهج – معلومات</w:t>
      </w:r>
      <w:r w:rsidRPr="00E551B2">
        <w:rPr>
          <w:rFonts w:ascii="Arabic Typesetting" w:hAnsi="Arabic Typesetting" w:cs="Arabic Typesetting" w:hint="cs"/>
          <w:sz w:val="34"/>
          <w:szCs w:val="34"/>
          <w:rtl/>
          <w:lang w:bidi="ar-EG"/>
        </w:rPr>
        <w:t xml:space="preserve"> </w:t>
      </w:r>
      <w:r w:rsidRPr="00E551B2">
        <w:rPr>
          <w:rFonts w:ascii="Arabic Typesetting" w:hAnsi="Arabic Typesetting" w:cs="Arabic Typesetting"/>
          <w:sz w:val="34"/>
          <w:szCs w:val="34"/>
          <w:rtl/>
          <w:lang w:bidi="ar-EG"/>
        </w:rPr>
        <w:t>أساسية</w:t>
      </w:r>
    </w:p>
    <w:p w14:paraId="7ED2B0F9" w14:textId="77777777" w:rsidR="00BD3831" w:rsidRPr="00E551B2" w:rsidRDefault="00BD3831" w:rsidP="0031289D">
      <w:pPr>
        <w:numPr>
          <w:ilvl w:val="0"/>
          <w:numId w:val="53"/>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يحتاج مركز البيانات الحالي الموجود في قبو مبنى أرباد بوكش إلى تغيير حجمه بحيث يناسب الغرض منه بعد أن تطور وأصبح يقتصر على غرفة للحاسوب تخدم مبنى أرباد بوكش وحده. ومن المتوقع لعملية تغيير الحجم هذه أن توفر مساحة أرضية كبيرة يمكن الاستفادة منها بالتالي في توسعة المطبعة الموجودة حاليا والتي تحتاج إلى التجديد.</w:t>
      </w:r>
    </w:p>
    <w:p w14:paraId="73DC4C58" w14:textId="77777777" w:rsidR="00BD3831" w:rsidRPr="00E551B2" w:rsidRDefault="00BD3831" w:rsidP="0031289D">
      <w:pPr>
        <w:numPr>
          <w:ilvl w:val="0"/>
          <w:numId w:val="53"/>
        </w:numPr>
        <w:tabs>
          <w:tab w:val="clear" w:pos="567"/>
        </w:tabs>
        <w:bidi/>
        <w:spacing w:after="240" w:line="340" w:lineRule="exact"/>
        <w:rPr>
          <w:rFonts w:ascii="Arabic Typesetting" w:hAnsi="Arabic Typesetting" w:cs="Arabic Typesetting"/>
          <w:noProof/>
          <w:sz w:val="34"/>
          <w:szCs w:val="34"/>
        </w:rPr>
      </w:pPr>
      <w:r>
        <w:rPr>
          <w:rFonts w:ascii="Arabic Typesetting" w:hAnsi="Arabic Typesetting" w:cs="Arabic Typesetting"/>
          <w:sz w:val="34"/>
          <w:szCs w:val="34"/>
          <w:rtl/>
        </w:rPr>
        <w:t>وأهداف المشروع هي</w:t>
      </w:r>
      <w:r w:rsidRPr="00E551B2">
        <w:rPr>
          <w:rFonts w:ascii="Arabic Typesetting" w:hAnsi="Arabic Typesetting" w:cs="Arabic Typesetting"/>
          <w:sz w:val="34"/>
          <w:szCs w:val="34"/>
          <w:rtl/>
        </w:rPr>
        <w:t xml:space="preserve"> "1" تحديد مساحة الأرضية المناسبة للمطبعة والوثائق وغرفة الحاسوب عن طريق تقليل مساحة مركز البيانات لتوفير مساحة كبيرة نسبي</w:t>
      </w:r>
      <w:r>
        <w:rPr>
          <w:rFonts w:ascii="Arabic Typesetting" w:hAnsi="Arabic Typesetting" w:cs="Arabic Typesetting"/>
          <w:sz w:val="34"/>
          <w:szCs w:val="34"/>
          <w:rtl/>
        </w:rPr>
        <w:t>اً</w:t>
      </w:r>
      <w:r w:rsidRPr="00E551B2">
        <w:rPr>
          <w:rFonts w:ascii="Arabic Typesetting" w:hAnsi="Arabic Typesetting" w:cs="Arabic Typesetting"/>
          <w:sz w:val="34"/>
          <w:szCs w:val="34"/>
          <w:rtl/>
        </w:rPr>
        <w:t xml:space="preserve"> للسماح بتوسعة المطبعة وتجديدها؛ "2" </w:t>
      </w:r>
      <w:r>
        <w:rPr>
          <w:rFonts w:ascii="Arabic Typesetting" w:hAnsi="Arabic Typesetting" w:cs="Arabic Typesetting" w:hint="cs"/>
          <w:sz w:val="34"/>
          <w:szCs w:val="34"/>
          <w:rtl/>
        </w:rPr>
        <w:t>و</w:t>
      </w:r>
      <w:r w:rsidRPr="00E551B2">
        <w:rPr>
          <w:rFonts w:ascii="Arabic Typesetting" w:hAnsi="Arabic Typesetting" w:cs="Arabic Typesetting"/>
          <w:sz w:val="34"/>
          <w:szCs w:val="34"/>
          <w:rtl/>
        </w:rPr>
        <w:t xml:space="preserve">تقليل استهلاك الطاقة من خلال إزالة معدات تقنية محددة من مركز البيانات؛ "3" </w:t>
      </w:r>
      <w:r>
        <w:rPr>
          <w:rFonts w:ascii="Arabic Typesetting" w:hAnsi="Arabic Typesetting" w:cs="Arabic Typesetting" w:hint="cs"/>
          <w:sz w:val="34"/>
          <w:szCs w:val="34"/>
          <w:rtl/>
        </w:rPr>
        <w:t>و</w:t>
      </w:r>
      <w:r w:rsidRPr="00E551B2">
        <w:rPr>
          <w:rFonts w:ascii="Arabic Typesetting" w:hAnsi="Arabic Typesetting" w:cs="Arabic Typesetting"/>
          <w:sz w:val="34"/>
          <w:szCs w:val="34"/>
          <w:rtl/>
        </w:rPr>
        <w:t>تحسين مساحات العمل الخاصة بالمطبعة وموظفي الوثائق.</w:t>
      </w:r>
    </w:p>
    <w:p w14:paraId="6569D0F7" w14:textId="77777777" w:rsidR="00BD3831" w:rsidRPr="00E551B2" w:rsidRDefault="00BD3831" w:rsidP="0031289D">
      <w:pPr>
        <w:bidi/>
        <w:spacing w:after="240" w:line="340" w:lineRule="exact"/>
        <w:rPr>
          <w:rFonts w:ascii="Arabic Typesetting" w:hAnsi="Arabic Typesetting" w:cs="Arabic Typesetting"/>
          <w:b/>
          <w:sz w:val="34"/>
          <w:szCs w:val="34"/>
          <w:lang w:bidi="ar-EG"/>
        </w:rPr>
      </w:pPr>
      <w:r w:rsidRPr="00E551B2">
        <w:rPr>
          <w:rFonts w:ascii="Arabic Typesetting" w:hAnsi="Arabic Typesetting" w:cs="Arabic Typesetting"/>
          <w:b/>
          <w:sz w:val="34"/>
          <w:szCs w:val="34"/>
          <w:rtl/>
          <w:lang w:bidi="ar-EG"/>
        </w:rPr>
        <w:t xml:space="preserve">استعراض التقدم المحرز في </w:t>
      </w:r>
      <w:r>
        <w:rPr>
          <w:rFonts w:ascii="Arabic Typesetting" w:hAnsi="Arabic Typesetting" w:cs="Arabic Typesetting" w:hint="cs"/>
          <w:b/>
          <w:sz w:val="34"/>
          <w:szCs w:val="34"/>
          <w:rtl/>
          <w:lang w:bidi="ar-EG"/>
        </w:rPr>
        <w:t>2016</w:t>
      </w:r>
      <w:r w:rsidRPr="00E551B2">
        <w:rPr>
          <w:rFonts w:ascii="Arabic Typesetting" w:hAnsi="Arabic Typesetting" w:cs="Arabic Typesetting"/>
          <w:b/>
          <w:sz w:val="34"/>
          <w:szCs w:val="34"/>
          <w:rtl/>
          <w:lang w:bidi="ar-EG"/>
        </w:rPr>
        <w:t xml:space="preserve"> (المعالم الرئيسية)</w:t>
      </w:r>
    </w:p>
    <w:p w14:paraId="27827D75" w14:textId="77777777" w:rsidR="00BD3831" w:rsidRPr="00E551B2" w:rsidRDefault="00BD3831" w:rsidP="0031289D">
      <w:pPr>
        <w:numPr>
          <w:ilvl w:val="0"/>
          <w:numId w:val="53"/>
        </w:numPr>
        <w:tabs>
          <w:tab w:val="clear" w:pos="567"/>
        </w:tabs>
        <w:bidi/>
        <w:spacing w:after="240" w:line="340" w:lineRule="exact"/>
        <w:rPr>
          <w:rFonts w:ascii="Arabic Typesetting" w:hAnsi="Arabic Typesetting" w:cs="Arabic Typesetting"/>
          <w:noProof/>
          <w:sz w:val="34"/>
          <w:szCs w:val="34"/>
        </w:rPr>
      </w:pPr>
      <w:r w:rsidRPr="00E551B2">
        <w:rPr>
          <w:rFonts w:ascii="Arabic Typesetting" w:hAnsi="Arabic Typesetting" w:cs="Arabic Typesetting"/>
          <w:sz w:val="34"/>
          <w:szCs w:val="34"/>
          <w:rtl/>
        </w:rPr>
        <w:t xml:space="preserve">في عام </w:t>
      </w:r>
      <w:r>
        <w:rPr>
          <w:rFonts w:ascii="Arabic Typesetting" w:hAnsi="Arabic Typesetting" w:cs="Arabic Typesetting" w:hint="cs"/>
          <w:sz w:val="34"/>
          <w:szCs w:val="34"/>
          <w:rtl/>
        </w:rPr>
        <w:t>2016</w:t>
      </w:r>
      <w:r w:rsidRPr="00E551B2">
        <w:rPr>
          <w:rFonts w:ascii="Arabic Typesetting" w:hAnsi="Arabic Typesetting" w:cs="Arabic Typesetting"/>
          <w:sz w:val="34"/>
          <w:szCs w:val="34"/>
          <w:rtl/>
        </w:rPr>
        <w:t>، أحرز التقدم التالي:</w:t>
      </w:r>
    </w:p>
    <w:p w14:paraId="5413B04B" w14:textId="77777777" w:rsidR="00BD3831" w:rsidRDefault="00BD3831" w:rsidP="0031289D">
      <w:pPr>
        <w:numPr>
          <w:ilvl w:val="0"/>
          <w:numId w:val="50"/>
        </w:numPr>
        <w:bidi/>
        <w:spacing w:after="240" w:line="340" w:lineRule="exact"/>
        <w:ind w:left="1134" w:hanging="567"/>
        <w:rPr>
          <w:rFonts w:ascii="Arabic Typesetting" w:hAnsi="Arabic Typesetting" w:cs="Arabic Typesetting"/>
          <w:b/>
          <w:noProof/>
          <w:sz w:val="34"/>
          <w:szCs w:val="34"/>
          <w:lang w:bidi="ar-EG"/>
        </w:rPr>
      </w:pPr>
      <w:r>
        <w:rPr>
          <w:rFonts w:ascii="Arabic Typesetting" w:hAnsi="Arabic Typesetting" w:cs="Arabic Typesetting" w:hint="cs"/>
          <w:b/>
          <w:noProof/>
          <w:sz w:val="34"/>
          <w:szCs w:val="34"/>
          <w:rtl/>
          <w:lang w:bidi="ar-EG"/>
        </w:rPr>
        <w:t>طرح مناقصة للاستعانة بمهندس كهربائي ومنح العقد؛</w:t>
      </w:r>
    </w:p>
    <w:p w14:paraId="125F0F55" w14:textId="77777777" w:rsidR="00BD3831" w:rsidRDefault="00BD3831" w:rsidP="0031289D">
      <w:pPr>
        <w:numPr>
          <w:ilvl w:val="0"/>
          <w:numId w:val="50"/>
        </w:numPr>
        <w:bidi/>
        <w:spacing w:after="240" w:line="340" w:lineRule="exact"/>
        <w:ind w:left="1134" w:hanging="567"/>
        <w:rPr>
          <w:rFonts w:ascii="Arabic Typesetting" w:hAnsi="Arabic Typesetting" w:cs="Arabic Typesetting"/>
          <w:b/>
          <w:noProof/>
          <w:sz w:val="34"/>
          <w:szCs w:val="34"/>
          <w:lang w:bidi="ar-EG"/>
        </w:rPr>
      </w:pPr>
      <w:r>
        <w:rPr>
          <w:rFonts w:ascii="Arabic Typesetting" w:hAnsi="Arabic Typesetting" w:cs="Arabic Typesetting" w:hint="cs"/>
          <w:b/>
          <w:noProof/>
          <w:sz w:val="34"/>
          <w:szCs w:val="34"/>
          <w:rtl/>
          <w:lang w:bidi="ar-EG"/>
        </w:rPr>
        <w:t>طرح مناقصة لأعمال التفكيك والتحضير، ومنح العقود؛</w:t>
      </w:r>
    </w:p>
    <w:p w14:paraId="63DBDA70" w14:textId="77777777" w:rsidR="00BD3831" w:rsidRDefault="00BD3831" w:rsidP="0031289D">
      <w:pPr>
        <w:numPr>
          <w:ilvl w:val="0"/>
          <w:numId w:val="50"/>
        </w:numPr>
        <w:bidi/>
        <w:spacing w:after="240" w:line="340" w:lineRule="exact"/>
        <w:ind w:left="1134" w:hanging="567"/>
        <w:rPr>
          <w:rFonts w:ascii="Arabic Typesetting" w:hAnsi="Arabic Typesetting" w:cs="Arabic Typesetting"/>
          <w:b/>
          <w:noProof/>
          <w:sz w:val="34"/>
          <w:szCs w:val="34"/>
          <w:lang w:bidi="ar-EG"/>
        </w:rPr>
      </w:pPr>
      <w:r>
        <w:rPr>
          <w:rFonts w:ascii="Arabic Typesetting" w:hAnsi="Arabic Typesetting" w:cs="Arabic Typesetting" w:hint="cs"/>
          <w:b/>
          <w:noProof/>
          <w:sz w:val="34"/>
          <w:szCs w:val="34"/>
          <w:rtl/>
          <w:lang w:bidi="ar-EG"/>
        </w:rPr>
        <w:t>تنفيذ أعمال التفكيك والشروع في الأعمال التحضيرية الخاصة بمركز البيانات السابق المزمع دمجه في المطبعة المجدَّدة وتحويل الجزء المتبقي من مركز البيانات السابق إلى قاعة حواسيب صغيرة؛</w:t>
      </w:r>
    </w:p>
    <w:p w14:paraId="0457DB20" w14:textId="77777777" w:rsidR="00BD3831" w:rsidRDefault="00BD3831" w:rsidP="0031289D">
      <w:pPr>
        <w:numPr>
          <w:ilvl w:val="0"/>
          <w:numId w:val="50"/>
        </w:numPr>
        <w:bidi/>
        <w:spacing w:after="240" w:line="340" w:lineRule="exact"/>
        <w:ind w:left="1134" w:hanging="567"/>
        <w:rPr>
          <w:rFonts w:ascii="Arabic Typesetting" w:hAnsi="Arabic Typesetting" w:cs="Arabic Typesetting"/>
          <w:b/>
          <w:noProof/>
          <w:sz w:val="34"/>
          <w:szCs w:val="34"/>
          <w:lang w:bidi="ar-EG"/>
        </w:rPr>
      </w:pPr>
      <w:r>
        <w:rPr>
          <w:rFonts w:ascii="Arabic Typesetting" w:hAnsi="Arabic Typesetting" w:cs="Arabic Typesetting" w:hint="cs"/>
          <w:b/>
          <w:noProof/>
          <w:sz w:val="34"/>
          <w:szCs w:val="34"/>
          <w:rtl/>
          <w:lang w:bidi="ar-EG"/>
        </w:rPr>
        <w:t>طرح مناقصة لأعمال البنية التحتية المقبلة، ومنح العقود.</w:t>
      </w:r>
    </w:p>
    <w:p w14:paraId="397E0556" w14:textId="19653E26" w:rsidR="00BD3831" w:rsidRPr="007E54C6" w:rsidRDefault="00BD3831" w:rsidP="0031289D">
      <w:pPr>
        <w:numPr>
          <w:ilvl w:val="0"/>
          <w:numId w:val="53"/>
        </w:numPr>
        <w:tabs>
          <w:tab w:val="clear" w:pos="567"/>
        </w:tabs>
        <w:bidi/>
        <w:spacing w:after="24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وفي نهاية عام 2016، قررت المنظمة دمج المطبعتين القائمتين الواقعتين في مبنيين </w:t>
      </w:r>
      <w:r w:rsidR="00D02C02">
        <w:rPr>
          <w:rFonts w:ascii="Arabic Typesetting" w:hAnsi="Arabic Typesetting" w:cs="Arabic Typesetting" w:hint="cs"/>
          <w:sz w:val="34"/>
          <w:szCs w:val="34"/>
          <w:rtl/>
        </w:rPr>
        <w:t>مختلفين</w:t>
      </w:r>
      <w:r>
        <w:rPr>
          <w:rFonts w:ascii="Arabic Typesetting" w:hAnsi="Arabic Typesetting" w:cs="Arabic Typesetting" w:hint="cs"/>
          <w:sz w:val="34"/>
          <w:szCs w:val="34"/>
          <w:rtl/>
        </w:rPr>
        <w:t xml:space="preserve"> من مجمع الويبو في مطبعة واحدة في مبنى أرباد بوكش من أجل توفير أمكان عمل إضافية وتحسين تخصيص المساحات. وتطلب ذلك تغيير حجم بعض الخصائص التقنية تعلقت في المقام الأول بالمرافق التقنية المحسَّنة للتدفئة </w:t>
      </w:r>
      <w:r w:rsidRPr="007E54C6">
        <w:rPr>
          <w:rFonts w:ascii="Arabic Typesetting" w:hAnsi="Arabic Typesetting" w:cs="Arabic Typesetting"/>
          <w:sz w:val="34"/>
          <w:szCs w:val="34"/>
          <w:rtl/>
        </w:rPr>
        <w:t>والتهوية وتكييف الهواء</w:t>
      </w:r>
      <w:r>
        <w:rPr>
          <w:rFonts w:ascii="Arabic Typesetting" w:hAnsi="Arabic Typesetting" w:cs="Arabic Typesetting" w:hint="cs"/>
          <w:sz w:val="34"/>
          <w:szCs w:val="34"/>
          <w:rtl/>
        </w:rPr>
        <w:t xml:space="preserve"> ومتطلبات التجهيزات الكهربائية الإضافية. فتعيَّن تغيير شروط المناقصات المعنية من أجل الإشارة إلى قرار تغيير تنفيذ المشروع الأصلي المعتمد. ومن ثم، عدِّل الجدول الزمني</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للمشروع.</w:t>
      </w:r>
    </w:p>
    <w:p w14:paraId="329F7C40" w14:textId="77777777" w:rsidR="00BD3831" w:rsidRDefault="00BD3831" w:rsidP="0031289D">
      <w:pPr>
        <w:keepNext/>
        <w:bidi/>
        <w:spacing w:after="120"/>
        <w:rPr>
          <w:rFonts w:ascii="Arabic Typesetting" w:hAnsi="Arabic Typesetting" w:cs="Arabic Typesetting"/>
          <w:b/>
          <w:sz w:val="34"/>
          <w:szCs w:val="34"/>
          <w:rtl/>
          <w:lang w:bidi="ar-EG"/>
        </w:rPr>
      </w:pPr>
      <w:r w:rsidRPr="00E551B2">
        <w:rPr>
          <w:rFonts w:ascii="Arabic Typesetting" w:hAnsi="Arabic Typesetting" w:cs="Arabic Typesetting"/>
          <w:b/>
          <w:sz w:val="34"/>
          <w:szCs w:val="34"/>
          <w:rtl/>
          <w:lang w:bidi="ar-EG"/>
        </w:rPr>
        <w:lastRenderedPageBreak/>
        <w:t>تحقيق المنافع</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BD3831" w:rsidRPr="00E551B2" w14:paraId="42598706" w14:textId="77777777" w:rsidTr="00DF6715">
        <w:trPr>
          <w:cantSplit/>
          <w:trHeight w:val="314"/>
          <w:tblHeader/>
        </w:trPr>
        <w:tc>
          <w:tcPr>
            <w:tcW w:w="1667" w:type="pct"/>
            <w:shd w:val="clear" w:color="auto" w:fill="C6D9F1"/>
            <w:tcMar>
              <w:top w:w="113" w:type="dxa"/>
              <w:bottom w:w="113" w:type="dxa"/>
            </w:tcMar>
            <w:vAlign w:val="center"/>
          </w:tcPr>
          <w:p w14:paraId="2B6E6C15" w14:textId="77777777" w:rsidR="00BD3831" w:rsidRPr="00E551B2" w:rsidRDefault="00BD3831" w:rsidP="0031289D">
            <w:pPr>
              <w:keepNext/>
              <w:bidi/>
              <w:spacing w:line="30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 xml:space="preserve">المنافع المحققة </w:t>
            </w:r>
            <w:r>
              <w:rPr>
                <w:rFonts w:ascii="Arabic Typesetting" w:hAnsi="Arabic Typesetting" w:cs="Arabic Typesetting" w:hint="cs"/>
                <w:bCs/>
                <w:sz w:val="28"/>
                <w:szCs w:val="28"/>
                <w:rtl/>
                <w:lang w:bidi="ar-EG"/>
              </w:rPr>
              <w:t>2016</w:t>
            </w:r>
          </w:p>
        </w:tc>
        <w:tc>
          <w:tcPr>
            <w:tcW w:w="1667" w:type="pct"/>
            <w:shd w:val="clear" w:color="auto" w:fill="C6D9F1"/>
            <w:vAlign w:val="center"/>
          </w:tcPr>
          <w:p w14:paraId="46352A62" w14:textId="77777777" w:rsidR="00BD3831" w:rsidRPr="00E551B2" w:rsidRDefault="00BD3831" w:rsidP="0031289D">
            <w:pPr>
              <w:keepNext/>
              <w:bidi/>
              <w:spacing w:line="30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color w:val="000000"/>
                <w:sz w:val="28"/>
                <w:szCs w:val="28"/>
                <w:rtl/>
                <w:lang w:bidi="ar-EG"/>
              </w:rPr>
              <w:t xml:space="preserve">المنافع </w:t>
            </w:r>
            <w:r>
              <w:rPr>
                <w:rFonts w:ascii="Arabic Typesetting" w:hAnsi="Arabic Typesetting" w:cs="Arabic Typesetting" w:hint="cs"/>
                <w:bCs/>
                <w:color w:val="000000"/>
                <w:sz w:val="28"/>
                <w:szCs w:val="28"/>
                <w:rtl/>
                <w:lang w:bidi="ar-EG"/>
              </w:rPr>
              <w:t>المتوقعة</w:t>
            </w:r>
            <w:r w:rsidRPr="00E551B2">
              <w:rPr>
                <w:rFonts w:ascii="Arabic Typesetting" w:hAnsi="Arabic Typesetting" w:cs="Arabic Typesetting"/>
                <w:bCs/>
                <w:color w:val="000000"/>
                <w:sz w:val="28"/>
                <w:szCs w:val="28"/>
                <w:rtl/>
                <w:lang w:bidi="ar-EG"/>
              </w:rPr>
              <w:t xml:space="preserve"> </w:t>
            </w:r>
            <w:r>
              <w:rPr>
                <w:rFonts w:ascii="Arabic Typesetting" w:hAnsi="Arabic Typesetting" w:cs="Arabic Typesetting" w:hint="cs"/>
                <w:bCs/>
                <w:color w:val="000000"/>
                <w:sz w:val="28"/>
                <w:szCs w:val="28"/>
                <w:rtl/>
                <w:lang w:bidi="ar-EG"/>
              </w:rPr>
              <w:t>2017</w:t>
            </w:r>
          </w:p>
        </w:tc>
        <w:tc>
          <w:tcPr>
            <w:tcW w:w="1666" w:type="pct"/>
            <w:shd w:val="clear" w:color="auto" w:fill="C6D9F1"/>
            <w:vAlign w:val="center"/>
          </w:tcPr>
          <w:p w14:paraId="00A7D9C2" w14:textId="77777777" w:rsidR="00BD3831" w:rsidRPr="00E551B2" w:rsidRDefault="00BD3831" w:rsidP="0031289D">
            <w:pPr>
              <w:keepNext/>
              <w:bidi/>
              <w:spacing w:line="30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color w:val="000000"/>
                <w:sz w:val="28"/>
                <w:szCs w:val="28"/>
                <w:rtl/>
                <w:lang w:bidi="ar-EG"/>
              </w:rPr>
              <w:t xml:space="preserve">المنافع المتوقعة </w:t>
            </w:r>
            <w:r>
              <w:rPr>
                <w:rFonts w:ascii="Arabic Typesetting" w:hAnsi="Arabic Typesetting" w:cs="Arabic Typesetting" w:hint="cs"/>
                <w:bCs/>
                <w:color w:val="000000"/>
                <w:sz w:val="28"/>
                <w:szCs w:val="28"/>
                <w:rtl/>
                <w:lang w:bidi="ar-EG"/>
              </w:rPr>
              <w:t>2018</w:t>
            </w:r>
          </w:p>
        </w:tc>
      </w:tr>
      <w:tr w:rsidR="00BD3831" w:rsidRPr="00E551B2" w14:paraId="16497D06" w14:textId="77777777" w:rsidTr="00DF6715">
        <w:trPr>
          <w:cantSplit/>
          <w:trHeight w:val="564"/>
        </w:trPr>
        <w:tc>
          <w:tcPr>
            <w:tcW w:w="1667" w:type="pct"/>
            <w:tcMar>
              <w:top w:w="113" w:type="dxa"/>
              <w:bottom w:w="113" w:type="dxa"/>
            </w:tcMar>
          </w:tcPr>
          <w:p w14:paraId="7F9DB6B6" w14:textId="77777777" w:rsidR="00BD3831" w:rsidRPr="00E551B2" w:rsidRDefault="00BD3831" w:rsidP="00F9431D">
            <w:pPr>
              <w:keepNext/>
              <w:bidi/>
              <w:spacing w:line="300" w:lineRule="exact"/>
              <w:rPr>
                <w:rFonts w:ascii="Arabic Typesetting" w:hAnsi="Arabic Typesetting" w:cs="Arabic Typesetting"/>
                <w:b/>
                <w:sz w:val="28"/>
                <w:szCs w:val="28"/>
                <w:rtl/>
                <w:lang w:bidi="ar-EG"/>
              </w:rPr>
            </w:pPr>
            <w:r>
              <w:rPr>
                <w:rFonts w:ascii="Arabic Typesetting" w:hAnsi="Arabic Typesetting" w:cs="Arabic Typesetting" w:hint="cs"/>
                <w:b/>
                <w:sz w:val="28"/>
                <w:szCs w:val="28"/>
                <w:rtl/>
                <w:lang w:bidi="ar-EG"/>
              </w:rPr>
              <w:t>قاعة حواسيب ملائمة للغرض من حيث المساحة والتبريد والتجهيزات التقنية الأخرى.</w:t>
            </w:r>
          </w:p>
        </w:tc>
        <w:tc>
          <w:tcPr>
            <w:tcW w:w="1667" w:type="pct"/>
            <w:vAlign w:val="center"/>
          </w:tcPr>
          <w:p w14:paraId="60775EFF" w14:textId="77777777" w:rsidR="00BD3831" w:rsidRPr="00E551B2" w:rsidRDefault="00BD3831" w:rsidP="00F9431D">
            <w:pPr>
              <w:keepNext/>
              <w:bidi/>
              <w:spacing w:line="280" w:lineRule="exact"/>
              <w:rPr>
                <w:rFonts w:ascii="Arabic Typesetting" w:hAnsi="Arabic Typesetting" w:cs="Arabic Typesetting"/>
                <w:b/>
                <w:i/>
                <w:sz w:val="28"/>
                <w:szCs w:val="28"/>
                <w:rtl/>
                <w:lang w:bidi="ar-EG"/>
              </w:rPr>
            </w:pPr>
            <w:r w:rsidRPr="00E551B2">
              <w:rPr>
                <w:rFonts w:ascii="Arabic Typesetting" w:hAnsi="Arabic Typesetting" w:cs="Arabic Typesetting"/>
                <w:b/>
                <w:i/>
                <w:color w:val="000000"/>
                <w:sz w:val="28"/>
                <w:szCs w:val="28"/>
                <w:rtl/>
                <w:lang w:bidi="ar-EG"/>
              </w:rPr>
              <w:t>تحس</w:t>
            </w:r>
            <w:r>
              <w:rPr>
                <w:rFonts w:ascii="Arabic Typesetting" w:hAnsi="Arabic Typesetting" w:cs="Arabic Typesetting"/>
                <w:b/>
                <w:i/>
                <w:color w:val="000000"/>
                <w:sz w:val="28"/>
                <w:szCs w:val="28"/>
                <w:rtl/>
                <w:lang w:bidi="ar-EG"/>
              </w:rPr>
              <w:t xml:space="preserve">ين تخصيص المساحات حسب </w:t>
            </w:r>
            <w:r>
              <w:rPr>
                <w:rFonts w:ascii="Arabic Typesetting" w:hAnsi="Arabic Typesetting" w:cs="Arabic Typesetting" w:hint="cs"/>
                <w:b/>
                <w:i/>
                <w:color w:val="000000"/>
                <w:sz w:val="28"/>
                <w:szCs w:val="28"/>
                <w:rtl/>
                <w:lang w:bidi="ar-EG"/>
              </w:rPr>
              <w:t>استخدام إحدى الوحدتين المعنيتين (المطبعة أو وحدة الوثائق)</w:t>
            </w:r>
          </w:p>
        </w:tc>
        <w:tc>
          <w:tcPr>
            <w:tcW w:w="1666" w:type="pct"/>
          </w:tcPr>
          <w:p w14:paraId="5E8458A4" w14:textId="77777777" w:rsidR="00BD3831" w:rsidRPr="00E551B2" w:rsidRDefault="00BD3831" w:rsidP="00F9431D">
            <w:pPr>
              <w:keepNext/>
              <w:bidi/>
              <w:spacing w:line="300" w:lineRule="exact"/>
              <w:rPr>
                <w:rFonts w:ascii="Arabic Typesetting" w:hAnsi="Arabic Typesetting" w:cs="Arabic Typesetting"/>
                <w:b/>
                <w:sz w:val="28"/>
                <w:szCs w:val="28"/>
              </w:rPr>
            </w:pPr>
            <w:r w:rsidRPr="00E551B2">
              <w:rPr>
                <w:rFonts w:ascii="Arabic Typesetting" w:hAnsi="Arabic Typesetting" w:cs="Arabic Typesetting"/>
                <w:b/>
                <w:i/>
                <w:color w:val="000000"/>
                <w:sz w:val="28"/>
                <w:szCs w:val="28"/>
                <w:rtl/>
                <w:lang w:bidi="ar-EG"/>
              </w:rPr>
              <w:t>تحس</w:t>
            </w:r>
            <w:r>
              <w:rPr>
                <w:rFonts w:ascii="Arabic Typesetting" w:hAnsi="Arabic Typesetting" w:cs="Arabic Typesetting"/>
                <w:b/>
                <w:i/>
                <w:color w:val="000000"/>
                <w:sz w:val="28"/>
                <w:szCs w:val="28"/>
                <w:rtl/>
                <w:lang w:bidi="ar-EG"/>
              </w:rPr>
              <w:t xml:space="preserve">ين تخصيص المساحات حسب </w:t>
            </w:r>
            <w:r>
              <w:rPr>
                <w:rFonts w:ascii="Arabic Typesetting" w:hAnsi="Arabic Typesetting" w:cs="Arabic Typesetting" w:hint="cs"/>
                <w:b/>
                <w:i/>
                <w:color w:val="000000"/>
                <w:sz w:val="28"/>
                <w:szCs w:val="28"/>
                <w:rtl/>
                <w:lang w:bidi="ar-EG"/>
              </w:rPr>
              <w:t>استخدام الوحدة الثانية المعنية</w:t>
            </w:r>
          </w:p>
        </w:tc>
      </w:tr>
      <w:tr w:rsidR="00BD3831" w:rsidRPr="00E551B2" w14:paraId="6CD7295C" w14:textId="77777777" w:rsidTr="00DF6715">
        <w:trPr>
          <w:cantSplit/>
          <w:trHeight w:val="516"/>
        </w:trPr>
        <w:tc>
          <w:tcPr>
            <w:tcW w:w="1667" w:type="pct"/>
            <w:tcMar>
              <w:top w:w="113" w:type="dxa"/>
              <w:bottom w:w="113" w:type="dxa"/>
            </w:tcMar>
          </w:tcPr>
          <w:p w14:paraId="1C4E02CF" w14:textId="77777777" w:rsidR="00BD3831" w:rsidRPr="00E551B2" w:rsidRDefault="00BD3831" w:rsidP="0031289D">
            <w:pPr>
              <w:bidi/>
              <w:spacing w:line="300" w:lineRule="exact"/>
              <w:rPr>
                <w:rFonts w:ascii="Arabic Typesetting" w:hAnsi="Arabic Typesetting" w:cs="Arabic Typesetting"/>
                <w:b/>
                <w:sz w:val="28"/>
                <w:szCs w:val="28"/>
              </w:rPr>
            </w:pPr>
          </w:p>
        </w:tc>
        <w:tc>
          <w:tcPr>
            <w:tcW w:w="1667" w:type="pct"/>
            <w:vAlign w:val="center"/>
          </w:tcPr>
          <w:p w14:paraId="77CE7871" w14:textId="77777777" w:rsidR="00BD3831" w:rsidRPr="00E551B2" w:rsidRDefault="00BD3831" w:rsidP="0031289D">
            <w:pPr>
              <w:bidi/>
              <w:spacing w:line="280" w:lineRule="exact"/>
              <w:rPr>
                <w:rFonts w:ascii="Arabic Typesetting" w:hAnsi="Arabic Typesetting" w:cs="Arabic Typesetting"/>
                <w:b/>
                <w:i/>
                <w:sz w:val="28"/>
                <w:szCs w:val="28"/>
                <w:rtl/>
                <w:lang w:bidi="ar-EG"/>
              </w:rPr>
            </w:pPr>
            <w:r w:rsidRPr="00E551B2">
              <w:rPr>
                <w:rFonts w:ascii="Arabic Typesetting" w:hAnsi="Arabic Typesetting" w:cs="Arabic Typesetting"/>
                <w:b/>
                <w:i/>
                <w:color w:val="000000"/>
                <w:sz w:val="28"/>
                <w:szCs w:val="28"/>
                <w:rtl/>
                <w:lang w:bidi="ar-EG"/>
              </w:rPr>
              <w:t>تقليل جزئي لاستهلاك الطاقة في المنطقة التي تستفيد من أعمال مبنى أرباد بوكش</w:t>
            </w:r>
          </w:p>
        </w:tc>
        <w:tc>
          <w:tcPr>
            <w:tcW w:w="1666" w:type="pct"/>
          </w:tcPr>
          <w:p w14:paraId="46EF7E90" w14:textId="77777777" w:rsidR="00BD3831" w:rsidRPr="00E551B2" w:rsidRDefault="00BD3831" w:rsidP="0031289D">
            <w:pPr>
              <w:bidi/>
              <w:spacing w:line="300" w:lineRule="exact"/>
              <w:rPr>
                <w:rFonts w:ascii="Arabic Typesetting" w:hAnsi="Arabic Typesetting" w:cs="Arabic Typesetting"/>
                <w:b/>
                <w:sz w:val="28"/>
                <w:szCs w:val="28"/>
                <w:rtl/>
                <w:lang w:bidi="ar-EG"/>
              </w:rPr>
            </w:pPr>
          </w:p>
        </w:tc>
      </w:tr>
      <w:tr w:rsidR="00BD3831" w:rsidRPr="00E551B2" w14:paraId="7475422E" w14:textId="77777777" w:rsidTr="00DF6715">
        <w:trPr>
          <w:cantSplit/>
          <w:trHeight w:val="414"/>
        </w:trPr>
        <w:tc>
          <w:tcPr>
            <w:tcW w:w="1667" w:type="pct"/>
            <w:tcMar>
              <w:top w:w="113" w:type="dxa"/>
              <w:bottom w:w="113" w:type="dxa"/>
            </w:tcMar>
          </w:tcPr>
          <w:p w14:paraId="155AA077" w14:textId="77777777" w:rsidR="00BD3831" w:rsidRPr="00E551B2" w:rsidRDefault="00BD3831" w:rsidP="0031289D">
            <w:pPr>
              <w:bidi/>
              <w:spacing w:line="300" w:lineRule="exact"/>
              <w:rPr>
                <w:rFonts w:ascii="Arabic Typesetting" w:hAnsi="Arabic Typesetting" w:cs="Arabic Typesetting"/>
                <w:b/>
                <w:sz w:val="28"/>
                <w:szCs w:val="28"/>
                <w:u w:val="single"/>
              </w:rPr>
            </w:pPr>
          </w:p>
        </w:tc>
        <w:tc>
          <w:tcPr>
            <w:tcW w:w="1667" w:type="pct"/>
            <w:vAlign w:val="center"/>
          </w:tcPr>
          <w:p w14:paraId="50CABA63" w14:textId="77777777" w:rsidR="00BD3831" w:rsidRPr="00E551B2" w:rsidRDefault="00BD3831" w:rsidP="0031289D">
            <w:pPr>
              <w:bidi/>
              <w:spacing w:line="280" w:lineRule="exact"/>
              <w:rPr>
                <w:rFonts w:ascii="Arabic Typesetting" w:hAnsi="Arabic Typesetting" w:cs="Arabic Typesetting"/>
                <w:b/>
                <w:i/>
                <w:sz w:val="28"/>
                <w:szCs w:val="28"/>
                <w:rtl/>
                <w:lang w:bidi="ar-EG"/>
              </w:rPr>
            </w:pPr>
            <w:r w:rsidRPr="00E551B2">
              <w:rPr>
                <w:rFonts w:ascii="Arabic Typesetting" w:hAnsi="Arabic Typesetting" w:cs="Arabic Typesetting"/>
                <w:b/>
                <w:i/>
                <w:color w:val="000000"/>
                <w:sz w:val="28"/>
                <w:szCs w:val="28"/>
                <w:rtl/>
                <w:lang w:bidi="ar-EG"/>
              </w:rPr>
              <w:t>تحسين أماكن العمل الخاصة بالمطبعة وموظفي الوثائق</w:t>
            </w:r>
            <w:r>
              <w:rPr>
                <w:rFonts w:ascii="Arabic Typesetting" w:hAnsi="Arabic Typesetting" w:cs="Arabic Typesetting" w:hint="cs"/>
                <w:b/>
                <w:i/>
                <w:color w:val="000000"/>
                <w:sz w:val="28"/>
                <w:szCs w:val="28"/>
                <w:rtl/>
                <w:lang w:bidi="ar-EG"/>
              </w:rPr>
              <w:t xml:space="preserve"> لإحدى الوحدتين المعنيتين (المطبعة أو</w:t>
            </w:r>
            <w:r>
              <w:rPr>
                <w:rFonts w:ascii="Arabic Typesetting" w:hAnsi="Arabic Typesetting" w:cs="Arabic Typesetting" w:hint="eastAsia"/>
                <w:b/>
                <w:i/>
                <w:color w:val="000000"/>
                <w:sz w:val="28"/>
                <w:szCs w:val="28"/>
                <w:rtl/>
                <w:lang w:bidi="ar-EG"/>
              </w:rPr>
              <w:t> </w:t>
            </w:r>
            <w:r>
              <w:rPr>
                <w:rFonts w:ascii="Arabic Typesetting" w:hAnsi="Arabic Typesetting" w:cs="Arabic Typesetting" w:hint="cs"/>
                <w:b/>
                <w:i/>
                <w:color w:val="000000"/>
                <w:sz w:val="28"/>
                <w:szCs w:val="28"/>
                <w:rtl/>
                <w:lang w:bidi="ar-EG"/>
              </w:rPr>
              <w:t>وحدة الوثائق)</w:t>
            </w:r>
          </w:p>
        </w:tc>
        <w:tc>
          <w:tcPr>
            <w:tcW w:w="1666" w:type="pct"/>
          </w:tcPr>
          <w:p w14:paraId="0C5D5AE9" w14:textId="77777777" w:rsidR="00BD3831" w:rsidRPr="00E551B2" w:rsidRDefault="00BD3831" w:rsidP="0031289D">
            <w:pPr>
              <w:bidi/>
              <w:spacing w:line="300" w:lineRule="exact"/>
              <w:rPr>
                <w:rFonts w:ascii="Arabic Typesetting" w:hAnsi="Arabic Typesetting" w:cs="Arabic Typesetting"/>
                <w:b/>
                <w:sz w:val="28"/>
                <w:szCs w:val="28"/>
                <w:rtl/>
                <w:lang w:bidi="ar-EG"/>
              </w:rPr>
            </w:pPr>
            <w:r w:rsidRPr="00E551B2">
              <w:rPr>
                <w:rFonts w:ascii="Arabic Typesetting" w:hAnsi="Arabic Typesetting" w:cs="Arabic Typesetting"/>
                <w:b/>
                <w:i/>
                <w:color w:val="000000"/>
                <w:sz w:val="28"/>
                <w:szCs w:val="28"/>
                <w:rtl/>
                <w:lang w:bidi="ar-EG"/>
              </w:rPr>
              <w:t>تحس</w:t>
            </w:r>
            <w:r>
              <w:rPr>
                <w:rFonts w:ascii="Arabic Typesetting" w:hAnsi="Arabic Typesetting" w:cs="Arabic Typesetting"/>
                <w:b/>
                <w:i/>
                <w:color w:val="000000"/>
                <w:sz w:val="28"/>
                <w:szCs w:val="28"/>
                <w:rtl/>
                <w:lang w:bidi="ar-EG"/>
              </w:rPr>
              <w:t xml:space="preserve">ين </w:t>
            </w:r>
            <w:r>
              <w:rPr>
                <w:rFonts w:ascii="Arabic Typesetting" w:hAnsi="Arabic Typesetting" w:cs="Arabic Typesetting" w:hint="cs"/>
                <w:b/>
                <w:i/>
                <w:color w:val="000000"/>
                <w:sz w:val="28"/>
                <w:szCs w:val="28"/>
                <w:rtl/>
                <w:lang w:bidi="ar-EG"/>
              </w:rPr>
              <w:t>أماكن العمل الخاصة بالمطبعة وموظفي الوثائق في الوحدة الثانية المعنية</w:t>
            </w:r>
          </w:p>
        </w:tc>
      </w:tr>
    </w:tbl>
    <w:p w14:paraId="5178DEFD" w14:textId="77777777" w:rsidR="00BD3831" w:rsidRPr="00E551B2" w:rsidRDefault="00BD3831" w:rsidP="0031289D">
      <w:pPr>
        <w:bidi/>
        <w:spacing w:before="120"/>
        <w:rPr>
          <w:rFonts w:ascii="Arabic Typesetting" w:hAnsi="Arabic Typesetting" w:cs="Arabic Typesetting"/>
          <w:sz w:val="34"/>
          <w:szCs w:val="34"/>
          <w:lang w:bidi="ar-EG"/>
        </w:rPr>
      </w:pPr>
      <w:r w:rsidRPr="00E551B2">
        <w:rPr>
          <w:rFonts w:ascii="Arabic Typesetting" w:hAnsi="Arabic Typesetting" w:cs="Arabic Typesetting"/>
          <w:color w:val="000000"/>
          <w:sz w:val="34"/>
          <w:szCs w:val="34"/>
          <w:rtl/>
          <w:lang w:bidi="ar-EG"/>
        </w:rPr>
        <w:t>استخدام الموارد</w:t>
      </w:r>
      <w:r w:rsidRPr="00E551B2">
        <w:rPr>
          <w:rFonts w:ascii="Arabic Typesetting" w:hAnsi="Arabic Typesetting" w:cs="Arabic Typesetting"/>
          <w:color w:val="000000"/>
          <w:sz w:val="28"/>
          <w:szCs w:val="28"/>
          <w:vertAlign w:val="superscript"/>
          <w:rtl/>
          <w:lang w:bidi="ar-EG"/>
        </w:rPr>
        <w:footnoteReference w:id="121"/>
      </w:r>
    </w:p>
    <w:p w14:paraId="250F688D" w14:textId="77777777" w:rsidR="00BD3831" w:rsidRPr="00E551B2" w:rsidRDefault="00BD3831" w:rsidP="0031289D">
      <w:pPr>
        <w:keepNext/>
        <w:keepLines/>
        <w:autoSpaceDE w:val="0"/>
        <w:autoSpaceDN w:val="0"/>
        <w:bidi/>
        <w:adjustRightInd w:val="0"/>
        <w:spacing w:line="340" w:lineRule="exact"/>
        <w:jc w:val="center"/>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t>استخدام ميزانية المشروع</w:t>
      </w:r>
    </w:p>
    <w:p w14:paraId="5B2ABE7D" w14:textId="77777777" w:rsidR="00BD3831" w:rsidRPr="00E551B2" w:rsidRDefault="00BD3831" w:rsidP="0031289D">
      <w:pPr>
        <w:keepNext/>
        <w:keepLines/>
        <w:autoSpaceDE w:val="0"/>
        <w:autoSpaceDN w:val="0"/>
        <w:bidi/>
        <w:adjustRightInd w:val="0"/>
        <w:spacing w:after="120" w:line="340" w:lineRule="exact"/>
        <w:jc w:val="center"/>
        <w:rPr>
          <w:rFonts w:ascii="Arabic Typesetting" w:hAnsi="Arabic Typesetting" w:cs="Arabic Typesetting"/>
          <w:iCs/>
          <w:sz w:val="34"/>
          <w:szCs w:val="34"/>
          <w:rtl/>
          <w:lang w:bidi="ar-EG"/>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بالفرنك السويسري، في 31 ديسمبر 2016</w:t>
      </w:r>
      <w:r w:rsidRPr="00E551B2">
        <w:rPr>
          <w:rFonts w:ascii="Arabic Typesetting" w:hAnsi="Arabic Typesetting" w:cs="Arabic Typesetting"/>
          <w:iCs/>
          <w:sz w:val="34"/>
          <w:szCs w:val="34"/>
          <w:rtl/>
          <w:lang w:bidi="ar-EG"/>
        </w:rPr>
        <w:t>)</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627"/>
        <w:gridCol w:w="1629"/>
        <w:gridCol w:w="1629"/>
        <w:gridCol w:w="1627"/>
      </w:tblGrid>
      <w:tr w:rsidR="00BD3831" w:rsidRPr="00FA719C" w14:paraId="14DB4B64" w14:textId="77777777" w:rsidTr="00DF6715">
        <w:trPr>
          <w:trHeight w:val="410"/>
        </w:trPr>
        <w:tc>
          <w:tcPr>
            <w:tcW w:w="1598" w:type="pct"/>
            <w:shd w:val="clear" w:color="auto" w:fill="C6D9F1"/>
            <w:vAlign w:val="center"/>
          </w:tcPr>
          <w:p w14:paraId="11DAB660" w14:textId="77777777" w:rsidR="00BD3831" w:rsidRPr="00FA719C" w:rsidRDefault="00BD3831" w:rsidP="0031289D">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اسم المشروع</w:t>
            </w:r>
          </w:p>
        </w:tc>
        <w:tc>
          <w:tcPr>
            <w:tcW w:w="850" w:type="pct"/>
            <w:shd w:val="clear" w:color="auto" w:fill="C6D9F1"/>
            <w:vAlign w:val="center"/>
          </w:tcPr>
          <w:p w14:paraId="0E93491C" w14:textId="77777777" w:rsidR="00BD3831" w:rsidRPr="00FA719C" w:rsidRDefault="00BD3831" w:rsidP="0031289D">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14:paraId="43686E8B" w14:textId="77777777" w:rsidR="00BD3831" w:rsidRPr="00FA719C"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14:paraId="1865AD41" w14:textId="77777777" w:rsidR="00BD3831" w:rsidRPr="00FA719C" w:rsidRDefault="00BD3831" w:rsidP="0031289D">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14:paraId="0FB45987" w14:textId="77777777" w:rsidR="00BD3831" w:rsidRPr="00FA719C" w:rsidRDefault="00BD3831" w:rsidP="0031289D">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معدل التقدم المحرز في تنفيذ المشروع</w:t>
            </w:r>
          </w:p>
        </w:tc>
      </w:tr>
      <w:tr w:rsidR="00BD3831" w:rsidRPr="00FA719C" w14:paraId="67B48073" w14:textId="77777777" w:rsidTr="00DF6715">
        <w:trPr>
          <w:trHeight w:val="389"/>
        </w:trPr>
        <w:tc>
          <w:tcPr>
            <w:tcW w:w="1598" w:type="pct"/>
            <w:vAlign w:val="center"/>
          </w:tcPr>
          <w:p w14:paraId="3BE7E969"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مبنى أرباد بوكش - المرحلة الأولى من تجديد القبو (تغيير حجم مركز البيانات وتجديد المطبعة)</w:t>
            </w:r>
          </w:p>
        </w:tc>
        <w:tc>
          <w:tcPr>
            <w:tcW w:w="850" w:type="pct"/>
            <w:vAlign w:val="center"/>
          </w:tcPr>
          <w:p w14:paraId="4AF22FD2"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highlight w:val="yellow"/>
              </w:rPr>
            </w:pPr>
            <w:r w:rsidRPr="00FA719C">
              <w:rPr>
                <w:rFonts w:ascii="Arabic Typesetting" w:hAnsi="Arabic Typesetting" w:cs="Arabic Typesetting"/>
                <w:noProof/>
                <w:sz w:val="28"/>
                <w:szCs w:val="28"/>
              </w:rPr>
              <w:t>960</w:t>
            </w:r>
            <w:r>
              <w:rPr>
                <w:rFonts w:ascii="Arabic Typesetting" w:hAnsi="Arabic Typesetting" w:cs="Arabic Typesetting"/>
                <w:noProof/>
                <w:sz w:val="28"/>
                <w:szCs w:val="28"/>
              </w:rPr>
              <w:t> </w:t>
            </w:r>
            <w:r w:rsidRPr="00FA719C">
              <w:rPr>
                <w:rFonts w:ascii="Arabic Typesetting" w:hAnsi="Arabic Typesetting" w:cs="Arabic Typesetting"/>
                <w:noProof/>
                <w:sz w:val="28"/>
                <w:szCs w:val="28"/>
              </w:rPr>
              <w:t>000</w:t>
            </w:r>
          </w:p>
        </w:tc>
        <w:tc>
          <w:tcPr>
            <w:tcW w:w="851" w:type="pct"/>
            <w:vAlign w:val="center"/>
          </w:tcPr>
          <w:p w14:paraId="48215A7D"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highlight w:val="yellow"/>
              </w:rPr>
            </w:pPr>
            <w:r w:rsidRPr="00FA719C">
              <w:rPr>
                <w:rFonts w:ascii="Arabic Typesetting" w:hAnsi="Arabic Typesetting" w:cs="Arabic Typesetting"/>
                <w:noProof/>
                <w:sz w:val="28"/>
                <w:szCs w:val="28"/>
              </w:rPr>
              <w:t>245</w:t>
            </w:r>
            <w:r>
              <w:rPr>
                <w:rFonts w:ascii="Arabic Typesetting" w:hAnsi="Arabic Typesetting" w:cs="Arabic Typesetting"/>
                <w:noProof/>
                <w:sz w:val="28"/>
                <w:szCs w:val="28"/>
              </w:rPr>
              <w:t> </w:t>
            </w:r>
            <w:r w:rsidRPr="00FA719C">
              <w:rPr>
                <w:rFonts w:ascii="Arabic Typesetting" w:hAnsi="Arabic Typesetting" w:cs="Arabic Typesetting"/>
                <w:noProof/>
                <w:sz w:val="28"/>
                <w:szCs w:val="28"/>
              </w:rPr>
              <w:t>222</w:t>
            </w:r>
          </w:p>
        </w:tc>
        <w:tc>
          <w:tcPr>
            <w:tcW w:w="851" w:type="pct"/>
            <w:vAlign w:val="center"/>
          </w:tcPr>
          <w:p w14:paraId="42994706"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%25.5</w:t>
            </w:r>
          </w:p>
        </w:tc>
        <w:tc>
          <w:tcPr>
            <w:tcW w:w="850" w:type="pct"/>
            <w:vAlign w:val="center"/>
          </w:tcPr>
          <w:p w14:paraId="0D469450"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%25</w:t>
            </w:r>
          </w:p>
        </w:tc>
      </w:tr>
    </w:tbl>
    <w:p w14:paraId="12B0AF3F" w14:textId="77777777" w:rsidR="00BD3831" w:rsidRPr="00E551B2" w:rsidRDefault="00BD3831" w:rsidP="0031289D">
      <w:pPr>
        <w:keepNext/>
        <w:keepLines/>
        <w:autoSpaceDE w:val="0"/>
        <w:autoSpaceDN w:val="0"/>
        <w:bidi/>
        <w:adjustRightInd w:val="0"/>
        <w:spacing w:before="120" w:line="340" w:lineRule="exact"/>
        <w:jc w:val="center"/>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t>استخدام ميزانية المشروع (حسب المعالم)</w:t>
      </w:r>
    </w:p>
    <w:p w14:paraId="1F3FB3D8" w14:textId="77777777" w:rsidR="00BD3831" w:rsidRPr="00E551B2" w:rsidRDefault="00BD3831" w:rsidP="0031289D">
      <w:pPr>
        <w:keepNext/>
        <w:keepLines/>
        <w:autoSpaceDE w:val="0"/>
        <w:autoSpaceDN w:val="0"/>
        <w:bidi/>
        <w:adjustRightInd w:val="0"/>
        <w:spacing w:after="120" w:line="340" w:lineRule="exact"/>
        <w:jc w:val="center"/>
        <w:rPr>
          <w:rFonts w:ascii="Arabic Typesetting" w:hAnsi="Arabic Typesetting" w:cs="Arabic Typesetting"/>
          <w:iCs/>
          <w:sz w:val="34"/>
          <w:szCs w:val="34"/>
          <w:lang w:bidi="ar-EG"/>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بالفرنك السويسري، في 31 ديسمبر 2016</w:t>
      </w:r>
      <w:r w:rsidRPr="00E551B2">
        <w:rPr>
          <w:rFonts w:ascii="Arabic Typesetting" w:hAnsi="Arabic Typesetting" w:cs="Arabic Typesetting"/>
          <w:iCs/>
          <w:sz w:val="34"/>
          <w:szCs w:val="34"/>
          <w:rtl/>
          <w:lang w:bidi="ar-EG"/>
        </w:rPr>
        <w:t>)</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1639"/>
        <w:gridCol w:w="1639"/>
        <w:gridCol w:w="1639"/>
        <w:gridCol w:w="1639"/>
      </w:tblGrid>
      <w:tr w:rsidR="00BD3831" w:rsidRPr="00FA719C" w14:paraId="44893911" w14:textId="77777777" w:rsidTr="00DF6715">
        <w:trPr>
          <w:trHeight w:val="410"/>
        </w:trPr>
        <w:tc>
          <w:tcPr>
            <w:tcW w:w="1575" w:type="pct"/>
            <w:shd w:val="clear" w:color="auto" w:fill="C6D9F1"/>
            <w:vAlign w:val="center"/>
          </w:tcPr>
          <w:p w14:paraId="69E32288" w14:textId="77777777" w:rsidR="00BD3831" w:rsidRPr="00FA719C" w:rsidRDefault="00BD3831" w:rsidP="0031289D">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14:paraId="49B0BD08" w14:textId="77777777" w:rsidR="00BD3831" w:rsidRPr="00FA719C" w:rsidRDefault="00BD3831" w:rsidP="0031289D">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14:paraId="1C50BEE4" w14:textId="77777777" w:rsidR="00BD3831" w:rsidRPr="00FA719C"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14:paraId="60B7E247" w14:textId="77777777" w:rsidR="00BD3831" w:rsidRPr="00FA719C" w:rsidRDefault="00BD3831" w:rsidP="0031289D">
            <w:pPr>
              <w:keepNext/>
              <w:keepLines/>
              <w:autoSpaceDE w:val="0"/>
              <w:autoSpaceDN w:val="0"/>
              <w:bidi/>
              <w:adjustRightInd w:val="0"/>
              <w:spacing w:before="40" w:after="40"/>
              <w:ind w:left="-109" w:right="-108"/>
              <w:jc w:val="center"/>
              <w:rPr>
                <w:rFonts w:ascii="Arabic Typesetting" w:hAnsi="Arabic Typesetting" w:cs="Arabic Typesetting"/>
                <w:sz w:val="28"/>
                <w:szCs w:val="28"/>
              </w:rPr>
            </w:pPr>
            <w:r w:rsidRPr="00FA719C">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14:paraId="0970B981" w14:textId="77777777" w:rsidR="00BD3831" w:rsidRPr="00FA719C" w:rsidRDefault="00BD3831" w:rsidP="0031289D">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معدل التقدم المحرز في تنفيذ المشروع حسب المعالم</w:t>
            </w:r>
          </w:p>
        </w:tc>
      </w:tr>
      <w:tr w:rsidR="00BD3831" w:rsidRPr="00FA719C" w14:paraId="29A4ECF0" w14:textId="77777777" w:rsidTr="00DF6715">
        <w:trPr>
          <w:trHeight w:val="389"/>
        </w:trPr>
        <w:tc>
          <w:tcPr>
            <w:tcW w:w="1575" w:type="pct"/>
            <w:vAlign w:val="center"/>
          </w:tcPr>
          <w:p w14:paraId="5F5F2BA6"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منح العقود للمهندس المعماري والمهندسين الفنيين</w:t>
            </w:r>
            <w:r w:rsidRPr="00FA719C">
              <w:rPr>
                <w:rFonts w:ascii="Arabic Typesetting" w:hAnsi="Arabic Typesetting" w:cs="Arabic Typesetting"/>
                <w:noProof/>
                <w:color w:val="000000"/>
                <w:sz w:val="28"/>
                <w:szCs w:val="28"/>
              </w:rPr>
              <w:t xml:space="preserve"> </w:t>
            </w:r>
          </w:p>
        </w:tc>
        <w:tc>
          <w:tcPr>
            <w:tcW w:w="856" w:type="pct"/>
            <w:vAlign w:val="center"/>
          </w:tcPr>
          <w:p w14:paraId="611A5D6A"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144</w:t>
            </w:r>
            <w:r>
              <w:rPr>
                <w:rFonts w:ascii="Arabic Typesetting" w:hAnsi="Arabic Typesetting" w:cs="Arabic Typesetting"/>
                <w:noProof/>
                <w:sz w:val="28"/>
                <w:szCs w:val="28"/>
              </w:rPr>
              <w:t> </w:t>
            </w:r>
            <w:r w:rsidRPr="00FA719C">
              <w:rPr>
                <w:rFonts w:ascii="Arabic Typesetting" w:hAnsi="Arabic Typesetting" w:cs="Arabic Typesetting"/>
                <w:noProof/>
                <w:sz w:val="28"/>
                <w:szCs w:val="28"/>
              </w:rPr>
              <w:t>000</w:t>
            </w:r>
          </w:p>
        </w:tc>
        <w:tc>
          <w:tcPr>
            <w:tcW w:w="856" w:type="pct"/>
            <w:vAlign w:val="center"/>
          </w:tcPr>
          <w:p w14:paraId="4B7E8ABE"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62</w:t>
            </w:r>
            <w:r>
              <w:rPr>
                <w:rFonts w:ascii="Arabic Typesetting" w:hAnsi="Arabic Typesetting" w:cs="Arabic Typesetting"/>
                <w:noProof/>
                <w:sz w:val="28"/>
                <w:szCs w:val="28"/>
              </w:rPr>
              <w:t> </w:t>
            </w:r>
            <w:r w:rsidRPr="00FA719C">
              <w:rPr>
                <w:rFonts w:ascii="Arabic Typesetting" w:hAnsi="Arabic Typesetting" w:cs="Arabic Typesetting"/>
                <w:noProof/>
                <w:sz w:val="28"/>
                <w:szCs w:val="28"/>
              </w:rPr>
              <w:t>555</w:t>
            </w:r>
          </w:p>
        </w:tc>
        <w:tc>
          <w:tcPr>
            <w:tcW w:w="856" w:type="pct"/>
            <w:vAlign w:val="center"/>
          </w:tcPr>
          <w:p w14:paraId="509D6FB1"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%43.4</w:t>
            </w:r>
          </w:p>
        </w:tc>
        <w:tc>
          <w:tcPr>
            <w:tcW w:w="856" w:type="pct"/>
            <w:vAlign w:val="center"/>
          </w:tcPr>
          <w:p w14:paraId="42D2BCE1"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%100</w:t>
            </w:r>
          </w:p>
        </w:tc>
      </w:tr>
      <w:tr w:rsidR="00BD3831" w:rsidRPr="00FA719C" w14:paraId="4E76CB5D" w14:textId="77777777" w:rsidTr="00DF6715">
        <w:trPr>
          <w:trHeight w:val="389"/>
        </w:trPr>
        <w:tc>
          <w:tcPr>
            <w:tcW w:w="1575" w:type="pct"/>
            <w:vAlign w:val="center"/>
          </w:tcPr>
          <w:p w14:paraId="37228DED"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color w:val="000000"/>
                <w:sz w:val="28"/>
                <w:szCs w:val="28"/>
                <w:rtl/>
                <w:lang w:bidi="ar-EG"/>
              </w:rPr>
              <w:t>الأعمال والتكليف</w:t>
            </w:r>
          </w:p>
        </w:tc>
        <w:tc>
          <w:tcPr>
            <w:tcW w:w="856" w:type="pct"/>
            <w:vAlign w:val="center"/>
          </w:tcPr>
          <w:p w14:paraId="43AB95AA"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816</w:t>
            </w:r>
            <w:r>
              <w:rPr>
                <w:rFonts w:ascii="Arabic Typesetting" w:hAnsi="Arabic Typesetting" w:cs="Arabic Typesetting"/>
                <w:noProof/>
                <w:sz w:val="28"/>
                <w:szCs w:val="28"/>
              </w:rPr>
              <w:t> </w:t>
            </w:r>
            <w:r w:rsidRPr="00FA719C">
              <w:rPr>
                <w:rFonts w:ascii="Arabic Typesetting" w:hAnsi="Arabic Typesetting" w:cs="Arabic Typesetting"/>
                <w:noProof/>
                <w:sz w:val="28"/>
                <w:szCs w:val="28"/>
              </w:rPr>
              <w:t>000</w:t>
            </w:r>
          </w:p>
        </w:tc>
        <w:tc>
          <w:tcPr>
            <w:tcW w:w="856" w:type="pct"/>
            <w:vAlign w:val="center"/>
          </w:tcPr>
          <w:p w14:paraId="2899690F"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182</w:t>
            </w:r>
            <w:r>
              <w:rPr>
                <w:rFonts w:ascii="Arabic Typesetting" w:hAnsi="Arabic Typesetting" w:cs="Arabic Typesetting"/>
                <w:noProof/>
                <w:sz w:val="28"/>
                <w:szCs w:val="28"/>
              </w:rPr>
              <w:t> </w:t>
            </w:r>
            <w:r w:rsidRPr="00FA719C">
              <w:rPr>
                <w:rFonts w:ascii="Arabic Typesetting" w:hAnsi="Arabic Typesetting" w:cs="Arabic Typesetting"/>
                <w:noProof/>
                <w:sz w:val="28"/>
                <w:szCs w:val="28"/>
              </w:rPr>
              <w:t>668</w:t>
            </w:r>
          </w:p>
        </w:tc>
        <w:tc>
          <w:tcPr>
            <w:tcW w:w="856" w:type="pct"/>
            <w:vAlign w:val="center"/>
          </w:tcPr>
          <w:p w14:paraId="2060372C"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%22.4</w:t>
            </w:r>
          </w:p>
        </w:tc>
        <w:tc>
          <w:tcPr>
            <w:tcW w:w="856" w:type="pct"/>
            <w:vAlign w:val="center"/>
          </w:tcPr>
          <w:p w14:paraId="26315AD8"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%20</w:t>
            </w:r>
          </w:p>
        </w:tc>
      </w:tr>
      <w:tr w:rsidR="00BD3831" w:rsidRPr="00FA719C" w14:paraId="12611A2C" w14:textId="77777777" w:rsidTr="00DF6715">
        <w:trPr>
          <w:trHeight w:val="389"/>
        </w:trPr>
        <w:tc>
          <w:tcPr>
            <w:tcW w:w="1575" w:type="pct"/>
            <w:shd w:val="clear" w:color="auto" w:fill="C6D9F1"/>
            <w:vAlign w:val="center"/>
          </w:tcPr>
          <w:p w14:paraId="3E647FC8" w14:textId="77777777" w:rsidR="00BD3831" w:rsidRPr="00FA719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المجموع</w:t>
            </w:r>
          </w:p>
        </w:tc>
        <w:tc>
          <w:tcPr>
            <w:tcW w:w="856" w:type="pct"/>
            <w:shd w:val="clear" w:color="auto" w:fill="C6D9F1"/>
            <w:vAlign w:val="center"/>
          </w:tcPr>
          <w:p w14:paraId="3087030F"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b/>
                <w:noProof/>
                <w:sz w:val="28"/>
                <w:szCs w:val="28"/>
              </w:rPr>
            </w:pPr>
            <w:r w:rsidRPr="00FA719C">
              <w:rPr>
                <w:rFonts w:ascii="Arabic Typesetting" w:hAnsi="Arabic Typesetting" w:cs="Arabic Typesetting"/>
                <w:b/>
                <w:noProof/>
                <w:sz w:val="28"/>
                <w:szCs w:val="28"/>
              </w:rPr>
              <w:t>960</w:t>
            </w:r>
            <w:r>
              <w:rPr>
                <w:rFonts w:ascii="Arabic Typesetting" w:hAnsi="Arabic Typesetting" w:cs="Arabic Typesetting"/>
                <w:b/>
                <w:noProof/>
                <w:sz w:val="28"/>
                <w:szCs w:val="28"/>
              </w:rPr>
              <w:t> </w:t>
            </w:r>
            <w:r w:rsidRPr="00FA719C">
              <w:rPr>
                <w:rFonts w:ascii="Arabic Typesetting" w:hAnsi="Arabic Typesetting" w:cs="Arabic Typesetting"/>
                <w:b/>
                <w:noProof/>
                <w:sz w:val="28"/>
                <w:szCs w:val="28"/>
              </w:rPr>
              <w:t>000</w:t>
            </w:r>
          </w:p>
        </w:tc>
        <w:tc>
          <w:tcPr>
            <w:tcW w:w="856" w:type="pct"/>
            <w:shd w:val="clear" w:color="auto" w:fill="C6D9F1"/>
            <w:vAlign w:val="center"/>
          </w:tcPr>
          <w:p w14:paraId="468D2367"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b/>
                <w:noProof/>
                <w:sz w:val="28"/>
                <w:szCs w:val="28"/>
                <w:highlight w:val="yellow"/>
              </w:rPr>
            </w:pPr>
            <w:r w:rsidRPr="00FA719C">
              <w:rPr>
                <w:rFonts w:ascii="Arabic Typesetting" w:hAnsi="Arabic Typesetting" w:cs="Arabic Typesetting"/>
                <w:b/>
                <w:noProof/>
                <w:sz w:val="28"/>
                <w:szCs w:val="28"/>
              </w:rPr>
              <w:t>245</w:t>
            </w:r>
            <w:r>
              <w:rPr>
                <w:rFonts w:ascii="Arabic Typesetting" w:hAnsi="Arabic Typesetting" w:cs="Arabic Typesetting"/>
                <w:b/>
                <w:noProof/>
                <w:sz w:val="28"/>
                <w:szCs w:val="28"/>
              </w:rPr>
              <w:t> </w:t>
            </w:r>
            <w:r w:rsidRPr="00FA719C">
              <w:rPr>
                <w:rFonts w:ascii="Arabic Typesetting" w:hAnsi="Arabic Typesetting" w:cs="Arabic Typesetting"/>
                <w:b/>
                <w:noProof/>
                <w:sz w:val="28"/>
                <w:szCs w:val="28"/>
              </w:rPr>
              <w:t>222</w:t>
            </w:r>
          </w:p>
        </w:tc>
        <w:tc>
          <w:tcPr>
            <w:tcW w:w="856" w:type="pct"/>
            <w:shd w:val="clear" w:color="auto" w:fill="C6D9F1"/>
            <w:vAlign w:val="center"/>
          </w:tcPr>
          <w:p w14:paraId="2F93EECD"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b/>
                <w:noProof/>
                <w:sz w:val="28"/>
                <w:szCs w:val="28"/>
                <w:highlight w:val="yellow"/>
              </w:rPr>
            </w:pPr>
            <w:r w:rsidRPr="00FA719C">
              <w:rPr>
                <w:rFonts w:ascii="Arabic Typesetting" w:hAnsi="Arabic Typesetting" w:cs="Arabic Typesetting"/>
                <w:b/>
                <w:noProof/>
                <w:sz w:val="28"/>
                <w:szCs w:val="28"/>
              </w:rPr>
              <w:t>%25.5</w:t>
            </w:r>
          </w:p>
        </w:tc>
        <w:tc>
          <w:tcPr>
            <w:tcW w:w="856" w:type="pct"/>
            <w:shd w:val="clear" w:color="auto" w:fill="C6D9F1"/>
            <w:vAlign w:val="center"/>
          </w:tcPr>
          <w:p w14:paraId="593CF3C8" w14:textId="77777777" w:rsidR="00BD3831" w:rsidRPr="00FA719C" w:rsidRDefault="00BD3831" w:rsidP="0031289D">
            <w:pPr>
              <w:keepNext/>
              <w:keepLines/>
              <w:autoSpaceDE w:val="0"/>
              <w:autoSpaceDN w:val="0"/>
              <w:adjustRightInd w:val="0"/>
              <w:spacing w:before="40" w:after="40"/>
              <w:jc w:val="center"/>
              <w:rPr>
                <w:rFonts w:ascii="Arabic Typesetting" w:hAnsi="Arabic Typesetting" w:cs="Arabic Typesetting"/>
                <w:b/>
                <w:noProof/>
                <w:sz w:val="28"/>
                <w:szCs w:val="28"/>
              </w:rPr>
            </w:pPr>
          </w:p>
        </w:tc>
      </w:tr>
    </w:tbl>
    <w:p w14:paraId="3235CDA5" w14:textId="77777777" w:rsidR="00BD3831" w:rsidRPr="00E551B2" w:rsidRDefault="00BD3831" w:rsidP="0031289D">
      <w:pPr>
        <w:keepNext/>
        <w:keepLines/>
        <w:autoSpaceDE w:val="0"/>
        <w:autoSpaceDN w:val="0"/>
        <w:bidi/>
        <w:adjustRightInd w:val="0"/>
        <w:spacing w:before="120" w:line="340" w:lineRule="exact"/>
        <w:jc w:val="center"/>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t>استخدام ميزانية المشروع (حسب فئة التكلفة)</w:t>
      </w:r>
    </w:p>
    <w:p w14:paraId="551F0D9B" w14:textId="77777777" w:rsidR="00BD3831" w:rsidRPr="00E551B2" w:rsidRDefault="00BD3831" w:rsidP="0031289D">
      <w:pPr>
        <w:keepNext/>
        <w:keepLines/>
        <w:autoSpaceDE w:val="0"/>
        <w:autoSpaceDN w:val="0"/>
        <w:bidi/>
        <w:adjustRightInd w:val="0"/>
        <w:spacing w:after="120" w:line="340" w:lineRule="exact"/>
        <w:jc w:val="center"/>
        <w:rPr>
          <w:rFonts w:ascii="Arabic Typesetting" w:hAnsi="Arabic Typesetting" w:cs="Arabic Typesetting"/>
          <w:iCs/>
          <w:sz w:val="34"/>
          <w:szCs w:val="34"/>
          <w:lang w:bidi="ar-EG"/>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بالفرنك السويسري، في 31 ديسمبر 2016</w:t>
      </w:r>
      <w:r w:rsidRPr="00E551B2">
        <w:rPr>
          <w:rFonts w:ascii="Arabic Typesetting" w:hAnsi="Arabic Typesetting" w:cs="Arabic Typesetting"/>
          <w:iCs/>
          <w:sz w:val="34"/>
          <w:szCs w:val="34"/>
          <w:rtl/>
          <w:lang w:bidi="ar-EG"/>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2008"/>
        <w:gridCol w:w="2008"/>
        <w:gridCol w:w="2006"/>
      </w:tblGrid>
      <w:tr w:rsidR="00BD3831" w:rsidRPr="00FA719C" w14:paraId="0CD28A23" w14:textId="77777777" w:rsidTr="00DF6715">
        <w:trPr>
          <w:trHeight w:val="569"/>
        </w:trPr>
        <w:tc>
          <w:tcPr>
            <w:tcW w:w="1854" w:type="pct"/>
            <w:shd w:val="clear" w:color="auto" w:fill="C6D9F1"/>
            <w:vAlign w:val="center"/>
          </w:tcPr>
          <w:p w14:paraId="2359C4E8" w14:textId="77777777" w:rsidR="00BD3831" w:rsidRPr="00FA719C" w:rsidRDefault="00BD3831" w:rsidP="0031289D">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فئة التكلفة</w:t>
            </w:r>
          </w:p>
        </w:tc>
        <w:tc>
          <w:tcPr>
            <w:tcW w:w="1049" w:type="pct"/>
            <w:shd w:val="clear" w:color="auto" w:fill="C6D9F1"/>
            <w:vAlign w:val="center"/>
          </w:tcPr>
          <w:p w14:paraId="45E3CAB4" w14:textId="77777777" w:rsidR="00BD3831" w:rsidRPr="00FA719C" w:rsidRDefault="00BD3831" w:rsidP="0031289D">
            <w:pPr>
              <w:keepNext/>
              <w:keepLines/>
              <w:autoSpaceDE w:val="0"/>
              <w:autoSpaceDN w:val="0"/>
              <w:bidi/>
              <w:adjustRightInd w:val="0"/>
              <w:spacing w:before="40" w:after="40" w:line="260" w:lineRule="exact"/>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14:paraId="4EE42DBC" w14:textId="77777777" w:rsidR="00BD3831" w:rsidRPr="00FA719C" w:rsidRDefault="00BD3831" w:rsidP="0031289D">
            <w:pPr>
              <w:keepNext/>
              <w:keepLines/>
              <w:autoSpaceDE w:val="0"/>
              <w:autoSpaceDN w:val="0"/>
              <w:bidi/>
              <w:adjustRightInd w:val="0"/>
              <w:spacing w:before="40" w:after="40" w:line="260" w:lineRule="exact"/>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النفقات الفعلية حتى تاريخه</w:t>
            </w:r>
            <w:r w:rsidRPr="00FA719C">
              <w:rPr>
                <w:rFonts w:ascii="Arabic Typesetting" w:hAnsi="Arabic Typesetting" w:cs="Arabic Typesetting"/>
                <w:b/>
                <w:noProof/>
                <w:sz w:val="28"/>
                <w:szCs w:val="28"/>
              </w:rPr>
              <w:t xml:space="preserve"> </w:t>
            </w:r>
          </w:p>
        </w:tc>
        <w:tc>
          <w:tcPr>
            <w:tcW w:w="1048" w:type="pct"/>
            <w:shd w:val="clear" w:color="auto" w:fill="C6D9F1"/>
            <w:vAlign w:val="center"/>
          </w:tcPr>
          <w:p w14:paraId="22BB770A" w14:textId="77777777" w:rsidR="00BD3831" w:rsidRPr="00FA719C" w:rsidRDefault="00BD3831" w:rsidP="0031289D">
            <w:pPr>
              <w:keepNext/>
              <w:keepLines/>
              <w:autoSpaceDE w:val="0"/>
              <w:autoSpaceDN w:val="0"/>
              <w:bidi/>
              <w:adjustRightInd w:val="0"/>
              <w:spacing w:before="40" w:after="40" w:line="260" w:lineRule="exact"/>
              <w:jc w:val="center"/>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الاستخدام الفعلي للميزانية</w:t>
            </w:r>
          </w:p>
        </w:tc>
      </w:tr>
      <w:tr w:rsidR="00BD3831" w:rsidRPr="00FA719C" w14:paraId="7D7633EF" w14:textId="77777777" w:rsidTr="00DF6715">
        <w:tc>
          <w:tcPr>
            <w:tcW w:w="1854" w:type="pct"/>
            <w:vAlign w:val="center"/>
          </w:tcPr>
          <w:p w14:paraId="040A097B"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التكاليف المتعلقة بالبناء</w:t>
            </w:r>
          </w:p>
        </w:tc>
        <w:tc>
          <w:tcPr>
            <w:tcW w:w="1049" w:type="pct"/>
            <w:vAlign w:val="center"/>
          </w:tcPr>
          <w:p w14:paraId="101A5FF8"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749</w:t>
            </w:r>
            <w:r>
              <w:rPr>
                <w:rFonts w:ascii="Arabic Typesetting" w:hAnsi="Arabic Typesetting" w:cs="Arabic Typesetting"/>
                <w:noProof/>
                <w:sz w:val="28"/>
                <w:szCs w:val="28"/>
              </w:rPr>
              <w:t> </w:t>
            </w:r>
            <w:r w:rsidRPr="00FA719C">
              <w:rPr>
                <w:rFonts w:ascii="Arabic Typesetting" w:hAnsi="Arabic Typesetting" w:cs="Arabic Typesetting"/>
                <w:noProof/>
                <w:sz w:val="28"/>
                <w:szCs w:val="28"/>
              </w:rPr>
              <w:t>000</w:t>
            </w:r>
          </w:p>
        </w:tc>
        <w:tc>
          <w:tcPr>
            <w:tcW w:w="1049" w:type="pct"/>
          </w:tcPr>
          <w:p w14:paraId="5EE06DFB"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182</w:t>
            </w:r>
            <w:r>
              <w:rPr>
                <w:rFonts w:ascii="Arabic Typesetting" w:hAnsi="Arabic Typesetting" w:cs="Arabic Typesetting"/>
                <w:noProof/>
                <w:sz w:val="28"/>
                <w:szCs w:val="28"/>
              </w:rPr>
              <w:t> </w:t>
            </w:r>
            <w:r w:rsidRPr="00FA719C">
              <w:rPr>
                <w:rFonts w:ascii="Arabic Typesetting" w:hAnsi="Arabic Typesetting" w:cs="Arabic Typesetting"/>
                <w:noProof/>
                <w:sz w:val="28"/>
                <w:szCs w:val="28"/>
              </w:rPr>
              <w:t>668</w:t>
            </w:r>
          </w:p>
        </w:tc>
        <w:tc>
          <w:tcPr>
            <w:tcW w:w="1048" w:type="pct"/>
          </w:tcPr>
          <w:p w14:paraId="62E81B8F"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%24.4</w:t>
            </w:r>
          </w:p>
        </w:tc>
      </w:tr>
      <w:tr w:rsidR="00BD3831" w:rsidRPr="00FA719C" w14:paraId="0A6760D3" w14:textId="77777777" w:rsidTr="00DF6715">
        <w:tc>
          <w:tcPr>
            <w:tcW w:w="1854" w:type="pct"/>
            <w:vAlign w:val="center"/>
          </w:tcPr>
          <w:p w14:paraId="3AB342BF"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الأتعاب</w:t>
            </w:r>
          </w:p>
        </w:tc>
        <w:tc>
          <w:tcPr>
            <w:tcW w:w="1049" w:type="pct"/>
            <w:vAlign w:val="center"/>
          </w:tcPr>
          <w:p w14:paraId="0A147B06"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144</w:t>
            </w:r>
            <w:r>
              <w:rPr>
                <w:rFonts w:ascii="Arabic Typesetting" w:hAnsi="Arabic Typesetting" w:cs="Arabic Typesetting"/>
                <w:noProof/>
                <w:sz w:val="28"/>
                <w:szCs w:val="28"/>
              </w:rPr>
              <w:t> </w:t>
            </w:r>
            <w:r w:rsidRPr="00FA719C">
              <w:rPr>
                <w:rFonts w:ascii="Arabic Typesetting" w:hAnsi="Arabic Typesetting" w:cs="Arabic Typesetting"/>
                <w:noProof/>
                <w:sz w:val="28"/>
                <w:szCs w:val="28"/>
              </w:rPr>
              <w:t>000</w:t>
            </w:r>
          </w:p>
        </w:tc>
        <w:tc>
          <w:tcPr>
            <w:tcW w:w="1049" w:type="pct"/>
            <w:vAlign w:val="center"/>
          </w:tcPr>
          <w:p w14:paraId="4EC03C4B" w14:textId="77777777" w:rsidR="00BD3831" w:rsidRPr="00FA719C" w:rsidRDefault="00BD3831" w:rsidP="0031289D">
            <w:pPr>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62</w:t>
            </w:r>
            <w:r>
              <w:rPr>
                <w:rFonts w:ascii="Arabic Typesetting" w:hAnsi="Arabic Typesetting" w:cs="Arabic Typesetting"/>
                <w:noProof/>
                <w:sz w:val="28"/>
                <w:szCs w:val="28"/>
              </w:rPr>
              <w:t> </w:t>
            </w:r>
            <w:r w:rsidRPr="00FA719C">
              <w:rPr>
                <w:rFonts w:ascii="Arabic Typesetting" w:hAnsi="Arabic Typesetting" w:cs="Arabic Typesetting"/>
                <w:noProof/>
                <w:sz w:val="28"/>
                <w:szCs w:val="28"/>
              </w:rPr>
              <w:t>555</w:t>
            </w:r>
          </w:p>
        </w:tc>
        <w:tc>
          <w:tcPr>
            <w:tcW w:w="1048" w:type="pct"/>
            <w:vAlign w:val="center"/>
          </w:tcPr>
          <w:p w14:paraId="3FD5DC0B" w14:textId="77777777" w:rsidR="00BD3831" w:rsidRPr="00FA719C" w:rsidRDefault="00BD3831" w:rsidP="0031289D">
            <w:pPr>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%43.4</w:t>
            </w:r>
          </w:p>
        </w:tc>
      </w:tr>
      <w:tr w:rsidR="00BD3831" w:rsidRPr="00FA719C" w14:paraId="010786E1" w14:textId="77777777" w:rsidTr="00DF6715">
        <w:tc>
          <w:tcPr>
            <w:tcW w:w="1854" w:type="pct"/>
            <w:vAlign w:val="center"/>
          </w:tcPr>
          <w:p w14:paraId="3AFA356D"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sz w:val="28"/>
                <w:szCs w:val="28"/>
                <w:rtl/>
                <w:lang w:bidi="ar-EG"/>
              </w:rPr>
              <w:t>الأمور النثرية وغير المتوقعة</w:t>
            </w:r>
          </w:p>
        </w:tc>
        <w:tc>
          <w:tcPr>
            <w:tcW w:w="1049" w:type="pct"/>
            <w:vAlign w:val="center"/>
          </w:tcPr>
          <w:p w14:paraId="2BE067F9"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67</w:t>
            </w:r>
            <w:r>
              <w:rPr>
                <w:rFonts w:ascii="Arabic Typesetting" w:hAnsi="Arabic Typesetting" w:cs="Arabic Typesetting"/>
                <w:noProof/>
                <w:sz w:val="28"/>
                <w:szCs w:val="28"/>
              </w:rPr>
              <w:t> </w:t>
            </w:r>
            <w:r w:rsidRPr="00FA719C">
              <w:rPr>
                <w:rFonts w:ascii="Arabic Typesetting" w:hAnsi="Arabic Typesetting" w:cs="Arabic Typesetting"/>
                <w:noProof/>
                <w:sz w:val="28"/>
                <w:szCs w:val="28"/>
              </w:rPr>
              <w:t>000</w:t>
            </w:r>
          </w:p>
        </w:tc>
        <w:tc>
          <w:tcPr>
            <w:tcW w:w="1049" w:type="pct"/>
            <w:vAlign w:val="center"/>
          </w:tcPr>
          <w:p w14:paraId="5B0178F9" w14:textId="77777777" w:rsidR="00BD3831" w:rsidRPr="00FA719C" w:rsidRDefault="00BD3831" w:rsidP="0031289D">
            <w:pPr>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w:t>
            </w:r>
          </w:p>
        </w:tc>
        <w:tc>
          <w:tcPr>
            <w:tcW w:w="1048" w:type="pct"/>
            <w:vAlign w:val="center"/>
          </w:tcPr>
          <w:p w14:paraId="628AC72A" w14:textId="77777777" w:rsidR="00BD3831" w:rsidRPr="00FA719C" w:rsidRDefault="00BD3831" w:rsidP="0031289D">
            <w:pPr>
              <w:spacing w:before="40" w:after="40"/>
              <w:jc w:val="center"/>
              <w:rPr>
                <w:rFonts w:ascii="Arabic Typesetting" w:hAnsi="Arabic Typesetting" w:cs="Arabic Typesetting"/>
                <w:noProof/>
                <w:sz w:val="28"/>
                <w:szCs w:val="28"/>
              </w:rPr>
            </w:pPr>
            <w:r w:rsidRPr="00FA719C">
              <w:rPr>
                <w:rFonts w:ascii="Arabic Typesetting" w:hAnsi="Arabic Typesetting" w:cs="Arabic Typesetting"/>
                <w:noProof/>
                <w:sz w:val="28"/>
                <w:szCs w:val="28"/>
              </w:rPr>
              <w:t>-</w:t>
            </w:r>
          </w:p>
        </w:tc>
      </w:tr>
      <w:tr w:rsidR="00BD3831" w:rsidRPr="00FA719C" w14:paraId="6A3599FD" w14:textId="77777777" w:rsidTr="00DF6715">
        <w:tc>
          <w:tcPr>
            <w:tcW w:w="1854" w:type="pct"/>
            <w:shd w:val="clear" w:color="auto" w:fill="C6D9F1"/>
            <w:vAlign w:val="center"/>
          </w:tcPr>
          <w:p w14:paraId="18CE1971" w14:textId="77777777" w:rsidR="00BD3831" w:rsidRPr="00FA719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FA719C">
              <w:rPr>
                <w:rFonts w:ascii="Arabic Typesetting" w:hAnsi="Arabic Typesetting" w:cs="Arabic Typesetting"/>
                <w:bCs/>
                <w:sz w:val="28"/>
                <w:szCs w:val="28"/>
                <w:rtl/>
                <w:lang w:bidi="ar-EG"/>
              </w:rPr>
              <w:t>المجموع</w:t>
            </w:r>
          </w:p>
        </w:tc>
        <w:tc>
          <w:tcPr>
            <w:tcW w:w="1049" w:type="pct"/>
            <w:shd w:val="clear" w:color="auto" w:fill="C6D9F1"/>
            <w:vAlign w:val="center"/>
          </w:tcPr>
          <w:p w14:paraId="35B2C444"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b/>
                <w:noProof/>
                <w:sz w:val="28"/>
                <w:szCs w:val="28"/>
              </w:rPr>
            </w:pPr>
            <w:r w:rsidRPr="00FA719C">
              <w:rPr>
                <w:rFonts w:ascii="Arabic Typesetting" w:hAnsi="Arabic Typesetting" w:cs="Arabic Typesetting"/>
                <w:b/>
                <w:noProof/>
                <w:sz w:val="28"/>
                <w:szCs w:val="28"/>
              </w:rPr>
              <w:t>960</w:t>
            </w:r>
            <w:r>
              <w:rPr>
                <w:rFonts w:ascii="Arabic Typesetting" w:hAnsi="Arabic Typesetting" w:cs="Arabic Typesetting"/>
                <w:b/>
                <w:noProof/>
                <w:sz w:val="28"/>
                <w:szCs w:val="28"/>
              </w:rPr>
              <w:t> </w:t>
            </w:r>
            <w:r w:rsidRPr="00FA719C">
              <w:rPr>
                <w:rFonts w:ascii="Arabic Typesetting" w:hAnsi="Arabic Typesetting" w:cs="Arabic Typesetting"/>
                <w:b/>
                <w:noProof/>
                <w:sz w:val="28"/>
                <w:szCs w:val="28"/>
              </w:rPr>
              <w:t>000</w:t>
            </w:r>
          </w:p>
        </w:tc>
        <w:tc>
          <w:tcPr>
            <w:tcW w:w="1049" w:type="pct"/>
            <w:shd w:val="clear" w:color="auto" w:fill="C6D9F1"/>
          </w:tcPr>
          <w:p w14:paraId="26203D3C"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b/>
                <w:noProof/>
                <w:sz w:val="28"/>
                <w:szCs w:val="28"/>
                <w:highlight w:val="yellow"/>
              </w:rPr>
            </w:pPr>
            <w:r w:rsidRPr="00FA719C">
              <w:rPr>
                <w:rFonts w:ascii="Arabic Typesetting" w:hAnsi="Arabic Typesetting" w:cs="Arabic Typesetting"/>
                <w:b/>
                <w:noProof/>
                <w:sz w:val="28"/>
                <w:szCs w:val="28"/>
              </w:rPr>
              <w:t>245</w:t>
            </w:r>
            <w:r>
              <w:rPr>
                <w:rFonts w:ascii="Arabic Typesetting" w:hAnsi="Arabic Typesetting" w:cs="Arabic Typesetting"/>
                <w:b/>
                <w:noProof/>
                <w:sz w:val="28"/>
                <w:szCs w:val="28"/>
              </w:rPr>
              <w:t> </w:t>
            </w:r>
            <w:r w:rsidRPr="00FA719C">
              <w:rPr>
                <w:rFonts w:ascii="Arabic Typesetting" w:hAnsi="Arabic Typesetting" w:cs="Arabic Typesetting"/>
                <w:b/>
                <w:noProof/>
                <w:sz w:val="28"/>
                <w:szCs w:val="28"/>
              </w:rPr>
              <w:t>222</w:t>
            </w:r>
          </w:p>
        </w:tc>
        <w:tc>
          <w:tcPr>
            <w:tcW w:w="1048" w:type="pct"/>
            <w:shd w:val="clear" w:color="auto" w:fill="C6D9F1"/>
          </w:tcPr>
          <w:p w14:paraId="3DD9DE65" w14:textId="77777777" w:rsidR="00BD3831" w:rsidRPr="00FA719C" w:rsidRDefault="00BD3831" w:rsidP="0031289D">
            <w:pPr>
              <w:autoSpaceDE w:val="0"/>
              <w:autoSpaceDN w:val="0"/>
              <w:adjustRightInd w:val="0"/>
              <w:spacing w:before="40" w:after="40"/>
              <w:jc w:val="center"/>
              <w:rPr>
                <w:rFonts w:ascii="Arabic Typesetting" w:hAnsi="Arabic Typesetting" w:cs="Arabic Typesetting"/>
                <w:b/>
                <w:noProof/>
                <w:sz w:val="28"/>
                <w:szCs w:val="28"/>
                <w:highlight w:val="yellow"/>
              </w:rPr>
            </w:pPr>
            <w:r w:rsidRPr="00FA719C">
              <w:rPr>
                <w:rFonts w:ascii="Arabic Typesetting" w:hAnsi="Arabic Typesetting" w:cs="Arabic Typesetting"/>
                <w:b/>
                <w:noProof/>
                <w:sz w:val="28"/>
                <w:szCs w:val="28"/>
              </w:rPr>
              <w:t>%25.5</w:t>
            </w:r>
          </w:p>
        </w:tc>
      </w:tr>
    </w:tbl>
    <w:p w14:paraId="25615BD3" w14:textId="77777777" w:rsidR="00BD3831" w:rsidRPr="00E551B2" w:rsidRDefault="00BD3831" w:rsidP="0031289D">
      <w:pPr>
        <w:pageBreakBefore/>
        <w:bidi/>
        <w:spacing w:before="120" w:after="120"/>
        <w:rPr>
          <w:rFonts w:ascii="Arabic Typesetting" w:hAnsi="Arabic Typesetting" w:cs="Arabic Typesetting"/>
          <w:color w:val="000000"/>
          <w:sz w:val="34"/>
          <w:szCs w:val="34"/>
          <w:lang w:bidi="ar-EG"/>
        </w:rPr>
      </w:pPr>
      <w:r w:rsidRPr="00450CC3">
        <w:rPr>
          <w:b/>
          <w:noProof/>
          <w:sz w:val="18"/>
          <w:szCs w:val="16"/>
        </w:rPr>
        <w:lastRenderedPageBreak/>
        <w:drawing>
          <wp:anchor distT="0" distB="0" distL="114300" distR="114300" simplePos="0" relativeHeight="251662336" behindDoc="0" locked="0" layoutInCell="1" allowOverlap="1" wp14:anchorId="6BEF6CD5" wp14:editId="5B2F0EA1">
            <wp:simplePos x="0" y="0"/>
            <wp:positionH relativeFrom="margin">
              <wp:posOffset>5998680</wp:posOffset>
            </wp:positionH>
            <wp:positionV relativeFrom="margin">
              <wp:posOffset>2185035</wp:posOffset>
            </wp:positionV>
            <wp:extent cx="218440" cy="2184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E551B2">
        <w:rPr>
          <w:rFonts w:ascii="Arabic Typesetting" w:hAnsi="Arabic Typesetting" w:cs="Arabic Typesetting"/>
          <w:color w:val="000000"/>
          <w:sz w:val="34"/>
          <w:szCs w:val="34"/>
          <w:rtl/>
          <w:lang w:bidi="ar-EG"/>
        </w:rPr>
        <w:t>المخاطر واستراتيجيات التخفيف من آثارها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BD3831" w:rsidRPr="00E551B2" w14:paraId="57458193" w14:textId="77777777" w:rsidTr="00DF6715">
        <w:trPr>
          <w:trHeight w:val="308"/>
          <w:tblHeader/>
          <w:jc w:val="center"/>
        </w:trPr>
        <w:tc>
          <w:tcPr>
            <w:tcW w:w="1667" w:type="pct"/>
            <w:shd w:val="clear" w:color="auto" w:fill="C6D9F1"/>
            <w:vAlign w:val="center"/>
          </w:tcPr>
          <w:p w14:paraId="230C6A1F" w14:textId="77777777" w:rsidR="00BD3831" w:rsidRPr="00E551B2" w:rsidRDefault="00BD3831" w:rsidP="0031289D">
            <w:pPr>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المخاطر</w:t>
            </w:r>
            <w:r w:rsidRPr="00E551B2">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14:paraId="2E4FF124" w14:textId="77777777" w:rsidR="00BD3831" w:rsidRPr="00E551B2" w:rsidRDefault="00BD3831" w:rsidP="0031289D">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14:paraId="4BE2CFAA" w14:textId="77777777" w:rsidR="00BD3831" w:rsidRPr="00E551B2" w:rsidRDefault="00BD3831" w:rsidP="0031289D">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التعليقات</w:t>
            </w:r>
          </w:p>
        </w:tc>
      </w:tr>
      <w:tr w:rsidR="00BD3831" w:rsidRPr="00E551B2" w14:paraId="520832D6" w14:textId="77777777" w:rsidTr="00DF6715">
        <w:trPr>
          <w:trHeight w:val="776"/>
          <w:jc w:val="center"/>
        </w:trPr>
        <w:tc>
          <w:tcPr>
            <w:tcW w:w="1667" w:type="pct"/>
          </w:tcPr>
          <w:p w14:paraId="2088D5EC" w14:textId="77777777" w:rsidR="00BD3831" w:rsidRPr="00E551B2"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r w:rsidRPr="00E551B2">
              <w:rPr>
                <w:rFonts w:ascii="Arabic Typesetting" w:hAnsi="Arabic Typesetting" w:cs="Arabic Typesetting"/>
                <w:color w:val="000000"/>
                <w:sz w:val="28"/>
                <w:szCs w:val="28"/>
                <w:rtl/>
                <w:lang w:bidi="ar-EG"/>
              </w:rPr>
              <w:t>التأخر في إنهاء الأعمال</w:t>
            </w:r>
            <w:r w:rsidRPr="00E551B2">
              <w:rPr>
                <w:rFonts w:ascii="Arabic Typesetting" w:hAnsi="Arabic Typesetting" w:cs="Arabic Typesetting" w:hint="cs"/>
                <w:color w:val="000000"/>
                <w:sz w:val="28"/>
                <w:szCs w:val="28"/>
                <w:rtl/>
                <w:lang w:bidi="ar-EG"/>
              </w:rPr>
              <w:t xml:space="preserve"> بسبب </w:t>
            </w:r>
            <w:r w:rsidRPr="00E551B2">
              <w:rPr>
                <w:rFonts w:ascii="Arabic Typesetting" w:hAnsi="Arabic Typesetting" w:cs="Arabic Typesetting"/>
                <w:color w:val="000000"/>
                <w:sz w:val="28"/>
                <w:szCs w:val="28"/>
                <w:rtl/>
                <w:lang w:bidi="ar-EG"/>
              </w:rPr>
              <w:t>اكتشاف مشكلة تقنية أثناء تفكيك التركيبات الحالية أو بسبب التفكيك</w:t>
            </w:r>
          </w:p>
        </w:tc>
        <w:tc>
          <w:tcPr>
            <w:tcW w:w="1667" w:type="pct"/>
          </w:tcPr>
          <w:p w14:paraId="3C837954" w14:textId="77777777" w:rsidR="00BD3831" w:rsidRPr="00E551B2"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r w:rsidRPr="00E551B2">
              <w:rPr>
                <w:rFonts w:ascii="Arabic Typesetting" w:hAnsi="Arabic Typesetting" w:cs="Arabic Typesetting"/>
                <w:color w:val="000000"/>
                <w:sz w:val="28"/>
                <w:szCs w:val="28"/>
                <w:rtl/>
                <w:lang w:bidi="ar-EG"/>
              </w:rPr>
              <w:t>إجراء أية إصلاحات وتحديث الجدول الزمني للأعمال حسب الحاجة</w:t>
            </w:r>
          </w:p>
        </w:tc>
        <w:tc>
          <w:tcPr>
            <w:tcW w:w="1666" w:type="pct"/>
          </w:tcPr>
          <w:p w14:paraId="1AD26701" w14:textId="77777777" w:rsidR="00BD3831"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لم تتعرض المنظمة لذلك الخطر فيما يخص تفكيك الجزء الخاص بمركز البيانات السابق.</w:t>
            </w:r>
          </w:p>
          <w:p w14:paraId="14C662E3" w14:textId="77777777" w:rsidR="00BD3831"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p>
          <w:p w14:paraId="19CC69EC" w14:textId="77777777" w:rsidR="00BD3831" w:rsidRPr="00E551B2"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ولا يزال الخطر قائماً فيما يخص تفكيك المطبعة القائمة الذي يزمع إجراؤه في 2017.</w:t>
            </w:r>
          </w:p>
        </w:tc>
      </w:tr>
      <w:tr w:rsidR="00BD3831" w:rsidRPr="00E551B2" w14:paraId="2E526F41" w14:textId="77777777" w:rsidTr="00DF6715">
        <w:trPr>
          <w:trHeight w:val="776"/>
          <w:jc w:val="center"/>
        </w:trPr>
        <w:tc>
          <w:tcPr>
            <w:tcW w:w="1667" w:type="pct"/>
          </w:tcPr>
          <w:p w14:paraId="1F932D1C" w14:textId="77777777" w:rsidR="00BD3831" w:rsidRPr="00E551B2"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r w:rsidRPr="00E551B2">
              <w:rPr>
                <w:rFonts w:ascii="Arabic Typesetting" w:hAnsi="Arabic Typesetting" w:cs="Arabic Typesetting"/>
                <w:color w:val="000000"/>
                <w:sz w:val="28"/>
                <w:szCs w:val="28"/>
                <w:rtl/>
                <w:lang w:bidi="ar-EG"/>
              </w:rPr>
              <w:t>المخاطر المالية</w:t>
            </w:r>
            <w:r w:rsidRPr="00E551B2">
              <w:rPr>
                <w:rFonts w:ascii="Arabic Typesetting" w:hAnsi="Arabic Typesetting" w:cs="Arabic Typesetting" w:hint="cs"/>
                <w:color w:val="000000"/>
                <w:sz w:val="28"/>
                <w:szCs w:val="28"/>
                <w:rtl/>
                <w:lang w:bidi="ar-EG"/>
              </w:rPr>
              <w:t xml:space="preserve"> الناجمة عن </w:t>
            </w:r>
            <w:r w:rsidRPr="00E551B2">
              <w:rPr>
                <w:rFonts w:ascii="Arabic Typesetting" w:hAnsi="Arabic Typesetting" w:cs="Arabic Typesetting"/>
                <w:color w:val="000000"/>
                <w:sz w:val="28"/>
                <w:szCs w:val="28"/>
                <w:rtl/>
                <w:lang w:bidi="ar-EG"/>
              </w:rPr>
              <w:t>تكلفة نقل مقر المطبعة وموظفي الوثائق مؤقت</w:t>
            </w:r>
            <w:r>
              <w:rPr>
                <w:rFonts w:ascii="Arabic Typesetting" w:hAnsi="Arabic Typesetting" w:cs="Arabic Typesetting"/>
                <w:color w:val="000000"/>
                <w:sz w:val="28"/>
                <w:szCs w:val="28"/>
                <w:rtl/>
                <w:lang w:bidi="ar-EG"/>
              </w:rPr>
              <w:t>اً</w:t>
            </w:r>
            <w:r w:rsidRPr="00E551B2">
              <w:rPr>
                <w:rFonts w:ascii="Arabic Typesetting" w:hAnsi="Arabic Typesetting" w:cs="Arabic Typesetting"/>
                <w:color w:val="000000"/>
                <w:sz w:val="28"/>
                <w:szCs w:val="28"/>
                <w:rtl/>
                <w:lang w:bidi="ar-EG"/>
              </w:rPr>
              <w:t xml:space="preserve"> وبشكل جزئي</w:t>
            </w:r>
          </w:p>
        </w:tc>
        <w:tc>
          <w:tcPr>
            <w:tcW w:w="1667" w:type="pct"/>
          </w:tcPr>
          <w:p w14:paraId="6C365E31" w14:textId="77777777" w:rsidR="00BD3831" w:rsidRPr="00E551B2"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r w:rsidRPr="00E551B2">
              <w:rPr>
                <w:rFonts w:ascii="Arabic Typesetting" w:hAnsi="Arabic Typesetting" w:cs="Arabic Typesetting"/>
                <w:color w:val="000000"/>
                <w:sz w:val="28"/>
                <w:szCs w:val="28"/>
                <w:rtl/>
                <w:lang w:bidi="ar-EG"/>
              </w:rPr>
              <w:t>الاستعانة ببند "الأمور النثرية وغير المتوقعة" في الميزانية المعتمد</w:t>
            </w:r>
            <w:r w:rsidRPr="00E551B2">
              <w:rPr>
                <w:rFonts w:ascii="Arabic Typesetting" w:hAnsi="Arabic Typesetting" w:cs="Arabic Typesetting" w:hint="cs"/>
                <w:color w:val="000000"/>
                <w:sz w:val="28"/>
                <w:szCs w:val="28"/>
                <w:rtl/>
                <w:lang w:bidi="ar-EG"/>
              </w:rPr>
              <w:t>ة</w:t>
            </w:r>
          </w:p>
        </w:tc>
        <w:tc>
          <w:tcPr>
            <w:tcW w:w="1666" w:type="pct"/>
          </w:tcPr>
          <w:p w14:paraId="7CC86187" w14:textId="77777777" w:rsidR="00BD3831" w:rsidRPr="00E551B2"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p>
        </w:tc>
      </w:tr>
      <w:tr w:rsidR="00BD3831" w:rsidRPr="00E551B2" w14:paraId="76FB26C4" w14:textId="77777777" w:rsidTr="00DF6715">
        <w:trPr>
          <w:trHeight w:val="776"/>
          <w:jc w:val="center"/>
        </w:trPr>
        <w:tc>
          <w:tcPr>
            <w:tcW w:w="1667" w:type="pct"/>
          </w:tcPr>
          <w:p w14:paraId="2B82EA27" w14:textId="77777777" w:rsidR="00BD3831" w:rsidRPr="00E551B2"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r w:rsidRPr="00E551B2">
              <w:rPr>
                <w:rFonts w:ascii="Arabic Typesetting" w:hAnsi="Arabic Typesetting" w:cs="Arabic Typesetting"/>
                <w:color w:val="000000"/>
                <w:sz w:val="28"/>
                <w:szCs w:val="28"/>
                <w:rtl/>
                <w:lang w:bidi="ar-EG"/>
              </w:rPr>
              <w:t xml:space="preserve">التأخر في بدء الأعمال </w:t>
            </w:r>
            <w:r w:rsidRPr="00E551B2">
              <w:rPr>
                <w:rFonts w:ascii="Arabic Typesetting" w:hAnsi="Arabic Typesetting" w:cs="Arabic Typesetting" w:hint="cs"/>
                <w:color w:val="000000"/>
                <w:sz w:val="28"/>
                <w:szCs w:val="28"/>
                <w:rtl/>
                <w:lang w:bidi="ar-EG"/>
              </w:rPr>
              <w:t xml:space="preserve">بسبب </w:t>
            </w:r>
            <w:r>
              <w:rPr>
                <w:rFonts w:ascii="Arabic Typesetting" w:hAnsi="Arabic Typesetting" w:cs="Arabic Typesetting" w:hint="cs"/>
                <w:color w:val="000000"/>
                <w:sz w:val="28"/>
                <w:szCs w:val="28"/>
                <w:rtl/>
                <w:lang w:bidi="ar-EG"/>
              </w:rPr>
              <w:t>تغير القرار في إنشاء مطبعة واحدة عوضا عن المطبعتين القائمتين</w:t>
            </w:r>
          </w:p>
        </w:tc>
        <w:tc>
          <w:tcPr>
            <w:tcW w:w="1667" w:type="pct"/>
          </w:tcPr>
          <w:p w14:paraId="585DB654" w14:textId="77777777" w:rsidR="00BD3831" w:rsidRPr="00E551B2"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الاستعداد لتعديل المتطلبات التقنية لمواكبة القدرة الاستيعابية اللازمة لمطبعة واحدة من أجل استيعاب عبء العمل الذي تتحمله حالياً المطبعتان</w:t>
            </w:r>
          </w:p>
        </w:tc>
        <w:tc>
          <w:tcPr>
            <w:tcW w:w="1666" w:type="pct"/>
          </w:tcPr>
          <w:p w14:paraId="1E289E64" w14:textId="77777777" w:rsidR="00BD3831"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تعرضت المنظمة لذلك الخطر في نهاية 2016 مما</w:t>
            </w:r>
            <w:r>
              <w:rPr>
                <w:rFonts w:ascii="Arabic Typesetting" w:hAnsi="Arabic Typesetting" w:cs="Arabic Typesetting" w:hint="eastAsia"/>
                <w:sz w:val="28"/>
                <w:szCs w:val="28"/>
                <w:lang w:bidi="ar-EG"/>
              </w:rPr>
              <w:t> </w:t>
            </w:r>
            <w:r>
              <w:rPr>
                <w:rFonts w:ascii="Arabic Typesetting" w:hAnsi="Arabic Typesetting" w:cs="Arabic Typesetting" w:hint="cs"/>
                <w:sz w:val="28"/>
                <w:szCs w:val="28"/>
                <w:rtl/>
                <w:lang w:bidi="ar-EG"/>
              </w:rPr>
              <w:t xml:space="preserve">أدى إلى تأخيرات إضافية في تنفيذ المشروع. </w:t>
            </w:r>
            <w:r w:rsidRPr="00E551B2">
              <w:rPr>
                <w:rFonts w:ascii="Arabic Typesetting" w:hAnsi="Arabic Typesetting" w:cs="Arabic Typesetting" w:hint="cs"/>
                <w:sz w:val="28"/>
                <w:szCs w:val="28"/>
                <w:rtl/>
                <w:lang w:bidi="ar-EG"/>
              </w:rPr>
              <w:t>ومن ثم، عدِّل الجدول الزمني للمشروع مجدداً.</w:t>
            </w:r>
          </w:p>
          <w:p w14:paraId="17512F0F" w14:textId="77777777" w:rsidR="00BD3831"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p>
          <w:p w14:paraId="208705ED" w14:textId="77777777" w:rsidR="00BD3831" w:rsidRPr="001D0F9F" w:rsidRDefault="00BD3831" w:rsidP="0031289D">
            <w:pPr>
              <w:autoSpaceDE w:val="0"/>
              <w:autoSpaceDN w:val="0"/>
              <w:bidi/>
              <w:adjustRightInd w:val="0"/>
              <w:spacing w:before="40" w:after="40" w:line="300" w:lineRule="exact"/>
              <w:rPr>
                <w:rFonts w:ascii="Arabic Typesetting" w:hAnsi="Arabic Typesetting" w:cs="Arabic Typesetting"/>
                <w:sz w:val="28"/>
                <w:szCs w:val="28"/>
                <w:rtl/>
                <w:lang w:bidi="ar-EG"/>
              </w:rPr>
            </w:pPr>
            <w:r>
              <w:rPr>
                <w:rFonts w:ascii="Arabic Typesetting" w:hAnsi="Arabic Typesetting" w:cs="Arabic Typesetting" w:hint="cs"/>
                <w:i/>
                <w:iCs/>
                <w:sz w:val="28"/>
                <w:szCs w:val="28"/>
                <w:rtl/>
                <w:lang w:bidi="ar-EG"/>
              </w:rPr>
              <w:t>أغلق هذا الخطر.</w:t>
            </w:r>
          </w:p>
        </w:tc>
      </w:tr>
    </w:tbl>
    <w:p w14:paraId="1C0B2CF5" w14:textId="77777777" w:rsidR="00BD3831" w:rsidRPr="00E551B2" w:rsidRDefault="00BD3831" w:rsidP="0031289D">
      <w:pPr>
        <w:bidi/>
        <w:spacing w:before="120" w:after="120"/>
        <w:rPr>
          <w:rFonts w:ascii="Arabic Typesetting" w:hAnsi="Arabic Typesetting" w:cs="Arabic Typesetting"/>
          <w:color w:val="000000"/>
          <w:sz w:val="34"/>
          <w:szCs w:val="34"/>
          <w:lang w:bidi="ar-EG"/>
        </w:rPr>
      </w:pPr>
      <w:r w:rsidRPr="00E551B2">
        <w:rPr>
          <w:rFonts w:ascii="Arabic Typesetting" w:hAnsi="Arabic Typesetting" w:cs="Arabic Typesetting"/>
          <w:color w:val="000000"/>
          <w:sz w:val="34"/>
          <w:szCs w:val="34"/>
          <w:rtl/>
          <w:lang w:bidi="ar-EG"/>
        </w:rPr>
        <w:t>الجدول الزمني للمشروع حسب المعالم</w:t>
      </w:r>
    </w:p>
    <w:tbl>
      <w:tblPr>
        <w:bidiVisual/>
        <w:tblW w:w="5000" w:type="pct"/>
        <w:jc w:val="center"/>
        <w:tblLook w:val="04A0" w:firstRow="1" w:lastRow="0" w:firstColumn="1" w:lastColumn="0" w:noHBand="0" w:noVBand="1"/>
      </w:tblPr>
      <w:tblGrid>
        <w:gridCol w:w="2789"/>
        <w:gridCol w:w="376"/>
        <w:gridCol w:w="376"/>
        <w:gridCol w:w="376"/>
        <w:gridCol w:w="376"/>
        <w:gridCol w:w="377"/>
        <w:gridCol w:w="377"/>
        <w:gridCol w:w="377"/>
        <w:gridCol w:w="377"/>
        <w:gridCol w:w="377"/>
        <w:gridCol w:w="377"/>
        <w:gridCol w:w="377"/>
        <w:gridCol w:w="377"/>
        <w:gridCol w:w="377"/>
        <w:gridCol w:w="377"/>
        <w:gridCol w:w="377"/>
        <w:gridCol w:w="377"/>
        <w:gridCol w:w="377"/>
        <w:gridCol w:w="377"/>
      </w:tblGrid>
      <w:tr w:rsidR="00BD3831" w:rsidRPr="00CD6A7C" w14:paraId="31E10D42" w14:textId="77777777" w:rsidTr="00DF6715">
        <w:trPr>
          <w:trHeight w:val="60"/>
          <w:jc w:val="center"/>
        </w:trPr>
        <w:tc>
          <w:tcPr>
            <w:tcW w:w="1416" w:type="pct"/>
            <w:tcBorders>
              <w:top w:val="nil"/>
              <w:left w:val="nil"/>
              <w:bottom w:val="single" w:sz="4" w:space="0" w:color="auto"/>
              <w:right w:val="single" w:sz="4" w:space="0" w:color="auto"/>
            </w:tcBorders>
            <w:shd w:val="clear" w:color="auto" w:fill="auto"/>
            <w:noWrap/>
            <w:vAlign w:val="center"/>
            <w:hideMark/>
          </w:tcPr>
          <w:p w14:paraId="73C8814D" w14:textId="77777777" w:rsidR="00BD3831" w:rsidRPr="00CD6A7C" w:rsidRDefault="00BD3831" w:rsidP="0031289D">
            <w:pPr>
              <w:bidi/>
              <w:rPr>
                <w:rFonts w:ascii="Arabic Typesetting" w:hAnsi="Arabic Typesetting" w:cs="Arabic Typesetting"/>
                <w:noProof/>
                <w:color w:val="000000"/>
                <w:sz w:val="28"/>
                <w:szCs w:val="28"/>
              </w:rPr>
            </w:pPr>
          </w:p>
        </w:tc>
        <w:tc>
          <w:tcPr>
            <w:tcW w:w="798"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E15600E" w14:textId="77777777" w:rsidR="00BD3831" w:rsidRPr="00CD6A7C" w:rsidRDefault="00BD3831" w:rsidP="0031289D">
            <w:pPr>
              <w:jc w:val="center"/>
              <w:rPr>
                <w:rFonts w:ascii="Arabic Typesetting" w:hAnsi="Arabic Typesetting" w:cs="Arabic Typesetting"/>
                <w:b/>
                <w:bCs/>
                <w:noProof/>
                <w:color w:val="000000"/>
                <w:sz w:val="28"/>
                <w:szCs w:val="28"/>
              </w:rPr>
            </w:pPr>
            <w:r w:rsidRPr="00CD6A7C">
              <w:rPr>
                <w:rFonts w:ascii="Arabic Typesetting" w:hAnsi="Arabic Typesetting" w:cs="Arabic Typesetting"/>
                <w:b/>
                <w:bCs/>
                <w:noProof/>
                <w:color w:val="000000"/>
                <w:sz w:val="28"/>
                <w:szCs w:val="28"/>
              </w:rPr>
              <w:t>2014</w:t>
            </w:r>
          </w:p>
        </w:tc>
        <w:tc>
          <w:tcPr>
            <w:tcW w:w="796"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512E74E" w14:textId="77777777" w:rsidR="00BD3831" w:rsidRPr="00CD6A7C" w:rsidRDefault="00BD3831" w:rsidP="0031289D">
            <w:pPr>
              <w:jc w:val="center"/>
              <w:rPr>
                <w:rFonts w:ascii="Arabic Typesetting" w:hAnsi="Arabic Typesetting" w:cs="Arabic Typesetting"/>
                <w:b/>
                <w:bCs/>
                <w:noProof/>
                <w:color w:val="000000"/>
                <w:sz w:val="28"/>
                <w:szCs w:val="28"/>
              </w:rPr>
            </w:pPr>
            <w:r w:rsidRPr="00CD6A7C">
              <w:rPr>
                <w:rFonts w:ascii="Arabic Typesetting" w:hAnsi="Arabic Typesetting" w:cs="Arabic Typesetting"/>
                <w:b/>
                <w:bCs/>
                <w:noProof/>
                <w:color w:val="000000"/>
                <w:sz w:val="28"/>
                <w:szCs w:val="28"/>
              </w:rPr>
              <w:t>2015</w:t>
            </w:r>
          </w:p>
        </w:tc>
        <w:tc>
          <w:tcPr>
            <w:tcW w:w="796"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1407CAC" w14:textId="77777777" w:rsidR="00BD3831" w:rsidRPr="00CD6A7C" w:rsidRDefault="00BD3831" w:rsidP="0031289D">
            <w:pPr>
              <w:jc w:val="center"/>
              <w:rPr>
                <w:rFonts w:ascii="Arabic Typesetting" w:hAnsi="Arabic Typesetting" w:cs="Arabic Typesetting"/>
                <w:b/>
                <w:bCs/>
                <w:noProof/>
                <w:color w:val="000000"/>
                <w:sz w:val="28"/>
                <w:szCs w:val="28"/>
              </w:rPr>
            </w:pPr>
            <w:r w:rsidRPr="00CD6A7C">
              <w:rPr>
                <w:rFonts w:ascii="Arabic Typesetting" w:hAnsi="Arabic Typesetting" w:cs="Arabic Typesetting"/>
                <w:b/>
                <w:bCs/>
                <w:noProof/>
                <w:color w:val="000000"/>
                <w:sz w:val="28"/>
                <w:szCs w:val="28"/>
              </w:rPr>
              <w:t>2016</w:t>
            </w:r>
          </w:p>
        </w:tc>
        <w:tc>
          <w:tcPr>
            <w:tcW w:w="796"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1FB8417" w14:textId="77777777" w:rsidR="00BD3831" w:rsidRPr="00CD6A7C" w:rsidRDefault="00BD3831" w:rsidP="0031289D">
            <w:pPr>
              <w:jc w:val="center"/>
              <w:rPr>
                <w:rFonts w:ascii="Arabic Typesetting" w:hAnsi="Arabic Typesetting" w:cs="Arabic Typesetting"/>
                <w:b/>
                <w:bCs/>
                <w:noProof/>
                <w:color w:val="000000"/>
                <w:sz w:val="28"/>
                <w:szCs w:val="28"/>
              </w:rPr>
            </w:pPr>
            <w:r w:rsidRPr="00CD6A7C">
              <w:rPr>
                <w:rFonts w:ascii="Arabic Typesetting" w:hAnsi="Arabic Typesetting" w:cs="Arabic Typesetting"/>
                <w:b/>
                <w:bCs/>
                <w:noProof/>
                <w:color w:val="000000"/>
                <w:sz w:val="28"/>
                <w:szCs w:val="28"/>
              </w:rPr>
              <w:t>2017</w:t>
            </w:r>
          </w:p>
        </w:tc>
        <w:tc>
          <w:tcPr>
            <w:tcW w:w="398"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49072346" w14:textId="77777777" w:rsidR="00BD3831" w:rsidRPr="00CD6A7C" w:rsidRDefault="00BD3831" w:rsidP="0031289D">
            <w:pPr>
              <w:jc w:val="center"/>
              <w:rPr>
                <w:rFonts w:ascii="Arabic Typesetting" w:hAnsi="Arabic Typesetting" w:cs="Arabic Typesetting"/>
                <w:b/>
                <w:bCs/>
                <w:noProof/>
                <w:color w:val="000000"/>
                <w:sz w:val="28"/>
                <w:szCs w:val="28"/>
              </w:rPr>
            </w:pPr>
            <w:r w:rsidRPr="00CD6A7C">
              <w:rPr>
                <w:rFonts w:ascii="Arabic Typesetting" w:hAnsi="Arabic Typesetting" w:cs="Arabic Typesetting"/>
                <w:b/>
                <w:bCs/>
                <w:noProof/>
                <w:color w:val="000000"/>
                <w:sz w:val="28"/>
                <w:szCs w:val="28"/>
              </w:rPr>
              <w:t>2018</w:t>
            </w:r>
          </w:p>
        </w:tc>
      </w:tr>
      <w:tr w:rsidR="00BD3831" w:rsidRPr="00CD6A7C" w14:paraId="2CCCF983" w14:textId="77777777" w:rsidTr="00DF6715">
        <w:trPr>
          <w:trHeight w:val="375"/>
          <w:jc w:val="center"/>
        </w:trPr>
        <w:tc>
          <w:tcPr>
            <w:tcW w:w="1416"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1C67073"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المعالم الرئيسية</w:t>
            </w:r>
          </w:p>
        </w:tc>
        <w:tc>
          <w:tcPr>
            <w:tcW w:w="200"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4D4AC97"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ف1</w:t>
            </w:r>
          </w:p>
        </w:tc>
        <w:tc>
          <w:tcPr>
            <w:tcW w:w="200"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DEDFB43"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ف2</w:t>
            </w:r>
          </w:p>
        </w:tc>
        <w:tc>
          <w:tcPr>
            <w:tcW w:w="200"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DCD3473"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ف3</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461E40A"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ف4</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A761951"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ف1</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FB60F6C"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ف2</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67A514A"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ف3</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D8D606C"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ف4</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3B8CF3A"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ف1</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3F29C32"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ف2</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D5EDF84"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ف3</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BB18B05"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ف4</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52EFDE8"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ف1</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6CF84DF"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ف2</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22945D0"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ف3</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4681E7E"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ف4</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66B11F"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ف1</w:t>
            </w:r>
          </w:p>
        </w:tc>
        <w:tc>
          <w:tcPr>
            <w:tcW w:w="1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A5DAF0"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ف2</w:t>
            </w:r>
          </w:p>
        </w:tc>
      </w:tr>
      <w:tr w:rsidR="00BD3831" w:rsidRPr="00CD6A7C" w14:paraId="7E5D9345" w14:textId="77777777" w:rsidTr="00DF6715">
        <w:trPr>
          <w:trHeight w:val="50"/>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CE5A3"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تحديد أهداف المشروع داخليا</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29042"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4F8FD"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0C08C"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7B55E"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5B064"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CAC9E"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6FD64"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3D6EB"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8DD4C"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E840C"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CBF97"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EC7D0"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46D19"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A3FB5"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AE49D"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1170E"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60BE3A84"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7CD7D043" w14:textId="77777777" w:rsidR="00BD3831" w:rsidRPr="00CD6A7C" w:rsidRDefault="00BD3831" w:rsidP="0031289D">
            <w:pPr>
              <w:jc w:val="center"/>
              <w:rPr>
                <w:rFonts w:ascii="Arabic Typesetting" w:hAnsi="Arabic Typesetting" w:cs="Arabic Typesetting"/>
                <w:sz w:val="28"/>
                <w:szCs w:val="28"/>
              </w:rPr>
            </w:pPr>
          </w:p>
        </w:tc>
      </w:tr>
      <w:tr w:rsidR="00BD3831" w:rsidRPr="00CD6A7C" w14:paraId="34C52AA4" w14:textId="77777777" w:rsidTr="00DF6715">
        <w:trPr>
          <w:trHeight w:val="50"/>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7C4DC"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منح العقد للمهندس المعماري</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8236E"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4284C"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AD6B0"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CAC0C8"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27DE5"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4675F"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E95A8"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02851"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7A6E8"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AF94E"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B1C3F"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780EA"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97DA7"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6580C"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C78CF"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37CBC"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7A85197A"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5F2F4DB6" w14:textId="77777777" w:rsidR="00BD3831" w:rsidRPr="00CD6A7C" w:rsidRDefault="00BD3831" w:rsidP="0031289D">
            <w:pPr>
              <w:jc w:val="center"/>
              <w:rPr>
                <w:rFonts w:ascii="Arabic Typesetting" w:hAnsi="Arabic Typesetting" w:cs="Arabic Typesetting"/>
                <w:sz w:val="28"/>
                <w:szCs w:val="28"/>
              </w:rPr>
            </w:pPr>
          </w:p>
        </w:tc>
      </w:tr>
      <w:tr w:rsidR="00BD3831" w:rsidRPr="00CD6A7C" w14:paraId="07C4AAF5" w14:textId="77777777" w:rsidTr="00DF6715">
        <w:trPr>
          <w:trHeight w:val="50"/>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1A229"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منح العقود للمهندسين الفنيين</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6A46F"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F103C" w14:textId="77777777" w:rsidR="00BD3831" w:rsidRPr="00CD6A7C" w:rsidRDefault="00BD3831" w:rsidP="0031289D">
            <w:pPr>
              <w:jc w:val="center"/>
              <w:rPr>
                <w:rFonts w:ascii="Arabic Typesetting" w:hAnsi="Arabic Typesetting" w:cs="Arabic Typesetting"/>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ECCCD"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3A9D0"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C68C7F"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8A83F"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B56FF"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553DE"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F66AD"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304CA"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BA2A8"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BE8CF"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4EFA"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5975F"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D0D74"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9CB06"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3C4E5B47"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2510922E" w14:textId="77777777" w:rsidR="00BD3831" w:rsidRPr="00CD6A7C" w:rsidRDefault="00BD3831" w:rsidP="0031289D">
            <w:pPr>
              <w:jc w:val="center"/>
              <w:rPr>
                <w:rFonts w:ascii="Arabic Typesetting" w:hAnsi="Arabic Typesetting" w:cs="Arabic Typesetting"/>
                <w:sz w:val="28"/>
                <w:szCs w:val="28"/>
              </w:rPr>
            </w:pPr>
          </w:p>
        </w:tc>
      </w:tr>
      <w:tr w:rsidR="00BD3831" w:rsidRPr="00CD6A7C" w14:paraId="4529B0AB" w14:textId="77777777" w:rsidTr="00DF6715">
        <w:trPr>
          <w:trHeight w:val="50"/>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F2DFB"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مراجعة شاملة لتنفيذ الأعمال</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3B9C4"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A8E44" w14:textId="77777777" w:rsidR="00BD3831" w:rsidRPr="00CD6A7C" w:rsidRDefault="00BD3831" w:rsidP="0031289D">
            <w:pPr>
              <w:jc w:val="center"/>
              <w:rPr>
                <w:rFonts w:ascii="Arabic Typesetting" w:hAnsi="Arabic Typesetting" w:cs="Arabic Typesetting"/>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07621"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0CF5D"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01AE5"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4A3A0"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60233"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F2689"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61E9A"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0C2B4"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A352E"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6EB9E"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9F84B"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744AA"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20B7F"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FC387"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60CCFB51"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32D23435" w14:textId="77777777" w:rsidR="00BD3831" w:rsidRPr="00CD6A7C" w:rsidRDefault="00BD3831" w:rsidP="0031289D">
            <w:pPr>
              <w:jc w:val="center"/>
              <w:rPr>
                <w:rFonts w:ascii="Arabic Typesetting" w:hAnsi="Arabic Typesetting" w:cs="Arabic Typesetting"/>
                <w:sz w:val="28"/>
                <w:szCs w:val="28"/>
              </w:rPr>
            </w:pPr>
          </w:p>
        </w:tc>
      </w:tr>
      <w:tr w:rsidR="00BD3831" w:rsidRPr="00CD6A7C" w14:paraId="5B82D89D" w14:textId="77777777" w:rsidTr="00DF6715">
        <w:trPr>
          <w:trHeight w:val="615"/>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B5AAC" w14:textId="77777777" w:rsidR="00BD3831" w:rsidRPr="00CD6A7C" w:rsidRDefault="00BD3831" w:rsidP="0031289D">
            <w:pPr>
              <w:bidi/>
              <w:rPr>
                <w:rFonts w:ascii="Arabic Typesetting" w:hAnsi="Arabic Typesetting" w:cs="Arabic Typesetting"/>
                <w:color w:val="000000"/>
                <w:sz w:val="28"/>
                <w:szCs w:val="28"/>
                <w:rtl/>
                <w:lang w:bidi="ar-EG"/>
              </w:rPr>
            </w:pPr>
            <w:r w:rsidRPr="00CD6A7C">
              <w:rPr>
                <w:rFonts w:ascii="Arabic Typesetting" w:hAnsi="Arabic Typesetting" w:cs="Arabic Typesetting"/>
                <w:color w:val="000000"/>
                <w:sz w:val="28"/>
                <w:szCs w:val="28"/>
                <w:rtl/>
                <w:lang w:bidi="ar-EG"/>
              </w:rPr>
              <w:t>تغير القرار الداخلي في إنشاء مطبعة واحدة عوضا عن المطبعتين القائمتين</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26E6D"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2FB79"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653C9"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C8FF30"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2C4FC"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BA447"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A227D"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A1F6D"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488EA"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55D90"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32E03"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8F49E"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3D2ED5"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A8EA0"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E6386"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CC586"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3AF28836"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056053FE" w14:textId="77777777" w:rsidR="00BD3831" w:rsidRPr="00CD6A7C" w:rsidRDefault="00BD3831" w:rsidP="0031289D">
            <w:pPr>
              <w:spacing w:before="40" w:after="40"/>
              <w:jc w:val="center"/>
              <w:rPr>
                <w:rFonts w:ascii="Arabic Typesetting" w:hAnsi="Arabic Typesetting" w:cs="Arabic Typesetting"/>
                <w:noProof/>
                <w:sz w:val="28"/>
                <w:szCs w:val="28"/>
              </w:rPr>
            </w:pPr>
          </w:p>
        </w:tc>
      </w:tr>
      <w:tr w:rsidR="00BD3831" w:rsidRPr="00CD6A7C" w14:paraId="39F33A00" w14:textId="77777777" w:rsidTr="00DF6715">
        <w:trPr>
          <w:trHeight w:val="50"/>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BCF8B8" w14:textId="77777777" w:rsidR="00BD3831" w:rsidRPr="00CD6A7C" w:rsidRDefault="00BD3831" w:rsidP="0031289D">
            <w:pPr>
              <w:bidi/>
              <w:rPr>
                <w:rFonts w:ascii="Arabic Typesetting" w:hAnsi="Arabic Typesetting" w:cs="Arabic Typesetting"/>
                <w:color w:val="000000"/>
                <w:sz w:val="28"/>
                <w:szCs w:val="28"/>
                <w:rtl/>
                <w:lang w:bidi="ar-EG"/>
              </w:rPr>
            </w:pPr>
            <w:r w:rsidRPr="00CD6A7C">
              <w:rPr>
                <w:rFonts w:ascii="Arabic Typesetting" w:hAnsi="Arabic Typesetting" w:cs="Arabic Typesetting"/>
                <w:color w:val="000000"/>
                <w:sz w:val="28"/>
                <w:szCs w:val="28"/>
                <w:rtl/>
                <w:lang w:bidi="ar-EG"/>
              </w:rPr>
              <w:t>تحديث المراجعة الشاملة لتنفيذ الأعمال</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E8414"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E0048" w14:textId="77777777" w:rsidR="00BD3831" w:rsidRPr="00CD6A7C" w:rsidRDefault="00BD3831" w:rsidP="0031289D">
            <w:pPr>
              <w:jc w:val="center"/>
              <w:rPr>
                <w:rFonts w:ascii="Arabic Typesetting" w:hAnsi="Arabic Typesetting" w:cs="Arabic Typesetting"/>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D9E4C"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EC924"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7238C"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B97E9"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FAEC5"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508F6A"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92CD"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FE8C47"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585669"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F7D316" w14:textId="77777777" w:rsidR="00BD3831" w:rsidRPr="00CD6A7C" w:rsidRDefault="00BD3831" w:rsidP="0031289D">
            <w:pPr>
              <w:jc w:val="center"/>
              <w:rPr>
                <w:rFonts w:ascii="Arabic Typesetting" w:hAnsi="Arabic Typesetting" w:cs="Arabic Typesetting"/>
                <w:sz w:val="28"/>
                <w:szCs w:val="28"/>
              </w:rPr>
            </w:pPr>
            <w:r w:rsidRPr="00CD6A7C">
              <w:rPr>
                <w:rFonts w:ascii="Arabic Typesetting" w:hAnsi="Arabic Typesetting" w:cs="Arabic Typesetting"/>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9BDC6" w14:textId="77777777" w:rsidR="00BD3831" w:rsidRPr="00CD6A7C" w:rsidRDefault="00BD3831" w:rsidP="0031289D">
            <w:pPr>
              <w:jc w:val="center"/>
              <w:rPr>
                <w:rFonts w:ascii="Arabic Typesetting" w:hAnsi="Arabic Typesetting" w:cs="Arabic Typesetting"/>
                <w:sz w:val="28"/>
                <w:szCs w:val="28"/>
              </w:rPr>
            </w:pPr>
            <w:r w:rsidRPr="00CD6A7C">
              <w:rPr>
                <w:rFonts w:ascii="Arabic Typesetting" w:hAnsi="Arabic Typesetting" w:cs="Arabic Typesetting"/>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2130B"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C17D17"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E8AB01"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0AF5226E"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79367A00" w14:textId="77777777" w:rsidR="00BD3831" w:rsidRPr="00CD6A7C" w:rsidRDefault="00BD3831" w:rsidP="0031289D">
            <w:pPr>
              <w:jc w:val="center"/>
              <w:rPr>
                <w:rFonts w:ascii="Arabic Typesetting" w:hAnsi="Arabic Typesetting" w:cs="Arabic Typesetting"/>
                <w:sz w:val="28"/>
                <w:szCs w:val="28"/>
              </w:rPr>
            </w:pPr>
          </w:p>
        </w:tc>
      </w:tr>
      <w:tr w:rsidR="00BD3831" w:rsidRPr="00CD6A7C" w14:paraId="6E6CE2F8" w14:textId="77777777" w:rsidTr="00DF6715">
        <w:trPr>
          <w:trHeight w:val="50"/>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4F056"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طرح مناقصة على الشركات والاختيار من بينها</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84E105"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94520"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9D9AF7"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ED45D"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5DD6F"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CC9A8"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1262B"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22E4A"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6B197"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7A620"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D0346"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372C4"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696FA"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AE37D"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61730"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4720A"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7007CF28"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76A33673" w14:textId="77777777" w:rsidR="00BD3831" w:rsidRPr="00CD6A7C" w:rsidRDefault="00BD3831" w:rsidP="0031289D">
            <w:pPr>
              <w:spacing w:before="40" w:after="40"/>
              <w:jc w:val="center"/>
              <w:rPr>
                <w:rFonts w:ascii="Arabic Typesetting" w:hAnsi="Arabic Typesetting" w:cs="Arabic Typesetting"/>
                <w:noProof/>
                <w:sz w:val="28"/>
                <w:szCs w:val="28"/>
              </w:rPr>
            </w:pPr>
          </w:p>
        </w:tc>
      </w:tr>
      <w:tr w:rsidR="00BD3831" w:rsidRPr="00CD6A7C" w14:paraId="7CD60DBE" w14:textId="77777777" w:rsidTr="00DF6715">
        <w:trPr>
          <w:trHeight w:val="425"/>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C3469" w14:textId="77777777" w:rsidR="00BD3831" w:rsidRPr="00CD6A7C" w:rsidRDefault="00BD3831" w:rsidP="0031289D">
            <w:pPr>
              <w:bidi/>
              <w:rPr>
                <w:rFonts w:ascii="Arabic Typesetting" w:hAnsi="Arabic Typesetting" w:cs="Arabic Typesetting"/>
                <w:color w:val="000000"/>
                <w:sz w:val="28"/>
                <w:szCs w:val="28"/>
                <w:lang w:bidi="ar-EG"/>
              </w:rPr>
            </w:pPr>
            <w:r w:rsidRPr="00CD6A7C">
              <w:rPr>
                <w:rFonts w:ascii="Arabic Typesetting" w:hAnsi="Arabic Typesetting" w:cs="Arabic Typesetting"/>
                <w:color w:val="000000"/>
                <w:sz w:val="28"/>
                <w:szCs w:val="28"/>
                <w:rtl/>
                <w:lang w:bidi="ar-EG"/>
              </w:rPr>
              <w:t>أعمال الجزء المتبقي من مركز البيانات وتكليفها</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384C7"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97798"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DEFFD"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C9ACB"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B4E71"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CFFB9"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B184D"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D00F60"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AA1B4"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A4957"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C4500"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00C42"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3121A"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A25EA"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D843C"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6BFCC"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31A8D252"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34996C21" w14:textId="77777777" w:rsidR="00BD3831" w:rsidRPr="00CD6A7C" w:rsidRDefault="00BD3831" w:rsidP="0031289D">
            <w:pPr>
              <w:spacing w:before="40" w:after="40"/>
              <w:jc w:val="center"/>
              <w:rPr>
                <w:rFonts w:ascii="Arabic Typesetting" w:hAnsi="Arabic Typesetting" w:cs="Arabic Typesetting"/>
                <w:noProof/>
                <w:sz w:val="28"/>
                <w:szCs w:val="28"/>
              </w:rPr>
            </w:pPr>
          </w:p>
        </w:tc>
      </w:tr>
      <w:tr w:rsidR="00BD3831" w:rsidRPr="00CD6A7C" w14:paraId="315DA7BE" w14:textId="77777777" w:rsidTr="00DF6715">
        <w:trPr>
          <w:trHeight w:val="425"/>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A3779" w14:textId="77777777" w:rsidR="00BD3831" w:rsidRPr="00CD6A7C" w:rsidRDefault="00BD3831" w:rsidP="0031289D">
            <w:pPr>
              <w:bidi/>
              <w:rPr>
                <w:rFonts w:ascii="Arabic Typesetting" w:hAnsi="Arabic Typesetting" w:cs="Arabic Typesetting"/>
                <w:color w:val="000000"/>
                <w:sz w:val="28"/>
                <w:szCs w:val="28"/>
                <w:rtl/>
                <w:lang w:bidi="ar-EG"/>
              </w:rPr>
            </w:pPr>
            <w:r w:rsidRPr="00CD6A7C">
              <w:rPr>
                <w:rFonts w:ascii="Arabic Typesetting" w:hAnsi="Arabic Typesetting" w:cs="Arabic Typesetting"/>
                <w:color w:val="000000"/>
                <w:sz w:val="28"/>
                <w:szCs w:val="28"/>
                <w:rtl/>
                <w:lang w:bidi="ar-EG"/>
              </w:rPr>
              <w:t>أعمال (التفكيك والبناء) الخاصة بمساحات المطبعة والوثائق</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EE3C3"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4A2A1"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FDED1"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3DA16"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22F85"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5DDA0"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43AEF"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5CDBE"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2FA05"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E5F5E"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D72EA"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E45B6"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534A2"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0D256"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5222E1"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0F253"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vAlign w:val="center"/>
          </w:tcPr>
          <w:p w14:paraId="0C2D12CD"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vAlign w:val="center"/>
          </w:tcPr>
          <w:p w14:paraId="3837023D" w14:textId="77777777" w:rsidR="00BD3831" w:rsidRPr="00CD6A7C" w:rsidRDefault="00BD3831" w:rsidP="0031289D">
            <w:pPr>
              <w:spacing w:before="40" w:after="40"/>
              <w:jc w:val="center"/>
              <w:rPr>
                <w:rFonts w:ascii="Arabic Typesetting" w:hAnsi="Arabic Typesetting" w:cs="Arabic Typesetting"/>
                <w:noProof/>
                <w:sz w:val="28"/>
                <w:szCs w:val="28"/>
              </w:rPr>
            </w:pPr>
          </w:p>
        </w:tc>
      </w:tr>
      <w:tr w:rsidR="00BD3831" w:rsidRPr="00CD6A7C" w14:paraId="629A61A4" w14:textId="77777777" w:rsidTr="00DF6715">
        <w:trPr>
          <w:trHeight w:val="425"/>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8E5BC" w14:textId="77777777" w:rsidR="00BD3831" w:rsidRPr="00CD6A7C" w:rsidRDefault="00BD3831" w:rsidP="0031289D">
            <w:pPr>
              <w:bidi/>
              <w:rPr>
                <w:rFonts w:ascii="Arabic Typesetting" w:hAnsi="Arabic Typesetting" w:cs="Arabic Typesetting"/>
                <w:color w:val="000000"/>
                <w:sz w:val="28"/>
                <w:szCs w:val="28"/>
                <w:rtl/>
                <w:lang w:bidi="ar-EG"/>
              </w:rPr>
            </w:pPr>
            <w:r w:rsidRPr="00CD6A7C">
              <w:rPr>
                <w:rFonts w:ascii="Arabic Typesetting" w:hAnsi="Arabic Typesetting" w:cs="Arabic Typesetting"/>
                <w:color w:val="000000"/>
                <w:sz w:val="28"/>
                <w:szCs w:val="28"/>
                <w:rtl/>
                <w:lang w:bidi="ar-EG"/>
              </w:rPr>
              <w:t>تكليف مراحل المساحات المجددة للمطبعة والوثائق</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92429A"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11D799" w14:textId="77777777" w:rsidR="00BD3831" w:rsidRPr="00CD6A7C" w:rsidRDefault="00BD3831" w:rsidP="0031289D">
            <w:pPr>
              <w:jc w:val="center"/>
              <w:rPr>
                <w:rFonts w:ascii="Arabic Typesetting" w:hAnsi="Arabic Typesetting" w:cs="Arabic Typesetting"/>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8F7A1"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0964F"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31EBA"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EB118"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CB24B"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0D982"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355082"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E3D80"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A5323"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40E19"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DD19E"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F54FE" w14:textId="77777777" w:rsidR="00BD3831" w:rsidRPr="00CD6A7C" w:rsidRDefault="00BD3831" w:rsidP="0031289D">
            <w:pPr>
              <w:jc w:val="center"/>
              <w:rPr>
                <w:rFonts w:ascii="Arabic Typesetting" w:hAnsi="Arabic Typesetting" w:cs="Arabic Typesetting"/>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EC6FC3"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85D5D" w14:textId="77777777" w:rsidR="00BD3831" w:rsidRPr="00CD6A7C" w:rsidRDefault="00BD3831" w:rsidP="0031289D">
            <w:pPr>
              <w:spacing w:before="40" w:after="40"/>
              <w:jc w:val="center"/>
              <w:rPr>
                <w:rFonts w:ascii="Arabic Typesetting" w:hAnsi="Arabic Typesetting" w:cs="Arabic Typesetting"/>
                <w:noProof/>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6C72843C"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c>
          <w:tcPr>
            <w:tcW w:w="199" w:type="pct"/>
            <w:tcBorders>
              <w:top w:val="single" w:sz="4" w:space="0" w:color="auto"/>
              <w:left w:val="single" w:sz="4" w:space="0" w:color="auto"/>
              <w:bottom w:val="single" w:sz="4" w:space="0" w:color="auto"/>
              <w:right w:val="single" w:sz="4" w:space="0" w:color="auto"/>
            </w:tcBorders>
            <w:vAlign w:val="center"/>
          </w:tcPr>
          <w:p w14:paraId="0047EEA2" w14:textId="77777777" w:rsidR="00BD3831" w:rsidRPr="00CD6A7C" w:rsidRDefault="00BD3831" w:rsidP="0031289D">
            <w:pPr>
              <w:spacing w:before="40" w:after="40"/>
              <w:jc w:val="center"/>
              <w:rPr>
                <w:rFonts w:ascii="Arabic Typesetting" w:hAnsi="Arabic Typesetting" w:cs="Arabic Typesetting"/>
                <w:noProof/>
                <w:sz w:val="28"/>
                <w:szCs w:val="28"/>
              </w:rPr>
            </w:pPr>
            <w:r w:rsidRPr="00CD6A7C">
              <w:rPr>
                <w:rFonts w:ascii="Arabic Typesetting" w:hAnsi="Arabic Typesetting" w:cs="Arabic Typesetting"/>
                <w:noProof/>
                <w:sz w:val="28"/>
                <w:szCs w:val="28"/>
              </w:rPr>
              <w:t>X</w:t>
            </w:r>
          </w:p>
        </w:tc>
      </w:tr>
    </w:tbl>
    <w:p w14:paraId="57A0B189" w14:textId="77777777" w:rsidR="00BD3831" w:rsidRPr="00E551B2" w:rsidRDefault="00BD3831" w:rsidP="0031289D">
      <w:pPr>
        <w:keepNext/>
        <w:pageBreakBefore/>
        <w:bidi/>
        <w:spacing w:after="240" w:line="340" w:lineRule="exact"/>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lastRenderedPageBreak/>
        <w:t>المشروعات المتصلة بالمباني</w:t>
      </w:r>
    </w:p>
    <w:p w14:paraId="4AC7BEA5" w14:textId="77777777" w:rsidR="00BD3831" w:rsidRPr="00E551B2" w:rsidRDefault="00BD3831" w:rsidP="0031289D">
      <w:pPr>
        <w:pStyle w:val="Heading4"/>
      </w:pPr>
      <w:bookmarkStart w:id="81" w:name="_Toc450635446"/>
      <w:bookmarkStart w:id="82" w:name="_Toc455393415"/>
      <w:bookmarkStart w:id="83" w:name="_Toc482782791"/>
      <w:r w:rsidRPr="00E551B2">
        <w:rPr>
          <w:rtl/>
        </w:rPr>
        <w:t>المشروع 6: مبنى أرباد بوكش</w:t>
      </w:r>
      <w:r>
        <w:rPr>
          <w:rFonts w:hint="cs"/>
          <w:rtl/>
        </w:rPr>
        <w:t xml:space="preserve"> -</w:t>
      </w:r>
      <w:r w:rsidRPr="00E551B2">
        <w:rPr>
          <w:rtl/>
        </w:rPr>
        <w:t xml:space="preserve"> استبدال بعض النوافذ (</w:t>
      </w:r>
      <w:r w:rsidRPr="00E551B2">
        <w:t>CMP 6</w:t>
      </w:r>
      <w:r w:rsidRPr="00E551B2">
        <w:rPr>
          <w:rtl/>
        </w:rPr>
        <w:t>)</w:t>
      </w:r>
      <w:bookmarkEnd w:id="81"/>
      <w:bookmarkEnd w:id="82"/>
      <w:bookmarkEnd w:id="83"/>
    </w:p>
    <w:p w14:paraId="6BE98CAA" w14:textId="77777777" w:rsidR="00BD3831" w:rsidRPr="00E551B2" w:rsidRDefault="00BD3831" w:rsidP="0031289D">
      <w:pPr>
        <w:keepNext/>
        <w:bidi/>
        <w:spacing w:after="240" w:line="340" w:lineRule="exact"/>
        <w:ind w:left="1417" w:hanging="1417"/>
        <w:rPr>
          <w:rFonts w:ascii="Arabic Typesetting" w:hAnsi="Arabic Typesetting" w:cs="Arabic Typesetting"/>
          <w:bCs/>
          <w:sz w:val="34"/>
          <w:szCs w:val="36"/>
          <w:rtl/>
          <w:lang w:val="fr-CH"/>
        </w:rPr>
      </w:pPr>
      <w:r w:rsidRPr="00E551B2">
        <w:rPr>
          <w:rFonts w:ascii="Arabic Typesetting" w:hAnsi="Arabic Typesetting" w:cs="Arabic Typesetting"/>
          <w:bCs/>
          <w:sz w:val="34"/>
          <w:szCs w:val="36"/>
          <w:rtl/>
          <w:lang w:val="fr-CH"/>
        </w:rPr>
        <w:t>مدير المشروع</w:t>
      </w:r>
      <w:r w:rsidRPr="00E551B2">
        <w:rPr>
          <w:rFonts w:ascii="Arabic Typesetting" w:hAnsi="Arabic Typesetting" w:cs="Arabic Typesetting"/>
          <w:bCs/>
          <w:sz w:val="34"/>
          <w:szCs w:val="36"/>
          <w:rtl/>
          <w:lang w:val="fr-CH"/>
        </w:rPr>
        <w:tab/>
        <w:t>السيد ألفيو فافيرو</w:t>
      </w:r>
    </w:p>
    <w:p w14:paraId="79C655F5" w14:textId="77777777" w:rsidR="00BD3831" w:rsidRPr="00E551B2" w:rsidRDefault="00BD3831" w:rsidP="0031289D">
      <w:pPr>
        <w:bidi/>
        <w:spacing w:after="240" w:line="340" w:lineRule="exact"/>
        <w:rPr>
          <w:rFonts w:ascii="Arabic Typesetting" w:hAnsi="Arabic Typesetting" w:cs="Arabic Typesetting"/>
          <w:b/>
          <w:sz w:val="34"/>
          <w:szCs w:val="34"/>
          <w:lang w:bidi="ar-EG"/>
        </w:rPr>
      </w:pPr>
      <w:r w:rsidRPr="00E551B2">
        <w:rPr>
          <w:rFonts w:ascii="Arabic Typesetting" w:hAnsi="Arabic Typesetting" w:cs="Arabic Typesetting"/>
          <w:b/>
          <w:sz w:val="34"/>
          <w:szCs w:val="34"/>
          <w:rtl/>
          <w:lang w:bidi="ar-EG"/>
        </w:rPr>
        <w:t>النتيجة المرتقبة</w:t>
      </w:r>
    </w:p>
    <w:p w14:paraId="48DC901D" w14:textId="77777777" w:rsidR="00BD3831" w:rsidRPr="00E551B2" w:rsidRDefault="00BD3831" w:rsidP="0031289D">
      <w:pPr>
        <w:bidi/>
        <w:spacing w:after="240" w:line="340" w:lineRule="exact"/>
        <w:rPr>
          <w:rFonts w:ascii="Arabic Typesetting" w:hAnsi="Arabic Typesetting" w:cs="Arabic Typesetting"/>
          <w:b/>
          <w:iCs/>
          <w:sz w:val="34"/>
          <w:szCs w:val="34"/>
          <w:rtl/>
          <w:lang w:bidi="ar-EG"/>
        </w:rPr>
      </w:pPr>
      <w:r w:rsidRPr="00E551B2">
        <w:rPr>
          <w:rFonts w:ascii="Arabic Typesetting" w:hAnsi="Arabic Typesetting" w:cs="Arabic Typesetting"/>
          <w:b/>
          <w:iCs/>
          <w:sz w:val="34"/>
          <w:szCs w:val="34"/>
          <w:rtl/>
          <w:lang w:bidi="ar-EG"/>
        </w:rPr>
        <w:t xml:space="preserve">ه1.9 </w:t>
      </w:r>
      <w:r>
        <w:rPr>
          <w:rFonts w:ascii="Arabic Typesetting" w:hAnsi="Arabic Typesetting" w:cs="Arabic Typesetting"/>
          <w:b/>
          <w:iCs/>
          <w:sz w:val="34"/>
          <w:szCs w:val="34"/>
          <w:rtl/>
          <w:lang w:bidi="ar-EG"/>
        </w:rPr>
        <w:t>خدمات دعم موجهة للزبون بفعالية وكفاءة وجودة لفائدة الزبائن الداخليين وأصحاب المصلحة الخارجيين</w:t>
      </w:r>
    </w:p>
    <w:p w14:paraId="509188F8" w14:textId="77777777" w:rsidR="00BD3831" w:rsidRPr="00E551B2" w:rsidRDefault="00BD3831" w:rsidP="0031289D">
      <w:pPr>
        <w:keepNext/>
        <w:bidi/>
        <w:spacing w:after="240" w:line="340" w:lineRule="exact"/>
        <w:rPr>
          <w:rFonts w:ascii="Arabic Typesetting" w:hAnsi="Arabic Typesetting" w:cs="Arabic Typesetting"/>
          <w:b/>
          <w:sz w:val="34"/>
          <w:szCs w:val="34"/>
          <w:lang w:bidi="ar-EG"/>
        </w:rPr>
      </w:pPr>
      <w:r w:rsidRPr="00E551B2">
        <w:rPr>
          <w:rFonts w:ascii="Arabic Typesetting" w:hAnsi="Arabic Typesetting" w:cs="Arabic Typesetting"/>
          <w:b/>
          <w:sz w:val="34"/>
          <w:szCs w:val="34"/>
          <w:rtl/>
          <w:lang w:bidi="ar-EG"/>
        </w:rPr>
        <w:t>الأهداف والنطاق والنهج – معلومات أساسية</w:t>
      </w:r>
    </w:p>
    <w:p w14:paraId="7A40632A" w14:textId="77777777" w:rsidR="00BD3831" w:rsidRPr="00E551B2" w:rsidRDefault="00BD3831" w:rsidP="0031289D">
      <w:pPr>
        <w:numPr>
          <w:ilvl w:val="0"/>
          <w:numId w:val="52"/>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 xml:space="preserve">خلال العقود الثلاثة الماضية، كانت نوافذ الواجهة الجنوبية الغربية من مبنى أرباد بوكش هي الأكثر تعرضا للشمس وللحرارة ولأكبر تفاوت في درجات الحرارة كل عام بين الشتاء والصيف، وأدى ذلك إلى تدهور خصائصها الحرارية </w:t>
      </w:r>
      <w:r w:rsidRPr="00E551B2">
        <w:rPr>
          <w:rFonts w:ascii="Arabic Typesetting" w:hAnsi="Arabic Typesetting" w:cs="Arabic Typesetting" w:hint="cs"/>
          <w:sz w:val="34"/>
          <w:szCs w:val="34"/>
          <w:rtl/>
        </w:rPr>
        <w:t>تدهوراً</w:t>
      </w:r>
      <w:r w:rsidRPr="00E551B2">
        <w:rPr>
          <w:rFonts w:ascii="Arabic Typesetting" w:hAnsi="Arabic Typesetting" w:cs="Arabic Typesetting"/>
          <w:sz w:val="34"/>
          <w:szCs w:val="34"/>
          <w:rtl/>
        </w:rPr>
        <w:t xml:space="preserve"> كبير</w:t>
      </w:r>
      <w:r w:rsidRPr="00E551B2">
        <w:rPr>
          <w:rFonts w:ascii="Arabic Typesetting" w:hAnsi="Arabic Typesetting" w:cs="Arabic Typesetting" w:hint="cs"/>
          <w:sz w:val="34"/>
          <w:szCs w:val="34"/>
          <w:rtl/>
        </w:rPr>
        <w:t>اً</w:t>
      </w:r>
      <w:r w:rsidRPr="00E551B2">
        <w:rPr>
          <w:rFonts w:ascii="Arabic Typesetting" w:hAnsi="Arabic Typesetting" w:cs="Arabic Typesetting"/>
          <w:sz w:val="34"/>
          <w:szCs w:val="34"/>
          <w:rtl/>
        </w:rPr>
        <w:t xml:space="preserve">. وإضافة إلى ذلك، فإن عددا من </w:t>
      </w:r>
      <w:r>
        <w:rPr>
          <w:rFonts w:ascii="Arabic Typesetting" w:hAnsi="Arabic Typesetting" w:cs="Arabic Typesetting" w:hint="cs"/>
          <w:sz w:val="34"/>
          <w:szCs w:val="34"/>
          <w:rtl/>
        </w:rPr>
        <w:t>تلك</w:t>
      </w:r>
      <w:r w:rsidRPr="00E551B2">
        <w:rPr>
          <w:rFonts w:ascii="Arabic Typesetting" w:hAnsi="Arabic Typesetting" w:cs="Arabic Typesetting"/>
          <w:sz w:val="34"/>
          <w:szCs w:val="34"/>
          <w:rtl/>
        </w:rPr>
        <w:t xml:space="preserve"> النوافذ ونوافذ أخرى</w:t>
      </w:r>
      <w:r w:rsidRPr="00E551B2">
        <w:rPr>
          <w:rFonts w:ascii="Arabic Typesetting" w:hAnsi="Arabic Typesetting" w:cs="Arabic Typesetting" w:hint="cs"/>
          <w:sz w:val="34"/>
          <w:szCs w:val="34"/>
          <w:rtl/>
        </w:rPr>
        <w:t xml:space="preserve"> في </w:t>
      </w:r>
      <w:r w:rsidRPr="00E551B2">
        <w:rPr>
          <w:rFonts w:ascii="Arabic Typesetting" w:hAnsi="Arabic Typesetting" w:cs="Arabic Typesetting"/>
          <w:sz w:val="34"/>
          <w:szCs w:val="34"/>
          <w:rtl/>
        </w:rPr>
        <w:t>الواجهة</w:t>
      </w:r>
      <w:r w:rsidRPr="00E551B2">
        <w:rPr>
          <w:rFonts w:ascii="Arabic Typesetting" w:hAnsi="Arabic Typesetting" w:cs="Arabic Typesetting" w:hint="cs"/>
          <w:sz w:val="34"/>
          <w:szCs w:val="34"/>
          <w:rtl/>
        </w:rPr>
        <w:t xml:space="preserve"> نفسها</w:t>
      </w:r>
      <w:r w:rsidRPr="00E551B2">
        <w:rPr>
          <w:rFonts w:ascii="Arabic Typesetting" w:hAnsi="Arabic Typesetting" w:cs="Arabic Typesetting"/>
          <w:sz w:val="34"/>
          <w:szCs w:val="34"/>
          <w:rtl/>
        </w:rPr>
        <w:t xml:space="preserve"> طرأ عليها تغير في لونها الأزرق (فتحولت إلى مجموعة من أطياف اللونين الوردي والأرجواني) بسبب تقادم مكونات الغاز التي تملأ الفراغ بين طبقات الزجاج.</w:t>
      </w:r>
    </w:p>
    <w:p w14:paraId="132930A1" w14:textId="77777777" w:rsidR="00BD3831" w:rsidRPr="00E551B2" w:rsidRDefault="00BD3831" w:rsidP="0031289D">
      <w:pPr>
        <w:numPr>
          <w:ilvl w:val="0"/>
          <w:numId w:val="52"/>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وس</w:t>
      </w:r>
      <w:r w:rsidRPr="00E551B2">
        <w:rPr>
          <w:rFonts w:ascii="Arabic Typesetting" w:hAnsi="Arabic Typesetting" w:cs="Arabic Typesetting" w:hint="cs"/>
          <w:sz w:val="34"/>
          <w:szCs w:val="34"/>
          <w:rtl/>
        </w:rPr>
        <w:t>يؤدي</w:t>
      </w:r>
      <w:r>
        <w:rPr>
          <w:rFonts w:ascii="Arabic Typesetting" w:hAnsi="Arabic Typesetting" w:cs="Arabic Typesetting"/>
          <w:sz w:val="34"/>
          <w:szCs w:val="34"/>
          <w:rtl/>
        </w:rPr>
        <w:t xml:space="preserve"> استبدال </w:t>
      </w:r>
      <w:r>
        <w:rPr>
          <w:rFonts w:ascii="Arabic Typesetting" w:hAnsi="Arabic Typesetting" w:cs="Arabic Typesetting" w:hint="cs"/>
          <w:sz w:val="34"/>
          <w:szCs w:val="34"/>
          <w:rtl/>
        </w:rPr>
        <w:t>تلك</w:t>
      </w:r>
      <w:r w:rsidRPr="00E551B2">
        <w:rPr>
          <w:rFonts w:ascii="Arabic Typesetting" w:hAnsi="Arabic Typesetting" w:cs="Arabic Typesetting"/>
          <w:sz w:val="34"/>
          <w:szCs w:val="34"/>
          <w:rtl/>
        </w:rPr>
        <w:t xml:space="preserve"> النوافذ </w:t>
      </w:r>
      <w:r w:rsidRPr="00E551B2">
        <w:rPr>
          <w:rFonts w:ascii="Arabic Typesetting" w:hAnsi="Arabic Typesetting" w:cs="Arabic Typesetting" w:hint="cs"/>
          <w:sz w:val="34"/>
          <w:szCs w:val="34"/>
          <w:rtl/>
        </w:rPr>
        <w:t xml:space="preserve">إلى انخفاض كبير في </w:t>
      </w:r>
      <w:r w:rsidRPr="00E551B2">
        <w:rPr>
          <w:rFonts w:ascii="Arabic Typesetting" w:hAnsi="Arabic Typesetting" w:cs="Arabic Typesetting"/>
          <w:sz w:val="34"/>
          <w:szCs w:val="34"/>
          <w:rtl/>
        </w:rPr>
        <w:t xml:space="preserve">استهلاك طاقة تبريد المكاتب المعنية في فترات الطقس الدافئ. </w:t>
      </w: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سيتيح</w:t>
      </w:r>
      <w:r>
        <w:rPr>
          <w:rFonts w:ascii="Arabic Typesetting" w:hAnsi="Arabic Typesetting" w:cs="Arabic Typesetting" w:hint="cs"/>
          <w:sz w:val="34"/>
          <w:szCs w:val="34"/>
          <w:rtl/>
        </w:rPr>
        <w:t> </w:t>
      </w:r>
      <w:r w:rsidRPr="00E551B2">
        <w:rPr>
          <w:rFonts w:ascii="Arabic Typesetting" w:hAnsi="Arabic Typesetting" w:cs="Arabic Typesetting"/>
          <w:sz w:val="34"/>
          <w:szCs w:val="34"/>
          <w:rtl/>
        </w:rPr>
        <w:t>الفرصة لتحسين المظهر الجمالي لمبنى أرباد بوكش</w:t>
      </w:r>
      <w:r w:rsidRPr="00E551B2">
        <w:rPr>
          <w:rFonts w:ascii="Arabic Typesetting" w:hAnsi="Arabic Typesetting" w:cs="Arabic Typesetting" w:hint="cs"/>
          <w:sz w:val="34"/>
          <w:szCs w:val="34"/>
          <w:rtl/>
        </w:rPr>
        <w:t xml:space="preserve"> بوصفه معلماً</w:t>
      </w:r>
      <w:r w:rsidRPr="00E551B2">
        <w:rPr>
          <w:rFonts w:ascii="Arabic Typesetting" w:hAnsi="Arabic Typesetting" w:cs="Arabic Typesetting"/>
          <w:sz w:val="34"/>
          <w:szCs w:val="34"/>
          <w:rtl/>
        </w:rPr>
        <w:t xml:space="preserve"> من معالم جنيف.</w:t>
      </w:r>
    </w:p>
    <w:p w14:paraId="2E3B5965" w14:textId="77777777" w:rsidR="00BD3831" w:rsidRPr="00E551B2" w:rsidRDefault="00BD3831" w:rsidP="0031289D">
      <w:pPr>
        <w:numPr>
          <w:ilvl w:val="0"/>
          <w:numId w:val="52"/>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وأهداف المشروع هي</w:t>
      </w:r>
      <w:r w:rsidRPr="00E551B2">
        <w:rPr>
          <w:rFonts w:ascii="Arabic Typesetting" w:hAnsi="Arabic Typesetting" w:cs="Arabic Typesetting"/>
          <w:color w:val="000000"/>
          <w:sz w:val="34"/>
          <w:szCs w:val="34"/>
        </w:rPr>
        <w:t xml:space="preserve"> </w:t>
      </w:r>
      <w:r w:rsidRPr="00E551B2">
        <w:rPr>
          <w:rFonts w:ascii="Arabic Typesetting" w:hAnsi="Arabic Typesetting" w:cs="Arabic Typesetting"/>
          <w:sz w:val="34"/>
          <w:szCs w:val="34"/>
          <w:rtl/>
        </w:rPr>
        <w:t>"1" تحسين الجودة الحرارية وفعالية استهلاك الطاقة للواجهة الجنوبية الغربية لمبنى أرباد بوكش؛ "2"</w:t>
      </w:r>
      <w:r w:rsidRPr="00E551B2">
        <w:rPr>
          <w:rFonts w:ascii="Arabic Typesetting" w:hAnsi="Arabic Typesetting" w:cs="Arabic Typesetting" w:hint="cs"/>
          <w:sz w:val="34"/>
          <w:szCs w:val="34"/>
          <w:rtl/>
        </w:rPr>
        <w:t> و</w:t>
      </w:r>
      <w:r w:rsidRPr="00E551B2">
        <w:rPr>
          <w:rFonts w:ascii="Arabic Typesetting" w:hAnsi="Arabic Typesetting" w:cs="Arabic Typesetting"/>
          <w:sz w:val="34"/>
          <w:szCs w:val="34"/>
          <w:rtl/>
        </w:rPr>
        <w:t xml:space="preserve">تقليل استهلاك الطاقة؛ "3" </w:t>
      </w:r>
      <w:r w:rsidRPr="00E551B2">
        <w:rPr>
          <w:rFonts w:ascii="Arabic Typesetting" w:hAnsi="Arabic Typesetting" w:cs="Arabic Typesetting" w:hint="cs"/>
          <w:sz w:val="34"/>
          <w:szCs w:val="34"/>
          <w:rtl/>
        </w:rPr>
        <w:t>و</w:t>
      </w:r>
      <w:r w:rsidRPr="00E551B2">
        <w:rPr>
          <w:rFonts w:ascii="Arabic Typesetting" w:hAnsi="Arabic Typesetting" w:cs="Arabic Typesetting"/>
          <w:sz w:val="34"/>
          <w:szCs w:val="34"/>
          <w:rtl/>
        </w:rPr>
        <w:t>تحسين الراحة الحرارية للعاملين؛ "4"</w:t>
      </w:r>
      <w:r w:rsidRPr="00E551B2">
        <w:rPr>
          <w:rFonts w:ascii="Arabic Typesetting" w:hAnsi="Arabic Typesetting" w:cs="Arabic Typesetting" w:hint="cs"/>
          <w:sz w:val="34"/>
          <w:szCs w:val="34"/>
          <w:rtl/>
        </w:rPr>
        <w:t> و</w:t>
      </w:r>
      <w:r w:rsidRPr="00E551B2">
        <w:rPr>
          <w:rFonts w:ascii="Arabic Typesetting" w:hAnsi="Arabic Typesetting" w:cs="Arabic Typesetting"/>
          <w:sz w:val="34"/>
          <w:szCs w:val="34"/>
          <w:rtl/>
        </w:rPr>
        <w:t>تحسين المظهر الجمالي لمبنى أرباد بوكش.</w:t>
      </w:r>
    </w:p>
    <w:p w14:paraId="35E1476B" w14:textId="77777777" w:rsidR="00BD3831" w:rsidRPr="00E551B2" w:rsidRDefault="00BD3831" w:rsidP="0031289D">
      <w:pPr>
        <w:bidi/>
        <w:spacing w:after="240" w:line="340" w:lineRule="exact"/>
        <w:jc w:val="both"/>
        <w:rPr>
          <w:rFonts w:ascii="Arabic Typesetting" w:hAnsi="Arabic Typesetting" w:cs="Arabic Typesetting"/>
          <w:b/>
          <w:sz w:val="34"/>
          <w:szCs w:val="34"/>
          <w:lang w:bidi="ar-EG"/>
        </w:rPr>
      </w:pPr>
      <w:r w:rsidRPr="00E551B2">
        <w:rPr>
          <w:rFonts w:ascii="Arabic Typesetting" w:hAnsi="Arabic Typesetting" w:cs="Arabic Typesetting"/>
          <w:b/>
          <w:sz w:val="34"/>
          <w:szCs w:val="34"/>
          <w:rtl/>
          <w:lang w:bidi="ar-EG"/>
        </w:rPr>
        <w:t xml:space="preserve">استعراض التقدم المحرز في </w:t>
      </w:r>
      <w:r>
        <w:rPr>
          <w:rFonts w:ascii="Arabic Typesetting" w:hAnsi="Arabic Typesetting" w:cs="Arabic Typesetting" w:hint="cs"/>
          <w:b/>
          <w:sz w:val="34"/>
          <w:szCs w:val="34"/>
          <w:rtl/>
          <w:lang w:bidi="ar-EG"/>
        </w:rPr>
        <w:t>2016</w:t>
      </w:r>
      <w:r w:rsidRPr="00E551B2">
        <w:rPr>
          <w:rFonts w:ascii="Arabic Typesetting" w:hAnsi="Arabic Typesetting" w:cs="Arabic Typesetting"/>
          <w:b/>
          <w:sz w:val="34"/>
          <w:szCs w:val="34"/>
          <w:rtl/>
          <w:lang w:bidi="ar-EG"/>
        </w:rPr>
        <w:t xml:space="preserve"> (المعالم الرئيسية)</w:t>
      </w:r>
    </w:p>
    <w:p w14:paraId="1E7D918A" w14:textId="77777777" w:rsidR="00BD3831" w:rsidRDefault="00BD3831" w:rsidP="0031289D">
      <w:pPr>
        <w:numPr>
          <w:ilvl w:val="0"/>
          <w:numId w:val="52"/>
        </w:numPr>
        <w:tabs>
          <w:tab w:val="clear" w:pos="567"/>
        </w:tabs>
        <w:bidi/>
        <w:spacing w:after="240" w:line="340" w:lineRule="exact"/>
        <w:rPr>
          <w:rFonts w:ascii="Arabic Typesetting" w:hAnsi="Arabic Typesetting" w:cs="Arabic Typesetting"/>
          <w:noProof/>
          <w:sz w:val="34"/>
          <w:szCs w:val="34"/>
        </w:rPr>
      </w:pPr>
      <w:r>
        <w:rPr>
          <w:rFonts w:ascii="Arabic Typesetting" w:hAnsi="Arabic Typesetting" w:cs="Arabic Typesetting" w:hint="cs"/>
          <w:noProof/>
          <w:sz w:val="34"/>
          <w:szCs w:val="34"/>
          <w:rtl/>
        </w:rPr>
        <w:t>في عام 2015، اكتُشفت مشكلات تقنية غير متوقعة وغير قابلة للتوقع خلال العمل الجزئي المحدود على الواجهة الجنوبية الغربية، فقُرر تأجيل تنفيذ المشروع حتى حل تلك المشكلات التقنية.</w:t>
      </w:r>
    </w:p>
    <w:p w14:paraId="5245216A" w14:textId="77777777" w:rsidR="00BD3831" w:rsidRDefault="00BD3831" w:rsidP="0031289D">
      <w:pPr>
        <w:numPr>
          <w:ilvl w:val="0"/>
          <w:numId w:val="52"/>
        </w:numPr>
        <w:tabs>
          <w:tab w:val="clear" w:pos="567"/>
        </w:tabs>
        <w:bidi/>
        <w:spacing w:after="240" w:line="340" w:lineRule="exact"/>
        <w:rPr>
          <w:rFonts w:ascii="Arabic Typesetting" w:hAnsi="Arabic Typesetting" w:cs="Arabic Typesetting"/>
          <w:noProof/>
          <w:sz w:val="34"/>
          <w:szCs w:val="34"/>
        </w:rPr>
      </w:pPr>
      <w:r>
        <w:rPr>
          <w:rFonts w:ascii="Arabic Typesetting" w:hAnsi="Arabic Typesetting" w:cs="Arabic Typesetting" w:hint="cs"/>
          <w:noProof/>
          <w:sz w:val="34"/>
          <w:szCs w:val="34"/>
          <w:rtl/>
        </w:rPr>
        <w:t>واتُخذ إجراء مؤقت للتخفيف من آثار تلك المشكلات في عام 2016 بتركيب أفلام حماية شمسية على نوافذ الواجهة الجنوبية الغربية لتحقيق هدف توفير الراحة الحرارية للعاملين في المكاتب الواقعة في الواجهة الجنوبية الغبية جزئياً.</w:t>
      </w:r>
    </w:p>
    <w:p w14:paraId="411FC7E2" w14:textId="77777777" w:rsidR="00BD3831" w:rsidRDefault="00BD3831" w:rsidP="0031289D">
      <w:pPr>
        <w:numPr>
          <w:ilvl w:val="0"/>
          <w:numId w:val="52"/>
        </w:numPr>
        <w:tabs>
          <w:tab w:val="clear" w:pos="567"/>
        </w:tabs>
        <w:bidi/>
        <w:spacing w:after="240" w:line="340" w:lineRule="exact"/>
        <w:rPr>
          <w:rFonts w:ascii="Arabic Typesetting" w:hAnsi="Arabic Typesetting" w:cs="Arabic Typesetting"/>
          <w:noProof/>
          <w:sz w:val="34"/>
          <w:szCs w:val="34"/>
        </w:rPr>
      </w:pPr>
      <w:r>
        <w:rPr>
          <w:rFonts w:ascii="Arabic Typesetting" w:hAnsi="Arabic Typesetting" w:cs="Arabic Typesetting" w:hint="cs"/>
          <w:noProof/>
          <w:sz w:val="34"/>
          <w:szCs w:val="34"/>
          <w:rtl/>
        </w:rPr>
        <w:t>ونتيجة للظروف المبيَّنة آنفاً، لم يعد من الممكن تنفيذ المشروع 6 الأصلي. ومن ثم، تقترح الأمانة ما يلي:</w:t>
      </w:r>
    </w:p>
    <w:p w14:paraId="7B4403E9" w14:textId="77777777" w:rsidR="00BD3831" w:rsidRDefault="00BD3831" w:rsidP="0031289D">
      <w:pPr>
        <w:bidi/>
        <w:spacing w:after="240" w:line="340" w:lineRule="exact"/>
        <w:ind w:left="1134" w:hanging="567"/>
        <w:rPr>
          <w:rFonts w:ascii="Arabic Typesetting" w:hAnsi="Arabic Typesetting" w:cs="Arabic Typesetting"/>
          <w:noProof/>
          <w:sz w:val="34"/>
          <w:szCs w:val="34"/>
          <w:rtl/>
        </w:rPr>
      </w:pPr>
      <w:r>
        <w:rPr>
          <w:rFonts w:ascii="Arabic Typesetting" w:hAnsi="Arabic Typesetting" w:cs="Arabic Typesetting" w:hint="cs"/>
          <w:noProof/>
          <w:sz w:val="34"/>
          <w:szCs w:val="34"/>
          <w:rtl/>
        </w:rPr>
        <w:t>"1"</w:t>
      </w:r>
      <w:r>
        <w:rPr>
          <w:rFonts w:ascii="Arabic Typesetting" w:hAnsi="Arabic Typesetting" w:cs="Arabic Typesetting"/>
          <w:noProof/>
          <w:sz w:val="34"/>
          <w:szCs w:val="34"/>
          <w:rtl/>
        </w:rPr>
        <w:tab/>
      </w:r>
      <w:r>
        <w:rPr>
          <w:rFonts w:ascii="Arabic Typesetting" w:hAnsi="Arabic Typesetting" w:cs="Arabic Typesetting" w:hint="cs"/>
          <w:noProof/>
          <w:sz w:val="34"/>
          <w:szCs w:val="34"/>
          <w:rtl/>
        </w:rPr>
        <w:t>إعلان إغلاق المشروع 6 في نهاية 2016؛</w:t>
      </w:r>
    </w:p>
    <w:p w14:paraId="7B57078A" w14:textId="77777777" w:rsidR="00BD3831" w:rsidRDefault="00BD3831" w:rsidP="0031289D">
      <w:pPr>
        <w:bidi/>
        <w:spacing w:after="240" w:line="340" w:lineRule="exact"/>
        <w:ind w:left="1134" w:hanging="567"/>
        <w:rPr>
          <w:rFonts w:ascii="Arabic Typesetting" w:hAnsi="Arabic Typesetting" w:cs="Arabic Typesetting"/>
          <w:noProof/>
          <w:sz w:val="34"/>
          <w:szCs w:val="34"/>
          <w:rtl/>
          <w:lang w:bidi="ar-EG"/>
        </w:rPr>
      </w:pPr>
      <w:r>
        <w:rPr>
          <w:rFonts w:ascii="Arabic Typesetting" w:hAnsi="Arabic Typesetting" w:cs="Arabic Typesetting" w:hint="cs"/>
          <w:noProof/>
          <w:sz w:val="34"/>
          <w:szCs w:val="34"/>
          <w:rtl/>
        </w:rPr>
        <w:t>"2"</w:t>
      </w:r>
      <w:r>
        <w:rPr>
          <w:rFonts w:ascii="Arabic Typesetting" w:hAnsi="Arabic Typesetting" w:cs="Arabic Typesetting"/>
          <w:noProof/>
          <w:sz w:val="34"/>
          <w:szCs w:val="34"/>
          <w:rtl/>
        </w:rPr>
        <w:tab/>
      </w:r>
      <w:r>
        <w:rPr>
          <w:rFonts w:ascii="Arabic Typesetting" w:hAnsi="Arabic Typesetting" w:cs="Arabic Typesetting" w:hint="cs"/>
          <w:noProof/>
          <w:sz w:val="34"/>
          <w:szCs w:val="34"/>
          <w:rtl/>
        </w:rPr>
        <w:t xml:space="preserve">وإعادة الرصيد المتبقي في نهاية 2016 والبالغ قدره </w:t>
      </w:r>
      <w:r>
        <w:rPr>
          <w:rFonts w:ascii="Arabic Typesetting" w:hAnsi="Arabic Typesetting" w:cs="Arabic Typesetting" w:hint="cs"/>
          <w:noProof/>
          <w:sz w:val="34"/>
          <w:szCs w:val="34"/>
          <w:rtl/>
          <w:lang w:bidi="ar-EG"/>
        </w:rPr>
        <w:t>206 237 فرنكاً سويسرياً إلى الأموال الاحتياطية بحلول نهاية</w:t>
      </w:r>
      <w:r>
        <w:rPr>
          <w:rFonts w:ascii="Arabic Typesetting" w:hAnsi="Arabic Typesetting" w:cs="Arabic Typesetting" w:hint="eastAsia"/>
          <w:noProof/>
          <w:sz w:val="34"/>
          <w:szCs w:val="34"/>
          <w:rtl/>
          <w:lang w:bidi="ar-EG"/>
        </w:rPr>
        <w:t> </w:t>
      </w:r>
      <w:r>
        <w:rPr>
          <w:rFonts w:ascii="Arabic Typesetting" w:hAnsi="Arabic Typesetting" w:cs="Arabic Typesetting" w:hint="cs"/>
          <w:noProof/>
          <w:sz w:val="34"/>
          <w:szCs w:val="34"/>
          <w:rtl/>
          <w:lang w:bidi="ar-EG"/>
        </w:rPr>
        <w:t>عام 2017.</w:t>
      </w:r>
    </w:p>
    <w:p w14:paraId="54C929C0" w14:textId="77777777" w:rsidR="00BD3831" w:rsidRPr="00E551B2" w:rsidRDefault="00BD3831" w:rsidP="0031289D">
      <w:pPr>
        <w:keepNext/>
        <w:bidi/>
        <w:spacing w:after="240" w:line="340" w:lineRule="exact"/>
        <w:jc w:val="both"/>
        <w:rPr>
          <w:rFonts w:ascii="Arabic Typesetting" w:hAnsi="Arabic Typesetting" w:cs="Arabic Typesetting"/>
          <w:b/>
          <w:sz w:val="34"/>
          <w:szCs w:val="34"/>
          <w:lang w:bidi="ar-EG"/>
        </w:rPr>
      </w:pPr>
      <w:r w:rsidRPr="00E551B2">
        <w:rPr>
          <w:rFonts w:ascii="Arabic Typesetting" w:hAnsi="Arabic Typesetting" w:cs="Arabic Typesetting"/>
          <w:b/>
          <w:sz w:val="34"/>
          <w:szCs w:val="34"/>
          <w:rtl/>
          <w:lang w:bidi="ar-EG"/>
        </w:rPr>
        <w:t>تحقيق المنافع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653"/>
      </w:tblGrid>
      <w:tr w:rsidR="00BD3831" w:rsidRPr="00E551B2" w14:paraId="3D0DC9FF" w14:textId="77777777" w:rsidTr="00DF6715">
        <w:trPr>
          <w:cantSplit/>
          <w:trHeight w:val="314"/>
          <w:tblHeader/>
          <w:jc w:val="center"/>
        </w:trPr>
        <w:tc>
          <w:tcPr>
            <w:tcW w:w="2569" w:type="pct"/>
            <w:shd w:val="clear" w:color="auto" w:fill="C6D9F1"/>
            <w:vAlign w:val="center"/>
          </w:tcPr>
          <w:p w14:paraId="445384E4" w14:textId="77777777" w:rsidR="00BD3831" w:rsidRPr="00E551B2" w:rsidRDefault="00BD3831" w:rsidP="0031289D">
            <w:pPr>
              <w:keepNext/>
              <w:bidi/>
              <w:spacing w:line="28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 xml:space="preserve">المنافع </w:t>
            </w:r>
            <w:r w:rsidRPr="00E551B2">
              <w:rPr>
                <w:rFonts w:ascii="Arabic Typesetting" w:hAnsi="Arabic Typesetting" w:cs="Arabic Typesetting" w:hint="cs"/>
                <w:bCs/>
                <w:sz w:val="28"/>
                <w:szCs w:val="28"/>
                <w:rtl/>
              </w:rPr>
              <w:t>المحققة</w:t>
            </w:r>
            <w:r w:rsidRPr="00E551B2">
              <w:rPr>
                <w:rFonts w:ascii="Arabic Typesetting" w:hAnsi="Arabic Typesetting" w:cs="Arabic Typesetting"/>
                <w:bCs/>
                <w:sz w:val="28"/>
                <w:szCs w:val="28"/>
                <w:rtl/>
                <w:lang w:bidi="ar-EG"/>
              </w:rPr>
              <w:t xml:space="preserve"> 2015</w:t>
            </w:r>
          </w:p>
        </w:tc>
        <w:tc>
          <w:tcPr>
            <w:tcW w:w="2431" w:type="pct"/>
            <w:shd w:val="clear" w:color="auto" w:fill="C6D9F1"/>
            <w:vAlign w:val="center"/>
          </w:tcPr>
          <w:p w14:paraId="531DE602" w14:textId="77777777" w:rsidR="00BD3831" w:rsidRPr="00E551B2" w:rsidRDefault="00BD3831" w:rsidP="0031289D">
            <w:pPr>
              <w:keepNext/>
              <w:bidi/>
              <w:spacing w:line="28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 xml:space="preserve">المنافع </w:t>
            </w:r>
            <w:r w:rsidRPr="00E551B2">
              <w:rPr>
                <w:rFonts w:ascii="Arabic Typesetting" w:hAnsi="Arabic Typesetting" w:cs="Arabic Typesetting" w:hint="cs"/>
                <w:bCs/>
                <w:sz w:val="28"/>
                <w:szCs w:val="28"/>
                <w:rtl/>
              </w:rPr>
              <w:t>المحققة</w:t>
            </w:r>
            <w:r w:rsidRPr="00E551B2">
              <w:rPr>
                <w:rFonts w:ascii="Arabic Typesetting" w:hAnsi="Arabic Typesetting" w:cs="Arabic Typesetting"/>
                <w:bCs/>
                <w:sz w:val="28"/>
                <w:szCs w:val="28"/>
                <w:rtl/>
                <w:lang w:bidi="ar-EG"/>
              </w:rPr>
              <w:t xml:space="preserve"> </w:t>
            </w:r>
            <w:r>
              <w:rPr>
                <w:rFonts w:ascii="Arabic Typesetting" w:hAnsi="Arabic Typesetting" w:cs="Arabic Typesetting" w:hint="cs"/>
                <w:bCs/>
                <w:sz w:val="28"/>
                <w:szCs w:val="28"/>
                <w:rtl/>
                <w:lang w:bidi="ar-EG"/>
              </w:rPr>
              <w:t>2016</w:t>
            </w:r>
          </w:p>
        </w:tc>
      </w:tr>
      <w:tr w:rsidR="00BD3831" w:rsidRPr="00E551B2" w14:paraId="0B47A46D" w14:textId="77777777" w:rsidTr="00DF6715">
        <w:trPr>
          <w:cantSplit/>
          <w:trHeight w:val="417"/>
          <w:jc w:val="center"/>
        </w:trPr>
        <w:tc>
          <w:tcPr>
            <w:tcW w:w="2569" w:type="pct"/>
            <w:vAlign w:val="center"/>
          </w:tcPr>
          <w:p w14:paraId="550B0B5C" w14:textId="77777777" w:rsidR="00BD3831" w:rsidRPr="00E551B2" w:rsidRDefault="00BD3831" w:rsidP="0031289D">
            <w:pPr>
              <w:keepNext/>
              <w:bidi/>
              <w:spacing w:before="120" w:after="120" w:line="280" w:lineRule="exact"/>
              <w:rPr>
                <w:rFonts w:ascii="Arabic Typesetting" w:hAnsi="Arabic Typesetting" w:cs="Arabic Typesetting"/>
                <w:b/>
                <w:color w:val="000000"/>
                <w:sz w:val="28"/>
                <w:szCs w:val="28"/>
                <w:rtl/>
                <w:lang w:bidi="ar-EG"/>
              </w:rPr>
            </w:pPr>
            <w:r w:rsidRPr="00E551B2">
              <w:rPr>
                <w:rFonts w:ascii="Arabic Typesetting" w:hAnsi="Arabic Typesetting" w:cs="Arabic Typesetting" w:hint="cs"/>
                <w:b/>
                <w:color w:val="000000"/>
                <w:sz w:val="28"/>
                <w:szCs w:val="28"/>
                <w:rtl/>
                <w:lang w:bidi="ar-EG"/>
              </w:rPr>
              <w:t>لم تحقق أي منافع في عام 2015 نظراً إلى توقف العمل عقب اكتشاف مشكلات فنية.</w:t>
            </w:r>
          </w:p>
        </w:tc>
        <w:tc>
          <w:tcPr>
            <w:tcW w:w="2431" w:type="pct"/>
            <w:vAlign w:val="center"/>
          </w:tcPr>
          <w:p w14:paraId="23BFAC74" w14:textId="77777777" w:rsidR="00BD3831" w:rsidRPr="00E551B2" w:rsidRDefault="00BD3831" w:rsidP="0031289D">
            <w:pPr>
              <w:keepNext/>
              <w:bidi/>
              <w:spacing w:before="120" w:after="120" w:line="280" w:lineRule="exact"/>
              <w:rPr>
                <w:rFonts w:ascii="Arabic Typesetting" w:hAnsi="Arabic Typesetting" w:cs="Arabic Typesetting"/>
                <w:b/>
                <w:color w:val="000000"/>
                <w:sz w:val="28"/>
                <w:szCs w:val="28"/>
                <w:rtl/>
                <w:lang w:bidi="ar-EG"/>
              </w:rPr>
            </w:pPr>
            <w:r w:rsidRPr="00B64F02">
              <w:rPr>
                <w:rFonts w:ascii="Arabic Typesetting" w:hAnsi="Arabic Typesetting" w:cs="Arabic Typesetting"/>
                <w:b/>
                <w:color w:val="000000"/>
                <w:sz w:val="28"/>
                <w:szCs w:val="28"/>
                <w:rtl/>
                <w:lang w:bidi="ar-EG"/>
              </w:rPr>
              <w:t>تقليل جزئي للطا</w:t>
            </w:r>
            <w:r>
              <w:rPr>
                <w:rFonts w:ascii="Arabic Typesetting" w:hAnsi="Arabic Typesetting" w:cs="Arabic Typesetting"/>
                <w:b/>
                <w:color w:val="000000"/>
                <w:sz w:val="28"/>
                <w:szCs w:val="28"/>
                <w:rtl/>
                <w:lang w:bidi="ar-EG"/>
              </w:rPr>
              <w:t xml:space="preserve">قة المهدرة </w:t>
            </w:r>
            <w:r>
              <w:rPr>
                <w:rFonts w:ascii="Arabic Typesetting" w:hAnsi="Arabic Typesetting" w:cs="Arabic Typesetting" w:hint="cs"/>
                <w:b/>
                <w:color w:val="000000"/>
                <w:sz w:val="28"/>
                <w:szCs w:val="28"/>
                <w:rtl/>
                <w:lang w:bidi="ar-EG"/>
              </w:rPr>
              <w:t>عن طريق الواجهة الجنوبية الغربية من مبنى أرباد بوكش بتركيب أفلام شمسية على النوافذ</w:t>
            </w:r>
          </w:p>
        </w:tc>
      </w:tr>
      <w:tr w:rsidR="00BD3831" w:rsidRPr="00E551B2" w14:paraId="21632695" w14:textId="77777777" w:rsidTr="00DF6715">
        <w:trPr>
          <w:cantSplit/>
          <w:trHeight w:val="564"/>
          <w:jc w:val="center"/>
        </w:trPr>
        <w:tc>
          <w:tcPr>
            <w:tcW w:w="2569" w:type="pct"/>
            <w:vAlign w:val="center"/>
          </w:tcPr>
          <w:p w14:paraId="567BAB9C" w14:textId="77777777" w:rsidR="00BD3831" w:rsidRPr="00E551B2" w:rsidRDefault="00BD3831" w:rsidP="0031289D">
            <w:pPr>
              <w:bidi/>
              <w:spacing w:before="120" w:after="120" w:line="280" w:lineRule="exact"/>
              <w:rPr>
                <w:rFonts w:ascii="Arabic Typesetting" w:hAnsi="Arabic Typesetting" w:cs="Arabic Typesetting"/>
                <w:b/>
                <w:sz w:val="28"/>
                <w:szCs w:val="28"/>
                <w:rtl/>
                <w:lang w:bidi="ar-EG"/>
              </w:rPr>
            </w:pPr>
          </w:p>
        </w:tc>
        <w:tc>
          <w:tcPr>
            <w:tcW w:w="2431" w:type="pct"/>
            <w:vAlign w:val="center"/>
          </w:tcPr>
          <w:p w14:paraId="61735A7C" w14:textId="77777777" w:rsidR="00BD3831" w:rsidRPr="00E551B2" w:rsidRDefault="00BD3831" w:rsidP="0031289D">
            <w:pPr>
              <w:bidi/>
              <w:spacing w:before="120" w:after="120" w:line="280" w:lineRule="exact"/>
              <w:rPr>
                <w:rFonts w:ascii="Arabic Typesetting" w:hAnsi="Arabic Typesetting" w:cs="Arabic Typesetting"/>
                <w:b/>
                <w:sz w:val="28"/>
                <w:szCs w:val="28"/>
                <w:rtl/>
                <w:lang w:bidi="ar-EG"/>
              </w:rPr>
            </w:pPr>
            <w:r>
              <w:rPr>
                <w:rFonts w:ascii="Arabic Typesetting" w:hAnsi="Arabic Typesetting" w:cs="Arabic Typesetting" w:hint="cs"/>
                <w:b/>
                <w:color w:val="000000"/>
                <w:sz w:val="28"/>
                <w:szCs w:val="28"/>
                <w:rtl/>
                <w:lang w:bidi="ar-EG"/>
              </w:rPr>
              <w:t>تحسين جزئي في الراحة الحرارية طوال السنة للعاملين في مكاتب الواجهة الجنوبية الغربية من مبنى أرباد بوكش بتركيب أفلام شمسية على النوافذ</w:t>
            </w:r>
          </w:p>
        </w:tc>
      </w:tr>
    </w:tbl>
    <w:p w14:paraId="73CBEC4E" w14:textId="5A6E8195" w:rsidR="00BD3831" w:rsidRPr="00E551B2" w:rsidRDefault="00BD3831" w:rsidP="0031289D">
      <w:pPr>
        <w:keepNext/>
        <w:bidi/>
        <w:spacing w:before="120" w:after="120"/>
        <w:rPr>
          <w:rFonts w:ascii="Arabic Typesetting" w:hAnsi="Arabic Typesetting" w:cs="Arabic Typesetting"/>
          <w:sz w:val="34"/>
          <w:szCs w:val="34"/>
          <w:lang w:bidi="ar-EG"/>
        </w:rPr>
      </w:pPr>
      <w:r w:rsidRPr="00E551B2">
        <w:rPr>
          <w:rFonts w:ascii="Arabic Typesetting" w:hAnsi="Arabic Typesetting" w:cs="Arabic Typesetting"/>
          <w:color w:val="000000"/>
          <w:sz w:val="34"/>
          <w:szCs w:val="34"/>
          <w:rtl/>
          <w:lang w:bidi="ar-EG"/>
        </w:rPr>
        <w:lastRenderedPageBreak/>
        <w:t>استخدام الموارد</w:t>
      </w:r>
      <w:r w:rsidR="00B66F63">
        <w:rPr>
          <w:rStyle w:val="FootnoteReference"/>
          <w:color w:val="000000"/>
          <w:rtl/>
          <w:lang w:bidi="ar-EG"/>
        </w:rPr>
        <w:footnoteReference w:id="122"/>
      </w:r>
    </w:p>
    <w:p w14:paraId="713565CB" w14:textId="77777777" w:rsidR="00BD3831" w:rsidRPr="00E551B2" w:rsidRDefault="00BD3831" w:rsidP="0031289D">
      <w:pPr>
        <w:keepNext/>
        <w:keepLines/>
        <w:autoSpaceDE w:val="0"/>
        <w:autoSpaceDN w:val="0"/>
        <w:bidi/>
        <w:adjustRightInd w:val="0"/>
        <w:jc w:val="center"/>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t>استخدام ميزانية المشروع</w:t>
      </w:r>
    </w:p>
    <w:p w14:paraId="288F0785" w14:textId="77777777" w:rsidR="00BD3831" w:rsidRPr="00E551B2" w:rsidRDefault="00BD3831" w:rsidP="0031289D">
      <w:pPr>
        <w:keepNext/>
        <w:keepLines/>
        <w:autoSpaceDE w:val="0"/>
        <w:autoSpaceDN w:val="0"/>
        <w:bidi/>
        <w:adjustRightInd w:val="0"/>
        <w:spacing w:after="120"/>
        <w:jc w:val="center"/>
        <w:rPr>
          <w:rFonts w:ascii="Arabic Typesetting" w:hAnsi="Arabic Typesetting" w:cs="Arabic Typesetting"/>
          <w:iCs/>
          <w:sz w:val="34"/>
          <w:szCs w:val="34"/>
          <w:lang w:bidi="ar-EG"/>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بالفرنك السويسري، في 31 ديسمبر 2016</w:t>
      </w:r>
      <w:r w:rsidRPr="00E551B2">
        <w:rPr>
          <w:rFonts w:ascii="Arabic Typesetting" w:hAnsi="Arabic Typesetting" w:cs="Arabic Typesetting"/>
          <w:iCs/>
          <w:sz w:val="34"/>
          <w:szCs w:val="34"/>
          <w:rtl/>
          <w:lang w:bidi="ar-EG"/>
        </w:rPr>
        <w:t>)</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627"/>
        <w:gridCol w:w="1629"/>
        <w:gridCol w:w="1629"/>
        <w:gridCol w:w="1627"/>
      </w:tblGrid>
      <w:tr w:rsidR="00BD3831" w:rsidRPr="00CD6A7C" w14:paraId="4D122C78" w14:textId="77777777" w:rsidTr="00DF6715">
        <w:trPr>
          <w:cantSplit/>
          <w:trHeight w:val="410"/>
        </w:trPr>
        <w:tc>
          <w:tcPr>
            <w:tcW w:w="1598" w:type="pct"/>
            <w:shd w:val="clear" w:color="auto" w:fill="C6D9F1"/>
            <w:vAlign w:val="center"/>
          </w:tcPr>
          <w:p w14:paraId="12204D04" w14:textId="77777777" w:rsidR="00BD3831" w:rsidRPr="00CD6A7C" w:rsidRDefault="00BD3831" w:rsidP="0031289D">
            <w:pPr>
              <w:keepNext/>
              <w:keepLines/>
              <w:autoSpaceDE w:val="0"/>
              <w:autoSpaceDN w:val="0"/>
              <w:bidi/>
              <w:adjustRightInd w:val="0"/>
              <w:spacing w:before="40" w:after="40"/>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اسم المشروع</w:t>
            </w:r>
          </w:p>
        </w:tc>
        <w:tc>
          <w:tcPr>
            <w:tcW w:w="850" w:type="pct"/>
            <w:shd w:val="clear" w:color="auto" w:fill="C6D9F1"/>
            <w:vAlign w:val="center"/>
          </w:tcPr>
          <w:p w14:paraId="7C3741CE" w14:textId="77777777" w:rsidR="00BD3831" w:rsidRPr="00CD6A7C" w:rsidRDefault="00BD3831" w:rsidP="0031289D">
            <w:pPr>
              <w:keepNext/>
              <w:keepLines/>
              <w:autoSpaceDE w:val="0"/>
              <w:autoSpaceDN w:val="0"/>
              <w:bidi/>
              <w:adjustRightInd w:val="0"/>
              <w:spacing w:before="40" w:after="40"/>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14:paraId="6EE4743E" w14:textId="77777777" w:rsidR="00BD3831" w:rsidRPr="00CD6A7C" w:rsidRDefault="00BD3831" w:rsidP="0031289D">
            <w:pPr>
              <w:keepNext/>
              <w:keepLines/>
              <w:autoSpaceDE w:val="0"/>
              <w:autoSpaceDN w:val="0"/>
              <w:bidi/>
              <w:adjustRightInd w:val="0"/>
              <w:spacing w:before="40" w:after="40"/>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14:paraId="4D4C6AD4" w14:textId="77777777" w:rsidR="00BD3831" w:rsidRPr="00CD6A7C" w:rsidRDefault="00BD3831" w:rsidP="0031289D">
            <w:pPr>
              <w:keepNext/>
              <w:keepLines/>
              <w:autoSpaceDE w:val="0"/>
              <w:autoSpaceDN w:val="0"/>
              <w:bidi/>
              <w:adjustRightInd w:val="0"/>
              <w:spacing w:before="40" w:after="40"/>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14:paraId="07AB2E0C" w14:textId="77777777" w:rsidR="00BD3831" w:rsidRPr="00CD6A7C" w:rsidRDefault="00BD3831" w:rsidP="0031289D">
            <w:pPr>
              <w:keepNext/>
              <w:keepLines/>
              <w:autoSpaceDE w:val="0"/>
              <w:autoSpaceDN w:val="0"/>
              <w:bidi/>
              <w:adjustRightInd w:val="0"/>
              <w:spacing w:before="40" w:after="40"/>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معدل التقدم المحرز في تنفيذ المشروع</w:t>
            </w:r>
          </w:p>
        </w:tc>
      </w:tr>
      <w:tr w:rsidR="00BD3831" w:rsidRPr="00CD6A7C" w14:paraId="656456D6" w14:textId="77777777" w:rsidTr="00DF6715">
        <w:trPr>
          <w:cantSplit/>
          <w:trHeight w:val="389"/>
        </w:trPr>
        <w:tc>
          <w:tcPr>
            <w:tcW w:w="1598" w:type="pct"/>
            <w:vAlign w:val="center"/>
          </w:tcPr>
          <w:p w14:paraId="4D40D494" w14:textId="77777777" w:rsidR="00BD3831" w:rsidRPr="00CD6A7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مبنى أرباد بوكش - استبدال بعض النوافذ</w:t>
            </w:r>
          </w:p>
        </w:tc>
        <w:tc>
          <w:tcPr>
            <w:tcW w:w="850" w:type="pct"/>
            <w:vAlign w:val="center"/>
          </w:tcPr>
          <w:p w14:paraId="4B281B90" w14:textId="77777777" w:rsidR="00BD3831" w:rsidRPr="00CD6A7C" w:rsidRDefault="00BD3831" w:rsidP="0031289D">
            <w:pPr>
              <w:keepNext/>
              <w:keepLines/>
              <w:autoSpaceDE w:val="0"/>
              <w:autoSpaceDN w:val="0"/>
              <w:adjustRightInd w:val="0"/>
              <w:spacing w:before="40" w:after="40"/>
              <w:jc w:val="center"/>
              <w:rPr>
                <w:rFonts w:ascii="Arabic Typesetting" w:hAnsi="Arabic Typesetting" w:cs="Arabic Typesetting"/>
                <w:sz w:val="28"/>
                <w:szCs w:val="28"/>
                <w:highlight w:val="yellow"/>
              </w:rPr>
            </w:pPr>
            <w:r w:rsidRPr="00CD6A7C">
              <w:rPr>
                <w:rFonts w:ascii="Arabic Typesetting" w:hAnsi="Arabic Typesetting" w:cs="Arabic Typesetting"/>
                <w:sz w:val="28"/>
                <w:szCs w:val="28"/>
              </w:rPr>
              <w:t>300</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51" w:type="pct"/>
            <w:vAlign w:val="center"/>
          </w:tcPr>
          <w:p w14:paraId="5CB64F6F" w14:textId="77777777" w:rsidR="00BD3831" w:rsidRPr="00CD6A7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93</w:t>
            </w:r>
            <w:r>
              <w:rPr>
                <w:rFonts w:ascii="Arabic Typesetting" w:hAnsi="Arabic Typesetting" w:cs="Arabic Typesetting"/>
                <w:sz w:val="28"/>
                <w:szCs w:val="28"/>
              </w:rPr>
              <w:t> </w:t>
            </w:r>
            <w:r w:rsidRPr="00CD6A7C">
              <w:rPr>
                <w:rFonts w:ascii="Arabic Typesetting" w:hAnsi="Arabic Typesetting" w:cs="Arabic Typesetting"/>
                <w:sz w:val="28"/>
                <w:szCs w:val="28"/>
              </w:rPr>
              <w:t>763</w:t>
            </w:r>
          </w:p>
        </w:tc>
        <w:tc>
          <w:tcPr>
            <w:tcW w:w="851" w:type="pct"/>
            <w:vAlign w:val="center"/>
          </w:tcPr>
          <w:p w14:paraId="59123348" w14:textId="77777777" w:rsidR="00BD3831" w:rsidRPr="00CD6A7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%31.3</w:t>
            </w:r>
          </w:p>
        </w:tc>
        <w:tc>
          <w:tcPr>
            <w:tcW w:w="850" w:type="pct"/>
            <w:vAlign w:val="center"/>
          </w:tcPr>
          <w:p w14:paraId="2A4648D2" w14:textId="77777777" w:rsidR="00BD3831" w:rsidRPr="00CD6A7C" w:rsidRDefault="00BD3831" w:rsidP="0031289D">
            <w:pPr>
              <w:keepNext/>
              <w:keepLines/>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%15</w:t>
            </w:r>
          </w:p>
        </w:tc>
      </w:tr>
    </w:tbl>
    <w:p w14:paraId="55643292" w14:textId="77777777" w:rsidR="00BD3831" w:rsidRPr="00E551B2" w:rsidRDefault="00BD3831" w:rsidP="0031289D">
      <w:pPr>
        <w:keepNext/>
        <w:keepLines/>
        <w:autoSpaceDE w:val="0"/>
        <w:autoSpaceDN w:val="0"/>
        <w:bidi/>
        <w:adjustRightInd w:val="0"/>
        <w:spacing w:before="120"/>
        <w:jc w:val="center"/>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t>استخدام ميزانية المشروع (حسب المعالم)</w:t>
      </w:r>
    </w:p>
    <w:p w14:paraId="7FF4FB47" w14:textId="77777777" w:rsidR="00BD3831" w:rsidRPr="00E551B2" w:rsidRDefault="00BD3831" w:rsidP="0031289D">
      <w:pPr>
        <w:keepNext/>
        <w:keepLines/>
        <w:autoSpaceDE w:val="0"/>
        <w:autoSpaceDN w:val="0"/>
        <w:bidi/>
        <w:adjustRightInd w:val="0"/>
        <w:spacing w:after="120"/>
        <w:jc w:val="center"/>
        <w:rPr>
          <w:rFonts w:ascii="Arabic Typesetting" w:hAnsi="Arabic Typesetting" w:cs="Arabic Typesetting"/>
          <w:iCs/>
          <w:sz w:val="34"/>
          <w:szCs w:val="34"/>
          <w:lang w:bidi="ar-EG"/>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بالفرنك السويسري، في 31 ديسمبر 2016</w:t>
      </w:r>
      <w:r w:rsidRPr="00E551B2">
        <w:rPr>
          <w:rFonts w:ascii="Arabic Typesetting" w:hAnsi="Arabic Typesetting" w:cs="Arabic Typesetting"/>
          <w:iCs/>
          <w:sz w:val="34"/>
          <w:szCs w:val="34"/>
          <w:rtl/>
          <w:lang w:bidi="ar-EG"/>
        </w:rPr>
        <w:t>)</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1639"/>
        <w:gridCol w:w="1639"/>
        <w:gridCol w:w="1639"/>
        <w:gridCol w:w="1639"/>
      </w:tblGrid>
      <w:tr w:rsidR="00BD3831" w:rsidRPr="00CD6A7C" w14:paraId="24C2C80D" w14:textId="77777777" w:rsidTr="00DF6715">
        <w:trPr>
          <w:trHeight w:val="410"/>
        </w:trPr>
        <w:tc>
          <w:tcPr>
            <w:tcW w:w="1575" w:type="pct"/>
            <w:shd w:val="clear" w:color="auto" w:fill="C6D9F1"/>
            <w:vAlign w:val="center"/>
          </w:tcPr>
          <w:p w14:paraId="7458D6BD" w14:textId="77777777" w:rsidR="00BD3831" w:rsidRPr="00CD6A7C" w:rsidRDefault="00BD3831" w:rsidP="0031289D">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14:paraId="0F330BEC" w14:textId="77777777" w:rsidR="00BD3831" w:rsidRPr="00CD6A7C" w:rsidRDefault="00BD3831" w:rsidP="0031289D">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14:paraId="345D0892" w14:textId="77777777" w:rsidR="00BD3831" w:rsidRPr="00CD6A7C"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14:paraId="701E867A" w14:textId="77777777" w:rsidR="00BD3831" w:rsidRPr="00CD6A7C" w:rsidRDefault="00BD3831" w:rsidP="0031289D">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14:paraId="5E19F46C" w14:textId="77777777" w:rsidR="00BD3831" w:rsidRPr="00CD6A7C" w:rsidRDefault="00BD3831" w:rsidP="0031289D">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معدل التقدم المحرز في تنفيذ المشروع حسب المعالم</w:t>
            </w:r>
          </w:p>
        </w:tc>
      </w:tr>
      <w:tr w:rsidR="00BD3831" w:rsidRPr="00CD6A7C" w14:paraId="138296B5" w14:textId="77777777" w:rsidTr="00DF6715">
        <w:trPr>
          <w:trHeight w:val="389"/>
        </w:trPr>
        <w:tc>
          <w:tcPr>
            <w:tcW w:w="1575" w:type="pct"/>
            <w:vAlign w:val="center"/>
          </w:tcPr>
          <w:p w14:paraId="5F815504" w14:textId="77777777" w:rsidR="00BD3831" w:rsidRPr="00CD6A7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منح العقد لمهندس الواجهة</w:t>
            </w:r>
          </w:p>
        </w:tc>
        <w:tc>
          <w:tcPr>
            <w:tcW w:w="856" w:type="pct"/>
            <w:vAlign w:val="center"/>
          </w:tcPr>
          <w:p w14:paraId="7FA7606D"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45</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56" w:type="pct"/>
            <w:vAlign w:val="center"/>
          </w:tcPr>
          <w:p w14:paraId="532B3DF7"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highlight w:val="yellow"/>
              </w:rPr>
            </w:pPr>
            <w:r w:rsidRPr="00CD6A7C">
              <w:rPr>
                <w:rFonts w:ascii="Arabic Typesetting" w:hAnsi="Arabic Typesetting" w:cs="Arabic Typesetting"/>
                <w:sz w:val="28"/>
                <w:szCs w:val="28"/>
              </w:rPr>
              <w:t>36</w:t>
            </w:r>
            <w:r>
              <w:rPr>
                <w:rFonts w:ascii="Arabic Typesetting" w:hAnsi="Arabic Typesetting" w:cs="Arabic Typesetting"/>
                <w:sz w:val="28"/>
                <w:szCs w:val="28"/>
              </w:rPr>
              <w:t> </w:t>
            </w:r>
            <w:r w:rsidRPr="00CD6A7C">
              <w:rPr>
                <w:rFonts w:ascii="Arabic Typesetting" w:hAnsi="Arabic Typesetting" w:cs="Arabic Typesetting"/>
                <w:sz w:val="28"/>
                <w:szCs w:val="28"/>
              </w:rPr>
              <w:t>812</w:t>
            </w:r>
          </w:p>
        </w:tc>
        <w:tc>
          <w:tcPr>
            <w:tcW w:w="856" w:type="pct"/>
            <w:vAlign w:val="center"/>
          </w:tcPr>
          <w:p w14:paraId="3CF51D0C"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%81.8</w:t>
            </w:r>
          </w:p>
        </w:tc>
        <w:tc>
          <w:tcPr>
            <w:tcW w:w="856" w:type="pct"/>
            <w:vAlign w:val="center"/>
          </w:tcPr>
          <w:p w14:paraId="226839EA"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%90</w:t>
            </w:r>
          </w:p>
        </w:tc>
      </w:tr>
      <w:tr w:rsidR="00BD3831" w:rsidRPr="00CD6A7C" w14:paraId="054E6199" w14:textId="77777777" w:rsidTr="00DF6715">
        <w:trPr>
          <w:trHeight w:val="389"/>
        </w:trPr>
        <w:tc>
          <w:tcPr>
            <w:tcW w:w="1575" w:type="pct"/>
            <w:vAlign w:val="center"/>
          </w:tcPr>
          <w:p w14:paraId="13DC6949" w14:textId="77777777" w:rsidR="00BD3831" w:rsidRPr="00CD6A7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الأعمال والتكليف</w:t>
            </w:r>
          </w:p>
        </w:tc>
        <w:tc>
          <w:tcPr>
            <w:tcW w:w="856" w:type="pct"/>
            <w:vAlign w:val="center"/>
          </w:tcPr>
          <w:p w14:paraId="09BFCC98"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255</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56" w:type="pct"/>
            <w:vAlign w:val="center"/>
          </w:tcPr>
          <w:p w14:paraId="1E18AA1A"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highlight w:val="yellow"/>
              </w:rPr>
            </w:pPr>
            <w:r w:rsidRPr="00CD6A7C">
              <w:rPr>
                <w:rFonts w:ascii="Arabic Typesetting" w:hAnsi="Arabic Typesetting" w:cs="Arabic Typesetting"/>
                <w:sz w:val="28"/>
                <w:szCs w:val="28"/>
              </w:rPr>
              <w:t>56</w:t>
            </w:r>
            <w:r>
              <w:rPr>
                <w:rFonts w:ascii="Arabic Typesetting" w:hAnsi="Arabic Typesetting" w:cs="Arabic Typesetting"/>
                <w:sz w:val="28"/>
                <w:szCs w:val="28"/>
              </w:rPr>
              <w:t> </w:t>
            </w:r>
            <w:r w:rsidRPr="00CD6A7C">
              <w:rPr>
                <w:rFonts w:ascii="Arabic Typesetting" w:hAnsi="Arabic Typesetting" w:cs="Arabic Typesetting"/>
                <w:sz w:val="28"/>
                <w:szCs w:val="28"/>
              </w:rPr>
              <w:t>951</w:t>
            </w:r>
          </w:p>
        </w:tc>
        <w:tc>
          <w:tcPr>
            <w:tcW w:w="856" w:type="pct"/>
            <w:vAlign w:val="center"/>
          </w:tcPr>
          <w:p w14:paraId="33427AD7"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%22.3</w:t>
            </w:r>
          </w:p>
        </w:tc>
        <w:tc>
          <w:tcPr>
            <w:tcW w:w="856" w:type="pct"/>
            <w:vAlign w:val="center"/>
          </w:tcPr>
          <w:p w14:paraId="186F6A51"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%10</w:t>
            </w:r>
          </w:p>
        </w:tc>
      </w:tr>
      <w:tr w:rsidR="00BD3831" w:rsidRPr="00CD6A7C" w14:paraId="621F78B8" w14:textId="77777777" w:rsidTr="00DF6715">
        <w:trPr>
          <w:trHeight w:val="389"/>
        </w:trPr>
        <w:tc>
          <w:tcPr>
            <w:tcW w:w="1575" w:type="pct"/>
            <w:shd w:val="clear" w:color="auto" w:fill="C6D9F1"/>
            <w:vAlign w:val="center"/>
          </w:tcPr>
          <w:p w14:paraId="2B02D897" w14:textId="77777777" w:rsidR="00BD3831" w:rsidRPr="00CD6A7C" w:rsidRDefault="00BD3831" w:rsidP="0031289D">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المجموع</w:t>
            </w:r>
          </w:p>
        </w:tc>
        <w:tc>
          <w:tcPr>
            <w:tcW w:w="856" w:type="pct"/>
            <w:shd w:val="clear" w:color="auto" w:fill="C6D9F1"/>
            <w:vAlign w:val="center"/>
          </w:tcPr>
          <w:p w14:paraId="273BE090"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b/>
                <w:sz w:val="28"/>
                <w:szCs w:val="28"/>
              </w:rPr>
            </w:pPr>
            <w:r w:rsidRPr="00CD6A7C">
              <w:rPr>
                <w:rFonts w:ascii="Arabic Typesetting" w:hAnsi="Arabic Typesetting" w:cs="Arabic Typesetting"/>
                <w:b/>
                <w:sz w:val="28"/>
                <w:szCs w:val="28"/>
              </w:rPr>
              <w:t>300</w:t>
            </w:r>
            <w:r>
              <w:rPr>
                <w:rFonts w:ascii="Arabic Typesetting" w:hAnsi="Arabic Typesetting" w:cs="Arabic Typesetting"/>
                <w:b/>
                <w:sz w:val="28"/>
                <w:szCs w:val="28"/>
              </w:rPr>
              <w:t> </w:t>
            </w:r>
            <w:r w:rsidRPr="00CD6A7C">
              <w:rPr>
                <w:rFonts w:ascii="Arabic Typesetting" w:hAnsi="Arabic Typesetting" w:cs="Arabic Typesetting"/>
                <w:b/>
                <w:sz w:val="28"/>
                <w:szCs w:val="28"/>
              </w:rPr>
              <w:t>000</w:t>
            </w:r>
          </w:p>
        </w:tc>
        <w:tc>
          <w:tcPr>
            <w:tcW w:w="856" w:type="pct"/>
            <w:shd w:val="clear" w:color="auto" w:fill="C6D9F1"/>
          </w:tcPr>
          <w:p w14:paraId="3F22C7A2"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b/>
                <w:sz w:val="28"/>
                <w:szCs w:val="28"/>
              </w:rPr>
            </w:pPr>
            <w:r w:rsidRPr="00CD6A7C">
              <w:rPr>
                <w:rFonts w:ascii="Arabic Typesetting" w:hAnsi="Arabic Typesetting" w:cs="Arabic Typesetting"/>
                <w:b/>
                <w:sz w:val="28"/>
                <w:szCs w:val="28"/>
              </w:rPr>
              <w:t>93</w:t>
            </w:r>
            <w:r>
              <w:rPr>
                <w:rFonts w:ascii="Arabic Typesetting" w:hAnsi="Arabic Typesetting" w:cs="Arabic Typesetting"/>
                <w:b/>
                <w:sz w:val="28"/>
                <w:szCs w:val="28"/>
              </w:rPr>
              <w:t> </w:t>
            </w:r>
            <w:r w:rsidRPr="00CD6A7C">
              <w:rPr>
                <w:rFonts w:ascii="Arabic Typesetting" w:hAnsi="Arabic Typesetting" w:cs="Arabic Typesetting"/>
                <w:b/>
                <w:sz w:val="28"/>
                <w:szCs w:val="28"/>
              </w:rPr>
              <w:t>763</w:t>
            </w:r>
          </w:p>
        </w:tc>
        <w:tc>
          <w:tcPr>
            <w:tcW w:w="856" w:type="pct"/>
            <w:shd w:val="clear" w:color="auto" w:fill="C6D9F1"/>
          </w:tcPr>
          <w:p w14:paraId="34516B18"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b/>
                <w:sz w:val="28"/>
                <w:szCs w:val="28"/>
              </w:rPr>
            </w:pPr>
            <w:r w:rsidRPr="00CD6A7C">
              <w:rPr>
                <w:rFonts w:ascii="Arabic Typesetting" w:hAnsi="Arabic Typesetting" w:cs="Arabic Typesetting"/>
                <w:b/>
                <w:sz w:val="28"/>
                <w:szCs w:val="28"/>
              </w:rPr>
              <w:t>%31.3</w:t>
            </w:r>
          </w:p>
        </w:tc>
        <w:tc>
          <w:tcPr>
            <w:tcW w:w="856" w:type="pct"/>
            <w:shd w:val="clear" w:color="auto" w:fill="C6D9F1"/>
          </w:tcPr>
          <w:p w14:paraId="32863802"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b/>
                <w:sz w:val="28"/>
                <w:szCs w:val="28"/>
              </w:rPr>
            </w:pPr>
          </w:p>
        </w:tc>
      </w:tr>
    </w:tbl>
    <w:p w14:paraId="6C671C6F" w14:textId="77777777" w:rsidR="00BD3831" w:rsidRPr="00E551B2" w:rsidRDefault="00BD3831" w:rsidP="0031289D">
      <w:pPr>
        <w:keepNext/>
        <w:keepLines/>
        <w:autoSpaceDE w:val="0"/>
        <w:autoSpaceDN w:val="0"/>
        <w:bidi/>
        <w:adjustRightInd w:val="0"/>
        <w:spacing w:before="120"/>
        <w:jc w:val="center"/>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t>استخدام ميزانية المشروع (حسب فئة التكلفة)</w:t>
      </w:r>
    </w:p>
    <w:p w14:paraId="4ABAB640" w14:textId="77777777" w:rsidR="00BD3831" w:rsidRPr="00E551B2" w:rsidRDefault="00BD3831" w:rsidP="0031289D">
      <w:pPr>
        <w:keepNext/>
        <w:keepLines/>
        <w:autoSpaceDE w:val="0"/>
        <w:autoSpaceDN w:val="0"/>
        <w:bidi/>
        <w:adjustRightInd w:val="0"/>
        <w:spacing w:after="120"/>
        <w:jc w:val="center"/>
        <w:rPr>
          <w:rFonts w:ascii="Arabic Typesetting" w:hAnsi="Arabic Typesetting" w:cs="Arabic Typesetting"/>
          <w:iCs/>
          <w:sz w:val="34"/>
          <w:szCs w:val="34"/>
          <w:lang w:bidi="ar-EG"/>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بالفرنك السويسري، في 31 ديسمبر 2016</w:t>
      </w:r>
      <w:r w:rsidRPr="00E551B2">
        <w:rPr>
          <w:rFonts w:ascii="Arabic Typesetting" w:hAnsi="Arabic Typesetting" w:cs="Arabic Typesetting"/>
          <w:iCs/>
          <w:sz w:val="34"/>
          <w:szCs w:val="34"/>
          <w:rtl/>
          <w:lang w:bidi="ar-EG"/>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2008"/>
        <w:gridCol w:w="2008"/>
        <w:gridCol w:w="2006"/>
      </w:tblGrid>
      <w:tr w:rsidR="00BD3831" w:rsidRPr="00CD6A7C" w14:paraId="247B4973" w14:textId="77777777" w:rsidTr="00DF6715">
        <w:trPr>
          <w:trHeight w:val="569"/>
        </w:trPr>
        <w:tc>
          <w:tcPr>
            <w:tcW w:w="1854" w:type="pct"/>
            <w:shd w:val="clear" w:color="auto" w:fill="C6D9F1"/>
            <w:vAlign w:val="center"/>
          </w:tcPr>
          <w:p w14:paraId="77EE8CB0" w14:textId="77777777" w:rsidR="00BD3831" w:rsidRPr="00CD6A7C" w:rsidRDefault="00BD3831" w:rsidP="0031289D">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فئة التكلفة</w:t>
            </w:r>
          </w:p>
        </w:tc>
        <w:tc>
          <w:tcPr>
            <w:tcW w:w="1049" w:type="pct"/>
            <w:shd w:val="clear" w:color="auto" w:fill="C6D9F1"/>
            <w:vAlign w:val="center"/>
          </w:tcPr>
          <w:p w14:paraId="15983B2B" w14:textId="77777777" w:rsidR="00BD3831" w:rsidRPr="00CD6A7C" w:rsidRDefault="00BD3831" w:rsidP="0031289D">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14:paraId="0C22A496" w14:textId="77777777" w:rsidR="00BD3831" w:rsidRPr="00CD6A7C" w:rsidRDefault="00BD3831" w:rsidP="0031289D">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النفقات الفعلية حتى تاريخه</w:t>
            </w:r>
            <w:r w:rsidRPr="00CD6A7C">
              <w:rPr>
                <w:rFonts w:ascii="Arabic Typesetting" w:hAnsi="Arabic Typesetting" w:cs="Arabic Typesetting"/>
                <w:b/>
                <w:sz w:val="28"/>
                <w:szCs w:val="28"/>
              </w:rPr>
              <w:t xml:space="preserve"> </w:t>
            </w:r>
          </w:p>
        </w:tc>
        <w:tc>
          <w:tcPr>
            <w:tcW w:w="1048" w:type="pct"/>
            <w:shd w:val="clear" w:color="auto" w:fill="C6D9F1"/>
            <w:vAlign w:val="center"/>
          </w:tcPr>
          <w:p w14:paraId="2810B84E" w14:textId="77777777" w:rsidR="00BD3831" w:rsidRPr="00CD6A7C" w:rsidRDefault="00BD3831" w:rsidP="0031289D">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الاستخدام الفعلي للميزانية</w:t>
            </w:r>
          </w:p>
        </w:tc>
      </w:tr>
      <w:tr w:rsidR="00BD3831" w:rsidRPr="00CD6A7C" w14:paraId="1372A58B" w14:textId="77777777" w:rsidTr="00DF6715">
        <w:tc>
          <w:tcPr>
            <w:tcW w:w="1854" w:type="pct"/>
            <w:vAlign w:val="center"/>
          </w:tcPr>
          <w:p w14:paraId="28BD94B3" w14:textId="77777777" w:rsidR="00BD3831" w:rsidRPr="00CD6A7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التكاليف المتعلقة بالبناء</w:t>
            </w:r>
          </w:p>
        </w:tc>
        <w:tc>
          <w:tcPr>
            <w:tcW w:w="1049" w:type="pct"/>
            <w:vAlign w:val="center"/>
          </w:tcPr>
          <w:p w14:paraId="0BFE5B4A"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234</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1049" w:type="pct"/>
            <w:vAlign w:val="center"/>
          </w:tcPr>
          <w:p w14:paraId="3800EB91"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10</w:t>
            </w:r>
            <w:r>
              <w:rPr>
                <w:rFonts w:ascii="Arabic Typesetting" w:hAnsi="Arabic Typesetting" w:cs="Arabic Typesetting"/>
                <w:sz w:val="28"/>
                <w:szCs w:val="28"/>
              </w:rPr>
              <w:t> </w:t>
            </w:r>
            <w:r w:rsidRPr="00CD6A7C">
              <w:rPr>
                <w:rFonts w:ascii="Arabic Typesetting" w:hAnsi="Arabic Typesetting" w:cs="Arabic Typesetting"/>
                <w:sz w:val="28"/>
                <w:szCs w:val="28"/>
              </w:rPr>
              <w:t>230</w:t>
            </w:r>
          </w:p>
        </w:tc>
        <w:tc>
          <w:tcPr>
            <w:tcW w:w="1048" w:type="pct"/>
            <w:vAlign w:val="center"/>
          </w:tcPr>
          <w:p w14:paraId="1659F0AC"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%4.4</w:t>
            </w:r>
          </w:p>
        </w:tc>
      </w:tr>
      <w:tr w:rsidR="00BD3831" w:rsidRPr="00CD6A7C" w14:paraId="5EF96A23" w14:textId="77777777" w:rsidTr="00DF6715">
        <w:tc>
          <w:tcPr>
            <w:tcW w:w="1854" w:type="pct"/>
            <w:vAlign w:val="center"/>
          </w:tcPr>
          <w:p w14:paraId="30457BAC" w14:textId="77777777" w:rsidR="00BD3831" w:rsidRPr="00CD6A7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الأتعاب</w:t>
            </w:r>
          </w:p>
        </w:tc>
        <w:tc>
          <w:tcPr>
            <w:tcW w:w="1049" w:type="pct"/>
            <w:vAlign w:val="center"/>
          </w:tcPr>
          <w:p w14:paraId="74A63578"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45</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1049" w:type="pct"/>
            <w:vAlign w:val="center"/>
          </w:tcPr>
          <w:p w14:paraId="275E4172"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36</w:t>
            </w:r>
            <w:r>
              <w:rPr>
                <w:rFonts w:ascii="Arabic Typesetting" w:hAnsi="Arabic Typesetting" w:cs="Arabic Typesetting"/>
                <w:sz w:val="28"/>
                <w:szCs w:val="28"/>
              </w:rPr>
              <w:t> </w:t>
            </w:r>
            <w:r w:rsidRPr="00CD6A7C">
              <w:rPr>
                <w:rFonts w:ascii="Arabic Typesetting" w:hAnsi="Arabic Typesetting" w:cs="Arabic Typesetting"/>
                <w:sz w:val="28"/>
                <w:szCs w:val="28"/>
              </w:rPr>
              <w:t>812</w:t>
            </w:r>
          </w:p>
        </w:tc>
        <w:tc>
          <w:tcPr>
            <w:tcW w:w="1048" w:type="pct"/>
            <w:vAlign w:val="center"/>
          </w:tcPr>
          <w:p w14:paraId="660167D6"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%81.8</w:t>
            </w:r>
          </w:p>
        </w:tc>
      </w:tr>
      <w:tr w:rsidR="00BD3831" w:rsidRPr="00CD6A7C" w14:paraId="2A5CDF01" w14:textId="77777777" w:rsidTr="00DF6715">
        <w:tc>
          <w:tcPr>
            <w:tcW w:w="1854" w:type="pct"/>
            <w:vAlign w:val="center"/>
          </w:tcPr>
          <w:p w14:paraId="2169A20D" w14:textId="77777777" w:rsidR="00BD3831" w:rsidRPr="00CD6A7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الأمور النثرية وغير المتوقعة</w:t>
            </w:r>
          </w:p>
          <w:p w14:paraId="6C7A7E53" w14:textId="77777777" w:rsidR="00BD3831" w:rsidRPr="00CD6A7C" w:rsidRDefault="00BD3831" w:rsidP="0031289D">
            <w:pPr>
              <w:autoSpaceDE w:val="0"/>
              <w:autoSpaceDN w:val="0"/>
              <w:bidi/>
              <w:adjustRightInd w:val="0"/>
              <w:spacing w:before="40" w:after="40" w:line="260" w:lineRule="exact"/>
              <w:ind w:left="175" w:hanging="175"/>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w:t>
            </w:r>
            <w:r w:rsidRPr="00CD6A7C">
              <w:rPr>
                <w:rFonts w:ascii="Arabic Typesetting" w:hAnsi="Arabic Typesetting" w:cs="Arabic Typesetting"/>
                <w:sz w:val="28"/>
                <w:szCs w:val="28"/>
                <w:rtl/>
                <w:lang w:bidi="ar-EG"/>
              </w:rPr>
              <w:tab/>
              <w:t>تكلفة تركيب أفلام حماية شمسية على النوافذ</w:t>
            </w:r>
          </w:p>
        </w:tc>
        <w:tc>
          <w:tcPr>
            <w:tcW w:w="1049" w:type="pct"/>
            <w:vAlign w:val="center"/>
          </w:tcPr>
          <w:p w14:paraId="324D196F"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21</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1049" w:type="pct"/>
            <w:vAlign w:val="center"/>
          </w:tcPr>
          <w:p w14:paraId="52D584B9"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46</w:t>
            </w:r>
            <w:r>
              <w:rPr>
                <w:rFonts w:ascii="Arabic Typesetting" w:hAnsi="Arabic Typesetting" w:cs="Arabic Typesetting"/>
                <w:sz w:val="28"/>
                <w:szCs w:val="28"/>
              </w:rPr>
              <w:t> </w:t>
            </w:r>
            <w:r w:rsidRPr="00CD6A7C">
              <w:rPr>
                <w:rFonts w:ascii="Arabic Typesetting" w:hAnsi="Arabic Typesetting" w:cs="Arabic Typesetting"/>
                <w:sz w:val="28"/>
                <w:szCs w:val="28"/>
              </w:rPr>
              <w:t>721</w:t>
            </w:r>
          </w:p>
        </w:tc>
        <w:tc>
          <w:tcPr>
            <w:tcW w:w="1048" w:type="pct"/>
            <w:vAlign w:val="center"/>
          </w:tcPr>
          <w:p w14:paraId="64519F65"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sz w:val="28"/>
                <w:szCs w:val="28"/>
              </w:rPr>
            </w:pPr>
            <w:r w:rsidRPr="00CD6A7C">
              <w:rPr>
                <w:rFonts w:ascii="Arabic Typesetting" w:hAnsi="Arabic Typesetting" w:cs="Arabic Typesetting"/>
                <w:sz w:val="28"/>
                <w:szCs w:val="28"/>
              </w:rPr>
              <w:t>%222.5</w:t>
            </w:r>
          </w:p>
        </w:tc>
      </w:tr>
      <w:tr w:rsidR="00BD3831" w:rsidRPr="00CD6A7C" w14:paraId="3016EA9E" w14:textId="77777777" w:rsidTr="00DF6715">
        <w:tc>
          <w:tcPr>
            <w:tcW w:w="1854" w:type="pct"/>
            <w:shd w:val="clear" w:color="auto" w:fill="C6D9F1" w:themeFill="text2" w:themeFillTint="33"/>
            <w:vAlign w:val="center"/>
          </w:tcPr>
          <w:p w14:paraId="47E3DFC3" w14:textId="77777777" w:rsidR="00BD3831" w:rsidRPr="00CD6A7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المجموع</w:t>
            </w:r>
          </w:p>
        </w:tc>
        <w:tc>
          <w:tcPr>
            <w:tcW w:w="1049" w:type="pct"/>
            <w:shd w:val="clear" w:color="auto" w:fill="C6D9F1" w:themeFill="text2" w:themeFillTint="33"/>
            <w:vAlign w:val="center"/>
          </w:tcPr>
          <w:p w14:paraId="0C0C10BD"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b/>
                <w:sz w:val="28"/>
                <w:szCs w:val="28"/>
              </w:rPr>
            </w:pPr>
            <w:r w:rsidRPr="00CD6A7C">
              <w:rPr>
                <w:rFonts w:ascii="Arabic Typesetting" w:hAnsi="Arabic Typesetting" w:cs="Arabic Typesetting"/>
                <w:b/>
                <w:sz w:val="28"/>
                <w:szCs w:val="28"/>
              </w:rPr>
              <w:t>300</w:t>
            </w:r>
            <w:r>
              <w:rPr>
                <w:rFonts w:ascii="Arabic Typesetting" w:hAnsi="Arabic Typesetting" w:cs="Arabic Typesetting"/>
                <w:b/>
                <w:sz w:val="28"/>
                <w:szCs w:val="28"/>
              </w:rPr>
              <w:t> </w:t>
            </w:r>
            <w:r w:rsidRPr="00CD6A7C">
              <w:rPr>
                <w:rFonts w:ascii="Arabic Typesetting" w:hAnsi="Arabic Typesetting" w:cs="Arabic Typesetting"/>
                <w:b/>
                <w:sz w:val="28"/>
                <w:szCs w:val="28"/>
              </w:rPr>
              <w:t>000</w:t>
            </w:r>
          </w:p>
        </w:tc>
        <w:tc>
          <w:tcPr>
            <w:tcW w:w="1049" w:type="pct"/>
            <w:shd w:val="clear" w:color="auto" w:fill="C6D9F1" w:themeFill="text2" w:themeFillTint="33"/>
            <w:vAlign w:val="center"/>
          </w:tcPr>
          <w:p w14:paraId="45EACE6B"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b/>
                <w:sz w:val="28"/>
                <w:szCs w:val="28"/>
              </w:rPr>
            </w:pPr>
            <w:r w:rsidRPr="00CD6A7C">
              <w:rPr>
                <w:rFonts w:ascii="Arabic Typesetting" w:hAnsi="Arabic Typesetting" w:cs="Arabic Typesetting"/>
                <w:b/>
                <w:sz w:val="28"/>
                <w:szCs w:val="28"/>
              </w:rPr>
              <w:t>93</w:t>
            </w:r>
            <w:r>
              <w:rPr>
                <w:rFonts w:ascii="Arabic Typesetting" w:hAnsi="Arabic Typesetting" w:cs="Arabic Typesetting"/>
                <w:b/>
                <w:sz w:val="28"/>
                <w:szCs w:val="28"/>
              </w:rPr>
              <w:t> </w:t>
            </w:r>
            <w:r w:rsidRPr="00CD6A7C">
              <w:rPr>
                <w:rFonts w:ascii="Arabic Typesetting" w:hAnsi="Arabic Typesetting" w:cs="Arabic Typesetting"/>
                <w:b/>
                <w:sz w:val="28"/>
                <w:szCs w:val="28"/>
              </w:rPr>
              <w:t>763</w:t>
            </w:r>
          </w:p>
        </w:tc>
        <w:tc>
          <w:tcPr>
            <w:tcW w:w="1048" w:type="pct"/>
            <w:shd w:val="clear" w:color="auto" w:fill="C6D9F1" w:themeFill="text2" w:themeFillTint="33"/>
            <w:vAlign w:val="center"/>
          </w:tcPr>
          <w:p w14:paraId="5BFDBBB5" w14:textId="77777777" w:rsidR="00BD3831" w:rsidRPr="00CD6A7C" w:rsidRDefault="00BD3831" w:rsidP="0031289D">
            <w:pPr>
              <w:keepNext/>
              <w:keepLines/>
              <w:autoSpaceDE w:val="0"/>
              <w:autoSpaceDN w:val="0"/>
              <w:adjustRightInd w:val="0"/>
              <w:spacing w:before="40" w:after="40" w:line="260" w:lineRule="exact"/>
              <w:jc w:val="center"/>
              <w:rPr>
                <w:rFonts w:ascii="Arabic Typesetting" w:hAnsi="Arabic Typesetting" w:cs="Arabic Typesetting"/>
                <w:b/>
                <w:sz w:val="28"/>
                <w:szCs w:val="28"/>
              </w:rPr>
            </w:pPr>
            <w:r w:rsidRPr="00CD6A7C">
              <w:rPr>
                <w:rFonts w:ascii="Arabic Typesetting" w:hAnsi="Arabic Typesetting" w:cs="Arabic Typesetting"/>
                <w:b/>
                <w:sz w:val="28"/>
                <w:szCs w:val="28"/>
              </w:rPr>
              <w:t>%31.3</w:t>
            </w:r>
          </w:p>
        </w:tc>
      </w:tr>
    </w:tbl>
    <w:p w14:paraId="7A337D65" w14:textId="77777777" w:rsidR="00BD3831" w:rsidRPr="00E551B2" w:rsidRDefault="00BD3831" w:rsidP="0031289D">
      <w:pPr>
        <w:keepNext/>
        <w:bidi/>
        <w:spacing w:before="120" w:after="120"/>
        <w:rPr>
          <w:rFonts w:ascii="Arabic Typesetting" w:hAnsi="Arabic Typesetting" w:cs="Arabic Typesetting"/>
          <w:color w:val="000000"/>
          <w:sz w:val="34"/>
          <w:szCs w:val="34"/>
          <w:lang w:bidi="ar-EG"/>
        </w:rPr>
      </w:pPr>
      <w:r w:rsidRPr="00E551B2">
        <w:rPr>
          <w:rFonts w:ascii="Arabic Typesetting" w:hAnsi="Arabic Typesetting" w:cs="Arabic Typesetting"/>
          <w:color w:val="000000"/>
          <w:sz w:val="34"/>
          <w:szCs w:val="34"/>
          <w:rtl/>
          <w:lang w:bidi="ar-EG"/>
        </w:rPr>
        <w:t>المخاطر واستراتيجيات التخفيف من آثارها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BD3831" w:rsidRPr="00E551B2" w14:paraId="0779F833" w14:textId="77777777" w:rsidTr="00DF6715">
        <w:trPr>
          <w:cantSplit/>
          <w:trHeight w:val="308"/>
          <w:tblHeader/>
          <w:jc w:val="center"/>
        </w:trPr>
        <w:tc>
          <w:tcPr>
            <w:tcW w:w="1667" w:type="pct"/>
            <w:shd w:val="clear" w:color="auto" w:fill="C6D9F1"/>
            <w:vAlign w:val="center"/>
          </w:tcPr>
          <w:p w14:paraId="245E8F44" w14:textId="77777777" w:rsidR="00BD3831" w:rsidRPr="00E551B2" w:rsidRDefault="00BD3831" w:rsidP="0031289D">
            <w:pPr>
              <w:keepNext/>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المخاطر</w:t>
            </w:r>
            <w:r w:rsidRPr="00E551B2">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14:paraId="5AAAFC0B" w14:textId="77777777" w:rsidR="00BD3831" w:rsidRPr="00E551B2" w:rsidRDefault="00BD3831" w:rsidP="0031289D">
            <w:pPr>
              <w:keepNext/>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14:paraId="6C9411C1" w14:textId="77777777" w:rsidR="00BD3831" w:rsidRPr="00E551B2" w:rsidRDefault="00BD3831" w:rsidP="0031289D">
            <w:pPr>
              <w:keepNext/>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التعليقات</w:t>
            </w:r>
          </w:p>
        </w:tc>
      </w:tr>
      <w:tr w:rsidR="00BD3831" w:rsidRPr="00E551B2" w14:paraId="576B0802" w14:textId="77777777" w:rsidTr="00DF6715">
        <w:trPr>
          <w:cantSplit/>
          <w:trHeight w:val="776"/>
          <w:jc w:val="center"/>
        </w:trPr>
        <w:tc>
          <w:tcPr>
            <w:tcW w:w="1667" w:type="pct"/>
          </w:tcPr>
          <w:p w14:paraId="6D338355" w14:textId="77777777" w:rsidR="00BD3831" w:rsidRPr="00E551B2" w:rsidRDefault="00BD3831" w:rsidP="0031289D">
            <w:pPr>
              <w:bidi/>
              <w:rPr>
                <w:rFonts w:ascii="Arabic Typesetting" w:hAnsi="Arabic Typesetting" w:cs="Arabic Typesetting"/>
                <w:sz w:val="28"/>
                <w:szCs w:val="28"/>
                <w:rtl/>
                <w:lang w:bidi="ar-EG"/>
              </w:rPr>
            </w:pPr>
            <w:r w:rsidRPr="00E551B2">
              <w:rPr>
                <w:rFonts w:ascii="Arabic Typesetting" w:hAnsi="Arabic Typesetting" w:cs="Arabic Typesetting"/>
                <w:color w:val="000000"/>
                <w:sz w:val="28"/>
                <w:szCs w:val="28"/>
                <w:rtl/>
                <w:lang w:bidi="ar-EG"/>
              </w:rPr>
              <w:t xml:space="preserve">تضارب الأولويات بين التقدم في الأعمال </w:t>
            </w:r>
            <w:r w:rsidRPr="00E551B2">
              <w:rPr>
                <w:rFonts w:ascii="Arabic Typesetting" w:hAnsi="Arabic Typesetting" w:cs="Arabic Typesetting" w:hint="cs"/>
                <w:color w:val="000000"/>
                <w:sz w:val="28"/>
                <w:szCs w:val="28"/>
                <w:rtl/>
                <w:lang w:bidi="ar-EG"/>
              </w:rPr>
              <w:t>وشغل</w:t>
            </w:r>
            <w:r w:rsidRPr="00E551B2">
              <w:rPr>
                <w:rFonts w:ascii="Arabic Typesetting" w:hAnsi="Arabic Typesetting" w:cs="Arabic Typesetting"/>
                <w:color w:val="000000"/>
                <w:sz w:val="28"/>
                <w:szCs w:val="28"/>
                <w:rtl/>
                <w:lang w:bidi="ar-EG"/>
              </w:rPr>
              <w:t xml:space="preserve"> </w:t>
            </w:r>
            <w:r w:rsidRPr="00E551B2">
              <w:rPr>
                <w:rFonts w:ascii="Arabic Typesetting" w:hAnsi="Arabic Typesetting" w:cs="Arabic Typesetting" w:hint="cs"/>
                <w:color w:val="000000"/>
                <w:sz w:val="28"/>
                <w:szCs w:val="28"/>
                <w:rtl/>
                <w:lang w:bidi="ar-EG"/>
              </w:rPr>
              <w:t>العاملين للمكاتب ما يؤدي إلى العجز عن</w:t>
            </w:r>
            <w:r w:rsidRPr="00E551B2">
              <w:rPr>
                <w:rFonts w:ascii="Arabic Typesetting" w:hAnsi="Arabic Typesetting" w:cs="Arabic Typesetting"/>
                <w:sz w:val="28"/>
                <w:szCs w:val="28"/>
                <w:rtl/>
                <w:lang w:bidi="ar-EG"/>
              </w:rPr>
              <w:t xml:space="preserve"> </w:t>
            </w:r>
            <w:r w:rsidRPr="00E551B2">
              <w:rPr>
                <w:rFonts w:ascii="Arabic Typesetting" w:hAnsi="Arabic Typesetting" w:cs="Arabic Typesetting" w:hint="cs"/>
                <w:sz w:val="28"/>
                <w:szCs w:val="28"/>
                <w:rtl/>
                <w:lang w:bidi="ar-EG"/>
              </w:rPr>
              <w:t>إخلاء</w:t>
            </w:r>
            <w:r w:rsidRPr="00E551B2">
              <w:rPr>
                <w:rFonts w:ascii="Arabic Typesetting" w:hAnsi="Arabic Typesetting" w:cs="Arabic Typesetting"/>
                <w:sz w:val="28"/>
                <w:szCs w:val="28"/>
                <w:rtl/>
                <w:lang w:bidi="ar-EG"/>
              </w:rPr>
              <w:t xml:space="preserve"> المكاتب من العاملين بها </w:t>
            </w:r>
            <w:r w:rsidRPr="00E551B2">
              <w:rPr>
                <w:rFonts w:ascii="Arabic Typesetting" w:hAnsi="Arabic Typesetting" w:cs="Arabic Typesetting" w:hint="cs"/>
                <w:sz w:val="28"/>
                <w:szCs w:val="28"/>
                <w:rtl/>
                <w:lang w:bidi="ar-EG"/>
              </w:rPr>
              <w:t>ل</w:t>
            </w:r>
            <w:r w:rsidRPr="00E551B2">
              <w:rPr>
                <w:rFonts w:ascii="Arabic Typesetting" w:hAnsi="Arabic Typesetting" w:cs="Arabic Typesetting"/>
                <w:sz w:val="28"/>
                <w:szCs w:val="28"/>
                <w:rtl/>
                <w:lang w:bidi="ar-EG"/>
              </w:rPr>
              <w:t>بدء العمل في الطابق</w:t>
            </w:r>
            <w:r>
              <w:rPr>
                <w:rFonts w:ascii="Arabic Typesetting" w:hAnsi="Arabic Typesetting" w:cs="Arabic Typesetting" w:hint="cs"/>
                <w:sz w:val="28"/>
                <w:szCs w:val="28"/>
                <w:rtl/>
                <w:lang w:bidi="ar-EG"/>
              </w:rPr>
              <w:t> </w:t>
            </w:r>
            <w:r w:rsidRPr="00E551B2">
              <w:rPr>
                <w:rFonts w:ascii="Arabic Typesetting" w:hAnsi="Arabic Typesetting" w:cs="Arabic Typesetting"/>
                <w:sz w:val="28"/>
                <w:szCs w:val="28"/>
                <w:rtl/>
                <w:lang w:bidi="ar-EG"/>
              </w:rPr>
              <w:t>المعني</w:t>
            </w:r>
          </w:p>
        </w:tc>
        <w:tc>
          <w:tcPr>
            <w:tcW w:w="1667" w:type="pct"/>
          </w:tcPr>
          <w:p w14:paraId="6C4246AB"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sidRPr="00E551B2">
              <w:rPr>
                <w:rFonts w:ascii="Arabic Typesetting" w:hAnsi="Arabic Typesetting" w:cs="Arabic Typesetting"/>
                <w:color w:val="000000"/>
                <w:sz w:val="28"/>
                <w:szCs w:val="28"/>
                <w:rtl/>
                <w:lang w:bidi="ar-EG"/>
              </w:rPr>
              <w:t>إعادة ترتيب أعمال البناء حيثما أمكن ومراجعة الجدول الزمني للأعمال</w:t>
            </w:r>
          </w:p>
        </w:tc>
        <w:tc>
          <w:tcPr>
            <w:tcW w:w="1666" w:type="pct"/>
          </w:tcPr>
          <w:p w14:paraId="459DF273" w14:textId="77777777" w:rsidR="00BD3831" w:rsidRPr="00B64F02" w:rsidRDefault="00BD3831" w:rsidP="0031289D">
            <w:pPr>
              <w:autoSpaceDE w:val="0"/>
              <w:autoSpaceDN w:val="0"/>
              <w:bidi/>
              <w:adjustRightInd w:val="0"/>
              <w:spacing w:before="40" w:after="40"/>
              <w:rPr>
                <w:rFonts w:ascii="Arabic Typesetting" w:hAnsi="Arabic Typesetting" w:cs="Arabic Typesetting"/>
                <w:i/>
                <w:iCs/>
                <w:sz w:val="28"/>
                <w:szCs w:val="28"/>
                <w:rtl/>
                <w:lang w:bidi="ar-EG"/>
              </w:rPr>
            </w:pPr>
            <w:r>
              <w:rPr>
                <w:rFonts w:ascii="Arabic Typesetting" w:hAnsi="Arabic Typesetting" w:cs="Arabic Typesetting" w:hint="cs"/>
                <w:i/>
                <w:iCs/>
                <w:sz w:val="28"/>
                <w:szCs w:val="28"/>
                <w:rtl/>
                <w:lang w:bidi="ar-EG"/>
              </w:rPr>
              <w:t>أُغلق هذا الخطر.</w:t>
            </w:r>
          </w:p>
        </w:tc>
      </w:tr>
      <w:tr w:rsidR="00BD3831" w:rsidRPr="00E551B2" w14:paraId="04A5CA06" w14:textId="77777777" w:rsidTr="00DF6715">
        <w:trPr>
          <w:cantSplit/>
          <w:trHeight w:val="479"/>
          <w:jc w:val="center"/>
        </w:trPr>
        <w:tc>
          <w:tcPr>
            <w:tcW w:w="1667" w:type="pct"/>
          </w:tcPr>
          <w:p w14:paraId="401F1396"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sidRPr="00E551B2">
              <w:rPr>
                <w:rFonts w:ascii="Arabic Typesetting" w:hAnsi="Arabic Typesetting" w:cs="Arabic Typesetting" w:hint="cs"/>
                <w:color w:val="000000"/>
                <w:sz w:val="28"/>
                <w:szCs w:val="28"/>
                <w:rtl/>
                <w:lang w:bidi="ar-EG"/>
              </w:rPr>
              <w:t>العجز عن</w:t>
            </w:r>
            <w:r w:rsidRPr="00E551B2">
              <w:rPr>
                <w:rFonts w:ascii="Arabic Typesetting" w:hAnsi="Arabic Typesetting" w:cs="Arabic Typesetting"/>
                <w:color w:val="000000"/>
                <w:sz w:val="28"/>
                <w:szCs w:val="28"/>
                <w:rtl/>
                <w:lang w:bidi="ar-EG"/>
              </w:rPr>
              <w:t xml:space="preserve"> إتمام الأعمال خلال صيف 2015 </w:t>
            </w:r>
            <w:r w:rsidRPr="00E551B2">
              <w:rPr>
                <w:rFonts w:ascii="Arabic Typesetting" w:hAnsi="Arabic Typesetting" w:cs="Arabic Typesetting" w:hint="cs"/>
                <w:color w:val="000000"/>
                <w:sz w:val="28"/>
                <w:szCs w:val="28"/>
                <w:rtl/>
                <w:lang w:bidi="ar-EG"/>
              </w:rPr>
              <w:t xml:space="preserve">بسبب </w:t>
            </w:r>
            <w:r w:rsidRPr="00E551B2">
              <w:rPr>
                <w:rFonts w:ascii="Arabic Typesetting" w:hAnsi="Arabic Typesetting" w:cs="Arabic Typesetting"/>
                <w:color w:val="000000"/>
                <w:sz w:val="28"/>
                <w:szCs w:val="28"/>
                <w:rtl/>
                <w:lang w:bidi="ar-EG"/>
              </w:rPr>
              <w:t>عدم وجود شركات متاحة تلبي الموعد النهائي الذي تطلبه الويبو</w:t>
            </w:r>
          </w:p>
        </w:tc>
        <w:tc>
          <w:tcPr>
            <w:tcW w:w="1667" w:type="pct"/>
          </w:tcPr>
          <w:p w14:paraId="033F39B0"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sidRPr="00E551B2">
              <w:rPr>
                <w:rFonts w:ascii="Arabic Typesetting" w:hAnsi="Arabic Typesetting" w:cs="Arabic Typesetting"/>
                <w:color w:val="000000"/>
                <w:sz w:val="28"/>
                <w:szCs w:val="28"/>
                <w:rtl/>
                <w:lang w:bidi="ar-EG"/>
              </w:rPr>
              <w:t>تأجيل الأعمال حتى صيف 2016</w:t>
            </w:r>
          </w:p>
        </w:tc>
        <w:tc>
          <w:tcPr>
            <w:tcW w:w="1666" w:type="pct"/>
          </w:tcPr>
          <w:p w14:paraId="2B94C066"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i/>
                <w:iCs/>
                <w:sz w:val="28"/>
                <w:szCs w:val="28"/>
                <w:rtl/>
                <w:lang w:bidi="ar-EG"/>
              </w:rPr>
              <w:t>أُغلق هذا الخطر.</w:t>
            </w:r>
          </w:p>
        </w:tc>
      </w:tr>
      <w:tr w:rsidR="00BD3831" w:rsidRPr="00E551B2" w14:paraId="4D198E66" w14:textId="77777777" w:rsidTr="00DF6715">
        <w:trPr>
          <w:cantSplit/>
          <w:trHeight w:val="776"/>
          <w:jc w:val="center"/>
        </w:trPr>
        <w:tc>
          <w:tcPr>
            <w:tcW w:w="1667" w:type="pct"/>
          </w:tcPr>
          <w:p w14:paraId="6743FECD"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sidRPr="00E551B2">
              <w:rPr>
                <w:rFonts w:ascii="Arabic Typesetting" w:hAnsi="Arabic Typesetting" w:cs="Arabic Typesetting"/>
                <w:sz w:val="28"/>
                <w:szCs w:val="28"/>
                <w:rtl/>
                <w:lang w:bidi="ar-EG"/>
              </w:rPr>
              <w:t>تأخر الأعمال أو تعطلها</w:t>
            </w:r>
            <w:r w:rsidRPr="00E551B2">
              <w:rPr>
                <w:rFonts w:ascii="Arabic Typesetting" w:hAnsi="Arabic Typesetting" w:cs="Arabic Typesetting" w:hint="cs"/>
                <w:sz w:val="28"/>
                <w:szCs w:val="28"/>
                <w:rtl/>
                <w:lang w:bidi="ar-EG"/>
              </w:rPr>
              <w:t xml:space="preserve"> بسبب </w:t>
            </w:r>
            <w:r w:rsidRPr="00E551B2">
              <w:rPr>
                <w:rFonts w:ascii="Arabic Typesetting" w:hAnsi="Arabic Typesetting" w:cs="Arabic Typesetting"/>
                <w:sz w:val="28"/>
                <w:szCs w:val="28"/>
                <w:rtl/>
                <w:lang w:bidi="ar-EG"/>
              </w:rPr>
              <w:t>حوادث بالموقع</w:t>
            </w:r>
          </w:p>
        </w:tc>
        <w:tc>
          <w:tcPr>
            <w:tcW w:w="1667" w:type="pct"/>
          </w:tcPr>
          <w:p w14:paraId="3692E846"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إعادة تثبيت التدابير الأمنية وتعزيزها ومراجعة الجدول الزمني للأعمال حتى عام 2016</w:t>
            </w:r>
          </w:p>
        </w:tc>
        <w:tc>
          <w:tcPr>
            <w:tcW w:w="1666" w:type="pct"/>
          </w:tcPr>
          <w:p w14:paraId="3CE58B30"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i/>
                <w:iCs/>
                <w:sz w:val="28"/>
                <w:szCs w:val="28"/>
                <w:rtl/>
                <w:lang w:bidi="ar-EG"/>
              </w:rPr>
              <w:t>أُغلق هذا الخطر.</w:t>
            </w:r>
          </w:p>
        </w:tc>
      </w:tr>
    </w:tbl>
    <w:p w14:paraId="6878B05A" w14:textId="77777777" w:rsidR="00BD3831" w:rsidRPr="00E551B2" w:rsidRDefault="00BD3831" w:rsidP="0031289D">
      <w:pPr>
        <w:keepNext/>
        <w:bidi/>
        <w:spacing w:before="120" w:after="120"/>
        <w:rPr>
          <w:rFonts w:ascii="Arabic Typesetting" w:hAnsi="Arabic Typesetting" w:cs="Arabic Typesetting"/>
          <w:color w:val="000000"/>
          <w:sz w:val="34"/>
          <w:szCs w:val="34"/>
          <w:rtl/>
          <w:lang w:bidi="ar-EG"/>
        </w:rPr>
      </w:pPr>
      <w:r w:rsidRPr="00E551B2">
        <w:rPr>
          <w:rFonts w:ascii="Arabic Typesetting" w:hAnsi="Arabic Typesetting" w:cs="Arabic Typesetting"/>
          <w:color w:val="000000"/>
          <w:sz w:val="34"/>
          <w:szCs w:val="34"/>
          <w:rtl/>
          <w:lang w:bidi="ar-EG"/>
        </w:rPr>
        <w:lastRenderedPageBreak/>
        <w:t>الجدول الزمني للمشروع حسب المعالم</w:t>
      </w:r>
    </w:p>
    <w:tbl>
      <w:tblPr>
        <w:bidiVisual/>
        <w:tblW w:w="5000" w:type="pct"/>
        <w:jc w:val="center"/>
        <w:tblLook w:val="04A0" w:firstRow="1" w:lastRow="0" w:firstColumn="1" w:lastColumn="0" w:noHBand="0" w:noVBand="1"/>
      </w:tblPr>
      <w:tblGrid>
        <w:gridCol w:w="2077"/>
        <w:gridCol w:w="417"/>
        <w:gridCol w:w="417"/>
        <w:gridCol w:w="417"/>
        <w:gridCol w:w="417"/>
        <w:gridCol w:w="417"/>
        <w:gridCol w:w="417"/>
        <w:gridCol w:w="416"/>
        <w:gridCol w:w="416"/>
        <w:gridCol w:w="416"/>
        <w:gridCol w:w="416"/>
        <w:gridCol w:w="416"/>
        <w:gridCol w:w="416"/>
        <w:gridCol w:w="416"/>
        <w:gridCol w:w="416"/>
        <w:gridCol w:w="416"/>
        <w:gridCol w:w="416"/>
        <w:gridCol w:w="416"/>
        <w:gridCol w:w="416"/>
      </w:tblGrid>
      <w:tr w:rsidR="00BD3831" w:rsidRPr="00CD6A7C" w14:paraId="660BD953" w14:textId="77777777" w:rsidTr="00DF6715">
        <w:trPr>
          <w:trHeight w:val="244"/>
          <w:jc w:val="center"/>
        </w:trPr>
        <w:tc>
          <w:tcPr>
            <w:tcW w:w="621" w:type="pct"/>
            <w:tcBorders>
              <w:top w:val="nil"/>
              <w:left w:val="nil"/>
              <w:bottom w:val="nil"/>
              <w:right w:val="nil"/>
            </w:tcBorders>
            <w:shd w:val="clear" w:color="auto" w:fill="auto"/>
            <w:noWrap/>
            <w:vAlign w:val="bottom"/>
            <w:hideMark/>
          </w:tcPr>
          <w:p w14:paraId="7912499A" w14:textId="77777777" w:rsidR="00BD3831" w:rsidRPr="00CD6A7C" w:rsidRDefault="00BD3831" w:rsidP="0031289D">
            <w:pPr>
              <w:rPr>
                <w:rFonts w:ascii="Arabic Typesetting" w:hAnsi="Arabic Typesetting" w:cs="Arabic Typesetting"/>
                <w:sz w:val="28"/>
                <w:szCs w:val="28"/>
              </w:rPr>
            </w:pPr>
          </w:p>
        </w:tc>
        <w:tc>
          <w:tcPr>
            <w:tcW w:w="972" w:type="pct"/>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14:paraId="4D9EA223" w14:textId="77777777" w:rsidR="00BD3831" w:rsidRPr="00CD6A7C" w:rsidRDefault="00BD3831" w:rsidP="0031289D">
            <w:pPr>
              <w:jc w:val="center"/>
              <w:rPr>
                <w:rFonts w:ascii="Arabic Typesetting" w:hAnsi="Arabic Typesetting" w:cs="Arabic Typesetting"/>
                <w:b/>
                <w:bCs/>
                <w:sz w:val="28"/>
                <w:szCs w:val="28"/>
              </w:rPr>
            </w:pPr>
            <w:r w:rsidRPr="00CD6A7C">
              <w:rPr>
                <w:rFonts w:ascii="Arabic Typesetting" w:hAnsi="Arabic Typesetting" w:cs="Arabic Typesetting"/>
                <w:b/>
                <w:bCs/>
                <w:sz w:val="28"/>
                <w:szCs w:val="28"/>
              </w:rPr>
              <w:t>2014</w:t>
            </w:r>
          </w:p>
        </w:tc>
        <w:tc>
          <w:tcPr>
            <w:tcW w:w="973" w:type="pct"/>
            <w:gridSpan w:val="4"/>
            <w:tcBorders>
              <w:top w:val="single" w:sz="8" w:space="0" w:color="auto"/>
              <w:left w:val="single" w:sz="4" w:space="0" w:color="auto"/>
              <w:bottom w:val="single" w:sz="4" w:space="0" w:color="auto"/>
              <w:right w:val="single" w:sz="8" w:space="0" w:color="000000"/>
            </w:tcBorders>
            <w:shd w:val="clear" w:color="auto" w:fill="C6D9F1" w:themeFill="text2" w:themeFillTint="33"/>
            <w:noWrap/>
            <w:vAlign w:val="bottom"/>
            <w:hideMark/>
          </w:tcPr>
          <w:p w14:paraId="59BF0908" w14:textId="77777777" w:rsidR="00BD3831" w:rsidRPr="00CD6A7C" w:rsidRDefault="00BD3831" w:rsidP="0031289D">
            <w:pPr>
              <w:jc w:val="center"/>
              <w:rPr>
                <w:rFonts w:ascii="Arabic Typesetting" w:hAnsi="Arabic Typesetting" w:cs="Arabic Typesetting"/>
                <w:b/>
                <w:bCs/>
                <w:sz w:val="28"/>
                <w:szCs w:val="28"/>
              </w:rPr>
            </w:pPr>
            <w:r w:rsidRPr="00CD6A7C">
              <w:rPr>
                <w:rFonts w:ascii="Arabic Typesetting" w:hAnsi="Arabic Typesetting" w:cs="Arabic Typesetting"/>
                <w:b/>
                <w:bCs/>
                <w:sz w:val="28"/>
                <w:szCs w:val="28"/>
              </w:rPr>
              <w:t>2015</w:t>
            </w:r>
          </w:p>
        </w:tc>
        <w:tc>
          <w:tcPr>
            <w:tcW w:w="974" w:type="pct"/>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14:paraId="10CA5C77" w14:textId="77777777" w:rsidR="00BD3831" w:rsidRPr="00CD6A7C" w:rsidRDefault="00BD3831" w:rsidP="0031289D">
            <w:pPr>
              <w:jc w:val="center"/>
              <w:rPr>
                <w:rFonts w:ascii="Arabic Typesetting" w:hAnsi="Arabic Typesetting" w:cs="Arabic Typesetting"/>
                <w:b/>
                <w:bCs/>
                <w:sz w:val="28"/>
                <w:szCs w:val="28"/>
              </w:rPr>
            </w:pPr>
            <w:r w:rsidRPr="00CD6A7C">
              <w:rPr>
                <w:rFonts w:ascii="Arabic Typesetting" w:hAnsi="Arabic Typesetting" w:cs="Arabic Typesetting"/>
                <w:b/>
                <w:bCs/>
                <w:sz w:val="28"/>
                <w:szCs w:val="28"/>
              </w:rPr>
              <w:t>2016</w:t>
            </w:r>
          </w:p>
        </w:tc>
        <w:tc>
          <w:tcPr>
            <w:tcW w:w="974" w:type="pct"/>
            <w:gridSpan w:val="4"/>
            <w:tcBorders>
              <w:top w:val="single" w:sz="8" w:space="0" w:color="auto"/>
              <w:left w:val="nil"/>
              <w:bottom w:val="single" w:sz="4" w:space="0" w:color="auto"/>
              <w:right w:val="single" w:sz="8" w:space="0" w:color="000000"/>
            </w:tcBorders>
            <w:shd w:val="clear" w:color="auto" w:fill="C6D9F1" w:themeFill="text2" w:themeFillTint="33"/>
          </w:tcPr>
          <w:p w14:paraId="3E49EB91" w14:textId="77777777" w:rsidR="00BD3831" w:rsidRPr="00CD6A7C" w:rsidRDefault="00BD3831" w:rsidP="0031289D">
            <w:pPr>
              <w:jc w:val="center"/>
              <w:rPr>
                <w:rFonts w:ascii="Arabic Typesetting" w:hAnsi="Arabic Typesetting" w:cs="Arabic Typesetting"/>
                <w:b/>
                <w:bCs/>
                <w:sz w:val="28"/>
                <w:szCs w:val="28"/>
              </w:rPr>
            </w:pPr>
            <w:r w:rsidRPr="00CD6A7C">
              <w:rPr>
                <w:rFonts w:ascii="Arabic Typesetting" w:hAnsi="Arabic Typesetting" w:cs="Arabic Typesetting"/>
                <w:b/>
                <w:bCs/>
                <w:sz w:val="28"/>
                <w:szCs w:val="28"/>
              </w:rPr>
              <w:t>2017</w:t>
            </w:r>
          </w:p>
        </w:tc>
        <w:tc>
          <w:tcPr>
            <w:tcW w:w="487" w:type="pct"/>
            <w:gridSpan w:val="2"/>
            <w:tcBorders>
              <w:top w:val="single" w:sz="8" w:space="0" w:color="auto"/>
              <w:left w:val="nil"/>
              <w:bottom w:val="single" w:sz="4" w:space="0" w:color="auto"/>
              <w:right w:val="single" w:sz="8" w:space="0" w:color="000000"/>
            </w:tcBorders>
            <w:shd w:val="clear" w:color="auto" w:fill="C6D9F1" w:themeFill="text2" w:themeFillTint="33"/>
          </w:tcPr>
          <w:p w14:paraId="34DEE534" w14:textId="77777777" w:rsidR="00BD3831" w:rsidRPr="00CD6A7C" w:rsidRDefault="00BD3831" w:rsidP="0031289D">
            <w:pPr>
              <w:jc w:val="center"/>
              <w:rPr>
                <w:rFonts w:ascii="Arabic Typesetting" w:hAnsi="Arabic Typesetting" w:cs="Arabic Typesetting"/>
                <w:b/>
                <w:bCs/>
                <w:sz w:val="28"/>
                <w:szCs w:val="28"/>
              </w:rPr>
            </w:pPr>
            <w:r w:rsidRPr="00CD6A7C">
              <w:rPr>
                <w:rFonts w:ascii="Arabic Typesetting" w:hAnsi="Arabic Typesetting" w:cs="Arabic Typesetting"/>
                <w:b/>
                <w:bCs/>
                <w:sz w:val="28"/>
                <w:szCs w:val="28"/>
              </w:rPr>
              <w:t>2018</w:t>
            </w:r>
          </w:p>
        </w:tc>
      </w:tr>
      <w:tr w:rsidR="00BD3831" w:rsidRPr="00CD6A7C" w14:paraId="2D3A3B8B" w14:textId="77777777" w:rsidTr="00DF6715">
        <w:trPr>
          <w:trHeight w:val="499"/>
          <w:jc w:val="center"/>
        </w:trPr>
        <w:tc>
          <w:tcPr>
            <w:tcW w:w="621" w:type="pct"/>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14:paraId="6F9D3265"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المعالم الرئيسية</w:t>
            </w:r>
          </w:p>
        </w:tc>
        <w:tc>
          <w:tcPr>
            <w:tcW w:w="243" w:type="pct"/>
            <w:tcBorders>
              <w:top w:val="nil"/>
              <w:left w:val="nil"/>
              <w:bottom w:val="single" w:sz="4" w:space="0" w:color="auto"/>
              <w:right w:val="single" w:sz="4" w:space="0" w:color="auto"/>
            </w:tcBorders>
            <w:shd w:val="clear" w:color="auto" w:fill="C6D9F1" w:themeFill="text2" w:themeFillTint="33"/>
            <w:vAlign w:val="bottom"/>
          </w:tcPr>
          <w:p w14:paraId="7CA34672"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ف1</w:t>
            </w:r>
          </w:p>
        </w:tc>
        <w:tc>
          <w:tcPr>
            <w:tcW w:w="243" w:type="pct"/>
            <w:tcBorders>
              <w:top w:val="nil"/>
              <w:left w:val="nil"/>
              <w:bottom w:val="single" w:sz="4" w:space="0" w:color="auto"/>
              <w:right w:val="single" w:sz="4" w:space="0" w:color="auto"/>
            </w:tcBorders>
            <w:shd w:val="clear" w:color="auto" w:fill="C6D9F1" w:themeFill="text2" w:themeFillTint="33"/>
            <w:vAlign w:val="bottom"/>
          </w:tcPr>
          <w:p w14:paraId="1ED28A10"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ف2</w:t>
            </w:r>
          </w:p>
        </w:tc>
        <w:tc>
          <w:tcPr>
            <w:tcW w:w="243" w:type="pct"/>
            <w:tcBorders>
              <w:top w:val="nil"/>
              <w:left w:val="nil"/>
              <w:bottom w:val="single" w:sz="4" w:space="0" w:color="auto"/>
              <w:right w:val="single" w:sz="4" w:space="0" w:color="auto"/>
            </w:tcBorders>
            <w:shd w:val="clear" w:color="auto" w:fill="C6D9F1" w:themeFill="text2" w:themeFillTint="33"/>
            <w:vAlign w:val="bottom"/>
          </w:tcPr>
          <w:p w14:paraId="0E074B07"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ف3</w:t>
            </w:r>
          </w:p>
        </w:tc>
        <w:tc>
          <w:tcPr>
            <w:tcW w:w="243" w:type="pct"/>
            <w:tcBorders>
              <w:top w:val="nil"/>
              <w:left w:val="nil"/>
              <w:bottom w:val="single" w:sz="4" w:space="0" w:color="auto"/>
              <w:right w:val="single" w:sz="4" w:space="0" w:color="auto"/>
            </w:tcBorders>
            <w:shd w:val="clear" w:color="auto" w:fill="C6D9F1" w:themeFill="text2" w:themeFillTint="33"/>
            <w:vAlign w:val="bottom"/>
          </w:tcPr>
          <w:p w14:paraId="48D5FC65"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ف4</w:t>
            </w:r>
          </w:p>
        </w:tc>
        <w:tc>
          <w:tcPr>
            <w:tcW w:w="243"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54409904"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ف1</w:t>
            </w:r>
          </w:p>
        </w:tc>
        <w:tc>
          <w:tcPr>
            <w:tcW w:w="243" w:type="pct"/>
            <w:tcBorders>
              <w:top w:val="nil"/>
              <w:left w:val="nil"/>
              <w:bottom w:val="single" w:sz="4" w:space="0" w:color="auto"/>
              <w:right w:val="single" w:sz="4" w:space="0" w:color="auto"/>
            </w:tcBorders>
            <w:shd w:val="clear" w:color="auto" w:fill="C6D9F1" w:themeFill="text2" w:themeFillTint="33"/>
            <w:noWrap/>
            <w:vAlign w:val="bottom"/>
            <w:hideMark/>
          </w:tcPr>
          <w:p w14:paraId="4D3AFEA0"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ف2</w:t>
            </w:r>
          </w:p>
        </w:tc>
        <w:tc>
          <w:tcPr>
            <w:tcW w:w="243" w:type="pct"/>
            <w:tcBorders>
              <w:top w:val="nil"/>
              <w:left w:val="nil"/>
              <w:bottom w:val="single" w:sz="4" w:space="0" w:color="auto"/>
              <w:right w:val="single" w:sz="4" w:space="0" w:color="auto"/>
            </w:tcBorders>
            <w:shd w:val="clear" w:color="auto" w:fill="C6D9F1" w:themeFill="text2" w:themeFillTint="33"/>
            <w:noWrap/>
            <w:vAlign w:val="bottom"/>
            <w:hideMark/>
          </w:tcPr>
          <w:p w14:paraId="6B472799"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ف3</w:t>
            </w:r>
          </w:p>
        </w:tc>
        <w:tc>
          <w:tcPr>
            <w:tcW w:w="243" w:type="pct"/>
            <w:tcBorders>
              <w:top w:val="nil"/>
              <w:left w:val="nil"/>
              <w:bottom w:val="single" w:sz="4" w:space="0" w:color="auto"/>
              <w:right w:val="single" w:sz="8" w:space="0" w:color="auto"/>
            </w:tcBorders>
            <w:shd w:val="clear" w:color="auto" w:fill="C6D9F1" w:themeFill="text2" w:themeFillTint="33"/>
            <w:noWrap/>
            <w:vAlign w:val="bottom"/>
            <w:hideMark/>
          </w:tcPr>
          <w:p w14:paraId="23C712DE"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ف4</w:t>
            </w:r>
          </w:p>
        </w:tc>
        <w:tc>
          <w:tcPr>
            <w:tcW w:w="243" w:type="pct"/>
            <w:tcBorders>
              <w:top w:val="nil"/>
              <w:left w:val="nil"/>
              <w:bottom w:val="single" w:sz="4" w:space="0" w:color="auto"/>
              <w:right w:val="single" w:sz="4" w:space="0" w:color="auto"/>
            </w:tcBorders>
            <w:shd w:val="clear" w:color="auto" w:fill="C6D9F1" w:themeFill="text2" w:themeFillTint="33"/>
            <w:noWrap/>
            <w:vAlign w:val="bottom"/>
            <w:hideMark/>
          </w:tcPr>
          <w:p w14:paraId="272B92E9"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ف1</w:t>
            </w:r>
          </w:p>
        </w:tc>
        <w:tc>
          <w:tcPr>
            <w:tcW w:w="243" w:type="pct"/>
            <w:tcBorders>
              <w:top w:val="nil"/>
              <w:left w:val="nil"/>
              <w:bottom w:val="single" w:sz="4" w:space="0" w:color="auto"/>
              <w:right w:val="single" w:sz="4" w:space="0" w:color="auto"/>
            </w:tcBorders>
            <w:shd w:val="clear" w:color="auto" w:fill="C6D9F1" w:themeFill="text2" w:themeFillTint="33"/>
            <w:noWrap/>
            <w:vAlign w:val="bottom"/>
            <w:hideMark/>
          </w:tcPr>
          <w:p w14:paraId="4DAFBA54"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ف2</w:t>
            </w:r>
          </w:p>
        </w:tc>
        <w:tc>
          <w:tcPr>
            <w:tcW w:w="243" w:type="pct"/>
            <w:tcBorders>
              <w:top w:val="nil"/>
              <w:left w:val="nil"/>
              <w:bottom w:val="single" w:sz="4" w:space="0" w:color="auto"/>
              <w:right w:val="single" w:sz="4" w:space="0" w:color="auto"/>
            </w:tcBorders>
            <w:shd w:val="clear" w:color="auto" w:fill="C6D9F1" w:themeFill="text2" w:themeFillTint="33"/>
            <w:noWrap/>
            <w:vAlign w:val="bottom"/>
            <w:hideMark/>
          </w:tcPr>
          <w:p w14:paraId="698BFF81"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ف3</w:t>
            </w:r>
          </w:p>
        </w:tc>
        <w:tc>
          <w:tcPr>
            <w:tcW w:w="243" w:type="pct"/>
            <w:tcBorders>
              <w:top w:val="nil"/>
              <w:left w:val="nil"/>
              <w:bottom w:val="single" w:sz="4" w:space="0" w:color="auto"/>
              <w:right w:val="single" w:sz="8" w:space="0" w:color="auto"/>
            </w:tcBorders>
            <w:shd w:val="clear" w:color="auto" w:fill="C6D9F1" w:themeFill="text2" w:themeFillTint="33"/>
            <w:noWrap/>
            <w:vAlign w:val="bottom"/>
            <w:hideMark/>
          </w:tcPr>
          <w:p w14:paraId="3AD5F3A5"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ف4</w:t>
            </w:r>
          </w:p>
        </w:tc>
        <w:tc>
          <w:tcPr>
            <w:tcW w:w="243" w:type="pct"/>
            <w:tcBorders>
              <w:top w:val="nil"/>
              <w:left w:val="nil"/>
              <w:bottom w:val="single" w:sz="4" w:space="0" w:color="auto"/>
              <w:right w:val="single" w:sz="8" w:space="0" w:color="auto"/>
            </w:tcBorders>
            <w:shd w:val="clear" w:color="auto" w:fill="C6D9F1" w:themeFill="text2" w:themeFillTint="33"/>
            <w:vAlign w:val="bottom"/>
          </w:tcPr>
          <w:p w14:paraId="3CF0DD7A"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ف1</w:t>
            </w:r>
          </w:p>
        </w:tc>
        <w:tc>
          <w:tcPr>
            <w:tcW w:w="243" w:type="pct"/>
            <w:tcBorders>
              <w:top w:val="nil"/>
              <w:left w:val="nil"/>
              <w:bottom w:val="single" w:sz="4" w:space="0" w:color="auto"/>
              <w:right w:val="single" w:sz="8" w:space="0" w:color="auto"/>
            </w:tcBorders>
            <w:shd w:val="clear" w:color="auto" w:fill="C6D9F1" w:themeFill="text2" w:themeFillTint="33"/>
            <w:vAlign w:val="bottom"/>
          </w:tcPr>
          <w:p w14:paraId="7F6D77AB"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ف2</w:t>
            </w:r>
          </w:p>
        </w:tc>
        <w:tc>
          <w:tcPr>
            <w:tcW w:w="243" w:type="pct"/>
            <w:tcBorders>
              <w:top w:val="nil"/>
              <w:left w:val="nil"/>
              <w:bottom w:val="single" w:sz="4" w:space="0" w:color="auto"/>
              <w:right w:val="single" w:sz="8" w:space="0" w:color="auto"/>
            </w:tcBorders>
            <w:shd w:val="clear" w:color="auto" w:fill="C6D9F1" w:themeFill="text2" w:themeFillTint="33"/>
            <w:vAlign w:val="bottom"/>
          </w:tcPr>
          <w:p w14:paraId="2594DFF9"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ف3</w:t>
            </w:r>
          </w:p>
        </w:tc>
        <w:tc>
          <w:tcPr>
            <w:tcW w:w="243" w:type="pct"/>
            <w:tcBorders>
              <w:top w:val="nil"/>
              <w:left w:val="nil"/>
              <w:bottom w:val="single" w:sz="4" w:space="0" w:color="auto"/>
              <w:right w:val="single" w:sz="8" w:space="0" w:color="auto"/>
            </w:tcBorders>
            <w:shd w:val="clear" w:color="auto" w:fill="C6D9F1" w:themeFill="text2" w:themeFillTint="33"/>
            <w:vAlign w:val="bottom"/>
          </w:tcPr>
          <w:p w14:paraId="5B6108E1"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ف4</w:t>
            </w:r>
          </w:p>
        </w:tc>
        <w:tc>
          <w:tcPr>
            <w:tcW w:w="243" w:type="pct"/>
            <w:tcBorders>
              <w:top w:val="nil"/>
              <w:left w:val="nil"/>
              <w:bottom w:val="single" w:sz="4" w:space="0" w:color="auto"/>
              <w:right w:val="single" w:sz="8" w:space="0" w:color="auto"/>
            </w:tcBorders>
            <w:shd w:val="clear" w:color="auto" w:fill="C6D9F1" w:themeFill="text2" w:themeFillTint="33"/>
            <w:vAlign w:val="bottom"/>
          </w:tcPr>
          <w:p w14:paraId="349E8D22"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ف1</w:t>
            </w:r>
          </w:p>
        </w:tc>
        <w:tc>
          <w:tcPr>
            <w:tcW w:w="243" w:type="pct"/>
            <w:tcBorders>
              <w:top w:val="nil"/>
              <w:left w:val="nil"/>
              <w:bottom w:val="single" w:sz="4" w:space="0" w:color="auto"/>
              <w:right w:val="single" w:sz="8" w:space="0" w:color="auto"/>
            </w:tcBorders>
            <w:shd w:val="clear" w:color="auto" w:fill="C6D9F1" w:themeFill="text2" w:themeFillTint="33"/>
            <w:vAlign w:val="bottom"/>
          </w:tcPr>
          <w:p w14:paraId="419932AF" w14:textId="77777777" w:rsidR="00BD3831" w:rsidRPr="00CD6A7C" w:rsidRDefault="00BD3831" w:rsidP="0031289D">
            <w:pPr>
              <w:bidi/>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ف2</w:t>
            </w:r>
          </w:p>
        </w:tc>
      </w:tr>
      <w:tr w:rsidR="00BD3831" w:rsidRPr="00CD6A7C" w14:paraId="5FBDC743" w14:textId="77777777" w:rsidTr="00DF6715">
        <w:trPr>
          <w:trHeight w:val="416"/>
          <w:jc w:val="center"/>
        </w:trPr>
        <w:tc>
          <w:tcPr>
            <w:tcW w:w="621" w:type="pct"/>
            <w:tcBorders>
              <w:top w:val="nil"/>
              <w:left w:val="single" w:sz="8" w:space="0" w:color="auto"/>
              <w:bottom w:val="single" w:sz="4" w:space="0" w:color="auto"/>
              <w:right w:val="single" w:sz="8" w:space="0" w:color="auto"/>
            </w:tcBorders>
            <w:shd w:val="clear" w:color="auto" w:fill="auto"/>
            <w:noWrap/>
            <w:vAlign w:val="center"/>
            <w:hideMark/>
          </w:tcPr>
          <w:p w14:paraId="2E0B006A"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منح العقد لمهندس الواجهة</w:t>
            </w:r>
          </w:p>
        </w:tc>
        <w:tc>
          <w:tcPr>
            <w:tcW w:w="243" w:type="pct"/>
            <w:tcBorders>
              <w:top w:val="nil"/>
              <w:left w:val="nil"/>
              <w:bottom w:val="single" w:sz="4" w:space="0" w:color="auto"/>
              <w:right w:val="single" w:sz="4" w:space="0" w:color="auto"/>
            </w:tcBorders>
            <w:vAlign w:val="center"/>
          </w:tcPr>
          <w:p w14:paraId="771BAFD5"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7C356999"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28211017" w14:textId="77777777" w:rsidR="00BD3831" w:rsidRPr="00CD6A7C" w:rsidRDefault="00BD3831" w:rsidP="0031289D">
            <w:pPr>
              <w:keepNext/>
              <w:keepLines/>
              <w:widowControl w:val="0"/>
              <w:spacing w:before="40" w:after="40"/>
              <w:jc w:val="center"/>
              <w:rPr>
                <w:rFonts w:ascii="Arabic Typesetting" w:hAnsi="Arabic Typesetting" w:cs="Arabic Typesetting"/>
                <w:color w:val="243F60" w:themeColor="accent1" w:themeShade="7F"/>
                <w:sz w:val="28"/>
                <w:szCs w:val="28"/>
              </w:rPr>
            </w:pPr>
            <w:r w:rsidRPr="00CD6A7C">
              <w:rPr>
                <w:rFonts w:ascii="Arabic Typesetting" w:hAnsi="Arabic Typesetting" w:cs="Arabic Typesetting"/>
                <w:sz w:val="28"/>
                <w:szCs w:val="28"/>
              </w:rPr>
              <w:t>X</w:t>
            </w:r>
          </w:p>
        </w:tc>
        <w:tc>
          <w:tcPr>
            <w:tcW w:w="243" w:type="pct"/>
            <w:tcBorders>
              <w:top w:val="nil"/>
              <w:left w:val="nil"/>
              <w:bottom w:val="single" w:sz="4" w:space="0" w:color="auto"/>
              <w:right w:val="single" w:sz="4" w:space="0" w:color="auto"/>
            </w:tcBorders>
            <w:vAlign w:val="center"/>
          </w:tcPr>
          <w:p w14:paraId="1772FF6D" w14:textId="77777777" w:rsidR="00BD3831" w:rsidRPr="00CD6A7C" w:rsidRDefault="00BD3831" w:rsidP="0031289D">
            <w:pPr>
              <w:keepNext/>
              <w:keepLines/>
              <w:widowControl w:val="0"/>
              <w:spacing w:before="40" w:after="40"/>
              <w:jc w:val="center"/>
              <w:rPr>
                <w:rFonts w:ascii="Arabic Typesetting" w:hAnsi="Arabic Typesetting" w:cs="Arabic Typesetting"/>
                <w:color w:val="243F60" w:themeColor="accent1" w:themeShade="7F"/>
                <w:sz w:val="28"/>
                <w:szCs w:val="28"/>
              </w:rPr>
            </w:pPr>
            <w:r w:rsidRPr="00CD6A7C">
              <w:rPr>
                <w:rFonts w:ascii="Arabic Typesetting" w:hAnsi="Arabic Typesetting" w:cs="Arabic Typesetting"/>
                <w:sz w:val="28"/>
                <w:szCs w:val="28"/>
              </w:rPr>
              <w:t>X</w:t>
            </w:r>
          </w:p>
        </w:tc>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31BDAD80"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54B5C41E"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tcPr>
          <w:p w14:paraId="5C318AB7"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shd w:val="clear" w:color="auto" w:fill="auto"/>
            <w:noWrap/>
            <w:vAlign w:val="center"/>
          </w:tcPr>
          <w:p w14:paraId="73A363D2"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5E396B38"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5BD32DF7"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4F9748C7"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shd w:val="clear" w:color="auto" w:fill="auto"/>
            <w:noWrap/>
            <w:vAlign w:val="center"/>
            <w:hideMark/>
          </w:tcPr>
          <w:p w14:paraId="79CFD148"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349CB2F0"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7A897DB8"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07A90890"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7ABA3495"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548021C7"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529CADA0"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r>
      <w:tr w:rsidR="00BD3831" w:rsidRPr="00CD6A7C" w14:paraId="14321B46" w14:textId="77777777" w:rsidTr="00DF6715">
        <w:trPr>
          <w:trHeight w:val="416"/>
          <w:jc w:val="center"/>
        </w:trPr>
        <w:tc>
          <w:tcPr>
            <w:tcW w:w="621" w:type="pct"/>
            <w:tcBorders>
              <w:top w:val="nil"/>
              <w:left w:val="single" w:sz="8" w:space="0" w:color="auto"/>
              <w:bottom w:val="single" w:sz="4" w:space="0" w:color="auto"/>
              <w:right w:val="single" w:sz="8" w:space="0" w:color="auto"/>
            </w:tcBorders>
            <w:shd w:val="clear" w:color="auto" w:fill="auto"/>
            <w:noWrap/>
            <w:vAlign w:val="center"/>
            <w:hideMark/>
          </w:tcPr>
          <w:p w14:paraId="0E924403"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تطوير المشروع وتثبيته مع مهندس الواجهة</w:t>
            </w:r>
          </w:p>
        </w:tc>
        <w:tc>
          <w:tcPr>
            <w:tcW w:w="243" w:type="pct"/>
            <w:tcBorders>
              <w:top w:val="nil"/>
              <w:left w:val="nil"/>
              <w:bottom w:val="single" w:sz="4" w:space="0" w:color="auto"/>
              <w:right w:val="single" w:sz="4" w:space="0" w:color="auto"/>
            </w:tcBorders>
            <w:vAlign w:val="center"/>
          </w:tcPr>
          <w:p w14:paraId="1C47E56F"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0D398B99"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73AD2FDD"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561235D5"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13A812A9" w14:textId="77777777" w:rsidR="00BD3831" w:rsidRPr="00CD6A7C" w:rsidRDefault="00BD3831" w:rsidP="0031289D">
            <w:pPr>
              <w:keepNext/>
              <w:keepLines/>
              <w:widowControl w:val="0"/>
              <w:spacing w:before="40" w:after="40"/>
              <w:jc w:val="center"/>
              <w:rPr>
                <w:rFonts w:ascii="Arabic Typesetting" w:hAnsi="Arabic Typesetting" w:cs="Arabic Typesetting"/>
                <w:color w:val="243F60" w:themeColor="accent1" w:themeShade="7F"/>
                <w:sz w:val="28"/>
                <w:szCs w:val="28"/>
              </w:rPr>
            </w:pPr>
            <w:r w:rsidRPr="00CD6A7C">
              <w:rPr>
                <w:rFonts w:ascii="Arabic Typesetting" w:hAnsi="Arabic Typesetting" w:cs="Arabic Typesetting"/>
                <w:sz w:val="28"/>
                <w:szCs w:val="28"/>
              </w:rPr>
              <w:t>X</w:t>
            </w:r>
          </w:p>
        </w:tc>
        <w:tc>
          <w:tcPr>
            <w:tcW w:w="243" w:type="pct"/>
            <w:tcBorders>
              <w:top w:val="nil"/>
              <w:left w:val="nil"/>
              <w:bottom w:val="single" w:sz="4" w:space="0" w:color="auto"/>
              <w:right w:val="single" w:sz="4" w:space="0" w:color="auto"/>
            </w:tcBorders>
            <w:shd w:val="clear" w:color="auto" w:fill="auto"/>
            <w:noWrap/>
            <w:vAlign w:val="center"/>
            <w:hideMark/>
          </w:tcPr>
          <w:p w14:paraId="31E08E8C"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0EC970B2"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shd w:val="clear" w:color="auto" w:fill="auto"/>
            <w:noWrap/>
            <w:vAlign w:val="center"/>
            <w:hideMark/>
          </w:tcPr>
          <w:p w14:paraId="60F51C5A"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tcPr>
          <w:p w14:paraId="364D91AC"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58DA3951"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46D5BD5B"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shd w:val="clear" w:color="auto" w:fill="auto"/>
            <w:noWrap/>
            <w:vAlign w:val="center"/>
            <w:hideMark/>
          </w:tcPr>
          <w:p w14:paraId="10CE193D"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4DAAF015"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31C934F0"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0F00B6D4"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29729C1D"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2CDBC7BF"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068AC19B"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r>
      <w:tr w:rsidR="00BD3831" w:rsidRPr="00CD6A7C" w14:paraId="410F9F9E" w14:textId="77777777" w:rsidTr="00DF6715">
        <w:trPr>
          <w:trHeight w:val="416"/>
          <w:jc w:val="center"/>
        </w:trPr>
        <w:tc>
          <w:tcPr>
            <w:tcW w:w="621" w:type="pct"/>
            <w:tcBorders>
              <w:top w:val="nil"/>
              <w:left w:val="single" w:sz="8" w:space="0" w:color="auto"/>
              <w:bottom w:val="single" w:sz="4" w:space="0" w:color="auto"/>
              <w:right w:val="single" w:sz="8" w:space="0" w:color="auto"/>
            </w:tcBorders>
            <w:shd w:val="clear" w:color="auto" w:fill="auto"/>
            <w:noWrap/>
            <w:vAlign w:val="center"/>
            <w:hideMark/>
          </w:tcPr>
          <w:p w14:paraId="614CF63D"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طرح مناقصة واختيار الشركات</w:t>
            </w:r>
          </w:p>
        </w:tc>
        <w:tc>
          <w:tcPr>
            <w:tcW w:w="243" w:type="pct"/>
            <w:tcBorders>
              <w:top w:val="nil"/>
              <w:left w:val="nil"/>
              <w:bottom w:val="single" w:sz="4" w:space="0" w:color="auto"/>
              <w:right w:val="single" w:sz="4" w:space="0" w:color="auto"/>
            </w:tcBorders>
            <w:vAlign w:val="center"/>
          </w:tcPr>
          <w:p w14:paraId="608F69A2"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78D46622"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075F10FA"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651B0C94"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59BE67B9"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789E1BDD" w14:textId="77777777" w:rsidR="00BD3831" w:rsidRPr="00CD6A7C" w:rsidRDefault="00BD3831" w:rsidP="0031289D">
            <w:pPr>
              <w:keepNext/>
              <w:keepLines/>
              <w:widowControl w:val="0"/>
              <w:spacing w:before="40" w:after="40"/>
              <w:jc w:val="center"/>
              <w:rPr>
                <w:rFonts w:ascii="Arabic Typesetting" w:hAnsi="Arabic Typesetting" w:cs="Arabic Typesetting"/>
                <w:color w:val="243F60" w:themeColor="accent1" w:themeShade="7F"/>
                <w:sz w:val="28"/>
                <w:szCs w:val="28"/>
              </w:rPr>
            </w:pPr>
            <w:r w:rsidRPr="00CD6A7C">
              <w:rPr>
                <w:rFonts w:ascii="Arabic Typesetting" w:hAnsi="Arabic Typesetting" w:cs="Arabic Typesetting"/>
                <w:sz w:val="28"/>
                <w:szCs w:val="28"/>
              </w:rPr>
              <w:t>X</w:t>
            </w:r>
          </w:p>
        </w:tc>
        <w:tc>
          <w:tcPr>
            <w:tcW w:w="243" w:type="pct"/>
            <w:tcBorders>
              <w:top w:val="nil"/>
              <w:left w:val="nil"/>
              <w:bottom w:val="single" w:sz="4" w:space="0" w:color="auto"/>
              <w:right w:val="single" w:sz="4" w:space="0" w:color="auto"/>
            </w:tcBorders>
            <w:shd w:val="clear" w:color="auto" w:fill="auto"/>
            <w:noWrap/>
            <w:vAlign w:val="center"/>
            <w:hideMark/>
          </w:tcPr>
          <w:p w14:paraId="649FF08F"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shd w:val="clear" w:color="auto" w:fill="auto"/>
            <w:noWrap/>
            <w:vAlign w:val="center"/>
            <w:hideMark/>
          </w:tcPr>
          <w:p w14:paraId="66DC80C7"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34454289"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60165F5A"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5554FAE0"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shd w:val="clear" w:color="auto" w:fill="auto"/>
            <w:noWrap/>
            <w:vAlign w:val="center"/>
            <w:hideMark/>
          </w:tcPr>
          <w:p w14:paraId="382954E4"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24AA8FCA"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3E5AED82"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415665C0"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2A8A4234"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151A9B5C"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38C6E36D"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r>
      <w:tr w:rsidR="00BD3831" w:rsidRPr="00CD6A7C" w14:paraId="2C6C9B41" w14:textId="77777777" w:rsidTr="00DF6715">
        <w:trPr>
          <w:trHeight w:val="416"/>
          <w:jc w:val="center"/>
        </w:trPr>
        <w:tc>
          <w:tcPr>
            <w:tcW w:w="621" w:type="pct"/>
            <w:tcBorders>
              <w:top w:val="nil"/>
              <w:left w:val="single" w:sz="8" w:space="0" w:color="auto"/>
              <w:bottom w:val="single" w:sz="4" w:space="0" w:color="auto"/>
              <w:right w:val="single" w:sz="8" w:space="0" w:color="auto"/>
            </w:tcBorders>
            <w:shd w:val="clear" w:color="auto" w:fill="auto"/>
            <w:noWrap/>
            <w:vAlign w:val="center"/>
          </w:tcPr>
          <w:p w14:paraId="0F6B5422"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تنفيذ الأعمال وتكليفها</w:t>
            </w:r>
          </w:p>
        </w:tc>
        <w:tc>
          <w:tcPr>
            <w:tcW w:w="243" w:type="pct"/>
            <w:tcBorders>
              <w:top w:val="nil"/>
              <w:left w:val="nil"/>
              <w:bottom w:val="single" w:sz="4" w:space="0" w:color="auto"/>
              <w:right w:val="single" w:sz="4" w:space="0" w:color="auto"/>
            </w:tcBorders>
            <w:vAlign w:val="center"/>
          </w:tcPr>
          <w:p w14:paraId="238746C3"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17B27957"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34E5B18F"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6AD98234"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single" w:sz="4" w:space="0" w:color="auto"/>
              <w:bottom w:val="single" w:sz="4" w:space="0" w:color="auto"/>
              <w:right w:val="single" w:sz="4" w:space="0" w:color="auto"/>
            </w:tcBorders>
            <w:shd w:val="clear" w:color="auto" w:fill="auto"/>
            <w:noWrap/>
            <w:vAlign w:val="center"/>
          </w:tcPr>
          <w:p w14:paraId="3564FB21"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tcPr>
          <w:p w14:paraId="7E02ECBD"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tcPr>
          <w:p w14:paraId="51410100" w14:textId="77777777" w:rsidR="00BD3831" w:rsidRPr="00CD6A7C" w:rsidRDefault="00BD3831" w:rsidP="0031289D">
            <w:pPr>
              <w:keepNext/>
              <w:keepLines/>
              <w:widowControl w:val="0"/>
              <w:spacing w:before="40" w:after="40"/>
              <w:jc w:val="center"/>
              <w:rPr>
                <w:rFonts w:ascii="Arabic Typesetting" w:hAnsi="Arabic Typesetting" w:cs="Arabic Typesetting"/>
                <w:color w:val="243F60" w:themeColor="accent1" w:themeShade="7F"/>
                <w:sz w:val="28"/>
                <w:szCs w:val="28"/>
              </w:rPr>
            </w:pPr>
            <w:r w:rsidRPr="00CD6A7C">
              <w:rPr>
                <w:rFonts w:ascii="Arabic Typesetting" w:hAnsi="Arabic Typesetting" w:cs="Arabic Typesetting"/>
                <w:sz w:val="28"/>
                <w:szCs w:val="28"/>
              </w:rPr>
              <w:t>X</w:t>
            </w:r>
          </w:p>
        </w:tc>
        <w:tc>
          <w:tcPr>
            <w:tcW w:w="243" w:type="pct"/>
            <w:tcBorders>
              <w:top w:val="nil"/>
              <w:left w:val="nil"/>
              <w:bottom w:val="single" w:sz="4" w:space="0" w:color="auto"/>
              <w:right w:val="single" w:sz="8" w:space="0" w:color="auto"/>
            </w:tcBorders>
            <w:shd w:val="clear" w:color="auto" w:fill="auto"/>
            <w:noWrap/>
            <w:vAlign w:val="center"/>
          </w:tcPr>
          <w:p w14:paraId="45D03E08"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X</w:t>
            </w:r>
          </w:p>
        </w:tc>
        <w:tc>
          <w:tcPr>
            <w:tcW w:w="243" w:type="pct"/>
            <w:tcBorders>
              <w:top w:val="nil"/>
              <w:left w:val="nil"/>
              <w:bottom w:val="single" w:sz="4" w:space="0" w:color="auto"/>
              <w:right w:val="single" w:sz="4" w:space="0" w:color="auto"/>
            </w:tcBorders>
            <w:shd w:val="clear" w:color="auto" w:fill="auto"/>
            <w:noWrap/>
            <w:vAlign w:val="center"/>
          </w:tcPr>
          <w:p w14:paraId="60E89B5C"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X</w:t>
            </w:r>
          </w:p>
        </w:tc>
        <w:tc>
          <w:tcPr>
            <w:tcW w:w="243" w:type="pct"/>
            <w:tcBorders>
              <w:top w:val="nil"/>
              <w:left w:val="nil"/>
              <w:bottom w:val="single" w:sz="4" w:space="0" w:color="auto"/>
              <w:right w:val="single" w:sz="4" w:space="0" w:color="auto"/>
            </w:tcBorders>
            <w:shd w:val="clear" w:color="auto" w:fill="auto"/>
            <w:noWrap/>
            <w:vAlign w:val="center"/>
          </w:tcPr>
          <w:p w14:paraId="569D0C2F"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X</w:t>
            </w:r>
          </w:p>
        </w:tc>
        <w:tc>
          <w:tcPr>
            <w:tcW w:w="243" w:type="pct"/>
            <w:tcBorders>
              <w:top w:val="nil"/>
              <w:left w:val="nil"/>
              <w:bottom w:val="single" w:sz="4" w:space="0" w:color="auto"/>
              <w:right w:val="single" w:sz="4" w:space="0" w:color="auto"/>
            </w:tcBorders>
            <w:shd w:val="clear" w:color="auto" w:fill="auto"/>
            <w:noWrap/>
            <w:vAlign w:val="center"/>
          </w:tcPr>
          <w:p w14:paraId="61E95943"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shd w:val="clear" w:color="auto" w:fill="auto"/>
            <w:noWrap/>
            <w:vAlign w:val="center"/>
          </w:tcPr>
          <w:p w14:paraId="501258A6"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6ADFB510"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23322212"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5551DEBC"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40DAB61A"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2188DB30"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1A4D8ED1"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r>
      <w:tr w:rsidR="00BD3831" w:rsidRPr="00CD6A7C" w14:paraId="2061BBD5" w14:textId="77777777" w:rsidTr="00DF6715">
        <w:trPr>
          <w:trHeight w:val="416"/>
          <w:jc w:val="center"/>
        </w:trPr>
        <w:tc>
          <w:tcPr>
            <w:tcW w:w="621" w:type="pct"/>
            <w:tcBorders>
              <w:top w:val="nil"/>
              <w:left w:val="single" w:sz="8" w:space="0" w:color="auto"/>
              <w:bottom w:val="single" w:sz="4" w:space="0" w:color="auto"/>
              <w:right w:val="single" w:sz="8" w:space="0" w:color="auto"/>
            </w:tcBorders>
            <w:shd w:val="clear" w:color="auto" w:fill="auto"/>
            <w:noWrap/>
            <w:vAlign w:val="center"/>
            <w:hideMark/>
          </w:tcPr>
          <w:p w14:paraId="5D8CD059" w14:textId="77777777" w:rsidR="00BD3831" w:rsidRPr="00CD6A7C" w:rsidRDefault="00BD3831" w:rsidP="0031289D">
            <w:pPr>
              <w:bidi/>
              <w:rPr>
                <w:rFonts w:ascii="Arabic Typesetting" w:hAnsi="Arabic Typesetting" w:cs="Arabic Typesetting"/>
                <w:sz w:val="28"/>
                <w:szCs w:val="28"/>
                <w:highlight w:val="yellow"/>
              </w:rPr>
            </w:pPr>
            <w:r w:rsidRPr="00CD6A7C">
              <w:rPr>
                <w:rFonts w:ascii="Arabic Typesetting" w:hAnsi="Arabic Typesetting" w:cs="Arabic Typesetting"/>
                <w:color w:val="000000"/>
                <w:sz w:val="28"/>
                <w:szCs w:val="28"/>
                <w:rtl/>
                <w:lang w:bidi="ar-EG"/>
              </w:rPr>
              <w:t>قرار إغلاق المشروع في نهاية 2016</w:t>
            </w:r>
          </w:p>
        </w:tc>
        <w:tc>
          <w:tcPr>
            <w:tcW w:w="243" w:type="pct"/>
            <w:tcBorders>
              <w:top w:val="nil"/>
              <w:left w:val="nil"/>
              <w:bottom w:val="single" w:sz="4" w:space="0" w:color="auto"/>
              <w:right w:val="single" w:sz="4" w:space="0" w:color="auto"/>
            </w:tcBorders>
            <w:vAlign w:val="center"/>
          </w:tcPr>
          <w:p w14:paraId="7E21C7F6"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71011C34"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52A3F033"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vAlign w:val="center"/>
          </w:tcPr>
          <w:p w14:paraId="7642B15C"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779B18A5"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140D6675"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61205B5C"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shd w:val="clear" w:color="auto" w:fill="auto"/>
            <w:noWrap/>
            <w:vAlign w:val="center"/>
            <w:hideMark/>
          </w:tcPr>
          <w:p w14:paraId="315DD5DA"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77E1E894"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30A4748C"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4" w:space="0" w:color="auto"/>
            </w:tcBorders>
            <w:shd w:val="clear" w:color="auto" w:fill="auto"/>
            <w:noWrap/>
            <w:vAlign w:val="center"/>
            <w:hideMark/>
          </w:tcPr>
          <w:p w14:paraId="3017DF39"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shd w:val="clear" w:color="auto" w:fill="auto"/>
            <w:noWrap/>
            <w:vAlign w:val="center"/>
            <w:hideMark/>
          </w:tcPr>
          <w:p w14:paraId="1EDB68AC"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X</w:t>
            </w:r>
          </w:p>
        </w:tc>
        <w:tc>
          <w:tcPr>
            <w:tcW w:w="243" w:type="pct"/>
            <w:tcBorders>
              <w:top w:val="nil"/>
              <w:left w:val="nil"/>
              <w:bottom w:val="single" w:sz="4" w:space="0" w:color="auto"/>
              <w:right w:val="single" w:sz="8" w:space="0" w:color="auto"/>
            </w:tcBorders>
            <w:vAlign w:val="center"/>
          </w:tcPr>
          <w:p w14:paraId="624B5597"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7F1F6A27"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73385460"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5309CA9B"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39AE6D28"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c>
          <w:tcPr>
            <w:tcW w:w="243" w:type="pct"/>
            <w:tcBorders>
              <w:top w:val="nil"/>
              <w:left w:val="nil"/>
              <w:bottom w:val="single" w:sz="4" w:space="0" w:color="auto"/>
              <w:right w:val="single" w:sz="8" w:space="0" w:color="auto"/>
            </w:tcBorders>
            <w:vAlign w:val="center"/>
          </w:tcPr>
          <w:p w14:paraId="739E70FE" w14:textId="77777777" w:rsidR="00BD3831" w:rsidRPr="00CD6A7C" w:rsidRDefault="00BD3831" w:rsidP="0031289D">
            <w:pPr>
              <w:keepNext/>
              <w:keepLines/>
              <w:widowControl w:val="0"/>
              <w:spacing w:before="40" w:after="40"/>
              <w:jc w:val="center"/>
              <w:rPr>
                <w:rFonts w:ascii="Arabic Typesetting" w:hAnsi="Arabic Typesetting" w:cs="Arabic Typesetting"/>
                <w:sz w:val="28"/>
                <w:szCs w:val="28"/>
              </w:rPr>
            </w:pPr>
          </w:p>
        </w:tc>
      </w:tr>
    </w:tbl>
    <w:p w14:paraId="606FA215" w14:textId="77777777" w:rsidR="00BD3831" w:rsidRPr="00E551B2" w:rsidRDefault="00BD3831" w:rsidP="0031289D">
      <w:pPr>
        <w:keepNext/>
        <w:pageBreakBefore/>
        <w:bidi/>
        <w:spacing w:after="240" w:line="340" w:lineRule="exact"/>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lastRenderedPageBreak/>
        <w:t>المشروعات المتصلة بالسلامة/الأمن</w:t>
      </w:r>
    </w:p>
    <w:p w14:paraId="35A9F950" w14:textId="77777777" w:rsidR="00BD3831" w:rsidRPr="00E551B2" w:rsidRDefault="00BD3831" w:rsidP="0031289D">
      <w:pPr>
        <w:pStyle w:val="Heading4"/>
      </w:pPr>
      <w:bookmarkStart w:id="84" w:name="_Toc450635447"/>
      <w:bookmarkStart w:id="85" w:name="_Toc455393416"/>
      <w:bookmarkStart w:id="86" w:name="_Toc482782792"/>
      <w:r w:rsidRPr="00E551B2">
        <w:rPr>
          <w:rtl/>
        </w:rPr>
        <w:t>المشروع 7: تدابير السلامة والحماية من الحريق (</w:t>
      </w:r>
      <w:r w:rsidRPr="00E551B2">
        <w:t>CMP 7</w:t>
      </w:r>
      <w:r w:rsidRPr="00E551B2">
        <w:rPr>
          <w:rtl/>
        </w:rPr>
        <w:t>)</w:t>
      </w:r>
      <w:bookmarkEnd w:id="84"/>
      <w:bookmarkEnd w:id="85"/>
      <w:bookmarkEnd w:id="86"/>
    </w:p>
    <w:p w14:paraId="54CE4B4D" w14:textId="77777777" w:rsidR="00BD3831" w:rsidRPr="000B74B5" w:rsidRDefault="00BD3831" w:rsidP="0031289D">
      <w:pPr>
        <w:keepNext/>
        <w:bidi/>
        <w:spacing w:after="240" w:line="340" w:lineRule="exact"/>
        <w:ind w:left="1417" w:hanging="1417"/>
        <w:rPr>
          <w:rFonts w:ascii="Arabic Typesetting" w:hAnsi="Arabic Typesetting" w:cs="Arabic Typesetting"/>
          <w:bCs/>
          <w:sz w:val="34"/>
          <w:szCs w:val="36"/>
        </w:rPr>
      </w:pPr>
      <w:r w:rsidRPr="00E551B2">
        <w:rPr>
          <w:rFonts w:ascii="Arabic Typesetting" w:hAnsi="Arabic Typesetting" w:cs="Arabic Typesetting"/>
          <w:bCs/>
          <w:sz w:val="34"/>
          <w:szCs w:val="36"/>
          <w:rtl/>
          <w:lang w:val="fr-CH"/>
        </w:rPr>
        <w:t>مدير المشروع</w:t>
      </w:r>
      <w:r w:rsidRPr="00E551B2">
        <w:rPr>
          <w:rFonts w:ascii="Arabic Typesetting" w:hAnsi="Arabic Typesetting" w:cs="Arabic Typesetting" w:hint="cs"/>
          <w:bCs/>
          <w:sz w:val="34"/>
          <w:szCs w:val="36"/>
          <w:rtl/>
          <w:lang w:val="fr-CH"/>
        </w:rPr>
        <w:t>:</w:t>
      </w:r>
      <w:r w:rsidRPr="00E551B2">
        <w:rPr>
          <w:rFonts w:ascii="Arabic Typesetting" w:hAnsi="Arabic Typesetting" w:cs="Arabic Typesetting"/>
          <w:bCs/>
          <w:sz w:val="34"/>
          <w:szCs w:val="36"/>
          <w:rtl/>
          <w:lang w:val="fr-CH"/>
        </w:rPr>
        <w:tab/>
        <w:t xml:space="preserve">السيد </w:t>
      </w:r>
      <w:r w:rsidRPr="00E551B2">
        <w:rPr>
          <w:rFonts w:ascii="Arabic Typesetting" w:hAnsi="Arabic Typesetting" w:cs="Arabic Typesetting" w:hint="cs"/>
          <w:bCs/>
          <w:sz w:val="34"/>
          <w:szCs w:val="36"/>
          <w:rtl/>
          <w:lang w:val="fr-CH"/>
        </w:rPr>
        <w:t>مارك غيب</w:t>
      </w:r>
    </w:p>
    <w:p w14:paraId="092BAFA1" w14:textId="77777777" w:rsidR="00BD3831" w:rsidRPr="00E551B2" w:rsidRDefault="00BD3831" w:rsidP="0031289D">
      <w:pPr>
        <w:bidi/>
        <w:spacing w:after="240" w:line="340" w:lineRule="exact"/>
        <w:rPr>
          <w:rFonts w:ascii="Arabic Typesetting" w:hAnsi="Arabic Typesetting" w:cs="Arabic Typesetting"/>
          <w:b/>
          <w:sz w:val="34"/>
          <w:szCs w:val="34"/>
          <w:lang w:bidi="ar-EG"/>
        </w:rPr>
      </w:pPr>
      <w:r w:rsidRPr="00E551B2">
        <w:rPr>
          <w:rFonts w:ascii="Arabic Typesetting" w:hAnsi="Arabic Typesetting" w:cs="Arabic Typesetting"/>
          <w:b/>
          <w:sz w:val="34"/>
          <w:szCs w:val="34"/>
          <w:rtl/>
          <w:lang w:bidi="ar-EG"/>
        </w:rPr>
        <w:t>النتيجة المرتقبة</w:t>
      </w:r>
    </w:p>
    <w:p w14:paraId="6BFD611E" w14:textId="77777777" w:rsidR="00BD3831" w:rsidRPr="00E551B2" w:rsidRDefault="00BD3831" w:rsidP="0031289D">
      <w:pPr>
        <w:bidi/>
        <w:spacing w:after="240" w:line="340" w:lineRule="exact"/>
        <w:rPr>
          <w:rFonts w:ascii="Arabic Typesetting" w:hAnsi="Arabic Typesetting" w:cs="Arabic Typesetting"/>
          <w:bCs/>
          <w:sz w:val="34"/>
          <w:szCs w:val="34"/>
          <w:rtl/>
          <w:lang w:bidi="ar-EG"/>
        </w:rPr>
      </w:pPr>
      <w:r w:rsidRPr="00E551B2">
        <w:rPr>
          <w:rFonts w:ascii="Arabic Typesetting" w:hAnsi="Arabic Typesetting" w:cs="Arabic Typesetting" w:hint="cs"/>
          <w:iCs/>
          <w:sz w:val="34"/>
          <w:szCs w:val="34"/>
          <w:rtl/>
        </w:rPr>
        <w:t>ه4.9</w:t>
      </w:r>
      <w:r w:rsidRPr="00E551B2">
        <w:rPr>
          <w:rFonts w:ascii="Arabic Typesetting" w:hAnsi="Arabic Typesetting" w:cs="Arabic Typesetting"/>
          <w:iCs/>
          <w:sz w:val="34"/>
          <w:szCs w:val="34"/>
          <w:rtl/>
          <w:lang w:bidi="ar-EG"/>
        </w:rPr>
        <w:tab/>
        <w:t>منظمة ذات مسؤولية بيئية واجتماعية تكفل سلامة وأمن موظفي الويبو والمندوبين والزائرين والممتلكات المادية والمعلومات</w:t>
      </w:r>
    </w:p>
    <w:p w14:paraId="7283AD7D" w14:textId="77777777" w:rsidR="00BD3831" w:rsidRPr="00E551B2" w:rsidRDefault="00BD3831" w:rsidP="0031289D">
      <w:pPr>
        <w:bidi/>
        <w:spacing w:after="240" w:line="340" w:lineRule="exact"/>
        <w:rPr>
          <w:rFonts w:ascii="Arabic Typesetting" w:hAnsi="Arabic Typesetting" w:cs="Arabic Typesetting"/>
          <w:b/>
          <w:sz w:val="34"/>
          <w:szCs w:val="34"/>
          <w:lang w:bidi="ar-EG"/>
        </w:rPr>
      </w:pPr>
      <w:r w:rsidRPr="00E551B2">
        <w:rPr>
          <w:rFonts w:ascii="Arabic Typesetting" w:hAnsi="Arabic Typesetting" w:cs="Arabic Typesetting"/>
          <w:b/>
          <w:sz w:val="34"/>
          <w:szCs w:val="34"/>
          <w:rtl/>
          <w:lang w:bidi="ar-EG"/>
        </w:rPr>
        <w:t>الأهداف والنطاق والنهج - معلومات أساسية</w:t>
      </w:r>
    </w:p>
    <w:p w14:paraId="40A37C56" w14:textId="77777777" w:rsidR="00BD3831" w:rsidRPr="00E551B2" w:rsidRDefault="00BD3831" w:rsidP="0031289D">
      <w:pPr>
        <w:numPr>
          <w:ilvl w:val="0"/>
          <w:numId w:val="54"/>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 xml:space="preserve">استنادا إلى تدقيق السلامة والأمن الذي أجراه معهد متخصص بناء على طلب الأمانة، </w:t>
      </w:r>
      <w:r w:rsidRPr="00E551B2">
        <w:rPr>
          <w:rFonts w:ascii="Arabic Typesetting" w:hAnsi="Arabic Typesetting" w:cs="Arabic Typesetting" w:hint="cs"/>
          <w:sz w:val="34"/>
          <w:szCs w:val="34"/>
          <w:rtl/>
        </w:rPr>
        <w:t>يتعين تنفيذ</w:t>
      </w:r>
      <w:r w:rsidRPr="00E551B2">
        <w:rPr>
          <w:rFonts w:ascii="Arabic Typesetting" w:hAnsi="Arabic Typesetting" w:cs="Arabic Typesetting"/>
          <w:sz w:val="34"/>
          <w:szCs w:val="34"/>
          <w:rtl/>
        </w:rPr>
        <w:t xml:space="preserve"> عدد من التوصيات المتصلة بتدابير السلامة والحماية من الحريق في مباني الويبو القديمة </w:t>
      </w:r>
      <w:r w:rsidRPr="00E551B2">
        <w:rPr>
          <w:rFonts w:ascii="Arabic Typesetting" w:hAnsi="Arabic Typesetting" w:cs="Arabic Typesetting" w:hint="cs"/>
          <w:sz w:val="34"/>
          <w:szCs w:val="34"/>
          <w:rtl/>
        </w:rPr>
        <w:t>لاستيفاء</w:t>
      </w:r>
      <w:r w:rsidRPr="00E551B2">
        <w:rPr>
          <w:rFonts w:ascii="Arabic Typesetting" w:hAnsi="Arabic Typesetting" w:cs="Arabic Typesetting"/>
          <w:sz w:val="34"/>
          <w:szCs w:val="34"/>
          <w:rtl/>
        </w:rPr>
        <w:t xml:space="preserve"> مستوى الامتثال الجديد (ويلاحظ أن المبنى الجديد وقاعة مؤتمرات الويبو الجديدة مستبعدان من هذا المشروع لأن مواصفاتهما التقنية </w:t>
      </w:r>
      <w:r w:rsidRPr="00E551B2">
        <w:rPr>
          <w:rFonts w:ascii="Arabic Typesetting" w:hAnsi="Arabic Typesetting" w:cs="Arabic Typesetting" w:hint="cs"/>
          <w:sz w:val="34"/>
          <w:szCs w:val="34"/>
          <w:rtl/>
        </w:rPr>
        <w:t>تستوفي</w:t>
      </w:r>
      <w:r w:rsidRPr="00E551B2">
        <w:rPr>
          <w:rFonts w:ascii="Arabic Typesetting" w:hAnsi="Arabic Typesetting" w:cs="Arabic Typesetting"/>
          <w:sz w:val="34"/>
          <w:szCs w:val="34"/>
          <w:rtl/>
        </w:rPr>
        <w:t xml:space="preserve"> مستوى الامتثال الجديد). </w:t>
      </w:r>
      <w:r w:rsidRPr="00E551B2">
        <w:rPr>
          <w:rFonts w:ascii="Arabic Typesetting" w:hAnsi="Arabic Typesetting" w:cs="Arabic Typesetting" w:hint="cs"/>
          <w:sz w:val="34"/>
          <w:szCs w:val="34"/>
          <w:rtl/>
        </w:rPr>
        <w:t>وإن</w:t>
      </w:r>
      <w:r w:rsidRPr="00E551B2">
        <w:rPr>
          <w:rFonts w:ascii="Arabic Typesetting" w:hAnsi="Arabic Typesetting" w:cs="Arabic Typesetting"/>
          <w:sz w:val="34"/>
          <w:szCs w:val="34"/>
          <w:rtl/>
        </w:rPr>
        <w:t xml:space="preserve"> تدابير السلامة والحماية من الحريق التي يجب تنفيذها في مباني الويبو القديمة </w:t>
      </w:r>
      <w:r w:rsidRPr="00E551B2">
        <w:rPr>
          <w:rFonts w:ascii="Arabic Typesetting" w:hAnsi="Arabic Typesetting" w:cs="Arabic Typesetting" w:hint="cs"/>
          <w:sz w:val="34"/>
          <w:szCs w:val="34"/>
          <w:rtl/>
        </w:rPr>
        <w:t>هي "1" </w:t>
      </w:r>
      <w:r w:rsidRPr="00E551B2">
        <w:rPr>
          <w:rFonts w:ascii="Arabic Typesetting" w:hAnsi="Arabic Typesetting" w:cs="Arabic Typesetting"/>
          <w:sz w:val="34"/>
          <w:szCs w:val="34"/>
          <w:rtl/>
        </w:rPr>
        <w:t>الفصل بين المباني</w:t>
      </w:r>
      <w:r w:rsidRPr="00E551B2">
        <w:rPr>
          <w:rFonts w:ascii="Arabic Typesetting" w:hAnsi="Arabic Typesetting" w:cs="Arabic Typesetting" w:hint="cs"/>
          <w:sz w:val="34"/>
          <w:szCs w:val="34"/>
          <w:rtl/>
        </w:rPr>
        <w:t>؛ "2" والفصل</w:t>
      </w:r>
      <w:r w:rsidRPr="00E551B2">
        <w:rPr>
          <w:rFonts w:ascii="Arabic Typesetting" w:hAnsi="Arabic Typesetting" w:cs="Arabic Typesetting"/>
          <w:sz w:val="34"/>
          <w:szCs w:val="34"/>
          <w:rtl/>
        </w:rPr>
        <w:t xml:space="preserve"> بين المناطق الواقعة داخل كل مبنى (تقسيم المبنى إلى أجزاء)</w:t>
      </w:r>
      <w:r w:rsidRPr="00E551B2">
        <w:rPr>
          <w:rFonts w:ascii="Arabic Typesetting" w:hAnsi="Arabic Typesetting" w:cs="Arabic Typesetting" w:hint="cs"/>
          <w:sz w:val="34"/>
          <w:szCs w:val="34"/>
          <w:rtl/>
        </w:rPr>
        <w:t>. ويهدف مستويا الفصل إلى</w:t>
      </w:r>
      <w:r w:rsidRPr="00E551B2">
        <w:rPr>
          <w:rFonts w:ascii="Arabic Typesetting" w:hAnsi="Arabic Typesetting" w:cs="Arabic Typesetting"/>
          <w:sz w:val="34"/>
          <w:szCs w:val="34"/>
          <w:rtl/>
        </w:rPr>
        <w:t xml:space="preserve"> عزل كل مبنى عن غيره من المباني وكل منطقة عن غيرها من المناطق بشكل أفضل كي لا ينتشر الحريق أو الدخان عند وقوع أي حادث. وسوف تقسَّم المباني إلى أجزاء باستخدام عناصر البنية التحتية للمباني أو الأبواب بالإضافة إلى، الأبواب الموجودة حاليا </w:t>
      </w:r>
      <w:r w:rsidRPr="00E551B2">
        <w:rPr>
          <w:rFonts w:ascii="Arabic Typesetting" w:hAnsi="Arabic Typesetting" w:cs="Arabic Typesetting" w:hint="cs"/>
          <w:sz w:val="34"/>
          <w:szCs w:val="34"/>
          <w:rtl/>
        </w:rPr>
        <w:t>أو بدلاً منها، وستركَّب</w:t>
      </w:r>
      <w:r w:rsidRPr="00E551B2">
        <w:rPr>
          <w:rFonts w:ascii="Arabic Typesetting" w:hAnsi="Arabic Typesetting" w:cs="Arabic Typesetting"/>
          <w:sz w:val="34"/>
          <w:szCs w:val="34"/>
          <w:rtl/>
        </w:rPr>
        <w:t xml:space="preserve"> في بعض الحالات أبواب جديدة في الأروقة أو الممرات ال</w:t>
      </w:r>
      <w:r w:rsidRPr="00E551B2">
        <w:rPr>
          <w:rFonts w:ascii="Arabic Typesetting" w:hAnsi="Arabic Typesetting" w:cs="Arabic Typesetting" w:hint="cs"/>
          <w:sz w:val="34"/>
          <w:szCs w:val="34"/>
          <w:rtl/>
        </w:rPr>
        <w:t>حالية</w:t>
      </w:r>
      <w:r w:rsidRPr="00E551B2">
        <w:rPr>
          <w:rFonts w:ascii="Arabic Typesetting" w:hAnsi="Arabic Typesetting" w:cs="Arabic Typesetting"/>
          <w:sz w:val="34"/>
          <w:szCs w:val="34"/>
          <w:rtl/>
        </w:rPr>
        <w:t>.</w:t>
      </w:r>
    </w:p>
    <w:p w14:paraId="5AE5C6AF" w14:textId="77777777" w:rsidR="00BD3831" w:rsidRPr="00E551B2" w:rsidRDefault="00BD3831" w:rsidP="0031289D">
      <w:pPr>
        <w:numPr>
          <w:ilvl w:val="0"/>
          <w:numId w:val="54"/>
        </w:numPr>
        <w:tabs>
          <w:tab w:val="clear" w:pos="567"/>
        </w:tabs>
        <w:bidi/>
        <w:spacing w:after="240" w:line="340" w:lineRule="exact"/>
        <w:rPr>
          <w:rFonts w:ascii="Arabic Typesetting" w:hAnsi="Arabic Typesetting" w:cs="Arabic Typesetting"/>
          <w:sz w:val="34"/>
          <w:szCs w:val="34"/>
        </w:rPr>
      </w:pPr>
      <w:r w:rsidRPr="00E551B2">
        <w:rPr>
          <w:rFonts w:ascii="Arabic Typesetting" w:hAnsi="Arabic Typesetting" w:cs="Arabic Typesetting"/>
          <w:sz w:val="34"/>
          <w:szCs w:val="34"/>
          <w:rtl/>
        </w:rPr>
        <w:t>وسينتج عن تنفيذ المشروع ما يلي:</w:t>
      </w:r>
    </w:p>
    <w:p w14:paraId="3C040071" w14:textId="77777777" w:rsidR="00BD3831" w:rsidRPr="00E551B2" w:rsidRDefault="00BD3831" w:rsidP="0031289D">
      <w:pPr>
        <w:numPr>
          <w:ilvl w:val="0"/>
          <w:numId w:val="51"/>
        </w:numPr>
        <w:bidi/>
        <w:spacing w:after="240" w:line="340" w:lineRule="exact"/>
        <w:ind w:left="1134" w:hanging="567"/>
        <w:jc w:val="both"/>
        <w:rPr>
          <w:rFonts w:ascii="Arabic Typesetting" w:hAnsi="Arabic Typesetting" w:cs="Arabic Typesetting"/>
          <w:sz w:val="34"/>
          <w:szCs w:val="34"/>
          <w:lang w:bidi="ar-EG"/>
        </w:rPr>
      </w:pPr>
      <w:r w:rsidRPr="00E551B2">
        <w:rPr>
          <w:rFonts w:ascii="Arabic Typesetting" w:hAnsi="Arabic Typesetting" w:cs="Arabic Typesetting"/>
          <w:sz w:val="34"/>
          <w:szCs w:val="34"/>
          <w:rtl/>
          <w:lang w:bidi="ar-EG"/>
        </w:rPr>
        <w:t xml:space="preserve">تخفيض التكاليف </w:t>
      </w:r>
      <w:r w:rsidRPr="00E551B2">
        <w:rPr>
          <w:rFonts w:ascii="Arabic Typesetting" w:hAnsi="Arabic Typesetting" w:cs="Arabic Typesetting" w:hint="cs"/>
          <w:sz w:val="34"/>
          <w:szCs w:val="34"/>
          <w:rtl/>
          <w:lang w:bidi="ar-EG"/>
        </w:rPr>
        <w:t>الخاصة بما يلي</w:t>
      </w:r>
      <w:r w:rsidRPr="00E551B2">
        <w:rPr>
          <w:rFonts w:ascii="Arabic Typesetting" w:hAnsi="Arabic Typesetting" w:cs="Arabic Typesetting"/>
          <w:sz w:val="34"/>
          <w:szCs w:val="34"/>
          <w:rtl/>
          <w:lang w:bidi="ar-EG"/>
        </w:rPr>
        <w:t>:</w:t>
      </w:r>
      <w:r w:rsidRPr="00E551B2">
        <w:rPr>
          <w:rFonts w:ascii="Arabic Typesetting" w:hAnsi="Arabic Typesetting" w:cs="Arabic Typesetting"/>
          <w:sz w:val="34"/>
          <w:szCs w:val="34"/>
          <w:lang w:bidi="ar-EG"/>
        </w:rPr>
        <w:t xml:space="preserve"> </w:t>
      </w:r>
      <w:r w:rsidRPr="00E551B2">
        <w:rPr>
          <w:rFonts w:ascii="Arabic Typesetting" w:hAnsi="Arabic Typesetting" w:cs="Arabic Typesetting"/>
          <w:sz w:val="34"/>
          <w:szCs w:val="34"/>
          <w:rtl/>
          <w:lang w:bidi="ar-EG"/>
        </w:rPr>
        <w:t xml:space="preserve">"1" الأضرار التي تلحق بالمباني أو الممتلكات الداخلية عن طريق </w:t>
      </w:r>
      <w:r>
        <w:rPr>
          <w:rFonts w:ascii="Arabic Typesetting" w:hAnsi="Arabic Typesetting" w:cs="Arabic Typesetting" w:hint="cs"/>
          <w:sz w:val="34"/>
          <w:szCs w:val="34"/>
          <w:rtl/>
          <w:lang w:bidi="ar-EG"/>
        </w:rPr>
        <w:t>تفادي</w:t>
      </w:r>
      <w:r w:rsidRPr="00E551B2">
        <w:rPr>
          <w:rFonts w:ascii="Arabic Typesetting" w:hAnsi="Arabic Typesetting" w:cs="Arabic Typesetting"/>
          <w:sz w:val="34"/>
          <w:szCs w:val="34"/>
          <w:rtl/>
          <w:lang w:bidi="ar-EG"/>
        </w:rPr>
        <w:t xml:space="preserve"> احتمالات الحوادث</w:t>
      </w:r>
      <w:r>
        <w:rPr>
          <w:rFonts w:ascii="Arabic Typesetting" w:hAnsi="Arabic Typesetting" w:cs="Arabic Typesetting" w:hint="cs"/>
          <w:sz w:val="34"/>
          <w:szCs w:val="34"/>
          <w:rtl/>
          <w:lang w:bidi="ar-EG"/>
        </w:rPr>
        <w:t xml:space="preserve"> والحد منها</w:t>
      </w:r>
      <w:r w:rsidRPr="00E551B2">
        <w:rPr>
          <w:rFonts w:ascii="Arabic Typesetting" w:hAnsi="Arabic Typesetting" w:cs="Arabic Typesetting"/>
          <w:sz w:val="34"/>
          <w:szCs w:val="34"/>
          <w:rtl/>
          <w:lang w:bidi="ar-EG"/>
        </w:rPr>
        <w:t>؛ "2" الإصلاح والاستبدال والتنظيف؛</w:t>
      </w:r>
    </w:p>
    <w:p w14:paraId="0091B2DD" w14:textId="77777777" w:rsidR="00BD3831" w:rsidRPr="00E551B2" w:rsidRDefault="00BD3831" w:rsidP="0031289D">
      <w:pPr>
        <w:numPr>
          <w:ilvl w:val="0"/>
          <w:numId w:val="51"/>
        </w:numPr>
        <w:bidi/>
        <w:spacing w:after="240" w:line="340" w:lineRule="exact"/>
        <w:ind w:left="1134" w:hanging="567"/>
        <w:jc w:val="both"/>
        <w:rPr>
          <w:rFonts w:ascii="Arabic Typesetting" w:hAnsi="Arabic Typesetting" w:cs="Arabic Typesetting"/>
          <w:sz w:val="34"/>
          <w:szCs w:val="34"/>
          <w:lang w:bidi="ar-EG"/>
        </w:rPr>
      </w:pPr>
      <w:r w:rsidRPr="00E551B2">
        <w:rPr>
          <w:rFonts w:ascii="Arabic Typesetting" w:hAnsi="Arabic Typesetting" w:cs="Arabic Typesetting"/>
          <w:sz w:val="34"/>
          <w:szCs w:val="34"/>
          <w:rtl/>
          <w:lang w:bidi="ar-EG"/>
        </w:rPr>
        <w:t>تعزيز حماية البيانات المتعلقة بإيداع الطلبات وفقا لأنظمة التسجيل المختلفة؛</w:t>
      </w:r>
    </w:p>
    <w:p w14:paraId="70878A85" w14:textId="77777777" w:rsidR="00BD3831" w:rsidRPr="00E551B2" w:rsidRDefault="00BD3831" w:rsidP="0031289D">
      <w:pPr>
        <w:numPr>
          <w:ilvl w:val="0"/>
          <w:numId w:val="51"/>
        </w:numPr>
        <w:bidi/>
        <w:spacing w:after="240" w:line="340" w:lineRule="exact"/>
        <w:ind w:left="1134" w:hanging="567"/>
        <w:jc w:val="both"/>
        <w:rPr>
          <w:rFonts w:ascii="Arabic Typesetting" w:hAnsi="Arabic Typesetting" w:cs="Arabic Typesetting"/>
          <w:sz w:val="34"/>
          <w:szCs w:val="34"/>
          <w:lang w:bidi="ar-EG"/>
        </w:rPr>
      </w:pPr>
      <w:r w:rsidRPr="00E551B2">
        <w:rPr>
          <w:rFonts w:ascii="Arabic Typesetting" w:hAnsi="Arabic Typesetting" w:cs="Arabic Typesetting" w:hint="cs"/>
          <w:sz w:val="34"/>
          <w:szCs w:val="34"/>
          <w:rtl/>
          <w:lang w:bidi="ar-EG"/>
        </w:rPr>
        <w:t>تهيئة</w:t>
      </w:r>
      <w:r w:rsidRPr="00E551B2">
        <w:rPr>
          <w:rFonts w:ascii="Arabic Typesetting" w:hAnsi="Arabic Typesetting" w:cs="Arabic Typesetting"/>
          <w:sz w:val="34"/>
          <w:szCs w:val="34"/>
          <w:rtl/>
          <w:lang w:bidi="ar-EG"/>
        </w:rPr>
        <w:t xml:space="preserve"> بيئة عمل أكثر أما</w:t>
      </w:r>
      <w:r w:rsidRPr="00E551B2">
        <w:rPr>
          <w:rFonts w:ascii="Arabic Typesetting" w:hAnsi="Arabic Typesetting" w:cs="Arabic Typesetting" w:hint="cs"/>
          <w:sz w:val="34"/>
          <w:szCs w:val="34"/>
          <w:rtl/>
          <w:lang w:bidi="ar-EG"/>
        </w:rPr>
        <w:t>ن</w:t>
      </w:r>
      <w:r w:rsidRPr="00E551B2">
        <w:rPr>
          <w:rFonts w:ascii="Arabic Typesetting" w:hAnsi="Arabic Typesetting" w:cs="Arabic Typesetting"/>
          <w:sz w:val="34"/>
          <w:szCs w:val="34"/>
          <w:rtl/>
          <w:lang w:bidi="ar-EG"/>
        </w:rPr>
        <w:t>ا</w:t>
      </w:r>
      <w:r w:rsidRPr="00E551B2">
        <w:rPr>
          <w:rFonts w:ascii="Arabic Typesetting" w:hAnsi="Arabic Typesetting" w:cs="Arabic Typesetting" w:hint="cs"/>
          <w:sz w:val="34"/>
          <w:szCs w:val="34"/>
          <w:rtl/>
          <w:lang w:bidi="ar-EG"/>
        </w:rPr>
        <w:t xml:space="preserve"> </w:t>
      </w:r>
      <w:r w:rsidRPr="00E551B2">
        <w:rPr>
          <w:rFonts w:ascii="Arabic Typesetting" w:hAnsi="Arabic Typesetting" w:cs="Arabic Typesetting"/>
          <w:sz w:val="34"/>
          <w:szCs w:val="34"/>
          <w:rtl/>
          <w:lang w:bidi="ar-EG"/>
        </w:rPr>
        <w:t xml:space="preserve">في حالة وقوع حادث، وتعزيز الأمن وتدابير حماية الموظفين وغيرهم </w:t>
      </w:r>
      <w:r w:rsidRPr="00E551B2">
        <w:rPr>
          <w:rFonts w:ascii="Arabic Typesetting" w:hAnsi="Arabic Typesetting" w:cs="Arabic Typesetting" w:hint="cs"/>
          <w:sz w:val="34"/>
          <w:szCs w:val="34"/>
          <w:rtl/>
          <w:lang w:bidi="ar-EG"/>
        </w:rPr>
        <w:t>من العاملين</w:t>
      </w:r>
      <w:r w:rsidRPr="00E551B2">
        <w:rPr>
          <w:rFonts w:ascii="Arabic Typesetting" w:hAnsi="Arabic Typesetting" w:cs="Arabic Typesetting"/>
          <w:sz w:val="34"/>
          <w:szCs w:val="34"/>
          <w:rtl/>
          <w:lang w:bidi="ar-EG"/>
        </w:rPr>
        <w:t xml:space="preserve"> في المباني، وتحسين تدابير الإجلاء؛</w:t>
      </w:r>
    </w:p>
    <w:p w14:paraId="1ADA000A" w14:textId="77777777" w:rsidR="00BD3831" w:rsidRPr="00E551B2" w:rsidRDefault="00BD3831" w:rsidP="0031289D">
      <w:pPr>
        <w:numPr>
          <w:ilvl w:val="0"/>
          <w:numId w:val="51"/>
        </w:numPr>
        <w:bidi/>
        <w:spacing w:after="240" w:line="340" w:lineRule="exact"/>
        <w:ind w:left="1134" w:hanging="567"/>
        <w:jc w:val="both"/>
        <w:rPr>
          <w:rFonts w:ascii="Arabic Typesetting" w:hAnsi="Arabic Typesetting" w:cs="Arabic Typesetting"/>
          <w:sz w:val="34"/>
          <w:szCs w:val="34"/>
          <w:lang w:bidi="ar-EG"/>
        </w:rPr>
      </w:pPr>
      <w:r w:rsidRPr="00E551B2">
        <w:rPr>
          <w:rFonts w:ascii="Arabic Typesetting" w:hAnsi="Arabic Typesetting" w:cs="Arabic Typesetting"/>
          <w:sz w:val="34"/>
          <w:szCs w:val="34"/>
          <w:rtl/>
          <w:lang w:bidi="ar-EG"/>
        </w:rPr>
        <w:t>حماية أفضل وعزل مادي للتركيبات الحساسة في المباني</w:t>
      </w:r>
      <w:r w:rsidRPr="00E551B2">
        <w:rPr>
          <w:rFonts w:ascii="Arabic Typesetting" w:hAnsi="Arabic Typesetting" w:cs="Arabic Typesetting" w:hint="cs"/>
          <w:sz w:val="34"/>
          <w:szCs w:val="34"/>
          <w:rtl/>
          <w:lang w:bidi="ar-EG"/>
        </w:rPr>
        <w:t>؛</w:t>
      </w:r>
    </w:p>
    <w:p w14:paraId="3840380E" w14:textId="36890C51" w:rsidR="00BD3831" w:rsidRPr="00E551B2" w:rsidRDefault="00BD3831" w:rsidP="0031289D">
      <w:pPr>
        <w:numPr>
          <w:ilvl w:val="0"/>
          <w:numId w:val="51"/>
        </w:numPr>
        <w:bidi/>
        <w:spacing w:after="240" w:line="340" w:lineRule="exact"/>
        <w:ind w:left="1134" w:hanging="567"/>
        <w:jc w:val="both"/>
        <w:rPr>
          <w:rFonts w:ascii="Arabic Typesetting" w:hAnsi="Arabic Typesetting" w:cs="Arabic Typesetting"/>
          <w:sz w:val="34"/>
          <w:szCs w:val="34"/>
          <w:lang w:bidi="ar-EG"/>
        </w:rPr>
      </w:pPr>
      <w:r w:rsidRPr="00E551B2">
        <w:rPr>
          <w:rFonts w:ascii="Arabic Typesetting" w:hAnsi="Arabic Typesetting" w:cs="Arabic Typesetting" w:hint="cs"/>
          <w:sz w:val="34"/>
          <w:szCs w:val="34"/>
          <w:rtl/>
          <w:lang w:bidi="ar-EG"/>
        </w:rPr>
        <w:t xml:space="preserve">الامتثال لمعايير </w:t>
      </w:r>
      <w:r>
        <w:rPr>
          <w:rFonts w:ascii="Arabic Typesetting" w:hAnsi="Arabic Typesetting" w:cs="Arabic Typesetting" w:hint="cs"/>
          <w:sz w:val="34"/>
          <w:szCs w:val="34"/>
          <w:rtl/>
          <w:lang w:bidi="ar-EG"/>
        </w:rPr>
        <w:t>السلامة والأمن</w:t>
      </w:r>
      <w:r w:rsidRPr="00E551B2">
        <w:rPr>
          <w:rFonts w:ascii="Arabic Typesetting" w:hAnsi="Arabic Typesetting" w:cs="Arabic Typesetting" w:hint="cs"/>
          <w:sz w:val="34"/>
          <w:szCs w:val="34"/>
          <w:rtl/>
          <w:lang w:bidi="ar-EG"/>
        </w:rPr>
        <w:t xml:space="preserve"> من الحرائق في </w:t>
      </w:r>
      <w:r w:rsidR="00D02C02" w:rsidRPr="00E551B2">
        <w:rPr>
          <w:rFonts w:ascii="Arabic Typesetting" w:hAnsi="Arabic Typesetting" w:cs="Arabic Typesetting" w:hint="cs"/>
          <w:sz w:val="34"/>
          <w:szCs w:val="34"/>
          <w:rtl/>
          <w:lang w:bidi="ar-EG"/>
        </w:rPr>
        <w:t>كانتو</w:t>
      </w:r>
      <w:r w:rsidR="00D02C02" w:rsidRPr="00E551B2">
        <w:rPr>
          <w:rFonts w:ascii="Arabic Typesetting" w:hAnsi="Arabic Typesetting" w:cs="Arabic Typesetting" w:hint="eastAsia"/>
          <w:sz w:val="34"/>
          <w:szCs w:val="34"/>
          <w:rtl/>
          <w:lang w:bidi="ar-EG"/>
        </w:rPr>
        <w:t>ن</w:t>
      </w:r>
      <w:r w:rsidRPr="00E551B2">
        <w:rPr>
          <w:rFonts w:ascii="Arabic Typesetting" w:hAnsi="Arabic Typesetting" w:cs="Arabic Typesetting" w:hint="cs"/>
          <w:sz w:val="34"/>
          <w:szCs w:val="34"/>
          <w:rtl/>
          <w:lang w:bidi="ar-EG"/>
        </w:rPr>
        <w:t xml:space="preserve"> جنيف؛</w:t>
      </w:r>
    </w:p>
    <w:p w14:paraId="12B34250" w14:textId="77777777" w:rsidR="00BD3831" w:rsidRPr="00E551B2" w:rsidRDefault="00BD3831" w:rsidP="0031289D">
      <w:pPr>
        <w:numPr>
          <w:ilvl w:val="0"/>
          <w:numId w:val="51"/>
        </w:numPr>
        <w:bidi/>
        <w:spacing w:after="240" w:line="340" w:lineRule="exact"/>
        <w:ind w:left="1134" w:hanging="567"/>
        <w:jc w:val="both"/>
        <w:rPr>
          <w:rFonts w:ascii="Arabic Typesetting" w:hAnsi="Arabic Typesetting" w:cs="Arabic Typesetting"/>
          <w:sz w:val="34"/>
          <w:szCs w:val="34"/>
          <w:lang w:bidi="ar-EG"/>
        </w:rPr>
      </w:pPr>
      <w:r w:rsidRPr="00E551B2">
        <w:rPr>
          <w:rFonts w:ascii="Arabic Typesetting" w:hAnsi="Arabic Typesetting" w:cs="Arabic Typesetting" w:hint="cs"/>
          <w:sz w:val="34"/>
          <w:szCs w:val="34"/>
          <w:rtl/>
          <w:lang w:bidi="ar-EG"/>
        </w:rPr>
        <w:t>التماشي مع سياسة الأمم المتحدة بشأن السلامة من الحرائق.</w:t>
      </w:r>
    </w:p>
    <w:p w14:paraId="0203A6A5" w14:textId="77777777" w:rsidR="00BD3831" w:rsidRPr="00E551B2" w:rsidRDefault="00BD3831" w:rsidP="0031289D">
      <w:pPr>
        <w:bidi/>
        <w:spacing w:after="24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 xml:space="preserve">استعراض التقدم المحرز في </w:t>
      </w:r>
      <w:r>
        <w:rPr>
          <w:rFonts w:ascii="Arabic Typesetting" w:hAnsi="Arabic Typesetting" w:cs="Arabic Typesetting" w:hint="cs"/>
          <w:sz w:val="34"/>
          <w:szCs w:val="34"/>
          <w:rtl/>
          <w:lang w:bidi="ar-EG"/>
        </w:rPr>
        <w:t>2016</w:t>
      </w:r>
      <w:r w:rsidRPr="00E551B2">
        <w:rPr>
          <w:rFonts w:ascii="Arabic Typesetting" w:hAnsi="Arabic Typesetting" w:cs="Arabic Typesetting"/>
          <w:sz w:val="34"/>
          <w:szCs w:val="34"/>
          <w:rtl/>
          <w:lang w:bidi="ar-EG"/>
        </w:rPr>
        <w:t xml:space="preserve"> (المعالم الرئيسية)</w:t>
      </w:r>
    </w:p>
    <w:p w14:paraId="611CC887" w14:textId="77777777" w:rsidR="00BD3831" w:rsidRDefault="00BD3831" w:rsidP="0031289D">
      <w:pPr>
        <w:numPr>
          <w:ilvl w:val="0"/>
          <w:numId w:val="54"/>
        </w:numPr>
        <w:tabs>
          <w:tab w:val="clear" w:pos="567"/>
        </w:tabs>
        <w:bidi/>
        <w:spacing w:after="240" w:line="340" w:lineRule="exact"/>
        <w:rPr>
          <w:rFonts w:ascii="Arabic Typesetting" w:hAnsi="Arabic Typesetting" w:cs="Arabic Typesetting"/>
          <w:noProof/>
          <w:sz w:val="34"/>
          <w:szCs w:val="34"/>
        </w:rPr>
      </w:pPr>
      <w:r w:rsidRPr="009D5674">
        <w:rPr>
          <w:rFonts w:ascii="Arabic Typesetting" w:hAnsi="Arabic Typesetting" w:cs="Arabic Typesetting"/>
          <w:sz w:val="34"/>
          <w:szCs w:val="34"/>
          <w:rtl/>
        </w:rPr>
        <w:t>في عام 2016، أحرز التقدم التالي:</w:t>
      </w:r>
    </w:p>
    <w:p w14:paraId="2845D2EA" w14:textId="77777777" w:rsidR="00BD3831" w:rsidRDefault="00BD3831" w:rsidP="0031289D">
      <w:pPr>
        <w:numPr>
          <w:ilvl w:val="0"/>
          <w:numId w:val="51"/>
        </w:numPr>
        <w:bidi/>
        <w:spacing w:after="240" w:line="340" w:lineRule="exact"/>
        <w:ind w:left="1134" w:hanging="567"/>
        <w:jc w:val="both"/>
        <w:rPr>
          <w:rFonts w:ascii="Arabic Typesetting" w:hAnsi="Arabic Typesetting" w:cs="Arabic Typesetting"/>
          <w:noProof/>
          <w:sz w:val="34"/>
          <w:szCs w:val="34"/>
        </w:rPr>
      </w:pPr>
      <w:r>
        <w:rPr>
          <w:rFonts w:ascii="Arabic Typesetting" w:hAnsi="Arabic Typesetting" w:cs="Arabic Typesetting" w:hint="cs"/>
          <w:noProof/>
          <w:sz w:val="34"/>
          <w:szCs w:val="34"/>
          <w:rtl/>
          <w:lang w:bidi="ar-EG"/>
        </w:rPr>
        <w:t>إجراء دراسات لتوجيه عملية الفصل بين مرأب مبنى أرباد بوكش تحت الأرض ومبنى أرباد بوكش (عدا</w:t>
      </w:r>
      <w:r>
        <w:rPr>
          <w:rFonts w:ascii="Arabic Typesetting" w:hAnsi="Arabic Typesetting" w:cs="Arabic Typesetting" w:hint="eastAsia"/>
          <w:noProof/>
          <w:sz w:val="34"/>
          <w:szCs w:val="34"/>
          <w:rtl/>
          <w:lang w:bidi="ar-EG"/>
        </w:rPr>
        <w:t> </w:t>
      </w:r>
      <w:r>
        <w:rPr>
          <w:rFonts w:ascii="Arabic Typesetting" w:hAnsi="Arabic Typesetting" w:cs="Arabic Typesetting" w:hint="cs"/>
          <w:noProof/>
          <w:sz w:val="34"/>
          <w:szCs w:val="34"/>
          <w:rtl/>
          <w:lang w:bidi="ar-EG"/>
        </w:rPr>
        <w:t xml:space="preserve">الطابق </w:t>
      </w:r>
      <w:r>
        <w:rPr>
          <w:rFonts w:ascii="Arabic Typesetting" w:hAnsi="Arabic Typesetting" w:cs="Arabic Typesetting"/>
          <w:noProof/>
          <w:sz w:val="34"/>
          <w:szCs w:val="34"/>
          <w:rtl/>
          <w:lang w:bidi="ar-EG"/>
        </w:rPr>
        <w:noBreakHyphen/>
      </w:r>
      <w:r>
        <w:rPr>
          <w:rFonts w:ascii="Arabic Typesetting" w:hAnsi="Arabic Typesetting" w:cs="Arabic Typesetting" w:hint="cs"/>
          <w:noProof/>
          <w:sz w:val="34"/>
          <w:szCs w:val="34"/>
          <w:rtl/>
          <w:lang w:bidi="ar-EG"/>
        </w:rPr>
        <w:t>2) والفصل بين مبنى بودنهاوزن الأول ومبنى أرباد بوكش (الطابق -1 والطابق الأرضي والطابق</w:t>
      </w:r>
      <w:r>
        <w:rPr>
          <w:rFonts w:ascii="Arabic Typesetting" w:hAnsi="Arabic Typesetting" w:cs="Arabic Typesetting" w:hint="eastAsia"/>
          <w:noProof/>
          <w:sz w:val="34"/>
          <w:szCs w:val="34"/>
          <w:rtl/>
          <w:lang w:bidi="ar-EG"/>
        </w:rPr>
        <w:t> </w:t>
      </w:r>
      <w:r>
        <w:rPr>
          <w:rFonts w:ascii="Arabic Typesetting" w:hAnsi="Arabic Typesetting" w:cs="Arabic Typesetting" w:hint="cs"/>
          <w:noProof/>
          <w:sz w:val="34"/>
          <w:szCs w:val="34"/>
          <w:rtl/>
          <w:lang w:bidi="ar-EG"/>
        </w:rPr>
        <w:t>الأول)؛</w:t>
      </w:r>
    </w:p>
    <w:p w14:paraId="19B92CC2" w14:textId="77777777" w:rsidR="00BD3831" w:rsidRDefault="00BD3831" w:rsidP="0031289D">
      <w:pPr>
        <w:numPr>
          <w:ilvl w:val="0"/>
          <w:numId w:val="51"/>
        </w:numPr>
        <w:bidi/>
        <w:spacing w:after="240" w:line="340" w:lineRule="exact"/>
        <w:ind w:left="1134" w:hanging="567"/>
        <w:jc w:val="both"/>
        <w:rPr>
          <w:rFonts w:ascii="Arabic Typesetting" w:hAnsi="Arabic Typesetting" w:cs="Arabic Typesetting"/>
          <w:noProof/>
          <w:sz w:val="34"/>
          <w:szCs w:val="34"/>
        </w:rPr>
      </w:pPr>
      <w:r>
        <w:rPr>
          <w:rFonts w:ascii="Arabic Typesetting" w:hAnsi="Arabic Typesetting" w:cs="Arabic Typesetting" w:hint="cs"/>
          <w:noProof/>
          <w:sz w:val="34"/>
          <w:szCs w:val="34"/>
          <w:rtl/>
        </w:rPr>
        <w:t>إنجاز واستكمال العمل المتعلق بالفصل بين مبنى بودنهاوزن الأول ومبنى أرباد بوكش (الطابق -1 والطابق</w:t>
      </w:r>
      <w:r>
        <w:rPr>
          <w:rFonts w:ascii="Arabic Typesetting" w:hAnsi="Arabic Typesetting" w:cs="Arabic Typesetting" w:hint="eastAsia"/>
          <w:noProof/>
          <w:sz w:val="34"/>
          <w:szCs w:val="34"/>
          <w:rtl/>
        </w:rPr>
        <w:t> </w:t>
      </w:r>
      <w:r>
        <w:rPr>
          <w:rFonts w:ascii="Arabic Typesetting" w:hAnsi="Arabic Typesetting" w:cs="Arabic Typesetting" w:hint="cs"/>
          <w:noProof/>
          <w:sz w:val="34"/>
          <w:szCs w:val="34"/>
          <w:rtl/>
        </w:rPr>
        <w:t>الأول)</w:t>
      </w:r>
    </w:p>
    <w:p w14:paraId="6FF6C878" w14:textId="77777777" w:rsidR="00BD3831" w:rsidRPr="009D5674" w:rsidRDefault="00BD3831" w:rsidP="0031289D">
      <w:pPr>
        <w:bidi/>
        <w:spacing w:after="240" w:line="340" w:lineRule="exact"/>
        <w:ind w:left="567"/>
        <w:jc w:val="both"/>
        <w:rPr>
          <w:rFonts w:ascii="Arabic Typesetting" w:hAnsi="Arabic Typesetting" w:cs="Arabic Typesetting"/>
          <w:noProof/>
          <w:sz w:val="34"/>
          <w:szCs w:val="34"/>
        </w:rPr>
      </w:pPr>
      <w:r>
        <w:rPr>
          <w:rFonts w:ascii="Arabic Typesetting" w:hAnsi="Arabic Typesetting" w:cs="Arabic Typesetting" w:hint="cs"/>
          <w:noProof/>
          <w:sz w:val="34"/>
          <w:szCs w:val="34"/>
          <w:rtl/>
        </w:rPr>
        <w:lastRenderedPageBreak/>
        <w:t>وخلال تدقيق لخطر الحرائق في منتصف المشروع الخاص بمباني أرباد بوكش وجورج بودنهاوزن الأول والثاني أُجري في سبتمبر 2016، حُددت مواطن عدم الامتثال التي تتطلب التصحيح من أجل استيفاء أحكام القانون السويسري. وكشف</w:t>
      </w:r>
      <w:r>
        <w:rPr>
          <w:rFonts w:ascii="Arabic Typesetting" w:hAnsi="Arabic Typesetting" w:cs="Arabic Typesetting" w:hint="eastAsia"/>
          <w:noProof/>
          <w:sz w:val="34"/>
          <w:szCs w:val="34"/>
          <w:rtl/>
        </w:rPr>
        <w:t> </w:t>
      </w:r>
      <w:r>
        <w:rPr>
          <w:rFonts w:ascii="Arabic Typesetting" w:hAnsi="Arabic Typesetting" w:cs="Arabic Typesetting" w:hint="cs"/>
          <w:noProof/>
          <w:sz w:val="34"/>
          <w:szCs w:val="34"/>
          <w:rtl/>
        </w:rPr>
        <w:t>التدقيق عن مشكلات فنية إضافية تتعلق بإمكانية العزل بين مبنى بودنهاوزن الأول وبودنهاوزن الثاني وأشار إلى أن حجم العمل الفني سيتجاوز نطاق خطة المشروع الحالية والميزانية المخصصة لها. ومن ثم، قُرر حذف هذا العنصر من نطاق المشروع 7. وستُعاد الميزانية الأصلية البالغة 65 000 فرنك سويسري إلى الاحتياطي في نهاية 2017. وعدِّلت جداول استخدام الموارد على هذا الأساس.</w:t>
      </w:r>
    </w:p>
    <w:p w14:paraId="6975940F" w14:textId="77777777" w:rsidR="00BD3831" w:rsidRPr="00E551B2" w:rsidRDefault="00BD3831" w:rsidP="0031289D">
      <w:pPr>
        <w:keepNext/>
        <w:bidi/>
        <w:spacing w:after="240"/>
        <w:rPr>
          <w:rFonts w:ascii="Arabic Typesetting" w:hAnsi="Arabic Typesetting" w:cs="Arabic Typesetting"/>
          <w:sz w:val="34"/>
          <w:szCs w:val="34"/>
          <w:rtl/>
          <w:lang w:bidi="ar-EG"/>
        </w:rPr>
      </w:pPr>
      <w:r w:rsidRPr="00E551B2">
        <w:rPr>
          <w:rFonts w:ascii="Arabic Typesetting" w:hAnsi="Arabic Typesetting" w:cs="Arabic Typesetting"/>
          <w:sz w:val="34"/>
          <w:szCs w:val="34"/>
          <w:rtl/>
          <w:lang w:bidi="ar-EG"/>
        </w:rPr>
        <w:t>تحقيق المنافع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2175"/>
        <w:gridCol w:w="2171"/>
        <w:gridCol w:w="2171"/>
      </w:tblGrid>
      <w:tr w:rsidR="00BD3831" w:rsidRPr="00E551B2" w14:paraId="26F45DE2" w14:textId="77777777" w:rsidTr="00DF6715">
        <w:trPr>
          <w:jc w:val="center"/>
        </w:trPr>
        <w:tc>
          <w:tcPr>
            <w:tcW w:w="1595" w:type="pct"/>
            <w:shd w:val="clear" w:color="auto" w:fill="C6D9F1"/>
            <w:tcMar>
              <w:top w:w="113" w:type="dxa"/>
              <w:bottom w:w="113" w:type="dxa"/>
            </w:tcMar>
            <w:vAlign w:val="center"/>
          </w:tcPr>
          <w:p w14:paraId="5EBDF603" w14:textId="77777777" w:rsidR="00BD3831" w:rsidRPr="00E551B2" w:rsidRDefault="00BD3831" w:rsidP="0031289D">
            <w:pPr>
              <w:bidi/>
              <w:spacing w:line="30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المنافع المحققة 2014</w:t>
            </w:r>
          </w:p>
        </w:tc>
        <w:tc>
          <w:tcPr>
            <w:tcW w:w="1136" w:type="pct"/>
            <w:shd w:val="clear" w:color="auto" w:fill="C6D9F1"/>
            <w:vAlign w:val="center"/>
          </w:tcPr>
          <w:p w14:paraId="3893C6E1" w14:textId="77777777" w:rsidR="00BD3831" w:rsidRPr="00E551B2" w:rsidRDefault="00BD3831" w:rsidP="0031289D">
            <w:pPr>
              <w:bidi/>
              <w:spacing w:line="30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 xml:space="preserve">المنافع </w:t>
            </w:r>
            <w:r w:rsidRPr="00E551B2">
              <w:rPr>
                <w:rFonts w:ascii="Arabic Typesetting" w:hAnsi="Arabic Typesetting" w:cs="Arabic Typesetting" w:hint="cs"/>
                <w:bCs/>
                <w:sz w:val="28"/>
                <w:szCs w:val="28"/>
                <w:rtl/>
                <w:lang w:bidi="ar-EG"/>
              </w:rPr>
              <w:t>المحققة</w:t>
            </w:r>
            <w:r w:rsidRPr="00E551B2">
              <w:rPr>
                <w:rFonts w:ascii="Arabic Typesetting" w:hAnsi="Arabic Typesetting" w:cs="Arabic Typesetting"/>
                <w:bCs/>
                <w:sz w:val="28"/>
                <w:szCs w:val="28"/>
                <w:rtl/>
                <w:lang w:bidi="ar-EG"/>
              </w:rPr>
              <w:t xml:space="preserve"> 2015</w:t>
            </w:r>
          </w:p>
        </w:tc>
        <w:tc>
          <w:tcPr>
            <w:tcW w:w="1134" w:type="pct"/>
            <w:shd w:val="clear" w:color="auto" w:fill="C6D9F1"/>
            <w:vAlign w:val="center"/>
          </w:tcPr>
          <w:p w14:paraId="18416DE6" w14:textId="77777777" w:rsidR="00BD3831" w:rsidRPr="00E551B2" w:rsidRDefault="00BD3831" w:rsidP="0031289D">
            <w:pPr>
              <w:bidi/>
              <w:spacing w:line="300" w:lineRule="exact"/>
              <w:jc w:val="center"/>
              <w:rPr>
                <w:rFonts w:ascii="Arabic Typesetting" w:hAnsi="Arabic Typesetting" w:cs="Arabic Typesetting"/>
                <w:sz w:val="28"/>
                <w:szCs w:val="28"/>
                <w:rtl/>
                <w:lang w:bidi="ar-EG"/>
              </w:rPr>
            </w:pPr>
            <w:r w:rsidRPr="00E551B2">
              <w:rPr>
                <w:rFonts w:ascii="Arabic Typesetting" w:hAnsi="Arabic Typesetting" w:cs="Arabic Typesetting"/>
                <w:bCs/>
                <w:sz w:val="28"/>
                <w:szCs w:val="28"/>
                <w:rtl/>
                <w:lang w:bidi="ar-EG"/>
              </w:rPr>
              <w:t xml:space="preserve">المنافع </w:t>
            </w:r>
            <w:r>
              <w:rPr>
                <w:rFonts w:ascii="Arabic Typesetting" w:hAnsi="Arabic Typesetting" w:cs="Arabic Typesetting" w:hint="cs"/>
                <w:bCs/>
                <w:sz w:val="28"/>
                <w:szCs w:val="28"/>
                <w:rtl/>
                <w:lang w:bidi="ar-EG"/>
              </w:rPr>
              <w:t>المحققة</w:t>
            </w:r>
            <w:r w:rsidRPr="00E551B2">
              <w:rPr>
                <w:rFonts w:ascii="Arabic Typesetting" w:hAnsi="Arabic Typesetting" w:cs="Arabic Typesetting"/>
                <w:bCs/>
                <w:sz w:val="28"/>
                <w:szCs w:val="28"/>
                <w:rtl/>
                <w:lang w:bidi="ar-EG"/>
              </w:rPr>
              <w:t xml:space="preserve"> 2016</w:t>
            </w:r>
          </w:p>
        </w:tc>
        <w:tc>
          <w:tcPr>
            <w:tcW w:w="1134" w:type="pct"/>
            <w:shd w:val="clear" w:color="auto" w:fill="C6D9F1"/>
          </w:tcPr>
          <w:p w14:paraId="2121C0F6" w14:textId="77777777" w:rsidR="00BD3831" w:rsidRPr="00E551B2" w:rsidRDefault="00BD3831" w:rsidP="0031289D">
            <w:pPr>
              <w:bidi/>
              <w:spacing w:line="300" w:lineRule="exact"/>
              <w:jc w:val="center"/>
              <w:rPr>
                <w:rFonts w:ascii="Arabic Typesetting" w:hAnsi="Arabic Typesetting" w:cs="Arabic Typesetting"/>
                <w:bCs/>
                <w:sz w:val="28"/>
                <w:szCs w:val="28"/>
                <w:rtl/>
                <w:lang w:bidi="ar-EG"/>
              </w:rPr>
            </w:pPr>
            <w:r w:rsidRPr="00E551B2">
              <w:rPr>
                <w:rFonts w:ascii="Arabic Typesetting" w:hAnsi="Arabic Typesetting" w:cs="Arabic Typesetting"/>
                <w:bCs/>
                <w:sz w:val="28"/>
                <w:szCs w:val="28"/>
                <w:rtl/>
                <w:lang w:bidi="ar-EG"/>
              </w:rPr>
              <w:t xml:space="preserve">المنافع المتوقعة </w:t>
            </w:r>
            <w:r w:rsidRPr="00E551B2">
              <w:rPr>
                <w:rFonts w:ascii="Arabic Typesetting" w:hAnsi="Arabic Typesetting" w:cs="Arabic Typesetting" w:hint="cs"/>
                <w:bCs/>
                <w:sz w:val="28"/>
                <w:szCs w:val="28"/>
                <w:rtl/>
                <w:lang w:bidi="ar-EG"/>
              </w:rPr>
              <w:t>2017</w:t>
            </w:r>
          </w:p>
        </w:tc>
      </w:tr>
      <w:tr w:rsidR="00BD3831" w:rsidRPr="00E551B2" w14:paraId="593AE6C5" w14:textId="77777777" w:rsidTr="00DF6715">
        <w:trPr>
          <w:trHeight w:val="151"/>
          <w:jc w:val="center"/>
        </w:trPr>
        <w:tc>
          <w:tcPr>
            <w:tcW w:w="1595" w:type="pct"/>
            <w:tcMar>
              <w:top w:w="113" w:type="dxa"/>
              <w:bottom w:w="113" w:type="dxa"/>
            </w:tcMar>
          </w:tcPr>
          <w:p w14:paraId="07C269A4" w14:textId="77777777" w:rsidR="00BD3831" w:rsidRPr="00E551B2" w:rsidRDefault="00BD3831" w:rsidP="0031289D">
            <w:pPr>
              <w:bidi/>
              <w:spacing w:line="300" w:lineRule="exact"/>
              <w:rPr>
                <w:rFonts w:ascii="Arabic Typesetting" w:hAnsi="Arabic Typesetting" w:cs="Arabic Typesetting"/>
                <w:sz w:val="28"/>
                <w:szCs w:val="28"/>
                <w:rtl/>
              </w:rPr>
            </w:pPr>
            <w:r w:rsidRPr="00E551B2">
              <w:rPr>
                <w:rFonts w:ascii="Arabic Typesetting" w:hAnsi="Arabic Typesetting" w:cs="Arabic Typesetting"/>
                <w:sz w:val="28"/>
                <w:szCs w:val="28"/>
                <w:rtl/>
                <w:lang w:bidi="ar-EG"/>
              </w:rPr>
              <w:t xml:space="preserve">تعزيز </w:t>
            </w:r>
            <w:r>
              <w:rPr>
                <w:rFonts w:ascii="Arabic Typesetting" w:hAnsi="Arabic Typesetting" w:cs="Arabic Typesetting" w:hint="cs"/>
                <w:sz w:val="28"/>
                <w:szCs w:val="28"/>
                <w:rtl/>
                <w:lang w:bidi="ar-EG"/>
              </w:rPr>
              <w:t>تدابير السلامة والأمن ل</w:t>
            </w:r>
            <w:r w:rsidRPr="00E551B2">
              <w:rPr>
                <w:rFonts w:ascii="Arabic Typesetting" w:hAnsi="Arabic Typesetting" w:cs="Arabic Typesetting"/>
                <w:sz w:val="28"/>
                <w:szCs w:val="28"/>
                <w:rtl/>
                <w:lang w:bidi="ar-EG"/>
              </w:rPr>
              <w:t>حماية الموظفين فور اكتمال أعمال العزل في مبنى البراءات</w:t>
            </w:r>
          </w:p>
        </w:tc>
        <w:tc>
          <w:tcPr>
            <w:tcW w:w="1136" w:type="pct"/>
          </w:tcPr>
          <w:p w14:paraId="485B7771" w14:textId="77777777" w:rsidR="00BD3831" w:rsidRPr="00E551B2" w:rsidRDefault="00BD3831" w:rsidP="0031289D">
            <w:pPr>
              <w:bidi/>
              <w:spacing w:line="300" w:lineRule="exact"/>
              <w:rPr>
                <w:rFonts w:ascii="Arabic Typesetting" w:hAnsi="Arabic Typesetting" w:cs="Arabic Typesetting"/>
                <w:sz w:val="28"/>
                <w:szCs w:val="28"/>
                <w:rtl/>
                <w:lang w:bidi="ar-EG"/>
              </w:rPr>
            </w:pPr>
            <w:r w:rsidRPr="00E551B2">
              <w:rPr>
                <w:rFonts w:ascii="Arabic Typesetting" w:hAnsi="Arabic Typesetting" w:cs="Arabic Typesetting"/>
                <w:sz w:val="28"/>
                <w:szCs w:val="28"/>
                <w:rtl/>
                <w:lang w:bidi="ar-EG"/>
              </w:rPr>
              <w:t>الحفاظ على مستوى السلامة والأمن في مبنى البراءات</w:t>
            </w:r>
          </w:p>
        </w:tc>
        <w:tc>
          <w:tcPr>
            <w:tcW w:w="1134" w:type="pct"/>
          </w:tcPr>
          <w:p w14:paraId="78021319" w14:textId="77777777" w:rsidR="00BD3831" w:rsidRPr="00E551B2" w:rsidRDefault="00BD3831" w:rsidP="0031289D">
            <w:pPr>
              <w:bidi/>
              <w:spacing w:line="300" w:lineRule="exact"/>
              <w:rPr>
                <w:rFonts w:ascii="Arabic Typesetting" w:hAnsi="Arabic Typesetting" w:cs="Arabic Typesetting"/>
                <w:sz w:val="28"/>
                <w:szCs w:val="28"/>
              </w:rPr>
            </w:pPr>
            <w:r w:rsidRPr="00E551B2">
              <w:rPr>
                <w:rFonts w:ascii="Arabic Typesetting" w:hAnsi="Arabic Typesetting" w:cs="Arabic Typesetting"/>
                <w:sz w:val="28"/>
                <w:szCs w:val="28"/>
                <w:rtl/>
                <w:lang w:bidi="ar-EG"/>
              </w:rPr>
              <w:t>الحفاظ على مستوى السلامة والأمن في مبنى البراءات</w:t>
            </w:r>
          </w:p>
        </w:tc>
        <w:tc>
          <w:tcPr>
            <w:tcW w:w="1134" w:type="pct"/>
          </w:tcPr>
          <w:p w14:paraId="02A39940" w14:textId="77777777" w:rsidR="00BD3831" w:rsidRPr="00E551B2" w:rsidRDefault="00BD3831" w:rsidP="0031289D">
            <w:pPr>
              <w:bidi/>
              <w:spacing w:line="300" w:lineRule="exact"/>
              <w:rPr>
                <w:rFonts w:ascii="Arabic Typesetting" w:hAnsi="Arabic Typesetting" w:cs="Arabic Typesetting"/>
                <w:sz w:val="28"/>
                <w:szCs w:val="28"/>
              </w:rPr>
            </w:pPr>
            <w:r w:rsidRPr="00E551B2">
              <w:rPr>
                <w:rFonts w:ascii="Arabic Typesetting" w:hAnsi="Arabic Typesetting" w:cs="Arabic Typesetting"/>
                <w:sz w:val="28"/>
                <w:szCs w:val="28"/>
                <w:rtl/>
                <w:lang w:bidi="ar-EG"/>
              </w:rPr>
              <w:t>الحفاظ على مستوى السلامة والأمن في مبنى البراءات</w:t>
            </w:r>
          </w:p>
        </w:tc>
      </w:tr>
      <w:tr w:rsidR="00BD3831" w:rsidRPr="00E551B2" w14:paraId="09A66BA9" w14:textId="77777777" w:rsidTr="00DF6715">
        <w:trPr>
          <w:trHeight w:val="19"/>
          <w:jc w:val="center"/>
        </w:trPr>
        <w:tc>
          <w:tcPr>
            <w:tcW w:w="1595" w:type="pct"/>
            <w:tcMar>
              <w:top w:w="113" w:type="dxa"/>
              <w:bottom w:w="113" w:type="dxa"/>
            </w:tcMar>
          </w:tcPr>
          <w:p w14:paraId="43B3E817" w14:textId="77777777" w:rsidR="00BD3831" w:rsidRPr="00E551B2" w:rsidRDefault="00BD3831" w:rsidP="0031289D">
            <w:pPr>
              <w:bidi/>
              <w:spacing w:line="300" w:lineRule="exact"/>
              <w:rPr>
                <w:rFonts w:ascii="Arabic Typesetting" w:hAnsi="Arabic Typesetting" w:cs="Arabic Typesetting"/>
                <w:sz w:val="28"/>
                <w:szCs w:val="28"/>
                <w:u w:val="single"/>
              </w:rPr>
            </w:pPr>
          </w:p>
        </w:tc>
        <w:tc>
          <w:tcPr>
            <w:tcW w:w="1136" w:type="pct"/>
          </w:tcPr>
          <w:p w14:paraId="67DB80A3" w14:textId="77777777" w:rsidR="00BD3831" w:rsidRPr="00E551B2" w:rsidRDefault="00BD3831" w:rsidP="0031289D">
            <w:pPr>
              <w:bidi/>
              <w:spacing w:line="300" w:lineRule="exact"/>
              <w:rPr>
                <w:rFonts w:ascii="Arabic Typesetting" w:hAnsi="Arabic Typesetting" w:cs="Arabic Typesetting"/>
                <w:sz w:val="28"/>
                <w:szCs w:val="28"/>
                <w:rtl/>
                <w:lang w:bidi="ar-EG"/>
              </w:rPr>
            </w:pPr>
            <w:r w:rsidRPr="00E551B2">
              <w:rPr>
                <w:rFonts w:ascii="Arabic Typesetting" w:hAnsi="Arabic Typesetting" w:cs="Arabic Typesetting"/>
                <w:sz w:val="28"/>
                <w:szCs w:val="28"/>
                <w:rtl/>
                <w:lang w:bidi="ar-EG"/>
              </w:rPr>
              <w:t xml:space="preserve">تعزيز أمن الموظفين والوفود عن طريق إنشاء غرفة ضغط في مهبط مصاعد المنطقة </w:t>
            </w:r>
            <w:r w:rsidRPr="00E551B2">
              <w:rPr>
                <w:rFonts w:ascii="Arabic Typesetting" w:hAnsi="Arabic Typesetting" w:cs="Arabic Typesetting"/>
                <w:sz w:val="28"/>
                <w:szCs w:val="28"/>
                <w:lang w:bidi="ar-EG"/>
              </w:rPr>
              <w:t>AB -2</w:t>
            </w:r>
          </w:p>
        </w:tc>
        <w:tc>
          <w:tcPr>
            <w:tcW w:w="1134" w:type="pct"/>
          </w:tcPr>
          <w:p w14:paraId="6AE2D596" w14:textId="77777777" w:rsidR="00BD3831" w:rsidRPr="00E551B2" w:rsidRDefault="00BD3831" w:rsidP="0031289D">
            <w:pPr>
              <w:bidi/>
              <w:spacing w:line="300" w:lineRule="exact"/>
              <w:rPr>
                <w:rFonts w:ascii="Arabic Typesetting" w:hAnsi="Arabic Typesetting" w:cs="Arabic Typesetting"/>
                <w:sz w:val="28"/>
                <w:szCs w:val="28"/>
                <w:rtl/>
                <w:lang w:bidi="ar-EG"/>
              </w:rPr>
            </w:pPr>
            <w:r w:rsidRPr="00E551B2">
              <w:rPr>
                <w:rFonts w:ascii="Arabic Typesetting" w:hAnsi="Arabic Typesetting" w:cs="Arabic Typesetting"/>
                <w:sz w:val="28"/>
                <w:szCs w:val="28"/>
                <w:rtl/>
                <w:lang w:bidi="ar-EG"/>
              </w:rPr>
              <w:t xml:space="preserve">الحفاظ على مستوى </w:t>
            </w:r>
            <w:r>
              <w:rPr>
                <w:rFonts w:ascii="Arabic Typesetting" w:hAnsi="Arabic Typesetting" w:cs="Arabic Typesetting"/>
                <w:sz w:val="28"/>
                <w:szCs w:val="28"/>
                <w:rtl/>
                <w:lang w:bidi="ar-EG"/>
              </w:rPr>
              <w:t>السلامة والأمن</w:t>
            </w:r>
            <w:r w:rsidRPr="00E551B2">
              <w:rPr>
                <w:rFonts w:ascii="Arabic Typesetting" w:hAnsi="Arabic Typesetting" w:cs="Arabic Typesetting"/>
                <w:sz w:val="28"/>
                <w:szCs w:val="28"/>
                <w:rtl/>
                <w:lang w:bidi="ar-EG"/>
              </w:rPr>
              <w:t xml:space="preserve"> عند دخول مهبط المنطقة </w:t>
            </w:r>
            <w:r w:rsidRPr="00E551B2">
              <w:rPr>
                <w:rFonts w:ascii="Arabic Typesetting" w:hAnsi="Arabic Typesetting" w:cs="Arabic Typesetting"/>
                <w:sz w:val="28"/>
                <w:szCs w:val="28"/>
                <w:lang w:bidi="ar-EG"/>
              </w:rPr>
              <w:t>AB -2</w:t>
            </w:r>
          </w:p>
        </w:tc>
        <w:tc>
          <w:tcPr>
            <w:tcW w:w="1134" w:type="pct"/>
          </w:tcPr>
          <w:p w14:paraId="1B28DCAC" w14:textId="77777777" w:rsidR="00BD3831" w:rsidRPr="00E551B2" w:rsidRDefault="00BD3831" w:rsidP="0031289D">
            <w:pPr>
              <w:bidi/>
              <w:spacing w:line="300" w:lineRule="exact"/>
              <w:rPr>
                <w:rFonts w:ascii="Arabic Typesetting" w:hAnsi="Arabic Typesetting" w:cs="Arabic Typesetting"/>
                <w:sz w:val="28"/>
                <w:szCs w:val="28"/>
                <w:rtl/>
                <w:lang w:bidi="ar-EG"/>
              </w:rPr>
            </w:pPr>
            <w:r w:rsidRPr="00E551B2">
              <w:rPr>
                <w:rFonts w:ascii="Arabic Typesetting" w:hAnsi="Arabic Typesetting" w:cs="Arabic Typesetting"/>
                <w:sz w:val="28"/>
                <w:szCs w:val="28"/>
                <w:rtl/>
                <w:lang w:bidi="ar-EG"/>
              </w:rPr>
              <w:t xml:space="preserve">الحفاظ على مستوى </w:t>
            </w:r>
            <w:r>
              <w:rPr>
                <w:rFonts w:ascii="Arabic Typesetting" w:hAnsi="Arabic Typesetting" w:cs="Arabic Typesetting"/>
                <w:sz w:val="28"/>
                <w:szCs w:val="28"/>
                <w:rtl/>
                <w:lang w:bidi="ar-EG"/>
              </w:rPr>
              <w:t>السلامة والأمن</w:t>
            </w:r>
            <w:r w:rsidRPr="00E551B2">
              <w:rPr>
                <w:rFonts w:ascii="Arabic Typesetting" w:hAnsi="Arabic Typesetting" w:cs="Arabic Typesetting"/>
                <w:sz w:val="28"/>
                <w:szCs w:val="28"/>
                <w:rtl/>
                <w:lang w:bidi="ar-EG"/>
              </w:rPr>
              <w:t xml:space="preserve"> عند دخول مهبط المنطقة </w:t>
            </w:r>
            <w:r w:rsidRPr="00E551B2">
              <w:rPr>
                <w:rFonts w:ascii="Arabic Typesetting" w:hAnsi="Arabic Typesetting" w:cs="Arabic Typesetting"/>
                <w:sz w:val="28"/>
                <w:szCs w:val="28"/>
                <w:lang w:bidi="ar-EG"/>
              </w:rPr>
              <w:t>AB -2</w:t>
            </w:r>
          </w:p>
        </w:tc>
      </w:tr>
      <w:tr w:rsidR="00BD3831" w:rsidRPr="00E551B2" w14:paraId="40D8DEA3" w14:textId="77777777" w:rsidTr="00DF6715">
        <w:trPr>
          <w:trHeight w:val="21"/>
          <w:jc w:val="center"/>
        </w:trPr>
        <w:tc>
          <w:tcPr>
            <w:tcW w:w="1595" w:type="pct"/>
            <w:tcMar>
              <w:top w:w="113" w:type="dxa"/>
              <w:bottom w:w="113" w:type="dxa"/>
            </w:tcMar>
          </w:tcPr>
          <w:p w14:paraId="507CD636" w14:textId="77777777" w:rsidR="00BD3831" w:rsidRPr="00E551B2" w:rsidRDefault="00BD3831" w:rsidP="0031289D">
            <w:pPr>
              <w:bidi/>
              <w:spacing w:line="300" w:lineRule="exact"/>
              <w:rPr>
                <w:rFonts w:ascii="Arabic Typesetting" w:hAnsi="Arabic Typesetting" w:cs="Arabic Typesetting"/>
                <w:sz w:val="28"/>
                <w:szCs w:val="28"/>
                <w:u w:val="single"/>
              </w:rPr>
            </w:pPr>
          </w:p>
        </w:tc>
        <w:tc>
          <w:tcPr>
            <w:tcW w:w="1136" w:type="pct"/>
          </w:tcPr>
          <w:p w14:paraId="6032A8B6" w14:textId="77777777" w:rsidR="00BD3831" w:rsidRPr="00E551B2" w:rsidRDefault="00BD3831" w:rsidP="0031289D">
            <w:pPr>
              <w:bidi/>
              <w:spacing w:line="300" w:lineRule="exact"/>
              <w:rPr>
                <w:rFonts w:ascii="Arabic Typesetting" w:hAnsi="Arabic Typesetting" w:cs="Arabic Typesetting"/>
                <w:sz w:val="28"/>
                <w:szCs w:val="28"/>
                <w:u w:val="single"/>
              </w:rPr>
            </w:pPr>
          </w:p>
        </w:tc>
        <w:tc>
          <w:tcPr>
            <w:tcW w:w="1134" w:type="pct"/>
          </w:tcPr>
          <w:p w14:paraId="127F38D1" w14:textId="77777777" w:rsidR="00BD3831" w:rsidRPr="00E551B2" w:rsidRDefault="00BD3831" w:rsidP="0031289D">
            <w:pPr>
              <w:bidi/>
              <w:spacing w:line="300" w:lineRule="exact"/>
              <w:rPr>
                <w:rFonts w:ascii="Arabic Typesetting" w:hAnsi="Arabic Typesetting" w:cs="Arabic Typesetting"/>
                <w:sz w:val="28"/>
                <w:szCs w:val="28"/>
                <w:rtl/>
                <w:lang w:bidi="ar-EG"/>
              </w:rPr>
            </w:pPr>
            <w:r w:rsidRPr="00E551B2">
              <w:rPr>
                <w:rFonts w:ascii="Arabic Typesetting" w:hAnsi="Arabic Typesetting" w:cs="Arabic Typesetting"/>
                <w:sz w:val="28"/>
                <w:szCs w:val="28"/>
                <w:rtl/>
                <w:lang w:bidi="ar-EG"/>
              </w:rPr>
              <w:t xml:space="preserve">تحسين مستوى </w:t>
            </w:r>
            <w:r>
              <w:rPr>
                <w:rFonts w:ascii="Arabic Typesetting" w:hAnsi="Arabic Typesetting" w:cs="Arabic Typesetting"/>
                <w:sz w:val="28"/>
                <w:szCs w:val="28"/>
                <w:rtl/>
                <w:lang w:bidi="ar-EG"/>
              </w:rPr>
              <w:t>السلامة والأمن</w:t>
            </w:r>
            <w:r w:rsidRPr="00E551B2">
              <w:rPr>
                <w:rFonts w:ascii="Arabic Typesetting" w:hAnsi="Arabic Typesetting" w:cs="Arabic Typesetting"/>
                <w:sz w:val="28"/>
                <w:szCs w:val="28"/>
                <w:rtl/>
                <w:lang w:bidi="ar-EG"/>
              </w:rPr>
              <w:t xml:space="preserve"> بين </w:t>
            </w:r>
            <w:r>
              <w:rPr>
                <w:rFonts w:ascii="Arabic Typesetting" w:hAnsi="Arabic Typesetting" w:cs="Arabic Typesetting" w:hint="cs"/>
                <w:sz w:val="28"/>
                <w:szCs w:val="28"/>
                <w:rtl/>
                <w:lang w:bidi="ar-EG"/>
              </w:rPr>
              <w:t xml:space="preserve">الطابقين -1 و1 من </w:t>
            </w:r>
            <w:r w:rsidRPr="00E551B2">
              <w:rPr>
                <w:rFonts w:ascii="Arabic Typesetting" w:hAnsi="Arabic Typesetting" w:cs="Arabic Typesetting"/>
                <w:sz w:val="28"/>
                <w:szCs w:val="28"/>
                <w:rtl/>
                <w:lang w:bidi="ar-EG"/>
              </w:rPr>
              <w:t>مبنى</w:t>
            </w:r>
            <w:r w:rsidRPr="00E551B2">
              <w:rPr>
                <w:rFonts w:ascii="Arabic Typesetting" w:hAnsi="Arabic Typesetting" w:cs="Arabic Typesetting"/>
                <w:sz w:val="28"/>
                <w:szCs w:val="28"/>
                <w:lang w:bidi="ar-EG"/>
              </w:rPr>
              <w:t xml:space="preserve"> </w:t>
            </w:r>
            <w:r w:rsidRPr="00E551B2">
              <w:rPr>
                <w:rFonts w:ascii="Arabic Typesetting" w:hAnsi="Arabic Typesetting" w:cs="Arabic Typesetting"/>
                <w:sz w:val="28"/>
                <w:szCs w:val="28"/>
                <w:rtl/>
                <w:lang w:bidi="ar-EG"/>
              </w:rPr>
              <w:t>أرباد بوكش ومبنى بودنهاوزن الأول</w:t>
            </w:r>
          </w:p>
        </w:tc>
        <w:tc>
          <w:tcPr>
            <w:tcW w:w="1134" w:type="pct"/>
          </w:tcPr>
          <w:p w14:paraId="35B37694" w14:textId="77777777" w:rsidR="00BD3831" w:rsidRPr="00E551B2" w:rsidRDefault="00BD3831" w:rsidP="0031289D">
            <w:pPr>
              <w:bidi/>
              <w:spacing w:line="300" w:lineRule="exact"/>
              <w:rPr>
                <w:rFonts w:ascii="Arabic Typesetting" w:hAnsi="Arabic Typesetting" w:cs="Arabic Typesetting"/>
                <w:sz w:val="28"/>
                <w:szCs w:val="28"/>
                <w:rtl/>
                <w:lang w:bidi="ar-EG"/>
              </w:rPr>
            </w:pPr>
            <w:r w:rsidRPr="00E551B2">
              <w:rPr>
                <w:rFonts w:ascii="Arabic Typesetting" w:hAnsi="Arabic Typesetting" w:cs="Arabic Typesetting"/>
                <w:sz w:val="28"/>
                <w:szCs w:val="28"/>
                <w:rtl/>
                <w:lang w:bidi="ar-EG"/>
              </w:rPr>
              <w:t xml:space="preserve">تحسين مستوى </w:t>
            </w:r>
            <w:r>
              <w:rPr>
                <w:rFonts w:ascii="Arabic Typesetting" w:hAnsi="Arabic Typesetting" w:cs="Arabic Typesetting"/>
                <w:sz w:val="28"/>
                <w:szCs w:val="28"/>
                <w:rtl/>
                <w:lang w:bidi="ar-EG"/>
              </w:rPr>
              <w:t>السلامة والأمن</w:t>
            </w:r>
            <w:r w:rsidRPr="00E551B2">
              <w:rPr>
                <w:rFonts w:ascii="Arabic Typesetting" w:hAnsi="Arabic Typesetting" w:cs="Arabic Typesetting"/>
                <w:sz w:val="28"/>
                <w:szCs w:val="28"/>
                <w:rtl/>
                <w:lang w:bidi="ar-EG"/>
              </w:rPr>
              <w:t xml:space="preserve"> بين</w:t>
            </w:r>
            <w:r>
              <w:rPr>
                <w:rFonts w:ascii="Arabic Typesetting" w:hAnsi="Arabic Typesetting" w:cs="Arabic Typesetting" w:hint="cs"/>
                <w:sz w:val="28"/>
                <w:szCs w:val="28"/>
                <w:rtl/>
                <w:lang w:bidi="ar-EG"/>
              </w:rPr>
              <w:t xml:space="preserve"> الطابق الأرضي</w:t>
            </w:r>
            <w:r w:rsidRPr="00E551B2">
              <w:rPr>
                <w:rFonts w:ascii="Arabic Typesetting" w:hAnsi="Arabic Typesetting" w:cs="Arabic Typesetting"/>
                <w:sz w:val="28"/>
                <w:szCs w:val="28"/>
                <w:rtl/>
                <w:lang w:bidi="ar-EG"/>
              </w:rPr>
              <w:t xml:space="preserve"> </w:t>
            </w:r>
            <w:r>
              <w:rPr>
                <w:rFonts w:ascii="Arabic Typesetting" w:hAnsi="Arabic Typesetting" w:cs="Arabic Typesetting" w:hint="cs"/>
                <w:sz w:val="28"/>
                <w:szCs w:val="28"/>
                <w:rtl/>
                <w:lang w:bidi="ar-EG"/>
              </w:rPr>
              <w:t>ل</w:t>
            </w:r>
            <w:r w:rsidRPr="00E551B2">
              <w:rPr>
                <w:rFonts w:ascii="Arabic Typesetting" w:hAnsi="Arabic Typesetting" w:cs="Arabic Typesetting"/>
                <w:sz w:val="28"/>
                <w:szCs w:val="28"/>
                <w:rtl/>
                <w:lang w:bidi="ar-EG"/>
              </w:rPr>
              <w:t>مبنى</w:t>
            </w:r>
            <w:r w:rsidRPr="00E551B2">
              <w:rPr>
                <w:rFonts w:ascii="Arabic Typesetting" w:hAnsi="Arabic Typesetting" w:cs="Arabic Typesetting"/>
                <w:sz w:val="28"/>
                <w:szCs w:val="28"/>
                <w:lang w:bidi="ar-EG"/>
              </w:rPr>
              <w:t xml:space="preserve"> </w:t>
            </w:r>
            <w:r w:rsidRPr="00E551B2">
              <w:rPr>
                <w:rFonts w:ascii="Arabic Typesetting" w:hAnsi="Arabic Typesetting" w:cs="Arabic Typesetting"/>
                <w:sz w:val="28"/>
                <w:szCs w:val="28"/>
                <w:rtl/>
                <w:lang w:bidi="ar-EG"/>
              </w:rPr>
              <w:t>أرباد بوكش ومبنى بودنهاوزن الأول</w:t>
            </w:r>
          </w:p>
        </w:tc>
      </w:tr>
      <w:tr w:rsidR="00BD3831" w:rsidRPr="00E551B2" w14:paraId="4BFA0B34" w14:textId="77777777" w:rsidTr="00DF6715">
        <w:trPr>
          <w:trHeight w:val="14"/>
          <w:jc w:val="center"/>
        </w:trPr>
        <w:tc>
          <w:tcPr>
            <w:tcW w:w="1595" w:type="pct"/>
            <w:tcMar>
              <w:top w:w="113" w:type="dxa"/>
              <w:bottom w:w="113" w:type="dxa"/>
            </w:tcMar>
          </w:tcPr>
          <w:p w14:paraId="5AE1E902" w14:textId="77777777" w:rsidR="00BD3831" w:rsidRPr="00E551B2" w:rsidRDefault="00BD3831" w:rsidP="0031289D">
            <w:pPr>
              <w:bidi/>
              <w:spacing w:line="300" w:lineRule="exact"/>
              <w:rPr>
                <w:rFonts w:ascii="Arabic Typesetting" w:hAnsi="Arabic Typesetting" w:cs="Arabic Typesetting"/>
                <w:sz w:val="28"/>
                <w:szCs w:val="28"/>
                <w:u w:val="single"/>
              </w:rPr>
            </w:pPr>
          </w:p>
        </w:tc>
        <w:tc>
          <w:tcPr>
            <w:tcW w:w="1136" w:type="pct"/>
          </w:tcPr>
          <w:p w14:paraId="27B4CABE" w14:textId="77777777" w:rsidR="00BD3831" w:rsidRPr="00E551B2" w:rsidRDefault="00BD3831" w:rsidP="0031289D">
            <w:pPr>
              <w:bidi/>
              <w:spacing w:line="300" w:lineRule="exact"/>
              <w:rPr>
                <w:rFonts w:ascii="Arabic Typesetting" w:hAnsi="Arabic Typesetting" w:cs="Arabic Typesetting"/>
                <w:sz w:val="28"/>
                <w:szCs w:val="28"/>
                <w:u w:val="single"/>
              </w:rPr>
            </w:pPr>
          </w:p>
        </w:tc>
        <w:tc>
          <w:tcPr>
            <w:tcW w:w="1134" w:type="pct"/>
          </w:tcPr>
          <w:p w14:paraId="5DD2ACC5" w14:textId="77777777" w:rsidR="00BD3831" w:rsidRPr="00E551B2" w:rsidRDefault="00BD3831" w:rsidP="0031289D">
            <w:pPr>
              <w:bidi/>
              <w:spacing w:line="300" w:lineRule="exact"/>
              <w:rPr>
                <w:rFonts w:ascii="Arabic Typesetting" w:hAnsi="Arabic Typesetting" w:cs="Arabic Typesetting"/>
                <w:sz w:val="28"/>
                <w:szCs w:val="28"/>
                <w:rtl/>
                <w:lang w:bidi="ar-EG"/>
              </w:rPr>
            </w:pPr>
          </w:p>
        </w:tc>
        <w:tc>
          <w:tcPr>
            <w:tcW w:w="1134" w:type="pct"/>
          </w:tcPr>
          <w:p w14:paraId="763AE1EC" w14:textId="77777777" w:rsidR="00BD3831" w:rsidRPr="00E551B2" w:rsidRDefault="00BD3831" w:rsidP="0031289D">
            <w:pPr>
              <w:bidi/>
              <w:spacing w:line="30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تحسين مستوى السلامة والأمن بين مبنى أرباد بوكش والمرأب السفلي</w:t>
            </w:r>
          </w:p>
        </w:tc>
      </w:tr>
    </w:tbl>
    <w:p w14:paraId="528C9618" w14:textId="77777777" w:rsidR="00BD3831" w:rsidRPr="00E551B2" w:rsidRDefault="00BD3831" w:rsidP="0031289D">
      <w:pPr>
        <w:bidi/>
        <w:spacing w:before="120" w:after="120"/>
        <w:rPr>
          <w:rFonts w:ascii="Arabic Typesetting" w:hAnsi="Arabic Typesetting" w:cs="Arabic Typesetting"/>
          <w:sz w:val="34"/>
          <w:szCs w:val="34"/>
          <w:lang w:bidi="ar-EG"/>
        </w:rPr>
      </w:pPr>
      <w:r w:rsidRPr="00E551B2">
        <w:rPr>
          <w:rFonts w:ascii="Arabic Typesetting" w:hAnsi="Arabic Typesetting" w:cs="Arabic Typesetting"/>
          <w:color w:val="000000"/>
          <w:sz w:val="34"/>
          <w:szCs w:val="34"/>
          <w:rtl/>
          <w:lang w:bidi="ar-EG"/>
        </w:rPr>
        <w:t>استخدام الموارد</w:t>
      </w:r>
      <w:r w:rsidRPr="00E551B2">
        <w:rPr>
          <w:rFonts w:ascii="Arabic Typesetting" w:hAnsi="Arabic Typesetting" w:cs="Arabic Typesetting"/>
          <w:color w:val="000000"/>
          <w:sz w:val="28"/>
          <w:szCs w:val="28"/>
          <w:vertAlign w:val="superscript"/>
          <w:rtl/>
          <w:lang w:bidi="ar-EG"/>
        </w:rPr>
        <w:footnoteReference w:id="123"/>
      </w:r>
    </w:p>
    <w:p w14:paraId="7666E624" w14:textId="77777777" w:rsidR="00BD3831" w:rsidRPr="00E551B2" w:rsidRDefault="00BD3831" w:rsidP="0031289D">
      <w:pPr>
        <w:keepNext/>
        <w:keepLines/>
        <w:autoSpaceDE w:val="0"/>
        <w:autoSpaceDN w:val="0"/>
        <w:bidi/>
        <w:adjustRightInd w:val="0"/>
        <w:spacing w:line="340" w:lineRule="exact"/>
        <w:jc w:val="center"/>
        <w:rPr>
          <w:rFonts w:ascii="Arabic Typesetting" w:hAnsi="Arabic Typesetting" w:cs="Arabic Typesetting"/>
          <w:sz w:val="34"/>
          <w:szCs w:val="34"/>
          <w:rtl/>
          <w:lang w:bidi="ar-EG"/>
        </w:rPr>
      </w:pPr>
      <w:r w:rsidRPr="00E551B2">
        <w:rPr>
          <w:rFonts w:ascii="Arabic Typesetting" w:hAnsi="Arabic Typesetting" w:cs="Arabic Typesetting"/>
          <w:bCs/>
          <w:sz w:val="34"/>
          <w:szCs w:val="34"/>
          <w:rtl/>
          <w:lang w:bidi="ar-EG"/>
        </w:rPr>
        <w:t>استخدام ميزانية المشروع</w:t>
      </w:r>
    </w:p>
    <w:p w14:paraId="6497E198" w14:textId="77777777" w:rsidR="00BD3831" w:rsidRPr="00E551B2" w:rsidRDefault="00BD3831" w:rsidP="0031289D">
      <w:pPr>
        <w:keepNext/>
        <w:keepLines/>
        <w:autoSpaceDE w:val="0"/>
        <w:autoSpaceDN w:val="0"/>
        <w:bidi/>
        <w:adjustRightInd w:val="0"/>
        <w:spacing w:after="120" w:line="340" w:lineRule="exact"/>
        <w:jc w:val="center"/>
        <w:rPr>
          <w:rFonts w:ascii="Arabic Typesetting" w:hAnsi="Arabic Typesetting" w:cs="Arabic Typesetting"/>
          <w:iCs/>
          <w:sz w:val="34"/>
          <w:szCs w:val="34"/>
          <w:lang w:bidi="ar-EG"/>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بالفرنك السويسري، في 31 ديسمبر 2016</w:t>
      </w:r>
      <w:r w:rsidRPr="00E551B2">
        <w:rPr>
          <w:rFonts w:ascii="Arabic Typesetting" w:hAnsi="Arabic Typesetting" w:cs="Arabic Typesetting"/>
          <w:iCs/>
          <w:sz w:val="34"/>
          <w:szCs w:val="34"/>
          <w:rtl/>
          <w:lang w:bidi="ar-EG"/>
        </w:rPr>
        <w:t>)</w:t>
      </w:r>
    </w:p>
    <w:tbl>
      <w:tblPr>
        <w:tblpPr w:leftFromText="180" w:rightFromText="180" w:vertAnchor="text" w:horzAnchor="margin" w:tblpXSpec="center"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1545"/>
        <w:gridCol w:w="1501"/>
        <w:gridCol w:w="1501"/>
        <w:gridCol w:w="1074"/>
        <w:gridCol w:w="1372"/>
      </w:tblGrid>
      <w:tr w:rsidR="00BD3831" w:rsidRPr="00CD6A7C" w14:paraId="731BB0C3" w14:textId="77777777" w:rsidTr="00DF6715">
        <w:trPr>
          <w:trHeight w:val="410"/>
        </w:trPr>
        <w:tc>
          <w:tcPr>
            <w:tcW w:w="1347" w:type="pct"/>
            <w:shd w:val="clear" w:color="auto" w:fill="C6D9F1" w:themeFill="text2" w:themeFillTint="33"/>
            <w:vAlign w:val="center"/>
          </w:tcPr>
          <w:p w14:paraId="31B6816D" w14:textId="77777777" w:rsidR="00BD3831" w:rsidRPr="00CD6A7C" w:rsidRDefault="00BD3831" w:rsidP="0031289D">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اسم المشروع</w:t>
            </w:r>
          </w:p>
        </w:tc>
        <w:tc>
          <w:tcPr>
            <w:tcW w:w="807" w:type="pct"/>
            <w:shd w:val="clear" w:color="auto" w:fill="C6D9F1" w:themeFill="text2" w:themeFillTint="33"/>
            <w:vAlign w:val="center"/>
          </w:tcPr>
          <w:p w14:paraId="418FFA14" w14:textId="77777777" w:rsidR="00BD3831" w:rsidRPr="00CD6A7C" w:rsidRDefault="00BD3831" w:rsidP="0031289D">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ميزانية المشروع الأصلية</w:t>
            </w:r>
          </w:p>
        </w:tc>
        <w:tc>
          <w:tcPr>
            <w:tcW w:w="784" w:type="pct"/>
            <w:shd w:val="clear" w:color="auto" w:fill="C6D9F1" w:themeFill="text2" w:themeFillTint="33"/>
          </w:tcPr>
          <w:p w14:paraId="4B79B60B" w14:textId="77777777" w:rsidR="00BD3831" w:rsidRPr="00CD6A7C"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bCs/>
                <w:sz w:val="28"/>
                <w:szCs w:val="28"/>
                <w:rtl/>
                <w:lang w:bidi="ar-EG"/>
              </w:rPr>
            </w:pPr>
            <w:r w:rsidRPr="00CD6A7C">
              <w:rPr>
                <w:rFonts w:ascii="Arabic Typesetting" w:hAnsi="Arabic Typesetting" w:cs="Arabic Typesetting"/>
                <w:bCs/>
                <w:sz w:val="28"/>
                <w:szCs w:val="28"/>
                <w:rtl/>
                <w:lang w:bidi="ar-EG"/>
              </w:rPr>
              <w:t>ميزانية المشروع المعدَّلة</w:t>
            </w:r>
          </w:p>
        </w:tc>
        <w:tc>
          <w:tcPr>
            <w:tcW w:w="784" w:type="pct"/>
            <w:shd w:val="clear" w:color="auto" w:fill="C6D9F1" w:themeFill="text2" w:themeFillTint="33"/>
            <w:vAlign w:val="center"/>
          </w:tcPr>
          <w:p w14:paraId="1749A99A" w14:textId="77777777" w:rsidR="00BD3831" w:rsidRPr="00CD6A7C" w:rsidRDefault="00BD3831" w:rsidP="0031289D">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النفقات الفعلية حتى تاريخه</w:t>
            </w:r>
          </w:p>
        </w:tc>
        <w:tc>
          <w:tcPr>
            <w:tcW w:w="561" w:type="pct"/>
            <w:shd w:val="clear" w:color="auto" w:fill="C6D9F1" w:themeFill="text2" w:themeFillTint="33"/>
            <w:vAlign w:val="center"/>
          </w:tcPr>
          <w:p w14:paraId="7FFC381B" w14:textId="77777777" w:rsidR="00BD3831" w:rsidRPr="00CD6A7C" w:rsidRDefault="00BD3831" w:rsidP="0031289D">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الاستخدام الفعلي للميزانية</w:t>
            </w:r>
          </w:p>
        </w:tc>
        <w:tc>
          <w:tcPr>
            <w:tcW w:w="717" w:type="pct"/>
            <w:shd w:val="clear" w:color="auto" w:fill="C6D9F1" w:themeFill="text2" w:themeFillTint="33"/>
            <w:vAlign w:val="center"/>
          </w:tcPr>
          <w:p w14:paraId="0A0168BC" w14:textId="77777777" w:rsidR="00BD3831" w:rsidRPr="00CD6A7C" w:rsidRDefault="00BD3831" w:rsidP="0031289D">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معدل التقدم المحرز في تنفيذ المشروع</w:t>
            </w:r>
          </w:p>
        </w:tc>
      </w:tr>
      <w:tr w:rsidR="00BD3831" w:rsidRPr="00CD6A7C" w14:paraId="2D209F3D" w14:textId="77777777" w:rsidTr="00DF6715">
        <w:trPr>
          <w:trHeight w:val="389"/>
        </w:trPr>
        <w:tc>
          <w:tcPr>
            <w:tcW w:w="1347" w:type="pct"/>
            <w:vAlign w:val="center"/>
          </w:tcPr>
          <w:p w14:paraId="08591916" w14:textId="77777777" w:rsidR="00BD3831" w:rsidRPr="00CD6A7C" w:rsidRDefault="00BD3831" w:rsidP="0031289D">
            <w:pPr>
              <w:autoSpaceDE w:val="0"/>
              <w:autoSpaceDN w:val="0"/>
              <w:bidi/>
              <w:adjustRightInd w:val="0"/>
              <w:spacing w:before="40" w:after="40" w:line="260" w:lineRule="exact"/>
              <w:rPr>
                <w:rFonts w:ascii="Arabic Typesetting" w:hAnsi="Arabic Typesetting" w:cs="Arabic Typesetting"/>
                <w:sz w:val="28"/>
                <w:szCs w:val="28"/>
                <w:rtl/>
              </w:rPr>
            </w:pPr>
            <w:r w:rsidRPr="00CD6A7C">
              <w:rPr>
                <w:rFonts w:ascii="Arabic Typesetting" w:hAnsi="Arabic Typesetting" w:cs="Arabic Typesetting"/>
                <w:sz w:val="28"/>
                <w:szCs w:val="28"/>
                <w:rtl/>
                <w:lang w:bidi="ar-EG"/>
              </w:rPr>
              <w:t>تدابير السلامة والحماية من الحريق</w:t>
            </w:r>
          </w:p>
        </w:tc>
        <w:tc>
          <w:tcPr>
            <w:tcW w:w="807" w:type="pct"/>
            <w:vAlign w:val="center"/>
          </w:tcPr>
          <w:p w14:paraId="5D24185D" w14:textId="77777777" w:rsidR="00BD3831" w:rsidRPr="00CD6A7C" w:rsidRDefault="00BD3831" w:rsidP="0031289D">
            <w:pPr>
              <w:keepNext/>
              <w:keepLines/>
              <w:autoSpaceDE w:val="0"/>
              <w:autoSpaceDN w:val="0"/>
              <w:adjustRightInd w:val="0"/>
              <w:spacing w:before="40" w:after="40"/>
              <w:jc w:val="center"/>
              <w:rPr>
                <w:rFonts w:ascii="Arabic Typesetting" w:hAnsi="Arabic Typesetting" w:cs="Arabic Typesetting"/>
                <w:sz w:val="28"/>
                <w:szCs w:val="28"/>
                <w:lang w:val="fr-CH"/>
              </w:rPr>
            </w:pPr>
            <w:r w:rsidRPr="00CD6A7C">
              <w:rPr>
                <w:rFonts w:ascii="Arabic Typesetting" w:hAnsi="Arabic Typesetting" w:cs="Arabic Typesetting"/>
                <w:sz w:val="28"/>
                <w:szCs w:val="28"/>
                <w:lang w:val="fr-CH"/>
              </w:rPr>
              <w:t>400</w:t>
            </w:r>
            <w:r>
              <w:rPr>
                <w:rFonts w:ascii="Arabic Typesetting" w:hAnsi="Arabic Typesetting" w:cs="Arabic Typesetting"/>
                <w:sz w:val="28"/>
                <w:szCs w:val="28"/>
                <w:lang w:val="fr-CH"/>
              </w:rPr>
              <w:t> </w:t>
            </w:r>
            <w:r w:rsidRPr="00CD6A7C">
              <w:rPr>
                <w:rFonts w:ascii="Arabic Typesetting" w:hAnsi="Arabic Typesetting" w:cs="Arabic Typesetting"/>
                <w:sz w:val="28"/>
                <w:szCs w:val="28"/>
                <w:lang w:val="fr-CH"/>
              </w:rPr>
              <w:t>000</w:t>
            </w:r>
          </w:p>
        </w:tc>
        <w:tc>
          <w:tcPr>
            <w:tcW w:w="784" w:type="pct"/>
            <w:vAlign w:val="center"/>
          </w:tcPr>
          <w:p w14:paraId="4CC78A8A" w14:textId="77777777" w:rsidR="00BD3831" w:rsidRPr="00CD6A7C" w:rsidRDefault="00BD3831" w:rsidP="0031289D">
            <w:pPr>
              <w:keepNext/>
              <w:keepLines/>
              <w:autoSpaceDE w:val="0"/>
              <w:autoSpaceDN w:val="0"/>
              <w:adjustRightInd w:val="0"/>
              <w:spacing w:before="40" w:after="40"/>
              <w:jc w:val="center"/>
              <w:rPr>
                <w:rFonts w:ascii="Arabic Typesetting" w:hAnsi="Arabic Typesetting" w:cs="Arabic Typesetting"/>
                <w:sz w:val="28"/>
                <w:szCs w:val="28"/>
                <w:lang w:val="fr-CH"/>
              </w:rPr>
            </w:pPr>
            <w:r w:rsidRPr="00CD6A7C">
              <w:rPr>
                <w:rFonts w:ascii="Arabic Typesetting" w:hAnsi="Arabic Typesetting" w:cs="Arabic Typesetting"/>
                <w:sz w:val="28"/>
                <w:szCs w:val="28"/>
                <w:lang w:val="fr-CH"/>
              </w:rPr>
              <w:t>335</w:t>
            </w:r>
            <w:r>
              <w:rPr>
                <w:rFonts w:ascii="Arabic Typesetting" w:hAnsi="Arabic Typesetting" w:cs="Arabic Typesetting"/>
                <w:sz w:val="28"/>
                <w:szCs w:val="28"/>
                <w:lang w:val="fr-CH"/>
              </w:rPr>
              <w:t> </w:t>
            </w:r>
            <w:r w:rsidRPr="00CD6A7C">
              <w:rPr>
                <w:rFonts w:ascii="Arabic Typesetting" w:hAnsi="Arabic Typesetting" w:cs="Arabic Typesetting"/>
                <w:sz w:val="28"/>
                <w:szCs w:val="28"/>
                <w:lang w:val="fr-CH"/>
              </w:rPr>
              <w:t>000</w:t>
            </w:r>
          </w:p>
        </w:tc>
        <w:tc>
          <w:tcPr>
            <w:tcW w:w="784" w:type="pct"/>
            <w:vAlign w:val="center"/>
          </w:tcPr>
          <w:p w14:paraId="1E1AB969" w14:textId="77777777" w:rsidR="00BD3831" w:rsidRPr="00CD6A7C" w:rsidRDefault="00BD3831" w:rsidP="0031289D">
            <w:pPr>
              <w:keepNext/>
              <w:keepLines/>
              <w:autoSpaceDE w:val="0"/>
              <w:autoSpaceDN w:val="0"/>
              <w:adjustRightInd w:val="0"/>
              <w:spacing w:before="40" w:after="40"/>
              <w:jc w:val="center"/>
              <w:rPr>
                <w:rFonts w:ascii="Arabic Typesetting" w:hAnsi="Arabic Typesetting" w:cs="Arabic Typesetting"/>
                <w:sz w:val="28"/>
                <w:szCs w:val="28"/>
                <w:lang w:val="fr-CH"/>
              </w:rPr>
            </w:pPr>
            <w:r w:rsidRPr="00CD6A7C">
              <w:rPr>
                <w:rFonts w:ascii="Arabic Typesetting" w:hAnsi="Arabic Typesetting" w:cs="Arabic Typesetting"/>
                <w:sz w:val="28"/>
                <w:szCs w:val="28"/>
                <w:lang w:val="fr-CH"/>
              </w:rPr>
              <w:t>190</w:t>
            </w:r>
            <w:r>
              <w:rPr>
                <w:rFonts w:ascii="Arabic Typesetting" w:hAnsi="Arabic Typesetting" w:cs="Arabic Typesetting"/>
                <w:sz w:val="28"/>
                <w:szCs w:val="28"/>
                <w:lang w:val="fr-CH"/>
              </w:rPr>
              <w:t> </w:t>
            </w:r>
            <w:r w:rsidRPr="00CD6A7C">
              <w:rPr>
                <w:rFonts w:ascii="Arabic Typesetting" w:hAnsi="Arabic Typesetting" w:cs="Arabic Typesetting"/>
                <w:sz w:val="28"/>
                <w:szCs w:val="28"/>
                <w:lang w:val="fr-CH"/>
              </w:rPr>
              <w:t>066</w:t>
            </w:r>
          </w:p>
        </w:tc>
        <w:tc>
          <w:tcPr>
            <w:tcW w:w="561" w:type="pct"/>
            <w:vAlign w:val="center"/>
          </w:tcPr>
          <w:p w14:paraId="0247AC7E" w14:textId="77777777" w:rsidR="00BD3831" w:rsidRPr="00CD6A7C" w:rsidRDefault="00BD3831" w:rsidP="0031289D">
            <w:pPr>
              <w:keepNext/>
              <w:keepLines/>
              <w:autoSpaceDE w:val="0"/>
              <w:autoSpaceDN w:val="0"/>
              <w:adjustRightInd w:val="0"/>
              <w:spacing w:before="40" w:after="40"/>
              <w:jc w:val="center"/>
              <w:rPr>
                <w:rFonts w:ascii="Arabic Typesetting" w:hAnsi="Arabic Typesetting" w:cs="Arabic Typesetting"/>
                <w:sz w:val="28"/>
                <w:szCs w:val="28"/>
                <w:lang w:val="fr-CH"/>
              </w:rPr>
            </w:pPr>
            <w:r>
              <w:rPr>
                <w:rFonts w:ascii="Arabic Typesetting" w:hAnsi="Arabic Typesetting" w:cs="Arabic Typesetting"/>
                <w:sz w:val="28"/>
                <w:szCs w:val="28"/>
                <w:lang w:val="fr-CH"/>
              </w:rPr>
              <w:t>%56.7</w:t>
            </w:r>
          </w:p>
        </w:tc>
        <w:tc>
          <w:tcPr>
            <w:tcW w:w="717" w:type="pct"/>
            <w:vAlign w:val="center"/>
          </w:tcPr>
          <w:p w14:paraId="12B10BDC" w14:textId="77777777" w:rsidR="00BD3831" w:rsidRPr="00CD6A7C" w:rsidRDefault="00BD3831" w:rsidP="0031289D">
            <w:pPr>
              <w:keepNext/>
              <w:keepLines/>
              <w:autoSpaceDE w:val="0"/>
              <w:autoSpaceDN w:val="0"/>
              <w:adjustRightInd w:val="0"/>
              <w:spacing w:before="40" w:after="40"/>
              <w:jc w:val="center"/>
              <w:rPr>
                <w:rFonts w:ascii="Arabic Typesetting" w:hAnsi="Arabic Typesetting" w:cs="Arabic Typesetting"/>
                <w:sz w:val="28"/>
                <w:szCs w:val="28"/>
                <w:lang w:val="fr-CH"/>
              </w:rPr>
            </w:pPr>
            <w:r>
              <w:rPr>
                <w:rFonts w:ascii="Arabic Typesetting" w:hAnsi="Arabic Typesetting" w:cs="Arabic Typesetting"/>
                <w:sz w:val="28"/>
                <w:szCs w:val="28"/>
                <w:lang w:val="fr-CH"/>
              </w:rPr>
              <w:t>%50</w:t>
            </w:r>
          </w:p>
        </w:tc>
      </w:tr>
    </w:tbl>
    <w:p w14:paraId="5789A6FF" w14:textId="77777777" w:rsidR="00BD3831" w:rsidRPr="00E551B2" w:rsidRDefault="00BD3831" w:rsidP="0031289D">
      <w:pPr>
        <w:keepNext/>
        <w:pageBreakBefore/>
        <w:autoSpaceDE w:val="0"/>
        <w:autoSpaceDN w:val="0"/>
        <w:bidi/>
        <w:adjustRightInd w:val="0"/>
        <w:spacing w:before="120" w:line="340" w:lineRule="exact"/>
        <w:jc w:val="center"/>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lastRenderedPageBreak/>
        <w:t>استخدام ميزانية المشروع (حسب المعالم)</w:t>
      </w:r>
    </w:p>
    <w:p w14:paraId="56D87B8C" w14:textId="77777777" w:rsidR="00BD3831" w:rsidRPr="00E551B2" w:rsidRDefault="00BD3831" w:rsidP="0031289D">
      <w:pPr>
        <w:keepNext/>
        <w:autoSpaceDE w:val="0"/>
        <w:autoSpaceDN w:val="0"/>
        <w:bidi/>
        <w:adjustRightInd w:val="0"/>
        <w:spacing w:after="120" w:line="340" w:lineRule="exact"/>
        <w:jc w:val="center"/>
        <w:rPr>
          <w:rFonts w:ascii="Arabic Typesetting" w:hAnsi="Arabic Typesetting" w:cs="Arabic Typesetting"/>
          <w:iCs/>
          <w:sz w:val="34"/>
          <w:szCs w:val="34"/>
          <w:lang w:bidi="ar-EG"/>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بالفرنك السويسري، في 31 ديسمبر 2016</w:t>
      </w:r>
      <w:r w:rsidRPr="00E551B2">
        <w:rPr>
          <w:rFonts w:ascii="Arabic Typesetting" w:hAnsi="Arabic Typesetting" w:cs="Arabic Typesetting"/>
          <w:iCs/>
          <w:sz w:val="34"/>
          <w:szCs w:val="34"/>
          <w:rtl/>
          <w:lang w:bidi="ar-EG"/>
        </w:rPr>
        <w:t>)</w:t>
      </w:r>
    </w:p>
    <w:tbl>
      <w:tblPr>
        <w:tblpPr w:leftFromText="180" w:rightFromText="180" w:vertAnchor="text" w:horzAnchor="margin" w:tblpX="1" w:tblpY="1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1443"/>
        <w:gridCol w:w="1654"/>
        <w:gridCol w:w="1625"/>
        <w:gridCol w:w="1639"/>
      </w:tblGrid>
      <w:tr w:rsidR="00BD3831" w:rsidRPr="00CD6A7C" w14:paraId="4C8C9E17" w14:textId="77777777" w:rsidTr="00897495">
        <w:trPr>
          <w:cantSplit/>
          <w:trHeight w:val="410"/>
        </w:trPr>
        <w:tc>
          <w:tcPr>
            <w:tcW w:w="1677" w:type="pct"/>
            <w:shd w:val="clear" w:color="auto" w:fill="C6D9F1" w:themeFill="text2" w:themeFillTint="33"/>
            <w:vAlign w:val="center"/>
          </w:tcPr>
          <w:p w14:paraId="4A088DD0" w14:textId="77777777" w:rsidR="00BD3831" w:rsidRPr="00CD6A7C" w:rsidRDefault="00BD3831" w:rsidP="0031289D">
            <w:pPr>
              <w:keepNext/>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المعالم الرئيسية</w:t>
            </w:r>
          </w:p>
        </w:tc>
        <w:tc>
          <w:tcPr>
            <w:tcW w:w="754" w:type="pct"/>
            <w:shd w:val="clear" w:color="auto" w:fill="C6D9F1" w:themeFill="text2" w:themeFillTint="33"/>
            <w:vAlign w:val="center"/>
          </w:tcPr>
          <w:p w14:paraId="45354A3D" w14:textId="77777777" w:rsidR="00BD3831" w:rsidRPr="00CD6A7C" w:rsidRDefault="00BD3831" w:rsidP="0031289D">
            <w:pPr>
              <w:keepNext/>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ميزانية المشروع</w:t>
            </w:r>
          </w:p>
        </w:tc>
        <w:tc>
          <w:tcPr>
            <w:tcW w:w="864" w:type="pct"/>
            <w:shd w:val="clear" w:color="auto" w:fill="C6D9F1" w:themeFill="text2" w:themeFillTint="33"/>
            <w:vAlign w:val="center"/>
          </w:tcPr>
          <w:p w14:paraId="286DF2A8" w14:textId="77777777" w:rsidR="00BD3831" w:rsidRPr="00CD6A7C" w:rsidRDefault="00BD3831" w:rsidP="0031289D">
            <w:pPr>
              <w:keepNext/>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النفقات الفعلية حتى تاريخه</w:t>
            </w:r>
          </w:p>
        </w:tc>
        <w:tc>
          <w:tcPr>
            <w:tcW w:w="849" w:type="pct"/>
            <w:shd w:val="clear" w:color="auto" w:fill="C6D9F1" w:themeFill="text2" w:themeFillTint="33"/>
            <w:vAlign w:val="center"/>
          </w:tcPr>
          <w:p w14:paraId="1D02F179" w14:textId="77777777" w:rsidR="00BD3831" w:rsidRPr="00CD6A7C" w:rsidRDefault="00BD3831" w:rsidP="0031289D">
            <w:pPr>
              <w:keepNext/>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الاستخدام الفعلي للميزانية</w:t>
            </w:r>
          </w:p>
        </w:tc>
        <w:tc>
          <w:tcPr>
            <w:tcW w:w="856" w:type="pct"/>
            <w:shd w:val="clear" w:color="auto" w:fill="C6D9F1" w:themeFill="text2" w:themeFillTint="33"/>
            <w:vAlign w:val="center"/>
          </w:tcPr>
          <w:p w14:paraId="14F66BA7" w14:textId="77777777" w:rsidR="00BD3831" w:rsidRPr="00CD6A7C" w:rsidRDefault="00BD3831" w:rsidP="0031289D">
            <w:pPr>
              <w:keepNext/>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معدل التقدم المحرز في تنفيذ المشروع حسب المعالم</w:t>
            </w:r>
          </w:p>
        </w:tc>
      </w:tr>
      <w:tr w:rsidR="00BD3831" w:rsidRPr="00CD6A7C" w14:paraId="4C8C2742" w14:textId="77777777" w:rsidTr="00897495">
        <w:trPr>
          <w:cantSplit/>
          <w:trHeight w:val="389"/>
        </w:trPr>
        <w:tc>
          <w:tcPr>
            <w:tcW w:w="1677" w:type="pct"/>
            <w:vAlign w:val="center"/>
          </w:tcPr>
          <w:p w14:paraId="4999A994" w14:textId="77777777" w:rsidR="00BD3831" w:rsidRPr="00CD6A7C" w:rsidRDefault="00BD3831" w:rsidP="0031289D">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الفصل بين المناطق في مبنى البراءات</w:t>
            </w:r>
          </w:p>
          <w:p w14:paraId="270B68B6" w14:textId="77777777" w:rsidR="00BD3831" w:rsidRPr="00CD6A7C" w:rsidRDefault="00BD3831" w:rsidP="0031289D">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اكتمال الأعمال</w:t>
            </w:r>
          </w:p>
        </w:tc>
        <w:tc>
          <w:tcPr>
            <w:tcW w:w="754" w:type="pct"/>
            <w:vAlign w:val="center"/>
          </w:tcPr>
          <w:p w14:paraId="7BBCCEB4"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45</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64" w:type="pct"/>
            <w:vAlign w:val="center"/>
          </w:tcPr>
          <w:p w14:paraId="1552BF43"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45</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49" w:type="pct"/>
            <w:vAlign w:val="center"/>
          </w:tcPr>
          <w:p w14:paraId="22802829"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44</w:t>
            </w:r>
            <w:r>
              <w:rPr>
                <w:rFonts w:ascii="Arabic Typesetting" w:hAnsi="Arabic Typesetting" w:cs="Arabic Typesetting"/>
                <w:sz w:val="28"/>
                <w:szCs w:val="28"/>
              </w:rPr>
              <w:t> </w:t>
            </w:r>
            <w:r w:rsidRPr="00CD6A7C">
              <w:rPr>
                <w:rFonts w:ascii="Arabic Typesetting" w:hAnsi="Arabic Typesetting" w:cs="Arabic Typesetting"/>
                <w:sz w:val="28"/>
                <w:szCs w:val="28"/>
              </w:rPr>
              <w:t>394</w:t>
            </w:r>
          </w:p>
        </w:tc>
        <w:tc>
          <w:tcPr>
            <w:tcW w:w="856" w:type="pct"/>
            <w:vAlign w:val="center"/>
          </w:tcPr>
          <w:p w14:paraId="299176ED"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%98.7</w:t>
            </w:r>
          </w:p>
        </w:tc>
      </w:tr>
      <w:tr w:rsidR="00BD3831" w:rsidRPr="00CD6A7C" w14:paraId="478B97EC" w14:textId="77777777" w:rsidTr="00897495">
        <w:trPr>
          <w:cantSplit/>
          <w:trHeight w:val="389"/>
        </w:trPr>
        <w:tc>
          <w:tcPr>
            <w:tcW w:w="1677" w:type="pct"/>
            <w:vAlign w:val="center"/>
          </w:tcPr>
          <w:p w14:paraId="37CADB8E" w14:textId="77777777" w:rsidR="00BD3831" w:rsidRPr="00CD6A7C" w:rsidRDefault="00BD3831" w:rsidP="0031289D">
            <w:pPr>
              <w:keepNext/>
              <w:autoSpaceDE w:val="0"/>
              <w:autoSpaceDN w:val="0"/>
              <w:bidi/>
              <w:adjustRightInd w:val="0"/>
              <w:spacing w:before="40" w:after="40" w:line="260" w:lineRule="exact"/>
              <w:rPr>
                <w:rFonts w:ascii="Arabic Typesetting" w:hAnsi="Arabic Typesetting" w:cs="Arabic Typesetting"/>
                <w:sz w:val="28"/>
                <w:szCs w:val="28"/>
                <w:rtl/>
              </w:rPr>
            </w:pPr>
            <w:r w:rsidRPr="00CD6A7C">
              <w:rPr>
                <w:rFonts w:ascii="Arabic Typesetting" w:hAnsi="Arabic Typesetting" w:cs="Arabic Typesetting"/>
                <w:sz w:val="28"/>
                <w:szCs w:val="28"/>
                <w:rtl/>
                <w:lang w:bidi="ar-EG"/>
              </w:rPr>
              <w:t xml:space="preserve">تحسين تخطيط المساحة في منطقة الوفود </w:t>
            </w:r>
            <w:r w:rsidRPr="00CD6A7C">
              <w:rPr>
                <w:rFonts w:ascii="Arabic Typesetting" w:hAnsi="Arabic Typesetting" w:cs="Arabic Typesetting"/>
                <w:sz w:val="28"/>
                <w:szCs w:val="28"/>
                <w:lang w:bidi="ar-EG"/>
              </w:rPr>
              <w:t>AB</w:t>
            </w:r>
            <w:r w:rsidRPr="00CD6A7C">
              <w:rPr>
                <w:rFonts w:ascii="Arabic Typesetting" w:hAnsi="Arabic Typesetting" w:cs="Arabic Typesetting"/>
                <w:sz w:val="28"/>
                <w:szCs w:val="28"/>
                <w:lang w:bidi="ar-EG"/>
              </w:rPr>
              <w:noBreakHyphen/>
              <w:t>2</w:t>
            </w:r>
            <w:r w:rsidRPr="00CD6A7C">
              <w:rPr>
                <w:rFonts w:ascii="Arabic Typesetting" w:hAnsi="Arabic Typesetting" w:cs="Arabic Typesetting"/>
                <w:sz w:val="28"/>
                <w:szCs w:val="28"/>
                <w:rtl/>
                <w:lang w:bidi="ar-EG"/>
              </w:rPr>
              <w:t xml:space="preserve">/إنشاء غرفة ضغط في مهبط المصاعد في المنطقة </w:t>
            </w:r>
            <w:r w:rsidRPr="00CD6A7C">
              <w:rPr>
                <w:rFonts w:ascii="Arabic Typesetting" w:hAnsi="Arabic Typesetting" w:cs="Arabic Typesetting"/>
                <w:sz w:val="28"/>
                <w:szCs w:val="28"/>
                <w:lang w:bidi="ar-EG"/>
              </w:rPr>
              <w:t>AB -2</w:t>
            </w:r>
          </w:p>
        </w:tc>
        <w:tc>
          <w:tcPr>
            <w:tcW w:w="754" w:type="pct"/>
            <w:vAlign w:val="center"/>
          </w:tcPr>
          <w:p w14:paraId="7C55A27C"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55</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64" w:type="pct"/>
            <w:vAlign w:val="center"/>
          </w:tcPr>
          <w:p w14:paraId="7C476F52"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55</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49" w:type="pct"/>
            <w:vAlign w:val="center"/>
          </w:tcPr>
          <w:p w14:paraId="5B869BCB"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78</w:t>
            </w:r>
            <w:r>
              <w:rPr>
                <w:rFonts w:ascii="Arabic Typesetting" w:hAnsi="Arabic Typesetting" w:cs="Arabic Typesetting"/>
                <w:sz w:val="28"/>
                <w:szCs w:val="28"/>
              </w:rPr>
              <w:t> </w:t>
            </w:r>
            <w:r w:rsidRPr="00CD6A7C">
              <w:rPr>
                <w:rFonts w:ascii="Arabic Typesetting" w:hAnsi="Arabic Typesetting" w:cs="Arabic Typesetting"/>
                <w:sz w:val="28"/>
                <w:szCs w:val="28"/>
              </w:rPr>
              <w:t>195</w:t>
            </w:r>
          </w:p>
        </w:tc>
        <w:tc>
          <w:tcPr>
            <w:tcW w:w="856" w:type="pct"/>
            <w:vAlign w:val="center"/>
          </w:tcPr>
          <w:p w14:paraId="56139017"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%142.2</w:t>
            </w:r>
          </w:p>
        </w:tc>
      </w:tr>
      <w:tr w:rsidR="00BD3831" w:rsidRPr="00CD6A7C" w14:paraId="2DB92053" w14:textId="77777777" w:rsidTr="00897495">
        <w:trPr>
          <w:cantSplit/>
          <w:trHeight w:val="389"/>
        </w:trPr>
        <w:tc>
          <w:tcPr>
            <w:tcW w:w="1677" w:type="pct"/>
            <w:vAlign w:val="center"/>
          </w:tcPr>
          <w:p w14:paraId="51502335" w14:textId="77777777" w:rsidR="00BD3831" w:rsidRPr="00CD6A7C" w:rsidRDefault="00BD3831" w:rsidP="0031289D">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المشروع المتعلق بالعزل بين مبنى بودنهاوزن الأول ومبنى أرباد بوكش</w:t>
            </w:r>
          </w:p>
        </w:tc>
        <w:tc>
          <w:tcPr>
            <w:tcW w:w="754" w:type="pct"/>
            <w:vAlign w:val="center"/>
          </w:tcPr>
          <w:p w14:paraId="0A63865E"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175</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64" w:type="pct"/>
            <w:vAlign w:val="center"/>
          </w:tcPr>
          <w:p w14:paraId="27267D05"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175</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49" w:type="pct"/>
            <w:vAlign w:val="center"/>
          </w:tcPr>
          <w:p w14:paraId="0A96FD7D"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67</w:t>
            </w:r>
            <w:r>
              <w:rPr>
                <w:rFonts w:ascii="Arabic Typesetting" w:hAnsi="Arabic Typesetting" w:cs="Arabic Typesetting"/>
                <w:sz w:val="28"/>
                <w:szCs w:val="28"/>
              </w:rPr>
              <w:t> </w:t>
            </w:r>
            <w:r w:rsidRPr="00CD6A7C">
              <w:rPr>
                <w:rFonts w:ascii="Arabic Typesetting" w:hAnsi="Arabic Typesetting" w:cs="Arabic Typesetting"/>
                <w:sz w:val="28"/>
                <w:szCs w:val="28"/>
              </w:rPr>
              <w:t>478</w:t>
            </w:r>
          </w:p>
        </w:tc>
        <w:tc>
          <w:tcPr>
            <w:tcW w:w="856" w:type="pct"/>
            <w:vAlign w:val="center"/>
          </w:tcPr>
          <w:p w14:paraId="5D8761A0"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%38.6</w:t>
            </w:r>
          </w:p>
        </w:tc>
      </w:tr>
      <w:tr w:rsidR="00BD3831" w:rsidRPr="00CD6A7C" w14:paraId="349F401B" w14:textId="77777777" w:rsidTr="00897495">
        <w:trPr>
          <w:cantSplit/>
          <w:trHeight w:val="389"/>
        </w:trPr>
        <w:tc>
          <w:tcPr>
            <w:tcW w:w="1677" w:type="pct"/>
            <w:vAlign w:val="center"/>
          </w:tcPr>
          <w:p w14:paraId="3219EAE4" w14:textId="77777777" w:rsidR="00BD3831" w:rsidRPr="00CD6A7C" w:rsidRDefault="00BD3831" w:rsidP="0031289D">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المشروع المتعلق بالعزل بين المناطق بين مبنى بودنهاوزن الأول ومبنى بودنهاوزن الثاني (جميع المستويات عدا -1)</w:t>
            </w:r>
            <w:r w:rsidRPr="00CD6A7C">
              <w:rPr>
                <w:rFonts w:ascii="Arabic Typesetting" w:hAnsi="Arabic Typesetting" w:cs="Arabic Typesetting"/>
                <w:sz w:val="28"/>
                <w:szCs w:val="28"/>
                <w:vertAlign w:val="superscript"/>
                <w:rtl/>
                <w:lang w:bidi="ar-EG"/>
              </w:rPr>
              <w:footnoteReference w:id="124"/>
            </w:r>
          </w:p>
        </w:tc>
        <w:tc>
          <w:tcPr>
            <w:tcW w:w="754" w:type="pct"/>
            <w:vAlign w:val="center"/>
          </w:tcPr>
          <w:p w14:paraId="27550565"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65</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64" w:type="pct"/>
            <w:vAlign w:val="center"/>
          </w:tcPr>
          <w:p w14:paraId="03BCC1FF"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w:t>
            </w:r>
          </w:p>
        </w:tc>
        <w:tc>
          <w:tcPr>
            <w:tcW w:w="849" w:type="pct"/>
            <w:vAlign w:val="center"/>
          </w:tcPr>
          <w:p w14:paraId="7B6AFFFE"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w:t>
            </w:r>
          </w:p>
        </w:tc>
        <w:tc>
          <w:tcPr>
            <w:tcW w:w="856" w:type="pct"/>
            <w:vAlign w:val="center"/>
          </w:tcPr>
          <w:p w14:paraId="52EBA17E"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w:t>
            </w:r>
          </w:p>
        </w:tc>
      </w:tr>
      <w:tr w:rsidR="00BD3831" w:rsidRPr="00CD6A7C" w14:paraId="470B2F06" w14:textId="77777777" w:rsidTr="00897495">
        <w:trPr>
          <w:cantSplit/>
          <w:trHeight w:val="389"/>
        </w:trPr>
        <w:tc>
          <w:tcPr>
            <w:tcW w:w="1677" w:type="pct"/>
            <w:vAlign w:val="bottom"/>
          </w:tcPr>
          <w:p w14:paraId="5C6B23C6" w14:textId="311EB270" w:rsidR="00BD3831" w:rsidRPr="00CD6A7C" w:rsidRDefault="00BD3831" w:rsidP="0059581F">
            <w:pPr>
              <w:bidi/>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المشروع المتعلق بالفصل بين المرأب السفلي لمبنى أرباد بوكش ومبنى أرباد بوكش (عدا</w:t>
            </w:r>
            <w:r w:rsidR="0059581F">
              <w:rPr>
                <w:rFonts w:hint="cs"/>
                <w:rtl/>
              </w:rPr>
              <w:t> </w:t>
            </w:r>
            <w:r w:rsidRPr="00CD6A7C">
              <w:rPr>
                <w:rFonts w:ascii="Arabic Typesetting" w:hAnsi="Arabic Typesetting" w:cs="Arabic Typesetting"/>
                <w:sz w:val="28"/>
                <w:szCs w:val="28"/>
                <w:rtl/>
                <w:lang w:bidi="ar-EG"/>
              </w:rPr>
              <w:t xml:space="preserve">الطابق </w:t>
            </w:r>
            <w:r w:rsidR="0059581F">
              <w:rPr>
                <w:rFonts w:ascii="Arabic Typesetting" w:hAnsi="Arabic Typesetting" w:cs="Arabic Typesetting" w:hint="cs"/>
                <w:sz w:val="28"/>
                <w:szCs w:val="28"/>
                <w:rtl/>
                <w:lang w:bidi="ar-EG"/>
              </w:rPr>
              <w:noBreakHyphen/>
            </w:r>
            <w:r w:rsidRPr="00CD6A7C">
              <w:rPr>
                <w:rFonts w:ascii="Arabic Typesetting" w:hAnsi="Arabic Typesetting" w:cs="Arabic Typesetting"/>
                <w:sz w:val="28"/>
                <w:szCs w:val="28"/>
                <w:rtl/>
                <w:lang w:bidi="ar-EG"/>
              </w:rPr>
              <w:t>2)</w:t>
            </w:r>
          </w:p>
        </w:tc>
        <w:tc>
          <w:tcPr>
            <w:tcW w:w="754" w:type="pct"/>
            <w:vAlign w:val="center"/>
          </w:tcPr>
          <w:p w14:paraId="15484636"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60</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64" w:type="pct"/>
            <w:vAlign w:val="center"/>
          </w:tcPr>
          <w:p w14:paraId="10BA52F2"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60</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49" w:type="pct"/>
            <w:vAlign w:val="center"/>
          </w:tcPr>
          <w:p w14:paraId="570CD2C6"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w:t>
            </w:r>
          </w:p>
        </w:tc>
        <w:tc>
          <w:tcPr>
            <w:tcW w:w="856" w:type="pct"/>
            <w:vAlign w:val="center"/>
          </w:tcPr>
          <w:p w14:paraId="21FECD00"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w:t>
            </w:r>
          </w:p>
        </w:tc>
      </w:tr>
      <w:tr w:rsidR="00BD3831" w:rsidRPr="00CD6A7C" w14:paraId="5C310569" w14:textId="77777777" w:rsidTr="00897495">
        <w:trPr>
          <w:cantSplit/>
          <w:trHeight w:val="389"/>
        </w:trPr>
        <w:tc>
          <w:tcPr>
            <w:tcW w:w="1677" w:type="pct"/>
            <w:shd w:val="clear" w:color="auto" w:fill="C6D9F1" w:themeFill="text2" w:themeFillTint="33"/>
            <w:vAlign w:val="center"/>
          </w:tcPr>
          <w:p w14:paraId="1317D199" w14:textId="77777777" w:rsidR="00BD3831" w:rsidRPr="00CD6A7C" w:rsidRDefault="00BD3831" w:rsidP="0031289D">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المجموع</w:t>
            </w:r>
          </w:p>
        </w:tc>
        <w:tc>
          <w:tcPr>
            <w:tcW w:w="754" w:type="pct"/>
            <w:shd w:val="clear" w:color="auto" w:fill="C6D9F1" w:themeFill="text2" w:themeFillTint="33"/>
            <w:vAlign w:val="center"/>
          </w:tcPr>
          <w:p w14:paraId="13D09AF3"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CD6A7C">
              <w:rPr>
                <w:rFonts w:ascii="Arabic Typesetting" w:hAnsi="Arabic Typesetting" w:cs="Arabic Typesetting"/>
                <w:b/>
                <w:sz w:val="28"/>
                <w:szCs w:val="28"/>
              </w:rPr>
              <w:t>400</w:t>
            </w:r>
            <w:r>
              <w:rPr>
                <w:rFonts w:ascii="Arabic Typesetting" w:hAnsi="Arabic Typesetting" w:cs="Arabic Typesetting"/>
                <w:b/>
                <w:sz w:val="28"/>
                <w:szCs w:val="28"/>
              </w:rPr>
              <w:t> </w:t>
            </w:r>
            <w:r w:rsidRPr="00CD6A7C">
              <w:rPr>
                <w:rFonts w:ascii="Arabic Typesetting" w:hAnsi="Arabic Typesetting" w:cs="Arabic Typesetting"/>
                <w:b/>
                <w:sz w:val="28"/>
                <w:szCs w:val="28"/>
              </w:rPr>
              <w:t>000</w:t>
            </w:r>
          </w:p>
        </w:tc>
        <w:tc>
          <w:tcPr>
            <w:tcW w:w="864" w:type="pct"/>
            <w:shd w:val="clear" w:color="auto" w:fill="C6D9F1" w:themeFill="text2" w:themeFillTint="33"/>
            <w:vAlign w:val="center"/>
          </w:tcPr>
          <w:p w14:paraId="44D510E1"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CD6A7C">
              <w:rPr>
                <w:rFonts w:ascii="Arabic Typesetting" w:hAnsi="Arabic Typesetting" w:cs="Arabic Typesetting"/>
                <w:b/>
                <w:sz w:val="28"/>
                <w:szCs w:val="28"/>
              </w:rPr>
              <w:t>335</w:t>
            </w:r>
            <w:r>
              <w:rPr>
                <w:rFonts w:ascii="Arabic Typesetting" w:hAnsi="Arabic Typesetting" w:cs="Arabic Typesetting"/>
                <w:b/>
                <w:sz w:val="28"/>
                <w:szCs w:val="28"/>
              </w:rPr>
              <w:t> </w:t>
            </w:r>
            <w:r w:rsidRPr="00CD6A7C">
              <w:rPr>
                <w:rFonts w:ascii="Arabic Typesetting" w:hAnsi="Arabic Typesetting" w:cs="Arabic Typesetting"/>
                <w:b/>
                <w:sz w:val="28"/>
                <w:szCs w:val="28"/>
              </w:rPr>
              <w:t>000</w:t>
            </w:r>
          </w:p>
        </w:tc>
        <w:tc>
          <w:tcPr>
            <w:tcW w:w="849" w:type="pct"/>
            <w:shd w:val="clear" w:color="auto" w:fill="C6D9F1" w:themeFill="text2" w:themeFillTint="33"/>
            <w:vAlign w:val="center"/>
          </w:tcPr>
          <w:p w14:paraId="3CF54ED9"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CD6A7C">
              <w:rPr>
                <w:rFonts w:ascii="Arabic Typesetting" w:hAnsi="Arabic Typesetting" w:cs="Arabic Typesetting"/>
                <w:b/>
                <w:sz w:val="28"/>
                <w:szCs w:val="28"/>
              </w:rPr>
              <w:t>190</w:t>
            </w:r>
            <w:r>
              <w:rPr>
                <w:rFonts w:ascii="Arabic Typesetting" w:hAnsi="Arabic Typesetting" w:cs="Arabic Typesetting"/>
                <w:b/>
                <w:sz w:val="28"/>
                <w:szCs w:val="28"/>
              </w:rPr>
              <w:t> </w:t>
            </w:r>
            <w:r w:rsidRPr="00CD6A7C">
              <w:rPr>
                <w:rFonts w:ascii="Arabic Typesetting" w:hAnsi="Arabic Typesetting" w:cs="Arabic Typesetting"/>
                <w:b/>
                <w:sz w:val="28"/>
                <w:szCs w:val="28"/>
              </w:rPr>
              <w:t>066</w:t>
            </w:r>
          </w:p>
        </w:tc>
        <w:tc>
          <w:tcPr>
            <w:tcW w:w="856" w:type="pct"/>
            <w:shd w:val="clear" w:color="auto" w:fill="C6D9F1" w:themeFill="text2" w:themeFillTint="33"/>
            <w:vAlign w:val="center"/>
          </w:tcPr>
          <w:p w14:paraId="29DE9CC5"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CD6A7C">
              <w:rPr>
                <w:rFonts w:ascii="Arabic Typesetting" w:hAnsi="Arabic Typesetting" w:cs="Arabic Typesetting"/>
                <w:b/>
                <w:sz w:val="28"/>
                <w:szCs w:val="28"/>
              </w:rPr>
              <w:t>%47.5</w:t>
            </w:r>
          </w:p>
        </w:tc>
      </w:tr>
    </w:tbl>
    <w:p w14:paraId="5FA970CC" w14:textId="77777777" w:rsidR="00BD3831" w:rsidRPr="00E551B2" w:rsidRDefault="00BD3831" w:rsidP="0059581F">
      <w:pPr>
        <w:keepNext/>
        <w:keepLines/>
        <w:autoSpaceDE w:val="0"/>
        <w:autoSpaceDN w:val="0"/>
        <w:bidi/>
        <w:adjustRightInd w:val="0"/>
        <w:spacing w:before="60" w:line="340" w:lineRule="exact"/>
        <w:jc w:val="center"/>
        <w:rPr>
          <w:rFonts w:ascii="Arabic Typesetting" w:hAnsi="Arabic Typesetting" w:cs="Arabic Typesetting"/>
          <w:bCs/>
          <w:sz w:val="34"/>
          <w:szCs w:val="34"/>
          <w:rtl/>
          <w:lang w:bidi="ar-EG"/>
        </w:rPr>
      </w:pPr>
      <w:r w:rsidRPr="00E551B2">
        <w:rPr>
          <w:rFonts w:ascii="Arabic Typesetting" w:hAnsi="Arabic Typesetting" w:cs="Arabic Typesetting"/>
          <w:bCs/>
          <w:sz w:val="34"/>
          <w:szCs w:val="34"/>
          <w:rtl/>
          <w:lang w:bidi="ar-EG"/>
        </w:rPr>
        <w:t>استخدام ميزانية المشروع (حسب فئة التكلفة)</w:t>
      </w:r>
    </w:p>
    <w:p w14:paraId="02593248" w14:textId="77777777" w:rsidR="00BD3831" w:rsidRPr="00E551B2" w:rsidRDefault="00BD3831" w:rsidP="0031289D">
      <w:pPr>
        <w:keepNext/>
        <w:keepLines/>
        <w:autoSpaceDE w:val="0"/>
        <w:autoSpaceDN w:val="0"/>
        <w:bidi/>
        <w:adjustRightInd w:val="0"/>
        <w:spacing w:after="120" w:line="340" w:lineRule="exact"/>
        <w:jc w:val="center"/>
        <w:rPr>
          <w:rFonts w:ascii="Arabic Typesetting" w:hAnsi="Arabic Typesetting" w:cs="Arabic Typesetting"/>
          <w:iCs/>
          <w:sz w:val="34"/>
          <w:szCs w:val="34"/>
          <w:lang w:bidi="ar-EG"/>
        </w:rPr>
      </w:pPr>
      <w:r w:rsidRPr="00E551B2">
        <w:rPr>
          <w:rFonts w:ascii="Arabic Typesetting" w:hAnsi="Arabic Typesetting" w:cs="Arabic Typesetting"/>
          <w:iCs/>
          <w:sz w:val="34"/>
          <w:szCs w:val="34"/>
          <w:rtl/>
          <w:lang w:bidi="ar-EG"/>
        </w:rPr>
        <w:t>(</w:t>
      </w:r>
      <w:r>
        <w:rPr>
          <w:rFonts w:ascii="Arabic Typesetting" w:hAnsi="Arabic Typesetting" w:cs="Arabic Typesetting"/>
          <w:iCs/>
          <w:sz w:val="34"/>
          <w:szCs w:val="34"/>
          <w:rtl/>
          <w:lang w:bidi="ar-EG"/>
        </w:rPr>
        <w:t>بالفرنك السويسري، في 31 ديسمبر 2016</w:t>
      </w:r>
      <w:r w:rsidRPr="00E551B2">
        <w:rPr>
          <w:rFonts w:ascii="Arabic Typesetting" w:hAnsi="Arabic Typesetting" w:cs="Arabic Typesetting"/>
          <w:iCs/>
          <w:sz w:val="34"/>
          <w:szCs w:val="34"/>
          <w:rtl/>
          <w:lang w:bidi="ar-EG"/>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1660"/>
        <w:gridCol w:w="1660"/>
        <w:gridCol w:w="1660"/>
        <w:gridCol w:w="1658"/>
      </w:tblGrid>
      <w:tr w:rsidR="00BD3831" w:rsidRPr="00CD6A7C" w14:paraId="1F6D7926" w14:textId="77777777" w:rsidTr="00DF6715">
        <w:trPr>
          <w:trHeight w:val="569"/>
        </w:trPr>
        <w:tc>
          <w:tcPr>
            <w:tcW w:w="1532" w:type="pct"/>
            <w:shd w:val="clear" w:color="auto" w:fill="C6D9F1" w:themeFill="text2" w:themeFillTint="33"/>
            <w:vAlign w:val="center"/>
          </w:tcPr>
          <w:p w14:paraId="32EAA469" w14:textId="77777777" w:rsidR="00BD3831" w:rsidRPr="00CD6A7C" w:rsidRDefault="00BD3831" w:rsidP="0031289D">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فئة التكلفة</w:t>
            </w:r>
          </w:p>
        </w:tc>
        <w:tc>
          <w:tcPr>
            <w:tcW w:w="867" w:type="pct"/>
            <w:shd w:val="clear" w:color="auto" w:fill="C6D9F1" w:themeFill="text2" w:themeFillTint="33"/>
            <w:vAlign w:val="center"/>
          </w:tcPr>
          <w:p w14:paraId="6EB22916" w14:textId="77777777" w:rsidR="00BD3831" w:rsidRPr="00CD6A7C" w:rsidRDefault="00BD3831" w:rsidP="0031289D">
            <w:pPr>
              <w:keepNext/>
              <w:keepLines/>
              <w:autoSpaceDE w:val="0"/>
              <w:autoSpaceDN w:val="0"/>
              <w:bidi/>
              <w:adjustRightInd w:val="0"/>
              <w:spacing w:before="40" w:after="40" w:line="260" w:lineRule="exact"/>
              <w:ind w:left="-107" w:right="-108"/>
              <w:jc w:val="center"/>
              <w:rPr>
                <w:rFonts w:ascii="Arabic Typesetting" w:hAnsi="Arabic Typesetting" w:cs="Arabic Typesetting"/>
                <w:bCs/>
                <w:sz w:val="28"/>
                <w:szCs w:val="28"/>
                <w:rtl/>
                <w:lang w:bidi="ar-EG"/>
              </w:rPr>
            </w:pPr>
            <w:r w:rsidRPr="00CD6A7C">
              <w:rPr>
                <w:rFonts w:ascii="Arabic Typesetting" w:hAnsi="Arabic Typesetting" w:cs="Arabic Typesetting"/>
                <w:bCs/>
                <w:sz w:val="28"/>
                <w:szCs w:val="28"/>
                <w:rtl/>
                <w:lang w:bidi="ar-EG"/>
              </w:rPr>
              <w:t>ميزانية المشروع</w:t>
            </w:r>
            <w:r w:rsidRPr="00CD6A7C">
              <w:rPr>
                <w:rFonts w:ascii="Arabic Typesetting" w:hAnsi="Arabic Typesetting" w:cs="Arabic Typesetting"/>
                <w:bCs/>
                <w:sz w:val="28"/>
                <w:szCs w:val="28"/>
                <w:lang w:val="fr-CH"/>
              </w:rPr>
              <w:t xml:space="preserve"> </w:t>
            </w:r>
            <w:r w:rsidRPr="00CD6A7C">
              <w:rPr>
                <w:rFonts w:ascii="Arabic Typesetting" w:hAnsi="Arabic Typesetting" w:cs="Arabic Typesetting"/>
                <w:bCs/>
                <w:sz w:val="28"/>
                <w:szCs w:val="28"/>
                <w:rtl/>
                <w:lang w:val="fr-CH"/>
              </w:rPr>
              <w:t>الأصلية</w:t>
            </w:r>
          </w:p>
        </w:tc>
        <w:tc>
          <w:tcPr>
            <w:tcW w:w="867" w:type="pct"/>
            <w:shd w:val="clear" w:color="auto" w:fill="C6D9F1" w:themeFill="text2" w:themeFillTint="33"/>
          </w:tcPr>
          <w:p w14:paraId="43DF12C6" w14:textId="77777777" w:rsidR="00BD3831" w:rsidRPr="00CD6A7C" w:rsidRDefault="00BD3831" w:rsidP="0031289D">
            <w:pPr>
              <w:keepNext/>
              <w:keepLines/>
              <w:autoSpaceDE w:val="0"/>
              <w:autoSpaceDN w:val="0"/>
              <w:bidi/>
              <w:adjustRightInd w:val="0"/>
              <w:spacing w:before="40" w:after="40" w:line="260" w:lineRule="exact"/>
              <w:ind w:left="-108"/>
              <w:jc w:val="center"/>
              <w:rPr>
                <w:rFonts w:ascii="Arabic Typesetting" w:hAnsi="Arabic Typesetting" w:cs="Arabic Typesetting"/>
                <w:bCs/>
                <w:sz w:val="28"/>
                <w:szCs w:val="28"/>
                <w:rtl/>
                <w:lang w:bidi="ar-EG"/>
              </w:rPr>
            </w:pPr>
            <w:r w:rsidRPr="00CD6A7C">
              <w:rPr>
                <w:rFonts w:ascii="Arabic Typesetting" w:hAnsi="Arabic Typesetting" w:cs="Arabic Typesetting"/>
                <w:bCs/>
                <w:sz w:val="28"/>
                <w:szCs w:val="28"/>
                <w:rtl/>
                <w:lang w:bidi="ar-EG"/>
              </w:rPr>
              <w:t>ميزانية المشروع</w:t>
            </w:r>
            <w:r w:rsidRPr="00CD6A7C">
              <w:rPr>
                <w:rFonts w:ascii="Arabic Typesetting" w:hAnsi="Arabic Typesetting" w:cs="Arabic Typesetting"/>
                <w:bCs/>
                <w:sz w:val="28"/>
                <w:szCs w:val="28"/>
                <w:lang w:val="fr-CH"/>
              </w:rPr>
              <w:t xml:space="preserve"> </w:t>
            </w:r>
            <w:r w:rsidRPr="00CD6A7C">
              <w:rPr>
                <w:rFonts w:ascii="Arabic Typesetting" w:hAnsi="Arabic Typesetting" w:cs="Arabic Typesetting"/>
                <w:bCs/>
                <w:sz w:val="28"/>
                <w:szCs w:val="28"/>
                <w:rtl/>
                <w:lang w:val="fr-CH"/>
              </w:rPr>
              <w:t>المعدَّلة</w:t>
            </w:r>
          </w:p>
        </w:tc>
        <w:tc>
          <w:tcPr>
            <w:tcW w:w="867" w:type="pct"/>
            <w:shd w:val="clear" w:color="auto" w:fill="C6D9F1" w:themeFill="text2" w:themeFillTint="33"/>
            <w:vAlign w:val="center"/>
          </w:tcPr>
          <w:p w14:paraId="5FE0116A" w14:textId="77777777" w:rsidR="00BD3831" w:rsidRPr="00CD6A7C" w:rsidRDefault="00BD3831" w:rsidP="0031289D">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النفقات الفعلية حتى تاريخه</w:t>
            </w:r>
            <w:r w:rsidRPr="00CD6A7C">
              <w:rPr>
                <w:rFonts w:ascii="Arabic Typesetting" w:hAnsi="Arabic Typesetting" w:cs="Arabic Typesetting"/>
                <w:b/>
                <w:sz w:val="28"/>
                <w:szCs w:val="28"/>
                <w:lang w:val="fr-CH"/>
              </w:rPr>
              <w:t xml:space="preserve"> </w:t>
            </w:r>
          </w:p>
        </w:tc>
        <w:tc>
          <w:tcPr>
            <w:tcW w:w="866" w:type="pct"/>
            <w:shd w:val="clear" w:color="auto" w:fill="C6D9F1" w:themeFill="text2" w:themeFillTint="33"/>
            <w:vAlign w:val="center"/>
          </w:tcPr>
          <w:p w14:paraId="32090765" w14:textId="77777777" w:rsidR="00BD3831" w:rsidRPr="00CD6A7C" w:rsidRDefault="00BD3831" w:rsidP="0031289D">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الاستخدام الفعلي للميزانية</w:t>
            </w:r>
          </w:p>
        </w:tc>
      </w:tr>
      <w:tr w:rsidR="00BD3831" w:rsidRPr="00CD6A7C" w14:paraId="35BBA6DF" w14:textId="77777777" w:rsidTr="00DF6715">
        <w:tc>
          <w:tcPr>
            <w:tcW w:w="1532" w:type="pct"/>
            <w:vAlign w:val="center"/>
          </w:tcPr>
          <w:p w14:paraId="45CD56E9" w14:textId="77777777" w:rsidR="00BD3831" w:rsidRPr="00CD6A7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التكاليف المتعلقة بالبناء</w:t>
            </w:r>
          </w:p>
        </w:tc>
        <w:tc>
          <w:tcPr>
            <w:tcW w:w="867" w:type="pct"/>
            <w:vAlign w:val="center"/>
          </w:tcPr>
          <w:p w14:paraId="718BF3A5"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312</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67" w:type="pct"/>
          </w:tcPr>
          <w:p w14:paraId="210EFA54"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247</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67" w:type="pct"/>
          </w:tcPr>
          <w:p w14:paraId="56A625E1"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181</w:t>
            </w:r>
            <w:r>
              <w:rPr>
                <w:rFonts w:ascii="Arabic Typesetting" w:hAnsi="Arabic Typesetting" w:cs="Arabic Typesetting"/>
                <w:sz w:val="28"/>
                <w:szCs w:val="28"/>
              </w:rPr>
              <w:t> </w:t>
            </w:r>
            <w:r w:rsidRPr="00CD6A7C">
              <w:rPr>
                <w:rFonts w:ascii="Arabic Typesetting" w:hAnsi="Arabic Typesetting" w:cs="Arabic Typesetting"/>
                <w:sz w:val="28"/>
                <w:szCs w:val="28"/>
              </w:rPr>
              <w:t>979</w:t>
            </w:r>
          </w:p>
        </w:tc>
        <w:tc>
          <w:tcPr>
            <w:tcW w:w="866" w:type="pct"/>
          </w:tcPr>
          <w:p w14:paraId="3F081FE0"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%73.7</w:t>
            </w:r>
          </w:p>
        </w:tc>
      </w:tr>
      <w:tr w:rsidR="00BD3831" w:rsidRPr="00CD6A7C" w14:paraId="12EAC673" w14:textId="77777777" w:rsidTr="00DF6715">
        <w:tc>
          <w:tcPr>
            <w:tcW w:w="1532" w:type="pct"/>
            <w:vAlign w:val="center"/>
          </w:tcPr>
          <w:p w14:paraId="7AFD9253" w14:textId="77777777" w:rsidR="00BD3831" w:rsidRPr="00CD6A7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الأتعاب</w:t>
            </w:r>
          </w:p>
        </w:tc>
        <w:tc>
          <w:tcPr>
            <w:tcW w:w="867" w:type="pct"/>
            <w:vAlign w:val="center"/>
          </w:tcPr>
          <w:p w14:paraId="6CE367C5"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60</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67" w:type="pct"/>
          </w:tcPr>
          <w:p w14:paraId="6B10E6E0"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60</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67" w:type="pct"/>
          </w:tcPr>
          <w:p w14:paraId="02761863"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8</w:t>
            </w:r>
            <w:r>
              <w:rPr>
                <w:rFonts w:ascii="Arabic Typesetting" w:hAnsi="Arabic Typesetting" w:cs="Arabic Typesetting"/>
                <w:sz w:val="28"/>
                <w:szCs w:val="28"/>
              </w:rPr>
              <w:t> </w:t>
            </w:r>
            <w:r w:rsidRPr="00CD6A7C">
              <w:rPr>
                <w:rFonts w:ascii="Arabic Typesetting" w:hAnsi="Arabic Typesetting" w:cs="Arabic Typesetting"/>
                <w:sz w:val="28"/>
                <w:szCs w:val="28"/>
              </w:rPr>
              <w:t>088</w:t>
            </w:r>
          </w:p>
        </w:tc>
        <w:tc>
          <w:tcPr>
            <w:tcW w:w="866" w:type="pct"/>
          </w:tcPr>
          <w:p w14:paraId="07924EEE"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%13.5</w:t>
            </w:r>
          </w:p>
        </w:tc>
      </w:tr>
      <w:tr w:rsidR="00BD3831" w:rsidRPr="00CD6A7C" w14:paraId="7C6D476F" w14:textId="77777777" w:rsidTr="00DF6715">
        <w:tc>
          <w:tcPr>
            <w:tcW w:w="1532" w:type="pct"/>
            <w:vAlign w:val="center"/>
          </w:tcPr>
          <w:p w14:paraId="53CBE6E9" w14:textId="77777777" w:rsidR="00BD3831" w:rsidRPr="00CD6A7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الأمور النثرية وغير المتوقعة</w:t>
            </w:r>
          </w:p>
        </w:tc>
        <w:tc>
          <w:tcPr>
            <w:tcW w:w="867" w:type="pct"/>
            <w:vAlign w:val="center"/>
          </w:tcPr>
          <w:p w14:paraId="50664BA0"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28</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67" w:type="pct"/>
          </w:tcPr>
          <w:p w14:paraId="7F702C83"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28</w:t>
            </w:r>
            <w:r>
              <w:rPr>
                <w:rFonts w:ascii="Arabic Typesetting" w:hAnsi="Arabic Typesetting" w:cs="Arabic Typesetting"/>
                <w:sz w:val="28"/>
                <w:szCs w:val="28"/>
              </w:rPr>
              <w:t> </w:t>
            </w:r>
            <w:r w:rsidRPr="00CD6A7C">
              <w:rPr>
                <w:rFonts w:ascii="Arabic Typesetting" w:hAnsi="Arabic Typesetting" w:cs="Arabic Typesetting"/>
                <w:sz w:val="28"/>
                <w:szCs w:val="28"/>
              </w:rPr>
              <w:t>000</w:t>
            </w:r>
          </w:p>
        </w:tc>
        <w:tc>
          <w:tcPr>
            <w:tcW w:w="867" w:type="pct"/>
          </w:tcPr>
          <w:p w14:paraId="0D68934E"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w:t>
            </w:r>
          </w:p>
        </w:tc>
        <w:tc>
          <w:tcPr>
            <w:tcW w:w="866" w:type="pct"/>
          </w:tcPr>
          <w:p w14:paraId="7FE7D898"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sz w:val="28"/>
                <w:szCs w:val="28"/>
              </w:rPr>
            </w:pPr>
            <w:r w:rsidRPr="00CD6A7C">
              <w:rPr>
                <w:rFonts w:ascii="Arabic Typesetting" w:hAnsi="Arabic Typesetting" w:cs="Arabic Typesetting"/>
                <w:sz w:val="28"/>
                <w:szCs w:val="28"/>
              </w:rPr>
              <w:t>-</w:t>
            </w:r>
          </w:p>
        </w:tc>
      </w:tr>
      <w:tr w:rsidR="00BD3831" w:rsidRPr="00CD6A7C" w14:paraId="223BA781" w14:textId="77777777" w:rsidTr="00DF6715">
        <w:tc>
          <w:tcPr>
            <w:tcW w:w="1532" w:type="pct"/>
            <w:shd w:val="clear" w:color="auto" w:fill="C6D9F1" w:themeFill="text2" w:themeFillTint="33"/>
            <w:vAlign w:val="center"/>
          </w:tcPr>
          <w:p w14:paraId="075A7639" w14:textId="77777777" w:rsidR="00BD3831" w:rsidRPr="00CD6A7C" w:rsidRDefault="00BD3831" w:rsidP="0031289D">
            <w:pPr>
              <w:autoSpaceDE w:val="0"/>
              <w:autoSpaceDN w:val="0"/>
              <w:bidi/>
              <w:adjustRightInd w:val="0"/>
              <w:spacing w:before="40" w:after="40" w:line="260" w:lineRule="exact"/>
              <w:rPr>
                <w:rFonts w:ascii="Arabic Typesetting" w:hAnsi="Arabic Typesetting" w:cs="Arabic Typesetting"/>
                <w:sz w:val="28"/>
                <w:szCs w:val="28"/>
                <w:rtl/>
                <w:lang w:bidi="ar-EG"/>
              </w:rPr>
            </w:pPr>
            <w:r w:rsidRPr="00CD6A7C">
              <w:rPr>
                <w:rFonts w:ascii="Arabic Typesetting" w:hAnsi="Arabic Typesetting" w:cs="Arabic Typesetting"/>
                <w:bCs/>
                <w:sz w:val="28"/>
                <w:szCs w:val="28"/>
                <w:rtl/>
                <w:lang w:bidi="ar-EG"/>
              </w:rPr>
              <w:t>المجموع</w:t>
            </w:r>
          </w:p>
        </w:tc>
        <w:tc>
          <w:tcPr>
            <w:tcW w:w="867" w:type="pct"/>
            <w:shd w:val="clear" w:color="auto" w:fill="C6D9F1" w:themeFill="text2" w:themeFillTint="33"/>
            <w:vAlign w:val="center"/>
          </w:tcPr>
          <w:p w14:paraId="347616CA"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CD6A7C">
              <w:rPr>
                <w:rFonts w:ascii="Arabic Typesetting" w:hAnsi="Arabic Typesetting" w:cs="Arabic Typesetting"/>
                <w:b/>
                <w:sz w:val="28"/>
                <w:szCs w:val="28"/>
              </w:rPr>
              <w:t>400</w:t>
            </w:r>
            <w:r>
              <w:rPr>
                <w:rFonts w:ascii="Arabic Typesetting" w:hAnsi="Arabic Typesetting" w:cs="Arabic Typesetting"/>
                <w:b/>
                <w:sz w:val="28"/>
                <w:szCs w:val="28"/>
              </w:rPr>
              <w:t> </w:t>
            </w:r>
            <w:r w:rsidRPr="00CD6A7C">
              <w:rPr>
                <w:rFonts w:ascii="Arabic Typesetting" w:hAnsi="Arabic Typesetting" w:cs="Arabic Typesetting"/>
                <w:b/>
                <w:sz w:val="28"/>
                <w:szCs w:val="28"/>
              </w:rPr>
              <w:t>000</w:t>
            </w:r>
          </w:p>
        </w:tc>
        <w:tc>
          <w:tcPr>
            <w:tcW w:w="867" w:type="pct"/>
            <w:shd w:val="clear" w:color="auto" w:fill="C6D9F1" w:themeFill="text2" w:themeFillTint="33"/>
          </w:tcPr>
          <w:p w14:paraId="3155120F"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CD6A7C">
              <w:rPr>
                <w:rFonts w:ascii="Arabic Typesetting" w:hAnsi="Arabic Typesetting" w:cs="Arabic Typesetting"/>
                <w:b/>
                <w:sz w:val="28"/>
                <w:szCs w:val="28"/>
              </w:rPr>
              <w:t>335</w:t>
            </w:r>
            <w:r>
              <w:rPr>
                <w:rFonts w:ascii="Arabic Typesetting" w:hAnsi="Arabic Typesetting" w:cs="Arabic Typesetting"/>
                <w:b/>
                <w:sz w:val="28"/>
                <w:szCs w:val="28"/>
              </w:rPr>
              <w:t> </w:t>
            </w:r>
            <w:r w:rsidRPr="00CD6A7C">
              <w:rPr>
                <w:rFonts w:ascii="Arabic Typesetting" w:hAnsi="Arabic Typesetting" w:cs="Arabic Typesetting"/>
                <w:b/>
                <w:sz w:val="28"/>
                <w:szCs w:val="28"/>
              </w:rPr>
              <w:t>000</w:t>
            </w:r>
          </w:p>
        </w:tc>
        <w:tc>
          <w:tcPr>
            <w:tcW w:w="867" w:type="pct"/>
            <w:shd w:val="clear" w:color="auto" w:fill="C6D9F1" w:themeFill="text2" w:themeFillTint="33"/>
          </w:tcPr>
          <w:p w14:paraId="27A298A6"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CD6A7C">
              <w:rPr>
                <w:rFonts w:ascii="Arabic Typesetting" w:hAnsi="Arabic Typesetting" w:cs="Arabic Typesetting"/>
                <w:b/>
                <w:sz w:val="28"/>
                <w:szCs w:val="28"/>
              </w:rPr>
              <w:t>190</w:t>
            </w:r>
            <w:r>
              <w:rPr>
                <w:rFonts w:ascii="Arabic Typesetting" w:hAnsi="Arabic Typesetting" w:cs="Arabic Typesetting"/>
                <w:b/>
                <w:sz w:val="28"/>
                <w:szCs w:val="28"/>
              </w:rPr>
              <w:t> </w:t>
            </w:r>
            <w:r w:rsidRPr="00CD6A7C">
              <w:rPr>
                <w:rFonts w:ascii="Arabic Typesetting" w:hAnsi="Arabic Typesetting" w:cs="Arabic Typesetting"/>
                <w:b/>
                <w:sz w:val="28"/>
                <w:szCs w:val="28"/>
              </w:rPr>
              <w:t>066</w:t>
            </w:r>
          </w:p>
        </w:tc>
        <w:tc>
          <w:tcPr>
            <w:tcW w:w="866" w:type="pct"/>
            <w:shd w:val="clear" w:color="auto" w:fill="C6D9F1" w:themeFill="text2" w:themeFillTint="33"/>
          </w:tcPr>
          <w:p w14:paraId="23C6F1EC" w14:textId="77777777" w:rsidR="00BD3831" w:rsidRPr="00CD6A7C" w:rsidRDefault="00BD3831" w:rsidP="0031289D">
            <w:pPr>
              <w:autoSpaceDE w:val="0"/>
              <w:autoSpaceDN w:val="0"/>
              <w:adjustRightInd w:val="0"/>
              <w:spacing w:before="40" w:after="40"/>
              <w:jc w:val="center"/>
              <w:rPr>
                <w:rFonts w:ascii="Arabic Typesetting" w:hAnsi="Arabic Typesetting" w:cs="Arabic Typesetting"/>
                <w:b/>
                <w:sz w:val="28"/>
                <w:szCs w:val="28"/>
              </w:rPr>
            </w:pPr>
            <w:r w:rsidRPr="00CD6A7C">
              <w:rPr>
                <w:rFonts w:ascii="Arabic Typesetting" w:hAnsi="Arabic Typesetting" w:cs="Arabic Typesetting"/>
                <w:b/>
                <w:sz w:val="28"/>
                <w:szCs w:val="28"/>
              </w:rPr>
              <w:t>%47.5</w:t>
            </w:r>
          </w:p>
        </w:tc>
      </w:tr>
    </w:tbl>
    <w:p w14:paraId="6595BF40" w14:textId="6F268018" w:rsidR="00BD3831" w:rsidRPr="00E551B2" w:rsidRDefault="00BD3831" w:rsidP="0031289D">
      <w:pPr>
        <w:bidi/>
        <w:spacing w:before="120" w:after="120"/>
        <w:rPr>
          <w:rFonts w:ascii="Arabic Typesetting" w:hAnsi="Arabic Typesetting" w:cs="Arabic Typesetting"/>
          <w:color w:val="000000"/>
          <w:sz w:val="34"/>
          <w:szCs w:val="34"/>
          <w:lang w:bidi="ar-EG"/>
        </w:rPr>
      </w:pPr>
      <w:r w:rsidRPr="00E551B2">
        <w:rPr>
          <w:rFonts w:ascii="Arabic Typesetting" w:hAnsi="Arabic Typesetting" w:cs="Arabic Typesetting"/>
          <w:color w:val="000000"/>
          <w:sz w:val="34"/>
          <w:szCs w:val="34"/>
          <w:rtl/>
          <w:lang w:bidi="ar-EG"/>
        </w:rPr>
        <w:t>المخاطر واستراتيجيات التخفيف من آثارها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BD3831" w:rsidRPr="00E551B2" w14:paraId="26F97D66" w14:textId="77777777" w:rsidTr="00DF6715">
        <w:trPr>
          <w:trHeight w:val="308"/>
          <w:tblHeader/>
          <w:jc w:val="center"/>
        </w:trPr>
        <w:tc>
          <w:tcPr>
            <w:tcW w:w="1667" w:type="pct"/>
            <w:shd w:val="clear" w:color="auto" w:fill="C6D9F1" w:themeFill="text2" w:themeFillTint="33"/>
            <w:vAlign w:val="center"/>
          </w:tcPr>
          <w:p w14:paraId="3CD6EDB7" w14:textId="77777777" w:rsidR="00BD3831" w:rsidRPr="00E551B2" w:rsidRDefault="00BD3831" w:rsidP="0031289D">
            <w:pPr>
              <w:autoSpaceDE w:val="0"/>
              <w:autoSpaceDN w:val="0"/>
              <w:bidi/>
              <w:adjustRightInd w:val="0"/>
              <w:spacing w:before="40" w:after="40" w:line="260" w:lineRule="exact"/>
              <w:ind w:left="-74" w:right="-60"/>
              <w:jc w:val="center"/>
              <w:rPr>
                <w:rFonts w:ascii="Arabic Typesetting" w:hAnsi="Arabic Typesetting" w:cs="Arabic Typesetting"/>
                <w:bCs/>
                <w:sz w:val="28"/>
                <w:szCs w:val="28"/>
                <w:rtl/>
                <w:lang w:bidi="ar-EG"/>
              </w:rPr>
            </w:pPr>
            <w:r w:rsidRPr="00E551B2">
              <w:rPr>
                <w:rFonts w:ascii="Arabic Typesetting" w:hAnsi="Arabic Typesetting" w:cs="Arabic Typesetting"/>
                <w:bCs/>
                <w:sz w:val="28"/>
                <w:szCs w:val="28"/>
                <w:rtl/>
                <w:lang w:bidi="ar-EG"/>
              </w:rPr>
              <w:t>المخاطر</w:t>
            </w:r>
            <w:r w:rsidRPr="00E551B2">
              <w:rPr>
                <w:rFonts w:ascii="Arabic Typesetting" w:hAnsi="Arabic Typesetting" w:cs="Arabic Typesetting" w:hint="cs"/>
                <w:bCs/>
                <w:sz w:val="28"/>
                <w:szCs w:val="28"/>
                <w:rtl/>
              </w:rPr>
              <w:t>/الوصف</w:t>
            </w:r>
          </w:p>
        </w:tc>
        <w:tc>
          <w:tcPr>
            <w:tcW w:w="1667" w:type="pct"/>
            <w:shd w:val="clear" w:color="auto" w:fill="C6D9F1" w:themeFill="text2" w:themeFillTint="33"/>
            <w:vAlign w:val="center"/>
          </w:tcPr>
          <w:p w14:paraId="1C6A5BCD" w14:textId="77777777" w:rsidR="00BD3831" w:rsidRPr="00E551B2" w:rsidRDefault="00BD3831" w:rsidP="0031289D">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استراتيجية التخفيف من آثار المخاطر</w:t>
            </w:r>
          </w:p>
        </w:tc>
        <w:tc>
          <w:tcPr>
            <w:tcW w:w="1666" w:type="pct"/>
            <w:shd w:val="clear" w:color="auto" w:fill="C6D9F1" w:themeFill="text2" w:themeFillTint="33"/>
            <w:vAlign w:val="center"/>
          </w:tcPr>
          <w:p w14:paraId="3750848A" w14:textId="77777777" w:rsidR="00BD3831" w:rsidRPr="00E551B2" w:rsidRDefault="00BD3831" w:rsidP="0031289D">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E551B2">
              <w:rPr>
                <w:rFonts w:ascii="Arabic Typesetting" w:hAnsi="Arabic Typesetting" w:cs="Arabic Typesetting" w:hint="cs"/>
                <w:bCs/>
                <w:sz w:val="28"/>
                <w:szCs w:val="28"/>
                <w:rtl/>
                <w:lang w:bidi="ar-EG"/>
              </w:rPr>
              <w:t>التعليقات</w:t>
            </w:r>
          </w:p>
        </w:tc>
      </w:tr>
      <w:tr w:rsidR="00BD3831" w:rsidRPr="00E551B2" w14:paraId="2473AFFF" w14:textId="77777777" w:rsidTr="00DF6715">
        <w:trPr>
          <w:trHeight w:val="776"/>
          <w:jc w:val="center"/>
        </w:trPr>
        <w:tc>
          <w:tcPr>
            <w:tcW w:w="1667" w:type="pct"/>
            <w:shd w:val="clear" w:color="auto" w:fill="FFFFFF"/>
          </w:tcPr>
          <w:p w14:paraId="4C4C6EAC"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sidRPr="00E551B2">
              <w:rPr>
                <w:rFonts w:ascii="Arabic Typesetting" w:hAnsi="Arabic Typesetting" w:cs="Arabic Typesetting"/>
                <w:sz w:val="28"/>
                <w:szCs w:val="28"/>
                <w:rtl/>
                <w:lang w:bidi="ar-EG"/>
              </w:rPr>
              <w:t>تأخر الأعمال أو تعطلها</w:t>
            </w:r>
            <w:r w:rsidRPr="00E551B2">
              <w:rPr>
                <w:rFonts w:ascii="Arabic Typesetting" w:hAnsi="Arabic Typesetting" w:cs="Arabic Typesetting" w:hint="cs"/>
                <w:sz w:val="28"/>
                <w:szCs w:val="28"/>
                <w:rtl/>
                <w:lang w:bidi="ar-EG"/>
              </w:rPr>
              <w:t xml:space="preserve"> بسبب </w:t>
            </w:r>
            <w:r w:rsidRPr="00E551B2">
              <w:rPr>
                <w:rFonts w:ascii="Arabic Typesetting" w:hAnsi="Arabic Typesetting" w:cs="Arabic Typesetting"/>
                <w:sz w:val="28"/>
                <w:szCs w:val="28"/>
                <w:rtl/>
                <w:lang w:bidi="ar-EG"/>
              </w:rPr>
              <w:t>حوادث بالموقع</w:t>
            </w:r>
          </w:p>
        </w:tc>
        <w:tc>
          <w:tcPr>
            <w:tcW w:w="1667" w:type="pct"/>
            <w:shd w:val="clear" w:color="auto" w:fill="FFFFFF"/>
          </w:tcPr>
          <w:p w14:paraId="2B3E944D"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sidRPr="00E551B2">
              <w:rPr>
                <w:rFonts w:ascii="Arabic Typesetting" w:hAnsi="Arabic Typesetting" w:cs="Arabic Typesetting"/>
                <w:sz w:val="28"/>
                <w:szCs w:val="28"/>
                <w:rtl/>
                <w:lang w:bidi="ar-EG"/>
              </w:rPr>
              <w:t>إعادة تثبيت التدابير الأمنية وتعزيزها</w:t>
            </w:r>
            <w:r w:rsidRPr="00E551B2">
              <w:rPr>
                <w:rFonts w:ascii="Arabic Typesetting" w:hAnsi="Arabic Typesetting" w:cs="Arabic Typesetting" w:hint="cs"/>
                <w:sz w:val="28"/>
                <w:szCs w:val="28"/>
                <w:rtl/>
              </w:rPr>
              <w:t xml:space="preserve"> و</w:t>
            </w:r>
            <w:r w:rsidRPr="00E551B2">
              <w:rPr>
                <w:rFonts w:ascii="Arabic Typesetting" w:hAnsi="Arabic Typesetting" w:cs="Arabic Typesetting"/>
                <w:sz w:val="28"/>
                <w:szCs w:val="28"/>
                <w:rtl/>
                <w:lang w:bidi="ar-EG"/>
              </w:rPr>
              <w:t>مراجعة الجدول الزمني للأعمال</w:t>
            </w:r>
          </w:p>
        </w:tc>
        <w:tc>
          <w:tcPr>
            <w:tcW w:w="1666" w:type="pct"/>
            <w:shd w:val="clear" w:color="auto" w:fill="FFFFFF"/>
          </w:tcPr>
          <w:p w14:paraId="1ACC2352" w14:textId="77777777" w:rsidR="00BD3831" w:rsidRPr="00760824" w:rsidRDefault="00BD3831" w:rsidP="0031289D">
            <w:pPr>
              <w:autoSpaceDE w:val="0"/>
              <w:autoSpaceDN w:val="0"/>
              <w:bidi/>
              <w:adjustRightInd w:val="0"/>
              <w:spacing w:before="40" w:after="40"/>
              <w:rPr>
                <w:rFonts w:ascii="Arabic Typesetting" w:hAnsi="Arabic Typesetting" w:cs="Arabic Typesetting"/>
                <w:i/>
                <w:iCs/>
                <w:sz w:val="28"/>
                <w:szCs w:val="28"/>
                <w:rtl/>
                <w:lang w:bidi="ar-EG"/>
              </w:rPr>
            </w:pPr>
            <w:r>
              <w:rPr>
                <w:rFonts w:ascii="Arabic Typesetting" w:hAnsi="Arabic Typesetting" w:cs="Arabic Typesetting" w:hint="cs"/>
                <w:i/>
                <w:iCs/>
                <w:sz w:val="28"/>
                <w:szCs w:val="28"/>
                <w:rtl/>
              </w:rPr>
              <w:t>أغلق هذا الخطر</w:t>
            </w:r>
            <w:r>
              <w:rPr>
                <w:rFonts w:ascii="Arabic Typesetting" w:hAnsi="Arabic Typesetting" w:cs="Arabic Typesetting" w:hint="cs"/>
                <w:i/>
                <w:iCs/>
                <w:sz w:val="28"/>
                <w:szCs w:val="28"/>
                <w:rtl/>
                <w:lang w:bidi="ar-EG"/>
              </w:rPr>
              <w:t>.</w:t>
            </w:r>
          </w:p>
        </w:tc>
      </w:tr>
      <w:tr w:rsidR="00BD3831" w:rsidRPr="00E551B2" w14:paraId="2D51D9D3" w14:textId="77777777" w:rsidTr="00DF6715">
        <w:trPr>
          <w:trHeight w:val="776"/>
          <w:jc w:val="center"/>
        </w:trPr>
        <w:tc>
          <w:tcPr>
            <w:tcW w:w="1667" w:type="pct"/>
            <w:shd w:val="clear" w:color="auto" w:fill="FFFFFF"/>
          </w:tcPr>
          <w:p w14:paraId="05338DC0" w14:textId="330D1540" w:rsidR="00BD3831" w:rsidRPr="00E551B2" w:rsidRDefault="00F9431D" w:rsidP="00D02C02">
            <w:pPr>
              <w:autoSpaceDE w:val="0"/>
              <w:autoSpaceDN w:val="0"/>
              <w:bidi/>
              <w:adjustRightInd w:val="0"/>
              <w:spacing w:before="40" w:after="40"/>
              <w:rPr>
                <w:rFonts w:ascii="Arabic Typesetting" w:hAnsi="Arabic Typesetting" w:cs="Arabic Typesetting"/>
                <w:sz w:val="28"/>
                <w:szCs w:val="28"/>
                <w:rtl/>
                <w:lang w:bidi="ar-EG"/>
              </w:rPr>
            </w:pPr>
            <w:r w:rsidRPr="00450CC3">
              <w:rPr>
                <w:b/>
                <w:noProof/>
                <w:sz w:val="18"/>
                <w:szCs w:val="16"/>
              </w:rPr>
              <w:drawing>
                <wp:anchor distT="0" distB="0" distL="114300" distR="114300" simplePos="0" relativeHeight="251663360" behindDoc="0" locked="0" layoutInCell="1" allowOverlap="1" wp14:anchorId="37511C04" wp14:editId="77F5418B">
                  <wp:simplePos x="0" y="0"/>
                  <wp:positionH relativeFrom="margin">
                    <wp:posOffset>1943100</wp:posOffset>
                  </wp:positionH>
                  <wp:positionV relativeFrom="margin">
                    <wp:posOffset>3810</wp:posOffset>
                  </wp:positionV>
                  <wp:extent cx="218440" cy="2184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00BD3831">
              <w:rPr>
                <w:rFonts w:ascii="Arabic Typesetting" w:hAnsi="Arabic Typesetting" w:cs="Arabic Typesetting" w:hint="cs"/>
                <w:sz w:val="28"/>
                <w:szCs w:val="28"/>
                <w:rtl/>
                <w:lang w:bidi="ar-EG"/>
              </w:rPr>
              <w:t xml:space="preserve">عدم القدرة على تنفيذ مشروع العزل بين مبنى بودنهاوزن الأول ومبنى بودنهاوزن الثاني (جميع المستويات عدا -1) بسبب كشف مواطن عدم الامتثال مع القانون </w:t>
            </w:r>
            <w:r w:rsidR="00D02C02">
              <w:rPr>
                <w:rFonts w:ascii="Arabic Typesetting" w:hAnsi="Arabic Typesetting" w:cs="Arabic Typesetting" w:hint="cs"/>
                <w:sz w:val="28"/>
                <w:szCs w:val="28"/>
                <w:rtl/>
                <w:lang w:bidi="ar-EG"/>
              </w:rPr>
              <w:t>السويسري</w:t>
            </w:r>
            <w:r w:rsidR="00BD3831">
              <w:rPr>
                <w:rFonts w:ascii="Arabic Typesetting" w:hAnsi="Arabic Typesetting" w:cs="Arabic Typesetting" w:hint="cs"/>
                <w:sz w:val="28"/>
                <w:szCs w:val="28"/>
                <w:rtl/>
                <w:lang w:bidi="ar-EG"/>
              </w:rPr>
              <w:t xml:space="preserve"> خلال التدقيق الخارجي في مخاطر الحرائق، ما تطلب أعمال تصحيحية فورية قد تؤدي إلى عجز في الوقت والموارد.</w:t>
            </w:r>
          </w:p>
        </w:tc>
        <w:tc>
          <w:tcPr>
            <w:tcW w:w="1667" w:type="pct"/>
            <w:shd w:val="clear" w:color="auto" w:fill="FFFFFF"/>
          </w:tcPr>
          <w:p w14:paraId="25D1B680" w14:textId="77777777" w:rsidR="00BD3831" w:rsidRPr="00E551B2"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تعديل نطاق المشروع استنادا إلى نتائج التدقيق الخارجي لمخاطر الحرائق</w:t>
            </w:r>
          </w:p>
        </w:tc>
        <w:tc>
          <w:tcPr>
            <w:tcW w:w="1666" w:type="pct"/>
            <w:shd w:val="clear" w:color="auto" w:fill="FFFFFF"/>
          </w:tcPr>
          <w:p w14:paraId="7953055E" w14:textId="77777777" w:rsidR="00BD3831" w:rsidRDefault="00BD3831" w:rsidP="0031289D">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تعرضت المنظمة لهذا الخطر في عام 2016 وقُرر حذف عنصر العزل بين مبنى بودنهاوزن الأول ومبنى بودنهاوزن الثاني (جميع المستويات عدا -1) من نطاق المشروع 7.</w:t>
            </w:r>
          </w:p>
          <w:p w14:paraId="0101E22F" w14:textId="77777777" w:rsidR="00BD3831" w:rsidRPr="00C9098B" w:rsidRDefault="00BD3831" w:rsidP="0031289D">
            <w:pPr>
              <w:autoSpaceDE w:val="0"/>
              <w:autoSpaceDN w:val="0"/>
              <w:bidi/>
              <w:adjustRightInd w:val="0"/>
              <w:spacing w:before="40" w:after="40"/>
              <w:rPr>
                <w:rFonts w:ascii="Arabic Typesetting" w:hAnsi="Arabic Typesetting" w:cs="Arabic Typesetting"/>
                <w:sz w:val="28"/>
                <w:szCs w:val="28"/>
                <w:rtl/>
                <w:lang w:bidi="ar-EG"/>
              </w:rPr>
            </w:pPr>
          </w:p>
          <w:p w14:paraId="404EE271" w14:textId="77777777" w:rsidR="00BD3831" w:rsidRDefault="00BD3831" w:rsidP="0031289D">
            <w:pPr>
              <w:autoSpaceDE w:val="0"/>
              <w:autoSpaceDN w:val="0"/>
              <w:bidi/>
              <w:adjustRightInd w:val="0"/>
              <w:spacing w:before="40" w:after="40"/>
              <w:rPr>
                <w:rFonts w:ascii="Arabic Typesetting" w:hAnsi="Arabic Typesetting" w:cs="Arabic Typesetting"/>
                <w:i/>
                <w:iCs/>
                <w:sz w:val="28"/>
                <w:szCs w:val="28"/>
                <w:rtl/>
                <w:lang w:bidi="ar-EG"/>
              </w:rPr>
            </w:pPr>
            <w:r>
              <w:rPr>
                <w:rFonts w:ascii="Arabic Typesetting" w:hAnsi="Arabic Typesetting" w:cs="Arabic Typesetting" w:hint="cs"/>
                <w:i/>
                <w:iCs/>
                <w:sz w:val="28"/>
                <w:szCs w:val="28"/>
                <w:rtl/>
                <w:lang w:bidi="ar-EG"/>
              </w:rPr>
              <w:t>أغلق هذا الخطر.</w:t>
            </w:r>
          </w:p>
        </w:tc>
      </w:tr>
    </w:tbl>
    <w:p w14:paraId="381E519D" w14:textId="77777777" w:rsidR="00BD3831" w:rsidRPr="00E551B2" w:rsidRDefault="00BD3831" w:rsidP="0031289D">
      <w:pPr>
        <w:keepNext/>
        <w:bidi/>
        <w:spacing w:before="120" w:after="120"/>
        <w:rPr>
          <w:rFonts w:ascii="Arabic Typesetting" w:hAnsi="Arabic Typesetting" w:cs="Arabic Typesetting"/>
          <w:color w:val="000000"/>
          <w:sz w:val="34"/>
          <w:szCs w:val="34"/>
          <w:rtl/>
          <w:lang w:bidi="ar-EG"/>
        </w:rPr>
      </w:pPr>
      <w:r w:rsidRPr="00E551B2">
        <w:rPr>
          <w:rFonts w:ascii="Arabic Typesetting" w:hAnsi="Arabic Typesetting" w:cs="Arabic Typesetting"/>
          <w:color w:val="000000"/>
          <w:sz w:val="34"/>
          <w:szCs w:val="34"/>
          <w:rtl/>
          <w:lang w:bidi="ar-EG"/>
        </w:rPr>
        <w:lastRenderedPageBreak/>
        <w:t>الجدول الزمني للمشروع حسب المعالم</w:t>
      </w:r>
    </w:p>
    <w:tbl>
      <w:tblPr>
        <w:bidiVisual/>
        <w:tblW w:w="5000" w:type="pct"/>
        <w:jc w:val="center"/>
        <w:tblLook w:val="04A0" w:firstRow="1" w:lastRow="0" w:firstColumn="1" w:lastColumn="0" w:noHBand="0" w:noVBand="1"/>
      </w:tblPr>
      <w:tblGrid>
        <w:gridCol w:w="3731"/>
        <w:gridCol w:w="365"/>
        <w:gridCol w:w="365"/>
        <w:gridCol w:w="365"/>
        <w:gridCol w:w="365"/>
        <w:gridCol w:w="365"/>
        <w:gridCol w:w="365"/>
        <w:gridCol w:w="365"/>
        <w:gridCol w:w="365"/>
        <w:gridCol w:w="365"/>
        <w:gridCol w:w="365"/>
        <w:gridCol w:w="365"/>
        <w:gridCol w:w="365"/>
        <w:gridCol w:w="365"/>
        <w:gridCol w:w="365"/>
        <w:gridCol w:w="365"/>
        <w:gridCol w:w="365"/>
      </w:tblGrid>
      <w:tr w:rsidR="00BD3831" w:rsidRPr="00CD6A7C" w14:paraId="61AA420B" w14:textId="77777777" w:rsidTr="00DF6715">
        <w:trPr>
          <w:cantSplit/>
          <w:trHeight w:val="270"/>
          <w:tblHeader/>
          <w:jc w:val="center"/>
        </w:trPr>
        <w:tc>
          <w:tcPr>
            <w:tcW w:w="1905" w:type="pct"/>
            <w:tcBorders>
              <w:top w:val="nil"/>
              <w:left w:val="nil"/>
              <w:bottom w:val="nil"/>
              <w:right w:val="nil"/>
            </w:tcBorders>
            <w:shd w:val="clear" w:color="auto" w:fill="auto"/>
            <w:noWrap/>
            <w:vAlign w:val="bottom"/>
            <w:hideMark/>
          </w:tcPr>
          <w:p w14:paraId="7E2DC554" w14:textId="77777777" w:rsidR="00BD3831" w:rsidRPr="00CD6A7C" w:rsidRDefault="00BD3831" w:rsidP="0031289D">
            <w:pPr>
              <w:keepNext/>
              <w:rPr>
                <w:rFonts w:ascii="Arabic Typesetting" w:hAnsi="Arabic Typesetting" w:cs="Arabic Typesetting"/>
                <w:color w:val="000000"/>
                <w:sz w:val="28"/>
                <w:szCs w:val="28"/>
              </w:rPr>
            </w:pPr>
          </w:p>
        </w:tc>
        <w:tc>
          <w:tcPr>
            <w:tcW w:w="775" w:type="pct"/>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14:paraId="3CF82ACA" w14:textId="77777777" w:rsidR="00BD3831" w:rsidRPr="00CD6A7C" w:rsidRDefault="00BD3831" w:rsidP="0031289D">
            <w:pPr>
              <w:keepNext/>
              <w:jc w:val="center"/>
              <w:rPr>
                <w:rFonts w:ascii="Arabic Typesetting" w:hAnsi="Arabic Typesetting" w:cs="Arabic Typesetting"/>
                <w:b/>
                <w:bCs/>
                <w:color w:val="000000"/>
                <w:sz w:val="28"/>
                <w:szCs w:val="28"/>
              </w:rPr>
            </w:pPr>
            <w:r w:rsidRPr="00CD6A7C">
              <w:rPr>
                <w:rFonts w:ascii="Arabic Typesetting" w:hAnsi="Arabic Typesetting" w:cs="Arabic Typesetting"/>
                <w:b/>
                <w:bCs/>
                <w:color w:val="000000"/>
                <w:sz w:val="28"/>
                <w:szCs w:val="28"/>
              </w:rPr>
              <w:t>2014</w:t>
            </w:r>
          </w:p>
        </w:tc>
        <w:tc>
          <w:tcPr>
            <w:tcW w:w="773" w:type="pct"/>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14:paraId="178E6A37" w14:textId="77777777" w:rsidR="00BD3831" w:rsidRPr="00CD6A7C" w:rsidRDefault="00BD3831" w:rsidP="0031289D">
            <w:pPr>
              <w:keepNext/>
              <w:jc w:val="center"/>
              <w:rPr>
                <w:rFonts w:ascii="Arabic Typesetting" w:hAnsi="Arabic Typesetting" w:cs="Arabic Typesetting"/>
                <w:b/>
                <w:bCs/>
                <w:color w:val="000000"/>
                <w:sz w:val="28"/>
                <w:szCs w:val="28"/>
              </w:rPr>
            </w:pPr>
            <w:r w:rsidRPr="00CD6A7C">
              <w:rPr>
                <w:rFonts w:ascii="Arabic Typesetting" w:hAnsi="Arabic Typesetting" w:cs="Arabic Typesetting"/>
                <w:b/>
                <w:bCs/>
                <w:color w:val="000000"/>
                <w:sz w:val="28"/>
                <w:szCs w:val="28"/>
              </w:rPr>
              <w:t>2015</w:t>
            </w:r>
          </w:p>
        </w:tc>
        <w:tc>
          <w:tcPr>
            <w:tcW w:w="773" w:type="pct"/>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14:paraId="4D8D89DC" w14:textId="77777777" w:rsidR="00BD3831" w:rsidRPr="00CD6A7C" w:rsidRDefault="00BD3831" w:rsidP="0031289D">
            <w:pPr>
              <w:keepNext/>
              <w:jc w:val="center"/>
              <w:rPr>
                <w:rFonts w:ascii="Arabic Typesetting" w:hAnsi="Arabic Typesetting" w:cs="Arabic Typesetting"/>
                <w:b/>
                <w:bCs/>
                <w:color w:val="000000"/>
                <w:sz w:val="28"/>
                <w:szCs w:val="28"/>
              </w:rPr>
            </w:pPr>
            <w:r w:rsidRPr="00CD6A7C">
              <w:rPr>
                <w:rFonts w:ascii="Arabic Typesetting" w:hAnsi="Arabic Typesetting" w:cs="Arabic Typesetting"/>
                <w:b/>
                <w:bCs/>
                <w:color w:val="000000"/>
                <w:sz w:val="28"/>
                <w:szCs w:val="28"/>
              </w:rPr>
              <w:t>2016</w:t>
            </w:r>
          </w:p>
        </w:tc>
        <w:tc>
          <w:tcPr>
            <w:tcW w:w="773" w:type="pct"/>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14:paraId="49EE9A82" w14:textId="77777777" w:rsidR="00BD3831" w:rsidRPr="00CD6A7C" w:rsidRDefault="00BD3831" w:rsidP="0031289D">
            <w:pPr>
              <w:keepNext/>
              <w:jc w:val="center"/>
              <w:rPr>
                <w:rFonts w:ascii="Arabic Typesetting" w:hAnsi="Arabic Typesetting" w:cs="Arabic Typesetting"/>
                <w:b/>
                <w:bCs/>
                <w:color w:val="000000"/>
                <w:sz w:val="28"/>
                <w:szCs w:val="28"/>
              </w:rPr>
            </w:pPr>
            <w:r w:rsidRPr="00CD6A7C">
              <w:rPr>
                <w:rFonts w:ascii="Arabic Typesetting" w:hAnsi="Arabic Typesetting" w:cs="Arabic Typesetting"/>
                <w:b/>
                <w:bCs/>
                <w:color w:val="000000"/>
                <w:sz w:val="28"/>
                <w:szCs w:val="28"/>
              </w:rPr>
              <w:t>2017</w:t>
            </w:r>
          </w:p>
        </w:tc>
      </w:tr>
      <w:tr w:rsidR="00BD3831" w:rsidRPr="00CD6A7C" w14:paraId="6E28AD1A" w14:textId="77777777" w:rsidTr="00DF6715">
        <w:trPr>
          <w:cantSplit/>
          <w:trHeight w:val="375"/>
          <w:tblHeader/>
          <w:jc w:val="center"/>
        </w:trPr>
        <w:tc>
          <w:tcPr>
            <w:tcW w:w="1905" w:type="pct"/>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14:paraId="5BB49183"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المعالم الرئيسية</w:t>
            </w:r>
          </w:p>
        </w:tc>
        <w:tc>
          <w:tcPr>
            <w:tcW w:w="194" w:type="pct"/>
            <w:tcBorders>
              <w:top w:val="nil"/>
              <w:left w:val="nil"/>
              <w:bottom w:val="single" w:sz="4" w:space="0" w:color="auto"/>
              <w:right w:val="single" w:sz="4" w:space="0" w:color="auto"/>
            </w:tcBorders>
            <w:shd w:val="clear" w:color="auto" w:fill="C6D9F1" w:themeFill="text2" w:themeFillTint="33"/>
            <w:noWrap/>
            <w:vAlign w:val="bottom"/>
            <w:hideMark/>
          </w:tcPr>
          <w:p w14:paraId="393F2F8C"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ف1</w:t>
            </w:r>
          </w:p>
        </w:tc>
        <w:tc>
          <w:tcPr>
            <w:tcW w:w="194" w:type="pct"/>
            <w:tcBorders>
              <w:top w:val="nil"/>
              <w:left w:val="nil"/>
              <w:bottom w:val="single" w:sz="4" w:space="0" w:color="auto"/>
              <w:right w:val="single" w:sz="4" w:space="0" w:color="auto"/>
            </w:tcBorders>
            <w:shd w:val="clear" w:color="auto" w:fill="C6D9F1" w:themeFill="text2" w:themeFillTint="33"/>
            <w:noWrap/>
            <w:vAlign w:val="bottom"/>
            <w:hideMark/>
          </w:tcPr>
          <w:p w14:paraId="480FE959"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ف2</w:t>
            </w:r>
          </w:p>
        </w:tc>
        <w:tc>
          <w:tcPr>
            <w:tcW w:w="194" w:type="pct"/>
            <w:tcBorders>
              <w:top w:val="nil"/>
              <w:left w:val="nil"/>
              <w:bottom w:val="single" w:sz="4" w:space="0" w:color="auto"/>
              <w:right w:val="single" w:sz="4" w:space="0" w:color="auto"/>
            </w:tcBorders>
            <w:shd w:val="clear" w:color="auto" w:fill="C6D9F1" w:themeFill="text2" w:themeFillTint="33"/>
            <w:noWrap/>
            <w:vAlign w:val="bottom"/>
            <w:hideMark/>
          </w:tcPr>
          <w:p w14:paraId="2577CCDB"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ف3</w:t>
            </w:r>
          </w:p>
        </w:tc>
        <w:tc>
          <w:tcPr>
            <w:tcW w:w="194" w:type="pct"/>
            <w:tcBorders>
              <w:top w:val="nil"/>
              <w:left w:val="nil"/>
              <w:bottom w:val="single" w:sz="4" w:space="0" w:color="auto"/>
              <w:right w:val="single" w:sz="8" w:space="0" w:color="auto"/>
            </w:tcBorders>
            <w:shd w:val="clear" w:color="auto" w:fill="C6D9F1" w:themeFill="text2" w:themeFillTint="33"/>
            <w:noWrap/>
            <w:vAlign w:val="bottom"/>
            <w:hideMark/>
          </w:tcPr>
          <w:p w14:paraId="7FFAB902"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ف4</w:t>
            </w:r>
          </w:p>
        </w:tc>
        <w:tc>
          <w:tcPr>
            <w:tcW w:w="193" w:type="pct"/>
            <w:tcBorders>
              <w:top w:val="nil"/>
              <w:left w:val="nil"/>
              <w:bottom w:val="single" w:sz="4" w:space="0" w:color="auto"/>
              <w:right w:val="single" w:sz="4" w:space="0" w:color="auto"/>
            </w:tcBorders>
            <w:shd w:val="clear" w:color="auto" w:fill="C6D9F1" w:themeFill="text2" w:themeFillTint="33"/>
            <w:noWrap/>
            <w:vAlign w:val="bottom"/>
            <w:hideMark/>
          </w:tcPr>
          <w:p w14:paraId="50987E8E"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ف1</w:t>
            </w:r>
          </w:p>
        </w:tc>
        <w:tc>
          <w:tcPr>
            <w:tcW w:w="193" w:type="pct"/>
            <w:tcBorders>
              <w:top w:val="nil"/>
              <w:left w:val="nil"/>
              <w:bottom w:val="single" w:sz="4" w:space="0" w:color="auto"/>
              <w:right w:val="single" w:sz="4" w:space="0" w:color="auto"/>
            </w:tcBorders>
            <w:shd w:val="clear" w:color="auto" w:fill="C6D9F1" w:themeFill="text2" w:themeFillTint="33"/>
            <w:noWrap/>
            <w:vAlign w:val="bottom"/>
            <w:hideMark/>
          </w:tcPr>
          <w:p w14:paraId="053BFF1B"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ف2</w:t>
            </w:r>
          </w:p>
        </w:tc>
        <w:tc>
          <w:tcPr>
            <w:tcW w:w="193" w:type="pct"/>
            <w:tcBorders>
              <w:top w:val="nil"/>
              <w:left w:val="nil"/>
              <w:bottom w:val="single" w:sz="4" w:space="0" w:color="auto"/>
              <w:right w:val="single" w:sz="4" w:space="0" w:color="auto"/>
            </w:tcBorders>
            <w:shd w:val="clear" w:color="auto" w:fill="C6D9F1" w:themeFill="text2" w:themeFillTint="33"/>
            <w:noWrap/>
            <w:vAlign w:val="bottom"/>
            <w:hideMark/>
          </w:tcPr>
          <w:p w14:paraId="69B66966"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ف3</w:t>
            </w:r>
          </w:p>
        </w:tc>
        <w:tc>
          <w:tcPr>
            <w:tcW w:w="193" w:type="pct"/>
            <w:tcBorders>
              <w:top w:val="nil"/>
              <w:left w:val="nil"/>
              <w:bottom w:val="single" w:sz="4" w:space="0" w:color="auto"/>
              <w:right w:val="single" w:sz="8" w:space="0" w:color="auto"/>
            </w:tcBorders>
            <w:shd w:val="clear" w:color="auto" w:fill="C6D9F1" w:themeFill="text2" w:themeFillTint="33"/>
            <w:noWrap/>
            <w:vAlign w:val="bottom"/>
            <w:hideMark/>
          </w:tcPr>
          <w:p w14:paraId="15F66FE9"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ف4</w:t>
            </w:r>
          </w:p>
        </w:tc>
        <w:tc>
          <w:tcPr>
            <w:tcW w:w="193" w:type="pct"/>
            <w:tcBorders>
              <w:top w:val="nil"/>
              <w:left w:val="nil"/>
              <w:bottom w:val="single" w:sz="4" w:space="0" w:color="auto"/>
              <w:right w:val="single" w:sz="4" w:space="0" w:color="auto"/>
            </w:tcBorders>
            <w:shd w:val="clear" w:color="auto" w:fill="C6D9F1" w:themeFill="text2" w:themeFillTint="33"/>
            <w:noWrap/>
            <w:vAlign w:val="bottom"/>
            <w:hideMark/>
          </w:tcPr>
          <w:p w14:paraId="2A2FE8CE"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ف1</w:t>
            </w:r>
          </w:p>
        </w:tc>
        <w:tc>
          <w:tcPr>
            <w:tcW w:w="193" w:type="pct"/>
            <w:tcBorders>
              <w:top w:val="nil"/>
              <w:left w:val="nil"/>
              <w:bottom w:val="single" w:sz="4" w:space="0" w:color="auto"/>
              <w:right w:val="single" w:sz="4" w:space="0" w:color="auto"/>
            </w:tcBorders>
            <w:shd w:val="clear" w:color="auto" w:fill="C6D9F1" w:themeFill="text2" w:themeFillTint="33"/>
            <w:noWrap/>
            <w:vAlign w:val="bottom"/>
            <w:hideMark/>
          </w:tcPr>
          <w:p w14:paraId="0B02F24B"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ف2</w:t>
            </w:r>
          </w:p>
        </w:tc>
        <w:tc>
          <w:tcPr>
            <w:tcW w:w="193" w:type="pct"/>
            <w:tcBorders>
              <w:top w:val="nil"/>
              <w:left w:val="nil"/>
              <w:bottom w:val="single" w:sz="4" w:space="0" w:color="auto"/>
              <w:right w:val="single" w:sz="4" w:space="0" w:color="auto"/>
            </w:tcBorders>
            <w:shd w:val="clear" w:color="auto" w:fill="C6D9F1" w:themeFill="text2" w:themeFillTint="33"/>
            <w:noWrap/>
            <w:vAlign w:val="bottom"/>
            <w:hideMark/>
          </w:tcPr>
          <w:p w14:paraId="0B15D75B"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ف3</w:t>
            </w:r>
          </w:p>
        </w:tc>
        <w:tc>
          <w:tcPr>
            <w:tcW w:w="193" w:type="pct"/>
            <w:tcBorders>
              <w:top w:val="nil"/>
              <w:left w:val="nil"/>
              <w:bottom w:val="single" w:sz="4" w:space="0" w:color="auto"/>
              <w:right w:val="single" w:sz="8" w:space="0" w:color="auto"/>
            </w:tcBorders>
            <w:shd w:val="clear" w:color="auto" w:fill="C6D9F1" w:themeFill="text2" w:themeFillTint="33"/>
            <w:noWrap/>
            <w:vAlign w:val="bottom"/>
            <w:hideMark/>
          </w:tcPr>
          <w:p w14:paraId="5FF362B2"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ف4</w:t>
            </w:r>
          </w:p>
        </w:tc>
        <w:tc>
          <w:tcPr>
            <w:tcW w:w="193" w:type="pct"/>
            <w:tcBorders>
              <w:top w:val="nil"/>
              <w:left w:val="nil"/>
              <w:bottom w:val="single" w:sz="4" w:space="0" w:color="auto"/>
              <w:right w:val="single" w:sz="4" w:space="0" w:color="auto"/>
            </w:tcBorders>
            <w:shd w:val="clear" w:color="auto" w:fill="C6D9F1" w:themeFill="text2" w:themeFillTint="33"/>
            <w:noWrap/>
            <w:vAlign w:val="bottom"/>
            <w:hideMark/>
          </w:tcPr>
          <w:p w14:paraId="171E400D"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ف1</w:t>
            </w:r>
          </w:p>
        </w:tc>
        <w:tc>
          <w:tcPr>
            <w:tcW w:w="193" w:type="pct"/>
            <w:tcBorders>
              <w:top w:val="nil"/>
              <w:left w:val="nil"/>
              <w:bottom w:val="single" w:sz="4" w:space="0" w:color="auto"/>
              <w:right w:val="single" w:sz="4" w:space="0" w:color="auto"/>
            </w:tcBorders>
            <w:shd w:val="clear" w:color="auto" w:fill="C6D9F1" w:themeFill="text2" w:themeFillTint="33"/>
            <w:noWrap/>
            <w:vAlign w:val="bottom"/>
            <w:hideMark/>
          </w:tcPr>
          <w:p w14:paraId="7E8BF016"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ف2</w:t>
            </w:r>
          </w:p>
        </w:tc>
        <w:tc>
          <w:tcPr>
            <w:tcW w:w="193" w:type="pct"/>
            <w:tcBorders>
              <w:top w:val="nil"/>
              <w:left w:val="nil"/>
              <w:bottom w:val="single" w:sz="4" w:space="0" w:color="auto"/>
              <w:right w:val="single" w:sz="4" w:space="0" w:color="auto"/>
            </w:tcBorders>
            <w:shd w:val="clear" w:color="auto" w:fill="C6D9F1" w:themeFill="text2" w:themeFillTint="33"/>
            <w:noWrap/>
            <w:vAlign w:val="bottom"/>
            <w:hideMark/>
          </w:tcPr>
          <w:p w14:paraId="59867320"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ف3</w:t>
            </w:r>
          </w:p>
        </w:tc>
        <w:tc>
          <w:tcPr>
            <w:tcW w:w="193" w:type="pct"/>
            <w:tcBorders>
              <w:top w:val="nil"/>
              <w:left w:val="nil"/>
              <w:bottom w:val="single" w:sz="4" w:space="0" w:color="auto"/>
              <w:right w:val="single" w:sz="8" w:space="0" w:color="auto"/>
            </w:tcBorders>
            <w:shd w:val="clear" w:color="auto" w:fill="C6D9F1" w:themeFill="text2" w:themeFillTint="33"/>
            <w:noWrap/>
            <w:vAlign w:val="bottom"/>
            <w:hideMark/>
          </w:tcPr>
          <w:p w14:paraId="15FB8BA3"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bCs/>
                <w:color w:val="000000"/>
                <w:sz w:val="28"/>
                <w:szCs w:val="28"/>
                <w:rtl/>
                <w:lang w:bidi="ar-EG"/>
              </w:rPr>
              <w:t>ف4</w:t>
            </w:r>
          </w:p>
        </w:tc>
      </w:tr>
      <w:tr w:rsidR="00BD3831" w:rsidRPr="00CD6A7C" w14:paraId="26569DEB" w14:textId="77777777" w:rsidTr="00DF6715">
        <w:trPr>
          <w:cantSplit/>
          <w:trHeight w:val="615"/>
          <w:jc w:val="center"/>
        </w:trPr>
        <w:tc>
          <w:tcPr>
            <w:tcW w:w="1905" w:type="pct"/>
            <w:tcBorders>
              <w:top w:val="nil"/>
              <w:left w:val="single" w:sz="8" w:space="0" w:color="auto"/>
              <w:bottom w:val="single" w:sz="4" w:space="0" w:color="auto"/>
              <w:right w:val="single" w:sz="8" w:space="0" w:color="auto"/>
            </w:tcBorders>
            <w:shd w:val="clear" w:color="auto" w:fill="auto"/>
            <w:noWrap/>
            <w:vAlign w:val="center"/>
            <w:hideMark/>
          </w:tcPr>
          <w:p w14:paraId="2985A3D3" w14:textId="77777777" w:rsidR="00BD3831" w:rsidRPr="00CD6A7C" w:rsidRDefault="00BD3831" w:rsidP="0031289D">
            <w:pPr>
              <w:bidi/>
              <w:rPr>
                <w:rFonts w:ascii="Arabic Typesetting" w:hAnsi="Arabic Typesetting" w:cs="Arabic Typesetting"/>
                <w:color w:val="000000"/>
                <w:sz w:val="28"/>
                <w:szCs w:val="28"/>
                <w:rtl/>
                <w:lang w:bidi="ar-EG"/>
              </w:rPr>
            </w:pPr>
            <w:r w:rsidRPr="00CD6A7C">
              <w:rPr>
                <w:rFonts w:ascii="Arabic Typesetting" w:hAnsi="Arabic Typesetting" w:cs="Arabic Typesetting"/>
                <w:color w:val="000000"/>
                <w:sz w:val="28"/>
                <w:szCs w:val="28"/>
                <w:rtl/>
                <w:lang w:bidi="ar-EG"/>
              </w:rPr>
              <w:t>الفصل بين المناطق في مبنى البراءات</w:t>
            </w:r>
          </w:p>
          <w:p w14:paraId="06EAA65B"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إكمال العمل</w:t>
            </w:r>
          </w:p>
        </w:tc>
        <w:tc>
          <w:tcPr>
            <w:tcW w:w="194" w:type="pct"/>
            <w:tcBorders>
              <w:top w:val="nil"/>
              <w:left w:val="nil"/>
              <w:bottom w:val="single" w:sz="4" w:space="0" w:color="auto"/>
              <w:right w:val="single" w:sz="4" w:space="0" w:color="auto"/>
            </w:tcBorders>
            <w:shd w:val="clear" w:color="auto" w:fill="auto"/>
            <w:noWrap/>
            <w:vAlign w:val="center"/>
            <w:hideMark/>
          </w:tcPr>
          <w:p w14:paraId="72FC9638"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4" w:type="pct"/>
            <w:tcBorders>
              <w:top w:val="nil"/>
              <w:left w:val="nil"/>
              <w:bottom w:val="single" w:sz="4" w:space="0" w:color="auto"/>
              <w:right w:val="single" w:sz="4" w:space="0" w:color="auto"/>
            </w:tcBorders>
            <w:shd w:val="clear" w:color="auto" w:fill="auto"/>
            <w:noWrap/>
            <w:vAlign w:val="center"/>
            <w:hideMark/>
          </w:tcPr>
          <w:p w14:paraId="5F1BE624" w14:textId="77777777" w:rsidR="00BD3831" w:rsidRPr="00CD6A7C" w:rsidRDefault="00BD3831" w:rsidP="0031289D">
            <w:pPr>
              <w:jc w:val="center"/>
              <w:rPr>
                <w:rFonts w:ascii="Arabic Typesetting" w:hAnsi="Arabic Typesetting" w:cs="Arabic Typesetting"/>
                <w:sz w:val="28"/>
                <w:szCs w:val="28"/>
              </w:rPr>
            </w:pPr>
          </w:p>
        </w:tc>
        <w:tc>
          <w:tcPr>
            <w:tcW w:w="194" w:type="pct"/>
            <w:tcBorders>
              <w:top w:val="nil"/>
              <w:left w:val="nil"/>
              <w:bottom w:val="single" w:sz="4" w:space="0" w:color="auto"/>
              <w:right w:val="single" w:sz="4" w:space="0" w:color="auto"/>
            </w:tcBorders>
            <w:shd w:val="clear" w:color="auto" w:fill="auto"/>
            <w:noWrap/>
            <w:vAlign w:val="center"/>
            <w:hideMark/>
          </w:tcPr>
          <w:p w14:paraId="4C58E066" w14:textId="77777777" w:rsidR="00BD3831" w:rsidRPr="00CD6A7C" w:rsidRDefault="00BD3831" w:rsidP="0031289D">
            <w:pPr>
              <w:jc w:val="center"/>
              <w:rPr>
                <w:rFonts w:ascii="Arabic Typesetting" w:hAnsi="Arabic Typesetting" w:cs="Arabic Typesetting"/>
                <w:sz w:val="28"/>
                <w:szCs w:val="28"/>
              </w:rPr>
            </w:pPr>
          </w:p>
        </w:tc>
        <w:tc>
          <w:tcPr>
            <w:tcW w:w="194" w:type="pct"/>
            <w:tcBorders>
              <w:top w:val="nil"/>
              <w:left w:val="nil"/>
              <w:bottom w:val="single" w:sz="4" w:space="0" w:color="auto"/>
              <w:right w:val="single" w:sz="8" w:space="0" w:color="auto"/>
            </w:tcBorders>
            <w:shd w:val="clear" w:color="auto" w:fill="auto"/>
            <w:noWrap/>
            <w:vAlign w:val="center"/>
            <w:hideMark/>
          </w:tcPr>
          <w:p w14:paraId="08A5836C"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50AF7BF5"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773348E8"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0580E37F"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8" w:space="0" w:color="auto"/>
            </w:tcBorders>
            <w:shd w:val="clear" w:color="auto" w:fill="auto"/>
            <w:noWrap/>
            <w:vAlign w:val="center"/>
            <w:hideMark/>
          </w:tcPr>
          <w:p w14:paraId="3CA43250"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022B033A"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47278B95"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53229FDB"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8" w:space="0" w:color="auto"/>
            </w:tcBorders>
            <w:shd w:val="clear" w:color="auto" w:fill="auto"/>
            <w:noWrap/>
            <w:vAlign w:val="center"/>
            <w:hideMark/>
          </w:tcPr>
          <w:p w14:paraId="725B8566"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3C198906"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3AAA8578"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3ACF21B7"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8" w:space="0" w:color="auto"/>
            </w:tcBorders>
            <w:shd w:val="clear" w:color="auto" w:fill="auto"/>
            <w:noWrap/>
            <w:vAlign w:val="center"/>
            <w:hideMark/>
          </w:tcPr>
          <w:p w14:paraId="374D2A25" w14:textId="77777777" w:rsidR="00BD3831" w:rsidRPr="00CD6A7C" w:rsidRDefault="00BD3831" w:rsidP="0031289D">
            <w:pPr>
              <w:jc w:val="center"/>
              <w:rPr>
                <w:rFonts w:ascii="Arabic Typesetting" w:hAnsi="Arabic Typesetting" w:cs="Arabic Typesetting"/>
                <w:sz w:val="28"/>
                <w:szCs w:val="28"/>
              </w:rPr>
            </w:pPr>
          </w:p>
        </w:tc>
      </w:tr>
      <w:tr w:rsidR="00BD3831" w:rsidRPr="00CD6A7C" w14:paraId="566F99C0" w14:textId="77777777" w:rsidTr="00DF6715">
        <w:trPr>
          <w:cantSplit/>
          <w:trHeight w:val="615"/>
          <w:jc w:val="center"/>
        </w:trPr>
        <w:tc>
          <w:tcPr>
            <w:tcW w:w="1905" w:type="pct"/>
            <w:tcBorders>
              <w:top w:val="nil"/>
              <w:left w:val="single" w:sz="8" w:space="0" w:color="auto"/>
              <w:bottom w:val="single" w:sz="4" w:space="0" w:color="auto"/>
              <w:right w:val="single" w:sz="8" w:space="0" w:color="auto"/>
            </w:tcBorders>
            <w:shd w:val="clear" w:color="auto" w:fill="auto"/>
            <w:noWrap/>
            <w:vAlign w:val="center"/>
            <w:hideMark/>
          </w:tcPr>
          <w:p w14:paraId="63F4F6FE"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 xml:space="preserve">تحسين تخطيط المساحة في منطقة الوفود </w:t>
            </w:r>
            <w:r w:rsidRPr="00CD6A7C">
              <w:rPr>
                <w:rFonts w:ascii="Arabic Typesetting" w:hAnsi="Arabic Typesetting" w:cs="Arabic Typesetting"/>
                <w:color w:val="000000"/>
                <w:sz w:val="28"/>
                <w:szCs w:val="28"/>
                <w:lang w:bidi="ar-EG"/>
              </w:rPr>
              <w:t>AB 2</w:t>
            </w:r>
            <w:r w:rsidRPr="00CD6A7C">
              <w:rPr>
                <w:rFonts w:ascii="Arabic Typesetting" w:hAnsi="Arabic Typesetting" w:cs="Arabic Typesetting"/>
                <w:color w:val="000000"/>
                <w:sz w:val="28"/>
                <w:szCs w:val="28"/>
                <w:rtl/>
                <w:lang w:bidi="ar-EG"/>
              </w:rPr>
              <w:t xml:space="preserve">/ إنشاء غرفة ضغط في مهبط المصاعد في المنطقة </w:t>
            </w:r>
            <w:r w:rsidRPr="00CD6A7C">
              <w:rPr>
                <w:rFonts w:ascii="Arabic Typesetting" w:hAnsi="Arabic Typesetting" w:cs="Arabic Typesetting"/>
                <w:color w:val="000000"/>
                <w:sz w:val="28"/>
                <w:szCs w:val="28"/>
                <w:lang w:bidi="ar-EG"/>
              </w:rPr>
              <w:t>AB -2</w:t>
            </w:r>
          </w:p>
        </w:tc>
        <w:tc>
          <w:tcPr>
            <w:tcW w:w="194" w:type="pct"/>
            <w:tcBorders>
              <w:top w:val="nil"/>
              <w:left w:val="nil"/>
              <w:bottom w:val="single" w:sz="4" w:space="0" w:color="auto"/>
              <w:right w:val="single" w:sz="4" w:space="0" w:color="auto"/>
            </w:tcBorders>
            <w:shd w:val="clear" w:color="auto" w:fill="auto"/>
            <w:noWrap/>
            <w:vAlign w:val="center"/>
            <w:hideMark/>
          </w:tcPr>
          <w:p w14:paraId="47B45812" w14:textId="77777777" w:rsidR="00BD3831" w:rsidRPr="00CD6A7C" w:rsidRDefault="00BD3831" w:rsidP="0031289D">
            <w:pPr>
              <w:jc w:val="center"/>
              <w:rPr>
                <w:rFonts w:ascii="Arabic Typesetting" w:hAnsi="Arabic Typesetting" w:cs="Arabic Typesetting"/>
                <w:sz w:val="28"/>
                <w:szCs w:val="28"/>
              </w:rPr>
            </w:pPr>
          </w:p>
        </w:tc>
        <w:tc>
          <w:tcPr>
            <w:tcW w:w="194" w:type="pct"/>
            <w:tcBorders>
              <w:top w:val="nil"/>
              <w:left w:val="nil"/>
              <w:bottom w:val="single" w:sz="4" w:space="0" w:color="auto"/>
              <w:right w:val="single" w:sz="4" w:space="0" w:color="auto"/>
            </w:tcBorders>
            <w:shd w:val="clear" w:color="auto" w:fill="auto"/>
            <w:noWrap/>
            <w:vAlign w:val="center"/>
            <w:hideMark/>
          </w:tcPr>
          <w:p w14:paraId="6CA396A8" w14:textId="77777777" w:rsidR="00BD3831" w:rsidRPr="00CD6A7C" w:rsidRDefault="00BD3831" w:rsidP="0031289D">
            <w:pPr>
              <w:jc w:val="center"/>
              <w:rPr>
                <w:rFonts w:ascii="Arabic Typesetting" w:hAnsi="Arabic Typesetting" w:cs="Arabic Typesetting"/>
                <w:sz w:val="28"/>
                <w:szCs w:val="28"/>
              </w:rPr>
            </w:pPr>
          </w:p>
        </w:tc>
        <w:tc>
          <w:tcPr>
            <w:tcW w:w="194" w:type="pct"/>
            <w:tcBorders>
              <w:top w:val="nil"/>
              <w:left w:val="nil"/>
              <w:bottom w:val="single" w:sz="4" w:space="0" w:color="auto"/>
              <w:right w:val="single" w:sz="4" w:space="0" w:color="auto"/>
            </w:tcBorders>
            <w:shd w:val="clear" w:color="auto" w:fill="auto"/>
            <w:noWrap/>
            <w:vAlign w:val="center"/>
            <w:hideMark/>
          </w:tcPr>
          <w:p w14:paraId="5AD7AF5A"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4" w:type="pct"/>
            <w:tcBorders>
              <w:top w:val="nil"/>
              <w:left w:val="nil"/>
              <w:bottom w:val="single" w:sz="4" w:space="0" w:color="auto"/>
              <w:right w:val="single" w:sz="8" w:space="0" w:color="auto"/>
            </w:tcBorders>
            <w:shd w:val="clear" w:color="auto" w:fill="auto"/>
            <w:noWrap/>
            <w:vAlign w:val="center"/>
            <w:hideMark/>
          </w:tcPr>
          <w:p w14:paraId="1F6F0782"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4" w:space="0" w:color="auto"/>
            </w:tcBorders>
            <w:shd w:val="clear" w:color="auto" w:fill="auto"/>
            <w:noWrap/>
            <w:vAlign w:val="center"/>
            <w:hideMark/>
          </w:tcPr>
          <w:p w14:paraId="017FCAB7"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4" w:space="0" w:color="auto"/>
            </w:tcBorders>
            <w:shd w:val="clear" w:color="auto" w:fill="auto"/>
            <w:noWrap/>
            <w:vAlign w:val="center"/>
            <w:hideMark/>
          </w:tcPr>
          <w:p w14:paraId="1E9082B5"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4" w:space="0" w:color="auto"/>
            </w:tcBorders>
            <w:shd w:val="clear" w:color="auto" w:fill="auto"/>
            <w:noWrap/>
            <w:vAlign w:val="center"/>
            <w:hideMark/>
          </w:tcPr>
          <w:p w14:paraId="28F32463"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8" w:space="0" w:color="auto"/>
            </w:tcBorders>
            <w:shd w:val="clear" w:color="auto" w:fill="auto"/>
            <w:noWrap/>
            <w:vAlign w:val="center"/>
            <w:hideMark/>
          </w:tcPr>
          <w:p w14:paraId="12C7A5A6"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102A8B91"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4B38E2A0"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605AE502"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8" w:space="0" w:color="auto"/>
            </w:tcBorders>
            <w:shd w:val="clear" w:color="auto" w:fill="auto"/>
            <w:noWrap/>
            <w:vAlign w:val="center"/>
            <w:hideMark/>
          </w:tcPr>
          <w:p w14:paraId="1A106DD2"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0351E0F1"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772F343F"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68F445A7"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8" w:space="0" w:color="auto"/>
            </w:tcBorders>
            <w:shd w:val="clear" w:color="auto" w:fill="auto"/>
            <w:noWrap/>
            <w:vAlign w:val="center"/>
            <w:hideMark/>
          </w:tcPr>
          <w:p w14:paraId="7E2116AB" w14:textId="77777777" w:rsidR="00BD3831" w:rsidRPr="00CD6A7C" w:rsidRDefault="00BD3831" w:rsidP="0031289D">
            <w:pPr>
              <w:jc w:val="center"/>
              <w:rPr>
                <w:rFonts w:ascii="Arabic Typesetting" w:hAnsi="Arabic Typesetting" w:cs="Arabic Typesetting"/>
                <w:sz w:val="28"/>
                <w:szCs w:val="28"/>
              </w:rPr>
            </w:pPr>
          </w:p>
        </w:tc>
      </w:tr>
      <w:tr w:rsidR="00BD3831" w:rsidRPr="00CD6A7C" w14:paraId="7004D6F2" w14:textId="77777777" w:rsidTr="00DF6715">
        <w:trPr>
          <w:cantSplit/>
          <w:trHeight w:val="615"/>
          <w:jc w:val="center"/>
        </w:trPr>
        <w:tc>
          <w:tcPr>
            <w:tcW w:w="1905" w:type="pct"/>
            <w:tcBorders>
              <w:top w:val="nil"/>
              <w:left w:val="single" w:sz="8" w:space="0" w:color="auto"/>
              <w:bottom w:val="single" w:sz="4" w:space="0" w:color="auto"/>
              <w:right w:val="single" w:sz="8" w:space="0" w:color="auto"/>
            </w:tcBorders>
            <w:shd w:val="clear" w:color="auto" w:fill="auto"/>
            <w:noWrap/>
            <w:vAlign w:val="bottom"/>
            <w:hideMark/>
          </w:tcPr>
          <w:p w14:paraId="126A4FDE"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color w:val="000000"/>
                <w:sz w:val="28"/>
                <w:szCs w:val="28"/>
                <w:rtl/>
                <w:lang w:bidi="ar-EG"/>
              </w:rPr>
              <w:t>المشروع المتعلق بالعزل بين مبنى بودنهاوزن الأول ومبنى أرباد بوكش</w:t>
            </w:r>
          </w:p>
        </w:tc>
        <w:tc>
          <w:tcPr>
            <w:tcW w:w="194" w:type="pct"/>
            <w:tcBorders>
              <w:top w:val="nil"/>
              <w:left w:val="nil"/>
              <w:bottom w:val="single" w:sz="4" w:space="0" w:color="auto"/>
              <w:right w:val="single" w:sz="4" w:space="0" w:color="auto"/>
            </w:tcBorders>
            <w:shd w:val="clear" w:color="auto" w:fill="auto"/>
            <w:noWrap/>
            <w:vAlign w:val="center"/>
            <w:hideMark/>
          </w:tcPr>
          <w:p w14:paraId="1386A775" w14:textId="77777777" w:rsidR="00BD3831" w:rsidRPr="00CD6A7C" w:rsidRDefault="00BD3831" w:rsidP="0031289D">
            <w:pPr>
              <w:jc w:val="center"/>
              <w:rPr>
                <w:rFonts w:ascii="Arabic Typesetting" w:hAnsi="Arabic Typesetting" w:cs="Arabic Typesetting"/>
                <w:sz w:val="28"/>
                <w:szCs w:val="28"/>
              </w:rPr>
            </w:pPr>
          </w:p>
        </w:tc>
        <w:tc>
          <w:tcPr>
            <w:tcW w:w="194" w:type="pct"/>
            <w:tcBorders>
              <w:top w:val="nil"/>
              <w:left w:val="nil"/>
              <w:bottom w:val="single" w:sz="4" w:space="0" w:color="auto"/>
              <w:right w:val="single" w:sz="4" w:space="0" w:color="auto"/>
            </w:tcBorders>
            <w:shd w:val="clear" w:color="auto" w:fill="auto"/>
            <w:noWrap/>
            <w:vAlign w:val="center"/>
            <w:hideMark/>
          </w:tcPr>
          <w:p w14:paraId="2FD2E2A3" w14:textId="77777777" w:rsidR="00BD3831" w:rsidRPr="00CD6A7C" w:rsidRDefault="00BD3831" w:rsidP="0031289D">
            <w:pPr>
              <w:jc w:val="center"/>
              <w:rPr>
                <w:rFonts w:ascii="Arabic Typesetting" w:hAnsi="Arabic Typesetting" w:cs="Arabic Typesetting"/>
                <w:sz w:val="28"/>
                <w:szCs w:val="28"/>
              </w:rPr>
            </w:pPr>
          </w:p>
        </w:tc>
        <w:tc>
          <w:tcPr>
            <w:tcW w:w="194" w:type="pct"/>
            <w:tcBorders>
              <w:top w:val="nil"/>
              <w:left w:val="nil"/>
              <w:bottom w:val="single" w:sz="4" w:space="0" w:color="auto"/>
              <w:right w:val="single" w:sz="4" w:space="0" w:color="auto"/>
            </w:tcBorders>
            <w:shd w:val="clear" w:color="auto" w:fill="auto"/>
            <w:noWrap/>
            <w:vAlign w:val="center"/>
            <w:hideMark/>
          </w:tcPr>
          <w:p w14:paraId="484D445B" w14:textId="77777777" w:rsidR="00BD3831" w:rsidRPr="00CD6A7C" w:rsidRDefault="00BD3831" w:rsidP="0031289D">
            <w:pPr>
              <w:jc w:val="center"/>
              <w:rPr>
                <w:rFonts w:ascii="Arabic Typesetting" w:hAnsi="Arabic Typesetting" w:cs="Arabic Typesetting"/>
                <w:sz w:val="28"/>
                <w:szCs w:val="28"/>
              </w:rPr>
            </w:pPr>
          </w:p>
        </w:tc>
        <w:tc>
          <w:tcPr>
            <w:tcW w:w="194" w:type="pct"/>
            <w:tcBorders>
              <w:top w:val="nil"/>
              <w:left w:val="nil"/>
              <w:bottom w:val="single" w:sz="4" w:space="0" w:color="auto"/>
              <w:right w:val="single" w:sz="8" w:space="0" w:color="auto"/>
            </w:tcBorders>
            <w:shd w:val="clear" w:color="auto" w:fill="auto"/>
            <w:noWrap/>
            <w:vAlign w:val="center"/>
            <w:hideMark/>
          </w:tcPr>
          <w:p w14:paraId="5744394A"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6F56AABD"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6AE11336"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57AAF6E0"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8" w:space="0" w:color="auto"/>
            </w:tcBorders>
            <w:shd w:val="clear" w:color="auto" w:fill="auto"/>
            <w:noWrap/>
            <w:vAlign w:val="center"/>
            <w:hideMark/>
          </w:tcPr>
          <w:p w14:paraId="54CDDDBE"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4" w:space="0" w:color="auto"/>
            </w:tcBorders>
            <w:shd w:val="clear" w:color="auto" w:fill="auto"/>
            <w:noWrap/>
            <w:vAlign w:val="center"/>
            <w:hideMark/>
          </w:tcPr>
          <w:p w14:paraId="78C0B137"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4" w:space="0" w:color="auto"/>
            </w:tcBorders>
            <w:shd w:val="clear" w:color="auto" w:fill="auto"/>
            <w:noWrap/>
            <w:vAlign w:val="center"/>
            <w:hideMark/>
          </w:tcPr>
          <w:p w14:paraId="135B7A1A"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4" w:space="0" w:color="auto"/>
            </w:tcBorders>
            <w:shd w:val="clear" w:color="auto" w:fill="auto"/>
            <w:noWrap/>
            <w:vAlign w:val="center"/>
            <w:hideMark/>
          </w:tcPr>
          <w:p w14:paraId="3767F94F"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8" w:space="0" w:color="auto"/>
            </w:tcBorders>
            <w:shd w:val="clear" w:color="auto" w:fill="auto"/>
            <w:noWrap/>
            <w:vAlign w:val="center"/>
            <w:hideMark/>
          </w:tcPr>
          <w:p w14:paraId="2AD41894"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4" w:space="0" w:color="auto"/>
            </w:tcBorders>
            <w:shd w:val="clear" w:color="auto" w:fill="auto"/>
            <w:noWrap/>
            <w:vAlign w:val="center"/>
            <w:hideMark/>
          </w:tcPr>
          <w:p w14:paraId="25BFA72E" w14:textId="77777777" w:rsidR="00BD3831" w:rsidRPr="00CD6A7C" w:rsidRDefault="00BD3831" w:rsidP="0031289D">
            <w:pPr>
              <w:jc w:val="center"/>
              <w:rPr>
                <w:rFonts w:ascii="Arabic Typesetting" w:hAnsi="Arabic Typesetting" w:cs="Arabic Typesetting"/>
                <w:sz w:val="28"/>
                <w:szCs w:val="28"/>
              </w:rPr>
            </w:pPr>
            <w:r w:rsidRPr="00CD6A7C">
              <w:rPr>
                <w:rFonts w:ascii="Arabic Typesetting" w:hAnsi="Arabic Typesetting" w:cs="Arabic Typesetting"/>
                <w:sz w:val="28"/>
                <w:szCs w:val="28"/>
              </w:rPr>
              <w:t>X</w:t>
            </w:r>
          </w:p>
        </w:tc>
        <w:tc>
          <w:tcPr>
            <w:tcW w:w="193" w:type="pct"/>
            <w:tcBorders>
              <w:top w:val="nil"/>
              <w:left w:val="nil"/>
              <w:bottom w:val="single" w:sz="4" w:space="0" w:color="auto"/>
              <w:right w:val="single" w:sz="4" w:space="0" w:color="auto"/>
            </w:tcBorders>
            <w:shd w:val="clear" w:color="auto" w:fill="auto"/>
            <w:noWrap/>
            <w:vAlign w:val="center"/>
            <w:hideMark/>
          </w:tcPr>
          <w:p w14:paraId="447D5924" w14:textId="77777777" w:rsidR="00BD3831" w:rsidRPr="00CD6A7C" w:rsidRDefault="00BD3831" w:rsidP="0031289D">
            <w:pPr>
              <w:jc w:val="center"/>
              <w:rPr>
                <w:rFonts w:ascii="Arabic Typesetting" w:hAnsi="Arabic Typesetting" w:cs="Arabic Typesetting"/>
                <w:sz w:val="28"/>
                <w:szCs w:val="28"/>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4" w:space="0" w:color="auto"/>
            </w:tcBorders>
            <w:shd w:val="clear" w:color="auto" w:fill="auto"/>
            <w:noWrap/>
            <w:vAlign w:val="center"/>
            <w:hideMark/>
          </w:tcPr>
          <w:p w14:paraId="17D19438"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8" w:space="0" w:color="auto"/>
            </w:tcBorders>
            <w:shd w:val="clear" w:color="auto" w:fill="auto"/>
            <w:noWrap/>
            <w:vAlign w:val="center"/>
            <w:hideMark/>
          </w:tcPr>
          <w:p w14:paraId="5E2FEF86" w14:textId="77777777" w:rsidR="00BD3831" w:rsidRPr="00CD6A7C" w:rsidRDefault="00BD3831" w:rsidP="0031289D">
            <w:pPr>
              <w:jc w:val="center"/>
              <w:rPr>
                <w:rFonts w:ascii="Arabic Typesetting" w:hAnsi="Arabic Typesetting" w:cs="Arabic Typesetting"/>
                <w:sz w:val="28"/>
                <w:szCs w:val="28"/>
              </w:rPr>
            </w:pPr>
          </w:p>
        </w:tc>
      </w:tr>
      <w:tr w:rsidR="00BD3831" w:rsidRPr="00CD6A7C" w14:paraId="30F137C3" w14:textId="77777777" w:rsidTr="00DF6715">
        <w:trPr>
          <w:cantSplit/>
          <w:trHeight w:val="615"/>
          <w:jc w:val="center"/>
        </w:trPr>
        <w:tc>
          <w:tcPr>
            <w:tcW w:w="1905" w:type="pct"/>
            <w:tcBorders>
              <w:top w:val="nil"/>
              <w:left w:val="single" w:sz="8" w:space="0" w:color="auto"/>
              <w:bottom w:val="single" w:sz="4" w:space="0" w:color="auto"/>
              <w:right w:val="single" w:sz="8" w:space="0" w:color="auto"/>
            </w:tcBorders>
            <w:shd w:val="clear" w:color="auto" w:fill="auto"/>
            <w:noWrap/>
            <w:vAlign w:val="bottom"/>
          </w:tcPr>
          <w:p w14:paraId="04B6F801" w14:textId="77777777" w:rsidR="00BD3831" w:rsidRPr="00CD6A7C" w:rsidRDefault="00BD3831" w:rsidP="0031289D">
            <w:pPr>
              <w:bidi/>
              <w:rPr>
                <w:rFonts w:ascii="Arabic Typesetting" w:hAnsi="Arabic Typesetting" w:cs="Arabic Typesetting"/>
                <w:sz w:val="28"/>
                <w:szCs w:val="28"/>
                <w:rtl/>
                <w:lang w:bidi="ar-EG"/>
              </w:rPr>
            </w:pPr>
            <w:r w:rsidRPr="00CD6A7C">
              <w:rPr>
                <w:rFonts w:ascii="Arabic Typesetting" w:hAnsi="Arabic Typesetting" w:cs="Arabic Typesetting"/>
                <w:sz w:val="28"/>
                <w:szCs w:val="28"/>
                <w:rtl/>
                <w:lang w:bidi="ar-EG"/>
              </w:rPr>
              <w:t>المشروع المتعلق بالفصل بين المرأب السفلي لمبنى أرباد بوكش ومبنى أرباد بوكش (عدا الطابق -2)</w:t>
            </w:r>
          </w:p>
        </w:tc>
        <w:tc>
          <w:tcPr>
            <w:tcW w:w="194" w:type="pct"/>
            <w:tcBorders>
              <w:top w:val="nil"/>
              <w:left w:val="nil"/>
              <w:bottom w:val="single" w:sz="4" w:space="0" w:color="auto"/>
              <w:right w:val="single" w:sz="4" w:space="0" w:color="auto"/>
            </w:tcBorders>
            <w:shd w:val="clear" w:color="auto" w:fill="auto"/>
            <w:noWrap/>
            <w:vAlign w:val="center"/>
            <w:hideMark/>
          </w:tcPr>
          <w:p w14:paraId="7A54FC07" w14:textId="77777777" w:rsidR="00BD3831" w:rsidRPr="00CD6A7C" w:rsidRDefault="00BD3831" w:rsidP="0031289D">
            <w:pPr>
              <w:jc w:val="center"/>
              <w:rPr>
                <w:rFonts w:ascii="Arabic Typesetting" w:hAnsi="Arabic Typesetting" w:cs="Arabic Typesetting"/>
                <w:sz w:val="28"/>
                <w:szCs w:val="28"/>
              </w:rPr>
            </w:pPr>
          </w:p>
        </w:tc>
        <w:tc>
          <w:tcPr>
            <w:tcW w:w="194" w:type="pct"/>
            <w:tcBorders>
              <w:top w:val="nil"/>
              <w:left w:val="nil"/>
              <w:bottom w:val="single" w:sz="4" w:space="0" w:color="auto"/>
              <w:right w:val="single" w:sz="4" w:space="0" w:color="auto"/>
            </w:tcBorders>
            <w:shd w:val="clear" w:color="auto" w:fill="auto"/>
            <w:noWrap/>
            <w:vAlign w:val="center"/>
            <w:hideMark/>
          </w:tcPr>
          <w:p w14:paraId="29558531" w14:textId="77777777" w:rsidR="00BD3831" w:rsidRPr="00CD6A7C" w:rsidRDefault="00BD3831" w:rsidP="0031289D">
            <w:pPr>
              <w:jc w:val="center"/>
              <w:rPr>
                <w:rFonts w:ascii="Arabic Typesetting" w:hAnsi="Arabic Typesetting" w:cs="Arabic Typesetting"/>
                <w:sz w:val="28"/>
                <w:szCs w:val="28"/>
              </w:rPr>
            </w:pPr>
          </w:p>
        </w:tc>
        <w:tc>
          <w:tcPr>
            <w:tcW w:w="194" w:type="pct"/>
            <w:tcBorders>
              <w:top w:val="nil"/>
              <w:left w:val="nil"/>
              <w:bottom w:val="single" w:sz="4" w:space="0" w:color="auto"/>
              <w:right w:val="single" w:sz="4" w:space="0" w:color="auto"/>
            </w:tcBorders>
            <w:shd w:val="clear" w:color="auto" w:fill="auto"/>
            <w:noWrap/>
            <w:vAlign w:val="center"/>
            <w:hideMark/>
          </w:tcPr>
          <w:p w14:paraId="50E36AF6" w14:textId="77777777" w:rsidR="00BD3831" w:rsidRPr="00CD6A7C" w:rsidRDefault="00BD3831" w:rsidP="0031289D">
            <w:pPr>
              <w:jc w:val="center"/>
              <w:rPr>
                <w:rFonts w:ascii="Arabic Typesetting" w:hAnsi="Arabic Typesetting" w:cs="Arabic Typesetting"/>
                <w:sz w:val="28"/>
                <w:szCs w:val="28"/>
              </w:rPr>
            </w:pPr>
          </w:p>
        </w:tc>
        <w:tc>
          <w:tcPr>
            <w:tcW w:w="194" w:type="pct"/>
            <w:tcBorders>
              <w:top w:val="nil"/>
              <w:left w:val="nil"/>
              <w:bottom w:val="single" w:sz="4" w:space="0" w:color="auto"/>
              <w:right w:val="single" w:sz="8" w:space="0" w:color="auto"/>
            </w:tcBorders>
            <w:shd w:val="clear" w:color="auto" w:fill="auto"/>
            <w:noWrap/>
            <w:vAlign w:val="center"/>
            <w:hideMark/>
          </w:tcPr>
          <w:p w14:paraId="3F8B481E"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5D5A7E30"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73A7E8BA"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0B9819FD"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8" w:space="0" w:color="auto"/>
            </w:tcBorders>
            <w:shd w:val="clear" w:color="auto" w:fill="auto"/>
            <w:noWrap/>
            <w:vAlign w:val="center"/>
            <w:hideMark/>
          </w:tcPr>
          <w:p w14:paraId="6529C078"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0DC9B954"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0ED7770D"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4" w:space="0" w:color="auto"/>
            </w:tcBorders>
            <w:shd w:val="clear" w:color="auto" w:fill="auto"/>
            <w:noWrap/>
            <w:vAlign w:val="center"/>
            <w:hideMark/>
          </w:tcPr>
          <w:p w14:paraId="7AFEF5A7" w14:textId="77777777" w:rsidR="00BD3831" w:rsidRPr="00CD6A7C" w:rsidRDefault="00BD3831" w:rsidP="0031289D">
            <w:pPr>
              <w:jc w:val="center"/>
              <w:rPr>
                <w:rFonts w:ascii="Arabic Typesetting" w:hAnsi="Arabic Typesetting" w:cs="Arabic Typesetting"/>
                <w:sz w:val="28"/>
                <w:szCs w:val="28"/>
              </w:rPr>
            </w:pPr>
          </w:p>
        </w:tc>
        <w:tc>
          <w:tcPr>
            <w:tcW w:w="193" w:type="pct"/>
            <w:tcBorders>
              <w:top w:val="nil"/>
              <w:left w:val="nil"/>
              <w:bottom w:val="single" w:sz="4" w:space="0" w:color="auto"/>
              <w:right w:val="single" w:sz="8" w:space="0" w:color="auto"/>
            </w:tcBorders>
            <w:shd w:val="clear" w:color="auto" w:fill="auto"/>
            <w:noWrap/>
            <w:vAlign w:val="center"/>
            <w:hideMark/>
          </w:tcPr>
          <w:p w14:paraId="2222EFE5" w14:textId="77777777" w:rsidR="00BD3831" w:rsidRPr="00CD6A7C" w:rsidRDefault="00BD3831" w:rsidP="0031289D">
            <w:pPr>
              <w:jc w:val="center"/>
              <w:rPr>
                <w:rFonts w:ascii="Arabic Typesetting" w:hAnsi="Arabic Typesetting" w:cs="Arabic Typesetting"/>
                <w:sz w:val="28"/>
                <w:szCs w:val="28"/>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4" w:space="0" w:color="auto"/>
            </w:tcBorders>
            <w:shd w:val="clear" w:color="auto" w:fill="auto"/>
            <w:noWrap/>
            <w:vAlign w:val="center"/>
            <w:hideMark/>
          </w:tcPr>
          <w:p w14:paraId="3159F125" w14:textId="77777777" w:rsidR="00BD3831" w:rsidRPr="00CD6A7C" w:rsidRDefault="00BD3831" w:rsidP="0031289D">
            <w:pPr>
              <w:spacing w:before="40" w:after="40"/>
              <w:jc w:val="center"/>
              <w:rPr>
                <w:rFonts w:ascii="Arabic Typesetting" w:hAnsi="Arabic Typesetting" w:cs="Arabic Typesetting"/>
                <w:color w:val="000000"/>
                <w:sz w:val="28"/>
                <w:szCs w:val="28"/>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4" w:space="0" w:color="auto"/>
            </w:tcBorders>
            <w:shd w:val="clear" w:color="auto" w:fill="auto"/>
            <w:noWrap/>
            <w:vAlign w:val="center"/>
            <w:hideMark/>
          </w:tcPr>
          <w:p w14:paraId="6284E0D2"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4" w:space="0" w:color="auto"/>
            </w:tcBorders>
            <w:shd w:val="clear" w:color="auto" w:fill="auto"/>
            <w:noWrap/>
            <w:vAlign w:val="center"/>
            <w:hideMark/>
          </w:tcPr>
          <w:p w14:paraId="1EB1C3F7"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c>
          <w:tcPr>
            <w:tcW w:w="193" w:type="pct"/>
            <w:tcBorders>
              <w:top w:val="nil"/>
              <w:left w:val="nil"/>
              <w:bottom w:val="single" w:sz="4" w:space="0" w:color="auto"/>
              <w:right w:val="single" w:sz="8" w:space="0" w:color="auto"/>
            </w:tcBorders>
            <w:shd w:val="clear" w:color="auto" w:fill="auto"/>
            <w:noWrap/>
            <w:vAlign w:val="center"/>
            <w:hideMark/>
          </w:tcPr>
          <w:p w14:paraId="24B78EE2" w14:textId="77777777" w:rsidR="00BD3831" w:rsidRPr="00CD6A7C" w:rsidRDefault="00BD3831" w:rsidP="0031289D">
            <w:pPr>
              <w:spacing w:before="40" w:after="40"/>
              <w:jc w:val="center"/>
              <w:rPr>
                <w:rFonts w:ascii="Arabic Typesetting" w:hAnsi="Arabic Typesetting" w:cs="Arabic Typesetting"/>
                <w:color w:val="000000"/>
                <w:sz w:val="28"/>
                <w:szCs w:val="28"/>
                <w:lang w:val="fr-CH"/>
              </w:rPr>
            </w:pPr>
            <w:r w:rsidRPr="00CD6A7C">
              <w:rPr>
                <w:rFonts w:ascii="Arabic Typesetting" w:hAnsi="Arabic Typesetting" w:cs="Arabic Typesetting"/>
                <w:color w:val="000000"/>
                <w:sz w:val="28"/>
                <w:szCs w:val="28"/>
                <w:lang w:val="fr-CH"/>
              </w:rPr>
              <w:t>X</w:t>
            </w:r>
          </w:p>
        </w:tc>
      </w:tr>
    </w:tbl>
    <w:p w14:paraId="53486E82" w14:textId="1CC459AE" w:rsidR="00F9431D" w:rsidRDefault="00F9431D" w:rsidP="00F9431D">
      <w:pPr>
        <w:pStyle w:val="EndofDocumentAR"/>
        <w:spacing w:before="600"/>
        <w:rPr>
          <w:rtl/>
        </w:rPr>
      </w:pPr>
      <w:r>
        <w:rPr>
          <w:rFonts w:hint="cs"/>
          <w:rtl/>
        </w:rPr>
        <w:t>[يلي ذلك الملحق الرابع]</w:t>
      </w:r>
    </w:p>
    <w:p w14:paraId="22DF3C61" w14:textId="77777777" w:rsidR="00DF61DF" w:rsidRDefault="00BD3831" w:rsidP="00DF61DF">
      <w:pPr>
        <w:pStyle w:val="NormalParaAR"/>
        <w:rPr>
          <w:sz w:val="34"/>
          <w:szCs w:val="34"/>
          <w:rtl/>
        </w:rPr>
      </w:pPr>
      <w:r>
        <w:rPr>
          <w:sz w:val="34"/>
          <w:szCs w:val="34"/>
          <w:rtl/>
        </w:rPr>
        <w:br w:type="page"/>
      </w:r>
      <w:bookmarkStart w:id="87" w:name="_Toc450635448"/>
      <w:bookmarkStart w:id="88" w:name="_Toc455393417"/>
    </w:p>
    <w:p w14:paraId="6A83B998" w14:textId="691C118E" w:rsidR="00DF61DF" w:rsidRPr="00365D19" w:rsidRDefault="00DF61DF" w:rsidP="00897495">
      <w:pPr>
        <w:pStyle w:val="Heading3"/>
        <w:spacing w:after="360"/>
        <w:ind w:left="0" w:firstLine="0"/>
        <w:rPr>
          <w:rtl/>
        </w:rPr>
      </w:pPr>
      <w:bookmarkStart w:id="89" w:name="_Toc482782793"/>
      <w:r w:rsidRPr="00365D19">
        <w:rPr>
          <w:rFonts w:hint="cs"/>
          <w:rtl/>
        </w:rPr>
        <w:lastRenderedPageBreak/>
        <w:t>الملحق الرابع</w:t>
      </w:r>
      <w:r>
        <w:rPr>
          <w:rtl/>
        </w:rPr>
        <w:tab/>
      </w:r>
      <w:r>
        <w:rPr>
          <w:rFonts w:hint="cs"/>
          <w:rtl/>
        </w:rPr>
        <w:t>قائمة بالمختصرات الواردة في النص الإنكليزي</w:t>
      </w:r>
      <w:bookmarkEnd w:id="87"/>
      <w:bookmarkEnd w:id="88"/>
      <w:bookmarkEnd w:id="89"/>
    </w:p>
    <w:p w14:paraId="3A5E4DC3" w14:textId="77777777" w:rsidR="00DF61DF" w:rsidRPr="00DF61DF" w:rsidRDefault="00DF61DF" w:rsidP="00DF61DF">
      <w:pPr>
        <w:tabs>
          <w:tab w:val="left" w:pos="2127"/>
        </w:tabs>
        <w:spacing w:after="40"/>
        <w:ind w:left="2126" w:right="-476" w:hanging="2126"/>
        <w:rPr>
          <w:rFonts w:asciiTheme="minorBidi" w:eastAsia="SimSun" w:hAnsiTheme="minorBidi" w:cstheme="minorBidi"/>
          <w:b/>
          <w:bCs/>
          <w:sz w:val="20"/>
          <w:lang w:eastAsia="zh-CN"/>
        </w:rPr>
      </w:pPr>
      <w:r w:rsidRPr="00DF61DF">
        <w:rPr>
          <w:rFonts w:asciiTheme="minorBidi" w:eastAsia="SimSun" w:hAnsiTheme="minorBidi" w:cstheme="minorBidi"/>
          <w:b/>
          <w:bCs/>
          <w:sz w:val="20"/>
          <w:lang w:eastAsia="zh-CN"/>
        </w:rPr>
        <w:t>A</w:t>
      </w:r>
      <w:r w:rsidRPr="00DF61DF">
        <w:rPr>
          <w:rFonts w:asciiTheme="minorBidi" w:eastAsia="SimSun" w:hAnsiTheme="minorBidi" w:cstheme="minorBidi"/>
          <w:sz w:val="20"/>
          <w:lang w:eastAsia="zh-CN"/>
        </w:rPr>
        <w:t>BC</w:t>
      </w:r>
      <w:r w:rsidRPr="00DF61DF">
        <w:rPr>
          <w:rFonts w:asciiTheme="minorBidi" w:eastAsia="SimSun" w:hAnsiTheme="minorBidi" w:cstheme="minorBidi"/>
          <w:sz w:val="20"/>
          <w:lang w:eastAsia="zh-CN"/>
        </w:rPr>
        <w:tab/>
        <w:t xml:space="preserve">Accessible Books Consortium </w:t>
      </w:r>
    </w:p>
    <w:p w14:paraId="4ED9F92C" w14:textId="77777777" w:rsidR="00DF61DF" w:rsidRPr="00DF61DF" w:rsidRDefault="00DF61DF" w:rsidP="00DF61DF">
      <w:pPr>
        <w:tabs>
          <w:tab w:val="left" w:pos="2127"/>
        </w:tabs>
        <w:spacing w:after="40"/>
        <w:ind w:left="2126" w:right="-476" w:hanging="2126"/>
        <w:rPr>
          <w:rFonts w:asciiTheme="minorBidi" w:eastAsia="SimSun" w:hAnsiTheme="minorBidi" w:cstheme="minorBidi"/>
          <w:sz w:val="20"/>
          <w:lang w:eastAsia="zh-CN"/>
        </w:rPr>
      </w:pPr>
      <w:r w:rsidRPr="00DF61DF">
        <w:rPr>
          <w:rFonts w:asciiTheme="minorBidi" w:eastAsia="SimSun" w:hAnsiTheme="minorBidi" w:cstheme="minorBidi"/>
          <w:bCs/>
          <w:sz w:val="20"/>
          <w:lang w:eastAsia="zh-CN"/>
        </w:rPr>
        <w:t>A</w:t>
      </w:r>
      <w:r w:rsidRPr="00DF61DF">
        <w:rPr>
          <w:rFonts w:asciiTheme="minorBidi" w:eastAsia="SimSun" w:hAnsiTheme="minorBidi" w:cstheme="minorBidi"/>
          <w:sz w:val="20"/>
          <w:lang w:eastAsia="zh-CN"/>
        </w:rPr>
        <w:t>CE</w:t>
      </w:r>
      <w:r w:rsidRPr="00DF61DF">
        <w:rPr>
          <w:rFonts w:asciiTheme="minorBidi" w:eastAsia="SimSun" w:hAnsiTheme="minorBidi" w:cstheme="minorBidi"/>
          <w:sz w:val="20"/>
          <w:lang w:eastAsia="zh-CN"/>
        </w:rPr>
        <w:tab/>
        <w:t xml:space="preserve">Advisory Committee on Enforcement </w:t>
      </w:r>
    </w:p>
    <w:p w14:paraId="1B38E3D4" w14:textId="77777777" w:rsidR="00DF61DF" w:rsidRPr="00DF61DF" w:rsidRDefault="00DF61DF" w:rsidP="00DF61DF">
      <w:pPr>
        <w:tabs>
          <w:tab w:val="left" w:pos="2127"/>
        </w:tabs>
        <w:spacing w:after="40"/>
        <w:ind w:left="2126" w:hanging="2126"/>
        <w:rPr>
          <w:rFonts w:asciiTheme="minorBidi" w:eastAsia="SimSun" w:hAnsiTheme="minorBidi" w:cstheme="minorBidi"/>
          <w:sz w:val="20"/>
          <w:lang w:eastAsia="zh-CN"/>
        </w:rPr>
      </w:pPr>
      <w:r w:rsidRPr="00DF61DF">
        <w:rPr>
          <w:rFonts w:asciiTheme="minorBidi" w:eastAsia="SimSun" w:hAnsiTheme="minorBidi" w:cstheme="minorBidi"/>
          <w:sz w:val="20"/>
          <w:lang w:eastAsia="zh-CN"/>
        </w:rPr>
        <w:t>ADR</w:t>
      </w:r>
      <w:r w:rsidRPr="00DF61DF">
        <w:rPr>
          <w:rFonts w:asciiTheme="minorBidi" w:eastAsia="SimSun" w:hAnsiTheme="minorBidi" w:cstheme="minorBidi"/>
          <w:sz w:val="20"/>
          <w:lang w:eastAsia="zh-CN"/>
        </w:rPr>
        <w:tab/>
        <w:t>Alternative Dispute Resolution</w:t>
      </w:r>
    </w:p>
    <w:p w14:paraId="7089037F" w14:textId="77777777" w:rsidR="00DF61DF" w:rsidRPr="00DF61DF" w:rsidRDefault="00DF61DF" w:rsidP="00DF61DF">
      <w:pPr>
        <w:tabs>
          <w:tab w:val="left" w:pos="2127"/>
        </w:tabs>
        <w:spacing w:after="40"/>
        <w:ind w:left="2126" w:hanging="2126"/>
        <w:rPr>
          <w:rFonts w:asciiTheme="minorBidi" w:eastAsia="SimSun" w:hAnsiTheme="minorBidi" w:cstheme="minorBidi"/>
          <w:i/>
          <w:sz w:val="20"/>
          <w:lang w:val="en" w:eastAsia="zh-CN"/>
        </w:rPr>
      </w:pPr>
      <w:r w:rsidRPr="00DF61DF">
        <w:rPr>
          <w:rFonts w:asciiTheme="minorBidi" w:eastAsia="SimSun" w:hAnsiTheme="minorBidi" w:cstheme="minorBidi"/>
          <w:sz w:val="20"/>
          <w:lang w:val="en" w:eastAsia="zh-CN"/>
        </w:rPr>
        <w:t>AIMS</w:t>
      </w:r>
      <w:r w:rsidRPr="00DF61DF">
        <w:rPr>
          <w:rFonts w:asciiTheme="minorBidi" w:eastAsia="SimSun" w:hAnsiTheme="minorBidi" w:cstheme="minorBidi"/>
          <w:sz w:val="20"/>
          <w:lang w:val="en" w:eastAsia="zh-CN"/>
        </w:rPr>
        <w:tab/>
      </w:r>
      <w:r w:rsidRPr="00DF61DF">
        <w:rPr>
          <w:rFonts w:asciiTheme="minorBidi" w:eastAsia="SimSun" w:hAnsiTheme="minorBidi" w:cstheme="minorBidi"/>
          <w:i/>
          <w:iCs/>
          <w:sz w:val="20"/>
          <w:lang w:eastAsia="zh-CN"/>
        </w:rPr>
        <w:t>Administration Information Management System</w:t>
      </w:r>
    </w:p>
    <w:p w14:paraId="535803EA" w14:textId="77777777" w:rsidR="00DF61DF" w:rsidRPr="00DF61DF" w:rsidRDefault="00DF61DF" w:rsidP="00DF61DF">
      <w:pPr>
        <w:tabs>
          <w:tab w:val="left" w:pos="2127"/>
        </w:tabs>
        <w:spacing w:after="40"/>
        <w:ind w:left="2126" w:hanging="2126"/>
        <w:rPr>
          <w:rFonts w:asciiTheme="minorBidi" w:eastAsia="SimSun" w:hAnsiTheme="minorBidi" w:cstheme="minorBidi"/>
          <w:sz w:val="20"/>
          <w:lang w:eastAsia="zh-CN"/>
        </w:rPr>
      </w:pPr>
      <w:r w:rsidRPr="00DF61DF">
        <w:rPr>
          <w:rFonts w:asciiTheme="minorBidi" w:eastAsia="SimSun" w:hAnsiTheme="minorBidi" w:cstheme="minorBidi"/>
          <w:sz w:val="20"/>
          <w:lang w:eastAsia="zh-CN"/>
        </w:rPr>
        <w:t>ARDI</w:t>
      </w:r>
      <w:r w:rsidRPr="00DF61DF">
        <w:rPr>
          <w:rFonts w:asciiTheme="minorBidi" w:eastAsia="SimSun" w:hAnsiTheme="minorBidi" w:cstheme="minorBidi"/>
          <w:sz w:val="20"/>
          <w:lang w:eastAsia="zh-CN"/>
        </w:rPr>
        <w:tab/>
      </w:r>
      <w:r w:rsidRPr="00DF61DF">
        <w:rPr>
          <w:rFonts w:asciiTheme="minorBidi" w:eastAsia="SimSun" w:hAnsiTheme="minorBidi" w:cstheme="minorBidi"/>
          <w:bCs/>
          <w:sz w:val="20"/>
          <w:lang w:eastAsia="zh-CN"/>
        </w:rPr>
        <w:t>Access to Research for Development and Innovation</w:t>
      </w:r>
    </w:p>
    <w:p w14:paraId="729B0DAF" w14:textId="77777777" w:rsidR="00DF61DF" w:rsidRPr="00DF61DF" w:rsidRDefault="00DF61DF" w:rsidP="00DF61DF">
      <w:pPr>
        <w:tabs>
          <w:tab w:val="left" w:pos="2127"/>
        </w:tabs>
        <w:spacing w:after="40"/>
        <w:rPr>
          <w:rFonts w:asciiTheme="minorBidi" w:eastAsia="SimSun" w:hAnsiTheme="minorBidi" w:cstheme="minorBidi"/>
          <w:sz w:val="20"/>
          <w:lang w:eastAsia="zh-CN"/>
        </w:rPr>
      </w:pPr>
      <w:r w:rsidRPr="00DF61DF">
        <w:rPr>
          <w:rFonts w:asciiTheme="minorBidi" w:eastAsia="SimSun" w:hAnsiTheme="minorBidi" w:cstheme="minorBidi"/>
          <w:sz w:val="20"/>
          <w:lang w:eastAsia="zh-CN"/>
        </w:rPr>
        <w:t>ASEAN</w:t>
      </w:r>
      <w:r w:rsidRPr="00DF61DF">
        <w:rPr>
          <w:rFonts w:asciiTheme="minorBidi" w:eastAsia="SimSun" w:hAnsiTheme="minorBidi" w:cstheme="minorBidi"/>
          <w:sz w:val="20"/>
          <w:lang w:eastAsia="zh-CN"/>
        </w:rPr>
        <w:tab/>
      </w:r>
      <w:r w:rsidRPr="00DF61DF">
        <w:rPr>
          <w:rFonts w:asciiTheme="minorBidi" w:eastAsia="SimSun" w:hAnsiTheme="minorBidi" w:cstheme="minorBidi"/>
          <w:sz w:val="20"/>
          <w:lang w:val="en" w:eastAsia="zh-CN"/>
        </w:rPr>
        <w:t>Association of South East Asian Nations</w:t>
      </w:r>
    </w:p>
    <w:p w14:paraId="4168DF12" w14:textId="77777777" w:rsidR="00DF61DF" w:rsidRPr="00DF61DF" w:rsidRDefault="00DF61DF" w:rsidP="00DF61DF">
      <w:pPr>
        <w:tabs>
          <w:tab w:val="left" w:pos="2127"/>
        </w:tabs>
        <w:spacing w:after="40"/>
        <w:rPr>
          <w:rFonts w:asciiTheme="minorBidi" w:eastAsia="SimSun" w:hAnsiTheme="minorBidi" w:cstheme="minorBidi"/>
          <w:sz w:val="20"/>
          <w:lang w:eastAsia="zh-CN"/>
        </w:rPr>
      </w:pPr>
      <w:r w:rsidRPr="00DF61DF">
        <w:rPr>
          <w:rFonts w:asciiTheme="minorBidi" w:eastAsia="SimSun" w:hAnsiTheme="minorBidi" w:cstheme="minorBidi"/>
          <w:sz w:val="20"/>
          <w:lang w:eastAsia="zh-CN"/>
        </w:rPr>
        <w:t>ASHI</w:t>
      </w:r>
      <w:r w:rsidRPr="00DF61DF">
        <w:rPr>
          <w:rFonts w:asciiTheme="minorBidi" w:eastAsia="SimSun" w:hAnsiTheme="minorBidi" w:cstheme="minorBidi"/>
          <w:sz w:val="20"/>
          <w:lang w:eastAsia="zh-CN"/>
        </w:rPr>
        <w:tab/>
        <w:t>After-Service Health Insurance</w:t>
      </w:r>
    </w:p>
    <w:p w14:paraId="6F428FFA" w14:textId="77777777" w:rsidR="00DF61DF" w:rsidRPr="00DF61DF" w:rsidRDefault="00DF61DF" w:rsidP="00DF61DF">
      <w:pPr>
        <w:tabs>
          <w:tab w:val="left" w:pos="2127"/>
        </w:tabs>
        <w:spacing w:after="40"/>
        <w:rPr>
          <w:rFonts w:asciiTheme="minorBidi" w:eastAsia="SimSun" w:hAnsiTheme="minorBidi" w:cstheme="minorBidi"/>
          <w:sz w:val="20"/>
          <w:lang w:eastAsia="zh-CN"/>
        </w:rPr>
      </w:pPr>
      <w:r w:rsidRPr="00DF61DF">
        <w:rPr>
          <w:rFonts w:asciiTheme="minorBidi" w:eastAsia="SimSun" w:hAnsiTheme="minorBidi" w:cstheme="minorBidi"/>
          <w:sz w:val="20"/>
          <w:lang w:eastAsia="zh-CN"/>
        </w:rPr>
        <w:t>ASPI</w:t>
      </w:r>
      <w:r w:rsidRPr="00DF61DF">
        <w:rPr>
          <w:rFonts w:asciiTheme="minorBidi" w:eastAsia="SimSun" w:hAnsiTheme="minorBidi" w:cstheme="minorBidi"/>
          <w:sz w:val="20"/>
          <w:lang w:eastAsia="zh-CN"/>
        </w:rPr>
        <w:tab/>
        <w:t>Access to Specialized Patent Information</w:t>
      </w:r>
    </w:p>
    <w:p w14:paraId="679A4CE0" w14:textId="77777777" w:rsidR="00DF61DF" w:rsidRPr="00DF61DF" w:rsidRDefault="00DF61DF" w:rsidP="00DF61DF">
      <w:pPr>
        <w:tabs>
          <w:tab w:val="left" w:pos="2127"/>
        </w:tabs>
        <w:spacing w:after="40"/>
        <w:rPr>
          <w:rFonts w:asciiTheme="minorBidi" w:eastAsia="SimSun" w:hAnsiTheme="minorBidi" w:cstheme="minorBidi"/>
          <w:sz w:val="20"/>
          <w:lang w:eastAsia="zh-CN"/>
        </w:rPr>
      </w:pPr>
      <w:r w:rsidRPr="00DF61DF">
        <w:rPr>
          <w:rFonts w:asciiTheme="minorBidi" w:eastAsia="SimSun" w:hAnsiTheme="minorBidi" w:cstheme="minorBidi"/>
          <w:sz w:val="20"/>
          <w:lang w:eastAsia="zh-CN"/>
        </w:rPr>
        <w:t>AUTM</w:t>
      </w:r>
      <w:r w:rsidRPr="00DF61DF">
        <w:rPr>
          <w:rFonts w:asciiTheme="minorBidi" w:eastAsia="SimSun" w:hAnsiTheme="minorBidi" w:cstheme="minorBidi"/>
          <w:sz w:val="20"/>
          <w:lang w:eastAsia="zh-CN"/>
        </w:rPr>
        <w:tab/>
        <w:t>Association of University Technology Managers</w:t>
      </w:r>
    </w:p>
    <w:p w14:paraId="25840C29" w14:textId="77777777" w:rsidR="00DF61DF" w:rsidRPr="00DF61DF" w:rsidRDefault="00DF61DF" w:rsidP="00DF61DF">
      <w:pPr>
        <w:tabs>
          <w:tab w:val="left" w:pos="2127"/>
        </w:tabs>
        <w:ind w:left="2126" w:hanging="2126"/>
        <w:rPr>
          <w:rFonts w:asciiTheme="minorBidi" w:eastAsia="SimSun" w:hAnsiTheme="minorBidi" w:cstheme="minorBidi"/>
          <w:sz w:val="20"/>
          <w:lang w:eastAsia="zh-CN"/>
        </w:rPr>
      </w:pPr>
      <w:r w:rsidRPr="00DF61DF">
        <w:rPr>
          <w:rFonts w:asciiTheme="minorBidi" w:eastAsia="SimSun" w:hAnsiTheme="minorBidi" w:cstheme="minorBidi"/>
          <w:sz w:val="20"/>
          <w:lang w:eastAsia="zh-CN"/>
        </w:rPr>
        <w:t>AWGIPC</w:t>
      </w:r>
      <w:r w:rsidRPr="00DF61DF">
        <w:rPr>
          <w:rFonts w:asciiTheme="minorBidi" w:eastAsia="SimSun" w:hAnsiTheme="minorBidi" w:cstheme="minorBidi"/>
          <w:sz w:val="20"/>
          <w:lang w:eastAsia="zh-CN"/>
        </w:rPr>
        <w:tab/>
        <w:t>ASEAN Working Group on Intellectual Property Cooperation</w:t>
      </w:r>
    </w:p>
    <w:p w14:paraId="55D3521E"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27021ED8" w14:textId="77777777" w:rsidR="00DF61DF" w:rsidRPr="00DF61DF" w:rsidRDefault="00DF61DF" w:rsidP="00DF61DF">
      <w:pPr>
        <w:tabs>
          <w:tab w:val="left" w:pos="2127"/>
        </w:tabs>
        <w:ind w:left="2126" w:hanging="2126"/>
        <w:rPr>
          <w:rFonts w:asciiTheme="minorBidi" w:eastAsia="SimSun" w:hAnsiTheme="minorBidi" w:cstheme="minorBidi"/>
          <w:sz w:val="20"/>
          <w:lang w:eastAsia="zh-CN"/>
        </w:rPr>
      </w:pPr>
      <w:r w:rsidRPr="00DF61DF">
        <w:rPr>
          <w:rFonts w:asciiTheme="minorBidi" w:eastAsia="SimSun" w:hAnsiTheme="minorBidi" w:cstheme="minorBidi"/>
          <w:b/>
          <w:sz w:val="20"/>
          <w:lang w:eastAsia="zh-CN"/>
        </w:rPr>
        <w:t>B</w:t>
      </w:r>
      <w:r w:rsidRPr="00DF61DF">
        <w:rPr>
          <w:rFonts w:asciiTheme="minorBidi" w:eastAsia="SimSun" w:hAnsiTheme="minorBidi" w:cstheme="minorBidi"/>
          <w:sz w:val="20"/>
          <w:lang w:eastAsia="zh-CN"/>
        </w:rPr>
        <w:t>OIP</w:t>
      </w:r>
      <w:r w:rsidRPr="00DF61DF">
        <w:rPr>
          <w:rFonts w:asciiTheme="minorBidi" w:eastAsia="SimSun" w:hAnsiTheme="minorBidi" w:cstheme="minorBidi"/>
          <w:sz w:val="20"/>
          <w:lang w:eastAsia="zh-CN"/>
        </w:rPr>
        <w:tab/>
        <w:t>Benelux Organization for Intellectual Property</w:t>
      </w:r>
    </w:p>
    <w:p w14:paraId="1766050F"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3FDCD9F4"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bCs/>
          <w:sz w:val="20"/>
          <w:lang w:eastAsia="zh-CN"/>
        </w:rPr>
        <w:t>C</w:t>
      </w:r>
      <w:r w:rsidRPr="00DF61DF">
        <w:rPr>
          <w:rFonts w:asciiTheme="minorBidi" w:eastAsia="SimSun" w:hAnsiTheme="minorBidi" w:cstheme="minorBidi"/>
          <w:sz w:val="20"/>
          <w:lang w:eastAsia="zh-CN"/>
        </w:rPr>
        <w:t>ASE</w:t>
      </w:r>
      <w:r w:rsidRPr="00DF61DF">
        <w:rPr>
          <w:rFonts w:asciiTheme="minorBidi" w:eastAsia="SimSun" w:hAnsiTheme="minorBidi" w:cstheme="minorBidi"/>
          <w:sz w:val="20"/>
          <w:lang w:eastAsia="zh-CN"/>
        </w:rPr>
        <w:tab/>
        <w:t>Centralized Access to Search and Examination Results</w:t>
      </w:r>
    </w:p>
    <w:p w14:paraId="16A246C0"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ccTLDs</w:t>
      </w:r>
      <w:r w:rsidRPr="00DF61DF">
        <w:rPr>
          <w:rFonts w:asciiTheme="minorBidi" w:eastAsia="SimSun" w:hAnsiTheme="minorBidi" w:cstheme="minorBidi"/>
          <w:sz w:val="20"/>
          <w:lang w:eastAsia="zh-CN"/>
        </w:rPr>
        <w:tab/>
        <w:t>country code Top-Level Domain</w:t>
      </w:r>
    </w:p>
    <w:p w14:paraId="6A80F6CF" w14:textId="77777777" w:rsidR="00DF61DF" w:rsidRPr="00DF61DF" w:rsidRDefault="00DF61DF" w:rsidP="00DF61DF">
      <w:pPr>
        <w:tabs>
          <w:tab w:val="left" w:pos="2127"/>
        </w:tabs>
        <w:spacing w:after="40"/>
        <w:ind w:left="2127" w:right="896" w:hanging="2127"/>
        <w:rPr>
          <w:rFonts w:asciiTheme="minorBidi" w:hAnsiTheme="minorBidi" w:cstheme="minorBidi"/>
          <w:sz w:val="20"/>
        </w:rPr>
      </w:pPr>
      <w:r w:rsidRPr="00DF61DF">
        <w:rPr>
          <w:rFonts w:asciiTheme="minorBidi" w:hAnsiTheme="minorBidi" w:cstheme="minorBidi"/>
          <w:sz w:val="20"/>
        </w:rPr>
        <w:t>CDIP</w:t>
      </w:r>
      <w:r w:rsidRPr="00DF61DF">
        <w:rPr>
          <w:rFonts w:asciiTheme="minorBidi" w:hAnsiTheme="minorBidi" w:cstheme="minorBidi"/>
          <w:sz w:val="20"/>
        </w:rPr>
        <w:tab/>
        <w:t>Conference on Development and Intellectual Property</w:t>
      </w:r>
    </w:p>
    <w:p w14:paraId="708952D7" w14:textId="77777777" w:rsidR="00DF61DF" w:rsidRPr="00DF61DF" w:rsidRDefault="00DF61DF" w:rsidP="00DF61DF">
      <w:pPr>
        <w:tabs>
          <w:tab w:val="left" w:pos="2127"/>
        </w:tabs>
        <w:spacing w:after="40"/>
        <w:ind w:left="2127" w:right="896" w:hanging="2127"/>
        <w:rPr>
          <w:rFonts w:asciiTheme="minorBidi" w:hAnsiTheme="minorBidi" w:cstheme="minorBidi"/>
          <w:sz w:val="20"/>
        </w:rPr>
      </w:pPr>
      <w:r w:rsidRPr="00DF61DF">
        <w:rPr>
          <w:rFonts w:asciiTheme="minorBidi" w:hAnsiTheme="minorBidi" w:cstheme="minorBidi"/>
          <w:sz w:val="20"/>
        </w:rPr>
        <w:t>CIS</w:t>
      </w:r>
      <w:r w:rsidRPr="00DF61DF">
        <w:rPr>
          <w:rFonts w:asciiTheme="minorBidi" w:hAnsiTheme="minorBidi" w:cstheme="minorBidi"/>
          <w:sz w:val="20"/>
        </w:rPr>
        <w:tab/>
        <w:t>Commonwealth of Independent States</w:t>
      </w:r>
    </w:p>
    <w:p w14:paraId="5F3BF4AB"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Cs/>
          <w:sz w:val="20"/>
          <w:lang w:eastAsia="zh-CN"/>
        </w:rPr>
        <w:t>CLIR</w:t>
      </w:r>
      <w:r w:rsidRPr="00DF61DF">
        <w:rPr>
          <w:rFonts w:asciiTheme="minorBidi" w:eastAsia="SimSun" w:hAnsiTheme="minorBidi" w:cstheme="minorBidi"/>
          <w:bCs/>
          <w:sz w:val="20"/>
          <w:lang w:eastAsia="zh-CN"/>
        </w:rPr>
        <w:tab/>
        <w:t>Cross Lingual Information Retrieval</w:t>
      </w:r>
    </w:p>
    <w:p w14:paraId="1A2639FC"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CMG</w:t>
      </w:r>
      <w:r w:rsidRPr="00DF61DF">
        <w:rPr>
          <w:rFonts w:asciiTheme="minorBidi" w:eastAsia="SimSun" w:hAnsiTheme="minorBidi" w:cstheme="minorBidi"/>
          <w:sz w:val="20"/>
          <w:lang w:eastAsia="zh-CN"/>
        </w:rPr>
        <w:tab/>
        <w:t>Crisis Management Group</w:t>
      </w:r>
    </w:p>
    <w:p w14:paraId="478B47AC"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CMOs</w:t>
      </w:r>
      <w:r w:rsidRPr="00DF61DF">
        <w:rPr>
          <w:rFonts w:asciiTheme="minorBidi" w:eastAsia="SimSun" w:hAnsiTheme="minorBidi" w:cstheme="minorBidi"/>
          <w:sz w:val="20"/>
          <w:lang w:eastAsia="zh-CN"/>
        </w:rPr>
        <w:tab/>
        <w:t>Collective Management Organizations</w:t>
      </w:r>
    </w:p>
    <w:p w14:paraId="45496421" w14:textId="77777777" w:rsidR="00DF61DF" w:rsidRPr="00DF61DF" w:rsidRDefault="00DF61DF" w:rsidP="00DF61DF">
      <w:pPr>
        <w:tabs>
          <w:tab w:val="left" w:pos="2127"/>
        </w:tabs>
        <w:spacing w:after="40"/>
        <w:rPr>
          <w:rFonts w:asciiTheme="minorBidi" w:eastAsia="SimSun" w:hAnsiTheme="minorBidi" w:cstheme="minorBidi"/>
          <w:sz w:val="20"/>
          <w:lang w:eastAsia="zh-CN"/>
        </w:rPr>
      </w:pPr>
      <w:r w:rsidRPr="00DF61DF">
        <w:rPr>
          <w:rFonts w:asciiTheme="minorBidi" w:eastAsia="SimSun" w:hAnsiTheme="minorBidi" w:cstheme="minorBidi"/>
          <w:b/>
          <w:bCs/>
          <w:sz w:val="20"/>
          <w:lang w:eastAsia="zh-CN"/>
        </w:rPr>
        <w:t>D</w:t>
      </w:r>
      <w:r w:rsidRPr="00DF61DF">
        <w:rPr>
          <w:rFonts w:asciiTheme="minorBidi" w:eastAsia="SimSun" w:hAnsiTheme="minorBidi" w:cstheme="minorBidi"/>
          <w:sz w:val="20"/>
          <w:lang w:eastAsia="zh-CN"/>
        </w:rPr>
        <w:t>A</w:t>
      </w:r>
      <w:r w:rsidRPr="00DF61DF">
        <w:rPr>
          <w:rFonts w:asciiTheme="minorBidi" w:eastAsia="SimSun" w:hAnsiTheme="minorBidi" w:cstheme="minorBidi"/>
          <w:sz w:val="20"/>
          <w:lang w:eastAsia="zh-CN"/>
        </w:rPr>
        <w:tab/>
        <w:t>Development Agenda</w:t>
      </w:r>
    </w:p>
    <w:p w14:paraId="2B932D3E" w14:textId="77777777" w:rsidR="00DF61DF" w:rsidRPr="00DF61DF" w:rsidRDefault="00DF61DF" w:rsidP="00DF61DF">
      <w:pPr>
        <w:tabs>
          <w:tab w:val="left" w:pos="2127"/>
          <w:tab w:val="left" w:pos="2268"/>
        </w:tabs>
        <w:spacing w:after="40"/>
        <w:rPr>
          <w:rFonts w:asciiTheme="minorBidi" w:eastAsia="SimSun" w:hAnsiTheme="minorBidi" w:cstheme="minorBidi"/>
          <w:sz w:val="20"/>
          <w:lang w:eastAsia="zh-CN"/>
        </w:rPr>
      </w:pPr>
      <w:r w:rsidRPr="00DF61DF">
        <w:rPr>
          <w:rFonts w:asciiTheme="minorBidi" w:eastAsia="SimSun" w:hAnsiTheme="minorBidi" w:cstheme="minorBidi"/>
          <w:sz w:val="20"/>
          <w:lang w:eastAsia="zh-CN"/>
        </w:rPr>
        <w:t>DAS</w:t>
      </w:r>
      <w:r w:rsidRPr="00DF61DF">
        <w:rPr>
          <w:rFonts w:asciiTheme="minorBidi" w:eastAsia="SimSun" w:hAnsiTheme="minorBidi" w:cstheme="minorBidi"/>
          <w:sz w:val="20"/>
          <w:lang w:eastAsia="zh-CN"/>
        </w:rPr>
        <w:tab/>
        <w:t>Digital Access Service for Priority Documents</w:t>
      </w:r>
    </w:p>
    <w:p w14:paraId="483B628A" w14:textId="77777777" w:rsidR="00DF61DF" w:rsidRPr="00DF61DF" w:rsidRDefault="00DF61DF" w:rsidP="00DF61DF">
      <w:pPr>
        <w:tabs>
          <w:tab w:val="left" w:pos="2127"/>
        </w:tabs>
        <w:spacing w:after="40"/>
        <w:rPr>
          <w:rFonts w:asciiTheme="minorBidi" w:eastAsia="SimSun" w:hAnsiTheme="minorBidi" w:cstheme="minorBidi"/>
          <w:sz w:val="20"/>
          <w:lang w:eastAsia="zh-CN"/>
        </w:rPr>
      </w:pPr>
      <w:r w:rsidRPr="00DF61DF">
        <w:rPr>
          <w:rFonts w:asciiTheme="minorBidi" w:eastAsia="SimSun" w:hAnsiTheme="minorBidi" w:cstheme="minorBidi"/>
          <w:sz w:val="20"/>
          <w:lang w:eastAsia="zh-CN"/>
        </w:rPr>
        <w:t>DNS</w:t>
      </w:r>
      <w:r w:rsidRPr="00DF61DF">
        <w:rPr>
          <w:rFonts w:asciiTheme="minorBidi" w:eastAsia="SimSun" w:hAnsiTheme="minorBidi" w:cstheme="minorBidi"/>
          <w:sz w:val="20"/>
          <w:lang w:eastAsia="zh-CN"/>
        </w:rPr>
        <w:tab/>
        <w:t>Domain Name System</w:t>
      </w:r>
    </w:p>
    <w:p w14:paraId="294018C2"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1B028F0A"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sz w:val="20"/>
          <w:lang w:eastAsia="zh-CN"/>
        </w:rPr>
        <w:t>E</w:t>
      </w:r>
      <w:r w:rsidRPr="00DF61DF">
        <w:rPr>
          <w:rFonts w:asciiTheme="minorBidi" w:eastAsia="SimSun" w:hAnsiTheme="minorBidi" w:cstheme="minorBidi"/>
          <w:sz w:val="20"/>
          <w:lang w:eastAsia="zh-CN"/>
        </w:rPr>
        <w:t>CM</w:t>
      </w:r>
      <w:r w:rsidRPr="00DF61DF">
        <w:rPr>
          <w:rFonts w:asciiTheme="minorBidi" w:eastAsia="SimSun" w:hAnsiTheme="minorBidi" w:cstheme="minorBidi"/>
          <w:sz w:val="20"/>
          <w:lang w:eastAsia="zh-CN"/>
        </w:rPr>
        <w:tab/>
        <w:t>Enterprise Content management</w:t>
      </w:r>
    </w:p>
    <w:p w14:paraId="4C362DD3"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EDMS</w:t>
      </w:r>
      <w:r w:rsidRPr="00DF61DF">
        <w:rPr>
          <w:rFonts w:asciiTheme="minorBidi" w:eastAsia="SimSun" w:hAnsiTheme="minorBidi" w:cstheme="minorBidi"/>
          <w:sz w:val="20"/>
          <w:lang w:eastAsia="zh-CN"/>
        </w:rPr>
        <w:tab/>
        <w:t>Electronic Document Management System</w:t>
      </w:r>
    </w:p>
    <w:p w14:paraId="5588E486"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EEC</w:t>
      </w:r>
      <w:r w:rsidRPr="00DF61DF">
        <w:rPr>
          <w:rFonts w:asciiTheme="minorBidi" w:eastAsia="SimSun" w:hAnsiTheme="minorBidi" w:cstheme="minorBidi"/>
          <w:sz w:val="20"/>
          <w:lang w:eastAsia="zh-CN"/>
        </w:rPr>
        <w:tab/>
        <w:t>Eurasian Economic Commission</w:t>
      </w:r>
    </w:p>
    <w:p w14:paraId="7FB3BF98"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EPM</w:t>
      </w:r>
      <w:r w:rsidRPr="00DF61DF">
        <w:rPr>
          <w:rFonts w:asciiTheme="minorBidi" w:eastAsia="SimSun" w:hAnsiTheme="minorBidi" w:cstheme="minorBidi"/>
          <w:sz w:val="20"/>
          <w:lang w:eastAsia="zh-CN"/>
        </w:rPr>
        <w:tab/>
        <w:t>Enterprise Performance Management</w:t>
      </w:r>
    </w:p>
    <w:p w14:paraId="2DCA1F09"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EPO</w:t>
      </w:r>
      <w:r w:rsidRPr="00DF61DF">
        <w:rPr>
          <w:rFonts w:asciiTheme="minorBidi" w:eastAsia="SimSun" w:hAnsiTheme="minorBidi" w:cstheme="minorBidi"/>
          <w:sz w:val="20"/>
          <w:lang w:eastAsia="zh-CN"/>
        </w:rPr>
        <w:tab/>
        <w:t>European Patent Office</w:t>
      </w:r>
    </w:p>
    <w:p w14:paraId="3E1556A4" w14:textId="77777777" w:rsidR="00DF61DF" w:rsidRPr="00DF61DF" w:rsidRDefault="00DF61DF" w:rsidP="00DF61DF">
      <w:pPr>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ERP</w:t>
      </w:r>
      <w:r w:rsidRPr="00DF61DF">
        <w:rPr>
          <w:rFonts w:asciiTheme="minorBidi" w:eastAsia="SimSun" w:hAnsiTheme="minorBidi" w:cstheme="minorBidi"/>
          <w:sz w:val="20"/>
          <w:lang w:eastAsia="zh-CN"/>
        </w:rPr>
        <w:tab/>
        <w:t>Enterprise Resource Planning</w:t>
      </w:r>
    </w:p>
    <w:p w14:paraId="53A99829" w14:textId="77777777" w:rsidR="00DF61DF" w:rsidRPr="00DF61DF" w:rsidRDefault="00DF61DF" w:rsidP="00DF61DF">
      <w:pPr>
        <w:tabs>
          <w:tab w:val="left" w:pos="2127"/>
        </w:tabs>
        <w:spacing w:after="40"/>
        <w:ind w:left="2127" w:right="-759"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EU</w:t>
      </w:r>
      <w:r w:rsidRPr="00DF61DF">
        <w:rPr>
          <w:rFonts w:asciiTheme="minorBidi" w:eastAsia="SimSun" w:hAnsiTheme="minorBidi" w:cstheme="minorBidi"/>
          <w:sz w:val="20"/>
          <w:lang w:eastAsia="zh-CN"/>
        </w:rPr>
        <w:tab/>
        <w:t>European Union</w:t>
      </w:r>
    </w:p>
    <w:p w14:paraId="2C3F3AC8"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10BED4FD" w14:textId="77777777" w:rsidR="00DF61DF" w:rsidRPr="00DF61DF" w:rsidRDefault="00DF61DF" w:rsidP="00DF61DF">
      <w:pPr>
        <w:tabs>
          <w:tab w:val="left" w:pos="2127"/>
        </w:tabs>
        <w:spacing w:after="40"/>
        <w:ind w:left="2127" w:right="-759" w:hanging="2127"/>
        <w:rPr>
          <w:rFonts w:asciiTheme="minorBidi" w:eastAsia="SimSun" w:hAnsiTheme="minorBidi" w:cstheme="minorBidi"/>
          <w:sz w:val="20"/>
          <w:lang w:eastAsia="zh-CN"/>
        </w:rPr>
      </w:pPr>
      <w:r w:rsidRPr="00DF61DF">
        <w:rPr>
          <w:rFonts w:asciiTheme="minorBidi" w:eastAsia="SimSun" w:hAnsiTheme="minorBidi" w:cstheme="minorBidi"/>
          <w:b/>
          <w:bCs/>
          <w:sz w:val="20"/>
          <w:lang w:eastAsia="zh-CN"/>
        </w:rPr>
        <w:t>F</w:t>
      </w:r>
      <w:r w:rsidRPr="00DF61DF">
        <w:rPr>
          <w:rFonts w:asciiTheme="minorBidi" w:eastAsia="SimSun" w:hAnsiTheme="minorBidi" w:cstheme="minorBidi"/>
          <w:sz w:val="20"/>
          <w:lang w:eastAsia="zh-CN"/>
        </w:rPr>
        <w:t>AO</w:t>
      </w:r>
      <w:r w:rsidRPr="00DF61DF">
        <w:rPr>
          <w:rFonts w:asciiTheme="minorBidi" w:eastAsia="SimSun" w:hAnsiTheme="minorBidi" w:cstheme="minorBidi"/>
          <w:sz w:val="20"/>
          <w:lang w:eastAsia="zh-CN"/>
        </w:rPr>
        <w:tab/>
        <w:t xml:space="preserve">Food and Agricultural Organization </w:t>
      </w:r>
    </w:p>
    <w:p w14:paraId="03FDA895"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FIT</w:t>
      </w:r>
      <w:r w:rsidRPr="00DF61DF">
        <w:rPr>
          <w:rFonts w:asciiTheme="minorBidi" w:eastAsia="SimSun" w:hAnsiTheme="minorBidi" w:cstheme="minorBidi"/>
          <w:sz w:val="20"/>
          <w:lang w:eastAsia="zh-CN"/>
        </w:rPr>
        <w:tab/>
        <w:t>Fund-in-Trust</w:t>
      </w:r>
    </w:p>
    <w:p w14:paraId="35391839"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6A63101B"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sz w:val="20"/>
          <w:lang w:eastAsia="zh-CN"/>
        </w:rPr>
        <w:t>G</w:t>
      </w:r>
      <w:r w:rsidRPr="00DF61DF">
        <w:rPr>
          <w:rFonts w:asciiTheme="minorBidi" w:eastAsia="SimSun" w:hAnsiTheme="minorBidi" w:cstheme="minorBidi"/>
          <w:sz w:val="20"/>
          <w:lang w:eastAsia="zh-CN"/>
        </w:rPr>
        <w:t>R</w:t>
      </w:r>
      <w:r w:rsidRPr="00DF61DF">
        <w:rPr>
          <w:rFonts w:asciiTheme="minorBidi" w:eastAsia="SimSun" w:hAnsiTheme="minorBidi" w:cstheme="minorBidi"/>
          <w:sz w:val="20"/>
          <w:lang w:eastAsia="zh-CN"/>
        </w:rPr>
        <w:tab/>
        <w:t>Genetic Resources</w:t>
      </w:r>
    </w:p>
    <w:p w14:paraId="756DCDFF"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gTLDs</w:t>
      </w:r>
      <w:r w:rsidRPr="00DF61DF">
        <w:rPr>
          <w:rFonts w:asciiTheme="minorBidi" w:eastAsia="SimSun" w:hAnsiTheme="minorBidi" w:cstheme="minorBidi"/>
          <w:sz w:val="20"/>
          <w:lang w:eastAsia="zh-CN"/>
        </w:rPr>
        <w:tab/>
        <w:t>generic Top-Level Domains</w:t>
      </w:r>
    </w:p>
    <w:p w14:paraId="1084A8F3"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4C5228C0"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sz w:val="20"/>
          <w:lang w:eastAsia="zh-CN"/>
        </w:rPr>
        <w:t>H</w:t>
      </w:r>
      <w:r w:rsidRPr="00DF61DF">
        <w:rPr>
          <w:rFonts w:asciiTheme="minorBidi" w:eastAsia="SimSun" w:hAnsiTheme="minorBidi" w:cstheme="minorBidi"/>
          <w:sz w:val="20"/>
          <w:lang w:eastAsia="zh-CN"/>
        </w:rPr>
        <w:t>R</w:t>
      </w:r>
      <w:r w:rsidRPr="00DF61DF">
        <w:rPr>
          <w:rFonts w:asciiTheme="minorBidi" w:eastAsia="SimSun" w:hAnsiTheme="minorBidi" w:cstheme="minorBidi"/>
          <w:sz w:val="20"/>
          <w:lang w:eastAsia="zh-CN"/>
        </w:rPr>
        <w:tab/>
        <w:t>Human Resources</w:t>
      </w:r>
    </w:p>
    <w:p w14:paraId="06F2299E"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HRMD</w:t>
      </w:r>
      <w:r w:rsidRPr="00DF61DF">
        <w:rPr>
          <w:rFonts w:asciiTheme="minorBidi" w:eastAsia="SimSun" w:hAnsiTheme="minorBidi" w:cstheme="minorBidi"/>
          <w:sz w:val="20"/>
          <w:lang w:eastAsia="zh-CN"/>
        </w:rPr>
        <w:tab/>
        <w:t>Human Resources Management Department</w:t>
      </w:r>
    </w:p>
    <w:p w14:paraId="13333A0A"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2F46487B"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bCs/>
          <w:sz w:val="20"/>
          <w:lang w:eastAsia="zh-CN"/>
        </w:rPr>
        <w:t>I</w:t>
      </w:r>
      <w:r w:rsidRPr="00DF61DF">
        <w:rPr>
          <w:rFonts w:asciiTheme="minorBidi" w:eastAsia="SimSun" w:hAnsiTheme="minorBidi" w:cstheme="minorBidi"/>
          <w:sz w:val="20"/>
          <w:lang w:eastAsia="zh-CN"/>
        </w:rPr>
        <w:t>AOC</w:t>
      </w:r>
      <w:r w:rsidRPr="00DF61DF">
        <w:rPr>
          <w:rFonts w:asciiTheme="minorBidi" w:eastAsia="SimSun" w:hAnsiTheme="minorBidi" w:cstheme="minorBidi"/>
          <w:sz w:val="20"/>
          <w:lang w:eastAsia="zh-CN"/>
        </w:rPr>
        <w:tab/>
        <w:t>Independent Advisory and Oversight Committee</w:t>
      </w:r>
    </w:p>
    <w:p w14:paraId="36576F06" w14:textId="77777777" w:rsidR="00DF61DF" w:rsidRPr="00DF61DF" w:rsidRDefault="00DF61DF" w:rsidP="00DF61DF">
      <w:pPr>
        <w:tabs>
          <w:tab w:val="left" w:pos="2127"/>
        </w:tabs>
        <w:rPr>
          <w:rFonts w:asciiTheme="minorBidi" w:eastAsia="SimSun" w:hAnsiTheme="minorBidi" w:cstheme="minorBidi"/>
          <w:sz w:val="20"/>
          <w:lang w:eastAsia="zh-CN"/>
        </w:rPr>
      </w:pPr>
      <w:r w:rsidRPr="00DF61DF">
        <w:rPr>
          <w:rFonts w:asciiTheme="minorBidi" w:eastAsia="SimSun" w:hAnsiTheme="minorBidi" w:cstheme="minorBidi"/>
          <w:sz w:val="20"/>
          <w:lang w:eastAsia="zh-CN"/>
        </w:rPr>
        <w:t>IB</w:t>
      </w:r>
      <w:r w:rsidRPr="00DF61DF">
        <w:rPr>
          <w:rFonts w:asciiTheme="minorBidi" w:eastAsia="SimSun" w:hAnsiTheme="minorBidi" w:cstheme="minorBidi"/>
          <w:sz w:val="20"/>
          <w:lang w:eastAsia="zh-CN"/>
        </w:rPr>
        <w:tab/>
        <w:t>International Bureau</w:t>
      </w:r>
    </w:p>
    <w:p w14:paraId="534B18F0" w14:textId="77777777" w:rsidR="00DF61DF" w:rsidRPr="00DF61DF" w:rsidRDefault="00DF61DF" w:rsidP="00DF61DF">
      <w:pPr>
        <w:tabs>
          <w:tab w:val="left" w:pos="2127"/>
        </w:tabs>
        <w:rPr>
          <w:rFonts w:asciiTheme="minorBidi" w:eastAsia="SimSun" w:hAnsiTheme="minorBidi" w:cstheme="minorBidi"/>
          <w:sz w:val="20"/>
          <w:lang w:eastAsia="zh-CN"/>
        </w:rPr>
      </w:pPr>
      <w:r w:rsidRPr="00DF61DF">
        <w:rPr>
          <w:rFonts w:asciiTheme="minorBidi" w:eastAsia="SimSun" w:hAnsiTheme="minorBidi" w:cstheme="minorBidi"/>
          <w:sz w:val="20"/>
          <w:lang w:eastAsia="zh-CN"/>
        </w:rPr>
        <w:t>IOD</w:t>
      </w:r>
      <w:r w:rsidRPr="00DF61DF">
        <w:rPr>
          <w:rFonts w:asciiTheme="minorBidi" w:eastAsia="SimSun" w:hAnsiTheme="minorBidi" w:cstheme="minorBidi"/>
          <w:sz w:val="20"/>
          <w:lang w:eastAsia="zh-CN"/>
        </w:rPr>
        <w:tab/>
        <w:t>Internal Oversight Division</w:t>
      </w:r>
    </w:p>
    <w:p w14:paraId="03088E47" w14:textId="77777777" w:rsidR="00DF61DF" w:rsidRPr="00DF61DF" w:rsidRDefault="00DF61DF" w:rsidP="00DF61DF">
      <w:pPr>
        <w:tabs>
          <w:tab w:val="left" w:pos="2127"/>
        </w:tabs>
        <w:rPr>
          <w:rFonts w:asciiTheme="minorBidi" w:eastAsia="SimSun" w:hAnsiTheme="minorBidi" w:cstheme="minorBidi"/>
          <w:sz w:val="20"/>
          <w:lang w:eastAsia="zh-CN"/>
        </w:rPr>
      </w:pPr>
      <w:r w:rsidRPr="00DF61DF">
        <w:rPr>
          <w:rFonts w:asciiTheme="minorBidi" w:eastAsia="SimSun" w:hAnsiTheme="minorBidi" w:cstheme="minorBidi"/>
          <w:sz w:val="20"/>
          <w:lang w:eastAsia="zh-CN"/>
        </w:rPr>
        <w:t>ICANN</w:t>
      </w:r>
      <w:r w:rsidRPr="00DF61DF">
        <w:rPr>
          <w:rFonts w:asciiTheme="minorBidi" w:eastAsia="SimSun" w:hAnsiTheme="minorBidi" w:cstheme="minorBidi"/>
          <w:sz w:val="20"/>
          <w:lang w:eastAsia="zh-CN"/>
        </w:rPr>
        <w:tab/>
        <w:t xml:space="preserve">Internet Corporation for Assigned Names and Numbers </w:t>
      </w:r>
    </w:p>
    <w:p w14:paraId="7A46DA29" w14:textId="77777777" w:rsidR="00DF61DF" w:rsidRPr="00DF61DF" w:rsidRDefault="00DF61DF" w:rsidP="00DF61DF">
      <w:pPr>
        <w:tabs>
          <w:tab w:val="left" w:pos="2127"/>
        </w:tabs>
        <w:rPr>
          <w:rFonts w:asciiTheme="minorBidi" w:eastAsia="SimSun" w:hAnsiTheme="minorBidi" w:cstheme="minorBidi"/>
          <w:sz w:val="20"/>
          <w:lang w:eastAsia="zh-CN"/>
        </w:rPr>
      </w:pPr>
      <w:r w:rsidRPr="00DF61DF">
        <w:rPr>
          <w:rFonts w:asciiTheme="minorBidi" w:eastAsia="SimSun" w:hAnsiTheme="minorBidi" w:cstheme="minorBidi"/>
          <w:sz w:val="20"/>
          <w:lang w:eastAsia="zh-CN"/>
        </w:rPr>
        <w:t>ICE</w:t>
      </w:r>
      <w:r w:rsidRPr="00DF61DF">
        <w:rPr>
          <w:rFonts w:asciiTheme="minorBidi" w:eastAsia="SimSun" w:hAnsiTheme="minorBidi" w:cstheme="minorBidi"/>
          <w:sz w:val="20"/>
          <w:lang w:eastAsia="zh-CN"/>
        </w:rPr>
        <w:tab/>
        <w:t>International Cooperation on Examination</w:t>
      </w:r>
    </w:p>
    <w:p w14:paraId="0B2C42B9" w14:textId="77777777" w:rsidR="00DF61DF" w:rsidRPr="00DF61DF" w:rsidRDefault="00DF61DF" w:rsidP="00DF61DF">
      <w:pPr>
        <w:tabs>
          <w:tab w:val="left" w:pos="2127"/>
        </w:tabs>
        <w:rPr>
          <w:rFonts w:asciiTheme="minorBidi" w:eastAsia="SimSun" w:hAnsiTheme="minorBidi" w:cstheme="minorBidi"/>
          <w:sz w:val="20"/>
          <w:lang w:eastAsia="zh-CN"/>
        </w:rPr>
      </w:pPr>
      <w:r w:rsidRPr="00DF61DF">
        <w:rPr>
          <w:rFonts w:asciiTheme="minorBidi" w:eastAsia="SimSun" w:hAnsiTheme="minorBidi" w:cstheme="minorBidi"/>
          <w:sz w:val="20"/>
          <w:lang w:eastAsia="zh-CN"/>
        </w:rPr>
        <w:t>ICSEI</w:t>
      </w:r>
      <w:r w:rsidRPr="00DF61DF">
        <w:rPr>
          <w:rFonts w:asciiTheme="minorBidi" w:eastAsia="SimSun" w:hAnsiTheme="minorBidi" w:cstheme="minorBidi"/>
          <w:sz w:val="20"/>
          <w:lang w:eastAsia="zh-CN"/>
        </w:rPr>
        <w:tab/>
        <w:t>International Cooperation for the Search and Examination of Inventions</w:t>
      </w:r>
    </w:p>
    <w:p w14:paraId="3C0865EF" w14:textId="77777777" w:rsidR="00DF61DF" w:rsidRPr="00DF61DF" w:rsidRDefault="00DF61DF" w:rsidP="00DF61DF">
      <w:pPr>
        <w:tabs>
          <w:tab w:val="left" w:pos="2127"/>
        </w:tabs>
        <w:rPr>
          <w:rFonts w:asciiTheme="minorBidi" w:eastAsia="SimSun" w:hAnsiTheme="minorBidi" w:cstheme="minorBidi"/>
          <w:sz w:val="20"/>
          <w:lang w:eastAsia="zh-CN"/>
        </w:rPr>
      </w:pPr>
      <w:r w:rsidRPr="00DF61DF">
        <w:rPr>
          <w:rFonts w:asciiTheme="minorBidi" w:eastAsia="SimSun" w:hAnsiTheme="minorBidi" w:cstheme="minorBidi"/>
          <w:sz w:val="20"/>
          <w:lang w:eastAsia="zh-CN"/>
        </w:rPr>
        <w:t>ICPIP</w:t>
      </w:r>
      <w:r w:rsidRPr="00DF61DF">
        <w:rPr>
          <w:rFonts w:asciiTheme="minorBidi" w:eastAsia="SimSun" w:hAnsiTheme="minorBidi" w:cstheme="minorBidi"/>
          <w:sz w:val="20"/>
          <w:lang w:eastAsia="zh-CN"/>
        </w:rPr>
        <w:tab/>
        <w:t>Inter-State Council on the Protection of Industrial Property</w:t>
      </w:r>
    </w:p>
    <w:p w14:paraId="293B5A8B" w14:textId="77777777" w:rsidR="00DF61DF" w:rsidRPr="00DF61DF" w:rsidRDefault="00DF61DF" w:rsidP="00DF61DF">
      <w:pPr>
        <w:tabs>
          <w:tab w:val="left" w:pos="2127"/>
        </w:tabs>
        <w:rPr>
          <w:rFonts w:asciiTheme="minorBidi" w:eastAsia="SimSun" w:hAnsiTheme="minorBidi" w:cstheme="minorBidi"/>
          <w:sz w:val="20"/>
          <w:lang w:eastAsia="zh-CN"/>
        </w:rPr>
      </w:pPr>
      <w:r w:rsidRPr="00DF61DF">
        <w:rPr>
          <w:rFonts w:asciiTheme="minorBidi" w:eastAsia="SimSun" w:hAnsiTheme="minorBidi" w:cstheme="minorBidi"/>
          <w:sz w:val="20"/>
          <w:lang w:eastAsia="zh-CN"/>
        </w:rPr>
        <w:t>ICSC</w:t>
      </w:r>
      <w:r w:rsidRPr="00DF61DF">
        <w:rPr>
          <w:rFonts w:asciiTheme="minorBidi" w:eastAsia="SimSun" w:hAnsiTheme="minorBidi" w:cstheme="minorBidi"/>
          <w:sz w:val="20"/>
          <w:lang w:eastAsia="zh-CN"/>
        </w:rPr>
        <w:tab/>
        <w:t>International Civil Service Commission</w:t>
      </w:r>
    </w:p>
    <w:p w14:paraId="650D3C5E" w14:textId="09B25CD3" w:rsidR="00DF61DF" w:rsidRPr="00DF61DF" w:rsidRDefault="00DF61DF" w:rsidP="00DF61DF">
      <w:pPr>
        <w:tabs>
          <w:tab w:val="left" w:pos="2127"/>
        </w:tabs>
        <w:rPr>
          <w:rFonts w:asciiTheme="minorBidi" w:eastAsia="SimSun" w:hAnsiTheme="minorBidi" w:cstheme="minorBidi"/>
          <w:sz w:val="20"/>
          <w:lang w:eastAsia="zh-CN"/>
        </w:rPr>
      </w:pPr>
      <w:r w:rsidRPr="00DF61DF">
        <w:rPr>
          <w:rFonts w:asciiTheme="minorBidi" w:eastAsia="SimSun" w:hAnsiTheme="minorBidi" w:cstheme="minorBidi"/>
          <w:sz w:val="20"/>
          <w:lang w:eastAsia="zh-CN"/>
        </w:rPr>
        <w:lastRenderedPageBreak/>
        <w:t>ICS</w:t>
      </w:r>
      <w:r w:rsidRPr="00DF61DF">
        <w:rPr>
          <w:rFonts w:asciiTheme="minorBidi" w:eastAsia="SimSun" w:hAnsiTheme="minorBidi" w:cstheme="minorBidi"/>
          <w:sz w:val="20"/>
          <w:lang w:eastAsia="zh-CN"/>
        </w:rPr>
        <w:tab/>
        <w:t>I</w:t>
      </w:r>
      <w:r w:rsidR="00DF47AF">
        <w:rPr>
          <w:rFonts w:asciiTheme="minorBidi" w:eastAsia="SimSun" w:hAnsiTheme="minorBidi" w:cstheme="minorBidi"/>
          <w:sz w:val="20"/>
          <w:lang w:eastAsia="zh-CN"/>
        </w:rPr>
        <w:t>ndependent Contractor Services</w:t>
      </w:r>
    </w:p>
    <w:p w14:paraId="47D1D2FE" w14:textId="77777777" w:rsidR="00DF61DF" w:rsidRPr="00DF61DF" w:rsidRDefault="00DF61DF" w:rsidP="00DF61DF">
      <w:pPr>
        <w:tabs>
          <w:tab w:val="left" w:pos="2127"/>
        </w:tabs>
        <w:rPr>
          <w:rFonts w:asciiTheme="minorBidi" w:eastAsia="SimSun" w:hAnsiTheme="minorBidi" w:cstheme="minorBidi"/>
          <w:sz w:val="20"/>
          <w:lang w:eastAsia="zh-CN"/>
        </w:rPr>
      </w:pPr>
      <w:r w:rsidRPr="00DF61DF">
        <w:rPr>
          <w:rFonts w:asciiTheme="minorBidi" w:eastAsia="SimSun" w:hAnsiTheme="minorBidi" w:cstheme="minorBidi"/>
          <w:sz w:val="20"/>
          <w:lang w:eastAsia="zh-CN"/>
        </w:rPr>
        <w:t>ICT</w:t>
      </w:r>
      <w:r w:rsidRPr="00DF61DF">
        <w:rPr>
          <w:rFonts w:asciiTheme="minorBidi" w:eastAsia="SimSun" w:hAnsiTheme="minorBidi" w:cstheme="minorBidi"/>
          <w:sz w:val="20"/>
          <w:lang w:eastAsia="zh-CN"/>
        </w:rPr>
        <w:tab/>
        <w:t xml:space="preserve">Information and Communication Technology </w:t>
      </w:r>
    </w:p>
    <w:p w14:paraId="579822E1"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IGC</w:t>
      </w:r>
      <w:r w:rsidRPr="00DF61DF">
        <w:rPr>
          <w:rFonts w:asciiTheme="minorBidi" w:eastAsia="SimSun" w:hAnsiTheme="minorBidi" w:cstheme="minorBidi"/>
          <w:sz w:val="20"/>
          <w:lang w:eastAsia="zh-CN"/>
        </w:rPr>
        <w:tab/>
        <w:t>Intergovernmental Committee on Intellectual Property and Genetic Resources, Traditional Knowledge and Folklore</w:t>
      </w:r>
    </w:p>
    <w:p w14:paraId="027EEBF5"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IGOs</w:t>
      </w:r>
      <w:r w:rsidRPr="00DF61DF">
        <w:rPr>
          <w:rFonts w:asciiTheme="minorBidi" w:eastAsia="SimSun" w:hAnsiTheme="minorBidi" w:cstheme="minorBidi"/>
          <w:sz w:val="20"/>
          <w:lang w:eastAsia="zh-CN"/>
        </w:rPr>
        <w:tab/>
        <w:t>Inter-Governmental Organizations</w:t>
      </w:r>
    </w:p>
    <w:p w14:paraId="5A2EBDCA"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IIA</w:t>
      </w:r>
      <w:r w:rsidRPr="00DF61DF">
        <w:rPr>
          <w:rFonts w:asciiTheme="minorBidi" w:eastAsia="SimSun" w:hAnsiTheme="minorBidi" w:cstheme="minorBidi"/>
          <w:sz w:val="20"/>
          <w:lang w:eastAsia="zh-CN"/>
        </w:rPr>
        <w:tab/>
        <w:t>Institute of Internal Auditors</w:t>
      </w:r>
    </w:p>
    <w:p w14:paraId="4E33D988"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IP</w:t>
      </w:r>
      <w:r w:rsidRPr="00DF61DF">
        <w:rPr>
          <w:rFonts w:asciiTheme="minorBidi" w:eastAsia="SimSun" w:hAnsiTheme="minorBidi" w:cstheme="minorBidi"/>
          <w:sz w:val="20"/>
          <w:lang w:eastAsia="zh-CN"/>
        </w:rPr>
        <w:tab/>
        <w:t>Intellectual Property</w:t>
      </w:r>
    </w:p>
    <w:p w14:paraId="362D1D82" w14:textId="77777777" w:rsidR="00DF61DF" w:rsidRPr="00DF61DF" w:rsidRDefault="00DF61DF" w:rsidP="00DF61DF">
      <w:pPr>
        <w:tabs>
          <w:tab w:val="left" w:pos="2127"/>
        </w:tabs>
        <w:spacing w:after="40"/>
        <w:ind w:left="2126" w:hanging="2126"/>
        <w:rPr>
          <w:rFonts w:asciiTheme="minorBidi" w:eastAsia="SimSun" w:hAnsiTheme="minorBidi" w:cstheme="minorBidi"/>
          <w:sz w:val="20"/>
          <w:lang w:val="en" w:eastAsia="zh-CN"/>
        </w:rPr>
      </w:pPr>
      <w:r w:rsidRPr="00DF61DF">
        <w:rPr>
          <w:rFonts w:asciiTheme="minorBidi" w:eastAsia="SimSun" w:hAnsiTheme="minorBidi" w:cstheme="minorBidi"/>
          <w:sz w:val="20"/>
          <w:lang w:val="en" w:eastAsia="zh-CN"/>
        </w:rPr>
        <w:t>IPAG</w:t>
      </w:r>
      <w:r w:rsidRPr="00DF61DF">
        <w:rPr>
          <w:rFonts w:asciiTheme="minorBidi" w:eastAsia="SimSun" w:hAnsiTheme="minorBidi" w:cstheme="minorBidi"/>
          <w:sz w:val="20"/>
          <w:lang w:val="en" w:eastAsia="zh-CN"/>
        </w:rPr>
        <w:tab/>
      </w:r>
      <w:r w:rsidRPr="00DF61DF">
        <w:rPr>
          <w:rFonts w:asciiTheme="minorBidi" w:eastAsia="SimSun" w:hAnsiTheme="minorBidi" w:cstheme="minorBidi"/>
          <w:bCs/>
          <w:kern w:val="36"/>
          <w:sz w:val="20"/>
          <w:lang w:eastAsia="zh-CN"/>
        </w:rPr>
        <w:t>Intellectual Property Agreement Guide</w:t>
      </w:r>
    </w:p>
    <w:p w14:paraId="7BD1DBAA" w14:textId="77777777" w:rsidR="00DF61DF" w:rsidRPr="00DF61DF" w:rsidRDefault="00DF61DF" w:rsidP="00DF61DF">
      <w:pPr>
        <w:tabs>
          <w:tab w:val="left" w:pos="2127"/>
        </w:tabs>
        <w:spacing w:after="40"/>
        <w:ind w:left="2126" w:hanging="2126"/>
        <w:rPr>
          <w:rFonts w:asciiTheme="minorBidi" w:eastAsia="SimSun" w:hAnsiTheme="minorBidi" w:cstheme="minorBidi"/>
          <w:sz w:val="20"/>
          <w:lang w:val="en" w:eastAsia="zh-CN"/>
        </w:rPr>
      </w:pPr>
      <w:r w:rsidRPr="00DF61DF">
        <w:rPr>
          <w:rFonts w:asciiTheme="minorBidi" w:eastAsia="SimSun" w:hAnsiTheme="minorBidi" w:cstheme="minorBidi"/>
          <w:sz w:val="20"/>
          <w:lang w:val="en" w:eastAsia="zh-CN"/>
        </w:rPr>
        <w:t>IPAS</w:t>
      </w:r>
      <w:r w:rsidRPr="00DF61DF">
        <w:rPr>
          <w:rFonts w:asciiTheme="minorBidi" w:eastAsia="SimSun" w:hAnsiTheme="minorBidi" w:cstheme="minorBidi"/>
          <w:sz w:val="20"/>
          <w:lang w:val="en" w:eastAsia="zh-CN"/>
        </w:rPr>
        <w:tab/>
        <w:t>IP Office Administration System</w:t>
      </w:r>
    </w:p>
    <w:p w14:paraId="3CE507FD" w14:textId="77777777" w:rsidR="00DF61DF" w:rsidRPr="00DF61DF" w:rsidRDefault="00DF61DF" w:rsidP="00DF61DF">
      <w:pPr>
        <w:tabs>
          <w:tab w:val="left" w:pos="2127"/>
        </w:tabs>
        <w:rPr>
          <w:rFonts w:asciiTheme="minorBidi" w:eastAsia="SimSun" w:hAnsiTheme="minorBidi" w:cstheme="minorBidi"/>
          <w:sz w:val="20"/>
          <w:lang w:eastAsia="zh-CN"/>
        </w:rPr>
      </w:pPr>
      <w:r w:rsidRPr="00DF61DF">
        <w:rPr>
          <w:rFonts w:asciiTheme="minorBidi" w:eastAsia="SimSun" w:hAnsiTheme="minorBidi" w:cstheme="minorBidi"/>
          <w:sz w:val="20"/>
          <w:lang w:eastAsia="zh-CN"/>
        </w:rPr>
        <w:t>IPACIS</w:t>
      </w:r>
      <w:r w:rsidRPr="00DF61DF">
        <w:rPr>
          <w:rFonts w:asciiTheme="minorBidi" w:eastAsia="SimSun" w:hAnsiTheme="minorBidi" w:cstheme="minorBidi"/>
          <w:sz w:val="20"/>
          <w:lang w:eastAsia="zh-CN"/>
        </w:rPr>
        <w:tab/>
        <w:t>Assembly of the CIS Member States</w:t>
      </w:r>
    </w:p>
    <w:p w14:paraId="397038B9"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IPC</w:t>
      </w:r>
      <w:r w:rsidRPr="00DF61DF">
        <w:rPr>
          <w:rFonts w:asciiTheme="minorBidi" w:eastAsia="SimSun" w:hAnsiTheme="minorBidi" w:cstheme="minorBidi"/>
          <w:sz w:val="20"/>
          <w:lang w:eastAsia="zh-CN"/>
        </w:rPr>
        <w:tab/>
        <w:t>International Patent Classification</w:t>
      </w:r>
    </w:p>
    <w:p w14:paraId="213CD372"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IP-DMD</w:t>
      </w:r>
      <w:r w:rsidRPr="00DF61DF">
        <w:rPr>
          <w:rFonts w:asciiTheme="minorBidi" w:eastAsia="SimSun" w:hAnsiTheme="minorBidi" w:cstheme="minorBidi"/>
          <w:sz w:val="20"/>
          <w:lang w:eastAsia="zh-CN"/>
        </w:rPr>
        <w:tab/>
        <w:t xml:space="preserve">Intellectual Property Development Matchmaking Database </w:t>
      </w:r>
    </w:p>
    <w:p w14:paraId="358885C5"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IPO</w:t>
      </w:r>
      <w:r w:rsidRPr="00DF61DF">
        <w:rPr>
          <w:rFonts w:asciiTheme="minorBidi" w:eastAsia="SimSun" w:hAnsiTheme="minorBidi" w:cstheme="minorBidi"/>
          <w:sz w:val="20"/>
          <w:lang w:eastAsia="zh-CN"/>
        </w:rPr>
        <w:tab/>
        <w:t>Intellectual Property Office</w:t>
      </w:r>
    </w:p>
    <w:p w14:paraId="5180A9BC"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IPoA</w:t>
      </w:r>
      <w:r w:rsidRPr="00DF61DF">
        <w:rPr>
          <w:rFonts w:asciiTheme="minorBidi" w:eastAsia="SimSun" w:hAnsiTheme="minorBidi" w:cstheme="minorBidi"/>
          <w:sz w:val="20"/>
          <w:lang w:eastAsia="zh-CN"/>
        </w:rPr>
        <w:tab/>
        <w:t>Istanbul Programme for Action</w:t>
      </w:r>
    </w:p>
    <w:p w14:paraId="4FFC82F6"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IPRs</w:t>
      </w:r>
      <w:r w:rsidRPr="00DF61DF">
        <w:rPr>
          <w:rFonts w:asciiTheme="minorBidi" w:eastAsia="SimSun" w:hAnsiTheme="minorBidi" w:cstheme="minorBidi"/>
          <w:sz w:val="20"/>
          <w:lang w:eastAsia="zh-CN"/>
        </w:rPr>
        <w:tab/>
        <w:t>Intellectual Property Rights</w:t>
      </w:r>
    </w:p>
    <w:p w14:paraId="25390643"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IPSAS</w:t>
      </w:r>
      <w:r w:rsidRPr="00DF61DF">
        <w:rPr>
          <w:rFonts w:asciiTheme="minorBidi" w:eastAsia="SimSun" w:hAnsiTheme="minorBidi" w:cstheme="minorBidi"/>
          <w:sz w:val="20"/>
          <w:lang w:eastAsia="zh-CN"/>
        </w:rPr>
        <w:tab/>
        <w:t>International Public Sector Accounting Standards</w:t>
      </w:r>
    </w:p>
    <w:p w14:paraId="17B20B97"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ISA</w:t>
      </w:r>
      <w:r w:rsidRPr="00DF61DF">
        <w:rPr>
          <w:rFonts w:asciiTheme="minorBidi" w:eastAsia="SimSun" w:hAnsiTheme="minorBidi" w:cstheme="minorBidi"/>
          <w:sz w:val="20"/>
          <w:lang w:eastAsia="zh-CN"/>
        </w:rPr>
        <w:tab/>
        <w:t>International Searching Authority</w:t>
      </w:r>
    </w:p>
    <w:p w14:paraId="24734BC4"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IT</w:t>
      </w:r>
      <w:r w:rsidRPr="00DF61DF">
        <w:rPr>
          <w:rFonts w:asciiTheme="minorBidi" w:eastAsia="SimSun" w:hAnsiTheme="minorBidi" w:cstheme="minorBidi"/>
          <w:sz w:val="20"/>
          <w:lang w:eastAsia="zh-CN"/>
        </w:rPr>
        <w:tab/>
        <w:t>Information Technology</w:t>
      </w:r>
    </w:p>
    <w:p w14:paraId="762E629C"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IP-TAD</w:t>
      </w:r>
      <w:r w:rsidRPr="00DF61DF">
        <w:rPr>
          <w:rFonts w:asciiTheme="minorBidi" w:eastAsia="SimSun" w:hAnsiTheme="minorBidi" w:cstheme="minorBidi"/>
          <w:sz w:val="20"/>
          <w:lang w:eastAsia="zh-CN"/>
        </w:rPr>
        <w:tab/>
        <w:t>Intellectual Property Technical Assistance Database</w:t>
      </w:r>
    </w:p>
    <w:p w14:paraId="6C89F4A7"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IP-ROC</w:t>
      </w:r>
      <w:r w:rsidRPr="00DF61DF">
        <w:rPr>
          <w:rFonts w:asciiTheme="minorBidi" w:eastAsia="SimSun" w:hAnsiTheme="minorBidi" w:cstheme="minorBidi"/>
          <w:sz w:val="20"/>
          <w:lang w:eastAsia="zh-CN"/>
        </w:rPr>
        <w:tab/>
        <w:t>Intellectual Property Roster of Consultants</w:t>
      </w:r>
    </w:p>
    <w:p w14:paraId="037B9FC9"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ISO</w:t>
      </w:r>
      <w:r w:rsidRPr="00DF61DF">
        <w:rPr>
          <w:rFonts w:asciiTheme="minorBidi" w:eastAsia="SimSun" w:hAnsiTheme="minorBidi" w:cstheme="minorBidi"/>
          <w:sz w:val="20"/>
          <w:lang w:eastAsia="zh-CN"/>
        </w:rPr>
        <w:tab/>
        <w:t>International Organization for Standardization</w:t>
      </w:r>
    </w:p>
    <w:p w14:paraId="38AD91E6"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ITIL</w:t>
      </w:r>
      <w:r w:rsidRPr="00DF61DF">
        <w:rPr>
          <w:rFonts w:asciiTheme="minorBidi" w:eastAsia="SimSun" w:hAnsiTheme="minorBidi" w:cstheme="minorBidi"/>
          <w:sz w:val="20"/>
          <w:lang w:eastAsia="zh-CN"/>
        </w:rPr>
        <w:tab/>
        <w:t>Information Technology Infrastructure Library</w:t>
      </w:r>
    </w:p>
    <w:p w14:paraId="75C30103" w14:textId="77777777" w:rsidR="00DF61DF" w:rsidRPr="00DF61DF" w:rsidRDefault="00DF61DF" w:rsidP="00DF61DF">
      <w:pPr>
        <w:tabs>
          <w:tab w:val="left" w:pos="2127"/>
        </w:tabs>
        <w:rPr>
          <w:rFonts w:asciiTheme="minorBidi" w:eastAsia="SimSun" w:hAnsiTheme="minorBidi" w:cstheme="minorBidi"/>
          <w:sz w:val="20"/>
          <w:lang w:eastAsia="zh-CN"/>
        </w:rPr>
      </w:pPr>
      <w:r w:rsidRPr="00DF61DF">
        <w:rPr>
          <w:rFonts w:asciiTheme="minorBidi" w:eastAsia="SimSun" w:hAnsiTheme="minorBidi" w:cstheme="minorBidi"/>
          <w:sz w:val="20"/>
          <w:lang w:eastAsia="zh-CN"/>
        </w:rPr>
        <w:t>ITPGRFA</w:t>
      </w:r>
      <w:r w:rsidRPr="00DF61DF">
        <w:rPr>
          <w:rFonts w:asciiTheme="minorBidi" w:eastAsia="SimSun" w:hAnsiTheme="minorBidi" w:cstheme="minorBidi"/>
          <w:sz w:val="20"/>
          <w:lang w:eastAsia="zh-CN"/>
        </w:rPr>
        <w:tab/>
        <w:t>International Treaty on Plant Genetic Resources for Food and Agriculture</w:t>
      </w:r>
    </w:p>
    <w:p w14:paraId="550AD5D6"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ITU</w:t>
      </w:r>
      <w:r w:rsidRPr="00DF61DF">
        <w:rPr>
          <w:rFonts w:asciiTheme="minorBidi" w:eastAsia="SimSun" w:hAnsiTheme="minorBidi" w:cstheme="minorBidi"/>
          <w:sz w:val="20"/>
          <w:lang w:eastAsia="zh-CN"/>
        </w:rPr>
        <w:tab/>
      </w:r>
      <w:r w:rsidRPr="00DF61DF">
        <w:rPr>
          <w:rFonts w:asciiTheme="minorBidi" w:eastAsia="SimSun" w:hAnsiTheme="minorBidi" w:cstheme="minorBidi"/>
          <w:snapToGrid w:val="0"/>
          <w:sz w:val="20"/>
          <w:lang w:eastAsia="zh-CN"/>
        </w:rPr>
        <w:t>International Telecommunications Union</w:t>
      </w:r>
    </w:p>
    <w:p w14:paraId="1BBA556D"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566BF28A"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bCs/>
          <w:sz w:val="20"/>
          <w:lang w:eastAsia="zh-CN"/>
        </w:rPr>
        <w:t>L</w:t>
      </w:r>
      <w:r w:rsidRPr="00DF61DF">
        <w:rPr>
          <w:rFonts w:asciiTheme="minorBidi" w:eastAsia="SimSun" w:hAnsiTheme="minorBidi" w:cstheme="minorBidi"/>
          <w:sz w:val="20"/>
          <w:lang w:eastAsia="zh-CN"/>
        </w:rPr>
        <w:t>DCs</w:t>
      </w:r>
      <w:r w:rsidRPr="00DF61DF">
        <w:rPr>
          <w:rFonts w:asciiTheme="minorBidi" w:eastAsia="SimSun" w:hAnsiTheme="minorBidi" w:cstheme="minorBidi"/>
          <w:sz w:val="20"/>
          <w:lang w:eastAsia="zh-CN"/>
        </w:rPr>
        <w:tab/>
        <w:t>Least Developed Countries</w:t>
      </w:r>
    </w:p>
    <w:p w14:paraId="06447DF7"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0CA11A71"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sz w:val="20"/>
          <w:lang w:eastAsia="zh-CN"/>
        </w:rPr>
        <w:t>M</w:t>
      </w:r>
      <w:r w:rsidRPr="00DF61DF">
        <w:rPr>
          <w:rFonts w:asciiTheme="minorBidi" w:eastAsia="SimSun" w:hAnsiTheme="minorBidi" w:cstheme="minorBidi"/>
          <w:sz w:val="20"/>
          <w:lang w:eastAsia="zh-CN"/>
        </w:rPr>
        <w:t>TSP</w:t>
      </w:r>
      <w:r w:rsidRPr="00DF61DF">
        <w:rPr>
          <w:rFonts w:asciiTheme="minorBidi" w:eastAsia="SimSun" w:hAnsiTheme="minorBidi" w:cstheme="minorBidi"/>
          <w:sz w:val="20"/>
          <w:lang w:eastAsia="zh-CN"/>
        </w:rPr>
        <w:tab/>
        <w:t>Medium Term Strategic Plan</w:t>
      </w:r>
    </w:p>
    <w:p w14:paraId="1B800CE3"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1A7B1DE9"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bCs/>
          <w:sz w:val="20"/>
          <w:lang w:eastAsia="zh-CN"/>
        </w:rPr>
        <w:t>N</w:t>
      </w:r>
      <w:r w:rsidRPr="00DF61DF">
        <w:rPr>
          <w:rFonts w:asciiTheme="minorBidi" w:eastAsia="SimSun" w:hAnsiTheme="minorBidi" w:cstheme="minorBidi"/>
          <w:sz w:val="20"/>
          <w:lang w:eastAsia="zh-CN"/>
        </w:rPr>
        <w:t>GOs</w:t>
      </w:r>
      <w:r w:rsidRPr="00DF61DF">
        <w:rPr>
          <w:rFonts w:asciiTheme="minorBidi" w:eastAsia="SimSun" w:hAnsiTheme="minorBidi" w:cstheme="minorBidi"/>
          <w:sz w:val="20"/>
          <w:lang w:eastAsia="zh-CN"/>
        </w:rPr>
        <w:tab/>
        <w:t>Non-Governmental Organizations</w:t>
      </w:r>
    </w:p>
    <w:p w14:paraId="00372507"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5E94258E"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sz w:val="20"/>
          <w:lang w:eastAsia="zh-CN"/>
        </w:rPr>
        <w:t>O</w:t>
      </w:r>
      <w:r w:rsidRPr="00DF61DF">
        <w:rPr>
          <w:rFonts w:asciiTheme="minorBidi" w:eastAsia="SimSun" w:hAnsiTheme="minorBidi" w:cstheme="minorBidi"/>
          <w:sz w:val="20"/>
          <w:lang w:eastAsia="zh-CN"/>
        </w:rPr>
        <w:t>HIM</w:t>
      </w:r>
      <w:r w:rsidRPr="00DF61DF">
        <w:rPr>
          <w:rFonts w:asciiTheme="minorBidi" w:eastAsia="SimSun" w:hAnsiTheme="minorBidi" w:cstheme="minorBidi"/>
          <w:sz w:val="20"/>
          <w:lang w:eastAsia="zh-CN"/>
        </w:rPr>
        <w:tab/>
        <w:t>Office for Harmonization in the Internal Market (Community Trademarks)</w:t>
      </w:r>
    </w:p>
    <w:p w14:paraId="74719246"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Cs/>
          <w:sz w:val="20"/>
          <w:lang w:eastAsia="zh-CN"/>
        </w:rPr>
        <w:t>OCR</w:t>
      </w:r>
      <w:r w:rsidRPr="00DF61DF">
        <w:rPr>
          <w:rFonts w:asciiTheme="minorBidi" w:eastAsia="SimSun" w:hAnsiTheme="minorBidi" w:cstheme="minorBidi"/>
          <w:b/>
          <w:bCs/>
          <w:sz w:val="20"/>
          <w:lang w:eastAsia="zh-CN"/>
        </w:rPr>
        <w:tab/>
      </w:r>
      <w:r w:rsidRPr="00DF61DF">
        <w:rPr>
          <w:rFonts w:asciiTheme="minorBidi" w:eastAsia="SimSun" w:hAnsiTheme="minorBidi" w:cstheme="minorBidi"/>
          <w:sz w:val="20"/>
          <w:lang w:eastAsia="zh-CN"/>
        </w:rPr>
        <w:t>Optical Character Recognition (OCR</w:t>
      </w:r>
    </w:p>
    <w:p w14:paraId="44057FEA"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220910D9"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sz w:val="20"/>
          <w:lang w:eastAsia="zh-CN"/>
        </w:rPr>
        <w:t>P</w:t>
      </w:r>
      <w:r w:rsidRPr="00DF61DF">
        <w:rPr>
          <w:rFonts w:asciiTheme="minorBidi" w:eastAsia="SimSun" w:hAnsiTheme="minorBidi" w:cstheme="minorBidi"/>
          <w:sz w:val="20"/>
          <w:lang w:eastAsia="zh-CN"/>
        </w:rPr>
        <w:t>CT</w:t>
      </w:r>
      <w:r w:rsidRPr="00DF61DF">
        <w:rPr>
          <w:rFonts w:asciiTheme="minorBidi" w:eastAsia="SimSun" w:hAnsiTheme="minorBidi" w:cstheme="minorBidi"/>
          <w:sz w:val="20"/>
          <w:lang w:eastAsia="zh-CN"/>
        </w:rPr>
        <w:tab/>
        <w:t>Patent Cooperation Treaty</w:t>
      </w:r>
    </w:p>
    <w:p w14:paraId="50D80A55"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PLR</w:t>
      </w:r>
      <w:r w:rsidRPr="00DF61DF">
        <w:rPr>
          <w:rFonts w:asciiTheme="minorBidi" w:eastAsia="SimSun" w:hAnsiTheme="minorBidi" w:cstheme="minorBidi"/>
          <w:sz w:val="20"/>
          <w:lang w:eastAsia="zh-CN"/>
        </w:rPr>
        <w:tab/>
        <w:t>Patent Landscape Reports</w:t>
      </w:r>
    </w:p>
    <w:p w14:paraId="0B112CE2"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PLT</w:t>
      </w:r>
      <w:r w:rsidRPr="00DF61DF">
        <w:rPr>
          <w:rFonts w:asciiTheme="minorBidi" w:eastAsia="SimSun" w:hAnsiTheme="minorBidi" w:cstheme="minorBidi"/>
          <w:sz w:val="20"/>
          <w:lang w:eastAsia="zh-CN"/>
        </w:rPr>
        <w:tab/>
        <w:t>Patent Law Treaty</w:t>
      </w:r>
    </w:p>
    <w:p w14:paraId="2CF390F3"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PMSDS</w:t>
      </w:r>
      <w:r w:rsidRPr="00DF61DF">
        <w:rPr>
          <w:rFonts w:asciiTheme="minorBidi" w:eastAsia="SimSun" w:hAnsiTheme="minorBidi" w:cstheme="minorBidi"/>
          <w:sz w:val="20"/>
          <w:lang w:eastAsia="zh-CN"/>
        </w:rPr>
        <w:tab/>
      </w:r>
      <w:r w:rsidRPr="00DF61DF">
        <w:rPr>
          <w:rFonts w:asciiTheme="minorBidi" w:eastAsia="SimSun" w:hAnsiTheme="minorBidi" w:cstheme="minorBidi"/>
          <w:snapToGrid w:val="0"/>
          <w:sz w:val="20"/>
          <w:lang w:eastAsia="zh-CN"/>
        </w:rPr>
        <w:t>Performance Management and Staff Development System</w:t>
      </w:r>
    </w:p>
    <w:p w14:paraId="170C929F" w14:textId="77777777" w:rsidR="00DF61DF" w:rsidRPr="00DF61DF" w:rsidRDefault="00DF61DF" w:rsidP="00DF61DF">
      <w:pPr>
        <w:tabs>
          <w:tab w:val="left" w:pos="2127"/>
        </w:tabs>
        <w:ind w:left="2126" w:hanging="2126"/>
        <w:rPr>
          <w:rFonts w:asciiTheme="minorBidi" w:eastAsia="SimSun" w:hAnsiTheme="minorBidi" w:cstheme="minorBidi"/>
          <w:sz w:val="20"/>
          <w:lang w:eastAsia="zh-CN"/>
        </w:rPr>
      </w:pPr>
      <w:r w:rsidRPr="00DF61DF">
        <w:rPr>
          <w:rFonts w:asciiTheme="minorBidi" w:eastAsia="SimSun" w:hAnsiTheme="minorBidi" w:cstheme="minorBidi"/>
          <w:sz w:val="20"/>
          <w:lang w:eastAsia="zh-CN"/>
        </w:rPr>
        <w:t>PPR</w:t>
      </w:r>
      <w:r w:rsidRPr="00DF61DF">
        <w:rPr>
          <w:rFonts w:asciiTheme="minorBidi" w:eastAsia="SimSun" w:hAnsiTheme="minorBidi" w:cstheme="minorBidi"/>
          <w:sz w:val="20"/>
          <w:lang w:eastAsia="zh-CN"/>
        </w:rPr>
        <w:tab/>
        <w:t>Program Performance Report</w:t>
      </w:r>
    </w:p>
    <w:p w14:paraId="58619728"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32F0B89E"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bCs/>
          <w:sz w:val="20"/>
          <w:lang w:eastAsia="zh-CN"/>
        </w:rPr>
        <w:t>R</w:t>
      </w:r>
      <w:r w:rsidRPr="00DF61DF">
        <w:rPr>
          <w:rFonts w:asciiTheme="minorBidi" w:eastAsia="SimSun" w:hAnsiTheme="minorBidi" w:cstheme="minorBidi"/>
          <w:sz w:val="20"/>
          <w:lang w:eastAsia="zh-CN"/>
        </w:rPr>
        <w:t>BM</w:t>
      </w:r>
      <w:r w:rsidRPr="00DF61DF">
        <w:rPr>
          <w:rFonts w:asciiTheme="minorBidi" w:eastAsia="SimSun" w:hAnsiTheme="minorBidi" w:cstheme="minorBidi"/>
          <w:sz w:val="20"/>
          <w:lang w:eastAsia="zh-CN"/>
        </w:rPr>
        <w:tab/>
        <w:t>Results-Based Management</w:t>
      </w:r>
    </w:p>
    <w:p w14:paraId="57E74C21"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R&amp;D</w:t>
      </w:r>
      <w:r w:rsidRPr="00DF61DF">
        <w:rPr>
          <w:rFonts w:asciiTheme="minorBidi" w:eastAsia="SimSun" w:hAnsiTheme="minorBidi" w:cstheme="minorBidi"/>
          <w:sz w:val="20"/>
          <w:lang w:eastAsia="zh-CN"/>
        </w:rPr>
        <w:tab/>
        <w:t>Research and Development</w:t>
      </w:r>
    </w:p>
    <w:p w14:paraId="5F6079CF"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RFPs</w:t>
      </w:r>
      <w:r w:rsidRPr="00DF61DF">
        <w:rPr>
          <w:rFonts w:asciiTheme="minorBidi" w:eastAsia="SimSun" w:hAnsiTheme="minorBidi" w:cstheme="minorBidi"/>
          <w:sz w:val="20"/>
          <w:lang w:eastAsia="zh-CN"/>
        </w:rPr>
        <w:tab/>
        <w:t>Requests for Proposals</w:t>
      </w:r>
    </w:p>
    <w:p w14:paraId="132DE2A7"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RO</w:t>
      </w:r>
      <w:r w:rsidRPr="00DF61DF">
        <w:rPr>
          <w:rFonts w:asciiTheme="minorBidi" w:eastAsia="SimSun" w:hAnsiTheme="minorBidi" w:cstheme="minorBidi"/>
          <w:sz w:val="20"/>
          <w:lang w:eastAsia="zh-CN"/>
        </w:rPr>
        <w:tab/>
        <w:t>Receiving Office</w:t>
      </w:r>
    </w:p>
    <w:p w14:paraId="625CDC16"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1F741368"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bCs/>
          <w:sz w:val="20"/>
          <w:lang w:eastAsia="zh-CN"/>
        </w:rPr>
        <w:t>S</w:t>
      </w:r>
      <w:r w:rsidRPr="00DF61DF">
        <w:rPr>
          <w:rFonts w:asciiTheme="minorBidi" w:eastAsia="SimSun" w:hAnsiTheme="minorBidi" w:cstheme="minorBidi"/>
          <w:sz w:val="20"/>
          <w:lang w:eastAsia="zh-CN"/>
        </w:rPr>
        <w:t>CCR</w:t>
      </w:r>
      <w:r w:rsidRPr="00DF61DF">
        <w:rPr>
          <w:rFonts w:asciiTheme="minorBidi" w:eastAsia="SimSun" w:hAnsiTheme="minorBidi" w:cstheme="minorBidi"/>
          <w:sz w:val="20"/>
          <w:lang w:eastAsia="zh-CN"/>
        </w:rPr>
        <w:tab/>
        <w:t>Standing Committee on Copyright and Related Rights</w:t>
      </w:r>
    </w:p>
    <w:p w14:paraId="43194756"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SCP</w:t>
      </w:r>
      <w:r w:rsidRPr="00DF61DF">
        <w:rPr>
          <w:rFonts w:asciiTheme="minorBidi" w:eastAsia="SimSun" w:hAnsiTheme="minorBidi" w:cstheme="minorBidi"/>
          <w:sz w:val="20"/>
          <w:lang w:eastAsia="zh-CN"/>
        </w:rPr>
        <w:tab/>
        <w:t>Standing Committee on the Law of Patents</w:t>
      </w:r>
    </w:p>
    <w:p w14:paraId="3BD27DD1"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SCT</w:t>
      </w:r>
      <w:r w:rsidRPr="00DF61DF">
        <w:rPr>
          <w:rFonts w:asciiTheme="minorBidi" w:eastAsia="SimSun" w:hAnsiTheme="minorBidi" w:cstheme="minorBidi"/>
          <w:sz w:val="20"/>
          <w:lang w:eastAsia="zh-CN"/>
        </w:rPr>
        <w:tab/>
        <w:t>Standing Committee on the Law of Trademarks, Industrial Designs and Geographical Indications</w:t>
      </w:r>
    </w:p>
    <w:p w14:paraId="15319105"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SDA</w:t>
      </w:r>
      <w:r w:rsidRPr="00DF61DF">
        <w:rPr>
          <w:rFonts w:asciiTheme="minorBidi" w:eastAsia="SimSun" w:hAnsiTheme="minorBidi" w:cstheme="minorBidi"/>
          <w:sz w:val="20"/>
          <w:lang w:eastAsia="zh-CN"/>
        </w:rPr>
        <w:tab/>
        <w:t>Service Delivery Agreements</w:t>
      </w:r>
    </w:p>
    <w:p w14:paraId="29953B58"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SDG</w:t>
      </w:r>
      <w:r w:rsidRPr="00DF61DF">
        <w:rPr>
          <w:rFonts w:asciiTheme="minorBidi" w:eastAsia="SimSun" w:hAnsiTheme="minorBidi" w:cstheme="minorBidi"/>
          <w:sz w:val="20"/>
          <w:lang w:eastAsia="zh-CN"/>
        </w:rPr>
        <w:tab/>
        <w:t>Sustainable Development Goals</w:t>
      </w:r>
    </w:p>
    <w:p w14:paraId="5D12603B"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SMEs</w:t>
      </w:r>
      <w:r w:rsidRPr="00DF61DF">
        <w:rPr>
          <w:rFonts w:asciiTheme="minorBidi" w:eastAsia="SimSun" w:hAnsiTheme="minorBidi" w:cstheme="minorBidi"/>
          <w:sz w:val="20"/>
          <w:lang w:eastAsia="zh-CN"/>
        </w:rPr>
        <w:tab/>
        <w:t>Small and Medium Sized Enterprises</w:t>
      </w:r>
    </w:p>
    <w:p w14:paraId="2502994B"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lastRenderedPageBreak/>
        <w:t>SSA</w:t>
      </w:r>
      <w:r w:rsidRPr="00DF61DF">
        <w:rPr>
          <w:rFonts w:asciiTheme="minorBidi" w:eastAsia="SimSun" w:hAnsiTheme="minorBidi" w:cstheme="minorBidi"/>
          <w:sz w:val="20"/>
          <w:lang w:eastAsia="zh-CN"/>
        </w:rPr>
        <w:tab/>
        <w:t>Special Service Agreements</w:t>
      </w:r>
    </w:p>
    <w:p w14:paraId="6FBF8E43"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SRR</w:t>
      </w:r>
      <w:r w:rsidRPr="00DF61DF">
        <w:rPr>
          <w:rFonts w:asciiTheme="minorBidi" w:eastAsia="SimSun" w:hAnsiTheme="minorBidi" w:cstheme="minorBidi"/>
          <w:sz w:val="20"/>
          <w:lang w:eastAsia="zh-CN"/>
        </w:rPr>
        <w:tab/>
        <w:t>Staff Regulations and Rules</w:t>
      </w:r>
    </w:p>
    <w:p w14:paraId="22C18D23"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765047A9" w14:textId="77777777" w:rsidR="00DF61DF" w:rsidRPr="00DF61DF" w:rsidRDefault="00DF61DF" w:rsidP="00DF61DF">
      <w:pPr>
        <w:keepNext/>
        <w:tabs>
          <w:tab w:val="left" w:pos="2127"/>
        </w:tabs>
        <w:spacing w:after="40"/>
        <w:ind w:left="2126" w:hanging="2126"/>
        <w:rPr>
          <w:rFonts w:asciiTheme="minorBidi" w:eastAsia="SimSun" w:hAnsiTheme="minorBidi" w:cstheme="minorBidi"/>
          <w:b/>
          <w:bCs/>
          <w:sz w:val="20"/>
          <w:lang w:eastAsia="zh-CN"/>
        </w:rPr>
      </w:pPr>
      <w:r w:rsidRPr="00DF61DF">
        <w:rPr>
          <w:rFonts w:asciiTheme="minorBidi" w:eastAsia="SimSun" w:hAnsiTheme="minorBidi" w:cstheme="minorBidi"/>
          <w:b/>
          <w:bCs/>
          <w:sz w:val="20"/>
          <w:lang w:eastAsia="zh-CN"/>
        </w:rPr>
        <w:t>T</w:t>
      </w:r>
      <w:r w:rsidRPr="00DF61DF">
        <w:rPr>
          <w:rFonts w:asciiTheme="minorBidi" w:eastAsia="SimSun" w:hAnsiTheme="minorBidi" w:cstheme="minorBidi"/>
          <w:sz w:val="20"/>
          <w:lang w:eastAsia="zh-CN"/>
        </w:rPr>
        <w:t>A</w:t>
      </w:r>
      <w:r w:rsidRPr="00DF61DF">
        <w:rPr>
          <w:rFonts w:asciiTheme="minorBidi" w:eastAsia="SimSun" w:hAnsiTheme="minorBidi" w:cstheme="minorBidi"/>
          <w:sz w:val="20"/>
          <w:lang w:eastAsia="zh-CN"/>
        </w:rPr>
        <w:tab/>
        <w:t>Travel Authorization</w:t>
      </w:r>
    </w:p>
    <w:p w14:paraId="00DA1755" w14:textId="77777777" w:rsidR="00DF61DF" w:rsidRPr="00DF61DF" w:rsidRDefault="00DF61DF" w:rsidP="00DF61DF">
      <w:pPr>
        <w:keepNext/>
        <w:tabs>
          <w:tab w:val="left" w:pos="2127"/>
        </w:tabs>
        <w:spacing w:after="40"/>
        <w:ind w:left="2126" w:hanging="2126"/>
        <w:rPr>
          <w:rFonts w:asciiTheme="minorBidi" w:eastAsia="SimSun" w:hAnsiTheme="minorBidi" w:cstheme="minorBidi"/>
          <w:sz w:val="20"/>
          <w:lang w:eastAsia="zh-CN"/>
        </w:rPr>
      </w:pPr>
      <w:r w:rsidRPr="00DF61DF">
        <w:rPr>
          <w:rFonts w:asciiTheme="minorBidi" w:eastAsia="SimSun" w:hAnsiTheme="minorBidi" w:cstheme="minorBidi"/>
          <w:sz w:val="20"/>
          <w:lang w:eastAsia="zh-CN"/>
        </w:rPr>
        <w:t>TAG</w:t>
      </w:r>
      <w:r w:rsidRPr="00DF61DF">
        <w:rPr>
          <w:rFonts w:asciiTheme="minorBidi" w:eastAsia="SimSun" w:hAnsiTheme="minorBidi" w:cstheme="minorBidi"/>
          <w:sz w:val="20"/>
          <w:lang w:eastAsia="zh-CN"/>
        </w:rPr>
        <w:tab/>
        <w:t>Transparency, Accountability and Governance</w:t>
      </w:r>
    </w:p>
    <w:p w14:paraId="49BDD1CC" w14:textId="77777777" w:rsidR="00DF61DF" w:rsidRPr="00DF61DF" w:rsidRDefault="00DF61DF" w:rsidP="00DF61DF">
      <w:pPr>
        <w:keepNext/>
        <w:tabs>
          <w:tab w:val="left" w:pos="2127"/>
        </w:tabs>
        <w:spacing w:after="40"/>
        <w:ind w:left="2126" w:hanging="2126"/>
        <w:rPr>
          <w:rFonts w:asciiTheme="minorBidi" w:eastAsia="SimSun" w:hAnsiTheme="minorBidi" w:cstheme="minorBidi"/>
          <w:sz w:val="20"/>
          <w:lang w:val="fr-CH" w:eastAsia="zh-CN"/>
        </w:rPr>
      </w:pPr>
      <w:r w:rsidRPr="00DF61DF">
        <w:rPr>
          <w:rFonts w:asciiTheme="minorBidi" w:eastAsia="SimSun" w:hAnsiTheme="minorBidi" w:cstheme="minorBidi"/>
          <w:sz w:val="20"/>
          <w:lang w:val="fr-CH" w:eastAsia="zh-CN"/>
        </w:rPr>
        <w:t>TCEs</w:t>
      </w:r>
      <w:r w:rsidRPr="00DF61DF">
        <w:rPr>
          <w:rFonts w:asciiTheme="minorBidi" w:eastAsia="SimSun" w:hAnsiTheme="minorBidi" w:cstheme="minorBidi"/>
          <w:sz w:val="20"/>
          <w:lang w:val="fr-CH" w:eastAsia="zh-CN"/>
        </w:rPr>
        <w:tab/>
        <w:t>Traditional Cultural Expressions/Folklore</w:t>
      </w:r>
    </w:p>
    <w:p w14:paraId="1226689D"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val="fr-CH" w:eastAsia="zh-CN"/>
        </w:rPr>
      </w:pPr>
      <w:r w:rsidRPr="00DF61DF">
        <w:rPr>
          <w:rFonts w:asciiTheme="minorBidi" w:eastAsia="SimSun" w:hAnsiTheme="minorBidi" w:cstheme="minorBidi"/>
          <w:sz w:val="20"/>
          <w:lang w:val="fr-CH" w:eastAsia="zh-CN"/>
        </w:rPr>
        <w:t>TISCs</w:t>
      </w:r>
      <w:r w:rsidRPr="00DF61DF">
        <w:rPr>
          <w:rFonts w:asciiTheme="minorBidi" w:eastAsia="SimSun" w:hAnsiTheme="minorBidi" w:cstheme="minorBidi"/>
          <w:sz w:val="20"/>
          <w:lang w:val="fr-CH" w:eastAsia="zh-CN"/>
        </w:rPr>
        <w:tab/>
        <w:t>Technology Innovation Support Centers</w:t>
      </w:r>
    </w:p>
    <w:p w14:paraId="66880462"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TK</w:t>
      </w:r>
      <w:r w:rsidRPr="00DF61DF">
        <w:rPr>
          <w:rFonts w:asciiTheme="minorBidi" w:eastAsia="SimSun" w:hAnsiTheme="minorBidi" w:cstheme="minorBidi"/>
          <w:sz w:val="20"/>
          <w:lang w:eastAsia="zh-CN"/>
        </w:rPr>
        <w:tab/>
        <w:t>Traditional Knowledge</w:t>
      </w:r>
    </w:p>
    <w:p w14:paraId="0B1D0A08"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741693FE"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bCs/>
          <w:sz w:val="20"/>
          <w:lang w:eastAsia="zh-CN"/>
        </w:rPr>
        <w:t>U</w:t>
      </w:r>
      <w:r w:rsidRPr="00DF61DF">
        <w:rPr>
          <w:rFonts w:asciiTheme="minorBidi" w:eastAsia="SimSun" w:hAnsiTheme="minorBidi" w:cstheme="minorBidi"/>
          <w:sz w:val="20"/>
          <w:lang w:eastAsia="zh-CN"/>
        </w:rPr>
        <w:t>DRP</w:t>
      </w:r>
      <w:r w:rsidRPr="00DF61DF">
        <w:rPr>
          <w:rFonts w:asciiTheme="minorBidi" w:eastAsia="SimSun" w:hAnsiTheme="minorBidi" w:cstheme="minorBidi"/>
          <w:sz w:val="20"/>
          <w:lang w:eastAsia="zh-CN"/>
        </w:rPr>
        <w:tab/>
        <w:t>Uniform Domain Name Dispute Resolution Policy</w:t>
      </w:r>
    </w:p>
    <w:p w14:paraId="2138753B"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UN</w:t>
      </w:r>
      <w:r w:rsidRPr="00DF61DF">
        <w:rPr>
          <w:rFonts w:asciiTheme="minorBidi" w:eastAsia="SimSun" w:hAnsiTheme="minorBidi" w:cstheme="minorBidi"/>
          <w:sz w:val="20"/>
          <w:lang w:eastAsia="zh-CN"/>
        </w:rPr>
        <w:tab/>
        <w:t>United Nations</w:t>
      </w:r>
    </w:p>
    <w:p w14:paraId="0DF618F3"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UNCTAD</w:t>
      </w:r>
      <w:r w:rsidRPr="00DF61DF">
        <w:rPr>
          <w:rFonts w:asciiTheme="minorBidi" w:eastAsia="SimSun" w:hAnsiTheme="minorBidi" w:cstheme="minorBidi"/>
          <w:sz w:val="20"/>
          <w:lang w:eastAsia="zh-CN"/>
        </w:rPr>
        <w:tab/>
        <w:t>United Nations Conference on Trade and Development</w:t>
      </w:r>
    </w:p>
    <w:p w14:paraId="3527E4D1"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UN CEB</w:t>
      </w:r>
      <w:r w:rsidRPr="00DF61DF">
        <w:rPr>
          <w:rFonts w:asciiTheme="minorBidi" w:eastAsia="SimSun" w:hAnsiTheme="minorBidi" w:cstheme="minorBidi"/>
          <w:sz w:val="20"/>
          <w:lang w:eastAsia="zh-CN"/>
        </w:rPr>
        <w:tab/>
        <w:t>United Nations Chief Executives Board</w:t>
      </w:r>
    </w:p>
    <w:p w14:paraId="5681E4CA"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UN-DESA</w:t>
      </w:r>
      <w:r w:rsidRPr="00DF61DF">
        <w:rPr>
          <w:rFonts w:asciiTheme="minorBidi" w:eastAsia="SimSun" w:hAnsiTheme="minorBidi" w:cstheme="minorBidi"/>
          <w:sz w:val="20"/>
          <w:lang w:eastAsia="zh-CN"/>
        </w:rPr>
        <w:tab/>
        <w:t>United Nations Department of Social and Economic Affaires</w:t>
      </w:r>
    </w:p>
    <w:p w14:paraId="5033026E"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noProof/>
          <w:sz w:val="20"/>
        </w:rPr>
        <mc:AlternateContent>
          <mc:Choice Requires="wps">
            <w:drawing>
              <wp:anchor distT="0" distB="0" distL="114300" distR="114300" simplePos="0" relativeHeight="251679744" behindDoc="0" locked="0" layoutInCell="0" allowOverlap="1" wp14:anchorId="0796C931" wp14:editId="3EB1160C">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14:paraId="4B3498CD" w14:textId="77777777" w:rsidR="002B0DFD" w:rsidRDefault="002B0DFD" w:rsidP="00DF6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66.85pt;margin-top:6.55pt;width:57.6pt;height:8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knKgIAAFI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" o:allowincell="f">
                <v:textbox>
                  <w:txbxContent>
                    <w:p w14:paraId="4B3498CD" w14:textId="77777777" w:rsidR="002B0DFD" w:rsidRDefault="002B0DFD" w:rsidP="00DF61DF"/>
                  </w:txbxContent>
                </v:textbox>
              </v:shape>
            </w:pict>
          </mc:Fallback>
        </mc:AlternateContent>
      </w:r>
      <w:r w:rsidRPr="00DF61DF">
        <w:rPr>
          <w:rFonts w:asciiTheme="minorBidi" w:eastAsia="SimSun" w:hAnsiTheme="minorBidi" w:cstheme="minorBidi"/>
          <w:sz w:val="20"/>
          <w:lang w:eastAsia="zh-CN"/>
        </w:rPr>
        <w:t>UNEP</w:t>
      </w:r>
      <w:r w:rsidRPr="00DF61DF">
        <w:rPr>
          <w:rFonts w:asciiTheme="minorBidi" w:eastAsia="SimSun" w:hAnsiTheme="minorBidi" w:cstheme="minorBidi"/>
          <w:sz w:val="20"/>
          <w:lang w:eastAsia="zh-CN"/>
        </w:rPr>
        <w:tab/>
        <w:t>United Nations Environmental Programme</w:t>
      </w:r>
    </w:p>
    <w:p w14:paraId="4FF12920"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UNESCO</w:t>
      </w:r>
      <w:r w:rsidRPr="00DF61DF">
        <w:rPr>
          <w:rFonts w:asciiTheme="minorBidi" w:eastAsia="SimSun" w:hAnsiTheme="minorBidi" w:cstheme="minorBidi"/>
          <w:sz w:val="20"/>
          <w:lang w:eastAsia="zh-CN"/>
        </w:rPr>
        <w:tab/>
        <w:t>United Nations Educational, Scientific and Cultural Organization</w:t>
      </w:r>
    </w:p>
    <w:p w14:paraId="71C3916E"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UNFCCC</w:t>
      </w:r>
      <w:r w:rsidRPr="00DF61DF">
        <w:rPr>
          <w:rFonts w:asciiTheme="minorBidi" w:eastAsia="SimSun" w:hAnsiTheme="minorBidi" w:cstheme="minorBidi"/>
          <w:sz w:val="20"/>
          <w:lang w:eastAsia="zh-CN"/>
        </w:rPr>
        <w:tab/>
        <w:t>Framework Convention on Climate Change</w:t>
      </w:r>
    </w:p>
    <w:p w14:paraId="76AF1CDF"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UN H-MOSS</w:t>
      </w:r>
      <w:r w:rsidRPr="00DF61DF">
        <w:rPr>
          <w:rFonts w:asciiTheme="minorBidi" w:eastAsia="SimSun" w:hAnsiTheme="minorBidi" w:cstheme="minorBidi"/>
          <w:sz w:val="20"/>
          <w:lang w:eastAsia="zh-CN"/>
        </w:rPr>
        <w:tab/>
        <w:t>UN Headquarters Minimum Operating Security Standards</w:t>
      </w:r>
    </w:p>
    <w:p w14:paraId="36F39737" w14:textId="77777777" w:rsidR="00DF61DF" w:rsidRPr="00DF61DF" w:rsidRDefault="00DF61DF" w:rsidP="00DF61DF">
      <w:pPr>
        <w:tabs>
          <w:tab w:val="left" w:pos="2127"/>
        </w:tabs>
        <w:spacing w:after="40"/>
        <w:ind w:left="2127" w:right="-476"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UNICC</w:t>
      </w:r>
      <w:r w:rsidRPr="00DF61DF">
        <w:rPr>
          <w:rFonts w:asciiTheme="minorBidi" w:eastAsia="SimSun" w:hAnsiTheme="minorBidi" w:cstheme="minorBidi"/>
          <w:sz w:val="20"/>
          <w:lang w:eastAsia="zh-CN"/>
        </w:rPr>
        <w:tab/>
        <w:t>UN International Computing Centre</w:t>
      </w:r>
    </w:p>
    <w:p w14:paraId="39FCEABA" w14:textId="77777777" w:rsidR="00DF61DF" w:rsidRPr="00DF61DF" w:rsidRDefault="00DF61DF" w:rsidP="00DF61DF">
      <w:pPr>
        <w:tabs>
          <w:tab w:val="left" w:pos="2127"/>
        </w:tabs>
        <w:spacing w:after="40"/>
        <w:ind w:left="2127" w:right="-476"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UNIDO</w:t>
      </w:r>
      <w:r w:rsidRPr="00DF61DF">
        <w:rPr>
          <w:rFonts w:asciiTheme="minorBidi" w:eastAsia="SimSun" w:hAnsiTheme="minorBidi" w:cstheme="minorBidi"/>
          <w:sz w:val="20"/>
          <w:lang w:eastAsia="zh-CN"/>
        </w:rPr>
        <w:tab/>
        <w:t>United Nations Industrial Development Organization</w:t>
      </w:r>
    </w:p>
    <w:p w14:paraId="36C5C1EE"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UNOSSC</w:t>
      </w:r>
      <w:r w:rsidRPr="00DF61DF">
        <w:rPr>
          <w:rFonts w:asciiTheme="minorBidi" w:eastAsia="SimSun" w:hAnsiTheme="minorBidi" w:cstheme="minorBidi"/>
          <w:sz w:val="20"/>
          <w:lang w:eastAsia="zh-CN"/>
        </w:rPr>
        <w:tab/>
        <w:t>United Nations Office for South-South Cooperation</w:t>
      </w:r>
    </w:p>
    <w:p w14:paraId="5BAD9190"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UNSAS</w:t>
      </w:r>
      <w:r w:rsidRPr="00DF61DF">
        <w:rPr>
          <w:rFonts w:asciiTheme="minorBidi" w:eastAsia="SimSun" w:hAnsiTheme="minorBidi" w:cstheme="minorBidi"/>
          <w:sz w:val="20"/>
          <w:lang w:eastAsia="zh-CN"/>
        </w:rPr>
        <w:tab/>
        <w:t>United Nations System Accounting Standards</w:t>
      </w:r>
    </w:p>
    <w:p w14:paraId="2CB633CE" w14:textId="77777777" w:rsidR="00DF61DF" w:rsidRPr="00DF61DF" w:rsidRDefault="00DF61DF" w:rsidP="00DF61DF">
      <w:pPr>
        <w:tabs>
          <w:tab w:val="left" w:pos="2127"/>
        </w:tabs>
        <w:spacing w:after="40"/>
        <w:ind w:left="2127" w:right="-476"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UPOV</w:t>
      </w:r>
      <w:r w:rsidRPr="00DF61DF">
        <w:rPr>
          <w:rFonts w:asciiTheme="minorBidi" w:eastAsia="SimSun" w:hAnsiTheme="minorBidi" w:cstheme="minorBidi"/>
          <w:sz w:val="20"/>
          <w:lang w:eastAsia="zh-CN"/>
        </w:rPr>
        <w:tab/>
        <w:t>International Union for the Protection of New Varieties of Plants</w:t>
      </w:r>
    </w:p>
    <w:p w14:paraId="64EE2E4A" w14:textId="77777777" w:rsidR="00DF61DF" w:rsidRPr="00DF61DF" w:rsidRDefault="00DF61DF" w:rsidP="00DF61DF">
      <w:pPr>
        <w:tabs>
          <w:tab w:val="left" w:pos="2127"/>
        </w:tabs>
        <w:spacing w:after="40"/>
        <w:ind w:left="2127" w:right="-476"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USPTO</w:t>
      </w:r>
      <w:r w:rsidRPr="00DF61DF">
        <w:rPr>
          <w:rFonts w:asciiTheme="minorBidi" w:eastAsia="SimSun" w:hAnsiTheme="minorBidi" w:cstheme="minorBidi"/>
          <w:sz w:val="20"/>
          <w:lang w:eastAsia="zh-CN"/>
        </w:rPr>
        <w:tab/>
        <w:t>United States Patent and Trademark Office</w:t>
      </w:r>
    </w:p>
    <w:p w14:paraId="2072BF86"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6D2A4E12"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
          <w:bCs/>
          <w:sz w:val="20"/>
          <w:lang w:eastAsia="zh-CN"/>
        </w:rPr>
        <w:t>V</w:t>
      </w:r>
      <w:r w:rsidRPr="00DF61DF">
        <w:rPr>
          <w:rFonts w:asciiTheme="minorBidi" w:eastAsia="SimSun" w:hAnsiTheme="minorBidi" w:cstheme="minorBidi"/>
          <w:sz w:val="20"/>
          <w:lang w:eastAsia="zh-CN"/>
        </w:rPr>
        <w:t>IP</w:t>
      </w:r>
      <w:r w:rsidRPr="00DF61DF">
        <w:rPr>
          <w:rFonts w:asciiTheme="minorBidi" w:eastAsia="SimSun" w:hAnsiTheme="minorBidi" w:cstheme="minorBidi"/>
          <w:sz w:val="20"/>
          <w:lang w:eastAsia="zh-CN"/>
        </w:rPr>
        <w:tab/>
        <w:t>Visually Impaired Persons and other persons with print disabilities</w:t>
      </w:r>
    </w:p>
    <w:p w14:paraId="0B01F2F1" w14:textId="77777777" w:rsidR="00DF61DF" w:rsidRPr="00DF61DF" w:rsidRDefault="00DF61DF" w:rsidP="00DF61DF">
      <w:pPr>
        <w:tabs>
          <w:tab w:val="left" w:pos="2127"/>
        </w:tabs>
        <w:spacing w:after="120"/>
        <w:ind w:left="2126" w:hanging="2126"/>
        <w:rPr>
          <w:rFonts w:asciiTheme="minorBidi" w:eastAsia="SimSun" w:hAnsiTheme="minorBidi" w:cstheme="minorBidi"/>
          <w:sz w:val="20"/>
          <w:lang w:eastAsia="zh-CN"/>
        </w:rPr>
      </w:pPr>
    </w:p>
    <w:p w14:paraId="64D1B854" w14:textId="77777777" w:rsidR="00DF61DF" w:rsidRPr="00DF61DF" w:rsidRDefault="00DF61DF" w:rsidP="00DF61DF">
      <w:pPr>
        <w:tabs>
          <w:tab w:val="left" w:pos="2127"/>
        </w:tabs>
        <w:rPr>
          <w:rFonts w:asciiTheme="minorBidi" w:eastAsia="SimSun" w:hAnsiTheme="minorBidi" w:cstheme="minorBidi"/>
          <w:bCs/>
          <w:sz w:val="20"/>
          <w:lang w:eastAsia="zh-CN"/>
        </w:rPr>
      </w:pPr>
      <w:r w:rsidRPr="00DF61DF">
        <w:rPr>
          <w:rFonts w:asciiTheme="minorBidi" w:eastAsia="SimSun" w:hAnsiTheme="minorBidi" w:cstheme="minorBidi"/>
          <w:b/>
          <w:bCs/>
          <w:sz w:val="20"/>
          <w:lang w:eastAsia="zh-CN"/>
        </w:rPr>
        <w:t>W</w:t>
      </w:r>
      <w:r w:rsidRPr="00DF61DF">
        <w:rPr>
          <w:rFonts w:asciiTheme="minorBidi" w:eastAsia="SimSun" w:hAnsiTheme="minorBidi" w:cstheme="minorBidi"/>
          <w:bCs/>
          <w:sz w:val="20"/>
          <w:lang w:eastAsia="zh-CN"/>
        </w:rPr>
        <w:t>BO</w:t>
      </w:r>
      <w:r w:rsidRPr="00DF61DF">
        <w:rPr>
          <w:rFonts w:asciiTheme="minorBidi" w:eastAsia="SimSun" w:hAnsiTheme="minorBidi" w:cstheme="minorBidi"/>
          <w:bCs/>
          <w:sz w:val="20"/>
          <w:lang w:eastAsia="zh-CN"/>
        </w:rPr>
        <w:tab/>
        <w:t>WIPO Brazil Office</w:t>
      </w:r>
    </w:p>
    <w:p w14:paraId="5C9951DE" w14:textId="77777777" w:rsidR="00DF61DF" w:rsidRPr="00DF61DF" w:rsidRDefault="00DF61DF" w:rsidP="00DF61DF">
      <w:pPr>
        <w:tabs>
          <w:tab w:val="left" w:pos="2127"/>
        </w:tabs>
        <w:rPr>
          <w:rFonts w:asciiTheme="minorBidi" w:eastAsia="SimSun" w:hAnsiTheme="minorBidi" w:cstheme="minorBidi"/>
          <w:bCs/>
          <w:sz w:val="20"/>
          <w:lang w:eastAsia="zh-CN"/>
        </w:rPr>
      </w:pPr>
      <w:r w:rsidRPr="00DF61DF">
        <w:rPr>
          <w:rFonts w:asciiTheme="minorBidi" w:eastAsia="SimSun" w:hAnsiTheme="minorBidi" w:cstheme="minorBidi"/>
          <w:bCs/>
          <w:sz w:val="20"/>
          <w:lang w:eastAsia="zh-CN"/>
        </w:rPr>
        <w:t>WCC</w:t>
      </w:r>
      <w:r w:rsidRPr="00DF61DF">
        <w:rPr>
          <w:rFonts w:asciiTheme="minorBidi" w:eastAsia="SimSun" w:hAnsiTheme="minorBidi" w:cstheme="minorBidi"/>
          <w:bCs/>
          <w:sz w:val="20"/>
          <w:lang w:eastAsia="zh-CN"/>
        </w:rPr>
        <w:tab/>
        <w:t>WIPO Copyright Connection</w:t>
      </w:r>
    </w:p>
    <w:p w14:paraId="00E6AC4F"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bCs/>
          <w:sz w:val="20"/>
          <w:lang w:eastAsia="zh-CN"/>
        </w:rPr>
        <w:t>W</w:t>
      </w:r>
      <w:r w:rsidRPr="00DF61DF">
        <w:rPr>
          <w:rFonts w:asciiTheme="minorBidi" w:eastAsia="SimSun" w:hAnsiTheme="minorBidi" w:cstheme="minorBidi"/>
          <w:sz w:val="20"/>
          <w:lang w:eastAsia="zh-CN"/>
        </w:rPr>
        <w:t>CO</w:t>
      </w:r>
      <w:r w:rsidRPr="00DF61DF">
        <w:rPr>
          <w:rFonts w:asciiTheme="minorBidi" w:eastAsia="SimSun" w:hAnsiTheme="minorBidi" w:cstheme="minorBidi"/>
          <w:sz w:val="20"/>
          <w:lang w:eastAsia="zh-CN"/>
        </w:rPr>
        <w:tab/>
        <w:t>World Customs Organization</w:t>
      </w:r>
    </w:p>
    <w:p w14:paraId="2C6D1370"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WCT</w:t>
      </w:r>
      <w:r w:rsidRPr="00DF61DF">
        <w:rPr>
          <w:rFonts w:asciiTheme="minorBidi" w:eastAsia="SimSun" w:hAnsiTheme="minorBidi" w:cstheme="minorBidi"/>
          <w:sz w:val="20"/>
          <w:lang w:eastAsia="zh-CN"/>
        </w:rPr>
        <w:tab/>
        <w:t>WIPO Copyright Treaty</w:t>
      </w:r>
    </w:p>
    <w:p w14:paraId="6F8F8721"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WHO</w:t>
      </w:r>
      <w:r w:rsidRPr="00DF61DF">
        <w:rPr>
          <w:rFonts w:asciiTheme="minorBidi" w:eastAsia="SimSun" w:hAnsiTheme="minorBidi" w:cstheme="minorBidi"/>
          <w:sz w:val="20"/>
          <w:lang w:eastAsia="zh-CN"/>
        </w:rPr>
        <w:tab/>
        <w:t>World Health Organization</w:t>
      </w:r>
    </w:p>
    <w:p w14:paraId="703FE15A"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WIPO CASE</w:t>
      </w:r>
      <w:r w:rsidRPr="00DF61DF">
        <w:rPr>
          <w:rFonts w:asciiTheme="minorBidi" w:eastAsia="SimSun" w:hAnsiTheme="minorBidi" w:cstheme="minorBidi"/>
          <w:sz w:val="20"/>
          <w:lang w:eastAsia="zh-CN"/>
        </w:rPr>
        <w:tab/>
        <w:t>WIPO Centralized Access to Search and Examination results</w:t>
      </w:r>
    </w:p>
    <w:p w14:paraId="5DB5328E"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WIPOCOS</w:t>
      </w:r>
      <w:r w:rsidRPr="00DF61DF">
        <w:rPr>
          <w:rFonts w:asciiTheme="minorBidi" w:eastAsia="SimSun" w:hAnsiTheme="minorBidi" w:cstheme="minorBidi"/>
          <w:sz w:val="20"/>
          <w:lang w:eastAsia="zh-CN"/>
        </w:rPr>
        <w:tab/>
        <w:t xml:space="preserve">WIPO Copyright Information System </w:t>
      </w:r>
    </w:p>
    <w:p w14:paraId="0B614AFB"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WJO</w:t>
      </w:r>
      <w:r w:rsidRPr="00DF61DF">
        <w:rPr>
          <w:rFonts w:asciiTheme="minorBidi" w:eastAsia="SimSun" w:hAnsiTheme="minorBidi" w:cstheme="minorBidi"/>
          <w:sz w:val="20"/>
          <w:lang w:eastAsia="zh-CN"/>
        </w:rPr>
        <w:tab/>
        <w:t>WIPO Japan Office</w:t>
      </w:r>
    </w:p>
    <w:p w14:paraId="2E86270C"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WOC</w:t>
      </w:r>
      <w:r w:rsidRPr="00DF61DF">
        <w:rPr>
          <w:rFonts w:asciiTheme="minorBidi" w:eastAsia="SimSun" w:hAnsiTheme="minorBidi" w:cstheme="minorBidi"/>
          <w:sz w:val="20"/>
          <w:lang w:eastAsia="zh-CN"/>
        </w:rPr>
        <w:tab/>
        <w:t>WIPO Office in China</w:t>
      </w:r>
    </w:p>
    <w:p w14:paraId="6B94C31C"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WPPT</w:t>
      </w:r>
      <w:r w:rsidRPr="00DF61DF">
        <w:rPr>
          <w:rFonts w:asciiTheme="minorBidi" w:eastAsia="SimSun" w:hAnsiTheme="minorBidi" w:cstheme="minorBidi"/>
          <w:sz w:val="20"/>
          <w:lang w:eastAsia="zh-CN"/>
        </w:rPr>
        <w:tab/>
        <w:t>WIPO Performances and Phonograms Treaty</w:t>
      </w:r>
    </w:p>
    <w:p w14:paraId="450DFB83"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WRO</w:t>
      </w:r>
      <w:r w:rsidRPr="00DF61DF">
        <w:rPr>
          <w:rFonts w:asciiTheme="minorBidi" w:eastAsia="SimSun" w:hAnsiTheme="minorBidi" w:cstheme="minorBidi"/>
          <w:sz w:val="20"/>
          <w:lang w:eastAsia="zh-CN"/>
        </w:rPr>
        <w:tab/>
        <w:t>WIPO Office in the Russian Federation</w:t>
      </w:r>
    </w:p>
    <w:p w14:paraId="4476B179"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WSIS</w:t>
      </w:r>
      <w:r w:rsidRPr="00DF61DF">
        <w:rPr>
          <w:rFonts w:asciiTheme="minorBidi" w:eastAsia="SimSun" w:hAnsiTheme="minorBidi" w:cstheme="minorBidi"/>
          <w:sz w:val="20"/>
          <w:lang w:eastAsia="zh-CN"/>
        </w:rPr>
        <w:tab/>
      </w:r>
      <w:r w:rsidRPr="00DF61DF">
        <w:rPr>
          <w:rFonts w:asciiTheme="minorBidi" w:eastAsia="SimSun" w:hAnsiTheme="minorBidi" w:cstheme="minorBidi"/>
          <w:bCs/>
          <w:sz w:val="20"/>
          <w:lang w:eastAsia="zh-CN"/>
        </w:rPr>
        <w:t>World Summit on the Information Society</w:t>
      </w:r>
    </w:p>
    <w:p w14:paraId="1883437B"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WSO</w:t>
      </w:r>
      <w:r w:rsidRPr="00DF61DF">
        <w:rPr>
          <w:rFonts w:asciiTheme="minorBidi" w:eastAsia="SimSun" w:hAnsiTheme="minorBidi" w:cstheme="minorBidi"/>
          <w:sz w:val="20"/>
          <w:lang w:eastAsia="zh-CN"/>
        </w:rPr>
        <w:tab/>
        <w:t>WIPO Singapore Office</w:t>
      </w:r>
    </w:p>
    <w:p w14:paraId="7EC074F6" w14:textId="77777777" w:rsidR="00DF61DF" w:rsidRPr="00DF61DF" w:rsidRDefault="00DF61DF" w:rsidP="00DF61DF">
      <w:pPr>
        <w:tabs>
          <w:tab w:val="left" w:pos="2127"/>
        </w:tabs>
        <w:spacing w:after="40"/>
        <w:ind w:left="2127" w:hanging="2127"/>
        <w:rPr>
          <w:rFonts w:asciiTheme="minorBidi" w:eastAsia="SimSun" w:hAnsiTheme="minorBidi" w:cstheme="minorBidi"/>
          <w:sz w:val="20"/>
          <w:lang w:eastAsia="zh-CN"/>
        </w:rPr>
      </w:pPr>
      <w:r w:rsidRPr="00DF61DF">
        <w:rPr>
          <w:rFonts w:asciiTheme="minorBidi" w:eastAsia="SimSun" w:hAnsiTheme="minorBidi" w:cstheme="minorBidi"/>
          <w:sz w:val="20"/>
          <w:lang w:eastAsia="zh-CN"/>
        </w:rPr>
        <w:t>WTO</w:t>
      </w:r>
      <w:r w:rsidRPr="00DF61DF">
        <w:rPr>
          <w:rFonts w:asciiTheme="minorBidi" w:eastAsia="SimSun" w:hAnsiTheme="minorBidi" w:cstheme="minorBidi"/>
          <w:sz w:val="20"/>
          <w:lang w:eastAsia="zh-CN"/>
        </w:rPr>
        <w:tab/>
        <w:t xml:space="preserve">World Trade Organization </w:t>
      </w:r>
    </w:p>
    <w:p w14:paraId="3853F2CF" w14:textId="77777777" w:rsidR="00DF61DF" w:rsidRPr="00DF61DF" w:rsidRDefault="00DF61DF" w:rsidP="00DF61DF">
      <w:pPr>
        <w:spacing w:after="220"/>
        <w:rPr>
          <w:rFonts w:asciiTheme="minorBidi" w:eastAsia="SimSun" w:hAnsiTheme="minorBidi" w:cstheme="minorBidi"/>
          <w:sz w:val="20"/>
          <w:lang w:eastAsia="zh-CN"/>
        </w:rPr>
      </w:pPr>
    </w:p>
    <w:p w14:paraId="1602B416" w14:textId="7B059933" w:rsidR="00BD3831" w:rsidRPr="00DF61DF" w:rsidRDefault="00DF61DF" w:rsidP="00DF61DF">
      <w:pPr>
        <w:pStyle w:val="EndofDocumentAR"/>
        <w:rPr>
          <w:rtl/>
        </w:rPr>
      </w:pPr>
      <w:r>
        <w:rPr>
          <w:rFonts w:hint="cs"/>
          <w:rtl/>
        </w:rPr>
        <w:t>[نهاية الملحق الرابع والوثيقة]</w:t>
      </w:r>
    </w:p>
    <w:sectPr w:rsidR="00BD3831" w:rsidRPr="00DF61DF" w:rsidSect="00EF3FA1">
      <w:pgSz w:w="11907" w:h="16840" w:code="9"/>
      <w:pgMar w:top="567" w:right="1418" w:bottom="1418" w:left="1134" w:header="510" w:footer="1021" w:gutter="0"/>
      <w:cols w:space="720"/>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0326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478C2" w14:textId="77777777" w:rsidR="001E0C01" w:rsidRDefault="001E0C01">
      <w:r>
        <w:separator/>
      </w:r>
    </w:p>
  </w:endnote>
  <w:endnote w:type="continuationSeparator" w:id="0">
    <w:p w14:paraId="41ED1DFA" w14:textId="77777777" w:rsidR="001E0C01" w:rsidRDefault="001E0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104209"/>
      <w:docPartObj>
        <w:docPartGallery w:val="Page Numbers (Bottom of Page)"/>
        <w:docPartUnique/>
      </w:docPartObj>
    </w:sdtPr>
    <w:sdtEndPr>
      <w:rPr>
        <w:noProof/>
      </w:rPr>
    </w:sdtEndPr>
    <w:sdtContent>
      <w:p w14:paraId="54972C50" w14:textId="1F7BE374" w:rsidR="002B0DFD" w:rsidRDefault="002B0DFD" w:rsidP="00AD0B9C">
        <w:pPr>
          <w:jc w:val="center"/>
        </w:pPr>
        <w:r>
          <w:fldChar w:fldCharType="begin"/>
        </w:r>
        <w:r>
          <w:instrText xml:space="preserve"> PAGE   \* MERGEFORMAT </w:instrText>
        </w:r>
        <w:r>
          <w:fldChar w:fldCharType="separate"/>
        </w:r>
        <w:r w:rsidR="000B74B5">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497672"/>
      <w:docPartObj>
        <w:docPartGallery w:val="Page Numbers (Bottom of Page)"/>
        <w:docPartUnique/>
      </w:docPartObj>
    </w:sdtPr>
    <w:sdtEndPr>
      <w:rPr>
        <w:noProof/>
      </w:rPr>
    </w:sdtEndPr>
    <w:sdtContent>
      <w:p w14:paraId="0017D7B6" w14:textId="79AFC952" w:rsidR="002B0DFD" w:rsidRDefault="002B0DFD" w:rsidP="00AD0B9C">
        <w:pPr>
          <w:jc w:val="center"/>
        </w:pPr>
        <w:r>
          <w:fldChar w:fldCharType="begin"/>
        </w:r>
        <w:r>
          <w:instrText xml:space="preserve"> PAGE   \* MERGEFORMAT </w:instrText>
        </w:r>
        <w:r>
          <w:fldChar w:fldCharType="separate"/>
        </w:r>
        <w:r w:rsidR="000B74B5">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372564"/>
      <w:docPartObj>
        <w:docPartGallery w:val="Page Numbers (Bottom of Page)"/>
        <w:docPartUnique/>
      </w:docPartObj>
    </w:sdtPr>
    <w:sdtEndPr>
      <w:rPr>
        <w:noProof/>
      </w:rPr>
    </w:sdtEndPr>
    <w:sdtContent>
      <w:p w14:paraId="3522B1E2" w14:textId="77777777" w:rsidR="00DF5846" w:rsidRDefault="00DF5846" w:rsidP="00355AE9">
        <w:pPr>
          <w:jc w:val="center"/>
        </w:pPr>
        <w:r>
          <w:fldChar w:fldCharType="begin"/>
        </w:r>
        <w:r>
          <w:instrText xml:space="preserve"> PAGE   \* MERGEFORMAT </w:instrText>
        </w:r>
        <w:r>
          <w:fldChar w:fldCharType="separate"/>
        </w:r>
        <w:r w:rsidR="000B74B5">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D0D59" w14:textId="77777777" w:rsidR="001E0C01" w:rsidRDefault="001E0C01" w:rsidP="009622BF">
      <w:pPr>
        <w:bidi/>
      </w:pPr>
      <w:bookmarkStart w:id="0" w:name="OLE_LINK1"/>
      <w:bookmarkStart w:id="1" w:name="OLE_LINK2"/>
      <w:r>
        <w:separator/>
      </w:r>
      <w:bookmarkEnd w:id="0"/>
      <w:bookmarkEnd w:id="1"/>
    </w:p>
  </w:footnote>
  <w:footnote w:type="continuationSeparator" w:id="0">
    <w:p w14:paraId="25470221" w14:textId="77777777" w:rsidR="001E0C01" w:rsidRDefault="001E0C01" w:rsidP="009622BF">
      <w:pPr>
        <w:bidi/>
      </w:pPr>
      <w:r>
        <w:separator/>
      </w:r>
    </w:p>
  </w:footnote>
  <w:footnote w:id="1">
    <w:p w14:paraId="4AC940D6" w14:textId="1B8C9940" w:rsidR="002B0DFD" w:rsidRPr="009178C3" w:rsidRDefault="002B0DFD" w:rsidP="00F2534E">
      <w:pPr>
        <w:pStyle w:val="FootnoteText"/>
        <w:rPr>
          <w:lang w:bidi="ar-EG"/>
        </w:rPr>
      </w:pPr>
      <w:r w:rsidRPr="009178C3">
        <w:rPr>
          <w:rStyle w:val="FootnoteReference"/>
        </w:rPr>
        <w:footnoteRef/>
      </w:r>
      <w:r w:rsidRPr="009178C3">
        <w:rPr>
          <w:rtl/>
        </w:rPr>
        <w:t xml:space="preserve"> </w:t>
      </w:r>
      <w:r w:rsidRPr="009178C3">
        <w:rPr>
          <w:rtl/>
          <w:lang w:bidi="ar-EG"/>
        </w:rPr>
        <w:t xml:space="preserve">استجابة </w:t>
      </w:r>
      <w:r>
        <w:rPr>
          <w:rFonts w:hint="cs"/>
          <w:rtl/>
          <w:lang w:bidi="ar-EG"/>
        </w:rPr>
        <w:t>ل</w:t>
      </w:r>
      <w:r w:rsidRPr="009178C3">
        <w:rPr>
          <w:rtl/>
          <w:lang w:bidi="ar-EG"/>
        </w:rPr>
        <w:t>طلبات الدول الأعضاء، حصل</w:t>
      </w:r>
      <w:r>
        <w:rPr>
          <w:rFonts w:hint="cs"/>
          <w:rtl/>
          <w:lang w:bidi="ar-EG"/>
        </w:rPr>
        <w:t>ت</w:t>
      </w:r>
      <w:r w:rsidRPr="009178C3">
        <w:rPr>
          <w:rtl/>
          <w:lang w:bidi="ar-EG"/>
        </w:rPr>
        <w:t xml:space="preserve"> البرامج على فرصة لتحديد الأهداف التي لم تحدد في برنامج وميزانية </w:t>
      </w:r>
      <w:r>
        <w:rPr>
          <w:rFonts w:hint="cs"/>
          <w:rtl/>
          <w:lang w:bidi="ar-EG"/>
        </w:rPr>
        <w:t>2016/17، أي</w:t>
      </w:r>
      <w:r w:rsidRPr="009178C3">
        <w:rPr>
          <w:rtl/>
          <w:lang w:bidi="ar-EG"/>
        </w:rPr>
        <w:t xml:space="preserve"> الأهداف "التي</w:t>
      </w:r>
      <w:r>
        <w:rPr>
          <w:rFonts w:hint="cs"/>
          <w:rtl/>
          <w:lang w:bidi="ar-EG"/>
        </w:rPr>
        <w:t> ستحدد لاحقاً</w:t>
      </w:r>
      <w:r w:rsidRPr="009178C3">
        <w:rPr>
          <w:rtl/>
          <w:lang w:bidi="ar-EG"/>
        </w:rPr>
        <w:t>"</w:t>
      </w:r>
      <w:r>
        <w:rPr>
          <w:rFonts w:hint="cs"/>
          <w:rtl/>
          <w:lang w:bidi="ar-EG"/>
        </w:rPr>
        <w:t>،</w:t>
      </w:r>
      <w:r w:rsidRPr="009178C3">
        <w:rPr>
          <w:rtl/>
          <w:lang w:bidi="ar-EG"/>
        </w:rPr>
        <w:t xml:space="preserve"> </w:t>
      </w:r>
      <w:r>
        <w:rPr>
          <w:rFonts w:hint="cs"/>
          <w:rtl/>
          <w:lang w:bidi="ar-EG"/>
        </w:rPr>
        <w:t>عند</w:t>
      </w:r>
      <w:r w:rsidRPr="009178C3">
        <w:rPr>
          <w:rtl/>
          <w:lang w:bidi="ar-EG"/>
        </w:rPr>
        <w:t xml:space="preserve"> تحديث </w:t>
      </w:r>
      <w:r>
        <w:rPr>
          <w:rFonts w:hint="cs"/>
          <w:rtl/>
          <w:lang w:bidi="ar-EG"/>
        </w:rPr>
        <w:t xml:space="preserve">أسس المقارنة بالاستناد إلى بيانات نهاية عام 2015. وتظل الأهداف التي لم تُحدد خلال تلك العملية عل حالها، ومن ثم تقيَّم مؤشرات الأداء المعنية على أنها "غير قابل للقياس". وسعياً إلى تعزيز صحة المعلومات الواردة في تقرير الثنائية 216/17، حسِّنت عملية تحديد أسس المقارنة والأهداف وتعريها للسماح للبرامج بتحديث أهدافها في حال حققت تلك الأهداف بحلول نهاية عام 2015 بما يتماشى مع </w:t>
      </w:r>
      <w:r w:rsidRPr="00F2534E">
        <w:rPr>
          <w:rtl/>
          <w:lang w:bidi="ar-EG"/>
        </w:rPr>
        <w:t>تقرير التثبيت لشعبة الرقابة الداخلية بشأن تقرير أداء البرنامج للثنائية</w:t>
      </w:r>
      <w:r>
        <w:rPr>
          <w:rFonts w:hint="cs"/>
          <w:rtl/>
          <w:lang w:bidi="ar-EG"/>
        </w:rPr>
        <w:t xml:space="preserve"> 2014/15.</w:t>
      </w:r>
    </w:p>
  </w:footnote>
  <w:footnote w:id="2">
    <w:p w14:paraId="0688CE4D" w14:textId="77777777" w:rsidR="002B0DFD" w:rsidRDefault="002B0DFD" w:rsidP="003C4619">
      <w:pPr>
        <w:pStyle w:val="FootnoteText"/>
        <w:rPr>
          <w:lang w:bidi="ar-EG"/>
        </w:rPr>
      </w:pPr>
      <w:r>
        <w:rPr>
          <w:rStyle w:val="FootnoteReference"/>
        </w:rPr>
        <w:footnoteRef/>
      </w:r>
      <w:r>
        <w:rPr>
          <w:rtl/>
        </w:rPr>
        <w:t xml:space="preserve"> </w:t>
      </w:r>
      <w:hyperlink r:id="rId1" w:history="1">
        <w:r w:rsidRPr="003B7BB3">
          <w:rPr>
            <w:rStyle w:val="Hyperlink"/>
          </w:rPr>
          <w:t>http://www.wipo.int/amc/en/new/2016_qmsurvey.html</w:t>
        </w:r>
      </w:hyperlink>
    </w:p>
  </w:footnote>
  <w:footnote w:id="3">
    <w:p w14:paraId="495F2522" w14:textId="77777777" w:rsidR="002B0DFD" w:rsidRDefault="002B0DFD" w:rsidP="003C4619">
      <w:pPr>
        <w:pStyle w:val="FootnoteText"/>
      </w:pPr>
      <w:r>
        <w:rPr>
          <w:rStyle w:val="FootnoteReference"/>
        </w:rPr>
        <w:footnoteRef/>
      </w:r>
      <w:r>
        <w:rPr>
          <w:rtl/>
        </w:rPr>
        <w:t xml:space="preserve"> </w:t>
      </w:r>
      <w:r>
        <w:rPr>
          <w:rFonts w:hint="cs"/>
          <w:rtl/>
        </w:rPr>
        <w:t>يُعرَّف التسويق بأنه تطبيق التكنولوجيا الملائمة في القطاع العام.</w:t>
      </w:r>
    </w:p>
  </w:footnote>
  <w:footnote w:id="4">
    <w:p w14:paraId="0D8D575E" w14:textId="28CC1760" w:rsidR="002B0DFD" w:rsidRPr="00606AFA" w:rsidRDefault="002B0DFD" w:rsidP="00396976">
      <w:pPr>
        <w:pStyle w:val="FootnoteText"/>
        <w:rPr>
          <w:lang w:bidi="ar-EG"/>
        </w:rPr>
      </w:pPr>
      <w:r>
        <w:rPr>
          <w:rStyle w:val="FootnoteReference"/>
        </w:rPr>
        <w:footnoteRef/>
      </w:r>
      <w:r>
        <w:rPr>
          <w:rtl/>
        </w:rPr>
        <w:t xml:space="preserve"> </w:t>
      </w:r>
      <w:r w:rsidRPr="00396976">
        <w:rPr>
          <w:rtl/>
          <w:lang w:bidi="ar-EG"/>
        </w:rPr>
        <w:t>تقرير بشأن الاستعراض المستقل لتنفيذ توصيات جدول أعمال التنمية</w:t>
      </w:r>
      <w:r>
        <w:rPr>
          <w:rFonts w:hint="cs"/>
          <w:rtl/>
          <w:lang w:bidi="ar-EG"/>
        </w:rPr>
        <w:t xml:space="preserve">: </w:t>
      </w:r>
      <w:hyperlink r:id="rId2" w:history="1">
        <w:r w:rsidRPr="00606AFA">
          <w:rPr>
            <w:rStyle w:val="Hyperlink"/>
            <w:lang w:bidi="ar-EG"/>
          </w:rPr>
          <w:t>CDIP/18/7</w:t>
        </w:r>
      </w:hyperlink>
    </w:p>
  </w:footnote>
  <w:footnote w:id="5">
    <w:p w14:paraId="025D64B4" w14:textId="77777777" w:rsidR="002B0DFD" w:rsidRDefault="002B0DFD" w:rsidP="003C4619">
      <w:pPr>
        <w:pStyle w:val="FootnoteText"/>
        <w:rPr>
          <w:lang w:bidi="ar-EG"/>
        </w:rPr>
      </w:pPr>
      <w:r>
        <w:rPr>
          <w:rStyle w:val="FootnoteReference"/>
        </w:rPr>
        <w:footnoteRef/>
      </w:r>
      <w:r>
        <w:rPr>
          <w:rtl/>
        </w:rPr>
        <w:t xml:space="preserve"> </w:t>
      </w:r>
      <w:r w:rsidRPr="00AC6A3E">
        <w:rPr>
          <w:rtl/>
          <w:lang w:bidi="ar-EG"/>
        </w:rPr>
        <w:t xml:space="preserve">تصويب: في عام 2015، كانت هناك ستة مكاتب في البلدان التي تمر اقتصاداتها بمرحلة انتقالية (76 مكتبا إجمالا) تستخدم نظم الويبو </w:t>
      </w:r>
      <w:r>
        <w:rPr>
          <w:rFonts w:hint="cs"/>
          <w:rtl/>
          <w:lang w:bidi="ar-EG"/>
        </w:rPr>
        <w:t>لأعمال</w:t>
      </w:r>
      <w:r>
        <w:rPr>
          <w:rtl/>
          <w:lang w:bidi="ar-EG"/>
        </w:rPr>
        <w:t xml:space="preserve"> </w:t>
      </w:r>
      <w:r w:rsidRPr="00AC6A3E">
        <w:rPr>
          <w:rtl/>
          <w:lang w:bidi="ar-EG"/>
        </w:rPr>
        <w:t>مك</w:t>
      </w:r>
      <w:r>
        <w:rPr>
          <w:rFonts w:hint="cs"/>
          <w:rtl/>
          <w:lang w:bidi="ar-EG"/>
        </w:rPr>
        <w:t>ا</w:t>
      </w:r>
      <w:r w:rsidRPr="00AC6A3E">
        <w:rPr>
          <w:rtl/>
          <w:lang w:bidi="ar-EG"/>
        </w:rPr>
        <w:t xml:space="preserve">تب الملكية الفكرية وليس سبعة مكاتب (77 مكتبا إجمالا) </w:t>
      </w:r>
      <w:r>
        <w:rPr>
          <w:rFonts w:hint="cs"/>
          <w:rtl/>
          <w:lang w:bidi="ar-EG"/>
        </w:rPr>
        <w:t>كما</w:t>
      </w:r>
      <w:r w:rsidRPr="00AC6A3E">
        <w:rPr>
          <w:rtl/>
          <w:lang w:bidi="ar-EG"/>
        </w:rPr>
        <w:t xml:space="preserve"> </w:t>
      </w:r>
      <w:r>
        <w:rPr>
          <w:rFonts w:hint="cs"/>
          <w:rtl/>
          <w:lang w:bidi="ar-EG"/>
        </w:rPr>
        <w:t>ورد</w:t>
      </w:r>
      <w:r w:rsidRPr="00AC6A3E">
        <w:rPr>
          <w:rtl/>
          <w:lang w:bidi="ar-EG"/>
        </w:rPr>
        <w:t xml:space="preserve"> في تقرير أداء البرنامج </w:t>
      </w:r>
      <w:r>
        <w:rPr>
          <w:rFonts w:hint="cs"/>
          <w:rtl/>
          <w:lang w:bidi="ar-EG"/>
        </w:rPr>
        <w:t xml:space="preserve">للثنائية </w:t>
      </w:r>
      <w:r w:rsidRPr="00AC6A3E">
        <w:rPr>
          <w:rtl/>
          <w:lang w:bidi="ar-EG"/>
        </w:rPr>
        <w:t>2014/15</w:t>
      </w:r>
    </w:p>
  </w:footnote>
  <w:footnote w:id="6">
    <w:p w14:paraId="128D9DC3" w14:textId="2BF46742" w:rsidR="002B0DFD" w:rsidRPr="00685335" w:rsidRDefault="002B0DFD" w:rsidP="00396976">
      <w:pPr>
        <w:pStyle w:val="FootnoteText"/>
        <w:rPr>
          <w:szCs w:val="16"/>
        </w:rPr>
      </w:pPr>
      <w:r w:rsidRPr="00685335">
        <w:rPr>
          <w:rStyle w:val="FootnoteReference"/>
          <w:sz w:val="16"/>
          <w:rtl/>
          <w:lang w:eastAsia="ar"/>
        </w:rPr>
        <w:footnoteRef/>
      </w:r>
      <w:r w:rsidRPr="00685335">
        <w:rPr>
          <w:rtl/>
          <w:lang w:eastAsia="ar"/>
        </w:rPr>
        <w:t xml:space="preserve"> </w:t>
      </w:r>
      <w:r w:rsidRPr="00685335">
        <w:rPr>
          <w:rtl/>
        </w:rPr>
        <w:t>نتائج</w:t>
      </w:r>
      <w:r w:rsidRPr="00685335">
        <w:rPr>
          <w:rtl/>
          <w:lang w:eastAsia="ar"/>
        </w:rPr>
        <w:t xml:space="preserve"> المؤشرات العالمية للملكية الفكرية:</w:t>
      </w:r>
      <w:r>
        <w:rPr>
          <w:rtl/>
          <w:lang w:eastAsia="ar"/>
        </w:rPr>
        <w:t xml:space="preserve"> </w:t>
      </w:r>
      <w:r w:rsidRPr="00685335">
        <w:rPr>
          <w:rtl/>
          <w:lang w:eastAsia="ar"/>
        </w:rPr>
        <w:t>800 خبر بما في ذلك أخبار نُشرت في وسائل إعلام عالمية كبرى وأكثر من</w:t>
      </w:r>
      <w:r>
        <w:rPr>
          <w:rFonts w:hint="cs"/>
          <w:rtl/>
          <w:lang w:eastAsia="ar"/>
        </w:rPr>
        <w:t xml:space="preserve"> 000 172</w:t>
      </w:r>
      <w:r w:rsidRPr="00685335">
        <w:rPr>
          <w:rtl/>
          <w:lang w:eastAsia="ar"/>
        </w:rPr>
        <w:t xml:space="preserve"> مشاهدة ("انطباع") لتغريدات إطلاق المؤشرات العالمية للملكية الفكرية عبر تويتر.</w:t>
      </w:r>
      <w:r>
        <w:rPr>
          <w:rtl/>
          <w:lang w:eastAsia="ar"/>
        </w:rPr>
        <w:t xml:space="preserve"> </w:t>
      </w:r>
      <w:r w:rsidRPr="00685335">
        <w:rPr>
          <w:rtl/>
          <w:lang w:eastAsia="ar"/>
        </w:rPr>
        <w:t xml:space="preserve">نتائج مؤشر الابتكار العالمي: أكثر من </w:t>
      </w:r>
      <w:r>
        <w:rPr>
          <w:rFonts w:hint="cs"/>
          <w:rtl/>
          <w:lang w:eastAsia="ar"/>
        </w:rPr>
        <w:t>400 7</w:t>
      </w:r>
      <w:r w:rsidRPr="00685335">
        <w:rPr>
          <w:rtl/>
          <w:lang w:eastAsia="ar"/>
        </w:rPr>
        <w:t xml:space="preserve"> خبر، بما في ذلك تغطية تلفزيونية في محطات بارزة وأكثر من </w:t>
      </w:r>
      <w:r>
        <w:rPr>
          <w:rFonts w:hint="cs"/>
          <w:rtl/>
          <w:lang w:eastAsia="ar"/>
        </w:rPr>
        <w:t xml:space="preserve">000 171 </w:t>
      </w:r>
      <w:r w:rsidRPr="00685335">
        <w:rPr>
          <w:rtl/>
          <w:lang w:eastAsia="ar"/>
        </w:rPr>
        <w:t>مشاهدة لتغريدات الويبو عبر</w:t>
      </w:r>
      <w:r>
        <w:rPr>
          <w:rtl/>
          <w:lang w:eastAsia="ar"/>
        </w:rPr>
        <w:t xml:space="preserve"> </w:t>
      </w:r>
      <w:r>
        <w:rPr>
          <w:rFonts w:hint="cs"/>
          <w:rtl/>
          <w:lang w:eastAsia="ar"/>
        </w:rPr>
        <w:t>الهاشتاق</w:t>
      </w:r>
      <w:r>
        <w:rPr>
          <w:rtl/>
          <w:lang w:eastAsia="ar"/>
        </w:rPr>
        <w:t xml:space="preserve"> </w:t>
      </w:r>
      <w:r>
        <w:rPr>
          <w:lang w:eastAsia="ar"/>
        </w:rPr>
        <w:t>#GII2016</w:t>
      </w:r>
      <w:r w:rsidRPr="00685335">
        <w:rPr>
          <w:rtl/>
          <w:lang w:eastAsia="ar"/>
        </w:rPr>
        <w:t xml:space="preserve"> على تويتر.</w:t>
      </w:r>
    </w:p>
  </w:footnote>
  <w:footnote w:id="7">
    <w:p w14:paraId="1D01C210" w14:textId="77777777" w:rsidR="002B0DFD" w:rsidRPr="003A74C2" w:rsidRDefault="002B0DFD" w:rsidP="003A74C2">
      <w:pPr>
        <w:pStyle w:val="FootnoteText"/>
      </w:pPr>
      <w:r>
        <w:rPr>
          <w:rStyle w:val="FootnoteReference"/>
        </w:rPr>
        <w:footnoteRef/>
      </w:r>
      <w:r>
        <w:rPr>
          <w:rFonts w:hint="cs"/>
          <w:rtl/>
        </w:rPr>
        <w:t xml:space="preserve"> ملخص الرئ</w:t>
      </w:r>
      <w:r w:rsidRPr="003A74C2">
        <w:rPr>
          <w:rFonts w:hint="cs"/>
          <w:rtl/>
        </w:rPr>
        <w:t xml:space="preserve">يس: </w:t>
      </w:r>
      <w:hyperlink r:id="rId3" w:history="1">
        <w:r w:rsidRPr="003A74C2">
          <w:rPr>
            <w:rStyle w:val="Hyperlink"/>
          </w:rPr>
          <w:t>SCP/23/5</w:t>
        </w:r>
      </w:hyperlink>
    </w:p>
  </w:footnote>
  <w:footnote w:id="8">
    <w:p w14:paraId="677EB2FB" w14:textId="77777777" w:rsidR="002B0DFD" w:rsidRPr="003A74C2" w:rsidRDefault="002B0DFD" w:rsidP="003A74C2">
      <w:pPr>
        <w:pStyle w:val="FootnoteText"/>
      </w:pPr>
      <w:r>
        <w:rPr>
          <w:rStyle w:val="FootnoteReference"/>
        </w:rPr>
        <w:footnoteRef/>
      </w:r>
      <w:r>
        <w:rPr>
          <w:rtl/>
        </w:rPr>
        <w:t xml:space="preserve"> </w:t>
      </w:r>
      <w:r>
        <w:rPr>
          <w:rFonts w:hint="cs"/>
          <w:rtl/>
        </w:rPr>
        <w:t>ملخص الر</w:t>
      </w:r>
      <w:r w:rsidRPr="003A74C2">
        <w:rPr>
          <w:rFonts w:hint="cs"/>
          <w:rtl/>
        </w:rPr>
        <w:t xml:space="preserve">ئيس: </w:t>
      </w:r>
      <w:hyperlink r:id="rId4" w:history="1">
        <w:r w:rsidRPr="003A74C2">
          <w:rPr>
            <w:rStyle w:val="Hyperlink"/>
          </w:rPr>
          <w:t>SCP/24/5</w:t>
        </w:r>
      </w:hyperlink>
    </w:p>
  </w:footnote>
  <w:footnote w:id="9">
    <w:p w14:paraId="02A538DB" w14:textId="48D3A45E" w:rsidR="002B0DFD" w:rsidRDefault="002B0DFD" w:rsidP="00DB0677">
      <w:pPr>
        <w:pStyle w:val="FootnoteText"/>
      </w:pPr>
      <w:r>
        <w:rPr>
          <w:rStyle w:val="FootnoteReference"/>
        </w:rPr>
        <w:footnoteRef/>
      </w:r>
      <w:r>
        <w:rPr>
          <w:rtl/>
        </w:rPr>
        <w:t xml:space="preserve"> </w:t>
      </w:r>
      <w:r>
        <w:rPr>
          <w:rFonts w:hint="cs"/>
          <w:rtl/>
        </w:rPr>
        <w:t>انظر الحاشية السابقة.</w:t>
      </w:r>
    </w:p>
  </w:footnote>
  <w:footnote w:id="10">
    <w:p w14:paraId="1782CBBB" w14:textId="77777777" w:rsidR="002B0DFD" w:rsidRPr="003A74C2" w:rsidRDefault="002B0DFD" w:rsidP="003A74C2">
      <w:pPr>
        <w:pStyle w:val="FootnoteText"/>
      </w:pPr>
      <w:r>
        <w:rPr>
          <w:rStyle w:val="FootnoteReference"/>
        </w:rPr>
        <w:footnoteRef/>
      </w:r>
      <w:r>
        <w:rPr>
          <w:rtl/>
        </w:rPr>
        <w:t xml:space="preserve"> </w:t>
      </w:r>
      <w:r>
        <w:rPr>
          <w:rFonts w:hint="cs"/>
          <w:rtl/>
        </w:rPr>
        <w:t>ملخص الرئي</w:t>
      </w:r>
      <w:r w:rsidRPr="003A74C2">
        <w:rPr>
          <w:rFonts w:hint="cs"/>
          <w:rtl/>
        </w:rPr>
        <w:t xml:space="preserve">س: </w:t>
      </w:r>
      <w:hyperlink r:id="rId5" w:history="1">
        <w:r w:rsidRPr="003A74C2">
          <w:rPr>
            <w:rStyle w:val="Hyperlink"/>
          </w:rPr>
          <w:t>SCP/25/5</w:t>
        </w:r>
      </w:hyperlink>
    </w:p>
  </w:footnote>
  <w:footnote w:id="11">
    <w:p w14:paraId="439D1C67" w14:textId="77777777" w:rsidR="002B0DFD" w:rsidRPr="007733DD" w:rsidRDefault="002B0DFD" w:rsidP="00AE137A">
      <w:pPr>
        <w:pStyle w:val="FootnoteText"/>
        <w:rPr>
          <w:lang w:bidi="ar-EG"/>
        </w:rPr>
      </w:pPr>
      <w:r>
        <w:rPr>
          <w:rStyle w:val="FootnoteReference"/>
        </w:rPr>
        <w:footnoteRef/>
      </w:r>
      <w:r>
        <w:rPr>
          <w:rtl/>
        </w:rPr>
        <w:t xml:space="preserve"> </w:t>
      </w:r>
      <w:r>
        <w:rPr>
          <w:rFonts w:hint="cs"/>
          <w:rtl/>
        </w:rPr>
        <w:t xml:space="preserve">التقرير الموجز: البند 14 من جدول </w:t>
      </w:r>
      <w:r w:rsidRPr="007733DD">
        <w:rPr>
          <w:rFonts w:hint="cs"/>
          <w:rtl/>
        </w:rPr>
        <w:t xml:space="preserve">الأعمال الموحد: </w:t>
      </w:r>
      <w:hyperlink r:id="rId6" w:history="1">
        <w:r w:rsidRPr="007733DD">
          <w:rPr>
            <w:rStyle w:val="Hyperlink"/>
          </w:rPr>
          <w:t>A/56/16 ADD.4</w:t>
        </w:r>
      </w:hyperlink>
    </w:p>
  </w:footnote>
  <w:footnote w:id="12">
    <w:p w14:paraId="7D57837D" w14:textId="77777777" w:rsidR="002B0DFD" w:rsidRPr="00856C36" w:rsidRDefault="002B0DFD" w:rsidP="00AE137A">
      <w:pPr>
        <w:pStyle w:val="FootnoteText"/>
        <w:rPr>
          <w:color w:val="0000FF" w:themeColor="hyperlink"/>
          <w:u w:val="single"/>
        </w:rPr>
      </w:pPr>
      <w:r>
        <w:rPr>
          <w:rStyle w:val="FootnoteReference"/>
        </w:rPr>
        <w:footnoteRef/>
      </w:r>
      <w:r>
        <w:rPr>
          <w:rFonts w:hint="cs"/>
          <w:rtl/>
        </w:rPr>
        <w:t xml:space="preserve"> </w:t>
      </w:r>
      <w:r w:rsidRPr="00856C36">
        <w:rPr>
          <w:rtl/>
        </w:rPr>
        <w:t>تجميع لردود استبيان بشأن تصاميم واجهات المستخدم المصورة والأيقونات والمحارف/الخطوط</w:t>
      </w:r>
      <w:r>
        <w:rPr>
          <w:rFonts w:hint="cs"/>
          <w:rtl/>
        </w:rPr>
        <w:t>:</w:t>
      </w:r>
      <w:r w:rsidRPr="00856C36">
        <w:rPr>
          <w:rtl/>
        </w:rPr>
        <w:t xml:space="preserve"> </w:t>
      </w:r>
      <w:hyperlink r:id="rId7" w:history="1">
        <w:r w:rsidRPr="00856C36">
          <w:rPr>
            <w:rStyle w:val="Hyperlink"/>
          </w:rPr>
          <w:t>SCT/36/2 REV.</w:t>
        </w:r>
      </w:hyperlink>
    </w:p>
  </w:footnote>
  <w:footnote w:id="13">
    <w:p w14:paraId="215C5E14" w14:textId="77777777" w:rsidR="002B0DFD" w:rsidRDefault="002B0DFD" w:rsidP="00AE137A">
      <w:pPr>
        <w:pStyle w:val="FootnoteText"/>
      </w:pPr>
      <w:r>
        <w:rPr>
          <w:rStyle w:val="FootnoteReference"/>
        </w:rPr>
        <w:footnoteRef/>
      </w:r>
      <w:r>
        <w:rPr>
          <w:rtl/>
        </w:rPr>
        <w:t xml:space="preserve"> </w:t>
      </w:r>
      <w:r w:rsidRPr="00856C36">
        <w:rPr>
          <w:rtl/>
        </w:rPr>
        <w:t>حماية أسماء البلدان من تسجيلها واستخدامها كعلامات تجارية: الممارسات والنُهج ومجالات التوافق الممكنة</w:t>
      </w:r>
      <w:r>
        <w:rPr>
          <w:rFonts w:hint="cs"/>
          <w:rtl/>
          <w:lang w:bidi="ar-EG"/>
        </w:rPr>
        <w:t>:</w:t>
      </w:r>
      <w:r>
        <w:rPr>
          <w:rFonts w:hint="cs"/>
          <w:rtl/>
        </w:rPr>
        <w:t xml:space="preserve"> </w:t>
      </w:r>
      <w:r w:rsidRPr="00856C36">
        <w:rPr>
          <w:rStyle w:val="Hyperlink"/>
        </w:rPr>
        <w:t>SCT/35/4</w:t>
      </w:r>
    </w:p>
  </w:footnote>
  <w:footnote w:id="14">
    <w:p w14:paraId="6F91EEEB" w14:textId="77777777" w:rsidR="002B0DFD" w:rsidRDefault="002B0DFD" w:rsidP="00AE137A">
      <w:pPr>
        <w:pStyle w:val="FootnoteText"/>
        <w:rPr>
          <w:lang w:bidi="ar-EG"/>
        </w:rPr>
      </w:pPr>
      <w:r>
        <w:rPr>
          <w:rStyle w:val="FootnoteReference"/>
        </w:rPr>
        <w:footnoteRef/>
      </w:r>
      <w:r>
        <w:rPr>
          <w:rtl/>
        </w:rPr>
        <w:t xml:space="preserve"> </w:t>
      </w:r>
      <w:r w:rsidRPr="00856C36">
        <w:rPr>
          <w:rFonts w:hint="cs"/>
          <w:rtl/>
        </w:rPr>
        <w:t xml:space="preserve">ملخص الرئيس: </w:t>
      </w:r>
      <w:hyperlink r:id="rId8" w:history="1">
        <w:r w:rsidRPr="00856C36">
          <w:rPr>
            <w:rStyle w:val="Hyperlink"/>
          </w:rPr>
          <w:t>SCT/36/5</w:t>
        </w:r>
      </w:hyperlink>
    </w:p>
  </w:footnote>
  <w:footnote w:id="15">
    <w:p w14:paraId="342357B3" w14:textId="77777777" w:rsidR="002B0DFD" w:rsidRPr="00F20129" w:rsidRDefault="002B0DFD" w:rsidP="00AE137A">
      <w:pPr>
        <w:pStyle w:val="FootnoteText"/>
      </w:pPr>
      <w:r w:rsidRPr="00F20129">
        <w:rPr>
          <w:rStyle w:val="FootnoteReference"/>
        </w:rPr>
        <w:footnoteRef/>
      </w:r>
      <w:r w:rsidRPr="00F20129">
        <w:rPr>
          <w:rtl/>
        </w:rPr>
        <w:t xml:space="preserve"> ملخص الرئيس:</w:t>
      </w:r>
      <w:r>
        <w:rPr>
          <w:rtl/>
        </w:rPr>
        <w:t xml:space="preserve"> </w:t>
      </w:r>
      <w:hyperlink r:id="rId9">
        <w:hyperlink r:id="rId10">
          <w:r w:rsidRPr="00F20129">
            <w:rPr>
              <w:rStyle w:val="Hyperlink"/>
              <w:rtl/>
            </w:rPr>
            <w:t>الدورة الحادية والثلاثون</w:t>
          </w:r>
        </w:hyperlink>
      </w:hyperlink>
    </w:p>
  </w:footnote>
  <w:footnote w:id="16">
    <w:p w14:paraId="4AE83655" w14:textId="77777777" w:rsidR="002B0DFD" w:rsidRPr="00F20129" w:rsidRDefault="002B0DFD" w:rsidP="00AE137A">
      <w:pPr>
        <w:pStyle w:val="FootnoteText"/>
      </w:pPr>
      <w:r w:rsidRPr="00F20129">
        <w:rPr>
          <w:rStyle w:val="FootnoteReference"/>
        </w:rPr>
        <w:footnoteRef/>
      </w:r>
      <w:r w:rsidRPr="00F20129">
        <w:rPr>
          <w:rtl/>
        </w:rPr>
        <w:t xml:space="preserve"> ملخص الرئيس:</w:t>
      </w:r>
      <w:r>
        <w:rPr>
          <w:rtl/>
        </w:rPr>
        <w:t xml:space="preserve"> </w:t>
      </w:r>
      <w:hyperlink r:id="rId11">
        <w:r w:rsidRPr="00F20129">
          <w:rPr>
            <w:rStyle w:val="Hyperlink"/>
            <w:rtl/>
          </w:rPr>
          <w:t>الدورة الثانية والثلاثون</w:t>
        </w:r>
      </w:hyperlink>
    </w:p>
  </w:footnote>
  <w:footnote w:id="17">
    <w:p w14:paraId="49793F95" w14:textId="77777777" w:rsidR="002B0DFD" w:rsidRPr="00F20129" w:rsidRDefault="002B0DFD" w:rsidP="00AE137A">
      <w:pPr>
        <w:pStyle w:val="FootnoteText"/>
      </w:pPr>
      <w:r w:rsidRPr="00F20129">
        <w:rPr>
          <w:rStyle w:val="FootnoteReference"/>
        </w:rPr>
        <w:footnoteRef/>
      </w:r>
      <w:r w:rsidRPr="00F20129">
        <w:rPr>
          <w:rtl/>
        </w:rPr>
        <w:t xml:space="preserve"> ملخص الرئيس:</w:t>
      </w:r>
      <w:r>
        <w:rPr>
          <w:rtl/>
        </w:rPr>
        <w:t xml:space="preserve"> </w:t>
      </w:r>
      <w:hyperlink r:id="rId12">
        <w:hyperlink r:id="rId13">
          <w:r w:rsidRPr="00F20129">
            <w:rPr>
              <w:rStyle w:val="Hyperlink"/>
              <w:rtl/>
            </w:rPr>
            <w:t>الدورة الثالثة والثلاثون</w:t>
          </w:r>
        </w:hyperlink>
      </w:hyperlink>
    </w:p>
  </w:footnote>
  <w:footnote w:id="18">
    <w:p w14:paraId="4B8915C3" w14:textId="77777777" w:rsidR="002B0DFD" w:rsidRPr="00F20129" w:rsidRDefault="002B0DFD" w:rsidP="00AE137A">
      <w:pPr>
        <w:pStyle w:val="FootnoteText"/>
      </w:pPr>
      <w:r w:rsidRPr="00F20129">
        <w:rPr>
          <w:rStyle w:val="FootnoteReference"/>
        </w:rPr>
        <w:footnoteRef/>
      </w:r>
      <w:r w:rsidRPr="00F20129">
        <w:rPr>
          <w:rtl/>
        </w:rPr>
        <w:t xml:space="preserve"> أُنجزت المبادئ التوجيهية في عام 2014 وتخضع حالياً لمرحلة تجريبية يُزمع استكمالها في يونيو 2016.</w:t>
      </w:r>
    </w:p>
  </w:footnote>
  <w:footnote w:id="19">
    <w:p w14:paraId="6514C37D" w14:textId="77777777" w:rsidR="002B0DFD" w:rsidRPr="00F20129" w:rsidRDefault="002B0DFD" w:rsidP="00AE137A">
      <w:pPr>
        <w:pStyle w:val="FootnoteText"/>
      </w:pPr>
      <w:r w:rsidRPr="00F20129">
        <w:rPr>
          <w:rStyle w:val="FootnoteReference"/>
        </w:rPr>
        <w:footnoteRef/>
      </w:r>
      <w:r w:rsidRPr="00F20129">
        <w:rPr>
          <w:rtl/>
        </w:rPr>
        <w:t xml:space="preserve"> قيد الإعداد</w:t>
      </w:r>
    </w:p>
  </w:footnote>
  <w:footnote w:id="20">
    <w:p w14:paraId="067750C5" w14:textId="65F94A1A" w:rsidR="002B0DFD" w:rsidRDefault="002B0DFD">
      <w:pPr>
        <w:pStyle w:val="FootnoteText"/>
      </w:pPr>
      <w:r>
        <w:rPr>
          <w:rStyle w:val="FootnoteReference"/>
        </w:rPr>
        <w:footnoteRef/>
      </w:r>
      <w:r>
        <w:rPr>
          <w:rtl/>
        </w:rPr>
        <w:t xml:space="preserve"> </w:t>
      </w:r>
      <w:r>
        <w:rPr>
          <w:rFonts w:hint="cs"/>
          <w:rtl/>
        </w:rPr>
        <w:t>أضيف هامش التجاوز المسموح لمراعاة الأعمال الرامية إلى تحقيق وفورات والتي قد تؤثر في مستويات الجودة على الأجل القصير.</w:t>
      </w:r>
    </w:p>
  </w:footnote>
  <w:footnote w:id="21">
    <w:p w14:paraId="7D4E3A02" w14:textId="77777777" w:rsidR="002B0DFD" w:rsidRPr="007814D6" w:rsidRDefault="002B0DFD" w:rsidP="00CE6E0B">
      <w:pPr>
        <w:pStyle w:val="FootnoteText"/>
        <w:rPr>
          <w:rtl/>
          <w:lang w:bidi="ar-EG"/>
        </w:rPr>
      </w:pPr>
      <w:r>
        <w:rPr>
          <w:rStyle w:val="FootnoteReference"/>
        </w:rPr>
        <w:footnoteRef/>
      </w:r>
      <w:r>
        <w:rPr>
          <w:rFonts w:hint="cs"/>
          <w:rtl/>
          <w:lang w:bidi="ar-EG"/>
        </w:rPr>
        <w:t xml:space="preserve"> حُسبت تلك النسبة المحدَّثة مقارنة بأساس المقارنة الأصلي، برنامج وميزانية 2016/17، استناداً إلى أحدث البيانات.</w:t>
      </w:r>
    </w:p>
  </w:footnote>
  <w:footnote w:id="22">
    <w:p w14:paraId="3D14684C" w14:textId="77777777" w:rsidR="002B0DFD" w:rsidRDefault="002B0DFD" w:rsidP="00CE6E0B">
      <w:pPr>
        <w:pStyle w:val="FootnoteText"/>
        <w:rPr>
          <w:rtl/>
          <w:lang w:bidi="ar-EG"/>
        </w:rPr>
      </w:pPr>
      <w:r>
        <w:rPr>
          <w:rStyle w:val="FootnoteReference"/>
        </w:rPr>
        <w:footnoteRef/>
      </w:r>
      <w:r>
        <w:rPr>
          <w:rFonts w:hint="cs"/>
          <w:rtl/>
        </w:rPr>
        <w:t xml:space="preserve"> انظر الحاشية السابقة.</w:t>
      </w:r>
    </w:p>
  </w:footnote>
  <w:footnote w:id="23">
    <w:p w14:paraId="7E61A6AD" w14:textId="77777777" w:rsidR="002B0DFD" w:rsidRPr="00F86F61" w:rsidRDefault="002B0DFD" w:rsidP="00257704">
      <w:pPr>
        <w:tabs>
          <w:tab w:val="left" w:pos="330"/>
        </w:tabs>
        <w:bidi/>
        <w:spacing w:after="120" w:line="280" w:lineRule="exact"/>
        <w:rPr>
          <w:rFonts w:ascii="Arabic Typesetting" w:hAnsi="Arabic Typesetting" w:cs="Arabic Typesetting"/>
          <w:sz w:val="28"/>
          <w:szCs w:val="28"/>
        </w:rPr>
      </w:pPr>
      <w:r w:rsidRPr="00F86F61">
        <w:rPr>
          <w:rStyle w:val="FootnoteReference"/>
        </w:rPr>
        <w:footnoteRef/>
      </w:r>
      <w:r>
        <w:rPr>
          <w:rFonts w:ascii="Arabic Typesetting" w:hAnsi="Arabic Typesetting" w:cs="Arabic Typesetting" w:hint="cs"/>
          <w:sz w:val="28"/>
          <w:szCs w:val="28"/>
          <w:rtl/>
        </w:rPr>
        <w:t xml:space="preserve"> </w:t>
      </w:r>
      <w:r w:rsidRPr="00F86F61">
        <w:rPr>
          <w:rFonts w:ascii="Arabic Typesetting" w:hAnsi="Arabic Typesetting" w:cs="Arabic Typesetting"/>
          <w:sz w:val="28"/>
          <w:szCs w:val="28"/>
          <w:rtl/>
        </w:rPr>
        <w:t>النسخة الأصلية هي طلب مودع بناء على معاهدة التعاون بشأن البراءات يحيله مكتب تسلم الطلبات إلى المكتب الدولي بعد إيداعه لدى هذا المكتب وبعدما يعالجه هذا المكتب. ونظراً لأن النسخ الأصلية لا يتسلمها المكتب الدولي إلا بعد أن يع</w:t>
      </w:r>
      <w:r>
        <w:rPr>
          <w:rFonts w:ascii="Arabic Typesetting" w:hAnsi="Arabic Typesetting" w:cs="Arabic Typesetting" w:hint="cs"/>
          <w:sz w:val="28"/>
          <w:szCs w:val="28"/>
          <w:rtl/>
        </w:rPr>
        <w:t>ا</w:t>
      </w:r>
      <w:r w:rsidRPr="00F86F61">
        <w:rPr>
          <w:rFonts w:ascii="Arabic Typesetting" w:hAnsi="Arabic Typesetting" w:cs="Arabic Typesetting"/>
          <w:sz w:val="28"/>
          <w:szCs w:val="28"/>
          <w:rtl/>
        </w:rPr>
        <w:t>لجها مكتب تسلم الطلبات، فإن الأرقام تتأثر كثيراً بفترات معالجة الطلبات في هذه المكاتب. ولهذا السبب، فإن توجهات تسلم النسخ الأصلية، وإن كانت مؤشرات صالحة لأعباء العمل في المكتب الدولي، فإنها لا تتوافق بالضبط مع توجهات إيداع الطلبات بناء على معاهدة التعاون بشأن البراءات</w:t>
      </w:r>
      <w:r w:rsidRPr="00F86F61">
        <w:rPr>
          <w:rFonts w:ascii="Arabic Typesetting" w:hAnsi="Arabic Typesetting" w:cs="Arabic Typesetting"/>
          <w:sz w:val="28"/>
          <w:szCs w:val="28"/>
        </w:rPr>
        <w:t>.</w:t>
      </w:r>
    </w:p>
  </w:footnote>
  <w:footnote w:id="24">
    <w:p w14:paraId="0344392E" w14:textId="5A2A2871" w:rsidR="002B0DFD" w:rsidRPr="00F86F61" w:rsidRDefault="002B0DFD" w:rsidP="00257704">
      <w:pPr>
        <w:pStyle w:val="FootnoteText"/>
        <w:rPr>
          <w:rtl/>
          <w:lang w:bidi="ar-EG"/>
        </w:rPr>
      </w:pPr>
      <w:r w:rsidRPr="00F86F61">
        <w:rPr>
          <w:rStyle w:val="FootnoteReference"/>
        </w:rPr>
        <w:footnoteRef/>
      </w:r>
      <w:r w:rsidRPr="00F86F61">
        <w:rPr>
          <w:rtl/>
        </w:rPr>
        <w:t xml:space="preserve"> </w:t>
      </w:r>
      <w:r w:rsidRPr="00F86F61">
        <w:rPr>
          <w:rtl/>
          <w:lang w:bidi="ar-EG"/>
        </w:rPr>
        <w:t>بعد إجراء استعراض مستقل لمقاييس أداء خدمة المعلومات المتعلقة بنظام التعاون بشأن معاهدة البراءات (</w:t>
      </w:r>
      <w:r w:rsidRPr="00F86F61">
        <w:rPr>
          <w:lang w:bidi="ar-EG"/>
        </w:rPr>
        <w:t>PCTIS</w:t>
      </w:r>
      <w:r w:rsidRPr="00F86F61">
        <w:rPr>
          <w:rtl/>
          <w:lang w:bidi="ar-EG"/>
        </w:rPr>
        <w:t>)، تغير تعريفه قليلا عن التعريف الوارد في وثيقة البرنامج والميزانية</w:t>
      </w:r>
      <w:r>
        <w:rPr>
          <w:rFonts w:hint="cs"/>
          <w:rtl/>
          <w:lang w:bidi="ar-EG"/>
        </w:rPr>
        <w:t xml:space="preserve"> للثنائية</w:t>
      </w:r>
      <w:r w:rsidRPr="00F86F61">
        <w:rPr>
          <w:rtl/>
          <w:lang w:bidi="ar-EG"/>
        </w:rPr>
        <w:t xml:space="preserve"> 2014/15</w:t>
      </w:r>
      <w:r>
        <w:rPr>
          <w:rFonts w:hint="cs"/>
          <w:rtl/>
          <w:lang w:bidi="ar-EG"/>
        </w:rPr>
        <w:t>.</w:t>
      </w:r>
    </w:p>
  </w:footnote>
  <w:footnote w:id="25">
    <w:p w14:paraId="07E56368" w14:textId="77777777" w:rsidR="002B0DFD" w:rsidRPr="00A6112B" w:rsidRDefault="002B0DFD" w:rsidP="00CE6E0B">
      <w:pPr>
        <w:pStyle w:val="FootnoteText"/>
      </w:pPr>
      <w:r w:rsidRPr="00A6112B">
        <w:rPr>
          <w:rStyle w:val="FootnoteReference"/>
        </w:rPr>
        <w:footnoteRef/>
      </w:r>
      <w:r w:rsidRPr="00A6112B">
        <w:rPr>
          <w:rtl/>
        </w:rPr>
        <w:t xml:space="preserve"> حدِّث أساس المقارنة للإشارة إلى عدد الأطراف المتعاقدة في نهاية 2015 استناداً إلى تاريخ الدخول حيز النفاذ مقارنة بتاريخ إيداع الصكوك المبيَّن في</w:t>
      </w:r>
      <w:r>
        <w:rPr>
          <w:rFonts w:hint="cs"/>
          <w:rtl/>
        </w:rPr>
        <w:t> </w:t>
      </w:r>
      <w:r w:rsidRPr="00A6112B">
        <w:rPr>
          <w:rtl/>
        </w:rPr>
        <w:t>تقرير</w:t>
      </w:r>
      <w:r>
        <w:rPr>
          <w:rFonts w:hint="cs"/>
          <w:rtl/>
        </w:rPr>
        <w:t> </w:t>
      </w:r>
      <w:r w:rsidRPr="00A6112B">
        <w:rPr>
          <w:rtl/>
        </w:rPr>
        <w:t>أداء البرنامج 2014/15.</w:t>
      </w:r>
    </w:p>
  </w:footnote>
  <w:footnote w:id="26">
    <w:p w14:paraId="062330E7" w14:textId="77777777" w:rsidR="002B0DFD" w:rsidRPr="00A6112B" w:rsidRDefault="002B0DFD" w:rsidP="00CE6E0B">
      <w:pPr>
        <w:pStyle w:val="FootnoteText"/>
      </w:pPr>
      <w:r w:rsidRPr="00A6112B">
        <w:rPr>
          <w:rStyle w:val="FootnoteReference"/>
        </w:rPr>
        <w:footnoteRef/>
      </w:r>
      <w:r w:rsidRPr="00A6112B">
        <w:rPr>
          <w:rtl/>
        </w:rPr>
        <w:t xml:space="preserve"> يستند أساس المقارنة المحدَّث إلى منهجية جديدة مقارنة بأساس المقارنة الأصلي لبرنامج وميزانية 2016/17. </w:t>
      </w:r>
      <w:r>
        <w:rPr>
          <w:rFonts w:hint="cs"/>
          <w:rtl/>
        </w:rPr>
        <w:t>و</w:t>
      </w:r>
      <w:r w:rsidRPr="00A6112B">
        <w:rPr>
          <w:rtl/>
        </w:rPr>
        <w:t>كانت الحصة السوقية 67 بالمئة في</w:t>
      </w:r>
      <w:r>
        <w:rPr>
          <w:rFonts w:hint="cs"/>
          <w:rtl/>
        </w:rPr>
        <w:t> </w:t>
      </w:r>
      <w:r w:rsidRPr="00A6112B">
        <w:rPr>
          <w:rtl/>
        </w:rPr>
        <w:t>نهاية</w:t>
      </w:r>
      <w:r>
        <w:rPr>
          <w:rFonts w:hint="cs"/>
          <w:rtl/>
        </w:rPr>
        <w:t> </w:t>
      </w:r>
      <w:r w:rsidRPr="00A6112B">
        <w:rPr>
          <w:rtl/>
        </w:rPr>
        <w:t>2012</w:t>
      </w:r>
      <w:r>
        <w:rPr>
          <w:rtl/>
        </w:rPr>
        <w:t xml:space="preserve"> استناداً إلى المنهجية الجديدة.</w:t>
      </w:r>
    </w:p>
  </w:footnote>
  <w:footnote w:id="27">
    <w:p w14:paraId="0F17C728" w14:textId="77777777" w:rsidR="002B0DFD" w:rsidRPr="00A6112B" w:rsidRDefault="002B0DFD" w:rsidP="00CE6E0B">
      <w:pPr>
        <w:pStyle w:val="FootnoteText"/>
      </w:pPr>
      <w:r w:rsidRPr="00A6112B">
        <w:rPr>
          <w:rStyle w:val="FootnoteReference"/>
        </w:rPr>
        <w:footnoteRef/>
      </w:r>
      <w:r w:rsidRPr="00A6112B">
        <w:rPr>
          <w:rtl/>
        </w:rPr>
        <w:t xml:space="preserve"> تستند البيانات المقدَّمة إلى تاريخ الإيداع في مكتب المنشأ عوضاً عن تاريخ التسلّم في المكتب الدولي كما كان الحال في تقارير أداء البرنامج السابقة.</w:t>
      </w:r>
    </w:p>
  </w:footnote>
  <w:footnote w:id="28">
    <w:p w14:paraId="1E400B6C" w14:textId="77777777" w:rsidR="002B0DFD" w:rsidRPr="00A6112B" w:rsidRDefault="002B0DFD" w:rsidP="00CE6E0B">
      <w:pPr>
        <w:pStyle w:val="FootnoteText"/>
      </w:pPr>
      <w:r w:rsidRPr="00A6112B">
        <w:rPr>
          <w:rStyle w:val="FootnoteReference"/>
        </w:rPr>
        <w:footnoteRef/>
      </w:r>
      <w:r w:rsidRPr="00A6112B">
        <w:rPr>
          <w:rtl/>
        </w:rPr>
        <w:t xml:space="preserve"> حدِّث أساس المقارنة استناداً إلى أحدث البيانات.</w:t>
      </w:r>
    </w:p>
  </w:footnote>
  <w:footnote w:id="29">
    <w:p w14:paraId="1A030288" w14:textId="77777777" w:rsidR="002B0DFD" w:rsidRPr="00A6112B" w:rsidRDefault="002B0DFD" w:rsidP="00CE6E0B">
      <w:pPr>
        <w:pStyle w:val="FootnoteText"/>
        <w:tabs>
          <w:tab w:val="left" w:pos="567"/>
        </w:tabs>
      </w:pPr>
      <w:r w:rsidRPr="00A6112B">
        <w:rPr>
          <w:rStyle w:val="FootnoteReference"/>
        </w:rPr>
        <w:footnoteRef/>
      </w:r>
      <w:r w:rsidRPr="00A6112B">
        <w:rPr>
          <w:rtl/>
        </w:rPr>
        <w:t xml:space="preserve"> تصويب: كانت نسبة المخالفات 34 بالمئة وليس 36 بالمئة كما ورد في تقرير أداء البر</w:t>
      </w:r>
      <w:r>
        <w:rPr>
          <w:rtl/>
        </w:rPr>
        <w:t>نامج 2014.</w:t>
      </w:r>
    </w:p>
  </w:footnote>
  <w:footnote w:id="30">
    <w:p w14:paraId="0084DC26" w14:textId="77777777" w:rsidR="002B0DFD" w:rsidRPr="00A6112B" w:rsidRDefault="002B0DFD" w:rsidP="00CE6E0B">
      <w:pPr>
        <w:pStyle w:val="FootnoteText"/>
        <w:tabs>
          <w:tab w:val="left" w:pos="567"/>
        </w:tabs>
      </w:pPr>
      <w:r w:rsidRPr="00A6112B">
        <w:rPr>
          <w:rStyle w:val="FootnoteReference"/>
        </w:rPr>
        <w:footnoteRef/>
      </w:r>
      <w:r w:rsidRPr="00A6112B">
        <w:rPr>
          <w:rtl/>
        </w:rPr>
        <w:t xml:space="preserve"> </w:t>
      </w:r>
      <w:hyperlink r:id="rId14">
        <w:r w:rsidRPr="00A6112B">
          <w:rPr>
            <w:rStyle w:val="Hyperlink"/>
          </w:rPr>
          <w:t>MM/LD/WG/13/2</w:t>
        </w:r>
      </w:hyperlink>
    </w:p>
  </w:footnote>
  <w:footnote w:id="31">
    <w:p w14:paraId="03FE4EE3" w14:textId="77777777" w:rsidR="002B0DFD" w:rsidRPr="00A6112B" w:rsidRDefault="002B0DFD" w:rsidP="00CE6E0B">
      <w:pPr>
        <w:pStyle w:val="FootnoteText"/>
        <w:rPr>
          <w:rtl/>
          <w:lang w:bidi="ar-EG"/>
        </w:rPr>
      </w:pPr>
      <w:r w:rsidRPr="00A6112B">
        <w:rPr>
          <w:rStyle w:val="FootnoteReference"/>
        </w:rPr>
        <w:footnoteRef/>
      </w:r>
      <w:r w:rsidRPr="00A6112B">
        <w:rPr>
          <w:rtl/>
        </w:rPr>
        <w:t xml:space="preserve"> </w:t>
      </w:r>
      <w:hyperlink r:id="rId15">
        <w:r w:rsidRPr="00A6112B">
          <w:rPr>
            <w:rStyle w:val="Hyperlink"/>
          </w:rPr>
          <w:t>MM/LD/WG/14/2 REV</w:t>
        </w:r>
      </w:hyperlink>
      <w:r w:rsidRPr="00231F29">
        <w:rPr>
          <w:rFonts w:hint="cs"/>
          <w:rtl/>
        </w:rPr>
        <w:t>.</w:t>
      </w:r>
    </w:p>
  </w:footnote>
  <w:footnote w:id="32">
    <w:p w14:paraId="4E250CF8" w14:textId="77777777" w:rsidR="002B0DFD" w:rsidRPr="00A6112B" w:rsidRDefault="002B0DFD" w:rsidP="00CE6E0B">
      <w:pPr>
        <w:pStyle w:val="FootnoteText"/>
      </w:pPr>
      <w:r w:rsidRPr="00A6112B">
        <w:rPr>
          <w:rStyle w:val="FootnoteReference"/>
        </w:rPr>
        <w:footnoteRef/>
      </w:r>
      <w:r w:rsidRPr="00A6112B">
        <w:rPr>
          <w:rtl/>
        </w:rPr>
        <w:t xml:space="preserve"> تقرير الد</w:t>
      </w:r>
      <w:r>
        <w:rPr>
          <w:rtl/>
        </w:rPr>
        <w:t>ورة الخمسين لجمعية اتحاد مدريد:</w:t>
      </w:r>
      <w:r w:rsidRPr="00A6112B">
        <w:rPr>
          <w:rtl/>
        </w:rPr>
        <w:t xml:space="preserve"> </w:t>
      </w:r>
      <w:hyperlink r:id="rId16">
        <w:r w:rsidRPr="00A6112B">
          <w:rPr>
            <w:rStyle w:val="Hyperlink"/>
          </w:rPr>
          <w:t>MM/A/50/5</w:t>
        </w:r>
      </w:hyperlink>
    </w:p>
  </w:footnote>
  <w:footnote w:id="33">
    <w:p w14:paraId="7E6F5566" w14:textId="77777777" w:rsidR="002B0DFD" w:rsidRPr="00A6112B" w:rsidRDefault="002B0DFD" w:rsidP="00CE6E0B">
      <w:pPr>
        <w:pStyle w:val="FootnoteText"/>
      </w:pPr>
      <w:r w:rsidRPr="00A6112B">
        <w:rPr>
          <w:rStyle w:val="FootnoteReference"/>
        </w:rPr>
        <w:footnoteRef/>
      </w:r>
      <w:r w:rsidRPr="00A6112B">
        <w:rPr>
          <w:rtl/>
        </w:rPr>
        <w:t xml:space="preserve"> نظراً إلى تحسين أدخل في حساب تكلفة الإنتاج الإجمالية (انظر الفقرة 7 من المرفق الخاص بمؤشرات عمليات مدريد)، لا يمكن مقارنة تكلفة الوحدة بأساس المقارنة ومن ثم أدرج التقييم "غير قابل للقياس".</w:t>
      </w:r>
    </w:p>
  </w:footnote>
  <w:footnote w:id="34">
    <w:p w14:paraId="102C19B3" w14:textId="77777777" w:rsidR="002B0DFD" w:rsidRPr="00A6112B" w:rsidRDefault="002B0DFD" w:rsidP="00CE6E0B">
      <w:pPr>
        <w:pStyle w:val="FootnoteText"/>
      </w:pPr>
      <w:r w:rsidRPr="00A6112B">
        <w:rPr>
          <w:rStyle w:val="FootnoteReference"/>
        </w:rPr>
        <w:footnoteRef/>
      </w:r>
      <w:r w:rsidRPr="00A6112B">
        <w:rPr>
          <w:rtl/>
        </w:rPr>
        <w:t xml:space="preserve"> انظر الحاشية السابقة.</w:t>
      </w:r>
    </w:p>
  </w:footnote>
  <w:footnote w:id="35">
    <w:p w14:paraId="5E4790F4" w14:textId="77777777" w:rsidR="002B0DFD" w:rsidRPr="004628A8" w:rsidRDefault="002B0DFD" w:rsidP="00257704">
      <w:pPr>
        <w:pStyle w:val="FootnoteText"/>
      </w:pPr>
      <w:r w:rsidRPr="004628A8">
        <w:rPr>
          <w:rStyle w:val="FootnoteReference"/>
        </w:rPr>
        <w:footnoteRef/>
      </w:r>
      <w:r w:rsidRPr="004628A8">
        <w:rPr>
          <w:rtl/>
        </w:rPr>
        <w:t xml:space="preserve"> تُقدَّم البيانات بناء على تاريخ الإيداع في مكتب المنشأ بدلاً من تاريخ الاستلام في المكتب الدولي كما ورد في تقارير أداء البرنامج السابقة.</w:t>
      </w:r>
    </w:p>
  </w:footnote>
  <w:footnote w:id="36">
    <w:p w14:paraId="7A90B934" w14:textId="77777777" w:rsidR="002B0DFD" w:rsidRPr="004628A8" w:rsidRDefault="002B0DFD" w:rsidP="00257704">
      <w:pPr>
        <w:pStyle w:val="FootnoteText"/>
        <w:rPr>
          <w:rtl/>
          <w:lang w:bidi="ar-EG"/>
        </w:rPr>
      </w:pPr>
      <w:r w:rsidRPr="004628A8">
        <w:rPr>
          <w:rStyle w:val="FootnoteReference"/>
        </w:rPr>
        <w:footnoteRef/>
      </w:r>
      <w:r w:rsidRPr="004628A8">
        <w:rPr>
          <w:rtl/>
        </w:rPr>
        <w:t xml:space="preserve"> </w:t>
      </w:r>
      <w:r w:rsidRPr="004628A8">
        <w:rPr>
          <w:rtl/>
          <w:lang w:bidi="ar-EG"/>
        </w:rPr>
        <w:t>وصل متوسط عدد الأصناف لكل تسجيل في عام 2015 إلى 6.8 بدلاً من 7.7 كما ورد في تقرير أداء البرنامج للثنائية 2014/15.</w:t>
      </w:r>
    </w:p>
  </w:footnote>
  <w:footnote w:id="37">
    <w:p w14:paraId="1D1E0B8F" w14:textId="77777777" w:rsidR="002B0DFD" w:rsidRPr="004628A8" w:rsidRDefault="002B0DFD" w:rsidP="00257704">
      <w:pPr>
        <w:pStyle w:val="FootnoteText"/>
      </w:pPr>
      <w:r w:rsidRPr="004628A8">
        <w:rPr>
          <w:rStyle w:val="FootnoteReference"/>
        </w:rPr>
        <w:footnoteRef/>
      </w:r>
      <w:r w:rsidRPr="004628A8">
        <w:rPr>
          <w:rtl/>
        </w:rPr>
        <w:t xml:space="preserve"> انظر "إجمالي عبء العمل المعالج" أعلاه</w:t>
      </w:r>
      <w:r>
        <w:rPr>
          <w:rFonts w:hint="cs"/>
          <w:rtl/>
        </w:rPr>
        <w:t>.</w:t>
      </w:r>
    </w:p>
  </w:footnote>
  <w:footnote w:id="38">
    <w:p w14:paraId="24AE369B" w14:textId="77777777" w:rsidR="002B0DFD" w:rsidRPr="004628A8" w:rsidRDefault="002B0DFD" w:rsidP="00257704">
      <w:pPr>
        <w:pStyle w:val="FootnoteText"/>
        <w:rPr>
          <w:rtl/>
          <w:lang w:bidi="ar-EG"/>
        </w:rPr>
      </w:pPr>
      <w:r w:rsidRPr="004628A8">
        <w:rPr>
          <w:rStyle w:val="FootnoteReference"/>
        </w:rPr>
        <w:footnoteRef/>
      </w:r>
      <w:r w:rsidRPr="004628A8">
        <w:rPr>
          <w:rtl/>
        </w:rPr>
        <w:t xml:space="preserve"> </w:t>
      </w:r>
      <w:r w:rsidRPr="004628A8">
        <w:rPr>
          <w:rtl/>
          <w:lang w:bidi="ar-EG"/>
        </w:rPr>
        <w:t>انظر "إجمالي عبء العمل المعالج" أعلاه</w:t>
      </w:r>
      <w:r>
        <w:rPr>
          <w:rFonts w:hint="cs"/>
          <w:rtl/>
          <w:lang w:bidi="ar-EG"/>
        </w:rPr>
        <w:t>.</w:t>
      </w:r>
    </w:p>
  </w:footnote>
  <w:footnote w:id="39">
    <w:p w14:paraId="4A71A0FD" w14:textId="25E2D253" w:rsidR="002B0DFD" w:rsidRPr="004628A8" w:rsidRDefault="002B0DFD" w:rsidP="00396976">
      <w:pPr>
        <w:pStyle w:val="FootnoteText"/>
      </w:pPr>
      <w:r w:rsidRPr="004628A8">
        <w:rPr>
          <w:rStyle w:val="FootnoteReference"/>
        </w:rPr>
        <w:footnoteRef/>
      </w:r>
      <w:r>
        <w:rPr>
          <w:rFonts w:hint="cs"/>
          <w:rtl/>
          <w:lang w:bidi="ar-EG"/>
        </w:rPr>
        <w:t xml:space="preserve"> </w:t>
      </w:r>
      <w:r w:rsidRPr="007722F1">
        <w:rPr>
          <w:rtl/>
          <w:lang w:bidi="ar-EG"/>
        </w:rPr>
        <w:t>إطار إدارة الجودة الخاص بسجل مدريد متاح عند طلبه عبر البريد الإلكتروني التالي</w:t>
      </w:r>
      <w:r>
        <w:rPr>
          <w:rFonts w:hint="cs"/>
          <w:rtl/>
          <w:lang w:bidi="ar-EG"/>
        </w:rPr>
        <w:t xml:space="preserve">: </w:t>
      </w:r>
      <w:hyperlink r:id="rId17" w:history="1">
        <w:r w:rsidRPr="003724FD">
          <w:rPr>
            <w:rStyle w:val="Hyperlink"/>
            <w:lang w:bidi="ar-EG"/>
          </w:rPr>
          <w:t>madrid.qp@wipo.int</w:t>
        </w:r>
      </w:hyperlink>
    </w:p>
  </w:footnote>
  <w:footnote w:id="40">
    <w:p w14:paraId="0439EB19" w14:textId="77777777" w:rsidR="002B0DFD" w:rsidRPr="00452A0D" w:rsidRDefault="002B0DFD" w:rsidP="00257704">
      <w:pPr>
        <w:pStyle w:val="FootnoteText"/>
        <w:rPr>
          <w:rtl/>
        </w:rPr>
      </w:pPr>
      <w:r w:rsidRPr="00452A0D">
        <w:rPr>
          <w:rStyle w:val="FootnoteReference"/>
        </w:rPr>
        <w:footnoteRef/>
      </w:r>
      <w:r w:rsidRPr="00452A0D">
        <w:rPr>
          <w:rtl/>
        </w:rPr>
        <w:t xml:space="preserve"> </w:t>
      </w:r>
      <w:r>
        <w:rPr>
          <w:rFonts w:hint="cs"/>
          <w:rtl/>
        </w:rPr>
        <w:t>المعاملات التي تتضمن على خطأ واحد أو أكثر.</w:t>
      </w:r>
    </w:p>
  </w:footnote>
  <w:footnote w:id="41">
    <w:p w14:paraId="4AA5B586" w14:textId="77777777" w:rsidR="002B0DFD" w:rsidRPr="008A014C" w:rsidRDefault="002B0DFD" w:rsidP="0031289D">
      <w:pPr>
        <w:pStyle w:val="FootnoteText"/>
        <w:rPr>
          <w:rtl/>
          <w:lang w:bidi="ar-EG"/>
        </w:rPr>
      </w:pPr>
      <w:r w:rsidRPr="008A014C">
        <w:rPr>
          <w:rStyle w:val="FootnoteReference"/>
        </w:rPr>
        <w:footnoteRef/>
      </w:r>
      <w:r w:rsidRPr="008A014C">
        <w:rPr>
          <w:rtl/>
        </w:rPr>
        <w:t xml:space="preserve"> </w:t>
      </w:r>
      <w:r w:rsidRPr="008A014C">
        <w:rPr>
          <w:rtl/>
          <w:lang w:bidi="ar-EG"/>
        </w:rPr>
        <w:t xml:space="preserve">وصل إجمالي عدد المخالفات في عام 2015 إلى 062 2 مخالفة بدلاً من </w:t>
      </w:r>
      <w:r>
        <w:rPr>
          <w:rFonts w:hint="cs"/>
          <w:rtl/>
          <w:lang w:bidi="ar-EG"/>
        </w:rPr>
        <w:t>1</w:t>
      </w:r>
      <w:r w:rsidRPr="008A014C">
        <w:rPr>
          <w:rtl/>
          <w:lang w:bidi="ar-EG"/>
        </w:rPr>
        <w:t>18 2 مخالفة كما ورد في تقرير أداء البرنامج للثنائية 2014/15.</w:t>
      </w:r>
    </w:p>
  </w:footnote>
  <w:footnote w:id="42">
    <w:p w14:paraId="5231C59F" w14:textId="77777777" w:rsidR="002B0DFD" w:rsidRPr="008A014C" w:rsidRDefault="002B0DFD" w:rsidP="0031289D">
      <w:pPr>
        <w:pStyle w:val="FootnoteText"/>
        <w:rPr>
          <w:rtl/>
          <w:lang w:bidi="ar-EG"/>
        </w:rPr>
      </w:pPr>
      <w:r w:rsidRPr="008A014C">
        <w:rPr>
          <w:rStyle w:val="FootnoteReference"/>
        </w:rPr>
        <w:footnoteRef/>
      </w:r>
      <w:r w:rsidRPr="008A014C">
        <w:rPr>
          <w:rtl/>
        </w:rPr>
        <w:t xml:space="preserve"> </w:t>
      </w:r>
      <w:r w:rsidRPr="008A014C">
        <w:rPr>
          <w:rtl/>
          <w:lang w:bidi="ar-EG"/>
        </w:rPr>
        <w:t>بسبب عدم الاتساق في حساب حصة الطلبات التي تنطوي على مخالفات أو ملاحظات، جرى الآن تصحيح البيانات التي سبق الإبلاغ عنها في تقرير أداء البرنامج للمنظمة طوال الفترة 2012-2016.</w:t>
      </w:r>
    </w:p>
  </w:footnote>
  <w:footnote w:id="43">
    <w:p w14:paraId="5A774CD6" w14:textId="77777777" w:rsidR="002B0DFD" w:rsidRPr="008A014C" w:rsidRDefault="002B0DFD" w:rsidP="0031289D">
      <w:pPr>
        <w:pStyle w:val="FootnoteText"/>
        <w:rPr>
          <w:rtl/>
          <w:lang w:bidi="ar-EG"/>
        </w:rPr>
      </w:pPr>
      <w:r w:rsidRPr="008A014C">
        <w:rPr>
          <w:rStyle w:val="FootnoteReference"/>
        </w:rPr>
        <w:footnoteRef/>
      </w:r>
      <w:r w:rsidRPr="008A014C">
        <w:rPr>
          <w:rtl/>
        </w:rPr>
        <w:t xml:space="preserve"> </w:t>
      </w:r>
      <w:r w:rsidRPr="008A014C">
        <w:rPr>
          <w:rtl/>
          <w:lang w:bidi="ar-EG"/>
        </w:rPr>
        <w:t>ش</w:t>
      </w:r>
      <w:r>
        <w:rPr>
          <w:rFonts w:hint="cs"/>
          <w:rtl/>
          <w:lang w:bidi="ar-EG"/>
        </w:rPr>
        <w:t>ُ</w:t>
      </w:r>
      <w:r w:rsidRPr="008A014C">
        <w:rPr>
          <w:rtl/>
          <w:lang w:bidi="ar-EG"/>
        </w:rPr>
        <w:t>رح</w:t>
      </w:r>
      <w:r>
        <w:rPr>
          <w:rFonts w:hint="cs"/>
          <w:rtl/>
          <w:lang w:bidi="ar-EG"/>
        </w:rPr>
        <w:t>ت</w:t>
      </w:r>
      <w:r w:rsidRPr="008A014C">
        <w:rPr>
          <w:rtl/>
          <w:lang w:bidi="ar-EG"/>
        </w:rPr>
        <w:t xml:space="preserve"> التنقيحات المعنية بالتفصيل في تقرير أداء البرنامج لعام 2014، و</w:t>
      </w:r>
      <w:r>
        <w:rPr>
          <w:rFonts w:hint="cs"/>
          <w:rtl/>
          <w:lang w:bidi="ar-EG"/>
        </w:rPr>
        <w:t xml:space="preserve">تضمنت </w:t>
      </w:r>
      <w:r w:rsidRPr="008A014C">
        <w:rPr>
          <w:rtl/>
          <w:lang w:bidi="ar-EG"/>
        </w:rPr>
        <w:t xml:space="preserve">على وجه الخصوص مواءمة منهجية حساب التكاليف المباشرة وغير المباشرة في </w:t>
      </w:r>
      <w:r>
        <w:rPr>
          <w:rFonts w:hint="cs"/>
          <w:rtl/>
          <w:lang w:bidi="ar-EG"/>
        </w:rPr>
        <w:t xml:space="preserve">نظام </w:t>
      </w:r>
      <w:r w:rsidRPr="008A014C">
        <w:rPr>
          <w:rtl/>
          <w:lang w:bidi="ar-EG"/>
        </w:rPr>
        <w:t xml:space="preserve">لاهاي مع منهجيات حساب تكاليف </w:t>
      </w:r>
      <w:r>
        <w:rPr>
          <w:rFonts w:hint="cs"/>
          <w:rtl/>
          <w:lang w:bidi="ar-EG"/>
        </w:rPr>
        <w:t>ال</w:t>
      </w:r>
      <w:r w:rsidRPr="008A014C">
        <w:rPr>
          <w:rtl/>
          <w:lang w:bidi="ar-EG"/>
        </w:rPr>
        <w:t xml:space="preserve">وحدات </w:t>
      </w:r>
      <w:r>
        <w:rPr>
          <w:rFonts w:hint="cs"/>
          <w:rtl/>
          <w:lang w:bidi="ar-EG"/>
        </w:rPr>
        <w:t xml:space="preserve">في نظام </w:t>
      </w:r>
      <w:r w:rsidRPr="008A014C">
        <w:rPr>
          <w:rtl/>
          <w:lang w:bidi="ar-EG"/>
        </w:rPr>
        <w:t>معاهدة التعاون بشأن البراءات و</w:t>
      </w:r>
      <w:r>
        <w:rPr>
          <w:rFonts w:hint="cs"/>
          <w:rtl/>
          <w:lang w:bidi="ar-EG"/>
        </w:rPr>
        <w:t xml:space="preserve">نظام </w:t>
      </w:r>
      <w:r w:rsidRPr="008A014C">
        <w:rPr>
          <w:rtl/>
          <w:lang w:bidi="ar-EG"/>
        </w:rPr>
        <w:t>مدريد.</w:t>
      </w:r>
    </w:p>
  </w:footnote>
  <w:footnote w:id="44">
    <w:p w14:paraId="2DCB930C" w14:textId="77777777" w:rsidR="002B0DFD" w:rsidRPr="008A014C" w:rsidRDefault="002B0DFD" w:rsidP="0031289D">
      <w:pPr>
        <w:pStyle w:val="FootnoteText"/>
        <w:rPr>
          <w:rtl/>
          <w:lang w:bidi="ar-EG"/>
        </w:rPr>
      </w:pPr>
      <w:r w:rsidRPr="008A014C">
        <w:rPr>
          <w:rStyle w:val="FootnoteReference"/>
        </w:rPr>
        <w:footnoteRef/>
      </w:r>
      <w:r w:rsidRPr="008A014C">
        <w:rPr>
          <w:rtl/>
        </w:rPr>
        <w:t xml:space="preserve"> </w:t>
      </w:r>
      <w:r>
        <w:rPr>
          <w:rFonts w:hint="cs"/>
          <w:rtl/>
          <w:lang w:bidi="ar-EG"/>
        </w:rPr>
        <w:t xml:space="preserve">انظر </w:t>
      </w:r>
      <w:r w:rsidRPr="008A014C">
        <w:rPr>
          <w:rtl/>
          <w:lang w:bidi="ar-EG"/>
        </w:rPr>
        <w:t>نسب</w:t>
      </w:r>
      <w:r>
        <w:rPr>
          <w:rFonts w:hint="cs"/>
          <w:rtl/>
          <w:lang w:bidi="ar-EG"/>
        </w:rPr>
        <w:t>تي</w:t>
      </w:r>
      <w:r w:rsidRPr="008A014C">
        <w:rPr>
          <w:rtl/>
          <w:lang w:bidi="ar-EG"/>
        </w:rPr>
        <w:t xml:space="preserve"> الطلبات والتجديدات في "إجمالي عبء العمل" أعلاه.</w:t>
      </w:r>
    </w:p>
  </w:footnote>
  <w:footnote w:id="45">
    <w:p w14:paraId="0EE426B1" w14:textId="77777777" w:rsidR="002B0DFD" w:rsidRPr="0085606F" w:rsidRDefault="002B0DFD" w:rsidP="00CE6E0B">
      <w:pPr>
        <w:pStyle w:val="FootnoteText"/>
      </w:pPr>
      <w:r w:rsidRPr="0085606F">
        <w:rPr>
          <w:rStyle w:val="FootnoteReference"/>
        </w:rPr>
        <w:footnoteRef/>
      </w:r>
      <w:r w:rsidRPr="0085606F">
        <w:rPr>
          <w:rtl/>
        </w:rPr>
        <w:t xml:space="preserve"> تصويب</w:t>
      </w:r>
      <w:r w:rsidRPr="0085606F">
        <w:rPr>
          <w:rtl/>
          <w:lang w:bidi="ar-EG"/>
        </w:rPr>
        <w:t>:</w:t>
      </w:r>
      <w:r w:rsidRPr="0085606F">
        <w:rPr>
          <w:rFonts w:hint="cs"/>
        </w:rPr>
        <w:t xml:space="preserve"> </w:t>
      </w:r>
      <w:r w:rsidRPr="0085606F">
        <w:rPr>
          <w:rtl/>
        </w:rPr>
        <w:t xml:space="preserve">كان العدد التراكمي للأنظمة المعتمدة 23 نظاماً بحلول نهاية عام 2015 وليس 20 كما ورد </w:t>
      </w:r>
      <w:r>
        <w:rPr>
          <w:rtl/>
        </w:rPr>
        <w:t>في تقرير أداء البرنامج 2014/15.</w:t>
      </w:r>
    </w:p>
  </w:footnote>
  <w:footnote w:id="46">
    <w:p w14:paraId="56F218A8" w14:textId="324AA006" w:rsidR="002B0DFD" w:rsidRPr="00CF015D" w:rsidRDefault="002B0DFD" w:rsidP="00396976">
      <w:pPr>
        <w:pStyle w:val="FootnoteText"/>
      </w:pPr>
      <w:r w:rsidRPr="00CF015D">
        <w:rPr>
          <w:rStyle w:val="FootnoteReference"/>
        </w:rPr>
        <w:footnoteRef/>
      </w:r>
      <w:r w:rsidRPr="00CF015D">
        <w:rPr>
          <w:rtl/>
        </w:rPr>
        <w:t xml:space="preserve"> </w:t>
      </w:r>
      <w:r w:rsidRPr="00396976">
        <w:rPr>
          <w:rtl/>
          <w:lang w:bidi="ar-EG"/>
        </w:rPr>
        <w:t>تقرير بشأن الاستعراض المستقل لتنفيذ توصيات جدول أعمال التنمية</w:t>
      </w:r>
      <w:r>
        <w:rPr>
          <w:rFonts w:hint="cs"/>
          <w:rtl/>
          <w:lang w:bidi="ar-EG"/>
        </w:rPr>
        <w:t xml:space="preserve">: </w:t>
      </w:r>
      <w:hyperlink r:id="rId18" w:history="1">
        <w:r w:rsidRPr="00606AFA">
          <w:rPr>
            <w:rStyle w:val="Hyperlink"/>
            <w:lang w:bidi="ar-EG"/>
          </w:rPr>
          <w:t>CDIP/18/7</w:t>
        </w:r>
      </w:hyperlink>
    </w:p>
  </w:footnote>
  <w:footnote w:id="47">
    <w:p w14:paraId="763555A8" w14:textId="77777777" w:rsidR="002B0DFD" w:rsidRPr="005C72A2" w:rsidRDefault="002B0DFD" w:rsidP="00CE6E0B">
      <w:pPr>
        <w:pStyle w:val="FootnoteText"/>
        <w:spacing w:line="240" w:lineRule="exact"/>
      </w:pPr>
      <w:r w:rsidRPr="005C72A2">
        <w:rPr>
          <w:rStyle w:val="FootnoteReference"/>
        </w:rPr>
        <w:footnoteRef/>
      </w:r>
      <w:r>
        <w:rPr>
          <w:rtl/>
        </w:rPr>
        <w:t xml:space="preserve"> تصويب:</w:t>
      </w:r>
      <w:r w:rsidRPr="005C72A2">
        <w:rPr>
          <w:rtl/>
        </w:rPr>
        <w:t xml:space="preserve"> في نهاية عام 2015، لم تكن الاستراتيجية </w:t>
      </w:r>
      <w:r>
        <w:rPr>
          <w:rFonts w:hint="cs"/>
          <w:rtl/>
        </w:rPr>
        <w:t>قد اعتُمدت</w:t>
      </w:r>
      <w:r w:rsidRPr="005C72A2">
        <w:rPr>
          <w:rtl/>
        </w:rPr>
        <w:t xml:space="preserve"> في فيجي </w:t>
      </w:r>
      <w:r>
        <w:rPr>
          <w:rFonts w:hint="cs"/>
          <w:rtl/>
        </w:rPr>
        <w:t>خلافاً لما</w:t>
      </w:r>
      <w:r w:rsidRPr="005C72A2">
        <w:rPr>
          <w:rtl/>
        </w:rPr>
        <w:t xml:space="preserve"> ورد في تقرير أداء البرنامج 2014/15.</w:t>
      </w:r>
    </w:p>
  </w:footnote>
  <w:footnote w:id="48">
    <w:p w14:paraId="77240743" w14:textId="77777777" w:rsidR="002B0DFD" w:rsidRPr="005C72A2" w:rsidRDefault="002B0DFD" w:rsidP="00CE6E0B">
      <w:pPr>
        <w:pStyle w:val="FootnoteText"/>
        <w:spacing w:line="240" w:lineRule="exact"/>
      </w:pPr>
      <w:r w:rsidRPr="005C72A2">
        <w:rPr>
          <w:rStyle w:val="FootnoteReference"/>
        </w:rPr>
        <w:footnoteRef/>
      </w:r>
      <w:r w:rsidRPr="005C72A2">
        <w:rPr>
          <w:rtl/>
        </w:rPr>
        <w:t xml:space="preserve"> لا توجد أية آلية متاحة. وستوضع آلي</w:t>
      </w:r>
      <w:r>
        <w:rPr>
          <w:rtl/>
        </w:rPr>
        <w:t>ة مناسبة خلال الثنائية 2016/17.</w:t>
      </w:r>
    </w:p>
  </w:footnote>
  <w:footnote w:id="49">
    <w:p w14:paraId="3C3791A5" w14:textId="4C923009" w:rsidR="002B0DFD" w:rsidRPr="005C72A2" w:rsidRDefault="002B0DFD" w:rsidP="003E33F1">
      <w:pPr>
        <w:pStyle w:val="FootnoteText"/>
        <w:spacing w:line="240" w:lineRule="exact"/>
      </w:pPr>
      <w:r w:rsidRPr="005C72A2">
        <w:rPr>
          <w:rStyle w:val="FootnoteReference"/>
        </w:rPr>
        <w:footnoteRef/>
      </w:r>
      <w:r w:rsidRPr="005C72A2">
        <w:rPr>
          <w:rtl/>
        </w:rPr>
        <w:t xml:space="preserve"> "1" مشروع </w:t>
      </w:r>
      <w:r w:rsidRPr="005C72A2">
        <w:t>LATIPAT</w:t>
      </w:r>
      <w:r w:rsidRPr="005C72A2">
        <w:rPr>
          <w:rtl/>
        </w:rPr>
        <w:t xml:space="preserve"> بالاشتراك مع المكتب الأوروبي للبراءات (</w:t>
      </w:r>
      <w:r w:rsidRPr="005C72A2">
        <w:t>EPO</w:t>
      </w:r>
      <w:r w:rsidRPr="005C72A2">
        <w:rPr>
          <w:rtl/>
        </w:rPr>
        <w:t>) والمكتب الإسباني للبراءات والعلامات التجارية (</w:t>
      </w:r>
      <w:r w:rsidRPr="005C72A2">
        <w:t>OEPM</w:t>
      </w:r>
      <w:r>
        <w:rPr>
          <w:rFonts w:hint="cs"/>
          <w:rtl/>
        </w:rPr>
        <w:t>)</w:t>
      </w:r>
      <w:r w:rsidRPr="005C72A2">
        <w:rPr>
          <w:rtl/>
        </w:rPr>
        <w:t>؛ "2" ومشروع بشأن المؤشرات الجغرافية والمنتجات المرتبطة بالمنشأ والتوسيم بالاشتراك مع بنك التنمية للبلدان الأمريكية (</w:t>
      </w:r>
      <w:r w:rsidRPr="005C72A2">
        <w:t>IDB</w:t>
      </w:r>
      <w:r w:rsidRPr="005C72A2">
        <w:rPr>
          <w:rtl/>
        </w:rPr>
        <w:t>) والوكالة الكاريبية لتنمية الصادرات (</w:t>
      </w:r>
      <w:r w:rsidRPr="005C72A2">
        <w:t>CEDA</w:t>
      </w:r>
      <w:r w:rsidRPr="005C72A2">
        <w:rPr>
          <w:rtl/>
        </w:rPr>
        <w:t>) والمركز التقني للتعاون الزراعي والريفي</w:t>
      </w:r>
      <w:r>
        <w:rPr>
          <w:rFonts w:hint="cs"/>
          <w:rtl/>
        </w:rPr>
        <w:t xml:space="preserve"> (</w:t>
      </w:r>
      <w:r w:rsidRPr="005C72A2">
        <w:t>CTA</w:t>
      </w:r>
      <w:r>
        <w:rPr>
          <w:rFonts w:hint="cs"/>
          <w:rtl/>
        </w:rPr>
        <w:t>)</w:t>
      </w:r>
      <w:r w:rsidRPr="005C72A2">
        <w:rPr>
          <w:rtl/>
        </w:rPr>
        <w:t>؛ "3" ومشروع بشأن المؤشرات الجغرافية في الكاريبي - مشروع بشأن المؤشرات الجغرافية والمنتجات المرتبطة بالمنشأ والتوسيم بالاشتراك مع بنك التنمية للبلدان الأمريكية (</w:t>
      </w:r>
      <w:r w:rsidRPr="005C72A2">
        <w:t>IDB</w:t>
      </w:r>
      <w:r w:rsidRPr="005C72A2">
        <w:rPr>
          <w:rtl/>
        </w:rPr>
        <w:t>) والوكالة الكاريبية لتنمية الصادرات (</w:t>
      </w:r>
      <w:r w:rsidRPr="005C72A2">
        <w:t>CEDA</w:t>
      </w:r>
      <w:r w:rsidRPr="005C72A2">
        <w:rPr>
          <w:rtl/>
        </w:rPr>
        <w:t xml:space="preserve">) والمركز التقني للتعاون الزراعي والريفي </w:t>
      </w:r>
      <w:r>
        <w:rPr>
          <w:rFonts w:hint="cs"/>
          <w:rtl/>
        </w:rPr>
        <w:t>(</w:t>
      </w:r>
      <w:r w:rsidRPr="005C72A2">
        <w:t>CTA</w:t>
      </w:r>
      <w:r>
        <w:rPr>
          <w:rFonts w:hint="cs"/>
          <w:rtl/>
        </w:rPr>
        <w:t>)</w:t>
      </w:r>
      <w:r w:rsidRPr="005C72A2">
        <w:rPr>
          <w:rtl/>
        </w:rPr>
        <w:t>؛ "4" ومكتب البراءات الإقليمي في منطقة الكاريبي بالاشتراك مع الإدارة الكاريبية للبراءت</w:t>
      </w:r>
      <w:r>
        <w:rPr>
          <w:rFonts w:hint="cs"/>
          <w:rtl/>
        </w:rPr>
        <w:t xml:space="preserve"> (</w:t>
      </w:r>
      <w:r w:rsidRPr="005C72A2">
        <w:t>CPAS</w:t>
      </w:r>
      <w:r>
        <w:rPr>
          <w:rFonts w:hint="cs"/>
          <w:rtl/>
        </w:rPr>
        <w:t>)</w:t>
      </w:r>
      <w:r w:rsidRPr="005C72A2">
        <w:rPr>
          <w:rtl/>
        </w:rPr>
        <w:t>؛ "5" ومنصة بالإسبانية لخدمات ومحتويات الملكية الصناعية (</w:t>
      </w:r>
      <w:r w:rsidRPr="005C72A2">
        <w:t>CIBEPYME</w:t>
      </w:r>
      <w:r w:rsidRPr="005C72A2">
        <w:rPr>
          <w:rtl/>
        </w:rPr>
        <w:t>) في إطار البرنامج الأيبيري الأمريكي؛ "6" ومنصة المعهد الوطني للتدريب التقني والمهني (</w:t>
      </w:r>
      <w:r w:rsidRPr="005C72A2">
        <w:t>INFOTE</w:t>
      </w:r>
      <w:r>
        <w:t>C</w:t>
      </w:r>
      <w:r w:rsidRPr="005C72A2">
        <w:rPr>
          <w:rtl/>
        </w:rPr>
        <w:t>) في إطار البرنامج الأيبيري الأمريكي؛ "7" واستمرار التعاون على إنشاء شبكة تسويق الأصول الإقليمية في مجال المقاولة (</w:t>
      </w:r>
      <w:r w:rsidRPr="005C72A2">
        <w:t>REACH</w:t>
      </w:r>
      <w:r w:rsidRPr="005C72A2">
        <w:rPr>
          <w:rtl/>
        </w:rPr>
        <w:t>) مع بنك التنمية للبلدان الأمريكية ومنظمة شباب الأمريكتين للأعمال (</w:t>
      </w:r>
      <w:r w:rsidRPr="005C72A2">
        <w:t>YABT</w:t>
      </w:r>
      <w:r w:rsidRPr="005C72A2">
        <w:rPr>
          <w:rtl/>
        </w:rPr>
        <w:t>)</w:t>
      </w:r>
    </w:p>
  </w:footnote>
  <w:footnote w:id="50">
    <w:p w14:paraId="3ADB4DF8" w14:textId="650E12AB" w:rsidR="002B0DFD" w:rsidRPr="005C72A2" w:rsidRDefault="002B0DFD" w:rsidP="00E86E88">
      <w:pPr>
        <w:pStyle w:val="FootnoteText"/>
        <w:spacing w:line="240" w:lineRule="exact"/>
      </w:pPr>
      <w:r w:rsidRPr="005C72A2">
        <w:rPr>
          <w:rStyle w:val="FootnoteReference"/>
        </w:rPr>
        <w:footnoteRef/>
      </w:r>
      <w:r w:rsidRPr="005C72A2">
        <w:rPr>
          <w:rtl/>
        </w:rPr>
        <w:t xml:space="preserve"> </w:t>
      </w:r>
      <w:r w:rsidRPr="008E492F">
        <w:rPr>
          <w:rtl/>
        </w:rPr>
        <w:t>مراكز دعم التكنولوجيا والابتكار المستدامة هي مؤسسات ذاتية الدعم ماليا</w:t>
      </w:r>
      <w:r>
        <w:rPr>
          <w:rFonts w:hint="cs"/>
          <w:rtl/>
        </w:rPr>
        <w:t>ً</w:t>
      </w:r>
      <w:r w:rsidRPr="008E492F">
        <w:rPr>
          <w:rtl/>
        </w:rPr>
        <w:t xml:space="preserve"> وتقنيا</w:t>
      </w:r>
      <w:r>
        <w:rPr>
          <w:rFonts w:hint="cs"/>
          <w:rtl/>
        </w:rPr>
        <w:t>ً</w:t>
      </w:r>
      <w:r w:rsidRPr="008E492F">
        <w:rPr>
          <w:rtl/>
        </w:rPr>
        <w:t xml:space="preserve"> وتسدي إليها الويبو المشورة عند الطلب.</w:t>
      </w:r>
      <w:r>
        <w:rPr>
          <w:rFonts w:hint="cs"/>
          <w:rtl/>
        </w:rPr>
        <w:t xml:space="preserve"> و</w:t>
      </w:r>
      <w:r w:rsidRPr="005C72A2">
        <w:rPr>
          <w:rtl/>
        </w:rPr>
        <w:t>ت</w:t>
      </w:r>
      <w:r>
        <w:rPr>
          <w:rFonts w:hint="cs"/>
          <w:rtl/>
        </w:rPr>
        <w:t>ُ</w:t>
      </w:r>
      <w:r w:rsidRPr="005C72A2">
        <w:rPr>
          <w:rtl/>
        </w:rPr>
        <w:t>قاس الاستدامة عل</w:t>
      </w:r>
      <w:r>
        <w:rPr>
          <w:rtl/>
        </w:rPr>
        <w:t>ى أساس مستويات النضج التالية:</w:t>
      </w:r>
    </w:p>
    <w:p w14:paraId="0A4AF392" w14:textId="7255F23B" w:rsidR="002B0DFD" w:rsidRPr="005C72A2" w:rsidRDefault="002B0DFD" w:rsidP="00024074">
      <w:pPr>
        <w:pStyle w:val="FootnoteText"/>
        <w:numPr>
          <w:ilvl w:val="0"/>
          <w:numId w:val="13"/>
        </w:numPr>
        <w:spacing w:line="240" w:lineRule="exact"/>
      </w:pPr>
      <w:r w:rsidRPr="005C72A2">
        <w:rPr>
          <w:b/>
          <w:bCs/>
          <w:rtl/>
        </w:rPr>
        <w:t>مستوى النضج الأول</w:t>
      </w:r>
      <w:r w:rsidRPr="005C72A2">
        <w:rPr>
          <w:rtl/>
        </w:rPr>
        <w:t xml:space="preserve"> - (أ) توقيع اتفاق على مستوى الخدمة بين الويبو وجهة التنسيق الوطنية؛ (ب) وتوقيع اتفاق</w:t>
      </w:r>
      <w:r>
        <w:rPr>
          <w:rFonts w:hint="cs"/>
          <w:rtl/>
        </w:rPr>
        <w:t>ا</w:t>
      </w:r>
      <w:r w:rsidRPr="005C72A2">
        <w:rPr>
          <w:rtl/>
        </w:rPr>
        <w:t xml:space="preserve">ت مؤسسية بين جهة التنسيق الوطنية والمؤسسات المضيفة لمراكز دعم الابتكار والتكنولوجيا؛ (ج) </w:t>
      </w:r>
      <w:r w:rsidRPr="00024074">
        <w:rPr>
          <w:rtl/>
        </w:rPr>
        <w:t>وتقديم تقرير سنوي واحد على الأقل عن الأنشطة الوطنية لمراكز دعم التكنولوجيا</w:t>
      </w:r>
      <w:r>
        <w:rPr>
          <w:rFonts w:hint="cs"/>
          <w:rtl/>
        </w:rPr>
        <w:t> </w:t>
      </w:r>
      <w:r w:rsidRPr="00024074">
        <w:rPr>
          <w:rtl/>
        </w:rPr>
        <w:t>والابتكار</w:t>
      </w:r>
      <w:r>
        <w:rPr>
          <w:rtl/>
        </w:rPr>
        <w:t>؛</w:t>
      </w:r>
    </w:p>
    <w:p w14:paraId="786EDEA9" w14:textId="76F0BAE1" w:rsidR="002B0DFD" w:rsidRPr="005C72A2" w:rsidRDefault="002B0DFD" w:rsidP="00024074">
      <w:pPr>
        <w:pStyle w:val="FootnoteText"/>
        <w:numPr>
          <w:ilvl w:val="0"/>
          <w:numId w:val="13"/>
        </w:numPr>
        <w:spacing w:line="240" w:lineRule="exact"/>
      </w:pPr>
      <w:r w:rsidRPr="005C72A2">
        <w:rPr>
          <w:b/>
          <w:bCs/>
          <w:rtl/>
        </w:rPr>
        <w:t>مستوى النضج الثاني</w:t>
      </w:r>
      <w:r w:rsidRPr="005C72A2">
        <w:rPr>
          <w:rtl/>
        </w:rPr>
        <w:t xml:space="preserve"> - </w:t>
      </w:r>
      <w:r>
        <w:rPr>
          <w:rFonts w:hint="cs"/>
          <w:rtl/>
        </w:rPr>
        <w:t>استيفاء</w:t>
      </w:r>
      <w:r w:rsidRPr="005C72A2">
        <w:rPr>
          <w:rtl/>
        </w:rPr>
        <w:t xml:space="preserve"> معايير المستوى الأول </w:t>
      </w:r>
      <w:r w:rsidRPr="00024074">
        <w:rPr>
          <w:rtl/>
        </w:rPr>
        <w:t>بالإضافة إلى توفير عمليات البحث الأساسية عن معلومات البراءات، مثل عمليات البحث في البراءات عن حالة التقنية الصناعية السابقة؛</w:t>
      </w:r>
    </w:p>
    <w:p w14:paraId="5060E331" w14:textId="2A80F9A8" w:rsidR="002B0DFD" w:rsidRPr="005C72A2" w:rsidRDefault="002B0DFD" w:rsidP="00024074">
      <w:pPr>
        <w:pStyle w:val="FootnoteText"/>
        <w:numPr>
          <w:ilvl w:val="0"/>
          <w:numId w:val="13"/>
        </w:numPr>
        <w:spacing w:line="240" w:lineRule="exact"/>
      </w:pPr>
      <w:r w:rsidRPr="00A86211">
        <w:rPr>
          <w:b/>
          <w:bCs/>
          <w:color w:val="212121"/>
          <w:rtl/>
        </w:rPr>
        <w:t>مستوى النضج الثالث</w:t>
      </w:r>
      <w:r w:rsidRPr="00A86211">
        <w:rPr>
          <w:rtl/>
        </w:rPr>
        <w:t xml:space="preserve"> - </w:t>
      </w:r>
      <w:r>
        <w:rPr>
          <w:rFonts w:hint="cs"/>
          <w:rtl/>
        </w:rPr>
        <w:t>استيفاء</w:t>
      </w:r>
      <w:r w:rsidRPr="00A86211">
        <w:rPr>
          <w:rtl/>
        </w:rPr>
        <w:t xml:space="preserve"> معايير المستوى الثاني </w:t>
      </w:r>
      <w:r>
        <w:rPr>
          <w:rFonts w:hint="cs"/>
          <w:rtl/>
        </w:rPr>
        <w:t>بالإضافة إلى</w:t>
      </w:r>
      <w:r w:rsidRPr="00A86211">
        <w:rPr>
          <w:rtl/>
        </w:rPr>
        <w:t xml:space="preserve"> توفير خدمات ذات قيمة مضافة في مجال الملكية الفكرية مثل صياغة تقارير واقع</w:t>
      </w:r>
      <w:r>
        <w:rPr>
          <w:rFonts w:hint="cs"/>
          <w:rtl/>
        </w:rPr>
        <w:t> </w:t>
      </w:r>
      <w:r w:rsidRPr="00A86211">
        <w:rPr>
          <w:rtl/>
        </w:rPr>
        <w:t>البراءات.</w:t>
      </w:r>
    </w:p>
  </w:footnote>
  <w:footnote w:id="51">
    <w:p w14:paraId="54C16F1B" w14:textId="1C4334E4" w:rsidR="002B0DFD" w:rsidRDefault="002B0DFD" w:rsidP="00024074">
      <w:pPr>
        <w:pStyle w:val="FootnoteText"/>
        <w:spacing w:line="240" w:lineRule="exact"/>
      </w:pPr>
      <w:r>
        <w:rPr>
          <w:rStyle w:val="FootnoteReference"/>
        </w:rPr>
        <w:footnoteRef/>
      </w:r>
      <w:r>
        <w:rPr>
          <w:rFonts w:hint="cs"/>
          <w:rtl/>
        </w:rPr>
        <w:t xml:space="preserve"> تقديم الدعم والمشورة للخدمات التحليلية ي مجال البراءات وإدارة أصول الملكية الفكرية وتسويقها وبرنامج مساعدة المخترعين عن طريق استخدام وتحديد الاختراعات المندرجة في الملك العام وخدمات تسوية المنازعات وصياغة البراءات.</w:t>
      </w:r>
    </w:p>
  </w:footnote>
  <w:footnote w:id="52">
    <w:p w14:paraId="56BB00ED" w14:textId="03A4CB9D" w:rsidR="002B0DFD" w:rsidRDefault="002B0DFD">
      <w:pPr>
        <w:pStyle w:val="FootnoteText"/>
      </w:pPr>
      <w:r>
        <w:rPr>
          <w:rStyle w:val="FootnoteReference"/>
        </w:rPr>
        <w:footnoteRef/>
      </w:r>
      <w:r>
        <w:rPr>
          <w:rtl/>
        </w:rPr>
        <w:t xml:space="preserve"> </w:t>
      </w:r>
      <w:r>
        <w:rPr>
          <w:rFonts w:hint="cs"/>
          <w:rtl/>
        </w:rPr>
        <w:t>انظر الحاشية السابقة.</w:t>
      </w:r>
    </w:p>
  </w:footnote>
  <w:footnote w:id="53">
    <w:p w14:paraId="70F5B63C" w14:textId="2C5D2731" w:rsidR="002B0DFD" w:rsidRPr="00CA365F" w:rsidRDefault="002B0DFD" w:rsidP="00CE6E0B">
      <w:pPr>
        <w:pStyle w:val="FootnoteText"/>
      </w:pPr>
      <w:r w:rsidRPr="00CA365F">
        <w:rPr>
          <w:rStyle w:val="FootnoteReference"/>
        </w:rPr>
        <w:footnoteRef/>
      </w:r>
      <w:r w:rsidRPr="00CA365F">
        <w:rPr>
          <w:rtl/>
        </w:rPr>
        <w:t xml:space="preserve"> تصويب</w:t>
      </w:r>
      <w:r w:rsidRPr="00CA365F">
        <w:rPr>
          <w:rtl/>
          <w:lang w:bidi="ar-EG"/>
        </w:rPr>
        <w:t>:</w:t>
      </w:r>
      <w:r>
        <w:rPr>
          <w:rFonts w:hint="cs"/>
          <w:rtl/>
          <w:lang w:bidi="ar-EG"/>
        </w:rPr>
        <w:t xml:space="preserve"> </w:t>
      </w:r>
      <w:r w:rsidRPr="00CA365F">
        <w:rPr>
          <w:rtl/>
        </w:rPr>
        <w:t xml:space="preserve">في نهاية عام 2015، كانت </w:t>
      </w:r>
      <w:r>
        <w:rPr>
          <w:rFonts w:hint="cs"/>
          <w:rtl/>
        </w:rPr>
        <w:t>توجد</w:t>
      </w:r>
      <w:r w:rsidRPr="00CA365F">
        <w:rPr>
          <w:rtl/>
        </w:rPr>
        <w:t xml:space="preserve"> 572 منازعة ومسعى حميداً أطرافها من </w:t>
      </w:r>
      <w:r>
        <w:rPr>
          <w:rtl/>
        </w:rPr>
        <w:t>البلدان المتحولة</w:t>
      </w:r>
      <w:r w:rsidRPr="00CA365F">
        <w:rPr>
          <w:rtl/>
        </w:rPr>
        <w:t xml:space="preserve"> والبلدان المتقدمة وليس 461 كما</w:t>
      </w:r>
      <w:r>
        <w:rPr>
          <w:rFonts w:hint="cs"/>
          <w:rtl/>
        </w:rPr>
        <w:t> </w:t>
      </w:r>
      <w:r w:rsidRPr="00CA365F">
        <w:rPr>
          <w:rtl/>
        </w:rPr>
        <w:t>ورد في تقرير أداء البرنامج 2014/15.</w:t>
      </w:r>
    </w:p>
  </w:footnote>
  <w:footnote w:id="54">
    <w:p w14:paraId="1E163165" w14:textId="23EDAB9B" w:rsidR="002B0DFD" w:rsidRPr="00E83395" w:rsidRDefault="002B0DFD" w:rsidP="00E86E88">
      <w:pPr>
        <w:pStyle w:val="FootnoteText"/>
        <w:rPr>
          <w:rtl/>
          <w:lang w:bidi="ar-EG"/>
        </w:rPr>
      </w:pPr>
      <w:r w:rsidRPr="00E83395">
        <w:rPr>
          <w:rStyle w:val="FootnoteReference"/>
        </w:rPr>
        <w:footnoteRef/>
      </w:r>
      <w:r w:rsidRPr="00E83395">
        <w:rPr>
          <w:rtl/>
        </w:rPr>
        <w:t xml:space="preserve"> </w:t>
      </w:r>
      <w:r>
        <w:rPr>
          <w:rFonts w:hint="cs"/>
          <w:rtl/>
          <w:lang w:bidi="ar-EG"/>
        </w:rPr>
        <w:t>بيانات تقديرية</w:t>
      </w:r>
    </w:p>
  </w:footnote>
  <w:footnote w:id="55">
    <w:p w14:paraId="5471B6CC" w14:textId="77777777" w:rsidR="002B0DFD" w:rsidRPr="00E83395" w:rsidRDefault="002B0DFD" w:rsidP="00CE6E0B">
      <w:pPr>
        <w:pStyle w:val="FootnoteText"/>
      </w:pPr>
      <w:r w:rsidRPr="00E83395">
        <w:rPr>
          <w:rStyle w:val="FootnoteReference"/>
        </w:rPr>
        <w:footnoteRef/>
      </w:r>
      <w:r w:rsidRPr="00E83395">
        <w:rPr>
          <w:rtl/>
        </w:rPr>
        <w:t xml:space="preserve"> الأكاديميات الوطنية الناشئة المستدامة هي مؤسسات تدعم نفسها ماليا وتقنيا وتتلقى مشورة من الويبو بناء على الطلب.</w:t>
      </w:r>
    </w:p>
  </w:footnote>
  <w:footnote w:id="56">
    <w:p w14:paraId="548D48F0" w14:textId="135C31DA" w:rsidR="002B0DFD" w:rsidRPr="00024A39" w:rsidRDefault="002B0DFD" w:rsidP="00E86E88">
      <w:pPr>
        <w:pStyle w:val="FootnoteText"/>
      </w:pPr>
      <w:r w:rsidRPr="00024A39">
        <w:rPr>
          <w:rStyle w:val="FootnoteReference"/>
        </w:rPr>
        <w:footnoteRef/>
      </w:r>
      <w:r w:rsidRPr="00024A39">
        <w:rPr>
          <w:rtl/>
        </w:rPr>
        <w:t xml:space="preserve"> </w:t>
      </w:r>
      <w:r w:rsidRPr="00024A39">
        <w:rPr>
          <w:color w:val="000000"/>
          <w:rtl/>
        </w:rPr>
        <w:t>غيِّرت شروط الاشتراك في النشرة الإخبارية في عام 2015 بغية استقطاب قاعدة المستخدمين المستهدفين، فتعيَّن على المش</w:t>
      </w:r>
      <w:r>
        <w:rPr>
          <w:color w:val="000000"/>
          <w:rtl/>
        </w:rPr>
        <w:t>تركين السابقين الاشتراك</w:t>
      </w:r>
      <w:r>
        <w:rPr>
          <w:rFonts w:hint="cs"/>
          <w:color w:val="000000"/>
          <w:rtl/>
        </w:rPr>
        <w:t> </w:t>
      </w:r>
      <w:r>
        <w:rPr>
          <w:color w:val="000000"/>
          <w:rtl/>
        </w:rPr>
        <w:t>مجدداً.</w:t>
      </w:r>
    </w:p>
  </w:footnote>
  <w:footnote w:id="57">
    <w:p w14:paraId="4B33F355" w14:textId="77777777" w:rsidR="002B0DFD" w:rsidRPr="00024A39" w:rsidRDefault="002B0DFD" w:rsidP="0027026F">
      <w:pPr>
        <w:pStyle w:val="FootnoteText"/>
      </w:pPr>
      <w:r w:rsidRPr="00024A39">
        <w:rPr>
          <w:rStyle w:val="FootnoteReference"/>
        </w:rPr>
        <w:footnoteRef/>
      </w:r>
      <w:r w:rsidRPr="00024A39">
        <w:rPr>
          <w:rtl/>
        </w:rPr>
        <w:t xml:space="preserve"> استُخلص عدد مرات التحميل للفصل الرابع من عام 2016 من بيانات الفترة من يناير إلى سبتمبر 2016.</w:t>
      </w:r>
      <w:r>
        <w:rPr>
          <w:rtl/>
        </w:rPr>
        <w:t xml:space="preserve"> </w:t>
      </w:r>
      <w:r w:rsidRPr="00024A39">
        <w:rPr>
          <w:rtl/>
        </w:rPr>
        <w:t>وفي سبتمبر 2016، عُززت أداة إحصاءات الويب لتحسين الاستقرار، فأدى ذلك إلى عدم القدرة على رصد البيانات للفصل الأخير من عام 2016.</w:t>
      </w:r>
    </w:p>
  </w:footnote>
  <w:footnote w:id="58">
    <w:p w14:paraId="5552EDD3" w14:textId="532B5A92" w:rsidR="002B0DFD" w:rsidRPr="005C72A2" w:rsidRDefault="002B0DFD" w:rsidP="00E86E88">
      <w:pPr>
        <w:pStyle w:val="FootnoteText"/>
        <w:spacing w:line="240" w:lineRule="exact"/>
      </w:pPr>
      <w:r w:rsidRPr="005C72A2">
        <w:rPr>
          <w:rStyle w:val="FootnoteReference"/>
        </w:rPr>
        <w:footnoteRef/>
      </w:r>
      <w:r w:rsidRPr="005C72A2">
        <w:rPr>
          <w:rtl/>
        </w:rPr>
        <w:t xml:space="preserve"> </w:t>
      </w:r>
      <w:r w:rsidRPr="008E492F">
        <w:rPr>
          <w:rtl/>
        </w:rPr>
        <w:t>مراكز دعم التكنولوجيا والابتكار المستدامة هي مؤسسات ذاتية الدعم ماليا</w:t>
      </w:r>
      <w:r>
        <w:rPr>
          <w:rFonts w:hint="cs"/>
          <w:rtl/>
        </w:rPr>
        <w:t>ً</w:t>
      </w:r>
      <w:r w:rsidRPr="008E492F">
        <w:rPr>
          <w:rtl/>
        </w:rPr>
        <w:t xml:space="preserve"> وتقنيا</w:t>
      </w:r>
      <w:r>
        <w:rPr>
          <w:rFonts w:hint="cs"/>
          <w:rtl/>
        </w:rPr>
        <w:t>ً</w:t>
      </w:r>
      <w:r w:rsidRPr="008E492F">
        <w:rPr>
          <w:rtl/>
        </w:rPr>
        <w:t xml:space="preserve"> وتسدي إليها الويبو المشورة عند الطلب.</w:t>
      </w:r>
    </w:p>
  </w:footnote>
  <w:footnote w:id="59">
    <w:p w14:paraId="5C2285FD" w14:textId="77777777" w:rsidR="002B0DFD" w:rsidRPr="00291B94" w:rsidRDefault="002B0DFD" w:rsidP="00CE6E0B">
      <w:pPr>
        <w:pStyle w:val="Default"/>
        <w:rPr>
          <w:rFonts w:ascii="Arabic Typesetting" w:hAnsi="Arabic Typesetting" w:cs="Arabic Typesetting"/>
          <w:sz w:val="28"/>
          <w:szCs w:val="28"/>
        </w:rPr>
      </w:pPr>
      <w:r w:rsidRPr="00291B94">
        <w:rPr>
          <w:rStyle w:val="FootnoteReference"/>
          <w:color w:val="auto"/>
          <w:rtl w:val="0"/>
        </w:rPr>
        <w:footnoteRef/>
      </w:r>
      <w:r>
        <w:rPr>
          <w:rFonts w:ascii="Arabic Typesetting" w:hAnsi="Arabic Typesetting" w:cs="Arabic Typesetting"/>
          <w:sz w:val="28"/>
          <w:szCs w:val="28"/>
        </w:rPr>
        <w:t xml:space="preserve"> تصويب:</w:t>
      </w:r>
      <w:r w:rsidRPr="00291B94">
        <w:rPr>
          <w:rFonts w:ascii="Arabic Typesetting" w:hAnsi="Arabic Typesetting" w:cs="Arabic Typesetting"/>
          <w:sz w:val="28"/>
          <w:szCs w:val="28"/>
        </w:rPr>
        <w:t xml:space="preserve"> العدد الإجمالي للتعديلات في عام 2014 كان 560 وليس 570 كما ورد في تقرير أداء البرنامج 2014.</w:t>
      </w:r>
    </w:p>
  </w:footnote>
  <w:footnote w:id="60">
    <w:p w14:paraId="4E18F09D" w14:textId="499B909C" w:rsidR="002B0DFD" w:rsidRPr="00A86211" w:rsidRDefault="002B0DFD" w:rsidP="00E86E88">
      <w:pPr>
        <w:pStyle w:val="FootnoteText"/>
      </w:pPr>
      <w:r w:rsidRPr="00A86211">
        <w:rPr>
          <w:rStyle w:val="FootnoteReference"/>
        </w:rPr>
        <w:footnoteRef/>
      </w:r>
      <w:r w:rsidRPr="00A86211">
        <w:rPr>
          <w:rtl/>
        </w:rPr>
        <w:t xml:space="preserve"> </w:t>
      </w:r>
      <w:r w:rsidRPr="008E492F">
        <w:rPr>
          <w:rtl/>
        </w:rPr>
        <w:t>مراكز دعم التكنولوجيا والابتكار المستدامة هي مؤسسات ذاتية الدعم ماليا</w:t>
      </w:r>
      <w:r>
        <w:rPr>
          <w:rFonts w:hint="cs"/>
          <w:rtl/>
        </w:rPr>
        <w:t>ً</w:t>
      </w:r>
      <w:r w:rsidRPr="008E492F">
        <w:rPr>
          <w:rtl/>
        </w:rPr>
        <w:t xml:space="preserve"> وتقنيا</w:t>
      </w:r>
      <w:r>
        <w:rPr>
          <w:rFonts w:hint="cs"/>
          <w:rtl/>
        </w:rPr>
        <w:t>ً</w:t>
      </w:r>
      <w:r w:rsidRPr="008E492F">
        <w:rPr>
          <w:rtl/>
        </w:rPr>
        <w:t xml:space="preserve"> وتسدي إليها الويبو المشورة عند الطلب.</w:t>
      </w:r>
      <w:r>
        <w:rPr>
          <w:rFonts w:hint="cs"/>
          <w:rtl/>
          <w:lang w:bidi="ar-EG"/>
        </w:rPr>
        <w:t xml:space="preserve"> </w:t>
      </w:r>
      <w:r>
        <w:rPr>
          <w:rFonts w:hint="cs"/>
          <w:rtl/>
        </w:rPr>
        <w:t>و</w:t>
      </w:r>
      <w:r w:rsidRPr="00A86211">
        <w:rPr>
          <w:rtl/>
        </w:rPr>
        <w:t>ت</w:t>
      </w:r>
      <w:r>
        <w:rPr>
          <w:rFonts w:hint="cs"/>
          <w:rtl/>
        </w:rPr>
        <w:t>ُ</w:t>
      </w:r>
      <w:r w:rsidRPr="00A86211">
        <w:rPr>
          <w:rtl/>
        </w:rPr>
        <w:t>قاس الاستدامة ع</w:t>
      </w:r>
      <w:r>
        <w:rPr>
          <w:rtl/>
        </w:rPr>
        <w:t>لى أساس مستويات النضج التالية:</w:t>
      </w:r>
    </w:p>
    <w:p w14:paraId="2DD3991E" w14:textId="705674F7" w:rsidR="002B0DFD" w:rsidRPr="00A86211" w:rsidRDefault="002B0DFD" w:rsidP="00024074">
      <w:pPr>
        <w:pStyle w:val="FootnoteText"/>
        <w:numPr>
          <w:ilvl w:val="0"/>
          <w:numId w:val="13"/>
        </w:numPr>
        <w:spacing w:line="240" w:lineRule="auto"/>
      </w:pPr>
      <w:r w:rsidRPr="00A86211">
        <w:rPr>
          <w:b/>
          <w:bCs/>
          <w:rtl/>
        </w:rPr>
        <w:t>مستوى النضج الأول</w:t>
      </w:r>
      <w:r w:rsidRPr="00A86211">
        <w:rPr>
          <w:rtl/>
        </w:rPr>
        <w:t xml:space="preserve"> - (أ) توقيع اتفاق على مستوى الخدمة بين الويبو وجهة التنسيق الوطنية؛ (ب) وتوقيع اتفاق</w:t>
      </w:r>
      <w:r>
        <w:rPr>
          <w:rFonts w:hint="cs"/>
          <w:rtl/>
        </w:rPr>
        <w:t>ا</w:t>
      </w:r>
      <w:r w:rsidRPr="00A86211">
        <w:rPr>
          <w:rtl/>
        </w:rPr>
        <w:t xml:space="preserve">ت مؤسسية بين جهة التنسيق الوطنية والمؤسسات المضيفة لمراكز دعم الابتكار والتكنولوجيا؛ (ج) </w:t>
      </w:r>
      <w:r w:rsidRPr="00024074">
        <w:rPr>
          <w:rtl/>
        </w:rPr>
        <w:t>وتقديم تقرير سنوي واحد على الأقل عن الأنشطة الوطنية لمراكز دعم التكنولوجيا والابتكار</w:t>
      </w:r>
      <w:r w:rsidRPr="00A86211">
        <w:rPr>
          <w:rtl/>
        </w:rPr>
        <w:t>؛ ويُحقق مستوى النضج الأول بالكامل بتحقق (أ) + (ب) + (ج).</w:t>
      </w:r>
    </w:p>
    <w:p w14:paraId="29A5E4D3" w14:textId="29A2333E" w:rsidR="002B0DFD" w:rsidRPr="00A86211" w:rsidRDefault="002B0DFD" w:rsidP="00024074">
      <w:pPr>
        <w:pStyle w:val="FootnoteText"/>
        <w:numPr>
          <w:ilvl w:val="0"/>
          <w:numId w:val="13"/>
        </w:numPr>
        <w:spacing w:line="240" w:lineRule="auto"/>
      </w:pPr>
      <w:r w:rsidRPr="00A86211">
        <w:rPr>
          <w:b/>
          <w:bCs/>
          <w:rtl/>
        </w:rPr>
        <w:t>مستوى النضج الثاني</w:t>
      </w:r>
      <w:r w:rsidRPr="00A86211">
        <w:rPr>
          <w:rtl/>
        </w:rPr>
        <w:t xml:space="preserve"> - </w:t>
      </w:r>
      <w:r>
        <w:rPr>
          <w:rFonts w:hint="cs"/>
          <w:rtl/>
        </w:rPr>
        <w:t>استيفاء</w:t>
      </w:r>
      <w:r w:rsidRPr="00A86211">
        <w:rPr>
          <w:rtl/>
        </w:rPr>
        <w:t xml:space="preserve"> معايير المستوى الأول </w:t>
      </w:r>
      <w:r w:rsidRPr="00024074">
        <w:rPr>
          <w:rtl/>
        </w:rPr>
        <w:t>بالإضافة إلى توفير عمليات البحث الأساسية عن معلومات البراءات، مثل عمليات البحث في البراءات عن حالة التقنية الصناعية السابقة؛</w:t>
      </w:r>
    </w:p>
    <w:p w14:paraId="5C482CB8" w14:textId="72C8DAD9" w:rsidR="002B0DFD" w:rsidRPr="00A86211" w:rsidRDefault="002B0DFD" w:rsidP="00024074">
      <w:pPr>
        <w:pStyle w:val="FootnoteText"/>
        <w:numPr>
          <w:ilvl w:val="0"/>
          <w:numId w:val="13"/>
        </w:numPr>
        <w:spacing w:line="240" w:lineRule="auto"/>
      </w:pPr>
      <w:r w:rsidRPr="00A86211">
        <w:rPr>
          <w:b/>
          <w:bCs/>
          <w:color w:val="212121"/>
          <w:rtl/>
        </w:rPr>
        <w:t>مستوى النضج الثالث</w:t>
      </w:r>
      <w:r w:rsidRPr="00A86211">
        <w:rPr>
          <w:rtl/>
        </w:rPr>
        <w:t xml:space="preserve"> - </w:t>
      </w:r>
      <w:r>
        <w:rPr>
          <w:rFonts w:hint="cs"/>
          <w:rtl/>
        </w:rPr>
        <w:t>استيفاء</w:t>
      </w:r>
      <w:r w:rsidRPr="00A86211">
        <w:rPr>
          <w:rtl/>
        </w:rPr>
        <w:t xml:space="preserve"> معايير المستوى الثاني </w:t>
      </w:r>
      <w:r>
        <w:rPr>
          <w:rFonts w:hint="cs"/>
          <w:rtl/>
        </w:rPr>
        <w:t>بالإضافة إلى</w:t>
      </w:r>
      <w:r w:rsidRPr="00A86211">
        <w:rPr>
          <w:rtl/>
        </w:rPr>
        <w:t xml:space="preserve"> توفير خدمات ذات قيمة مضافة في مجال الملكية الفكرية مثل صياغة تقارير واقع</w:t>
      </w:r>
      <w:r>
        <w:rPr>
          <w:rFonts w:hint="cs"/>
          <w:rtl/>
        </w:rPr>
        <w:t> </w:t>
      </w:r>
      <w:r w:rsidRPr="00A86211">
        <w:rPr>
          <w:rtl/>
        </w:rPr>
        <w:t>البراءات.</w:t>
      </w:r>
    </w:p>
  </w:footnote>
  <w:footnote w:id="61">
    <w:p w14:paraId="3C7C5166" w14:textId="6D0EF536" w:rsidR="002B0DFD" w:rsidRPr="00A86211" w:rsidRDefault="002B0DFD" w:rsidP="00024074">
      <w:pPr>
        <w:pStyle w:val="FootnoteText"/>
      </w:pPr>
      <w:r w:rsidRPr="00A86211">
        <w:rPr>
          <w:rStyle w:val="FootnoteReference"/>
        </w:rPr>
        <w:footnoteRef/>
      </w:r>
      <w:r w:rsidRPr="00A86211">
        <w:rPr>
          <w:rtl/>
        </w:rPr>
        <w:t xml:space="preserve"> </w:t>
      </w:r>
      <w:r w:rsidRPr="00024074">
        <w:rPr>
          <w:rtl/>
        </w:rPr>
        <w:t xml:space="preserve">تقديم الدعم والمشورة للخدمات التحليلية </w:t>
      </w:r>
      <w:r>
        <w:rPr>
          <w:rFonts w:hint="cs"/>
          <w:rtl/>
        </w:rPr>
        <w:t>ف</w:t>
      </w:r>
      <w:r w:rsidRPr="00024074">
        <w:rPr>
          <w:rtl/>
        </w:rPr>
        <w:t xml:space="preserve">ي مجال البراءات وإدارة أصول الملكية الفكرية وتسويقها وبرنامج مساعدة المخترعين عن طريق استخدام وتحديد الاختراعات المندرجة في الملك العام وخدمات تسوية المنازعات </w:t>
      </w:r>
      <w:r>
        <w:rPr>
          <w:rFonts w:hint="cs"/>
          <w:rtl/>
        </w:rPr>
        <w:t>وصياغة</w:t>
      </w:r>
      <w:r w:rsidRPr="00024074">
        <w:rPr>
          <w:rtl/>
        </w:rPr>
        <w:t xml:space="preserve"> البراءات.</w:t>
      </w:r>
    </w:p>
  </w:footnote>
  <w:footnote w:id="62">
    <w:p w14:paraId="0E74402A" w14:textId="77777777" w:rsidR="002B0DFD" w:rsidRPr="00A86211" w:rsidRDefault="002B0DFD" w:rsidP="00CE6E0B">
      <w:pPr>
        <w:pStyle w:val="FootnoteText"/>
      </w:pPr>
      <w:r w:rsidRPr="00A86211">
        <w:rPr>
          <w:rStyle w:val="FootnoteReference"/>
        </w:rPr>
        <w:footnoteRef/>
      </w:r>
      <w:r w:rsidRPr="00A86211">
        <w:rPr>
          <w:rtl/>
        </w:rPr>
        <w:t xml:space="preserve"> انظر الحاشية السابقة.</w:t>
      </w:r>
    </w:p>
  </w:footnote>
  <w:footnote w:id="63">
    <w:p w14:paraId="6900C6F8" w14:textId="77777777" w:rsidR="002B0DFD" w:rsidRPr="007E3C6F" w:rsidRDefault="002B0DFD" w:rsidP="00BB3820">
      <w:pPr>
        <w:pStyle w:val="FootnoteText"/>
      </w:pPr>
      <w:r w:rsidRPr="007E3C6F">
        <w:rPr>
          <w:rStyle w:val="FootnoteReference"/>
        </w:rPr>
        <w:footnoteRef/>
      </w:r>
      <w:r>
        <w:rPr>
          <w:rtl/>
        </w:rPr>
        <w:t xml:space="preserve"> تصويب: </w:t>
      </w:r>
      <w:r w:rsidRPr="007E3C6F">
        <w:rPr>
          <w:rtl/>
        </w:rPr>
        <w:t>كان عدد المكاتب المدرجة في الفئة "آخر" 12 مكتباً في نهاية عام 2015 وليس 17 كما ورد في تقرير أداء البرنامج 2014/15.</w:t>
      </w:r>
    </w:p>
  </w:footnote>
  <w:footnote w:id="64">
    <w:p w14:paraId="4C4351E1" w14:textId="77777777" w:rsidR="002B0DFD" w:rsidRPr="00CB25CC" w:rsidRDefault="002B0DFD" w:rsidP="00BB3820">
      <w:pPr>
        <w:pStyle w:val="FootnoteText"/>
        <w:rPr>
          <w:lang w:bidi="ar-EG"/>
        </w:rPr>
      </w:pPr>
      <w:r w:rsidRPr="00CB25CC">
        <w:rPr>
          <w:rStyle w:val="FootnoteReference"/>
        </w:rPr>
        <w:footnoteRef/>
      </w:r>
      <w:r w:rsidRPr="00CB25CC">
        <w:rPr>
          <w:rtl/>
        </w:rPr>
        <w:t xml:space="preserve"> تستند البيانات إلى الأدوات والمنهجيات الإحصائية الشبكية القديمة</w:t>
      </w:r>
      <w:r>
        <w:rPr>
          <w:rFonts w:hint="cs"/>
          <w:rtl/>
          <w:lang w:bidi="ar-EG"/>
        </w:rPr>
        <w:t>.</w:t>
      </w:r>
    </w:p>
  </w:footnote>
  <w:footnote w:id="65">
    <w:p w14:paraId="4DA90D43" w14:textId="77777777" w:rsidR="002B0DFD" w:rsidRPr="00CB25CC" w:rsidRDefault="002B0DFD" w:rsidP="00BB3820">
      <w:pPr>
        <w:pStyle w:val="FootnoteText"/>
      </w:pPr>
      <w:r w:rsidRPr="00CB25CC">
        <w:rPr>
          <w:rStyle w:val="FootnoteReference"/>
        </w:rPr>
        <w:footnoteRef/>
      </w:r>
      <w:r w:rsidRPr="00CB25CC">
        <w:rPr>
          <w:rtl/>
        </w:rPr>
        <w:t xml:space="preserve"> انظر الحاشية السابقة.</w:t>
      </w:r>
    </w:p>
  </w:footnote>
  <w:footnote w:id="66">
    <w:p w14:paraId="696EAC16" w14:textId="77777777" w:rsidR="002B0DFD" w:rsidRPr="00CB25CC" w:rsidRDefault="002B0DFD" w:rsidP="00BB3820">
      <w:pPr>
        <w:pStyle w:val="FootnoteText"/>
      </w:pPr>
      <w:r w:rsidRPr="00CB25CC">
        <w:rPr>
          <w:rStyle w:val="FootnoteReference"/>
        </w:rPr>
        <w:footnoteRef/>
      </w:r>
      <w:r w:rsidRPr="00CB25CC">
        <w:rPr>
          <w:rtl/>
        </w:rPr>
        <w:t xml:space="preserve"> ستحدد أسس المقارنة والأهداف في نهاية 2015 بعد اختبار الأدوات والمنهجيات الإحصائية الإ</w:t>
      </w:r>
      <w:r>
        <w:rPr>
          <w:rtl/>
        </w:rPr>
        <w:t>لكترونية الجديدة والتثبّت منها.</w:t>
      </w:r>
    </w:p>
  </w:footnote>
  <w:footnote w:id="67">
    <w:p w14:paraId="55CCC5A5" w14:textId="77777777" w:rsidR="002B0DFD" w:rsidRPr="00CB25CC" w:rsidRDefault="002B0DFD" w:rsidP="00BB3820">
      <w:pPr>
        <w:pStyle w:val="FootnoteText"/>
      </w:pPr>
      <w:r w:rsidRPr="00CB25CC">
        <w:rPr>
          <w:rStyle w:val="FootnoteReference"/>
        </w:rPr>
        <w:footnoteRef/>
      </w:r>
      <w:r w:rsidRPr="00CB25CC">
        <w:rPr>
          <w:rtl/>
        </w:rPr>
        <w:t xml:space="preserve"> تضاعف عدد مرات التحميل (في غضون ستة أشهر) للاستعراض السنوي لنظام معاهدة البراءات أكثر من ثلاث مرات ليبلغ 921 29 في عام 2015.</w:t>
      </w:r>
      <w:r>
        <w:rPr>
          <w:rFonts w:hint="cs"/>
          <w:rtl/>
        </w:rPr>
        <w:t xml:space="preserve"> </w:t>
      </w:r>
      <w:r w:rsidRPr="00CB25CC">
        <w:rPr>
          <w:rtl/>
        </w:rPr>
        <w:t>ولم يُتوقع ذلك المعدل من الزيادة وقد يعزى إلى أسباب تقنية؛ وستُراقب إحصاءات التحميل لأي تغير مشابه.</w:t>
      </w:r>
    </w:p>
  </w:footnote>
  <w:footnote w:id="68">
    <w:p w14:paraId="2BC73C3C" w14:textId="77777777" w:rsidR="002B0DFD" w:rsidRPr="00BD2D4F" w:rsidRDefault="002B0DFD" w:rsidP="00BB3820">
      <w:pPr>
        <w:pStyle w:val="FootnoteText"/>
      </w:pPr>
      <w:r w:rsidRPr="00CB25CC">
        <w:rPr>
          <w:rStyle w:val="FootnoteReference"/>
        </w:rPr>
        <w:footnoteRef/>
      </w:r>
      <w:r w:rsidRPr="00CB25CC">
        <w:rPr>
          <w:rtl/>
        </w:rPr>
        <w:t xml:space="preserve"> </w:t>
      </w:r>
      <w:hyperlink r:id="rId19" w:history="1">
        <w:r w:rsidRPr="00144D00">
          <w:rPr>
            <w:rStyle w:val="Hyperlink"/>
          </w:rPr>
          <w:t>http://www.wipo.int/econ_stat/ar/economics/gii/</w:t>
        </w:r>
      </w:hyperlink>
    </w:p>
  </w:footnote>
  <w:footnote w:id="69">
    <w:p w14:paraId="155E95DA" w14:textId="77777777" w:rsidR="002B0DFD" w:rsidRPr="00CB25CC" w:rsidRDefault="002B0DFD" w:rsidP="00BB3820">
      <w:pPr>
        <w:pStyle w:val="FootnoteText"/>
      </w:pPr>
      <w:r w:rsidRPr="00CB25CC">
        <w:rPr>
          <w:rStyle w:val="FootnoteReference"/>
        </w:rPr>
        <w:footnoteRef/>
      </w:r>
      <w:r>
        <w:rPr>
          <w:rtl/>
        </w:rPr>
        <w:t xml:space="preserve"> تصويب:</w:t>
      </w:r>
      <w:r w:rsidRPr="00CB25CC">
        <w:rPr>
          <w:rtl/>
        </w:rPr>
        <w:t xml:space="preserve"> بلغ عدد الزائرين المتفردين 190 48 زائراً في الثنائية 2014/15 وليس 368 50 كما ورد في تقرير أداء البرنامج 2014/15.</w:t>
      </w:r>
    </w:p>
  </w:footnote>
  <w:footnote w:id="70">
    <w:p w14:paraId="68A78DAE" w14:textId="77777777" w:rsidR="002B0DFD" w:rsidRPr="00CB25CC" w:rsidRDefault="002B0DFD" w:rsidP="00BB3820">
      <w:pPr>
        <w:pStyle w:val="FootnoteText"/>
      </w:pPr>
      <w:r w:rsidRPr="00CB25CC">
        <w:rPr>
          <w:rStyle w:val="FootnoteReference"/>
        </w:rPr>
        <w:footnoteRef/>
      </w:r>
      <w:r w:rsidRPr="00CB25CC">
        <w:rPr>
          <w:rtl/>
        </w:rPr>
        <w:t xml:space="preserve"> </w:t>
      </w:r>
      <w:hyperlink r:id="rId20" w:history="1">
        <w:r w:rsidRPr="00144D00">
          <w:rPr>
            <w:rStyle w:val="Hyperlink"/>
          </w:rPr>
          <w:t>https://www.globalinnovationindex.org/</w:t>
        </w:r>
      </w:hyperlink>
    </w:p>
  </w:footnote>
  <w:footnote w:id="71">
    <w:p w14:paraId="7EF342F8" w14:textId="77777777" w:rsidR="002B0DFD" w:rsidRPr="00BD2D4F" w:rsidRDefault="002B0DFD" w:rsidP="00BB3820">
      <w:pPr>
        <w:pStyle w:val="FootnoteText"/>
      </w:pPr>
      <w:r w:rsidRPr="00CB25CC">
        <w:rPr>
          <w:rStyle w:val="FootnoteReference"/>
        </w:rPr>
        <w:footnoteRef/>
      </w:r>
      <w:r>
        <w:rPr>
          <w:rtl/>
        </w:rPr>
        <w:t xml:space="preserve"> تصويب:</w:t>
      </w:r>
      <w:r w:rsidRPr="00CB25CC">
        <w:rPr>
          <w:rtl/>
        </w:rPr>
        <w:t xml:space="preserve"> بلغ عدد الزائرين المتفردين 690</w:t>
      </w:r>
      <w:r>
        <w:rPr>
          <w:rFonts w:hint="cs"/>
          <w:rtl/>
        </w:rPr>
        <w:t> </w:t>
      </w:r>
      <w:r w:rsidRPr="00CB25CC">
        <w:rPr>
          <w:rtl/>
        </w:rPr>
        <w:t>317</w:t>
      </w:r>
      <w:r>
        <w:rPr>
          <w:rFonts w:hint="cs"/>
          <w:rtl/>
        </w:rPr>
        <w:t xml:space="preserve"> ز</w:t>
      </w:r>
      <w:r w:rsidRPr="00CB25CC">
        <w:rPr>
          <w:rtl/>
        </w:rPr>
        <w:t xml:space="preserve">ائراً في الثنائية 2014/15 وليس 283 300 كما ورد في </w:t>
      </w:r>
      <w:r w:rsidRPr="00BD2D4F">
        <w:rPr>
          <w:rtl/>
        </w:rPr>
        <w:t>تقرير أداء البرنامج 2014/15</w:t>
      </w:r>
      <w:r w:rsidRPr="00CB25CC">
        <w:rPr>
          <w:rtl/>
        </w:rPr>
        <w:t>.</w:t>
      </w:r>
    </w:p>
  </w:footnote>
  <w:footnote w:id="72">
    <w:p w14:paraId="555D2079" w14:textId="77777777" w:rsidR="002B0DFD" w:rsidRPr="00CB25CC" w:rsidRDefault="002B0DFD" w:rsidP="00BB3820">
      <w:pPr>
        <w:bidi/>
        <w:rPr>
          <w:rFonts w:ascii="Arabic Typesetting" w:hAnsi="Arabic Typesetting" w:cs="Arabic Typesetting"/>
          <w:color w:val="0000FF"/>
          <w:sz w:val="28"/>
          <w:szCs w:val="28"/>
          <w:u w:val="single"/>
        </w:rPr>
      </w:pPr>
      <w:r w:rsidRPr="00CB25CC">
        <w:rPr>
          <w:rStyle w:val="FootnoteReference"/>
        </w:rPr>
        <w:footnoteRef/>
      </w:r>
      <w:r w:rsidRPr="00CB25CC">
        <w:rPr>
          <w:rFonts w:ascii="Arabic Typesetting" w:hAnsi="Arabic Typesetting" w:cs="Arabic Typesetting"/>
          <w:sz w:val="28"/>
          <w:szCs w:val="28"/>
          <w:rtl/>
        </w:rPr>
        <w:t xml:space="preserve"> </w:t>
      </w:r>
      <w:hyperlink r:id="rId21">
        <w:r w:rsidRPr="00CB25CC">
          <w:rPr>
            <w:rFonts w:ascii="Arabic Typesetting" w:hAnsi="Arabic Typesetting" w:cs="Arabic Typesetting"/>
            <w:color w:val="0000FF"/>
            <w:sz w:val="28"/>
            <w:szCs w:val="28"/>
            <w:u w:val="single"/>
          </w:rPr>
          <w:t>http://www.wipo.int/edocs/pubdocs/ar/wipo_pub_944_2015.pdf</w:t>
        </w:r>
      </w:hyperlink>
    </w:p>
  </w:footnote>
  <w:footnote w:id="73">
    <w:p w14:paraId="4B2EAE5B" w14:textId="77777777" w:rsidR="002B0DFD" w:rsidRPr="00C32596" w:rsidRDefault="002B0DFD" w:rsidP="00BB3820">
      <w:pPr>
        <w:pStyle w:val="FootnoteText"/>
        <w:jc w:val="both"/>
      </w:pPr>
      <w:r w:rsidRPr="00C32596">
        <w:rPr>
          <w:rStyle w:val="FootnoteReference"/>
        </w:rPr>
        <w:footnoteRef/>
      </w:r>
      <w:r w:rsidRPr="00C32596">
        <w:rPr>
          <w:rtl/>
        </w:rPr>
        <w:t xml:space="preserve"> تشمل عمليات التعاون الاستراتيجي الشراكات المنتظمة والطويلة </w:t>
      </w:r>
      <w:r>
        <w:rPr>
          <w:rFonts w:hint="cs"/>
          <w:rtl/>
        </w:rPr>
        <w:t>العهد</w:t>
      </w:r>
      <w:r w:rsidRPr="00C32596">
        <w:rPr>
          <w:rtl/>
        </w:rPr>
        <w:t xml:space="preserve"> ومنها الشراكات التي أقيمت بموجب اتفاقات تعاون والتي تتناول عناصر من موضوع</w:t>
      </w:r>
      <w:r>
        <w:rPr>
          <w:rtl/>
        </w:rPr>
        <w:t xml:space="preserve"> إذكاء الاحترام للملكية الفكرية</w:t>
      </w:r>
      <w:r>
        <w:rPr>
          <w:rFonts w:hint="cs"/>
          <w:rtl/>
        </w:rPr>
        <w:t>.</w:t>
      </w:r>
    </w:p>
  </w:footnote>
  <w:footnote w:id="74">
    <w:p w14:paraId="0F5BCF2B" w14:textId="77777777" w:rsidR="002B0DFD" w:rsidRPr="001E6D34" w:rsidRDefault="002B0DFD" w:rsidP="00BB3820">
      <w:pPr>
        <w:pStyle w:val="FootnoteText"/>
      </w:pPr>
      <w:r w:rsidRPr="001E6D34">
        <w:rPr>
          <w:rStyle w:val="FootnoteReference"/>
        </w:rPr>
        <w:footnoteRef/>
      </w:r>
      <w:r w:rsidRPr="001E6D34">
        <w:rPr>
          <w:rtl/>
        </w:rPr>
        <w:t xml:space="preserve"> تصويب:</w:t>
      </w:r>
      <w:r>
        <w:rPr>
          <w:rtl/>
        </w:rPr>
        <w:t xml:space="preserve"> </w:t>
      </w:r>
      <w:r w:rsidRPr="001E6D34">
        <w:rPr>
          <w:rtl/>
        </w:rPr>
        <w:t xml:space="preserve">العدد الفعلي لأعضاء برنامج </w:t>
      </w:r>
      <w:r w:rsidRPr="001E6D34">
        <w:t>WIPO Re:Search</w:t>
      </w:r>
      <w:r w:rsidRPr="001E6D34">
        <w:rPr>
          <w:rtl/>
        </w:rPr>
        <w:t xml:space="preserve"> من البلدان النامية والبلدان الأقل نموا في نهاية عام 2015 كان 36 وليس 22 كما ورد في تقرير أداء البرنامج 2014/15.</w:t>
      </w:r>
    </w:p>
  </w:footnote>
  <w:footnote w:id="75">
    <w:p w14:paraId="50275DB7" w14:textId="77777777" w:rsidR="002B0DFD" w:rsidRPr="001E6D34" w:rsidRDefault="002B0DFD" w:rsidP="00BB3820">
      <w:pPr>
        <w:pStyle w:val="FootnoteText"/>
      </w:pPr>
      <w:r w:rsidRPr="001E6D34">
        <w:rPr>
          <w:rStyle w:val="FootnoteReference"/>
        </w:rPr>
        <w:footnoteRef/>
      </w:r>
      <w:r w:rsidRPr="001E6D34">
        <w:rPr>
          <w:rtl/>
        </w:rPr>
        <w:t xml:space="preserve"> تصويب:</w:t>
      </w:r>
      <w:r>
        <w:rPr>
          <w:rtl/>
        </w:rPr>
        <w:t xml:space="preserve"> </w:t>
      </w:r>
      <w:r w:rsidRPr="001E6D34">
        <w:rPr>
          <w:rtl/>
        </w:rPr>
        <w:t>بلغ عدد مشاهدات الصفحة الإلكتروني</w:t>
      </w:r>
      <w:r>
        <w:rPr>
          <w:rFonts w:hint="cs"/>
          <w:rtl/>
        </w:rPr>
        <w:t>ة</w:t>
      </w:r>
      <w:r w:rsidRPr="001E6D34">
        <w:rPr>
          <w:rtl/>
        </w:rPr>
        <w:t xml:space="preserve"> للصحة العامة والملكية الفكرية 9233 مشاهدة وليس 800 31 كما ورد في تقرير أداء البرنامج 2014/15.</w:t>
      </w:r>
    </w:p>
  </w:footnote>
  <w:footnote w:id="76">
    <w:p w14:paraId="11431F0F" w14:textId="77777777" w:rsidR="002B0DFD" w:rsidRPr="001E6D34" w:rsidRDefault="002B0DFD" w:rsidP="00BB3820">
      <w:pPr>
        <w:pStyle w:val="FootnoteText"/>
      </w:pPr>
      <w:r w:rsidRPr="001E6D34">
        <w:rPr>
          <w:rStyle w:val="FootnoteReference"/>
        </w:rPr>
        <w:footnoteRef/>
      </w:r>
      <w:r w:rsidRPr="001E6D34">
        <w:rPr>
          <w:rtl/>
        </w:rPr>
        <w:t xml:space="preserve"> يُستخلص عدد مرات التحميل للفصل الرابع من عام 2016 من بيانات الفترة من يناير إلى سبتمبر 2016.</w:t>
      </w:r>
      <w:r>
        <w:rPr>
          <w:rtl/>
        </w:rPr>
        <w:t xml:space="preserve"> </w:t>
      </w:r>
      <w:r w:rsidRPr="001E6D34">
        <w:rPr>
          <w:rtl/>
        </w:rPr>
        <w:t>وفي سبتمبر 2016، عُززت أداة إحصاءات الويب لتحسين الاستقرار، فأدى ذلك إلى عدم القدرة على رصد البيانات للفصل الأخير من عام 2016.</w:t>
      </w:r>
    </w:p>
  </w:footnote>
  <w:footnote w:id="77">
    <w:p w14:paraId="1DB19A7B" w14:textId="77777777" w:rsidR="002B0DFD" w:rsidRPr="001F2068" w:rsidRDefault="002B0DFD" w:rsidP="00BD3831">
      <w:pPr>
        <w:pStyle w:val="FootnoteText"/>
      </w:pPr>
      <w:r w:rsidRPr="001F2068">
        <w:rPr>
          <w:rStyle w:val="FootnoteReference"/>
        </w:rPr>
        <w:footnoteRef/>
      </w:r>
      <w:r w:rsidRPr="001F2068">
        <w:rPr>
          <w:rtl/>
        </w:rPr>
        <w:t xml:space="preserve"> يقوم الهدف البالغ 23% على متوسط القطاع وفقاً لحابات منصة </w:t>
      </w:r>
      <w:r w:rsidRPr="001F2068">
        <w:t>MailChimp</w:t>
      </w:r>
      <w:r w:rsidRPr="001F2068">
        <w:rPr>
          <w:rtl/>
        </w:rPr>
        <w:t xml:space="preserve"> للتسويق البريدي الإلكتروني</w:t>
      </w:r>
      <w:r>
        <w:rPr>
          <w:rFonts w:hint="cs"/>
          <w:rtl/>
        </w:rPr>
        <w:t>.</w:t>
      </w:r>
    </w:p>
  </w:footnote>
  <w:footnote w:id="78">
    <w:p w14:paraId="41801030" w14:textId="77777777" w:rsidR="002B0DFD" w:rsidRPr="001F2068" w:rsidRDefault="002B0DFD" w:rsidP="00BD3831">
      <w:pPr>
        <w:pStyle w:val="FootnoteText"/>
      </w:pPr>
      <w:r w:rsidRPr="001F2068">
        <w:rPr>
          <w:rStyle w:val="FootnoteReference"/>
        </w:rPr>
        <w:footnoteRef/>
      </w:r>
      <w:r w:rsidRPr="001F2068">
        <w:rPr>
          <w:rtl/>
        </w:rPr>
        <w:t xml:space="preserve"> </w:t>
      </w:r>
      <w:r w:rsidRPr="001F2068">
        <w:rPr>
          <w:color w:val="000000"/>
          <w:rtl/>
        </w:rPr>
        <w:t>غيَّر موقع تويتر زر/خاصة "تفضيل" إلى "إعجاب" في أواخر عام 2015 في النسخة الإنكليزية.</w:t>
      </w:r>
    </w:p>
  </w:footnote>
  <w:footnote w:id="79">
    <w:p w14:paraId="4AA9F42D" w14:textId="77777777" w:rsidR="002B0DFD" w:rsidRPr="001F2068" w:rsidRDefault="002B0DFD" w:rsidP="006A1A09">
      <w:pPr>
        <w:pStyle w:val="FootnoteText"/>
      </w:pPr>
      <w:r w:rsidRPr="001F2068">
        <w:rPr>
          <w:rStyle w:val="FootnoteReference"/>
        </w:rPr>
        <w:footnoteRef/>
      </w:r>
      <w:r w:rsidRPr="001F2068">
        <w:rPr>
          <w:rtl/>
        </w:rPr>
        <w:t xml:space="preserve"> اعتُمدت منهجية جديدة لقياس رضا الزبائن في عام 2016 لا يمكن مقارنتها مع الأهداف المحددة في برنامج وميزانية 2016/17.</w:t>
      </w:r>
    </w:p>
  </w:footnote>
  <w:footnote w:id="80">
    <w:p w14:paraId="1B4B00D3" w14:textId="09F31F3F" w:rsidR="002B0DFD" w:rsidRPr="008E492F" w:rsidRDefault="002B0DFD" w:rsidP="00024074">
      <w:pPr>
        <w:pStyle w:val="FootnoteText"/>
        <w:rPr>
          <w:rtl/>
        </w:rPr>
      </w:pPr>
      <w:r w:rsidRPr="008E492F">
        <w:rPr>
          <w:rStyle w:val="FootnoteReference"/>
        </w:rPr>
        <w:footnoteRef/>
      </w:r>
      <w:r w:rsidRPr="008E492F">
        <w:rPr>
          <w:rtl/>
        </w:rPr>
        <w:t xml:space="preserve"> بيانات السنة الأخيرة لمؤشر الأداء هذا هي تقديرات في وقت نشر تقرير أداء البرنامج كل عام؛ ويجري تحديث الأرقام الواردة في مركز البيانات الإحصائية للملكية الفكرية التابع للويبو بمرور الوقت، ولذلك فإن أسس المقارنة المحدثة غالباً ما تختلف اختلافات طفيفة عن البيانات الواردة في تقرير أداء البرنامج</w:t>
      </w:r>
      <w:r>
        <w:rPr>
          <w:rFonts w:hint="cs"/>
          <w:rtl/>
        </w:rPr>
        <w:t> </w:t>
      </w:r>
      <w:r w:rsidRPr="008E492F">
        <w:rPr>
          <w:rtl/>
        </w:rPr>
        <w:t>2014/15.</w:t>
      </w:r>
    </w:p>
  </w:footnote>
  <w:footnote w:id="81">
    <w:p w14:paraId="3118054D" w14:textId="297EC005" w:rsidR="002B0DFD" w:rsidRPr="008E492F" w:rsidRDefault="002B0DFD" w:rsidP="00574A27">
      <w:pPr>
        <w:pStyle w:val="FootnoteText"/>
        <w:rPr>
          <w:rtl/>
        </w:rPr>
      </w:pPr>
      <w:r w:rsidRPr="008E492F">
        <w:rPr>
          <w:rStyle w:val="FootnoteReference"/>
        </w:rPr>
        <w:footnoteRef/>
      </w:r>
      <w:r w:rsidRPr="008E492F">
        <w:rPr>
          <w:rtl/>
        </w:rPr>
        <w:t xml:space="preserve"> على الرغم من </w:t>
      </w:r>
      <w:r>
        <w:rPr>
          <w:rFonts w:hint="cs"/>
          <w:rtl/>
        </w:rPr>
        <w:t xml:space="preserve">أن </w:t>
      </w:r>
      <w:r w:rsidRPr="008E492F">
        <w:rPr>
          <w:rtl/>
        </w:rPr>
        <w:t>الدخول حيز النفاذ بد</w:t>
      </w:r>
      <w:r>
        <w:rPr>
          <w:rFonts w:hint="cs"/>
          <w:rtl/>
        </w:rPr>
        <w:t>أ</w:t>
      </w:r>
      <w:r w:rsidRPr="008E492F">
        <w:rPr>
          <w:rtl/>
        </w:rPr>
        <w:t xml:space="preserve"> في عام 2016، أ</w:t>
      </w:r>
      <w:r>
        <w:rPr>
          <w:rFonts w:hint="cs"/>
          <w:rtl/>
        </w:rPr>
        <w:t>ُ</w:t>
      </w:r>
      <w:r w:rsidRPr="008E492F">
        <w:rPr>
          <w:rtl/>
        </w:rPr>
        <w:t>ودع صك انضمام جمهورية لاو الديمقراطية الشعبية لدى الويبو في ديسمبر 2015. وقد أُدرج في تقرير أداء البرنامج 2014/15، ولذلك فهو يرد هنا في أساس المقارنة المحدث.</w:t>
      </w:r>
    </w:p>
  </w:footnote>
  <w:footnote w:id="82">
    <w:p w14:paraId="019038DD" w14:textId="6A48DCA5" w:rsidR="002B0DFD" w:rsidRPr="008E492F" w:rsidRDefault="002B0DFD" w:rsidP="00E86E88">
      <w:pPr>
        <w:pStyle w:val="FootnoteText"/>
        <w:rPr>
          <w:rtl/>
        </w:rPr>
      </w:pPr>
      <w:r w:rsidRPr="008E492F">
        <w:rPr>
          <w:rStyle w:val="FootnoteReference"/>
        </w:rPr>
        <w:footnoteRef/>
      </w:r>
      <w:r w:rsidRPr="008E492F">
        <w:rPr>
          <w:rtl/>
        </w:rPr>
        <w:t xml:space="preserve"> مراكز دعم التكنولوجيا والابتكار المستدامة هي مؤسسات ذاتية الدعم ماليا</w:t>
      </w:r>
      <w:r>
        <w:rPr>
          <w:rFonts w:hint="cs"/>
          <w:rtl/>
        </w:rPr>
        <w:t>ً</w:t>
      </w:r>
      <w:r w:rsidRPr="008E492F">
        <w:rPr>
          <w:rtl/>
        </w:rPr>
        <w:t xml:space="preserve"> وتقنيا</w:t>
      </w:r>
      <w:r>
        <w:rPr>
          <w:rFonts w:hint="cs"/>
          <w:rtl/>
        </w:rPr>
        <w:t>ً</w:t>
      </w:r>
      <w:r w:rsidRPr="008E492F">
        <w:rPr>
          <w:rtl/>
        </w:rPr>
        <w:t xml:space="preserve"> وتسدي إليها الويبو المشورة عند الطلب. </w:t>
      </w:r>
      <w:r>
        <w:rPr>
          <w:rFonts w:hint="cs"/>
          <w:rtl/>
        </w:rPr>
        <w:t>و</w:t>
      </w:r>
      <w:r w:rsidRPr="005C72A2">
        <w:rPr>
          <w:rtl/>
        </w:rPr>
        <w:t>ت</w:t>
      </w:r>
      <w:r>
        <w:rPr>
          <w:rFonts w:hint="cs"/>
          <w:rtl/>
        </w:rPr>
        <w:t>ُ</w:t>
      </w:r>
      <w:r w:rsidRPr="005C72A2">
        <w:rPr>
          <w:rtl/>
        </w:rPr>
        <w:t>قاس الاستدامة عل</w:t>
      </w:r>
      <w:r>
        <w:rPr>
          <w:rtl/>
        </w:rPr>
        <w:t>ى أساس مستويات النضج التالية:</w:t>
      </w:r>
      <w:r w:rsidRPr="008E492F">
        <w:rPr>
          <w:rtl/>
        </w:rPr>
        <w:t xml:space="preserve"> </w:t>
      </w:r>
    </w:p>
    <w:p w14:paraId="14E21A41" w14:textId="18FF955F" w:rsidR="002B0DFD" w:rsidRPr="008E492F" w:rsidRDefault="002B0DFD" w:rsidP="00024074">
      <w:pPr>
        <w:pStyle w:val="FootnoteText"/>
        <w:numPr>
          <w:ilvl w:val="0"/>
          <w:numId w:val="13"/>
        </w:numPr>
        <w:spacing w:line="240" w:lineRule="auto"/>
        <w:rPr>
          <w:rtl/>
        </w:rPr>
      </w:pPr>
      <w:r w:rsidRPr="00C74885">
        <w:rPr>
          <w:bCs/>
          <w:rtl/>
        </w:rPr>
        <w:t>مستوى النضج الأول</w:t>
      </w:r>
      <w:r>
        <w:rPr>
          <w:rFonts w:hint="cs"/>
          <w:rtl/>
        </w:rPr>
        <w:t>:</w:t>
      </w:r>
      <w:r w:rsidRPr="008E492F">
        <w:rPr>
          <w:rtl/>
        </w:rPr>
        <w:t xml:space="preserve"> </w:t>
      </w:r>
      <w:r w:rsidRPr="00024074">
        <w:rPr>
          <w:rtl/>
        </w:rPr>
        <w:t>(أ) توقيع اتفاق على مستوى الخدمة بين الويبو وجهة التنسيق الوطنية؛ (ب) وتوقيع اتفاقات مؤسسية بين جهة التنسيق الوطنية والمؤسسات المضيفة لمراكز دعم الابتكار والتكنولوجيا؛</w:t>
      </w:r>
      <w:r w:rsidRPr="008E492F">
        <w:rPr>
          <w:rtl/>
        </w:rPr>
        <w:t xml:space="preserve"> (ج) وتقديم تقرير سنوي واحد على الأقل عن الأنشطة الوطنية لم</w:t>
      </w:r>
      <w:r>
        <w:rPr>
          <w:rtl/>
        </w:rPr>
        <w:t>راكز دعم التكنولوجيا والابتكار؛</w:t>
      </w:r>
    </w:p>
    <w:p w14:paraId="4115EA49" w14:textId="77777777" w:rsidR="002B0DFD" w:rsidRPr="008E492F" w:rsidRDefault="002B0DFD" w:rsidP="00574A27">
      <w:pPr>
        <w:pStyle w:val="FootnoteText"/>
        <w:numPr>
          <w:ilvl w:val="0"/>
          <w:numId w:val="13"/>
        </w:numPr>
        <w:spacing w:line="240" w:lineRule="auto"/>
        <w:rPr>
          <w:rtl/>
        </w:rPr>
      </w:pPr>
      <w:r w:rsidRPr="00C74885">
        <w:rPr>
          <w:bCs/>
          <w:rtl/>
        </w:rPr>
        <w:t>مستوى النضج الثاني</w:t>
      </w:r>
      <w:r>
        <w:rPr>
          <w:rFonts w:hint="cs"/>
          <w:rtl/>
        </w:rPr>
        <w:t>:</w:t>
      </w:r>
      <w:r w:rsidRPr="008E492F">
        <w:rPr>
          <w:rtl/>
        </w:rPr>
        <w:t xml:space="preserve"> </w:t>
      </w:r>
      <w:r>
        <w:rPr>
          <w:rFonts w:hint="cs"/>
          <w:rtl/>
        </w:rPr>
        <w:t>استيفاء</w:t>
      </w:r>
      <w:r w:rsidRPr="008E492F">
        <w:rPr>
          <w:rtl/>
        </w:rPr>
        <w:t xml:space="preserve"> معايير المستوى الأول بالإضافة إلى توفير عمليات البحث الأساسية عن معلومات البراءات، مثل عمليات البحث في البراءات عن حالة التقنية الصناعية السابقة؛</w:t>
      </w:r>
    </w:p>
    <w:p w14:paraId="00C9BA1E" w14:textId="66A5071B" w:rsidR="002B0DFD" w:rsidRPr="008E492F" w:rsidRDefault="002B0DFD" w:rsidP="00024074">
      <w:pPr>
        <w:pStyle w:val="FootnoteText"/>
        <w:numPr>
          <w:ilvl w:val="0"/>
          <w:numId w:val="13"/>
        </w:numPr>
        <w:spacing w:line="240" w:lineRule="auto"/>
        <w:rPr>
          <w:rtl/>
        </w:rPr>
      </w:pPr>
      <w:r w:rsidRPr="00A86211">
        <w:rPr>
          <w:b/>
          <w:bCs/>
          <w:color w:val="212121"/>
          <w:rtl/>
        </w:rPr>
        <w:t>مستوى النضج الثالث</w:t>
      </w:r>
      <w:r w:rsidRPr="00A86211">
        <w:rPr>
          <w:rtl/>
        </w:rPr>
        <w:t xml:space="preserve"> - </w:t>
      </w:r>
      <w:r>
        <w:rPr>
          <w:rFonts w:hint="cs"/>
          <w:rtl/>
        </w:rPr>
        <w:t>استيفاء</w:t>
      </w:r>
      <w:r w:rsidRPr="00A86211">
        <w:rPr>
          <w:rtl/>
        </w:rPr>
        <w:t xml:space="preserve"> معايير المستوى الثاني </w:t>
      </w:r>
      <w:r>
        <w:rPr>
          <w:rFonts w:hint="cs"/>
          <w:rtl/>
        </w:rPr>
        <w:t>بالإضافة إلى</w:t>
      </w:r>
      <w:r w:rsidRPr="00A86211">
        <w:rPr>
          <w:rtl/>
        </w:rPr>
        <w:t xml:space="preserve"> توفير خدمات ذات قيمة مضافة في مجال الملكية الفكرية مثل صياغة تقارير واقع</w:t>
      </w:r>
      <w:r>
        <w:rPr>
          <w:rFonts w:hint="cs"/>
          <w:rtl/>
        </w:rPr>
        <w:t> </w:t>
      </w:r>
      <w:r w:rsidRPr="00A86211">
        <w:rPr>
          <w:rtl/>
        </w:rPr>
        <w:t>البراءات.</w:t>
      </w:r>
    </w:p>
  </w:footnote>
  <w:footnote w:id="83">
    <w:p w14:paraId="550F26C1" w14:textId="77777777" w:rsidR="002B0DFD" w:rsidRPr="003B3821" w:rsidRDefault="002B0DFD" w:rsidP="0049618D">
      <w:pPr>
        <w:bidi/>
        <w:rPr>
          <w:rFonts w:ascii="Arabic Typesetting" w:hAnsi="Arabic Typesetting" w:cs="Arabic Typesetting"/>
          <w:sz w:val="28"/>
          <w:szCs w:val="28"/>
        </w:rPr>
      </w:pPr>
      <w:r w:rsidRPr="003B3821">
        <w:rPr>
          <w:rStyle w:val="FootnoteReference"/>
        </w:rPr>
        <w:footnoteRef/>
      </w:r>
      <w:r w:rsidRPr="003B3821">
        <w:rPr>
          <w:rFonts w:ascii="Arabic Typesetting" w:hAnsi="Arabic Typesetting" w:cs="Arabic Typesetting"/>
          <w:sz w:val="28"/>
          <w:szCs w:val="28"/>
          <w:rtl/>
        </w:rPr>
        <w:t xml:space="preserve"> غيِّر</w:t>
      </w:r>
      <w:r>
        <w:rPr>
          <w:rFonts w:ascii="Arabic Typesetting" w:hAnsi="Arabic Typesetting" w:cs="Arabic Typesetting"/>
          <w:sz w:val="28"/>
          <w:szCs w:val="28"/>
          <w:rtl/>
        </w:rPr>
        <w:t xml:space="preserve"> مؤشر الأداء الأصلي استثناءً و</w:t>
      </w:r>
      <w:r>
        <w:rPr>
          <w:rFonts w:ascii="Arabic Typesetting" w:hAnsi="Arabic Typesetting" w:cs="Arabic Typesetting" w:hint="cs"/>
          <w:sz w:val="28"/>
          <w:szCs w:val="28"/>
          <w:rtl/>
        </w:rPr>
        <w:t>هو</w:t>
      </w:r>
      <w:r w:rsidRPr="003B3821">
        <w:rPr>
          <w:rFonts w:ascii="Arabic Typesetting" w:hAnsi="Arabic Typesetting" w:cs="Arabic Typesetting"/>
          <w:sz w:val="28"/>
          <w:szCs w:val="28"/>
          <w:rtl/>
        </w:rPr>
        <w:t xml:space="preserve"> "النسبة المئوية لطلبات المساعدة المرتبطة بالأمن والسلامة في المؤتمرات أو التظاهرات المعقودة في جنيف أو خارجها التي عولجت في الوقت المناسب" ليدمج بدقة أكبر الموضوع المقاس أي النسبة المئوية للمؤتمرات والتظاهرات المدعومة</w:t>
      </w:r>
      <w:r>
        <w:rPr>
          <w:rFonts w:ascii="Arabic Typesetting" w:hAnsi="Arabic Typesetting" w:cs="Arabic Typesetting"/>
          <w:sz w:val="28"/>
          <w:szCs w:val="28"/>
          <w:rtl/>
        </w:rPr>
        <w:t xml:space="preserve"> عوضاً عن مهلة معالجة الطلب.</w:t>
      </w:r>
    </w:p>
  </w:footnote>
  <w:footnote w:id="84">
    <w:p w14:paraId="491E4E6D" w14:textId="77777777" w:rsidR="002B0DFD" w:rsidRPr="00D232FE" w:rsidRDefault="002B0DFD" w:rsidP="00BD3831">
      <w:pPr>
        <w:pStyle w:val="FootnoteText"/>
      </w:pPr>
      <w:r w:rsidRPr="00D232FE">
        <w:rPr>
          <w:rStyle w:val="FootnoteReference"/>
        </w:rPr>
        <w:footnoteRef/>
      </w:r>
      <w:r w:rsidRPr="00D232FE">
        <w:rPr>
          <w:rtl/>
        </w:rPr>
        <w:t xml:space="preserve"> يستند جدول المقاييس والتصنيفات إلى النتائج التي خلص إليها استعراض وحدة التفتيش المشتركة على نطاق المنظومة للإدارة القائمة على النتائج في منظ</w:t>
      </w:r>
      <w:r>
        <w:rPr>
          <w:rtl/>
        </w:rPr>
        <w:t xml:space="preserve">ومة الأمم المتحدة في عام 2015. </w:t>
      </w:r>
      <w:r w:rsidRPr="00D232FE">
        <w:rPr>
          <w:rtl/>
        </w:rPr>
        <w:t xml:space="preserve">ولم يصدر التقرير بعد. </w:t>
      </w:r>
      <w:r>
        <w:rPr>
          <w:rFonts w:hint="cs"/>
          <w:rtl/>
        </w:rPr>
        <w:t>و</w:t>
      </w:r>
      <w:r w:rsidRPr="00D232FE">
        <w:rPr>
          <w:rtl/>
        </w:rPr>
        <w:t>جدول التصنيف</w:t>
      </w:r>
      <w:r>
        <w:rPr>
          <w:rFonts w:hint="cs"/>
          <w:rtl/>
        </w:rPr>
        <w:t xml:space="preserve"> كما يلي</w:t>
      </w:r>
      <w:r>
        <w:rPr>
          <w:rtl/>
        </w:rPr>
        <w:t>:</w:t>
      </w:r>
      <w:r w:rsidRPr="00D232FE">
        <w:rPr>
          <w:rtl/>
        </w:rPr>
        <w:t xml:space="preserve"> المرحلة 1 - قيد البدء؛ المرحلة 2 - بحث سبل التعميم؛ المرحلة 3 - قيد التعميم؛ المرحلة 4 - انتهاء التعميم وبدء التعلم المستمر للتحسين/التكييف؛ المرحلة 5 - التقييم والتجديد</w:t>
      </w:r>
    </w:p>
  </w:footnote>
  <w:footnote w:id="85">
    <w:p w14:paraId="2AB38656" w14:textId="77777777" w:rsidR="002B0DFD" w:rsidRPr="00D232FE" w:rsidRDefault="002B0DFD" w:rsidP="00BD3831">
      <w:pPr>
        <w:pStyle w:val="FootnoteText"/>
      </w:pPr>
      <w:r w:rsidRPr="00D232FE">
        <w:rPr>
          <w:rStyle w:val="FootnoteReference"/>
        </w:rPr>
        <w:footnoteRef/>
      </w:r>
      <w:r w:rsidRPr="00D232FE">
        <w:rPr>
          <w:rtl/>
        </w:rPr>
        <w:t xml:space="preserve"> السي</w:t>
      </w:r>
      <w:r>
        <w:rPr>
          <w:rtl/>
        </w:rPr>
        <w:t xml:space="preserve">اسة المراجعة بشأن الاستثمارات: </w:t>
      </w:r>
      <w:hyperlink r:id="rId22">
        <w:r w:rsidRPr="00D232FE">
          <w:rPr>
            <w:rStyle w:val="Hyperlink"/>
          </w:rPr>
          <w:t>WO/PBC/24/10</w:t>
        </w:r>
      </w:hyperlink>
    </w:p>
  </w:footnote>
  <w:footnote w:id="86">
    <w:p w14:paraId="641368AD" w14:textId="77777777" w:rsidR="002B0DFD" w:rsidRPr="00C23C31" w:rsidRDefault="002B0DFD" w:rsidP="00BD3831">
      <w:pPr>
        <w:pStyle w:val="FootnoteText"/>
      </w:pPr>
      <w:r w:rsidRPr="00C23C31">
        <w:rPr>
          <w:rStyle w:val="FootnoteReference"/>
        </w:rPr>
        <w:footnoteRef/>
      </w:r>
      <w:r w:rsidRPr="00C23C31">
        <w:rPr>
          <w:rtl/>
        </w:rPr>
        <w:t xml:space="preserve"> تصويب: النسبة المئوية للاستفسارات المعالجة خلال 5 أيام عمل كانت 100% في تقرير أداء البرنامج 2014/15 في إطار مؤشر أداء مختلف.</w:t>
      </w:r>
    </w:p>
  </w:footnote>
  <w:footnote w:id="87">
    <w:p w14:paraId="57A3B220" w14:textId="77777777" w:rsidR="002B0DFD" w:rsidRPr="00C23C31" w:rsidRDefault="002B0DFD" w:rsidP="00BD3831">
      <w:pPr>
        <w:pStyle w:val="FootnoteText"/>
      </w:pPr>
      <w:r w:rsidRPr="00C23C31">
        <w:rPr>
          <w:rStyle w:val="FootnoteReference"/>
        </w:rPr>
        <w:footnoteRef/>
      </w:r>
      <w:r w:rsidRPr="00C23C31">
        <w:rPr>
          <w:rtl/>
        </w:rPr>
        <w:t xml:space="preserve"> تصويب: كانت النسبة المئوية 94.7% في عام 2015 وليس 92.8% كما ورد في تقرير أداء البرنامج 2014/15.</w:t>
      </w:r>
    </w:p>
  </w:footnote>
  <w:footnote w:id="88">
    <w:p w14:paraId="3DF56A70" w14:textId="77777777" w:rsidR="002B0DFD" w:rsidRPr="00C23C31" w:rsidRDefault="002B0DFD" w:rsidP="00BD3831">
      <w:pPr>
        <w:pStyle w:val="FootnoteText"/>
      </w:pPr>
      <w:r w:rsidRPr="00C23C31">
        <w:rPr>
          <w:rStyle w:val="FootnoteReference"/>
        </w:rPr>
        <w:footnoteRef/>
      </w:r>
      <w:r w:rsidRPr="00C23C31">
        <w:rPr>
          <w:rtl/>
        </w:rPr>
        <w:t xml:space="preserve"> فقط المناصب من فئة الفنيين فما فوق الذين يخضعون للتوزيع الجغرافي.</w:t>
      </w:r>
    </w:p>
  </w:footnote>
  <w:footnote w:id="89">
    <w:p w14:paraId="0B012B59" w14:textId="77777777" w:rsidR="002B0DFD" w:rsidRPr="00C23C31" w:rsidRDefault="002B0DFD" w:rsidP="00BD3831">
      <w:pPr>
        <w:bidi/>
        <w:rPr>
          <w:rFonts w:ascii="Arabic Typesetting" w:hAnsi="Arabic Typesetting" w:cs="Arabic Typesetting"/>
          <w:sz w:val="28"/>
          <w:szCs w:val="28"/>
        </w:rPr>
      </w:pPr>
      <w:r w:rsidRPr="00C23C31">
        <w:rPr>
          <w:rStyle w:val="FootnoteReference"/>
        </w:rPr>
        <w:footnoteRef/>
      </w:r>
      <w:r w:rsidRPr="00C23C31">
        <w:rPr>
          <w:rFonts w:ascii="Arabic Typesetting" w:hAnsi="Arabic Typesetting" w:cs="Arabic Typesetting"/>
          <w:sz w:val="28"/>
          <w:szCs w:val="28"/>
          <w:rtl/>
        </w:rPr>
        <w:t xml:space="preserve"> يستند جدول المقاييس والتصنيفات إلى النتائج التي خلص إليها استعراض وحدة التفتيش المشتركة على نطاق المنظومة للإدارة القائمة على النتائج في منظومة الأمم المتحدة في ع</w:t>
      </w:r>
      <w:r>
        <w:rPr>
          <w:rFonts w:ascii="Arabic Typesetting" w:hAnsi="Arabic Typesetting" w:cs="Arabic Typesetting"/>
          <w:sz w:val="28"/>
          <w:szCs w:val="28"/>
          <w:rtl/>
        </w:rPr>
        <w:t>ام 2015. ولم يصدر التقرير بعد. جدول التصنيف: </w:t>
      </w:r>
      <w:r w:rsidRPr="00C23C31">
        <w:rPr>
          <w:rFonts w:ascii="Arabic Typesetting" w:hAnsi="Arabic Typesetting" w:cs="Arabic Typesetting"/>
          <w:sz w:val="28"/>
          <w:szCs w:val="28"/>
          <w:rtl/>
        </w:rPr>
        <w:t>المرحلة 1 - قيد البدء؛ المرحلة 2 - بحث سبل التعميم؛ المرحلة 3 - قيد التعميم؛ المرحلة 4 - انتهاء التعميم وبدء التعلم المستمر للتحسين/التكييف؛ المرحلة 5 - التقييم والتجديد</w:t>
      </w:r>
    </w:p>
  </w:footnote>
  <w:footnote w:id="90">
    <w:p w14:paraId="4DB75628" w14:textId="77777777" w:rsidR="002B0DFD" w:rsidRPr="006751AA" w:rsidRDefault="002B0DFD" w:rsidP="00BD3831">
      <w:pPr>
        <w:pStyle w:val="FootnoteText"/>
      </w:pPr>
      <w:r w:rsidRPr="006751AA">
        <w:rPr>
          <w:rStyle w:val="FootnoteReference"/>
        </w:rPr>
        <w:footnoteRef/>
      </w:r>
      <w:r w:rsidRPr="006751AA">
        <w:rPr>
          <w:rtl/>
        </w:rPr>
        <w:t xml:space="preserve"> شهد عام 2015 وفورات أعلى من العادة في التكاليف؛ ويُستخدم </w:t>
      </w:r>
      <w:r>
        <w:rPr>
          <w:rFonts w:hint="cs"/>
          <w:rtl/>
        </w:rPr>
        <w:t xml:space="preserve">هدفاً </w:t>
      </w:r>
      <w:r w:rsidRPr="006751AA">
        <w:rPr>
          <w:rtl/>
        </w:rPr>
        <w:t>أنسب معدلات الأداء في 2014.</w:t>
      </w:r>
    </w:p>
  </w:footnote>
  <w:footnote w:id="91">
    <w:p w14:paraId="39DF5D0D" w14:textId="46E491D9" w:rsidR="002B0DFD" w:rsidRPr="00D3741B" w:rsidRDefault="002B0DFD">
      <w:pPr>
        <w:pStyle w:val="FootnoteText"/>
        <w:rPr>
          <w:rtl/>
          <w:lang w:bidi="ar-EG"/>
        </w:rPr>
      </w:pPr>
      <w:r>
        <w:rPr>
          <w:rStyle w:val="FootnoteReference"/>
        </w:rPr>
        <w:footnoteRef/>
      </w:r>
      <w:r>
        <w:rPr>
          <w:rtl/>
        </w:rPr>
        <w:t xml:space="preserve"> </w:t>
      </w:r>
      <w:r>
        <w:rPr>
          <w:rFonts w:hint="cs"/>
          <w:rtl/>
        </w:rPr>
        <w:t xml:space="preserve">يشير المختصر الإنكليزي </w:t>
      </w:r>
      <w:r>
        <w:t>TMC</w:t>
      </w:r>
      <w:r>
        <w:rPr>
          <w:rFonts w:hint="cs"/>
          <w:rtl/>
          <w:lang w:bidi="ar-EG"/>
        </w:rPr>
        <w:t xml:space="preserve"> إلى "</w:t>
      </w:r>
      <w:r>
        <w:rPr>
          <w:lang w:bidi="ar-EG"/>
        </w:rPr>
        <w:t>Travel Management Company</w:t>
      </w:r>
      <w:r>
        <w:rPr>
          <w:rFonts w:hint="cs"/>
          <w:rtl/>
          <w:lang w:bidi="ar-EG"/>
        </w:rPr>
        <w:t>".</w:t>
      </w:r>
    </w:p>
  </w:footnote>
  <w:footnote w:id="92">
    <w:p w14:paraId="0D711A0C" w14:textId="77777777" w:rsidR="002B0DFD" w:rsidRPr="006751AA" w:rsidRDefault="002B0DFD" w:rsidP="00BD3831">
      <w:pPr>
        <w:pStyle w:val="FootnoteText"/>
      </w:pPr>
      <w:r w:rsidRPr="006751AA">
        <w:rPr>
          <w:rStyle w:val="FootnoteReference"/>
        </w:rPr>
        <w:footnoteRef/>
      </w:r>
      <w:r w:rsidRPr="006751AA">
        <w:rPr>
          <w:rtl/>
        </w:rPr>
        <w:t xml:space="preserve"> </w:t>
      </w:r>
      <w:r>
        <w:rPr>
          <w:rtl/>
        </w:rPr>
        <w:t>التحقق/الجرد السنوي</w:t>
      </w:r>
    </w:p>
  </w:footnote>
  <w:footnote w:id="93">
    <w:p w14:paraId="4700E5D9" w14:textId="77777777" w:rsidR="002B0DFD" w:rsidRPr="006751AA" w:rsidRDefault="002B0DFD" w:rsidP="00BD3831">
      <w:pPr>
        <w:pStyle w:val="FootnoteText"/>
      </w:pPr>
      <w:r w:rsidRPr="006751AA">
        <w:rPr>
          <w:rStyle w:val="FootnoteReference"/>
        </w:rPr>
        <w:footnoteRef/>
      </w:r>
      <w:r w:rsidRPr="006751AA">
        <w:rPr>
          <w:rtl/>
        </w:rPr>
        <w:t xml:space="preserve"> انظر الحاشية السابقة.</w:t>
      </w:r>
    </w:p>
  </w:footnote>
  <w:footnote w:id="94">
    <w:p w14:paraId="087E851C" w14:textId="77777777" w:rsidR="002B0DFD" w:rsidRPr="006751AA" w:rsidRDefault="002B0DFD" w:rsidP="00BD3831">
      <w:pPr>
        <w:pStyle w:val="FootnoteText"/>
      </w:pPr>
      <w:r w:rsidRPr="006751AA">
        <w:rPr>
          <w:rStyle w:val="FootnoteReference"/>
        </w:rPr>
        <w:footnoteRef/>
      </w:r>
      <w:r w:rsidRPr="006751AA">
        <w:rPr>
          <w:rtl/>
        </w:rPr>
        <w:t xml:space="preserve"> التحقق/الجرد كل سنتين</w:t>
      </w:r>
    </w:p>
  </w:footnote>
  <w:footnote w:id="95">
    <w:p w14:paraId="78C53D63" w14:textId="77777777" w:rsidR="002B0DFD" w:rsidRPr="006751AA" w:rsidRDefault="002B0DFD" w:rsidP="00BD3831">
      <w:pPr>
        <w:pStyle w:val="FootnoteText"/>
        <w:ind w:left="90" w:hanging="90"/>
      </w:pPr>
      <w:r w:rsidRPr="006751AA">
        <w:rPr>
          <w:rStyle w:val="FootnoteReference"/>
        </w:rPr>
        <w:footnoteRef/>
      </w:r>
      <w:r w:rsidRPr="006751AA">
        <w:rPr>
          <w:rtl/>
        </w:rPr>
        <w:t xml:space="preserve"> </w:t>
      </w:r>
      <w:r w:rsidRPr="006751AA">
        <w:rPr>
          <w:color w:val="000000"/>
          <w:rtl/>
        </w:rPr>
        <w:t>يُقاس للأسفار والمباني في نهاية عام معيَّن ويثبته برنامج الأمم المتحدة للبيئة في أكتوبر 2016 (والمرجع هو "تقرير خضرنة الأمم المتحدة الزرقاء لعام 2016</w:t>
      </w:r>
      <w:r>
        <w:rPr>
          <w:color w:val="000000"/>
          <w:rtl/>
        </w:rPr>
        <w:t xml:space="preserve">) الصادر عن البرنامج المذكور). </w:t>
      </w:r>
      <w:r w:rsidRPr="006751AA">
        <w:rPr>
          <w:color w:val="000000"/>
          <w:rtl/>
        </w:rPr>
        <w:t>وتشمل البيانات الخاصة بالمباني كل مباني المقر والمباني المؤجرة في جنيف والمكاتب الخارجية للويبو (مع تطبيق معادلة على المكاتب الخارجية).</w:t>
      </w:r>
    </w:p>
  </w:footnote>
  <w:footnote w:id="96">
    <w:p w14:paraId="41D10456" w14:textId="77777777" w:rsidR="002B0DFD" w:rsidRPr="006751AA" w:rsidRDefault="002B0DFD" w:rsidP="00BD3831">
      <w:pPr>
        <w:pStyle w:val="FootnoteText"/>
        <w:ind w:left="90" w:hanging="90"/>
      </w:pPr>
      <w:r w:rsidRPr="006751AA">
        <w:rPr>
          <w:rStyle w:val="FootnoteReference"/>
        </w:rPr>
        <w:footnoteRef/>
      </w:r>
      <w:r w:rsidRPr="006751AA">
        <w:rPr>
          <w:rtl/>
        </w:rPr>
        <w:t xml:space="preserve"> </w:t>
      </w:r>
      <w:r w:rsidRPr="006751AA">
        <w:rPr>
          <w:color w:val="000000"/>
          <w:rtl/>
        </w:rPr>
        <w:t>تتلقى الويبو بيانات الانبعاثات السنوية النهائية المثبتة من برنامج الأمم المتحدة للبيئة في شهر أكتوبر من العام التالي.</w:t>
      </w:r>
    </w:p>
  </w:footnote>
  <w:footnote w:id="97">
    <w:p w14:paraId="0AA03D5F" w14:textId="77777777" w:rsidR="002B0DFD" w:rsidRPr="000B74B5" w:rsidRDefault="002B0DFD" w:rsidP="00BD3831">
      <w:pPr>
        <w:pStyle w:val="FootnoteText"/>
      </w:pPr>
      <w:r w:rsidRPr="006751AA">
        <w:rPr>
          <w:rStyle w:val="FootnoteReference"/>
        </w:rPr>
        <w:footnoteRef/>
      </w:r>
      <w:r w:rsidRPr="006751AA">
        <w:rPr>
          <w:rtl/>
        </w:rPr>
        <w:t xml:space="preserve"> انظر الحاشية السابقة.</w:t>
      </w:r>
    </w:p>
  </w:footnote>
  <w:footnote w:id="98">
    <w:p w14:paraId="42CA4283" w14:textId="77777777" w:rsidR="002B0DFD" w:rsidRPr="0073215E" w:rsidRDefault="002B0DFD" w:rsidP="00BD3831">
      <w:pPr>
        <w:bidi/>
        <w:rPr>
          <w:rFonts w:ascii="Arabic Typesetting" w:hAnsi="Arabic Typesetting" w:cs="Arabic Typesetting"/>
          <w:sz w:val="28"/>
          <w:szCs w:val="28"/>
        </w:rPr>
      </w:pPr>
      <w:r w:rsidRPr="0073215E">
        <w:rPr>
          <w:rStyle w:val="FootnoteReference"/>
        </w:rPr>
        <w:footnoteRef/>
      </w:r>
      <w:r w:rsidRPr="0073215E">
        <w:rPr>
          <w:rFonts w:ascii="Arabic Typesetting" w:hAnsi="Arabic Typesetting" w:cs="Arabic Typesetting"/>
          <w:sz w:val="28"/>
          <w:szCs w:val="28"/>
          <w:rtl/>
        </w:rPr>
        <w:t xml:space="preserve"> </w:t>
      </w:r>
      <w:r>
        <w:rPr>
          <w:rFonts w:ascii="Arabic Typesetting" w:hAnsi="Arabic Typesetting" w:cs="Arabic Typesetting"/>
          <w:sz w:val="28"/>
          <w:szCs w:val="28"/>
          <w:rtl/>
        </w:rPr>
        <w:t>تكلفة الوحدة بالدولار الأمريكي:</w:t>
      </w:r>
      <w:r w:rsidRPr="0073215E">
        <w:rPr>
          <w:rFonts w:ascii="Arabic Typesetting" w:hAnsi="Arabic Typesetting" w:cs="Arabic Typesetting"/>
          <w:sz w:val="28"/>
          <w:szCs w:val="28"/>
          <w:rtl/>
        </w:rPr>
        <w:t xml:space="preserve"> الخوادم (422 دولاراً في الشهر)، التخزين (239 دولاراً في الشهر)، الحفظ (257 دولاراً في الشهر)؛ وتستند المبالغ بالفرنك السويسري إلى سعر الصرف التشغيلي المتوسط في الأمم المتحدة بين الدولار الأمريكي/الفرنك السويسري وهو 0.98 لمدفوعات عام 2015 للمركز</w:t>
      </w:r>
      <w:r>
        <w:rPr>
          <w:rFonts w:ascii="Arabic Typesetting" w:hAnsi="Arabic Typesetting" w:cs="Arabic Typesetting" w:hint="cs"/>
          <w:sz w:val="28"/>
          <w:szCs w:val="28"/>
          <w:rtl/>
        </w:rPr>
        <w:t> </w:t>
      </w:r>
      <w:r w:rsidRPr="0073215E">
        <w:rPr>
          <w:rFonts w:ascii="Arabic Typesetting" w:hAnsi="Arabic Typesetting" w:cs="Arabic Typesetting"/>
          <w:sz w:val="28"/>
          <w:szCs w:val="28"/>
          <w:rtl/>
        </w:rPr>
        <w:t>الدولي للحوسبة.</w:t>
      </w:r>
    </w:p>
  </w:footnote>
  <w:footnote w:id="99">
    <w:p w14:paraId="64666D56" w14:textId="77777777" w:rsidR="002B0DFD" w:rsidRPr="0073215E" w:rsidRDefault="002B0DFD" w:rsidP="00BD3831">
      <w:pPr>
        <w:pStyle w:val="FootnoteText"/>
      </w:pPr>
      <w:r w:rsidRPr="0073215E">
        <w:rPr>
          <w:rStyle w:val="FootnoteReference"/>
        </w:rPr>
        <w:footnoteRef/>
      </w:r>
      <w:r w:rsidRPr="0073215E">
        <w:rPr>
          <w:rtl/>
        </w:rPr>
        <w:t xml:space="preserve"> تصويب: كانت النسبة المئوية للمستخدمين الراضين تماماً 63.8 بالمئة في عام 2015 وليس 70.5 بالمئة كما ورد في تقرير أداء البرنامج 2014/15.</w:t>
      </w:r>
    </w:p>
  </w:footnote>
  <w:footnote w:id="100">
    <w:p w14:paraId="27CE63B7" w14:textId="77777777" w:rsidR="002B0DFD" w:rsidRPr="000319A2" w:rsidRDefault="002B0DFD" w:rsidP="00BD3831">
      <w:pPr>
        <w:pStyle w:val="FootnoteText"/>
      </w:pPr>
      <w:r w:rsidRPr="000319A2">
        <w:rPr>
          <w:rStyle w:val="FootnoteReference"/>
        </w:rPr>
        <w:footnoteRef/>
      </w:r>
      <w:r w:rsidRPr="000319A2">
        <w:rPr>
          <w:rtl/>
        </w:rPr>
        <w:t xml:space="preserve"> التقرير السن</w:t>
      </w:r>
      <w:r>
        <w:rPr>
          <w:rtl/>
        </w:rPr>
        <w:t>وي لمدير شعبة الرقابة الداخلية:</w:t>
      </w:r>
      <w:r w:rsidRPr="000319A2">
        <w:rPr>
          <w:rtl/>
        </w:rPr>
        <w:t xml:space="preserve"> </w:t>
      </w:r>
      <w:hyperlink r:id="rId23">
        <w:r w:rsidRPr="000319A2">
          <w:rPr>
            <w:rStyle w:val="Hyperlink"/>
          </w:rPr>
          <w:t>WO/PBC/24/6</w:t>
        </w:r>
      </w:hyperlink>
    </w:p>
  </w:footnote>
  <w:footnote w:id="101">
    <w:p w14:paraId="33D42BA3" w14:textId="77777777" w:rsidR="002B0DFD" w:rsidRPr="000319A2" w:rsidRDefault="002B0DFD" w:rsidP="00BD3831">
      <w:pPr>
        <w:pStyle w:val="FootnoteText"/>
      </w:pPr>
      <w:r w:rsidRPr="000319A2">
        <w:rPr>
          <w:rStyle w:val="FootnoteReference"/>
        </w:rPr>
        <w:footnoteRef/>
      </w:r>
      <w:r w:rsidRPr="000319A2">
        <w:rPr>
          <w:rtl/>
        </w:rPr>
        <w:t xml:space="preserve"> التقرير السنوي لمدير شعبة الرقابة الداخلية: </w:t>
      </w:r>
      <w:hyperlink r:id="rId24">
        <w:r w:rsidRPr="000319A2">
          <w:rPr>
            <w:rStyle w:val="Hyperlink"/>
          </w:rPr>
          <w:t>WO/PBC/25/5</w:t>
        </w:r>
      </w:hyperlink>
    </w:p>
  </w:footnote>
  <w:footnote w:id="102">
    <w:p w14:paraId="19F701E4" w14:textId="1322B5E8" w:rsidR="002B0DFD" w:rsidRDefault="002B0DFD" w:rsidP="00D3741B">
      <w:pPr>
        <w:pStyle w:val="FootnoteText"/>
      </w:pPr>
      <w:r>
        <w:rPr>
          <w:rStyle w:val="FootnoteReference"/>
        </w:rPr>
        <w:footnoteRef/>
      </w:r>
      <w:r>
        <w:rPr>
          <w:rtl/>
        </w:rPr>
        <w:t xml:space="preserve"> </w:t>
      </w:r>
      <w:r>
        <w:rPr>
          <w:rFonts w:hint="cs"/>
          <w:rtl/>
        </w:rPr>
        <w:t>ازدادت حملات التصيّد تعقداً في عام 2016 مقارنة بعام 2015 نتيجة للتطور المخاطر المستمر. وزاد عدد المستخدمين الذين يكشفون حملات التصيّد ويبلغون عنها من 26 بالمئة في عام 2015 إلى 46 بالمئة في عام 2016.</w:t>
      </w:r>
    </w:p>
  </w:footnote>
  <w:footnote w:id="103">
    <w:p w14:paraId="0442BA9D" w14:textId="77777777" w:rsidR="002B0DFD" w:rsidRPr="003B3821" w:rsidRDefault="002B0DFD" w:rsidP="00BD3831">
      <w:pPr>
        <w:bidi/>
        <w:rPr>
          <w:rFonts w:ascii="Arabic Typesetting" w:hAnsi="Arabic Typesetting" w:cs="Arabic Typesetting"/>
          <w:sz w:val="28"/>
          <w:szCs w:val="28"/>
        </w:rPr>
      </w:pPr>
      <w:r w:rsidRPr="003B3821">
        <w:rPr>
          <w:rStyle w:val="FootnoteReference"/>
        </w:rPr>
        <w:footnoteRef/>
      </w:r>
      <w:r w:rsidRPr="003B3821">
        <w:rPr>
          <w:rFonts w:ascii="Arabic Typesetting" w:hAnsi="Arabic Typesetting" w:cs="Arabic Typesetting"/>
          <w:sz w:val="28"/>
          <w:szCs w:val="28"/>
          <w:rtl/>
        </w:rPr>
        <w:t xml:space="preserve"> غيِّر</w:t>
      </w:r>
      <w:r>
        <w:rPr>
          <w:rFonts w:ascii="Arabic Typesetting" w:hAnsi="Arabic Typesetting" w:cs="Arabic Typesetting"/>
          <w:sz w:val="28"/>
          <w:szCs w:val="28"/>
          <w:rtl/>
        </w:rPr>
        <w:t xml:space="preserve"> مؤشر الأداء الأصلي استثناءً و</w:t>
      </w:r>
      <w:r>
        <w:rPr>
          <w:rFonts w:ascii="Arabic Typesetting" w:hAnsi="Arabic Typesetting" w:cs="Arabic Typesetting" w:hint="cs"/>
          <w:sz w:val="28"/>
          <w:szCs w:val="28"/>
          <w:rtl/>
        </w:rPr>
        <w:t>هو</w:t>
      </w:r>
      <w:r w:rsidRPr="003B3821">
        <w:rPr>
          <w:rFonts w:ascii="Arabic Typesetting" w:hAnsi="Arabic Typesetting" w:cs="Arabic Typesetting"/>
          <w:sz w:val="28"/>
          <w:szCs w:val="28"/>
          <w:rtl/>
        </w:rPr>
        <w:t xml:space="preserve"> "النسبة المئوية لطلبات المساعدة المرتبطة بالأمن والسلامة في المؤتمرات أو التظاهرات المعقودة في جنيف أو خارجها التي عولجت في الوقت المناسب" ليدمج بدقة أكبر الموضوع المقاس أي النسبة المئوية للمؤتمرات والتظاهرات المدعومة</w:t>
      </w:r>
      <w:r>
        <w:rPr>
          <w:rFonts w:ascii="Arabic Typesetting" w:hAnsi="Arabic Typesetting" w:cs="Arabic Typesetting"/>
          <w:sz w:val="28"/>
          <w:szCs w:val="28"/>
          <w:rtl/>
        </w:rPr>
        <w:t xml:space="preserve"> عوضاً عن مهلة معالجة الطلب.</w:t>
      </w:r>
    </w:p>
  </w:footnote>
  <w:footnote w:id="104">
    <w:p w14:paraId="399DD4DC" w14:textId="490C542F" w:rsidR="002B0DFD" w:rsidRPr="009E27CE" w:rsidRDefault="002B0DFD" w:rsidP="00BB4B14">
      <w:pPr>
        <w:tabs>
          <w:tab w:val="left" w:pos="283"/>
        </w:tabs>
        <w:bidi/>
        <w:spacing w:line="280" w:lineRule="exact"/>
        <w:rPr>
          <w:rStyle w:val="FootnoteReference"/>
          <w:rtl/>
        </w:rPr>
      </w:pPr>
      <w:r w:rsidRPr="009E27CE">
        <w:rPr>
          <w:rStyle w:val="FootnoteReference"/>
        </w:rPr>
        <w:footnoteRef/>
      </w:r>
      <w:r w:rsidRPr="009E27CE">
        <w:rPr>
          <w:rStyle w:val="FootnoteReference"/>
        </w:rPr>
        <w:t xml:space="preserve"> </w:t>
      </w:r>
      <w:r w:rsidRPr="009E27CE">
        <w:rPr>
          <w:rFonts w:ascii="Arabic Typesetting" w:hAnsi="Arabic Typesetting" w:cs="Arabic Typesetting"/>
          <w:sz w:val="28"/>
          <w:szCs w:val="28"/>
          <w:rtl/>
        </w:rPr>
        <w:tab/>
        <w:t>تم</w:t>
      </w:r>
      <w:r>
        <w:rPr>
          <w:rFonts w:ascii="Arabic Typesetting" w:hAnsi="Arabic Typesetting" w:cs="Arabic Typesetting" w:hint="cs"/>
          <w:sz w:val="28"/>
          <w:szCs w:val="28"/>
          <w:rtl/>
        </w:rPr>
        <w:t>ا</w:t>
      </w:r>
      <w:r w:rsidRPr="009E27CE">
        <w:rPr>
          <w:rFonts w:ascii="Arabic Typesetting" w:hAnsi="Arabic Typesetting" w:cs="Arabic Typesetting"/>
          <w:sz w:val="28"/>
          <w:szCs w:val="28"/>
          <w:rtl/>
        </w:rPr>
        <w:t>شياً مع تقرير التثبيت لشعبة الرقابة الداخلية بشأن تقرير أداء البرنامج للثنائية 2014</w:t>
      </w:r>
      <w:r>
        <w:rPr>
          <w:rFonts w:ascii="Arabic Typesetting" w:hAnsi="Arabic Typesetting" w:cs="Arabic Typesetting" w:hint="cs"/>
          <w:sz w:val="28"/>
          <w:szCs w:val="28"/>
          <w:rtl/>
        </w:rPr>
        <w:t>/15:</w:t>
      </w:r>
      <w:r w:rsidRPr="00872B8A">
        <w:rPr>
          <w:rFonts w:cs="Times New Roman"/>
          <w:sz w:val="20"/>
          <w:szCs w:val="24"/>
        </w:rPr>
        <w:t xml:space="preserve"> </w:t>
      </w:r>
      <w:hyperlink r:id="rId25" w:history="1">
        <w:r w:rsidRPr="00872B8A">
          <w:rPr>
            <w:rStyle w:val="Hyperlink"/>
            <w:rFonts w:ascii="Arabic Typesetting" w:hAnsi="Arabic Typesetting" w:cs="Arabic Typesetting"/>
            <w:sz w:val="28"/>
            <w:szCs w:val="28"/>
          </w:rPr>
          <w:t>http://www.wipo.int/meetings/en/doc_details.jsp?doc_id=343158</w:t>
        </w:r>
      </w:hyperlink>
    </w:p>
  </w:footnote>
  <w:footnote w:id="105">
    <w:p w14:paraId="76FBD2E9" w14:textId="035222AF" w:rsidR="002B0DFD" w:rsidRPr="00872B8A" w:rsidRDefault="002B0DFD" w:rsidP="00D02C02">
      <w:pPr>
        <w:tabs>
          <w:tab w:val="left" w:pos="283"/>
        </w:tabs>
        <w:bidi/>
        <w:spacing w:line="280" w:lineRule="exact"/>
        <w:rPr>
          <w:rStyle w:val="FootnoteReference"/>
          <w:rtl/>
        </w:rPr>
      </w:pPr>
      <w:r w:rsidRPr="009E27CE">
        <w:rPr>
          <w:rStyle w:val="FootnoteReference"/>
        </w:rPr>
        <w:footnoteRef/>
      </w:r>
      <w:r w:rsidRPr="009E27CE">
        <w:rPr>
          <w:rStyle w:val="FootnoteReference"/>
        </w:rPr>
        <w:t xml:space="preserve"> </w:t>
      </w:r>
      <w:r>
        <w:rPr>
          <w:rFonts w:hint="cs"/>
          <w:rtl/>
        </w:rPr>
        <w:tab/>
      </w:r>
      <w:r>
        <w:rPr>
          <w:rFonts w:ascii="Arabic Typesetting" w:hAnsi="Arabic Typesetting" w:cs="Arabic Typesetting" w:hint="cs"/>
          <w:sz w:val="28"/>
          <w:szCs w:val="28"/>
          <w:rtl/>
        </w:rPr>
        <w:t>وفق عملية</w:t>
      </w:r>
      <w:r>
        <w:rPr>
          <w:rFonts w:ascii="Arabic Typesetting" w:hAnsi="Arabic Typesetting" w:cs="Arabic Typesetting"/>
          <w:sz w:val="28"/>
          <w:szCs w:val="28"/>
          <w:rtl/>
        </w:rPr>
        <w:t xml:space="preserve"> </w:t>
      </w:r>
      <w:r w:rsidRPr="00872B8A">
        <w:rPr>
          <w:rFonts w:ascii="Arabic Typesetting" w:hAnsi="Arabic Typesetting" w:cs="Arabic Typesetting"/>
          <w:sz w:val="28"/>
          <w:szCs w:val="28"/>
          <w:rtl/>
        </w:rPr>
        <w:t>تحديث</w:t>
      </w:r>
      <w:r>
        <w:rPr>
          <w:rFonts w:ascii="Arabic Typesetting" w:hAnsi="Arabic Typesetting" w:cs="Arabic Typesetting" w:hint="cs"/>
          <w:sz w:val="28"/>
          <w:szCs w:val="28"/>
          <w:rtl/>
        </w:rPr>
        <w:t>/تحديد</w:t>
      </w:r>
      <w:r w:rsidRPr="00872B8A">
        <w:rPr>
          <w:rFonts w:ascii="Arabic Typesetting" w:hAnsi="Arabic Typesetting" w:cs="Arabic Typesetting"/>
          <w:sz w:val="28"/>
          <w:szCs w:val="28"/>
          <w:rtl/>
        </w:rPr>
        <w:t xml:space="preserve"> أسس المقارنة</w:t>
      </w:r>
      <w:r>
        <w:rPr>
          <w:rFonts w:ascii="Arabic Typesetting" w:hAnsi="Arabic Typesetting" w:cs="Arabic Typesetting" w:hint="cs"/>
          <w:sz w:val="28"/>
          <w:szCs w:val="28"/>
          <w:rtl/>
        </w:rPr>
        <w:t xml:space="preserve"> والأهداف التي أُطلقت في منتصف عام 2016.</w:t>
      </w:r>
    </w:p>
  </w:footnote>
  <w:footnote w:id="106">
    <w:p w14:paraId="35D7306D" w14:textId="15D2F11E" w:rsidR="002B0DFD" w:rsidRPr="00872B8A" w:rsidRDefault="002B0DFD" w:rsidP="00D02C02">
      <w:pPr>
        <w:tabs>
          <w:tab w:val="left" w:pos="283"/>
        </w:tabs>
        <w:bidi/>
        <w:spacing w:line="280" w:lineRule="exact"/>
        <w:rPr>
          <w:rStyle w:val="FootnoteReference"/>
          <w:rtl/>
        </w:rPr>
      </w:pPr>
      <w:r w:rsidRPr="009E27CE">
        <w:rPr>
          <w:rStyle w:val="FootnoteReference"/>
        </w:rPr>
        <w:footnoteRef/>
      </w:r>
      <w:r w:rsidRPr="009E27CE">
        <w:rPr>
          <w:rStyle w:val="FootnoteReference"/>
        </w:rPr>
        <w:t xml:space="preserve"> </w:t>
      </w:r>
      <w:r>
        <w:rPr>
          <w:rFonts w:hint="cs"/>
          <w:rtl/>
        </w:rPr>
        <w:tab/>
      </w:r>
      <w:r>
        <w:rPr>
          <w:rFonts w:ascii="Arabic Typesetting" w:hAnsi="Arabic Typesetting" w:cs="Arabic Typesetting" w:hint="cs"/>
          <w:sz w:val="28"/>
          <w:szCs w:val="28"/>
          <w:rtl/>
        </w:rPr>
        <w:t>انظر الحاشية السابقة</w:t>
      </w:r>
    </w:p>
  </w:footnote>
  <w:footnote w:id="107">
    <w:p w14:paraId="1B69A223" w14:textId="29F6C732" w:rsidR="002B0DFD" w:rsidRPr="00935A12" w:rsidRDefault="002B0DFD" w:rsidP="00D02C02">
      <w:pPr>
        <w:tabs>
          <w:tab w:val="left" w:pos="283"/>
        </w:tabs>
        <w:bidi/>
        <w:spacing w:line="280" w:lineRule="exact"/>
        <w:rPr>
          <w:rtl/>
        </w:rPr>
      </w:pPr>
      <w:r w:rsidRPr="00872B8A">
        <w:rPr>
          <w:rStyle w:val="FootnoteReference"/>
        </w:rPr>
        <w:footnoteRef/>
      </w:r>
      <w:r w:rsidRPr="00A4209F">
        <w:rPr>
          <w:rStyle w:val="FootnoteReference"/>
        </w:rPr>
        <w:t xml:space="preserve"> </w:t>
      </w:r>
      <w:r>
        <w:rPr>
          <w:rFonts w:hint="cs"/>
          <w:rtl/>
        </w:rPr>
        <w:tab/>
      </w:r>
      <w:r w:rsidRPr="00872B8A">
        <w:rPr>
          <w:rFonts w:ascii="Arabic Typesetting" w:hAnsi="Arabic Typesetting" w:cs="Arabic Typesetting"/>
          <w:sz w:val="28"/>
          <w:szCs w:val="28"/>
          <w:rtl/>
        </w:rPr>
        <w:t>الأهداف التي لم تُحدد خلال هذه العملية تبقى غير محددة وبالتالي تُصنّف بيانات الأداء ذات الصلة في فئة "</w:t>
      </w:r>
      <w:r>
        <w:rPr>
          <w:rFonts w:ascii="Arabic Typesetting" w:hAnsi="Arabic Typesetting" w:cs="Arabic Typesetting" w:hint="cs"/>
          <w:sz w:val="28"/>
          <w:szCs w:val="28"/>
          <w:rtl/>
        </w:rPr>
        <w:t>غير قابل للقياس</w:t>
      </w:r>
      <w:r w:rsidRPr="00872B8A">
        <w:rPr>
          <w:rFonts w:ascii="Arabic Typesetting" w:hAnsi="Arabic Typesetting" w:cs="Arabic Typesetting"/>
          <w:sz w:val="28"/>
          <w:szCs w:val="28"/>
          <w:rtl/>
        </w:rPr>
        <w:t>".</w:t>
      </w:r>
    </w:p>
  </w:footnote>
  <w:footnote w:id="108">
    <w:p w14:paraId="2E9068E4" w14:textId="77777777" w:rsidR="002B0DFD" w:rsidRPr="000A7EF3" w:rsidRDefault="002B0DFD" w:rsidP="00BD3831">
      <w:pPr>
        <w:pStyle w:val="FootnoteText"/>
      </w:pPr>
      <w:r w:rsidRPr="000A7EF3">
        <w:rPr>
          <w:rStyle w:val="FootnoteReference"/>
        </w:rPr>
        <w:footnoteRef/>
      </w:r>
      <w:r w:rsidRPr="000A7EF3">
        <w:rPr>
          <w:rtl/>
        </w:rPr>
        <w:t xml:space="preserve"> بدأ في عام 2015</w:t>
      </w:r>
    </w:p>
  </w:footnote>
  <w:footnote w:id="109">
    <w:p w14:paraId="7514B570" w14:textId="77777777" w:rsidR="002B0DFD" w:rsidRPr="000A7EF3" w:rsidRDefault="002B0DFD" w:rsidP="00BD3831">
      <w:pPr>
        <w:pStyle w:val="FootnoteText"/>
      </w:pPr>
      <w:r w:rsidRPr="000A7EF3">
        <w:rPr>
          <w:rStyle w:val="FootnoteReference"/>
        </w:rPr>
        <w:footnoteRef/>
      </w:r>
      <w:r w:rsidRPr="000A7EF3">
        <w:rPr>
          <w:rtl/>
        </w:rPr>
        <w:t xml:space="preserve"> بدأ في أبريل 2015</w:t>
      </w:r>
    </w:p>
  </w:footnote>
  <w:footnote w:id="110">
    <w:p w14:paraId="368175E3" w14:textId="77777777" w:rsidR="002B0DFD" w:rsidRPr="000A7EF3" w:rsidRDefault="002B0DFD" w:rsidP="00BD3831">
      <w:pPr>
        <w:pStyle w:val="FootnoteText"/>
      </w:pPr>
      <w:r w:rsidRPr="000A7EF3">
        <w:rPr>
          <w:rStyle w:val="FootnoteReference"/>
        </w:rPr>
        <w:footnoteRef/>
      </w:r>
      <w:r w:rsidRPr="000A7EF3">
        <w:rPr>
          <w:rtl/>
        </w:rPr>
        <w:t xml:space="preserve"> نظام دعم إدارة البحث وفحص طلبات البراءات في أمريكا الوسطى والجمهورية الدومينيكية</w:t>
      </w:r>
    </w:p>
  </w:footnote>
  <w:footnote w:id="111">
    <w:p w14:paraId="231CE9C6" w14:textId="77777777" w:rsidR="002B0DFD" w:rsidRPr="007F2682" w:rsidRDefault="002B0DFD" w:rsidP="00BD3831">
      <w:pPr>
        <w:bidi/>
        <w:rPr>
          <w:rFonts w:ascii="Arabic Typesetting" w:hAnsi="Arabic Typesetting" w:cs="Arabic Typesetting"/>
          <w:sz w:val="28"/>
          <w:szCs w:val="28"/>
          <w:lang w:bidi="ar-EG"/>
        </w:rPr>
      </w:pPr>
      <w:r w:rsidRPr="007F2682">
        <w:rPr>
          <w:rStyle w:val="FootnoteReference"/>
        </w:rPr>
        <w:footnoteRef/>
      </w:r>
      <w:r w:rsidRPr="007F2682">
        <w:rPr>
          <w:rFonts w:ascii="Arabic Typesetting" w:hAnsi="Arabic Typesetting" w:cs="Arabic Typesetting"/>
          <w:sz w:val="28"/>
          <w:szCs w:val="28"/>
          <w:rtl/>
          <w:lang w:bidi="ar-EG"/>
        </w:rPr>
        <w:t xml:space="preserve"> </w:t>
      </w:r>
      <w:hyperlink r:id="rId26" w:history="1">
        <w:r w:rsidRPr="00831016">
          <w:rPr>
            <w:rStyle w:val="Hyperlink"/>
            <w:rFonts w:ascii="Arabic Typesetting" w:hAnsi="Arabic Typesetting" w:cs="Arabic Typesetting"/>
            <w:sz w:val="28"/>
            <w:szCs w:val="28"/>
            <w:lang w:bidi="ar-EG"/>
          </w:rPr>
          <w:t>http://www.wipo.int/edocs/mdocs/govbody/ar/a_51/a_51_16.pdf</w:t>
        </w:r>
      </w:hyperlink>
    </w:p>
  </w:footnote>
  <w:footnote w:id="112">
    <w:p w14:paraId="27410CE0" w14:textId="77777777" w:rsidR="002B0DFD" w:rsidRPr="007F2682" w:rsidRDefault="002B0DFD" w:rsidP="00BD3831">
      <w:pPr>
        <w:bidi/>
        <w:rPr>
          <w:rFonts w:ascii="Arabic Typesetting" w:hAnsi="Arabic Typesetting" w:cs="Arabic Typesetting"/>
          <w:sz w:val="28"/>
          <w:szCs w:val="28"/>
          <w:lang w:bidi="ar-EG"/>
        </w:rPr>
      </w:pPr>
      <w:r w:rsidRPr="007F2682">
        <w:rPr>
          <w:rStyle w:val="FootnoteReference"/>
        </w:rPr>
        <w:footnoteRef/>
      </w:r>
      <w:r w:rsidRPr="007F2682">
        <w:rPr>
          <w:rFonts w:ascii="Arabic Typesetting" w:hAnsi="Arabic Typesetting" w:cs="Arabic Typesetting"/>
          <w:sz w:val="28"/>
          <w:szCs w:val="28"/>
          <w:rtl/>
          <w:lang w:bidi="ar-EG"/>
        </w:rPr>
        <w:t xml:space="preserve"> </w:t>
      </w:r>
      <w:hyperlink r:id="rId27" w:history="1">
        <w:r w:rsidRPr="00831016">
          <w:rPr>
            <w:rStyle w:val="Hyperlink"/>
            <w:rFonts w:ascii="Arabic Typesetting" w:hAnsi="Arabic Typesetting" w:cs="Arabic Typesetting"/>
            <w:sz w:val="28"/>
            <w:szCs w:val="28"/>
            <w:lang w:bidi="ar-EG"/>
          </w:rPr>
          <w:t>http://www.wipo.int/edocs/mdocs/govbody/ar/wo_pbc_22/wo_pbc_22_21.pdf</w:t>
        </w:r>
      </w:hyperlink>
    </w:p>
  </w:footnote>
  <w:footnote w:id="113">
    <w:p w14:paraId="6F89AFE9" w14:textId="61110110" w:rsidR="002B0DFD" w:rsidRDefault="002B0DFD">
      <w:pPr>
        <w:pStyle w:val="FootnoteText"/>
      </w:pPr>
      <w:r>
        <w:rPr>
          <w:rStyle w:val="FootnoteReference"/>
        </w:rPr>
        <w:footnoteRef/>
      </w:r>
      <w:r>
        <w:rPr>
          <w:rtl/>
        </w:rPr>
        <w:t xml:space="preserve"> </w:t>
      </w:r>
      <w:r w:rsidRPr="007F2682">
        <w:rPr>
          <w:rFonts w:hint="cs"/>
          <w:rtl/>
          <w:lang w:bidi="ar-EG"/>
        </w:rPr>
        <w:t>تُ</w:t>
      </w:r>
      <w:r w:rsidRPr="007F2682">
        <w:rPr>
          <w:rtl/>
          <w:lang w:bidi="ar-EG"/>
        </w:rPr>
        <w:t>عزى أي فروق في المجموع إلى تقريب المبالغ</w:t>
      </w:r>
      <w:r w:rsidRPr="007F2682">
        <w:rPr>
          <w:rFonts w:hint="cs"/>
          <w:rtl/>
          <w:lang w:bidi="ar-EG"/>
        </w:rPr>
        <w:t>.</w:t>
      </w:r>
    </w:p>
  </w:footnote>
  <w:footnote w:id="114">
    <w:p w14:paraId="0597ACD8" w14:textId="77777777" w:rsidR="002B0DFD" w:rsidRPr="007F2682" w:rsidRDefault="002B0DFD" w:rsidP="00BD3831">
      <w:pPr>
        <w:bidi/>
        <w:rPr>
          <w:rFonts w:ascii="Arabic Typesetting" w:hAnsi="Arabic Typesetting" w:cs="Arabic Typesetting"/>
          <w:sz w:val="28"/>
          <w:szCs w:val="28"/>
          <w:lang w:bidi="ar-EG"/>
        </w:rPr>
      </w:pPr>
      <w:r w:rsidRPr="007F2682">
        <w:rPr>
          <w:rStyle w:val="FootnoteReference"/>
        </w:rPr>
        <w:footnoteRef/>
      </w:r>
      <w:r w:rsidRPr="007F2682">
        <w:rPr>
          <w:rFonts w:ascii="Arabic Typesetting" w:hAnsi="Arabic Typesetting" w:cs="Arabic Typesetting"/>
          <w:sz w:val="28"/>
          <w:szCs w:val="28"/>
          <w:rtl/>
          <w:lang w:bidi="ar-EG"/>
        </w:rPr>
        <w:t xml:space="preserve"> </w:t>
      </w:r>
      <w:r w:rsidRPr="007F2682">
        <w:rPr>
          <w:rFonts w:ascii="Arabic Typesetting" w:hAnsi="Arabic Typesetting" w:cs="Arabic Typesetting" w:hint="cs"/>
          <w:sz w:val="28"/>
          <w:szCs w:val="28"/>
          <w:rtl/>
          <w:lang w:bidi="ar-EG"/>
        </w:rPr>
        <w:t>غيِّر ترتيب التنفيذ عقب تعيين البائع.</w:t>
      </w:r>
    </w:p>
  </w:footnote>
  <w:footnote w:id="115">
    <w:p w14:paraId="26CE882D" w14:textId="77777777" w:rsidR="002B0DFD" w:rsidRPr="007F2682" w:rsidRDefault="002B0DFD" w:rsidP="00BD3831">
      <w:pPr>
        <w:bidi/>
        <w:rPr>
          <w:rFonts w:ascii="Arabic Typesetting" w:hAnsi="Arabic Typesetting" w:cs="Arabic Typesetting"/>
          <w:sz w:val="28"/>
          <w:szCs w:val="28"/>
          <w:lang w:bidi="ar-EG"/>
        </w:rPr>
      </w:pPr>
      <w:r w:rsidRPr="007F2682">
        <w:rPr>
          <w:rStyle w:val="FootnoteReference"/>
        </w:rPr>
        <w:footnoteRef/>
      </w:r>
      <w:r w:rsidRPr="007F2682">
        <w:rPr>
          <w:rFonts w:ascii="Arabic Typesetting" w:hAnsi="Arabic Typesetting" w:cs="Arabic Typesetting"/>
          <w:sz w:val="28"/>
          <w:szCs w:val="28"/>
          <w:rtl/>
          <w:lang w:bidi="ar-EG"/>
        </w:rPr>
        <w:t xml:space="preserve"> </w:t>
      </w:r>
      <w:r w:rsidRPr="007F2682">
        <w:rPr>
          <w:rFonts w:ascii="Arabic Typesetting" w:hAnsi="Arabic Typesetting" w:cs="Arabic Typesetting" w:hint="cs"/>
          <w:sz w:val="28"/>
          <w:szCs w:val="28"/>
          <w:rtl/>
          <w:lang w:bidi="ar-EG"/>
        </w:rPr>
        <w:t>تُ</w:t>
      </w:r>
      <w:r w:rsidRPr="007F2682">
        <w:rPr>
          <w:rFonts w:ascii="Arabic Typesetting" w:hAnsi="Arabic Typesetting" w:cs="Arabic Typesetting"/>
          <w:sz w:val="28"/>
          <w:szCs w:val="28"/>
          <w:rtl/>
          <w:lang w:bidi="ar-EG"/>
        </w:rPr>
        <w:t>عزى أي فروق في المجموع إلى تقريب المبالغ</w:t>
      </w:r>
      <w:r w:rsidRPr="007F2682">
        <w:rPr>
          <w:rFonts w:ascii="Arabic Typesetting" w:hAnsi="Arabic Typesetting" w:cs="Arabic Typesetting" w:hint="cs"/>
          <w:sz w:val="28"/>
          <w:szCs w:val="28"/>
          <w:rtl/>
          <w:lang w:bidi="ar-EG"/>
        </w:rPr>
        <w:t>.</w:t>
      </w:r>
    </w:p>
  </w:footnote>
  <w:footnote w:id="116">
    <w:p w14:paraId="39F1D85F" w14:textId="1FDB6D80" w:rsidR="002B0DFD" w:rsidRDefault="002B0DFD">
      <w:pPr>
        <w:pStyle w:val="FootnoteText"/>
        <w:rPr>
          <w:lang w:bidi="ar-EG"/>
        </w:rPr>
      </w:pPr>
      <w:r>
        <w:rPr>
          <w:rStyle w:val="FootnoteReference"/>
        </w:rPr>
        <w:footnoteRef/>
      </w:r>
      <w:r>
        <w:rPr>
          <w:rtl/>
        </w:rPr>
        <w:t xml:space="preserve"> </w:t>
      </w:r>
      <w:r w:rsidRPr="007F2682">
        <w:rPr>
          <w:rFonts w:hint="cs"/>
          <w:rtl/>
          <w:lang w:bidi="ar-EG"/>
        </w:rPr>
        <w:t>تُ</w:t>
      </w:r>
      <w:r w:rsidRPr="007F2682">
        <w:rPr>
          <w:rtl/>
          <w:lang w:bidi="ar-EG"/>
        </w:rPr>
        <w:t>عزى أي فروق في المجموع إلى تقريب المبالغ</w:t>
      </w:r>
      <w:r w:rsidRPr="007F2682">
        <w:rPr>
          <w:rFonts w:hint="cs"/>
          <w:rtl/>
          <w:lang w:bidi="ar-EG"/>
        </w:rPr>
        <w:t>.</w:t>
      </w:r>
    </w:p>
  </w:footnote>
  <w:footnote w:id="117">
    <w:p w14:paraId="5C4AF88B" w14:textId="77777777" w:rsidR="002B0DFD" w:rsidRPr="007F2682" w:rsidRDefault="002B0DFD" w:rsidP="00BD3831">
      <w:pPr>
        <w:bidi/>
        <w:rPr>
          <w:rFonts w:ascii="Arabic Typesetting" w:hAnsi="Arabic Typesetting" w:cs="Arabic Typesetting"/>
          <w:sz w:val="28"/>
          <w:szCs w:val="28"/>
          <w:lang w:bidi="ar-EG"/>
        </w:rPr>
      </w:pPr>
      <w:r w:rsidRPr="007F2682">
        <w:rPr>
          <w:rStyle w:val="FootnoteReference"/>
        </w:rPr>
        <w:footnoteRef/>
      </w:r>
      <w:r w:rsidRPr="007F2682">
        <w:rPr>
          <w:rFonts w:ascii="Arabic Typesetting" w:hAnsi="Arabic Typesetting" w:cs="Arabic Typesetting" w:hint="cs"/>
          <w:sz w:val="28"/>
          <w:szCs w:val="28"/>
          <w:rtl/>
          <w:lang w:bidi="ar-EG"/>
        </w:rPr>
        <w:t xml:space="preserve"> </w:t>
      </w:r>
      <w:r>
        <w:rPr>
          <w:rFonts w:ascii="Arabic Typesetting" w:hAnsi="Arabic Typesetting" w:cs="Arabic Typesetting" w:hint="cs"/>
          <w:sz w:val="28"/>
          <w:szCs w:val="28"/>
          <w:rtl/>
          <w:lang w:bidi="ar-EG"/>
        </w:rPr>
        <w:t>مناقصة</w:t>
      </w:r>
      <w:r w:rsidRPr="007F2682">
        <w:rPr>
          <w:rFonts w:ascii="Arabic Typesetting" w:hAnsi="Arabic Typesetting" w:cs="Arabic Typesetting" w:hint="cs"/>
          <w:sz w:val="28"/>
          <w:szCs w:val="28"/>
          <w:rtl/>
          <w:lang w:bidi="ar-EG"/>
        </w:rPr>
        <w:t xml:space="preserve"> واختيار القيادة/المهندس المعماري</w:t>
      </w:r>
    </w:p>
  </w:footnote>
  <w:footnote w:id="118">
    <w:p w14:paraId="432DD04D" w14:textId="77777777" w:rsidR="002B0DFD" w:rsidRPr="007F2682" w:rsidRDefault="002B0DFD" w:rsidP="00BD3831">
      <w:pPr>
        <w:bidi/>
        <w:rPr>
          <w:rFonts w:ascii="Arabic Typesetting" w:hAnsi="Arabic Typesetting" w:cs="Arabic Typesetting"/>
          <w:sz w:val="28"/>
          <w:szCs w:val="28"/>
          <w:lang w:bidi="ar-EG"/>
        </w:rPr>
      </w:pPr>
      <w:r w:rsidRPr="007F2682">
        <w:rPr>
          <w:rStyle w:val="FootnoteReference"/>
        </w:rPr>
        <w:footnoteRef/>
      </w:r>
      <w:r w:rsidRPr="007F2682">
        <w:rPr>
          <w:rFonts w:ascii="Arabic Typesetting" w:hAnsi="Arabic Typesetting" w:cs="Arabic Typesetting" w:hint="cs"/>
          <w:sz w:val="28"/>
          <w:szCs w:val="28"/>
          <w:rtl/>
          <w:lang w:bidi="ar-EG"/>
        </w:rPr>
        <w:t xml:space="preserve"> </w:t>
      </w:r>
      <w:r>
        <w:rPr>
          <w:rFonts w:ascii="Arabic Typesetting" w:hAnsi="Arabic Typesetting" w:cs="Arabic Typesetting" w:hint="cs"/>
          <w:sz w:val="28"/>
          <w:szCs w:val="28"/>
          <w:rtl/>
          <w:lang w:bidi="ar-EG"/>
        </w:rPr>
        <w:t>مناقصات</w:t>
      </w:r>
      <w:r w:rsidRPr="007F2682">
        <w:rPr>
          <w:rFonts w:ascii="Arabic Typesetting" w:hAnsi="Arabic Typesetting" w:cs="Arabic Typesetting" w:hint="cs"/>
          <w:sz w:val="28"/>
          <w:szCs w:val="28"/>
          <w:rtl/>
          <w:lang w:bidi="ar-EG"/>
        </w:rPr>
        <w:t xml:space="preserve"> واختيار المهندسين</w:t>
      </w:r>
    </w:p>
  </w:footnote>
  <w:footnote w:id="119">
    <w:p w14:paraId="4F9CF1B7" w14:textId="77777777" w:rsidR="002B0DFD" w:rsidRPr="007F2682" w:rsidRDefault="002B0DFD" w:rsidP="00BD3831">
      <w:pPr>
        <w:bidi/>
        <w:rPr>
          <w:rFonts w:ascii="Arabic Typesetting" w:hAnsi="Arabic Typesetting" w:cs="Arabic Typesetting"/>
          <w:sz w:val="28"/>
          <w:szCs w:val="28"/>
          <w:lang w:bidi="ar-EG"/>
        </w:rPr>
      </w:pPr>
      <w:r w:rsidRPr="007F2682">
        <w:rPr>
          <w:rStyle w:val="FootnoteReference"/>
        </w:rPr>
        <w:footnoteRef/>
      </w:r>
      <w:r w:rsidRPr="007F2682">
        <w:rPr>
          <w:rFonts w:ascii="Arabic Typesetting" w:hAnsi="Arabic Typesetting" w:cs="Arabic Typesetting"/>
          <w:sz w:val="28"/>
          <w:szCs w:val="28"/>
          <w:rtl/>
          <w:lang w:bidi="ar-EG"/>
        </w:rPr>
        <w:t xml:space="preserve"> </w:t>
      </w:r>
      <w:r w:rsidRPr="007F2682">
        <w:rPr>
          <w:rFonts w:ascii="Arabic Typesetting" w:hAnsi="Arabic Typesetting" w:cs="Arabic Typesetting" w:hint="cs"/>
          <w:sz w:val="28"/>
          <w:szCs w:val="28"/>
          <w:rtl/>
          <w:lang w:bidi="ar-EG"/>
        </w:rPr>
        <w:t>في حالة عدم إجراء أي أعمال تصحيحية إضافية لازمة لا يغطيها الضمان.</w:t>
      </w:r>
    </w:p>
  </w:footnote>
  <w:footnote w:id="120">
    <w:p w14:paraId="4931A8D4" w14:textId="7F863364" w:rsidR="002B0DFD" w:rsidRDefault="002B0DFD">
      <w:pPr>
        <w:pStyle w:val="FootnoteText"/>
      </w:pPr>
      <w:r>
        <w:rPr>
          <w:rStyle w:val="FootnoteReference"/>
        </w:rPr>
        <w:footnoteRef/>
      </w:r>
      <w:r>
        <w:rPr>
          <w:rtl/>
        </w:rPr>
        <w:t xml:space="preserve"> </w:t>
      </w:r>
      <w:r w:rsidRPr="007F2682">
        <w:rPr>
          <w:rFonts w:hint="cs"/>
          <w:rtl/>
          <w:lang w:bidi="ar-EG"/>
        </w:rPr>
        <w:t>تُ</w:t>
      </w:r>
      <w:r w:rsidRPr="007F2682">
        <w:rPr>
          <w:rtl/>
          <w:lang w:bidi="ar-EG"/>
        </w:rPr>
        <w:t>عزى أي فروق في المجموع إلى تقريب المبالغ</w:t>
      </w:r>
      <w:r w:rsidRPr="007F2682">
        <w:rPr>
          <w:rFonts w:hint="cs"/>
          <w:rtl/>
          <w:lang w:bidi="ar-EG"/>
        </w:rPr>
        <w:t>.</w:t>
      </w:r>
    </w:p>
  </w:footnote>
  <w:footnote w:id="121">
    <w:p w14:paraId="52F1C7DB" w14:textId="77777777" w:rsidR="002B0DFD" w:rsidRPr="007F2682" w:rsidRDefault="002B0DFD" w:rsidP="00BD3831">
      <w:pPr>
        <w:bidi/>
        <w:rPr>
          <w:rFonts w:ascii="Arabic Typesetting" w:hAnsi="Arabic Typesetting" w:cs="Arabic Typesetting"/>
          <w:sz w:val="28"/>
          <w:szCs w:val="28"/>
          <w:rtl/>
          <w:lang w:bidi="ar-EG"/>
        </w:rPr>
      </w:pPr>
      <w:r w:rsidRPr="007F2682">
        <w:rPr>
          <w:rStyle w:val="FootnoteReference"/>
        </w:rPr>
        <w:footnoteRef/>
      </w:r>
      <w:r w:rsidRPr="007F2682">
        <w:rPr>
          <w:rFonts w:ascii="Arabic Typesetting" w:hAnsi="Arabic Typesetting" w:cs="Arabic Typesetting"/>
          <w:sz w:val="28"/>
          <w:szCs w:val="28"/>
          <w:rtl/>
          <w:lang w:bidi="ar-EG"/>
        </w:rPr>
        <w:t xml:space="preserve"> تُعزى أي فروق في المجموع إلى تقريب المبالغ.</w:t>
      </w:r>
    </w:p>
  </w:footnote>
  <w:footnote w:id="122">
    <w:p w14:paraId="5C6E0D84" w14:textId="376FD957" w:rsidR="002B0DFD" w:rsidRDefault="002B0DFD">
      <w:pPr>
        <w:pStyle w:val="FootnoteText"/>
      </w:pPr>
      <w:r>
        <w:rPr>
          <w:rStyle w:val="FootnoteReference"/>
        </w:rPr>
        <w:footnoteRef/>
      </w:r>
      <w:r>
        <w:rPr>
          <w:rtl/>
        </w:rPr>
        <w:t xml:space="preserve"> </w:t>
      </w:r>
      <w:r w:rsidRPr="007F2682">
        <w:rPr>
          <w:rFonts w:hint="cs"/>
          <w:rtl/>
          <w:lang w:bidi="ar-EG"/>
        </w:rPr>
        <w:t>تُ</w:t>
      </w:r>
      <w:r w:rsidRPr="007F2682">
        <w:rPr>
          <w:rtl/>
          <w:lang w:bidi="ar-EG"/>
        </w:rPr>
        <w:t>عزى أي فروق في المجموع إلى تقريب المبالغ</w:t>
      </w:r>
      <w:r w:rsidRPr="007F2682">
        <w:rPr>
          <w:rFonts w:hint="cs"/>
          <w:rtl/>
          <w:lang w:bidi="ar-EG"/>
        </w:rPr>
        <w:t>.</w:t>
      </w:r>
    </w:p>
  </w:footnote>
  <w:footnote w:id="123">
    <w:p w14:paraId="208CF640" w14:textId="77777777" w:rsidR="002B0DFD" w:rsidRPr="007F2682" w:rsidRDefault="002B0DFD" w:rsidP="00BD3831">
      <w:pPr>
        <w:bidi/>
        <w:rPr>
          <w:rFonts w:ascii="Arabic Typesetting" w:hAnsi="Arabic Typesetting" w:cs="Arabic Typesetting"/>
          <w:sz w:val="28"/>
          <w:szCs w:val="28"/>
          <w:rtl/>
          <w:lang w:bidi="ar-EG"/>
        </w:rPr>
      </w:pPr>
      <w:r w:rsidRPr="007F2682">
        <w:rPr>
          <w:rStyle w:val="FootnoteReference"/>
        </w:rPr>
        <w:footnoteRef/>
      </w:r>
      <w:r w:rsidRPr="007F2682">
        <w:rPr>
          <w:rFonts w:ascii="Arabic Typesetting" w:hAnsi="Arabic Typesetting" w:cs="Arabic Typesetting"/>
          <w:sz w:val="28"/>
          <w:szCs w:val="28"/>
          <w:rtl/>
          <w:lang w:bidi="ar-EG"/>
        </w:rPr>
        <w:t xml:space="preserve"> تُعزى أي فروق في المجموع إلى تقريب المبالغ.</w:t>
      </w:r>
    </w:p>
  </w:footnote>
  <w:footnote w:id="124">
    <w:p w14:paraId="5ACFB8FC" w14:textId="77777777" w:rsidR="002B0DFD" w:rsidRPr="007F2682" w:rsidRDefault="002B0DFD" w:rsidP="00BD3831">
      <w:pPr>
        <w:bidi/>
        <w:rPr>
          <w:rFonts w:ascii="Arabic Typesetting" w:hAnsi="Arabic Typesetting" w:cs="Arabic Typesetting"/>
          <w:sz w:val="28"/>
          <w:szCs w:val="28"/>
          <w:lang w:bidi="ar-EG"/>
        </w:rPr>
      </w:pPr>
      <w:r w:rsidRPr="007F2682">
        <w:rPr>
          <w:rStyle w:val="FootnoteReference"/>
        </w:rPr>
        <w:footnoteRef/>
      </w:r>
      <w:r w:rsidRPr="007F2682">
        <w:rPr>
          <w:rFonts w:ascii="Arabic Typesetting" w:hAnsi="Arabic Typesetting" w:cs="Arabic Typesetting"/>
          <w:sz w:val="28"/>
          <w:szCs w:val="28"/>
          <w:rtl/>
          <w:lang w:bidi="ar-EG"/>
        </w:rPr>
        <w:t xml:space="preserve"> </w:t>
      </w:r>
      <w:r w:rsidRPr="007F2682">
        <w:rPr>
          <w:rFonts w:ascii="Arabic Typesetting" w:hAnsi="Arabic Typesetting" w:cs="Arabic Typesetting" w:hint="cs"/>
          <w:sz w:val="28"/>
          <w:szCs w:val="28"/>
          <w:rtl/>
          <w:lang w:bidi="ar-EG"/>
        </w:rPr>
        <w:t>يعاد هذا المبلغ إلى الأموال الاحتياطية في نهاية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31974" w14:textId="77777777" w:rsidR="002B0DFD" w:rsidRPr="00647020" w:rsidRDefault="002B0DFD" w:rsidP="00433C67">
    <w:pPr>
      <w:bidi/>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Pr>
        <w:rFonts w:ascii="Arabic Typesetting" w:hAnsi="Arabic Typesetting" w:cs="Arabic Typesetting" w:hint="cs"/>
        <w:b/>
        <w:bCs/>
        <w:sz w:val="36"/>
        <w:szCs w:val="32"/>
        <w:rtl/>
      </w:rPr>
      <w:t>2016</w:t>
    </w:r>
  </w:p>
  <w:p w14:paraId="08F455B4" w14:textId="77777777" w:rsidR="002B0DFD" w:rsidRDefault="002B0DFD" w:rsidP="00433C6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FE66" w14:textId="77777777" w:rsidR="002B0DFD" w:rsidRPr="00647020" w:rsidRDefault="002B0DFD" w:rsidP="00433C67">
    <w:pPr>
      <w:bidi/>
      <w:jc w:val="right"/>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Pr>
        <w:rFonts w:ascii="Arabic Typesetting" w:hAnsi="Arabic Typesetting" w:cs="Arabic Typesetting" w:hint="cs"/>
        <w:b/>
        <w:bCs/>
        <w:sz w:val="36"/>
        <w:szCs w:val="32"/>
        <w:rtl/>
      </w:rPr>
      <w:t>2016</w:t>
    </w:r>
  </w:p>
  <w:p w14:paraId="6CB9949C" w14:textId="3EC3FBC9" w:rsidR="002B0DFD" w:rsidRPr="00433C67" w:rsidRDefault="002B0DFD" w:rsidP="00433C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645"/>
    <w:multiLevelType w:val="hybridMultilevel"/>
    <w:tmpl w:val="EA16096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6663D3"/>
    <w:multiLevelType w:val="hybridMultilevel"/>
    <w:tmpl w:val="C1208378"/>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7178B9"/>
    <w:multiLevelType w:val="multilevel"/>
    <w:tmpl w:val="DFC41DDC"/>
    <w:lvl w:ilvl="0">
      <w:start w:val="1"/>
      <w:numFmt w:val="decimal"/>
      <w:lvlText w:val="%1."/>
      <w:lvlJc w:val="left"/>
      <w:pPr>
        <w:ind w:left="720" w:hanging="720"/>
      </w:pPr>
      <w:rPr>
        <w:rFonts w:hint="default"/>
      </w:rPr>
    </w:lvl>
    <w:lvl w:ilvl="1">
      <w:start w:val="1"/>
      <w:numFmt w:val="decimal"/>
      <w:lvlText w:val="%2.3."/>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1D1616C"/>
    <w:multiLevelType w:val="multilevel"/>
    <w:tmpl w:val="88C20C50"/>
    <w:lvl w:ilvl="0">
      <w:start w:val="1"/>
      <w:numFmt w:val="decimal"/>
      <w:lvlText w:val="%1."/>
      <w:lvlJc w:val="left"/>
      <w:pPr>
        <w:ind w:left="720" w:hanging="720"/>
      </w:pPr>
      <w:rPr>
        <w:rFonts w:hint="default"/>
      </w:rPr>
    </w:lvl>
    <w:lvl w:ilvl="1">
      <w:start w:val="1"/>
      <w:numFmt w:val="decimal"/>
      <w:lvlText w:val="%2.7"/>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20F3497"/>
    <w:multiLevelType w:val="multilevel"/>
    <w:tmpl w:val="3D3451FC"/>
    <w:lvl w:ilvl="0">
      <w:start w:val="1"/>
      <w:numFmt w:val="decimal"/>
      <w:lvlText w:val="%1."/>
      <w:lvlJc w:val="left"/>
      <w:pPr>
        <w:ind w:left="720" w:hanging="720"/>
      </w:pPr>
      <w:rPr>
        <w:rFonts w:hint="default"/>
      </w:rPr>
    </w:lvl>
    <w:lvl w:ilvl="1">
      <w:start w:val="1"/>
      <w:numFmt w:val="decimal"/>
      <w:lvlText w:val="%2.21"/>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44B6E63"/>
    <w:multiLevelType w:val="multilevel"/>
    <w:tmpl w:val="72E8B2AA"/>
    <w:lvl w:ilvl="0">
      <w:start w:val="1"/>
      <w:numFmt w:val="decimal"/>
      <w:lvlText w:val="%1."/>
      <w:lvlJc w:val="left"/>
      <w:pPr>
        <w:ind w:left="720" w:hanging="720"/>
      </w:pPr>
      <w:rPr>
        <w:rFonts w:hint="default"/>
      </w:rPr>
    </w:lvl>
    <w:lvl w:ilvl="1">
      <w:start w:val="1"/>
      <w:numFmt w:val="decimal"/>
      <w:lvlText w:val="%2.9"/>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570B53"/>
    <w:multiLevelType w:val="hybridMultilevel"/>
    <w:tmpl w:val="C2FA8E2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62D2705"/>
    <w:multiLevelType w:val="hybridMultilevel"/>
    <w:tmpl w:val="2D7A1E20"/>
    <w:lvl w:ilvl="0" w:tplc="87009630">
      <w:start w:val="6"/>
      <w:numFmt w:val="bullet"/>
      <w:lvlText w:val="-"/>
      <w:lvlJc w:val="left"/>
      <w:pPr>
        <w:ind w:left="180" w:hanging="360"/>
      </w:pPr>
      <w:rPr>
        <w:rFonts w:ascii="Arial" w:eastAsia="Times New Roman"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
    <w:nsid w:val="079B6BCD"/>
    <w:multiLevelType w:val="hybridMultilevel"/>
    <w:tmpl w:val="BC1E600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162A0A"/>
    <w:multiLevelType w:val="hybridMultilevel"/>
    <w:tmpl w:val="E5B29AA4"/>
    <w:lvl w:ilvl="0" w:tplc="18000884">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3A6863"/>
    <w:multiLevelType w:val="hybridMultilevel"/>
    <w:tmpl w:val="D376D9C4"/>
    <w:lvl w:ilvl="0" w:tplc="87009630">
      <w:start w:val="6"/>
      <w:numFmt w:val="bullet"/>
      <w:lvlText w:val="-"/>
      <w:lvlJc w:val="left"/>
      <w:pPr>
        <w:ind w:left="151" w:hanging="360"/>
      </w:pPr>
      <w:rPr>
        <w:rFonts w:ascii="Arial" w:eastAsia="Times New Roman" w:hAnsi="Arial" w:cs="Arial" w:hint="default"/>
      </w:rPr>
    </w:lvl>
    <w:lvl w:ilvl="1" w:tplc="04090003" w:tentative="1">
      <w:start w:val="1"/>
      <w:numFmt w:val="bullet"/>
      <w:lvlText w:val="o"/>
      <w:lvlJc w:val="left"/>
      <w:pPr>
        <w:ind w:left="871" w:hanging="360"/>
      </w:pPr>
      <w:rPr>
        <w:rFonts w:ascii="Courier New" w:hAnsi="Courier New" w:cs="Courier New" w:hint="default"/>
      </w:rPr>
    </w:lvl>
    <w:lvl w:ilvl="2" w:tplc="04090005" w:tentative="1">
      <w:start w:val="1"/>
      <w:numFmt w:val="bullet"/>
      <w:lvlText w:val=""/>
      <w:lvlJc w:val="left"/>
      <w:pPr>
        <w:ind w:left="1591" w:hanging="360"/>
      </w:pPr>
      <w:rPr>
        <w:rFonts w:ascii="Wingdings" w:hAnsi="Wingdings" w:hint="default"/>
      </w:rPr>
    </w:lvl>
    <w:lvl w:ilvl="3" w:tplc="04090001" w:tentative="1">
      <w:start w:val="1"/>
      <w:numFmt w:val="bullet"/>
      <w:lvlText w:val=""/>
      <w:lvlJc w:val="left"/>
      <w:pPr>
        <w:ind w:left="2311" w:hanging="360"/>
      </w:pPr>
      <w:rPr>
        <w:rFonts w:ascii="Symbol" w:hAnsi="Symbol" w:hint="default"/>
      </w:rPr>
    </w:lvl>
    <w:lvl w:ilvl="4" w:tplc="04090003" w:tentative="1">
      <w:start w:val="1"/>
      <w:numFmt w:val="bullet"/>
      <w:lvlText w:val="o"/>
      <w:lvlJc w:val="left"/>
      <w:pPr>
        <w:ind w:left="3031" w:hanging="360"/>
      </w:pPr>
      <w:rPr>
        <w:rFonts w:ascii="Courier New" w:hAnsi="Courier New" w:cs="Courier New" w:hint="default"/>
      </w:rPr>
    </w:lvl>
    <w:lvl w:ilvl="5" w:tplc="04090005" w:tentative="1">
      <w:start w:val="1"/>
      <w:numFmt w:val="bullet"/>
      <w:lvlText w:val=""/>
      <w:lvlJc w:val="left"/>
      <w:pPr>
        <w:ind w:left="3751" w:hanging="360"/>
      </w:pPr>
      <w:rPr>
        <w:rFonts w:ascii="Wingdings" w:hAnsi="Wingdings" w:hint="default"/>
      </w:rPr>
    </w:lvl>
    <w:lvl w:ilvl="6" w:tplc="04090001" w:tentative="1">
      <w:start w:val="1"/>
      <w:numFmt w:val="bullet"/>
      <w:lvlText w:val=""/>
      <w:lvlJc w:val="left"/>
      <w:pPr>
        <w:ind w:left="4471" w:hanging="360"/>
      </w:pPr>
      <w:rPr>
        <w:rFonts w:ascii="Symbol" w:hAnsi="Symbol" w:hint="default"/>
      </w:rPr>
    </w:lvl>
    <w:lvl w:ilvl="7" w:tplc="04090003" w:tentative="1">
      <w:start w:val="1"/>
      <w:numFmt w:val="bullet"/>
      <w:lvlText w:val="o"/>
      <w:lvlJc w:val="left"/>
      <w:pPr>
        <w:ind w:left="5191" w:hanging="360"/>
      </w:pPr>
      <w:rPr>
        <w:rFonts w:ascii="Courier New" w:hAnsi="Courier New" w:cs="Courier New" w:hint="default"/>
      </w:rPr>
    </w:lvl>
    <w:lvl w:ilvl="8" w:tplc="04090005" w:tentative="1">
      <w:start w:val="1"/>
      <w:numFmt w:val="bullet"/>
      <w:lvlText w:val=""/>
      <w:lvlJc w:val="left"/>
      <w:pPr>
        <w:ind w:left="5911" w:hanging="360"/>
      </w:pPr>
      <w:rPr>
        <w:rFonts w:ascii="Wingdings" w:hAnsi="Wingdings" w:hint="default"/>
      </w:rPr>
    </w:lvl>
  </w:abstractNum>
  <w:abstractNum w:abstractNumId="11">
    <w:nsid w:val="0B963281"/>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D6C0A9D"/>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D775362"/>
    <w:multiLevelType w:val="hybridMultilevel"/>
    <w:tmpl w:val="53A8C59E"/>
    <w:lvl w:ilvl="0" w:tplc="87009630">
      <w:start w:val="6"/>
      <w:numFmt w:val="bullet"/>
      <w:lvlText w:val="-"/>
      <w:lvlJc w:val="left"/>
      <w:pPr>
        <w:ind w:left="1080" w:hanging="72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DB458F9"/>
    <w:multiLevelType w:val="multilevel"/>
    <w:tmpl w:val="A34C212C"/>
    <w:lvl w:ilvl="0">
      <w:start w:val="1"/>
      <w:numFmt w:val="decimal"/>
      <w:lvlText w:val="%1."/>
      <w:lvlJc w:val="left"/>
      <w:pPr>
        <w:ind w:left="720" w:hanging="720"/>
      </w:pPr>
      <w:rPr>
        <w:rFonts w:hint="default"/>
      </w:rPr>
    </w:lvl>
    <w:lvl w:ilvl="1">
      <w:start w:val="1"/>
      <w:numFmt w:val="decimal"/>
      <w:lvlText w:val="%2.2"/>
      <w:lvlJc w:val="left"/>
      <w:pPr>
        <w:ind w:left="720" w:hanging="720"/>
      </w:pPr>
      <w:rPr>
        <w:rFonts w:cs="Arabic Typesetting"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09D065A"/>
    <w:multiLevelType w:val="hybridMultilevel"/>
    <w:tmpl w:val="32DEFBE0"/>
    <w:lvl w:ilvl="0" w:tplc="02EA28A8">
      <w:start w:val="653"/>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BC3955"/>
    <w:multiLevelType w:val="multilevel"/>
    <w:tmpl w:val="375401DC"/>
    <w:lvl w:ilvl="0">
      <w:start w:val="1"/>
      <w:numFmt w:val="decimal"/>
      <w:lvlText w:val="%1."/>
      <w:lvlJc w:val="left"/>
      <w:pPr>
        <w:ind w:left="720" w:hanging="720"/>
      </w:pPr>
      <w:rPr>
        <w:rFonts w:hint="default"/>
      </w:rPr>
    </w:lvl>
    <w:lvl w:ilvl="1">
      <w:start w:val="1"/>
      <w:numFmt w:val="decimal"/>
      <w:lvlText w:val="%2.12"/>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22B2A50"/>
    <w:multiLevelType w:val="hybridMultilevel"/>
    <w:tmpl w:val="EE3E7EA6"/>
    <w:lvl w:ilvl="0" w:tplc="22603E84">
      <w:start w:val="1"/>
      <w:numFmt w:val="decimal"/>
      <w:lvlText w:val="%1."/>
      <w:lvlJc w:val="left"/>
      <w:pPr>
        <w:tabs>
          <w:tab w:val="num" w:pos="567"/>
        </w:tabs>
        <w:ind w:left="0" w:firstLine="0"/>
      </w:pPr>
      <w:rPr>
        <w:rFonts w:hint="default"/>
        <w:b/>
        <w:bCs w:val="0"/>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29A5F6B"/>
    <w:multiLevelType w:val="hybridMultilevel"/>
    <w:tmpl w:val="ED5EB35A"/>
    <w:lvl w:ilvl="0" w:tplc="9B6628FE">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13D931C1"/>
    <w:multiLevelType w:val="hybridMultilevel"/>
    <w:tmpl w:val="F1D6543C"/>
    <w:lvl w:ilvl="0" w:tplc="3F7262D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756471"/>
    <w:multiLevelType w:val="hybridMultilevel"/>
    <w:tmpl w:val="6EAE8252"/>
    <w:lvl w:ilvl="0" w:tplc="289672F6">
      <w:start w:val="1"/>
      <w:numFmt w:val="bullet"/>
      <w:lvlText w:val="-"/>
      <w:lvlJc w:val="left"/>
      <w:pPr>
        <w:ind w:left="720" w:hanging="360"/>
      </w:pPr>
      <w:rPr>
        <w:rFonts w:ascii="Courier New" w:hAnsi="Courier New"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BA5C3C"/>
    <w:multiLevelType w:val="hybridMultilevel"/>
    <w:tmpl w:val="8A86DAFC"/>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92E3357"/>
    <w:multiLevelType w:val="multilevel"/>
    <w:tmpl w:val="A5543BD4"/>
    <w:lvl w:ilvl="0">
      <w:start w:val="1"/>
      <w:numFmt w:val="decimal"/>
      <w:lvlText w:val="%1."/>
      <w:lvlJc w:val="left"/>
      <w:pPr>
        <w:ind w:left="720" w:hanging="720"/>
      </w:pPr>
      <w:rPr>
        <w:rFonts w:hint="default"/>
      </w:rPr>
    </w:lvl>
    <w:lvl w:ilvl="1">
      <w:start w:val="1"/>
      <w:numFmt w:val="decimal"/>
      <w:lvlText w:val="%2.22"/>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A09768D"/>
    <w:multiLevelType w:val="hybridMultilevel"/>
    <w:tmpl w:val="A7A86F02"/>
    <w:lvl w:ilvl="0" w:tplc="2D4AE1C4">
      <w:start w:val="1"/>
      <w:numFmt w:val="bullet"/>
      <w:lvlText w:val="-"/>
      <w:lvlJc w:val="left"/>
      <w:pPr>
        <w:ind w:left="210" w:hanging="360"/>
      </w:pPr>
      <w:rPr>
        <w:rFonts w:ascii="Courier New" w:hAnsi="Courier New" w:hint="default"/>
      </w:rPr>
    </w:lvl>
    <w:lvl w:ilvl="1" w:tplc="04090003" w:tentative="1">
      <w:start w:val="1"/>
      <w:numFmt w:val="bullet"/>
      <w:lvlText w:val="o"/>
      <w:lvlJc w:val="left"/>
      <w:pPr>
        <w:ind w:left="930" w:hanging="360"/>
      </w:pPr>
      <w:rPr>
        <w:rFonts w:ascii="Courier New" w:hAnsi="Courier New" w:cs="Courier New" w:hint="default"/>
      </w:rPr>
    </w:lvl>
    <w:lvl w:ilvl="2" w:tplc="04090005" w:tentative="1">
      <w:start w:val="1"/>
      <w:numFmt w:val="bullet"/>
      <w:lvlText w:val=""/>
      <w:lvlJc w:val="left"/>
      <w:pPr>
        <w:ind w:left="1650" w:hanging="360"/>
      </w:pPr>
      <w:rPr>
        <w:rFonts w:ascii="Wingdings" w:hAnsi="Wingdings" w:hint="default"/>
      </w:rPr>
    </w:lvl>
    <w:lvl w:ilvl="3" w:tplc="04090001" w:tentative="1">
      <w:start w:val="1"/>
      <w:numFmt w:val="bullet"/>
      <w:lvlText w:val=""/>
      <w:lvlJc w:val="left"/>
      <w:pPr>
        <w:ind w:left="2370" w:hanging="360"/>
      </w:pPr>
      <w:rPr>
        <w:rFonts w:ascii="Symbol" w:hAnsi="Symbol" w:hint="default"/>
      </w:rPr>
    </w:lvl>
    <w:lvl w:ilvl="4" w:tplc="04090003" w:tentative="1">
      <w:start w:val="1"/>
      <w:numFmt w:val="bullet"/>
      <w:lvlText w:val="o"/>
      <w:lvlJc w:val="left"/>
      <w:pPr>
        <w:ind w:left="3090" w:hanging="360"/>
      </w:pPr>
      <w:rPr>
        <w:rFonts w:ascii="Courier New" w:hAnsi="Courier New" w:cs="Courier New" w:hint="default"/>
      </w:rPr>
    </w:lvl>
    <w:lvl w:ilvl="5" w:tplc="04090005" w:tentative="1">
      <w:start w:val="1"/>
      <w:numFmt w:val="bullet"/>
      <w:lvlText w:val=""/>
      <w:lvlJc w:val="left"/>
      <w:pPr>
        <w:ind w:left="3810" w:hanging="360"/>
      </w:pPr>
      <w:rPr>
        <w:rFonts w:ascii="Wingdings" w:hAnsi="Wingdings" w:hint="default"/>
      </w:rPr>
    </w:lvl>
    <w:lvl w:ilvl="6" w:tplc="04090001" w:tentative="1">
      <w:start w:val="1"/>
      <w:numFmt w:val="bullet"/>
      <w:lvlText w:val=""/>
      <w:lvlJc w:val="left"/>
      <w:pPr>
        <w:ind w:left="4530" w:hanging="360"/>
      </w:pPr>
      <w:rPr>
        <w:rFonts w:ascii="Symbol" w:hAnsi="Symbol" w:hint="default"/>
      </w:rPr>
    </w:lvl>
    <w:lvl w:ilvl="7" w:tplc="04090003" w:tentative="1">
      <w:start w:val="1"/>
      <w:numFmt w:val="bullet"/>
      <w:lvlText w:val="o"/>
      <w:lvlJc w:val="left"/>
      <w:pPr>
        <w:ind w:left="5250" w:hanging="360"/>
      </w:pPr>
      <w:rPr>
        <w:rFonts w:ascii="Courier New" w:hAnsi="Courier New" w:cs="Courier New" w:hint="default"/>
      </w:rPr>
    </w:lvl>
    <w:lvl w:ilvl="8" w:tplc="04090005" w:tentative="1">
      <w:start w:val="1"/>
      <w:numFmt w:val="bullet"/>
      <w:lvlText w:val=""/>
      <w:lvlJc w:val="left"/>
      <w:pPr>
        <w:ind w:left="5970" w:hanging="360"/>
      </w:pPr>
      <w:rPr>
        <w:rFonts w:ascii="Wingdings" w:hAnsi="Wingdings" w:hint="default"/>
      </w:rPr>
    </w:lvl>
  </w:abstractNum>
  <w:abstractNum w:abstractNumId="25">
    <w:nsid w:val="1A154E0F"/>
    <w:multiLevelType w:val="hybridMultilevel"/>
    <w:tmpl w:val="BEA2D9A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A305C65"/>
    <w:multiLevelType w:val="hybridMultilevel"/>
    <w:tmpl w:val="BA968B58"/>
    <w:lvl w:ilvl="0" w:tplc="00000006">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BB65BAF"/>
    <w:multiLevelType w:val="multilevel"/>
    <w:tmpl w:val="0BC276B2"/>
    <w:lvl w:ilvl="0">
      <w:start w:val="1"/>
      <w:numFmt w:val="decimal"/>
      <w:lvlText w:val="%1."/>
      <w:lvlJc w:val="left"/>
      <w:pPr>
        <w:ind w:left="720" w:hanging="720"/>
      </w:pPr>
      <w:rPr>
        <w:rFonts w:hint="default"/>
      </w:rPr>
    </w:lvl>
    <w:lvl w:ilvl="1">
      <w:start w:val="1"/>
      <w:numFmt w:val="decimal"/>
      <w:lvlText w:val="%2.27"/>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E1A73D3"/>
    <w:multiLevelType w:val="hybridMultilevel"/>
    <w:tmpl w:val="700264FA"/>
    <w:lvl w:ilvl="0" w:tplc="4C2EE992">
      <w:start w:val="1"/>
      <w:numFmt w:val="bullet"/>
      <w:lvlText w:val="–"/>
      <w:lvlJc w:val="left"/>
      <w:pPr>
        <w:ind w:left="789" w:hanging="360"/>
      </w:pPr>
      <w:rPr>
        <w:rFonts w:ascii="Arabic Typesetting" w:hAnsi="Arabic Typesetting"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9">
    <w:nsid w:val="1E9B6292"/>
    <w:multiLevelType w:val="hybridMultilevel"/>
    <w:tmpl w:val="EF92583A"/>
    <w:lvl w:ilvl="0" w:tplc="87009630">
      <w:start w:val="6"/>
      <w:numFmt w:val="bullet"/>
      <w:lvlText w:val="-"/>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1E9E46E3"/>
    <w:multiLevelType w:val="multilevel"/>
    <w:tmpl w:val="054E02CE"/>
    <w:lvl w:ilvl="0">
      <w:start w:val="1"/>
      <w:numFmt w:val="decimal"/>
      <w:lvlText w:val="%1."/>
      <w:lvlJc w:val="left"/>
      <w:pPr>
        <w:ind w:left="720" w:hanging="720"/>
      </w:pPr>
      <w:rPr>
        <w:rFonts w:hint="default"/>
      </w:rPr>
    </w:lvl>
    <w:lvl w:ilvl="1">
      <w:start w:val="1"/>
      <w:numFmt w:val="decimal"/>
      <w:lvlText w:val="%2.15"/>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1F153255"/>
    <w:multiLevelType w:val="hybridMultilevel"/>
    <w:tmpl w:val="BD02A80E"/>
    <w:lvl w:ilvl="0" w:tplc="A610436A">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02A2B79"/>
    <w:multiLevelType w:val="hybridMultilevel"/>
    <w:tmpl w:val="0954384A"/>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2916058"/>
    <w:multiLevelType w:val="hybridMultilevel"/>
    <w:tmpl w:val="9B824E14"/>
    <w:lvl w:ilvl="0" w:tplc="BC56C79A">
      <w:numFmt w:val="bullet"/>
      <w:lvlText w:val="-"/>
      <w:lvlJc w:val="left"/>
      <w:pPr>
        <w:ind w:left="720" w:hanging="360"/>
      </w:pPr>
      <w:rPr>
        <w:rFonts w:ascii="Arial" w:eastAsia="Times New Roman" w:hAnsi="Arial" w:hint="default"/>
        <w:lang w:bidi="ar-EG"/>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3F670F"/>
    <w:multiLevelType w:val="hybridMultilevel"/>
    <w:tmpl w:val="FF3071C0"/>
    <w:lvl w:ilvl="0" w:tplc="357E81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B45952"/>
    <w:multiLevelType w:val="hybridMultilevel"/>
    <w:tmpl w:val="327066CE"/>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4D5340C"/>
    <w:multiLevelType w:val="multilevel"/>
    <w:tmpl w:val="1C566D20"/>
    <w:lvl w:ilvl="0">
      <w:start w:val="1"/>
      <w:numFmt w:val="decimal"/>
      <w:lvlText w:val="%1."/>
      <w:lvlJc w:val="left"/>
      <w:pPr>
        <w:ind w:left="720" w:hanging="720"/>
      </w:pPr>
      <w:rPr>
        <w:rFonts w:hint="default"/>
      </w:rPr>
    </w:lvl>
    <w:lvl w:ilvl="1">
      <w:start w:val="1"/>
      <w:numFmt w:val="decimal"/>
      <w:lvlText w:val="%2.23"/>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7C86B79"/>
    <w:multiLevelType w:val="multilevel"/>
    <w:tmpl w:val="57EEC918"/>
    <w:lvl w:ilvl="0">
      <w:start w:val="1"/>
      <w:numFmt w:val="decimal"/>
      <w:lvlText w:val="%1."/>
      <w:lvlJc w:val="left"/>
      <w:pPr>
        <w:ind w:left="720" w:hanging="720"/>
      </w:pPr>
      <w:rPr>
        <w:rFonts w:hint="default"/>
      </w:rPr>
    </w:lvl>
    <w:lvl w:ilvl="1">
      <w:start w:val="1"/>
      <w:numFmt w:val="decimal"/>
      <w:lvlText w:val="%2.31"/>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295B3D81"/>
    <w:multiLevelType w:val="hybridMultilevel"/>
    <w:tmpl w:val="97A40646"/>
    <w:lvl w:ilvl="0" w:tplc="2898AC7A">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B4B28BE"/>
    <w:multiLevelType w:val="hybridMultilevel"/>
    <w:tmpl w:val="52505382"/>
    <w:lvl w:ilvl="0" w:tplc="616AAF6A">
      <w:start w:val="5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F5B64AE"/>
    <w:multiLevelType w:val="hybridMultilevel"/>
    <w:tmpl w:val="52945A5C"/>
    <w:lvl w:ilvl="0" w:tplc="001CA5C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1541373"/>
    <w:multiLevelType w:val="multilevel"/>
    <w:tmpl w:val="DB9C6B28"/>
    <w:lvl w:ilvl="0">
      <w:start w:val="1"/>
      <w:numFmt w:val="decimal"/>
      <w:lvlText w:val="%1."/>
      <w:lvlJc w:val="left"/>
      <w:pPr>
        <w:ind w:left="720" w:hanging="720"/>
      </w:pPr>
      <w:rPr>
        <w:rFonts w:hint="default"/>
      </w:rPr>
    </w:lvl>
    <w:lvl w:ilvl="1">
      <w:start w:val="1"/>
      <w:numFmt w:val="decimal"/>
      <w:lvlText w:val="%2.11"/>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1BE02DC"/>
    <w:multiLevelType w:val="multilevel"/>
    <w:tmpl w:val="F52C1B0C"/>
    <w:lvl w:ilvl="0">
      <w:start w:val="1"/>
      <w:numFmt w:val="decimal"/>
      <w:lvlText w:val="%1."/>
      <w:lvlJc w:val="left"/>
      <w:pPr>
        <w:ind w:left="720" w:hanging="720"/>
      </w:pPr>
      <w:rPr>
        <w:rFonts w:hint="default"/>
      </w:rPr>
    </w:lvl>
    <w:lvl w:ilvl="1">
      <w:start w:val="1"/>
      <w:numFmt w:val="decimal"/>
      <w:lvlText w:val="%2.19"/>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1C93A1A"/>
    <w:multiLevelType w:val="multilevel"/>
    <w:tmpl w:val="ED2EA52C"/>
    <w:lvl w:ilvl="0">
      <w:start w:val="1"/>
      <w:numFmt w:val="decimal"/>
      <w:lvlText w:val="%1."/>
      <w:lvlJc w:val="left"/>
      <w:pPr>
        <w:ind w:left="720" w:hanging="720"/>
      </w:pPr>
      <w:rPr>
        <w:rFonts w:hint="default"/>
      </w:rPr>
    </w:lvl>
    <w:lvl w:ilvl="1">
      <w:start w:val="1"/>
      <w:numFmt w:val="decimal"/>
      <w:lvlText w:val="%2.17"/>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322853D2"/>
    <w:multiLevelType w:val="hybridMultilevel"/>
    <w:tmpl w:val="AF887D14"/>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307505C"/>
    <w:multiLevelType w:val="multilevel"/>
    <w:tmpl w:val="A59A9EFA"/>
    <w:lvl w:ilvl="0">
      <w:start w:val="1"/>
      <w:numFmt w:val="decimal"/>
      <w:lvlText w:val="%1."/>
      <w:lvlJc w:val="left"/>
      <w:pPr>
        <w:ind w:left="720" w:hanging="720"/>
      </w:pPr>
      <w:rPr>
        <w:rFonts w:hint="default"/>
      </w:rPr>
    </w:lvl>
    <w:lvl w:ilvl="1">
      <w:start w:val="1"/>
      <w:numFmt w:val="decimal"/>
      <w:lvlText w:val="%2.6"/>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3103AF4"/>
    <w:multiLevelType w:val="multilevel"/>
    <w:tmpl w:val="0A56C61A"/>
    <w:lvl w:ilvl="0">
      <w:start w:val="1"/>
      <w:numFmt w:val="decimal"/>
      <w:lvlText w:val="%1."/>
      <w:lvlJc w:val="left"/>
      <w:pPr>
        <w:ind w:left="720" w:hanging="720"/>
      </w:pPr>
      <w:rPr>
        <w:rFonts w:hint="default"/>
      </w:rPr>
    </w:lvl>
    <w:lvl w:ilvl="1">
      <w:start w:val="1"/>
      <w:numFmt w:val="decimal"/>
      <w:lvlText w:val="%2.1."/>
      <w:lvlJc w:val="left"/>
      <w:pPr>
        <w:ind w:left="720" w:hanging="720"/>
      </w:pPr>
      <w:rPr>
        <w:rFonts w:cs="Arabic Typesetting"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33283FA1"/>
    <w:multiLevelType w:val="hybridMultilevel"/>
    <w:tmpl w:val="D610BCDA"/>
    <w:lvl w:ilvl="0" w:tplc="CBE48860">
      <w:start w:val="315"/>
      <w:numFmt w:val="bullet"/>
      <w:lvlText w:val=""/>
      <w:lvlJc w:val="left"/>
      <w:pPr>
        <w:ind w:left="1440" w:hanging="360"/>
      </w:pPr>
      <w:rPr>
        <w:rFonts w:ascii="Symbol" w:eastAsia="Times New Roman" w:hAnsi="Symbol" w:cs="Times New Roman" w:hint="default"/>
        <w:color w:val="000000"/>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66B5550"/>
    <w:multiLevelType w:val="multilevel"/>
    <w:tmpl w:val="AB52ECC4"/>
    <w:lvl w:ilvl="0">
      <w:start w:val="1"/>
      <w:numFmt w:val="decimal"/>
      <w:lvlText w:val="%1."/>
      <w:lvlJc w:val="left"/>
      <w:pPr>
        <w:ind w:left="720" w:hanging="720"/>
      </w:pPr>
      <w:rPr>
        <w:rFonts w:hint="default"/>
      </w:rPr>
    </w:lvl>
    <w:lvl w:ilvl="1">
      <w:start w:val="1"/>
      <w:numFmt w:val="decimal"/>
      <w:lvlText w:val="%2.5"/>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369B0598"/>
    <w:multiLevelType w:val="hybridMultilevel"/>
    <w:tmpl w:val="98987B9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7A273F1"/>
    <w:multiLevelType w:val="hybridMultilevel"/>
    <w:tmpl w:val="96DAAC88"/>
    <w:lvl w:ilvl="0" w:tplc="D558328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D5235E"/>
    <w:multiLevelType w:val="hybridMultilevel"/>
    <w:tmpl w:val="E4D8B9DC"/>
    <w:lvl w:ilvl="0" w:tplc="81F2B812">
      <w:numFmt w:val="bullet"/>
      <w:lvlText w:val="-"/>
      <w:lvlJc w:val="left"/>
      <w:pPr>
        <w:ind w:left="360" w:hanging="360"/>
      </w:pPr>
      <w:rPr>
        <w:rFonts w:ascii="Arial" w:eastAsia="Times New Roman" w:hAnsi="Arial" w:cs="Arial" w:hint="default"/>
        <w:lang w:val="en-U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nsid w:val="38E573F1"/>
    <w:multiLevelType w:val="multilevel"/>
    <w:tmpl w:val="0C8A89CE"/>
    <w:lvl w:ilvl="0">
      <w:start w:val="1"/>
      <w:numFmt w:val="decimal"/>
      <w:lvlText w:val="%1."/>
      <w:lvlJc w:val="left"/>
      <w:pPr>
        <w:ind w:left="720" w:hanging="720"/>
      </w:pPr>
      <w:rPr>
        <w:rFonts w:hint="default"/>
      </w:rPr>
    </w:lvl>
    <w:lvl w:ilvl="1">
      <w:start w:val="1"/>
      <w:numFmt w:val="decimal"/>
      <w:lvlText w:val="%2.10"/>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39B64CA4"/>
    <w:multiLevelType w:val="multilevel"/>
    <w:tmpl w:val="D50252A6"/>
    <w:lvl w:ilvl="0">
      <w:start w:val="1"/>
      <w:numFmt w:val="decimal"/>
      <w:lvlText w:val="%1."/>
      <w:lvlJc w:val="left"/>
      <w:pPr>
        <w:ind w:left="720" w:hanging="720"/>
      </w:pPr>
      <w:rPr>
        <w:rFonts w:hint="default"/>
      </w:rPr>
    </w:lvl>
    <w:lvl w:ilvl="1">
      <w:start w:val="1"/>
      <w:numFmt w:val="decimal"/>
      <w:lvlText w:val="%2.8"/>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3A9C377A"/>
    <w:multiLevelType w:val="hybridMultilevel"/>
    <w:tmpl w:val="119C0D48"/>
    <w:lvl w:ilvl="0" w:tplc="C51A2F7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AB2731A"/>
    <w:multiLevelType w:val="hybridMultilevel"/>
    <w:tmpl w:val="4C945534"/>
    <w:lvl w:ilvl="0" w:tplc="03345ED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3AFB6F5F"/>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B8233E1"/>
    <w:multiLevelType w:val="hybridMultilevel"/>
    <w:tmpl w:val="6ED68DFE"/>
    <w:lvl w:ilvl="0" w:tplc="355203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DEB20A5"/>
    <w:multiLevelType w:val="hybridMultilevel"/>
    <w:tmpl w:val="3FE0E78E"/>
    <w:lvl w:ilvl="0" w:tplc="547817D4">
      <w:start w:val="8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nsid w:val="3E795B56"/>
    <w:multiLevelType w:val="hybridMultilevel"/>
    <w:tmpl w:val="37B6A0A4"/>
    <w:lvl w:ilvl="0" w:tplc="9E5A64B4">
      <w:numFmt w:val="bullet"/>
      <w:lvlText w:val="-"/>
      <w:lvlJc w:val="left"/>
      <w:pPr>
        <w:ind w:left="720" w:hanging="360"/>
      </w:pPr>
      <w:rPr>
        <w:rFonts w:ascii="Arial" w:eastAsia="Calibri" w:hAnsi="Arial" w:cs="Arial" w:hint="default"/>
      </w:rPr>
    </w:lvl>
    <w:lvl w:ilvl="1" w:tplc="9E5A64B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FA85A25"/>
    <w:multiLevelType w:val="hybridMultilevel"/>
    <w:tmpl w:val="EB3E49EE"/>
    <w:lvl w:ilvl="0" w:tplc="1AA0ABC2">
      <w:start w:val="1"/>
      <w:numFmt w:val="bullet"/>
      <w:lvlText w:val=""/>
      <w:lvlJc w:val="left"/>
      <w:pPr>
        <w:ind w:left="4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nsid w:val="441178DC"/>
    <w:multiLevelType w:val="hybridMultilevel"/>
    <w:tmpl w:val="E5C2EAE6"/>
    <w:lvl w:ilvl="0" w:tplc="028CF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759624B"/>
    <w:multiLevelType w:val="hybridMultilevel"/>
    <w:tmpl w:val="0E86A092"/>
    <w:lvl w:ilvl="0" w:tplc="C35E69EC">
      <w:start w:val="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7704B24"/>
    <w:multiLevelType w:val="multilevel"/>
    <w:tmpl w:val="D454540A"/>
    <w:lvl w:ilvl="0">
      <w:start w:val="1"/>
      <w:numFmt w:val="decimal"/>
      <w:lvlText w:val="%1."/>
      <w:lvlJc w:val="left"/>
      <w:pPr>
        <w:ind w:left="720" w:hanging="720"/>
      </w:pPr>
      <w:rPr>
        <w:rFonts w:hint="default"/>
      </w:rPr>
    </w:lvl>
    <w:lvl w:ilvl="1">
      <w:start w:val="1"/>
      <w:numFmt w:val="decimal"/>
      <w:lvlText w:val="%2.26"/>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48EA03D7"/>
    <w:multiLevelType w:val="multilevel"/>
    <w:tmpl w:val="43B63426"/>
    <w:lvl w:ilvl="0">
      <w:start w:val="1"/>
      <w:numFmt w:val="decimal"/>
      <w:lvlText w:val="%1."/>
      <w:lvlJc w:val="left"/>
      <w:pPr>
        <w:ind w:left="720" w:hanging="720"/>
      </w:pPr>
      <w:rPr>
        <w:rFonts w:hint="default"/>
      </w:rPr>
    </w:lvl>
    <w:lvl w:ilvl="1">
      <w:start w:val="1"/>
      <w:numFmt w:val="decimal"/>
      <w:lvlText w:val="%2.24"/>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49E77A72"/>
    <w:multiLevelType w:val="hybridMultilevel"/>
    <w:tmpl w:val="920C38DE"/>
    <w:lvl w:ilvl="0" w:tplc="7FD8E49A">
      <w:start w:val="2"/>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6005A5"/>
    <w:multiLevelType w:val="hybridMultilevel"/>
    <w:tmpl w:val="714CFEDE"/>
    <w:lvl w:ilvl="0" w:tplc="547817D4">
      <w:start w:val="89"/>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9">
    <w:nsid w:val="4BF531FE"/>
    <w:multiLevelType w:val="hybridMultilevel"/>
    <w:tmpl w:val="3BF6BB34"/>
    <w:lvl w:ilvl="0" w:tplc="1AA0ABC2">
      <w:start w:val="1"/>
      <w:numFmt w:val="bullet"/>
      <w:lvlText w:val=""/>
      <w:lvlJc w:val="left"/>
      <w:pPr>
        <w:ind w:left="360" w:hanging="360"/>
      </w:pPr>
      <w:rPr>
        <w:rFonts w:ascii="Symbol" w:hAnsi="Symbol" w:hint="default"/>
      </w:rPr>
    </w:lvl>
    <w:lvl w:ilvl="1" w:tplc="1AA0ABC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4E3F7A87"/>
    <w:multiLevelType w:val="hybridMultilevel"/>
    <w:tmpl w:val="B956867E"/>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2083B15"/>
    <w:multiLevelType w:val="multilevel"/>
    <w:tmpl w:val="1A4AFA82"/>
    <w:lvl w:ilvl="0">
      <w:start w:val="1"/>
      <w:numFmt w:val="decimal"/>
      <w:lvlText w:val="%1."/>
      <w:lvlJc w:val="left"/>
      <w:pPr>
        <w:ind w:left="720" w:hanging="720"/>
      </w:pPr>
      <w:rPr>
        <w:rFonts w:hint="default"/>
      </w:rPr>
    </w:lvl>
    <w:lvl w:ilvl="1">
      <w:start w:val="1"/>
      <w:numFmt w:val="decimal"/>
      <w:lvlText w:val="%2.18"/>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71A406D"/>
    <w:multiLevelType w:val="hybridMultilevel"/>
    <w:tmpl w:val="9B464592"/>
    <w:lvl w:ilvl="0" w:tplc="357E81E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nsid w:val="59A14648"/>
    <w:multiLevelType w:val="hybridMultilevel"/>
    <w:tmpl w:val="9E8C081C"/>
    <w:lvl w:ilvl="0" w:tplc="794A9FF4">
      <w:start w:val="6"/>
      <w:numFmt w:val="bullet"/>
      <w:lvlText w:val="-"/>
      <w:lvlJc w:val="left"/>
      <w:pPr>
        <w:ind w:left="360" w:hanging="360"/>
      </w:pPr>
      <w:rPr>
        <w:rFonts w:ascii="Arabic Typesetting" w:eastAsia="Times New Roman" w:hAnsi="Arabic Typesetting" w:cs="Arabic Typesetting"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A232C8B"/>
    <w:multiLevelType w:val="hybridMultilevel"/>
    <w:tmpl w:val="0CD826D6"/>
    <w:lvl w:ilvl="0" w:tplc="75FA6534">
      <w:start w:val="1"/>
      <w:numFmt w:val="decimal"/>
      <w:lvlText w:val="%1."/>
      <w:lvlJc w:val="left"/>
      <w:pPr>
        <w:ind w:left="720" w:hanging="360"/>
      </w:pPr>
    </w:lvl>
    <w:lvl w:ilvl="1" w:tplc="6AD6FB7A">
      <w:start w:val="1"/>
      <w:numFmt w:val="arabicAbjad"/>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BAF0CE0"/>
    <w:multiLevelType w:val="hybridMultilevel"/>
    <w:tmpl w:val="C6D09E4A"/>
    <w:lvl w:ilvl="0" w:tplc="3342F77A">
      <w:start w:val="1"/>
      <w:numFmt w:val="decimal"/>
      <w:lvlText w:val="%1.2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851CCE"/>
    <w:multiLevelType w:val="hybridMultilevel"/>
    <w:tmpl w:val="D5AA77B2"/>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DAE2B28"/>
    <w:multiLevelType w:val="multilevel"/>
    <w:tmpl w:val="1DE05F16"/>
    <w:lvl w:ilvl="0">
      <w:start w:val="1"/>
      <w:numFmt w:val="decimal"/>
      <w:lvlText w:val="%1."/>
      <w:lvlJc w:val="left"/>
      <w:pPr>
        <w:ind w:left="720" w:hanging="720"/>
      </w:pPr>
      <w:rPr>
        <w:rFonts w:hint="default"/>
      </w:rPr>
    </w:lvl>
    <w:lvl w:ilvl="1">
      <w:start w:val="1"/>
      <w:numFmt w:val="decimal"/>
      <w:lvlText w:val="%2.13"/>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5E674DF4"/>
    <w:multiLevelType w:val="hybridMultilevel"/>
    <w:tmpl w:val="C1A8F0DC"/>
    <w:lvl w:ilvl="0" w:tplc="E8C4262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EFA5F3F"/>
    <w:multiLevelType w:val="hybridMultilevel"/>
    <w:tmpl w:val="AA4215BA"/>
    <w:lvl w:ilvl="0" w:tplc="ECAACDF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5FF27FDC"/>
    <w:multiLevelType w:val="multilevel"/>
    <w:tmpl w:val="33FA6C26"/>
    <w:lvl w:ilvl="0">
      <w:start w:val="1"/>
      <w:numFmt w:val="decimal"/>
      <w:lvlText w:val="%1."/>
      <w:lvlJc w:val="left"/>
      <w:pPr>
        <w:ind w:left="720" w:hanging="720"/>
      </w:pPr>
      <w:rPr>
        <w:rFonts w:hint="default"/>
      </w:rPr>
    </w:lvl>
    <w:lvl w:ilvl="1">
      <w:start w:val="1"/>
      <w:numFmt w:val="decimal"/>
      <w:lvlText w:val="%2.28"/>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60D6367B"/>
    <w:multiLevelType w:val="hybridMultilevel"/>
    <w:tmpl w:val="08C02DB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24369F3"/>
    <w:multiLevelType w:val="hybridMultilevel"/>
    <w:tmpl w:val="79F67380"/>
    <w:lvl w:ilvl="0" w:tplc="8EC25160">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2F05CE9"/>
    <w:multiLevelType w:val="multilevel"/>
    <w:tmpl w:val="48AC6858"/>
    <w:lvl w:ilvl="0">
      <w:start w:val="1"/>
      <w:numFmt w:val="decimal"/>
      <w:lvlText w:val="%1."/>
      <w:lvlJc w:val="left"/>
      <w:pPr>
        <w:ind w:left="720" w:hanging="720"/>
      </w:pPr>
      <w:rPr>
        <w:rFonts w:hint="default"/>
      </w:rPr>
    </w:lvl>
    <w:lvl w:ilvl="1">
      <w:start w:val="1"/>
      <w:numFmt w:val="decimal"/>
      <w:lvlText w:val="%2.14"/>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64D61FE9"/>
    <w:multiLevelType w:val="multilevel"/>
    <w:tmpl w:val="66DEB044"/>
    <w:lvl w:ilvl="0">
      <w:start w:val="1"/>
      <w:numFmt w:val="decimal"/>
      <w:lvlText w:val="%1."/>
      <w:lvlJc w:val="left"/>
      <w:pPr>
        <w:ind w:left="720" w:hanging="720"/>
      </w:pPr>
      <w:rPr>
        <w:rFonts w:hint="default"/>
      </w:rPr>
    </w:lvl>
    <w:lvl w:ilvl="1">
      <w:start w:val="1"/>
      <w:numFmt w:val="decimal"/>
      <w:lvlText w:val="%2.30"/>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6561185A"/>
    <w:multiLevelType w:val="hybridMultilevel"/>
    <w:tmpl w:val="B20E40BC"/>
    <w:lvl w:ilvl="0" w:tplc="616AAF6A">
      <w:start w:val="5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7A1604F"/>
    <w:multiLevelType w:val="hybridMultilevel"/>
    <w:tmpl w:val="11566E68"/>
    <w:lvl w:ilvl="0" w:tplc="547817D4">
      <w:start w:val="8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nsid w:val="67F90372"/>
    <w:multiLevelType w:val="hybridMultilevel"/>
    <w:tmpl w:val="B126A7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90">
    <w:nsid w:val="696B74BB"/>
    <w:multiLevelType w:val="multilevel"/>
    <w:tmpl w:val="9C8AE0AA"/>
    <w:lvl w:ilvl="0">
      <w:start w:val="1"/>
      <w:numFmt w:val="decimal"/>
      <w:lvlText w:val="%1."/>
      <w:lvlJc w:val="left"/>
      <w:pPr>
        <w:ind w:left="720" w:hanging="720"/>
      </w:pPr>
      <w:rPr>
        <w:rFonts w:hint="default"/>
      </w:rPr>
    </w:lvl>
    <w:lvl w:ilvl="1">
      <w:start w:val="1"/>
      <w:numFmt w:val="decimal"/>
      <w:lvlText w:val="%2.16"/>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6A005E3D"/>
    <w:multiLevelType w:val="hybridMultilevel"/>
    <w:tmpl w:val="03C4C1C6"/>
    <w:lvl w:ilvl="0" w:tplc="3B9C5964">
      <w:start w:val="1"/>
      <w:numFmt w:val="bullet"/>
      <w:lvlText w:val=""/>
      <w:lvlJc w:val="left"/>
      <w:pPr>
        <w:tabs>
          <w:tab w:val="num" w:pos="720"/>
        </w:tabs>
        <w:ind w:left="720" w:hanging="360"/>
      </w:pPr>
      <w:rPr>
        <w:rFonts w:ascii="Symbol" w:hAnsi="Symbol" w:hint="default"/>
        <w:sz w:val="24"/>
        <w:szCs w:val="24"/>
        <w:lang w:val="en-G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A1C00ED"/>
    <w:multiLevelType w:val="hybridMultilevel"/>
    <w:tmpl w:val="61964DD6"/>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6B753337"/>
    <w:multiLevelType w:val="multilevel"/>
    <w:tmpl w:val="9E5E099C"/>
    <w:lvl w:ilvl="0">
      <w:start w:val="1"/>
      <w:numFmt w:val="decimal"/>
      <w:lvlText w:val="%1."/>
      <w:lvlJc w:val="left"/>
      <w:pPr>
        <w:ind w:left="720" w:hanging="720"/>
      </w:pPr>
      <w:rPr>
        <w:rFonts w:hint="default"/>
      </w:rPr>
    </w:lvl>
    <w:lvl w:ilvl="1">
      <w:start w:val="1"/>
      <w:numFmt w:val="decimal"/>
      <w:lvlText w:val="%2.4"/>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72962270"/>
    <w:multiLevelType w:val="hybridMultilevel"/>
    <w:tmpl w:val="FFC013AA"/>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33756A1"/>
    <w:multiLevelType w:val="multilevel"/>
    <w:tmpl w:val="FAE0121A"/>
    <w:lvl w:ilvl="0">
      <w:start w:val="1"/>
      <w:numFmt w:val="decimal"/>
      <w:lvlText w:val="%1."/>
      <w:lvlJc w:val="left"/>
      <w:pPr>
        <w:ind w:left="720" w:hanging="720"/>
      </w:pPr>
      <w:rPr>
        <w:rFonts w:hint="default"/>
      </w:rPr>
    </w:lvl>
    <w:lvl w:ilvl="1">
      <w:start w:val="1"/>
      <w:numFmt w:val="decimal"/>
      <w:lvlText w:val="%2.25"/>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73B6686E"/>
    <w:multiLevelType w:val="hybridMultilevel"/>
    <w:tmpl w:val="D76AA022"/>
    <w:lvl w:ilvl="0" w:tplc="E5A6BAE6">
      <w:start w:val="6"/>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75482CC4"/>
    <w:multiLevelType w:val="hybridMultilevel"/>
    <w:tmpl w:val="4BCC6290"/>
    <w:lvl w:ilvl="0" w:tplc="357E81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99">
    <w:nsid w:val="77583041"/>
    <w:multiLevelType w:val="hybridMultilevel"/>
    <w:tmpl w:val="E2BCC3CE"/>
    <w:lvl w:ilvl="0" w:tplc="49BE8CC8">
      <w:start w:val="560"/>
      <w:numFmt w:val="bullet"/>
      <w:lvlText w:val="-"/>
      <w:lvlJc w:val="left"/>
      <w:pPr>
        <w:ind w:left="360" w:hanging="360"/>
      </w:pPr>
      <w:rPr>
        <w:rFonts w:ascii="Arabic Typesetting" w:eastAsiaTheme="minorHAnsi" w:hAnsi="Arabic Typesetting" w:cs="Arabic Typesetting" w:hint="default"/>
        <w:b w:val="0"/>
        <w:bCs w:val="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83D01F9"/>
    <w:multiLevelType w:val="hybridMultilevel"/>
    <w:tmpl w:val="A2B8EF34"/>
    <w:lvl w:ilvl="0" w:tplc="03345E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8BF0296"/>
    <w:multiLevelType w:val="hybridMultilevel"/>
    <w:tmpl w:val="E5D6BE22"/>
    <w:lvl w:ilvl="0" w:tplc="4C2EE992">
      <w:start w:val="1"/>
      <w:numFmt w:val="bullet"/>
      <w:lvlText w:val="–"/>
      <w:lvlJc w:val="left"/>
      <w:pPr>
        <w:ind w:left="720" w:hanging="360"/>
      </w:pPr>
      <w:rPr>
        <w:rFonts w:ascii="Arabic Typesetting" w:hAnsi="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8F227BE"/>
    <w:multiLevelType w:val="hybridMultilevel"/>
    <w:tmpl w:val="89E47454"/>
    <w:lvl w:ilvl="0" w:tplc="4084871E">
      <w:start w:val="1"/>
      <w:numFmt w:val="bullet"/>
      <w:lvlText w:val="-"/>
      <w:lvlJc w:val="left"/>
      <w:pPr>
        <w:ind w:left="1004" w:hanging="360"/>
      </w:pPr>
      <w:rPr>
        <w:rFonts w:ascii="Arabic Typesetting" w:eastAsia="Times New Roman" w:hAnsi="Arabic Typesetting" w:cs="Arabic Typesetting" w:hint="default"/>
        <w:lang w:bidi="ar-SA"/>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3">
    <w:nsid w:val="79BC6488"/>
    <w:multiLevelType w:val="multilevel"/>
    <w:tmpl w:val="6B5AF042"/>
    <w:lvl w:ilvl="0">
      <w:start w:val="1"/>
      <w:numFmt w:val="decimal"/>
      <w:lvlText w:val="%1."/>
      <w:lvlJc w:val="left"/>
      <w:pPr>
        <w:ind w:left="720" w:hanging="720"/>
      </w:pPr>
      <w:rPr>
        <w:rFonts w:hint="default"/>
      </w:rPr>
    </w:lvl>
    <w:lvl w:ilvl="1">
      <w:start w:val="1"/>
      <w:numFmt w:val="decimal"/>
      <w:lvlText w:val="%2.32"/>
      <w:lvlJc w:val="left"/>
      <w:pPr>
        <w:ind w:left="720" w:hanging="720"/>
      </w:pPr>
      <w:rPr>
        <w:rFonts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79EB765C"/>
    <w:multiLevelType w:val="hybridMultilevel"/>
    <w:tmpl w:val="F64671BA"/>
    <w:lvl w:ilvl="0" w:tplc="616AAF6A">
      <w:start w:val="560"/>
      <w:numFmt w:val="bullet"/>
      <w:lvlText w:val="-"/>
      <w:lvlJc w:val="left"/>
      <w:pPr>
        <w:ind w:left="120" w:hanging="360"/>
      </w:pPr>
      <w:rPr>
        <w:rFonts w:ascii="Arial" w:eastAsiaTheme="minorHAnsi" w:hAnsi="Arial" w:cs="Arial" w:hint="default"/>
      </w:rPr>
    </w:lvl>
    <w:lvl w:ilvl="1" w:tplc="04090003" w:tentative="1">
      <w:start w:val="1"/>
      <w:numFmt w:val="bullet"/>
      <w:lvlText w:val="o"/>
      <w:lvlJc w:val="left"/>
      <w:pPr>
        <w:ind w:left="840" w:hanging="360"/>
      </w:pPr>
      <w:rPr>
        <w:rFonts w:ascii="Courier New" w:hAnsi="Courier New" w:cs="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cs="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cs="Courier New" w:hint="default"/>
      </w:rPr>
    </w:lvl>
    <w:lvl w:ilvl="8" w:tplc="04090005" w:tentative="1">
      <w:start w:val="1"/>
      <w:numFmt w:val="bullet"/>
      <w:lvlText w:val=""/>
      <w:lvlJc w:val="left"/>
      <w:pPr>
        <w:ind w:left="5880" w:hanging="360"/>
      </w:pPr>
      <w:rPr>
        <w:rFonts w:ascii="Wingdings" w:hAnsi="Wingdings" w:hint="default"/>
      </w:rPr>
    </w:lvl>
  </w:abstractNum>
  <w:abstractNum w:abstractNumId="105">
    <w:nsid w:val="7A543276"/>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6"/>
  </w:num>
  <w:num w:numId="2">
    <w:abstractNumId w:val="37"/>
  </w:num>
  <w:num w:numId="3">
    <w:abstractNumId w:val="47"/>
  </w:num>
  <w:num w:numId="4">
    <w:abstractNumId w:val="16"/>
  </w:num>
  <w:num w:numId="5">
    <w:abstractNumId w:val="70"/>
  </w:num>
  <w:num w:numId="6">
    <w:abstractNumId w:val="86"/>
  </w:num>
  <w:num w:numId="7">
    <w:abstractNumId w:val="40"/>
  </w:num>
  <w:num w:numId="8">
    <w:abstractNumId w:val="104"/>
  </w:num>
  <w:num w:numId="9">
    <w:abstractNumId w:val="24"/>
  </w:num>
  <w:num w:numId="10">
    <w:abstractNumId w:val="98"/>
  </w:num>
  <w:num w:numId="11">
    <w:abstractNumId w:val="89"/>
  </w:num>
  <w:num w:numId="12">
    <w:abstractNumId w:val="62"/>
  </w:num>
  <w:num w:numId="13">
    <w:abstractNumId w:val="74"/>
  </w:num>
  <w:num w:numId="14">
    <w:abstractNumId w:val="25"/>
  </w:num>
  <w:num w:numId="15">
    <w:abstractNumId w:val="50"/>
  </w:num>
  <w:num w:numId="16">
    <w:abstractNumId w:val="61"/>
  </w:num>
  <w:num w:numId="17">
    <w:abstractNumId w:val="29"/>
  </w:num>
  <w:num w:numId="18">
    <w:abstractNumId w:val="10"/>
  </w:num>
  <w:num w:numId="19">
    <w:abstractNumId w:val="0"/>
  </w:num>
  <w:num w:numId="20">
    <w:abstractNumId w:val="64"/>
  </w:num>
  <w:num w:numId="21">
    <w:abstractNumId w:val="6"/>
  </w:num>
  <w:num w:numId="22">
    <w:abstractNumId w:val="99"/>
  </w:num>
  <w:num w:numId="23">
    <w:abstractNumId w:val="59"/>
  </w:num>
  <w:num w:numId="24">
    <w:abstractNumId w:val="15"/>
  </w:num>
  <w:num w:numId="25">
    <w:abstractNumId w:val="96"/>
  </w:num>
  <w:num w:numId="26">
    <w:abstractNumId w:val="55"/>
  </w:num>
  <w:num w:numId="27">
    <w:abstractNumId w:val="45"/>
  </w:num>
  <w:num w:numId="28">
    <w:abstractNumId w:val="72"/>
  </w:num>
  <w:num w:numId="29">
    <w:abstractNumId w:val="88"/>
  </w:num>
  <w:num w:numId="30">
    <w:abstractNumId w:val="77"/>
  </w:num>
  <w:num w:numId="31">
    <w:abstractNumId w:val="82"/>
  </w:num>
  <w:num w:numId="32">
    <w:abstractNumId w:val="83"/>
  </w:num>
  <w:num w:numId="33">
    <w:abstractNumId w:val="22"/>
  </w:num>
  <w:num w:numId="34">
    <w:abstractNumId w:val="32"/>
  </w:num>
  <w:num w:numId="35">
    <w:abstractNumId w:val="20"/>
  </w:num>
  <w:num w:numId="36">
    <w:abstractNumId w:val="97"/>
  </w:num>
  <w:num w:numId="37">
    <w:abstractNumId w:val="34"/>
  </w:num>
  <w:num w:numId="38">
    <w:abstractNumId w:val="94"/>
  </w:num>
  <w:num w:numId="39">
    <w:abstractNumId w:val="56"/>
  </w:num>
  <w:num w:numId="40">
    <w:abstractNumId w:val="100"/>
  </w:num>
  <w:num w:numId="41">
    <w:abstractNumId w:val="26"/>
  </w:num>
  <w:num w:numId="42">
    <w:abstractNumId w:val="92"/>
  </w:num>
  <w:num w:numId="43">
    <w:abstractNumId w:val="1"/>
  </w:num>
  <w:num w:numId="44">
    <w:abstractNumId w:val="68"/>
  </w:num>
  <w:num w:numId="45">
    <w:abstractNumId w:val="60"/>
  </w:num>
  <w:num w:numId="46">
    <w:abstractNumId w:val="87"/>
  </w:num>
  <w:num w:numId="47">
    <w:abstractNumId w:val="52"/>
  </w:num>
  <w:num w:numId="48">
    <w:abstractNumId w:val="12"/>
  </w:num>
  <w:num w:numId="49">
    <w:abstractNumId w:val="31"/>
  </w:num>
  <w:num w:numId="50">
    <w:abstractNumId w:val="58"/>
  </w:num>
  <w:num w:numId="51">
    <w:abstractNumId w:val="19"/>
  </w:num>
  <w:num w:numId="52">
    <w:abstractNumId w:val="11"/>
  </w:num>
  <w:num w:numId="53">
    <w:abstractNumId w:val="57"/>
  </w:num>
  <w:num w:numId="54">
    <w:abstractNumId w:val="105"/>
  </w:num>
  <w:num w:numId="55">
    <w:abstractNumId w:val="102"/>
  </w:num>
  <w:num w:numId="56">
    <w:abstractNumId w:val="51"/>
  </w:num>
  <w:num w:numId="57">
    <w:abstractNumId w:val="33"/>
  </w:num>
  <w:num w:numId="58">
    <w:abstractNumId w:val="9"/>
  </w:num>
  <w:num w:numId="59">
    <w:abstractNumId w:val="79"/>
  </w:num>
  <w:num w:numId="60">
    <w:abstractNumId w:val="67"/>
  </w:num>
  <w:num w:numId="61">
    <w:abstractNumId w:val="39"/>
  </w:num>
  <w:num w:numId="62">
    <w:abstractNumId w:val="28"/>
  </w:num>
  <w:num w:numId="63">
    <w:abstractNumId w:val="101"/>
  </w:num>
  <w:num w:numId="64">
    <w:abstractNumId w:val="14"/>
  </w:num>
  <w:num w:numId="65">
    <w:abstractNumId w:val="2"/>
  </w:num>
  <w:num w:numId="66">
    <w:abstractNumId w:val="63"/>
  </w:num>
  <w:num w:numId="67">
    <w:abstractNumId w:val="21"/>
  </w:num>
  <w:num w:numId="68">
    <w:abstractNumId w:val="48"/>
  </w:num>
  <w:num w:numId="69">
    <w:abstractNumId w:val="37"/>
    <w:lvlOverride w:ilvl="0">
      <w:startOverride w:val="1"/>
    </w:lvlOverride>
  </w:num>
  <w:num w:numId="70">
    <w:abstractNumId w:val="93"/>
  </w:num>
  <w:num w:numId="71">
    <w:abstractNumId w:val="91"/>
  </w:num>
  <w:num w:numId="72">
    <w:abstractNumId w:val="80"/>
  </w:num>
  <w:num w:numId="73">
    <w:abstractNumId w:val="18"/>
  </w:num>
  <w:num w:numId="74">
    <w:abstractNumId w:val="46"/>
  </w:num>
  <w:num w:numId="75">
    <w:abstractNumId w:val="49"/>
  </w:num>
  <w:num w:numId="76">
    <w:abstractNumId w:val="3"/>
  </w:num>
  <w:num w:numId="77">
    <w:abstractNumId w:val="54"/>
  </w:num>
  <w:num w:numId="78">
    <w:abstractNumId w:val="5"/>
  </w:num>
  <w:num w:numId="79">
    <w:abstractNumId w:val="53"/>
  </w:num>
  <w:num w:numId="80">
    <w:abstractNumId w:val="42"/>
  </w:num>
  <w:num w:numId="81">
    <w:abstractNumId w:val="17"/>
  </w:num>
  <w:num w:numId="82">
    <w:abstractNumId w:val="78"/>
  </w:num>
  <w:num w:numId="83">
    <w:abstractNumId w:val="84"/>
  </w:num>
  <w:num w:numId="84">
    <w:abstractNumId w:val="30"/>
  </w:num>
  <w:num w:numId="85">
    <w:abstractNumId w:val="90"/>
  </w:num>
  <w:num w:numId="86">
    <w:abstractNumId w:val="44"/>
  </w:num>
  <w:num w:numId="87">
    <w:abstractNumId w:val="71"/>
  </w:num>
  <w:num w:numId="88">
    <w:abstractNumId w:val="43"/>
  </w:num>
  <w:num w:numId="89">
    <w:abstractNumId w:val="4"/>
  </w:num>
  <w:num w:numId="90">
    <w:abstractNumId w:val="23"/>
  </w:num>
  <w:num w:numId="91">
    <w:abstractNumId w:val="36"/>
  </w:num>
  <w:num w:numId="92">
    <w:abstractNumId w:val="66"/>
  </w:num>
  <w:num w:numId="93">
    <w:abstractNumId w:val="95"/>
  </w:num>
  <w:num w:numId="94">
    <w:abstractNumId w:val="65"/>
  </w:num>
  <w:num w:numId="95">
    <w:abstractNumId w:val="27"/>
  </w:num>
  <w:num w:numId="96">
    <w:abstractNumId w:val="81"/>
  </w:num>
  <w:num w:numId="97">
    <w:abstractNumId w:val="85"/>
  </w:num>
  <w:num w:numId="98">
    <w:abstractNumId w:val="38"/>
  </w:num>
  <w:num w:numId="99">
    <w:abstractNumId w:val="103"/>
  </w:num>
  <w:num w:numId="100">
    <w:abstractNumId w:val="41"/>
  </w:num>
  <w:num w:numId="101">
    <w:abstractNumId w:val="75"/>
  </w:num>
  <w:num w:numId="102">
    <w:abstractNumId w:val="8"/>
  </w:num>
  <w:num w:numId="103">
    <w:abstractNumId w:val="73"/>
  </w:num>
  <w:num w:numId="104">
    <w:abstractNumId w:val="13"/>
  </w:num>
  <w:num w:numId="105">
    <w:abstractNumId w:val="7"/>
  </w:num>
  <w:num w:numId="106">
    <w:abstractNumId w:val="35"/>
  </w:num>
  <w:num w:numId="107">
    <w:abstractNumId w:val="69"/>
  </w:num>
  <w:num w:numId="108">
    <w:abstractNumId w:val="76"/>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hmed Hassan">
    <w15:presenceInfo w15:providerId="Windows Live" w15:userId="3c479cea8a525b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24D"/>
    <w:rsid w:val="00002CBE"/>
    <w:rsid w:val="00003232"/>
    <w:rsid w:val="000033DA"/>
    <w:rsid w:val="00004AF1"/>
    <w:rsid w:val="0000579F"/>
    <w:rsid w:val="000074D1"/>
    <w:rsid w:val="000076BD"/>
    <w:rsid w:val="00010481"/>
    <w:rsid w:val="00010671"/>
    <w:rsid w:val="000114E2"/>
    <w:rsid w:val="00012028"/>
    <w:rsid w:val="00013347"/>
    <w:rsid w:val="00013D73"/>
    <w:rsid w:val="000142E1"/>
    <w:rsid w:val="000146BD"/>
    <w:rsid w:val="00014B68"/>
    <w:rsid w:val="0001645D"/>
    <w:rsid w:val="00017A43"/>
    <w:rsid w:val="00020400"/>
    <w:rsid w:val="0002157B"/>
    <w:rsid w:val="00023101"/>
    <w:rsid w:val="00024074"/>
    <w:rsid w:val="0002407C"/>
    <w:rsid w:val="000243FB"/>
    <w:rsid w:val="0002476F"/>
    <w:rsid w:val="00024E17"/>
    <w:rsid w:val="000258DB"/>
    <w:rsid w:val="000259E5"/>
    <w:rsid w:val="00031B2C"/>
    <w:rsid w:val="00033D2C"/>
    <w:rsid w:val="00035CE8"/>
    <w:rsid w:val="00036041"/>
    <w:rsid w:val="00037B8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232E"/>
    <w:rsid w:val="00053836"/>
    <w:rsid w:val="00054659"/>
    <w:rsid w:val="00055FA2"/>
    <w:rsid w:val="000571DD"/>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4CB"/>
    <w:rsid w:val="00076901"/>
    <w:rsid w:val="0008237C"/>
    <w:rsid w:val="00082BC9"/>
    <w:rsid w:val="000833C3"/>
    <w:rsid w:val="0008421F"/>
    <w:rsid w:val="0008451C"/>
    <w:rsid w:val="00085A0B"/>
    <w:rsid w:val="000863B7"/>
    <w:rsid w:val="00087144"/>
    <w:rsid w:val="00087820"/>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A7CF7"/>
    <w:rsid w:val="000B0BB4"/>
    <w:rsid w:val="000B1045"/>
    <w:rsid w:val="000B1BAE"/>
    <w:rsid w:val="000B29B3"/>
    <w:rsid w:val="000B3889"/>
    <w:rsid w:val="000B3B3B"/>
    <w:rsid w:val="000B42E7"/>
    <w:rsid w:val="000B70B7"/>
    <w:rsid w:val="000B73E6"/>
    <w:rsid w:val="000B74B5"/>
    <w:rsid w:val="000B7759"/>
    <w:rsid w:val="000C111E"/>
    <w:rsid w:val="000C1E3C"/>
    <w:rsid w:val="000C1FB4"/>
    <w:rsid w:val="000C2A3E"/>
    <w:rsid w:val="000C2CE8"/>
    <w:rsid w:val="000C335E"/>
    <w:rsid w:val="000C34B5"/>
    <w:rsid w:val="000C4432"/>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15F"/>
    <w:rsid w:val="000D5FB7"/>
    <w:rsid w:val="000E06A5"/>
    <w:rsid w:val="000E16EB"/>
    <w:rsid w:val="000E3699"/>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05D1E"/>
    <w:rsid w:val="00106E11"/>
    <w:rsid w:val="00110107"/>
    <w:rsid w:val="001104B1"/>
    <w:rsid w:val="00110531"/>
    <w:rsid w:val="00110794"/>
    <w:rsid w:val="00112524"/>
    <w:rsid w:val="00113769"/>
    <w:rsid w:val="00114141"/>
    <w:rsid w:val="00114827"/>
    <w:rsid w:val="00115266"/>
    <w:rsid w:val="001154FB"/>
    <w:rsid w:val="00115B51"/>
    <w:rsid w:val="001171EF"/>
    <w:rsid w:val="001173C5"/>
    <w:rsid w:val="00121092"/>
    <w:rsid w:val="00121288"/>
    <w:rsid w:val="00121AA0"/>
    <w:rsid w:val="00121B5F"/>
    <w:rsid w:val="00121FE6"/>
    <w:rsid w:val="00123F16"/>
    <w:rsid w:val="0012405D"/>
    <w:rsid w:val="001252B1"/>
    <w:rsid w:val="00126897"/>
    <w:rsid w:val="0012696D"/>
    <w:rsid w:val="00130FC9"/>
    <w:rsid w:val="001310EE"/>
    <w:rsid w:val="0013191A"/>
    <w:rsid w:val="00131E8F"/>
    <w:rsid w:val="001344B7"/>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4DF"/>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3A13"/>
    <w:rsid w:val="00193AC8"/>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0B9A"/>
    <w:rsid w:val="001D141D"/>
    <w:rsid w:val="001D1EBD"/>
    <w:rsid w:val="001D2184"/>
    <w:rsid w:val="001D24F3"/>
    <w:rsid w:val="001D2678"/>
    <w:rsid w:val="001D2DC4"/>
    <w:rsid w:val="001D6A48"/>
    <w:rsid w:val="001E0C01"/>
    <w:rsid w:val="001E0FE4"/>
    <w:rsid w:val="001E1043"/>
    <w:rsid w:val="001E10E1"/>
    <w:rsid w:val="001E175F"/>
    <w:rsid w:val="001E19F7"/>
    <w:rsid w:val="001E2669"/>
    <w:rsid w:val="001E3FB9"/>
    <w:rsid w:val="001E4083"/>
    <w:rsid w:val="001E5588"/>
    <w:rsid w:val="001E56CB"/>
    <w:rsid w:val="001E56FC"/>
    <w:rsid w:val="001E582D"/>
    <w:rsid w:val="001E6318"/>
    <w:rsid w:val="001E72F7"/>
    <w:rsid w:val="001F0AD5"/>
    <w:rsid w:val="001F0C0A"/>
    <w:rsid w:val="001F1509"/>
    <w:rsid w:val="001F18E7"/>
    <w:rsid w:val="001F3A75"/>
    <w:rsid w:val="001F3A9D"/>
    <w:rsid w:val="001F3C92"/>
    <w:rsid w:val="001F3FDB"/>
    <w:rsid w:val="001F6545"/>
    <w:rsid w:val="001F66B5"/>
    <w:rsid w:val="001F6E3B"/>
    <w:rsid w:val="001F6EA1"/>
    <w:rsid w:val="001F6F36"/>
    <w:rsid w:val="001F76FD"/>
    <w:rsid w:val="002004C0"/>
    <w:rsid w:val="002012F2"/>
    <w:rsid w:val="002014D7"/>
    <w:rsid w:val="00202F07"/>
    <w:rsid w:val="00203030"/>
    <w:rsid w:val="002033D3"/>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57704"/>
    <w:rsid w:val="0026071A"/>
    <w:rsid w:val="00261B27"/>
    <w:rsid w:val="00262B5A"/>
    <w:rsid w:val="00263723"/>
    <w:rsid w:val="0026520E"/>
    <w:rsid w:val="00266486"/>
    <w:rsid w:val="00266B0A"/>
    <w:rsid w:val="00266C61"/>
    <w:rsid w:val="0026749A"/>
    <w:rsid w:val="0027026F"/>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6B93"/>
    <w:rsid w:val="002772A5"/>
    <w:rsid w:val="002806F8"/>
    <w:rsid w:val="00280D1A"/>
    <w:rsid w:val="002810B5"/>
    <w:rsid w:val="00281F4F"/>
    <w:rsid w:val="00283C6D"/>
    <w:rsid w:val="00286744"/>
    <w:rsid w:val="002909B9"/>
    <w:rsid w:val="002920A9"/>
    <w:rsid w:val="00292CEE"/>
    <w:rsid w:val="00292D22"/>
    <w:rsid w:val="0029470D"/>
    <w:rsid w:val="00297B80"/>
    <w:rsid w:val="002A076C"/>
    <w:rsid w:val="002A1059"/>
    <w:rsid w:val="002A3C9D"/>
    <w:rsid w:val="002A5403"/>
    <w:rsid w:val="002A6C9F"/>
    <w:rsid w:val="002A77F3"/>
    <w:rsid w:val="002B0DFD"/>
    <w:rsid w:val="002B14F0"/>
    <w:rsid w:val="002B1F0F"/>
    <w:rsid w:val="002B53D3"/>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6CB"/>
    <w:rsid w:val="002D4807"/>
    <w:rsid w:val="002D5DDC"/>
    <w:rsid w:val="002D5F16"/>
    <w:rsid w:val="002D62F1"/>
    <w:rsid w:val="002D6FD8"/>
    <w:rsid w:val="002D727B"/>
    <w:rsid w:val="002D7EAD"/>
    <w:rsid w:val="002E1169"/>
    <w:rsid w:val="002E1218"/>
    <w:rsid w:val="002E28F3"/>
    <w:rsid w:val="002E5A89"/>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29E7"/>
    <w:rsid w:val="00303E3A"/>
    <w:rsid w:val="00305417"/>
    <w:rsid w:val="00306127"/>
    <w:rsid w:val="0030641B"/>
    <w:rsid w:val="003067C8"/>
    <w:rsid w:val="00311453"/>
    <w:rsid w:val="003114C9"/>
    <w:rsid w:val="0031229D"/>
    <w:rsid w:val="0031289D"/>
    <w:rsid w:val="00314E12"/>
    <w:rsid w:val="003166A5"/>
    <w:rsid w:val="00316C8C"/>
    <w:rsid w:val="003174C2"/>
    <w:rsid w:val="00317CE4"/>
    <w:rsid w:val="00320DF4"/>
    <w:rsid w:val="003219A9"/>
    <w:rsid w:val="00321B00"/>
    <w:rsid w:val="00321C54"/>
    <w:rsid w:val="00321DCD"/>
    <w:rsid w:val="0032261F"/>
    <w:rsid w:val="003237A2"/>
    <w:rsid w:val="00324729"/>
    <w:rsid w:val="00325A68"/>
    <w:rsid w:val="00325C8B"/>
    <w:rsid w:val="00327011"/>
    <w:rsid w:val="0032740C"/>
    <w:rsid w:val="00331292"/>
    <w:rsid w:val="00332BC9"/>
    <w:rsid w:val="00334127"/>
    <w:rsid w:val="003343C1"/>
    <w:rsid w:val="00335CA6"/>
    <w:rsid w:val="003365F0"/>
    <w:rsid w:val="00336C50"/>
    <w:rsid w:val="00337388"/>
    <w:rsid w:val="0034007D"/>
    <w:rsid w:val="0034295A"/>
    <w:rsid w:val="003433E5"/>
    <w:rsid w:val="00344082"/>
    <w:rsid w:val="0034582C"/>
    <w:rsid w:val="00345916"/>
    <w:rsid w:val="00345CAC"/>
    <w:rsid w:val="0034789E"/>
    <w:rsid w:val="003501DA"/>
    <w:rsid w:val="003503E2"/>
    <w:rsid w:val="00350E6E"/>
    <w:rsid w:val="00351DC1"/>
    <w:rsid w:val="003534EE"/>
    <w:rsid w:val="00355AE9"/>
    <w:rsid w:val="003600A2"/>
    <w:rsid w:val="003612D8"/>
    <w:rsid w:val="003637B6"/>
    <w:rsid w:val="00363F89"/>
    <w:rsid w:val="00363FB0"/>
    <w:rsid w:val="003646D6"/>
    <w:rsid w:val="00364FC6"/>
    <w:rsid w:val="0036541D"/>
    <w:rsid w:val="00370504"/>
    <w:rsid w:val="00371814"/>
    <w:rsid w:val="00371FBB"/>
    <w:rsid w:val="00372BAE"/>
    <w:rsid w:val="00372EE9"/>
    <w:rsid w:val="00373F07"/>
    <w:rsid w:val="00374A60"/>
    <w:rsid w:val="00375181"/>
    <w:rsid w:val="003764C0"/>
    <w:rsid w:val="003767A4"/>
    <w:rsid w:val="003774F6"/>
    <w:rsid w:val="00380C1F"/>
    <w:rsid w:val="003818B3"/>
    <w:rsid w:val="0038356A"/>
    <w:rsid w:val="0038382F"/>
    <w:rsid w:val="0038443F"/>
    <w:rsid w:val="00385427"/>
    <w:rsid w:val="00387542"/>
    <w:rsid w:val="00387C6B"/>
    <w:rsid w:val="00390415"/>
    <w:rsid w:val="00390FC0"/>
    <w:rsid w:val="003911B2"/>
    <w:rsid w:val="00391AFE"/>
    <w:rsid w:val="00392705"/>
    <w:rsid w:val="00393A79"/>
    <w:rsid w:val="0039419C"/>
    <w:rsid w:val="00395987"/>
    <w:rsid w:val="00396375"/>
    <w:rsid w:val="00396801"/>
    <w:rsid w:val="00396976"/>
    <w:rsid w:val="00396E82"/>
    <w:rsid w:val="003A07FF"/>
    <w:rsid w:val="003A146E"/>
    <w:rsid w:val="003A26CD"/>
    <w:rsid w:val="003A37F7"/>
    <w:rsid w:val="003A54E9"/>
    <w:rsid w:val="003A5E7C"/>
    <w:rsid w:val="003A74C2"/>
    <w:rsid w:val="003A78C7"/>
    <w:rsid w:val="003A7E9A"/>
    <w:rsid w:val="003B15FE"/>
    <w:rsid w:val="003B1C41"/>
    <w:rsid w:val="003B46AD"/>
    <w:rsid w:val="003B5C96"/>
    <w:rsid w:val="003B65FB"/>
    <w:rsid w:val="003B6A26"/>
    <w:rsid w:val="003C0533"/>
    <w:rsid w:val="003C218D"/>
    <w:rsid w:val="003C3D89"/>
    <w:rsid w:val="003C3EE2"/>
    <w:rsid w:val="003C4224"/>
    <w:rsid w:val="003C426D"/>
    <w:rsid w:val="003C4619"/>
    <w:rsid w:val="003C4877"/>
    <w:rsid w:val="003C4B42"/>
    <w:rsid w:val="003C4E91"/>
    <w:rsid w:val="003C6D76"/>
    <w:rsid w:val="003C72F6"/>
    <w:rsid w:val="003D073C"/>
    <w:rsid w:val="003D0791"/>
    <w:rsid w:val="003D1130"/>
    <w:rsid w:val="003D16F1"/>
    <w:rsid w:val="003D37D4"/>
    <w:rsid w:val="003D47A7"/>
    <w:rsid w:val="003D56B5"/>
    <w:rsid w:val="003D5DCC"/>
    <w:rsid w:val="003D6B84"/>
    <w:rsid w:val="003E1A49"/>
    <w:rsid w:val="003E2D01"/>
    <w:rsid w:val="003E330E"/>
    <w:rsid w:val="003E33F1"/>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2057"/>
    <w:rsid w:val="004126C1"/>
    <w:rsid w:val="00412E79"/>
    <w:rsid w:val="00413BA5"/>
    <w:rsid w:val="00414FD0"/>
    <w:rsid w:val="00415FB2"/>
    <w:rsid w:val="00417E93"/>
    <w:rsid w:val="00422A2A"/>
    <w:rsid w:val="00424BB4"/>
    <w:rsid w:val="004258CD"/>
    <w:rsid w:val="004261D2"/>
    <w:rsid w:val="00427177"/>
    <w:rsid w:val="00427290"/>
    <w:rsid w:val="0042788D"/>
    <w:rsid w:val="00427D3D"/>
    <w:rsid w:val="004303D1"/>
    <w:rsid w:val="00430DD7"/>
    <w:rsid w:val="004315BB"/>
    <w:rsid w:val="00433C0A"/>
    <w:rsid w:val="00433C67"/>
    <w:rsid w:val="00433C78"/>
    <w:rsid w:val="00433F0A"/>
    <w:rsid w:val="004349FA"/>
    <w:rsid w:val="004406BD"/>
    <w:rsid w:val="00441176"/>
    <w:rsid w:val="00442FBE"/>
    <w:rsid w:val="004433B1"/>
    <w:rsid w:val="00443571"/>
    <w:rsid w:val="004444E3"/>
    <w:rsid w:val="004447FD"/>
    <w:rsid w:val="00445032"/>
    <w:rsid w:val="004450CB"/>
    <w:rsid w:val="00446967"/>
    <w:rsid w:val="00446AB6"/>
    <w:rsid w:val="0044787A"/>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678DC"/>
    <w:rsid w:val="00472043"/>
    <w:rsid w:val="00472F56"/>
    <w:rsid w:val="0047335E"/>
    <w:rsid w:val="004733FC"/>
    <w:rsid w:val="00473CA1"/>
    <w:rsid w:val="0047572C"/>
    <w:rsid w:val="00476407"/>
    <w:rsid w:val="004773F7"/>
    <w:rsid w:val="00481F5F"/>
    <w:rsid w:val="004821D0"/>
    <w:rsid w:val="00482893"/>
    <w:rsid w:val="00482CB2"/>
    <w:rsid w:val="00483D06"/>
    <w:rsid w:val="00485390"/>
    <w:rsid w:val="00485A4A"/>
    <w:rsid w:val="00485CF7"/>
    <w:rsid w:val="004862C2"/>
    <w:rsid w:val="004863F7"/>
    <w:rsid w:val="00486FFC"/>
    <w:rsid w:val="00490ED4"/>
    <w:rsid w:val="00491B91"/>
    <w:rsid w:val="00491C21"/>
    <w:rsid w:val="00491C66"/>
    <w:rsid w:val="004935D6"/>
    <w:rsid w:val="00494195"/>
    <w:rsid w:val="004945FB"/>
    <w:rsid w:val="0049618D"/>
    <w:rsid w:val="00497356"/>
    <w:rsid w:val="004A076F"/>
    <w:rsid w:val="004A1DC1"/>
    <w:rsid w:val="004A31A2"/>
    <w:rsid w:val="004A48A7"/>
    <w:rsid w:val="004A655D"/>
    <w:rsid w:val="004B01B1"/>
    <w:rsid w:val="004B08D1"/>
    <w:rsid w:val="004B10E6"/>
    <w:rsid w:val="004B198F"/>
    <w:rsid w:val="004B40B5"/>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D7137"/>
    <w:rsid w:val="004E1264"/>
    <w:rsid w:val="004E2CBC"/>
    <w:rsid w:val="004E3DD4"/>
    <w:rsid w:val="004E5C1A"/>
    <w:rsid w:val="004E6C8C"/>
    <w:rsid w:val="004E6CC7"/>
    <w:rsid w:val="004E776F"/>
    <w:rsid w:val="004F111D"/>
    <w:rsid w:val="004F1843"/>
    <w:rsid w:val="004F18A8"/>
    <w:rsid w:val="004F1EEC"/>
    <w:rsid w:val="004F24C8"/>
    <w:rsid w:val="004F30D6"/>
    <w:rsid w:val="004F34A5"/>
    <w:rsid w:val="004F40D6"/>
    <w:rsid w:val="004F52D2"/>
    <w:rsid w:val="004F6925"/>
    <w:rsid w:val="004F7B54"/>
    <w:rsid w:val="00503AE1"/>
    <w:rsid w:val="00503CA6"/>
    <w:rsid w:val="00503FAE"/>
    <w:rsid w:val="005042B9"/>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47E18"/>
    <w:rsid w:val="005533C3"/>
    <w:rsid w:val="005536E6"/>
    <w:rsid w:val="00553AC3"/>
    <w:rsid w:val="00553DBA"/>
    <w:rsid w:val="00554335"/>
    <w:rsid w:val="00555631"/>
    <w:rsid w:val="0055621D"/>
    <w:rsid w:val="00557CEF"/>
    <w:rsid w:val="005606B9"/>
    <w:rsid w:val="00560C6A"/>
    <w:rsid w:val="00560F85"/>
    <w:rsid w:val="005610A0"/>
    <w:rsid w:val="0056248F"/>
    <w:rsid w:val="00564985"/>
    <w:rsid w:val="00565379"/>
    <w:rsid w:val="005674C3"/>
    <w:rsid w:val="00567990"/>
    <w:rsid w:val="00567C4C"/>
    <w:rsid w:val="005728C8"/>
    <w:rsid w:val="005733AD"/>
    <w:rsid w:val="0057381A"/>
    <w:rsid w:val="00573ABD"/>
    <w:rsid w:val="00574A27"/>
    <w:rsid w:val="00574B91"/>
    <w:rsid w:val="00574E5C"/>
    <w:rsid w:val="005750F7"/>
    <w:rsid w:val="0057512C"/>
    <w:rsid w:val="00576319"/>
    <w:rsid w:val="0057648C"/>
    <w:rsid w:val="005766FE"/>
    <w:rsid w:val="00576AF3"/>
    <w:rsid w:val="00581FF0"/>
    <w:rsid w:val="005825FC"/>
    <w:rsid w:val="00583437"/>
    <w:rsid w:val="00583CE0"/>
    <w:rsid w:val="00584B4A"/>
    <w:rsid w:val="00584DCB"/>
    <w:rsid w:val="00585A16"/>
    <w:rsid w:val="00585B16"/>
    <w:rsid w:val="00585B98"/>
    <w:rsid w:val="005863D8"/>
    <w:rsid w:val="005865B2"/>
    <w:rsid w:val="00586812"/>
    <w:rsid w:val="00587BA7"/>
    <w:rsid w:val="00587BC2"/>
    <w:rsid w:val="005918E4"/>
    <w:rsid w:val="00591C6D"/>
    <w:rsid w:val="00591C71"/>
    <w:rsid w:val="00592392"/>
    <w:rsid w:val="00592484"/>
    <w:rsid w:val="0059283D"/>
    <w:rsid w:val="005928D3"/>
    <w:rsid w:val="00592D5D"/>
    <w:rsid w:val="005955C0"/>
    <w:rsid w:val="0059581F"/>
    <w:rsid w:val="00595B68"/>
    <w:rsid w:val="00595EAA"/>
    <w:rsid w:val="0059672B"/>
    <w:rsid w:val="005A0C60"/>
    <w:rsid w:val="005A255F"/>
    <w:rsid w:val="005A330E"/>
    <w:rsid w:val="005A5554"/>
    <w:rsid w:val="005A5651"/>
    <w:rsid w:val="005A5A84"/>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404A"/>
    <w:rsid w:val="005D5912"/>
    <w:rsid w:val="005D794C"/>
    <w:rsid w:val="005D7A9F"/>
    <w:rsid w:val="005D7AA2"/>
    <w:rsid w:val="005E2154"/>
    <w:rsid w:val="005E2FC7"/>
    <w:rsid w:val="005E368E"/>
    <w:rsid w:val="005E37B9"/>
    <w:rsid w:val="005E427F"/>
    <w:rsid w:val="005E4574"/>
    <w:rsid w:val="005E4BBE"/>
    <w:rsid w:val="005E4C97"/>
    <w:rsid w:val="005E5014"/>
    <w:rsid w:val="005E684F"/>
    <w:rsid w:val="005E77BA"/>
    <w:rsid w:val="005F0112"/>
    <w:rsid w:val="005F03E3"/>
    <w:rsid w:val="005F0829"/>
    <w:rsid w:val="005F0B26"/>
    <w:rsid w:val="005F32BE"/>
    <w:rsid w:val="005F34FB"/>
    <w:rsid w:val="005F39A0"/>
    <w:rsid w:val="005F6B68"/>
    <w:rsid w:val="005F6F2E"/>
    <w:rsid w:val="005F760A"/>
    <w:rsid w:val="005F7D85"/>
    <w:rsid w:val="00601A1F"/>
    <w:rsid w:val="00602655"/>
    <w:rsid w:val="00603B68"/>
    <w:rsid w:val="00605297"/>
    <w:rsid w:val="00605CB9"/>
    <w:rsid w:val="006065BF"/>
    <w:rsid w:val="00606CBE"/>
    <w:rsid w:val="00607C00"/>
    <w:rsid w:val="00610430"/>
    <w:rsid w:val="00611858"/>
    <w:rsid w:val="00614EB1"/>
    <w:rsid w:val="00614F67"/>
    <w:rsid w:val="00615277"/>
    <w:rsid w:val="00615519"/>
    <w:rsid w:val="00615CED"/>
    <w:rsid w:val="00615CFC"/>
    <w:rsid w:val="00617A92"/>
    <w:rsid w:val="00620BF9"/>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041"/>
    <w:rsid w:val="00667537"/>
    <w:rsid w:val="00670865"/>
    <w:rsid w:val="00671AED"/>
    <w:rsid w:val="006725B5"/>
    <w:rsid w:val="00673521"/>
    <w:rsid w:val="00673767"/>
    <w:rsid w:val="00673F39"/>
    <w:rsid w:val="00673F64"/>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1A09"/>
    <w:rsid w:val="006A20FB"/>
    <w:rsid w:val="006A339D"/>
    <w:rsid w:val="006A4462"/>
    <w:rsid w:val="006A5B59"/>
    <w:rsid w:val="006A6A14"/>
    <w:rsid w:val="006A753A"/>
    <w:rsid w:val="006A777C"/>
    <w:rsid w:val="006A7C46"/>
    <w:rsid w:val="006A7C4F"/>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3799"/>
    <w:rsid w:val="006D6E46"/>
    <w:rsid w:val="006D7FA8"/>
    <w:rsid w:val="006E24D8"/>
    <w:rsid w:val="006E4601"/>
    <w:rsid w:val="006E5B86"/>
    <w:rsid w:val="006E63FF"/>
    <w:rsid w:val="006E652D"/>
    <w:rsid w:val="006E7572"/>
    <w:rsid w:val="006F2F22"/>
    <w:rsid w:val="006F434A"/>
    <w:rsid w:val="006F7974"/>
    <w:rsid w:val="00700A60"/>
    <w:rsid w:val="00705027"/>
    <w:rsid w:val="00710494"/>
    <w:rsid w:val="007117BD"/>
    <w:rsid w:val="00715129"/>
    <w:rsid w:val="00715467"/>
    <w:rsid w:val="007154CE"/>
    <w:rsid w:val="00715B25"/>
    <w:rsid w:val="00716020"/>
    <w:rsid w:val="00720860"/>
    <w:rsid w:val="00720E84"/>
    <w:rsid w:val="00721087"/>
    <w:rsid w:val="00721530"/>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0DC1"/>
    <w:rsid w:val="00752AEC"/>
    <w:rsid w:val="00752FBA"/>
    <w:rsid w:val="00753324"/>
    <w:rsid w:val="0075458D"/>
    <w:rsid w:val="007554A9"/>
    <w:rsid w:val="007556F5"/>
    <w:rsid w:val="00757105"/>
    <w:rsid w:val="00757B82"/>
    <w:rsid w:val="0076281A"/>
    <w:rsid w:val="00762ADE"/>
    <w:rsid w:val="0076365D"/>
    <w:rsid w:val="007642DC"/>
    <w:rsid w:val="0076593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94"/>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1E0A"/>
    <w:rsid w:val="007B2800"/>
    <w:rsid w:val="007B38F7"/>
    <w:rsid w:val="007B40D4"/>
    <w:rsid w:val="007B4511"/>
    <w:rsid w:val="007B5C86"/>
    <w:rsid w:val="007B6071"/>
    <w:rsid w:val="007B6540"/>
    <w:rsid w:val="007B69A2"/>
    <w:rsid w:val="007B75FB"/>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1774"/>
    <w:rsid w:val="007F2033"/>
    <w:rsid w:val="007F342F"/>
    <w:rsid w:val="007F38D1"/>
    <w:rsid w:val="007F56BB"/>
    <w:rsid w:val="007F63CE"/>
    <w:rsid w:val="007F6EA4"/>
    <w:rsid w:val="008002A5"/>
    <w:rsid w:val="0080050E"/>
    <w:rsid w:val="00801329"/>
    <w:rsid w:val="00801424"/>
    <w:rsid w:val="00801AA4"/>
    <w:rsid w:val="00801B7E"/>
    <w:rsid w:val="008021B9"/>
    <w:rsid w:val="00806E68"/>
    <w:rsid w:val="008075C3"/>
    <w:rsid w:val="00807FC3"/>
    <w:rsid w:val="00810034"/>
    <w:rsid w:val="008114CF"/>
    <w:rsid w:val="008117CC"/>
    <w:rsid w:val="00811AB3"/>
    <w:rsid w:val="0081421D"/>
    <w:rsid w:val="00814ADB"/>
    <w:rsid w:val="00815C5D"/>
    <w:rsid w:val="0081618F"/>
    <w:rsid w:val="00816AAC"/>
    <w:rsid w:val="008174D1"/>
    <w:rsid w:val="008178B2"/>
    <w:rsid w:val="0082165E"/>
    <w:rsid w:val="00822136"/>
    <w:rsid w:val="00822AAF"/>
    <w:rsid w:val="00822F01"/>
    <w:rsid w:val="008232A6"/>
    <w:rsid w:val="00823608"/>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47E34"/>
    <w:rsid w:val="008505B8"/>
    <w:rsid w:val="00851005"/>
    <w:rsid w:val="00851ADD"/>
    <w:rsid w:val="00855CA6"/>
    <w:rsid w:val="00860323"/>
    <w:rsid w:val="00860F4F"/>
    <w:rsid w:val="008610B9"/>
    <w:rsid w:val="00862656"/>
    <w:rsid w:val="00863013"/>
    <w:rsid w:val="00863F67"/>
    <w:rsid w:val="0086483A"/>
    <w:rsid w:val="00866114"/>
    <w:rsid w:val="00866227"/>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5A8"/>
    <w:rsid w:val="00885BE2"/>
    <w:rsid w:val="008863C8"/>
    <w:rsid w:val="00886D40"/>
    <w:rsid w:val="00887A0E"/>
    <w:rsid w:val="008907F3"/>
    <w:rsid w:val="008920C2"/>
    <w:rsid w:val="00895702"/>
    <w:rsid w:val="00897495"/>
    <w:rsid w:val="00897566"/>
    <w:rsid w:val="0089757B"/>
    <w:rsid w:val="00897AB8"/>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3E79"/>
    <w:rsid w:val="008E484B"/>
    <w:rsid w:val="008E5282"/>
    <w:rsid w:val="008E5E2C"/>
    <w:rsid w:val="008E6403"/>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A0A"/>
    <w:rsid w:val="00902F06"/>
    <w:rsid w:val="009035DB"/>
    <w:rsid w:val="00904671"/>
    <w:rsid w:val="00905A7D"/>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48B"/>
    <w:rsid w:val="009728F2"/>
    <w:rsid w:val="00972BEF"/>
    <w:rsid w:val="00973BCF"/>
    <w:rsid w:val="009744BC"/>
    <w:rsid w:val="00974E60"/>
    <w:rsid w:val="00975288"/>
    <w:rsid w:val="00975896"/>
    <w:rsid w:val="00975DF1"/>
    <w:rsid w:val="00976AFE"/>
    <w:rsid w:val="009834BA"/>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7DD"/>
    <w:rsid w:val="009C13BF"/>
    <w:rsid w:val="009C2128"/>
    <w:rsid w:val="009C2943"/>
    <w:rsid w:val="009C4B2C"/>
    <w:rsid w:val="009C4CB3"/>
    <w:rsid w:val="009C4F15"/>
    <w:rsid w:val="009C511C"/>
    <w:rsid w:val="009C5416"/>
    <w:rsid w:val="009C587B"/>
    <w:rsid w:val="009C600D"/>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7F6"/>
    <w:rsid w:val="00A01925"/>
    <w:rsid w:val="00A01DEB"/>
    <w:rsid w:val="00A06D32"/>
    <w:rsid w:val="00A07545"/>
    <w:rsid w:val="00A13947"/>
    <w:rsid w:val="00A13E2B"/>
    <w:rsid w:val="00A1562A"/>
    <w:rsid w:val="00A15901"/>
    <w:rsid w:val="00A1618E"/>
    <w:rsid w:val="00A161A1"/>
    <w:rsid w:val="00A20562"/>
    <w:rsid w:val="00A20F75"/>
    <w:rsid w:val="00A212B1"/>
    <w:rsid w:val="00A22A8B"/>
    <w:rsid w:val="00A2672B"/>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6CDE"/>
    <w:rsid w:val="00A671FC"/>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400"/>
    <w:rsid w:val="00A877BD"/>
    <w:rsid w:val="00A8786B"/>
    <w:rsid w:val="00A903F1"/>
    <w:rsid w:val="00A905CC"/>
    <w:rsid w:val="00A90974"/>
    <w:rsid w:val="00A9197E"/>
    <w:rsid w:val="00A92065"/>
    <w:rsid w:val="00A92184"/>
    <w:rsid w:val="00A9334F"/>
    <w:rsid w:val="00A93D6F"/>
    <w:rsid w:val="00A95974"/>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B9C"/>
    <w:rsid w:val="00AD0D5F"/>
    <w:rsid w:val="00AD34CF"/>
    <w:rsid w:val="00AD36C8"/>
    <w:rsid w:val="00AD37C9"/>
    <w:rsid w:val="00AD47D3"/>
    <w:rsid w:val="00AD652F"/>
    <w:rsid w:val="00AD7D05"/>
    <w:rsid w:val="00AE01F6"/>
    <w:rsid w:val="00AE137A"/>
    <w:rsid w:val="00AE16F0"/>
    <w:rsid w:val="00AE473C"/>
    <w:rsid w:val="00AE55E7"/>
    <w:rsid w:val="00AE6363"/>
    <w:rsid w:val="00AE6CD6"/>
    <w:rsid w:val="00AE7348"/>
    <w:rsid w:val="00AE7394"/>
    <w:rsid w:val="00AE7CD2"/>
    <w:rsid w:val="00AF0B77"/>
    <w:rsid w:val="00AF10B9"/>
    <w:rsid w:val="00AF138B"/>
    <w:rsid w:val="00AF160F"/>
    <w:rsid w:val="00AF1919"/>
    <w:rsid w:val="00AF1B7B"/>
    <w:rsid w:val="00AF3291"/>
    <w:rsid w:val="00AF395E"/>
    <w:rsid w:val="00AF4D6A"/>
    <w:rsid w:val="00AF5C3D"/>
    <w:rsid w:val="00AF5D2C"/>
    <w:rsid w:val="00AF5D6E"/>
    <w:rsid w:val="00AF6318"/>
    <w:rsid w:val="00AF6433"/>
    <w:rsid w:val="00B0072E"/>
    <w:rsid w:val="00B03B63"/>
    <w:rsid w:val="00B0513A"/>
    <w:rsid w:val="00B0581B"/>
    <w:rsid w:val="00B0620B"/>
    <w:rsid w:val="00B072A3"/>
    <w:rsid w:val="00B076A7"/>
    <w:rsid w:val="00B07FCD"/>
    <w:rsid w:val="00B1149C"/>
    <w:rsid w:val="00B11F60"/>
    <w:rsid w:val="00B121EF"/>
    <w:rsid w:val="00B127AA"/>
    <w:rsid w:val="00B130CB"/>
    <w:rsid w:val="00B14D9D"/>
    <w:rsid w:val="00B14EF5"/>
    <w:rsid w:val="00B16048"/>
    <w:rsid w:val="00B17489"/>
    <w:rsid w:val="00B2028C"/>
    <w:rsid w:val="00B21771"/>
    <w:rsid w:val="00B2191C"/>
    <w:rsid w:val="00B21943"/>
    <w:rsid w:val="00B21B30"/>
    <w:rsid w:val="00B21DCA"/>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77CB"/>
    <w:rsid w:val="00B507ED"/>
    <w:rsid w:val="00B508A7"/>
    <w:rsid w:val="00B52081"/>
    <w:rsid w:val="00B52695"/>
    <w:rsid w:val="00B545AF"/>
    <w:rsid w:val="00B54D74"/>
    <w:rsid w:val="00B55B09"/>
    <w:rsid w:val="00B56711"/>
    <w:rsid w:val="00B57EF2"/>
    <w:rsid w:val="00B604F3"/>
    <w:rsid w:val="00B6101C"/>
    <w:rsid w:val="00B615ED"/>
    <w:rsid w:val="00B63A9D"/>
    <w:rsid w:val="00B64888"/>
    <w:rsid w:val="00B66F63"/>
    <w:rsid w:val="00B672E3"/>
    <w:rsid w:val="00B675F9"/>
    <w:rsid w:val="00B70849"/>
    <w:rsid w:val="00B72C1C"/>
    <w:rsid w:val="00B73BB7"/>
    <w:rsid w:val="00B74277"/>
    <w:rsid w:val="00B751C3"/>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4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3820"/>
    <w:rsid w:val="00BB40DF"/>
    <w:rsid w:val="00BB4B14"/>
    <w:rsid w:val="00BB5E2C"/>
    <w:rsid w:val="00BB7D9E"/>
    <w:rsid w:val="00BC073A"/>
    <w:rsid w:val="00BC16AC"/>
    <w:rsid w:val="00BC2B7B"/>
    <w:rsid w:val="00BC3290"/>
    <w:rsid w:val="00BC3AE8"/>
    <w:rsid w:val="00BC3AF4"/>
    <w:rsid w:val="00BC43A8"/>
    <w:rsid w:val="00BC5C6D"/>
    <w:rsid w:val="00BC7120"/>
    <w:rsid w:val="00BC76A3"/>
    <w:rsid w:val="00BD00D1"/>
    <w:rsid w:val="00BD07A2"/>
    <w:rsid w:val="00BD2603"/>
    <w:rsid w:val="00BD2ABB"/>
    <w:rsid w:val="00BD308F"/>
    <w:rsid w:val="00BD3831"/>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BF5D93"/>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1D09"/>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1D0D"/>
    <w:rsid w:val="00C668DE"/>
    <w:rsid w:val="00C7044F"/>
    <w:rsid w:val="00C720F8"/>
    <w:rsid w:val="00C7294B"/>
    <w:rsid w:val="00C75139"/>
    <w:rsid w:val="00C7525C"/>
    <w:rsid w:val="00C76CF7"/>
    <w:rsid w:val="00C77AAE"/>
    <w:rsid w:val="00C83A4C"/>
    <w:rsid w:val="00C8533B"/>
    <w:rsid w:val="00C85720"/>
    <w:rsid w:val="00C858BA"/>
    <w:rsid w:val="00C86479"/>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25A"/>
    <w:rsid w:val="00CA34BA"/>
    <w:rsid w:val="00CA4503"/>
    <w:rsid w:val="00CA5A66"/>
    <w:rsid w:val="00CA796A"/>
    <w:rsid w:val="00CB2575"/>
    <w:rsid w:val="00CB3677"/>
    <w:rsid w:val="00CB368F"/>
    <w:rsid w:val="00CB4C42"/>
    <w:rsid w:val="00CB4DFA"/>
    <w:rsid w:val="00CB7BD7"/>
    <w:rsid w:val="00CC4CB6"/>
    <w:rsid w:val="00CC4DB0"/>
    <w:rsid w:val="00CC5038"/>
    <w:rsid w:val="00CC5326"/>
    <w:rsid w:val="00CC7426"/>
    <w:rsid w:val="00CC7910"/>
    <w:rsid w:val="00CD0C20"/>
    <w:rsid w:val="00CD297A"/>
    <w:rsid w:val="00CD3DB0"/>
    <w:rsid w:val="00CD4129"/>
    <w:rsid w:val="00CD5DBB"/>
    <w:rsid w:val="00CD642F"/>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6E0B"/>
    <w:rsid w:val="00CE7031"/>
    <w:rsid w:val="00CE7258"/>
    <w:rsid w:val="00CF0B9B"/>
    <w:rsid w:val="00CF0F7C"/>
    <w:rsid w:val="00CF13B8"/>
    <w:rsid w:val="00CF285E"/>
    <w:rsid w:val="00CF3739"/>
    <w:rsid w:val="00CF5597"/>
    <w:rsid w:val="00CF57B4"/>
    <w:rsid w:val="00CF5CA5"/>
    <w:rsid w:val="00CF658A"/>
    <w:rsid w:val="00CF66B6"/>
    <w:rsid w:val="00D007D6"/>
    <w:rsid w:val="00D0173D"/>
    <w:rsid w:val="00D01A9F"/>
    <w:rsid w:val="00D01CED"/>
    <w:rsid w:val="00D01E38"/>
    <w:rsid w:val="00D022B5"/>
    <w:rsid w:val="00D02C02"/>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3F8"/>
    <w:rsid w:val="00D3482C"/>
    <w:rsid w:val="00D35D35"/>
    <w:rsid w:val="00D3664C"/>
    <w:rsid w:val="00D3683A"/>
    <w:rsid w:val="00D3741B"/>
    <w:rsid w:val="00D379C5"/>
    <w:rsid w:val="00D37C36"/>
    <w:rsid w:val="00D40559"/>
    <w:rsid w:val="00D405B8"/>
    <w:rsid w:val="00D41493"/>
    <w:rsid w:val="00D41845"/>
    <w:rsid w:val="00D4200A"/>
    <w:rsid w:val="00D4267F"/>
    <w:rsid w:val="00D441E9"/>
    <w:rsid w:val="00D44425"/>
    <w:rsid w:val="00D44FC8"/>
    <w:rsid w:val="00D45D8F"/>
    <w:rsid w:val="00D50332"/>
    <w:rsid w:val="00D52B95"/>
    <w:rsid w:val="00D5362B"/>
    <w:rsid w:val="00D53A09"/>
    <w:rsid w:val="00D54AAB"/>
    <w:rsid w:val="00D552F9"/>
    <w:rsid w:val="00D553E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67DEC"/>
    <w:rsid w:val="00D70544"/>
    <w:rsid w:val="00D70D19"/>
    <w:rsid w:val="00D71463"/>
    <w:rsid w:val="00D7194A"/>
    <w:rsid w:val="00D72AE4"/>
    <w:rsid w:val="00D73026"/>
    <w:rsid w:val="00D73FA1"/>
    <w:rsid w:val="00D743C8"/>
    <w:rsid w:val="00D7469D"/>
    <w:rsid w:val="00D7550B"/>
    <w:rsid w:val="00D75EEB"/>
    <w:rsid w:val="00D75F1E"/>
    <w:rsid w:val="00D80095"/>
    <w:rsid w:val="00D80F87"/>
    <w:rsid w:val="00D812A5"/>
    <w:rsid w:val="00D81FC6"/>
    <w:rsid w:val="00D82A5C"/>
    <w:rsid w:val="00D82D11"/>
    <w:rsid w:val="00D83CD3"/>
    <w:rsid w:val="00D83E51"/>
    <w:rsid w:val="00D84719"/>
    <w:rsid w:val="00D856EA"/>
    <w:rsid w:val="00D85ACD"/>
    <w:rsid w:val="00D86460"/>
    <w:rsid w:val="00D86F42"/>
    <w:rsid w:val="00D912D5"/>
    <w:rsid w:val="00D91AAF"/>
    <w:rsid w:val="00D94564"/>
    <w:rsid w:val="00D94CDB"/>
    <w:rsid w:val="00D9536E"/>
    <w:rsid w:val="00D95EA7"/>
    <w:rsid w:val="00D97426"/>
    <w:rsid w:val="00D97568"/>
    <w:rsid w:val="00DA06B0"/>
    <w:rsid w:val="00DA29BA"/>
    <w:rsid w:val="00DA3249"/>
    <w:rsid w:val="00DA38CE"/>
    <w:rsid w:val="00DA4B01"/>
    <w:rsid w:val="00DA5322"/>
    <w:rsid w:val="00DA55AC"/>
    <w:rsid w:val="00DA5600"/>
    <w:rsid w:val="00DA5904"/>
    <w:rsid w:val="00DA608B"/>
    <w:rsid w:val="00DA7413"/>
    <w:rsid w:val="00DA7DF7"/>
    <w:rsid w:val="00DB0066"/>
    <w:rsid w:val="00DB0677"/>
    <w:rsid w:val="00DB0F9E"/>
    <w:rsid w:val="00DB1307"/>
    <w:rsid w:val="00DB1E1A"/>
    <w:rsid w:val="00DB2AF6"/>
    <w:rsid w:val="00DB364F"/>
    <w:rsid w:val="00DB39E7"/>
    <w:rsid w:val="00DB3B3E"/>
    <w:rsid w:val="00DB56F7"/>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3E16"/>
    <w:rsid w:val="00DE3FEB"/>
    <w:rsid w:val="00DE4905"/>
    <w:rsid w:val="00DE510C"/>
    <w:rsid w:val="00DE7822"/>
    <w:rsid w:val="00DF07D4"/>
    <w:rsid w:val="00DF081A"/>
    <w:rsid w:val="00DF265D"/>
    <w:rsid w:val="00DF2EB0"/>
    <w:rsid w:val="00DF31C1"/>
    <w:rsid w:val="00DF399F"/>
    <w:rsid w:val="00DF427A"/>
    <w:rsid w:val="00DF45C5"/>
    <w:rsid w:val="00DF47AF"/>
    <w:rsid w:val="00DF5846"/>
    <w:rsid w:val="00DF5A8C"/>
    <w:rsid w:val="00DF61DF"/>
    <w:rsid w:val="00DF6715"/>
    <w:rsid w:val="00DF71D8"/>
    <w:rsid w:val="00DF7342"/>
    <w:rsid w:val="00E00CCA"/>
    <w:rsid w:val="00E01623"/>
    <w:rsid w:val="00E03348"/>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35D4"/>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93D"/>
    <w:rsid w:val="00E55F3E"/>
    <w:rsid w:val="00E56392"/>
    <w:rsid w:val="00E5712F"/>
    <w:rsid w:val="00E601DA"/>
    <w:rsid w:val="00E60547"/>
    <w:rsid w:val="00E609FF"/>
    <w:rsid w:val="00E60F98"/>
    <w:rsid w:val="00E6194D"/>
    <w:rsid w:val="00E61AA8"/>
    <w:rsid w:val="00E6247F"/>
    <w:rsid w:val="00E62D9A"/>
    <w:rsid w:val="00E62E59"/>
    <w:rsid w:val="00E63E99"/>
    <w:rsid w:val="00E6454D"/>
    <w:rsid w:val="00E65301"/>
    <w:rsid w:val="00E6598A"/>
    <w:rsid w:val="00E667A7"/>
    <w:rsid w:val="00E66B4B"/>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43A"/>
    <w:rsid w:val="00E85533"/>
    <w:rsid w:val="00E86343"/>
    <w:rsid w:val="00E866CD"/>
    <w:rsid w:val="00E86E88"/>
    <w:rsid w:val="00E877ED"/>
    <w:rsid w:val="00E901FD"/>
    <w:rsid w:val="00E91390"/>
    <w:rsid w:val="00E91832"/>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408"/>
    <w:rsid w:val="00EC664F"/>
    <w:rsid w:val="00EC6749"/>
    <w:rsid w:val="00EC72F5"/>
    <w:rsid w:val="00EC7334"/>
    <w:rsid w:val="00ED1877"/>
    <w:rsid w:val="00ED247F"/>
    <w:rsid w:val="00ED27E4"/>
    <w:rsid w:val="00ED2F27"/>
    <w:rsid w:val="00ED3370"/>
    <w:rsid w:val="00ED382B"/>
    <w:rsid w:val="00ED4D96"/>
    <w:rsid w:val="00ED4EC5"/>
    <w:rsid w:val="00ED5A40"/>
    <w:rsid w:val="00ED5D24"/>
    <w:rsid w:val="00ED5F21"/>
    <w:rsid w:val="00ED602C"/>
    <w:rsid w:val="00ED62B5"/>
    <w:rsid w:val="00ED6DDB"/>
    <w:rsid w:val="00ED7985"/>
    <w:rsid w:val="00EE270D"/>
    <w:rsid w:val="00EE6989"/>
    <w:rsid w:val="00EE7604"/>
    <w:rsid w:val="00EE7912"/>
    <w:rsid w:val="00EE7915"/>
    <w:rsid w:val="00EF0465"/>
    <w:rsid w:val="00EF13C5"/>
    <w:rsid w:val="00EF16D8"/>
    <w:rsid w:val="00EF28EF"/>
    <w:rsid w:val="00EF2EB9"/>
    <w:rsid w:val="00EF3FA1"/>
    <w:rsid w:val="00EF40E7"/>
    <w:rsid w:val="00EF4529"/>
    <w:rsid w:val="00EF4EA0"/>
    <w:rsid w:val="00EF5B34"/>
    <w:rsid w:val="00EF657C"/>
    <w:rsid w:val="00EF74E8"/>
    <w:rsid w:val="00F004D1"/>
    <w:rsid w:val="00F00C0D"/>
    <w:rsid w:val="00F0128B"/>
    <w:rsid w:val="00F02663"/>
    <w:rsid w:val="00F02798"/>
    <w:rsid w:val="00F03369"/>
    <w:rsid w:val="00F04E62"/>
    <w:rsid w:val="00F050AA"/>
    <w:rsid w:val="00F05E6D"/>
    <w:rsid w:val="00F11800"/>
    <w:rsid w:val="00F11B61"/>
    <w:rsid w:val="00F135D6"/>
    <w:rsid w:val="00F13922"/>
    <w:rsid w:val="00F13DBC"/>
    <w:rsid w:val="00F15FCF"/>
    <w:rsid w:val="00F16613"/>
    <w:rsid w:val="00F20706"/>
    <w:rsid w:val="00F21496"/>
    <w:rsid w:val="00F21E77"/>
    <w:rsid w:val="00F24D27"/>
    <w:rsid w:val="00F2520C"/>
    <w:rsid w:val="00F2534E"/>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4075"/>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2FE"/>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4E4"/>
    <w:rsid w:val="00F937AF"/>
    <w:rsid w:val="00F9431D"/>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5FB"/>
    <w:rsid w:val="00FB0AB1"/>
    <w:rsid w:val="00FB2BEF"/>
    <w:rsid w:val="00FB36CA"/>
    <w:rsid w:val="00FB4501"/>
    <w:rsid w:val="00FB72AC"/>
    <w:rsid w:val="00FB7706"/>
    <w:rsid w:val="00FB7EC9"/>
    <w:rsid w:val="00FB7F82"/>
    <w:rsid w:val="00FC0DAF"/>
    <w:rsid w:val="00FC11F5"/>
    <w:rsid w:val="00FC126D"/>
    <w:rsid w:val="00FC3387"/>
    <w:rsid w:val="00FC382F"/>
    <w:rsid w:val="00FC4236"/>
    <w:rsid w:val="00FC59FA"/>
    <w:rsid w:val="00FC615D"/>
    <w:rsid w:val="00FD01CC"/>
    <w:rsid w:val="00FD08AF"/>
    <w:rsid w:val="00FD1AFA"/>
    <w:rsid w:val="00FD1E7A"/>
    <w:rsid w:val="00FD20EC"/>
    <w:rsid w:val="00FD2672"/>
    <w:rsid w:val="00FD28F4"/>
    <w:rsid w:val="00FD2CE2"/>
    <w:rsid w:val="00FD4A1E"/>
    <w:rsid w:val="00FD54F5"/>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57F6"/>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DC4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24D"/>
    <w:rPr>
      <w:rFonts w:ascii="Arial" w:hAnsi="Arial" w:cs="Arial"/>
      <w:sz w:val="22"/>
    </w:rPr>
  </w:style>
  <w:style w:type="paragraph" w:styleId="Heading1">
    <w:name w:val="heading 1"/>
    <w:basedOn w:val="Normal"/>
    <w:next w:val="NormalParaAR"/>
    <w:link w:val="Heading1Char"/>
    <w:qFormat/>
    <w:rsid w:val="00B507ED"/>
    <w:pPr>
      <w:keepNext/>
      <w:bidi/>
      <w:spacing w:before="240" w:after="240" w:line="400" w:lineRule="exact"/>
      <w:outlineLvl w:val="0"/>
    </w:pPr>
    <w:rPr>
      <w:rFonts w:ascii="Arabic Typesetting" w:hAnsi="Arabic Typesetting" w:cs="Arabic Typesetting"/>
      <w:bCs/>
      <w:sz w:val="40"/>
      <w:szCs w:val="40"/>
      <w:lang w:bidi="ar-EG"/>
    </w:rPr>
  </w:style>
  <w:style w:type="paragraph" w:styleId="Heading2">
    <w:name w:val="heading 2"/>
    <w:basedOn w:val="Normal"/>
    <w:next w:val="NormalParaAR"/>
    <w:link w:val="Heading2Char"/>
    <w:qFormat/>
    <w:rsid w:val="00350E6E"/>
    <w:pPr>
      <w:keepNext/>
      <w:bidi/>
      <w:spacing w:before="240" w:after="240" w:line="400" w:lineRule="exact"/>
      <w:outlineLvl w:val="1"/>
    </w:pPr>
    <w:rPr>
      <w:rFonts w:ascii="Arabic Typesetting" w:hAnsi="Arabic Typesetting" w:cs="Arabic Typesetting"/>
      <w:b/>
      <w:bCs/>
      <w:sz w:val="40"/>
      <w:szCs w:val="40"/>
      <w:lang w:bidi="ar-EG"/>
    </w:rPr>
  </w:style>
  <w:style w:type="paragraph" w:styleId="Heading3">
    <w:name w:val="heading 3"/>
    <w:basedOn w:val="Normal"/>
    <w:next w:val="NormalParaAR"/>
    <w:link w:val="Heading3Char"/>
    <w:qFormat/>
    <w:rsid w:val="00DB0677"/>
    <w:pPr>
      <w:keepNext/>
      <w:pageBreakBefore/>
      <w:bidi/>
      <w:spacing w:after="120"/>
      <w:ind w:left="1133" w:hanging="1133"/>
      <w:outlineLvl w:val="2"/>
    </w:pPr>
    <w:rPr>
      <w:rFonts w:ascii="Arabic Typesetting" w:eastAsia="SimSun" w:hAnsi="Arabic Typesetting" w:cs="Arabic Typesetting"/>
      <w:b/>
      <w:bCs/>
      <w:sz w:val="36"/>
      <w:szCs w:val="36"/>
      <w:lang w:val="fr-CH"/>
    </w:rPr>
  </w:style>
  <w:style w:type="paragraph" w:styleId="Heading4">
    <w:name w:val="heading 4"/>
    <w:basedOn w:val="Normal"/>
    <w:next w:val="NormalParaAR"/>
    <w:link w:val="Heading4Char"/>
    <w:qFormat/>
    <w:rsid w:val="00257704"/>
    <w:pPr>
      <w:keepNext/>
      <w:bidi/>
      <w:spacing w:before="120" w:after="240" w:line="360" w:lineRule="exact"/>
      <w:outlineLvl w:val="3"/>
    </w:pPr>
    <w:rPr>
      <w:rFonts w:ascii="Arabic Typesetting" w:eastAsia="SimSun" w:hAnsi="Arabic Typesetting" w:cs="Arabic Typesetting"/>
      <w:b/>
      <w:bCs/>
      <w:i/>
      <w:sz w:val="36"/>
      <w:szCs w:val="36"/>
      <w:lang w:bidi="ar-EG"/>
    </w:rPr>
  </w:style>
  <w:style w:type="paragraph" w:styleId="Heading5">
    <w:name w:val="heading 5"/>
    <w:basedOn w:val="Normal"/>
    <w:next w:val="Normal"/>
    <w:link w:val="Heading5Char"/>
    <w:semiHidden/>
    <w:unhideWhenUsed/>
    <w:qFormat/>
    <w:rsid w:val="00574A27"/>
    <w:pPr>
      <w:keepNext/>
      <w:keepLines/>
      <w:spacing w:before="200"/>
      <w:outlineLvl w:val="4"/>
    </w:pPr>
    <w:rPr>
      <w:rFonts w:asciiTheme="majorHAnsi" w:eastAsiaTheme="majorEastAsia" w:hAnsiTheme="majorHAnsi" w:cstheme="majorBidi"/>
      <w:color w:val="243F60" w:themeColor="accent1" w:themeShade="7F"/>
      <w:lang w:eastAsia="zh-CN"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customStyle="1" w:styleId="Heading2AR">
    <w:name w:val="Heading_2_AR"/>
    <w:basedOn w:val="Normal"/>
    <w:next w:val="NormalParaAR"/>
    <w:rsid w:val="0034295A"/>
    <w:pPr>
      <w:keepNext/>
      <w:pageBreakBefore/>
      <w:bidi/>
      <w:spacing w:after="240" w:line="360" w:lineRule="exact"/>
      <w:jc w:val="center"/>
    </w:pPr>
    <w:rPr>
      <w:rFonts w:ascii="Arabic Typesetting" w:eastAsia="SimSun" w:hAnsi="Arabic Typesetting" w:cs="Arabic Typesetting"/>
      <w:b/>
      <w:bCs/>
      <w:sz w:val="36"/>
      <w:szCs w:val="36"/>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unhideWhenUsed/>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unhideWhenUsed/>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unhideWhenUsed/>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unhideWhenUsed/>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unhideWhenUsed/>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unhideWhenUsed/>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unhideWhenUsed/>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unhideWhenUsed/>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unhideWhenUsed/>
    <w:rsid w:val="00B07FCD"/>
    <w:pPr>
      <w:ind w:left="5534"/>
    </w:pPr>
    <w:rPr>
      <w:i/>
      <w:iCs/>
    </w:rPr>
  </w:style>
  <w:style w:type="paragraph" w:customStyle="1" w:styleId="EndofDocumentAR">
    <w:name w:val="End_of_Document_AR"/>
    <w:basedOn w:val="NormalParaAR"/>
    <w:next w:val="NormalParaAR"/>
    <w:rsid w:val="00075D39"/>
    <w:pPr>
      <w:ind w:left="5534"/>
    </w:pPr>
  </w:style>
  <w:style w:type="character" w:styleId="Hyperlink">
    <w:name w:val="Hyperlink"/>
    <w:basedOn w:val="DefaultParagraphFont"/>
    <w:uiPriority w:val="99"/>
    <w:rsid w:val="003A74C2"/>
    <w:rPr>
      <w:color w:val="0000FF" w:themeColor="hyperlink"/>
      <w:u w:val="single"/>
    </w:rPr>
  </w:style>
  <w:style w:type="character" w:styleId="CommentReference">
    <w:name w:val="annotation reference"/>
    <w:basedOn w:val="DefaultParagraphFont"/>
    <w:unhideWhenUsed/>
    <w:rsid w:val="00485390"/>
    <w:rPr>
      <w:sz w:val="16"/>
      <w:szCs w:val="16"/>
    </w:rPr>
  </w:style>
  <w:style w:type="paragraph" w:styleId="CommentSubject">
    <w:name w:val="annotation subject"/>
    <w:basedOn w:val="CommentText"/>
    <w:next w:val="CommentText"/>
    <w:link w:val="CommentSubjectChar"/>
    <w:unhideWhenUsed/>
    <w:rsid w:val="00485390"/>
    <w:rPr>
      <w:b/>
      <w:bCs/>
      <w:sz w:val="20"/>
    </w:rPr>
  </w:style>
  <w:style w:type="character" w:customStyle="1" w:styleId="CommentTextChar">
    <w:name w:val="Comment Text Char"/>
    <w:basedOn w:val="DefaultParagraphFont"/>
    <w:link w:val="CommentText"/>
    <w:rsid w:val="00485390"/>
    <w:rPr>
      <w:rFonts w:ascii="Arial" w:hAnsi="Arial" w:cs="Arial"/>
      <w:sz w:val="18"/>
    </w:rPr>
  </w:style>
  <w:style w:type="character" w:customStyle="1" w:styleId="CommentSubjectChar">
    <w:name w:val="Comment Subject Char"/>
    <w:basedOn w:val="CommentTextChar"/>
    <w:link w:val="CommentSubject"/>
    <w:rsid w:val="00485390"/>
    <w:rPr>
      <w:rFonts w:ascii="Arial" w:hAnsi="Arial" w:cs="Arial"/>
      <w:b/>
      <w:bCs/>
      <w:sz w:val="18"/>
    </w:rPr>
  </w:style>
  <w:style w:type="paragraph" w:styleId="BalloonText">
    <w:name w:val="Balloon Text"/>
    <w:basedOn w:val="Normal"/>
    <w:link w:val="BalloonTextChar"/>
    <w:unhideWhenUsed/>
    <w:rsid w:val="00485390"/>
    <w:rPr>
      <w:rFonts w:ascii="Segoe UI" w:hAnsi="Segoe UI" w:cs="Segoe UI"/>
      <w:sz w:val="18"/>
      <w:szCs w:val="18"/>
    </w:rPr>
  </w:style>
  <w:style w:type="character" w:customStyle="1" w:styleId="BalloonTextChar">
    <w:name w:val="Balloon Text Char"/>
    <w:basedOn w:val="DefaultParagraphFont"/>
    <w:link w:val="BalloonText"/>
    <w:rsid w:val="00485390"/>
    <w:rPr>
      <w:rFonts w:ascii="Segoe UI" w:hAnsi="Segoe UI" w:cs="Segoe UI"/>
      <w:sz w:val="18"/>
      <w:szCs w:val="18"/>
    </w:rPr>
  </w:style>
  <w:style w:type="paragraph" w:styleId="ListParagraph">
    <w:name w:val="List Paragraph"/>
    <w:basedOn w:val="Normal"/>
    <w:uiPriority w:val="34"/>
    <w:qFormat/>
    <w:rsid w:val="00A2672B"/>
    <w:pPr>
      <w:ind w:left="720"/>
      <w:contextualSpacing/>
    </w:pPr>
  </w:style>
  <w:style w:type="character" w:customStyle="1" w:styleId="FootnoteTextChar">
    <w:name w:val="Footnote Text Char"/>
    <w:link w:val="FootnoteText"/>
    <w:locked/>
    <w:rsid w:val="00CE6E0B"/>
    <w:rPr>
      <w:rFonts w:ascii="Arabic Typesetting" w:hAnsi="Arabic Typesetting" w:cs="Arabic Typesetting"/>
      <w:sz w:val="28"/>
      <w:szCs w:val="28"/>
    </w:rPr>
  </w:style>
  <w:style w:type="numbering" w:customStyle="1" w:styleId="NoList1">
    <w:name w:val="No List1"/>
    <w:next w:val="NoList"/>
    <w:uiPriority w:val="99"/>
    <w:semiHidden/>
    <w:unhideWhenUsed/>
    <w:rsid w:val="00CE6E0B"/>
  </w:style>
  <w:style w:type="character" w:styleId="PlaceholderText">
    <w:name w:val="Placeholder Text"/>
    <w:basedOn w:val="DefaultParagraphFont"/>
    <w:uiPriority w:val="99"/>
    <w:semiHidden/>
    <w:rsid w:val="00557CEF"/>
    <w:rPr>
      <w:color w:val="808080"/>
    </w:rPr>
  </w:style>
  <w:style w:type="paragraph" w:customStyle="1" w:styleId="ONUMFS">
    <w:name w:val="ONUM FS"/>
    <w:basedOn w:val="Normal"/>
    <w:rsid w:val="00482893"/>
    <w:pPr>
      <w:numPr>
        <w:numId w:val="11"/>
      </w:numPr>
      <w:bidi/>
      <w:spacing w:after="220"/>
    </w:pPr>
    <w:rPr>
      <w:rFonts w:eastAsia="Arabic Typesetting"/>
      <w:rtl/>
      <w:lang w:eastAsia="ar-EG" w:bidi="ar-EG"/>
    </w:rPr>
  </w:style>
  <w:style w:type="paragraph" w:customStyle="1" w:styleId="ONUME">
    <w:name w:val="ONUM E"/>
    <w:basedOn w:val="Normal"/>
    <w:link w:val="ONUMEChar"/>
    <w:rsid w:val="00482893"/>
    <w:pPr>
      <w:numPr>
        <w:numId w:val="10"/>
      </w:numPr>
      <w:bidi/>
      <w:spacing w:after="220"/>
    </w:pPr>
    <w:rPr>
      <w:rFonts w:eastAsia="Arabic Typesetting"/>
      <w:rtl/>
      <w:lang w:eastAsia="ar-EG" w:bidi="ar-EG"/>
    </w:rPr>
  </w:style>
  <w:style w:type="character" w:styleId="PageNumber">
    <w:name w:val="page number"/>
    <w:basedOn w:val="DefaultParagraphFont"/>
    <w:rsid w:val="00CE6E0B"/>
  </w:style>
  <w:style w:type="paragraph" w:styleId="Revision">
    <w:name w:val="Revision"/>
    <w:hidden/>
    <w:uiPriority w:val="99"/>
    <w:semiHidden/>
    <w:rsid w:val="00CE6E0B"/>
    <w:pPr>
      <w:bidi/>
    </w:pPr>
    <w:rPr>
      <w:rFonts w:ascii="Arial" w:eastAsia="Arabic Typesetting" w:hAnsi="Arial" w:cs="Arial"/>
      <w:sz w:val="22"/>
      <w:rtl/>
      <w:lang w:eastAsia="ar-EG" w:bidi="ar-EG"/>
    </w:rPr>
  </w:style>
  <w:style w:type="character" w:customStyle="1" w:styleId="HeaderChar">
    <w:name w:val="Header Char"/>
    <w:basedOn w:val="DefaultParagraphFont"/>
    <w:link w:val="Header"/>
    <w:rsid w:val="00CE6E0B"/>
    <w:rPr>
      <w:rFonts w:ascii="Arial" w:hAnsi="Arial" w:cs="Arial"/>
      <w:sz w:val="22"/>
    </w:rPr>
  </w:style>
  <w:style w:type="table" w:customStyle="1" w:styleId="TableGrid1">
    <w:name w:val="Table Grid1"/>
    <w:basedOn w:val="TableNormal"/>
    <w:next w:val="TableGrid"/>
    <w:rsid w:val="00CE6E0B"/>
    <w:rPr>
      <w:rFonts w:ascii="Arabic Typesetting" w:eastAsia="Arabic Typesetting" w:hAnsi="Arabic Typesetting" w:cs="Arabic Typesetting"/>
      <w:lang w:eastAsia="ar-EG" w:bidi="ar-E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E6E0B"/>
    <w:pPr>
      <w:bidi/>
      <w:spacing w:before="100" w:beforeAutospacing="1" w:after="100" w:afterAutospacing="1"/>
    </w:pPr>
    <w:rPr>
      <w:rFonts w:eastAsia="Arabic Typesetting"/>
      <w:sz w:val="18"/>
      <w:szCs w:val="18"/>
      <w:rtl/>
      <w:lang w:eastAsia="ar-EG" w:bidi="ar-EG"/>
    </w:rPr>
  </w:style>
  <w:style w:type="character" w:customStyle="1" w:styleId="FooterChar">
    <w:name w:val="Footer Char"/>
    <w:basedOn w:val="DefaultParagraphFont"/>
    <w:link w:val="Footer"/>
    <w:uiPriority w:val="99"/>
    <w:rsid w:val="00CE6E0B"/>
    <w:rPr>
      <w:rFonts w:ascii="Arial" w:hAnsi="Arial" w:cs="Arial"/>
      <w:sz w:val="22"/>
    </w:rPr>
  </w:style>
  <w:style w:type="paragraph" w:customStyle="1" w:styleId="Default">
    <w:name w:val="Default"/>
    <w:rsid w:val="00CE6E0B"/>
    <w:pPr>
      <w:autoSpaceDE w:val="0"/>
      <w:autoSpaceDN w:val="0"/>
      <w:bidi/>
      <w:adjustRightInd w:val="0"/>
      <w:ind w:right="173"/>
    </w:pPr>
    <w:rPr>
      <w:rFonts w:ascii="Arial" w:eastAsia="Batang" w:hAnsi="Arial" w:cs="Arial"/>
      <w:color w:val="000000"/>
      <w:sz w:val="24"/>
      <w:szCs w:val="24"/>
      <w:rtl/>
      <w:lang w:eastAsia="ja-JP" w:bidi="ar-EG"/>
    </w:rPr>
  </w:style>
  <w:style w:type="character" w:customStyle="1" w:styleId="Heading1Char">
    <w:name w:val="Heading 1 Char"/>
    <w:basedOn w:val="DefaultParagraphFont"/>
    <w:link w:val="Heading1"/>
    <w:locked/>
    <w:rsid w:val="00BD3831"/>
    <w:rPr>
      <w:rFonts w:ascii="Arabic Typesetting" w:hAnsi="Arabic Typesetting" w:cs="Arabic Typesetting"/>
      <w:bCs/>
      <w:sz w:val="40"/>
      <w:szCs w:val="40"/>
      <w:lang w:bidi="ar-EG"/>
    </w:rPr>
  </w:style>
  <w:style w:type="character" w:customStyle="1" w:styleId="Heading2Char">
    <w:name w:val="Heading 2 Char"/>
    <w:link w:val="Heading2"/>
    <w:rsid w:val="00350E6E"/>
    <w:rPr>
      <w:rFonts w:ascii="Arabic Typesetting" w:hAnsi="Arabic Typesetting" w:cs="Arabic Typesetting"/>
      <w:b/>
      <w:bCs/>
      <w:sz w:val="40"/>
      <w:szCs w:val="40"/>
      <w:lang w:bidi="ar-EG"/>
    </w:rPr>
  </w:style>
  <w:style w:type="character" w:customStyle="1" w:styleId="Heading3Char">
    <w:name w:val="Heading 3 Char"/>
    <w:basedOn w:val="DefaultParagraphFont"/>
    <w:link w:val="Heading3"/>
    <w:locked/>
    <w:rsid w:val="00BD3831"/>
    <w:rPr>
      <w:rFonts w:ascii="Arabic Typesetting" w:eastAsia="SimSun" w:hAnsi="Arabic Typesetting" w:cs="Arabic Typesetting"/>
      <w:b/>
      <w:bCs/>
      <w:sz w:val="36"/>
      <w:szCs w:val="36"/>
      <w:lang w:val="fr-CH"/>
    </w:rPr>
  </w:style>
  <w:style w:type="character" w:customStyle="1" w:styleId="Heading4Char">
    <w:name w:val="Heading 4 Char"/>
    <w:basedOn w:val="DefaultParagraphFont"/>
    <w:link w:val="Heading4"/>
    <w:locked/>
    <w:rsid w:val="00257704"/>
    <w:rPr>
      <w:rFonts w:ascii="Arabic Typesetting" w:eastAsia="SimSun" w:hAnsi="Arabic Typesetting" w:cs="Arabic Typesetting"/>
      <w:b/>
      <w:bCs/>
      <w:i/>
      <w:sz w:val="36"/>
      <w:szCs w:val="36"/>
      <w:lang w:bidi="ar-EG"/>
    </w:rPr>
  </w:style>
  <w:style w:type="paragraph" w:styleId="TOCHeading">
    <w:name w:val="TOC Heading"/>
    <w:basedOn w:val="Heading1"/>
    <w:next w:val="Normal"/>
    <w:uiPriority w:val="39"/>
    <w:unhideWhenUsed/>
    <w:qFormat/>
    <w:rsid w:val="00350E6E"/>
    <w:pPr>
      <w:keepLines/>
      <w:bidi w:val="0"/>
      <w:spacing w:before="480" w:after="0" w:line="276" w:lineRule="auto"/>
      <w:outlineLvl w:val="9"/>
    </w:pPr>
    <w:rPr>
      <w:rFonts w:asciiTheme="majorHAnsi" w:eastAsiaTheme="majorEastAsia" w:hAnsiTheme="majorHAnsi" w:cstheme="majorBidi"/>
      <w:b/>
      <w:color w:val="365F91" w:themeColor="accent1" w:themeShade="BF"/>
      <w:sz w:val="28"/>
      <w:szCs w:val="28"/>
      <w:lang w:eastAsia="ja-JP" w:bidi="ar-SA"/>
    </w:rPr>
  </w:style>
  <w:style w:type="paragraph" w:styleId="TOC3">
    <w:name w:val="toc 3"/>
    <w:basedOn w:val="Normal"/>
    <w:next w:val="Normal"/>
    <w:autoRedefine/>
    <w:uiPriority w:val="39"/>
    <w:unhideWhenUsed/>
    <w:qFormat/>
    <w:rsid w:val="00B54D74"/>
    <w:pPr>
      <w:tabs>
        <w:tab w:val="left" w:pos="1558"/>
        <w:tab w:val="right" w:leader="dot" w:pos="9345"/>
      </w:tabs>
      <w:bidi/>
      <w:spacing w:after="100"/>
      <w:ind w:left="440"/>
    </w:pPr>
    <w:rPr>
      <w:rFonts w:ascii="Arabic Typesetting" w:hAnsi="Arabic Typesetting" w:cs="Arabic Typesetting"/>
      <w:noProof/>
      <w:sz w:val="34"/>
      <w:szCs w:val="34"/>
    </w:rPr>
  </w:style>
  <w:style w:type="paragraph" w:styleId="TOC2">
    <w:name w:val="toc 2"/>
    <w:basedOn w:val="Normal"/>
    <w:next w:val="Normal"/>
    <w:autoRedefine/>
    <w:uiPriority w:val="39"/>
    <w:unhideWhenUsed/>
    <w:qFormat/>
    <w:rsid w:val="00482893"/>
    <w:pPr>
      <w:tabs>
        <w:tab w:val="left" w:pos="850"/>
        <w:tab w:val="right" w:leader="dot" w:pos="9345"/>
      </w:tabs>
      <w:bidi/>
      <w:spacing w:after="100"/>
      <w:ind w:left="220"/>
    </w:pPr>
    <w:rPr>
      <w:rFonts w:ascii="Arabic Typesetting" w:hAnsi="Arabic Typesetting" w:cs="Arabic Typesetting"/>
      <w:b/>
      <w:bCs/>
      <w:noProof/>
      <w:sz w:val="34"/>
      <w:szCs w:val="34"/>
      <w:lang w:bidi="ar-EG"/>
    </w:rPr>
  </w:style>
  <w:style w:type="paragraph" w:customStyle="1" w:styleId="FootnoteTextAR">
    <w:name w:val="Footnote Text AR"/>
    <w:basedOn w:val="Normal"/>
    <w:rsid w:val="00975288"/>
    <w:pPr>
      <w:bidi/>
      <w:spacing w:after="60" w:line="280" w:lineRule="exact"/>
      <w:ind w:left="1021"/>
    </w:pPr>
    <w:rPr>
      <w:rFonts w:ascii="Arabic Typesetting" w:hAnsi="Arabic Typesetting" w:cs="Arabic Typesetting"/>
      <w:sz w:val="28"/>
      <w:szCs w:val="28"/>
      <w:lang w:bidi="ar-EG"/>
    </w:rPr>
  </w:style>
  <w:style w:type="table" w:customStyle="1" w:styleId="TableGrid2">
    <w:name w:val="Table Grid2"/>
    <w:basedOn w:val="TableNormal"/>
    <w:next w:val="TableGrid"/>
    <w:uiPriority w:val="59"/>
    <w:rsid w:val="00257704"/>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AR">
    <w:name w:val="Heading_3_AR"/>
    <w:basedOn w:val="Normal"/>
    <w:next w:val="NormalParaAR"/>
    <w:rsid w:val="00DF61DF"/>
    <w:pPr>
      <w:keepNext/>
      <w:pageBreakBefore/>
      <w:bidi/>
      <w:ind w:left="-1" w:firstLine="1"/>
    </w:pPr>
    <w:rPr>
      <w:rFonts w:ascii="Arabic Typesetting" w:eastAsia="SimSun" w:hAnsi="Arabic Typesetting" w:cs="Arabic Typesetting"/>
      <w:b/>
      <w:bCs/>
      <w:sz w:val="36"/>
      <w:szCs w:val="36"/>
      <w:lang w:val="fr-CH"/>
    </w:rPr>
  </w:style>
  <w:style w:type="paragraph" w:styleId="TOC4">
    <w:name w:val="toc 4"/>
    <w:basedOn w:val="Normal"/>
    <w:next w:val="Normal"/>
    <w:autoRedefine/>
    <w:uiPriority w:val="39"/>
    <w:unhideWhenUsed/>
    <w:rsid w:val="00DF61DF"/>
    <w:pPr>
      <w:tabs>
        <w:tab w:val="right" w:leader="dot" w:pos="9345"/>
      </w:tabs>
      <w:bidi/>
      <w:spacing w:after="100"/>
      <w:ind w:left="660"/>
    </w:pPr>
    <w:rPr>
      <w:rFonts w:ascii="Arabic Typesetting" w:hAnsi="Arabic Typesetting" w:cs="Arabic Typesetting"/>
      <w:i/>
      <w:iCs/>
      <w:noProof/>
      <w:sz w:val="34"/>
      <w:szCs w:val="34"/>
      <w:lang w:bidi="ar-EG"/>
    </w:rPr>
  </w:style>
  <w:style w:type="character" w:customStyle="1" w:styleId="Heading5Char">
    <w:name w:val="Heading 5 Char"/>
    <w:basedOn w:val="DefaultParagraphFont"/>
    <w:link w:val="Heading5"/>
    <w:semiHidden/>
    <w:rsid w:val="00574A27"/>
    <w:rPr>
      <w:rFonts w:asciiTheme="majorHAnsi" w:eastAsiaTheme="majorEastAsia" w:hAnsiTheme="majorHAnsi" w:cstheme="majorBidi"/>
      <w:color w:val="243F60" w:themeColor="accent1" w:themeShade="7F"/>
      <w:sz w:val="22"/>
      <w:lang w:eastAsia="zh-CN" w:bidi="ar-EG"/>
    </w:rPr>
  </w:style>
  <w:style w:type="character" w:customStyle="1" w:styleId="SalutationChar">
    <w:name w:val="Salutation Char"/>
    <w:basedOn w:val="DefaultParagraphFont"/>
    <w:link w:val="Salutation"/>
    <w:semiHidden/>
    <w:rsid w:val="00574A27"/>
    <w:rPr>
      <w:rFonts w:ascii="Arial" w:hAnsi="Arial" w:cs="Arial"/>
      <w:sz w:val="22"/>
    </w:rPr>
  </w:style>
  <w:style w:type="character" w:customStyle="1" w:styleId="SignatureChar">
    <w:name w:val="Signature Char"/>
    <w:basedOn w:val="DefaultParagraphFont"/>
    <w:link w:val="Signature"/>
    <w:semiHidden/>
    <w:rsid w:val="00574A27"/>
    <w:rPr>
      <w:rFonts w:ascii="Arial" w:hAnsi="Arial" w:cs="Arial"/>
      <w:sz w:val="22"/>
    </w:rPr>
  </w:style>
  <w:style w:type="paragraph" w:styleId="TOC1">
    <w:name w:val="toc 1"/>
    <w:basedOn w:val="Normal"/>
    <w:next w:val="Normal"/>
    <w:autoRedefine/>
    <w:uiPriority w:val="39"/>
    <w:qFormat/>
    <w:rsid w:val="00574A27"/>
    <w:pPr>
      <w:tabs>
        <w:tab w:val="left" w:pos="426"/>
        <w:tab w:val="right" w:leader="dot" w:pos="9498"/>
      </w:tabs>
      <w:spacing w:before="120" w:after="120"/>
      <w:ind w:right="-143"/>
    </w:pPr>
    <w:rPr>
      <w:rFonts w:asciiTheme="minorBidi" w:hAnsiTheme="minorBidi" w:cstheme="minorBidi"/>
      <w:b/>
      <w:bCs/>
      <w:caps/>
      <w:noProof/>
      <w:szCs w:val="22"/>
      <w:lang w:bidi="ar-EG"/>
    </w:rPr>
  </w:style>
  <w:style w:type="character" w:customStyle="1" w:styleId="ONUMEChar">
    <w:name w:val="ONUM E Char"/>
    <w:link w:val="ONUME"/>
    <w:locked/>
    <w:rsid w:val="00574A27"/>
    <w:rPr>
      <w:rFonts w:ascii="Arial" w:eastAsia="Arabic Typesetting" w:hAnsi="Arial" w:cs="Arial"/>
      <w:sz w:val="22"/>
      <w:lang w:eastAsia="ar-EG" w:bidi="ar-EG"/>
    </w:rPr>
  </w:style>
  <w:style w:type="paragraph" w:customStyle="1" w:styleId="StyleHeading214ptAuto">
    <w:name w:val="Style Heading 2 + 14 pt Auto"/>
    <w:basedOn w:val="Heading2"/>
    <w:rsid w:val="00574A27"/>
    <w:pPr>
      <w:keepNext w:val="0"/>
      <w:widowControl w:val="0"/>
      <w:tabs>
        <w:tab w:val="num" w:pos="567"/>
      </w:tabs>
      <w:bidi w:val="0"/>
      <w:spacing w:before="0" w:after="0" w:line="300" w:lineRule="atLeast"/>
      <w:ind w:left="567" w:hanging="567"/>
      <w:jc w:val="center"/>
    </w:pPr>
    <w:rPr>
      <w:rFonts w:ascii="Arial Bold" w:hAnsi="Arial Bold" w:cs="Times New Roman"/>
      <w:b w:val="0"/>
      <w:bCs w:val="0"/>
      <w:iCs/>
      <w:sz w:val="24"/>
      <w:szCs w:val="24"/>
      <w:lang w:val="en-GB" w:eastAsia="da-DK"/>
    </w:rPr>
  </w:style>
  <w:style w:type="paragraph" w:customStyle="1" w:styleId="StyleHeading3BoldNounderline">
    <w:name w:val="Style Heading 3 + Bold No underline"/>
    <w:basedOn w:val="Heading3"/>
    <w:rsid w:val="00574A27"/>
    <w:pPr>
      <w:pageBreakBefore w:val="0"/>
      <w:tabs>
        <w:tab w:val="left" w:pos="1985"/>
        <w:tab w:val="right" w:pos="9072"/>
      </w:tabs>
      <w:bidi w:val="0"/>
      <w:spacing w:after="0"/>
      <w:ind w:left="0" w:firstLine="0"/>
    </w:pPr>
    <w:rPr>
      <w:rFonts w:ascii="Arial" w:eastAsia="Times New Roman" w:hAnsi="Arial" w:cs="Arial"/>
      <w:iCs/>
      <w:sz w:val="22"/>
      <w:szCs w:val="28"/>
      <w:lang w:val="en-US" w:bidi="ar-EG"/>
    </w:rPr>
  </w:style>
  <w:style w:type="paragraph" w:customStyle="1" w:styleId="Heading">
    <w:name w:val="Heading"/>
    <w:basedOn w:val="Heading1"/>
    <w:uiPriority w:val="99"/>
    <w:rsid w:val="00574A27"/>
    <w:pPr>
      <w:keepNext w:val="0"/>
      <w:tabs>
        <w:tab w:val="left" w:pos="567"/>
      </w:tabs>
      <w:overflowPunct w:val="0"/>
      <w:autoSpaceDE w:val="0"/>
      <w:autoSpaceDN w:val="0"/>
      <w:bidi w:val="0"/>
      <w:adjustRightInd w:val="0"/>
      <w:spacing w:before="600" w:line="240" w:lineRule="auto"/>
      <w:jc w:val="center"/>
      <w:outlineLvl w:val="9"/>
    </w:pPr>
    <w:rPr>
      <w:rFonts w:ascii="Times New Roman" w:hAnsi="Times New Roman" w:cs="Times New Roman"/>
      <w:b/>
      <w:sz w:val="28"/>
      <w:szCs w:val="28"/>
      <w:lang w:val="fr-FR" w:eastAsia="zh-CN"/>
    </w:rPr>
  </w:style>
  <w:style w:type="paragraph" w:styleId="PlainText">
    <w:name w:val="Plain Text"/>
    <w:basedOn w:val="Normal"/>
    <w:link w:val="PlainTextChar"/>
    <w:uiPriority w:val="99"/>
    <w:rsid w:val="00574A27"/>
    <w:rPr>
      <w:rFonts w:ascii="Courier New" w:eastAsia="SimSun" w:hAnsi="Courier New" w:cs="Courier New"/>
      <w:color w:val="0000FF"/>
      <w:sz w:val="20"/>
      <w:lang w:eastAsia="zh-CN" w:bidi="ar-EG"/>
    </w:rPr>
  </w:style>
  <w:style w:type="character" w:customStyle="1" w:styleId="PlainTextChar">
    <w:name w:val="Plain Text Char"/>
    <w:basedOn w:val="DefaultParagraphFont"/>
    <w:link w:val="PlainText"/>
    <w:uiPriority w:val="99"/>
    <w:rsid w:val="00574A27"/>
    <w:rPr>
      <w:rFonts w:ascii="Courier New" w:eastAsia="SimSun" w:hAnsi="Courier New" w:cs="Courier New"/>
      <w:color w:val="0000FF"/>
      <w:lang w:eastAsia="zh-CN" w:bidi="ar-EG"/>
    </w:rPr>
  </w:style>
  <w:style w:type="paragraph" w:customStyle="1" w:styleId="null">
    <w:name w:val="null"/>
    <w:basedOn w:val="Normal"/>
    <w:rsid w:val="00574A27"/>
    <w:pPr>
      <w:spacing w:before="100" w:beforeAutospacing="1" w:after="100" w:afterAutospacing="1"/>
    </w:pPr>
    <w:rPr>
      <w:rFonts w:ascii="Times New Roman" w:eastAsiaTheme="minorHAnsi" w:hAnsi="Times New Roman" w:cs="Times New Roman"/>
      <w:sz w:val="24"/>
      <w:szCs w:val="24"/>
      <w:lang w:bidi="ar-EG"/>
    </w:rPr>
  </w:style>
  <w:style w:type="character" w:customStyle="1" w:styleId="null1">
    <w:name w:val="null1"/>
    <w:basedOn w:val="DefaultParagraphFont"/>
    <w:rsid w:val="00574A27"/>
  </w:style>
  <w:style w:type="character" w:customStyle="1" w:styleId="st">
    <w:name w:val="st"/>
    <w:basedOn w:val="DefaultParagraphFont"/>
    <w:rsid w:val="00574A27"/>
  </w:style>
  <w:style w:type="paragraph" w:customStyle="1" w:styleId="StyleHeading4">
    <w:name w:val="Style Heading 4"/>
    <w:basedOn w:val="Normal"/>
    <w:qFormat/>
    <w:rsid w:val="00574A27"/>
    <w:pPr>
      <w:keepNext/>
      <w:ind w:left="1843" w:hanging="1843"/>
      <w:outlineLvl w:val="2"/>
    </w:pPr>
    <w:rPr>
      <w:rFonts w:eastAsia="SimSun"/>
      <w:b/>
      <w:bCs/>
      <w:i/>
      <w:sz w:val="20"/>
      <w:szCs w:val="26"/>
      <w:lang w:eastAsia="zh-CN" w:bidi="ar-EG"/>
    </w:rPr>
  </w:style>
  <w:style w:type="paragraph" w:styleId="TOC5">
    <w:name w:val="toc 5"/>
    <w:basedOn w:val="TOC4"/>
    <w:next w:val="Normal"/>
    <w:autoRedefine/>
    <w:uiPriority w:val="39"/>
    <w:rsid w:val="00574A27"/>
    <w:pPr>
      <w:tabs>
        <w:tab w:val="clear" w:pos="9345"/>
        <w:tab w:val="left" w:pos="1985"/>
        <w:tab w:val="right" w:leader="dot" w:pos="9498"/>
      </w:tabs>
      <w:bidi w:val="0"/>
      <w:ind w:left="1985" w:hanging="1418"/>
    </w:pPr>
    <w:rPr>
      <w:rFonts w:asciiTheme="minorBidi" w:hAnsiTheme="minorBidi" w:cstheme="minorBidi"/>
      <w:sz w:val="20"/>
      <w:szCs w:val="20"/>
      <w:lang w:val="fr-FR"/>
    </w:rPr>
  </w:style>
  <w:style w:type="paragraph" w:styleId="TOC6">
    <w:name w:val="toc 6"/>
    <w:basedOn w:val="Normal"/>
    <w:next w:val="Normal"/>
    <w:autoRedefine/>
    <w:uiPriority w:val="39"/>
    <w:unhideWhenUsed/>
    <w:rsid w:val="00482893"/>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482893"/>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482893"/>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482893"/>
    <w:pPr>
      <w:spacing w:after="100" w:line="276" w:lineRule="auto"/>
      <w:ind w:left="1760"/>
    </w:pPr>
    <w:rPr>
      <w:rFonts w:asciiTheme="minorHAnsi" w:eastAsiaTheme="minorEastAsia" w:hAnsiTheme="minorHAnsi" w:cstheme="minorBidi"/>
      <w:szCs w:val="22"/>
    </w:rPr>
  </w:style>
  <w:style w:type="character" w:styleId="FollowedHyperlink">
    <w:name w:val="FollowedHyperlink"/>
    <w:basedOn w:val="DefaultParagraphFont"/>
    <w:semiHidden/>
    <w:unhideWhenUsed/>
    <w:rsid w:val="003969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24D"/>
    <w:rPr>
      <w:rFonts w:ascii="Arial" w:hAnsi="Arial" w:cs="Arial"/>
      <w:sz w:val="22"/>
    </w:rPr>
  </w:style>
  <w:style w:type="paragraph" w:styleId="Heading1">
    <w:name w:val="heading 1"/>
    <w:basedOn w:val="Normal"/>
    <w:next w:val="NormalParaAR"/>
    <w:link w:val="Heading1Char"/>
    <w:qFormat/>
    <w:rsid w:val="00B507ED"/>
    <w:pPr>
      <w:keepNext/>
      <w:bidi/>
      <w:spacing w:before="240" w:after="240" w:line="400" w:lineRule="exact"/>
      <w:outlineLvl w:val="0"/>
    </w:pPr>
    <w:rPr>
      <w:rFonts w:ascii="Arabic Typesetting" w:hAnsi="Arabic Typesetting" w:cs="Arabic Typesetting"/>
      <w:bCs/>
      <w:sz w:val="40"/>
      <w:szCs w:val="40"/>
      <w:lang w:bidi="ar-EG"/>
    </w:rPr>
  </w:style>
  <w:style w:type="paragraph" w:styleId="Heading2">
    <w:name w:val="heading 2"/>
    <w:basedOn w:val="Normal"/>
    <w:next w:val="NormalParaAR"/>
    <w:link w:val="Heading2Char"/>
    <w:qFormat/>
    <w:rsid w:val="00350E6E"/>
    <w:pPr>
      <w:keepNext/>
      <w:bidi/>
      <w:spacing w:before="240" w:after="240" w:line="400" w:lineRule="exact"/>
      <w:outlineLvl w:val="1"/>
    </w:pPr>
    <w:rPr>
      <w:rFonts w:ascii="Arabic Typesetting" w:hAnsi="Arabic Typesetting" w:cs="Arabic Typesetting"/>
      <w:b/>
      <w:bCs/>
      <w:sz w:val="40"/>
      <w:szCs w:val="40"/>
      <w:lang w:bidi="ar-EG"/>
    </w:rPr>
  </w:style>
  <w:style w:type="paragraph" w:styleId="Heading3">
    <w:name w:val="heading 3"/>
    <w:basedOn w:val="Normal"/>
    <w:next w:val="NormalParaAR"/>
    <w:link w:val="Heading3Char"/>
    <w:qFormat/>
    <w:rsid w:val="00DB0677"/>
    <w:pPr>
      <w:keepNext/>
      <w:pageBreakBefore/>
      <w:bidi/>
      <w:spacing w:after="120"/>
      <w:ind w:left="1133" w:hanging="1133"/>
      <w:outlineLvl w:val="2"/>
    </w:pPr>
    <w:rPr>
      <w:rFonts w:ascii="Arabic Typesetting" w:eastAsia="SimSun" w:hAnsi="Arabic Typesetting" w:cs="Arabic Typesetting"/>
      <w:b/>
      <w:bCs/>
      <w:sz w:val="36"/>
      <w:szCs w:val="36"/>
      <w:lang w:val="fr-CH"/>
    </w:rPr>
  </w:style>
  <w:style w:type="paragraph" w:styleId="Heading4">
    <w:name w:val="heading 4"/>
    <w:basedOn w:val="Normal"/>
    <w:next w:val="NormalParaAR"/>
    <w:link w:val="Heading4Char"/>
    <w:qFormat/>
    <w:rsid w:val="00257704"/>
    <w:pPr>
      <w:keepNext/>
      <w:bidi/>
      <w:spacing w:before="120" w:after="240" w:line="360" w:lineRule="exact"/>
      <w:outlineLvl w:val="3"/>
    </w:pPr>
    <w:rPr>
      <w:rFonts w:ascii="Arabic Typesetting" w:eastAsia="SimSun" w:hAnsi="Arabic Typesetting" w:cs="Arabic Typesetting"/>
      <w:b/>
      <w:bCs/>
      <w:i/>
      <w:sz w:val="36"/>
      <w:szCs w:val="36"/>
      <w:lang w:bidi="ar-EG"/>
    </w:rPr>
  </w:style>
  <w:style w:type="paragraph" w:styleId="Heading5">
    <w:name w:val="heading 5"/>
    <w:basedOn w:val="Normal"/>
    <w:next w:val="Normal"/>
    <w:link w:val="Heading5Char"/>
    <w:semiHidden/>
    <w:unhideWhenUsed/>
    <w:qFormat/>
    <w:rsid w:val="00574A27"/>
    <w:pPr>
      <w:keepNext/>
      <w:keepLines/>
      <w:spacing w:before="200"/>
      <w:outlineLvl w:val="4"/>
    </w:pPr>
    <w:rPr>
      <w:rFonts w:asciiTheme="majorHAnsi" w:eastAsiaTheme="majorEastAsia" w:hAnsiTheme="majorHAnsi" w:cstheme="majorBidi"/>
      <w:color w:val="243F60" w:themeColor="accent1" w:themeShade="7F"/>
      <w:lang w:eastAsia="zh-CN"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customStyle="1" w:styleId="Heading2AR">
    <w:name w:val="Heading_2_AR"/>
    <w:basedOn w:val="Normal"/>
    <w:next w:val="NormalParaAR"/>
    <w:rsid w:val="0034295A"/>
    <w:pPr>
      <w:keepNext/>
      <w:pageBreakBefore/>
      <w:bidi/>
      <w:spacing w:after="240" w:line="360" w:lineRule="exact"/>
      <w:jc w:val="center"/>
    </w:pPr>
    <w:rPr>
      <w:rFonts w:ascii="Arabic Typesetting" w:eastAsia="SimSun" w:hAnsi="Arabic Typesetting" w:cs="Arabic Typesetting"/>
      <w:b/>
      <w:bCs/>
      <w:sz w:val="36"/>
      <w:szCs w:val="36"/>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unhideWhenUsed/>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unhideWhenUsed/>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unhideWhenUsed/>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unhideWhenUsed/>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unhideWhenUsed/>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unhideWhenUsed/>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unhideWhenUsed/>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unhideWhenUsed/>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unhideWhenUsed/>
    <w:rsid w:val="00B07FCD"/>
    <w:pPr>
      <w:ind w:left="5534"/>
    </w:pPr>
    <w:rPr>
      <w:i/>
      <w:iCs/>
    </w:rPr>
  </w:style>
  <w:style w:type="paragraph" w:customStyle="1" w:styleId="EndofDocumentAR">
    <w:name w:val="End_of_Document_AR"/>
    <w:basedOn w:val="NormalParaAR"/>
    <w:next w:val="NormalParaAR"/>
    <w:rsid w:val="00075D39"/>
    <w:pPr>
      <w:ind w:left="5534"/>
    </w:pPr>
  </w:style>
  <w:style w:type="character" w:styleId="Hyperlink">
    <w:name w:val="Hyperlink"/>
    <w:basedOn w:val="DefaultParagraphFont"/>
    <w:uiPriority w:val="99"/>
    <w:rsid w:val="003A74C2"/>
    <w:rPr>
      <w:color w:val="0000FF" w:themeColor="hyperlink"/>
      <w:u w:val="single"/>
    </w:rPr>
  </w:style>
  <w:style w:type="character" w:styleId="CommentReference">
    <w:name w:val="annotation reference"/>
    <w:basedOn w:val="DefaultParagraphFont"/>
    <w:unhideWhenUsed/>
    <w:rsid w:val="00485390"/>
    <w:rPr>
      <w:sz w:val="16"/>
      <w:szCs w:val="16"/>
    </w:rPr>
  </w:style>
  <w:style w:type="paragraph" w:styleId="CommentSubject">
    <w:name w:val="annotation subject"/>
    <w:basedOn w:val="CommentText"/>
    <w:next w:val="CommentText"/>
    <w:link w:val="CommentSubjectChar"/>
    <w:unhideWhenUsed/>
    <w:rsid w:val="00485390"/>
    <w:rPr>
      <w:b/>
      <w:bCs/>
      <w:sz w:val="20"/>
    </w:rPr>
  </w:style>
  <w:style w:type="character" w:customStyle="1" w:styleId="CommentTextChar">
    <w:name w:val="Comment Text Char"/>
    <w:basedOn w:val="DefaultParagraphFont"/>
    <w:link w:val="CommentText"/>
    <w:rsid w:val="00485390"/>
    <w:rPr>
      <w:rFonts w:ascii="Arial" w:hAnsi="Arial" w:cs="Arial"/>
      <w:sz w:val="18"/>
    </w:rPr>
  </w:style>
  <w:style w:type="character" w:customStyle="1" w:styleId="CommentSubjectChar">
    <w:name w:val="Comment Subject Char"/>
    <w:basedOn w:val="CommentTextChar"/>
    <w:link w:val="CommentSubject"/>
    <w:rsid w:val="00485390"/>
    <w:rPr>
      <w:rFonts w:ascii="Arial" w:hAnsi="Arial" w:cs="Arial"/>
      <w:b/>
      <w:bCs/>
      <w:sz w:val="18"/>
    </w:rPr>
  </w:style>
  <w:style w:type="paragraph" w:styleId="BalloonText">
    <w:name w:val="Balloon Text"/>
    <w:basedOn w:val="Normal"/>
    <w:link w:val="BalloonTextChar"/>
    <w:unhideWhenUsed/>
    <w:rsid w:val="00485390"/>
    <w:rPr>
      <w:rFonts w:ascii="Segoe UI" w:hAnsi="Segoe UI" w:cs="Segoe UI"/>
      <w:sz w:val="18"/>
      <w:szCs w:val="18"/>
    </w:rPr>
  </w:style>
  <w:style w:type="character" w:customStyle="1" w:styleId="BalloonTextChar">
    <w:name w:val="Balloon Text Char"/>
    <w:basedOn w:val="DefaultParagraphFont"/>
    <w:link w:val="BalloonText"/>
    <w:rsid w:val="00485390"/>
    <w:rPr>
      <w:rFonts w:ascii="Segoe UI" w:hAnsi="Segoe UI" w:cs="Segoe UI"/>
      <w:sz w:val="18"/>
      <w:szCs w:val="18"/>
    </w:rPr>
  </w:style>
  <w:style w:type="paragraph" w:styleId="ListParagraph">
    <w:name w:val="List Paragraph"/>
    <w:basedOn w:val="Normal"/>
    <w:uiPriority w:val="34"/>
    <w:qFormat/>
    <w:rsid w:val="00A2672B"/>
    <w:pPr>
      <w:ind w:left="720"/>
      <w:contextualSpacing/>
    </w:pPr>
  </w:style>
  <w:style w:type="character" w:customStyle="1" w:styleId="FootnoteTextChar">
    <w:name w:val="Footnote Text Char"/>
    <w:link w:val="FootnoteText"/>
    <w:locked/>
    <w:rsid w:val="00CE6E0B"/>
    <w:rPr>
      <w:rFonts w:ascii="Arabic Typesetting" w:hAnsi="Arabic Typesetting" w:cs="Arabic Typesetting"/>
      <w:sz w:val="28"/>
      <w:szCs w:val="28"/>
    </w:rPr>
  </w:style>
  <w:style w:type="numbering" w:customStyle="1" w:styleId="NoList1">
    <w:name w:val="No List1"/>
    <w:next w:val="NoList"/>
    <w:uiPriority w:val="99"/>
    <w:semiHidden/>
    <w:unhideWhenUsed/>
    <w:rsid w:val="00CE6E0B"/>
  </w:style>
  <w:style w:type="character" w:styleId="PlaceholderText">
    <w:name w:val="Placeholder Text"/>
    <w:basedOn w:val="DefaultParagraphFont"/>
    <w:uiPriority w:val="99"/>
    <w:semiHidden/>
    <w:rsid w:val="00557CEF"/>
    <w:rPr>
      <w:color w:val="808080"/>
    </w:rPr>
  </w:style>
  <w:style w:type="paragraph" w:customStyle="1" w:styleId="ONUMFS">
    <w:name w:val="ONUM FS"/>
    <w:basedOn w:val="Normal"/>
    <w:rsid w:val="00482893"/>
    <w:pPr>
      <w:numPr>
        <w:numId w:val="11"/>
      </w:numPr>
      <w:bidi/>
      <w:spacing w:after="220"/>
    </w:pPr>
    <w:rPr>
      <w:rFonts w:eastAsia="Arabic Typesetting"/>
      <w:rtl/>
      <w:lang w:eastAsia="ar-EG" w:bidi="ar-EG"/>
    </w:rPr>
  </w:style>
  <w:style w:type="paragraph" w:customStyle="1" w:styleId="ONUME">
    <w:name w:val="ONUM E"/>
    <w:basedOn w:val="Normal"/>
    <w:link w:val="ONUMEChar"/>
    <w:rsid w:val="00482893"/>
    <w:pPr>
      <w:numPr>
        <w:numId w:val="10"/>
      </w:numPr>
      <w:bidi/>
      <w:spacing w:after="220"/>
    </w:pPr>
    <w:rPr>
      <w:rFonts w:eastAsia="Arabic Typesetting"/>
      <w:rtl/>
      <w:lang w:eastAsia="ar-EG" w:bidi="ar-EG"/>
    </w:rPr>
  </w:style>
  <w:style w:type="character" w:styleId="PageNumber">
    <w:name w:val="page number"/>
    <w:basedOn w:val="DefaultParagraphFont"/>
    <w:rsid w:val="00CE6E0B"/>
  </w:style>
  <w:style w:type="paragraph" w:styleId="Revision">
    <w:name w:val="Revision"/>
    <w:hidden/>
    <w:uiPriority w:val="99"/>
    <w:semiHidden/>
    <w:rsid w:val="00CE6E0B"/>
    <w:pPr>
      <w:bidi/>
    </w:pPr>
    <w:rPr>
      <w:rFonts w:ascii="Arial" w:eastAsia="Arabic Typesetting" w:hAnsi="Arial" w:cs="Arial"/>
      <w:sz w:val="22"/>
      <w:rtl/>
      <w:lang w:eastAsia="ar-EG" w:bidi="ar-EG"/>
    </w:rPr>
  </w:style>
  <w:style w:type="character" w:customStyle="1" w:styleId="HeaderChar">
    <w:name w:val="Header Char"/>
    <w:basedOn w:val="DefaultParagraphFont"/>
    <w:link w:val="Header"/>
    <w:rsid w:val="00CE6E0B"/>
    <w:rPr>
      <w:rFonts w:ascii="Arial" w:hAnsi="Arial" w:cs="Arial"/>
      <w:sz w:val="22"/>
    </w:rPr>
  </w:style>
  <w:style w:type="table" w:customStyle="1" w:styleId="TableGrid1">
    <w:name w:val="Table Grid1"/>
    <w:basedOn w:val="TableNormal"/>
    <w:next w:val="TableGrid"/>
    <w:rsid w:val="00CE6E0B"/>
    <w:rPr>
      <w:rFonts w:ascii="Arabic Typesetting" w:eastAsia="Arabic Typesetting" w:hAnsi="Arabic Typesetting" w:cs="Arabic Typesetting"/>
      <w:lang w:eastAsia="ar-EG" w:bidi="ar-E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E6E0B"/>
    <w:pPr>
      <w:bidi/>
      <w:spacing w:before="100" w:beforeAutospacing="1" w:after="100" w:afterAutospacing="1"/>
    </w:pPr>
    <w:rPr>
      <w:rFonts w:eastAsia="Arabic Typesetting"/>
      <w:sz w:val="18"/>
      <w:szCs w:val="18"/>
      <w:rtl/>
      <w:lang w:eastAsia="ar-EG" w:bidi="ar-EG"/>
    </w:rPr>
  </w:style>
  <w:style w:type="character" w:customStyle="1" w:styleId="FooterChar">
    <w:name w:val="Footer Char"/>
    <w:basedOn w:val="DefaultParagraphFont"/>
    <w:link w:val="Footer"/>
    <w:uiPriority w:val="99"/>
    <w:rsid w:val="00CE6E0B"/>
    <w:rPr>
      <w:rFonts w:ascii="Arial" w:hAnsi="Arial" w:cs="Arial"/>
      <w:sz w:val="22"/>
    </w:rPr>
  </w:style>
  <w:style w:type="paragraph" w:customStyle="1" w:styleId="Default">
    <w:name w:val="Default"/>
    <w:rsid w:val="00CE6E0B"/>
    <w:pPr>
      <w:autoSpaceDE w:val="0"/>
      <w:autoSpaceDN w:val="0"/>
      <w:bidi/>
      <w:adjustRightInd w:val="0"/>
      <w:ind w:right="173"/>
    </w:pPr>
    <w:rPr>
      <w:rFonts w:ascii="Arial" w:eastAsia="Batang" w:hAnsi="Arial" w:cs="Arial"/>
      <w:color w:val="000000"/>
      <w:sz w:val="24"/>
      <w:szCs w:val="24"/>
      <w:rtl/>
      <w:lang w:eastAsia="ja-JP" w:bidi="ar-EG"/>
    </w:rPr>
  </w:style>
  <w:style w:type="character" w:customStyle="1" w:styleId="Heading1Char">
    <w:name w:val="Heading 1 Char"/>
    <w:basedOn w:val="DefaultParagraphFont"/>
    <w:link w:val="Heading1"/>
    <w:locked/>
    <w:rsid w:val="00BD3831"/>
    <w:rPr>
      <w:rFonts w:ascii="Arabic Typesetting" w:hAnsi="Arabic Typesetting" w:cs="Arabic Typesetting"/>
      <w:bCs/>
      <w:sz w:val="40"/>
      <w:szCs w:val="40"/>
      <w:lang w:bidi="ar-EG"/>
    </w:rPr>
  </w:style>
  <w:style w:type="character" w:customStyle="1" w:styleId="Heading2Char">
    <w:name w:val="Heading 2 Char"/>
    <w:link w:val="Heading2"/>
    <w:rsid w:val="00350E6E"/>
    <w:rPr>
      <w:rFonts w:ascii="Arabic Typesetting" w:hAnsi="Arabic Typesetting" w:cs="Arabic Typesetting"/>
      <w:b/>
      <w:bCs/>
      <w:sz w:val="40"/>
      <w:szCs w:val="40"/>
      <w:lang w:bidi="ar-EG"/>
    </w:rPr>
  </w:style>
  <w:style w:type="character" w:customStyle="1" w:styleId="Heading3Char">
    <w:name w:val="Heading 3 Char"/>
    <w:basedOn w:val="DefaultParagraphFont"/>
    <w:link w:val="Heading3"/>
    <w:locked/>
    <w:rsid w:val="00BD3831"/>
    <w:rPr>
      <w:rFonts w:ascii="Arabic Typesetting" w:eastAsia="SimSun" w:hAnsi="Arabic Typesetting" w:cs="Arabic Typesetting"/>
      <w:b/>
      <w:bCs/>
      <w:sz w:val="36"/>
      <w:szCs w:val="36"/>
      <w:lang w:val="fr-CH"/>
    </w:rPr>
  </w:style>
  <w:style w:type="character" w:customStyle="1" w:styleId="Heading4Char">
    <w:name w:val="Heading 4 Char"/>
    <w:basedOn w:val="DefaultParagraphFont"/>
    <w:link w:val="Heading4"/>
    <w:locked/>
    <w:rsid w:val="00257704"/>
    <w:rPr>
      <w:rFonts w:ascii="Arabic Typesetting" w:eastAsia="SimSun" w:hAnsi="Arabic Typesetting" w:cs="Arabic Typesetting"/>
      <w:b/>
      <w:bCs/>
      <w:i/>
      <w:sz w:val="36"/>
      <w:szCs w:val="36"/>
      <w:lang w:bidi="ar-EG"/>
    </w:rPr>
  </w:style>
  <w:style w:type="paragraph" w:styleId="TOCHeading">
    <w:name w:val="TOC Heading"/>
    <w:basedOn w:val="Heading1"/>
    <w:next w:val="Normal"/>
    <w:uiPriority w:val="39"/>
    <w:unhideWhenUsed/>
    <w:qFormat/>
    <w:rsid w:val="00350E6E"/>
    <w:pPr>
      <w:keepLines/>
      <w:bidi w:val="0"/>
      <w:spacing w:before="480" w:after="0" w:line="276" w:lineRule="auto"/>
      <w:outlineLvl w:val="9"/>
    </w:pPr>
    <w:rPr>
      <w:rFonts w:asciiTheme="majorHAnsi" w:eastAsiaTheme="majorEastAsia" w:hAnsiTheme="majorHAnsi" w:cstheme="majorBidi"/>
      <w:b/>
      <w:color w:val="365F91" w:themeColor="accent1" w:themeShade="BF"/>
      <w:sz w:val="28"/>
      <w:szCs w:val="28"/>
      <w:lang w:eastAsia="ja-JP" w:bidi="ar-SA"/>
    </w:rPr>
  </w:style>
  <w:style w:type="paragraph" w:styleId="TOC3">
    <w:name w:val="toc 3"/>
    <w:basedOn w:val="Normal"/>
    <w:next w:val="Normal"/>
    <w:autoRedefine/>
    <w:uiPriority w:val="39"/>
    <w:unhideWhenUsed/>
    <w:qFormat/>
    <w:rsid w:val="00B54D74"/>
    <w:pPr>
      <w:tabs>
        <w:tab w:val="left" w:pos="1558"/>
        <w:tab w:val="right" w:leader="dot" w:pos="9345"/>
      </w:tabs>
      <w:bidi/>
      <w:spacing w:after="100"/>
      <w:ind w:left="440"/>
    </w:pPr>
    <w:rPr>
      <w:rFonts w:ascii="Arabic Typesetting" w:hAnsi="Arabic Typesetting" w:cs="Arabic Typesetting"/>
      <w:noProof/>
      <w:sz w:val="34"/>
      <w:szCs w:val="34"/>
    </w:rPr>
  </w:style>
  <w:style w:type="paragraph" w:styleId="TOC2">
    <w:name w:val="toc 2"/>
    <w:basedOn w:val="Normal"/>
    <w:next w:val="Normal"/>
    <w:autoRedefine/>
    <w:uiPriority w:val="39"/>
    <w:unhideWhenUsed/>
    <w:qFormat/>
    <w:rsid w:val="00482893"/>
    <w:pPr>
      <w:tabs>
        <w:tab w:val="left" w:pos="850"/>
        <w:tab w:val="right" w:leader="dot" w:pos="9345"/>
      </w:tabs>
      <w:bidi/>
      <w:spacing w:after="100"/>
      <w:ind w:left="220"/>
    </w:pPr>
    <w:rPr>
      <w:rFonts w:ascii="Arabic Typesetting" w:hAnsi="Arabic Typesetting" w:cs="Arabic Typesetting"/>
      <w:b/>
      <w:bCs/>
      <w:noProof/>
      <w:sz w:val="34"/>
      <w:szCs w:val="34"/>
      <w:lang w:bidi="ar-EG"/>
    </w:rPr>
  </w:style>
  <w:style w:type="paragraph" w:customStyle="1" w:styleId="FootnoteTextAR">
    <w:name w:val="Footnote Text AR"/>
    <w:basedOn w:val="Normal"/>
    <w:rsid w:val="00975288"/>
    <w:pPr>
      <w:bidi/>
      <w:spacing w:after="60" w:line="280" w:lineRule="exact"/>
      <w:ind w:left="1021"/>
    </w:pPr>
    <w:rPr>
      <w:rFonts w:ascii="Arabic Typesetting" w:hAnsi="Arabic Typesetting" w:cs="Arabic Typesetting"/>
      <w:sz w:val="28"/>
      <w:szCs w:val="28"/>
      <w:lang w:bidi="ar-EG"/>
    </w:rPr>
  </w:style>
  <w:style w:type="table" w:customStyle="1" w:styleId="TableGrid2">
    <w:name w:val="Table Grid2"/>
    <w:basedOn w:val="TableNormal"/>
    <w:next w:val="TableGrid"/>
    <w:uiPriority w:val="59"/>
    <w:rsid w:val="00257704"/>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AR">
    <w:name w:val="Heading_3_AR"/>
    <w:basedOn w:val="Normal"/>
    <w:next w:val="NormalParaAR"/>
    <w:rsid w:val="00DF61DF"/>
    <w:pPr>
      <w:keepNext/>
      <w:pageBreakBefore/>
      <w:bidi/>
      <w:ind w:left="-1" w:firstLine="1"/>
    </w:pPr>
    <w:rPr>
      <w:rFonts w:ascii="Arabic Typesetting" w:eastAsia="SimSun" w:hAnsi="Arabic Typesetting" w:cs="Arabic Typesetting"/>
      <w:b/>
      <w:bCs/>
      <w:sz w:val="36"/>
      <w:szCs w:val="36"/>
      <w:lang w:val="fr-CH"/>
    </w:rPr>
  </w:style>
  <w:style w:type="paragraph" w:styleId="TOC4">
    <w:name w:val="toc 4"/>
    <w:basedOn w:val="Normal"/>
    <w:next w:val="Normal"/>
    <w:autoRedefine/>
    <w:uiPriority w:val="39"/>
    <w:unhideWhenUsed/>
    <w:rsid w:val="00DF61DF"/>
    <w:pPr>
      <w:tabs>
        <w:tab w:val="right" w:leader="dot" w:pos="9345"/>
      </w:tabs>
      <w:bidi/>
      <w:spacing w:after="100"/>
      <w:ind w:left="660"/>
    </w:pPr>
    <w:rPr>
      <w:rFonts w:ascii="Arabic Typesetting" w:hAnsi="Arabic Typesetting" w:cs="Arabic Typesetting"/>
      <w:i/>
      <w:iCs/>
      <w:noProof/>
      <w:sz w:val="34"/>
      <w:szCs w:val="34"/>
      <w:lang w:bidi="ar-EG"/>
    </w:rPr>
  </w:style>
  <w:style w:type="character" w:customStyle="1" w:styleId="Heading5Char">
    <w:name w:val="Heading 5 Char"/>
    <w:basedOn w:val="DefaultParagraphFont"/>
    <w:link w:val="Heading5"/>
    <w:semiHidden/>
    <w:rsid w:val="00574A27"/>
    <w:rPr>
      <w:rFonts w:asciiTheme="majorHAnsi" w:eastAsiaTheme="majorEastAsia" w:hAnsiTheme="majorHAnsi" w:cstheme="majorBidi"/>
      <w:color w:val="243F60" w:themeColor="accent1" w:themeShade="7F"/>
      <w:sz w:val="22"/>
      <w:lang w:eastAsia="zh-CN" w:bidi="ar-EG"/>
    </w:rPr>
  </w:style>
  <w:style w:type="character" w:customStyle="1" w:styleId="SalutationChar">
    <w:name w:val="Salutation Char"/>
    <w:basedOn w:val="DefaultParagraphFont"/>
    <w:link w:val="Salutation"/>
    <w:semiHidden/>
    <w:rsid w:val="00574A27"/>
    <w:rPr>
      <w:rFonts w:ascii="Arial" w:hAnsi="Arial" w:cs="Arial"/>
      <w:sz w:val="22"/>
    </w:rPr>
  </w:style>
  <w:style w:type="character" w:customStyle="1" w:styleId="SignatureChar">
    <w:name w:val="Signature Char"/>
    <w:basedOn w:val="DefaultParagraphFont"/>
    <w:link w:val="Signature"/>
    <w:semiHidden/>
    <w:rsid w:val="00574A27"/>
    <w:rPr>
      <w:rFonts w:ascii="Arial" w:hAnsi="Arial" w:cs="Arial"/>
      <w:sz w:val="22"/>
    </w:rPr>
  </w:style>
  <w:style w:type="paragraph" w:styleId="TOC1">
    <w:name w:val="toc 1"/>
    <w:basedOn w:val="Normal"/>
    <w:next w:val="Normal"/>
    <w:autoRedefine/>
    <w:uiPriority w:val="39"/>
    <w:qFormat/>
    <w:rsid w:val="00574A27"/>
    <w:pPr>
      <w:tabs>
        <w:tab w:val="left" w:pos="426"/>
        <w:tab w:val="right" w:leader="dot" w:pos="9498"/>
      </w:tabs>
      <w:spacing w:before="120" w:after="120"/>
      <w:ind w:right="-143"/>
    </w:pPr>
    <w:rPr>
      <w:rFonts w:asciiTheme="minorBidi" w:hAnsiTheme="minorBidi" w:cstheme="minorBidi"/>
      <w:b/>
      <w:bCs/>
      <w:caps/>
      <w:noProof/>
      <w:szCs w:val="22"/>
      <w:lang w:bidi="ar-EG"/>
    </w:rPr>
  </w:style>
  <w:style w:type="character" w:customStyle="1" w:styleId="ONUMEChar">
    <w:name w:val="ONUM E Char"/>
    <w:link w:val="ONUME"/>
    <w:locked/>
    <w:rsid w:val="00574A27"/>
    <w:rPr>
      <w:rFonts w:ascii="Arial" w:eastAsia="Arabic Typesetting" w:hAnsi="Arial" w:cs="Arial"/>
      <w:sz w:val="22"/>
      <w:lang w:eastAsia="ar-EG" w:bidi="ar-EG"/>
    </w:rPr>
  </w:style>
  <w:style w:type="paragraph" w:customStyle="1" w:styleId="StyleHeading214ptAuto">
    <w:name w:val="Style Heading 2 + 14 pt Auto"/>
    <w:basedOn w:val="Heading2"/>
    <w:rsid w:val="00574A27"/>
    <w:pPr>
      <w:keepNext w:val="0"/>
      <w:widowControl w:val="0"/>
      <w:tabs>
        <w:tab w:val="num" w:pos="567"/>
      </w:tabs>
      <w:bidi w:val="0"/>
      <w:spacing w:before="0" w:after="0" w:line="300" w:lineRule="atLeast"/>
      <w:ind w:left="567" w:hanging="567"/>
      <w:jc w:val="center"/>
    </w:pPr>
    <w:rPr>
      <w:rFonts w:ascii="Arial Bold" w:hAnsi="Arial Bold" w:cs="Times New Roman"/>
      <w:b w:val="0"/>
      <w:bCs w:val="0"/>
      <w:iCs/>
      <w:sz w:val="24"/>
      <w:szCs w:val="24"/>
      <w:lang w:val="en-GB" w:eastAsia="da-DK"/>
    </w:rPr>
  </w:style>
  <w:style w:type="paragraph" w:customStyle="1" w:styleId="StyleHeading3BoldNounderline">
    <w:name w:val="Style Heading 3 + Bold No underline"/>
    <w:basedOn w:val="Heading3"/>
    <w:rsid w:val="00574A27"/>
    <w:pPr>
      <w:pageBreakBefore w:val="0"/>
      <w:tabs>
        <w:tab w:val="left" w:pos="1985"/>
        <w:tab w:val="right" w:pos="9072"/>
      </w:tabs>
      <w:bidi w:val="0"/>
      <w:spacing w:after="0"/>
      <w:ind w:left="0" w:firstLine="0"/>
    </w:pPr>
    <w:rPr>
      <w:rFonts w:ascii="Arial" w:eastAsia="Times New Roman" w:hAnsi="Arial" w:cs="Arial"/>
      <w:iCs/>
      <w:sz w:val="22"/>
      <w:szCs w:val="28"/>
      <w:lang w:val="en-US" w:bidi="ar-EG"/>
    </w:rPr>
  </w:style>
  <w:style w:type="paragraph" w:customStyle="1" w:styleId="Heading">
    <w:name w:val="Heading"/>
    <w:basedOn w:val="Heading1"/>
    <w:uiPriority w:val="99"/>
    <w:rsid w:val="00574A27"/>
    <w:pPr>
      <w:keepNext w:val="0"/>
      <w:tabs>
        <w:tab w:val="left" w:pos="567"/>
      </w:tabs>
      <w:overflowPunct w:val="0"/>
      <w:autoSpaceDE w:val="0"/>
      <w:autoSpaceDN w:val="0"/>
      <w:bidi w:val="0"/>
      <w:adjustRightInd w:val="0"/>
      <w:spacing w:before="600" w:line="240" w:lineRule="auto"/>
      <w:jc w:val="center"/>
      <w:outlineLvl w:val="9"/>
    </w:pPr>
    <w:rPr>
      <w:rFonts w:ascii="Times New Roman" w:hAnsi="Times New Roman" w:cs="Times New Roman"/>
      <w:b/>
      <w:sz w:val="28"/>
      <w:szCs w:val="28"/>
      <w:lang w:val="fr-FR" w:eastAsia="zh-CN"/>
    </w:rPr>
  </w:style>
  <w:style w:type="paragraph" w:styleId="PlainText">
    <w:name w:val="Plain Text"/>
    <w:basedOn w:val="Normal"/>
    <w:link w:val="PlainTextChar"/>
    <w:uiPriority w:val="99"/>
    <w:rsid w:val="00574A27"/>
    <w:rPr>
      <w:rFonts w:ascii="Courier New" w:eastAsia="SimSun" w:hAnsi="Courier New" w:cs="Courier New"/>
      <w:color w:val="0000FF"/>
      <w:sz w:val="20"/>
      <w:lang w:eastAsia="zh-CN" w:bidi="ar-EG"/>
    </w:rPr>
  </w:style>
  <w:style w:type="character" w:customStyle="1" w:styleId="PlainTextChar">
    <w:name w:val="Plain Text Char"/>
    <w:basedOn w:val="DefaultParagraphFont"/>
    <w:link w:val="PlainText"/>
    <w:uiPriority w:val="99"/>
    <w:rsid w:val="00574A27"/>
    <w:rPr>
      <w:rFonts w:ascii="Courier New" w:eastAsia="SimSun" w:hAnsi="Courier New" w:cs="Courier New"/>
      <w:color w:val="0000FF"/>
      <w:lang w:eastAsia="zh-CN" w:bidi="ar-EG"/>
    </w:rPr>
  </w:style>
  <w:style w:type="paragraph" w:customStyle="1" w:styleId="null">
    <w:name w:val="null"/>
    <w:basedOn w:val="Normal"/>
    <w:rsid w:val="00574A27"/>
    <w:pPr>
      <w:spacing w:before="100" w:beforeAutospacing="1" w:after="100" w:afterAutospacing="1"/>
    </w:pPr>
    <w:rPr>
      <w:rFonts w:ascii="Times New Roman" w:eastAsiaTheme="minorHAnsi" w:hAnsi="Times New Roman" w:cs="Times New Roman"/>
      <w:sz w:val="24"/>
      <w:szCs w:val="24"/>
      <w:lang w:bidi="ar-EG"/>
    </w:rPr>
  </w:style>
  <w:style w:type="character" w:customStyle="1" w:styleId="null1">
    <w:name w:val="null1"/>
    <w:basedOn w:val="DefaultParagraphFont"/>
    <w:rsid w:val="00574A27"/>
  </w:style>
  <w:style w:type="character" w:customStyle="1" w:styleId="st">
    <w:name w:val="st"/>
    <w:basedOn w:val="DefaultParagraphFont"/>
    <w:rsid w:val="00574A27"/>
  </w:style>
  <w:style w:type="paragraph" w:customStyle="1" w:styleId="StyleHeading4">
    <w:name w:val="Style Heading 4"/>
    <w:basedOn w:val="Normal"/>
    <w:qFormat/>
    <w:rsid w:val="00574A27"/>
    <w:pPr>
      <w:keepNext/>
      <w:ind w:left="1843" w:hanging="1843"/>
      <w:outlineLvl w:val="2"/>
    </w:pPr>
    <w:rPr>
      <w:rFonts w:eastAsia="SimSun"/>
      <w:b/>
      <w:bCs/>
      <w:i/>
      <w:sz w:val="20"/>
      <w:szCs w:val="26"/>
      <w:lang w:eastAsia="zh-CN" w:bidi="ar-EG"/>
    </w:rPr>
  </w:style>
  <w:style w:type="paragraph" w:styleId="TOC5">
    <w:name w:val="toc 5"/>
    <w:basedOn w:val="TOC4"/>
    <w:next w:val="Normal"/>
    <w:autoRedefine/>
    <w:uiPriority w:val="39"/>
    <w:rsid w:val="00574A27"/>
    <w:pPr>
      <w:tabs>
        <w:tab w:val="clear" w:pos="9345"/>
        <w:tab w:val="left" w:pos="1985"/>
        <w:tab w:val="right" w:leader="dot" w:pos="9498"/>
      </w:tabs>
      <w:bidi w:val="0"/>
      <w:ind w:left="1985" w:hanging="1418"/>
    </w:pPr>
    <w:rPr>
      <w:rFonts w:asciiTheme="minorBidi" w:hAnsiTheme="minorBidi" w:cstheme="minorBidi"/>
      <w:sz w:val="20"/>
      <w:szCs w:val="20"/>
      <w:lang w:val="fr-FR"/>
    </w:rPr>
  </w:style>
  <w:style w:type="paragraph" w:styleId="TOC6">
    <w:name w:val="toc 6"/>
    <w:basedOn w:val="Normal"/>
    <w:next w:val="Normal"/>
    <w:autoRedefine/>
    <w:uiPriority w:val="39"/>
    <w:unhideWhenUsed/>
    <w:rsid w:val="00482893"/>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482893"/>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482893"/>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482893"/>
    <w:pPr>
      <w:spacing w:after="100" w:line="276" w:lineRule="auto"/>
      <w:ind w:left="1760"/>
    </w:pPr>
    <w:rPr>
      <w:rFonts w:asciiTheme="minorHAnsi" w:eastAsiaTheme="minorEastAsia" w:hAnsiTheme="minorHAnsi" w:cstheme="minorBidi"/>
      <w:szCs w:val="22"/>
    </w:rPr>
  </w:style>
  <w:style w:type="character" w:styleId="FollowedHyperlink">
    <w:name w:val="FollowedHyperlink"/>
    <w:basedOn w:val="DefaultParagraphFont"/>
    <w:semiHidden/>
    <w:unhideWhenUsed/>
    <w:rsid w:val="003969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2.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8.png"/><Relationship Id="rId128" Type="http://schemas.openxmlformats.org/officeDocument/2006/relationships/image" Target="media/image113.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1.png"/><Relationship Id="rId124" Type="http://schemas.openxmlformats.org/officeDocument/2006/relationships/image" Target="media/image109.png"/><Relationship Id="rId129" Type="http://schemas.openxmlformats.org/officeDocument/2006/relationships/image" Target="media/image114.png"/><Relationship Id="rId137" Type="http://schemas.openxmlformats.org/officeDocument/2006/relationships/image" Target="media/image122.emf"/><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6.png"/><Relationship Id="rId132" Type="http://schemas.openxmlformats.org/officeDocument/2006/relationships/image" Target="media/image117.png"/><Relationship Id="rId14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20.png"/><Relationship Id="rId14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hyperlink" Target="http://www.dinapi.gov.py/"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emf"/><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yperlink" Target="http://www.oepm.es/es/index.html" TargetMode="External"/><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3.emf"/><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1.png"/></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n/doc_details.jsp?doc_id=354935" TargetMode="External"/><Relationship Id="rId13" Type="http://schemas.openxmlformats.org/officeDocument/2006/relationships/hyperlink" Target="http://www.wipo.int/meetings/en/doc_details.jsp?doc_id=358896" TargetMode="External"/><Relationship Id="rId18" Type="http://schemas.openxmlformats.org/officeDocument/2006/relationships/hyperlink" Target="http://www.wipo.int/meetings/en/doc_details.jsp?doc_id=347436" TargetMode="External"/><Relationship Id="rId26" Type="http://schemas.openxmlformats.org/officeDocument/2006/relationships/hyperlink" Target="http://www.wipo.int/edocs/mdocs/govbody/ar/a_51/a_51_16.pdf" TargetMode="External"/><Relationship Id="rId3" Type="http://schemas.openxmlformats.org/officeDocument/2006/relationships/hyperlink" Target="http://www.wipo.int/meetings/en/doc_details.jsp?doc_id=323086" TargetMode="External"/><Relationship Id="rId21" Type="http://schemas.openxmlformats.org/officeDocument/2006/relationships/hyperlink" Target="http://www.wipo.int/edocs/pubdocs/ar/wipo_pub_944_2015.pdff" TargetMode="External"/><Relationship Id="rId7" Type="http://schemas.openxmlformats.org/officeDocument/2006/relationships/hyperlink" Target="http://www.wipo.int/meetings/en/doc_details.jsp?doc_id=364803" TargetMode="External"/><Relationship Id="rId12" Type="http://schemas.openxmlformats.org/officeDocument/2006/relationships/hyperlink" Target="http://www.wipo.int/edocs/mdocs/copyright/ar/sccr_33/sccr_33_summary_by_the_chair.pdf" TargetMode="External"/><Relationship Id="rId17" Type="http://schemas.openxmlformats.org/officeDocument/2006/relationships/hyperlink" Target="mailto:madrid.qp@wipo.int" TargetMode="External"/><Relationship Id="rId25" Type="http://schemas.openxmlformats.org/officeDocument/2006/relationships/hyperlink" Target="http://www.wipo.int/meetings/en/doc_details.jsp?doc_id=343158" TargetMode="External"/><Relationship Id="rId2" Type="http://schemas.openxmlformats.org/officeDocument/2006/relationships/hyperlink" Target="http://www.wipo.int/meetings/en/doc_details.jsp?doc_id=347436" TargetMode="External"/><Relationship Id="rId16" Type="http://schemas.openxmlformats.org/officeDocument/2006/relationships/hyperlink" Target="http://www.wipo.int/meetings/en/doc_details.jsp?doc_id=360378" TargetMode="External"/><Relationship Id="rId20" Type="http://schemas.openxmlformats.org/officeDocument/2006/relationships/hyperlink" Target="https://www.globalinnovationindex.org/" TargetMode="External"/><Relationship Id="rId1" Type="http://schemas.openxmlformats.org/officeDocument/2006/relationships/hyperlink" Target="http://www.wipo.int/amc/en/new/2016_qmsurvey.html" TargetMode="External"/><Relationship Id="rId6" Type="http://schemas.openxmlformats.org/officeDocument/2006/relationships/hyperlink" Target="http://www.wipo.int/meetings/en/doc_details.jsp?doc_id=354223" TargetMode="External"/><Relationship Id="rId11" Type="http://schemas.openxmlformats.org/officeDocument/2006/relationships/hyperlink" Target="http://www.wipo.int/meetings/en/doc_details.jsp?doc_id=338097" TargetMode="External"/><Relationship Id="rId24" Type="http://schemas.openxmlformats.org/officeDocument/2006/relationships/hyperlink" Target="http://www.wipo.int/meetings/en/doc_details.jsp?doc_id=342238" TargetMode="External"/><Relationship Id="rId5" Type="http://schemas.openxmlformats.org/officeDocument/2006/relationships/hyperlink" Target="http://www.wipo.int/meetings/en/doc_details.jsp?doc_id=361336" TargetMode="External"/><Relationship Id="rId15" Type="http://schemas.openxmlformats.org/officeDocument/2006/relationships/hyperlink" Target="http://www.wipo.int/meetings/en/doc_details.jsp?doc_id=334617" TargetMode="External"/><Relationship Id="rId23" Type="http://schemas.openxmlformats.org/officeDocument/2006/relationships/hyperlink" Target="http://www.wipo.int/meetings/en/doc_details.jsp?doc_id=310196" TargetMode="External"/><Relationship Id="rId10" Type="http://schemas.openxmlformats.org/officeDocument/2006/relationships/hyperlink" Target="http://www.wipo.int/meetings/en/doc_details.jsp?doc_id=328356" TargetMode="External"/><Relationship Id="rId19" Type="http://schemas.openxmlformats.org/officeDocument/2006/relationships/hyperlink" Target="http://www.wipo.int/econ_stat/ar/economics/gii//" TargetMode="External"/><Relationship Id="rId4" Type="http://schemas.openxmlformats.org/officeDocument/2006/relationships/hyperlink" Target="http://www.wipo.int/meetings/en/doc_details.jsp?doc_id=342596" TargetMode="External"/><Relationship Id="rId9" Type="http://schemas.openxmlformats.org/officeDocument/2006/relationships/hyperlink" Target="http://www.wipo.int/edocs/mdocs/copyright/ar/sccr_31/sccr31_ref_summary_by_chair.pdf" TargetMode="External"/><Relationship Id="rId14" Type="http://schemas.openxmlformats.org/officeDocument/2006/relationships/hyperlink" Target="http://www.wipo.int/meetings/en/doc_details.jsp?doc_id=313056" TargetMode="External"/><Relationship Id="rId22" Type="http://schemas.openxmlformats.org/officeDocument/2006/relationships/hyperlink" Target="http://www.wipo.int/meetings/en/doc_details.jsp?doc_id=312736" TargetMode="External"/><Relationship Id="rId27" Type="http://schemas.openxmlformats.org/officeDocument/2006/relationships/hyperlink" Target="http://www.wipo.int/edocs/mdocs/govbody/ar/wo_pbc_22/wo_pbc_22_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med\Downloads\Blank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07F83-34C9-410F-920C-5176F297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Blank_AR</Template>
  <TotalTime>1</TotalTime>
  <Pages>320</Pages>
  <Words>79182</Words>
  <Characters>436295</Characters>
  <Application>Microsoft Office Word</Application>
  <DocSecurity>4</DocSecurity>
  <Lines>21814</Lines>
  <Paragraphs>8887</Paragraphs>
  <ScaleCrop>false</ScaleCrop>
  <HeadingPairs>
    <vt:vector size="2" baseType="variant">
      <vt:variant>
        <vt:lpstr>Title</vt:lpstr>
      </vt:variant>
      <vt:variant>
        <vt:i4>1</vt:i4>
      </vt:variant>
    </vt:vector>
  </HeadingPairs>
  <TitlesOfParts>
    <vt:vector size="1" baseType="lpstr">
      <vt:lpstr>-- (Arabic)</vt:lpstr>
    </vt:vector>
  </TitlesOfParts>
  <Company>World Intellectual Property Organization</Company>
  <LinksUpToDate>false</LinksUpToDate>
  <CharactersWithSpaces>506590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(Arabic)</dc:title>
  <dc:creator>Ahmed Hassan</dc:creator>
  <cp:lastModifiedBy>ZEBARJADI-SAR Nahal</cp:lastModifiedBy>
  <cp:revision>2</cp:revision>
  <cp:lastPrinted>2017-05-17T10:57:00Z</cp:lastPrinted>
  <dcterms:created xsi:type="dcterms:W3CDTF">2017-05-17T14:12:00Z</dcterms:created>
  <dcterms:modified xsi:type="dcterms:W3CDTF">2017-05-17T14:12:00Z</dcterms:modified>
</cp:coreProperties>
</file>